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7.xml" ContentType="application/vnd.openxmlformats-officedocument.wordprocessingml.header+xml"/>
  <Override PartName="/word/footer5.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BE1000" w14:textId="2D7698D6" w:rsidR="00A83362" w:rsidRPr="004E6649" w:rsidRDefault="001C6FCA" w:rsidP="005C2FE9">
      <w:pPr>
        <w:pStyle w:val="Title"/>
        <w:spacing w:before="100" w:beforeAutospacing="1"/>
        <w:rPr>
          <w:rFonts w:asciiTheme="minorHAnsi" w:hAnsiTheme="minorHAnsi" w:cstheme="minorHAnsi"/>
        </w:rPr>
      </w:pPr>
      <w:r w:rsidRPr="001C6FCA">
        <w:rPr>
          <w:rFonts w:asciiTheme="minorHAnsi" w:hAnsiTheme="minorHAnsi" w:cstheme="minorHAnsi"/>
          <w:noProof/>
        </w:rPr>
        <w:drawing>
          <wp:inline distT="0" distB="0" distL="0" distR="0" wp14:anchorId="62104F25" wp14:editId="39D81662">
            <wp:extent cx="4004070" cy="4846320"/>
            <wp:effectExtent l="0" t="0" r="0" b="0"/>
            <wp:docPr id="454895856" name="Picture 1" descr="Image of University of Maine System camp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895856" name="Picture 1" descr="Image of University of Maine System campus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4070" cy="4846320"/>
                    </a:xfrm>
                    <a:prstGeom prst="rect">
                      <a:avLst/>
                    </a:prstGeom>
                    <a:noFill/>
                    <a:ln>
                      <a:noFill/>
                    </a:ln>
                  </pic:spPr>
                </pic:pic>
              </a:graphicData>
            </a:graphic>
          </wp:inline>
        </w:drawing>
      </w:r>
    </w:p>
    <w:p w14:paraId="7B789468" w14:textId="55A559E4" w:rsidR="00A83362" w:rsidRPr="004E6649" w:rsidRDefault="00A83362" w:rsidP="00A83362">
      <w:pPr>
        <w:pStyle w:val="Title"/>
        <w:spacing w:before="100" w:beforeAutospacing="1"/>
        <w:rPr>
          <w:rFonts w:asciiTheme="minorHAnsi" w:hAnsiTheme="minorHAnsi" w:cstheme="minorHAnsi"/>
        </w:rPr>
      </w:pPr>
      <w:r w:rsidRPr="004E6649">
        <w:rPr>
          <w:rFonts w:asciiTheme="minorHAnsi" w:hAnsiTheme="minorHAnsi" w:cstheme="minorHAnsi"/>
        </w:rPr>
        <w:t> </w:t>
      </w:r>
    </w:p>
    <w:p w14:paraId="5BE253C3" w14:textId="35D71BBB" w:rsidR="00A83362" w:rsidRPr="004E6649" w:rsidRDefault="00A83362" w:rsidP="00A83362">
      <w:pPr>
        <w:pStyle w:val="Title"/>
        <w:rPr>
          <w:rFonts w:asciiTheme="minorHAnsi" w:hAnsiTheme="minorHAnsi" w:cstheme="minorHAnsi"/>
          <w:b w:val="0"/>
          <w:sz w:val="68"/>
          <w:szCs w:val="68"/>
        </w:rPr>
      </w:pPr>
      <w:r w:rsidRPr="004E6649">
        <w:rPr>
          <w:rFonts w:asciiTheme="minorHAnsi" w:hAnsiTheme="minorHAnsi" w:cstheme="minorHAnsi"/>
          <w:sz w:val="68"/>
          <w:szCs w:val="68"/>
        </w:rPr>
        <w:t>202</w:t>
      </w:r>
      <w:r w:rsidR="001C6FCA">
        <w:rPr>
          <w:rFonts w:asciiTheme="minorHAnsi" w:hAnsiTheme="minorHAnsi" w:cstheme="minorHAnsi"/>
          <w:sz w:val="68"/>
          <w:szCs w:val="68"/>
        </w:rPr>
        <w:t>5</w:t>
      </w:r>
    </w:p>
    <w:p w14:paraId="14B454F5" w14:textId="5E0DF587" w:rsidR="00A83362" w:rsidRPr="004E6649" w:rsidRDefault="00A83362" w:rsidP="00A83362">
      <w:pPr>
        <w:pStyle w:val="Title"/>
        <w:rPr>
          <w:rFonts w:asciiTheme="minorHAnsi" w:hAnsiTheme="minorHAnsi" w:cstheme="minorHAnsi"/>
          <w:b w:val="0"/>
          <w:sz w:val="68"/>
          <w:szCs w:val="68"/>
        </w:rPr>
      </w:pPr>
      <w:r w:rsidRPr="004E6649">
        <w:rPr>
          <w:rFonts w:asciiTheme="minorHAnsi" w:hAnsiTheme="minorHAnsi" w:cstheme="minorHAnsi"/>
          <w:sz w:val="68"/>
          <w:szCs w:val="68"/>
        </w:rPr>
        <w:t>University of Maine System</w:t>
      </w:r>
    </w:p>
    <w:p w14:paraId="652BEACE" w14:textId="66D590ED" w:rsidR="00A83362" w:rsidRPr="004E6649" w:rsidRDefault="00A83362" w:rsidP="00A83362">
      <w:pPr>
        <w:pStyle w:val="Title"/>
        <w:rPr>
          <w:rFonts w:asciiTheme="minorHAnsi" w:hAnsiTheme="minorHAnsi" w:cstheme="minorHAnsi"/>
          <w:sz w:val="68"/>
          <w:szCs w:val="68"/>
        </w:rPr>
      </w:pPr>
      <w:r w:rsidRPr="004E6649">
        <w:rPr>
          <w:rFonts w:asciiTheme="minorHAnsi" w:hAnsiTheme="minorHAnsi" w:cstheme="minorHAnsi"/>
          <w:sz w:val="68"/>
          <w:szCs w:val="68"/>
        </w:rPr>
        <w:t>Annual Financial Report</w:t>
      </w:r>
    </w:p>
    <w:p w14:paraId="60DBDCB1" w14:textId="0E93BEDD" w:rsidR="00A83362" w:rsidRPr="004E6649" w:rsidRDefault="00A83362" w:rsidP="00A83362">
      <w:pPr>
        <w:widowControl w:val="0"/>
        <w:rPr>
          <w:rFonts w:cstheme="minorHAnsi"/>
          <w:szCs w:val="24"/>
        </w:rPr>
      </w:pPr>
      <w:r w:rsidRPr="004E6649">
        <w:rPr>
          <w:rFonts w:cstheme="minorHAnsi"/>
        </w:rPr>
        <w:t> </w:t>
      </w:r>
    </w:p>
    <w:p w14:paraId="6DAE55CE" w14:textId="59D0E97F" w:rsidR="00A83362" w:rsidRPr="004E6649" w:rsidRDefault="00A83362" w:rsidP="005C0A2D">
      <w:pPr>
        <w:widowControl w:val="0"/>
        <w:spacing w:before="920"/>
        <w:jc w:val="center"/>
        <w:rPr>
          <w:rFonts w:cstheme="minorHAnsi"/>
          <w:sz w:val="12"/>
          <w:szCs w:val="24"/>
        </w:rPr>
      </w:pPr>
      <w:r w:rsidRPr="004E6649">
        <w:rPr>
          <w:rFonts w:cstheme="minorHAnsi"/>
          <w:sz w:val="12"/>
          <w:szCs w:val="24"/>
        </w:rPr>
        <w:t>The University of Maine System is a Component Unit of the State of Maine</w:t>
      </w:r>
    </w:p>
    <w:p w14:paraId="541EA211" w14:textId="601004EF" w:rsidR="00A83362" w:rsidRPr="004E6649" w:rsidRDefault="00A83362" w:rsidP="00A83362">
      <w:pPr>
        <w:jc w:val="center"/>
        <w:rPr>
          <w:rFonts w:cstheme="minorHAnsi"/>
          <w:color w:val="0D0D0D" w:themeColor="text1" w:themeTint="F2"/>
          <w:sz w:val="12"/>
          <w:szCs w:val="16"/>
        </w:rPr>
      </w:pPr>
      <w:r w:rsidRPr="004E6649">
        <w:rPr>
          <w:rFonts w:cstheme="minorHAnsi"/>
          <w:color w:val="0D0D0D" w:themeColor="text1" w:themeTint="F2"/>
          <w:sz w:val="12"/>
          <w:szCs w:val="16"/>
        </w:rPr>
        <w:t>Electronic statements are available at:</w:t>
      </w:r>
    </w:p>
    <w:p w14:paraId="363C451C" w14:textId="75A5B55E" w:rsidR="00A83362" w:rsidRPr="004E6649" w:rsidRDefault="00A83362" w:rsidP="00A83362">
      <w:pPr>
        <w:jc w:val="center"/>
        <w:rPr>
          <w:rFonts w:cstheme="minorHAnsi"/>
          <w:sz w:val="12"/>
        </w:rPr>
      </w:pPr>
      <w:hyperlink r:id="rId9" w:history="1">
        <w:r w:rsidRPr="004E6649">
          <w:rPr>
            <w:rStyle w:val="Hyperlink"/>
            <w:rFonts w:cstheme="minorHAnsi"/>
            <w:sz w:val="12"/>
          </w:rPr>
          <w:t>https://www.maine.edu/finance/policies-procedures-and-reports/annual-financial-reports/</w:t>
        </w:r>
      </w:hyperlink>
    </w:p>
    <w:p w14:paraId="41342255" w14:textId="2A52C34B" w:rsidR="00A83362" w:rsidRPr="004E6649" w:rsidRDefault="00A83362" w:rsidP="00A83362">
      <w:pPr>
        <w:jc w:val="center"/>
        <w:rPr>
          <w:rFonts w:cstheme="minorHAnsi"/>
          <w:color w:val="0D0D0D" w:themeColor="text1" w:themeTint="F2"/>
          <w:sz w:val="12"/>
          <w:szCs w:val="16"/>
        </w:rPr>
      </w:pPr>
      <w:r w:rsidRPr="004E6649">
        <w:rPr>
          <w:rFonts w:cstheme="minorHAnsi"/>
          <w:color w:val="0D0D0D" w:themeColor="text1" w:themeTint="F2"/>
          <w:sz w:val="12"/>
          <w:szCs w:val="16"/>
        </w:rPr>
        <w:t>Or by contacting:</w:t>
      </w:r>
    </w:p>
    <w:p w14:paraId="0815E495" w14:textId="39E4C5C2" w:rsidR="00A83362" w:rsidRPr="004E6649" w:rsidRDefault="00A83362" w:rsidP="00A83362">
      <w:pPr>
        <w:jc w:val="center"/>
        <w:rPr>
          <w:rFonts w:cstheme="minorHAnsi"/>
          <w:color w:val="0D0D0D" w:themeColor="text1" w:themeTint="F2"/>
          <w:sz w:val="12"/>
          <w:szCs w:val="16"/>
        </w:rPr>
      </w:pPr>
      <w:r w:rsidRPr="004E6649">
        <w:rPr>
          <w:rFonts w:cstheme="minorHAnsi"/>
          <w:color w:val="0D0D0D" w:themeColor="text1" w:themeTint="F2"/>
          <w:sz w:val="12"/>
          <w:szCs w:val="16"/>
        </w:rPr>
        <w:t>Controller’s Office</w:t>
      </w:r>
    </w:p>
    <w:p w14:paraId="4AEEE977" w14:textId="77777777" w:rsidR="00A83362" w:rsidRPr="004E6649" w:rsidRDefault="00A83362" w:rsidP="00A83362">
      <w:pPr>
        <w:tabs>
          <w:tab w:val="left" w:pos="720"/>
        </w:tabs>
        <w:autoSpaceDE w:val="0"/>
        <w:autoSpaceDN w:val="0"/>
        <w:adjustRightInd w:val="0"/>
        <w:jc w:val="center"/>
        <w:rPr>
          <w:rFonts w:cstheme="minorHAnsi"/>
          <w:color w:val="0D0D0D" w:themeColor="text1" w:themeTint="F2"/>
          <w:sz w:val="12"/>
          <w:szCs w:val="16"/>
        </w:rPr>
      </w:pPr>
      <w:r w:rsidRPr="004E6649">
        <w:rPr>
          <w:rFonts w:cstheme="minorHAnsi"/>
          <w:color w:val="0D0D0D" w:themeColor="text1" w:themeTint="F2"/>
          <w:sz w:val="12"/>
          <w:szCs w:val="16"/>
        </w:rPr>
        <w:t>65 Texas Ave</w:t>
      </w:r>
    </w:p>
    <w:p w14:paraId="4A7F630E" w14:textId="77777777" w:rsidR="00A83362" w:rsidRPr="004E6649" w:rsidRDefault="00A83362" w:rsidP="00A83362">
      <w:pPr>
        <w:tabs>
          <w:tab w:val="left" w:pos="720"/>
        </w:tabs>
        <w:autoSpaceDE w:val="0"/>
        <w:autoSpaceDN w:val="0"/>
        <w:adjustRightInd w:val="0"/>
        <w:jc w:val="center"/>
        <w:rPr>
          <w:rFonts w:cstheme="minorHAnsi"/>
          <w:sz w:val="56"/>
          <w:szCs w:val="72"/>
        </w:rPr>
        <w:sectPr w:rsidR="00A83362" w:rsidRPr="004E6649" w:rsidSect="00DC059D">
          <w:footerReference w:type="default" r:id="rId10"/>
          <w:type w:val="nextColumn"/>
          <w:pgSz w:w="12240" w:h="15840" w:code="1"/>
          <w:pgMar w:top="1440" w:right="1152" w:bottom="1440" w:left="1152" w:header="720" w:footer="720" w:gutter="0"/>
          <w:cols w:space="0"/>
          <w:titlePg/>
          <w:docGrid w:linePitch="360"/>
        </w:sectPr>
      </w:pPr>
      <w:r w:rsidRPr="004E6649">
        <w:rPr>
          <w:rFonts w:cstheme="minorHAnsi"/>
          <w:color w:val="0D0D0D" w:themeColor="text1" w:themeTint="F2"/>
          <w:sz w:val="12"/>
          <w:szCs w:val="16"/>
        </w:rPr>
        <w:t>Bangor ME 04401</w:t>
      </w:r>
    </w:p>
    <w:p w14:paraId="1407EE59" w14:textId="77777777" w:rsidR="00A83362" w:rsidRPr="004E6649" w:rsidRDefault="00A83362" w:rsidP="00E971B5">
      <w:pPr>
        <w:pBdr>
          <w:top w:val="single" w:sz="6" w:space="6" w:color="5C8C7C"/>
          <w:bottom w:val="single" w:sz="6" w:space="6" w:color="5C8C7C"/>
        </w:pBdr>
        <w:spacing w:before="10380" w:after="240"/>
        <w:jc w:val="center"/>
        <w:rPr>
          <w:rFonts w:eastAsiaTheme="majorEastAsia" w:cstheme="minorHAnsi"/>
          <w:caps/>
          <w:color w:val="5C8C7C"/>
          <w:sz w:val="24"/>
          <w:szCs w:val="24"/>
        </w:rPr>
      </w:pPr>
      <w:r w:rsidRPr="004E6649">
        <w:rPr>
          <w:rFonts w:eastAsiaTheme="majorEastAsia" w:cstheme="minorHAnsi"/>
          <w:caps/>
          <w:color w:val="0D0D0D" w:themeColor="text1" w:themeTint="F2"/>
          <w:sz w:val="24"/>
          <w:szCs w:val="24"/>
        </w:rPr>
        <w:lastRenderedPageBreak/>
        <w:t>NON-DISCRIMINATION NOTICE</w:t>
      </w:r>
    </w:p>
    <w:p w14:paraId="0F4F9324" w14:textId="1F7DF9E7" w:rsidR="00A83362" w:rsidRPr="004E6649" w:rsidRDefault="00E971B5" w:rsidP="00A83362">
      <w:pPr>
        <w:autoSpaceDE w:val="0"/>
        <w:autoSpaceDN w:val="0"/>
        <w:adjustRightInd w:val="0"/>
        <w:ind w:right="523"/>
        <w:jc w:val="both"/>
        <w:rPr>
          <w:rFonts w:cstheme="minorHAnsi"/>
          <w:sz w:val="18"/>
          <w:szCs w:val="18"/>
        </w:rPr>
        <w:sectPr w:rsidR="00A83362" w:rsidRPr="004E6649" w:rsidSect="00DC059D">
          <w:headerReference w:type="default" r:id="rId11"/>
          <w:footerReference w:type="default" r:id="rId12"/>
          <w:type w:val="nextColumn"/>
          <w:pgSz w:w="12240" w:h="15840" w:code="1"/>
          <w:pgMar w:top="1440" w:right="1152" w:bottom="1440" w:left="1152" w:header="720" w:footer="720" w:gutter="0"/>
          <w:cols w:sep="1" w:space="432"/>
          <w:docGrid w:linePitch="360"/>
        </w:sectPr>
      </w:pPr>
      <w:r w:rsidRPr="00E971B5">
        <w:rPr>
          <w:rFonts w:cstheme="minorHAnsi"/>
          <w:color w:val="000000" w:themeColor="text1"/>
          <w:sz w:val="18"/>
          <w:szCs w:val="18"/>
        </w:rPr>
        <w:t>In complying with the letter and spirit of applicable laws and pursuing its own goals of diversity, the University of Maine System does not discriminate on the grounds of race, color, religion, sex, sexual orientation, transgender status, gender, gender identity or expression, ethnicity, national origin, citizenship status, familial status, ancestry, age, disability physical or mental, genetic information, or veterans or military status in employment, education, and all other programs and activities. The University provides reasonable accommodations to qualified individuals with disabilities upon request. The following person has been designated to handle inquiries regarding nondiscrimination policies: Director of Equal Opportunity, 5713 Chadbourne Hall, Room 412, University of Maine, Orono, ME 04469-5713, 207-581-1226, TTY 711 (Maine Relay System)</w:t>
      </w:r>
      <w:r w:rsidR="00A83362" w:rsidRPr="004E6649">
        <w:rPr>
          <w:rFonts w:cstheme="minorHAnsi"/>
          <w:sz w:val="18"/>
          <w:szCs w:val="18"/>
        </w:rPr>
        <w:t xml:space="preserve"> or by email to: equal.opportunity@maine.edu.</w:t>
      </w:r>
    </w:p>
    <w:p w14:paraId="7ACC9880" w14:textId="222C217F" w:rsidR="00A83362" w:rsidRPr="00F132E3" w:rsidRDefault="001E240E" w:rsidP="001E240E">
      <w:pPr>
        <w:pStyle w:val="Heading4"/>
        <w:pBdr>
          <w:bottom w:val="single" w:sz="8" w:space="1" w:color="0D0D0D" w:themeColor="text1" w:themeTint="F2"/>
        </w:pBdr>
        <w:tabs>
          <w:tab w:val="clear" w:pos="10620"/>
          <w:tab w:val="left" w:pos="9360"/>
          <w:tab w:val="left" w:pos="10530"/>
        </w:tabs>
        <w:spacing w:after="240"/>
        <w:rPr>
          <w:rFonts w:cstheme="minorHAnsi"/>
          <w:b/>
          <w:sz w:val="24"/>
          <w:szCs w:val="18"/>
        </w:rPr>
      </w:pPr>
      <w:r w:rsidRPr="00F132E3">
        <w:rPr>
          <w:rFonts w:cstheme="minorHAnsi"/>
          <w:b/>
          <w:sz w:val="24"/>
          <w:szCs w:val="18"/>
        </w:rPr>
        <w:lastRenderedPageBreak/>
        <w:t xml:space="preserve">Table </w:t>
      </w:r>
      <w:r w:rsidR="00F132E3">
        <w:rPr>
          <w:rFonts w:cstheme="minorHAnsi"/>
          <w:b/>
          <w:sz w:val="24"/>
          <w:szCs w:val="18"/>
        </w:rPr>
        <w:t>o</w:t>
      </w:r>
      <w:r w:rsidRPr="00F132E3">
        <w:rPr>
          <w:rFonts w:cstheme="minorHAnsi"/>
          <w:b/>
          <w:sz w:val="24"/>
          <w:szCs w:val="18"/>
        </w:rPr>
        <w:t>f Contents</w:t>
      </w:r>
    </w:p>
    <w:tbl>
      <w:tblPr>
        <w:tblStyle w:val="TableGrid"/>
        <w:tblW w:w="9914" w:type="dxa"/>
        <w:tblLook w:val="04A0" w:firstRow="1" w:lastRow="0" w:firstColumn="1" w:lastColumn="0" w:noHBand="0" w:noVBand="1"/>
        <w:tblCaption w:val="Table of Contents"/>
        <w:tblDescription w:val="Chancellor's Letter page 4&#10;Board of Trustees and Management page 5&#10;Independent Auditor's Report page 6&#10;Management's Discussion and Analysis page 9&#10;Statements of Net Position page 34&#10;Statements of Financial Position - Discretely Presented Component Unit page 35&#10;Statements of Revenues, Expenses and Changes in Net Position page 36&#10;Statements of Activities - Discretely Presented Component Unit page 37&#10;Statements of Cash Flows page 38&#10;Notes to Financial Statements page 40&#10;Required Supplemental Information - Retirement and Other than Pension Employee Benefits (OPEB) page 84&#10;Supplemental Information Required by the State of Maine page 92&#10;Independent Auditor's Report on Internal Control over Financial Reporting and on Compliance and Other Matters Based on an Audit of Financial Statements Performed in Accordance with Government Auditing Standards page 93"/>
      </w:tblPr>
      <w:tblGrid>
        <w:gridCol w:w="9180"/>
        <w:gridCol w:w="734"/>
      </w:tblGrid>
      <w:tr w:rsidR="00A83362" w:rsidRPr="004E6649" w14:paraId="1423DCC5" w14:textId="77777777" w:rsidTr="004C24C2">
        <w:trPr>
          <w:tblHeader/>
        </w:trPr>
        <w:tc>
          <w:tcPr>
            <w:tcW w:w="9180" w:type="dxa"/>
            <w:tcBorders>
              <w:top w:val="nil"/>
              <w:left w:val="nil"/>
              <w:bottom w:val="nil"/>
              <w:right w:val="nil"/>
            </w:tcBorders>
          </w:tcPr>
          <w:p w14:paraId="16037132" w14:textId="77777777" w:rsidR="00A83362" w:rsidRPr="004E6649" w:rsidRDefault="00A83362" w:rsidP="0070537E">
            <w:pPr>
              <w:spacing w:before="120" w:after="120"/>
              <w:jc w:val="both"/>
              <w:rPr>
                <w:rFonts w:eastAsia="Times New Roman" w:cstheme="minorHAnsi"/>
                <w:sz w:val="24"/>
                <w:szCs w:val="24"/>
              </w:rPr>
            </w:pPr>
          </w:p>
        </w:tc>
        <w:tc>
          <w:tcPr>
            <w:tcW w:w="734" w:type="dxa"/>
            <w:tcBorders>
              <w:top w:val="nil"/>
              <w:left w:val="nil"/>
              <w:bottom w:val="nil"/>
              <w:right w:val="nil"/>
            </w:tcBorders>
          </w:tcPr>
          <w:p w14:paraId="1D1A4709" w14:textId="77777777" w:rsidR="00A83362" w:rsidRPr="004E6649" w:rsidRDefault="00A83362" w:rsidP="0070537E">
            <w:pPr>
              <w:spacing w:before="120" w:after="120"/>
              <w:jc w:val="right"/>
              <w:rPr>
                <w:rFonts w:eastAsia="Times New Roman" w:cstheme="minorHAnsi"/>
                <w:sz w:val="24"/>
                <w:szCs w:val="24"/>
              </w:rPr>
            </w:pPr>
            <w:r w:rsidRPr="004E6649">
              <w:rPr>
                <w:rFonts w:eastAsia="Times New Roman" w:cstheme="minorHAnsi"/>
                <w:sz w:val="24"/>
                <w:szCs w:val="20"/>
              </w:rPr>
              <w:t>Page</w:t>
            </w:r>
          </w:p>
        </w:tc>
      </w:tr>
      <w:tr w:rsidR="00A83362" w:rsidRPr="004E6649" w14:paraId="5ED3A7EA" w14:textId="77777777" w:rsidTr="005C0A2D">
        <w:trPr>
          <w:trHeight w:val="909"/>
        </w:trPr>
        <w:tc>
          <w:tcPr>
            <w:tcW w:w="9180" w:type="dxa"/>
            <w:tcBorders>
              <w:top w:val="nil"/>
              <w:left w:val="nil"/>
              <w:bottom w:val="nil"/>
              <w:right w:val="nil"/>
            </w:tcBorders>
            <w:vAlign w:val="bottom"/>
          </w:tcPr>
          <w:p w14:paraId="3ED92365" w14:textId="23F882DB" w:rsidR="00A83362" w:rsidRPr="004E6649" w:rsidRDefault="00A83362" w:rsidP="005C0A2D">
            <w:pPr>
              <w:spacing w:before="120"/>
              <w:rPr>
                <w:rFonts w:eastAsia="Times New Roman" w:cstheme="minorHAnsi"/>
                <w:sz w:val="24"/>
                <w:szCs w:val="24"/>
              </w:rPr>
            </w:pPr>
            <w:r w:rsidRPr="004E6649">
              <w:rPr>
                <w:rFonts w:eastAsia="Times New Roman" w:cstheme="minorHAnsi"/>
                <w:sz w:val="24"/>
                <w:szCs w:val="24"/>
              </w:rPr>
              <w:t>Chancellor’s Letter</w:t>
            </w:r>
            <w:r w:rsidR="00B00959" w:rsidRPr="004E6649">
              <w:rPr>
                <w:rFonts w:eastAsia="Times New Roman" w:cstheme="minorHAnsi"/>
                <w:sz w:val="24"/>
                <w:szCs w:val="24"/>
              </w:rPr>
              <w:t>……….</w:t>
            </w:r>
            <w:r w:rsidRPr="004E6649">
              <w:rPr>
                <w:rFonts w:eastAsia="Times New Roman" w:cstheme="minorHAnsi"/>
                <w:sz w:val="24"/>
                <w:szCs w:val="24"/>
              </w:rPr>
              <w:t>………………………………………………………………………………</w:t>
            </w:r>
            <w:r w:rsidR="00C93493" w:rsidRPr="004E6649">
              <w:rPr>
                <w:rFonts w:eastAsia="Times New Roman" w:cstheme="minorHAnsi"/>
                <w:sz w:val="24"/>
                <w:szCs w:val="24"/>
              </w:rPr>
              <w:t>…</w:t>
            </w:r>
            <w:r w:rsidR="005C0A2D">
              <w:rPr>
                <w:rFonts w:eastAsia="Times New Roman" w:cstheme="minorHAnsi"/>
                <w:sz w:val="24"/>
                <w:szCs w:val="24"/>
              </w:rPr>
              <w:t>………………….</w:t>
            </w:r>
          </w:p>
        </w:tc>
        <w:tc>
          <w:tcPr>
            <w:tcW w:w="734" w:type="dxa"/>
            <w:tcBorders>
              <w:top w:val="nil"/>
              <w:left w:val="nil"/>
              <w:bottom w:val="nil"/>
              <w:right w:val="nil"/>
            </w:tcBorders>
            <w:vAlign w:val="bottom"/>
          </w:tcPr>
          <w:p w14:paraId="2B2FAB84" w14:textId="335D865F" w:rsidR="00A83362" w:rsidRPr="004E6649" w:rsidRDefault="00A83362" w:rsidP="005C0A2D">
            <w:pPr>
              <w:spacing w:before="120"/>
              <w:jc w:val="right"/>
              <w:rPr>
                <w:rFonts w:eastAsia="Times New Roman" w:cstheme="minorHAnsi"/>
                <w:sz w:val="24"/>
                <w:szCs w:val="24"/>
              </w:rPr>
            </w:pPr>
            <w:hyperlink w:anchor="ChancellorsLetter" w:history="1">
              <w:r w:rsidRPr="004E6649">
                <w:rPr>
                  <w:rStyle w:val="Hyperlink"/>
                  <w:rFonts w:eastAsia="Times New Roman" w:cstheme="minorHAnsi"/>
                  <w:sz w:val="24"/>
                  <w:szCs w:val="24"/>
                </w:rPr>
                <w:t>4</w:t>
              </w:r>
            </w:hyperlink>
          </w:p>
        </w:tc>
      </w:tr>
      <w:tr w:rsidR="00A83362" w:rsidRPr="004E6649" w14:paraId="43479452" w14:textId="77777777" w:rsidTr="005C0A2D">
        <w:tc>
          <w:tcPr>
            <w:tcW w:w="9180" w:type="dxa"/>
            <w:tcBorders>
              <w:top w:val="nil"/>
              <w:left w:val="nil"/>
              <w:bottom w:val="nil"/>
              <w:right w:val="nil"/>
            </w:tcBorders>
            <w:vAlign w:val="bottom"/>
          </w:tcPr>
          <w:p w14:paraId="78DDA85A" w14:textId="2B39EC9F" w:rsidR="00A83362" w:rsidRPr="004E6649" w:rsidRDefault="00A83362" w:rsidP="005C0A2D">
            <w:pPr>
              <w:spacing w:before="120"/>
              <w:rPr>
                <w:rFonts w:eastAsia="Times New Roman" w:cstheme="minorHAnsi"/>
                <w:sz w:val="24"/>
                <w:szCs w:val="24"/>
              </w:rPr>
            </w:pPr>
            <w:r w:rsidRPr="004E6649">
              <w:rPr>
                <w:rFonts w:eastAsia="Times New Roman" w:cstheme="minorHAnsi"/>
                <w:sz w:val="24"/>
                <w:szCs w:val="24"/>
              </w:rPr>
              <w:t>Board of Trustees and Management</w:t>
            </w:r>
            <w:r w:rsidR="00B00959" w:rsidRPr="004E6649">
              <w:rPr>
                <w:rFonts w:eastAsia="Times New Roman" w:cstheme="minorHAnsi"/>
                <w:sz w:val="24"/>
                <w:szCs w:val="24"/>
              </w:rPr>
              <w:t>……………</w:t>
            </w:r>
            <w:r w:rsidRPr="004E6649">
              <w:rPr>
                <w:rFonts w:eastAsia="Times New Roman" w:cstheme="minorHAnsi"/>
                <w:sz w:val="24"/>
                <w:szCs w:val="24"/>
              </w:rPr>
              <w:t>…………………………………………………</w:t>
            </w:r>
            <w:r w:rsidR="005C0A2D">
              <w:rPr>
                <w:rFonts w:eastAsia="Times New Roman" w:cstheme="minorHAnsi"/>
                <w:sz w:val="24"/>
                <w:szCs w:val="24"/>
              </w:rPr>
              <w:t>………………..</w:t>
            </w:r>
          </w:p>
        </w:tc>
        <w:tc>
          <w:tcPr>
            <w:tcW w:w="734" w:type="dxa"/>
            <w:tcBorders>
              <w:top w:val="nil"/>
              <w:left w:val="nil"/>
              <w:bottom w:val="nil"/>
              <w:right w:val="nil"/>
            </w:tcBorders>
            <w:vAlign w:val="bottom"/>
          </w:tcPr>
          <w:p w14:paraId="6A90778F" w14:textId="6A1E7B0D" w:rsidR="00A83362" w:rsidRPr="004E6649" w:rsidRDefault="00A83362" w:rsidP="005C0A2D">
            <w:pPr>
              <w:spacing w:before="120"/>
              <w:jc w:val="right"/>
              <w:rPr>
                <w:rFonts w:eastAsia="Times New Roman" w:cstheme="minorHAnsi"/>
                <w:sz w:val="24"/>
                <w:szCs w:val="24"/>
              </w:rPr>
            </w:pPr>
            <w:hyperlink w:anchor="BOT_STAFF" w:history="1">
              <w:r w:rsidRPr="004E6649">
                <w:rPr>
                  <w:rStyle w:val="Hyperlink"/>
                  <w:rFonts w:eastAsia="Times New Roman" w:cstheme="minorHAnsi"/>
                  <w:sz w:val="24"/>
                  <w:szCs w:val="24"/>
                </w:rPr>
                <w:t>6</w:t>
              </w:r>
            </w:hyperlink>
          </w:p>
        </w:tc>
      </w:tr>
      <w:tr w:rsidR="00A83362" w:rsidRPr="004E6649" w14:paraId="4CFFE8FE" w14:textId="77777777" w:rsidTr="005C0A2D">
        <w:tc>
          <w:tcPr>
            <w:tcW w:w="9180" w:type="dxa"/>
            <w:tcBorders>
              <w:top w:val="nil"/>
              <w:left w:val="nil"/>
              <w:bottom w:val="nil"/>
              <w:right w:val="nil"/>
            </w:tcBorders>
            <w:vAlign w:val="bottom"/>
          </w:tcPr>
          <w:p w14:paraId="2C11F2CB" w14:textId="53B563FB" w:rsidR="00A83362" w:rsidRPr="004E6649" w:rsidRDefault="00A83362" w:rsidP="005C0A2D">
            <w:pPr>
              <w:spacing w:before="120"/>
              <w:rPr>
                <w:rFonts w:eastAsia="Times New Roman" w:cstheme="minorHAnsi"/>
                <w:sz w:val="24"/>
                <w:szCs w:val="24"/>
              </w:rPr>
            </w:pPr>
            <w:r w:rsidRPr="004E6649">
              <w:rPr>
                <w:rFonts w:eastAsia="Times New Roman" w:cstheme="minorHAnsi"/>
                <w:sz w:val="24"/>
                <w:szCs w:val="24"/>
              </w:rPr>
              <w:t>Independent Auditor’s Report</w:t>
            </w:r>
            <w:r w:rsidR="00B00959" w:rsidRPr="004E6649">
              <w:rPr>
                <w:rFonts w:eastAsia="Times New Roman" w:cstheme="minorHAnsi"/>
                <w:sz w:val="24"/>
                <w:szCs w:val="24"/>
              </w:rPr>
              <w:t>……………….</w:t>
            </w:r>
            <w:r w:rsidRPr="004E6649">
              <w:rPr>
                <w:rFonts w:eastAsia="Times New Roman" w:cstheme="minorHAnsi"/>
                <w:sz w:val="24"/>
                <w:szCs w:val="24"/>
              </w:rPr>
              <w:t>………………………………………………………</w:t>
            </w:r>
            <w:r w:rsidR="005C0A2D">
              <w:rPr>
                <w:rFonts w:eastAsia="Times New Roman" w:cstheme="minorHAnsi"/>
                <w:sz w:val="24"/>
                <w:szCs w:val="24"/>
              </w:rPr>
              <w:t>…………………</w:t>
            </w:r>
          </w:p>
        </w:tc>
        <w:tc>
          <w:tcPr>
            <w:tcW w:w="734" w:type="dxa"/>
            <w:tcBorders>
              <w:top w:val="nil"/>
              <w:left w:val="nil"/>
              <w:bottom w:val="nil"/>
              <w:right w:val="nil"/>
            </w:tcBorders>
            <w:vAlign w:val="bottom"/>
          </w:tcPr>
          <w:p w14:paraId="479C29E4" w14:textId="6105E732" w:rsidR="00A83362" w:rsidRPr="004E6649" w:rsidRDefault="00A83362" w:rsidP="005C0A2D">
            <w:pPr>
              <w:spacing w:before="120"/>
              <w:jc w:val="right"/>
              <w:rPr>
                <w:rFonts w:eastAsia="Times New Roman" w:cstheme="minorHAnsi"/>
                <w:sz w:val="24"/>
                <w:szCs w:val="24"/>
              </w:rPr>
            </w:pPr>
            <w:hyperlink w:anchor="Auditors_Report" w:history="1">
              <w:r w:rsidRPr="004E6649">
                <w:rPr>
                  <w:rStyle w:val="Hyperlink"/>
                  <w:rFonts w:eastAsia="Times New Roman" w:cstheme="minorHAnsi"/>
                  <w:sz w:val="24"/>
                  <w:szCs w:val="24"/>
                </w:rPr>
                <w:t>7</w:t>
              </w:r>
            </w:hyperlink>
          </w:p>
        </w:tc>
      </w:tr>
      <w:tr w:rsidR="00A83362" w:rsidRPr="004E6649" w14:paraId="43FC921D" w14:textId="77777777" w:rsidTr="005C0A2D">
        <w:tc>
          <w:tcPr>
            <w:tcW w:w="9180" w:type="dxa"/>
            <w:tcBorders>
              <w:top w:val="nil"/>
              <w:left w:val="nil"/>
              <w:bottom w:val="nil"/>
              <w:right w:val="nil"/>
            </w:tcBorders>
            <w:vAlign w:val="bottom"/>
          </w:tcPr>
          <w:p w14:paraId="109A37F6" w14:textId="00141529" w:rsidR="00A83362" w:rsidRPr="004E6649" w:rsidRDefault="00A83362" w:rsidP="005C0A2D">
            <w:pPr>
              <w:spacing w:before="120"/>
              <w:rPr>
                <w:rFonts w:eastAsia="Times New Roman" w:cstheme="minorHAnsi"/>
                <w:sz w:val="24"/>
                <w:szCs w:val="24"/>
              </w:rPr>
            </w:pPr>
            <w:r w:rsidRPr="004E6649">
              <w:rPr>
                <w:rFonts w:eastAsia="Times New Roman" w:cstheme="minorHAnsi"/>
                <w:sz w:val="24"/>
                <w:szCs w:val="24"/>
              </w:rPr>
              <w:t>Management’s Discussion and Analysis</w:t>
            </w:r>
            <w:r w:rsidR="00B00959" w:rsidRPr="004E6649">
              <w:rPr>
                <w:rFonts w:eastAsia="Times New Roman" w:cstheme="minorHAnsi"/>
                <w:sz w:val="24"/>
                <w:szCs w:val="24"/>
              </w:rPr>
              <w:t>…</w:t>
            </w:r>
            <w:r w:rsidRPr="004E6649">
              <w:rPr>
                <w:rFonts w:eastAsia="Times New Roman" w:cstheme="minorHAnsi"/>
                <w:sz w:val="24"/>
                <w:szCs w:val="24"/>
              </w:rPr>
              <w:t>…………………………………………………</w:t>
            </w:r>
            <w:r w:rsidR="00B00959" w:rsidRPr="004E6649">
              <w:rPr>
                <w:rFonts w:eastAsia="Times New Roman" w:cstheme="minorHAnsi"/>
                <w:sz w:val="24"/>
                <w:szCs w:val="24"/>
              </w:rPr>
              <w:t>……</w:t>
            </w:r>
            <w:r w:rsidR="005C0A2D">
              <w:rPr>
                <w:rFonts w:eastAsia="Times New Roman" w:cstheme="minorHAnsi"/>
                <w:sz w:val="24"/>
                <w:szCs w:val="24"/>
              </w:rPr>
              <w:t>…………………</w:t>
            </w:r>
          </w:p>
        </w:tc>
        <w:tc>
          <w:tcPr>
            <w:tcW w:w="734" w:type="dxa"/>
            <w:tcBorders>
              <w:top w:val="nil"/>
              <w:left w:val="nil"/>
              <w:bottom w:val="nil"/>
              <w:right w:val="nil"/>
            </w:tcBorders>
            <w:vAlign w:val="bottom"/>
          </w:tcPr>
          <w:p w14:paraId="07618A20" w14:textId="0D740395" w:rsidR="00A83362" w:rsidRPr="004E6649" w:rsidRDefault="00A83362" w:rsidP="005C0A2D">
            <w:pPr>
              <w:spacing w:before="120"/>
              <w:jc w:val="right"/>
              <w:rPr>
                <w:rFonts w:eastAsia="Times New Roman" w:cstheme="minorHAnsi"/>
                <w:sz w:val="24"/>
                <w:szCs w:val="24"/>
              </w:rPr>
            </w:pPr>
            <w:hyperlink w:anchor="MDA" w:history="1">
              <w:r w:rsidRPr="004E6649">
                <w:rPr>
                  <w:rStyle w:val="Hyperlink"/>
                  <w:rFonts w:eastAsia="Times New Roman" w:cstheme="minorHAnsi"/>
                  <w:sz w:val="24"/>
                  <w:szCs w:val="24"/>
                </w:rPr>
                <w:t>11</w:t>
              </w:r>
            </w:hyperlink>
          </w:p>
        </w:tc>
      </w:tr>
      <w:tr w:rsidR="00A83362" w:rsidRPr="004E6649" w14:paraId="74C8088D" w14:textId="77777777" w:rsidTr="005C0A2D">
        <w:tc>
          <w:tcPr>
            <w:tcW w:w="9180" w:type="dxa"/>
            <w:tcBorders>
              <w:top w:val="nil"/>
              <w:left w:val="nil"/>
              <w:bottom w:val="nil"/>
              <w:right w:val="nil"/>
            </w:tcBorders>
            <w:vAlign w:val="bottom"/>
          </w:tcPr>
          <w:p w14:paraId="4B7E4DFB" w14:textId="77777777" w:rsidR="00A83362" w:rsidRPr="004E6649" w:rsidRDefault="00A83362" w:rsidP="005C0A2D">
            <w:pPr>
              <w:spacing w:before="120"/>
              <w:rPr>
                <w:rFonts w:eastAsia="Times New Roman" w:cstheme="minorHAnsi"/>
                <w:sz w:val="24"/>
                <w:szCs w:val="24"/>
              </w:rPr>
            </w:pPr>
            <w:r w:rsidRPr="004E6649">
              <w:rPr>
                <w:rFonts w:eastAsia="Times New Roman" w:cstheme="minorHAnsi"/>
                <w:sz w:val="24"/>
                <w:szCs w:val="24"/>
              </w:rPr>
              <w:t>Financial Statements:</w:t>
            </w:r>
          </w:p>
        </w:tc>
        <w:tc>
          <w:tcPr>
            <w:tcW w:w="734" w:type="dxa"/>
            <w:tcBorders>
              <w:top w:val="nil"/>
              <w:left w:val="nil"/>
              <w:bottom w:val="nil"/>
              <w:right w:val="nil"/>
            </w:tcBorders>
            <w:vAlign w:val="bottom"/>
          </w:tcPr>
          <w:p w14:paraId="47828228" w14:textId="77777777" w:rsidR="00A83362" w:rsidRPr="004E6649" w:rsidRDefault="00A83362" w:rsidP="005C0A2D">
            <w:pPr>
              <w:spacing w:before="120"/>
              <w:jc w:val="right"/>
              <w:rPr>
                <w:rFonts w:eastAsia="Times New Roman" w:cstheme="minorHAnsi"/>
                <w:sz w:val="24"/>
                <w:szCs w:val="24"/>
              </w:rPr>
            </w:pPr>
          </w:p>
        </w:tc>
      </w:tr>
      <w:tr w:rsidR="00A83362" w:rsidRPr="004E6649" w14:paraId="54B2A4C3" w14:textId="77777777" w:rsidTr="005C0A2D">
        <w:tc>
          <w:tcPr>
            <w:tcW w:w="9180" w:type="dxa"/>
            <w:tcBorders>
              <w:top w:val="nil"/>
              <w:left w:val="nil"/>
              <w:bottom w:val="nil"/>
              <w:right w:val="nil"/>
            </w:tcBorders>
            <w:vAlign w:val="bottom"/>
          </w:tcPr>
          <w:p w14:paraId="38FD0920" w14:textId="474B10DD" w:rsidR="00A83362" w:rsidRPr="004E6649" w:rsidRDefault="00A83362" w:rsidP="005C0A2D">
            <w:pPr>
              <w:spacing w:before="120"/>
              <w:ind w:firstLine="257"/>
              <w:rPr>
                <w:rFonts w:cstheme="minorHAnsi"/>
              </w:rPr>
            </w:pPr>
            <w:r w:rsidRPr="004E6649">
              <w:rPr>
                <w:rFonts w:cstheme="minorHAnsi"/>
                <w:sz w:val="24"/>
                <w:szCs w:val="24"/>
              </w:rPr>
              <w:t>Statements of Net Position………………………………………………………………</w:t>
            </w:r>
            <w:r w:rsidR="00B00959" w:rsidRPr="004E6649">
              <w:rPr>
                <w:rFonts w:cstheme="minorHAnsi"/>
                <w:sz w:val="24"/>
                <w:szCs w:val="24"/>
              </w:rPr>
              <w:t>…………</w:t>
            </w:r>
            <w:r w:rsidR="005C0A2D">
              <w:rPr>
                <w:rFonts w:cstheme="minorHAnsi"/>
                <w:sz w:val="24"/>
                <w:szCs w:val="24"/>
              </w:rPr>
              <w:t>……………….</w:t>
            </w:r>
          </w:p>
        </w:tc>
        <w:tc>
          <w:tcPr>
            <w:tcW w:w="734" w:type="dxa"/>
            <w:tcBorders>
              <w:top w:val="nil"/>
              <w:left w:val="nil"/>
              <w:bottom w:val="nil"/>
              <w:right w:val="nil"/>
            </w:tcBorders>
            <w:vAlign w:val="bottom"/>
          </w:tcPr>
          <w:p w14:paraId="5E53ECDC" w14:textId="6388975F" w:rsidR="00A83362" w:rsidRPr="004E6649" w:rsidRDefault="00AF6B37" w:rsidP="005C0A2D">
            <w:pPr>
              <w:spacing w:before="120"/>
              <w:jc w:val="right"/>
              <w:rPr>
                <w:rFonts w:eastAsia="Times New Roman" w:cstheme="minorHAnsi"/>
                <w:sz w:val="24"/>
                <w:szCs w:val="24"/>
              </w:rPr>
            </w:pPr>
            <w:hyperlink w:anchor="SNP" w:history="1">
              <w:r w:rsidRPr="00AD56A5">
                <w:rPr>
                  <w:rStyle w:val="Hyperlink"/>
                  <w:rFonts w:eastAsia="Times New Roman" w:cstheme="minorHAnsi"/>
                  <w:sz w:val="24"/>
                  <w:szCs w:val="24"/>
                </w:rPr>
                <w:t>4</w:t>
              </w:r>
              <w:r w:rsidR="005259B1" w:rsidRPr="00AD56A5">
                <w:rPr>
                  <w:rStyle w:val="Hyperlink"/>
                  <w:rFonts w:eastAsia="Times New Roman" w:cstheme="minorHAnsi"/>
                  <w:sz w:val="24"/>
                  <w:szCs w:val="24"/>
                </w:rPr>
                <w:t>0</w:t>
              </w:r>
            </w:hyperlink>
          </w:p>
        </w:tc>
      </w:tr>
      <w:tr w:rsidR="00A83362" w:rsidRPr="004E6649" w14:paraId="6CA786A8" w14:textId="77777777" w:rsidTr="005C0A2D">
        <w:tc>
          <w:tcPr>
            <w:tcW w:w="9180" w:type="dxa"/>
            <w:tcBorders>
              <w:top w:val="nil"/>
              <w:left w:val="nil"/>
              <w:bottom w:val="nil"/>
              <w:right w:val="nil"/>
            </w:tcBorders>
            <w:vAlign w:val="bottom"/>
          </w:tcPr>
          <w:p w14:paraId="6467BBCF" w14:textId="06B72F79" w:rsidR="00A83362" w:rsidRPr="004E6649" w:rsidRDefault="00A83362" w:rsidP="005C0A2D">
            <w:pPr>
              <w:spacing w:before="120"/>
              <w:ind w:firstLine="257"/>
              <w:rPr>
                <w:rFonts w:cstheme="minorHAnsi"/>
              </w:rPr>
            </w:pPr>
            <w:r w:rsidRPr="004E6649">
              <w:rPr>
                <w:rFonts w:cstheme="minorHAnsi"/>
                <w:sz w:val="24"/>
                <w:szCs w:val="24"/>
              </w:rPr>
              <w:t>Statements of Financial Position – Discretely Presented Component Unit……</w:t>
            </w:r>
            <w:r w:rsidR="00B00959" w:rsidRPr="004E6649">
              <w:rPr>
                <w:rFonts w:cstheme="minorHAnsi"/>
                <w:sz w:val="24"/>
                <w:szCs w:val="24"/>
              </w:rPr>
              <w:t>………</w:t>
            </w:r>
            <w:r w:rsidR="005C0A2D">
              <w:rPr>
                <w:rFonts w:cstheme="minorHAnsi"/>
                <w:sz w:val="24"/>
                <w:szCs w:val="24"/>
              </w:rPr>
              <w:t>………</w:t>
            </w:r>
          </w:p>
        </w:tc>
        <w:tc>
          <w:tcPr>
            <w:tcW w:w="734" w:type="dxa"/>
            <w:tcBorders>
              <w:top w:val="nil"/>
              <w:left w:val="nil"/>
              <w:bottom w:val="nil"/>
              <w:right w:val="nil"/>
            </w:tcBorders>
            <w:vAlign w:val="bottom"/>
          </w:tcPr>
          <w:p w14:paraId="7A9CCE69" w14:textId="346B6392" w:rsidR="00A83362" w:rsidRPr="004E6649" w:rsidRDefault="005259B1" w:rsidP="005C0A2D">
            <w:pPr>
              <w:spacing w:before="120"/>
              <w:jc w:val="right"/>
              <w:rPr>
                <w:rFonts w:eastAsia="Times New Roman" w:cstheme="minorHAnsi"/>
                <w:sz w:val="24"/>
                <w:szCs w:val="24"/>
              </w:rPr>
            </w:pPr>
            <w:hyperlink w:anchor="SNPCU" w:history="1">
              <w:r>
                <w:rPr>
                  <w:rStyle w:val="Hyperlink"/>
                  <w:rFonts w:eastAsia="Times New Roman" w:cstheme="minorHAnsi"/>
                  <w:sz w:val="24"/>
                  <w:szCs w:val="24"/>
                </w:rPr>
                <w:t>41</w:t>
              </w:r>
            </w:hyperlink>
          </w:p>
        </w:tc>
      </w:tr>
      <w:tr w:rsidR="00A83362" w:rsidRPr="004E6649" w14:paraId="16EC098C" w14:textId="77777777" w:rsidTr="005C0A2D">
        <w:tc>
          <w:tcPr>
            <w:tcW w:w="9180" w:type="dxa"/>
            <w:tcBorders>
              <w:top w:val="nil"/>
              <w:left w:val="nil"/>
              <w:bottom w:val="nil"/>
              <w:right w:val="nil"/>
            </w:tcBorders>
            <w:vAlign w:val="bottom"/>
          </w:tcPr>
          <w:p w14:paraId="71E5C640" w14:textId="38400376" w:rsidR="00A83362" w:rsidRPr="004E6649" w:rsidRDefault="00A83362" w:rsidP="005C0A2D">
            <w:pPr>
              <w:spacing w:before="120"/>
              <w:ind w:firstLine="257"/>
              <w:rPr>
                <w:rFonts w:cstheme="minorHAnsi"/>
              </w:rPr>
            </w:pPr>
            <w:r w:rsidRPr="004E6649">
              <w:rPr>
                <w:rFonts w:cstheme="minorHAnsi"/>
                <w:sz w:val="24"/>
                <w:szCs w:val="24"/>
              </w:rPr>
              <w:t>Statements of Revenues, Expenses and Changes in Net Position…………………</w:t>
            </w:r>
            <w:r w:rsidR="00B00959" w:rsidRPr="004E6649">
              <w:rPr>
                <w:rFonts w:cstheme="minorHAnsi"/>
                <w:sz w:val="24"/>
                <w:szCs w:val="24"/>
              </w:rPr>
              <w:t>…</w:t>
            </w:r>
            <w:r w:rsidR="005C0A2D">
              <w:rPr>
                <w:rFonts w:cstheme="minorHAnsi"/>
                <w:sz w:val="24"/>
                <w:szCs w:val="24"/>
              </w:rPr>
              <w:t>……………</w:t>
            </w:r>
          </w:p>
        </w:tc>
        <w:tc>
          <w:tcPr>
            <w:tcW w:w="734" w:type="dxa"/>
            <w:tcBorders>
              <w:top w:val="nil"/>
              <w:left w:val="nil"/>
              <w:bottom w:val="nil"/>
              <w:right w:val="nil"/>
            </w:tcBorders>
            <w:vAlign w:val="bottom"/>
          </w:tcPr>
          <w:p w14:paraId="16F382C2" w14:textId="41CE7DA1" w:rsidR="00A83362" w:rsidRPr="004E6649" w:rsidRDefault="005259B1" w:rsidP="005C0A2D">
            <w:pPr>
              <w:spacing w:before="120"/>
              <w:jc w:val="right"/>
              <w:rPr>
                <w:rFonts w:eastAsia="Times New Roman" w:cstheme="minorHAnsi"/>
                <w:sz w:val="24"/>
                <w:szCs w:val="24"/>
              </w:rPr>
            </w:pPr>
            <w:hyperlink w:anchor="SRECNP" w:history="1">
              <w:r>
                <w:rPr>
                  <w:rStyle w:val="Hyperlink"/>
                  <w:rFonts w:eastAsia="Times New Roman" w:cstheme="minorHAnsi"/>
                  <w:sz w:val="24"/>
                  <w:szCs w:val="24"/>
                </w:rPr>
                <w:t>42</w:t>
              </w:r>
            </w:hyperlink>
          </w:p>
        </w:tc>
      </w:tr>
      <w:tr w:rsidR="00A83362" w:rsidRPr="004E6649" w14:paraId="3503F565" w14:textId="77777777" w:rsidTr="005C0A2D">
        <w:tc>
          <w:tcPr>
            <w:tcW w:w="9180" w:type="dxa"/>
            <w:tcBorders>
              <w:top w:val="nil"/>
              <w:left w:val="nil"/>
              <w:bottom w:val="nil"/>
              <w:right w:val="nil"/>
            </w:tcBorders>
            <w:vAlign w:val="bottom"/>
          </w:tcPr>
          <w:p w14:paraId="7836F4C1" w14:textId="2DE5CC5D" w:rsidR="00A83362" w:rsidRPr="004E6649" w:rsidRDefault="00A83362" w:rsidP="005C0A2D">
            <w:pPr>
              <w:spacing w:before="120"/>
              <w:ind w:firstLine="257"/>
              <w:rPr>
                <w:rFonts w:cstheme="minorHAnsi"/>
              </w:rPr>
            </w:pPr>
            <w:r w:rsidRPr="004E6649">
              <w:rPr>
                <w:rFonts w:cstheme="minorHAnsi"/>
                <w:sz w:val="24"/>
                <w:szCs w:val="24"/>
              </w:rPr>
              <w:t>Statements of Activities – Discretely Presented Component Unit…………………</w:t>
            </w:r>
            <w:r w:rsidR="00B00959" w:rsidRPr="004E6649">
              <w:rPr>
                <w:rFonts w:cstheme="minorHAnsi"/>
                <w:sz w:val="24"/>
                <w:szCs w:val="24"/>
              </w:rPr>
              <w:t>………</w:t>
            </w:r>
            <w:r w:rsidR="005C0A2D">
              <w:rPr>
                <w:rFonts w:cstheme="minorHAnsi"/>
                <w:sz w:val="24"/>
                <w:szCs w:val="24"/>
              </w:rPr>
              <w:t>……..</w:t>
            </w:r>
          </w:p>
        </w:tc>
        <w:tc>
          <w:tcPr>
            <w:tcW w:w="734" w:type="dxa"/>
            <w:tcBorders>
              <w:top w:val="nil"/>
              <w:left w:val="nil"/>
              <w:bottom w:val="nil"/>
              <w:right w:val="nil"/>
            </w:tcBorders>
            <w:vAlign w:val="bottom"/>
          </w:tcPr>
          <w:p w14:paraId="6F589974" w14:textId="539EDB8F" w:rsidR="00A83362" w:rsidRPr="004E6649" w:rsidRDefault="005259B1" w:rsidP="005C0A2D">
            <w:pPr>
              <w:spacing w:before="120"/>
              <w:jc w:val="right"/>
              <w:rPr>
                <w:rFonts w:eastAsia="Times New Roman" w:cstheme="minorHAnsi"/>
                <w:sz w:val="24"/>
                <w:szCs w:val="24"/>
              </w:rPr>
            </w:pPr>
            <w:hyperlink w:anchor="SRECNPCU" w:history="1">
              <w:r>
                <w:rPr>
                  <w:rStyle w:val="Hyperlink"/>
                  <w:rFonts w:eastAsia="Times New Roman" w:cstheme="minorHAnsi"/>
                  <w:sz w:val="24"/>
                  <w:szCs w:val="24"/>
                </w:rPr>
                <w:t>43</w:t>
              </w:r>
            </w:hyperlink>
          </w:p>
        </w:tc>
      </w:tr>
      <w:tr w:rsidR="00A83362" w:rsidRPr="004E6649" w14:paraId="0E8C14F1" w14:textId="77777777" w:rsidTr="005C0A2D">
        <w:tc>
          <w:tcPr>
            <w:tcW w:w="9180" w:type="dxa"/>
            <w:tcBorders>
              <w:top w:val="nil"/>
              <w:left w:val="nil"/>
              <w:bottom w:val="nil"/>
              <w:right w:val="nil"/>
            </w:tcBorders>
            <w:vAlign w:val="bottom"/>
          </w:tcPr>
          <w:p w14:paraId="73EA0013" w14:textId="0E29C802" w:rsidR="00A83362" w:rsidRPr="004E6649" w:rsidRDefault="00A83362" w:rsidP="005C0A2D">
            <w:pPr>
              <w:spacing w:before="120"/>
              <w:ind w:firstLine="257"/>
              <w:rPr>
                <w:rFonts w:cstheme="minorHAnsi"/>
              </w:rPr>
            </w:pPr>
            <w:r w:rsidRPr="004E6649">
              <w:rPr>
                <w:rFonts w:cstheme="minorHAnsi"/>
                <w:sz w:val="24"/>
                <w:szCs w:val="24"/>
              </w:rPr>
              <w:t>Statements of Cash Flows…………………………………………………………………</w:t>
            </w:r>
            <w:r w:rsidR="00B00959" w:rsidRPr="004E6649">
              <w:rPr>
                <w:rFonts w:cstheme="minorHAnsi"/>
                <w:sz w:val="24"/>
                <w:szCs w:val="24"/>
              </w:rPr>
              <w:t>………</w:t>
            </w:r>
            <w:r w:rsidR="005C0A2D">
              <w:rPr>
                <w:rFonts w:cstheme="minorHAnsi"/>
                <w:sz w:val="24"/>
                <w:szCs w:val="24"/>
              </w:rPr>
              <w:t>………………….</w:t>
            </w:r>
          </w:p>
        </w:tc>
        <w:tc>
          <w:tcPr>
            <w:tcW w:w="734" w:type="dxa"/>
            <w:tcBorders>
              <w:top w:val="nil"/>
              <w:left w:val="nil"/>
              <w:bottom w:val="nil"/>
              <w:right w:val="nil"/>
            </w:tcBorders>
            <w:vAlign w:val="bottom"/>
          </w:tcPr>
          <w:p w14:paraId="7311D7AE" w14:textId="0727CA5A" w:rsidR="00A83362" w:rsidRPr="004E6649" w:rsidRDefault="005259B1" w:rsidP="005C0A2D">
            <w:pPr>
              <w:spacing w:before="120"/>
              <w:jc w:val="right"/>
              <w:rPr>
                <w:rFonts w:eastAsia="Times New Roman" w:cstheme="minorHAnsi"/>
                <w:sz w:val="24"/>
                <w:szCs w:val="24"/>
              </w:rPr>
            </w:pPr>
            <w:hyperlink w:anchor="CF1" w:history="1">
              <w:r>
                <w:rPr>
                  <w:rStyle w:val="Hyperlink"/>
                  <w:rFonts w:eastAsia="Times New Roman" w:cstheme="minorHAnsi"/>
                  <w:sz w:val="24"/>
                  <w:szCs w:val="24"/>
                </w:rPr>
                <w:t>44</w:t>
              </w:r>
            </w:hyperlink>
          </w:p>
        </w:tc>
      </w:tr>
      <w:tr w:rsidR="00A83362" w:rsidRPr="004E6649" w14:paraId="6976D89E" w14:textId="77777777" w:rsidTr="005C0A2D">
        <w:tc>
          <w:tcPr>
            <w:tcW w:w="9180" w:type="dxa"/>
            <w:tcBorders>
              <w:top w:val="nil"/>
              <w:left w:val="nil"/>
              <w:bottom w:val="nil"/>
              <w:right w:val="nil"/>
            </w:tcBorders>
            <w:vAlign w:val="bottom"/>
          </w:tcPr>
          <w:p w14:paraId="2F0C163A" w14:textId="5607BA17" w:rsidR="00A83362" w:rsidRPr="004E6649" w:rsidRDefault="00A83362" w:rsidP="005C0A2D">
            <w:pPr>
              <w:spacing w:before="120"/>
              <w:ind w:firstLine="257"/>
              <w:rPr>
                <w:rFonts w:cstheme="minorHAnsi"/>
                <w:sz w:val="24"/>
                <w:szCs w:val="24"/>
              </w:rPr>
            </w:pPr>
            <w:r w:rsidRPr="004E6649">
              <w:rPr>
                <w:rFonts w:cstheme="minorHAnsi"/>
                <w:sz w:val="24"/>
                <w:szCs w:val="24"/>
              </w:rPr>
              <w:t>Statements of Fiduciary Net Position……………………………………………………</w:t>
            </w:r>
            <w:r w:rsidR="00B00959" w:rsidRPr="004E6649">
              <w:rPr>
                <w:rFonts w:cstheme="minorHAnsi"/>
                <w:sz w:val="24"/>
                <w:szCs w:val="24"/>
              </w:rPr>
              <w:t>……</w:t>
            </w:r>
            <w:r w:rsidR="005C0A2D">
              <w:rPr>
                <w:rFonts w:cstheme="minorHAnsi"/>
                <w:sz w:val="24"/>
                <w:szCs w:val="24"/>
              </w:rPr>
              <w:t>…………………</w:t>
            </w:r>
          </w:p>
        </w:tc>
        <w:tc>
          <w:tcPr>
            <w:tcW w:w="734" w:type="dxa"/>
            <w:tcBorders>
              <w:top w:val="nil"/>
              <w:left w:val="nil"/>
              <w:bottom w:val="nil"/>
              <w:right w:val="nil"/>
            </w:tcBorders>
            <w:vAlign w:val="bottom"/>
          </w:tcPr>
          <w:p w14:paraId="7DBD7D24" w14:textId="5AA3FD55" w:rsidR="00A83362" w:rsidRPr="004E6649" w:rsidRDefault="00AF6B37" w:rsidP="005C0A2D">
            <w:pPr>
              <w:spacing w:before="120"/>
              <w:jc w:val="right"/>
              <w:rPr>
                <w:rFonts w:eastAsia="Times New Roman" w:cstheme="minorHAnsi"/>
                <w:sz w:val="24"/>
                <w:szCs w:val="24"/>
              </w:rPr>
            </w:pPr>
            <w:hyperlink w:anchor="SFNP" w:history="1">
              <w:r w:rsidRPr="00AD56A5">
                <w:rPr>
                  <w:rStyle w:val="Hyperlink"/>
                  <w:rFonts w:eastAsia="Times New Roman" w:cstheme="minorHAnsi"/>
                  <w:sz w:val="24"/>
                  <w:szCs w:val="24"/>
                </w:rPr>
                <w:t>4</w:t>
              </w:r>
              <w:r w:rsidR="005259B1" w:rsidRPr="00AD56A5">
                <w:rPr>
                  <w:rStyle w:val="Hyperlink"/>
                  <w:rFonts w:eastAsia="Times New Roman" w:cstheme="minorHAnsi"/>
                  <w:sz w:val="24"/>
                  <w:szCs w:val="24"/>
                </w:rPr>
                <w:t>6</w:t>
              </w:r>
            </w:hyperlink>
          </w:p>
        </w:tc>
      </w:tr>
      <w:tr w:rsidR="00A83362" w:rsidRPr="004E6649" w14:paraId="516928E1" w14:textId="77777777" w:rsidTr="005C0A2D">
        <w:tc>
          <w:tcPr>
            <w:tcW w:w="9180" w:type="dxa"/>
            <w:tcBorders>
              <w:top w:val="nil"/>
              <w:left w:val="nil"/>
              <w:bottom w:val="nil"/>
              <w:right w:val="nil"/>
            </w:tcBorders>
            <w:vAlign w:val="bottom"/>
          </w:tcPr>
          <w:p w14:paraId="0F61200F" w14:textId="59A9D9DE" w:rsidR="00A83362" w:rsidRPr="004E6649" w:rsidRDefault="00A83362" w:rsidP="005C0A2D">
            <w:pPr>
              <w:spacing w:before="120"/>
              <w:ind w:firstLine="257"/>
              <w:rPr>
                <w:rFonts w:cstheme="minorHAnsi"/>
                <w:sz w:val="24"/>
                <w:szCs w:val="24"/>
              </w:rPr>
            </w:pPr>
            <w:r w:rsidRPr="004E6649">
              <w:rPr>
                <w:rFonts w:cstheme="minorHAnsi"/>
                <w:sz w:val="24"/>
                <w:szCs w:val="24"/>
              </w:rPr>
              <w:t>Statements of Changes in Fiduciary Net Position…………………………………</w:t>
            </w:r>
            <w:r w:rsidR="00B00959" w:rsidRPr="004E6649">
              <w:rPr>
                <w:rFonts w:cstheme="minorHAnsi"/>
                <w:sz w:val="24"/>
                <w:szCs w:val="24"/>
              </w:rPr>
              <w:t>………</w:t>
            </w:r>
            <w:r w:rsidR="005C0A2D">
              <w:rPr>
                <w:rFonts w:cstheme="minorHAnsi"/>
                <w:sz w:val="24"/>
                <w:szCs w:val="24"/>
              </w:rPr>
              <w:t>……………….</w:t>
            </w:r>
          </w:p>
        </w:tc>
        <w:tc>
          <w:tcPr>
            <w:tcW w:w="734" w:type="dxa"/>
            <w:tcBorders>
              <w:top w:val="nil"/>
              <w:left w:val="nil"/>
              <w:bottom w:val="nil"/>
              <w:right w:val="nil"/>
            </w:tcBorders>
            <w:vAlign w:val="bottom"/>
          </w:tcPr>
          <w:p w14:paraId="1C17A031" w14:textId="5053CB7A" w:rsidR="00A83362" w:rsidRPr="004E6649" w:rsidRDefault="005259B1" w:rsidP="005C0A2D">
            <w:pPr>
              <w:spacing w:before="120"/>
              <w:jc w:val="right"/>
              <w:rPr>
                <w:rFonts w:eastAsia="Times New Roman" w:cstheme="minorHAnsi"/>
                <w:sz w:val="24"/>
                <w:szCs w:val="24"/>
              </w:rPr>
            </w:pPr>
            <w:hyperlink w:anchor="SCFNP" w:history="1">
              <w:r>
                <w:rPr>
                  <w:rStyle w:val="Hyperlink"/>
                  <w:rFonts w:eastAsia="Times New Roman" w:cstheme="minorHAnsi"/>
                  <w:sz w:val="24"/>
                  <w:szCs w:val="24"/>
                </w:rPr>
                <w:t>47</w:t>
              </w:r>
            </w:hyperlink>
          </w:p>
        </w:tc>
      </w:tr>
      <w:tr w:rsidR="00A83362" w:rsidRPr="004E6649" w14:paraId="2D058580" w14:textId="77777777" w:rsidTr="005C0A2D">
        <w:tc>
          <w:tcPr>
            <w:tcW w:w="9180" w:type="dxa"/>
            <w:tcBorders>
              <w:top w:val="nil"/>
              <w:left w:val="nil"/>
              <w:bottom w:val="nil"/>
              <w:right w:val="nil"/>
            </w:tcBorders>
            <w:vAlign w:val="bottom"/>
          </w:tcPr>
          <w:p w14:paraId="4A52189A" w14:textId="47A4BA3C" w:rsidR="00A83362" w:rsidRPr="004E6649" w:rsidRDefault="00A83362" w:rsidP="005C0A2D">
            <w:pPr>
              <w:spacing w:before="120"/>
              <w:rPr>
                <w:rFonts w:eastAsia="Times New Roman" w:cstheme="minorHAnsi"/>
                <w:sz w:val="24"/>
                <w:szCs w:val="24"/>
              </w:rPr>
            </w:pPr>
            <w:r w:rsidRPr="004E6649">
              <w:rPr>
                <w:rFonts w:eastAsia="Times New Roman" w:cstheme="minorHAnsi"/>
                <w:sz w:val="24"/>
                <w:szCs w:val="24"/>
              </w:rPr>
              <w:t>Notes to Financial Statements………………………………………………………………</w:t>
            </w:r>
            <w:r w:rsidR="00B00959" w:rsidRPr="004E6649">
              <w:rPr>
                <w:rFonts w:eastAsia="Times New Roman" w:cstheme="minorHAnsi"/>
                <w:sz w:val="24"/>
                <w:szCs w:val="24"/>
              </w:rPr>
              <w:t>………</w:t>
            </w:r>
            <w:r w:rsidR="005C0A2D">
              <w:rPr>
                <w:rFonts w:eastAsia="Times New Roman" w:cstheme="minorHAnsi"/>
                <w:sz w:val="24"/>
                <w:szCs w:val="24"/>
              </w:rPr>
              <w:t>………………….</w:t>
            </w:r>
          </w:p>
        </w:tc>
        <w:tc>
          <w:tcPr>
            <w:tcW w:w="734" w:type="dxa"/>
            <w:tcBorders>
              <w:top w:val="nil"/>
              <w:left w:val="nil"/>
              <w:bottom w:val="nil"/>
              <w:right w:val="nil"/>
            </w:tcBorders>
            <w:vAlign w:val="bottom"/>
          </w:tcPr>
          <w:p w14:paraId="4A86B61E" w14:textId="7FEE7C51" w:rsidR="00A83362" w:rsidRPr="004E6649" w:rsidRDefault="005259B1" w:rsidP="005C0A2D">
            <w:pPr>
              <w:spacing w:before="120"/>
              <w:jc w:val="right"/>
              <w:rPr>
                <w:rFonts w:eastAsia="Times New Roman" w:cstheme="minorHAnsi"/>
                <w:sz w:val="24"/>
                <w:szCs w:val="24"/>
              </w:rPr>
            </w:pPr>
            <w:hyperlink w:anchor="Notes" w:history="1">
              <w:r>
                <w:rPr>
                  <w:rStyle w:val="Hyperlink"/>
                  <w:rFonts w:eastAsia="Times New Roman" w:cstheme="minorHAnsi"/>
                  <w:sz w:val="24"/>
                  <w:szCs w:val="24"/>
                </w:rPr>
                <w:t>48</w:t>
              </w:r>
            </w:hyperlink>
          </w:p>
        </w:tc>
      </w:tr>
      <w:tr w:rsidR="008F3C4A" w:rsidRPr="004E6649" w14:paraId="22DF6203" w14:textId="77777777" w:rsidTr="005C0A2D">
        <w:tc>
          <w:tcPr>
            <w:tcW w:w="9180" w:type="dxa"/>
            <w:tcBorders>
              <w:top w:val="nil"/>
              <w:left w:val="nil"/>
              <w:bottom w:val="nil"/>
              <w:right w:val="nil"/>
            </w:tcBorders>
            <w:vAlign w:val="bottom"/>
          </w:tcPr>
          <w:p w14:paraId="7CE39B44" w14:textId="2455CD98" w:rsidR="008F3C4A" w:rsidRPr="004E6649" w:rsidRDefault="00FD372C" w:rsidP="005C0A2D">
            <w:pPr>
              <w:spacing w:before="120"/>
              <w:rPr>
                <w:rFonts w:eastAsia="Times New Roman" w:cstheme="minorHAnsi"/>
                <w:sz w:val="24"/>
                <w:szCs w:val="24"/>
              </w:rPr>
            </w:pPr>
            <w:r w:rsidRPr="004E6649">
              <w:rPr>
                <w:rFonts w:eastAsia="Times New Roman" w:cstheme="minorHAnsi"/>
                <w:sz w:val="24"/>
                <w:szCs w:val="24"/>
              </w:rPr>
              <w:t xml:space="preserve">Required Supplemental Information </w:t>
            </w:r>
            <w:r w:rsidRPr="004E6649">
              <w:rPr>
                <w:rFonts w:cstheme="minorHAnsi"/>
                <w:sz w:val="24"/>
                <w:szCs w:val="24"/>
              </w:rPr>
              <w:t>–</w:t>
            </w:r>
            <w:r w:rsidRPr="004E6649">
              <w:rPr>
                <w:rFonts w:eastAsia="Times New Roman" w:cstheme="minorHAnsi"/>
                <w:sz w:val="24"/>
                <w:szCs w:val="24"/>
              </w:rPr>
              <w:t xml:space="preserve"> </w:t>
            </w:r>
            <w:r w:rsidR="008F3C4A" w:rsidRPr="004E6649">
              <w:rPr>
                <w:rFonts w:eastAsia="Times New Roman" w:cstheme="minorHAnsi"/>
                <w:sz w:val="24"/>
                <w:szCs w:val="24"/>
              </w:rPr>
              <w:t>Ret</w:t>
            </w:r>
            <w:r w:rsidRPr="004E6649">
              <w:rPr>
                <w:rFonts w:eastAsia="Times New Roman" w:cstheme="minorHAnsi"/>
                <w:sz w:val="24"/>
                <w:szCs w:val="24"/>
              </w:rPr>
              <w:t>irement and OPEB Plans………………</w:t>
            </w:r>
            <w:r w:rsidR="00B00959" w:rsidRPr="004E6649">
              <w:rPr>
                <w:rFonts w:eastAsia="Times New Roman" w:cstheme="minorHAnsi"/>
                <w:sz w:val="24"/>
                <w:szCs w:val="24"/>
              </w:rPr>
              <w:t>………</w:t>
            </w:r>
            <w:r w:rsidR="005C0A2D">
              <w:rPr>
                <w:rFonts w:eastAsia="Times New Roman" w:cstheme="minorHAnsi"/>
                <w:sz w:val="24"/>
                <w:szCs w:val="24"/>
              </w:rPr>
              <w:t>……………</w:t>
            </w:r>
          </w:p>
        </w:tc>
        <w:tc>
          <w:tcPr>
            <w:tcW w:w="734" w:type="dxa"/>
            <w:tcBorders>
              <w:top w:val="nil"/>
              <w:left w:val="nil"/>
              <w:bottom w:val="nil"/>
              <w:right w:val="nil"/>
            </w:tcBorders>
            <w:vAlign w:val="bottom"/>
          </w:tcPr>
          <w:p w14:paraId="42C88D3E" w14:textId="63B4F768" w:rsidR="008F3C4A" w:rsidRPr="008A7A6B" w:rsidDel="008F3C4A" w:rsidRDefault="007568C5" w:rsidP="005C0A2D">
            <w:pPr>
              <w:spacing w:before="120"/>
              <w:jc w:val="right"/>
              <w:rPr>
                <w:rStyle w:val="Hyperlink"/>
              </w:rPr>
            </w:pPr>
            <w:hyperlink w:anchor="_REQUIRED_SUPPLEMENTAL_INFORMATION" w:history="1">
              <w:r w:rsidRPr="008A7A6B">
                <w:rPr>
                  <w:rStyle w:val="Hyperlink"/>
                  <w:rFonts w:eastAsia="Times New Roman" w:cstheme="minorHAnsi"/>
                  <w:sz w:val="24"/>
                  <w:szCs w:val="24"/>
                </w:rPr>
                <w:t>104</w:t>
              </w:r>
            </w:hyperlink>
          </w:p>
        </w:tc>
      </w:tr>
      <w:tr w:rsidR="00A83362" w:rsidRPr="004E6649" w14:paraId="04FE0F22" w14:textId="77777777" w:rsidTr="005C0A2D">
        <w:tc>
          <w:tcPr>
            <w:tcW w:w="9180" w:type="dxa"/>
            <w:tcBorders>
              <w:top w:val="nil"/>
              <w:left w:val="nil"/>
              <w:bottom w:val="nil"/>
              <w:right w:val="nil"/>
            </w:tcBorders>
            <w:vAlign w:val="bottom"/>
          </w:tcPr>
          <w:p w14:paraId="1C7605B1" w14:textId="7DD698B1" w:rsidR="00A83362" w:rsidRPr="004E6649" w:rsidRDefault="00A83362" w:rsidP="005C0A2D">
            <w:pPr>
              <w:spacing w:before="120"/>
              <w:rPr>
                <w:rFonts w:eastAsia="Times New Roman" w:cstheme="minorHAnsi"/>
                <w:sz w:val="24"/>
                <w:szCs w:val="24"/>
              </w:rPr>
            </w:pPr>
            <w:r w:rsidRPr="004E6649">
              <w:rPr>
                <w:rFonts w:eastAsia="Times New Roman" w:cstheme="minorHAnsi"/>
                <w:sz w:val="24"/>
                <w:szCs w:val="24"/>
              </w:rPr>
              <w:t>Supplemental Information Required by the State of Maine</w:t>
            </w:r>
            <w:r w:rsidR="00EC144C" w:rsidRPr="004E6649">
              <w:rPr>
                <w:rFonts w:eastAsia="Times New Roman" w:cstheme="minorHAnsi"/>
                <w:sz w:val="24"/>
                <w:szCs w:val="24"/>
              </w:rPr>
              <w:t xml:space="preserve"> – Schedule</w:t>
            </w:r>
            <w:r w:rsidR="0059512C" w:rsidRPr="004E6649">
              <w:rPr>
                <w:rFonts w:eastAsia="Times New Roman" w:cstheme="minorHAnsi"/>
                <w:sz w:val="24"/>
                <w:szCs w:val="24"/>
              </w:rPr>
              <w:t>s</w:t>
            </w:r>
            <w:r w:rsidR="00EC144C" w:rsidRPr="004E6649">
              <w:rPr>
                <w:rFonts w:eastAsia="Times New Roman" w:cstheme="minorHAnsi"/>
                <w:sz w:val="24"/>
                <w:szCs w:val="24"/>
              </w:rPr>
              <w:t xml:space="preserve"> of Activities</w:t>
            </w:r>
            <w:r w:rsidR="005C0A2D">
              <w:rPr>
                <w:rFonts w:eastAsia="Times New Roman" w:cstheme="minorHAnsi"/>
                <w:sz w:val="24"/>
                <w:szCs w:val="24"/>
              </w:rPr>
              <w:t>……….</w:t>
            </w:r>
          </w:p>
        </w:tc>
        <w:tc>
          <w:tcPr>
            <w:tcW w:w="734" w:type="dxa"/>
            <w:tcBorders>
              <w:top w:val="nil"/>
              <w:left w:val="nil"/>
              <w:bottom w:val="nil"/>
              <w:right w:val="nil"/>
            </w:tcBorders>
            <w:vAlign w:val="bottom"/>
          </w:tcPr>
          <w:p w14:paraId="76C52A8B" w14:textId="29BEED2C" w:rsidR="00A83362" w:rsidRPr="00592045" w:rsidRDefault="00AB2BB2" w:rsidP="005C0A2D">
            <w:pPr>
              <w:spacing w:before="120"/>
              <w:jc w:val="right"/>
              <w:rPr>
                <w:rStyle w:val="Hyperlink"/>
                <w:sz w:val="24"/>
                <w:szCs w:val="24"/>
              </w:rPr>
            </w:pPr>
            <w:hyperlink w:anchor="SISTME" w:history="1">
              <w:r w:rsidRPr="00592045">
                <w:rPr>
                  <w:rStyle w:val="Hyperlink"/>
                  <w:rFonts w:eastAsia="Times New Roman" w:cstheme="minorHAnsi"/>
                  <w:sz w:val="24"/>
                  <w:szCs w:val="24"/>
                </w:rPr>
                <w:t>11</w:t>
              </w:r>
            </w:hyperlink>
            <w:r w:rsidR="007568C5" w:rsidRPr="00592045">
              <w:rPr>
                <w:rStyle w:val="Hyperlink"/>
                <w:rFonts w:eastAsia="Times New Roman" w:cstheme="minorHAnsi"/>
                <w:sz w:val="24"/>
                <w:szCs w:val="24"/>
              </w:rPr>
              <w:t>5</w:t>
            </w:r>
          </w:p>
        </w:tc>
      </w:tr>
      <w:tr w:rsidR="00A83362" w:rsidRPr="004E6649" w14:paraId="19D9B467" w14:textId="77777777" w:rsidTr="005C0A2D">
        <w:tc>
          <w:tcPr>
            <w:tcW w:w="9180" w:type="dxa"/>
            <w:tcBorders>
              <w:top w:val="nil"/>
              <w:left w:val="nil"/>
              <w:bottom w:val="nil"/>
              <w:right w:val="nil"/>
            </w:tcBorders>
            <w:vAlign w:val="bottom"/>
          </w:tcPr>
          <w:p w14:paraId="21974FEA" w14:textId="4BB63EAC" w:rsidR="00A83362" w:rsidRPr="004E6649" w:rsidRDefault="00A83362" w:rsidP="005C0A2D">
            <w:pPr>
              <w:spacing w:before="120"/>
              <w:rPr>
                <w:rFonts w:eastAsia="Times New Roman" w:cstheme="minorHAnsi"/>
                <w:sz w:val="24"/>
                <w:szCs w:val="24"/>
              </w:rPr>
            </w:pPr>
            <w:r w:rsidRPr="004E6649">
              <w:rPr>
                <w:rFonts w:eastAsia="Times New Roman" w:cstheme="minorHAnsi"/>
                <w:sz w:val="24"/>
                <w:szCs w:val="24"/>
              </w:rPr>
              <w:t xml:space="preserve">Independent Auditor’s Report on Internal Control Over Financial Reporting and on Compliance and Other Matters Based on an Audit of Financial Statements Performed in Accordance with </w:t>
            </w:r>
            <w:r w:rsidRPr="004E6649">
              <w:rPr>
                <w:rFonts w:eastAsia="Times New Roman" w:cstheme="minorHAnsi"/>
                <w:i/>
                <w:sz w:val="24"/>
                <w:szCs w:val="24"/>
              </w:rPr>
              <w:t>Government Auditing Standards</w:t>
            </w:r>
            <w:r w:rsidRPr="004E6649">
              <w:rPr>
                <w:rFonts w:eastAsia="Times New Roman" w:cstheme="minorHAnsi"/>
                <w:sz w:val="24"/>
                <w:szCs w:val="24"/>
              </w:rPr>
              <w:t>………………………</w:t>
            </w:r>
            <w:r w:rsidR="00B00959" w:rsidRPr="004E6649">
              <w:rPr>
                <w:rFonts w:eastAsia="Times New Roman" w:cstheme="minorHAnsi"/>
                <w:sz w:val="24"/>
                <w:szCs w:val="24"/>
              </w:rPr>
              <w:t>……………………</w:t>
            </w:r>
            <w:r w:rsidR="005C0A2D">
              <w:rPr>
                <w:rFonts w:eastAsia="Times New Roman" w:cstheme="minorHAnsi"/>
                <w:sz w:val="24"/>
                <w:szCs w:val="24"/>
              </w:rPr>
              <w:t>………………</w:t>
            </w:r>
          </w:p>
        </w:tc>
        <w:tc>
          <w:tcPr>
            <w:tcW w:w="734" w:type="dxa"/>
            <w:tcBorders>
              <w:top w:val="nil"/>
              <w:left w:val="nil"/>
              <w:bottom w:val="nil"/>
              <w:right w:val="nil"/>
            </w:tcBorders>
            <w:vAlign w:val="bottom"/>
          </w:tcPr>
          <w:p w14:paraId="44E17F34" w14:textId="2C5C64D3" w:rsidR="00A83362" w:rsidRPr="00592045" w:rsidRDefault="00AB2BB2" w:rsidP="005C0A2D">
            <w:pPr>
              <w:spacing w:before="120"/>
              <w:jc w:val="right"/>
              <w:rPr>
                <w:rStyle w:val="Hyperlink"/>
                <w:sz w:val="24"/>
                <w:szCs w:val="24"/>
              </w:rPr>
            </w:pPr>
            <w:hyperlink w:anchor="AuditorIC" w:history="1">
              <w:r w:rsidRPr="00592045">
                <w:rPr>
                  <w:rStyle w:val="Hyperlink"/>
                  <w:rFonts w:eastAsia="Times New Roman" w:cstheme="minorHAnsi"/>
                  <w:sz w:val="24"/>
                  <w:szCs w:val="24"/>
                </w:rPr>
                <w:t>11</w:t>
              </w:r>
            </w:hyperlink>
            <w:r w:rsidR="007568C5" w:rsidRPr="00592045">
              <w:rPr>
                <w:rStyle w:val="Hyperlink"/>
                <w:rFonts w:eastAsia="Times New Roman" w:cstheme="minorHAnsi"/>
                <w:sz w:val="24"/>
                <w:szCs w:val="24"/>
              </w:rPr>
              <w:t>6</w:t>
            </w:r>
          </w:p>
        </w:tc>
      </w:tr>
    </w:tbl>
    <w:p w14:paraId="4FEA83F9" w14:textId="77777777" w:rsidR="00A83362" w:rsidRPr="004E6649" w:rsidRDefault="00A83362" w:rsidP="00A83362">
      <w:pPr>
        <w:spacing w:after="160" w:line="259" w:lineRule="auto"/>
        <w:rPr>
          <w:rFonts w:cstheme="minorHAnsi"/>
        </w:rPr>
      </w:pPr>
      <w:r w:rsidRPr="004E6649">
        <w:rPr>
          <w:rFonts w:cstheme="minorHAnsi"/>
        </w:rPr>
        <w:br w:type="page"/>
      </w:r>
    </w:p>
    <w:p w14:paraId="5B1B139F" w14:textId="61EA6ABC" w:rsidR="00AF6B37" w:rsidRPr="004E6649" w:rsidRDefault="00AF6B37" w:rsidP="00A83362">
      <w:pPr>
        <w:jc w:val="center"/>
        <w:rPr>
          <w:rFonts w:cstheme="minorHAnsi"/>
        </w:rPr>
      </w:pPr>
      <w:r>
        <w:rPr>
          <w:rFonts w:cstheme="minorHAnsi"/>
          <w:b/>
          <w:bCs/>
          <w:noProof/>
          <w14:ligatures w14:val="standardContextual"/>
        </w:rPr>
        <w:lastRenderedPageBreak/>
        <w:drawing>
          <wp:inline distT="0" distB="0" distL="0" distR="0" wp14:anchorId="243A1FF7" wp14:editId="65A99B3A">
            <wp:extent cx="1920240" cy="923544"/>
            <wp:effectExtent l="0" t="0" r="3810" b="0"/>
            <wp:docPr id="925864707" name="Picture 1" descr="U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864707" name="Picture 1" descr="UMS Log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0240" cy="923544"/>
                    </a:xfrm>
                    <a:prstGeom prst="rect">
                      <a:avLst/>
                    </a:prstGeom>
                  </pic:spPr>
                </pic:pic>
              </a:graphicData>
            </a:graphic>
          </wp:inline>
        </w:drawing>
      </w:r>
    </w:p>
    <w:p w14:paraId="37AF8BBE" w14:textId="77777777" w:rsidR="0050558E" w:rsidRPr="008B69B9" w:rsidRDefault="0050558E" w:rsidP="0050558E">
      <w:pPr>
        <w:spacing w:after="200"/>
        <w:rPr>
          <w:rFonts w:cstheme="minorHAnsi"/>
        </w:rPr>
      </w:pPr>
      <w:r w:rsidRPr="008B69B9">
        <w:rPr>
          <w:rFonts w:cstheme="minorHAnsi"/>
        </w:rPr>
        <w:t>October 1, 2025</w:t>
      </w:r>
    </w:p>
    <w:p w14:paraId="6490C439" w14:textId="77777777" w:rsidR="0050558E" w:rsidRPr="008B69B9" w:rsidRDefault="0050558E" w:rsidP="0050558E">
      <w:pPr>
        <w:spacing w:after="200"/>
        <w:rPr>
          <w:rFonts w:cstheme="minorHAnsi"/>
        </w:rPr>
      </w:pPr>
      <w:r w:rsidRPr="008B69B9">
        <w:rPr>
          <w:rFonts w:cstheme="minorHAnsi"/>
        </w:rPr>
        <w:t>Dear colleagues,</w:t>
      </w:r>
    </w:p>
    <w:p w14:paraId="20C4B47F" w14:textId="77777777" w:rsidR="0050558E" w:rsidRPr="008B69B9" w:rsidRDefault="0050558E" w:rsidP="0050558E">
      <w:pPr>
        <w:spacing w:after="200"/>
        <w:rPr>
          <w:rFonts w:cstheme="minorHAnsi"/>
        </w:rPr>
      </w:pPr>
      <w:r w:rsidRPr="008B69B9">
        <w:rPr>
          <w:rFonts w:cstheme="minorHAnsi"/>
        </w:rPr>
        <w:t>The University of Maine System (UMS) unites seven distinctive public universities to serve as Maine’s most powerful driver of educational attainment and economic development, and as a national leader in affordability and academic innovation.</w:t>
      </w:r>
    </w:p>
    <w:p w14:paraId="354D344B" w14:textId="77777777" w:rsidR="0050558E" w:rsidRPr="008B69B9" w:rsidRDefault="0050558E" w:rsidP="0050558E">
      <w:pPr>
        <w:spacing w:after="200"/>
        <w:rPr>
          <w:rFonts w:cstheme="minorHAnsi"/>
        </w:rPr>
      </w:pPr>
      <w:r w:rsidRPr="008B69B9">
        <w:rPr>
          <w:rFonts w:cstheme="minorHAnsi"/>
        </w:rPr>
        <w:t>Despite the state’s aging demographics and a decline in the number of high school graduates going immediately onto college, UMS enrollment continues to defy regional and national enrollment trends. In Fiscal Year 2025 (FY25), our System achieved three consecutive semesters of year-over-year growth, including the first undergraduate enrollment increase in more than two decades. We welcomed the largest number of transfer students in a decade, the most graduate students in our history, and the biggest entering law class since 2008. In total, more than 31,000 students were enrolled in the 2024-25 academic year (FY25) across our universities, with tens of thousands more learners engaged through early college, Cooperative Extension, and other high-quality programs that strengthen communities and enrich lives across the state.</w:t>
      </w:r>
    </w:p>
    <w:p w14:paraId="6DDBF803" w14:textId="77777777" w:rsidR="0050558E" w:rsidRPr="008B69B9" w:rsidRDefault="0050558E" w:rsidP="0050558E">
      <w:pPr>
        <w:spacing w:after="200"/>
        <w:rPr>
          <w:rFonts w:cstheme="minorHAnsi"/>
        </w:rPr>
      </w:pPr>
      <w:r w:rsidRPr="008B69B9">
        <w:rPr>
          <w:rFonts w:cstheme="minorHAnsi"/>
        </w:rPr>
        <w:t>This growth is a direct result of the unmatched value of Maine’s public universities and the bold initiatives undertaken to expand access and improve outcomes, including through multi-university academic programming enabled by our unified accreditation. We remain the most affordable System in New England, now offer direct admission to eligible Maine high school students, and have expanded seamless transfer pathways with guaranteed admission and more than 150 articulation agreements with the state’s community colleges. Last fall, we realized our highest-ever student return rate, supported by new strategic investments in retention and student success. More than 40% of our students are the first in their families to attend college, and they are twice as likely to graduate as first-generation students nationally.</w:t>
      </w:r>
    </w:p>
    <w:p w14:paraId="2AC671F8" w14:textId="77777777" w:rsidR="0050558E" w:rsidRPr="008B69B9" w:rsidRDefault="0050558E" w:rsidP="0050558E">
      <w:pPr>
        <w:spacing w:after="200"/>
        <w:rPr>
          <w:rFonts w:cstheme="minorHAnsi"/>
        </w:rPr>
      </w:pPr>
      <w:r w:rsidRPr="008B69B9">
        <w:rPr>
          <w:rFonts w:cstheme="minorHAnsi"/>
        </w:rPr>
        <w:t>These achievements are possible only because of growing public and private investments. With the support of Gov. Janet Mills and the Maine Legislature, the System’s total State appropriation has increased 30% since the pandemic, including a 4.5% increase in State funding for UMS operations (E&amp;G) in FY25. The Harold Alfond Foundation has now committed a transformational $320 million to UMS TRANSFORMS, and our System has nearly raised the $200 million match required to maximize this gift. These investments, combined with our stability in university and System leadership and the affirmation of our strong S&amp;P credit rating (announced in Aug. 2024), position UMS to produce world-class talent and innovation and to serve as a national destination for education, research, and employment.</w:t>
      </w:r>
    </w:p>
    <w:p w14:paraId="167F1034" w14:textId="77777777" w:rsidR="0050558E" w:rsidRPr="008B69B9" w:rsidRDefault="0050558E" w:rsidP="0050558E">
      <w:pPr>
        <w:spacing w:after="200"/>
        <w:rPr>
          <w:rFonts w:cstheme="minorHAnsi"/>
        </w:rPr>
      </w:pPr>
      <w:r w:rsidRPr="008B69B9">
        <w:rPr>
          <w:rFonts w:cstheme="minorHAnsi"/>
        </w:rPr>
        <w:t>Led by the University of Maine, the state’s only R1-designated research university, UMS continues to secure external grants and contracts to support education, research and development, and outreach. As happens during every U.S. presidential transition, the new administration is making changes to align</w:t>
      </w:r>
      <w:r>
        <w:rPr>
          <w:rFonts w:cstheme="minorHAnsi"/>
        </w:rPr>
        <w:t xml:space="preserve"> </w:t>
      </w:r>
      <w:r w:rsidRPr="008B69B9">
        <w:rPr>
          <w:rFonts w:cstheme="minorHAnsi"/>
        </w:rPr>
        <w:t xml:space="preserve">federal funding and policy with its own priorities. As a result, in the final two quarters of FY25, the System experienced a number of changes to previously awarded federal awards, mostly to support UMaine research. We continue to work closely with Maine’s Congressional Delegation, federal agencies, the State, professional associations, and other key partners to restore federal funding where possible, mitigate impacts, and develop strategies for moving forward with activities of vital importance to Maine and the nation’s competitiveness and security. Through </w:t>
      </w:r>
      <w:r w:rsidRPr="008B69B9">
        <w:rPr>
          <w:rFonts w:cstheme="minorHAnsi"/>
        </w:rPr>
        <w:lastRenderedPageBreak/>
        <w:t>the close of FY25, UMS has restored 50 federal awards — including those that had previously been terminated — and continues efforts to reverse ongoing pauses and terminations. </w:t>
      </w:r>
    </w:p>
    <w:p w14:paraId="239D50FE" w14:textId="77777777" w:rsidR="0050558E" w:rsidRPr="008B69B9" w:rsidRDefault="0050558E" w:rsidP="0050558E">
      <w:pPr>
        <w:spacing w:after="200"/>
        <w:rPr>
          <w:rFonts w:cstheme="minorHAnsi"/>
        </w:rPr>
      </w:pPr>
      <w:r w:rsidRPr="008B69B9">
        <w:rPr>
          <w:rFonts w:cstheme="minorHAnsi"/>
        </w:rPr>
        <w:t>While challenges remain — including demographics, deferred maintenance, inflationary costs, and an evolving federal landscape, there are also emerging opportunities, including through employer partnerships, the expansion of multi-university collaboration and accessible online degree programs; new calls for proposals in areas of strength like advanced manufacturing; and our growing use of AI to improve budgeting, student services, and operational efficiencies. </w:t>
      </w:r>
    </w:p>
    <w:p w14:paraId="6538D94B" w14:textId="77777777" w:rsidR="0050558E" w:rsidRPr="008B69B9" w:rsidRDefault="0050558E" w:rsidP="0050558E">
      <w:pPr>
        <w:spacing w:after="200"/>
        <w:rPr>
          <w:rFonts w:cstheme="minorHAnsi"/>
        </w:rPr>
      </w:pPr>
      <w:r w:rsidRPr="008B69B9">
        <w:rPr>
          <w:rFonts w:cstheme="minorHAnsi"/>
        </w:rPr>
        <w:t>I am deeply grateful to Maine’s Governor, Legislature, and Congressional Delegation; our faculty, staff, and Board of Trustees; and our many industry and community partners for their steadfast support. Most importantly, I thank the students and families of Maine for entrusting us with their education and upward mobility. With their trust and your dedication, I am confident that our System will continue to maintain its strong fiscal position and strengthen its positive impact on Maine’s people and economy in the year ahead.</w:t>
      </w:r>
    </w:p>
    <w:p w14:paraId="50F4F4DA" w14:textId="77777777" w:rsidR="0050558E" w:rsidRPr="008B69B9" w:rsidRDefault="0050558E" w:rsidP="0050558E">
      <w:pPr>
        <w:spacing w:after="200"/>
        <w:rPr>
          <w:rFonts w:cstheme="minorHAnsi"/>
        </w:rPr>
      </w:pPr>
      <w:r w:rsidRPr="008B69B9">
        <w:rPr>
          <w:rFonts w:cstheme="minorHAnsi"/>
          <w:noProof/>
        </w:rPr>
        <w:drawing>
          <wp:anchor distT="0" distB="0" distL="114300" distR="114300" simplePos="0" relativeHeight="251674624" behindDoc="1" locked="0" layoutInCell="1" allowOverlap="1" wp14:anchorId="688854D4" wp14:editId="25BD2E65">
            <wp:simplePos x="0" y="0"/>
            <wp:positionH relativeFrom="column">
              <wp:posOffset>-190500</wp:posOffset>
            </wp:positionH>
            <wp:positionV relativeFrom="paragraph">
              <wp:posOffset>12700</wp:posOffset>
            </wp:positionV>
            <wp:extent cx="2410460" cy="1099820"/>
            <wp:effectExtent l="0" t="0" r="8890" b="5080"/>
            <wp:wrapNone/>
            <wp:docPr id="1795880073" name="Picture 1" descr="Chancellor'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80073" name="Picture 1" descr="Chancellor's signatu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10460" cy="1099820"/>
                    </a:xfrm>
                    <a:prstGeom prst="rect">
                      <a:avLst/>
                    </a:prstGeom>
                  </pic:spPr>
                </pic:pic>
              </a:graphicData>
            </a:graphic>
          </wp:anchor>
        </w:drawing>
      </w:r>
      <w:r w:rsidRPr="008B69B9">
        <w:rPr>
          <w:rFonts w:cstheme="minorHAnsi"/>
        </w:rPr>
        <w:t>Sincerely,</w:t>
      </w:r>
      <w:r w:rsidRPr="008B69B9">
        <w:rPr>
          <w:rFonts w:cstheme="minorHAnsi"/>
        </w:rPr>
        <w:br/>
      </w:r>
      <w:r w:rsidRPr="008B69B9">
        <w:rPr>
          <w:rFonts w:cstheme="minorHAnsi"/>
        </w:rPr>
        <w:br/>
      </w:r>
    </w:p>
    <w:p w14:paraId="60622A88" w14:textId="77777777" w:rsidR="0050558E" w:rsidRPr="00F857AA" w:rsidRDefault="0050558E" w:rsidP="0050558E">
      <w:pPr>
        <w:spacing w:after="200"/>
        <w:rPr>
          <w:rFonts w:asciiTheme="majorHAnsi" w:hAnsiTheme="majorHAnsi" w:cstheme="majorHAnsi"/>
        </w:rPr>
      </w:pPr>
      <w:r w:rsidRPr="00F857AA">
        <w:rPr>
          <w:rFonts w:asciiTheme="majorHAnsi" w:hAnsiTheme="majorHAnsi" w:cstheme="majorHAnsi"/>
        </w:rPr>
        <w:t>Dannel P. Malloy</w:t>
      </w:r>
      <w:r w:rsidRPr="00F857AA">
        <w:rPr>
          <w:rFonts w:asciiTheme="majorHAnsi" w:hAnsiTheme="majorHAnsi" w:cstheme="majorHAnsi"/>
        </w:rPr>
        <w:br/>
        <w:t>Chancellor</w:t>
      </w:r>
    </w:p>
    <w:p w14:paraId="31068D5B" w14:textId="77777777" w:rsidR="0050558E" w:rsidRPr="00F857AA" w:rsidRDefault="0050558E" w:rsidP="0050558E">
      <w:pPr>
        <w:spacing w:after="200"/>
        <w:rPr>
          <w:rFonts w:asciiTheme="majorHAnsi" w:hAnsiTheme="majorHAnsi" w:cstheme="majorHAnsi"/>
        </w:rPr>
      </w:pPr>
    </w:p>
    <w:p w14:paraId="3C22AC2C" w14:textId="77777777" w:rsidR="00E971B5" w:rsidRDefault="00E971B5">
      <w:pPr>
        <w:spacing w:after="160" w:line="259" w:lineRule="auto"/>
        <w:rPr>
          <w:color w:val="222222"/>
          <w:highlight w:val="white"/>
        </w:rPr>
      </w:pPr>
      <w:r>
        <w:rPr>
          <w:color w:val="222222"/>
          <w:highlight w:val="white"/>
        </w:rPr>
        <w:br w:type="page"/>
      </w:r>
    </w:p>
    <w:p w14:paraId="3182FE95" w14:textId="07A694A6" w:rsidR="004C24C2" w:rsidRPr="00156FC4" w:rsidRDefault="00156FC4" w:rsidP="005D3747">
      <w:pPr>
        <w:rPr>
          <w:rFonts w:eastAsia="Times New Roman" w:cstheme="minorHAnsi"/>
          <w:b/>
          <w:i/>
          <w:caps/>
          <w:color w:val="000000"/>
          <w:spacing w:val="-3"/>
          <w:sz w:val="26"/>
          <w:szCs w:val="26"/>
        </w:rPr>
      </w:pPr>
      <w:r w:rsidRPr="00156FC4">
        <w:rPr>
          <w:rFonts w:eastAsia="Times New Roman" w:cstheme="minorHAnsi"/>
          <w:b/>
          <w:i/>
          <w:color w:val="000000"/>
          <w:spacing w:val="-3"/>
          <w:sz w:val="26"/>
          <w:szCs w:val="26"/>
        </w:rPr>
        <w:lastRenderedPageBreak/>
        <w:t>UNIVERSITY OF MAINE SYSTEM</w:t>
      </w:r>
    </w:p>
    <w:p w14:paraId="096D5793" w14:textId="6D98B55C" w:rsidR="004C24C2" w:rsidRPr="00156FC4" w:rsidRDefault="00156FC4" w:rsidP="004C24C2">
      <w:pPr>
        <w:pStyle w:val="AFR2"/>
        <w:pBdr>
          <w:bottom w:val="none" w:sz="0" w:space="0" w:color="auto"/>
        </w:pBdr>
        <w:spacing w:before="0" w:after="0"/>
        <w:rPr>
          <w:rFonts w:eastAsia="Times New Roman" w:cstheme="minorHAnsi"/>
          <w:iCs w:val="0"/>
          <w:smallCaps w:val="0"/>
          <w:sz w:val="26"/>
          <w:szCs w:val="26"/>
        </w:rPr>
      </w:pPr>
      <w:bookmarkStart w:id="0" w:name="BOT_STAFF"/>
      <w:r w:rsidRPr="00156FC4">
        <w:rPr>
          <w:rFonts w:eastAsia="Times New Roman" w:cstheme="minorHAnsi"/>
          <w:iCs w:val="0"/>
          <w:smallCaps w:val="0"/>
          <w:sz w:val="26"/>
          <w:szCs w:val="26"/>
        </w:rPr>
        <w:t>BOARD OF TRUSTEES AND MANAGEMENT</w:t>
      </w:r>
    </w:p>
    <w:bookmarkEnd w:id="0"/>
    <w:p w14:paraId="42C553C8" w14:textId="1DF3F8D3" w:rsidR="004C24C2" w:rsidRPr="00156FC4" w:rsidRDefault="00156FC4" w:rsidP="00BB3273">
      <w:pPr>
        <w:pStyle w:val="AFR1"/>
        <w:pBdr>
          <w:bottom w:val="single" w:sz="18" w:space="1" w:color="000000" w:themeColor="text1"/>
        </w:pBdr>
        <w:rPr>
          <w:rFonts w:asciiTheme="minorHAnsi" w:hAnsiTheme="minorHAnsi" w:cstheme="minorHAnsi"/>
          <w:szCs w:val="26"/>
        </w:rPr>
        <w:sectPr w:rsidR="004C24C2" w:rsidRPr="00156FC4" w:rsidSect="00DC059D">
          <w:headerReference w:type="default" r:id="rId15"/>
          <w:footerReference w:type="default" r:id="rId16"/>
          <w:headerReference w:type="first" r:id="rId17"/>
          <w:footerReference w:type="first" r:id="rId18"/>
          <w:type w:val="nextColumn"/>
          <w:pgSz w:w="12240" w:h="15840" w:code="1"/>
          <w:pgMar w:top="1440" w:right="1152" w:bottom="1440" w:left="1152" w:header="720" w:footer="720" w:gutter="0"/>
          <w:cols w:space="0"/>
          <w:titlePg/>
          <w:docGrid w:linePitch="360"/>
        </w:sectPr>
      </w:pPr>
      <w:r w:rsidRPr="00156FC4">
        <w:rPr>
          <w:rFonts w:asciiTheme="minorHAnsi" w:hAnsiTheme="minorHAnsi" w:cstheme="minorHAnsi"/>
          <w:caps w:val="0"/>
          <w:szCs w:val="26"/>
        </w:rPr>
        <w:t>AS OF JUNE 30, 202</w:t>
      </w:r>
      <w:r w:rsidR="00E971B5">
        <w:rPr>
          <w:rFonts w:asciiTheme="minorHAnsi" w:hAnsiTheme="minorHAnsi" w:cstheme="minorHAnsi"/>
          <w:caps w:val="0"/>
          <w:szCs w:val="26"/>
        </w:rPr>
        <w:t>5</w:t>
      </w:r>
    </w:p>
    <w:p w14:paraId="272BEE08" w14:textId="2F5BD129" w:rsidR="004C24C2" w:rsidRPr="00C50CFD" w:rsidRDefault="00C50CFD" w:rsidP="00C50CFD">
      <w:pPr>
        <w:pStyle w:val="Heading1"/>
      </w:pPr>
      <w:r w:rsidRPr="00C50CFD">
        <w:t xml:space="preserve">Board </w:t>
      </w:r>
      <w:r>
        <w:t>o</w:t>
      </w:r>
      <w:r w:rsidRPr="00C50CFD">
        <w:t>f Trustees:</w:t>
      </w:r>
    </w:p>
    <w:p w14:paraId="5B578298" w14:textId="77777777" w:rsidR="004C24C2" w:rsidRPr="004E6649" w:rsidRDefault="004C24C2" w:rsidP="004C24C2">
      <w:pPr>
        <w:spacing w:line="259" w:lineRule="auto"/>
        <w:ind w:left="180"/>
        <w:rPr>
          <w:rFonts w:eastAsia="Calibri" w:cstheme="minorHAnsi"/>
          <w:sz w:val="20"/>
          <w:szCs w:val="20"/>
        </w:rPr>
      </w:pPr>
      <w:r w:rsidRPr="004E6649">
        <w:rPr>
          <w:rFonts w:eastAsia="Calibri" w:cstheme="minorHAnsi"/>
          <w:sz w:val="20"/>
          <w:szCs w:val="20"/>
        </w:rPr>
        <w:t>Barbara R. Alexander</w:t>
      </w:r>
    </w:p>
    <w:p w14:paraId="6E6AF3B2" w14:textId="21CBB538" w:rsidR="006E1549" w:rsidRDefault="006E1549" w:rsidP="004C24C2">
      <w:pPr>
        <w:spacing w:line="259" w:lineRule="auto"/>
        <w:ind w:left="180"/>
        <w:rPr>
          <w:rFonts w:eastAsia="Calibri" w:cstheme="minorHAnsi"/>
          <w:sz w:val="20"/>
          <w:szCs w:val="20"/>
        </w:rPr>
      </w:pPr>
      <w:r>
        <w:rPr>
          <w:rFonts w:eastAsia="Calibri" w:cstheme="minorHAnsi"/>
          <w:sz w:val="20"/>
          <w:szCs w:val="20"/>
        </w:rPr>
        <w:t>Elise Baldacci</w:t>
      </w:r>
    </w:p>
    <w:p w14:paraId="4739EB51" w14:textId="2FF1E856" w:rsidR="004C24C2" w:rsidRPr="004E6649" w:rsidRDefault="004C24C2" w:rsidP="004C24C2">
      <w:pPr>
        <w:spacing w:line="259" w:lineRule="auto"/>
        <w:ind w:left="180"/>
        <w:rPr>
          <w:rFonts w:eastAsia="Calibri" w:cstheme="minorHAnsi"/>
          <w:sz w:val="20"/>
          <w:szCs w:val="20"/>
        </w:rPr>
      </w:pPr>
      <w:r w:rsidRPr="004E6649">
        <w:rPr>
          <w:rFonts w:eastAsia="Calibri" w:cstheme="minorHAnsi"/>
          <w:sz w:val="20"/>
          <w:szCs w:val="20"/>
        </w:rPr>
        <w:t>Emily A. Cain</w:t>
      </w:r>
    </w:p>
    <w:p w14:paraId="2DDC60ED" w14:textId="5F0015E1" w:rsidR="004C24C2" w:rsidRPr="004E6649" w:rsidRDefault="004C24C2" w:rsidP="004C24C2">
      <w:pPr>
        <w:spacing w:line="259" w:lineRule="auto"/>
        <w:ind w:left="180"/>
        <w:rPr>
          <w:rFonts w:eastAsia="Calibri" w:cstheme="minorHAnsi"/>
          <w:sz w:val="20"/>
          <w:szCs w:val="20"/>
        </w:rPr>
      </w:pPr>
      <w:r w:rsidRPr="004E6649">
        <w:rPr>
          <w:rFonts w:eastAsia="Calibri" w:cstheme="minorHAnsi"/>
          <w:sz w:val="20"/>
          <w:szCs w:val="20"/>
        </w:rPr>
        <w:t>Lisa Marchese Eames</w:t>
      </w:r>
    </w:p>
    <w:p w14:paraId="7A7F36E4" w14:textId="4872F86E" w:rsidR="004C24C2" w:rsidRDefault="006E1549" w:rsidP="004C24C2">
      <w:pPr>
        <w:spacing w:line="259" w:lineRule="auto"/>
        <w:ind w:left="180"/>
        <w:rPr>
          <w:rFonts w:eastAsia="Calibri" w:cstheme="minorHAnsi"/>
          <w:sz w:val="20"/>
          <w:szCs w:val="20"/>
        </w:rPr>
      </w:pPr>
      <w:r>
        <w:rPr>
          <w:rFonts w:eastAsia="Calibri" w:cstheme="minorHAnsi"/>
          <w:sz w:val="20"/>
          <w:szCs w:val="20"/>
        </w:rPr>
        <w:t>Heather Finnemore Johnson</w:t>
      </w:r>
    </w:p>
    <w:p w14:paraId="4DBF1C9D" w14:textId="2900C108" w:rsidR="006E1549" w:rsidRDefault="006E1549" w:rsidP="004C24C2">
      <w:pPr>
        <w:spacing w:line="259" w:lineRule="auto"/>
        <w:ind w:left="180"/>
        <w:rPr>
          <w:rFonts w:eastAsia="Calibri" w:cstheme="minorHAnsi"/>
          <w:sz w:val="20"/>
          <w:szCs w:val="20"/>
        </w:rPr>
      </w:pPr>
      <w:r>
        <w:rPr>
          <w:rFonts w:eastAsia="Calibri" w:cstheme="minorHAnsi"/>
          <w:sz w:val="20"/>
          <w:szCs w:val="20"/>
        </w:rPr>
        <w:t>Patrick Flood</w:t>
      </w:r>
    </w:p>
    <w:p w14:paraId="74905613" w14:textId="4197BF3F" w:rsidR="006E1549" w:rsidRPr="004E6649" w:rsidRDefault="006E1549" w:rsidP="004C24C2">
      <w:pPr>
        <w:spacing w:line="259" w:lineRule="auto"/>
        <w:ind w:left="180"/>
        <w:rPr>
          <w:rFonts w:eastAsia="Calibri" w:cstheme="minorHAnsi"/>
          <w:sz w:val="20"/>
          <w:szCs w:val="20"/>
        </w:rPr>
      </w:pPr>
      <w:r>
        <w:rPr>
          <w:rFonts w:eastAsia="Calibri" w:cstheme="minorHAnsi"/>
          <w:sz w:val="20"/>
          <w:szCs w:val="20"/>
        </w:rPr>
        <w:t>Philip Hussey</w:t>
      </w:r>
    </w:p>
    <w:p w14:paraId="7D69BE03" w14:textId="77777777" w:rsidR="004C24C2" w:rsidRPr="004E6649" w:rsidRDefault="004C24C2" w:rsidP="004C24C2">
      <w:pPr>
        <w:spacing w:line="259" w:lineRule="auto"/>
        <w:ind w:left="180"/>
        <w:rPr>
          <w:rFonts w:eastAsia="Calibri" w:cstheme="minorHAnsi"/>
          <w:sz w:val="20"/>
          <w:szCs w:val="20"/>
        </w:rPr>
      </w:pPr>
      <w:r w:rsidRPr="004E6649">
        <w:rPr>
          <w:rFonts w:eastAsia="Calibri" w:cstheme="minorHAnsi"/>
          <w:sz w:val="20"/>
          <w:szCs w:val="20"/>
        </w:rPr>
        <w:t>Roger J. Katz</w:t>
      </w:r>
    </w:p>
    <w:p w14:paraId="39D77E4E" w14:textId="77777777" w:rsidR="004C24C2" w:rsidRPr="004E6649" w:rsidRDefault="004C24C2" w:rsidP="004C24C2">
      <w:pPr>
        <w:spacing w:line="259" w:lineRule="auto"/>
        <w:ind w:left="180"/>
        <w:rPr>
          <w:rFonts w:eastAsia="Calibri" w:cstheme="minorHAnsi"/>
          <w:sz w:val="20"/>
          <w:szCs w:val="20"/>
        </w:rPr>
      </w:pPr>
      <w:r w:rsidRPr="004E6649">
        <w:rPr>
          <w:rFonts w:eastAsia="Calibri" w:cstheme="minorHAnsi"/>
          <w:sz w:val="20"/>
          <w:szCs w:val="20"/>
        </w:rPr>
        <w:t>Donna M. Loring</w:t>
      </w:r>
    </w:p>
    <w:p w14:paraId="1B153AD3" w14:textId="77777777" w:rsidR="004C24C2" w:rsidRPr="004E6649" w:rsidRDefault="004C24C2" w:rsidP="004C24C2">
      <w:pPr>
        <w:spacing w:line="259" w:lineRule="auto"/>
        <w:ind w:left="180"/>
        <w:rPr>
          <w:rFonts w:eastAsia="Calibri" w:cstheme="minorHAnsi"/>
          <w:sz w:val="20"/>
          <w:szCs w:val="20"/>
        </w:rPr>
      </w:pPr>
      <w:r w:rsidRPr="004E6649">
        <w:rPr>
          <w:rFonts w:eastAsia="Calibri" w:cstheme="minorHAnsi"/>
          <w:sz w:val="20"/>
          <w:szCs w:val="20"/>
        </w:rPr>
        <w:t xml:space="preserve">David M. MacMahon </w:t>
      </w:r>
    </w:p>
    <w:p w14:paraId="187E64E1" w14:textId="77777777" w:rsidR="004C24C2" w:rsidRPr="004E6649" w:rsidRDefault="004C24C2" w:rsidP="004C24C2">
      <w:pPr>
        <w:spacing w:line="259" w:lineRule="auto"/>
        <w:ind w:left="180"/>
        <w:rPr>
          <w:rFonts w:eastAsia="Calibri" w:cstheme="minorHAnsi"/>
          <w:sz w:val="20"/>
          <w:szCs w:val="20"/>
        </w:rPr>
      </w:pPr>
      <w:r w:rsidRPr="004E6649">
        <w:rPr>
          <w:rFonts w:eastAsia="Calibri" w:cstheme="minorHAnsi"/>
          <w:sz w:val="20"/>
          <w:szCs w:val="20"/>
        </w:rPr>
        <w:t>Kelly A. Martin</w:t>
      </w:r>
    </w:p>
    <w:p w14:paraId="095CAAB2" w14:textId="77777777" w:rsidR="004C24C2" w:rsidRPr="004E6649" w:rsidRDefault="004C24C2" w:rsidP="004C24C2">
      <w:pPr>
        <w:spacing w:line="259" w:lineRule="auto"/>
        <w:ind w:left="180"/>
        <w:rPr>
          <w:rFonts w:eastAsia="Calibri" w:cstheme="minorHAnsi"/>
          <w:sz w:val="20"/>
          <w:szCs w:val="20"/>
        </w:rPr>
      </w:pPr>
      <w:r w:rsidRPr="004E6649">
        <w:rPr>
          <w:rFonts w:eastAsia="Calibri" w:cstheme="minorHAnsi"/>
          <w:sz w:val="20"/>
          <w:szCs w:val="20"/>
        </w:rPr>
        <w:t xml:space="preserve">Michael H. Michaud </w:t>
      </w:r>
    </w:p>
    <w:p w14:paraId="430D1A46" w14:textId="2ADE5D22" w:rsidR="004C24C2" w:rsidRPr="004E6649" w:rsidRDefault="004C24C2" w:rsidP="004C24C2">
      <w:pPr>
        <w:spacing w:line="259" w:lineRule="auto"/>
        <w:ind w:left="180"/>
        <w:rPr>
          <w:rFonts w:eastAsia="Calibri" w:cstheme="minorHAnsi"/>
          <w:sz w:val="20"/>
          <w:szCs w:val="20"/>
        </w:rPr>
      </w:pPr>
      <w:r w:rsidRPr="004E6649">
        <w:rPr>
          <w:rFonts w:eastAsia="Calibri" w:cstheme="minorHAnsi"/>
          <w:sz w:val="20"/>
          <w:szCs w:val="20"/>
        </w:rPr>
        <w:t>John Moore</w:t>
      </w:r>
      <w:r w:rsidR="00FD2C85">
        <w:rPr>
          <w:rFonts w:eastAsia="Calibri" w:cstheme="minorHAnsi"/>
          <w:sz w:val="20"/>
          <w:szCs w:val="20"/>
        </w:rPr>
        <w:t>, Jr.</w:t>
      </w:r>
    </w:p>
    <w:p w14:paraId="1F53809F" w14:textId="699894CF" w:rsidR="004C24C2" w:rsidRPr="00FD2C85" w:rsidRDefault="004C24C2" w:rsidP="00FD2C85">
      <w:pPr>
        <w:spacing w:line="259" w:lineRule="auto"/>
        <w:ind w:left="180"/>
        <w:rPr>
          <w:rFonts w:eastAsia="Calibri" w:cstheme="minorHAnsi"/>
          <w:i/>
          <w:sz w:val="20"/>
          <w:szCs w:val="20"/>
        </w:rPr>
      </w:pPr>
      <w:r w:rsidRPr="004E6649">
        <w:rPr>
          <w:rFonts w:eastAsia="Calibri" w:cstheme="minorHAnsi"/>
          <w:sz w:val="20"/>
          <w:szCs w:val="20"/>
        </w:rPr>
        <w:t xml:space="preserve">Patricia (Trish) A. Riley, </w:t>
      </w:r>
      <w:r w:rsidRPr="004E6649">
        <w:rPr>
          <w:rFonts w:eastAsia="Calibri" w:cstheme="minorHAnsi"/>
          <w:i/>
          <w:sz w:val="20"/>
          <w:szCs w:val="20"/>
        </w:rPr>
        <w:t>Chair</w:t>
      </w:r>
    </w:p>
    <w:p w14:paraId="617A2103" w14:textId="77777777" w:rsidR="004C24C2" w:rsidRPr="004E6649" w:rsidRDefault="004C24C2" w:rsidP="004C24C2">
      <w:pPr>
        <w:spacing w:line="259" w:lineRule="auto"/>
        <w:ind w:left="180"/>
        <w:rPr>
          <w:rFonts w:eastAsia="Calibri" w:cstheme="minorHAnsi"/>
          <w:i/>
          <w:sz w:val="20"/>
          <w:szCs w:val="20"/>
        </w:rPr>
      </w:pPr>
      <w:r w:rsidRPr="004E6649">
        <w:rPr>
          <w:rFonts w:eastAsia="Calibri" w:cstheme="minorHAnsi"/>
          <w:sz w:val="20"/>
          <w:szCs w:val="20"/>
        </w:rPr>
        <w:t xml:space="preserve">A. Pender Makin, </w:t>
      </w:r>
      <w:r w:rsidRPr="004E6649">
        <w:rPr>
          <w:rFonts w:eastAsia="Calibri" w:cstheme="minorHAnsi"/>
          <w:i/>
          <w:sz w:val="20"/>
          <w:szCs w:val="20"/>
        </w:rPr>
        <w:t>ex officio</w:t>
      </w:r>
    </w:p>
    <w:p w14:paraId="25515459" w14:textId="005BEEB7" w:rsidR="004C24C2" w:rsidRPr="004E6649" w:rsidRDefault="00C50CFD" w:rsidP="00C50CFD">
      <w:pPr>
        <w:pStyle w:val="Heading1"/>
      </w:pPr>
      <w:r w:rsidRPr="004E6649">
        <w:t>Chancellor:</w:t>
      </w:r>
    </w:p>
    <w:p w14:paraId="3C1D8F28" w14:textId="77777777" w:rsidR="004C24C2" w:rsidRPr="004E6649" w:rsidRDefault="004C24C2" w:rsidP="004C24C2">
      <w:pPr>
        <w:spacing w:line="259" w:lineRule="auto"/>
        <w:ind w:left="180"/>
        <w:rPr>
          <w:rFonts w:eastAsia="Calibri" w:cstheme="minorHAnsi"/>
          <w:sz w:val="20"/>
          <w:szCs w:val="20"/>
        </w:rPr>
      </w:pPr>
      <w:r w:rsidRPr="004E6649">
        <w:rPr>
          <w:rFonts w:eastAsia="Calibri" w:cstheme="minorHAnsi"/>
          <w:szCs w:val="20"/>
        </w:rPr>
        <w:t>Dannel P. Malloy</w:t>
      </w:r>
    </w:p>
    <w:p w14:paraId="5509CD8B" w14:textId="5C94AB50" w:rsidR="004C24C2" w:rsidRPr="004E6649" w:rsidRDefault="00C50CFD" w:rsidP="00C50CFD">
      <w:pPr>
        <w:pStyle w:val="Heading1"/>
      </w:pPr>
      <w:r w:rsidRPr="004E6649">
        <w:t xml:space="preserve">University </w:t>
      </w:r>
      <w:r w:rsidR="00F57B11">
        <w:t xml:space="preserve">and </w:t>
      </w:r>
      <w:r w:rsidRPr="004E6649">
        <w:t xml:space="preserve">School </w:t>
      </w:r>
      <w:r>
        <w:t>o</w:t>
      </w:r>
      <w:r w:rsidRPr="004E6649">
        <w:t xml:space="preserve">f Law </w:t>
      </w:r>
      <w:r w:rsidR="00F57B11">
        <w:t>Presidents</w:t>
      </w:r>
      <w:r w:rsidRPr="004E6649">
        <w:t>:</w:t>
      </w:r>
    </w:p>
    <w:p w14:paraId="741F296E" w14:textId="77777777" w:rsidR="004C24C2" w:rsidRPr="004E6649" w:rsidRDefault="004C24C2" w:rsidP="004C24C2">
      <w:pPr>
        <w:spacing w:line="259" w:lineRule="auto"/>
        <w:ind w:left="180"/>
        <w:rPr>
          <w:rFonts w:eastAsia="Calibri" w:cstheme="minorHAnsi"/>
          <w:b/>
          <w:sz w:val="20"/>
          <w:szCs w:val="20"/>
        </w:rPr>
      </w:pPr>
      <w:r w:rsidRPr="004E6649">
        <w:rPr>
          <w:rFonts w:eastAsia="Calibri" w:cstheme="minorHAnsi"/>
          <w:b/>
          <w:sz w:val="20"/>
          <w:szCs w:val="20"/>
        </w:rPr>
        <w:t>Joan Ferrini-Mundy</w:t>
      </w:r>
    </w:p>
    <w:p w14:paraId="6A855C4A" w14:textId="77777777" w:rsidR="004C24C2" w:rsidRPr="004E6649" w:rsidRDefault="004C24C2" w:rsidP="004C24C2">
      <w:pPr>
        <w:spacing w:line="259" w:lineRule="auto"/>
        <w:ind w:left="180"/>
        <w:rPr>
          <w:rFonts w:eastAsia="Calibri" w:cstheme="minorHAnsi"/>
          <w:i/>
          <w:sz w:val="20"/>
          <w:szCs w:val="20"/>
        </w:rPr>
      </w:pPr>
      <w:r w:rsidRPr="004E6649">
        <w:rPr>
          <w:rFonts w:eastAsia="Calibri" w:cstheme="minorHAnsi"/>
          <w:i/>
          <w:sz w:val="20"/>
          <w:szCs w:val="20"/>
        </w:rPr>
        <w:t xml:space="preserve">University of Maine and </w:t>
      </w:r>
    </w:p>
    <w:p w14:paraId="1932827D" w14:textId="77777777" w:rsidR="004C24C2" w:rsidRPr="004E6649" w:rsidRDefault="004C24C2" w:rsidP="004C24C2">
      <w:pPr>
        <w:spacing w:line="259" w:lineRule="auto"/>
        <w:ind w:left="180"/>
        <w:rPr>
          <w:rFonts w:eastAsia="Calibri" w:cstheme="minorHAnsi"/>
          <w:i/>
          <w:sz w:val="20"/>
          <w:szCs w:val="20"/>
        </w:rPr>
      </w:pPr>
      <w:r w:rsidRPr="004E6649">
        <w:rPr>
          <w:rFonts w:eastAsia="Calibri" w:cstheme="minorHAnsi"/>
          <w:i/>
          <w:sz w:val="20"/>
          <w:szCs w:val="20"/>
        </w:rPr>
        <w:t>University of Maine at Machias</w:t>
      </w:r>
    </w:p>
    <w:p w14:paraId="41C4B5B3" w14:textId="4D51E61C" w:rsidR="004C24C2" w:rsidRPr="004E6649" w:rsidRDefault="00FD2C85" w:rsidP="004C24C2">
      <w:pPr>
        <w:spacing w:before="20" w:line="259" w:lineRule="auto"/>
        <w:ind w:left="180"/>
        <w:rPr>
          <w:rFonts w:eastAsia="Calibri" w:cstheme="minorHAnsi"/>
          <w:b/>
          <w:sz w:val="20"/>
          <w:szCs w:val="20"/>
        </w:rPr>
      </w:pPr>
      <w:r>
        <w:rPr>
          <w:rFonts w:eastAsia="Calibri" w:cstheme="minorHAnsi"/>
          <w:b/>
          <w:sz w:val="20"/>
          <w:szCs w:val="20"/>
        </w:rPr>
        <w:t>Jen</w:t>
      </w:r>
      <w:r w:rsidR="00F57B11">
        <w:rPr>
          <w:rFonts w:eastAsia="Calibri" w:cstheme="minorHAnsi"/>
          <w:b/>
          <w:sz w:val="20"/>
          <w:szCs w:val="20"/>
        </w:rPr>
        <w:t>ifer</w:t>
      </w:r>
      <w:r>
        <w:rPr>
          <w:rFonts w:eastAsia="Calibri" w:cstheme="minorHAnsi"/>
          <w:b/>
          <w:sz w:val="20"/>
          <w:szCs w:val="20"/>
        </w:rPr>
        <w:t xml:space="preserve"> Cushman</w:t>
      </w:r>
    </w:p>
    <w:p w14:paraId="327B6806" w14:textId="77777777" w:rsidR="004C24C2" w:rsidRPr="004E6649" w:rsidRDefault="004C24C2" w:rsidP="004C24C2">
      <w:pPr>
        <w:spacing w:line="259" w:lineRule="auto"/>
        <w:ind w:left="180"/>
        <w:rPr>
          <w:rFonts w:eastAsia="Calibri" w:cstheme="minorHAnsi"/>
          <w:sz w:val="20"/>
          <w:szCs w:val="20"/>
        </w:rPr>
      </w:pPr>
      <w:r w:rsidRPr="004E6649">
        <w:rPr>
          <w:rFonts w:eastAsia="Calibri" w:cstheme="minorHAnsi"/>
          <w:i/>
          <w:sz w:val="20"/>
          <w:szCs w:val="20"/>
        </w:rPr>
        <w:t>University of Maine at Augu</w:t>
      </w:r>
      <w:r w:rsidRPr="004E6649">
        <w:rPr>
          <w:rFonts w:eastAsia="Calibri" w:cstheme="minorHAnsi"/>
          <w:sz w:val="20"/>
          <w:szCs w:val="20"/>
        </w:rPr>
        <w:t>s</w:t>
      </w:r>
      <w:r w:rsidRPr="004E6649">
        <w:rPr>
          <w:rFonts w:eastAsia="Calibri" w:cstheme="minorHAnsi"/>
          <w:i/>
          <w:sz w:val="20"/>
          <w:szCs w:val="20"/>
        </w:rPr>
        <w:t>ta</w:t>
      </w:r>
    </w:p>
    <w:p w14:paraId="43527968" w14:textId="77777777" w:rsidR="004C24C2" w:rsidRPr="004E6649" w:rsidRDefault="004C24C2" w:rsidP="004C24C2">
      <w:pPr>
        <w:spacing w:before="20" w:line="259" w:lineRule="auto"/>
        <w:ind w:left="180"/>
        <w:rPr>
          <w:rFonts w:eastAsia="Calibri" w:cstheme="minorHAnsi"/>
          <w:b/>
          <w:sz w:val="20"/>
          <w:szCs w:val="20"/>
        </w:rPr>
      </w:pPr>
      <w:r w:rsidRPr="004E6649">
        <w:rPr>
          <w:rFonts w:eastAsia="Calibri" w:cstheme="minorHAnsi"/>
          <w:b/>
          <w:sz w:val="20"/>
          <w:szCs w:val="20"/>
        </w:rPr>
        <w:t>Joseph McDonnell</w:t>
      </w:r>
    </w:p>
    <w:p w14:paraId="4E0872B5" w14:textId="77777777" w:rsidR="004C24C2" w:rsidRPr="004E6649" w:rsidRDefault="004C24C2" w:rsidP="004C24C2">
      <w:pPr>
        <w:spacing w:line="259" w:lineRule="auto"/>
        <w:ind w:left="180"/>
        <w:rPr>
          <w:rFonts w:eastAsia="Calibri" w:cstheme="minorHAnsi"/>
          <w:i/>
          <w:sz w:val="20"/>
          <w:szCs w:val="20"/>
        </w:rPr>
      </w:pPr>
      <w:r w:rsidRPr="004E6649">
        <w:rPr>
          <w:rFonts w:eastAsia="Calibri" w:cstheme="minorHAnsi"/>
          <w:i/>
          <w:sz w:val="20"/>
          <w:szCs w:val="20"/>
        </w:rPr>
        <w:t>University of Maine at Farmington</w:t>
      </w:r>
    </w:p>
    <w:p w14:paraId="3525611F" w14:textId="77777777" w:rsidR="004C24C2" w:rsidRPr="004E6649" w:rsidRDefault="004C24C2" w:rsidP="004C24C2">
      <w:pPr>
        <w:spacing w:before="20" w:line="259" w:lineRule="auto"/>
        <w:ind w:left="180"/>
        <w:rPr>
          <w:rFonts w:eastAsia="Calibri" w:cstheme="minorHAnsi"/>
          <w:b/>
          <w:sz w:val="20"/>
          <w:szCs w:val="20"/>
        </w:rPr>
      </w:pPr>
      <w:r w:rsidRPr="004E6649">
        <w:rPr>
          <w:rFonts w:eastAsia="Calibri" w:cstheme="minorHAnsi"/>
          <w:b/>
          <w:sz w:val="20"/>
          <w:szCs w:val="20"/>
        </w:rPr>
        <w:t>Deborah Hedeen</w:t>
      </w:r>
    </w:p>
    <w:p w14:paraId="760BB428" w14:textId="77777777" w:rsidR="004C24C2" w:rsidRPr="004E6649" w:rsidRDefault="004C24C2" w:rsidP="004C24C2">
      <w:pPr>
        <w:spacing w:line="259" w:lineRule="auto"/>
        <w:ind w:left="180"/>
        <w:rPr>
          <w:rFonts w:eastAsia="Calibri" w:cstheme="minorHAnsi"/>
          <w:i/>
          <w:sz w:val="20"/>
          <w:szCs w:val="20"/>
        </w:rPr>
      </w:pPr>
      <w:r w:rsidRPr="004E6649">
        <w:rPr>
          <w:rFonts w:eastAsia="Calibri" w:cstheme="minorHAnsi"/>
          <w:i/>
          <w:sz w:val="20"/>
          <w:szCs w:val="20"/>
        </w:rPr>
        <w:t>University of Maine at Fort Kent</w:t>
      </w:r>
    </w:p>
    <w:p w14:paraId="3A0B50D4" w14:textId="4205395F" w:rsidR="004C24C2" w:rsidRPr="004E6649" w:rsidRDefault="004C24C2" w:rsidP="004C24C2">
      <w:pPr>
        <w:spacing w:before="20" w:line="259" w:lineRule="auto"/>
        <w:ind w:left="180"/>
        <w:rPr>
          <w:rFonts w:eastAsia="Calibri" w:cstheme="minorHAnsi"/>
          <w:sz w:val="20"/>
          <w:szCs w:val="20"/>
        </w:rPr>
      </w:pPr>
      <w:r w:rsidRPr="004E6649">
        <w:rPr>
          <w:rFonts w:eastAsia="Calibri" w:cstheme="minorHAnsi"/>
          <w:b/>
          <w:sz w:val="20"/>
          <w:szCs w:val="20"/>
        </w:rPr>
        <w:t>Raymond Rice</w:t>
      </w:r>
    </w:p>
    <w:p w14:paraId="5F2896E0" w14:textId="77777777" w:rsidR="004C24C2" w:rsidRPr="004E6649" w:rsidRDefault="004C24C2" w:rsidP="004C24C2">
      <w:pPr>
        <w:spacing w:line="259" w:lineRule="auto"/>
        <w:ind w:left="180"/>
        <w:rPr>
          <w:rFonts w:eastAsia="Calibri" w:cstheme="minorHAnsi"/>
          <w:i/>
          <w:sz w:val="20"/>
          <w:szCs w:val="20"/>
        </w:rPr>
      </w:pPr>
      <w:r w:rsidRPr="004E6649">
        <w:rPr>
          <w:rFonts w:eastAsia="Calibri" w:cstheme="minorHAnsi"/>
          <w:i/>
          <w:sz w:val="20"/>
          <w:szCs w:val="20"/>
        </w:rPr>
        <w:t>University of Maine at Presque Isle</w:t>
      </w:r>
    </w:p>
    <w:p w14:paraId="3331029E" w14:textId="77777777" w:rsidR="004C24C2" w:rsidRPr="004E6649" w:rsidRDefault="004C24C2" w:rsidP="004C24C2">
      <w:pPr>
        <w:spacing w:before="20" w:line="259" w:lineRule="auto"/>
        <w:ind w:left="180"/>
        <w:rPr>
          <w:rFonts w:eastAsia="Calibri" w:cstheme="minorHAnsi"/>
          <w:b/>
          <w:sz w:val="20"/>
          <w:szCs w:val="20"/>
        </w:rPr>
      </w:pPr>
      <w:r w:rsidRPr="004E6649">
        <w:rPr>
          <w:rFonts w:eastAsia="Calibri" w:cstheme="minorHAnsi"/>
          <w:b/>
          <w:sz w:val="20"/>
          <w:szCs w:val="20"/>
        </w:rPr>
        <w:t>Jacqueline Edmondson</w:t>
      </w:r>
    </w:p>
    <w:p w14:paraId="7A3E28CF" w14:textId="77777777" w:rsidR="004C24C2" w:rsidRPr="004E6649" w:rsidRDefault="004C24C2" w:rsidP="004C24C2">
      <w:pPr>
        <w:spacing w:line="259" w:lineRule="auto"/>
        <w:ind w:left="180"/>
        <w:rPr>
          <w:rFonts w:eastAsia="Calibri" w:cstheme="minorHAnsi"/>
          <w:i/>
          <w:sz w:val="20"/>
          <w:szCs w:val="20"/>
        </w:rPr>
      </w:pPr>
      <w:r w:rsidRPr="004E6649">
        <w:rPr>
          <w:rFonts w:eastAsia="Calibri" w:cstheme="minorHAnsi"/>
          <w:i/>
          <w:sz w:val="20"/>
          <w:szCs w:val="20"/>
        </w:rPr>
        <w:t>University of Southern Maine</w:t>
      </w:r>
    </w:p>
    <w:p w14:paraId="3DB07CFE" w14:textId="77777777" w:rsidR="004C24C2" w:rsidRPr="004E6649" w:rsidRDefault="004C24C2" w:rsidP="004C24C2">
      <w:pPr>
        <w:spacing w:line="259" w:lineRule="auto"/>
        <w:ind w:left="180"/>
        <w:rPr>
          <w:rFonts w:eastAsia="Calibri" w:cstheme="minorHAnsi"/>
          <w:b/>
          <w:sz w:val="20"/>
          <w:szCs w:val="20"/>
        </w:rPr>
      </w:pPr>
      <w:r w:rsidRPr="004E6649">
        <w:rPr>
          <w:rFonts w:eastAsia="Calibri" w:cstheme="minorHAnsi"/>
          <w:b/>
          <w:sz w:val="20"/>
          <w:szCs w:val="20"/>
        </w:rPr>
        <w:t>Leigh I. Saufley</w:t>
      </w:r>
    </w:p>
    <w:p w14:paraId="36B7F66A" w14:textId="6BFDA8B6" w:rsidR="004C24C2" w:rsidRPr="004E6649" w:rsidRDefault="004C24C2" w:rsidP="00A470B6">
      <w:pPr>
        <w:pBdr>
          <w:bottom w:val="single" w:sz="8" w:space="1" w:color="000000" w:themeColor="text1"/>
        </w:pBdr>
        <w:spacing w:line="259" w:lineRule="auto"/>
        <w:ind w:left="180"/>
        <w:rPr>
          <w:rStyle w:val="AFR1Char"/>
          <w:rFonts w:asciiTheme="minorHAnsi" w:eastAsia="Calibri" w:hAnsiTheme="minorHAnsi" w:cstheme="minorHAnsi"/>
          <w:sz w:val="24"/>
          <w:szCs w:val="32"/>
        </w:rPr>
      </w:pPr>
      <w:r w:rsidRPr="004E6649">
        <w:rPr>
          <w:rFonts w:eastAsia="Calibri" w:cstheme="minorHAnsi"/>
          <w:i/>
          <w:sz w:val="20"/>
          <w:szCs w:val="20"/>
        </w:rPr>
        <w:t>University of Maine School of Law</w:t>
      </w:r>
      <w:r w:rsidRPr="004E6649">
        <w:rPr>
          <w:rFonts w:eastAsia="Calibri" w:cstheme="minorHAnsi"/>
          <w:i/>
          <w:sz w:val="20"/>
          <w:szCs w:val="20"/>
        </w:rPr>
        <w:br w:type="column"/>
      </w:r>
      <w:r w:rsidR="00C50CFD" w:rsidRPr="00C50CFD">
        <w:rPr>
          <w:rStyle w:val="AFR1Char"/>
          <w:rFonts w:asciiTheme="minorHAnsi" w:eastAsiaTheme="minorHAnsi" w:hAnsiTheme="minorHAnsi" w:cstheme="minorHAnsi"/>
          <w:caps w:val="0"/>
          <w:sz w:val="22"/>
          <w:szCs w:val="28"/>
        </w:rPr>
        <w:t xml:space="preserve">Management Support </w:t>
      </w:r>
      <w:r w:rsidR="00C50CFD">
        <w:rPr>
          <w:rStyle w:val="AFR1Char"/>
          <w:rFonts w:asciiTheme="minorHAnsi" w:eastAsiaTheme="minorHAnsi" w:hAnsiTheme="minorHAnsi" w:cstheme="minorHAnsi"/>
          <w:caps w:val="0"/>
          <w:sz w:val="22"/>
          <w:szCs w:val="28"/>
        </w:rPr>
        <w:t>t</w:t>
      </w:r>
      <w:r w:rsidR="00C50CFD" w:rsidRPr="00C50CFD">
        <w:rPr>
          <w:rStyle w:val="AFR1Char"/>
          <w:rFonts w:asciiTheme="minorHAnsi" w:eastAsiaTheme="minorHAnsi" w:hAnsiTheme="minorHAnsi" w:cstheme="minorHAnsi"/>
          <w:caps w:val="0"/>
          <w:sz w:val="22"/>
          <w:szCs w:val="28"/>
        </w:rPr>
        <w:t xml:space="preserve">o </w:t>
      </w:r>
      <w:r w:rsidR="00C50CFD">
        <w:rPr>
          <w:rStyle w:val="AFR1Char"/>
          <w:rFonts w:asciiTheme="minorHAnsi" w:eastAsiaTheme="minorHAnsi" w:hAnsiTheme="minorHAnsi" w:cstheme="minorHAnsi"/>
          <w:caps w:val="0"/>
          <w:sz w:val="22"/>
          <w:szCs w:val="28"/>
        </w:rPr>
        <w:t>t</w:t>
      </w:r>
      <w:r w:rsidR="00C50CFD" w:rsidRPr="00C50CFD">
        <w:rPr>
          <w:rStyle w:val="AFR1Char"/>
          <w:rFonts w:asciiTheme="minorHAnsi" w:eastAsiaTheme="minorHAnsi" w:hAnsiTheme="minorHAnsi" w:cstheme="minorHAnsi"/>
          <w:caps w:val="0"/>
          <w:sz w:val="22"/>
          <w:szCs w:val="28"/>
        </w:rPr>
        <w:t xml:space="preserve">he Chancellor </w:t>
      </w:r>
      <w:r w:rsidR="00C50CFD">
        <w:rPr>
          <w:rStyle w:val="AFR1Char"/>
          <w:rFonts w:asciiTheme="minorHAnsi" w:eastAsiaTheme="minorHAnsi" w:hAnsiTheme="minorHAnsi" w:cstheme="minorHAnsi"/>
          <w:caps w:val="0"/>
          <w:sz w:val="22"/>
          <w:szCs w:val="28"/>
        </w:rPr>
        <w:t>a</w:t>
      </w:r>
      <w:r w:rsidR="00C50CFD" w:rsidRPr="00C50CFD">
        <w:rPr>
          <w:rStyle w:val="AFR1Char"/>
          <w:rFonts w:asciiTheme="minorHAnsi" w:eastAsiaTheme="minorHAnsi" w:hAnsiTheme="minorHAnsi" w:cstheme="minorHAnsi"/>
          <w:caps w:val="0"/>
          <w:sz w:val="22"/>
          <w:szCs w:val="28"/>
        </w:rPr>
        <w:t xml:space="preserve">nd Board </w:t>
      </w:r>
      <w:r w:rsidR="00C50CFD">
        <w:rPr>
          <w:rStyle w:val="AFR1Char"/>
          <w:rFonts w:asciiTheme="minorHAnsi" w:eastAsiaTheme="minorHAnsi" w:hAnsiTheme="minorHAnsi" w:cstheme="minorHAnsi"/>
          <w:caps w:val="0"/>
          <w:sz w:val="22"/>
          <w:szCs w:val="28"/>
        </w:rPr>
        <w:t>o</w:t>
      </w:r>
      <w:r w:rsidR="00C50CFD" w:rsidRPr="00C50CFD">
        <w:rPr>
          <w:rStyle w:val="AFR1Char"/>
          <w:rFonts w:asciiTheme="minorHAnsi" w:eastAsiaTheme="minorHAnsi" w:hAnsiTheme="minorHAnsi" w:cstheme="minorHAnsi"/>
          <w:caps w:val="0"/>
          <w:sz w:val="22"/>
          <w:szCs w:val="28"/>
        </w:rPr>
        <w:t>f Trustees:</w:t>
      </w:r>
    </w:p>
    <w:p w14:paraId="4A7507B0" w14:textId="77777777" w:rsidR="004C24C2" w:rsidRPr="00FD2C85" w:rsidRDefault="004C24C2" w:rsidP="004C24C2">
      <w:pPr>
        <w:spacing w:before="20" w:line="259" w:lineRule="auto"/>
        <w:ind w:left="180"/>
        <w:rPr>
          <w:rFonts w:eastAsia="Calibri" w:cstheme="minorHAnsi"/>
          <w:b/>
          <w:color w:val="000000" w:themeColor="text1"/>
          <w:sz w:val="20"/>
          <w:szCs w:val="20"/>
        </w:rPr>
      </w:pPr>
      <w:r w:rsidRPr="00FD2C85">
        <w:rPr>
          <w:rFonts w:eastAsia="Calibri" w:cstheme="minorHAnsi"/>
          <w:b/>
          <w:color w:val="000000" w:themeColor="text1"/>
          <w:sz w:val="20"/>
          <w:szCs w:val="20"/>
        </w:rPr>
        <w:t>Gretchen Catlin</w:t>
      </w:r>
    </w:p>
    <w:p w14:paraId="06B4DA36" w14:textId="77777777" w:rsidR="004C24C2" w:rsidRPr="00FD2C85" w:rsidRDefault="004C24C2" w:rsidP="004C24C2">
      <w:pPr>
        <w:spacing w:line="259" w:lineRule="auto"/>
        <w:ind w:left="180"/>
        <w:rPr>
          <w:rFonts w:eastAsia="Calibri" w:cstheme="minorHAnsi"/>
          <w:i/>
          <w:color w:val="000000" w:themeColor="text1"/>
          <w:sz w:val="20"/>
          <w:szCs w:val="20"/>
        </w:rPr>
      </w:pPr>
      <w:r w:rsidRPr="00FD2C85">
        <w:rPr>
          <w:rFonts w:eastAsia="Calibri" w:cstheme="minorHAnsi"/>
          <w:i/>
          <w:color w:val="000000" w:themeColor="text1"/>
          <w:sz w:val="20"/>
          <w:szCs w:val="20"/>
        </w:rPr>
        <w:t>Chief Facilities and General Services Officer</w:t>
      </w:r>
    </w:p>
    <w:p w14:paraId="7BBEC437" w14:textId="77777777" w:rsidR="004C24C2" w:rsidRPr="004E6649" w:rsidRDefault="004C24C2" w:rsidP="004C24C2">
      <w:pPr>
        <w:spacing w:before="20" w:line="259" w:lineRule="auto"/>
        <w:ind w:left="180"/>
        <w:rPr>
          <w:rFonts w:eastAsia="Calibri" w:cstheme="minorHAnsi"/>
          <w:b/>
          <w:sz w:val="20"/>
          <w:szCs w:val="20"/>
        </w:rPr>
      </w:pPr>
      <w:r w:rsidRPr="004E6649">
        <w:rPr>
          <w:rFonts w:eastAsia="Calibri" w:cstheme="minorHAnsi"/>
          <w:b/>
          <w:sz w:val="20"/>
          <w:szCs w:val="20"/>
        </w:rPr>
        <w:t>Carolyn Dorsey</w:t>
      </w:r>
    </w:p>
    <w:p w14:paraId="607A6FA2" w14:textId="2213750E" w:rsidR="004C24C2" w:rsidRPr="004E6649" w:rsidRDefault="004C24C2" w:rsidP="004C24C2">
      <w:pPr>
        <w:spacing w:line="259" w:lineRule="auto"/>
        <w:ind w:left="180"/>
        <w:rPr>
          <w:rFonts w:eastAsia="Calibri" w:cstheme="minorHAnsi"/>
          <w:i/>
          <w:sz w:val="20"/>
          <w:szCs w:val="20"/>
        </w:rPr>
      </w:pPr>
      <w:r w:rsidRPr="004E6649">
        <w:rPr>
          <w:rFonts w:eastAsia="Calibri" w:cstheme="minorHAnsi"/>
          <w:i/>
          <w:sz w:val="20"/>
          <w:szCs w:val="20"/>
        </w:rPr>
        <w:t>Vice Chancellor for Strategic Initiatives</w:t>
      </w:r>
      <w:r w:rsidR="00FD2C85">
        <w:rPr>
          <w:rFonts w:eastAsia="Calibri" w:cstheme="minorHAnsi"/>
          <w:i/>
          <w:sz w:val="20"/>
          <w:szCs w:val="20"/>
        </w:rPr>
        <w:t>, Chief of Staff to the Chancellor</w:t>
      </w:r>
    </w:p>
    <w:p w14:paraId="54198B38" w14:textId="737286C9" w:rsidR="004C24C2" w:rsidRPr="00FD2C85" w:rsidRDefault="004C24C2" w:rsidP="004C24C2">
      <w:pPr>
        <w:spacing w:before="20" w:line="259" w:lineRule="auto"/>
        <w:ind w:left="180"/>
        <w:rPr>
          <w:rFonts w:eastAsia="Calibri" w:cstheme="minorHAnsi"/>
          <w:b/>
          <w:color w:val="000000" w:themeColor="text1"/>
          <w:sz w:val="20"/>
          <w:szCs w:val="20"/>
        </w:rPr>
      </w:pPr>
      <w:r w:rsidRPr="00FD2C85">
        <w:rPr>
          <w:rFonts w:eastAsia="Calibri" w:cstheme="minorHAnsi"/>
          <w:b/>
          <w:color w:val="000000" w:themeColor="text1"/>
          <w:sz w:val="20"/>
          <w:szCs w:val="20"/>
        </w:rPr>
        <w:t>Tracy Elliott</w:t>
      </w:r>
    </w:p>
    <w:p w14:paraId="72FEB65D" w14:textId="77777777" w:rsidR="004C24C2" w:rsidRPr="00FD2C85" w:rsidRDefault="004C24C2" w:rsidP="004C24C2">
      <w:pPr>
        <w:spacing w:line="259" w:lineRule="auto"/>
        <w:ind w:left="180"/>
        <w:rPr>
          <w:rFonts w:eastAsia="Calibri" w:cstheme="minorHAnsi"/>
          <w:i/>
          <w:color w:val="000000" w:themeColor="text1"/>
          <w:sz w:val="20"/>
          <w:szCs w:val="20"/>
        </w:rPr>
      </w:pPr>
      <w:r w:rsidRPr="00FD2C85">
        <w:rPr>
          <w:rFonts w:eastAsia="Calibri" w:cstheme="minorHAnsi"/>
          <w:i/>
          <w:color w:val="000000" w:themeColor="text1"/>
          <w:sz w:val="20"/>
          <w:szCs w:val="20"/>
        </w:rPr>
        <w:t>Vice President of Finance and Controller</w:t>
      </w:r>
    </w:p>
    <w:p w14:paraId="30A6F184" w14:textId="77777777" w:rsidR="004C24C2" w:rsidRPr="00FD2C85" w:rsidRDefault="004C24C2" w:rsidP="004C24C2">
      <w:pPr>
        <w:spacing w:before="20" w:line="259" w:lineRule="auto"/>
        <w:ind w:left="180"/>
        <w:rPr>
          <w:rFonts w:eastAsia="Calibri" w:cstheme="minorHAnsi"/>
          <w:b/>
          <w:color w:val="000000" w:themeColor="text1"/>
          <w:sz w:val="20"/>
          <w:szCs w:val="20"/>
        </w:rPr>
      </w:pPr>
      <w:r w:rsidRPr="00FD2C85">
        <w:rPr>
          <w:rFonts w:eastAsia="Calibri" w:cstheme="minorHAnsi"/>
          <w:b/>
          <w:color w:val="000000" w:themeColor="text1"/>
          <w:sz w:val="20"/>
          <w:szCs w:val="20"/>
        </w:rPr>
        <w:t>Joan Ferrini-Mundy</w:t>
      </w:r>
    </w:p>
    <w:p w14:paraId="0F8C25CE" w14:textId="77777777" w:rsidR="004C24C2" w:rsidRDefault="004C24C2" w:rsidP="004C24C2">
      <w:pPr>
        <w:spacing w:line="259" w:lineRule="auto"/>
        <w:ind w:left="180"/>
        <w:rPr>
          <w:rFonts w:eastAsia="Calibri" w:cstheme="minorHAnsi"/>
          <w:i/>
          <w:color w:val="000000" w:themeColor="text1"/>
          <w:sz w:val="20"/>
          <w:szCs w:val="20"/>
        </w:rPr>
      </w:pPr>
      <w:r w:rsidRPr="00FD2C85">
        <w:rPr>
          <w:rFonts w:eastAsia="Calibri" w:cstheme="minorHAnsi"/>
          <w:i/>
          <w:color w:val="000000" w:themeColor="text1"/>
          <w:sz w:val="20"/>
          <w:szCs w:val="20"/>
        </w:rPr>
        <w:t>Vice Chancellor for Research and Innovation</w:t>
      </w:r>
    </w:p>
    <w:p w14:paraId="64334D45" w14:textId="574257AD" w:rsidR="00501CAD" w:rsidRPr="008B6B93" w:rsidRDefault="00501CAD" w:rsidP="00163EC6">
      <w:pPr>
        <w:spacing w:before="20" w:line="259" w:lineRule="auto"/>
        <w:ind w:left="180"/>
        <w:rPr>
          <w:rFonts w:eastAsia="Calibri" w:cstheme="minorHAnsi"/>
          <w:b/>
          <w:bCs/>
          <w:iCs/>
          <w:color w:val="000000" w:themeColor="text1"/>
          <w:sz w:val="20"/>
          <w:szCs w:val="20"/>
        </w:rPr>
      </w:pPr>
      <w:r w:rsidRPr="00501CAD">
        <w:rPr>
          <w:rFonts w:eastAsia="Calibri" w:cstheme="minorHAnsi"/>
          <w:b/>
          <w:bCs/>
          <w:iCs/>
          <w:color w:val="000000" w:themeColor="text1"/>
          <w:sz w:val="20"/>
          <w:szCs w:val="20"/>
        </w:rPr>
        <w:t>Seth Goodall</w:t>
      </w:r>
    </w:p>
    <w:p w14:paraId="4D47756F" w14:textId="55D38A4D" w:rsidR="00501CAD" w:rsidRDefault="00501CAD" w:rsidP="004C24C2">
      <w:pPr>
        <w:spacing w:line="259" w:lineRule="auto"/>
        <w:ind w:left="180"/>
        <w:rPr>
          <w:rFonts w:eastAsia="Calibri" w:cstheme="minorHAnsi"/>
          <w:i/>
          <w:color w:val="000000" w:themeColor="text1"/>
          <w:sz w:val="20"/>
          <w:szCs w:val="20"/>
        </w:rPr>
      </w:pPr>
      <w:r>
        <w:rPr>
          <w:rFonts w:eastAsia="Calibri" w:cstheme="minorHAnsi"/>
          <w:i/>
          <w:color w:val="000000" w:themeColor="text1"/>
          <w:sz w:val="20"/>
          <w:szCs w:val="20"/>
        </w:rPr>
        <w:t>Chief Executive Officer, Maine Center Ventures and</w:t>
      </w:r>
    </w:p>
    <w:p w14:paraId="65ADE162" w14:textId="3895F98A" w:rsidR="00501CAD" w:rsidRPr="00501CAD" w:rsidRDefault="00501CAD" w:rsidP="004C24C2">
      <w:pPr>
        <w:spacing w:line="259" w:lineRule="auto"/>
        <w:ind w:left="180"/>
        <w:rPr>
          <w:rFonts w:eastAsia="Calibri" w:cstheme="minorHAnsi"/>
          <w:i/>
          <w:color w:val="000000" w:themeColor="text1"/>
          <w:sz w:val="20"/>
          <w:szCs w:val="20"/>
        </w:rPr>
      </w:pPr>
      <w:r>
        <w:rPr>
          <w:rFonts w:eastAsia="Calibri" w:cstheme="minorHAnsi"/>
          <w:i/>
          <w:color w:val="000000" w:themeColor="text1"/>
          <w:sz w:val="20"/>
          <w:szCs w:val="20"/>
        </w:rPr>
        <w:t xml:space="preserve">Executive Director, </w:t>
      </w:r>
      <w:r w:rsidRPr="00501CAD">
        <w:rPr>
          <w:rFonts w:eastAsia="Calibri" w:cstheme="minorHAnsi"/>
          <w:i/>
          <w:color w:val="000000" w:themeColor="text1"/>
          <w:sz w:val="20"/>
          <w:szCs w:val="20"/>
        </w:rPr>
        <w:t>Maine Graduate and Professional Center</w:t>
      </w:r>
    </w:p>
    <w:p w14:paraId="1D8AFE2B" w14:textId="273BF1EE" w:rsidR="004C24C2" w:rsidRPr="004E6649" w:rsidRDefault="004C24C2" w:rsidP="004C24C2">
      <w:pPr>
        <w:spacing w:before="20" w:line="259" w:lineRule="auto"/>
        <w:ind w:left="180"/>
        <w:rPr>
          <w:rFonts w:eastAsia="Calibri" w:cstheme="minorHAnsi"/>
          <w:b/>
          <w:sz w:val="20"/>
          <w:szCs w:val="20"/>
        </w:rPr>
      </w:pPr>
      <w:r w:rsidRPr="004E6649">
        <w:rPr>
          <w:rFonts w:eastAsia="Calibri" w:cstheme="minorHAnsi"/>
          <w:b/>
          <w:sz w:val="20"/>
          <w:szCs w:val="20"/>
        </w:rPr>
        <w:t>Ryan Low</w:t>
      </w:r>
    </w:p>
    <w:p w14:paraId="78457788" w14:textId="2791429E" w:rsidR="004C24C2" w:rsidRPr="004E6649" w:rsidRDefault="004C24C2" w:rsidP="004C24C2">
      <w:pPr>
        <w:spacing w:line="259" w:lineRule="auto"/>
        <w:ind w:left="180"/>
        <w:rPr>
          <w:rFonts w:eastAsia="Calibri" w:cstheme="minorHAnsi"/>
          <w:i/>
          <w:sz w:val="20"/>
          <w:szCs w:val="20"/>
        </w:rPr>
      </w:pPr>
      <w:r w:rsidRPr="004E6649">
        <w:rPr>
          <w:rFonts w:eastAsia="Calibri" w:cstheme="minorHAnsi"/>
          <w:i/>
          <w:sz w:val="20"/>
          <w:szCs w:val="20"/>
        </w:rPr>
        <w:t xml:space="preserve">Vice Chancellor for Finance and </w:t>
      </w:r>
      <w:r w:rsidR="006E1549">
        <w:rPr>
          <w:rFonts w:eastAsia="Calibri" w:cstheme="minorHAnsi"/>
          <w:i/>
          <w:sz w:val="20"/>
          <w:szCs w:val="20"/>
        </w:rPr>
        <w:t>Strategic AI Integration</w:t>
      </w:r>
    </w:p>
    <w:p w14:paraId="3DE0C736" w14:textId="5D8D51AF" w:rsidR="002B5C83" w:rsidRDefault="002B5C83" w:rsidP="00FD2C85">
      <w:pPr>
        <w:spacing w:before="20" w:line="259" w:lineRule="auto"/>
        <w:ind w:left="180"/>
        <w:rPr>
          <w:rFonts w:eastAsia="Calibri" w:cstheme="minorHAnsi"/>
          <w:b/>
          <w:color w:val="000000" w:themeColor="text1"/>
          <w:sz w:val="20"/>
          <w:szCs w:val="20"/>
        </w:rPr>
      </w:pPr>
      <w:r>
        <w:rPr>
          <w:rFonts w:eastAsia="Calibri" w:cstheme="minorHAnsi"/>
          <w:b/>
          <w:color w:val="000000" w:themeColor="text1"/>
          <w:sz w:val="20"/>
          <w:szCs w:val="20"/>
        </w:rPr>
        <w:t>Amie Parker</w:t>
      </w:r>
    </w:p>
    <w:p w14:paraId="7E4F43C0" w14:textId="5FD8600E" w:rsidR="002B5C83" w:rsidRPr="002B5C83" w:rsidRDefault="002B5C83" w:rsidP="00FD2C85">
      <w:pPr>
        <w:spacing w:before="20" w:line="259" w:lineRule="auto"/>
        <w:ind w:left="180"/>
        <w:rPr>
          <w:rFonts w:eastAsia="Calibri" w:cstheme="minorHAnsi"/>
          <w:bCs/>
          <w:i/>
          <w:iCs/>
          <w:color w:val="000000" w:themeColor="text1"/>
          <w:sz w:val="20"/>
          <w:szCs w:val="20"/>
        </w:rPr>
      </w:pPr>
      <w:r w:rsidRPr="002B5C83">
        <w:rPr>
          <w:rFonts w:eastAsia="Calibri" w:cstheme="minorHAnsi"/>
          <w:bCs/>
          <w:i/>
          <w:iCs/>
          <w:color w:val="000000" w:themeColor="text1"/>
          <w:sz w:val="20"/>
          <w:szCs w:val="20"/>
        </w:rPr>
        <w:t>Chief Human Resources Officer</w:t>
      </w:r>
    </w:p>
    <w:p w14:paraId="4983C9BD" w14:textId="42FB4DB4" w:rsidR="00FD2C85" w:rsidRPr="00FD2C85" w:rsidRDefault="00FD2C85" w:rsidP="00FD2C85">
      <w:pPr>
        <w:spacing w:before="20" w:line="259" w:lineRule="auto"/>
        <w:ind w:left="180"/>
        <w:rPr>
          <w:rFonts w:eastAsia="Calibri" w:cstheme="minorHAnsi"/>
          <w:b/>
          <w:color w:val="000000" w:themeColor="text1"/>
          <w:sz w:val="20"/>
          <w:szCs w:val="20"/>
        </w:rPr>
      </w:pPr>
      <w:r w:rsidRPr="00FD2C85">
        <w:rPr>
          <w:rFonts w:eastAsia="Calibri" w:cstheme="minorHAnsi"/>
          <w:b/>
          <w:color w:val="000000" w:themeColor="text1"/>
          <w:sz w:val="20"/>
          <w:szCs w:val="20"/>
        </w:rPr>
        <w:t>Robert Placido</w:t>
      </w:r>
    </w:p>
    <w:p w14:paraId="5FDF311F" w14:textId="77777777" w:rsidR="00FD2C85" w:rsidRPr="00FD2C85" w:rsidRDefault="00FD2C85" w:rsidP="00FD2C85">
      <w:pPr>
        <w:spacing w:line="259" w:lineRule="auto"/>
        <w:ind w:left="180"/>
        <w:rPr>
          <w:rFonts w:eastAsia="Calibri" w:cstheme="minorHAnsi"/>
          <w:i/>
          <w:color w:val="000000" w:themeColor="text1"/>
          <w:sz w:val="20"/>
          <w:szCs w:val="20"/>
        </w:rPr>
      </w:pPr>
      <w:r w:rsidRPr="00FD2C85">
        <w:rPr>
          <w:rFonts w:eastAsia="Calibri" w:cstheme="minorHAnsi"/>
          <w:i/>
          <w:color w:val="000000" w:themeColor="text1"/>
          <w:sz w:val="20"/>
          <w:szCs w:val="20"/>
        </w:rPr>
        <w:t>Chief Information Officer</w:t>
      </w:r>
    </w:p>
    <w:p w14:paraId="766174CE" w14:textId="77777777" w:rsidR="006E1549" w:rsidRPr="00FD2C85" w:rsidRDefault="006E1549" w:rsidP="006E1549">
      <w:pPr>
        <w:spacing w:before="20" w:line="259" w:lineRule="auto"/>
        <w:ind w:left="180"/>
        <w:rPr>
          <w:rFonts w:eastAsia="Calibri" w:cstheme="minorHAnsi"/>
          <w:b/>
          <w:color w:val="000000" w:themeColor="text1"/>
          <w:sz w:val="20"/>
          <w:szCs w:val="20"/>
        </w:rPr>
      </w:pPr>
      <w:r>
        <w:rPr>
          <w:rFonts w:eastAsia="Calibri" w:cstheme="minorHAnsi"/>
          <w:b/>
          <w:color w:val="000000" w:themeColor="text1"/>
          <w:sz w:val="20"/>
          <w:szCs w:val="20"/>
        </w:rPr>
        <w:t>Amon Purinton</w:t>
      </w:r>
    </w:p>
    <w:p w14:paraId="13CB08D0" w14:textId="77777777" w:rsidR="006E1549" w:rsidRPr="00FD2C85" w:rsidRDefault="006E1549" w:rsidP="006E1549">
      <w:pPr>
        <w:spacing w:line="259" w:lineRule="auto"/>
        <w:ind w:left="180"/>
        <w:rPr>
          <w:rFonts w:eastAsia="Calibri" w:cstheme="minorHAnsi"/>
          <w:i/>
          <w:color w:val="000000" w:themeColor="text1"/>
          <w:sz w:val="20"/>
          <w:szCs w:val="20"/>
        </w:rPr>
      </w:pPr>
      <w:r w:rsidRPr="00FD2C85">
        <w:rPr>
          <w:rFonts w:eastAsia="Calibri" w:cstheme="minorHAnsi"/>
          <w:i/>
          <w:color w:val="000000" w:themeColor="text1"/>
          <w:sz w:val="20"/>
          <w:szCs w:val="20"/>
        </w:rPr>
        <w:t>General Counsel</w:t>
      </w:r>
    </w:p>
    <w:p w14:paraId="5F80B5DC" w14:textId="77777777" w:rsidR="004C24C2" w:rsidRPr="00FD2C85" w:rsidRDefault="004C24C2" w:rsidP="004C24C2">
      <w:pPr>
        <w:spacing w:before="20" w:line="259" w:lineRule="auto"/>
        <w:ind w:left="180"/>
        <w:rPr>
          <w:rFonts w:eastAsia="Calibri" w:cstheme="minorHAnsi"/>
          <w:b/>
          <w:color w:val="000000" w:themeColor="text1"/>
          <w:sz w:val="20"/>
          <w:szCs w:val="20"/>
        </w:rPr>
      </w:pPr>
      <w:r w:rsidRPr="00FD2C85">
        <w:rPr>
          <w:rFonts w:eastAsia="Calibri" w:cstheme="minorHAnsi"/>
          <w:b/>
          <w:color w:val="000000" w:themeColor="text1"/>
          <w:sz w:val="20"/>
          <w:szCs w:val="20"/>
        </w:rPr>
        <w:t>Jeffrey St. John</w:t>
      </w:r>
    </w:p>
    <w:p w14:paraId="67CDA497" w14:textId="77777777" w:rsidR="004C24C2" w:rsidRPr="00FD2C85" w:rsidRDefault="004C24C2" w:rsidP="004C24C2">
      <w:pPr>
        <w:spacing w:line="259" w:lineRule="auto"/>
        <w:ind w:left="180"/>
        <w:rPr>
          <w:rFonts w:eastAsia="Calibri" w:cstheme="minorHAnsi"/>
          <w:i/>
          <w:color w:val="000000" w:themeColor="text1"/>
          <w:sz w:val="20"/>
          <w:szCs w:val="20"/>
        </w:rPr>
      </w:pPr>
      <w:r w:rsidRPr="00FD2C85">
        <w:rPr>
          <w:rFonts w:eastAsia="Calibri" w:cstheme="minorHAnsi"/>
          <w:i/>
          <w:color w:val="000000" w:themeColor="text1"/>
          <w:sz w:val="20"/>
          <w:szCs w:val="20"/>
        </w:rPr>
        <w:t>Vice Chancellor for Academic and Student Affairs</w:t>
      </w:r>
    </w:p>
    <w:p w14:paraId="5A24261A" w14:textId="77777777" w:rsidR="00FD2C85" w:rsidRPr="004E6649" w:rsidRDefault="00FD2C85" w:rsidP="00FD2C85">
      <w:pPr>
        <w:spacing w:before="20" w:line="259" w:lineRule="auto"/>
        <w:ind w:left="180"/>
        <w:rPr>
          <w:rFonts w:eastAsia="Calibri" w:cstheme="minorHAnsi"/>
          <w:b/>
          <w:sz w:val="20"/>
          <w:szCs w:val="20"/>
        </w:rPr>
      </w:pPr>
      <w:r>
        <w:rPr>
          <w:rFonts w:eastAsia="Calibri" w:cstheme="minorHAnsi"/>
          <w:b/>
          <w:sz w:val="20"/>
          <w:szCs w:val="20"/>
        </w:rPr>
        <w:t>Elizabeth Stickler</w:t>
      </w:r>
    </w:p>
    <w:p w14:paraId="37D68C03" w14:textId="77777777" w:rsidR="00FD2C85" w:rsidRPr="004E6649" w:rsidRDefault="00FD2C85" w:rsidP="00FD2C85">
      <w:pPr>
        <w:spacing w:line="259" w:lineRule="auto"/>
        <w:ind w:left="180"/>
        <w:rPr>
          <w:rFonts w:eastAsia="Calibri" w:cstheme="minorHAnsi"/>
          <w:i/>
          <w:sz w:val="20"/>
          <w:szCs w:val="20"/>
        </w:rPr>
      </w:pPr>
      <w:r w:rsidRPr="004E6649">
        <w:rPr>
          <w:rFonts w:eastAsia="Calibri" w:cstheme="minorHAnsi"/>
          <w:i/>
          <w:sz w:val="20"/>
          <w:szCs w:val="20"/>
        </w:rPr>
        <w:t>Clerk of the Board</w:t>
      </w:r>
    </w:p>
    <w:p w14:paraId="573035BB" w14:textId="28723A90" w:rsidR="004C24C2" w:rsidRPr="00FD2C85" w:rsidRDefault="004C24C2" w:rsidP="004C24C2">
      <w:pPr>
        <w:spacing w:before="20" w:line="259" w:lineRule="auto"/>
        <w:ind w:left="180"/>
        <w:rPr>
          <w:rFonts w:eastAsia="Calibri" w:cstheme="minorHAnsi"/>
          <w:b/>
          <w:color w:val="000000" w:themeColor="text1"/>
          <w:sz w:val="20"/>
          <w:szCs w:val="20"/>
        </w:rPr>
      </w:pPr>
      <w:r w:rsidRPr="00FD2C85">
        <w:rPr>
          <w:rFonts w:eastAsia="Calibri" w:cstheme="minorHAnsi"/>
          <w:b/>
          <w:color w:val="000000" w:themeColor="text1"/>
          <w:sz w:val="20"/>
          <w:szCs w:val="20"/>
        </w:rPr>
        <w:t>Samantha Warren</w:t>
      </w:r>
    </w:p>
    <w:p w14:paraId="6F8A30F4" w14:textId="5C536DAD" w:rsidR="004C24C2" w:rsidRPr="00FD2C85" w:rsidRDefault="006E1549" w:rsidP="004C24C2">
      <w:pPr>
        <w:spacing w:line="259" w:lineRule="auto"/>
        <w:ind w:left="180"/>
        <w:rPr>
          <w:rFonts w:eastAsia="Calibri" w:cstheme="minorHAnsi"/>
          <w:i/>
          <w:color w:val="000000" w:themeColor="text1"/>
          <w:sz w:val="20"/>
          <w:szCs w:val="20"/>
        </w:rPr>
      </w:pPr>
      <w:r>
        <w:rPr>
          <w:rFonts w:eastAsia="Calibri" w:cstheme="minorHAnsi"/>
          <w:i/>
          <w:color w:val="000000" w:themeColor="text1"/>
          <w:sz w:val="20"/>
          <w:szCs w:val="20"/>
        </w:rPr>
        <w:t>Chief External &amp; Governmental Affairs Officer</w:t>
      </w:r>
    </w:p>
    <w:p w14:paraId="238501AB" w14:textId="1A2539E8" w:rsidR="004C24C2" w:rsidRPr="00FD2C85" w:rsidRDefault="004C24C2" w:rsidP="004C24C2">
      <w:pPr>
        <w:spacing w:before="20" w:line="259" w:lineRule="auto"/>
        <w:ind w:left="180"/>
        <w:rPr>
          <w:rFonts w:eastAsia="Calibri" w:cstheme="minorHAnsi"/>
          <w:b/>
          <w:color w:val="000000" w:themeColor="text1"/>
          <w:sz w:val="20"/>
          <w:szCs w:val="20"/>
        </w:rPr>
      </w:pPr>
      <w:r w:rsidRPr="00FD2C85">
        <w:rPr>
          <w:rFonts w:eastAsia="Calibri" w:cstheme="minorHAnsi"/>
          <w:b/>
          <w:color w:val="000000" w:themeColor="text1"/>
          <w:sz w:val="20"/>
          <w:szCs w:val="20"/>
        </w:rPr>
        <w:t>Miriam White</w:t>
      </w:r>
    </w:p>
    <w:p w14:paraId="409DCEDE" w14:textId="77777777" w:rsidR="004C24C2" w:rsidRPr="00FD2C85" w:rsidRDefault="004C24C2" w:rsidP="004C24C2">
      <w:pPr>
        <w:spacing w:before="20" w:line="259" w:lineRule="auto"/>
        <w:ind w:left="180"/>
        <w:rPr>
          <w:rFonts w:eastAsia="Calibri" w:cstheme="minorHAnsi"/>
          <w:i/>
          <w:color w:val="000000" w:themeColor="text1"/>
          <w:sz w:val="20"/>
          <w:szCs w:val="20"/>
        </w:rPr>
      </w:pPr>
      <w:r w:rsidRPr="00FD2C85">
        <w:rPr>
          <w:rFonts w:eastAsia="Calibri" w:cstheme="minorHAnsi"/>
          <w:i/>
          <w:color w:val="000000" w:themeColor="text1"/>
          <w:sz w:val="20"/>
          <w:szCs w:val="20"/>
        </w:rPr>
        <w:t>Vice President of Budget and Financial Analysis</w:t>
      </w:r>
    </w:p>
    <w:p w14:paraId="0115FB03" w14:textId="1F2C87C0" w:rsidR="004C24C2" w:rsidRPr="004E6649" w:rsidRDefault="004C24C2" w:rsidP="004C24C2">
      <w:pPr>
        <w:spacing w:after="160" w:line="259" w:lineRule="auto"/>
        <w:rPr>
          <w:rFonts w:eastAsia="Calibri" w:cstheme="minorHAnsi"/>
          <w:i/>
          <w:sz w:val="20"/>
          <w:szCs w:val="20"/>
        </w:rPr>
        <w:sectPr w:rsidR="004C24C2" w:rsidRPr="004E6649" w:rsidSect="00DC059D">
          <w:type w:val="continuous"/>
          <w:pgSz w:w="12240" w:h="15840"/>
          <w:pgMar w:top="1440" w:right="1152" w:bottom="1440" w:left="1152" w:header="0" w:footer="634" w:gutter="0"/>
          <w:cols w:num="2" w:space="936" w:equalWidth="0">
            <w:col w:w="3456" w:space="936"/>
            <w:col w:w="5544"/>
          </w:cols>
        </w:sectPr>
      </w:pPr>
    </w:p>
    <w:p w14:paraId="0137C436" w14:textId="77777777" w:rsidR="00516648" w:rsidRPr="00516648" w:rsidRDefault="00516648" w:rsidP="00516648">
      <w:pPr>
        <w:widowControl w:val="0"/>
        <w:autoSpaceDE w:val="0"/>
        <w:autoSpaceDN w:val="0"/>
        <w:spacing w:before="47"/>
        <w:rPr>
          <w:rFonts w:ascii="Times New Roman" w:eastAsia="Arial" w:hAnsi="Arial" w:cs="Arial"/>
          <w:sz w:val="17"/>
        </w:rPr>
      </w:pPr>
      <w:bookmarkStart w:id="1" w:name="Auditors_Report"/>
    </w:p>
    <w:p w14:paraId="536EED42" w14:textId="77777777" w:rsidR="00516648" w:rsidRPr="00516648" w:rsidRDefault="00516648" w:rsidP="00516648">
      <w:pPr>
        <w:widowControl w:val="0"/>
        <w:autoSpaceDE w:val="0"/>
        <w:autoSpaceDN w:val="0"/>
        <w:ind w:left="8280" w:right="36"/>
        <w:rPr>
          <w:rFonts w:ascii="Calibri" w:eastAsia="Arial" w:hAnsi="Arial" w:cs="Arial"/>
          <w:b/>
          <w:sz w:val="17"/>
        </w:rPr>
      </w:pPr>
      <w:r w:rsidRPr="00516648">
        <w:rPr>
          <w:rFonts w:ascii="Arial" w:eastAsia="Arial" w:hAnsi="Arial" w:cs="Arial"/>
          <w:noProof/>
        </w:rPr>
        <w:drawing>
          <wp:anchor distT="0" distB="0" distL="0" distR="0" simplePos="0" relativeHeight="251672576" behindDoc="0" locked="0" layoutInCell="1" allowOverlap="1" wp14:anchorId="6DFAE743" wp14:editId="2EA0E19D">
            <wp:simplePos x="0" y="0"/>
            <wp:positionH relativeFrom="page">
              <wp:posOffset>768095</wp:posOffset>
            </wp:positionH>
            <wp:positionV relativeFrom="paragraph">
              <wp:posOffset>-151436</wp:posOffset>
            </wp:positionV>
            <wp:extent cx="536447" cy="534932"/>
            <wp:effectExtent l="0" t="0" r="0" b="0"/>
            <wp:wrapNone/>
            <wp:docPr id="1764590906"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4590906" name="Image 2">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536447" cy="534932"/>
                    </a:xfrm>
                    <a:prstGeom prst="rect">
                      <a:avLst/>
                    </a:prstGeom>
                  </pic:spPr>
                </pic:pic>
              </a:graphicData>
            </a:graphic>
          </wp:anchor>
        </w:drawing>
      </w:r>
      <w:r w:rsidRPr="00516648">
        <w:rPr>
          <w:rFonts w:ascii="Calibri" w:eastAsia="Arial" w:hAnsi="Arial" w:cs="Arial"/>
          <w:b/>
          <w:color w:val="2D334D"/>
          <w:sz w:val="17"/>
        </w:rPr>
        <w:t>CliftonLarsonAllen</w:t>
      </w:r>
      <w:r w:rsidRPr="00516648">
        <w:rPr>
          <w:rFonts w:ascii="Calibri" w:eastAsia="Arial" w:hAnsi="Arial" w:cs="Arial"/>
          <w:b/>
          <w:color w:val="2D334D"/>
          <w:spacing w:val="-10"/>
          <w:sz w:val="17"/>
        </w:rPr>
        <w:t xml:space="preserve"> </w:t>
      </w:r>
      <w:r w:rsidRPr="00516648">
        <w:rPr>
          <w:rFonts w:ascii="Calibri" w:eastAsia="Arial" w:hAnsi="Arial" w:cs="Arial"/>
          <w:b/>
          <w:color w:val="2D334D"/>
          <w:sz w:val="17"/>
        </w:rPr>
        <w:t>LLP</w:t>
      </w:r>
      <w:r w:rsidRPr="00516648">
        <w:rPr>
          <w:rFonts w:ascii="Calibri" w:eastAsia="Arial" w:hAnsi="Arial" w:cs="Arial"/>
          <w:b/>
          <w:color w:val="2D334D"/>
          <w:spacing w:val="40"/>
          <w:sz w:val="17"/>
        </w:rPr>
        <w:t xml:space="preserve"> </w:t>
      </w:r>
      <w:r w:rsidRPr="00516648">
        <w:rPr>
          <w:rFonts w:ascii="Calibri" w:eastAsia="Arial" w:hAnsi="Arial" w:cs="Arial"/>
          <w:b/>
          <w:color w:val="2D334D"/>
          <w:spacing w:val="-2"/>
          <w:sz w:val="17"/>
        </w:rPr>
        <w:t>CLAconnect.com</w:t>
      </w:r>
    </w:p>
    <w:p w14:paraId="6190EC2B" w14:textId="77777777" w:rsidR="00516648" w:rsidRPr="00516648" w:rsidRDefault="00516648" w:rsidP="00516648">
      <w:pPr>
        <w:widowControl w:val="0"/>
        <w:autoSpaceDE w:val="0"/>
        <w:autoSpaceDN w:val="0"/>
        <w:rPr>
          <w:rFonts w:ascii="Calibri" w:eastAsia="Arial" w:hAnsi="Arial" w:cs="Arial"/>
          <w:b/>
          <w:sz w:val="17"/>
        </w:rPr>
      </w:pPr>
    </w:p>
    <w:p w14:paraId="0FC12835" w14:textId="77777777" w:rsidR="00516648" w:rsidRPr="00516648" w:rsidRDefault="00516648" w:rsidP="00516648">
      <w:pPr>
        <w:widowControl w:val="0"/>
        <w:autoSpaceDE w:val="0"/>
        <w:autoSpaceDN w:val="0"/>
        <w:spacing w:before="191"/>
        <w:rPr>
          <w:rFonts w:ascii="Calibri" w:eastAsia="Arial" w:hAnsi="Arial" w:cs="Arial"/>
          <w:b/>
          <w:sz w:val="17"/>
        </w:rPr>
      </w:pPr>
    </w:p>
    <w:p w14:paraId="4E129607" w14:textId="0A04FC8F" w:rsidR="00027572" w:rsidRDefault="00516648" w:rsidP="00027572">
      <w:pPr>
        <w:widowControl w:val="0"/>
        <w:autoSpaceDE w:val="0"/>
        <w:autoSpaceDN w:val="0"/>
        <w:ind w:right="1"/>
        <w:jc w:val="center"/>
        <w:outlineLvl w:val="0"/>
        <w:rPr>
          <w:rFonts w:cstheme="minorHAnsi"/>
        </w:rPr>
      </w:pPr>
      <w:r w:rsidRPr="00516648">
        <w:rPr>
          <w:rFonts w:ascii="Arial" w:eastAsia="Arial" w:hAnsi="Arial" w:cs="Arial"/>
          <w:b/>
          <w:bCs/>
          <w:spacing w:val="-8"/>
        </w:rPr>
        <w:t>INDEPENDENT</w:t>
      </w:r>
      <w:r w:rsidRPr="00516648">
        <w:rPr>
          <w:rFonts w:ascii="Arial" w:eastAsia="Arial" w:hAnsi="Arial" w:cs="Arial"/>
          <w:b/>
          <w:bCs/>
          <w:spacing w:val="1"/>
        </w:rPr>
        <w:t xml:space="preserve"> </w:t>
      </w:r>
      <w:r w:rsidRPr="00516648">
        <w:rPr>
          <w:rFonts w:ascii="Arial" w:eastAsia="Arial" w:hAnsi="Arial" w:cs="Arial"/>
          <w:b/>
          <w:bCs/>
          <w:spacing w:val="-8"/>
        </w:rPr>
        <w:t>AUDITORS</w:t>
      </w:r>
      <w:r>
        <w:rPr>
          <w:rFonts w:ascii="Arial" w:eastAsia="Arial" w:hAnsi="Arial" w:cs="Arial"/>
          <w:b/>
          <w:bCs/>
          <w:spacing w:val="-8"/>
        </w:rPr>
        <w:t>’</w:t>
      </w:r>
      <w:r w:rsidRPr="00516648">
        <w:rPr>
          <w:rFonts w:ascii="Arial" w:eastAsia="Arial" w:hAnsi="Arial" w:cs="Arial"/>
          <w:b/>
          <w:bCs/>
          <w:spacing w:val="-1"/>
        </w:rPr>
        <w:t xml:space="preserve"> </w:t>
      </w:r>
      <w:r w:rsidRPr="00516648">
        <w:rPr>
          <w:rFonts w:ascii="Arial" w:eastAsia="Arial" w:hAnsi="Arial" w:cs="Arial"/>
          <w:b/>
          <w:bCs/>
          <w:spacing w:val="-8"/>
        </w:rPr>
        <w:t>REPORT</w:t>
      </w:r>
      <w:r w:rsidR="00E971B5">
        <w:rPr>
          <w:rFonts w:ascii="Arial" w:eastAsia="Arial" w:hAnsi="Arial" w:cs="Arial"/>
          <w:b/>
          <w:bCs/>
          <w:spacing w:val="-8"/>
        </w:rPr>
        <w:t xml:space="preserve"> </w:t>
      </w:r>
      <w:bookmarkEnd w:id="1"/>
    </w:p>
    <w:p w14:paraId="16AE4F55" w14:textId="77777777" w:rsidR="00F15DE3" w:rsidRPr="00F15DE3" w:rsidRDefault="00F15DE3" w:rsidP="00F15DE3">
      <w:pPr>
        <w:spacing w:line="259" w:lineRule="auto"/>
        <w:rPr>
          <w:rFonts w:ascii="Arial" w:hAnsi="Arial" w:cs="Arial"/>
        </w:rPr>
      </w:pPr>
      <w:r w:rsidRPr="00F15DE3">
        <w:rPr>
          <w:rFonts w:ascii="Arial" w:hAnsi="Arial" w:cs="Arial"/>
        </w:rPr>
        <w:t>Board of Trustees</w:t>
      </w:r>
    </w:p>
    <w:p w14:paraId="38263198" w14:textId="77777777" w:rsidR="00F15DE3" w:rsidRPr="00F15DE3" w:rsidRDefault="00F15DE3" w:rsidP="00F15DE3">
      <w:pPr>
        <w:spacing w:line="259" w:lineRule="auto"/>
        <w:rPr>
          <w:rFonts w:ascii="Arial" w:hAnsi="Arial" w:cs="Arial"/>
        </w:rPr>
      </w:pPr>
      <w:r w:rsidRPr="00F15DE3">
        <w:rPr>
          <w:rFonts w:ascii="Arial" w:hAnsi="Arial" w:cs="Arial"/>
        </w:rPr>
        <w:t>University of Maine System</w:t>
      </w:r>
    </w:p>
    <w:p w14:paraId="2C495329" w14:textId="77777777" w:rsidR="00F15DE3" w:rsidRPr="00F15DE3" w:rsidRDefault="00F15DE3" w:rsidP="00F15DE3">
      <w:pPr>
        <w:spacing w:line="259" w:lineRule="auto"/>
        <w:rPr>
          <w:rFonts w:ascii="Arial" w:hAnsi="Arial" w:cs="Arial"/>
        </w:rPr>
      </w:pPr>
      <w:r w:rsidRPr="00F15DE3">
        <w:rPr>
          <w:rFonts w:ascii="Arial" w:hAnsi="Arial" w:cs="Arial"/>
        </w:rPr>
        <w:t>Orono, Maine</w:t>
      </w:r>
    </w:p>
    <w:p w14:paraId="1D2E2D2E" w14:textId="77777777" w:rsidR="00F15DE3" w:rsidRDefault="00F15DE3" w:rsidP="00DB4CC2">
      <w:pPr>
        <w:spacing w:line="259" w:lineRule="auto"/>
        <w:rPr>
          <w:rFonts w:ascii="Arial" w:hAnsi="Arial" w:cs="Arial"/>
        </w:rPr>
      </w:pPr>
    </w:p>
    <w:p w14:paraId="1408158D" w14:textId="23660DDA" w:rsidR="00F15DE3" w:rsidRPr="00F15DE3" w:rsidRDefault="00F15DE3" w:rsidP="00F15DE3">
      <w:pPr>
        <w:spacing w:line="259" w:lineRule="auto"/>
        <w:rPr>
          <w:rFonts w:ascii="Arial" w:hAnsi="Arial" w:cs="Arial"/>
          <w:b/>
          <w:bCs/>
        </w:rPr>
      </w:pPr>
      <w:r w:rsidRPr="00F15DE3">
        <w:rPr>
          <w:rFonts w:ascii="Arial" w:hAnsi="Arial" w:cs="Arial"/>
          <w:b/>
          <w:bCs/>
        </w:rPr>
        <w:t>Report on the Audit of the Financial Statements</w:t>
      </w:r>
    </w:p>
    <w:p w14:paraId="152F8AE8" w14:textId="77777777" w:rsidR="00F15DE3" w:rsidRPr="00F15DE3" w:rsidRDefault="00F15DE3" w:rsidP="00F15DE3">
      <w:pPr>
        <w:spacing w:line="259" w:lineRule="auto"/>
        <w:rPr>
          <w:rFonts w:ascii="Arial" w:hAnsi="Arial" w:cs="Arial"/>
          <w:b/>
          <w:bCs/>
          <w:i/>
          <w:iCs/>
        </w:rPr>
      </w:pPr>
      <w:r w:rsidRPr="00F15DE3">
        <w:rPr>
          <w:rFonts w:ascii="Arial" w:hAnsi="Arial" w:cs="Arial"/>
          <w:b/>
          <w:bCs/>
          <w:i/>
          <w:iCs/>
        </w:rPr>
        <w:t>Opinions</w:t>
      </w:r>
    </w:p>
    <w:p w14:paraId="5BF0A119" w14:textId="6CC3D58A" w:rsidR="00F15DE3" w:rsidRPr="00F15DE3" w:rsidRDefault="00F15DE3" w:rsidP="00F15DE3">
      <w:pPr>
        <w:spacing w:line="259" w:lineRule="auto"/>
        <w:rPr>
          <w:rFonts w:ascii="Arial" w:hAnsi="Arial" w:cs="Arial"/>
        </w:rPr>
      </w:pPr>
      <w:r w:rsidRPr="00F15DE3">
        <w:rPr>
          <w:rFonts w:ascii="Arial" w:hAnsi="Arial" w:cs="Arial"/>
        </w:rPr>
        <w:t>We have audited the accompanying financial statements of the business-type activities, discretely</w:t>
      </w:r>
    </w:p>
    <w:p w14:paraId="39612C7A" w14:textId="77777777" w:rsidR="00F15DE3" w:rsidRPr="00F15DE3" w:rsidRDefault="00F15DE3" w:rsidP="00F15DE3">
      <w:pPr>
        <w:spacing w:line="259" w:lineRule="auto"/>
        <w:rPr>
          <w:rFonts w:ascii="Arial" w:hAnsi="Arial" w:cs="Arial"/>
        </w:rPr>
      </w:pPr>
      <w:r w:rsidRPr="00F15DE3">
        <w:rPr>
          <w:rFonts w:ascii="Arial" w:hAnsi="Arial" w:cs="Arial"/>
        </w:rPr>
        <w:t>presented component unit, and the aggregate remaining fund information of the University of Maine</w:t>
      </w:r>
    </w:p>
    <w:p w14:paraId="5FF4097A" w14:textId="77777777" w:rsidR="00F15DE3" w:rsidRPr="00F15DE3" w:rsidRDefault="00F15DE3" w:rsidP="00F15DE3">
      <w:pPr>
        <w:spacing w:line="259" w:lineRule="auto"/>
        <w:rPr>
          <w:rFonts w:ascii="Arial" w:hAnsi="Arial" w:cs="Arial"/>
        </w:rPr>
      </w:pPr>
      <w:r w:rsidRPr="00F15DE3">
        <w:rPr>
          <w:rFonts w:ascii="Arial" w:hAnsi="Arial" w:cs="Arial"/>
        </w:rPr>
        <w:t>System (the System) (a component unit of the state of Maine), as of and for the years ended June 30,</w:t>
      </w:r>
    </w:p>
    <w:p w14:paraId="3AFB3B54" w14:textId="05574DC4" w:rsidR="00F15DE3" w:rsidRDefault="00F15DE3" w:rsidP="00F15DE3">
      <w:pPr>
        <w:spacing w:line="259" w:lineRule="auto"/>
        <w:rPr>
          <w:rFonts w:ascii="Arial" w:hAnsi="Arial" w:cs="Arial"/>
        </w:rPr>
      </w:pPr>
      <w:r w:rsidRPr="00F15DE3">
        <w:rPr>
          <w:rFonts w:ascii="Arial" w:hAnsi="Arial" w:cs="Arial"/>
        </w:rPr>
        <w:t>2025 and 2024 for the business-type activities and the aggregate remaining fund information, and as of</w:t>
      </w:r>
      <w:r>
        <w:rPr>
          <w:rFonts w:ascii="Arial" w:hAnsi="Arial" w:cs="Arial"/>
        </w:rPr>
        <w:t xml:space="preserve"> </w:t>
      </w:r>
      <w:r w:rsidRPr="00F15DE3">
        <w:rPr>
          <w:rFonts w:ascii="Arial" w:hAnsi="Arial" w:cs="Arial"/>
        </w:rPr>
        <w:t>and for the years ended December 31, 2024 and 2023 for the discretely presented component unit, and</w:t>
      </w:r>
      <w:r>
        <w:rPr>
          <w:rFonts w:ascii="Arial" w:hAnsi="Arial" w:cs="Arial"/>
        </w:rPr>
        <w:t xml:space="preserve"> </w:t>
      </w:r>
      <w:r w:rsidRPr="00F15DE3">
        <w:rPr>
          <w:rFonts w:ascii="Arial" w:hAnsi="Arial" w:cs="Arial"/>
        </w:rPr>
        <w:t>the related notes to the financial statements, which collectively comprise the System</w:t>
      </w:r>
      <w:r>
        <w:rPr>
          <w:rFonts w:ascii="Arial" w:hAnsi="Arial" w:cs="Arial"/>
        </w:rPr>
        <w:t>’</w:t>
      </w:r>
      <w:r w:rsidRPr="00F15DE3">
        <w:rPr>
          <w:rFonts w:ascii="Arial" w:hAnsi="Arial" w:cs="Arial"/>
        </w:rPr>
        <w:t>s basic financial</w:t>
      </w:r>
      <w:r>
        <w:rPr>
          <w:rFonts w:ascii="Arial" w:hAnsi="Arial" w:cs="Arial"/>
        </w:rPr>
        <w:t xml:space="preserve"> </w:t>
      </w:r>
      <w:r w:rsidRPr="00F15DE3">
        <w:rPr>
          <w:rFonts w:ascii="Arial" w:hAnsi="Arial" w:cs="Arial"/>
        </w:rPr>
        <w:t>statements as listed in the table of contents.</w:t>
      </w:r>
    </w:p>
    <w:p w14:paraId="4F0D1491" w14:textId="77777777" w:rsidR="00F15DE3" w:rsidRPr="00DB4CC2" w:rsidRDefault="00F15DE3" w:rsidP="00F15DE3">
      <w:pPr>
        <w:spacing w:line="259" w:lineRule="auto"/>
        <w:rPr>
          <w:rFonts w:ascii="Arial" w:hAnsi="Arial" w:cs="Arial"/>
          <w:sz w:val="18"/>
          <w:szCs w:val="18"/>
        </w:rPr>
      </w:pPr>
    </w:p>
    <w:p w14:paraId="531FDAC8" w14:textId="77777777" w:rsidR="00F15DE3" w:rsidRPr="00F15DE3" w:rsidRDefault="00F15DE3" w:rsidP="00F15DE3">
      <w:pPr>
        <w:spacing w:line="259" w:lineRule="auto"/>
        <w:rPr>
          <w:rFonts w:ascii="Arial" w:hAnsi="Arial" w:cs="Arial"/>
        </w:rPr>
      </w:pPr>
      <w:r w:rsidRPr="00F15DE3">
        <w:rPr>
          <w:rFonts w:ascii="Arial" w:hAnsi="Arial" w:cs="Arial"/>
        </w:rPr>
        <w:t xml:space="preserve">In our opinion, based on our audits and the reports of other auditors, the financial statements </w:t>
      </w:r>
      <w:proofErr w:type="gramStart"/>
      <w:r w:rsidRPr="00F15DE3">
        <w:rPr>
          <w:rFonts w:ascii="Arial" w:hAnsi="Arial" w:cs="Arial"/>
        </w:rPr>
        <w:t>referred</w:t>
      </w:r>
      <w:proofErr w:type="gramEnd"/>
    </w:p>
    <w:p w14:paraId="08191FA0" w14:textId="77777777" w:rsidR="00F15DE3" w:rsidRPr="00F15DE3" w:rsidRDefault="00F15DE3" w:rsidP="00F15DE3">
      <w:pPr>
        <w:spacing w:line="259" w:lineRule="auto"/>
        <w:rPr>
          <w:rFonts w:ascii="Arial" w:hAnsi="Arial" w:cs="Arial"/>
        </w:rPr>
      </w:pPr>
      <w:r w:rsidRPr="00F15DE3">
        <w:rPr>
          <w:rFonts w:ascii="Arial" w:hAnsi="Arial" w:cs="Arial"/>
        </w:rPr>
        <w:t>to above present fairly, in all material respects, the respective financial position of the business-type</w:t>
      </w:r>
    </w:p>
    <w:p w14:paraId="69C4BE73" w14:textId="3F4526F1" w:rsidR="00F15DE3" w:rsidRPr="00F15DE3" w:rsidRDefault="00F15DE3" w:rsidP="00F15DE3">
      <w:pPr>
        <w:spacing w:line="259" w:lineRule="auto"/>
        <w:rPr>
          <w:rFonts w:ascii="Arial" w:hAnsi="Arial" w:cs="Arial"/>
        </w:rPr>
      </w:pPr>
      <w:r w:rsidRPr="00F15DE3">
        <w:rPr>
          <w:rFonts w:ascii="Arial" w:hAnsi="Arial" w:cs="Arial"/>
        </w:rPr>
        <w:t>activities, the discretely presented component unit, and the aggregate remaining fund information of the</w:t>
      </w:r>
      <w:r>
        <w:rPr>
          <w:rFonts w:ascii="Arial" w:hAnsi="Arial" w:cs="Arial"/>
        </w:rPr>
        <w:t xml:space="preserve"> </w:t>
      </w:r>
      <w:r w:rsidRPr="00F15DE3">
        <w:rPr>
          <w:rFonts w:ascii="Arial" w:hAnsi="Arial" w:cs="Arial"/>
        </w:rPr>
        <w:t>System, as of June 30, 2025 and 2024 for the business-type activity and the aggregate remaining fund</w:t>
      </w:r>
      <w:r>
        <w:rPr>
          <w:rFonts w:ascii="Arial" w:hAnsi="Arial" w:cs="Arial"/>
        </w:rPr>
        <w:t xml:space="preserve"> </w:t>
      </w:r>
      <w:r w:rsidRPr="00F15DE3">
        <w:rPr>
          <w:rFonts w:ascii="Arial" w:hAnsi="Arial" w:cs="Arial"/>
        </w:rPr>
        <w:t>information, and as of December 31, 2024 and 2023 for the discretely presented component unit, and</w:t>
      </w:r>
      <w:r>
        <w:rPr>
          <w:rFonts w:ascii="Arial" w:hAnsi="Arial" w:cs="Arial"/>
        </w:rPr>
        <w:t xml:space="preserve"> </w:t>
      </w:r>
      <w:r w:rsidRPr="00F15DE3">
        <w:rPr>
          <w:rFonts w:ascii="Arial" w:hAnsi="Arial" w:cs="Arial"/>
        </w:rPr>
        <w:t>the respective changes in financial position, and, where applicable, cash flows thereof for the years</w:t>
      </w:r>
      <w:r>
        <w:rPr>
          <w:rFonts w:ascii="Arial" w:hAnsi="Arial" w:cs="Arial"/>
        </w:rPr>
        <w:t xml:space="preserve"> </w:t>
      </w:r>
      <w:r w:rsidRPr="00F15DE3">
        <w:rPr>
          <w:rFonts w:ascii="Arial" w:hAnsi="Arial" w:cs="Arial"/>
        </w:rPr>
        <w:t>then ended in accordance with accounting principles generally accepted in the United States of</w:t>
      </w:r>
    </w:p>
    <w:p w14:paraId="3BCB3458" w14:textId="77777777" w:rsidR="00F15DE3" w:rsidRDefault="00F15DE3" w:rsidP="00F15DE3">
      <w:pPr>
        <w:spacing w:line="259" w:lineRule="auto"/>
        <w:rPr>
          <w:rFonts w:ascii="Arial" w:hAnsi="Arial" w:cs="Arial"/>
        </w:rPr>
      </w:pPr>
      <w:r w:rsidRPr="00F15DE3">
        <w:rPr>
          <w:rFonts w:ascii="Arial" w:hAnsi="Arial" w:cs="Arial"/>
        </w:rPr>
        <w:t>America.</w:t>
      </w:r>
    </w:p>
    <w:p w14:paraId="53E5AAA3" w14:textId="77777777" w:rsidR="00F15DE3" w:rsidRPr="00DB4CC2" w:rsidRDefault="00F15DE3" w:rsidP="00F15DE3">
      <w:pPr>
        <w:spacing w:line="259" w:lineRule="auto"/>
        <w:rPr>
          <w:rFonts w:ascii="Arial" w:hAnsi="Arial" w:cs="Arial"/>
          <w:sz w:val="18"/>
          <w:szCs w:val="18"/>
        </w:rPr>
      </w:pPr>
    </w:p>
    <w:p w14:paraId="2C37C6CB" w14:textId="77777777" w:rsidR="00F15DE3" w:rsidRDefault="00F15DE3" w:rsidP="00F15DE3">
      <w:pPr>
        <w:spacing w:line="259" w:lineRule="auto"/>
        <w:rPr>
          <w:rFonts w:ascii="Arial" w:hAnsi="Arial" w:cs="Arial"/>
        </w:rPr>
      </w:pPr>
      <w:r w:rsidRPr="00F15DE3">
        <w:rPr>
          <w:rFonts w:ascii="Arial" w:hAnsi="Arial" w:cs="Arial"/>
        </w:rPr>
        <w:t>We did not audit the financial statements of the discretely presented component unit, which statements</w:t>
      </w:r>
      <w:r>
        <w:rPr>
          <w:rFonts w:ascii="Arial" w:hAnsi="Arial" w:cs="Arial"/>
        </w:rPr>
        <w:t xml:space="preserve"> </w:t>
      </w:r>
      <w:r w:rsidRPr="00F15DE3">
        <w:rPr>
          <w:rFonts w:ascii="Arial" w:hAnsi="Arial" w:cs="Arial"/>
        </w:rPr>
        <w:t>represent 100% of asset, net assets and revenues of the discretely presented component unit as of and</w:t>
      </w:r>
      <w:r>
        <w:rPr>
          <w:rFonts w:ascii="Arial" w:hAnsi="Arial" w:cs="Arial"/>
        </w:rPr>
        <w:t xml:space="preserve"> </w:t>
      </w:r>
      <w:r w:rsidRPr="00F15DE3">
        <w:rPr>
          <w:rFonts w:ascii="Arial" w:hAnsi="Arial" w:cs="Arial"/>
        </w:rPr>
        <w:t>for the years ended December 31, 2024 and 2023. Those statements were audited by other auditors,</w:t>
      </w:r>
      <w:r>
        <w:rPr>
          <w:rFonts w:ascii="Arial" w:hAnsi="Arial" w:cs="Arial"/>
        </w:rPr>
        <w:t xml:space="preserve"> </w:t>
      </w:r>
      <w:r w:rsidRPr="00F15DE3">
        <w:rPr>
          <w:rFonts w:ascii="Arial" w:hAnsi="Arial" w:cs="Arial"/>
        </w:rPr>
        <w:t xml:space="preserve">whose reports have been furnished to us, and our opinions, insofar as </w:t>
      </w:r>
      <w:proofErr w:type="gramStart"/>
      <w:r w:rsidRPr="00F15DE3">
        <w:rPr>
          <w:rFonts w:ascii="Arial" w:hAnsi="Arial" w:cs="Arial"/>
        </w:rPr>
        <w:t>it relates</w:t>
      </w:r>
      <w:proofErr w:type="gramEnd"/>
      <w:r w:rsidRPr="00F15DE3">
        <w:rPr>
          <w:rFonts w:ascii="Arial" w:hAnsi="Arial" w:cs="Arial"/>
        </w:rPr>
        <w:t xml:space="preserve"> to the amounts</w:t>
      </w:r>
      <w:r>
        <w:rPr>
          <w:rFonts w:ascii="Arial" w:hAnsi="Arial" w:cs="Arial"/>
        </w:rPr>
        <w:t xml:space="preserve"> </w:t>
      </w:r>
      <w:r w:rsidRPr="00F15DE3">
        <w:rPr>
          <w:rFonts w:ascii="Arial" w:hAnsi="Arial" w:cs="Arial"/>
        </w:rPr>
        <w:t xml:space="preserve">included for the discretely presented component unit, </w:t>
      </w:r>
      <w:proofErr w:type="gramStart"/>
      <w:r w:rsidRPr="00F15DE3">
        <w:rPr>
          <w:rFonts w:ascii="Arial" w:hAnsi="Arial" w:cs="Arial"/>
        </w:rPr>
        <w:t>is</w:t>
      </w:r>
      <w:proofErr w:type="gramEnd"/>
      <w:r w:rsidRPr="00F15DE3">
        <w:rPr>
          <w:rFonts w:ascii="Arial" w:hAnsi="Arial" w:cs="Arial"/>
        </w:rPr>
        <w:t xml:space="preserve"> based solely on the reports of the other </w:t>
      </w:r>
      <w:proofErr w:type="gramStart"/>
      <w:r w:rsidRPr="00F15DE3">
        <w:rPr>
          <w:rFonts w:ascii="Arial" w:hAnsi="Arial" w:cs="Arial"/>
        </w:rPr>
        <w:t>auditor</w:t>
      </w:r>
      <w:proofErr w:type="gramEnd"/>
      <w:r w:rsidRPr="00F15DE3">
        <w:rPr>
          <w:rFonts w:ascii="Arial" w:hAnsi="Arial" w:cs="Arial"/>
        </w:rPr>
        <w:t>.</w:t>
      </w:r>
      <w:r>
        <w:rPr>
          <w:rFonts w:ascii="Arial" w:hAnsi="Arial" w:cs="Arial"/>
        </w:rPr>
        <w:t xml:space="preserve"> </w:t>
      </w:r>
    </w:p>
    <w:p w14:paraId="04797A06" w14:textId="77777777" w:rsidR="00F15DE3" w:rsidRPr="00DB4CC2" w:rsidRDefault="00F15DE3" w:rsidP="00F15DE3">
      <w:pPr>
        <w:spacing w:line="259" w:lineRule="auto"/>
        <w:rPr>
          <w:rFonts w:ascii="Arial" w:hAnsi="Arial" w:cs="Arial"/>
          <w:sz w:val="18"/>
          <w:szCs w:val="18"/>
        </w:rPr>
      </w:pPr>
    </w:p>
    <w:p w14:paraId="763B1DD9" w14:textId="72D22F9C" w:rsidR="00F15DE3" w:rsidRPr="00F15DE3" w:rsidRDefault="00F15DE3" w:rsidP="00F15DE3">
      <w:pPr>
        <w:spacing w:line="259" w:lineRule="auto"/>
        <w:rPr>
          <w:rFonts w:ascii="Arial" w:hAnsi="Arial" w:cs="Arial"/>
          <w:b/>
          <w:bCs/>
          <w:i/>
          <w:iCs/>
        </w:rPr>
      </w:pPr>
      <w:r w:rsidRPr="00F15DE3">
        <w:rPr>
          <w:rFonts w:ascii="Arial" w:hAnsi="Arial" w:cs="Arial"/>
          <w:b/>
          <w:bCs/>
          <w:i/>
          <w:iCs/>
        </w:rPr>
        <w:t>Basis for Opinions</w:t>
      </w:r>
    </w:p>
    <w:p w14:paraId="477F6B7B" w14:textId="1ABFC0B1" w:rsidR="00F15DE3" w:rsidRPr="00F15DE3" w:rsidRDefault="00F15DE3" w:rsidP="00F15DE3">
      <w:pPr>
        <w:spacing w:line="259" w:lineRule="auto"/>
        <w:rPr>
          <w:rFonts w:ascii="Arial" w:hAnsi="Arial" w:cs="Arial"/>
        </w:rPr>
      </w:pPr>
      <w:r w:rsidRPr="00F15DE3">
        <w:rPr>
          <w:rFonts w:ascii="Arial" w:hAnsi="Arial" w:cs="Arial"/>
        </w:rPr>
        <w:t>We conducted our audits in accordance with auditing standards generally accepted in the United States</w:t>
      </w:r>
      <w:r>
        <w:rPr>
          <w:rFonts w:ascii="Arial" w:hAnsi="Arial" w:cs="Arial"/>
        </w:rPr>
        <w:t xml:space="preserve"> </w:t>
      </w:r>
      <w:r w:rsidRPr="00F15DE3">
        <w:rPr>
          <w:rFonts w:ascii="Arial" w:hAnsi="Arial" w:cs="Arial"/>
        </w:rPr>
        <w:t xml:space="preserve">of America (GAAS) and the standards applicable to financial audits contained in </w:t>
      </w:r>
      <w:r w:rsidRPr="00F15DE3">
        <w:rPr>
          <w:rFonts w:ascii="Arial" w:hAnsi="Arial" w:cs="Arial"/>
          <w:i/>
          <w:iCs/>
        </w:rPr>
        <w:t>Government Auditing</w:t>
      </w:r>
      <w:r w:rsidRPr="00577019">
        <w:rPr>
          <w:rFonts w:ascii="Arial" w:hAnsi="Arial" w:cs="Arial"/>
          <w:i/>
          <w:iCs/>
        </w:rPr>
        <w:t xml:space="preserve"> </w:t>
      </w:r>
      <w:r w:rsidRPr="00F15DE3">
        <w:rPr>
          <w:rFonts w:ascii="Arial" w:hAnsi="Arial" w:cs="Arial"/>
          <w:i/>
          <w:iCs/>
        </w:rPr>
        <w:t>Standards</w:t>
      </w:r>
      <w:r w:rsidRPr="00F15DE3">
        <w:rPr>
          <w:rFonts w:ascii="Arial" w:hAnsi="Arial" w:cs="Arial"/>
        </w:rPr>
        <w:t>, issued by the Comptroller General of the United States. Our responsibilities under those</w:t>
      </w:r>
      <w:r>
        <w:rPr>
          <w:rFonts w:ascii="Arial" w:hAnsi="Arial" w:cs="Arial"/>
        </w:rPr>
        <w:t xml:space="preserve"> </w:t>
      </w:r>
      <w:r w:rsidRPr="00F15DE3">
        <w:rPr>
          <w:rFonts w:ascii="Arial" w:hAnsi="Arial" w:cs="Arial"/>
        </w:rPr>
        <w:t>standards are further described in the Auditors</w:t>
      </w:r>
      <w:r>
        <w:rPr>
          <w:rFonts w:ascii="Arial" w:hAnsi="Arial" w:cs="Arial"/>
        </w:rPr>
        <w:t>’</w:t>
      </w:r>
      <w:r w:rsidRPr="00F15DE3">
        <w:rPr>
          <w:rFonts w:ascii="Arial" w:hAnsi="Arial" w:cs="Arial"/>
        </w:rPr>
        <w:t xml:space="preserve"> Responsibilities for the Audit of the Financial</w:t>
      </w:r>
    </w:p>
    <w:p w14:paraId="7E4B33E2" w14:textId="77777777" w:rsidR="00F15DE3" w:rsidRPr="00F15DE3" w:rsidRDefault="00F15DE3" w:rsidP="00F15DE3">
      <w:pPr>
        <w:spacing w:line="259" w:lineRule="auto"/>
        <w:rPr>
          <w:rFonts w:ascii="Arial" w:hAnsi="Arial" w:cs="Arial"/>
        </w:rPr>
      </w:pPr>
      <w:r w:rsidRPr="00F15DE3">
        <w:rPr>
          <w:rFonts w:ascii="Arial" w:hAnsi="Arial" w:cs="Arial"/>
        </w:rPr>
        <w:t xml:space="preserve">Statements section of our report. We are required to be independent of the System and to meet </w:t>
      </w:r>
      <w:proofErr w:type="gramStart"/>
      <w:r w:rsidRPr="00F15DE3">
        <w:rPr>
          <w:rFonts w:ascii="Arial" w:hAnsi="Arial" w:cs="Arial"/>
        </w:rPr>
        <w:t>our</w:t>
      </w:r>
      <w:proofErr w:type="gramEnd"/>
    </w:p>
    <w:p w14:paraId="7047B6DE" w14:textId="63DEE0CF" w:rsidR="00F15DE3" w:rsidRPr="00F15DE3" w:rsidRDefault="00F15DE3" w:rsidP="00F15DE3">
      <w:pPr>
        <w:spacing w:line="259" w:lineRule="auto"/>
        <w:rPr>
          <w:rFonts w:ascii="Arial" w:hAnsi="Arial" w:cs="Arial"/>
          <w:i/>
          <w:iCs/>
        </w:rPr>
      </w:pPr>
      <w:r w:rsidRPr="00F15DE3">
        <w:rPr>
          <w:rFonts w:ascii="Arial" w:hAnsi="Arial" w:cs="Arial"/>
        </w:rPr>
        <w:t>other ethical responsibilities, in accordance with the relevant ethical requirements relating to our audits.</w:t>
      </w:r>
      <w:r>
        <w:rPr>
          <w:rFonts w:ascii="Arial" w:hAnsi="Arial" w:cs="Arial"/>
        </w:rPr>
        <w:t xml:space="preserve"> </w:t>
      </w:r>
      <w:r w:rsidRPr="00F15DE3">
        <w:rPr>
          <w:rFonts w:ascii="Arial" w:hAnsi="Arial" w:cs="Arial"/>
        </w:rPr>
        <w:t>We believe that the audit evidence we have obtained is sufficient and appropriate to provide a basis for</w:t>
      </w:r>
      <w:r>
        <w:rPr>
          <w:rFonts w:ascii="Arial" w:hAnsi="Arial" w:cs="Arial"/>
        </w:rPr>
        <w:t xml:space="preserve"> </w:t>
      </w:r>
      <w:r w:rsidRPr="00F15DE3">
        <w:rPr>
          <w:rFonts w:ascii="Arial" w:hAnsi="Arial" w:cs="Arial"/>
        </w:rPr>
        <w:t>our audit opinions. The financial statements of the discretely presented component unit, the University</w:t>
      </w:r>
      <w:r>
        <w:rPr>
          <w:rFonts w:ascii="Arial" w:hAnsi="Arial" w:cs="Arial"/>
        </w:rPr>
        <w:t xml:space="preserve"> </w:t>
      </w:r>
      <w:r w:rsidRPr="00F15DE3">
        <w:rPr>
          <w:rFonts w:ascii="Arial" w:hAnsi="Arial" w:cs="Arial"/>
        </w:rPr>
        <w:t xml:space="preserve">of Maine Foundation (Foundation), were not audited in accordance with </w:t>
      </w:r>
      <w:r w:rsidRPr="00F15DE3">
        <w:rPr>
          <w:rFonts w:ascii="Arial" w:hAnsi="Arial" w:cs="Arial"/>
          <w:i/>
          <w:iCs/>
        </w:rPr>
        <w:t>Government</w:t>
      </w:r>
    </w:p>
    <w:p w14:paraId="73ED6CF3" w14:textId="77777777" w:rsidR="00DB4CC2" w:rsidRDefault="00F15DE3" w:rsidP="00DB4CC2">
      <w:pPr>
        <w:spacing w:after="240" w:line="259" w:lineRule="auto"/>
        <w:rPr>
          <w:rFonts w:ascii="Arial" w:hAnsi="Arial" w:cs="Arial"/>
        </w:rPr>
      </w:pPr>
      <w:r w:rsidRPr="00F15DE3">
        <w:rPr>
          <w:rFonts w:ascii="Arial" w:hAnsi="Arial" w:cs="Arial"/>
          <w:i/>
          <w:iCs/>
        </w:rPr>
        <w:t>Auditing Standards</w:t>
      </w:r>
      <w:r w:rsidRPr="00F15DE3">
        <w:rPr>
          <w:rFonts w:ascii="Arial" w:hAnsi="Arial" w:cs="Arial"/>
        </w:rPr>
        <w:t>.</w:t>
      </w:r>
    </w:p>
    <w:p w14:paraId="6DA0E780" w14:textId="0128829B" w:rsidR="00893317" w:rsidRPr="00F15DE3" w:rsidRDefault="00DB4CC2" w:rsidP="00F15DE3">
      <w:pPr>
        <w:spacing w:line="259" w:lineRule="auto"/>
        <w:rPr>
          <w:rFonts w:ascii="Arial" w:eastAsia="Arial" w:hAnsi="Arial" w:cs="Arial"/>
        </w:rPr>
      </w:pPr>
      <w:r w:rsidRPr="0038646E">
        <w:rPr>
          <w:rFonts w:ascii="Calibri" w:eastAsia="Arial" w:hAnsi="Arial" w:cs="Arial"/>
          <w:color w:val="707570"/>
          <w:sz w:val="15"/>
        </w:rPr>
        <w:t>CLA</w:t>
      </w:r>
      <w:r w:rsidRPr="0038646E">
        <w:rPr>
          <w:rFonts w:ascii="Calibri" w:eastAsia="Arial" w:hAnsi="Arial" w:cs="Arial"/>
          <w:color w:val="707570"/>
          <w:spacing w:val="-5"/>
          <w:sz w:val="15"/>
        </w:rPr>
        <w:t xml:space="preserve"> </w:t>
      </w:r>
      <w:r w:rsidRPr="0038646E">
        <w:rPr>
          <w:rFonts w:ascii="Calibri" w:eastAsia="Arial" w:hAnsi="Arial" w:cs="Arial"/>
          <w:color w:val="707570"/>
          <w:sz w:val="15"/>
        </w:rPr>
        <w:t>(CliftonLarsonAllen</w:t>
      </w:r>
      <w:r w:rsidRPr="0038646E">
        <w:rPr>
          <w:rFonts w:ascii="Calibri" w:eastAsia="Arial" w:hAnsi="Arial" w:cs="Arial"/>
          <w:color w:val="707570"/>
          <w:spacing w:val="-3"/>
          <w:sz w:val="15"/>
        </w:rPr>
        <w:t xml:space="preserve"> </w:t>
      </w:r>
      <w:r w:rsidRPr="0038646E">
        <w:rPr>
          <w:rFonts w:ascii="Calibri" w:eastAsia="Arial" w:hAnsi="Arial" w:cs="Arial"/>
          <w:color w:val="707570"/>
          <w:sz w:val="15"/>
        </w:rPr>
        <w:t>LLP)</w:t>
      </w:r>
      <w:r w:rsidRPr="0038646E">
        <w:rPr>
          <w:rFonts w:ascii="Calibri" w:eastAsia="Arial" w:hAnsi="Arial" w:cs="Arial"/>
          <w:color w:val="707570"/>
          <w:spacing w:val="-4"/>
          <w:sz w:val="15"/>
        </w:rPr>
        <w:t xml:space="preserve"> </w:t>
      </w:r>
      <w:r w:rsidRPr="0038646E">
        <w:rPr>
          <w:rFonts w:ascii="Calibri" w:eastAsia="Arial" w:hAnsi="Arial" w:cs="Arial"/>
          <w:color w:val="707570"/>
          <w:sz w:val="15"/>
        </w:rPr>
        <w:t>is</w:t>
      </w:r>
      <w:r w:rsidRPr="0038646E">
        <w:rPr>
          <w:rFonts w:ascii="Calibri" w:eastAsia="Arial" w:hAnsi="Arial" w:cs="Arial"/>
          <w:color w:val="707570"/>
          <w:spacing w:val="-4"/>
          <w:sz w:val="15"/>
        </w:rPr>
        <w:t xml:space="preserve"> </w:t>
      </w:r>
      <w:r w:rsidRPr="0038646E">
        <w:rPr>
          <w:rFonts w:ascii="Calibri" w:eastAsia="Arial" w:hAnsi="Arial" w:cs="Arial"/>
          <w:color w:val="707570"/>
          <w:sz w:val="15"/>
        </w:rPr>
        <w:t>an</w:t>
      </w:r>
      <w:r w:rsidRPr="0038646E">
        <w:rPr>
          <w:rFonts w:ascii="Calibri" w:eastAsia="Arial" w:hAnsi="Arial" w:cs="Arial"/>
          <w:color w:val="707570"/>
          <w:spacing w:val="-3"/>
          <w:sz w:val="15"/>
        </w:rPr>
        <w:t xml:space="preserve"> </w:t>
      </w:r>
      <w:r w:rsidRPr="0038646E">
        <w:rPr>
          <w:rFonts w:ascii="Calibri" w:eastAsia="Arial" w:hAnsi="Arial" w:cs="Arial"/>
          <w:color w:val="707570"/>
          <w:sz w:val="15"/>
        </w:rPr>
        <w:t>independent</w:t>
      </w:r>
      <w:r w:rsidRPr="0038646E">
        <w:rPr>
          <w:rFonts w:ascii="Calibri" w:eastAsia="Arial" w:hAnsi="Arial" w:cs="Arial"/>
          <w:color w:val="707570"/>
          <w:spacing w:val="-4"/>
          <w:sz w:val="15"/>
        </w:rPr>
        <w:t xml:space="preserve"> </w:t>
      </w:r>
      <w:r w:rsidRPr="0038646E">
        <w:rPr>
          <w:rFonts w:ascii="Calibri" w:eastAsia="Arial" w:hAnsi="Arial" w:cs="Arial"/>
          <w:color w:val="707570"/>
          <w:sz w:val="15"/>
        </w:rPr>
        <w:t>network</w:t>
      </w:r>
      <w:r w:rsidRPr="0038646E">
        <w:rPr>
          <w:rFonts w:ascii="Calibri" w:eastAsia="Arial" w:hAnsi="Arial" w:cs="Arial"/>
          <w:color w:val="707570"/>
          <w:spacing w:val="-5"/>
          <w:sz w:val="15"/>
        </w:rPr>
        <w:t xml:space="preserve"> </w:t>
      </w:r>
      <w:r w:rsidRPr="0038646E">
        <w:rPr>
          <w:rFonts w:ascii="Calibri" w:eastAsia="Arial" w:hAnsi="Arial" w:cs="Arial"/>
          <w:color w:val="707570"/>
          <w:sz w:val="15"/>
        </w:rPr>
        <w:t>member</w:t>
      </w:r>
      <w:r w:rsidRPr="0038646E">
        <w:rPr>
          <w:rFonts w:ascii="Calibri" w:eastAsia="Arial" w:hAnsi="Arial" w:cs="Arial"/>
          <w:color w:val="707570"/>
          <w:spacing w:val="-1"/>
          <w:sz w:val="15"/>
        </w:rPr>
        <w:t xml:space="preserve"> </w:t>
      </w:r>
      <w:r w:rsidRPr="0038646E">
        <w:rPr>
          <w:rFonts w:ascii="Calibri" w:eastAsia="Arial" w:hAnsi="Arial" w:cs="Arial"/>
          <w:color w:val="707570"/>
          <w:sz w:val="15"/>
        </w:rPr>
        <w:t>of</w:t>
      </w:r>
      <w:r w:rsidRPr="0038646E">
        <w:rPr>
          <w:rFonts w:ascii="Calibri" w:eastAsia="Arial" w:hAnsi="Arial" w:cs="Arial"/>
          <w:color w:val="707570"/>
          <w:spacing w:val="-3"/>
          <w:sz w:val="15"/>
        </w:rPr>
        <w:t xml:space="preserve"> </w:t>
      </w:r>
      <w:r w:rsidRPr="0038646E">
        <w:rPr>
          <w:rFonts w:ascii="Calibri" w:eastAsia="Arial" w:hAnsi="Arial" w:cs="Arial"/>
          <w:color w:val="707570"/>
          <w:sz w:val="15"/>
        </w:rPr>
        <w:t>CLA</w:t>
      </w:r>
      <w:r w:rsidRPr="0038646E">
        <w:rPr>
          <w:rFonts w:ascii="Calibri" w:eastAsia="Arial" w:hAnsi="Arial" w:cs="Arial"/>
          <w:color w:val="707570"/>
          <w:spacing w:val="-3"/>
          <w:sz w:val="15"/>
        </w:rPr>
        <w:t xml:space="preserve"> </w:t>
      </w:r>
      <w:r w:rsidRPr="0038646E">
        <w:rPr>
          <w:rFonts w:ascii="Calibri" w:eastAsia="Arial" w:hAnsi="Arial" w:cs="Arial"/>
          <w:color w:val="707570"/>
          <w:sz w:val="15"/>
        </w:rPr>
        <w:t>Global.</w:t>
      </w:r>
      <w:r w:rsidRPr="0038646E">
        <w:rPr>
          <w:rFonts w:ascii="Calibri" w:eastAsia="Arial" w:hAnsi="Arial" w:cs="Arial"/>
          <w:color w:val="707570"/>
          <w:spacing w:val="-8"/>
          <w:sz w:val="15"/>
        </w:rPr>
        <w:t xml:space="preserve"> </w:t>
      </w:r>
      <w:r w:rsidRPr="0038646E">
        <w:rPr>
          <w:rFonts w:ascii="Calibri" w:eastAsia="Arial" w:hAnsi="Arial" w:cs="Arial"/>
          <w:color w:val="707570"/>
          <w:sz w:val="15"/>
        </w:rPr>
        <w:t xml:space="preserve">See </w:t>
      </w:r>
      <w:r w:rsidRPr="00516648">
        <w:rPr>
          <w:rFonts w:ascii="Calibri" w:eastAsia="Arial" w:hAnsi="Arial" w:cs="Arial"/>
          <w:color w:val="0000FF"/>
          <w:spacing w:val="-2"/>
          <w:sz w:val="15"/>
          <w:u w:val="single" w:color="0000FF"/>
        </w:rPr>
        <w:t>CLAglobal.com/disclaimer</w:t>
      </w:r>
      <w:r w:rsidRPr="0038646E">
        <w:rPr>
          <w:rFonts w:ascii="Calibri" w:eastAsia="Arial" w:hAnsi="Arial" w:cs="Arial"/>
          <w:color w:val="707570"/>
          <w:spacing w:val="-2"/>
          <w:sz w:val="15"/>
        </w:rPr>
        <w:t>.</w:t>
      </w:r>
      <w:r w:rsidR="00893317" w:rsidRPr="00F15DE3">
        <w:rPr>
          <w:rFonts w:ascii="Arial" w:eastAsia="Arial" w:hAnsi="Arial" w:cs="Arial"/>
        </w:rPr>
        <w:br w:type="page"/>
      </w:r>
    </w:p>
    <w:p w14:paraId="0FF809A1"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lastRenderedPageBreak/>
        <w:t>Board of Trustees</w:t>
      </w:r>
    </w:p>
    <w:p w14:paraId="39961D50"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University of Maine System</w:t>
      </w:r>
    </w:p>
    <w:p w14:paraId="169244F9" w14:textId="77777777" w:rsidR="00F15DE3" w:rsidRDefault="00F15DE3" w:rsidP="00F15DE3">
      <w:pPr>
        <w:widowControl w:val="0"/>
        <w:autoSpaceDE w:val="0"/>
        <w:autoSpaceDN w:val="0"/>
        <w:jc w:val="both"/>
        <w:rPr>
          <w:rFonts w:ascii="Arial" w:eastAsia="Arial" w:hAnsi="Arial" w:cs="Arial"/>
        </w:rPr>
      </w:pPr>
    </w:p>
    <w:p w14:paraId="4EEF45E7" w14:textId="78635A75" w:rsidR="00F15DE3" w:rsidRPr="00F15DE3" w:rsidRDefault="00F15DE3" w:rsidP="00F15DE3">
      <w:pPr>
        <w:widowControl w:val="0"/>
        <w:autoSpaceDE w:val="0"/>
        <w:autoSpaceDN w:val="0"/>
        <w:jc w:val="both"/>
        <w:rPr>
          <w:rFonts w:ascii="Arial" w:eastAsia="Arial" w:hAnsi="Arial" w:cs="Arial"/>
          <w:b/>
          <w:bCs/>
          <w:i/>
          <w:iCs/>
        </w:rPr>
      </w:pPr>
      <w:r w:rsidRPr="00F15DE3">
        <w:rPr>
          <w:rFonts w:ascii="Arial" w:eastAsia="Arial" w:hAnsi="Arial" w:cs="Arial"/>
          <w:b/>
          <w:bCs/>
          <w:i/>
          <w:iCs/>
        </w:rPr>
        <w:t>Emphasis of Matter</w:t>
      </w:r>
    </w:p>
    <w:p w14:paraId="4C597F77"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As discussed in Note 18 to the financial statements, the University implemented the provisions of</w:t>
      </w:r>
    </w:p>
    <w:p w14:paraId="207BDC30"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 xml:space="preserve">Government Accounting Standards Board (GASB) Statement No. 101, </w:t>
      </w:r>
      <w:r w:rsidRPr="00F15DE3">
        <w:rPr>
          <w:rFonts w:ascii="Arial" w:eastAsia="Arial" w:hAnsi="Arial" w:cs="Arial"/>
          <w:i/>
          <w:iCs/>
        </w:rPr>
        <w:t>Compensated Absences</w:t>
      </w:r>
      <w:r w:rsidRPr="00F15DE3">
        <w:rPr>
          <w:rFonts w:ascii="Arial" w:eastAsia="Arial" w:hAnsi="Arial" w:cs="Arial"/>
        </w:rPr>
        <w:t>, for the</w:t>
      </w:r>
    </w:p>
    <w:p w14:paraId="4ABADCC0"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year ended June 30, 2025, which represents a change in accounting principles. Accordingly, the net</w:t>
      </w:r>
    </w:p>
    <w:p w14:paraId="7DB39E3E"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position balance has been restated as of July 1, 2024. Our opinions are not modified with respect to</w:t>
      </w:r>
    </w:p>
    <w:p w14:paraId="6ECAB153"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this matter.</w:t>
      </w:r>
    </w:p>
    <w:p w14:paraId="5DB5F102" w14:textId="77777777" w:rsidR="00F15DE3" w:rsidRDefault="00F15DE3" w:rsidP="00F15DE3">
      <w:pPr>
        <w:widowControl w:val="0"/>
        <w:autoSpaceDE w:val="0"/>
        <w:autoSpaceDN w:val="0"/>
        <w:jc w:val="both"/>
        <w:rPr>
          <w:rFonts w:ascii="Arial" w:eastAsia="Arial" w:hAnsi="Arial" w:cs="Arial"/>
        </w:rPr>
      </w:pPr>
    </w:p>
    <w:p w14:paraId="7101A048" w14:textId="046CD1B6" w:rsidR="00F15DE3" w:rsidRPr="00F15DE3" w:rsidRDefault="00F15DE3" w:rsidP="00F15DE3">
      <w:pPr>
        <w:widowControl w:val="0"/>
        <w:autoSpaceDE w:val="0"/>
        <w:autoSpaceDN w:val="0"/>
        <w:jc w:val="both"/>
        <w:rPr>
          <w:rFonts w:ascii="Arial" w:eastAsia="Arial" w:hAnsi="Arial" w:cs="Arial"/>
          <w:b/>
          <w:bCs/>
          <w:i/>
          <w:iCs/>
        </w:rPr>
      </w:pPr>
      <w:r w:rsidRPr="00F15DE3">
        <w:rPr>
          <w:rFonts w:ascii="Arial" w:eastAsia="Arial" w:hAnsi="Arial" w:cs="Arial"/>
          <w:b/>
          <w:bCs/>
          <w:i/>
          <w:iCs/>
        </w:rPr>
        <w:t>Responsibilities of Management for the Financial Statements</w:t>
      </w:r>
    </w:p>
    <w:p w14:paraId="666ECFFB"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Management is responsible for the preparation and fair presentation of the financial statements in</w:t>
      </w:r>
    </w:p>
    <w:p w14:paraId="442DCAB1"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accordance with accounting principles generally accepted in the United States of America, and for the</w:t>
      </w:r>
    </w:p>
    <w:p w14:paraId="2BC5C178"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design, implementation, and maintenance of internal control relevant to the preparation and fair</w:t>
      </w:r>
    </w:p>
    <w:p w14:paraId="5C9BD1EA"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presentation of financial statements that are free from material misstatement, whether due to fraud</w:t>
      </w:r>
    </w:p>
    <w:p w14:paraId="60D0D61F" w14:textId="77777777" w:rsid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or error.</w:t>
      </w:r>
    </w:p>
    <w:p w14:paraId="2549CFEB" w14:textId="77777777" w:rsidR="00F15DE3" w:rsidRPr="00F15DE3" w:rsidRDefault="00F15DE3" w:rsidP="00F15DE3">
      <w:pPr>
        <w:widowControl w:val="0"/>
        <w:autoSpaceDE w:val="0"/>
        <w:autoSpaceDN w:val="0"/>
        <w:jc w:val="both"/>
        <w:rPr>
          <w:rFonts w:ascii="Arial" w:eastAsia="Arial" w:hAnsi="Arial" w:cs="Arial"/>
        </w:rPr>
      </w:pPr>
    </w:p>
    <w:p w14:paraId="46B3547A"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In preparing the financial statements, management is required to evaluate whether there are conditions</w:t>
      </w:r>
    </w:p>
    <w:p w14:paraId="68BCB7C4" w14:textId="6DFF89BA"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or events, considered in the aggregate, that raise substantial doubt about the System’s ability to</w:t>
      </w:r>
    </w:p>
    <w:p w14:paraId="2AE2C62D"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continue as a going concern for twelve months beyond the financial statement date, including any</w:t>
      </w:r>
    </w:p>
    <w:p w14:paraId="58D97C5F"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currently known information that may raise substantial doubt shortly thereafter.</w:t>
      </w:r>
    </w:p>
    <w:p w14:paraId="18885106" w14:textId="77777777" w:rsidR="00F15DE3" w:rsidRDefault="00F15DE3" w:rsidP="00F15DE3">
      <w:pPr>
        <w:widowControl w:val="0"/>
        <w:autoSpaceDE w:val="0"/>
        <w:autoSpaceDN w:val="0"/>
        <w:jc w:val="both"/>
        <w:rPr>
          <w:rFonts w:ascii="Arial" w:eastAsia="Arial" w:hAnsi="Arial" w:cs="Arial"/>
        </w:rPr>
      </w:pPr>
    </w:p>
    <w:p w14:paraId="2A85220D" w14:textId="5F2E628F" w:rsidR="00F15DE3" w:rsidRPr="00F15DE3" w:rsidRDefault="00F15DE3" w:rsidP="00F15DE3">
      <w:pPr>
        <w:widowControl w:val="0"/>
        <w:autoSpaceDE w:val="0"/>
        <w:autoSpaceDN w:val="0"/>
        <w:jc w:val="both"/>
        <w:rPr>
          <w:rFonts w:ascii="Arial" w:eastAsia="Arial" w:hAnsi="Arial" w:cs="Arial"/>
          <w:b/>
          <w:bCs/>
          <w:i/>
          <w:iCs/>
        </w:rPr>
      </w:pPr>
      <w:r w:rsidRPr="00F15DE3">
        <w:rPr>
          <w:rFonts w:ascii="Arial" w:eastAsia="Arial" w:hAnsi="Arial" w:cs="Arial"/>
          <w:b/>
          <w:bCs/>
          <w:i/>
          <w:iCs/>
        </w:rPr>
        <w:t>Auditors’ Responsibilities for the Audit of the Financial Statements</w:t>
      </w:r>
    </w:p>
    <w:p w14:paraId="507828E2"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Our objectives are to obtain reasonable assurance about whether the financial statements as a whole</w:t>
      </w:r>
    </w:p>
    <w:p w14:paraId="2CC54FFA" w14:textId="466C157C"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are free from material misstatement, whether due to fraud or error, and to issue an auditors</w:t>
      </w:r>
      <w:r w:rsidR="00577019">
        <w:rPr>
          <w:rFonts w:ascii="Arial" w:eastAsia="Arial" w:hAnsi="Arial" w:cs="Arial"/>
        </w:rPr>
        <w:t>’</w:t>
      </w:r>
      <w:r w:rsidRPr="00F15DE3">
        <w:rPr>
          <w:rFonts w:ascii="Arial" w:eastAsia="Arial" w:hAnsi="Arial" w:cs="Arial"/>
        </w:rPr>
        <w:t xml:space="preserve"> report that</w:t>
      </w:r>
    </w:p>
    <w:p w14:paraId="2899F68C"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includes our opinions. Reasonable assurance is a high level of assurance but is not absolute assurance</w:t>
      </w:r>
    </w:p>
    <w:p w14:paraId="359432B3" w14:textId="77777777" w:rsidR="00F15DE3" w:rsidRPr="00F15DE3" w:rsidRDefault="00F15DE3" w:rsidP="00F15DE3">
      <w:pPr>
        <w:widowControl w:val="0"/>
        <w:autoSpaceDE w:val="0"/>
        <w:autoSpaceDN w:val="0"/>
        <w:jc w:val="both"/>
        <w:rPr>
          <w:rFonts w:ascii="Arial" w:eastAsia="Arial" w:hAnsi="Arial" w:cs="Arial"/>
          <w:i/>
          <w:iCs/>
        </w:rPr>
      </w:pPr>
      <w:r w:rsidRPr="00F15DE3">
        <w:rPr>
          <w:rFonts w:ascii="Arial" w:eastAsia="Arial" w:hAnsi="Arial" w:cs="Arial"/>
        </w:rPr>
        <w:t xml:space="preserve">and </w:t>
      </w:r>
      <w:proofErr w:type="gramStart"/>
      <w:r w:rsidRPr="00F15DE3">
        <w:rPr>
          <w:rFonts w:ascii="Arial" w:eastAsia="Arial" w:hAnsi="Arial" w:cs="Arial"/>
        </w:rPr>
        <w:t>therefore</w:t>
      </w:r>
      <w:proofErr w:type="gramEnd"/>
      <w:r w:rsidRPr="00F15DE3">
        <w:rPr>
          <w:rFonts w:ascii="Arial" w:eastAsia="Arial" w:hAnsi="Arial" w:cs="Arial"/>
        </w:rPr>
        <w:t xml:space="preserve"> is not a guarantee that an audit conducted in accordance with GAAS and </w:t>
      </w:r>
      <w:r w:rsidRPr="00F15DE3">
        <w:rPr>
          <w:rFonts w:ascii="Arial" w:eastAsia="Arial" w:hAnsi="Arial" w:cs="Arial"/>
          <w:i/>
          <w:iCs/>
        </w:rPr>
        <w:t>Government</w:t>
      </w:r>
    </w:p>
    <w:p w14:paraId="232B826B" w14:textId="51427B09"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i/>
          <w:iCs/>
        </w:rPr>
        <w:t>Auditing Standards</w:t>
      </w:r>
      <w:r w:rsidRPr="00F15DE3">
        <w:rPr>
          <w:rFonts w:ascii="Arial" w:eastAsia="Arial" w:hAnsi="Arial" w:cs="Arial"/>
        </w:rPr>
        <w:t xml:space="preserve"> will always detect a material </w:t>
      </w:r>
      <w:proofErr w:type="gramStart"/>
      <w:r w:rsidRPr="00F15DE3">
        <w:rPr>
          <w:rFonts w:ascii="Arial" w:eastAsia="Arial" w:hAnsi="Arial" w:cs="Arial"/>
        </w:rPr>
        <w:t>misstatement</w:t>
      </w:r>
      <w:proofErr w:type="gramEnd"/>
      <w:r w:rsidRPr="00F15DE3">
        <w:rPr>
          <w:rFonts w:ascii="Arial" w:eastAsia="Arial" w:hAnsi="Arial" w:cs="Arial"/>
        </w:rPr>
        <w:t xml:space="preserve"> when </w:t>
      </w:r>
      <w:proofErr w:type="gramStart"/>
      <w:r w:rsidRPr="00F15DE3">
        <w:rPr>
          <w:rFonts w:ascii="Arial" w:eastAsia="Arial" w:hAnsi="Arial" w:cs="Arial"/>
        </w:rPr>
        <w:t>it exists</w:t>
      </w:r>
      <w:proofErr w:type="gramEnd"/>
      <w:r w:rsidRPr="00F15DE3">
        <w:rPr>
          <w:rFonts w:ascii="Arial" w:eastAsia="Arial" w:hAnsi="Arial" w:cs="Arial"/>
        </w:rPr>
        <w:t>. The risk of not detecting a</w:t>
      </w:r>
      <w:r>
        <w:rPr>
          <w:rFonts w:ascii="Arial" w:eastAsia="Arial" w:hAnsi="Arial" w:cs="Arial"/>
        </w:rPr>
        <w:t xml:space="preserve"> </w:t>
      </w:r>
      <w:r w:rsidRPr="00F15DE3">
        <w:rPr>
          <w:rFonts w:ascii="Arial" w:eastAsia="Arial" w:hAnsi="Arial" w:cs="Arial"/>
        </w:rPr>
        <w:t xml:space="preserve">material </w:t>
      </w:r>
      <w:proofErr w:type="gramStart"/>
      <w:r w:rsidRPr="00F15DE3">
        <w:rPr>
          <w:rFonts w:ascii="Arial" w:eastAsia="Arial" w:hAnsi="Arial" w:cs="Arial"/>
        </w:rPr>
        <w:t>misstatement</w:t>
      </w:r>
      <w:proofErr w:type="gramEnd"/>
      <w:r w:rsidRPr="00F15DE3">
        <w:rPr>
          <w:rFonts w:ascii="Arial" w:eastAsia="Arial" w:hAnsi="Arial" w:cs="Arial"/>
        </w:rPr>
        <w:t xml:space="preserve"> resulting from fraud is higher than for one resulting from error, as fraud may</w:t>
      </w:r>
    </w:p>
    <w:p w14:paraId="57371118"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involve collusion, forgery, intentional omissions, misrepresentations, or the override of internal control.</w:t>
      </w:r>
    </w:p>
    <w:p w14:paraId="7697B7D5"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Misstatements are considered material if there is a substantial likelihood that, individually or in the</w:t>
      </w:r>
    </w:p>
    <w:p w14:paraId="357458B8"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aggregate, they would influence the judgment made by a reasonable user based on the financial</w:t>
      </w:r>
    </w:p>
    <w:p w14:paraId="4B7C6BE0" w14:textId="77777777" w:rsid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statements.</w:t>
      </w:r>
    </w:p>
    <w:p w14:paraId="300CB205" w14:textId="77777777" w:rsidR="00F15DE3" w:rsidRPr="00F15DE3" w:rsidRDefault="00F15DE3" w:rsidP="00F15DE3">
      <w:pPr>
        <w:widowControl w:val="0"/>
        <w:autoSpaceDE w:val="0"/>
        <w:autoSpaceDN w:val="0"/>
        <w:jc w:val="both"/>
        <w:rPr>
          <w:rFonts w:ascii="Arial" w:eastAsia="Arial" w:hAnsi="Arial" w:cs="Arial"/>
        </w:rPr>
      </w:pPr>
    </w:p>
    <w:p w14:paraId="7F4352D4"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 xml:space="preserve">In performing an audit in accordance with GAAS and </w:t>
      </w:r>
      <w:r w:rsidRPr="00F15DE3">
        <w:rPr>
          <w:rFonts w:ascii="Arial" w:eastAsia="Arial" w:hAnsi="Arial" w:cs="Arial"/>
          <w:i/>
          <w:iCs/>
        </w:rPr>
        <w:t>Government Auditing Standards</w:t>
      </w:r>
      <w:r w:rsidRPr="00F15DE3">
        <w:rPr>
          <w:rFonts w:ascii="Arial" w:eastAsia="Arial" w:hAnsi="Arial" w:cs="Arial"/>
        </w:rPr>
        <w:t>, we:</w:t>
      </w:r>
    </w:p>
    <w:p w14:paraId="54CD82C7" w14:textId="77777777" w:rsidR="00F15DE3" w:rsidRDefault="00F15DE3" w:rsidP="00F15DE3">
      <w:pPr>
        <w:pStyle w:val="ListParagraph"/>
        <w:widowControl w:val="0"/>
        <w:numPr>
          <w:ilvl w:val="0"/>
          <w:numId w:val="65"/>
        </w:numPr>
        <w:autoSpaceDE w:val="0"/>
        <w:autoSpaceDN w:val="0"/>
        <w:rPr>
          <w:rFonts w:ascii="Arial" w:eastAsia="Arial" w:hAnsi="Arial" w:cs="Arial"/>
          <w:sz w:val="22"/>
          <w:szCs w:val="22"/>
        </w:rPr>
      </w:pPr>
      <w:r w:rsidRPr="00F15DE3">
        <w:rPr>
          <w:rFonts w:ascii="Arial" w:eastAsia="Arial" w:hAnsi="Arial" w:cs="Arial"/>
          <w:sz w:val="22"/>
          <w:szCs w:val="22"/>
        </w:rPr>
        <w:t>Exercise professional judgment and maintain professional skepticism throughout the audits.</w:t>
      </w:r>
    </w:p>
    <w:p w14:paraId="3BB14926" w14:textId="77777777" w:rsidR="00F15DE3" w:rsidRPr="00F15DE3" w:rsidRDefault="00F15DE3" w:rsidP="00F15DE3">
      <w:pPr>
        <w:pStyle w:val="ListParagraph"/>
        <w:widowControl w:val="0"/>
        <w:autoSpaceDE w:val="0"/>
        <w:autoSpaceDN w:val="0"/>
        <w:jc w:val="both"/>
        <w:rPr>
          <w:rFonts w:ascii="Arial" w:eastAsia="Arial" w:hAnsi="Arial" w:cs="Arial"/>
          <w:sz w:val="22"/>
          <w:szCs w:val="22"/>
        </w:rPr>
      </w:pPr>
    </w:p>
    <w:p w14:paraId="0AC66C5F" w14:textId="674AFA49" w:rsidR="00F15DE3" w:rsidRDefault="00F15DE3" w:rsidP="00F15DE3">
      <w:pPr>
        <w:pStyle w:val="ListParagraph"/>
        <w:widowControl w:val="0"/>
        <w:numPr>
          <w:ilvl w:val="0"/>
          <w:numId w:val="65"/>
        </w:numPr>
        <w:autoSpaceDE w:val="0"/>
        <w:autoSpaceDN w:val="0"/>
        <w:rPr>
          <w:rFonts w:ascii="Arial" w:eastAsia="Arial" w:hAnsi="Arial" w:cs="Arial"/>
          <w:sz w:val="22"/>
          <w:szCs w:val="22"/>
        </w:rPr>
      </w:pPr>
      <w:r w:rsidRPr="00F15DE3">
        <w:rPr>
          <w:rFonts w:ascii="Arial" w:eastAsia="Arial" w:hAnsi="Arial" w:cs="Arial"/>
          <w:sz w:val="22"/>
          <w:szCs w:val="22"/>
        </w:rPr>
        <w:t>Identify and assess the risks of material misstatement of the financial statements, whether due to fraud or error, and design and perform audit procedures responsive to those risks. Such procedures include examining, on a test basis, evidence regarding the amounts and disclosures in the financial statements.</w:t>
      </w:r>
    </w:p>
    <w:p w14:paraId="352B2D12" w14:textId="77777777" w:rsidR="00F15DE3" w:rsidRPr="00F15DE3" w:rsidRDefault="00F15DE3" w:rsidP="00F15DE3">
      <w:pPr>
        <w:pStyle w:val="ListParagraph"/>
        <w:rPr>
          <w:rFonts w:ascii="Arial" w:eastAsia="Arial" w:hAnsi="Arial" w:cs="Arial"/>
          <w:sz w:val="22"/>
          <w:szCs w:val="22"/>
        </w:rPr>
      </w:pPr>
    </w:p>
    <w:p w14:paraId="4573C134" w14:textId="6D5CA719" w:rsidR="00F15DE3" w:rsidRPr="00F15DE3" w:rsidRDefault="00F15DE3" w:rsidP="00F15DE3">
      <w:pPr>
        <w:pStyle w:val="ListParagraph"/>
        <w:widowControl w:val="0"/>
        <w:numPr>
          <w:ilvl w:val="0"/>
          <w:numId w:val="65"/>
        </w:numPr>
        <w:autoSpaceDE w:val="0"/>
        <w:autoSpaceDN w:val="0"/>
        <w:rPr>
          <w:rFonts w:ascii="Arial" w:eastAsia="Arial" w:hAnsi="Arial" w:cs="Arial"/>
          <w:sz w:val="22"/>
          <w:szCs w:val="22"/>
        </w:rPr>
      </w:pPr>
      <w:r w:rsidRPr="00F15DE3">
        <w:rPr>
          <w:rFonts w:ascii="Arial" w:eastAsia="Arial" w:hAnsi="Arial" w:cs="Arial"/>
          <w:sz w:val="22"/>
          <w:szCs w:val="22"/>
        </w:rPr>
        <w:t xml:space="preserve">Obtain an understanding of internal control relevant to the audits </w:t>
      </w:r>
      <w:proofErr w:type="gramStart"/>
      <w:r w:rsidRPr="00F15DE3">
        <w:rPr>
          <w:rFonts w:ascii="Arial" w:eastAsia="Arial" w:hAnsi="Arial" w:cs="Arial"/>
          <w:sz w:val="22"/>
          <w:szCs w:val="22"/>
        </w:rPr>
        <w:t>in order to</w:t>
      </w:r>
      <w:proofErr w:type="gramEnd"/>
      <w:r w:rsidRPr="00F15DE3">
        <w:rPr>
          <w:rFonts w:ascii="Arial" w:eastAsia="Arial" w:hAnsi="Arial" w:cs="Arial"/>
          <w:sz w:val="22"/>
          <w:szCs w:val="22"/>
        </w:rPr>
        <w:t xml:space="preserve"> design audit procedures that are appropriate in the circumstances, but not for the purpose of expressing an opinion on the effectiveness of System’s internal control. Accordingly, no such opinion is expressed.</w:t>
      </w:r>
    </w:p>
    <w:p w14:paraId="51CCC4F9" w14:textId="77777777" w:rsidR="00F15DE3" w:rsidRDefault="00F15DE3">
      <w:pPr>
        <w:spacing w:after="160" w:line="259" w:lineRule="auto"/>
        <w:rPr>
          <w:rFonts w:ascii="Arial" w:eastAsia="Arial" w:hAnsi="Arial" w:cs="Arial"/>
        </w:rPr>
      </w:pPr>
      <w:r>
        <w:rPr>
          <w:rFonts w:ascii="Arial" w:eastAsia="Arial" w:hAnsi="Arial" w:cs="Arial"/>
        </w:rPr>
        <w:br w:type="page"/>
      </w:r>
    </w:p>
    <w:p w14:paraId="04C7B1C6" w14:textId="79231440"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lastRenderedPageBreak/>
        <w:t>Board of Trustees</w:t>
      </w:r>
    </w:p>
    <w:p w14:paraId="7BFBB026"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University of Maine System</w:t>
      </w:r>
    </w:p>
    <w:p w14:paraId="12BC47A0" w14:textId="77777777" w:rsidR="00F15DE3" w:rsidRDefault="00F15DE3" w:rsidP="00F15DE3">
      <w:pPr>
        <w:widowControl w:val="0"/>
        <w:autoSpaceDE w:val="0"/>
        <w:autoSpaceDN w:val="0"/>
        <w:jc w:val="both"/>
        <w:rPr>
          <w:rFonts w:ascii="Arial" w:eastAsia="Arial" w:hAnsi="Arial" w:cs="Arial"/>
        </w:rPr>
      </w:pPr>
    </w:p>
    <w:p w14:paraId="7F6883C4" w14:textId="4241D829" w:rsidR="00F15DE3" w:rsidRPr="00F15DE3" w:rsidRDefault="00F15DE3" w:rsidP="005A428D">
      <w:pPr>
        <w:pStyle w:val="ListParagraph"/>
        <w:widowControl w:val="0"/>
        <w:numPr>
          <w:ilvl w:val="0"/>
          <w:numId w:val="66"/>
        </w:numPr>
        <w:autoSpaceDE w:val="0"/>
        <w:autoSpaceDN w:val="0"/>
        <w:jc w:val="both"/>
        <w:rPr>
          <w:rFonts w:ascii="Arial" w:eastAsia="Arial" w:hAnsi="Arial" w:cs="Arial"/>
          <w:sz w:val="22"/>
          <w:szCs w:val="22"/>
        </w:rPr>
      </w:pPr>
      <w:r w:rsidRPr="00F15DE3">
        <w:rPr>
          <w:rFonts w:ascii="Arial" w:eastAsia="Arial" w:hAnsi="Arial" w:cs="Arial"/>
          <w:sz w:val="22"/>
          <w:szCs w:val="22"/>
        </w:rPr>
        <w:t>Evaluate the appropriateness of accounting policies used and the reasonableness of significant accounting estimates made by management, as well as evaluate the overall presentation of the financial statements.</w:t>
      </w:r>
    </w:p>
    <w:p w14:paraId="0CBFDE0B" w14:textId="77777777" w:rsidR="00F15DE3" w:rsidRPr="00F15DE3" w:rsidRDefault="00F15DE3" w:rsidP="00F15DE3">
      <w:pPr>
        <w:pStyle w:val="ListParagraph"/>
        <w:widowControl w:val="0"/>
        <w:autoSpaceDE w:val="0"/>
        <w:autoSpaceDN w:val="0"/>
        <w:jc w:val="both"/>
        <w:rPr>
          <w:rFonts w:ascii="Arial" w:eastAsia="Arial" w:hAnsi="Arial" w:cs="Arial"/>
          <w:sz w:val="22"/>
          <w:szCs w:val="22"/>
        </w:rPr>
      </w:pPr>
    </w:p>
    <w:p w14:paraId="5ECDB425" w14:textId="0A6CB1AF" w:rsidR="00F15DE3" w:rsidRPr="00F15DE3" w:rsidRDefault="00F15DE3" w:rsidP="00DC4ED5">
      <w:pPr>
        <w:pStyle w:val="ListParagraph"/>
        <w:widowControl w:val="0"/>
        <w:numPr>
          <w:ilvl w:val="0"/>
          <w:numId w:val="66"/>
        </w:numPr>
        <w:autoSpaceDE w:val="0"/>
        <w:autoSpaceDN w:val="0"/>
        <w:jc w:val="both"/>
        <w:rPr>
          <w:rFonts w:ascii="Arial" w:eastAsia="Arial" w:hAnsi="Arial" w:cs="Arial"/>
          <w:sz w:val="22"/>
          <w:szCs w:val="22"/>
        </w:rPr>
      </w:pPr>
      <w:r w:rsidRPr="00F15DE3">
        <w:rPr>
          <w:rFonts w:ascii="Arial" w:eastAsia="Arial" w:hAnsi="Arial" w:cs="Arial"/>
          <w:sz w:val="22"/>
          <w:szCs w:val="22"/>
        </w:rPr>
        <w:t xml:space="preserve">Conclude whether, in our judgment, there are conditions or </w:t>
      </w:r>
      <w:proofErr w:type="gramStart"/>
      <w:r w:rsidRPr="00F15DE3">
        <w:rPr>
          <w:rFonts w:ascii="Arial" w:eastAsia="Arial" w:hAnsi="Arial" w:cs="Arial"/>
          <w:sz w:val="22"/>
          <w:szCs w:val="22"/>
        </w:rPr>
        <w:t>events,</w:t>
      </w:r>
      <w:proofErr w:type="gramEnd"/>
      <w:r w:rsidRPr="00F15DE3">
        <w:rPr>
          <w:rFonts w:ascii="Arial" w:eastAsia="Arial" w:hAnsi="Arial" w:cs="Arial"/>
          <w:sz w:val="22"/>
          <w:szCs w:val="22"/>
        </w:rPr>
        <w:t xml:space="preserve"> considered in the </w:t>
      </w:r>
      <w:proofErr w:type="gramStart"/>
      <w:r w:rsidRPr="00F15DE3">
        <w:rPr>
          <w:rFonts w:ascii="Arial" w:eastAsia="Arial" w:hAnsi="Arial" w:cs="Arial"/>
          <w:sz w:val="22"/>
          <w:szCs w:val="22"/>
        </w:rPr>
        <w:t>aggregate,</w:t>
      </w:r>
      <w:proofErr w:type="gramEnd"/>
      <w:r w:rsidRPr="00F15DE3">
        <w:rPr>
          <w:rFonts w:ascii="Arial" w:eastAsia="Arial" w:hAnsi="Arial" w:cs="Arial"/>
          <w:sz w:val="22"/>
          <w:szCs w:val="22"/>
        </w:rPr>
        <w:t xml:space="preserve"> that raise substantial doubt about System’s ability to continue as a going concern for a reasonable </w:t>
      </w:r>
      <w:proofErr w:type="gramStart"/>
      <w:r w:rsidRPr="00F15DE3">
        <w:rPr>
          <w:rFonts w:ascii="Arial" w:eastAsia="Arial" w:hAnsi="Arial" w:cs="Arial"/>
          <w:sz w:val="22"/>
          <w:szCs w:val="22"/>
        </w:rPr>
        <w:t>period of time</w:t>
      </w:r>
      <w:proofErr w:type="gramEnd"/>
      <w:r w:rsidRPr="00F15DE3">
        <w:rPr>
          <w:rFonts w:ascii="Arial" w:eastAsia="Arial" w:hAnsi="Arial" w:cs="Arial"/>
          <w:sz w:val="22"/>
          <w:szCs w:val="22"/>
        </w:rPr>
        <w:t>.</w:t>
      </w:r>
    </w:p>
    <w:p w14:paraId="2F9B320B" w14:textId="77777777" w:rsidR="00F15DE3" w:rsidRDefault="00F15DE3" w:rsidP="00F15DE3">
      <w:pPr>
        <w:widowControl w:val="0"/>
        <w:autoSpaceDE w:val="0"/>
        <w:autoSpaceDN w:val="0"/>
        <w:jc w:val="both"/>
        <w:rPr>
          <w:rFonts w:ascii="Arial" w:eastAsia="Arial" w:hAnsi="Arial" w:cs="Arial"/>
        </w:rPr>
      </w:pPr>
    </w:p>
    <w:p w14:paraId="1484E60E" w14:textId="6382E515"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We are required to communicate with those charged with governance regarding, among other matters,</w:t>
      </w:r>
    </w:p>
    <w:p w14:paraId="497A6F2B"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the planned scope and timing of the audits, significant audit findings, and certain internal control related</w:t>
      </w:r>
    </w:p>
    <w:p w14:paraId="7907946B"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matters that we identified during the audits.</w:t>
      </w:r>
    </w:p>
    <w:p w14:paraId="45BA5BEE" w14:textId="77777777" w:rsidR="00F15DE3" w:rsidRDefault="00F15DE3" w:rsidP="00F15DE3">
      <w:pPr>
        <w:widowControl w:val="0"/>
        <w:autoSpaceDE w:val="0"/>
        <w:autoSpaceDN w:val="0"/>
        <w:jc w:val="both"/>
        <w:rPr>
          <w:rFonts w:ascii="Arial" w:eastAsia="Arial" w:hAnsi="Arial" w:cs="Arial"/>
        </w:rPr>
      </w:pPr>
    </w:p>
    <w:p w14:paraId="32D5B7DF" w14:textId="168349FE" w:rsidR="00F15DE3" w:rsidRPr="00F15DE3" w:rsidRDefault="00F15DE3" w:rsidP="00F15DE3">
      <w:pPr>
        <w:widowControl w:val="0"/>
        <w:autoSpaceDE w:val="0"/>
        <w:autoSpaceDN w:val="0"/>
        <w:jc w:val="both"/>
        <w:rPr>
          <w:rFonts w:ascii="Arial" w:eastAsia="Arial" w:hAnsi="Arial" w:cs="Arial"/>
          <w:b/>
          <w:bCs/>
          <w:i/>
          <w:iCs/>
        </w:rPr>
      </w:pPr>
      <w:r w:rsidRPr="00F15DE3">
        <w:rPr>
          <w:rFonts w:ascii="Arial" w:eastAsia="Arial" w:hAnsi="Arial" w:cs="Arial"/>
          <w:b/>
          <w:bCs/>
          <w:i/>
          <w:iCs/>
        </w:rPr>
        <w:t>Required Supplementary Information</w:t>
      </w:r>
    </w:p>
    <w:p w14:paraId="4BFBA82C"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Accounting principles generally accepted in the United States of America require that the</w:t>
      </w:r>
    </w:p>
    <w:p w14:paraId="106F88BD" w14:textId="198651EA" w:rsidR="00F15DE3" w:rsidRPr="00F15DE3" w:rsidRDefault="00F15DE3" w:rsidP="00F15DE3">
      <w:pPr>
        <w:widowControl w:val="0"/>
        <w:autoSpaceDE w:val="0"/>
        <w:autoSpaceDN w:val="0"/>
        <w:jc w:val="both"/>
        <w:rPr>
          <w:rFonts w:ascii="Arial" w:eastAsia="Arial" w:hAnsi="Arial" w:cs="Arial"/>
        </w:rPr>
      </w:pPr>
      <w:r>
        <w:rPr>
          <w:rFonts w:ascii="Arial" w:eastAsia="Arial" w:hAnsi="Arial" w:cs="Arial"/>
        </w:rPr>
        <w:t>m</w:t>
      </w:r>
      <w:r w:rsidRPr="00F15DE3">
        <w:rPr>
          <w:rFonts w:ascii="Arial" w:eastAsia="Arial" w:hAnsi="Arial" w:cs="Arial"/>
        </w:rPr>
        <w:t>anagement’s discussion and analysis and the schedules of changes in total pension liabilities and</w:t>
      </w:r>
    </w:p>
    <w:p w14:paraId="21DD6B97"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related ratios and schedules of employer contributions for the incentive retirement and defined benefit</w:t>
      </w:r>
    </w:p>
    <w:p w14:paraId="46754AC9"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pension plans and the schedule of changes in total OPEB liability and related ratios and schedule of</w:t>
      </w:r>
    </w:p>
    <w:p w14:paraId="1CC2CD13"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employer contributions for the OPEB plan be presented to supplement the basic financial statements.</w:t>
      </w:r>
    </w:p>
    <w:p w14:paraId="78421363"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Such information is the responsibility of management and, although not a part of the basic financial</w:t>
      </w:r>
    </w:p>
    <w:p w14:paraId="19EEB3BB"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statements, is required by the Governmental Accounting Standards Board who considers it to be an</w:t>
      </w:r>
    </w:p>
    <w:p w14:paraId="7571BCA9"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essential part of financial reporting for placing the basic financial statements in an appropriate</w:t>
      </w:r>
    </w:p>
    <w:p w14:paraId="275F9449"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operational, economic, or historical context. We have applied certain limited procedures to the required</w:t>
      </w:r>
    </w:p>
    <w:p w14:paraId="18C875C9"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supplementary information in accordance with GAAS, which consisted of inquiries of management</w:t>
      </w:r>
    </w:p>
    <w:p w14:paraId="5D5B5B83"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about the methods of preparing the information and comparing the information for consistency with</w:t>
      </w:r>
    </w:p>
    <w:p w14:paraId="14D292F9" w14:textId="2B37DA4F"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management’s responses to our inquiries, the basic financial statements, and other knowledge we</w:t>
      </w:r>
    </w:p>
    <w:p w14:paraId="6D5D20E3"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obtained during our audits of the basic financial statements. We do not express an opinion or provide</w:t>
      </w:r>
    </w:p>
    <w:p w14:paraId="28C39AC7"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any assurance on the information because the limited procedures do not provide us with sufficient</w:t>
      </w:r>
    </w:p>
    <w:p w14:paraId="731596F0"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evidence to express an opinion or provide any assurance.</w:t>
      </w:r>
    </w:p>
    <w:p w14:paraId="6A774FA2" w14:textId="77777777" w:rsidR="00F15DE3" w:rsidRDefault="00F15DE3" w:rsidP="00F15DE3">
      <w:pPr>
        <w:widowControl w:val="0"/>
        <w:autoSpaceDE w:val="0"/>
        <w:autoSpaceDN w:val="0"/>
        <w:jc w:val="both"/>
        <w:rPr>
          <w:rFonts w:ascii="Arial" w:eastAsia="Arial" w:hAnsi="Arial" w:cs="Arial"/>
        </w:rPr>
      </w:pPr>
    </w:p>
    <w:p w14:paraId="1E4C5C71" w14:textId="19659E51" w:rsidR="00F15DE3" w:rsidRPr="00F15DE3" w:rsidRDefault="00F15DE3" w:rsidP="00F15DE3">
      <w:pPr>
        <w:widowControl w:val="0"/>
        <w:autoSpaceDE w:val="0"/>
        <w:autoSpaceDN w:val="0"/>
        <w:jc w:val="both"/>
        <w:rPr>
          <w:rFonts w:ascii="Arial" w:eastAsia="Arial" w:hAnsi="Arial" w:cs="Arial"/>
          <w:b/>
          <w:bCs/>
          <w:i/>
          <w:iCs/>
        </w:rPr>
      </w:pPr>
      <w:r w:rsidRPr="00F15DE3">
        <w:rPr>
          <w:rFonts w:ascii="Arial" w:eastAsia="Arial" w:hAnsi="Arial" w:cs="Arial"/>
          <w:b/>
          <w:bCs/>
          <w:i/>
          <w:iCs/>
        </w:rPr>
        <w:t>Supplementary Information</w:t>
      </w:r>
    </w:p>
    <w:p w14:paraId="72831A36"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Our audits were conducted for the purpose of forming opinions on the financial statements that</w:t>
      </w:r>
    </w:p>
    <w:p w14:paraId="2A918E8B" w14:textId="0C6EAE08"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collectively comprise the System’s basic financial statements. The schedules of activities required by</w:t>
      </w:r>
    </w:p>
    <w:p w14:paraId="2D1626F7"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the state of Maine are presented for purposes of additional analysis and are not a required part of the</w:t>
      </w:r>
    </w:p>
    <w:p w14:paraId="45E19B9C"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basic financial statements. Such information is the responsibility of management and was derived from</w:t>
      </w:r>
    </w:p>
    <w:p w14:paraId="7B1B8D41"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and relates directly to the underlying accounting and other records used to prepare the basic financial</w:t>
      </w:r>
    </w:p>
    <w:p w14:paraId="6B06F1CB"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statements. The information has been subjected to the auditing procedures applied in the audits of the</w:t>
      </w:r>
    </w:p>
    <w:p w14:paraId="0476EA44"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basic financial statements and certain additional procedures, including comparing and reconciling such</w:t>
      </w:r>
    </w:p>
    <w:p w14:paraId="6105ED5F"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information directly to the underlying accounting and other records used to prepare the basic financial</w:t>
      </w:r>
    </w:p>
    <w:p w14:paraId="3B7037F8"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statements or to the basic financial statements themselves, and other additional procedures in</w:t>
      </w:r>
    </w:p>
    <w:p w14:paraId="5B1FF27E"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accordance with GAAS. In our opinion, the supplemental schedule required by the state of Maine is</w:t>
      </w:r>
    </w:p>
    <w:p w14:paraId="73A6BDF6"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fairly stated, in all material respects, in relation to the basic financial statements as a whole.</w:t>
      </w:r>
    </w:p>
    <w:p w14:paraId="36A32A68" w14:textId="77777777" w:rsidR="00F15DE3" w:rsidRDefault="00F15DE3">
      <w:pPr>
        <w:spacing w:after="160" w:line="259" w:lineRule="auto"/>
        <w:rPr>
          <w:rFonts w:ascii="Arial" w:eastAsia="Arial" w:hAnsi="Arial" w:cs="Arial"/>
        </w:rPr>
      </w:pPr>
      <w:r>
        <w:rPr>
          <w:rFonts w:ascii="Arial" w:eastAsia="Arial" w:hAnsi="Arial" w:cs="Arial"/>
        </w:rPr>
        <w:br w:type="page"/>
      </w:r>
    </w:p>
    <w:p w14:paraId="5ED27FAD" w14:textId="510136E1"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lastRenderedPageBreak/>
        <w:t>Board of Trustees</w:t>
      </w:r>
    </w:p>
    <w:p w14:paraId="4C78ECAF"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University of Maine System</w:t>
      </w:r>
    </w:p>
    <w:p w14:paraId="6086A19F" w14:textId="77777777" w:rsidR="00F15DE3" w:rsidRDefault="00F15DE3" w:rsidP="00F15DE3">
      <w:pPr>
        <w:widowControl w:val="0"/>
        <w:autoSpaceDE w:val="0"/>
        <w:autoSpaceDN w:val="0"/>
        <w:jc w:val="both"/>
        <w:rPr>
          <w:rFonts w:ascii="Arial" w:eastAsia="Arial" w:hAnsi="Arial" w:cs="Arial"/>
        </w:rPr>
      </w:pPr>
    </w:p>
    <w:p w14:paraId="561CD16F" w14:textId="2C9EBB5D" w:rsidR="00F15DE3" w:rsidRPr="00F15DE3" w:rsidRDefault="00F15DE3" w:rsidP="00F15DE3">
      <w:pPr>
        <w:widowControl w:val="0"/>
        <w:autoSpaceDE w:val="0"/>
        <w:autoSpaceDN w:val="0"/>
        <w:jc w:val="both"/>
        <w:rPr>
          <w:rFonts w:ascii="Arial" w:eastAsia="Arial" w:hAnsi="Arial" w:cs="Arial"/>
          <w:b/>
          <w:bCs/>
          <w:i/>
          <w:iCs/>
        </w:rPr>
      </w:pPr>
      <w:r w:rsidRPr="00F15DE3">
        <w:rPr>
          <w:rFonts w:ascii="Arial" w:eastAsia="Arial" w:hAnsi="Arial" w:cs="Arial"/>
          <w:b/>
          <w:bCs/>
          <w:i/>
          <w:iCs/>
        </w:rPr>
        <w:t>Other Information</w:t>
      </w:r>
    </w:p>
    <w:p w14:paraId="2A9B83B1"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Management is responsible for the other information included in the annual report. The other</w:t>
      </w:r>
    </w:p>
    <w:p w14:paraId="2B17D426" w14:textId="1A698986"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information comprises the Chancellor’s Letter and schedule of the Board of Trustees and Management,</w:t>
      </w:r>
    </w:p>
    <w:p w14:paraId="4C328E25"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as listed in the table of contents, but does not include the basic financial statements and our auditors</w:t>
      </w:r>
    </w:p>
    <w:p w14:paraId="4A840133"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report thereon. Our opinions on the basic financial statements do not cover the other information, and</w:t>
      </w:r>
    </w:p>
    <w:p w14:paraId="452EE09D"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we do not express an opinion or any form of assurance thereon.</w:t>
      </w:r>
    </w:p>
    <w:p w14:paraId="36D8A611" w14:textId="77777777" w:rsidR="00F15DE3" w:rsidRDefault="00F15DE3" w:rsidP="00F15DE3">
      <w:pPr>
        <w:widowControl w:val="0"/>
        <w:autoSpaceDE w:val="0"/>
        <w:autoSpaceDN w:val="0"/>
        <w:jc w:val="both"/>
        <w:rPr>
          <w:rFonts w:ascii="Arial" w:eastAsia="Arial" w:hAnsi="Arial" w:cs="Arial"/>
        </w:rPr>
      </w:pPr>
    </w:p>
    <w:p w14:paraId="326BADC5" w14:textId="27F32B80"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In connection with our audits of the basic financial statements, our responsibility is to read the other</w:t>
      </w:r>
    </w:p>
    <w:p w14:paraId="67F62406"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information and consider whether a material inconsistency exists between the other information and the</w:t>
      </w:r>
    </w:p>
    <w:p w14:paraId="68D0E2A1"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basic financial statements, or the other information otherwise appears to be materially misstated. If,</w:t>
      </w:r>
    </w:p>
    <w:p w14:paraId="30931C45" w14:textId="77777777" w:rsidR="00F15DE3" w:rsidRPr="00F15DE3" w:rsidRDefault="00F15DE3" w:rsidP="00F15DE3">
      <w:pPr>
        <w:widowControl w:val="0"/>
        <w:autoSpaceDE w:val="0"/>
        <w:autoSpaceDN w:val="0"/>
        <w:jc w:val="both"/>
        <w:rPr>
          <w:rFonts w:ascii="Arial" w:eastAsia="Arial" w:hAnsi="Arial" w:cs="Arial"/>
        </w:rPr>
      </w:pPr>
      <w:proofErr w:type="gramStart"/>
      <w:r w:rsidRPr="00F15DE3">
        <w:rPr>
          <w:rFonts w:ascii="Arial" w:eastAsia="Arial" w:hAnsi="Arial" w:cs="Arial"/>
        </w:rPr>
        <w:t>based</w:t>
      </w:r>
      <w:proofErr w:type="gramEnd"/>
      <w:r w:rsidRPr="00F15DE3">
        <w:rPr>
          <w:rFonts w:ascii="Arial" w:eastAsia="Arial" w:hAnsi="Arial" w:cs="Arial"/>
        </w:rPr>
        <w:t xml:space="preserve"> on the work performed, we conclude that an uncorrected material </w:t>
      </w:r>
      <w:proofErr w:type="gramStart"/>
      <w:r w:rsidRPr="00F15DE3">
        <w:rPr>
          <w:rFonts w:ascii="Arial" w:eastAsia="Arial" w:hAnsi="Arial" w:cs="Arial"/>
        </w:rPr>
        <w:t>misstatement</w:t>
      </w:r>
      <w:proofErr w:type="gramEnd"/>
      <w:r w:rsidRPr="00F15DE3">
        <w:rPr>
          <w:rFonts w:ascii="Arial" w:eastAsia="Arial" w:hAnsi="Arial" w:cs="Arial"/>
        </w:rPr>
        <w:t xml:space="preserve"> of the other</w:t>
      </w:r>
    </w:p>
    <w:p w14:paraId="16B05E7B"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 xml:space="preserve">information </w:t>
      </w:r>
      <w:proofErr w:type="gramStart"/>
      <w:r w:rsidRPr="00F15DE3">
        <w:rPr>
          <w:rFonts w:ascii="Arial" w:eastAsia="Arial" w:hAnsi="Arial" w:cs="Arial"/>
        </w:rPr>
        <w:t>exists,</w:t>
      </w:r>
      <w:proofErr w:type="gramEnd"/>
      <w:r w:rsidRPr="00F15DE3">
        <w:rPr>
          <w:rFonts w:ascii="Arial" w:eastAsia="Arial" w:hAnsi="Arial" w:cs="Arial"/>
        </w:rPr>
        <w:t xml:space="preserve"> we are required to describe it in our report.</w:t>
      </w:r>
    </w:p>
    <w:p w14:paraId="13B7230B" w14:textId="77777777" w:rsidR="00F15DE3" w:rsidRDefault="00F15DE3" w:rsidP="00F15DE3">
      <w:pPr>
        <w:widowControl w:val="0"/>
        <w:autoSpaceDE w:val="0"/>
        <w:autoSpaceDN w:val="0"/>
        <w:jc w:val="both"/>
        <w:rPr>
          <w:rFonts w:ascii="Arial" w:eastAsia="Arial" w:hAnsi="Arial" w:cs="Arial"/>
        </w:rPr>
      </w:pPr>
    </w:p>
    <w:p w14:paraId="07255F3E" w14:textId="3067A87A" w:rsidR="00F15DE3" w:rsidRPr="00F15DE3" w:rsidRDefault="00F15DE3" w:rsidP="00F15DE3">
      <w:pPr>
        <w:widowControl w:val="0"/>
        <w:autoSpaceDE w:val="0"/>
        <w:autoSpaceDN w:val="0"/>
        <w:jc w:val="both"/>
        <w:rPr>
          <w:rFonts w:ascii="Arial" w:eastAsia="Arial" w:hAnsi="Arial" w:cs="Arial"/>
          <w:b/>
          <w:bCs/>
          <w:i/>
          <w:iCs/>
        </w:rPr>
      </w:pPr>
      <w:r w:rsidRPr="00F15DE3">
        <w:rPr>
          <w:rFonts w:ascii="Arial" w:eastAsia="Arial" w:hAnsi="Arial" w:cs="Arial"/>
          <w:b/>
          <w:bCs/>
          <w:i/>
          <w:iCs/>
        </w:rPr>
        <w:t>Other Reporting Required by Government Auditing Standards</w:t>
      </w:r>
    </w:p>
    <w:p w14:paraId="3FC376BC"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 xml:space="preserve">In accordance with </w:t>
      </w:r>
      <w:r w:rsidRPr="00F15DE3">
        <w:rPr>
          <w:rFonts w:ascii="Arial" w:eastAsia="Arial" w:hAnsi="Arial" w:cs="Arial"/>
          <w:i/>
          <w:iCs/>
        </w:rPr>
        <w:t>Government Auditing Standards</w:t>
      </w:r>
      <w:r w:rsidRPr="00F15DE3">
        <w:rPr>
          <w:rFonts w:ascii="Arial" w:eastAsia="Arial" w:hAnsi="Arial" w:cs="Arial"/>
        </w:rPr>
        <w:t>, we have also issued our report dated</w:t>
      </w:r>
    </w:p>
    <w:p w14:paraId="48AEE064" w14:textId="7817900C"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October 30, 2025, on our consideration of the System’s internal control over financial reporting and on</w:t>
      </w:r>
    </w:p>
    <w:p w14:paraId="77E32ADA"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our tests of its compliance with certain provisions of laws, regulations, contracts, and grant agreements</w:t>
      </w:r>
    </w:p>
    <w:p w14:paraId="60EFD4D2"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and other matters. The purpose of that report is solely to describe the scope of our testing of internal</w:t>
      </w:r>
    </w:p>
    <w:p w14:paraId="6BC45E38"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control over financial reporting and compliance and the results of that testing, and not to provide an</w:t>
      </w:r>
    </w:p>
    <w:p w14:paraId="675F73B1" w14:textId="4525C41F"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opinion on the effectiveness of the System’s internal control over financial reporting or on compliance.</w:t>
      </w:r>
    </w:p>
    <w:p w14:paraId="53E63620"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That report is an integral part of an audit performed in accordance with Government Auditing Standards</w:t>
      </w:r>
    </w:p>
    <w:p w14:paraId="41B747E3" w14:textId="3DD1F210"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in considering System’s internal control over financial reporting and compliance.</w:t>
      </w:r>
    </w:p>
    <w:p w14:paraId="603AA073" w14:textId="77777777" w:rsidR="00F15DE3" w:rsidRDefault="00F15DE3" w:rsidP="00F15DE3">
      <w:pPr>
        <w:widowControl w:val="0"/>
        <w:autoSpaceDE w:val="0"/>
        <w:autoSpaceDN w:val="0"/>
        <w:jc w:val="both"/>
        <w:rPr>
          <w:rFonts w:ascii="Arial" w:eastAsia="Arial" w:hAnsi="Arial" w:cs="Arial"/>
        </w:rPr>
      </w:pPr>
    </w:p>
    <w:p w14:paraId="775BDA6E" w14:textId="77777777" w:rsidR="00F15DE3" w:rsidRPr="00F15DE3" w:rsidRDefault="00F15DE3" w:rsidP="00F15DE3">
      <w:pPr>
        <w:widowControl w:val="0"/>
        <w:autoSpaceDE w:val="0"/>
        <w:autoSpaceDN w:val="0"/>
        <w:jc w:val="both"/>
        <w:rPr>
          <w:rFonts w:ascii="Arial" w:eastAsia="Arial" w:hAnsi="Arial" w:cs="Arial"/>
        </w:rPr>
      </w:pPr>
    </w:p>
    <w:p w14:paraId="19D79EA8" w14:textId="2BC19CC5"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noProof/>
        </w:rPr>
        <w:drawing>
          <wp:inline distT="0" distB="0" distL="0" distR="0" wp14:anchorId="62A88DFC" wp14:editId="3E243611">
            <wp:extent cx="2590800" cy="361950"/>
            <wp:effectExtent l="0" t="0" r="0" b="0"/>
            <wp:docPr id="13901654" name="Picture 2" descr="CLA authorized 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01654" name="Picture 2" descr="CLA authorized signature"/>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0800" cy="361950"/>
                    </a:xfrm>
                    <a:prstGeom prst="rect">
                      <a:avLst/>
                    </a:prstGeom>
                    <a:noFill/>
                    <a:ln>
                      <a:noFill/>
                    </a:ln>
                  </pic:spPr>
                </pic:pic>
              </a:graphicData>
            </a:graphic>
          </wp:inline>
        </w:drawing>
      </w:r>
    </w:p>
    <w:p w14:paraId="5829C7FB" w14:textId="77777777" w:rsidR="00F15DE3" w:rsidRDefault="00F15DE3" w:rsidP="00F15DE3">
      <w:pPr>
        <w:widowControl w:val="0"/>
        <w:autoSpaceDE w:val="0"/>
        <w:autoSpaceDN w:val="0"/>
        <w:jc w:val="both"/>
        <w:rPr>
          <w:rFonts w:ascii="Arial" w:eastAsia="Arial" w:hAnsi="Arial" w:cs="Arial"/>
        </w:rPr>
      </w:pPr>
    </w:p>
    <w:p w14:paraId="2F4D9646" w14:textId="73C824D9"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CliftonLarsonAllen LLP</w:t>
      </w:r>
    </w:p>
    <w:p w14:paraId="4E8AC7DB" w14:textId="77777777" w:rsidR="00F15DE3" w:rsidRPr="00F15DE3" w:rsidRDefault="00F15DE3" w:rsidP="00F15DE3">
      <w:pPr>
        <w:widowControl w:val="0"/>
        <w:autoSpaceDE w:val="0"/>
        <w:autoSpaceDN w:val="0"/>
        <w:jc w:val="both"/>
        <w:rPr>
          <w:rFonts w:ascii="Arial" w:eastAsia="Arial" w:hAnsi="Arial" w:cs="Arial"/>
        </w:rPr>
      </w:pPr>
      <w:r w:rsidRPr="00F15DE3">
        <w:rPr>
          <w:rFonts w:ascii="Arial" w:eastAsia="Arial" w:hAnsi="Arial" w:cs="Arial"/>
        </w:rPr>
        <w:t>Quincy, Massachusetts</w:t>
      </w:r>
    </w:p>
    <w:p w14:paraId="2224C5A4" w14:textId="26CA0CDC" w:rsidR="003A3449" w:rsidRPr="00F15DE3" w:rsidRDefault="00F15DE3" w:rsidP="00F15DE3">
      <w:pPr>
        <w:widowControl w:val="0"/>
        <w:autoSpaceDE w:val="0"/>
        <w:autoSpaceDN w:val="0"/>
        <w:jc w:val="both"/>
        <w:rPr>
          <w:rFonts w:ascii="Arial" w:eastAsia="Arial" w:hAnsi="Arial" w:cs="Arial"/>
        </w:rPr>
        <w:sectPr w:rsidR="003A3449" w:rsidRPr="00F15DE3" w:rsidSect="00DC059D">
          <w:headerReference w:type="default" r:id="rId21"/>
          <w:headerReference w:type="first" r:id="rId22"/>
          <w:type w:val="nextColumn"/>
          <w:pgSz w:w="12240" w:h="15840" w:code="1"/>
          <w:pgMar w:top="1440" w:right="1152" w:bottom="1440" w:left="1152" w:header="720" w:footer="720" w:gutter="0"/>
          <w:cols w:space="360"/>
          <w:titlePg/>
          <w:docGrid w:linePitch="360"/>
        </w:sectPr>
      </w:pPr>
      <w:r w:rsidRPr="00F15DE3">
        <w:rPr>
          <w:rFonts w:ascii="Arial" w:eastAsia="Arial" w:hAnsi="Arial" w:cs="Arial"/>
        </w:rPr>
        <w:t>October 30, 2025</w:t>
      </w:r>
    </w:p>
    <w:p w14:paraId="3244FAC2" w14:textId="233521E6" w:rsidR="00A83362" w:rsidRPr="00156FC4" w:rsidRDefault="00156FC4" w:rsidP="00BB3273">
      <w:pPr>
        <w:rPr>
          <w:rFonts w:cstheme="minorHAnsi"/>
          <w:b/>
          <w:i/>
          <w:sz w:val="26"/>
          <w:szCs w:val="26"/>
        </w:rPr>
      </w:pPr>
      <w:r w:rsidRPr="00156FC4">
        <w:rPr>
          <w:rFonts w:cstheme="minorHAnsi"/>
          <w:b/>
          <w:i/>
          <w:sz w:val="26"/>
          <w:szCs w:val="26"/>
        </w:rPr>
        <w:lastRenderedPageBreak/>
        <w:t>UNIVERSITY OF MAINE SYSTEM</w:t>
      </w:r>
    </w:p>
    <w:p w14:paraId="1B54BCAB" w14:textId="4FCF4B8C" w:rsidR="00A83362" w:rsidRPr="00156FC4" w:rsidRDefault="00156FC4" w:rsidP="00BB3273">
      <w:pPr>
        <w:pStyle w:val="AFR1"/>
        <w:pBdr>
          <w:bottom w:val="none" w:sz="0" w:space="0" w:color="auto"/>
        </w:pBdr>
        <w:spacing w:after="0"/>
        <w:rPr>
          <w:rFonts w:asciiTheme="minorHAnsi" w:hAnsiTheme="minorHAnsi" w:cstheme="minorHAnsi"/>
          <w:caps w:val="0"/>
        </w:rPr>
      </w:pPr>
      <w:bookmarkStart w:id="2" w:name="MDA"/>
      <w:r w:rsidRPr="00156FC4">
        <w:rPr>
          <w:rFonts w:asciiTheme="minorHAnsi" w:hAnsiTheme="minorHAnsi" w:cstheme="minorHAnsi"/>
          <w:caps w:val="0"/>
        </w:rPr>
        <w:t>MANAGEMENT’S DISCUSSION AND ANALYSIS</w:t>
      </w:r>
    </w:p>
    <w:bookmarkEnd w:id="2"/>
    <w:p w14:paraId="1CD6BDF2" w14:textId="5EA16146" w:rsidR="00A83362" w:rsidRPr="00156FC4" w:rsidRDefault="00156FC4" w:rsidP="00BB3273">
      <w:pPr>
        <w:pStyle w:val="AFR1"/>
        <w:pBdr>
          <w:bottom w:val="single" w:sz="18" w:space="1" w:color="000000" w:themeColor="text1"/>
        </w:pBdr>
        <w:rPr>
          <w:rFonts w:asciiTheme="minorHAnsi" w:hAnsiTheme="minorHAnsi" w:cstheme="minorHAnsi"/>
          <w:caps w:val="0"/>
          <w:sz w:val="24"/>
          <w:szCs w:val="24"/>
        </w:rPr>
      </w:pPr>
      <w:r w:rsidRPr="00156FC4">
        <w:rPr>
          <w:rFonts w:asciiTheme="minorHAnsi" w:hAnsiTheme="minorHAnsi" w:cstheme="minorHAnsi"/>
          <w:caps w:val="0"/>
          <w:sz w:val="24"/>
          <w:szCs w:val="24"/>
        </w:rPr>
        <w:t xml:space="preserve">JUNE 30, </w:t>
      </w:r>
      <w:r w:rsidR="00E971B5" w:rsidRPr="00156FC4">
        <w:rPr>
          <w:rFonts w:asciiTheme="minorHAnsi" w:hAnsiTheme="minorHAnsi" w:cstheme="minorHAnsi"/>
          <w:caps w:val="0"/>
          <w:sz w:val="24"/>
          <w:szCs w:val="24"/>
        </w:rPr>
        <w:t>202</w:t>
      </w:r>
      <w:r w:rsidR="00E971B5">
        <w:rPr>
          <w:rFonts w:asciiTheme="minorHAnsi" w:hAnsiTheme="minorHAnsi" w:cstheme="minorHAnsi"/>
          <w:caps w:val="0"/>
          <w:sz w:val="24"/>
          <w:szCs w:val="24"/>
        </w:rPr>
        <w:t>5</w:t>
      </w:r>
      <w:r w:rsidR="00E971B5" w:rsidRPr="00156FC4">
        <w:rPr>
          <w:rFonts w:asciiTheme="minorHAnsi" w:hAnsiTheme="minorHAnsi" w:cstheme="minorHAnsi"/>
          <w:caps w:val="0"/>
          <w:sz w:val="24"/>
          <w:szCs w:val="24"/>
        </w:rPr>
        <w:t xml:space="preserve"> </w:t>
      </w:r>
      <w:r w:rsidRPr="00156FC4">
        <w:rPr>
          <w:rFonts w:asciiTheme="minorHAnsi" w:hAnsiTheme="minorHAnsi" w:cstheme="minorHAnsi"/>
          <w:caps w:val="0"/>
          <w:sz w:val="24"/>
          <w:szCs w:val="24"/>
        </w:rPr>
        <w:t xml:space="preserve">AND </w:t>
      </w:r>
      <w:r w:rsidR="00E971B5" w:rsidRPr="00156FC4">
        <w:rPr>
          <w:rFonts w:asciiTheme="minorHAnsi" w:hAnsiTheme="minorHAnsi" w:cstheme="minorHAnsi"/>
          <w:caps w:val="0"/>
          <w:sz w:val="24"/>
          <w:szCs w:val="24"/>
        </w:rPr>
        <w:t>202</w:t>
      </w:r>
      <w:r w:rsidR="00E971B5">
        <w:rPr>
          <w:rFonts w:asciiTheme="minorHAnsi" w:hAnsiTheme="minorHAnsi" w:cstheme="minorHAnsi"/>
          <w:caps w:val="0"/>
          <w:sz w:val="24"/>
          <w:szCs w:val="24"/>
        </w:rPr>
        <w:t>4</w:t>
      </w:r>
      <w:r w:rsidR="00E971B5" w:rsidRPr="00156FC4">
        <w:rPr>
          <w:rFonts w:asciiTheme="minorHAnsi" w:hAnsiTheme="minorHAnsi" w:cstheme="minorHAnsi"/>
          <w:caps w:val="0"/>
          <w:sz w:val="24"/>
          <w:szCs w:val="24"/>
        </w:rPr>
        <w:t xml:space="preserve"> </w:t>
      </w:r>
      <w:r w:rsidRPr="00156FC4">
        <w:rPr>
          <w:rFonts w:asciiTheme="minorHAnsi" w:hAnsiTheme="minorHAnsi" w:cstheme="minorHAnsi"/>
          <w:caps w:val="0"/>
          <w:sz w:val="24"/>
          <w:szCs w:val="24"/>
        </w:rPr>
        <w:t>(UNAUDITED)</w:t>
      </w:r>
    </w:p>
    <w:p w14:paraId="7541ADE0" w14:textId="7FC79445" w:rsidR="00A83362" w:rsidRPr="004E6649" w:rsidRDefault="00A83362" w:rsidP="00A83362">
      <w:pPr>
        <w:rPr>
          <w:rFonts w:eastAsia="Times New Roman" w:cstheme="minorHAnsi"/>
          <w:sz w:val="24"/>
          <w:szCs w:val="20"/>
        </w:rPr>
      </w:pPr>
      <w:r w:rsidRPr="004E6649">
        <w:rPr>
          <w:rFonts w:eastAsia="Times New Roman" w:cstheme="minorHAnsi"/>
          <w:sz w:val="24"/>
          <w:szCs w:val="20"/>
        </w:rPr>
        <w:t xml:space="preserve">The Management’s Discussion and Analysis (MD&amp;A) provides a broad overview of the University of Maine System’s (“the System” or UMS) financial condition as of June 30, </w:t>
      </w:r>
      <w:r w:rsidR="006E1549" w:rsidRPr="004E6649">
        <w:rPr>
          <w:rFonts w:eastAsia="Times New Roman" w:cstheme="minorHAnsi"/>
          <w:sz w:val="24"/>
          <w:szCs w:val="20"/>
        </w:rPr>
        <w:t>202</w:t>
      </w:r>
      <w:r w:rsidR="006E1549">
        <w:rPr>
          <w:rFonts w:eastAsia="Times New Roman" w:cstheme="minorHAnsi"/>
          <w:sz w:val="24"/>
          <w:szCs w:val="20"/>
        </w:rPr>
        <w:t>5</w:t>
      </w:r>
      <w:r w:rsidR="006E1549" w:rsidRPr="004E6649">
        <w:rPr>
          <w:rFonts w:eastAsia="Times New Roman" w:cstheme="minorHAnsi"/>
          <w:sz w:val="24"/>
          <w:szCs w:val="20"/>
        </w:rPr>
        <w:t xml:space="preserve"> </w:t>
      </w:r>
      <w:r w:rsidRPr="004E6649">
        <w:rPr>
          <w:rFonts w:eastAsia="Times New Roman" w:cstheme="minorHAnsi"/>
          <w:sz w:val="24"/>
          <w:szCs w:val="20"/>
        </w:rPr>
        <w:t xml:space="preserve">and </w:t>
      </w:r>
      <w:r w:rsidR="006E1549" w:rsidRPr="004E6649">
        <w:rPr>
          <w:rFonts w:eastAsia="Times New Roman" w:cstheme="minorHAnsi"/>
          <w:sz w:val="24"/>
          <w:szCs w:val="20"/>
        </w:rPr>
        <w:t>202</w:t>
      </w:r>
      <w:r w:rsidR="006E1549">
        <w:rPr>
          <w:rFonts w:eastAsia="Times New Roman" w:cstheme="minorHAnsi"/>
          <w:sz w:val="24"/>
          <w:szCs w:val="20"/>
        </w:rPr>
        <w:t>4</w:t>
      </w:r>
      <w:r w:rsidRPr="004E6649">
        <w:rPr>
          <w:rFonts w:eastAsia="Times New Roman" w:cstheme="minorHAnsi"/>
          <w:sz w:val="24"/>
          <w:szCs w:val="20"/>
        </w:rPr>
        <w:t>, the results of its operations for the years then ended, significant changes from the previous years, and outlook for the future where appropriate and relevant. Management has prepared the financial statements and related note disclosures along with this MD&amp;A. The MD&amp;A should be read in conjunction with the accompanying basic financial statements and related notes.</w:t>
      </w:r>
    </w:p>
    <w:p w14:paraId="73B856B8" w14:textId="77777777" w:rsidR="00A83362" w:rsidRPr="004E6649" w:rsidRDefault="00A83362" w:rsidP="00A83362">
      <w:pPr>
        <w:pStyle w:val="AFR3"/>
        <w:rPr>
          <w:rFonts w:cstheme="minorHAnsi"/>
          <w:sz w:val="24"/>
          <w:szCs w:val="20"/>
        </w:rPr>
      </w:pPr>
      <w:r w:rsidRPr="004E6649">
        <w:rPr>
          <w:rFonts w:cstheme="minorHAnsi"/>
          <w:sz w:val="24"/>
          <w:szCs w:val="20"/>
        </w:rPr>
        <w:t>Mission</w:t>
      </w:r>
    </w:p>
    <w:p w14:paraId="01E3C3DD" w14:textId="4C5BA943" w:rsidR="00A83362" w:rsidRPr="004E6649" w:rsidRDefault="00A83362" w:rsidP="00A83362">
      <w:pPr>
        <w:tabs>
          <w:tab w:val="left" w:pos="4860"/>
        </w:tabs>
        <w:rPr>
          <w:rFonts w:eastAsia="Times New Roman" w:cstheme="minorHAnsi"/>
          <w:sz w:val="24"/>
          <w:szCs w:val="24"/>
        </w:rPr>
      </w:pPr>
      <w:r w:rsidRPr="004E6649">
        <w:rPr>
          <w:rFonts w:eastAsia="Times New Roman" w:cstheme="minorHAnsi"/>
          <w:sz w:val="24"/>
          <w:szCs w:val="24"/>
        </w:rPr>
        <w:t xml:space="preserve">Established in 1968 by the Maine State Legislature, the System is the state’s largest educational enterprise, uniting its public universities </w:t>
      </w:r>
      <w:r w:rsidRPr="004E6649">
        <w:rPr>
          <w:rFonts w:eastAsia="Times New Roman" w:cstheme="minorHAnsi"/>
          <w:sz w:val="24"/>
          <w:szCs w:val="20"/>
        </w:rPr>
        <w:t xml:space="preserve">in the common purpose of providing </w:t>
      </w:r>
      <w:r w:rsidRPr="004E6649">
        <w:rPr>
          <w:rFonts w:eastAsia="Times New Roman" w:cstheme="minorHAnsi"/>
          <w:sz w:val="24"/>
          <w:szCs w:val="24"/>
        </w:rPr>
        <w:t xml:space="preserve">high-quality educational undergraduate and graduate opportunities that are accessible, affordable, and relevant to the needs of Maine students, businesses, and communities. </w:t>
      </w:r>
      <w:r w:rsidRPr="004E6649">
        <w:rPr>
          <w:rFonts w:eastAsia="Times New Roman" w:cstheme="minorHAnsi"/>
          <w:sz w:val="24"/>
          <w:szCs w:val="20"/>
        </w:rPr>
        <w:t>The System features seven universities—some with multiple campuses—located across the state, a law school, an additional 31</w:t>
      </w:r>
      <w:r w:rsidRPr="004E6649">
        <w:rPr>
          <w:rFonts w:eastAsia="Times New Roman" w:cstheme="minorHAnsi"/>
          <w:color w:val="FF0000"/>
          <w:sz w:val="24"/>
          <w:szCs w:val="20"/>
        </w:rPr>
        <w:t xml:space="preserve"> </w:t>
      </w:r>
      <w:r w:rsidRPr="004E6649">
        <w:rPr>
          <w:rFonts w:eastAsia="Times New Roman" w:cstheme="minorHAnsi"/>
          <w:sz w:val="24"/>
          <w:szCs w:val="20"/>
        </w:rPr>
        <w:t>course sites, Cooperative Extension</w:t>
      </w:r>
      <w:r w:rsidR="00B048CB">
        <w:rPr>
          <w:rFonts w:eastAsia="Times New Roman" w:cstheme="minorHAnsi"/>
          <w:sz w:val="24"/>
          <w:szCs w:val="20"/>
        </w:rPr>
        <w:t xml:space="preserve">, and </w:t>
      </w:r>
      <w:r w:rsidR="007142B0">
        <w:rPr>
          <w:rFonts w:eastAsia="Times New Roman" w:cstheme="minorHAnsi"/>
          <w:sz w:val="24"/>
          <w:szCs w:val="20"/>
        </w:rPr>
        <w:t>t</w:t>
      </w:r>
      <w:r w:rsidR="007142B0" w:rsidRPr="007142B0">
        <w:rPr>
          <w:rFonts w:eastAsia="Times New Roman" w:cstheme="minorHAnsi"/>
          <w:sz w:val="24"/>
          <w:szCs w:val="20"/>
        </w:rPr>
        <w:t xml:space="preserve">he </w:t>
      </w:r>
      <w:bookmarkStart w:id="3" w:name="_Hlk211853490"/>
      <w:r w:rsidR="00163EC6">
        <w:rPr>
          <w:rFonts w:eastAsia="Times New Roman" w:cstheme="minorHAnsi"/>
          <w:sz w:val="24"/>
          <w:szCs w:val="20"/>
        </w:rPr>
        <w:t xml:space="preserve">University of </w:t>
      </w:r>
      <w:r w:rsidR="007142B0" w:rsidRPr="007142B0">
        <w:rPr>
          <w:rFonts w:eastAsia="Times New Roman" w:cstheme="minorHAnsi"/>
          <w:sz w:val="24"/>
          <w:szCs w:val="20"/>
        </w:rPr>
        <w:t>Maine</w:t>
      </w:r>
      <w:r w:rsidR="007142B0">
        <w:rPr>
          <w:rFonts w:eastAsia="Times New Roman" w:cstheme="minorHAnsi"/>
          <w:sz w:val="24"/>
          <w:szCs w:val="20"/>
        </w:rPr>
        <w:t xml:space="preserve"> Graduate and Professional</w:t>
      </w:r>
      <w:r w:rsidR="007142B0" w:rsidRPr="007142B0">
        <w:rPr>
          <w:rFonts w:eastAsia="Times New Roman" w:cstheme="minorHAnsi"/>
          <w:sz w:val="24"/>
          <w:szCs w:val="20"/>
        </w:rPr>
        <w:t xml:space="preserve"> Center</w:t>
      </w:r>
      <w:bookmarkEnd w:id="3"/>
      <w:r w:rsidR="007142B0" w:rsidRPr="007142B0">
        <w:rPr>
          <w:rFonts w:eastAsia="Times New Roman" w:cstheme="minorHAnsi"/>
          <w:sz w:val="24"/>
          <w:szCs w:val="20"/>
        </w:rPr>
        <w:t xml:space="preserve"> </w:t>
      </w:r>
      <w:r w:rsidR="00B048CB">
        <w:rPr>
          <w:rFonts w:eastAsia="Times New Roman" w:cstheme="minorHAnsi"/>
          <w:sz w:val="24"/>
          <w:szCs w:val="20"/>
        </w:rPr>
        <w:t>(Maine Center)</w:t>
      </w:r>
      <w:r w:rsidR="007142B0" w:rsidRPr="007142B0">
        <w:rPr>
          <w:rFonts w:eastAsia="Times New Roman" w:cstheme="minorHAnsi"/>
          <w:sz w:val="24"/>
          <w:szCs w:val="20"/>
        </w:rPr>
        <w:t xml:space="preserve">. </w:t>
      </w:r>
      <w:r w:rsidRPr="004E6649">
        <w:rPr>
          <w:rFonts w:eastAsia="Times New Roman" w:cstheme="minorHAnsi"/>
          <w:sz w:val="24"/>
          <w:szCs w:val="20"/>
        </w:rPr>
        <w:t xml:space="preserve">The System carries out the traditional tripartite mission – teaching, research, and public service. A major resource for the State, the System </w:t>
      </w:r>
      <w:r w:rsidRPr="004E6649">
        <w:rPr>
          <w:rFonts w:eastAsia="Times New Roman" w:cstheme="minorHAnsi"/>
          <w:sz w:val="24"/>
          <w:szCs w:val="24"/>
        </w:rPr>
        <w:t>drives economic development by conducting world-class research, commercializing valuable ideas, and partnering successfully with businesses and industries throughout Maine and beyond.</w:t>
      </w:r>
    </w:p>
    <w:p w14:paraId="19DDA1DF" w14:textId="77777777" w:rsidR="00A83362" w:rsidRPr="004E6649" w:rsidRDefault="00A83362" w:rsidP="00A83362">
      <w:pPr>
        <w:pStyle w:val="AFR3"/>
        <w:rPr>
          <w:rFonts w:cstheme="minorHAnsi"/>
          <w:sz w:val="24"/>
          <w:szCs w:val="20"/>
        </w:rPr>
      </w:pPr>
      <w:r w:rsidRPr="004E6649">
        <w:rPr>
          <w:rFonts w:cstheme="minorHAnsi"/>
          <w:sz w:val="24"/>
          <w:szCs w:val="20"/>
        </w:rPr>
        <w:t>Universities, Campuses, and Centers</w:t>
      </w:r>
    </w:p>
    <w:p w14:paraId="66979E69" w14:textId="6725AD5B" w:rsidR="00A83362" w:rsidRPr="004E6649" w:rsidRDefault="00A83362" w:rsidP="00A83362">
      <w:pPr>
        <w:tabs>
          <w:tab w:val="left" w:pos="4860"/>
        </w:tabs>
        <w:rPr>
          <w:rFonts w:eastAsia="Times New Roman" w:cstheme="minorHAnsi"/>
          <w:sz w:val="24"/>
          <w:szCs w:val="24"/>
        </w:rPr>
      </w:pPr>
      <w:r w:rsidRPr="004E6649">
        <w:rPr>
          <w:rFonts w:eastAsia="Times New Roman" w:cstheme="minorHAnsi"/>
          <w:sz w:val="24"/>
          <w:szCs w:val="24"/>
        </w:rPr>
        <w:t xml:space="preserve">The System is a comprehensive public institution of higher education with </w:t>
      </w:r>
      <w:r w:rsidRPr="004E6649">
        <w:rPr>
          <w:rFonts w:eastAsia="Times New Roman" w:cstheme="minorHAnsi"/>
          <w:color w:val="000000" w:themeColor="text1"/>
          <w:sz w:val="24"/>
          <w:szCs w:val="24"/>
        </w:rPr>
        <w:t xml:space="preserve">nearly </w:t>
      </w:r>
      <w:r w:rsidR="00B81858" w:rsidRPr="004E6649">
        <w:rPr>
          <w:rFonts w:eastAsia="Times New Roman" w:cstheme="minorHAnsi"/>
          <w:color w:val="000000" w:themeColor="text1"/>
          <w:sz w:val="24"/>
          <w:szCs w:val="24"/>
        </w:rPr>
        <w:t>3</w:t>
      </w:r>
      <w:r w:rsidR="00B81858">
        <w:rPr>
          <w:rFonts w:eastAsia="Times New Roman" w:cstheme="minorHAnsi"/>
          <w:color w:val="000000" w:themeColor="text1"/>
          <w:sz w:val="24"/>
          <w:szCs w:val="24"/>
        </w:rPr>
        <w:t>1</w:t>
      </w:r>
      <w:r w:rsidRPr="004E6649">
        <w:rPr>
          <w:rFonts w:eastAsia="Times New Roman" w:cstheme="minorHAnsi"/>
          <w:color w:val="000000" w:themeColor="text1"/>
          <w:sz w:val="24"/>
          <w:szCs w:val="24"/>
        </w:rPr>
        <w:t xml:space="preserve">,000 </w:t>
      </w:r>
      <w:r w:rsidRPr="004E6649">
        <w:rPr>
          <w:rFonts w:eastAsia="Times New Roman" w:cstheme="minorHAnsi"/>
          <w:sz w:val="24"/>
          <w:szCs w:val="24"/>
        </w:rPr>
        <w:t xml:space="preserve">enrolled students, supported by the efforts of </w:t>
      </w:r>
      <w:r w:rsidR="004D087E">
        <w:rPr>
          <w:rFonts w:eastAsia="Times New Roman" w:cstheme="minorHAnsi"/>
          <w:color w:val="0D0D0D" w:themeColor="text1" w:themeTint="F2"/>
          <w:sz w:val="24"/>
          <w:szCs w:val="24"/>
        </w:rPr>
        <w:t>1,101</w:t>
      </w:r>
      <w:r w:rsidRPr="003B07E2">
        <w:rPr>
          <w:rFonts w:eastAsia="Times New Roman" w:cstheme="minorHAnsi"/>
          <w:color w:val="0D0D0D" w:themeColor="text1" w:themeTint="F2"/>
          <w:sz w:val="24"/>
          <w:szCs w:val="24"/>
        </w:rPr>
        <w:t xml:space="preserve"> regular full-time faculty, </w:t>
      </w:r>
      <w:r w:rsidR="004D087E" w:rsidRPr="003B07E2">
        <w:rPr>
          <w:rFonts w:eastAsia="Times New Roman" w:cstheme="minorHAnsi"/>
          <w:color w:val="0D0D0D" w:themeColor="text1" w:themeTint="F2"/>
          <w:sz w:val="24"/>
          <w:szCs w:val="24"/>
        </w:rPr>
        <w:t>3</w:t>
      </w:r>
      <w:r w:rsidR="004D087E">
        <w:rPr>
          <w:rFonts w:eastAsia="Times New Roman" w:cstheme="minorHAnsi"/>
          <w:color w:val="0D0D0D" w:themeColor="text1" w:themeTint="F2"/>
          <w:sz w:val="24"/>
          <w:szCs w:val="24"/>
        </w:rPr>
        <w:t>9</w:t>
      </w:r>
      <w:r w:rsidR="004D087E" w:rsidRPr="003B07E2">
        <w:rPr>
          <w:rFonts w:eastAsia="Times New Roman" w:cstheme="minorHAnsi"/>
          <w:color w:val="0D0D0D" w:themeColor="text1" w:themeTint="F2"/>
          <w:sz w:val="24"/>
          <w:szCs w:val="24"/>
        </w:rPr>
        <w:t xml:space="preserve"> </w:t>
      </w:r>
      <w:r w:rsidRPr="003B07E2">
        <w:rPr>
          <w:rFonts w:eastAsia="Times New Roman" w:cstheme="minorHAnsi"/>
          <w:color w:val="0D0D0D" w:themeColor="text1" w:themeTint="F2"/>
          <w:sz w:val="24"/>
          <w:szCs w:val="24"/>
        </w:rPr>
        <w:t>regular part-time faculty, 3,</w:t>
      </w:r>
      <w:r w:rsidR="004D087E" w:rsidRPr="003B07E2">
        <w:rPr>
          <w:rFonts w:eastAsia="Times New Roman" w:cstheme="minorHAnsi"/>
          <w:color w:val="0D0D0D" w:themeColor="text1" w:themeTint="F2"/>
          <w:sz w:val="24"/>
          <w:szCs w:val="24"/>
        </w:rPr>
        <w:t>0</w:t>
      </w:r>
      <w:r w:rsidR="004D087E">
        <w:rPr>
          <w:rFonts w:eastAsia="Times New Roman" w:cstheme="minorHAnsi"/>
          <w:color w:val="0D0D0D" w:themeColor="text1" w:themeTint="F2"/>
          <w:sz w:val="24"/>
          <w:szCs w:val="24"/>
        </w:rPr>
        <w:t>46</w:t>
      </w:r>
      <w:r w:rsidR="004D087E" w:rsidRPr="003B07E2">
        <w:rPr>
          <w:rFonts w:eastAsia="Times New Roman" w:cstheme="minorHAnsi"/>
          <w:color w:val="0D0D0D" w:themeColor="text1" w:themeTint="F2"/>
          <w:sz w:val="24"/>
          <w:szCs w:val="24"/>
        </w:rPr>
        <w:t xml:space="preserve"> </w:t>
      </w:r>
      <w:r w:rsidRPr="003B07E2">
        <w:rPr>
          <w:rFonts w:eastAsia="Times New Roman" w:cstheme="minorHAnsi"/>
          <w:color w:val="0D0D0D" w:themeColor="text1" w:themeTint="F2"/>
          <w:sz w:val="24"/>
          <w:szCs w:val="24"/>
        </w:rPr>
        <w:t xml:space="preserve">regular full-time staff, and </w:t>
      </w:r>
      <w:r w:rsidR="004D087E" w:rsidRPr="003B07E2">
        <w:rPr>
          <w:rFonts w:eastAsia="Times New Roman" w:cstheme="minorHAnsi"/>
          <w:color w:val="0D0D0D" w:themeColor="text1" w:themeTint="F2"/>
          <w:sz w:val="24"/>
          <w:szCs w:val="24"/>
        </w:rPr>
        <w:t>1</w:t>
      </w:r>
      <w:r w:rsidR="004D087E">
        <w:rPr>
          <w:rFonts w:eastAsia="Times New Roman" w:cstheme="minorHAnsi"/>
          <w:color w:val="0D0D0D" w:themeColor="text1" w:themeTint="F2"/>
          <w:sz w:val="24"/>
          <w:szCs w:val="24"/>
        </w:rPr>
        <w:t>61</w:t>
      </w:r>
      <w:r w:rsidR="004D087E" w:rsidRPr="004E6649">
        <w:rPr>
          <w:rFonts w:eastAsia="Times New Roman" w:cstheme="minorHAnsi"/>
          <w:color w:val="0D0D0D" w:themeColor="text1" w:themeTint="F2"/>
          <w:sz w:val="24"/>
          <w:szCs w:val="24"/>
        </w:rPr>
        <w:t xml:space="preserve"> </w:t>
      </w:r>
      <w:r w:rsidRPr="004E6649">
        <w:rPr>
          <w:rFonts w:eastAsia="Times New Roman" w:cstheme="minorHAnsi"/>
          <w:color w:val="0D0D0D" w:themeColor="text1" w:themeTint="F2"/>
          <w:sz w:val="24"/>
          <w:szCs w:val="24"/>
        </w:rPr>
        <w:t xml:space="preserve">regular part-time staff </w:t>
      </w:r>
      <w:r w:rsidRPr="004E6649">
        <w:rPr>
          <w:rFonts w:eastAsia="Times New Roman" w:cstheme="minorHAnsi"/>
          <w:sz w:val="24"/>
          <w:szCs w:val="24"/>
        </w:rPr>
        <w:t>members.</w:t>
      </w:r>
    </w:p>
    <w:p w14:paraId="61A50E0A" w14:textId="77777777" w:rsidR="00A83362" w:rsidRPr="004E6649" w:rsidRDefault="00A83362" w:rsidP="00A83362">
      <w:pPr>
        <w:tabs>
          <w:tab w:val="left" w:pos="4860"/>
        </w:tabs>
        <w:rPr>
          <w:rFonts w:eastAsia="Times New Roman" w:cstheme="minorHAnsi"/>
          <w:sz w:val="20"/>
          <w:szCs w:val="20"/>
        </w:rPr>
      </w:pPr>
    </w:p>
    <w:p w14:paraId="1418850E" w14:textId="06F4EC4E" w:rsidR="00A83362" w:rsidRPr="004E6649" w:rsidRDefault="00A83362" w:rsidP="00A83362">
      <w:pPr>
        <w:tabs>
          <w:tab w:val="left" w:pos="4860"/>
        </w:tabs>
        <w:rPr>
          <w:rFonts w:eastAsia="Times New Roman" w:cstheme="minorHAnsi"/>
          <w:sz w:val="24"/>
          <w:szCs w:val="24"/>
        </w:rPr>
      </w:pPr>
      <w:r w:rsidRPr="004E6649">
        <w:rPr>
          <w:rFonts w:eastAsia="Times New Roman" w:cstheme="minorHAnsi"/>
          <w:sz w:val="24"/>
          <w:szCs w:val="24"/>
        </w:rPr>
        <w:t xml:space="preserve">The System offers rich academic programs, </w:t>
      </w:r>
      <w:r w:rsidR="003E6CE4">
        <w:rPr>
          <w:rFonts w:eastAsia="Times New Roman" w:cstheme="minorHAnsi"/>
          <w:sz w:val="24"/>
          <w:szCs w:val="24"/>
        </w:rPr>
        <w:t>including over 100</w:t>
      </w:r>
      <w:r w:rsidRPr="004E6649">
        <w:rPr>
          <w:rFonts w:eastAsia="Times New Roman" w:cstheme="minorHAnsi"/>
          <w:sz w:val="24"/>
          <w:szCs w:val="24"/>
        </w:rPr>
        <w:t xml:space="preserve"> degrees</w:t>
      </w:r>
      <w:r w:rsidR="003E6CE4">
        <w:rPr>
          <w:rFonts w:eastAsia="Times New Roman" w:cstheme="minorHAnsi"/>
          <w:sz w:val="24"/>
          <w:szCs w:val="24"/>
        </w:rPr>
        <w:t xml:space="preserve"> and certificates</w:t>
      </w:r>
      <w:r w:rsidR="0045470A">
        <w:rPr>
          <w:rFonts w:eastAsia="Times New Roman" w:cstheme="minorHAnsi"/>
          <w:sz w:val="24"/>
          <w:szCs w:val="24"/>
        </w:rPr>
        <w:t xml:space="preserve"> </w:t>
      </w:r>
      <w:r w:rsidR="003E6CE4">
        <w:rPr>
          <w:rFonts w:eastAsia="Times New Roman" w:cstheme="minorHAnsi"/>
          <w:sz w:val="24"/>
          <w:szCs w:val="24"/>
        </w:rPr>
        <w:t>spanning a wide range of professional and personal interests</w:t>
      </w:r>
      <w:r w:rsidRPr="004E6649">
        <w:rPr>
          <w:rFonts w:eastAsia="Times New Roman" w:cstheme="minorHAnsi"/>
          <w:sz w:val="24"/>
          <w:szCs w:val="24"/>
        </w:rPr>
        <w:t>.</w:t>
      </w:r>
    </w:p>
    <w:p w14:paraId="0BB52163" w14:textId="77777777" w:rsidR="00A83362" w:rsidRPr="004E6649" w:rsidRDefault="00A83362" w:rsidP="00A83362">
      <w:pPr>
        <w:tabs>
          <w:tab w:val="left" w:pos="4860"/>
        </w:tabs>
        <w:rPr>
          <w:rFonts w:eastAsia="Times New Roman" w:cstheme="minorHAnsi"/>
          <w:sz w:val="20"/>
          <w:szCs w:val="24"/>
        </w:rPr>
      </w:pPr>
    </w:p>
    <w:p w14:paraId="3ECE8864" w14:textId="506F7577" w:rsidR="00A83362" w:rsidRPr="004E6649" w:rsidRDefault="00A83362" w:rsidP="00A83362">
      <w:pPr>
        <w:tabs>
          <w:tab w:val="left" w:pos="4860"/>
        </w:tabs>
        <w:spacing w:after="120"/>
        <w:rPr>
          <w:rFonts w:eastAsia="Times New Roman" w:cstheme="minorHAnsi"/>
          <w:sz w:val="24"/>
          <w:szCs w:val="24"/>
        </w:rPr>
      </w:pPr>
      <w:r w:rsidRPr="004E6649">
        <w:rPr>
          <w:rFonts w:eastAsia="Times New Roman" w:cstheme="minorHAnsi"/>
          <w:sz w:val="24"/>
          <w:szCs w:val="24"/>
        </w:rPr>
        <w:t>From Maine’s largest city to its rural northern borders, our universities are known for excellence in teaching and research:</w:t>
      </w:r>
    </w:p>
    <w:p w14:paraId="14532B5D" w14:textId="2D12873B" w:rsidR="00A83362" w:rsidRPr="004E6649" w:rsidRDefault="00A83362" w:rsidP="00A83362">
      <w:pPr>
        <w:pStyle w:val="ListParagraph"/>
        <w:numPr>
          <w:ilvl w:val="0"/>
          <w:numId w:val="24"/>
        </w:numPr>
        <w:tabs>
          <w:tab w:val="left" w:pos="4860"/>
        </w:tabs>
        <w:rPr>
          <w:rFonts w:asciiTheme="minorHAnsi" w:hAnsiTheme="minorHAnsi" w:cstheme="minorHAnsi"/>
        </w:rPr>
      </w:pPr>
      <w:r w:rsidRPr="004E6649">
        <w:rPr>
          <w:rFonts w:asciiTheme="minorHAnsi" w:hAnsiTheme="minorHAnsi" w:cstheme="minorHAnsi"/>
          <w:b/>
          <w:bCs/>
        </w:rPr>
        <w:t>The University of Maine (UM)</w:t>
      </w:r>
      <w:r w:rsidRPr="004E6649">
        <w:rPr>
          <w:rFonts w:asciiTheme="minorHAnsi" w:hAnsiTheme="minorHAnsi" w:cstheme="minorHAnsi"/>
        </w:rPr>
        <w:t xml:space="preserve"> is the state’s land and sea grant institution and the flagship campus of the University of Maine System. UM advances learning and discovery through excellence and innovation in undergraduate and graduate academic programs while addressing the complex challenges and opportunities of the 21st century through research-based knowledge. Internationally recognized research, scholarship, and creative activity distinguish UM as the State's flagship university.</w:t>
      </w:r>
    </w:p>
    <w:p w14:paraId="7F50E970" w14:textId="77777777" w:rsidR="00372D3E" w:rsidRDefault="00A83362" w:rsidP="00A83362">
      <w:pPr>
        <w:pStyle w:val="ListParagraph"/>
        <w:numPr>
          <w:ilvl w:val="0"/>
          <w:numId w:val="24"/>
        </w:numPr>
        <w:tabs>
          <w:tab w:val="left" w:pos="4860"/>
        </w:tabs>
        <w:spacing w:before="120"/>
        <w:contextualSpacing w:val="0"/>
        <w:rPr>
          <w:rFonts w:asciiTheme="minorHAnsi" w:hAnsiTheme="minorHAnsi" w:cstheme="minorHAnsi"/>
        </w:rPr>
        <w:sectPr w:rsidR="00372D3E" w:rsidSect="00DC059D">
          <w:headerReference w:type="default" r:id="rId23"/>
          <w:type w:val="nextColumn"/>
          <w:pgSz w:w="12240" w:h="15840"/>
          <w:pgMar w:top="1440" w:right="1152" w:bottom="1440" w:left="1152" w:header="720" w:footer="720" w:gutter="0"/>
          <w:cols w:space="720"/>
        </w:sectPr>
      </w:pPr>
      <w:r w:rsidRPr="004E6649">
        <w:rPr>
          <w:rFonts w:asciiTheme="minorHAnsi" w:hAnsiTheme="minorHAnsi" w:cstheme="minorHAnsi"/>
          <w:b/>
          <w:bCs/>
        </w:rPr>
        <w:t>The University of Maine at Augusta</w:t>
      </w:r>
      <w:r w:rsidRPr="004E6649">
        <w:rPr>
          <w:rFonts w:asciiTheme="minorHAnsi" w:hAnsiTheme="minorHAnsi" w:cstheme="minorHAnsi"/>
        </w:rPr>
        <w:t xml:space="preserve"> </w:t>
      </w:r>
      <w:r w:rsidRPr="004E6649">
        <w:rPr>
          <w:rFonts w:asciiTheme="minorHAnsi" w:hAnsiTheme="minorHAnsi" w:cstheme="minorHAnsi"/>
          <w:b/>
          <w:bCs/>
        </w:rPr>
        <w:t>(UMA)</w:t>
      </w:r>
      <w:r w:rsidRPr="004E6649">
        <w:rPr>
          <w:rFonts w:asciiTheme="minorHAnsi" w:hAnsiTheme="minorHAnsi" w:cstheme="minorHAnsi"/>
        </w:rPr>
        <w:t xml:space="preserve"> transforms the lives of students of every age and background, across Maine and beyond, through access to high-quality distance and on-site </w:t>
      </w:r>
    </w:p>
    <w:p w14:paraId="55B349C1" w14:textId="77777777" w:rsidR="00A83362" w:rsidRPr="004E6649" w:rsidRDefault="00A83362" w:rsidP="001B5D71">
      <w:pPr>
        <w:pStyle w:val="ListParagraph"/>
        <w:tabs>
          <w:tab w:val="left" w:pos="4860"/>
        </w:tabs>
        <w:contextualSpacing w:val="0"/>
        <w:rPr>
          <w:rFonts w:asciiTheme="minorHAnsi" w:hAnsiTheme="minorHAnsi" w:cstheme="minorHAnsi"/>
        </w:rPr>
      </w:pPr>
      <w:r w:rsidRPr="004E6649">
        <w:rPr>
          <w:rFonts w:asciiTheme="minorHAnsi" w:hAnsiTheme="minorHAnsi" w:cstheme="minorHAnsi"/>
        </w:rPr>
        <w:lastRenderedPageBreak/>
        <w:t>education, excellent student support and civic engagement, and innovative professional and liberal arts programs.  With its multiple locations and long-term expertise in online and distance learning, UMA is generally considered the university of choice for Mainers of all ages who want to attend college without uprooting their lives.</w:t>
      </w:r>
    </w:p>
    <w:p w14:paraId="5A214914" w14:textId="1D9D3F96" w:rsidR="00A83362" w:rsidRPr="004E6649" w:rsidRDefault="00A83362" w:rsidP="00A83362">
      <w:pPr>
        <w:pStyle w:val="ListParagraph"/>
        <w:numPr>
          <w:ilvl w:val="0"/>
          <w:numId w:val="24"/>
        </w:numPr>
        <w:tabs>
          <w:tab w:val="left" w:pos="4860"/>
        </w:tabs>
        <w:spacing w:before="120"/>
        <w:contextualSpacing w:val="0"/>
        <w:rPr>
          <w:rFonts w:asciiTheme="minorHAnsi" w:hAnsiTheme="minorHAnsi" w:cstheme="minorHAnsi"/>
        </w:rPr>
      </w:pPr>
      <w:r w:rsidRPr="004E6649">
        <w:rPr>
          <w:rFonts w:asciiTheme="minorHAnsi" w:hAnsiTheme="minorHAnsi" w:cstheme="minorHAnsi"/>
          <w:b/>
          <w:bCs/>
        </w:rPr>
        <w:t>The University of Maine at Farmington (UMF)</w:t>
      </w:r>
      <w:r w:rsidRPr="004E6649">
        <w:rPr>
          <w:rFonts w:asciiTheme="minorHAnsi" w:hAnsiTheme="minorHAnsi" w:cstheme="minorHAnsi"/>
        </w:rPr>
        <w:t xml:space="preserve"> is a premier teacher education and public liberal arts college, which prepares students for engaged citizenship, enriching professional careers, and an enduring love of learning. Since 1864, UMF has consistently been rooted in a vigorous tradition of education in service to the public interest.</w:t>
      </w:r>
    </w:p>
    <w:p w14:paraId="49FD678C" w14:textId="371EF1AE" w:rsidR="00A83362" w:rsidRPr="004E6649" w:rsidRDefault="00A83362" w:rsidP="00A83362">
      <w:pPr>
        <w:pStyle w:val="ListParagraph"/>
        <w:numPr>
          <w:ilvl w:val="0"/>
          <w:numId w:val="24"/>
        </w:numPr>
        <w:tabs>
          <w:tab w:val="left" w:pos="4860"/>
        </w:tabs>
        <w:spacing w:before="120"/>
        <w:contextualSpacing w:val="0"/>
        <w:rPr>
          <w:rFonts w:asciiTheme="minorHAnsi" w:hAnsiTheme="minorHAnsi" w:cstheme="minorHAnsi"/>
        </w:rPr>
      </w:pPr>
      <w:r w:rsidRPr="004E6649">
        <w:rPr>
          <w:rFonts w:asciiTheme="minorHAnsi" w:hAnsiTheme="minorHAnsi" w:cstheme="minorHAnsi"/>
          <w:b/>
          <w:bCs/>
        </w:rPr>
        <w:t>The University of Maine at Fort Kent (UMFK)</w:t>
      </w:r>
      <w:r w:rsidRPr="004E6649">
        <w:rPr>
          <w:rFonts w:asciiTheme="minorHAnsi" w:hAnsiTheme="minorHAnsi" w:cstheme="minorHAnsi"/>
        </w:rPr>
        <w:t xml:space="preserve"> is a career-focused </w:t>
      </w:r>
      <w:r w:rsidR="00E064C3" w:rsidRPr="004E6649">
        <w:rPr>
          <w:rFonts w:asciiTheme="minorHAnsi" w:hAnsiTheme="minorHAnsi" w:cstheme="minorHAnsi"/>
        </w:rPr>
        <w:t xml:space="preserve">university </w:t>
      </w:r>
      <w:r w:rsidRPr="004E6649">
        <w:rPr>
          <w:rFonts w:asciiTheme="minorHAnsi" w:hAnsiTheme="minorHAnsi" w:cstheme="minorHAnsi"/>
        </w:rPr>
        <w:t>located on the northernmost border of Maine, offering relevant, experiential, academic programs and services with personalized attention.</w:t>
      </w:r>
    </w:p>
    <w:p w14:paraId="197A3330" w14:textId="0A1A1242" w:rsidR="00A83362" w:rsidRPr="004E6649" w:rsidRDefault="00A83362" w:rsidP="00A83362">
      <w:pPr>
        <w:pStyle w:val="ListParagraph"/>
        <w:numPr>
          <w:ilvl w:val="0"/>
          <w:numId w:val="24"/>
        </w:numPr>
        <w:tabs>
          <w:tab w:val="left" w:pos="4860"/>
        </w:tabs>
        <w:spacing w:before="120"/>
        <w:contextualSpacing w:val="0"/>
        <w:rPr>
          <w:rFonts w:asciiTheme="minorHAnsi" w:hAnsiTheme="minorHAnsi" w:cstheme="minorHAnsi"/>
        </w:rPr>
      </w:pPr>
      <w:r w:rsidRPr="004E6649">
        <w:rPr>
          <w:rFonts w:asciiTheme="minorHAnsi" w:hAnsiTheme="minorHAnsi" w:cstheme="minorHAnsi"/>
          <w:b/>
          <w:bCs/>
        </w:rPr>
        <w:t>The University of Maine at Machias (UMM)</w:t>
      </w:r>
      <w:r w:rsidRPr="004E6649">
        <w:rPr>
          <w:rFonts w:asciiTheme="minorHAnsi" w:hAnsiTheme="minorHAnsi" w:cstheme="minorHAnsi"/>
        </w:rPr>
        <w:t>, UM’s regional campus, is Maine’s Coastal University. UMM’s distinctive, high quality education centers on engaging students in the scientific, cultural, economic and social inquiry prompted by Maine's Bold Coast region. Inspired by its location, UMM’s creative energy, applied research, and community engagement enhance the social, cultural, economic, and natural environments of the State of Maine.</w:t>
      </w:r>
    </w:p>
    <w:p w14:paraId="000A7D4D" w14:textId="470C0D13" w:rsidR="00A83362" w:rsidRPr="004E6649" w:rsidRDefault="00A83362" w:rsidP="00A83362">
      <w:pPr>
        <w:pStyle w:val="ListParagraph"/>
        <w:numPr>
          <w:ilvl w:val="0"/>
          <w:numId w:val="24"/>
        </w:numPr>
        <w:tabs>
          <w:tab w:val="left" w:pos="4860"/>
        </w:tabs>
        <w:spacing w:before="120"/>
        <w:contextualSpacing w:val="0"/>
        <w:rPr>
          <w:rFonts w:asciiTheme="minorHAnsi" w:hAnsiTheme="minorHAnsi" w:cstheme="minorHAnsi"/>
        </w:rPr>
      </w:pPr>
      <w:r w:rsidRPr="004E6649">
        <w:rPr>
          <w:rFonts w:asciiTheme="minorHAnsi" w:hAnsiTheme="minorHAnsi" w:cstheme="minorHAnsi"/>
          <w:b/>
          <w:bCs/>
        </w:rPr>
        <w:t>The University of Maine at Presque Isle (UMPI)</w:t>
      </w:r>
      <w:r w:rsidRPr="004E6649">
        <w:rPr>
          <w:rFonts w:asciiTheme="minorHAnsi" w:hAnsiTheme="minorHAnsi" w:cstheme="minorHAnsi"/>
        </w:rPr>
        <w:t xml:space="preserve"> is fiercely dedicated to delivering opportunity for all and builds its success on an ethic of care inspiring learners from near and far, of all ages and career stages. UMPI differentiates </w:t>
      </w:r>
      <w:r w:rsidR="00164001" w:rsidRPr="004E6649">
        <w:rPr>
          <w:rFonts w:asciiTheme="minorHAnsi" w:hAnsiTheme="minorHAnsi" w:cstheme="minorHAnsi"/>
        </w:rPr>
        <w:t xml:space="preserve">itself </w:t>
      </w:r>
      <w:r w:rsidRPr="004E6649">
        <w:rPr>
          <w:rFonts w:asciiTheme="minorHAnsi" w:hAnsiTheme="minorHAnsi" w:cstheme="minorHAnsi"/>
        </w:rPr>
        <w:t xml:space="preserve">by providing an Ethic of Care for each and every student, faculty, staff, and administrator. UMPI embraces collaborations with peers, communities, and fellow institutions, allowing </w:t>
      </w:r>
      <w:r w:rsidR="00164001" w:rsidRPr="004E6649">
        <w:rPr>
          <w:rFonts w:asciiTheme="minorHAnsi" w:hAnsiTheme="minorHAnsi" w:cstheme="minorHAnsi"/>
        </w:rPr>
        <w:t xml:space="preserve">it </w:t>
      </w:r>
      <w:r w:rsidRPr="004E6649">
        <w:rPr>
          <w:rFonts w:asciiTheme="minorHAnsi" w:hAnsiTheme="minorHAnsi" w:cstheme="minorHAnsi"/>
        </w:rPr>
        <w:t>to provide students</w:t>
      </w:r>
      <w:r w:rsidR="00164001" w:rsidRPr="004E6649">
        <w:rPr>
          <w:rFonts w:asciiTheme="minorHAnsi" w:hAnsiTheme="minorHAnsi" w:cstheme="minorHAnsi"/>
        </w:rPr>
        <w:t xml:space="preserve"> with</w:t>
      </w:r>
      <w:r w:rsidRPr="004E6649">
        <w:rPr>
          <w:rFonts w:asciiTheme="minorHAnsi" w:hAnsiTheme="minorHAnsi" w:cstheme="minorHAnsi"/>
        </w:rPr>
        <w:t xml:space="preserve"> outstanding education focused on practical and authentic learning experiences.</w:t>
      </w:r>
    </w:p>
    <w:p w14:paraId="2D75A3AD" w14:textId="77777777" w:rsidR="00A83362" w:rsidRPr="004E6649" w:rsidRDefault="00A83362" w:rsidP="00A83362">
      <w:pPr>
        <w:pStyle w:val="ListParagraph"/>
        <w:numPr>
          <w:ilvl w:val="0"/>
          <w:numId w:val="24"/>
        </w:numPr>
        <w:tabs>
          <w:tab w:val="left" w:pos="4860"/>
        </w:tabs>
        <w:spacing w:before="120"/>
        <w:contextualSpacing w:val="0"/>
        <w:rPr>
          <w:rFonts w:asciiTheme="minorHAnsi" w:hAnsiTheme="minorHAnsi" w:cstheme="minorHAnsi"/>
        </w:rPr>
      </w:pPr>
      <w:r w:rsidRPr="004E6649">
        <w:rPr>
          <w:rFonts w:asciiTheme="minorHAnsi" w:hAnsiTheme="minorHAnsi" w:cstheme="minorHAnsi"/>
          <w:b/>
          <w:bCs/>
        </w:rPr>
        <w:t xml:space="preserve">The University of Southern Maine (USM) </w:t>
      </w:r>
      <w:r w:rsidRPr="004E6649">
        <w:rPr>
          <w:rFonts w:asciiTheme="minorHAnsi" w:hAnsiTheme="minorHAnsi" w:cstheme="minorHAnsi"/>
        </w:rPr>
        <w:t>advances a culture of inquiry and belonging in which research, creativity, and innovation accelerate transformational development in our students, on our campuses, and in our communities. At USM, academic excellence finds expression in the four pillars of our academic vision: focus on relationships, future-forward curriculum, the integration of learning and work, and a mission of service and citizenship.</w:t>
      </w:r>
    </w:p>
    <w:p w14:paraId="2F73B7A2" w14:textId="77777777" w:rsidR="00B048CB" w:rsidRPr="00DF56A7" w:rsidRDefault="00A83362" w:rsidP="00C749B6">
      <w:pPr>
        <w:pStyle w:val="ListParagraph"/>
        <w:numPr>
          <w:ilvl w:val="0"/>
          <w:numId w:val="24"/>
        </w:numPr>
        <w:tabs>
          <w:tab w:val="left" w:pos="4860"/>
        </w:tabs>
        <w:spacing w:before="120" w:after="160" w:line="259" w:lineRule="auto"/>
        <w:contextualSpacing w:val="0"/>
        <w:rPr>
          <w:rFonts w:cstheme="minorHAnsi"/>
          <w:b/>
          <w:i/>
          <w:szCs w:val="20"/>
          <w:u w:val="single" w:color="000000" w:themeColor="text1"/>
        </w:rPr>
      </w:pPr>
      <w:r w:rsidRPr="00710223">
        <w:rPr>
          <w:rFonts w:asciiTheme="minorHAnsi" w:hAnsiTheme="minorHAnsi" w:cstheme="minorHAnsi"/>
          <w:b/>
          <w:bCs/>
        </w:rPr>
        <w:t>The University of Maine School of Law (Maine Law)</w:t>
      </w:r>
      <w:r w:rsidRPr="00710223">
        <w:rPr>
          <w:rFonts w:asciiTheme="minorHAnsi" w:hAnsiTheme="minorHAnsi" w:cstheme="minorHAnsi"/>
        </w:rPr>
        <w:t>, is the State's public and only law school, a vital resource serving our local, regional, national, and global community. Maine Law is committed to providing an accessible and affordable student-focused program of legal education and achieving the highest standards of ethical behavior. Its rigorous doctrinal and experiential curriculum, influential scholarship, and signature programming prepare students to practice law, promote respect for the rule of law, and advance justice for all members of society.</w:t>
      </w:r>
    </w:p>
    <w:p w14:paraId="3A145804" w14:textId="1A9B0C6E" w:rsidR="00995D80" w:rsidRPr="00DF56A7" w:rsidRDefault="00B048CB" w:rsidP="000B73A6">
      <w:pPr>
        <w:tabs>
          <w:tab w:val="left" w:pos="4860"/>
        </w:tabs>
        <w:spacing w:before="120" w:after="160" w:line="259" w:lineRule="auto"/>
        <w:rPr>
          <w:rFonts w:cstheme="minorHAnsi"/>
          <w:szCs w:val="20"/>
        </w:rPr>
      </w:pPr>
      <w:r w:rsidRPr="00DF56A7">
        <w:rPr>
          <w:rFonts w:eastAsia="Times New Roman" w:cstheme="minorHAnsi"/>
          <w:sz w:val="24"/>
          <w:szCs w:val="24"/>
        </w:rPr>
        <w:t xml:space="preserve">The Maine Center fosters innovation, engagement, and educational opportunities that empower graduate students, professionals, and entrepreneurs to drive the growth and development of Maine’s economy. It supports interdisciplinary graduate programs in business, law, policy, engineering and computing while creating a hub of innovation. Moreover, its collaborative model is designed to foster </w:t>
      </w:r>
      <w:r w:rsidRPr="00DF56A7">
        <w:rPr>
          <w:rFonts w:eastAsia="Times New Roman" w:cstheme="minorHAnsi"/>
          <w:sz w:val="24"/>
          <w:szCs w:val="24"/>
        </w:rPr>
        <w:lastRenderedPageBreak/>
        <w:t>student success and career opportunities while expanding partnerships to ensure responsiveness to the state’s industry, entrepreneurial community, and economic needs.</w:t>
      </w:r>
    </w:p>
    <w:p w14:paraId="404FE4CF" w14:textId="60691340" w:rsidR="00A83362" w:rsidRPr="004E6649" w:rsidRDefault="00A83362" w:rsidP="00A83362">
      <w:pPr>
        <w:pStyle w:val="AFR3"/>
        <w:rPr>
          <w:rFonts w:cstheme="minorHAnsi"/>
          <w:sz w:val="24"/>
          <w:szCs w:val="20"/>
        </w:rPr>
      </w:pPr>
      <w:r w:rsidRPr="004E6649">
        <w:rPr>
          <w:rFonts w:cstheme="minorHAnsi"/>
          <w:sz w:val="24"/>
          <w:szCs w:val="20"/>
        </w:rPr>
        <w:t>Student Enrollment</w:t>
      </w:r>
    </w:p>
    <w:p w14:paraId="54099F08" w14:textId="42E96A5C" w:rsidR="00A83362" w:rsidRDefault="008E732A" w:rsidP="00B37306">
      <w:pPr>
        <w:tabs>
          <w:tab w:val="left" w:pos="4860"/>
        </w:tabs>
        <w:spacing w:after="120"/>
        <w:rPr>
          <w:rFonts w:eastAsia="Times New Roman" w:cstheme="minorHAnsi"/>
          <w:sz w:val="24"/>
          <w:szCs w:val="24"/>
        </w:rPr>
      </w:pPr>
      <w:r w:rsidRPr="004E6649">
        <w:rPr>
          <w:rFonts w:eastAsia="Times New Roman" w:cstheme="minorHAnsi"/>
          <w:sz w:val="24"/>
          <w:szCs w:val="24"/>
        </w:rPr>
        <w:t xml:space="preserve">The </w:t>
      </w:r>
      <w:r w:rsidR="00B37306">
        <w:rPr>
          <w:rFonts w:eastAsia="Times New Roman" w:cstheme="minorHAnsi"/>
          <w:sz w:val="24"/>
          <w:szCs w:val="24"/>
        </w:rPr>
        <w:t xml:space="preserve">following chart and </w:t>
      </w:r>
      <w:r w:rsidRPr="004E6649">
        <w:rPr>
          <w:rFonts w:eastAsia="Times New Roman" w:cstheme="minorHAnsi"/>
          <w:sz w:val="24"/>
          <w:szCs w:val="24"/>
        </w:rPr>
        <w:t xml:space="preserve">table </w:t>
      </w:r>
      <w:r w:rsidR="00A83362" w:rsidRPr="004E6649">
        <w:rPr>
          <w:rFonts w:eastAsia="Times New Roman" w:cstheme="minorHAnsi"/>
          <w:sz w:val="24"/>
          <w:szCs w:val="24"/>
        </w:rPr>
        <w:t xml:space="preserve">show student enrollment, including early college, on a headcount basis with </w:t>
      </w:r>
      <w:r w:rsidR="00D078DB">
        <w:rPr>
          <w:rFonts w:eastAsia="Times New Roman" w:cstheme="minorHAnsi"/>
          <w:sz w:val="24"/>
          <w:szCs w:val="24"/>
        </w:rPr>
        <w:t>30,579</w:t>
      </w:r>
      <w:r w:rsidR="00A83362" w:rsidRPr="004E6649">
        <w:rPr>
          <w:rFonts w:eastAsia="Times New Roman" w:cstheme="minorHAnsi"/>
          <w:sz w:val="24"/>
          <w:szCs w:val="24"/>
        </w:rPr>
        <w:t xml:space="preserve"> students enrolled for the fall </w:t>
      </w:r>
      <w:r w:rsidR="00D078DB" w:rsidRPr="004E6649">
        <w:rPr>
          <w:rFonts w:eastAsia="Times New Roman" w:cstheme="minorHAnsi"/>
          <w:sz w:val="24"/>
          <w:szCs w:val="24"/>
        </w:rPr>
        <w:t>202</w:t>
      </w:r>
      <w:r w:rsidR="00D078DB">
        <w:rPr>
          <w:rFonts w:eastAsia="Times New Roman" w:cstheme="minorHAnsi"/>
          <w:sz w:val="24"/>
          <w:szCs w:val="24"/>
        </w:rPr>
        <w:t>4</w:t>
      </w:r>
      <w:r w:rsidR="00D078DB" w:rsidRPr="004E6649">
        <w:rPr>
          <w:rFonts w:eastAsia="Times New Roman" w:cstheme="minorHAnsi"/>
          <w:sz w:val="24"/>
          <w:szCs w:val="24"/>
        </w:rPr>
        <w:t xml:space="preserve"> </w:t>
      </w:r>
      <w:r w:rsidR="00A83362" w:rsidRPr="004E6649">
        <w:rPr>
          <w:rFonts w:eastAsia="Times New Roman" w:cstheme="minorHAnsi"/>
          <w:sz w:val="24"/>
          <w:szCs w:val="24"/>
        </w:rPr>
        <w:t xml:space="preserve">semester, </w:t>
      </w:r>
      <w:r w:rsidR="00D078DB">
        <w:rPr>
          <w:rFonts w:eastAsia="Times New Roman" w:cstheme="minorHAnsi"/>
          <w:sz w:val="24"/>
          <w:szCs w:val="24"/>
        </w:rPr>
        <w:t>an increase of 4.6%</w:t>
      </w:r>
      <w:r w:rsidR="00A83362" w:rsidRPr="004E6649">
        <w:rPr>
          <w:rFonts w:eastAsia="Times New Roman" w:cstheme="minorHAnsi"/>
          <w:sz w:val="24"/>
          <w:szCs w:val="24"/>
        </w:rPr>
        <w:t xml:space="preserve"> </w:t>
      </w:r>
      <w:r w:rsidR="00D078DB">
        <w:rPr>
          <w:rFonts w:eastAsia="Times New Roman" w:cstheme="minorHAnsi"/>
          <w:sz w:val="24"/>
          <w:szCs w:val="24"/>
        </w:rPr>
        <w:t xml:space="preserve">from fall 2023 </w:t>
      </w:r>
      <w:r w:rsidR="00A83362" w:rsidRPr="004E6649">
        <w:rPr>
          <w:rFonts w:eastAsia="Times New Roman" w:cstheme="minorHAnsi"/>
          <w:sz w:val="24"/>
          <w:szCs w:val="24"/>
        </w:rPr>
        <w:t xml:space="preserve">and </w:t>
      </w:r>
      <w:r w:rsidR="00D078DB">
        <w:rPr>
          <w:rFonts w:eastAsia="Times New Roman" w:cstheme="minorHAnsi"/>
          <w:sz w:val="24"/>
          <w:szCs w:val="24"/>
        </w:rPr>
        <w:t>up</w:t>
      </w:r>
      <w:r w:rsidR="00D078DB" w:rsidRPr="004E6649">
        <w:rPr>
          <w:rFonts w:eastAsia="Times New Roman" w:cstheme="minorHAnsi"/>
          <w:sz w:val="24"/>
          <w:szCs w:val="24"/>
        </w:rPr>
        <w:t xml:space="preserve"> </w:t>
      </w:r>
      <w:r w:rsidR="00D078DB">
        <w:rPr>
          <w:rFonts w:eastAsia="Times New Roman" w:cstheme="minorHAnsi"/>
          <w:sz w:val="24"/>
          <w:szCs w:val="24"/>
        </w:rPr>
        <w:t>3.0</w:t>
      </w:r>
      <w:r w:rsidR="00A83362" w:rsidRPr="004E6649">
        <w:rPr>
          <w:rFonts w:eastAsia="Times New Roman" w:cstheme="minorHAnsi"/>
          <w:sz w:val="24"/>
          <w:szCs w:val="24"/>
        </w:rPr>
        <w:t xml:space="preserve">% since fall </w:t>
      </w:r>
      <w:r w:rsidR="00D078DB" w:rsidRPr="004E6649">
        <w:rPr>
          <w:rFonts w:eastAsia="Times New Roman" w:cstheme="minorHAnsi"/>
          <w:sz w:val="24"/>
          <w:szCs w:val="24"/>
        </w:rPr>
        <w:t>20</w:t>
      </w:r>
      <w:r w:rsidR="00D078DB">
        <w:rPr>
          <w:rFonts w:eastAsia="Times New Roman" w:cstheme="minorHAnsi"/>
          <w:sz w:val="24"/>
          <w:szCs w:val="24"/>
        </w:rPr>
        <w:t>20</w:t>
      </w:r>
      <w:r w:rsidR="00A83362" w:rsidRPr="004E6649">
        <w:rPr>
          <w:rFonts w:eastAsia="Times New Roman" w:cstheme="minorHAnsi"/>
          <w:sz w:val="24"/>
          <w:szCs w:val="24"/>
        </w:rPr>
        <w:t>. For fall 202</w:t>
      </w:r>
      <w:r w:rsidR="00D078DB">
        <w:rPr>
          <w:rFonts w:eastAsia="Times New Roman" w:cstheme="minorHAnsi"/>
          <w:sz w:val="24"/>
          <w:szCs w:val="24"/>
        </w:rPr>
        <w:t>4</w:t>
      </w:r>
      <w:r w:rsidR="00A83362" w:rsidRPr="004E6649">
        <w:rPr>
          <w:rFonts w:eastAsia="Times New Roman" w:cstheme="minorHAnsi"/>
          <w:sz w:val="24"/>
          <w:szCs w:val="24"/>
        </w:rPr>
        <w:t xml:space="preserve">, </w:t>
      </w:r>
      <w:r w:rsidR="0022163C">
        <w:rPr>
          <w:rFonts w:eastAsia="Times New Roman" w:cstheme="minorHAnsi"/>
          <w:sz w:val="24"/>
          <w:szCs w:val="24"/>
        </w:rPr>
        <w:t>58</w:t>
      </w:r>
      <w:r w:rsidR="00A83362" w:rsidRPr="004E6649">
        <w:rPr>
          <w:rFonts w:eastAsia="Times New Roman" w:cstheme="minorHAnsi"/>
          <w:sz w:val="24"/>
          <w:szCs w:val="24"/>
        </w:rPr>
        <w:t xml:space="preserve">% of the student population </w:t>
      </w:r>
      <w:r w:rsidR="00332FE3" w:rsidRPr="004E6649">
        <w:rPr>
          <w:rFonts w:eastAsia="Times New Roman" w:cstheme="minorHAnsi"/>
          <w:sz w:val="24"/>
          <w:szCs w:val="24"/>
        </w:rPr>
        <w:t>w</w:t>
      </w:r>
      <w:r w:rsidR="00332FE3">
        <w:rPr>
          <w:rFonts w:eastAsia="Times New Roman" w:cstheme="minorHAnsi"/>
          <w:sz w:val="24"/>
          <w:szCs w:val="24"/>
        </w:rPr>
        <w:t>as</w:t>
      </w:r>
      <w:r w:rsidR="00332FE3" w:rsidRPr="004E6649">
        <w:rPr>
          <w:rFonts w:eastAsia="Times New Roman" w:cstheme="minorHAnsi"/>
          <w:sz w:val="24"/>
          <w:szCs w:val="24"/>
        </w:rPr>
        <w:t xml:space="preserve"> </w:t>
      </w:r>
      <w:r w:rsidR="00A83362" w:rsidRPr="004E6649">
        <w:rPr>
          <w:rFonts w:eastAsia="Times New Roman" w:cstheme="minorHAnsi"/>
          <w:sz w:val="24"/>
          <w:szCs w:val="24"/>
        </w:rPr>
        <w:t xml:space="preserve">enrolled full-time, </w:t>
      </w:r>
      <w:r w:rsidR="0022163C">
        <w:rPr>
          <w:rFonts w:eastAsia="Times New Roman" w:cstheme="minorHAnsi"/>
          <w:sz w:val="24"/>
          <w:szCs w:val="24"/>
        </w:rPr>
        <w:t xml:space="preserve">flat with </w:t>
      </w:r>
      <w:r w:rsidR="00A83362" w:rsidRPr="004E6649">
        <w:rPr>
          <w:rFonts w:eastAsia="Times New Roman" w:cstheme="minorHAnsi"/>
          <w:sz w:val="24"/>
          <w:szCs w:val="24"/>
        </w:rPr>
        <w:t>fall 202</w:t>
      </w:r>
      <w:r w:rsidR="0022163C">
        <w:rPr>
          <w:rFonts w:eastAsia="Times New Roman" w:cstheme="minorHAnsi"/>
          <w:sz w:val="24"/>
          <w:szCs w:val="24"/>
        </w:rPr>
        <w:t>3 and down from 63% in fall 2020</w:t>
      </w:r>
      <w:r w:rsidR="00A83362" w:rsidRPr="004E6649">
        <w:rPr>
          <w:rFonts w:eastAsia="Times New Roman" w:cstheme="minorHAnsi"/>
          <w:sz w:val="24"/>
          <w:szCs w:val="24"/>
        </w:rPr>
        <w:t>.</w:t>
      </w:r>
    </w:p>
    <w:p w14:paraId="3185028F" w14:textId="15AD3C40" w:rsidR="00B37306" w:rsidRDefault="00D078DB" w:rsidP="00B37306">
      <w:pPr>
        <w:tabs>
          <w:tab w:val="left" w:pos="4860"/>
        </w:tabs>
        <w:spacing w:after="120"/>
        <w:jc w:val="center"/>
        <w:rPr>
          <w:rFonts w:eastAsia="Times New Roman" w:cstheme="minorHAnsi"/>
          <w:sz w:val="24"/>
          <w:szCs w:val="24"/>
        </w:rPr>
      </w:pPr>
      <w:r>
        <w:rPr>
          <w:noProof/>
          <w14:ligatures w14:val="standardContextual"/>
        </w:rPr>
        <w:drawing>
          <wp:inline distT="0" distB="0" distL="0" distR="0" wp14:anchorId="720BF3C2" wp14:editId="72EF69B8">
            <wp:extent cx="4224528" cy="3200400"/>
            <wp:effectExtent l="0" t="0" r="5080" b="0"/>
            <wp:docPr id="1167088507" name="Chart 1" descr="Chart 1: student enrollment by headcount">
              <a:extLst xmlns:a="http://schemas.openxmlformats.org/drawingml/2006/main">
                <a:ext uri="{FF2B5EF4-FFF2-40B4-BE49-F238E27FC236}">
                  <a16:creationId xmlns:a16="http://schemas.microsoft.com/office/drawing/2014/main" id="{00000000-0008-0000-01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bl>
      <w:tblPr>
        <w:tblW w:w="5400" w:type="dxa"/>
        <w:jc w:val="center"/>
        <w:tblLayout w:type="fixed"/>
        <w:tblLook w:val="04A0" w:firstRow="1" w:lastRow="0" w:firstColumn="1" w:lastColumn="0" w:noHBand="0" w:noVBand="1"/>
      </w:tblPr>
      <w:tblGrid>
        <w:gridCol w:w="990"/>
        <w:gridCol w:w="990"/>
        <w:gridCol w:w="1080"/>
        <w:gridCol w:w="1350"/>
        <w:gridCol w:w="990"/>
      </w:tblGrid>
      <w:tr w:rsidR="008E732A" w:rsidRPr="004E6649" w14:paraId="10513B85" w14:textId="77777777" w:rsidTr="000335D8">
        <w:trPr>
          <w:trHeight w:val="70"/>
          <w:jc w:val="center"/>
        </w:trPr>
        <w:tc>
          <w:tcPr>
            <w:tcW w:w="990" w:type="dxa"/>
            <w:tcBorders>
              <w:top w:val="single" w:sz="4" w:space="0" w:color="000000"/>
              <w:left w:val="nil"/>
              <w:bottom w:val="single" w:sz="4" w:space="0" w:color="000000"/>
              <w:right w:val="nil"/>
            </w:tcBorders>
            <w:noWrap/>
            <w:vAlign w:val="bottom"/>
            <w:hideMark/>
          </w:tcPr>
          <w:p w14:paraId="766644E1" w14:textId="0DE77642" w:rsidR="008E732A" w:rsidRPr="00156FC4" w:rsidRDefault="008E732A" w:rsidP="008E732A">
            <w:pPr>
              <w:rPr>
                <w:rFonts w:eastAsia="Times New Roman" w:cstheme="minorHAnsi"/>
                <w:b/>
                <w:bCs/>
                <w:color w:val="000000"/>
                <w:sz w:val="20"/>
                <w:szCs w:val="20"/>
              </w:rPr>
            </w:pPr>
            <w:r w:rsidRPr="00156FC4">
              <w:rPr>
                <w:rFonts w:eastAsia="Times New Roman" w:cstheme="minorHAnsi"/>
                <w:b/>
                <w:bCs/>
                <w:color w:val="000000"/>
                <w:sz w:val="20"/>
                <w:szCs w:val="20"/>
              </w:rPr>
              <w:t>Year</w:t>
            </w:r>
          </w:p>
        </w:tc>
        <w:tc>
          <w:tcPr>
            <w:tcW w:w="990" w:type="dxa"/>
            <w:tcBorders>
              <w:top w:val="single" w:sz="4" w:space="0" w:color="000000"/>
              <w:left w:val="nil"/>
              <w:bottom w:val="single" w:sz="4" w:space="0" w:color="000000"/>
              <w:right w:val="nil"/>
            </w:tcBorders>
            <w:noWrap/>
            <w:vAlign w:val="bottom"/>
            <w:hideMark/>
          </w:tcPr>
          <w:p w14:paraId="4C6D6772" w14:textId="77777777" w:rsidR="008E732A" w:rsidRPr="00156FC4" w:rsidRDefault="008E732A" w:rsidP="008E732A">
            <w:pPr>
              <w:rPr>
                <w:rFonts w:eastAsia="Times New Roman" w:cstheme="minorHAnsi"/>
                <w:b/>
                <w:bCs/>
                <w:color w:val="000000"/>
                <w:sz w:val="20"/>
                <w:szCs w:val="20"/>
              </w:rPr>
            </w:pPr>
            <w:r w:rsidRPr="00156FC4">
              <w:rPr>
                <w:rFonts w:eastAsia="Times New Roman" w:cstheme="minorHAnsi"/>
                <w:b/>
                <w:bCs/>
                <w:color w:val="000000"/>
                <w:sz w:val="20"/>
                <w:szCs w:val="20"/>
              </w:rPr>
              <w:t>Full-Time</w:t>
            </w:r>
          </w:p>
        </w:tc>
        <w:tc>
          <w:tcPr>
            <w:tcW w:w="1080" w:type="dxa"/>
            <w:tcBorders>
              <w:top w:val="single" w:sz="4" w:space="0" w:color="000000"/>
              <w:left w:val="nil"/>
              <w:bottom w:val="single" w:sz="4" w:space="0" w:color="000000"/>
              <w:right w:val="nil"/>
            </w:tcBorders>
            <w:noWrap/>
            <w:vAlign w:val="bottom"/>
            <w:hideMark/>
          </w:tcPr>
          <w:p w14:paraId="1C26560F" w14:textId="77777777" w:rsidR="008E732A" w:rsidRPr="00156FC4" w:rsidRDefault="008E732A" w:rsidP="008E732A">
            <w:pPr>
              <w:rPr>
                <w:rFonts w:eastAsia="Times New Roman" w:cstheme="minorHAnsi"/>
                <w:b/>
                <w:bCs/>
                <w:color w:val="000000"/>
                <w:sz w:val="20"/>
                <w:szCs w:val="20"/>
              </w:rPr>
            </w:pPr>
            <w:r w:rsidRPr="00156FC4">
              <w:rPr>
                <w:rFonts w:eastAsia="Times New Roman" w:cstheme="minorHAnsi"/>
                <w:b/>
                <w:bCs/>
                <w:color w:val="000000"/>
                <w:sz w:val="20"/>
                <w:szCs w:val="20"/>
              </w:rPr>
              <w:t>Part-Time</w:t>
            </w:r>
          </w:p>
        </w:tc>
        <w:tc>
          <w:tcPr>
            <w:tcW w:w="1350" w:type="dxa"/>
            <w:tcBorders>
              <w:top w:val="single" w:sz="4" w:space="0" w:color="000000"/>
              <w:left w:val="nil"/>
              <w:bottom w:val="single" w:sz="4" w:space="0" w:color="000000"/>
              <w:right w:val="nil"/>
            </w:tcBorders>
            <w:noWrap/>
            <w:vAlign w:val="bottom"/>
            <w:hideMark/>
          </w:tcPr>
          <w:p w14:paraId="05C04888" w14:textId="77777777" w:rsidR="008E732A" w:rsidRPr="00156FC4" w:rsidRDefault="008E732A" w:rsidP="008E732A">
            <w:pPr>
              <w:rPr>
                <w:rFonts w:eastAsia="Times New Roman" w:cstheme="minorHAnsi"/>
                <w:b/>
                <w:bCs/>
                <w:color w:val="000000"/>
                <w:sz w:val="20"/>
                <w:szCs w:val="20"/>
              </w:rPr>
            </w:pPr>
            <w:r w:rsidRPr="00156FC4">
              <w:rPr>
                <w:rFonts w:eastAsia="Times New Roman" w:cstheme="minorHAnsi"/>
                <w:b/>
                <w:bCs/>
                <w:color w:val="000000"/>
                <w:sz w:val="20"/>
                <w:szCs w:val="20"/>
              </w:rPr>
              <w:t>Early College</w:t>
            </w:r>
          </w:p>
        </w:tc>
        <w:tc>
          <w:tcPr>
            <w:tcW w:w="990" w:type="dxa"/>
            <w:tcBorders>
              <w:top w:val="single" w:sz="4" w:space="0" w:color="000000"/>
              <w:left w:val="nil"/>
              <w:bottom w:val="single" w:sz="4" w:space="0" w:color="000000"/>
              <w:right w:val="nil"/>
            </w:tcBorders>
            <w:noWrap/>
            <w:vAlign w:val="bottom"/>
            <w:hideMark/>
          </w:tcPr>
          <w:p w14:paraId="3CAB3D08" w14:textId="77777777" w:rsidR="008E732A" w:rsidRPr="00156FC4" w:rsidRDefault="008E732A" w:rsidP="008E732A">
            <w:pPr>
              <w:rPr>
                <w:rFonts w:eastAsia="Times New Roman" w:cstheme="minorHAnsi"/>
                <w:b/>
                <w:bCs/>
                <w:color w:val="000000"/>
                <w:sz w:val="20"/>
                <w:szCs w:val="20"/>
              </w:rPr>
            </w:pPr>
            <w:r w:rsidRPr="00156FC4">
              <w:rPr>
                <w:rFonts w:eastAsia="Times New Roman" w:cstheme="minorHAnsi"/>
                <w:b/>
                <w:bCs/>
                <w:color w:val="000000"/>
                <w:sz w:val="20"/>
                <w:szCs w:val="20"/>
              </w:rPr>
              <w:t>Total</w:t>
            </w:r>
          </w:p>
        </w:tc>
      </w:tr>
      <w:tr w:rsidR="00D078DB" w:rsidRPr="004E6649" w14:paraId="64E543CA" w14:textId="77777777" w:rsidTr="000335D8">
        <w:trPr>
          <w:trHeight w:val="70"/>
          <w:jc w:val="center"/>
        </w:trPr>
        <w:tc>
          <w:tcPr>
            <w:tcW w:w="990" w:type="dxa"/>
            <w:tcBorders>
              <w:top w:val="single" w:sz="4" w:space="0" w:color="000000"/>
              <w:left w:val="nil"/>
              <w:bottom w:val="nil"/>
              <w:right w:val="nil"/>
            </w:tcBorders>
            <w:noWrap/>
            <w:vAlign w:val="bottom"/>
            <w:hideMark/>
          </w:tcPr>
          <w:p w14:paraId="1765081A" w14:textId="26524F6F" w:rsidR="00D078DB" w:rsidRPr="00156FC4" w:rsidRDefault="00D078DB" w:rsidP="00D078DB">
            <w:pPr>
              <w:rPr>
                <w:rFonts w:eastAsia="Times New Roman" w:cstheme="minorHAnsi"/>
                <w:color w:val="000000"/>
                <w:sz w:val="20"/>
                <w:szCs w:val="20"/>
              </w:rPr>
            </w:pPr>
            <w:r w:rsidRPr="00156FC4">
              <w:rPr>
                <w:rFonts w:eastAsia="Times New Roman" w:cstheme="minorHAnsi"/>
                <w:color w:val="000000"/>
                <w:sz w:val="20"/>
                <w:szCs w:val="20"/>
              </w:rPr>
              <w:t>Fall 2020</w:t>
            </w:r>
          </w:p>
        </w:tc>
        <w:tc>
          <w:tcPr>
            <w:tcW w:w="990" w:type="dxa"/>
            <w:tcBorders>
              <w:top w:val="single" w:sz="4" w:space="0" w:color="000000"/>
              <w:left w:val="nil"/>
              <w:bottom w:val="nil"/>
              <w:right w:val="nil"/>
            </w:tcBorders>
            <w:noWrap/>
            <w:vAlign w:val="bottom"/>
            <w:hideMark/>
          </w:tcPr>
          <w:p w14:paraId="19F49C6C" w14:textId="24277E19" w:rsidR="00D078DB" w:rsidRPr="00156FC4" w:rsidRDefault="00D078DB" w:rsidP="00D078DB">
            <w:pPr>
              <w:jc w:val="right"/>
              <w:rPr>
                <w:rFonts w:eastAsia="Times New Roman" w:cstheme="minorHAnsi"/>
                <w:color w:val="000000"/>
                <w:sz w:val="20"/>
                <w:szCs w:val="20"/>
              </w:rPr>
            </w:pPr>
            <w:r w:rsidRPr="00156FC4">
              <w:rPr>
                <w:rFonts w:eastAsia="Times New Roman" w:cstheme="minorHAnsi"/>
                <w:color w:val="000000"/>
                <w:sz w:val="20"/>
                <w:szCs w:val="20"/>
              </w:rPr>
              <w:t>18,631</w:t>
            </w:r>
          </w:p>
        </w:tc>
        <w:tc>
          <w:tcPr>
            <w:tcW w:w="1080" w:type="dxa"/>
            <w:tcBorders>
              <w:top w:val="single" w:sz="4" w:space="0" w:color="000000"/>
              <w:left w:val="nil"/>
              <w:bottom w:val="nil"/>
              <w:right w:val="nil"/>
            </w:tcBorders>
            <w:noWrap/>
            <w:vAlign w:val="bottom"/>
            <w:hideMark/>
          </w:tcPr>
          <w:p w14:paraId="58219FF1" w14:textId="400F05C4" w:rsidR="00D078DB" w:rsidRPr="00156FC4" w:rsidRDefault="00D078DB" w:rsidP="00D078DB">
            <w:pPr>
              <w:jc w:val="right"/>
              <w:rPr>
                <w:rFonts w:eastAsia="Times New Roman" w:cstheme="minorHAnsi"/>
                <w:color w:val="000000"/>
                <w:sz w:val="20"/>
                <w:szCs w:val="20"/>
              </w:rPr>
            </w:pPr>
            <w:r w:rsidRPr="00156FC4">
              <w:rPr>
                <w:rFonts w:eastAsia="Times New Roman" w:cstheme="minorHAnsi"/>
                <w:color w:val="000000"/>
                <w:sz w:val="20"/>
                <w:szCs w:val="20"/>
              </w:rPr>
              <w:t>7,621</w:t>
            </w:r>
          </w:p>
        </w:tc>
        <w:tc>
          <w:tcPr>
            <w:tcW w:w="1350" w:type="dxa"/>
            <w:tcBorders>
              <w:top w:val="single" w:sz="4" w:space="0" w:color="000000"/>
              <w:left w:val="nil"/>
              <w:bottom w:val="nil"/>
              <w:right w:val="nil"/>
            </w:tcBorders>
            <w:noWrap/>
            <w:vAlign w:val="bottom"/>
            <w:hideMark/>
          </w:tcPr>
          <w:p w14:paraId="1D01D00C" w14:textId="014CE6A6" w:rsidR="00D078DB" w:rsidRPr="00156FC4" w:rsidRDefault="00D078DB" w:rsidP="00D078DB">
            <w:pPr>
              <w:jc w:val="right"/>
              <w:rPr>
                <w:rFonts w:eastAsia="Times New Roman" w:cstheme="minorHAnsi"/>
                <w:color w:val="000000"/>
                <w:sz w:val="20"/>
                <w:szCs w:val="20"/>
              </w:rPr>
            </w:pPr>
            <w:r w:rsidRPr="00156FC4">
              <w:rPr>
                <w:rFonts w:eastAsia="Times New Roman" w:cstheme="minorHAnsi"/>
                <w:color w:val="000000"/>
                <w:sz w:val="20"/>
                <w:szCs w:val="20"/>
              </w:rPr>
              <w:t>3,431</w:t>
            </w:r>
          </w:p>
        </w:tc>
        <w:tc>
          <w:tcPr>
            <w:tcW w:w="990" w:type="dxa"/>
            <w:tcBorders>
              <w:top w:val="single" w:sz="4" w:space="0" w:color="000000"/>
              <w:left w:val="nil"/>
              <w:bottom w:val="nil"/>
              <w:right w:val="nil"/>
            </w:tcBorders>
            <w:noWrap/>
            <w:vAlign w:val="bottom"/>
            <w:hideMark/>
          </w:tcPr>
          <w:p w14:paraId="69971A9F" w14:textId="22B19CEC" w:rsidR="00D078DB" w:rsidRPr="00156FC4" w:rsidRDefault="00D078DB" w:rsidP="00D078DB">
            <w:pPr>
              <w:jc w:val="right"/>
              <w:rPr>
                <w:rFonts w:eastAsia="Times New Roman" w:cstheme="minorHAnsi"/>
                <w:color w:val="000000"/>
                <w:sz w:val="20"/>
                <w:szCs w:val="20"/>
              </w:rPr>
            </w:pPr>
            <w:r w:rsidRPr="00156FC4">
              <w:rPr>
                <w:rFonts w:eastAsia="Times New Roman" w:cstheme="minorHAnsi"/>
                <w:color w:val="000000"/>
                <w:sz w:val="20"/>
                <w:szCs w:val="20"/>
              </w:rPr>
              <w:t>29,683</w:t>
            </w:r>
          </w:p>
        </w:tc>
      </w:tr>
      <w:tr w:rsidR="00D078DB" w:rsidRPr="004E6649" w14:paraId="0B08C8E4" w14:textId="77777777" w:rsidTr="000335D8">
        <w:trPr>
          <w:trHeight w:val="80"/>
          <w:jc w:val="center"/>
        </w:trPr>
        <w:tc>
          <w:tcPr>
            <w:tcW w:w="990" w:type="dxa"/>
            <w:tcBorders>
              <w:top w:val="nil"/>
              <w:left w:val="nil"/>
              <w:bottom w:val="nil"/>
              <w:right w:val="nil"/>
            </w:tcBorders>
            <w:noWrap/>
            <w:vAlign w:val="bottom"/>
            <w:hideMark/>
          </w:tcPr>
          <w:p w14:paraId="4A668A27" w14:textId="7426E18A" w:rsidR="00D078DB" w:rsidRPr="00156FC4" w:rsidRDefault="00D078DB" w:rsidP="00D078DB">
            <w:pPr>
              <w:rPr>
                <w:rFonts w:eastAsia="Times New Roman" w:cstheme="minorHAnsi"/>
                <w:color w:val="000000"/>
                <w:sz w:val="20"/>
                <w:szCs w:val="20"/>
              </w:rPr>
            </w:pPr>
            <w:r w:rsidRPr="00156FC4">
              <w:rPr>
                <w:rFonts w:eastAsia="Times New Roman" w:cstheme="minorHAnsi"/>
                <w:color w:val="000000"/>
                <w:sz w:val="20"/>
                <w:szCs w:val="20"/>
              </w:rPr>
              <w:t>Fall 2021</w:t>
            </w:r>
          </w:p>
        </w:tc>
        <w:tc>
          <w:tcPr>
            <w:tcW w:w="990" w:type="dxa"/>
            <w:tcBorders>
              <w:top w:val="nil"/>
              <w:left w:val="nil"/>
              <w:bottom w:val="nil"/>
              <w:right w:val="nil"/>
            </w:tcBorders>
            <w:noWrap/>
            <w:vAlign w:val="bottom"/>
            <w:hideMark/>
          </w:tcPr>
          <w:p w14:paraId="5ACED7FA" w14:textId="43989EE1" w:rsidR="00D078DB" w:rsidRPr="00156FC4" w:rsidRDefault="00D078DB" w:rsidP="00D078DB">
            <w:pPr>
              <w:jc w:val="right"/>
              <w:rPr>
                <w:rFonts w:eastAsia="Times New Roman" w:cstheme="minorHAnsi"/>
                <w:color w:val="000000"/>
                <w:sz w:val="20"/>
                <w:szCs w:val="20"/>
              </w:rPr>
            </w:pPr>
            <w:r w:rsidRPr="00156FC4">
              <w:rPr>
                <w:rFonts w:eastAsia="Times New Roman" w:cstheme="minorHAnsi"/>
                <w:color w:val="000000"/>
                <w:sz w:val="20"/>
                <w:szCs w:val="20"/>
              </w:rPr>
              <w:t>18,500</w:t>
            </w:r>
          </w:p>
        </w:tc>
        <w:tc>
          <w:tcPr>
            <w:tcW w:w="1080" w:type="dxa"/>
            <w:tcBorders>
              <w:top w:val="nil"/>
              <w:left w:val="nil"/>
              <w:bottom w:val="nil"/>
              <w:right w:val="nil"/>
            </w:tcBorders>
            <w:noWrap/>
            <w:vAlign w:val="bottom"/>
            <w:hideMark/>
          </w:tcPr>
          <w:p w14:paraId="4C407B8B" w14:textId="142F7F61" w:rsidR="00D078DB" w:rsidRPr="00156FC4" w:rsidRDefault="00D078DB" w:rsidP="00D078DB">
            <w:pPr>
              <w:jc w:val="right"/>
              <w:rPr>
                <w:rFonts w:eastAsia="Times New Roman" w:cstheme="minorHAnsi"/>
                <w:color w:val="000000"/>
                <w:sz w:val="20"/>
                <w:szCs w:val="20"/>
              </w:rPr>
            </w:pPr>
            <w:r w:rsidRPr="00156FC4">
              <w:rPr>
                <w:rFonts w:eastAsia="Times New Roman" w:cstheme="minorHAnsi"/>
                <w:color w:val="000000"/>
                <w:sz w:val="20"/>
                <w:szCs w:val="20"/>
              </w:rPr>
              <w:t>7,611</w:t>
            </w:r>
          </w:p>
        </w:tc>
        <w:tc>
          <w:tcPr>
            <w:tcW w:w="1350" w:type="dxa"/>
            <w:tcBorders>
              <w:top w:val="nil"/>
              <w:left w:val="nil"/>
              <w:bottom w:val="nil"/>
              <w:right w:val="nil"/>
            </w:tcBorders>
            <w:noWrap/>
            <w:vAlign w:val="bottom"/>
            <w:hideMark/>
          </w:tcPr>
          <w:p w14:paraId="60D068A6" w14:textId="23202455" w:rsidR="00D078DB" w:rsidRPr="00156FC4" w:rsidRDefault="00D078DB" w:rsidP="00D078DB">
            <w:pPr>
              <w:jc w:val="right"/>
              <w:rPr>
                <w:rFonts w:eastAsia="Times New Roman" w:cstheme="minorHAnsi"/>
                <w:color w:val="000000"/>
                <w:sz w:val="20"/>
                <w:szCs w:val="20"/>
              </w:rPr>
            </w:pPr>
            <w:r w:rsidRPr="00156FC4">
              <w:rPr>
                <w:rFonts w:eastAsia="Times New Roman" w:cstheme="minorHAnsi"/>
                <w:color w:val="0D0D0D"/>
                <w:sz w:val="20"/>
                <w:szCs w:val="20"/>
              </w:rPr>
              <w:t>4,028</w:t>
            </w:r>
          </w:p>
        </w:tc>
        <w:tc>
          <w:tcPr>
            <w:tcW w:w="990" w:type="dxa"/>
            <w:tcBorders>
              <w:top w:val="nil"/>
              <w:left w:val="nil"/>
              <w:bottom w:val="nil"/>
              <w:right w:val="nil"/>
            </w:tcBorders>
            <w:noWrap/>
            <w:vAlign w:val="bottom"/>
            <w:hideMark/>
          </w:tcPr>
          <w:p w14:paraId="364B8A63" w14:textId="4F8A08B0" w:rsidR="00D078DB" w:rsidRPr="00156FC4" w:rsidRDefault="00D078DB" w:rsidP="00D078DB">
            <w:pPr>
              <w:jc w:val="right"/>
              <w:rPr>
                <w:rFonts w:eastAsia="Times New Roman" w:cstheme="minorHAnsi"/>
                <w:color w:val="000000"/>
                <w:sz w:val="20"/>
                <w:szCs w:val="20"/>
              </w:rPr>
            </w:pPr>
            <w:r w:rsidRPr="00156FC4">
              <w:rPr>
                <w:rFonts w:eastAsia="Times New Roman" w:cstheme="minorHAnsi"/>
                <w:color w:val="000000"/>
                <w:sz w:val="20"/>
                <w:szCs w:val="20"/>
              </w:rPr>
              <w:t>30,139</w:t>
            </w:r>
          </w:p>
        </w:tc>
      </w:tr>
      <w:tr w:rsidR="00D078DB" w:rsidRPr="004E6649" w14:paraId="6225F321" w14:textId="77777777" w:rsidTr="000335D8">
        <w:trPr>
          <w:trHeight w:val="80"/>
          <w:jc w:val="center"/>
        </w:trPr>
        <w:tc>
          <w:tcPr>
            <w:tcW w:w="990" w:type="dxa"/>
            <w:tcBorders>
              <w:top w:val="nil"/>
              <w:left w:val="nil"/>
              <w:bottom w:val="nil"/>
              <w:right w:val="nil"/>
            </w:tcBorders>
            <w:noWrap/>
            <w:vAlign w:val="bottom"/>
            <w:hideMark/>
          </w:tcPr>
          <w:p w14:paraId="6B0F8CE5" w14:textId="0FEAFC07" w:rsidR="00D078DB" w:rsidRPr="00156FC4" w:rsidRDefault="00D078DB" w:rsidP="00D078DB">
            <w:pPr>
              <w:rPr>
                <w:rFonts w:eastAsia="Times New Roman" w:cstheme="minorHAnsi"/>
                <w:color w:val="000000"/>
                <w:sz w:val="20"/>
                <w:szCs w:val="20"/>
              </w:rPr>
            </w:pPr>
            <w:r w:rsidRPr="00156FC4">
              <w:rPr>
                <w:rFonts w:eastAsia="Times New Roman" w:cstheme="minorHAnsi"/>
                <w:color w:val="000000"/>
                <w:sz w:val="20"/>
                <w:szCs w:val="20"/>
              </w:rPr>
              <w:t>Fall 2022</w:t>
            </w:r>
          </w:p>
        </w:tc>
        <w:tc>
          <w:tcPr>
            <w:tcW w:w="990" w:type="dxa"/>
            <w:tcBorders>
              <w:top w:val="nil"/>
              <w:left w:val="nil"/>
              <w:bottom w:val="nil"/>
              <w:right w:val="nil"/>
            </w:tcBorders>
            <w:noWrap/>
            <w:vAlign w:val="bottom"/>
            <w:hideMark/>
          </w:tcPr>
          <w:p w14:paraId="4E9D24A0" w14:textId="613969A8" w:rsidR="00D078DB" w:rsidRPr="00156FC4" w:rsidRDefault="00D078DB" w:rsidP="00D078DB">
            <w:pPr>
              <w:jc w:val="right"/>
              <w:rPr>
                <w:rFonts w:eastAsia="Times New Roman" w:cstheme="minorHAnsi"/>
                <w:color w:val="000000"/>
                <w:sz w:val="20"/>
                <w:szCs w:val="20"/>
              </w:rPr>
            </w:pPr>
            <w:r w:rsidRPr="00156FC4">
              <w:rPr>
                <w:rFonts w:eastAsia="Times New Roman" w:cstheme="minorHAnsi"/>
                <w:color w:val="000000"/>
                <w:sz w:val="20"/>
                <w:szCs w:val="20"/>
              </w:rPr>
              <w:t>17,329</w:t>
            </w:r>
          </w:p>
        </w:tc>
        <w:tc>
          <w:tcPr>
            <w:tcW w:w="1080" w:type="dxa"/>
            <w:tcBorders>
              <w:top w:val="nil"/>
              <w:left w:val="nil"/>
              <w:bottom w:val="nil"/>
              <w:right w:val="nil"/>
            </w:tcBorders>
            <w:noWrap/>
            <w:vAlign w:val="bottom"/>
            <w:hideMark/>
          </w:tcPr>
          <w:p w14:paraId="7D92FCA4" w14:textId="66C2C7AB" w:rsidR="00D078DB" w:rsidRPr="00156FC4" w:rsidRDefault="00D078DB" w:rsidP="00D078DB">
            <w:pPr>
              <w:jc w:val="right"/>
              <w:rPr>
                <w:rFonts w:eastAsia="Times New Roman" w:cstheme="minorHAnsi"/>
                <w:color w:val="000000"/>
                <w:sz w:val="20"/>
                <w:szCs w:val="20"/>
              </w:rPr>
            </w:pPr>
            <w:r w:rsidRPr="00156FC4">
              <w:rPr>
                <w:rFonts w:eastAsia="Times New Roman" w:cstheme="minorHAnsi"/>
                <w:color w:val="000000"/>
                <w:sz w:val="20"/>
                <w:szCs w:val="20"/>
              </w:rPr>
              <w:t>7,479</w:t>
            </w:r>
          </w:p>
        </w:tc>
        <w:tc>
          <w:tcPr>
            <w:tcW w:w="1350" w:type="dxa"/>
            <w:tcBorders>
              <w:top w:val="nil"/>
              <w:left w:val="nil"/>
              <w:bottom w:val="nil"/>
              <w:right w:val="nil"/>
            </w:tcBorders>
            <w:noWrap/>
            <w:vAlign w:val="bottom"/>
            <w:hideMark/>
          </w:tcPr>
          <w:p w14:paraId="0AF31CB6" w14:textId="4C2707E2" w:rsidR="00D078DB" w:rsidRPr="00156FC4" w:rsidRDefault="00D078DB" w:rsidP="00D078DB">
            <w:pPr>
              <w:jc w:val="right"/>
              <w:rPr>
                <w:rFonts w:eastAsia="Times New Roman" w:cstheme="minorHAnsi"/>
                <w:color w:val="0D0D0D"/>
                <w:sz w:val="20"/>
                <w:szCs w:val="20"/>
              </w:rPr>
            </w:pPr>
            <w:r w:rsidRPr="00156FC4">
              <w:rPr>
                <w:rFonts w:eastAsia="Times New Roman" w:cstheme="minorHAnsi"/>
                <w:color w:val="0D0D0D"/>
                <w:sz w:val="20"/>
                <w:szCs w:val="20"/>
              </w:rPr>
              <w:t>4,446</w:t>
            </w:r>
          </w:p>
        </w:tc>
        <w:tc>
          <w:tcPr>
            <w:tcW w:w="990" w:type="dxa"/>
            <w:tcBorders>
              <w:top w:val="nil"/>
              <w:left w:val="nil"/>
              <w:bottom w:val="nil"/>
              <w:right w:val="nil"/>
            </w:tcBorders>
            <w:noWrap/>
            <w:vAlign w:val="bottom"/>
            <w:hideMark/>
          </w:tcPr>
          <w:p w14:paraId="2BA132C8" w14:textId="336297E5" w:rsidR="00D078DB" w:rsidRPr="00156FC4" w:rsidRDefault="00D078DB" w:rsidP="00D078DB">
            <w:pPr>
              <w:jc w:val="right"/>
              <w:rPr>
                <w:rFonts w:eastAsia="Times New Roman" w:cstheme="minorHAnsi"/>
                <w:color w:val="000000"/>
                <w:sz w:val="20"/>
                <w:szCs w:val="20"/>
              </w:rPr>
            </w:pPr>
            <w:r w:rsidRPr="00156FC4">
              <w:rPr>
                <w:rFonts w:eastAsia="Times New Roman" w:cstheme="minorHAnsi"/>
                <w:color w:val="000000"/>
                <w:sz w:val="20"/>
                <w:szCs w:val="20"/>
              </w:rPr>
              <w:t>29,254</w:t>
            </w:r>
          </w:p>
        </w:tc>
      </w:tr>
      <w:tr w:rsidR="00D078DB" w:rsidRPr="004E6649" w14:paraId="55CF773B" w14:textId="77777777" w:rsidTr="000335D8">
        <w:trPr>
          <w:trHeight w:val="80"/>
          <w:jc w:val="center"/>
        </w:trPr>
        <w:tc>
          <w:tcPr>
            <w:tcW w:w="990" w:type="dxa"/>
            <w:tcBorders>
              <w:top w:val="nil"/>
              <w:left w:val="nil"/>
              <w:bottom w:val="nil"/>
              <w:right w:val="nil"/>
            </w:tcBorders>
            <w:noWrap/>
            <w:vAlign w:val="bottom"/>
            <w:hideMark/>
          </w:tcPr>
          <w:p w14:paraId="64ED15F9" w14:textId="4A81BA0A" w:rsidR="00D078DB" w:rsidRPr="00156FC4" w:rsidRDefault="00D078DB" w:rsidP="00D078DB">
            <w:pPr>
              <w:rPr>
                <w:rFonts w:eastAsia="Times New Roman" w:cstheme="minorHAnsi"/>
                <w:color w:val="000000"/>
                <w:sz w:val="20"/>
                <w:szCs w:val="20"/>
              </w:rPr>
            </w:pPr>
            <w:r w:rsidRPr="00156FC4">
              <w:rPr>
                <w:rFonts w:eastAsia="Times New Roman" w:cstheme="minorHAnsi"/>
                <w:color w:val="000000"/>
                <w:sz w:val="20"/>
                <w:szCs w:val="20"/>
              </w:rPr>
              <w:t>Fall 2023</w:t>
            </w:r>
          </w:p>
        </w:tc>
        <w:tc>
          <w:tcPr>
            <w:tcW w:w="990" w:type="dxa"/>
            <w:tcBorders>
              <w:top w:val="nil"/>
              <w:left w:val="nil"/>
              <w:bottom w:val="nil"/>
              <w:right w:val="nil"/>
            </w:tcBorders>
            <w:noWrap/>
            <w:vAlign w:val="bottom"/>
            <w:hideMark/>
          </w:tcPr>
          <w:p w14:paraId="7670DB41" w14:textId="75B2F3C5" w:rsidR="00D078DB" w:rsidRPr="00156FC4" w:rsidRDefault="00D078DB" w:rsidP="00D078DB">
            <w:pPr>
              <w:jc w:val="right"/>
              <w:rPr>
                <w:rFonts w:eastAsia="Times New Roman" w:cstheme="minorHAnsi"/>
                <w:color w:val="000000"/>
                <w:sz w:val="20"/>
                <w:szCs w:val="20"/>
              </w:rPr>
            </w:pPr>
            <w:r w:rsidRPr="00156FC4">
              <w:rPr>
                <w:rFonts w:eastAsia="Times New Roman" w:cstheme="minorHAnsi"/>
                <w:color w:val="000000"/>
                <w:sz w:val="20"/>
                <w:szCs w:val="20"/>
              </w:rPr>
              <w:t>17,010</w:t>
            </w:r>
          </w:p>
        </w:tc>
        <w:tc>
          <w:tcPr>
            <w:tcW w:w="1080" w:type="dxa"/>
            <w:tcBorders>
              <w:top w:val="nil"/>
              <w:left w:val="nil"/>
              <w:bottom w:val="nil"/>
              <w:right w:val="nil"/>
            </w:tcBorders>
            <w:noWrap/>
            <w:vAlign w:val="bottom"/>
            <w:hideMark/>
          </w:tcPr>
          <w:p w14:paraId="629838BC" w14:textId="4E744D1B" w:rsidR="00D078DB" w:rsidRPr="00156FC4" w:rsidRDefault="00D078DB" w:rsidP="00D078DB">
            <w:pPr>
              <w:jc w:val="right"/>
              <w:rPr>
                <w:rFonts w:eastAsia="Times New Roman" w:cstheme="minorHAnsi"/>
                <w:color w:val="000000"/>
                <w:sz w:val="20"/>
                <w:szCs w:val="20"/>
              </w:rPr>
            </w:pPr>
            <w:r w:rsidRPr="00156FC4">
              <w:rPr>
                <w:rFonts w:eastAsia="Times New Roman" w:cstheme="minorHAnsi"/>
                <w:color w:val="000000"/>
                <w:sz w:val="20"/>
                <w:szCs w:val="20"/>
              </w:rPr>
              <w:t>7,513</w:t>
            </w:r>
          </w:p>
        </w:tc>
        <w:tc>
          <w:tcPr>
            <w:tcW w:w="1350" w:type="dxa"/>
            <w:tcBorders>
              <w:top w:val="nil"/>
              <w:left w:val="nil"/>
              <w:bottom w:val="nil"/>
              <w:right w:val="nil"/>
            </w:tcBorders>
            <w:noWrap/>
            <w:vAlign w:val="bottom"/>
            <w:hideMark/>
          </w:tcPr>
          <w:p w14:paraId="04C56256" w14:textId="43A2901C" w:rsidR="00D078DB" w:rsidRPr="00156FC4" w:rsidRDefault="00D078DB" w:rsidP="00D078DB">
            <w:pPr>
              <w:jc w:val="right"/>
              <w:rPr>
                <w:rFonts w:eastAsia="Times New Roman" w:cstheme="minorHAnsi"/>
                <w:color w:val="0D0D0D"/>
                <w:sz w:val="20"/>
                <w:szCs w:val="20"/>
              </w:rPr>
            </w:pPr>
            <w:r w:rsidRPr="00156FC4">
              <w:rPr>
                <w:rFonts w:eastAsia="Times New Roman" w:cstheme="minorHAnsi"/>
                <w:color w:val="000000"/>
                <w:sz w:val="20"/>
                <w:szCs w:val="20"/>
              </w:rPr>
              <w:t>4,724</w:t>
            </w:r>
          </w:p>
        </w:tc>
        <w:tc>
          <w:tcPr>
            <w:tcW w:w="990" w:type="dxa"/>
            <w:tcBorders>
              <w:top w:val="nil"/>
              <w:left w:val="nil"/>
              <w:bottom w:val="nil"/>
              <w:right w:val="nil"/>
            </w:tcBorders>
            <w:noWrap/>
            <w:vAlign w:val="bottom"/>
            <w:hideMark/>
          </w:tcPr>
          <w:p w14:paraId="235A2F26" w14:textId="4D09D84B" w:rsidR="00D078DB" w:rsidRPr="00156FC4" w:rsidRDefault="00D078DB" w:rsidP="00D078DB">
            <w:pPr>
              <w:jc w:val="right"/>
              <w:rPr>
                <w:rFonts w:eastAsia="Times New Roman" w:cstheme="minorHAnsi"/>
                <w:color w:val="000000"/>
                <w:sz w:val="20"/>
                <w:szCs w:val="20"/>
              </w:rPr>
            </w:pPr>
            <w:r w:rsidRPr="00156FC4">
              <w:rPr>
                <w:rFonts w:eastAsia="Times New Roman" w:cstheme="minorHAnsi"/>
                <w:color w:val="000000"/>
                <w:sz w:val="20"/>
                <w:szCs w:val="20"/>
              </w:rPr>
              <w:t>29,247</w:t>
            </w:r>
          </w:p>
        </w:tc>
      </w:tr>
      <w:tr w:rsidR="00D078DB" w:rsidRPr="004E6649" w14:paraId="1DA578C5" w14:textId="77777777" w:rsidTr="000335D8">
        <w:trPr>
          <w:trHeight w:val="80"/>
          <w:jc w:val="center"/>
        </w:trPr>
        <w:tc>
          <w:tcPr>
            <w:tcW w:w="990" w:type="dxa"/>
            <w:tcBorders>
              <w:top w:val="nil"/>
              <w:left w:val="nil"/>
              <w:bottom w:val="single" w:sz="4" w:space="0" w:color="000000"/>
              <w:right w:val="nil"/>
            </w:tcBorders>
            <w:noWrap/>
            <w:vAlign w:val="bottom"/>
            <w:hideMark/>
          </w:tcPr>
          <w:p w14:paraId="131DF5A4" w14:textId="6054A1FE" w:rsidR="00D078DB" w:rsidRPr="00156FC4" w:rsidRDefault="00D078DB" w:rsidP="00D078DB">
            <w:pPr>
              <w:rPr>
                <w:rFonts w:eastAsia="Times New Roman" w:cstheme="minorHAnsi"/>
                <w:color w:val="000000"/>
                <w:sz w:val="20"/>
                <w:szCs w:val="20"/>
              </w:rPr>
            </w:pPr>
            <w:r w:rsidRPr="00156FC4">
              <w:rPr>
                <w:rFonts w:eastAsia="Times New Roman" w:cstheme="minorHAnsi"/>
                <w:color w:val="000000"/>
                <w:sz w:val="20"/>
                <w:szCs w:val="20"/>
              </w:rPr>
              <w:t>Fall 202</w:t>
            </w:r>
            <w:r>
              <w:rPr>
                <w:rFonts w:eastAsia="Times New Roman" w:cstheme="minorHAnsi"/>
                <w:color w:val="000000"/>
                <w:sz w:val="20"/>
                <w:szCs w:val="20"/>
              </w:rPr>
              <w:t>4</w:t>
            </w:r>
          </w:p>
        </w:tc>
        <w:tc>
          <w:tcPr>
            <w:tcW w:w="990" w:type="dxa"/>
            <w:tcBorders>
              <w:top w:val="nil"/>
              <w:left w:val="nil"/>
              <w:bottom w:val="single" w:sz="4" w:space="0" w:color="000000"/>
              <w:right w:val="nil"/>
            </w:tcBorders>
            <w:noWrap/>
            <w:vAlign w:val="bottom"/>
            <w:hideMark/>
          </w:tcPr>
          <w:p w14:paraId="7F655AEF" w14:textId="6F8519A6" w:rsidR="00D078DB" w:rsidRPr="00156FC4" w:rsidRDefault="00D078DB" w:rsidP="00D078DB">
            <w:pPr>
              <w:jc w:val="right"/>
              <w:rPr>
                <w:rFonts w:eastAsia="Times New Roman" w:cstheme="minorHAnsi"/>
                <w:color w:val="000000"/>
                <w:sz w:val="20"/>
                <w:szCs w:val="20"/>
              </w:rPr>
            </w:pPr>
            <w:r>
              <w:rPr>
                <w:rFonts w:eastAsia="Times New Roman" w:cstheme="minorHAnsi"/>
                <w:color w:val="000000"/>
                <w:sz w:val="20"/>
                <w:szCs w:val="20"/>
              </w:rPr>
              <w:t>17,854</w:t>
            </w:r>
          </w:p>
        </w:tc>
        <w:tc>
          <w:tcPr>
            <w:tcW w:w="1080" w:type="dxa"/>
            <w:tcBorders>
              <w:top w:val="nil"/>
              <w:left w:val="nil"/>
              <w:bottom w:val="single" w:sz="4" w:space="0" w:color="000000"/>
              <w:right w:val="nil"/>
            </w:tcBorders>
            <w:noWrap/>
            <w:vAlign w:val="bottom"/>
            <w:hideMark/>
          </w:tcPr>
          <w:p w14:paraId="6E5E722A" w14:textId="4C3AFEC3" w:rsidR="00D078DB" w:rsidRPr="00156FC4" w:rsidRDefault="00D078DB" w:rsidP="00D078DB">
            <w:pPr>
              <w:jc w:val="right"/>
              <w:rPr>
                <w:rFonts w:eastAsia="Times New Roman" w:cstheme="minorHAnsi"/>
                <w:color w:val="000000"/>
                <w:sz w:val="20"/>
                <w:szCs w:val="20"/>
              </w:rPr>
            </w:pPr>
            <w:r>
              <w:rPr>
                <w:rFonts w:eastAsia="Times New Roman" w:cstheme="minorHAnsi"/>
                <w:color w:val="000000"/>
                <w:sz w:val="20"/>
                <w:szCs w:val="20"/>
              </w:rPr>
              <w:t>7,432</w:t>
            </w:r>
          </w:p>
        </w:tc>
        <w:tc>
          <w:tcPr>
            <w:tcW w:w="1350" w:type="dxa"/>
            <w:tcBorders>
              <w:top w:val="nil"/>
              <w:left w:val="nil"/>
              <w:bottom w:val="single" w:sz="4" w:space="0" w:color="000000"/>
              <w:right w:val="nil"/>
            </w:tcBorders>
            <w:noWrap/>
            <w:vAlign w:val="bottom"/>
            <w:hideMark/>
          </w:tcPr>
          <w:p w14:paraId="384EB277" w14:textId="0E4B2B5F" w:rsidR="00D078DB" w:rsidRPr="00156FC4" w:rsidRDefault="00D078DB" w:rsidP="00D078DB">
            <w:pPr>
              <w:jc w:val="right"/>
              <w:rPr>
                <w:rFonts w:eastAsia="Times New Roman" w:cstheme="minorHAnsi"/>
                <w:color w:val="000000"/>
                <w:sz w:val="20"/>
                <w:szCs w:val="20"/>
              </w:rPr>
            </w:pPr>
            <w:r>
              <w:rPr>
                <w:rFonts w:eastAsia="Times New Roman" w:cstheme="minorHAnsi"/>
                <w:color w:val="000000"/>
                <w:sz w:val="20"/>
                <w:szCs w:val="20"/>
              </w:rPr>
              <w:t>5,293</w:t>
            </w:r>
          </w:p>
        </w:tc>
        <w:tc>
          <w:tcPr>
            <w:tcW w:w="990" w:type="dxa"/>
            <w:tcBorders>
              <w:top w:val="nil"/>
              <w:left w:val="nil"/>
              <w:bottom w:val="single" w:sz="4" w:space="0" w:color="000000"/>
              <w:right w:val="nil"/>
            </w:tcBorders>
            <w:noWrap/>
            <w:vAlign w:val="bottom"/>
            <w:hideMark/>
          </w:tcPr>
          <w:p w14:paraId="3E2146CA" w14:textId="76EBDABC" w:rsidR="00D078DB" w:rsidRPr="00156FC4" w:rsidRDefault="00D078DB" w:rsidP="00D078DB">
            <w:pPr>
              <w:jc w:val="right"/>
              <w:rPr>
                <w:rFonts w:eastAsia="Times New Roman" w:cstheme="minorHAnsi"/>
                <w:color w:val="000000"/>
                <w:sz w:val="20"/>
                <w:szCs w:val="20"/>
              </w:rPr>
            </w:pPr>
            <w:r>
              <w:rPr>
                <w:rFonts w:eastAsia="Times New Roman" w:cstheme="minorHAnsi"/>
                <w:color w:val="000000"/>
                <w:sz w:val="20"/>
                <w:szCs w:val="20"/>
              </w:rPr>
              <w:t>30,579</w:t>
            </w:r>
          </w:p>
        </w:tc>
      </w:tr>
    </w:tbl>
    <w:p w14:paraId="3DA610EB" w14:textId="71F3C77C" w:rsidR="00A83362" w:rsidRDefault="001A1886" w:rsidP="00A470B6">
      <w:pPr>
        <w:tabs>
          <w:tab w:val="left" w:pos="4860"/>
        </w:tabs>
        <w:spacing w:before="200"/>
        <w:rPr>
          <w:rFonts w:eastAsia="Times New Roman" w:cstheme="minorHAnsi"/>
          <w:sz w:val="24"/>
          <w:szCs w:val="24"/>
        </w:rPr>
      </w:pPr>
      <w:r>
        <w:rPr>
          <w:rFonts w:eastAsia="Times New Roman" w:cstheme="minorHAnsi"/>
          <w:sz w:val="24"/>
          <w:szCs w:val="24"/>
        </w:rPr>
        <w:t xml:space="preserve">Chart 2 and Table 1 on the next page </w:t>
      </w:r>
      <w:r w:rsidR="00A83362" w:rsidRPr="004E6649">
        <w:rPr>
          <w:rFonts w:eastAsia="Times New Roman" w:cstheme="minorHAnsi"/>
          <w:sz w:val="24"/>
          <w:szCs w:val="24"/>
        </w:rPr>
        <w:t>show student enrollment, including early college, on a full-time equivalent (FTE) basis with 2</w:t>
      </w:r>
      <w:r w:rsidR="0022163C">
        <w:rPr>
          <w:rFonts w:eastAsia="Times New Roman" w:cstheme="minorHAnsi"/>
          <w:sz w:val="24"/>
          <w:szCs w:val="24"/>
        </w:rPr>
        <w:t>1,185</w:t>
      </w:r>
      <w:r w:rsidR="00A83362" w:rsidRPr="004E6649">
        <w:rPr>
          <w:rFonts w:eastAsia="Times New Roman" w:cstheme="minorHAnsi"/>
          <w:sz w:val="24"/>
          <w:szCs w:val="24"/>
        </w:rPr>
        <w:t xml:space="preserve"> FTE students enrolled for the fall </w:t>
      </w:r>
      <w:r w:rsidR="0022163C" w:rsidRPr="004E6649">
        <w:rPr>
          <w:rFonts w:eastAsia="Times New Roman" w:cstheme="minorHAnsi"/>
          <w:sz w:val="24"/>
          <w:szCs w:val="24"/>
        </w:rPr>
        <w:t>202</w:t>
      </w:r>
      <w:r w:rsidR="0022163C">
        <w:rPr>
          <w:rFonts w:eastAsia="Times New Roman" w:cstheme="minorHAnsi"/>
          <w:sz w:val="24"/>
          <w:szCs w:val="24"/>
        </w:rPr>
        <w:t>4</w:t>
      </w:r>
      <w:r w:rsidR="0022163C" w:rsidRPr="004E6649">
        <w:rPr>
          <w:rFonts w:eastAsia="Times New Roman" w:cstheme="minorHAnsi"/>
          <w:sz w:val="24"/>
          <w:szCs w:val="24"/>
        </w:rPr>
        <w:t xml:space="preserve"> </w:t>
      </w:r>
      <w:r w:rsidR="00A83362" w:rsidRPr="004E6649">
        <w:rPr>
          <w:rFonts w:eastAsia="Times New Roman" w:cstheme="minorHAnsi"/>
          <w:sz w:val="24"/>
          <w:szCs w:val="24"/>
        </w:rPr>
        <w:t xml:space="preserve">semester, </w:t>
      </w:r>
      <w:r w:rsidR="0022163C">
        <w:rPr>
          <w:rFonts w:eastAsia="Times New Roman" w:cstheme="minorHAnsi"/>
          <w:sz w:val="24"/>
          <w:szCs w:val="24"/>
        </w:rPr>
        <w:t>up</w:t>
      </w:r>
      <w:r w:rsidR="0022163C" w:rsidRPr="004E6649">
        <w:rPr>
          <w:rFonts w:eastAsia="Times New Roman" w:cstheme="minorHAnsi"/>
          <w:sz w:val="24"/>
          <w:szCs w:val="24"/>
        </w:rPr>
        <w:t xml:space="preserve"> </w:t>
      </w:r>
      <w:r w:rsidR="0022163C">
        <w:rPr>
          <w:rFonts w:eastAsia="Times New Roman" w:cstheme="minorHAnsi"/>
          <w:sz w:val="24"/>
          <w:szCs w:val="24"/>
        </w:rPr>
        <w:t>4.8</w:t>
      </w:r>
      <w:r w:rsidR="00A83362" w:rsidRPr="004E6649">
        <w:rPr>
          <w:rFonts w:eastAsia="Times New Roman" w:cstheme="minorHAnsi"/>
          <w:sz w:val="24"/>
          <w:szCs w:val="24"/>
        </w:rPr>
        <w:t xml:space="preserve">% from fall </w:t>
      </w:r>
      <w:r w:rsidR="0022163C" w:rsidRPr="004E6649">
        <w:rPr>
          <w:rFonts w:eastAsia="Times New Roman" w:cstheme="minorHAnsi"/>
          <w:sz w:val="24"/>
          <w:szCs w:val="24"/>
        </w:rPr>
        <w:t>202</w:t>
      </w:r>
      <w:r w:rsidR="0022163C">
        <w:rPr>
          <w:rFonts w:eastAsia="Times New Roman" w:cstheme="minorHAnsi"/>
          <w:sz w:val="24"/>
          <w:szCs w:val="24"/>
        </w:rPr>
        <w:t>3</w:t>
      </w:r>
      <w:r w:rsidR="0022163C" w:rsidRPr="004E6649">
        <w:rPr>
          <w:rFonts w:eastAsia="Times New Roman" w:cstheme="minorHAnsi"/>
          <w:sz w:val="24"/>
          <w:szCs w:val="24"/>
        </w:rPr>
        <w:t xml:space="preserve"> </w:t>
      </w:r>
      <w:r w:rsidR="00A83362" w:rsidRPr="004E6649">
        <w:rPr>
          <w:rFonts w:eastAsia="Times New Roman" w:cstheme="minorHAnsi"/>
          <w:sz w:val="24"/>
          <w:szCs w:val="24"/>
        </w:rPr>
        <w:t xml:space="preserve">and down </w:t>
      </w:r>
      <w:r w:rsidR="0022163C">
        <w:rPr>
          <w:rFonts w:eastAsia="Times New Roman" w:cstheme="minorHAnsi"/>
          <w:sz w:val="24"/>
          <w:szCs w:val="24"/>
        </w:rPr>
        <w:t>2</w:t>
      </w:r>
      <w:r w:rsidR="00A83362" w:rsidRPr="004E6649">
        <w:rPr>
          <w:rFonts w:eastAsia="Times New Roman" w:cstheme="minorHAnsi"/>
          <w:sz w:val="24"/>
          <w:szCs w:val="24"/>
        </w:rPr>
        <w:t xml:space="preserve">% from fall </w:t>
      </w:r>
      <w:r w:rsidR="0022163C" w:rsidRPr="004E6649">
        <w:rPr>
          <w:rFonts w:eastAsia="Times New Roman" w:cstheme="minorHAnsi"/>
          <w:sz w:val="24"/>
          <w:szCs w:val="24"/>
        </w:rPr>
        <w:t>20</w:t>
      </w:r>
      <w:r w:rsidR="0022163C">
        <w:rPr>
          <w:rFonts w:eastAsia="Times New Roman" w:cstheme="minorHAnsi"/>
          <w:sz w:val="24"/>
          <w:szCs w:val="24"/>
        </w:rPr>
        <w:t>20</w:t>
      </w:r>
      <w:r w:rsidR="00A83362" w:rsidRPr="004E6649">
        <w:rPr>
          <w:rFonts w:eastAsia="Times New Roman" w:cstheme="minorHAnsi"/>
          <w:sz w:val="24"/>
          <w:szCs w:val="24"/>
        </w:rPr>
        <w:t xml:space="preserve">. For fall </w:t>
      </w:r>
      <w:r w:rsidR="0022163C" w:rsidRPr="004E6649">
        <w:rPr>
          <w:rFonts w:eastAsia="Times New Roman" w:cstheme="minorHAnsi"/>
          <w:sz w:val="24"/>
          <w:szCs w:val="24"/>
        </w:rPr>
        <w:t>202</w:t>
      </w:r>
      <w:r w:rsidR="0022163C">
        <w:rPr>
          <w:rFonts w:eastAsia="Times New Roman" w:cstheme="minorHAnsi"/>
          <w:sz w:val="24"/>
          <w:szCs w:val="24"/>
        </w:rPr>
        <w:t>4</w:t>
      </w:r>
      <w:r w:rsidR="0045470A">
        <w:rPr>
          <w:rFonts w:eastAsia="Times New Roman" w:cstheme="minorHAnsi"/>
          <w:sz w:val="24"/>
          <w:szCs w:val="24"/>
        </w:rPr>
        <w:t>,</w:t>
      </w:r>
      <w:r w:rsidR="00A83362" w:rsidRPr="004E6649">
        <w:rPr>
          <w:rFonts w:eastAsia="Times New Roman" w:cstheme="minorHAnsi"/>
          <w:sz w:val="24"/>
          <w:szCs w:val="24"/>
        </w:rPr>
        <w:t xml:space="preserve"> </w:t>
      </w:r>
      <w:r w:rsidR="00323663" w:rsidRPr="008B69B9">
        <w:rPr>
          <w:rFonts w:eastAsia="Times New Roman" w:cstheme="minorHAnsi"/>
          <w:color w:val="0D0D0D" w:themeColor="text1" w:themeTint="F2"/>
          <w:sz w:val="24"/>
          <w:szCs w:val="24"/>
        </w:rPr>
        <w:t>67</w:t>
      </w:r>
      <w:r w:rsidR="004663B5">
        <w:rPr>
          <w:rFonts w:eastAsia="Times New Roman" w:cstheme="minorHAnsi"/>
          <w:sz w:val="24"/>
          <w:szCs w:val="24"/>
        </w:rPr>
        <w:t xml:space="preserve">% of FTE enrollments were Maine residents down from </w:t>
      </w:r>
      <w:r w:rsidR="0022163C">
        <w:rPr>
          <w:rFonts w:eastAsia="Times New Roman" w:cstheme="minorHAnsi"/>
          <w:sz w:val="24"/>
          <w:szCs w:val="24"/>
        </w:rPr>
        <w:t>70</w:t>
      </w:r>
      <w:r w:rsidR="004663B5">
        <w:rPr>
          <w:rFonts w:eastAsia="Times New Roman" w:cstheme="minorHAnsi"/>
          <w:sz w:val="24"/>
          <w:szCs w:val="24"/>
        </w:rPr>
        <w:t>% in</w:t>
      </w:r>
      <w:r w:rsidR="00A83362" w:rsidRPr="004E6649">
        <w:rPr>
          <w:rFonts w:eastAsia="Times New Roman" w:cstheme="minorHAnsi"/>
          <w:sz w:val="24"/>
          <w:szCs w:val="24"/>
        </w:rPr>
        <w:t xml:space="preserve"> </w:t>
      </w:r>
      <w:r w:rsidR="0022163C" w:rsidRPr="004E6649">
        <w:rPr>
          <w:rFonts w:eastAsia="Times New Roman" w:cstheme="minorHAnsi"/>
          <w:sz w:val="24"/>
          <w:szCs w:val="24"/>
        </w:rPr>
        <w:t>202</w:t>
      </w:r>
      <w:r w:rsidR="0022163C">
        <w:rPr>
          <w:rFonts w:eastAsia="Times New Roman" w:cstheme="minorHAnsi"/>
          <w:sz w:val="24"/>
          <w:szCs w:val="24"/>
        </w:rPr>
        <w:t>3</w:t>
      </w:r>
      <w:r w:rsidR="00A83362" w:rsidRPr="004E6649">
        <w:rPr>
          <w:rFonts w:eastAsia="Times New Roman" w:cstheme="minorHAnsi"/>
          <w:sz w:val="24"/>
          <w:szCs w:val="24"/>
        </w:rPr>
        <w:t>.</w:t>
      </w:r>
    </w:p>
    <w:p w14:paraId="1FA22473" w14:textId="667D9F8F" w:rsidR="00254258" w:rsidRPr="004E6649" w:rsidRDefault="001E4D47" w:rsidP="00254258">
      <w:pPr>
        <w:tabs>
          <w:tab w:val="left" w:pos="4860"/>
        </w:tabs>
        <w:spacing w:before="200"/>
        <w:jc w:val="center"/>
        <w:rPr>
          <w:rFonts w:eastAsia="Times New Roman" w:cstheme="minorHAnsi"/>
          <w:color w:val="FF0000"/>
          <w:szCs w:val="24"/>
        </w:rPr>
      </w:pPr>
      <w:r w:rsidRPr="001E4D47">
        <w:rPr>
          <w:noProof/>
          <w14:ligatures w14:val="standardContextual"/>
        </w:rPr>
        <w:lastRenderedPageBreak/>
        <w:t xml:space="preserve"> </w:t>
      </w:r>
      <w:r w:rsidR="0022163C">
        <w:rPr>
          <w:noProof/>
          <w14:ligatures w14:val="standardContextual"/>
        </w:rPr>
        <w:drawing>
          <wp:inline distT="0" distB="0" distL="0" distR="0" wp14:anchorId="4123151F" wp14:editId="54D74DA0">
            <wp:extent cx="4864608" cy="3200400"/>
            <wp:effectExtent l="0" t="0" r="0" b="0"/>
            <wp:docPr id="570491179" name="Chart 1" descr="Chart 2: Student FTE Enrollment">
              <a:extLst xmlns:a="http://schemas.openxmlformats.org/drawingml/2006/main">
                <a:ext uri="{FF2B5EF4-FFF2-40B4-BE49-F238E27FC236}">
                  <a16:creationId xmlns:a16="http://schemas.microsoft.com/office/drawing/2014/main" id="{00000000-0008-0000-04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bl>
      <w:tblPr>
        <w:tblW w:w="3870" w:type="dxa"/>
        <w:jc w:val="center"/>
        <w:tblLayout w:type="fixed"/>
        <w:tblLook w:val="04A0" w:firstRow="1" w:lastRow="0" w:firstColumn="1" w:lastColumn="0" w:noHBand="0" w:noVBand="1"/>
      </w:tblPr>
      <w:tblGrid>
        <w:gridCol w:w="990"/>
        <w:gridCol w:w="1170"/>
        <w:gridCol w:w="900"/>
        <w:gridCol w:w="810"/>
      </w:tblGrid>
      <w:tr w:rsidR="008E732A" w:rsidRPr="004E6649" w14:paraId="36EF4D4D" w14:textId="77777777" w:rsidTr="00354D1A">
        <w:trPr>
          <w:trHeight w:val="70"/>
          <w:jc w:val="center"/>
        </w:trPr>
        <w:tc>
          <w:tcPr>
            <w:tcW w:w="990" w:type="dxa"/>
            <w:tcBorders>
              <w:top w:val="single" w:sz="4" w:space="0" w:color="000000"/>
              <w:left w:val="nil"/>
              <w:bottom w:val="single" w:sz="4" w:space="0" w:color="000000"/>
              <w:right w:val="nil"/>
            </w:tcBorders>
            <w:noWrap/>
            <w:vAlign w:val="bottom"/>
            <w:hideMark/>
          </w:tcPr>
          <w:p w14:paraId="70FD3581" w14:textId="77777777" w:rsidR="008E732A" w:rsidRPr="00156FC4" w:rsidRDefault="008E732A" w:rsidP="00354D1A">
            <w:pPr>
              <w:jc w:val="center"/>
              <w:rPr>
                <w:rFonts w:eastAsia="Times New Roman" w:cstheme="minorHAnsi"/>
                <w:b/>
                <w:bCs/>
                <w:color w:val="000000"/>
                <w:sz w:val="20"/>
                <w:szCs w:val="20"/>
              </w:rPr>
            </w:pPr>
            <w:r w:rsidRPr="00156FC4">
              <w:rPr>
                <w:rFonts w:eastAsia="Times New Roman" w:cstheme="minorHAnsi"/>
                <w:b/>
                <w:bCs/>
                <w:color w:val="000000"/>
                <w:sz w:val="20"/>
                <w:szCs w:val="20"/>
              </w:rPr>
              <w:t>Year</w:t>
            </w:r>
          </w:p>
        </w:tc>
        <w:tc>
          <w:tcPr>
            <w:tcW w:w="1170" w:type="dxa"/>
            <w:tcBorders>
              <w:top w:val="single" w:sz="4" w:space="0" w:color="000000"/>
              <w:left w:val="nil"/>
              <w:bottom w:val="single" w:sz="4" w:space="0" w:color="000000"/>
              <w:right w:val="nil"/>
            </w:tcBorders>
            <w:noWrap/>
            <w:vAlign w:val="bottom"/>
            <w:hideMark/>
          </w:tcPr>
          <w:p w14:paraId="3CFA78FE" w14:textId="77777777" w:rsidR="008E732A" w:rsidRPr="00156FC4" w:rsidRDefault="008E732A" w:rsidP="00354D1A">
            <w:pPr>
              <w:jc w:val="center"/>
              <w:rPr>
                <w:rFonts w:eastAsia="Times New Roman" w:cstheme="minorHAnsi"/>
                <w:b/>
                <w:bCs/>
                <w:color w:val="000000"/>
                <w:sz w:val="20"/>
                <w:szCs w:val="20"/>
              </w:rPr>
            </w:pPr>
            <w:r w:rsidRPr="00156FC4">
              <w:rPr>
                <w:rFonts w:eastAsia="Times New Roman" w:cstheme="minorHAnsi"/>
                <w:b/>
                <w:bCs/>
                <w:color w:val="000000"/>
                <w:sz w:val="20"/>
                <w:szCs w:val="20"/>
              </w:rPr>
              <w:t>Regular Enrollment</w:t>
            </w:r>
          </w:p>
        </w:tc>
        <w:tc>
          <w:tcPr>
            <w:tcW w:w="900" w:type="dxa"/>
            <w:tcBorders>
              <w:top w:val="single" w:sz="4" w:space="0" w:color="000000"/>
              <w:left w:val="nil"/>
              <w:bottom w:val="single" w:sz="4" w:space="0" w:color="000000"/>
              <w:right w:val="nil"/>
            </w:tcBorders>
            <w:noWrap/>
            <w:vAlign w:val="bottom"/>
            <w:hideMark/>
          </w:tcPr>
          <w:p w14:paraId="70008E19" w14:textId="77777777" w:rsidR="008E732A" w:rsidRPr="00156FC4" w:rsidRDefault="008E732A" w:rsidP="00354D1A">
            <w:pPr>
              <w:jc w:val="center"/>
              <w:rPr>
                <w:rFonts w:eastAsia="Times New Roman" w:cstheme="minorHAnsi"/>
                <w:b/>
                <w:bCs/>
                <w:color w:val="000000"/>
                <w:sz w:val="20"/>
                <w:szCs w:val="20"/>
              </w:rPr>
            </w:pPr>
            <w:r w:rsidRPr="00156FC4">
              <w:rPr>
                <w:rFonts w:eastAsia="Times New Roman" w:cstheme="minorHAnsi"/>
                <w:b/>
                <w:bCs/>
                <w:color w:val="000000"/>
                <w:sz w:val="20"/>
                <w:szCs w:val="20"/>
              </w:rPr>
              <w:t>Early College</w:t>
            </w:r>
          </w:p>
        </w:tc>
        <w:tc>
          <w:tcPr>
            <w:tcW w:w="810" w:type="dxa"/>
            <w:tcBorders>
              <w:top w:val="single" w:sz="4" w:space="0" w:color="000000"/>
              <w:left w:val="nil"/>
              <w:bottom w:val="single" w:sz="4" w:space="0" w:color="000000"/>
              <w:right w:val="nil"/>
            </w:tcBorders>
            <w:noWrap/>
            <w:vAlign w:val="bottom"/>
            <w:hideMark/>
          </w:tcPr>
          <w:p w14:paraId="60584F83" w14:textId="77777777" w:rsidR="008E732A" w:rsidRPr="00156FC4" w:rsidRDefault="008E732A" w:rsidP="00354D1A">
            <w:pPr>
              <w:jc w:val="center"/>
              <w:rPr>
                <w:rFonts w:eastAsia="Times New Roman" w:cstheme="minorHAnsi"/>
                <w:b/>
                <w:bCs/>
                <w:color w:val="000000"/>
                <w:sz w:val="20"/>
                <w:szCs w:val="20"/>
              </w:rPr>
            </w:pPr>
            <w:r w:rsidRPr="00156FC4">
              <w:rPr>
                <w:rFonts w:eastAsia="Times New Roman" w:cstheme="minorHAnsi"/>
                <w:b/>
                <w:bCs/>
                <w:color w:val="000000"/>
                <w:sz w:val="20"/>
                <w:szCs w:val="20"/>
              </w:rPr>
              <w:t>Total</w:t>
            </w:r>
          </w:p>
        </w:tc>
      </w:tr>
      <w:tr w:rsidR="0022163C" w:rsidRPr="004E6649" w14:paraId="603A664B" w14:textId="77777777" w:rsidTr="00354D1A">
        <w:trPr>
          <w:trHeight w:val="70"/>
          <w:jc w:val="center"/>
        </w:trPr>
        <w:tc>
          <w:tcPr>
            <w:tcW w:w="990" w:type="dxa"/>
            <w:tcBorders>
              <w:top w:val="nil"/>
              <w:left w:val="nil"/>
              <w:bottom w:val="nil"/>
              <w:right w:val="nil"/>
            </w:tcBorders>
            <w:noWrap/>
            <w:vAlign w:val="bottom"/>
            <w:hideMark/>
          </w:tcPr>
          <w:p w14:paraId="15754E5A" w14:textId="128FD6A2" w:rsidR="0022163C" w:rsidRPr="00156FC4" w:rsidRDefault="0022163C" w:rsidP="0022163C">
            <w:pPr>
              <w:rPr>
                <w:rFonts w:eastAsia="Times New Roman" w:cstheme="minorHAnsi"/>
                <w:color w:val="000000"/>
                <w:sz w:val="20"/>
                <w:szCs w:val="20"/>
              </w:rPr>
            </w:pPr>
            <w:r w:rsidRPr="00156FC4">
              <w:rPr>
                <w:rFonts w:eastAsia="Times New Roman" w:cstheme="minorHAnsi"/>
                <w:color w:val="000000"/>
                <w:sz w:val="20"/>
                <w:szCs w:val="20"/>
              </w:rPr>
              <w:t>Fall 2020</w:t>
            </w:r>
          </w:p>
        </w:tc>
        <w:tc>
          <w:tcPr>
            <w:tcW w:w="1170" w:type="dxa"/>
            <w:tcBorders>
              <w:top w:val="nil"/>
              <w:left w:val="nil"/>
              <w:bottom w:val="nil"/>
              <w:right w:val="nil"/>
            </w:tcBorders>
            <w:noWrap/>
            <w:vAlign w:val="bottom"/>
            <w:hideMark/>
          </w:tcPr>
          <w:p w14:paraId="504BA232" w14:textId="08BD1B8C" w:rsidR="0022163C" w:rsidRPr="00156FC4" w:rsidRDefault="0022163C" w:rsidP="0022163C">
            <w:pPr>
              <w:jc w:val="right"/>
              <w:rPr>
                <w:rFonts w:eastAsia="Times New Roman" w:cstheme="minorHAnsi"/>
                <w:color w:val="000000"/>
                <w:sz w:val="20"/>
                <w:szCs w:val="20"/>
              </w:rPr>
            </w:pPr>
            <w:r w:rsidRPr="00156FC4">
              <w:rPr>
                <w:rFonts w:eastAsia="Times New Roman" w:cstheme="minorHAnsi"/>
                <w:color w:val="000000"/>
                <w:sz w:val="20"/>
                <w:szCs w:val="20"/>
              </w:rPr>
              <w:t>20,6</w:t>
            </w:r>
            <w:r>
              <w:rPr>
                <w:rFonts w:eastAsia="Times New Roman" w:cstheme="minorHAnsi"/>
                <w:color w:val="000000"/>
                <w:sz w:val="20"/>
                <w:szCs w:val="20"/>
              </w:rPr>
              <w:t>07</w:t>
            </w:r>
          </w:p>
        </w:tc>
        <w:tc>
          <w:tcPr>
            <w:tcW w:w="900" w:type="dxa"/>
            <w:tcBorders>
              <w:top w:val="nil"/>
              <w:left w:val="nil"/>
              <w:bottom w:val="nil"/>
              <w:right w:val="nil"/>
            </w:tcBorders>
            <w:noWrap/>
            <w:vAlign w:val="bottom"/>
            <w:hideMark/>
          </w:tcPr>
          <w:p w14:paraId="009A274B" w14:textId="2DEC1F56" w:rsidR="0022163C" w:rsidRPr="00156FC4" w:rsidRDefault="0022163C" w:rsidP="0022163C">
            <w:pPr>
              <w:jc w:val="right"/>
              <w:rPr>
                <w:rFonts w:eastAsia="Times New Roman" w:cstheme="minorHAnsi"/>
                <w:color w:val="000000"/>
                <w:sz w:val="20"/>
                <w:szCs w:val="20"/>
              </w:rPr>
            </w:pPr>
            <w:r w:rsidRPr="00156FC4">
              <w:rPr>
                <w:rFonts w:eastAsia="Times New Roman" w:cstheme="minorHAnsi"/>
                <w:color w:val="000000"/>
                <w:sz w:val="20"/>
                <w:szCs w:val="20"/>
              </w:rPr>
              <w:t>1,006</w:t>
            </w:r>
          </w:p>
        </w:tc>
        <w:tc>
          <w:tcPr>
            <w:tcW w:w="810" w:type="dxa"/>
            <w:tcBorders>
              <w:top w:val="nil"/>
              <w:left w:val="nil"/>
              <w:bottom w:val="nil"/>
              <w:right w:val="nil"/>
            </w:tcBorders>
            <w:noWrap/>
            <w:vAlign w:val="bottom"/>
            <w:hideMark/>
          </w:tcPr>
          <w:p w14:paraId="34E21488" w14:textId="41C26D60" w:rsidR="0022163C" w:rsidRPr="00156FC4" w:rsidRDefault="0022163C" w:rsidP="0022163C">
            <w:pPr>
              <w:jc w:val="right"/>
              <w:rPr>
                <w:rFonts w:eastAsia="Times New Roman" w:cstheme="minorHAnsi"/>
                <w:color w:val="000000"/>
                <w:sz w:val="20"/>
                <w:szCs w:val="20"/>
              </w:rPr>
            </w:pPr>
            <w:r w:rsidRPr="00156FC4">
              <w:rPr>
                <w:rFonts w:eastAsia="Times New Roman" w:cstheme="minorHAnsi"/>
                <w:color w:val="000000"/>
                <w:sz w:val="20"/>
                <w:szCs w:val="20"/>
              </w:rPr>
              <w:t>21,61</w:t>
            </w:r>
            <w:r>
              <w:rPr>
                <w:rFonts w:eastAsia="Times New Roman" w:cstheme="minorHAnsi"/>
                <w:color w:val="000000"/>
                <w:sz w:val="20"/>
                <w:szCs w:val="20"/>
              </w:rPr>
              <w:t>3</w:t>
            </w:r>
          </w:p>
        </w:tc>
      </w:tr>
      <w:tr w:rsidR="0022163C" w:rsidRPr="004E6649" w14:paraId="72DA49B9" w14:textId="77777777" w:rsidTr="00354D1A">
        <w:trPr>
          <w:trHeight w:val="80"/>
          <w:jc w:val="center"/>
        </w:trPr>
        <w:tc>
          <w:tcPr>
            <w:tcW w:w="990" w:type="dxa"/>
            <w:tcBorders>
              <w:top w:val="nil"/>
              <w:left w:val="nil"/>
              <w:bottom w:val="nil"/>
              <w:right w:val="nil"/>
            </w:tcBorders>
            <w:noWrap/>
            <w:vAlign w:val="bottom"/>
            <w:hideMark/>
          </w:tcPr>
          <w:p w14:paraId="3B733C20" w14:textId="35014732" w:rsidR="0022163C" w:rsidRPr="00156FC4" w:rsidRDefault="0022163C" w:rsidP="0022163C">
            <w:pPr>
              <w:rPr>
                <w:rFonts w:eastAsia="Times New Roman" w:cstheme="minorHAnsi"/>
                <w:color w:val="000000"/>
                <w:sz w:val="20"/>
                <w:szCs w:val="20"/>
              </w:rPr>
            </w:pPr>
            <w:r w:rsidRPr="00156FC4">
              <w:rPr>
                <w:rFonts w:eastAsia="Times New Roman" w:cstheme="minorHAnsi"/>
                <w:color w:val="000000"/>
                <w:sz w:val="20"/>
                <w:szCs w:val="20"/>
              </w:rPr>
              <w:t>Fall 2021</w:t>
            </w:r>
          </w:p>
        </w:tc>
        <w:tc>
          <w:tcPr>
            <w:tcW w:w="1170" w:type="dxa"/>
            <w:tcBorders>
              <w:top w:val="nil"/>
              <w:left w:val="nil"/>
              <w:bottom w:val="nil"/>
              <w:right w:val="nil"/>
            </w:tcBorders>
            <w:noWrap/>
            <w:vAlign w:val="bottom"/>
            <w:hideMark/>
          </w:tcPr>
          <w:p w14:paraId="4ED676EF" w14:textId="24A8528A" w:rsidR="0022163C" w:rsidRPr="00156FC4" w:rsidRDefault="0022163C" w:rsidP="0022163C">
            <w:pPr>
              <w:jc w:val="right"/>
              <w:rPr>
                <w:rFonts w:eastAsia="Times New Roman" w:cstheme="minorHAnsi"/>
                <w:color w:val="000000"/>
                <w:sz w:val="20"/>
                <w:szCs w:val="20"/>
              </w:rPr>
            </w:pPr>
            <w:r w:rsidRPr="00156FC4">
              <w:rPr>
                <w:rFonts w:eastAsia="Times New Roman" w:cstheme="minorHAnsi"/>
                <w:color w:val="000000"/>
                <w:sz w:val="20"/>
                <w:szCs w:val="20"/>
              </w:rPr>
              <w:t>20,373</w:t>
            </w:r>
          </w:p>
        </w:tc>
        <w:tc>
          <w:tcPr>
            <w:tcW w:w="900" w:type="dxa"/>
            <w:tcBorders>
              <w:top w:val="nil"/>
              <w:left w:val="nil"/>
              <w:bottom w:val="nil"/>
              <w:right w:val="nil"/>
            </w:tcBorders>
            <w:noWrap/>
            <w:vAlign w:val="bottom"/>
            <w:hideMark/>
          </w:tcPr>
          <w:p w14:paraId="149D8A77" w14:textId="602B914E" w:rsidR="0022163C" w:rsidRPr="00156FC4" w:rsidRDefault="0022163C" w:rsidP="0022163C">
            <w:pPr>
              <w:jc w:val="right"/>
              <w:rPr>
                <w:rFonts w:eastAsia="Times New Roman" w:cstheme="minorHAnsi"/>
                <w:color w:val="000000"/>
                <w:sz w:val="20"/>
                <w:szCs w:val="20"/>
              </w:rPr>
            </w:pPr>
            <w:r w:rsidRPr="00156FC4">
              <w:rPr>
                <w:rFonts w:eastAsia="Times New Roman" w:cstheme="minorHAnsi"/>
                <w:color w:val="0D0D0D"/>
                <w:sz w:val="20"/>
                <w:szCs w:val="20"/>
              </w:rPr>
              <w:t>1,162</w:t>
            </w:r>
          </w:p>
        </w:tc>
        <w:tc>
          <w:tcPr>
            <w:tcW w:w="810" w:type="dxa"/>
            <w:tcBorders>
              <w:top w:val="nil"/>
              <w:left w:val="nil"/>
              <w:bottom w:val="nil"/>
              <w:right w:val="nil"/>
            </w:tcBorders>
            <w:noWrap/>
            <w:vAlign w:val="bottom"/>
            <w:hideMark/>
          </w:tcPr>
          <w:p w14:paraId="7AD5B053" w14:textId="49AEECA9" w:rsidR="0022163C" w:rsidRPr="00156FC4" w:rsidRDefault="0022163C" w:rsidP="0022163C">
            <w:pPr>
              <w:jc w:val="right"/>
              <w:rPr>
                <w:rFonts w:eastAsia="Times New Roman" w:cstheme="minorHAnsi"/>
                <w:color w:val="000000"/>
                <w:sz w:val="20"/>
                <w:szCs w:val="20"/>
              </w:rPr>
            </w:pPr>
            <w:r w:rsidRPr="00156FC4">
              <w:rPr>
                <w:rFonts w:eastAsia="Times New Roman" w:cstheme="minorHAnsi"/>
                <w:color w:val="000000"/>
                <w:sz w:val="20"/>
                <w:szCs w:val="20"/>
              </w:rPr>
              <w:t>21,535</w:t>
            </w:r>
          </w:p>
        </w:tc>
      </w:tr>
      <w:tr w:rsidR="0022163C" w:rsidRPr="004E6649" w14:paraId="4A6E3714" w14:textId="77777777" w:rsidTr="00354D1A">
        <w:trPr>
          <w:trHeight w:val="80"/>
          <w:jc w:val="center"/>
        </w:trPr>
        <w:tc>
          <w:tcPr>
            <w:tcW w:w="990" w:type="dxa"/>
            <w:tcBorders>
              <w:top w:val="nil"/>
              <w:left w:val="nil"/>
              <w:bottom w:val="nil"/>
              <w:right w:val="nil"/>
            </w:tcBorders>
            <w:noWrap/>
            <w:vAlign w:val="bottom"/>
            <w:hideMark/>
          </w:tcPr>
          <w:p w14:paraId="3B4B3BDD" w14:textId="21C47ECD" w:rsidR="0022163C" w:rsidRPr="00156FC4" w:rsidRDefault="0022163C" w:rsidP="0022163C">
            <w:pPr>
              <w:rPr>
                <w:rFonts w:eastAsia="Times New Roman" w:cstheme="minorHAnsi"/>
                <w:color w:val="000000"/>
                <w:sz w:val="20"/>
                <w:szCs w:val="20"/>
              </w:rPr>
            </w:pPr>
            <w:r w:rsidRPr="00156FC4">
              <w:rPr>
                <w:rFonts w:eastAsia="Times New Roman" w:cstheme="minorHAnsi"/>
                <w:color w:val="000000"/>
                <w:sz w:val="20"/>
                <w:szCs w:val="20"/>
              </w:rPr>
              <w:t>Fall 2022</w:t>
            </w:r>
          </w:p>
        </w:tc>
        <w:tc>
          <w:tcPr>
            <w:tcW w:w="1170" w:type="dxa"/>
            <w:tcBorders>
              <w:top w:val="nil"/>
              <w:left w:val="nil"/>
              <w:bottom w:val="nil"/>
              <w:right w:val="nil"/>
            </w:tcBorders>
            <w:noWrap/>
            <w:vAlign w:val="bottom"/>
            <w:hideMark/>
          </w:tcPr>
          <w:p w14:paraId="5044584A" w14:textId="5D5947B1" w:rsidR="0022163C" w:rsidRPr="00156FC4" w:rsidRDefault="0022163C" w:rsidP="0022163C">
            <w:pPr>
              <w:jc w:val="right"/>
              <w:rPr>
                <w:rFonts w:eastAsia="Times New Roman" w:cstheme="minorHAnsi"/>
                <w:color w:val="000000"/>
                <w:sz w:val="20"/>
                <w:szCs w:val="20"/>
              </w:rPr>
            </w:pPr>
            <w:r w:rsidRPr="00156FC4">
              <w:rPr>
                <w:rFonts w:eastAsia="Times New Roman" w:cstheme="minorHAnsi"/>
                <w:color w:val="000000"/>
                <w:sz w:val="20"/>
                <w:szCs w:val="20"/>
              </w:rPr>
              <w:t>19,163</w:t>
            </w:r>
          </w:p>
        </w:tc>
        <w:tc>
          <w:tcPr>
            <w:tcW w:w="900" w:type="dxa"/>
            <w:tcBorders>
              <w:top w:val="nil"/>
              <w:left w:val="nil"/>
              <w:bottom w:val="nil"/>
              <w:right w:val="nil"/>
            </w:tcBorders>
            <w:noWrap/>
            <w:vAlign w:val="bottom"/>
            <w:hideMark/>
          </w:tcPr>
          <w:p w14:paraId="68FBE1E7" w14:textId="03E5E441" w:rsidR="0022163C" w:rsidRPr="00156FC4" w:rsidRDefault="0022163C" w:rsidP="0022163C">
            <w:pPr>
              <w:jc w:val="right"/>
              <w:rPr>
                <w:rFonts w:eastAsia="Times New Roman" w:cstheme="minorHAnsi"/>
                <w:color w:val="0D0D0D"/>
                <w:sz w:val="20"/>
                <w:szCs w:val="20"/>
              </w:rPr>
            </w:pPr>
            <w:r w:rsidRPr="00156FC4">
              <w:rPr>
                <w:rFonts w:eastAsia="Times New Roman" w:cstheme="minorHAnsi"/>
                <w:color w:val="0D0D0D"/>
                <w:sz w:val="20"/>
                <w:szCs w:val="20"/>
              </w:rPr>
              <w:t>1,266</w:t>
            </w:r>
          </w:p>
        </w:tc>
        <w:tc>
          <w:tcPr>
            <w:tcW w:w="810" w:type="dxa"/>
            <w:tcBorders>
              <w:top w:val="nil"/>
              <w:left w:val="nil"/>
              <w:bottom w:val="nil"/>
              <w:right w:val="nil"/>
            </w:tcBorders>
            <w:noWrap/>
            <w:vAlign w:val="bottom"/>
            <w:hideMark/>
          </w:tcPr>
          <w:p w14:paraId="22163EA6" w14:textId="0823BCC7" w:rsidR="0022163C" w:rsidRPr="00156FC4" w:rsidRDefault="0022163C" w:rsidP="0022163C">
            <w:pPr>
              <w:jc w:val="right"/>
              <w:rPr>
                <w:rFonts w:eastAsia="Times New Roman" w:cstheme="minorHAnsi"/>
                <w:color w:val="000000"/>
                <w:sz w:val="20"/>
                <w:szCs w:val="20"/>
              </w:rPr>
            </w:pPr>
            <w:r w:rsidRPr="00156FC4">
              <w:rPr>
                <w:rFonts w:eastAsia="Times New Roman" w:cstheme="minorHAnsi"/>
                <w:color w:val="000000"/>
                <w:sz w:val="20"/>
                <w:szCs w:val="20"/>
              </w:rPr>
              <w:t>20,429</w:t>
            </w:r>
          </w:p>
        </w:tc>
      </w:tr>
      <w:tr w:rsidR="0022163C" w:rsidRPr="004E6649" w14:paraId="04121FC5" w14:textId="77777777" w:rsidTr="00354D1A">
        <w:trPr>
          <w:trHeight w:val="80"/>
          <w:jc w:val="center"/>
        </w:trPr>
        <w:tc>
          <w:tcPr>
            <w:tcW w:w="990" w:type="dxa"/>
            <w:tcBorders>
              <w:top w:val="nil"/>
              <w:left w:val="nil"/>
              <w:bottom w:val="nil"/>
              <w:right w:val="nil"/>
            </w:tcBorders>
            <w:noWrap/>
            <w:vAlign w:val="bottom"/>
            <w:hideMark/>
          </w:tcPr>
          <w:p w14:paraId="0143CCC4" w14:textId="37198326" w:rsidR="0022163C" w:rsidRPr="00156FC4" w:rsidRDefault="0022163C" w:rsidP="0022163C">
            <w:pPr>
              <w:rPr>
                <w:rFonts w:eastAsia="Times New Roman" w:cstheme="minorHAnsi"/>
                <w:color w:val="000000"/>
                <w:sz w:val="20"/>
                <w:szCs w:val="20"/>
              </w:rPr>
            </w:pPr>
            <w:r w:rsidRPr="00156FC4">
              <w:rPr>
                <w:rFonts w:eastAsia="Times New Roman" w:cstheme="minorHAnsi"/>
                <w:color w:val="000000"/>
                <w:sz w:val="20"/>
                <w:szCs w:val="20"/>
              </w:rPr>
              <w:t>Fall 2023</w:t>
            </w:r>
          </w:p>
        </w:tc>
        <w:tc>
          <w:tcPr>
            <w:tcW w:w="1170" w:type="dxa"/>
            <w:tcBorders>
              <w:top w:val="nil"/>
              <w:left w:val="nil"/>
              <w:bottom w:val="nil"/>
              <w:right w:val="nil"/>
            </w:tcBorders>
            <w:noWrap/>
            <w:vAlign w:val="bottom"/>
            <w:hideMark/>
          </w:tcPr>
          <w:p w14:paraId="21132E28" w14:textId="1DCB0265" w:rsidR="0022163C" w:rsidRPr="00156FC4" w:rsidRDefault="0022163C" w:rsidP="0022163C">
            <w:pPr>
              <w:jc w:val="right"/>
              <w:rPr>
                <w:rFonts w:eastAsia="Times New Roman" w:cstheme="minorHAnsi"/>
                <w:color w:val="000000"/>
                <w:sz w:val="20"/>
                <w:szCs w:val="20"/>
              </w:rPr>
            </w:pPr>
            <w:r w:rsidRPr="00156FC4">
              <w:rPr>
                <w:rFonts w:eastAsia="Times New Roman" w:cstheme="minorHAnsi"/>
                <w:color w:val="000000"/>
                <w:sz w:val="20"/>
                <w:szCs w:val="20"/>
              </w:rPr>
              <w:t>18,862</w:t>
            </w:r>
          </w:p>
        </w:tc>
        <w:tc>
          <w:tcPr>
            <w:tcW w:w="900" w:type="dxa"/>
            <w:tcBorders>
              <w:top w:val="nil"/>
              <w:left w:val="nil"/>
              <w:bottom w:val="nil"/>
              <w:right w:val="nil"/>
            </w:tcBorders>
            <w:noWrap/>
            <w:vAlign w:val="bottom"/>
            <w:hideMark/>
          </w:tcPr>
          <w:p w14:paraId="77DE7BC9" w14:textId="0341E721" w:rsidR="0022163C" w:rsidRPr="00156FC4" w:rsidRDefault="0022163C" w:rsidP="0022163C">
            <w:pPr>
              <w:jc w:val="right"/>
              <w:rPr>
                <w:rFonts w:eastAsia="Times New Roman" w:cstheme="minorHAnsi"/>
                <w:color w:val="0D0D0D"/>
                <w:sz w:val="20"/>
                <w:szCs w:val="20"/>
              </w:rPr>
            </w:pPr>
            <w:r w:rsidRPr="00156FC4">
              <w:rPr>
                <w:rFonts w:eastAsia="Times New Roman" w:cstheme="minorHAnsi"/>
                <w:color w:val="000000"/>
                <w:sz w:val="20"/>
                <w:szCs w:val="20"/>
              </w:rPr>
              <w:t>1,350</w:t>
            </w:r>
          </w:p>
        </w:tc>
        <w:tc>
          <w:tcPr>
            <w:tcW w:w="810" w:type="dxa"/>
            <w:tcBorders>
              <w:top w:val="nil"/>
              <w:left w:val="nil"/>
              <w:bottom w:val="nil"/>
              <w:right w:val="nil"/>
            </w:tcBorders>
            <w:noWrap/>
            <w:vAlign w:val="bottom"/>
            <w:hideMark/>
          </w:tcPr>
          <w:p w14:paraId="2D3FCFC2" w14:textId="24F24CE8" w:rsidR="0022163C" w:rsidRPr="00156FC4" w:rsidRDefault="0022163C" w:rsidP="0022163C">
            <w:pPr>
              <w:jc w:val="right"/>
              <w:rPr>
                <w:rFonts w:eastAsia="Times New Roman" w:cstheme="minorHAnsi"/>
                <w:color w:val="000000"/>
                <w:sz w:val="20"/>
                <w:szCs w:val="20"/>
              </w:rPr>
            </w:pPr>
            <w:r w:rsidRPr="00156FC4">
              <w:rPr>
                <w:rFonts w:eastAsia="Times New Roman" w:cstheme="minorHAnsi"/>
                <w:color w:val="000000"/>
                <w:sz w:val="20"/>
                <w:szCs w:val="20"/>
              </w:rPr>
              <w:t>20,212</w:t>
            </w:r>
          </w:p>
        </w:tc>
      </w:tr>
      <w:tr w:rsidR="008E732A" w:rsidRPr="004E6649" w14:paraId="7D9BC02B" w14:textId="77777777" w:rsidTr="00354D1A">
        <w:trPr>
          <w:trHeight w:val="80"/>
          <w:jc w:val="center"/>
        </w:trPr>
        <w:tc>
          <w:tcPr>
            <w:tcW w:w="990" w:type="dxa"/>
            <w:tcBorders>
              <w:top w:val="nil"/>
              <w:left w:val="nil"/>
              <w:bottom w:val="single" w:sz="4" w:space="0" w:color="000000"/>
              <w:right w:val="nil"/>
            </w:tcBorders>
            <w:noWrap/>
            <w:vAlign w:val="bottom"/>
            <w:hideMark/>
          </w:tcPr>
          <w:p w14:paraId="46597752" w14:textId="1C1863E1" w:rsidR="008E732A" w:rsidRPr="00156FC4" w:rsidRDefault="008E732A" w:rsidP="008E732A">
            <w:pPr>
              <w:rPr>
                <w:rFonts w:eastAsia="Times New Roman" w:cstheme="minorHAnsi"/>
                <w:color w:val="000000"/>
                <w:sz w:val="20"/>
                <w:szCs w:val="20"/>
              </w:rPr>
            </w:pPr>
            <w:r w:rsidRPr="00156FC4">
              <w:rPr>
                <w:rFonts w:eastAsia="Times New Roman" w:cstheme="minorHAnsi"/>
                <w:color w:val="000000"/>
                <w:sz w:val="20"/>
                <w:szCs w:val="20"/>
              </w:rPr>
              <w:t>Fall 202</w:t>
            </w:r>
            <w:r w:rsidR="0022163C">
              <w:rPr>
                <w:rFonts w:eastAsia="Times New Roman" w:cstheme="minorHAnsi"/>
                <w:color w:val="000000"/>
                <w:sz w:val="20"/>
                <w:szCs w:val="20"/>
              </w:rPr>
              <w:t>4</w:t>
            </w:r>
          </w:p>
        </w:tc>
        <w:tc>
          <w:tcPr>
            <w:tcW w:w="1170" w:type="dxa"/>
            <w:tcBorders>
              <w:top w:val="nil"/>
              <w:left w:val="nil"/>
              <w:bottom w:val="single" w:sz="4" w:space="0" w:color="000000"/>
              <w:right w:val="nil"/>
            </w:tcBorders>
            <w:noWrap/>
            <w:vAlign w:val="bottom"/>
            <w:hideMark/>
          </w:tcPr>
          <w:p w14:paraId="71436BD0" w14:textId="0137802C" w:rsidR="008E732A" w:rsidRPr="00156FC4" w:rsidRDefault="0022163C" w:rsidP="00CE5ECB">
            <w:pPr>
              <w:jc w:val="right"/>
              <w:rPr>
                <w:rFonts w:eastAsia="Times New Roman" w:cstheme="minorHAnsi"/>
                <w:color w:val="000000"/>
                <w:sz w:val="20"/>
                <w:szCs w:val="20"/>
              </w:rPr>
            </w:pPr>
            <w:r>
              <w:rPr>
                <w:rFonts w:eastAsia="Times New Roman" w:cstheme="minorHAnsi"/>
                <w:color w:val="000000"/>
                <w:sz w:val="20"/>
                <w:szCs w:val="20"/>
              </w:rPr>
              <w:t>19,688</w:t>
            </w:r>
          </w:p>
        </w:tc>
        <w:tc>
          <w:tcPr>
            <w:tcW w:w="900" w:type="dxa"/>
            <w:tcBorders>
              <w:top w:val="nil"/>
              <w:left w:val="nil"/>
              <w:bottom w:val="single" w:sz="4" w:space="0" w:color="000000"/>
              <w:right w:val="nil"/>
            </w:tcBorders>
            <w:noWrap/>
            <w:vAlign w:val="bottom"/>
            <w:hideMark/>
          </w:tcPr>
          <w:p w14:paraId="428C0166" w14:textId="2CE2DC11" w:rsidR="008E732A" w:rsidRPr="00156FC4" w:rsidRDefault="0022163C" w:rsidP="008E732A">
            <w:pPr>
              <w:jc w:val="right"/>
              <w:rPr>
                <w:rFonts w:eastAsia="Times New Roman" w:cstheme="minorHAnsi"/>
                <w:color w:val="000000"/>
                <w:sz w:val="20"/>
                <w:szCs w:val="20"/>
              </w:rPr>
            </w:pPr>
            <w:r>
              <w:rPr>
                <w:rFonts w:eastAsia="Times New Roman" w:cstheme="minorHAnsi"/>
                <w:color w:val="000000"/>
                <w:sz w:val="20"/>
                <w:szCs w:val="20"/>
              </w:rPr>
              <w:t>1,497</w:t>
            </w:r>
          </w:p>
        </w:tc>
        <w:tc>
          <w:tcPr>
            <w:tcW w:w="810" w:type="dxa"/>
            <w:tcBorders>
              <w:top w:val="nil"/>
              <w:left w:val="nil"/>
              <w:bottom w:val="single" w:sz="4" w:space="0" w:color="000000"/>
              <w:right w:val="nil"/>
            </w:tcBorders>
            <w:noWrap/>
            <w:vAlign w:val="bottom"/>
            <w:hideMark/>
          </w:tcPr>
          <w:p w14:paraId="101E8332" w14:textId="0E659975" w:rsidR="008E732A" w:rsidRPr="00156FC4" w:rsidRDefault="0022163C" w:rsidP="008E732A">
            <w:pPr>
              <w:jc w:val="right"/>
              <w:rPr>
                <w:rFonts w:eastAsia="Times New Roman" w:cstheme="minorHAnsi"/>
                <w:color w:val="000000"/>
                <w:sz w:val="20"/>
                <w:szCs w:val="20"/>
              </w:rPr>
            </w:pPr>
            <w:r>
              <w:rPr>
                <w:rFonts w:eastAsia="Times New Roman" w:cstheme="minorHAnsi"/>
                <w:color w:val="000000"/>
                <w:sz w:val="20"/>
                <w:szCs w:val="20"/>
              </w:rPr>
              <w:t>21,185</w:t>
            </w:r>
          </w:p>
        </w:tc>
      </w:tr>
    </w:tbl>
    <w:p w14:paraId="5293FBFB" w14:textId="77777777" w:rsidR="0053634D" w:rsidRDefault="0053634D" w:rsidP="00A470B6">
      <w:pPr>
        <w:tabs>
          <w:tab w:val="left" w:pos="4860"/>
          <w:tab w:val="left" w:pos="8280"/>
        </w:tabs>
        <w:jc w:val="center"/>
        <w:rPr>
          <w:rFonts w:cstheme="minorHAnsi"/>
          <w:b/>
        </w:rPr>
      </w:pPr>
    </w:p>
    <w:p w14:paraId="0FC7E058" w14:textId="1F33F73B" w:rsidR="00A83362" w:rsidRPr="004E6649" w:rsidRDefault="0053634D" w:rsidP="00A470B6">
      <w:pPr>
        <w:tabs>
          <w:tab w:val="left" w:pos="4860"/>
          <w:tab w:val="left" w:pos="8280"/>
        </w:tabs>
        <w:jc w:val="center"/>
        <w:rPr>
          <w:rFonts w:cstheme="minorHAnsi"/>
          <w:b/>
        </w:rPr>
      </w:pPr>
      <w:r w:rsidRPr="00100DD0">
        <w:rPr>
          <w:b/>
          <w:sz w:val="28"/>
        </w:rPr>
        <w:t>Table 1: Student FTE Enrollment</w:t>
      </w:r>
      <w:r w:rsidRPr="004E6649">
        <w:rPr>
          <w:rFonts w:cstheme="minorHAnsi"/>
          <w:b/>
        </w:rPr>
        <w:t xml:space="preserve"> </w:t>
      </w:r>
      <w:r w:rsidR="00A83362" w:rsidRPr="004E6649">
        <w:rPr>
          <w:rFonts w:cstheme="minorHAnsi"/>
          <w:b/>
        </w:rPr>
        <w:fldChar w:fldCharType="begin"/>
      </w:r>
      <w:r w:rsidR="00A83362" w:rsidRPr="004E6649">
        <w:rPr>
          <w:rFonts w:cstheme="minorHAnsi"/>
          <w:b/>
        </w:rPr>
        <w:instrText xml:space="preserve"> LINK Excel.Sheet.12 "\\\\wv-o-fs-sws1.sws.ad.maine.edu\\groupshares\\McMahan\\ACCTG DEPT - WRKG\\GL CLOSE WKPS\\YE CLOSE 2021\\YEFY21 WKPS\\Fin Stmts 21\\Annual Financial Report FY21\\2021 MD&amp;A Charts &amp; Tables\\C1.C2.T1 Fall Enroll 2020.xlsx" "Table 1-Report Version!R2C1:R10C12" \a \f 4 \h  \* MERGEFORMAT </w:instrText>
      </w:r>
      <w:r w:rsidR="00A83362" w:rsidRPr="004E6649">
        <w:rPr>
          <w:rFonts w:cstheme="minorHAnsi"/>
          <w:b/>
        </w:rPr>
        <w:fldChar w:fldCharType="separate"/>
      </w:r>
    </w:p>
    <w:tbl>
      <w:tblPr>
        <w:tblW w:w="9720" w:type="dxa"/>
        <w:jc w:val="center"/>
        <w:tblLayout w:type="fixed"/>
        <w:tblCellMar>
          <w:left w:w="29" w:type="dxa"/>
          <w:right w:w="29" w:type="dxa"/>
        </w:tblCellMar>
        <w:tblLook w:val="04E0" w:firstRow="1" w:lastRow="1" w:firstColumn="1" w:lastColumn="0" w:noHBand="0" w:noVBand="1"/>
      </w:tblPr>
      <w:tblGrid>
        <w:gridCol w:w="680"/>
        <w:gridCol w:w="940"/>
        <w:gridCol w:w="900"/>
        <w:gridCol w:w="810"/>
        <w:gridCol w:w="828"/>
        <w:gridCol w:w="792"/>
        <w:gridCol w:w="737"/>
        <w:gridCol w:w="793"/>
        <w:gridCol w:w="768"/>
        <w:gridCol w:w="852"/>
        <w:gridCol w:w="752"/>
        <w:gridCol w:w="868"/>
      </w:tblGrid>
      <w:tr w:rsidR="0022163C" w:rsidRPr="004E6649" w14:paraId="34D22929" w14:textId="77777777" w:rsidTr="005C0A2D">
        <w:trPr>
          <w:trHeight w:val="840"/>
          <w:jc w:val="center"/>
        </w:trPr>
        <w:tc>
          <w:tcPr>
            <w:tcW w:w="680" w:type="dxa"/>
            <w:tcBorders>
              <w:top w:val="nil"/>
              <w:left w:val="nil"/>
              <w:bottom w:val="single" w:sz="8" w:space="0" w:color="000000" w:themeColor="text1"/>
              <w:right w:val="nil"/>
            </w:tcBorders>
            <w:shd w:val="clear" w:color="000000" w:fill="FFFFFF"/>
            <w:noWrap/>
            <w:vAlign w:val="bottom"/>
          </w:tcPr>
          <w:p w14:paraId="01F6453F" w14:textId="5904BD4E" w:rsidR="0022163C" w:rsidRPr="004E6649" w:rsidRDefault="0022163C" w:rsidP="0022163C">
            <w:pPr>
              <w:jc w:val="center"/>
              <w:rPr>
                <w:rFonts w:eastAsia="Times New Roman" w:cstheme="minorHAnsi"/>
                <w:sz w:val="19"/>
                <w:szCs w:val="19"/>
              </w:rPr>
            </w:pPr>
            <w:r>
              <w:rPr>
                <w:rFonts w:ascii="Calibri" w:hAnsi="Calibri" w:cs="Calibri"/>
                <w:color w:val="000000"/>
              </w:rPr>
              <w:t> </w:t>
            </w:r>
          </w:p>
        </w:tc>
        <w:tc>
          <w:tcPr>
            <w:tcW w:w="940" w:type="dxa"/>
            <w:tcBorders>
              <w:top w:val="nil"/>
              <w:left w:val="nil"/>
              <w:bottom w:val="single" w:sz="8" w:space="0" w:color="000000" w:themeColor="text1"/>
              <w:right w:val="nil"/>
            </w:tcBorders>
            <w:shd w:val="clear" w:color="000000" w:fill="FFFFFF"/>
            <w:vAlign w:val="bottom"/>
          </w:tcPr>
          <w:p w14:paraId="5FCB3AFB" w14:textId="7A06752D" w:rsidR="0022163C" w:rsidRPr="004E6649" w:rsidRDefault="0022163C" w:rsidP="0022163C">
            <w:pPr>
              <w:jc w:val="center"/>
              <w:rPr>
                <w:rFonts w:eastAsia="Times New Roman" w:cstheme="minorHAnsi"/>
                <w:b/>
                <w:bCs/>
                <w:sz w:val="19"/>
                <w:szCs w:val="19"/>
              </w:rPr>
            </w:pPr>
            <w:r>
              <w:rPr>
                <w:rFonts w:ascii="Calibri" w:hAnsi="Calibri" w:cs="Calibri"/>
                <w:b/>
                <w:bCs/>
                <w:color w:val="000000"/>
              </w:rPr>
              <w:t xml:space="preserve">% Change </w:t>
            </w:r>
            <w:r>
              <w:rPr>
                <w:rFonts w:ascii="Calibri" w:hAnsi="Calibri" w:cs="Calibri"/>
                <w:b/>
                <w:bCs/>
                <w:color w:val="000000"/>
              </w:rPr>
              <w:br/>
              <w:t xml:space="preserve">Fall 2020 </w:t>
            </w:r>
            <w:r>
              <w:rPr>
                <w:rFonts w:ascii="Calibri" w:hAnsi="Calibri" w:cs="Calibri"/>
                <w:b/>
                <w:bCs/>
                <w:color w:val="000000"/>
              </w:rPr>
              <w:br/>
              <w:t>to 2024</w:t>
            </w:r>
          </w:p>
        </w:tc>
        <w:tc>
          <w:tcPr>
            <w:tcW w:w="900" w:type="dxa"/>
            <w:tcBorders>
              <w:top w:val="nil"/>
              <w:left w:val="nil"/>
              <w:bottom w:val="single" w:sz="8" w:space="0" w:color="000000" w:themeColor="text1"/>
              <w:right w:val="nil"/>
            </w:tcBorders>
            <w:shd w:val="clear" w:color="000000" w:fill="FFFFFF"/>
            <w:vAlign w:val="bottom"/>
          </w:tcPr>
          <w:p w14:paraId="12A298C3" w14:textId="5E8E32A7" w:rsidR="0022163C" w:rsidRPr="004E6649" w:rsidRDefault="0022163C" w:rsidP="0022163C">
            <w:pPr>
              <w:jc w:val="center"/>
              <w:rPr>
                <w:rFonts w:eastAsia="Times New Roman" w:cstheme="minorHAnsi"/>
                <w:b/>
                <w:bCs/>
                <w:sz w:val="19"/>
                <w:szCs w:val="19"/>
              </w:rPr>
            </w:pPr>
            <w:r>
              <w:rPr>
                <w:rFonts w:ascii="Calibri" w:hAnsi="Calibri" w:cs="Calibri"/>
                <w:b/>
                <w:bCs/>
                <w:color w:val="000000"/>
              </w:rPr>
              <w:t>Fall 2024</w:t>
            </w:r>
          </w:p>
        </w:tc>
        <w:tc>
          <w:tcPr>
            <w:tcW w:w="810" w:type="dxa"/>
            <w:tcBorders>
              <w:top w:val="nil"/>
              <w:left w:val="nil"/>
              <w:bottom w:val="single" w:sz="8" w:space="0" w:color="000000" w:themeColor="text1"/>
              <w:right w:val="nil"/>
            </w:tcBorders>
            <w:shd w:val="clear" w:color="000000" w:fill="FFFFFF"/>
            <w:vAlign w:val="bottom"/>
          </w:tcPr>
          <w:p w14:paraId="02CB38B3" w14:textId="1E2C5629" w:rsidR="0022163C" w:rsidRPr="004E6649" w:rsidRDefault="0022163C" w:rsidP="0022163C">
            <w:pPr>
              <w:jc w:val="center"/>
              <w:rPr>
                <w:rFonts w:eastAsia="Times New Roman" w:cstheme="minorHAnsi"/>
                <w:b/>
                <w:bCs/>
                <w:sz w:val="19"/>
                <w:szCs w:val="19"/>
              </w:rPr>
            </w:pPr>
            <w:r>
              <w:rPr>
                <w:rFonts w:ascii="Calibri" w:hAnsi="Calibri" w:cs="Calibri"/>
                <w:b/>
                <w:bCs/>
                <w:color w:val="000000"/>
              </w:rPr>
              <w:t>% Change</w:t>
            </w:r>
          </w:p>
        </w:tc>
        <w:tc>
          <w:tcPr>
            <w:tcW w:w="828" w:type="dxa"/>
            <w:tcBorders>
              <w:top w:val="nil"/>
              <w:left w:val="nil"/>
              <w:bottom w:val="single" w:sz="8" w:space="0" w:color="000000" w:themeColor="text1"/>
              <w:right w:val="nil"/>
            </w:tcBorders>
            <w:shd w:val="clear" w:color="000000" w:fill="FFFFFF"/>
            <w:vAlign w:val="bottom"/>
          </w:tcPr>
          <w:p w14:paraId="494AE5EC" w14:textId="4D8DD213" w:rsidR="0022163C" w:rsidRPr="004E6649" w:rsidRDefault="0022163C" w:rsidP="0022163C">
            <w:pPr>
              <w:jc w:val="center"/>
              <w:rPr>
                <w:rFonts w:eastAsia="Times New Roman" w:cstheme="minorHAnsi"/>
                <w:b/>
                <w:bCs/>
                <w:sz w:val="19"/>
                <w:szCs w:val="19"/>
              </w:rPr>
            </w:pPr>
            <w:r>
              <w:rPr>
                <w:rFonts w:ascii="Calibri" w:hAnsi="Calibri" w:cs="Calibri"/>
                <w:b/>
                <w:bCs/>
                <w:color w:val="000000"/>
              </w:rPr>
              <w:t>Fall 2023</w:t>
            </w:r>
          </w:p>
        </w:tc>
        <w:tc>
          <w:tcPr>
            <w:tcW w:w="792" w:type="dxa"/>
            <w:tcBorders>
              <w:top w:val="nil"/>
              <w:left w:val="nil"/>
              <w:bottom w:val="single" w:sz="8" w:space="0" w:color="000000" w:themeColor="text1"/>
              <w:right w:val="nil"/>
            </w:tcBorders>
            <w:shd w:val="clear" w:color="000000" w:fill="FFFFFF"/>
            <w:vAlign w:val="bottom"/>
          </w:tcPr>
          <w:p w14:paraId="59635FBC" w14:textId="7E564073" w:rsidR="0022163C" w:rsidRPr="004E6649" w:rsidRDefault="0022163C" w:rsidP="0022163C">
            <w:pPr>
              <w:jc w:val="center"/>
              <w:rPr>
                <w:rFonts w:eastAsia="Times New Roman" w:cstheme="minorHAnsi"/>
                <w:b/>
                <w:bCs/>
                <w:sz w:val="19"/>
                <w:szCs w:val="19"/>
              </w:rPr>
            </w:pPr>
            <w:r>
              <w:rPr>
                <w:rFonts w:ascii="Calibri" w:hAnsi="Calibri" w:cs="Calibri"/>
                <w:b/>
                <w:bCs/>
                <w:color w:val="000000"/>
              </w:rPr>
              <w:t>% Change</w:t>
            </w:r>
          </w:p>
        </w:tc>
        <w:tc>
          <w:tcPr>
            <w:tcW w:w="737" w:type="dxa"/>
            <w:tcBorders>
              <w:top w:val="nil"/>
              <w:left w:val="nil"/>
              <w:bottom w:val="single" w:sz="8" w:space="0" w:color="000000" w:themeColor="text1"/>
              <w:right w:val="nil"/>
            </w:tcBorders>
            <w:shd w:val="clear" w:color="000000" w:fill="FFFFFF"/>
            <w:vAlign w:val="bottom"/>
          </w:tcPr>
          <w:p w14:paraId="545C8756" w14:textId="16CE7771" w:rsidR="0022163C" w:rsidRPr="004E6649" w:rsidRDefault="0022163C" w:rsidP="0022163C">
            <w:pPr>
              <w:jc w:val="center"/>
              <w:rPr>
                <w:rFonts w:eastAsia="Times New Roman" w:cstheme="minorHAnsi"/>
                <w:b/>
                <w:sz w:val="19"/>
                <w:szCs w:val="19"/>
              </w:rPr>
            </w:pPr>
            <w:r>
              <w:rPr>
                <w:rFonts w:ascii="Calibri" w:hAnsi="Calibri" w:cs="Calibri"/>
                <w:b/>
                <w:bCs/>
                <w:color w:val="000000"/>
              </w:rPr>
              <w:t>Fall 2022</w:t>
            </w:r>
          </w:p>
        </w:tc>
        <w:tc>
          <w:tcPr>
            <w:tcW w:w="793" w:type="dxa"/>
            <w:tcBorders>
              <w:top w:val="nil"/>
              <w:left w:val="nil"/>
              <w:bottom w:val="single" w:sz="8" w:space="0" w:color="000000" w:themeColor="text1"/>
              <w:right w:val="nil"/>
            </w:tcBorders>
            <w:shd w:val="clear" w:color="000000" w:fill="FFFFFF"/>
            <w:vAlign w:val="bottom"/>
          </w:tcPr>
          <w:p w14:paraId="7CC0D87D" w14:textId="214B0164" w:rsidR="0022163C" w:rsidRPr="004E6649" w:rsidRDefault="0022163C" w:rsidP="0022163C">
            <w:pPr>
              <w:jc w:val="center"/>
              <w:rPr>
                <w:rFonts w:eastAsia="Times New Roman" w:cstheme="minorHAnsi"/>
                <w:b/>
                <w:sz w:val="19"/>
                <w:szCs w:val="19"/>
              </w:rPr>
            </w:pPr>
            <w:r>
              <w:rPr>
                <w:rFonts w:ascii="Calibri" w:hAnsi="Calibri" w:cs="Calibri"/>
                <w:b/>
                <w:bCs/>
                <w:color w:val="000000"/>
              </w:rPr>
              <w:t>% Change</w:t>
            </w:r>
          </w:p>
        </w:tc>
        <w:tc>
          <w:tcPr>
            <w:tcW w:w="768" w:type="dxa"/>
            <w:tcBorders>
              <w:top w:val="nil"/>
              <w:left w:val="nil"/>
              <w:bottom w:val="single" w:sz="8" w:space="0" w:color="000000" w:themeColor="text1"/>
              <w:right w:val="nil"/>
            </w:tcBorders>
            <w:shd w:val="clear" w:color="000000" w:fill="FFFFFF"/>
            <w:vAlign w:val="bottom"/>
          </w:tcPr>
          <w:p w14:paraId="0D3E22FB" w14:textId="7284C820" w:rsidR="0022163C" w:rsidRPr="004E6649" w:rsidRDefault="0022163C" w:rsidP="0022163C">
            <w:pPr>
              <w:jc w:val="center"/>
              <w:rPr>
                <w:rFonts w:eastAsia="Times New Roman" w:cstheme="minorHAnsi"/>
                <w:b/>
                <w:bCs/>
                <w:sz w:val="19"/>
                <w:szCs w:val="19"/>
              </w:rPr>
            </w:pPr>
            <w:r>
              <w:rPr>
                <w:rFonts w:ascii="Calibri" w:hAnsi="Calibri" w:cs="Calibri"/>
                <w:b/>
                <w:bCs/>
                <w:color w:val="000000"/>
              </w:rPr>
              <w:t>Fall 2021</w:t>
            </w:r>
          </w:p>
        </w:tc>
        <w:tc>
          <w:tcPr>
            <w:tcW w:w="852" w:type="dxa"/>
            <w:tcBorders>
              <w:top w:val="nil"/>
              <w:left w:val="nil"/>
              <w:bottom w:val="single" w:sz="8" w:space="0" w:color="000000" w:themeColor="text1"/>
              <w:right w:val="nil"/>
            </w:tcBorders>
            <w:shd w:val="clear" w:color="000000" w:fill="FFFFFF"/>
            <w:vAlign w:val="bottom"/>
          </w:tcPr>
          <w:p w14:paraId="23D0BC7F" w14:textId="2322A062" w:rsidR="0022163C" w:rsidRPr="004E6649" w:rsidRDefault="0022163C" w:rsidP="0022163C">
            <w:pPr>
              <w:jc w:val="center"/>
              <w:rPr>
                <w:rFonts w:eastAsia="Times New Roman" w:cstheme="minorHAnsi"/>
                <w:b/>
                <w:bCs/>
                <w:sz w:val="19"/>
                <w:szCs w:val="19"/>
              </w:rPr>
            </w:pPr>
            <w:r>
              <w:rPr>
                <w:rFonts w:ascii="Calibri" w:hAnsi="Calibri" w:cs="Calibri"/>
                <w:b/>
                <w:bCs/>
                <w:color w:val="000000"/>
              </w:rPr>
              <w:t>% Change</w:t>
            </w:r>
          </w:p>
        </w:tc>
        <w:tc>
          <w:tcPr>
            <w:tcW w:w="752" w:type="dxa"/>
            <w:tcBorders>
              <w:top w:val="nil"/>
              <w:left w:val="nil"/>
              <w:bottom w:val="single" w:sz="8" w:space="0" w:color="000000" w:themeColor="text1"/>
              <w:right w:val="nil"/>
            </w:tcBorders>
            <w:shd w:val="clear" w:color="000000" w:fill="FFFFFF"/>
            <w:vAlign w:val="bottom"/>
          </w:tcPr>
          <w:p w14:paraId="19DC084A" w14:textId="6AF1F3C3" w:rsidR="0022163C" w:rsidRPr="004E6649" w:rsidRDefault="0022163C" w:rsidP="0022163C">
            <w:pPr>
              <w:jc w:val="center"/>
              <w:rPr>
                <w:rFonts w:eastAsia="Times New Roman" w:cstheme="minorHAnsi"/>
                <w:b/>
                <w:bCs/>
                <w:sz w:val="19"/>
                <w:szCs w:val="19"/>
              </w:rPr>
            </w:pPr>
            <w:r>
              <w:rPr>
                <w:rFonts w:ascii="Calibri" w:hAnsi="Calibri" w:cs="Calibri"/>
                <w:b/>
                <w:bCs/>
                <w:color w:val="000000"/>
              </w:rPr>
              <w:t>Fall 2020</w:t>
            </w:r>
          </w:p>
        </w:tc>
        <w:tc>
          <w:tcPr>
            <w:tcW w:w="868" w:type="dxa"/>
            <w:tcBorders>
              <w:top w:val="nil"/>
              <w:left w:val="nil"/>
              <w:bottom w:val="single" w:sz="8" w:space="0" w:color="000000" w:themeColor="text1"/>
              <w:right w:val="nil"/>
            </w:tcBorders>
            <w:shd w:val="clear" w:color="000000" w:fill="FFFFFF"/>
            <w:vAlign w:val="bottom"/>
          </w:tcPr>
          <w:p w14:paraId="2936C28B" w14:textId="6A73D8A9" w:rsidR="0022163C" w:rsidRPr="004E6649" w:rsidRDefault="0022163C" w:rsidP="0022163C">
            <w:pPr>
              <w:jc w:val="center"/>
              <w:rPr>
                <w:rFonts w:eastAsia="Times New Roman" w:cstheme="minorHAnsi"/>
                <w:b/>
                <w:bCs/>
                <w:sz w:val="19"/>
                <w:szCs w:val="19"/>
              </w:rPr>
            </w:pPr>
            <w:r>
              <w:rPr>
                <w:rFonts w:ascii="Calibri" w:hAnsi="Calibri" w:cs="Calibri"/>
                <w:b/>
                <w:bCs/>
                <w:color w:val="000000"/>
              </w:rPr>
              <w:t>% Change</w:t>
            </w:r>
          </w:p>
        </w:tc>
      </w:tr>
      <w:tr w:rsidR="0022163C" w:rsidRPr="004E6649" w14:paraId="4054C36B" w14:textId="77777777" w:rsidTr="005C0A2D">
        <w:trPr>
          <w:trHeight w:val="288"/>
          <w:jc w:val="center"/>
        </w:trPr>
        <w:tc>
          <w:tcPr>
            <w:tcW w:w="680" w:type="dxa"/>
            <w:tcBorders>
              <w:top w:val="single" w:sz="8" w:space="0" w:color="000000" w:themeColor="text1"/>
              <w:left w:val="nil"/>
              <w:bottom w:val="nil"/>
              <w:right w:val="single" w:sz="8" w:space="0" w:color="000000" w:themeColor="text1"/>
            </w:tcBorders>
            <w:shd w:val="clear" w:color="000000" w:fill="FFFFFF"/>
            <w:noWrap/>
            <w:vAlign w:val="bottom"/>
          </w:tcPr>
          <w:p w14:paraId="7D81DB7D" w14:textId="57D465D3" w:rsidR="0022163C" w:rsidRPr="004E6649" w:rsidRDefault="0022163C" w:rsidP="0022163C">
            <w:pPr>
              <w:rPr>
                <w:rFonts w:eastAsia="Times New Roman" w:cstheme="minorHAnsi"/>
                <w:sz w:val="19"/>
                <w:szCs w:val="19"/>
              </w:rPr>
            </w:pPr>
            <w:r>
              <w:rPr>
                <w:rFonts w:ascii="Calibri" w:hAnsi="Calibri" w:cs="Calibri"/>
              </w:rPr>
              <w:t>UM</w:t>
            </w:r>
          </w:p>
        </w:tc>
        <w:tc>
          <w:tcPr>
            <w:tcW w:w="940" w:type="dxa"/>
            <w:tcBorders>
              <w:top w:val="single" w:sz="8" w:space="0" w:color="000000" w:themeColor="text1"/>
              <w:left w:val="single" w:sz="8" w:space="0" w:color="000000" w:themeColor="text1"/>
              <w:bottom w:val="nil"/>
              <w:right w:val="single" w:sz="4" w:space="0" w:color="00688D"/>
            </w:tcBorders>
            <w:shd w:val="clear" w:color="000000" w:fill="D9D9D9"/>
            <w:noWrap/>
            <w:vAlign w:val="bottom"/>
          </w:tcPr>
          <w:p w14:paraId="79CE4331" w14:textId="0572740B" w:rsidR="0022163C" w:rsidRPr="004E6649" w:rsidRDefault="0022163C" w:rsidP="0022163C">
            <w:pPr>
              <w:jc w:val="right"/>
              <w:rPr>
                <w:rFonts w:eastAsia="Times New Roman" w:cstheme="minorHAnsi"/>
                <w:b/>
                <w:bCs/>
                <w:sz w:val="19"/>
                <w:szCs w:val="19"/>
              </w:rPr>
            </w:pPr>
            <w:r>
              <w:rPr>
                <w:rFonts w:ascii="Calibri" w:hAnsi="Calibri" w:cs="Calibri"/>
                <w:b/>
                <w:bCs/>
                <w:i/>
                <w:iCs/>
              </w:rPr>
              <w:t>-5.4%</w:t>
            </w:r>
          </w:p>
        </w:tc>
        <w:tc>
          <w:tcPr>
            <w:tcW w:w="900" w:type="dxa"/>
            <w:tcBorders>
              <w:top w:val="single" w:sz="8" w:space="0" w:color="000000" w:themeColor="text1"/>
              <w:left w:val="nil"/>
              <w:bottom w:val="nil"/>
              <w:right w:val="nil"/>
            </w:tcBorders>
            <w:shd w:val="clear" w:color="000000" w:fill="FFFFFF"/>
            <w:noWrap/>
            <w:vAlign w:val="bottom"/>
          </w:tcPr>
          <w:p w14:paraId="78F4A782" w14:textId="420B4D6C" w:rsidR="0022163C" w:rsidRPr="004E6649" w:rsidRDefault="0022163C" w:rsidP="0022163C">
            <w:pPr>
              <w:jc w:val="right"/>
              <w:rPr>
                <w:rFonts w:eastAsia="Times New Roman" w:cstheme="minorHAnsi"/>
                <w:b/>
                <w:bCs/>
                <w:sz w:val="19"/>
                <w:szCs w:val="19"/>
              </w:rPr>
            </w:pPr>
            <w:r>
              <w:rPr>
                <w:rFonts w:ascii="Calibri" w:hAnsi="Calibri" w:cs="Calibri"/>
                <w:b/>
                <w:bCs/>
              </w:rPr>
              <w:t>9,250</w:t>
            </w:r>
          </w:p>
        </w:tc>
        <w:tc>
          <w:tcPr>
            <w:tcW w:w="810" w:type="dxa"/>
            <w:tcBorders>
              <w:top w:val="single" w:sz="8" w:space="0" w:color="000000" w:themeColor="text1"/>
              <w:left w:val="nil"/>
              <w:bottom w:val="nil"/>
              <w:right w:val="nil"/>
            </w:tcBorders>
            <w:shd w:val="clear" w:color="000000" w:fill="D9D9D9"/>
            <w:noWrap/>
            <w:vAlign w:val="bottom"/>
          </w:tcPr>
          <w:p w14:paraId="5CCB180B" w14:textId="0EEC5764" w:rsidR="0022163C" w:rsidRPr="004E6649" w:rsidRDefault="0022163C" w:rsidP="0022163C">
            <w:pPr>
              <w:jc w:val="right"/>
              <w:rPr>
                <w:rFonts w:eastAsia="Times New Roman" w:cstheme="minorHAnsi"/>
                <w:b/>
                <w:bCs/>
                <w:sz w:val="19"/>
                <w:szCs w:val="19"/>
              </w:rPr>
            </w:pPr>
            <w:r>
              <w:rPr>
                <w:rFonts w:ascii="Calibri" w:hAnsi="Calibri" w:cs="Calibri"/>
                <w:b/>
                <w:bCs/>
              </w:rPr>
              <w:t>1.9%</w:t>
            </w:r>
          </w:p>
        </w:tc>
        <w:tc>
          <w:tcPr>
            <w:tcW w:w="828" w:type="dxa"/>
            <w:tcBorders>
              <w:top w:val="single" w:sz="8" w:space="0" w:color="000000" w:themeColor="text1"/>
              <w:left w:val="nil"/>
              <w:bottom w:val="nil"/>
              <w:right w:val="nil"/>
            </w:tcBorders>
            <w:shd w:val="clear" w:color="000000" w:fill="FFFFFF"/>
            <w:noWrap/>
            <w:vAlign w:val="bottom"/>
          </w:tcPr>
          <w:p w14:paraId="76663489" w14:textId="7BF09C3D" w:rsidR="0022163C" w:rsidRPr="004E6649" w:rsidRDefault="0022163C" w:rsidP="0022163C">
            <w:pPr>
              <w:jc w:val="right"/>
              <w:rPr>
                <w:rFonts w:eastAsia="Times New Roman" w:cstheme="minorHAnsi"/>
                <w:b/>
                <w:bCs/>
                <w:sz w:val="19"/>
                <w:szCs w:val="19"/>
              </w:rPr>
            </w:pPr>
            <w:r>
              <w:rPr>
                <w:rFonts w:ascii="Calibri" w:hAnsi="Calibri" w:cs="Calibri"/>
                <w:b/>
                <w:bCs/>
              </w:rPr>
              <w:t>9,075</w:t>
            </w:r>
          </w:p>
        </w:tc>
        <w:tc>
          <w:tcPr>
            <w:tcW w:w="792" w:type="dxa"/>
            <w:tcBorders>
              <w:top w:val="single" w:sz="8" w:space="0" w:color="000000" w:themeColor="text1"/>
              <w:left w:val="nil"/>
              <w:bottom w:val="nil"/>
              <w:right w:val="nil"/>
            </w:tcBorders>
            <w:shd w:val="clear" w:color="000000" w:fill="D9D9D9"/>
            <w:noWrap/>
            <w:vAlign w:val="bottom"/>
          </w:tcPr>
          <w:p w14:paraId="49FA641B" w14:textId="6524F776" w:rsidR="0022163C" w:rsidRPr="004E6649" w:rsidRDefault="0022163C" w:rsidP="0022163C">
            <w:pPr>
              <w:jc w:val="right"/>
              <w:rPr>
                <w:rFonts w:eastAsia="Times New Roman" w:cstheme="minorHAnsi"/>
                <w:b/>
                <w:bCs/>
                <w:sz w:val="19"/>
                <w:szCs w:val="19"/>
              </w:rPr>
            </w:pPr>
            <w:r>
              <w:rPr>
                <w:rFonts w:ascii="Calibri" w:hAnsi="Calibri" w:cs="Calibri"/>
                <w:b/>
                <w:bCs/>
              </w:rPr>
              <w:t>-3.4%</w:t>
            </w:r>
          </w:p>
        </w:tc>
        <w:tc>
          <w:tcPr>
            <w:tcW w:w="737" w:type="dxa"/>
            <w:tcBorders>
              <w:top w:val="single" w:sz="8" w:space="0" w:color="000000" w:themeColor="text1"/>
              <w:left w:val="nil"/>
              <w:bottom w:val="nil"/>
              <w:right w:val="nil"/>
            </w:tcBorders>
            <w:shd w:val="clear" w:color="000000" w:fill="FFFFFF"/>
            <w:noWrap/>
            <w:vAlign w:val="bottom"/>
          </w:tcPr>
          <w:p w14:paraId="25DF2EDC" w14:textId="2B7F00DA" w:rsidR="0022163C" w:rsidRPr="0053634D" w:rsidRDefault="0022163C" w:rsidP="0022163C">
            <w:pPr>
              <w:jc w:val="right"/>
              <w:rPr>
                <w:rFonts w:eastAsia="Times New Roman" w:cstheme="minorHAnsi"/>
                <w:sz w:val="19"/>
                <w:szCs w:val="19"/>
              </w:rPr>
            </w:pPr>
            <w:r>
              <w:rPr>
                <w:rFonts w:ascii="Calibri" w:hAnsi="Calibri" w:cs="Calibri"/>
              </w:rPr>
              <w:t>9,399</w:t>
            </w:r>
          </w:p>
        </w:tc>
        <w:tc>
          <w:tcPr>
            <w:tcW w:w="793" w:type="dxa"/>
            <w:tcBorders>
              <w:top w:val="single" w:sz="8" w:space="0" w:color="000000" w:themeColor="text1"/>
              <w:left w:val="nil"/>
              <w:bottom w:val="nil"/>
              <w:right w:val="nil"/>
            </w:tcBorders>
            <w:shd w:val="clear" w:color="000000" w:fill="D9D9D9"/>
            <w:noWrap/>
            <w:vAlign w:val="bottom"/>
          </w:tcPr>
          <w:p w14:paraId="7E157999" w14:textId="6D0BC8BC" w:rsidR="0022163C" w:rsidRPr="0053634D" w:rsidRDefault="0022163C" w:rsidP="0022163C">
            <w:pPr>
              <w:jc w:val="right"/>
              <w:rPr>
                <w:rFonts w:eastAsia="Times New Roman" w:cstheme="minorHAnsi"/>
                <w:sz w:val="19"/>
                <w:szCs w:val="19"/>
              </w:rPr>
            </w:pPr>
            <w:r>
              <w:rPr>
                <w:rFonts w:ascii="Calibri" w:hAnsi="Calibri" w:cs="Calibri"/>
              </w:rPr>
              <w:t>-5.3%</w:t>
            </w:r>
          </w:p>
        </w:tc>
        <w:tc>
          <w:tcPr>
            <w:tcW w:w="768" w:type="dxa"/>
            <w:tcBorders>
              <w:top w:val="single" w:sz="8" w:space="0" w:color="000000" w:themeColor="text1"/>
              <w:left w:val="nil"/>
              <w:bottom w:val="nil"/>
              <w:right w:val="nil"/>
            </w:tcBorders>
            <w:shd w:val="clear" w:color="000000" w:fill="FFFFFF"/>
            <w:noWrap/>
            <w:vAlign w:val="bottom"/>
          </w:tcPr>
          <w:p w14:paraId="18E6CDF5" w14:textId="63F5D335" w:rsidR="0022163C" w:rsidRPr="0053634D" w:rsidRDefault="0022163C" w:rsidP="0022163C">
            <w:pPr>
              <w:jc w:val="right"/>
              <w:rPr>
                <w:rFonts w:eastAsia="Times New Roman" w:cstheme="minorHAnsi"/>
                <w:sz w:val="19"/>
                <w:szCs w:val="19"/>
              </w:rPr>
            </w:pPr>
            <w:r>
              <w:rPr>
                <w:rFonts w:ascii="Calibri" w:hAnsi="Calibri" w:cs="Calibri"/>
              </w:rPr>
              <w:t>9,926</w:t>
            </w:r>
          </w:p>
        </w:tc>
        <w:tc>
          <w:tcPr>
            <w:tcW w:w="852" w:type="dxa"/>
            <w:tcBorders>
              <w:top w:val="single" w:sz="8" w:space="0" w:color="000000" w:themeColor="text1"/>
              <w:left w:val="nil"/>
              <w:bottom w:val="nil"/>
              <w:right w:val="nil"/>
            </w:tcBorders>
            <w:shd w:val="clear" w:color="000000" w:fill="D9D9D9"/>
            <w:noWrap/>
            <w:vAlign w:val="bottom"/>
          </w:tcPr>
          <w:p w14:paraId="6977EEB7" w14:textId="1B33B84E" w:rsidR="0022163C" w:rsidRPr="0053634D" w:rsidRDefault="0022163C" w:rsidP="0022163C">
            <w:pPr>
              <w:jc w:val="right"/>
              <w:rPr>
                <w:rFonts w:eastAsia="Times New Roman" w:cstheme="minorHAnsi"/>
                <w:sz w:val="19"/>
                <w:szCs w:val="19"/>
              </w:rPr>
            </w:pPr>
            <w:r>
              <w:rPr>
                <w:rFonts w:ascii="Calibri" w:hAnsi="Calibri" w:cs="Calibri"/>
              </w:rPr>
              <w:t>1.6%</w:t>
            </w:r>
          </w:p>
        </w:tc>
        <w:tc>
          <w:tcPr>
            <w:tcW w:w="752" w:type="dxa"/>
            <w:tcBorders>
              <w:top w:val="single" w:sz="8" w:space="0" w:color="000000" w:themeColor="text1"/>
              <w:left w:val="nil"/>
              <w:bottom w:val="nil"/>
              <w:right w:val="nil"/>
            </w:tcBorders>
            <w:shd w:val="clear" w:color="000000" w:fill="FFFFFF"/>
            <w:noWrap/>
            <w:vAlign w:val="bottom"/>
          </w:tcPr>
          <w:p w14:paraId="390DE3F5" w14:textId="590A73D2" w:rsidR="0022163C" w:rsidRPr="004E6649" w:rsidRDefault="0022163C" w:rsidP="0022163C">
            <w:pPr>
              <w:jc w:val="right"/>
              <w:rPr>
                <w:rFonts w:eastAsia="Times New Roman" w:cstheme="minorHAnsi"/>
                <w:sz w:val="19"/>
                <w:szCs w:val="19"/>
              </w:rPr>
            </w:pPr>
            <w:r>
              <w:rPr>
                <w:rFonts w:ascii="Calibri" w:hAnsi="Calibri" w:cs="Calibri"/>
              </w:rPr>
              <w:t>9,774</w:t>
            </w:r>
          </w:p>
        </w:tc>
        <w:tc>
          <w:tcPr>
            <w:tcW w:w="868" w:type="dxa"/>
            <w:tcBorders>
              <w:top w:val="single" w:sz="8" w:space="0" w:color="000000" w:themeColor="text1"/>
              <w:left w:val="nil"/>
              <w:bottom w:val="nil"/>
              <w:right w:val="nil"/>
            </w:tcBorders>
            <w:shd w:val="clear" w:color="000000" w:fill="D9D9D9"/>
            <w:noWrap/>
            <w:vAlign w:val="bottom"/>
          </w:tcPr>
          <w:p w14:paraId="64EF030C" w14:textId="09B9BAB1" w:rsidR="0022163C" w:rsidRPr="004E6649" w:rsidRDefault="0022163C" w:rsidP="0022163C">
            <w:pPr>
              <w:jc w:val="right"/>
              <w:rPr>
                <w:rFonts w:eastAsia="Times New Roman" w:cstheme="minorHAnsi"/>
                <w:sz w:val="19"/>
                <w:szCs w:val="19"/>
              </w:rPr>
            </w:pPr>
            <w:r>
              <w:rPr>
                <w:rFonts w:ascii="Calibri" w:hAnsi="Calibri" w:cs="Calibri"/>
              </w:rPr>
              <w:t>-0.1%</w:t>
            </w:r>
          </w:p>
        </w:tc>
      </w:tr>
      <w:tr w:rsidR="0022163C" w:rsidRPr="004E6649" w14:paraId="0CD7E282" w14:textId="77777777" w:rsidTr="005C0A2D">
        <w:trPr>
          <w:trHeight w:val="108"/>
          <w:jc w:val="center"/>
        </w:trPr>
        <w:tc>
          <w:tcPr>
            <w:tcW w:w="680" w:type="dxa"/>
            <w:tcBorders>
              <w:top w:val="nil"/>
              <w:left w:val="nil"/>
              <w:bottom w:val="nil"/>
              <w:right w:val="single" w:sz="8" w:space="0" w:color="000000" w:themeColor="text1"/>
            </w:tcBorders>
            <w:shd w:val="clear" w:color="000000" w:fill="FFFFFF"/>
            <w:noWrap/>
            <w:vAlign w:val="bottom"/>
          </w:tcPr>
          <w:p w14:paraId="0ED9B478" w14:textId="5949F763" w:rsidR="0022163C" w:rsidRPr="004E6649" w:rsidRDefault="0022163C" w:rsidP="0022163C">
            <w:pPr>
              <w:rPr>
                <w:rFonts w:eastAsia="Times New Roman" w:cstheme="minorHAnsi"/>
                <w:sz w:val="19"/>
                <w:szCs w:val="19"/>
              </w:rPr>
            </w:pPr>
            <w:r>
              <w:rPr>
                <w:rFonts w:ascii="Calibri" w:hAnsi="Calibri" w:cs="Calibri"/>
              </w:rPr>
              <w:t>UMA</w:t>
            </w:r>
          </w:p>
        </w:tc>
        <w:tc>
          <w:tcPr>
            <w:tcW w:w="940" w:type="dxa"/>
            <w:tcBorders>
              <w:top w:val="nil"/>
              <w:left w:val="single" w:sz="8" w:space="0" w:color="000000" w:themeColor="text1"/>
              <w:bottom w:val="nil"/>
              <w:right w:val="single" w:sz="4" w:space="0" w:color="00688D"/>
            </w:tcBorders>
            <w:shd w:val="clear" w:color="000000" w:fill="D9D9D9"/>
            <w:noWrap/>
            <w:vAlign w:val="bottom"/>
          </w:tcPr>
          <w:p w14:paraId="50ED15D7" w14:textId="40FF8838" w:rsidR="0022163C" w:rsidRPr="004E6649" w:rsidRDefault="0022163C" w:rsidP="0022163C">
            <w:pPr>
              <w:jc w:val="right"/>
              <w:rPr>
                <w:rFonts w:eastAsia="Times New Roman" w:cstheme="minorHAnsi"/>
                <w:b/>
                <w:bCs/>
                <w:sz w:val="19"/>
                <w:szCs w:val="19"/>
              </w:rPr>
            </w:pPr>
            <w:r>
              <w:rPr>
                <w:rFonts w:ascii="Calibri" w:hAnsi="Calibri" w:cs="Calibri"/>
                <w:b/>
                <w:bCs/>
                <w:i/>
                <w:iCs/>
              </w:rPr>
              <w:t>-2.9%</w:t>
            </w:r>
          </w:p>
        </w:tc>
        <w:tc>
          <w:tcPr>
            <w:tcW w:w="900" w:type="dxa"/>
            <w:tcBorders>
              <w:top w:val="nil"/>
              <w:left w:val="nil"/>
              <w:bottom w:val="nil"/>
              <w:right w:val="nil"/>
            </w:tcBorders>
            <w:shd w:val="clear" w:color="000000" w:fill="FFFFFF"/>
            <w:noWrap/>
            <w:vAlign w:val="bottom"/>
          </w:tcPr>
          <w:p w14:paraId="326BC66D" w14:textId="5A9104C7" w:rsidR="0022163C" w:rsidRPr="004E6649" w:rsidRDefault="0022163C" w:rsidP="0022163C">
            <w:pPr>
              <w:jc w:val="right"/>
              <w:rPr>
                <w:rFonts w:eastAsia="Times New Roman" w:cstheme="minorHAnsi"/>
                <w:b/>
                <w:bCs/>
                <w:sz w:val="19"/>
                <w:szCs w:val="19"/>
              </w:rPr>
            </w:pPr>
            <w:r>
              <w:rPr>
                <w:rFonts w:ascii="Calibri" w:hAnsi="Calibri" w:cs="Calibri"/>
                <w:b/>
                <w:bCs/>
              </w:rPr>
              <w:t>2,238</w:t>
            </w:r>
          </w:p>
        </w:tc>
        <w:tc>
          <w:tcPr>
            <w:tcW w:w="810" w:type="dxa"/>
            <w:tcBorders>
              <w:top w:val="nil"/>
              <w:left w:val="nil"/>
              <w:bottom w:val="nil"/>
              <w:right w:val="nil"/>
            </w:tcBorders>
            <w:shd w:val="clear" w:color="000000" w:fill="D9D9D9"/>
            <w:noWrap/>
            <w:vAlign w:val="bottom"/>
          </w:tcPr>
          <w:p w14:paraId="6BA81DF5" w14:textId="20A8F050" w:rsidR="0022163C" w:rsidRPr="004E6649" w:rsidRDefault="0022163C" w:rsidP="0022163C">
            <w:pPr>
              <w:jc w:val="right"/>
              <w:rPr>
                <w:rFonts w:eastAsia="Times New Roman" w:cstheme="minorHAnsi"/>
                <w:b/>
                <w:bCs/>
                <w:sz w:val="19"/>
                <w:szCs w:val="19"/>
              </w:rPr>
            </w:pPr>
            <w:r>
              <w:rPr>
                <w:rFonts w:ascii="Calibri" w:hAnsi="Calibri" w:cs="Calibri"/>
                <w:b/>
                <w:bCs/>
              </w:rPr>
              <w:t>1.1%</w:t>
            </w:r>
          </w:p>
        </w:tc>
        <w:tc>
          <w:tcPr>
            <w:tcW w:w="828" w:type="dxa"/>
            <w:tcBorders>
              <w:top w:val="nil"/>
              <w:left w:val="nil"/>
              <w:bottom w:val="nil"/>
              <w:right w:val="nil"/>
            </w:tcBorders>
            <w:shd w:val="clear" w:color="000000" w:fill="FFFFFF"/>
            <w:noWrap/>
            <w:vAlign w:val="bottom"/>
          </w:tcPr>
          <w:p w14:paraId="2B924275" w14:textId="51776934" w:rsidR="0022163C" w:rsidRPr="004E6649" w:rsidRDefault="0022163C" w:rsidP="0022163C">
            <w:pPr>
              <w:jc w:val="right"/>
              <w:rPr>
                <w:rFonts w:eastAsia="Times New Roman" w:cstheme="minorHAnsi"/>
                <w:b/>
                <w:bCs/>
                <w:sz w:val="19"/>
                <w:szCs w:val="19"/>
              </w:rPr>
            </w:pPr>
            <w:r>
              <w:rPr>
                <w:rFonts w:ascii="Calibri" w:hAnsi="Calibri" w:cs="Calibri"/>
                <w:b/>
                <w:bCs/>
              </w:rPr>
              <w:t>2,214</w:t>
            </w:r>
          </w:p>
        </w:tc>
        <w:tc>
          <w:tcPr>
            <w:tcW w:w="792" w:type="dxa"/>
            <w:tcBorders>
              <w:top w:val="nil"/>
              <w:left w:val="nil"/>
              <w:bottom w:val="nil"/>
              <w:right w:val="nil"/>
            </w:tcBorders>
            <w:shd w:val="clear" w:color="000000" w:fill="D9D9D9"/>
            <w:noWrap/>
            <w:vAlign w:val="bottom"/>
          </w:tcPr>
          <w:p w14:paraId="250C3F1F" w14:textId="6E2CBC22" w:rsidR="0022163C" w:rsidRPr="004E6649" w:rsidRDefault="0022163C" w:rsidP="0022163C">
            <w:pPr>
              <w:jc w:val="right"/>
              <w:rPr>
                <w:rFonts w:eastAsia="Times New Roman" w:cstheme="minorHAnsi"/>
                <w:b/>
                <w:bCs/>
                <w:sz w:val="19"/>
                <w:szCs w:val="19"/>
              </w:rPr>
            </w:pPr>
            <w:r>
              <w:rPr>
                <w:rFonts w:ascii="Calibri" w:hAnsi="Calibri" w:cs="Calibri"/>
                <w:b/>
                <w:bCs/>
              </w:rPr>
              <w:t>-2.6%</w:t>
            </w:r>
          </w:p>
        </w:tc>
        <w:tc>
          <w:tcPr>
            <w:tcW w:w="737" w:type="dxa"/>
            <w:tcBorders>
              <w:top w:val="nil"/>
              <w:left w:val="nil"/>
              <w:bottom w:val="nil"/>
              <w:right w:val="nil"/>
            </w:tcBorders>
            <w:shd w:val="clear" w:color="000000" w:fill="FFFFFF"/>
            <w:noWrap/>
            <w:vAlign w:val="bottom"/>
          </w:tcPr>
          <w:p w14:paraId="61DE6013" w14:textId="081E53B9" w:rsidR="0022163C" w:rsidRPr="0053634D" w:rsidRDefault="0022163C" w:rsidP="0022163C">
            <w:pPr>
              <w:jc w:val="right"/>
              <w:rPr>
                <w:rFonts w:eastAsia="Times New Roman" w:cstheme="minorHAnsi"/>
                <w:sz w:val="19"/>
                <w:szCs w:val="19"/>
              </w:rPr>
            </w:pPr>
            <w:r>
              <w:rPr>
                <w:rFonts w:ascii="Calibri" w:hAnsi="Calibri" w:cs="Calibri"/>
              </w:rPr>
              <w:t>2,272</w:t>
            </w:r>
          </w:p>
        </w:tc>
        <w:tc>
          <w:tcPr>
            <w:tcW w:w="793" w:type="dxa"/>
            <w:tcBorders>
              <w:top w:val="nil"/>
              <w:left w:val="nil"/>
              <w:bottom w:val="nil"/>
              <w:right w:val="nil"/>
            </w:tcBorders>
            <w:shd w:val="clear" w:color="000000" w:fill="D9D9D9"/>
            <w:noWrap/>
            <w:vAlign w:val="bottom"/>
          </w:tcPr>
          <w:p w14:paraId="2B18B49C" w14:textId="0F648BAC" w:rsidR="0022163C" w:rsidRPr="0053634D" w:rsidRDefault="0022163C" w:rsidP="0022163C">
            <w:pPr>
              <w:jc w:val="right"/>
              <w:rPr>
                <w:rFonts w:eastAsia="Times New Roman" w:cstheme="minorHAnsi"/>
                <w:sz w:val="19"/>
                <w:szCs w:val="19"/>
              </w:rPr>
            </w:pPr>
            <w:r>
              <w:rPr>
                <w:rFonts w:ascii="Calibri" w:hAnsi="Calibri" w:cs="Calibri"/>
              </w:rPr>
              <w:t>-3.6%</w:t>
            </w:r>
          </w:p>
        </w:tc>
        <w:tc>
          <w:tcPr>
            <w:tcW w:w="768" w:type="dxa"/>
            <w:tcBorders>
              <w:top w:val="nil"/>
              <w:left w:val="nil"/>
              <w:bottom w:val="nil"/>
              <w:right w:val="nil"/>
            </w:tcBorders>
            <w:shd w:val="clear" w:color="000000" w:fill="FFFFFF"/>
            <w:noWrap/>
            <w:vAlign w:val="bottom"/>
          </w:tcPr>
          <w:p w14:paraId="6DD59A3D" w14:textId="10AAE3BB" w:rsidR="0022163C" w:rsidRPr="0053634D" w:rsidRDefault="0022163C" w:rsidP="0022163C">
            <w:pPr>
              <w:jc w:val="right"/>
              <w:rPr>
                <w:rFonts w:eastAsia="Times New Roman" w:cstheme="minorHAnsi"/>
                <w:sz w:val="19"/>
                <w:szCs w:val="19"/>
              </w:rPr>
            </w:pPr>
            <w:r>
              <w:rPr>
                <w:rFonts w:ascii="Calibri" w:hAnsi="Calibri" w:cs="Calibri"/>
              </w:rPr>
              <w:t>2,358</w:t>
            </w:r>
          </w:p>
        </w:tc>
        <w:tc>
          <w:tcPr>
            <w:tcW w:w="852" w:type="dxa"/>
            <w:tcBorders>
              <w:top w:val="nil"/>
              <w:left w:val="nil"/>
              <w:bottom w:val="nil"/>
              <w:right w:val="nil"/>
            </w:tcBorders>
            <w:shd w:val="clear" w:color="000000" w:fill="D9D9D9"/>
            <w:noWrap/>
            <w:vAlign w:val="bottom"/>
          </w:tcPr>
          <w:p w14:paraId="368B00A2" w14:textId="7E6AB006" w:rsidR="0022163C" w:rsidRPr="0053634D" w:rsidRDefault="0022163C" w:rsidP="0022163C">
            <w:pPr>
              <w:jc w:val="right"/>
              <w:rPr>
                <w:rFonts w:eastAsia="Times New Roman" w:cstheme="minorHAnsi"/>
                <w:sz w:val="19"/>
                <w:szCs w:val="19"/>
              </w:rPr>
            </w:pPr>
            <w:r>
              <w:rPr>
                <w:rFonts w:ascii="Calibri" w:hAnsi="Calibri" w:cs="Calibri"/>
              </w:rPr>
              <w:t>2.3%</w:t>
            </w:r>
          </w:p>
        </w:tc>
        <w:tc>
          <w:tcPr>
            <w:tcW w:w="752" w:type="dxa"/>
            <w:tcBorders>
              <w:top w:val="nil"/>
              <w:left w:val="nil"/>
              <w:bottom w:val="nil"/>
              <w:right w:val="nil"/>
            </w:tcBorders>
            <w:shd w:val="clear" w:color="000000" w:fill="FFFFFF"/>
            <w:noWrap/>
            <w:vAlign w:val="bottom"/>
          </w:tcPr>
          <w:p w14:paraId="0DA4250A" w14:textId="1226E051" w:rsidR="0022163C" w:rsidRPr="004E6649" w:rsidRDefault="0022163C" w:rsidP="0022163C">
            <w:pPr>
              <w:jc w:val="right"/>
              <w:rPr>
                <w:rFonts w:eastAsia="Times New Roman" w:cstheme="minorHAnsi"/>
                <w:sz w:val="19"/>
                <w:szCs w:val="19"/>
              </w:rPr>
            </w:pPr>
            <w:r>
              <w:rPr>
                <w:rFonts w:ascii="Calibri" w:hAnsi="Calibri" w:cs="Calibri"/>
              </w:rPr>
              <w:t>2,304</w:t>
            </w:r>
          </w:p>
        </w:tc>
        <w:tc>
          <w:tcPr>
            <w:tcW w:w="868" w:type="dxa"/>
            <w:tcBorders>
              <w:top w:val="nil"/>
              <w:left w:val="nil"/>
              <w:bottom w:val="nil"/>
              <w:right w:val="nil"/>
            </w:tcBorders>
            <w:shd w:val="clear" w:color="000000" w:fill="D9D9D9"/>
            <w:noWrap/>
            <w:vAlign w:val="bottom"/>
          </w:tcPr>
          <w:p w14:paraId="6D2DB078" w14:textId="47485E52" w:rsidR="0022163C" w:rsidRPr="004E6649" w:rsidRDefault="0022163C" w:rsidP="0022163C">
            <w:pPr>
              <w:jc w:val="right"/>
              <w:rPr>
                <w:rFonts w:eastAsia="Times New Roman" w:cstheme="minorHAnsi"/>
                <w:sz w:val="19"/>
                <w:szCs w:val="19"/>
              </w:rPr>
            </w:pPr>
            <w:r>
              <w:rPr>
                <w:rFonts w:ascii="Calibri" w:hAnsi="Calibri" w:cs="Calibri"/>
              </w:rPr>
              <w:t>-1.3%</w:t>
            </w:r>
          </w:p>
        </w:tc>
      </w:tr>
      <w:tr w:rsidR="0022163C" w:rsidRPr="004E6649" w14:paraId="1E892DB4" w14:textId="77777777" w:rsidTr="005C0A2D">
        <w:trPr>
          <w:trHeight w:val="162"/>
          <w:jc w:val="center"/>
        </w:trPr>
        <w:tc>
          <w:tcPr>
            <w:tcW w:w="680" w:type="dxa"/>
            <w:tcBorders>
              <w:top w:val="nil"/>
              <w:left w:val="nil"/>
              <w:bottom w:val="nil"/>
              <w:right w:val="single" w:sz="8" w:space="0" w:color="000000" w:themeColor="text1"/>
            </w:tcBorders>
            <w:shd w:val="clear" w:color="000000" w:fill="FFFFFF"/>
            <w:noWrap/>
            <w:vAlign w:val="bottom"/>
          </w:tcPr>
          <w:p w14:paraId="511952E4" w14:textId="3F0EAB89" w:rsidR="0022163C" w:rsidRPr="004E6649" w:rsidRDefault="0022163C" w:rsidP="0022163C">
            <w:pPr>
              <w:rPr>
                <w:rFonts w:eastAsia="Times New Roman" w:cstheme="minorHAnsi"/>
                <w:sz w:val="19"/>
                <w:szCs w:val="19"/>
              </w:rPr>
            </w:pPr>
            <w:r>
              <w:rPr>
                <w:rFonts w:ascii="Calibri" w:hAnsi="Calibri" w:cs="Calibri"/>
              </w:rPr>
              <w:t>UMF</w:t>
            </w:r>
          </w:p>
        </w:tc>
        <w:tc>
          <w:tcPr>
            <w:tcW w:w="940" w:type="dxa"/>
            <w:tcBorders>
              <w:top w:val="nil"/>
              <w:left w:val="single" w:sz="8" w:space="0" w:color="000000" w:themeColor="text1"/>
              <w:bottom w:val="nil"/>
              <w:right w:val="single" w:sz="4" w:space="0" w:color="00688D"/>
            </w:tcBorders>
            <w:shd w:val="clear" w:color="000000" w:fill="D9D9D9"/>
            <w:noWrap/>
            <w:vAlign w:val="bottom"/>
          </w:tcPr>
          <w:p w14:paraId="538DE179" w14:textId="71DED32A" w:rsidR="0022163C" w:rsidRPr="004E6649" w:rsidRDefault="0022163C" w:rsidP="0022163C">
            <w:pPr>
              <w:jc w:val="right"/>
              <w:rPr>
                <w:rFonts w:eastAsia="Times New Roman" w:cstheme="minorHAnsi"/>
                <w:b/>
                <w:bCs/>
                <w:sz w:val="19"/>
                <w:szCs w:val="19"/>
              </w:rPr>
            </w:pPr>
            <w:r>
              <w:rPr>
                <w:rFonts w:ascii="Calibri" w:hAnsi="Calibri" w:cs="Calibri"/>
                <w:b/>
                <w:bCs/>
                <w:i/>
                <w:iCs/>
              </w:rPr>
              <w:t>-12.2%</w:t>
            </w:r>
          </w:p>
        </w:tc>
        <w:tc>
          <w:tcPr>
            <w:tcW w:w="900" w:type="dxa"/>
            <w:tcBorders>
              <w:top w:val="nil"/>
              <w:left w:val="nil"/>
              <w:bottom w:val="nil"/>
              <w:right w:val="nil"/>
            </w:tcBorders>
            <w:shd w:val="clear" w:color="000000" w:fill="FFFFFF"/>
            <w:noWrap/>
            <w:vAlign w:val="bottom"/>
          </w:tcPr>
          <w:p w14:paraId="050FC756" w14:textId="6B935D53" w:rsidR="0022163C" w:rsidRPr="004E6649" w:rsidRDefault="0022163C" w:rsidP="0022163C">
            <w:pPr>
              <w:jc w:val="right"/>
              <w:rPr>
                <w:rFonts w:eastAsia="Times New Roman" w:cstheme="minorHAnsi"/>
                <w:b/>
                <w:bCs/>
                <w:sz w:val="19"/>
                <w:szCs w:val="19"/>
              </w:rPr>
            </w:pPr>
            <w:r>
              <w:rPr>
                <w:rFonts w:ascii="Calibri" w:hAnsi="Calibri" w:cs="Calibri"/>
                <w:b/>
                <w:bCs/>
              </w:rPr>
              <w:t>1,321</w:t>
            </w:r>
          </w:p>
        </w:tc>
        <w:tc>
          <w:tcPr>
            <w:tcW w:w="810" w:type="dxa"/>
            <w:tcBorders>
              <w:top w:val="nil"/>
              <w:left w:val="nil"/>
              <w:bottom w:val="nil"/>
              <w:right w:val="nil"/>
            </w:tcBorders>
            <w:shd w:val="clear" w:color="000000" w:fill="D9D9D9"/>
            <w:noWrap/>
            <w:vAlign w:val="bottom"/>
          </w:tcPr>
          <w:p w14:paraId="495EE2B1" w14:textId="0938AD36" w:rsidR="0022163C" w:rsidRPr="004E6649" w:rsidRDefault="0022163C" w:rsidP="0022163C">
            <w:pPr>
              <w:jc w:val="right"/>
              <w:rPr>
                <w:rFonts w:eastAsia="Times New Roman" w:cstheme="minorHAnsi"/>
                <w:b/>
                <w:bCs/>
                <w:sz w:val="19"/>
                <w:szCs w:val="19"/>
              </w:rPr>
            </w:pPr>
            <w:r>
              <w:rPr>
                <w:rFonts w:ascii="Calibri" w:hAnsi="Calibri" w:cs="Calibri"/>
                <w:b/>
                <w:bCs/>
              </w:rPr>
              <w:t>3.5%</w:t>
            </w:r>
          </w:p>
        </w:tc>
        <w:tc>
          <w:tcPr>
            <w:tcW w:w="828" w:type="dxa"/>
            <w:tcBorders>
              <w:top w:val="nil"/>
              <w:left w:val="nil"/>
              <w:bottom w:val="nil"/>
              <w:right w:val="nil"/>
            </w:tcBorders>
            <w:shd w:val="clear" w:color="000000" w:fill="FFFFFF"/>
            <w:noWrap/>
            <w:vAlign w:val="bottom"/>
          </w:tcPr>
          <w:p w14:paraId="582B7FD5" w14:textId="0EA5C385" w:rsidR="0022163C" w:rsidRPr="004E6649" w:rsidRDefault="0022163C" w:rsidP="0022163C">
            <w:pPr>
              <w:jc w:val="right"/>
              <w:rPr>
                <w:rFonts w:eastAsia="Times New Roman" w:cstheme="minorHAnsi"/>
                <w:b/>
                <w:bCs/>
                <w:sz w:val="19"/>
                <w:szCs w:val="19"/>
              </w:rPr>
            </w:pPr>
            <w:r>
              <w:rPr>
                <w:rFonts w:ascii="Calibri" w:hAnsi="Calibri" w:cs="Calibri"/>
                <w:b/>
                <w:bCs/>
              </w:rPr>
              <w:t>1,276</w:t>
            </w:r>
          </w:p>
        </w:tc>
        <w:tc>
          <w:tcPr>
            <w:tcW w:w="792" w:type="dxa"/>
            <w:tcBorders>
              <w:top w:val="nil"/>
              <w:left w:val="nil"/>
              <w:bottom w:val="nil"/>
              <w:right w:val="nil"/>
            </w:tcBorders>
            <w:shd w:val="clear" w:color="000000" w:fill="D9D9D9"/>
            <w:noWrap/>
            <w:vAlign w:val="bottom"/>
          </w:tcPr>
          <w:p w14:paraId="17D3FEED" w14:textId="753DF68E" w:rsidR="0022163C" w:rsidRPr="004E6649" w:rsidRDefault="0022163C" w:rsidP="0022163C">
            <w:pPr>
              <w:jc w:val="right"/>
              <w:rPr>
                <w:rFonts w:eastAsia="Times New Roman" w:cstheme="minorHAnsi"/>
                <w:b/>
                <w:bCs/>
                <w:sz w:val="19"/>
                <w:szCs w:val="19"/>
              </w:rPr>
            </w:pPr>
            <w:r>
              <w:rPr>
                <w:rFonts w:ascii="Calibri" w:hAnsi="Calibri" w:cs="Calibri"/>
                <w:b/>
                <w:bCs/>
              </w:rPr>
              <w:t>-2.5%</w:t>
            </w:r>
          </w:p>
        </w:tc>
        <w:tc>
          <w:tcPr>
            <w:tcW w:w="737" w:type="dxa"/>
            <w:tcBorders>
              <w:top w:val="nil"/>
              <w:left w:val="nil"/>
              <w:bottom w:val="nil"/>
              <w:right w:val="nil"/>
            </w:tcBorders>
            <w:shd w:val="clear" w:color="000000" w:fill="FFFFFF"/>
            <w:noWrap/>
            <w:vAlign w:val="bottom"/>
          </w:tcPr>
          <w:p w14:paraId="3AE776D5" w14:textId="0F7ECFB4" w:rsidR="0022163C" w:rsidRPr="0053634D" w:rsidRDefault="0022163C" w:rsidP="0022163C">
            <w:pPr>
              <w:jc w:val="right"/>
              <w:rPr>
                <w:rFonts w:eastAsia="Times New Roman" w:cstheme="minorHAnsi"/>
                <w:sz w:val="19"/>
                <w:szCs w:val="19"/>
              </w:rPr>
            </w:pPr>
            <w:r>
              <w:rPr>
                <w:rFonts w:ascii="Calibri" w:hAnsi="Calibri" w:cs="Calibri"/>
              </w:rPr>
              <w:t>1,309</w:t>
            </w:r>
          </w:p>
        </w:tc>
        <w:tc>
          <w:tcPr>
            <w:tcW w:w="793" w:type="dxa"/>
            <w:tcBorders>
              <w:top w:val="nil"/>
              <w:left w:val="nil"/>
              <w:bottom w:val="nil"/>
              <w:right w:val="nil"/>
            </w:tcBorders>
            <w:shd w:val="clear" w:color="000000" w:fill="D9D9D9"/>
            <w:noWrap/>
            <w:vAlign w:val="bottom"/>
          </w:tcPr>
          <w:p w14:paraId="5CC68DB6" w14:textId="063C22D7" w:rsidR="0022163C" w:rsidRPr="0053634D" w:rsidRDefault="0022163C" w:rsidP="0022163C">
            <w:pPr>
              <w:jc w:val="right"/>
              <w:rPr>
                <w:rFonts w:eastAsia="Times New Roman" w:cstheme="minorHAnsi"/>
                <w:sz w:val="19"/>
                <w:szCs w:val="19"/>
              </w:rPr>
            </w:pPr>
            <w:r>
              <w:rPr>
                <w:rFonts w:ascii="Calibri" w:hAnsi="Calibri" w:cs="Calibri"/>
              </w:rPr>
              <w:t>-8.9%</w:t>
            </w:r>
          </w:p>
        </w:tc>
        <w:tc>
          <w:tcPr>
            <w:tcW w:w="768" w:type="dxa"/>
            <w:tcBorders>
              <w:top w:val="nil"/>
              <w:left w:val="nil"/>
              <w:bottom w:val="nil"/>
              <w:right w:val="nil"/>
            </w:tcBorders>
            <w:shd w:val="clear" w:color="000000" w:fill="FFFFFF"/>
            <w:noWrap/>
            <w:vAlign w:val="bottom"/>
          </w:tcPr>
          <w:p w14:paraId="48377222" w14:textId="2AB9F76D" w:rsidR="0022163C" w:rsidRPr="0053634D" w:rsidRDefault="0022163C" w:rsidP="0022163C">
            <w:pPr>
              <w:jc w:val="right"/>
              <w:rPr>
                <w:rFonts w:eastAsia="Times New Roman" w:cstheme="minorHAnsi"/>
                <w:sz w:val="19"/>
                <w:szCs w:val="19"/>
              </w:rPr>
            </w:pPr>
            <w:r>
              <w:rPr>
                <w:rFonts w:ascii="Calibri" w:hAnsi="Calibri" w:cs="Calibri"/>
              </w:rPr>
              <w:t>1,437</w:t>
            </w:r>
          </w:p>
        </w:tc>
        <w:tc>
          <w:tcPr>
            <w:tcW w:w="852" w:type="dxa"/>
            <w:tcBorders>
              <w:top w:val="nil"/>
              <w:left w:val="nil"/>
              <w:bottom w:val="nil"/>
              <w:right w:val="nil"/>
            </w:tcBorders>
            <w:shd w:val="clear" w:color="000000" w:fill="D9D9D9"/>
            <w:noWrap/>
            <w:vAlign w:val="bottom"/>
          </w:tcPr>
          <w:p w14:paraId="1222553A" w14:textId="72A0E464" w:rsidR="0022163C" w:rsidRPr="0053634D" w:rsidRDefault="0022163C" w:rsidP="0022163C">
            <w:pPr>
              <w:jc w:val="right"/>
              <w:rPr>
                <w:rFonts w:eastAsia="Times New Roman" w:cstheme="minorHAnsi"/>
                <w:sz w:val="19"/>
                <w:szCs w:val="19"/>
              </w:rPr>
            </w:pPr>
            <w:r>
              <w:rPr>
                <w:rFonts w:ascii="Calibri" w:hAnsi="Calibri" w:cs="Calibri"/>
              </w:rPr>
              <w:t>-4.5%</w:t>
            </w:r>
          </w:p>
        </w:tc>
        <w:tc>
          <w:tcPr>
            <w:tcW w:w="752" w:type="dxa"/>
            <w:tcBorders>
              <w:top w:val="nil"/>
              <w:left w:val="nil"/>
              <w:bottom w:val="nil"/>
              <w:right w:val="nil"/>
            </w:tcBorders>
            <w:shd w:val="clear" w:color="000000" w:fill="FFFFFF"/>
            <w:noWrap/>
            <w:vAlign w:val="bottom"/>
          </w:tcPr>
          <w:p w14:paraId="4A2C4180" w14:textId="214AB116" w:rsidR="0022163C" w:rsidRPr="004E6649" w:rsidRDefault="0022163C" w:rsidP="0022163C">
            <w:pPr>
              <w:jc w:val="right"/>
              <w:rPr>
                <w:rFonts w:eastAsia="Times New Roman" w:cstheme="minorHAnsi"/>
                <w:sz w:val="19"/>
                <w:szCs w:val="19"/>
              </w:rPr>
            </w:pPr>
            <w:r>
              <w:rPr>
                <w:rFonts w:ascii="Calibri" w:hAnsi="Calibri" w:cs="Calibri"/>
              </w:rPr>
              <w:t>1,505</w:t>
            </w:r>
          </w:p>
        </w:tc>
        <w:tc>
          <w:tcPr>
            <w:tcW w:w="868" w:type="dxa"/>
            <w:tcBorders>
              <w:top w:val="nil"/>
              <w:left w:val="nil"/>
              <w:bottom w:val="nil"/>
              <w:right w:val="nil"/>
            </w:tcBorders>
            <w:shd w:val="clear" w:color="000000" w:fill="D9D9D9"/>
            <w:noWrap/>
            <w:vAlign w:val="bottom"/>
          </w:tcPr>
          <w:p w14:paraId="1ED9A484" w14:textId="703BC158" w:rsidR="0022163C" w:rsidRPr="004E6649" w:rsidRDefault="0022163C" w:rsidP="0022163C">
            <w:pPr>
              <w:jc w:val="right"/>
              <w:rPr>
                <w:rFonts w:eastAsia="Times New Roman" w:cstheme="minorHAnsi"/>
                <w:sz w:val="19"/>
                <w:szCs w:val="19"/>
              </w:rPr>
            </w:pPr>
            <w:r>
              <w:rPr>
                <w:rFonts w:ascii="Calibri" w:hAnsi="Calibri" w:cs="Calibri"/>
              </w:rPr>
              <w:t>-4.7%</w:t>
            </w:r>
          </w:p>
        </w:tc>
      </w:tr>
      <w:tr w:rsidR="0022163C" w:rsidRPr="004E6649" w14:paraId="6B3997ED" w14:textId="77777777" w:rsidTr="005C0A2D">
        <w:trPr>
          <w:trHeight w:val="288"/>
          <w:jc w:val="center"/>
        </w:trPr>
        <w:tc>
          <w:tcPr>
            <w:tcW w:w="680" w:type="dxa"/>
            <w:tcBorders>
              <w:top w:val="nil"/>
              <w:left w:val="nil"/>
              <w:bottom w:val="nil"/>
              <w:right w:val="single" w:sz="8" w:space="0" w:color="000000" w:themeColor="text1"/>
            </w:tcBorders>
            <w:shd w:val="clear" w:color="000000" w:fill="FFFFFF"/>
            <w:noWrap/>
            <w:vAlign w:val="bottom"/>
          </w:tcPr>
          <w:p w14:paraId="0FAB0C63" w14:textId="02E46346" w:rsidR="0022163C" w:rsidRPr="004E6649" w:rsidRDefault="0022163C" w:rsidP="0022163C">
            <w:pPr>
              <w:rPr>
                <w:rFonts w:eastAsia="Times New Roman" w:cstheme="minorHAnsi"/>
                <w:sz w:val="19"/>
                <w:szCs w:val="19"/>
              </w:rPr>
            </w:pPr>
            <w:proofErr w:type="spellStart"/>
            <w:r>
              <w:rPr>
                <w:rFonts w:ascii="Calibri" w:hAnsi="Calibri" w:cs="Calibri"/>
              </w:rPr>
              <w:t>UMFK</w:t>
            </w:r>
            <w:proofErr w:type="spellEnd"/>
          </w:p>
        </w:tc>
        <w:tc>
          <w:tcPr>
            <w:tcW w:w="940" w:type="dxa"/>
            <w:tcBorders>
              <w:top w:val="nil"/>
              <w:left w:val="single" w:sz="8" w:space="0" w:color="000000" w:themeColor="text1"/>
              <w:bottom w:val="nil"/>
              <w:right w:val="single" w:sz="4" w:space="0" w:color="00688D"/>
            </w:tcBorders>
            <w:shd w:val="clear" w:color="000000" w:fill="D9D9D9"/>
            <w:noWrap/>
            <w:vAlign w:val="bottom"/>
          </w:tcPr>
          <w:p w14:paraId="3006FC12" w14:textId="34A995A5" w:rsidR="0022163C" w:rsidRPr="004E6649" w:rsidRDefault="0022163C" w:rsidP="0022163C">
            <w:pPr>
              <w:jc w:val="right"/>
              <w:rPr>
                <w:rFonts w:eastAsia="Times New Roman" w:cstheme="minorHAnsi"/>
                <w:b/>
                <w:bCs/>
                <w:sz w:val="19"/>
                <w:szCs w:val="19"/>
              </w:rPr>
            </w:pPr>
            <w:r>
              <w:rPr>
                <w:rFonts w:ascii="Calibri" w:hAnsi="Calibri" w:cs="Calibri"/>
                <w:b/>
                <w:bCs/>
                <w:i/>
                <w:iCs/>
              </w:rPr>
              <w:t>-14.7%</w:t>
            </w:r>
          </w:p>
        </w:tc>
        <w:tc>
          <w:tcPr>
            <w:tcW w:w="900" w:type="dxa"/>
            <w:tcBorders>
              <w:top w:val="nil"/>
              <w:left w:val="nil"/>
              <w:bottom w:val="nil"/>
              <w:right w:val="nil"/>
            </w:tcBorders>
            <w:shd w:val="clear" w:color="000000" w:fill="FFFFFF"/>
            <w:noWrap/>
            <w:vAlign w:val="bottom"/>
          </w:tcPr>
          <w:p w14:paraId="17010AAB" w14:textId="15AB66F3" w:rsidR="0022163C" w:rsidRPr="004E6649" w:rsidRDefault="0022163C" w:rsidP="0022163C">
            <w:pPr>
              <w:jc w:val="right"/>
              <w:rPr>
                <w:rFonts w:eastAsia="Times New Roman" w:cstheme="minorHAnsi"/>
                <w:b/>
                <w:bCs/>
                <w:sz w:val="19"/>
                <w:szCs w:val="19"/>
              </w:rPr>
            </w:pPr>
            <w:r>
              <w:rPr>
                <w:rFonts w:ascii="Calibri" w:hAnsi="Calibri" w:cs="Calibri"/>
                <w:b/>
                <w:bCs/>
              </w:rPr>
              <w:t>693</w:t>
            </w:r>
          </w:p>
        </w:tc>
        <w:tc>
          <w:tcPr>
            <w:tcW w:w="810" w:type="dxa"/>
            <w:tcBorders>
              <w:top w:val="nil"/>
              <w:left w:val="nil"/>
              <w:bottom w:val="nil"/>
              <w:right w:val="nil"/>
            </w:tcBorders>
            <w:shd w:val="clear" w:color="000000" w:fill="D9D9D9"/>
            <w:noWrap/>
            <w:vAlign w:val="bottom"/>
          </w:tcPr>
          <w:p w14:paraId="1E030A94" w14:textId="4A61A070" w:rsidR="0022163C" w:rsidRPr="004E6649" w:rsidRDefault="0022163C" w:rsidP="0022163C">
            <w:pPr>
              <w:jc w:val="right"/>
              <w:rPr>
                <w:rFonts w:eastAsia="Times New Roman" w:cstheme="minorHAnsi"/>
                <w:b/>
                <w:bCs/>
                <w:sz w:val="19"/>
                <w:szCs w:val="19"/>
              </w:rPr>
            </w:pPr>
            <w:r>
              <w:rPr>
                <w:rFonts w:ascii="Calibri" w:hAnsi="Calibri" w:cs="Calibri"/>
                <w:b/>
                <w:bCs/>
              </w:rPr>
              <w:t>10.2%</w:t>
            </w:r>
          </w:p>
        </w:tc>
        <w:tc>
          <w:tcPr>
            <w:tcW w:w="828" w:type="dxa"/>
            <w:tcBorders>
              <w:top w:val="nil"/>
              <w:left w:val="nil"/>
              <w:bottom w:val="nil"/>
              <w:right w:val="nil"/>
            </w:tcBorders>
            <w:shd w:val="clear" w:color="000000" w:fill="FFFFFF"/>
            <w:noWrap/>
            <w:vAlign w:val="bottom"/>
          </w:tcPr>
          <w:p w14:paraId="75B99C0A" w14:textId="3C2789A0" w:rsidR="0022163C" w:rsidRPr="004E6649" w:rsidRDefault="0022163C" w:rsidP="0022163C">
            <w:pPr>
              <w:jc w:val="right"/>
              <w:rPr>
                <w:rFonts w:eastAsia="Times New Roman" w:cstheme="minorHAnsi"/>
                <w:b/>
                <w:bCs/>
                <w:sz w:val="19"/>
                <w:szCs w:val="19"/>
              </w:rPr>
            </w:pPr>
            <w:r>
              <w:rPr>
                <w:rFonts w:ascii="Calibri" w:hAnsi="Calibri" w:cs="Calibri"/>
                <w:b/>
                <w:bCs/>
              </w:rPr>
              <w:t>629</w:t>
            </w:r>
          </w:p>
        </w:tc>
        <w:tc>
          <w:tcPr>
            <w:tcW w:w="792" w:type="dxa"/>
            <w:tcBorders>
              <w:top w:val="nil"/>
              <w:left w:val="nil"/>
              <w:bottom w:val="nil"/>
              <w:right w:val="nil"/>
            </w:tcBorders>
            <w:shd w:val="clear" w:color="000000" w:fill="D9D9D9"/>
            <w:noWrap/>
            <w:vAlign w:val="bottom"/>
          </w:tcPr>
          <w:p w14:paraId="6CA42863" w14:textId="7D45AFCA" w:rsidR="0022163C" w:rsidRPr="004E6649" w:rsidRDefault="0022163C" w:rsidP="0022163C">
            <w:pPr>
              <w:jc w:val="right"/>
              <w:rPr>
                <w:rFonts w:eastAsia="Times New Roman" w:cstheme="minorHAnsi"/>
                <w:b/>
                <w:bCs/>
                <w:sz w:val="19"/>
                <w:szCs w:val="19"/>
              </w:rPr>
            </w:pPr>
            <w:r>
              <w:rPr>
                <w:rFonts w:ascii="Calibri" w:hAnsi="Calibri" w:cs="Calibri"/>
                <w:b/>
                <w:bCs/>
              </w:rPr>
              <w:t>10.9%</w:t>
            </w:r>
          </w:p>
        </w:tc>
        <w:tc>
          <w:tcPr>
            <w:tcW w:w="737" w:type="dxa"/>
            <w:tcBorders>
              <w:top w:val="nil"/>
              <w:left w:val="nil"/>
              <w:bottom w:val="nil"/>
              <w:right w:val="nil"/>
            </w:tcBorders>
            <w:shd w:val="clear" w:color="000000" w:fill="FFFFFF"/>
            <w:noWrap/>
            <w:vAlign w:val="bottom"/>
          </w:tcPr>
          <w:p w14:paraId="70AE486F" w14:textId="65A5B999" w:rsidR="0022163C" w:rsidRPr="0053634D" w:rsidRDefault="0022163C" w:rsidP="0022163C">
            <w:pPr>
              <w:jc w:val="right"/>
              <w:rPr>
                <w:rFonts w:eastAsia="Times New Roman" w:cstheme="minorHAnsi"/>
                <w:sz w:val="19"/>
                <w:szCs w:val="19"/>
              </w:rPr>
            </w:pPr>
            <w:r>
              <w:rPr>
                <w:rFonts w:ascii="Calibri" w:hAnsi="Calibri" w:cs="Calibri"/>
              </w:rPr>
              <w:t>567</w:t>
            </w:r>
          </w:p>
        </w:tc>
        <w:tc>
          <w:tcPr>
            <w:tcW w:w="793" w:type="dxa"/>
            <w:tcBorders>
              <w:top w:val="nil"/>
              <w:left w:val="nil"/>
              <w:bottom w:val="nil"/>
              <w:right w:val="nil"/>
            </w:tcBorders>
            <w:shd w:val="clear" w:color="000000" w:fill="D9D9D9"/>
            <w:noWrap/>
            <w:vAlign w:val="bottom"/>
          </w:tcPr>
          <w:p w14:paraId="691DCEDF" w14:textId="00698520" w:rsidR="0022163C" w:rsidRPr="0053634D" w:rsidRDefault="0022163C" w:rsidP="0022163C">
            <w:pPr>
              <w:jc w:val="right"/>
              <w:rPr>
                <w:rFonts w:eastAsia="Times New Roman" w:cstheme="minorHAnsi"/>
                <w:sz w:val="19"/>
                <w:szCs w:val="19"/>
              </w:rPr>
            </w:pPr>
            <w:r>
              <w:rPr>
                <w:rFonts w:ascii="Calibri" w:hAnsi="Calibri" w:cs="Calibri"/>
              </w:rPr>
              <w:t>-21.0%</w:t>
            </w:r>
          </w:p>
        </w:tc>
        <w:tc>
          <w:tcPr>
            <w:tcW w:w="768" w:type="dxa"/>
            <w:tcBorders>
              <w:top w:val="nil"/>
              <w:left w:val="nil"/>
              <w:bottom w:val="nil"/>
              <w:right w:val="nil"/>
            </w:tcBorders>
            <w:shd w:val="clear" w:color="000000" w:fill="FFFFFF"/>
            <w:noWrap/>
            <w:vAlign w:val="bottom"/>
          </w:tcPr>
          <w:p w14:paraId="3796274A" w14:textId="0B7F78F0" w:rsidR="0022163C" w:rsidRPr="0053634D" w:rsidRDefault="0022163C" w:rsidP="0022163C">
            <w:pPr>
              <w:jc w:val="right"/>
              <w:rPr>
                <w:rFonts w:eastAsia="Times New Roman" w:cstheme="minorHAnsi"/>
                <w:sz w:val="19"/>
                <w:szCs w:val="19"/>
              </w:rPr>
            </w:pPr>
            <w:r>
              <w:rPr>
                <w:rFonts w:ascii="Calibri" w:hAnsi="Calibri" w:cs="Calibri"/>
              </w:rPr>
              <w:t>718</w:t>
            </w:r>
          </w:p>
        </w:tc>
        <w:tc>
          <w:tcPr>
            <w:tcW w:w="852" w:type="dxa"/>
            <w:tcBorders>
              <w:top w:val="nil"/>
              <w:left w:val="nil"/>
              <w:bottom w:val="nil"/>
              <w:right w:val="nil"/>
            </w:tcBorders>
            <w:shd w:val="clear" w:color="000000" w:fill="D9D9D9"/>
            <w:noWrap/>
            <w:vAlign w:val="bottom"/>
          </w:tcPr>
          <w:p w14:paraId="166E1967" w14:textId="0B374E70" w:rsidR="0022163C" w:rsidRPr="0053634D" w:rsidRDefault="0022163C" w:rsidP="0022163C">
            <w:pPr>
              <w:jc w:val="right"/>
              <w:rPr>
                <w:rFonts w:eastAsia="Times New Roman" w:cstheme="minorHAnsi"/>
                <w:sz w:val="19"/>
                <w:szCs w:val="19"/>
              </w:rPr>
            </w:pPr>
            <w:r>
              <w:rPr>
                <w:rFonts w:ascii="Calibri" w:hAnsi="Calibri" w:cs="Calibri"/>
              </w:rPr>
              <w:t>-11.6%</w:t>
            </w:r>
          </w:p>
        </w:tc>
        <w:tc>
          <w:tcPr>
            <w:tcW w:w="752" w:type="dxa"/>
            <w:tcBorders>
              <w:top w:val="nil"/>
              <w:left w:val="nil"/>
              <w:bottom w:val="nil"/>
              <w:right w:val="nil"/>
            </w:tcBorders>
            <w:shd w:val="clear" w:color="000000" w:fill="FFFFFF"/>
            <w:noWrap/>
            <w:vAlign w:val="bottom"/>
          </w:tcPr>
          <w:p w14:paraId="18D13DE4" w14:textId="313E56C3" w:rsidR="0022163C" w:rsidRPr="004E6649" w:rsidRDefault="0022163C" w:rsidP="0022163C">
            <w:pPr>
              <w:jc w:val="right"/>
              <w:rPr>
                <w:rFonts w:eastAsia="Times New Roman" w:cstheme="minorHAnsi"/>
                <w:sz w:val="19"/>
                <w:szCs w:val="19"/>
              </w:rPr>
            </w:pPr>
            <w:r>
              <w:rPr>
                <w:rFonts w:ascii="Calibri" w:hAnsi="Calibri" w:cs="Calibri"/>
              </w:rPr>
              <w:t>812</w:t>
            </w:r>
          </w:p>
        </w:tc>
        <w:tc>
          <w:tcPr>
            <w:tcW w:w="868" w:type="dxa"/>
            <w:tcBorders>
              <w:top w:val="nil"/>
              <w:left w:val="nil"/>
              <w:bottom w:val="nil"/>
              <w:right w:val="nil"/>
            </w:tcBorders>
            <w:shd w:val="clear" w:color="000000" w:fill="D9D9D9"/>
            <w:noWrap/>
            <w:vAlign w:val="bottom"/>
          </w:tcPr>
          <w:p w14:paraId="2E401385" w14:textId="62C1AE34" w:rsidR="0022163C" w:rsidRPr="004E6649" w:rsidRDefault="0022163C" w:rsidP="0022163C">
            <w:pPr>
              <w:jc w:val="right"/>
              <w:rPr>
                <w:rFonts w:eastAsia="Times New Roman" w:cstheme="minorHAnsi"/>
                <w:sz w:val="19"/>
                <w:szCs w:val="19"/>
              </w:rPr>
            </w:pPr>
            <w:r>
              <w:rPr>
                <w:rFonts w:ascii="Calibri" w:hAnsi="Calibri" w:cs="Calibri"/>
              </w:rPr>
              <w:t>-3.6%</w:t>
            </w:r>
          </w:p>
        </w:tc>
      </w:tr>
      <w:tr w:rsidR="0022163C" w:rsidRPr="004E6649" w14:paraId="4B5C8990" w14:textId="77777777" w:rsidTr="005C0A2D">
        <w:trPr>
          <w:trHeight w:val="288"/>
          <w:jc w:val="center"/>
        </w:trPr>
        <w:tc>
          <w:tcPr>
            <w:tcW w:w="680" w:type="dxa"/>
            <w:tcBorders>
              <w:top w:val="nil"/>
              <w:left w:val="nil"/>
              <w:bottom w:val="nil"/>
              <w:right w:val="single" w:sz="8" w:space="0" w:color="000000" w:themeColor="text1"/>
            </w:tcBorders>
            <w:shd w:val="clear" w:color="000000" w:fill="FFFFFF"/>
            <w:noWrap/>
            <w:vAlign w:val="bottom"/>
          </w:tcPr>
          <w:p w14:paraId="1B864B4C" w14:textId="60B73DEA" w:rsidR="0022163C" w:rsidRPr="004E6649" w:rsidRDefault="0022163C" w:rsidP="0022163C">
            <w:pPr>
              <w:rPr>
                <w:rFonts w:eastAsia="Times New Roman" w:cstheme="minorHAnsi"/>
                <w:sz w:val="19"/>
                <w:szCs w:val="19"/>
              </w:rPr>
            </w:pPr>
            <w:r>
              <w:rPr>
                <w:rFonts w:ascii="Calibri" w:hAnsi="Calibri" w:cs="Calibri"/>
              </w:rPr>
              <w:t>UMM</w:t>
            </w:r>
          </w:p>
        </w:tc>
        <w:tc>
          <w:tcPr>
            <w:tcW w:w="940" w:type="dxa"/>
            <w:tcBorders>
              <w:top w:val="nil"/>
              <w:left w:val="single" w:sz="8" w:space="0" w:color="000000" w:themeColor="text1"/>
              <w:bottom w:val="nil"/>
              <w:right w:val="single" w:sz="4" w:space="0" w:color="00688D"/>
            </w:tcBorders>
            <w:shd w:val="clear" w:color="000000" w:fill="D9D9D9"/>
            <w:noWrap/>
            <w:vAlign w:val="bottom"/>
          </w:tcPr>
          <w:p w14:paraId="0A03612E" w14:textId="4A230262" w:rsidR="0022163C" w:rsidRPr="004E6649" w:rsidRDefault="0022163C" w:rsidP="0022163C">
            <w:pPr>
              <w:jc w:val="right"/>
              <w:rPr>
                <w:rFonts w:eastAsia="Times New Roman" w:cstheme="minorHAnsi"/>
                <w:b/>
                <w:bCs/>
                <w:sz w:val="19"/>
                <w:szCs w:val="19"/>
              </w:rPr>
            </w:pPr>
            <w:r>
              <w:rPr>
                <w:rFonts w:ascii="Calibri" w:hAnsi="Calibri" w:cs="Calibri"/>
                <w:b/>
                <w:bCs/>
                <w:i/>
                <w:iCs/>
              </w:rPr>
              <w:t>-44.1%</w:t>
            </w:r>
          </w:p>
        </w:tc>
        <w:tc>
          <w:tcPr>
            <w:tcW w:w="900" w:type="dxa"/>
            <w:tcBorders>
              <w:top w:val="nil"/>
              <w:left w:val="nil"/>
              <w:bottom w:val="nil"/>
              <w:right w:val="nil"/>
            </w:tcBorders>
            <w:shd w:val="clear" w:color="000000" w:fill="FFFFFF"/>
            <w:noWrap/>
            <w:vAlign w:val="bottom"/>
          </w:tcPr>
          <w:p w14:paraId="3EB3C886" w14:textId="033A8AB3" w:rsidR="0022163C" w:rsidRPr="004E6649" w:rsidRDefault="0022163C" w:rsidP="0022163C">
            <w:pPr>
              <w:jc w:val="right"/>
              <w:rPr>
                <w:rFonts w:eastAsia="Times New Roman" w:cstheme="minorHAnsi"/>
                <w:b/>
                <w:bCs/>
                <w:sz w:val="19"/>
                <w:szCs w:val="19"/>
              </w:rPr>
            </w:pPr>
            <w:r>
              <w:rPr>
                <w:rFonts w:ascii="Calibri" w:hAnsi="Calibri" w:cs="Calibri"/>
                <w:b/>
                <w:bCs/>
              </w:rPr>
              <w:t>222</w:t>
            </w:r>
          </w:p>
        </w:tc>
        <w:tc>
          <w:tcPr>
            <w:tcW w:w="810" w:type="dxa"/>
            <w:tcBorders>
              <w:top w:val="nil"/>
              <w:left w:val="nil"/>
              <w:bottom w:val="nil"/>
              <w:right w:val="nil"/>
            </w:tcBorders>
            <w:shd w:val="clear" w:color="000000" w:fill="D9D9D9"/>
            <w:noWrap/>
            <w:vAlign w:val="bottom"/>
          </w:tcPr>
          <w:p w14:paraId="122099F8" w14:textId="10B37767" w:rsidR="0022163C" w:rsidRPr="004E6649" w:rsidRDefault="0022163C" w:rsidP="0022163C">
            <w:pPr>
              <w:jc w:val="right"/>
              <w:rPr>
                <w:rFonts w:eastAsia="Times New Roman" w:cstheme="minorHAnsi"/>
                <w:b/>
                <w:bCs/>
                <w:sz w:val="19"/>
                <w:szCs w:val="19"/>
              </w:rPr>
            </w:pPr>
            <w:r>
              <w:rPr>
                <w:rFonts w:ascii="Calibri" w:hAnsi="Calibri" w:cs="Calibri"/>
                <w:b/>
                <w:bCs/>
              </w:rPr>
              <w:t>-25.8%</w:t>
            </w:r>
          </w:p>
        </w:tc>
        <w:tc>
          <w:tcPr>
            <w:tcW w:w="828" w:type="dxa"/>
            <w:tcBorders>
              <w:top w:val="nil"/>
              <w:left w:val="nil"/>
              <w:bottom w:val="nil"/>
              <w:right w:val="nil"/>
            </w:tcBorders>
            <w:shd w:val="clear" w:color="000000" w:fill="FFFFFF"/>
            <w:noWrap/>
            <w:vAlign w:val="bottom"/>
          </w:tcPr>
          <w:p w14:paraId="07BF780B" w14:textId="011D17D1" w:rsidR="0022163C" w:rsidRPr="004E6649" w:rsidRDefault="0022163C" w:rsidP="0022163C">
            <w:pPr>
              <w:jc w:val="right"/>
              <w:rPr>
                <w:rFonts w:eastAsia="Times New Roman" w:cstheme="minorHAnsi"/>
                <w:b/>
                <w:bCs/>
                <w:sz w:val="19"/>
                <w:szCs w:val="19"/>
              </w:rPr>
            </w:pPr>
            <w:r>
              <w:rPr>
                <w:rFonts w:ascii="Calibri" w:hAnsi="Calibri" w:cs="Calibri"/>
                <w:b/>
                <w:bCs/>
              </w:rPr>
              <w:t>299</w:t>
            </w:r>
          </w:p>
        </w:tc>
        <w:tc>
          <w:tcPr>
            <w:tcW w:w="792" w:type="dxa"/>
            <w:tcBorders>
              <w:top w:val="nil"/>
              <w:left w:val="nil"/>
              <w:bottom w:val="nil"/>
              <w:right w:val="nil"/>
            </w:tcBorders>
            <w:shd w:val="clear" w:color="000000" w:fill="D9D9D9"/>
            <w:noWrap/>
            <w:vAlign w:val="bottom"/>
          </w:tcPr>
          <w:p w14:paraId="576CF345" w14:textId="028F46E5" w:rsidR="0022163C" w:rsidRPr="004E6649" w:rsidRDefault="0022163C" w:rsidP="0022163C">
            <w:pPr>
              <w:jc w:val="right"/>
              <w:rPr>
                <w:rFonts w:eastAsia="Times New Roman" w:cstheme="minorHAnsi"/>
                <w:b/>
                <w:bCs/>
                <w:sz w:val="19"/>
                <w:szCs w:val="19"/>
              </w:rPr>
            </w:pPr>
            <w:r>
              <w:rPr>
                <w:rFonts w:ascii="Calibri" w:hAnsi="Calibri" w:cs="Calibri"/>
                <w:b/>
                <w:bCs/>
              </w:rPr>
              <w:t>-16.7%</w:t>
            </w:r>
          </w:p>
        </w:tc>
        <w:tc>
          <w:tcPr>
            <w:tcW w:w="737" w:type="dxa"/>
            <w:tcBorders>
              <w:top w:val="nil"/>
              <w:left w:val="nil"/>
              <w:bottom w:val="nil"/>
              <w:right w:val="nil"/>
            </w:tcBorders>
            <w:shd w:val="clear" w:color="000000" w:fill="FFFFFF"/>
            <w:noWrap/>
            <w:vAlign w:val="bottom"/>
          </w:tcPr>
          <w:p w14:paraId="09BD7D87" w14:textId="52EC1D3B" w:rsidR="0022163C" w:rsidRPr="0053634D" w:rsidRDefault="0022163C" w:rsidP="0022163C">
            <w:pPr>
              <w:jc w:val="right"/>
              <w:rPr>
                <w:rFonts w:eastAsia="Times New Roman" w:cstheme="minorHAnsi"/>
                <w:sz w:val="19"/>
                <w:szCs w:val="19"/>
              </w:rPr>
            </w:pPr>
            <w:r>
              <w:rPr>
                <w:rFonts w:ascii="Calibri" w:hAnsi="Calibri" w:cs="Calibri"/>
              </w:rPr>
              <w:t>359</w:t>
            </w:r>
          </w:p>
        </w:tc>
        <w:tc>
          <w:tcPr>
            <w:tcW w:w="793" w:type="dxa"/>
            <w:tcBorders>
              <w:top w:val="nil"/>
              <w:left w:val="nil"/>
              <w:bottom w:val="nil"/>
              <w:right w:val="nil"/>
            </w:tcBorders>
            <w:shd w:val="clear" w:color="000000" w:fill="D9D9D9"/>
            <w:noWrap/>
            <w:vAlign w:val="bottom"/>
          </w:tcPr>
          <w:p w14:paraId="45856741" w14:textId="24C1E477" w:rsidR="0022163C" w:rsidRPr="0053634D" w:rsidRDefault="0022163C" w:rsidP="0022163C">
            <w:pPr>
              <w:jc w:val="right"/>
              <w:rPr>
                <w:rFonts w:eastAsia="Times New Roman" w:cstheme="minorHAnsi"/>
                <w:sz w:val="19"/>
                <w:szCs w:val="19"/>
              </w:rPr>
            </w:pPr>
            <w:r>
              <w:rPr>
                <w:rFonts w:ascii="Calibri" w:hAnsi="Calibri" w:cs="Calibri"/>
              </w:rPr>
              <w:t>-5.8%</w:t>
            </w:r>
          </w:p>
        </w:tc>
        <w:tc>
          <w:tcPr>
            <w:tcW w:w="768" w:type="dxa"/>
            <w:tcBorders>
              <w:top w:val="nil"/>
              <w:left w:val="nil"/>
              <w:bottom w:val="nil"/>
              <w:right w:val="nil"/>
            </w:tcBorders>
            <w:shd w:val="clear" w:color="000000" w:fill="FFFFFF"/>
            <w:noWrap/>
            <w:vAlign w:val="bottom"/>
          </w:tcPr>
          <w:p w14:paraId="29D6FFD5" w14:textId="0EC50154" w:rsidR="0022163C" w:rsidRPr="0053634D" w:rsidRDefault="0022163C" w:rsidP="0022163C">
            <w:pPr>
              <w:jc w:val="right"/>
              <w:rPr>
                <w:rFonts w:eastAsia="Times New Roman" w:cstheme="minorHAnsi"/>
                <w:sz w:val="19"/>
                <w:szCs w:val="19"/>
              </w:rPr>
            </w:pPr>
            <w:r>
              <w:rPr>
                <w:rFonts w:ascii="Calibri" w:hAnsi="Calibri" w:cs="Calibri"/>
              </w:rPr>
              <w:t>381</w:t>
            </w:r>
          </w:p>
        </w:tc>
        <w:tc>
          <w:tcPr>
            <w:tcW w:w="852" w:type="dxa"/>
            <w:tcBorders>
              <w:top w:val="nil"/>
              <w:left w:val="nil"/>
              <w:bottom w:val="nil"/>
              <w:right w:val="nil"/>
            </w:tcBorders>
            <w:shd w:val="clear" w:color="000000" w:fill="D9D9D9"/>
            <w:noWrap/>
            <w:vAlign w:val="bottom"/>
          </w:tcPr>
          <w:p w14:paraId="38215257" w14:textId="45FA5680" w:rsidR="0022163C" w:rsidRPr="0053634D" w:rsidRDefault="0022163C" w:rsidP="0022163C">
            <w:pPr>
              <w:jc w:val="right"/>
              <w:rPr>
                <w:rFonts w:eastAsia="Times New Roman" w:cstheme="minorHAnsi"/>
                <w:sz w:val="19"/>
                <w:szCs w:val="19"/>
              </w:rPr>
            </w:pPr>
            <w:r>
              <w:rPr>
                <w:rFonts w:ascii="Calibri" w:hAnsi="Calibri" w:cs="Calibri"/>
              </w:rPr>
              <w:t>-4.0%</w:t>
            </w:r>
          </w:p>
        </w:tc>
        <w:tc>
          <w:tcPr>
            <w:tcW w:w="752" w:type="dxa"/>
            <w:tcBorders>
              <w:top w:val="nil"/>
              <w:left w:val="nil"/>
              <w:bottom w:val="nil"/>
              <w:right w:val="nil"/>
            </w:tcBorders>
            <w:shd w:val="clear" w:color="000000" w:fill="FFFFFF"/>
            <w:noWrap/>
            <w:vAlign w:val="bottom"/>
          </w:tcPr>
          <w:p w14:paraId="7160A3C7" w14:textId="08CF571D" w:rsidR="0022163C" w:rsidRPr="004E6649" w:rsidRDefault="0022163C" w:rsidP="0022163C">
            <w:pPr>
              <w:jc w:val="right"/>
              <w:rPr>
                <w:rFonts w:eastAsia="Times New Roman" w:cstheme="minorHAnsi"/>
                <w:sz w:val="19"/>
                <w:szCs w:val="19"/>
              </w:rPr>
            </w:pPr>
            <w:r>
              <w:rPr>
                <w:rFonts w:ascii="Calibri" w:hAnsi="Calibri" w:cs="Calibri"/>
              </w:rPr>
              <w:t>397</w:t>
            </w:r>
          </w:p>
        </w:tc>
        <w:tc>
          <w:tcPr>
            <w:tcW w:w="868" w:type="dxa"/>
            <w:tcBorders>
              <w:top w:val="nil"/>
              <w:left w:val="nil"/>
              <w:bottom w:val="nil"/>
              <w:right w:val="nil"/>
            </w:tcBorders>
            <w:shd w:val="clear" w:color="000000" w:fill="D9D9D9"/>
            <w:noWrap/>
            <w:vAlign w:val="bottom"/>
          </w:tcPr>
          <w:p w14:paraId="2377F0C5" w14:textId="052D154B" w:rsidR="0022163C" w:rsidRPr="004E6649" w:rsidRDefault="0022163C" w:rsidP="0022163C">
            <w:pPr>
              <w:jc w:val="right"/>
              <w:rPr>
                <w:rFonts w:eastAsia="Times New Roman" w:cstheme="minorHAnsi"/>
                <w:sz w:val="19"/>
                <w:szCs w:val="19"/>
              </w:rPr>
            </w:pPr>
            <w:r>
              <w:rPr>
                <w:rFonts w:ascii="Calibri" w:hAnsi="Calibri" w:cs="Calibri"/>
              </w:rPr>
              <w:t>-1.5%</w:t>
            </w:r>
          </w:p>
        </w:tc>
      </w:tr>
      <w:tr w:rsidR="0022163C" w:rsidRPr="004E6649" w14:paraId="4EB31158" w14:textId="77777777" w:rsidTr="005C0A2D">
        <w:trPr>
          <w:trHeight w:val="288"/>
          <w:jc w:val="center"/>
        </w:trPr>
        <w:tc>
          <w:tcPr>
            <w:tcW w:w="680" w:type="dxa"/>
            <w:tcBorders>
              <w:top w:val="nil"/>
              <w:left w:val="nil"/>
              <w:bottom w:val="nil"/>
              <w:right w:val="single" w:sz="8" w:space="0" w:color="000000" w:themeColor="text1"/>
            </w:tcBorders>
            <w:shd w:val="clear" w:color="000000" w:fill="FFFFFF"/>
            <w:noWrap/>
            <w:vAlign w:val="bottom"/>
          </w:tcPr>
          <w:p w14:paraId="3816248B" w14:textId="10F07DFB" w:rsidR="0022163C" w:rsidRPr="004E6649" w:rsidRDefault="0022163C" w:rsidP="0022163C">
            <w:pPr>
              <w:rPr>
                <w:rFonts w:eastAsia="Times New Roman" w:cstheme="minorHAnsi"/>
                <w:sz w:val="19"/>
                <w:szCs w:val="19"/>
              </w:rPr>
            </w:pPr>
            <w:r>
              <w:rPr>
                <w:rFonts w:ascii="Calibri" w:hAnsi="Calibri" w:cs="Calibri"/>
              </w:rPr>
              <w:t>UMPI</w:t>
            </w:r>
          </w:p>
        </w:tc>
        <w:tc>
          <w:tcPr>
            <w:tcW w:w="940" w:type="dxa"/>
            <w:tcBorders>
              <w:top w:val="nil"/>
              <w:left w:val="single" w:sz="8" w:space="0" w:color="000000" w:themeColor="text1"/>
              <w:bottom w:val="nil"/>
              <w:right w:val="single" w:sz="4" w:space="0" w:color="00688D"/>
            </w:tcBorders>
            <w:shd w:val="clear" w:color="000000" w:fill="D9D9D9"/>
            <w:noWrap/>
            <w:vAlign w:val="bottom"/>
          </w:tcPr>
          <w:p w14:paraId="4484AA0F" w14:textId="204C2173" w:rsidR="0022163C" w:rsidRPr="004E6649" w:rsidRDefault="0022163C" w:rsidP="0022163C">
            <w:pPr>
              <w:jc w:val="right"/>
              <w:rPr>
                <w:rFonts w:eastAsia="Times New Roman" w:cstheme="minorHAnsi"/>
                <w:b/>
                <w:bCs/>
                <w:sz w:val="19"/>
                <w:szCs w:val="19"/>
              </w:rPr>
            </w:pPr>
            <w:r>
              <w:rPr>
                <w:rFonts w:ascii="Calibri" w:hAnsi="Calibri" w:cs="Calibri"/>
                <w:b/>
                <w:bCs/>
                <w:i/>
                <w:iCs/>
              </w:rPr>
              <w:t>108.9%</w:t>
            </w:r>
          </w:p>
        </w:tc>
        <w:tc>
          <w:tcPr>
            <w:tcW w:w="900" w:type="dxa"/>
            <w:tcBorders>
              <w:top w:val="nil"/>
              <w:left w:val="nil"/>
              <w:right w:val="nil"/>
            </w:tcBorders>
            <w:shd w:val="clear" w:color="000000" w:fill="FFFFFF"/>
            <w:noWrap/>
            <w:vAlign w:val="bottom"/>
          </w:tcPr>
          <w:p w14:paraId="307CD8D1" w14:textId="4E8A68A8" w:rsidR="0022163C" w:rsidRPr="004E6649" w:rsidRDefault="0022163C" w:rsidP="0022163C">
            <w:pPr>
              <w:jc w:val="right"/>
              <w:rPr>
                <w:rFonts w:eastAsia="Times New Roman" w:cstheme="minorHAnsi"/>
                <w:b/>
                <w:bCs/>
                <w:sz w:val="19"/>
                <w:szCs w:val="19"/>
              </w:rPr>
            </w:pPr>
            <w:r>
              <w:rPr>
                <w:rFonts w:ascii="Calibri" w:hAnsi="Calibri" w:cs="Calibri"/>
                <w:b/>
                <w:bCs/>
              </w:rPr>
              <w:t>1,972</w:t>
            </w:r>
          </w:p>
        </w:tc>
        <w:tc>
          <w:tcPr>
            <w:tcW w:w="810" w:type="dxa"/>
            <w:tcBorders>
              <w:top w:val="nil"/>
              <w:left w:val="nil"/>
              <w:right w:val="nil"/>
            </w:tcBorders>
            <w:shd w:val="clear" w:color="000000" w:fill="D9D9D9"/>
            <w:noWrap/>
            <w:vAlign w:val="bottom"/>
          </w:tcPr>
          <w:p w14:paraId="40969BD3" w14:textId="20679076" w:rsidR="0022163C" w:rsidRPr="004E6649" w:rsidRDefault="0022163C" w:rsidP="0022163C">
            <w:pPr>
              <w:jc w:val="right"/>
              <w:rPr>
                <w:rFonts w:eastAsia="Times New Roman" w:cstheme="minorHAnsi"/>
                <w:b/>
                <w:bCs/>
                <w:sz w:val="19"/>
                <w:szCs w:val="19"/>
              </w:rPr>
            </w:pPr>
            <w:r>
              <w:rPr>
                <w:rFonts w:ascii="Calibri" w:hAnsi="Calibri" w:cs="Calibri"/>
                <w:b/>
                <w:bCs/>
              </w:rPr>
              <w:t>44.8%</w:t>
            </w:r>
          </w:p>
        </w:tc>
        <w:tc>
          <w:tcPr>
            <w:tcW w:w="828" w:type="dxa"/>
            <w:tcBorders>
              <w:top w:val="nil"/>
              <w:left w:val="nil"/>
              <w:right w:val="nil"/>
            </w:tcBorders>
            <w:shd w:val="clear" w:color="000000" w:fill="FFFFFF"/>
            <w:noWrap/>
            <w:vAlign w:val="bottom"/>
          </w:tcPr>
          <w:p w14:paraId="6CE4B595" w14:textId="4C4A2CDF" w:rsidR="0022163C" w:rsidRPr="004E6649" w:rsidRDefault="0022163C" w:rsidP="0022163C">
            <w:pPr>
              <w:jc w:val="right"/>
              <w:rPr>
                <w:rFonts w:eastAsia="Times New Roman" w:cstheme="minorHAnsi"/>
                <w:b/>
                <w:bCs/>
                <w:sz w:val="19"/>
                <w:szCs w:val="19"/>
              </w:rPr>
            </w:pPr>
            <w:r>
              <w:rPr>
                <w:rFonts w:ascii="Calibri" w:hAnsi="Calibri" w:cs="Calibri"/>
                <w:b/>
                <w:bCs/>
              </w:rPr>
              <w:t>1,362</w:t>
            </w:r>
          </w:p>
        </w:tc>
        <w:tc>
          <w:tcPr>
            <w:tcW w:w="792" w:type="dxa"/>
            <w:tcBorders>
              <w:top w:val="nil"/>
              <w:left w:val="nil"/>
              <w:right w:val="nil"/>
            </w:tcBorders>
            <w:shd w:val="clear" w:color="000000" w:fill="D9D9D9"/>
            <w:noWrap/>
            <w:vAlign w:val="bottom"/>
          </w:tcPr>
          <w:p w14:paraId="1D16FD5B" w14:textId="740B4302" w:rsidR="0022163C" w:rsidRPr="004E6649" w:rsidRDefault="0022163C" w:rsidP="0022163C">
            <w:pPr>
              <w:jc w:val="right"/>
              <w:rPr>
                <w:rFonts w:eastAsia="Times New Roman" w:cstheme="minorHAnsi"/>
                <w:b/>
                <w:bCs/>
                <w:sz w:val="19"/>
                <w:szCs w:val="19"/>
              </w:rPr>
            </w:pPr>
            <w:r>
              <w:rPr>
                <w:rFonts w:ascii="Calibri" w:hAnsi="Calibri" w:cs="Calibri"/>
                <w:b/>
                <w:bCs/>
              </w:rPr>
              <w:t>23.9%</w:t>
            </w:r>
          </w:p>
        </w:tc>
        <w:tc>
          <w:tcPr>
            <w:tcW w:w="737" w:type="dxa"/>
            <w:tcBorders>
              <w:top w:val="nil"/>
              <w:left w:val="nil"/>
              <w:right w:val="nil"/>
            </w:tcBorders>
            <w:shd w:val="clear" w:color="000000" w:fill="FFFFFF"/>
            <w:noWrap/>
            <w:vAlign w:val="bottom"/>
          </w:tcPr>
          <w:p w14:paraId="16025903" w14:textId="65A09C9E" w:rsidR="0022163C" w:rsidRPr="0053634D" w:rsidRDefault="0022163C" w:rsidP="0022163C">
            <w:pPr>
              <w:jc w:val="right"/>
              <w:rPr>
                <w:rFonts w:eastAsia="Times New Roman" w:cstheme="minorHAnsi"/>
                <w:sz w:val="19"/>
                <w:szCs w:val="19"/>
              </w:rPr>
            </w:pPr>
            <w:r>
              <w:rPr>
                <w:rFonts w:ascii="Calibri" w:hAnsi="Calibri" w:cs="Calibri"/>
              </w:rPr>
              <w:t>1,099</w:t>
            </w:r>
          </w:p>
        </w:tc>
        <w:tc>
          <w:tcPr>
            <w:tcW w:w="793" w:type="dxa"/>
            <w:tcBorders>
              <w:top w:val="nil"/>
              <w:left w:val="nil"/>
              <w:right w:val="nil"/>
            </w:tcBorders>
            <w:shd w:val="clear" w:color="000000" w:fill="D9D9D9"/>
            <w:noWrap/>
            <w:vAlign w:val="bottom"/>
          </w:tcPr>
          <w:p w14:paraId="731D9078" w14:textId="0ED6A0C3" w:rsidR="0022163C" w:rsidRPr="0053634D" w:rsidRDefault="0022163C" w:rsidP="0022163C">
            <w:pPr>
              <w:jc w:val="right"/>
              <w:rPr>
                <w:rFonts w:eastAsia="Times New Roman" w:cstheme="minorHAnsi"/>
                <w:sz w:val="19"/>
                <w:szCs w:val="19"/>
              </w:rPr>
            </w:pPr>
            <w:r>
              <w:rPr>
                <w:rFonts w:ascii="Calibri" w:hAnsi="Calibri" w:cs="Calibri"/>
              </w:rPr>
              <w:t>5.9%</w:t>
            </w:r>
          </w:p>
        </w:tc>
        <w:tc>
          <w:tcPr>
            <w:tcW w:w="768" w:type="dxa"/>
            <w:tcBorders>
              <w:top w:val="nil"/>
              <w:left w:val="nil"/>
              <w:right w:val="nil"/>
            </w:tcBorders>
            <w:shd w:val="clear" w:color="000000" w:fill="FFFFFF"/>
            <w:noWrap/>
            <w:vAlign w:val="bottom"/>
          </w:tcPr>
          <w:p w14:paraId="503C3744" w14:textId="2A1D4F40" w:rsidR="0022163C" w:rsidRPr="0053634D" w:rsidRDefault="0022163C" w:rsidP="0022163C">
            <w:pPr>
              <w:jc w:val="right"/>
              <w:rPr>
                <w:rFonts w:eastAsia="Times New Roman" w:cstheme="minorHAnsi"/>
                <w:sz w:val="19"/>
                <w:szCs w:val="19"/>
              </w:rPr>
            </w:pPr>
            <w:r>
              <w:rPr>
                <w:rFonts w:ascii="Calibri" w:hAnsi="Calibri" w:cs="Calibri"/>
              </w:rPr>
              <w:t>1,038</w:t>
            </w:r>
          </w:p>
        </w:tc>
        <w:tc>
          <w:tcPr>
            <w:tcW w:w="852" w:type="dxa"/>
            <w:tcBorders>
              <w:top w:val="nil"/>
              <w:left w:val="nil"/>
              <w:right w:val="nil"/>
            </w:tcBorders>
            <w:shd w:val="clear" w:color="000000" w:fill="D9D9D9"/>
            <w:noWrap/>
            <w:vAlign w:val="bottom"/>
          </w:tcPr>
          <w:p w14:paraId="3121064B" w14:textId="457E022D" w:rsidR="0022163C" w:rsidRPr="0053634D" w:rsidRDefault="0022163C" w:rsidP="0022163C">
            <w:pPr>
              <w:jc w:val="right"/>
              <w:rPr>
                <w:rFonts w:eastAsia="Times New Roman" w:cstheme="minorHAnsi"/>
                <w:sz w:val="19"/>
                <w:szCs w:val="19"/>
              </w:rPr>
            </w:pPr>
            <w:r>
              <w:rPr>
                <w:rFonts w:ascii="Calibri" w:hAnsi="Calibri" w:cs="Calibri"/>
              </w:rPr>
              <w:t>10.0%</w:t>
            </w:r>
          </w:p>
        </w:tc>
        <w:tc>
          <w:tcPr>
            <w:tcW w:w="752" w:type="dxa"/>
            <w:tcBorders>
              <w:top w:val="nil"/>
              <w:left w:val="nil"/>
              <w:right w:val="nil"/>
            </w:tcBorders>
            <w:shd w:val="clear" w:color="000000" w:fill="FFFFFF"/>
            <w:noWrap/>
            <w:vAlign w:val="bottom"/>
          </w:tcPr>
          <w:p w14:paraId="5AFB35E0" w14:textId="3F58EB14" w:rsidR="0022163C" w:rsidRPr="004E6649" w:rsidRDefault="0022163C" w:rsidP="0022163C">
            <w:pPr>
              <w:jc w:val="right"/>
              <w:rPr>
                <w:rFonts w:eastAsia="Times New Roman" w:cstheme="minorHAnsi"/>
                <w:sz w:val="19"/>
                <w:szCs w:val="19"/>
              </w:rPr>
            </w:pPr>
            <w:r>
              <w:rPr>
                <w:rFonts w:ascii="Calibri" w:hAnsi="Calibri" w:cs="Calibri"/>
              </w:rPr>
              <w:t>944</w:t>
            </w:r>
          </w:p>
        </w:tc>
        <w:tc>
          <w:tcPr>
            <w:tcW w:w="868" w:type="dxa"/>
            <w:tcBorders>
              <w:top w:val="nil"/>
              <w:left w:val="nil"/>
              <w:bottom w:val="nil"/>
              <w:right w:val="nil"/>
            </w:tcBorders>
            <w:shd w:val="clear" w:color="000000" w:fill="D9D9D9"/>
            <w:noWrap/>
            <w:vAlign w:val="bottom"/>
          </w:tcPr>
          <w:p w14:paraId="724EA8EA" w14:textId="684C4C8F" w:rsidR="0022163C" w:rsidRPr="004E6649" w:rsidRDefault="0022163C" w:rsidP="0022163C">
            <w:pPr>
              <w:jc w:val="right"/>
              <w:rPr>
                <w:rFonts w:eastAsia="Times New Roman" w:cstheme="minorHAnsi"/>
                <w:sz w:val="19"/>
                <w:szCs w:val="19"/>
              </w:rPr>
            </w:pPr>
            <w:r>
              <w:rPr>
                <w:rFonts w:ascii="Calibri" w:hAnsi="Calibri" w:cs="Calibri"/>
              </w:rPr>
              <w:t>9.8%</w:t>
            </w:r>
          </w:p>
        </w:tc>
      </w:tr>
      <w:tr w:rsidR="0022163C" w:rsidRPr="004E6649" w14:paraId="0B000081" w14:textId="77777777" w:rsidTr="005C0A2D">
        <w:trPr>
          <w:trHeight w:val="288"/>
          <w:jc w:val="center"/>
        </w:trPr>
        <w:tc>
          <w:tcPr>
            <w:tcW w:w="680" w:type="dxa"/>
            <w:tcBorders>
              <w:top w:val="nil"/>
              <w:left w:val="nil"/>
              <w:bottom w:val="nil"/>
              <w:right w:val="single" w:sz="8" w:space="0" w:color="000000" w:themeColor="text1"/>
            </w:tcBorders>
            <w:shd w:val="clear" w:color="000000" w:fill="FFFFFF"/>
            <w:noWrap/>
            <w:vAlign w:val="bottom"/>
          </w:tcPr>
          <w:p w14:paraId="46AD2C05" w14:textId="62EEAB37" w:rsidR="0022163C" w:rsidRPr="004E6649" w:rsidRDefault="0022163C" w:rsidP="0022163C">
            <w:pPr>
              <w:rPr>
                <w:rFonts w:eastAsia="Times New Roman" w:cstheme="minorHAnsi"/>
                <w:sz w:val="19"/>
                <w:szCs w:val="19"/>
              </w:rPr>
            </w:pPr>
            <w:proofErr w:type="spellStart"/>
            <w:r>
              <w:rPr>
                <w:rFonts w:ascii="Calibri" w:hAnsi="Calibri" w:cs="Calibri"/>
              </w:rPr>
              <w:t>USM</w:t>
            </w:r>
            <w:proofErr w:type="spellEnd"/>
          </w:p>
        </w:tc>
        <w:tc>
          <w:tcPr>
            <w:tcW w:w="940" w:type="dxa"/>
            <w:tcBorders>
              <w:top w:val="nil"/>
              <w:left w:val="single" w:sz="8" w:space="0" w:color="000000" w:themeColor="text1"/>
              <w:bottom w:val="nil"/>
              <w:right w:val="single" w:sz="4" w:space="0" w:color="00688D"/>
            </w:tcBorders>
            <w:shd w:val="clear" w:color="000000" w:fill="D9D9D9"/>
            <w:noWrap/>
            <w:vAlign w:val="bottom"/>
          </w:tcPr>
          <w:p w14:paraId="7C7E877E" w14:textId="19A7A36A" w:rsidR="0022163C" w:rsidRPr="004E6649" w:rsidRDefault="0022163C" w:rsidP="0022163C">
            <w:pPr>
              <w:jc w:val="right"/>
              <w:rPr>
                <w:rFonts w:eastAsia="Times New Roman" w:cstheme="minorHAnsi"/>
                <w:b/>
                <w:bCs/>
                <w:sz w:val="19"/>
                <w:szCs w:val="19"/>
              </w:rPr>
            </w:pPr>
            <w:r>
              <w:rPr>
                <w:rFonts w:ascii="Calibri" w:hAnsi="Calibri" w:cs="Calibri"/>
                <w:b/>
                <w:bCs/>
                <w:i/>
                <w:iCs/>
              </w:rPr>
              <w:t>-7.3%</w:t>
            </w:r>
          </w:p>
        </w:tc>
        <w:tc>
          <w:tcPr>
            <w:tcW w:w="900" w:type="dxa"/>
            <w:tcBorders>
              <w:top w:val="nil"/>
              <w:left w:val="nil"/>
              <w:right w:val="nil"/>
            </w:tcBorders>
            <w:shd w:val="clear" w:color="000000" w:fill="FFFFFF"/>
            <w:noWrap/>
            <w:vAlign w:val="bottom"/>
          </w:tcPr>
          <w:p w14:paraId="1D20D826" w14:textId="7215F355" w:rsidR="0022163C" w:rsidRPr="004E6649" w:rsidRDefault="0022163C" w:rsidP="0022163C">
            <w:pPr>
              <w:jc w:val="right"/>
              <w:rPr>
                <w:rFonts w:eastAsia="Times New Roman" w:cstheme="minorHAnsi"/>
                <w:b/>
                <w:bCs/>
                <w:sz w:val="19"/>
                <w:szCs w:val="19"/>
              </w:rPr>
            </w:pPr>
            <w:r>
              <w:rPr>
                <w:rFonts w:ascii="Calibri" w:hAnsi="Calibri" w:cs="Calibri"/>
                <w:b/>
                <w:bCs/>
              </w:rPr>
              <w:t>5,220</w:t>
            </w:r>
          </w:p>
        </w:tc>
        <w:tc>
          <w:tcPr>
            <w:tcW w:w="810" w:type="dxa"/>
            <w:tcBorders>
              <w:top w:val="nil"/>
              <w:left w:val="nil"/>
              <w:right w:val="nil"/>
            </w:tcBorders>
            <w:shd w:val="clear" w:color="000000" w:fill="D9D9D9"/>
            <w:noWrap/>
            <w:vAlign w:val="bottom"/>
          </w:tcPr>
          <w:p w14:paraId="1010E886" w14:textId="5009F87D" w:rsidR="0022163C" w:rsidRPr="004E6649" w:rsidRDefault="0022163C" w:rsidP="0022163C">
            <w:pPr>
              <w:jc w:val="right"/>
              <w:rPr>
                <w:rFonts w:eastAsia="Times New Roman" w:cstheme="minorHAnsi"/>
                <w:b/>
                <w:bCs/>
                <w:sz w:val="19"/>
                <w:szCs w:val="19"/>
              </w:rPr>
            </w:pPr>
            <w:r>
              <w:rPr>
                <w:rFonts w:ascii="Calibri" w:hAnsi="Calibri" w:cs="Calibri"/>
                <w:b/>
                <w:bCs/>
              </w:rPr>
              <w:t>2.3%</w:t>
            </w:r>
          </w:p>
        </w:tc>
        <w:tc>
          <w:tcPr>
            <w:tcW w:w="828" w:type="dxa"/>
            <w:tcBorders>
              <w:top w:val="nil"/>
              <w:left w:val="nil"/>
              <w:right w:val="nil"/>
            </w:tcBorders>
            <w:shd w:val="clear" w:color="000000" w:fill="FFFFFF"/>
            <w:noWrap/>
            <w:vAlign w:val="bottom"/>
          </w:tcPr>
          <w:p w14:paraId="73B5116D" w14:textId="49B94A7F" w:rsidR="0022163C" w:rsidRPr="004E6649" w:rsidRDefault="0022163C" w:rsidP="0022163C">
            <w:pPr>
              <w:jc w:val="right"/>
              <w:rPr>
                <w:rFonts w:eastAsia="Times New Roman" w:cstheme="minorHAnsi"/>
                <w:b/>
                <w:bCs/>
                <w:sz w:val="19"/>
                <w:szCs w:val="19"/>
              </w:rPr>
            </w:pPr>
            <w:r>
              <w:rPr>
                <w:rFonts w:ascii="Calibri" w:hAnsi="Calibri" w:cs="Calibri"/>
                <w:b/>
                <w:bCs/>
              </w:rPr>
              <w:t>5,101</w:t>
            </w:r>
          </w:p>
        </w:tc>
        <w:tc>
          <w:tcPr>
            <w:tcW w:w="792" w:type="dxa"/>
            <w:tcBorders>
              <w:top w:val="nil"/>
              <w:left w:val="nil"/>
              <w:right w:val="nil"/>
            </w:tcBorders>
            <w:shd w:val="clear" w:color="000000" w:fill="D9D9D9"/>
            <w:noWrap/>
            <w:vAlign w:val="bottom"/>
          </w:tcPr>
          <w:p w14:paraId="046A7E02" w14:textId="3B296AFB" w:rsidR="0022163C" w:rsidRPr="004E6649" w:rsidRDefault="0022163C" w:rsidP="0022163C">
            <w:pPr>
              <w:jc w:val="right"/>
              <w:rPr>
                <w:rFonts w:eastAsia="Times New Roman" w:cstheme="minorHAnsi"/>
                <w:b/>
                <w:bCs/>
                <w:sz w:val="19"/>
                <w:szCs w:val="19"/>
              </w:rPr>
            </w:pPr>
            <w:r>
              <w:rPr>
                <w:rFonts w:ascii="Calibri" w:hAnsi="Calibri" w:cs="Calibri"/>
                <w:b/>
                <w:bCs/>
              </w:rPr>
              <w:t>-1.4%</w:t>
            </w:r>
          </w:p>
        </w:tc>
        <w:tc>
          <w:tcPr>
            <w:tcW w:w="737" w:type="dxa"/>
            <w:tcBorders>
              <w:top w:val="nil"/>
              <w:left w:val="nil"/>
              <w:right w:val="nil"/>
            </w:tcBorders>
            <w:shd w:val="clear" w:color="000000" w:fill="FFFFFF"/>
            <w:noWrap/>
            <w:vAlign w:val="bottom"/>
          </w:tcPr>
          <w:p w14:paraId="0470CC80" w14:textId="47C4F883" w:rsidR="0022163C" w:rsidRPr="0053634D" w:rsidRDefault="0022163C" w:rsidP="0022163C">
            <w:pPr>
              <w:jc w:val="right"/>
              <w:rPr>
                <w:rFonts w:eastAsia="Times New Roman" w:cstheme="minorHAnsi"/>
                <w:sz w:val="19"/>
                <w:szCs w:val="19"/>
              </w:rPr>
            </w:pPr>
            <w:r>
              <w:rPr>
                <w:rFonts w:ascii="Calibri" w:hAnsi="Calibri" w:cs="Calibri"/>
              </w:rPr>
              <w:t>5,174</w:t>
            </w:r>
          </w:p>
        </w:tc>
        <w:tc>
          <w:tcPr>
            <w:tcW w:w="793" w:type="dxa"/>
            <w:tcBorders>
              <w:top w:val="nil"/>
              <w:left w:val="nil"/>
              <w:right w:val="nil"/>
            </w:tcBorders>
            <w:shd w:val="clear" w:color="000000" w:fill="D9D9D9"/>
            <w:noWrap/>
            <w:vAlign w:val="bottom"/>
          </w:tcPr>
          <w:p w14:paraId="7661FFB2" w14:textId="11773000" w:rsidR="0022163C" w:rsidRPr="0053634D" w:rsidRDefault="0022163C" w:rsidP="0022163C">
            <w:pPr>
              <w:jc w:val="right"/>
              <w:rPr>
                <w:rFonts w:eastAsia="Times New Roman" w:cstheme="minorHAnsi"/>
                <w:sz w:val="19"/>
                <w:szCs w:val="19"/>
              </w:rPr>
            </w:pPr>
            <w:r>
              <w:rPr>
                <w:rFonts w:ascii="Calibri" w:hAnsi="Calibri" w:cs="Calibri"/>
              </w:rPr>
              <w:t>-4.7%</w:t>
            </w:r>
          </w:p>
        </w:tc>
        <w:tc>
          <w:tcPr>
            <w:tcW w:w="768" w:type="dxa"/>
            <w:tcBorders>
              <w:top w:val="nil"/>
              <w:left w:val="nil"/>
              <w:right w:val="nil"/>
            </w:tcBorders>
            <w:shd w:val="clear" w:color="000000" w:fill="FFFFFF"/>
            <w:noWrap/>
            <w:vAlign w:val="bottom"/>
          </w:tcPr>
          <w:p w14:paraId="289B4E85" w14:textId="25EAC9B5" w:rsidR="0022163C" w:rsidRPr="0053634D" w:rsidRDefault="0022163C" w:rsidP="0022163C">
            <w:pPr>
              <w:jc w:val="right"/>
              <w:rPr>
                <w:rFonts w:eastAsia="Times New Roman" w:cstheme="minorHAnsi"/>
                <w:sz w:val="19"/>
                <w:szCs w:val="19"/>
              </w:rPr>
            </w:pPr>
            <w:r>
              <w:rPr>
                <w:rFonts w:ascii="Calibri" w:hAnsi="Calibri" w:cs="Calibri"/>
              </w:rPr>
              <w:t>5,428</w:t>
            </w:r>
          </w:p>
        </w:tc>
        <w:tc>
          <w:tcPr>
            <w:tcW w:w="852" w:type="dxa"/>
            <w:tcBorders>
              <w:top w:val="nil"/>
              <w:left w:val="nil"/>
              <w:right w:val="nil"/>
            </w:tcBorders>
            <w:shd w:val="clear" w:color="000000" w:fill="D9D9D9"/>
            <w:noWrap/>
            <w:vAlign w:val="bottom"/>
          </w:tcPr>
          <w:p w14:paraId="69200BB9" w14:textId="15E70D10" w:rsidR="0022163C" w:rsidRPr="0053634D" w:rsidRDefault="0022163C" w:rsidP="0022163C">
            <w:pPr>
              <w:jc w:val="right"/>
              <w:rPr>
                <w:rFonts w:eastAsia="Times New Roman" w:cstheme="minorHAnsi"/>
                <w:sz w:val="19"/>
                <w:szCs w:val="19"/>
              </w:rPr>
            </w:pPr>
            <w:r>
              <w:rPr>
                <w:rFonts w:ascii="Calibri" w:hAnsi="Calibri" w:cs="Calibri"/>
              </w:rPr>
              <w:t>-3.6%</w:t>
            </w:r>
          </w:p>
        </w:tc>
        <w:tc>
          <w:tcPr>
            <w:tcW w:w="752" w:type="dxa"/>
            <w:tcBorders>
              <w:top w:val="nil"/>
              <w:left w:val="nil"/>
              <w:right w:val="nil"/>
            </w:tcBorders>
            <w:shd w:val="clear" w:color="000000" w:fill="FFFFFF"/>
            <w:noWrap/>
            <w:vAlign w:val="bottom"/>
          </w:tcPr>
          <w:p w14:paraId="0D6E9605" w14:textId="79128C8A" w:rsidR="0022163C" w:rsidRPr="004E6649" w:rsidRDefault="0022163C" w:rsidP="0022163C">
            <w:pPr>
              <w:jc w:val="right"/>
              <w:rPr>
                <w:rFonts w:eastAsia="Times New Roman" w:cstheme="minorHAnsi"/>
                <w:sz w:val="19"/>
                <w:szCs w:val="19"/>
              </w:rPr>
            </w:pPr>
            <w:r>
              <w:rPr>
                <w:rFonts w:ascii="Calibri" w:hAnsi="Calibri" w:cs="Calibri"/>
              </w:rPr>
              <w:t>5,633</w:t>
            </w:r>
          </w:p>
        </w:tc>
        <w:tc>
          <w:tcPr>
            <w:tcW w:w="868" w:type="dxa"/>
            <w:tcBorders>
              <w:top w:val="nil"/>
              <w:left w:val="nil"/>
              <w:bottom w:val="nil"/>
              <w:right w:val="nil"/>
            </w:tcBorders>
            <w:shd w:val="clear" w:color="000000" w:fill="D9D9D9"/>
            <w:noWrap/>
            <w:vAlign w:val="bottom"/>
          </w:tcPr>
          <w:p w14:paraId="667E012D" w14:textId="6C8B3D70" w:rsidR="0022163C" w:rsidRPr="004E6649" w:rsidRDefault="0022163C" w:rsidP="0022163C">
            <w:pPr>
              <w:jc w:val="right"/>
              <w:rPr>
                <w:rFonts w:eastAsia="Times New Roman" w:cstheme="minorHAnsi"/>
                <w:sz w:val="19"/>
                <w:szCs w:val="19"/>
              </w:rPr>
            </w:pPr>
            <w:r>
              <w:rPr>
                <w:rFonts w:ascii="Calibri" w:hAnsi="Calibri" w:cs="Calibri"/>
              </w:rPr>
              <w:t>-4.2%</w:t>
            </w:r>
          </w:p>
        </w:tc>
      </w:tr>
      <w:tr w:rsidR="0022163C" w:rsidRPr="004E6649" w14:paraId="2B39266C" w14:textId="77777777" w:rsidTr="005C0A2D">
        <w:trPr>
          <w:trHeight w:val="300"/>
          <w:jc w:val="center"/>
        </w:trPr>
        <w:tc>
          <w:tcPr>
            <w:tcW w:w="680" w:type="dxa"/>
            <w:tcBorders>
              <w:top w:val="nil"/>
              <w:left w:val="nil"/>
              <w:bottom w:val="nil"/>
              <w:right w:val="single" w:sz="8" w:space="0" w:color="000000" w:themeColor="text1"/>
            </w:tcBorders>
            <w:shd w:val="clear" w:color="000000" w:fill="FFFFFF"/>
            <w:noWrap/>
            <w:vAlign w:val="bottom"/>
          </w:tcPr>
          <w:p w14:paraId="1A201095" w14:textId="3E2830DC" w:rsidR="0022163C" w:rsidRPr="004E6649" w:rsidRDefault="0022163C" w:rsidP="0022163C">
            <w:pPr>
              <w:rPr>
                <w:rFonts w:eastAsia="Times New Roman" w:cstheme="minorHAnsi"/>
                <w:b/>
                <w:bCs/>
                <w:sz w:val="19"/>
                <w:szCs w:val="19"/>
              </w:rPr>
            </w:pPr>
            <w:r>
              <w:rPr>
                <w:rFonts w:ascii="Calibri" w:hAnsi="Calibri" w:cs="Calibri"/>
              </w:rPr>
              <w:t>Law</w:t>
            </w:r>
          </w:p>
        </w:tc>
        <w:tc>
          <w:tcPr>
            <w:tcW w:w="940" w:type="dxa"/>
            <w:tcBorders>
              <w:top w:val="nil"/>
              <w:left w:val="single" w:sz="8" w:space="0" w:color="000000" w:themeColor="text1"/>
              <w:bottom w:val="nil"/>
              <w:right w:val="single" w:sz="4" w:space="0" w:color="00688D"/>
            </w:tcBorders>
            <w:shd w:val="clear" w:color="000000" w:fill="D9D9D9"/>
            <w:noWrap/>
            <w:vAlign w:val="bottom"/>
          </w:tcPr>
          <w:p w14:paraId="5B28F50D" w14:textId="0FB4BC80" w:rsidR="0022163C" w:rsidRPr="004E6649" w:rsidRDefault="0022163C" w:rsidP="0022163C">
            <w:pPr>
              <w:jc w:val="right"/>
              <w:rPr>
                <w:rFonts w:eastAsia="Times New Roman" w:cstheme="minorHAnsi"/>
                <w:b/>
                <w:bCs/>
                <w:sz w:val="19"/>
                <w:szCs w:val="19"/>
              </w:rPr>
            </w:pPr>
            <w:r>
              <w:rPr>
                <w:rFonts w:ascii="Calibri" w:hAnsi="Calibri" w:cs="Calibri"/>
                <w:b/>
                <w:bCs/>
                <w:i/>
                <w:iCs/>
              </w:rPr>
              <w:t>10.2%</w:t>
            </w:r>
          </w:p>
        </w:tc>
        <w:tc>
          <w:tcPr>
            <w:tcW w:w="900" w:type="dxa"/>
            <w:tcBorders>
              <w:left w:val="nil"/>
              <w:bottom w:val="single" w:sz="8" w:space="0" w:color="auto"/>
              <w:right w:val="nil"/>
            </w:tcBorders>
            <w:shd w:val="clear" w:color="000000" w:fill="FFFFFF"/>
            <w:noWrap/>
            <w:vAlign w:val="bottom"/>
          </w:tcPr>
          <w:p w14:paraId="4D4DD428" w14:textId="6FDEA055" w:rsidR="0022163C" w:rsidRPr="004E6649" w:rsidRDefault="0022163C" w:rsidP="0022163C">
            <w:pPr>
              <w:jc w:val="right"/>
              <w:rPr>
                <w:rFonts w:eastAsia="Times New Roman" w:cstheme="minorHAnsi"/>
                <w:b/>
                <w:bCs/>
                <w:sz w:val="19"/>
                <w:szCs w:val="19"/>
              </w:rPr>
            </w:pPr>
            <w:r>
              <w:rPr>
                <w:rFonts w:ascii="Calibri" w:hAnsi="Calibri" w:cs="Calibri"/>
                <w:b/>
                <w:bCs/>
              </w:rPr>
              <w:t>269</w:t>
            </w:r>
          </w:p>
        </w:tc>
        <w:tc>
          <w:tcPr>
            <w:tcW w:w="810" w:type="dxa"/>
            <w:tcBorders>
              <w:left w:val="nil"/>
              <w:right w:val="nil"/>
            </w:tcBorders>
            <w:shd w:val="clear" w:color="000000" w:fill="D9D9D9"/>
            <w:noWrap/>
            <w:vAlign w:val="bottom"/>
          </w:tcPr>
          <w:p w14:paraId="3DD0D39B" w14:textId="71BD5C25" w:rsidR="0022163C" w:rsidRPr="004E6649" w:rsidRDefault="0022163C" w:rsidP="0022163C">
            <w:pPr>
              <w:jc w:val="right"/>
              <w:rPr>
                <w:rFonts w:eastAsia="Times New Roman" w:cstheme="minorHAnsi"/>
                <w:b/>
                <w:bCs/>
                <w:sz w:val="19"/>
                <w:szCs w:val="19"/>
              </w:rPr>
            </w:pPr>
            <w:r>
              <w:rPr>
                <w:rFonts w:ascii="Calibri" w:hAnsi="Calibri" w:cs="Calibri"/>
                <w:b/>
                <w:bCs/>
              </w:rPr>
              <w:t>5.1%</w:t>
            </w:r>
          </w:p>
        </w:tc>
        <w:tc>
          <w:tcPr>
            <w:tcW w:w="828" w:type="dxa"/>
            <w:tcBorders>
              <w:left w:val="nil"/>
              <w:bottom w:val="single" w:sz="4" w:space="0" w:color="auto"/>
              <w:right w:val="nil"/>
            </w:tcBorders>
            <w:shd w:val="clear" w:color="000000" w:fill="FFFFFF"/>
            <w:noWrap/>
            <w:vAlign w:val="bottom"/>
          </w:tcPr>
          <w:p w14:paraId="0F52A951" w14:textId="31EAF0D2" w:rsidR="0022163C" w:rsidRPr="004E6649" w:rsidRDefault="0022163C" w:rsidP="0022163C">
            <w:pPr>
              <w:jc w:val="right"/>
              <w:rPr>
                <w:rFonts w:eastAsia="Times New Roman" w:cstheme="minorHAnsi"/>
                <w:b/>
                <w:bCs/>
                <w:sz w:val="19"/>
                <w:szCs w:val="19"/>
              </w:rPr>
            </w:pPr>
            <w:r>
              <w:rPr>
                <w:rFonts w:ascii="Calibri" w:hAnsi="Calibri" w:cs="Calibri"/>
                <w:b/>
                <w:bCs/>
              </w:rPr>
              <w:t>256</w:t>
            </w:r>
          </w:p>
        </w:tc>
        <w:tc>
          <w:tcPr>
            <w:tcW w:w="792" w:type="dxa"/>
            <w:tcBorders>
              <w:left w:val="nil"/>
              <w:right w:val="nil"/>
            </w:tcBorders>
            <w:shd w:val="clear" w:color="000000" w:fill="D9D9D9"/>
            <w:noWrap/>
            <w:vAlign w:val="bottom"/>
          </w:tcPr>
          <w:p w14:paraId="71365141" w14:textId="2645E940" w:rsidR="0022163C" w:rsidRPr="004E6649" w:rsidRDefault="0022163C" w:rsidP="0022163C">
            <w:pPr>
              <w:jc w:val="right"/>
              <w:rPr>
                <w:rFonts w:eastAsia="Times New Roman" w:cstheme="minorHAnsi"/>
                <w:b/>
                <w:bCs/>
                <w:sz w:val="19"/>
                <w:szCs w:val="19"/>
              </w:rPr>
            </w:pPr>
            <w:r>
              <w:rPr>
                <w:rFonts w:ascii="Calibri" w:hAnsi="Calibri" w:cs="Calibri"/>
                <w:b/>
                <w:bCs/>
              </w:rPr>
              <w:t>2.4%</w:t>
            </w:r>
          </w:p>
        </w:tc>
        <w:tc>
          <w:tcPr>
            <w:tcW w:w="737" w:type="dxa"/>
            <w:tcBorders>
              <w:left w:val="nil"/>
              <w:bottom w:val="single" w:sz="4" w:space="0" w:color="auto"/>
              <w:right w:val="nil"/>
            </w:tcBorders>
            <w:shd w:val="clear" w:color="000000" w:fill="FFFFFF"/>
            <w:noWrap/>
            <w:vAlign w:val="bottom"/>
          </w:tcPr>
          <w:p w14:paraId="4BD819BB" w14:textId="0E3ED679" w:rsidR="0022163C" w:rsidRPr="0053634D" w:rsidRDefault="0022163C" w:rsidP="0022163C">
            <w:pPr>
              <w:jc w:val="right"/>
              <w:rPr>
                <w:rFonts w:eastAsia="Times New Roman" w:cstheme="minorHAnsi"/>
                <w:sz w:val="19"/>
                <w:szCs w:val="19"/>
              </w:rPr>
            </w:pPr>
            <w:r>
              <w:rPr>
                <w:rFonts w:ascii="Calibri" w:hAnsi="Calibri" w:cs="Calibri"/>
              </w:rPr>
              <w:t>250</w:t>
            </w:r>
          </w:p>
        </w:tc>
        <w:tc>
          <w:tcPr>
            <w:tcW w:w="793" w:type="dxa"/>
            <w:tcBorders>
              <w:left w:val="nil"/>
              <w:right w:val="nil"/>
            </w:tcBorders>
            <w:shd w:val="clear" w:color="000000" w:fill="D9D9D9"/>
            <w:noWrap/>
            <w:vAlign w:val="bottom"/>
          </w:tcPr>
          <w:p w14:paraId="3C600329" w14:textId="1445CCD9" w:rsidR="0022163C" w:rsidRPr="0053634D" w:rsidRDefault="0022163C" w:rsidP="0022163C">
            <w:pPr>
              <w:jc w:val="right"/>
              <w:rPr>
                <w:rFonts w:eastAsia="Times New Roman" w:cstheme="minorHAnsi"/>
                <w:sz w:val="19"/>
                <w:szCs w:val="19"/>
              </w:rPr>
            </w:pPr>
            <w:r>
              <w:rPr>
                <w:rFonts w:ascii="Calibri" w:hAnsi="Calibri" w:cs="Calibri"/>
              </w:rPr>
              <w:t>0.4%</w:t>
            </w:r>
          </w:p>
        </w:tc>
        <w:tc>
          <w:tcPr>
            <w:tcW w:w="768" w:type="dxa"/>
            <w:tcBorders>
              <w:left w:val="nil"/>
              <w:bottom w:val="single" w:sz="4" w:space="0" w:color="auto"/>
              <w:right w:val="nil"/>
            </w:tcBorders>
            <w:shd w:val="clear" w:color="000000" w:fill="FFFFFF"/>
            <w:noWrap/>
            <w:vAlign w:val="bottom"/>
          </w:tcPr>
          <w:p w14:paraId="4A6608C5" w14:textId="737BA355" w:rsidR="0022163C" w:rsidRPr="0053634D" w:rsidRDefault="0022163C" w:rsidP="0022163C">
            <w:pPr>
              <w:jc w:val="right"/>
              <w:rPr>
                <w:rFonts w:eastAsia="Times New Roman" w:cstheme="minorHAnsi"/>
                <w:sz w:val="19"/>
                <w:szCs w:val="19"/>
              </w:rPr>
            </w:pPr>
            <w:r>
              <w:rPr>
                <w:rFonts w:ascii="Calibri" w:hAnsi="Calibri" w:cs="Calibri"/>
              </w:rPr>
              <w:t>249</w:t>
            </w:r>
          </w:p>
        </w:tc>
        <w:tc>
          <w:tcPr>
            <w:tcW w:w="852" w:type="dxa"/>
            <w:tcBorders>
              <w:left w:val="nil"/>
              <w:right w:val="nil"/>
            </w:tcBorders>
            <w:shd w:val="clear" w:color="000000" w:fill="D9D9D9"/>
            <w:noWrap/>
            <w:vAlign w:val="bottom"/>
          </w:tcPr>
          <w:p w14:paraId="476B5558" w14:textId="131E5248" w:rsidR="0022163C" w:rsidRPr="0053634D" w:rsidRDefault="0022163C" w:rsidP="0022163C">
            <w:pPr>
              <w:jc w:val="right"/>
              <w:rPr>
                <w:rFonts w:eastAsia="Times New Roman" w:cstheme="minorHAnsi"/>
                <w:sz w:val="19"/>
                <w:szCs w:val="19"/>
              </w:rPr>
            </w:pPr>
            <w:r>
              <w:rPr>
                <w:rFonts w:ascii="Calibri" w:hAnsi="Calibri" w:cs="Calibri"/>
              </w:rPr>
              <w:t>2.0%</w:t>
            </w:r>
          </w:p>
        </w:tc>
        <w:tc>
          <w:tcPr>
            <w:tcW w:w="752" w:type="dxa"/>
            <w:tcBorders>
              <w:left w:val="nil"/>
              <w:bottom w:val="single" w:sz="4" w:space="0" w:color="auto"/>
              <w:right w:val="nil"/>
            </w:tcBorders>
            <w:shd w:val="clear" w:color="000000" w:fill="FFFFFF"/>
            <w:noWrap/>
            <w:vAlign w:val="bottom"/>
          </w:tcPr>
          <w:p w14:paraId="7BB5DA65" w14:textId="15DCF7A9" w:rsidR="0022163C" w:rsidRPr="004E6649" w:rsidRDefault="0022163C" w:rsidP="0022163C">
            <w:pPr>
              <w:jc w:val="right"/>
              <w:rPr>
                <w:rFonts w:eastAsia="Times New Roman" w:cstheme="minorHAnsi"/>
                <w:sz w:val="19"/>
                <w:szCs w:val="19"/>
              </w:rPr>
            </w:pPr>
            <w:r>
              <w:rPr>
                <w:rFonts w:ascii="Calibri" w:hAnsi="Calibri" w:cs="Calibri"/>
              </w:rPr>
              <w:t>244</w:t>
            </w:r>
          </w:p>
        </w:tc>
        <w:tc>
          <w:tcPr>
            <w:tcW w:w="868" w:type="dxa"/>
            <w:tcBorders>
              <w:top w:val="nil"/>
              <w:left w:val="nil"/>
              <w:bottom w:val="nil"/>
              <w:right w:val="nil"/>
            </w:tcBorders>
            <w:shd w:val="clear" w:color="000000" w:fill="D9D9D9"/>
            <w:noWrap/>
            <w:vAlign w:val="bottom"/>
          </w:tcPr>
          <w:p w14:paraId="0A885532" w14:textId="46FA591A" w:rsidR="0022163C" w:rsidRPr="004E6649" w:rsidRDefault="0022163C" w:rsidP="0022163C">
            <w:pPr>
              <w:jc w:val="right"/>
              <w:rPr>
                <w:rFonts w:eastAsia="Times New Roman" w:cstheme="minorHAnsi"/>
                <w:sz w:val="19"/>
                <w:szCs w:val="19"/>
              </w:rPr>
            </w:pPr>
            <w:r>
              <w:rPr>
                <w:rFonts w:ascii="Calibri" w:hAnsi="Calibri" w:cs="Calibri"/>
              </w:rPr>
              <w:t>0.0%</w:t>
            </w:r>
          </w:p>
        </w:tc>
      </w:tr>
      <w:tr w:rsidR="0022163C" w:rsidRPr="004E6649" w14:paraId="60076A79" w14:textId="77777777" w:rsidTr="005C0A2D">
        <w:trPr>
          <w:trHeight w:val="300"/>
          <w:jc w:val="center"/>
        </w:trPr>
        <w:tc>
          <w:tcPr>
            <w:tcW w:w="680" w:type="dxa"/>
            <w:tcBorders>
              <w:top w:val="nil"/>
              <w:left w:val="nil"/>
              <w:bottom w:val="nil"/>
              <w:right w:val="single" w:sz="8" w:space="0" w:color="000000" w:themeColor="text1"/>
            </w:tcBorders>
            <w:shd w:val="clear" w:color="000000" w:fill="FFFFFF"/>
            <w:noWrap/>
            <w:vAlign w:val="bottom"/>
          </w:tcPr>
          <w:p w14:paraId="34DC889D" w14:textId="68D6EC1D" w:rsidR="0022163C" w:rsidRPr="004E6649" w:rsidRDefault="0022163C" w:rsidP="0022163C">
            <w:pPr>
              <w:rPr>
                <w:rFonts w:cstheme="minorHAnsi"/>
              </w:rPr>
            </w:pPr>
            <w:r>
              <w:rPr>
                <w:rFonts w:ascii="Calibri" w:hAnsi="Calibri" w:cs="Calibri"/>
                <w:b/>
                <w:bCs/>
              </w:rPr>
              <w:t>Total</w:t>
            </w:r>
          </w:p>
        </w:tc>
        <w:tc>
          <w:tcPr>
            <w:tcW w:w="940" w:type="dxa"/>
            <w:tcBorders>
              <w:top w:val="nil"/>
              <w:left w:val="single" w:sz="8" w:space="0" w:color="000000" w:themeColor="text1"/>
              <w:bottom w:val="nil"/>
            </w:tcBorders>
            <w:shd w:val="clear" w:color="000000" w:fill="D9D9D9"/>
            <w:noWrap/>
            <w:vAlign w:val="bottom"/>
          </w:tcPr>
          <w:p w14:paraId="0B71BC11" w14:textId="4A29A3C1" w:rsidR="0022163C" w:rsidRPr="004E6649" w:rsidRDefault="0022163C" w:rsidP="0022163C">
            <w:pPr>
              <w:jc w:val="right"/>
              <w:rPr>
                <w:rFonts w:cstheme="minorHAnsi"/>
                <w:b/>
                <w:bCs/>
                <w:i/>
                <w:iCs/>
              </w:rPr>
            </w:pPr>
            <w:r>
              <w:rPr>
                <w:rFonts w:ascii="Calibri" w:hAnsi="Calibri" w:cs="Calibri"/>
                <w:b/>
                <w:bCs/>
                <w:i/>
                <w:iCs/>
              </w:rPr>
              <w:t>-2.0%</w:t>
            </w:r>
          </w:p>
        </w:tc>
        <w:tc>
          <w:tcPr>
            <w:tcW w:w="900" w:type="dxa"/>
            <w:tcBorders>
              <w:top w:val="single" w:sz="8" w:space="0" w:color="auto"/>
              <w:bottom w:val="double" w:sz="4" w:space="0" w:color="auto"/>
              <w:right w:val="nil"/>
            </w:tcBorders>
            <w:shd w:val="clear" w:color="000000" w:fill="FFFFFF"/>
            <w:noWrap/>
            <w:vAlign w:val="bottom"/>
          </w:tcPr>
          <w:p w14:paraId="2548812A" w14:textId="59C27901" w:rsidR="0022163C" w:rsidRPr="004E6649" w:rsidRDefault="0022163C" w:rsidP="0022163C">
            <w:pPr>
              <w:jc w:val="right"/>
              <w:rPr>
                <w:rFonts w:cstheme="minorHAnsi"/>
                <w:b/>
                <w:bCs/>
              </w:rPr>
            </w:pPr>
            <w:r>
              <w:rPr>
                <w:rFonts w:ascii="Calibri" w:hAnsi="Calibri" w:cs="Calibri"/>
                <w:b/>
                <w:bCs/>
              </w:rPr>
              <w:t>21,185</w:t>
            </w:r>
          </w:p>
        </w:tc>
        <w:tc>
          <w:tcPr>
            <w:tcW w:w="810" w:type="dxa"/>
            <w:tcBorders>
              <w:left w:val="nil"/>
              <w:bottom w:val="nil"/>
              <w:right w:val="nil"/>
            </w:tcBorders>
            <w:shd w:val="clear" w:color="000000" w:fill="D9D9D9"/>
            <w:noWrap/>
            <w:vAlign w:val="bottom"/>
          </w:tcPr>
          <w:p w14:paraId="698FE971" w14:textId="12A2300E" w:rsidR="0022163C" w:rsidRPr="00CF692D" w:rsidRDefault="0022163C" w:rsidP="0022163C">
            <w:pPr>
              <w:jc w:val="right"/>
              <w:rPr>
                <w:rFonts w:cstheme="minorHAnsi"/>
                <w:b/>
                <w:bCs/>
              </w:rPr>
            </w:pPr>
            <w:r w:rsidRPr="00CF692D">
              <w:rPr>
                <w:rFonts w:ascii="Calibri" w:hAnsi="Calibri" w:cs="Calibri"/>
                <w:b/>
                <w:bCs/>
              </w:rPr>
              <w:t>4.8%</w:t>
            </w:r>
          </w:p>
        </w:tc>
        <w:tc>
          <w:tcPr>
            <w:tcW w:w="828" w:type="dxa"/>
            <w:tcBorders>
              <w:top w:val="single" w:sz="4" w:space="0" w:color="auto"/>
              <w:left w:val="nil"/>
              <w:bottom w:val="double" w:sz="4" w:space="0" w:color="auto"/>
              <w:right w:val="nil"/>
            </w:tcBorders>
            <w:shd w:val="clear" w:color="000000" w:fill="FFFFFF"/>
            <w:noWrap/>
            <w:vAlign w:val="bottom"/>
          </w:tcPr>
          <w:p w14:paraId="50FB954D" w14:textId="41E05B28" w:rsidR="0022163C" w:rsidRPr="004E6649" w:rsidRDefault="0022163C" w:rsidP="0022163C">
            <w:pPr>
              <w:jc w:val="right"/>
              <w:rPr>
                <w:rFonts w:cstheme="minorHAnsi"/>
                <w:b/>
                <w:bCs/>
              </w:rPr>
            </w:pPr>
            <w:r>
              <w:rPr>
                <w:rFonts w:ascii="Calibri" w:hAnsi="Calibri" w:cs="Calibri"/>
                <w:b/>
                <w:bCs/>
              </w:rPr>
              <w:t>20,212</w:t>
            </w:r>
          </w:p>
        </w:tc>
        <w:tc>
          <w:tcPr>
            <w:tcW w:w="792" w:type="dxa"/>
            <w:tcBorders>
              <w:left w:val="nil"/>
              <w:bottom w:val="nil"/>
              <w:right w:val="nil"/>
            </w:tcBorders>
            <w:shd w:val="clear" w:color="000000" w:fill="D9D9D9"/>
            <w:noWrap/>
            <w:vAlign w:val="bottom"/>
          </w:tcPr>
          <w:p w14:paraId="5E9B9179" w14:textId="591E1C3E" w:rsidR="0022163C" w:rsidRPr="00B81858" w:rsidRDefault="0022163C" w:rsidP="0022163C">
            <w:pPr>
              <w:jc w:val="right"/>
              <w:rPr>
                <w:rFonts w:cstheme="minorHAnsi"/>
                <w:b/>
                <w:bCs/>
              </w:rPr>
            </w:pPr>
            <w:r w:rsidRPr="00CF692D">
              <w:rPr>
                <w:rFonts w:ascii="Calibri" w:hAnsi="Calibri" w:cs="Calibri"/>
                <w:b/>
                <w:bCs/>
              </w:rPr>
              <w:t>-1.1%</w:t>
            </w:r>
          </w:p>
        </w:tc>
        <w:tc>
          <w:tcPr>
            <w:tcW w:w="737" w:type="dxa"/>
            <w:tcBorders>
              <w:top w:val="single" w:sz="4" w:space="0" w:color="auto"/>
              <w:left w:val="nil"/>
              <w:bottom w:val="double" w:sz="4" w:space="0" w:color="auto"/>
              <w:right w:val="nil"/>
            </w:tcBorders>
            <w:shd w:val="clear" w:color="000000" w:fill="FFFFFF"/>
            <w:noWrap/>
            <w:vAlign w:val="bottom"/>
          </w:tcPr>
          <w:p w14:paraId="1128BB62" w14:textId="511BC2C5" w:rsidR="0022163C" w:rsidRPr="0053634D" w:rsidRDefault="0022163C" w:rsidP="0022163C">
            <w:pPr>
              <w:jc w:val="right"/>
              <w:rPr>
                <w:rFonts w:cstheme="minorHAnsi"/>
              </w:rPr>
            </w:pPr>
            <w:r>
              <w:rPr>
                <w:rFonts w:ascii="Calibri" w:hAnsi="Calibri" w:cs="Calibri"/>
              </w:rPr>
              <w:t>20,429</w:t>
            </w:r>
          </w:p>
        </w:tc>
        <w:tc>
          <w:tcPr>
            <w:tcW w:w="793" w:type="dxa"/>
            <w:tcBorders>
              <w:left w:val="nil"/>
              <w:bottom w:val="nil"/>
              <w:right w:val="nil"/>
            </w:tcBorders>
            <w:shd w:val="clear" w:color="000000" w:fill="D9D9D9"/>
            <w:noWrap/>
            <w:vAlign w:val="bottom"/>
          </w:tcPr>
          <w:p w14:paraId="62A94BB5" w14:textId="42024ADF" w:rsidR="0022163C" w:rsidRPr="00B81858" w:rsidRDefault="0022163C" w:rsidP="0022163C">
            <w:pPr>
              <w:jc w:val="right"/>
              <w:rPr>
                <w:rFonts w:cstheme="minorHAnsi"/>
              </w:rPr>
            </w:pPr>
            <w:r w:rsidRPr="00CF692D">
              <w:rPr>
                <w:rFonts w:ascii="Calibri" w:hAnsi="Calibri" w:cs="Calibri"/>
              </w:rPr>
              <w:t>-5.1%</w:t>
            </w:r>
          </w:p>
        </w:tc>
        <w:tc>
          <w:tcPr>
            <w:tcW w:w="768" w:type="dxa"/>
            <w:tcBorders>
              <w:top w:val="single" w:sz="4" w:space="0" w:color="auto"/>
              <w:left w:val="nil"/>
              <w:bottom w:val="double" w:sz="4" w:space="0" w:color="auto"/>
              <w:right w:val="nil"/>
            </w:tcBorders>
            <w:shd w:val="clear" w:color="000000" w:fill="FFFFFF"/>
            <w:noWrap/>
            <w:vAlign w:val="bottom"/>
          </w:tcPr>
          <w:p w14:paraId="13CA45EF" w14:textId="690A375D" w:rsidR="0022163C" w:rsidRPr="0053634D" w:rsidRDefault="0022163C" w:rsidP="0022163C">
            <w:pPr>
              <w:jc w:val="right"/>
              <w:rPr>
                <w:rFonts w:cstheme="minorHAnsi"/>
              </w:rPr>
            </w:pPr>
            <w:r>
              <w:rPr>
                <w:rFonts w:ascii="Calibri" w:hAnsi="Calibri" w:cs="Calibri"/>
              </w:rPr>
              <w:t>21,535</w:t>
            </w:r>
          </w:p>
        </w:tc>
        <w:tc>
          <w:tcPr>
            <w:tcW w:w="852" w:type="dxa"/>
            <w:tcBorders>
              <w:left w:val="nil"/>
              <w:bottom w:val="nil"/>
              <w:right w:val="nil"/>
            </w:tcBorders>
            <w:shd w:val="clear" w:color="000000" w:fill="D9D9D9"/>
            <w:noWrap/>
            <w:vAlign w:val="bottom"/>
          </w:tcPr>
          <w:p w14:paraId="51E999DF" w14:textId="739CBFA5" w:rsidR="0022163C" w:rsidRPr="0053634D" w:rsidRDefault="0022163C" w:rsidP="0022163C">
            <w:pPr>
              <w:jc w:val="right"/>
              <w:rPr>
                <w:rFonts w:cstheme="minorHAnsi"/>
              </w:rPr>
            </w:pPr>
            <w:r>
              <w:rPr>
                <w:rFonts w:ascii="Calibri" w:hAnsi="Calibri" w:cs="Calibri"/>
              </w:rPr>
              <w:t>-0.4%</w:t>
            </w:r>
          </w:p>
        </w:tc>
        <w:tc>
          <w:tcPr>
            <w:tcW w:w="752" w:type="dxa"/>
            <w:tcBorders>
              <w:top w:val="single" w:sz="4" w:space="0" w:color="auto"/>
              <w:left w:val="nil"/>
              <w:bottom w:val="double" w:sz="4" w:space="0" w:color="auto"/>
              <w:right w:val="nil"/>
            </w:tcBorders>
            <w:shd w:val="clear" w:color="000000" w:fill="FFFFFF"/>
            <w:noWrap/>
            <w:vAlign w:val="bottom"/>
          </w:tcPr>
          <w:p w14:paraId="09C0D4C2" w14:textId="595896A3" w:rsidR="0022163C" w:rsidRPr="004E6649" w:rsidRDefault="0022163C" w:rsidP="0022163C">
            <w:pPr>
              <w:jc w:val="right"/>
              <w:rPr>
                <w:rFonts w:cstheme="minorHAnsi"/>
              </w:rPr>
            </w:pPr>
            <w:r>
              <w:rPr>
                <w:rFonts w:ascii="Calibri" w:hAnsi="Calibri" w:cs="Calibri"/>
              </w:rPr>
              <w:t>21,613</w:t>
            </w:r>
          </w:p>
        </w:tc>
        <w:tc>
          <w:tcPr>
            <w:tcW w:w="868" w:type="dxa"/>
            <w:tcBorders>
              <w:top w:val="nil"/>
              <w:left w:val="nil"/>
              <w:bottom w:val="nil"/>
              <w:right w:val="nil"/>
            </w:tcBorders>
            <w:shd w:val="clear" w:color="000000" w:fill="D9D9D9"/>
            <w:noWrap/>
            <w:vAlign w:val="bottom"/>
          </w:tcPr>
          <w:p w14:paraId="45AEDAA9" w14:textId="4947801F" w:rsidR="0022163C" w:rsidRPr="004E6649" w:rsidRDefault="0022163C" w:rsidP="0022163C">
            <w:pPr>
              <w:jc w:val="right"/>
              <w:rPr>
                <w:rFonts w:cstheme="minorHAnsi"/>
              </w:rPr>
            </w:pPr>
            <w:r>
              <w:rPr>
                <w:rFonts w:ascii="Calibri" w:hAnsi="Calibri" w:cs="Calibri"/>
              </w:rPr>
              <w:t>-1.4%</w:t>
            </w:r>
          </w:p>
        </w:tc>
      </w:tr>
    </w:tbl>
    <w:p w14:paraId="4A83CD1C" w14:textId="77777777" w:rsidR="00A83362" w:rsidRPr="004E6649" w:rsidRDefault="00A83362" w:rsidP="00A83362">
      <w:pPr>
        <w:tabs>
          <w:tab w:val="left" w:pos="4860"/>
          <w:tab w:val="left" w:pos="8280"/>
        </w:tabs>
        <w:jc w:val="center"/>
        <w:rPr>
          <w:rFonts w:eastAsia="Times New Roman" w:cstheme="minorHAnsi"/>
          <w:bCs/>
          <w:smallCaps/>
          <w:sz w:val="2"/>
        </w:rPr>
      </w:pPr>
      <w:r w:rsidRPr="004E6649">
        <w:rPr>
          <w:rFonts w:eastAsia="Times New Roman" w:cstheme="minorHAnsi"/>
          <w:b/>
          <w:bCs/>
          <w:smallCaps/>
          <w:u w:val="single"/>
        </w:rPr>
        <w:fldChar w:fldCharType="end"/>
      </w:r>
    </w:p>
    <w:p w14:paraId="38B96E56" w14:textId="77777777" w:rsidR="00A83362" w:rsidRPr="004E6649" w:rsidRDefault="00A83362" w:rsidP="00A83362">
      <w:pPr>
        <w:pStyle w:val="ReportHeading3"/>
        <w:spacing w:before="240"/>
        <w:rPr>
          <w:rFonts w:cstheme="minorHAnsi"/>
          <w:sz w:val="24"/>
          <w:szCs w:val="20"/>
        </w:rPr>
      </w:pPr>
      <w:r w:rsidRPr="004E6649">
        <w:rPr>
          <w:rFonts w:cstheme="minorHAnsi"/>
          <w:sz w:val="24"/>
          <w:szCs w:val="20"/>
        </w:rPr>
        <w:t>Student Comprehensive Cost of Education</w:t>
      </w:r>
    </w:p>
    <w:p w14:paraId="3CCA9C01" w14:textId="6519A1F5" w:rsidR="00A83362" w:rsidRPr="004E6649" w:rsidRDefault="00CA0A26" w:rsidP="00A83362">
      <w:pPr>
        <w:tabs>
          <w:tab w:val="left" w:pos="4860"/>
        </w:tabs>
        <w:rPr>
          <w:rFonts w:eastAsia="Times New Roman" w:cstheme="minorHAnsi"/>
          <w:sz w:val="24"/>
          <w:szCs w:val="24"/>
        </w:rPr>
      </w:pPr>
      <w:r>
        <w:rPr>
          <w:rFonts w:eastAsia="Times New Roman" w:cstheme="minorHAnsi"/>
          <w:sz w:val="24"/>
          <w:szCs w:val="24"/>
        </w:rPr>
        <w:t>Net</w:t>
      </w:r>
      <w:r w:rsidR="00A83362" w:rsidRPr="004E6649">
        <w:rPr>
          <w:rFonts w:eastAsia="Times New Roman" w:cstheme="minorHAnsi"/>
          <w:sz w:val="24"/>
          <w:szCs w:val="24"/>
        </w:rPr>
        <w:t xml:space="preserve"> student fee</w:t>
      </w:r>
      <w:r>
        <w:rPr>
          <w:rFonts w:eastAsia="Times New Roman" w:cstheme="minorHAnsi"/>
          <w:sz w:val="24"/>
          <w:szCs w:val="24"/>
        </w:rPr>
        <w:t>s</w:t>
      </w:r>
      <w:r w:rsidR="00A83362" w:rsidRPr="004E6649">
        <w:rPr>
          <w:rFonts w:eastAsia="Times New Roman" w:cstheme="minorHAnsi"/>
          <w:sz w:val="24"/>
          <w:szCs w:val="24"/>
        </w:rPr>
        <w:t xml:space="preserve"> revenue</w:t>
      </w:r>
      <w:r w:rsidR="0010657A">
        <w:rPr>
          <w:rFonts w:eastAsia="Times New Roman" w:cstheme="minorHAnsi"/>
          <w:sz w:val="24"/>
          <w:szCs w:val="24"/>
        </w:rPr>
        <w:t xml:space="preserve"> </w:t>
      </w:r>
      <w:r>
        <w:rPr>
          <w:rFonts w:eastAsia="Times New Roman" w:cstheme="minorHAnsi"/>
          <w:sz w:val="24"/>
          <w:szCs w:val="24"/>
        </w:rPr>
        <w:t>totaled $262 million in FY25, represent</w:t>
      </w:r>
      <w:r w:rsidR="0010657A">
        <w:rPr>
          <w:rFonts w:eastAsia="Times New Roman" w:cstheme="minorHAnsi"/>
          <w:sz w:val="24"/>
          <w:szCs w:val="24"/>
        </w:rPr>
        <w:t xml:space="preserve">ing 29% of total operating and net </w:t>
      </w:r>
      <w:r>
        <w:rPr>
          <w:rFonts w:eastAsia="Times New Roman" w:cstheme="minorHAnsi"/>
          <w:sz w:val="24"/>
          <w:szCs w:val="24"/>
        </w:rPr>
        <w:t>non</w:t>
      </w:r>
      <w:r w:rsidR="0010657A">
        <w:rPr>
          <w:rFonts w:eastAsia="Times New Roman" w:cstheme="minorHAnsi"/>
          <w:sz w:val="24"/>
          <w:szCs w:val="24"/>
        </w:rPr>
        <w:t>operating revenues</w:t>
      </w:r>
      <w:r>
        <w:rPr>
          <w:rFonts w:eastAsia="Times New Roman" w:cstheme="minorHAnsi"/>
          <w:sz w:val="24"/>
          <w:szCs w:val="24"/>
        </w:rPr>
        <w:t xml:space="preserve"> and serving as the System’s second largest revenue source</w:t>
      </w:r>
      <w:r w:rsidR="0010657A">
        <w:rPr>
          <w:rFonts w:eastAsia="Times New Roman" w:cstheme="minorHAnsi"/>
          <w:sz w:val="24"/>
          <w:szCs w:val="24"/>
        </w:rPr>
        <w:t>.</w:t>
      </w:r>
      <w:r>
        <w:rPr>
          <w:rFonts w:eastAsia="Times New Roman" w:cstheme="minorHAnsi"/>
          <w:sz w:val="24"/>
          <w:szCs w:val="24"/>
        </w:rPr>
        <w:t xml:space="preserve"> This reflects a slight decline from FY24, when </w:t>
      </w:r>
      <w:r w:rsidR="0010657A">
        <w:rPr>
          <w:rFonts w:eastAsia="Times New Roman" w:cstheme="minorHAnsi"/>
          <w:sz w:val="24"/>
          <w:szCs w:val="24"/>
        </w:rPr>
        <w:t>net student fees</w:t>
      </w:r>
      <w:r w:rsidR="00DC0F62">
        <w:rPr>
          <w:rFonts w:eastAsia="Times New Roman" w:cstheme="minorHAnsi"/>
          <w:sz w:val="24"/>
          <w:szCs w:val="24"/>
        </w:rPr>
        <w:t xml:space="preserve"> revenue of </w:t>
      </w:r>
      <w:r w:rsidR="00A83362" w:rsidRPr="004E6649">
        <w:rPr>
          <w:rFonts w:eastAsia="Times New Roman" w:cstheme="minorHAnsi"/>
          <w:sz w:val="24"/>
          <w:szCs w:val="24"/>
        </w:rPr>
        <w:t>$</w:t>
      </w:r>
      <w:r w:rsidR="008440EE" w:rsidRPr="004E6649">
        <w:rPr>
          <w:rFonts w:eastAsia="Times New Roman" w:cstheme="minorHAnsi"/>
          <w:sz w:val="24"/>
          <w:szCs w:val="24"/>
        </w:rPr>
        <w:t>2</w:t>
      </w:r>
      <w:r w:rsidR="008440EE">
        <w:rPr>
          <w:rFonts w:eastAsia="Times New Roman" w:cstheme="minorHAnsi"/>
          <w:sz w:val="24"/>
          <w:szCs w:val="24"/>
        </w:rPr>
        <w:t>63</w:t>
      </w:r>
      <w:r w:rsidR="008440EE" w:rsidRPr="004E6649">
        <w:rPr>
          <w:rFonts w:eastAsia="Times New Roman" w:cstheme="minorHAnsi"/>
          <w:sz w:val="24"/>
          <w:szCs w:val="24"/>
        </w:rPr>
        <w:t xml:space="preserve"> </w:t>
      </w:r>
      <w:r w:rsidR="00A83362" w:rsidRPr="004E6649">
        <w:rPr>
          <w:rFonts w:eastAsia="Times New Roman" w:cstheme="minorHAnsi"/>
          <w:sz w:val="24"/>
          <w:szCs w:val="24"/>
        </w:rPr>
        <w:t xml:space="preserve">million </w:t>
      </w:r>
      <w:r>
        <w:rPr>
          <w:rFonts w:eastAsia="Times New Roman" w:cstheme="minorHAnsi"/>
          <w:sz w:val="24"/>
          <w:szCs w:val="24"/>
        </w:rPr>
        <w:t xml:space="preserve">represented </w:t>
      </w:r>
      <w:r>
        <w:rPr>
          <w:rFonts w:eastAsia="Times New Roman" w:cstheme="minorHAnsi"/>
          <w:sz w:val="24"/>
        </w:rPr>
        <w:t>31%</w:t>
      </w:r>
      <w:r w:rsidR="00A83362" w:rsidRPr="004E6649">
        <w:rPr>
          <w:rFonts w:eastAsia="Times New Roman" w:cstheme="minorHAnsi"/>
          <w:sz w:val="24"/>
        </w:rPr>
        <w:t xml:space="preserve"> of total operating and net nonoperating revenues</w:t>
      </w:r>
      <w:r>
        <w:rPr>
          <w:rFonts w:eastAsia="Times New Roman" w:cstheme="minorHAnsi"/>
          <w:sz w:val="24"/>
        </w:rPr>
        <w:t xml:space="preserve"> and was the System’s largest revenue source</w:t>
      </w:r>
      <w:r w:rsidR="00A83362" w:rsidRPr="004E6649">
        <w:rPr>
          <w:rFonts w:eastAsia="Times New Roman" w:cstheme="minorHAnsi"/>
          <w:sz w:val="24"/>
        </w:rPr>
        <w:t>.</w:t>
      </w:r>
      <w:r w:rsidR="00A83362" w:rsidRPr="004E6649">
        <w:rPr>
          <w:rFonts w:eastAsia="Times New Roman" w:cstheme="minorHAnsi"/>
          <w:sz w:val="24"/>
          <w:szCs w:val="24"/>
        </w:rPr>
        <w:t xml:space="preserve"> </w:t>
      </w:r>
      <w:r>
        <w:rPr>
          <w:rFonts w:eastAsia="Times New Roman" w:cstheme="minorHAnsi"/>
          <w:sz w:val="24"/>
          <w:szCs w:val="24"/>
        </w:rPr>
        <w:t xml:space="preserve">Net student </w:t>
      </w:r>
      <w:r>
        <w:rPr>
          <w:rFonts w:eastAsia="Times New Roman" w:cstheme="minorHAnsi"/>
          <w:sz w:val="24"/>
          <w:szCs w:val="24"/>
        </w:rPr>
        <w:lastRenderedPageBreak/>
        <w:t xml:space="preserve">fees </w:t>
      </w:r>
      <w:r w:rsidR="00A83362" w:rsidRPr="004E6649">
        <w:rPr>
          <w:rFonts w:eastAsia="Times New Roman" w:cstheme="minorHAnsi"/>
          <w:sz w:val="24"/>
          <w:szCs w:val="24"/>
        </w:rPr>
        <w:t>revenue</w:t>
      </w:r>
      <w:r>
        <w:rPr>
          <w:rFonts w:eastAsia="Times New Roman" w:cstheme="minorHAnsi"/>
          <w:sz w:val="24"/>
          <w:szCs w:val="24"/>
        </w:rPr>
        <w:t xml:space="preserve"> is influenced by three primary factors: </w:t>
      </w:r>
      <w:r w:rsidR="00A83362" w:rsidRPr="004E6649">
        <w:rPr>
          <w:rFonts w:eastAsia="Times New Roman" w:cstheme="minorHAnsi"/>
          <w:sz w:val="24"/>
          <w:szCs w:val="24"/>
        </w:rPr>
        <w:t xml:space="preserve">enrollment levels; tuition, room and board, and fee </w:t>
      </w:r>
      <w:r>
        <w:rPr>
          <w:rFonts w:eastAsia="Times New Roman" w:cstheme="minorHAnsi"/>
          <w:sz w:val="24"/>
          <w:szCs w:val="24"/>
        </w:rPr>
        <w:t>rates</w:t>
      </w:r>
      <w:r w:rsidR="00A83362" w:rsidRPr="004E6649">
        <w:rPr>
          <w:rFonts w:eastAsia="Times New Roman" w:cstheme="minorHAnsi"/>
          <w:sz w:val="24"/>
          <w:szCs w:val="24"/>
        </w:rPr>
        <w:t>; and scholarship allowances provided to students.</w:t>
      </w:r>
    </w:p>
    <w:p w14:paraId="43CFA622" w14:textId="77777777" w:rsidR="00A83362" w:rsidRPr="004E6649" w:rsidRDefault="00A83362" w:rsidP="00A83362">
      <w:pPr>
        <w:tabs>
          <w:tab w:val="left" w:pos="4860"/>
        </w:tabs>
        <w:ind w:left="360"/>
        <w:rPr>
          <w:rFonts w:eastAsia="Times New Roman" w:cstheme="minorHAnsi"/>
          <w:sz w:val="18"/>
          <w:szCs w:val="18"/>
        </w:rPr>
      </w:pPr>
    </w:p>
    <w:p w14:paraId="1025430B" w14:textId="71157399" w:rsidR="00A83362" w:rsidRPr="004E6649" w:rsidRDefault="001A5DF7" w:rsidP="00A83362">
      <w:pPr>
        <w:tabs>
          <w:tab w:val="left" w:pos="4860"/>
        </w:tabs>
        <w:rPr>
          <w:rFonts w:eastAsia="Times New Roman" w:cstheme="minorHAnsi"/>
          <w:sz w:val="24"/>
          <w:szCs w:val="24"/>
        </w:rPr>
      </w:pPr>
      <w:r w:rsidRPr="004E6649">
        <w:rPr>
          <w:rFonts w:eastAsia="Times New Roman" w:cstheme="minorHAnsi"/>
          <w:sz w:val="24"/>
          <w:szCs w:val="24"/>
        </w:rPr>
        <w:t>Table 2 shows t</w:t>
      </w:r>
      <w:r w:rsidR="00A83362" w:rsidRPr="004E6649">
        <w:rPr>
          <w:rFonts w:eastAsia="Times New Roman" w:cstheme="minorHAnsi"/>
          <w:sz w:val="24"/>
          <w:szCs w:val="24"/>
        </w:rPr>
        <w:t xml:space="preserve">he average comprehensive cost of education (tuition, mandatory fees, and room and board) for UMS undergraduate, graduate, and law school students. The percentage changes for the comprehensive cost of education in </w:t>
      </w:r>
      <w:r w:rsidR="00323663" w:rsidRPr="004E6649">
        <w:rPr>
          <w:rFonts w:eastAsia="Times New Roman" w:cstheme="minorHAnsi"/>
          <w:sz w:val="24"/>
          <w:szCs w:val="24"/>
        </w:rPr>
        <w:t>FY2</w:t>
      </w:r>
      <w:r w:rsidR="00323663">
        <w:rPr>
          <w:rFonts w:eastAsia="Times New Roman" w:cstheme="minorHAnsi"/>
          <w:sz w:val="24"/>
          <w:szCs w:val="24"/>
        </w:rPr>
        <w:t>5</w:t>
      </w:r>
      <w:r w:rsidR="00323663" w:rsidRPr="004E6649">
        <w:rPr>
          <w:rFonts w:eastAsia="Times New Roman" w:cstheme="minorHAnsi"/>
          <w:sz w:val="24"/>
          <w:szCs w:val="24"/>
        </w:rPr>
        <w:t xml:space="preserve"> </w:t>
      </w:r>
      <w:r w:rsidR="00A83362" w:rsidRPr="004E6649">
        <w:rPr>
          <w:rFonts w:eastAsia="Times New Roman" w:cstheme="minorHAnsi"/>
          <w:sz w:val="24"/>
          <w:szCs w:val="24"/>
        </w:rPr>
        <w:t xml:space="preserve">range from an increase of </w:t>
      </w:r>
      <w:r w:rsidR="00323663">
        <w:rPr>
          <w:rFonts w:eastAsia="Times New Roman" w:cstheme="minorHAnsi"/>
          <w:color w:val="0D0D0D" w:themeColor="text1" w:themeTint="F2"/>
          <w:sz w:val="24"/>
          <w:szCs w:val="24"/>
        </w:rPr>
        <w:t>1.9</w:t>
      </w:r>
      <w:r w:rsidR="00A83362" w:rsidRPr="004E6649">
        <w:rPr>
          <w:rFonts w:eastAsia="Times New Roman" w:cstheme="minorHAnsi"/>
          <w:sz w:val="24"/>
          <w:szCs w:val="24"/>
        </w:rPr>
        <w:t xml:space="preserve">% for </w:t>
      </w:r>
      <w:r w:rsidR="00F71CCD">
        <w:rPr>
          <w:rFonts w:eastAsia="Times New Roman" w:cstheme="minorHAnsi"/>
          <w:sz w:val="24"/>
          <w:szCs w:val="24"/>
        </w:rPr>
        <w:t>out-of-state</w:t>
      </w:r>
      <w:r w:rsidR="00A83362" w:rsidRPr="004E6649">
        <w:rPr>
          <w:rFonts w:eastAsia="Times New Roman" w:cstheme="minorHAnsi"/>
          <w:sz w:val="24"/>
          <w:szCs w:val="24"/>
        </w:rPr>
        <w:t xml:space="preserve"> law students to an increase of </w:t>
      </w:r>
      <w:r w:rsidR="00323663">
        <w:rPr>
          <w:rFonts w:eastAsia="Times New Roman" w:cstheme="minorHAnsi"/>
          <w:color w:val="0D0D0D" w:themeColor="text1" w:themeTint="F2"/>
          <w:sz w:val="24"/>
          <w:szCs w:val="24"/>
        </w:rPr>
        <w:t>4.4</w:t>
      </w:r>
      <w:r w:rsidR="00A83362" w:rsidRPr="004E6649">
        <w:rPr>
          <w:rFonts w:eastAsia="Times New Roman" w:cstheme="minorHAnsi"/>
          <w:sz w:val="24"/>
          <w:szCs w:val="24"/>
        </w:rPr>
        <w:t xml:space="preserve">% for </w:t>
      </w:r>
      <w:r w:rsidR="00323663">
        <w:rPr>
          <w:rFonts w:eastAsia="Times New Roman" w:cstheme="minorHAnsi"/>
          <w:sz w:val="24"/>
          <w:szCs w:val="24"/>
        </w:rPr>
        <w:t>in</w:t>
      </w:r>
      <w:r w:rsidR="00F71CCD">
        <w:rPr>
          <w:rFonts w:eastAsia="Times New Roman" w:cstheme="minorHAnsi"/>
          <w:sz w:val="24"/>
          <w:szCs w:val="24"/>
        </w:rPr>
        <w:t>-state</w:t>
      </w:r>
      <w:r w:rsidR="00A83362" w:rsidRPr="004E6649">
        <w:rPr>
          <w:rFonts w:eastAsia="Times New Roman" w:cstheme="minorHAnsi"/>
          <w:sz w:val="24"/>
          <w:szCs w:val="24"/>
        </w:rPr>
        <w:t xml:space="preserve"> </w:t>
      </w:r>
      <w:r w:rsidR="00323663">
        <w:rPr>
          <w:rFonts w:eastAsia="Times New Roman" w:cstheme="minorHAnsi"/>
          <w:sz w:val="24"/>
          <w:szCs w:val="24"/>
        </w:rPr>
        <w:t>first and second year law</w:t>
      </w:r>
      <w:r w:rsidR="00323663" w:rsidRPr="004E6649">
        <w:rPr>
          <w:rFonts w:eastAsia="Times New Roman" w:cstheme="minorHAnsi"/>
          <w:sz w:val="24"/>
          <w:szCs w:val="24"/>
        </w:rPr>
        <w:t xml:space="preserve"> </w:t>
      </w:r>
      <w:r w:rsidR="00A83362" w:rsidRPr="004E6649">
        <w:rPr>
          <w:rFonts w:eastAsia="Times New Roman" w:cstheme="minorHAnsi"/>
          <w:sz w:val="24"/>
          <w:szCs w:val="24"/>
        </w:rPr>
        <w:t xml:space="preserve">students. Percentage changes in </w:t>
      </w:r>
      <w:r w:rsidR="00323663" w:rsidRPr="004E6649">
        <w:rPr>
          <w:rFonts w:eastAsia="Times New Roman" w:cstheme="minorHAnsi"/>
          <w:sz w:val="24"/>
          <w:szCs w:val="24"/>
        </w:rPr>
        <w:t>FY2</w:t>
      </w:r>
      <w:r w:rsidR="00323663">
        <w:rPr>
          <w:rFonts w:eastAsia="Times New Roman" w:cstheme="minorHAnsi"/>
          <w:sz w:val="24"/>
          <w:szCs w:val="24"/>
        </w:rPr>
        <w:t>4</w:t>
      </w:r>
      <w:r w:rsidR="00323663" w:rsidRPr="004E6649">
        <w:rPr>
          <w:rFonts w:eastAsia="Times New Roman" w:cstheme="minorHAnsi"/>
          <w:sz w:val="24"/>
          <w:szCs w:val="24"/>
        </w:rPr>
        <w:t xml:space="preserve"> </w:t>
      </w:r>
      <w:r w:rsidR="00A83362" w:rsidRPr="004E6649">
        <w:rPr>
          <w:rFonts w:eastAsia="Times New Roman" w:cstheme="minorHAnsi"/>
          <w:sz w:val="24"/>
          <w:szCs w:val="24"/>
        </w:rPr>
        <w:t xml:space="preserve">ranged from an </w:t>
      </w:r>
      <w:r w:rsidR="00F71CCD" w:rsidRPr="004E6649">
        <w:rPr>
          <w:rFonts w:eastAsia="Times New Roman" w:cstheme="minorHAnsi"/>
          <w:sz w:val="24"/>
          <w:szCs w:val="24"/>
        </w:rPr>
        <w:t xml:space="preserve">increase of </w:t>
      </w:r>
      <w:r w:rsidR="00323663">
        <w:rPr>
          <w:rFonts w:eastAsia="Times New Roman" w:cstheme="minorHAnsi"/>
          <w:color w:val="0D0D0D" w:themeColor="text1" w:themeTint="F2"/>
          <w:sz w:val="24"/>
          <w:szCs w:val="24"/>
        </w:rPr>
        <w:t>0.7</w:t>
      </w:r>
      <w:r w:rsidR="00323663" w:rsidRPr="004E6649">
        <w:rPr>
          <w:rFonts w:eastAsia="Times New Roman" w:cstheme="minorHAnsi"/>
          <w:sz w:val="24"/>
          <w:szCs w:val="24"/>
        </w:rPr>
        <w:t xml:space="preserve">% for </w:t>
      </w:r>
      <w:r w:rsidR="00323663">
        <w:rPr>
          <w:rFonts w:eastAsia="Times New Roman" w:cstheme="minorHAnsi"/>
          <w:sz w:val="24"/>
          <w:szCs w:val="24"/>
        </w:rPr>
        <w:t xml:space="preserve">out-of-state, </w:t>
      </w:r>
      <w:r w:rsidR="00323663" w:rsidRPr="004E6649">
        <w:rPr>
          <w:rFonts w:eastAsia="Times New Roman" w:cstheme="minorHAnsi"/>
          <w:sz w:val="24"/>
          <w:szCs w:val="24"/>
        </w:rPr>
        <w:t xml:space="preserve">NEBHE and Canadian law students to an increase of </w:t>
      </w:r>
      <w:r w:rsidR="00B81858">
        <w:rPr>
          <w:rFonts w:eastAsia="Times New Roman" w:cstheme="minorHAnsi"/>
          <w:color w:val="0D0D0D" w:themeColor="text1" w:themeTint="F2"/>
          <w:sz w:val="24"/>
          <w:szCs w:val="24"/>
        </w:rPr>
        <w:t>6.8</w:t>
      </w:r>
      <w:r w:rsidR="00323663" w:rsidRPr="004E6649">
        <w:rPr>
          <w:rFonts w:eastAsia="Times New Roman" w:cstheme="minorHAnsi"/>
          <w:sz w:val="24"/>
          <w:szCs w:val="24"/>
        </w:rPr>
        <w:t xml:space="preserve">% for </w:t>
      </w:r>
      <w:r w:rsidR="00323663">
        <w:rPr>
          <w:rFonts w:eastAsia="Times New Roman" w:cstheme="minorHAnsi"/>
          <w:sz w:val="24"/>
          <w:szCs w:val="24"/>
        </w:rPr>
        <w:t>out-of-state</w:t>
      </w:r>
      <w:r w:rsidR="00323663" w:rsidRPr="004E6649">
        <w:rPr>
          <w:rFonts w:eastAsia="Times New Roman" w:cstheme="minorHAnsi"/>
          <w:sz w:val="24"/>
          <w:szCs w:val="24"/>
        </w:rPr>
        <w:t xml:space="preserve"> graduate students</w:t>
      </w:r>
      <w:r w:rsidR="00F71CCD" w:rsidRPr="004E6649">
        <w:rPr>
          <w:rFonts w:eastAsia="Times New Roman" w:cstheme="minorHAnsi"/>
          <w:sz w:val="24"/>
          <w:szCs w:val="24"/>
        </w:rPr>
        <w:t>.</w:t>
      </w:r>
    </w:p>
    <w:p w14:paraId="0089A490" w14:textId="77777777" w:rsidR="00A83362" w:rsidRPr="004E6649" w:rsidRDefault="00A83362" w:rsidP="00A83362">
      <w:pPr>
        <w:tabs>
          <w:tab w:val="left" w:pos="4860"/>
        </w:tabs>
        <w:rPr>
          <w:rFonts w:eastAsia="Times New Roman" w:cstheme="minorHAnsi"/>
          <w:sz w:val="18"/>
          <w:szCs w:val="18"/>
        </w:rPr>
      </w:pPr>
    </w:p>
    <w:p w14:paraId="3B7AD831" w14:textId="5EF18746" w:rsidR="00A83362" w:rsidRPr="004E6649" w:rsidRDefault="00A83362" w:rsidP="00A83362">
      <w:pPr>
        <w:tabs>
          <w:tab w:val="left" w:pos="4860"/>
        </w:tabs>
        <w:rPr>
          <w:rFonts w:eastAsia="Times New Roman" w:cstheme="minorHAnsi"/>
          <w:sz w:val="24"/>
          <w:szCs w:val="24"/>
        </w:rPr>
      </w:pPr>
      <w:r w:rsidRPr="004E6649">
        <w:rPr>
          <w:rFonts w:eastAsia="Times New Roman" w:cstheme="minorHAnsi"/>
          <w:sz w:val="24"/>
          <w:szCs w:val="24"/>
        </w:rPr>
        <w:t>The FY2</w:t>
      </w:r>
      <w:r w:rsidR="0082099B">
        <w:rPr>
          <w:rFonts w:eastAsia="Times New Roman" w:cstheme="minorHAnsi"/>
          <w:sz w:val="24"/>
          <w:szCs w:val="24"/>
        </w:rPr>
        <w:t>5</w:t>
      </w:r>
      <w:r w:rsidRPr="004E6649">
        <w:rPr>
          <w:rFonts w:eastAsia="Times New Roman" w:cstheme="minorHAnsi"/>
          <w:sz w:val="24"/>
          <w:szCs w:val="24"/>
        </w:rPr>
        <w:t xml:space="preserve"> in-state undergraduate tuition </w:t>
      </w:r>
      <w:r w:rsidR="00F71CCD">
        <w:rPr>
          <w:rFonts w:eastAsia="Times New Roman" w:cstheme="minorHAnsi"/>
          <w:sz w:val="24"/>
          <w:szCs w:val="24"/>
        </w:rPr>
        <w:t>increased</w:t>
      </w:r>
      <w:r w:rsidR="001F71FF">
        <w:rPr>
          <w:rFonts w:eastAsia="Times New Roman" w:cstheme="minorHAnsi"/>
          <w:sz w:val="24"/>
          <w:szCs w:val="24"/>
        </w:rPr>
        <w:t xml:space="preserve"> $</w:t>
      </w:r>
      <w:r w:rsidR="00254BC3">
        <w:rPr>
          <w:rFonts w:eastAsia="Times New Roman" w:cstheme="minorHAnsi"/>
          <w:sz w:val="24"/>
          <w:szCs w:val="24"/>
        </w:rPr>
        <w:t xml:space="preserve">270 </w:t>
      </w:r>
      <w:r w:rsidR="001F71FF">
        <w:rPr>
          <w:rFonts w:eastAsia="Times New Roman" w:cstheme="minorHAnsi"/>
          <w:sz w:val="24"/>
          <w:szCs w:val="24"/>
        </w:rPr>
        <w:t>or</w:t>
      </w:r>
      <w:r w:rsidR="00F71CCD">
        <w:rPr>
          <w:rFonts w:eastAsia="Times New Roman" w:cstheme="minorHAnsi"/>
          <w:sz w:val="24"/>
          <w:szCs w:val="24"/>
        </w:rPr>
        <w:t xml:space="preserve"> </w:t>
      </w:r>
      <w:r w:rsidR="00254BC3">
        <w:rPr>
          <w:rFonts w:eastAsia="Times New Roman" w:cstheme="minorHAnsi"/>
          <w:sz w:val="24"/>
          <w:szCs w:val="24"/>
        </w:rPr>
        <w:t>3.1</w:t>
      </w:r>
      <w:r w:rsidR="00F71CCD">
        <w:rPr>
          <w:rFonts w:eastAsia="Times New Roman" w:cstheme="minorHAnsi"/>
          <w:sz w:val="24"/>
          <w:szCs w:val="24"/>
        </w:rPr>
        <w:t xml:space="preserve">% from </w:t>
      </w:r>
      <w:r w:rsidR="00254BC3" w:rsidRPr="004E6649">
        <w:rPr>
          <w:rFonts w:eastAsia="Times New Roman" w:cstheme="minorHAnsi"/>
          <w:sz w:val="24"/>
          <w:szCs w:val="24"/>
        </w:rPr>
        <w:t>FY2</w:t>
      </w:r>
      <w:r w:rsidR="00254BC3">
        <w:rPr>
          <w:rFonts w:eastAsia="Times New Roman" w:cstheme="minorHAnsi"/>
          <w:sz w:val="24"/>
          <w:szCs w:val="24"/>
        </w:rPr>
        <w:t xml:space="preserve">4’s </w:t>
      </w:r>
      <w:r w:rsidR="001F71FF">
        <w:rPr>
          <w:rFonts w:eastAsia="Times New Roman" w:cstheme="minorHAnsi"/>
          <w:sz w:val="24"/>
          <w:szCs w:val="24"/>
        </w:rPr>
        <w:t>$8,</w:t>
      </w:r>
      <w:r w:rsidR="00254BC3">
        <w:rPr>
          <w:rFonts w:eastAsia="Times New Roman" w:cstheme="minorHAnsi"/>
          <w:sz w:val="24"/>
          <w:szCs w:val="24"/>
        </w:rPr>
        <w:t>743</w:t>
      </w:r>
      <w:r w:rsidRPr="004E6649">
        <w:rPr>
          <w:rFonts w:eastAsia="Times New Roman" w:cstheme="minorHAnsi"/>
          <w:sz w:val="24"/>
          <w:szCs w:val="24"/>
        </w:rPr>
        <w:t xml:space="preserve">. The </w:t>
      </w:r>
      <w:r w:rsidR="00AC1674" w:rsidRPr="004E6649">
        <w:rPr>
          <w:rFonts w:eastAsia="Times New Roman" w:cstheme="minorHAnsi"/>
          <w:sz w:val="24"/>
          <w:szCs w:val="24"/>
        </w:rPr>
        <w:t>overall</w:t>
      </w:r>
      <w:r w:rsidRPr="004E6649">
        <w:rPr>
          <w:rFonts w:eastAsia="Times New Roman" w:cstheme="minorHAnsi"/>
          <w:sz w:val="24"/>
          <w:szCs w:val="24"/>
        </w:rPr>
        <w:t xml:space="preserve"> average comprehensive cost of education for this same category of students increased </w:t>
      </w:r>
      <w:r w:rsidR="00254BC3">
        <w:rPr>
          <w:rFonts w:eastAsia="Times New Roman" w:cstheme="minorHAnsi"/>
          <w:sz w:val="24"/>
          <w:szCs w:val="24"/>
        </w:rPr>
        <w:t>3</w:t>
      </w:r>
      <w:r w:rsidR="00F71CCD">
        <w:rPr>
          <w:rFonts w:eastAsia="Times New Roman" w:cstheme="minorHAnsi"/>
          <w:sz w:val="24"/>
          <w:szCs w:val="24"/>
        </w:rPr>
        <w:t>.8</w:t>
      </w:r>
      <w:r w:rsidRPr="004E6649">
        <w:rPr>
          <w:rFonts w:eastAsia="Times New Roman" w:cstheme="minorHAnsi"/>
          <w:sz w:val="24"/>
          <w:szCs w:val="24"/>
        </w:rPr>
        <w:t>%.</w:t>
      </w:r>
      <w:r w:rsidR="004D206A">
        <w:rPr>
          <w:rFonts w:eastAsia="Times New Roman" w:cstheme="minorHAnsi"/>
          <w:sz w:val="24"/>
          <w:szCs w:val="24"/>
        </w:rPr>
        <w:t xml:space="preserve">  </w:t>
      </w:r>
      <w:r w:rsidR="00323663">
        <w:rPr>
          <w:rFonts w:eastAsia="Times New Roman" w:cstheme="minorHAnsi"/>
          <w:sz w:val="24"/>
          <w:szCs w:val="24"/>
        </w:rPr>
        <w:t xml:space="preserve">FY24 </w:t>
      </w:r>
      <w:r w:rsidR="004D206A">
        <w:rPr>
          <w:rFonts w:eastAsia="Times New Roman" w:cstheme="minorHAnsi"/>
          <w:sz w:val="24"/>
          <w:szCs w:val="24"/>
        </w:rPr>
        <w:t xml:space="preserve">in-state undergraduate tuition </w:t>
      </w:r>
      <w:r w:rsidR="00323663">
        <w:rPr>
          <w:rFonts w:eastAsia="Times New Roman" w:cstheme="minorHAnsi"/>
          <w:sz w:val="24"/>
          <w:szCs w:val="24"/>
        </w:rPr>
        <w:t xml:space="preserve">increased $171 or 2.0% from FY23’s $8,572 </w:t>
      </w:r>
      <w:r w:rsidR="004D206A">
        <w:rPr>
          <w:rFonts w:eastAsia="Times New Roman" w:cstheme="minorHAnsi"/>
          <w:sz w:val="24"/>
          <w:szCs w:val="24"/>
        </w:rPr>
        <w:t xml:space="preserve">while the overall average comprehensive cost of education for this same category of students increased </w:t>
      </w:r>
      <w:r w:rsidR="00B81858">
        <w:rPr>
          <w:rFonts w:eastAsia="Times New Roman" w:cstheme="minorHAnsi"/>
          <w:sz w:val="24"/>
          <w:szCs w:val="24"/>
        </w:rPr>
        <w:t>5.9</w:t>
      </w:r>
      <w:r w:rsidR="004D206A">
        <w:rPr>
          <w:rFonts w:eastAsia="Times New Roman" w:cstheme="minorHAnsi"/>
          <w:sz w:val="24"/>
          <w:szCs w:val="24"/>
        </w:rPr>
        <w:t xml:space="preserve">%. </w:t>
      </w:r>
    </w:p>
    <w:p w14:paraId="72C4AC43" w14:textId="77777777" w:rsidR="00A83362" w:rsidRPr="004E6649" w:rsidRDefault="00A83362" w:rsidP="00982C0C">
      <w:pPr>
        <w:spacing w:line="259" w:lineRule="auto"/>
        <w:rPr>
          <w:rFonts w:eastAsia="Times New Roman" w:cstheme="minorHAnsi"/>
          <w:b/>
          <w:sz w:val="20"/>
          <w:szCs w:val="20"/>
        </w:rPr>
      </w:pPr>
    </w:p>
    <w:p w14:paraId="7E11712F" w14:textId="77777777" w:rsidR="00A83362" w:rsidRPr="004E6649" w:rsidRDefault="00A83362" w:rsidP="00A83362">
      <w:pPr>
        <w:tabs>
          <w:tab w:val="left" w:pos="4860"/>
        </w:tabs>
        <w:jc w:val="center"/>
        <w:rPr>
          <w:rFonts w:eastAsia="Times New Roman" w:cstheme="minorHAnsi"/>
          <w:b/>
          <w:sz w:val="24"/>
          <w:szCs w:val="24"/>
        </w:rPr>
      </w:pPr>
      <w:r w:rsidRPr="004E6649">
        <w:rPr>
          <w:rFonts w:eastAsia="Times New Roman" w:cstheme="minorHAnsi"/>
          <w:b/>
          <w:sz w:val="24"/>
          <w:szCs w:val="24"/>
        </w:rPr>
        <w:t>Table 2: Student Comprehensive Cost of Education</w:t>
      </w:r>
    </w:p>
    <w:p w14:paraId="7E30192C" w14:textId="77777777" w:rsidR="00A83362" w:rsidRPr="004E6649" w:rsidRDefault="00A83362" w:rsidP="00A83362">
      <w:pPr>
        <w:tabs>
          <w:tab w:val="left" w:pos="4860"/>
        </w:tabs>
        <w:spacing w:after="120"/>
        <w:jc w:val="center"/>
        <w:rPr>
          <w:rFonts w:eastAsia="Times New Roman" w:cstheme="minorHAnsi"/>
          <w:b/>
          <w:sz w:val="24"/>
          <w:szCs w:val="24"/>
        </w:rPr>
      </w:pPr>
      <w:r w:rsidRPr="004E6649">
        <w:rPr>
          <w:rFonts w:eastAsia="Times New Roman" w:cstheme="minorHAnsi"/>
          <w:b/>
          <w:sz w:val="24"/>
          <w:szCs w:val="24"/>
        </w:rPr>
        <w:t>Tuition, Mandatory Fees, and Room and Board Fiscal Year Averages</w:t>
      </w:r>
    </w:p>
    <w:tbl>
      <w:tblPr>
        <w:tblW w:w="9878" w:type="dxa"/>
        <w:tblLayout w:type="fixed"/>
        <w:tblCellMar>
          <w:left w:w="14" w:type="dxa"/>
          <w:right w:w="14" w:type="dxa"/>
        </w:tblCellMar>
        <w:tblLook w:val="04A0" w:firstRow="1" w:lastRow="0" w:firstColumn="1" w:lastColumn="0" w:noHBand="0" w:noVBand="1"/>
      </w:tblPr>
      <w:tblGrid>
        <w:gridCol w:w="1980"/>
        <w:gridCol w:w="918"/>
        <w:gridCol w:w="734"/>
        <w:gridCol w:w="922"/>
        <w:gridCol w:w="734"/>
        <w:gridCol w:w="796"/>
        <w:gridCol w:w="734"/>
        <w:gridCol w:w="796"/>
        <w:gridCol w:w="734"/>
        <w:gridCol w:w="796"/>
        <w:gridCol w:w="734"/>
      </w:tblGrid>
      <w:tr w:rsidR="00100E6C" w:rsidRPr="004E6649" w14:paraId="2C45F220" w14:textId="77777777" w:rsidTr="008B69B9">
        <w:trPr>
          <w:trHeight w:val="243"/>
        </w:trPr>
        <w:tc>
          <w:tcPr>
            <w:tcW w:w="1980" w:type="dxa"/>
            <w:tcBorders>
              <w:top w:val="nil"/>
              <w:left w:val="nil"/>
              <w:bottom w:val="single" w:sz="8" w:space="0" w:color="0D0D0D" w:themeColor="text1" w:themeTint="F2"/>
              <w:right w:val="nil"/>
            </w:tcBorders>
            <w:shd w:val="clear" w:color="000000" w:fill="FFFFFF"/>
            <w:noWrap/>
            <w:vAlign w:val="bottom"/>
          </w:tcPr>
          <w:p w14:paraId="1642ABFE" w14:textId="6CF5F681" w:rsidR="00100E6C" w:rsidRPr="004E6649" w:rsidRDefault="00100E6C" w:rsidP="00100E6C">
            <w:pPr>
              <w:rPr>
                <w:rFonts w:cstheme="minorHAnsi"/>
                <w:color w:val="0D0D0D"/>
                <w:sz w:val="19"/>
                <w:szCs w:val="19"/>
              </w:rPr>
            </w:pPr>
            <w:r>
              <w:rPr>
                <w:rFonts w:ascii="Calibri" w:hAnsi="Calibri" w:cs="Calibri"/>
                <w:color w:val="0D0D0D"/>
                <w:sz w:val="20"/>
                <w:szCs w:val="20"/>
              </w:rPr>
              <w:t> </w:t>
            </w:r>
          </w:p>
        </w:tc>
        <w:tc>
          <w:tcPr>
            <w:tcW w:w="1652" w:type="dxa"/>
            <w:gridSpan w:val="2"/>
            <w:tcBorders>
              <w:top w:val="nil"/>
              <w:left w:val="nil"/>
              <w:bottom w:val="single" w:sz="8" w:space="0" w:color="0D0D0D" w:themeColor="text1" w:themeTint="F2"/>
              <w:right w:val="nil"/>
            </w:tcBorders>
            <w:shd w:val="clear" w:color="000000" w:fill="FFFFFF"/>
            <w:noWrap/>
            <w:vAlign w:val="bottom"/>
          </w:tcPr>
          <w:p w14:paraId="4C77392E" w14:textId="173E8121" w:rsidR="00100E6C" w:rsidRPr="004E6649" w:rsidRDefault="00100E6C" w:rsidP="00100E6C">
            <w:pPr>
              <w:jc w:val="center"/>
              <w:rPr>
                <w:rFonts w:cstheme="minorHAnsi"/>
                <w:color w:val="0D0D0D"/>
                <w:sz w:val="19"/>
                <w:szCs w:val="19"/>
              </w:rPr>
            </w:pPr>
            <w:r>
              <w:rPr>
                <w:rFonts w:ascii="Calibri" w:hAnsi="Calibri" w:cs="Calibri"/>
                <w:b/>
                <w:bCs/>
                <w:color w:val="0D0D0D"/>
                <w:sz w:val="20"/>
                <w:szCs w:val="20"/>
              </w:rPr>
              <w:t>2025</w:t>
            </w:r>
          </w:p>
        </w:tc>
        <w:tc>
          <w:tcPr>
            <w:tcW w:w="1656" w:type="dxa"/>
            <w:gridSpan w:val="2"/>
            <w:tcBorders>
              <w:top w:val="nil"/>
              <w:left w:val="nil"/>
              <w:bottom w:val="single" w:sz="8" w:space="0" w:color="0D0D0D" w:themeColor="text1" w:themeTint="F2"/>
              <w:right w:val="nil"/>
            </w:tcBorders>
            <w:noWrap/>
            <w:vAlign w:val="bottom"/>
          </w:tcPr>
          <w:p w14:paraId="77B0DD2E" w14:textId="6A4A7952" w:rsidR="00100E6C" w:rsidRPr="004E6649" w:rsidRDefault="00323663" w:rsidP="00100E6C">
            <w:pPr>
              <w:jc w:val="center"/>
              <w:rPr>
                <w:rFonts w:cstheme="minorHAnsi"/>
                <w:color w:val="0D0D0D"/>
                <w:sz w:val="19"/>
                <w:szCs w:val="19"/>
              </w:rPr>
            </w:pPr>
            <w:r>
              <w:rPr>
                <w:rFonts w:ascii="Calibri" w:hAnsi="Calibri" w:cs="Calibri"/>
                <w:b/>
                <w:bCs/>
                <w:color w:val="0D0D0D"/>
                <w:sz w:val="20"/>
                <w:szCs w:val="20"/>
              </w:rPr>
              <w:t>2024</w:t>
            </w:r>
          </w:p>
        </w:tc>
        <w:tc>
          <w:tcPr>
            <w:tcW w:w="1530" w:type="dxa"/>
            <w:gridSpan w:val="2"/>
            <w:tcBorders>
              <w:top w:val="nil"/>
              <w:left w:val="nil"/>
              <w:bottom w:val="single" w:sz="8" w:space="0" w:color="0D0D0D" w:themeColor="text1" w:themeTint="F2"/>
              <w:right w:val="nil"/>
            </w:tcBorders>
            <w:noWrap/>
            <w:vAlign w:val="bottom"/>
          </w:tcPr>
          <w:p w14:paraId="56173271" w14:textId="41844627" w:rsidR="00100E6C" w:rsidRPr="004E6649" w:rsidRDefault="00323663" w:rsidP="00100E6C">
            <w:pPr>
              <w:jc w:val="center"/>
              <w:rPr>
                <w:rFonts w:cstheme="minorHAnsi"/>
                <w:color w:val="0D0D0D"/>
                <w:sz w:val="19"/>
                <w:szCs w:val="19"/>
              </w:rPr>
            </w:pPr>
            <w:r>
              <w:rPr>
                <w:rFonts w:ascii="Calibri" w:hAnsi="Calibri" w:cs="Calibri"/>
                <w:b/>
                <w:bCs/>
                <w:color w:val="0D0D0D"/>
                <w:sz w:val="20"/>
                <w:szCs w:val="20"/>
              </w:rPr>
              <w:t>2023</w:t>
            </w:r>
          </w:p>
        </w:tc>
        <w:tc>
          <w:tcPr>
            <w:tcW w:w="1530" w:type="dxa"/>
            <w:gridSpan w:val="2"/>
            <w:tcBorders>
              <w:top w:val="nil"/>
              <w:left w:val="nil"/>
              <w:bottom w:val="single" w:sz="8" w:space="0" w:color="0D0D0D" w:themeColor="text1" w:themeTint="F2"/>
              <w:right w:val="nil"/>
            </w:tcBorders>
            <w:noWrap/>
            <w:vAlign w:val="bottom"/>
          </w:tcPr>
          <w:p w14:paraId="6951E9A8" w14:textId="1FC7FF1C" w:rsidR="00100E6C" w:rsidRPr="004E6649" w:rsidRDefault="00323663" w:rsidP="00100E6C">
            <w:pPr>
              <w:jc w:val="center"/>
              <w:rPr>
                <w:rFonts w:cstheme="minorHAnsi"/>
                <w:color w:val="0D0D0D"/>
                <w:sz w:val="19"/>
                <w:szCs w:val="19"/>
              </w:rPr>
            </w:pPr>
            <w:r>
              <w:rPr>
                <w:rFonts w:ascii="Calibri" w:hAnsi="Calibri" w:cs="Calibri"/>
                <w:b/>
                <w:bCs/>
                <w:color w:val="0D0D0D"/>
                <w:sz w:val="20"/>
                <w:szCs w:val="20"/>
              </w:rPr>
              <w:t>2022</w:t>
            </w:r>
          </w:p>
        </w:tc>
        <w:tc>
          <w:tcPr>
            <w:tcW w:w="1530" w:type="dxa"/>
            <w:gridSpan w:val="2"/>
            <w:tcBorders>
              <w:top w:val="nil"/>
              <w:left w:val="nil"/>
              <w:bottom w:val="single" w:sz="8" w:space="0" w:color="0D0D0D" w:themeColor="text1" w:themeTint="F2"/>
              <w:right w:val="nil"/>
            </w:tcBorders>
            <w:noWrap/>
            <w:vAlign w:val="bottom"/>
          </w:tcPr>
          <w:p w14:paraId="2427F746" w14:textId="0BAD70C9" w:rsidR="00100E6C" w:rsidRPr="004E6649" w:rsidRDefault="00100E6C" w:rsidP="00100E6C">
            <w:pPr>
              <w:jc w:val="center"/>
              <w:rPr>
                <w:rFonts w:cstheme="minorHAnsi"/>
                <w:color w:val="0D0D0D"/>
                <w:sz w:val="19"/>
                <w:szCs w:val="19"/>
              </w:rPr>
            </w:pPr>
            <w:r>
              <w:rPr>
                <w:rFonts w:ascii="Calibri" w:hAnsi="Calibri" w:cs="Calibri"/>
                <w:b/>
                <w:bCs/>
                <w:color w:val="0D0D0D"/>
                <w:sz w:val="20"/>
                <w:szCs w:val="20"/>
              </w:rPr>
              <w:t>202</w:t>
            </w:r>
            <w:r w:rsidR="00323663">
              <w:rPr>
                <w:rFonts w:ascii="Calibri" w:hAnsi="Calibri" w:cs="Calibri"/>
                <w:b/>
                <w:bCs/>
                <w:color w:val="0D0D0D"/>
                <w:sz w:val="20"/>
                <w:szCs w:val="20"/>
              </w:rPr>
              <w:t>1</w:t>
            </w:r>
          </w:p>
        </w:tc>
      </w:tr>
      <w:tr w:rsidR="00100E6C" w:rsidRPr="004E6649" w14:paraId="6E56DAA3" w14:textId="77777777" w:rsidTr="008B69B9">
        <w:trPr>
          <w:trHeight w:val="385"/>
        </w:trPr>
        <w:tc>
          <w:tcPr>
            <w:tcW w:w="1980" w:type="dxa"/>
            <w:tcBorders>
              <w:top w:val="single" w:sz="8" w:space="0" w:color="0D0D0D" w:themeColor="text1" w:themeTint="F2"/>
              <w:left w:val="nil"/>
              <w:bottom w:val="nil"/>
              <w:right w:val="nil"/>
            </w:tcBorders>
            <w:shd w:val="clear" w:color="000000" w:fill="FFFFFF"/>
            <w:noWrap/>
            <w:vAlign w:val="bottom"/>
          </w:tcPr>
          <w:p w14:paraId="12668A39" w14:textId="1BFB9E0C" w:rsidR="00100E6C" w:rsidRPr="004E6649" w:rsidRDefault="00100E6C" w:rsidP="00100E6C">
            <w:pPr>
              <w:rPr>
                <w:rFonts w:cstheme="minorHAnsi"/>
                <w:color w:val="0D0D0D"/>
                <w:sz w:val="19"/>
                <w:szCs w:val="19"/>
              </w:rPr>
            </w:pPr>
            <w:r>
              <w:rPr>
                <w:rFonts w:ascii="Calibri" w:hAnsi="Calibri" w:cs="Calibri"/>
                <w:color w:val="0D0D0D"/>
                <w:sz w:val="20"/>
                <w:szCs w:val="20"/>
              </w:rPr>
              <w:t> </w:t>
            </w:r>
          </w:p>
        </w:tc>
        <w:tc>
          <w:tcPr>
            <w:tcW w:w="918" w:type="dxa"/>
            <w:tcBorders>
              <w:top w:val="single" w:sz="8" w:space="0" w:color="0D0D0D" w:themeColor="text1" w:themeTint="F2"/>
              <w:left w:val="nil"/>
              <w:bottom w:val="nil"/>
              <w:right w:val="nil"/>
            </w:tcBorders>
            <w:shd w:val="clear" w:color="000000" w:fill="FFFFFF"/>
            <w:noWrap/>
            <w:vAlign w:val="bottom"/>
          </w:tcPr>
          <w:p w14:paraId="02D162F6" w14:textId="65545AC8" w:rsidR="00100E6C" w:rsidRPr="004E6649" w:rsidRDefault="00100E6C" w:rsidP="00100E6C">
            <w:pPr>
              <w:jc w:val="center"/>
              <w:rPr>
                <w:rFonts w:cstheme="minorHAnsi"/>
                <w:b/>
                <w:bCs/>
                <w:color w:val="0D0D0D"/>
                <w:sz w:val="19"/>
                <w:szCs w:val="19"/>
              </w:rPr>
            </w:pPr>
            <w:r>
              <w:rPr>
                <w:rFonts w:ascii="Calibri" w:hAnsi="Calibri" w:cs="Calibri"/>
                <w:color w:val="0D0D0D"/>
                <w:sz w:val="20"/>
                <w:szCs w:val="20"/>
              </w:rPr>
              <w:t>Cost</w:t>
            </w:r>
          </w:p>
        </w:tc>
        <w:tc>
          <w:tcPr>
            <w:tcW w:w="734" w:type="dxa"/>
            <w:tcBorders>
              <w:top w:val="single" w:sz="8" w:space="0" w:color="0D0D0D" w:themeColor="text1" w:themeTint="F2"/>
              <w:left w:val="nil"/>
              <w:bottom w:val="nil"/>
              <w:right w:val="nil"/>
            </w:tcBorders>
            <w:noWrap/>
            <w:vAlign w:val="bottom"/>
          </w:tcPr>
          <w:p w14:paraId="35CE17F6" w14:textId="51D88C47" w:rsidR="00100E6C" w:rsidRPr="004E6649" w:rsidRDefault="00100E6C" w:rsidP="00100E6C">
            <w:pPr>
              <w:jc w:val="center"/>
              <w:rPr>
                <w:rFonts w:cstheme="minorHAnsi"/>
                <w:color w:val="0D0D0D"/>
                <w:sz w:val="19"/>
                <w:szCs w:val="19"/>
              </w:rPr>
            </w:pPr>
            <w:r>
              <w:rPr>
                <w:rFonts w:ascii="Calibri" w:hAnsi="Calibri" w:cs="Calibri"/>
                <w:color w:val="0D0D0D"/>
                <w:sz w:val="20"/>
                <w:szCs w:val="20"/>
              </w:rPr>
              <w:t>%</w:t>
            </w:r>
            <w:r>
              <w:rPr>
                <w:rFonts w:ascii="Calibri" w:hAnsi="Calibri" w:cs="Calibri"/>
                <w:color w:val="0D0D0D"/>
                <w:sz w:val="20"/>
                <w:szCs w:val="20"/>
              </w:rPr>
              <w:br/>
              <w:t>Change</w:t>
            </w:r>
          </w:p>
        </w:tc>
        <w:tc>
          <w:tcPr>
            <w:tcW w:w="922" w:type="dxa"/>
            <w:tcBorders>
              <w:top w:val="single" w:sz="8" w:space="0" w:color="0D0D0D" w:themeColor="text1" w:themeTint="F2"/>
              <w:left w:val="nil"/>
              <w:bottom w:val="nil"/>
              <w:right w:val="nil"/>
            </w:tcBorders>
            <w:noWrap/>
            <w:vAlign w:val="bottom"/>
          </w:tcPr>
          <w:p w14:paraId="3E7A12BC" w14:textId="55417C74" w:rsidR="00100E6C" w:rsidRPr="004E6649" w:rsidRDefault="00100E6C" w:rsidP="00100E6C">
            <w:pPr>
              <w:jc w:val="center"/>
              <w:rPr>
                <w:rFonts w:cstheme="minorHAnsi"/>
                <w:b/>
                <w:bCs/>
                <w:color w:val="0D0D0D"/>
                <w:sz w:val="19"/>
                <w:szCs w:val="19"/>
              </w:rPr>
            </w:pPr>
            <w:r>
              <w:rPr>
                <w:rFonts w:ascii="Calibri" w:hAnsi="Calibri" w:cs="Calibri"/>
                <w:color w:val="0D0D0D"/>
                <w:sz w:val="20"/>
                <w:szCs w:val="20"/>
              </w:rPr>
              <w:t>Cost</w:t>
            </w:r>
          </w:p>
        </w:tc>
        <w:tc>
          <w:tcPr>
            <w:tcW w:w="734" w:type="dxa"/>
            <w:tcBorders>
              <w:top w:val="single" w:sz="8" w:space="0" w:color="0D0D0D" w:themeColor="text1" w:themeTint="F2"/>
              <w:left w:val="nil"/>
              <w:bottom w:val="nil"/>
              <w:right w:val="nil"/>
            </w:tcBorders>
            <w:noWrap/>
            <w:vAlign w:val="bottom"/>
          </w:tcPr>
          <w:p w14:paraId="6C2D8305" w14:textId="153B8C0E" w:rsidR="00100E6C" w:rsidRPr="004E6649" w:rsidRDefault="00100E6C" w:rsidP="00100E6C">
            <w:pPr>
              <w:jc w:val="center"/>
              <w:rPr>
                <w:rFonts w:cstheme="minorHAnsi"/>
                <w:color w:val="0D0D0D"/>
                <w:sz w:val="19"/>
                <w:szCs w:val="19"/>
              </w:rPr>
            </w:pPr>
            <w:r>
              <w:rPr>
                <w:rFonts w:ascii="Calibri" w:hAnsi="Calibri" w:cs="Calibri"/>
                <w:color w:val="0D0D0D"/>
                <w:sz w:val="20"/>
                <w:szCs w:val="20"/>
              </w:rPr>
              <w:t>%</w:t>
            </w:r>
            <w:r>
              <w:rPr>
                <w:rFonts w:ascii="Calibri" w:hAnsi="Calibri" w:cs="Calibri"/>
                <w:color w:val="0D0D0D"/>
                <w:sz w:val="20"/>
                <w:szCs w:val="20"/>
              </w:rPr>
              <w:br/>
              <w:t>Change</w:t>
            </w:r>
          </w:p>
        </w:tc>
        <w:tc>
          <w:tcPr>
            <w:tcW w:w="796" w:type="dxa"/>
            <w:tcBorders>
              <w:top w:val="single" w:sz="8" w:space="0" w:color="0D0D0D" w:themeColor="text1" w:themeTint="F2"/>
              <w:left w:val="nil"/>
              <w:bottom w:val="nil"/>
              <w:right w:val="nil"/>
            </w:tcBorders>
            <w:noWrap/>
            <w:vAlign w:val="bottom"/>
          </w:tcPr>
          <w:p w14:paraId="29085705" w14:textId="6B389CC5" w:rsidR="00100E6C" w:rsidRPr="004E6649" w:rsidRDefault="00100E6C" w:rsidP="00100E6C">
            <w:pPr>
              <w:jc w:val="center"/>
              <w:rPr>
                <w:rFonts w:cstheme="minorHAnsi"/>
                <w:color w:val="0D0D0D"/>
                <w:sz w:val="19"/>
                <w:szCs w:val="19"/>
              </w:rPr>
            </w:pPr>
            <w:r>
              <w:rPr>
                <w:rFonts w:ascii="Calibri" w:hAnsi="Calibri" w:cs="Calibri"/>
                <w:color w:val="0D0D0D"/>
                <w:sz w:val="20"/>
                <w:szCs w:val="20"/>
              </w:rPr>
              <w:t>Cost</w:t>
            </w:r>
          </w:p>
        </w:tc>
        <w:tc>
          <w:tcPr>
            <w:tcW w:w="734" w:type="dxa"/>
            <w:tcBorders>
              <w:top w:val="single" w:sz="8" w:space="0" w:color="0D0D0D" w:themeColor="text1" w:themeTint="F2"/>
              <w:left w:val="nil"/>
              <w:bottom w:val="nil"/>
              <w:right w:val="nil"/>
            </w:tcBorders>
            <w:noWrap/>
            <w:vAlign w:val="bottom"/>
          </w:tcPr>
          <w:p w14:paraId="3FFF2C90" w14:textId="13BAC944" w:rsidR="00100E6C" w:rsidRPr="004E6649" w:rsidRDefault="00100E6C" w:rsidP="00100E6C">
            <w:pPr>
              <w:jc w:val="center"/>
              <w:rPr>
                <w:rFonts w:cstheme="minorHAnsi"/>
                <w:color w:val="0D0D0D"/>
                <w:sz w:val="19"/>
                <w:szCs w:val="19"/>
              </w:rPr>
            </w:pPr>
            <w:r>
              <w:rPr>
                <w:rFonts w:ascii="Calibri" w:hAnsi="Calibri" w:cs="Calibri"/>
                <w:color w:val="0D0D0D"/>
                <w:sz w:val="20"/>
                <w:szCs w:val="20"/>
              </w:rPr>
              <w:t>%</w:t>
            </w:r>
            <w:r>
              <w:rPr>
                <w:rFonts w:ascii="Calibri" w:hAnsi="Calibri" w:cs="Calibri"/>
                <w:color w:val="0D0D0D"/>
                <w:sz w:val="20"/>
                <w:szCs w:val="20"/>
              </w:rPr>
              <w:br/>
              <w:t>Change</w:t>
            </w:r>
          </w:p>
        </w:tc>
        <w:tc>
          <w:tcPr>
            <w:tcW w:w="796" w:type="dxa"/>
            <w:tcBorders>
              <w:top w:val="single" w:sz="8" w:space="0" w:color="0D0D0D" w:themeColor="text1" w:themeTint="F2"/>
              <w:left w:val="nil"/>
              <w:bottom w:val="nil"/>
              <w:right w:val="nil"/>
            </w:tcBorders>
            <w:noWrap/>
            <w:vAlign w:val="bottom"/>
          </w:tcPr>
          <w:p w14:paraId="3B5D70AC" w14:textId="5DF46052" w:rsidR="00100E6C" w:rsidRPr="004E6649" w:rsidRDefault="00100E6C" w:rsidP="00100E6C">
            <w:pPr>
              <w:jc w:val="center"/>
              <w:rPr>
                <w:rFonts w:cstheme="minorHAnsi"/>
                <w:color w:val="0D0D0D"/>
                <w:sz w:val="19"/>
                <w:szCs w:val="19"/>
              </w:rPr>
            </w:pPr>
            <w:r>
              <w:rPr>
                <w:rFonts w:ascii="Calibri" w:hAnsi="Calibri" w:cs="Calibri"/>
                <w:color w:val="0D0D0D"/>
                <w:sz w:val="20"/>
                <w:szCs w:val="20"/>
              </w:rPr>
              <w:t>Cost</w:t>
            </w:r>
          </w:p>
        </w:tc>
        <w:tc>
          <w:tcPr>
            <w:tcW w:w="734" w:type="dxa"/>
            <w:tcBorders>
              <w:top w:val="single" w:sz="8" w:space="0" w:color="0D0D0D" w:themeColor="text1" w:themeTint="F2"/>
              <w:left w:val="nil"/>
              <w:bottom w:val="nil"/>
              <w:right w:val="nil"/>
            </w:tcBorders>
            <w:noWrap/>
            <w:vAlign w:val="bottom"/>
          </w:tcPr>
          <w:p w14:paraId="0AB84098" w14:textId="70C1FFEB" w:rsidR="00100E6C" w:rsidRPr="004E6649" w:rsidRDefault="00100E6C" w:rsidP="00100E6C">
            <w:pPr>
              <w:jc w:val="center"/>
              <w:rPr>
                <w:rFonts w:cstheme="minorHAnsi"/>
                <w:color w:val="0D0D0D"/>
                <w:sz w:val="19"/>
                <w:szCs w:val="19"/>
              </w:rPr>
            </w:pPr>
            <w:r>
              <w:rPr>
                <w:rFonts w:ascii="Calibri" w:hAnsi="Calibri" w:cs="Calibri"/>
                <w:color w:val="0D0D0D"/>
                <w:sz w:val="20"/>
                <w:szCs w:val="20"/>
              </w:rPr>
              <w:t>%</w:t>
            </w:r>
            <w:r>
              <w:rPr>
                <w:rFonts w:ascii="Calibri" w:hAnsi="Calibri" w:cs="Calibri"/>
                <w:color w:val="0D0D0D"/>
                <w:sz w:val="20"/>
                <w:szCs w:val="20"/>
              </w:rPr>
              <w:br/>
              <w:t>Change</w:t>
            </w:r>
          </w:p>
        </w:tc>
        <w:tc>
          <w:tcPr>
            <w:tcW w:w="796" w:type="dxa"/>
            <w:tcBorders>
              <w:top w:val="single" w:sz="8" w:space="0" w:color="0D0D0D" w:themeColor="text1" w:themeTint="F2"/>
              <w:left w:val="nil"/>
              <w:bottom w:val="nil"/>
              <w:right w:val="nil"/>
            </w:tcBorders>
            <w:noWrap/>
            <w:vAlign w:val="bottom"/>
          </w:tcPr>
          <w:p w14:paraId="5992ACFB" w14:textId="377D3ADB" w:rsidR="00100E6C" w:rsidRPr="004E6649" w:rsidRDefault="00100E6C" w:rsidP="00100E6C">
            <w:pPr>
              <w:jc w:val="center"/>
              <w:rPr>
                <w:rFonts w:cstheme="minorHAnsi"/>
                <w:color w:val="0D0D0D"/>
                <w:sz w:val="19"/>
                <w:szCs w:val="19"/>
              </w:rPr>
            </w:pPr>
            <w:r>
              <w:rPr>
                <w:rFonts w:ascii="Calibri" w:hAnsi="Calibri" w:cs="Calibri"/>
                <w:color w:val="0D0D0D"/>
                <w:sz w:val="20"/>
                <w:szCs w:val="20"/>
              </w:rPr>
              <w:t>Cost</w:t>
            </w:r>
          </w:p>
        </w:tc>
        <w:tc>
          <w:tcPr>
            <w:tcW w:w="734" w:type="dxa"/>
            <w:tcBorders>
              <w:top w:val="single" w:sz="8" w:space="0" w:color="0D0D0D" w:themeColor="text1" w:themeTint="F2"/>
              <w:left w:val="nil"/>
              <w:bottom w:val="nil"/>
              <w:right w:val="nil"/>
            </w:tcBorders>
            <w:noWrap/>
            <w:vAlign w:val="bottom"/>
          </w:tcPr>
          <w:p w14:paraId="6B030800" w14:textId="3586FB5C" w:rsidR="00100E6C" w:rsidRPr="004E6649" w:rsidRDefault="00100E6C" w:rsidP="00100E6C">
            <w:pPr>
              <w:jc w:val="center"/>
              <w:rPr>
                <w:rFonts w:cstheme="minorHAnsi"/>
                <w:color w:val="0D0D0D"/>
                <w:sz w:val="19"/>
                <w:szCs w:val="19"/>
              </w:rPr>
            </w:pPr>
            <w:r>
              <w:rPr>
                <w:rFonts w:ascii="Calibri" w:hAnsi="Calibri" w:cs="Calibri"/>
                <w:color w:val="0D0D0D"/>
                <w:sz w:val="20"/>
                <w:szCs w:val="20"/>
              </w:rPr>
              <w:t>%</w:t>
            </w:r>
            <w:r>
              <w:rPr>
                <w:rFonts w:ascii="Calibri" w:hAnsi="Calibri" w:cs="Calibri"/>
                <w:color w:val="0D0D0D"/>
                <w:sz w:val="20"/>
                <w:szCs w:val="20"/>
              </w:rPr>
              <w:br/>
              <w:t>Change</w:t>
            </w:r>
          </w:p>
        </w:tc>
      </w:tr>
      <w:tr w:rsidR="00100E6C" w:rsidRPr="004E6649" w14:paraId="08DDC9C5" w14:textId="77777777" w:rsidTr="008B69B9">
        <w:trPr>
          <w:trHeight w:val="66"/>
        </w:trPr>
        <w:tc>
          <w:tcPr>
            <w:tcW w:w="1980" w:type="dxa"/>
            <w:tcBorders>
              <w:top w:val="nil"/>
              <w:left w:val="nil"/>
              <w:bottom w:val="nil"/>
              <w:right w:val="nil"/>
            </w:tcBorders>
            <w:shd w:val="clear" w:color="000000" w:fill="FFFFFF"/>
            <w:noWrap/>
            <w:vAlign w:val="bottom"/>
          </w:tcPr>
          <w:p w14:paraId="150E9C20" w14:textId="0D20DED4" w:rsidR="00100E6C" w:rsidRPr="004E6649" w:rsidRDefault="00100E6C" w:rsidP="00100E6C">
            <w:pPr>
              <w:rPr>
                <w:rFonts w:cstheme="minorHAnsi"/>
                <w:b/>
                <w:bCs/>
                <w:color w:val="0D0D0D"/>
                <w:sz w:val="19"/>
                <w:szCs w:val="19"/>
              </w:rPr>
            </w:pPr>
            <w:r>
              <w:rPr>
                <w:rFonts w:ascii="Calibri" w:hAnsi="Calibri" w:cs="Calibri"/>
                <w:b/>
                <w:bCs/>
                <w:color w:val="0D0D0D"/>
                <w:sz w:val="20"/>
                <w:szCs w:val="20"/>
              </w:rPr>
              <w:t>Undergraduate:</w:t>
            </w:r>
          </w:p>
        </w:tc>
        <w:tc>
          <w:tcPr>
            <w:tcW w:w="918" w:type="dxa"/>
            <w:tcBorders>
              <w:top w:val="nil"/>
              <w:left w:val="nil"/>
              <w:bottom w:val="nil"/>
              <w:right w:val="nil"/>
            </w:tcBorders>
            <w:shd w:val="clear" w:color="000000" w:fill="FFFFFF"/>
            <w:noWrap/>
            <w:vAlign w:val="bottom"/>
          </w:tcPr>
          <w:p w14:paraId="6C88234E" w14:textId="75E9786C" w:rsidR="00100E6C" w:rsidRPr="004E6649" w:rsidRDefault="00100E6C" w:rsidP="00100E6C">
            <w:pPr>
              <w:rPr>
                <w:rFonts w:cstheme="minorHAnsi"/>
                <w:b/>
                <w:bCs/>
                <w:color w:val="0D0D0D"/>
                <w:sz w:val="19"/>
                <w:szCs w:val="19"/>
              </w:rPr>
            </w:pPr>
            <w:r>
              <w:rPr>
                <w:rFonts w:ascii="Calibri" w:hAnsi="Calibri" w:cs="Calibri"/>
                <w:b/>
                <w:bCs/>
                <w:color w:val="0D0D0D"/>
                <w:sz w:val="20"/>
                <w:szCs w:val="20"/>
              </w:rPr>
              <w:t> </w:t>
            </w:r>
          </w:p>
        </w:tc>
        <w:tc>
          <w:tcPr>
            <w:tcW w:w="734" w:type="dxa"/>
            <w:tcBorders>
              <w:top w:val="nil"/>
              <w:left w:val="nil"/>
              <w:bottom w:val="nil"/>
              <w:right w:val="nil"/>
            </w:tcBorders>
            <w:shd w:val="clear" w:color="000000" w:fill="BFBFBF"/>
            <w:noWrap/>
            <w:vAlign w:val="bottom"/>
          </w:tcPr>
          <w:p w14:paraId="3DBF6391" w14:textId="5E1DF2FE" w:rsidR="00100E6C" w:rsidRPr="004E6649" w:rsidRDefault="00100E6C" w:rsidP="00100E6C">
            <w:pPr>
              <w:rPr>
                <w:rFonts w:cstheme="minorHAnsi"/>
                <w:color w:val="0D0D0D"/>
                <w:sz w:val="19"/>
                <w:szCs w:val="19"/>
              </w:rPr>
            </w:pPr>
            <w:r>
              <w:rPr>
                <w:rFonts w:ascii="Calibri" w:hAnsi="Calibri" w:cs="Calibri"/>
                <w:b/>
                <w:bCs/>
                <w:color w:val="0D0D0D"/>
                <w:sz w:val="20"/>
                <w:szCs w:val="20"/>
              </w:rPr>
              <w:t> </w:t>
            </w:r>
          </w:p>
        </w:tc>
        <w:tc>
          <w:tcPr>
            <w:tcW w:w="922" w:type="dxa"/>
            <w:tcBorders>
              <w:top w:val="nil"/>
              <w:left w:val="nil"/>
              <w:bottom w:val="nil"/>
              <w:right w:val="nil"/>
            </w:tcBorders>
            <w:shd w:val="clear" w:color="000000" w:fill="FFFFFF"/>
            <w:noWrap/>
            <w:vAlign w:val="bottom"/>
          </w:tcPr>
          <w:p w14:paraId="725B91CE" w14:textId="0A584ABD" w:rsidR="00100E6C" w:rsidRPr="004E6649" w:rsidRDefault="00100E6C" w:rsidP="00100E6C">
            <w:pPr>
              <w:rPr>
                <w:rFonts w:cstheme="minorHAnsi"/>
                <w:b/>
                <w:bCs/>
                <w:color w:val="0D0D0D"/>
                <w:sz w:val="19"/>
                <w:szCs w:val="19"/>
              </w:rPr>
            </w:pPr>
            <w:r>
              <w:rPr>
                <w:rFonts w:ascii="Calibri" w:hAnsi="Calibri" w:cs="Calibri"/>
                <w:b/>
                <w:bCs/>
                <w:color w:val="0D0D0D"/>
                <w:sz w:val="20"/>
                <w:szCs w:val="20"/>
              </w:rPr>
              <w:t> </w:t>
            </w:r>
          </w:p>
        </w:tc>
        <w:tc>
          <w:tcPr>
            <w:tcW w:w="734" w:type="dxa"/>
            <w:tcBorders>
              <w:top w:val="nil"/>
              <w:left w:val="nil"/>
              <w:bottom w:val="nil"/>
              <w:right w:val="nil"/>
            </w:tcBorders>
            <w:shd w:val="clear" w:color="000000" w:fill="BFBFBF"/>
            <w:noWrap/>
            <w:vAlign w:val="bottom"/>
          </w:tcPr>
          <w:p w14:paraId="3DF58DC3" w14:textId="11C1C73C" w:rsidR="00100E6C" w:rsidRPr="004E6649" w:rsidRDefault="00100E6C" w:rsidP="00100E6C">
            <w:pPr>
              <w:rPr>
                <w:rFonts w:cstheme="minorHAnsi"/>
                <w:color w:val="0D0D0D"/>
                <w:sz w:val="19"/>
                <w:szCs w:val="19"/>
              </w:rPr>
            </w:pPr>
            <w:r>
              <w:rPr>
                <w:rFonts w:ascii="Calibri" w:hAnsi="Calibri" w:cs="Calibri"/>
                <w:b/>
                <w:bCs/>
                <w:color w:val="0D0D0D"/>
                <w:sz w:val="20"/>
                <w:szCs w:val="20"/>
              </w:rPr>
              <w:t> </w:t>
            </w:r>
          </w:p>
        </w:tc>
        <w:tc>
          <w:tcPr>
            <w:tcW w:w="796" w:type="dxa"/>
            <w:tcBorders>
              <w:top w:val="nil"/>
              <w:left w:val="nil"/>
              <w:bottom w:val="nil"/>
              <w:right w:val="nil"/>
            </w:tcBorders>
            <w:shd w:val="clear" w:color="000000" w:fill="FFFFFF"/>
            <w:noWrap/>
            <w:vAlign w:val="bottom"/>
          </w:tcPr>
          <w:p w14:paraId="104C4A7C" w14:textId="43A1A860" w:rsidR="00100E6C" w:rsidRPr="004E6649" w:rsidRDefault="00100E6C" w:rsidP="00100E6C">
            <w:pPr>
              <w:rPr>
                <w:rFonts w:cstheme="minorHAnsi"/>
                <w:color w:val="0D0D0D"/>
                <w:sz w:val="19"/>
                <w:szCs w:val="19"/>
              </w:rPr>
            </w:pPr>
            <w:r>
              <w:rPr>
                <w:rFonts w:ascii="Calibri" w:hAnsi="Calibri" w:cs="Calibri"/>
                <w:b/>
                <w:bCs/>
                <w:color w:val="0D0D0D"/>
                <w:sz w:val="20"/>
                <w:szCs w:val="20"/>
              </w:rPr>
              <w:t> </w:t>
            </w:r>
          </w:p>
        </w:tc>
        <w:tc>
          <w:tcPr>
            <w:tcW w:w="734" w:type="dxa"/>
            <w:tcBorders>
              <w:top w:val="nil"/>
              <w:left w:val="nil"/>
              <w:bottom w:val="nil"/>
              <w:right w:val="nil"/>
            </w:tcBorders>
            <w:shd w:val="clear" w:color="000000" w:fill="BFBFBF"/>
            <w:noWrap/>
            <w:vAlign w:val="bottom"/>
          </w:tcPr>
          <w:p w14:paraId="59D225F3" w14:textId="5BD173BB" w:rsidR="00100E6C" w:rsidRPr="004E6649" w:rsidRDefault="00100E6C" w:rsidP="00100E6C">
            <w:pPr>
              <w:rPr>
                <w:rFonts w:cstheme="minorHAnsi"/>
                <w:color w:val="0D0D0D"/>
                <w:sz w:val="19"/>
                <w:szCs w:val="19"/>
              </w:rPr>
            </w:pPr>
            <w:r>
              <w:rPr>
                <w:rFonts w:ascii="Calibri" w:hAnsi="Calibri" w:cs="Calibri"/>
                <w:b/>
                <w:bCs/>
                <w:color w:val="0D0D0D"/>
                <w:sz w:val="20"/>
                <w:szCs w:val="20"/>
              </w:rPr>
              <w:t> </w:t>
            </w:r>
          </w:p>
        </w:tc>
        <w:tc>
          <w:tcPr>
            <w:tcW w:w="796" w:type="dxa"/>
            <w:tcBorders>
              <w:top w:val="nil"/>
              <w:left w:val="nil"/>
              <w:bottom w:val="nil"/>
              <w:right w:val="nil"/>
            </w:tcBorders>
            <w:shd w:val="clear" w:color="000000" w:fill="FFFFFF"/>
            <w:noWrap/>
            <w:vAlign w:val="bottom"/>
          </w:tcPr>
          <w:p w14:paraId="6E06D03D" w14:textId="17912195" w:rsidR="00100E6C" w:rsidRPr="004E6649" w:rsidRDefault="00100E6C" w:rsidP="00100E6C">
            <w:pPr>
              <w:rPr>
                <w:rFonts w:cstheme="minorHAnsi"/>
                <w:color w:val="0D0D0D"/>
                <w:sz w:val="19"/>
                <w:szCs w:val="19"/>
              </w:rPr>
            </w:pPr>
            <w:r>
              <w:rPr>
                <w:rFonts w:ascii="Calibri" w:hAnsi="Calibri" w:cs="Calibri"/>
                <w:b/>
                <w:bCs/>
                <w:color w:val="0D0D0D"/>
                <w:sz w:val="20"/>
                <w:szCs w:val="20"/>
              </w:rPr>
              <w:t> </w:t>
            </w:r>
          </w:p>
        </w:tc>
        <w:tc>
          <w:tcPr>
            <w:tcW w:w="734" w:type="dxa"/>
            <w:tcBorders>
              <w:top w:val="nil"/>
              <w:left w:val="nil"/>
              <w:bottom w:val="nil"/>
              <w:right w:val="nil"/>
            </w:tcBorders>
            <w:shd w:val="clear" w:color="000000" w:fill="BFBFBF"/>
            <w:noWrap/>
            <w:vAlign w:val="bottom"/>
          </w:tcPr>
          <w:p w14:paraId="166FA2C2" w14:textId="514D8567" w:rsidR="00100E6C" w:rsidRPr="004E6649" w:rsidRDefault="00100E6C" w:rsidP="00100E6C">
            <w:pPr>
              <w:rPr>
                <w:rFonts w:cstheme="minorHAnsi"/>
                <w:color w:val="0D0D0D"/>
                <w:sz w:val="19"/>
                <w:szCs w:val="19"/>
              </w:rPr>
            </w:pPr>
            <w:r>
              <w:rPr>
                <w:rFonts w:ascii="Calibri" w:hAnsi="Calibri" w:cs="Calibri"/>
                <w:b/>
                <w:bCs/>
                <w:color w:val="0D0D0D"/>
                <w:sz w:val="20"/>
                <w:szCs w:val="20"/>
              </w:rPr>
              <w:t> </w:t>
            </w:r>
          </w:p>
        </w:tc>
        <w:tc>
          <w:tcPr>
            <w:tcW w:w="796" w:type="dxa"/>
            <w:tcBorders>
              <w:top w:val="nil"/>
              <w:left w:val="nil"/>
              <w:bottom w:val="nil"/>
              <w:right w:val="nil"/>
            </w:tcBorders>
            <w:shd w:val="clear" w:color="000000" w:fill="FFFFFF"/>
            <w:noWrap/>
            <w:vAlign w:val="bottom"/>
          </w:tcPr>
          <w:p w14:paraId="53C3A3D9" w14:textId="509B4741" w:rsidR="00100E6C" w:rsidRPr="004E6649" w:rsidRDefault="00100E6C" w:rsidP="00100E6C">
            <w:pPr>
              <w:rPr>
                <w:rFonts w:cstheme="minorHAnsi"/>
                <w:color w:val="0D0D0D"/>
                <w:sz w:val="19"/>
                <w:szCs w:val="19"/>
              </w:rPr>
            </w:pPr>
            <w:r>
              <w:rPr>
                <w:rFonts w:ascii="Calibri" w:hAnsi="Calibri" w:cs="Calibri"/>
                <w:b/>
                <w:bCs/>
                <w:color w:val="0D0D0D"/>
                <w:sz w:val="20"/>
                <w:szCs w:val="20"/>
              </w:rPr>
              <w:t> </w:t>
            </w:r>
          </w:p>
        </w:tc>
        <w:tc>
          <w:tcPr>
            <w:tcW w:w="734" w:type="dxa"/>
            <w:tcBorders>
              <w:top w:val="nil"/>
              <w:left w:val="nil"/>
              <w:bottom w:val="nil"/>
              <w:right w:val="nil"/>
            </w:tcBorders>
            <w:shd w:val="clear" w:color="000000" w:fill="BFBFBF"/>
            <w:noWrap/>
            <w:vAlign w:val="bottom"/>
          </w:tcPr>
          <w:p w14:paraId="13719E97" w14:textId="535A09B3" w:rsidR="00100E6C" w:rsidRPr="004E6649" w:rsidRDefault="00100E6C" w:rsidP="00100E6C">
            <w:pPr>
              <w:rPr>
                <w:rFonts w:cstheme="minorHAnsi"/>
                <w:color w:val="0D0D0D"/>
                <w:sz w:val="19"/>
                <w:szCs w:val="19"/>
              </w:rPr>
            </w:pPr>
            <w:r>
              <w:rPr>
                <w:rFonts w:ascii="Calibri" w:hAnsi="Calibri" w:cs="Calibri"/>
                <w:b/>
                <w:bCs/>
                <w:color w:val="0D0D0D"/>
                <w:sz w:val="20"/>
                <w:szCs w:val="20"/>
              </w:rPr>
              <w:t> </w:t>
            </w:r>
          </w:p>
        </w:tc>
      </w:tr>
      <w:tr w:rsidR="00100E6C" w:rsidRPr="004E6649" w14:paraId="4DEE332D" w14:textId="77777777" w:rsidTr="008B69B9">
        <w:trPr>
          <w:trHeight w:val="66"/>
        </w:trPr>
        <w:tc>
          <w:tcPr>
            <w:tcW w:w="1980" w:type="dxa"/>
            <w:tcBorders>
              <w:top w:val="nil"/>
              <w:left w:val="nil"/>
              <w:bottom w:val="nil"/>
              <w:right w:val="nil"/>
            </w:tcBorders>
            <w:shd w:val="clear" w:color="000000" w:fill="FFFFFF"/>
            <w:noWrap/>
            <w:vAlign w:val="bottom"/>
          </w:tcPr>
          <w:p w14:paraId="3F9245E9" w14:textId="50E4BF46" w:rsidR="00100E6C" w:rsidRPr="004E6649" w:rsidRDefault="00100E6C" w:rsidP="00100E6C">
            <w:pPr>
              <w:rPr>
                <w:rFonts w:cstheme="minorHAnsi"/>
                <w:color w:val="0D0D0D"/>
                <w:sz w:val="19"/>
                <w:szCs w:val="19"/>
              </w:rPr>
            </w:pPr>
            <w:r>
              <w:rPr>
                <w:rFonts w:ascii="Calibri" w:hAnsi="Calibri" w:cs="Calibri"/>
                <w:color w:val="0D0D0D"/>
                <w:sz w:val="20"/>
                <w:szCs w:val="20"/>
              </w:rPr>
              <w:t>In-State</w:t>
            </w:r>
          </w:p>
        </w:tc>
        <w:tc>
          <w:tcPr>
            <w:tcW w:w="918" w:type="dxa"/>
            <w:tcBorders>
              <w:top w:val="nil"/>
              <w:left w:val="nil"/>
              <w:bottom w:val="nil"/>
              <w:right w:val="nil"/>
            </w:tcBorders>
            <w:shd w:val="clear" w:color="000000" w:fill="FFFFFF"/>
            <w:noWrap/>
            <w:vAlign w:val="bottom"/>
          </w:tcPr>
          <w:p w14:paraId="6990D016" w14:textId="3E91E75B" w:rsidR="00100E6C" w:rsidRPr="004E6649" w:rsidRDefault="00100E6C" w:rsidP="00100E6C">
            <w:pPr>
              <w:jc w:val="right"/>
              <w:rPr>
                <w:rFonts w:cstheme="minorHAnsi"/>
                <w:b/>
                <w:bCs/>
                <w:color w:val="0D0D0D"/>
                <w:sz w:val="19"/>
                <w:szCs w:val="19"/>
              </w:rPr>
            </w:pPr>
            <w:r>
              <w:rPr>
                <w:rFonts w:ascii="Calibri" w:hAnsi="Calibri" w:cs="Calibri"/>
                <w:b/>
                <w:bCs/>
                <w:color w:val="0D0D0D"/>
                <w:sz w:val="20"/>
                <w:szCs w:val="20"/>
              </w:rPr>
              <w:t>$22,200</w:t>
            </w:r>
          </w:p>
        </w:tc>
        <w:tc>
          <w:tcPr>
            <w:tcW w:w="734" w:type="dxa"/>
            <w:tcBorders>
              <w:top w:val="nil"/>
              <w:left w:val="nil"/>
              <w:bottom w:val="nil"/>
              <w:right w:val="nil"/>
            </w:tcBorders>
            <w:shd w:val="clear" w:color="000000" w:fill="BFBFBF"/>
            <w:noWrap/>
            <w:vAlign w:val="bottom"/>
          </w:tcPr>
          <w:p w14:paraId="738BD107" w14:textId="0375B948" w:rsidR="00100E6C" w:rsidRPr="004E6649" w:rsidRDefault="00100E6C" w:rsidP="00100E6C">
            <w:pPr>
              <w:jc w:val="right"/>
              <w:rPr>
                <w:rFonts w:cstheme="minorHAnsi"/>
                <w:color w:val="0D0D0D"/>
                <w:sz w:val="19"/>
                <w:szCs w:val="19"/>
              </w:rPr>
            </w:pPr>
            <w:r>
              <w:rPr>
                <w:rFonts w:ascii="Calibri" w:hAnsi="Calibri" w:cs="Calibri"/>
                <w:color w:val="0D0D0D"/>
                <w:sz w:val="20"/>
                <w:szCs w:val="20"/>
              </w:rPr>
              <w:t>3.8%</w:t>
            </w:r>
          </w:p>
        </w:tc>
        <w:tc>
          <w:tcPr>
            <w:tcW w:w="922" w:type="dxa"/>
            <w:tcBorders>
              <w:top w:val="nil"/>
              <w:left w:val="nil"/>
              <w:bottom w:val="nil"/>
              <w:right w:val="nil"/>
            </w:tcBorders>
            <w:shd w:val="clear" w:color="000000" w:fill="FFFFFF"/>
            <w:noWrap/>
            <w:vAlign w:val="bottom"/>
          </w:tcPr>
          <w:p w14:paraId="55DEEF1B" w14:textId="1186740D" w:rsidR="00100E6C" w:rsidRPr="004E6649" w:rsidRDefault="00100E6C" w:rsidP="00100E6C">
            <w:pPr>
              <w:jc w:val="right"/>
              <w:rPr>
                <w:rFonts w:cstheme="minorHAnsi"/>
                <w:b/>
                <w:bCs/>
                <w:color w:val="0D0D0D"/>
                <w:sz w:val="19"/>
                <w:szCs w:val="19"/>
              </w:rPr>
            </w:pPr>
            <w:r>
              <w:rPr>
                <w:rFonts w:ascii="Calibri" w:hAnsi="Calibri" w:cs="Calibri"/>
                <w:b/>
                <w:bCs/>
                <w:color w:val="0D0D0D"/>
                <w:sz w:val="20"/>
                <w:szCs w:val="20"/>
              </w:rPr>
              <w:t>$21,379</w:t>
            </w:r>
          </w:p>
        </w:tc>
        <w:tc>
          <w:tcPr>
            <w:tcW w:w="734" w:type="dxa"/>
            <w:tcBorders>
              <w:top w:val="nil"/>
              <w:left w:val="nil"/>
              <w:bottom w:val="nil"/>
              <w:right w:val="nil"/>
            </w:tcBorders>
            <w:shd w:val="clear" w:color="000000" w:fill="BFBFBF"/>
            <w:noWrap/>
            <w:vAlign w:val="bottom"/>
          </w:tcPr>
          <w:p w14:paraId="6487B87F" w14:textId="2D2AA590" w:rsidR="00100E6C" w:rsidRPr="004E6649" w:rsidRDefault="00100E6C" w:rsidP="00100E6C">
            <w:pPr>
              <w:jc w:val="right"/>
              <w:rPr>
                <w:rFonts w:cstheme="minorHAnsi"/>
                <w:color w:val="0D0D0D"/>
                <w:sz w:val="19"/>
                <w:szCs w:val="19"/>
              </w:rPr>
            </w:pPr>
            <w:r>
              <w:rPr>
                <w:rFonts w:ascii="Calibri" w:hAnsi="Calibri" w:cs="Calibri"/>
                <w:color w:val="0D0D0D"/>
                <w:sz w:val="20"/>
                <w:szCs w:val="20"/>
              </w:rPr>
              <w:t>5.9%</w:t>
            </w:r>
          </w:p>
        </w:tc>
        <w:tc>
          <w:tcPr>
            <w:tcW w:w="796" w:type="dxa"/>
            <w:tcBorders>
              <w:top w:val="nil"/>
              <w:left w:val="nil"/>
              <w:bottom w:val="nil"/>
              <w:right w:val="nil"/>
            </w:tcBorders>
            <w:shd w:val="clear" w:color="000000" w:fill="FFFFFF"/>
            <w:noWrap/>
            <w:vAlign w:val="bottom"/>
          </w:tcPr>
          <w:p w14:paraId="45BDCA3C" w14:textId="66647A48" w:rsidR="00100E6C" w:rsidRPr="008B69B9" w:rsidRDefault="00100E6C" w:rsidP="00100E6C">
            <w:pPr>
              <w:jc w:val="right"/>
              <w:rPr>
                <w:rFonts w:cstheme="minorHAnsi"/>
                <w:color w:val="0D0D0D"/>
                <w:sz w:val="19"/>
                <w:szCs w:val="19"/>
              </w:rPr>
            </w:pPr>
            <w:r w:rsidRPr="008B69B9">
              <w:rPr>
                <w:rFonts w:ascii="Calibri" w:hAnsi="Calibri" w:cs="Calibri"/>
                <w:color w:val="0D0D0D"/>
                <w:sz w:val="20"/>
                <w:szCs w:val="20"/>
              </w:rPr>
              <w:t>$20,183</w:t>
            </w:r>
          </w:p>
        </w:tc>
        <w:tc>
          <w:tcPr>
            <w:tcW w:w="734" w:type="dxa"/>
            <w:tcBorders>
              <w:top w:val="nil"/>
              <w:left w:val="nil"/>
              <w:bottom w:val="nil"/>
              <w:right w:val="nil"/>
            </w:tcBorders>
            <w:shd w:val="clear" w:color="000000" w:fill="BFBFBF"/>
            <w:noWrap/>
            <w:vAlign w:val="bottom"/>
          </w:tcPr>
          <w:p w14:paraId="1D04416E" w14:textId="5DEFD196" w:rsidR="00100E6C" w:rsidRPr="004E6649" w:rsidRDefault="00100E6C" w:rsidP="00100E6C">
            <w:pPr>
              <w:jc w:val="right"/>
              <w:rPr>
                <w:rFonts w:cstheme="minorHAnsi"/>
                <w:color w:val="0D0D0D"/>
                <w:sz w:val="19"/>
                <w:szCs w:val="19"/>
              </w:rPr>
            </w:pPr>
            <w:r>
              <w:rPr>
                <w:rFonts w:ascii="Calibri" w:hAnsi="Calibri" w:cs="Calibri"/>
                <w:color w:val="0D0D0D"/>
                <w:sz w:val="20"/>
                <w:szCs w:val="20"/>
              </w:rPr>
              <w:t>3.2%</w:t>
            </w:r>
          </w:p>
        </w:tc>
        <w:tc>
          <w:tcPr>
            <w:tcW w:w="796" w:type="dxa"/>
            <w:tcBorders>
              <w:top w:val="nil"/>
              <w:left w:val="nil"/>
              <w:bottom w:val="nil"/>
              <w:right w:val="nil"/>
            </w:tcBorders>
            <w:shd w:val="clear" w:color="000000" w:fill="FFFFFF"/>
            <w:noWrap/>
            <w:vAlign w:val="bottom"/>
          </w:tcPr>
          <w:p w14:paraId="474EE670" w14:textId="229CDC43" w:rsidR="00100E6C" w:rsidRPr="008B69B9" w:rsidRDefault="00100E6C" w:rsidP="00100E6C">
            <w:pPr>
              <w:jc w:val="right"/>
              <w:rPr>
                <w:rFonts w:cstheme="minorHAnsi"/>
                <w:color w:val="0D0D0D"/>
                <w:sz w:val="19"/>
                <w:szCs w:val="19"/>
              </w:rPr>
            </w:pPr>
            <w:r w:rsidRPr="008B69B9">
              <w:rPr>
                <w:rFonts w:ascii="Calibri" w:hAnsi="Calibri" w:cs="Calibri"/>
                <w:color w:val="0D0D0D"/>
                <w:sz w:val="20"/>
                <w:szCs w:val="20"/>
              </w:rPr>
              <w:t>$19,548</w:t>
            </w:r>
          </w:p>
        </w:tc>
        <w:tc>
          <w:tcPr>
            <w:tcW w:w="734" w:type="dxa"/>
            <w:tcBorders>
              <w:top w:val="nil"/>
              <w:left w:val="nil"/>
              <w:bottom w:val="nil"/>
              <w:right w:val="nil"/>
            </w:tcBorders>
            <w:shd w:val="clear" w:color="000000" w:fill="BFBFBF"/>
            <w:noWrap/>
            <w:vAlign w:val="bottom"/>
          </w:tcPr>
          <w:p w14:paraId="38EB297C" w14:textId="1E08460A" w:rsidR="00100E6C" w:rsidRPr="004E6649" w:rsidRDefault="00100E6C" w:rsidP="00100E6C">
            <w:pPr>
              <w:jc w:val="right"/>
              <w:rPr>
                <w:rFonts w:cstheme="minorHAnsi"/>
                <w:color w:val="0D0D0D"/>
                <w:sz w:val="19"/>
                <w:szCs w:val="19"/>
              </w:rPr>
            </w:pPr>
            <w:r>
              <w:rPr>
                <w:rFonts w:ascii="Calibri" w:hAnsi="Calibri" w:cs="Calibri"/>
                <w:color w:val="0D0D0D"/>
                <w:sz w:val="20"/>
                <w:szCs w:val="20"/>
              </w:rPr>
              <w:t>3.6%</w:t>
            </w:r>
          </w:p>
        </w:tc>
        <w:tc>
          <w:tcPr>
            <w:tcW w:w="796" w:type="dxa"/>
            <w:tcBorders>
              <w:top w:val="nil"/>
              <w:left w:val="nil"/>
              <w:bottom w:val="nil"/>
              <w:right w:val="nil"/>
            </w:tcBorders>
            <w:shd w:val="clear" w:color="000000" w:fill="FFFFFF"/>
            <w:noWrap/>
            <w:vAlign w:val="bottom"/>
          </w:tcPr>
          <w:p w14:paraId="30A348DF" w14:textId="2355EA4B" w:rsidR="00100E6C" w:rsidRPr="004E6649" w:rsidRDefault="00100E6C" w:rsidP="00100E6C">
            <w:pPr>
              <w:jc w:val="right"/>
              <w:rPr>
                <w:rFonts w:cstheme="minorHAnsi"/>
                <w:color w:val="0D0D0D"/>
                <w:sz w:val="19"/>
                <w:szCs w:val="19"/>
              </w:rPr>
            </w:pPr>
            <w:r>
              <w:rPr>
                <w:rFonts w:ascii="Calibri" w:hAnsi="Calibri" w:cs="Calibri"/>
                <w:color w:val="0D0D0D"/>
                <w:sz w:val="20"/>
                <w:szCs w:val="20"/>
              </w:rPr>
              <w:t>$18,877</w:t>
            </w:r>
          </w:p>
        </w:tc>
        <w:tc>
          <w:tcPr>
            <w:tcW w:w="734" w:type="dxa"/>
            <w:tcBorders>
              <w:top w:val="nil"/>
              <w:left w:val="nil"/>
              <w:bottom w:val="nil"/>
              <w:right w:val="nil"/>
            </w:tcBorders>
            <w:shd w:val="clear" w:color="000000" w:fill="BFBFBF"/>
            <w:noWrap/>
            <w:vAlign w:val="bottom"/>
          </w:tcPr>
          <w:p w14:paraId="032F7027" w14:textId="13CE9601" w:rsidR="00100E6C" w:rsidRPr="004E6649" w:rsidRDefault="00100E6C" w:rsidP="00100E6C">
            <w:pPr>
              <w:jc w:val="right"/>
              <w:rPr>
                <w:rFonts w:cstheme="minorHAnsi"/>
                <w:color w:val="0D0D0D"/>
                <w:sz w:val="19"/>
                <w:szCs w:val="19"/>
              </w:rPr>
            </w:pPr>
            <w:r>
              <w:rPr>
                <w:rFonts w:ascii="Calibri" w:hAnsi="Calibri" w:cs="Calibri"/>
                <w:color w:val="0D0D0D"/>
                <w:sz w:val="20"/>
                <w:szCs w:val="20"/>
              </w:rPr>
              <w:t>3.0%</w:t>
            </w:r>
          </w:p>
        </w:tc>
      </w:tr>
      <w:tr w:rsidR="00100E6C" w:rsidRPr="004E6649" w14:paraId="183FEB07" w14:textId="77777777" w:rsidTr="008B69B9">
        <w:trPr>
          <w:trHeight w:val="66"/>
        </w:trPr>
        <w:tc>
          <w:tcPr>
            <w:tcW w:w="1980" w:type="dxa"/>
            <w:tcBorders>
              <w:top w:val="nil"/>
              <w:left w:val="nil"/>
              <w:bottom w:val="nil"/>
              <w:right w:val="nil"/>
            </w:tcBorders>
            <w:shd w:val="clear" w:color="000000" w:fill="FFFFFF"/>
            <w:noWrap/>
            <w:vAlign w:val="bottom"/>
          </w:tcPr>
          <w:p w14:paraId="462E293B" w14:textId="77047552" w:rsidR="00100E6C" w:rsidRPr="004E6649" w:rsidRDefault="00100E6C" w:rsidP="00100E6C">
            <w:pPr>
              <w:rPr>
                <w:rFonts w:cstheme="minorHAnsi"/>
                <w:color w:val="0D0D0D"/>
                <w:sz w:val="19"/>
                <w:szCs w:val="19"/>
              </w:rPr>
            </w:pPr>
            <w:r>
              <w:rPr>
                <w:rFonts w:ascii="Calibri" w:hAnsi="Calibri" w:cs="Calibri"/>
                <w:color w:val="0D0D0D"/>
                <w:sz w:val="20"/>
                <w:szCs w:val="20"/>
              </w:rPr>
              <w:t>Out-of-State</w:t>
            </w:r>
          </w:p>
        </w:tc>
        <w:tc>
          <w:tcPr>
            <w:tcW w:w="918" w:type="dxa"/>
            <w:tcBorders>
              <w:top w:val="nil"/>
              <w:left w:val="nil"/>
              <w:bottom w:val="nil"/>
              <w:right w:val="nil"/>
            </w:tcBorders>
            <w:shd w:val="clear" w:color="000000" w:fill="FFFFFF"/>
            <w:noWrap/>
            <w:vAlign w:val="bottom"/>
          </w:tcPr>
          <w:p w14:paraId="73F08BC8" w14:textId="60CF46CB" w:rsidR="00100E6C" w:rsidRPr="004E6649" w:rsidRDefault="00100E6C" w:rsidP="00100E6C">
            <w:pPr>
              <w:jc w:val="right"/>
              <w:rPr>
                <w:rFonts w:cstheme="minorHAnsi"/>
                <w:b/>
                <w:bCs/>
                <w:color w:val="0D0D0D"/>
                <w:sz w:val="19"/>
                <w:szCs w:val="19"/>
              </w:rPr>
            </w:pPr>
            <w:r>
              <w:rPr>
                <w:rFonts w:ascii="Calibri" w:hAnsi="Calibri" w:cs="Calibri"/>
                <w:b/>
                <w:bCs/>
                <w:color w:val="0D0D0D"/>
                <w:sz w:val="20"/>
                <w:szCs w:val="20"/>
              </w:rPr>
              <w:t>34,564</w:t>
            </w:r>
          </w:p>
        </w:tc>
        <w:tc>
          <w:tcPr>
            <w:tcW w:w="734" w:type="dxa"/>
            <w:tcBorders>
              <w:top w:val="nil"/>
              <w:left w:val="nil"/>
              <w:bottom w:val="nil"/>
              <w:right w:val="nil"/>
            </w:tcBorders>
            <w:shd w:val="clear" w:color="000000" w:fill="BFBFBF"/>
            <w:noWrap/>
            <w:vAlign w:val="bottom"/>
          </w:tcPr>
          <w:p w14:paraId="6E2F5F34" w14:textId="756DD8E4" w:rsidR="00100E6C" w:rsidRPr="004E6649" w:rsidRDefault="00100E6C" w:rsidP="00100E6C">
            <w:pPr>
              <w:jc w:val="right"/>
              <w:rPr>
                <w:rFonts w:cstheme="minorHAnsi"/>
                <w:color w:val="0D0D0D"/>
                <w:sz w:val="19"/>
                <w:szCs w:val="19"/>
              </w:rPr>
            </w:pPr>
            <w:r>
              <w:rPr>
                <w:rFonts w:ascii="Calibri" w:hAnsi="Calibri" w:cs="Calibri"/>
                <w:color w:val="0D0D0D"/>
                <w:sz w:val="20"/>
                <w:szCs w:val="20"/>
              </w:rPr>
              <w:t>3.6%</w:t>
            </w:r>
          </w:p>
        </w:tc>
        <w:tc>
          <w:tcPr>
            <w:tcW w:w="922" w:type="dxa"/>
            <w:tcBorders>
              <w:top w:val="nil"/>
              <w:left w:val="nil"/>
              <w:bottom w:val="nil"/>
              <w:right w:val="nil"/>
            </w:tcBorders>
            <w:shd w:val="clear" w:color="000000" w:fill="FFFFFF"/>
            <w:noWrap/>
            <w:vAlign w:val="bottom"/>
          </w:tcPr>
          <w:p w14:paraId="2A644F4B" w14:textId="33F12D5D" w:rsidR="00100E6C" w:rsidRPr="004E6649" w:rsidRDefault="00100E6C" w:rsidP="00100E6C">
            <w:pPr>
              <w:jc w:val="right"/>
              <w:rPr>
                <w:rFonts w:cstheme="minorHAnsi"/>
                <w:b/>
                <w:bCs/>
                <w:color w:val="0D0D0D"/>
                <w:sz w:val="19"/>
                <w:szCs w:val="19"/>
              </w:rPr>
            </w:pPr>
            <w:r>
              <w:rPr>
                <w:rFonts w:ascii="Calibri" w:hAnsi="Calibri" w:cs="Calibri"/>
                <w:b/>
                <w:bCs/>
                <w:color w:val="0D0D0D"/>
                <w:sz w:val="20"/>
                <w:szCs w:val="20"/>
              </w:rPr>
              <w:t>33,366</w:t>
            </w:r>
          </w:p>
        </w:tc>
        <w:tc>
          <w:tcPr>
            <w:tcW w:w="734" w:type="dxa"/>
            <w:tcBorders>
              <w:top w:val="nil"/>
              <w:left w:val="nil"/>
              <w:bottom w:val="nil"/>
              <w:right w:val="nil"/>
            </w:tcBorders>
            <w:shd w:val="clear" w:color="000000" w:fill="BFBFBF"/>
            <w:noWrap/>
            <w:vAlign w:val="bottom"/>
          </w:tcPr>
          <w:p w14:paraId="6542BE65" w14:textId="6DB0F787" w:rsidR="00100E6C" w:rsidRPr="004E6649" w:rsidRDefault="00100E6C" w:rsidP="00100E6C">
            <w:pPr>
              <w:jc w:val="right"/>
              <w:rPr>
                <w:rFonts w:cstheme="minorHAnsi"/>
                <w:color w:val="0D0D0D"/>
                <w:sz w:val="19"/>
                <w:szCs w:val="19"/>
              </w:rPr>
            </w:pPr>
            <w:r>
              <w:rPr>
                <w:rFonts w:ascii="Calibri" w:hAnsi="Calibri" w:cs="Calibri"/>
                <w:color w:val="0D0D0D"/>
                <w:sz w:val="20"/>
                <w:szCs w:val="20"/>
              </w:rPr>
              <w:t>6.3%</w:t>
            </w:r>
          </w:p>
        </w:tc>
        <w:tc>
          <w:tcPr>
            <w:tcW w:w="796" w:type="dxa"/>
            <w:tcBorders>
              <w:top w:val="nil"/>
              <w:left w:val="nil"/>
              <w:bottom w:val="nil"/>
              <w:right w:val="nil"/>
            </w:tcBorders>
            <w:shd w:val="clear" w:color="000000" w:fill="FFFFFF"/>
            <w:noWrap/>
            <w:vAlign w:val="bottom"/>
          </w:tcPr>
          <w:p w14:paraId="4C8F13D7" w14:textId="3F5BE154" w:rsidR="00100E6C" w:rsidRPr="008B69B9" w:rsidRDefault="00100E6C" w:rsidP="00100E6C">
            <w:pPr>
              <w:jc w:val="right"/>
              <w:rPr>
                <w:rFonts w:cstheme="minorHAnsi"/>
                <w:color w:val="0D0D0D"/>
                <w:sz w:val="19"/>
                <w:szCs w:val="19"/>
              </w:rPr>
            </w:pPr>
            <w:r w:rsidRPr="008B69B9">
              <w:rPr>
                <w:rFonts w:ascii="Calibri" w:hAnsi="Calibri" w:cs="Calibri"/>
                <w:color w:val="0D0D0D"/>
                <w:sz w:val="20"/>
                <w:szCs w:val="20"/>
              </w:rPr>
              <w:t>31,395</w:t>
            </w:r>
          </w:p>
        </w:tc>
        <w:tc>
          <w:tcPr>
            <w:tcW w:w="734" w:type="dxa"/>
            <w:tcBorders>
              <w:top w:val="nil"/>
              <w:left w:val="nil"/>
              <w:bottom w:val="nil"/>
              <w:right w:val="nil"/>
            </w:tcBorders>
            <w:shd w:val="clear" w:color="000000" w:fill="BFBFBF"/>
            <w:noWrap/>
            <w:vAlign w:val="bottom"/>
          </w:tcPr>
          <w:p w14:paraId="27F8EF35" w14:textId="2483B080" w:rsidR="00100E6C" w:rsidRPr="004E6649" w:rsidRDefault="00100E6C" w:rsidP="00100E6C">
            <w:pPr>
              <w:jc w:val="right"/>
              <w:rPr>
                <w:rFonts w:cstheme="minorHAnsi"/>
                <w:color w:val="0D0D0D"/>
                <w:sz w:val="19"/>
                <w:szCs w:val="19"/>
              </w:rPr>
            </w:pPr>
            <w:r>
              <w:rPr>
                <w:rFonts w:ascii="Calibri" w:hAnsi="Calibri" w:cs="Calibri"/>
                <w:color w:val="0D0D0D"/>
                <w:sz w:val="20"/>
                <w:szCs w:val="20"/>
              </w:rPr>
              <w:t>3.3%</w:t>
            </w:r>
          </w:p>
        </w:tc>
        <w:tc>
          <w:tcPr>
            <w:tcW w:w="796" w:type="dxa"/>
            <w:tcBorders>
              <w:top w:val="nil"/>
              <w:left w:val="nil"/>
              <w:bottom w:val="nil"/>
              <w:right w:val="nil"/>
            </w:tcBorders>
            <w:shd w:val="clear" w:color="000000" w:fill="FFFFFF"/>
            <w:noWrap/>
            <w:vAlign w:val="bottom"/>
          </w:tcPr>
          <w:p w14:paraId="13FD7E67" w14:textId="2A43E45A" w:rsidR="00100E6C" w:rsidRPr="008B69B9" w:rsidRDefault="00100E6C" w:rsidP="00100E6C">
            <w:pPr>
              <w:jc w:val="right"/>
              <w:rPr>
                <w:rFonts w:cstheme="minorHAnsi"/>
                <w:color w:val="0D0D0D"/>
                <w:sz w:val="19"/>
                <w:szCs w:val="19"/>
              </w:rPr>
            </w:pPr>
            <w:r w:rsidRPr="008B69B9">
              <w:rPr>
                <w:rFonts w:ascii="Calibri" w:hAnsi="Calibri" w:cs="Calibri"/>
                <w:color w:val="0D0D0D"/>
                <w:sz w:val="20"/>
                <w:szCs w:val="20"/>
              </w:rPr>
              <w:t>30,399</w:t>
            </w:r>
          </w:p>
        </w:tc>
        <w:tc>
          <w:tcPr>
            <w:tcW w:w="734" w:type="dxa"/>
            <w:tcBorders>
              <w:top w:val="nil"/>
              <w:left w:val="nil"/>
              <w:bottom w:val="nil"/>
              <w:right w:val="nil"/>
            </w:tcBorders>
            <w:shd w:val="clear" w:color="000000" w:fill="BFBFBF"/>
            <w:noWrap/>
            <w:vAlign w:val="bottom"/>
          </w:tcPr>
          <w:p w14:paraId="7EE6E718" w14:textId="462C4EF1" w:rsidR="00100E6C" w:rsidRPr="004E6649" w:rsidRDefault="00100E6C" w:rsidP="00100E6C">
            <w:pPr>
              <w:jc w:val="right"/>
              <w:rPr>
                <w:rFonts w:cstheme="minorHAnsi"/>
                <w:color w:val="0D0D0D"/>
                <w:sz w:val="19"/>
                <w:szCs w:val="19"/>
              </w:rPr>
            </w:pPr>
            <w:r>
              <w:rPr>
                <w:rFonts w:ascii="Calibri" w:hAnsi="Calibri" w:cs="Calibri"/>
                <w:color w:val="0D0D0D"/>
                <w:sz w:val="20"/>
                <w:szCs w:val="20"/>
              </w:rPr>
              <w:t>3.6%</w:t>
            </w:r>
          </w:p>
        </w:tc>
        <w:tc>
          <w:tcPr>
            <w:tcW w:w="796" w:type="dxa"/>
            <w:tcBorders>
              <w:top w:val="nil"/>
              <w:left w:val="nil"/>
              <w:bottom w:val="nil"/>
              <w:right w:val="nil"/>
            </w:tcBorders>
            <w:shd w:val="clear" w:color="000000" w:fill="FFFFFF"/>
            <w:noWrap/>
            <w:vAlign w:val="bottom"/>
          </w:tcPr>
          <w:p w14:paraId="7B3C6DF7" w14:textId="222D3B8E" w:rsidR="00100E6C" w:rsidRPr="004E6649" w:rsidRDefault="00100E6C" w:rsidP="00100E6C">
            <w:pPr>
              <w:jc w:val="right"/>
              <w:rPr>
                <w:rFonts w:cstheme="minorHAnsi"/>
                <w:color w:val="0D0D0D"/>
                <w:sz w:val="19"/>
                <w:szCs w:val="19"/>
              </w:rPr>
            </w:pPr>
            <w:r>
              <w:rPr>
                <w:rFonts w:ascii="Calibri" w:hAnsi="Calibri" w:cs="Calibri"/>
                <w:color w:val="0D0D0D"/>
                <w:sz w:val="20"/>
                <w:szCs w:val="20"/>
              </w:rPr>
              <w:t>29,337</w:t>
            </w:r>
          </w:p>
        </w:tc>
        <w:tc>
          <w:tcPr>
            <w:tcW w:w="734" w:type="dxa"/>
            <w:tcBorders>
              <w:top w:val="nil"/>
              <w:left w:val="nil"/>
              <w:bottom w:val="nil"/>
              <w:right w:val="nil"/>
            </w:tcBorders>
            <w:shd w:val="clear" w:color="000000" w:fill="BFBFBF"/>
            <w:noWrap/>
            <w:vAlign w:val="bottom"/>
          </w:tcPr>
          <w:p w14:paraId="58538C73" w14:textId="5CE04CAD" w:rsidR="00100E6C" w:rsidRPr="004E6649" w:rsidRDefault="00100E6C" w:rsidP="00100E6C">
            <w:pPr>
              <w:jc w:val="right"/>
              <w:rPr>
                <w:rFonts w:cstheme="minorHAnsi"/>
                <w:color w:val="0D0D0D"/>
                <w:sz w:val="19"/>
                <w:szCs w:val="19"/>
              </w:rPr>
            </w:pPr>
            <w:r>
              <w:rPr>
                <w:rFonts w:ascii="Calibri" w:hAnsi="Calibri" w:cs="Calibri"/>
                <w:color w:val="0D0D0D"/>
                <w:sz w:val="20"/>
                <w:szCs w:val="20"/>
              </w:rPr>
              <w:t>3.2%</w:t>
            </w:r>
          </w:p>
        </w:tc>
      </w:tr>
      <w:tr w:rsidR="00100E6C" w:rsidRPr="004E6649" w14:paraId="4CB6E8F9" w14:textId="77777777" w:rsidTr="008B69B9">
        <w:trPr>
          <w:trHeight w:val="66"/>
        </w:trPr>
        <w:tc>
          <w:tcPr>
            <w:tcW w:w="1980" w:type="dxa"/>
            <w:tcBorders>
              <w:top w:val="nil"/>
              <w:left w:val="nil"/>
              <w:bottom w:val="nil"/>
              <w:right w:val="nil"/>
            </w:tcBorders>
            <w:shd w:val="clear" w:color="000000" w:fill="FFFFFF"/>
            <w:noWrap/>
            <w:vAlign w:val="bottom"/>
          </w:tcPr>
          <w:p w14:paraId="67281773" w14:textId="2A77FA31" w:rsidR="00100E6C" w:rsidRPr="004E6649" w:rsidRDefault="00100E6C" w:rsidP="00100E6C">
            <w:pPr>
              <w:rPr>
                <w:rFonts w:cstheme="minorHAnsi"/>
                <w:color w:val="0D0D0D"/>
                <w:sz w:val="19"/>
                <w:szCs w:val="19"/>
              </w:rPr>
            </w:pPr>
            <w:r>
              <w:rPr>
                <w:rFonts w:ascii="Calibri" w:hAnsi="Calibri" w:cs="Calibri"/>
                <w:color w:val="0D0D0D"/>
                <w:sz w:val="20"/>
                <w:szCs w:val="20"/>
              </w:rPr>
              <w:t xml:space="preserve">NEBHE </w:t>
            </w:r>
          </w:p>
        </w:tc>
        <w:tc>
          <w:tcPr>
            <w:tcW w:w="918" w:type="dxa"/>
            <w:tcBorders>
              <w:top w:val="nil"/>
              <w:left w:val="nil"/>
              <w:bottom w:val="nil"/>
              <w:right w:val="nil"/>
            </w:tcBorders>
            <w:shd w:val="clear" w:color="000000" w:fill="FFFFFF"/>
            <w:noWrap/>
            <w:vAlign w:val="bottom"/>
          </w:tcPr>
          <w:p w14:paraId="0818818E" w14:textId="121FA9B0" w:rsidR="00100E6C" w:rsidRPr="004E6649" w:rsidRDefault="00100E6C" w:rsidP="00100E6C">
            <w:pPr>
              <w:jc w:val="right"/>
              <w:rPr>
                <w:rFonts w:cstheme="minorHAnsi"/>
                <w:b/>
                <w:bCs/>
                <w:color w:val="0D0D0D"/>
                <w:sz w:val="19"/>
                <w:szCs w:val="19"/>
              </w:rPr>
            </w:pPr>
            <w:r>
              <w:rPr>
                <w:rFonts w:ascii="Calibri" w:hAnsi="Calibri" w:cs="Calibri"/>
                <w:b/>
                <w:bCs/>
                <w:color w:val="0D0D0D"/>
                <w:sz w:val="20"/>
                <w:szCs w:val="20"/>
              </w:rPr>
              <w:t>28,796</w:t>
            </w:r>
          </w:p>
        </w:tc>
        <w:tc>
          <w:tcPr>
            <w:tcW w:w="734" w:type="dxa"/>
            <w:tcBorders>
              <w:top w:val="nil"/>
              <w:left w:val="nil"/>
              <w:bottom w:val="nil"/>
              <w:right w:val="nil"/>
            </w:tcBorders>
            <w:shd w:val="clear" w:color="000000" w:fill="BFBFBF"/>
            <w:noWrap/>
            <w:vAlign w:val="bottom"/>
          </w:tcPr>
          <w:p w14:paraId="2F2ED1D8" w14:textId="37CF3A39" w:rsidR="00100E6C" w:rsidRPr="004E6649" w:rsidRDefault="00100E6C" w:rsidP="00100E6C">
            <w:pPr>
              <w:jc w:val="right"/>
              <w:rPr>
                <w:rFonts w:cstheme="minorHAnsi"/>
                <w:color w:val="0D0D0D"/>
                <w:sz w:val="19"/>
                <w:szCs w:val="19"/>
              </w:rPr>
            </w:pPr>
            <w:r>
              <w:rPr>
                <w:rFonts w:ascii="Calibri" w:hAnsi="Calibri" w:cs="Calibri"/>
                <w:color w:val="0D0D0D"/>
                <w:sz w:val="20"/>
                <w:szCs w:val="20"/>
              </w:rPr>
              <w:t>4.2%</w:t>
            </w:r>
          </w:p>
        </w:tc>
        <w:tc>
          <w:tcPr>
            <w:tcW w:w="922" w:type="dxa"/>
            <w:tcBorders>
              <w:top w:val="nil"/>
              <w:left w:val="nil"/>
              <w:bottom w:val="nil"/>
              <w:right w:val="nil"/>
            </w:tcBorders>
            <w:shd w:val="clear" w:color="000000" w:fill="FFFFFF"/>
            <w:noWrap/>
            <w:vAlign w:val="bottom"/>
          </w:tcPr>
          <w:p w14:paraId="32351A38" w14:textId="536D25A8" w:rsidR="00100E6C" w:rsidRPr="004E6649" w:rsidRDefault="00100E6C" w:rsidP="00100E6C">
            <w:pPr>
              <w:jc w:val="right"/>
              <w:rPr>
                <w:rFonts w:cstheme="minorHAnsi"/>
                <w:b/>
                <w:bCs/>
                <w:color w:val="0D0D0D"/>
                <w:sz w:val="19"/>
                <w:szCs w:val="19"/>
              </w:rPr>
            </w:pPr>
            <w:r>
              <w:rPr>
                <w:rFonts w:ascii="Calibri" w:hAnsi="Calibri" w:cs="Calibri"/>
                <w:b/>
                <w:bCs/>
                <w:color w:val="0D0D0D"/>
                <w:sz w:val="20"/>
                <w:szCs w:val="20"/>
              </w:rPr>
              <w:t>27,640</w:t>
            </w:r>
          </w:p>
        </w:tc>
        <w:tc>
          <w:tcPr>
            <w:tcW w:w="734" w:type="dxa"/>
            <w:tcBorders>
              <w:top w:val="nil"/>
              <w:left w:val="nil"/>
              <w:bottom w:val="nil"/>
              <w:right w:val="nil"/>
            </w:tcBorders>
            <w:shd w:val="clear" w:color="000000" w:fill="BFBFBF"/>
            <w:noWrap/>
            <w:vAlign w:val="bottom"/>
          </w:tcPr>
          <w:p w14:paraId="3A3BAC83" w14:textId="70FC5EC2" w:rsidR="00100E6C" w:rsidRPr="004E6649" w:rsidRDefault="00100E6C" w:rsidP="00100E6C">
            <w:pPr>
              <w:jc w:val="right"/>
              <w:rPr>
                <w:rFonts w:cstheme="minorHAnsi"/>
                <w:color w:val="0D0D0D"/>
                <w:sz w:val="19"/>
                <w:szCs w:val="19"/>
              </w:rPr>
            </w:pPr>
            <w:r>
              <w:rPr>
                <w:rFonts w:ascii="Calibri" w:hAnsi="Calibri" w:cs="Calibri"/>
                <w:color w:val="0D0D0D"/>
                <w:sz w:val="20"/>
                <w:szCs w:val="20"/>
              </w:rPr>
              <w:t>5.6%</w:t>
            </w:r>
          </w:p>
        </w:tc>
        <w:tc>
          <w:tcPr>
            <w:tcW w:w="796" w:type="dxa"/>
            <w:tcBorders>
              <w:top w:val="nil"/>
              <w:left w:val="nil"/>
              <w:bottom w:val="nil"/>
              <w:right w:val="nil"/>
            </w:tcBorders>
            <w:shd w:val="clear" w:color="000000" w:fill="FFFFFF"/>
            <w:noWrap/>
            <w:vAlign w:val="bottom"/>
          </w:tcPr>
          <w:p w14:paraId="1E55F316" w14:textId="59DE74C9" w:rsidR="00100E6C" w:rsidRPr="008B69B9" w:rsidRDefault="00100E6C" w:rsidP="00100E6C">
            <w:pPr>
              <w:jc w:val="right"/>
              <w:rPr>
                <w:rFonts w:cstheme="minorHAnsi"/>
                <w:color w:val="0D0D0D"/>
                <w:sz w:val="19"/>
                <w:szCs w:val="19"/>
              </w:rPr>
            </w:pPr>
            <w:r w:rsidRPr="008B69B9">
              <w:rPr>
                <w:rFonts w:ascii="Calibri" w:hAnsi="Calibri" w:cs="Calibri"/>
                <w:color w:val="0D0D0D"/>
                <w:sz w:val="20"/>
                <w:szCs w:val="20"/>
              </w:rPr>
              <w:t>26,175</w:t>
            </w:r>
          </w:p>
        </w:tc>
        <w:tc>
          <w:tcPr>
            <w:tcW w:w="734" w:type="dxa"/>
            <w:tcBorders>
              <w:top w:val="nil"/>
              <w:left w:val="nil"/>
              <w:bottom w:val="nil"/>
              <w:right w:val="nil"/>
            </w:tcBorders>
            <w:shd w:val="clear" w:color="000000" w:fill="BFBFBF"/>
            <w:noWrap/>
            <w:vAlign w:val="bottom"/>
          </w:tcPr>
          <w:p w14:paraId="625B5022" w14:textId="222C09A5" w:rsidR="00100E6C" w:rsidRPr="004E6649" w:rsidRDefault="00100E6C" w:rsidP="00100E6C">
            <w:pPr>
              <w:jc w:val="right"/>
              <w:rPr>
                <w:rFonts w:cstheme="minorHAnsi"/>
                <w:color w:val="0D0D0D"/>
                <w:sz w:val="19"/>
                <w:szCs w:val="19"/>
              </w:rPr>
            </w:pPr>
            <w:r>
              <w:rPr>
                <w:rFonts w:ascii="Calibri" w:hAnsi="Calibri" w:cs="Calibri"/>
                <w:color w:val="0D0D0D"/>
                <w:sz w:val="20"/>
                <w:szCs w:val="20"/>
              </w:rPr>
              <w:t>4.2%</w:t>
            </w:r>
          </w:p>
        </w:tc>
        <w:tc>
          <w:tcPr>
            <w:tcW w:w="796" w:type="dxa"/>
            <w:tcBorders>
              <w:top w:val="nil"/>
              <w:left w:val="nil"/>
              <w:bottom w:val="nil"/>
              <w:right w:val="nil"/>
            </w:tcBorders>
            <w:shd w:val="clear" w:color="000000" w:fill="FFFFFF"/>
            <w:noWrap/>
            <w:vAlign w:val="bottom"/>
          </w:tcPr>
          <w:p w14:paraId="641E0A95" w14:textId="2F46910A" w:rsidR="00100E6C" w:rsidRPr="008B69B9" w:rsidRDefault="00100E6C" w:rsidP="00100E6C">
            <w:pPr>
              <w:jc w:val="right"/>
              <w:rPr>
                <w:rFonts w:cstheme="minorHAnsi"/>
                <w:color w:val="0D0D0D"/>
                <w:sz w:val="19"/>
                <w:szCs w:val="19"/>
              </w:rPr>
            </w:pPr>
            <w:r w:rsidRPr="008B69B9">
              <w:rPr>
                <w:rFonts w:ascii="Calibri" w:hAnsi="Calibri" w:cs="Calibri"/>
                <w:color w:val="0D0D0D"/>
                <w:sz w:val="20"/>
                <w:szCs w:val="20"/>
              </w:rPr>
              <w:t>25,109</w:t>
            </w:r>
          </w:p>
        </w:tc>
        <w:tc>
          <w:tcPr>
            <w:tcW w:w="734" w:type="dxa"/>
            <w:tcBorders>
              <w:top w:val="nil"/>
              <w:left w:val="nil"/>
              <w:bottom w:val="nil"/>
              <w:right w:val="nil"/>
            </w:tcBorders>
            <w:shd w:val="clear" w:color="000000" w:fill="BFBFBF"/>
            <w:noWrap/>
            <w:vAlign w:val="bottom"/>
          </w:tcPr>
          <w:p w14:paraId="6F88D4FC" w14:textId="13CFFA6D" w:rsidR="00100E6C" w:rsidRPr="004E6649" w:rsidRDefault="00100E6C" w:rsidP="00100E6C">
            <w:pPr>
              <w:jc w:val="right"/>
              <w:rPr>
                <w:rFonts w:cstheme="minorHAnsi"/>
                <w:color w:val="0D0D0D"/>
                <w:sz w:val="19"/>
                <w:szCs w:val="19"/>
              </w:rPr>
            </w:pPr>
            <w:r>
              <w:rPr>
                <w:rFonts w:ascii="Calibri" w:hAnsi="Calibri" w:cs="Calibri"/>
                <w:color w:val="0D0D0D"/>
                <w:sz w:val="20"/>
                <w:szCs w:val="20"/>
              </w:rPr>
              <w:t>4.7%</w:t>
            </w:r>
          </w:p>
        </w:tc>
        <w:tc>
          <w:tcPr>
            <w:tcW w:w="796" w:type="dxa"/>
            <w:tcBorders>
              <w:top w:val="nil"/>
              <w:left w:val="nil"/>
              <w:bottom w:val="nil"/>
              <w:right w:val="nil"/>
            </w:tcBorders>
            <w:shd w:val="clear" w:color="000000" w:fill="FFFFFF"/>
            <w:noWrap/>
            <w:vAlign w:val="bottom"/>
          </w:tcPr>
          <w:p w14:paraId="6F5FC619" w14:textId="34D70208" w:rsidR="00100E6C" w:rsidRPr="004E6649" w:rsidRDefault="00100E6C" w:rsidP="00100E6C">
            <w:pPr>
              <w:jc w:val="right"/>
              <w:rPr>
                <w:rFonts w:cstheme="minorHAnsi"/>
                <w:color w:val="0D0D0D"/>
                <w:sz w:val="19"/>
                <w:szCs w:val="19"/>
              </w:rPr>
            </w:pPr>
            <w:r>
              <w:rPr>
                <w:rFonts w:ascii="Calibri" w:hAnsi="Calibri" w:cs="Calibri"/>
                <w:color w:val="0D0D0D"/>
                <w:sz w:val="20"/>
                <w:szCs w:val="20"/>
              </w:rPr>
              <w:t>23,979</w:t>
            </w:r>
          </w:p>
        </w:tc>
        <w:tc>
          <w:tcPr>
            <w:tcW w:w="734" w:type="dxa"/>
            <w:tcBorders>
              <w:top w:val="nil"/>
              <w:left w:val="nil"/>
              <w:bottom w:val="nil"/>
              <w:right w:val="nil"/>
            </w:tcBorders>
            <w:shd w:val="clear" w:color="000000" w:fill="BFBFBF"/>
            <w:noWrap/>
            <w:vAlign w:val="bottom"/>
          </w:tcPr>
          <w:p w14:paraId="483FA557" w14:textId="62701F13" w:rsidR="00100E6C" w:rsidRPr="004E6649" w:rsidRDefault="00100E6C" w:rsidP="00100E6C">
            <w:pPr>
              <w:jc w:val="right"/>
              <w:rPr>
                <w:rFonts w:cstheme="minorHAnsi"/>
                <w:color w:val="0D0D0D"/>
                <w:sz w:val="19"/>
                <w:szCs w:val="19"/>
              </w:rPr>
            </w:pPr>
            <w:r>
              <w:rPr>
                <w:rFonts w:ascii="Calibri" w:hAnsi="Calibri" w:cs="Calibri"/>
                <w:color w:val="0D0D0D"/>
                <w:sz w:val="20"/>
                <w:szCs w:val="20"/>
              </w:rPr>
              <w:t>3.2%</w:t>
            </w:r>
          </w:p>
        </w:tc>
      </w:tr>
      <w:tr w:rsidR="00100E6C" w:rsidRPr="004E6649" w14:paraId="4BAF46BD" w14:textId="77777777" w:rsidTr="008B69B9">
        <w:trPr>
          <w:trHeight w:val="66"/>
        </w:trPr>
        <w:tc>
          <w:tcPr>
            <w:tcW w:w="1980" w:type="dxa"/>
            <w:tcBorders>
              <w:top w:val="nil"/>
              <w:left w:val="nil"/>
              <w:bottom w:val="nil"/>
              <w:right w:val="nil"/>
            </w:tcBorders>
            <w:shd w:val="clear" w:color="000000" w:fill="FFFFFF"/>
            <w:noWrap/>
          </w:tcPr>
          <w:p w14:paraId="201487A7" w14:textId="3000D96E" w:rsidR="00100E6C" w:rsidRPr="004E6649" w:rsidRDefault="00100E6C" w:rsidP="00100E6C">
            <w:pPr>
              <w:rPr>
                <w:rFonts w:cstheme="minorHAnsi"/>
                <w:color w:val="0D0D0D"/>
                <w:sz w:val="19"/>
                <w:szCs w:val="19"/>
              </w:rPr>
            </w:pPr>
            <w:r>
              <w:rPr>
                <w:rFonts w:ascii="Calibri" w:hAnsi="Calibri" w:cs="Calibri"/>
                <w:color w:val="0D0D0D"/>
                <w:sz w:val="20"/>
                <w:szCs w:val="20"/>
              </w:rPr>
              <w:t>Canadian</w:t>
            </w:r>
          </w:p>
        </w:tc>
        <w:tc>
          <w:tcPr>
            <w:tcW w:w="918" w:type="dxa"/>
            <w:tcBorders>
              <w:top w:val="nil"/>
              <w:left w:val="nil"/>
              <w:bottom w:val="nil"/>
              <w:right w:val="nil"/>
            </w:tcBorders>
            <w:shd w:val="clear" w:color="000000" w:fill="FFFFFF"/>
            <w:noWrap/>
          </w:tcPr>
          <w:p w14:paraId="4EA4DA6C" w14:textId="7B86DC59" w:rsidR="00100E6C" w:rsidRPr="004E6649" w:rsidRDefault="00100E6C" w:rsidP="00100E6C">
            <w:pPr>
              <w:jc w:val="right"/>
              <w:rPr>
                <w:rFonts w:cstheme="minorHAnsi"/>
                <w:b/>
                <w:bCs/>
                <w:color w:val="0D0D0D"/>
                <w:sz w:val="19"/>
                <w:szCs w:val="19"/>
              </w:rPr>
            </w:pPr>
            <w:r>
              <w:rPr>
                <w:rFonts w:ascii="Calibri" w:hAnsi="Calibri" w:cs="Calibri"/>
                <w:b/>
                <w:bCs/>
                <w:color w:val="0D0D0D"/>
                <w:sz w:val="20"/>
                <w:szCs w:val="20"/>
              </w:rPr>
              <w:t>22,200</w:t>
            </w:r>
          </w:p>
        </w:tc>
        <w:tc>
          <w:tcPr>
            <w:tcW w:w="734" w:type="dxa"/>
            <w:tcBorders>
              <w:top w:val="nil"/>
              <w:left w:val="nil"/>
              <w:bottom w:val="nil"/>
              <w:right w:val="nil"/>
            </w:tcBorders>
            <w:shd w:val="clear" w:color="000000" w:fill="BFBFBF"/>
            <w:noWrap/>
            <w:vAlign w:val="bottom"/>
          </w:tcPr>
          <w:p w14:paraId="255C4963" w14:textId="29999C30" w:rsidR="00100E6C" w:rsidRPr="004E6649" w:rsidRDefault="00100E6C" w:rsidP="00100E6C">
            <w:pPr>
              <w:jc w:val="right"/>
              <w:rPr>
                <w:rFonts w:cstheme="minorHAnsi"/>
                <w:color w:val="0D0D0D"/>
                <w:sz w:val="19"/>
                <w:szCs w:val="19"/>
              </w:rPr>
            </w:pPr>
            <w:r>
              <w:rPr>
                <w:rFonts w:ascii="Calibri" w:hAnsi="Calibri" w:cs="Calibri"/>
                <w:color w:val="0D0D0D"/>
                <w:sz w:val="20"/>
                <w:szCs w:val="20"/>
              </w:rPr>
              <w:t>3.8%</w:t>
            </w:r>
          </w:p>
        </w:tc>
        <w:tc>
          <w:tcPr>
            <w:tcW w:w="922" w:type="dxa"/>
            <w:tcBorders>
              <w:top w:val="nil"/>
              <w:left w:val="nil"/>
              <w:bottom w:val="nil"/>
              <w:right w:val="nil"/>
            </w:tcBorders>
            <w:shd w:val="clear" w:color="000000" w:fill="FFFFFF"/>
            <w:noWrap/>
          </w:tcPr>
          <w:p w14:paraId="607820DF" w14:textId="74579DA2" w:rsidR="00100E6C" w:rsidRPr="004E6649" w:rsidRDefault="00100E6C" w:rsidP="00100E6C">
            <w:pPr>
              <w:jc w:val="right"/>
              <w:rPr>
                <w:rFonts w:cstheme="minorHAnsi"/>
                <w:b/>
                <w:bCs/>
                <w:color w:val="0D0D0D"/>
                <w:sz w:val="19"/>
                <w:szCs w:val="19"/>
              </w:rPr>
            </w:pPr>
            <w:r>
              <w:rPr>
                <w:rFonts w:ascii="Calibri" w:hAnsi="Calibri" w:cs="Calibri"/>
                <w:b/>
                <w:bCs/>
                <w:color w:val="0D0D0D"/>
                <w:sz w:val="20"/>
                <w:szCs w:val="20"/>
              </w:rPr>
              <w:t>21,379</w:t>
            </w:r>
          </w:p>
        </w:tc>
        <w:tc>
          <w:tcPr>
            <w:tcW w:w="734" w:type="dxa"/>
            <w:tcBorders>
              <w:top w:val="nil"/>
              <w:left w:val="nil"/>
              <w:bottom w:val="nil"/>
              <w:right w:val="nil"/>
            </w:tcBorders>
            <w:shd w:val="clear" w:color="000000" w:fill="BFBFBF"/>
            <w:noWrap/>
            <w:vAlign w:val="bottom"/>
          </w:tcPr>
          <w:p w14:paraId="7B91F6E8" w14:textId="7FA0BC15" w:rsidR="00100E6C" w:rsidRPr="004E6649" w:rsidRDefault="00100E6C" w:rsidP="00100E6C">
            <w:pPr>
              <w:jc w:val="right"/>
              <w:rPr>
                <w:rFonts w:cstheme="minorHAnsi"/>
                <w:color w:val="0D0D0D"/>
                <w:sz w:val="19"/>
                <w:szCs w:val="19"/>
              </w:rPr>
            </w:pPr>
            <w:r>
              <w:rPr>
                <w:rFonts w:ascii="Calibri" w:hAnsi="Calibri" w:cs="Calibri"/>
                <w:color w:val="0D0D0D"/>
                <w:sz w:val="20"/>
                <w:szCs w:val="20"/>
              </w:rPr>
              <w:t>5.9%</w:t>
            </w:r>
          </w:p>
        </w:tc>
        <w:tc>
          <w:tcPr>
            <w:tcW w:w="796" w:type="dxa"/>
            <w:tcBorders>
              <w:top w:val="nil"/>
              <w:left w:val="nil"/>
              <w:bottom w:val="nil"/>
              <w:right w:val="nil"/>
            </w:tcBorders>
            <w:shd w:val="clear" w:color="000000" w:fill="FFFFFF"/>
            <w:noWrap/>
          </w:tcPr>
          <w:p w14:paraId="29BA11B4" w14:textId="5B0BB641" w:rsidR="00100E6C" w:rsidRPr="008B69B9" w:rsidRDefault="00100E6C" w:rsidP="00100E6C">
            <w:pPr>
              <w:jc w:val="right"/>
              <w:rPr>
                <w:rFonts w:cstheme="minorHAnsi"/>
                <w:color w:val="0D0D0D"/>
                <w:sz w:val="19"/>
                <w:szCs w:val="19"/>
              </w:rPr>
            </w:pPr>
            <w:r w:rsidRPr="008B69B9">
              <w:rPr>
                <w:rFonts w:ascii="Calibri" w:hAnsi="Calibri" w:cs="Calibri"/>
                <w:color w:val="0D0D0D"/>
                <w:sz w:val="20"/>
                <w:szCs w:val="20"/>
              </w:rPr>
              <w:t>20,183</w:t>
            </w:r>
          </w:p>
        </w:tc>
        <w:tc>
          <w:tcPr>
            <w:tcW w:w="734" w:type="dxa"/>
            <w:tcBorders>
              <w:top w:val="nil"/>
              <w:left w:val="nil"/>
              <w:bottom w:val="nil"/>
              <w:right w:val="nil"/>
            </w:tcBorders>
            <w:shd w:val="clear" w:color="000000" w:fill="BFBFBF"/>
            <w:noWrap/>
            <w:vAlign w:val="bottom"/>
          </w:tcPr>
          <w:p w14:paraId="6245DDC3" w14:textId="70313ECF" w:rsidR="00100E6C" w:rsidRPr="004E6649" w:rsidRDefault="00100E6C" w:rsidP="00100E6C">
            <w:pPr>
              <w:jc w:val="right"/>
              <w:rPr>
                <w:rFonts w:cstheme="minorHAnsi"/>
                <w:color w:val="0D0D0D"/>
                <w:sz w:val="19"/>
                <w:szCs w:val="19"/>
              </w:rPr>
            </w:pPr>
            <w:r>
              <w:rPr>
                <w:rFonts w:ascii="Calibri" w:hAnsi="Calibri" w:cs="Calibri"/>
                <w:color w:val="0D0D0D"/>
                <w:sz w:val="20"/>
                <w:szCs w:val="20"/>
              </w:rPr>
              <w:t>3.2%</w:t>
            </w:r>
          </w:p>
        </w:tc>
        <w:tc>
          <w:tcPr>
            <w:tcW w:w="796" w:type="dxa"/>
            <w:tcBorders>
              <w:top w:val="nil"/>
              <w:left w:val="nil"/>
              <w:bottom w:val="nil"/>
              <w:right w:val="nil"/>
            </w:tcBorders>
            <w:shd w:val="clear" w:color="000000" w:fill="FFFFFF"/>
            <w:noWrap/>
          </w:tcPr>
          <w:p w14:paraId="2D596499" w14:textId="55F48C61" w:rsidR="00100E6C" w:rsidRPr="008B69B9" w:rsidRDefault="00100E6C" w:rsidP="00100E6C">
            <w:pPr>
              <w:jc w:val="right"/>
              <w:rPr>
                <w:rFonts w:cstheme="minorHAnsi"/>
                <w:color w:val="0D0D0D"/>
                <w:sz w:val="19"/>
                <w:szCs w:val="19"/>
              </w:rPr>
            </w:pPr>
            <w:r w:rsidRPr="008B69B9">
              <w:rPr>
                <w:rFonts w:ascii="Calibri" w:hAnsi="Calibri" w:cs="Calibri"/>
                <w:color w:val="0D0D0D"/>
                <w:sz w:val="20"/>
                <w:szCs w:val="20"/>
              </w:rPr>
              <w:t>19,548</w:t>
            </w:r>
          </w:p>
        </w:tc>
        <w:tc>
          <w:tcPr>
            <w:tcW w:w="734" w:type="dxa"/>
            <w:tcBorders>
              <w:top w:val="nil"/>
              <w:left w:val="nil"/>
              <w:bottom w:val="nil"/>
              <w:right w:val="nil"/>
            </w:tcBorders>
            <w:shd w:val="clear" w:color="000000" w:fill="BFBFBF"/>
            <w:noWrap/>
            <w:vAlign w:val="bottom"/>
          </w:tcPr>
          <w:p w14:paraId="5975047E" w14:textId="14BB01D7" w:rsidR="00100E6C" w:rsidRPr="004E6649" w:rsidRDefault="00100E6C" w:rsidP="00100E6C">
            <w:pPr>
              <w:jc w:val="right"/>
              <w:rPr>
                <w:rFonts w:cstheme="minorHAnsi"/>
                <w:color w:val="0D0D0D"/>
                <w:sz w:val="19"/>
                <w:szCs w:val="19"/>
              </w:rPr>
            </w:pPr>
            <w:r>
              <w:rPr>
                <w:rFonts w:ascii="Calibri" w:hAnsi="Calibri" w:cs="Calibri"/>
                <w:color w:val="0D0D0D"/>
                <w:sz w:val="20"/>
                <w:szCs w:val="20"/>
              </w:rPr>
              <w:t>3.6%</w:t>
            </w:r>
          </w:p>
        </w:tc>
        <w:tc>
          <w:tcPr>
            <w:tcW w:w="796" w:type="dxa"/>
            <w:tcBorders>
              <w:top w:val="nil"/>
              <w:left w:val="nil"/>
              <w:bottom w:val="nil"/>
              <w:right w:val="nil"/>
            </w:tcBorders>
            <w:shd w:val="clear" w:color="000000" w:fill="FFFFFF"/>
            <w:noWrap/>
          </w:tcPr>
          <w:p w14:paraId="793A377A" w14:textId="357AE075" w:rsidR="00100E6C" w:rsidRPr="004E6649" w:rsidRDefault="00100E6C" w:rsidP="00100E6C">
            <w:pPr>
              <w:jc w:val="right"/>
              <w:rPr>
                <w:rFonts w:cstheme="minorHAnsi"/>
                <w:color w:val="0D0D0D"/>
                <w:sz w:val="19"/>
                <w:szCs w:val="19"/>
              </w:rPr>
            </w:pPr>
            <w:r>
              <w:rPr>
                <w:rFonts w:ascii="Calibri" w:hAnsi="Calibri" w:cs="Calibri"/>
                <w:color w:val="0D0D0D"/>
                <w:sz w:val="20"/>
                <w:szCs w:val="20"/>
              </w:rPr>
              <w:t>18,877</w:t>
            </w:r>
          </w:p>
        </w:tc>
        <w:tc>
          <w:tcPr>
            <w:tcW w:w="734" w:type="dxa"/>
            <w:tcBorders>
              <w:top w:val="nil"/>
              <w:left w:val="nil"/>
              <w:bottom w:val="nil"/>
              <w:right w:val="nil"/>
            </w:tcBorders>
            <w:shd w:val="clear" w:color="000000" w:fill="BFBFBF"/>
            <w:noWrap/>
            <w:vAlign w:val="bottom"/>
          </w:tcPr>
          <w:p w14:paraId="496F3E21" w14:textId="6138254C" w:rsidR="00100E6C" w:rsidRPr="004E6649" w:rsidRDefault="00100E6C" w:rsidP="00100E6C">
            <w:pPr>
              <w:jc w:val="right"/>
              <w:rPr>
                <w:rFonts w:cstheme="minorHAnsi"/>
                <w:color w:val="0D0D0D"/>
                <w:sz w:val="19"/>
                <w:szCs w:val="19"/>
              </w:rPr>
            </w:pPr>
            <w:r>
              <w:rPr>
                <w:rFonts w:ascii="Calibri" w:hAnsi="Calibri" w:cs="Calibri"/>
                <w:color w:val="0D0D0D"/>
                <w:sz w:val="20"/>
                <w:szCs w:val="20"/>
              </w:rPr>
              <w:t>-18.7%</w:t>
            </w:r>
          </w:p>
        </w:tc>
      </w:tr>
      <w:tr w:rsidR="00100E6C" w:rsidRPr="004E6649" w14:paraId="0DC1AB17" w14:textId="77777777" w:rsidTr="008B69B9">
        <w:trPr>
          <w:trHeight w:val="66"/>
        </w:trPr>
        <w:tc>
          <w:tcPr>
            <w:tcW w:w="1980" w:type="dxa"/>
            <w:tcBorders>
              <w:top w:val="nil"/>
              <w:left w:val="nil"/>
              <w:bottom w:val="nil"/>
              <w:right w:val="nil"/>
            </w:tcBorders>
            <w:shd w:val="clear" w:color="000000" w:fill="FFFFFF"/>
            <w:noWrap/>
            <w:vAlign w:val="bottom"/>
          </w:tcPr>
          <w:p w14:paraId="1E3996D5" w14:textId="6A785CB4" w:rsidR="00100E6C" w:rsidRPr="004E6649" w:rsidRDefault="00100E6C" w:rsidP="00100E6C">
            <w:pPr>
              <w:rPr>
                <w:rFonts w:cstheme="minorHAnsi"/>
                <w:b/>
                <w:bCs/>
                <w:color w:val="0D0D0D"/>
                <w:sz w:val="19"/>
                <w:szCs w:val="19"/>
              </w:rPr>
            </w:pPr>
            <w:r>
              <w:rPr>
                <w:rFonts w:ascii="Calibri" w:hAnsi="Calibri" w:cs="Calibri"/>
                <w:b/>
                <w:bCs/>
                <w:color w:val="0D0D0D"/>
                <w:sz w:val="20"/>
                <w:szCs w:val="20"/>
              </w:rPr>
              <w:t>Graduate:</w:t>
            </w:r>
          </w:p>
        </w:tc>
        <w:tc>
          <w:tcPr>
            <w:tcW w:w="918" w:type="dxa"/>
            <w:tcBorders>
              <w:top w:val="nil"/>
              <w:left w:val="nil"/>
              <w:bottom w:val="nil"/>
              <w:right w:val="nil"/>
            </w:tcBorders>
            <w:shd w:val="clear" w:color="000000" w:fill="FFFFFF"/>
            <w:noWrap/>
            <w:vAlign w:val="bottom"/>
          </w:tcPr>
          <w:p w14:paraId="225C1883" w14:textId="1DB225CF" w:rsidR="00100E6C" w:rsidRPr="004E6649" w:rsidRDefault="00100E6C" w:rsidP="00100E6C">
            <w:pPr>
              <w:jc w:val="right"/>
              <w:rPr>
                <w:rFonts w:cstheme="minorHAnsi"/>
                <w:b/>
                <w:bCs/>
                <w:color w:val="0D0D0D"/>
                <w:sz w:val="19"/>
                <w:szCs w:val="19"/>
              </w:rPr>
            </w:pPr>
            <w:r>
              <w:rPr>
                <w:rFonts w:ascii="Calibri" w:hAnsi="Calibri" w:cs="Calibri"/>
                <w:b/>
                <w:bCs/>
                <w:color w:val="0D0D0D"/>
                <w:sz w:val="20"/>
                <w:szCs w:val="20"/>
              </w:rPr>
              <w:t> </w:t>
            </w:r>
          </w:p>
        </w:tc>
        <w:tc>
          <w:tcPr>
            <w:tcW w:w="734" w:type="dxa"/>
            <w:tcBorders>
              <w:top w:val="nil"/>
              <w:left w:val="nil"/>
              <w:bottom w:val="nil"/>
              <w:right w:val="nil"/>
            </w:tcBorders>
            <w:shd w:val="clear" w:color="000000" w:fill="BFBFBF"/>
            <w:noWrap/>
            <w:vAlign w:val="bottom"/>
          </w:tcPr>
          <w:p w14:paraId="422516BB" w14:textId="48A92DA8" w:rsidR="00100E6C" w:rsidRPr="004E6649" w:rsidRDefault="00100E6C" w:rsidP="00100E6C">
            <w:pPr>
              <w:jc w:val="right"/>
              <w:rPr>
                <w:rFonts w:cstheme="minorHAnsi"/>
                <w:color w:val="0D0D0D"/>
                <w:sz w:val="19"/>
                <w:szCs w:val="19"/>
              </w:rPr>
            </w:pPr>
            <w:r>
              <w:rPr>
                <w:rFonts w:ascii="Calibri" w:hAnsi="Calibri" w:cs="Calibri"/>
                <w:color w:val="0D0D0D"/>
                <w:sz w:val="20"/>
                <w:szCs w:val="20"/>
              </w:rPr>
              <w:t> </w:t>
            </w:r>
          </w:p>
        </w:tc>
        <w:tc>
          <w:tcPr>
            <w:tcW w:w="922" w:type="dxa"/>
            <w:tcBorders>
              <w:top w:val="nil"/>
              <w:left w:val="nil"/>
              <w:bottom w:val="nil"/>
              <w:right w:val="nil"/>
            </w:tcBorders>
            <w:shd w:val="clear" w:color="000000" w:fill="FFFFFF"/>
            <w:noWrap/>
            <w:vAlign w:val="bottom"/>
          </w:tcPr>
          <w:p w14:paraId="23E5E62B" w14:textId="0017370F" w:rsidR="00100E6C" w:rsidRPr="004E6649" w:rsidRDefault="00100E6C" w:rsidP="00100E6C">
            <w:pPr>
              <w:jc w:val="right"/>
              <w:rPr>
                <w:rFonts w:cstheme="minorHAnsi"/>
                <w:b/>
                <w:bCs/>
                <w:color w:val="0D0D0D"/>
                <w:sz w:val="19"/>
                <w:szCs w:val="19"/>
              </w:rPr>
            </w:pPr>
            <w:r>
              <w:rPr>
                <w:rFonts w:ascii="Calibri" w:hAnsi="Calibri" w:cs="Calibri"/>
                <w:b/>
                <w:bCs/>
                <w:color w:val="0D0D0D"/>
                <w:sz w:val="20"/>
                <w:szCs w:val="20"/>
              </w:rPr>
              <w:t> </w:t>
            </w:r>
          </w:p>
        </w:tc>
        <w:tc>
          <w:tcPr>
            <w:tcW w:w="734" w:type="dxa"/>
            <w:tcBorders>
              <w:top w:val="nil"/>
              <w:left w:val="nil"/>
              <w:bottom w:val="nil"/>
              <w:right w:val="nil"/>
            </w:tcBorders>
            <w:shd w:val="clear" w:color="000000" w:fill="BFBFBF"/>
            <w:noWrap/>
            <w:vAlign w:val="bottom"/>
          </w:tcPr>
          <w:p w14:paraId="45BBB81E" w14:textId="592D977D" w:rsidR="00100E6C" w:rsidRPr="004E6649" w:rsidRDefault="00100E6C" w:rsidP="00100E6C">
            <w:pPr>
              <w:jc w:val="right"/>
              <w:rPr>
                <w:rFonts w:cstheme="minorHAnsi"/>
                <w:color w:val="0D0D0D"/>
                <w:sz w:val="19"/>
                <w:szCs w:val="19"/>
              </w:rPr>
            </w:pPr>
            <w:r>
              <w:rPr>
                <w:rFonts w:ascii="Calibri" w:hAnsi="Calibri" w:cs="Calibri"/>
                <w:color w:val="0D0D0D"/>
                <w:sz w:val="20"/>
                <w:szCs w:val="20"/>
              </w:rPr>
              <w:t> </w:t>
            </w:r>
          </w:p>
        </w:tc>
        <w:tc>
          <w:tcPr>
            <w:tcW w:w="796" w:type="dxa"/>
            <w:tcBorders>
              <w:top w:val="nil"/>
              <w:left w:val="nil"/>
              <w:bottom w:val="nil"/>
              <w:right w:val="nil"/>
            </w:tcBorders>
            <w:shd w:val="clear" w:color="000000" w:fill="FFFFFF"/>
            <w:noWrap/>
            <w:vAlign w:val="bottom"/>
          </w:tcPr>
          <w:p w14:paraId="4D932F17" w14:textId="4090A499" w:rsidR="00100E6C" w:rsidRPr="008B69B9" w:rsidRDefault="00100E6C" w:rsidP="00100E6C">
            <w:pPr>
              <w:jc w:val="right"/>
              <w:rPr>
                <w:rFonts w:cstheme="minorHAnsi"/>
                <w:color w:val="0D0D0D"/>
                <w:sz w:val="19"/>
                <w:szCs w:val="19"/>
              </w:rPr>
            </w:pPr>
            <w:r w:rsidRPr="008B69B9">
              <w:rPr>
                <w:rFonts w:ascii="Calibri" w:hAnsi="Calibri" w:cs="Calibri"/>
                <w:color w:val="0D0D0D"/>
                <w:sz w:val="20"/>
                <w:szCs w:val="20"/>
              </w:rPr>
              <w:t> </w:t>
            </w:r>
          </w:p>
        </w:tc>
        <w:tc>
          <w:tcPr>
            <w:tcW w:w="734" w:type="dxa"/>
            <w:tcBorders>
              <w:top w:val="nil"/>
              <w:left w:val="nil"/>
              <w:bottom w:val="nil"/>
              <w:right w:val="nil"/>
            </w:tcBorders>
            <w:shd w:val="clear" w:color="000000" w:fill="BFBFBF"/>
            <w:noWrap/>
            <w:vAlign w:val="bottom"/>
          </w:tcPr>
          <w:p w14:paraId="2282572E" w14:textId="7ED1E29D" w:rsidR="00100E6C" w:rsidRPr="004E6649" w:rsidRDefault="00100E6C" w:rsidP="00100E6C">
            <w:pPr>
              <w:jc w:val="right"/>
              <w:rPr>
                <w:rFonts w:cstheme="minorHAnsi"/>
                <w:color w:val="0D0D0D"/>
                <w:sz w:val="19"/>
                <w:szCs w:val="19"/>
              </w:rPr>
            </w:pPr>
            <w:r>
              <w:rPr>
                <w:rFonts w:ascii="Calibri" w:hAnsi="Calibri" w:cs="Calibri"/>
                <w:color w:val="0D0D0D"/>
                <w:sz w:val="20"/>
                <w:szCs w:val="20"/>
              </w:rPr>
              <w:t> </w:t>
            </w:r>
          </w:p>
        </w:tc>
        <w:tc>
          <w:tcPr>
            <w:tcW w:w="796" w:type="dxa"/>
            <w:tcBorders>
              <w:top w:val="nil"/>
              <w:left w:val="nil"/>
              <w:bottom w:val="nil"/>
              <w:right w:val="nil"/>
            </w:tcBorders>
            <w:shd w:val="clear" w:color="000000" w:fill="FFFFFF"/>
            <w:noWrap/>
            <w:vAlign w:val="bottom"/>
          </w:tcPr>
          <w:p w14:paraId="7D5740AC" w14:textId="1E0C3DE9" w:rsidR="00100E6C" w:rsidRPr="008B69B9" w:rsidRDefault="00100E6C" w:rsidP="00100E6C">
            <w:pPr>
              <w:jc w:val="right"/>
              <w:rPr>
                <w:rFonts w:cstheme="minorHAnsi"/>
                <w:color w:val="0D0D0D"/>
                <w:sz w:val="19"/>
                <w:szCs w:val="19"/>
              </w:rPr>
            </w:pPr>
            <w:r w:rsidRPr="008B69B9">
              <w:rPr>
                <w:rFonts w:ascii="Calibri" w:hAnsi="Calibri" w:cs="Calibri"/>
                <w:color w:val="0D0D0D"/>
                <w:sz w:val="20"/>
                <w:szCs w:val="20"/>
              </w:rPr>
              <w:t> </w:t>
            </w:r>
          </w:p>
        </w:tc>
        <w:tc>
          <w:tcPr>
            <w:tcW w:w="734" w:type="dxa"/>
            <w:tcBorders>
              <w:top w:val="nil"/>
              <w:left w:val="nil"/>
              <w:bottom w:val="nil"/>
              <w:right w:val="nil"/>
            </w:tcBorders>
            <w:shd w:val="clear" w:color="000000" w:fill="BFBFBF"/>
            <w:noWrap/>
            <w:vAlign w:val="bottom"/>
          </w:tcPr>
          <w:p w14:paraId="1758F2D5" w14:textId="35D5775D" w:rsidR="00100E6C" w:rsidRPr="004E6649" w:rsidRDefault="00100E6C" w:rsidP="00100E6C">
            <w:pPr>
              <w:jc w:val="right"/>
              <w:rPr>
                <w:rFonts w:cstheme="minorHAnsi"/>
                <w:color w:val="0D0D0D"/>
                <w:sz w:val="19"/>
                <w:szCs w:val="19"/>
              </w:rPr>
            </w:pPr>
            <w:r>
              <w:rPr>
                <w:rFonts w:ascii="Calibri" w:hAnsi="Calibri" w:cs="Calibri"/>
                <w:color w:val="0D0D0D"/>
                <w:sz w:val="20"/>
                <w:szCs w:val="20"/>
              </w:rPr>
              <w:t> </w:t>
            </w:r>
          </w:p>
        </w:tc>
        <w:tc>
          <w:tcPr>
            <w:tcW w:w="796" w:type="dxa"/>
            <w:tcBorders>
              <w:top w:val="nil"/>
              <w:left w:val="nil"/>
              <w:bottom w:val="nil"/>
              <w:right w:val="nil"/>
            </w:tcBorders>
            <w:shd w:val="clear" w:color="000000" w:fill="FFFFFF"/>
            <w:noWrap/>
            <w:vAlign w:val="bottom"/>
          </w:tcPr>
          <w:p w14:paraId="4A68A208" w14:textId="6B242D32" w:rsidR="00100E6C" w:rsidRPr="004E6649" w:rsidRDefault="00100E6C" w:rsidP="00100E6C">
            <w:pPr>
              <w:jc w:val="right"/>
              <w:rPr>
                <w:rFonts w:cstheme="minorHAnsi"/>
                <w:color w:val="0D0D0D"/>
                <w:sz w:val="19"/>
                <w:szCs w:val="19"/>
              </w:rPr>
            </w:pPr>
            <w:r>
              <w:rPr>
                <w:rFonts w:ascii="Calibri" w:hAnsi="Calibri" w:cs="Calibri"/>
                <w:color w:val="0D0D0D"/>
                <w:sz w:val="20"/>
                <w:szCs w:val="20"/>
              </w:rPr>
              <w:t> </w:t>
            </w:r>
          </w:p>
        </w:tc>
        <w:tc>
          <w:tcPr>
            <w:tcW w:w="734" w:type="dxa"/>
            <w:tcBorders>
              <w:top w:val="nil"/>
              <w:left w:val="nil"/>
              <w:bottom w:val="nil"/>
              <w:right w:val="nil"/>
            </w:tcBorders>
            <w:shd w:val="clear" w:color="000000" w:fill="BFBFBF"/>
            <w:noWrap/>
            <w:vAlign w:val="bottom"/>
          </w:tcPr>
          <w:p w14:paraId="2B1CDFC7" w14:textId="1438C79B" w:rsidR="00100E6C" w:rsidRPr="004E6649" w:rsidRDefault="00100E6C" w:rsidP="00100E6C">
            <w:pPr>
              <w:jc w:val="right"/>
              <w:rPr>
                <w:rFonts w:cstheme="minorHAnsi"/>
                <w:color w:val="0D0D0D"/>
                <w:sz w:val="19"/>
                <w:szCs w:val="19"/>
              </w:rPr>
            </w:pPr>
            <w:r>
              <w:rPr>
                <w:rFonts w:ascii="Calibri" w:hAnsi="Calibri" w:cs="Calibri"/>
                <w:color w:val="0D0D0D"/>
                <w:sz w:val="20"/>
                <w:szCs w:val="20"/>
              </w:rPr>
              <w:t> </w:t>
            </w:r>
          </w:p>
        </w:tc>
      </w:tr>
      <w:tr w:rsidR="00100E6C" w:rsidRPr="004E6649" w14:paraId="1B117DC8" w14:textId="77777777" w:rsidTr="008B69B9">
        <w:trPr>
          <w:trHeight w:val="66"/>
        </w:trPr>
        <w:tc>
          <w:tcPr>
            <w:tcW w:w="1980" w:type="dxa"/>
            <w:tcBorders>
              <w:top w:val="nil"/>
              <w:left w:val="nil"/>
              <w:bottom w:val="nil"/>
              <w:right w:val="nil"/>
            </w:tcBorders>
            <w:shd w:val="clear" w:color="000000" w:fill="FFFFFF"/>
            <w:noWrap/>
            <w:vAlign w:val="bottom"/>
          </w:tcPr>
          <w:p w14:paraId="59CD4401" w14:textId="2C4E0D67" w:rsidR="00100E6C" w:rsidRPr="004E6649" w:rsidRDefault="00100E6C" w:rsidP="00100E6C">
            <w:pPr>
              <w:rPr>
                <w:rFonts w:cstheme="minorHAnsi"/>
                <w:color w:val="0D0D0D"/>
                <w:sz w:val="19"/>
                <w:szCs w:val="19"/>
              </w:rPr>
            </w:pPr>
            <w:r>
              <w:rPr>
                <w:rFonts w:ascii="Calibri" w:hAnsi="Calibri" w:cs="Calibri"/>
                <w:color w:val="0D0D0D"/>
                <w:sz w:val="20"/>
                <w:szCs w:val="20"/>
              </w:rPr>
              <w:t>In-State</w:t>
            </w:r>
          </w:p>
        </w:tc>
        <w:tc>
          <w:tcPr>
            <w:tcW w:w="918" w:type="dxa"/>
            <w:tcBorders>
              <w:top w:val="nil"/>
              <w:left w:val="nil"/>
              <w:bottom w:val="nil"/>
              <w:right w:val="nil"/>
            </w:tcBorders>
            <w:shd w:val="clear" w:color="000000" w:fill="FFFFFF"/>
            <w:noWrap/>
            <w:vAlign w:val="bottom"/>
          </w:tcPr>
          <w:p w14:paraId="32B6D279" w14:textId="5CB4A91F" w:rsidR="00100E6C" w:rsidRPr="004E6649" w:rsidRDefault="00100E6C" w:rsidP="00100E6C">
            <w:pPr>
              <w:jc w:val="right"/>
              <w:rPr>
                <w:rFonts w:cstheme="minorHAnsi"/>
                <w:b/>
                <w:bCs/>
                <w:color w:val="0D0D0D"/>
                <w:sz w:val="19"/>
                <w:szCs w:val="19"/>
              </w:rPr>
            </w:pPr>
            <w:r>
              <w:rPr>
                <w:rFonts w:ascii="Calibri" w:hAnsi="Calibri" w:cs="Calibri"/>
                <w:b/>
                <w:bCs/>
                <w:color w:val="0D0D0D"/>
                <w:sz w:val="20"/>
                <w:szCs w:val="20"/>
              </w:rPr>
              <w:t>$22,203</w:t>
            </w:r>
          </w:p>
        </w:tc>
        <w:tc>
          <w:tcPr>
            <w:tcW w:w="734" w:type="dxa"/>
            <w:tcBorders>
              <w:top w:val="nil"/>
              <w:left w:val="nil"/>
              <w:bottom w:val="nil"/>
              <w:right w:val="nil"/>
            </w:tcBorders>
            <w:shd w:val="clear" w:color="000000" w:fill="BFBFBF"/>
            <w:noWrap/>
            <w:vAlign w:val="bottom"/>
          </w:tcPr>
          <w:p w14:paraId="2AB54C51" w14:textId="5E4A3273" w:rsidR="00100E6C" w:rsidRPr="004E6649" w:rsidRDefault="00100E6C" w:rsidP="00100E6C">
            <w:pPr>
              <w:jc w:val="right"/>
              <w:rPr>
                <w:rFonts w:cstheme="minorHAnsi"/>
                <w:color w:val="0D0D0D"/>
                <w:sz w:val="19"/>
                <w:szCs w:val="19"/>
              </w:rPr>
            </w:pPr>
            <w:r>
              <w:rPr>
                <w:rFonts w:ascii="Calibri" w:hAnsi="Calibri" w:cs="Calibri"/>
                <w:color w:val="0D0D0D"/>
                <w:sz w:val="20"/>
                <w:szCs w:val="20"/>
              </w:rPr>
              <w:t>3.7%</w:t>
            </w:r>
          </w:p>
        </w:tc>
        <w:tc>
          <w:tcPr>
            <w:tcW w:w="922" w:type="dxa"/>
            <w:tcBorders>
              <w:top w:val="nil"/>
              <w:left w:val="nil"/>
              <w:bottom w:val="nil"/>
              <w:right w:val="nil"/>
            </w:tcBorders>
            <w:shd w:val="clear" w:color="000000" w:fill="FFFFFF"/>
            <w:noWrap/>
            <w:vAlign w:val="bottom"/>
          </w:tcPr>
          <w:p w14:paraId="083D8989" w14:textId="55787322" w:rsidR="00100E6C" w:rsidRPr="004E6649" w:rsidRDefault="00100E6C" w:rsidP="00100E6C">
            <w:pPr>
              <w:jc w:val="right"/>
              <w:rPr>
                <w:rFonts w:cstheme="minorHAnsi"/>
                <w:b/>
                <w:bCs/>
                <w:color w:val="0D0D0D"/>
                <w:sz w:val="19"/>
                <w:szCs w:val="19"/>
              </w:rPr>
            </w:pPr>
            <w:r>
              <w:rPr>
                <w:rFonts w:ascii="Calibri" w:hAnsi="Calibri" w:cs="Calibri"/>
                <w:b/>
                <w:bCs/>
                <w:color w:val="0D0D0D"/>
                <w:sz w:val="20"/>
                <w:szCs w:val="20"/>
              </w:rPr>
              <w:t>$21,410</w:t>
            </w:r>
          </w:p>
        </w:tc>
        <w:tc>
          <w:tcPr>
            <w:tcW w:w="734" w:type="dxa"/>
            <w:tcBorders>
              <w:top w:val="nil"/>
              <w:left w:val="nil"/>
              <w:bottom w:val="nil"/>
              <w:right w:val="nil"/>
            </w:tcBorders>
            <w:shd w:val="clear" w:color="000000" w:fill="BFBFBF"/>
            <w:noWrap/>
            <w:vAlign w:val="bottom"/>
          </w:tcPr>
          <w:p w14:paraId="3BD1F289" w14:textId="125BA333" w:rsidR="00100E6C" w:rsidRPr="004E6649" w:rsidRDefault="00100E6C" w:rsidP="00100E6C">
            <w:pPr>
              <w:jc w:val="right"/>
              <w:rPr>
                <w:rFonts w:cstheme="minorHAnsi"/>
                <w:color w:val="0D0D0D"/>
                <w:sz w:val="19"/>
                <w:szCs w:val="19"/>
              </w:rPr>
            </w:pPr>
            <w:r>
              <w:rPr>
                <w:rFonts w:ascii="Calibri" w:hAnsi="Calibri" w:cs="Calibri"/>
                <w:color w:val="0D0D0D"/>
                <w:sz w:val="20"/>
                <w:szCs w:val="20"/>
              </w:rPr>
              <w:t>6.5%</w:t>
            </w:r>
          </w:p>
        </w:tc>
        <w:tc>
          <w:tcPr>
            <w:tcW w:w="796" w:type="dxa"/>
            <w:tcBorders>
              <w:top w:val="nil"/>
              <w:left w:val="nil"/>
              <w:bottom w:val="nil"/>
              <w:right w:val="nil"/>
            </w:tcBorders>
            <w:shd w:val="clear" w:color="000000" w:fill="FFFFFF"/>
            <w:noWrap/>
            <w:vAlign w:val="bottom"/>
          </w:tcPr>
          <w:p w14:paraId="00523A3B" w14:textId="060ED101" w:rsidR="00100E6C" w:rsidRPr="008B69B9" w:rsidRDefault="00100E6C" w:rsidP="00100E6C">
            <w:pPr>
              <w:jc w:val="right"/>
              <w:rPr>
                <w:rFonts w:cstheme="minorHAnsi"/>
                <w:color w:val="0D0D0D"/>
                <w:sz w:val="19"/>
                <w:szCs w:val="19"/>
              </w:rPr>
            </w:pPr>
            <w:r w:rsidRPr="008B69B9">
              <w:rPr>
                <w:rFonts w:ascii="Calibri" w:hAnsi="Calibri" w:cs="Calibri"/>
                <w:color w:val="0D0D0D"/>
                <w:sz w:val="20"/>
                <w:szCs w:val="20"/>
              </w:rPr>
              <w:t>$20,095</w:t>
            </w:r>
          </w:p>
        </w:tc>
        <w:tc>
          <w:tcPr>
            <w:tcW w:w="734" w:type="dxa"/>
            <w:tcBorders>
              <w:top w:val="nil"/>
              <w:left w:val="nil"/>
              <w:bottom w:val="nil"/>
              <w:right w:val="nil"/>
            </w:tcBorders>
            <w:shd w:val="clear" w:color="000000" w:fill="BFBFBF"/>
            <w:noWrap/>
            <w:vAlign w:val="bottom"/>
          </w:tcPr>
          <w:p w14:paraId="6D908F58" w14:textId="45423C58" w:rsidR="00100E6C" w:rsidRPr="004E6649" w:rsidRDefault="00100E6C" w:rsidP="00100E6C">
            <w:pPr>
              <w:jc w:val="right"/>
              <w:rPr>
                <w:rFonts w:cstheme="minorHAnsi"/>
                <w:color w:val="0D0D0D"/>
                <w:sz w:val="19"/>
                <w:szCs w:val="19"/>
              </w:rPr>
            </w:pPr>
            <w:r>
              <w:rPr>
                <w:rFonts w:ascii="Calibri" w:hAnsi="Calibri" w:cs="Calibri"/>
                <w:color w:val="0D0D0D"/>
                <w:sz w:val="20"/>
                <w:szCs w:val="20"/>
              </w:rPr>
              <w:t>2.9%</w:t>
            </w:r>
          </w:p>
        </w:tc>
        <w:tc>
          <w:tcPr>
            <w:tcW w:w="796" w:type="dxa"/>
            <w:tcBorders>
              <w:top w:val="nil"/>
              <w:left w:val="nil"/>
              <w:bottom w:val="nil"/>
              <w:right w:val="nil"/>
            </w:tcBorders>
            <w:shd w:val="clear" w:color="000000" w:fill="FFFFFF"/>
            <w:noWrap/>
            <w:vAlign w:val="bottom"/>
          </w:tcPr>
          <w:p w14:paraId="5DD81FB9" w14:textId="3589A11A" w:rsidR="00100E6C" w:rsidRPr="008B69B9" w:rsidRDefault="00100E6C" w:rsidP="00100E6C">
            <w:pPr>
              <w:jc w:val="right"/>
              <w:rPr>
                <w:rFonts w:cstheme="minorHAnsi"/>
                <w:color w:val="0D0D0D"/>
                <w:sz w:val="19"/>
                <w:szCs w:val="19"/>
              </w:rPr>
            </w:pPr>
            <w:r w:rsidRPr="008B69B9">
              <w:rPr>
                <w:rFonts w:ascii="Calibri" w:hAnsi="Calibri" w:cs="Calibri"/>
                <w:color w:val="0D0D0D"/>
                <w:sz w:val="20"/>
                <w:szCs w:val="20"/>
              </w:rPr>
              <w:t>$19,524</w:t>
            </w:r>
          </w:p>
        </w:tc>
        <w:tc>
          <w:tcPr>
            <w:tcW w:w="734" w:type="dxa"/>
            <w:tcBorders>
              <w:top w:val="nil"/>
              <w:left w:val="nil"/>
              <w:bottom w:val="nil"/>
              <w:right w:val="nil"/>
            </w:tcBorders>
            <w:shd w:val="clear" w:color="000000" w:fill="BFBFBF"/>
            <w:noWrap/>
            <w:vAlign w:val="bottom"/>
          </w:tcPr>
          <w:p w14:paraId="4745F511" w14:textId="5807B169" w:rsidR="00100E6C" w:rsidRPr="004E6649" w:rsidRDefault="00100E6C" w:rsidP="00100E6C">
            <w:pPr>
              <w:jc w:val="right"/>
              <w:rPr>
                <w:rFonts w:cstheme="minorHAnsi"/>
                <w:color w:val="0D0D0D"/>
                <w:sz w:val="19"/>
                <w:szCs w:val="19"/>
              </w:rPr>
            </w:pPr>
            <w:r>
              <w:rPr>
                <w:rFonts w:ascii="Calibri" w:hAnsi="Calibri" w:cs="Calibri"/>
                <w:color w:val="0D0D0D"/>
                <w:sz w:val="20"/>
                <w:szCs w:val="20"/>
              </w:rPr>
              <w:t>4.5%</w:t>
            </w:r>
          </w:p>
        </w:tc>
        <w:tc>
          <w:tcPr>
            <w:tcW w:w="796" w:type="dxa"/>
            <w:tcBorders>
              <w:top w:val="nil"/>
              <w:left w:val="nil"/>
              <w:bottom w:val="nil"/>
              <w:right w:val="nil"/>
            </w:tcBorders>
            <w:shd w:val="clear" w:color="000000" w:fill="FFFFFF"/>
            <w:noWrap/>
            <w:vAlign w:val="bottom"/>
          </w:tcPr>
          <w:p w14:paraId="61D7667D" w14:textId="66ADAECE" w:rsidR="00100E6C" w:rsidRPr="004E6649" w:rsidRDefault="00100E6C" w:rsidP="00100E6C">
            <w:pPr>
              <w:jc w:val="right"/>
              <w:rPr>
                <w:rFonts w:cstheme="minorHAnsi"/>
                <w:color w:val="0D0D0D"/>
                <w:sz w:val="19"/>
                <w:szCs w:val="19"/>
              </w:rPr>
            </w:pPr>
            <w:r>
              <w:rPr>
                <w:rFonts w:ascii="Calibri" w:hAnsi="Calibri" w:cs="Calibri"/>
                <w:color w:val="0D0D0D"/>
                <w:sz w:val="20"/>
                <w:szCs w:val="20"/>
              </w:rPr>
              <w:t>$18,683</w:t>
            </w:r>
          </w:p>
        </w:tc>
        <w:tc>
          <w:tcPr>
            <w:tcW w:w="734" w:type="dxa"/>
            <w:tcBorders>
              <w:top w:val="nil"/>
              <w:left w:val="nil"/>
              <w:bottom w:val="nil"/>
              <w:right w:val="nil"/>
            </w:tcBorders>
            <w:shd w:val="clear" w:color="000000" w:fill="BFBFBF"/>
            <w:noWrap/>
            <w:vAlign w:val="bottom"/>
          </w:tcPr>
          <w:p w14:paraId="1F83B708" w14:textId="6C6F0B7F" w:rsidR="00100E6C" w:rsidRPr="004E6649" w:rsidRDefault="00100E6C" w:rsidP="00100E6C">
            <w:pPr>
              <w:jc w:val="right"/>
              <w:rPr>
                <w:rFonts w:cstheme="minorHAnsi"/>
                <w:color w:val="0D0D0D"/>
                <w:sz w:val="19"/>
                <w:szCs w:val="19"/>
              </w:rPr>
            </w:pPr>
            <w:r>
              <w:rPr>
                <w:rFonts w:ascii="Calibri" w:hAnsi="Calibri" w:cs="Calibri"/>
                <w:color w:val="0D0D0D"/>
                <w:sz w:val="20"/>
                <w:szCs w:val="20"/>
              </w:rPr>
              <w:t>2.4%</w:t>
            </w:r>
          </w:p>
        </w:tc>
      </w:tr>
      <w:tr w:rsidR="00100E6C" w:rsidRPr="004E6649" w14:paraId="1B69AFD5" w14:textId="77777777" w:rsidTr="008B69B9">
        <w:trPr>
          <w:trHeight w:val="66"/>
        </w:trPr>
        <w:tc>
          <w:tcPr>
            <w:tcW w:w="1980" w:type="dxa"/>
            <w:tcBorders>
              <w:top w:val="nil"/>
              <w:left w:val="nil"/>
              <w:bottom w:val="nil"/>
              <w:right w:val="nil"/>
            </w:tcBorders>
            <w:shd w:val="clear" w:color="000000" w:fill="FFFFFF"/>
            <w:noWrap/>
            <w:vAlign w:val="bottom"/>
          </w:tcPr>
          <w:p w14:paraId="09132D43" w14:textId="022F30BE" w:rsidR="00100E6C" w:rsidRPr="004E6649" w:rsidRDefault="00100E6C" w:rsidP="00100E6C">
            <w:pPr>
              <w:rPr>
                <w:rFonts w:cstheme="minorHAnsi"/>
                <w:color w:val="0D0D0D"/>
                <w:sz w:val="19"/>
                <w:szCs w:val="19"/>
              </w:rPr>
            </w:pPr>
            <w:r>
              <w:rPr>
                <w:rFonts w:ascii="Calibri" w:hAnsi="Calibri" w:cs="Calibri"/>
                <w:color w:val="0D0D0D"/>
                <w:sz w:val="20"/>
                <w:szCs w:val="20"/>
              </w:rPr>
              <w:t>Out-of-State</w:t>
            </w:r>
          </w:p>
        </w:tc>
        <w:tc>
          <w:tcPr>
            <w:tcW w:w="918" w:type="dxa"/>
            <w:tcBorders>
              <w:top w:val="nil"/>
              <w:left w:val="nil"/>
              <w:bottom w:val="nil"/>
              <w:right w:val="nil"/>
            </w:tcBorders>
            <w:shd w:val="clear" w:color="000000" w:fill="FFFFFF"/>
            <w:noWrap/>
            <w:vAlign w:val="bottom"/>
          </w:tcPr>
          <w:p w14:paraId="3FBC2161" w14:textId="58C43139" w:rsidR="00100E6C" w:rsidRPr="004E6649" w:rsidRDefault="00100E6C" w:rsidP="00100E6C">
            <w:pPr>
              <w:jc w:val="right"/>
              <w:rPr>
                <w:rFonts w:cstheme="minorHAnsi"/>
                <w:b/>
                <w:bCs/>
                <w:color w:val="0D0D0D"/>
                <w:sz w:val="19"/>
                <w:szCs w:val="19"/>
              </w:rPr>
            </w:pPr>
            <w:r>
              <w:rPr>
                <w:rFonts w:ascii="Calibri" w:hAnsi="Calibri" w:cs="Calibri"/>
                <w:b/>
                <w:bCs/>
                <w:color w:val="0D0D0D"/>
                <w:sz w:val="20"/>
                <w:szCs w:val="20"/>
              </w:rPr>
              <w:t>32,179</w:t>
            </w:r>
          </w:p>
        </w:tc>
        <w:tc>
          <w:tcPr>
            <w:tcW w:w="734" w:type="dxa"/>
            <w:tcBorders>
              <w:top w:val="nil"/>
              <w:left w:val="nil"/>
              <w:bottom w:val="nil"/>
              <w:right w:val="nil"/>
            </w:tcBorders>
            <w:shd w:val="clear" w:color="000000" w:fill="BFBFBF"/>
            <w:noWrap/>
            <w:vAlign w:val="bottom"/>
          </w:tcPr>
          <w:p w14:paraId="2F596F5D" w14:textId="436B0BF4" w:rsidR="00100E6C" w:rsidRPr="004E6649" w:rsidRDefault="00100E6C" w:rsidP="00100E6C">
            <w:pPr>
              <w:jc w:val="right"/>
              <w:rPr>
                <w:rFonts w:cstheme="minorHAnsi"/>
                <w:color w:val="0D0D0D"/>
                <w:sz w:val="19"/>
                <w:szCs w:val="19"/>
              </w:rPr>
            </w:pPr>
            <w:r>
              <w:rPr>
                <w:rFonts w:ascii="Calibri" w:hAnsi="Calibri" w:cs="Calibri"/>
                <w:color w:val="0D0D0D"/>
                <w:sz w:val="20"/>
                <w:szCs w:val="20"/>
              </w:rPr>
              <w:t>3.0%</w:t>
            </w:r>
          </w:p>
        </w:tc>
        <w:tc>
          <w:tcPr>
            <w:tcW w:w="922" w:type="dxa"/>
            <w:tcBorders>
              <w:top w:val="nil"/>
              <w:left w:val="nil"/>
              <w:bottom w:val="nil"/>
              <w:right w:val="nil"/>
            </w:tcBorders>
            <w:shd w:val="clear" w:color="000000" w:fill="FFFFFF"/>
            <w:noWrap/>
            <w:vAlign w:val="bottom"/>
          </w:tcPr>
          <w:p w14:paraId="1512168F" w14:textId="5F1062A8" w:rsidR="00100E6C" w:rsidRPr="004E6649" w:rsidRDefault="00100E6C" w:rsidP="00100E6C">
            <w:pPr>
              <w:jc w:val="right"/>
              <w:rPr>
                <w:rFonts w:cstheme="minorHAnsi"/>
                <w:b/>
                <w:bCs/>
                <w:color w:val="0D0D0D"/>
                <w:sz w:val="19"/>
                <w:szCs w:val="19"/>
              </w:rPr>
            </w:pPr>
            <w:r>
              <w:rPr>
                <w:rFonts w:ascii="Calibri" w:hAnsi="Calibri" w:cs="Calibri"/>
                <w:b/>
                <w:bCs/>
                <w:color w:val="0D0D0D"/>
                <w:sz w:val="20"/>
                <w:szCs w:val="20"/>
              </w:rPr>
              <w:t>31,247</w:t>
            </w:r>
          </w:p>
        </w:tc>
        <w:tc>
          <w:tcPr>
            <w:tcW w:w="734" w:type="dxa"/>
            <w:tcBorders>
              <w:top w:val="nil"/>
              <w:left w:val="nil"/>
              <w:bottom w:val="nil"/>
              <w:right w:val="nil"/>
            </w:tcBorders>
            <w:shd w:val="clear" w:color="000000" w:fill="BFBFBF"/>
            <w:noWrap/>
            <w:vAlign w:val="bottom"/>
          </w:tcPr>
          <w:p w14:paraId="71F82245" w14:textId="4B9794CB" w:rsidR="00100E6C" w:rsidRPr="004E6649" w:rsidRDefault="00100E6C" w:rsidP="00100E6C">
            <w:pPr>
              <w:jc w:val="right"/>
              <w:rPr>
                <w:rFonts w:cstheme="minorHAnsi"/>
                <w:color w:val="0D0D0D"/>
                <w:sz w:val="19"/>
                <w:szCs w:val="19"/>
              </w:rPr>
            </w:pPr>
            <w:r>
              <w:rPr>
                <w:rFonts w:ascii="Calibri" w:hAnsi="Calibri" w:cs="Calibri"/>
                <w:color w:val="0D0D0D"/>
                <w:sz w:val="20"/>
                <w:szCs w:val="20"/>
              </w:rPr>
              <w:t>6.8%</w:t>
            </w:r>
          </w:p>
        </w:tc>
        <w:tc>
          <w:tcPr>
            <w:tcW w:w="796" w:type="dxa"/>
            <w:tcBorders>
              <w:top w:val="nil"/>
              <w:left w:val="nil"/>
              <w:bottom w:val="nil"/>
              <w:right w:val="nil"/>
            </w:tcBorders>
            <w:shd w:val="clear" w:color="000000" w:fill="FFFFFF"/>
            <w:noWrap/>
            <w:vAlign w:val="bottom"/>
          </w:tcPr>
          <w:p w14:paraId="5747A55B" w14:textId="61BCDEC9" w:rsidR="00100E6C" w:rsidRPr="008B69B9" w:rsidRDefault="00100E6C" w:rsidP="00100E6C">
            <w:pPr>
              <w:jc w:val="right"/>
              <w:rPr>
                <w:rFonts w:cstheme="minorHAnsi"/>
                <w:color w:val="0D0D0D"/>
                <w:sz w:val="19"/>
                <w:szCs w:val="19"/>
              </w:rPr>
            </w:pPr>
            <w:r w:rsidRPr="008B69B9">
              <w:rPr>
                <w:rFonts w:ascii="Calibri" w:hAnsi="Calibri" w:cs="Calibri"/>
                <w:color w:val="0D0D0D"/>
                <w:sz w:val="20"/>
                <w:szCs w:val="20"/>
              </w:rPr>
              <w:t>29,266</w:t>
            </w:r>
          </w:p>
        </w:tc>
        <w:tc>
          <w:tcPr>
            <w:tcW w:w="734" w:type="dxa"/>
            <w:tcBorders>
              <w:top w:val="nil"/>
              <w:left w:val="nil"/>
              <w:bottom w:val="nil"/>
              <w:right w:val="nil"/>
            </w:tcBorders>
            <w:shd w:val="clear" w:color="000000" w:fill="BFBFBF"/>
            <w:noWrap/>
            <w:vAlign w:val="bottom"/>
          </w:tcPr>
          <w:p w14:paraId="729F6A4C" w14:textId="0876F7F0" w:rsidR="00100E6C" w:rsidRPr="004E6649" w:rsidRDefault="00100E6C" w:rsidP="00100E6C">
            <w:pPr>
              <w:jc w:val="right"/>
              <w:rPr>
                <w:rFonts w:cstheme="minorHAnsi"/>
                <w:color w:val="0D0D0D"/>
                <w:sz w:val="19"/>
                <w:szCs w:val="19"/>
              </w:rPr>
            </w:pPr>
            <w:r>
              <w:rPr>
                <w:rFonts w:ascii="Calibri" w:hAnsi="Calibri" w:cs="Calibri"/>
                <w:color w:val="0D0D0D"/>
                <w:sz w:val="20"/>
                <w:szCs w:val="20"/>
              </w:rPr>
              <w:t>2.8%</w:t>
            </w:r>
          </w:p>
        </w:tc>
        <w:tc>
          <w:tcPr>
            <w:tcW w:w="796" w:type="dxa"/>
            <w:tcBorders>
              <w:top w:val="nil"/>
              <w:left w:val="nil"/>
              <w:bottom w:val="nil"/>
              <w:right w:val="nil"/>
            </w:tcBorders>
            <w:shd w:val="clear" w:color="000000" w:fill="FFFFFF"/>
            <w:noWrap/>
            <w:vAlign w:val="bottom"/>
          </w:tcPr>
          <w:p w14:paraId="68BDE86F" w14:textId="058FCD44" w:rsidR="00100E6C" w:rsidRPr="008B69B9" w:rsidRDefault="00100E6C" w:rsidP="00100E6C">
            <w:pPr>
              <w:jc w:val="right"/>
              <w:rPr>
                <w:rFonts w:cstheme="minorHAnsi"/>
                <w:color w:val="0D0D0D"/>
                <w:sz w:val="19"/>
                <w:szCs w:val="19"/>
              </w:rPr>
            </w:pPr>
            <w:r w:rsidRPr="008B69B9">
              <w:rPr>
                <w:rFonts w:ascii="Calibri" w:hAnsi="Calibri" w:cs="Calibri"/>
                <w:color w:val="0D0D0D"/>
                <w:sz w:val="20"/>
                <w:szCs w:val="20"/>
              </w:rPr>
              <w:t>28,470</w:t>
            </w:r>
          </w:p>
        </w:tc>
        <w:tc>
          <w:tcPr>
            <w:tcW w:w="734" w:type="dxa"/>
            <w:tcBorders>
              <w:top w:val="nil"/>
              <w:left w:val="nil"/>
              <w:bottom w:val="nil"/>
              <w:right w:val="nil"/>
            </w:tcBorders>
            <w:shd w:val="clear" w:color="000000" w:fill="BFBFBF"/>
            <w:noWrap/>
            <w:vAlign w:val="bottom"/>
          </w:tcPr>
          <w:p w14:paraId="588AC9DB" w14:textId="7533EA32" w:rsidR="00100E6C" w:rsidRPr="004E6649" w:rsidRDefault="00100E6C" w:rsidP="00100E6C">
            <w:pPr>
              <w:jc w:val="right"/>
              <w:rPr>
                <w:rFonts w:cstheme="minorHAnsi"/>
                <w:color w:val="0D0D0D"/>
                <w:sz w:val="19"/>
                <w:szCs w:val="19"/>
              </w:rPr>
            </w:pPr>
            <w:r>
              <w:rPr>
                <w:rFonts w:ascii="Calibri" w:hAnsi="Calibri" w:cs="Calibri"/>
                <w:color w:val="0D0D0D"/>
                <w:sz w:val="20"/>
                <w:szCs w:val="20"/>
              </w:rPr>
              <w:t>4.5%</w:t>
            </w:r>
          </w:p>
        </w:tc>
        <w:tc>
          <w:tcPr>
            <w:tcW w:w="796" w:type="dxa"/>
            <w:tcBorders>
              <w:top w:val="nil"/>
              <w:left w:val="nil"/>
              <w:bottom w:val="nil"/>
              <w:right w:val="nil"/>
            </w:tcBorders>
            <w:shd w:val="clear" w:color="000000" w:fill="FFFFFF"/>
            <w:noWrap/>
            <w:vAlign w:val="bottom"/>
          </w:tcPr>
          <w:p w14:paraId="5F6EC719" w14:textId="67E9F909" w:rsidR="00100E6C" w:rsidRPr="004E6649" w:rsidRDefault="00100E6C" w:rsidP="00100E6C">
            <w:pPr>
              <w:jc w:val="right"/>
              <w:rPr>
                <w:rFonts w:cstheme="minorHAnsi"/>
                <w:color w:val="0D0D0D"/>
                <w:sz w:val="19"/>
                <w:szCs w:val="19"/>
              </w:rPr>
            </w:pPr>
            <w:r>
              <w:rPr>
                <w:rFonts w:ascii="Calibri" w:hAnsi="Calibri" w:cs="Calibri"/>
                <w:color w:val="0D0D0D"/>
                <w:sz w:val="20"/>
                <w:szCs w:val="20"/>
              </w:rPr>
              <w:t>27,251</w:t>
            </w:r>
          </w:p>
        </w:tc>
        <w:tc>
          <w:tcPr>
            <w:tcW w:w="734" w:type="dxa"/>
            <w:tcBorders>
              <w:top w:val="nil"/>
              <w:left w:val="nil"/>
              <w:bottom w:val="nil"/>
              <w:right w:val="nil"/>
            </w:tcBorders>
            <w:shd w:val="clear" w:color="000000" w:fill="BFBFBF"/>
            <w:noWrap/>
            <w:vAlign w:val="bottom"/>
          </w:tcPr>
          <w:p w14:paraId="37D9038B" w14:textId="26AFA8C5" w:rsidR="00100E6C" w:rsidRPr="004E6649" w:rsidRDefault="00100E6C" w:rsidP="00100E6C">
            <w:pPr>
              <w:jc w:val="right"/>
              <w:rPr>
                <w:rFonts w:cstheme="minorHAnsi"/>
                <w:color w:val="0D0D0D"/>
                <w:sz w:val="19"/>
                <w:szCs w:val="19"/>
              </w:rPr>
            </w:pPr>
            <w:r>
              <w:rPr>
                <w:rFonts w:ascii="Calibri" w:hAnsi="Calibri" w:cs="Calibri"/>
                <w:color w:val="0D0D0D"/>
                <w:sz w:val="20"/>
                <w:szCs w:val="20"/>
              </w:rPr>
              <w:t>-8.9%</w:t>
            </w:r>
          </w:p>
        </w:tc>
      </w:tr>
      <w:tr w:rsidR="00100E6C" w:rsidRPr="004E6649" w14:paraId="4443539B" w14:textId="77777777" w:rsidTr="008B69B9">
        <w:trPr>
          <w:trHeight w:val="66"/>
        </w:trPr>
        <w:tc>
          <w:tcPr>
            <w:tcW w:w="1980" w:type="dxa"/>
            <w:tcBorders>
              <w:top w:val="nil"/>
              <w:left w:val="nil"/>
              <w:bottom w:val="nil"/>
              <w:right w:val="nil"/>
            </w:tcBorders>
            <w:shd w:val="clear" w:color="000000" w:fill="FFFFFF"/>
            <w:noWrap/>
            <w:vAlign w:val="bottom"/>
          </w:tcPr>
          <w:p w14:paraId="408B4B08" w14:textId="10FB880B" w:rsidR="00100E6C" w:rsidRPr="004E6649" w:rsidRDefault="00100E6C" w:rsidP="00100E6C">
            <w:pPr>
              <w:rPr>
                <w:rFonts w:cstheme="minorHAnsi"/>
                <w:color w:val="0D0D0D"/>
                <w:sz w:val="19"/>
                <w:szCs w:val="19"/>
              </w:rPr>
            </w:pPr>
            <w:r>
              <w:rPr>
                <w:rFonts w:ascii="Calibri" w:hAnsi="Calibri" w:cs="Calibri"/>
                <w:color w:val="0D0D0D"/>
                <w:sz w:val="20"/>
                <w:szCs w:val="20"/>
              </w:rPr>
              <w:t>NEBHE</w:t>
            </w:r>
          </w:p>
        </w:tc>
        <w:tc>
          <w:tcPr>
            <w:tcW w:w="918" w:type="dxa"/>
            <w:tcBorders>
              <w:top w:val="nil"/>
              <w:left w:val="nil"/>
              <w:bottom w:val="nil"/>
              <w:right w:val="nil"/>
            </w:tcBorders>
            <w:shd w:val="clear" w:color="000000" w:fill="FFFFFF"/>
            <w:noWrap/>
            <w:vAlign w:val="bottom"/>
          </w:tcPr>
          <w:p w14:paraId="3ACA44C7" w14:textId="64960299" w:rsidR="00100E6C" w:rsidRPr="004E6649" w:rsidRDefault="00100E6C" w:rsidP="00100E6C">
            <w:pPr>
              <w:jc w:val="right"/>
              <w:rPr>
                <w:rFonts w:cstheme="minorHAnsi"/>
                <w:b/>
                <w:bCs/>
                <w:color w:val="0D0D0D"/>
                <w:sz w:val="19"/>
                <w:szCs w:val="19"/>
              </w:rPr>
            </w:pPr>
            <w:r>
              <w:rPr>
                <w:rFonts w:ascii="Calibri" w:hAnsi="Calibri" w:cs="Calibri"/>
                <w:b/>
                <w:bCs/>
                <w:color w:val="0D0D0D"/>
                <w:sz w:val="20"/>
                <w:szCs w:val="20"/>
              </w:rPr>
              <w:t>28,827</w:t>
            </w:r>
          </w:p>
        </w:tc>
        <w:tc>
          <w:tcPr>
            <w:tcW w:w="734" w:type="dxa"/>
            <w:tcBorders>
              <w:top w:val="nil"/>
              <w:left w:val="nil"/>
              <w:bottom w:val="nil"/>
              <w:right w:val="nil"/>
            </w:tcBorders>
            <w:shd w:val="clear" w:color="000000" w:fill="BFBFBF"/>
            <w:noWrap/>
            <w:vAlign w:val="bottom"/>
          </w:tcPr>
          <w:p w14:paraId="7CBD5C15" w14:textId="5A4AEFA9" w:rsidR="00100E6C" w:rsidRPr="004E6649" w:rsidRDefault="00100E6C" w:rsidP="00100E6C">
            <w:pPr>
              <w:jc w:val="right"/>
              <w:rPr>
                <w:rFonts w:cstheme="minorHAnsi"/>
                <w:color w:val="0D0D0D"/>
                <w:sz w:val="19"/>
                <w:szCs w:val="19"/>
              </w:rPr>
            </w:pPr>
            <w:r>
              <w:rPr>
                <w:rFonts w:ascii="Calibri" w:hAnsi="Calibri" w:cs="Calibri"/>
                <w:color w:val="0D0D0D"/>
                <w:sz w:val="20"/>
                <w:szCs w:val="20"/>
              </w:rPr>
              <w:t>3.6%</w:t>
            </w:r>
          </w:p>
        </w:tc>
        <w:tc>
          <w:tcPr>
            <w:tcW w:w="922" w:type="dxa"/>
            <w:tcBorders>
              <w:top w:val="nil"/>
              <w:left w:val="nil"/>
              <w:bottom w:val="nil"/>
              <w:right w:val="nil"/>
            </w:tcBorders>
            <w:shd w:val="clear" w:color="000000" w:fill="FFFFFF"/>
            <w:noWrap/>
            <w:vAlign w:val="bottom"/>
          </w:tcPr>
          <w:p w14:paraId="07829103" w14:textId="61621653" w:rsidR="00100E6C" w:rsidRPr="004E6649" w:rsidRDefault="00100E6C" w:rsidP="00100E6C">
            <w:pPr>
              <w:jc w:val="right"/>
              <w:rPr>
                <w:rFonts w:cstheme="minorHAnsi"/>
                <w:b/>
                <w:bCs/>
                <w:color w:val="0D0D0D"/>
                <w:sz w:val="19"/>
                <w:szCs w:val="19"/>
              </w:rPr>
            </w:pPr>
            <w:r>
              <w:rPr>
                <w:rFonts w:ascii="Calibri" w:hAnsi="Calibri" w:cs="Calibri"/>
                <w:b/>
                <w:bCs/>
                <w:color w:val="0D0D0D"/>
                <w:sz w:val="20"/>
                <w:szCs w:val="20"/>
              </w:rPr>
              <w:t>27,837</w:t>
            </w:r>
          </w:p>
        </w:tc>
        <w:tc>
          <w:tcPr>
            <w:tcW w:w="734" w:type="dxa"/>
            <w:tcBorders>
              <w:top w:val="nil"/>
              <w:left w:val="nil"/>
              <w:bottom w:val="nil"/>
              <w:right w:val="nil"/>
            </w:tcBorders>
            <w:shd w:val="clear" w:color="000000" w:fill="BFBFBF"/>
            <w:noWrap/>
            <w:vAlign w:val="bottom"/>
          </w:tcPr>
          <w:p w14:paraId="3701CB79" w14:textId="30EB8297" w:rsidR="00100E6C" w:rsidRPr="004E6649" w:rsidRDefault="00100E6C" w:rsidP="00100E6C">
            <w:pPr>
              <w:jc w:val="right"/>
              <w:rPr>
                <w:rFonts w:cstheme="minorHAnsi"/>
                <w:color w:val="0D0D0D"/>
                <w:sz w:val="19"/>
                <w:szCs w:val="19"/>
              </w:rPr>
            </w:pPr>
            <w:r>
              <w:rPr>
                <w:rFonts w:ascii="Calibri" w:hAnsi="Calibri" w:cs="Calibri"/>
                <w:color w:val="0D0D0D"/>
                <w:sz w:val="20"/>
                <w:szCs w:val="20"/>
              </w:rPr>
              <w:t>5.2%</w:t>
            </w:r>
          </w:p>
        </w:tc>
        <w:tc>
          <w:tcPr>
            <w:tcW w:w="796" w:type="dxa"/>
            <w:tcBorders>
              <w:top w:val="nil"/>
              <w:left w:val="nil"/>
              <w:bottom w:val="nil"/>
              <w:right w:val="nil"/>
            </w:tcBorders>
            <w:shd w:val="clear" w:color="000000" w:fill="FFFFFF"/>
            <w:noWrap/>
            <w:vAlign w:val="bottom"/>
          </w:tcPr>
          <w:p w14:paraId="5AE7C150" w14:textId="4795AACA" w:rsidR="00100E6C" w:rsidRPr="008B69B9" w:rsidRDefault="00100E6C" w:rsidP="00100E6C">
            <w:pPr>
              <w:jc w:val="right"/>
              <w:rPr>
                <w:rFonts w:cstheme="minorHAnsi"/>
                <w:color w:val="0D0D0D"/>
                <w:sz w:val="19"/>
                <w:szCs w:val="19"/>
              </w:rPr>
            </w:pPr>
            <w:r w:rsidRPr="008B69B9">
              <w:rPr>
                <w:rFonts w:ascii="Calibri" w:hAnsi="Calibri" w:cs="Calibri"/>
                <w:color w:val="0D0D0D"/>
                <w:sz w:val="20"/>
                <w:szCs w:val="20"/>
              </w:rPr>
              <w:t>26,458</w:t>
            </w:r>
          </w:p>
        </w:tc>
        <w:tc>
          <w:tcPr>
            <w:tcW w:w="734" w:type="dxa"/>
            <w:tcBorders>
              <w:top w:val="nil"/>
              <w:left w:val="nil"/>
              <w:bottom w:val="nil"/>
              <w:right w:val="nil"/>
            </w:tcBorders>
            <w:shd w:val="clear" w:color="000000" w:fill="BFBFBF"/>
            <w:noWrap/>
            <w:vAlign w:val="bottom"/>
          </w:tcPr>
          <w:p w14:paraId="07F00A89" w14:textId="5AC88FB3" w:rsidR="00100E6C" w:rsidRPr="004E6649" w:rsidRDefault="00100E6C" w:rsidP="00100E6C">
            <w:pPr>
              <w:jc w:val="right"/>
              <w:rPr>
                <w:rFonts w:cstheme="minorHAnsi"/>
                <w:color w:val="0D0D0D"/>
                <w:sz w:val="19"/>
                <w:szCs w:val="19"/>
              </w:rPr>
            </w:pPr>
            <w:r>
              <w:rPr>
                <w:rFonts w:ascii="Calibri" w:hAnsi="Calibri" w:cs="Calibri"/>
                <w:color w:val="0D0D0D"/>
                <w:sz w:val="20"/>
                <w:szCs w:val="20"/>
              </w:rPr>
              <w:t>3.3%</w:t>
            </w:r>
          </w:p>
        </w:tc>
        <w:tc>
          <w:tcPr>
            <w:tcW w:w="796" w:type="dxa"/>
            <w:tcBorders>
              <w:top w:val="nil"/>
              <w:left w:val="nil"/>
              <w:bottom w:val="nil"/>
              <w:right w:val="nil"/>
            </w:tcBorders>
            <w:shd w:val="clear" w:color="000000" w:fill="FFFFFF"/>
            <w:noWrap/>
            <w:vAlign w:val="bottom"/>
          </w:tcPr>
          <w:p w14:paraId="1ED0CF89" w14:textId="5E7BF2CD" w:rsidR="00100E6C" w:rsidRPr="008B69B9" w:rsidRDefault="00100E6C" w:rsidP="00100E6C">
            <w:pPr>
              <w:jc w:val="right"/>
              <w:rPr>
                <w:rFonts w:cstheme="minorHAnsi"/>
                <w:color w:val="0D0D0D"/>
                <w:sz w:val="19"/>
                <w:szCs w:val="19"/>
              </w:rPr>
            </w:pPr>
            <w:r w:rsidRPr="008B69B9">
              <w:rPr>
                <w:rFonts w:ascii="Calibri" w:hAnsi="Calibri" w:cs="Calibri"/>
                <w:color w:val="0D0D0D"/>
                <w:sz w:val="20"/>
                <w:szCs w:val="20"/>
              </w:rPr>
              <w:t>25,604</w:t>
            </w:r>
          </w:p>
        </w:tc>
        <w:tc>
          <w:tcPr>
            <w:tcW w:w="734" w:type="dxa"/>
            <w:tcBorders>
              <w:top w:val="nil"/>
              <w:left w:val="nil"/>
              <w:bottom w:val="nil"/>
              <w:right w:val="nil"/>
            </w:tcBorders>
            <w:shd w:val="clear" w:color="000000" w:fill="BFBFBF"/>
            <w:noWrap/>
            <w:vAlign w:val="bottom"/>
          </w:tcPr>
          <w:p w14:paraId="4BB6833A" w14:textId="5BE10C5F" w:rsidR="00100E6C" w:rsidRPr="004E6649" w:rsidRDefault="00100E6C" w:rsidP="00100E6C">
            <w:pPr>
              <w:jc w:val="right"/>
              <w:rPr>
                <w:rFonts w:cstheme="minorHAnsi"/>
                <w:color w:val="0D0D0D"/>
                <w:sz w:val="19"/>
                <w:szCs w:val="19"/>
              </w:rPr>
            </w:pPr>
            <w:r>
              <w:rPr>
                <w:rFonts w:ascii="Calibri" w:hAnsi="Calibri" w:cs="Calibri"/>
                <w:color w:val="0D0D0D"/>
                <w:sz w:val="20"/>
                <w:szCs w:val="20"/>
              </w:rPr>
              <w:t>6.3%</w:t>
            </w:r>
          </w:p>
        </w:tc>
        <w:tc>
          <w:tcPr>
            <w:tcW w:w="796" w:type="dxa"/>
            <w:tcBorders>
              <w:top w:val="nil"/>
              <w:left w:val="nil"/>
              <w:bottom w:val="nil"/>
              <w:right w:val="nil"/>
            </w:tcBorders>
            <w:shd w:val="clear" w:color="000000" w:fill="FFFFFF"/>
            <w:noWrap/>
            <w:vAlign w:val="bottom"/>
          </w:tcPr>
          <w:p w14:paraId="33D51459" w14:textId="6DC75F31" w:rsidR="00100E6C" w:rsidRPr="004E6649" w:rsidRDefault="00100E6C" w:rsidP="00100E6C">
            <w:pPr>
              <w:jc w:val="right"/>
              <w:rPr>
                <w:rFonts w:cstheme="minorHAnsi"/>
                <w:color w:val="0D0D0D"/>
                <w:sz w:val="19"/>
                <w:szCs w:val="19"/>
              </w:rPr>
            </w:pPr>
            <w:r>
              <w:rPr>
                <w:rFonts w:ascii="Calibri" w:hAnsi="Calibri" w:cs="Calibri"/>
                <w:color w:val="0D0D0D"/>
                <w:sz w:val="20"/>
                <w:szCs w:val="20"/>
              </w:rPr>
              <w:t>24,097</w:t>
            </w:r>
          </w:p>
        </w:tc>
        <w:tc>
          <w:tcPr>
            <w:tcW w:w="734" w:type="dxa"/>
            <w:tcBorders>
              <w:top w:val="nil"/>
              <w:left w:val="nil"/>
              <w:bottom w:val="nil"/>
              <w:right w:val="nil"/>
            </w:tcBorders>
            <w:shd w:val="clear" w:color="000000" w:fill="BFBFBF"/>
            <w:noWrap/>
            <w:vAlign w:val="bottom"/>
          </w:tcPr>
          <w:p w14:paraId="107A70BA" w14:textId="097BF687" w:rsidR="00100E6C" w:rsidRPr="004E6649" w:rsidRDefault="00100E6C" w:rsidP="00100E6C">
            <w:pPr>
              <w:jc w:val="right"/>
              <w:rPr>
                <w:rFonts w:cstheme="minorHAnsi"/>
                <w:color w:val="0D0D0D"/>
                <w:sz w:val="19"/>
                <w:szCs w:val="19"/>
              </w:rPr>
            </w:pPr>
            <w:r>
              <w:rPr>
                <w:rFonts w:ascii="Calibri" w:hAnsi="Calibri" w:cs="Calibri"/>
                <w:color w:val="0D0D0D"/>
                <w:sz w:val="20"/>
                <w:szCs w:val="20"/>
              </w:rPr>
              <w:t>2.2%</w:t>
            </w:r>
          </w:p>
        </w:tc>
      </w:tr>
      <w:tr w:rsidR="00100E6C" w:rsidRPr="004E6649" w14:paraId="316F627F" w14:textId="77777777" w:rsidTr="008B69B9">
        <w:trPr>
          <w:trHeight w:val="66"/>
        </w:trPr>
        <w:tc>
          <w:tcPr>
            <w:tcW w:w="1980" w:type="dxa"/>
            <w:tcBorders>
              <w:top w:val="nil"/>
              <w:left w:val="nil"/>
              <w:bottom w:val="nil"/>
              <w:right w:val="nil"/>
            </w:tcBorders>
            <w:shd w:val="clear" w:color="000000" w:fill="FFFFFF"/>
            <w:noWrap/>
          </w:tcPr>
          <w:p w14:paraId="65EB3873" w14:textId="3370D9DD" w:rsidR="00100E6C" w:rsidRPr="004E6649" w:rsidRDefault="00100E6C" w:rsidP="00100E6C">
            <w:pPr>
              <w:rPr>
                <w:rFonts w:cstheme="minorHAnsi"/>
                <w:color w:val="0D0D0D"/>
                <w:sz w:val="19"/>
                <w:szCs w:val="19"/>
              </w:rPr>
            </w:pPr>
            <w:r>
              <w:rPr>
                <w:rFonts w:ascii="Calibri" w:hAnsi="Calibri" w:cs="Calibri"/>
                <w:color w:val="0D0D0D"/>
                <w:sz w:val="20"/>
                <w:szCs w:val="20"/>
              </w:rPr>
              <w:t>Canadian</w:t>
            </w:r>
          </w:p>
        </w:tc>
        <w:tc>
          <w:tcPr>
            <w:tcW w:w="918" w:type="dxa"/>
            <w:tcBorders>
              <w:top w:val="nil"/>
              <w:left w:val="nil"/>
              <w:bottom w:val="nil"/>
              <w:right w:val="nil"/>
            </w:tcBorders>
            <w:shd w:val="clear" w:color="000000" w:fill="FFFFFF"/>
            <w:noWrap/>
          </w:tcPr>
          <w:p w14:paraId="0BE17723" w14:textId="43000A1E" w:rsidR="00100E6C" w:rsidRPr="004E6649" w:rsidRDefault="00100E6C" w:rsidP="00100E6C">
            <w:pPr>
              <w:jc w:val="right"/>
              <w:rPr>
                <w:rFonts w:cstheme="minorHAnsi"/>
                <w:b/>
                <w:bCs/>
                <w:color w:val="0D0D0D"/>
                <w:sz w:val="19"/>
                <w:szCs w:val="19"/>
              </w:rPr>
            </w:pPr>
            <w:r>
              <w:rPr>
                <w:rFonts w:ascii="Calibri" w:hAnsi="Calibri" w:cs="Calibri"/>
                <w:b/>
                <w:bCs/>
                <w:color w:val="0D0D0D"/>
                <w:sz w:val="20"/>
                <w:szCs w:val="20"/>
              </w:rPr>
              <w:t>22,203</w:t>
            </w:r>
          </w:p>
        </w:tc>
        <w:tc>
          <w:tcPr>
            <w:tcW w:w="734" w:type="dxa"/>
            <w:tcBorders>
              <w:top w:val="nil"/>
              <w:left w:val="nil"/>
              <w:bottom w:val="nil"/>
              <w:right w:val="nil"/>
            </w:tcBorders>
            <w:shd w:val="clear" w:color="000000" w:fill="BFBFBF"/>
            <w:noWrap/>
            <w:vAlign w:val="bottom"/>
          </w:tcPr>
          <w:p w14:paraId="63A427A5" w14:textId="4FAFA40C" w:rsidR="00100E6C" w:rsidRPr="004E6649" w:rsidRDefault="00100E6C" w:rsidP="00100E6C">
            <w:pPr>
              <w:jc w:val="right"/>
              <w:rPr>
                <w:rFonts w:cstheme="minorHAnsi"/>
                <w:color w:val="0D0D0D"/>
                <w:sz w:val="19"/>
                <w:szCs w:val="19"/>
              </w:rPr>
            </w:pPr>
            <w:r>
              <w:rPr>
                <w:rFonts w:ascii="Calibri" w:hAnsi="Calibri" w:cs="Calibri"/>
                <w:color w:val="0D0D0D"/>
                <w:sz w:val="20"/>
                <w:szCs w:val="20"/>
              </w:rPr>
              <w:t>3.7%</w:t>
            </w:r>
          </w:p>
        </w:tc>
        <w:tc>
          <w:tcPr>
            <w:tcW w:w="922" w:type="dxa"/>
            <w:tcBorders>
              <w:top w:val="nil"/>
              <w:left w:val="nil"/>
              <w:bottom w:val="nil"/>
              <w:right w:val="nil"/>
            </w:tcBorders>
            <w:shd w:val="clear" w:color="000000" w:fill="FFFFFF"/>
            <w:noWrap/>
          </w:tcPr>
          <w:p w14:paraId="2B91CC0B" w14:textId="547ACCEE" w:rsidR="00100E6C" w:rsidRPr="004E6649" w:rsidRDefault="00100E6C" w:rsidP="00100E6C">
            <w:pPr>
              <w:jc w:val="right"/>
              <w:rPr>
                <w:rFonts w:cstheme="minorHAnsi"/>
                <w:b/>
                <w:bCs/>
                <w:color w:val="0D0D0D"/>
                <w:sz w:val="19"/>
                <w:szCs w:val="19"/>
              </w:rPr>
            </w:pPr>
            <w:r>
              <w:rPr>
                <w:rFonts w:ascii="Calibri" w:hAnsi="Calibri" w:cs="Calibri"/>
                <w:b/>
                <w:bCs/>
                <w:color w:val="0D0D0D"/>
                <w:sz w:val="20"/>
                <w:szCs w:val="20"/>
              </w:rPr>
              <w:t>21,410</w:t>
            </w:r>
          </w:p>
        </w:tc>
        <w:tc>
          <w:tcPr>
            <w:tcW w:w="734" w:type="dxa"/>
            <w:tcBorders>
              <w:top w:val="nil"/>
              <w:left w:val="nil"/>
              <w:bottom w:val="nil"/>
              <w:right w:val="nil"/>
            </w:tcBorders>
            <w:shd w:val="clear" w:color="000000" w:fill="BFBFBF"/>
            <w:noWrap/>
            <w:vAlign w:val="bottom"/>
          </w:tcPr>
          <w:p w14:paraId="134D9971" w14:textId="3D7DCCBE" w:rsidR="00100E6C" w:rsidRPr="004E6649" w:rsidRDefault="00100E6C" w:rsidP="00100E6C">
            <w:pPr>
              <w:jc w:val="right"/>
              <w:rPr>
                <w:rFonts w:cstheme="minorHAnsi"/>
                <w:color w:val="0D0D0D"/>
                <w:sz w:val="19"/>
                <w:szCs w:val="19"/>
              </w:rPr>
            </w:pPr>
            <w:r>
              <w:rPr>
                <w:rFonts w:ascii="Calibri" w:hAnsi="Calibri" w:cs="Calibri"/>
                <w:color w:val="0D0D0D"/>
                <w:sz w:val="20"/>
                <w:szCs w:val="20"/>
              </w:rPr>
              <w:t>6.5%</w:t>
            </w:r>
          </w:p>
        </w:tc>
        <w:tc>
          <w:tcPr>
            <w:tcW w:w="796" w:type="dxa"/>
            <w:tcBorders>
              <w:top w:val="nil"/>
              <w:left w:val="nil"/>
              <w:bottom w:val="nil"/>
              <w:right w:val="nil"/>
            </w:tcBorders>
            <w:shd w:val="clear" w:color="000000" w:fill="FFFFFF"/>
            <w:noWrap/>
          </w:tcPr>
          <w:p w14:paraId="2304368E" w14:textId="1DD520F0" w:rsidR="00100E6C" w:rsidRPr="008B69B9" w:rsidRDefault="00100E6C" w:rsidP="00100E6C">
            <w:pPr>
              <w:jc w:val="right"/>
              <w:rPr>
                <w:rFonts w:cstheme="minorHAnsi"/>
                <w:color w:val="0D0D0D"/>
                <w:sz w:val="19"/>
                <w:szCs w:val="19"/>
              </w:rPr>
            </w:pPr>
            <w:r w:rsidRPr="008B69B9">
              <w:rPr>
                <w:rFonts w:ascii="Calibri" w:hAnsi="Calibri" w:cs="Calibri"/>
                <w:color w:val="0D0D0D"/>
                <w:sz w:val="20"/>
                <w:szCs w:val="20"/>
              </w:rPr>
              <w:t>20,095</w:t>
            </w:r>
          </w:p>
        </w:tc>
        <w:tc>
          <w:tcPr>
            <w:tcW w:w="734" w:type="dxa"/>
            <w:tcBorders>
              <w:top w:val="nil"/>
              <w:left w:val="nil"/>
              <w:bottom w:val="nil"/>
              <w:right w:val="nil"/>
            </w:tcBorders>
            <w:shd w:val="clear" w:color="000000" w:fill="BFBFBF"/>
            <w:noWrap/>
            <w:vAlign w:val="bottom"/>
          </w:tcPr>
          <w:p w14:paraId="73ADA965" w14:textId="4E0E0E01" w:rsidR="00100E6C" w:rsidRPr="004E6649" w:rsidRDefault="00100E6C" w:rsidP="00100E6C">
            <w:pPr>
              <w:jc w:val="right"/>
              <w:rPr>
                <w:rFonts w:cstheme="minorHAnsi"/>
                <w:color w:val="0D0D0D"/>
                <w:sz w:val="19"/>
                <w:szCs w:val="19"/>
              </w:rPr>
            </w:pPr>
            <w:r>
              <w:rPr>
                <w:rFonts w:ascii="Calibri" w:hAnsi="Calibri" w:cs="Calibri"/>
                <w:color w:val="0D0D0D"/>
                <w:sz w:val="20"/>
                <w:szCs w:val="20"/>
              </w:rPr>
              <w:t>2.9%</w:t>
            </w:r>
          </w:p>
        </w:tc>
        <w:tc>
          <w:tcPr>
            <w:tcW w:w="796" w:type="dxa"/>
            <w:tcBorders>
              <w:top w:val="nil"/>
              <w:left w:val="nil"/>
              <w:bottom w:val="nil"/>
              <w:right w:val="nil"/>
            </w:tcBorders>
            <w:shd w:val="clear" w:color="000000" w:fill="FFFFFF"/>
            <w:noWrap/>
          </w:tcPr>
          <w:p w14:paraId="6848704A" w14:textId="3052230C" w:rsidR="00100E6C" w:rsidRPr="008B69B9" w:rsidRDefault="00100E6C" w:rsidP="00100E6C">
            <w:pPr>
              <w:jc w:val="right"/>
              <w:rPr>
                <w:rFonts w:cstheme="minorHAnsi"/>
                <w:color w:val="0D0D0D"/>
                <w:sz w:val="19"/>
                <w:szCs w:val="19"/>
              </w:rPr>
            </w:pPr>
            <w:r w:rsidRPr="008B69B9">
              <w:rPr>
                <w:rFonts w:ascii="Calibri" w:hAnsi="Calibri" w:cs="Calibri"/>
                <w:color w:val="0D0D0D"/>
                <w:sz w:val="20"/>
                <w:szCs w:val="20"/>
              </w:rPr>
              <w:t>19,524</w:t>
            </w:r>
          </w:p>
        </w:tc>
        <w:tc>
          <w:tcPr>
            <w:tcW w:w="734" w:type="dxa"/>
            <w:tcBorders>
              <w:top w:val="nil"/>
              <w:left w:val="nil"/>
              <w:bottom w:val="nil"/>
              <w:right w:val="nil"/>
            </w:tcBorders>
            <w:shd w:val="clear" w:color="000000" w:fill="BFBFBF"/>
            <w:noWrap/>
            <w:vAlign w:val="bottom"/>
          </w:tcPr>
          <w:p w14:paraId="3E08B69A" w14:textId="0E2D70A0" w:rsidR="00100E6C" w:rsidRPr="004E6649" w:rsidRDefault="00100E6C" w:rsidP="00100E6C">
            <w:pPr>
              <w:jc w:val="right"/>
              <w:rPr>
                <w:rFonts w:cstheme="minorHAnsi"/>
                <w:color w:val="0D0D0D"/>
                <w:sz w:val="19"/>
                <w:szCs w:val="19"/>
              </w:rPr>
            </w:pPr>
            <w:r>
              <w:rPr>
                <w:rFonts w:ascii="Calibri" w:hAnsi="Calibri" w:cs="Calibri"/>
                <w:color w:val="0D0D0D"/>
                <w:sz w:val="20"/>
                <w:szCs w:val="20"/>
              </w:rPr>
              <w:t>3.9%</w:t>
            </w:r>
          </w:p>
        </w:tc>
        <w:tc>
          <w:tcPr>
            <w:tcW w:w="796" w:type="dxa"/>
            <w:tcBorders>
              <w:top w:val="nil"/>
              <w:left w:val="nil"/>
              <w:bottom w:val="nil"/>
              <w:right w:val="nil"/>
            </w:tcBorders>
            <w:shd w:val="clear" w:color="000000" w:fill="FFFFFF"/>
            <w:noWrap/>
          </w:tcPr>
          <w:p w14:paraId="6F52051D" w14:textId="08B9E7BF" w:rsidR="00100E6C" w:rsidRPr="004E6649" w:rsidRDefault="00100E6C" w:rsidP="00100E6C">
            <w:pPr>
              <w:jc w:val="right"/>
              <w:rPr>
                <w:rFonts w:cstheme="minorHAnsi"/>
                <w:color w:val="0D0D0D"/>
                <w:sz w:val="19"/>
                <w:szCs w:val="19"/>
              </w:rPr>
            </w:pPr>
            <w:r>
              <w:rPr>
                <w:rFonts w:ascii="Calibri" w:hAnsi="Calibri" w:cs="Calibri"/>
                <w:color w:val="0D0D0D"/>
                <w:sz w:val="20"/>
                <w:szCs w:val="20"/>
              </w:rPr>
              <w:t>18,787</w:t>
            </w:r>
          </w:p>
        </w:tc>
        <w:tc>
          <w:tcPr>
            <w:tcW w:w="734" w:type="dxa"/>
            <w:tcBorders>
              <w:top w:val="nil"/>
              <w:left w:val="nil"/>
              <w:bottom w:val="nil"/>
              <w:right w:val="nil"/>
            </w:tcBorders>
            <w:shd w:val="clear" w:color="000000" w:fill="BFBFBF"/>
            <w:noWrap/>
            <w:vAlign w:val="bottom"/>
          </w:tcPr>
          <w:p w14:paraId="389B1B34" w14:textId="56CA464F" w:rsidR="00100E6C" w:rsidRPr="004E6649" w:rsidRDefault="00100E6C" w:rsidP="00100E6C">
            <w:pPr>
              <w:jc w:val="right"/>
              <w:rPr>
                <w:rFonts w:cstheme="minorHAnsi"/>
                <w:color w:val="0D0D0D"/>
                <w:sz w:val="19"/>
                <w:szCs w:val="19"/>
              </w:rPr>
            </w:pPr>
            <w:r>
              <w:rPr>
                <w:rFonts w:ascii="Calibri" w:hAnsi="Calibri" w:cs="Calibri"/>
                <w:color w:val="0D0D0D"/>
                <w:sz w:val="20"/>
                <w:szCs w:val="20"/>
              </w:rPr>
              <w:t>-20.3%</w:t>
            </w:r>
          </w:p>
        </w:tc>
      </w:tr>
      <w:tr w:rsidR="00100E6C" w:rsidRPr="004E6649" w14:paraId="29128312" w14:textId="77777777" w:rsidTr="008B69B9">
        <w:trPr>
          <w:trHeight w:val="66"/>
        </w:trPr>
        <w:tc>
          <w:tcPr>
            <w:tcW w:w="1980" w:type="dxa"/>
            <w:tcBorders>
              <w:top w:val="nil"/>
              <w:left w:val="nil"/>
              <w:bottom w:val="nil"/>
              <w:right w:val="nil"/>
            </w:tcBorders>
            <w:shd w:val="clear" w:color="000000" w:fill="FFFFFF"/>
            <w:noWrap/>
            <w:vAlign w:val="bottom"/>
          </w:tcPr>
          <w:p w14:paraId="19227C5A" w14:textId="3C32F1DB" w:rsidR="00100E6C" w:rsidRPr="004E6649" w:rsidRDefault="00100E6C" w:rsidP="00100E6C">
            <w:pPr>
              <w:rPr>
                <w:rFonts w:cstheme="minorHAnsi"/>
                <w:b/>
                <w:bCs/>
                <w:color w:val="0D0D0D"/>
                <w:sz w:val="19"/>
                <w:szCs w:val="19"/>
              </w:rPr>
            </w:pPr>
            <w:r>
              <w:rPr>
                <w:rFonts w:ascii="Calibri" w:hAnsi="Calibri" w:cs="Calibri"/>
                <w:b/>
                <w:bCs/>
                <w:color w:val="0D0D0D"/>
                <w:sz w:val="20"/>
                <w:szCs w:val="20"/>
              </w:rPr>
              <w:t>Law School:</w:t>
            </w:r>
          </w:p>
        </w:tc>
        <w:tc>
          <w:tcPr>
            <w:tcW w:w="918" w:type="dxa"/>
            <w:tcBorders>
              <w:top w:val="nil"/>
              <w:left w:val="nil"/>
              <w:bottom w:val="nil"/>
              <w:right w:val="nil"/>
            </w:tcBorders>
            <w:shd w:val="clear" w:color="000000" w:fill="FFFFFF"/>
            <w:noWrap/>
            <w:vAlign w:val="bottom"/>
          </w:tcPr>
          <w:p w14:paraId="5B0956D8" w14:textId="3CA03179" w:rsidR="00100E6C" w:rsidRPr="004E6649" w:rsidRDefault="00100E6C" w:rsidP="00100E6C">
            <w:pPr>
              <w:jc w:val="right"/>
              <w:rPr>
                <w:rFonts w:cstheme="minorHAnsi"/>
                <w:b/>
                <w:bCs/>
                <w:color w:val="0D0D0D"/>
                <w:sz w:val="19"/>
                <w:szCs w:val="19"/>
              </w:rPr>
            </w:pPr>
            <w:r>
              <w:rPr>
                <w:rFonts w:ascii="Calibri" w:hAnsi="Calibri" w:cs="Calibri"/>
                <w:b/>
                <w:bCs/>
                <w:color w:val="0D0D0D"/>
                <w:sz w:val="20"/>
                <w:szCs w:val="20"/>
              </w:rPr>
              <w:t> </w:t>
            </w:r>
          </w:p>
        </w:tc>
        <w:tc>
          <w:tcPr>
            <w:tcW w:w="734" w:type="dxa"/>
            <w:tcBorders>
              <w:top w:val="nil"/>
              <w:left w:val="nil"/>
              <w:bottom w:val="nil"/>
              <w:right w:val="nil"/>
            </w:tcBorders>
            <w:shd w:val="clear" w:color="000000" w:fill="BFBFBF"/>
            <w:noWrap/>
            <w:vAlign w:val="bottom"/>
          </w:tcPr>
          <w:p w14:paraId="1055879F" w14:textId="2B043D26" w:rsidR="00100E6C" w:rsidRPr="004E6649" w:rsidRDefault="00100E6C" w:rsidP="00100E6C">
            <w:pPr>
              <w:jc w:val="right"/>
              <w:rPr>
                <w:rFonts w:cstheme="minorHAnsi"/>
                <w:color w:val="0D0D0D"/>
                <w:sz w:val="19"/>
                <w:szCs w:val="19"/>
              </w:rPr>
            </w:pPr>
            <w:r>
              <w:rPr>
                <w:rFonts w:ascii="Calibri" w:hAnsi="Calibri" w:cs="Calibri"/>
                <w:color w:val="0D0D0D"/>
                <w:sz w:val="20"/>
                <w:szCs w:val="20"/>
              </w:rPr>
              <w:t> </w:t>
            </w:r>
          </w:p>
        </w:tc>
        <w:tc>
          <w:tcPr>
            <w:tcW w:w="922" w:type="dxa"/>
            <w:tcBorders>
              <w:top w:val="nil"/>
              <w:left w:val="nil"/>
              <w:bottom w:val="nil"/>
              <w:right w:val="nil"/>
            </w:tcBorders>
            <w:shd w:val="clear" w:color="000000" w:fill="FFFFFF"/>
            <w:noWrap/>
            <w:vAlign w:val="bottom"/>
          </w:tcPr>
          <w:p w14:paraId="3C40887F" w14:textId="5101C2FB" w:rsidR="00100E6C" w:rsidRPr="004E6649" w:rsidRDefault="00100E6C" w:rsidP="00100E6C">
            <w:pPr>
              <w:jc w:val="right"/>
              <w:rPr>
                <w:rFonts w:cstheme="minorHAnsi"/>
                <w:b/>
                <w:bCs/>
                <w:color w:val="0D0D0D"/>
                <w:sz w:val="19"/>
                <w:szCs w:val="19"/>
              </w:rPr>
            </w:pPr>
            <w:r>
              <w:rPr>
                <w:rFonts w:ascii="Calibri" w:hAnsi="Calibri" w:cs="Calibri"/>
                <w:b/>
                <w:bCs/>
                <w:color w:val="0D0D0D"/>
                <w:sz w:val="20"/>
                <w:szCs w:val="20"/>
              </w:rPr>
              <w:t> </w:t>
            </w:r>
          </w:p>
        </w:tc>
        <w:tc>
          <w:tcPr>
            <w:tcW w:w="734" w:type="dxa"/>
            <w:tcBorders>
              <w:top w:val="nil"/>
              <w:left w:val="nil"/>
              <w:bottom w:val="nil"/>
              <w:right w:val="nil"/>
            </w:tcBorders>
            <w:shd w:val="clear" w:color="000000" w:fill="BFBFBF"/>
            <w:noWrap/>
            <w:vAlign w:val="bottom"/>
          </w:tcPr>
          <w:p w14:paraId="12C150A6" w14:textId="09D6BF80" w:rsidR="00100E6C" w:rsidRPr="004E6649" w:rsidRDefault="00100E6C" w:rsidP="00100E6C">
            <w:pPr>
              <w:jc w:val="right"/>
              <w:rPr>
                <w:rFonts w:cstheme="minorHAnsi"/>
                <w:color w:val="0D0D0D"/>
                <w:sz w:val="19"/>
                <w:szCs w:val="19"/>
              </w:rPr>
            </w:pPr>
            <w:r>
              <w:rPr>
                <w:rFonts w:ascii="Calibri" w:hAnsi="Calibri" w:cs="Calibri"/>
                <w:color w:val="0D0D0D"/>
                <w:sz w:val="20"/>
                <w:szCs w:val="20"/>
              </w:rPr>
              <w:t> </w:t>
            </w:r>
          </w:p>
        </w:tc>
        <w:tc>
          <w:tcPr>
            <w:tcW w:w="796" w:type="dxa"/>
            <w:tcBorders>
              <w:top w:val="nil"/>
              <w:left w:val="nil"/>
              <w:bottom w:val="nil"/>
              <w:right w:val="nil"/>
            </w:tcBorders>
            <w:shd w:val="clear" w:color="000000" w:fill="FFFFFF"/>
            <w:noWrap/>
            <w:vAlign w:val="bottom"/>
          </w:tcPr>
          <w:p w14:paraId="1D3FA1FC" w14:textId="16EEF8A0" w:rsidR="00100E6C" w:rsidRPr="008B69B9" w:rsidRDefault="00100E6C" w:rsidP="00100E6C">
            <w:pPr>
              <w:jc w:val="right"/>
              <w:rPr>
                <w:rFonts w:cstheme="minorHAnsi"/>
                <w:color w:val="0D0D0D"/>
                <w:sz w:val="19"/>
                <w:szCs w:val="19"/>
              </w:rPr>
            </w:pPr>
            <w:r w:rsidRPr="008B69B9">
              <w:rPr>
                <w:rFonts w:ascii="Calibri" w:hAnsi="Calibri" w:cs="Calibri"/>
                <w:color w:val="0D0D0D"/>
                <w:sz w:val="20"/>
                <w:szCs w:val="20"/>
              </w:rPr>
              <w:t> </w:t>
            </w:r>
          </w:p>
        </w:tc>
        <w:tc>
          <w:tcPr>
            <w:tcW w:w="734" w:type="dxa"/>
            <w:tcBorders>
              <w:top w:val="nil"/>
              <w:left w:val="nil"/>
              <w:bottom w:val="nil"/>
              <w:right w:val="nil"/>
            </w:tcBorders>
            <w:shd w:val="clear" w:color="000000" w:fill="BFBFBF"/>
            <w:noWrap/>
            <w:vAlign w:val="bottom"/>
          </w:tcPr>
          <w:p w14:paraId="2D36046F" w14:textId="0A9F498A" w:rsidR="00100E6C" w:rsidRPr="004E6649" w:rsidRDefault="00100E6C" w:rsidP="00100E6C">
            <w:pPr>
              <w:jc w:val="right"/>
              <w:rPr>
                <w:rFonts w:cstheme="minorHAnsi"/>
                <w:color w:val="0D0D0D"/>
                <w:sz w:val="19"/>
                <w:szCs w:val="19"/>
              </w:rPr>
            </w:pPr>
            <w:r>
              <w:rPr>
                <w:rFonts w:ascii="Calibri" w:hAnsi="Calibri" w:cs="Calibri"/>
                <w:color w:val="0D0D0D"/>
                <w:sz w:val="20"/>
                <w:szCs w:val="20"/>
              </w:rPr>
              <w:t> </w:t>
            </w:r>
          </w:p>
        </w:tc>
        <w:tc>
          <w:tcPr>
            <w:tcW w:w="796" w:type="dxa"/>
            <w:tcBorders>
              <w:top w:val="nil"/>
              <w:left w:val="nil"/>
              <w:bottom w:val="nil"/>
              <w:right w:val="nil"/>
            </w:tcBorders>
            <w:shd w:val="clear" w:color="000000" w:fill="FFFFFF"/>
            <w:noWrap/>
            <w:vAlign w:val="bottom"/>
          </w:tcPr>
          <w:p w14:paraId="0C54DF88" w14:textId="2211F26D" w:rsidR="00100E6C" w:rsidRPr="008B69B9" w:rsidRDefault="00100E6C" w:rsidP="00100E6C">
            <w:pPr>
              <w:jc w:val="right"/>
              <w:rPr>
                <w:rFonts w:cstheme="minorHAnsi"/>
                <w:color w:val="0D0D0D"/>
                <w:sz w:val="19"/>
                <w:szCs w:val="19"/>
              </w:rPr>
            </w:pPr>
            <w:r w:rsidRPr="008B69B9">
              <w:rPr>
                <w:rFonts w:ascii="Calibri" w:hAnsi="Calibri" w:cs="Calibri"/>
                <w:color w:val="0D0D0D"/>
                <w:sz w:val="20"/>
                <w:szCs w:val="20"/>
              </w:rPr>
              <w:t> </w:t>
            </w:r>
          </w:p>
        </w:tc>
        <w:tc>
          <w:tcPr>
            <w:tcW w:w="734" w:type="dxa"/>
            <w:tcBorders>
              <w:top w:val="nil"/>
              <w:left w:val="nil"/>
              <w:bottom w:val="nil"/>
              <w:right w:val="nil"/>
            </w:tcBorders>
            <w:shd w:val="clear" w:color="000000" w:fill="BFBFBF"/>
            <w:noWrap/>
            <w:vAlign w:val="bottom"/>
          </w:tcPr>
          <w:p w14:paraId="2F1029A4" w14:textId="4C6DAD64" w:rsidR="00100E6C" w:rsidRPr="004E6649" w:rsidRDefault="00100E6C" w:rsidP="00100E6C">
            <w:pPr>
              <w:jc w:val="right"/>
              <w:rPr>
                <w:rFonts w:cstheme="minorHAnsi"/>
                <w:color w:val="0D0D0D"/>
                <w:sz w:val="19"/>
                <w:szCs w:val="19"/>
              </w:rPr>
            </w:pPr>
            <w:r>
              <w:rPr>
                <w:rFonts w:ascii="Calibri" w:hAnsi="Calibri" w:cs="Calibri"/>
                <w:color w:val="0D0D0D"/>
                <w:sz w:val="20"/>
                <w:szCs w:val="20"/>
              </w:rPr>
              <w:t> </w:t>
            </w:r>
          </w:p>
        </w:tc>
        <w:tc>
          <w:tcPr>
            <w:tcW w:w="796" w:type="dxa"/>
            <w:tcBorders>
              <w:top w:val="nil"/>
              <w:left w:val="nil"/>
              <w:bottom w:val="nil"/>
              <w:right w:val="nil"/>
            </w:tcBorders>
            <w:shd w:val="clear" w:color="000000" w:fill="FFFFFF"/>
            <w:noWrap/>
            <w:vAlign w:val="bottom"/>
          </w:tcPr>
          <w:p w14:paraId="1A1A4C20" w14:textId="7E90C8FD" w:rsidR="00100E6C" w:rsidRPr="004E6649" w:rsidRDefault="00100E6C" w:rsidP="00100E6C">
            <w:pPr>
              <w:jc w:val="right"/>
              <w:rPr>
                <w:rFonts w:cstheme="minorHAnsi"/>
                <w:color w:val="0D0D0D"/>
                <w:sz w:val="19"/>
                <w:szCs w:val="19"/>
              </w:rPr>
            </w:pPr>
            <w:r>
              <w:rPr>
                <w:rFonts w:ascii="Calibri" w:hAnsi="Calibri" w:cs="Calibri"/>
                <w:color w:val="0D0D0D"/>
                <w:sz w:val="20"/>
                <w:szCs w:val="20"/>
              </w:rPr>
              <w:t> </w:t>
            </w:r>
          </w:p>
        </w:tc>
        <w:tc>
          <w:tcPr>
            <w:tcW w:w="734" w:type="dxa"/>
            <w:tcBorders>
              <w:top w:val="nil"/>
              <w:left w:val="nil"/>
              <w:bottom w:val="nil"/>
              <w:right w:val="nil"/>
            </w:tcBorders>
            <w:shd w:val="clear" w:color="000000" w:fill="BFBFBF"/>
            <w:noWrap/>
            <w:vAlign w:val="bottom"/>
          </w:tcPr>
          <w:p w14:paraId="7DE72F67" w14:textId="7AA7ADDA" w:rsidR="00100E6C" w:rsidRPr="004E6649" w:rsidRDefault="00100E6C" w:rsidP="00100E6C">
            <w:pPr>
              <w:jc w:val="right"/>
              <w:rPr>
                <w:rFonts w:cstheme="minorHAnsi"/>
                <w:color w:val="0D0D0D"/>
                <w:sz w:val="19"/>
                <w:szCs w:val="19"/>
              </w:rPr>
            </w:pPr>
            <w:r>
              <w:rPr>
                <w:rFonts w:ascii="Calibri" w:hAnsi="Calibri" w:cs="Calibri"/>
                <w:color w:val="0D0D0D"/>
                <w:sz w:val="20"/>
                <w:szCs w:val="20"/>
              </w:rPr>
              <w:t> </w:t>
            </w:r>
          </w:p>
        </w:tc>
      </w:tr>
      <w:tr w:rsidR="00100E6C" w:rsidRPr="004E6649" w14:paraId="23270959" w14:textId="77777777" w:rsidTr="008B69B9">
        <w:trPr>
          <w:trHeight w:val="66"/>
        </w:trPr>
        <w:tc>
          <w:tcPr>
            <w:tcW w:w="1980" w:type="dxa"/>
            <w:tcBorders>
              <w:top w:val="nil"/>
              <w:left w:val="nil"/>
              <w:bottom w:val="nil"/>
              <w:right w:val="nil"/>
            </w:tcBorders>
            <w:shd w:val="clear" w:color="000000" w:fill="FFFFFF"/>
            <w:noWrap/>
            <w:vAlign w:val="bottom"/>
          </w:tcPr>
          <w:p w14:paraId="463B1EBC" w14:textId="33F208B7" w:rsidR="00100E6C" w:rsidRPr="004E6649" w:rsidRDefault="00100E6C" w:rsidP="00100E6C">
            <w:pPr>
              <w:rPr>
                <w:rFonts w:cstheme="minorHAnsi"/>
                <w:color w:val="0D0D0D"/>
                <w:sz w:val="19"/>
                <w:szCs w:val="19"/>
              </w:rPr>
            </w:pPr>
            <w:r>
              <w:rPr>
                <w:rFonts w:ascii="Calibri" w:hAnsi="Calibri" w:cs="Calibri"/>
                <w:color w:val="0D0D0D"/>
                <w:sz w:val="20"/>
                <w:szCs w:val="20"/>
              </w:rPr>
              <w:t>In-State - Continuing 3L</w:t>
            </w:r>
          </w:p>
        </w:tc>
        <w:tc>
          <w:tcPr>
            <w:tcW w:w="918" w:type="dxa"/>
            <w:tcBorders>
              <w:top w:val="nil"/>
              <w:left w:val="nil"/>
              <w:bottom w:val="nil"/>
              <w:right w:val="nil"/>
            </w:tcBorders>
            <w:shd w:val="clear" w:color="000000" w:fill="FFFFFF"/>
            <w:noWrap/>
            <w:vAlign w:val="bottom"/>
          </w:tcPr>
          <w:p w14:paraId="6516D9ED" w14:textId="7AC23502" w:rsidR="00100E6C" w:rsidRPr="004E6649" w:rsidRDefault="00100E6C" w:rsidP="00100E6C">
            <w:pPr>
              <w:jc w:val="right"/>
              <w:rPr>
                <w:rFonts w:cstheme="minorHAnsi"/>
                <w:b/>
                <w:bCs/>
                <w:color w:val="0D0D0D"/>
                <w:sz w:val="19"/>
                <w:szCs w:val="19"/>
              </w:rPr>
            </w:pPr>
            <w:r>
              <w:rPr>
                <w:rFonts w:ascii="Calibri" w:hAnsi="Calibri" w:cs="Calibri"/>
                <w:b/>
                <w:bCs/>
                <w:color w:val="0D0D0D"/>
                <w:sz w:val="20"/>
                <w:szCs w:val="20"/>
              </w:rPr>
              <w:t>$37,471</w:t>
            </w:r>
          </w:p>
        </w:tc>
        <w:tc>
          <w:tcPr>
            <w:tcW w:w="734" w:type="dxa"/>
            <w:tcBorders>
              <w:top w:val="nil"/>
              <w:left w:val="nil"/>
              <w:bottom w:val="nil"/>
              <w:right w:val="nil"/>
            </w:tcBorders>
            <w:shd w:val="clear" w:color="000000" w:fill="BFBFBF"/>
            <w:noWrap/>
            <w:vAlign w:val="bottom"/>
          </w:tcPr>
          <w:p w14:paraId="38B34BD0" w14:textId="66392CC1" w:rsidR="00100E6C" w:rsidRPr="004E6649" w:rsidRDefault="00100E6C" w:rsidP="00100E6C">
            <w:pPr>
              <w:jc w:val="right"/>
              <w:rPr>
                <w:rFonts w:cstheme="minorHAnsi"/>
                <w:color w:val="0D0D0D"/>
                <w:sz w:val="19"/>
                <w:szCs w:val="19"/>
              </w:rPr>
            </w:pPr>
            <w:r>
              <w:rPr>
                <w:rFonts w:ascii="Calibri" w:hAnsi="Calibri" w:cs="Calibri"/>
                <w:color w:val="0D0D0D"/>
                <w:sz w:val="20"/>
                <w:szCs w:val="20"/>
              </w:rPr>
              <w:t>2.5%</w:t>
            </w:r>
          </w:p>
        </w:tc>
        <w:tc>
          <w:tcPr>
            <w:tcW w:w="922" w:type="dxa"/>
            <w:tcBorders>
              <w:top w:val="nil"/>
              <w:left w:val="nil"/>
              <w:bottom w:val="nil"/>
              <w:right w:val="nil"/>
            </w:tcBorders>
            <w:shd w:val="clear" w:color="000000" w:fill="FFFFFF"/>
            <w:noWrap/>
            <w:vAlign w:val="bottom"/>
          </w:tcPr>
          <w:p w14:paraId="517047EC" w14:textId="1CB035AD" w:rsidR="00100E6C" w:rsidRPr="004E6649" w:rsidRDefault="00100E6C" w:rsidP="00100E6C">
            <w:pPr>
              <w:jc w:val="right"/>
              <w:rPr>
                <w:rFonts w:cstheme="minorHAnsi"/>
                <w:b/>
                <w:bCs/>
                <w:color w:val="0D0D0D"/>
                <w:sz w:val="19"/>
                <w:szCs w:val="19"/>
              </w:rPr>
            </w:pPr>
            <w:r>
              <w:rPr>
                <w:rFonts w:ascii="Calibri" w:hAnsi="Calibri" w:cs="Calibri"/>
                <w:b/>
                <w:bCs/>
                <w:color w:val="0D0D0D"/>
                <w:sz w:val="20"/>
                <w:szCs w:val="20"/>
              </w:rPr>
              <w:t>$36,550</w:t>
            </w:r>
          </w:p>
        </w:tc>
        <w:tc>
          <w:tcPr>
            <w:tcW w:w="734" w:type="dxa"/>
            <w:tcBorders>
              <w:top w:val="nil"/>
              <w:left w:val="nil"/>
              <w:bottom w:val="nil"/>
              <w:right w:val="nil"/>
            </w:tcBorders>
            <w:shd w:val="clear" w:color="000000" w:fill="BFBFBF"/>
            <w:noWrap/>
            <w:vAlign w:val="bottom"/>
          </w:tcPr>
          <w:p w14:paraId="5B840F03" w14:textId="36C48E86" w:rsidR="00100E6C" w:rsidRPr="004E6649" w:rsidRDefault="00100E6C" w:rsidP="00100E6C">
            <w:pPr>
              <w:jc w:val="right"/>
              <w:rPr>
                <w:rFonts w:cstheme="minorHAnsi"/>
                <w:color w:val="0D0D0D"/>
                <w:sz w:val="19"/>
                <w:szCs w:val="19"/>
              </w:rPr>
            </w:pPr>
            <w:r>
              <w:rPr>
                <w:rFonts w:ascii="Calibri" w:hAnsi="Calibri" w:cs="Calibri"/>
                <w:color w:val="0D0D0D"/>
                <w:sz w:val="20"/>
                <w:szCs w:val="20"/>
              </w:rPr>
              <w:t>0.9%</w:t>
            </w:r>
          </w:p>
        </w:tc>
        <w:tc>
          <w:tcPr>
            <w:tcW w:w="796" w:type="dxa"/>
            <w:tcBorders>
              <w:top w:val="nil"/>
              <w:left w:val="nil"/>
              <w:bottom w:val="nil"/>
              <w:right w:val="nil"/>
            </w:tcBorders>
            <w:shd w:val="clear" w:color="000000" w:fill="FFFFFF"/>
            <w:noWrap/>
            <w:vAlign w:val="bottom"/>
          </w:tcPr>
          <w:p w14:paraId="7440BD9A" w14:textId="66308763" w:rsidR="00100E6C" w:rsidRPr="008B69B9" w:rsidRDefault="00100E6C" w:rsidP="00100E6C">
            <w:pPr>
              <w:jc w:val="right"/>
              <w:rPr>
                <w:rFonts w:cstheme="minorHAnsi"/>
                <w:color w:val="0D0D0D"/>
                <w:sz w:val="19"/>
                <w:szCs w:val="19"/>
              </w:rPr>
            </w:pPr>
            <w:r w:rsidRPr="008B69B9">
              <w:rPr>
                <w:rFonts w:ascii="Calibri" w:hAnsi="Calibri" w:cs="Calibri"/>
                <w:color w:val="0D0D0D"/>
                <w:sz w:val="20"/>
                <w:szCs w:val="20"/>
              </w:rPr>
              <w:t>$36,218</w:t>
            </w:r>
          </w:p>
        </w:tc>
        <w:tc>
          <w:tcPr>
            <w:tcW w:w="734" w:type="dxa"/>
            <w:tcBorders>
              <w:top w:val="nil"/>
              <w:left w:val="nil"/>
              <w:bottom w:val="nil"/>
              <w:right w:val="nil"/>
            </w:tcBorders>
            <w:shd w:val="clear" w:color="000000" w:fill="BFBFBF"/>
            <w:noWrap/>
            <w:vAlign w:val="bottom"/>
          </w:tcPr>
          <w:p w14:paraId="72B6C324" w14:textId="197B5952" w:rsidR="00100E6C" w:rsidRPr="004E6649" w:rsidRDefault="00100E6C" w:rsidP="00100E6C">
            <w:pPr>
              <w:jc w:val="right"/>
              <w:rPr>
                <w:rFonts w:cstheme="minorHAnsi"/>
                <w:color w:val="0D0D0D"/>
                <w:sz w:val="19"/>
                <w:szCs w:val="19"/>
              </w:rPr>
            </w:pPr>
            <w:r>
              <w:rPr>
                <w:rFonts w:ascii="Calibri" w:hAnsi="Calibri" w:cs="Calibri"/>
                <w:color w:val="0D0D0D"/>
                <w:sz w:val="20"/>
                <w:szCs w:val="20"/>
              </w:rPr>
              <w:t>1.9%</w:t>
            </w:r>
          </w:p>
        </w:tc>
        <w:tc>
          <w:tcPr>
            <w:tcW w:w="796" w:type="dxa"/>
            <w:tcBorders>
              <w:top w:val="nil"/>
              <w:left w:val="nil"/>
              <w:bottom w:val="nil"/>
              <w:right w:val="nil"/>
            </w:tcBorders>
            <w:shd w:val="clear" w:color="000000" w:fill="FFFFFF"/>
            <w:noWrap/>
            <w:vAlign w:val="bottom"/>
          </w:tcPr>
          <w:p w14:paraId="68692234" w14:textId="6BD45A71" w:rsidR="00100E6C" w:rsidRPr="008B69B9" w:rsidRDefault="00100E6C" w:rsidP="00100E6C">
            <w:pPr>
              <w:jc w:val="right"/>
              <w:rPr>
                <w:rFonts w:cstheme="minorHAnsi"/>
                <w:color w:val="0D0D0D"/>
                <w:sz w:val="19"/>
                <w:szCs w:val="19"/>
              </w:rPr>
            </w:pPr>
            <w:r w:rsidRPr="008B69B9">
              <w:rPr>
                <w:rFonts w:ascii="Calibri" w:hAnsi="Calibri" w:cs="Calibri"/>
                <w:color w:val="0D0D0D"/>
                <w:sz w:val="20"/>
                <w:szCs w:val="20"/>
              </w:rPr>
              <w:t>$35,555</w:t>
            </w:r>
          </w:p>
        </w:tc>
        <w:tc>
          <w:tcPr>
            <w:tcW w:w="734" w:type="dxa"/>
            <w:tcBorders>
              <w:top w:val="nil"/>
              <w:left w:val="nil"/>
              <w:bottom w:val="nil"/>
              <w:right w:val="nil"/>
            </w:tcBorders>
            <w:shd w:val="clear" w:color="000000" w:fill="BFBFBF"/>
            <w:noWrap/>
            <w:vAlign w:val="bottom"/>
          </w:tcPr>
          <w:p w14:paraId="245214E9" w14:textId="21173E88" w:rsidR="00100E6C" w:rsidRPr="004E6649" w:rsidRDefault="00100E6C" w:rsidP="00100E6C">
            <w:pPr>
              <w:jc w:val="right"/>
              <w:rPr>
                <w:rFonts w:cstheme="minorHAnsi"/>
                <w:color w:val="0D0D0D"/>
                <w:sz w:val="19"/>
                <w:szCs w:val="19"/>
              </w:rPr>
            </w:pPr>
            <w:r>
              <w:rPr>
                <w:rFonts w:ascii="Calibri" w:hAnsi="Calibri" w:cs="Calibri"/>
                <w:color w:val="0D0D0D"/>
                <w:sz w:val="20"/>
                <w:szCs w:val="20"/>
              </w:rPr>
              <w:t>6.7%</w:t>
            </w:r>
          </w:p>
        </w:tc>
        <w:tc>
          <w:tcPr>
            <w:tcW w:w="796" w:type="dxa"/>
            <w:tcBorders>
              <w:top w:val="nil"/>
              <w:left w:val="nil"/>
              <w:bottom w:val="nil"/>
              <w:right w:val="nil"/>
            </w:tcBorders>
            <w:shd w:val="clear" w:color="000000" w:fill="FFFFFF"/>
            <w:noWrap/>
            <w:vAlign w:val="bottom"/>
          </w:tcPr>
          <w:p w14:paraId="7BF8F752" w14:textId="00E12A20" w:rsidR="00100E6C" w:rsidRPr="004E6649" w:rsidRDefault="00100E6C" w:rsidP="00100E6C">
            <w:pPr>
              <w:jc w:val="right"/>
              <w:rPr>
                <w:rFonts w:cstheme="minorHAnsi"/>
                <w:color w:val="0D0D0D"/>
                <w:sz w:val="19"/>
                <w:szCs w:val="19"/>
              </w:rPr>
            </w:pPr>
            <w:r>
              <w:rPr>
                <w:rFonts w:ascii="Calibri" w:hAnsi="Calibri" w:cs="Calibri"/>
                <w:color w:val="0D0D0D"/>
                <w:sz w:val="20"/>
                <w:szCs w:val="20"/>
              </w:rPr>
              <w:t>$33,310</w:t>
            </w:r>
          </w:p>
        </w:tc>
        <w:tc>
          <w:tcPr>
            <w:tcW w:w="734" w:type="dxa"/>
            <w:tcBorders>
              <w:top w:val="nil"/>
              <w:left w:val="nil"/>
              <w:bottom w:val="nil"/>
              <w:right w:val="nil"/>
            </w:tcBorders>
            <w:shd w:val="clear" w:color="000000" w:fill="BFBFBF"/>
            <w:noWrap/>
            <w:vAlign w:val="bottom"/>
          </w:tcPr>
          <w:p w14:paraId="19350C56" w14:textId="31A94F86" w:rsidR="00100E6C" w:rsidRPr="004E6649" w:rsidRDefault="00100E6C" w:rsidP="00100E6C">
            <w:pPr>
              <w:jc w:val="right"/>
              <w:rPr>
                <w:rFonts w:cstheme="minorHAnsi"/>
                <w:color w:val="0D0D0D"/>
                <w:sz w:val="19"/>
                <w:szCs w:val="19"/>
              </w:rPr>
            </w:pPr>
            <w:r>
              <w:rPr>
                <w:rFonts w:ascii="Calibri" w:hAnsi="Calibri" w:cs="Calibri"/>
                <w:color w:val="0D0D0D"/>
                <w:sz w:val="20"/>
                <w:szCs w:val="20"/>
              </w:rPr>
              <w:t>0.9%</w:t>
            </w:r>
          </w:p>
        </w:tc>
      </w:tr>
      <w:tr w:rsidR="00100E6C" w:rsidRPr="004E6649" w14:paraId="77B0313E" w14:textId="77777777" w:rsidTr="008B69B9">
        <w:trPr>
          <w:trHeight w:val="66"/>
        </w:trPr>
        <w:tc>
          <w:tcPr>
            <w:tcW w:w="1980" w:type="dxa"/>
            <w:tcBorders>
              <w:top w:val="nil"/>
              <w:left w:val="nil"/>
              <w:bottom w:val="nil"/>
              <w:right w:val="nil"/>
            </w:tcBorders>
            <w:shd w:val="clear" w:color="000000" w:fill="FFFFFF"/>
            <w:noWrap/>
            <w:vAlign w:val="bottom"/>
          </w:tcPr>
          <w:p w14:paraId="2B9E6776" w14:textId="5B2C8079" w:rsidR="00100E6C" w:rsidRPr="004E6649" w:rsidRDefault="00100E6C" w:rsidP="00100E6C">
            <w:pPr>
              <w:rPr>
                <w:rFonts w:cstheme="minorHAnsi"/>
                <w:color w:val="0D0D0D"/>
                <w:sz w:val="19"/>
                <w:szCs w:val="19"/>
              </w:rPr>
            </w:pPr>
            <w:r>
              <w:rPr>
                <w:rFonts w:ascii="Calibri" w:hAnsi="Calibri" w:cs="Calibri"/>
                <w:color w:val="0D0D0D"/>
                <w:sz w:val="20"/>
                <w:szCs w:val="20"/>
              </w:rPr>
              <w:t>In-State - Continuing 2L</w:t>
            </w:r>
          </w:p>
        </w:tc>
        <w:tc>
          <w:tcPr>
            <w:tcW w:w="918" w:type="dxa"/>
            <w:tcBorders>
              <w:top w:val="nil"/>
              <w:left w:val="nil"/>
              <w:bottom w:val="nil"/>
              <w:right w:val="nil"/>
            </w:tcBorders>
            <w:shd w:val="clear" w:color="000000" w:fill="FFFFFF"/>
            <w:noWrap/>
            <w:vAlign w:val="bottom"/>
          </w:tcPr>
          <w:p w14:paraId="76F3E252" w14:textId="14EFFB14" w:rsidR="00100E6C" w:rsidRPr="004E6649" w:rsidRDefault="00100E6C" w:rsidP="00100E6C">
            <w:pPr>
              <w:jc w:val="right"/>
              <w:rPr>
                <w:rFonts w:cstheme="minorHAnsi"/>
                <w:b/>
                <w:bCs/>
                <w:color w:val="0D0D0D"/>
                <w:sz w:val="19"/>
                <w:szCs w:val="19"/>
              </w:rPr>
            </w:pPr>
            <w:r>
              <w:rPr>
                <w:rFonts w:ascii="Calibri" w:hAnsi="Calibri" w:cs="Calibri"/>
                <w:b/>
                <w:bCs/>
                <w:color w:val="0D0D0D"/>
                <w:sz w:val="20"/>
                <w:szCs w:val="20"/>
              </w:rPr>
              <w:t>38,161</w:t>
            </w:r>
          </w:p>
        </w:tc>
        <w:tc>
          <w:tcPr>
            <w:tcW w:w="734" w:type="dxa"/>
            <w:tcBorders>
              <w:top w:val="nil"/>
              <w:left w:val="nil"/>
              <w:bottom w:val="nil"/>
              <w:right w:val="nil"/>
            </w:tcBorders>
            <w:shd w:val="clear" w:color="000000" w:fill="BFBFBF"/>
            <w:noWrap/>
            <w:vAlign w:val="bottom"/>
          </w:tcPr>
          <w:p w14:paraId="053E566F" w14:textId="4DD71E59" w:rsidR="00100E6C" w:rsidRPr="004E6649" w:rsidRDefault="00100E6C" w:rsidP="00100E6C">
            <w:pPr>
              <w:jc w:val="right"/>
              <w:rPr>
                <w:rFonts w:cstheme="minorHAnsi"/>
                <w:color w:val="0D0D0D"/>
                <w:sz w:val="19"/>
                <w:szCs w:val="19"/>
              </w:rPr>
            </w:pPr>
            <w:r>
              <w:rPr>
                <w:rFonts w:ascii="Calibri" w:hAnsi="Calibri" w:cs="Calibri"/>
                <w:color w:val="0D0D0D"/>
                <w:sz w:val="20"/>
                <w:szCs w:val="20"/>
              </w:rPr>
              <w:t>4.4%</w:t>
            </w:r>
          </w:p>
        </w:tc>
        <w:tc>
          <w:tcPr>
            <w:tcW w:w="922" w:type="dxa"/>
            <w:tcBorders>
              <w:top w:val="nil"/>
              <w:left w:val="nil"/>
              <w:bottom w:val="nil"/>
              <w:right w:val="nil"/>
            </w:tcBorders>
            <w:shd w:val="clear" w:color="000000" w:fill="FFFFFF"/>
            <w:noWrap/>
            <w:vAlign w:val="bottom"/>
          </w:tcPr>
          <w:p w14:paraId="43869081" w14:textId="1449B132" w:rsidR="00100E6C" w:rsidRPr="004E6649" w:rsidRDefault="00100E6C" w:rsidP="00100E6C">
            <w:pPr>
              <w:jc w:val="right"/>
              <w:rPr>
                <w:rFonts w:cstheme="minorHAnsi"/>
                <w:b/>
                <w:bCs/>
                <w:color w:val="0D0D0D"/>
                <w:sz w:val="19"/>
                <w:szCs w:val="19"/>
              </w:rPr>
            </w:pPr>
            <w:r>
              <w:rPr>
                <w:rFonts w:ascii="Calibri" w:hAnsi="Calibri" w:cs="Calibri"/>
                <w:b/>
                <w:bCs/>
                <w:color w:val="0D0D0D"/>
                <w:sz w:val="20"/>
                <w:szCs w:val="20"/>
              </w:rPr>
              <w:t>36,550</w:t>
            </w:r>
          </w:p>
        </w:tc>
        <w:tc>
          <w:tcPr>
            <w:tcW w:w="734" w:type="dxa"/>
            <w:tcBorders>
              <w:top w:val="nil"/>
              <w:left w:val="nil"/>
              <w:bottom w:val="nil"/>
              <w:right w:val="nil"/>
            </w:tcBorders>
            <w:shd w:val="clear" w:color="000000" w:fill="BFBFBF"/>
            <w:noWrap/>
            <w:vAlign w:val="bottom"/>
          </w:tcPr>
          <w:p w14:paraId="1C6276D6" w14:textId="0F585F37" w:rsidR="00100E6C" w:rsidRPr="004E6649" w:rsidRDefault="00100E6C" w:rsidP="00100E6C">
            <w:pPr>
              <w:jc w:val="right"/>
              <w:rPr>
                <w:rFonts w:cstheme="minorHAnsi"/>
                <w:color w:val="0D0D0D"/>
                <w:sz w:val="19"/>
                <w:szCs w:val="19"/>
              </w:rPr>
            </w:pPr>
            <w:r>
              <w:rPr>
                <w:rFonts w:ascii="Calibri" w:hAnsi="Calibri" w:cs="Calibri"/>
                <w:color w:val="0D0D0D"/>
                <w:sz w:val="20"/>
                <w:szCs w:val="20"/>
              </w:rPr>
              <w:t>0.9%</w:t>
            </w:r>
          </w:p>
        </w:tc>
        <w:tc>
          <w:tcPr>
            <w:tcW w:w="796" w:type="dxa"/>
            <w:tcBorders>
              <w:top w:val="nil"/>
              <w:left w:val="nil"/>
              <w:bottom w:val="nil"/>
              <w:right w:val="nil"/>
            </w:tcBorders>
            <w:shd w:val="clear" w:color="000000" w:fill="FFFFFF"/>
            <w:noWrap/>
            <w:vAlign w:val="bottom"/>
          </w:tcPr>
          <w:p w14:paraId="0875BEA5" w14:textId="45A9BAB0" w:rsidR="00100E6C" w:rsidRPr="008B69B9" w:rsidRDefault="00100E6C" w:rsidP="00100E6C">
            <w:pPr>
              <w:jc w:val="right"/>
              <w:rPr>
                <w:rFonts w:cstheme="minorHAnsi"/>
                <w:color w:val="0D0D0D"/>
                <w:sz w:val="19"/>
                <w:szCs w:val="19"/>
              </w:rPr>
            </w:pPr>
            <w:r w:rsidRPr="008B69B9">
              <w:rPr>
                <w:rFonts w:ascii="Calibri" w:hAnsi="Calibri" w:cs="Calibri"/>
                <w:color w:val="0D0D0D"/>
                <w:sz w:val="20"/>
                <w:szCs w:val="20"/>
              </w:rPr>
              <w:t>36,218</w:t>
            </w:r>
          </w:p>
        </w:tc>
        <w:tc>
          <w:tcPr>
            <w:tcW w:w="734" w:type="dxa"/>
            <w:tcBorders>
              <w:top w:val="nil"/>
              <w:left w:val="nil"/>
              <w:bottom w:val="nil"/>
              <w:right w:val="nil"/>
            </w:tcBorders>
            <w:shd w:val="clear" w:color="000000" w:fill="BFBFBF"/>
            <w:noWrap/>
            <w:vAlign w:val="bottom"/>
          </w:tcPr>
          <w:p w14:paraId="281F7DAF" w14:textId="63A50914" w:rsidR="00100E6C" w:rsidRPr="004E6649" w:rsidRDefault="00100E6C" w:rsidP="00100E6C">
            <w:pPr>
              <w:jc w:val="right"/>
              <w:rPr>
                <w:rFonts w:cstheme="minorHAnsi"/>
                <w:color w:val="0D0D0D"/>
                <w:sz w:val="19"/>
                <w:szCs w:val="19"/>
              </w:rPr>
            </w:pPr>
            <w:r>
              <w:rPr>
                <w:rFonts w:ascii="Calibri" w:hAnsi="Calibri" w:cs="Calibri"/>
                <w:color w:val="0D0D0D"/>
                <w:sz w:val="20"/>
                <w:szCs w:val="20"/>
              </w:rPr>
              <w:t>1.9%</w:t>
            </w:r>
          </w:p>
        </w:tc>
        <w:tc>
          <w:tcPr>
            <w:tcW w:w="796" w:type="dxa"/>
            <w:tcBorders>
              <w:top w:val="nil"/>
              <w:left w:val="nil"/>
              <w:bottom w:val="nil"/>
              <w:right w:val="nil"/>
            </w:tcBorders>
            <w:shd w:val="clear" w:color="000000" w:fill="FFFFFF"/>
            <w:noWrap/>
            <w:vAlign w:val="bottom"/>
          </w:tcPr>
          <w:p w14:paraId="5B256FD3" w14:textId="25F3945F" w:rsidR="00100E6C" w:rsidRPr="008B69B9" w:rsidRDefault="00100E6C" w:rsidP="00100E6C">
            <w:pPr>
              <w:jc w:val="right"/>
              <w:rPr>
                <w:rFonts w:cstheme="minorHAnsi"/>
                <w:color w:val="0D0D0D"/>
                <w:sz w:val="19"/>
                <w:szCs w:val="19"/>
              </w:rPr>
            </w:pPr>
            <w:r w:rsidRPr="008B69B9">
              <w:rPr>
                <w:rFonts w:ascii="Calibri" w:hAnsi="Calibri" w:cs="Calibri"/>
                <w:color w:val="0D0D0D"/>
                <w:sz w:val="20"/>
                <w:szCs w:val="20"/>
              </w:rPr>
              <w:t>35,555</w:t>
            </w:r>
          </w:p>
        </w:tc>
        <w:tc>
          <w:tcPr>
            <w:tcW w:w="734" w:type="dxa"/>
            <w:tcBorders>
              <w:top w:val="nil"/>
              <w:left w:val="nil"/>
              <w:bottom w:val="nil"/>
              <w:right w:val="nil"/>
            </w:tcBorders>
            <w:shd w:val="clear" w:color="000000" w:fill="BFBFBF"/>
            <w:noWrap/>
            <w:vAlign w:val="bottom"/>
          </w:tcPr>
          <w:p w14:paraId="463FD5E8" w14:textId="5E295DD8" w:rsidR="00100E6C" w:rsidRPr="004E6649" w:rsidRDefault="00100E6C" w:rsidP="00100E6C">
            <w:pPr>
              <w:jc w:val="right"/>
              <w:rPr>
                <w:rFonts w:cstheme="minorHAnsi"/>
                <w:color w:val="0D0D0D"/>
                <w:sz w:val="19"/>
                <w:szCs w:val="19"/>
              </w:rPr>
            </w:pPr>
            <w:r>
              <w:rPr>
                <w:rFonts w:ascii="Calibri" w:hAnsi="Calibri" w:cs="Calibri"/>
                <w:color w:val="0D0D0D"/>
                <w:sz w:val="20"/>
                <w:szCs w:val="20"/>
              </w:rPr>
              <w:t>6.7%</w:t>
            </w:r>
          </w:p>
        </w:tc>
        <w:tc>
          <w:tcPr>
            <w:tcW w:w="796" w:type="dxa"/>
            <w:tcBorders>
              <w:top w:val="nil"/>
              <w:left w:val="nil"/>
              <w:bottom w:val="nil"/>
              <w:right w:val="nil"/>
            </w:tcBorders>
            <w:shd w:val="clear" w:color="000000" w:fill="FFFFFF"/>
            <w:noWrap/>
            <w:vAlign w:val="bottom"/>
          </w:tcPr>
          <w:p w14:paraId="19FE0079" w14:textId="1E2EC6CB" w:rsidR="00100E6C" w:rsidRPr="004E6649" w:rsidRDefault="00100E6C" w:rsidP="00100E6C">
            <w:pPr>
              <w:jc w:val="right"/>
              <w:rPr>
                <w:rFonts w:cstheme="minorHAnsi"/>
                <w:color w:val="0D0D0D"/>
                <w:sz w:val="19"/>
                <w:szCs w:val="19"/>
              </w:rPr>
            </w:pPr>
            <w:r>
              <w:rPr>
                <w:rFonts w:ascii="Calibri" w:hAnsi="Calibri" w:cs="Calibri"/>
                <w:color w:val="0D0D0D"/>
                <w:sz w:val="20"/>
                <w:szCs w:val="20"/>
              </w:rPr>
              <w:t>33,310</w:t>
            </w:r>
          </w:p>
        </w:tc>
        <w:tc>
          <w:tcPr>
            <w:tcW w:w="734" w:type="dxa"/>
            <w:tcBorders>
              <w:top w:val="nil"/>
              <w:left w:val="nil"/>
              <w:bottom w:val="nil"/>
              <w:right w:val="nil"/>
            </w:tcBorders>
            <w:shd w:val="clear" w:color="000000" w:fill="BFBFBF"/>
            <w:noWrap/>
            <w:vAlign w:val="bottom"/>
          </w:tcPr>
          <w:p w14:paraId="4064D79B" w14:textId="62160CC0" w:rsidR="00100E6C" w:rsidRPr="004E6649" w:rsidRDefault="00100E6C" w:rsidP="00100E6C">
            <w:pPr>
              <w:jc w:val="right"/>
              <w:rPr>
                <w:rFonts w:cstheme="minorHAnsi"/>
                <w:color w:val="0D0D0D"/>
                <w:sz w:val="19"/>
                <w:szCs w:val="19"/>
              </w:rPr>
            </w:pPr>
            <w:r>
              <w:rPr>
                <w:rFonts w:ascii="Calibri" w:hAnsi="Calibri" w:cs="Calibri"/>
                <w:color w:val="0D0D0D"/>
                <w:sz w:val="20"/>
                <w:szCs w:val="20"/>
              </w:rPr>
              <w:t>0.9%</w:t>
            </w:r>
          </w:p>
        </w:tc>
      </w:tr>
      <w:tr w:rsidR="00100E6C" w:rsidRPr="004E6649" w14:paraId="3F66F5B8" w14:textId="77777777" w:rsidTr="008B69B9">
        <w:trPr>
          <w:trHeight w:val="66"/>
        </w:trPr>
        <w:tc>
          <w:tcPr>
            <w:tcW w:w="1980" w:type="dxa"/>
            <w:tcBorders>
              <w:top w:val="nil"/>
              <w:left w:val="nil"/>
              <w:bottom w:val="nil"/>
              <w:right w:val="nil"/>
            </w:tcBorders>
            <w:shd w:val="clear" w:color="000000" w:fill="FFFFFF"/>
            <w:noWrap/>
            <w:vAlign w:val="bottom"/>
          </w:tcPr>
          <w:p w14:paraId="3D5E12DB" w14:textId="5D3A1DA1" w:rsidR="00100E6C" w:rsidRPr="004E6649" w:rsidRDefault="00100E6C" w:rsidP="00100E6C">
            <w:pPr>
              <w:rPr>
                <w:rFonts w:cstheme="minorHAnsi"/>
                <w:color w:val="0D0D0D"/>
                <w:sz w:val="19"/>
                <w:szCs w:val="19"/>
              </w:rPr>
            </w:pPr>
            <w:r>
              <w:rPr>
                <w:rFonts w:ascii="Calibri" w:hAnsi="Calibri" w:cs="Calibri"/>
                <w:color w:val="0D0D0D"/>
                <w:sz w:val="20"/>
                <w:szCs w:val="20"/>
              </w:rPr>
              <w:t>In-State - New</w:t>
            </w:r>
          </w:p>
        </w:tc>
        <w:tc>
          <w:tcPr>
            <w:tcW w:w="918" w:type="dxa"/>
            <w:tcBorders>
              <w:top w:val="nil"/>
              <w:left w:val="nil"/>
              <w:bottom w:val="nil"/>
              <w:right w:val="nil"/>
            </w:tcBorders>
            <w:shd w:val="clear" w:color="000000" w:fill="FFFFFF"/>
            <w:noWrap/>
            <w:vAlign w:val="bottom"/>
          </w:tcPr>
          <w:p w14:paraId="5D0634CC" w14:textId="64E9ED40" w:rsidR="00100E6C" w:rsidRPr="004E6649" w:rsidRDefault="00100E6C" w:rsidP="00100E6C">
            <w:pPr>
              <w:jc w:val="right"/>
              <w:rPr>
                <w:rFonts w:cstheme="minorHAnsi"/>
                <w:b/>
                <w:bCs/>
                <w:color w:val="0D0D0D"/>
                <w:sz w:val="19"/>
                <w:szCs w:val="19"/>
              </w:rPr>
            </w:pPr>
            <w:r>
              <w:rPr>
                <w:rFonts w:ascii="Calibri" w:hAnsi="Calibri" w:cs="Calibri"/>
                <w:b/>
                <w:bCs/>
                <w:color w:val="0D0D0D"/>
                <w:sz w:val="20"/>
                <w:szCs w:val="20"/>
              </w:rPr>
              <w:t>38,881</w:t>
            </w:r>
          </w:p>
        </w:tc>
        <w:tc>
          <w:tcPr>
            <w:tcW w:w="734" w:type="dxa"/>
            <w:tcBorders>
              <w:top w:val="nil"/>
              <w:left w:val="nil"/>
              <w:bottom w:val="nil"/>
              <w:right w:val="nil"/>
            </w:tcBorders>
            <w:shd w:val="clear" w:color="000000" w:fill="BFBFBF"/>
            <w:noWrap/>
            <w:vAlign w:val="bottom"/>
          </w:tcPr>
          <w:p w14:paraId="52245CC3" w14:textId="4CE6EEB6" w:rsidR="00100E6C" w:rsidRPr="004E6649" w:rsidRDefault="00100E6C" w:rsidP="00100E6C">
            <w:pPr>
              <w:jc w:val="right"/>
              <w:rPr>
                <w:rFonts w:cstheme="minorHAnsi"/>
                <w:color w:val="0D0D0D"/>
                <w:sz w:val="19"/>
                <w:szCs w:val="19"/>
              </w:rPr>
            </w:pPr>
            <w:r>
              <w:rPr>
                <w:rFonts w:ascii="Calibri" w:hAnsi="Calibri" w:cs="Calibri"/>
                <w:color w:val="0D0D0D"/>
                <w:sz w:val="20"/>
                <w:szCs w:val="20"/>
              </w:rPr>
              <w:t>4.4%</w:t>
            </w:r>
          </w:p>
        </w:tc>
        <w:tc>
          <w:tcPr>
            <w:tcW w:w="922" w:type="dxa"/>
            <w:tcBorders>
              <w:top w:val="nil"/>
              <w:left w:val="nil"/>
              <w:bottom w:val="nil"/>
              <w:right w:val="nil"/>
            </w:tcBorders>
            <w:shd w:val="clear" w:color="000000" w:fill="FFFFFF"/>
            <w:noWrap/>
            <w:vAlign w:val="bottom"/>
          </w:tcPr>
          <w:p w14:paraId="580778D5" w14:textId="24502B5A" w:rsidR="00100E6C" w:rsidRPr="004E6649" w:rsidRDefault="00100E6C" w:rsidP="00100E6C">
            <w:pPr>
              <w:jc w:val="right"/>
              <w:rPr>
                <w:rFonts w:cstheme="minorHAnsi"/>
                <w:b/>
                <w:bCs/>
                <w:color w:val="0D0D0D"/>
                <w:sz w:val="19"/>
                <w:szCs w:val="19"/>
              </w:rPr>
            </w:pPr>
            <w:r>
              <w:rPr>
                <w:rFonts w:ascii="Calibri" w:hAnsi="Calibri" w:cs="Calibri"/>
                <w:b/>
                <w:bCs/>
                <w:color w:val="0D0D0D"/>
                <w:sz w:val="20"/>
                <w:szCs w:val="20"/>
              </w:rPr>
              <w:t>37,240</w:t>
            </w:r>
          </w:p>
        </w:tc>
        <w:tc>
          <w:tcPr>
            <w:tcW w:w="734" w:type="dxa"/>
            <w:tcBorders>
              <w:top w:val="nil"/>
              <w:left w:val="nil"/>
              <w:bottom w:val="nil"/>
              <w:right w:val="nil"/>
            </w:tcBorders>
            <w:shd w:val="clear" w:color="000000" w:fill="BFBFBF"/>
            <w:noWrap/>
            <w:vAlign w:val="bottom"/>
          </w:tcPr>
          <w:p w14:paraId="31B374F9" w14:textId="25322881" w:rsidR="00100E6C" w:rsidRPr="004E6649" w:rsidRDefault="00100E6C" w:rsidP="00100E6C">
            <w:pPr>
              <w:jc w:val="right"/>
              <w:rPr>
                <w:rFonts w:cstheme="minorHAnsi"/>
                <w:color w:val="0D0D0D"/>
                <w:sz w:val="19"/>
                <w:szCs w:val="19"/>
              </w:rPr>
            </w:pPr>
            <w:r>
              <w:rPr>
                <w:rFonts w:ascii="Calibri" w:hAnsi="Calibri" w:cs="Calibri"/>
                <w:color w:val="0D0D0D"/>
                <w:sz w:val="20"/>
                <w:szCs w:val="20"/>
              </w:rPr>
              <w:t>2.8%</w:t>
            </w:r>
          </w:p>
        </w:tc>
        <w:tc>
          <w:tcPr>
            <w:tcW w:w="796" w:type="dxa"/>
            <w:tcBorders>
              <w:top w:val="nil"/>
              <w:left w:val="nil"/>
              <w:bottom w:val="nil"/>
              <w:right w:val="nil"/>
            </w:tcBorders>
            <w:shd w:val="clear" w:color="000000" w:fill="FFFFFF"/>
            <w:noWrap/>
            <w:vAlign w:val="bottom"/>
          </w:tcPr>
          <w:p w14:paraId="4C9B3605" w14:textId="194FF300" w:rsidR="00100E6C" w:rsidRPr="008B69B9" w:rsidRDefault="00100E6C" w:rsidP="00100E6C">
            <w:pPr>
              <w:jc w:val="right"/>
              <w:rPr>
                <w:rFonts w:cstheme="minorHAnsi"/>
                <w:color w:val="0D0D0D"/>
                <w:sz w:val="19"/>
                <w:szCs w:val="19"/>
              </w:rPr>
            </w:pPr>
            <w:r w:rsidRPr="008B69B9">
              <w:rPr>
                <w:rFonts w:ascii="Calibri" w:hAnsi="Calibri" w:cs="Calibri"/>
                <w:color w:val="0D0D0D"/>
                <w:sz w:val="20"/>
                <w:szCs w:val="20"/>
              </w:rPr>
              <w:t>36,218</w:t>
            </w:r>
          </w:p>
        </w:tc>
        <w:tc>
          <w:tcPr>
            <w:tcW w:w="734" w:type="dxa"/>
            <w:tcBorders>
              <w:top w:val="nil"/>
              <w:left w:val="nil"/>
              <w:bottom w:val="nil"/>
              <w:right w:val="nil"/>
            </w:tcBorders>
            <w:shd w:val="clear" w:color="000000" w:fill="BFBFBF"/>
            <w:noWrap/>
            <w:vAlign w:val="bottom"/>
          </w:tcPr>
          <w:p w14:paraId="7974352E" w14:textId="76CB5762" w:rsidR="00100E6C" w:rsidRPr="004E6649" w:rsidRDefault="00100E6C" w:rsidP="00100E6C">
            <w:pPr>
              <w:jc w:val="right"/>
              <w:rPr>
                <w:rFonts w:cstheme="minorHAnsi"/>
                <w:color w:val="0D0D0D"/>
                <w:sz w:val="19"/>
                <w:szCs w:val="19"/>
              </w:rPr>
            </w:pPr>
            <w:r>
              <w:rPr>
                <w:rFonts w:ascii="Calibri" w:hAnsi="Calibri" w:cs="Calibri"/>
                <w:color w:val="0D0D0D"/>
                <w:sz w:val="20"/>
                <w:szCs w:val="20"/>
              </w:rPr>
              <w:t>1.9%</w:t>
            </w:r>
          </w:p>
        </w:tc>
        <w:tc>
          <w:tcPr>
            <w:tcW w:w="796" w:type="dxa"/>
            <w:tcBorders>
              <w:top w:val="nil"/>
              <w:left w:val="nil"/>
              <w:bottom w:val="nil"/>
              <w:right w:val="nil"/>
            </w:tcBorders>
            <w:shd w:val="clear" w:color="000000" w:fill="FFFFFF"/>
            <w:noWrap/>
            <w:vAlign w:val="bottom"/>
          </w:tcPr>
          <w:p w14:paraId="7A291DF8" w14:textId="47E675DC" w:rsidR="00100E6C" w:rsidRPr="008B69B9" w:rsidRDefault="00100E6C" w:rsidP="00100E6C">
            <w:pPr>
              <w:jc w:val="right"/>
              <w:rPr>
                <w:rFonts w:cstheme="minorHAnsi"/>
                <w:color w:val="0D0D0D"/>
                <w:sz w:val="19"/>
                <w:szCs w:val="19"/>
              </w:rPr>
            </w:pPr>
            <w:r w:rsidRPr="008B69B9">
              <w:rPr>
                <w:rFonts w:ascii="Calibri" w:hAnsi="Calibri" w:cs="Calibri"/>
                <w:color w:val="0D0D0D"/>
                <w:sz w:val="20"/>
                <w:szCs w:val="20"/>
              </w:rPr>
              <w:t>35,555</w:t>
            </w:r>
          </w:p>
        </w:tc>
        <w:tc>
          <w:tcPr>
            <w:tcW w:w="734" w:type="dxa"/>
            <w:tcBorders>
              <w:top w:val="nil"/>
              <w:left w:val="nil"/>
              <w:bottom w:val="nil"/>
              <w:right w:val="nil"/>
            </w:tcBorders>
            <w:shd w:val="clear" w:color="000000" w:fill="BFBFBF"/>
            <w:noWrap/>
            <w:vAlign w:val="bottom"/>
          </w:tcPr>
          <w:p w14:paraId="166FA177" w14:textId="3580D2E5" w:rsidR="00100E6C" w:rsidRPr="004E6649" w:rsidRDefault="00100E6C" w:rsidP="00100E6C">
            <w:pPr>
              <w:jc w:val="right"/>
              <w:rPr>
                <w:rFonts w:cstheme="minorHAnsi"/>
                <w:color w:val="0D0D0D"/>
                <w:sz w:val="19"/>
                <w:szCs w:val="19"/>
              </w:rPr>
            </w:pPr>
            <w:r>
              <w:rPr>
                <w:rFonts w:ascii="Calibri" w:hAnsi="Calibri" w:cs="Calibri"/>
                <w:color w:val="0D0D0D"/>
                <w:sz w:val="20"/>
                <w:szCs w:val="20"/>
              </w:rPr>
              <w:t>6.7%</w:t>
            </w:r>
          </w:p>
        </w:tc>
        <w:tc>
          <w:tcPr>
            <w:tcW w:w="796" w:type="dxa"/>
            <w:tcBorders>
              <w:top w:val="nil"/>
              <w:left w:val="nil"/>
              <w:bottom w:val="nil"/>
              <w:right w:val="nil"/>
            </w:tcBorders>
            <w:shd w:val="clear" w:color="000000" w:fill="FFFFFF"/>
            <w:noWrap/>
            <w:vAlign w:val="bottom"/>
          </w:tcPr>
          <w:p w14:paraId="53921B23" w14:textId="04D0FD93" w:rsidR="00100E6C" w:rsidRPr="004E6649" w:rsidRDefault="00100E6C" w:rsidP="00100E6C">
            <w:pPr>
              <w:jc w:val="right"/>
              <w:rPr>
                <w:rFonts w:cstheme="minorHAnsi"/>
                <w:color w:val="0D0D0D"/>
                <w:sz w:val="19"/>
                <w:szCs w:val="19"/>
              </w:rPr>
            </w:pPr>
            <w:r>
              <w:rPr>
                <w:rFonts w:ascii="Calibri" w:hAnsi="Calibri" w:cs="Calibri"/>
                <w:color w:val="0D0D0D"/>
                <w:sz w:val="20"/>
                <w:szCs w:val="20"/>
              </w:rPr>
              <w:t>33,310</w:t>
            </w:r>
          </w:p>
        </w:tc>
        <w:tc>
          <w:tcPr>
            <w:tcW w:w="734" w:type="dxa"/>
            <w:tcBorders>
              <w:top w:val="nil"/>
              <w:left w:val="nil"/>
              <w:bottom w:val="nil"/>
              <w:right w:val="nil"/>
            </w:tcBorders>
            <w:shd w:val="clear" w:color="000000" w:fill="BFBFBF"/>
            <w:noWrap/>
            <w:vAlign w:val="bottom"/>
          </w:tcPr>
          <w:p w14:paraId="2727DD71" w14:textId="52CCE676" w:rsidR="00100E6C" w:rsidRPr="004E6649" w:rsidRDefault="00100E6C" w:rsidP="00100E6C">
            <w:pPr>
              <w:jc w:val="right"/>
              <w:rPr>
                <w:rFonts w:cstheme="minorHAnsi"/>
                <w:color w:val="0D0D0D"/>
                <w:sz w:val="19"/>
                <w:szCs w:val="19"/>
              </w:rPr>
            </w:pPr>
            <w:r>
              <w:rPr>
                <w:rFonts w:ascii="Calibri" w:hAnsi="Calibri" w:cs="Calibri"/>
                <w:color w:val="0D0D0D"/>
                <w:sz w:val="20"/>
                <w:szCs w:val="20"/>
              </w:rPr>
              <w:t>0.9%</w:t>
            </w:r>
          </w:p>
        </w:tc>
      </w:tr>
      <w:tr w:rsidR="00100E6C" w:rsidRPr="004E6649" w14:paraId="1683538D" w14:textId="77777777" w:rsidTr="008B69B9">
        <w:trPr>
          <w:trHeight w:val="66"/>
        </w:trPr>
        <w:tc>
          <w:tcPr>
            <w:tcW w:w="1980" w:type="dxa"/>
            <w:tcBorders>
              <w:top w:val="nil"/>
              <w:left w:val="nil"/>
              <w:bottom w:val="nil"/>
              <w:right w:val="nil"/>
            </w:tcBorders>
            <w:shd w:val="clear" w:color="000000" w:fill="FFFFFF"/>
            <w:noWrap/>
            <w:vAlign w:val="bottom"/>
          </w:tcPr>
          <w:p w14:paraId="56CC5927" w14:textId="1BEE5173" w:rsidR="00100E6C" w:rsidRDefault="00100E6C" w:rsidP="00100E6C">
            <w:pPr>
              <w:rPr>
                <w:rFonts w:ascii="Calibri" w:hAnsi="Calibri" w:cs="Calibri"/>
                <w:color w:val="0D0D0D"/>
                <w:sz w:val="20"/>
                <w:szCs w:val="20"/>
              </w:rPr>
            </w:pPr>
            <w:r>
              <w:rPr>
                <w:rFonts w:ascii="Calibri" w:hAnsi="Calibri" w:cs="Calibri"/>
                <w:color w:val="0D0D0D"/>
                <w:sz w:val="20"/>
                <w:szCs w:val="20"/>
              </w:rPr>
              <w:t>Out-of-State</w:t>
            </w:r>
          </w:p>
        </w:tc>
        <w:tc>
          <w:tcPr>
            <w:tcW w:w="918" w:type="dxa"/>
            <w:tcBorders>
              <w:top w:val="nil"/>
              <w:left w:val="nil"/>
              <w:bottom w:val="nil"/>
              <w:right w:val="nil"/>
            </w:tcBorders>
            <w:shd w:val="clear" w:color="000000" w:fill="FFFFFF"/>
            <w:noWrap/>
            <w:vAlign w:val="bottom"/>
          </w:tcPr>
          <w:p w14:paraId="78851577" w14:textId="710DCDA2" w:rsidR="00100E6C" w:rsidRDefault="00100E6C" w:rsidP="00100E6C">
            <w:pPr>
              <w:jc w:val="right"/>
              <w:rPr>
                <w:rFonts w:ascii="Calibri" w:hAnsi="Calibri" w:cs="Calibri"/>
                <w:b/>
                <w:bCs/>
                <w:color w:val="0D0D0D"/>
                <w:sz w:val="20"/>
                <w:szCs w:val="20"/>
              </w:rPr>
            </w:pPr>
            <w:r>
              <w:rPr>
                <w:rFonts w:ascii="Calibri" w:hAnsi="Calibri" w:cs="Calibri"/>
                <w:b/>
                <w:bCs/>
                <w:color w:val="0D0D0D"/>
                <w:sz w:val="20"/>
                <w:szCs w:val="20"/>
              </w:rPr>
              <w:t>50,281</w:t>
            </w:r>
          </w:p>
        </w:tc>
        <w:tc>
          <w:tcPr>
            <w:tcW w:w="734" w:type="dxa"/>
            <w:tcBorders>
              <w:top w:val="nil"/>
              <w:left w:val="nil"/>
              <w:bottom w:val="nil"/>
              <w:right w:val="nil"/>
            </w:tcBorders>
            <w:shd w:val="clear" w:color="000000" w:fill="BFBFBF"/>
            <w:noWrap/>
            <w:vAlign w:val="bottom"/>
          </w:tcPr>
          <w:p w14:paraId="24957071" w14:textId="5C849818" w:rsidR="00100E6C" w:rsidRDefault="00100E6C" w:rsidP="00100E6C">
            <w:pPr>
              <w:jc w:val="right"/>
              <w:rPr>
                <w:rFonts w:ascii="Calibri" w:hAnsi="Calibri" w:cs="Calibri"/>
                <w:color w:val="0D0D0D"/>
                <w:sz w:val="20"/>
                <w:szCs w:val="20"/>
              </w:rPr>
            </w:pPr>
            <w:r>
              <w:rPr>
                <w:rFonts w:ascii="Calibri" w:hAnsi="Calibri" w:cs="Calibri"/>
                <w:color w:val="0D0D0D"/>
                <w:sz w:val="20"/>
                <w:szCs w:val="20"/>
              </w:rPr>
              <w:t>1.9%</w:t>
            </w:r>
          </w:p>
        </w:tc>
        <w:tc>
          <w:tcPr>
            <w:tcW w:w="922" w:type="dxa"/>
            <w:tcBorders>
              <w:top w:val="nil"/>
              <w:left w:val="nil"/>
              <w:bottom w:val="nil"/>
              <w:right w:val="nil"/>
            </w:tcBorders>
            <w:shd w:val="clear" w:color="000000" w:fill="FFFFFF"/>
            <w:noWrap/>
            <w:vAlign w:val="bottom"/>
          </w:tcPr>
          <w:p w14:paraId="14075C6C" w14:textId="13DB0056" w:rsidR="00100E6C" w:rsidRDefault="00100E6C" w:rsidP="00100E6C">
            <w:pPr>
              <w:jc w:val="right"/>
              <w:rPr>
                <w:rFonts w:ascii="Calibri" w:hAnsi="Calibri" w:cs="Calibri"/>
                <w:b/>
                <w:bCs/>
                <w:color w:val="0D0D0D"/>
                <w:sz w:val="20"/>
                <w:szCs w:val="20"/>
              </w:rPr>
            </w:pPr>
            <w:r>
              <w:rPr>
                <w:rFonts w:ascii="Calibri" w:hAnsi="Calibri" w:cs="Calibri"/>
                <w:b/>
                <w:bCs/>
                <w:color w:val="0D0D0D"/>
                <w:sz w:val="20"/>
                <w:szCs w:val="20"/>
              </w:rPr>
              <w:t>49,360</w:t>
            </w:r>
          </w:p>
        </w:tc>
        <w:tc>
          <w:tcPr>
            <w:tcW w:w="734" w:type="dxa"/>
            <w:tcBorders>
              <w:top w:val="nil"/>
              <w:left w:val="nil"/>
              <w:bottom w:val="nil"/>
              <w:right w:val="nil"/>
            </w:tcBorders>
            <w:shd w:val="clear" w:color="000000" w:fill="BFBFBF"/>
            <w:noWrap/>
            <w:vAlign w:val="bottom"/>
          </w:tcPr>
          <w:p w14:paraId="797145A4" w14:textId="017855B0" w:rsidR="00100E6C" w:rsidRDefault="00100E6C" w:rsidP="00100E6C">
            <w:pPr>
              <w:jc w:val="right"/>
              <w:rPr>
                <w:rFonts w:ascii="Calibri" w:hAnsi="Calibri" w:cs="Calibri"/>
                <w:color w:val="0D0D0D"/>
                <w:sz w:val="20"/>
                <w:szCs w:val="20"/>
              </w:rPr>
            </w:pPr>
            <w:r>
              <w:rPr>
                <w:rFonts w:ascii="Calibri" w:hAnsi="Calibri" w:cs="Calibri"/>
                <w:color w:val="0D0D0D"/>
                <w:sz w:val="20"/>
                <w:szCs w:val="20"/>
              </w:rPr>
              <w:t>0.7%</w:t>
            </w:r>
          </w:p>
        </w:tc>
        <w:tc>
          <w:tcPr>
            <w:tcW w:w="796" w:type="dxa"/>
            <w:tcBorders>
              <w:top w:val="nil"/>
              <w:left w:val="nil"/>
              <w:bottom w:val="nil"/>
              <w:right w:val="nil"/>
            </w:tcBorders>
            <w:shd w:val="clear" w:color="000000" w:fill="FFFFFF"/>
            <w:noWrap/>
            <w:vAlign w:val="bottom"/>
          </w:tcPr>
          <w:p w14:paraId="09899D71" w14:textId="7F68A869" w:rsidR="00100E6C" w:rsidRPr="008B69B9" w:rsidRDefault="00100E6C" w:rsidP="00100E6C">
            <w:pPr>
              <w:jc w:val="right"/>
              <w:rPr>
                <w:rFonts w:ascii="Calibri" w:hAnsi="Calibri" w:cs="Calibri"/>
                <w:color w:val="0D0D0D"/>
                <w:sz w:val="20"/>
                <w:szCs w:val="20"/>
              </w:rPr>
            </w:pPr>
            <w:r w:rsidRPr="008B69B9">
              <w:rPr>
                <w:rFonts w:ascii="Calibri" w:hAnsi="Calibri" w:cs="Calibri"/>
                <w:color w:val="0D0D0D"/>
                <w:sz w:val="20"/>
                <w:szCs w:val="20"/>
              </w:rPr>
              <w:t>49,028</w:t>
            </w:r>
          </w:p>
        </w:tc>
        <w:tc>
          <w:tcPr>
            <w:tcW w:w="734" w:type="dxa"/>
            <w:tcBorders>
              <w:top w:val="nil"/>
              <w:left w:val="nil"/>
              <w:bottom w:val="nil"/>
              <w:right w:val="nil"/>
            </w:tcBorders>
            <w:shd w:val="clear" w:color="000000" w:fill="BFBFBF"/>
            <w:noWrap/>
            <w:vAlign w:val="bottom"/>
          </w:tcPr>
          <w:p w14:paraId="7F69AB13" w14:textId="70194A01" w:rsidR="00100E6C" w:rsidRDefault="00100E6C" w:rsidP="00100E6C">
            <w:pPr>
              <w:jc w:val="right"/>
              <w:rPr>
                <w:rFonts w:ascii="Calibri" w:hAnsi="Calibri" w:cs="Calibri"/>
                <w:color w:val="0D0D0D"/>
                <w:sz w:val="20"/>
                <w:szCs w:val="20"/>
              </w:rPr>
            </w:pPr>
            <w:r>
              <w:rPr>
                <w:rFonts w:ascii="Calibri" w:hAnsi="Calibri" w:cs="Calibri"/>
                <w:color w:val="0D0D0D"/>
                <w:sz w:val="20"/>
                <w:szCs w:val="20"/>
              </w:rPr>
              <w:t>4.2%</w:t>
            </w:r>
          </w:p>
        </w:tc>
        <w:tc>
          <w:tcPr>
            <w:tcW w:w="796" w:type="dxa"/>
            <w:tcBorders>
              <w:top w:val="nil"/>
              <w:left w:val="nil"/>
              <w:bottom w:val="nil"/>
              <w:right w:val="nil"/>
            </w:tcBorders>
            <w:shd w:val="clear" w:color="000000" w:fill="FFFFFF"/>
            <w:noWrap/>
            <w:vAlign w:val="bottom"/>
          </w:tcPr>
          <w:p w14:paraId="13D4EC7E" w14:textId="0EF705E4" w:rsidR="00100E6C" w:rsidRPr="008B69B9" w:rsidRDefault="00100E6C" w:rsidP="00100E6C">
            <w:pPr>
              <w:jc w:val="right"/>
              <w:rPr>
                <w:rFonts w:ascii="Calibri" w:hAnsi="Calibri" w:cs="Calibri"/>
                <w:color w:val="0D0D0D"/>
                <w:sz w:val="20"/>
                <w:szCs w:val="20"/>
              </w:rPr>
            </w:pPr>
            <w:r w:rsidRPr="008B69B9">
              <w:rPr>
                <w:rFonts w:ascii="Calibri" w:hAnsi="Calibri" w:cs="Calibri"/>
                <w:color w:val="0D0D0D"/>
                <w:sz w:val="20"/>
                <w:szCs w:val="20"/>
              </w:rPr>
              <w:t>47,045</w:t>
            </w:r>
          </w:p>
        </w:tc>
        <w:tc>
          <w:tcPr>
            <w:tcW w:w="734" w:type="dxa"/>
            <w:tcBorders>
              <w:top w:val="nil"/>
              <w:left w:val="nil"/>
              <w:bottom w:val="nil"/>
              <w:right w:val="nil"/>
            </w:tcBorders>
            <w:shd w:val="clear" w:color="000000" w:fill="BFBFBF"/>
            <w:noWrap/>
            <w:vAlign w:val="bottom"/>
          </w:tcPr>
          <w:p w14:paraId="6A816986" w14:textId="09100575" w:rsidR="00100E6C" w:rsidRDefault="00100E6C" w:rsidP="00100E6C">
            <w:pPr>
              <w:jc w:val="right"/>
              <w:rPr>
                <w:rFonts w:ascii="Calibri" w:hAnsi="Calibri" w:cs="Calibri"/>
                <w:color w:val="0D0D0D"/>
                <w:sz w:val="20"/>
                <w:szCs w:val="20"/>
              </w:rPr>
            </w:pPr>
            <w:r>
              <w:rPr>
                <w:rFonts w:ascii="Calibri" w:hAnsi="Calibri" w:cs="Calibri"/>
                <w:color w:val="0D0D0D"/>
                <w:sz w:val="20"/>
                <w:szCs w:val="20"/>
              </w:rPr>
              <w:t>5.0%</w:t>
            </w:r>
          </w:p>
        </w:tc>
        <w:tc>
          <w:tcPr>
            <w:tcW w:w="796" w:type="dxa"/>
            <w:tcBorders>
              <w:top w:val="nil"/>
              <w:left w:val="nil"/>
              <w:bottom w:val="nil"/>
              <w:right w:val="nil"/>
            </w:tcBorders>
            <w:shd w:val="clear" w:color="000000" w:fill="FFFFFF"/>
            <w:noWrap/>
            <w:vAlign w:val="bottom"/>
          </w:tcPr>
          <w:p w14:paraId="01BA2C06" w14:textId="054754E1" w:rsidR="00100E6C" w:rsidRDefault="00100E6C" w:rsidP="00100E6C">
            <w:pPr>
              <w:jc w:val="right"/>
              <w:rPr>
                <w:rFonts w:ascii="Calibri" w:hAnsi="Calibri" w:cs="Calibri"/>
                <w:color w:val="0D0D0D"/>
                <w:sz w:val="20"/>
                <w:szCs w:val="20"/>
              </w:rPr>
            </w:pPr>
            <w:r>
              <w:rPr>
                <w:rFonts w:ascii="Calibri" w:hAnsi="Calibri" w:cs="Calibri"/>
                <w:color w:val="0D0D0D"/>
                <w:sz w:val="20"/>
                <w:szCs w:val="20"/>
              </w:rPr>
              <w:t>44,800</w:t>
            </w:r>
          </w:p>
        </w:tc>
        <w:tc>
          <w:tcPr>
            <w:tcW w:w="734" w:type="dxa"/>
            <w:tcBorders>
              <w:top w:val="nil"/>
              <w:left w:val="nil"/>
              <w:bottom w:val="nil"/>
              <w:right w:val="nil"/>
            </w:tcBorders>
            <w:shd w:val="clear" w:color="000000" w:fill="BFBFBF"/>
            <w:noWrap/>
            <w:vAlign w:val="bottom"/>
          </w:tcPr>
          <w:p w14:paraId="5E379CB2" w14:textId="42C63C85" w:rsidR="00100E6C" w:rsidRDefault="00100E6C" w:rsidP="00100E6C">
            <w:pPr>
              <w:jc w:val="right"/>
              <w:rPr>
                <w:rFonts w:ascii="Calibri" w:hAnsi="Calibri" w:cs="Calibri"/>
                <w:color w:val="0D0D0D"/>
                <w:sz w:val="20"/>
                <w:szCs w:val="20"/>
              </w:rPr>
            </w:pPr>
            <w:r>
              <w:rPr>
                <w:rFonts w:ascii="Calibri" w:hAnsi="Calibri" w:cs="Calibri"/>
                <w:color w:val="0D0D0D"/>
                <w:sz w:val="20"/>
                <w:szCs w:val="20"/>
              </w:rPr>
              <w:t>0.7%</w:t>
            </w:r>
          </w:p>
        </w:tc>
      </w:tr>
      <w:tr w:rsidR="00100E6C" w:rsidRPr="00100E6C" w14:paraId="6F0B55B6" w14:textId="77777777" w:rsidTr="00100E6C">
        <w:trPr>
          <w:trHeight w:val="66"/>
        </w:trPr>
        <w:tc>
          <w:tcPr>
            <w:tcW w:w="1980" w:type="dxa"/>
            <w:tcBorders>
              <w:top w:val="nil"/>
              <w:left w:val="nil"/>
              <w:bottom w:val="nil"/>
              <w:right w:val="nil"/>
            </w:tcBorders>
            <w:shd w:val="clear" w:color="000000" w:fill="FFFFFF"/>
            <w:noWrap/>
            <w:vAlign w:val="bottom"/>
          </w:tcPr>
          <w:p w14:paraId="43D52B56" w14:textId="77777777" w:rsidR="00100E6C" w:rsidRPr="00100E6C" w:rsidRDefault="00100E6C" w:rsidP="00100E6C">
            <w:pPr>
              <w:rPr>
                <w:rFonts w:ascii="Calibri" w:hAnsi="Calibri" w:cs="Calibri"/>
                <w:color w:val="0D0D0D"/>
                <w:sz w:val="20"/>
                <w:szCs w:val="20"/>
              </w:rPr>
            </w:pPr>
            <w:r w:rsidRPr="00100E6C">
              <w:rPr>
                <w:rFonts w:ascii="Calibri" w:hAnsi="Calibri" w:cs="Calibri"/>
                <w:color w:val="0D0D0D"/>
                <w:sz w:val="20"/>
                <w:szCs w:val="20"/>
              </w:rPr>
              <w:t xml:space="preserve">NEBHE/Canadian </w:t>
            </w:r>
          </w:p>
        </w:tc>
        <w:tc>
          <w:tcPr>
            <w:tcW w:w="918" w:type="dxa"/>
            <w:tcBorders>
              <w:top w:val="nil"/>
              <w:left w:val="nil"/>
              <w:bottom w:val="nil"/>
              <w:right w:val="nil"/>
            </w:tcBorders>
            <w:shd w:val="clear" w:color="000000" w:fill="FFFFFF"/>
            <w:noWrap/>
            <w:vAlign w:val="bottom"/>
          </w:tcPr>
          <w:p w14:paraId="63EC697E" w14:textId="77777777" w:rsidR="00100E6C" w:rsidRPr="00100E6C" w:rsidRDefault="00100E6C" w:rsidP="00100E6C">
            <w:pPr>
              <w:jc w:val="right"/>
              <w:rPr>
                <w:rFonts w:ascii="Calibri" w:hAnsi="Calibri" w:cs="Calibri"/>
                <w:b/>
                <w:bCs/>
                <w:color w:val="0D0D0D"/>
                <w:sz w:val="20"/>
                <w:szCs w:val="20"/>
              </w:rPr>
            </w:pPr>
            <w:r w:rsidRPr="00100E6C">
              <w:rPr>
                <w:rFonts w:ascii="Calibri" w:hAnsi="Calibri" w:cs="Calibri"/>
                <w:b/>
                <w:bCs/>
                <w:color w:val="0D0D0D"/>
                <w:sz w:val="20"/>
                <w:szCs w:val="20"/>
              </w:rPr>
              <w:t>45,931</w:t>
            </w:r>
          </w:p>
        </w:tc>
        <w:tc>
          <w:tcPr>
            <w:tcW w:w="734" w:type="dxa"/>
            <w:tcBorders>
              <w:top w:val="nil"/>
              <w:left w:val="nil"/>
              <w:bottom w:val="nil"/>
              <w:right w:val="nil"/>
            </w:tcBorders>
            <w:shd w:val="clear" w:color="000000" w:fill="BFBFBF"/>
            <w:noWrap/>
            <w:vAlign w:val="bottom"/>
          </w:tcPr>
          <w:p w14:paraId="7F97EC26" w14:textId="77777777" w:rsidR="00100E6C" w:rsidRPr="00100E6C" w:rsidRDefault="00100E6C" w:rsidP="00100E6C">
            <w:pPr>
              <w:jc w:val="right"/>
              <w:rPr>
                <w:rFonts w:ascii="Calibri" w:hAnsi="Calibri" w:cs="Calibri"/>
                <w:color w:val="0D0D0D"/>
                <w:sz w:val="20"/>
                <w:szCs w:val="20"/>
              </w:rPr>
            </w:pPr>
            <w:r w:rsidRPr="00100E6C">
              <w:rPr>
                <w:rFonts w:ascii="Calibri" w:hAnsi="Calibri" w:cs="Calibri"/>
                <w:color w:val="0D0D0D"/>
                <w:sz w:val="20"/>
                <w:szCs w:val="20"/>
              </w:rPr>
              <w:t>2.0%</w:t>
            </w:r>
          </w:p>
        </w:tc>
        <w:tc>
          <w:tcPr>
            <w:tcW w:w="922" w:type="dxa"/>
            <w:tcBorders>
              <w:top w:val="nil"/>
              <w:left w:val="nil"/>
              <w:bottom w:val="nil"/>
              <w:right w:val="nil"/>
            </w:tcBorders>
            <w:shd w:val="clear" w:color="000000" w:fill="FFFFFF"/>
            <w:noWrap/>
            <w:vAlign w:val="bottom"/>
          </w:tcPr>
          <w:p w14:paraId="024B64CB" w14:textId="77777777" w:rsidR="00100E6C" w:rsidRPr="00100E6C" w:rsidRDefault="00100E6C" w:rsidP="00100E6C">
            <w:pPr>
              <w:jc w:val="right"/>
              <w:rPr>
                <w:rFonts w:ascii="Calibri" w:hAnsi="Calibri" w:cs="Calibri"/>
                <w:b/>
                <w:bCs/>
                <w:color w:val="0D0D0D"/>
                <w:sz w:val="20"/>
                <w:szCs w:val="20"/>
              </w:rPr>
            </w:pPr>
            <w:r w:rsidRPr="00100E6C">
              <w:rPr>
                <w:rFonts w:ascii="Calibri" w:hAnsi="Calibri" w:cs="Calibri"/>
                <w:b/>
                <w:bCs/>
                <w:color w:val="0D0D0D"/>
                <w:sz w:val="20"/>
                <w:szCs w:val="20"/>
              </w:rPr>
              <w:t>45,010</w:t>
            </w:r>
          </w:p>
        </w:tc>
        <w:tc>
          <w:tcPr>
            <w:tcW w:w="734" w:type="dxa"/>
            <w:tcBorders>
              <w:top w:val="nil"/>
              <w:left w:val="nil"/>
              <w:bottom w:val="nil"/>
              <w:right w:val="nil"/>
            </w:tcBorders>
            <w:shd w:val="clear" w:color="000000" w:fill="BFBFBF"/>
            <w:noWrap/>
            <w:vAlign w:val="bottom"/>
          </w:tcPr>
          <w:p w14:paraId="2166844F" w14:textId="77777777" w:rsidR="00100E6C" w:rsidRPr="00100E6C" w:rsidRDefault="00100E6C" w:rsidP="00100E6C">
            <w:pPr>
              <w:jc w:val="right"/>
              <w:rPr>
                <w:rFonts w:ascii="Calibri" w:hAnsi="Calibri" w:cs="Calibri"/>
                <w:color w:val="0D0D0D"/>
                <w:sz w:val="20"/>
                <w:szCs w:val="20"/>
              </w:rPr>
            </w:pPr>
            <w:r w:rsidRPr="00100E6C">
              <w:rPr>
                <w:rFonts w:ascii="Calibri" w:hAnsi="Calibri" w:cs="Calibri"/>
                <w:color w:val="0D0D0D"/>
                <w:sz w:val="20"/>
                <w:szCs w:val="20"/>
              </w:rPr>
              <w:t>0.7%</w:t>
            </w:r>
          </w:p>
        </w:tc>
        <w:tc>
          <w:tcPr>
            <w:tcW w:w="796" w:type="dxa"/>
            <w:tcBorders>
              <w:top w:val="nil"/>
              <w:left w:val="nil"/>
              <w:bottom w:val="nil"/>
              <w:right w:val="nil"/>
            </w:tcBorders>
            <w:shd w:val="clear" w:color="000000" w:fill="FFFFFF"/>
            <w:noWrap/>
            <w:vAlign w:val="bottom"/>
          </w:tcPr>
          <w:p w14:paraId="74EE85E4" w14:textId="77777777" w:rsidR="00100E6C" w:rsidRPr="008B69B9" w:rsidRDefault="00100E6C" w:rsidP="00100E6C">
            <w:pPr>
              <w:jc w:val="right"/>
              <w:rPr>
                <w:rFonts w:ascii="Calibri" w:hAnsi="Calibri" w:cs="Calibri"/>
                <w:color w:val="0D0D0D"/>
                <w:sz w:val="20"/>
                <w:szCs w:val="20"/>
              </w:rPr>
            </w:pPr>
            <w:r w:rsidRPr="008B69B9">
              <w:rPr>
                <w:rFonts w:ascii="Calibri" w:hAnsi="Calibri" w:cs="Calibri"/>
                <w:color w:val="0D0D0D"/>
                <w:sz w:val="20"/>
                <w:szCs w:val="20"/>
              </w:rPr>
              <w:t>44,678</w:t>
            </w:r>
          </w:p>
        </w:tc>
        <w:tc>
          <w:tcPr>
            <w:tcW w:w="734" w:type="dxa"/>
            <w:tcBorders>
              <w:top w:val="nil"/>
              <w:left w:val="nil"/>
              <w:bottom w:val="nil"/>
              <w:right w:val="nil"/>
            </w:tcBorders>
            <w:shd w:val="clear" w:color="000000" w:fill="BFBFBF"/>
            <w:noWrap/>
            <w:vAlign w:val="bottom"/>
          </w:tcPr>
          <w:p w14:paraId="7D937FB3" w14:textId="77777777" w:rsidR="00100E6C" w:rsidRPr="00100E6C" w:rsidRDefault="00100E6C" w:rsidP="00100E6C">
            <w:pPr>
              <w:jc w:val="right"/>
              <w:rPr>
                <w:rFonts w:ascii="Calibri" w:hAnsi="Calibri" w:cs="Calibri"/>
                <w:color w:val="0D0D0D"/>
                <w:sz w:val="20"/>
                <w:szCs w:val="20"/>
              </w:rPr>
            </w:pPr>
            <w:r w:rsidRPr="00100E6C">
              <w:rPr>
                <w:rFonts w:ascii="Calibri" w:hAnsi="Calibri" w:cs="Calibri"/>
                <w:color w:val="0D0D0D"/>
                <w:sz w:val="20"/>
                <w:szCs w:val="20"/>
              </w:rPr>
              <w:t>1.5%</w:t>
            </w:r>
          </w:p>
        </w:tc>
        <w:tc>
          <w:tcPr>
            <w:tcW w:w="796" w:type="dxa"/>
            <w:tcBorders>
              <w:top w:val="nil"/>
              <w:left w:val="nil"/>
              <w:bottom w:val="nil"/>
              <w:right w:val="nil"/>
            </w:tcBorders>
            <w:shd w:val="clear" w:color="000000" w:fill="FFFFFF"/>
            <w:noWrap/>
            <w:vAlign w:val="bottom"/>
          </w:tcPr>
          <w:p w14:paraId="1E96EA3E" w14:textId="77777777" w:rsidR="00100E6C" w:rsidRPr="008B69B9" w:rsidRDefault="00100E6C" w:rsidP="00100E6C">
            <w:pPr>
              <w:jc w:val="right"/>
              <w:rPr>
                <w:rFonts w:ascii="Calibri" w:hAnsi="Calibri" w:cs="Calibri"/>
                <w:color w:val="0D0D0D"/>
                <w:sz w:val="20"/>
                <w:szCs w:val="20"/>
              </w:rPr>
            </w:pPr>
            <w:r w:rsidRPr="008B69B9">
              <w:rPr>
                <w:rFonts w:ascii="Calibri" w:hAnsi="Calibri" w:cs="Calibri"/>
                <w:color w:val="0D0D0D"/>
                <w:sz w:val="20"/>
                <w:szCs w:val="20"/>
              </w:rPr>
              <w:t>44,015</w:t>
            </w:r>
          </w:p>
        </w:tc>
        <w:tc>
          <w:tcPr>
            <w:tcW w:w="734" w:type="dxa"/>
            <w:tcBorders>
              <w:top w:val="nil"/>
              <w:left w:val="nil"/>
              <w:bottom w:val="nil"/>
              <w:right w:val="nil"/>
            </w:tcBorders>
            <w:shd w:val="clear" w:color="000000" w:fill="BFBFBF"/>
            <w:noWrap/>
            <w:vAlign w:val="bottom"/>
          </w:tcPr>
          <w:p w14:paraId="1EA51BE0" w14:textId="77777777" w:rsidR="00100E6C" w:rsidRPr="00100E6C" w:rsidRDefault="00100E6C" w:rsidP="00100E6C">
            <w:pPr>
              <w:jc w:val="right"/>
              <w:rPr>
                <w:rFonts w:ascii="Calibri" w:hAnsi="Calibri" w:cs="Calibri"/>
                <w:color w:val="0D0D0D"/>
                <w:sz w:val="20"/>
                <w:szCs w:val="20"/>
              </w:rPr>
            </w:pPr>
            <w:r w:rsidRPr="00100E6C">
              <w:rPr>
                <w:rFonts w:ascii="Calibri" w:hAnsi="Calibri" w:cs="Calibri"/>
                <w:color w:val="0D0D0D"/>
                <w:sz w:val="20"/>
                <w:szCs w:val="20"/>
              </w:rPr>
              <w:t>5.4%</w:t>
            </w:r>
          </w:p>
        </w:tc>
        <w:tc>
          <w:tcPr>
            <w:tcW w:w="796" w:type="dxa"/>
            <w:tcBorders>
              <w:top w:val="nil"/>
              <w:left w:val="nil"/>
              <w:bottom w:val="nil"/>
              <w:right w:val="nil"/>
            </w:tcBorders>
            <w:shd w:val="clear" w:color="000000" w:fill="FFFFFF"/>
            <w:noWrap/>
            <w:vAlign w:val="bottom"/>
          </w:tcPr>
          <w:p w14:paraId="3F2B2190" w14:textId="77777777" w:rsidR="00100E6C" w:rsidRPr="00100E6C" w:rsidRDefault="00100E6C" w:rsidP="00100E6C">
            <w:pPr>
              <w:jc w:val="right"/>
              <w:rPr>
                <w:rFonts w:ascii="Calibri" w:hAnsi="Calibri" w:cs="Calibri"/>
                <w:color w:val="0D0D0D"/>
                <w:sz w:val="20"/>
                <w:szCs w:val="20"/>
              </w:rPr>
            </w:pPr>
            <w:r w:rsidRPr="00100E6C">
              <w:rPr>
                <w:rFonts w:ascii="Calibri" w:hAnsi="Calibri" w:cs="Calibri"/>
                <w:color w:val="0D0D0D"/>
                <w:sz w:val="20"/>
                <w:szCs w:val="20"/>
              </w:rPr>
              <w:t>41,770</w:t>
            </w:r>
          </w:p>
        </w:tc>
        <w:tc>
          <w:tcPr>
            <w:tcW w:w="734" w:type="dxa"/>
            <w:tcBorders>
              <w:top w:val="nil"/>
              <w:left w:val="nil"/>
              <w:bottom w:val="nil"/>
              <w:right w:val="nil"/>
            </w:tcBorders>
            <w:shd w:val="clear" w:color="000000" w:fill="BFBFBF"/>
            <w:noWrap/>
            <w:vAlign w:val="bottom"/>
          </w:tcPr>
          <w:p w14:paraId="74B36C33" w14:textId="77777777" w:rsidR="00100E6C" w:rsidRPr="00100E6C" w:rsidRDefault="00100E6C" w:rsidP="00100E6C">
            <w:pPr>
              <w:jc w:val="right"/>
              <w:rPr>
                <w:rFonts w:ascii="Calibri" w:hAnsi="Calibri" w:cs="Calibri"/>
                <w:color w:val="0D0D0D"/>
                <w:sz w:val="20"/>
                <w:szCs w:val="20"/>
              </w:rPr>
            </w:pPr>
            <w:r w:rsidRPr="00100E6C">
              <w:rPr>
                <w:rFonts w:ascii="Calibri" w:hAnsi="Calibri" w:cs="Calibri"/>
                <w:color w:val="0D0D0D"/>
                <w:sz w:val="20"/>
                <w:szCs w:val="20"/>
              </w:rPr>
              <w:t>0.7%</w:t>
            </w:r>
          </w:p>
        </w:tc>
      </w:tr>
    </w:tbl>
    <w:p w14:paraId="6BED5A20" w14:textId="00803DC9" w:rsidR="00A83362" w:rsidRPr="004E6649" w:rsidRDefault="00A83362" w:rsidP="00710223">
      <w:pPr>
        <w:ind w:left="90"/>
        <w:rPr>
          <w:rFonts w:eastAsia="Times New Roman" w:cstheme="minorHAnsi"/>
          <w:b/>
          <w:i/>
          <w:iCs/>
          <w:smallCaps/>
          <w:noProof/>
          <w:color w:val="000000" w:themeColor="text1"/>
          <w:sz w:val="24"/>
          <w:u w:color="5B9BD5"/>
        </w:rPr>
      </w:pPr>
      <w:r w:rsidRPr="004E6649">
        <w:rPr>
          <w:rFonts w:cstheme="minorHAnsi"/>
          <w:i/>
          <w:color w:val="0D0D0D" w:themeColor="text1" w:themeTint="F2"/>
          <w:sz w:val="14"/>
          <w:szCs w:val="14"/>
        </w:rPr>
        <w:t xml:space="preserve">Note: </w:t>
      </w:r>
      <w:r w:rsidR="00100E6C">
        <w:rPr>
          <w:rFonts w:cstheme="minorHAnsi"/>
          <w:i/>
          <w:color w:val="0D0D0D" w:themeColor="text1" w:themeTint="F2"/>
          <w:sz w:val="14"/>
          <w:szCs w:val="14"/>
        </w:rPr>
        <w:t>The UMF FY24 room rate has been restated from double to single for accurate comparison to FY25.</w:t>
      </w:r>
    </w:p>
    <w:p w14:paraId="0BA76601" w14:textId="77777777" w:rsidR="00A83362" w:rsidRPr="00C50CFD" w:rsidRDefault="00A83362" w:rsidP="00067611">
      <w:pPr>
        <w:pStyle w:val="AFR2"/>
        <w:pBdr>
          <w:bottom w:val="single" w:sz="8" w:space="1" w:color="0D0D0D" w:themeColor="text1" w:themeTint="F2"/>
        </w:pBdr>
        <w:rPr>
          <w:rFonts w:eastAsia="Times New Roman" w:cstheme="minorHAnsi"/>
          <w:smallCaps w:val="0"/>
          <w:sz w:val="24"/>
          <w:szCs w:val="22"/>
        </w:rPr>
      </w:pPr>
      <w:r w:rsidRPr="00C50CFD">
        <w:rPr>
          <w:rFonts w:eastAsia="Times New Roman" w:cstheme="minorHAnsi"/>
          <w:smallCaps w:val="0"/>
          <w:sz w:val="24"/>
          <w:szCs w:val="22"/>
        </w:rPr>
        <w:t>Overview of the Financial Statements</w:t>
      </w:r>
    </w:p>
    <w:p w14:paraId="3000E8E4" w14:textId="77777777" w:rsidR="00A83362" w:rsidRPr="004E6649" w:rsidRDefault="00A83362" w:rsidP="00A83362">
      <w:pPr>
        <w:spacing w:after="120"/>
        <w:rPr>
          <w:rFonts w:eastAsia="Times New Roman" w:cstheme="minorHAnsi"/>
          <w:sz w:val="24"/>
        </w:rPr>
      </w:pPr>
      <w:r w:rsidRPr="004E6649">
        <w:rPr>
          <w:rFonts w:eastAsia="Times New Roman" w:cstheme="minorHAnsi"/>
          <w:sz w:val="24"/>
        </w:rPr>
        <w:t xml:space="preserve">This discussion and analysis </w:t>
      </w:r>
      <w:proofErr w:type="gramStart"/>
      <w:r w:rsidRPr="004E6649">
        <w:rPr>
          <w:rFonts w:eastAsia="Times New Roman" w:cstheme="minorHAnsi"/>
          <w:sz w:val="24"/>
        </w:rPr>
        <w:t>is</w:t>
      </w:r>
      <w:proofErr w:type="gramEnd"/>
      <w:r w:rsidRPr="004E6649">
        <w:rPr>
          <w:rFonts w:eastAsia="Times New Roman" w:cstheme="minorHAnsi"/>
          <w:sz w:val="24"/>
        </w:rPr>
        <w:t xml:space="preserve"> an introduction to the System’s financial statements which are prepared in accordance with U.S. generally accepted accounting principles and are comprised of four components: 1) system-wide financial statements, 2) component unit financial statements, 3) fiduciary funds financial statements, and 4) notes to the financial statements. This report also contains other supplementary information in addition to the basic financial statements.</w:t>
      </w:r>
    </w:p>
    <w:p w14:paraId="2DF332F8" w14:textId="77777777" w:rsidR="00A83362" w:rsidRPr="004E6649" w:rsidRDefault="00A83362" w:rsidP="00A83362">
      <w:pPr>
        <w:spacing w:before="240"/>
        <w:rPr>
          <w:rFonts w:eastAsia="Times New Roman" w:cstheme="minorHAnsi"/>
          <w:sz w:val="24"/>
        </w:rPr>
      </w:pPr>
      <w:r w:rsidRPr="004E6649">
        <w:rPr>
          <w:rFonts w:eastAsia="Times New Roman" w:cstheme="minorHAnsi"/>
          <w:sz w:val="24"/>
        </w:rPr>
        <w:lastRenderedPageBreak/>
        <w:t>The University of Maine Foundation is a legally separate tax-exempt component unit of the System. This entity’s financial position and activities are discretely presented in the System’s financial statements as required by Governmental Accounting Standards Board (GASB) statements</w:t>
      </w:r>
      <w:r w:rsidRPr="004E6649">
        <w:rPr>
          <w:rFonts w:eastAsia="Times New Roman" w:cstheme="minorHAnsi"/>
          <w:i/>
          <w:sz w:val="24"/>
        </w:rPr>
        <w:t xml:space="preserve">. </w:t>
      </w:r>
      <w:r w:rsidRPr="004E6649">
        <w:rPr>
          <w:rFonts w:eastAsia="Times New Roman" w:cstheme="minorHAnsi"/>
          <w:sz w:val="24"/>
        </w:rPr>
        <w:t>This MD&amp;A includes information only for the System, not its component unit.</w:t>
      </w:r>
    </w:p>
    <w:p w14:paraId="65F71A26" w14:textId="6AE180F9" w:rsidR="00A83362" w:rsidRPr="004E6649" w:rsidRDefault="00A83362" w:rsidP="001A1886">
      <w:pPr>
        <w:spacing w:before="240" w:after="160" w:line="259" w:lineRule="auto"/>
        <w:rPr>
          <w:rFonts w:eastAsia="Times New Roman" w:cstheme="minorHAnsi"/>
          <w:b/>
          <w:szCs w:val="20"/>
          <w:u w:val="single"/>
        </w:rPr>
      </w:pPr>
      <w:r w:rsidRPr="004E6649">
        <w:rPr>
          <w:rFonts w:cstheme="minorHAnsi"/>
          <w:b/>
          <w:i/>
          <w:sz w:val="24"/>
          <w:szCs w:val="20"/>
          <w:u w:val="single" w:color="000000" w:themeColor="text1"/>
        </w:rPr>
        <w:t>System-wide Financial Statements</w:t>
      </w:r>
    </w:p>
    <w:p w14:paraId="53B31DA3" w14:textId="77777777" w:rsidR="00A83362" w:rsidRPr="004E6649" w:rsidRDefault="00A83362" w:rsidP="00A83362">
      <w:pPr>
        <w:spacing w:after="120"/>
        <w:rPr>
          <w:rFonts w:eastAsia="Times New Roman" w:cstheme="minorHAnsi"/>
          <w:sz w:val="24"/>
        </w:rPr>
      </w:pPr>
      <w:r w:rsidRPr="004E6649">
        <w:rPr>
          <w:rFonts w:eastAsia="Times New Roman" w:cstheme="minorHAnsi"/>
          <w:sz w:val="24"/>
        </w:rPr>
        <w:t>These financial statements report information about the System’s assets, liabilities, deferred inflows and outflows, net position, revenues, and expenses and are comprised of the following:</w:t>
      </w:r>
    </w:p>
    <w:p w14:paraId="1984DD65" w14:textId="77777777" w:rsidR="00A83362" w:rsidRPr="004E6649" w:rsidRDefault="00A83362" w:rsidP="00A83362">
      <w:pPr>
        <w:numPr>
          <w:ilvl w:val="0"/>
          <w:numId w:val="1"/>
        </w:numPr>
        <w:ind w:left="720"/>
        <w:rPr>
          <w:rFonts w:eastAsia="Times New Roman" w:cstheme="minorHAnsi"/>
          <w:sz w:val="24"/>
        </w:rPr>
      </w:pPr>
      <w:r w:rsidRPr="004E6649">
        <w:rPr>
          <w:rFonts w:eastAsia="Times New Roman" w:cstheme="minorHAnsi"/>
          <w:sz w:val="24"/>
        </w:rPr>
        <w:t>Statements of Net Position</w:t>
      </w:r>
    </w:p>
    <w:p w14:paraId="192E23BE" w14:textId="77777777" w:rsidR="00A83362" w:rsidRPr="004E6649" w:rsidRDefault="00A83362" w:rsidP="00A83362">
      <w:pPr>
        <w:numPr>
          <w:ilvl w:val="0"/>
          <w:numId w:val="1"/>
        </w:numPr>
        <w:tabs>
          <w:tab w:val="num" w:pos="1080"/>
        </w:tabs>
        <w:ind w:left="720"/>
        <w:rPr>
          <w:rFonts w:eastAsia="Times New Roman" w:cstheme="minorHAnsi"/>
          <w:sz w:val="24"/>
        </w:rPr>
      </w:pPr>
      <w:r w:rsidRPr="004E6649">
        <w:rPr>
          <w:rFonts w:eastAsia="Times New Roman" w:cstheme="minorHAnsi"/>
          <w:sz w:val="24"/>
        </w:rPr>
        <w:t>Statements of Revenues, Expenses, and Changes in Net Position</w:t>
      </w:r>
    </w:p>
    <w:p w14:paraId="1A1DDE68" w14:textId="77777777" w:rsidR="00A83362" w:rsidRPr="004E6649" w:rsidRDefault="00A83362" w:rsidP="00A83362">
      <w:pPr>
        <w:numPr>
          <w:ilvl w:val="0"/>
          <w:numId w:val="1"/>
        </w:numPr>
        <w:tabs>
          <w:tab w:val="num" w:pos="1080"/>
        </w:tabs>
        <w:ind w:left="720"/>
        <w:rPr>
          <w:rFonts w:eastAsia="Times New Roman" w:cstheme="minorHAnsi"/>
          <w:sz w:val="24"/>
        </w:rPr>
      </w:pPr>
      <w:r w:rsidRPr="004E6649">
        <w:rPr>
          <w:rFonts w:eastAsia="Times New Roman" w:cstheme="minorHAnsi"/>
          <w:sz w:val="24"/>
        </w:rPr>
        <w:t>Statements of Cash Flows</w:t>
      </w:r>
    </w:p>
    <w:p w14:paraId="06E9FFF8" w14:textId="77777777" w:rsidR="00A83362" w:rsidRPr="004E6649" w:rsidRDefault="00A83362" w:rsidP="00A83362">
      <w:pPr>
        <w:spacing w:before="240" w:after="120"/>
        <w:rPr>
          <w:rFonts w:eastAsia="Times New Roman" w:cstheme="minorHAnsi"/>
          <w:b/>
          <w:szCs w:val="20"/>
          <w:u w:val="single"/>
        </w:rPr>
      </w:pPr>
      <w:r w:rsidRPr="004E6649">
        <w:rPr>
          <w:rFonts w:cstheme="minorHAnsi"/>
          <w:b/>
          <w:i/>
          <w:sz w:val="24"/>
          <w:szCs w:val="20"/>
          <w:u w:val="single" w:color="000000" w:themeColor="text1"/>
        </w:rPr>
        <w:t>Fiduciary Funds Financial Statements</w:t>
      </w:r>
    </w:p>
    <w:p w14:paraId="5A0D8BCF" w14:textId="77777777" w:rsidR="00A83362" w:rsidRPr="004E6649" w:rsidRDefault="00A83362" w:rsidP="00A83362">
      <w:pPr>
        <w:rPr>
          <w:rFonts w:eastAsia="Times New Roman" w:cstheme="minorHAnsi"/>
          <w:sz w:val="24"/>
        </w:rPr>
      </w:pPr>
      <w:r w:rsidRPr="004E6649">
        <w:rPr>
          <w:rFonts w:eastAsia="Times New Roman" w:cstheme="minorHAnsi"/>
          <w:sz w:val="24"/>
        </w:rPr>
        <w:t>These financial statements include information about assets held by the System on behalf of other entities as a trustee or fiduciary. The System is responsible for ensuring such assets are used only for their intended purposes and by those to whom the assets belong. Included in these fiduciary financial statements are investments held on behalf of the System’s pension and other postemployment benefit trusts, monies invested by external parties in the System’s managed investment and endowment pools, and cash held on behalf of various student government groups.</w:t>
      </w:r>
    </w:p>
    <w:p w14:paraId="54B95F50" w14:textId="77777777" w:rsidR="00A83362" w:rsidRPr="004E6649" w:rsidRDefault="00A83362" w:rsidP="00A83362">
      <w:pPr>
        <w:rPr>
          <w:rFonts w:eastAsia="Times New Roman" w:cstheme="minorHAnsi"/>
          <w:sz w:val="24"/>
        </w:rPr>
      </w:pPr>
    </w:p>
    <w:p w14:paraId="668A551B" w14:textId="77777777" w:rsidR="00A83362" w:rsidRPr="004E6649" w:rsidRDefault="00A83362" w:rsidP="00A83362">
      <w:pPr>
        <w:spacing w:after="120"/>
        <w:rPr>
          <w:rFonts w:eastAsia="Times New Roman" w:cstheme="minorHAnsi"/>
          <w:sz w:val="24"/>
        </w:rPr>
      </w:pPr>
      <w:r w:rsidRPr="004E6649">
        <w:rPr>
          <w:rFonts w:eastAsia="Times New Roman" w:cstheme="minorHAnsi"/>
          <w:sz w:val="24"/>
        </w:rPr>
        <w:t>The fiduciary funds financial statements are comprised of the following:</w:t>
      </w:r>
    </w:p>
    <w:p w14:paraId="63EFCCDD" w14:textId="77777777" w:rsidR="00A83362" w:rsidRPr="004E6649" w:rsidRDefault="00A83362" w:rsidP="00A83362">
      <w:pPr>
        <w:pStyle w:val="ListParagraph"/>
        <w:numPr>
          <w:ilvl w:val="0"/>
          <w:numId w:val="14"/>
        </w:numPr>
        <w:contextualSpacing w:val="0"/>
        <w:rPr>
          <w:rFonts w:asciiTheme="minorHAnsi" w:hAnsiTheme="minorHAnsi" w:cstheme="minorHAnsi"/>
        </w:rPr>
      </w:pPr>
      <w:r w:rsidRPr="004E6649">
        <w:rPr>
          <w:rFonts w:asciiTheme="minorHAnsi" w:hAnsiTheme="minorHAnsi" w:cstheme="minorHAnsi"/>
        </w:rPr>
        <w:t>Statements of Fiduciary Net Position</w:t>
      </w:r>
    </w:p>
    <w:p w14:paraId="0193353F" w14:textId="77777777" w:rsidR="00A83362" w:rsidRPr="004E6649" w:rsidRDefault="00A83362" w:rsidP="00A83362">
      <w:pPr>
        <w:pStyle w:val="ListParagraph"/>
        <w:numPr>
          <w:ilvl w:val="0"/>
          <w:numId w:val="14"/>
        </w:numPr>
        <w:contextualSpacing w:val="0"/>
        <w:rPr>
          <w:rFonts w:asciiTheme="minorHAnsi" w:hAnsiTheme="minorHAnsi" w:cstheme="minorHAnsi"/>
        </w:rPr>
      </w:pPr>
      <w:r w:rsidRPr="004E6649">
        <w:rPr>
          <w:rFonts w:asciiTheme="minorHAnsi" w:hAnsiTheme="minorHAnsi" w:cstheme="minorHAnsi"/>
        </w:rPr>
        <w:t>Statements of Changes in Fiduciary Net Position</w:t>
      </w:r>
    </w:p>
    <w:p w14:paraId="076E6823" w14:textId="77777777" w:rsidR="00A83362" w:rsidRPr="004E6649" w:rsidRDefault="00A83362" w:rsidP="00A83362">
      <w:pPr>
        <w:spacing w:before="240" w:after="120"/>
        <w:rPr>
          <w:rFonts w:cstheme="minorHAnsi"/>
          <w:b/>
          <w:sz w:val="20"/>
          <w:szCs w:val="20"/>
          <w:u w:val="single"/>
        </w:rPr>
      </w:pPr>
      <w:r w:rsidRPr="004E6649">
        <w:rPr>
          <w:rFonts w:cstheme="minorHAnsi"/>
          <w:b/>
          <w:i/>
          <w:sz w:val="24"/>
          <w:szCs w:val="20"/>
          <w:u w:val="single" w:color="000000" w:themeColor="text1"/>
        </w:rPr>
        <w:t>Notes to the Financial Statements</w:t>
      </w:r>
    </w:p>
    <w:p w14:paraId="0DE8255A" w14:textId="7DA95F76" w:rsidR="00A83362" w:rsidRPr="004E6649" w:rsidRDefault="00A83362" w:rsidP="00AC1674">
      <w:pPr>
        <w:rPr>
          <w:rFonts w:cstheme="minorHAnsi"/>
          <w:b/>
          <w:i/>
          <w:sz w:val="26"/>
          <w:u w:val="single" w:color="000000" w:themeColor="text1"/>
        </w:rPr>
      </w:pPr>
      <w:r w:rsidRPr="004E6649">
        <w:rPr>
          <w:rFonts w:cstheme="minorHAnsi"/>
          <w:sz w:val="24"/>
          <w:szCs w:val="24"/>
        </w:rPr>
        <w:t>The notes to the financial statements provide additional information that is essential to a full understanding of the data provided in both the system-wide and fiduciary funds financial statements.</w:t>
      </w:r>
    </w:p>
    <w:p w14:paraId="1DEDB212" w14:textId="77777777" w:rsidR="00A83362" w:rsidRPr="004E6649" w:rsidRDefault="00A83362" w:rsidP="00A83362">
      <w:pPr>
        <w:tabs>
          <w:tab w:val="left" w:pos="3885"/>
        </w:tabs>
        <w:spacing w:before="240" w:after="120"/>
        <w:rPr>
          <w:rFonts w:cstheme="minorHAnsi"/>
          <w:b/>
          <w:sz w:val="20"/>
          <w:szCs w:val="20"/>
          <w:u w:val="single"/>
        </w:rPr>
      </w:pPr>
      <w:r w:rsidRPr="004E6649">
        <w:rPr>
          <w:rFonts w:cstheme="minorHAnsi"/>
          <w:b/>
          <w:i/>
          <w:sz w:val="24"/>
          <w:szCs w:val="20"/>
          <w:u w:val="single" w:color="000000" w:themeColor="text1"/>
        </w:rPr>
        <w:t>Other Information</w:t>
      </w:r>
    </w:p>
    <w:p w14:paraId="42D5197E" w14:textId="77777777" w:rsidR="00A83362" w:rsidRPr="004E6649" w:rsidRDefault="00A83362" w:rsidP="00A83362">
      <w:pPr>
        <w:rPr>
          <w:rFonts w:cstheme="minorHAnsi"/>
          <w:sz w:val="24"/>
          <w:szCs w:val="24"/>
        </w:rPr>
      </w:pPr>
      <w:r w:rsidRPr="004E6649">
        <w:rPr>
          <w:rFonts w:cstheme="minorHAnsi"/>
          <w:sz w:val="24"/>
          <w:szCs w:val="24"/>
        </w:rPr>
        <w:t>This report also provides certain required supplementary information related to the System’s retirement and other postemployment benefit plans and a Schedule of Activities required by the State of Maine.</w:t>
      </w:r>
    </w:p>
    <w:p w14:paraId="043FDAC5" w14:textId="77777777" w:rsidR="00A83362" w:rsidRPr="00C50CFD" w:rsidRDefault="00A83362" w:rsidP="00C50CFD">
      <w:pPr>
        <w:pStyle w:val="AFR2"/>
        <w:pBdr>
          <w:bottom w:val="single" w:sz="8" w:space="2" w:color="000000" w:themeColor="text1"/>
        </w:pBdr>
        <w:rPr>
          <w:rFonts w:cstheme="minorHAnsi"/>
          <w:smallCaps w:val="0"/>
          <w:sz w:val="28"/>
          <w:szCs w:val="24"/>
        </w:rPr>
      </w:pPr>
      <w:r w:rsidRPr="00C50CFD">
        <w:rPr>
          <w:rFonts w:cstheme="minorHAnsi"/>
          <w:smallCaps w:val="0"/>
          <w:sz w:val="28"/>
          <w:szCs w:val="24"/>
        </w:rPr>
        <w:t>Statements of Net Position</w:t>
      </w:r>
    </w:p>
    <w:p w14:paraId="09398BDF" w14:textId="33D3C165" w:rsidR="003B07E2" w:rsidRDefault="00A83362">
      <w:pPr>
        <w:spacing w:after="160" w:line="259" w:lineRule="auto"/>
        <w:rPr>
          <w:rFonts w:cstheme="minorHAnsi"/>
          <w:b/>
          <w:i/>
          <w:sz w:val="24"/>
          <w:szCs w:val="20"/>
          <w:u w:val="single" w:color="000000" w:themeColor="text1"/>
        </w:rPr>
      </w:pPr>
      <w:r w:rsidRPr="004E6649">
        <w:rPr>
          <w:rFonts w:cstheme="minorHAnsi"/>
          <w:sz w:val="24"/>
        </w:rPr>
        <w:t xml:space="preserve">The Statements of Net Position present the financial position of the System at one point in time – June 30 – and include all assets, deferred outflows of resources, liabilities, deferred inflows of resources, and net position of the System. These statements are the primary statements used to report financial condition. Net position represents the residual interest in the System’s assets and deferred outflows of resources after liabilities and deferred inflows of resources are deducted. The change in net position is an indicator of whether the overall financial condition has improved or </w:t>
      </w:r>
      <w:r w:rsidRPr="004E6649">
        <w:rPr>
          <w:rFonts w:cstheme="minorHAnsi"/>
          <w:sz w:val="24"/>
        </w:rPr>
        <w:lastRenderedPageBreak/>
        <w:t xml:space="preserve">deteriorated during the year. Table 3 on page </w:t>
      </w:r>
      <w:r w:rsidRPr="004471FD">
        <w:rPr>
          <w:rFonts w:cstheme="minorHAnsi"/>
          <w:color w:val="0D0D0D" w:themeColor="text1" w:themeTint="F2"/>
          <w:sz w:val="24"/>
        </w:rPr>
        <w:t>1</w:t>
      </w:r>
      <w:r w:rsidR="00AF6B37" w:rsidRPr="004471FD">
        <w:rPr>
          <w:rFonts w:cstheme="minorHAnsi"/>
          <w:color w:val="0D0D0D" w:themeColor="text1" w:themeTint="F2"/>
          <w:sz w:val="24"/>
        </w:rPr>
        <w:t>8</w:t>
      </w:r>
      <w:r w:rsidRPr="004E6649">
        <w:rPr>
          <w:rFonts w:cstheme="minorHAnsi"/>
          <w:sz w:val="24"/>
        </w:rPr>
        <w:t xml:space="preserve"> shows Condensed Statements of Net Position for the past five years.</w:t>
      </w:r>
    </w:p>
    <w:p w14:paraId="032678BE" w14:textId="7FCDA8C4" w:rsidR="00C20770" w:rsidRDefault="00C20770" w:rsidP="00A83362">
      <w:pPr>
        <w:pStyle w:val="AFR3"/>
        <w:rPr>
          <w:rFonts w:cstheme="minorHAnsi"/>
          <w:sz w:val="24"/>
          <w:szCs w:val="20"/>
        </w:rPr>
      </w:pPr>
      <w:r>
        <w:rPr>
          <w:rFonts w:cstheme="minorHAnsi"/>
          <w:sz w:val="24"/>
          <w:szCs w:val="20"/>
        </w:rPr>
        <w:t>Restatement of Prior Year</w:t>
      </w:r>
    </w:p>
    <w:p w14:paraId="6ECAF0FC" w14:textId="4E4AFBC4" w:rsidR="00C20770" w:rsidRPr="008B69B9" w:rsidRDefault="00C20770" w:rsidP="00C20770">
      <w:pPr>
        <w:pStyle w:val="AFR3"/>
        <w:rPr>
          <w:rFonts w:cstheme="minorHAnsi"/>
          <w:b w:val="0"/>
          <w:bCs/>
          <w:i w:val="0"/>
          <w:iCs/>
          <w:sz w:val="24"/>
          <w:szCs w:val="20"/>
          <w:u w:val="none"/>
        </w:rPr>
      </w:pPr>
      <w:r w:rsidRPr="008B69B9">
        <w:rPr>
          <w:rFonts w:cstheme="minorHAnsi"/>
          <w:b w:val="0"/>
          <w:bCs/>
          <w:i w:val="0"/>
          <w:iCs/>
          <w:sz w:val="24"/>
          <w:szCs w:val="20"/>
          <w:u w:val="none"/>
        </w:rPr>
        <w:t xml:space="preserve">The FY24 financial statements have been restated to reflect adoption of GASB Statement No. 101, </w:t>
      </w:r>
      <w:r w:rsidRPr="008B69B9">
        <w:rPr>
          <w:rFonts w:cstheme="minorHAnsi"/>
          <w:b w:val="0"/>
          <w:bCs/>
          <w:sz w:val="24"/>
          <w:szCs w:val="20"/>
          <w:u w:val="none"/>
        </w:rPr>
        <w:t>Compensated Absences</w:t>
      </w:r>
      <w:r>
        <w:rPr>
          <w:rFonts w:cstheme="minorHAnsi"/>
          <w:b w:val="0"/>
          <w:bCs/>
          <w:i w:val="0"/>
          <w:iCs/>
          <w:sz w:val="24"/>
          <w:szCs w:val="20"/>
          <w:u w:val="none"/>
        </w:rPr>
        <w:t>. The overall impact on the FY24 data in the Condensed Statements of Net Position is that accrued liabilities increased by $3.7 million as the current portion of accrued liabilities increased $0.6 million and noncurrent accrued liabilities increased $3.1 million related to compensated absences.  Unrestricted net position thereby decreased by $3.7 million.</w:t>
      </w:r>
    </w:p>
    <w:p w14:paraId="10632472" w14:textId="0B317371" w:rsidR="00A83362" w:rsidRPr="004E6649" w:rsidRDefault="00A83362" w:rsidP="00A83362">
      <w:pPr>
        <w:pStyle w:val="AFR3"/>
        <w:rPr>
          <w:rFonts w:cstheme="minorHAnsi"/>
          <w:sz w:val="24"/>
          <w:szCs w:val="20"/>
        </w:rPr>
      </w:pPr>
      <w:r w:rsidRPr="00AE4CD8">
        <w:rPr>
          <w:rFonts w:cstheme="minorHAnsi"/>
          <w:sz w:val="24"/>
          <w:szCs w:val="20"/>
        </w:rPr>
        <w:t>Postemployment Health Plan Considerations</w:t>
      </w:r>
    </w:p>
    <w:p w14:paraId="4679E73B" w14:textId="05B05B10" w:rsidR="00A83362" w:rsidRPr="004E6649" w:rsidRDefault="00A83362" w:rsidP="00B00959">
      <w:pPr>
        <w:pStyle w:val="AFR3"/>
        <w:spacing w:before="0"/>
        <w:rPr>
          <w:rFonts w:cstheme="minorHAnsi"/>
          <w:b w:val="0"/>
          <w:i w:val="0"/>
          <w:sz w:val="24"/>
          <w:highlight w:val="yellow"/>
          <w:u w:val="none"/>
        </w:rPr>
      </w:pPr>
      <w:r w:rsidRPr="004E6649">
        <w:rPr>
          <w:rFonts w:cstheme="minorHAnsi"/>
          <w:b w:val="0"/>
          <w:i w:val="0"/>
          <w:sz w:val="24"/>
          <w:u w:val="none"/>
        </w:rPr>
        <w:t xml:space="preserve">The System’s Other Postemployment Benefits (OPEB) plan’s impact on the </w:t>
      </w:r>
      <w:r w:rsidR="0082099B" w:rsidRPr="004E6649">
        <w:rPr>
          <w:rFonts w:cstheme="minorHAnsi"/>
          <w:b w:val="0"/>
          <w:i w:val="0"/>
          <w:sz w:val="24"/>
          <w:u w:val="none"/>
        </w:rPr>
        <w:t>FY2</w:t>
      </w:r>
      <w:r w:rsidR="0082099B">
        <w:rPr>
          <w:rFonts w:cstheme="minorHAnsi"/>
          <w:b w:val="0"/>
          <w:i w:val="0"/>
          <w:sz w:val="24"/>
          <w:u w:val="none"/>
        </w:rPr>
        <w:t>5</w:t>
      </w:r>
      <w:r w:rsidR="0082099B" w:rsidRPr="004E6649">
        <w:rPr>
          <w:rFonts w:cstheme="minorHAnsi"/>
          <w:b w:val="0"/>
          <w:i w:val="0"/>
          <w:sz w:val="24"/>
          <w:u w:val="none"/>
        </w:rPr>
        <w:t xml:space="preserve"> </w:t>
      </w:r>
      <w:r w:rsidR="0018321B">
        <w:rPr>
          <w:rFonts w:cstheme="minorHAnsi"/>
          <w:b w:val="0"/>
          <w:i w:val="0"/>
          <w:sz w:val="24"/>
          <w:u w:val="none"/>
        </w:rPr>
        <w:t xml:space="preserve">and </w:t>
      </w:r>
      <w:r w:rsidR="0082099B">
        <w:rPr>
          <w:rFonts w:cstheme="minorHAnsi"/>
          <w:b w:val="0"/>
          <w:i w:val="0"/>
          <w:sz w:val="24"/>
          <w:u w:val="none"/>
        </w:rPr>
        <w:t xml:space="preserve">FY24 </w:t>
      </w:r>
      <w:r w:rsidRPr="004E6649">
        <w:rPr>
          <w:rFonts w:cstheme="minorHAnsi"/>
          <w:b w:val="0"/>
          <w:i w:val="0"/>
          <w:sz w:val="24"/>
          <w:u w:val="none"/>
        </w:rPr>
        <w:t>Statement</w:t>
      </w:r>
      <w:r w:rsidR="0018321B">
        <w:rPr>
          <w:rFonts w:cstheme="minorHAnsi"/>
          <w:b w:val="0"/>
          <w:i w:val="0"/>
          <w:sz w:val="24"/>
          <w:u w:val="none"/>
        </w:rPr>
        <w:t>s</w:t>
      </w:r>
      <w:r w:rsidRPr="004E6649">
        <w:rPr>
          <w:rFonts w:cstheme="minorHAnsi"/>
          <w:b w:val="0"/>
          <w:i w:val="0"/>
          <w:sz w:val="24"/>
          <w:u w:val="none"/>
        </w:rPr>
        <w:t xml:space="preserve"> of Net Position is primarily due to </w:t>
      </w:r>
      <w:r w:rsidR="00EA108C" w:rsidRPr="004E6649">
        <w:rPr>
          <w:rFonts w:cstheme="minorHAnsi"/>
          <w:b w:val="0"/>
          <w:i w:val="0"/>
          <w:sz w:val="24"/>
          <w:u w:val="none"/>
        </w:rPr>
        <w:t>differences between expected and actual experience</w:t>
      </w:r>
      <w:r w:rsidR="0018321B">
        <w:rPr>
          <w:rFonts w:cstheme="minorHAnsi"/>
          <w:b w:val="0"/>
          <w:i w:val="0"/>
          <w:sz w:val="24"/>
          <w:u w:val="none"/>
        </w:rPr>
        <w:t>,</w:t>
      </w:r>
      <w:r w:rsidR="00A02EA3" w:rsidRPr="004E6649">
        <w:rPr>
          <w:rFonts w:cstheme="minorHAnsi"/>
          <w:b w:val="0"/>
          <w:i w:val="0"/>
          <w:sz w:val="24"/>
          <w:u w:val="none"/>
        </w:rPr>
        <w:t xml:space="preserve"> </w:t>
      </w:r>
      <w:r w:rsidR="008F7DBD">
        <w:rPr>
          <w:rFonts w:cstheme="minorHAnsi"/>
          <w:b w:val="0"/>
          <w:i w:val="0"/>
          <w:sz w:val="24"/>
          <w:u w:val="none"/>
        </w:rPr>
        <w:t>changes of assumptions (</w:t>
      </w:r>
      <w:r w:rsidR="00A02EA3" w:rsidRPr="004E6649">
        <w:rPr>
          <w:rFonts w:cstheme="minorHAnsi"/>
          <w:b w:val="0"/>
          <w:i w:val="0"/>
          <w:sz w:val="24"/>
          <w:u w:val="none"/>
        </w:rPr>
        <w:t>including</w:t>
      </w:r>
      <w:r w:rsidR="008F7DBD">
        <w:rPr>
          <w:rFonts w:cstheme="minorHAnsi"/>
          <w:b w:val="0"/>
          <w:i w:val="0"/>
          <w:sz w:val="24"/>
          <w:u w:val="none"/>
        </w:rPr>
        <w:t xml:space="preserve"> assumptions for the medical and prescription drug </w:t>
      </w:r>
      <w:r w:rsidR="002D3D8E">
        <w:rPr>
          <w:rFonts w:cstheme="minorHAnsi"/>
          <w:b w:val="0"/>
          <w:i w:val="0"/>
          <w:sz w:val="24"/>
          <w:u w:val="none"/>
        </w:rPr>
        <w:t xml:space="preserve">trend </w:t>
      </w:r>
      <w:r w:rsidR="008F7DBD">
        <w:rPr>
          <w:rFonts w:cstheme="minorHAnsi"/>
          <w:b w:val="0"/>
          <w:i w:val="0"/>
          <w:sz w:val="24"/>
          <w:u w:val="none"/>
        </w:rPr>
        <w:t>rates in FY25</w:t>
      </w:r>
      <w:r w:rsidR="00944C25">
        <w:rPr>
          <w:rFonts w:cstheme="minorHAnsi"/>
          <w:b w:val="0"/>
          <w:i w:val="0"/>
          <w:sz w:val="24"/>
          <w:u w:val="none"/>
        </w:rPr>
        <w:t xml:space="preserve"> and FY23</w:t>
      </w:r>
      <w:r w:rsidR="008F7DBD">
        <w:rPr>
          <w:rFonts w:cstheme="minorHAnsi"/>
          <w:b w:val="0"/>
          <w:i w:val="0"/>
          <w:sz w:val="24"/>
          <w:u w:val="none"/>
        </w:rPr>
        <w:t xml:space="preserve">) and </w:t>
      </w:r>
      <w:r w:rsidR="00A02EA3" w:rsidRPr="004E6649">
        <w:rPr>
          <w:rFonts w:cstheme="minorHAnsi"/>
          <w:b w:val="0"/>
          <w:i w:val="0"/>
          <w:sz w:val="24"/>
          <w:u w:val="none"/>
        </w:rPr>
        <w:t xml:space="preserve">impacts of the </w:t>
      </w:r>
      <w:r w:rsidR="008F7DBD">
        <w:rPr>
          <w:rFonts w:cstheme="minorHAnsi"/>
          <w:b w:val="0"/>
          <w:i w:val="0"/>
          <w:sz w:val="24"/>
          <w:u w:val="none"/>
        </w:rPr>
        <w:t xml:space="preserve">faculty </w:t>
      </w:r>
      <w:r w:rsidR="00D31EB9" w:rsidRPr="004E6649">
        <w:rPr>
          <w:rFonts w:cstheme="minorHAnsi"/>
          <w:b w:val="0"/>
          <w:i w:val="0"/>
          <w:sz w:val="24"/>
          <w:u w:val="none"/>
        </w:rPr>
        <w:t xml:space="preserve">Special </w:t>
      </w:r>
      <w:r w:rsidR="00A02EA3" w:rsidRPr="004E6649">
        <w:rPr>
          <w:rFonts w:cstheme="minorHAnsi"/>
          <w:b w:val="0"/>
          <w:i w:val="0"/>
          <w:sz w:val="24"/>
          <w:u w:val="none"/>
        </w:rPr>
        <w:t xml:space="preserve">Retirement Incentive </w:t>
      </w:r>
      <w:r w:rsidR="00637F4E" w:rsidRPr="004E6649">
        <w:rPr>
          <w:rFonts w:cstheme="minorHAnsi"/>
          <w:b w:val="0"/>
          <w:i w:val="0"/>
          <w:sz w:val="24"/>
          <w:u w:val="none"/>
        </w:rPr>
        <w:t>P</w:t>
      </w:r>
      <w:r w:rsidR="00D31EB9" w:rsidRPr="004E6649">
        <w:rPr>
          <w:rFonts w:cstheme="minorHAnsi"/>
          <w:b w:val="0"/>
          <w:i w:val="0"/>
          <w:sz w:val="24"/>
          <w:u w:val="none"/>
        </w:rPr>
        <w:t>lan</w:t>
      </w:r>
      <w:r w:rsidR="008F7DBD">
        <w:rPr>
          <w:rFonts w:cstheme="minorHAnsi"/>
          <w:b w:val="0"/>
          <w:i w:val="0"/>
          <w:sz w:val="24"/>
          <w:u w:val="none"/>
        </w:rPr>
        <w:t xml:space="preserve"> offered in 2023</w:t>
      </w:r>
      <w:r w:rsidR="00EA108C" w:rsidRPr="004471FD">
        <w:rPr>
          <w:rFonts w:cstheme="minorHAnsi"/>
          <w:b w:val="0"/>
          <w:i w:val="0"/>
          <w:sz w:val="24"/>
          <w:u w:val="none"/>
        </w:rPr>
        <w:t>.</w:t>
      </w:r>
      <w:r w:rsidRPr="004E6649">
        <w:rPr>
          <w:rFonts w:cstheme="minorHAnsi"/>
          <w:b w:val="0"/>
          <w:i w:val="0"/>
          <w:sz w:val="24"/>
          <w:u w:val="none"/>
        </w:rPr>
        <w:t xml:space="preserve"> </w:t>
      </w:r>
    </w:p>
    <w:p w14:paraId="4DA896A7" w14:textId="765F50C9" w:rsidR="00A83362" w:rsidRPr="004E6649" w:rsidRDefault="00A83362" w:rsidP="00A83362">
      <w:pPr>
        <w:pStyle w:val="AFR3"/>
        <w:rPr>
          <w:rFonts w:cstheme="minorHAnsi"/>
          <w:b w:val="0"/>
          <w:i w:val="0"/>
          <w:sz w:val="24"/>
          <w:u w:val="none"/>
        </w:rPr>
      </w:pPr>
      <w:r w:rsidRPr="004E6649">
        <w:rPr>
          <w:rFonts w:cstheme="minorHAnsi"/>
          <w:b w:val="0"/>
          <w:i w:val="0"/>
          <w:sz w:val="24"/>
          <w:u w:val="none"/>
        </w:rPr>
        <w:t xml:space="preserve">For reporting in the System’s Condensed Statements of Net Position, the total OPEB liability is netted with the OPEB Trust assets. At June 30, </w:t>
      </w:r>
      <w:r w:rsidR="0082099B" w:rsidRPr="004E6649">
        <w:rPr>
          <w:rFonts w:cstheme="minorHAnsi"/>
          <w:b w:val="0"/>
          <w:i w:val="0"/>
          <w:sz w:val="24"/>
          <w:u w:val="none"/>
        </w:rPr>
        <w:t>202</w:t>
      </w:r>
      <w:r w:rsidR="0082099B">
        <w:rPr>
          <w:rFonts w:cstheme="minorHAnsi"/>
          <w:b w:val="0"/>
          <w:i w:val="0"/>
          <w:sz w:val="24"/>
          <w:u w:val="none"/>
        </w:rPr>
        <w:t>5</w:t>
      </w:r>
      <w:r w:rsidRPr="004E6649">
        <w:rPr>
          <w:rFonts w:cstheme="minorHAnsi"/>
          <w:b w:val="0"/>
          <w:i w:val="0"/>
          <w:sz w:val="24"/>
          <w:u w:val="none"/>
        </w:rPr>
        <w:t>, the System had a net OPEB asset of $</w:t>
      </w:r>
      <w:r w:rsidR="00430BCC">
        <w:rPr>
          <w:rFonts w:cstheme="minorHAnsi"/>
          <w:b w:val="0"/>
          <w:i w:val="0"/>
          <w:sz w:val="24"/>
          <w:u w:val="none"/>
        </w:rPr>
        <w:t>41</w:t>
      </w:r>
      <w:r w:rsidR="00430BCC" w:rsidRPr="004E6649">
        <w:rPr>
          <w:rFonts w:cstheme="minorHAnsi"/>
          <w:b w:val="0"/>
          <w:i w:val="0"/>
          <w:sz w:val="24"/>
          <w:u w:val="none"/>
        </w:rPr>
        <w:t xml:space="preserve"> </w:t>
      </w:r>
      <w:r w:rsidRPr="004E6649">
        <w:rPr>
          <w:rFonts w:cstheme="minorHAnsi"/>
          <w:b w:val="0"/>
          <w:i w:val="0"/>
          <w:sz w:val="24"/>
          <w:u w:val="none"/>
        </w:rPr>
        <w:t xml:space="preserve">million compared with a net OPEB </w:t>
      </w:r>
      <w:r w:rsidR="00333337">
        <w:rPr>
          <w:rFonts w:cstheme="minorHAnsi"/>
          <w:b w:val="0"/>
          <w:i w:val="0"/>
          <w:sz w:val="24"/>
          <w:u w:val="none"/>
        </w:rPr>
        <w:t>asset</w:t>
      </w:r>
      <w:r w:rsidRPr="004E6649">
        <w:rPr>
          <w:rFonts w:cstheme="minorHAnsi"/>
          <w:b w:val="0"/>
          <w:i w:val="0"/>
          <w:sz w:val="24"/>
          <w:u w:val="none"/>
        </w:rPr>
        <w:t xml:space="preserve"> of $</w:t>
      </w:r>
      <w:r w:rsidR="0082099B">
        <w:rPr>
          <w:rFonts w:cstheme="minorHAnsi"/>
          <w:b w:val="0"/>
          <w:i w:val="0"/>
          <w:sz w:val="24"/>
          <w:u w:val="none"/>
        </w:rPr>
        <w:t>34</w:t>
      </w:r>
      <w:r w:rsidR="0082099B" w:rsidRPr="004E6649">
        <w:rPr>
          <w:rFonts w:cstheme="minorHAnsi"/>
          <w:b w:val="0"/>
          <w:i w:val="0"/>
          <w:sz w:val="24"/>
          <w:u w:val="none"/>
        </w:rPr>
        <w:t xml:space="preserve"> </w:t>
      </w:r>
      <w:r w:rsidRPr="004E6649">
        <w:rPr>
          <w:rFonts w:cstheme="minorHAnsi"/>
          <w:b w:val="0"/>
          <w:i w:val="0"/>
          <w:sz w:val="24"/>
          <w:u w:val="none"/>
        </w:rPr>
        <w:t xml:space="preserve">million at June 30, </w:t>
      </w:r>
      <w:r w:rsidR="0082099B" w:rsidRPr="004E6649">
        <w:rPr>
          <w:rFonts w:cstheme="minorHAnsi"/>
          <w:b w:val="0"/>
          <w:i w:val="0"/>
          <w:sz w:val="24"/>
          <w:u w:val="none"/>
        </w:rPr>
        <w:t>202</w:t>
      </w:r>
      <w:r w:rsidR="0082099B">
        <w:rPr>
          <w:rFonts w:cstheme="minorHAnsi"/>
          <w:b w:val="0"/>
          <w:i w:val="0"/>
          <w:sz w:val="24"/>
          <w:u w:val="none"/>
        </w:rPr>
        <w:t>4</w:t>
      </w:r>
      <w:r w:rsidRPr="004E6649">
        <w:rPr>
          <w:rFonts w:cstheme="minorHAnsi"/>
          <w:b w:val="0"/>
          <w:i w:val="0"/>
          <w:sz w:val="24"/>
          <w:u w:val="none"/>
        </w:rPr>
        <w:t>.</w:t>
      </w:r>
    </w:p>
    <w:p w14:paraId="57A864CD" w14:textId="0C29D63E" w:rsidR="00A83362" w:rsidRPr="004E6649" w:rsidRDefault="00A83362" w:rsidP="00A83362">
      <w:pPr>
        <w:pStyle w:val="AFR3"/>
        <w:rPr>
          <w:rFonts w:cstheme="minorHAnsi"/>
          <w:b w:val="0"/>
          <w:i w:val="0"/>
          <w:sz w:val="24"/>
          <w:u w:val="none"/>
        </w:rPr>
      </w:pPr>
      <w:r w:rsidRPr="004E6649">
        <w:rPr>
          <w:rFonts w:cstheme="minorHAnsi"/>
          <w:b w:val="0"/>
          <w:i w:val="0"/>
          <w:sz w:val="24"/>
          <w:u w:val="none"/>
        </w:rPr>
        <w:t xml:space="preserve">Other lines of the Condensed Statements of Net Position that were significantly adjusted by the </w:t>
      </w:r>
      <w:r w:rsidR="0082099B" w:rsidRPr="004E6649">
        <w:rPr>
          <w:rFonts w:cstheme="minorHAnsi"/>
          <w:b w:val="0"/>
          <w:i w:val="0"/>
          <w:sz w:val="24"/>
          <w:u w:val="none"/>
        </w:rPr>
        <w:t>FY2</w:t>
      </w:r>
      <w:r w:rsidR="0082099B">
        <w:rPr>
          <w:rFonts w:cstheme="minorHAnsi"/>
          <w:b w:val="0"/>
          <w:i w:val="0"/>
          <w:sz w:val="24"/>
          <w:u w:val="none"/>
        </w:rPr>
        <w:t>5</w:t>
      </w:r>
      <w:r w:rsidR="0082099B" w:rsidRPr="004E6649">
        <w:rPr>
          <w:rFonts w:cstheme="minorHAnsi"/>
          <w:b w:val="0"/>
          <w:i w:val="0"/>
          <w:sz w:val="24"/>
          <w:u w:val="none"/>
        </w:rPr>
        <w:t xml:space="preserve"> </w:t>
      </w:r>
      <w:r w:rsidRPr="004E6649">
        <w:rPr>
          <w:rFonts w:cstheme="minorHAnsi"/>
          <w:b w:val="0"/>
          <w:i w:val="0"/>
          <w:sz w:val="24"/>
          <w:u w:val="none"/>
        </w:rPr>
        <w:t>actuarial results include the following:</w:t>
      </w:r>
    </w:p>
    <w:p w14:paraId="722FE808" w14:textId="4B0AC6A4" w:rsidR="00A83362" w:rsidRPr="004E6649" w:rsidRDefault="00A83362" w:rsidP="00A83362">
      <w:pPr>
        <w:pStyle w:val="AFR3"/>
        <w:numPr>
          <w:ilvl w:val="0"/>
          <w:numId w:val="21"/>
        </w:numPr>
        <w:spacing w:before="0" w:after="0"/>
        <w:rPr>
          <w:rFonts w:cstheme="minorHAnsi"/>
          <w:b w:val="0"/>
          <w:i w:val="0"/>
          <w:sz w:val="24"/>
          <w:u w:val="none"/>
        </w:rPr>
      </w:pPr>
      <w:r w:rsidRPr="004E6649">
        <w:rPr>
          <w:rFonts w:cstheme="minorHAnsi"/>
          <w:b w:val="0"/>
          <w:i w:val="0"/>
          <w:sz w:val="24"/>
          <w:u w:val="none"/>
        </w:rPr>
        <w:t xml:space="preserve">Deferred outflows of resources associated with the OPEB plan </w:t>
      </w:r>
      <w:r w:rsidR="00EC4D64">
        <w:rPr>
          <w:rFonts w:cstheme="minorHAnsi"/>
          <w:b w:val="0"/>
          <w:i w:val="0"/>
          <w:sz w:val="24"/>
          <w:u w:val="none"/>
        </w:rPr>
        <w:t>in</w:t>
      </w:r>
      <w:r w:rsidR="00EC4D64" w:rsidRPr="004E6649">
        <w:rPr>
          <w:rFonts w:cstheme="minorHAnsi"/>
          <w:b w:val="0"/>
          <w:i w:val="0"/>
          <w:sz w:val="24"/>
          <w:u w:val="none"/>
        </w:rPr>
        <w:t xml:space="preserve">creased </w:t>
      </w:r>
      <w:r w:rsidRPr="004E6649">
        <w:rPr>
          <w:rFonts w:cstheme="minorHAnsi"/>
          <w:b w:val="0"/>
          <w:i w:val="0"/>
          <w:sz w:val="24"/>
          <w:u w:val="none"/>
        </w:rPr>
        <w:t>$</w:t>
      </w:r>
      <w:r w:rsidR="00EC4D64" w:rsidRPr="00EC4D64">
        <w:rPr>
          <w:rFonts w:cstheme="minorHAnsi"/>
          <w:b w:val="0"/>
          <w:i w:val="0"/>
          <w:sz w:val="24"/>
          <w:u w:val="none"/>
        </w:rPr>
        <w:t>1</w:t>
      </w:r>
      <w:r w:rsidR="00EC4D64">
        <w:rPr>
          <w:rFonts w:cstheme="minorHAnsi"/>
          <w:b w:val="0"/>
          <w:i w:val="0"/>
          <w:sz w:val="24"/>
          <w:u w:val="none"/>
        </w:rPr>
        <w:t>5</w:t>
      </w:r>
      <w:r w:rsidR="00EC4D64" w:rsidRPr="004E6649">
        <w:rPr>
          <w:rFonts w:cstheme="minorHAnsi"/>
          <w:b w:val="0"/>
          <w:i w:val="0"/>
          <w:sz w:val="24"/>
          <w:u w:val="none"/>
        </w:rPr>
        <w:t xml:space="preserve"> </w:t>
      </w:r>
      <w:r w:rsidRPr="004E6649">
        <w:rPr>
          <w:rFonts w:cstheme="minorHAnsi"/>
          <w:b w:val="0"/>
          <w:i w:val="0"/>
          <w:sz w:val="24"/>
          <w:u w:val="none"/>
        </w:rPr>
        <w:t>million</w:t>
      </w:r>
      <w:r w:rsidR="0018321B">
        <w:rPr>
          <w:rFonts w:cstheme="minorHAnsi"/>
          <w:b w:val="0"/>
          <w:i w:val="0"/>
          <w:sz w:val="24"/>
          <w:u w:val="none"/>
        </w:rPr>
        <w:t xml:space="preserve"> in </w:t>
      </w:r>
      <w:r w:rsidR="0082099B">
        <w:rPr>
          <w:rFonts w:cstheme="minorHAnsi"/>
          <w:b w:val="0"/>
          <w:i w:val="0"/>
          <w:sz w:val="24"/>
          <w:u w:val="none"/>
        </w:rPr>
        <w:t xml:space="preserve">FY25 </w:t>
      </w:r>
      <w:r w:rsidR="0018321B">
        <w:rPr>
          <w:rFonts w:cstheme="minorHAnsi"/>
          <w:b w:val="0"/>
          <w:i w:val="0"/>
          <w:sz w:val="24"/>
          <w:u w:val="none"/>
        </w:rPr>
        <w:t>and decreased $</w:t>
      </w:r>
      <w:r w:rsidR="0082099B">
        <w:rPr>
          <w:rFonts w:cstheme="minorHAnsi"/>
          <w:b w:val="0"/>
          <w:i w:val="0"/>
          <w:sz w:val="24"/>
          <w:u w:val="none"/>
        </w:rPr>
        <w:t xml:space="preserve">10 </w:t>
      </w:r>
      <w:r w:rsidR="0018321B">
        <w:rPr>
          <w:rFonts w:cstheme="minorHAnsi"/>
          <w:b w:val="0"/>
          <w:i w:val="0"/>
          <w:sz w:val="24"/>
          <w:u w:val="none"/>
        </w:rPr>
        <w:t xml:space="preserve">million in </w:t>
      </w:r>
      <w:r w:rsidR="0082099B">
        <w:rPr>
          <w:rFonts w:cstheme="minorHAnsi"/>
          <w:b w:val="0"/>
          <w:i w:val="0"/>
          <w:sz w:val="24"/>
          <w:u w:val="none"/>
        </w:rPr>
        <w:t>FY24</w:t>
      </w:r>
      <w:r w:rsidRPr="004E6649">
        <w:rPr>
          <w:rFonts w:cstheme="minorHAnsi"/>
          <w:b w:val="0"/>
          <w:i w:val="0"/>
          <w:sz w:val="24"/>
          <w:u w:val="none"/>
        </w:rPr>
        <w:t>.</w:t>
      </w:r>
    </w:p>
    <w:p w14:paraId="287CF540" w14:textId="340FFA3B" w:rsidR="00A83362" w:rsidRPr="004E6649" w:rsidRDefault="00A83362" w:rsidP="00A470B6">
      <w:pPr>
        <w:pStyle w:val="AFR3"/>
        <w:numPr>
          <w:ilvl w:val="0"/>
          <w:numId w:val="21"/>
        </w:numPr>
        <w:spacing w:before="0" w:after="0" w:line="259" w:lineRule="auto"/>
        <w:rPr>
          <w:rFonts w:cstheme="minorHAnsi"/>
        </w:rPr>
      </w:pPr>
      <w:r w:rsidRPr="004E6649">
        <w:rPr>
          <w:rFonts w:cstheme="minorHAnsi"/>
          <w:b w:val="0"/>
          <w:i w:val="0"/>
          <w:sz w:val="24"/>
          <w:u w:val="none"/>
        </w:rPr>
        <w:t xml:space="preserve">Deferred inflows of resources associated with the OPEB plan </w:t>
      </w:r>
      <w:r w:rsidR="00EC4D64">
        <w:rPr>
          <w:rFonts w:cstheme="minorHAnsi"/>
          <w:b w:val="0"/>
          <w:i w:val="0"/>
          <w:sz w:val="24"/>
          <w:u w:val="none"/>
        </w:rPr>
        <w:t>in</w:t>
      </w:r>
      <w:r w:rsidR="00EC4D64" w:rsidRPr="004E6649">
        <w:rPr>
          <w:rFonts w:cstheme="minorHAnsi"/>
          <w:b w:val="0"/>
          <w:i w:val="0"/>
          <w:sz w:val="24"/>
          <w:u w:val="none"/>
        </w:rPr>
        <w:t xml:space="preserve">creased </w:t>
      </w:r>
      <w:r w:rsidRPr="004E6649">
        <w:rPr>
          <w:rFonts w:cstheme="minorHAnsi"/>
          <w:b w:val="0"/>
          <w:i w:val="0"/>
          <w:sz w:val="24"/>
          <w:u w:val="none"/>
        </w:rPr>
        <w:t>$</w:t>
      </w:r>
      <w:r w:rsidR="00EC4D64">
        <w:rPr>
          <w:rFonts w:cstheme="minorHAnsi"/>
          <w:b w:val="0"/>
          <w:i w:val="0"/>
          <w:sz w:val="24"/>
          <w:u w:val="none"/>
        </w:rPr>
        <w:t>5</w:t>
      </w:r>
      <w:r w:rsidR="00EC4D64" w:rsidRPr="004E6649">
        <w:rPr>
          <w:rFonts w:cstheme="minorHAnsi"/>
          <w:b w:val="0"/>
          <w:i w:val="0"/>
          <w:sz w:val="24"/>
          <w:u w:val="none"/>
        </w:rPr>
        <w:t xml:space="preserve"> </w:t>
      </w:r>
      <w:r w:rsidRPr="004E6649">
        <w:rPr>
          <w:rFonts w:cstheme="minorHAnsi"/>
          <w:b w:val="0"/>
          <w:i w:val="0"/>
          <w:sz w:val="24"/>
          <w:u w:val="none"/>
        </w:rPr>
        <w:t>million</w:t>
      </w:r>
      <w:r w:rsidR="0018321B">
        <w:rPr>
          <w:rFonts w:cstheme="minorHAnsi"/>
          <w:b w:val="0"/>
          <w:i w:val="0"/>
          <w:sz w:val="24"/>
          <w:u w:val="none"/>
        </w:rPr>
        <w:t xml:space="preserve"> in </w:t>
      </w:r>
      <w:r w:rsidR="0082099B">
        <w:rPr>
          <w:rFonts w:cstheme="minorHAnsi"/>
          <w:b w:val="0"/>
          <w:i w:val="0"/>
          <w:sz w:val="24"/>
          <w:u w:val="none"/>
        </w:rPr>
        <w:t xml:space="preserve">FY25 </w:t>
      </w:r>
      <w:r w:rsidR="0018321B">
        <w:rPr>
          <w:rFonts w:cstheme="minorHAnsi"/>
          <w:b w:val="0"/>
          <w:i w:val="0"/>
          <w:sz w:val="24"/>
          <w:u w:val="none"/>
        </w:rPr>
        <w:t xml:space="preserve">and </w:t>
      </w:r>
      <w:r w:rsidR="00EC4D64">
        <w:rPr>
          <w:rFonts w:cstheme="minorHAnsi"/>
          <w:b w:val="0"/>
          <w:i w:val="0"/>
          <w:sz w:val="24"/>
          <w:u w:val="none"/>
        </w:rPr>
        <w:t xml:space="preserve">decreased </w:t>
      </w:r>
      <w:r w:rsidR="0018321B">
        <w:rPr>
          <w:rFonts w:cstheme="minorHAnsi"/>
          <w:b w:val="0"/>
          <w:i w:val="0"/>
          <w:sz w:val="24"/>
          <w:u w:val="none"/>
        </w:rPr>
        <w:t>$</w:t>
      </w:r>
      <w:r w:rsidR="0082099B">
        <w:rPr>
          <w:rFonts w:cstheme="minorHAnsi"/>
          <w:b w:val="0"/>
          <w:i w:val="0"/>
          <w:sz w:val="24"/>
          <w:u w:val="none"/>
        </w:rPr>
        <w:t xml:space="preserve">13 </w:t>
      </w:r>
      <w:r w:rsidR="0018321B">
        <w:rPr>
          <w:rFonts w:cstheme="minorHAnsi"/>
          <w:b w:val="0"/>
          <w:i w:val="0"/>
          <w:sz w:val="24"/>
          <w:u w:val="none"/>
        </w:rPr>
        <w:t xml:space="preserve">million in </w:t>
      </w:r>
      <w:r w:rsidR="0082099B">
        <w:rPr>
          <w:rFonts w:cstheme="minorHAnsi"/>
          <w:b w:val="0"/>
          <w:i w:val="0"/>
          <w:sz w:val="24"/>
          <w:u w:val="none"/>
        </w:rPr>
        <w:t>FY24</w:t>
      </w:r>
      <w:r w:rsidRPr="004E6649">
        <w:rPr>
          <w:rFonts w:cstheme="minorHAnsi"/>
          <w:b w:val="0"/>
          <w:i w:val="0"/>
          <w:sz w:val="24"/>
          <w:u w:val="none"/>
        </w:rPr>
        <w:t>.</w:t>
      </w:r>
    </w:p>
    <w:p w14:paraId="5CD94FB2" w14:textId="77777777" w:rsidR="00A83362" w:rsidRPr="004E6649" w:rsidRDefault="00A83362" w:rsidP="00A83362">
      <w:pPr>
        <w:pStyle w:val="AFR3"/>
        <w:rPr>
          <w:rFonts w:cstheme="minorHAnsi"/>
          <w:sz w:val="24"/>
          <w:szCs w:val="20"/>
        </w:rPr>
      </w:pPr>
      <w:r w:rsidRPr="004E6649">
        <w:rPr>
          <w:rFonts w:cstheme="minorHAnsi"/>
          <w:sz w:val="24"/>
          <w:szCs w:val="20"/>
        </w:rPr>
        <w:t>Overview of Condensed Statements of Net Position</w:t>
      </w:r>
    </w:p>
    <w:p w14:paraId="17D34964" w14:textId="20F4E3CD" w:rsidR="00A83362" w:rsidRPr="004E6649" w:rsidRDefault="00A83362" w:rsidP="00A83362">
      <w:pPr>
        <w:rPr>
          <w:rFonts w:cstheme="minorHAnsi"/>
          <w:sz w:val="24"/>
        </w:rPr>
      </w:pPr>
      <w:r w:rsidRPr="004E6649">
        <w:rPr>
          <w:rFonts w:cstheme="minorHAnsi"/>
          <w:sz w:val="24"/>
        </w:rPr>
        <w:t>As shown in Table 3, assets and liabilities are classified as current or noncurrent.  Current assets are available to satisfy current liabilities, which in turn are those amounts expected to be payable within the next year. Total assets and deferred outflows of resources of $</w:t>
      </w:r>
      <w:r w:rsidRPr="00430BCC">
        <w:rPr>
          <w:rFonts w:cstheme="minorHAnsi"/>
          <w:sz w:val="24"/>
        </w:rPr>
        <w:t>1.</w:t>
      </w:r>
      <w:r w:rsidR="00430BCC">
        <w:rPr>
          <w:rFonts w:cstheme="minorHAnsi"/>
          <w:sz w:val="24"/>
        </w:rPr>
        <w:t>7</w:t>
      </w:r>
      <w:r w:rsidR="00430BCC" w:rsidRPr="004E6649">
        <w:rPr>
          <w:rFonts w:cstheme="minorHAnsi"/>
          <w:sz w:val="24"/>
        </w:rPr>
        <w:t xml:space="preserve"> </w:t>
      </w:r>
      <w:r w:rsidRPr="004E6649">
        <w:rPr>
          <w:rFonts w:cstheme="minorHAnsi"/>
          <w:sz w:val="24"/>
        </w:rPr>
        <w:t xml:space="preserve">billion at June 30, </w:t>
      </w:r>
      <w:r w:rsidR="0082099B" w:rsidRPr="004E6649">
        <w:rPr>
          <w:rFonts w:cstheme="minorHAnsi"/>
          <w:sz w:val="24"/>
        </w:rPr>
        <w:t>202</w:t>
      </w:r>
      <w:r w:rsidR="0082099B">
        <w:rPr>
          <w:rFonts w:cstheme="minorHAnsi"/>
          <w:sz w:val="24"/>
        </w:rPr>
        <w:t>5</w:t>
      </w:r>
      <w:r w:rsidRPr="004E6649">
        <w:rPr>
          <w:rFonts w:cstheme="minorHAnsi"/>
          <w:sz w:val="24"/>
        </w:rPr>
        <w:t>, increased $</w:t>
      </w:r>
      <w:r w:rsidR="00B81858" w:rsidRPr="008B69B9">
        <w:rPr>
          <w:rFonts w:cstheme="minorHAnsi"/>
          <w:sz w:val="24"/>
        </w:rPr>
        <w:t>1</w:t>
      </w:r>
      <w:r w:rsidR="00B81858">
        <w:rPr>
          <w:rFonts w:cstheme="minorHAnsi"/>
          <w:sz w:val="24"/>
        </w:rPr>
        <w:t>22</w:t>
      </w:r>
      <w:r w:rsidR="00B81858" w:rsidRPr="00430BCC">
        <w:rPr>
          <w:rFonts w:cstheme="minorHAnsi"/>
          <w:sz w:val="24"/>
        </w:rPr>
        <w:t xml:space="preserve"> </w:t>
      </w:r>
      <w:r w:rsidRPr="00430BCC">
        <w:rPr>
          <w:rFonts w:cstheme="minorHAnsi"/>
          <w:sz w:val="24"/>
        </w:rPr>
        <w:t xml:space="preserve">million, or </w:t>
      </w:r>
      <w:r w:rsidR="008A7A6B">
        <w:rPr>
          <w:rFonts w:cstheme="minorHAnsi"/>
          <w:sz w:val="24"/>
        </w:rPr>
        <w:t>8</w:t>
      </w:r>
      <w:r w:rsidRPr="00430BCC">
        <w:rPr>
          <w:rFonts w:cstheme="minorHAnsi"/>
          <w:sz w:val="24"/>
        </w:rPr>
        <w:t>%</w:t>
      </w:r>
      <w:r w:rsidRPr="004E6649">
        <w:rPr>
          <w:rFonts w:cstheme="minorHAnsi"/>
          <w:sz w:val="24"/>
        </w:rPr>
        <w:t xml:space="preserve"> over </w:t>
      </w:r>
      <w:r w:rsidR="00F83DDB">
        <w:rPr>
          <w:rFonts w:cstheme="minorHAnsi"/>
          <w:sz w:val="24"/>
        </w:rPr>
        <w:t>the $1.</w:t>
      </w:r>
      <w:r w:rsidR="0082099B">
        <w:rPr>
          <w:rFonts w:cstheme="minorHAnsi"/>
          <w:sz w:val="24"/>
        </w:rPr>
        <w:t xml:space="preserve">6 </w:t>
      </w:r>
      <w:r w:rsidR="00F83DDB">
        <w:rPr>
          <w:rFonts w:cstheme="minorHAnsi"/>
          <w:sz w:val="24"/>
        </w:rPr>
        <w:t xml:space="preserve">billion at June 30, </w:t>
      </w:r>
      <w:r w:rsidR="0082099B">
        <w:rPr>
          <w:rFonts w:cstheme="minorHAnsi"/>
          <w:sz w:val="24"/>
        </w:rPr>
        <w:t xml:space="preserve">2024 </w:t>
      </w:r>
      <w:r w:rsidR="00F83DDB">
        <w:rPr>
          <w:rFonts w:cstheme="minorHAnsi"/>
          <w:sz w:val="24"/>
        </w:rPr>
        <w:t>and increased $</w:t>
      </w:r>
      <w:r w:rsidR="00B81858" w:rsidRPr="00F33A7F">
        <w:rPr>
          <w:rFonts w:cstheme="minorHAnsi"/>
          <w:sz w:val="24"/>
        </w:rPr>
        <w:t>21</w:t>
      </w:r>
      <w:r w:rsidR="00B81858">
        <w:rPr>
          <w:rFonts w:cstheme="minorHAnsi"/>
          <w:sz w:val="24"/>
        </w:rPr>
        <w:t>8</w:t>
      </w:r>
      <w:r w:rsidR="00B81858" w:rsidRPr="00F33A7F">
        <w:rPr>
          <w:rFonts w:cstheme="minorHAnsi"/>
          <w:sz w:val="24"/>
        </w:rPr>
        <w:t xml:space="preserve"> </w:t>
      </w:r>
      <w:r w:rsidR="00F83DDB" w:rsidRPr="00F33A7F">
        <w:rPr>
          <w:rFonts w:cstheme="minorHAnsi"/>
          <w:sz w:val="24"/>
        </w:rPr>
        <w:t xml:space="preserve">million, or </w:t>
      </w:r>
      <w:r w:rsidR="00F33A7F" w:rsidRPr="00F33A7F">
        <w:rPr>
          <w:rFonts w:cstheme="minorHAnsi"/>
          <w:sz w:val="24"/>
        </w:rPr>
        <w:t>14</w:t>
      </w:r>
      <w:r w:rsidR="00F83DDB" w:rsidRPr="00F33A7F">
        <w:rPr>
          <w:rFonts w:cstheme="minorHAnsi"/>
          <w:sz w:val="24"/>
        </w:rPr>
        <w:t>% over the $1.</w:t>
      </w:r>
      <w:r w:rsidR="0082099B" w:rsidRPr="00F33A7F">
        <w:rPr>
          <w:rFonts w:cstheme="minorHAnsi"/>
          <w:sz w:val="24"/>
        </w:rPr>
        <w:t>5</w:t>
      </w:r>
      <w:r w:rsidR="00F83DDB" w:rsidRPr="00F33A7F">
        <w:rPr>
          <w:rFonts w:cstheme="minorHAnsi"/>
          <w:sz w:val="24"/>
        </w:rPr>
        <w:t xml:space="preserve"> billion </w:t>
      </w:r>
      <w:r w:rsidR="00403531" w:rsidRPr="00F33A7F">
        <w:rPr>
          <w:rFonts w:cstheme="minorHAnsi"/>
          <w:sz w:val="24"/>
        </w:rPr>
        <w:t>at June 30, 20</w:t>
      </w:r>
      <w:r w:rsidR="00F83DDB" w:rsidRPr="00F33A7F">
        <w:rPr>
          <w:rFonts w:cstheme="minorHAnsi"/>
          <w:sz w:val="24"/>
        </w:rPr>
        <w:t>2</w:t>
      </w:r>
      <w:r w:rsidR="0082099B" w:rsidRPr="00F33A7F">
        <w:rPr>
          <w:rFonts w:cstheme="minorHAnsi"/>
          <w:sz w:val="24"/>
        </w:rPr>
        <w:t>3</w:t>
      </w:r>
      <w:r w:rsidRPr="00F33A7F">
        <w:rPr>
          <w:rFonts w:cstheme="minorHAnsi"/>
          <w:sz w:val="24"/>
        </w:rPr>
        <w:t>.</w:t>
      </w:r>
    </w:p>
    <w:p w14:paraId="1FB3401F" w14:textId="77777777" w:rsidR="00A83362" w:rsidRPr="004E6649" w:rsidRDefault="00A83362" w:rsidP="00A83362">
      <w:pPr>
        <w:rPr>
          <w:rFonts w:cstheme="minorHAnsi"/>
          <w:sz w:val="20"/>
          <w:szCs w:val="20"/>
        </w:rPr>
      </w:pPr>
    </w:p>
    <w:p w14:paraId="3AAFA0FB" w14:textId="333C4B74" w:rsidR="00A83362" w:rsidRPr="004E6649" w:rsidRDefault="00A83362" w:rsidP="00A83362">
      <w:pPr>
        <w:rPr>
          <w:rFonts w:eastAsia="Times New Roman" w:cstheme="minorHAnsi"/>
          <w:sz w:val="24"/>
        </w:rPr>
      </w:pPr>
      <w:r w:rsidRPr="004E6649">
        <w:rPr>
          <w:rFonts w:cstheme="minorHAnsi"/>
          <w:sz w:val="24"/>
        </w:rPr>
        <w:t>The major component of current assets is operating investments, which totaled $</w:t>
      </w:r>
      <w:r w:rsidR="00430BCC" w:rsidRPr="00430BCC">
        <w:rPr>
          <w:rFonts w:cstheme="minorHAnsi"/>
          <w:sz w:val="24"/>
        </w:rPr>
        <w:t>251</w:t>
      </w:r>
      <w:r w:rsidR="00430BCC" w:rsidRPr="004E6649">
        <w:rPr>
          <w:rFonts w:cstheme="minorHAnsi"/>
          <w:sz w:val="24"/>
        </w:rPr>
        <w:t xml:space="preserve"> </w:t>
      </w:r>
      <w:r w:rsidRPr="004E6649">
        <w:rPr>
          <w:rFonts w:cstheme="minorHAnsi"/>
          <w:sz w:val="24"/>
        </w:rPr>
        <w:t>million at June 30, 202</w:t>
      </w:r>
      <w:r w:rsidR="0082099B">
        <w:rPr>
          <w:rFonts w:cstheme="minorHAnsi"/>
          <w:sz w:val="24"/>
        </w:rPr>
        <w:t>5,</w:t>
      </w:r>
      <w:r w:rsidRPr="004E6649">
        <w:rPr>
          <w:rFonts w:cstheme="minorHAnsi"/>
          <w:sz w:val="24"/>
        </w:rPr>
        <w:t xml:space="preserve"> $</w:t>
      </w:r>
      <w:r w:rsidR="0082099B">
        <w:rPr>
          <w:rFonts w:cstheme="minorHAnsi"/>
          <w:sz w:val="24"/>
        </w:rPr>
        <w:t>258</w:t>
      </w:r>
      <w:r w:rsidR="0082099B" w:rsidRPr="004E6649">
        <w:rPr>
          <w:rFonts w:cstheme="minorHAnsi"/>
          <w:sz w:val="24"/>
        </w:rPr>
        <w:t xml:space="preserve"> </w:t>
      </w:r>
      <w:r w:rsidRPr="004E6649">
        <w:rPr>
          <w:rFonts w:cstheme="minorHAnsi"/>
          <w:sz w:val="24"/>
        </w:rPr>
        <w:t xml:space="preserve">million at June 30, </w:t>
      </w:r>
      <w:r w:rsidR="0082099B" w:rsidRPr="004E6649">
        <w:rPr>
          <w:rFonts w:cstheme="minorHAnsi"/>
          <w:sz w:val="24"/>
        </w:rPr>
        <w:t>202</w:t>
      </w:r>
      <w:r w:rsidR="0082099B">
        <w:rPr>
          <w:rFonts w:cstheme="minorHAnsi"/>
          <w:sz w:val="24"/>
        </w:rPr>
        <w:t xml:space="preserve">4 </w:t>
      </w:r>
      <w:r w:rsidR="00F83DDB">
        <w:rPr>
          <w:rFonts w:cstheme="minorHAnsi"/>
          <w:sz w:val="24"/>
        </w:rPr>
        <w:t>and $</w:t>
      </w:r>
      <w:r w:rsidR="0082099B">
        <w:rPr>
          <w:rFonts w:cstheme="minorHAnsi"/>
          <w:sz w:val="24"/>
        </w:rPr>
        <w:t xml:space="preserve">259 </w:t>
      </w:r>
      <w:r w:rsidR="00F83DDB">
        <w:rPr>
          <w:rFonts w:cstheme="minorHAnsi"/>
          <w:sz w:val="24"/>
        </w:rPr>
        <w:t xml:space="preserve">million at June 30, </w:t>
      </w:r>
      <w:r w:rsidR="0082099B">
        <w:rPr>
          <w:rFonts w:cstheme="minorHAnsi"/>
          <w:sz w:val="24"/>
        </w:rPr>
        <w:t>2023</w:t>
      </w:r>
      <w:r w:rsidRPr="004E6649">
        <w:rPr>
          <w:rFonts w:cstheme="minorHAnsi"/>
          <w:sz w:val="24"/>
        </w:rPr>
        <w:t xml:space="preserve">. </w:t>
      </w:r>
      <w:r w:rsidRPr="004E6649">
        <w:rPr>
          <w:rFonts w:eastAsia="Times New Roman" w:cstheme="minorHAnsi"/>
          <w:sz w:val="24"/>
        </w:rPr>
        <w:t>Noncurrent assets consist mainly of endowment investments and capital assets, net of depreciation</w:t>
      </w:r>
      <w:r w:rsidR="00792492" w:rsidRPr="004E6649">
        <w:rPr>
          <w:rFonts w:eastAsia="Times New Roman" w:cstheme="minorHAnsi"/>
          <w:sz w:val="24"/>
        </w:rPr>
        <w:t xml:space="preserve"> and amortization</w:t>
      </w:r>
      <w:r w:rsidRPr="004E6649">
        <w:rPr>
          <w:rFonts w:eastAsia="Times New Roman" w:cstheme="minorHAnsi"/>
          <w:sz w:val="24"/>
        </w:rPr>
        <w:t>. Endowment investments totaled $</w:t>
      </w:r>
      <w:r w:rsidR="00430BCC" w:rsidRPr="00430BCC">
        <w:rPr>
          <w:rFonts w:eastAsia="Times New Roman" w:cstheme="minorHAnsi"/>
          <w:sz w:val="24"/>
        </w:rPr>
        <w:t>1</w:t>
      </w:r>
      <w:r w:rsidR="00430BCC" w:rsidRPr="008B69B9">
        <w:rPr>
          <w:rFonts w:eastAsia="Times New Roman" w:cstheme="minorHAnsi"/>
          <w:sz w:val="24"/>
        </w:rPr>
        <w:t>7</w:t>
      </w:r>
      <w:r w:rsidR="00430BCC" w:rsidRPr="00430BCC">
        <w:rPr>
          <w:rFonts w:eastAsia="Times New Roman" w:cstheme="minorHAnsi"/>
          <w:sz w:val="24"/>
        </w:rPr>
        <w:t>2</w:t>
      </w:r>
      <w:r w:rsidR="00430BCC" w:rsidRPr="004E6649">
        <w:rPr>
          <w:rFonts w:eastAsia="Times New Roman" w:cstheme="minorHAnsi"/>
          <w:sz w:val="24"/>
        </w:rPr>
        <w:t xml:space="preserve"> </w:t>
      </w:r>
      <w:r w:rsidRPr="004E6649">
        <w:rPr>
          <w:rFonts w:eastAsia="Times New Roman" w:cstheme="minorHAnsi"/>
          <w:sz w:val="24"/>
        </w:rPr>
        <w:t xml:space="preserve">million at June 30, </w:t>
      </w:r>
      <w:r w:rsidR="0082099B" w:rsidRPr="004E6649">
        <w:rPr>
          <w:rFonts w:eastAsia="Times New Roman" w:cstheme="minorHAnsi"/>
          <w:sz w:val="24"/>
        </w:rPr>
        <w:t>202</w:t>
      </w:r>
      <w:r w:rsidR="0082099B">
        <w:rPr>
          <w:rFonts w:eastAsia="Times New Roman" w:cstheme="minorHAnsi"/>
          <w:sz w:val="24"/>
        </w:rPr>
        <w:t>5</w:t>
      </w:r>
      <w:r w:rsidRPr="004E6649">
        <w:rPr>
          <w:rFonts w:eastAsia="Times New Roman" w:cstheme="minorHAnsi"/>
          <w:sz w:val="24"/>
        </w:rPr>
        <w:t>, an increase of $</w:t>
      </w:r>
      <w:r w:rsidR="00430BCC" w:rsidRPr="00D36226">
        <w:rPr>
          <w:rFonts w:eastAsia="Times New Roman" w:cstheme="minorHAnsi"/>
          <w:sz w:val="24"/>
        </w:rPr>
        <w:t>1</w:t>
      </w:r>
      <w:r w:rsidR="00430BCC" w:rsidRPr="008B69B9">
        <w:rPr>
          <w:rFonts w:eastAsia="Times New Roman" w:cstheme="minorHAnsi"/>
          <w:sz w:val="24"/>
        </w:rPr>
        <w:t>0</w:t>
      </w:r>
      <w:r w:rsidR="00430BCC" w:rsidRPr="00D36226">
        <w:rPr>
          <w:rFonts w:eastAsia="Times New Roman" w:cstheme="minorHAnsi"/>
          <w:sz w:val="24"/>
        </w:rPr>
        <w:t xml:space="preserve"> </w:t>
      </w:r>
      <w:r w:rsidRPr="00D36226">
        <w:rPr>
          <w:rFonts w:eastAsia="Times New Roman" w:cstheme="minorHAnsi"/>
          <w:sz w:val="24"/>
        </w:rPr>
        <w:t xml:space="preserve">million, or </w:t>
      </w:r>
      <w:r w:rsidR="00430BCC" w:rsidRPr="008B69B9">
        <w:rPr>
          <w:rFonts w:eastAsia="Times New Roman" w:cstheme="minorHAnsi"/>
          <w:sz w:val="24"/>
        </w:rPr>
        <w:t>6</w:t>
      </w:r>
      <w:r w:rsidRPr="00D36226">
        <w:rPr>
          <w:rFonts w:eastAsia="Times New Roman" w:cstheme="minorHAnsi"/>
          <w:sz w:val="24"/>
        </w:rPr>
        <w:t xml:space="preserve">%, from the </w:t>
      </w:r>
      <w:r w:rsidR="0082099B" w:rsidRPr="00D36226">
        <w:rPr>
          <w:rFonts w:eastAsia="Times New Roman" w:cstheme="minorHAnsi"/>
          <w:sz w:val="24"/>
        </w:rPr>
        <w:t xml:space="preserve">FY24 </w:t>
      </w:r>
      <w:r w:rsidRPr="00D36226">
        <w:rPr>
          <w:rFonts w:eastAsia="Times New Roman" w:cstheme="minorHAnsi"/>
          <w:sz w:val="24"/>
        </w:rPr>
        <w:t>year-end balance of $</w:t>
      </w:r>
      <w:r w:rsidR="0082099B" w:rsidRPr="00D36226">
        <w:rPr>
          <w:rFonts w:eastAsia="Times New Roman" w:cstheme="minorHAnsi"/>
          <w:sz w:val="24"/>
        </w:rPr>
        <w:t xml:space="preserve">162 </w:t>
      </w:r>
      <w:r w:rsidRPr="00D36226">
        <w:rPr>
          <w:rFonts w:eastAsia="Times New Roman" w:cstheme="minorHAnsi"/>
          <w:sz w:val="24"/>
        </w:rPr>
        <w:t>million, and a $</w:t>
      </w:r>
      <w:r w:rsidR="00430BCC" w:rsidRPr="00D36226">
        <w:rPr>
          <w:rFonts w:eastAsia="Times New Roman" w:cstheme="minorHAnsi"/>
          <w:sz w:val="24"/>
        </w:rPr>
        <w:t>2</w:t>
      </w:r>
      <w:r w:rsidR="00430BCC" w:rsidRPr="008B69B9">
        <w:rPr>
          <w:rFonts w:eastAsia="Times New Roman" w:cstheme="minorHAnsi"/>
          <w:sz w:val="24"/>
        </w:rPr>
        <w:t>2</w:t>
      </w:r>
      <w:r w:rsidR="00430BCC" w:rsidRPr="00D36226">
        <w:rPr>
          <w:rFonts w:eastAsia="Times New Roman" w:cstheme="minorHAnsi"/>
          <w:sz w:val="24"/>
        </w:rPr>
        <w:t xml:space="preserve"> </w:t>
      </w:r>
      <w:r w:rsidRPr="00D36226">
        <w:rPr>
          <w:rFonts w:eastAsia="Times New Roman" w:cstheme="minorHAnsi"/>
          <w:sz w:val="24"/>
        </w:rPr>
        <w:t xml:space="preserve">million, or </w:t>
      </w:r>
      <w:r w:rsidR="00604577" w:rsidRPr="00D36226">
        <w:rPr>
          <w:rFonts w:eastAsia="Times New Roman" w:cstheme="minorHAnsi"/>
          <w:sz w:val="24"/>
        </w:rPr>
        <w:t>1</w:t>
      </w:r>
      <w:r w:rsidR="003F7C3E" w:rsidRPr="00D36226">
        <w:rPr>
          <w:rFonts w:eastAsia="Times New Roman" w:cstheme="minorHAnsi"/>
          <w:sz w:val="24"/>
        </w:rPr>
        <w:t>5</w:t>
      </w:r>
      <w:r w:rsidRPr="00D36226">
        <w:rPr>
          <w:rFonts w:eastAsia="Times New Roman" w:cstheme="minorHAnsi"/>
          <w:sz w:val="24"/>
        </w:rPr>
        <w:t xml:space="preserve">%, </w:t>
      </w:r>
      <w:r w:rsidR="003F7C3E" w:rsidRPr="00D36226">
        <w:rPr>
          <w:rFonts w:eastAsia="Times New Roman" w:cstheme="minorHAnsi"/>
          <w:sz w:val="24"/>
        </w:rPr>
        <w:t>in</w:t>
      </w:r>
      <w:r w:rsidRPr="00D36226">
        <w:rPr>
          <w:rFonts w:eastAsia="Times New Roman" w:cstheme="minorHAnsi"/>
          <w:sz w:val="24"/>
        </w:rPr>
        <w:t>cr</w:t>
      </w:r>
      <w:r w:rsidRPr="004E6649">
        <w:rPr>
          <w:rFonts w:eastAsia="Times New Roman" w:cstheme="minorHAnsi"/>
          <w:sz w:val="24"/>
        </w:rPr>
        <w:t xml:space="preserve">ease from </w:t>
      </w:r>
      <w:r w:rsidR="00AD128D">
        <w:rPr>
          <w:rFonts w:eastAsia="Times New Roman" w:cstheme="minorHAnsi"/>
          <w:sz w:val="24"/>
        </w:rPr>
        <w:t xml:space="preserve">the </w:t>
      </w:r>
      <w:r w:rsidR="0082099B" w:rsidRPr="004E6649">
        <w:rPr>
          <w:rFonts w:eastAsia="Times New Roman" w:cstheme="minorHAnsi"/>
          <w:sz w:val="24"/>
        </w:rPr>
        <w:t>FY2</w:t>
      </w:r>
      <w:r w:rsidR="0082099B">
        <w:rPr>
          <w:rFonts w:eastAsia="Times New Roman" w:cstheme="minorHAnsi"/>
          <w:sz w:val="24"/>
        </w:rPr>
        <w:t xml:space="preserve">3 </w:t>
      </w:r>
      <w:r w:rsidR="00AD128D">
        <w:rPr>
          <w:rFonts w:eastAsia="Times New Roman" w:cstheme="minorHAnsi"/>
          <w:sz w:val="24"/>
        </w:rPr>
        <w:t>balance of $</w:t>
      </w:r>
      <w:r w:rsidR="0082099B">
        <w:rPr>
          <w:rFonts w:eastAsia="Times New Roman" w:cstheme="minorHAnsi"/>
          <w:sz w:val="24"/>
        </w:rPr>
        <w:t xml:space="preserve">150 </w:t>
      </w:r>
      <w:r w:rsidR="00AD128D">
        <w:rPr>
          <w:rFonts w:eastAsia="Times New Roman" w:cstheme="minorHAnsi"/>
          <w:sz w:val="24"/>
        </w:rPr>
        <w:t>million</w:t>
      </w:r>
      <w:r w:rsidRPr="004E6649">
        <w:rPr>
          <w:rFonts w:eastAsia="Times New Roman" w:cstheme="minorHAnsi"/>
          <w:sz w:val="24"/>
        </w:rPr>
        <w:t xml:space="preserve">. Capital assets, net of accumulated depreciation </w:t>
      </w:r>
      <w:r w:rsidR="00792492" w:rsidRPr="004E6649">
        <w:rPr>
          <w:rFonts w:eastAsia="Times New Roman" w:cstheme="minorHAnsi"/>
          <w:sz w:val="24"/>
        </w:rPr>
        <w:t xml:space="preserve">and amortization </w:t>
      </w:r>
      <w:r w:rsidRPr="004E6649">
        <w:rPr>
          <w:rFonts w:eastAsia="Times New Roman" w:cstheme="minorHAnsi"/>
          <w:sz w:val="24"/>
        </w:rPr>
        <w:t>totaled $</w:t>
      </w:r>
      <w:r w:rsidR="003F7C3E" w:rsidRPr="00D36226">
        <w:rPr>
          <w:rFonts w:eastAsia="Times New Roman" w:cstheme="minorHAnsi"/>
          <w:sz w:val="24"/>
        </w:rPr>
        <w:t>1</w:t>
      </w:r>
      <w:r w:rsidR="00403531" w:rsidRPr="00D36226">
        <w:rPr>
          <w:rFonts w:eastAsia="Times New Roman" w:cstheme="minorHAnsi"/>
          <w:sz w:val="24"/>
        </w:rPr>
        <w:t>.</w:t>
      </w:r>
      <w:r w:rsidR="00C77856">
        <w:rPr>
          <w:rFonts w:eastAsia="Times New Roman" w:cstheme="minorHAnsi"/>
          <w:sz w:val="24"/>
        </w:rPr>
        <w:t>10</w:t>
      </w:r>
      <w:r w:rsidR="00C77856" w:rsidRPr="00D36226">
        <w:rPr>
          <w:rFonts w:eastAsia="Times New Roman" w:cstheme="minorHAnsi"/>
          <w:sz w:val="24"/>
        </w:rPr>
        <w:t>6</w:t>
      </w:r>
      <w:r w:rsidR="00C77856" w:rsidRPr="004E6649">
        <w:rPr>
          <w:rFonts w:eastAsia="Times New Roman" w:cstheme="minorHAnsi"/>
          <w:sz w:val="24"/>
        </w:rPr>
        <w:t xml:space="preserve"> </w:t>
      </w:r>
      <w:r w:rsidR="003F7C3E">
        <w:rPr>
          <w:rFonts w:eastAsia="Times New Roman" w:cstheme="minorHAnsi"/>
          <w:sz w:val="24"/>
        </w:rPr>
        <w:t>b</w:t>
      </w:r>
      <w:r w:rsidRPr="004E6649">
        <w:rPr>
          <w:rFonts w:eastAsia="Times New Roman" w:cstheme="minorHAnsi"/>
          <w:sz w:val="24"/>
        </w:rPr>
        <w:t>illion</w:t>
      </w:r>
      <w:r w:rsidR="00AD128D">
        <w:rPr>
          <w:rFonts w:eastAsia="Times New Roman" w:cstheme="minorHAnsi"/>
          <w:sz w:val="24"/>
        </w:rPr>
        <w:t>,</w:t>
      </w:r>
      <w:r w:rsidRPr="004E6649">
        <w:rPr>
          <w:rFonts w:eastAsia="Times New Roman" w:cstheme="minorHAnsi"/>
          <w:sz w:val="24"/>
        </w:rPr>
        <w:t xml:space="preserve"> $</w:t>
      </w:r>
      <w:r w:rsidR="00C372E0">
        <w:rPr>
          <w:rFonts w:eastAsia="Times New Roman" w:cstheme="minorHAnsi"/>
          <w:sz w:val="24"/>
        </w:rPr>
        <w:t>1.016</w:t>
      </w:r>
      <w:r w:rsidR="00C372E0" w:rsidRPr="004E6649">
        <w:rPr>
          <w:rFonts w:eastAsia="Times New Roman" w:cstheme="minorHAnsi"/>
          <w:sz w:val="24"/>
        </w:rPr>
        <w:t xml:space="preserve"> </w:t>
      </w:r>
      <w:r w:rsidR="00C372E0">
        <w:rPr>
          <w:rFonts w:eastAsia="Times New Roman" w:cstheme="minorHAnsi"/>
          <w:sz w:val="24"/>
        </w:rPr>
        <w:t>b</w:t>
      </w:r>
      <w:r w:rsidRPr="004E6649">
        <w:rPr>
          <w:rFonts w:eastAsia="Times New Roman" w:cstheme="minorHAnsi"/>
          <w:sz w:val="24"/>
        </w:rPr>
        <w:t xml:space="preserve">illion </w:t>
      </w:r>
      <w:r w:rsidR="00AD128D">
        <w:rPr>
          <w:rFonts w:eastAsia="Times New Roman" w:cstheme="minorHAnsi"/>
          <w:sz w:val="24"/>
        </w:rPr>
        <w:t>and $</w:t>
      </w:r>
      <w:r w:rsidR="00C372E0">
        <w:rPr>
          <w:rFonts w:eastAsia="Times New Roman" w:cstheme="minorHAnsi"/>
          <w:sz w:val="24"/>
        </w:rPr>
        <w:t xml:space="preserve">935 </w:t>
      </w:r>
      <w:r w:rsidR="00AD128D">
        <w:rPr>
          <w:rFonts w:eastAsia="Times New Roman" w:cstheme="minorHAnsi"/>
          <w:sz w:val="24"/>
        </w:rPr>
        <w:t xml:space="preserve">million </w:t>
      </w:r>
      <w:r w:rsidRPr="004E6649">
        <w:rPr>
          <w:rFonts w:eastAsia="Times New Roman" w:cstheme="minorHAnsi"/>
          <w:sz w:val="24"/>
        </w:rPr>
        <w:t xml:space="preserve">at June 30, </w:t>
      </w:r>
      <w:r w:rsidR="00C372E0" w:rsidRPr="004E6649">
        <w:rPr>
          <w:rFonts w:eastAsia="Times New Roman" w:cstheme="minorHAnsi"/>
          <w:sz w:val="24"/>
        </w:rPr>
        <w:t>202</w:t>
      </w:r>
      <w:r w:rsidR="00C372E0">
        <w:rPr>
          <w:rFonts w:eastAsia="Times New Roman" w:cstheme="minorHAnsi"/>
          <w:sz w:val="24"/>
        </w:rPr>
        <w:t>5</w:t>
      </w:r>
      <w:r w:rsidR="00AD128D">
        <w:rPr>
          <w:rFonts w:eastAsia="Times New Roman" w:cstheme="minorHAnsi"/>
          <w:sz w:val="24"/>
        </w:rPr>
        <w:t>,</w:t>
      </w:r>
      <w:r w:rsidRPr="004E6649">
        <w:rPr>
          <w:rFonts w:eastAsia="Times New Roman" w:cstheme="minorHAnsi"/>
          <w:sz w:val="24"/>
        </w:rPr>
        <w:t xml:space="preserve"> </w:t>
      </w:r>
      <w:r w:rsidR="00C372E0" w:rsidRPr="004E6649">
        <w:rPr>
          <w:rFonts w:eastAsia="Times New Roman" w:cstheme="minorHAnsi"/>
          <w:sz w:val="24"/>
        </w:rPr>
        <w:t>202</w:t>
      </w:r>
      <w:r w:rsidR="00C372E0">
        <w:rPr>
          <w:rFonts w:eastAsia="Times New Roman" w:cstheme="minorHAnsi"/>
          <w:sz w:val="24"/>
        </w:rPr>
        <w:t>4</w:t>
      </w:r>
      <w:r w:rsidRPr="004E6649">
        <w:rPr>
          <w:rFonts w:eastAsia="Times New Roman" w:cstheme="minorHAnsi"/>
          <w:sz w:val="24"/>
        </w:rPr>
        <w:t xml:space="preserve">, </w:t>
      </w:r>
      <w:r w:rsidR="00AD128D">
        <w:rPr>
          <w:rFonts w:eastAsia="Times New Roman" w:cstheme="minorHAnsi"/>
          <w:sz w:val="24"/>
        </w:rPr>
        <w:t xml:space="preserve">and </w:t>
      </w:r>
      <w:r w:rsidR="00C372E0">
        <w:rPr>
          <w:rFonts w:eastAsia="Times New Roman" w:cstheme="minorHAnsi"/>
          <w:sz w:val="24"/>
        </w:rPr>
        <w:t>2023</w:t>
      </w:r>
      <w:r w:rsidR="00AD128D">
        <w:rPr>
          <w:rFonts w:eastAsia="Times New Roman" w:cstheme="minorHAnsi"/>
          <w:sz w:val="24"/>
        </w:rPr>
        <w:t xml:space="preserve">, </w:t>
      </w:r>
      <w:r w:rsidRPr="004E6649">
        <w:rPr>
          <w:rFonts w:eastAsia="Times New Roman" w:cstheme="minorHAnsi"/>
          <w:sz w:val="24"/>
        </w:rPr>
        <w:t>respectively.</w:t>
      </w:r>
    </w:p>
    <w:p w14:paraId="7EBF8E1A" w14:textId="77777777" w:rsidR="00A83362" w:rsidRPr="004E6649" w:rsidRDefault="00A83362" w:rsidP="00A83362">
      <w:pPr>
        <w:ind w:left="360"/>
        <w:rPr>
          <w:rFonts w:cstheme="minorHAnsi"/>
          <w:sz w:val="20"/>
          <w:szCs w:val="20"/>
        </w:rPr>
      </w:pPr>
    </w:p>
    <w:p w14:paraId="15BB823F" w14:textId="74E165BF" w:rsidR="00A83362" w:rsidRPr="004E6649" w:rsidRDefault="00A83362" w:rsidP="00A83362">
      <w:pPr>
        <w:rPr>
          <w:rFonts w:cstheme="minorHAnsi"/>
          <w:sz w:val="24"/>
        </w:rPr>
      </w:pPr>
      <w:r w:rsidRPr="004E6649">
        <w:rPr>
          <w:rFonts w:cstheme="minorHAnsi"/>
          <w:sz w:val="24"/>
        </w:rPr>
        <w:lastRenderedPageBreak/>
        <w:t>Current liabilities of $</w:t>
      </w:r>
      <w:r w:rsidR="00D36226" w:rsidRPr="00D36226">
        <w:rPr>
          <w:rFonts w:cstheme="minorHAnsi"/>
          <w:sz w:val="24"/>
        </w:rPr>
        <w:t>1</w:t>
      </w:r>
      <w:r w:rsidR="00D36226">
        <w:rPr>
          <w:rFonts w:cstheme="minorHAnsi"/>
          <w:sz w:val="24"/>
        </w:rPr>
        <w:t>57</w:t>
      </w:r>
      <w:r w:rsidR="00D36226" w:rsidRPr="004E6649">
        <w:rPr>
          <w:rFonts w:cstheme="minorHAnsi"/>
          <w:sz w:val="24"/>
        </w:rPr>
        <w:t xml:space="preserve"> </w:t>
      </w:r>
      <w:r w:rsidRPr="004E6649">
        <w:rPr>
          <w:rFonts w:cstheme="minorHAnsi"/>
          <w:sz w:val="24"/>
        </w:rPr>
        <w:t>million</w:t>
      </w:r>
      <w:r w:rsidR="00D75CAF">
        <w:rPr>
          <w:rFonts w:cstheme="minorHAnsi"/>
          <w:sz w:val="24"/>
        </w:rPr>
        <w:t>,</w:t>
      </w:r>
      <w:r w:rsidRPr="004E6649">
        <w:rPr>
          <w:rFonts w:cstheme="minorHAnsi"/>
          <w:sz w:val="24"/>
        </w:rPr>
        <w:t xml:space="preserve"> $</w:t>
      </w:r>
      <w:r w:rsidR="00C372E0" w:rsidRPr="004E6649">
        <w:rPr>
          <w:rFonts w:cstheme="minorHAnsi"/>
          <w:sz w:val="24"/>
        </w:rPr>
        <w:t>1</w:t>
      </w:r>
      <w:r w:rsidR="00C372E0">
        <w:rPr>
          <w:rFonts w:cstheme="minorHAnsi"/>
          <w:sz w:val="24"/>
        </w:rPr>
        <w:t>3</w:t>
      </w:r>
      <w:r w:rsidR="005A12DD">
        <w:rPr>
          <w:rFonts w:cstheme="minorHAnsi"/>
          <w:sz w:val="24"/>
        </w:rPr>
        <w:t>4</w:t>
      </w:r>
      <w:r w:rsidR="00C372E0" w:rsidRPr="004E6649">
        <w:rPr>
          <w:rFonts w:cstheme="minorHAnsi"/>
          <w:sz w:val="24"/>
        </w:rPr>
        <w:t xml:space="preserve"> </w:t>
      </w:r>
      <w:r w:rsidRPr="004E6649">
        <w:rPr>
          <w:rFonts w:cstheme="minorHAnsi"/>
          <w:sz w:val="24"/>
        </w:rPr>
        <w:t>million</w:t>
      </w:r>
      <w:r w:rsidR="00D75CAF">
        <w:rPr>
          <w:rFonts w:cstheme="minorHAnsi"/>
          <w:sz w:val="24"/>
        </w:rPr>
        <w:t xml:space="preserve"> and $</w:t>
      </w:r>
      <w:r w:rsidR="00C372E0">
        <w:rPr>
          <w:rFonts w:cstheme="minorHAnsi"/>
          <w:sz w:val="24"/>
        </w:rPr>
        <w:t xml:space="preserve">120 </w:t>
      </w:r>
      <w:r w:rsidR="00D75CAF">
        <w:rPr>
          <w:rFonts w:cstheme="minorHAnsi"/>
          <w:sz w:val="24"/>
        </w:rPr>
        <w:t>million</w:t>
      </w:r>
      <w:r w:rsidRPr="004E6649">
        <w:rPr>
          <w:rFonts w:cstheme="minorHAnsi"/>
          <w:sz w:val="24"/>
        </w:rPr>
        <w:t xml:space="preserve"> at June 30, </w:t>
      </w:r>
      <w:r w:rsidR="00C372E0" w:rsidRPr="004E6649">
        <w:rPr>
          <w:rFonts w:cstheme="minorHAnsi"/>
          <w:sz w:val="24"/>
        </w:rPr>
        <w:t>202</w:t>
      </w:r>
      <w:r w:rsidR="00C372E0">
        <w:rPr>
          <w:rFonts w:cstheme="minorHAnsi"/>
          <w:sz w:val="24"/>
        </w:rPr>
        <w:t>5</w:t>
      </w:r>
      <w:r w:rsidR="00D75CAF">
        <w:rPr>
          <w:rFonts w:cstheme="minorHAnsi"/>
          <w:sz w:val="24"/>
        </w:rPr>
        <w:t>,</w:t>
      </w:r>
      <w:r w:rsidRPr="004E6649">
        <w:rPr>
          <w:rFonts w:cstheme="minorHAnsi"/>
          <w:sz w:val="24"/>
        </w:rPr>
        <w:t xml:space="preserve"> </w:t>
      </w:r>
      <w:r w:rsidR="00C372E0" w:rsidRPr="004E6649">
        <w:rPr>
          <w:rFonts w:cstheme="minorHAnsi"/>
          <w:sz w:val="24"/>
        </w:rPr>
        <w:t>202</w:t>
      </w:r>
      <w:r w:rsidR="00C372E0">
        <w:rPr>
          <w:rFonts w:cstheme="minorHAnsi"/>
          <w:sz w:val="24"/>
        </w:rPr>
        <w:t>4</w:t>
      </w:r>
      <w:r w:rsidR="00D75CAF">
        <w:rPr>
          <w:rFonts w:cstheme="minorHAnsi"/>
          <w:sz w:val="24"/>
        </w:rPr>
        <w:t xml:space="preserve">, and </w:t>
      </w:r>
      <w:r w:rsidR="00C372E0">
        <w:rPr>
          <w:rFonts w:cstheme="minorHAnsi"/>
          <w:sz w:val="24"/>
        </w:rPr>
        <w:t>2023</w:t>
      </w:r>
      <w:r w:rsidRPr="004E6649">
        <w:rPr>
          <w:rFonts w:cstheme="minorHAnsi"/>
          <w:sz w:val="24"/>
        </w:rPr>
        <w:t>, respectively, consist primarily of accounts payable and various accrued liabilities including those for the System’s healthcare claims, defined contribution retirement plan and payroll taxes. Impacts to accounts payable and accrued liabilities include the timing of the last check cycle for the fiscal year, the level of construction activity in progress, and budget constraints.</w:t>
      </w:r>
    </w:p>
    <w:p w14:paraId="558055AB" w14:textId="77777777" w:rsidR="00A83362" w:rsidRPr="004E6649" w:rsidRDefault="00A83362" w:rsidP="00A83362">
      <w:pPr>
        <w:ind w:left="360"/>
        <w:rPr>
          <w:rFonts w:cstheme="minorHAnsi"/>
          <w:sz w:val="20"/>
          <w:szCs w:val="20"/>
        </w:rPr>
      </w:pPr>
    </w:p>
    <w:p w14:paraId="37637676" w14:textId="6ECF493B" w:rsidR="00A83362" w:rsidRPr="004E6649" w:rsidRDefault="00A83362" w:rsidP="00A83362">
      <w:pPr>
        <w:rPr>
          <w:rFonts w:eastAsia="Times New Roman" w:cstheme="minorHAnsi"/>
          <w:bCs/>
          <w:sz w:val="24"/>
          <w:szCs w:val="20"/>
        </w:rPr>
      </w:pPr>
      <w:r w:rsidRPr="004E6649">
        <w:rPr>
          <w:rFonts w:eastAsia="Times New Roman" w:cstheme="minorHAnsi"/>
          <w:sz w:val="24"/>
        </w:rPr>
        <w:t>At $</w:t>
      </w:r>
      <w:r w:rsidR="00D36226" w:rsidRPr="00D36226">
        <w:rPr>
          <w:rFonts w:eastAsia="Times New Roman" w:cstheme="minorHAnsi"/>
          <w:sz w:val="24"/>
        </w:rPr>
        <w:t>3</w:t>
      </w:r>
      <w:r w:rsidR="00D36226" w:rsidRPr="008B69B9">
        <w:rPr>
          <w:rFonts w:eastAsia="Times New Roman" w:cstheme="minorHAnsi"/>
          <w:sz w:val="24"/>
        </w:rPr>
        <w:t>19</w:t>
      </w:r>
      <w:r w:rsidR="00D36226" w:rsidRPr="00D36226">
        <w:rPr>
          <w:rFonts w:eastAsia="Times New Roman" w:cstheme="minorHAnsi"/>
          <w:sz w:val="24"/>
        </w:rPr>
        <w:t xml:space="preserve"> </w:t>
      </w:r>
      <w:r w:rsidRPr="00D36226">
        <w:rPr>
          <w:rFonts w:eastAsia="Times New Roman" w:cstheme="minorHAnsi"/>
          <w:sz w:val="24"/>
        </w:rPr>
        <w:t xml:space="preserve">million, total noncurrent liabilities </w:t>
      </w:r>
      <w:r w:rsidR="003F7C3E" w:rsidRPr="00D36226">
        <w:rPr>
          <w:rFonts w:eastAsia="Times New Roman" w:cstheme="minorHAnsi"/>
          <w:sz w:val="24"/>
        </w:rPr>
        <w:t>de</w:t>
      </w:r>
      <w:r w:rsidRPr="00D36226">
        <w:rPr>
          <w:rFonts w:eastAsia="Times New Roman" w:cstheme="minorHAnsi"/>
          <w:sz w:val="24"/>
        </w:rPr>
        <w:t>creased $</w:t>
      </w:r>
      <w:r w:rsidR="00D36226" w:rsidRPr="00D36226">
        <w:rPr>
          <w:rFonts w:eastAsia="Times New Roman" w:cstheme="minorHAnsi"/>
          <w:sz w:val="24"/>
        </w:rPr>
        <w:t>1</w:t>
      </w:r>
      <w:r w:rsidR="00D36226">
        <w:rPr>
          <w:rFonts w:eastAsia="Times New Roman" w:cstheme="minorHAnsi"/>
          <w:sz w:val="24"/>
        </w:rPr>
        <w:t>9</w:t>
      </w:r>
      <w:r w:rsidR="00D36226" w:rsidRPr="00D36226">
        <w:rPr>
          <w:rFonts w:eastAsia="Times New Roman" w:cstheme="minorHAnsi"/>
          <w:sz w:val="24"/>
        </w:rPr>
        <w:t xml:space="preserve"> </w:t>
      </w:r>
      <w:r w:rsidRPr="00D36226">
        <w:rPr>
          <w:rFonts w:eastAsia="Times New Roman" w:cstheme="minorHAnsi"/>
          <w:sz w:val="24"/>
        </w:rPr>
        <w:t xml:space="preserve">million, or </w:t>
      </w:r>
      <w:r w:rsidR="00D36226" w:rsidRPr="008B69B9">
        <w:rPr>
          <w:rFonts w:eastAsia="Times New Roman" w:cstheme="minorHAnsi"/>
          <w:sz w:val="24"/>
        </w:rPr>
        <w:t>6</w:t>
      </w:r>
      <w:r w:rsidRPr="00D36226">
        <w:rPr>
          <w:rFonts w:eastAsia="Times New Roman" w:cstheme="minorHAnsi"/>
          <w:sz w:val="24"/>
        </w:rPr>
        <w:t xml:space="preserve">%, from June 30, </w:t>
      </w:r>
      <w:r w:rsidR="00C372E0" w:rsidRPr="00D36226">
        <w:rPr>
          <w:rFonts w:eastAsia="Times New Roman" w:cstheme="minorHAnsi"/>
          <w:sz w:val="24"/>
        </w:rPr>
        <w:t xml:space="preserve">2024 </w:t>
      </w:r>
      <w:r w:rsidRPr="00D36226">
        <w:rPr>
          <w:rFonts w:eastAsia="Times New Roman" w:cstheme="minorHAnsi"/>
          <w:sz w:val="24"/>
        </w:rPr>
        <w:t xml:space="preserve">to </w:t>
      </w:r>
      <w:r w:rsidR="00C372E0" w:rsidRPr="00D36226">
        <w:rPr>
          <w:rFonts w:eastAsia="Times New Roman" w:cstheme="minorHAnsi"/>
          <w:sz w:val="24"/>
        </w:rPr>
        <w:t>2025</w:t>
      </w:r>
      <w:r w:rsidRPr="00D36226">
        <w:rPr>
          <w:rFonts w:eastAsia="Times New Roman" w:cstheme="minorHAnsi"/>
          <w:sz w:val="24"/>
        </w:rPr>
        <w:t xml:space="preserve">. </w:t>
      </w:r>
      <w:r w:rsidRPr="002C0A68">
        <w:rPr>
          <w:rFonts w:eastAsia="Times New Roman" w:cstheme="minorHAnsi"/>
          <w:sz w:val="24"/>
        </w:rPr>
        <w:t xml:space="preserve">This </w:t>
      </w:r>
      <w:r w:rsidR="003F7C3E" w:rsidRPr="002C0A68">
        <w:rPr>
          <w:rFonts w:eastAsia="Times New Roman" w:cstheme="minorHAnsi"/>
          <w:sz w:val="24"/>
        </w:rPr>
        <w:t>de</w:t>
      </w:r>
      <w:r w:rsidRPr="002C0A68">
        <w:rPr>
          <w:rFonts w:eastAsia="Times New Roman" w:cstheme="minorHAnsi"/>
          <w:sz w:val="24"/>
        </w:rPr>
        <w:t>crease is primarily the result of a $</w:t>
      </w:r>
      <w:r w:rsidR="002C0A68" w:rsidRPr="002C0A68">
        <w:rPr>
          <w:rFonts w:eastAsia="Times New Roman" w:cstheme="minorHAnsi"/>
          <w:sz w:val="24"/>
        </w:rPr>
        <w:t>1</w:t>
      </w:r>
      <w:r w:rsidR="002C0A68" w:rsidRPr="008B69B9">
        <w:rPr>
          <w:rFonts w:eastAsia="Times New Roman" w:cstheme="minorHAnsi"/>
          <w:sz w:val="24"/>
        </w:rPr>
        <w:t>6</w:t>
      </w:r>
      <w:r w:rsidR="002C0A68" w:rsidRPr="002C0A68">
        <w:rPr>
          <w:rFonts w:eastAsia="Times New Roman" w:cstheme="minorHAnsi"/>
          <w:sz w:val="24"/>
        </w:rPr>
        <w:t xml:space="preserve"> </w:t>
      </w:r>
      <w:r w:rsidRPr="002C0A68">
        <w:rPr>
          <w:rFonts w:eastAsia="Times New Roman" w:cstheme="minorHAnsi"/>
          <w:sz w:val="24"/>
        </w:rPr>
        <w:t xml:space="preserve">million </w:t>
      </w:r>
      <w:r w:rsidR="003F7C3E" w:rsidRPr="002C0A68">
        <w:rPr>
          <w:rFonts w:eastAsia="Times New Roman" w:cstheme="minorHAnsi"/>
          <w:sz w:val="24"/>
        </w:rPr>
        <w:t>de</w:t>
      </w:r>
      <w:r w:rsidRPr="002C0A68">
        <w:rPr>
          <w:rFonts w:eastAsia="Times New Roman" w:cstheme="minorHAnsi"/>
          <w:sz w:val="24"/>
        </w:rPr>
        <w:t>crease in long-term debt</w:t>
      </w:r>
      <w:r w:rsidR="00403531" w:rsidRPr="002C0A68">
        <w:rPr>
          <w:rFonts w:eastAsia="Times New Roman" w:cstheme="minorHAnsi"/>
          <w:sz w:val="24"/>
        </w:rPr>
        <w:t xml:space="preserve"> as the System made scheduled debt payments</w:t>
      </w:r>
      <w:r w:rsidRPr="002C0A68">
        <w:rPr>
          <w:rFonts w:eastAsia="Times New Roman" w:cstheme="minorHAnsi"/>
          <w:sz w:val="24"/>
        </w:rPr>
        <w:t>.</w:t>
      </w:r>
      <w:r w:rsidRPr="004E6649">
        <w:rPr>
          <w:rFonts w:eastAsia="Times New Roman" w:cstheme="minorHAnsi"/>
          <w:sz w:val="24"/>
        </w:rPr>
        <w:t xml:space="preserve"> For </w:t>
      </w:r>
      <w:r w:rsidR="00C372E0" w:rsidRPr="004E6649">
        <w:rPr>
          <w:rFonts w:eastAsia="Times New Roman" w:cstheme="minorHAnsi"/>
          <w:sz w:val="24"/>
        </w:rPr>
        <w:t>FY2</w:t>
      </w:r>
      <w:r w:rsidR="00C372E0">
        <w:rPr>
          <w:rFonts w:eastAsia="Times New Roman" w:cstheme="minorHAnsi"/>
          <w:sz w:val="24"/>
        </w:rPr>
        <w:t>4</w:t>
      </w:r>
      <w:r w:rsidR="00C372E0" w:rsidRPr="004E6649">
        <w:rPr>
          <w:rFonts w:eastAsia="Times New Roman" w:cstheme="minorHAnsi"/>
          <w:sz w:val="24"/>
        </w:rPr>
        <w:t xml:space="preserve"> </w:t>
      </w:r>
      <w:r w:rsidRPr="004E6649">
        <w:rPr>
          <w:rFonts w:eastAsia="Times New Roman" w:cstheme="minorHAnsi"/>
          <w:sz w:val="24"/>
        </w:rPr>
        <w:t xml:space="preserve">and </w:t>
      </w:r>
      <w:r w:rsidR="00C372E0" w:rsidRPr="004E6649">
        <w:rPr>
          <w:rFonts w:eastAsia="Times New Roman" w:cstheme="minorHAnsi"/>
          <w:sz w:val="24"/>
        </w:rPr>
        <w:t>FY2</w:t>
      </w:r>
      <w:r w:rsidR="00C372E0">
        <w:rPr>
          <w:rFonts w:eastAsia="Times New Roman" w:cstheme="minorHAnsi"/>
          <w:sz w:val="24"/>
        </w:rPr>
        <w:t>3</w:t>
      </w:r>
      <w:r w:rsidRPr="004E6649">
        <w:rPr>
          <w:rFonts w:eastAsia="Times New Roman" w:cstheme="minorHAnsi"/>
          <w:sz w:val="24"/>
        </w:rPr>
        <w:t>, the System had t</w:t>
      </w:r>
      <w:r w:rsidRPr="004E6649">
        <w:rPr>
          <w:rFonts w:eastAsia="Times New Roman" w:cstheme="minorHAnsi"/>
          <w:bCs/>
          <w:sz w:val="24"/>
          <w:szCs w:val="20"/>
        </w:rPr>
        <w:t>otal noncurrent liabilities of $</w:t>
      </w:r>
      <w:r w:rsidR="00C372E0">
        <w:rPr>
          <w:rFonts w:eastAsia="Times New Roman" w:cstheme="minorHAnsi"/>
          <w:bCs/>
          <w:sz w:val="24"/>
          <w:szCs w:val="20"/>
        </w:rPr>
        <w:t>33</w:t>
      </w:r>
      <w:r w:rsidR="00D36226">
        <w:rPr>
          <w:rFonts w:eastAsia="Times New Roman" w:cstheme="minorHAnsi"/>
          <w:bCs/>
          <w:sz w:val="24"/>
          <w:szCs w:val="20"/>
        </w:rPr>
        <w:t>8</w:t>
      </w:r>
      <w:r w:rsidR="00C372E0" w:rsidRPr="004E6649">
        <w:rPr>
          <w:rFonts w:eastAsia="Times New Roman" w:cstheme="minorHAnsi"/>
          <w:bCs/>
          <w:sz w:val="24"/>
          <w:szCs w:val="20"/>
        </w:rPr>
        <w:t xml:space="preserve"> </w:t>
      </w:r>
      <w:r w:rsidRPr="004E6649">
        <w:rPr>
          <w:rFonts w:eastAsia="Times New Roman" w:cstheme="minorHAnsi"/>
          <w:bCs/>
          <w:sz w:val="24"/>
          <w:szCs w:val="20"/>
        </w:rPr>
        <w:t>million and $</w:t>
      </w:r>
      <w:r w:rsidR="00C372E0">
        <w:rPr>
          <w:rFonts w:eastAsia="Times New Roman" w:cstheme="minorHAnsi"/>
          <w:bCs/>
          <w:sz w:val="24"/>
          <w:szCs w:val="20"/>
        </w:rPr>
        <w:t>349</w:t>
      </w:r>
      <w:r w:rsidR="00C372E0" w:rsidRPr="004E6649">
        <w:rPr>
          <w:rFonts w:eastAsia="Times New Roman" w:cstheme="minorHAnsi"/>
          <w:bCs/>
          <w:sz w:val="24"/>
          <w:szCs w:val="20"/>
        </w:rPr>
        <w:t xml:space="preserve"> </w:t>
      </w:r>
      <w:r w:rsidRPr="004E6649">
        <w:rPr>
          <w:rFonts w:eastAsia="Times New Roman" w:cstheme="minorHAnsi"/>
          <w:bCs/>
          <w:sz w:val="24"/>
          <w:szCs w:val="20"/>
        </w:rPr>
        <w:t xml:space="preserve">million respectively, with the </w:t>
      </w:r>
      <w:r w:rsidR="00403531">
        <w:rPr>
          <w:rFonts w:eastAsia="Times New Roman" w:cstheme="minorHAnsi"/>
          <w:bCs/>
          <w:sz w:val="24"/>
          <w:szCs w:val="20"/>
        </w:rPr>
        <w:t xml:space="preserve">$11 million </w:t>
      </w:r>
      <w:r w:rsidR="00021D0D">
        <w:rPr>
          <w:rFonts w:eastAsia="Times New Roman" w:cstheme="minorHAnsi"/>
          <w:bCs/>
          <w:sz w:val="24"/>
          <w:szCs w:val="20"/>
        </w:rPr>
        <w:t xml:space="preserve">net </w:t>
      </w:r>
      <w:r w:rsidR="000A16A5">
        <w:rPr>
          <w:rFonts w:eastAsia="Times New Roman" w:cstheme="minorHAnsi"/>
          <w:bCs/>
          <w:sz w:val="24"/>
          <w:szCs w:val="20"/>
        </w:rPr>
        <w:t xml:space="preserve">decrease </w:t>
      </w:r>
      <w:r w:rsidR="00403531">
        <w:rPr>
          <w:rFonts w:eastAsia="Times New Roman" w:cstheme="minorHAnsi"/>
          <w:bCs/>
          <w:sz w:val="24"/>
          <w:szCs w:val="20"/>
        </w:rPr>
        <w:t xml:space="preserve">primarily </w:t>
      </w:r>
      <w:r w:rsidR="00021D0D">
        <w:rPr>
          <w:rFonts w:eastAsia="Times New Roman" w:cstheme="minorHAnsi"/>
          <w:bCs/>
          <w:sz w:val="24"/>
          <w:szCs w:val="20"/>
        </w:rPr>
        <w:t>related to the</w:t>
      </w:r>
      <w:r w:rsidR="00D75CAF">
        <w:rPr>
          <w:rFonts w:eastAsia="Times New Roman" w:cstheme="minorHAnsi"/>
          <w:bCs/>
          <w:sz w:val="24"/>
          <w:szCs w:val="20"/>
        </w:rPr>
        <w:t xml:space="preserve"> </w:t>
      </w:r>
      <w:r w:rsidR="00B81858">
        <w:rPr>
          <w:rFonts w:eastAsia="Times New Roman" w:cstheme="minorHAnsi"/>
          <w:bCs/>
          <w:sz w:val="24"/>
          <w:szCs w:val="20"/>
        </w:rPr>
        <w:t>payment of scheduled debt payments</w:t>
      </w:r>
      <w:r w:rsidR="00194537" w:rsidRPr="004E6649">
        <w:rPr>
          <w:rFonts w:eastAsia="Times New Roman" w:cstheme="minorHAnsi"/>
          <w:bCs/>
          <w:sz w:val="24"/>
          <w:szCs w:val="20"/>
        </w:rPr>
        <w:t xml:space="preserve">. </w:t>
      </w:r>
    </w:p>
    <w:p w14:paraId="4F263A16" w14:textId="77777777" w:rsidR="00C77856" w:rsidRDefault="00C77856" w:rsidP="0048617B">
      <w:pPr>
        <w:rPr>
          <w:rFonts w:cstheme="minorHAnsi"/>
          <w:sz w:val="24"/>
        </w:rPr>
      </w:pPr>
    </w:p>
    <w:p w14:paraId="63D5FCF6" w14:textId="081873B6" w:rsidR="0048617B" w:rsidRDefault="00A83362" w:rsidP="0048617B">
      <w:pPr>
        <w:rPr>
          <w:rFonts w:cstheme="minorHAnsi"/>
          <w:color w:val="0D0D0D" w:themeColor="text1" w:themeTint="F2"/>
          <w:sz w:val="24"/>
        </w:rPr>
      </w:pPr>
      <w:r w:rsidRPr="004E6649">
        <w:rPr>
          <w:rFonts w:cstheme="minorHAnsi"/>
          <w:sz w:val="24"/>
        </w:rPr>
        <w:t xml:space="preserve">Total net position at June 30, </w:t>
      </w:r>
      <w:r w:rsidR="00C372E0" w:rsidRPr="004E6649">
        <w:rPr>
          <w:rFonts w:cstheme="minorHAnsi"/>
          <w:sz w:val="24"/>
        </w:rPr>
        <w:t>202</w:t>
      </w:r>
      <w:r w:rsidR="00C372E0">
        <w:rPr>
          <w:rFonts w:cstheme="minorHAnsi"/>
          <w:sz w:val="24"/>
        </w:rPr>
        <w:t>5</w:t>
      </w:r>
      <w:r w:rsidR="00C372E0" w:rsidRPr="004E6649">
        <w:rPr>
          <w:rFonts w:cstheme="minorHAnsi"/>
          <w:sz w:val="24"/>
        </w:rPr>
        <w:t xml:space="preserve"> </w:t>
      </w:r>
      <w:r w:rsidRPr="004E6649">
        <w:rPr>
          <w:rFonts w:cstheme="minorHAnsi"/>
          <w:sz w:val="24"/>
        </w:rPr>
        <w:t>of $</w:t>
      </w:r>
      <w:r w:rsidRPr="00D36226">
        <w:rPr>
          <w:rFonts w:cstheme="minorHAnsi"/>
          <w:sz w:val="24"/>
        </w:rPr>
        <w:t>1</w:t>
      </w:r>
      <w:r w:rsidR="003F7C3E" w:rsidRPr="00D36226">
        <w:rPr>
          <w:rFonts w:cstheme="minorHAnsi"/>
          <w:sz w:val="24"/>
        </w:rPr>
        <w:t>.</w:t>
      </w:r>
      <w:r w:rsidR="00D36226" w:rsidRPr="008B69B9">
        <w:rPr>
          <w:rFonts w:cstheme="minorHAnsi"/>
          <w:sz w:val="24"/>
        </w:rPr>
        <w:t>2</w:t>
      </w:r>
      <w:r w:rsidR="00D36226" w:rsidRPr="00D36226">
        <w:rPr>
          <w:rFonts w:cstheme="minorHAnsi"/>
          <w:sz w:val="24"/>
        </w:rPr>
        <w:t xml:space="preserve"> </w:t>
      </w:r>
      <w:r w:rsidRPr="00D36226">
        <w:rPr>
          <w:rFonts w:cstheme="minorHAnsi"/>
          <w:sz w:val="24"/>
        </w:rPr>
        <w:t>billion increased $</w:t>
      </w:r>
      <w:r w:rsidR="00D36226" w:rsidRPr="008B69B9">
        <w:rPr>
          <w:rFonts w:cstheme="minorHAnsi"/>
          <w:sz w:val="24"/>
        </w:rPr>
        <w:t>1</w:t>
      </w:r>
      <w:r w:rsidR="00B81858">
        <w:rPr>
          <w:rFonts w:cstheme="minorHAnsi"/>
          <w:sz w:val="24"/>
        </w:rPr>
        <w:t>13</w:t>
      </w:r>
      <w:r w:rsidR="00D36226" w:rsidRPr="00D36226">
        <w:rPr>
          <w:rFonts w:cstheme="minorHAnsi"/>
          <w:sz w:val="24"/>
        </w:rPr>
        <w:t xml:space="preserve"> </w:t>
      </w:r>
      <w:r w:rsidRPr="00D36226">
        <w:rPr>
          <w:rFonts w:cstheme="minorHAnsi"/>
          <w:sz w:val="24"/>
        </w:rPr>
        <w:t xml:space="preserve">million, or </w:t>
      </w:r>
      <w:r w:rsidR="00B81858" w:rsidRPr="008B69B9">
        <w:rPr>
          <w:rFonts w:cstheme="minorHAnsi"/>
          <w:sz w:val="24"/>
        </w:rPr>
        <w:t>1</w:t>
      </w:r>
      <w:r w:rsidR="00B81858">
        <w:rPr>
          <w:rFonts w:cstheme="minorHAnsi"/>
          <w:sz w:val="24"/>
        </w:rPr>
        <w:t>0</w:t>
      </w:r>
      <w:r w:rsidRPr="00D36226">
        <w:rPr>
          <w:rFonts w:cstheme="minorHAnsi"/>
          <w:sz w:val="24"/>
        </w:rPr>
        <w:t>%,</w:t>
      </w:r>
      <w:r w:rsidRPr="004E6649">
        <w:rPr>
          <w:rFonts w:cstheme="minorHAnsi"/>
          <w:sz w:val="24"/>
        </w:rPr>
        <w:t xml:space="preserve"> from the June 30, </w:t>
      </w:r>
      <w:r w:rsidR="00C372E0" w:rsidRPr="004E6649">
        <w:rPr>
          <w:rFonts w:cstheme="minorHAnsi"/>
          <w:sz w:val="24"/>
        </w:rPr>
        <w:t>202</w:t>
      </w:r>
      <w:r w:rsidR="00C372E0">
        <w:rPr>
          <w:rFonts w:cstheme="minorHAnsi"/>
          <w:sz w:val="24"/>
        </w:rPr>
        <w:t>4</w:t>
      </w:r>
      <w:r w:rsidR="00C372E0" w:rsidRPr="004E6649">
        <w:rPr>
          <w:rFonts w:cstheme="minorHAnsi"/>
          <w:sz w:val="24"/>
        </w:rPr>
        <w:t xml:space="preserve"> </w:t>
      </w:r>
      <w:r w:rsidRPr="004E6649">
        <w:rPr>
          <w:rFonts w:cstheme="minorHAnsi"/>
          <w:sz w:val="24"/>
        </w:rPr>
        <w:t>balance, which increased $</w:t>
      </w:r>
      <w:r w:rsidR="00B81858">
        <w:rPr>
          <w:rFonts w:cstheme="minorHAnsi"/>
          <w:sz w:val="24"/>
        </w:rPr>
        <w:t>78</w:t>
      </w:r>
      <w:r w:rsidR="00B81858" w:rsidRPr="004E6649">
        <w:rPr>
          <w:rFonts w:cstheme="minorHAnsi"/>
          <w:sz w:val="24"/>
        </w:rPr>
        <w:t xml:space="preserve"> </w:t>
      </w:r>
      <w:r w:rsidRPr="004E6649">
        <w:rPr>
          <w:rFonts w:cstheme="minorHAnsi"/>
          <w:sz w:val="24"/>
        </w:rPr>
        <w:t xml:space="preserve">million, or </w:t>
      </w:r>
      <w:r w:rsidR="00C372E0">
        <w:rPr>
          <w:rFonts w:cstheme="minorHAnsi"/>
          <w:sz w:val="24"/>
        </w:rPr>
        <w:t>8</w:t>
      </w:r>
      <w:r w:rsidRPr="004E6649">
        <w:rPr>
          <w:rFonts w:cstheme="minorHAnsi"/>
          <w:sz w:val="24"/>
        </w:rPr>
        <w:t xml:space="preserve">%, from the June 30, </w:t>
      </w:r>
      <w:r w:rsidR="00C372E0" w:rsidRPr="004E6649">
        <w:rPr>
          <w:rFonts w:cstheme="minorHAnsi"/>
          <w:sz w:val="24"/>
        </w:rPr>
        <w:t>202</w:t>
      </w:r>
      <w:r w:rsidR="00C372E0">
        <w:rPr>
          <w:rFonts w:cstheme="minorHAnsi"/>
          <w:sz w:val="24"/>
        </w:rPr>
        <w:t>3</w:t>
      </w:r>
      <w:r w:rsidR="00C372E0" w:rsidRPr="004E6649">
        <w:rPr>
          <w:rFonts w:cstheme="minorHAnsi"/>
          <w:sz w:val="24"/>
        </w:rPr>
        <w:t xml:space="preserve"> </w:t>
      </w:r>
      <w:r w:rsidRPr="004E6649">
        <w:rPr>
          <w:rFonts w:cstheme="minorHAnsi"/>
          <w:sz w:val="24"/>
        </w:rPr>
        <w:t>balance.  Additional information about net position is presented on page</w:t>
      </w:r>
      <w:r w:rsidR="003B7F6C">
        <w:rPr>
          <w:rFonts w:cstheme="minorHAnsi"/>
          <w:sz w:val="24"/>
        </w:rPr>
        <w:t xml:space="preserve">s </w:t>
      </w:r>
      <w:r w:rsidR="005A529E" w:rsidRPr="005A529E">
        <w:rPr>
          <w:rFonts w:cstheme="minorHAnsi"/>
          <w:sz w:val="24"/>
        </w:rPr>
        <w:t>2</w:t>
      </w:r>
      <w:r w:rsidR="005A529E" w:rsidRPr="008B69B9">
        <w:rPr>
          <w:rFonts w:cstheme="minorHAnsi"/>
          <w:sz w:val="24"/>
        </w:rPr>
        <w:t>6</w:t>
      </w:r>
      <w:r w:rsidR="005A529E" w:rsidRPr="005A529E">
        <w:rPr>
          <w:rFonts w:cstheme="minorHAnsi"/>
          <w:sz w:val="24"/>
        </w:rPr>
        <w:t xml:space="preserve"> </w:t>
      </w:r>
      <w:r w:rsidR="003B7F6C" w:rsidRPr="005A529E">
        <w:rPr>
          <w:rFonts w:cstheme="minorHAnsi"/>
          <w:sz w:val="24"/>
        </w:rPr>
        <w:t>and</w:t>
      </w:r>
      <w:r w:rsidRPr="005A529E">
        <w:rPr>
          <w:rFonts w:cstheme="minorHAnsi"/>
          <w:sz w:val="24"/>
        </w:rPr>
        <w:t xml:space="preserve"> </w:t>
      </w:r>
      <w:r w:rsidR="005A529E" w:rsidRPr="005A529E">
        <w:rPr>
          <w:rFonts w:cstheme="minorHAnsi"/>
          <w:color w:val="0D0D0D" w:themeColor="text1" w:themeTint="F2"/>
          <w:sz w:val="24"/>
        </w:rPr>
        <w:t>27</w:t>
      </w:r>
      <w:r w:rsidRPr="005A529E">
        <w:rPr>
          <w:rFonts w:cstheme="minorHAnsi"/>
          <w:color w:val="0D0D0D" w:themeColor="text1" w:themeTint="F2"/>
          <w:sz w:val="24"/>
        </w:rPr>
        <w:t>.</w:t>
      </w:r>
    </w:p>
    <w:p w14:paraId="41F51C0D" w14:textId="77777777" w:rsidR="0048617B" w:rsidRPr="0048617B" w:rsidRDefault="0048617B" w:rsidP="0048617B">
      <w:pPr>
        <w:jc w:val="center"/>
        <w:rPr>
          <w:rFonts w:cstheme="minorHAnsi"/>
          <w:color w:val="0D0D0D" w:themeColor="text1" w:themeTint="F2"/>
          <w:sz w:val="20"/>
          <w:szCs w:val="18"/>
        </w:rPr>
      </w:pPr>
    </w:p>
    <w:p w14:paraId="3C5F4C08" w14:textId="23565484" w:rsidR="00A83362" w:rsidRPr="004E6649" w:rsidRDefault="00A83362" w:rsidP="0048617B">
      <w:pPr>
        <w:jc w:val="center"/>
        <w:rPr>
          <w:rFonts w:cstheme="minorHAnsi"/>
          <w:b/>
          <w:bCs/>
          <w:color w:val="0D0D0D" w:themeColor="text1" w:themeTint="F2"/>
          <w:sz w:val="20"/>
          <w:szCs w:val="20"/>
        </w:rPr>
      </w:pPr>
      <w:r w:rsidRPr="0057238F">
        <w:rPr>
          <w:rFonts w:cstheme="minorHAnsi"/>
          <w:b/>
          <w:bCs/>
          <w:color w:val="0D0D0D" w:themeColor="text1" w:themeTint="F2"/>
          <w:sz w:val="24"/>
          <w:szCs w:val="24"/>
        </w:rPr>
        <w:t>Table 3:</w:t>
      </w:r>
      <w:r w:rsidRPr="004E6649">
        <w:rPr>
          <w:rFonts w:cstheme="minorHAnsi"/>
          <w:b/>
          <w:bCs/>
          <w:color w:val="0D0D0D" w:themeColor="text1" w:themeTint="F2"/>
          <w:sz w:val="24"/>
          <w:szCs w:val="24"/>
        </w:rPr>
        <w:t xml:space="preserve"> Condensed Statements of Net Position as of June 30</w:t>
      </w:r>
    </w:p>
    <w:p w14:paraId="2EF49D48" w14:textId="77777777" w:rsidR="00A83362" w:rsidRPr="004E6649" w:rsidRDefault="00A83362" w:rsidP="00F22FED">
      <w:pPr>
        <w:spacing w:after="120"/>
        <w:jc w:val="center"/>
        <w:rPr>
          <w:rFonts w:cstheme="minorHAnsi"/>
        </w:rPr>
      </w:pPr>
      <w:r w:rsidRPr="004E6649">
        <w:rPr>
          <w:rFonts w:cstheme="minorHAnsi"/>
          <w:b/>
          <w:bCs/>
          <w:color w:val="0D0D0D" w:themeColor="text1" w:themeTint="F2"/>
        </w:rPr>
        <w:t>(In millions)</w:t>
      </w:r>
    </w:p>
    <w:tbl>
      <w:tblPr>
        <w:tblW w:w="10572" w:type="dxa"/>
        <w:jc w:val="center"/>
        <w:tblLook w:val="04A0" w:firstRow="1" w:lastRow="0" w:firstColumn="1" w:lastColumn="0" w:noHBand="0" w:noVBand="1"/>
      </w:tblPr>
      <w:tblGrid>
        <w:gridCol w:w="4590"/>
        <w:gridCol w:w="775"/>
        <w:gridCol w:w="831"/>
        <w:gridCol w:w="955"/>
        <w:gridCol w:w="959"/>
        <w:gridCol w:w="775"/>
        <w:gridCol w:w="914"/>
        <w:gridCol w:w="773"/>
      </w:tblGrid>
      <w:tr w:rsidR="00B05CD2" w:rsidRPr="004E6649" w14:paraId="520F79A9" w14:textId="77777777" w:rsidTr="008B69B9">
        <w:trPr>
          <w:trHeight w:val="360"/>
          <w:jc w:val="center"/>
        </w:trPr>
        <w:tc>
          <w:tcPr>
            <w:tcW w:w="4590" w:type="dxa"/>
            <w:tcBorders>
              <w:top w:val="nil"/>
              <w:left w:val="nil"/>
              <w:bottom w:val="single" w:sz="4" w:space="0" w:color="000000"/>
              <w:right w:val="nil"/>
            </w:tcBorders>
            <w:shd w:val="clear" w:color="000000" w:fill="FFFFFF"/>
            <w:noWrap/>
            <w:vAlign w:val="bottom"/>
            <w:hideMark/>
          </w:tcPr>
          <w:p w14:paraId="06084684" w14:textId="77777777" w:rsidR="00234D14" w:rsidRPr="004E6649" w:rsidRDefault="00234D14" w:rsidP="004546E5">
            <w:pPr>
              <w:rPr>
                <w:rFonts w:eastAsia="Times New Roman" w:cstheme="minorHAnsi"/>
                <w:b/>
                <w:bCs/>
                <w:color w:val="000000"/>
                <w:sz w:val="20"/>
                <w:szCs w:val="20"/>
              </w:rPr>
            </w:pPr>
            <w:r w:rsidRPr="004E6649">
              <w:rPr>
                <w:rFonts w:eastAsia="Times New Roman" w:cstheme="minorHAnsi"/>
                <w:b/>
                <w:bCs/>
                <w:color w:val="000000"/>
                <w:sz w:val="20"/>
                <w:szCs w:val="20"/>
              </w:rPr>
              <w:t> </w:t>
            </w:r>
          </w:p>
        </w:tc>
        <w:tc>
          <w:tcPr>
            <w:tcW w:w="775" w:type="dxa"/>
            <w:tcBorders>
              <w:top w:val="nil"/>
              <w:left w:val="nil"/>
              <w:bottom w:val="single" w:sz="4" w:space="0" w:color="000000"/>
              <w:right w:val="nil"/>
            </w:tcBorders>
            <w:shd w:val="clear" w:color="000000" w:fill="FFFFFF"/>
            <w:vAlign w:val="bottom"/>
          </w:tcPr>
          <w:p w14:paraId="46B87619" w14:textId="0AA5766F" w:rsidR="00234D14" w:rsidRPr="00234D14" w:rsidRDefault="00234D14" w:rsidP="008B69B9">
            <w:pPr>
              <w:jc w:val="center"/>
              <w:rPr>
                <w:rFonts w:eastAsia="Times New Roman" w:cstheme="minorHAnsi"/>
                <w:b/>
                <w:bCs/>
                <w:color w:val="000000"/>
                <w:sz w:val="20"/>
                <w:szCs w:val="20"/>
              </w:rPr>
            </w:pPr>
            <w:r w:rsidRPr="00234D14">
              <w:rPr>
                <w:rFonts w:eastAsia="Times New Roman" w:cstheme="minorHAnsi"/>
                <w:b/>
                <w:bCs/>
                <w:color w:val="000000"/>
                <w:sz w:val="20"/>
                <w:szCs w:val="20"/>
              </w:rPr>
              <w:t>2025</w:t>
            </w:r>
          </w:p>
        </w:tc>
        <w:tc>
          <w:tcPr>
            <w:tcW w:w="831" w:type="dxa"/>
            <w:tcBorders>
              <w:top w:val="nil"/>
              <w:left w:val="nil"/>
              <w:right w:val="nil"/>
            </w:tcBorders>
            <w:shd w:val="clear" w:color="000000" w:fill="FFFFFF"/>
            <w:vAlign w:val="bottom"/>
          </w:tcPr>
          <w:p w14:paraId="4A31021E" w14:textId="761B52B4" w:rsidR="00234D14" w:rsidRPr="00234D14" w:rsidRDefault="00234D14" w:rsidP="00B05CD2">
            <w:pPr>
              <w:jc w:val="center"/>
              <w:rPr>
                <w:rFonts w:eastAsia="Times New Roman" w:cstheme="minorHAnsi"/>
                <w:b/>
                <w:bCs/>
                <w:color w:val="000000"/>
                <w:sz w:val="20"/>
                <w:szCs w:val="20"/>
              </w:rPr>
            </w:pPr>
            <w:r w:rsidRPr="00234D14">
              <w:rPr>
                <w:rFonts w:eastAsia="Times New Roman" w:cstheme="minorHAnsi"/>
                <w:b/>
                <w:bCs/>
                <w:color w:val="000000"/>
                <w:sz w:val="20"/>
                <w:szCs w:val="20"/>
              </w:rPr>
              <w:t>% Change</w:t>
            </w:r>
          </w:p>
        </w:tc>
        <w:tc>
          <w:tcPr>
            <w:tcW w:w="914" w:type="dxa"/>
            <w:tcBorders>
              <w:top w:val="nil"/>
              <w:left w:val="nil"/>
              <w:bottom w:val="single" w:sz="4" w:space="0" w:color="000000"/>
              <w:right w:val="nil"/>
            </w:tcBorders>
            <w:shd w:val="clear" w:color="000000" w:fill="FFFFFF"/>
            <w:noWrap/>
            <w:vAlign w:val="bottom"/>
            <w:hideMark/>
          </w:tcPr>
          <w:p w14:paraId="0685EAC8" w14:textId="0D8B1AE3" w:rsidR="00234D14" w:rsidRPr="00234D14" w:rsidRDefault="00234D14" w:rsidP="008B69B9">
            <w:pPr>
              <w:jc w:val="center"/>
              <w:rPr>
                <w:rFonts w:eastAsia="Times New Roman" w:cstheme="minorHAnsi"/>
                <w:b/>
                <w:bCs/>
                <w:color w:val="000000"/>
                <w:sz w:val="20"/>
                <w:szCs w:val="20"/>
              </w:rPr>
            </w:pPr>
            <w:r w:rsidRPr="00234D14">
              <w:rPr>
                <w:rFonts w:eastAsia="Times New Roman" w:cstheme="minorHAnsi"/>
                <w:b/>
                <w:bCs/>
                <w:color w:val="000000"/>
                <w:sz w:val="20"/>
                <w:szCs w:val="20"/>
              </w:rPr>
              <w:t>Restated 2024</w:t>
            </w:r>
          </w:p>
        </w:tc>
        <w:tc>
          <w:tcPr>
            <w:tcW w:w="959" w:type="dxa"/>
            <w:tcBorders>
              <w:top w:val="nil"/>
              <w:left w:val="nil"/>
              <w:right w:val="nil"/>
            </w:tcBorders>
            <w:shd w:val="clear" w:color="000000" w:fill="FFFFFF"/>
            <w:vAlign w:val="bottom"/>
            <w:hideMark/>
          </w:tcPr>
          <w:p w14:paraId="5A8CB04E" w14:textId="77777777" w:rsidR="00234D14" w:rsidRPr="00234D14" w:rsidRDefault="00234D14" w:rsidP="00B05CD2">
            <w:pPr>
              <w:jc w:val="center"/>
              <w:rPr>
                <w:rFonts w:eastAsia="Times New Roman" w:cstheme="minorHAnsi"/>
                <w:b/>
                <w:bCs/>
                <w:color w:val="000000"/>
                <w:sz w:val="20"/>
                <w:szCs w:val="20"/>
              </w:rPr>
            </w:pPr>
            <w:r w:rsidRPr="00234D14">
              <w:rPr>
                <w:rFonts w:eastAsia="Times New Roman" w:cstheme="minorHAnsi"/>
                <w:b/>
                <w:bCs/>
                <w:color w:val="000000"/>
                <w:sz w:val="20"/>
                <w:szCs w:val="20"/>
              </w:rPr>
              <w:t>% Change</w:t>
            </w:r>
          </w:p>
        </w:tc>
        <w:tc>
          <w:tcPr>
            <w:tcW w:w="775" w:type="dxa"/>
            <w:tcBorders>
              <w:top w:val="nil"/>
              <w:left w:val="nil"/>
              <w:bottom w:val="single" w:sz="4" w:space="0" w:color="000000"/>
              <w:right w:val="nil"/>
            </w:tcBorders>
            <w:shd w:val="clear" w:color="000000" w:fill="FFFFFF"/>
            <w:vAlign w:val="bottom"/>
            <w:hideMark/>
          </w:tcPr>
          <w:p w14:paraId="62547C45" w14:textId="40B32381" w:rsidR="00234D14" w:rsidRPr="004E6649" w:rsidRDefault="00234D14" w:rsidP="00B05CD2">
            <w:pPr>
              <w:jc w:val="center"/>
              <w:rPr>
                <w:rFonts w:eastAsia="Times New Roman" w:cstheme="minorHAnsi"/>
                <w:b/>
                <w:bCs/>
                <w:color w:val="000000"/>
                <w:sz w:val="20"/>
                <w:szCs w:val="20"/>
              </w:rPr>
            </w:pPr>
            <w:r w:rsidRPr="004E6649">
              <w:rPr>
                <w:rFonts w:eastAsia="Times New Roman" w:cstheme="minorHAnsi"/>
                <w:b/>
                <w:bCs/>
                <w:color w:val="000000"/>
                <w:sz w:val="20"/>
                <w:szCs w:val="20"/>
              </w:rPr>
              <w:br/>
              <w:t>202</w:t>
            </w:r>
            <w:r>
              <w:rPr>
                <w:rFonts w:eastAsia="Times New Roman" w:cstheme="minorHAnsi"/>
                <w:b/>
                <w:bCs/>
                <w:color w:val="000000"/>
                <w:sz w:val="20"/>
                <w:szCs w:val="20"/>
              </w:rPr>
              <w:t>3</w:t>
            </w:r>
          </w:p>
        </w:tc>
        <w:tc>
          <w:tcPr>
            <w:tcW w:w="955" w:type="dxa"/>
            <w:tcBorders>
              <w:top w:val="nil"/>
              <w:left w:val="nil"/>
              <w:bottom w:val="single" w:sz="4" w:space="0" w:color="000000"/>
              <w:right w:val="nil"/>
            </w:tcBorders>
            <w:shd w:val="clear" w:color="000000" w:fill="FFFFFF"/>
            <w:vAlign w:val="bottom"/>
          </w:tcPr>
          <w:p w14:paraId="488135E7" w14:textId="130AAFFC" w:rsidR="00234D14" w:rsidRPr="00F24C11" w:rsidRDefault="00234D14" w:rsidP="00B05CD2">
            <w:pPr>
              <w:jc w:val="center"/>
              <w:rPr>
                <w:rFonts w:eastAsia="Times New Roman" w:cstheme="minorHAnsi"/>
                <w:b/>
                <w:bCs/>
                <w:color w:val="000000"/>
                <w:sz w:val="20"/>
                <w:szCs w:val="20"/>
              </w:rPr>
            </w:pPr>
            <w:r w:rsidRPr="00F24C11">
              <w:rPr>
                <w:rFonts w:eastAsia="Times New Roman" w:cstheme="minorHAnsi"/>
                <w:b/>
                <w:bCs/>
                <w:color w:val="000000"/>
                <w:sz w:val="20"/>
                <w:szCs w:val="20"/>
              </w:rPr>
              <w:br/>
              <w:t>2022</w:t>
            </w:r>
          </w:p>
        </w:tc>
        <w:tc>
          <w:tcPr>
            <w:tcW w:w="773" w:type="dxa"/>
            <w:tcBorders>
              <w:top w:val="nil"/>
              <w:left w:val="nil"/>
              <w:bottom w:val="single" w:sz="4" w:space="0" w:color="000000"/>
              <w:right w:val="nil"/>
            </w:tcBorders>
            <w:shd w:val="clear" w:color="000000" w:fill="FFFFFF"/>
            <w:vAlign w:val="bottom"/>
            <w:hideMark/>
          </w:tcPr>
          <w:p w14:paraId="00A24826" w14:textId="14F2FA83" w:rsidR="00234D14" w:rsidRPr="004E6649" w:rsidRDefault="00234D14" w:rsidP="00B05CD2">
            <w:pPr>
              <w:jc w:val="center"/>
              <w:rPr>
                <w:rFonts w:eastAsia="Times New Roman" w:cstheme="minorHAnsi"/>
                <w:b/>
                <w:bCs/>
                <w:color w:val="000000"/>
                <w:sz w:val="20"/>
                <w:szCs w:val="20"/>
              </w:rPr>
            </w:pPr>
            <w:r w:rsidRPr="004E6649">
              <w:rPr>
                <w:rFonts w:eastAsia="Times New Roman" w:cstheme="minorHAnsi"/>
                <w:b/>
                <w:bCs/>
                <w:color w:val="000000"/>
                <w:sz w:val="20"/>
                <w:szCs w:val="20"/>
              </w:rPr>
              <w:t>2021</w:t>
            </w:r>
          </w:p>
        </w:tc>
      </w:tr>
      <w:tr w:rsidR="00B05CD2" w:rsidRPr="004E6649" w14:paraId="0AAE60B1" w14:textId="77777777" w:rsidTr="008B69B9">
        <w:trPr>
          <w:trHeight w:val="125"/>
          <w:jc w:val="center"/>
        </w:trPr>
        <w:tc>
          <w:tcPr>
            <w:tcW w:w="4590" w:type="dxa"/>
            <w:tcBorders>
              <w:top w:val="nil"/>
              <w:left w:val="nil"/>
              <w:bottom w:val="nil"/>
              <w:right w:val="nil"/>
            </w:tcBorders>
            <w:shd w:val="clear" w:color="000000" w:fill="FFFFFF"/>
            <w:noWrap/>
            <w:vAlign w:val="bottom"/>
            <w:hideMark/>
          </w:tcPr>
          <w:p w14:paraId="36BB16EC" w14:textId="77777777" w:rsidR="00234D14" w:rsidRPr="004E6649" w:rsidRDefault="00234D14" w:rsidP="00234D14">
            <w:pPr>
              <w:rPr>
                <w:rFonts w:eastAsia="Times New Roman" w:cstheme="minorHAnsi"/>
                <w:sz w:val="20"/>
                <w:szCs w:val="20"/>
              </w:rPr>
            </w:pPr>
            <w:r w:rsidRPr="004E6649">
              <w:rPr>
                <w:rFonts w:eastAsia="Times New Roman" w:cstheme="minorHAnsi"/>
                <w:sz w:val="20"/>
                <w:szCs w:val="20"/>
              </w:rPr>
              <w:t>Current Assets</w:t>
            </w:r>
          </w:p>
        </w:tc>
        <w:tc>
          <w:tcPr>
            <w:tcW w:w="775" w:type="dxa"/>
            <w:tcBorders>
              <w:top w:val="nil"/>
              <w:left w:val="nil"/>
              <w:bottom w:val="nil"/>
              <w:right w:val="nil"/>
            </w:tcBorders>
            <w:shd w:val="clear" w:color="000000" w:fill="FFFFFF"/>
            <w:vAlign w:val="bottom"/>
          </w:tcPr>
          <w:p w14:paraId="26E24B99" w14:textId="7B3DAA17" w:rsidR="00234D14" w:rsidRPr="00234D14" w:rsidRDefault="00234D14" w:rsidP="00234D14">
            <w:pPr>
              <w:jc w:val="right"/>
              <w:rPr>
                <w:rFonts w:eastAsia="Times New Roman" w:cstheme="minorHAnsi"/>
                <w:b/>
                <w:bCs/>
                <w:sz w:val="20"/>
                <w:szCs w:val="20"/>
              </w:rPr>
            </w:pPr>
            <w:r w:rsidRPr="00234D14">
              <w:rPr>
                <w:rFonts w:eastAsia="Times New Roman" w:cstheme="minorHAnsi"/>
                <w:b/>
                <w:bCs/>
                <w:sz w:val="20"/>
                <w:szCs w:val="20"/>
              </w:rPr>
              <w:t> </w:t>
            </w:r>
          </w:p>
        </w:tc>
        <w:tc>
          <w:tcPr>
            <w:tcW w:w="831" w:type="dxa"/>
            <w:tcBorders>
              <w:top w:val="nil"/>
              <w:left w:val="nil"/>
              <w:bottom w:val="nil"/>
              <w:right w:val="nil"/>
            </w:tcBorders>
            <w:shd w:val="clear" w:color="auto" w:fill="D9D9D9" w:themeFill="background1" w:themeFillShade="D9"/>
            <w:vAlign w:val="bottom"/>
          </w:tcPr>
          <w:p w14:paraId="707D8E33" w14:textId="09C2D0EE" w:rsidR="00234D14" w:rsidRPr="00234D14" w:rsidRDefault="00234D14" w:rsidP="00234D14">
            <w:pPr>
              <w:jc w:val="right"/>
              <w:rPr>
                <w:rFonts w:eastAsia="Times New Roman" w:cstheme="minorHAnsi"/>
                <w:b/>
                <w:bCs/>
                <w:sz w:val="20"/>
                <w:szCs w:val="20"/>
              </w:rPr>
            </w:pPr>
            <w:r w:rsidRPr="00234D14">
              <w:rPr>
                <w:rFonts w:eastAsia="Times New Roman" w:cstheme="minorHAnsi"/>
                <w:b/>
                <w:bCs/>
                <w:sz w:val="20"/>
                <w:szCs w:val="20"/>
              </w:rPr>
              <w:t> </w:t>
            </w:r>
          </w:p>
        </w:tc>
        <w:tc>
          <w:tcPr>
            <w:tcW w:w="914" w:type="dxa"/>
            <w:tcBorders>
              <w:top w:val="nil"/>
              <w:left w:val="nil"/>
              <w:bottom w:val="nil"/>
              <w:right w:val="nil"/>
            </w:tcBorders>
            <w:shd w:val="clear" w:color="000000" w:fill="FFFFFF"/>
            <w:noWrap/>
            <w:vAlign w:val="bottom"/>
            <w:hideMark/>
          </w:tcPr>
          <w:p w14:paraId="426B1CFF" w14:textId="552B12D0" w:rsidR="00234D14" w:rsidRPr="00234D14" w:rsidRDefault="00234D14" w:rsidP="00B05CD2">
            <w:pPr>
              <w:jc w:val="right"/>
              <w:rPr>
                <w:rFonts w:eastAsia="Times New Roman" w:cstheme="minorHAnsi"/>
                <w:b/>
                <w:bCs/>
                <w:sz w:val="20"/>
                <w:szCs w:val="20"/>
              </w:rPr>
            </w:pPr>
            <w:r w:rsidRPr="00234D14">
              <w:rPr>
                <w:rFonts w:eastAsia="Times New Roman" w:cstheme="minorHAnsi"/>
                <w:b/>
                <w:bCs/>
                <w:sz w:val="20"/>
                <w:szCs w:val="20"/>
              </w:rPr>
              <w:t> </w:t>
            </w:r>
          </w:p>
        </w:tc>
        <w:tc>
          <w:tcPr>
            <w:tcW w:w="959" w:type="dxa"/>
            <w:tcBorders>
              <w:top w:val="nil"/>
              <w:left w:val="nil"/>
              <w:bottom w:val="nil"/>
              <w:right w:val="nil"/>
            </w:tcBorders>
            <w:shd w:val="clear" w:color="auto" w:fill="D9D9D9" w:themeFill="background1" w:themeFillShade="D9"/>
            <w:noWrap/>
            <w:vAlign w:val="bottom"/>
            <w:hideMark/>
          </w:tcPr>
          <w:p w14:paraId="2244447F" w14:textId="77777777" w:rsidR="00234D14" w:rsidRPr="00234D14" w:rsidRDefault="00234D14" w:rsidP="00234D14">
            <w:pPr>
              <w:jc w:val="right"/>
              <w:rPr>
                <w:rFonts w:eastAsia="Times New Roman" w:cstheme="minorHAnsi"/>
                <w:b/>
                <w:bCs/>
                <w:sz w:val="20"/>
                <w:szCs w:val="20"/>
              </w:rPr>
            </w:pPr>
            <w:r w:rsidRPr="00234D14">
              <w:rPr>
                <w:rFonts w:eastAsia="Times New Roman" w:cstheme="minorHAnsi"/>
                <w:b/>
                <w:bCs/>
                <w:sz w:val="20"/>
                <w:szCs w:val="20"/>
              </w:rPr>
              <w:t> </w:t>
            </w:r>
          </w:p>
        </w:tc>
        <w:tc>
          <w:tcPr>
            <w:tcW w:w="775" w:type="dxa"/>
            <w:tcBorders>
              <w:top w:val="nil"/>
              <w:left w:val="nil"/>
              <w:bottom w:val="nil"/>
              <w:right w:val="nil"/>
            </w:tcBorders>
            <w:shd w:val="clear" w:color="000000" w:fill="FFFFFF"/>
            <w:noWrap/>
            <w:vAlign w:val="bottom"/>
            <w:hideMark/>
          </w:tcPr>
          <w:p w14:paraId="30047828" w14:textId="77777777" w:rsidR="00234D14" w:rsidRPr="004E6649" w:rsidRDefault="00234D14" w:rsidP="00234D14">
            <w:pPr>
              <w:jc w:val="right"/>
              <w:rPr>
                <w:rFonts w:eastAsia="Times New Roman" w:cstheme="minorHAnsi"/>
                <w:b/>
                <w:bCs/>
                <w:sz w:val="20"/>
                <w:szCs w:val="20"/>
              </w:rPr>
            </w:pPr>
            <w:r w:rsidRPr="004E6649">
              <w:rPr>
                <w:rFonts w:eastAsia="Times New Roman" w:cstheme="minorHAnsi"/>
                <w:b/>
                <w:bCs/>
                <w:sz w:val="20"/>
                <w:szCs w:val="20"/>
              </w:rPr>
              <w:t> </w:t>
            </w:r>
          </w:p>
        </w:tc>
        <w:tc>
          <w:tcPr>
            <w:tcW w:w="955" w:type="dxa"/>
            <w:tcBorders>
              <w:top w:val="nil"/>
              <w:left w:val="nil"/>
              <w:bottom w:val="nil"/>
              <w:right w:val="nil"/>
            </w:tcBorders>
            <w:shd w:val="clear" w:color="000000" w:fill="FFFFFF"/>
            <w:vAlign w:val="bottom"/>
          </w:tcPr>
          <w:p w14:paraId="6238AC92" w14:textId="65621BD9" w:rsidR="00234D14" w:rsidRPr="004546E5" w:rsidRDefault="00234D14" w:rsidP="00234D14">
            <w:pPr>
              <w:jc w:val="right"/>
              <w:rPr>
                <w:rFonts w:eastAsia="Times New Roman" w:cstheme="minorHAnsi"/>
                <w:sz w:val="20"/>
                <w:szCs w:val="20"/>
              </w:rPr>
            </w:pPr>
            <w:r w:rsidRPr="004546E5">
              <w:rPr>
                <w:rFonts w:eastAsia="Times New Roman" w:cstheme="minorHAnsi"/>
                <w:sz w:val="20"/>
                <w:szCs w:val="20"/>
              </w:rPr>
              <w:t> </w:t>
            </w:r>
          </w:p>
        </w:tc>
        <w:tc>
          <w:tcPr>
            <w:tcW w:w="773" w:type="dxa"/>
            <w:tcBorders>
              <w:top w:val="nil"/>
              <w:left w:val="nil"/>
              <w:bottom w:val="nil"/>
              <w:right w:val="nil"/>
            </w:tcBorders>
            <w:shd w:val="clear" w:color="000000" w:fill="FFFFFF"/>
            <w:noWrap/>
            <w:vAlign w:val="bottom"/>
            <w:hideMark/>
          </w:tcPr>
          <w:p w14:paraId="42353FAE" w14:textId="1FFDAF3E" w:rsidR="00234D14" w:rsidRPr="004E6649" w:rsidRDefault="00234D14" w:rsidP="00234D14">
            <w:pPr>
              <w:jc w:val="right"/>
              <w:rPr>
                <w:rFonts w:eastAsia="Times New Roman" w:cstheme="minorHAnsi"/>
                <w:sz w:val="20"/>
                <w:szCs w:val="20"/>
              </w:rPr>
            </w:pPr>
            <w:r w:rsidRPr="004E6649">
              <w:rPr>
                <w:rFonts w:eastAsia="Times New Roman" w:cstheme="minorHAnsi"/>
                <w:sz w:val="20"/>
                <w:szCs w:val="20"/>
              </w:rPr>
              <w:t> </w:t>
            </w:r>
          </w:p>
        </w:tc>
      </w:tr>
      <w:tr w:rsidR="00B05CD2" w:rsidRPr="004E6649" w14:paraId="7B5707FD" w14:textId="77777777" w:rsidTr="008B69B9">
        <w:trPr>
          <w:trHeight w:val="162"/>
          <w:jc w:val="center"/>
        </w:trPr>
        <w:tc>
          <w:tcPr>
            <w:tcW w:w="4590" w:type="dxa"/>
            <w:tcBorders>
              <w:top w:val="nil"/>
              <w:left w:val="nil"/>
              <w:bottom w:val="nil"/>
              <w:right w:val="nil"/>
            </w:tcBorders>
            <w:shd w:val="clear" w:color="000000" w:fill="FFFFFF"/>
            <w:noWrap/>
            <w:vAlign w:val="bottom"/>
            <w:hideMark/>
          </w:tcPr>
          <w:p w14:paraId="5EC0102F" w14:textId="77777777" w:rsidR="00234D14" w:rsidRPr="004E6649" w:rsidRDefault="00234D14" w:rsidP="00234D14">
            <w:pPr>
              <w:ind w:firstLineChars="100" w:firstLine="200"/>
              <w:rPr>
                <w:rFonts w:eastAsia="Times New Roman" w:cstheme="minorHAnsi"/>
                <w:sz w:val="20"/>
                <w:szCs w:val="20"/>
              </w:rPr>
            </w:pPr>
            <w:r w:rsidRPr="004E6649">
              <w:rPr>
                <w:rFonts w:eastAsia="Times New Roman" w:cstheme="minorHAnsi"/>
                <w:sz w:val="20"/>
                <w:szCs w:val="20"/>
              </w:rPr>
              <w:t>Operating Investments</w:t>
            </w:r>
          </w:p>
        </w:tc>
        <w:tc>
          <w:tcPr>
            <w:tcW w:w="775" w:type="dxa"/>
            <w:tcBorders>
              <w:top w:val="nil"/>
              <w:left w:val="nil"/>
              <w:bottom w:val="nil"/>
              <w:right w:val="nil"/>
            </w:tcBorders>
            <w:shd w:val="clear" w:color="000000" w:fill="FFFFFF"/>
            <w:vAlign w:val="bottom"/>
          </w:tcPr>
          <w:p w14:paraId="51BB510C" w14:textId="75E9DB14" w:rsidR="00234D14" w:rsidRPr="00234D14" w:rsidRDefault="00234D14" w:rsidP="00234D14">
            <w:pPr>
              <w:jc w:val="right"/>
              <w:rPr>
                <w:rFonts w:eastAsia="Times New Roman" w:cstheme="minorHAnsi"/>
                <w:b/>
                <w:bCs/>
                <w:sz w:val="20"/>
                <w:szCs w:val="20"/>
              </w:rPr>
            </w:pPr>
            <w:r w:rsidRPr="008B69B9">
              <w:rPr>
                <w:rFonts w:cstheme="minorHAnsi"/>
                <w:b/>
                <w:bCs/>
                <w:sz w:val="20"/>
                <w:szCs w:val="20"/>
              </w:rPr>
              <w:t>$251</w:t>
            </w:r>
          </w:p>
        </w:tc>
        <w:tc>
          <w:tcPr>
            <w:tcW w:w="831" w:type="dxa"/>
            <w:tcBorders>
              <w:top w:val="nil"/>
              <w:left w:val="nil"/>
              <w:bottom w:val="nil"/>
              <w:right w:val="nil"/>
            </w:tcBorders>
            <w:shd w:val="clear" w:color="auto" w:fill="D9D9D9" w:themeFill="background1" w:themeFillShade="D9"/>
            <w:vAlign w:val="bottom"/>
          </w:tcPr>
          <w:p w14:paraId="77BB91A4" w14:textId="41A6818E" w:rsidR="00234D14" w:rsidRPr="00234D14" w:rsidRDefault="00234D14" w:rsidP="00234D14">
            <w:pPr>
              <w:jc w:val="right"/>
              <w:rPr>
                <w:rFonts w:eastAsia="Times New Roman" w:cstheme="minorHAnsi"/>
                <w:b/>
                <w:bCs/>
                <w:sz w:val="20"/>
                <w:szCs w:val="20"/>
              </w:rPr>
            </w:pPr>
            <w:r w:rsidRPr="008B69B9">
              <w:rPr>
                <w:rFonts w:cstheme="minorHAnsi"/>
                <w:b/>
                <w:bCs/>
                <w:sz w:val="20"/>
                <w:szCs w:val="20"/>
              </w:rPr>
              <w:t>-3%</w:t>
            </w:r>
          </w:p>
        </w:tc>
        <w:tc>
          <w:tcPr>
            <w:tcW w:w="914" w:type="dxa"/>
            <w:tcBorders>
              <w:top w:val="nil"/>
              <w:left w:val="nil"/>
              <w:bottom w:val="nil"/>
              <w:right w:val="nil"/>
            </w:tcBorders>
            <w:shd w:val="clear" w:color="000000" w:fill="FFFFFF"/>
            <w:noWrap/>
            <w:vAlign w:val="bottom"/>
            <w:hideMark/>
          </w:tcPr>
          <w:p w14:paraId="0939C986" w14:textId="049AC06F" w:rsidR="00234D14" w:rsidRPr="00234D14" w:rsidRDefault="00234D14" w:rsidP="00B05CD2">
            <w:pPr>
              <w:jc w:val="right"/>
              <w:rPr>
                <w:rFonts w:eastAsia="Times New Roman" w:cstheme="minorHAnsi"/>
                <w:b/>
                <w:bCs/>
                <w:sz w:val="20"/>
                <w:szCs w:val="20"/>
              </w:rPr>
            </w:pPr>
            <w:r w:rsidRPr="008B69B9">
              <w:rPr>
                <w:rFonts w:cstheme="minorHAnsi"/>
                <w:b/>
                <w:bCs/>
                <w:sz w:val="20"/>
                <w:szCs w:val="20"/>
              </w:rPr>
              <w:t>$258</w:t>
            </w:r>
          </w:p>
        </w:tc>
        <w:tc>
          <w:tcPr>
            <w:tcW w:w="959" w:type="dxa"/>
            <w:tcBorders>
              <w:top w:val="nil"/>
              <w:left w:val="nil"/>
              <w:bottom w:val="nil"/>
              <w:right w:val="nil"/>
            </w:tcBorders>
            <w:shd w:val="clear" w:color="auto" w:fill="D9D9D9" w:themeFill="background1" w:themeFillShade="D9"/>
            <w:noWrap/>
            <w:vAlign w:val="bottom"/>
            <w:hideMark/>
          </w:tcPr>
          <w:p w14:paraId="08F4C31E" w14:textId="3FD50D2F" w:rsidR="00234D14" w:rsidRPr="00234D14" w:rsidRDefault="00234D14" w:rsidP="00234D14">
            <w:pPr>
              <w:jc w:val="right"/>
              <w:rPr>
                <w:rFonts w:eastAsia="Times New Roman" w:cstheme="minorHAnsi"/>
                <w:b/>
                <w:bCs/>
                <w:sz w:val="20"/>
                <w:szCs w:val="20"/>
              </w:rPr>
            </w:pPr>
            <w:r w:rsidRPr="008B69B9">
              <w:rPr>
                <w:rFonts w:cstheme="minorHAnsi"/>
                <w:b/>
                <w:bCs/>
                <w:sz w:val="20"/>
                <w:szCs w:val="20"/>
              </w:rPr>
              <w:t>0%</w:t>
            </w:r>
          </w:p>
        </w:tc>
        <w:tc>
          <w:tcPr>
            <w:tcW w:w="775" w:type="dxa"/>
            <w:tcBorders>
              <w:top w:val="nil"/>
              <w:left w:val="nil"/>
              <w:bottom w:val="nil"/>
              <w:right w:val="nil"/>
            </w:tcBorders>
            <w:shd w:val="clear" w:color="000000" w:fill="FFFFFF"/>
            <w:noWrap/>
            <w:vAlign w:val="bottom"/>
            <w:hideMark/>
          </w:tcPr>
          <w:p w14:paraId="30EE1A89" w14:textId="4C4D90F0" w:rsidR="00234D14" w:rsidRPr="004E6649" w:rsidRDefault="00234D14" w:rsidP="00234D14">
            <w:pPr>
              <w:jc w:val="right"/>
              <w:rPr>
                <w:rFonts w:eastAsia="Times New Roman" w:cstheme="minorHAnsi"/>
                <w:b/>
                <w:bCs/>
                <w:sz w:val="20"/>
                <w:szCs w:val="20"/>
              </w:rPr>
            </w:pPr>
            <w:r w:rsidRPr="004E6649">
              <w:rPr>
                <w:rFonts w:eastAsia="Times New Roman" w:cstheme="minorHAnsi"/>
                <w:b/>
                <w:bCs/>
                <w:sz w:val="20"/>
                <w:szCs w:val="20"/>
              </w:rPr>
              <w:t>$259</w:t>
            </w:r>
          </w:p>
        </w:tc>
        <w:tc>
          <w:tcPr>
            <w:tcW w:w="955" w:type="dxa"/>
            <w:tcBorders>
              <w:top w:val="nil"/>
              <w:left w:val="nil"/>
              <w:bottom w:val="nil"/>
              <w:right w:val="nil"/>
            </w:tcBorders>
            <w:shd w:val="clear" w:color="000000" w:fill="FFFFFF"/>
            <w:vAlign w:val="bottom"/>
          </w:tcPr>
          <w:p w14:paraId="6B839DA3" w14:textId="7FD34EDC" w:rsidR="00234D14" w:rsidRPr="004546E5" w:rsidRDefault="00234D14" w:rsidP="00234D14">
            <w:pPr>
              <w:jc w:val="right"/>
              <w:rPr>
                <w:rFonts w:eastAsia="Times New Roman" w:cstheme="minorHAnsi"/>
                <w:sz w:val="20"/>
                <w:szCs w:val="20"/>
              </w:rPr>
            </w:pPr>
            <w:r w:rsidRPr="004546E5">
              <w:rPr>
                <w:rFonts w:eastAsia="Times New Roman" w:cstheme="minorHAnsi"/>
                <w:sz w:val="20"/>
                <w:szCs w:val="20"/>
              </w:rPr>
              <w:t xml:space="preserve"> $307</w:t>
            </w:r>
          </w:p>
        </w:tc>
        <w:tc>
          <w:tcPr>
            <w:tcW w:w="773" w:type="dxa"/>
            <w:tcBorders>
              <w:top w:val="nil"/>
              <w:left w:val="nil"/>
              <w:bottom w:val="nil"/>
              <w:right w:val="nil"/>
            </w:tcBorders>
            <w:shd w:val="clear" w:color="000000" w:fill="FFFFFF"/>
            <w:noWrap/>
            <w:vAlign w:val="bottom"/>
            <w:hideMark/>
          </w:tcPr>
          <w:p w14:paraId="01428237" w14:textId="33414F15" w:rsidR="00234D14" w:rsidRPr="004E6649" w:rsidRDefault="00234D14" w:rsidP="00234D14">
            <w:pPr>
              <w:jc w:val="right"/>
              <w:rPr>
                <w:rFonts w:eastAsia="Times New Roman" w:cstheme="minorHAnsi"/>
                <w:sz w:val="20"/>
                <w:szCs w:val="20"/>
              </w:rPr>
            </w:pPr>
            <w:r w:rsidRPr="004E6649">
              <w:rPr>
                <w:rFonts w:eastAsia="Times New Roman" w:cstheme="minorHAnsi"/>
                <w:sz w:val="20"/>
                <w:szCs w:val="20"/>
              </w:rPr>
              <w:t>$286</w:t>
            </w:r>
          </w:p>
        </w:tc>
      </w:tr>
      <w:tr w:rsidR="00B05CD2" w:rsidRPr="004E6649" w14:paraId="4F1B2EB0" w14:textId="77777777" w:rsidTr="008B69B9">
        <w:trPr>
          <w:trHeight w:val="90"/>
          <w:jc w:val="center"/>
        </w:trPr>
        <w:tc>
          <w:tcPr>
            <w:tcW w:w="4590" w:type="dxa"/>
            <w:tcBorders>
              <w:top w:val="nil"/>
              <w:left w:val="nil"/>
              <w:bottom w:val="nil"/>
              <w:right w:val="nil"/>
            </w:tcBorders>
            <w:shd w:val="clear" w:color="000000" w:fill="FFFFFF"/>
            <w:noWrap/>
            <w:vAlign w:val="bottom"/>
            <w:hideMark/>
          </w:tcPr>
          <w:p w14:paraId="54DA8213" w14:textId="77777777" w:rsidR="00234D14" w:rsidRPr="004E6649" w:rsidRDefault="00234D14" w:rsidP="00234D14">
            <w:pPr>
              <w:ind w:firstLineChars="100" w:firstLine="200"/>
              <w:rPr>
                <w:rFonts w:eastAsia="Times New Roman" w:cstheme="minorHAnsi"/>
                <w:sz w:val="20"/>
                <w:szCs w:val="20"/>
              </w:rPr>
            </w:pPr>
            <w:r w:rsidRPr="004E6649">
              <w:rPr>
                <w:rFonts w:eastAsia="Times New Roman" w:cstheme="minorHAnsi"/>
                <w:sz w:val="20"/>
                <w:szCs w:val="20"/>
              </w:rPr>
              <w:t>Other</w:t>
            </w:r>
          </w:p>
        </w:tc>
        <w:tc>
          <w:tcPr>
            <w:tcW w:w="775" w:type="dxa"/>
            <w:tcBorders>
              <w:top w:val="nil"/>
              <w:left w:val="nil"/>
              <w:bottom w:val="nil"/>
              <w:right w:val="nil"/>
            </w:tcBorders>
            <w:shd w:val="clear" w:color="000000" w:fill="FFFFFF"/>
            <w:vAlign w:val="bottom"/>
          </w:tcPr>
          <w:p w14:paraId="03EA062F" w14:textId="5EC63E39" w:rsidR="00234D14" w:rsidRPr="00234D14" w:rsidRDefault="00234D14" w:rsidP="00234D14">
            <w:pPr>
              <w:jc w:val="right"/>
              <w:rPr>
                <w:rFonts w:eastAsia="Times New Roman" w:cstheme="minorHAnsi"/>
                <w:b/>
                <w:bCs/>
                <w:sz w:val="20"/>
                <w:szCs w:val="20"/>
              </w:rPr>
            </w:pPr>
            <w:r w:rsidRPr="008B69B9">
              <w:rPr>
                <w:rFonts w:cstheme="minorHAnsi"/>
                <w:b/>
                <w:bCs/>
                <w:sz w:val="20"/>
                <w:szCs w:val="20"/>
              </w:rPr>
              <w:t>11</w:t>
            </w:r>
            <w:r w:rsidR="005A12DD">
              <w:rPr>
                <w:rFonts w:cstheme="minorHAnsi"/>
                <w:b/>
                <w:bCs/>
                <w:sz w:val="20"/>
                <w:szCs w:val="20"/>
              </w:rPr>
              <w:t>6</w:t>
            </w:r>
          </w:p>
        </w:tc>
        <w:tc>
          <w:tcPr>
            <w:tcW w:w="831" w:type="dxa"/>
            <w:tcBorders>
              <w:top w:val="nil"/>
              <w:left w:val="nil"/>
              <w:bottom w:val="nil"/>
              <w:right w:val="nil"/>
            </w:tcBorders>
            <w:shd w:val="clear" w:color="auto" w:fill="D9D9D9" w:themeFill="background1" w:themeFillShade="D9"/>
            <w:vAlign w:val="bottom"/>
          </w:tcPr>
          <w:p w14:paraId="366830D1" w14:textId="4FFA7B41" w:rsidR="00234D14" w:rsidRPr="00234D14" w:rsidRDefault="005A12DD" w:rsidP="00234D14">
            <w:pPr>
              <w:jc w:val="right"/>
              <w:rPr>
                <w:rFonts w:eastAsia="Times New Roman" w:cstheme="minorHAnsi"/>
                <w:b/>
                <w:bCs/>
                <w:sz w:val="20"/>
                <w:szCs w:val="20"/>
              </w:rPr>
            </w:pPr>
            <w:r>
              <w:rPr>
                <w:rFonts w:cstheme="minorHAnsi"/>
                <w:b/>
                <w:bCs/>
                <w:sz w:val="20"/>
                <w:szCs w:val="20"/>
              </w:rPr>
              <w:t>9</w:t>
            </w:r>
            <w:r w:rsidR="00234D14" w:rsidRPr="008B69B9">
              <w:rPr>
                <w:rFonts w:cstheme="minorHAnsi"/>
                <w:b/>
                <w:bCs/>
                <w:sz w:val="20"/>
                <w:szCs w:val="20"/>
              </w:rPr>
              <w:t>%</w:t>
            </w:r>
          </w:p>
        </w:tc>
        <w:tc>
          <w:tcPr>
            <w:tcW w:w="914" w:type="dxa"/>
            <w:tcBorders>
              <w:top w:val="nil"/>
              <w:left w:val="nil"/>
              <w:bottom w:val="nil"/>
              <w:right w:val="nil"/>
            </w:tcBorders>
            <w:shd w:val="clear" w:color="000000" w:fill="FFFFFF"/>
            <w:noWrap/>
            <w:vAlign w:val="bottom"/>
            <w:hideMark/>
          </w:tcPr>
          <w:p w14:paraId="5DBCF4D5" w14:textId="6B679A04" w:rsidR="00234D14" w:rsidRPr="00234D14" w:rsidRDefault="00234D14" w:rsidP="00B05CD2">
            <w:pPr>
              <w:jc w:val="right"/>
              <w:rPr>
                <w:rFonts w:eastAsia="Times New Roman" w:cstheme="minorHAnsi"/>
                <w:b/>
                <w:bCs/>
                <w:sz w:val="20"/>
                <w:szCs w:val="20"/>
              </w:rPr>
            </w:pPr>
            <w:r w:rsidRPr="008B69B9">
              <w:rPr>
                <w:rFonts w:cstheme="minorHAnsi"/>
                <w:b/>
                <w:bCs/>
                <w:sz w:val="20"/>
                <w:szCs w:val="20"/>
              </w:rPr>
              <w:t>106</w:t>
            </w:r>
          </w:p>
        </w:tc>
        <w:tc>
          <w:tcPr>
            <w:tcW w:w="959" w:type="dxa"/>
            <w:tcBorders>
              <w:top w:val="nil"/>
              <w:left w:val="nil"/>
              <w:bottom w:val="nil"/>
              <w:right w:val="nil"/>
            </w:tcBorders>
            <w:shd w:val="clear" w:color="auto" w:fill="D9D9D9" w:themeFill="background1" w:themeFillShade="D9"/>
            <w:noWrap/>
            <w:vAlign w:val="bottom"/>
            <w:hideMark/>
          </w:tcPr>
          <w:p w14:paraId="350978BB" w14:textId="008C7269" w:rsidR="00234D14" w:rsidRPr="00234D14" w:rsidRDefault="00234D14" w:rsidP="00234D14">
            <w:pPr>
              <w:jc w:val="right"/>
              <w:rPr>
                <w:rFonts w:eastAsia="Times New Roman" w:cstheme="minorHAnsi"/>
                <w:b/>
                <w:bCs/>
                <w:sz w:val="20"/>
                <w:szCs w:val="20"/>
              </w:rPr>
            </w:pPr>
            <w:r w:rsidRPr="008B69B9">
              <w:rPr>
                <w:rFonts w:cstheme="minorHAnsi"/>
                <w:b/>
                <w:bCs/>
                <w:sz w:val="20"/>
                <w:szCs w:val="20"/>
              </w:rPr>
              <w:t>18%</w:t>
            </w:r>
          </w:p>
        </w:tc>
        <w:tc>
          <w:tcPr>
            <w:tcW w:w="775" w:type="dxa"/>
            <w:tcBorders>
              <w:top w:val="nil"/>
              <w:left w:val="nil"/>
              <w:bottom w:val="nil"/>
              <w:right w:val="nil"/>
            </w:tcBorders>
            <w:shd w:val="clear" w:color="000000" w:fill="FFFFFF"/>
            <w:noWrap/>
            <w:vAlign w:val="bottom"/>
            <w:hideMark/>
          </w:tcPr>
          <w:p w14:paraId="4769603F" w14:textId="49CB6A9E" w:rsidR="00234D14" w:rsidRPr="004E6649" w:rsidRDefault="00234D14" w:rsidP="00234D14">
            <w:pPr>
              <w:jc w:val="right"/>
              <w:rPr>
                <w:rFonts w:eastAsia="Times New Roman" w:cstheme="minorHAnsi"/>
                <w:b/>
                <w:bCs/>
                <w:sz w:val="20"/>
                <w:szCs w:val="20"/>
              </w:rPr>
            </w:pPr>
            <w:r w:rsidRPr="004E6649">
              <w:rPr>
                <w:rFonts w:eastAsia="Times New Roman" w:cstheme="minorHAnsi"/>
                <w:b/>
                <w:bCs/>
                <w:sz w:val="20"/>
                <w:szCs w:val="20"/>
              </w:rPr>
              <w:t>90</w:t>
            </w:r>
          </w:p>
        </w:tc>
        <w:tc>
          <w:tcPr>
            <w:tcW w:w="955" w:type="dxa"/>
            <w:tcBorders>
              <w:top w:val="nil"/>
              <w:left w:val="nil"/>
              <w:bottom w:val="nil"/>
              <w:right w:val="nil"/>
            </w:tcBorders>
            <w:shd w:val="clear" w:color="000000" w:fill="FFFFFF"/>
            <w:vAlign w:val="bottom"/>
          </w:tcPr>
          <w:p w14:paraId="3A0F477D" w14:textId="688557DD" w:rsidR="00234D14" w:rsidRPr="004546E5" w:rsidRDefault="00234D14" w:rsidP="00234D14">
            <w:pPr>
              <w:jc w:val="right"/>
              <w:rPr>
                <w:rFonts w:eastAsia="Times New Roman" w:cstheme="minorHAnsi"/>
                <w:sz w:val="20"/>
                <w:szCs w:val="20"/>
              </w:rPr>
            </w:pPr>
            <w:r w:rsidRPr="004546E5">
              <w:rPr>
                <w:rFonts w:eastAsia="Times New Roman" w:cstheme="minorHAnsi"/>
                <w:sz w:val="20"/>
                <w:szCs w:val="20"/>
              </w:rPr>
              <w:t>78</w:t>
            </w:r>
          </w:p>
        </w:tc>
        <w:tc>
          <w:tcPr>
            <w:tcW w:w="773" w:type="dxa"/>
            <w:tcBorders>
              <w:top w:val="nil"/>
              <w:left w:val="nil"/>
              <w:bottom w:val="nil"/>
              <w:right w:val="nil"/>
            </w:tcBorders>
            <w:shd w:val="clear" w:color="000000" w:fill="FFFFFF"/>
            <w:noWrap/>
            <w:vAlign w:val="bottom"/>
            <w:hideMark/>
          </w:tcPr>
          <w:p w14:paraId="3D6CE3AB" w14:textId="33435B38" w:rsidR="00234D14" w:rsidRPr="004E6649" w:rsidRDefault="00234D14" w:rsidP="00234D14">
            <w:pPr>
              <w:jc w:val="right"/>
              <w:rPr>
                <w:rFonts w:eastAsia="Times New Roman" w:cstheme="minorHAnsi"/>
                <w:sz w:val="20"/>
                <w:szCs w:val="20"/>
              </w:rPr>
            </w:pPr>
            <w:r w:rsidRPr="004E6649">
              <w:rPr>
                <w:rFonts w:eastAsia="Times New Roman" w:cstheme="minorHAnsi"/>
                <w:sz w:val="20"/>
                <w:szCs w:val="20"/>
              </w:rPr>
              <w:t>84</w:t>
            </w:r>
          </w:p>
        </w:tc>
      </w:tr>
      <w:tr w:rsidR="00B05CD2" w:rsidRPr="004E6649" w14:paraId="4BA63FF1" w14:textId="77777777" w:rsidTr="008B69B9">
        <w:trPr>
          <w:trHeight w:val="117"/>
          <w:jc w:val="center"/>
        </w:trPr>
        <w:tc>
          <w:tcPr>
            <w:tcW w:w="4590" w:type="dxa"/>
            <w:tcBorders>
              <w:top w:val="nil"/>
              <w:left w:val="nil"/>
              <w:bottom w:val="nil"/>
              <w:right w:val="nil"/>
            </w:tcBorders>
            <w:shd w:val="clear" w:color="000000" w:fill="FFFFFF"/>
            <w:noWrap/>
            <w:vAlign w:val="bottom"/>
            <w:hideMark/>
          </w:tcPr>
          <w:p w14:paraId="60DAEA15" w14:textId="77777777" w:rsidR="00234D14" w:rsidRPr="004E6649" w:rsidRDefault="00234D14" w:rsidP="00234D14">
            <w:pPr>
              <w:rPr>
                <w:rFonts w:eastAsia="Times New Roman" w:cstheme="minorHAnsi"/>
                <w:sz w:val="20"/>
                <w:szCs w:val="20"/>
              </w:rPr>
            </w:pPr>
            <w:r w:rsidRPr="004E6649">
              <w:rPr>
                <w:rFonts w:eastAsia="Times New Roman" w:cstheme="minorHAnsi"/>
                <w:sz w:val="20"/>
                <w:szCs w:val="20"/>
              </w:rPr>
              <w:t>Noncurrent Assets</w:t>
            </w:r>
          </w:p>
        </w:tc>
        <w:tc>
          <w:tcPr>
            <w:tcW w:w="775" w:type="dxa"/>
            <w:tcBorders>
              <w:top w:val="nil"/>
              <w:left w:val="nil"/>
              <w:bottom w:val="nil"/>
              <w:right w:val="nil"/>
            </w:tcBorders>
            <w:shd w:val="clear" w:color="000000" w:fill="FFFFFF"/>
            <w:vAlign w:val="bottom"/>
          </w:tcPr>
          <w:p w14:paraId="31EB37B1" w14:textId="7B30F590" w:rsidR="00234D14" w:rsidRPr="00234D14" w:rsidRDefault="00234D14" w:rsidP="00234D14">
            <w:pPr>
              <w:jc w:val="right"/>
              <w:rPr>
                <w:rFonts w:eastAsia="Times New Roman" w:cstheme="minorHAnsi"/>
                <w:b/>
                <w:bCs/>
                <w:sz w:val="20"/>
                <w:szCs w:val="20"/>
              </w:rPr>
            </w:pPr>
            <w:r w:rsidRPr="008B69B9">
              <w:rPr>
                <w:rFonts w:cstheme="minorHAnsi"/>
                <w:b/>
                <w:bCs/>
                <w:sz w:val="20"/>
                <w:szCs w:val="20"/>
              </w:rPr>
              <w:t> </w:t>
            </w:r>
          </w:p>
        </w:tc>
        <w:tc>
          <w:tcPr>
            <w:tcW w:w="831" w:type="dxa"/>
            <w:tcBorders>
              <w:top w:val="nil"/>
              <w:left w:val="nil"/>
              <w:bottom w:val="nil"/>
              <w:right w:val="nil"/>
            </w:tcBorders>
            <w:shd w:val="clear" w:color="auto" w:fill="D9D9D9" w:themeFill="background1" w:themeFillShade="D9"/>
            <w:vAlign w:val="bottom"/>
          </w:tcPr>
          <w:p w14:paraId="79A21938" w14:textId="403C2EAC" w:rsidR="00234D14" w:rsidRPr="00234D14" w:rsidRDefault="00234D14" w:rsidP="00234D14">
            <w:pPr>
              <w:jc w:val="right"/>
              <w:rPr>
                <w:rFonts w:eastAsia="Times New Roman" w:cstheme="minorHAnsi"/>
                <w:b/>
                <w:bCs/>
                <w:sz w:val="20"/>
                <w:szCs w:val="20"/>
              </w:rPr>
            </w:pPr>
            <w:r w:rsidRPr="008B69B9">
              <w:rPr>
                <w:rFonts w:cstheme="minorHAnsi"/>
                <w:b/>
                <w:bCs/>
                <w:sz w:val="20"/>
                <w:szCs w:val="20"/>
              </w:rPr>
              <w:t> </w:t>
            </w:r>
          </w:p>
        </w:tc>
        <w:tc>
          <w:tcPr>
            <w:tcW w:w="914" w:type="dxa"/>
            <w:tcBorders>
              <w:top w:val="nil"/>
              <w:left w:val="nil"/>
              <w:bottom w:val="nil"/>
              <w:right w:val="nil"/>
            </w:tcBorders>
            <w:shd w:val="clear" w:color="000000" w:fill="FFFFFF"/>
            <w:noWrap/>
            <w:vAlign w:val="bottom"/>
            <w:hideMark/>
          </w:tcPr>
          <w:p w14:paraId="495300CB" w14:textId="270DC970" w:rsidR="00234D14" w:rsidRPr="00234D14" w:rsidRDefault="00234D14" w:rsidP="00B05CD2">
            <w:pPr>
              <w:jc w:val="right"/>
              <w:rPr>
                <w:rFonts w:eastAsia="Times New Roman" w:cstheme="minorHAnsi"/>
                <w:b/>
                <w:bCs/>
                <w:sz w:val="20"/>
                <w:szCs w:val="20"/>
              </w:rPr>
            </w:pPr>
            <w:r w:rsidRPr="008B69B9">
              <w:rPr>
                <w:rFonts w:cstheme="minorHAnsi"/>
                <w:b/>
                <w:bCs/>
                <w:sz w:val="20"/>
                <w:szCs w:val="20"/>
              </w:rPr>
              <w:t> </w:t>
            </w:r>
          </w:p>
        </w:tc>
        <w:tc>
          <w:tcPr>
            <w:tcW w:w="959" w:type="dxa"/>
            <w:tcBorders>
              <w:top w:val="nil"/>
              <w:left w:val="nil"/>
              <w:bottom w:val="nil"/>
              <w:right w:val="nil"/>
            </w:tcBorders>
            <w:shd w:val="clear" w:color="auto" w:fill="D9D9D9" w:themeFill="background1" w:themeFillShade="D9"/>
            <w:noWrap/>
            <w:vAlign w:val="bottom"/>
            <w:hideMark/>
          </w:tcPr>
          <w:p w14:paraId="10524B6F" w14:textId="56F5965E" w:rsidR="00234D14" w:rsidRPr="00234D14" w:rsidRDefault="00234D14" w:rsidP="00234D14">
            <w:pPr>
              <w:jc w:val="right"/>
              <w:rPr>
                <w:rFonts w:eastAsia="Times New Roman" w:cstheme="minorHAnsi"/>
                <w:b/>
                <w:bCs/>
                <w:sz w:val="20"/>
                <w:szCs w:val="20"/>
              </w:rPr>
            </w:pPr>
            <w:r w:rsidRPr="008B69B9">
              <w:rPr>
                <w:rFonts w:cstheme="minorHAnsi"/>
                <w:b/>
                <w:bCs/>
                <w:sz w:val="20"/>
                <w:szCs w:val="20"/>
              </w:rPr>
              <w:t> </w:t>
            </w:r>
          </w:p>
        </w:tc>
        <w:tc>
          <w:tcPr>
            <w:tcW w:w="775" w:type="dxa"/>
            <w:tcBorders>
              <w:top w:val="nil"/>
              <w:left w:val="nil"/>
              <w:bottom w:val="nil"/>
              <w:right w:val="nil"/>
            </w:tcBorders>
            <w:shd w:val="clear" w:color="000000" w:fill="FFFFFF"/>
            <w:noWrap/>
            <w:vAlign w:val="bottom"/>
            <w:hideMark/>
          </w:tcPr>
          <w:p w14:paraId="40249314" w14:textId="674A3710" w:rsidR="00234D14" w:rsidRPr="004E6649" w:rsidRDefault="00234D14" w:rsidP="00234D14">
            <w:pPr>
              <w:jc w:val="right"/>
              <w:rPr>
                <w:rFonts w:eastAsia="Times New Roman" w:cstheme="minorHAnsi"/>
                <w:b/>
                <w:bCs/>
                <w:sz w:val="20"/>
                <w:szCs w:val="20"/>
              </w:rPr>
            </w:pPr>
            <w:r w:rsidRPr="004E6649">
              <w:rPr>
                <w:rFonts w:eastAsia="Times New Roman" w:cstheme="minorHAnsi"/>
                <w:b/>
                <w:bCs/>
                <w:sz w:val="20"/>
                <w:szCs w:val="20"/>
              </w:rPr>
              <w:t> </w:t>
            </w:r>
          </w:p>
        </w:tc>
        <w:tc>
          <w:tcPr>
            <w:tcW w:w="955" w:type="dxa"/>
            <w:tcBorders>
              <w:top w:val="nil"/>
              <w:left w:val="nil"/>
              <w:bottom w:val="nil"/>
              <w:right w:val="nil"/>
            </w:tcBorders>
            <w:shd w:val="clear" w:color="000000" w:fill="FFFFFF"/>
            <w:vAlign w:val="bottom"/>
          </w:tcPr>
          <w:p w14:paraId="7BFD6A15" w14:textId="5E88A28F" w:rsidR="00234D14" w:rsidRPr="004546E5" w:rsidRDefault="00234D14" w:rsidP="00234D14">
            <w:pPr>
              <w:jc w:val="right"/>
              <w:rPr>
                <w:rFonts w:eastAsia="Times New Roman" w:cstheme="minorHAnsi"/>
                <w:sz w:val="20"/>
                <w:szCs w:val="20"/>
              </w:rPr>
            </w:pPr>
            <w:r w:rsidRPr="004546E5">
              <w:rPr>
                <w:rFonts w:eastAsia="Times New Roman" w:cstheme="minorHAnsi"/>
                <w:sz w:val="20"/>
                <w:szCs w:val="20"/>
              </w:rPr>
              <w:t> </w:t>
            </w:r>
          </w:p>
        </w:tc>
        <w:tc>
          <w:tcPr>
            <w:tcW w:w="773" w:type="dxa"/>
            <w:tcBorders>
              <w:top w:val="nil"/>
              <w:left w:val="nil"/>
              <w:bottom w:val="nil"/>
              <w:right w:val="nil"/>
            </w:tcBorders>
            <w:shd w:val="clear" w:color="000000" w:fill="FFFFFF"/>
            <w:noWrap/>
            <w:vAlign w:val="bottom"/>
            <w:hideMark/>
          </w:tcPr>
          <w:p w14:paraId="52083758" w14:textId="77365F92" w:rsidR="00234D14" w:rsidRPr="004E6649" w:rsidRDefault="00234D14" w:rsidP="00234D14">
            <w:pPr>
              <w:jc w:val="right"/>
              <w:rPr>
                <w:rFonts w:eastAsia="Times New Roman" w:cstheme="minorHAnsi"/>
                <w:sz w:val="20"/>
                <w:szCs w:val="20"/>
              </w:rPr>
            </w:pPr>
            <w:r w:rsidRPr="004E6649">
              <w:rPr>
                <w:rFonts w:eastAsia="Times New Roman" w:cstheme="minorHAnsi"/>
                <w:sz w:val="20"/>
                <w:szCs w:val="20"/>
              </w:rPr>
              <w:t> </w:t>
            </w:r>
          </w:p>
        </w:tc>
      </w:tr>
      <w:tr w:rsidR="00B05CD2" w:rsidRPr="004E6649" w14:paraId="75909D1D" w14:textId="77777777" w:rsidTr="008B69B9">
        <w:trPr>
          <w:trHeight w:val="80"/>
          <w:jc w:val="center"/>
        </w:trPr>
        <w:tc>
          <w:tcPr>
            <w:tcW w:w="4590" w:type="dxa"/>
            <w:tcBorders>
              <w:top w:val="nil"/>
              <w:left w:val="nil"/>
              <w:bottom w:val="nil"/>
              <w:right w:val="nil"/>
            </w:tcBorders>
            <w:shd w:val="clear" w:color="000000" w:fill="FFFFFF"/>
            <w:noWrap/>
            <w:vAlign w:val="bottom"/>
            <w:hideMark/>
          </w:tcPr>
          <w:p w14:paraId="43EFDCB6" w14:textId="77777777" w:rsidR="00234D14" w:rsidRPr="004E6649" w:rsidRDefault="00234D14" w:rsidP="00234D14">
            <w:pPr>
              <w:ind w:firstLineChars="100" w:firstLine="200"/>
              <w:rPr>
                <w:rFonts w:eastAsia="Times New Roman" w:cstheme="minorHAnsi"/>
                <w:sz w:val="20"/>
                <w:szCs w:val="20"/>
              </w:rPr>
            </w:pPr>
            <w:r w:rsidRPr="004E6649">
              <w:rPr>
                <w:rFonts w:eastAsia="Times New Roman" w:cstheme="minorHAnsi"/>
                <w:sz w:val="20"/>
                <w:szCs w:val="20"/>
              </w:rPr>
              <w:t>Endowment investments</w:t>
            </w:r>
          </w:p>
        </w:tc>
        <w:tc>
          <w:tcPr>
            <w:tcW w:w="775" w:type="dxa"/>
            <w:tcBorders>
              <w:top w:val="nil"/>
              <w:left w:val="nil"/>
              <w:bottom w:val="nil"/>
              <w:right w:val="nil"/>
            </w:tcBorders>
            <w:shd w:val="clear" w:color="000000" w:fill="FFFFFF"/>
            <w:vAlign w:val="bottom"/>
          </w:tcPr>
          <w:p w14:paraId="2ED8B491" w14:textId="091E09DB" w:rsidR="00234D14" w:rsidRPr="00234D14" w:rsidRDefault="00234D14" w:rsidP="00234D14">
            <w:pPr>
              <w:jc w:val="right"/>
              <w:rPr>
                <w:rFonts w:eastAsia="Times New Roman" w:cstheme="minorHAnsi"/>
                <w:b/>
                <w:bCs/>
                <w:sz w:val="20"/>
                <w:szCs w:val="20"/>
              </w:rPr>
            </w:pPr>
            <w:r w:rsidRPr="008B69B9">
              <w:rPr>
                <w:rFonts w:cstheme="minorHAnsi"/>
                <w:b/>
                <w:bCs/>
                <w:sz w:val="20"/>
                <w:szCs w:val="20"/>
              </w:rPr>
              <w:t>172</w:t>
            </w:r>
          </w:p>
        </w:tc>
        <w:tc>
          <w:tcPr>
            <w:tcW w:w="831" w:type="dxa"/>
            <w:tcBorders>
              <w:top w:val="nil"/>
              <w:left w:val="nil"/>
              <w:bottom w:val="nil"/>
              <w:right w:val="nil"/>
            </w:tcBorders>
            <w:shd w:val="clear" w:color="auto" w:fill="D9D9D9" w:themeFill="background1" w:themeFillShade="D9"/>
            <w:vAlign w:val="bottom"/>
          </w:tcPr>
          <w:p w14:paraId="72B8FEC2" w14:textId="5DCB4F74" w:rsidR="00234D14" w:rsidRPr="00234D14" w:rsidRDefault="00234D14" w:rsidP="00234D14">
            <w:pPr>
              <w:jc w:val="right"/>
              <w:rPr>
                <w:rFonts w:eastAsia="Times New Roman" w:cstheme="minorHAnsi"/>
                <w:b/>
                <w:bCs/>
                <w:sz w:val="20"/>
                <w:szCs w:val="20"/>
              </w:rPr>
            </w:pPr>
            <w:r w:rsidRPr="008B69B9">
              <w:rPr>
                <w:rFonts w:cstheme="minorHAnsi"/>
                <w:b/>
                <w:bCs/>
                <w:sz w:val="20"/>
                <w:szCs w:val="20"/>
              </w:rPr>
              <w:t>6%</w:t>
            </w:r>
          </w:p>
        </w:tc>
        <w:tc>
          <w:tcPr>
            <w:tcW w:w="914" w:type="dxa"/>
            <w:tcBorders>
              <w:top w:val="nil"/>
              <w:left w:val="nil"/>
              <w:bottom w:val="nil"/>
              <w:right w:val="nil"/>
            </w:tcBorders>
            <w:shd w:val="clear" w:color="000000" w:fill="FFFFFF"/>
            <w:noWrap/>
            <w:vAlign w:val="bottom"/>
            <w:hideMark/>
          </w:tcPr>
          <w:p w14:paraId="63F31BFD" w14:textId="269680D5" w:rsidR="00234D14" w:rsidRPr="00234D14" w:rsidRDefault="00234D14" w:rsidP="00B05CD2">
            <w:pPr>
              <w:jc w:val="right"/>
              <w:rPr>
                <w:rFonts w:eastAsia="Times New Roman" w:cstheme="minorHAnsi"/>
                <w:b/>
                <w:bCs/>
                <w:sz w:val="20"/>
                <w:szCs w:val="20"/>
              </w:rPr>
            </w:pPr>
            <w:r w:rsidRPr="008B69B9">
              <w:rPr>
                <w:rFonts w:cstheme="minorHAnsi"/>
                <w:b/>
                <w:bCs/>
                <w:sz w:val="20"/>
                <w:szCs w:val="20"/>
              </w:rPr>
              <w:t>162</w:t>
            </w:r>
          </w:p>
        </w:tc>
        <w:tc>
          <w:tcPr>
            <w:tcW w:w="959" w:type="dxa"/>
            <w:tcBorders>
              <w:top w:val="nil"/>
              <w:left w:val="nil"/>
              <w:bottom w:val="nil"/>
              <w:right w:val="nil"/>
            </w:tcBorders>
            <w:shd w:val="clear" w:color="auto" w:fill="D9D9D9" w:themeFill="background1" w:themeFillShade="D9"/>
            <w:noWrap/>
            <w:vAlign w:val="bottom"/>
            <w:hideMark/>
          </w:tcPr>
          <w:p w14:paraId="0085AC01" w14:textId="76D94417" w:rsidR="00234D14" w:rsidRPr="00234D14" w:rsidRDefault="00234D14" w:rsidP="00234D14">
            <w:pPr>
              <w:jc w:val="right"/>
              <w:rPr>
                <w:rFonts w:eastAsia="Times New Roman" w:cstheme="minorHAnsi"/>
                <w:b/>
                <w:bCs/>
                <w:sz w:val="20"/>
                <w:szCs w:val="20"/>
              </w:rPr>
            </w:pPr>
            <w:r w:rsidRPr="008B69B9">
              <w:rPr>
                <w:rFonts w:cstheme="minorHAnsi"/>
                <w:b/>
                <w:bCs/>
                <w:sz w:val="20"/>
                <w:szCs w:val="20"/>
              </w:rPr>
              <w:t>8%</w:t>
            </w:r>
          </w:p>
        </w:tc>
        <w:tc>
          <w:tcPr>
            <w:tcW w:w="775" w:type="dxa"/>
            <w:tcBorders>
              <w:top w:val="nil"/>
              <w:left w:val="nil"/>
              <w:bottom w:val="nil"/>
              <w:right w:val="nil"/>
            </w:tcBorders>
            <w:shd w:val="clear" w:color="000000" w:fill="FFFFFF"/>
            <w:noWrap/>
            <w:vAlign w:val="bottom"/>
            <w:hideMark/>
          </w:tcPr>
          <w:p w14:paraId="232455D7" w14:textId="41205269" w:rsidR="00234D14" w:rsidRPr="004E6649" w:rsidRDefault="00234D14" w:rsidP="00234D14">
            <w:pPr>
              <w:jc w:val="right"/>
              <w:rPr>
                <w:rFonts w:eastAsia="Times New Roman" w:cstheme="minorHAnsi"/>
                <w:b/>
                <w:bCs/>
                <w:sz w:val="20"/>
                <w:szCs w:val="20"/>
              </w:rPr>
            </w:pPr>
            <w:r w:rsidRPr="004E6649">
              <w:rPr>
                <w:rFonts w:eastAsia="Times New Roman" w:cstheme="minorHAnsi"/>
                <w:b/>
                <w:bCs/>
                <w:sz w:val="20"/>
                <w:szCs w:val="20"/>
              </w:rPr>
              <w:t>150</w:t>
            </w:r>
          </w:p>
        </w:tc>
        <w:tc>
          <w:tcPr>
            <w:tcW w:w="955" w:type="dxa"/>
            <w:tcBorders>
              <w:top w:val="nil"/>
              <w:left w:val="nil"/>
              <w:bottom w:val="nil"/>
              <w:right w:val="nil"/>
            </w:tcBorders>
            <w:shd w:val="clear" w:color="000000" w:fill="FFFFFF"/>
            <w:vAlign w:val="bottom"/>
          </w:tcPr>
          <w:p w14:paraId="5C832AF8" w14:textId="3AD129A8" w:rsidR="00234D14" w:rsidRPr="004546E5" w:rsidRDefault="00234D14" w:rsidP="00234D14">
            <w:pPr>
              <w:jc w:val="right"/>
              <w:rPr>
                <w:rFonts w:eastAsia="Times New Roman" w:cstheme="minorHAnsi"/>
                <w:sz w:val="20"/>
                <w:szCs w:val="20"/>
              </w:rPr>
            </w:pPr>
            <w:r w:rsidRPr="004546E5">
              <w:rPr>
                <w:rFonts w:eastAsia="Times New Roman" w:cstheme="minorHAnsi"/>
                <w:sz w:val="20"/>
                <w:szCs w:val="20"/>
              </w:rPr>
              <w:t>141</w:t>
            </w:r>
          </w:p>
        </w:tc>
        <w:tc>
          <w:tcPr>
            <w:tcW w:w="773" w:type="dxa"/>
            <w:tcBorders>
              <w:top w:val="nil"/>
              <w:left w:val="nil"/>
              <w:bottom w:val="nil"/>
              <w:right w:val="nil"/>
            </w:tcBorders>
            <w:shd w:val="clear" w:color="000000" w:fill="FFFFFF"/>
            <w:noWrap/>
            <w:vAlign w:val="bottom"/>
            <w:hideMark/>
          </w:tcPr>
          <w:p w14:paraId="7F24B92E" w14:textId="43DBA62F" w:rsidR="00234D14" w:rsidRPr="004E6649" w:rsidRDefault="00234D14" w:rsidP="00234D14">
            <w:pPr>
              <w:jc w:val="right"/>
              <w:rPr>
                <w:rFonts w:eastAsia="Times New Roman" w:cstheme="minorHAnsi"/>
                <w:sz w:val="20"/>
                <w:szCs w:val="20"/>
              </w:rPr>
            </w:pPr>
            <w:r w:rsidRPr="004E6649">
              <w:rPr>
                <w:rFonts w:eastAsia="Times New Roman" w:cstheme="minorHAnsi"/>
                <w:sz w:val="20"/>
                <w:szCs w:val="20"/>
              </w:rPr>
              <w:t>166</w:t>
            </w:r>
          </w:p>
        </w:tc>
      </w:tr>
      <w:tr w:rsidR="00B05CD2" w:rsidRPr="004E6649" w14:paraId="1915715B" w14:textId="77777777" w:rsidTr="008B69B9">
        <w:trPr>
          <w:trHeight w:val="80"/>
          <w:jc w:val="center"/>
        </w:trPr>
        <w:tc>
          <w:tcPr>
            <w:tcW w:w="4590" w:type="dxa"/>
            <w:tcBorders>
              <w:top w:val="nil"/>
              <w:left w:val="nil"/>
              <w:right w:val="nil"/>
            </w:tcBorders>
            <w:shd w:val="clear" w:color="000000" w:fill="FFFFFF"/>
            <w:noWrap/>
            <w:vAlign w:val="bottom"/>
            <w:hideMark/>
          </w:tcPr>
          <w:p w14:paraId="47E8657C" w14:textId="77777777" w:rsidR="00234D14" w:rsidRPr="004E6649" w:rsidRDefault="00234D14" w:rsidP="00234D14">
            <w:pPr>
              <w:ind w:firstLineChars="100" w:firstLine="200"/>
              <w:rPr>
                <w:rFonts w:eastAsia="Times New Roman" w:cstheme="minorHAnsi"/>
                <w:sz w:val="20"/>
                <w:szCs w:val="20"/>
              </w:rPr>
            </w:pPr>
            <w:r w:rsidRPr="004E6649">
              <w:rPr>
                <w:rFonts w:eastAsia="Times New Roman" w:cstheme="minorHAnsi"/>
                <w:sz w:val="20"/>
                <w:szCs w:val="20"/>
              </w:rPr>
              <w:t>Capital assets, net</w:t>
            </w:r>
          </w:p>
        </w:tc>
        <w:tc>
          <w:tcPr>
            <w:tcW w:w="775" w:type="dxa"/>
            <w:tcBorders>
              <w:top w:val="nil"/>
              <w:left w:val="nil"/>
              <w:right w:val="nil"/>
            </w:tcBorders>
            <w:shd w:val="clear" w:color="000000" w:fill="FFFFFF"/>
            <w:vAlign w:val="bottom"/>
          </w:tcPr>
          <w:p w14:paraId="28F9B9E7" w14:textId="28702C3B" w:rsidR="00234D14" w:rsidRPr="00234D14" w:rsidRDefault="00234D14" w:rsidP="00234D14">
            <w:pPr>
              <w:jc w:val="right"/>
              <w:rPr>
                <w:rFonts w:eastAsia="Times New Roman" w:cstheme="minorHAnsi"/>
                <w:b/>
                <w:bCs/>
                <w:sz w:val="20"/>
                <w:szCs w:val="20"/>
              </w:rPr>
            </w:pPr>
            <w:r w:rsidRPr="008B69B9">
              <w:rPr>
                <w:rFonts w:cstheme="minorHAnsi"/>
                <w:b/>
                <w:bCs/>
                <w:sz w:val="20"/>
                <w:szCs w:val="20"/>
              </w:rPr>
              <w:t>1,106</w:t>
            </w:r>
          </w:p>
        </w:tc>
        <w:tc>
          <w:tcPr>
            <w:tcW w:w="831" w:type="dxa"/>
            <w:tcBorders>
              <w:top w:val="nil"/>
              <w:left w:val="nil"/>
              <w:right w:val="nil"/>
            </w:tcBorders>
            <w:shd w:val="clear" w:color="auto" w:fill="D9D9D9" w:themeFill="background1" w:themeFillShade="D9"/>
            <w:vAlign w:val="bottom"/>
          </w:tcPr>
          <w:p w14:paraId="5FC449AF" w14:textId="0DEFFD9F" w:rsidR="00234D14" w:rsidRPr="00234D14" w:rsidRDefault="00234D14" w:rsidP="00234D14">
            <w:pPr>
              <w:jc w:val="right"/>
              <w:rPr>
                <w:rFonts w:eastAsia="Times New Roman" w:cstheme="minorHAnsi"/>
                <w:b/>
                <w:bCs/>
                <w:sz w:val="20"/>
                <w:szCs w:val="20"/>
              </w:rPr>
            </w:pPr>
            <w:r w:rsidRPr="008B69B9">
              <w:rPr>
                <w:rFonts w:cstheme="minorHAnsi"/>
                <w:b/>
                <w:bCs/>
                <w:sz w:val="20"/>
                <w:szCs w:val="20"/>
              </w:rPr>
              <w:t>9%</w:t>
            </w:r>
          </w:p>
        </w:tc>
        <w:tc>
          <w:tcPr>
            <w:tcW w:w="914" w:type="dxa"/>
            <w:tcBorders>
              <w:top w:val="nil"/>
              <w:left w:val="nil"/>
              <w:right w:val="nil"/>
            </w:tcBorders>
            <w:shd w:val="clear" w:color="000000" w:fill="FFFFFF"/>
            <w:noWrap/>
            <w:vAlign w:val="bottom"/>
            <w:hideMark/>
          </w:tcPr>
          <w:p w14:paraId="398A1AF1" w14:textId="081628F6" w:rsidR="00234D14" w:rsidRPr="00234D14" w:rsidRDefault="00234D14" w:rsidP="00B05CD2">
            <w:pPr>
              <w:jc w:val="right"/>
              <w:rPr>
                <w:rFonts w:eastAsia="Times New Roman" w:cstheme="minorHAnsi"/>
                <w:b/>
                <w:bCs/>
                <w:sz w:val="20"/>
                <w:szCs w:val="20"/>
              </w:rPr>
            </w:pPr>
            <w:r w:rsidRPr="008B69B9">
              <w:rPr>
                <w:rFonts w:cstheme="minorHAnsi"/>
                <w:b/>
                <w:bCs/>
                <w:sz w:val="20"/>
                <w:szCs w:val="20"/>
              </w:rPr>
              <w:t>1,016</w:t>
            </w:r>
          </w:p>
        </w:tc>
        <w:tc>
          <w:tcPr>
            <w:tcW w:w="959" w:type="dxa"/>
            <w:tcBorders>
              <w:top w:val="nil"/>
              <w:left w:val="nil"/>
              <w:right w:val="nil"/>
            </w:tcBorders>
            <w:shd w:val="clear" w:color="auto" w:fill="D9D9D9" w:themeFill="background1" w:themeFillShade="D9"/>
            <w:noWrap/>
            <w:vAlign w:val="bottom"/>
            <w:hideMark/>
          </w:tcPr>
          <w:p w14:paraId="023861AD" w14:textId="552E098E" w:rsidR="00234D14" w:rsidRPr="00234D14" w:rsidRDefault="00234D14" w:rsidP="00234D14">
            <w:pPr>
              <w:jc w:val="right"/>
              <w:rPr>
                <w:rFonts w:eastAsia="Times New Roman" w:cstheme="minorHAnsi"/>
                <w:b/>
                <w:bCs/>
                <w:sz w:val="20"/>
                <w:szCs w:val="20"/>
              </w:rPr>
            </w:pPr>
            <w:r w:rsidRPr="008B69B9">
              <w:rPr>
                <w:rFonts w:cstheme="minorHAnsi"/>
                <w:b/>
                <w:bCs/>
                <w:sz w:val="20"/>
                <w:szCs w:val="20"/>
              </w:rPr>
              <w:t>9%</w:t>
            </w:r>
          </w:p>
        </w:tc>
        <w:tc>
          <w:tcPr>
            <w:tcW w:w="775" w:type="dxa"/>
            <w:tcBorders>
              <w:top w:val="nil"/>
              <w:left w:val="nil"/>
              <w:right w:val="nil"/>
            </w:tcBorders>
            <w:shd w:val="clear" w:color="000000" w:fill="FFFFFF"/>
            <w:noWrap/>
            <w:vAlign w:val="bottom"/>
            <w:hideMark/>
          </w:tcPr>
          <w:p w14:paraId="4807E052" w14:textId="7E20A26A" w:rsidR="00234D14" w:rsidRPr="004E6649" w:rsidRDefault="00234D14" w:rsidP="00234D14">
            <w:pPr>
              <w:jc w:val="right"/>
              <w:rPr>
                <w:rFonts w:eastAsia="Times New Roman" w:cstheme="minorHAnsi"/>
                <w:b/>
                <w:bCs/>
                <w:sz w:val="20"/>
                <w:szCs w:val="20"/>
              </w:rPr>
            </w:pPr>
            <w:r w:rsidRPr="004E6649">
              <w:rPr>
                <w:rFonts w:eastAsia="Times New Roman" w:cstheme="minorHAnsi"/>
                <w:b/>
                <w:bCs/>
                <w:sz w:val="20"/>
                <w:szCs w:val="20"/>
              </w:rPr>
              <w:t>935</w:t>
            </w:r>
          </w:p>
        </w:tc>
        <w:tc>
          <w:tcPr>
            <w:tcW w:w="955" w:type="dxa"/>
            <w:tcBorders>
              <w:top w:val="nil"/>
              <w:left w:val="nil"/>
              <w:right w:val="nil"/>
            </w:tcBorders>
            <w:shd w:val="clear" w:color="000000" w:fill="FFFFFF"/>
            <w:vAlign w:val="bottom"/>
          </w:tcPr>
          <w:p w14:paraId="3ADC7031" w14:textId="0537E67B" w:rsidR="00234D14" w:rsidRPr="004546E5" w:rsidRDefault="00234D14" w:rsidP="00234D14">
            <w:pPr>
              <w:jc w:val="right"/>
              <w:rPr>
                <w:rFonts w:eastAsia="Times New Roman" w:cstheme="minorHAnsi"/>
                <w:sz w:val="20"/>
                <w:szCs w:val="20"/>
              </w:rPr>
            </w:pPr>
            <w:r w:rsidRPr="004546E5">
              <w:rPr>
                <w:rFonts w:eastAsia="Times New Roman" w:cstheme="minorHAnsi"/>
                <w:sz w:val="20"/>
                <w:szCs w:val="20"/>
              </w:rPr>
              <w:t>813</w:t>
            </w:r>
          </w:p>
        </w:tc>
        <w:tc>
          <w:tcPr>
            <w:tcW w:w="773" w:type="dxa"/>
            <w:tcBorders>
              <w:top w:val="nil"/>
              <w:left w:val="nil"/>
              <w:right w:val="nil"/>
            </w:tcBorders>
            <w:shd w:val="clear" w:color="000000" w:fill="FFFFFF"/>
            <w:noWrap/>
            <w:vAlign w:val="bottom"/>
            <w:hideMark/>
          </w:tcPr>
          <w:p w14:paraId="2D553CAC" w14:textId="2F145A64" w:rsidR="00234D14" w:rsidRPr="004E6649" w:rsidRDefault="00234D14" w:rsidP="00234D14">
            <w:pPr>
              <w:jc w:val="right"/>
              <w:rPr>
                <w:rFonts w:eastAsia="Times New Roman" w:cstheme="minorHAnsi"/>
                <w:sz w:val="20"/>
                <w:szCs w:val="20"/>
              </w:rPr>
            </w:pPr>
            <w:r w:rsidRPr="004E6649">
              <w:rPr>
                <w:rFonts w:eastAsia="Times New Roman" w:cstheme="minorHAnsi"/>
                <w:sz w:val="20"/>
                <w:szCs w:val="20"/>
              </w:rPr>
              <w:t>701</w:t>
            </w:r>
          </w:p>
        </w:tc>
      </w:tr>
      <w:tr w:rsidR="00376879" w:rsidRPr="004E6649" w14:paraId="5CD4362E" w14:textId="77777777" w:rsidTr="00376879">
        <w:trPr>
          <w:trHeight w:val="80"/>
          <w:jc w:val="center"/>
        </w:trPr>
        <w:tc>
          <w:tcPr>
            <w:tcW w:w="4590" w:type="dxa"/>
            <w:tcBorders>
              <w:top w:val="nil"/>
              <w:left w:val="nil"/>
              <w:bottom w:val="single" w:sz="8" w:space="0" w:color="000000" w:themeColor="text1"/>
              <w:right w:val="nil"/>
            </w:tcBorders>
            <w:shd w:val="clear" w:color="000000" w:fill="FFFFFF"/>
            <w:noWrap/>
            <w:vAlign w:val="bottom"/>
            <w:hideMark/>
          </w:tcPr>
          <w:p w14:paraId="66AA61E2" w14:textId="77777777" w:rsidR="00234D14" w:rsidRPr="00A470B6" w:rsidRDefault="00234D14" w:rsidP="00234D14">
            <w:pPr>
              <w:pStyle w:val="AFR1"/>
              <w:pBdr>
                <w:bottom w:val="none" w:sz="0" w:space="0" w:color="auto"/>
              </w:pBdr>
              <w:spacing w:after="0"/>
              <w:rPr>
                <w:rFonts w:cstheme="minorHAnsi"/>
                <w:b w:val="0"/>
                <w:bCs/>
                <w:i w:val="0"/>
                <w:iCs/>
                <w:caps w:val="0"/>
                <w:sz w:val="20"/>
                <w:szCs w:val="20"/>
              </w:rPr>
            </w:pPr>
            <w:r w:rsidRPr="00A470B6">
              <w:rPr>
                <w:rFonts w:cstheme="minorHAnsi"/>
                <w:b w:val="0"/>
                <w:bCs/>
                <w:i w:val="0"/>
                <w:iCs/>
                <w:caps w:val="0"/>
                <w:sz w:val="20"/>
                <w:szCs w:val="20"/>
              </w:rPr>
              <w:t>Other</w:t>
            </w:r>
          </w:p>
        </w:tc>
        <w:tc>
          <w:tcPr>
            <w:tcW w:w="775" w:type="dxa"/>
            <w:tcBorders>
              <w:top w:val="nil"/>
              <w:left w:val="nil"/>
              <w:bottom w:val="single" w:sz="8" w:space="0" w:color="000000" w:themeColor="text1"/>
              <w:right w:val="nil"/>
            </w:tcBorders>
            <w:shd w:val="clear" w:color="000000" w:fill="FFFFFF"/>
            <w:vAlign w:val="bottom"/>
          </w:tcPr>
          <w:p w14:paraId="16F02934" w14:textId="286FD5E7" w:rsidR="00234D14" w:rsidRPr="00234D14" w:rsidRDefault="00234D14" w:rsidP="00234D14">
            <w:pPr>
              <w:jc w:val="right"/>
              <w:rPr>
                <w:rFonts w:eastAsia="Times New Roman" w:cstheme="minorHAnsi"/>
                <w:b/>
                <w:bCs/>
                <w:sz w:val="20"/>
                <w:szCs w:val="20"/>
              </w:rPr>
            </w:pPr>
            <w:r w:rsidRPr="008B69B9">
              <w:rPr>
                <w:rFonts w:cstheme="minorHAnsi"/>
                <w:b/>
                <w:bCs/>
                <w:sz w:val="20"/>
                <w:szCs w:val="20"/>
              </w:rPr>
              <w:t>75</w:t>
            </w:r>
          </w:p>
        </w:tc>
        <w:tc>
          <w:tcPr>
            <w:tcW w:w="831" w:type="dxa"/>
            <w:tcBorders>
              <w:top w:val="nil"/>
              <w:left w:val="nil"/>
              <w:right w:val="nil"/>
            </w:tcBorders>
            <w:shd w:val="clear" w:color="auto" w:fill="D9D9D9" w:themeFill="background1" w:themeFillShade="D9"/>
            <w:vAlign w:val="bottom"/>
          </w:tcPr>
          <w:p w14:paraId="5AB7E2EC" w14:textId="5A54DFFE" w:rsidR="00234D14" w:rsidRPr="00234D14" w:rsidRDefault="00234D14" w:rsidP="00234D14">
            <w:pPr>
              <w:jc w:val="right"/>
              <w:rPr>
                <w:rFonts w:eastAsia="Times New Roman" w:cstheme="minorHAnsi"/>
                <w:b/>
                <w:bCs/>
                <w:sz w:val="20"/>
                <w:szCs w:val="20"/>
              </w:rPr>
            </w:pPr>
            <w:r w:rsidRPr="008B69B9">
              <w:rPr>
                <w:rFonts w:cstheme="minorHAnsi"/>
                <w:b/>
                <w:bCs/>
                <w:sz w:val="20"/>
                <w:szCs w:val="20"/>
              </w:rPr>
              <w:t>4%</w:t>
            </w:r>
          </w:p>
        </w:tc>
        <w:tc>
          <w:tcPr>
            <w:tcW w:w="914" w:type="dxa"/>
            <w:tcBorders>
              <w:top w:val="nil"/>
              <w:left w:val="nil"/>
              <w:bottom w:val="single" w:sz="8" w:space="0" w:color="000000" w:themeColor="text1"/>
              <w:right w:val="nil"/>
            </w:tcBorders>
            <w:shd w:val="clear" w:color="000000" w:fill="FFFFFF"/>
            <w:noWrap/>
            <w:vAlign w:val="bottom"/>
            <w:hideMark/>
          </w:tcPr>
          <w:p w14:paraId="317A134A" w14:textId="62318285" w:rsidR="00234D14" w:rsidRPr="00234D14" w:rsidRDefault="00234D14" w:rsidP="00B05CD2">
            <w:pPr>
              <w:jc w:val="right"/>
              <w:rPr>
                <w:rFonts w:eastAsia="Times New Roman" w:cstheme="minorHAnsi"/>
                <w:b/>
                <w:bCs/>
                <w:sz w:val="20"/>
                <w:szCs w:val="20"/>
              </w:rPr>
            </w:pPr>
            <w:r w:rsidRPr="008B69B9">
              <w:rPr>
                <w:rFonts w:cstheme="minorHAnsi"/>
                <w:b/>
                <w:bCs/>
                <w:sz w:val="20"/>
                <w:szCs w:val="20"/>
              </w:rPr>
              <w:t>72</w:t>
            </w:r>
          </w:p>
        </w:tc>
        <w:tc>
          <w:tcPr>
            <w:tcW w:w="959" w:type="dxa"/>
            <w:tcBorders>
              <w:top w:val="nil"/>
              <w:left w:val="nil"/>
              <w:right w:val="nil"/>
            </w:tcBorders>
            <w:shd w:val="clear" w:color="auto" w:fill="D9D9D9" w:themeFill="background1" w:themeFillShade="D9"/>
            <w:noWrap/>
            <w:vAlign w:val="bottom"/>
            <w:hideMark/>
          </w:tcPr>
          <w:p w14:paraId="3342BED9" w14:textId="206924C6" w:rsidR="00234D14" w:rsidRPr="00234D14" w:rsidRDefault="00234D14" w:rsidP="00234D14">
            <w:pPr>
              <w:jc w:val="right"/>
              <w:rPr>
                <w:rFonts w:eastAsia="Times New Roman" w:cstheme="minorHAnsi"/>
                <w:b/>
                <w:bCs/>
                <w:sz w:val="20"/>
                <w:szCs w:val="20"/>
              </w:rPr>
            </w:pPr>
            <w:r w:rsidRPr="008B69B9">
              <w:rPr>
                <w:rFonts w:cstheme="minorHAnsi"/>
                <w:b/>
                <w:bCs/>
                <w:sz w:val="20"/>
                <w:szCs w:val="20"/>
              </w:rPr>
              <w:t>-1%</w:t>
            </w:r>
          </w:p>
        </w:tc>
        <w:tc>
          <w:tcPr>
            <w:tcW w:w="775" w:type="dxa"/>
            <w:tcBorders>
              <w:top w:val="nil"/>
              <w:left w:val="nil"/>
              <w:bottom w:val="single" w:sz="8" w:space="0" w:color="000000" w:themeColor="text1"/>
              <w:right w:val="nil"/>
            </w:tcBorders>
            <w:shd w:val="clear" w:color="000000" w:fill="FFFFFF"/>
            <w:noWrap/>
            <w:vAlign w:val="bottom"/>
            <w:hideMark/>
          </w:tcPr>
          <w:p w14:paraId="22A050D1" w14:textId="6270325A" w:rsidR="00234D14" w:rsidRPr="004E6649" w:rsidRDefault="00234D14" w:rsidP="00234D14">
            <w:pPr>
              <w:jc w:val="right"/>
              <w:rPr>
                <w:rFonts w:eastAsia="Times New Roman" w:cstheme="minorHAnsi"/>
                <w:b/>
                <w:bCs/>
                <w:sz w:val="20"/>
                <w:szCs w:val="20"/>
              </w:rPr>
            </w:pPr>
            <w:r w:rsidRPr="004E6649">
              <w:rPr>
                <w:rFonts w:eastAsia="Times New Roman" w:cstheme="minorHAnsi"/>
                <w:b/>
                <w:bCs/>
                <w:sz w:val="20"/>
                <w:szCs w:val="20"/>
              </w:rPr>
              <w:t>73</w:t>
            </w:r>
          </w:p>
        </w:tc>
        <w:tc>
          <w:tcPr>
            <w:tcW w:w="955" w:type="dxa"/>
            <w:tcBorders>
              <w:top w:val="nil"/>
              <w:left w:val="nil"/>
              <w:bottom w:val="single" w:sz="8" w:space="0" w:color="000000" w:themeColor="text1"/>
              <w:right w:val="nil"/>
            </w:tcBorders>
            <w:shd w:val="clear" w:color="000000" w:fill="FFFFFF"/>
            <w:vAlign w:val="bottom"/>
          </w:tcPr>
          <w:p w14:paraId="7493D89F" w14:textId="4C91A4FF" w:rsidR="00234D14" w:rsidRPr="004546E5" w:rsidRDefault="00234D14" w:rsidP="00234D14">
            <w:pPr>
              <w:jc w:val="right"/>
              <w:rPr>
                <w:rFonts w:eastAsia="Times New Roman" w:cstheme="minorHAnsi"/>
                <w:sz w:val="20"/>
                <w:szCs w:val="20"/>
              </w:rPr>
            </w:pPr>
            <w:r w:rsidRPr="004546E5">
              <w:rPr>
                <w:rFonts w:eastAsia="Times New Roman" w:cstheme="minorHAnsi"/>
                <w:sz w:val="20"/>
                <w:szCs w:val="20"/>
              </w:rPr>
              <w:t>36</w:t>
            </w:r>
          </w:p>
        </w:tc>
        <w:tc>
          <w:tcPr>
            <w:tcW w:w="773" w:type="dxa"/>
            <w:tcBorders>
              <w:top w:val="nil"/>
              <w:left w:val="nil"/>
              <w:bottom w:val="single" w:sz="8" w:space="0" w:color="000000" w:themeColor="text1"/>
              <w:right w:val="nil"/>
            </w:tcBorders>
            <w:shd w:val="clear" w:color="000000" w:fill="FFFFFF"/>
            <w:noWrap/>
            <w:vAlign w:val="bottom"/>
            <w:hideMark/>
          </w:tcPr>
          <w:p w14:paraId="4186F6E5" w14:textId="35C8D4AE" w:rsidR="00234D14" w:rsidRPr="004E6649" w:rsidRDefault="00234D14" w:rsidP="00234D14">
            <w:pPr>
              <w:jc w:val="right"/>
              <w:rPr>
                <w:rFonts w:eastAsia="Times New Roman" w:cstheme="minorHAnsi"/>
                <w:sz w:val="20"/>
                <w:szCs w:val="20"/>
              </w:rPr>
            </w:pPr>
            <w:r w:rsidRPr="004E6649">
              <w:rPr>
                <w:rFonts w:eastAsia="Times New Roman" w:cstheme="minorHAnsi"/>
                <w:sz w:val="20"/>
                <w:szCs w:val="20"/>
              </w:rPr>
              <w:t>88</w:t>
            </w:r>
          </w:p>
        </w:tc>
      </w:tr>
      <w:tr w:rsidR="00376879" w:rsidRPr="004E6649" w14:paraId="2ECB1C3A" w14:textId="77777777" w:rsidTr="00376879">
        <w:trPr>
          <w:trHeight w:val="70"/>
          <w:jc w:val="center"/>
        </w:trPr>
        <w:tc>
          <w:tcPr>
            <w:tcW w:w="4590" w:type="dxa"/>
            <w:tcBorders>
              <w:top w:val="single" w:sz="8" w:space="0" w:color="000000" w:themeColor="text1"/>
              <w:left w:val="nil"/>
              <w:bottom w:val="nil"/>
              <w:right w:val="nil"/>
            </w:tcBorders>
            <w:shd w:val="clear" w:color="000000" w:fill="FFFFFF"/>
            <w:noWrap/>
            <w:vAlign w:val="bottom"/>
            <w:hideMark/>
          </w:tcPr>
          <w:p w14:paraId="542F73DA" w14:textId="77777777" w:rsidR="00234D14" w:rsidRPr="004E6649" w:rsidRDefault="00234D14" w:rsidP="00234D14">
            <w:pPr>
              <w:rPr>
                <w:rFonts w:eastAsia="Times New Roman" w:cstheme="minorHAnsi"/>
                <w:b/>
                <w:bCs/>
                <w:sz w:val="20"/>
                <w:szCs w:val="20"/>
              </w:rPr>
            </w:pPr>
            <w:r w:rsidRPr="004E6649">
              <w:rPr>
                <w:rFonts w:eastAsia="Times New Roman" w:cstheme="minorHAnsi"/>
                <w:b/>
                <w:bCs/>
                <w:sz w:val="20"/>
                <w:szCs w:val="20"/>
              </w:rPr>
              <w:t>Total Assets</w:t>
            </w:r>
          </w:p>
        </w:tc>
        <w:tc>
          <w:tcPr>
            <w:tcW w:w="775" w:type="dxa"/>
            <w:tcBorders>
              <w:top w:val="single" w:sz="8" w:space="0" w:color="000000" w:themeColor="text1"/>
              <w:left w:val="nil"/>
              <w:bottom w:val="nil"/>
              <w:right w:val="nil"/>
            </w:tcBorders>
            <w:shd w:val="clear" w:color="000000" w:fill="FFFFFF"/>
            <w:vAlign w:val="bottom"/>
          </w:tcPr>
          <w:p w14:paraId="67013D32" w14:textId="26067037" w:rsidR="00234D14" w:rsidRPr="00234D14" w:rsidRDefault="00234D14" w:rsidP="00234D14">
            <w:pPr>
              <w:jc w:val="right"/>
              <w:rPr>
                <w:rFonts w:eastAsia="Times New Roman" w:cstheme="minorHAnsi"/>
                <w:b/>
                <w:bCs/>
                <w:sz w:val="20"/>
                <w:szCs w:val="20"/>
              </w:rPr>
            </w:pPr>
            <w:r w:rsidRPr="008B69B9">
              <w:rPr>
                <w:rFonts w:cstheme="minorHAnsi"/>
                <w:b/>
                <w:bCs/>
                <w:sz w:val="20"/>
                <w:szCs w:val="20"/>
              </w:rPr>
              <w:t>1,72</w:t>
            </w:r>
            <w:r w:rsidR="005A12DD">
              <w:rPr>
                <w:rFonts w:cstheme="minorHAnsi"/>
                <w:b/>
                <w:bCs/>
                <w:sz w:val="20"/>
                <w:szCs w:val="20"/>
              </w:rPr>
              <w:t>0</w:t>
            </w:r>
          </w:p>
        </w:tc>
        <w:tc>
          <w:tcPr>
            <w:tcW w:w="831" w:type="dxa"/>
            <w:tcBorders>
              <w:left w:val="nil"/>
              <w:bottom w:val="nil"/>
              <w:right w:val="nil"/>
            </w:tcBorders>
            <w:shd w:val="clear" w:color="auto" w:fill="D9D9D9" w:themeFill="background1" w:themeFillShade="D9"/>
            <w:vAlign w:val="bottom"/>
          </w:tcPr>
          <w:p w14:paraId="422FF65A" w14:textId="22C3D56F" w:rsidR="00234D14" w:rsidRPr="00234D14" w:rsidRDefault="00234D14" w:rsidP="00234D14">
            <w:pPr>
              <w:jc w:val="right"/>
              <w:rPr>
                <w:rFonts w:eastAsia="Times New Roman" w:cstheme="minorHAnsi"/>
                <w:b/>
                <w:bCs/>
                <w:sz w:val="20"/>
                <w:szCs w:val="20"/>
              </w:rPr>
            </w:pPr>
            <w:r w:rsidRPr="008B69B9">
              <w:rPr>
                <w:rFonts w:cstheme="minorHAnsi"/>
                <w:b/>
                <w:bCs/>
                <w:sz w:val="20"/>
                <w:szCs w:val="20"/>
              </w:rPr>
              <w:t>7%</w:t>
            </w:r>
          </w:p>
        </w:tc>
        <w:tc>
          <w:tcPr>
            <w:tcW w:w="914" w:type="dxa"/>
            <w:tcBorders>
              <w:top w:val="single" w:sz="8" w:space="0" w:color="000000" w:themeColor="text1"/>
              <w:left w:val="nil"/>
              <w:bottom w:val="nil"/>
              <w:right w:val="nil"/>
            </w:tcBorders>
            <w:shd w:val="clear" w:color="000000" w:fill="FFFFFF"/>
            <w:noWrap/>
            <w:vAlign w:val="bottom"/>
            <w:hideMark/>
          </w:tcPr>
          <w:p w14:paraId="3B7C56AD" w14:textId="7CB48E73" w:rsidR="00234D14" w:rsidRPr="00234D14" w:rsidRDefault="00234D14" w:rsidP="00B05CD2">
            <w:pPr>
              <w:jc w:val="right"/>
              <w:rPr>
                <w:rFonts w:eastAsia="Times New Roman" w:cstheme="minorHAnsi"/>
                <w:b/>
                <w:bCs/>
                <w:sz w:val="20"/>
                <w:szCs w:val="20"/>
              </w:rPr>
            </w:pPr>
            <w:r w:rsidRPr="008B69B9">
              <w:rPr>
                <w:rFonts w:cstheme="minorHAnsi"/>
                <w:b/>
                <w:bCs/>
                <w:sz w:val="20"/>
                <w:szCs w:val="20"/>
              </w:rPr>
              <w:t>1,614</w:t>
            </w:r>
          </w:p>
        </w:tc>
        <w:tc>
          <w:tcPr>
            <w:tcW w:w="959" w:type="dxa"/>
            <w:tcBorders>
              <w:left w:val="nil"/>
              <w:bottom w:val="nil"/>
              <w:right w:val="nil"/>
            </w:tcBorders>
            <w:shd w:val="clear" w:color="auto" w:fill="D9D9D9" w:themeFill="background1" w:themeFillShade="D9"/>
            <w:noWrap/>
            <w:vAlign w:val="bottom"/>
            <w:hideMark/>
          </w:tcPr>
          <w:p w14:paraId="2C15F494" w14:textId="35C9DFC4" w:rsidR="00234D14" w:rsidRPr="00234D14" w:rsidRDefault="00234D14" w:rsidP="00234D14">
            <w:pPr>
              <w:jc w:val="right"/>
              <w:rPr>
                <w:rFonts w:eastAsia="Times New Roman" w:cstheme="minorHAnsi"/>
                <w:b/>
                <w:bCs/>
                <w:sz w:val="20"/>
                <w:szCs w:val="20"/>
              </w:rPr>
            </w:pPr>
            <w:r w:rsidRPr="008B69B9">
              <w:rPr>
                <w:rFonts w:cstheme="minorHAnsi"/>
                <w:b/>
                <w:bCs/>
                <w:sz w:val="20"/>
                <w:szCs w:val="20"/>
              </w:rPr>
              <w:t>7%</w:t>
            </w:r>
          </w:p>
        </w:tc>
        <w:tc>
          <w:tcPr>
            <w:tcW w:w="775" w:type="dxa"/>
            <w:tcBorders>
              <w:top w:val="single" w:sz="8" w:space="0" w:color="000000" w:themeColor="text1"/>
              <w:left w:val="nil"/>
              <w:bottom w:val="nil"/>
              <w:right w:val="nil"/>
            </w:tcBorders>
            <w:shd w:val="clear" w:color="000000" w:fill="FFFFFF"/>
            <w:noWrap/>
            <w:vAlign w:val="bottom"/>
            <w:hideMark/>
          </w:tcPr>
          <w:p w14:paraId="6154A16A" w14:textId="5C8D03EA" w:rsidR="00234D14" w:rsidRPr="004E6649" w:rsidRDefault="00234D14" w:rsidP="00234D14">
            <w:pPr>
              <w:jc w:val="right"/>
              <w:rPr>
                <w:rFonts w:eastAsia="Times New Roman" w:cstheme="minorHAnsi"/>
                <w:b/>
                <w:bCs/>
                <w:sz w:val="20"/>
                <w:szCs w:val="20"/>
              </w:rPr>
            </w:pPr>
            <w:r w:rsidRPr="004E6649">
              <w:rPr>
                <w:rFonts w:eastAsia="Times New Roman" w:cstheme="minorHAnsi"/>
                <w:b/>
                <w:bCs/>
                <w:sz w:val="20"/>
                <w:szCs w:val="20"/>
              </w:rPr>
              <w:t>1,507</w:t>
            </w:r>
          </w:p>
        </w:tc>
        <w:tc>
          <w:tcPr>
            <w:tcW w:w="955" w:type="dxa"/>
            <w:tcBorders>
              <w:top w:val="single" w:sz="8" w:space="0" w:color="000000" w:themeColor="text1"/>
              <w:left w:val="nil"/>
              <w:bottom w:val="nil"/>
              <w:right w:val="nil"/>
            </w:tcBorders>
            <w:shd w:val="clear" w:color="000000" w:fill="FFFFFF"/>
            <w:vAlign w:val="bottom"/>
          </w:tcPr>
          <w:p w14:paraId="42FB90BA" w14:textId="0A7399D7" w:rsidR="00234D14" w:rsidRPr="004546E5" w:rsidRDefault="00234D14" w:rsidP="00234D14">
            <w:pPr>
              <w:jc w:val="right"/>
              <w:rPr>
                <w:rFonts w:eastAsia="Times New Roman" w:cstheme="minorHAnsi"/>
                <w:sz w:val="20"/>
                <w:szCs w:val="20"/>
              </w:rPr>
            </w:pPr>
            <w:r w:rsidRPr="004546E5">
              <w:rPr>
                <w:rFonts w:eastAsia="Times New Roman" w:cstheme="minorHAnsi"/>
                <w:sz w:val="20"/>
                <w:szCs w:val="20"/>
              </w:rPr>
              <w:t>1,375</w:t>
            </w:r>
          </w:p>
        </w:tc>
        <w:tc>
          <w:tcPr>
            <w:tcW w:w="773" w:type="dxa"/>
            <w:tcBorders>
              <w:top w:val="single" w:sz="8" w:space="0" w:color="000000" w:themeColor="text1"/>
              <w:left w:val="nil"/>
              <w:bottom w:val="nil"/>
              <w:right w:val="nil"/>
            </w:tcBorders>
            <w:shd w:val="clear" w:color="000000" w:fill="FFFFFF"/>
            <w:noWrap/>
            <w:vAlign w:val="bottom"/>
            <w:hideMark/>
          </w:tcPr>
          <w:p w14:paraId="3E3D7771" w14:textId="66EA3B8D" w:rsidR="00234D14" w:rsidRPr="004E6649" w:rsidRDefault="00234D14" w:rsidP="00234D14">
            <w:pPr>
              <w:jc w:val="right"/>
              <w:rPr>
                <w:rFonts w:eastAsia="Times New Roman" w:cstheme="minorHAnsi"/>
                <w:sz w:val="20"/>
                <w:szCs w:val="20"/>
              </w:rPr>
            </w:pPr>
            <w:r w:rsidRPr="004E6649">
              <w:rPr>
                <w:rFonts w:eastAsia="Times New Roman" w:cstheme="minorHAnsi"/>
                <w:sz w:val="20"/>
                <w:szCs w:val="20"/>
              </w:rPr>
              <w:t>1,325</w:t>
            </w:r>
          </w:p>
        </w:tc>
      </w:tr>
      <w:tr w:rsidR="00B05CD2" w:rsidRPr="004E6649" w14:paraId="376923DD" w14:textId="77777777" w:rsidTr="008B69B9">
        <w:trPr>
          <w:trHeight w:val="80"/>
          <w:jc w:val="center"/>
        </w:trPr>
        <w:tc>
          <w:tcPr>
            <w:tcW w:w="4590" w:type="dxa"/>
            <w:tcBorders>
              <w:top w:val="nil"/>
              <w:left w:val="nil"/>
              <w:bottom w:val="nil"/>
              <w:right w:val="nil"/>
            </w:tcBorders>
            <w:shd w:val="clear" w:color="000000" w:fill="FFFFFF"/>
            <w:noWrap/>
            <w:vAlign w:val="bottom"/>
            <w:hideMark/>
          </w:tcPr>
          <w:p w14:paraId="4106A587" w14:textId="77777777" w:rsidR="00234D14" w:rsidRPr="004E6649" w:rsidRDefault="00234D14" w:rsidP="00234D14">
            <w:pPr>
              <w:rPr>
                <w:rFonts w:eastAsia="Times New Roman" w:cstheme="minorHAnsi"/>
                <w:b/>
                <w:bCs/>
                <w:sz w:val="20"/>
                <w:szCs w:val="20"/>
              </w:rPr>
            </w:pPr>
            <w:r w:rsidRPr="004E6649">
              <w:rPr>
                <w:rFonts w:eastAsia="Times New Roman" w:cstheme="minorHAnsi"/>
                <w:b/>
                <w:bCs/>
                <w:sz w:val="20"/>
                <w:szCs w:val="20"/>
              </w:rPr>
              <w:t>Deferred Outflows of Resources</w:t>
            </w:r>
          </w:p>
        </w:tc>
        <w:tc>
          <w:tcPr>
            <w:tcW w:w="775" w:type="dxa"/>
            <w:tcBorders>
              <w:top w:val="nil"/>
              <w:left w:val="nil"/>
              <w:bottom w:val="nil"/>
              <w:right w:val="nil"/>
            </w:tcBorders>
            <w:shd w:val="clear" w:color="000000" w:fill="FFFFFF"/>
            <w:vAlign w:val="bottom"/>
          </w:tcPr>
          <w:p w14:paraId="43D91128" w14:textId="414DFCC4" w:rsidR="00234D14" w:rsidRPr="00234D14" w:rsidRDefault="00234D14" w:rsidP="00234D14">
            <w:pPr>
              <w:jc w:val="right"/>
              <w:rPr>
                <w:rFonts w:eastAsia="Times New Roman" w:cstheme="minorHAnsi"/>
                <w:b/>
                <w:bCs/>
                <w:sz w:val="20"/>
                <w:szCs w:val="20"/>
              </w:rPr>
            </w:pPr>
            <w:r w:rsidRPr="008B69B9">
              <w:rPr>
                <w:rFonts w:cstheme="minorHAnsi"/>
                <w:b/>
                <w:bCs/>
                <w:sz w:val="20"/>
                <w:szCs w:val="20"/>
              </w:rPr>
              <w:t>22</w:t>
            </w:r>
          </w:p>
        </w:tc>
        <w:tc>
          <w:tcPr>
            <w:tcW w:w="831" w:type="dxa"/>
            <w:tcBorders>
              <w:top w:val="nil"/>
              <w:left w:val="nil"/>
              <w:bottom w:val="nil"/>
              <w:right w:val="nil"/>
            </w:tcBorders>
            <w:shd w:val="clear" w:color="auto" w:fill="D9D9D9" w:themeFill="background1" w:themeFillShade="D9"/>
            <w:vAlign w:val="bottom"/>
          </w:tcPr>
          <w:p w14:paraId="48BF464B" w14:textId="018E433D" w:rsidR="00234D14" w:rsidRPr="00234D14" w:rsidRDefault="00234D14" w:rsidP="00234D14">
            <w:pPr>
              <w:jc w:val="right"/>
              <w:rPr>
                <w:rFonts w:eastAsia="Times New Roman" w:cstheme="minorHAnsi"/>
                <w:b/>
                <w:bCs/>
                <w:sz w:val="20"/>
                <w:szCs w:val="20"/>
              </w:rPr>
            </w:pPr>
            <w:r w:rsidRPr="008B69B9">
              <w:rPr>
                <w:rFonts w:cstheme="minorHAnsi"/>
                <w:b/>
                <w:bCs/>
                <w:sz w:val="20"/>
                <w:szCs w:val="20"/>
              </w:rPr>
              <w:t>267%</w:t>
            </w:r>
          </w:p>
        </w:tc>
        <w:tc>
          <w:tcPr>
            <w:tcW w:w="914" w:type="dxa"/>
            <w:tcBorders>
              <w:top w:val="nil"/>
              <w:left w:val="nil"/>
              <w:bottom w:val="nil"/>
              <w:right w:val="nil"/>
            </w:tcBorders>
            <w:shd w:val="clear" w:color="000000" w:fill="FFFFFF"/>
            <w:noWrap/>
            <w:vAlign w:val="bottom"/>
            <w:hideMark/>
          </w:tcPr>
          <w:p w14:paraId="3708F852" w14:textId="1C9A4423" w:rsidR="00234D14" w:rsidRPr="00234D14" w:rsidRDefault="00234D14" w:rsidP="00B05CD2">
            <w:pPr>
              <w:jc w:val="right"/>
              <w:rPr>
                <w:rFonts w:eastAsia="Times New Roman" w:cstheme="minorHAnsi"/>
                <w:b/>
                <w:bCs/>
                <w:sz w:val="20"/>
                <w:szCs w:val="20"/>
              </w:rPr>
            </w:pPr>
            <w:r w:rsidRPr="008B69B9">
              <w:rPr>
                <w:rFonts w:cstheme="minorHAnsi"/>
                <w:b/>
                <w:bCs/>
                <w:sz w:val="20"/>
                <w:szCs w:val="20"/>
              </w:rPr>
              <w:t>6</w:t>
            </w:r>
          </w:p>
        </w:tc>
        <w:tc>
          <w:tcPr>
            <w:tcW w:w="959" w:type="dxa"/>
            <w:tcBorders>
              <w:top w:val="nil"/>
              <w:left w:val="nil"/>
              <w:bottom w:val="nil"/>
              <w:right w:val="nil"/>
            </w:tcBorders>
            <w:shd w:val="clear" w:color="auto" w:fill="D9D9D9" w:themeFill="background1" w:themeFillShade="D9"/>
            <w:noWrap/>
            <w:vAlign w:val="bottom"/>
            <w:hideMark/>
          </w:tcPr>
          <w:p w14:paraId="6E2B382E" w14:textId="6534B5B3" w:rsidR="00234D14" w:rsidRPr="00234D14" w:rsidRDefault="00234D14" w:rsidP="00234D14">
            <w:pPr>
              <w:jc w:val="right"/>
              <w:rPr>
                <w:rFonts w:eastAsia="Times New Roman" w:cstheme="minorHAnsi"/>
                <w:b/>
                <w:bCs/>
                <w:sz w:val="20"/>
                <w:szCs w:val="20"/>
              </w:rPr>
            </w:pPr>
            <w:r w:rsidRPr="008B69B9">
              <w:rPr>
                <w:rFonts w:cstheme="minorHAnsi"/>
                <w:b/>
                <w:bCs/>
                <w:sz w:val="20"/>
                <w:szCs w:val="20"/>
              </w:rPr>
              <w:t>-65%</w:t>
            </w:r>
          </w:p>
        </w:tc>
        <w:tc>
          <w:tcPr>
            <w:tcW w:w="775" w:type="dxa"/>
            <w:tcBorders>
              <w:top w:val="nil"/>
              <w:left w:val="nil"/>
              <w:bottom w:val="nil"/>
              <w:right w:val="nil"/>
            </w:tcBorders>
            <w:shd w:val="clear" w:color="000000" w:fill="FFFFFF"/>
            <w:noWrap/>
            <w:vAlign w:val="bottom"/>
            <w:hideMark/>
          </w:tcPr>
          <w:p w14:paraId="0B17271D" w14:textId="00AA5846" w:rsidR="00234D14" w:rsidRPr="004E6649" w:rsidRDefault="00234D14" w:rsidP="00234D14">
            <w:pPr>
              <w:jc w:val="right"/>
              <w:rPr>
                <w:rFonts w:eastAsia="Times New Roman" w:cstheme="minorHAnsi"/>
                <w:b/>
                <w:bCs/>
                <w:sz w:val="20"/>
                <w:szCs w:val="20"/>
              </w:rPr>
            </w:pPr>
            <w:r w:rsidRPr="004E6649">
              <w:rPr>
                <w:rFonts w:eastAsia="Times New Roman" w:cstheme="minorHAnsi"/>
                <w:b/>
                <w:bCs/>
                <w:sz w:val="20"/>
                <w:szCs w:val="20"/>
              </w:rPr>
              <w:t>17</w:t>
            </w:r>
          </w:p>
        </w:tc>
        <w:tc>
          <w:tcPr>
            <w:tcW w:w="955" w:type="dxa"/>
            <w:tcBorders>
              <w:top w:val="nil"/>
              <w:left w:val="nil"/>
              <w:bottom w:val="nil"/>
              <w:right w:val="nil"/>
            </w:tcBorders>
            <w:shd w:val="clear" w:color="000000" w:fill="FFFFFF"/>
            <w:vAlign w:val="bottom"/>
          </w:tcPr>
          <w:p w14:paraId="42661305" w14:textId="0FE1805C" w:rsidR="00234D14" w:rsidRPr="004546E5" w:rsidRDefault="00234D14" w:rsidP="00234D14">
            <w:pPr>
              <w:jc w:val="right"/>
              <w:rPr>
                <w:rFonts w:eastAsia="Times New Roman" w:cstheme="minorHAnsi"/>
                <w:sz w:val="20"/>
                <w:szCs w:val="20"/>
              </w:rPr>
            </w:pPr>
            <w:r w:rsidRPr="004546E5">
              <w:rPr>
                <w:rFonts w:eastAsia="Times New Roman" w:cstheme="minorHAnsi"/>
                <w:sz w:val="20"/>
                <w:szCs w:val="20"/>
              </w:rPr>
              <w:t>32</w:t>
            </w:r>
          </w:p>
        </w:tc>
        <w:tc>
          <w:tcPr>
            <w:tcW w:w="773" w:type="dxa"/>
            <w:tcBorders>
              <w:top w:val="nil"/>
              <w:left w:val="nil"/>
              <w:bottom w:val="nil"/>
              <w:right w:val="nil"/>
            </w:tcBorders>
            <w:shd w:val="clear" w:color="000000" w:fill="FFFFFF"/>
            <w:noWrap/>
            <w:vAlign w:val="bottom"/>
            <w:hideMark/>
          </w:tcPr>
          <w:p w14:paraId="5D97C46A" w14:textId="47EBF6C1" w:rsidR="00234D14" w:rsidRPr="004E6649" w:rsidRDefault="00234D14" w:rsidP="00234D14">
            <w:pPr>
              <w:jc w:val="right"/>
              <w:rPr>
                <w:rFonts w:eastAsia="Times New Roman" w:cstheme="minorHAnsi"/>
                <w:sz w:val="20"/>
                <w:szCs w:val="20"/>
              </w:rPr>
            </w:pPr>
            <w:r w:rsidRPr="004E6649">
              <w:rPr>
                <w:rFonts w:eastAsia="Times New Roman" w:cstheme="minorHAnsi"/>
                <w:sz w:val="20"/>
                <w:szCs w:val="20"/>
              </w:rPr>
              <w:t>18</w:t>
            </w:r>
          </w:p>
        </w:tc>
      </w:tr>
      <w:tr w:rsidR="00616EE7" w:rsidRPr="004E6649" w14:paraId="517FE59D" w14:textId="77777777" w:rsidTr="008B69B9">
        <w:trPr>
          <w:trHeight w:val="70"/>
          <w:jc w:val="center"/>
        </w:trPr>
        <w:tc>
          <w:tcPr>
            <w:tcW w:w="4590" w:type="dxa"/>
            <w:tcBorders>
              <w:top w:val="single" w:sz="4" w:space="0" w:color="auto"/>
              <w:left w:val="nil"/>
              <w:bottom w:val="double" w:sz="6" w:space="0" w:color="auto"/>
              <w:right w:val="nil"/>
            </w:tcBorders>
            <w:shd w:val="clear" w:color="000000" w:fill="FFFFFF"/>
            <w:noWrap/>
            <w:vAlign w:val="bottom"/>
            <w:hideMark/>
          </w:tcPr>
          <w:p w14:paraId="5791AE26" w14:textId="77777777" w:rsidR="00234D14" w:rsidRPr="004E6649" w:rsidRDefault="00234D14" w:rsidP="00234D14">
            <w:pPr>
              <w:rPr>
                <w:rFonts w:eastAsia="Times New Roman" w:cstheme="minorHAnsi"/>
                <w:b/>
                <w:bCs/>
                <w:color w:val="000000"/>
                <w:sz w:val="20"/>
                <w:szCs w:val="20"/>
              </w:rPr>
            </w:pPr>
            <w:r w:rsidRPr="004E6649">
              <w:rPr>
                <w:rFonts w:eastAsia="Times New Roman" w:cstheme="minorHAnsi"/>
                <w:b/>
                <w:bCs/>
                <w:color w:val="000000"/>
                <w:sz w:val="20"/>
                <w:szCs w:val="20"/>
              </w:rPr>
              <w:t>Total Assets and Deferred Outflows</w:t>
            </w:r>
          </w:p>
        </w:tc>
        <w:tc>
          <w:tcPr>
            <w:tcW w:w="775" w:type="dxa"/>
            <w:tcBorders>
              <w:top w:val="single" w:sz="4" w:space="0" w:color="auto"/>
              <w:left w:val="nil"/>
              <w:bottom w:val="double" w:sz="6" w:space="0" w:color="auto"/>
              <w:right w:val="nil"/>
            </w:tcBorders>
            <w:shd w:val="clear" w:color="000000" w:fill="FFFFFF"/>
            <w:vAlign w:val="bottom"/>
          </w:tcPr>
          <w:p w14:paraId="71A5EEB3" w14:textId="3B76FD92" w:rsidR="00234D14" w:rsidRPr="00234D14" w:rsidRDefault="00234D14" w:rsidP="00234D14">
            <w:pPr>
              <w:jc w:val="right"/>
              <w:rPr>
                <w:rFonts w:eastAsia="Times New Roman" w:cstheme="minorHAnsi"/>
                <w:b/>
                <w:bCs/>
                <w:color w:val="000000"/>
                <w:sz w:val="20"/>
                <w:szCs w:val="20"/>
              </w:rPr>
            </w:pPr>
            <w:r w:rsidRPr="008B69B9">
              <w:rPr>
                <w:rFonts w:cstheme="minorHAnsi"/>
                <w:b/>
                <w:bCs/>
                <w:color w:val="000000"/>
                <w:sz w:val="20"/>
                <w:szCs w:val="20"/>
              </w:rPr>
              <w:t>$1,74</w:t>
            </w:r>
            <w:r w:rsidR="005A12DD">
              <w:rPr>
                <w:rFonts w:cstheme="minorHAnsi"/>
                <w:b/>
                <w:bCs/>
                <w:color w:val="000000"/>
                <w:sz w:val="20"/>
                <w:szCs w:val="20"/>
              </w:rPr>
              <w:t>2</w:t>
            </w:r>
          </w:p>
        </w:tc>
        <w:tc>
          <w:tcPr>
            <w:tcW w:w="831" w:type="dxa"/>
            <w:tcBorders>
              <w:left w:val="nil"/>
              <w:right w:val="nil"/>
            </w:tcBorders>
            <w:shd w:val="clear" w:color="auto" w:fill="D9D9D9" w:themeFill="background1" w:themeFillShade="D9"/>
            <w:vAlign w:val="bottom"/>
          </w:tcPr>
          <w:p w14:paraId="13B4DE93" w14:textId="6C7AAA78" w:rsidR="00234D14" w:rsidRPr="00234D14" w:rsidRDefault="00234D14" w:rsidP="00234D14">
            <w:pPr>
              <w:jc w:val="right"/>
              <w:rPr>
                <w:rFonts w:eastAsia="Times New Roman" w:cstheme="minorHAnsi"/>
                <w:b/>
                <w:bCs/>
                <w:color w:val="000000"/>
                <w:sz w:val="20"/>
                <w:szCs w:val="20"/>
              </w:rPr>
            </w:pPr>
            <w:r w:rsidRPr="008B69B9">
              <w:rPr>
                <w:rFonts w:cstheme="minorHAnsi"/>
                <w:b/>
                <w:bCs/>
                <w:sz w:val="20"/>
                <w:szCs w:val="20"/>
              </w:rPr>
              <w:t>8%</w:t>
            </w:r>
          </w:p>
        </w:tc>
        <w:tc>
          <w:tcPr>
            <w:tcW w:w="914" w:type="dxa"/>
            <w:tcBorders>
              <w:top w:val="single" w:sz="4" w:space="0" w:color="auto"/>
              <w:left w:val="nil"/>
              <w:bottom w:val="double" w:sz="6" w:space="0" w:color="auto"/>
              <w:right w:val="nil"/>
            </w:tcBorders>
            <w:shd w:val="clear" w:color="000000" w:fill="FFFFFF"/>
            <w:noWrap/>
            <w:vAlign w:val="bottom"/>
            <w:hideMark/>
          </w:tcPr>
          <w:p w14:paraId="0AD2DD72" w14:textId="322B7CB4" w:rsidR="00234D14" w:rsidRPr="00234D14" w:rsidRDefault="00234D14" w:rsidP="00B05CD2">
            <w:pPr>
              <w:jc w:val="right"/>
              <w:rPr>
                <w:rFonts w:eastAsia="Times New Roman" w:cstheme="minorHAnsi"/>
                <w:b/>
                <w:bCs/>
                <w:color w:val="000000"/>
                <w:sz w:val="20"/>
                <w:szCs w:val="20"/>
              </w:rPr>
            </w:pPr>
            <w:r w:rsidRPr="008B69B9">
              <w:rPr>
                <w:rFonts w:cstheme="minorHAnsi"/>
                <w:b/>
                <w:bCs/>
                <w:color w:val="000000"/>
                <w:sz w:val="20"/>
                <w:szCs w:val="20"/>
              </w:rPr>
              <w:t>$1,620</w:t>
            </w:r>
          </w:p>
        </w:tc>
        <w:tc>
          <w:tcPr>
            <w:tcW w:w="959" w:type="dxa"/>
            <w:tcBorders>
              <w:top w:val="nil"/>
              <w:left w:val="nil"/>
              <w:bottom w:val="nil"/>
              <w:right w:val="nil"/>
            </w:tcBorders>
            <w:shd w:val="clear" w:color="auto" w:fill="D9D9D9" w:themeFill="background1" w:themeFillShade="D9"/>
            <w:noWrap/>
            <w:vAlign w:val="bottom"/>
            <w:hideMark/>
          </w:tcPr>
          <w:p w14:paraId="568618A2" w14:textId="495BD5B7" w:rsidR="00234D14" w:rsidRPr="00234D14" w:rsidRDefault="00234D14" w:rsidP="00234D14">
            <w:pPr>
              <w:jc w:val="right"/>
              <w:rPr>
                <w:rFonts w:eastAsia="Times New Roman" w:cstheme="minorHAnsi"/>
                <w:b/>
                <w:bCs/>
                <w:sz w:val="20"/>
                <w:szCs w:val="20"/>
              </w:rPr>
            </w:pPr>
            <w:r w:rsidRPr="008B69B9">
              <w:rPr>
                <w:rFonts w:cstheme="minorHAnsi"/>
                <w:b/>
                <w:bCs/>
                <w:sz w:val="20"/>
                <w:szCs w:val="20"/>
              </w:rPr>
              <w:t>6%</w:t>
            </w:r>
          </w:p>
        </w:tc>
        <w:tc>
          <w:tcPr>
            <w:tcW w:w="775" w:type="dxa"/>
            <w:tcBorders>
              <w:top w:val="single" w:sz="4" w:space="0" w:color="auto"/>
              <w:left w:val="nil"/>
              <w:bottom w:val="double" w:sz="6" w:space="0" w:color="auto"/>
              <w:right w:val="nil"/>
            </w:tcBorders>
            <w:shd w:val="clear" w:color="000000" w:fill="FFFFFF"/>
            <w:noWrap/>
            <w:vAlign w:val="bottom"/>
            <w:hideMark/>
          </w:tcPr>
          <w:p w14:paraId="716BDDDC" w14:textId="5A8ECEC9" w:rsidR="00234D14" w:rsidRPr="004E6649" w:rsidRDefault="00234D14" w:rsidP="00234D14">
            <w:pPr>
              <w:jc w:val="right"/>
              <w:rPr>
                <w:rFonts w:eastAsia="Times New Roman" w:cstheme="minorHAnsi"/>
                <w:b/>
                <w:bCs/>
                <w:color w:val="000000"/>
                <w:sz w:val="20"/>
                <w:szCs w:val="20"/>
              </w:rPr>
            </w:pPr>
            <w:r w:rsidRPr="004E6649">
              <w:rPr>
                <w:rFonts w:eastAsia="Times New Roman" w:cstheme="minorHAnsi"/>
                <w:b/>
                <w:bCs/>
                <w:color w:val="000000"/>
                <w:sz w:val="20"/>
                <w:szCs w:val="20"/>
              </w:rPr>
              <w:t>$1,524</w:t>
            </w:r>
          </w:p>
        </w:tc>
        <w:tc>
          <w:tcPr>
            <w:tcW w:w="955" w:type="dxa"/>
            <w:tcBorders>
              <w:top w:val="single" w:sz="4" w:space="0" w:color="auto"/>
              <w:left w:val="nil"/>
              <w:bottom w:val="double" w:sz="6" w:space="0" w:color="auto"/>
              <w:right w:val="nil"/>
            </w:tcBorders>
            <w:shd w:val="clear" w:color="000000" w:fill="FFFFFF"/>
            <w:vAlign w:val="bottom"/>
          </w:tcPr>
          <w:p w14:paraId="1D74702A" w14:textId="59060630" w:rsidR="00234D14" w:rsidRPr="004546E5" w:rsidRDefault="00234D14" w:rsidP="00234D14">
            <w:pPr>
              <w:jc w:val="right"/>
              <w:rPr>
                <w:rFonts w:eastAsia="Times New Roman" w:cstheme="minorHAnsi"/>
                <w:color w:val="000000"/>
                <w:sz w:val="20"/>
                <w:szCs w:val="20"/>
              </w:rPr>
            </w:pPr>
            <w:r w:rsidRPr="004546E5">
              <w:rPr>
                <w:rFonts w:eastAsia="Times New Roman" w:cstheme="minorHAnsi"/>
                <w:color w:val="000000"/>
                <w:sz w:val="20"/>
                <w:szCs w:val="20"/>
              </w:rPr>
              <w:t>$1,407</w:t>
            </w:r>
          </w:p>
        </w:tc>
        <w:tc>
          <w:tcPr>
            <w:tcW w:w="773" w:type="dxa"/>
            <w:tcBorders>
              <w:top w:val="single" w:sz="4" w:space="0" w:color="auto"/>
              <w:left w:val="nil"/>
              <w:bottom w:val="double" w:sz="6" w:space="0" w:color="auto"/>
              <w:right w:val="nil"/>
            </w:tcBorders>
            <w:shd w:val="clear" w:color="000000" w:fill="FFFFFF"/>
            <w:noWrap/>
            <w:vAlign w:val="bottom"/>
            <w:hideMark/>
          </w:tcPr>
          <w:p w14:paraId="5C85E760" w14:textId="60F4768A" w:rsidR="00234D14" w:rsidRPr="004E6649" w:rsidRDefault="00234D14" w:rsidP="00234D14">
            <w:pPr>
              <w:jc w:val="right"/>
              <w:rPr>
                <w:rFonts w:eastAsia="Times New Roman" w:cstheme="minorHAnsi"/>
                <w:color w:val="000000"/>
                <w:sz w:val="20"/>
                <w:szCs w:val="20"/>
              </w:rPr>
            </w:pPr>
            <w:r w:rsidRPr="004E6649">
              <w:rPr>
                <w:rFonts w:eastAsia="Times New Roman" w:cstheme="minorHAnsi"/>
                <w:color w:val="000000"/>
                <w:sz w:val="20"/>
                <w:szCs w:val="20"/>
              </w:rPr>
              <w:t>$1,343</w:t>
            </w:r>
          </w:p>
        </w:tc>
      </w:tr>
      <w:tr w:rsidR="00B05CD2" w:rsidRPr="004E6649" w14:paraId="47975A96" w14:textId="77777777" w:rsidTr="008B69B9">
        <w:trPr>
          <w:trHeight w:val="35"/>
          <w:jc w:val="center"/>
        </w:trPr>
        <w:tc>
          <w:tcPr>
            <w:tcW w:w="4590" w:type="dxa"/>
            <w:tcBorders>
              <w:top w:val="nil"/>
              <w:left w:val="nil"/>
              <w:bottom w:val="nil"/>
              <w:right w:val="nil"/>
            </w:tcBorders>
            <w:shd w:val="clear" w:color="000000" w:fill="FFFFFF"/>
            <w:noWrap/>
            <w:vAlign w:val="bottom"/>
            <w:hideMark/>
          </w:tcPr>
          <w:p w14:paraId="3298A38F" w14:textId="77777777" w:rsidR="00234D14" w:rsidRPr="004E6649" w:rsidRDefault="00234D14" w:rsidP="00234D14">
            <w:pPr>
              <w:rPr>
                <w:rFonts w:eastAsia="Times New Roman" w:cstheme="minorHAnsi"/>
                <w:sz w:val="20"/>
                <w:szCs w:val="20"/>
              </w:rPr>
            </w:pPr>
            <w:r w:rsidRPr="004E6649">
              <w:rPr>
                <w:rFonts w:eastAsia="Times New Roman" w:cstheme="minorHAnsi"/>
                <w:sz w:val="20"/>
                <w:szCs w:val="20"/>
              </w:rPr>
              <w:t>Current Liabilities</w:t>
            </w:r>
          </w:p>
        </w:tc>
        <w:tc>
          <w:tcPr>
            <w:tcW w:w="775" w:type="dxa"/>
            <w:tcBorders>
              <w:top w:val="nil"/>
              <w:left w:val="nil"/>
              <w:bottom w:val="nil"/>
              <w:right w:val="nil"/>
            </w:tcBorders>
            <w:shd w:val="clear" w:color="000000" w:fill="FFFFFF"/>
            <w:vAlign w:val="bottom"/>
          </w:tcPr>
          <w:p w14:paraId="2F30B5F1" w14:textId="11DBCE80" w:rsidR="00234D14" w:rsidRPr="00234D14" w:rsidRDefault="00234D14" w:rsidP="00234D14">
            <w:pPr>
              <w:jc w:val="right"/>
              <w:rPr>
                <w:rFonts w:eastAsia="Times New Roman" w:cstheme="minorHAnsi"/>
                <w:b/>
                <w:bCs/>
                <w:sz w:val="20"/>
                <w:szCs w:val="20"/>
              </w:rPr>
            </w:pPr>
            <w:r w:rsidRPr="008B69B9">
              <w:rPr>
                <w:rFonts w:cstheme="minorHAnsi"/>
                <w:b/>
                <w:bCs/>
                <w:sz w:val="20"/>
                <w:szCs w:val="20"/>
              </w:rPr>
              <w:t> </w:t>
            </w:r>
          </w:p>
        </w:tc>
        <w:tc>
          <w:tcPr>
            <w:tcW w:w="831" w:type="dxa"/>
            <w:tcBorders>
              <w:top w:val="nil"/>
              <w:left w:val="nil"/>
              <w:bottom w:val="nil"/>
              <w:right w:val="nil"/>
            </w:tcBorders>
            <w:shd w:val="clear" w:color="auto" w:fill="D9D9D9" w:themeFill="background1" w:themeFillShade="D9"/>
            <w:vAlign w:val="bottom"/>
          </w:tcPr>
          <w:p w14:paraId="427B5BF6" w14:textId="3380D955" w:rsidR="00234D14" w:rsidRPr="00234D14" w:rsidRDefault="00234D14" w:rsidP="00234D14">
            <w:pPr>
              <w:jc w:val="right"/>
              <w:rPr>
                <w:rFonts w:eastAsia="Times New Roman" w:cstheme="minorHAnsi"/>
                <w:b/>
                <w:bCs/>
                <w:sz w:val="20"/>
                <w:szCs w:val="20"/>
              </w:rPr>
            </w:pPr>
            <w:r w:rsidRPr="008B69B9">
              <w:rPr>
                <w:rFonts w:cstheme="minorHAnsi"/>
                <w:b/>
                <w:bCs/>
                <w:sz w:val="20"/>
                <w:szCs w:val="20"/>
              </w:rPr>
              <w:t> </w:t>
            </w:r>
          </w:p>
        </w:tc>
        <w:tc>
          <w:tcPr>
            <w:tcW w:w="914" w:type="dxa"/>
            <w:tcBorders>
              <w:top w:val="nil"/>
              <w:left w:val="nil"/>
              <w:bottom w:val="nil"/>
              <w:right w:val="nil"/>
            </w:tcBorders>
            <w:shd w:val="clear" w:color="000000" w:fill="FFFFFF"/>
            <w:noWrap/>
            <w:vAlign w:val="bottom"/>
            <w:hideMark/>
          </w:tcPr>
          <w:p w14:paraId="24C77187" w14:textId="63229C87" w:rsidR="00234D14" w:rsidRPr="00234D14" w:rsidRDefault="00234D14" w:rsidP="00B05CD2">
            <w:pPr>
              <w:jc w:val="right"/>
              <w:rPr>
                <w:rFonts w:eastAsia="Times New Roman" w:cstheme="minorHAnsi"/>
                <w:b/>
                <w:bCs/>
                <w:sz w:val="20"/>
                <w:szCs w:val="20"/>
              </w:rPr>
            </w:pPr>
            <w:r w:rsidRPr="008B69B9">
              <w:rPr>
                <w:rFonts w:cstheme="minorHAnsi"/>
                <w:b/>
                <w:bCs/>
                <w:sz w:val="20"/>
                <w:szCs w:val="20"/>
              </w:rPr>
              <w:t> </w:t>
            </w:r>
          </w:p>
        </w:tc>
        <w:tc>
          <w:tcPr>
            <w:tcW w:w="959" w:type="dxa"/>
            <w:tcBorders>
              <w:top w:val="nil"/>
              <w:left w:val="nil"/>
              <w:bottom w:val="nil"/>
              <w:right w:val="nil"/>
            </w:tcBorders>
            <w:shd w:val="clear" w:color="auto" w:fill="D9D9D9" w:themeFill="background1" w:themeFillShade="D9"/>
            <w:noWrap/>
            <w:vAlign w:val="bottom"/>
            <w:hideMark/>
          </w:tcPr>
          <w:p w14:paraId="125B13F3" w14:textId="41DBD916" w:rsidR="00234D14" w:rsidRPr="00234D14" w:rsidRDefault="00234D14" w:rsidP="00234D14">
            <w:pPr>
              <w:jc w:val="right"/>
              <w:rPr>
                <w:rFonts w:eastAsia="Times New Roman" w:cstheme="minorHAnsi"/>
                <w:b/>
                <w:bCs/>
                <w:sz w:val="20"/>
                <w:szCs w:val="20"/>
              </w:rPr>
            </w:pPr>
            <w:r w:rsidRPr="008B69B9">
              <w:rPr>
                <w:rFonts w:cstheme="minorHAnsi"/>
                <w:b/>
                <w:bCs/>
                <w:sz w:val="20"/>
                <w:szCs w:val="20"/>
              </w:rPr>
              <w:t> </w:t>
            </w:r>
          </w:p>
        </w:tc>
        <w:tc>
          <w:tcPr>
            <w:tcW w:w="775" w:type="dxa"/>
            <w:tcBorders>
              <w:top w:val="nil"/>
              <w:left w:val="nil"/>
              <w:bottom w:val="nil"/>
              <w:right w:val="nil"/>
            </w:tcBorders>
            <w:shd w:val="clear" w:color="000000" w:fill="FFFFFF"/>
            <w:noWrap/>
            <w:vAlign w:val="bottom"/>
            <w:hideMark/>
          </w:tcPr>
          <w:p w14:paraId="4B1904D4" w14:textId="18C75690" w:rsidR="00234D14" w:rsidRPr="004E6649" w:rsidRDefault="00234D14" w:rsidP="00234D14">
            <w:pPr>
              <w:jc w:val="right"/>
              <w:rPr>
                <w:rFonts w:eastAsia="Times New Roman" w:cstheme="minorHAnsi"/>
                <w:b/>
                <w:bCs/>
                <w:sz w:val="20"/>
                <w:szCs w:val="20"/>
              </w:rPr>
            </w:pPr>
            <w:r w:rsidRPr="004E6649">
              <w:rPr>
                <w:rFonts w:eastAsia="Times New Roman" w:cstheme="minorHAnsi"/>
                <w:b/>
                <w:bCs/>
                <w:sz w:val="20"/>
                <w:szCs w:val="20"/>
              </w:rPr>
              <w:t> </w:t>
            </w:r>
          </w:p>
        </w:tc>
        <w:tc>
          <w:tcPr>
            <w:tcW w:w="955" w:type="dxa"/>
            <w:tcBorders>
              <w:top w:val="nil"/>
              <w:left w:val="nil"/>
              <w:bottom w:val="nil"/>
              <w:right w:val="nil"/>
            </w:tcBorders>
            <w:shd w:val="clear" w:color="000000" w:fill="FFFFFF"/>
            <w:vAlign w:val="bottom"/>
          </w:tcPr>
          <w:p w14:paraId="6CB0B381" w14:textId="57284530" w:rsidR="00234D14" w:rsidRPr="004546E5" w:rsidRDefault="00234D14" w:rsidP="00234D14">
            <w:pPr>
              <w:jc w:val="right"/>
              <w:rPr>
                <w:rFonts w:eastAsia="Times New Roman" w:cstheme="minorHAnsi"/>
                <w:sz w:val="20"/>
                <w:szCs w:val="20"/>
              </w:rPr>
            </w:pPr>
            <w:r w:rsidRPr="004546E5">
              <w:rPr>
                <w:rFonts w:eastAsia="Times New Roman" w:cstheme="minorHAnsi"/>
                <w:sz w:val="20"/>
                <w:szCs w:val="20"/>
              </w:rPr>
              <w:t> </w:t>
            </w:r>
          </w:p>
        </w:tc>
        <w:tc>
          <w:tcPr>
            <w:tcW w:w="773" w:type="dxa"/>
            <w:tcBorders>
              <w:top w:val="nil"/>
              <w:left w:val="nil"/>
              <w:bottom w:val="nil"/>
              <w:right w:val="nil"/>
            </w:tcBorders>
            <w:shd w:val="clear" w:color="000000" w:fill="FFFFFF"/>
            <w:noWrap/>
            <w:vAlign w:val="bottom"/>
            <w:hideMark/>
          </w:tcPr>
          <w:p w14:paraId="04412F4E" w14:textId="16FFC18B" w:rsidR="00234D14" w:rsidRPr="004E6649" w:rsidRDefault="00234D14" w:rsidP="00234D14">
            <w:pPr>
              <w:jc w:val="right"/>
              <w:rPr>
                <w:rFonts w:eastAsia="Times New Roman" w:cstheme="minorHAnsi"/>
                <w:sz w:val="20"/>
                <w:szCs w:val="20"/>
              </w:rPr>
            </w:pPr>
            <w:r w:rsidRPr="004E6649">
              <w:rPr>
                <w:rFonts w:eastAsia="Times New Roman" w:cstheme="minorHAnsi"/>
                <w:sz w:val="20"/>
                <w:szCs w:val="20"/>
              </w:rPr>
              <w:t> </w:t>
            </w:r>
          </w:p>
        </w:tc>
      </w:tr>
      <w:tr w:rsidR="00B05CD2" w:rsidRPr="004E6649" w14:paraId="6E7D49D2" w14:textId="77777777" w:rsidTr="008B69B9">
        <w:trPr>
          <w:trHeight w:val="80"/>
          <w:jc w:val="center"/>
        </w:trPr>
        <w:tc>
          <w:tcPr>
            <w:tcW w:w="4590" w:type="dxa"/>
            <w:tcBorders>
              <w:top w:val="nil"/>
              <w:left w:val="nil"/>
              <w:bottom w:val="nil"/>
              <w:right w:val="nil"/>
            </w:tcBorders>
            <w:shd w:val="clear" w:color="000000" w:fill="FFFFFF"/>
            <w:noWrap/>
            <w:vAlign w:val="bottom"/>
            <w:hideMark/>
          </w:tcPr>
          <w:p w14:paraId="147B0F40" w14:textId="066D5474" w:rsidR="00234D14" w:rsidRPr="004E6649" w:rsidRDefault="00234D14" w:rsidP="00234D14">
            <w:pPr>
              <w:ind w:firstLineChars="100" w:firstLine="200"/>
              <w:rPr>
                <w:rFonts w:eastAsia="Times New Roman" w:cstheme="minorHAnsi"/>
                <w:sz w:val="20"/>
                <w:szCs w:val="20"/>
              </w:rPr>
            </w:pPr>
            <w:r w:rsidRPr="004E6649">
              <w:rPr>
                <w:rFonts w:eastAsia="Times New Roman" w:cstheme="minorHAnsi"/>
                <w:sz w:val="20"/>
                <w:szCs w:val="20"/>
              </w:rPr>
              <w:t xml:space="preserve">Obligations for </w:t>
            </w:r>
            <w:r>
              <w:rPr>
                <w:rFonts w:eastAsia="Times New Roman" w:cstheme="minorHAnsi"/>
                <w:sz w:val="20"/>
                <w:szCs w:val="20"/>
              </w:rPr>
              <w:t>right-to-use</w:t>
            </w:r>
            <w:r w:rsidRPr="004E6649">
              <w:rPr>
                <w:rFonts w:eastAsia="Times New Roman" w:cstheme="minorHAnsi"/>
                <w:sz w:val="20"/>
                <w:szCs w:val="20"/>
              </w:rPr>
              <w:t xml:space="preserve"> assets - current portion</w:t>
            </w:r>
          </w:p>
        </w:tc>
        <w:tc>
          <w:tcPr>
            <w:tcW w:w="775" w:type="dxa"/>
            <w:tcBorders>
              <w:top w:val="nil"/>
              <w:left w:val="nil"/>
              <w:bottom w:val="nil"/>
              <w:right w:val="nil"/>
            </w:tcBorders>
            <w:shd w:val="clear" w:color="000000" w:fill="FFFFFF"/>
            <w:vAlign w:val="bottom"/>
          </w:tcPr>
          <w:p w14:paraId="4C385F7A" w14:textId="37989E02" w:rsidR="00234D14" w:rsidRPr="00234D14" w:rsidRDefault="00234D14" w:rsidP="00234D14">
            <w:pPr>
              <w:jc w:val="right"/>
              <w:rPr>
                <w:rFonts w:eastAsia="Times New Roman" w:cstheme="minorHAnsi"/>
                <w:b/>
                <w:bCs/>
                <w:sz w:val="20"/>
                <w:szCs w:val="20"/>
              </w:rPr>
            </w:pPr>
            <w:r w:rsidRPr="004B45DB">
              <w:rPr>
                <w:rFonts w:cstheme="minorHAnsi"/>
                <w:b/>
                <w:bCs/>
                <w:sz w:val="20"/>
                <w:szCs w:val="20"/>
              </w:rPr>
              <w:t>$7</w:t>
            </w:r>
          </w:p>
        </w:tc>
        <w:tc>
          <w:tcPr>
            <w:tcW w:w="831" w:type="dxa"/>
            <w:tcBorders>
              <w:top w:val="nil"/>
              <w:left w:val="nil"/>
              <w:bottom w:val="nil"/>
              <w:right w:val="nil"/>
            </w:tcBorders>
            <w:shd w:val="clear" w:color="auto" w:fill="D9D9D9" w:themeFill="background1" w:themeFillShade="D9"/>
            <w:vAlign w:val="bottom"/>
          </w:tcPr>
          <w:p w14:paraId="06497D16" w14:textId="15A323E6" w:rsidR="00234D14" w:rsidRPr="00234D14" w:rsidRDefault="00234D14" w:rsidP="00234D14">
            <w:pPr>
              <w:jc w:val="right"/>
              <w:rPr>
                <w:rFonts w:eastAsia="Times New Roman" w:cstheme="minorHAnsi"/>
                <w:b/>
                <w:bCs/>
                <w:sz w:val="20"/>
                <w:szCs w:val="20"/>
              </w:rPr>
            </w:pPr>
            <w:r w:rsidRPr="004B45DB">
              <w:rPr>
                <w:rFonts w:cstheme="minorHAnsi"/>
                <w:b/>
                <w:bCs/>
                <w:sz w:val="20"/>
                <w:szCs w:val="20"/>
              </w:rPr>
              <w:t>17%</w:t>
            </w:r>
          </w:p>
        </w:tc>
        <w:tc>
          <w:tcPr>
            <w:tcW w:w="914" w:type="dxa"/>
            <w:tcBorders>
              <w:top w:val="nil"/>
              <w:left w:val="nil"/>
              <w:bottom w:val="nil"/>
              <w:right w:val="nil"/>
            </w:tcBorders>
            <w:shd w:val="clear" w:color="000000" w:fill="FFFFFF"/>
            <w:noWrap/>
            <w:vAlign w:val="bottom"/>
            <w:hideMark/>
          </w:tcPr>
          <w:p w14:paraId="5004CD29" w14:textId="2A23E601" w:rsidR="00234D14" w:rsidRPr="00234D14" w:rsidRDefault="00234D14" w:rsidP="00B05CD2">
            <w:pPr>
              <w:jc w:val="right"/>
              <w:rPr>
                <w:rFonts w:eastAsia="Times New Roman" w:cstheme="minorHAnsi"/>
                <w:b/>
                <w:bCs/>
                <w:sz w:val="20"/>
                <w:szCs w:val="20"/>
              </w:rPr>
            </w:pPr>
            <w:r w:rsidRPr="004B45DB">
              <w:rPr>
                <w:rFonts w:cstheme="minorHAnsi"/>
                <w:b/>
                <w:bCs/>
                <w:sz w:val="20"/>
                <w:szCs w:val="20"/>
              </w:rPr>
              <w:t>$6</w:t>
            </w:r>
          </w:p>
        </w:tc>
        <w:tc>
          <w:tcPr>
            <w:tcW w:w="959" w:type="dxa"/>
            <w:tcBorders>
              <w:top w:val="nil"/>
              <w:left w:val="nil"/>
              <w:bottom w:val="nil"/>
              <w:right w:val="nil"/>
            </w:tcBorders>
            <w:shd w:val="clear" w:color="auto" w:fill="D9D9D9" w:themeFill="background1" w:themeFillShade="D9"/>
            <w:noWrap/>
            <w:vAlign w:val="bottom"/>
            <w:hideMark/>
          </w:tcPr>
          <w:p w14:paraId="633F7F99" w14:textId="3E3B7301" w:rsidR="00234D14" w:rsidRPr="00234D14" w:rsidRDefault="00234D14" w:rsidP="00234D14">
            <w:pPr>
              <w:jc w:val="right"/>
              <w:rPr>
                <w:rFonts w:eastAsia="Times New Roman" w:cstheme="minorHAnsi"/>
                <w:b/>
                <w:bCs/>
                <w:sz w:val="20"/>
                <w:szCs w:val="20"/>
              </w:rPr>
            </w:pPr>
            <w:r w:rsidRPr="004B45DB">
              <w:rPr>
                <w:rFonts w:cstheme="minorHAnsi"/>
                <w:b/>
                <w:bCs/>
                <w:sz w:val="20"/>
                <w:szCs w:val="20"/>
              </w:rPr>
              <w:t>0%</w:t>
            </w:r>
          </w:p>
        </w:tc>
        <w:tc>
          <w:tcPr>
            <w:tcW w:w="775" w:type="dxa"/>
            <w:tcBorders>
              <w:top w:val="nil"/>
              <w:left w:val="nil"/>
              <w:bottom w:val="nil"/>
              <w:right w:val="nil"/>
            </w:tcBorders>
            <w:shd w:val="clear" w:color="000000" w:fill="FFFFFF"/>
            <w:noWrap/>
            <w:vAlign w:val="bottom"/>
            <w:hideMark/>
          </w:tcPr>
          <w:p w14:paraId="160F0B64" w14:textId="6F9426FF" w:rsidR="00234D14" w:rsidRPr="004E6649" w:rsidRDefault="00234D14" w:rsidP="00234D14">
            <w:pPr>
              <w:jc w:val="right"/>
              <w:rPr>
                <w:rFonts w:eastAsia="Times New Roman" w:cstheme="minorHAnsi"/>
                <w:b/>
                <w:bCs/>
                <w:sz w:val="20"/>
                <w:szCs w:val="20"/>
              </w:rPr>
            </w:pPr>
            <w:r w:rsidRPr="004E6649">
              <w:rPr>
                <w:rFonts w:eastAsia="Times New Roman" w:cstheme="minorHAnsi"/>
                <w:b/>
                <w:bCs/>
                <w:sz w:val="20"/>
                <w:szCs w:val="20"/>
              </w:rPr>
              <w:t>$6</w:t>
            </w:r>
          </w:p>
        </w:tc>
        <w:tc>
          <w:tcPr>
            <w:tcW w:w="955" w:type="dxa"/>
            <w:tcBorders>
              <w:top w:val="nil"/>
              <w:left w:val="nil"/>
              <w:bottom w:val="nil"/>
              <w:right w:val="nil"/>
            </w:tcBorders>
            <w:shd w:val="clear" w:color="000000" w:fill="FFFFFF"/>
            <w:vAlign w:val="bottom"/>
          </w:tcPr>
          <w:p w14:paraId="1A75282B" w14:textId="3EF335E7" w:rsidR="00234D14" w:rsidRPr="004546E5" w:rsidRDefault="00234D14" w:rsidP="00234D14">
            <w:pPr>
              <w:jc w:val="right"/>
              <w:rPr>
                <w:rFonts w:eastAsia="Times New Roman" w:cstheme="minorHAnsi"/>
                <w:sz w:val="20"/>
                <w:szCs w:val="20"/>
              </w:rPr>
            </w:pPr>
            <w:r w:rsidRPr="004546E5">
              <w:rPr>
                <w:rFonts w:eastAsia="Times New Roman" w:cstheme="minorHAnsi"/>
                <w:sz w:val="20"/>
                <w:szCs w:val="20"/>
              </w:rPr>
              <w:t xml:space="preserve"> $6</w:t>
            </w:r>
          </w:p>
        </w:tc>
        <w:tc>
          <w:tcPr>
            <w:tcW w:w="773" w:type="dxa"/>
            <w:tcBorders>
              <w:top w:val="nil"/>
              <w:left w:val="nil"/>
              <w:bottom w:val="nil"/>
              <w:right w:val="nil"/>
            </w:tcBorders>
            <w:shd w:val="clear" w:color="000000" w:fill="FFFFFF"/>
            <w:noWrap/>
            <w:vAlign w:val="bottom"/>
            <w:hideMark/>
          </w:tcPr>
          <w:p w14:paraId="36365790" w14:textId="51E35D0A" w:rsidR="00234D14" w:rsidRPr="004E6649" w:rsidRDefault="00234D14" w:rsidP="00234D14">
            <w:pPr>
              <w:jc w:val="right"/>
              <w:rPr>
                <w:rFonts w:eastAsia="Times New Roman" w:cstheme="minorHAnsi"/>
                <w:sz w:val="20"/>
                <w:szCs w:val="20"/>
              </w:rPr>
            </w:pPr>
            <w:r w:rsidRPr="004E6649">
              <w:rPr>
                <w:rFonts w:eastAsia="Times New Roman" w:cstheme="minorHAnsi"/>
                <w:sz w:val="20"/>
                <w:szCs w:val="20"/>
              </w:rPr>
              <w:t xml:space="preserve"> $1</w:t>
            </w:r>
          </w:p>
        </w:tc>
      </w:tr>
      <w:tr w:rsidR="00B05CD2" w:rsidRPr="004E6649" w14:paraId="075E93F6" w14:textId="77777777" w:rsidTr="008B69B9">
        <w:trPr>
          <w:trHeight w:val="108"/>
          <w:jc w:val="center"/>
        </w:trPr>
        <w:tc>
          <w:tcPr>
            <w:tcW w:w="4590" w:type="dxa"/>
            <w:tcBorders>
              <w:top w:val="nil"/>
              <w:left w:val="nil"/>
              <w:bottom w:val="nil"/>
              <w:right w:val="nil"/>
            </w:tcBorders>
            <w:shd w:val="clear" w:color="000000" w:fill="FFFFFF"/>
            <w:noWrap/>
            <w:vAlign w:val="bottom"/>
            <w:hideMark/>
          </w:tcPr>
          <w:p w14:paraId="5785F0C1" w14:textId="77777777" w:rsidR="00234D14" w:rsidRPr="004E6649" w:rsidRDefault="00234D14" w:rsidP="00234D14">
            <w:pPr>
              <w:ind w:firstLineChars="100" w:firstLine="200"/>
              <w:rPr>
                <w:rFonts w:eastAsia="Times New Roman" w:cstheme="minorHAnsi"/>
                <w:sz w:val="20"/>
                <w:szCs w:val="20"/>
              </w:rPr>
            </w:pPr>
            <w:r w:rsidRPr="004E6649">
              <w:rPr>
                <w:rFonts w:eastAsia="Times New Roman" w:cstheme="minorHAnsi"/>
                <w:sz w:val="20"/>
                <w:szCs w:val="20"/>
              </w:rPr>
              <w:t>Long-term debt - current portion</w:t>
            </w:r>
          </w:p>
        </w:tc>
        <w:tc>
          <w:tcPr>
            <w:tcW w:w="775" w:type="dxa"/>
            <w:tcBorders>
              <w:top w:val="nil"/>
              <w:left w:val="nil"/>
              <w:bottom w:val="nil"/>
              <w:right w:val="nil"/>
            </w:tcBorders>
            <w:shd w:val="clear" w:color="000000" w:fill="FFFFFF"/>
            <w:vAlign w:val="bottom"/>
          </w:tcPr>
          <w:p w14:paraId="6CB41D7A" w14:textId="5B6A88E0" w:rsidR="00234D14" w:rsidRPr="00234D14" w:rsidRDefault="00234D14" w:rsidP="00234D14">
            <w:pPr>
              <w:jc w:val="right"/>
              <w:rPr>
                <w:rFonts w:eastAsia="Times New Roman" w:cstheme="minorHAnsi"/>
                <w:b/>
                <w:bCs/>
                <w:sz w:val="20"/>
                <w:szCs w:val="20"/>
              </w:rPr>
            </w:pPr>
            <w:r w:rsidRPr="004B45DB">
              <w:rPr>
                <w:rFonts w:cstheme="minorHAnsi"/>
                <w:b/>
                <w:bCs/>
                <w:sz w:val="20"/>
                <w:szCs w:val="20"/>
              </w:rPr>
              <w:t>$18</w:t>
            </w:r>
          </w:p>
        </w:tc>
        <w:tc>
          <w:tcPr>
            <w:tcW w:w="831" w:type="dxa"/>
            <w:tcBorders>
              <w:top w:val="nil"/>
              <w:left w:val="nil"/>
              <w:bottom w:val="nil"/>
              <w:right w:val="nil"/>
            </w:tcBorders>
            <w:shd w:val="clear" w:color="auto" w:fill="D9D9D9" w:themeFill="background1" w:themeFillShade="D9"/>
            <w:vAlign w:val="bottom"/>
          </w:tcPr>
          <w:p w14:paraId="44430F93" w14:textId="446210D5" w:rsidR="00234D14" w:rsidRPr="00234D14" w:rsidRDefault="00234D14" w:rsidP="00234D14">
            <w:pPr>
              <w:jc w:val="right"/>
              <w:rPr>
                <w:rFonts w:eastAsia="Times New Roman" w:cstheme="minorHAnsi"/>
                <w:b/>
                <w:bCs/>
                <w:sz w:val="20"/>
                <w:szCs w:val="20"/>
              </w:rPr>
            </w:pPr>
            <w:r w:rsidRPr="004B45DB">
              <w:rPr>
                <w:rFonts w:cstheme="minorHAnsi"/>
                <w:b/>
                <w:bCs/>
                <w:sz w:val="20"/>
                <w:szCs w:val="20"/>
              </w:rPr>
              <w:t>0%</w:t>
            </w:r>
          </w:p>
        </w:tc>
        <w:tc>
          <w:tcPr>
            <w:tcW w:w="914" w:type="dxa"/>
            <w:tcBorders>
              <w:top w:val="nil"/>
              <w:left w:val="nil"/>
              <w:bottom w:val="nil"/>
              <w:right w:val="nil"/>
            </w:tcBorders>
            <w:shd w:val="clear" w:color="000000" w:fill="FFFFFF"/>
            <w:noWrap/>
            <w:vAlign w:val="bottom"/>
            <w:hideMark/>
          </w:tcPr>
          <w:p w14:paraId="4871F281" w14:textId="09B7C183" w:rsidR="00234D14" w:rsidRPr="00234D14" w:rsidRDefault="00234D14" w:rsidP="00B05CD2">
            <w:pPr>
              <w:jc w:val="right"/>
              <w:rPr>
                <w:rFonts w:eastAsia="Times New Roman" w:cstheme="minorHAnsi"/>
                <w:b/>
                <w:bCs/>
                <w:sz w:val="20"/>
                <w:szCs w:val="20"/>
              </w:rPr>
            </w:pPr>
            <w:r w:rsidRPr="004B45DB">
              <w:rPr>
                <w:rFonts w:cstheme="minorHAnsi"/>
                <w:b/>
                <w:bCs/>
                <w:sz w:val="20"/>
                <w:szCs w:val="20"/>
              </w:rPr>
              <w:t>$18</w:t>
            </w:r>
          </w:p>
        </w:tc>
        <w:tc>
          <w:tcPr>
            <w:tcW w:w="959" w:type="dxa"/>
            <w:tcBorders>
              <w:top w:val="nil"/>
              <w:left w:val="nil"/>
              <w:bottom w:val="nil"/>
              <w:right w:val="nil"/>
            </w:tcBorders>
            <w:shd w:val="clear" w:color="auto" w:fill="D9D9D9" w:themeFill="background1" w:themeFillShade="D9"/>
            <w:noWrap/>
            <w:vAlign w:val="bottom"/>
            <w:hideMark/>
          </w:tcPr>
          <w:p w14:paraId="56712943" w14:textId="69877164" w:rsidR="00234D14" w:rsidRPr="00234D14" w:rsidRDefault="00234D14" w:rsidP="00234D14">
            <w:pPr>
              <w:jc w:val="right"/>
              <w:rPr>
                <w:rFonts w:eastAsia="Times New Roman" w:cstheme="minorHAnsi"/>
                <w:b/>
                <w:bCs/>
                <w:sz w:val="20"/>
                <w:szCs w:val="20"/>
              </w:rPr>
            </w:pPr>
            <w:r w:rsidRPr="004B45DB">
              <w:rPr>
                <w:rFonts w:cstheme="minorHAnsi"/>
                <w:b/>
                <w:bCs/>
                <w:sz w:val="20"/>
                <w:szCs w:val="20"/>
              </w:rPr>
              <w:t>-10%</w:t>
            </w:r>
          </w:p>
        </w:tc>
        <w:tc>
          <w:tcPr>
            <w:tcW w:w="775" w:type="dxa"/>
            <w:tcBorders>
              <w:top w:val="nil"/>
              <w:left w:val="nil"/>
              <w:bottom w:val="nil"/>
              <w:right w:val="nil"/>
            </w:tcBorders>
            <w:shd w:val="clear" w:color="000000" w:fill="FFFFFF"/>
            <w:noWrap/>
            <w:vAlign w:val="bottom"/>
            <w:hideMark/>
          </w:tcPr>
          <w:p w14:paraId="4E48C67B" w14:textId="4FF6F32F" w:rsidR="00234D14" w:rsidRPr="004E6649" w:rsidRDefault="00234D14" w:rsidP="00234D14">
            <w:pPr>
              <w:jc w:val="right"/>
              <w:rPr>
                <w:rFonts w:eastAsia="Times New Roman" w:cstheme="minorHAnsi"/>
                <w:b/>
                <w:bCs/>
                <w:sz w:val="20"/>
                <w:szCs w:val="20"/>
              </w:rPr>
            </w:pPr>
            <w:r w:rsidRPr="004E6649">
              <w:rPr>
                <w:rFonts w:eastAsia="Times New Roman" w:cstheme="minorHAnsi"/>
                <w:b/>
                <w:bCs/>
                <w:sz w:val="20"/>
                <w:szCs w:val="20"/>
              </w:rPr>
              <w:t>20</w:t>
            </w:r>
          </w:p>
        </w:tc>
        <w:tc>
          <w:tcPr>
            <w:tcW w:w="955" w:type="dxa"/>
            <w:tcBorders>
              <w:top w:val="nil"/>
              <w:left w:val="nil"/>
              <w:bottom w:val="nil"/>
              <w:right w:val="nil"/>
            </w:tcBorders>
            <w:shd w:val="clear" w:color="000000" w:fill="FFFFFF"/>
            <w:vAlign w:val="bottom"/>
          </w:tcPr>
          <w:p w14:paraId="686E6291" w14:textId="1367B53D" w:rsidR="00234D14" w:rsidRPr="004546E5" w:rsidRDefault="00234D14" w:rsidP="00234D14">
            <w:pPr>
              <w:jc w:val="right"/>
              <w:rPr>
                <w:rFonts w:eastAsia="Times New Roman" w:cstheme="minorHAnsi"/>
                <w:sz w:val="20"/>
                <w:szCs w:val="20"/>
              </w:rPr>
            </w:pPr>
            <w:r w:rsidRPr="004546E5">
              <w:rPr>
                <w:rFonts w:eastAsia="Times New Roman" w:cstheme="minorHAnsi"/>
                <w:sz w:val="20"/>
                <w:szCs w:val="20"/>
              </w:rPr>
              <w:t>56</w:t>
            </w:r>
          </w:p>
        </w:tc>
        <w:tc>
          <w:tcPr>
            <w:tcW w:w="773" w:type="dxa"/>
            <w:tcBorders>
              <w:top w:val="nil"/>
              <w:left w:val="nil"/>
              <w:bottom w:val="nil"/>
              <w:right w:val="nil"/>
            </w:tcBorders>
            <w:shd w:val="clear" w:color="000000" w:fill="FFFFFF"/>
            <w:noWrap/>
            <w:vAlign w:val="bottom"/>
            <w:hideMark/>
          </w:tcPr>
          <w:p w14:paraId="06EC93EE" w14:textId="1B92C3CD" w:rsidR="00234D14" w:rsidRPr="004E6649" w:rsidRDefault="00234D14" w:rsidP="00234D14">
            <w:pPr>
              <w:jc w:val="right"/>
              <w:rPr>
                <w:rFonts w:eastAsia="Times New Roman" w:cstheme="minorHAnsi"/>
                <w:sz w:val="20"/>
                <w:szCs w:val="20"/>
              </w:rPr>
            </w:pPr>
            <w:r w:rsidRPr="004E6649">
              <w:rPr>
                <w:rFonts w:eastAsia="Times New Roman" w:cstheme="minorHAnsi"/>
                <w:sz w:val="20"/>
                <w:szCs w:val="20"/>
              </w:rPr>
              <w:t>14</w:t>
            </w:r>
          </w:p>
        </w:tc>
      </w:tr>
      <w:tr w:rsidR="00B05CD2" w:rsidRPr="004E6649" w14:paraId="7B5D3292" w14:textId="77777777" w:rsidTr="008B69B9">
        <w:trPr>
          <w:trHeight w:val="80"/>
          <w:jc w:val="center"/>
        </w:trPr>
        <w:tc>
          <w:tcPr>
            <w:tcW w:w="4590" w:type="dxa"/>
            <w:tcBorders>
              <w:top w:val="nil"/>
              <w:left w:val="nil"/>
              <w:bottom w:val="nil"/>
              <w:right w:val="nil"/>
            </w:tcBorders>
            <w:shd w:val="clear" w:color="000000" w:fill="FFFFFF"/>
            <w:noWrap/>
            <w:vAlign w:val="bottom"/>
            <w:hideMark/>
          </w:tcPr>
          <w:p w14:paraId="525F0854" w14:textId="77777777" w:rsidR="00234D14" w:rsidRPr="004E6649" w:rsidRDefault="00234D14" w:rsidP="00234D14">
            <w:pPr>
              <w:ind w:firstLineChars="100" w:firstLine="200"/>
              <w:rPr>
                <w:rFonts w:eastAsia="Times New Roman" w:cstheme="minorHAnsi"/>
                <w:sz w:val="20"/>
                <w:szCs w:val="20"/>
              </w:rPr>
            </w:pPr>
            <w:r w:rsidRPr="004E6649">
              <w:rPr>
                <w:rFonts w:eastAsia="Times New Roman" w:cstheme="minorHAnsi"/>
                <w:sz w:val="20"/>
                <w:szCs w:val="20"/>
              </w:rPr>
              <w:t>Other</w:t>
            </w:r>
          </w:p>
        </w:tc>
        <w:tc>
          <w:tcPr>
            <w:tcW w:w="775" w:type="dxa"/>
            <w:tcBorders>
              <w:top w:val="nil"/>
              <w:left w:val="nil"/>
              <w:bottom w:val="nil"/>
              <w:right w:val="nil"/>
            </w:tcBorders>
            <w:shd w:val="clear" w:color="000000" w:fill="FFFFFF"/>
            <w:vAlign w:val="bottom"/>
          </w:tcPr>
          <w:p w14:paraId="0DC2ED4C" w14:textId="7A8C31E2" w:rsidR="00234D14" w:rsidRPr="00234D14" w:rsidRDefault="00234D14" w:rsidP="00234D14">
            <w:pPr>
              <w:jc w:val="right"/>
              <w:rPr>
                <w:rFonts w:eastAsia="Times New Roman" w:cstheme="minorHAnsi"/>
                <w:b/>
                <w:bCs/>
                <w:sz w:val="20"/>
                <w:szCs w:val="20"/>
              </w:rPr>
            </w:pPr>
            <w:r w:rsidRPr="004B45DB">
              <w:rPr>
                <w:rFonts w:cstheme="minorHAnsi"/>
                <w:b/>
                <w:bCs/>
                <w:sz w:val="20"/>
                <w:szCs w:val="20"/>
              </w:rPr>
              <w:t>$</w:t>
            </w:r>
            <w:r w:rsidR="00B81858" w:rsidRPr="004B45DB">
              <w:rPr>
                <w:rFonts w:cstheme="minorHAnsi"/>
                <w:b/>
                <w:bCs/>
                <w:sz w:val="20"/>
                <w:szCs w:val="20"/>
              </w:rPr>
              <w:t>13</w:t>
            </w:r>
            <w:r w:rsidR="00B81858">
              <w:rPr>
                <w:rFonts w:cstheme="minorHAnsi"/>
                <w:b/>
                <w:bCs/>
                <w:sz w:val="20"/>
                <w:szCs w:val="20"/>
              </w:rPr>
              <w:t>2</w:t>
            </w:r>
          </w:p>
        </w:tc>
        <w:tc>
          <w:tcPr>
            <w:tcW w:w="831" w:type="dxa"/>
            <w:tcBorders>
              <w:top w:val="nil"/>
              <w:left w:val="nil"/>
              <w:bottom w:val="nil"/>
              <w:right w:val="nil"/>
            </w:tcBorders>
            <w:shd w:val="clear" w:color="auto" w:fill="D9D9D9" w:themeFill="background1" w:themeFillShade="D9"/>
            <w:vAlign w:val="bottom"/>
          </w:tcPr>
          <w:p w14:paraId="7162CEDD" w14:textId="4310C9EB" w:rsidR="00234D14" w:rsidRPr="00234D14" w:rsidRDefault="00B81858" w:rsidP="00234D14">
            <w:pPr>
              <w:jc w:val="right"/>
              <w:rPr>
                <w:rFonts w:eastAsia="Times New Roman" w:cstheme="minorHAnsi"/>
                <w:b/>
                <w:bCs/>
                <w:sz w:val="20"/>
                <w:szCs w:val="20"/>
              </w:rPr>
            </w:pPr>
            <w:r>
              <w:rPr>
                <w:rFonts w:cstheme="minorHAnsi"/>
                <w:b/>
                <w:bCs/>
                <w:sz w:val="20"/>
                <w:szCs w:val="20"/>
              </w:rPr>
              <w:t>20</w:t>
            </w:r>
            <w:r w:rsidR="00234D14" w:rsidRPr="004B45DB">
              <w:rPr>
                <w:rFonts w:cstheme="minorHAnsi"/>
                <w:b/>
                <w:bCs/>
                <w:sz w:val="20"/>
                <w:szCs w:val="20"/>
              </w:rPr>
              <w:t>%</w:t>
            </w:r>
          </w:p>
        </w:tc>
        <w:tc>
          <w:tcPr>
            <w:tcW w:w="914" w:type="dxa"/>
            <w:tcBorders>
              <w:top w:val="nil"/>
              <w:left w:val="nil"/>
              <w:bottom w:val="nil"/>
              <w:right w:val="nil"/>
            </w:tcBorders>
            <w:shd w:val="clear" w:color="000000" w:fill="FFFFFF"/>
            <w:noWrap/>
            <w:vAlign w:val="bottom"/>
            <w:hideMark/>
          </w:tcPr>
          <w:p w14:paraId="22CF4EB1" w14:textId="0C15E904" w:rsidR="00234D14" w:rsidRPr="00234D14" w:rsidRDefault="00234D14" w:rsidP="00B05CD2">
            <w:pPr>
              <w:jc w:val="right"/>
              <w:rPr>
                <w:rFonts w:eastAsia="Times New Roman" w:cstheme="minorHAnsi"/>
                <w:b/>
                <w:bCs/>
                <w:sz w:val="20"/>
                <w:szCs w:val="20"/>
              </w:rPr>
            </w:pPr>
            <w:r w:rsidRPr="004B45DB">
              <w:rPr>
                <w:rFonts w:cstheme="minorHAnsi"/>
                <w:b/>
                <w:bCs/>
                <w:sz w:val="20"/>
                <w:szCs w:val="20"/>
              </w:rPr>
              <w:t>$110</w:t>
            </w:r>
          </w:p>
        </w:tc>
        <w:tc>
          <w:tcPr>
            <w:tcW w:w="959" w:type="dxa"/>
            <w:tcBorders>
              <w:top w:val="nil"/>
              <w:left w:val="nil"/>
              <w:bottom w:val="nil"/>
              <w:right w:val="nil"/>
            </w:tcBorders>
            <w:shd w:val="clear" w:color="auto" w:fill="D9D9D9" w:themeFill="background1" w:themeFillShade="D9"/>
            <w:noWrap/>
            <w:vAlign w:val="bottom"/>
            <w:hideMark/>
          </w:tcPr>
          <w:p w14:paraId="060A9D6B" w14:textId="3F98F035" w:rsidR="00234D14" w:rsidRPr="00234D14" w:rsidRDefault="00234D14" w:rsidP="00234D14">
            <w:pPr>
              <w:jc w:val="right"/>
              <w:rPr>
                <w:rFonts w:eastAsia="Times New Roman" w:cstheme="minorHAnsi"/>
                <w:b/>
                <w:bCs/>
                <w:sz w:val="20"/>
                <w:szCs w:val="20"/>
              </w:rPr>
            </w:pPr>
            <w:r w:rsidRPr="004B45DB">
              <w:rPr>
                <w:rFonts w:cstheme="minorHAnsi"/>
                <w:b/>
                <w:bCs/>
                <w:sz w:val="20"/>
                <w:szCs w:val="20"/>
              </w:rPr>
              <w:t>17%</w:t>
            </w:r>
          </w:p>
        </w:tc>
        <w:tc>
          <w:tcPr>
            <w:tcW w:w="775" w:type="dxa"/>
            <w:tcBorders>
              <w:top w:val="nil"/>
              <w:left w:val="nil"/>
              <w:bottom w:val="nil"/>
              <w:right w:val="nil"/>
            </w:tcBorders>
            <w:shd w:val="clear" w:color="000000" w:fill="FFFFFF"/>
            <w:noWrap/>
            <w:vAlign w:val="bottom"/>
            <w:hideMark/>
          </w:tcPr>
          <w:p w14:paraId="6045BF6D" w14:textId="6ECB1D6B" w:rsidR="00234D14" w:rsidRPr="004E6649" w:rsidRDefault="00234D14" w:rsidP="00234D14">
            <w:pPr>
              <w:jc w:val="right"/>
              <w:rPr>
                <w:rFonts w:eastAsia="Times New Roman" w:cstheme="minorHAnsi"/>
                <w:b/>
                <w:bCs/>
                <w:sz w:val="20"/>
                <w:szCs w:val="20"/>
              </w:rPr>
            </w:pPr>
            <w:r w:rsidRPr="004E6649">
              <w:rPr>
                <w:rFonts w:eastAsia="Times New Roman" w:cstheme="minorHAnsi"/>
                <w:b/>
                <w:bCs/>
                <w:sz w:val="20"/>
                <w:szCs w:val="20"/>
              </w:rPr>
              <w:t>94</w:t>
            </w:r>
          </w:p>
        </w:tc>
        <w:tc>
          <w:tcPr>
            <w:tcW w:w="955" w:type="dxa"/>
            <w:tcBorders>
              <w:top w:val="nil"/>
              <w:left w:val="nil"/>
              <w:bottom w:val="nil"/>
              <w:right w:val="nil"/>
            </w:tcBorders>
            <w:shd w:val="clear" w:color="000000" w:fill="FFFFFF"/>
            <w:vAlign w:val="bottom"/>
          </w:tcPr>
          <w:p w14:paraId="36341287" w14:textId="0CA0A23B" w:rsidR="00234D14" w:rsidRPr="004546E5" w:rsidRDefault="00234D14" w:rsidP="00234D14">
            <w:pPr>
              <w:jc w:val="right"/>
              <w:rPr>
                <w:rFonts w:eastAsia="Times New Roman" w:cstheme="minorHAnsi"/>
                <w:sz w:val="20"/>
                <w:szCs w:val="20"/>
              </w:rPr>
            </w:pPr>
            <w:r w:rsidRPr="004546E5">
              <w:rPr>
                <w:rFonts w:eastAsia="Times New Roman" w:cstheme="minorHAnsi"/>
                <w:sz w:val="20"/>
                <w:szCs w:val="20"/>
              </w:rPr>
              <w:t>112</w:t>
            </w:r>
          </w:p>
        </w:tc>
        <w:tc>
          <w:tcPr>
            <w:tcW w:w="773" w:type="dxa"/>
            <w:tcBorders>
              <w:top w:val="nil"/>
              <w:left w:val="nil"/>
              <w:bottom w:val="nil"/>
              <w:right w:val="nil"/>
            </w:tcBorders>
            <w:shd w:val="clear" w:color="000000" w:fill="FFFFFF"/>
            <w:noWrap/>
            <w:vAlign w:val="bottom"/>
            <w:hideMark/>
          </w:tcPr>
          <w:p w14:paraId="61FB8763" w14:textId="6DC83F5F" w:rsidR="00234D14" w:rsidRPr="004E6649" w:rsidRDefault="00234D14" w:rsidP="00234D14">
            <w:pPr>
              <w:jc w:val="right"/>
              <w:rPr>
                <w:rFonts w:eastAsia="Times New Roman" w:cstheme="minorHAnsi"/>
                <w:sz w:val="20"/>
                <w:szCs w:val="20"/>
              </w:rPr>
            </w:pPr>
            <w:r w:rsidRPr="004E6649">
              <w:rPr>
                <w:rFonts w:eastAsia="Times New Roman" w:cstheme="minorHAnsi"/>
                <w:sz w:val="20"/>
                <w:szCs w:val="20"/>
              </w:rPr>
              <w:t>83</w:t>
            </w:r>
          </w:p>
        </w:tc>
      </w:tr>
      <w:tr w:rsidR="00B05CD2" w:rsidRPr="004E6649" w14:paraId="77A202DD" w14:textId="77777777" w:rsidTr="008B69B9">
        <w:trPr>
          <w:trHeight w:val="80"/>
          <w:jc w:val="center"/>
        </w:trPr>
        <w:tc>
          <w:tcPr>
            <w:tcW w:w="4590" w:type="dxa"/>
            <w:tcBorders>
              <w:top w:val="nil"/>
              <w:left w:val="nil"/>
              <w:bottom w:val="nil"/>
              <w:right w:val="nil"/>
            </w:tcBorders>
            <w:shd w:val="clear" w:color="000000" w:fill="FFFFFF"/>
            <w:noWrap/>
            <w:vAlign w:val="bottom"/>
            <w:hideMark/>
          </w:tcPr>
          <w:p w14:paraId="4169F237" w14:textId="77777777" w:rsidR="00234D14" w:rsidRPr="004E6649" w:rsidRDefault="00234D14" w:rsidP="00234D14">
            <w:pPr>
              <w:rPr>
                <w:rFonts w:eastAsia="Times New Roman" w:cstheme="minorHAnsi"/>
                <w:sz w:val="20"/>
                <w:szCs w:val="20"/>
              </w:rPr>
            </w:pPr>
            <w:r w:rsidRPr="004E6649">
              <w:rPr>
                <w:rFonts w:eastAsia="Times New Roman" w:cstheme="minorHAnsi"/>
                <w:sz w:val="20"/>
                <w:szCs w:val="20"/>
              </w:rPr>
              <w:t>Noncurrent Liabilities</w:t>
            </w:r>
          </w:p>
        </w:tc>
        <w:tc>
          <w:tcPr>
            <w:tcW w:w="775" w:type="dxa"/>
            <w:tcBorders>
              <w:top w:val="nil"/>
              <w:left w:val="nil"/>
              <w:bottom w:val="nil"/>
              <w:right w:val="nil"/>
            </w:tcBorders>
            <w:shd w:val="clear" w:color="000000" w:fill="FFFFFF"/>
            <w:vAlign w:val="bottom"/>
          </w:tcPr>
          <w:p w14:paraId="0E42C48F" w14:textId="0BCC2C8E" w:rsidR="00234D14" w:rsidRPr="00234D14" w:rsidRDefault="00234D14" w:rsidP="00234D14">
            <w:pPr>
              <w:jc w:val="right"/>
              <w:rPr>
                <w:rFonts w:eastAsia="Times New Roman" w:cstheme="minorHAnsi"/>
                <w:b/>
                <w:bCs/>
                <w:sz w:val="20"/>
                <w:szCs w:val="20"/>
              </w:rPr>
            </w:pPr>
          </w:p>
        </w:tc>
        <w:tc>
          <w:tcPr>
            <w:tcW w:w="831" w:type="dxa"/>
            <w:tcBorders>
              <w:top w:val="nil"/>
              <w:left w:val="nil"/>
              <w:bottom w:val="nil"/>
              <w:right w:val="nil"/>
            </w:tcBorders>
            <w:shd w:val="clear" w:color="auto" w:fill="D9D9D9" w:themeFill="background1" w:themeFillShade="D9"/>
            <w:vAlign w:val="bottom"/>
          </w:tcPr>
          <w:p w14:paraId="7BA84C0E" w14:textId="43D6356B" w:rsidR="00234D14" w:rsidRPr="00234D14" w:rsidRDefault="00234D14" w:rsidP="00234D14">
            <w:pPr>
              <w:jc w:val="right"/>
              <w:rPr>
                <w:rFonts w:eastAsia="Times New Roman" w:cstheme="minorHAnsi"/>
                <w:b/>
                <w:bCs/>
                <w:sz w:val="20"/>
                <w:szCs w:val="20"/>
              </w:rPr>
            </w:pPr>
          </w:p>
        </w:tc>
        <w:tc>
          <w:tcPr>
            <w:tcW w:w="914" w:type="dxa"/>
            <w:tcBorders>
              <w:top w:val="nil"/>
              <w:left w:val="nil"/>
              <w:bottom w:val="nil"/>
              <w:right w:val="nil"/>
            </w:tcBorders>
            <w:shd w:val="clear" w:color="000000" w:fill="FFFFFF"/>
            <w:noWrap/>
            <w:vAlign w:val="bottom"/>
          </w:tcPr>
          <w:p w14:paraId="187E0678" w14:textId="6943EC1B" w:rsidR="00234D14" w:rsidRPr="00234D14" w:rsidRDefault="00234D14" w:rsidP="00B05CD2">
            <w:pPr>
              <w:jc w:val="right"/>
              <w:rPr>
                <w:rFonts w:eastAsia="Times New Roman" w:cstheme="minorHAnsi"/>
                <w:b/>
                <w:bCs/>
                <w:sz w:val="20"/>
                <w:szCs w:val="20"/>
              </w:rPr>
            </w:pPr>
          </w:p>
        </w:tc>
        <w:tc>
          <w:tcPr>
            <w:tcW w:w="959" w:type="dxa"/>
            <w:tcBorders>
              <w:top w:val="nil"/>
              <w:left w:val="nil"/>
              <w:bottom w:val="nil"/>
              <w:right w:val="nil"/>
            </w:tcBorders>
            <w:shd w:val="clear" w:color="auto" w:fill="D9D9D9" w:themeFill="background1" w:themeFillShade="D9"/>
            <w:noWrap/>
            <w:vAlign w:val="bottom"/>
          </w:tcPr>
          <w:p w14:paraId="35CADEF2" w14:textId="6DC5B341" w:rsidR="00234D14" w:rsidRPr="00234D14" w:rsidRDefault="00234D14" w:rsidP="00234D14">
            <w:pPr>
              <w:jc w:val="right"/>
              <w:rPr>
                <w:rFonts w:eastAsia="Times New Roman" w:cstheme="minorHAnsi"/>
                <w:b/>
                <w:bCs/>
                <w:sz w:val="20"/>
                <w:szCs w:val="20"/>
              </w:rPr>
            </w:pPr>
          </w:p>
        </w:tc>
        <w:tc>
          <w:tcPr>
            <w:tcW w:w="775" w:type="dxa"/>
            <w:tcBorders>
              <w:top w:val="nil"/>
              <w:left w:val="nil"/>
              <w:bottom w:val="nil"/>
              <w:right w:val="nil"/>
            </w:tcBorders>
            <w:shd w:val="clear" w:color="000000" w:fill="FFFFFF"/>
            <w:noWrap/>
            <w:vAlign w:val="bottom"/>
            <w:hideMark/>
          </w:tcPr>
          <w:p w14:paraId="42D7A9FA" w14:textId="0AC63FD6" w:rsidR="00234D14" w:rsidRPr="004E6649" w:rsidRDefault="00234D14" w:rsidP="00234D14">
            <w:pPr>
              <w:jc w:val="right"/>
              <w:rPr>
                <w:rFonts w:eastAsia="Times New Roman" w:cstheme="minorHAnsi"/>
                <w:b/>
                <w:bCs/>
                <w:sz w:val="20"/>
                <w:szCs w:val="20"/>
              </w:rPr>
            </w:pPr>
            <w:r w:rsidRPr="004E6649">
              <w:rPr>
                <w:rFonts w:eastAsia="Times New Roman" w:cstheme="minorHAnsi"/>
                <w:b/>
                <w:bCs/>
                <w:sz w:val="20"/>
                <w:szCs w:val="20"/>
              </w:rPr>
              <w:t> </w:t>
            </w:r>
          </w:p>
        </w:tc>
        <w:tc>
          <w:tcPr>
            <w:tcW w:w="955" w:type="dxa"/>
            <w:tcBorders>
              <w:top w:val="nil"/>
              <w:left w:val="nil"/>
              <w:bottom w:val="nil"/>
              <w:right w:val="nil"/>
            </w:tcBorders>
            <w:shd w:val="clear" w:color="000000" w:fill="FFFFFF"/>
            <w:vAlign w:val="bottom"/>
          </w:tcPr>
          <w:p w14:paraId="4C4EA1AC" w14:textId="097C6656" w:rsidR="00234D14" w:rsidRPr="004546E5" w:rsidRDefault="00234D14" w:rsidP="00234D14">
            <w:pPr>
              <w:jc w:val="right"/>
              <w:rPr>
                <w:rFonts w:eastAsia="Times New Roman" w:cstheme="minorHAnsi"/>
                <w:sz w:val="20"/>
                <w:szCs w:val="20"/>
              </w:rPr>
            </w:pPr>
            <w:r w:rsidRPr="004546E5">
              <w:rPr>
                <w:rFonts w:eastAsia="Times New Roman" w:cstheme="minorHAnsi"/>
                <w:sz w:val="20"/>
                <w:szCs w:val="20"/>
              </w:rPr>
              <w:t> </w:t>
            </w:r>
          </w:p>
        </w:tc>
        <w:tc>
          <w:tcPr>
            <w:tcW w:w="773" w:type="dxa"/>
            <w:tcBorders>
              <w:top w:val="nil"/>
              <w:left w:val="nil"/>
              <w:bottom w:val="nil"/>
              <w:right w:val="nil"/>
            </w:tcBorders>
            <w:shd w:val="clear" w:color="000000" w:fill="FFFFFF"/>
            <w:noWrap/>
            <w:vAlign w:val="bottom"/>
            <w:hideMark/>
          </w:tcPr>
          <w:p w14:paraId="40237205" w14:textId="06B797FE" w:rsidR="00234D14" w:rsidRPr="004E6649" w:rsidRDefault="00234D14" w:rsidP="00234D14">
            <w:pPr>
              <w:jc w:val="right"/>
              <w:rPr>
                <w:rFonts w:eastAsia="Times New Roman" w:cstheme="minorHAnsi"/>
                <w:sz w:val="20"/>
                <w:szCs w:val="20"/>
              </w:rPr>
            </w:pPr>
            <w:r w:rsidRPr="004E6649">
              <w:rPr>
                <w:rFonts w:eastAsia="Times New Roman" w:cstheme="minorHAnsi"/>
                <w:sz w:val="20"/>
                <w:szCs w:val="20"/>
              </w:rPr>
              <w:t> </w:t>
            </w:r>
          </w:p>
        </w:tc>
      </w:tr>
      <w:tr w:rsidR="00B05CD2" w:rsidRPr="004E6649" w14:paraId="46A33371" w14:textId="77777777" w:rsidTr="008B69B9">
        <w:trPr>
          <w:trHeight w:val="80"/>
          <w:jc w:val="center"/>
        </w:trPr>
        <w:tc>
          <w:tcPr>
            <w:tcW w:w="4590" w:type="dxa"/>
            <w:tcBorders>
              <w:top w:val="nil"/>
              <w:left w:val="nil"/>
              <w:bottom w:val="nil"/>
              <w:right w:val="nil"/>
            </w:tcBorders>
            <w:shd w:val="clear" w:color="000000" w:fill="FFFFFF"/>
            <w:noWrap/>
            <w:vAlign w:val="bottom"/>
            <w:hideMark/>
          </w:tcPr>
          <w:p w14:paraId="1D54C0F6" w14:textId="76D3BDDB" w:rsidR="00234D14" w:rsidRPr="004E6649" w:rsidRDefault="00234D14" w:rsidP="00234D14">
            <w:pPr>
              <w:ind w:firstLineChars="100" w:firstLine="200"/>
              <w:rPr>
                <w:rFonts w:eastAsia="Times New Roman" w:cstheme="minorHAnsi"/>
                <w:sz w:val="20"/>
                <w:szCs w:val="20"/>
              </w:rPr>
            </w:pPr>
            <w:r w:rsidRPr="004E6649">
              <w:rPr>
                <w:rFonts w:eastAsia="Times New Roman" w:cstheme="minorHAnsi"/>
                <w:sz w:val="20"/>
                <w:szCs w:val="20"/>
              </w:rPr>
              <w:t xml:space="preserve">Obligations for </w:t>
            </w:r>
            <w:r>
              <w:rPr>
                <w:rFonts w:eastAsia="Times New Roman" w:cstheme="minorHAnsi"/>
                <w:sz w:val="20"/>
                <w:szCs w:val="20"/>
              </w:rPr>
              <w:t>right-to-use</w:t>
            </w:r>
            <w:r w:rsidRPr="004E6649">
              <w:rPr>
                <w:rFonts w:eastAsia="Times New Roman" w:cstheme="minorHAnsi"/>
                <w:sz w:val="20"/>
                <w:szCs w:val="20"/>
              </w:rPr>
              <w:t xml:space="preserve"> assets</w:t>
            </w:r>
          </w:p>
        </w:tc>
        <w:tc>
          <w:tcPr>
            <w:tcW w:w="775" w:type="dxa"/>
            <w:tcBorders>
              <w:top w:val="nil"/>
              <w:left w:val="nil"/>
              <w:bottom w:val="nil"/>
              <w:right w:val="nil"/>
            </w:tcBorders>
            <w:shd w:val="clear" w:color="000000" w:fill="FFFFFF"/>
            <w:vAlign w:val="bottom"/>
          </w:tcPr>
          <w:p w14:paraId="408BE824" w14:textId="321C597D" w:rsidR="00234D14" w:rsidRPr="00234D14" w:rsidRDefault="00234D14" w:rsidP="00234D14">
            <w:pPr>
              <w:jc w:val="right"/>
              <w:rPr>
                <w:rFonts w:eastAsia="Times New Roman" w:cstheme="minorHAnsi"/>
                <w:b/>
                <w:bCs/>
                <w:sz w:val="20"/>
                <w:szCs w:val="20"/>
              </w:rPr>
            </w:pPr>
            <w:r w:rsidRPr="004B45DB">
              <w:rPr>
                <w:rFonts w:cstheme="minorHAnsi"/>
                <w:b/>
                <w:bCs/>
                <w:sz w:val="20"/>
                <w:szCs w:val="20"/>
              </w:rPr>
              <w:t>71</w:t>
            </w:r>
          </w:p>
        </w:tc>
        <w:tc>
          <w:tcPr>
            <w:tcW w:w="831" w:type="dxa"/>
            <w:tcBorders>
              <w:top w:val="nil"/>
              <w:left w:val="nil"/>
              <w:bottom w:val="nil"/>
              <w:right w:val="nil"/>
            </w:tcBorders>
            <w:shd w:val="clear" w:color="auto" w:fill="D9D9D9" w:themeFill="background1" w:themeFillShade="D9"/>
            <w:vAlign w:val="bottom"/>
          </w:tcPr>
          <w:p w14:paraId="35C0C9B4" w14:textId="5214B163" w:rsidR="00234D14" w:rsidRPr="00234D14" w:rsidRDefault="00234D14" w:rsidP="00234D14">
            <w:pPr>
              <w:jc w:val="right"/>
              <w:rPr>
                <w:rFonts w:eastAsia="Times New Roman" w:cstheme="minorHAnsi"/>
                <w:b/>
                <w:bCs/>
                <w:sz w:val="20"/>
                <w:szCs w:val="20"/>
              </w:rPr>
            </w:pPr>
            <w:r w:rsidRPr="004B45DB">
              <w:rPr>
                <w:rFonts w:cstheme="minorHAnsi"/>
                <w:b/>
                <w:bCs/>
                <w:sz w:val="20"/>
                <w:szCs w:val="20"/>
              </w:rPr>
              <w:t>1%</w:t>
            </w:r>
          </w:p>
        </w:tc>
        <w:tc>
          <w:tcPr>
            <w:tcW w:w="914" w:type="dxa"/>
            <w:tcBorders>
              <w:top w:val="nil"/>
              <w:left w:val="nil"/>
              <w:bottom w:val="nil"/>
              <w:right w:val="nil"/>
            </w:tcBorders>
            <w:shd w:val="clear" w:color="000000" w:fill="FFFFFF"/>
            <w:noWrap/>
            <w:vAlign w:val="bottom"/>
            <w:hideMark/>
          </w:tcPr>
          <w:p w14:paraId="577B6DC4" w14:textId="547AB096" w:rsidR="00234D14" w:rsidRPr="00234D14" w:rsidRDefault="00234D14" w:rsidP="00B05CD2">
            <w:pPr>
              <w:jc w:val="right"/>
              <w:rPr>
                <w:rFonts w:eastAsia="Times New Roman" w:cstheme="minorHAnsi"/>
                <w:b/>
                <w:bCs/>
                <w:sz w:val="20"/>
                <w:szCs w:val="20"/>
              </w:rPr>
            </w:pPr>
            <w:r w:rsidRPr="004B45DB">
              <w:rPr>
                <w:rFonts w:cstheme="minorHAnsi"/>
                <w:b/>
                <w:bCs/>
                <w:sz w:val="20"/>
                <w:szCs w:val="20"/>
              </w:rPr>
              <w:t>70</w:t>
            </w:r>
          </w:p>
        </w:tc>
        <w:tc>
          <w:tcPr>
            <w:tcW w:w="959" w:type="dxa"/>
            <w:tcBorders>
              <w:top w:val="nil"/>
              <w:left w:val="nil"/>
              <w:bottom w:val="nil"/>
              <w:right w:val="nil"/>
            </w:tcBorders>
            <w:shd w:val="clear" w:color="auto" w:fill="D9D9D9" w:themeFill="background1" w:themeFillShade="D9"/>
            <w:noWrap/>
            <w:vAlign w:val="bottom"/>
            <w:hideMark/>
          </w:tcPr>
          <w:p w14:paraId="352ECE39" w14:textId="01D53A98" w:rsidR="00234D14" w:rsidRPr="00234D14" w:rsidRDefault="00234D14" w:rsidP="00234D14">
            <w:pPr>
              <w:jc w:val="right"/>
              <w:rPr>
                <w:rFonts w:eastAsia="Times New Roman" w:cstheme="minorHAnsi"/>
                <w:b/>
                <w:bCs/>
                <w:sz w:val="20"/>
                <w:szCs w:val="20"/>
              </w:rPr>
            </w:pPr>
            <w:r w:rsidRPr="004B45DB">
              <w:rPr>
                <w:rFonts w:cstheme="minorHAnsi"/>
                <w:b/>
                <w:bCs/>
                <w:sz w:val="20"/>
                <w:szCs w:val="20"/>
              </w:rPr>
              <w:t>6%</w:t>
            </w:r>
          </w:p>
        </w:tc>
        <w:tc>
          <w:tcPr>
            <w:tcW w:w="775" w:type="dxa"/>
            <w:tcBorders>
              <w:top w:val="nil"/>
              <w:left w:val="nil"/>
              <w:bottom w:val="nil"/>
              <w:right w:val="nil"/>
            </w:tcBorders>
            <w:shd w:val="clear" w:color="000000" w:fill="FFFFFF"/>
            <w:noWrap/>
            <w:vAlign w:val="bottom"/>
            <w:hideMark/>
          </w:tcPr>
          <w:p w14:paraId="5FAA2843" w14:textId="47BA8A69" w:rsidR="00234D14" w:rsidRPr="004E6649" w:rsidRDefault="00234D14" w:rsidP="00234D14">
            <w:pPr>
              <w:jc w:val="right"/>
              <w:rPr>
                <w:rFonts w:eastAsia="Times New Roman" w:cstheme="minorHAnsi"/>
                <w:b/>
                <w:bCs/>
                <w:sz w:val="20"/>
                <w:szCs w:val="20"/>
              </w:rPr>
            </w:pPr>
            <w:r w:rsidRPr="004E6649">
              <w:rPr>
                <w:rFonts w:eastAsia="Times New Roman" w:cstheme="minorHAnsi"/>
                <w:b/>
                <w:bCs/>
                <w:sz w:val="20"/>
                <w:szCs w:val="20"/>
              </w:rPr>
              <w:t>66</w:t>
            </w:r>
          </w:p>
        </w:tc>
        <w:tc>
          <w:tcPr>
            <w:tcW w:w="955" w:type="dxa"/>
            <w:tcBorders>
              <w:top w:val="nil"/>
              <w:left w:val="nil"/>
              <w:bottom w:val="nil"/>
              <w:right w:val="nil"/>
            </w:tcBorders>
            <w:shd w:val="clear" w:color="000000" w:fill="FFFFFF"/>
            <w:vAlign w:val="bottom"/>
          </w:tcPr>
          <w:p w14:paraId="48BD135C" w14:textId="046EADDD" w:rsidR="00234D14" w:rsidRPr="004546E5" w:rsidRDefault="00234D14" w:rsidP="00234D14">
            <w:pPr>
              <w:jc w:val="right"/>
              <w:rPr>
                <w:rFonts w:eastAsia="Times New Roman" w:cstheme="minorHAnsi"/>
                <w:sz w:val="20"/>
                <w:szCs w:val="20"/>
              </w:rPr>
            </w:pPr>
            <w:r w:rsidRPr="004546E5">
              <w:rPr>
                <w:rFonts w:eastAsia="Times New Roman" w:cstheme="minorHAnsi"/>
                <w:sz w:val="20"/>
                <w:szCs w:val="20"/>
              </w:rPr>
              <w:t>47</w:t>
            </w:r>
          </w:p>
        </w:tc>
        <w:tc>
          <w:tcPr>
            <w:tcW w:w="773" w:type="dxa"/>
            <w:tcBorders>
              <w:top w:val="nil"/>
              <w:left w:val="nil"/>
              <w:bottom w:val="nil"/>
              <w:right w:val="nil"/>
            </w:tcBorders>
            <w:shd w:val="clear" w:color="000000" w:fill="FFFFFF"/>
            <w:noWrap/>
            <w:vAlign w:val="bottom"/>
            <w:hideMark/>
          </w:tcPr>
          <w:p w14:paraId="6F0CF379" w14:textId="7F9D1860" w:rsidR="00234D14" w:rsidRPr="004E6649" w:rsidRDefault="00234D14" w:rsidP="00234D14">
            <w:pPr>
              <w:jc w:val="right"/>
              <w:rPr>
                <w:rFonts w:eastAsia="Times New Roman" w:cstheme="minorHAnsi"/>
                <w:sz w:val="20"/>
                <w:szCs w:val="20"/>
              </w:rPr>
            </w:pPr>
            <w:r w:rsidRPr="004E6649">
              <w:rPr>
                <w:rFonts w:eastAsia="Times New Roman" w:cstheme="minorHAnsi"/>
                <w:sz w:val="20"/>
                <w:szCs w:val="20"/>
              </w:rPr>
              <w:t>13</w:t>
            </w:r>
          </w:p>
        </w:tc>
      </w:tr>
      <w:tr w:rsidR="00B05CD2" w:rsidRPr="004E6649" w14:paraId="079642EB" w14:textId="77777777" w:rsidTr="008B69B9">
        <w:trPr>
          <w:trHeight w:val="117"/>
          <w:jc w:val="center"/>
        </w:trPr>
        <w:tc>
          <w:tcPr>
            <w:tcW w:w="4590" w:type="dxa"/>
            <w:tcBorders>
              <w:top w:val="nil"/>
              <w:left w:val="nil"/>
              <w:bottom w:val="nil"/>
              <w:right w:val="nil"/>
            </w:tcBorders>
            <w:shd w:val="clear" w:color="000000" w:fill="FFFFFF"/>
            <w:noWrap/>
            <w:vAlign w:val="bottom"/>
            <w:hideMark/>
          </w:tcPr>
          <w:p w14:paraId="7DF95A3A" w14:textId="77777777" w:rsidR="00234D14" w:rsidRPr="004E6649" w:rsidRDefault="00234D14" w:rsidP="00234D14">
            <w:pPr>
              <w:ind w:firstLineChars="100" w:firstLine="200"/>
              <w:rPr>
                <w:rFonts w:eastAsia="Times New Roman" w:cstheme="minorHAnsi"/>
                <w:sz w:val="20"/>
                <w:szCs w:val="20"/>
              </w:rPr>
            </w:pPr>
            <w:r w:rsidRPr="004E6649">
              <w:rPr>
                <w:rFonts w:eastAsia="Times New Roman" w:cstheme="minorHAnsi"/>
                <w:sz w:val="20"/>
                <w:szCs w:val="20"/>
              </w:rPr>
              <w:t>Long-term debt</w:t>
            </w:r>
          </w:p>
        </w:tc>
        <w:tc>
          <w:tcPr>
            <w:tcW w:w="775" w:type="dxa"/>
            <w:tcBorders>
              <w:top w:val="nil"/>
              <w:left w:val="nil"/>
              <w:bottom w:val="nil"/>
              <w:right w:val="nil"/>
            </w:tcBorders>
            <w:shd w:val="clear" w:color="000000" w:fill="FFFFFF"/>
            <w:vAlign w:val="bottom"/>
          </w:tcPr>
          <w:p w14:paraId="35765EEF" w14:textId="700AFEE7" w:rsidR="00234D14" w:rsidRPr="00234D14" w:rsidRDefault="00234D14" w:rsidP="00234D14">
            <w:pPr>
              <w:jc w:val="right"/>
              <w:rPr>
                <w:rFonts w:eastAsia="Times New Roman" w:cstheme="minorHAnsi"/>
                <w:b/>
                <w:bCs/>
                <w:sz w:val="20"/>
                <w:szCs w:val="20"/>
              </w:rPr>
            </w:pPr>
            <w:r w:rsidRPr="004B45DB">
              <w:rPr>
                <w:rFonts w:cstheme="minorHAnsi"/>
                <w:b/>
                <w:bCs/>
                <w:sz w:val="20"/>
                <w:szCs w:val="20"/>
              </w:rPr>
              <w:t>184</w:t>
            </w:r>
          </w:p>
        </w:tc>
        <w:tc>
          <w:tcPr>
            <w:tcW w:w="831" w:type="dxa"/>
            <w:tcBorders>
              <w:top w:val="nil"/>
              <w:left w:val="nil"/>
              <w:bottom w:val="nil"/>
              <w:right w:val="nil"/>
            </w:tcBorders>
            <w:shd w:val="clear" w:color="auto" w:fill="D9D9D9" w:themeFill="background1" w:themeFillShade="D9"/>
            <w:vAlign w:val="bottom"/>
          </w:tcPr>
          <w:p w14:paraId="608B64A7" w14:textId="24E24C0C" w:rsidR="00234D14" w:rsidRPr="00234D14" w:rsidRDefault="00234D14" w:rsidP="00234D14">
            <w:pPr>
              <w:jc w:val="right"/>
              <w:rPr>
                <w:rFonts w:eastAsia="Times New Roman" w:cstheme="minorHAnsi"/>
                <w:b/>
                <w:bCs/>
                <w:sz w:val="20"/>
                <w:szCs w:val="20"/>
              </w:rPr>
            </w:pPr>
            <w:r w:rsidRPr="004B45DB">
              <w:rPr>
                <w:rFonts w:cstheme="minorHAnsi"/>
                <w:b/>
                <w:bCs/>
                <w:sz w:val="20"/>
                <w:szCs w:val="20"/>
              </w:rPr>
              <w:t>-8%</w:t>
            </w:r>
          </w:p>
        </w:tc>
        <w:tc>
          <w:tcPr>
            <w:tcW w:w="914" w:type="dxa"/>
            <w:tcBorders>
              <w:top w:val="nil"/>
              <w:left w:val="nil"/>
              <w:bottom w:val="nil"/>
              <w:right w:val="nil"/>
            </w:tcBorders>
            <w:shd w:val="clear" w:color="000000" w:fill="FFFFFF"/>
            <w:noWrap/>
            <w:vAlign w:val="bottom"/>
            <w:hideMark/>
          </w:tcPr>
          <w:p w14:paraId="62075DA7" w14:textId="6C35935C" w:rsidR="00234D14" w:rsidRPr="00234D14" w:rsidRDefault="00234D14" w:rsidP="00B05CD2">
            <w:pPr>
              <w:jc w:val="right"/>
              <w:rPr>
                <w:rFonts w:eastAsia="Times New Roman" w:cstheme="minorHAnsi"/>
                <w:b/>
                <w:bCs/>
                <w:sz w:val="20"/>
                <w:szCs w:val="20"/>
              </w:rPr>
            </w:pPr>
            <w:r w:rsidRPr="004B45DB">
              <w:rPr>
                <w:rFonts w:cstheme="minorHAnsi"/>
                <w:b/>
                <w:bCs/>
                <w:sz w:val="20"/>
                <w:szCs w:val="20"/>
              </w:rPr>
              <w:t>200</w:t>
            </w:r>
          </w:p>
        </w:tc>
        <w:tc>
          <w:tcPr>
            <w:tcW w:w="959" w:type="dxa"/>
            <w:tcBorders>
              <w:top w:val="nil"/>
              <w:left w:val="nil"/>
              <w:bottom w:val="nil"/>
              <w:right w:val="nil"/>
            </w:tcBorders>
            <w:shd w:val="clear" w:color="auto" w:fill="D9D9D9" w:themeFill="background1" w:themeFillShade="D9"/>
            <w:noWrap/>
            <w:vAlign w:val="bottom"/>
            <w:hideMark/>
          </w:tcPr>
          <w:p w14:paraId="4FA0AFCD" w14:textId="5E632ED4" w:rsidR="00234D14" w:rsidRPr="00234D14" w:rsidRDefault="00234D14" w:rsidP="00234D14">
            <w:pPr>
              <w:jc w:val="right"/>
              <w:rPr>
                <w:rFonts w:eastAsia="Times New Roman" w:cstheme="minorHAnsi"/>
                <w:b/>
                <w:bCs/>
                <w:sz w:val="20"/>
                <w:szCs w:val="20"/>
              </w:rPr>
            </w:pPr>
            <w:r w:rsidRPr="004B45DB">
              <w:rPr>
                <w:rFonts w:cstheme="minorHAnsi"/>
                <w:b/>
                <w:bCs/>
                <w:sz w:val="20"/>
                <w:szCs w:val="20"/>
              </w:rPr>
              <w:t>-8%</w:t>
            </w:r>
          </w:p>
        </w:tc>
        <w:tc>
          <w:tcPr>
            <w:tcW w:w="775" w:type="dxa"/>
            <w:tcBorders>
              <w:top w:val="nil"/>
              <w:left w:val="nil"/>
              <w:bottom w:val="nil"/>
              <w:right w:val="nil"/>
            </w:tcBorders>
            <w:shd w:val="clear" w:color="000000" w:fill="FFFFFF"/>
            <w:noWrap/>
            <w:vAlign w:val="bottom"/>
            <w:hideMark/>
          </w:tcPr>
          <w:p w14:paraId="62852709" w14:textId="58459991" w:rsidR="00234D14" w:rsidRPr="004E6649" w:rsidRDefault="00234D14" w:rsidP="00234D14">
            <w:pPr>
              <w:jc w:val="right"/>
              <w:rPr>
                <w:rFonts w:eastAsia="Times New Roman" w:cstheme="minorHAnsi"/>
                <w:b/>
                <w:bCs/>
                <w:sz w:val="20"/>
                <w:szCs w:val="20"/>
              </w:rPr>
            </w:pPr>
            <w:r w:rsidRPr="004E6649">
              <w:rPr>
                <w:rFonts w:eastAsia="Times New Roman" w:cstheme="minorHAnsi"/>
                <w:b/>
                <w:bCs/>
                <w:sz w:val="20"/>
                <w:szCs w:val="20"/>
              </w:rPr>
              <w:t>217</w:t>
            </w:r>
          </w:p>
        </w:tc>
        <w:tc>
          <w:tcPr>
            <w:tcW w:w="955" w:type="dxa"/>
            <w:tcBorders>
              <w:top w:val="nil"/>
              <w:left w:val="nil"/>
              <w:bottom w:val="nil"/>
              <w:right w:val="nil"/>
            </w:tcBorders>
            <w:shd w:val="clear" w:color="000000" w:fill="FFFFFF"/>
            <w:vAlign w:val="bottom"/>
          </w:tcPr>
          <w:p w14:paraId="48E3F8D7" w14:textId="2510A8BD" w:rsidR="00234D14" w:rsidRPr="004546E5" w:rsidRDefault="00234D14" w:rsidP="00234D14">
            <w:pPr>
              <w:jc w:val="right"/>
              <w:rPr>
                <w:rFonts w:eastAsia="Times New Roman" w:cstheme="minorHAnsi"/>
                <w:sz w:val="20"/>
                <w:szCs w:val="20"/>
              </w:rPr>
            </w:pPr>
            <w:r w:rsidRPr="004546E5">
              <w:rPr>
                <w:rFonts w:eastAsia="Times New Roman" w:cstheme="minorHAnsi"/>
                <w:sz w:val="20"/>
                <w:szCs w:val="20"/>
              </w:rPr>
              <w:t>96</w:t>
            </w:r>
          </w:p>
        </w:tc>
        <w:tc>
          <w:tcPr>
            <w:tcW w:w="773" w:type="dxa"/>
            <w:tcBorders>
              <w:top w:val="nil"/>
              <w:left w:val="nil"/>
              <w:bottom w:val="nil"/>
              <w:right w:val="nil"/>
            </w:tcBorders>
            <w:shd w:val="clear" w:color="000000" w:fill="FFFFFF"/>
            <w:noWrap/>
            <w:vAlign w:val="bottom"/>
            <w:hideMark/>
          </w:tcPr>
          <w:p w14:paraId="4BEE6C2C" w14:textId="189C8D43" w:rsidR="00234D14" w:rsidRPr="004E6649" w:rsidRDefault="00234D14" w:rsidP="00234D14">
            <w:pPr>
              <w:jc w:val="right"/>
              <w:rPr>
                <w:rFonts w:eastAsia="Times New Roman" w:cstheme="minorHAnsi"/>
                <w:sz w:val="20"/>
                <w:szCs w:val="20"/>
              </w:rPr>
            </w:pPr>
            <w:r w:rsidRPr="004E6649">
              <w:rPr>
                <w:rFonts w:eastAsia="Times New Roman" w:cstheme="minorHAnsi"/>
                <w:sz w:val="20"/>
                <w:szCs w:val="20"/>
              </w:rPr>
              <w:t>153</w:t>
            </w:r>
          </w:p>
        </w:tc>
      </w:tr>
      <w:tr w:rsidR="00616EE7" w:rsidRPr="004E6649" w14:paraId="145276E6" w14:textId="77777777" w:rsidTr="008B69B9">
        <w:trPr>
          <w:trHeight w:val="80"/>
          <w:jc w:val="center"/>
        </w:trPr>
        <w:tc>
          <w:tcPr>
            <w:tcW w:w="4590" w:type="dxa"/>
            <w:tcBorders>
              <w:top w:val="nil"/>
              <w:left w:val="nil"/>
              <w:bottom w:val="single" w:sz="4" w:space="0" w:color="auto"/>
              <w:right w:val="nil"/>
            </w:tcBorders>
            <w:shd w:val="clear" w:color="000000" w:fill="FFFFFF"/>
            <w:noWrap/>
            <w:vAlign w:val="bottom"/>
            <w:hideMark/>
          </w:tcPr>
          <w:p w14:paraId="2A91F09D" w14:textId="77777777" w:rsidR="00234D14" w:rsidRPr="004E6649" w:rsidRDefault="00234D14" w:rsidP="00234D14">
            <w:pPr>
              <w:ind w:firstLineChars="100" w:firstLine="200"/>
              <w:rPr>
                <w:rFonts w:eastAsia="Times New Roman" w:cstheme="minorHAnsi"/>
                <w:sz w:val="20"/>
                <w:szCs w:val="20"/>
              </w:rPr>
            </w:pPr>
            <w:r w:rsidRPr="004E6649">
              <w:rPr>
                <w:rFonts w:eastAsia="Times New Roman" w:cstheme="minorHAnsi"/>
                <w:sz w:val="20"/>
                <w:szCs w:val="20"/>
              </w:rPr>
              <w:t>Other</w:t>
            </w:r>
          </w:p>
        </w:tc>
        <w:tc>
          <w:tcPr>
            <w:tcW w:w="775" w:type="dxa"/>
            <w:tcBorders>
              <w:top w:val="nil"/>
              <w:left w:val="nil"/>
              <w:bottom w:val="single" w:sz="4" w:space="0" w:color="auto"/>
              <w:right w:val="nil"/>
            </w:tcBorders>
            <w:shd w:val="clear" w:color="000000" w:fill="FFFFFF"/>
            <w:vAlign w:val="bottom"/>
          </w:tcPr>
          <w:p w14:paraId="31C259D3" w14:textId="6A11A287" w:rsidR="00234D14" w:rsidRPr="00234D14" w:rsidRDefault="00B81858" w:rsidP="00234D14">
            <w:pPr>
              <w:jc w:val="right"/>
              <w:rPr>
                <w:rFonts w:eastAsia="Times New Roman" w:cstheme="minorHAnsi"/>
                <w:b/>
                <w:bCs/>
                <w:sz w:val="20"/>
                <w:szCs w:val="20"/>
              </w:rPr>
            </w:pPr>
            <w:r w:rsidRPr="004B45DB">
              <w:rPr>
                <w:rFonts w:cstheme="minorHAnsi"/>
                <w:b/>
                <w:bCs/>
                <w:sz w:val="20"/>
                <w:szCs w:val="20"/>
              </w:rPr>
              <w:t>6</w:t>
            </w:r>
            <w:r>
              <w:rPr>
                <w:rFonts w:cstheme="minorHAnsi"/>
                <w:b/>
                <w:bCs/>
                <w:sz w:val="20"/>
                <w:szCs w:val="20"/>
              </w:rPr>
              <w:t>4</w:t>
            </w:r>
          </w:p>
        </w:tc>
        <w:tc>
          <w:tcPr>
            <w:tcW w:w="831" w:type="dxa"/>
            <w:tcBorders>
              <w:top w:val="nil"/>
              <w:left w:val="nil"/>
              <w:right w:val="nil"/>
            </w:tcBorders>
            <w:shd w:val="clear" w:color="auto" w:fill="D9D9D9" w:themeFill="background1" w:themeFillShade="D9"/>
            <w:vAlign w:val="bottom"/>
          </w:tcPr>
          <w:p w14:paraId="6A652584" w14:textId="2FBEDD11" w:rsidR="00234D14" w:rsidRPr="00234D14" w:rsidRDefault="00234D14" w:rsidP="00234D14">
            <w:pPr>
              <w:jc w:val="right"/>
              <w:rPr>
                <w:rFonts w:eastAsia="Times New Roman" w:cstheme="minorHAnsi"/>
                <w:b/>
                <w:bCs/>
                <w:sz w:val="20"/>
                <w:szCs w:val="20"/>
              </w:rPr>
            </w:pPr>
            <w:r w:rsidRPr="004B45DB">
              <w:rPr>
                <w:rFonts w:cstheme="minorHAnsi"/>
                <w:b/>
                <w:bCs/>
                <w:sz w:val="20"/>
                <w:szCs w:val="20"/>
              </w:rPr>
              <w:t>-</w:t>
            </w:r>
            <w:r w:rsidR="00B81858">
              <w:rPr>
                <w:rFonts w:cstheme="minorHAnsi"/>
                <w:b/>
                <w:bCs/>
                <w:sz w:val="20"/>
                <w:szCs w:val="20"/>
              </w:rPr>
              <w:t>6</w:t>
            </w:r>
            <w:r w:rsidRPr="004B45DB">
              <w:rPr>
                <w:rFonts w:cstheme="minorHAnsi"/>
                <w:b/>
                <w:bCs/>
                <w:sz w:val="20"/>
                <w:szCs w:val="20"/>
              </w:rPr>
              <w:t>%</w:t>
            </w:r>
          </w:p>
        </w:tc>
        <w:tc>
          <w:tcPr>
            <w:tcW w:w="914" w:type="dxa"/>
            <w:tcBorders>
              <w:top w:val="nil"/>
              <w:left w:val="nil"/>
              <w:bottom w:val="single" w:sz="4" w:space="0" w:color="auto"/>
              <w:right w:val="nil"/>
            </w:tcBorders>
            <w:shd w:val="clear" w:color="000000" w:fill="FFFFFF"/>
            <w:noWrap/>
            <w:vAlign w:val="bottom"/>
            <w:hideMark/>
          </w:tcPr>
          <w:p w14:paraId="3BC87633" w14:textId="1E0855E8" w:rsidR="00234D14" w:rsidRPr="00234D14" w:rsidRDefault="00234D14" w:rsidP="00B05CD2">
            <w:pPr>
              <w:jc w:val="right"/>
              <w:rPr>
                <w:rFonts w:eastAsia="Times New Roman" w:cstheme="minorHAnsi"/>
                <w:b/>
                <w:bCs/>
                <w:sz w:val="20"/>
                <w:szCs w:val="20"/>
              </w:rPr>
            </w:pPr>
            <w:r w:rsidRPr="004B45DB">
              <w:rPr>
                <w:rFonts w:cstheme="minorHAnsi"/>
                <w:b/>
                <w:bCs/>
                <w:sz w:val="20"/>
                <w:szCs w:val="20"/>
              </w:rPr>
              <w:t>68</w:t>
            </w:r>
          </w:p>
        </w:tc>
        <w:tc>
          <w:tcPr>
            <w:tcW w:w="959" w:type="dxa"/>
            <w:tcBorders>
              <w:top w:val="nil"/>
              <w:left w:val="nil"/>
              <w:bottom w:val="nil"/>
              <w:right w:val="nil"/>
            </w:tcBorders>
            <w:shd w:val="clear" w:color="auto" w:fill="D9D9D9" w:themeFill="background1" w:themeFillShade="D9"/>
            <w:noWrap/>
            <w:vAlign w:val="bottom"/>
            <w:hideMark/>
          </w:tcPr>
          <w:p w14:paraId="146B6117" w14:textId="40D4656C" w:rsidR="00234D14" w:rsidRPr="00234D14" w:rsidRDefault="00234D14" w:rsidP="00234D14">
            <w:pPr>
              <w:jc w:val="right"/>
              <w:rPr>
                <w:rFonts w:eastAsia="Times New Roman" w:cstheme="minorHAnsi"/>
                <w:b/>
                <w:bCs/>
                <w:sz w:val="20"/>
                <w:szCs w:val="20"/>
              </w:rPr>
            </w:pPr>
            <w:r w:rsidRPr="004B45DB">
              <w:rPr>
                <w:rFonts w:cstheme="minorHAnsi"/>
                <w:b/>
                <w:bCs/>
                <w:sz w:val="20"/>
                <w:szCs w:val="20"/>
              </w:rPr>
              <w:t>3%</w:t>
            </w:r>
          </w:p>
        </w:tc>
        <w:tc>
          <w:tcPr>
            <w:tcW w:w="775" w:type="dxa"/>
            <w:tcBorders>
              <w:top w:val="nil"/>
              <w:left w:val="nil"/>
              <w:bottom w:val="single" w:sz="4" w:space="0" w:color="auto"/>
              <w:right w:val="nil"/>
            </w:tcBorders>
            <w:shd w:val="clear" w:color="000000" w:fill="FFFFFF"/>
            <w:noWrap/>
            <w:vAlign w:val="bottom"/>
            <w:hideMark/>
          </w:tcPr>
          <w:p w14:paraId="76786BAB" w14:textId="327B9E89" w:rsidR="00234D14" w:rsidRPr="004E6649" w:rsidRDefault="00234D14" w:rsidP="00234D14">
            <w:pPr>
              <w:jc w:val="right"/>
              <w:rPr>
                <w:rFonts w:eastAsia="Times New Roman" w:cstheme="minorHAnsi"/>
                <w:b/>
                <w:bCs/>
                <w:sz w:val="20"/>
                <w:szCs w:val="20"/>
              </w:rPr>
            </w:pPr>
            <w:r w:rsidRPr="004E6649">
              <w:rPr>
                <w:rFonts w:eastAsia="Times New Roman" w:cstheme="minorHAnsi"/>
                <w:b/>
                <w:bCs/>
                <w:sz w:val="20"/>
                <w:szCs w:val="20"/>
              </w:rPr>
              <w:t>66</w:t>
            </w:r>
          </w:p>
        </w:tc>
        <w:tc>
          <w:tcPr>
            <w:tcW w:w="955" w:type="dxa"/>
            <w:tcBorders>
              <w:top w:val="nil"/>
              <w:left w:val="nil"/>
              <w:bottom w:val="single" w:sz="4" w:space="0" w:color="auto"/>
              <w:right w:val="nil"/>
            </w:tcBorders>
            <w:shd w:val="clear" w:color="000000" w:fill="FFFFFF"/>
            <w:vAlign w:val="bottom"/>
          </w:tcPr>
          <w:p w14:paraId="3A65CF05" w14:textId="0B263002" w:rsidR="00234D14" w:rsidRPr="004546E5" w:rsidRDefault="00234D14" w:rsidP="00234D14">
            <w:pPr>
              <w:jc w:val="right"/>
              <w:rPr>
                <w:rFonts w:eastAsia="Times New Roman" w:cstheme="minorHAnsi"/>
                <w:sz w:val="20"/>
                <w:szCs w:val="20"/>
              </w:rPr>
            </w:pPr>
            <w:r w:rsidRPr="004546E5">
              <w:rPr>
                <w:rFonts w:eastAsia="Times New Roman" w:cstheme="minorHAnsi"/>
                <w:sz w:val="20"/>
                <w:szCs w:val="20"/>
              </w:rPr>
              <w:t>88</w:t>
            </w:r>
          </w:p>
        </w:tc>
        <w:tc>
          <w:tcPr>
            <w:tcW w:w="773" w:type="dxa"/>
            <w:tcBorders>
              <w:top w:val="nil"/>
              <w:left w:val="nil"/>
              <w:bottom w:val="single" w:sz="4" w:space="0" w:color="auto"/>
              <w:right w:val="nil"/>
            </w:tcBorders>
            <w:shd w:val="clear" w:color="000000" w:fill="FFFFFF"/>
            <w:noWrap/>
            <w:vAlign w:val="bottom"/>
            <w:hideMark/>
          </w:tcPr>
          <w:p w14:paraId="75B13635" w14:textId="6CCE1E1A" w:rsidR="00234D14" w:rsidRPr="004E6649" w:rsidRDefault="00234D14" w:rsidP="00234D14">
            <w:pPr>
              <w:jc w:val="right"/>
              <w:rPr>
                <w:rFonts w:eastAsia="Times New Roman" w:cstheme="minorHAnsi"/>
                <w:sz w:val="20"/>
                <w:szCs w:val="20"/>
              </w:rPr>
            </w:pPr>
            <w:r w:rsidRPr="004E6649">
              <w:rPr>
                <w:rFonts w:eastAsia="Times New Roman" w:cstheme="minorHAnsi"/>
                <w:sz w:val="20"/>
                <w:szCs w:val="20"/>
              </w:rPr>
              <w:t>73</w:t>
            </w:r>
          </w:p>
        </w:tc>
      </w:tr>
      <w:tr w:rsidR="00B05CD2" w:rsidRPr="004E6649" w14:paraId="5A18B095" w14:textId="77777777" w:rsidTr="008B69B9">
        <w:trPr>
          <w:trHeight w:val="70"/>
          <w:jc w:val="center"/>
        </w:trPr>
        <w:tc>
          <w:tcPr>
            <w:tcW w:w="4590" w:type="dxa"/>
            <w:tcBorders>
              <w:top w:val="nil"/>
              <w:left w:val="nil"/>
              <w:bottom w:val="nil"/>
              <w:right w:val="nil"/>
            </w:tcBorders>
            <w:shd w:val="clear" w:color="000000" w:fill="FFFFFF"/>
            <w:noWrap/>
            <w:vAlign w:val="bottom"/>
            <w:hideMark/>
          </w:tcPr>
          <w:p w14:paraId="3AA8250E" w14:textId="77777777" w:rsidR="00234D14" w:rsidRPr="004E6649" w:rsidRDefault="00234D14" w:rsidP="00234D14">
            <w:pPr>
              <w:rPr>
                <w:rFonts w:eastAsia="Times New Roman" w:cstheme="minorHAnsi"/>
                <w:b/>
                <w:bCs/>
                <w:sz w:val="20"/>
                <w:szCs w:val="20"/>
              </w:rPr>
            </w:pPr>
            <w:r w:rsidRPr="004E6649">
              <w:rPr>
                <w:rFonts w:eastAsia="Times New Roman" w:cstheme="minorHAnsi"/>
                <w:b/>
                <w:bCs/>
                <w:sz w:val="20"/>
                <w:szCs w:val="20"/>
              </w:rPr>
              <w:t>Total Liabilities</w:t>
            </w:r>
          </w:p>
        </w:tc>
        <w:tc>
          <w:tcPr>
            <w:tcW w:w="775" w:type="dxa"/>
            <w:tcBorders>
              <w:top w:val="nil"/>
              <w:left w:val="nil"/>
              <w:bottom w:val="nil"/>
              <w:right w:val="nil"/>
            </w:tcBorders>
            <w:shd w:val="clear" w:color="000000" w:fill="FFFFFF"/>
            <w:vAlign w:val="bottom"/>
          </w:tcPr>
          <w:p w14:paraId="03FA7F46" w14:textId="0EE696DA" w:rsidR="00234D14" w:rsidRPr="00234D14" w:rsidRDefault="00234D14" w:rsidP="00234D14">
            <w:pPr>
              <w:jc w:val="right"/>
              <w:rPr>
                <w:rFonts w:eastAsia="Times New Roman" w:cstheme="minorHAnsi"/>
                <w:b/>
                <w:bCs/>
                <w:sz w:val="20"/>
                <w:szCs w:val="20"/>
              </w:rPr>
            </w:pPr>
            <w:r w:rsidRPr="004B45DB">
              <w:rPr>
                <w:rFonts w:cstheme="minorHAnsi"/>
                <w:b/>
                <w:bCs/>
                <w:sz w:val="20"/>
                <w:szCs w:val="20"/>
              </w:rPr>
              <w:t>476</w:t>
            </w:r>
          </w:p>
        </w:tc>
        <w:tc>
          <w:tcPr>
            <w:tcW w:w="831" w:type="dxa"/>
            <w:tcBorders>
              <w:top w:val="nil"/>
              <w:left w:val="nil"/>
              <w:bottom w:val="nil"/>
              <w:right w:val="nil"/>
            </w:tcBorders>
            <w:shd w:val="clear" w:color="auto" w:fill="D9D9D9" w:themeFill="background1" w:themeFillShade="D9"/>
            <w:vAlign w:val="bottom"/>
          </w:tcPr>
          <w:p w14:paraId="21BA63FC" w14:textId="131CE49B" w:rsidR="00234D14" w:rsidRPr="00234D14" w:rsidRDefault="00234D14" w:rsidP="00234D14">
            <w:pPr>
              <w:jc w:val="right"/>
              <w:rPr>
                <w:rFonts w:eastAsia="Times New Roman" w:cstheme="minorHAnsi"/>
                <w:b/>
                <w:bCs/>
                <w:sz w:val="20"/>
                <w:szCs w:val="20"/>
              </w:rPr>
            </w:pPr>
            <w:r w:rsidRPr="004B45DB">
              <w:rPr>
                <w:rFonts w:cstheme="minorHAnsi"/>
                <w:b/>
                <w:bCs/>
                <w:sz w:val="20"/>
                <w:szCs w:val="20"/>
              </w:rPr>
              <w:t>1%</w:t>
            </w:r>
          </w:p>
        </w:tc>
        <w:tc>
          <w:tcPr>
            <w:tcW w:w="914" w:type="dxa"/>
            <w:tcBorders>
              <w:top w:val="nil"/>
              <w:left w:val="nil"/>
              <w:bottom w:val="nil"/>
              <w:right w:val="nil"/>
            </w:tcBorders>
            <w:shd w:val="clear" w:color="000000" w:fill="FFFFFF"/>
            <w:noWrap/>
            <w:vAlign w:val="bottom"/>
            <w:hideMark/>
          </w:tcPr>
          <w:p w14:paraId="5FA25935" w14:textId="2F43A64B" w:rsidR="00234D14" w:rsidRPr="00234D14" w:rsidRDefault="00234D14" w:rsidP="00B05CD2">
            <w:pPr>
              <w:jc w:val="right"/>
              <w:rPr>
                <w:rFonts w:eastAsia="Times New Roman" w:cstheme="minorHAnsi"/>
                <w:b/>
                <w:bCs/>
                <w:sz w:val="20"/>
                <w:szCs w:val="20"/>
              </w:rPr>
            </w:pPr>
            <w:r w:rsidRPr="004B45DB">
              <w:rPr>
                <w:rFonts w:cstheme="minorHAnsi"/>
                <w:b/>
                <w:bCs/>
                <w:sz w:val="20"/>
                <w:szCs w:val="20"/>
              </w:rPr>
              <w:t>472</w:t>
            </w:r>
          </w:p>
        </w:tc>
        <w:tc>
          <w:tcPr>
            <w:tcW w:w="959" w:type="dxa"/>
            <w:tcBorders>
              <w:top w:val="nil"/>
              <w:left w:val="nil"/>
              <w:bottom w:val="nil"/>
              <w:right w:val="nil"/>
            </w:tcBorders>
            <w:shd w:val="clear" w:color="auto" w:fill="D9D9D9" w:themeFill="background1" w:themeFillShade="D9"/>
            <w:noWrap/>
            <w:vAlign w:val="bottom"/>
            <w:hideMark/>
          </w:tcPr>
          <w:p w14:paraId="72453F43" w14:textId="514F5EB7" w:rsidR="00234D14" w:rsidRPr="00234D14" w:rsidRDefault="00234D14" w:rsidP="00234D14">
            <w:pPr>
              <w:jc w:val="right"/>
              <w:rPr>
                <w:rFonts w:eastAsia="Times New Roman" w:cstheme="minorHAnsi"/>
                <w:b/>
                <w:bCs/>
                <w:sz w:val="20"/>
                <w:szCs w:val="20"/>
              </w:rPr>
            </w:pPr>
            <w:r w:rsidRPr="004B45DB">
              <w:rPr>
                <w:rFonts w:cstheme="minorHAnsi"/>
                <w:b/>
                <w:bCs/>
                <w:sz w:val="20"/>
                <w:szCs w:val="20"/>
              </w:rPr>
              <w:t>1%</w:t>
            </w:r>
          </w:p>
        </w:tc>
        <w:tc>
          <w:tcPr>
            <w:tcW w:w="775" w:type="dxa"/>
            <w:tcBorders>
              <w:top w:val="nil"/>
              <w:left w:val="nil"/>
              <w:bottom w:val="nil"/>
              <w:right w:val="nil"/>
            </w:tcBorders>
            <w:shd w:val="clear" w:color="000000" w:fill="FFFFFF"/>
            <w:noWrap/>
            <w:vAlign w:val="bottom"/>
            <w:hideMark/>
          </w:tcPr>
          <w:p w14:paraId="6598D497" w14:textId="0EDB1C5C" w:rsidR="00234D14" w:rsidRPr="004E6649" w:rsidRDefault="00234D14" w:rsidP="00234D14">
            <w:pPr>
              <w:jc w:val="right"/>
              <w:rPr>
                <w:rFonts w:eastAsia="Times New Roman" w:cstheme="minorHAnsi"/>
                <w:b/>
                <w:bCs/>
                <w:sz w:val="20"/>
                <w:szCs w:val="20"/>
              </w:rPr>
            </w:pPr>
            <w:r w:rsidRPr="004E6649">
              <w:rPr>
                <w:rFonts w:eastAsia="Times New Roman" w:cstheme="minorHAnsi"/>
                <w:b/>
                <w:bCs/>
                <w:sz w:val="20"/>
                <w:szCs w:val="20"/>
              </w:rPr>
              <w:t>469</w:t>
            </w:r>
          </w:p>
        </w:tc>
        <w:tc>
          <w:tcPr>
            <w:tcW w:w="955" w:type="dxa"/>
            <w:tcBorders>
              <w:top w:val="nil"/>
              <w:left w:val="nil"/>
              <w:bottom w:val="nil"/>
              <w:right w:val="nil"/>
            </w:tcBorders>
            <w:shd w:val="clear" w:color="000000" w:fill="FFFFFF"/>
            <w:vAlign w:val="bottom"/>
          </w:tcPr>
          <w:p w14:paraId="68559D4A" w14:textId="530C6BEE" w:rsidR="00234D14" w:rsidRPr="004546E5" w:rsidRDefault="00234D14" w:rsidP="00234D14">
            <w:pPr>
              <w:jc w:val="right"/>
              <w:rPr>
                <w:rFonts w:eastAsia="Times New Roman" w:cstheme="minorHAnsi"/>
                <w:sz w:val="20"/>
                <w:szCs w:val="20"/>
              </w:rPr>
            </w:pPr>
            <w:r w:rsidRPr="004546E5">
              <w:rPr>
                <w:rFonts w:eastAsia="Times New Roman" w:cstheme="minorHAnsi"/>
                <w:sz w:val="20"/>
                <w:szCs w:val="20"/>
              </w:rPr>
              <w:t>405</w:t>
            </w:r>
          </w:p>
        </w:tc>
        <w:tc>
          <w:tcPr>
            <w:tcW w:w="773" w:type="dxa"/>
            <w:tcBorders>
              <w:top w:val="nil"/>
              <w:left w:val="nil"/>
              <w:bottom w:val="nil"/>
              <w:right w:val="nil"/>
            </w:tcBorders>
            <w:shd w:val="clear" w:color="000000" w:fill="FFFFFF"/>
            <w:noWrap/>
            <w:vAlign w:val="bottom"/>
            <w:hideMark/>
          </w:tcPr>
          <w:p w14:paraId="0269B02A" w14:textId="6EC3CB28" w:rsidR="00234D14" w:rsidRPr="004E6649" w:rsidRDefault="00234D14" w:rsidP="00234D14">
            <w:pPr>
              <w:jc w:val="right"/>
              <w:rPr>
                <w:rFonts w:eastAsia="Times New Roman" w:cstheme="minorHAnsi"/>
                <w:sz w:val="20"/>
                <w:szCs w:val="20"/>
              </w:rPr>
            </w:pPr>
            <w:r w:rsidRPr="004E6649">
              <w:rPr>
                <w:rFonts w:eastAsia="Times New Roman" w:cstheme="minorHAnsi"/>
                <w:sz w:val="20"/>
                <w:szCs w:val="20"/>
              </w:rPr>
              <w:t>337</w:t>
            </w:r>
          </w:p>
        </w:tc>
      </w:tr>
      <w:tr w:rsidR="00616EE7" w:rsidRPr="004E6649" w14:paraId="54B1DEB9" w14:textId="77777777" w:rsidTr="008B69B9">
        <w:trPr>
          <w:trHeight w:val="108"/>
          <w:jc w:val="center"/>
        </w:trPr>
        <w:tc>
          <w:tcPr>
            <w:tcW w:w="4590" w:type="dxa"/>
            <w:tcBorders>
              <w:top w:val="nil"/>
              <w:left w:val="nil"/>
              <w:bottom w:val="single" w:sz="4" w:space="0" w:color="auto"/>
              <w:right w:val="nil"/>
            </w:tcBorders>
            <w:shd w:val="clear" w:color="000000" w:fill="FFFFFF"/>
            <w:noWrap/>
            <w:vAlign w:val="bottom"/>
            <w:hideMark/>
          </w:tcPr>
          <w:p w14:paraId="003B3580" w14:textId="77777777" w:rsidR="00234D14" w:rsidRPr="004E6649" w:rsidRDefault="00234D14" w:rsidP="00234D14">
            <w:pPr>
              <w:rPr>
                <w:rFonts w:eastAsia="Times New Roman" w:cstheme="minorHAnsi"/>
                <w:b/>
                <w:bCs/>
                <w:sz w:val="20"/>
                <w:szCs w:val="20"/>
              </w:rPr>
            </w:pPr>
            <w:r w:rsidRPr="004E6649">
              <w:rPr>
                <w:rFonts w:eastAsia="Times New Roman" w:cstheme="minorHAnsi"/>
                <w:b/>
                <w:bCs/>
                <w:sz w:val="20"/>
                <w:szCs w:val="20"/>
              </w:rPr>
              <w:t>Deferred Inflows of Resources</w:t>
            </w:r>
          </w:p>
        </w:tc>
        <w:tc>
          <w:tcPr>
            <w:tcW w:w="775" w:type="dxa"/>
            <w:tcBorders>
              <w:top w:val="nil"/>
              <w:left w:val="nil"/>
              <w:bottom w:val="single" w:sz="4" w:space="0" w:color="auto"/>
              <w:right w:val="nil"/>
            </w:tcBorders>
            <w:shd w:val="clear" w:color="000000" w:fill="FFFFFF"/>
            <w:vAlign w:val="bottom"/>
          </w:tcPr>
          <w:p w14:paraId="355A8F60" w14:textId="361C1F2E" w:rsidR="00234D14" w:rsidRPr="00234D14" w:rsidRDefault="00B81858" w:rsidP="00234D14">
            <w:pPr>
              <w:jc w:val="right"/>
              <w:rPr>
                <w:rFonts w:eastAsia="Times New Roman" w:cstheme="minorHAnsi"/>
                <w:b/>
                <w:bCs/>
                <w:sz w:val="20"/>
                <w:szCs w:val="20"/>
              </w:rPr>
            </w:pPr>
            <w:r w:rsidRPr="004B45DB">
              <w:rPr>
                <w:rFonts w:cstheme="minorHAnsi"/>
                <w:b/>
                <w:bCs/>
                <w:sz w:val="20"/>
                <w:szCs w:val="20"/>
              </w:rPr>
              <w:t>7</w:t>
            </w:r>
            <w:r>
              <w:rPr>
                <w:rFonts w:cstheme="minorHAnsi"/>
                <w:b/>
                <w:bCs/>
                <w:sz w:val="20"/>
                <w:szCs w:val="20"/>
              </w:rPr>
              <w:t>4</w:t>
            </w:r>
          </w:p>
        </w:tc>
        <w:tc>
          <w:tcPr>
            <w:tcW w:w="831" w:type="dxa"/>
            <w:tcBorders>
              <w:top w:val="nil"/>
              <w:left w:val="nil"/>
              <w:right w:val="nil"/>
            </w:tcBorders>
            <w:shd w:val="clear" w:color="auto" w:fill="D9D9D9" w:themeFill="background1" w:themeFillShade="D9"/>
            <w:vAlign w:val="bottom"/>
          </w:tcPr>
          <w:p w14:paraId="70AC091F" w14:textId="56CDEC1D" w:rsidR="00234D14" w:rsidRPr="00234D14" w:rsidRDefault="00B81858" w:rsidP="00234D14">
            <w:pPr>
              <w:jc w:val="right"/>
              <w:rPr>
                <w:rFonts w:eastAsia="Times New Roman" w:cstheme="minorHAnsi"/>
                <w:b/>
                <w:bCs/>
                <w:sz w:val="20"/>
                <w:szCs w:val="20"/>
              </w:rPr>
            </w:pPr>
            <w:r>
              <w:rPr>
                <w:rFonts w:cstheme="minorHAnsi"/>
                <w:b/>
                <w:bCs/>
                <w:sz w:val="20"/>
                <w:szCs w:val="20"/>
              </w:rPr>
              <w:t>7</w:t>
            </w:r>
            <w:r w:rsidR="00234D14" w:rsidRPr="004B45DB">
              <w:rPr>
                <w:rFonts w:cstheme="minorHAnsi"/>
                <w:b/>
                <w:bCs/>
                <w:sz w:val="20"/>
                <w:szCs w:val="20"/>
              </w:rPr>
              <w:t>%</w:t>
            </w:r>
          </w:p>
        </w:tc>
        <w:tc>
          <w:tcPr>
            <w:tcW w:w="914" w:type="dxa"/>
            <w:tcBorders>
              <w:top w:val="nil"/>
              <w:left w:val="nil"/>
              <w:bottom w:val="single" w:sz="4" w:space="0" w:color="auto"/>
              <w:right w:val="nil"/>
            </w:tcBorders>
            <w:shd w:val="clear" w:color="000000" w:fill="FFFFFF"/>
            <w:noWrap/>
            <w:vAlign w:val="bottom"/>
            <w:hideMark/>
          </w:tcPr>
          <w:p w14:paraId="7A802A04" w14:textId="6CF179A8" w:rsidR="00234D14" w:rsidRPr="00234D14" w:rsidRDefault="00234D14" w:rsidP="00B05CD2">
            <w:pPr>
              <w:jc w:val="right"/>
              <w:rPr>
                <w:rFonts w:eastAsia="Times New Roman" w:cstheme="minorHAnsi"/>
                <w:b/>
                <w:bCs/>
                <w:sz w:val="20"/>
                <w:szCs w:val="20"/>
              </w:rPr>
            </w:pPr>
            <w:r w:rsidRPr="004B45DB">
              <w:rPr>
                <w:rFonts w:cstheme="minorHAnsi"/>
                <w:b/>
                <w:bCs/>
                <w:sz w:val="20"/>
                <w:szCs w:val="20"/>
              </w:rPr>
              <w:t>69</w:t>
            </w:r>
          </w:p>
        </w:tc>
        <w:tc>
          <w:tcPr>
            <w:tcW w:w="959" w:type="dxa"/>
            <w:tcBorders>
              <w:top w:val="nil"/>
              <w:left w:val="nil"/>
              <w:bottom w:val="nil"/>
              <w:right w:val="nil"/>
            </w:tcBorders>
            <w:shd w:val="clear" w:color="auto" w:fill="D9D9D9" w:themeFill="background1" w:themeFillShade="D9"/>
            <w:noWrap/>
            <w:vAlign w:val="bottom"/>
            <w:hideMark/>
          </w:tcPr>
          <w:p w14:paraId="21D8D657" w14:textId="06D50072" w:rsidR="00234D14" w:rsidRPr="00234D14" w:rsidRDefault="00234D14" w:rsidP="00234D14">
            <w:pPr>
              <w:jc w:val="right"/>
              <w:rPr>
                <w:rFonts w:eastAsia="Times New Roman" w:cstheme="minorHAnsi"/>
                <w:b/>
                <w:bCs/>
                <w:sz w:val="20"/>
                <w:szCs w:val="20"/>
              </w:rPr>
            </w:pPr>
            <w:r w:rsidRPr="004B45DB">
              <w:rPr>
                <w:rFonts w:cstheme="minorHAnsi"/>
                <w:b/>
                <w:bCs/>
                <w:sz w:val="20"/>
                <w:szCs w:val="20"/>
              </w:rPr>
              <w:t>28%</w:t>
            </w:r>
          </w:p>
        </w:tc>
        <w:tc>
          <w:tcPr>
            <w:tcW w:w="775" w:type="dxa"/>
            <w:tcBorders>
              <w:top w:val="nil"/>
              <w:left w:val="nil"/>
              <w:bottom w:val="single" w:sz="4" w:space="0" w:color="auto"/>
              <w:right w:val="nil"/>
            </w:tcBorders>
            <w:shd w:val="clear" w:color="000000" w:fill="FFFFFF"/>
            <w:noWrap/>
            <w:vAlign w:val="bottom"/>
            <w:hideMark/>
          </w:tcPr>
          <w:p w14:paraId="16A38546" w14:textId="5C6CC447" w:rsidR="00234D14" w:rsidRPr="004E6649" w:rsidRDefault="00234D14" w:rsidP="00234D14">
            <w:pPr>
              <w:jc w:val="right"/>
              <w:rPr>
                <w:rFonts w:eastAsia="Times New Roman" w:cstheme="minorHAnsi"/>
                <w:b/>
                <w:bCs/>
                <w:sz w:val="20"/>
                <w:szCs w:val="20"/>
              </w:rPr>
            </w:pPr>
            <w:r w:rsidRPr="004E6649">
              <w:rPr>
                <w:rFonts w:eastAsia="Times New Roman" w:cstheme="minorHAnsi"/>
                <w:b/>
                <w:bCs/>
                <w:sz w:val="20"/>
                <w:szCs w:val="20"/>
              </w:rPr>
              <w:t>54</w:t>
            </w:r>
          </w:p>
        </w:tc>
        <w:tc>
          <w:tcPr>
            <w:tcW w:w="955" w:type="dxa"/>
            <w:tcBorders>
              <w:top w:val="nil"/>
              <w:left w:val="nil"/>
              <w:bottom w:val="single" w:sz="4" w:space="0" w:color="auto"/>
              <w:right w:val="nil"/>
            </w:tcBorders>
            <w:shd w:val="clear" w:color="000000" w:fill="FFFFFF"/>
            <w:vAlign w:val="bottom"/>
          </w:tcPr>
          <w:p w14:paraId="446AF691" w14:textId="1E9573F0" w:rsidR="00234D14" w:rsidRPr="004546E5" w:rsidRDefault="00234D14" w:rsidP="00234D14">
            <w:pPr>
              <w:jc w:val="right"/>
              <w:rPr>
                <w:rFonts w:eastAsia="Times New Roman" w:cstheme="minorHAnsi"/>
                <w:sz w:val="20"/>
                <w:szCs w:val="20"/>
              </w:rPr>
            </w:pPr>
            <w:r w:rsidRPr="004546E5">
              <w:rPr>
                <w:rFonts w:eastAsia="Times New Roman" w:cstheme="minorHAnsi"/>
                <w:sz w:val="20"/>
                <w:szCs w:val="20"/>
              </w:rPr>
              <w:t>33</w:t>
            </w:r>
          </w:p>
        </w:tc>
        <w:tc>
          <w:tcPr>
            <w:tcW w:w="773" w:type="dxa"/>
            <w:tcBorders>
              <w:top w:val="nil"/>
              <w:left w:val="nil"/>
              <w:bottom w:val="single" w:sz="4" w:space="0" w:color="auto"/>
              <w:right w:val="nil"/>
            </w:tcBorders>
            <w:shd w:val="clear" w:color="000000" w:fill="FFFFFF"/>
            <w:noWrap/>
            <w:vAlign w:val="bottom"/>
            <w:hideMark/>
          </w:tcPr>
          <w:p w14:paraId="2121F27F" w14:textId="377FFF1E" w:rsidR="00234D14" w:rsidRPr="004E6649" w:rsidRDefault="00234D14" w:rsidP="00234D14">
            <w:pPr>
              <w:jc w:val="right"/>
              <w:rPr>
                <w:rFonts w:eastAsia="Times New Roman" w:cstheme="minorHAnsi"/>
                <w:sz w:val="20"/>
                <w:szCs w:val="20"/>
              </w:rPr>
            </w:pPr>
            <w:r w:rsidRPr="004E6649">
              <w:rPr>
                <w:rFonts w:eastAsia="Times New Roman" w:cstheme="minorHAnsi"/>
                <w:sz w:val="20"/>
                <w:szCs w:val="20"/>
              </w:rPr>
              <w:t>62</w:t>
            </w:r>
          </w:p>
        </w:tc>
      </w:tr>
      <w:tr w:rsidR="00616EE7" w:rsidRPr="004E6649" w14:paraId="0A343E14" w14:textId="77777777" w:rsidTr="008B69B9">
        <w:trPr>
          <w:trHeight w:val="70"/>
          <w:jc w:val="center"/>
        </w:trPr>
        <w:tc>
          <w:tcPr>
            <w:tcW w:w="4590" w:type="dxa"/>
            <w:tcBorders>
              <w:top w:val="nil"/>
              <w:left w:val="nil"/>
              <w:bottom w:val="single" w:sz="4" w:space="0" w:color="auto"/>
              <w:right w:val="nil"/>
            </w:tcBorders>
            <w:shd w:val="clear" w:color="000000" w:fill="FFFFFF"/>
            <w:noWrap/>
            <w:vAlign w:val="bottom"/>
            <w:hideMark/>
          </w:tcPr>
          <w:p w14:paraId="46BA324D" w14:textId="77777777" w:rsidR="00234D14" w:rsidRPr="004E6649" w:rsidRDefault="00234D14" w:rsidP="00234D14">
            <w:pPr>
              <w:rPr>
                <w:rFonts w:eastAsia="Times New Roman" w:cstheme="minorHAnsi"/>
                <w:b/>
                <w:bCs/>
                <w:sz w:val="20"/>
                <w:szCs w:val="20"/>
              </w:rPr>
            </w:pPr>
            <w:r w:rsidRPr="004E6649">
              <w:rPr>
                <w:rFonts w:eastAsia="Times New Roman" w:cstheme="minorHAnsi"/>
                <w:b/>
                <w:bCs/>
                <w:sz w:val="20"/>
                <w:szCs w:val="20"/>
              </w:rPr>
              <w:t>Total Liabilities and Deferred Inflows</w:t>
            </w:r>
          </w:p>
        </w:tc>
        <w:tc>
          <w:tcPr>
            <w:tcW w:w="775" w:type="dxa"/>
            <w:tcBorders>
              <w:top w:val="nil"/>
              <w:left w:val="nil"/>
              <w:bottom w:val="single" w:sz="4" w:space="0" w:color="auto"/>
              <w:right w:val="nil"/>
            </w:tcBorders>
            <w:shd w:val="clear" w:color="000000" w:fill="FFFFFF"/>
            <w:vAlign w:val="bottom"/>
          </w:tcPr>
          <w:p w14:paraId="6DF6046B" w14:textId="6584111C" w:rsidR="00234D14" w:rsidRPr="00234D14" w:rsidRDefault="00B81858" w:rsidP="00234D14">
            <w:pPr>
              <w:jc w:val="right"/>
              <w:rPr>
                <w:rFonts w:eastAsia="Times New Roman" w:cstheme="minorHAnsi"/>
                <w:b/>
                <w:bCs/>
                <w:sz w:val="20"/>
                <w:szCs w:val="20"/>
              </w:rPr>
            </w:pPr>
            <w:r w:rsidRPr="004B45DB">
              <w:rPr>
                <w:rFonts w:cstheme="minorHAnsi"/>
                <w:b/>
                <w:bCs/>
                <w:sz w:val="20"/>
                <w:szCs w:val="20"/>
              </w:rPr>
              <w:t>5</w:t>
            </w:r>
            <w:r>
              <w:rPr>
                <w:rFonts w:cstheme="minorHAnsi"/>
                <w:b/>
                <w:bCs/>
                <w:sz w:val="20"/>
                <w:szCs w:val="20"/>
              </w:rPr>
              <w:t>50</w:t>
            </w:r>
          </w:p>
        </w:tc>
        <w:tc>
          <w:tcPr>
            <w:tcW w:w="831" w:type="dxa"/>
            <w:tcBorders>
              <w:top w:val="nil"/>
              <w:left w:val="nil"/>
              <w:right w:val="nil"/>
            </w:tcBorders>
            <w:shd w:val="clear" w:color="auto" w:fill="D9D9D9" w:themeFill="background1" w:themeFillShade="D9"/>
            <w:vAlign w:val="bottom"/>
          </w:tcPr>
          <w:p w14:paraId="3CC10B61" w14:textId="6B6AFB9D" w:rsidR="00234D14" w:rsidRPr="00234D14" w:rsidRDefault="00B81858" w:rsidP="00234D14">
            <w:pPr>
              <w:jc w:val="right"/>
              <w:rPr>
                <w:rFonts w:eastAsia="Times New Roman" w:cstheme="minorHAnsi"/>
                <w:b/>
                <w:bCs/>
                <w:sz w:val="20"/>
                <w:szCs w:val="20"/>
              </w:rPr>
            </w:pPr>
            <w:r>
              <w:rPr>
                <w:rFonts w:cstheme="minorHAnsi"/>
                <w:b/>
                <w:bCs/>
                <w:sz w:val="20"/>
                <w:szCs w:val="20"/>
              </w:rPr>
              <w:t>2</w:t>
            </w:r>
            <w:r w:rsidR="00234D14" w:rsidRPr="004B45DB">
              <w:rPr>
                <w:rFonts w:cstheme="minorHAnsi"/>
                <w:b/>
                <w:bCs/>
                <w:sz w:val="20"/>
                <w:szCs w:val="20"/>
              </w:rPr>
              <w:t>%</w:t>
            </w:r>
          </w:p>
        </w:tc>
        <w:tc>
          <w:tcPr>
            <w:tcW w:w="914" w:type="dxa"/>
            <w:tcBorders>
              <w:top w:val="nil"/>
              <w:left w:val="nil"/>
              <w:bottom w:val="single" w:sz="4" w:space="0" w:color="auto"/>
              <w:right w:val="nil"/>
            </w:tcBorders>
            <w:shd w:val="clear" w:color="000000" w:fill="FFFFFF"/>
            <w:noWrap/>
            <w:vAlign w:val="bottom"/>
            <w:hideMark/>
          </w:tcPr>
          <w:p w14:paraId="70289EAB" w14:textId="347EC3CC" w:rsidR="00234D14" w:rsidRPr="00234D14" w:rsidRDefault="00234D14" w:rsidP="00B05CD2">
            <w:pPr>
              <w:jc w:val="right"/>
              <w:rPr>
                <w:rFonts w:eastAsia="Times New Roman" w:cstheme="minorHAnsi"/>
                <w:b/>
                <w:bCs/>
                <w:sz w:val="20"/>
                <w:szCs w:val="20"/>
              </w:rPr>
            </w:pPr>
            <w:r w:rsidRPr="004B45DB">
              <w:rPr>
                <w:rFonts w:cstheme="minorHAnsi"/>
                <w:b/>
                <w:bCs/>
                <w:sz w:val="20"/>
                <w:szCs w:val="20"/>
              </w:rPr>
              <w:t>541</w:t>
            </w:r>
          </w:p>
        </w:tc>
        <w:tc>
          <w:tcPr>
            <w:tcW w:w="959" w:type="dxa"/>
            <w:tcBorders>
              <w:top w:val="nil"/>
              <w:left w:val="nil"/>
              <w:bottom w:val="nil"/>
              <w:right w:val="nil"/>
            </w:tcBorders>
            <w:shd w:val="clear" w:color="auto" w:fill="D9D9D9" w:themeFill="background1" w:themeFillShade="D9"/>
            <w:noWrap/>
            <w:vAlign w:val="bottom"/>
            <w:hideMark/>
          </w:tcPr>
          <w:p w14:paraId="615BF922" w14:textId="7E2A2D4A" w:rsidR="00234D14" w:rsidRPr="00234D14" w:rsidRDefault="00234D14" w:rsidP="00234D14">
            <w:pPr>
              <w:jc w:val="right"/>
              <w:rPr>
                <w:rFonts w:eastAsia="Times New Roman" w:cstheme="minorHAnsi"/>
                <w:b/>
                <w:bCs/>
                <w:sz w:val="20"/>
                <w:szCs w:val="20"/>
              </w:rPr>
            </w:pPr>
            <w:r w:rsidRPr="004B45DB">
              <w:rPr>
                <w:rFonts w:cstheme="minorHAnsi"/>
                <w:b/>
                <w:bCs/>
                <w:sz w:val="20"/>
                <w:szCs w:val="20"/>
              </w:rPr>
              <w:t>3%</w:t>
            </w:r>
          </w:p>
        </w:tc>
        <w:tc>
          <w:tcPr>
            <w:tcW w:w="775" w:type="dxa"/>
            <w:tcBorders>
              <w:top w:val="nil"/>
              <w:left w:val="nil"/>
              <w:bottom w:val="single" w:sz="4" w:space="0" w:color="auto"/>
              <w:right w:val="nil"/>
            </w:tcBorders>
            <w:shd w:val="clear" w:color="000000" w:fill="FFFFFF"/>
            <w:noWrap/>
            <w:vAlign w:val="bottom"/>
            <w:hideMark/>
          </w:tcPr>
          <w:p w14:paraId="207186AA" w14:textId="3D96E696" w:rsidR="00234D14" w:rsidRPr="004E6649" w:rsidRDefault="00234D14" w:rsidP="00234D14">
            <w:pPr>
              <w:jc w:val="right"/>
              <w:rPr>
                <w:rFonts w:eastAsia="Times New Roman" w:cstheme="minorHAnsi"/>
                <w:b/>
                <w:bCs/>
                <w:sz w:val="20"/>
                <w:szCs w:val="20"/>
              </w:rPr>
            </w:pPr>
            <w:r w:rsidRPr="004E6649">
              <w:rPr>
                <w:rFonts w:eastAsia="Times New Roman" w:cstheme="minorHAnsi"/>
                <w:b/>
                <w:bCs/>
                <w:sz w:val="20"/>
                <w:szCs w:val="20"/>
              </w:rPr>
              <w:t>523</w:t>
            </w:r>
          </w:p>
        </w:tc>
        <w:tc>
          <w:tcPr>
            <w:tcW w:w="955" w:type="dxa"/>
            <w:tcBorders>
              <w:top w:val="nil"/>
              <w:left w:val="nil"/>
              <w:bottom w:val="single" w:sz="4" w:space="0" w:color="auto"/>
              <w:right w:val="nil"/>
            </w:tcBorders>
            <w:shd w:val="clear" w:color="000000" w:fill="FFFFFF"/>
            <w:vAlign w:val="bottom"/>
          </w:tcPr>
          <w:p w14:paraId="53B732D0" w14:textId="668D75EF" w:rsidR="00234D14" w:rsidRPr="004546E5" w:rsidRDefault="00234D14" w:rsidP="00234D14">
            <w:pPr>
              <w:jc w:val="right"/>
              <w:rPr>
                <w:rFonts w:eastAsia="Times New Roman" w:cstheme="minorHAnsi"/>
                <w:sz w:val="20"/>
                <w:szCs w:val="20"/>
              </w:rPr>
            </w:pPr>
            <w:r w:rsidRPr="004546E5">
              <w:rPr>
                <w:rFonts w:eastAsia="Times New Roman" w:cstheme="minorHAnsi"/>
                <w:sz w:val="20"/>
                <w:szCs w:val="20"/>
              </w:rPr>
              <w:t>438</w:t>
            </w:r>
          </w:p>
        </w:tc>
        <w:tc>
          <w:tcPr>
            <w:tcW w:w="773" w:type="dxa"/>
            <w:tcBorders>
              <w:top w:val="nil"/>
              <w:left w:val="nil"/>
              <w:bottom w:val="single" w:sz="4" w:space="0" w:color="auto"/>
              <w:right w:val="nil"/>
            </w:tcBorders>
            <w:shd w:val="clear" w:color="000000" w:fill="FFFFFF"/>
            <w:noWrap/>
            <w:vAlign w:val="bottom"/>
            <w:hideMark/>
          </w:tcPr>
          <w:p w14:paraId="6622796C" w14:textId="5681FC41" w:rsidR="00234D14" w:rsidRPr="004E6649" w:rsidRDefault="00234D14" w:rsidP="00234D14">
            <w:pPr>
              <w:jc w:val="right"/>
              <w:rPr>
                <w:rFonts w:eastAsia="Times New Roman" w:cstheme="minorHAnsi"/>
                <w:sz w:val="20"/>
                <w:szCs w:val="20"/>
              </w:rPr>
            </w:pPr>
            <w:r w:rsidRPr="004E6649">
              <w:rPr>
                <w:rFonts w:eastAsia="Times New Roman" w:cstheme="minorHAnsi"/>
                <w:sz w:val="20"/>
                <w:szCs w:val="20"/>
              </w:rPr>
              <w:t>399</w:t>
            </w:r>
          </w:p>
        </w:tc>
      </w:tr>
      <w:tr w:rsidR="00B05CD2" w:rsidRPr="004E6649" w14:paraId="6A57A9F3" w14:textId="77777777" w:rsidTr="008B69B9">
        <w:trPr>
          <w:trHeight w:val="70"/>
          <w:jc w:val="center"/>
        </w:trPr>
        <w:tc>
          <w:tcPr>
            <w:tcW w:w="4590" w:type="dxa"/>
            <w:tcBorders>
              <w:top w:val="nil"/>
              <w:left w:val="nil"/>
              <w:bottom w:val="nil"/>
              <w:right w:val="nil"/>
            </w:tcBorders>
            <w:shd w:val="clear" w:color="000000" w:fill="FFFFFF"/>
            <w:noWrap/>
            <w:vAlign w:val="bottom"/>
            <w:hideMark/>
          </w:tcPr>
          <w:p w14:paraId="113E2CE8" w14:textId="77777777" w:rsidR="00234D14" w:rsidRPr="004E6649" w:rsidRDefault="00234D14" w:rsidP="00234D14">
            <w:pPr>
              <w:rPr>
                <w:rFonts w:eastAsia="Times New Roman" w:cstheme="minorHAnsi"/>
                <w:sz w:val="20"/>
                <w:szCs w:val="20"/>
              </w:rPr>
            </w:pPr>
            <w:r w:rsidRPr="004E6649">
              <w:rPr>
                <w:rFonts w:eastAsia="Times New Roman" w:cstheme="minorHAnsi"/>
                <w:sz w:val="20"/>
                <w:szCs w:val="20"/>
              </w:rPr>
              <w:t>Net investment in capital assets</w:t>
            </w:r>
          </w:p>
        </w:tc>
        <w:tc>
          <w:tcPr>
            <w:tcW w:w="775" w:type="dxa"/>
            <w:tcBorders>
              <w:top w:val="nil"/>
              <w:left w:val="nil"/>
              <w:bottom w:val="nil"/>
              <w:right w:val="nil"/>
            </w:tcBorders>
            <w:shd w:val="clear" w:color="000000" w:fill="FFFFFF"/>
            <w:vAlign w:val="bottom"/>
          </w:tcPr>
          <w:p w14:paraId="370953E9" w14:textId="798F3A45" w:rsidR="00234D14" w:rsidRPr="00234D14" w:rsidRDefault="00234D14" w:rsidP="00234D14">
            <w:pPr>
              <w:jc w:val="right"/>
              <w:rPr>
                <w:rFonts w:eastAsia="Times New Roman" w:cstheme="minorHAnsi"/>
                <w:b/>
                <w:bCs/>
                <w:sz w:val="20"/>
                <w:szCs w:val="20"/>
              </w:rPr>
            </w:pPr>
            <w:r>
              <w:rPr>
                <w:rFonts w:cstheme="minorHAnsi"/>
                <w:b/>
                <w:bCs/>
                <w:sz w:val="20"/>
                <w:szCs w:val="20"/>
              </w:rPr>
              <w:t>783</w:t>
            </w:r>
          </w:p>
        </w:tc>
        <w:tc>
          <w:tcPr>
            <w:tcW w:w="831" w:type="dxa"/>
            <w:tcBorders>
              <w:top w:val="nil"/>
              <w:left w:val="nil"/>
              <w:bottom w:val="nil"/>
              <w:right w:val="nil"/>
            </w:tcBorders>
            <w:shd w:val="clear" w:color="auto" w:fill="D9D9D9" w:themeFill="background1" w:themeFillShade="D9"/>
            <w:vAlign w:val="bottom"/>
          </w:tcPr>
          <w:p w14:paraId="70ECDBE0" w14:textId="79513849" w:rsidR="00234D14" w:rsidRPr="00234D14" w:rsidRDefault="00234D14" w:rsidP="00234D14">
            <w:pPr>
              <w:jc w:val="right"/>
              <w:rPr>
                <w:rFonts w:eastAsia="Times New Roman" w:cstheme="minorHAnsi"/>
                <w:b/>
                <w:bCs/>
                <w:sz w:val="20"/>
                <w:szCs w:val="20"/>
              </w:rPr>
            </w:pPr>
            <w:r>
              <w:rPr>
                <w:rFonts w:cstheme="minorHAnsi"/>
                <w:b/>
                <w:bCs/>
                <w:sz w:val="20"/>
                <w:szCs w:val="20"/>
              </w:rPr>
              <w:t>13%</w:t>
            </w:r>
          </w:p>
        </w:tc>
        <w:tc>
          <w:tcPr>
            <w:tcW w:w="914" w:type="dxa"/>
            <w:tcBorders>
              <w:top w:val="nil"/>
              <w:left w:val="nil"/>
              <w:bottom w:val="nil"/>
              <w:right w:val="nil"/>
            </w:tcBorders>
            <w:shd w:val="clear" w:color="000000" w:fill="FFFFFF"/>
            <w:noWrap/>
            <w:vAlign w:val="bottom"/>
            <w:hideMark/>
          </w:tcPr>
          <w:p w14:paraId="194D7722" w14:textId="33187B53" w:rsidR="00234D14" w:rsidRPr="00234D14" w:rsidRDefault="00234D14" w:rsidP="00B05CD2">
            <w:pPr>
              <w:jc w:val="right"/>
              <w:rPr>
                <w:rFonts w:eastAsia="Times New Roman" w:cstheme="minorHAnsi"/>
                <w:b/>
                <w:bCs/>
                <w:sz w:val="20"/>
                <w:szCs w:val="20"/>
              </w:rPr>
            </w:pPr>
            <w:r>
              <w:rPr>
                <w:rFonts w:cstheme="minorHAnsi"/>
                <w:b/>
                <w:bCs/>
                <w:sz w:val="20"/>
                <w:szCs w:val="20"/>
              </w:rPr>
              <w:t>694</w:t>
            </w:r>
          </w:p>
        </w:tc>
        <w:tc>
          <w:tcPr>
            <w:tcW w:w="959" w:type="dxa"/>
            <w:tcBorders>
              <w:top w:val="nil"/>
              <w:left w:val="nil"/>
              <w:bottom w:val="nil"/>
              <w:right w:val="nil"/>
            </w:tcBorders>
            <w:shd w:val="clear" w:color="auto" w:fill="D9D9D9" w:themeFill="background1" w:themeFillShade="D9"/>
            <w:noWrap/>
            <w:vAlign w:val="bottom"/>
            <w:hideMark/>
          </w:tcPr>
          <w:p w14:paraId="4BE00554" w14:textId="3BE9352B" w:rsidR="00234D14" w:rsidRPr="00234D14" w:rsidRDefault="00234D14" w:rsidP="00234D14">
            <w:pPr>
              <w:jc w:val="right"/>
              <w:rPr>
                <w:rFonts w:eastAsia="Times New Roman" w:cstheme="minorHAnsi"/>
                <w:b/>
                <w:bCs/>
                <w:sz w:val="20"/>
                <w:szCs w:val="20"/>
              </w:rPr>
            </w:pPr>
            <w:r>
              <w:rPr>
                <w:rFonts w:cstheme="minorHAnsi"/>
                <w:b/>
                <w:bCs/>
                <w:sz w:val="20"/>
                <w:szCs w:val="20"/>
              </w:rPr>
              <w:t>9%</w:t>
            </w:r>
          </w:p>
        </w:tc>
        <w:tc>
          <w:tcPr>
            <w:tcW w:w="775" w:type="dxa"/>
            <w:tcBorders>
              <w:top w:val="nil"/>
              <w:left w:val="nil"/>
              <w:bottom w:val="nil"/>
              <w:right w:val="nil"/>
            </w:tcBorders>
            <w:shd w:val="clear" w:color="000000" w:fill="FFFFFF"/>
            <w:noWrap/>
            <w:vAlign w:val="bottom"/>
            <w:hideMark/>
          </w:tcPr>
          <w:p w14:paraId="6C394746" w14:textId="106ED5B2" w:rsidR="00234D14" w:rsidRPr="004E6649" w:rsidRDefault="00234D14" w:rsidP="00234D14">
            <w:pPr>
              <w:jc w:val="right"/>
              <w:rPr>
                <w:rFonts w:eastAsia="Times New Roman" w:cstheme="minorHAnsi"/>
                <w:b/>
                <w:bCs/>
                <w:sz w:val="20"/>
                <w:szCs w:val="20"/>
              </w:rPr>
            </w:pPr>
            <w:r w:rsidRPr="004E6649">
              <w:rPr>
                <w:rFonts w:eastAsia="Times New Roman" w:cstheme="minorHAnsi"/>
                <w:b/>
                <w:bCs/>
                <w:sz w:val="20"/>
                <w:szCs w:val="20"/>
              </w:rPr>
              <w:t>635</w:t>
            </w:r>
          </w:p>
        </w:tc>
        <w:tc>
          <w:tcPr>
            <w:tcW w:w="955" w:type="dxa"/>
            <w:tcBorders>
              <w:top w:val="nil"/>
              <w:left w:val="nil"/>
              <w:bottom w:val="nil"/>
              <w:right w:val="nil"/>
            </w:tcBorders>
            <w:shd w:val="clear" w:color="000000" w:fill="FFFFFF"/>
            <w:vAlign w:val="bottom"/>
          </w:tcPr>
          <w:p w14:paraId="4BBAD28A" w14:textId="5BF2310F" w:rsidR="00234D14" w:rsidRPr="004546E5" w:rsidRDefault="00234D14" w:rsidP="00234D14">
            <w:pPr>
              <w:jc w:val="right"/>
              <w:rPr>
                <w:rFonts w:eastAsia="Times New Roman" w:cstheme="minorHAnsi"/>
                <w:sz w:val="20"/>
                <w:szCs w:val="20"/>
              </w:rPr>
            </w:pPr>
            <w:r w:rsidRPr="004546E5">
              <w:rPr>
                <w:rFonts w:eastAsia="Times New Roman" w:cstheme="minorHAnsi"/>
                <w:sz w:val="20"/>
                <w:szCs w:val="20"/>
              </w:rPr>
              <w:t>589</w:t>
            </w:r>
          </w:p>
        </w:tc>
        <w:tc>
          <w:tcPr>
            <w:tcW w:w="773" w:type="dxa"/>
            <w:tcBorders>
              <w:top w:val="nil"/>
              <w:left w:val="nil"/>
              <w:bottom w:val="nil"/>
              <w:right w:val="nil"/>
            </w:tcBorders>
            <w:shd w:val="clear" w:color="000000" w:fill="FFFFFF"/>
            <w:noWrap/>
            <w:vAlign w:val="bottom"/>
            <w:hideMark/>
          </w:tcPr>
          <w:p w14:paraId="25A8B9C3" w14:textId="3625304D" w:rsidR="00234D14" w:rsidRPr="004E6649" w:rsidRDefault="00234D14" w:rsidP="00234D14">
            <w:pPr>
              <w:jc w:val="right"/>
              <w:rPr>
                <w:rFonts w:eastAsia="Times New Roman" w:cstheme="minorHAnsi"/>
                <w:sz w:val="20"/>
                <w:szCs w:val="20"/>
              </w:rPr>
            </w:pPr>
            <w:r w:rsidRPr="004E6649">
              <w:rPr>
                <w:rFonts w:eastAsia="Times New Roman" w:cstheme="minorHAnsi"/>
                <w:sz w:val="20"/>
                <w:szCs w:val="20"/>
              </w:rPr>
              <w:t>549</w:t>
            </w:r>
          </w:p>
        </w:tc>
      </w:tr>
      <w:tr w:rsidR="00B05CD2" w:rsidRPr="004E6649" w14:paraId="151F3979" w14:textId="77777777" w:rsidTr="008B69B9">
        <w:trPr>
          <w:trHeight w:val="153"/>
          <w:jc w:val="center"/>
        </w:trPr>
        <w:tc>
          <w:tcPr>
            <w:tcW w:w="4590" w:type="dxa"/>
            <w:tcBorders>
              <w:top w:val="nil"/>
              <w:left w:val="nil"/>
              <w:bottom w:val="nil"/>
              <w:right w:val="nil"/>
            </w:tcBorders>
            <w:shd w:val="clear" w:color="000000" w:fill="FFFFFF"/>
            <w:noWrap/>
            <w:vAlign w:val="bottom"/>
            <w:hideMark/>
          </w:tcPr>
          <w:p w14:paraId="401FCDE8" w14:textId="77777777" w:rsidR="00234D14" w:rsidRPr="004E6649" w:rsidRDefault="00234D14" w:rsidP="00234D14">
            <w:pPr>
              <w:rPr>
                <w:rFonts w:eastAsia="Times New Roman" w:cstheme="minorHAnsi"/>
                <w:sz w:val="20"/>
                <w:szCs w:val="20"/>
              </w:rPr>
            </w:pPr>
            <w:r w:rsidRPr="004E6649">
              <w:rPr>
                <w:rFonts w:eastAsia="Times New Roman" w:cstheme="minorHAnsi"/>
                <w:sz w:val="20"/>
                <w:szCs w:val="20"/>
              </w:rPr>
              <w:t>Restricted Nonexpendable</w:t>
            </w:r>
          </w:p>
        </w:tc>
        <w:tc>
          <w:tcPr>
            <w:tcW w:w="775" w:type="dxa"/>
            <w:tcBorders>
              <w:top w:val="nil"/>
              <w:left w:val="nil"/>
              <w:bottom w:val="nil"/>
              <w:right w:val="nil"/>
            </w:tcBorders>
            <w:shd w:val="clear" w:color="000000" w:fill="FFFFFF"/>
            <w:vAlign w:val="bottom"/>
          </w:tcPr>
          <w:p w14:paraId="14A14E76" w14:textId="619678FC" w:rsidR="00234D14" w:rsidRPr="00234D14" w:rsidRDefault="00234D14" w:rsidP="00234D14">
            <w:pPr>
              <w:jc w:val="right"/>
              <w:rPr>
                <w:rFonts w:eastAsia="Times New Roman" w:cstheme="minorHAnsi"/>
                <w:b/>
                <w:bCs/>
                <w:sz w:val="20"/>
                <w:szCs w:val="20"/>
              </w:rPr>
            </w:pPr>
            <w:r>
              <w:rPr>
                <w:rFonts w:eastAsia="Times New Roman" w:cstheme="minorHAnsi"/>
                <w:b/>
                <w:bCs/>
                <w:sz w:val="20"/>
                <w:szCs w:val="20"/>
              </w:rPr>
              <w:t>74</w:t>
            </w:r>
          </w:p>
        </w:tc>
        <w:tc>
          <w:tcPr>
            <w:tcW w:w="831" w:type="dxa"/>
            <w:tcBorders>
              <w:top w:val="nil"/>
              <w:left w:val="nil"/>
              <w:bottom w:val="nil"/>
              <w:right w:val="nil"/>
            </w:tcBorders>
            <w:shd w:val="clear" w:color="auto" w:fill="D9D9D9" w:themeFill="background1" w:themeFillShade="D9"/>
            <w:vAlign w:val="bottom"/>
          </w:tcPr>
          <w:p w14:paraId="5193BB94" w14:textId="3110B861" w:rsidR="00234D14" w:rsidRPr="00234D14" w:rsidRDefault="00234D14" w:rsidP="00234D14">
            <w:pPr>
              <w:jc w:val="right"/>
              <w:rPr>
                <w:rFonts w:eastAsia="Times New Roman" w:cstheme="minorHAnsi"/>
                <w:b/>
                <w:bCs/>
                <w:sz w:val="20"/>
                <w:szCs w:val="20"/>
              </w:rPr>
            </w:pPr>
            <w:r>
              <w:rPr>
                <w:rFonts w:cstheme="minorHAnsi"/>
                <w:b/>
                <w:bCs/>
                <w:sz w:val="20"/>
                <w:szCs w:val="20"/>
              </w:rPr>
              <w:t>1%</w:t>
            </w:r>
          </w:p>
        </w:tc>
        <w:tc>
          <w:tcPr>
            <w:tcW w:w="914" w:type="dxa"/>
            <w:tcBorders>
              <w:top w:val="nil"/>
              <w:left w:val="nil"/>
              <w:bottom w:val="nil"/>
              <w:right w:val="nil"/>
            </w:tcBorders>
            <w:shd w:val="clear" w:color="000000" w:fill="FFFFFF"/>
            <w:noWrap/>
            <w:vAlign w:val="bottom"/>
            <w:hideMark/>
          </w:tcPr>
          <w:p w14:paraId="1F2B1613" w14:textId="2A73B79E" w:rsidR="00234D14" w:rsidRPr="00234D14" w:rsidRDefault="00234D14" w:rsidP="00B05CD2">
            <w:pPr>
              <w:jc w:val="right"/>
              <w:rPr>
                <w:rFonts w:eastAsia="Times New Roman" w:cstheme="minorHAnsi"/>
                <w:b/>
                <w:bCs/>
                <w:sz w:val="20"/>
                <w:szCs w:val="20"/>
              </w:rPr>
            </w:pPr>
            <w:r>
              <w:rPr>
                <w:rFonts w:cstheme="minorHAnsi"/>
                <w:b/>
                <w:bCs/>
                <w:sz w:val="20"/>
                <w:szCs w:val="20"/>
              </w:rPr>
              <w:t>73</w:t>
            </w:r>
          </w:p>
        </w:tc>
        <w:tc>
          <w:tcPr>
            <w:tcW w:w="959" w:type="dxa"/>
            <w:tcBorders>
              <w:top w:val="nil"/>
              <w:left w:val="nil"/>
              <w:bottom w:val="nil"/>
              <w:right w:val="nil"/>
            </w:tcBorders>
            <w:shd w:val="clear" w:color="auto" w:fill="D9D9D9" w:themeFill="background1" w:themeFillShade="D9"/>
            <w:noWrap/>
            <w:vAlign w:val="bottom"/>
            <w:hideMark/>
          </w:tcPr>
          <w:p w14:paraId="52FA93BE" w14:textId="34580456" w:rsidR="00234D14" w:rsidRPr="00234D14" w:rsidRDefault="00234D14" w:rsidP="00234D14">
            <w:pPr>
              <w:jc w:val="right"/>
              <w:rPr>
                <w:rFonts w:eastAsia="Times New Roman" w:cstheme="minorHAnsi"/>
                <w:b/>
                <w:bCs/>
                <w:sz w:val="20"/>
                <w:szCs w:val="20"/>
              </w:rPr>
            </w:pPr>
            <w:r>
              <w:rPr>
                <w:rFonts w:cstheme="minorHAnsi"/>
                <w:b/>
                <w:bCs/>
                <w:sz w:val="20"/>
                <w:szCs w:val="20"/>
              </w:rPr>
              <w:t>1</w:t>
            </w:r>
            <w:r w:rsidRPr="004B45DB">
              <w:rPr>
                <w:rFonts w:cstheme="minorHAnsi"/>
                <w:b/>
                <w:bCs/>
                <w:sz w:val="20"/>
                <w:szCs w:val="20"/>
              </w:rPr>
              <w:t>%</w:t>
            </w:r>
          </w:p>
        </w:tc>
        <w:tc>
          <w:tcPr>
            <w:tcW w:w="775" w:type="dxa"/>
            <w:tcBorders>
              <w:top w:val="nil"/>
              <w:left w:val="nil"/>
              <w:bottom w:val="nil"/>
              <w:right w:val="nil"/>
            </w:tcBorders>
            <w:shd w:val="clear" w:color="000000" w:fill="FFFFFF"/>
            <w:noWrap/>
            <w:vAlign w:val="bottom"/>
            <w:hideMark/>
          </w:tcPr>
          <w:p w14:paraId="7202CCBE" w14:textId="2AC58025" w:rsidR="00234D14" w:rsidRPr="004E6649" w:rsidRDefault="00234D14" w:rsidP="00234D14">
            <w:pPr>
              <w:jc w:val="right"/>
              <w:rPr>
                <w:rFonts w:eastAsia="Times New Roman" w:cstheme="minorHAnsi"/>
                <w:b/>
                <w:bCs/>
                <w:sz w:val="20"/>
                <w:szCs w:val="20"/>
              </w:rPr>
            </w:pPr>
            <w:r w:rsidRPr="004E6649">
              <w:rPr>
                <w:rFonts w:eastAsia="Times New Roman" w:cstheme="minorHAnsi"/>
                <w:b/>
                <w:bCs/>
                <w:sz w:val="20"/>
                <w:szCs w:val="20"/>
              </w:rPr>
              <w:t>72</w:t>
            </w:r>
          </w:p>
        </w:tc>
        <w:tc>
          <w:tcPr>
            <w:tcW w:w="955" w:type="dxa"/>
            <w:tcBorders>
              <w:top w:val="nil"/>
              <w:left w:val="nil"/>
              <w:bottom w:val="nil"/>
              <w:right w:val="nil"/>
            </w:tcBorders>
            <w:shd w:val="clear" w:color="000000" w:fill="FFFFFF"/>
            <w:vAlign w:val="bottom"/>
          </w:tcPr>
          <w:p w14:paraId="7F68630B" w14:textId="7550E11E" w:rsidR="00234D14" w:rsidRPr="004546E5" w:rsidRDefault="00234D14" w:rsidP="00234D14">
            <w:pPr>
              <w:jc w:val="right"/>
              <w:rPr>
                <w:rFonts w:eastAsia="Times New Roman" w:cstheme="minorHAnsi"/>
                <w:sz w:val="20"/>
                <w:szCs w:val="20"/>
              </w:rPr>
            </w:pPr>
            <w:r w:rsidRPr="004546E5">
              <w:rPr>
                <w:rFonts w:eastAsia="Times New Roman" w:cstheme="minorHAnsi"/>
                <w:sz w:val="20"/>
                <w:szCs w:val="20"/>
              </w:rPr>
              <w:t>71</w:t>
            </w:r>
          </w:p>
        </w:tc>
        <w:tc>
          <w:tcPr>
            <w:tcW w:w="773" w:type="dxa"/>
            <w:tcBorders>
              <w:top w:val="nil"/>
              <w:left w:val="nil"/>
              <w:bottom w:val="nil"/>
              <w:right w:val="nil"/>
            </w:tcBorders>
            <w:shd w:val="clear" w:color="000000" w:fill="FFFFFF"/>
            <w:noWrap/>
            <w:vAlign w:val="bottom"/>
            <w:hideMark/>
          </w:tcPr>
          <w:p w14:paraId="6763E0FD" w14:textId="592BC66F" w:rsidR="00234D14" w:rsidRPr="004E6649" w:rsidRDefault="00234D14" w:rsidP="00234D14">
            <w:pPr>
              <w:jc w:val="right"/>
              <w:rPr>
                <w:rFonts w:eastAsia="Times New Roman" w:cstheme="minorHAnsi"/>
                <w:sz w:val="20"/>
                <w:szCs w:val="20"/>
              </w:rPr>
            </w:pPr>
            <w:r w:rsidRPr="004E6649">
              <w:rPr>
                <w:rFonts w:eastAsia="Times New Roman" w:cstheme="minorHAnsi"/>
                <w:sz w:val="20"/>
                <w:szCs w:val="20"/>
              </w:rPr>
              <w:t>69</w:t>
            </w:r>
          </w:p>
        </w:tc>
      </w:tr>
      <w:tr w:rsidR="00B05CD2" w:rsidRPr="004E6649" w14:paraId="3EB6987C" w14:textId="77777777" w:rsidTr="008B69B9">
        <w:trPr>
          <w:trHeight w:val="90"/>
          <w:jc w:val="center"/>
        </w:trPr>
        <w:tc>
          <w:tcPr>
            <w:tcW w:w="4590" w:type="dxa"/>
            <w:tcBorders>
              <w:top w:val="nil"/>
              <w:left w:val="nil"/>
              <w:bottom w:val="nil"/>
              <w:right w:val="nil"/>
            </w:tcBorders>
            <w:shd w:val="clear" w:color="000000" w:fill="FFFFFF"/>
            <w:noWrap/>
            <w:vAlign w:val="bottom"/>
            <w:hideMark/>
          </w:tcPr>
          <w:p w14:paraId="69ECA46E" w14:textId="77777777" w:rsidR="00234D14" w:rsidRPr="004E6649" w:rsidRDefault="00234D14" w:rsidP="00234D14">
            <w:pPr>
              <w:rPr>
                <w:rFonts w:eastAsia="Times New Roman" w:cstheme="minorHAnsi"/>
                <w:sz w:val="20"/>
                <w:szCs w:val="20"/>
              </w:rPr>
            </w:pPr>
            <w:r w:rsidRPr="004E6649">
              <w:rPr>
                <w:rFonts w:eastAsia="Times New Roman" w:cstheme="minorHAnsi"/>
                <w:sz w:val="20"/>
                <w:szCs w:val="20"/>
              </w:rPr>
              <w:t>Restricted Expendable</w:t>
            </w:r>
          </w:p>
        </w:tc>
        <w:tc>
          <w:tcPr>
            <w:tcW w:w="775" w:type="dxa"/>
            <w:tcBorders>
              <w:top w:val="nil"/>
              <w:left w:val="nil"/>
              <w:bottom w:val="nil"/>
              <w:right w:val="nil"/>
            </w:tcBorders>
            <w:shd w:val="clear" w:color="000000" w:fill="FFFFFF"/>
            <w:vAlign w:val="bottom"/>
          </w:tcPr>
          <w:p w14:paraId="71EEE505" w14:textId="58830AD5" w:rsidR="00234D14" w:rsidRPr="00234D14" w:rsidRDefault="00234D14" w:rsidP="00234D14">
            <w:pPr>
              <w:jc w:val="right"/>
              <w:rPr>
                <w:rFonts w:eastAsia="Times New Roman" w:cstheme="minorHAnsi"/>
                <w:b/>
                <w:bCs/>
                <w:sz w:val="20"/>
                <w:szCs w:val="20"/>
              </w:rPr>
            </w:pPr>
            <w:r w:rsidRPr="004B45DB">
              <w:rPr>
                <w:rFonts w:cstheme="minorHAnsi"/>
                <w:b/>
                <w:bCs/>
                <w:sz w:val="20"/>
                <w:szCs w:val="20"/>
              </w:rPr>
              <w:t> </w:t>
            </w:r>
            <w:r>
              <w:rPr>
                <w:rFonts w:cstheme="minorHAnsi"/>
                <w:b/>
                <w:bCs/>
                <w:sz w:val="20"/>
                <w:szCs w:val="20"/>
              </w:rPr>
              <w:t>239</w:t>
            </w:r>
          </w:p>
        </w:tc>
        <w:tc>
          <w:tcPr>
            <w:tcW w:w="831" w:type="dxa"/>
            <w:tcBorders>
              <w:top w:val="nil"/>
              <w:left w:val="nil"/>
              <w:bottom w:val="nil"/>
              <w:right w:val="nil"/>
            </w:tcBorders>
            <w:shd w:val="clear" w:color="auto" w:fill="D9D9D9" w:themeFill="background1" w:themeFillShade="D9"/>
            <w:vAlign w:val="bottom"/>
          </w:tcPr>
          <w:p w14:paraId="4D14088F" w14:textId="28239D2B" w:rsidR="00234D14" w:rsidRPr="00234D14" w:rsidRDefault="00234D14" w:rsidP="00234D14">
            <w:pPr>
              <w:jc w:val="right"/>
              <w:rPr>
                <w:rFonts w:eastAsia="Times New Roman" w:cstheme="minorHAnsi"/>
                <w:b/>
                <w:bCs/>
                <w:sz w:val="20"/>
                <w:szCs w:val="20"/>
              </w:rPr>
            </w:pPr>
            <w:r>
              <w:rPr>
                <w:rFonts w:cstheme="minorHAnsi"/>
                <w:b/>
                <w:bCs/>
                <w:sz w:val="20"/>
                <w:szCs w:val="20"/>
              </w:rPr>
              <w:t>15%</w:t>
            </w:r>
          </w:p>
        </w:tc>
        <w:tc>
          <w:tcPr>
            <w:tcW w:w="914" w:type="dxa"/>
            <w:tcBorders>
              <w:top w:val="nil"/>
              <w:left w:val="nil"/>
              <w:bottom w:val="nil"/>
              <w:right w:val="nil"/>
            </w:tcBorders>
            <w:shd w:val="clear" w:color="000000" w:fill="FFFFFF"/>
            <w:noWrap/>
            <w:vAlign w:val="bottom"/>
            <w:hideMark/>
          </w:tcPr>
          <w:p w14:paraId="366D091F" w14:textId="2FAB2C36" w:rsidR="00234D14" w:rsidRPr="00234D14" w:rsidRDefault="00234D14" w:rsidP="00B05CD2">
            <w:pPr>
              <w:jc w:val="right"/>
              <w:rPr>
                <w:rFonts w:eastAsia="Times New Roman" w:cstheme="minorHAnsi"/>
                <w:b/>
                <w:bCs/>
                <w:sz w:val="20"/>
                <w:szCs w:val="20"/>
              </w:rPr>
            </w:pPr>
            <w:r>
              <w:rPr>
                <w:rFonts w:cstheme="minorHAnsi"/>
                <w:b/>
                <w:bCs/>
                <w:sz w:val="20"/>
                <w:szCs w:val="20"/>
              </w:rPr>
              <w:t>207</w:t>
            </w:r>
          </w:p>
        </w:tc>
        <w:tc>
          <w:tcPr>
            <w:tcW w:w="959" w:type="dxa"/>
            <w:tcBorders>
              <w:top w:val="nil"/>
              <w:left w:val="nil"/>
              <w:bottom w:val="nil"/>
              <w:right w:val="nil"/>
            </w:tcBorders>
            <w:shd w:val="clear" w:color="auto" w:fill="D9D9D9" w:themeFill="background1" w:themeFillShade="D9"/>
            <w:noWrap/>
            <w:vAlign w:val="bottom"/>
            <w:hideMark/>
          </w:tcPr>
          <w:p w14:paraId="1003B917" w14:textId="7CA974C8" w:rsidR="00234D14" w:rsidRPr="00234D14" w:rsidRDefault="00234D14" w:rsidP="00234D14">
            <w:pPr>
              <w:jc w:val="right"/>
              <w:rPr>
                <w:rFonts w:eastAsia="Times New Roman" w:cstheme="minorHAnsi"/>
                <w:b/>
                <w:bCs/>
                <w:sz w:val="20"/>
                <w:szCs w:val="20"/>
              </w:rPr>
            </w:pPr>
            <w:r>
              <w:rPr>
                <w:rFonts w:cstheme="minorHAnsi"/>
                <w:b/>
                <w:bCs/>
                <w:sz w:val="20"/>
                <w:szCs w:val="20"/>
              </w:rPr>
              <w:t>20%</w:t>
            </w:r>
          </w:p>
        </w:tc>
        <w:tc>
          <w:tcPr>
            <w:tcW w:w="775" w:type="dxa"/>
            <w:tcBorders>
              <w:top w:val="nil"/>
              <w:left w:val="nil"/>
              <w:bottom w:val="nil"/>
              <w:right w:val="nil"/>
            </w:tcBorders>
            <w:shd w:val="clear" w:color="000000" w:fill="FFFFFF"/>
            <w:noWrap/>
            <w:vAlign w:val="bottom"/>
            <w:hideMark/>
          </w:tcPr>
          <w:p w14:paraId="79E05E20" w14:textId="50F079CD" w:rsidR="00234D14" w:rsidRPr="004E6649" w:rsidRDefault="00234D14" w:rsidP="00234D14">
            <w:pPr>
              <w:jc w:val="right"/>
              <w:rPr>
                <w:rFonts w:eastAsia="Times New Roman" w:cstheme="minorHAnsi"/>
                <w:b/>
                <w:bCs/>
                <w:sz w:val="20"/>
                <w:szCs w:val="20"/>
              </w:rPr>
            </w:pPr>
            <w:r>
              <w:rPr>
                <w:rFonts w:eastAsia="Times New Roman" w:cstheme="minorHAnsi"/>
                <w:b/>
                <w:bCs/>
                <w:sz w:val="20"/>
                <w:szCs w:val="20"/>
              </w:rPr>
              <w:t>173</w:t>
            </w:r>
          </w:p>
        </w:tc>
        <w:tc>
          <w:tcPr>
            <w:tcW w:w="955" w:type="dxa"/>
            <w:tcBorders>
              <w:top w:val="nil"/>
              <w:left w:val="nil"/>
              <w:bottom w:val="nil"/>
              <w:right w:val="nil"/>
            </w:tcBorders>
            <w:shd w:val="clear" w:color="000000" w:fill="FFFFFF"/>
            <w:vAlign w:val="bottom"/>
          </w:tcPr>
          <w:p w14:paraId="10659E51" w14:textId="3AD91F7B" w:rsidR="00234D14" w:rsidRPr="004546E5" w:rsidRDefault="00234D14" w:rsidP="00234D14">
            <w:pPr>
              <w:jc w:val="right"/>
              <w:rPr>
                <w:rFonts w:eastAsia="Times New Roman" w:cstheme="minorHAnsi"/>
                <w:sz w:val="20"/>
                <w:szCs w:val="20"/>
              </w:rPr>
            </w:pPr>
            <w:r w:rsidRPr="004546E5">
              <w:rPr>
                <w:rFonts w:eastAsia="Times New Roman" w:cstheme="minorHAnsi"/>
                <w:sz w:val="20"/>
                <w:szCs w:val="20"/>
              </w:rPr>
              <w:t>147</w:t>
            </w:r>
          </w:p>
        </w:tc>
        <w:tc>
          <w:tcPr>
            <w:tcW w:w="773" w:type="dxa"/>
            <w:tcBorders>
              <w:top w:val="nil"/>
              <w:left w:val="nil"/>
              <w:bottom w:val="nil"/>
              <w:right w:val="nil"/>
            </w:tcBorders>
            <w:shd w:val="clear" w:color="000000" w:fill="FFFFFF"/>
            <w:noWrap/>
            <w:vAlign w:val="bottom"/>
            <w:hideMark/>
          </w:tcPr>
          <w:p w14:paraId="0C105274" w14:textId="62AC8B37" w:rsidR="00234D14" w:rsidRPr="004E6649" w:rsidRDefault="00234D14" w:rsidP="00234D14">
            <w:pPr>
              <w:jc w:val="right"/>
              <w:rPr>
                <w:rFonts w:eastAsia="Times New Roman" w:cstheme="minorHAnsi"/>
                <w:sz w:val="20"/>
                <w:szCs w:val="20"/>
              </w:rPr>
            </w:pPr>
            <w:r w:rsidRPr="004E6649">
              <w:rPr>
                <w:rFonts w:eastAsia="Times New Roman" w:cstheme="minorHAnsi"/>
                <w:sz w:val="20"/>
                <w:szCs w:val="20"/>
              </w:rPr>
              <w:t>144</w:t>
            </w:r>
          </w:p>
        </w:tc>
      </w:tr>
      <w:tr w:rsidR="00616EE7" w:rsidRPr="004E6649" w14:paraId="4F6FFA47" w14:textId="77777777" w:rsidTr="008B69B9">
        <w:trPr>
          <w:trHeight w:val="117"/>
          <w:jc w:val="center"/>
        </w:trPr>
        <w:tc>
          <w:tcPr>
            <w:tcW w:w="4590" w:type="dxa"/>
            <w:tcBorders>
              <w:top w:val="nil"/>
              <w:left w:val="nil"/>
              <w:bottom w:val="single" w:sz="4" w:space="0" w:color="auto"/>
              <w:right w:val="nil"/>
            </w:tcBorders>
            <w:shd w:val="clear" w:color="000000" w:fill="FFFFFF"/>
            <w:noWrap/>
            <w:vAlign w:val="bottom"/>
            <w:hideMark/>
          </w:tcPr>
          <w:p w14:paraId="7E04AC94" w14:textId="77777777" w:rsidR="00234D14" w:rsidRPr="004E6649" w:rsidRDefault="00234D14" w:rsidP="00234D14">
            <w:pPr>
              <w:rPr>
                <w:rFonts w:eastAsia="Times New Roman" w:cstheme="minorHAnsi"/>
                <w:sz w:val="20"/>
                <w:szCs w:val="20"/>
              </w:rPr>
            </w:pPr>
            <w:r w:rsidRPr="004E6649">
              <w:rPr>
                <w:rFonts w:eastAsia="Times New Roman" w:cstheme="minorHAnsi"/>
                <w:sz w:val="20"/>
                <w:szCs w:val="20"/>
              </w:rPr>
              <w:t>Unrestricted</w:t>
            </w:r>
          </w:p>
        </w:tc>
        <w:tc>
          <w:tcPr>
            <w:tcW w:w="775" w:type="dxa"/>
            <w:tcBorders>
              <w:top w:val="nil"/>
              <w:left w:val="nil"/>
              <w:bottom w:val="single" w:sz="4" w:space="0" w:color="auto"/>
              <w:right w:val="nil"/>
            </w:tcBorders>
            <w:shd w:val="clear" w:color="000000" w:fill="FFFFFF"/>
            <w:vAlign w:val="bottom"/>
          </w:tcPr>
          <w:p w14:paraId="24F9038D" w14:textId="3CC5B615" w:rsidR="00234D14" w:rsidRPr="00234D14" w:rsidRDefault="00B81858" w:rsidP="00234D14">
            <w:pPr>
              <w:jc w:val="right"/>
              <w:rPr>
                <w:rFonts w:eastAsia="Times New Roman" w:cstheme="minorHAnsi"/>
                <w:b/>
                <w:bCs/>
                <w:sz w:val="20"/>
                <w:szCs w:val="20"/>
              </w:rPr>
            </w:pPr>
            <w:r>
              <w:rPr>
                <w:rFonts w:eastAsia="Times New Roman" w:cstheme="minorHAnsi"/>
                <w:b/>
                <w:bCs/>
                <w:sz w:val="20"/>
                <w:szCs w:val="20"/>
              </w:rPr>
              <w:t>96</w:t>
            </w:r>
          </w:p>
        </w:tc>
        <w:tc>
          <w:tcPr>
            <w:tcW w:w="831" w:type="dxa"/>
            <w:tcBorders>
              <w:top w:val="nil"/>
              <w:left w:val="nil"/>
              <w:right w:val="nil"/>
            </w:tcBorders>
            <w:shd w:val="clear" w:color="auto" w:fill="D9D9D9" w:themeFill="background1" w:themeFillShade="D9"/>
            <w:vAlign w:val="bottom"/>
          </w:tcPr>
          <w:p w14:paraId="52AE96DB" w14:textId="35EBC59F" w:rsidR="00234D14" w:rsidRPr="00234D14" w:rsidRDefault="00234D14" w:rsidP="00234D14">
            <w:pPr>
              <w:jc w:val="right"/>
              <w:rPr>
                <w:rFonts w:eastAsia="Times New Roman" w:cstheme="minorHAnsi"/>
                <w:b/>
                <w:bCs/>
                <w:sz w:val="20"/>
                <w:szCs w:val="20"/>
              </w:rPr>
            </w:pPr>
            <w:r>
              <w:rPr>
                <w:rFonts w:cstheme="minorHAnsi"/>
                <w:b/>
                <w:bCs/>
                <w:sz w:val="20"/>
                <w:szCs w:val="20"/>
              </w:rPr>
              <w:t>-</w:t>
            </w:r>
            <w:r w:rsidR="00B81858">
              <w:rPr>
                <w:rFonts w:cstheme="minorHAnsi"/>
                <w:b/>
                <w:bCs/>
                <w:sz w:val="20"/>
                <w:szCs w:val="20"/>
              </w:rPr>
              <w:t>9</w:t>
            </w:r>
            <w:r>
              <w:rPr>
                <w:rFonts w:cstheme="minorHAnsi"/>
                <w:b/>
                <w:bCs/>
                <w:sz w:val="20"/>
                <w:szCs w:val="20"/>
              </w:rPr>
              <w:t>%</w:t>
            </w:r>
          </w:p>
        </w:tc>
        <w:tc>
          <w:tcPr>
            <w:tcW w:w="914" w:type="dxa"/>
            <w:tcBorders>
              <w:top w:val="nil"/>
              <w:left w:val="nil"/>
              <w:bottom w:val="single" w:sz="4" w:space="0" w:color="auto"/>
              <w:right w:val="nil"/>
            </w:tcBorders>
            <w:shd w:val="clear" w:color="000000" w:fill="FFFFFF"/>
            <w:noWrap/>
            <w:vAlign w:val="bottom"/>
          </w:tcPr>
          <w:p w14:paraId="145D9A50" w14:textId="2E44B478" w:rsidR="00234D14" w:rsidRPr="00234D14" w:rsidRDefault="00234D14" w:rsidP="00B05CD2">
            <w:pPr>
              <w:jc w:val="right"/>
              <w:rPr>
                <w:rFonts w:eastAsia="Times New Roman" w:cstheme="minorHAnsi"/>
                <w:b/>
                <w:bCs/>
                <w:sz w:val="20"/>
                <w:szCs w:val="20"/>
              </w:rPr>
            </w:pPr>
            <w:r>
              <w:rPr>
                <w:rFonts w:eastAsia="Times New Roman" w:cstheme="minorHAnsi"/>
                <w:b/>
                <w:bCs/>
                <w:sz w:val="20"/>
                <w:szCs w:val="20"/>
              </w:rPr>
              <w:t>105</w:t>
            </w:r>
          </w:p>
        </w:tc>
        <w:tc>
          <w:tcPr>
            <w:tcW w:w="959" w:type="dxa"/>
            <w:tcBorders>
              <w:top w:val="nil"/>
              <w:left w:val="nil"/>
              <w:bottom w:val="nil"/>
              <w:right w:val="nil"/>
            </w:tcBorders>
            <w:shd w:val="clear" w:color="auto" w:fill="D9D9D9" w:themeFill="background1" w:themeFillShade="D9"/>
            <w:noWrap/>
            <w:vAlign w:val="bottom"/>
            <w:hideMark/>
          </w:tcPr>
          <w:p w14:paraId="65F59BF1" w14:textId="1CCC3BD5" w:rsidR="00234D14" w:rsidRPr="00234D14" w:rsidRDefault="00234D14" w:rsidP="00234D14">
            <w:pPr>
              <w:jc w:val="right"/>
              <w:rPr>
                <w:rFonts w:eastAsia="Times New Roman" w:cstheme="minorHAnsi"/>
                <w:b/>
                <w:bCs/>
                <w:sz w:val="20"/>
                <w:szCs w:val="20"/>
              </w:rPr>
            </w:pPr>
            <w:r>
              <w:rPr>
                <w:rFonts w:cstheme="minorHAnsi"/>
                <w:b/>
                <w:bCs/>
                <w:sz w:val="20"/>
                <w:szCs w:val="20"/>
              </w:rPr>
              <w:t>-</w:t>
            </w:r>
            <w:r w:rsidRPr="004B45DB">
              <w:rPr>
                <w:rFonts w:cstheme="minorHAnsi"/>
                <w:b/>
                <w:bCs/>
                <w:sz w:val="20"/>
                <w:szCs w:val="20"/>
              </w:rPr>
              <w:t>1</w:t>
            </w:r>
            <w:r>
              <w:rPr>
                <w:rFonts w:cstheme="minorHAnsi"/>
                <w:b/>
                <w:bCs/>
                <w:sz w:val="20"/>
                <w:szCs w:val="20"/>
              </w:rPr>
              <w:t>3</w:t>
            </w:r>
            <w:r w:rsidRPr="004B45DB">
              <w:rPr>
                <w:rFonts w:cstheme="minorHAnsi"/>
                <w:b/>
                <w:bCs/>
                <w:sz w:val="20"/>
                <w:szCs w:val="20"/>
              </w:rPr>
              <w:t>%</w:t>
            </w:r>
          </w:p>
        </w:tc>
        <w:tc>
          <w:tcPr>
            <w:tcW w:w="775" w:type="dxa"/>
            <w:tcBorders>
              <w:top w:val="nil"/>
              <w:left w:val="nil"/>
              <w:bottom w:val="single" w:sz="4" w:space="0" w:color="auto"/>
              <w:right w:val="nil"/>
            </w:tcBorders>
            <w:shd w:val="clear" w:color="000000" w:fill="FFFFFF"/>
            <w:noWrap/>
            <w:vAlign w:val="bottom"/>
            <w:hideMark/>
          </w:tcPr>
          <w:p w14:paraId="1A6C6530" w14:textId="7542ADD3" w:rsidR="00234D14" w:rsidRPr="004E6649" w:rsidRDefault="00234D14" w:rsidP="00234D14">
            <w:pPr>
              <w:jc w:val="right"/>
              <w:rPr>
                <w:rFonts w:eastAsia="Times New Roman" w:cstheme="minorHAnsi"/>
                <w:b/>
                <w:bCs/>
                <w:sz w:val="20"/>
                <w:szCs w:val="20"/>
              </w:rPr>
            </w:pPr>
            <w:r>
              <w:rPr>
                <w:rFonts w:eastAsia="Times New Roman" w:cstheme="minorHAnsi"/>
                <w:b/>
                <w:bCs/>
                <w:sz w:val="20"/>
                <w:szCs w:val="20"/>
              </w:rPr>
              <w:t>121</w:t>
            </w:r>
          </w:p>
        </w:tc>
        <w:tc>
          <w:tcPr>
            <w:tcW w:w="955" w:type="dxa"/>
            <w:tcBorders>
              <w:top w:val="nil"/>
              <w:left w:val="nil"/>
              <w:bottom w:val="single" w:sz="4" w:space="0" w:color="auto"/>
              <w:right w:val="nil"/>
            </w:tcBorders>
            <w:shd w:val="clear" w:color="000000" w:fill="FFFFFF"/>
            <w:vAlign w:val="bottom"/>
          </w:tcPr>
          <w:p w14:paraId="6A205ED2" w14:textId="36997498" w:rsidR="00234D14" w:rsidRPr="004546E5" w:rsidRDefault="00234D14" w:rsidP="00234D14">
            <w:pPr>
              <w:jc w:val="right"/>
              <w:rPr>
                <w:rFonts w:eastAsia="Times New Roman" w:cstheme="minorHAnsi"/>
                <w:sz w:val="20"/>
                <w:szCs w:val="20"/>
              </w:rPr>
            </w:pPr>
            <w:r w:rsidRPr="004546E5">
              <w:rPr>
                <w:rFonts w:eastAsia="Times New Roman" w:cstheme="minorHAnsi"/>
                <w:sz w:val="20"/>
                <w:szCs w:val="20"/>
              </w:rPr>
              <w:t>162</w:t>
            </w:r>
          </w:p>
        </w:tc>
        <w:tc>
          <w:tcPr>
            <w:tcW w:w="773" w:type="dxa"/>
            <w:tcBorders>
              <w:top w:val="nil"/>
              <w:left w:val="nil"/>
              <w:bottom w:val="single" w:sz="4" w:space="0" w:color="auto"/>
              <w:right w:val="nil"/>
            </w:tcBorders>
            <w:shd w:val="clear" w:color="000000" w:fill="FFFFFF"/>
            <w:noWrap/>
            <w:vAlign w:val="bottom"/>
            <w:hideMark/>
          </w:tcPr>
          <w:p w14:paraId="0877A675" w14:textId="25773B08" w:rsidR="00234D14" w:rsidRPr="004E6649" w:rsidRDefault="00234D14" w:rsidP="00234D14">
            <w:pPr>
              <w:jc w:val="right"/>
              <w:rPr>
                <w:rFonts w:eastAsia="Times New Roman" w:cstheme="minorHAnsi"/>
                <w:sz w:val="20"/>
                <w:szCs w:val="20"/>
              </w:rPr>
            </w:pPr>
            <w:r w:rsidRPr="004E6649">
              <w:rPr>
                <w:rFonts w:eastAsia="Times New Roman" w:cstheme="minorHAnsi"/>
                <w:sz w:val="20"/>
                <w:szCs w:val="20"/>
              </w:rPr>
              <w:t>182</w:t>
            </w:r>
          </w:p>
        </w:tc>
      </w:tr>
      <w:tr w:rsidR="00376879" w:rsidRPr="004E6649" w14:paraId="067471C8" w14:textId="77777777" w:rsidTr="00376879">
        <w:trPr>
          <w:trHeight w:val="70"/>
          <w:jc w:val="center"/>
        </w:trPr>
        <w:tc>
          <w:tcPr>
            <w:tcW w:w="4590" w:type="dxa"/>
            <w:tcBorders>
              <w:top w:val="nil"/>
              <w:left w:val="nil"/>
              <w:bottom w:val="nil"/>
              <w:right w:val="nil"/>
            </w:tcBorders>
            <w:shd w:val="clear" w:color="000000" w:fill="FFFFFF"/>
            <w:noWrap/>
            <w:vAlign w:val="bottom"/>
            <w:hideMark/>
          </w:tcPr>
          <w:p w14:paraId="15E1673D" w14:textId="77777777" w:rsidR="00234D14" w:rsidRPr="004E6649" w:rsidRDefault="00234D14" w:rsidP="00234D14">
            <w:pPr>
              <w:rPr>
                <w:rFonts w:eastAsia="Times New Roman" w:cstheme="minorHAnsi"/>
                <w:b/>
                <w:bCs/>
                <w:sz w:val="20"/>
                <w:szCs w:val="20"/>
              </w:rPr>
            </w:pPr>
            <w:r w:rsidRPr="004E6649">
              <w:rPr>
                <w:rFonts w:eastAsia="Times New Roman" w:cstheme="minorHAnsi"/>
                <w:b/>
                <w:bCs/>
                <w:sz w:val="20"/>
                <w:szCs w:val="20"/>
              </w:rPr>
              <w:t xml:space="preserve">Total Net Position </w:t>
            </w:r>
          </w:p>
        </w:tc>
        <w:tc>
          <w:tcPr>
            <w:tcW w:w="775" w:type="dxa"/>
            <w:tcBorders>
              <w:top w:val="nil"/>
              <w:left w:val="nil"/>
              <w:bottom w:val="nil"/>
              <w:right w:val="nil"/>
            </w:tcBorders>
            <w:shd w:val="clear" w:color="000000" w:fill="FFFFFF"/>
            <w:vAlign w:val="bottom"/>
          </w:tcPr>
          <w:p w14:paraId="1CC88878" w14:textId="58FADB2B" w:rsidR="00234D14" w:rsidRPr="00234D14" w:rsidRDefault="00234D14" w:rsidP="00234D14">
            <w:pPr>
              <w:jc w:val="right"/>
              <w:rPr>
                <w:rFonts w:eastAsia="Times New Roman" w:cstheme="minorHAnsi"/>
                <w:b/>
                <w:bCs/>
                <w:sz w:val="20"/>
                <w:szCs w:val="20"/>
              </w:rPr>
            </w:pPr>
            <w:r>
              <w:rPr>
                <w:rFonts w:cstheme="minorHAnsi"/>
                <w:b/>
                <w:bCs/>
                <w:sz w:val="20"/>
                <w:szCs w:val="20"/>
              </w:rPr>
              <w:t>1,</w:t>
            </w:r>
            <w:r w:rsidR="00B81858">
              <w:rPr>
                <w:rFonts w:cstheme="minorHAnsi"/>
                <w:b/>
                <w:bCs/>
                <w:sz w:val="20"/>
                <w:szCs w:val="20"/>
              </w:rPr>
              <w:t>192</w:t>
            </w:r>
          </w:p>
        </w:tc>
        <w:tc>
          <w:tcPr>
            <w:tcW w:w="831" w:type="dxa"/>
            <w:tcBorders>
              <w:top w:val="nil"/>
              <w:left w:val="nil"/>
              <w:right w:val="nil"/>
            </w:tcBorders>
            <w:shd w:val="clear" w:color="auto" w:fill="D9D9D9" w:themeFill="background1" w:themeFillShade="D9"/>
            <w:vAlign w:val="bottom"/>
          </w:tcPr>
          <w:p w14:paraId="7F7BF678" w14:textId="41F31F42" w:rsidR="00234D14" w:rsidRPr="00234D14" w:rsidRDefault="00B81858" w:rsidP="00234D14">
            <w:pPr>
              <w:jc w:val="right"/>
              <w:rPr>
                <w:rFonts w:eastAsia="Times New Roman" w:cstheme="minorHAnsi"/>
                <w:b/>
                <w:bCs/>
                <w:sz w:val="20"/>
                <w:szCs w:val="20"/>
              </w:rPr>
            </w:pPr>
            <w:r>
              <w:rPr>
                <w:rFonts w:cstheme="minorHAnsi"/>
                <w:b/>
                <w:bCs/>
                <w:sz w:val="20"/>
                <w:szCs w:val="20"/>
              </w:rPr>
              <w:t>10</w:t>
            </w:r>
            <w:r w:rsidR="00234D14" w:rsidRPr="004B45DB">
              <w:rPr>
                <w:rFonts w:cstheme="minorHAnsi"/>
                <w:b/>
                <w:bCs/>
                <w:sz w:val="20"/>
                <w:szCs w:val="20"/>
              </w:rPr>
              <w:t>%</w:t>
            </w:r>
          </w:p>
        </w:tc>
        <w:tc>
          <w:tcPr>
            <w:tcW w:w="914" w:type="dxa"/>
            <w:tcBorders>
              <w:top w:val="nil"/>
              <w:left w:val="nil"/>
              <w:bottom w:val="nil"/>
              <w:right w:val="nil"/>
            </w:tcBorders>
            <w:shd w:val="clear" w:color="000000" w:fill="FFFFFF"/>
            <w:noWrap/>
            <w:vAlign w:val="bottom"/>
          </w:tcPr>
          <w:p w14:paraId="034242CA" w14:textId="622024DB" w:rsidR="00234D14" w:rsidRPr="00234D14" w:rsidRDefault="00234D14" w:rsidP="00B05CD2">
            <w:pPr>
              <w:jc w:val="right"/>
              <w:rPr>
                <w:rFonts w:eastAsia="Times New Roman" w:cstheme="minorHAnsi"/>
                <w:b/>
                <w:bCs/>
                <w:sz w:val="20"/>
                <w:szCs w:val="20"/>
              </w:rPr>
            </w:pPr>
            <w:r>
              <w:rPr>
                <w:rFonts w:eastAsia="Times New Roman" w:cstheme="minorHAnsi"/>
                <w:b/>
                <w:bCs/>
                <w:sz w:val="20"/>
                <w:szCs w:val="20"/>
              </w:rPr>
              <w:t>1,079</w:t>
            </w:r>
          </w:p>
        </w:tc>
        <w:tc>
          <w:tcPr>
            <w:tcW w:w="959" w:type="dxa"/>
            <w:tcBorders>
              <w:top w:val="nil"/>
              <w:left w:val="nil"/>
              <w:bottom w:val="nil"/>
              <w:right w:val="nil"/>
            </w:tcBorders>
            <w:shd w:val="clear" w:color="auto" w:fill="D9D9D9" w:themeFill="background1" w:themeFillShade="D9"/>
            <w:noWrap/>
            <w:vAlign w:val="bottom"/>
            <w:hideMark/>
          </w:tcPr>
          <w:p w14:paraId="2008F8A1" w14:textId="0632D488" w:rsidR="00234D14" w:rsidRPr="00234D14" w:rsidRDefault="00234D14" w:rsidP="00234D14">
            <w:pPr>
              <w:jc w:val="right"/>
              <w:rPr>
                <w:rFonts w:eastAsia="Times New Roman" w:cstheme="minorHAnsi"/>
                <w:b/>
                <w:bCs/>
                <w:sz w:val="20"/>
                <w:szCs w:val="20"/>
              </w:rPr>
            </w:pPr>
            <w:r>
              <w:rPr>
                <w:rFonts w:cstheme="minorHAnsi"/>
                <w:b/>
                <w:bCs/>
                <w:sz w:val="20"/>
                <w:szCs w:val="20"/>
              </w:rPr>
              <w:t>8</w:t>
            </w:r>
            <w:r w:rsidRPr="004B45DB">
              <w:rPr>
                <w:rFonts w:cstheme="minorHAnsi"/>
                <w:b/>
                <w:bCs/>
                <w:sz w:val="20"/>
                <w:szCs w:val="20"/>
              </w:rPr>
              <w:t>%</w:t>
            </w:r>
          </w:p>
        </w:tc>
        <w:tc>
          <w:tcPr>
            <w:tcW w:w="775" w:type="dxa"/>
            <w:tcBorders>
              <w:top w:val="nil"/>
              <w:left w:val="nil"/>
              <w:bottom w:val="nil"/>
              <w:right w:val="nil"/>
            </w:tcBorders>
            <w:shd w:val="clear" w:color="000000" w:fill="FFFFFF"/>
            <w:noWrap/>
            <w:vAlign w:val="bottom"/>
            <w:hideMark/>
          </w:tcPr>
          <w:p w14:paraId="133709A4" w14:textId="72D54958" w:rsidR="00234D14" w:rsidRPr="004E6649" w:rsidRDefault="00234D14" w:rsidP="00234D14">
            <w:pPr>
              <w:jc w:val="right"/>
              <w:rPr>
                <w:rFonts w:eastAsia="Times New Roman" w:cstheme="minorHAnsi"/>
                <w:b/>
                <w:bCs/>
                <w:sz w:val="20"/>
                <w:szCs w:val="20"/>
              </w:rPr>
            </w:pPr>
            <w:r w:rsidRPr="004E6649">
              <w:rPr>
                <w:rFonts w:eastAsia="Times New Roman" w:cstheme="minorHAnsi"/>
                <w:b/>
                <w:bCs/>
                <w:sz w:val="20"/>
                <w:szCs w:val="20"/>
              </w:rPr>
              <w:t>1,001</w:t>
            </w:r>
          </w:p>
        </w:tc>
        <w:tc>
          <w:tcPr>
            <w:tcW w:w="955" w:type="dxa"/>
            <w:tcBorders>
              <w:top w:val="nil"/>
              <w:left w:val="nil"/>
              <w:bottom w:val="nil"/>
              <w:right w:val="nil"/>
            </w:tcBorders>
            <w:shd w:val="clear" w:color="000000" w:fill="FFFFFF"/>
            <w:vAlign w:val="bottom"/>
          </w:tcPr>
          <w:p w14:paraId="6D070F0A" w14:textId="381ACCED" w:rsidR="00234D14" w:rsidRPr="004546E5" w:rsidRDefault="00234D14" w:rsidP="00234D14">
            <w:pPr>
              <w:jc w:val="right"/>
              <w:rPr>
                <w:rFonts w:eastAsia="Times New Roman" w:cstheme="minorHAnsi"/>
                <w:sz w:val="20"/>
                <w:szCs w:val="20"/>
              </w:rPr>
            </w:pPr>
            <w:r w:rsidRPr="004546E5">
              <w:rPr>
                <w:rFonts w:eastAsia="Times New Roman" w:cstheme="minorHAnsi"/>
                <w:sz w:val="20"/>
                <w:szCs w:val="20"/>
              </w:rPr>
              <w:t>969</w:t>
            </w:r>
          </w:p>
        </w:tc>
        <w:tc>
          <w:tcPr>
            <w:tcW w:w="773" w:type="dxa"/>
            <w:tcBorders>
              <w:top w:val="nil"/>
              <w:left w:val="nil"/>
              <w:bottom w:val="nil"/>
              <w:right w:val="nil"/>
            </w:tcBorders>
            <w:shd w:val="clear" w:color="000000" w:fill="FFFFFF"/>
            <w:noWrap/>
            <w:vAlign w:val="bottom"/>
            <w:hideMark/>
          </w:tcPr>
          <w:p w14:paraId="70D071CE" w14:textId="76E291FA" w:rsidR="00234D14" w:rsidRPr="004E6649" w:rsidRDefault="00234D14" w:rsidP="00234D14">
            <w:pPr>
              <w:jc w:val="right"/>
              <w:rPr>
                <w:rFonts w:eastAsia="Times New Roman" w:cstheme="minorHAnsi"/>
                <w:sz w:val="20"/>
                <w:szCs w:val="20"/>
              </w:rPr>
            </w:pPr>
            <w:r w:rsidRPr="004E6649">
              <w:rPr>
                <w:rFonts w:eastAsia="Times New Roman" w:cstheme="minorHAnsi"/>
                <w:sz w:val="20"/>
                <w:szCs w:val="20"/>
              </w:rPr>
              <w:t>944</w:t>
            </w:r>
          </w:p>
        </w:tc>
      </w:tr>
      <w:tr w:rsidR="00616EE7" w:rsidRPr="004E6649" w14:paraId="769E108A" w14:textId="77777777" w:rsidTr="008B69B9">
        <w:trPr>
          <w:trHeight w:val="70"/>
          <w:jc w:val="center"/>
        </w:trPr>
        <w:tc>
          <w:tcPr>
            <w:tcW w:w="4590" w:type="dxa"/>
            <w:tcBorders>
              <w:top w:val="single" w:sz="4" w:space="0" w:color="auto"/>
              <w:left w:val="nil"/>
              <w:bottom w:val="double" w:sz="6" w:space="0" w:color="auto"/>
              <w:right w:val="nil"/>
            </w:tcBorders>
            <w:shd w:val="clear" w:color="000000" w:fill="FFFFFF"/>
            <w:noWrap/>
            <w:vAlign w:val="bottom"/>
            <w:hideMark/>
          </w:tcPr>
          <w:p w14:paraId="3C3DA6B3" w14:textId="77777777" w:rsidR="00234D14" w:rsidRPr="004E6649" w:rsidRDefault="00234D14" w:rsidP="00234D14">
            <w:pPr>
              <w:rPr>
                <w:rFonts w:eastAsia="Times New Roman" w:cstheme="minorHAnsi"/>
                <w:b/>
                <w:bCs/>
                <w:color w:val="000000"/>
                <w:sz w:val="20"/>
                <w:szCs w:val="20"/>
              </w:rPr>
            </w:pPr>
            <w:r w:rsidRPr="004E6649">
              <w:rPr>
                <w:rFonts w:eastAsia="Times New Roman" w:cstheme="minorHAnsi"/>
                <w:b/>
                <w:bCs/>
                <w:color w:val="000000"/>
                <w:sz w:val="20"/>
                <w:szCs w:val="20"/>
              </w:rPr>
              <w:t>Total Liabilities, Deferred Inflows and Net Position</w:t>
            </w:r>
          </w:p>
        </w:tc>
        <w:tc>
          <w:tcPr>
            <w:tcW w:w="775" w:type="dxa"/>
            <w:tcBorders>
              <w:top w:val="single" w:sz="4" w:space="0" w:color="auto"/>
              <w:left w:val="nil"/>
              <w:bottom w:val="double" w:sz="6" w:space="0" w:color="auto"/>
              <w:right w:val="nil"/>
            </w:tcBorders>
            <w:shd w:val="clear" w:color="000000" w:fill="FFFFFF"/>
            <w:vAlign w:val="bottom"/>
          </w:tcPr>
          <w:p w14:paraId="2593389A" w14:textId="68FFD308" w:rsidR="00234D14" w:rsidRPr="00234D14" w:rsidRDefault="00234D14" w:rsidP="00234D14">
            <w:pPr>
              <w:jc w:val="right"/>
              <w:rPr>
                <w:rFonts w:eastAsia="Times New Roman" w:cstheme="minorHAnsi"/>
                <w:b/>
                <w:bCs/>
                <w:color w:val="000000"/>
                <w:sz w:val="20"/>
                <w:szCs w:val="20"/>
              </w:rPr>
            </w:pPr>
            <w:r>
              <w:rPr>
                <w:rFonts w:cstheme="minorHAnsi"/>
                <w:b/>
                <w:bCs/>
                <w:sz w:val="20"/>
                <w:szCs w:val="20"/>
              </w:rPr>
              <w:t>$1,74</w:t>
            </w:r>
            <w:r w:rsidR="005A12DD">
              <w:rPr>
                <w:rFonts w:cstheme="minorHAnsi"/>
                <w:b/>
                <w:bCs/>
                <w:sz w:val="20"/>
                <w:szCs w:val="20"/>
              </w:rPr>
              <w:t>2</w:t>
            </w:r>
          </w:p>
        </w:tc>
        <w:tc>
          <w:tcPr>
            <w:tcW w:w="831" w:type="dxa"/>
            <w:tcBorders>
              <w:left w:val="nil"/>
              <w:right w:val="nil"/>
            </w:tcBorders>
            <w:shd w:val="clear" w:color="auto" w:fill="D9D9D9" w:themeFill="background1" w:themeFillShade="D9"/>
            <w:vAlign w:val="bottom"/>
          </w:tcPr>
          <w:p w14:paraId="3405AB47" w14:textId="49951698" w:rsidR="00234D14" w:rsidRPr="00234D14" w:rsidRDefault="00234D14" w:rsidP="00234D14">
            <w:pPr>
              <w:jc w:val="right"/>
              <w:rPr>
                <w:rFonts w:eastAsia="Times New Roman" w:cstheme="minorHAnsi"/>
                <w:b/>
                <w:bCs/>
                <w:color w:val="000000"/>
                <w:sz w:val="20"/>
                <w:szCs w:val="20"/>
              </w:rPr>
            </w:pPr>
            <w:r>
              <w:rPr>
                <w:rFonts w:cstheme="minorHAnsi"/>
                <w:b/>
                <w:bCs/>
                <w:sz w:val="20"/>
                <w:szCs w:val="20"/>
              </w:rPr>
              <w:t>8</w:t>
            </w:r>
            <w:r w:rsidRPr="004B45DB">
              <w:rPr>
                <w:rFonts w:cstheme="minorHAnsi"/>
                <w:b/>
                <w:bCs/>
                <w:sz w:val="20"/>
                <w:szCs w:val="20"/>
              </w:rPr>
              <w:t>%</w:t>
            </w:r>
          </w:p>
        </w:tc>
        <w:tc>
          <w:tcPr>
            <w:tcW w:w="914" w:type="dxa"/>
            <w:tcBorders>
              <w:top w:val="single" w:sz="4" w:space="0" w:color="auto"/>
              <w:left w:val="nil"/>
              <w:bottom w:val="double" w:sz="6" w:space="0" w:color="auto"/>
              <w:right w:val="nil"/>
            </w:tcBorders>
            <w:shd w:val="clear" w:color="000000" w:fill="FFFFFF"/>
            <w:noWrap/>
            <w:vAlign w:val="bottom"/>
          </w:tcPr>
          <w:p w14:paraId="2430FED7" w14:textId="477EAB4C" w:rsidR="00234D14" w:rsidRPr="00234D14" w:rsidRDefault="00234D14" w:rsidP="00B05CD2">
            <w:pPr>
              <w:jc w:val="right"/>
              <w:rPr>
                <w:rFonts w:eastAsia="Times New Roman" w:cstheme="minorHAnsi"/>
                <w:b/>
                <w:bCs/>
                <w:color w:val="000000"/>
                <w:sz w:val="20"/>
                <w:szCs w:val="20"/>
              </w:rPr>
            </w:pPr>
            <w:r>
              <w:rPr>
                <w:rFonts w:eastAsia="Times New Roman" w:cstheme="minorHAnsi"/>
                <w:b/>
                <w:bCs/>
                <w:color w:val="000000"/>
                <w:sz w:val="20"/>
                <w:szCs w:val="20"/>
              </w:rPr>
              <w:t>$1,620</w:t>
            </w:r>
          </w:p>
        </w:tc>
        <w:tc>
          <w:tcPr>
            <w:tcW w:w="959" w:type="dxa"/>
            <w:tcBorders>
              <w:top w:val="nil"/>
              <w:left w:val="nil"/>
              <w:bottom w:val="nil"/>
              <w:right w:val="nil"/>
            </w:tcBorders>
            <w:shd w:val="clear" w:color="auto" w:fill="D9D9D9" w:themeFill="background1" w:themeFillShade="D9"/>
            <w:noWrap/>
            <w:vAlign w:val="bottom"/>
          </w:tcPr>
          <w:p w14:paraId="06AD4178" w14:textId="766E3E67" w:rsidR="00234D14" w:rsidRPr="00234D14" w:rsidRDefault="00234D14" w:rsidP="00234D14">
            <w:pPr>
              <w:jc w:val="right"/>
              <w:rPr>
                <w:rFonts w:eastAsia="Times New Roman" w:cstheme="minorHAnsi"/>
                <w:b/>
                <w:bCs/>
                <w:sz w:val="20"/>
                <w:szCs w:val="20"/>
              </w:rPr>
            </w:pPr>
            <w:r>
              <w:rPr>
                <w:rFonts w:cstheme="minorHAnsi"/>
                <w:b/>
                <w:bCs/>
                <w:sz w:val="20"/>
                <w:szCs w:val="20"/>
              </w:rPr>
              <w:t>6</w:t>
            </w:r>
            <w:r w:rsidRPr="004B45DB">
              <w:rPr>
                <w:rFonts w:cstheme="minorHAnsi"/>
                <w:b/>
                <w:bCs/>
                <w:sz w:val="20"/>
                <w:szCs w:val="20"/>
              </w:rPr>
              <w:t>%</w:t>
            </w:r>
          </w:p>
        </w:tc>
        <w:tc>
          <w:tcPr>
            <w:tcW w:w="775" w:type="dxa"/>
            <w:tcBorders>
              <w:top w:val="single" w:sz="4" w:space="0" w:color="auto"/>
              <w:left w:val="nil"/>
              <w:bottom w:val="double" w:sz="6" w:space="0" w:color="auto"/>
              <w:right w:val="nil"/>
            </w:tcBorders>
            <w:shd w:val="clear" w:color="000000" w:fill="FFFFFF"/>
            <w:noWrap/>
            <w:vAlign w:val="bottom"/>
            <w:hideMark/>
          </w:tcPr>
          <w:p w14:paraId="3FB55762" w14:textId="3E3414CC" w:rsidR="00234D14" w:rsidRPr="004E6649" w:rsidRDefault="00234D14" w:rsidP="00234D14">
            <w:pPr>
              <w:jc w:val="right"/>
              <w:rPr>
                <w:rFonts w:eastAsia="Times New Roman" w:cstheme="minorHAnsi"/>
                <w:b/>
                <w:bCs/>
                <w:color w:val="000000"/>
                <w:sz w:val="20"/>
                <w:szCs w:val="20"/>
              </w:rPr>
            </w:pPr>
            <w:r w:rsidRPr="004E6649">
              <w:rPr>
                <w:rFonts w:eastAsia="Times New Roman" w:cstheme="minorHAnsi"/>
                <w:b/>
                <w:bCs/>
                <w:color w:val="000000"/>
                <w:sz w:val="20"/>
                <w:szCs w:val="20"/>
              </w:rPr>
              <w:t>$1,524</w:t>
            </w:r>
          </w:p>
        </w:tc>
        <w:tc>
          <w:tcPr>
            <w:tcW w:w="955" w:type="dxa"/>
            <w:tcBorders>
              <w:top w:val="single" w:sz="4" w:space="0" w:color="auto"/>
              <w:left w:val="nil"/>
              <w:bottom w:val="double" w:sz="6" w:space="0" w:color="auto"/>
              <w:right w:val="nil"/>
            </w:tcBorders>
            <w:shd w:val="clear" w:color="000000" w:fill="FFFFFF"/>
            <w:vAlign w:val="bottom"/>
          </w:tcPr>
          <w:p w14:paraId="17815226" w14:textId="7734748A" w:rsidR="00234D14" w:rsidRPr="004546E5" w:rsidRDefault="00234D14" w:rsidP="00234D14">
            <w:pPr>
              <w:jc w:val="right"/>
              <w:rPr>
                <w:rFonts w:eastAsia="Times New Roman" w:cstheme="minorHAnsi"/>
                <w:color w:val="000000"/>
                <w:sz w:val="20"/>
                <w:szCs w:val="20"/>
              </w:rPr>
            </w:pPr>
            <w:r w:rsidRPr="004546E5">
              <w:rPr>
                <w:rFonts w:eastAsia="Times New Roman" w:cstheme="minorHAnsi"/>
                <w:color w:val="000000"/>
                <w:sz w:val="20"/>
                <w:szCs w:val="20"/>
              </w:rPr>
              <w:t>$1,407</w:t>
            </w:r>
          </w:p>
        </w:tc>
        <w:tc>
          <w:tcPr>
            <w:tcW w:w="773" w:type="dxa"/>
            <w:tcBorders>
              <w:top w:val="single" w:sz="4" w:space="0" w:color="auto"/>
              <w:left w:val="nil"/>
              <w:bottom w:val="double" w:sz="6" w:space="0" w:color="auto"/>
              <w:right w:val="nil"/>
            </w:tcBorders>
            <w:shd w:val="clear" w:color="000000" w:fill="FFFFFF"/>
            <w:noWrap/>
            <w:vAlign w:val="bottom"/>
            <w:hideMark/>
          </w:tcPr>
          <w:p w14:paraId="5B4D067F" w14:textId="42D8F023" w:rsidR="00234D14" w:rsidRPr="004E6649" w:rsidRDefault="00234D14" w:rsidP="00234D14">
            <w:pPr>
              <w:jc w:val="right"/>
              <w:rPr>
                <w:rFonts w:eastAsia="Times New Roman" w:cstheme="minorHAnsi"/>
                <w:color w:val="000000"/>
                <w:sz w:val="20"/>
                <w:szCs w:val="20"/>
              </w:rPr>
            </w:pPr>
            <w:r w:rsidRPr="004E6649">
              <w:rPr>
                <w:rFonts w:eastAsia="Times New Roman" w:cstheme="minorHAnsi"/>
                <w:color w:val="000000"/>
                <w:sz w:val="20"/>
                <w:szCs w:val="20"/>
              </w:rPr>
              <w:t>$1,343</w:t>
            </w:r>
          </w:p>
        </w:tc>
      </w:tr>
    </w:tbl>
    <w:p w14:paraId="2081B1DB" w14:textId="77777777" w:rsidR="00F22FED" w:rsidRDefault="00F22FED">
      <w:pPr>
        <w:spacing w:after="160" w:line="259" w:lineRule="auto"/>
        <w:rPr>
          <w:rFonts w:cstheme="minorHAnsi"/>
          <w:b/>
          <w:i/>
          <w:sz w:val="24"/>
          <w:szCs w:val="20"/>
          <w:u w:val="single" w:color="000000" w:themeColor="text1"/>
        </w:rPr>
      </w:pPr>
      <w:r>
        <w:rPr>
          <w:rFonts w:cstheme="minorHAnsi"/>
          <w:sz w:val="24"/>
          <w:szCs w:val="20"/>
        </w:rPr>
        <w:br w:type="page"/>
      </w:r>
    </w:p>
    <w:p w14:paraId="759AD04E" w14:textId="14F89BE7" w:rsidR="00A83362" w:rsidRPr="004E6649" w:rsidRDefault="00A83362" w:rsidP="00A83362">
      <w:pPr>
        <w:pStyle w:val="AFR3"/>
        <w:rPr>
          <w:rFonts w:cstheme="minorHAnsi"/>
          <w:sz w:val="24"/>
          <w:szCs w:val="20"/>
        </w:rPr>
      </w:pPr>
      <w:r w:rsidRPr="004E6649">
        <w:rPr>
          <w:rFonts w:cstheme="minorHAnsi"/>
          <w:sz w:val="24"/>
          <w:szCs w:val="20"/>
        </w:rPr>
        <w:lastRenderedPageBreak/>
        <w:t>Managed Investment Pool (MIP)</w:t>
      </w:r>
    </w:p>
    <w:p w14:paraId="4F36342D" w14:textId="1C7DC936" w:rsidR="00A83362" w:rsidRPr="004E6649" w:rsidRDefault="00A83362" w:rsidP="00A83362">
      <w:pPr>
        <w:tabs>
          <w:tab w:val="left" w:pos="4860"/>
        </w:tabs>
        <w:rPr>
          <w:rFonts w:eastAsia="Times New Roman" w:cstheme="minorHAnsi"/>
          <w:sz w:val="24"/>
        </w:rPr>
      </w:pPr>
      <w:r w:rsidRPr="004E6649">
        <w:rPr>
          <w:rFonts w:eastAsia="Times New Roman" w:cstheme="minorHAnsi"/>
          <w:sz w:val="24"/>
        </w:rPr>
        <w:t>The System pools certain funds for investment purposes including the System’s endowment pool monies, endowment monies belonging to the System’s affiliated organizations, and monies on behalf of the following entities: the UMS OPEB Trust and the University of Maine School of Law Foundation.</w:t>
      </w:r>
    </w:p>
    <w:p w14:paraId="5AAC9B02" w14:textId="29E8D508" w:rsidR="00A83362" w:rsidRDefault="00F22FED" w:rsidP="00143B66">
      <w:pPr>
        <w:tabs>
          <w:tab w:val="left" w:pos="4860"/>
        </w:tabs>
        <w:spacing w:before="240" w:after="240"/>
        <w:rPr>
          <w:rFonts w:eastAsia="Times New Roman" w:cstheme="minorHAnsi"/>
          <w:sz w:val="24"/>
        </w:rPr>
      </w:pPr>
      <w:r>
        <w:rPr>
          <w:rFonts w:eastAsia="Times New Roman" w:cstheme="minorHAnsi"/>
          <w:sz w:val="24"/>
        </w:rPr>
        <w:t>Chart 3 below</w:t>
      </w:r>
      <w:r w:rsidR="00A83362" w:rsidRPr="004E6649">
        <w:rPr>
          <w:rFonts w:eastAsia="Times New Roman" w:cstheme="minorHAnsi"/>
          <w:sz w:val="24"/>
        </w:rPr>
        <w:t xml:space="preserve"> shows the June 30, </w:t>
      </w:r>
      <w:r w:rsidR="00B3204C" w:rsidRPr="004E6649">
        <w:rPr>
          <w:rFonts w:eastAsia="Times New Roman" w:cstheme="minorHAnsi"/>
          <w:sz w:val="24"/>
        </w:rPr>
        <w:t>202</w:t>
      </w:r>
      <w:r w:rsidR="00B3204C">
        <w:rPr>
          <w:rFonts w:eastAsia="Times New Roman" w:cstheme="minorHAnsi"/>
          <w:sz w:val="24"/>
        </w:rPr>
        <w:t>3</w:t>
      </w:r>
      <w:r w:rsidR="00A83362" w:rsidRPr="004E6649">
        <w:rPr>
          <w:rFonts w:eastAsia="Times New Roman" w:cstheme="minorHAnsi"/>
          <w:sz w:val="24"/>
        </w:rPr>
        <w:t xml:space="preserve">, </w:t>
      </w:r>
      <w:r w:rsidR="00B3204C" w:rsidRPr="004E6649">
        <w:rPr>
          <w:rFonts w:eastAsia="Times New Roman" w:cstheme="minorHAnsi"/>
          <w:sz w:val="24"/>
        </w:rPr>
        <w:t>202</w:t>
      </w:r>
      <w:r w:rsidR="00B3204C">
        <w:rPr>
          <w:rFonts w:eastAsia="Times New Roman" w:cstheme="minorHAnsi"/>
          <w:sz w:val="24"/>
        </w:rPr>
        <w:t>4</w:t>
      </w:r>
      <w:r w:rsidR="00B3204C" w:rsidRPr="004E6649">
        <w:rPr>
          <w:rFonts w:eastAsia="Times New Roman" w:cstheme="minorHAnsi"/>
          <w:sz w:val="24"/>
        </w:rPr>
        <w:t xml:space="preserve"> </w:t>
      </w:r>
      <w:r w:rsidR="00A83362" w:rsidRPr="004E6649">
        <w:rPr>
          <w:rFonts w:eastAsia="Times New Roman" w:cstheme="minorHAnsi"/>
          <w:sz w:val="24"/>
        </w:rPr>
        <w:t xml:space="preserve">and </w:t>
      </w:r>
      <w:r w:rsidR="00B3204C" w:rsidRPr="004E6649">
        <w:rPr>
          <w:rFonts w:eastAsia="Times New Roman" w:cstheme="minorHAnsi"/>
          <w:sz w:val="24"/>
        </w:rPr>
        <w:t>202</w:t>
      </w:r>
      <w:r w:rsidR="00B3204C">
        <w:rPr>
          <w:rFonts w:eastAsia="Times New Roman" w:cstheme="minorHAnsi"/>
          <w:sz w:val="24"/>
        </w:rPr>
        <w:t>5</w:t>
      </w:r>
      <w:r w:rsidR="00B3204C" w:rsidRPr="004E6649">
        <w:rPr>
          <w:rFonts w:eastAsia="Times New Roman" w:cstheme="minorHAnsi"/>
          <w:sz w:val="24"/>
        </w:rPr>
        <w:t xml:space="preserve"> </w:t>
      </w:r>
      <w:r w:rsidR="00A83362" w:rsidRPr="004E6649">
        <w:rPr>
          <w:rFonts w:eastAsia="Times New Roman" w:cstheme="minorHAnsi"/>
          <w:sz w:val="24"/>
        </w:rPr>
        <w:t>fair values of the MIP investments, including the amounts held on behalf of each entity.</w:t>
      </w:r>
    </w:p>
    <w:p w14:paraId="472B7CF2" w14:textId="65F9F91C" w:rsidR="00254258" w:rsidRPr="00710223" w:rsidRDefault="007A395B" w:rsidP="00254258">
      <w:pPr>
        <w:tabs>
          <w:tab w:val="left" w:pos="4860"/>
        </w:tabs>
        <w:spacing w:after="240"/>
        <w:jc w:val="center"/>
        <w:rPr>
          <w:rFonts w:eastAsia="Times New Roman" w:cstheme="minorHAnsi"/>
          <w:sz w:val="20"/>
          <w:szCs w:val="18"/>
        </w:rPr>
      </w:pPr>
      <w:r>
        <w:rPr>
          <w:noProof/>
          <w14:ligatures w14:val="standardContextual"/>
        </w:rPr>
        <w:drawing>
          <wp:inline distT="0" distB="0" distL="0" distR="0" wp14:anchorId="681A5CA5" wp14:editId="72D19103">
            <wp:extent cx="5314950" cy="2827020"/>
            <wp:effectExtent l="0" t="0" r="0" b="0"/>
            <wp:docPr id="751311024" name="Chart 1" descr="Chart 3: Fair Value of MIP by Entity">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bl>
      <w:tblPr>
        <w:tblW w:w="5220" w:type="dxa"/>
        <w:jc w:val="center"/>
        <w:tblLayout w:type="fixed"/>
        <w:tblLook w:val="04A0" w:firstRow="1" w:lastRow="0" w:firstColumn="1" w:lastColumn="0" w:noHBand="0" w:noVBand="1"/>
      </w:tblPr>
      <w:tblGrid>
        <w:gridCol w:w="3240"/>
        <w:gridCol w:w="622"/>
        <w:gridCol w:w="622"/>
        <w:gridCol w:w="736"/>
      </w:tblGrid>
      <w:tr w:rsidR="007A395B" w:rsidRPr="004E6649" w14:paraId="6759728D" w14:textId="7EA7C933" w:rsidTr="008B69B9">
        <w:trPr>
          <w:trHeight w:val="70"/>
          <w:jc w:val="center"/>
        </w:trPr>
        <w:tc>
          <w:tcPr>
            <w:tcW w:w="3240" w:type="dxa"/>
            <w:tcBorders>
              <w:top w:val="single" w:sz="4" w:space="0" w:color="000000"/>
              <w:left w:val="nil"/>
              <w:bottom w:val="single" w:sz="4" w:space="0" w:color="auto"/>
              <w:right w:val="nil"/>
            </w:tcBorders>
            <w:noWrap/>
            <w:vAlign w:val="bottom"/>
            <w:hideMark/>
          </w:tcPr>
          <w:p w14:paraId="49DAE320" w14:textId="77777777" w:rsidR="007A395B" w:rsidRPr="00156FC4" w:rsidRDefault="007A395B" w:rsidP="007A395B">
            <w:pPr>
              <w:rPr>
                <w:rFonts w:eastAsia="Times New Roman" w:cstheme="minorHAnsi"/>
                <w:b/>
                <w:bCs/>
                <w:color w:val="000000"/>
                <w:sz w:val="20"/>
                <w:szCs w:val="20"/>
              </w:rPr>
            </w:pPr>
            <w:r w:rsidRPr="00156FC4">
              <w:rPr>
                <w:rFonts w:eastAsia="Times New Roman" w:cstheme="minorHAnsi"/>
                <w:b/>
                <w:bCs/>
                <w:color w:val="000000"/>
                <w:sz w:val="20"/>
                <w:szCs w:val="20"/>
              </w:rPr>
              <w:t>MIP Member</w:t>
            </w:r>
          </w:p>
        </w:tc>
        <w:tc>
          <w:tcPr>
            <w:tcW w:w="622" w:type="dxa"/>
            <w:tcBorders>
              <w:top w:val="single" w:sz="4" w:space="0" w:color="000000"/>
              <w:left w:val="nil"/>
              <w:bottom w:val="single" w:sz="4" w:space="0" w:color="auto"/>
              <w:right w:val="nil"/>
            </w:tcBorders>
            <w:vAlign w:val="bottom"/>
          </w:tcPr>
          <w:p w14:paraId="5AE01BB3" w14:textId="5D2AE3BA" w:rsidR="007A395B" w:rsidRPr="00156FC4" w:rsidRDefault="007A395B" w:rsidP="007A395B">
            <w:pPr>
              <w:rPr>
                <w:rFonts w:eastAsia="Times New Roman" w:cstheme="minorHAnsi"/>
                <w:b/>
                <w:bCs/>
                <w:color w:val="000000"/>
                <w:sz w:val="20"/>
                <w:szCs w:val="20"/>
              </w:rPr>
            </w:pPr>
            <w:r>
              <w:rPr>
                <w:rFonts w:ascii="Calibri" w:hAnsi="Calibri" w:cs="Calibri"/>
                <w:b/>
                <w:bCs/>
                <w:color w:val="000000"/>
                <w:sz w:val="20"/>
                <w:szCs w:val="20"/>
              </w:rPr>
              <w:t>2023</w:t>
            </w:r>
          </w:p>
        </w:tc>
        <w:tc>
          <w:tcPr>
            <w:tcW w:w="622" w:type="dxa"/>
            <w:tcBorders>
              <w:top w:val="single" w:sz="4" w:space="0" w:color="000000"/>
              <w:left w:val="nil"/>
              <w:bottom w:val="single" w:sz="4" w:space="0" w:color="auto"/>
              <w:right w:val="nil"/>
            </w:tcBorders>
            <w:vAlign w:val="bottom"/>
          </w:tcPr>
          <w:p w14:paraId="3D2D2D52" w14:textId="7B93D5C0" w:rsidR="007A395B" w:rsidRPr="00156FC4" w:rsidRDefault="007A395B" w:rsidP="007A395B">
            <w:pPr>
              <w:rPr>
                <w:rFonts w:eastAsia="Times New Roman" w:cstheme="minorHAnsi"/>
                <w:b/>
                <w:bCs/>
                <w:color w:val="000000"/>
                <w:sz w:val="20"/>
                <w:szCs w:val="20"/>
              </w:rPr>
            </w:pPr>
            <w:r>
              <w:rPr>
                <w:rFonts w:ascii="Calibri" w:hAnsi="Calibri" w:cs="Calibri"/>
                <w:b/>
                <w:bCs/>
                <w:color w:val="000000"/>
                <w:sz w:val="20"/>
                <w:szCs w:val="20"/>
              </w:rPr>
              <w:t>2024</w:t>
            </w:r>
          </w:p>
        </w:tc>
        <w:tc>
          <w:tcPr>
            <w:tcW w:w="736" w:type="dxa"/>
            <w:tcBorders>
              <w:top w:val="single" w:sz="4" w:space="0" w:color="000000"/>
              <w:left w:val="nil"/>
              <w:bottom w:val="single" w:sz="4" w:space="0" w:color="auto"/>
              <w:right w:val="nil"/>
            </w:tcBorders>
            <w:vAlign w:val="bottom"/>
          </w:tcPr>
          <w:p w14:paraId="05DEB01A" w14:textId="3A896592" w:rsidR="007A395B" w:rsidRPr="00156FC4" w:rsidRDefault="007A395B" w:rsidP="007A395B">
            <w:pPr>
              <w:rPr>
                <w:rFonts w:eastAsia="Times New Roman" w:cstheme="minorHAnsi"/>
                <w:b/>
                <w:bCs/>
                <w:color w:val="000000"/>
                <w:sz w:val="20"/>
                <w:szCs w:val="20"/>
              </w:rPr>
            </w:pPr>
            <w:r>
              <w:rPr>
                <w:rFonts w:ascii="Calibri" w:hAnsi="Calibri" w:cs="Calibri"/>
                <w:b/>
                <w:bCs/>
                <w:color w:val="000000"/>
                <w:sz w:val="20"/>
                <w:szCs w:val="20"/>
              </w:rPr>
              <w:t>2025</w:t>
            </w:r>
          </w:p>
        </w:tc>
      </w:tr>
      <w:tr w:rsidR="007A395B" w:rsidRPr="004E6649" w14:paraId="1C89AED7" w14:textId="4B16919D" w:rsidTr="00143B66">
        <w:trPr>
          <w:trHeight w:val="70"/>
          <w:jc w:val="center"/>
        </w:trPr>
        <w:tc>
          <w:tcPr>
            <w:tcW w:w="3240" w:type="dxa"/>
            <w:tcBorders>
              <w:top w:val="single" w:sz="4" w:space="0" w:color="auto"/>
              <w:left w:val="nil"/>
              <w:bottom w:val="nil"/>
              <w:right w:val="nil"/>
            </w:tcBorders>
            <w:noWrap/>
            <w:vAlign w:val="bottom"/>
            <w:hideMark/>
          </w:tcPr>
          <w:p w14:paraId="6D8C691B" w14:textId="77777777" w:rsidR="007A395B" w:rsidRPr="00156FC4" w:rsidRDefault="007A395B" w:rsidP="007A395B">
            <w:pPr>
              <w:rPr>
                <w:rFonts w:eastAsia="Times New Roman" w:cstheme="minorHAnsi"/>
                <w:color w:val="000000"/>
                <w:sz w:val="20"/>
                <w:szCs w:val="20"/>
              </w:rPr>
            </w:pPr>
            <w:r w:rsidRPr="00156FC4">
              <w:rPr>
                <w:rFonts w:eastAsia="Times New Roman" w:cstheme="minorHAnsi"/>
                <w:color w:val="000000"/>
                <w:sz w:val="20"/>
                <w:szCs w:val="20"/>
              </w:rPr>
              <w:t>UMS Endowments</w:t>
            </w:r>
          </w:p>
        </w:tc>
        <w:tc>
          <w:tcPr>
            <w:tcW w:w="622" w:type="dxa"/>
            <w:tcBorders>
              <w:top w:val="single" w:sz="4" w:space="0" w:color="auto"/>
              <w:left w:val="nil"/>
              <w:bottom w:val="nil"/>
              <w:right w:val="nil"/>
            </w:tcBorders>
            <w:vAlign w:val="bottom"/>
          </w:tcPr>
          <w:p w14:paraId="4E518D57" w14:textId="22CE72C8" w:rsidR="007A395B" w:rsidRPr="00156FC4" w:rsidRDefault="00B81858" w:rsidP="007A395B">
            <w:pPr>
              <w:jc w:val="right"/>
              <w:rPr>
                <w:rFonts w:eastAsia="Times New Roman" w:cstheme="minorHAnsi"/>
                <w:color w:val="000000"/>
                <w:sz w:val="20"/>
                <w:szCs w:val="20"/>
              </w:rPr>
            </w:pPr>
            <w:r>
              <w:rPr>
                <w:rFonts w:ascii="Calibri" w:hAnsi="Calibri" w:cs="Calibri"/>
                <w:color w:val="000000"/>
                <w:sz w:val="20"/>
                <w:szCs w:val="20"/>
              </w:rPr>
              <w:t>$</w:t>
            </w:r>
            <w:r w:rsidR="007A395B">
              <w:rPr>
                <w:rFonts w:ascii="Calibri" w:hAnsi="Calibri" w:cs="Calibri"/>
                <w:color w:val="000000"/>
                <w:sz w:val="20"/>
                <w:szCs w:val="20"/>
              </w:rPr>
              <w:t>148</w:t>
            </w:r>
          </w:p>
        </w:tc>
        <w:tc>
          <w:tcPr>
            <w:tcW w:w="622" w:type="dxa"/>
            <w:tcBorders>
              <w:top w:val="single" w:sz="4" w:space="0" w:color="auto"/>
              <w:left w:val="nil"/>
              <w:bottom w:val="nil"/>
              <w:right w:val="nil"/>
            </w:tcBorders>
            <w:vAlign w:val="bottom"/>
          </w:tcPr>
          <w:p w14:paraId="223B9468" w14:textId="51AA72C8" w:rsidR="007A395B" w:rsidRPr="00156FC4" w:rsidRDefault="00B81858" w:rsidP="007A395B">
            <w:pPr>
              <w:jc w:val="right"/>
              <w:rPr>
                <w:rFonts w:eastAsia="Times New Roman" w:cstheme="minorHAnsi"/>
                <w:color w:val="000000"/>
                <w:sz w:val="20"/>
                <w:szCs w:val="20"/>
              </w:rPr>
            </w:pPr>
            <w:r>
              <w:rPr>
                <w:rFonts w:ascii="Calibri" w:hAnsi="Calibri" w:cs="Calibri"/>
                <w:color w:val="000000"/>
                <w:sz w:val="20"/>
                <w:szCs w:val="20"/>
              </w:rPr>
              <w:t>$</w:t>
            </w:r>
            <w:r w:rsidR="007A395B">
              <w:rPr>
                <w:rFonts w:ascii="Calibri" w:hAnsi="Calibri" w:cs="Calibri"/>
                <w:color w:val="000000"/>
                <w:sz w:val="20"/>
                <w:szCs w:val="20"/>
              </w:rPr>
              <w:t>159</w:t>
            </w:r>
          </w:p>
        </w:tc>
        <w:tc>
          <w:tcPr>
            <w:tcW w:w="736" w:type="dxa"/>
            <w:tcBorders>
              <w:top w:val="single" w:sz="4" w:space="0" w:color="auto"/>
              <w:left w:val="nil"/>
              <w:bottom w:val="nil"/>
              <w:right w:val="nil"/>
            </w:tcBorders>
            <w:vAlign w:val="bottom"/>
          </w:tcPr>
          <w:p w14:paraId="3BDD0868" w14:textId="7D4DCD52" w:rsidR="007A395B" w:rsidRPr="00156FC4" w:rsidRDefault="00B81858" w:rsidP="007A395B">
            <w:pPr>
              <w:jc w:val="right"/>
              <w:rPr>
                <w:rFonts w:eastAsia="Times New Roman" w:cstheme="minorHAnsi"/>
                <w:color w:val="000000"/>
                <w:sz w:val="20"/>
                <w:szCs w:val="20"/>
              </w:rPr>
            </w:pPr>
            <w:r>
              <w:rPr>
                <w:rFonts w:ascii="Calibri" w:hAnsi="Calibri" w:cs="Calibri"/>
                <w:color w:val="000000"/>
                <w:sz w:val="20"/>
                <w:szCs w:val="20"/>
              </w:rPr>
              <w:t>$</w:t>
            </w:r>
            <w:r w:rsidR="007A395B">
              <w:rPr>
                <w:rFonts w:ascii="Calibri" w:hAnsi="Calibri" w:cs="Calibri"/>
                <w:color w:val="000000"/>
                <w:sz w:val="20"/>
                <w:szCs w:val="20"/>
              </w:rPr>
              <w:t>171</w:t>
            </w:r>
          </w:p>
        </w:tc>
      </w:tr>
      <w:tr w:rsidR="007A395B" w:rsidRPr="004E6649" w14:paraId="5C86D4F9" w14:textId="2998457D" w:rsidTr="00143B66">
        <w:trPr>
          <w:trHeight w:val="80"/>
          <w:jc w:val="center"/>
        </w:trPr>
        <w:tc>
          <w:tcPr>
            <w:tcW w:w="3240" w:type="dxa"/>
            <w:tcBorders>
              <w:top w:val="nil"/>
              <w:left w:val="nil"/>
              <w:bottom w:val="nil"/>
              <w:right w:val="nil"/>
            </w:tcBorders>
            <w:noWrap/>
            <w:vAlign w:val="bottom"/>
            <w:hideMark/>
          </w:tcPr>
          <w:p w14:paraId="69052181" w14:textId="77777777" w:rsidR="007A395B" w:rsidRPr="00156FC4" w:rsidRDefault="007A395B" w:rsidP="007A395B">
            <w:pPr>
              <w:rPr>
                <w:rFonts w:eastAsia="Times New Roman" w:cstheme="minorHAnsi"/>
                <w:color w:val="000000"/>
                <w:sz w:val="20"/>
                <w:szCs w:val="20"/>
              </w:rPr>
            </w:pPr>
            <w:r w:rsidRPr="00156FC4">
              <w:rPr>
                <w:rFonts w:eastAsia="Times New Roman" w:cstheme="minorHAnsi"/>
                <w:color w:val="000000"/>
                <w:sz w:val="20"/>
                <w:szCs w:val="20"/>
              </w:rPr>
              <w:t>UMS Affiliates Endowments</w:t>
            </w:r>
          </w:p>
        </w:tc>
        <w:tc>
          <w:tcPr>
            <w:tcW w:w="622" w:type="dxa"/>
            <w:tcBorders>
              <w:top w:val="nil"/>
              <w:left w:val="nil"/>
              <w:bottom w:val="nil"/>
              <w:right w:val="nil"/>
            </w:tcBorders>
            <w:vAlign w:val="bottom"/>
          </w:tcPr>
          <w:p w14:paraId="2F52AA5E" w14:textId="733F7AA3" w:rsidR="007A395B" w:rsidRPr="00156FC4" w:rsidRDefault="007A395B" w:rsidP="007A395B">
            <w:pPr>
              <w:jc w:val="right"/>
              <w:rPr>
                <w:rFonts w:eastAsia="Times New Roman" w:cstheme="minorHAnsi"/>
                <w:color w:val="000000"/>
                <w:sz w:val="20"/>
                <w:szCs w:val="20"/>
              </w:rPr>
            </w:pPr>
            <w:r>
              <w:rPr>
                <w:rFonts w:ascii="Calibri" w:hAnsi="Calibri" w:cs="Calibri"/>
                <w:color w:val="000000"/>
                <w:sz w:val="20"/>
                <w:szCs w:val="20"/>
              </w:rPr>
              <w:t>34</w:t>
            </w:r>
          </w:p>
        </w:tc>
        <w:tc>
          <w:tcPr>
            <w:tcW w:w="622" w:type="dxa"/>
            <w:tcBorders>
              <w:top w:val="nil"/>
              <w:left w:val="nil"/>
              <w:bottom w:val="nil"/>
              <w:right w:val="nil"/>
            </w:tcBorders>
            <w:vAlign w:val="bottom"/>
          </w:tcPr>
          <w:p w14:paraId="72EA8FDE" w14:textId="4ACFA21E" w:rsidR="007A395B" w:rsidRPr="00156FC4" w:rsidRDefault="007A395B" w:rsidP="007A395B">
            <w:pPr>
              <w:jc w:val="right"/>
              <w:rPr>
                <w:rFonts w:eastAsia="Times New Roman" w:cstheme="minorHAnsi"/>
                <w:color w:val="000000"/>
                <w:sz w:val="20"/>
                <w:szCs w:val="20"/>
              </w:rPr>
            </w:pPr>
            <w:r>
              <w:rPr>
                <w:rFonts w:ascii="Calibri" w:hAnsi="Calibri" w:cs="Calibri"/>
                <w:color w:val="000000"/>
                <w:sz w:val="20"/>
                <w:szCs w:val="20"/>
              </w:rPr>
              <w:t>38</w:t>
            </w:r>
          </w:p>
        </w:tc>
        <w:tc>
          <w:tcPr>
            <w:tcW w:w="736" w:type="dxa"/>
            <w:tcBorders>
              <w:top w:val="nil"/>
              <w:left w:val="nil"/>
              <w:bottom w:val="nil"/>
              <w:right w:val="nil"/>
            </w:tcBorders>
            <w:vAlign w:val="bottom"/>
          </w:tcPr>
          <w:p w14:paraId="51AE9FBB" w14:textId="78B093B0" w:rsidR="007A395B" w:rsidRPr="00156FC4" w:rsidRDefault="007A395B" w:rsidP="007A395B">
            <w:pPr>
              <w:jc w:val="right"/>
              <w:rPr>
                <w:rFonts w:eastAsia="Times New Roman" w:cstheme="minorHAnsi"/>
                <w:color w:val="000000"/>
                <w:sz w:val="20"/>
                <w:szCs w:val="20"/>
              </w:rPr>
            </w:pPr>
            <w:r>
              <w:rPr>
                <w:rFonts w:ascii="Calibri" w:hAnsi="Calibri" w:cs="Calibri"/>
                <w:color w:val="000000"/>
                <w:sz w:val="20"/>
                <w:szCs w:val="20"/>
              </w:rPr>
              <w:t>4</w:t>
            </w:r>
          </w:p>
        </w:tc>
      </w:tr>
      <w:tr w:rsidR="007A395B" w:rsidRPr="004E6649" w14:paraId="2BDB65F5" w14:textId="3332A22D" w:rsidTr="00143B66">
        <w:trPr>
          <w:trHeight w:val="80"/>
          <w:jc w:val="center"/>
        </w:trPr>
        <w:tc>
          <w:tcPr>
            <w:tcW w:w="3240" w:type="dxa"/>
            <w:tcBorders>
              <w:top w:val="nil"/>
              <w:left w:val="nil"/>
              <w:bottom w:val="nil"/>
              <w:right w:val="nil"/>
            </w:tcBorders>
            <w:noWrap/>
            <w:vAlign w:val="bottom"/>
            <w:hideMark/>
          </w:tcPr>
          <w:p w14:paraId="3BA5350A" w14:textId="77777777" w:rsidR="007A395B" w:rsidRPr="00156FC4" w:rsidRDefault="007A395B" w:rsidP="007A395B">
            <w:pPr>
              <w:rPr>
                <w:rFonts w:eastAsia="Times New Roman" w:cstheme="minorHAnsi"/>
                <w:color w:val="000000"/>
                <w:sz w:val="20"/>
                <w:szCs w:val="20"/>
              </w:rPr>
            </w:pPr>
            <w:r w:rsidRPr="00156FC4">
              <w:rPr>
                <w:rFonts w:eastAsia="Times New Roman" w:cstheme="minorHAnsi"/>
                <w:color w:val="000000"/>
                <w:sz w:val="20"/>
                <w:szCs w:val="20"/>
              </w:rPr>
              <w:t>OPEB Trust</w:t>
            </w:r>
          </w:p>
        </w:tc>
        <w:tc>
          <w:tcPr>
            <w:tcW w:w="622" w:type="dxa"/>
            <w:tcBorders>
              <w:top w:val="nil"/>
              <w:left w:val="nil"/>
              <w:bottom w:val="nil"/>
              <w:right w:val="nil"/>
            </w:tcBorders>
            <w:vAlign w:val="bottom"/>
          </w:tcPr>
          <w:p w14:paraId="74FC7553" w14:textId="2E8F6F20" w:rsidR="007A395B" w:rsidRPr="00156FC4" w:rsidRDefault="007A395B" w:rsidP="007A395B">
            <w:pPr>
              <w:jc w:val="right"/>
              <w:rPr>
                <w:rFonts w:eastAsia="Times New Roman" w:cstheme="minorHAnsi"/>
                <w:color w:val="000000"/>
                <w:sz w:val="20"/>
                <w:szCs w:val="20"/>
              </w:rPr>
            </w:pPr>
            <w:r>
              <w:rPr>
                <w:rFonts w:ascii="Calibri" w:hAnsi="Calibri" w:cs="Calibri"/>
                <w:color w:val="000000"/>
                <w:sz w:val="20"/>
                <w:szCs w:val="20"/>
              </w:rPr>
              <w:t>175</w:t>
            </w:r>
          </w:p>
        </w:tc>
        <w:tc>
          <w:tcPr>
            <w:tcW w:w="622" w:type="dxa"/>
            <w:tcBorders>
              <w:top w:val="nil"/>
              <w:left w:val="nil"/>
              <w:bottom w:val="nil"/>
              <w:right w:val="nil"/>
            </w:tcBorders>
            <w:vAlign w:val="bottom"/>
          </w:tcPr>
          <w:p w14:paraId="6C7E9E38" w14:textId="7D77EE1A" w:rsidR="007A395B" w:rsidRPr="00156FC4" w:rsidRDefault="007A395B" w:rsidP="007A395B">
            <w:pPr>
              <w:jc w:val="right"/>
              <w:rPr>
                <w:rFonts w:eastAsia="Times New Roman" w:cstheme="minorHAnsi"/>
                <w:color w:val="000000"/>
                <w:sz w:val="20"/>
                <w:szCs w:val="20"/>
              </w:rPr>
            </w:pPr>
            <w:r>
              <w:rPr>
                <w:rFonts w:ascii="Calibri" w:hAnsi="Calibri" w:cs="Calibri"/>
                <w:color w:val="000000"/>
                <w:sz w:val="20"/>
                <w:szCs w:val="20"/>
              </w:rPr>
              <w:t>196</w:t>
            </w:r>
          </w:p>
        </w:tc>
        <w:tc>
          <w:tcPr>
            <w:tcW w:w="736" w:type="dxa"/>
            <w:tcBorders>
              <w:top w:val="nil"/>
              <w:left w:val="nil"/>
              <w:bottom w:val="nil"/>
              <w:right w:val="nil"/>
            </w:tcBorders>
            <w:vAlign w:val="bottom"/>
          </w:tcPr>
          <w:p w14:paraId="388458A3" w14:textId="40F3DC40" w:rsidR="007A395B" w:rsidRPr="00156FC4" w:rsidRDefault="007A395B" w:rsidP="007A395B">
            <w:pPr>
              <w:jc w:val="right"/>
              <w:rPr>
                <w:rFonts w:eastAsia="Times New Roman" w:cstheme="minorHAnsi"/>
                <w:color w:val="000000"/>
                <w:sz w:val="20"/>
                <w:szCs w:val="20"/>
              </w:rPr>
            </w:pPr>
            <w:r>
              <w:rPr>
                <w:rFonts w:ascii="Calibri" w:hAnsi="Calibri" w:cs="Calibri"/>
                <w:color w:val="000000"/>
                <w:sz w:val="20"/>
                <w:szCs w:val="20"/>
              </w:rPr>
              <w:t>215</w:t>
            </w:r>
          </w:p>
        </w:tc>
      </w:tr>
      <w:tr w:rsidR="007A395B" w:rsidRPr="004E6649" w14:paraId="256DC9F1" w14:textId="48493936" w:rsidTr="00143B66">
        <w:trPr>
          <w:trHeight w:val="80"/>
          <w:jc w:val="center"/>
        </w:trPr>
        <w:tc>
          <w:tcPr>
            <w:tcW w:w="3240" w:type="dxa"/>
            <w:tcBorders>
              <w:top w:val="nil"/>
              <w:left w:val="nil"/>
              <w:bottom w:val="nil"/>
              <w:right w:val="nil"/>
            </w:tcBorders>
            <w:noWrap/>
            <w:vAlign w:val="bottom"/>
            <w:hideMark/>
          </w:tcPr>
          <w:p w14:paraId="1AE32705" w14:textId="77777777" w:rsidR="007A395B" w:rsidRPr="00156FC4" w:rsidRDefault="007A395B" w:rsidP="007A395B">
            <w:pPr>
              <w:rPr>
                <w:rFonts w:eastAsia="Times New Roman" w:cstheme="minorHAnsi"/>
                <w:color w:val="000000"/>
                <w:sz w:val="20"/>
                <w:szCs w:val="20"/>
              </w:rPr>
            </w:pPr>
            <w:r w:rsidRPr="00156FC4">
              <w:rPr>
                <w:rFonts w:eastAsia="Times New Roman" w:cstheme="minorHAnsi"/>
                <w:color w:val="000000"/>
                <w:sz w:val="20"/>
                <w:szCs w:val="20"/>
              </w:rPr>
              <w:t>UM School of Law Foundation</w:t>
            </w:r>
          </w:p>
        </w:tc>
        <w:tc>
          <w:tcPr>
            <w:tcW w:w="622" w:type="dxa"/>
            <w:tcBorders>
              <w:top w:val="nil"/>
              <w:left w:val="nil"/>
              <w:bottom w:val="nil"/>
              <w:right w:val="nil"/>
            </w:tcBorders>
            <w:vAlign w:val="bottom"/>
          </w:tcPr>
          <w:p w14:paraId="4276F776" w14:textId="4E85FB9A" w:rsidR="007A395B" w:rsidRPr="00156FC4" w:rsidRDefault="007A395B" w:rsidP="007A395B">
            <w:pPr>
              <w:jc w:val="right"/>
              <w:rPr>
                <w:rFonts w:eastAsia="Times New Roman" w:cstheme="minorHAnsi"/>
                <w:color w:val="000000"/>
                <w:sz w:val="20"/>
                <w:szCs w:val="20"/>
              </w:rPr>
            </w:pPr>
            <w:r>
              <w:rPr>
                <w:rFonts w:ascii="Calibri" w:hAnsi="Calibri" w:cs="Calibri"/>
                <w:color w:val="000000"/>
                <w:sz w:val="20"/>
                <w:szCs w:val="20"/>
              </w:rPr>
              <w:t>5</w:t>
            </w:r>
          </w:p>
        </w:tc>
        <w:tc>
          <w:tcPr>
            <w:tcW w:w="622" w:type="dxa"/>
            <w:tcBorders>
              <w:top w:val="nil"/>
              <w:left w:val="nil"/>
              <w:bottom w:val="nil"/>
              <w:right w:val="nil"/>
            </w:tcBorders>
            <w:vAlign w:val="bottom"/>
          </w:tcPr>
          <w:p w14:paraId="2A9E50E2" w14:textId="5AD50DF8" w:rsidR="007A395B" w:rsidRPr="00156FC4" w:rsidRDefault="007A395B" w:rsidP="007A395B">
            <w:pPr>
              <w:jc w:val="right"/>
              <w:rPr>
                <w:rFonts w:eastAsia="Times New Roman" w:cstheme="minorHAnsi"/>
                <w:color w:val="000000"/>
                <w:sz w:val="20"/>
                <w:szCs w:val="20"/>
              </w:rPr>
            </w:pPr>
            <w:r>
              <w:rPr>
                <w:rFonts w:ascii="Calibri" w:hAnsi="Calibri" w:cs="Calibri"/>
                <w:color w:val="000000"/>
                <w:sz w:val="20"/>
                <w:szCs w:val="20"/>
              </w:rPr>
              <w:t>6</w:t>
            </w:r>
          </w:p>
        </w:tc>
        <w:tc>
          <w:tcPr>
            <w:tcW w:w="736" w:type="dxa"/>
            <w:tcBorders>
              <w:top w:val="nil"/>
              <w:left w:val="nil"/>
              <w:bottom w:val="nil"/>
              <w:right w:val="nil"/>
            </w:tcBorders>
            <w:vAlign w:val="bottom"/>
          </w:tcPr>
          <w:p w14:paraId="3C2497D9" w14:textId="74CECDCE" w:rsidR="007A395B" w:rsidRPr="00156FC4" w:rsidRDefault="007A395B" w:rsidP="007A395B">
            <w:pPr>
              <w:jc w:val="right"/>
              <w:rPr>
                <w:rFonts w:eastAsia="Times New Roman" w:cstheme="minorHAnsi"/>
                <w:color w:val="000000"/>
                <w:sz w:val="20"/>
                <w:szCs w:val="20"/>
              </w:rPr>
            </w:pPr>
            <w:r>
              <w:rPr>
                <w:rFonts w:ascii="Calibri" w:hAnsi="Calibri" w:cs="Calibri"/>
                <w:color w:val="000000"/>
                <w:sz w:val="20"/>
                <w:szCs w:val="20"/>
              </w:rPr>
              <w:t>6</w:t>
            </w:r>
          </w:p>
        </w:tc>
      </w:tr>
      <w:tr w:rsidR="007A395B" w:rsidRPr="004E6649" w14:paraId="349C77E3" w14:textId="503DCC58" w:rsidTr="00143B66">
        <w:trPr>
          <w:trHeight w:val="70"/>
          <w:jc w:val="center"/>
        </w:trPr>
        <w:tc>
          <w:tcPr>
            <w:tcW w:w="3240" w:type="dxa"/>
            <w:tcBorders>
              <w:top w:val="single" w:sz="4" w:space="0" w:color="auto"/>
              <w:left w:val="nil"/>
              <w:bottom w:val="double" w:sz="4" w:space="0" w:color="auto"/>
              <w:right w:val="nil"/>
            </w:tcBorders>
            <w:noWrap/>
            <w:vAlign w:val="bottom"/>
            <w:hideMark/>
          </w:tcPr>
          <w:p w14:paraId="4D172C6F" w14:textId="45EDF739" w:rsidR="007A395B" w:rsidRPr="00156FC4" w:rsidRDefault="007A395B" w:rsidP="007A395B">
            <w:pPr>
              <w:rPr>
                <w:rFonts w:eastAsia="Times New Roman" w:cstheme="minorHAnsi"/>
                <w:color w:val="000000"/>
                <w:sz w:val="20"/>
                <w:szCs w:val="20"/>
              </w:rPr>
            </w:pPr>
            <w:r w:rsidRPr="00156FC4">
              <w:rPr>
                <w:rFonts w:eastAsia="Times New Roman" w:cstheme="minorHAnsi"/>
                <w:color w:val="000000"/>
                <w:sz w:val="20"/>
                <w:szCs w:val="20"/>
              </w:rPr>
              <w:t>Total:</w:t>
            </w:r>
          </w:p>
        </w:tc>
        <w:tc>
          <w:tcPr>
            <w:tcW w:w="622" w:type="dxa"/>
            <w:tcBorders>
              <w:top w:val="single" w:sz="4" w:space="0" w:color="auto"/>
              <w:left w:val="nil"/>
              <w:bottom w:val="double" w:sz="4" w:space="0" w:color="auto"/>
              <w:right w:val="nil"/>
            </w:tcBorders>
            <w:vAlign w:val="bottom"/>
          </w:tcPr>
          <w:p w14:paraId="1692FA23" w14:textId="70AED432" w:rsidR="007A395B" w:rsidRPr="00156FC4" w:rsidRDefault="00B81858" w:rsidP="007A395B">
            <w:pPr>
              <w:jc w:val="right"/>
              <w:rPr>
                <w:rFonts w:eastAsia="Times New Roman" w:cstheme="minorHAnsi"/>
                <w:color w:val="000000"/>
                <w:sz w:val="20"/>
                <w:szCs w:val="20"/>
              </w:rPr>
            </w:pPr>
            <w:r>
              <w:rPr>
                <w:rFonts w:ascii="Calibri" w:hAnsi="Calibri" w:cs="Calibri"/>
                <w:b/>
                <w:bCs/>
                <w:color w:val="000000"/>
                <w:sz w:val="20"/>
                <w:szCs w:val="20"/>
              </w:rPr>
              <w:t>$362</w:t>
            </w:r>
          </w:p>
        </w:tc>
        <w:tc>
          <w:tcPr>
            <w:tcW w:w="622" w:type="dxa"/>
            <w:tcBorders>
              <w:top w:val="single" w:sz="4" w:space="0" w:color="auto"/>
              <w:left w:val="nil"/>
              <w:bottom w:val="double" w:sz="4" w:space="0" w:color="auto"/>
              <w:right w:val="nil"/>
            </w:tcBorders>
            <w:vAlign w:val="bottom"/>
          </w:tcPr>
          <w:p w14:paraId="565D85F1" w14:textId="6FCBCE6E" w:rsidR="007A395B" w:rsidRPr="00156FC4" w:rsidRDefault="00B81858" w:rsidP="007A395B">
            <w:pPr>
              <w:jc w:val="right"/>
              <w:rPr>
                <w:rFonts w:eastAsia="Times New Roman" w:cstheme="minorHAnsi"/>
                <w:color w:val="000000"/>
                <w:sz w:val="20"/>
                <w:szCs w:val="20"/>
              </w:rPr>
            </w:pPr>
            <w:r>
              <w:rPr>
                <w:rFonts w:ascii="Calibri" w:hAnsi="Calibri" w:cs="Calibri"/>
                <w:b/>
                <w:bCs/>
                <w:color w:val="000000"/>
                <w:sz w:val="20"/>
                <w:szCs w:val="20"/>
              </w:rPr>
              <w:t>$399</w:t>
            </w:r>
          </w:p>
        </w:tc>
        <w:tc>
          <w:tcPr>
            <w:tcW w:w="736" w:type="dxa"/>
            <w:tcBorders>
              <w:top w:val="single" w:sz="4" w:space="0" w:color="auto"/>
              <w:left w:val="nil"/>
              <w:bottom w:val="double" w:sz="4" w:space="0" w:color="auto"/>
              <w:right w:val="nil"/>
            </w:tcBorders>
            <w:vAlign w:val="bottom"/>
          </w:tcPr>
          <w:p w14:paraId="6DD53A43" w14:textId="54494B1E" w:rsidR="007A395B" w:rsidRPr="00156FC4" w:rsidRDefault="00B81858" w:rsidP="007A395B">
            <w:pPr>
              <w:jc w:val="right"/>
              <w:rPr>
                <w:rFonts w:eastAsia="Times New Roman" w:cstheme="minorHAnsi"/>
                <w:color w:val="000000"/>
                <w:sz w:val="20"/>
                <w:szCs w:val="20"/>
              </w:rPr>
            </w:pPr>
            <w:r>
              <w:rPr>
                <w:rFonts w:ascii="Calibri" w:hAnsi="Calibri" w:cs="Calibri"/>
                <w:b/>
                <w:bCs/>
                <w:color w:val="000000"/>
                <w:sz w:val="20"/>
                <w:szCs w:val="20"/>
              </w:rPr>
              <w:t>$396</w:t>
            </w:r>
          </w:p>
        </w:tc>
      </w:tr>
    </w:tbl>
    <w:p w14:paraId="002D219D" w14:textId="362F1EDE" w:rsidR="000E7902" w:rsidRPr="004E6649" w:rsidRDefault="00A83362" w:rsidP="00A83362">
      <w:pPr>
        <w:tabs>
          <w:tab w:val="left" w:pos="4860"/>
        </w:tabs>
        <w:spacing w:before="240"/>
        <w:rPr>
          <w:rFonts w:eastAsia="Times New Roman" w:cstheme="minorHAnsi"/>
          <w:sz w:val="24"/>
        </w:rPr>
      </w:pPr>
      <w:r w:rsidRPr="004E6649">
        <w:rPr>
          <w:rFonts w:eastAsia="Times New Roman" w:cstheme="minorHAnsi"/>
          <w:sz w:val="24"/>
        </w:rPr>
        <w:t xml:space="preserve">‘UMS Endowments’ noted </w:t>
      </w:r>
      <w:r w:rsidR="001E240E" w:rsidRPr="004E6649">
        <w:rPr>
          <w:rFonts w:eastAsia="Times New Roman" w:cstheme="minorHAnsi"/>
          <w:sz w:val="24"/>
        </w:rPr>
        <w:t>above</w:t>
      </w:r>
      <w:r w:rsidR="00E22D21" w:rsidRPr="004E6649">
        <w:rPr>
          <w:rFonts w:eastAsia="Times New Roman" w:cstheme="minorHAnsi"/>
          <w:sz w:val="24"/>
        </w:rPr>
        <w:t xml:space="preserve"> </w:t>
      </w:r>
      <w:r w:rsidRPr="004E6649">
        <w:rPr>
          <w:rFonts w:eastAsia="Times New Roman" w:cstheme="minorHAnsi"/>
          <w:sz w:val="24"/>
        </w:rPr>
        <w:t xml:space="preserve">is the System’s share of the MIP investments and is included as part of the ‘Endowment Investments’ noted in the accompanying Condensed Statements of Net Position. </w:t>
      </w:r>
    </w:p>
    <w:p w14:paraId="26CA15A0" w14:textId="162D3626" w:rsidR="00A83362" w:rsidRPr="004E6649" w:rsidRDefault="00A83362" w:rsidP="00A83362">
      <w:pPr>
        <w:tabs>
          <w:tab w:val="left" w:pos="4860"/>
        </w:tabs>
        <w:spacing w:before="240"/>
        <w:rPr>
          <w:rFonts w:eastAsia="Times New Roman" w:cstheme="minorHAnsi"/>
          <w:sz w:val="24"/>
        </w:rPr>
      </w:pPr>
      <w:r w:rsidRPr="004E6649">
        <w:rPr>
          <w:rFonts w:eastAsia="Times New Roman" w:cstheme="minorHAnsi"/>
          <w:sz w:val="24"/>
        </w:rPr>
        <w:t>The portion of the MIP representing UMS Affiliates’ Endowments is included in the Statements of Fiduciary Net Position as ‘Investment in UMS endowment pool’. The total of the OPEB Trust and the University of Maine School of Law Foundation portions of the MIP are included in the Statements of Fiduciary Net Position as ‘Investment in UMS managed investment pool’.</w:t>
      </w:r>
    </w:p>
    <w:p w14:paraId="31AC6FB8" w14:textId="77777777" w:rsidR="00A83362" w:rsidRPr="004E6649" w:rsidRDefault="00A83362" w:rsidP="00A83362">
      <w:pPr>
        <w:tabs>
          <w:tab w:val="left" w:pos="4860"/>
        </w:tabs>
        <w:rPr>
          <w:rFonts w:eastAsia="Times New Roman" w:cstheme="minorHAnsi"/>
          <w:sz w:val="20"/>
        </w:rPr>
      </w:pPr>
    </w:p>
    <w:p w14:paraId="06FA7450" w14:textId="257F702E" w:rsidR="00B81858" w:rsidRDefault="00A83362" w:rsidP="008B69B9">
      <w:pPr>
        <w:spacing w:after="160" w:line="259" w:lineRule="auto"/>
        <w:rPr>
          <w:rFonts w:eastAsia="Times New Roman" w:cstheme="minorHAnsi"/>
          <w:sz w:val="24"/>
        </w:rPr>
      </w:pPr>
      <w:r w:rsidRPr="004E6649">
        <w:rPr>
          <w:rFonts w:eastAsia="Times New Roman" w:cstheme="minorHAnsi"/>
          <w:sz w:val="24"/>
        </w:rPr>
        <w:t xml:space="preserve">The MIP investments are diversified among a number of asset classes to minimize risk while optimizing return. </w:t>
      </w:r>
      <w:r w:rsidR="00387A2D" w:rsidRPr="004E6649">
        <w:rPr>
          <w:rFonts w:eastAsia="Times New Roman" w:cstheme="minorHAnsi"/>
          <w:sz w:val="24"/>
        </w:rPr>
        <w:t>T</w:t>
      </w:r>
      <w:r w:rsidRPr="004E6649">
        <w:rPr>
          <w:rFonts w:eastAsia="Times New Roman" w:cstheme="minorHAnsi"/>
          <w:sz w:val="24"/>
        </w:rPr>
        <w:t xml:space="preserve">he percentage of holdings in each asset class </w:t>
      </w:r>
      <w:r w:rsidR="00D82A8D" w:rsidRPr="004E6649">
        <w:rPr>
          <w:rFonts w:eastAsia="Times New Roman" w:cstheme="minorHAnsi"/>
          <w:sz w:val="24"/>
        </w:rPr>
        <w:t>for</w:t>
      </w:r>
      <w:r w:rsidRPr="004E6649">
        <w:rPr>
          <w:rFonts w:eastAsia="Times New Roman" w:cstheme="minorHAnsi"/>
          <w:sz w:val="24"/>
        </w:rPr>
        <w:t xml:space="preserve"> the past 5 years</w:t>
      </w:r>
      <w:r w:rsidR="00387A2D" w:rsidRPr="004E6649">
        <w:rPr>
          <w:rFonts w:eastAsia="Times New Roman" w:cstheme="minorHAnsi"/>
          <w:sz w:val="24"/>
        </w:rPr>
        <w:t xml:space="preserve"> is summarized </w:t>
      </w:r>
      <w:r w:rsidR="00AD3F97">
        <w:rPr>
          <w:rFonts w:eastAsia="Times New Roman" w:cstheme="minorHAnsi"/>
          <w:sz w:val="24"/>
        </w:rPr>
        <w:t>on the next page</w:t>
      </w:r>
      <w:r w:rsidRPr="004E6649">
        <w:rPr>
          <w:rFonts w:eastAsia="Times New Roman" w:cstheme="minorHAnsi"/>
          <w:sz w:val="24"/>
        </w:rPr>
        <w:t>.</w:t>
      </w:r>
    </w:p>
    <w:p w14:paraId="5B203440" w14:textId="77777777" w:rsidR="00B81858" w:rsidRDefault="00B81858">
      <w:pPr>
        <w:spacing w:after="160" w:line="259" w:lineRule="auto"/>
        <w:rPr>
          <w:rFonts w:eastAsia="Times New Roman" w:cstheme="minorHAnsi"/>
          <w:sz w:val="24"/>
        </w:rPr>
      </w:pPr>
      <w:r>
        <w:rPr>
          <w:rFonts w:eastAsia="Times New Roman" w:cstheme="minorHAnsi"/>
          <w:sz w:val="24"/>
        </w:rPr>
        <w:br w:type="page"/>
      </w:r>
    </w:p>
    <w:tbl>
      <w:tblPr>
        <w:tblW w:w="6260" w:type="dxa"/>
        <w:jc w:val="center"/>
        <w:tblLayout w:type="fixed"/>
        <w:tblLook w:val="04A0" w:firstRow="1" w:lastRow="0" w:firstColumn="1" w:lastColumn="0" w:noHBand="0" w:noVBand="1"/>
      </w:tblPr>
      <w:tblGrid>
        <w:gridCol w:w="2340"/>
        <w:gridCol w:w="792"/>
        <w:gridCol w:w="792"/>
        <w:gridCol w:w="792"/>
        <w:gridCol w:w="792"/>
        <w:gridCol w:w="752"/>
      </w:tblGrid>
      <w:tr w:rsidR="00B3204C" w:rsidRPr="004E6649" w14:paraId="26C8541E" w14:textId="77777777" w:rsidTr="008B69B9">
        <w:trPr>
          <w:trHeight w:val="180"/>
          <w:jc w:val="center"/>
        </w:trPr>
        <w:tc>
          <w:tcPr>
            <w:tcW w:w="2340" w:type="dxa"/>
            <w:tcBorders>
              <w:top w:val="nil"/>
              <w:left w:val="nil"/>
              <w:bottom w:val="nil"/>
              <w:right w:val="nil"/>
            </w:tcBorders>
            <w:shd w:val="clear" w:color="000000" w:fill="FFFFFF"/>
            <w:noWrap/>
            <w:vAlign w:val="bottom"/>
            <w:hideMark/>
          </w:tcPr>
          <w:p w14:paraId="4B317E97" w14:textId="77777777" w:rsidR="00B3204C" w:rsidRPr="008B69B9" w:rsidRDefault="00B3204C" w:rsidP="00B3204C">
            <w:pPr>
              <w:rPr>
                <w:rFonts w:eastAsia="Times New Roman" w:cstheme="minorHAnsi"/>
                <w:color w:val="000000"/>
                <w:sz w:val="20"/>
                <w:szCs w:val="20"/>
              </w:rPr>
            </w:pPr>
            <w:r w:rsidRPr="008B69B9">
              <w:rPr>
                <w:rFonts w:eastAsia="Times New Roman" w:cstheme="minorHAnsi"/>
                <w:color w:val="000000"/>
                <w:sz w:val="20"/>
                <w:szCs w:val="20"/>
              </w:rPr>
              <w:lastRenderedPageBreak/>
              <w:t> </w:t>
            </w:r>
          </w:p>
        </w:tc>
        <w:tc>
          <w:tcPr>
            <w:tcW w:w="792" w:type="dxa"/>
            <w:tcBorders>
              <w:top w:val="nil"/>
              <w:left w:val="nil"/>
              <w:bottom w:val="single" w:sz="12" w:space="0" w:color="0D0D0D"/>
              <w:right w:val="nil"/>
            </w:tcBorders>
            <w:shd w:val="clear" w:color="000000" w:fill="FFFFFF"/>
            <w:vAlign w:val="bottom"/>
            <w:hideMark/>
          </w:tcPr>
          <w:p w14:paraId="44D25141" w14:textId="56858BAB" w:rsidR="00B3204C" w:rsidRPr="008B69B9" w:rsidRDefault="00B3204C" w:rsidP="00B3204C">
            <w:pPr>
              <w:jc w:val="center"/>
              <w:rPr>
                <w:rFonts w:eastAsia="Times New Roman" w:cstheme="minorHAnsi"/>
                <w:b/>
                <w:bCs/>
                <w:sz w:val="20"/>
                <w:szCs w:val="20"/>
              </w:rPr>
            </w:pPr>
            <w:r w:rsidRPr="00693E83">
              <w:rPr>
                <w:rFonts w:ascii="Calibri" w:hAnsi="Calibri" w:cs="Calibri"/>
                <w:b/>
                <w:bCs/>
                <w:sz w:val="20"/>
                <w:szCs w:val="20"/>
              </w:rPr>
              <w:t>2025</w:t>
            </w:r>
          </w:p>
        </w:tc>
        <w:tc>
          <w:tcPr>
            <w:tcW w:w="792" w:type="dxa"/>
            <w:tcBorders>
              <w:top w:val="nil"/>
              <w:left w:val="nil"/>
              <w:bottom w:val="single" w:sz="12" w:space="0" w:color="0D0D0D"/>
              <w:right w:val="nil"/>
            </w:tcBorders>
            <w:shd w:val="clear" w:color="000000" w:fill="FFFFFF"/>
            <w:vAlign w:val="bottom"/>
            <w:hideMark/>
          </w:tcPr>
          <w:p w14:paraId="538401C1" w14:textId="7D4536C0" w:rsidR="00B3204C" w:rsidRPr="008B69B9" w:rsidRDefault="00B3204C" w:rsidP="00B3204C">
            <w:pPr>
              <w:jc w:val="center"/>
              <w:rPr>
                <w:rFonts w:eastAsia="Times New Roman" w:cstheme="minorHAnsi"/>
                <w:b/>
                <w:bCs/>
                <w:sz w:val="20"/>
                <w:szCs w:val="20"/>
              </w:rPr>
            </w:pPr>
            <w:r w:rsidRPr="00693E83">
              <w:rPr>
                <w:rFonts w:ascii="Calibri" w:hAnsi="Calibri" w:cs="Calibri"/>
                <w:b/>
                <w:bCs/>
                <w:sz w:val="20"/>
                <w:szCs w:val="20"/>
              </w:rPr>
              <w:t>2024</w:t>
            </w:r>
          </w:p>
        </w:tc>
        <w:tc>
          <w:tcPr>
            <w:tcW w:w="792" w:type="dxa"/>
            <w:tcBorders>
              <w:top w:val="nil"/>
              <w:left w:val="nil"/>
              <w:bottom w:val="single" w:sz="12" w:space="0" w:color="0D0D0D"/>
              <w:right w:val="nil"/>
            </w:tcBorders>
            <w:shd w:val="clear" w:color="000000" w:fill="FFFFFF"/>
            <w:vAlign w:val="bottom"/>
            <w:hideMark/>
          </w:tcPr>
          <w:p w14:paraId="0A442C79" w14:textId="77E96E9A" w:rsidR="00B3204C" w:rsidRPr="008B69B9" w:rsidRDefault="00B3204C" w:rsidP="00B3204C">
            <w:pPr>
              <w:jc w:val="center"/>
              <w:rPr>
                <w:rFonts w:eastAsia="Times New Roman" w:cstheme="minorHAnsi"/>
                <w:b/>
                <w:bCs/>
                <w:sz w:val="20"/>
                <w:szCs w:val="20"/>
              </w:rPr>
            </w:pPr>
            <w:r w:rsidRPr="00693E83">
              <w:rPr>
                <w:rFonts w:ascii="Calibri" w:hAnsi="Calibri" w:cs="Calibri"/>
                <w:b/>
                <w:bCs/>
                <w:sz w:val="20"/>
                <w:szCs w:val="20"/>
              </w:rPr>
              <w:t>2023</w:t>
            </w:r>
          </w:p>
        </w:tc>
        <w:tc>
          <w:tcPr>
            <w:tcW w:w="792" w:type="dxa"/>
            <w:tcBorders>
              <w:top w:val="nil"/>
              <w:left w:val="nil"/>
              <w:bottom w:val="single" w:sz="12" w:space="0" w:color="0D0D0D"/>
              <w:right w:val="nil"/>
            </w:tcBorders>
            <w:shd w:val="clear" w:color="000000" w:fill="FFFFFF"/>
            <w:vAlign w:val="bottom"/>
            <w:hideMark/>
          </w:tcPr>
          <w:p w14:paraId="746ACBE3" w14:textId="70B4EE83" w:rsidR="00B3204C" w:rsidRPr="008B69B9" w:rsidRDefault="00B3204C" w:rsidP="00B3204C">
            <w:pPr>
              <w:jc w:val="center"/>
              <w:rPr>
                <w:rFonts w:eastAsia="Times New Roman" w:cstheme="minorHAnsi"/>
                <w:b/>
                <w:bCs/>
                <w:sz w:val="20"/>
                <w:szCs w:val="20"/>
              </w:rPr>
            </w:pPr>
            <w:r w:rsidRPr="00693E83">
              <w:rPr>
                <w:rFonts w:ascii="Calibri" w:hAnsi="Calibri" w:cs="Calibri"/>
                <w:b/>
                <w:bCs/>
                <w:sz w:val="20"/>
                <w:szCs w:val="20"/>
              </w:rPr>
              <w:t>2022</w:t>
            </w:r>
          </w:p>
        </w:tc>
        <w:tc>
          <w:tcPr>
            <w:tcW w:w="752" w:type="dxa"/>
            <w:tcBorders>
              <w:top w:val="nil"/>
              <w:left w:val="nil"/>
              <w:bottom w:val="single" w:sz="12" w:space="0" w:color="0D0D0D"/>
              <w:right w:val="nil"/>
            </w:tcBorders>
            <w:shd w:val="clear" w:color="000000" w:fill="FFFFFF"/>
            <w:vAlign w:val="bottom"/>
            <w:hideMark/>
          </w:tcPr>
          <w:p w14:paraId="401CAA91" w14:textId="73A4775E" w:rsidR="00B3204C" w:rsidRPr="008B69B9" w:rsidRDefault="00B3204C" w:rsidP="00B3204C">
            <w:pPr>
              <w:jc w:val="center"/>
              <w:rPr>
                <w:rFonts w:eastAsia="Times New Roman" w:cstheme="minorHAnsi"/>
                <w:b/>
                <w:bCs/>
                <w:sz w:val="20"/>
                <w:szCs w:val="20"/>
              </w:rPr>
            </w:pPr>
            <w:r w:rsidRPr="00693E83">
              <w:rPr>
                <w:rFonts w:ascii="Calibri" w:hAnsi="Calibri" w:cs="Calibri"/>
                <w:b/>
                <w:bCs/>
                <w:sz w:val="20"/>
                <w:szCs w:val="20"/>
              </w:rPr>
              <w:t>2021</w:t>
            </w:r>
          </w:p>
        </w:tc>
      </w:tr>
      <w:tr w:rsidR="00B3204C" w:rsidRPr="004E6649" w14:paraId="65BD5311" w14:textId="77777777" w:rsidTr="008B69B9">
        <w:trPr>
          <w:trHeight w:val="195"/>
          <w:jc w:val="center"/>
        </w:trPr>
        <w:tc>
          <w:tcPr>
            <w:tcW w:w="2340" w:type="dxa"/>
            <w:tcBorders>
              <w:top w:val="nil"/>
              <w:left w:val="nil"/>
              <w:bottom w:val="nil"/>
              <w:right w:val="nil"/>
            </w:tcBorders>
            <w:shd w:val="clear" w:color="000000" w:fill="FFFFFF"/>
            <w:noWrap/>
            <w:vAlign w:val="bottom"/>
            <w:hideMark/>
          </w:tcPr>
          <w:p w14:paraId="6E4FDBC3" w14:textId="77777777" w:rsidR="00B3204C" w:rsidRPr="008B69B9" w:rsidRDefault="00B3204C" w:rsidP="00B3204C">
            <w:pPr>
              <w:rPr>
                <w:rFonts w:eastAsia="Times New Roman" w:cstheme="minorHAnsi"/>
                <w:color w:val="000000"/>
                <w:sz w:val="20"/>
                <w:szCs w:val="20"/>
              </w:rPr>
            </w:pPr>
            <w:r w:rsidRPr="008B69B9">
              <w:rPr>
                <w:rFonts w:eastAsia="Times New Roman" w:cstheme="minorHAnsi"/>
                <w:color w:val="000000"/>
                <w:sz w:val="20"/>
                <w:szCs w:val="20"/>
              </w:rPr>
              <w:t>Domestic Equities</w:t>
            </w:r>
          </w:p>
        </w:tc>
        <w:tc>
          <w:tcPr>
            <w:tcW w:w="792" w:type="dxa"/>
            <w:tcBorders>
              <w:top w:val="nil"/>
              <w:left w:val="nil"/>
              <w:bottom w:val="nil"/>
              <w:right w:val="nil"/>
            </w:tcBorders>
            <w:shd w:val="clear" w:color="000000" w:fill="FFFFFF"/>
            <w:noWrap/>
            <w:vAlign w:val="bottom"/>
            <w:hideMark/>
          </w:tcPr>
          <w:p w14:paraId="08AEB204" w14:textId="12CC2C91" w:rsidR="00B3204C" w:rsidRPr="008B69B9" w:rsidRDefault="00B3204C" w:rsidP="00B3204C">
            <w:pPr>
              <w:jc w:val="right"/>
              <w:rPr>
                <w:rFonts w:eastAsia="Times New Roman" w:cstheme="minorHAnsi"/>
                <w:color w:val="000000"/>
                <w:sz w:val="20"/>
                <w:szCs w:val="20"/>
              </w:rPr>
            </w:pPr>
            <w:r w:rsidRPr="008B69B9">
              <w:rPr>
                <w:rFonts w:ascii="Calibri" w:hAnsi="Calibri" w:cs="Calibri"/>
                <w:color w:val="0D0D0D"/>
                <w:sz w:val="20"/>
                <w:szCs w:val="20"/>
              </w:rPr>
              <w:t>16%</w:t>
            </w:r>
          </w:p>
        </w:tc>
        <w:tc>
          <w:tcPr>
            <w:tcW w:w="792" w:type="dxa"/>
            <w:tcBorders>
              <w:top w:val="nil"/>
              <w:left w:val="nil"/>
              <w:bottom w:val="nil"/>
              <w:right w:val="nil"/>
            </w:tcBorders>
            <w:shd w:val="clear" w:color="000000" w:fill="FFFFFF"/>
            <w:noWrap/>
            <w:vAlign w:val="bottom"/>
            <w:hideMark/>
          </w:tcPr>
          <w:p w14:paraId="30F005C4" w14:textId="363B2320" w:rsidR="00B3204C" w:rsidRPr="008B69B9" w:rsidRDefault="00B3204C" w:rsidP="00B3204C">
            <w:pPr>
              <w:jc w:val="right"/>
              <w:rPr>
                <w:rFonts w:eastAsia="Times New Roman" w:cstheme="minorHAnsi"/>
                <w:color w:val="000000"/>
                <w:sz w:val="20"/>
                <w:szCs w:val="20"/>
              </w:rPr>
            </w:pPr>
            <w:r w:rsidRPr="008B69B9">
              <w:rPr>
                <w:rFonts w:ascii="Calibri" w:hAnsi="Calibri" w:cs="Calibri"/>
                <w:color w:val="0D0D0D"/>
                <w:sz w:val="20"/>
                <w:szCs w:val="20"/>
              </w:rPr>
              <w:t>25%</w:t>
            </w:r>
          </w:p>
        </w:tc>
        <w:tc>
          <w:tcPr>
            <w:tcW w:w="792" w:type="dxa"/>
            <w:tcBorders>
              <w:top w:val="nil"/>
              <w:left w:val="nil"/>
              <w:bottom w:val="nil"/>
              <w:right w:val="nil"/>
            </w:tcBorders>
            <w:shd w:val="clear" w:color="000000" w:fill="FFFFFF"/>
            <w:noWrap/>
            <w:vAlign w:val="bottom"/>
            <w:hideMark/>
          </w:tcPr>
          <w:p w14:paraId="031A0088" w14:textId="71641735" w:rsidR="00B3204C" w:rsidRPr="008B69B9" w:rsidRDefault="00B3204C" w:rsidP="00B3204C">
            <w:pPr>
              <w:jc w:val="right"/>
              <w:rPr>
                <w:rFonts w:eastAsia="Times New Roman" w:cstheme="minorHAnsi"/>
                <w:color w:val="000000"/>
                <w:sz w:val="20"/>
                <w:szCs w:val="20"/>
              </w:rPr>
            </w:pPr>
            <w:r w:rsidRPr="008B69B9">
              <w:rPr>
                <w:rFonts w:ascii="Calibri" w:hAnsi="Calibri" w:cs="Calibri"/>
                <w:color w:val="000000"/>
                <w:sz w:val="20"/>
                <w:szCs w:val="20"/>
              </w:rPr>
              <w:t>30%</w:t>
            </w:r>
          </w:p>
        </w:tc>
        <w:tc>
          <w:tcPr>
            <w:tcW w:w="792" w:type="dxa"/>
            <w:tcBorders>
              <w:top w:val="nil"/>
              <w:left w:val="nil"/>
              <w:bottom w:val="nil"/>
              <w:right w:val="nil"/>
            </w:tcBorders>
            <w:shd w:val="clear" w:color="000000" w:fill="FFFFFF"/>
            <w:noWrap/>
            <w:vAlign w:val="bottom"/>
            <w:hideMark/>
          </w:tcPr>
          <w:p w14:paraId="17930A18" w14:textId="09E7402D" w:rsidR="00B3204C" w:rsidRPr="008B69B9" w:rsidRDefault="00B3204C" w:rsidP="00B3204C">
            <w:pPr>
              <w:jc w:val="right"/>
              <w:rPr>
                <w:rFonts w:eastAsia="Times New Roman" w:cstheme="minorHAnsi"/>
                <w:color w:val="000000"/>
                <w:sz w:val="20"/>
                <w:szCs w:val="20"/>
              </w:rPr>
            </w:pPr>
            <w:r w:rsidRPr="008B69B9">
              <w:rPr>
                <w:rFonts w:ascii="Calibri" w:hAnsi="Calibri" w:cs="Calibri"/>
                <w:color w:val="000000"/>
                <w:sz w:val="20"/>
                <w:szCs w:val="20"/>
              </w:rPr>
              <w:t>29%</w:t>
            </w:r>
          </w:p>
        </w:tc>
        <w:tc>
          <w:tcPr>
            <w:tcW w:w="752" w:type="dxa"/>
            <w:tcBorders>
              <w:top w:val="nil"/>
              <w:left w:val="nil"/>
              <w:bottom w:val="nil"/>
              <w:right w:val="nil"/>
            </w:tcBorders>
            <w:shd w:val="clear" w:color="000000" w:fill="FFFFFF"/>
            <w:noWrap/>
            <w:vAlign w:val="bottom"/>
            <w:hideMark/>
          </w:tcPr>
          <w:p w14:paraId="7EF70665" w14:textId="4D5D7DAE" w:rsidR="00B3204C" w:rsidRPr="008B69B9" w:rsidRDefault="00B3204C" w:rsidP="00B3204C">
            <w:pPr>
              <w:jc w:val="right"/>
              <w:rPr>
                <w:rFonts w:eastAsia="Times New Roman" w:cstheme="minorHAnsi"/>
                <w:color w:val="000000"/>
                <w:sz w:val="20"/>
                <w:szCs w:val="20"/>
              </w:rPr>
            </w:pPr>
            <w:r w:rsidRPr="008B69B9">
              <w:rPr>
                <w:rFonts w:ascii="Calibri" w:hAnsi="Calibri" w:cs="Calibri"/>
                <w:color w:val="000000"/>
                <w:sz w:val="20"/>
                <w:szCs w:val="20"/>
              </w:rPr>
              <w:t>29%</w:t>
            </w:r>
          </w:p>
        </w:tc>
      </w:tr>
      <w:tr w:rsidR="00B3204C" w:rsidRPr="004E6649" w14:paraId="42278A42" w14:textId="77777777" w:rsidTr="008B69B9">
        <w:trPr>
          <w:trHeight w:val="225"/>
          <w:jc w:val="center"/>
        </w:trPr>
        <w:tc>
          <w:tcPr>
            <w:tcW w:w="2340" w:type="dxa"/>
            <w:tcBorders>
              <w:top w:val="nil"/>
              <w:left w:val="nil"/>
              <w:bottom w:val="nil"/>
              <w:right w:val="nil"/>
            </w:tcBorders>
            <w:shd w:val="clear" w:color="000000" w:fill="FFFFFF"/>
            <w:noWrap/>
            <w:vAlign w:val="bottom"/>
            <w:hideMark/>
          </w:tcPr>
          <w:p w14:paraId="2B288F1D" w14:textId="77777777" w:rsidR="00B3204C" w:rsidRPr="008B69B9" w:rsidRDefault="00B3204C" w:rsidP="00B3204C">
            <w:pPr>
              <w:rPr>
                <w:rFonts w:eastAsia="Times New Roman" w:cstheme="minorHAnsi"/>
                <w:color w:val="000000"/>
                <w:sz w:val="20"/>
                <w:szCs w:val="20"/>
              </w:rPr>
            </w:pPr>
            <w:r w:rsidRPr="008B69B9">
              <w:rPr>
                <w:rFonts w:eastAsia="Times New Roman" w:cstheme="minorHAnsi"/>
                <w:color w:val="000000"/>
                <w:sz w:val="20"/>
                <w:szCs w:val="20"/>
              </w:rPr>
              <w:t>International Equities</w:t>
            </w:r>
          </w:p>
        </w:tc>
        <w:tc>
          <w:tcPr>
            <w:tcW w:w="792" w:type="dxa"/>
            <w:tcBorders>
              <w:top w:val="nil"/>
              <w:left w:val="nil"/>
              <w:bottom w:val="nil"/>
              <w:right w:val="nil"/>
            </w:tcBorders>
            <w:shd w:val="clear" w:color="000000" w:fill="FFFFFF"/>
            <w:noWrap/>
            <w:vAlign w:val="bottom"/>
            <w:hideMark/>
          </w:tcPr>
          <w:p w14:paraId="4E072081" w14:textId="65133383" w:rsidR="00B3204C" w:rsidRPr="008B69B9" w:rsidRDefault="00B3204C" w:rsidP="00B3204C">
            <w:pPr>
              <w:jc w:val="right"/>
              <w:rPr>
                <w:rFonts w:eastAsia="Times New Roman" w:cstheme="minorHAnsi"/>
                <w:color w:val="000000"/>
                <w:sz w:val="20"/>
                <w:szCs w:val="20"/>
              </w:rPr>
            </w:pPr>
            <w:r w:rsidRPr="008B69B9">
              <w:rPr>
                <w:rFonts w:ascii="Calibri" w:hAnsi="Calibri" w:cs="Calibri"/>
                <w:color w:val="0D0D0D"/>
                <w:sz w:val="20"/>
                <w:szCs w:val="20"/>
              </w:rPr>
              <w:t>11%</w:t>
            </w:r>
          </w:p>
        </w:tc>
        <w:tc>
          <w:tcPr>
            <w:tcW w:w="792" w:type="dxa"/>
            <w:tcBorders>
              <w:top w:val="nil"/>
              <w:left w:val="nil"/>
              <w:bottom w:val="nil"/>
              <w:right w:val="nil"/>
            </w:tcBorders>
            <w:shd w:val="clear" w:color="000000" w:fill="FFFFFF"/>
            <w:noWrap/>
            <w:vAlign w:val="bottom"/>
            <w:hideMark/>
          </w:tcPr>
          <w:p w14:paraId="0276CDF5" w14:textId="757CBC96" w:rsidR="00B3204C" w:rsidRPr="008B69B9" w:rsidRDefault="00B3204C" w:rsidP="00B3204C">
            <w:pPr>
              <w:jc w:val="right"/>
              <w:rPr>
                <w:rFonts w:eastAsia="Times New Roman" w:cstheme="minorHAnsi"/>
                <w:color w:val="000000"/>
                <w:sz w:val="20"/>
                <w:szCs w:val="20"/>
              </w:rPr>
            </w:pPr>
            <w:r w:rsidRPr="008B69B9">
              <w:rPr>
                <w:rFonts w:ascii="Calibri" w:hAnsi="Calibri" w:cs="Calibri"/>
                <w:color w:val="0D0D0D"/>
                <w:sz w:val="20"/>
                <w:szCs w:val="20"/>
              </w:rPr>
              <w:t>17%</w:t>
            </w:r>
          </w:p>
        </w:tc>
        <w:tc>
          <w:tcPr>
            <w:tcW w:w="792" w:type="dxa"/>
            <w:tcBorders>
              <w:top w:val="nil"/>
              <w:left w:val="nil"/>
              <w:bottom w:val="nil"/>
              <w:right w:val="nil"/>
            </w:tcBorders>
            <w:shd w:val="clear" w:color="000000" w:fill="FFFFFF"/>
            <w:noWrap/>
            <w:vAlign w:val="bottom"/>
            <w:hideMark/>
          </w:tcPr>
          <w:p w14:paraId="22C7E25C" w14:textId="4E1CD04D" w:rsidR="00B3204C" w:rsidRPr="008B69B9" w:rsidRDefault="00B3204C" w:rsidP="00B3204C">
            <w:pPr>
              <w:jc w:val="right"/>
              <w:rPr>
                <w:rFonts w:eastAsia="Times New Roman" w:cstheme="minorHAnsi"/>
                <w:color w:val="000000"/>
                <w:sz w:val="20"/>
                <w:szCs w:val="20"/>
              </w:rPr>
            </w:pPr>
            <w:r w:rsidRPr="008B69B9">
              <w:rPr>
                <w:rFonts w:ascii="Calibri" w:hAnsi="Calibri" w:cs="Calibri"/>
                <w:color w:val="000000"/>
                <w:sz w:val="20"/>
                <w:szCs w:val="20"/>
              </w:rPr>
              <w:t>18%</w:t>
            </w:r>
          </w:p>
        </w:tc>
        <w:tc>
          <w:tcPr>
            <w:tcW w:w="792" w:type="dxa"/>
            <w:tcBorders>
              <w:top w:val="nil"/>
              <w:left w:val="nil"/>
              <w:bottom w:val="nil"/>
              <w:right w:val="nil"/>
            </w:tcBorders>
            <w:shd w:val="clear" w:color="000000" w:fill="FFFFFF"/>
            <w:noWrap/>
            <w:vAlign w:val="bottom"/>
            <w:hideMark/>
          </w:tcPr>
          <w:p w14:paraId="6943994C" w14:textId="47F6036B" w:rsidR="00B3204C" w:rsidRPr="008B69B9" w:rsidRDefault="00B3204C" w:rsidP="00B3204C">
            <w:pPr>
              <w:jc w:val="right"/>
              <w:rPr>
                <w:rFonts w:eastAsia="Times New Roman" w:cstheme="minorHAnsi"/>
                <w:color w:val="000000"/>
                <w:sz w:val="20"/>
                <w:szCs w:val="20"/>
              </w:rPr>
            </w:pPr>
            <w:r w:rsidRPr="008B69B9">
              <w:rPr>
                <w:rFonts w:ascii="Calibri" w:hAnsi="Calibri" w:cs="Calibri"/>
                <w:color w:val="000000"/>
                <w:sz w:val="20"/>
                <w:szCs w:val="20"/>
              </w:rPr>
              <w:t>16%</w:t>
            </w:r>
          </w:p>
        </w:tc>
        <w:tc>
          <w:tcPr>
            <w:tcW w:w="752" w:type="dxa"/>
            <w:tcBorders>
              <w:top w:val="nil"/>
              <w:left w:val="nil"/>
              <w:bottom w:val="nil"/>
              <w:right w:val="nil"/>
            </w:tcBorders>
            <w:shd w:val="clear" w:color="000000" w:fill="FFFFFF"/>
            <w:noWrap/>
            <w:vAlign w:val="bottom"/>
            <w:hideMark/>
          </w:tcPr>
          <w:p w14:paraId="615CDA17" w14:textId="00C08161" w:rsidR="00B3204C" w:rsidRPr="008B69B9" w:rsidRDefault="00B3204C" w:rsidP="00B3204C">
            <w:pPr>
              <w:jc w:val="right"/>
              <w:rPr>
                <w:rFonts w:eastAsia="Times New Roman" w:cstheme="minorHAnsi"/>
                <w:color w:val="000000"/>
                <w:sz w:val="20"/>
                <w:szCs w:val="20"/>
              </w:rPr>
            </w:pPr>
            <w:r w:rsidRPr="008B69B9">
              <w:rPr>
                <w:rFonts w:ascii="Calibri" w:hAnsi="Calibri" w:cs="Calibri"/>
                <w:color w:val="000000"/>
                <w:sz w:val="20"/>
                <w:szCs w:val="20"/>
              </w:rPr>
              <w:t>21%</w:t>
            </w:r>
          </w:p>
        </w:tc>
      </w:tr>
      <w:tr w:rsidR="00B3204C" w:rsidRPr="004E6649" w14:paraId="3B7EE460" w14:textId="77777777" w:rsidTr="008B69B9">
        <w:trPr>
          <w:trHeight w:val="153"/>
          <w:jc w:val="center"/>
        </w:trPr>
        <w:tc>
          <w:tcPr>
            <w:tcW w:w="2340" w:type="dxa"/>
            <w:tcBorders>
              <w:top w:val="nil"/>
              <w:left w:val="nil"/>
              <w:bottom w:val="nil"/>
              <w:right w:val="nil"/>
            </w:tcBorders>
            <w:shd w:val="clear" w:color="000000" w:fill="FFFFFF"/>
            <w:noWrap/>
            <w:vAlign w:val="bottom"/>
            <w:hideMark/>
          </w:tcPr>
          <w:p w14:paraId="01EFE105" w14:textId="77777777" w:rsidR="00B3204C" w:rsidRPr="008B69B9" w:rsidRDefault="00B3204C" w:rsidP="00B3204C">
            <w:pPr>
              <w:rPr>
                <w:rFonts w:eastAsia="Times New Roman" w:cstheme="minorHAnsi"/>
                <w:color w:val="000000"/>
                <w:sz w:val="20"/>
                <w:szCs w:val="20"/>
              </w:rPr>
            </w:pPr>
            <w:r w:rsidRPr="008B69B9">
              <w:rPr>
                <w:rFonts w:eastAsia="Times New Roman" w:cstheme="minorHAnsi"/>
                <w:color w:val="000000"/>
                <w:sz w:val="20"/>
                <w:szCs w:val="20"/>
              </w:rPr>
              <w:t>Global Equities</w:t>
            </w:r>
          </w:p>
        </w:tc>
        <w:tc>
          <w:tcPr>
            <w:tcW w:w="792" w:type="dxa"/>
            <w:tcBorders>
              <w:top w:val="nil"/>
              <w:left w:val="nil"/>
              <w:bottom w:val="nil"/>
              <w:right w:val="nil"/>
            </w:tcBorders>
            <w:shd w:val="clear" w:color="000000" w:fill="FFFFFF"/>
            <w:noWrap/>
            <w:vAlign w:val="bottom"/>
            <w:hideMark/>
          </w:tcPr>
          <w:p w14:paraId="6A982487" w14:textId="12F9E445" w:rsidR="00B3204C" w:rsidRPr="008B69B9" w:rsidRDefault="00B3204C" w:rsidP="00B3204C">
            <w:pPr>
              <w:jc w:val="right"/>
              <w:rPr>
                <w:rFonts w:eastAsia="Times New Roman" w:cstheme="minorHAnsi"/>
                <w:color w:val="000000"/>
                <w:sz w:val="20"/>
                <w:szCs w:val="20"/>
              </w:rPr>
            </w:pPr>
            <w:r w:rsidRPr="008B69B9">
              <w:rPr>
                <w:rFonts w:ascii="Calibri" w:hAnsi="Calibri" w:cs="Calibri"/>
                <w:color w:val="0D0D0D"/>
                <w:sz w:val="20"/>
                <w:szCs w:val="20"/>
              </w:rPr>
              <w:t>31%</w:t>
            </w:r>
          </w:p>
        </w:tc>
        <w:tc>
          <w:tcPr>
            <w:tcW w:w="792" w:type="dxa"/>
            <w:tcBorders>
              <w:top w:val="nil"/>
              <w:left w:val="nil"/>
              <w:bottom w:val="nil"/>
              <w:right w:val="nil"/>
            </w:tcBorders>
            <w:shd w:val="clear" w:color="000000" w:fill="FFFFFF"/>
            <w:noWrap/>
            <w:vAlign w:val="bottom"/>
            <w:hideMark/>
          </w:tcPr>
          <w:p w14:paraId="69BE3339" w14:textId="3CC78C83" w:rsidR="00B3204C" w:rsidRPr="008B69B9" w:rsidRDefault="00B3204C" w:rsidP="00B3204C">
            <w:pPr>
              <w:jc w:val="right"/>
              <w:rPr>
                <w:rFonts w:eastAsia="Times New Roman" w:cstheme="minorHAnsi"/>
                <w:color w:val="000000"/>
                <w:sz w:val="20"/>
                <w:szCs w:val="20"/>
              </w:rPr>
            </w:pPr>
            <w:r w:rsidRPr="008B69B9">
              <w:rPr>
                <w:rFonts w:ascii="Calibri" w:hAnsi="Calibri" w:cs="Calibri"/>
                <w:color w:val="0D0D0D"/>
                <w:sz w:val="20"/>
                <w:szCs w:val="20"/>
              </w:rPr>
              <w:t>10%</w:t>
            </w:r>
          </w:p>
        </w:tc>
        <w:tc>
          <w:tcPr>
            <w:tcW w:w="792" w:type="dxa"/>
            <w:tcBorders>
              <w:top w:val="nil"/>
              <w:left w:val="nil"/>
              <w:bottom w:val="nil"/>
              <w:right w:val="nil"/>
            </w:tcBorders>
            <w:shd w:val="clear" w:color="000000" w:fill="FFFFFF"/>
            <w:noWrap/>
            <w:vAlign w:val="bottom"/>
            <w:hideMark/>
          </w:tcPr>
          <w:p w14:paraId="40BFFCEE" w14:textId="545800CA" w:rsidR="00B3204C" w:rsidRPr="008B69B9" w:rsidRDefault="00B3204C" w:rsidP="00B3204C">
            <w:pPr>
              <w:jc w:val="right"/>
              <w:rPr>
                <w:rFonts w:eastAsia="Times New Roman" w:cstheme="minorHAnsi"/>
                <w:color w:val="000000"/>
                <w:sz w:val="20"/>
                <w:szCs w:val="20"/>
              </w:rPr>
            </w:pPr>
            <w:r w:rsidRPr="008B69B9">
              <w:rPr>
                <w:rFonts w:ascii="Calibri" w:hAnsi="Calibri" w:cs="Calibri"/>
                <w:color w:val="000000"/>
                <w:sz w:val="20"/>
                <w:szCs w:val="20"/>
              </w:rPr>
              <w:t>10%</w:t>
            </w:r>
          </w:p>
        </w:tc>
        <w:tc>
          <w:tcPr>
            <w:tcW w:w="792" w:type="dxa"/>
            <w:tcBorders>
              <w:top w:val="nil"/>
              <w:left w:val="nil"/>
              <w:bottom w:val="nil"/>
              <w:right w:val="nil"/>
            </w:tcBorders>
            <w:shd w:val="clear" w:color="000000" w:fill="FFFFFF"/>
            <w:noWrap/>
            <w:vAlign w:val="bottom"/>
            <w:hideMark/>
          </w:tcPr>
          <w:p w14:paraId="20570D88" w14:textId="7FD36F87" w:rsidR="00B3204C" w:rsidRPr="008B69B9" w:rsidRDefault="00B3204C" w:rsidP="00B3204C">
            <w:pPr>
              <w:jc w:val="right"/>
              <w:rPr>
                <w:rFonts w:eastAsia="Times New Roman" w:cstheme="minorHAnsi"/>
                <w:color w:val="000000"/>
                <w:sz w:val="20"/>
                <w:szCs w:val="20"/>
              </w:rPr>
            </w:pPr>
            <w:r w:rsidRPr="008B69B9">
              <w:rPr>
                <w:rFonts w:ascii="Calibri" w:hAnsi="Calibri" w:cs="Calibri"/>
                <w:color w:val="000000"/>
                <w:sz w:val="20"/>
                <w:szCs w:val="20"/>
              </w:rPr>
              <w:t>9%</w:t>
            </w:r>
          </w:p>
        </w:tc>
        <w:tc>
          <w:tcPr>
            <w:tcW w:w="752" w:type="dxa"/>
            <w:tcBorders>
              <w:top w:val="nil"/>
              <w:left w:val="nil"/>
              <w:bottom w:val="nil"/>
              <w:right w:val="nil"/>
            </w:tcBorders>
            <w:shd w:val="clear" w:color="000000" w:fill="FFFFFF"/>
            <w:noWrap/>
            <w:vAlign w:val="bottom"/>
            <w:hideMark/>
          </w:tcPr>
          <w:p w14:paraId="46AED06E" w14:textId="72C605A6" w:rsidR="00B3204C" w:rsidRPr="008B69B9" w:rsidRDefault="00B3204C" w:rsidP="00B3204C">
            <w:pPr>
              <w:jc w:val="right"/>
              <w:rPr>
                <w:rFonts w:eastAsia="Times New Roman" w:cstheme="minorHAnsi"/>
                <w:color w:val="000000"/>
                <w:sz w:val="20"/>
                <w:szCs w:val="20"/>
              </w:rPr>
            </w:pPr>
            <w:r w:rsidRPr="008B69B9">
              <w:rPr>
                <w:rFonts w:ascii="Calibri" w:hAnsi="Calibri" w:cs="Calibri"/>
                <w:color w:val="000000"/>
                <w:sz w:val="20"/>
                <w:szCs w:val="20"/>
              </w:rPr>
              <w:t>10%</w:t>
            </w:r>
          </w:p>
        </w:tc>
      </w:tr>
      <w:tr w:rsidR="00B3204C" w:rsidRPr="004E6649" w14:paraId="4C0A711E" w14:textId="77777777" w:rsidTr="008B69B9">
        <w:trPr>
          <w:trHeight w:val="180"/>
          <w:jc w:val="center"/>
        </w:trPr>
        <w:tc>
          <w:tcPr>
            <w:tcW w:w="2340" w:type="dxa"/>
            <w:tcBorders>
              <w:top w:val="nil"/>
              <w:left w:val="nil"/>
              <w:bottom w:val="nil"/>
              <w:right w:val="nil"/>
            </w:tcBorders>
            <w:shd w:val="clear" w:color="000000" w:fill="FFFFFF"/>
            <w:noWrap/>
            <w:vAlign w:val="bottom"/>
            <w:hideMark/>
          </w:tcPr>
          <w:p w14:paraId="0E0C1D9B" w14:textId="77777777" w:rsidR="00B3204C" w:rsidRPr="008B69B9" w:rsidRDefault="00B3204C" w:rsidP="00B3204C">
            <w:pPr>
              <w:rPr>
                <w:rFonts w:eastAsia="Times New Roman" w:cstheme="minorHAnsi"/>
                <w:color w:val="000000"/>
                <w:sz w:val="20"/>
                <w:szCs w:val="20"/>
              </w:rPr>
            </w:pPr>
            <w:r w:rsidRPr="008B69B9">
              <w:rPr>
                <w:rFonts w:eastAsia="Times New Roman" w:cstheme="minorHAnsi"/>
                <w:color w:val="000000"/>
                <w:sz w:val="20"/>
                <w:szCs w:val="20"/>
              </w:rPr>
              <w:t>Fixed Income</w:t>
            </w:r>
          </w:p>
        </w:tc>
        <w:tc>
          <w:tcPr>
            <w:tcW w:w="792" w:type="dxa"/>
            <w:tcBorders>
              <w:top w:val="nil"/>
              <w:left w:val="nil"/>
              <w:bottom w:val="nil"/>
              <w:right w:val="nil"/>
            </w:tcBorders>
            <w:shd w:val="clear" w:color="000000" w:fill="FFFFFF"/>
            <w:noWrap/>
            <w:vAlign w:val="bottom"/>
            <w:hideMark/>
          </w:tcPr>
          <w:p w14:paraId="01D877EA" w14:textId="2CAE6FA0" w:rsidR="00B3204C" w:rsidRPr="008B69B9" w:rsidRDefault="00B3204C" w:rsidP="00B3204C">
            <w:pPr>
              <w:jc w:val="right"/>
              <w:rPr>
                <w:rFonts w:eastAsia="Times New Roman" w:cstheme="minorHAnsi"/>
                <w:color w:val="000000"/>
                <w:sz w:val="20"/>
                <w:szCs w:val="20"/>
              </w:rPr>
            </w:pPr>
            <w:r w:rsidRPr="008B69B9">
              <w:rPr>
                <w:rFonts w:ascii="Calibri" w:hAnsi="Calibri" w:cs="Calibri"/>
                <w:color w:val="0D0D0D"/>
                <w:sz w:val="20"/>
                <w:szCs w:val="20"/>
              </w:rPr>
              <w:t>26%</w:t>
            </w:r>
          </w:p>
        </w:tc>
        <w:tc>
          <w:tcPr>
            <w:tcW w:w="792" w:type="dxa"/>
            <w:tcBorders>
              <w:top w:val="nil"/>
              <w:left w:val="nil"/>
              <w:bottom w:val="nil"/>
              <w:right w:val="nil"/>
            </w:tcBorders>
            <w:shd w:val="clear" w:color="000000" w:fill="FFFFFF"/>
            <w:noWrap/>
            <w:vAlign w:val="bottom"/>
            <w:hideMark/>
          </w:tcPr>
          <w:p w14:paraId="687CECC0" w14:textId="1529AA09" w:rsidR="00B3204C" w:rsidRPr="008B69B9" w:rsidRDefault="00B3204C" w:rsidP="00B3204C">
            <w:pPr>
              <w:jc w:val="right"/>
              <w:rPr>
                <w:rFonts w:eastAsia="Times New Roman" w:cstheme="minorHAnsi"/>
                <w:color w:val="000000"/>
                <w:sz w:val="20"/>
                <w:szCs w:val="20"/>
              </w:rPr>
            </w:pPr>
            <w:r w:rsidRPr="008B69B9">
              <w:rPr>
                <w:rFonts w:ascii="Calibri" w:hAnsi="Calibri" w:cs="Calibri"/>
                <w:color w:val="0D0D0D"/>
                <w:sz w:val="20"/>
                <w:szCs w:val="20"/>
              </w:rPr>
              <w:t>25%</w:t>
            </w:r>
          </w:p>
        </w:tc>
        <w:tc>
          <w:tcPr>
            <w:tcW w:w="792" w:type="dxa"/>
            <w:tcBorders>
              <w:top w:val="nil"/>
              <w:left w:val="nil"/>
              <w:bottom w:val="nil"/>
              <w:right w:val="nil"/>
            </w:tcBorders>
            <w:shd w:val="clear" w:color="000000" w:fill="FFFFFF"/>
            <w:noWrap/>
            <w:vAlign w:val="bottom"/>
            <w:hideMark/>
          </w:tcPr>
          <w:p w14:paraId="1B936A0E" w14:textId="0CED418F" w:rsidR="00B3204C" w:rsidRPr="008B69B9" w:rsidRDefault="00B3204C" w:rsidP="00B3204C">
            <w:pPr>
              <w:jc w:val="right"/>
              <w:rPr>
                <w:rFonts w:eastAsia="Times New Roman" w:cstheme="minorHAnsi"/>
                <w:color w:val="000000"/>
                <w:sz w:val="20"/>
                <w:szCs w:val="20"/>
              </w:rPr>
            </w:pPr>
            <w:r w:rsidRPr="008B69B9">
              <w:rPr>
                <w:rFonts w:ascii="Calibri" w:hAnsi="Calibri" w:cs="Calibri"/>
                <w:color w:val="000000"/>
                <w:sz w:val="20"/>
                <w:szCs w:val="20"/>
              </w:rPr>
              <w:t>26%</w:t>
            </w:r>
          </w:p>
        </w:tc>
        <w:tc>
          <w:tcPr>
            <w:tcW w:w="792" w:type="dxa"/>
            <w:tcBorders>
              <w:top w:val="nil"/>
              <w:left w:val="nil"/>
              <w:bottom w:val="nil"/>
              <w:right w:val="nil"/>
            </w:tcBorders>
            <w:shd w:val="clear" w:color="000000" w:fill="FFFFFF"/>
            <w:noWrap/>
            <w:vAlign w:val="bottom"/>
            <w:hideMark/>
          </w:tcPr>
          <w:p w14:paraId="01585F93" w14:textId="67064C94" w:rsidR="00B3204C" w:rsidRPr="008B69B9" w:rsidRDefault="00B3204C" w:rsidP="00B3204C">
            <w:pPr>
              <w:jc w:val="right"/>
              <w:rPr>
                <w:rFonts w:eastAsia="Times New Roman" w:cstheme="minorHAnsi"/>
                <w:color w:val="000000"/>
                <w:sz w:val="20"/>
                <w:szCs w:val="20"/>
              </w:rPr>
            </w:pPr>
            <w:r w:rsidRPr="008B69B9">
              <w:rPr>
                <w:rFonts w:ascii="Calibri" w:hAnsi="Calibri" w:cs="Calibri"/>
                <w:color w:val="000000"/>
                <w:sz w:val="20"/>
                <w:szCs w:val="20"/>
              </w:rPr>
              <w:t>28%</w:t>
            </w:r>
          </w:p>
        </w:tc>
        <w:tc>
          <w:tcPr>
            <w:tcW w:w="752" w:type="dxa"/>
            <w:tcBorders>
              <w:top w:val="nil"/>
              <w:left w:val="nil"/>
              <w:bottom w:val="nil"/>
              <w:right w:val="nil"/>
            </w:tcBorders>
            <w:shd w:val="clear" w:color="000000" w:fill="FFFFFF"/>
            <w:noWrap/>
            <w:vAlign w:val="bottom"/>
            <w:hideMark/>
          </w:tcPr>
          <w:p w14:paraId="36573EA1" w14:textId="4071E86B" w:rsidR="00B3204C" w:rsidRPr="008B69B9" w:rsidRDefault="00B3204C" w:rsidP="00B3204C">
            <w:pPr>
              <w:jc w:val="right"/>
              <w:rPr>
                <w:rFonts w:eastAsia="Times New Roman" w:cstheme="minorHAnsi"/>
                <w:color w:val="000000"/>
                <w:sz w:val="20"/>
                <w:szCs w:val="20"/>
              </w:rPr>
            </w:pPr>
            <w:r w:rsidRPr="008B69B9">
              <w:rPr>
                <w:rFonts w:ascii="Calibri" w:hAnsi="Calibri" w:cs="Calibri"/>
                <w:color w:val="000000"/>
                <w:sz w:val="20"/>
                <w:szCs w:val="20"/>
              </w:rPr>
              <w:t>25%</w:t>
            </w:r>
          </w:p>
        </w:tc>
      </w:tr>
      <w:tr w:rsidR="00B3204C" w:rsidRPr="004E6649" w14:paraId="7C5F5889" w14:textId="77777777" w:rsidTr="008B69B9">
        <w:trPr>
          <w:trHeight w:val="80"/>
          <w:jc w:val="center"/>
        </w:trPr>
        <w:tc>
          <w:tcPr>
            <w:tcW w:w="2340" w:type="dxa"/>
            <w:tcBorders>
              <w:top w:val="nil"/>
              <w:left w:val="nil"/>
              <w:bottom w:val="nil"/>
              <w:right w:val="nil"/>
            </w:tcBorders>
            <w:shd w:val="clear" w:color="000000" w:fill="FFFFFF"/>
            <w:noWrap/>
            <w:vAlign w:val="bottom"/>
            <w:hideMark/>
          </w:tcPr>
          <w:p w14:paraId="47A26DE8" w14:textId="77777777" w:rsidR="00B3204C" w:rsidRPr="008B69B9" w:rsidRDefault="00B3204C" w:rsidP="00B3204C">
            <w:pPr>
              <w:rPr>
                <w:rFonts w:eastAsia="Times New Roman" w:cstheme="minorHAnsi"/>
                <w:color w:val="000000"/>
                <w:sz w:val="20"/>
                <w:szCs w:val="20"/>
              </w:rPr>
            </w:pPr>
            <w:r w:rsidRPr="008B69B9">
              <w:rPr>
                <w:rFonts w:eastAsia="Times New Roman" w:cstheme="minorHAnsi"/>
                <w:color w:val="000000"/>
                <w:sz w:val="20"/>
                <w:szCs w:val="20"/>
              </w:rPr>
              <w:t>Global Asset Allocation</w:t>
            </w:r>
          </w:p>
        </w:tc>
        <w:tc>
          <w:tcPr>
            <w:tcW w:w="792" w:type="dxa"/>
            <w:tcBorders>
              <w:top w:val="nil"/>
              <w:left w:val="nil"/>
              <w:bottom w:val="nil"/>
              <w:right w:val="nil"/>
            </w:tcBorders>
            <w:shd w:val="clear" w:color="000000" w:fill="FFFFFF"/>
            <w:noWrap/>
            <w:vAlign w:val="bottom"/>
            <w:hideMark/>
          </w:tcPr>
          <w:p w14:paraId="3D5F273C" w14:textId="03DB8068" w:rsidR="00B3204C" w:rsidRPr="008B69B9" w:rsidRDefault="00B3204C" w:rsidP="00B3204C">
            <w:pPr>
              <w:jc w:val="right"/>
              <w:rPr>
                <w:rFonts w:eastAsia="Times New Roman" w:cstheme="minorHAnsi"/>
                <w:color w:val="000000"/>
                <w:sz w:val="20"/>
                <w:szCs w:val="20"/>
              </w:rPr>
            </w:pPr>
            <w:r w:rsidRPr="008B69B9">
              <w:rPr>
                <w:rFonts w:ascii="Calibri" w:hAnsi="Calibri" w:cs="Calibri"/>
                <w:color w:val="0D0D0D"/>
                <w:sz w:val="20"/>
                <w:szCs w:val="20"/>
              </w:rPr>
              <w:t>8%</w:t>
            </w:r>
          </w:p>
        </w:tc>
        <w:tc>
          <w:tcPr>
            <w:tcW w:w="792" w:type="dxa"/>
            <w:tcBorders>
              <w:top w:val="nil"/>
              <w:left w:val="nil"/>
              <w:bottom w:val="nil"/>
              <w:right w:val="nil"/>
            </w:tcBorders>
            <w:shd w:val="clear" w:color="000000" w:fill="FFFFFF"/>
            <w:noWrap/>
            <w:vAlign w:val="bottom"/>
            <w:hideMark/>
          </w:tcPr>
          <w:p w14:paraId="06710D5B" w14:textId="2376793E" w:rsidR="00B3204C" w:rsidRPr="008B69B9" w:rsidRDefault="00B3204C" w:rsidP="00B3204C">
            <w:pPr>
              <w:jc w:val="right"/>
              <w:rPr>
                <w:rFonts w:eastAsia="Times New Roman" w:cstheme="minorHAnsi"/>
                <w:color w:val="000000"/>
                <w:sz w:val="20"/>
                <w:szCs w:val="20"/>
              </w:rPr>
            </w:pPr>
            <w:r w:rsidRPr="008B69B9">
              <w:rPr>
                <w:rFonts w:ascii="Calibri" w:hAnsi="Calibri" w:cs="Calibri"/>
                <w:color w:val="0D0D0D"/>
                <w:sz w:val="20"/>
                <w:szCs w:val="20"/>
              </w:rPr>
              <w:t>8%</w:t>
            </w:r>
          </w:p>
        </w:tc>
        <w:tc>
          <w:tcPr>
            <w:tcW w:w="792" w:type="dxa"/>
            <w:tcBorders>
              <w:top w:val="nil"/>
              <w:left w:val="nil"/>
              <w:bottom w:val="nil"/>
              <w:right w:val="nil"/>
            </w:tcBorders>
            <w:shd w:val="clear" w:color="000000" w:fill="FFFFFF"/>
            <w:noWrap/>
            <w:vAlign w:val="bottom"/>
            <w:hideMark/>
          </w:tcPr>
          <w:p w14:paraId="3A1A0665" w14:textId="13BB44A5" w:rsidR="00B3204C" w:rsidRPr="008B69B9" w:rsidRDefault="00B3204C" w:rsidP="00B3204C">
            <w:pPr>
              <w:jc w:val="right"/>
              <w:rPr>
                <w:rFonts w:eastAsia="Times New Roman" w:cstheme="minorHAnsi"/>
                <w:color w:val="000000"/>
                <w:sz w:val="20"/>
                <w:szCs w:val="20"/>
              </w:rPr>
            </w:pPr>
            <w:r w:rsidRPr="008B69B9">
              <w:rPr>
                <w:rFonts w:ascii="Calibri" w:hAnsi="Calibri" w:cs="Calibri"/>
                <w:color w:val="000000"/>
                <w:sz w:val="20"/>
                <w:szCs w:val="20"/>
              </w:rPr>
              <w:t>7%</w:t>
            </w:r>
          </w:p>
        </w:tc>
        <w:tc>
          <w:tcPr>
            <w:tcW w:w="792" w:type="dxa"/>
            <w:tcBorders>
              <w:top w:val="nil"/>
              <w:left w:val="nil"/>
              <w:bottom w:val="nil"/>
              <w:right w:val="nil"/>
            </w:tcBorders>
            <w:shd w:val="clear" w:color="000000" w:fill="FFFFFF"/>
            <w:noWrap/>
            <w:vAlign w:val="bottom"/>
            <w:hideMark/>
          </w:tcPr>
          <w:p w14:paraId="13741C39" w14:textId="00373AAB" w:rsidR="00B3204C" w:rsidRPr="008B69B9" w:rsidRDefault="00B3204C" w:rsidP="00B3204C">
            <w:pPr>
              <w:jc w:val="right"/>
              <w:rPr>
                <w:rFonts w:eastAsia="Times New Roman" w:cstheme="minorHAnsi"/>
                <w:color w:val="000000"/>
                <w:sz w:val="20"/>
                <w:szCs w:val="20"/>
              </w:rPr>
            </w:pPr>
            <w:r w:rsidRPr="008B69B9">
              <w:rPr>
                <w:rFonts w:ascii="Calibri" w:hAnsi="Calibri" w:cs="Calibri"/>
                <w:color w:val="000000"/>
                <w:sz w:val="20"/>
                <w:szCs w:val="20"/>
              </w:rPr>
              <w:t>8%</w:t>
            </w:r>
          </w:p>
        </w:tc>
        <w:tc>
          <w:tcPr>
            <w:tcW w:w="752" w:type="dxa"/>
            <w:tcBorders>
              <w:top w:val="nil"/>
              <w:left w:val="nil"/>
              <w:bottom w:val="nil"/>
              <w:right w:val="nil"/>
            </w:tcBorders>
            <w:shd w:val="clear" w:color="000000" w:fill="FFFFFF"/>
            <w:noWrap/>
            <w:vAlign w:val="bottom"/>
            <w:hideMark/>
          </w:tcPr>
          <w:p w14:paraId="686B6DC7" w14:textId="7A8081F8" w:rsidR="00B3204C" w:rsidRPr="008B69B9" w:rsidRDefault="00B3204C" w:rsidP="00B3204C">
            <w:pPr>
              <w:jc w:val="right"/>
              <w:rPr>
                <w:rFonts w:eastAsia="Times New Roman" w:cstheme="minorHAnsi"/>
                <w:color w:val="000000"/>
                <w:sz w:val="20"/>
                <w:szCs w:val="20"/>
              </w:rPr>
            </w:pPr>
            <w:r w:rsidRPr="008B69B9">
              <w:rPr>
                <w:rFonts w:ascii="Calibri" w:hAnsi="Calibri" w:cs="Calibri"/>
                <w:color w:val="000000"/>
                <w:sz w:val="20"/>
                <w:szCs w:val="20"/>
              </w:rPr>
              <w:t>7%</w:t>
            </w:r>
          </w:p>
        </w:tc>
      </w:tr>
      <w:tr w:rsidR="00B3204C" w:rsidRPr="004E6649" w14:paraId="36F9648E" w14:textId="77777777" w:rsidTr="008B69B9">
        <w:trPr>
          <w:trHeight w:val="80"/>
          <w:jc w:val="center"/>
        </w:trPr>
        <w:tc>
          <w:tcPr>
            <w:tcW w:w="2340" w:type="dxa"/>
            <w:tcBorders>
              <w:top w:val="nil"/>
              <w:left w:val="nil"/>
              <w:bottom w:val="nil"/>
              <w:right w:val="nil"/>
            </w:tcBorders>
            <w:shd w:val="clear" w:color="000000" w:fill="FFFFFF"/>
            <w:noWrap/>
            <w:vAlign w:val="bottom"/>
            <w:hideMark/>
          </w:tcPr>
          <w:p w14:paraId="70D47986" w14:textId="77777777" w:rsidR="00B3204C" w:rsidRPr="008B69B9" w:rsidRDefault="00B3204C" w:rsidP="00B3204C">
            <w:pPr>
              <w:rPr>
                <w:rFonts w:eastAsia="Times New Roman" w:cstheme="minorHAnsi"/>
                <w:color w:val="000000"/>
                <w:sz w:val="20"/>
                <w:szCs w:val="20"/>
              </w:rPr>
            </w:pPr>
            <w:r w:rsidRPr="008B69B9">
              <w:rPr>
                <w:rFonts w:eastAsia="Times New Roman" w:cstheme="minorHAnsi"/>
                <w:color w:val="000000"/>
                <w:sz w:val="20"/>
                <w:szCs w:val="20"/>
              </w:rPr>
              <w:t>Hedge Funds</w:t>
            </w:r>
          </w:p>
        </w:tc>
        <w:tc>
          <w:tcPr>
            <w:tcW w:w="792" w:type="dxa"/>
            <w:tcBorders>
              <w:top w:val="nil"/>
              <w:left w:val="nil"/>
              <w:bottom w:val="nil"/>
              <w:right w:val="nil"/>
            </w:tcBorders>
            <w:shd w:val="clear" w:color="000000" w:fill="FFFFFF"/>
            <w:noWrap/>
            <w:vAlign w:val="bottom"/>
            <w:hideMark/>
          </w:tcPr>
          <w:p w14:paraId="22471054" w14:textId="53A60586" w:rsidR="00B3204C" w:rsidRPr="008B69B9" w:rsidRDefault="00B3204C" w:rsidP="00B3204C">
            <w:pPr>
              <w:jc w:val="right"/>
              <w:rPr>
                <w:rFonts w:eastAsia="Times New Roman" w:cstheme="minorHAnsi"/>
                <w:color w:val="000000"/>
                <w:sz w:val="20"/>
                <w:szCs w:val="20"/>
              </w:rPr>
            </w:pPr>
            <w:r w:rsidRPr="008B69B9">
              <w:rPr>
                <w:rFonts w:ascii="Calibri" w:hAnsi="Calibri" w:cs="Calibri"/>
                <w:color w:val="0D0D0D"/>
                <w:sz w:val="20"/>
                <w:szCs w:val="20"/>
              </w:rPr>
              <w:t>7%</w:t>
            </w:r>
          </w:p>
        </w:tc>
        <w:tc>
          <w:tcPr>
            <w:tcW w:w="792" w:type="dxa"/>
            <w:tcBorders>
              <w:top w:val="nil"/>
              <w:left w:val="nil"/>
              <w:bottom w:val="nil"/>
              <w:right w:val="nil"/>
            </w:tcBorders>
            <w:shd w:val="clear" w:color="000000" w:fill="FFFFFF"/>
            <w:noWrap/>
            <w:vAlign w:val="bottom"/>
            <w:hideMark/>
          </w:tcPr>
          <w:p w14:paraId="1B4A29BB" w14:textId="160C74EE" w:rsidR="00B3204C" w:rsidRPr="008B69B9" w:rsidRDefault="00B3204C" w:rsidP="00B3204C">
            <w:pPr>
              <w:jc w:val="right"/>
              <w:rPr>
                <w:rFonts w:eastAsia="Times New Roman" w:cstheme="minorHAnsi"/>
                <w:color w:val="000000"/>
                <w:sz w:val="20"/>
                <w:szCs w:val="20"/>
              </w:rPr>
            </w:pPr>
            <w:r w:rsidRPr="008B69B9">
              <w:rPr>
                <w:rFonts w:ascii="Calibri" w:hAnsi="Calibri" w:cs="Calibri"/>
                <w:color w:val="0D0D0D"/>
                <w:sz w:val="20"/>
                <w:szCs w:val="20"/>
              </w:rPr>
              <w:t>7%</w:t>
            </w:r>
          </w:p>
        </w:tc>
        <w:tc>
          <w:tcPr>
            <w:tcW w:w="792" w:type="dxa"/>
            <w:tcBorders>
              <w:top w:val="nil"/>
              <w:left w:val="nil"/>
              <w:bottom w:val="nil"/>
              <w:right w:val="nil"/>
            </w:tcBorders>
            <w:shd w:val="clear" w:color="000000" w:fill="FFFFFF"/>
            <w:noWrap/>
            <w:vAlign w:val="bottom"/>
            <w:hideMark/>
          </w:tcPr>
          <w:p w14:paraId="072F9BCA" w14:textId="318FE84B" w:rsidR="00B3204C" w:rsidRPr="008B69B9" w:rsidRDefault="00B3204C" w:rsidP="00B3204C">
            <w:pPr>
              <w:jc w:val="right"/>
              <w:rPr>
                <w:rFonts w:eastAsia="Times New Roman" w:cstheme="minorHAnsi"/>
                <w:color w:val="000000"/>
                <w:sz w:val="20"/>
                <w:szCs w:val="20"/>
              </w:rPr>
            </w:pPr>
            <w:r w:rsidRPr="008B69B9">
              <w:rPr>
                <w:rFonts w:ascii="Calibri" w:hAnsi="Calibri" w:cs="Calibri"/>
                <w:color w:val="000000"/>
                <w:sz w:val="20"/>
                <w:szCs w:val="20"/>
              </w:rPr>
              <w:t>7%</w:t>
            </w:r>
          </w:p>
        </w:tc>
        <w:tc>
          <w:tcPr>
            <w:tcW w:w="792" w:type="dxa"/>
            <w:tcBorders>
              <w:top w:val="nil"/>
              <w:left w:val="nil"/>
              <w:bottom w:val="nil"/>
              <w:right w:val="nil"/>
            </w:tcBorders>
            <w:shd w:val="clear" w:color="000000" w:fill="FFFFFF"/>
            <w:noWrap/>
            <w:vAlign w:val="bottom"/>
            <w:hideMark/>
          </w:tcPr>
          <w:p w14:paraId="48785858" w14:textId="5299D943" w:rsidR="00B3204C" w:rsidRPr="008B69B9" w:rsidRDefault="00B3204C" w:rsidP="00B3204C">
            <w:pPr>
              <w:jc w:val="right"/>
              <w:rPr>
                <w:rFonts w:eastAsia="Times New Roman" w:cstheme="minorHAnsi"/>
                <w:color w:val="000000"/>
                <w:sz w:val="20"/>
                <w:szCs w:val="20"/>
              </w:rPr>
            </w:pPr>
            <w:r w:rsidRPr="008B69B9">
              <w:rPr>
                <w:rFonts w:ascii="Calibri" w:hAnsi="Calibri" w:cs="Calibri"/>
                <w:color w:val="000000"/>
                <w:sz w:val="20"/>
                <w:szCs w:val="20"/>
              </w:rPr>
              <w:t>9%</w:t>
            </w:r>
          </w:p>
        </w:tc>
        <w:tc>
          <w:tcPr>
            <w:tcW w:w="752" w:type="dxa"/>
            <w:tcBorders>
              <w:top w:val="nil"/>
              <w:left w:val="nil"/>
              <w:bottom w:val="nil"/>
              <w:right w:val="nil"/>
            </w:tcBorders>
            <w:shd w:val="clear" w:color="000000" w:fill="FFFFFF"/>
            <w:noWrap/>
            <w:vAlign w:val="bottom"/>
            <w:hideMark/>
          </w:tcPr>
          <w:p w14:paraId="4BE1F824" w14:textId="229A3563" w:rsidR="00B3204C" w:rsidRPr="008B69B9" w:rsidRDefault="00B3204C" w:rsidP="00B3204C">
            <w:pPr>
              <w:jc w:val="right"/>
              <w:rPr>
                <w:rFonts w:eastAsia="Times New Roman" w:cstheme="minorHAnsi"/>
                <w:color w:val="000000"/>
                <w:sz w:val="20"/>
                <w:szCs w:val="20"/>
              </w:rPr>
            </w:pPr>
            <w:r w:rsidRPr="008B69B9">
              <w:rPr>
                <w:rFonts w:ascii="Calibri" w:hAnsi="Calibri" w:cs="Calibri"/>
                <w:color w:val="000000"/>
                <w:sz w:val="20"/>
                <w:szCs w:val="20"/>
              </w:rPr>
              <w:t>7%</w:t>
            </w:r>
          </w:p>
        </w:tc>
      </w:tr>
      <w:tr w:rsidR="00B3204C" w:rsidRPr="004E6649" w14:paraId="56DF4601" w14:textId="77777777" w:rsidTr="008B69B9">
        <w:trPr>
          <w:trHeight w:val="80"/>
          <w:jc w:val="center"/>
        </w:trPr>
        <w:tc>
          <w:tcPr>
            <w:tcW w:w="2340" w:type="dxa"/>
            <w:tcBorders>
              <w:top w:val="nil"/>
              <w:left w:val="nil"/>
              <w:bottom w:val="nil"/>
              <w:right w:val="nil"/>
            </w:tcBorders>
            <w:shd w:val="clear" w:color="000000" w:fill="FFFFFF"/>
            <w:noWrap/>
            <w:vAlign w:val="bottom"/>
            <w:hideMark/>
          </w:tcPr>
          <w:p w14:paraId="6E30C428" w14:textId="77777777" w:rsidR="00B3204C" w:rsidRPr="008B69B9" w:rsidRDefault="00B3204C" w:rsidP="00B3204C">
            <w:pPr>
              <w:rPr>
                <w:rFonts w:eastAsia="Times New Roman" w:cstheme="minorHAnsi"/>
                <w:color w:val="000000"/>
                <w:sz w:val="20"/>
                <w:szCs w:val="20"/>
              </w:rPr>
            </w:pPr>
            <w:r w:rsidRPr="008B69B9">
              <w:rPr>
                <w:rFonts w:eastAsia="Times New Roman" w:cstheme="minorHAnsi"/>
                <w:color w:val="000000"/>
                <w:sz w:val="20"/>
                <w:szCs w:val="20"/>
              </w:rPr>
              <w:t>Private Equity</w:t>
            </w:r>
          </w:p>
        </w:tc>
        <w:tc>
          <w:tcPr>
            <w:tcW w:w="792" w:type="dxa"/>
            <w:tcBorders>
              <w:top w:val="nil"/>
              <w:left w:val="nil"/>
              <w:bottom w:val="nil"/>
              <w:right w:val="nil"/>
            </w:tcBorders>
            <w:shd w:val="clear" w:color="000000" w:fill="FFFFFF"/>
            <w:noWrap/>
            <w:vAlign w:val="bottom"/>
            <w:hideMark/>
          </w:tcPr>
          <w:p w14:paraId="5FE231C2" w14:textId="66FE86D1" w:rsidR="00B3204C" w:rsidRPr="008B69B9" w:rsidRDefault="00B3204C" w:rsidP="00B3204C">
            <w:pPr>
              <w:jc w:val="right"/>
              <w:rPr>
                <w:rFonts w:eastAsia="Times New Roman" w:cstheme="minorHAnsi"/>
                <w:color w:val="000000"/>
                <w:sz w:val="20"/>
                <w:szCs w:val="20"/>
              </w:rPr>
            </w:pPr>
            <w:r w:rsidRPr="008B69B9">
              <w:rPr>
                <w:rFonts w:ascii="Calibri" w:hAnsi="Calibri" w:cs="Calibri"/>
                <w:color w:val="0D0D0D"/>
                <w:sz w:val="20"/>
                <w:szCs w:val="20"/>
              </w:rPr>
              <w:t>0%</w:t>
            </w:r>
          </w:p>
        </w:tc>
        <w:tc>
          <w:tcPr>
            <w:tcW w:w="792" w:type="dxa"/>
            <w:tcBorders>
              <w:top w:val="nil"/>
              <w:left w:val="nil"/>
              <w:bottom w:val="nil"/>
              <w:right w:val="nil"/>
            </w:tcBorders>
            <w:shd w:val="clear" w:color="000000" w:fill="FFFFFF"/>
            <w:noWrap/>
            <w:vAlign w:val="bottom"/>
            <w:hideMark/>
          </w:tcPr>
          <w:p w14:paraId="039BC9CE" w14:textId="2EB8368D" w:rsidR="00B3204C" w:rsidRPr="008B69B9" w:rsidRDefault="00B3204C" w:rsidP="00B3204C">
            <w:pPr>
              <w:jc w:val="right"/>
              <w:rPr>
                <w:rFonts w:eastAsia="Times New Roman" w:cstheme="minorHAnsi"/>
                <w:color w:val="000000"/>
                <w:sz w:val="20"/>
                <w:szCs w:val="20"/>
              </w:rPr>
            </w:pPr>
            <w:r w:rsidRPr="008B69B9">
              <w:rPr>
                <w:rFonts w:ascii="Calibri" w:hAnsi="Calibri" w:cs="Calibri"/>
                <w:color w:val="0D0D0D"/>
                <w:sz w:val="20"/>
                <w:szCs w:val="20"/>
              </w:rPr>
              <w:t>0%</w:t>
            </w:r>
          </w:p>
        </w:tc>
        <w:tc>
          <w:tcPr>
            <w:tcW w:w="792" w:type="dxa"/>
            <w:tcBorders>
              <w:top w:val="nil"/>
              <w:left w:val="nil"/>
              <w:bottom w:val="nil"/>
              <w:right w:val="nil"/>
            </w:tcBorders>
            <w:shd w:val="clear" w:color="000000" w:fill="FFFFFF"/>
            <w:noWrap/>
            <w:vAlign w:val="bottom"/>
            <w:hideMark/>
          </w:tcPr>
          <w:p w14:paraId="0A998DA6" w14:textId="1BC7E9B5" w:rsidR="00B3204C" w:rsidRPr="008B69B9" w:rsidRDefault="00B3204C" w:rsidP="00B3204C">
            <w:pPr>
              <w:jc w:val="right"/>
              <w:rPr>
                <w:rFonts w:eastAsia="Times New Roman" w:cstheme="minorHAnsi"/>
                <w:color w:val="000000"/>
                <w:sz w:val="20"/>
                <w:szCs w:val="20"/>
              </w:rPr>
            </w:pPr>
            <w:r w:rsidRPr="008B69B9">
              <w:rPr>
                <w:rFonts w:ascii="Calibri" w:hAnsi="Calibri" w:cs="Calibri"/>
                <w:color w:val="000000"/>
                <w:sz w:val="20"/>
                <w:szCs w:val="20"/>
              </w:rPr>
              <w:t>1%</w:t>
            </w:r>
          </w:p>
        </w:tc>
        <w:tc>
          <w:tcPr>
            <w:tcW w:w="792" w:type="dxa"/>
            <w:tcBorders>
              <w:top w:val="nil"/>
              <w:left w:val="nil"/>
              <w:bottom w:val="nil"/>
              <w:right w:val="nil"/>
            </w:tcBorders>
            <w:shd w:val="clear" w:color="000000" w:fill="FFFFFF"/>
            <w:noWrap/>
            <w:vAlign w:val="bottom"/>
            <w:hideMark/>
          </w:tcPr>
          <w:p w14:paraId="3FDBDA6B" w14:textId="238E14CD" w:rsidR="00B3204C" w:rsidRPr="008B69B9" w:rsidRDefault="00B81858" w:rsidP="00B3204C">
            <w:pPr>
              <w:jc w:val="right"/>
              <w:rPr>
                <w:rFonts w:eastAsia="Times New Roman" w:cstheme="minorHAnsi"/>
                <w:color w:val="000000"/>
                <w:sz w:val="20"/>
                <w:szCs w:val="20"/>
              </w:rPr>
            </w:pPr>
            <w:r>
              <w:rPr>
                <w:rFonts w:ascii="Calibri" w:hAnsi="Calibri" w:cs="Calibri"/>
                <w:color w:val="000000"/>
                <w:sz w:val="20"/>
                <w:szCs w:val="20"/>
              </w:rPr>
              <w:t>0</w:t>
            </w:r>
            <w:r w:rsidR="00B3204C" w:rsidRPr="008B69B9">
              <w:rPr>
                <w:rFonts w:ascii="Calibri" w:hAnsi="Calibri" w:cs="Calibri"/>
                <w:color w:val="000000"/>
                <w:sz w:val="20"/>
                <w:szCs w:val="20"/>
              </w:rPr>
              <w:t>%</w:t>
            </w:r>
          </w:p>
        </w:tc>
        <w:tc>
          <w:tcPr>
            <w:tcW w:w="752" w:type="dxa"/>
            <w:tcBorders>
              <w:top w:val="nil"/>
              <w:left w:val="nil"/>
              <w:bottom w:val="nil"/>
              <w:right w:val="nil"/>
            </w:tcBorders>
            <w:shd w:val="clear" w:color="000000" w:fill="FFFFFF"/>
            <w:noWrap/>
            <w:vAlign w:val="bottom"/>
            <w:hideMark/>
          </w:tcPr>
          <w:p w14:paraId="70570ECA" w14:textId="225E4CAB" w:rsidR="00B3204C" w:rsidRPr="008B69B9" w:rsidRDefault="00B81858" w:rsidP="00B3204C">
            <w:pPr>
              <w:jc w:val="right"/>
              <w:rPr>
                <w:rFonts w:eastAsia="Times New Roman" w:cstheme="minorHAnsi"/>
                <w:color w:val="000000"/>
                <w:sz w:val="20"/>
                <w:szCs w:val="20"/>
              </w:rPr>
            </w:pPr>
            <w:r>
              <w:rPr>
                <w:rFonts w:ascii="Calibri" w:hAnsi="Calibri" w:cs="Calibri"/>
                <w:color w:val="000000"/>
                <w:sz w:val="20"/>
                <w:szCs w:val="20"/>
              </w:rPr>
              <w:t>0</w:t>
            </w:r>
            <w:r w:rsidR="00B3204C" w:rsidRPr="008B69B9">
              <w:rPr>
                <w:rFonts w:ascii="Calibri" w:hAnsi="Calibri" w:cs="Calibri"/>
                <w:color w:val="000000"/>
                <w:sz w:val="20"/>
                <w:szCs w:val="20"/>
              </w:rPr>
              <w:t>%</w:t>
            </w:r>
          </w:p>
        </w:tc>
      </w:tr>
      <w:tr w:rsidR="00B3204C" w:rsidRPr="004E6649" w14:paraId="41F83103" w14:textId="77777777" w:rsidTr="008B69B9">
        <w:trPr>
          <w:trHeight w:val="80"/>
          <w:jc w:val="center"/>
        </w:trPr>
        <w:tc>
          <w:tcPr>
            <w:tcW w:w="2340" w:type="dxa"/>
            <w:tcBorders>
              <w:top w:val="nil"/>
              <w:left w:val="nil"/>
              <w:bottom w:val="nil"/>
              <w:right w:val="nil"/>
            </w:tcBorders>
            <w:shd w:val="clear" w:color="000000" w:fill="FFFFFF"/>
            <w:noWrap/>
            <w:vAlign w:val="bottom"/>
            <w:hideMark/>
          </w:tcPr>
          <w:p w14:paraId="4E8D807C" w14:textId="77777777" w:rsidR="00B3204C" w:rsidRPr="008B69B9" w:rsidRDefault="00B3204C" w:rsidP="00B3204C">
            <w:pPr>
              <w:rPr>
                <w:rFonts w:eastAsia="Times New Roman" w:cstheme="minorHAnsi"/>
                <w:color w:val="000000"/>
                <w:sz w:val="20"/>
                <w:szCs w:val="20"/>
              </w:rPr>
            </w:pPr>
            <w:r w:rsidRPr="008B69B9">
              <w:rPr>
                <w:rFonts w:eastAsia="Times New Roman" w:cstheme="minorHAnsi"/>
                <w:color w:val="000000"/>
                <w:sz w:val="20"/>
                <w:szCs w:val="20"/>
              </w:rPr>
              <w:t>Cash</w:t>
            </w:r>
          </w:p>
        </w:tc>
        <w:tc>
          <w:tcPr>
            <w:tcW w:w="792" w:type="dxa"/>
            <w:tcBorders>
              <w:top w:val="nil"/>
              <w:left w:val="nil"/>
              <w:bottom w:val="nil"/>
              <w:right w:val="nil"/>
            </w:tcBorders>
            <w:shd w:val="clear" w:color="000000" w:fill="FFFFFF"/>
            <w:noWrap/>
            <w:vAlign w:val="bottom"/>
            <w:hideMark/>
          </w:tcPr>
          <w:p w14:paraId="2586F302" w14:textId="5845E19B" w:rsidR="00B3204C" w:rsidRPr="008B69B9" w:rsidRDefault="00B3204C" w:rsidP="00B3204C">
            <w:pPr>
              <w:jc w:val="right"/>
              <w:rPr>
                <w:rFonts w:eastAsia="Times New Roman" w:cstheme="minorHAnsi"/>
                <w:color w:val="000000"/>
                <w:sz w:val="20"/>
                <w:szCs w:val="20"/>
              </w:rPr>
            </w:pPr>
            <w:r w:rsidRPr="008B69B9">
              <w:rPr>
                <w:rFonts w:ascii="Calibri" w:hAnsi="Calibri" w:cs="Calibri"/>
                <w:color w:val="0D0D0D"/>
                <w:sz w:val="20"/>
                <w:szCs w:val="20"/>
              </w:rPr>
              <w:t>1%</w:t>
            </w:r>
          </w:p>
        </w:tc>
        <w:tc>
          <w:tcPr>
            <w:tcW w:w="792" w:type="dxa"/>
            <w:tcBorders>
              <w:top w:val="nil"/>
              <w:left w:val="nil"/>
              <w:bottom w:val="nil"/>
              <w:right w:val="nil"/>
            </w:tcBorders>
            <w:shd w:val="clear" w:color="000000" w:fill="FFFFFF"/>
            <w:noWrap/>
            <w:vAlign w:val="bottom"/>
            <w:hideMark/>
          </w:tcPr>
          <w:p w14:paraId="45256506" w14:textId="1F5CB6A2" w:rsidR="00B3204C" w:rsidRPr="008B69B9" w:rsidRDefault="00B3204C" w:rsidP="00B3204C">
            <w:pPr>
              <w:jc w:val="right"/>
              <w:rPr>
                <w:rFonts w:eastAsia="Times New Roman" w:cstheme="minorHAnsi"/>
                <w:color w:val="000000"/>
                <w:sz w:val="20"/>
                <w:szCs w:val="20"/>
              </w:rPr>
            </w:pPr>
            <w:r w:rsidRPr="008B69B9">
              <w:rPr>
                <w:rFonts w:ascii="Calibri" w:hAnsi="Calibri" w:cs="Calibri"/>
                <w:color w:val="0D0D0D"/>
                <w:sz w:val="20"/>
                <w:szCs w:val="20"/>
              </w:rPr>
              <w:t>8%</w:t>
            </w:r>
          </w:p>
        </w:tc>
        <w:tc>
          <w:tcPr>
            <w:tcW w:w="792" w:type="dxa"/>
            <w:tcBorders>
              <w:top w:val="nil"/>
              <w:left w:val="nil"/>
              <w:bottom w:val="nil"/>
              <w:right w:val="nil"/>
            </w:tcBorders>
            <w:shd w:val="clear" w:color="000000" w:fill="FFFFFF"/>
            <w:noWrap/>
            <w:vAlign w:val="bottom"/>
            <w:hideMark/>
          </w:tcPr>
          <w:p w14:paraId="46A17417" w14:textId="6789E266" w:rsidR="00B3204C" w:rsidRPr="008B69B9" w:rsidRDefault="00B3204C" w:rsidP="00B3204C">
            <w:pPr>
              <w:jc w:val="right"/>
              <w:rPr>
                <w:rFonts w:eastAsia="Times New Roman" w:cstheme="minorHAnsi"/>
                <w:color w:val="000000"/>
                <w:sz w:val="20"/>
                <w:szCs w:val="20"/>
              </w:rPr>
            </w:pPr>
            <w:r w:rsidRPr="008B69B9">
              <w:rPr>
                <w:rFonts w:ascii="Calibri" w:hAnsi="Calibri" w:cs="Calibri"/>
                <w:color w:val="000000"/>
                <w:sz w:val="20"/>
                <w:szCs w:val="20"/>
              </w:rPr>
              <w:t>1%</w:t>
            </w:r>
          </w:p>
        </w:tc>
        <w:tc>
          <w:tcPr>
            <w:tcW w:w="792" w:type="dxa"/>
            <w:tcBorders>
              <w:top w:val="nil"/>
              <w:left w:val="nil"/>
              <w:bottom w:val="nil"/>
              <w:right w:val="nil"/>
            </w:tcBorders>
            <w:shd w:val="clear" w:color="000000" w:fill="FFFFFF"/>
            <w:noWrap/>
            <w:vAlign w:val="bottom"/>
            <w:hideMark/>
          </w:tcPr>
          <w:p w14:paraId="3AEF7930" w14:textId="096589DC" w:rsidR="00B3204C" w:rsidRPr="008B69B9" w:rsidRDefault="00B81858" w:rsidP="00B3204C">
            <w:pPr>
              <w:jc w:val="right"/>
              <w:rPr>
                <w:rFonts w:eastAsia="Times New Roman" w:cstheme="minorHAnsi"/>
                <w:color w:val="000000"/>
                <w:sz w:val="20"/>
                <w:szCs w:val="20"/>
              </w:rPr>
            </w:pPr>
            <w:r>
              <w:rPr>
                <w:rFonts w:ascii="Calibri" w:hAnsi="Calibri" w:cs="Calibri"/>
                <w:color w:val="000000"/>
                <w:sz w:val="20"/>
                <w:szCs w:val="20"/>
              </w:rPr>
              <w:t>1</w:t>
            </w:r>
            <w:r w:rsidR="00B3204C" w:rsidRPr="008B69B9">
              <w:rPr>
                <w:rFonts w:ascii="Calibri" w:hAnsi="Calibri" w:cs="Calibri"/>
                <w:color w:val="000000"/>
                <w:sz w:val="20"/>
                <w:szCs w:val="20"/>
              </w:rPr>
              <w:t>%</w:t>
            </w:r>
          </w:p>
        </w:tc>
        <w:tc>
          <w:tcPr>
            <w:tcW w:w="752" w:type="dxa"/>
            <w:tcBorders>
              <w:top w:val="nil"/>
              <w:left w:val="nil"/>
              <w:bottom w:val="nil"/>
              <w:right w:val="nil"/>
            </w:tcBorders>
            <w:shd w:val="clear" w:color="000000" w:fill="FFFFFF"/>
            <w:noWrap/>
            <w:vAlign w:val="bottom"/>
            <w:hideMark/>
          </w:tcPr>
          <w:p w14:paraId="1008F052" w14:textId="78F06558" w:rsidR="00B3204C" w:rsidRPr="008B69B9" w:rsidRDefault="00B81858" w:rsidP="00B3204C">
            <w:pPr>
              <w:jc w:val="right"/>
              <w:rPr>
                <w:rFonts w:eastAsia="Times New Roman" w:cstheme="minorHAnsi"/>
                <w:color w:val="000000"/>
                <w:sz w:val="20"/>
                <w:szCs w:val="20"/>
              </w:rPr>
            </w:pPr>
            <w:r>
              <w:rPr>
                <w:rFonts w:ascii="Calibri" w:hAnsi="Calibri" w:cs="Calibri"/>
                <w:color w:val="000000"/>
                <w:sz w:val="20"/>
                <w:szCs w:val="20"/>
              </w:rPr>
              <w:t>1</w:t>
            </w:r>
            <w:r w:rsidR="00B3204C" w:rsidRPr="008B69B9">
              <w:rPr>
                <w:rFonts w:ascii="Calibri" w:hAnsi="Calibri" w:cs="Calibri"/>
                <w:color w:val="000000"/>
                <w:sz w:val="20"/>
                <w:szCs w:val="20"/>
              </w:rPr>
              <w:t>%</w:t>
            </w:r>
          </w:p>
        </w:tc>
      </w:tr>
      <w:tr w:rsidR="00B3204C" w:rsidRPr="00312EF9" w14:paraId="0EEC468C" w14:textId="77777777" w:rsidTr="008B69B9">
        <w:trPr>
          <w:trHeight w:val="70"/>
          <w:jc w:val="center"/>
        </w:trPr>
        <w:tc>
          <w:tcPr>
            <w:tcW w:w="2340" w:type="dxa"/>
            <w:tcBorders>
              <w:top w:val="nil"/>
              <w:left w:val="nil"/>
              <w:bottom w:val="nil"/>
              <w:right w:val="nil"/>
            </w:tcBorders>
            <w:shd w:val="clear" w:color="000000" w:fill="FFFFFF"/>
            <w:noWrap/>
            <w:vAlign w:val="bottom"/>
            <w:hideMark/>
          </w:tcPr>
          <w:p w14:paraId="697D14E8" w14:textId="77777777" w:rsidR="00B3204C" w:rsidRPr="008B69B9" w:rsidRDefault="00B3204C" w:rsidP="00B3204C">
            <w:pPr>
              <w:rPr>
                <w:rFonts w:eastAsia="Times New Roman" w:cstheme="minorHAnsi"/>
                <w:color w:val="000000"/>
                <w:sz w:val="20"/>
                <w:szCs w:val="20"/>
              </w:rPr>
            </w:pPr>
            <w:r w:rsidRPr="008B69B9">
              <w:rPr>
                <w:rFonts w:eastAsia="Times New Roman" w:cstheme="minorHAnsi"/>
                <w:color w:val="000000"/>
                <w:sz w:val="20"/>
                <w:szCs w:val="20"/>
              </w:rPr>
              <w:t> </w:t>
            </w:r>
          </w:p>
        </w:tc>
        <w:tc>
          <w:tcPr>
            <w:tcW w:w="792" w:type="dxa"/>
            <w:tcBorders>
              <w:top w:val="single" w:sz="4" w:space="0" w:color="auto"/>
              <w:left w:val="nil"/>
              <w:bottom w:val="double" w:sz="6" w:space="0" w:color="auto"/>
              <w:right w:val="nil"/>
            </w:tcBorders>
            <w:shd w:val="clear" w:color="000000" w:fill="FFFFFF"/>
            <w:noWrap/>
            <w:vAlign w:val="bottom"/>
            <w:hideMark/>
          </w:tcPr>
          <w:p w14:paraId="7E97F9CB" w14:textId="14983048" w:rsidR="00B3204C" w:rsidRPr="008B69B9" w:rsidRDefault="00B3204C" w:rsidP="00B3204C">
            <w:pPr>
              <w:jc w:val="right"/>
              <w:rPr>
                <w:rFonts w:eastAsia="Times New Roman" w:cstheme="minorHAnsi"/>
                <w:color w:val="000000"/>
                <w:sz w:val="20"/>
                <w:szCs w:val="20"/>
              </w:rPr>
            </w:pPr>
            <w:r w:rsidRPr="008B69B9">
              <w:rPr>
                <w:rFonts w:ascii="Calibri" w:hAnsi="Calibri" w:cs="Calibri"/>
                <w:color w:val="000000"/>
                <w:sz w:val="20"/>
                <w:szCs w:val="20"/>
              </w:rPr>
              <w:t>100%</w:t>
            </w:r>
          </w:p>
        </w:tc>
        <w:tc>
          <w:tcPr>
            <w:tcW w:w="792" w:type="dxa"/>
            <w:tcBorders>
              <w:top w:val="single" w:sz="4" w:space="0" w:color="auto"/>
              <w:left w:val="nil"/>
              <w:bottom w:val="double" w:sz="6" w:space="0" w:color="auto"/>
              <w:right w:val="nil"/>
            </w:tcBorders>
            <w:shd w:val="clear" w:color="000000" w:fill="FFFFFF"/>
            <w:noWrap/>
            <w:vAlign w:val="bottom"/>
            <w:hideMark/>
          </w:tcPr>
          <w:p w14:paraId="2756E812" w14:textId="3B9536F0" w:rsidR="00B3204C" w:rsidRPr="008B69B9" w:rsidRDefault="00B3204C" w:rsidP="00B3204C">
            <w:pPr>
              <w:jc w:val="right"/>
              <w:rPr>
                <w:rFonts w:eastAsia="Times New Roman" w:cstheme="minorHAnsi"/>
                <w:color w:val="000000"/>
                <w:sz w:val="20"/>
                <w:szCs w:val="20"/>
              </w:rPr>
            </w:pPr>
            <w:r w:rsidRPr="008B69B9">
              <w:rPr>
                <w:rFonts w:ascii="Calibri" w:hAnsi="Calibri" w:cs="Calibri"/>
                <w:color w:val="000000"/>
                <w:sz w:val="20"/>
                <w:szCs w:val="20"/>
              </w:rPr>
              <w:t>100%</w:t>
            </w:r>
          </w:p>
        </w:tc>
        <w:tc>
          <w:tcPr>
            <w:tcW w:w="792" w:type="dxa"/>
            <w:tcBorders>
              <w:top w:val="single" w:sz="4" w:space="0" w:color="auto"/>
              <w:left w:val="nil"/>
              <w:bottom w:val="double" w:sz="6" w:space="0" w:color="auto"/>
              <w:right w:val="nil"/>
            </w:tcBorders>
            <w:shd w:val="clear" w:color="000000" w:fill="FFFFFF"/>
            <w:noWrap/>
            <w:vAlign w:val="bottom"/>
            <w:hideMark/>
          </w:tcPr>
          <w:p w14:paraId="4C11AFD0" w14:textId="3670B5D6" w:rsidR="00B3204C" w:rsidRPr="008B69B9" w:rsidRDefault="00B3204C" w:rsidP="00B3204C">
            <w:pPr>
              <w:jc w:val="right"/>
              <w:rPr>
                <w:rFonts w:eastAsia="Times New Roman" w:cstheme="minorHAnsi"/>
                <w:color w:val="000000"/>
                <w:sz w:val="20"/>
                <w:szCs w:val="20"/>
              </w:rPr>
            </w:pPr>
            <w:r w:rsidRPr="008B69B9">
              <w:rPr>
                <w:rFonts w:ascii="Calibri" w:hAnsi="Calibri" w:cs="Calibri"/>
                <w:color w:val="000000"/>
                <w:sz w:val="20"/>
                <w:szCs w:val="20"/>
              </w:rPr>
              <w:t>100%</w:t>
            </w:r>
          </w:p>
        </w:tc>
        <w:tc>
          <w:tcPr>
            <w:tcW w:w="792" w:type="dxa"/>
            <w:tcBorders>
              <w:top w:val="single" w:sz="4" w:space="0" w:color="auto"/>
              <w:left w:val="nil"/>
              <w:bottom w:val="double" w:sz="6" w:space="0" w:color="auto"/>
              <w:right w:val="nil"/>
            </w:tcBorders>
            <w:shd w:val="clear" w:color="000000" w:fill="FFFFFF"/>
            <w:noWrap/>
            <w:vAlign w:val="bottom"/>
            <w:hideMark/>
          </w:tcPr>
          <w:p w14:paraId="5D929E05" w14:textId="7E8D4CE7" w:rsidR="00B3204C" w:rsidRPr="008B69B9" w:rsidRDefault="00B3204C" w:rsidP="00B3204C">
            <w:pPr>
              <w:jc w:val="right"/>
              <w:rPr>
                <w:rFonts w:eastAsia="Times New Roman" w:cstheme="minorHAnsi"/>
                <w:color w:val="000000"/>
                <w:sz w:val="20"/>
                <w:szCs w:val="20"/>
              </w:rPr>
            </w:pPr>
            <w:r w:rsidRPr="008B69B9">
              <w:rPr>
                <w:rFonts w:ascii="Calibri" w:hAnsi="Calibri" w:cs="Calibri"/>
                <w:color w:val="000000"/>
                <w:sz w:val="20"/>
                <w:szCs w:val="20"/>
              </w:rPr>
              <w:t>100%</w:t>
            </w:r>
          </w:p>
        </w:tc>
        <w:tc>
          <w:tcPr>
            <w:tcW w:w="752" w:type="dxa"/>
            <w:tcBorders>
              <w:top w:val="single" w:sz="4" w:space="0" w:color="auto"/>
              <w:left w:val="nil"/>
              <w:bottom w:val="double" w:sz="6" w:space="0" w:color="auto"/>
              <w:right w:val="nil"/>
            </w:tcBorders>
            <w:shd w:val="clear" w:color="000000" w:fill="FFFFFF"/>
            <w:noWrap/>
            <w:vAlign w:val="bottom"/>
            <w:hideMark/>
          </w:tcPr>
          <w:p w14:paraId="5CC50F64" w14:textId="4B64F318" w:rsidR="00B3204C" w:rsidRPr="008B69B9" w:rsidRDefault="00B3204C" w:rsidP="00B3204C">
            <w:pPr>
              <w:jc w:val="right"/>
              <w:rPr>
                <w:rFonts w:eastAsia="Times New Roman" w:cstheme="minorHAnsi"/>
                <w:color w:val="000000"/>
                <w:sz w:val="20"/>
                <w:szCs w:val="20"/>
              </w:rPr>
            </w:pPr>
            <w:r w:rsidRPr="008B69B9">
              <w:rPr>
                <w:rFonts w:ascii="Calibri" w:hAnsi="Calibri" w:cs="Calibri"/>
                <w:color w:val="000000"/>
                <w:sz w:val="20"/>
                <w:szCs w:val="20"/>
              </w:rPr>
              <w:t>100%</w:t>
            </w:r>
          </w:p>
        </w:tc>
      </w:tr>
    </w:tbl>
    <w:p w14:paraId="189EC977" w14:textId="1B045D8B" w:rsidR="00A83362" w:rsidRDefault="00A83362" w:rsidP="001E240E">
      <w:pPr>
        <w:tabs>
          <w:tab w:val="left" w:pos="4860"/>
        </w:tabs>
        <w:spacing w:before="160" w:after="120"/>
        <w:rPr>
          <w:rFonts w:eastAsia="Times New Roman" w:cstheme="minorHAnsi"/>
          <w:sz w:val="24"/>
          <w:szCs w:val="24"/>
        </w:rPr>
      </w:pPr>
      <w:r w:rsidRPr="004E6649">
        <w:rPr>
          <w:rFonts w:eastAsia="Times New Roman" w:cstheme="minorHAnsi"/>
          <w:sz w:val="24"/>
          <w:szCs w:val="24"/>
        </w:rPr>
        <w:t>As</w:t>
      </w:r>
      <w:r w:rsidRPr="004E6649">
        <w:rPr>
          <w:rFonts w:eastAsia="Times New Roman" w:cstheme="minorHAnsi"/>
          <w:sz w:val="24"/>
        </w:rPr>
        <w:t xml:space="preserve"> shown in </w:t>
      </w:r>
      <w:r w:rsidR="00312EF9">
        <w:rPr>
          <w:rFonts w:eastAsia="Times New Roman" w:cstheme="minorHAnsi"/>
          <w:sz w:val="24"/>
        </w:rPr>
        <w:t xml:space="preserve">Chart 4 </w:t>
      </w:r>
      <w:r w:rsidR="001E240E" w:rsidRPr="004E6649">
        <w:rPr>
          <w:rFonts w:eastAsia="Times New Roman" w:cstheme="minorHAnsi"/>
          <w:sz w:val="24"/>
        </w:rPr>
        <w:t>below</w:t>
      </w:r>
      <w:r w:rsidRPr="004E6649">
        <w:rPr>
          <w:rFonts w:eastAsia="Times New Roman" w:cstheme="minorHAnsi"/>
          <w:sz w:val="24"/>
        </w:rPr>
        <w:t xml:space="preserve">, </w:t>
      </w:r>
      <w:r w:rsidRPr="004E6649">
        <w:rPr>
          <w:rFonts w:eastAsia="Times New Roman" w:cstheme="minorHAnsi"/>
          <w:sz w:val="24"/>
          <w:szCs w:val="24"/>
        </w:rPr>
        <w:t xml:space="preserve">in </w:t>
      </w:r>
      <w:r w:rsidR="007A395B" w:rsidRPr="004E6649">
        <w:rPr>
          <w:rFonts w:eastAsia="Times New Roman" w:cstheme="minorHAnsi"/>
          <w:sz w:val="24"/>
          <w:szCs w:val="24"/>
        </w:rPr>
        <w:t>FY2</w:t>
      </w:r>
      <w:r w:rsidR="007A395B">
        <w:rPr>
          <w:rFonts w:eastAsia="Times New Roman" w:cstheme="minorHAnsi"/>
          <w:sz w:val="24"/>
          <w:szCs w:val="24"/>
        </w:rPr>
        <w:t>5</w:t>
      </w:r>
      <w:r w:rsidR="007A395B" w:rsidRPr="004E6649">
        <w:rPr>
          <w:rFonts w:eastAsia="Times New Roman" w:cstheme="minorHAnsi"/>
          <w:sz w:val="24"/>
          <w:szCs w:val="24"/>
        </w:rPr>
        <w:t xml:space="preserve"> </w:t>
      </w:r>
      <w:r w:rsidRPr="004E6649">
        <w:rPr>
          <w:rFonts w:eastAsia="Times New Roman" w:cstheme="minorHAnsi"/>
          <w:sz w:val="24"/>
          <w:szCs w:val="24"/>
        </w:rPr>
        <w:t xml:space="preserve">the MIP realized a net of fees </w:t>
      </w:r>
      <w:r w:rsidR="00E22D21" w:rsidRPr="004E6649">
        <w:rPr>
          <w:rFonts w:eastAsia="Times New Roman" w:cstheme="minorHAnsi"/>
          <w:sz w:val="24"/>
          <w:szCs w:val="24"/>
        </w:rPr>
        <w:t xml:space="preserve">return </w:t>
      </w:r>
      <w:r w:rsidRPr="004E6649">
        <w:rPr>
          <w:rFonts w:eastAsia="Times New Roman" w:cstheme="minorHAnsi"/>
          <w:sz w:val="24"/>
          <w:szCs w:val="24"/>
        </w:rPr>
        <w:t xml:space="preserve">of </w:t>
      </w:r>
      <w:r w:rsidR="007A395B">
        <w:rPr>
          <w:rFonts w:eastAsia="Times New Roman" w:cstheme="minorHAnsi"/>
          <w:sz w:val="24"/>
          <w:szCs w:val="24"/>
        </w:rPr>
        <w:t>9.7</w:t>
      </w:r>
      <w:r w:rsidRPr="004E6649">
        <w:rPr>
          <w:rFonts w:eastAsia="Times New Roman" w:cstheme="minorHAnsi"/>
          <w:sz w:val="24"/>
          <w:szCs w:val="24"/>
        </w:rPr>
        <w:t xml:space="preserve">%, </w:t>
      </w:r>
      <w:r w:rsidR="007A395B">
        <w:rPr>
          <w:rFonts w:eastAsia="Times New Roman" w:cstheme="minorHAnsi"/>
          <w:sz w:val="24"/>
          <w:szCs w:val="24"/>
        </w:rPr>
        <w:t>down</w:t>
      </w:r>
      <w:r w:rsidR="007A395B" w:rsidRPr="004E6649">
        <w:rPr>
          <w:rFonts w:eastAsia="Times New Roman" w:cstheme="minorHAnsi"/>
          <w:sz w:val="24"/>
          <w:szCs w:val="24"/>
        </w:rPr>
        <w:t xml:space="preserve"> </w:t>
      </w:r>
      <w:r w:rsidRPr="004E6649">
        <w:rPr>
          <w:rFonts w:eastAsia="Times New Roman" w:cstheme="minorHAnsi"/>
          <w:sz w:val="24"/>
          <w:szCs w:val="24"/>
        </w:rPr>
        <w:t xml:space="preserve">from a </w:t>
      </w:r>
      <w:r w:rsidR="0004167B">
        <w:rPr>
          <w:rFonts w:eastAsia="Times New Roman" w:cstheme="minorHAnsi"/>
          <w:sz w:val="24"/>
          <w:szCs w:val="24"/>
        </w:rPr>
        <w:t>return</w:t>
      </w:r>
      <w:r w:rsidRPr="004E6649">
        <w:rPr>
          <w:rFonts w:eastAsia="Times New Roman" w:cstheme="minorHAnsi"/>
          <w:sz w:val="24"/>
          <w:szCs w:val="24"/>
        </w:rPr>
        <w:t xml:space="preserve"> of </w:t>
      </w:r>
      <w:r w:rsidR="001E240E" w:rsidRPr="004E6649">
        <w:rPr>
          <w:rFonts w:eastAsia="Times New Roman" w:cstheme="minorHAnsi"/>
          <w:sz w:val="24"/>
          <w:szCs w:val="24"/>
        </w:rPr>
        <w:t>1</w:t>
      </w:r>
      <w:r w:rsidR="007A395B">
        <w:rPr>
          <w:rFonts w:eastAsia="Times New Roman" w:cstheme="minorHAnsi"/>
          <w:sz w:val="24"/>
          <w:szCs w:val="24"/>
        </w:rPr>
        <w:t>1.9</w:t>
      </w:r>
      <w:r w:rsidRPr="004E6649">
        <w:rPr>
          <w:rFonts w:eastAsia="Times New Roman" w:cstheme="minorHAnsi"/>
          <w:sz w:val="24"/>
          <w:szCs w:val="24"/>
        </w:rPr>
        <w:t xml:space="preserve">% in </w:t>
      </w:r>
      <w:r w:rsidR="007A395B" w:rsidRPr="004E6649">
        <w:rPr>
          <w:rFonts w:eastAsia="Times New Roman" w:cstheme="minorHAnsi"/>
          <w:sz w:val="24"/>
          <w:szCs w:val="24"/>
        </w:rPr>
        <w:t>FY2</w:t>
      </w:r>
      <w:r w:rsidR="007A395B">
        <w:rPr>
          <w:rFonts w:eastAsia="Times New Roman" w:cstheme="minorHAnsi"/>
          <w:sz w:val="24"/>
          <w:szCs w:val="24"/>
        </w:rPr>
        <w:t>4</w:t>
      </w:r>
      <w:r w:rsidRPr="004E6649">
        <w:rPr>
          <w:rFonts w:eastAsia="Times New Roman" w:cstheme="minorHAnsi"/>
          <w:sz w:val="24"/>
          <w:szCs w:val="24"/>
        </w:rPr>
        <w:t xml:space="preserve">. The pooled investments have a 5-year annualized net of fees return of </w:t>
      </w:r>
      <w:r w:rsidR="007A395B">
        <w:rPr>
          <w:rFonts w:eastAsia="Times New Roman" w:cstheme="minorHAnsi"/>
          <w:sz w:val="24"/>
          <w:szCs w:val="24"/>
        </w:rPr>
        <w:t>8.6</w:t>
      </w:r>
      <w:r w:rsidRPr="004E6649">
        <w:rPr>
          <w:rFonts w:eastAsia="Times New Roman" w:cstheme="minorHAnsi"/>
          <w:sz w:val="24"/>
          <w:szCs w:val="24"/>
        </w:rPr>
        <w:t>%.</w:t>
      </w:r>
    </w:p>
    <w:p w14:paraId="3D2E1603" w14:textId="5FA3D130" w:rsidR="00254258" w:rsidRPr="004E6649" w:rsidRDefault="00B3204C" w:rsidP="00254258">
      <w:pPr>
        <w:tabs>
          <w:tab w:val="left" w:pos="9900"/>
        </w:tabs>
        <w:spacing w:before="160" w:after="120"/>
        <w:jc w:val="center"/>
        <w:rPr>
          <w:rFonts w:eastAsia="Times New Roman" w:cstheme="minorHAnsi"/>
          <w:sz w:val="24"/>
          <w:szCs w:val="24"/>
        </w:rPr>
      </w:pPr>
      <w:r>
        <w:rPr>
          <w:noProof/>
          <w14:ligatures w14:val="standardContextual"/>
        </w:rPr>
        <w:drawing>
          <wp:inline distT="0" distB="0" distL="0" distR="0" wp14:anchorId="3232D51D" wp14:editId="79B92508">
            <wp:extent cx="4507992" cy="3200400"/>
            <wp:effectExtent l="0" t="0" r="6985" b="0"/>
            <wp:docPr id="191508614" name="Chart 1" descr="Chart 4: Total Return - Net of Fees">
              <a:extLst xmlns:a="http://schemas.openxmlformats.org/drawingml/2006/main">
                <a:ext uri="{FF2B5EF4-FFF2-40B4-BE49-F238E27FC236}">
                  <a16:creationId xmlns:a16="http://schemas.microsoft.com/office/drawing/2014/main" id="{00000000-0008-0000-02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0E5599" w:rsidDel="000E5599">
        <w:rPr>
          <w:noProof/>
          <w14:ligatures w14:val="standardContextual"/>
        </w:rPr>
        <w:t xml:space="preserve"> </w:t>
      </w:r>
    </w:p>
    <w:tbl>
      <w:tblPr>
        <w:tblW w:w="2340" w:type="dxa"/>
        <w:jc w:val="center"/>
        <w:tblLook w:val="04A0" w:firstRow="1" w:lastRow="0" w:firstColumn="1" w:lastColumn="0" w:noHBand="0" w:noVBand="1"/>
      </w:tblPr>
      <w:tblGrid>
        <w:gridCol w:w="760"/>
        <w:gridCol w:w="1580"/>
      </w:tblGrid>
      <w:tr w:rsidR="001E240E" w:rsidRPr="004E6649" w14:paraId="165AD6B8" w14:textId="77777777" w:rsidTr="004D3BC1">
        <w:trPr>
          <w:trHeight w:val="485"/>
          <w:jc w:val="center"/>
        </w:trPr>
        <w:tc>
          <w:tcPr>
            <w:tcW w:w="760" w:type="dxa"/>
            <w:tcBorders>
              <w:top w:val="single" w:sz="4" w:space="0" w:color="000000"/>
              <w:left w:val="nil"/>
              <w:bottom w:val="single" w:sz="4" w:space="0" w:color="000000"/>
              <w:right w:val="nil"/>
            </w:tcBorders>
            <w:vAlign w:val="bottom"/>
            <w:hideMark/>
          </w:tcPr>
          <w:p w14:paraId="01357BE2" w14:textId="5B270406" w:rsidR="001E240E" w:rsidRPr="00156FC4" w:rsidRDefault="001E240E" w:rsidP="001E240E">
            <w:pPr>
              <w:rPr>
                <w:rFonts w:eastAsia="Times New Roman" w:cstheme="minorHAnsi"/>
                <w:b/>
                <w:bCs/>
                <w:sz w:val="20"/>
                <w:szCs w:val="20"/>
              </w:rPr>
            </w:pPr>
            <w:r w:rsidRPr="00156FC4">
              <w:rPr>
                <w:rFonts w:eastAsia="Times New Roman" w:cstheme="minorHAnsi"/>
                <w:b/>
                <w:bCs/>
                <w:sz w:val="20"/>
                <w:szCs w:val="20"/>
              </w:rPr>
              <w:t>Fiscal</w:t>
            </w:r>
            <w:r w:rsidR="005735BA" w:rsidRPr="00156FC4">
              <w:rPr>
                <w:rFonts w:eastAsia="Times New Roman" w:cstheme="minorHAnsi"/>
                <w:b/>
                <w:bCs/>
                <w:sz w:val="20"/>
                <w:szCs w:val="20"/>
              </w:rPr>
              <w:t xml:space="preserve"> </w:t>
            </w:r>
            <w:r w:rsidRPr="00156FC4">
              <w:rPr>
                <w:rFonts w:eastAsia="Times New Roman" w:cstheme="minorHAnsi"/>
                <w:b/>
                <w:bCs/>
                <w:sz w:val="20"/>
                <w:szCs w:val="20"/>
              </w:rPr>
              <w:t>Year</w:t>
            </w:r>
          </w:p>
        </w:tc>
        <w:tc>
          <w:tcPr>
            <w:tcW w:w="1580" w:type="dxa"/>
            <w:tcBorders>
              <w:top w:val="single" w:sz="4" w:space="0" w:color="000000"/>
              <w:left w:val="nil"/>
              <w:bottom w:val="single" w:sz="4" w:space="0" w:color="000000"/>
              <w:right w:val="nil"/>
            </w:tcBorders>
            <w:vAlign w:val="bottom"/>
            <w:hideMark/>
          </w:tcPr>
          <w:p w14:paraId="7BDE3316" w14:textId="02D23AEB" w:rsidR="001E240E" w:rsidRPr="004D3BC1" w:rsidRDefault="001E240E" w:rsidP="001E240E">
            <w:pPr>
              <w:jc w:val="center"/>
              <w:rPr>
                <w:rFonts w:eastAsia="Times New Roman" w:cstheme="minorHAnsi"/>
                <w:b/>
                <w:bCs/>
                <w:sz w:val="20"/>
                <w:szCs w:val="20"/>
              </w:rPr>
            </w:pPr>
            <w:r w:rsidRPr="004D3BC1">
              <w:rPr>
                <w:rFonts w:eastAsia="Times New Roman" w:cstheme="minorHAnsi"/>
                <w:b/>
                <w:bCs/>
                <w:sz w:val="20"/>
                <w:szCs w:val="20"/>
              </w:rPr>
              <w:t>Total Return - Net of Fees</w:t>
            </w:r>
          </w:p>
        </w:tc>
      </w:tr>
      <w:tr w:rsidR="00B3204C" w:rsidRPr="004E6649" w14:paraId="1686D846" w14:textId="77777777" w:rsidTr="004D3BC1">
        <w:trPr>
          <w:trHeight w:val="170"/>
          <w:jc w:val="center"/>
        </w:trPr>
        <w:tc>
          <w:tcPr>
            <w:tcW w:w="760" w:type="dxa"/>
            <w:tcBorders>
              <w:top w:val="nil"/>
              <w:left w:val="nil"/>
              <w:bottom w:val="nil"/>
              <w:right w:val="nil"/>
            </w:tcBorders>
            <w:noWrap/>
            <w:vAlign w:val="bottom"/>
            <w:hideMark/>
          </w:tcPr>
          <w:p w14:paraId="35EC1C4C" w14:textId="6D18E47A" w:rsidR="00B3204C" w:rsidRPr="00156FC4" w:rsidRDefault="00B3204C" w:rsidP="00B3204C">
            <w:pPr>
              <w:jc w:val="right"/>
              <w:rPr>
                <w:rFonts w:eastAsia="Times New Roman" w:cstheme="minorHAnsi"/>
                <w:sz w:val="20"/>
                <w:szCs w:val="20"/>
              </w:rPr>
            </w:pPr>
            <w:r w:rsidRPr="00156FC4">
              <w:rPr>
                <w:rFonts w:eastAsia="Times New Roman" w:cstheme="minorHAnsi"/>
                <w:sz w:val="20"/>
                <w:szCs w:val="20"/>
              </w:rPr>
              <w:t>2021</w:t>
            </w:r>
          </w:p>
        </w:tc>
        <w:tc>
          <w:tcPr>
            <w:tcW w:w="1580" w:type="dxa"/>
            <w:tcBorders>
              <w:top w:val="nil"/>
              <w:left w:val="nil"/>
              <w:bottom w:val="nil"/>
              <w:right w:val="nil"/>
            </w:tcBorders>
            <w:noWrap/>
            <w:vAlign w:val="bottom"/>
            <w:hideMark/>
          </w:tcPr>
          <w:p w14:paraId="3E066614" w14:textId="403DCA1F" w:rsidR="00B3204C" w:rsidRPr="00156FC4" w:rsidRDefault="00B3204C" w:rsidP="00B3204C">
            <w:pPr>
              <w:jc w:val="right"/>
              <w:rPr>
                <w:rFonts w:eastAsia="Times New Roman" w:cstheme="minorHAnsi"/>
                <w:sz w:val="20"/>
                <w:szCs w:val="20"/>
              </w:rPr>
            </w:pPr>
            <w:r w:rsidRPr="00156FC4">
              <w:rPr>
                <w:rFonts w:eastAsia="Times New Roman" w:cstheme="minorHAnsi"/>
                <w:sz w:val="20"/>
                <w:szCs w:val="20"/>
              </w:rPr>
              <w:t>27.1%</w:t>
            </w:r>
          </w:p>
        </w:tc>
      </w:tr>
      <w:tr w:rsidR="00B3204C" w:rsidRPr="004E6649" w14:paraId="5D97CEFA" w14:textId="77777777" w:rsidTr="004D3BC1">
        <w:trPr>
          <w:trHeight w:val="108"/>
          <w:jc w:val="center"/>
        </w:trPr>
        <w:tc>
          <w:tcPr>
            <w:tcW w:w="760" w:type="dxa"/>
            <w:tcBorders>
              <w:top w:val="nil"/>
              <w:left w:val="nil"/>
              <w:bottom w:val="nil"/>
              <w:right w:val="nil"/>
            </w:tcBorders>
            <w:noWrap/>
            <w:vAlign w:val="bottom"/>
            <w:hideMark/>
          </w:tcPr>
          <w:p w14:paraId="4E23A216" w14:textId="7519EC62" w:rsidR="00B3204C" w:rsidRPr="00156FC4" w:rsidRDefault="00B3204C" w:rsidP="00B3204C">
            <w:pPr>
              <w:jc w:val="right"/>
              <w:rPr>
                <w:rFonts w:eastAsia="Times New Roman" w:cstheme="minorHAnsi"/>
                <w:sz w:val="20"/>
                <w:szCs w:val="20"/>
              </w:rPr>
            </w:pPr>
            <w:r w:rsidRPr="00156FC4">
              <w:rPr>
                <w:rFonts w:eastAsia="Times New Roman" w:cstheme="minorHAnsi"/>
                <w:sz w:val="20"/>
                <w:szCs w:val="20"/>
              </w:rPr>
              <w:t>2022</w:t>
            </w:r>
          </w:p>
        </w:tc>
        <w:tc>
          <w:tcPr>
            <w:tcW w:w="1580" w:type="dxa"/>
            <w:tcBorders>
              <w:top w:val="nil"/>
              <w:left w:val="nil"/>
              <w:bottom w:val="nil"/>
              <w:right w:val="nil"/>
            </w:tcBorders>
            <w:noWrap/>
            <w:vAlign w:val="bottom"/>
            <w:hideMark/>
          </w:tcPr>
          <w:p w14:paraId="480E09B9" w14:textId="195D9EFC" w:rsidR="00B3204C" w:rsidRPr="00156FC4" w:rsidRDefault="00B3204C" w:rsidP="00B3204C">
            <w:pPr>
              <w:jc w:val="right"/>
              <w:rPr>
                <w:rFonts w:eastAsia="Times New Roman" w:cstheme="minorHAnsi"/>
                <w:sz w:val="20"/>
                <w:szCs w:val="20"/>
              </w:rPr>
            </w:pPr>
            <w:r w:rsidRPr="00156FC4">
              <w:rPr>
                <w:rFonts w:eastAsia="Times New Roman" w:cstheme="minorHAnsi"/>
                <w:sz w:val="20"/>
                <w:szCs w:val="20"/>
              </w:rPr>
              <w:t>-12.5%</w:t>
            </w:r>
          </w:p>
        </w:tc>
      </w:tr>
      <w:tr w:rsidR="00B3204C" w:rsidRPr="004E6649" w14:paraId="5DBFEB4C" w14:textId="77777777" w:rsidTr="004D3BC1">
        <w:trPr>
          <w:trHeight w:val="80"/>
          <w:jc w:val="center"/>
        </w:trPr>
        <w:tc>
          <w:tcPr>
            <w:tcW w:w="760" w:type="dxa"/>
            <w:tcBorders>
              <w:top w:val="nil"/>
              <w:left w:val="nil"/>
              <w:bottom w:val="nil"/>
              <w:right w:val="nil"/>
            </w:tcBorders>
            <w:noWrap/>
            <w:vAlign w:val="bottom"/>
            <w:hideMark/>
          </w:tcPr>
          <w:p w14:paraId="23EC45AF" w14:textId="4965ECC5" w:rsidR="00B3204C" w:rsidRPr="00156FC4" w:rsidRDefault="00B3204C" w:rsidP="00B3204C">
            <w:pPr>
              <w:jc w:val="right"/>
              <w:rPr>
                <w:rFonts w:eastAsia="Times New Roman" w:cstheme="minorHAnsi"/>
                <w:sz w:val="20"/>
                <w:szCs w:val="20"/>
              </w:rPr>
            </w:pPr>
            <w:r w:rsidRPr="00156FC4">
              <w:rPr>
                <w:rFonts w:eastAsia="Times New Roman" w:cstheme="minorHAnsi"/>
                <w:sz w:val="20"/>
                <w:szCs w:val="20"/>
              </w:rPr>
              <w:t>2023</w:t>
            </w:r>
          </w:p>
        </w:tc>
        <w:tc>
          <w:tcPr>
            <w:tcW w:w="1580" w:type="dxa"/>
            <w:tcBorders>
              <w:top w:val="nil"/>
              <w:left w:val="nil"/>
              <w:bottom w:val="nil"/>
              <w:right w:val="nil"/>
            </w:tcBorders>
            <w:noWrap/>
            <w:vAlign w:val="bottom"/>
            <w:hideMark/>
          </w:tcPr>
          <w:p w14:paraId="3A39FD87" w14:textId="28A24EBD" w:rsidR="00B3204C" w:rsidRPr="00156FC4" w:rsidRDefault="00B3204C" w:rsidP="00B3204C">
            <w:pPr>
              <w:jc w:val="right"/>
              <w:rPr>
                <w:rFonts w:eastAsia="Times New Roman" w:cstheme="minorHAnsi"/>
                <w:sz w:val="20"/>
                <w:szCs w:val="20"/>
              </w:rPr>
            </w:pPr>
            <w:r w:rsidRPr="00156FC4">
              <w:rPr>
                <w:rFonts w:eastAsia="Times New Roman" w:cstheme="minorHAnsi"/>
                <w:sz w:val="20"/>
                <w:szCs w:val="20"/>
              </w:rPr>
              <w:t>10.6%</w:t>
            </w:r>
          </w:p>
        </w:tc>
      </w:tr>
      <w:tr w:rsidR="00B3204C" w:rsidRPr="004E6649" w14:paraId="509E0EBA" w14:textId="77777777" w:rsidTr="004D3BC1">
        <w:trPr>
          <w:trHeight w:val="80"/>
          <w:jc w:val="center"/>
        </w:trPr>
        <w:tc>
          <w:tcPr>
            <w:tcW w:w="760" w:type="dxa"/>
            <w:tcBorders>
              <w:top w:val="nil"/>
              <w:left w:val="nil"/>
              <w:bottom w:val="nil"/>
              <w:right w:val="nil"/>
            </w:tcBorders>
            <w:noWrap/>
            <w:vAlign w:val="bottom"/>
            <w:hideMark/>
          </w:tcPr>
          <w:p w14:paraId="26B2B8D9" w14:textId="4FACC06C" w:rsidR="00B3204C" w:rsidRPr="00156FC4" w:rsidRDefault="00B3204C" w:rsidP="00B3204C">
            <w:pPr>
              <w:jc w:val="right"/>
              <w:rPr>
                <w:rFonts w:eastAsia="Times New Roman" w:cstheme="minorHAnsi"/>
                <w:sz w:val="20"/>
                <w:szCs w:val="20"/>
              </w:rPr>
            </w:pPr>
            <w:r w:rsidRPr="00156FC4">
              <w:rPr>
                <w:rFonts w:eastAsia="Times New Roman" w:cstheme="minorHAnsi"/>
                <w:sz w:val="20"/>
                <w:szCs w:val="20"/>
              </w:rPr>
              <w:t>2024</w:t>
            </w:r>
          </w:p>
        </w:tc>
        <w:tc>
          <w:tcPr>
            <w:tcW w:w="1580" w:type="dxa"/>
            <w:tcBorders>
              <w:top w:val="nil"/>
              <w:left w:val="nil"/>
              <w:bottom w:val="nil"/>
              <w:right w:val="nil"/>
            </w:tcBorders>
            <w:noWrap/>
            <w:vAlign w:val="bottom"/>
            <w:hideMark/>
          </w:tcPr>
          <w:p w14:paraId="316A2870" w14:textId="4E1EFE87" w:rsidR="00B3204C" w:rsidRPr="00156FC4" w:rsidRDefault="00B3204C" w:rsidP="00B3204C">
            <w:pPr>
              <w:jc w:val="right"/>
              <w:rPr>
                <w:rFonts w:eastAsia="Times New Roman" w:cstheme="minorHAnsi"/>
                <w:sz w:val="20"/>
                <w:szCs w:val="20"/>
              </w:rPr>
            </w:pPr>
            <w:r w:rsidRPr="00156FC4">
              <w:rPr>
                <w:rFonts w:eastAsia="Times New Roman" w:cstheme="minorHAnsi"/>
                <w:sz w:val="20"/>
                <w:szCs w:val="20"/>
              </w:rPr>
              <w:t> 11.9%</w:t>
            </w:r>
          </w:p>
        </w:tc>
      </w:tr>
      <w:tr w:rsidR="001E240E" w:rsidRPr="004E6649" w14:paraId="142A4D03" w14:textId="77777777" w:rsidTr="004D3BC1">
        <w:trPr>
          <w:trHeight w:val="90"/>
          <w:jc w:val="center"/>
        </w:trPr>
        <w:tc>
          <w:tcPr>
            <w:tcW w:w="760" w:type="dxa"/>
            <w:tcBorders>
              <w:top w:val="nil"/>
              <w:left w:val="nil"/>
              <w:bottom w:val="single" w:sz="4" w:space="0" w:color="000000"/>
              <w:right w:val="nil"/>
            </w:tcBorders>
            <w:noWrap/>
            <w:vAlign w:val="bottom"/>
            <w:hideMark/>
          </w:tcPr>
          <w:p w14:paraId="5AA7DEB2" w14:textId="5E1D3162" w:rsidR="001E240E" w:rsidRPr="00156FC4" w:rsidRDefault="001E240E" w:rsidP="001E240E">
            <w:pPr>
              <w:jc w:val="right"/>
              <w:rPr>
                <w:rFonts w:eastAsia="Times New Roman" w:cstheme="minorHAnsi"/>
                <w:sz w:val="20"/>
                <w:szCs w:val="20"/>
              </w:rPr>
            </w:pPr>
            <w:r w:rsidRPr="00156FC4">
              <w:rPr>
                <w:rFonts w:eastAsia="Times New Roman" w:cstheme="minorHAnsi"/>
                <w:sz w:val="20"/>
                <w:szCs w:val="20"/>
              </w:rPr>
              <w:t>202</w:t>
            </w:r>
            <w:r w:rsidR="00B3204C">
              <w:rPr>
                <w:rFonts w:eastAsia="Times New Roman" w:cstheme="minorHAnsi"/>
                <w:sz w:val="20"/>
                <w:szCs w:val="20"/>
              </w:rPr>
              <w:t>5</w:t>
            </w:r>
          </w:p>
        </w:tc>
        <w:tc>
          <w:tcPr>
            <w:tcW w:w="1580" w:type="dxa"/>
            <w:tcBorders>
              <w:top w:val="nil"/>
              <w:left w:val="nil"/>
              <w:bottom w:val="single" w:sz="4" w:space="0" w:color="000000"/>
              <w:right w:val="nil"/>
            </w:tcBorders>
            <w:noWrap/>
            <w:vAlign w:val="bottom"/>
            <w:hideMark/>
          </w:tcPr>
          <w:p w14:paraId="7517266E" w14:textId="625C45A0" w:rsidR="001E240E" w:rsidRPr="00156FC4" w:rsidRDefault="00B3204C" w:rsidP="0004167B">
            <w:pPr>
              <w:jc w:val="right"/>
              <w:rPr>
                <w:rFonts w:eastAsia="Times New Roman" w:cstheme="minorHAnsi"/>
                <w:sz w:val="20"/>
                <w:szCs w:val="20"/>
              </w:rPr>
            </w:pPr>
            <w:r>
              <w:rPr>
                <w:rFonts w:eastAsia="Times New Roman" w:cstheme="minorHAnsi"/>
                <w:sz w:val="20"/>
                <w:szCs w:val="20"/>
              </w:rPr>
              <w:t>9.7%</w:t>
            </w:r>
          </w:p>
        </w:tc>
      </w:tr>
    </w:tbl>
    <w:p w14:paraId="03944986" w14:textId="3A08C049" w:rsidR="00A83362" w:rsidRPr="004E6649" w:rsidRDefault="00A83362" w:rsidP="00A83362">
      <w:pPr>
        <w:pStyle w:val="AFR3"/>
        <w:rPr>
          <w:rFonts w:cstheme="minorHAnsi"/>
          <w:sz w:val="24"/>
          <w:szCs w:val="20"/>
        </w:rPr>
      </w:pPr>
      <w:r w:rsidRPr="004E6649">
        <w:rPr>
          <w:rFonts w:cstheme="minorHAnsi"/>
          <w:sz w:val="24"/>
          <w:szCs w:val="20"/>
        </w:rPr>
        <w:t>Endowments (Including Affiliates)</w:t>
      </w:r>
    </w:p>
    <w:p w14:paraId="6AD55638" w14:textId="77777777" w:rsidR="00A83362" w:rsidRPr="004E6649" w:rsidRDefault="00A83362" w:rsidP="00A83362">
      <w:pPr>
        <w:tabs>
          <w:tab w:val="left" w:pos="4860"/>
        </w:tabs>
        <w:rPr>
          <w:rFonts w:eastAsia="Times New Roman" w:cstheme="minorHAnsi"/>
          <w:sz w:val="24"/>
        </w:rPr>
      </w:pPr>
      <w:r w:rsidRPr="004E6649">
        <w:rPr>
          <w:rFonts w:eastAsia="Times New Roman" w:cstheme="minorHAnsi"/>
          <w:sz w:val="24"/>
        </w:rPr>
        <w:t>Endowments are generally created from donor gifts or bequests with the funds invested to create present and future income with the original amount of the gift (corpus) retained in perpetuity and are considered restricted non-expendable. If the donor established criteria to determine how the expendable amounts are to be used, such amounts are considered restricted expendable. If the use of expendable amounts is left to the discretion of the System, the endowment income and appreciation are considered unrestricted.</w:t>
      </w:r>
    </w:p>
    <w:p w14:paraId="2964B620" w14:textId="42A2ACB8" w:rsidR="00A83362" w:rsidRPr="004E6649" w:rsidRDefault="00A83362" w:rsidP="00A83362">
      <w:pPr>
        <w:rPr>
          <w:rFonts w:eastAsia="Times New Roman" w:cstheme="minorHAnsi"/>
          <w:sz w:val="24"/>
          <w:szCs w:val="24"/>
        </w:rPr>
      </w:pPr>
      <w:r w:rsidRPr="004E6649">
        <w:rPr>
          <w:rFonts w:eastAsia="Times New Roman" w:cstheme="minorHAnsi"/>
          <w:sz w:val="24"/>
          <w:szCs w:val="24"/>
        </w:rPr>
        <w:lastRenderedPageBreak/>
        <w:t>As mentioned in the previous MIP section, the System uses a pooled investment approach for its endowments (unless otherwise specified by the donor) and the endowments of three affiliates. Affiliates investing in the endowment pool include: the University of Maine at Fort Kent Foundation, the University of Southern Maine Foundation</w:t>
      </w:r>
      <w:r w:rsidR="006405F6">
        <w:rPr>
          <w:rFonts w:eastAsia="Times New Roman" w:cstheme="minorHAnsi"/>
          <w:sz w:val="24"/>
          <w:szCs w:val="24"/>
        </w:rPr>
        <w:t xml:space="preserve"> [redeemed July 1, 2024]</w:t>
      </w:r>
      <w:r w:rsidRPr="004E6649">
        <w:rPr>
          <w:rFonts w:eastAsia="Times New Roman" w:cstheme="minorHAnsi"/>
          <w:sz w:val="24"/>
          <w:szCs w:val="24"/>
        </w:rPr>
        <w:t>, and the John L. Martin Scholarship Fund, Inc.</w:t>
      </w:r>
    </w:p>
    <w:p w14:paraId="17ABC5CA" w14:textId="77777777" w:rsidR="00A83362" w:rsidRPr="004E6649" w:rsidRDefault="00A83362" w:rsidP="00A83362">
      <w:pPr>
        <w:ind w:left="360"/>
        <w:rPr>
          <w:rFonts w:eastAsia="Times New Roman" w:cstheme="minorHAnsi"/>
          <w:sz w:val="20"/>
          <w:szCs w:val="24"/>
        </w:rPr>
      </w:pPr>
    </w:p>
    <w:p w14:paraId="33CF99E5" w14:textId="21A2A4DB" w:rsidR="00A83362" w:rsidRPr="0004167B" w:rsidRDefault="00A83362" w:rsidP="00A83362">
      <w:pPr>
        <w:rPr>
          <w:rFonts w:eastAsia="Times New Roman" w:cstheme="minorHAnsi"/>
          <w:color w:val="FF0000"/>
          <w:sz w:val="24"/>
          <w:szCs w:val="24"/>
        </w:rPr>
      </w:pPr>
      <w:r w:rsidRPr="004E6649">
        <w:rPr>
          <w:rFonts w:eastAsia="Times New Roman" w:cstheme="minorHAnsi"/>
          <w:sz w:val="24"/>
          <w:szCs w:val="24"/>
        </w:rPr>
        <w:t>As shown</w:t>
      </w:r>
      <w:r w:rsidR="00644E56" w:rsidRPr="004E6649">
        <w:rPr>
          <w:rFonts w:eastAsia="Times New Roman" w:cstheme="minorHAnsi"/>
          <w:sz w:val="24"/>
          <w:szCs w:val="24"/>
        </w:rPr>
        <w:t xml:space="preserve"> below</w:t>
      </w:r>
      <w:r w:rsidRPr="004E6649">
        <w:rPr>
          <w:rFonts w:eastAsia="Times New Roman" w:cstheme="minorHAnsi"/>
          <w:sz w:val="24"/>
          <w:szCs w:val="24"/>
        </w:rPr>
        <w:t>, the UMS and its affiliates</w:t>
      </w:r>
      <w:r w:rsidR="000E7902" w:rsidRPr="004E6649">
        <w:rPr>
          <w:rFonts w:eastAsia="Times New Roman" w:cstheme="minorHAnsi"/>
          <w:sz w:val="24"/>
          <w:szCs w:val="24"/>
        </w:rPr>
        <w:t>’</w:t>
      </w:r>
      <w:r w:rsidRPr="004E6649">
        <w:rPr>
          <w:rFonts w:eastAsia="Times New Roman" w:cstheme="minorHAnsi"/>
          <w:sz w:val="24"/>
          <w:szCs w:val="24"/>
        </w:rPr>
        <w:t xml:space="preserve"> share of these pooled endowment investments had a fair value of $</w:t>
      </w:r>
      <w:r w:rsidR="000C0CBF">
        <w:rPr>
          <w:rFonts w:eastAsia="Times New Roman" w:cstheme="minorHAnsi"/>
          <w:sz w:val="24"/>
          <w:szCs w:val="24"/>
        </w:rPr>
        <w:t>175</w:t>
      </w:r>
      <w:r w:rsidR="000C0CBF" w:rsidRPr="004E6649">
        <w:rPr>
          <w:rFonts w:eastAsia="Times New Roman" w:cstheme="minorHAnsi"/>
          <w:sz w:val="24"/>
          <w:szCs w:val="24"/>
        </w:rPr>
        <w:t xml:space="preserve"> </w:t>
      </w:r>
      <w:r w:rsidRPr="004E6649">
        <w:rPr>
          <w:rFonts w:eastAsia="Times New Roman" w:cstheme="minorHAnsi"/>
          <w:sz w:val="24"/>
          <w:szCs w:val="24"/>
        </w:rPr>
        <w:t xml:space="preserve">million at June 30, </w:t>
      </w:r>
      <w:r w:rsidR="00765FC3" w:rsidRPr="004E6649">
        <w:rPr>
          <w:rFonts w:eastAsia="Times New Roman" w:cstheme="minorHAnsi"/>
          <w:sz w:val="24"/>
          <w:szCs w:val="24"/>
        </w:rPr>
        <w:t>202</w:t>
      </w:r>
      <w:r w:rsidR="00765FC3">
        <w:rPr>
          <w:rFonts w:eastAsia="Times New Roman" w:cstheme="minorHAnsi"/>
          <w:sz w:val="24"/>
          <w:szCs w:val="24"/>
        </w:rPr>
        <w:t>5</w:t>
      </w:r>
      <w:r w:rsidRPr="004E6649">
        <w:rPr>
          <w:rFonts w:eastAsia="Times New Roman" w:cstheme="minorHAnsi"/>
          <w:sz w:val="24"/>
          <w:szCs w:val="24"/>
        </w:rPr>
        <w:t xml:space="preserve">, a </w:t>
      </w:r>
      <w:r w:rsidR="00765FC3">
        <w:rPr>
          <w:rFonts w:eastAsia="Times New Roman" w:cstheme="minorHAnsi"/>
          <w:sz w:val="24"/>
          <w:szCs w:val="24"/>
        </w:rPr>
        <w:t>de</w:t>
      </w:r>
      <w:r w:rsidRPr="004E6649">
        <w:rPr>
          <w:rFonts w:eastAsia="Times New Roman" w:cstheme="minorHAnsi"/>
          <w:sz w:val="24"/>
          <w:szCs w:val="24"/>
        </w:rPr>
        <w:t>crease of $</w:t>
      </w:r>
      <w:r w:rsidR="000C0CBF">
        <w:rPr>
          <w:rFonts w:eastAsia="Times New Roman" w:cstheme="minorHAnsi"/>
          <w:sz w:val="24"/>
          <w:szCs w:val="24"/>
        </w:rPr>
        <w:t>22</w:t>
      </w:r>
      <w:r w:rsidR="000C0CBF" w:rsidRPr="004E6649">
        <w:rPr>
          <w:rFonts w:eastAsia="Times New Roman" w:cstheme="minorHAnsi"/>
          <w:sz w:val="24"/>
          <w:szCs w:val="24"/>
        </w:rPr>
        <w:t xml:space="preserve"> </w:t>
      </w:r>
      <w:r w:rsidRPr="004E6649">
        <w:rPr>
          <w:rFonts w:eastAsia="Times New Roman" w:cstheme="minorHAnsi"/>
          <w:sz w:val="24"/>
          <w:szCs w:val="24"/>
        </w:rPr>
        <w:t xml:space="preserve">million from the prior year. </w:t>
      </w:r>
      <w:r w:rsidRPr="003E6AFD">
        <w:rPr>
          <w:rFonts w:eastAsia="Times New Roman" w:cstheme="minorHAnsi"/>
          <w:color w:val="000000" w:themeColor="text1"/>
          <w:sz w:val="24"/>
          <w:szCs w:val="24"/>
        </w:rPr>
        <w:t xml:space="preserve">This included an </w:t>
      </w:r>
      <w:r w:rsidRPr="00C1377C">
        <w:rPr>
          <w:rFonts w:eastAsia="Times New Roman" w:cstheme="minorHAnsi"/>
          <w:color w:val="000000" w:themeColor="text1"/>
          <w:sz w:val="24"/>
          <w:szCs w:val="24"/>
        </w:rPr>
        <w:t>increase of $</w:t>
      </w:r>
      <w:r w:rsidR="00C1377C" w:rsidRPr="008B69B9">
        <w:rPr>
          <w:rFonts w:eastAsia="Times New Roman" w:cstheme="minorHAnsi"/>
          <w:color w:val="000000" w:themeColor="text1"/>
          <w:sz w:val="24"/>
          <w:szCs w:val="24"/>
        </w:rPr>
        <w:t>16</w:t>
      </w:r>
      <w:r w:rsidR="00C1377C" w:rsidRPr="00C1377C">
        <w:rPr>
          <w:rFonts w:eastAsia="Times New Roman" w:cstheme="minorHAnsi"/>
          <w:color w:val="000000" w:themeColor="text1"/>
          <w:sz w:val="24"/>
          <w:szCs w:val="24"/>
        </w:rPr>
        <w:t xml:space="preserve"> </w:t>
      </w:r>
      <w:r w:rsidRPr="00C1377C">
        <w:rPr>
          <w:rFonts w:eastAsia="Times New Roman" w:cstheme="minorHAnsi"/>
          <w:color w:val="000000" w:themeColor="text1"/>
          <w:sz w:val="24"/>
          <w:szCs w:val="24"/>
        </w:rPr>
        <w:t>million in positive net performance less $</w:t>
      </w:r>
      <w:r w:rsidR="00854555">
        <w:rPr>
          <w:rFonts w:eastAsia="Times New Roman" w:cstheme="minorHAnsi"/>
          <w:color w:val="000000" w:themeColor="text1"/>
          <w:sz w:val="24"/>
          <w:szCs w:val="24"/>
        </w:rPr>
        <w:t>7</w:t>
      </w:r>
      <w:r w:rsidR="00C1377C" w:rsidRPr="00C1377C">
        <w:rPr>
          <w:rFonts w:eastAsia="Times New Roman" w:cstheme="minorHAnsi"/>
          <w:color w:val="000000" w:themeColor="text1"/>
          <w:sz w:val="24"/>
          <w:szCs w:val="24"/>
        </w:rPr>
        <w:t xml:space="preserve"> </w:t>
      </w:r>
      <w:r w:rsidRPr="00C1377C">
        <w:rPr>
          <w:rFonts w:eastAsia="Times New Roman" w:cstheme="minorHAnsi"/>
          <w:color w:val="000000" w:themeColor="text1"/>
          <w:sz w:val="24"/>
          <w:szCs w:val="24"/>
        </w:rPr>
        <w:t>million distributed for scholarships and other operating activities offset by contributions of $</w:t>
      </w:r>
      <w:r w:rsidR="00854555">
        <w:rPr>
          <w:rFonts w:eastAsia="Times New Roman" w:cstheme="minorHAnsi"/>
          <w:color w:val="000000" w:themeColor="text1"/>
          <w:sz w:val="24"/>
          <w:szCs w:val="24"/>
        </w:rPr>
        <w:t>3</w:t>
      </w:r>
      <w:r w:rsidR="00854555" w:rsidRPr="00C1377C">
        <w:rPr>
          <w:rFonts w:eastAsia="Times New Roman" w:cstheme="minorHAnsi"/>
          <w:color w:val="000000" w:themeColor="text1"/>
          <w:sz w:val="24"/>
          <w:szCs w:val="24"/>
        </w:rPr>
        <w:t xml:space="preserve"> </w:t>
      </w:r>
      <w:r w:rsidRPr="00C1377C">
        <w:rPr>
          <w:rFonts w:eastAsia="Times New Roman" w:cstheme="minorHAnsi"/>
          <w:color w:val="000000" w:themeColor="text1"/>
          <w:sz w:val="24"/>
          <w:szCs w:val="24"/>
        </w:rPr>
        <w:t>million</w:t>
      </w:r>
      <w:r w:rsidR="00C1377C" w:rsidRPr="008B69B9">
        <w:rPr>
          <w:rFonts w:eastAsia="Times New Roman" w:cstheme="minorHAnsi"/>
          <w:color w:val="000000" w:themeColor="text1"/>
          <w:sz w:val="24"/>
          <w:szCs w:val="24"/>
        </w:rPr>
        <w:t xml:space="preserve"> less $34 million distributed as part of the USM Foundation withdrawal from the pool</w:t>
      </w:r>
      <w:r w:rsidRPr="00C1377C">
        <w:rPr>
          <w:rFonts w:eastAsia="Times New Roman" w:cstheme="minorHAnsi"/>
          <w:color w:val="000000" w:themeColor="text1"/>
          <w:sz w:val="24"/>
          <w:szCs w:val="24"/>
        </w:rPr>
        <w:t>.</w:t>
      </w:r>
    </w:p>
    <w:p w14:paraId="3E4FB2EB" w14:textId="77777777" w:rsidR="00A83362" w:rsidRPr="004E6649" w:rsidRDefault="00A83362" w:rsidP="00A83362">
      <w:pPr>
        <w:ind w:left="360"/>
        <w:rPr>
          <w:rFonts w:eastAsia="Times New Roman" w:cstheme="minorHAnsi"/>
          <w:sz w:val="20"/>
          <w:szCs w:val="24"/>
        </w:rPr>
      </w:pPr>
    </w:p>
    <w:p w14:paraId="128FBB37" w14:textId="2BC1231F" w:rsidR="00A83362" w:rsidRDefault="00A83362" w:rsidP="00A83362">
      <w:pPr>
        <w:spacing w:after="240"/>
        <w:rPr>
          <w:rFonts w:eastAsia="Times New Roman" w:cstheme="minorHAnsi"/>
          <w:sz w:val="24"/>
          <w:szCs w:val="24"/>
        </w:rPr>
      </w:pPr>
      <w:r w:rsidRPr="004E6649">
        <w:rPr>
          <w:rFonts w:eastAsia="Times New Roman" w:cstheme="minorHAnsi"/>
          <w:sz w:val="24"/>
          <w:szCs w:val="24"/>
        </w:rPr>
        <w:t xml:space="preserve">The pool’s June 30, </w:t>
      </w:r>
      <w:r w:rsidR="00B3204C" w:rsidRPr="004E6649">
        <w:rPr>
          <w:rFonts w:eastAsia="Times New Roman" w:cstheme="minorHAnsi"/>
          <w:sz w:val="24"/>
          <w:szCs w:val="24"/>
        </w:rPr>
        <w:t>202</w:t>
      </w:r>
      <w:r w:rsidR="00B3204C">
        <w:rPr>
          <w:rFonts w:eastAsia="Times New Roman" w:cstheme="minorHAnsi"/>
          <w:sz w:val="24"/>
          <w:szCs w:val="24"/>
        </w:rPr>
        <w:t>4</w:t>
      </w:r>
      <w:r w:rsidR="00B3204C" w:rsidRPr="004E6649">
        <w:rPr>
          <w:rFonts w:eastAsia="Times New Roman" w:cstheme="minorHAnsi"/>
          <w:sz w:val="24"/>
          <w:szCs w:val="24"/>
        </w:rPr>
        <w:t xml:space="preserve"> </w:t>
      </w:r>
      <w:r w:rsidRPr="004E6649">
        <w:rPr>
          <w:rFonts w:eastAsia="Times New Roman" w:cstheme="minorHAnsi"/>
          <w:sz w:val="24"/>
          <w:szCs w:val="24"/>
        </w:rPr>
        <w:t>fair value of $</w:t>
      </w:r>
      <w:r w:rsidR="00B3204C" w:rsidRPr="004E6649">
        <w:rPr>
          <w:rFonts w:eastAsia="Times New Roman" w:cstheme="minorHAnsi"/>
          <w:sz w:val="24"/>
          <w:szCs w:val="24"/>
        </w:rPr>
        <w:t>1</w:t>
      </w:r>
      <w:r w:rsidR="00B3204C">
        <w:rPr>
          <w:rFonts w:eastAsia="Times New Roman" w:cstheme="minorHAnsi"/>
          <w:sz w:val="24"/>
          <w:szCs w:val="24"/>
        </w:rPr>
        <w:t>97</w:t>
      </w:r>
      <w:r w:rsidR="00B3204C" w:rsidRPr="004E6649">
        <w:rPr>
          <w:rFonts w:eastAsia="Times New Roman" w:cstheme="minorHAnsi"/>
          <w:sz w:val="24"/>
          <w:szCs w:val="24"/>
        </w:rPr>
        <w:t xml:space="preserve"> </w:t>
      </w:r>
      <w:r w:rsidRPr="004E6649">
        <w:rPr>
          <w:rFonts w:eastAsia="Times New Roman" w:cstheme="minorHAnsi"/>
          <w:sz w:val="24"/>
          <w:szCs w:val="24"/>
        </w:rPr>
        <w:t xml:space="preserve">million had </w:t>
      </w:r>
      <w:r w:rsidR="0004167B">
        <w:rPr>
          <w:rFonts w:eastAsia="Times New Roman" w:cstheme="minorHAnsi"/>
          <w:sz w:val="24"/>
          <w:szCs w:val="24"/>
        </w:rPr>
        <w:t>in</w:t>
      </w:r>
      <w:r w:rsidRPr="004E6649">
        <w:rPr>
          <w:rFonts w:eastAsia="Times New Roman" w:cstheme="minorHAnsi"/>
          <w:sz w:val="24"/>
          <w:szCs w:val="24"/>
        </w:rPr>
        <w:t>creased $</w:t>
      </w:r>
      <w:r w:rsidR="00B3204C">
        <w:rPr>
          <w:rFonts w:eastAsia="Times New Roman" w:cstheme="minorHAnsi"/>
          <w:sz w:val="24"/>
          <w:szCs w:val="24"/>
        </w:rPr>
        <w:t>15</w:t>
      </w:r>
      <w:r w:rsidR="00B3204C" w:rsidRPr="004E6649">
        <w:rPr>
          <w:rFonts w:eastAsia="Times New Roman" w:cstheme="minorHAnsi"/>
          <w:sz w:val="24"/>
          <w:szCs w:val="24"/>
        </w:rPr>
        <w:t xml:space="preserve"> </w:t>
      </w:r>
      <w:r w:rsidRPr="004E6649">
        <w:rPr>
          <w:rFonts w:eastAsia="Times New Roman" w:cstheme="minorHAnsi"/>
          <w:sz w:val="24"/>
          <w:szCs w:val="24"/>
        </w:rPr>
        <w:t xml:space="preserve">million from the </w:t>
      </w:r>
      <w:r w:rsidR="00B3204C" w:rsidRPr="004E6649">
        <w:rPr>
          <w:rFonts w:eastAsia="Times New Roman" w:cstheme="minorHAnsi"/>
          <w:sz w:val="24"/>
          <w:szCs w:val="24"/>
        </w:rPr>
        <w:t>202</w:t>
      </w:r>
      <w:r w:rsidR="00B3204C">
        <w:rPr>
          <w:rFonts w:eastAsia="Times New Roman" w:cstheme="minorHAnsi"/>
          <w:sz w:val="24"/>
          <w:szCs w:val="24"/>
        </w:rPr>
        <w:t>3</w:t>
      </w:r>
      <w:r w:rsidR="00B3204C" w:rsidRPr="004E6649">
        <w:rPr>
          <w:rFonts w:eastAsia="Times New Roman" w:cstheme="minorHAnsi"/>
          <w:sz w:val="24"/>
          <w:szCs w:val="24"/>
        </w:rPr>
        <w:t xml:space="preserve"> </w:t>
      </w:r>
      <w:r w:rsidRPr="004E6649">
        <w:rPr>
          <w:rFonts w:eastAsia="Times New Roman" w:cstheme="minorHAnsi"/>
          <w:sz w:val="24"/>
          <w:szCs w:val="24"/>
        </w:rPr>
        <w:t>year-end fair value of $</w:t>
      </w:r>
      <w:r w:rsidR="00B3204C" w:rsidRPr="004E6649">
        <w:rPr>
          <w:rFonts w:eastAsia="Times New Roman" w:cstheme="minorHAnsi"/>
          <w:sz w:val="24"/>
          <w:szCs w:val="24"/>
        </w:rPr>
        <w:t>1</w:t>
      </w:r>
      <w:r w:rsidR="00B3204C">
        <w:rPr>
          <w:rFonts w:eastAsia="Times New Roman" w:cstheme="minorHAnsi"/>
          <w:sz w:val="24"/>
          <w:szCs w:val="24"/>
        </w:rPr>
        <w:t>82</w:t>
      </w:r>
      <w:r w:rsidR="00B3204C" w:rsidRPr="004E6649">
        <w:rPr>
          <w:rFonts w:eastAsia="Times New Roman" w:cstheme="minorHAnsi"/>
          <w:sz w:val="24"/>
          <w:szCs w:val="24"/>
        </w:rPr>
        <w:t xml:space="preserve"> </w:t>
      </w:r>
      <w:r w:rsidRPr="004E6649">
        <w:rPr>
          <w:rFonts w:eastAsia="Times New Roman" w:cstheme="minorHAnsi"/>
          <w:sz w:val="24"/>
          <w:szCs w:val="24"/>
        </w:rPr>
        <w:t xml:space="preserve">million. This included </w:t>
      </w:r>
      <w:r w:rsidR="0004167B" w:rsidRPr="0004167B">
        <w:rPr>
          <w:rFonts w:eastAsia="Times New Roman" w:cstheme="minorHAnsi"/>
          <w:sz w:val="24"/>
          <w:szCs w:val="24"/>
        </w:rPr>
        <w:t>an increase of $</w:t>
      </w:r>
      <w:r w:rsidR="00B3204C">
        <w:rPr>
          <w:rFonts w:eastAsia="Times New Roman" w:cstheme="minorHAnsi"/>
          <w:sz w:val="24"/>
          <w:szCs w:val="24"/>
        </w:rPr>
        <w:t>21</w:t>
      </w:r>
      <w:r w:rsidR="00B3204C" w:rsidRPr="0004167B">
        <w:rPr>
          <w:rFonts w:eastAsia="Times New Roman" w:cstheme="minorHAnsi"/>
          <w:sz w:val="24"/>
          <w:szCs w:val="24"/>
        </w:rPr>
        <w:t xml:space="preserve"> </w:t>
      </w:r>
      <w:r w:rsidR="0004167B" w:rsidRPr="0004167B">
        <w:rPr>
          <w:rFonts w:eastAsia="Times New Roman" w:cstheme="minorHAnsi"/>
          <w:sz w:val="24"/>
          <w:szCs w:val="24"/>
        </w:rPr>
        <w:t>million in positive net performance less $</w:t>
      </w:r>
      <w:r w:rsidR="00B3204C">
        <w:rPr>
          <w:rFonts w:eastAsia="Times New Roman" w:cstheme="minorHAnsi"/>
          <w:sz w:val="24"/>
          <w:szCs w:val="24"/>
        </w:rPr>
        <w:t>8</w:t>
      </w:r>
      <w:r w:rsidR="00B3204C" w:rsidRPr="0004167B">
        <w:rPr>
          <w:rFonts w:eastAsia="Times New Roman" w:cstheme="minorHAnsi"/>
          <w:sz w:val="24"/>
          <w:szCs w:val="24"/>
        </w:rPr>
        <w:t xml:space="preserve"> </w:t>
      </w:r>
      <w:r w:rsidR="0004167B" w:rsidRPr="0004167B">
        <w:rPr>
          <w:rFonts w:eastAsia="Times New Roman" w:cstheme="minorHAnsi"/>
          <w:sz w:val="24"/>
          <w:szCs w:val="24"/>
        </w:rPr>
        <w:t>million distributed for scholarships and other operating activities offset by contributions of $</w:t>
      </w:r>
      <w:r w:rsidR="00B3204C">
        <w:rPr>
          <w:rFonts w:eastAsia="Times New Roman" w:cstheme="minorHAnsi"/>
          <w:sz w:val="24"/>
          <w:szCs w:val="24"/>
        </w:rPr>
        <w:t>2</w:t>
      </w:r>
      <w:r w:rsidR="00B3204C" w:rsidRPr="0004167B">
        <w:rPr>
          <w:rFonts w:eastAsia="Times New Roman" w:cstheme="minorHAnsi"/>
          <w:sz w:val="24"/>
          <w:szCs w:val="24"/>
        </w:rPr>
        <w:t xml:space="preserve"> </w:t>
      </w:r>
      <w:r w:rsidR="0004167B" w:rsidRPr="0004167B">
        <w:rPr>
          <w:rFonts w:eastAsia="Times New Roman" w:cstheme="minorHAnsi"/>
          <w:sz w:val="24"/>
          <w:szCs w:val="24"/>
        </w:rPr>
        <w:t>million.</w:t>
      </w:r>
    </w:p>
    <w:p w14:paraId="0CD2E64E" w14:textId="4E9A404F" w:rsidR="00254258" w:rsidRPr="004E6649" w:rsidRDefault="00E1495D" w:rsidP="00254258">
      <w:pPr>
        <w:spacing w:after="240"/>
        <w:jc w:val="center"/>
        <w:rPr>
          <w:rFonts w:eastAsia="Times New Roman" w:cstheme="minorHAnsi"/>
          <w:sz w:val="24"/>
          <w:szCs w:val="24"/>
        </w:rPr>
      </w:pPr>
      <w:r>
        <w:rPr>
          <w:noProof/>
          <w14:ligatures w14:val="standardContextual"/>
        </w:rPr>
        <w:drawing>
          <wp:inline distT="0" distB="0" distL="0" distR="0" wp14:anchorId="2201E66F" wp14:editId="64CBC256">
            <wp:extent cx="5615940" cy="3943350"/>
            <wp:effectExtent l="0" t="0" r="3810" b="0"/>
            <wp:docPr id="1320063977" name="Chart 1" descr="Chart 5: Fair Values of UMS &amp; Affiliates pooled endowments">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0E5599" w:rsidDel="000E5599">
        <w:rPr>
          <w:noProof/>
          <w14:ligatures w14:val="standardContextual"/>
        </w:rPr>
        <w:t xml:space="preserve"> </w:t>
      </w:r>
    </w:p>
    <w:tbl>
      <w:tblPr>
        <w:tblW w:w="5670" w:type="dxa"/>
        <w:jc w:val="center"/>
        <w:tblLayout w:type="fixed"/>
        <w:tblLook w:val="04A0" w:firstRow="1" w:lastRow="0" w:firstColumn="1" w:lastColumn="0" w:noHBand="0" w:noVBand="1"/>
      </w:tblPr>
      <w:tblGrid>
        <w:gridCol w:w="2430"/>
        <w:gridCol w:w="622"/>
        <w:gridCol w:w="622"/>
        <w:gridCol w:w="622"/>
        <w:gridCol w:w="622"/>
        <w:gridCol w:w="752"/>
      </w:tblGrid>
      <w:tr w:rsidR="00B3204C" w:rsidRPr="004E6649" w14:paraId="2E538A7A" w14:textId="166FCB96" w:rsidTr="004D3BC1">
        <w:trPr>
          <w:trHeight w:val="152"/>
          <w:jc w:val="center"/>
        </w:trPr>
        <w:tc>
          <w:tcPr>
            <w:tcW w:w="2430" w:type="dxa"/>
            <w:tcBorders>
              <w:top w:val="single" w:sz="4" w:space="0" w:color="000000"/>
              <w:left w:val="nil"/>
              <w:bottom w:val="single" w:sz="4" w:space="0" w:color="000000"/>
              <w:right w:val="nil"/>
            </w:tcBorders>
            <w:noWrap/>
            <w:vAlign w:val="bottom"/>
            <w:hideMark/>
          </w:tcPr>
          <w:p w14:paraId="554F7132" w14:textId="3FFA9E49" w:rsidR="00B3204C" w:rsidRPr="00AD5B5C" w:rsidRDefault="00B3204C" w:rsidP="00B3204C">
            <w:pPr>
              <w:rPr>
                <w:rFonts w:eastAsia="Times New Roman" w:cstheme="minorHAnsi"/>
                <w:b/>
                <w:bCs/>
                <w:color w:val="000000"/>
                <w:sz w:val="20"/>
                <w:szCs w:val="20"/>
              </w:rPr>
            </w:pPr>
          </w:p>
        </w:tc>
        <w:tc>
          <w:tcPr>
            <w:tcW w:w="622" w:type="dxa"/>
            <w:tcBorders>
              <w:top w:val="single" w:sz="4" w:space="0" w:color="000000"/>
              <w:left w:val="nil"/>
              <w:bottom w:val="single" w:sz="4" w:space="0" w:color="000000"/>
              <w:right w:val="nil"/>
            </w:tcBorders>
            <w:vAlign w:val="bottom"/>
          </w:tcPr>
          <w:p w14:paraId="5C6C6703" w14:textId="543A8D90" w:rsidR="00B3204C" w:rsidRPr="00AD5B5C" w:rsidRDefault="00B3204C" w:rsidP="00B3204C">
            <w:pPr>
              <w:jc w:val="center"/>
              <w:rPr>
                <w:rFonts w:eastAsia="Times New Roman" w:cstheme="minorHAnsi"/>
                <w:b/>
                <w:bCs/>
                <w:color w:val="000000"/>
                <w:sz w:val="20"/>
                <w:szCs w:val="20"/>
              </w:rPr>
            </w:pPr>
            <w:r w:rsidRPr="00AD5B5C">
              <w:rPr>
                <w:rFonts w:eastAsia="Times New Roman" w:cstheme="minorHAnsi"/>
                <w:b/>
                <w:bCs/>
                <w:color w:val="000000"/>
                <w:sz w:val="20"/>
                <w:szCs w:val="20"/>
              </w:rPr>
              <w:t>2021</w:t>
            </w:r>
          </w:p>
        </w:tc>
        <w:tc>
          <w:tcPr>
            <w:tcW w:w="622" w:type="dxa"/>
            <w:tcBorders>
              <w:top w:val="single" w:sz="4" w:space="0" w:color="000000"/>
              <w:left w:val="nil"/>
              <w:bottom w:val="single" w:sz="4" w:space="0" w:color="000000"/>
              <w:right w:val="nil"/>
            </w:tcBorders>
            <w:vAlign w:val="bottom"/>
          </w:tcPr>
          <w:p w14:paraId="19567E0B" w14:textId="41F9488F" w:rsidR="00B3204C" w:rsidRPr="00AD5B5C" w:rsidRDefault="00B3204C" w:rsidP="00B3204C">
            <w:pPr>
              <w:jc w:val="center"/>
              <w:rPr>
                <w:rFonts w:eastAsia="Times New Roman" w:cstheme="minorHAnsi"/>
                <w:b/>
                <w:bCs/>
                <w:color w:val="000000"/>
                <w:sz w:val="20"/>
                <w:szCs w:val="20"/>
              </w:rPr>
            </w:pPr>
            <w:r w:rsidRPr="00AD5B5C">
              <w:rPr>
                <w:rFonts w:eastAsia="Times New Roman" w:cstheme="minorHAnsi"/>
                <w:b/>
                <w:bCs/>
                <w:color w:val="000000"/>
                <w:sz w:val="20"/>
                <w:szCs w:val="20"/>
              </w:rPr>
              <w:t>2022</w:t>
            </w:r>
          </w:p>
        </w:tc>
        <w:tc>
          <w:tcPr>
            <w:tcW w:w="622" w:type="dxa"/>
            <w:tcBorders>
              <w:top w:val="single" w:sz="4" w:space="0" w:color="000000"/>
              <w:left w:val="nil"/>
              <w:bottom w:val="single" w:sz="4" w:space="0" w:color="000000"/>
              <w:right w:val="nil"/>
            </w:tcBorders>
            <w:vAlign w:val="bottom"/>
          </w:tcPr>
          <w:p w14:paraId="0B23B551" w14:textId="380F6379" w:rsidR="00B3204C" w:rsidRPr="00AD5B5C" w:rsidRDefault="00B3204C" w:rsidP="00B3204C">
            <w:pPr>
              <w:jc w:val="center"/>
              <w:rPr>
                <w:rFonts w:eastAsia="Times New Roman" w:cstheme="minorHAnsi"/>
                <w:b/>
                <w:bCs/>
                <w:color w:val="000000"/>
                <w:sz w:val="20"/>
                <w:szCs w:val="20"/>
              </w:rPr>
            </w:pPr>
            <w:r w:rsidRPr="00AD5B5C">
              <w:rPr>
                <w:rFonts w:eastAsia="Times New Roman" w:cstheme="minorHAnsi"/>
                <w:b/>
                <w:bCs/>
                <w:color w:val="000000"/>
                <w:sz w:val="20"/>
                <w:szCs w:val="20"/>
              </w:rPr>
              <w:t>2023</w:t>
            </w:r>
          </w:p>
        </w:tc>
        <w:tc>
          <w:tcPr>
            <w:tcW w:w="622" w:type="dxa"/>
            <w:tcBorders>
              <w:top w:val="single" w:sz="4" w:space="0" w:color="000000"/>
              <w:left w:val="nil"/>
              <w:bottom w:val="single" w:sz="4" w:space="0" w:color="000000"/>
              <w:right w:val="nil"/>
            </w:tcBorders>
            <w:vAlign w:val="bottom"/>
          </w:tcPr>
          <w:p w14:paraId="1FCF2D71" w14:textId="0395A7F5" w:rsidR="00B3204C" w:rsidRPr="00AD5B5C" w:rsidRDefault="00B3204C" w:rsidP="00B3204C">
            <w:pPr>
              <w:jc w:val="center"/>
              <w:rPr>
                <w:rFonts w:eastAsia="Times New Roman" w:cstheme="minorHAnsi"/>
                <w:b/>
                <w:bCs/>
                <w:color w:val="000000"/>
                <w:sz w:val="20"/>
                <w:szCs w:val="20"/>
              </w:rPr>
            </w:pPr>
            <w:r w:rsidRPr="00AD5B5C">
              <w:rPr>
                <w:rFonts w:eastAsia="Times New Roman" w:cstheme="minorHAnsi"/>
                <w:b/>
                <w:bCs/>
                <w:color w:val="000000"/>
                <w:sz w:val="20"/>
                <w:szCs w:val="20"/>
              </w:rPr>
              <w:t>2024</w:t>
            </w:r>
          </w:p>
        </w:tc>
        <w:tc>
          <w:tcPr>
            <w:tcW w:w="752" w:type="dxa"/>
            <w:tcBorders>
              <w:top w:val="single" w:sz="4" w:space="0" w:color="000000"/>
              <w:left w:val="nil"/>
              <w:bottom w:val="single" w:sz="4" w:space="0" w:color="000000"/>
              <w:right w:val="nil"/>
            </w:tcBorders>
            <w:vAlign w:val="bottom"/>
          </w:tcPr>
          <w:p w14:paraId="32A1A0C6" w14:textId="52D09D76" w:rsidR="00B3204C" w:rsidRPr="00AD5B5C" w:rsidRDefault="00B3204C" w:rsidP="00B3204C">
            <w:pPr>
              <w:jc w:val="center"/>
              <w:rPr>
                <w:rFonts w:eastAsia="Times New Roman" w:cstheme="minorHAnsi"/>
                <w:b/>
                <w:bCs/>
                <w:color w:val="000000"/>
                <w:sz w:val="20"/>
                <w:szCs w:val="20"/>
              </w:rPr>
            </w:pPr>
            <w:r w:rsidRPr="00AD5B5C">
              <w:rPr>
                <w:rFonts w:eastAsia="Times New Roman" w:cstheme="minorHAnsi"/>
                <w:b/>
                <w:bCs/>
                <w:color w:val="000000"/>
                <w:sz w:val="20"/>
                <w:szCs w:val="20"/>
              </w:rPr>
              <w:t>202</w:t>
            </w:r>
            <w:r>
              <w:rPr>
                <w:rFonts w:eastAsia="Times New Roman" w:cstheme="minorHAnsi"/>
                <w:b/>
                <w:bCs/>
                <w:color w:val="000000"/>
                <w:sz w:val="20"/>
                <w:szCs w:val="20"/>
              </w:rPr>
              <w:t>5</w:t>
            </w:r>
          </w:p>
        </w:tc>
      </w:tr>
      <w:tr w:rsidR="00B3204C" w:rsidRPr="004E6649" w14:paraId="7449C161" w14:textId="4E74736D" w:rsidTr="004D3BC1">
        <w:trPr>
          <w:trHeight w:val="70"/>
          <w:jc w:val="center"/>
        </w:trPr>
        <w:tc>
          <w:tcPr>
            <w:tcW w:w="2430" w:type="dxa"/>
            <w:tcBorders>
              <w:top w:val="single" w:sz="4" w:space="0" w:color="000000"/>
              <w:left w:val="nil"/>
              <w:bottom w:val="nil"/>
              <w:right w:val="nil"/>
            </w:tcBorders>
            <w:noWrap/>
            <w:vAlign w:val="bottom"/>
            <w:hideMark/>
          </w:tcPr>
          <w:p w14:paraId="55F42596" w14:textId="77777777" w:rsidR="00B3204C" w:rsidRPr="00AD5B5C" w:rsidRDefault="00B3204C" w:rsidP="00B3204C">
            <w:pPr>
              <w:rPr>
                <w:rFonts w:eastAsia="Times New Roman" w:cstheme="minorHAnsi"/>
                <w:color w:val="000000"/>
                <w:sz w:val="20"/>
                <w:szCs w:val="20"/>
              </w:rPr>
            </w:pPr>
            <w:r w:rsidRPr="00AD5B5C">
              <w:rPr>
                <w:rFonts w:eastAsia="Times New Roman" w:cstheme="minorHAnsi"/>
                <w:color w:val="000000"/>
                <w:sz w:val="20"/>
                <w:szCs w:val="20"/>
              </w:rPr>
              <w:t>UMS Endowments</w:t>
            </w:r>
          </w:p>
        </w:tc>
        <w:tc>
          <w:tcPr>
            <w:tcW w:w="622" w:type="dxa"/>
            <w:tcBorders>
              <w:top w:val="single" w:sz="4" w:space="0" w:color="000000"/>
              <w:left w:val="nil"/>
              <w:bottom w:val="nil"/>
              <w:right w:val="nil"/>
            </w:tcBorders>
            <w:vAlign w:val="bottom"/>
          </w:tcPr>
          <w:p w14:paraId="5B8EAA75" w14:textId="09F2ECF7" w:rsidR="00B3204C" w:rsidRPr="00AD5B5C" w:rsidRDefault="00B3204C" w:rsidP="00B3204C">
            <w:pPr>
              <w:jc w:val="right"/>
              <w:rPr>
                <w:rFonts w:eastAsia="Times New Roman" w:cstheme="minorHAnsi"/>
                <w:color w:val="000000"/>
                <w:sz w:val="20"/>
                <w:szCs w:val="20"/>
              </w:rPr>
            </w:pPr>
            <w:r w:rsidRPr="00AD5B5C">
              <w:rPr>
                <w:rFonts w:eastAsia="Times New Roman" w:cstheme="minorHAnsi"/>
                <w:color w:val="000000"/>
                <w:sz w:val="20"/>
                <w:szCs w:val="20"/>
              </w:rPr>
              <w:t>$161</w:t>
            </w:r>
          </w:p>
        </w:tc>
        <w:tc>
          <w:tcPr>
            <w:tcW w:w="622" w:type="dxa"/>
            <w:tcBorders>
              <w:top w:val="single" w:sz="4" w:space="0" w:color="000000"/>
              <w:left w:val="nil"/>
              <w:bottom w:val="nil"/>
              <w:right w:val="nil"/>
            </w:tcBorders>
            <w:vAlign w:val="bottom"/>
          </w:tcPr>
          <w:p w14:paraId="54F29A2D" w14:textId="0DAE662E" w:rsidR="00B3204C" w:rsidRPr="00AD5B5C" w:rsidRDefault="00B3204C" w:rsidP="00B3204C">
            <w:pPr>
              <w:jc w:val="right"/>
              <w:rPr>
                <w:rFonts w:eastAsia="Times New Roman" w:cstheme="minorHAnsi"/>
                <w:color w:val="000000"/>
                <w:sz w:val="20"/>
                <w:szCs w:val="20"/>
              </w:rPr>
            </w:pPr>
            <w:r w:rsidRPr="00AD5B5C">
              <w:rPr>
                <w:rFonts w:eastAsia="Times New Roman" w:cstheme="minorHAnsi"/>
                <w:color w:val="000000"/>
                <w:sz w:val="20"/>
                <w:szCs w:val="20"/>
              </w:rPr>
              <w:t>$138</w:t>
            </w:r>
          </w:p>
        </w:tc>
        <w:tc>
          <w:tcPr>
            <w:tcW w:w="622" w:type="dxa"/>
            <w:tcBorders>
              <w:top w:val="single" w:sz="4" w:space="0" w:color="000000"/>
              <w:left w:val="nil"/>
              <w:bottom w:val="nil"/>
              <w:right w:val="nil"/>
            </w:tcBorders>
            <w:vAlign w:val="bottom"/>
          </w:tcPr>
          <w:p w14:paraId="4AF67B54" w14:textId="311C38EF" w:rsidR="00B3204C" w:rsidRPr="00AD5B5C" w:rsidRDefault="00B3204C" w:rsidP="00B3204C">
            <w:pPr>
              <w:jc w:val="right"/>
              <w:rPr>
                <w:rFonts w:eastAsia="Times New Roman" w:cstheme="minorHAnsi"/>
                <w:color w:val="000000"/>
                <w:sz w:val="20"/>
                <w:szCs w:val="20"/>
              </w:rPr>
            </w:pPr>
            <w:r w:rsidRPr="00AD5B5C">
              <w:rPr>
                <w:rFonts w:eastAsia="Times New Roman" w:cstheme="minorHAnsi"/>
                <w:color w:val="000000"/>
                <w:sz w:val="20"/>
                <w:szCs w:val="20"/>
              </w:rPr>
              <w:t>$148</w:t>
            </w:r>
          </w:p>
        </w:tc>
        <w:tc>
          <w:tcPr>
            <w:tcW w:w="622" w:type="dxa"/>
            <w:tcBorders>
              <w:top w:val="single" w:sz="4" w:space="0" w:color="000000"/>
              <w:left w:val="nil"/>
              <w:bottom w:val="nil"/>
              <w:right w:val="nil"/>
            </w:tcBorders>
            <w:vAlign w:val="bottom"/>
          </w:tcPr>
          <w:p w14:paraId="5CD9CFF2" w14:textId="6EB8CE89" w:rsidR="00B3204C" w:rsidRPr="00AD5B5C" w:rsidRDefault="00B3204C" w:rsidP="00B3204C">
            <w:pPr>
              <w:jc w:val="right"/>
              <w:rPr>
                <w:rFonts w:eastAsia="Times New Roman" w:cstheme="minorHAnsi"/>
                <w:color w:val="000000"/>
                <w:sz w:val="20"/>
                <w:szCs w:val="20"/>
              </w:rPr>
            </w:pPr>
            <w:r w:rsidRPr="00AD5B5C">
              <w:rPr>
                <w:rFonts w:eastAsia="Times New Roman" w:cstheme="minorHAnsi"/>
                <w:color w:val="000000"/>
                <w:sz w:val="20"/>
                <w:szCs w:val="20"/>
              </w:rPr>
              <w:t>$1</w:t>
            </w:r>
            <w:r>
              <w:rPr>
                <w:rFonts w:eastAsia="Times New Roman" w:cstheme="minorHAnsi"/>
                <w:color w:val="000000"/>
                <w:sz w:val="20"/>
                <w:szCs w:val="20"/>
              </w:rPr>
              <w:t>59</w:t>
            </w:r>
          </w:p>
        </w:tc>
        <w:tc>
          <w:tcPr>
            <w:tcW w:w="752" w:type="dxa"/>
            <w:tcBorders>
              <w:top w:val="single" w:sz="4" w:space="0" w:color="000000"/>
              <w:left w:val="nil"/>
              <w:bottom w:val="nil"/>
              <w:right w:val="nil"/>
            </w:tcBorders>
            <w:vAlign w:val="bottom"/>
          </w:tcPr>
          <w:p w14:paraId="399893D2" w14:textId="6C047AF2" w:rsidR="00B3204C" w:rsidRPr="00AD5B5C" w:rsidRDefault="00B3204C" w:rsidP="00B3204C">
            <w:pPr>
              <w:jc w:val="right"/>
              <w:rPr>
                <w:rFonts w:eastAsia="Times New Roman" w:cstheme="minorHAnsi"/>
                <w:color w:val="000000"/>
                <w:sz w:val="20"/>
                <w:szCs w:val="20"/>
              </w:rPr>
            </w:pPr>
            <w:r w:rsidRPr="00AD5B5C">
              <w:rPr>
                <w:rFonts w:eastAsia="Times New Roman" w:cstheme="minorHAnsi"/>
                <w:color w:val="000000"/>
                <w:sz w:val="20"/>
                <w:szCs w:val="20"/>
              </w:rPr>
              <w:t>$</w:t>
            </w:r>
            <w:r w:rsidR="00E1495D" w:rsidRPr="00AD5B5C">
              <w:rPr>
                <w:rFonts w:eastAsia="Times New Roman" w:cstheme="minorHAnsi"/>
                <w:color w:val="000000"/>
                <w:sz w:val="20"/>
                <w:szCs w:val="20"/>
              </w:rPr>
              <w:t>1</w:t>
            </w:r>
            <w:r w:rsidR="00E1495D">
              <w:rPr>
                <w:rFonts w:eastAsia="Times New Roman" w:cstheme="minorHAnsi"/>
                <w:color w:val="000000"/>
                <w:sz w:val="20"/>
                <w:szCs w:val="20"/>
              </w:rPr>
              <w:t>71</w:t>
            </w:r>
          </w:p>
        </w:tc>
      </w:tr>
      <w:tr w:rsidR="00B3204C" w:rsidRPr="004E6649" w14:paraId="0624B6C9" w14:textId="27E4A56C" w:rsidTr="004D3BC1">
        <w:trPr>
          <w:trHeight w:val="80"/>
          <w:jc w:val="center"/>
        </w:trPr>
        <w:tc>
          <w:tcPr>
            <w:tcW w:w="2430" w:type="dxa"/>
            <w:tcBorders>
              <w:top w:val="nil"/>
              <w:left w:val="nil"/>
              <w:bottom w:val="single" w:sz="4" w:space="0" w:color="auto"/>
              <w:right w:val="nil"/>
            </w:tcBorders>
            <w:noWrap/>
            <w:vAlign w:val="bottom"/>
            <w:hideMark/>
          </w:tcPr>
          <w:p w14:paraId="4C8C92E2" w14:textId="77777777" w:rsidR="00B3204C" w:rsidRPr="00AD5B5C" w:rsidRDefault="00B3204C" w:rsidP="00B3204C">
            <w:pPr>
              <w:rPr>
                <w:rFonts w:eastAsia="Times New Roman" w:cstheme="minorHAnsi"/>
                <w:color w:val="000000"/>
                <w:sz w:val="20"/>
                <w:szCs w:val="20"/>
              </w:rPr>
            </w:pPr>
            <w:r w:rsidRPr="00AD5B5C">
              <w:rPr>
                <w:rFonts w:eastAsia="Times New Roman" w:cstheme="minorHAnsi"/>
                <w:color w:val="000000"/>
                <w:sz w:val="20"/>
                <w:szCs w:val="20"/>
              </w:rPr>
              <w:t>Affiliates Endowments</w:t>
            </w:r>
          </w:p>
        </w:tc>
        <w:tc>
          <w:tcPr>
            <w:tcW w:w="622" w:type="dxa"/>
            <w:tcBorders>
              <w:top w:val="nil"/>
              <w:left w:val="nil"/>
              <w:bottom w:val="single" w:sz="4" w:space="0" w:color="auto"/>
              <w:right w:val="nil"/>
            </w:tcBorders>
            <w:vAlign w:val="bottom"/>
          </w:tcPr>
          <w:p w14:paraId="06DB7720" w14:textId="484920D7" w:rsidR="00B3204C" w:rsidRPr="00AD5B5C" w:rsidRDefault="00B3204C" w:rsidP="00B3204C">
            <w:pPr>
              <w:jc w:val="right"/>
              <w:rPr>
                <w:rFonts w:eastAsia="Times New Roman" w:cstheme="minorHAnsi"/>
                <w:color w:val="000000"/>
                <w:sz w:val="20"/>
                <w:szCs w:val="20"/>
              </w:rPr>
            </w:pPr>
            <w:r w:rsidRPr="00AD5B5C">
              <w:rPr>
                <w:rFonts w:eastAsia="Times New Roman" w:cstheme="minorHAnsi"/>
                <w:color w:val="000000"/>
                <w:sz w:val="20"/>
                <w:szCs w:val="20"/>
              </w:rPr>
              <w:t>35</w:t>
            </w:r>
          </w:p>
        </w:tc>
        <w:tc>
          <w:tcPr>
            <w:tcW w:w="622" w:type="dxa"/>
            <w:tcBorders>
              <w:top w:val="nil"/>
              <w:left w:val="nil"/>
              <w:bottom w:val="single" w:sz="4" w:space="0" w:color="auto"/>
              <w:right w:val="nil"/>
            </w:tcBorders>
            <w:vAlign w:val="bottom"/>
          </w:tcPr>
          <w:p w14:paraId="0FFA4D93" w14:textId="2F37BFF7" w:rsidR="00B3204C" w:rsidRPr="00AD5B5C" w:rsidRDefault="00B3204C" w:rsidP="00B3204C">
            <w:pPr>
              <w:jc w:val="right"/>
              <w:rPr>
                <w:rFonts w:eastAsia="Times New Roman" w:cstheme="minorHAnsi"/>
                <w:color w:val="000000"/>
                <w:sz w:val="20"/>
                <w:szCs w:val="20"/>
              </w:rPr>
            </w:pPr>
            <w:r w:rsidRPr="00AD5B5C">
              <w:rPr>
                <w:rFonts w:eastAsia="Times New Roman" w:cstheme="minorHAnsi"/>
                <w:color w:val="000000"/>
                <w:sz w:val="20"/>
                <w:szCs w:val="20"/>
              </w:rPr>
              <w:t>30</w:t>
            </w:r>
          </w:p>
        </w:tc>
        <w:tc>
          <w:tcPr>
            <w:tcW w:w="622" w:type="dxa"/>
            <w:tcBorders>
              <w:top w:val="nil"/>
              <w:left w:val="nil"/>
              <w:bottom w:val="single" w:sz="4" w:space="0" w:color="auto"/>
              <w:right w:val="nil"/>
            </w:tcBorders>
            <w:vAlign w:val="bottom"/>
          </w:tcPr>
          <w:p w14:paraId="5519A30A" w14:textId="5DB24507" w:rsidR="00B3204C" w:rsidRPr="00AD5B5C" w:rsidRDefault="00B3204C" w:rsidP="00B3204C">
            <w:pPr>
              <w:jc w:val="right"/>
              <w:rPr>
                <w:rFonts w:eastAsia="Times New Roman" w:cstheme="minorHAnsi"/>
                <w:color w:val="000000"/>
                <w:sz w:val="20"/>
                <w:szCs w:val="20"/>
              </w:rPr>
            </w:pPr>
            <w:r w:rsidRPr="00AD5B5C">
              <w:rPr>
                <w:rFonts w:eastAsia="Times New Roman" w:cstheme="minorHAnsi"/>
                <w:color w:val="000000"/>
                <w:sz w:val="20"/>
                <w:szCs w:val="20"/>
              </w:rPr>
              <w:t>34</w:t>
            </w:r>
          </w:p>
        </w:tc>
        <w:tc>
          <w:tcPr>
            <w:tcW w:w="622" w:type="dxa"/>
            <w:tcBorders>
              <w:top w:val="nil"/>
              <w:left w:val="nil"/>
              <w:bottom w:val="single" w:sz="4" w:space="0" w:color="auto"/>
              <w:right w:val="nil"/>
            </w:tcBorders>
            <w:vAlign w:val="bottom"/>
          </w:tcPr>
          <w:p w14:paraId="6D5F1FB0" w14:textId="07400150" w:rsidR="00B3204C" w:rsidRPr="00AD5B5C" w:rsidRDefault="00B3204C" w:rsidP="00B3204C">
            <w:pPr>
              <w:jc w:val="right"/>
              <w:rPr>
                <w:rFonts w:eastAsia="Times New Roman" w:cstheme="minorHAnsi"/>
                <w:color w:val="000000"/>
                <w:sz w:val="20"/>
                <w:szCs w:val="20"/>
              </w:rPr>
            </w:pPr>
            <w:r w:rsidRPr="00AD5B5C">
              <w:rPr>
                <w:rFonts w:eastAsia="Times New Roman" w:cstheme="minorHAnsi"/>
                <w:color w:val="000000"/>
                <w:sz w:val="20"/>
                <w:szCs w:val="20"/>
              </w:rPr>
              <w:t>38</w:t>
            </w:r>
          </w:p>
        </w:tc>
        <w:tc>
          <w:tcPr>
            <w:tcW w:w="752" w:type="dxa"/>
            <w:tcBorders>
              <w:top w:val="nil"/>
              <w:left w:val="nil"/>
              <w:bottom w:val="single" w:sz="4" w:space="0" w:color="auto"/>
              <w:right w:val="nil"/>
            </w:tcBorders>
            <w:vAlign w:val="bottom"/>
          </w:tcPr>
          <w:p w14:paraId="19C3ABFD" w14:textId="19004E53" w:rsidR="00B3204C" w:rsidRPr="00AD5B5C" w:rsidRDefault="00765FC3" w:rsidP="00B3204C">
            <w:pPr>
              <w:jc w:val="right"/>
              <w:rPr>
                <w:rFonts w:eastAsia="Times New Roman" w:cstheme="minorHAnsi"/>
                <w:color w:val="000000"/>
                <w:sz w:val="20"/>
                <w:szCs w:val="20"/>
              </w:rPr>
            </w:pPr>
            <w:r>
              <w:rPr>
                <w:rFonts w:eastAsia="Times New Roman" w:cstheme="minorHAnsi"/>
                <w:color w:val="000000"/>
                <w:sz w:val="20"/>
                <w:szCs w:val="20"/>
              </w:rPr>
              <w:t>4</w:t>
            </w:r>
          </w:p>
        </w:tc>
      </w:tr>
      <w:tr w:rsidR="00B3204C" w:rsidRPr="004E6649" w14:paraId="6EFA212F" w14:textId="7E59E74E" w:rsidTr="004D3BC1">
        <w:trPr>
          <w:trHeight w:val="70"/>
          <w:jc w:val="center"/>
        </w:trPr>
        <w:tc>
          <w:tcPr>
            <w:tcW w:w="2430" w:type="dxa"/>
            <w:tcBorders>
              <w:top w:val="single" w:sz="4" w:space="0" w:color="auto"/>
              <w:left w:val="nil"/>
              <w:bottom w:val="double" w:sz="4" w:space="0" w:color="auto"/>
              <w:right w:val="nil"/>
            </w:tcBorders>
            <w:noWrap/>
            <w:vAlign w:val="bottom"/>
            <w:hideMark/>
          </w:tcPr>
          <w:p w14:paraId="4984E70E" w14:textId="77777777" w:rsidR="00B3204C" w:rsidRPr="00AD5B5C" w:rsidRDefault="00B3204C" w:rsidP="00B3204C">
            <w:pPr>
              <w:rPr>
                <w:rFonts w:eastAsia="Times New Roman" w:cstheme="minorHAnsi"/>
                <w:color w:val="000000"/>
                <w:sz w:val="20"/>
                <w:szCs w:val="20"/>
              </w:rPr>
            </w:pPr>
            <w:r w:rsidRPr="00AD5B5C">
              <w:rPr>
                <w:rFonts w:eastAsia="Times New Roman" w:cstheme="minorHAnsi"/>
                <w:color w:val="000000"/>
                <w:sz w:val="20"/>
                <w:szCs w:val="20"/>
              </w:rPr>
              <w:t>Total</w:t>
            </w:r>
          </w:p>
        </w:tc>
        <w:tc>
          <w:tcPr>
            <w:tcW w:w="622" w:type="dxa"/>
            <w:tcBorders>
              <w:top w:val="single" w:sz="4" w:space="0" w:color="auto"/>
              <w:left w:val="nil"/>
              <w:bottom w:val="double" w:sz="4" w:space="0" w:color="auto"/>
              <w:right w:val="nil"/>
            </w:tcBorders>
            <w:vAlign w:val="bottom"/>
          </w:tcPr>
          <w:p w14:paraId="395AA12C" w14:textId="488C5413" w:rsidR="00B3204C" w:rsidRPr="00AD5B5C" w:rsidRDefault="00B3204C" w:rsidP="00B3204C">
            <w:pPr>
              <w:jc w:val="right"/>
              <w:rPr>
                <w:rFonts w:eastAsia="Times New Roman" w:cstheme="minorHAnsi"/>
                <w:color w:val="000000"/>
                <w:sz w:val="20"/>
                <w:szCs w:val="20"/>
              </w:rPr>
            </w:pPr>
            <w:r w:rsidRPr="00AD5B5C">
              <w:rPr>
                <w:rFonts w:eastAsia="Times New Roman" w:cstheme="minorHAnsi"/>
                <w:color w:val="000000"/>
                <w:sz w:val="20"/>
                <w:szCs w:val="20"/>
              </w:rPr>
              <w:t>$196</w:t>
            </w:r>
          </w:p>
        </w:tc>
        <w:tc>
          <w:tcPr>
            <w:tcW w:w="622" w:type="dxa"/>
            <w:tcBorders>
              <w:top w:val="single" w:sz="4" w:space="0" w:color="auto"/>
              <w:left w:val="nil"/>
              <w:bottom w:val="double" w:sz="4" w:space="0" w:color="auto"/>
              <w:right w:val="nil"/>
            </w:tcBorders>
            <w:vAlign w:val="bottom"/>
          </w:tcPr>
          <w:p w14:paraId="6A4B7370" w14:textId="1926A1CB" w:rsidR="00B3204C" w:rsidRPr="00AD5B5C" w:rsidRDefault="00B3204C" w:rsidP="00B3204C">
            <w:pPr>
              <w:jc w:val="right"/>
              <w:rPr>
                <w:rFonts w:eastAsia="Times New Roman" w:cstheme="minorHAnsi"/>
                <w:color w:val="000000"/>
                <w:sz w:val="20"/>
                <w:szCs w:val="20"/>
              </w:rPr>
            </w:pPr>
            <w:r w:rsidRPr="00AD5B5C">
              <w:rPr>
                <w:rFonts w:eastAsia="Times New Roman" w:cstheme="minorHAnsi"/>
                <w:color w:val="000000"/>
                <w:sz w:val="20"/>
                <w:szCs w:val="20"/>
              </w:rPr>
              <w:t>$168</w:t>
            </w:r>
          </w:p>
        </w:tc>
        <w:tc>
          <w:tcPr>
            <w:tcW w:w="622" w:type="dxa"/>
            <w:tcBorders>
              <w:top w:val="single" w:sz="4" w:space="0" w:color="auto"/>
              <w:left w:val="nil"/>
              <w:bottom w:val="double" w:sz="4" w:space="0" w:color="auto"/>
              <w:right w:val="nil"/>
            </w:tcBorders>
            <w:vAlign w:val="bottom"/>
          </w:tcPr>
          <w:p w14:paraId="6AE3D08F" w14:textId="2EF65B8A" w:rsidR="00B3204C" w:rsidRPr="00AD5B5C" w:rsidRDefault="00B3204C" w:rsidP="00B3204C">
            <w:pPr>
              <w:jc w:val="right"/>
              <w:rPr>
                <w:rFonts w:eastAsia="Times New Roman" w:cstheme="minorHAnsi"/>
                <w:color w:val="000000"/>
                <w:sz w:val="20"/>
                <w:szCs w:val="20"/>
              </w:rPr>
            </w:pPr>
            <w:r w:rsidRPr="00AD5B5C">
              <w:rPr>
                <w:rFonts w:eastAsia="Times New Roman" w:cstheme="minorHAnsi"/>
                <w:color w:val="000000"/>
                <w:sz w:val="20"/>
                <w:szCs w:val="20"/>
              </w:rPr>
              <w:t>$182</w:t>
            </w:r>
          </w:p>
        </w:tc>
        <w:tc>
          <w:tcPr>
            <w:tcW w:w="622" w:type="dxa"/>
            <w:tcBorders>
              <w:top w:val="single" w:sz="4" w:space="0" w:color="auto"/>
              <w:left w:val="nil"/>
              <w:bottom w:val="double" w:sz="4" w:space="0" w:color="auto"/>
              <w:right w:val="nil"/>
            </w:tcBorders>
            <w:vAlign w:val="bottom"/>
          </w:tcPr>
          <w:p w14:paraId="070DBDA0" w14:textId="16F6119C" w:rsidR="00B3204C" w:rsidRPr="00AD5B5C" w:rsidRDefault="00B3204C" w:rsidP="00B3204C">
            <w:pPr>
              <w:jc w:val="right"/>
              <w:rPr>
                <w:rFonts w:eastAsia="Times New Roman" w:cstheme="minorHAnsi"/>
                <w:color w:val="000000"/>
                <w:sz w:val="20"/>
                <w:szCs w:val="20"/>
              </w:rPr>
            </w:pPr>
            <w:r w:rsidRPr="00AD5B5C">
              <w:rPr>
                <w:rFonts w:eastAsia="Times New Roman" w:cstheme="minorHAnsi"/>
                <w:color w:val="000000"/>
                <w:sz w:val="20"/>
                <w:szCs w:val="20"/>
              </w:rPr>
              <w:t>$19</w:t>
            </w:r>
            <w:r>
              <w:rPr>
                <w:rFonts w:eastAsia="Times New Roman" w:cstheme="minorHAnsi"/>
                <w:color w:val="000000"/>
                <w:sz w:val="20"/>
                <w:szCs w:val="20"/>
              </w:rPr>
              <w:t>7</w:t>
            </w:r>
          </w:p>
        </w:tc>
        <w:tc>
          <w:tcPr>
            <w:tcW w:w="752" w:type="dxa"/>
            <w:tcBorders>
              <w:top w:val="single" w:sz="4" w:space="0" w:color="auto"/>
              <w:left w:val="nil"/>
              <w:bottom w:val="double" w:sz="4" w:space="0" w:color="auto"/>
              <w:right w:val="nil"/>
            </w:tcBorders>
            <w:vAlign w:val="bottom"/>
          </w:tcPr>
          <w:p w14:paraId="4753551E" w14:textId="26090F46" w:rsidR="00B3204C" w:rsidRPr="00AD5B5C" w:rsidRDefault="00B3204C" w:rsidP="00B3204C">
            <w:pPr>
              <w:jc w:val="right"/>
              <w:rPr>
                <w:rFonts w:eastAsia="Times New Roman" w:cstheme="minorHAnsi"/>
                <w:color w:val="000000"/>
                <w:sz w:val="20"/>
                <w:szCs w:val="20"/>
              </w:rPr>
            </w:pPr>
            <w:r w:rsidRPr="00AD5B5C">
              <w:rPr>
                <w:rFonts w:eastAsia="Times New Roman" w:cstheme="minorHAnsi"/>
                <w:color w:val="000000"/>
                <w:sz w:val="20"/>
                <w:szCs w:val="20"/>
              </w:rPr>
              <w:t>$</w:t>
            </w:r>
            <w:r w:rsidR="00E1495D" w:rsidRPr="00AD5B5C">
              <w:rPr>
                <w:rFonts w:eastAsia="Times New Roman" w:cstheme="minorHAnsi"/>
                <w:color w:val="000000"/>
                <w:sz w:val="20"/>
                <w:szCs w:val="20"/>
              </w:rPr>
              <w:t>1</w:t>
            </w:r>
            <w:r w:rsidR="00E1495D">
              <w:rPr>
                <w:rFonts w:eastAsia="Times New Roman" w:cstheme="minorHAnsi"/>
                <w:color w:val="000000"/>
                <w:sz w:val="20"/>
                <w:szCs w:val="20"/>
              </w:rPr>
              <w:t>75</w:t>
            </w:r>
          </w:p>
        </w:tc>
      </w:tr>
    </w:tbl>
    <w:p w14:paraId="32BCB44C" w14:textId="77777777" w:rsidR="005A529E" w:rsidRPr="008B69B9" w:rsidRDefault="005A529E" w:rsidP="00A83362">
      <w:pPr>
        <w:rPr>
          <w:rFonts w:cstheme="minorHAnsi"/>
          <w:sz w:val="16"/>
          <w:szCs w:val="16"/>
        </w:rPr>
      </w:pPr>
    </w:p>
    <w:p w14:paraId="412F6846" w14:textId="6BA9D81F" w:rsidR="00A83362" w:rsidRPr="004E6649" w:rsidRDefault="00A83362" w:rsidP="00A83362">
      <w:pPr>
        <w:rPr>
          <w:rFonts w:cstheme="minorHAnsi"/>
          <w:sz w:val="24"/>
        </w:rPr>
      </w:pPr>
      <w:r w:rsidRPr="004E6649">
        <w:rPr>
          <w:rFonts w:cstheme="minorHAnsi"/>
          <w:sz w:val="24"/>
        </w:rPr>
        <w:t xml:space="preserve">Of the </w:t>
      </w:r>
      <w:r w:rsidRPr="00765FC3">
        <w:rPr>
          <w:rFonts w:cstheme="minorHAnsi"/>
          <w:sz w:val="24"/>
        </w:rPr>
        <w:t>$</w:t>
      </w:r>
      <w:r w:rsidR="00ED6E13" w:rsidRPr="00765FC3">
        <w:rPr>
          <w:rFonts w:cstheme="minorHAnsi"/>
          <w:sz w:val="24"/>
        </w:rPr>
        <w:t>17</w:t>
      </w:r>
      <w:r w:rsidR="00ED6E13">
        <w:rPr>
          <w:rFonts w:cstheme="minorHAnsi"/>
          <w:sz w:val="24"/>
        </w:rPr>
        <w:t>5</w:t>
      </w:r>
      <w:r w:rsidR="00ED6E13" w:rsidRPr="00765FC3">
        <w:rPr>
          <w:rFonts w:cstheme="minorHAnsi"/>
          <w:sz w:val="24"/>
        </w:rPr>
        <w:t xml:space="preserve"> </w:t>
      </w:r>
      <w:r w:rsidRPr="00765FC3">
        <w:rPr>
          <w:rFonts w:cstheme="minorHAnsi"/>
          <w:sz w:val="24"/>
        </w:rPr>
        <w:t xml:space="preserve">million in pooled endowment investments, at June 30, </w:t>
      </w:r>
      <w:r w:rsidR="00B3204C" w:rsidRPr="00765FC3">
        <w:rPr>
          <w:rFonts w:cstheme="minorHAnsi"/>
          <w:sz w:val="24"/>
        </w:rPr>
        <w:t>2025</w:t>
      </w:r>
      <w:r w:rsidRPr="00765FC3">
        <w:rPr>
          <w:rFonts w:cstheme="minorHAnsi"/>
          <w:sz w:val="24"/>
        </w:rPr>
        <w:t>, $</w:t>
      </w:r>
      <w:r w:rsidR="00ED6E13" w:rsidRPr="00765FC3">
        <w:rPr>
          <w:rFonts w:cstheme="minorHAnsi"/>
          <w:sz w:val="24"/>
        </w:rPr>
        <w:t>17</w:t>
      </w:r>
      <w:r w:rsidR="00ED6E13">
        <w:rPr>
          <w:rFonts w:cstheme="minorHAnsi"/>
          <w:sz w:val="24"/>
        </w:rPr>
        <w:t xml:space="preserve">1 </w:t>
      </w:r>
      <w:r w:rsidRPr="004E6649">
        <w:rPr>
          <w:rFonts w:cstheme="minorHAnsi"/>
          <w:sz w:val="24"/>
        </w:rPr>
        <w:t>million are UMS Endowments and $</w:t>
      </w:r>
      <w:r w:rsidR="00765FC3">
        <w:rPr>
          <w:rFonts w:cstheme="minorHAnsi"/>
          <w:sz w:val="24"/>
        </w:rPr>
        <w:t>4</w:t>
      </w:r>
      <w:r w:rsidR="00765FC3" w:rsidRPr="004E6649">
        <w:rPr>
          <w:rFonts w:cstheme="minorHAnsi"/>
          <w:sz w:val="24"/>
        </w:rPr>
        <w:t xml:space="preserve"> </w:t>
      </w:r>
      <w:r w:rsidRPr="004E6649">
        <w:rPr>
          <w:rFonts w:cstheme="minorHAnsi"/>
          <w:sz w:val="24"/>
        </w:rPr>
        <w:t xml:space="preserve">million are Affiliates Endowments. The fair value of the UMS Endowments is </w:t>
      </w:r>
      <w:r w:rsidRPr="004E6649">
        <w:rPr>
          <w:rFonts w:cstheme="minorHAnsi"/>
          <w:sz w:val="24"/>
        </w:rPr>
        <w:lastRenderedPageBreak/>
        <w:t>reported as part of the ‘Endowment Investments’ in the accompanying Condensed Statements of Net Position, and the fair value of the Affiliates Endowments is reported in the Statements of Fiduciary Net Position as ‘Investment in UMS endowment pool’.</w:t>
      </w:r>
      <w:r w:rsidR="003D1B81">
        <w:rPr>
          <w:rFonts w:cstheme="minorHAnsi"/>
          <w:sz w:val="24"/>
        </w:rPr>
        <w:t xml:space="preserve"> </w:t>
      </w:r>
    </w:p>
    <w:p w14:paraId="52C013A7" w14:textId="77777777" w:rsidR="00A83362" w:rsidRPr="004E6649" w:rsidRDefault="00A83362" w:rsidP="00A83362">
      <w:pPr>
        <w:rPr>
          <w:rFonts w:cstheme="minorHAnsi"/>
          <w:sz w:val="20"/>
          <w:szCs w:val="20"/>
        </w:rPr>
      </w:pPr>
    </w:p>
    <w:p w14:paraId="2DBEDFC9" w14:textId="48B2C394" w:rsidR="00A83362" w:rsidRPr="004E6649" w:rsidRDefault="00A83362" w:rsidP="00A83362">
      <w:pPr>
        <w:rPr>
          <w:rFonts w:cstheme="minorHAnsi"/>
          <w:sz w:val="24"/>
        </w:rPr>
      </w:pPr>
      <w:r w:rsidRPr="004E6649">
        <w:rPr>
          <w:rFonts w:cstheme="minorHAnsi"/>
          <w:sz w:val="24"/>
        </w:rPr>
        <w:t xml:space="preserve">The UMS endowment distribution formula is designed to smooth market volatility. The method uses a 3-year market value average with a percentage-spending rate applied. The spending rate applied in FY17 thru </w:t>
      </w:r>
      <w:r w:rsidR="00B3204C" w:rsidRPr="004E6649">
        <w:rPr>
          <w:rFonts w:cstheme="minorHAnsi"/>
          <w:sz w:val="24"/>
        </w:rPr>
        <w:t>FY2</w:t>
      </w:r>
      <w:r w:rsidR="00B3204C">
        <w:rPr>
          <w:rFonts w:cstheme="minorHAnsi"/>
          <w:sz w:val="24"/>
        </w:rPr>
        <w:t>5</w:t>
      </w:r>
      <w:r w:rsidR="00B3204C" w:rsidRPr="004E6649">
        <w:rPr>
          <w:rFonts w:cstheme="minorHAnsi"/>
          <w:sz w:val="24"/>
        </w:rPr>
        <w:t xml:space="preserve"> </w:t>
      </w:r>
      <w:r w:rsidRPr="004E6649">
        <w:rPr>
          <w:rFonts w:cstheme="minorHAnsi"/>
          <w:sz w:val="24"/>
        </w:rPr>
        <w:t>was 4.5%.</w:t>
      </w:r>
    </w:p>
    <w:p w14:paraId="0E9BEE00" w14:textId="77777777" w:rsidR="00A83362" w:rsidRPr="004E6649" w:rsidRDefault="00A83362" w:rsidP="00A83362">
      <w:pPr>
        <w:pStyle w:val="AFR3"/>
        <w:rPr>
          <w:rFonts w:cstheme="minorHAnsi"/>
          <w:sz w:val="24"/>
          <w:szCs w:val="20"/>
        </w:rPr>
      </w:pPr>
      <w:r w:rsidRPr="004E6649">
        <w:rPr>
          <w:rFonts w:cstheme="minorHAnsi"/>
          <w:sz w:val="24"/>
          <w:szCs w:val="20"/>
        </w:rPr>
        <w:t>Capital Assets and Debt Activities</w:t>
      </w:r>
    </w:p>
    <w:p w14:paraId="0F063086" w14:textId="0FE85DB9" w:rsidR="00A83362" w:rsidRPr="004E6649" w:rsidRDefault="00A83362" w:rsidP="00A83362">
      <w:pPr>
        <w:rPr>
          <w:rFonts w:cstheme="minorHAnsi"/>
          <w:sz w:val="24"/>
        </w:rPr>
      </w:pPr>
      <w:r w:rsidRPr="004E6649">
        <w:rPr>
          <w:rFonts w:cstheme="minorHAnsi"/>
          <w:sz w:val="24"/>
        </w:rPr>
        <w:t xml:space="preserve">Table 4 on the next page shows the status of major capital construction projects as of June 30, </w:t>
      </w:r>
      <w:r w:rsidR="00B3204C" w:rsidRPr="004E6649">
        <w:rPr>
          <w:rFonts w:cstheme="minorHAnsi"/>
          <w:sz w:val="24"/>
        </w:rPr>
        <w:t>202</w:t>
      </w:r>
      <w:r w:rsidR="00B3204C">
        <w:rPr>
          <w:rFonts w:cstheme="minorHAnsi"/>
          <w:sz w:val="24"/>
        </w:rPr>
        <w:t xml:space="preserve">5 </w:t>
      </w:r>
      <w:r w:rsidRPr="004E6649">
        <w:rPr>
          <w:rFonts w:cstheme="minorHAnsi"/>
          <w:sz w:val="24"/>
        </w:rPr>
        <w:t>and the related budget approved by the UMS Board of Trustees.</w:t>
      </w:r>
    </w:p>
    <w:p w14:paraId="7B8032D5" w14:textId="77777777" w:rsidR="00A83362" w:rsidRPr="004E6649" w:rsidRDefault="00A83362" w:rsidP="00A83362">
      <w:pPr>
        <w:ind w:left="360"/>
        <w:rPr>
          <w:rFonts w:cstheme="minorHAnsi"/>
          <w:sz w:val="20"/>
          <w:szCs w:val="20"/>
        </w:rPr>
      </w:pPr>
    </w:p>
    <w:p w14:paraId="002B1164" w14:textId="77777777" w:rsidR="00A83362" w:rsidRDefault="00A83362" w:rsidP="00A83362">
      <w:pPr>
        <w:rPr>
          <w:rFonts w:cstheme="minorHAnsi"/>
          <w:sz w:val="24"/>
        </w:rPr>
      </w:pPr>
      <w:r w:rsidRPr="004E6649">
        <w:rPr>
          <w:rFonts w:cstheme="minorHAnsi"/>
          <w:sz w:val="24"/>
        </w:rPr>
        <w:t>The System’s facilities are critical to each university’s mission as they provide the physical framework and environment for education, research, cultural programs, and residential life. The System continually evaluates its long-term capital and strategic needs, including which facilities to upgrade, retire, or build. Capital assets are funded with various sources of funds including state bonds, gifts, grants, educational and general funds, and System revenue bonds.</w:t>
      </w:r>
    </w:p>
    <w:p w14:paraId="5CE5C90A" w14:textId="77777777" w:rsidR="00D63DA6" w:rsidRDefault="00D63DA6" w:rsidP="00A83362">
      <w:pPr>
        <w:rPr>
          <w:rFonts w:cstheme="minorHAnsi"/>
          <w:sz w:val="24"/>
        </w:rPr>
      </w:pPr>
    </w:p>
    <w:p w14:paraId="7B44FC69" w14:textId="7E4B8DC5" w:rsidR="00A83362" w:rsidRDefault="00A83362" w:rsidP="00A83362">
      <w:pPr>
        <w:rPr>
          <w:rFonts w:cstheme="minorHAnsi"/>
          <w:sz w:val="24"/>
        </w:rPr>
      </w:pPr>
      <w:r w:rsidRPr="004E6649">
        <w:rPr>
          <w:rFonts w:cstheme="minorHAnsi"/>
          <w:sz w:val="24"/>
        </w:rPr>
        <w:t xml:space="preserve">During </w:t>
      </w:r>
      <w:r w:rsidR="00B3204C" w:rsidRPr="004E6649">
        <w:rPr>
          <w:rFonts w:cstheme="minorHAnsi"/>
          <w:sz w:val="24"/>
        </w:rPr>
        <w:t>FY2</w:t>
      </w:r>
      <w:r w:rsidR="00B3204C">
        <w:rPr>
          <w:rFonts w:cstheme="minorHAnsi"/>
          <w:sz w:val="24"/>
        </w:rPr>
        <w:t>5</w:t>
      </w:r>
      <w:r w:rsidRPr="004E6649">
        <w:rPr>
          <w:rFonts w:cstheme="minorHAnsi"/>
          <w:sz w:val="24"/>
        </w:rPr>
        <w:t xml:space="preserve">, the System had capital asset </w:t>
      </w:r>
      <w:r w:rsidRPr="00E11F48">
        <w:rPr>
          <w:rFonts w:cstheme="minorHAnsi"/>
          <w:sz w:val="24"/>
        </w:rPr>
        <w:t>additions of $</w:t>
      </w:r>
      <w:r w:rsidR="00E1495D">
        <w:rPr>
          <w:rFonts w:cstheme="minorHAnsi"/>
          <w:sz w:val="24"/>
        </w:rPr>
        <w:t>160</w:t>
      </w:r>
      <w:r w:rsidR="00E1495D" w:rsidRPr="00E11F48">
        <w:rPr>
          <w:rFonts w:cstheme="minorHAnsi"/>
          <w:sz w:val="24"/>
        </w:rPr>
        <w:t xml:space="preserve"> </w:t>
      </w:r>
      <w:r w:rsidRPr="00E11F48">
        <w:rPr>
          <w:rFonts w:cstheme="minorHAnsi"/>
          <w:sz w:val="24"/>
        </w:rPr>
        <w:t xml:space="preserve">million, </w:t>
      </w:r>
      <w:r w:rsidRPr="00880A88">
        <w:rPr>
          <w:rFonts w:cstheme="minorHAnsi"/>
          <w:sz w:val="24"/>
        </w:rPr>
        <w:t>which included $</w:t>
      </w:r>
      <w:r w:rsidR="00E1495D">
        <w:rPr>
          <w:rFonts w:cstheme="minorHAnsi"/>
          <w:sz w:val="24"/>
        </w:rPr>
        <w:t>141</w:t>
      </w:r>
      <w:r w:rsidR="00E1495D" w:rsidRPr="00880A88">
        <w:rPr>
          <w:rFonts w:cstheme="minorHAnsi"/>
          <w:sz w:val="24"/>
        </w:rPr>
        <w:t xml:space="preserve"> </w:t>
      </w:r>
      <w:r w:rsidRPr="00880A88">
        <w:rPr>
          <w:rFonts w:cstheme="minorHAnsi"/>
          <w:sz w:val="24"/>
        </w:rPr>
        <w:t>million of construction in progress</w:t>
      </w:r>
      <w:r w:rsidR="00E1495D">
        <w:rPr>
          <w:rFonts w:cstheme="minorHAnsi"/>
          <w:sz w:val="24"/>
        </w:rPr>
        <w:t>, $10 million of subscription-based IT arrangements and $9 million of equipment</w:t>
      </w:r>
      <w:r w:rsidR="00CC6B7F">
        <w:rPr>
          <w:rFonts w:cstheme="minorHAnsi"/>
          <w:sz w:val="24"/>
        </w:rPr>
        <w:t xml:space="preserve">. </w:t>
      </w:r>
      <w:r w:rsidRPr="004E6649">
        <w:rPr>
          <w:rFonts w:cstheme="minorHAnsi"/>
          <w:sz w:val="24"/>
        </w:rPr>
        <w:t xml:space="preserve">In </w:t>
      </w:r>
      <w:r w:rsidR="00190BD7" w:rsidRPr="004E6649">
        <w:rPr>
          <w:rFonts w:cstheme="minorHAnsi"/>
          <w:sz w:val="24"/>
        </w:rPr>
        <w:t>FY2</w:t>
      </w:r>
      <w:r w:rsidR="00190BD7">
        <w:rPr>
          <w:rFonts w:cstheme="minorHAnsi"/>
          <w:sz w:val="24"/>
        </w:rPr>
        <w:t>4</w:t>
      </w:r>
      <w:r w:rsidRPr="004E6649">
        <w:rPr>
          <w:rFonts w:cstheme="minorHAnsi"/>
          <w:sz w:val="24"/>
        </w:rPr>
        <w:t xml:space="preserve">, </w:t>
      </w:r>
      <w:r w:rsidR="007C3A40" w:rsidRPr="004E6649">
        <w:rPr>
          <w:rFonts w:cstheme="minorHAnsi"/>
          <w:sz w:val="24"/>
        </w:rPr>
        <w:t>the System had capital asset additions of $</w:t>
      </w:r>
      <w:r w:rsidR="00190BD7" w:rsidRPr="004E6649">
        <w:rPr>
          <w:rFonts w:cstheme="minorHAnsi"/>
          <w:sz w:val="24"/>
        </w:rPr>
        <w:t>1</w:t>
      </w:r>
      <w:r w:rsidR="00190BD7">
        <w:rPr>
          <w:rFonts w:cstheme="minorHAnsi"/>
          <w:sz w:val="24"/>
        </w:rPr>
        <w:t>39</w:t>
      </w:r>
      <w:r w:rsidR="00190BD7" w:rsidRPr="004E6649">
        <w:rPr>
          <w:rFonts w:cstheme="minorHAnsi"/>
          <w:sz w:val="24"/>
        </w:rPr>
        <w:t xml:space="preserve"> </w:t>
      </w:r>
      <w:r w:rsidR="007C3A40" w:rsidRPr="004E6649">
        <w:rPr>
          <w:rFonts w:cstheme="minorHAnsi"/>
          <w:sz w:val="24"/>
        </w:rPr>
        <w:t>million, which included $</w:t>
      </w:r>
      <w:r w:rsidR="00190BD7">
        <w:rPr>
          <w:rFonts w:cstheme="minorHAnsi"/>
          <w:sz w:val="24"/>
        </w:rPr>
        <w:t>95</w:t>
      </w:r>
      <w:r w:rsidR="00190BD7" w:rsidRPr="004E6649">
        <w:rPr>
          <w:rFonts w:cstheme="minorHAnsi"/>
          <w:sz w:val="24"/>
        </w:rPr>
        <w:t xml:space="preserve"> </w:t>
      </w:r>
      <w:r w:rsidR="007C3A40" w:rsidRPr="004E6649">
        <w:rPr>
          <w:rFonts w:cstheme="minorHAnsi"/>
          <w:sz w:val="24"/>
        </w:rPr>
        <w:t>million of construction in progress, $</w:t>
      </w:r>
      <w:r w:rsidR="00190BD7">
        <w:rPr>
          <w:rFonts w:cstheme="minorHAnsi"/>
          <w:sz w:val="24"/>
        </w:rPr>
        <w:t>8</w:t>
      </w:r>
      <w:r w:rsidR="00190BD7" w:rsidRPr="004E6649">
        <w:rPr>
          <w:rFonts w:cstheme="minorHAnsi"/>
          <w:sz w:val="24"/>
        </w:rPr>
        <w:t xml:space="preserve"> </w:t>
      </w:r>
      <w:r w:rsidR="007C3A40" w:rsidRPr="004E6649">
        <w:rPr>
          <w:rFonts w:cstheme="minorHAnsi"/>
          <w:sz w:val="24"/>
        </w:rPr>
        <w:t xml:space="preserve">million of </w:t>
      </w:r>
      <w:r w:rsidR="00DC5070" w:rsidRPr="007C3A40">
        <w:rPr>
          <w:rFonts w:cstheme="minorHAnsi"/>
          <w:sz w:val="24"/>
        </w:rPr>
        <w:t>right</w:t>
      </w:r>
      <w:r w:rsidR="00DC5070">
        <w:rPr>
          <w:rFonts w:cstheme="minorHAnsi"/>
          <w:sz w:val="24"/>
        </w:rPr>
        <w:t xml:space="preserve">-to-use </w:t>
      </w:r>
      <w:r w:rsidR="007C3A40" w:rsidRPr="004E6649">
        <w:rPr>
          <w:rFonts w:cstheme="minorHAnsi"/>
          <w:sz w:val="24"/>
        </w:rPr>
        <w:t>building assets, $</w:t>
      </w:r>
      <w:r w:rsidR="00190BD7">
        <w:rPr>
          <w:rFonts w:cstheme="minorHAnsi"/>
          <w:sz w:val="24"/>
        </w:rPr>
        <w:t>9</w:t>
      </w:r>
      <w:r w:rsidR="00190BD7" w:rsidRPr="004E6649">
        <w:rPr>
          <w:rFonts w:cstheme="minorHAnsi"/>
          <w:sz w:val="24"/>
        </w:rPr>
        <w:t xml:space="preserve"> </w:t>
      </w:r>
      <w:r w:rsidR="007C3A40" w:rsidRPr="004E6649">
        <w:rPr>
          <w:rFonts w:cstheme="minorHAnsi"/>
          <w:sz w:val="24"/>
        </w:rPr>
        <w:t>million of equipment, $</w:t>
      </w:r>
      <w:r w:rsidR="00E1495D">
        <w:rPr>
          <w:rFonts w:cstheme="minorHAnsi"/>
          <w:sz w:val="24"/>
        </w:rPr>
        <w:t>2</w:t>
      </w:r>
      <w:r w:rsidR="00E1495D" w:rsidRPr="004E6649">
        <w:rPr>
          <w:rFonts w:cstheme="minorHAnsi"/>
          <w:sz w:val="24"/>
        </w:rPr>
        <w:t xml:space="preserve"> </w:t>
      </w:r>
      <w:r w:rsidR="007C3A40" w:rsidRPr="004E6649">
        <w:rPr>
          <w:rFonts w:cstheme="minorHAnsi"/>
          <w:sz w:val="24"/>
        </w:rPr>
        <w:t>million of subscription-based IT arrangements</w:t>
      </w:r>
      <w:r w:rsidR="00190BD7">
        <w:rPr>
          <w:rFonts w:cstheme="minorHAnsi"/>
          <w:sz w:val="24"/>
        </w:rPr>
        <w:t>, and $25 million of building improvements acquired through a public-private partnership</w:t>
      </w:r>
      <w:r w:rsidR="007C3A40" w:rsidRPr="004E6649">
        <w:rPr>
          <w:rFonts w:cstheme="minorHAnsi"/>
          <w:sz w:val="24"/>
        </w:rPr>
        <w:t>.</w:t>
      </w:r>
    </w:p>
    <w:p w14:paraId="38DFFDD4" w14:textId="77777777" w:rsidR="007C3A40" w:rsidRPr="004E6649" w:rsidRDefault="007C3A40" w:rsidP="00A83362">
      <w:pPr>
        <w:rPr>
          <w:rFonts w:cstheme="minorHAnsi"/>
          <w:sz w:val="24"/>
        </w:rPr>
      </w:pPr>
    </w:p>
    <w:p w14:paraId="2094431B" w14:textId="3CD4F5E6" w:rsidR="00A83362" w:rsidRPr="004E6649" w:rsidRDefault="00A83362" w:rsidP="00A83362">
      <w:pPr>
        <w:spacing w:line="256" w:lineRule="auto"/>
        <w:rPr>
          <w:rFonts w:cstheme="minorHAnsi"/>
          <w:sz w:val="24"/>
        </w:rPr>
      </w:pPr>
      <w:r w:rsidRPr="004E6649">
        <w:rPr>
          <w:rFonts w:cstheme="minorHAnsi"/>
          <w:sz w:val="24"/>
        </w:rPr>
        <w:t xml:space="preserve">The System strives to manage all its financial resources effectively, including the prudent use of debt to finance construction projects that support the System’s mission. </w:t>
      </w:r>
      <w:r w:rsidR="00E75EB5">
        <w:rPr>
          <w:rFonts w:cstheme="minorHAnsi"/>
          <w:sz w:val="24"/>
        </w:rPr>
        <w:t xml:space="preserve">In </w:t>
      </w:r>
      <w:r w:rsidR="00221582">
        <w:rPr>
          <w:rFonts w:cstheme="minorHAnsi"/>
          <w:sz w:val="24"/>
        </w:rPr>
        <w:t>FY25</w:t>
      </w:r>
      <w:r w:rsidR="00E75EB5">
        <w:rPr>
          <w:rFonts w:cstheme="minorHAnsi"/>
          <w:sz w:val="24"/>
        </w:rPr>
        <w:t>, t</w:t>
      </w:r>
      <w:r w:rsidR="00CA783C" w:rsidRPr="00675BA5">
        <w:rPr>
          <w:rFonts w:cstheme="minorHAnsi"/>
          <w:sz w:val="24"/>
        </w:rPr>
        <w:t xml:space="preserve">he System </w:t>
      </w:r>
      <w:r w:rsidR="00CA783C" w:rsidRPr="001D7591">
        <w:rPr>
          <w:rFonts w:cstheme="minorHAnsi"/>
          <w:sz w:val="24"/>
        </w:rPr>
        <w:t>borrowed $</w:t>
      </w:r>
      <w:r w:rsidR="001D7591" w:rsidRPr="008B69B9">
        <w:rPr>
          <w:rFonts w:cstheme="minorHAnsi"/>
          <w:sz w:val="24"/>
        </w:rPr>
        <w:t>2</w:t>
      </w:r>
      <w:r w:rsidR="001D7591" w:rsidRPr="001D7591">
        <w:rPr>
          <w:rFonts w:cstheme="minorHAnsi"/>
          <w:sz w:val="24"/>
        </w:rPr>
        <w:t xml:space="preserve"> </w:t>
      </w:r>
      <w:r w:rsidR="00CA783C" w:rsidRPr="001D7591">
        <w:rPr>
          <w:rFonts w:cstheme="minorHAnsi"/>
          <w:sz w:val="24"/>
        </w:rPr>
        <w:t xml:space="preserve">million through a lease purchase agreement to fund </w:t>
      </w:r>
      <w:r w:rsidR="00675BA5" w:rsidRPr="001D7591">
        <w:rPr>
          <w:rFonts w:cstheme="minorHAnsi"/>
          <w:sz w:val="24"/>
        </w:rPr>
        <w:t>equipment purchases throughout the System</w:t>
      </w:r>
      <w:r w:rsidR="00CA783C" w:rsidRPr="001D7591">
        <w:rPr>
          <w:rFonts w:cstheme="minorHAnsi"/>
          <w:sz w:val="24"/>
        </w:rPr>
        <w:t>.</w:t>
      </w:r>
      <w:r w:rsidR="00E75EB5">
        <w:rPr>
          <w:rFonts w:cstheme="minorHAnsi"/>
          <w:sz w:val="24"/>
        </w:rPr>
        <w:t xml:space="preserve"> In </w:t>
      </w:r>
      <w:r w:rsidR="00221582">
        <w:rPr>
          <w:rFonts w:cstheme="minorHAnsi"/>
          <w:sz w:val="24"/>
        </w:rPr>
        <w:t>FY24</w:t>
      </w:r>
      <w:r w:rsidR="00E75EB5">
        <w:rPr>
          <w:rFonts w:cstheme="minorHAnsi"/>
          <w:sz w:val="24"/>
        </w:rPr>
        <w:t xml:space="preserve">, the System </w:t>
      </w:r>
      <w:r w:rsidR="00221582">
        <w:rPr>
          <w:rFonts w:cstheme="minorHAnsi"/>
          <w:sz w:val="24"/>
        </w:rPr>
        <w:t>borrowed $1 million through a lease purchase agreement to fund equipment purchases throughout the System.</w:t>
      </w:r>
    </w:p>
    <w:p w14:paraId="72DF1921" w14:textId="77777777" w:rsidR="00A83362" w:rsidRPr="004E6649" w:rsidRDefault="00A83362" w:rsidP="00A83362">
      <w:pPr>
        <w:spacing w:line="256" w:lineRule="auto"/>
        <w:rPr>
          <w:rFonts w:cstheme="minorHAnsi"/>
          <w:sz w:val="24"/>
        </w:rPr>
      </w:pPr>
    </w:p>
    <w:p w14:paraId="73D3FB46" w14:textId="1A32783D" w:rsidR="00A83362" w:rsidRPr="004E6649" w:rsidRDefault="00A83362" w:rsidP="00A83362">
      <w:pPr>
        <w:spacing w:line="256" w:lineRule="auto"/>
        <w:rPr>
          <w:rFonts w:cstheme="minorHAnsi"/>
          <w:b/>
          <w:sz w:val="24"/>
        </w:rPr>
      </w:pPr>
      <w:r w:rsidRPr="004E6649">
        <w:rPr>
          <w:rFonts w:cstheme="minorHAnsi"/>
          <w:sz w:val="24"/>
        </w:rPr>
        <w:t xml:space="preserve">The System’s total outstanding debt as of June 30, </w:t>
      </w:r>
      <w:r w:rsidR="00221582" w:rsidRPr="004E6649">
        <w:rPr>
          <w:rFonts w:cstheme="minorHAnsi"/>
          <w:sz w:val="24"/>
        </w:rPr>
        <w:t>202</w:t>
      </w:r>
      <w:r w:rsidR="00221582">
        <w:rPr>
          <w:rFonts w:cstheme="minorHAnsi"/>
          <w:sz w:val="24"/>
        </w:rPr>
        <w:t>5</w:t>
      </w:r>
      <w:r w:rsidR="00221582" w:rsidRPr="004E6649">
        <w:rPr>
          <w:rFonts w:cstheme="minorHAnsi"/>
          <w:sz w:val="24"/>
        </w:rPr>
        <w:t xml:space="preserve"> </w:t>
      </w:r>
      <w:r w:rsidRPr="004E6649">
        <w:rPr>
          <w:rFonts w:cstheme="minorHAnsi"/>
          <w:sz w:val="24"/>
        </w:rPr>
        <w:t>was $</w:t>
      </w:r>
      <w:r w:rsidR="001D7591" w:rsidRPr="001D7591">
        <w:rPr>
          <w:rFonts w:cstheme="minorHAnsi"/>
          <w:sz w:val="24"/>
        </w:rPr>
        <w:t>2</w:t>
      </w:r>
      <w:r w:rsidR="001D7591" w:rsidRPr="008B69B9">
        <w:rPr>
          <w:rFonts w:cstheme="minorHAnsi"/>
          <w:sz w:val="24"/>
        </w:rPr>
        <w:t>02</w:t>
      </w:r>
      <w:r w:rsidR="001D7591" w:rsidRPr="001D7591">
        <w:rPr>
          <w:rFonts w:cstheme="minorHAnsi"/>
          <w:sz w:val="24"/>
        </w:rPr>
        <w:t xml:space="preserve"> </w:t>
      </w:r>
      <w:r w:rsidRPr="001D7591">
        <w:rPr>
          <w:rFonts w:cstheme="minorHAnsi"/>
          <w:sz w:val="24"/>
        </w:rPr>
        <w:t xml:space="preserve">million, a </w:t>
      </w:r>
      <w:r w:rsidR="00675BA5" w:rsidRPr="001D7591">
        <w:rPr>
          <w:rFonts w:cstheme="minorHAnsi"/>
          <w:sz w:val="24"/>
        </w:rPr>
        <w:t>de</w:t>
      </w:r>
      <w:r w:rsidRPr="001D7591">
        <w:rPr>
          <w:rFonts w:cstheme="minorHAnsi"/>
          <w:sz w:val="24"/>
        </w:rPr>
        <w:t>crease of $</w:t>
      </w:r>
      <w:r w:rsidR="001D7591" w:rsidRPr="001D7591">
        <w:rPr>
          <w:rFonts w:cstheme="minorHAnsi"/>
          <w:sz w:val="24"/>
        </w:rPr>
        <w:t>1</w:t>
      </w:r>
      <w:r w:rsidR="001D7591" w:rsidRPr="008B69B9">
        <w:rPr>
          <w:rFonts w:cstheme="minorHAnsi"/>
          <w:sz w:val="24"/>
        </w:rPr>
        <w:t>6</w:t>
      </w:r>
      <w:r w:rsidR="001D7591" w:rsidRPr="001D7591">
        <w:rPr>
          <w:rFonts w:cstheme="minorHAnsi"/>
          <w:sz w:val="24"/>
        </w:rPr>
        <w:t xml:space="preserve"> </w:t>
      </w:r>
      <w:r w:rsidRPr="001D7591">
        <w:rPr>
          <w:rFonts w:cstheme="minorHAnsi"/>
          <w:sz w:val="24"/>
        </w:rPr>
        <w:t xml:space="preserve">million, or </w:t>
      </w:r>
      <w:r w:rsidR="001D7591" w:rsidRPr="008B69B9">
        <w:rPr>
          <w:rFonts w:cstheme="minorHAnsi"/>
          <w:sz w:val="24"/>
        </w:rPr>
        <w:t>7</w:t>
      </w:r>
      <w:r w:rsidRPr="001D7591">
        <w:rPr>
          <w:rFonts w:cstheme="minorHAnsi"/>
          <w:sz w:val="24"/>
        </w:rPr>
        <w:t>%</w:t>
      </w:r>
      <w:r w:rsidRPr="00675BA5">
        <w:rPr>
          <w:rFonts w:cstheme="minorHAnsi"/>
          <w:sz w:val="24"/>
        </w:rPr>
        <w:t xml:space="preserve">, from the </w:t>
      </w:r>
      <w:r w:rsidR="00221582" w:rsidRPr="00675BA5">
        <w:rPr>
          <w:rFonts w:cstheme="minorHAnsi"/>
          <w:sz w:val="24"/>
        </w:rPr>
        <w:t>FY2</w:t>
      </w:r>
      <w:r w:rsidR="00221582">
        <w:rPr>
          <w:rFonts w:cstheme="minorHAnsi"/>
          <w:sz w:val="24"/>
        </w:rPr>
        <w:t>4</w:t>
      </w:r>
      <w:r w:rsidR="00221582" w:rsidRPr="00675BA5">
        <w:rPr>
          <w:rFonts w:cstheme="minorHAnsi"/>
          <w:sz w:val="24"/>
        </w:rPr>
        <w:t xml:space="preserve"> </w:t>
      </w:r>
      <w:r w:rsidRPr="00675BA5">
        <w:rPr>
          <w:rFonts w:cstheme="minorHAnsi"/>
          <w:sz w:val="24"/>
        </w:rPr>
        <w:t>total debt of $</w:t>
      </w:r>
      <w:r w:rsidR="00221582">
        <w:rPr>
          <w:rFonts w:cstheme="minorHAnsi"/>
          <w:sz w:val="24"/>
        </w:rPr>
        <w:t>218</w:t>
      </w:r>
      <w:r w:rsidR="00221582" w:rsidRPr="004E6649">
        <w:rPr>
          <w:rFonts w:cstheme="minorHAnsi"/>
          <w:sz w:val="24"/>
        </w:rPr>
        <w:t xml:space="preserve"> </w:t>
      </w:r>
      <w:r w:rsidRPr="004E6649">
        <w:rPr>
          <w:rFonts w:cstheme="minorHAnsi"/>
          <w:sz w:val="24"/>
        </w:rPr>
        <w:t xml:space="preserve">million. In </w:t>
      </w:r>
      <w:r w:rsidR="00221582" w:rsidRPr="004E6649">
        <w:rPr>
          <w:rFonts w:cstheme="minorHAnsi"/>
          <w:sz w:val="24"/>
        </w:rPr>
        <w:t>FY2</w:t>
      </w:r>
      <w:r w:rsidR="00221582">
        <w:rPr>
          <w:rFonts w:cstheme="minorHAnsi"/>
          <w:sz w:val="24"/>
        </w:rPr>
        <w:t>4</w:t>
      </w:r>
      <w:r w:rsidRPr="004E6649">
        <w:rPr>
          <w:rFonts w:cstheme="minorHAnsi"/>
          <w:sz w:val="24"/>
        </w:rPr>
        <w:t xml:space="preserve">, total debt </w:t>
      </w:r>
      <w:r w:rsidR="00221582">
        <w:rPr>
          <w:rFonts w:cstheme="minorHAnsi"/>
          <w:sz w:val="24"/>
        </w:rPr>
        <w:t>de</w:t>
      </w:r>
      <w:r w:rsidR="00221582" w:rsidRPr="004E6649">
        <w:rPr>
          <w:rFonts w:cstheme="minorHAnsi"/>
          <w:sz w:val="24"/>
        </w:rPr>
        <w:t xml:space="preserve">creased </w:t>
      </w:r>
      <w:r w:rsidRPr="004E6649">
        <w:rPr>
          <w:rFonts w:cstheme="minorHAnsi"/>
          <w:sz w:val="24"/>
        </w:rPr>
        <w:t>$</w:t>
      </w:r>
      <w:r w:rsidR="00221582">
        <w:rPr>
          <w:rFonts w:cstheme="minorHAnsi"/>
          <w:sz w:val="24"/>
        </w:rPr>
        <w:t>19</w:t>
      </w:r>
      <w:r w:rsidR="00221582" w:rsidRPr="004E6649">
        <w:rPr>
          <w:rFonts w:cstheme="minorHAnsi"/>
          <w:sz w:val="24"/>
        </w:rPr>
        <w:t xml:space="preserve"> </w:t>
      </w:r>
      <w:r w:rsidRPr="004E6649">
        <w:rPr>
          <w:rFonts w:cstheme="minorHAnsi"/>
          <w:sz w:val="24"/>
        </w:rPr>
        <w:t xml:space="preserve">million, or </w:t>
      </w:r>
      <w:r w:rsidR="00221582">
        <w:rPr>
          <w:rFonts w:cstheme="minorHAnsi"/>
          <w:sz w:val="24"/>
        </w:rPr>
        <w:t>8</w:t>
      </w:r>
      <w:r w:rsidRPr="004E6649">
        <w:rPr>
          <w:rFonts w:cstheme="minorHAnsi"/>
          <w:sz w:val="24"/>
        </w:rPr>
        <w:t xml:space="preserve">%, from the </w:t>
      </w:r>
      <w:r w:rsidR="00221582" w:rsidRPr="004E6649">
        <w:rPr>
          <w:rFonts w:cstheme="minorHAnsi"/>
          <w:sz w:val="24"/>
        </w:rPr>
        <w:t>FY2</w:t>
      </w:r>
      <w:r w:rsidR="00221582">
        <w:rPr>
          <w:rFonts w:cstheme="minorHAnsi"/>
          <w:sz w:val="24"/>
        </w:rPr>
        <w:t>3</w:t>
      </w:r>
      <w:r w:rsidR="00221582" w:rsidRPr="004E6649">
        <w:rPr>
          <w:rFonts w:cstheme="minorHAnsi"/>
          <w:sz w:val="24"/>
        </w:rPr>
        <w:t xml:space="preserve"> </w:t>
      </w:r>
      <w:r w:rsidRPr="004E6649">
        <w:rPr>
          <w:rFonts w:cstheme="minorHAnsi"/>
          <w:sz w:val="24"/>
        </w:rPr>
        <w:t>total debt of $</w:t>
      </w:r>
      <w:r w:rsidR="00221582">
        <w:rPr>
          <w:rFonts w:cstheme="minorHAnsi"/>
          <w:sz w:val="24"/>
        </w:rPr>
        <w:t>237</w:t>
      </w:r>
      <w:r w:rsidR="00221582" w:rsidRPr="004E6649">
        <w:rPr>
          <w:rFonts w:cstheme="minorHAnsi"/>
          <w:sz w:val="24"/>
        </w:rPr>
        <w:t xml:space="preserve"> </w:t>
      </w:r>
      <w:r w:rsidRPr="004E6649">
        <w:rPr>
          <w:rFonts w:cstheme="minorHAnsi"/>
          <w:sz w:val="24"/>
        </w:rPr>
        <w:t>million.</w:t>
      </w:r>
      <w:r w:rsidRPr="004E6649">
        <w:rPr>
          <w:rFonts w:cstheme="minorHAnsi"/>
          <w:b/>
          <w:sz w:val="24"/>
        </w:rPr>
        <w:br w:type="page"/>
      </w:r>
    </w:p>
    <w:p w14:paraId="2CDFB9C5" w14:textId="77777777" w:rsidR="004F1D1A" w:rsidRDefault="004F1D1A" w:rsidP="00A83362">
      <w:pPr>
        <w:jc w:val="center"/>
        <w:rPr>
          <w:rFonts w:cstheme="minorHAnsi"/>
          <w:b/>
          <w:sz w:val="24"/>
        </w:rPr>
        <w:sectPr w:rsidR="004F1D1A" w:rsidSect="00DC059D">
          <w:headerReference w:type="default" r:id="rId29"/>
          <w:type w:val="continuous"/>
          <w:pgSz w:w="12240" w:h="15840"/>
          <w:pgMar w:top="1440" w:right="1152" w:bottom="1440" w:left="1152" w:header="720" w:footer="720" w:gutter="0"/>
          <w:cols w:space="720"/>
        </w:sectPr>
      </w:pPr>
    </w:p>
    <w:p w14:paraId="265BA90A" w14:textId="72CC61C0" w:rsidR="00A83362" w:rsidRPr="004E6649" w:rsidRDefault="00A83362" w:rsidP="00A83362">
      <w:pPr>
        <w:jc w:val="center"/>
        <w:rPr>
          <w:rFonts w:cstheme="minorHAnsi"/>
          <w:b/>
          <w:sz w:val="24"/>
        </w:rPr>
      </w:pPr>
      <w:r w:rsidRPr="001609E4">
        <w:rPr>
          <w:rFonts w:cstheme="minorHAnsi"/>
          <w:b/>
          <w:sz w:val="24"/>
        </w:rPr>
        <w:lastRenderedPageBreak/>
        <w:t>Table 4:</w:t>
      </w:r>
      <w:r w:rsidRPr="004E6649">
        <w:rPr>
          <w:rFonts w:cstheme="minorHAnsi"/>
          <w:b/>
          <w:sz w:val="24"/>
        </w:rPr>
        <w:t xml:space="preserve"> Major Capital Projects Completed During </w:t>
      </w:r>
      <w:r w:rsidR="002117D1" w:rsidRPr="004E6649">
        <w:rPr>
          <w:rFonts w:cstheme="minorHAnsi"/>
          <w:b/>
          <w:sz w:val="24"/>
        </w:rPr>
        <w:t>FY2</w:t>
      </w:r>
      <w:r w:rsidR="00DE4E89">
        <w:rPr>
          <w:rFonts w:cstheme="minorHAnsi"/>
          <w:b/>
          <w:sz w:val="24"/>
        </w:rPr>
        <w:t>5</w:t>
      </w:r>
      <w:r w:rsidR="002117D1" w:rsidRPr="004E6649">
        <w:rPr>
          <w:rFonts w:cstheme="minorHAnsi"/>
          <w:b/>
          <w:sz w:val="24"/>
        </w:rPr>
        <w:t xml:space="preserve"> </w:t>
      </w:r>
      <w:r w:rsidRPr="004E6649">
        <w:rPr>
          <w:rFonts w:cstheme="minorHAnsi"/>
          <w:b/>
          <w:sz w:val="24"/>
        </w:rPr>
        <w:t xml:space="preserve">or In Progress at June 30, </w:t>
      </w:r>
      <w:r w:rsidR="00221582" w:rsidRPr="004E6649">
        <w:rPr>
          <w:rFonts w:cstheme="minorHAnsi"/>
          <w:b/>
          <w:sz w:val="24"/>
        </w:rPr>
        <w:t>202</w:t>
      </w:r>
      <w:r w:rsidR="00221582">
        <w:rPr>
          <w:rFonts w:cstheme="minorHAnsi"/>
          <w:b/>
          <w:sz w:val="24"/>
        </w:rPr>
        <w:t>5</w:t>
      </w:r>
    </w:p>
    <w:p w14:paraId="25709ACF" w14:textId="77777777" w:rsidR="00A83362" w:rsidRPr="004E6649" w:rsidRDefault="00A83362" w:rsidP="00A83362">
      <w:pPr>
        <w:jc w:val="center"/>
        <w:rPr>
          <w:rFonts w:cstheme="minorHAnsi"/>
          <w:b/>
          <w:sz w:val="21"/>
          <w:szCs w:val="21"/>
        </w:rPr>
      </w:pPr>
      <w:r w:rsidRPr="004E6649">
        <w:rPr>
          <w:rFonts w:cstheme="minorHAnsi"/>
          <w:b/>
          <w:sz w:val="21"/>
          <w:szCs w:val="21"/>
        </w:rPr>
        <w:t>(In millions)</w:t>
      </w:r>
    </w:p>
    <w:tbl>
      <w:tblPr>
        <w:tblW w:w="13140" w:type="dxa"/>
        <w:jc w:val="center"/>
        <w:tblLook w:val="04A0" w:firstRow="1" w:lastRow="0" w:firstColumn="1" w:lastColumn="0" w:noHBand="0" w:noVBand="1"/>
      </w:tblPr>
      <w:tblGrid>
        <w:gridCol w:w="5690"/>
        <w:gridCol w:w="4570"/>
        <w:gridCol w:w="1794"/>
        <w:gridCol w:w="1086"/>
      </w:tblGrid>
      <w:tr w:rsidR="00B00959" w:rsidRPr="00B00959" w14:paraId="3B230B12" w14:textId="77777777" w:rsidTr="008B69B9">
        <w:trPr>
          <w:trHeight w:val="189"/>
          <w:tblHeader/>
          <w:jc w:val="center"/>
        </w:trPr>
        <w:tc>
          <w:tcPr>
            <w:tcW w:w="5690" w:type="dxa"/>
            <w:tcBorders>
              <w:top w:val="nil"/>
              <w:left w:val="nil"/>
              <w:bottom w:val="single" w:sz="12" w:space="0" w:color="000000" w:themeColor="text1"/>
              <w:right w:val="nil"/>
            </w:tcBorders>
            <w:shd w:val="clear" w:color="000000" w:fill="FFFFFF"/>
            <w:vAlign w:val="bottom"/>
            <w:hideMark/>
          </w:tcPr>
          <w:p w14:paraId="64CAA228" w14:textId="77777777" w:rsidR="00B00959" w:rsidRPr="00324E33" w:rsidRDefault="00B00959" w:rsidP="00A81690">
            <w:pPr>
              <w:rPr>
                <w:rFonts w:eastAsia="Times New Roman" w:cstheme="minorHAnsi"/>
                <w:b/>
                <w:bCs/>
                <w:color w:val="0D0D0D"/>
                <w:sz w:val="20"/>
                <w:szCs w:val="20"/>
              </w:rPr>
            </w:pPr>
            <w:r w:rsidRPr="00324E33">
              <w:rPr>
                <w:rFonts w:eastAsia="Times New Roman" w:cstheme="minorHAnsi"/>
                <w:b/>
                <w:bCs/>
                <w:color w:val="0D0D0D"/>
                <w:sz w:val="20"/>
                <w:szCs w:val="20"/>
              </w:rPr>
              <w:t>Project</w:t>
            </w:r>
          </w:p>
        </w:tc>
        <w:tc>
          <w:tcPr>
            <w:tcW w:w="4570" w:type="dxa"/>
            <w:tcBorders>
              <w:top w:val="nil"/>
              <w:left w:val="nil"/>
              <w:bottom w:val="single" w:sz="12" w:space="0" w:color="000000" w:themeColor="text1"/>
              <w:right w:val="nil"/>
            </w:tcBorders>
            <w:shd w:val="clear" w:color="000000" w:fill="FFFFFF"/>
            <w:vAlign w:val="bottom"/>
            <w:hideMark/>
          </w:tcPr>
          <w:p w14:paraId="4CBBC866" w14:textId="77777777" w:rsidR="00B00959" w:rsidRPr="00324E33" w:rsidRDefault="00B00959" w:rsidP="00A81690">
            <w:pPr>
              <w:rPr>
                <w:rFonts w:eastAsia="Times New Roman" w:cstheme="minorHAnsi"/>
                <w:b/>
                <w:bCs/>
                <w:color w:val="0D0D0D"/>
                <w:sz w:val="20"/>
                <w:szCs w:val="20"/>
              </w:rPr>
            </w:pPr>
            <w:r w:rsidRPr="00324E33">
              <w:rPr>
                <w:rFonts w:eastAsia="Times New Roman" w:cstheme="minorHAnsi"/>
                <w:b/>
                <w:bCs/>
                <w:color w:val="0D0D0D"/>
                <w:sz w:val="20"/>
                <w:szCs w:val="20"/>
              </w:rPr>
              <w:t>Funding Source</w:t>
            </w:r>
          </w:p>
        </w:tc>
        <w:tc>
          <w:tcPr>
            <w:tcW w:w="1794" w:type="dxa"/>
            <w:tcBorders>
              <w:top w:val="nil"/>
              <w:left w:val="nil"/>
              <w:bottom w:val="single" w:sz="12" w:space="0" w:color="000000" w:themeColor="text1"/>
              <w:right w:val="nil"/>
            </w:tcBorders>
            <w:shd w:val="clear" w:color="000000" w:fill="FFFFFF"/>
            <w:vAlign w:val="bottom"/>
            <w:hideMark/>
          </w:tcPr>
          <w:p w14:paraId="5B03D229" w14:textId="77777777" w:rsidR="00B00959" w:rsidRPr="00324E33" w:rsidRDefault="00B00959" w:rsidP="00A81690">
            <w:pPr>
              <w:rPr>
                <w:rFonts w:eastAsia="Times New Roman" w:cstheme="minorHAnsi"/>
                <w:b/>
                <w:bCs/>
                <w:color w:val="0D0D0D"/>
                <w:sz w:val="20"/>
                <w:szCs w:val="20"/>
              </w:rPr>
            </w:pPr>
            <w:r w:rsidRPr="00324E33">
              <w:rPr>
                <w:rFonts w:eastAsia="Times New Roman" w:cstheme="minorHAnsi"/>
                <w:b/>
                <w:bCs/>
                <w:color w:val="0D0D0D"/>
                <w:sz w:val="20"/>
                <w:szCs w:val="20"/>
              </w:rPr>
              <w:t>Status</w:t>
            </w:r>
          </w:p>
        </w:tc>
        <w:tc>
          <w:tcPr>
            <w:tcW w:w="1086" w:type="dxa"/>
            <w:tcBorders>
              <w:top w:val="nil"/>
              <w:left w:val="nil"/>
              <w:bottom w:val="single" w:sz="12" w:space="0" w:color="000000" w:themeColor="text1"/>
              <w:right w:val="nil"/>
            </w:tcBorders>
            <w:shd w:val="clear" w:color="000000" w:fill="FFFFFF"/>
            <w:vAlign w:val="bottom"/>
            <w:hideMark/>
          </w:tcPr>
          <w:p w14:paraId="3CA25852" w14:textId="77777777" w:rsidR="00B00959" w:rsidRPr="00324E33" w:rsidRDefault="00B00959" w:rsidP="00A81690">
            <w:pPr>
              <w:rPr>
                <w:rFonts w:eastAsia="Times New Roman" w:cstheme="minorHAnsi"/>
                <w:b/>
                <w:bCs/>
                <w:color w:val="0D0D0D"/>
                <w:sz w:val="20"/>
                <w:szCs w:val="20"/>
              </w:rPr>
            </w:pPr>
            <w:r w:rsidRPr="00324E33">
              <w:rPr>
                <w:rFonts w:eastAsia="Times New Roman" w:cstheme="minorHAnsi"/>
                <w:b/>
                <w:bCs/>
                <w:color w:val="0D0D0D"/>
                <w:sz w:val="20"/>
                <w:szCs w:val="20"/>
              </w:rPr>
              <w:t>BOT Approved Budget</w:t>
            </w:r>
          </w:p>
        </w:tc>
      </w:tr>
      <w:tr w:rsidR="00B00959" w:rsidRPr="00B00959" w14:paraId="0D4D02BC" w14:textId="77777777" w:rsidTr="008B69B9">
        <w:trPr>
          <w:trHeight w:val="114"/>
          <w:jc w:val="center"/>
        </w:trPr>
        <w:tc>
          <w:tcPr>
            <w:tcW w:w="5690" w:type="dxa"/>
            <w:tcBorders>
              <w:top w:val="single" w:sz="12" w:space="0" w:color="000000" w:themeColor="text1"/>
              <w:left w:val="nil"/>
              <w:bottom w:val="nil"/>
              <w:right w:val="nil"/>
            </w:tcBorders>
            <w:shd w:val="clear" w:color="000000" w:fill="FFFFFF"/>
            <w:noWrap/>
            <w:vAlign w:val="bottom"/>
            <w:hideMark/>
          </w:tcPr>
          <w:p w14:paraId="4A6C7DBE" w14:textId="77777777" w:rsidR="00B00959" w:rsidRPr="00324E33" w:rsidRDefault="00B00959" w:rsidP="00A81690">
            <w:pPr>
              <w:rPr>
                <w:rFonts w:eastAsia="Times New Roman" w:cstheme="minorHAnsi"/>
                <w:b/>
                <w:bCs/>
                <w:sz w:val="20"/>
                <w:szCs w:val="20"/>
              </w:rPr>
            </w:pPr>
            <w:r w:rsidRPr="00324E33">
              <w:rPr>
                <w:rFonts w:eastAsia="Times New Roman" w:cstheme="minorHAnsi"/>
                <w:b/>
                <w:bCs/>
                <w:sz w:val="20"/>
                <w:szCs w:val="20"/>
              </w:rPr>
              <w:t>UMA</w:t>
            </w:r>
          </w:p>
        </w:tc>
        <w:tc>
          <w:tcPr>
            <w:tcW w:w="4570" w:type="dxa"/>
            <w:tcBorders>
              <w:top w:val="single" w:sz="12" w:space="0" w:color="000000" w:themeColor="text1"/>
              <w:left w:val="nil"/>
              <w:bottom w:val="nil"/>
              <w:right w:val="nil"/>
            </w:tcBorders>
            <w:shd w:val="clear" w:color="000000" w:fill="FFFFFF"/>
            <w:vAlign w:val="bottom"/>
            <w:hideMark/>
          </w:tcPr>
          <w:p w14:paraId="3F20B173" w14:textId="77777777" w:rsidR="00B00959" w:rsidRPr="00324E33" w:rsidRDefault="00B00959" w:rsidP="00A81690">
            <w:pPr>
              <w:rPr>
                <w:rFonts w:eastAsia="Times New Roman" w:cstheme="minorHAnsi"/>
                <w:sz w:val="20"/>
                <w:szCs w:val="20"/>
              </w:rPr>
            </w:pPr>
            <w:r w:rsidRPr="00324E33">
              <w:rPr>
                <w:rFonts w:eastAsia="Times New Roman" w:cstheme="minorHAnsi"/>
                <w:sz w:val="20"/>
                <w:szCs w:val="20"/>
              </w:rPr>
              <w:t> </w:t>
            </w:r>
          </w:p>
        </w:tc>
        <w:tc>
          <w:tcPr>
            <w:tcW w:w="1794" w:type="dxa"/>
            <w:tcBorders>
              <w:top w:val="single" w:sz="12" w:space="0" w:color="000000" w:themeColor="text1"/>
              <w:left w:val="nil"/>
              <w:bottom w:val="nil"/>
              <w:right w:val="nil"/>
            </w:tcBorders>
            <w:shd w:val="clear" w:color="000000" w:fill="FFFFFF"/>
            <w:vAlign w:val="bottom"/>
            <w:hideMark/>
          </w:tcPr>
          <w:p w14:paraId="644450EE" w14:textId="77777777" w:rsidR="00B00959" w:rsidRPr="00324E33" w:rsidRDefault="00B00959" w:rsidP="00A81690">
            <w:pPr>
              <w:rPr>
                <w:rFonts w:eastAsia="Times New Roman" w:cstheme="minorHAnsi"/>
                <w:sz w:val="20"/>
                <w:szCs w:val="20"/>
              </w:rPr>
            </w:pPr>
            <w:r w:rsidRPr="00324E33">
              <w:rPr>
                <w:rFonts w:eastAsia="Times New Roman" w:cstheme="minorHAnsi"/>
                <w:sz w:val="20"/>
                <w:szCs w:val="20"/>
              </w:rPr>
              <w:t> </w:t>
            </w:r>
          </w:p>
        </w:tc>
        <w:tc>
          <w:tcPr>
            <w:tcW w:w="1086" w:type="dxa"/>
            <w:tcBorders>
              <w:top w:val="single" w:sz="12" w:space="0" w:color="000000" w:themeColor="text1"/>
              <w:left w:val="nil"/>
              <w:bottom w:val="nil"/>
              <w:right w:val="nil"/>
            </w:tcBorders>
            <w:shd w:val="clear" w:color="000000" w:fill="FFFFFF"/>
            <w:noWrap/>
            <w:vAlign w:val="bottom"/>
            <w:hideMark/>
          </w:tcPr>
          <w:p w14:paraId="2BE1B798" w14:textId="77777777" w:rsidR="00B00959" w:rsidRPr="00324E33" w:rsidRDefault="00B00959" w:rsidP="00A81690">
            <w:pPr>
              <w:jc w:val="right"/>
              <w:rPr>
                <w:rFonts w:eastAsia="Times New Roman" w:cstheme="minorHAnsi"/>
                <w:sz w:val="20"/>
                <w:szCs w:val="20"/>
              </w:rPr>
            </w:pPr>
            <w:r w:rsidRPr="00324E33">
              <w:rPr>
                <w:rFonts w:eastAsia="Times New Roman" w:cstheme="minorHAnsi"/>
                <w:sz w:val="20"/>
                <w:szCs w:val="20"/>
              </w:rPr>
              <w:t> </w:t>
            </w:r>
          </w:p>
        </w:tc>
      </w:tr>
      <w:tr w:rsidR="003E5542" w:rsidRPr="00B00959" w14:paraId="18879C84" w14:textId="77777777" w:rsidTr="008B69B9">
        <w:trPr>
          <w:trHeight w:val="99"/>
          <w:jc w:val="center"/>
        </w:trPr>
        <w:tc>
          <w:tcPr>
            <w:tcW w:w="5690" w:type="dxa"/>
            <w:tcBorders>
              <w:top w:val="nil"/>
              <w:left w:val="nil"/>
              <w:bottom w:val="nil"/>
              <w:right w:val="nil"/>
            </w:tcBorders>
            <w:shd w:val="clear" w:color="000000" w:fill="FFFFFF"/>
            <w:hideMark/>
          </w:tcPr>
          <w:p w14:paraId="5E6EA8D5" w14:textId="53E6276F" w:rsidR="003E5542" w:rsidRPr="003E5542" w:rsidRDefault="003E5542" w:rsidP="003E5542">
            <w:pPr>
              <w:ind w:firstLineChars="100" w:firstLine="200"/>
              <w:rPr>
                <w:rFonts w:eastAsia="Times New Roman" w:cstheme="minorHAnsi"/>
                <w:sz w:val="20"/>
                <w:szCs w:val="20"/>
              </w:rPr>
            </w:pPr>
            <w:r w:rsidRPr="003E5542">
              <w:rPr>
                <w:sz w:val="20"/>
                <w:szCs w:val="20"/>
              </w:rPr>
              <w:t>•Medical Laboratory Technology</w:t>
            </w:r>
          </w:p>
        </w:tc>
        <w:tc>
          <w:tcPr>
            <w:tcW w:w="4570" w:type="dxa"/>
            <w:tcBorders>
              <w:top w:val="nil"/>
              <w:left w:val="nil"/>
              <w:bottom w:val="nil"/>
              <w:right w:val="nil"/>
            </w:tcBorders>
            <w:shd w:val="clear" w:color="000000" w:fill="FFFFFF"/>
            <w:hideMark/>
          </w:tcPr>
          <w:p w14:paraId="564FD89B" w14:textId="3F83A6F0" w:rsidR="003E5542" w:rsidRPr="003E5542" w:rsidRDefault="003E5542" w:rsidP="003E5542">
            <w:pPr>
              <w:rPr>
                <w:rFonts w:eastAsia="Times New Roman" w:cstheme="minorHAnsi"/>
                <w:sz w:val="20"/>
                <w:szCs w:val="20"/>
              </w:rPr>
            </w:pPr>
            <w:r w:rsidRPr="003E5542">
              <w:rPr>
                <w:sz w:val="20"/>
                <w:szCs w:val="20"/>
              </w:rPr>
              <w:t>Internal Loan, Education &amp; General, Grants</w:t>
            </w:r>
          </w:p>
        </w:tc>
        <w:tc>
          <w:tcPr>
            <w:tcW w:w="1794" w:type="dxa"/>
            <w:tcBorders>
              <w:top w:val="nil"/>
              <w:left w:val="nil"/>
              <w:bottom w:val="nil"/>
              <w:right w:val="nil"/>
            </w:tcBorders>
            <w:shd w:val="clear" w:color="000000" w:fill="FFFFFF"/>
            <w:hideMark/>
          </w:tcPr>
          <w:p w14:paraId="50359B5B" w14:textId="38A82852" w:rsidR="003E5542" w:rsidRPr="003E5542" w:rsidRDefault="003E5542" w:rsidP="003E5542">
            <w:pPr>
              <w:rPr>
                <w:rFonts w:eastAsia="Times New Roman" w:cstheme="minorHAnsi"/>
                <w:sz w:val="20"/>
                <w:szCs w:val="20"/>
              </w:rPr>
            </w:pPr>
            <w:r w:rsidRPr="003E5542">
              <w:rPr>
                <w:sz w:val="20"/>
                <w:szCs w:val="20"/>
              </w:rPr>
              <w:t>In Progress</w:t>
            </w:r>
          </w:p>
        </w:tc>
        <w:tc>
          <w:tcPr>
            <w:tcW w:w="1086" w:type="dxa"/>
            <w:tcBorders>
              <w:top w:val="nil"/>
              <w:left w:val="nil"/>
              <w:bottom w:val="nil"/>
              <w:right w:val="nil"/>
            </w:tcBorders>
            <w:shd w:val="clear" w:color="000000" w:fill="FFFFFF"/>
            <w:noWrap/>
            <w:hideMark/>
          </w:tcPr>
          <w:p w14:paraId="3395E539" w14:textId="6DA442E1" w:rsidR="003E5542" w:rsidRPr="003E5542" w:rsidRDefault="003E5542" w:rsidP="00B05EFA">
            <w:pPr>
              <w:tabs>
                <w:tab w:val="left" w:pos="350"/>
              </w:tabs>
              <w:jc w:val="right"/>
              <w:rPr>
                <w:rFonts w:eastAsia="Times New Roman" w:cstheme="minorHAnsi"/>
                <w:sz w:val="20"/>
                <w:szCs w:val="20"/>
              </w:rPr>
            </w:pPr>
            <w:r w:rsidRPr="003E5542">
              <w:rPr>
                <w:sz w:val="20"/>
                <w:szCs w:val="20"/>
              </w:rPr>
              <w:t>$</w:t>
            </w:r>
            <w:r w:rsidR="00B05EFA">
              <w:rPr>
                <w:sz w:val="20"/>
                <w:szCs w:val="20"/>
              </w:rPr>
              <w:t xml:space="preserve">  </w:t>
            </w:r>
            <w:r w:rsidRPr="003E5542">
              <w:rPr>
                <w:sz w:val="20"/>
                <w:szCs w:val="20"/>
              </w:rPr>
              <w:t xml:space="preserve">2.00 </w:t>
            </w:r>
          </w:p>
        </w:tc>
      </w:tr>
      <w:tr w:rsidR="003E5542" w:rsidRPr="00B00959" w14:paraId="230285EA" w14:textId="77777777" w:rsidTr="008B69B9">
        <w:trPr>
          <w:trHeight w:val="90"/>
          <w:jc w:val="center"/>
        </w:trPr>
        <w:tc>
          <w:tcPr>
            <w:tcW w:w="5690" w:type="dxa"/>
            <w:tcBorders>
              <w:top w:val="nil"/>
              <w:left w:val="nil"/>
              <w:bottom w:val="nil"/>
              <w:right w:val="nil"/>
            </w:tcBorders>
            <w:shd w:val="clear" w:color="000000" w:fill="FFFFFF"/>
            <w:hideMark/>
          </w:tcPr>
          <w:p w14:paraId="258C4181" w14:textId="781F7EA1" w:rsidR="003E5542" w:rsidRPr="003E5542" w:rsidRDefault="003E5542" w:rsidP="003E5542">
            <w:pPr>
              <w:ind w:firstLineChars="100" w:firstLine="200"/>
              <w:rPr>
                <w:rFonts w:eastAsia="Times New Roman" w:cstheme="minorHAnsi"/>
                <w:sz w:val="20"/>
                <w:szCs w:val="20"/>
              </w:rPr>
            </w:pPr>
            <w:r w:rsidRPr="003E5542">
              <w:rPr>
                <w:sz w:val="20"/>
                <w:szCs w:val="20"/>
              </w:rPr>
              <w:t>•Camden Hall Vet Tech</w:t>
            </w:r>
          </w:p>
        </w:tc>
        <w:tc>
          <w:tcPr>
            <w:tcW w:w="4570" w:type="dxa"/>
            <w:tcBorders>
              <w:top w:val="nil"/>
              <w:left w:val="nil"/>
              <w:bottom w:val="nil"/>
              <w:right w:val="nil"/>
            </w:tcBorders>
            <w:shd w:val="clear" w:color="000000" w:fill="FFFFFF"/>
            <w:hideMark/>
          </w:tcPr>
          <w:p w14:paraId="10B9CBA1" w14:textId="6B49E989" w:rsidR="003E5542" w:rsidRPr="003E5542" w:rsidRDefault="003E5542" w:rsidP="003E5542">
            <w:pPr>
              <w:rPr>
                <w:rFonts w:eastAsia="Times New Roman" w:cstheme="minorHAnsi"/>
                <w:sz w:val="20"/>
                <w:szCs w:val="20"/>
              </w:rPr>
            </w:pPr>
            <w:r w:rsidRPr="003E5542">
              <w:rPr>
                <w:sz w:val="20"/>
                <w:szCs w:val="20"/>
              </w:rPr>
              <w:t>Internal Loan, Education &amp; General</w:t>
            </w:r>
          </w:p>
        </w:tc>
        <w:tc>
          <w:tcPr>
            <w:tcW w:w="1794" w:type="dxa"/>
            <w:tcBorders>
              <w:top w:val="nil"/>
              <w:left w:val="nil"/>
              <w:bottom w:val="nil"/>
              <w:right w:val="nil"/>
            </w:tcBorders>
            <w:shd w:val="clear" w:color="000000" w:fill="FFFFFF"/>
            <w:hideMark/>
          </w:tcPr>
          <w:p w14:paraId="42C5AA31" w14:textId="0D912123" w:rsidR="003E5542" w:rsidRPr="003E5542" w:rsidRDefault="003E5542" w:rsidP="003E5542">
            <w:pPr>
              <w:rPr>
                <w:rFonts w:eastAsia="Times New Roman" w:cstheme="minorHAnsi"/>
                <w:sz w:val="20"/>
                <w:szCs w:val="20"/>
              </w:rPr>
            </w:pPr>
            <w:r w:rsidRPr="003E5542">
              <w:rPr>
                <w:sz w:val="20"/>
                <w:szCs w:val="20"/>
              </w:rPr>
              <w:t>In Progress</w:t>
            </w:r>
          </w:p>
        </w:tc>
        <w:tc>
          <w:tcPr>
            <w:tcW w:w="1086" w:type="dxa"/>
            <w:tcBorders>
              <w:top w:val="nil"/>
              <w:left w:val="nil"/>
              <w:bottom w:val="nil"/>
              <w:right w:val="nil"/>
            </w:tcBorders>
            <w:shd w:val="clear" w:color="000000" w:fill="FFFFFF"/>
            <w:noWrap/>
            <w:hideMark/>
          </w:tcPr>
          <w:p w14:paraId="341EF750" w14:textId="13B0F2A4" w:rsidR="003E5542" w:rsidRPr="003E5542" w:rsidRDefault="003E5542" w:rsidP="003E5542">
            <w:pPr>
              <w:jc w:val="right"/>
              <w:rPr>
                <w:rFonts w:eastAsia="Times New Roman" w:cstheme="minorHAnsi"/>
                <w:sz w:val="20"/>
                <w:szCs w:val="20"/>
              </w:rPr>
            </w:pPr>
            <w:r w:rsidRPr="003E5542">
              <w:rPr>
                <w:sz w:val="20"/>
                <w:szCs w:val="20"/>
              </w:rPr>
              <w:t xml:space="preserve"> 1.60 </w:t>
            </w:r>
          </w:p>
        </w:tc>
      </w:tr>
      <w:tr w:rsidR="003E5542" w:rsidRPr="00B00959" w14:paraId="3BFADAD5" w14:textId="77777777" w:rsidTr="008B69B9">
        <w:trPr>
          <w:trHeight w:val="95"/>
          <w:jc w:val="center"/>
        </w:trPr>
        <w:tc>
          <w:tcPr>
            <w:tcW w:w="5690" w:type="dxa"/>
            <w:tcBorders>
              <w:top w:val="nil"/>
              <w:left w:val="nil"/>
              <w:bottom w:val="nil"/>
              <w:right w:val="nil"/>
            </w:tcBorders>
            <w:shd w:val="clear" w:color="000000" w:fill="FFFFFF"/>
            <w:hideMark/>
          </w:tcPr>
          <w:p w14:paraId="32D83148" w14:textId="06593687" w:rsidR="003E5542" w:rsidRPr="003E5542" w:rsidRDefault="003E5542" w:rsidP="003E5542">
            <w:pPr>
              <w:ind w:firstLineChars="100" w:firstLine="200"/>
              <w:rPr>
                <w:rFonts w:eastAsia="Times New Roman" w:cstheme="minorHAnsi"/>
                <w:sz w:val="20"/>
                <w:szCs w:val="20"/>
              </w:rPr>
            </w:pPr>
            <w:r w:rsidRPr="003E5542">
              <w:rPr>
                <w:sz w:val="20"/>
                <w:szCs w:val="20"/>
              </w:rPr>
              <w:t>•</w:t>
            </w:r>
            <w:r w:rsidR="005D60F2">
              <w:rPr>
                <w:sz w:val="20"/>
                <w:szCs w:val="20"/>
              </w:rPr>
              <w:t>Lewiston-Auburn Campus (</w:t>
            </w:r>
            <w:r w:rsidRPr="003E5542">
              <w:rPr>
                <w:sz w:val="20"/>
                <w:szCs w:val="20"/>
              </w:rPr>
              <w:t>LAC</w:t>
            </w:r>
            <w:r w:rsidR="005D60F2">
              <w:rPr>
                <w:sz w:val="20"/>
                <w:szCs w:val="20"/>
              </w:rPr>
              <w:t>)</w:t>
            </w:r>
            <w:r w:rsidRPr="003E5542">
              <w:rPr>
                <w:sz w:val="20"/>
                <w:szCs w:val="20"/>
              </w:rPr>
              <w:t xml:space="preserve"> Dental Expansion</w:t>
            </w:r>
          </w:p>
        </w:tc>
        <w:tc>
          <w:tcPr>
            <w:tcW w:w="4570" w:type="dxa"/>
            <w:tcBorders>
              <w:top w:val="nil"/>
              <w:left w:val="nil"/>
              <w:bottom w:val="nil"/>
              <w:right w:val="nil"/>
            </w:tcBorders>
            <w:shd w:val="clear" w:color="000000" w:fill="FFFFFF"/>
            <w:hideMark/>
          </w:tcPr>
          <w:p w14:paraId="2AE777BE" w14:textId="278D8E52" w:rsidR="003E5542" w:rsidRPr="003E5542" w:rsidRDefault="003E5542" w:rsidP="003E5542">
            <w:pPr>
              <w:rPr>
                <w:rFonts w:eastAsia="Times New Roman" w:cstheme="minorHAnsi"/>
                <w:sz w:val="20"/>
                <w:szCs w:val="20"/>
              </w:rPr>
            </w:pPr>
            <w:r w:rsidRPr="003E5542">
              <w:rPr>
                <w:sz w:val="20"/>
                <w:szCs w:val="20"/>
              </w:rPr>
              <w:t>Grants</w:t>
            </w:r>
          </w:p>
        </w:tc>
        <w:tc>
          <w:tcPr>
            <w:tcW w:w="1794" w:type="dxa"/>
            <w:tcBorders>
              <w:top w:val="nil"/>
              <w:left w:val="nil"/>
              <w:bottom w:val="nil"/>
              <w:right w:val="nil"/>
            </w:tcBorders>
            <w:shd w:val="clear" w:color="000000" w:fill="FFFFFF"/>
            <w:hideMark/>
          </w:tcPr>
          <w:p w14:paraId="0CE96CAC" w14:textId="7C9998E2" w:rsidR="003E5542" w:rsidRPr="003E5542" w:rsidRDefault="003E5542" w:rsidP="003E5542">
            <w:pPr>
              <w:rPr>
                <w:rFonts w:eastAsia="Times New Roman" w:cstheme="minorHAnsi"/>
                <w:sz w:val="20"/>
                <w:szCs w:val="20"/>
              </w:rPr>
            </w:pPr>
            <w:r w:rsidRPr="003E5542">
              <w:rPr>
                <w:sz w:val="20"/>
                <w:szCs w:val="20"/>
              </w:rPr>
              <w:t>In Progress</w:t>
            </w:r>
          </w:p>
        </w:tc>
        <w:tc>
          <w:tcPr>
            <w:tcW w:w="1086" w:type="dxa"/>
            <w:tcBorders>
              <w:top w:val="nil"/>
              <w:left w:val="nil"/>
              <w:bottom w:val="nil"/>
              <w:right w:val="nil"/>
            </w:tcBorders>
            <w:shd w:val="clear" w:color="000000" w:fill="FFFFFF"/>
            <w:noWrap/>
            <w:hideMark/>
          </w:tcPr>
          <w:p w14:paraId="71FAC23F" w14:textId="2B8AFFAD" w:rsidR="003E5542" w:rsidRPr="003E5542" w:rsidRDefault="003E5542" w:rsidP="003E5542">
            <w:pPr>
              <w:jc w:val="right"/>
              <w:rPr>
                <w:rFonts w:eastAsia="Times New Roman" w:cstheme="minorHAnsi"/>
                <w:sz w:val="20"/>
                <w:szCs w:val="20"/>
              </w:rPr>
            </w:pPr>
            <w:r w:rsidRPr="003E5542">
              <w:rPr>
                <w:sz w:val="20"/>
                <w:szCs w:val="20"/>
              </w:rPr>
              <w:t xml:space="preserve"> 0.67 </w:t>
            </w:r>
          </w:p>
        </w:tc>
      </w:tr>
      <w:tr w:rsidR="003E5542" w:rsidRPr="00B00959" w14:paraId="78817556" w14:textId="77777777" w:rsidTr="008B69B9">
        <w:trPr>
          <w:trHeight w:val="95"/>
          <w:jc w:val="center"/>
        </w:trPr>
        <w:tc>
          <w:tcPr>
            <w:tcW w:w="5690" w:type="dxa"/>
            <w:tcBorders>
              <w:top w:val="nil"/>
              <w:left w:val="nil"/>
              <w:bottom w:val="nil"/>
              <w:right w:val="nil"/>
            </w:tcBorders>
            <w:shd w:val="clear" w:color="000000" w:fill="FFFFFF"/>
            <w:hideMark/>
          </w:tcPr>
          <w:p w14:paraId="21A9DF3E" w14:textId="0E7F6724" w:rsidR="003E5542" w:rsidRPr="003E5542" w:rsidRDefault="003E5542" w:rsidP="003E5542">
            <w:pPr>
              <w:ind w:firstLineChars="100" w:firstLine="200"/>
              <w:rPr>
                <w:rFonts w:eastAsia="Times New Roman" w:cstheme="minorHAnsi"/>
                <w:sz w:val="20"/>
                <w:szCs w:val="20"/>
              </w:rPr>
            </w:pPr>
            <w:r w:rsidRPr="003E5542">
              <w:rPr>
                <w:sz w:val="20"/>
                <w:szCs w:val="20"/>
              </w:rPr>
              <w:t>•Capitol Center Nursing</w:t>
            </w:r>
          </w:p>
        </w:tc>
        <w:tc>
          <w:tcPr>
            <w:tcW w:w="4570" w:type="dxa"/>
            <w:tcBorders>
              <w:top w:val="nil"/>
              <w:left w:val="nil"/>
              <w:bottom w:val="nil"/>
              <w:right w:val="nil"/>
            </w:tcBorders>
            <w:shd w:val="clear" w:color="000000" w:fill="FFFFFF"/>
            <w:hideMark/>
          </w:tcPr>
          <w:p w14:paraId="0CE61A67" w14:textId="48A49B02" w:rsidR="003E5542" w:rsidRPr="003E5542" w:rsidRDefault="003E5542" w:rsidP="003E5542">
            <w:pPr>
              <w:rPr>
                <w:rFonts w:eastAsia="Times New Roman" w:cstheme="minorHAnsi"/>
                <w:sz w:val="20"/>
                <w:szCs w:val="20"/>
              </w:rPr>
            </w:pPr>
            <w:r w:rsidRPr="003E5542">
              <w:rPr>
                <w:sz w:val="20"/>
                <w:szCs w:val="20"/>
              </w:rPr>
              <w:t>Education &amp; General, Grants</w:t>
            </w:r>
          </w:p>
        </w:tc>
        <w:tc>
          <w:tcPr>
            <w:tcW w:w="1794" w:type="dxa"/>
            <w:tcBorders>
              <w:top w:val="nil"/>
              <w:left w:val="nil"/>
              <w:bottom w:val="nil"/>
              <w:right w:val="nil"/>
            </w:tcBorders>
            <w:shd w:val="clear" w:color="000000" w:fill="FFFFFF"/>
            <w:hideMark/>
          </w:tcPr>
          <w:p w14:paraId="728FA2D4" w14:textId="6DDB67C7" w:rsidR="003E5542" w:rsidRPr="003E5542" w:rsidRDefault="003E5542" w:rsidP="003E5542">
            <w:pPr>
              <w:rPr>
                <w:rFonts w:eastAsia="Times New Roman" w:cstheme="minorHAnsi"/>
                <w:sz w:val="20"/>
                <w:szCs w:val="20"/>
              </w:rPr>
            </w:pPr>
            <w:r w:rsidRPr="003E5542">
              <w:rPr>
                <w:sz w:val="20"/>
                <w:szCs w:val="20"/>
              </w:rPr>
              <w:t>In Progress</w:t>
            </w:r>
          </w:p>
        </w:tc>
        <w:tc>
          <w:tcPr>
            <w:tcW w:w="1086" w:type="dxa"/>
            <w:tcBorders>
              <w:top w:val="nil"/>
              <w:left w:val="nil"/>
              <w:bottom w:val="nil"/>
              <w:right w:val="nil"/>
            </w:tcBorders>
            <w:shd w:val="clear" w:color="000000" w:fill="FFFFFF"/>
            <w:noWrap/>
            <w:hideMark/>
          </w:tcPr>
          <w:p w14:paraId="0B668ED0" w14:textId="15292526" w:rsidR="003E5542" w:rsidRPr="003E5542" w:rsidRDefault="003E5542" w:rsidP="003E5542">
            <w:pPr>
              <w:jc w:val="right"/>
              <w:rPr>
                <w:rFonts w:eastAsia="Times New Roman" w:cstheme="minorHAnsi"/>
                <w:sz w:val="20"/>
                <w:szCs w:val="20"/>
              </w:rPr>
            </w:pPr>
            <w:r w:rsidRPr="003E5542">
              <w:rPr>
                <w:sz w:val="20"/>
                <w:szCs w:val="20"/>
              </w:rPr>
              <w:t xml:space="preserve"> 7.30 </w:t>
            </w:r>
          </w:p>
        </w:tc>
      </w:tr>
      <w:tr w:rsidR="003E5542" w:rsidRPr="00B00959" w14:paraId="3E26534B" w14:textId="77777777" w:rsidTr="008B69B9">
        <w:trPr>
          <w:trHeight w:val="117"/>
          <w:jc w:val="center"/>
        </w:trPr>
        <w:tc>
          <w:tcPr>
            <w:tcW w:w="5690" w:type="dxa"/>
            <w:tcBorders>
              <w:top w:val="nil"/>
              <w:left w:val="nil"/>
              <w:bottom w:val="nil"/>
              <w:right w:val="nil"/>
            </w:tcBorders>
            <w:shd w:val="clear" w:color="000000" w:fill="FFFFFF"/>
            <w:hideMark/>
          </w:tcPr>
          <w:p w14:paraId="197F51CA" w14:textId="6682CCFD" w:rsidR="003E5542" w:rsidRPr="003E5542" w:rsidRDefault="003E5542" w:rsidP="003E5542">
            <w:pPr>
              <w:ind w:firstLineChars="100" w:firstLine="200"/>
              <w:rPr>
                <w:rFonts w:eastAsia="Times New Roman" w:cstheme="minorHAnsi"/>
                <w:sz w:val="20"/>
                <w:szCs w:val="20"/>
              </w:rPr>
            </w:pPr>
            <w:r w:rsidRPr="003E5542">
              <w:rPr>
                <w:sz w:val="20"/>
                <w:szCs w:val="20"/>
              </w:rPr>
              <w:t>•Katz Recording Studio</w:t>
            </w:r>
          </w:p>
        </w:tc>
        <w:tc>
          <w:tcPr>
            <w:tcW w:w="4570" w:type="dxa"/>
            <w:tcBorders>
              <w:top w:val="nil"/>
              <w:left w:val="nil"/>
              <w:bottom w:val="nil"/>
              <w:right w:val="nil"/>
            </w:tcBorders>
            <w:shd w:val="clear" w:color="000000" w:fill="FFFFFF"/>
            <w:hideMark/>
          </w:tcPr>
          <w:p w14:paraId="44717B70" w14:textId="42FEE9DD" w:rsidR="003E5542" w:rsidRPr="003E5542" w:rsidRDefault="003E5542" w:rsidP="003E5542">
            <w:pPr>
              <w:rPr>
                <w:rFonts w:eastAsia="Times New Roman" w:cstheme="minorHAnsi"/>
                <w:sz w:val="20"/>
                <w:szCs w:val="20"/>
              </w:rPr>
            </w:pPr>
            <w:r w:rsidRPr="003E5542">
              <w:rPr>
                <w:sz w:val="20"/>
                <w:szCs w:val="20"/>
              </w:rPr>
              <w:t>Education &amp; General</w:t>
            </w:r>
          </w:p>
        </w:tc>
        <w:tc>
          <w:tcPr>
            <w:tcW w:w="1794" w:type="dxa"/>
            <w:tcBorders>
              <w:top w:val="nil"/>
              <w:left w:val="nil"/>
              <w:bottom w:val="nil"/>
              <w:right w:val="nil"/>
            </w:tcBorders>
            <w:shd w:val="clear" w:color="000000" w:fill="FFFFFF"/>
            <w:hideMark/>
          </w:tcPr>
          <w:p w14:paraId="50995559" w14:textId="485EA8F6" w:rsidR="003E5542" w:rsidRPr="003E5542" w:rsidRDefault="003E5542" w:rsidP="003E5542">
            <w:pPr>
              <w:rPr>
                <w:rFonts w:eastAsia="Times New Roman" w:cstheme="minorHAnsi"/>
                <w:sz w:val="20"/>
                <w:szCs w:val="20"/>
              </w:rPr>
            </w:pPr>
            <w:r w:rsidRPr="003E5542">
              <w:rPr>
                <w:sz w:val="20"/>
                <w:szCs w:val="20"/>
              </w:rPr>
              <w:t>In Progress</w:t>
            </w:r>
          </w:p>
        </w:tc>
        <w:tc>
          <w:tcPr>
            <w:tcW w:w="1086" w:type="dxa"/>
            <w:tcBorders>
              <w:top w:val="nil"/>
              <w:left w:val="nil"/>
              <w:bottom w:val="nil"/>
              <w:right w:val="nil"/>
            </w:tcBorders>
            <w:shd w:val="clear" w:color="000000" w:fill="FFFFFF"/>
            <w:noWrap/>
            <w:hideMark/>
          </w:tcPr>
          <w:p w14:paraId="256C131F" w14:textId="7284D1DC" w:rsidR="003E5542" w:rsidRPr="003E5542" w:rsidRDefault="003E5542" w:rsidP="003E5542">
            <w:pPr>
              <w:jc w:val="right"/>
              <w:rPr>
                <w:rFonts w:eastAsia="Times New Roman" w:cstheme="minorHAnsi"/>
                <w:sz w:val="20"/>
                <w:szCs w:val="20"/>
              </w:rPr>
            </w:pPr>
            <w:r w:rsidRPr="003E5542">
              <w:rPr>
                <w:sz w:val="20"/>
                <w:szCs w:val="20"/>
              </w:rPr>
              <w:t xml:space="preserve"> 0.60 </w:t>
            </w:r>
          </w:p>
        </w:tc>
      </w:tr>
      <w:tr w:rsidR="003E5542" w:rsidRPr="00B00959" w14:paraId="1D4BF990" w14:textId="77777777" w:rsidTr="008B69B9">
        <w:trPr>
          <w:trHeight w:val="95"/>
          <w:jc w:val="center"/>
        </w:trPr>
        <w:tc>
          <w:tcPr>
            <w:tcW w:w="5690" w:type="dxa"/>
            <w:tcBorders>
              <w:top w:val="nil"/>
              <w:left w:val="nil"/>
              <w:bottom w:val="nil"/>
              <w:right w:val="nil"/>
            </w:tcBorders>
            <w:shd w:val="clear" w:color="000000" w:fill="FFFFFF"/>
            <w:noWrap/>
            <w:hideMark/>
          </w:tcPr>
          <w:p w14:paraId="5F564594" w14:textId="6C73E5B9" w:rsidR="003E5542" w:rsidRPr="003E5542" w:rsidRDefault="003E5542" w:rsidP="003E5542">
            <w:pPr>
              <w:ind w:firstLineChars="100" w:firstLine="200"/>
              <w:rPr>
                <w:rFonts w:eastAsia="Times New Roman" w:cstheme="minorHAnsi"/>
                <w:b/>
                <w:bCs/>
                <w:sz w:val="20"/>
                <w:szCs w:val="20"/>
              </w:rPr>
            </w:pPr>
            <w:r w:rsidRPr="003E5542">
              <w:rPr>
                <w:sz w:val="20"/>
                <w:szCs w:val="20"/>
              </w:rPr>
              <w:t>•Bangor Café</w:t>
            </w:r>
          </w:p>
        </w:tc>
        <w:tc>
          <w:tcPr>
            <w:tcW w:w="4570" w:type="dxa"/>
            <w:tcBorders>
              <w:top w:val="nil"/>
              <w:left w:val="nil"/>
              <w:bottom w:val="nil"/>
              <w:right w:val="nil"/>
            </w:tcBorders>
            <w:shd w:val="clear" w:color="000000" w:fill="FFFFFF"/>
            <w:hideMark/>
          </w:tcPr>
          <w:p w14:paraId="0BB816BC" w14:textId="3540CD57" w:rsidR="003E5542" w:rsidRPr="003E5542" w:rsidRDefault="003E5542" w:rsidP="003E5542">
            <w:pPr>
              <w:rPr>
                <w:rFonts w:eastAsia="Times New Roman" w:cstheme="minorHAnsi"/>
                <w:sz w:val="20"/>
                <w:szCs w:val="20"/>
              </w:rPr>
            </w:pPr>
            <w:r w:rsidRPr="003E5542">
              <w:rPr>
                <w:sz w:val="20"/>
                <w:szCs w:val="20"/>
              </w:rPr>
              <w:t>Education &amp; General</w:t>
            </w:r>
          </w:p>
        </w:tc>
        <w:tc>
          <w:tcPr>
            <w:tcW w:w="1794" w:type="dxa"/>
            <w:tcBorders>
              <w:top w:val="nil"/>
              <w:left w:val="nil"/>
              <w:bottom w:val="nil"/>
              <w:right w:val="nil"/>
            </w:tcBorders>
            <w:shd w:val="clear" w:color="000000" w:fill="FFFFFF"/>
            <w:hideMark/>
          </w:tcPr>
          <w:p w14:paraId="304CE737" w14:textId="12124213" w:rsidR="003E5542" w:rsidRPr="003E5542" w:rsidRDefault="003E5542" w:rsidP="003E5542">
            <w:pPr>
              <w:rPr>
                <w:rFonts w:eastAsia="Times New Roman" w:cstheme="minorHAnsi"/>
                <w:sz w:val="20"/>
                <w:szCs w:val="20"/>
              </w:rPr>
            </w:pPr>
            <w:r w:rsidRPr="003E5542">
              <w:rPr>
                <w:sz w:val="20"/>
                <w:szCs w:val="20"/>
              </w:rPr>
              <w:t>In Progress</w:t>
            </w:r>
          </w:p>
        </w:tc>
        <w:tc>
          <w:tcPr>
            <w:tcW w:w="1086" w:type="dxa"/>
            <w:tcBorders>
              <w:top w:val="nil"/>
              <w:left w:val="nil"/>
              <w:bottom w:val="nil"/>
              <w:right w:val="nil"/>
            </w:tcBorders>
            <w:shd w:val="clear" w:color="000000" w:fill="FFFFFF"/>
            <w:noWrap/>
            <w:hideMark/>
          </w:tcPr>
          <w:p w14:paraId="114EF64F" w14:textId="617D809B" w:rsidR="003E5542" w:rsidRPr="003E5542" w:rsidRDefault="003E5542" w:rsidP="003E5542">
            <w:pPr>
              <w:jc w:val="right"/>
              <w:rPr>
                <w:rFonts w:eastAsia="Times New Roman" w:cstheme="minorHAnsi"/>
                <w:sz w:val="20"/>
                <w:szCs w:val="20"/>
              </w:rPr>
            </w:pPr>
            <w:r w:rsidRPr="003E5542">
              <w:rPr>
                <w:sz w:val="20"/>
                <w:szCs w:val="20"/>
              </w:rPr>
              <w:t xml:space="preserve"> 0.70 </w:t>
            </w:r>
          </w:p>
        </w:tc>
      </w:tr>
      <w:tr w:rsidR="004F1D1A" w:rsidRPr="00B00959" w14:paraId="136594F6" w14:textId="77777777" w:rsidTr="008B69B9">
        <w:trPr>
          <w:trHeight w:val="95"/>
          <w:jc w:val="center"/>
        </w:trPr>
        <w:tc>
          <w:tcPr>
            <w:tcW w:w="5690" w:type="dxa"/>
            <w:tcBorders>
              <w:top w:val="nil"/>
              <w:left w:val="nil"/>
              <w:bottom w:val="nil"/>
              <w:right w:val="nil"/>
            </w:tcBorders>
            <w:shd w:val="clear" w:color="000000" w:fill="FFFFFF"/>
            <w:vAlign w:val="bottom"/>
            <w:hideMark/>
          </w:tcPr>
          <w:p w14:paraId="06B1BA05" w14:textId="745F7D7C" w:rsidR="004F1D1A" w:rsidRPr="00324E33" w:rsidRDefault="004F1D1A" w:rsidP="004F1D1A">
            <w:pPr>
              <w:rPr>
                <w:rFonts w:eastAsia="Times New Roman" w:cstheme="minorHAnsi"/>
                <w:sz w:val="20"/>
                <w:szCs w:val="20"/>
              </w:rPr>
            </w:pPr>
            <w:r w:rsidRPr="00324E33">
              <w:rPr>
                <w:rFonts w:ascii="Calibri" w:hAnsi="Calibri" w:cs="Calibri"/>
                <w:b/>
                <w:bCs/>
                <w:sz w:val="20"/>
                <w:szCs w:val="20"/>
              </w:rPr>
              <w:t>UMF</w:t>
            </w:r>
          </w:p>
        </w:tc>
        <w:tc>
          <w:tcPr>
            <w:tcW w:w="4570" w:type="dxa"/>
            <w:tcBorders>
              <w:top w:val="nil"/>
              <w:left w:val="nil"/>
              <w:bottom w:val="nil"/>
              <w:right w:val="nil"/>
            </w:tcBorders>
            <w:shd w:val="clear" w:color="000000" w:fill="FFFFFF"/>
            <w:hideMark/>
          </w:tcPr>
          <w:p w14:paraId="6B3A07D6" w14:textId="4568C096" w:rsidR="004F1D1A" w:rsidRPr="00324E33" w:rsidRDefault="004F1D1A" w:rsidP="004F1D1A">
            <w:pPr>
              <w:rPr>
                <w:rFonts w:eastAsia="Times New Roman" w:cstheme="minorHAnsi"/>
                <w:sz w:val="20"/>
                <w:szCs w:val="20"/>
              </w:rPr>
            </w:pPr>
            <w:r w:rsidRPr="00324E33">
              <w:rPr>
                <w:rFonts w:ascii="Calibri" w:hAnsi="Calibri" w:cs="Calibri"/>
                <w:sz w:val="20"/>
                <w:szCs w:val="20"/>
              </w:rPr>
              <w:t> </w:t>
            </w:r>
          </w:p>
        </w:tc>
        <w:tc>
          <w:tcPr>
            <w:tcW w:w="1794" w:type="dxa"/>
            <w:tcBorders>
              <w:top w:val="nil"/>
              <w:left w:val="nil"/>
              <w:bottom w:val="nil"/>
              <w:right w:val="nil"/>
            </w:tcBorders>
            <w:shd w:val="clear" w:color="000000" w:fill="FFFFFF"/>
            <w:hideMark/>
          </w:tcPr>
          <w:p w14:paraId="2C4B9B86" w14:textId="4921012A" w:rsidR="004F1D1A" w:rsidRPr="00324E33" w:rsidRDefault="004F1D1A" w:rsidP="004F1D1A">
            <w:pPr>
              <w:rPr>
                <w:rFonts w:eastAsia="Times New Roman" w:cstheme="minorHAnsi"/>
                <w:sz w:val="20"/>
                <w:szCs w:val="20"/>
              </w:rPr>
            </w:pPr>
            <w:r w:rsidRPr="00324E33">
              <w:rPr>
                <w:rFonts w:ascii="Calibri" w:hAnsi="Calibri" w:cs="Calibri"/>
                <w:sz w:val="20"/>
                <w:szCs w:val="20"/>
              </w:rPr>
              <w:t> </w:t>
            </w:r>
          </w:p>
        </w:tc>
        <w:tc>
          <w:tcPr>
            <w:tcW w:w="1086" w:type="dxa"/>
            <w:tcBorders>
              <w:top w:val="nil"/>
              <w:left w:val="nil"/>
              <w:bottom w:val="nil"/>
              <w:right w:val="nil"/>
            </w:tcBorders>
            <w:shd w:val="clear" w:color="000000" w:fill="FFFFFF"/>
            <w:noWrap/>
            <w:hideMark/>
          </w:tcPr>
          <w:p w14:paraId="6B9A240A" w14:textId="50E4A259" w:rsidR="004F1D1A" w:rsidRPr="00324E33" w:rsidRDefault="004F1D1A" w:rsidP="004F1D1A">
            <w:pPr>
              <w:jc w:val="right"/>
              <w:rPr>
                <w:rFonts w:eastAsia="Times New Roman" w:cstheme="minorHAnsi"/>
                <w:sz w:val="20"/>
                <w:szCs w:val="20"/>
              </w:rPr>
            </w:pPr>
            <w:r w:rsidRPr="00324E33">
              <w:rPr>
                <w:rFonts w:ascii="Calibri" w:hAnsi="Calibri" w:cs="Calibri"/>
                <w:sz w:val="20"/>
                <w:szCs w:val="20"/>
              </w:rPr>
              <w:t> </w:t>
            </w:r>
          </w:p>
        </w:tc>
      </w:tr>
      <w:tr w:rsidR="003E5542" w:rsidRPr="00B00959" w14:paraId="07AD7455" w14:textId="77777777" w:rsidTr="008B69B9">
        <w:trPr>
          <w:trHeight w:val="95"/>
          <w:jc w:val="center"/>
        </w:trPr>
        <w:tc>
          <w:tcPr>
            <w:tcW w:w="5690" w:type="dxa"/>
            <w:tcBorders>
              <w:top w:val="nil"/>
              <w:left w:val="nil"/>
              <w:bottom w:val="nil"/>
              <w:right w:val="nil"/>
            </w:tcBorders>
            <w:shd w:val="clear" w:color="000000" w:fill="FFFFFF"/>
            <w:hideMark/>
          </w:tcPr>
          <w:p w14:paraId="3B1068A0" w14:textId="26BBB2DF" w:rsidR="003E5542" w:rsidRPr="003E5542" w:rsidRDefault="003E5542" w:rsidP="003E5542">
            <w:pPr>
              <w:ind w:firstLineChars="100" w:firstLine="200"/>
              <w:rPr>
                <w:rFonts w:eastAsia="Times New Roman" w:cstheme="minorHAnsi"/>
                <w:sz w:val="20"/>
                <w:szCs w:val="20"/>
              </w:rPr>
            </w:pPr>
            <w:r w:rsidRPr="00B05EFA">
              <w:rPr>
                <w:sz w:val="20"/>
                <w:szCs w:val="20"/>
              </w:rPr>
              <w:t>•274 Front St Renovation</w:t>
            </w:r>
          </w:p>
        </w:tc>
        <w:tc>
          <w:tcPr>
            <w:tcW w:w="4570" w:type="dxa"/>
            <w:tcBorders>
              <w:top w:val="nil"/>
              <w:left w:val="nil"/>
              <w:bottom w:val="nil"/>
              <w:right w:val="nil"/>
            </w:tcBorders>
            <w:shd w:val="clear" w:color="000000" w:fill="FFFFFF"/>
            <w:hideMark/>
          </w:tcPr>
          <w:p w14:paraId="7F8A91FF" w14:textId="456B2BD3" w:rsidR="003E5542" w:rsidRPr="003E5542" w:rsidRDefault="003E5542" w:rsidP="003E5542">
            <w:pPr>
              <w:rPr>
                <w:rFonts w:eastAsia="Times New Roman" w:cstheme="minorHAnsi"/>
                <w:sz w:val="20"/>
                <w:szCs w:val="20"/>
              </w:rPr>
            </w:pPr>
            <w:r w:rsidRPr="00B05EFA">
              <w:rPr>
                <w:sz w:val="20"/>
                <w:szCs w:val="20"/>
              </w:rPr>
              <w:t>2018 State Bond, Grants</w:t>
            </w:r>
          </w:p>
        </w:tc>
        <w:tc>
          <w:tcPr>
            <w:tcW w:w="1794" w:type="dxa"/>
            <w:tcBorders>
              <w:top w:val="nil"/>
              <w:left w:val="nil"/>
              <w:bottom w:val="nil"/>
              <w:right w:val="nil"/>
            </w:tcBorders>
            <w:shd w:val="clear" w:color="000000" w:fill="FFFFFF"/>
            <w:hideMark/>
          </w:tcPr>
          <w:p w14:paraId="020FD59B" w14:textId="3B7D1F49" w:rsidR="003E5542" w:rsidRPr="003E5542" w:rsidRDefault="003E5542" w:rsidP="003E5542">
            <w:pPr>
              <w:rPr>
                <w:rFonts w:eastAsia="Times New Roman" w:cstheme="minorHAnsi"/>
                <w:sz w:val="20"/>
                <w:szCs w:val="20"/>
              </w:rPr>
            </w:pPr>
            <w:r w:rsidRPr="00B05EFA">
              <w:rPr>
                <w:sz w:val="20"/>
                <w:szCs w:val="20"/>
              </w:rPr>
              <w:t>Complete</w:t>
            </w:r>
          </w:p>
        </w:tc>
        <w:tc>
          <w:tcPr>
            <w:tcW w:w="1086" w:type="dxa"/>
            <w:tcBorders>
              <w:top w:val="nil"/>
              <w:left w:val="nil"/>
              <w:bottom w:val="nil"/>
              <w:right w:val="nil"/>
            </w:tcBorders>
            <w:shd w:val="clear" w:color="000000" w:fill="FFFFFF"/>
            <w:noWrap/>
            <w:hideMark/>
          </w:tcPr>
          <w:p w14:paraId="3482596D" w14:textId="4A2600FF" w:rsidR="003E5542" w:rsidRPr="003E5542" w:rsidRDefault="003E5542" w:rsidP="003E5542">
            <w:pPr>
              <w:jc w:val="right"/>
              <w:rPr>
                <w:rFonts w:eastAsia="Times New Roman" w:cstheme="minorHAnsi"/>
                <w:sz w:val="20"/>
                <w:szCs w:val="20"/>
              </w:rPr>
            </w:pPr>
            <w:r w:rsidRPr="00B05EFA">
              <w:rPr>
                <w:sz w:val="20"/>
                <w:szCs w:val="20"/>
              </w:rPr>
              <w:t xml:space="preserve"> 3.10 </w:t>
            </w:r>
          </w:p>
        </w:tc>
      </w:tr>
      <w:tr w:rsidR="003E5542" w:rsidRPr="00B00959" w14:paraId="7F61E629" w14:textId="77777777" w:rsidTr="008B69B9">
        <w:trPr>
          <w:trHeight w:val="135"/>
          <w:jc w:val="center"/>
        </w:trPr>
        <w:tc>
          <w:tcPr>
            <w:tcW w:w="5690" w:type="dxa"/>
            <w:tcBorders>
              <w:top w:val="nil"/>
              <w:left w:val="nil"/>
              <w:bottom w:val="nil"/>
              <w:right w:val="nil"/>
            </w:tcBorders>
            <w:shd w:val="clear" w:color="000000" w:fill="FFFFFF"/>
            <w:hideMark/>
          </w:tcPr>
          <w:p w14:paraId="2454A12B" w14:textId="2F01096F" w:rsidR="003E5542" w:rsidRPr="003E5542" w:rsidRDefault="003E5542" w:rsidP="003E5542">
            <w:pPr>
              <w:ind w:firstLineChars="100" w:firstLine="200"/>
              <w:rPr>
                <w:rFonts w:eastAsia="Times New Roman" w:cstheme="minorHAnsi"/>
                <w:sz w:val="20"/>
                <w:szCs w:val="20"/>
              </w:rPr>
            </w:pPr>
            <w:r w:rsidRPr="00B05EFA">
              <w:rPr>
                <w:sz w:val="20"/>
                <w:szCs w:val="20"/>
              </w:rPr>
              <w:t>•Fitness &amp; Recreation Center Façade Replacement</w:t>
            </w:r>
          </w:p>
        </w:tc>
        <w:tc>
          <w:tcPr>
            <w:tcW w:w="4570" w:type="dxa"/>
            <w:tcBorders>
              <w:top w:val="nil"/>
              <w:left w:val="nil"/>
              <w:bottom w:val="nil"/>
              <w:right w:val="nil"/>
            </w:tcBorders>
            <w:shd w:val="clear" w:color="000000" w:fill="FFFFFF"/>
            <w:hideMark/>
          </w:tcPr>
          <w:p w14:paraId="5DB7C29D" w14:textId="55D3B626" w:rsidR="003E5542" w:rsidRPr="003E5542" w:rsidRDefault="003E5542" w:rsidP="003E5542">
            <w:pPr>
              <w:rPr>
                <w:rFonts w:eastAsia="Times New Roman" w:cstheme="minorHAnsi"/>
                <w:sz w:val="20"/>
                <w:szCs w:val="20"/>
              </w:rPr>
            </w:pPr>
            <w:r w:rsidRPr="00B05EFA">
              <w:rPr>
                <w:sz w:val="20"/>
                <w:szCs w:val="20"/>
              </w:rPr>
              <w:t>2018 State Bond</w:t>
            </w:r>
          </w:p>
        </w:tc>
        <w:tc>
          <w:tcPr>
            <w:tcW w:w="1794" w:type="dxa"/>
            <w:tcBorders>
              <w:top w:val="nil"/>
              <w:left w:val="nil"/>
              <w:bottom w:val="nil"/>
              <w:right w:val="nil"/>
            </w:tcBorders>
            <w:shd w:val="clear" w:color="000000" w:fill="FFFFFF"/>
            <w:hideMark/>
          </w:tcPr>
          <w:p w14:paraId="6DB1F2A0" w14:textId="35FFACF1" w:rsidR="003E5542" w:rsidRPr="003E5542" w:rsidRDefault="003E5542" w:rsidP="003E5542">
            <w:pPr>
              <w:rPr>
                <w:rFonts w:eastAsia="Times New Roman" w:cstheme="minorHAnsi"/>
                <w:sz w:val="20"/>
                <w:szCs w:val="20"/>
              </w:rPr>
            </w:pPr>
            <w:r w:rsidRPr="00B05EFA">
              <w:rPr>
                <w:sz w:val="20"/>
                <w:szCs w:val="20"/>
              </w:rPr>
              <w:t>In Progress</w:t>
            </w:r>
          </w:p>
        </w:tc>
        <w:tc>
          <w:tcPr>
            <w:tcW w:w="1086" w:type="dxa"/>
            <w:tcBorders>
              <w:top w:val="nil"/>
              <w:left w:val="nil"/>
              <w:bottom w:val="nil"/>
              <w:right w:val="nil"/>
            </w:tcBorders>
            <w:shd w:val="clear" w:color="000000" w:fill="FFFFFF"/>
            <w:noWrap/>
            <w:hideMark/>
          </w:tcPr>
          <w:p w14:paraId="5EB5CC0D" w14:textId="2C9A6AED" w:rsidR="003E5542" w:rsidRPr="003E5542" w:rsidRDefault="003E5542" w:rsidP="003E5542">
            <w:pPr>
              <w:jc w:val="right"/>
              <w:rPr>
                <w:rFonts w:eastAsia="Times New Roman" w:cstheme="minorHAnsi"/>
                <w:sz w:val="20"/>
                <w:szCs w:val="20"/>
              </w:rPr>
            </w:pPr>
            <w:r w:rsidRPr="00B05EFA">
              <w:rPr>
                <w:sz w:val="20"/>
                <w:szCs w:val="20"/>
              </w:rPr>
              <w:t xml:space="preserve"> 0.90 </w:t>
            </w:r>
          </w:p>
        </w:tc>
      </w:tr>
      <w:tr w:rsidR="003E5542" w:rsidRPr="00B00959" w14:paraId="4D7A45B7" w14:textId="77777777" w:rsidTr="008B69B9">
        <w:trPr>
          <w:trHeight w:val="95"/>
          <w:jc w:val="center"/>
        </w:trPr>
        <w:tc>
          <w:tcPr>
            <w:tcW w:w="5690" w:type="dxa"/>
            <w:tcBorders>
              <w:top w:val="nil"/>
              <w:left w:val="nil"/>
              <w:bottom w:val="nil"/>
              <w:right w:val="nil"/>
            </w:tcBorders>
            <w:shd w:val="clear" w:color="000000" w:fill="FFFFFF"/>
            <w:noWrap/>
            <w:hideMark/>
          </w:tcPr>
          <w:p w14:paraId="69C7B21F" w14:textId="40D13CBF" w:rsidR="003E5542" w:rsidRPr="003E5542" w:rsidRDefault="003E5542" w:rsidP="003E5542">
            <w:pPr>
              <w:ind w:firstLineChars="100" w:firstLine="200"/>
              <w:rPr>
                <w:rFonts w:eastAsia="Times New Roman" w:cstheme="minorHAnsi"/>
                <w:b/>
                <w:bCs/>
                <w:sz w:val="20"/>
                <w:szCs w:val="20"/>
              </w:rPr>
            </w:pPr>
            <w:r w:rsidRPr="00B05EFA">
              <w:rPr>
                <w:sz w:val="20"/>
                <w:szCs w:val="20"/>
              </w:rPr>
              <w:t xml:space="preserve">•Campus </w:t>
            </w:r>
            <w:r w:rsidR="000D0B13">
              <w:rPr>
                <w:sz w:val="20"/>
                <w:szCs w:val="20"/>
              </w:rPr>
              <w:t>Energy Savings Performance Contract</w:t>
            </w:r>
          </w:p>
        </w:tc>
        <w:tc>
          <w:tcPr>
            <w:tcW w:w="4570" w:type="dxa"/>
            <w:tcBorders>
              <w:top w:val="nil"/>
              <w:left w:val="nil"/>
              <w:bottom w:val="nil"/>
              <w:right w:val="nil"/>
            </w:tcBorders>
            <w:shd w:val="clear" w:color="000000" w:fill="FFFFFF"/>
            <w:hideMark/>
          </w:tcPr>
          <w:p w14:paraId="2D093996" w14:textId="361435A4" w:rsidR="003E5542" w:rsidRPr="003E5542" w:rsidRDefault="003E5542" w:rsidP="003E5542">
            <w:pPr>
              <w:rPr>
                <w:rFonts w:eastAsia="Times New Roman" w:cstheme="minorHAnsi"/>
                <w:sz w:val="20"/>
                <w:szCs w:val="20"/>
              </w:rPr>
            </w:pPr>
            <w:r w:rsidRPr="00B05EFA">
              <w:rPr>
                <w:sz w:val="20"/>
                <w:szCs w:val="20"/>
              </w:rPr>
              <w:t>Banc of America - Lease Purchase Agreement, 2018 State Bond, Education &amp; General</w:t>
            </w:r>
          </w:p>
        </w:tc>
        <w:tc>
          <w:tcPr>
            <w:tcW w:w="1794" w:type="dxa"/>
            <w:tcBorders>
              <w:top w:val="nil"/>
              <w:left w:val="nil"/>
              <w:bottom w:val="nil"/>
              <w:right w:val="nil"/>
            </w:tcBorders>
            <w:shd w:val="clear" w:color="000000" w:fill="FFFFFF"/>
            <w:hideMark/>
          </w:tcPr>
          <w:p w14:paraId="55F2FFAA" w14:textId="405AAEA4" w:rsidR="003E5542" w:rsidRPr="003E5542" w:rsidRDefault="003E5542" w:rsidP="003E5542">
            <w:pPr>
              <w:rPr>
                <w:rFonts w:eastAsia="Times New Roman" w:cstheme="minorHAnsi"/>
                <w:sz w:val="20"/>
                <w:szCs w:val="20"/>
              </w:rPr>
            </w:pPr>
            <w:r w:rsidRPr="00B05EFA">
              <w:rPr>
                <w:sz w:val="20"/>
                <w:szCs w:val="20"/>
              </w:rPr>
              <w:t>In Progress</w:t>
            </w:r>
          </w:p>
        </w:tc>
        <w:tc>
          <w:tcPr>
            <w:tcW w:w="1086" w:type="dxa"/>
            <w:tcBorders>
              <w:top w:val="nil"/>
              <w:left w:val="nil"/>
              <w:bottom w:val="nil"/>
              <w:right w:val="nil"/>
            </w:tcBorders>
            <w:shd w:val="clear" w:color="000000" w:fill="FFFFFF"/>
            <w:noWrap/>
            <w:hideMark/>
          </w:tcPr>
          <w:p w14:paraId="6647043B" w14:textId="71EAB027" w:rsidR="003E5542" w:rsidRPr="003E5542" w:rsidRDefault="003E5542" w:rsidP="003E5542">
            <w:pPr>
              <w:jc w:val="right"/>
              <w:rPr>
                <w:rFonts w:eastAsia="Times New Roman" w:cstheme="minorHAnsi"/>
                <w:sz w:val="20"/>
                <w:szCs w:val="20"/>
              </w:rPr>
            </w:pPr>
            <w:r w:rsidRPr="00B05EFA">
              <w:rPr>
                <w:sz w:val="20"/>
                <w:szCs w:val="20"/>
              </w:rPr>
              <w:t xml:space="preserve"> 11.70 </w:t>
            </w:r>
          </w:p>
        </w:tc>
      </w:tr>
      <w:tr w:rsidR="003E5542" w:rsidRPr="00B00959" w14:paraId="5B5B094C" w14:textId="77777777" w:rsidTr="008B69B9">
        <w:trPr>
          <w:trHeight w:val="95"/>
          <w:jc w:val="center"/>
        </w:trPr>
        <w:tc>
          <w:tcPr>
            <w:tcW w:w="5690" w:type="dxa"/>
            <w:tcBorders>
              <w:top w:val="nil"/>
              <w:left w:val="nil"/>
              <w:bottom w:val="nil"/>
              <w:right w:val="nil"/>
            </w:tcBorders>
            <w:shd w:val="clear" w:color="000000" w:fill="FFFFFF"/>
            <w:hideMark/>
          </w:tcPr>
          <w:p w14:paraId="66D1681A" w14:textId="5374BB8F" w:rsidR="003E5542" w:rsidRPr="003E5542" w:rsidRDefault="003E5542" w:rsidP="003E5542">
            <w:pPr>
              <w:ind w:firstLineChars="100" w:firstLine="200"/>
              <w:rPr>
                <w:rFonts w:eastAsia="Times New Roman" w:cstheme="minorHAnsi"/>
                <w:sz w:val="20"/>
                <w:szCs w:val="20"/>
              </w:rPr>
            </w:pPr>
            <w:r w:rsidRPr="00B05EFA">
              <w:rPr>
                <w:sz w:val="20"/>
                <w:szCs w:val="20"/>
              </w:rPr>
              <w:t>•Purington Restroom Renovation</w:t>
            </w:r>
          </w:p>
        </w:tc>
        <w:tc>
          <w:tcPr>
            <w:tcW w:w="4570" w:type="dxa"/>
            <w:tcBorders>
              <w:top w:val="nil"/>
              <w:left w:val="nil"/>
              <w:bottom w:val="nil"/>
              <w:right w:val="nil"/>
            </w:tcBorders>
            <w:shd w:val="clear" w:color="000000" w:fill="FFFFFF"/>
            <w:hideMark/>
          </w:tcPr>
          <w:p w14:paraId="0A93997F" w14:textId="404C2C4C" w:rsidR="003E5542" w:rsidRPr="003E5542" w:rsidRDefault="003E5542" w:rsidP="003E5542">
            <w:pPr>
              <w:rPr>
                <w:rFonts w:eastAsia="Times New Roman" w:cstheme="minorHAnsi"/>
                <w:sz w:val="20"/>
                <w:szCs w:val="20"/>
              </w:rPr>
            </w:pPr>
            <w:r w:rsidRPr="00B05EFA">
              <w:rPr>
                <w:sz w:val="20"/>
                <w:szCs w:val="20"/>
              </w:rPr>
              <w:t>State Appropriation</w:t>
            </w:r>
          </w:p>
        </w:tc>
        <w:tc>
          <w:tcPr>
            <w:tcW w:w="1794" w:type="dxa"/>
            <w:tcBorders>
              <w:top w:val="nil"/>
              <w:left w:val="nil"/>
              <w:bottom w:val="nil"/>
              <w:right w:val="nil"/>
            </w:tcBorders>
            <w:shd w:val="clear" w:color="000000" w:fill="FFFFFF"/>
            <w:hideMark/>
          </w:tcPr>
          <w:p w14:paraId="5B744DC4" w14:textId="454C4729" w:rsidR="003E5542" w:rsidRPr="003E5542" w:rsidRDefault="003E5542" w:rsidP="003E5542">
            <w:pPr>
              <w:rPr>
                <w:rFonts w:eastAsia="Times New Roman" w:cstheme="minorHAnsi"/>
                <w:sz w:val="20"/>
                <w:szCs w:val="20"/>
              </w:rPr>
            </w:pPr>
            <w:r w:rsidRPr="00B05EFA">
              <w:rPr>
                <w:sz w:val="20"/>
                <w:szCs w:val="20"/>
              </w:rPr>
              <w:t>In Progress</w:t>
            </w:r>
          </w:p>
        </w:tc>
        <w:tc>
          <w:tcPr>
            <w:tcW w:w="1086" w:type="dxa"/>
            <w:tcBorders>
              <w:top w:val="nil"/>
              <w:left w:val="nil"/>
              <w:bottom w:val="nil"/>
              <w:right w:val="nil"/>
            </w:tcBorders>
            <w:shd w:val="clear" w:color="000000" w:fill="FFFFFF"/>
            <w:noWrap/>
            <w:hideMark/>
          </w:tcPr>
          <w:p w14:paraId="17D82DA0" w14:textId="1A52CAC9" w:rsidR="003E5542" w:rsidRPr="003E5542" w:rsidRDefault="003E5542" w:rsidP="003E5542">
            <w:pPr>
              <w:jc w:val="right"/>
              <w:rPr>
                <w:rFonts w:eastAsia="Times New Roman" w:cstheme="minorHAnsi"/>
                <w:sz w:val="20"/>
                <w:szCs w:val="20"/>
              </w:rPr>
            </w:pPr>
            <w:r w:rsidRPr="00B05EFA">
              <w:rPr>
                <w:sz w:val="20"/>
                <w:szCs w:val="20"/>
              </w:rPr>
              <w:t xml:space="preserve"> 3.20 </w:t>
            </w:r>
          </w:p>
        </w:tc>
      </w:tr>
      <w:tr w:rsidR="003E5542" w:rsidRPr="00B00959" w14:paraId="0E879236" w14:textId="77777777" w:rsidTr="008B69B9">
        <w:trPr>
          <w:trHeight w:val="95"/>
          <w:jc w:val="center"/>
        </w:trPr>
        <w:tc>
          <w:tcPr>
            <w:tcW w:w="5690" w:type="dxa"/>
            <w:tcBorders>
              <w:top w:val="nil"/>
              <w:left w:val="nil"/>
              <w:bottom w:val="nil"/>
              <w:right w:val="nil"/>
            </w:tcBorders>
            <w:shd w:val="clear" w:color="000000" w:fill="FFFFFF"/>
            <w:hideMark/>
          </w:tcPr>
          <w:p w14:paraId="4E808EF6" w14:textId="753A4128" w:rsidR="003E5542" w:rsidRPr="003E5542" w:rsidRDefault="003E5542" w:rsidP="003E5542">
            <w:pPr>
              <w:ind w:firstLineChars="100" w:firstLine="200"/>
              <w:rPr>
                <w:rFonts w:eastAsia="Times New Roman" w:cstheme="minorHAnsi"/>
                <w:b/>
                <w:bCs/>
                <w:sz w:val="20"/>
                <w:szCs w:val="20"/>
              </w:rPr>
            </w:pPr>
            <w:r w:rsidRPr="00B05EFA">
              <w:rPr>
                <w:sz w:val="20"/>
                <w:szCs w:val="20"/>
              </w:rPr>
              <w:t>•Mallett Restroom Renovation</w:t>
            </w:r>
          </w:p>
        </w:tc>
        <w:tc>
          <w:tcPr>
            <w:tcW w:w="4570" w:type="dxa"/>
            <w:tcBorders>
              <w:top w:val="nil"/>
              <w:left w:val="nil"/>
              <w:bottom w:val="nil"/>
              <w:right w:val="nil"/>
            </w:tcBorders>
            <w:shd w:val="clear" w:color="000000" w:fill="FFFFFF"/>
            <w:hideMark/>
          </w:tcPr>
          <w:p w14:paraId="34F951DA" w14:textId="56E287F4" w:rsidR="003E5542" w:rsidRPr="003E5542" w:rsidRDefault="003E5542" w:rsidP="003E5542">
            <w:pPr>
              <w:rPr>
                <w:rFonts w:eastAsia="Times New Roman" w:cstheme="minorHAnsi"/>
                <w:sz w:val="20"/>
                <w:szCs w:val="20"/>
              </w:rPr>
            </w:pPr>
            <w:r w:rsidRPr="00B05EFA">
              <w:rPr>
                <w:sz w:val="20"/>
                <w:szCs w:val="20"/>
              </w:rPr>
              <w:t>State Appropriation</w:t>
            </w:r>
          </w:p>
        </w:tc>
        <w:tc>
          <w:tcPr>
            <w:tcW w:w="1794" w:type="dxa"/>
            <w:tcBorders>
              <w:top w:val="nil"/>
              <w:left w:val="nil"/>
              <w:bottom w:val="nil"/>
              <w:right w:val="nil"/>
            </w:tcBorders>
            <w:shd w:val="clear" w:color="000000" w:fill="FFFFFF"/>
            <w:hideMark/>
          </w:tcPr>
          <w:p w14:paraId="5BC5F3E8" w14:textId="4B866F2F" w:rsidR="003E5542" w:rsidRPr="003E5542" w:rsidRDefault="003E5542" w:rsidP="003E5542">
            <w:pPr>
              <w:rPr>
                <w:rFonts w:eastAsia="Times New Roman" w:cstheme="minorHAnsi"/>
                <w:sz w:val="20"/>
                <w:szCs w:val="20"/>
              </w:rPr>
            </w:pPr>
            <w:r w:rsidRPr="00B05EFA">
              <w:rPr>
                <w:sz w:val="20"/>
                <w:szCs w:val="20"/>
              </w:rPr>
              <w:t>In Progress</w:t>
            </w:r>
          </w:p>
        </w:tc>
        <w:tc>
          <w:tcPr>
            <w:tcW w:w="1086" w:type="dxa"/>
            <w:tcBorders>
              <w:top w:val="nil"/>
              <w:left w:val="nil"/>
              <w:bottom w:val="nil"/>
              <w:right w:val="nil"/>
            </w:tcBorders>
            <w:shd w:val="clear" w:color="000000" w:fill="FFFFFF"/>
            <w:noWrap/>
            <w:hideMark/>
          </w:tcPr>
          <w:p w14:paraId="542AF1B5" w14:textId="7F644C37" w:rsidR="003E5542" w:rsidRPr="003E5542" w:rsidRDefault="003E5542" w:rsidP="003E5542">
            <w:pPr>
              <w:jc w:val="right"/>
              <w:rPr>
                <w:rFonts w:eastAsia="Times New Roman" w:cstheme="minorHAnsi"/>
                <w:sz w:val="20"/>
                <w:szCs w:val="20"/>
              </w:rPr>
            </w:pPr>
            <w:r w:rsidRPr="00B05EFA">
              <w:rPr>
                <w:sz w:val="20"/>
                <w:szCs w:val="20"/>
              </w:rPr>
              <w:t xml:space="preserve"> 3.20 </w:t>
            </w:r>
          </w:p>
        </w:tc>
      </w:tr>
      <w:tr w:rsidR="003E5542" w:rsidRPr="00B00959" w14:paraId="1E84021E" w14:textId="77777777" w:rsidTr="008B69B9">
        <w:trPr>
          <w:trHeight w:val="95"/>
          <w:jc w:val="center"/>
        </w:trPr>
        <w:tc>
          <w:tcPr>
            <w:tcW w:w="5690" w:type="dxa"/>
            <w:tcBorders>
              <w:top w:val="nil"/>
              <w:left w:val="nil"/>
              <w:bottom w:val="nil"/>
              <w:right w:val="nil"/>
            </w:tcBorders>
            <w:shd w:val="clear" w:color="000000" w:fill="FFFFFF"/>
          </w:tcPr>
          <w:p w14:paraId="731FB254" w14:textId="45CCDAA2" w:rsidR="003E5542" w:rsidRPr="003E5542" w:rsidRDefault="003E5542" w:rsidP="003E5542">
            <w:pPr>
              <w:ind w:firstLineChars="100" w:firstLine="200"/>
              <w:rPr>
                <w:rFonts w:ascii="Calibri" w:hAnsi="Calibri" w:cs="Calibri"/>
                <w:sz w:val="20"/>
                <w:szCs w:val="20"/>
              </w:rPr>
            </w:pPr>
            <w:r w:rsidRPr="00B05EFA">
              <w:rPr>
                <w:sz w:val="20"/>
                <w:szCs w:val="20"/>
              </w:rPr>
              <w:t>•New Facility Management Building</w:t>
            </w:r>
          </w:p>
        </w:tc>
        <w:tc>
          <w:tcPr>
            <w:tcW w:w="4570" w:type="dxa"/>
            <w:tcBorders>
              <w:top w:val="nil"/>
              <w:left w:val="nil"/>
              <w:bottom w:val="nil"/>
              <w:right w:val="nil"/>
            </w:tcBorders>
            <w:shd w:val="clear" w:color="000000" w:fill="FFFFFF"/>
          </w:tcPr>
          <w:p w14:paraId="2209267F" w14:textId="5EEC4E0B" w:rsidR="003E5542" w:rsidRPr="003E5542" w:rsidRDefault="003E5542" w:rsidP="003E5542">
            <w:pPr>
              <w:rPr>
                <w:rFonts w:ascii="Calibri" w:hAnsi="Calibri" w:cs="Calibri"/>
                <w:sz w:val="20"/>
                <w:szCs w:val="20"/>
              </w:rPr>
            </w:pPr>
            <w:r w:rsidRPr="00B05EFA">
              <w:rPr>
                <w:sz w:val="20"/>
                <w:szCs w:val="20"/>
              </w:rPr>
              <w:t>Education &amp; General</w:t>
            </w:r>
          </w:p>
        </w:tc>
        <w:tc>
          <w:tcPr>
            <w:tcW w:w="1794" w:type="dxa"/>
            <w:tcBorders>
              <w:top w:val="nil"/>
              <w:left w:val="nil"/>
              <w:bottom w:val="nil"/>
              <w:right w:val="nil"/>
            </w:tcBorders>
            <w:shd w:val="clear" w:color="000000" w:fill="FFFFFF"/>
          </w:tcPr>
          <w:p w14:paraId="541691DB" w14:textId="2A7AE9FE" w:rsidR="003E5542" w:rsidRPr="003E5542" w:rsidRDefault="003E5542" w:rsidP="003E5542">
            <w:pPr>
              <w:rPr>
                <w:rFonts w:ascii="Calibri" w:hAnsi="Calibri" w:cs="Calibri"/>
                <w:sz w:val="20"/>
                <w:szCs w:val="20"/>
              </w:rPr>
            </w:pPr>
            <w:r w:rsidRPr="00B05EFA">
              <w:rPr>
                <w:sz w:val="20"/>
                <w:szCs w:val="20"/>
              </w:rPr>
              <w:t>In Progress</w:t>
            </w:r>
          </w:p>
        </w:tc>
        <w:tc>
          <w:tcPr>
            <w:tcW w:w="1086" w:type="dxa"/>
            <w:tcBorders>
              <w:top w:val="nil"/>
              <w:left w:val="nil"/>
              <w:bottom w:val="nil"/>
              <w:right w:val="nil"/>
            </w:tcBorders>
            <w:shd w:val="clear" w:color="000000" w:fill="FFFFFF"/>
            <w:noWrap/>
          </w:tcPr>
          <w:p w14:paraId="00E64F7C" w14:textId="486F81A0" w:rsidR="003E5542" w:rsidRPr="003E5542" w:rsidRDefault="003E5542" w:rsidP="003E5542">
            <w:pPr>
              <w:jc w:val="right"/>
              <w:rPr>
                <w:rFonts w:ascii="Calibri" w:hAnsi="Calibri" w:cs="Calibri"/>
                <w:sz w:val="20"/>
                <w:szCs w:val="20"/>
              </w:rPr>
            </w:pPr>
            <w:r w:rsidRPr="00B05EFA">
              <w:rPr>
                <w:sz w:val="20"/>
                <w:szCs w:val="20"/>
              </w:rPr>
              <w:t xml:space="preserve"> 0.60 </w:t>
            </w:r>
          </w:p>
        </w:tc>
      </w:tr>
      <w:tr w:rsidR="004F1D1A" w:rsidRPr="00B00959" w14:paraId="44582A85" w14:textId="77777777" w:rsidTr="008B69B9">
        <w:trPr>
          <w:trHeight w:val="95"/>
          <w:jc w:val="center"/>
        </w:trPr>
        <w:tc>
          <w:tcPr>
            <w:tcW w:w="5690" w:type="dxa"/>
            <w:tcBorders>
              <w:top w:val="nil"/>
              <w:left w:val="nil"/>
              <w:bottom w:val="nil"/>
              <w:right w:val="nil"/>
            </w:tcBorders>
            <w:shd w:val="clear" w:color="000000" w:fill="FFFFFF"/>
            <w:vAlign w:val="bottom"/>
            <w:hideMark/>
          </w:tcPr>
          <w:p w14:paraId="0200D2D9" w14:textId="740EBA86" w:rsidR="004F1D1A" w:rsidRPr="00324E33" w:rsidRDefault="004F1D1A" w:rsidP="004F1D1A">
            <w:pPr>
              <w:rPr>
                <w:rFonts w:eastAsia="Times New Roman" w:cstheme="minorHAnsi"/>
                <w:sz w:val="20"/>
                <w:szCs w:val="20"/>
              </w:rPr>
            </w:pPr>
            <w:r w:rsidRPr="00324E33">
              <w:rPr>
                <w:rFonts w:ascii="Calibri" w:hAnsi="Calibri" w:cs="Calibri"/>
                <w:b/>
                <w:bCs/>
                <w:sz w:val="20"/>
                <w:szCs w:val="20"/>
              </w:rPr>
              <w:t>UMFK</w:t>
            </w:r>
          </w:p>
        </w:tc>
        <w:tc>
          <w:tcPr>
            <w:tcW w:w="4570" w:type="dxa"/>
            <w:tcBorders>
              <w:top w:val="nil"/>
              <w:left w:val="nil"/>
              <w:bottom w:val="nil"/>
              <w:right w:val="nil"/>
            </w:tcBorders>
            <w:shd w:val="clear" w:color="000000" w:fill="FFFFFF"/>
            <w:hideMark/>
          </w:tcPr>
          <w:p w14:paraId="74A58F44" w14:textId="215B1CE4" w:rsidR="004F1D1A" w:rsidRPr="00324E33" w:rsidRDefault="004F1D1A" w:rsidP="004F1D1A">
            <w:pPr>
              <w:rPr>
                <w:rFonts w:eastAsia="Times New Roman" w:cstheme="minorHAnsi"/>
                <w:sz w:val="20"/>
                <w:szCs w:val="20"/>
              </w:rPr>
            </w:pPr>
            <w:r w:rsidRPr="00324E33">
              <w:rPr>
                <w:rFonts w:ascii="Calibri" w:hAnsi="Calibri" w:cs="Calibri"/>
                <w:sz w:val="20"/>
                <w:szCs w:val="20"/>
              </w:rPr>
              <w:t> </w:t>
            </w:r>
          </w:p>
        </w:tc>
        <w:tc>
          <w:tcPr>
            <w:tcW w:w="1794" w:type="dxa"/>
            <w:tcBorders>
              <w:top w:val="nil"/>
              <w:left w:val="nil"/>
              <w:bottom w:val="nil"/>
              <w:right w:val="nil"/>
            </w:tcBorders>
            <w:shd w:val="clear" w:color="000000" w:fill="FFFFFF"/>
            <w:hideMark/>
          </w:tcPr>
          <w:p w14:paraId="0E762C01" w14:textId="4803271D" w:rsidR="004F1D1A" w:rsidRPr="00324E33" w:rsidRDefault="004F1D1A" w:rsidP="004F1D1A">
            <w:pPr>
              <w:rPr>
                <w:rFonts w:eastAsia="Times New Roman" w:cstheme="minorHAnsi"/>
                <w:sz w:val="20"/>
                <w:szCs w:val="20"/>
              </w:rPr>
            </w:pPr>
            <w:r w:rsidRPr="00324E33">
              <w:rPr>
                <w:rFonts w:ascii="Calibri" w:hAnsi="Calibri" w:cs="Calibri"/>
                <w:sz w:val="20"/>
                <w:szCs w:val="20"/>
              </w:rPr>
              <w:t> </w:t>
            </w:r>
          </w:p>
        </w:tc>
        <w:tc>
          <w:tcPr>
            <w:tcW w:w="1086" w:type="dxa"/>
            <w:tcBorders>
              <w:top w:val="nil"/>
              <w:left w:val="nil"/>
              <w:bottom w:val="nil"/>
              <w:right w:val="nil"/>
            </w:tcBorders>
            <w:shd w:val="clear" w:color="000000" w:fill="FFFFFF"/>
            <w:noWrap/>
            <w:hideMark/>
          </w:tcPr>
          <w:p w14:paraId="6682D5FD" w14:textId="728CDA41" w:rsidR="004F1D1A" w:rsidRPr="00324E33" w:rsidRDefault="004F1D1A" w:rsidP="004F1D1A">
            <w:pPr>
              <w:jc w:val="right"/>
              <w:rPr>
                <w:rFonts w:eastAsia="Times New Roman" w:cstheme="minorHAnsi"/>
                <w:sz w:val="20"/>
                <w:szCs w:val="20"/>
              </w:rPr>
            </w:pPr>
            <w:r w:rsidRPr="00324E33">
              <w:rPr>
                <w:rFonts w:ascii="Calibri" w:hAnsi="Calibri" w:cs="Calibri"/>
                <w:sz w:val="20"/>
                <w:szCs w:val="20"/>
              </w:rPr>
              <w:t> </w:t>
            </w:r>
          </w:p>
        </w:tc>
      </w:tr>
      <w:tr w:rsidR="004F1D1A" w:rsidRPr="00B00959" w14:paraId="5F351A8D" w14:textId="77777777" w:rsidTr="008B69B9">
        <w:trPr>
          <w:trHeight w:val="252"/>
          <w:jc w:val="center"/>
        </w:trPr>
        <w:tc>
          <w:tcPr>
            <w:tcW w:w="5690" w:type="dxa"/>
            <w:tcBorders>
              <w:top w:val="nil"/>
              <w:left w:val="nil"/>
              <w:bottom w:val="nil"/>
              <w:right w:val="nil"/>
            </w:tcBorders>
            <w:shd w:val="clear" w:color="000000" w:fill="FFFFFF"/>
            <w:hideMark/>
          </w:tcPr>
          <w:p w14:paraId="05640178" w14:textId="65148189" w:rsidR="004F1D1A" w:rsidRPr="00324E33" w:rsidRDefault="004F1D1A" w:rsidP="004F1D1A">
            <w:pPr>
              <w:ind w:firstLineChars="100" w:firstLine="200"/>
              <w:rPr>
                <w:rFonts w:eastAsia="Times New Roman" w:cstheme="minorHAnsi"/>
                <w:sz w:val="20"/>
                <w:szCs w:val="20"/>
              </w:rPr>
            </w:pPr>
            <w:r w:rsidRPr="00324E33">
              <w:rPr>
                <w:rFonts w:ascii="Calibri" w:hAnsi="Calibri" w:cs="Calibri"/>
                <w:sz w:val="20"/>
                <w:szCs w:val="20"/>
              </w:rPr>
              <w:t>•Enrollment/Advancement Center</w:t>
            </w:r>
          </w:p>
        </w:tc>
        <w:tc>
          <w:tcPr>
            <w:tcW w:w="4570" w:type="dxa"/>
            <w:tcBorders>
              <w:top w:val="nil"/>
              <w:left w:val="nil"/>
              <w:bottom w:val="nil"/>
              <w:right w:val="nil"/>
            </w:tcBorders>
            <w:shd w:val="clear" w:color="000000" w:fill="FFFFFF"/>
            <w:hideMark/>
          </w:tcPr>
          <w:p w14:paraId="68990134" w14:textId="2B1D4B8B" w:rsidR="004F1D1A" w:rsidRPr="00324E33" w:rsidRDefault="004F1D1A" w:rsidP="004F1D1A">
            <w:pPr>
              <w:rPr>
                <w:rFonts w:eastAsia="Times New Roman" w:cstheme="minorHAnsi"/>
                <w:sz w:val="20"/>
                <w:szCs w:val="20"/>
              </w:rPr>
            </w:pPr>
            <w:r w:rsidRPr="00324E33">
              <w:rPr>
                <w:rFonts w:ascii="Calibri" w:hAnsi="Calibri" w:cs="Calibri"/>
                <w:sz w:val="20"/>
                <w:szCs w:val="20"/>
              </w:rPr>
              <w:t>2018 State Bond, Education &amp; General</w:t>
            </w:r>
          </w:p>
        </w:tc>
        <w:tc>
          <w:tcPr>
            <w:tcW w:w="1794" w:type="dxa"/>
            <w:tcBorders>
              <w:top w:val="nil"/>
              <w:left w:val="nil"/>
              <w:bottom w:val="nil"/>
              <w:right w:val="nil"/>
            </w:tcBorders>
            <w:shd w:val="clear" w:color="000000" w:fill="FFFFFF"/>
            <w:hideMark/>
          </w:tcPr>
          <w:p w14:paraId="50D012F6" w14:textId="48F646F2" w:rsidR="004F1D1A" w:rsidRPr="00324E33" w:rsidRDefault="004F1D1A" w:rsidP="004F1D1A">
            <w:pPr>
              <w:rPr>
                <w:rFonts w:eastAsia="Times New Roman" w:cstheme="minorHAnsi"/>
                <w:sz w:val="20"/>
                <w:szCs w:val="20"/>
              </w:rPr>
            </w:pPr>
            <w:r w:rsidRPr="00324E33">
              <w:rPr>
                <w:rFonts w:ascii="Calibri" w:hAnsi="Calibri" w:cs="Calibri"/>
                <w:sz w:val="20"/>
                <w:szCs w:val="20"/>
              </w:rPr>
              <w:t xml:space="preserve">In </w:t>
            </w:r>
            <w:r w:rsidR="00A96EC6">
              <w:rPr>
                <w:rFonts w:ascii="Calibri" w:hAnsi="Calibri" w:cs="Calibri"/>
                <w:sz w:val="20"/>
                <w:szCs w:val="20"/>
              </w:rPr>
              <w:t>Service</w:t>
            </w:r>
          </w:p>
        </w:tc>
        <w:tc>
          <w:tcPr>
            <w:tcW w:w="1086" w:type="dxa"/>
            <w:tcBorders>
              <w:top w:val="nil"/>
              <w:left w:val="nil"/>
              <w:bottom w:val="nil"/>
              <w:right w:val="nil"/>
            </w:tcBorders>
            <w:shd w:val="clear" w:color="000000" w:fill="FFFFFF"/>
            <w:noWrap/>
            <w:hideMark/>
          </w:tcPr>
          <w:p w14:paraId="597456DC" w14:textId="2B0C9C64" w:rsidR="004F1D1A" w:rsidRPr="00324E33" w:rsidRDefault="004F1D1A" w:rsidP="004F1D1A">
            <w:pPr>
              <w:jc w:val="right"/>
              <w:rPr>
                <w:rFonts w:eastAsia="Times New Roman" w:cstheme="minorHAnsi"/>
                <w:sz w:val="20"/>
                <w:szCs w:val="20"/>
              </w:rPr>
            </w:pPr>
            <w:r w:rsidRPr="00324E33">
              <w:rPr>
                <w:rFonts w:ascii="Calibri" w:hAnsi="Calibri" w:cs="Calibri"/>
                <w:sz w:val="20"/>
                <w:szCs w:val="20"/>
              </w:rPr>
              <w:t>3.25</w:t>
            </w:r>
          </w:p>
        </w:tc>
      </w:tr>
      <w:tr w:rsidR="004F1D1A" w:rsidRPr="00B00959" w14:paraId="6C1E630F" w14:textId="77777777" w:rsidTr="008B69B9">
        <w:trPr>
          <w:trHeight w:val="216"/>
          <w:jc w:val="center"/>
        </w:trPr>
        <w:tc>
          <w:tcPr>
            <w:tcW w:w="5690" w:type="dxa"/>
            <w:tcBorders>
              <w:top w:val="nil"/>
              <w:left w:val="nil"/>
              <w:bottom w:val="nil"/>
              <w:right w:val="nil"/>
            </w:tcBorders>
            <w:shd w:val="clear" w:color="000000" w:fill="FFFFFF"/>
            <w:vAlign w:val="bottom"/>
            <w:hideMark/>
          </w:tcPr>
          <w:p w14:paraId="13486AE4" w14:textId="69995396" w:rsidR="004F1D1A" w:rsidRPr="00324E33" w:rsidRDefault="004F1D1A" w:rsidP="004F1D1A">
            <w:pPr>
              <w:rPr>
                <w:rFonts w:eastAsia="Times New Roman" w:cstheme="minorHAnsi"/>
                <w:sz w:val="20"/>
                <w:szCs w:val="20"/>
              </w:rPr>
            </w:pPr>
            <w:r w:rsidRPr="00324E33">
              <w:rPr>
                <w:rFonts w:ascii="Calibri" w:hAnsi="Calibri" w:cs="Calibri"/>
                <w:b/>
                <w:bCs/>
                <w:sz w:val="20"/>
                <w:szCs w:val="20"/>
              </w:rPr>
              <w:t>UM</w:t>
            </w:r>
          </w:p>
        </w:tc>
        <w:tc>
          <w:tcPr>
            <w:tcW w:w="4570" w:type="dxa"/>
            <w:tcBorders>
              <w:top w:val="nil"/>
              <w:left w:val="nil"/>
              <w:bottom w:val="nil"/>
              <w:right w:val="nil"/>
            </w:tcBorders>
            <w:shd w:val="clear" w:color="000000" w:fill="FFFFFF"/>
            <w:hideMark/>
          </w:tcPr>
          <w:p w14:paraId="5C39743C" w14:textId="43EF99EA" w:rsidR="004F1D1A" w:rsidRPr="00324E33" w:rsidRDefault="004F1D1A" w:rsidP="004F1D1A">
            <w:pPr>
              <w:rPr>
                <w:rFonts w:eastAsia="Times New Roman" w:cstheme="minorHAnsi"/>
                <w:sz w:val="20"/>
                <w:szCs w:val="20"/>
              </w:rPr>
            </w:pPr>
            <w:r w:rsidRPr="00324E33">
              <w:rPr>
                <w:rFonts w:ascii="Calibri" w:hAnsi="Calibri" w:cs="Calibri"/>
                <w:sz w:val="20"/>
                <w:szCs w:val="20"/>
              </w:rPr>
              <w:t> </w:t>
            </w:r>
          </w:p>
        </w:tc>
        <w:tc>
          <w:tcPr>
            <w:tcW w:w="1794" w:type="dxa"/>
            <w:tcBorders>
              <w:top w:val="nil"/>
              <w:left w:val="nil"/>
              <w:bottom w:val="nil"/>
              <w:right w:val="nil"/>
            </w:tcBorders>
            <w:shd w:val="clear" w:color="000000" w:fill="FFFFFF"/>
            <w:hideMark/>
          </w:tcPr>
          <w:p w14:paraId="232CFF9C" w14:textId="7948E64E" w:rsidR="004F1D1A" w:rsidRPr="00324E33" w:rsidRDefault="004F1D1A" w:rsidP="004F1D1A">
            <w:pPr>
              <w:rPr>
                <w:rFonts w:eastAsia="Times New Roman" w:cstheme="minorHAnsi"/>
                <w:sz w:val="20"/>
                <w:szCs w:val="20"/>
              </w:rPr>
            </w:pPr>
            <w:r w:rsidRPr="00324E33">
              <w:rPr>
                <w:rFonts w:ascii="Calibri" w:hAnsi="Calibri" w:cs="Calibri"/>
                <w:sz w:val="20"/>
                <w:szCs w:val="20"/>
              </w:rPr>
              <w:t> </w:t>
            </w:r>
          </w:p>
        </w:tc>
        <w:tc>
          <w:tcPr>
            <w:tcW w:w="1086" w:type="dxa"/>
            <w:tcBorders>
              <w:top w:val="nil"/>
              <w:left w:val="nil"/>
              <w:bottom w:val="nil"/>
              <w:right w:val="nil"/>
            </w:tcBorders>
            <w:shd w:val="clear" w:color="000000" w:fill="FFFFFF"/>
            <w:noWrap/>
            <w:hideMark/>
          </w:tcPr>
          <w:p w14:paraId="1056C709" w14:textId="41193EEA" w:rsidR="004F1D1A" w:rsidRPr="00324E33" w:rsidRDefault="004F1D1A" w:rsidP="004F1D1A">
            <w:pPr>
              <w:jc w:val="right"/>
              <w:rPr>
                <w:rFonts w:eastAsia="Times New Roman" w:cstheme="minorHAnsi"/>
                <w:sz w:val="20"/>
                <w:szCs w:val="20"/>
              </w:rPr>
            </w:pPr>
            <w:r w:rsidRPr="00324E33">
              <w:rPr>
                <w:rFonts w:ascii="Calibri" w:hAnsi="Calibri" w:cs="Calibri"/>
                <w:sz w:val="20"/>
                <w:szCs w:val="20"/>
              </w:rPr>
              <w:t> </w:t>
            </w:r>
          </w:p>
        </w:tc>
      </w:tr>
      <w:tr w:rsidR="003E5542" w:rsidRPr="00B00959" w14:paraId="18533BE8" w14:textId="77777777" w:rsidTr="008B69B9">
        <w:trPr>
          <w:trHeight w:val="180"/>
          <w:jc w:val="center"/>
        </w:trPr>
        <w:tc>
          <w:tcPr>
            <w:tcW w:w="5690" w:type="dxa"/>
            <w:tcBorders>
              <w:top w:val="nil"/>
              <w:left w:val="nil"/>
              <w:bottom w:val="nil"/>
              <w:right w:val="nil"/>
            </w:tcBorders>
            <w:shd w:val="clear" w:color="000000" w:fill="FFFFFF"/>
            <w:hideMark/>
          </w:tcPr>
          <w:p w14:paraId="64CB1887" w14:textId="78CCB47C" w:rsidR="003E5542" w:rsidRPr="003E5542" w:rsidRDefault="003E5542" w:rsidP="003E5542">
            <w:pPr>
              <w:ind w:firstLineChars="75" w:firstLine="150"/>
              <w:rPr>
                <w:rFonts w:eastAsia="Times New Roman" w:cstheme="minorHAnsi"/>
                <w:sz w:val="20"/>
                <w:szCs w:val="20"/>
              </w:rPr>
            </w:pPr>
            <w:r w:rsidRPr="00B05EFA">
              <w:rPr>
                <w:sz w:val="20"/>
                <w:szCs w:val="20"/>
              </w:rPr>
              <w:t>•Ferland Engineering Education and Design Center</w:t>
            </w:r>
          </w:p>
        </w:tc>
        <w:tc>
          <w:tcPr>
            <w:tcW w:w="4570" w:type="dxa"/>
            <w:tcBorders>
              <w:top w:val="nil"/>
              <w:left w:val="nil"/>
              <w:bottom w:val="nil"/>
              <w:right w:val="nil"/>
            </w:tcBorders>
            <w:shd w:val="clear" w:color="000000" w:fill="FFFFFF"/>
            <w:hideMark/>
          </w:tcPr>
          <w:p w14:paraId="5E78EA67" w14:textId="6034DF53" w:rsidR="003E5542" w:rsidRPr="003E5542" w:rsidRDefault="003E5542" w:rsidP="003E5542">
            <w:pPr>
              <w:rPr>
                <w:rFonts w:eastAsia="Times New Roman" w:cstheme="minorHAnsi"/>
                <w:sz w:val="20"/>
                <w:szCs w:val="20"/>
              </w:rPr>
            </w:pPr>
            <w:r w:rsidRPr="00B05EFA">
              <w:rPr>
                <w:sz w:val="20"/>
                <w:szCs w:val="20"/>
              </w:rPr>
              <w:t>Education &amp; General, Gifts, 2022 Revenue Bond</w:t>
            </w:r>
          </w:p>
        </w:tc>
        <w:tc>
          <w:tcPr>
            <w:tcW w:w="1794" w:type="dxa"/>
            <w:tcBorders>
              <w:top w:val="nil"/>
              <w:left w:val="nil"/>
              <w:bottom w:val="nil"/>
              <w:right w:val="nil"/>
            </w:tcBorders>
            <w:shd w:val="clear" w:color="000000" w:fill="FFFFFF"/>
            <w:hideMark/>
          </w:tcPr>
          <w:p w14:paraId="5FC558D1" w14:textId="67684ABE" w:rsidR="003E5542" w:rsidRPr="003E5542" w:rsidRDefault="003E5542" w:rsidP="003E5542">
            <w:pPr>
              <w:rPr>
                <w:rFonts w:eastAsia="Times New Roman" w:cstheme="minorHAnsi"/>
                <w:sz w:val="20"/>
                <w:szCs w:val="20"/>
              </w:rPr>
            </w:pPr>
            <w:r w:rsidRPr="00B05EFA">
              <w:rPr>
                <w:sz w:val="20"/>
                <w:szCs w:val="20"/>
              </w:rPr>
              <w:t>Complete</w:t>
            </w:r>
          </w:p>
        </w:tc>
        <w:tc>
          <w:tcPr>
            <w:tcW w:w="1086" w:type="dxa"/>
            <w:tcBorders>
              <w:top w:val="nil"/>
              <w:left w:val="nil"/>
              <w:bottom w:val="nil"/>
              <w:right w:val="nil"/>
            </w:tcBorders>
            <w:shd w:val="clear" w:color="000000" w:fill="FFFFFF"/>
            <w:noWrap/>
            <w:hideMark/>
          </w:tcPr>
          <w:p w14:paraId="30ED3D3E" w14:textId="270841D4" w:rsidR="003E5542" w:rsidRPr="003E5542" w:rsidRDefault="003E5542" w:rsidP="003E5542">
            <w:pPr>
              <w:jc w:val="right"/>
              <w:rPr>
                <w:rFonts w:eastAsia="Times New Roman" w:cstheme="minorHAnsi"/>
                <w:sz w:val="20"/>
                <w:szCs w:val="20"/>
              </w:rPr>
            </w:pPr>
            <w:r w:rsidRPr="00B05EFA">
              <w:rPr>
                <w:sz w:val="20"/>
                <w:szCs w:val="20"/>
              </w:rPr>
              <w:t xml:space="preserve"> 78.00 </w:t>
            </w:r>
          </w:p>
        </w:tc>
      </w:tr>
      <w:tr w:rsidR="003E5542" w:rsidRPr="00B00959" w14:paraId="5C6DFAE6" w14:textId="77777777" w:rsidTr="008B69B9">
        <w:trPr>
          <w:trHeight w:val="171"/>
          <w:jc w:val="center"/>
        </w:trPr>
        <w:tc>
          <w:tcPr>
            <w:tcW w:w="5690" w:type="dxa"/>
            <w:tcBorders>
              <w:top w:val="nil"/>
              <w:left w:val="nil"/>
              <w:bottom w:val="nil"/>
              <w:right w:val="nil"/>
            </w:tcBorders>
            <w:shd w:val="clear" w:color="000000" w:fill="FFFFFF"/>
            <w:hideMark/>
          </w:tcPr>
          <w:p w14:paraId="4C2DF897" w14:textId="02D21D96" w:rsidR="003E5542" w:rsidRPr="003E5542" w:rsidRDefault="003E5542" w:rsidP="003E5542">
            <w:pPr>
              <w:ind w:firstLineChars="75" w:firstLine="150"/>
              <w:rPr>
                <w:rFonts w:eastAsia="Times New Roman" w:cstheme="minorHAnsi"/>
                <w:sz w:val="20"/>
                <w:szCs w:val="20"/>
              </w:rPr>
            </w:pPr>
            <w:r w:rsidRPr="00B05EFA">
              <w:rPr>
                <w:sz w:val="20"/>
                <w:szCs w:val="20"/>
              </w:rPr>
              <w:t>•Energy Center Phase 2</w:t>
            </w:r>
          </w:p>
        </w:tc>
        <w:tc>
          <w:tcPr>
            <w:tcW w:w="4570" w:type="dxa"/>
            <w:tcBorders>
              <w:top w:val="nil"/>
              <w:left w:val="nil"/>
              <w:bottom w:val="nil"/>
              <w:right w:val="nil"/>
            </w:tcBorders>
            <w:shd w:val="clear" w:color="000000" w:fill="FFFFFF"/>
            <w:hideMark/>
          </w:tcPr>
          <w:p w14:paraId="1AA6935F" w14:textId="51C5C67A" w:rsidR="003E5542" w:rsidRPr="003E5542" w:rsidRDefault="003E5542" w:rsidP="003E5542">
            <w:pPr>
              <w:rPr>
                <w:rFonts w:eastAsia="Times New Roman" w:cstheme="minorHAnsi"/>
                <w:sz w:val="20"/>
                <w:szCs w:val="20"/>
              </w:rPr>
            </w:pPr>
            <w:r w:rsidRPr="00B05EFA">
              <w:rPr>
                <w:sz w:val="20"/>
                <w:szCs w:val="20"/>
              </w:rPr>
              <w:t>Education &amp; General, 2022 Revenue Bond, Grant</w:t>
            </w:r>
          </w:p>
        </w:tc>
        <w:tc>
          <w:tcPr>
            <w:tcW w:w="1794" w:type="dxa"/>
            <w:tcBorders>
              <w:top w:val="nil"/>
              <w:left w:val="nil"/>
              <w:bottom w:val="nil"/>
              <w:right w:val="nil"/>
            </w:tcBorders>
            <w:shd w:val="clear" w:color="000000" w:fill="FFFFFF"/>
            <w:hideMark/>
          </w:tcPr>
          <w:p w14:paraId="0370672D" w14:textId="2B5C1F00" w:rsidR="003E5542" w:rsidRPr="003E5542" w:rsidRDefault="003E5542" w:rsidP="003E5542">
            <w:pPr>
              <w:rPr>
                <w:rFonts w:eastAsia="Times New Roman" w:cstheme="minorHAnsi"/>
                <w:sz w:val="20"/>
                <w:szCs w:val="20"/>
              </w:rPr>
            </w:pPr>
            <w:r w:rsidRPr="00B05EFA">
              <w:rPr>
                <w:sz w:val="20"/>
                <w:szCs w:val="20"/>
              </w:rPr>
              <w:t>In Progress</w:t>
            </w:r>
          </w:p>
        </w:tc>
        <w:tc>
          <w:tcPr>
            <w:tcW w:w="1086" w:type="dxa"/>
            <w:tcBorders>
              <w:top w:val="nil"/>
              <w:left w:val="nil"/>
              <w:bottom w:val="nil"/>
              <w:right w:val="nil"/>
            </w:tcBorders>
            <w:shd w:val="clear" w:color="000000" w:fill="FFFFFF"/>
            <w:noWrap/>
            <w:hideMark/>
          </w:tcPr>
          <w:p w14:paraId="0A32DDA7" w14:textId="081E03F7" w:rsidR="003E5542" w:rsidRPr="003E5542" w:rsidRDefault="003E5542" w:rsidP="003E5542">
            <w:pPr>
              <w:jc w:val="right"/>
              <w:rPr>
                <w:rFonts w:eastAsia="Times New Roman" w:cstheme="minorHAnsi"/>
                <w:sz w:val="20"/>
                <w:szCs w:val="20"/>
              </w:rPr>
            </w:pPr>
            <w:r w:rsidRPr="00B05EFA">
              <w:rPr>
                <w:sz w:val="20"/>
                <w:szCs w:val="20"/>
              </w:rPr>
              <w:t xml:space="preserve"> 8.70 </w:t>
            </w:r>
          </w:p>
        </w:tc>
      </w:tr>
      <w:tr w:rsidR="003E5542" w:rsidRPr="00B00959" w14:paraId="292BC2D9" w14:textId="77777777" w:rsidTr="008B69B9">
        <w:trPr>
          <w:trHeight w:val="153"/>
          <w:jc w:val="center"/>
        </w:trPr>
        <w:tc>
          <w:tcPr>
            <w:tcW w:w="5690" w:type="dxa"/>
            <w:tcBorders>
              <w:top w:val="nil"/>
              <w:left w:val="nil"/>
              <w:bottom w:val="nil"/>
              <w:right w:val="nil"/>
            </w:tcBorders>
            <w:shd w:val="clear" w:color="000000" w:fill="FFFFFF"/>
            <w:hideMark/>
          </w:tcPr>
          <w:p w14:paraId="023F4258" w14:textId="028AE0B8" w:rsidR="003E5542" w:rsidRPr="003E5542" w:rsidRDefault="003E5542" w:rsidP="003E5542">
            <w:pPr>
              <w:ind w:firstLineChars="75" w:firstLine="150"/>
              <w:rPr>
                <w:rFonts w:eastAsia="Times New Roman" w:cstheme="minorHAnsi"/>
                <w:sz w:val="20"/>
                <w:szCs w:val="20"/>
              </w:rPr>
            </w:pPr>
            <w:r w:rsidRPr="00B05EFA">
              <w:rPr>
                <w:sz w:val="20"/>
                <w:szCs w:val="20"/>
              </w:rPr>
              <w:t>•Electrical Infrastructure</w:t>
            </w:r>
          </w:p>
        </w:tc>
        <w:tc>
          <w:tcPr>
            <w:tcW w:w="4570" w:type="dxa"/>
            <w:tcBorders>
              <w:top w:val="nil"/>
              <w:left w:val="nil"/>
              <w:bottom w:val="nil"/>
              <w:right w:val="nil"/>
            </w:tcBorders>
            <w:shd w:val="clear" w:color="000000" w:fill="FFFFFF"/>
            <w:hideMark/>
          </w:tcPr>
          <w:p w14:paraId="4FE0D5F3" w14:textId="24DB98FC" w:rsidR="003E5542" w:rsidRPr="003E5542" w:rsidRDefault="003E5542" w:rsidP="003E5542">
            <w:pPr>
              <w:rPr>
                <w:rFonts w:eastAsia="Times New Roman" w:cstheme="minorHAnsi"/>
                <w:sz w:val="20"/>
                <w:szCs w:val="20"/>
              </w:rPr>
            </w:pPr>
            <w:r w:rsidRPr="00B05EFA">
              <w:rPr>
                <w:sz w:val="20"/>
                <w:szCs w:val="20"/>
              </w:rPr>
              <w:t>Education &amp; General</w:t>
            </w:r>
          </w:p>
        </w:tc>
        <w:tc>
          <w:tcPr>
            <w:tcW w:w="1794" w:type="dxa"/>
            <w:tcBorders>
              <w:top w:val="nil"/>
              <w:left w:val="nil"/>
              <w:bottom w:val="nil"/>
              <w:right w:val="nil"/>
            </w:tcBorders>
            <w:shd w:val="clear" w:color="000000" w:fill="FFFFFF"/>
            <w:hideMark/>
          </w:tcPr>
          <w:p w14:paraId="7F7CBD04" w14:textId="1788C07C" w:rsidR="003E5542" w:rsidRPr="003E5542" w:rsidRDefault="003E5542" w:rsidP="003E5542">
            <w:pPr>
              <w:rPr>
                <w:rFonts w:eastAsia="Times New Roman" w:cstheme="minorHAnsi"/>
                <w:sz w:val="20"/>
                <w:szCs w:val="20"/>
              </w:rPr>
            </w:pPr>
            <w:r w:rsidRPr="00B05EFA">
              <w:rPr>
                <w:sz w:val="20"/>
                <w:szCs w:val="20"/>
              </w:rPr>
              <w:t>In Progress</w:t>
            </w:r>
          </w:p>
        </w:tc>
        <w:tc>
          <w:tcPr>
            <w:tcW w:w="1086" w:type="dxa"/>
            <w:tcBorders>
              <w:top w:val="nil"/>
              <w:left w:val="nil"/>
              <w:bottom w:val="nil"/>
              <w:right w:val="nil"/>
            </w:tcBorders>
            <w:shd w:val="clear" w:color="000000" w:fill="FFFFFF"/>
            <w:noWrap/>
            <w:hideMark/>
          </w:tcPr>
          <w:p w14:paraId="6F6C4F51" w14:textId="744D23B8" w:rsidR="003E5542" w:rsidRPr="003E5542" w:rsidRDefault="003E5542" w:rsidP="003E5542">
            <w:pPr>
              <w:jc w:val="right"/>
              <w:rPr>
                <w:rFonts w:eastAsia="Times New Roman" w:cstheme="minorHAnsi"/>
                <w:sz w:val="20"/>
                <w:szCs w:val="20"/>
              </w:rPr>
            </w:pPr>
            <w:r w:rsidRPr="00B05EFA">
              <w:rPr>
                <w:sz w:val="20"/>
                <w:szCs w:val="20"/>
              </w:rPr>
              <w:t xml:space="preserve"> 25.00 </w:t>
            </w:r>
          </w:p>
        </w:tc>
      </w:tr>
      <w:tr w:rsidR="003E5542" w:rsidRPr="00B00959" w14:paraId="4C29BC20" w14:textId="77777777" w:rsidTr="008B69B9">
        <w:trPr>
          <w:trHeight w:val="95"/>
          <w:jc w:val="center"/>
        </w:trPr>
        <w:tc>
          <w:tcPr>
            <w:tcW w:w="5690" w:type="dxa"/>
            <w:tcBorders>
              <w:top w:val="nil"/>
              <w:left w:val="nil"/>
              <w:bottom w:val="nil"/>
              <w:right w:val="nil"/>
            </w:tcBorders>
            <w:shd w:val="clear" w:color="000000" w:fill="FFFFFF"/>
            <w:hideMark/>
          </w:tcPr>
          <w:p w14:paraId="0EDED261" w14:textId="4E603F68" w:rsidR="003E5542" w:rsidRPr="003E5542" w:rsidRDefault="003E5542" w:rsidP="003E5542">
            <w:pPr>
              <w:ind w:firstLineChars="75" w:firstLine="150"/>
              <w:rPr>
                <w:rFonts w:eastAsia="Times New Roman" w:cstheme="minorHAnsi"/>
                <w:sz w:val="20"/>
                <w:szCs w:val="20"/>
              </w:rPr>
            </w:pPr>
            <w:r w:rsidRPr="00B05EFA">
              <w:rPr>
                <w:sz w:val="20"/>
                <w:szCs w:val="20"/>
              </w:rPr>
              <w:t>•Neville Hall Renovations</w:t>
            </w:r>
          </w:p>
        </w:tc>
        <w:tc>
          <w:tcPr>
            <w:tcW w:w="4570" w:type="dxa"/>
            <w:tcBorders>
              <w:top w:val="nil"/>
              <w:left w:val="nil"/>
              <w:bottom w:val="nil"/>
              <w:right w:val="nil"/>
            </w:tcBorders>
            <w:shd w:val="clear" w:color="000000" w:fill="FFFFFF"/>
            <w:hideMark/>
          </w:tcPr>
          <w:p w14:paraId="15399B06" w14:textId="5D6D5278" w:rsidR="003E5542" w:rsidRPr="003E5542" w:rsidRDefault="003E5542" w:rsidP="003E5542">
            <w:pPr>
              <w:rPr>
                <w:rFonts w:eastAsia="Times New Roman" w:cstheme="minorHAnsi"/>
                <w:sz w:val="20"/>
                <w:szCs w:val="20"/>
              </w:rPr>
            </w:pPr>
            <w:r w:rsidRPr="00B05EFA">
              <w:rPr>
                <w:sz w:val="20"/>
                <w:szCs w:val="20"/>
              </w:rPr>
              <w:t>2018 State Bond</w:t>
            </w:r>
          </w:p>
        </w:tc>
        <w:tc>
          <w:tcPr>
            <w:tcW w:w="1794" w:type="dxa"/>
            <w:tcBorders>
              <w:top w:val="nil"/>
              <w:left w:val="nil"/>
              <w:bottom w:val="nil"/>
              <w:right w:val="nil"/>
            </w:tcBorders>
            <w:shd w:val="clear" w:color="000000" w:fill="FFFFFF"/>
            <w:hideMark/>
          </w:tcPr>
          <w:p w14:paraId="5DFCE91A" w14:textId="4601AFB1" w:rsidR="003E5542" w:rsidRPr="003E5542" w:rsidRDefault="003E5542" w:rsidP="003E5542">
            <w:pPr>
              <w:rPr>
                <w:rFonts w:eastAsia="Times New Roman" w:cstheme="minorHAnsi"/>
                <w:sz w:val="20"/>
                <w:szCs w:val="20"/>
              </w:rPr>
            </w:pPr>
            <w:r w:rsidRPr="00B05EFA">
              <w:rPr>
                <w:sz w:val="20"/>
                <w:szCs w:val="20"/>
              </w:rPr>
              <w:t>In Service</w:t>
            </w:r>
          </w:p>
        </w:tc>
        <w:tc>
          <w:tcPr>
            <w:tcW w:w="1086" w:type="dxa"/>
            <w:tcBorders>
              <w:top w:val="nil"/>
              <w:left w:val="nil"/>
              <w:bottom w:val="nil"/>
              <w:right w:val="nil"/>
            </w:tcBorders>
            <w:shd w:val="clear" w:color="000000" w:fill="FFFFFF"/>
            <w:noWrap/>
            <w:hideMark/>
          </w:tcPr>
          <w:p w14:paraId="4A8785ED" w14:textId="49BDFAEF" w:rsidR="003E5542" w:rsidRPr="003E5542" w:rsidRDefault="003E5542" w:rsidP="003E5542">
            <w:pPr>
              <w:jc w:val="right"/>
              <w:rPr>
                <w:rFonts w:eastAsia="Times New Roman" w:cstheme="minorHAnsi"/>
                <w:sz w:val="20"/>
                <w:szCs w:val="20"/>
              </w:rPr>
            </w:pPr>
            <w:r w:rsidRPr="00B05EFA">
              <w:rPr>
                <w:sz w:val="20"/>
                <w:szCs w:val="20"/>
              </w:rPr>
              <w:t xml:space="preserve"> 1.50 </w:t>
            </w:r>
          </w:p>
        </w:tc>
      </w:tr>
      <w:tr w:rsidR="003E5542" w:rsidRPr="00B00959" w14:paraId="0822727E" w14:textId="77777777" w:rsidTr="008B69B9">
        <w:trPr>
          <w:trHeight w:val="95"/>
          <w:jc w:val="center"/>
        </w:trPr>
        <w:tc>
          <w:tcPr>
            <w:tcW w:w="5690" w:type="dxa"/>
            <w:tcBorders>
              <w:top w:val="nil"/>
              <w:left w:val="nil"/>
              <w:bottom w:val="nil"/>
              <w:right w:val="nil"/>
            </w:tcBorders>
            <w:shd w:val="clear" w:color="000000" w:fill="FFFFFF"/>
            <w:hideMark/>
          </w:tcPr>
          <w:p w14:paraId="7822E818" w14:textId="1850704E" w:rsidR="003E5542" w:rsidRPr="003E5542" w:rsidRDefault="003E5542" w:rsidP="00B05EFA">
            <w:pPr>
              <w:ind w:leftChars="67" w:left="251" w:hangingChars="52" w:hanging="104"/>
              <w:rPr>
                <w:rFonts w:eastAsia="Times New Roman" w:cstheme="minorHAnsi"/>
                <w:sz w:val="20"/>
                <w:szCs w:val="20"/>
              </w:rPr>
            </w:pPr>
            <w:r w:rsidRPr="00B05EFA">
              <w:rPr>
                <w:sz w:val="20"/>
                <w:szCs w:val="20"/>
              </w:rPr>
              <w:t>•</w:t>
            </w:r>
            <w:r w:rsidR="000D0B13">
              <w:rPr>
                <w:sz w:val="20"/>
                <w:szCs w:val="20"/>
              </w:rPr>
              <w:t>Advanced Structures &amp; Composites Center (</w:t>
            </w:r>
            <w:r w:rsidRPr="00B05EFA">
              <w:rPr>
                <w:sz w:val="20"/>
                <w:szCs w:val="20"/>
              </w:rPr>
              <w:t>ASCC</w:t>
            </w:r>
            <w:r w:rsidR="000D0B13">
              <w:rPr>
                <w:sz w:val="20"/>
                <w:szCs w:val="20"/>
              </w:rPr>
              <w:t>)</w:t>
            </w:r>
            <w:r w:rsidRPr="00B05EFA">
              <w:rPr>
                <w:sz w:val="20"/>
                <w:szCs w:val="20"/>
              </w:rPr>
              <w:t xml:space="preserve"> Green Engineering &amp; Materials (GEM) Lab</w:t>
            </w:r>
          </w:p>
        </w:tc>
        <w:tc>
          <w:tcPr>
            <w:tcW w:w="4570" w:type="dxa"/>
            <w:tcBorders>
              <w:top w:val="nil"/>
              <w:left w:val="nil"/>
              <w:bottom w:val="nil"/>
              <w:right w:val="nil"/>
            </w:tcBorders>
            <w:shd w:val="clear" w:color="000000" w:fill="FFFFFF"/>
            <w:hideMark/>
          </w:tcPr>
          <w:p w14:paraId="6E2EE411" w14:textId="60F10CC4" w:rsidR="003E5542" w:rsidRPr="003E5542" w:rsidRDefault="003E5542" w:rsidP="003E5542">
            <w:pPr>
              <w:rPr>
                <w:rFonts w:eastAsia="Times New Roman" w:cstheme="minorHAnsi"/>
                <w:sz w:val="20"/>
                <w:szCs w:val="20"/>
              </w:rPr>
            </w:pPr>
            <w:r w:rsidRPr="00B05EFA">
              <w:rPr>
                <w:sz w:val="20"/>
                <w:szCs w:val="20"/>
              </w:rPr>
              <w:t>Education &amp; General, Grants, State Appropriation</w:t>
            </w:r>
          </w:p>
        </w:tc>
        <w:tc>
          <w:tcPr>
            <w:tcW w:w="1794" w:type="dxa"/>
            <w:tcBorders>
              <w:top w:val="nil"/>
              <w:left w:val="nil"/>
              <w:bottom w:val="nil"/>
              <w:right w:val="nil"/>
            </w:tcBorders>
            <w:shd w:val="clear" w:color="000000" w:fill="FFFFFF"/>
            <w:hideMark/>
          </w:tcPr>
          <w:p w14:paraId="17F04A0D" w14:textId="1A83B065" w:rsidR="003E5542" w:rsidRPr="003E5542" w:rsidRDefault="003E5542" w:rsidP="003E5542">
            <w:pPr>
              <w:rPr>
                <w:rFonts w:eastAsia="Times New Roman" w:cstheme="minorHAnsi"/>
                <w:sz w:val="20"/>
                <w:szCs w:val="20"/>
              </w:rPr>
            </w:pPr>
            <w:r w:rsidRPr="00B05EFA">
              <w:rPr>
                <w:sz w:val="20"/>
                <w:szCs w:val="20"/>
              </w:rPr>
              <w:t>In Progress</w:t>
            </w:r>
          </w:p>
        </w:tc>
        <w:tc>
          <w:tcPr>
            <w:tcW w:w="1086" w:type="dxa"/>
            <w:tcBorders>
              <w:top w:val="nil"/>
              <w:left w:val="nil"/>
              <w:bottom w:val="nil"/>
              <w:right w:val="nil"/>
            </w:tcBorders>
            <w:shd w:val="clear" w:color="000000" w:fill="FFFFFF"/>
            <w:noWrap/>
            <w:hideMark/>
          </w:tcPr>
          <w:p w14:paraId="7855A185" w14:textId="4912C977" w:rsidR="003E5542" w:rsidRPr="003E5542" w:rsidRDefault="003E5542" w:rsidP="003E5542">
            <w:pPr>
              <w:jc w:val="right"/>
              <w:rPr>
                <w:rFonts w:eastAsia="Times New Roman" w:cstheme="minorHAnsi"/>
                <w:sz w:val="20"/>
                <w:szCs w:val="20"/>
              </w:rPr>
            </w:pPr>
            <w:r w:rsidRPr="00B05EFA">
              <w:rPr>
                <w:sz w:val="20"/>
                <w:szCs w:val="20"/>
              </w:rPr>
              <w:t xml:space="preserve"> 81.00 </w:t>
            </w:r>
          </w:p>
        </w:tc>
      </w:tr>
      <w:tr w:rsidR="003E5542" w:rsidRPr="00B00959" w14:paraId="52BB9082" w14:textId="77777777" w:rsidTr="008B69B9">
        <w:trPr>
          <w:trHeight w:val="95"/>
          <w:jc w:val="center"/>
        </w:trPr>
        <w:tc>
          <w:tcPr>
            <w:tcW w:w="5690" w:type="dxa"/>
            <w:tcBorders>
              <w:top w:val="nil"/>
              <w:left w:val="nil"/>
              <w:bottom w:val="nil"/>
              <w:right w:val="nil"/>
            </w:tcBorders>
            <w:shd w:val="clear" w:color="000000" w:fill="FFFFFF"/>
            <w:hideMark/>
          </w:tcPr>
          <w:p w14:paraId="2C8EF2F6" w14:textId="70C7AB9A" w:rsidR="003E5542" w:rsidRPr="003E5542" w:rsidRDefault="003E5542" w:rsidP="003E5542">
            <w:pPr>
              <w:ind w:firstLineChars="75" w:firstLine="150"/>
              <w:rPr>
                <w:rFonts w:eastAsia="Times New Roman" w:cstheme="minorHAnsi"/>
                <w:sz w:val="20"/>
                <w:szCs w:val="20"/>
              </w:rPr>
            </w:pPr>
            <w:r w:rsidRPr="00B05EFA">
              <w:rPr>
                <w:sz w:val="20"/>
                <w:szCs w:val="20"/>
              </w:rPr>
              <w:t>•ASCC Secure Clean Lab Suite</w:t>
            </w:r>
          </w:p>
        </w:tc>
        <w:tc>
          <w:tcPr>
            <w:tcW w:w="4570" w:type="dxa"/>
            <w:tcBorders>
              <w:top w:val="nil"/>
              <w:left w:val="nil"/>
              <w:bottom w:val="nil"/>
              <w:right w:val="nil"/>
            </w:tcBorders>
            <w:shd w:val="clear" w:color="000000" w:fill="FFFFFF"/>
            <w:hideMark/>
          </w:tcPr>
          <w:p w14:paraId="030BA123" w14:textId="370F16D3" w:rsidR="003E5542" w:rsidRPr="003E5542" w:rsidRDefault="003E5542" w:rsidP="003E5542">
            <w:pPr>
              <w:rPr>
                <w:rFonts w:eastAsia="Times New Roman" w:cstheme="minorHAnsi"/>
                <w:sz w:val="20"/>
                <w:szCs w:val="20"/>
              </w:rPr>
            </w:pPr>
            <w:r w:rsidRPr="00B05EFA">
              <w:rPr>
                <w:sz w:val="20"/>
                <w:szCs w:val="20"/>
              </w:rPr>
              <w:t>Grants</w:t>
            </w:r>
          </w:p>
        </w:tc>
        <w:tc>
          <w:tcPr>
            <w:tcW w:w="1794" w:type="dxa"/>
            <w:tcBorders>
              <w:top w:val="nil"/>
              <w:left w:val="nil"/>
              <w:bottom w:val="nil"/>
              <w:right w:val="nil"/>
            </w:tcBorders>
            <w:shd w:val="clear" w:color="000000" w:fill="FFFFFF"/>
            <w:hideMark/>
          </w:tcPr>
          <w:p w14:paraId="7031600D" w14:textId="58EB7B6F" w:rsidR="003E5542" w:rsidRPr="003E5542" w:rsidRDefault="003E5542" w:rsidP="003E5542">
            <w:pPr>
              <w:rPr>
                <w:rFonts w:eastAsia="Times New Roman" w:cstheme="minorHAnsi"/>
                <w:sz w:val="20"/>
                <w:szCs w:val="20"/>
              </w:rPr>
            </w:pPr>
            <w:r w:rsidRPr="00B05EFA">
              <w:rPr>
                <w:sz w:val="20"/>
                <w:szCs w:val="20"/>
              </w:rPr>
              <w:t>In Progress</w:t>
            </w:r>
          </w:p>
        </w:tc>
        <w:tc>
          <w:tcPr>
            <w:tcW w:w="1086" w:type="dxa"/>
            <w:tcBorders>
              <w:top w:val="nil"/>
              <w:left w:val="nil"/>
              <w:bottom w:val="nil"/>
              <w:right w:val="nil"/>
            </w:tcBorders>
            <w:shd w:val="clear" w:color="000000" w:fill="FFFFFF"/>
            <w:noWrap/>
            <w:hideMark/>
          </w:tcPr>
          <w:p w14:paraId="313ED69A" w14:textId="5CEB48E9" w:rsidR="003E5542" w:rsidRPr="003E5542" w:rsidRDefault="003E5542" w:rsidP="003E5542">
            <w:pPr>
              <w:jc w:val="right"/>
              <w:rPr>
                <w:rFonts w:eastAsia="Times New Roman" w:cstheme="minorHAnsi"/>
                <w:sz w:val="20"/>
                <w:szCs w:val="20"/>
              </w:rPr>
            </w:pPr>
            <w:r w:rsidRPr="00B05EFA">
              <w:rPr>
                <w:sz w:val="20"/>
                <w:szCs w:val="20"/>
              </w:rPr>
              <w:t xml:space="preserve"> 4.70 </w:t>
            </w:r>
          </w:p>
        </w:tc>
      </w:tr>
      <w:tr w:rsidR="003E5542" w:rsidRPr="00B00959" w14:paraId="2331B455" w14:textId="77777777" w:rsidTr="008B69B9">
        <w:trPr>
          <w:trHeight w:val="95"/>
          <w:jc w:val="center"/>
        </w:trPr>
        <w:tc>
          <w:tcPr>
            <w:tcW w:w="5690" w:type="dxa"/>
            <w:tcBorders>
              <w:top w:val="nil"/>
              <w:left w:val="nil"/>
              <w:bottom w:val="nil"/>
              <w:right w:val="nil"/>
            </w:tcBorders>
            <w:shd w:val="clear" w:color="000000" w:fill="FFFFFF"/>
            <w:hideMark/>
          </w:tcPr>
          <w:p w14:paraId="00A3BEC5" w14:textId="4958E896" w:rsidR="003E5542" w:rsidRPr="003E5542" w:rsidRDefault="003E5542" w:rsidP="003E5542">
            <w:pPr>
              <w:ind w:firstLineChars="75" w:firstLine="150"/>
              <w:rPr>
                <w:rFonts w:eastAsia="Times New Roman" w:cstheme="minorHAnsi"/>
                <w:sz w:val="20"/>
                <w:szCs w:val="20"/>
              </w:rPr>
            </w:pPr>
            <w:r w:rsidRPr="00B05EFA">
              <w:rPr>
                <w:sz w:val="20"/>
                <w:szCs w:val="20"/>
              </w:rPr>
              <w:t>•HVAC Systems &amp; Controls Upgrades</w:t>
            </w:r>
          </w:p>
        </w:tc>
        <w:tc>
          <w:tcPr>
            <w:tcW w:w="4570" w:type="dxa"/>
            <w:tcBorders>
              <w:top w:val="nil"/>
              <w:left w:val="nil"/>
              <w:bottom w:val="nil"/>
              <w:right w:val="nil"/>
            </w:tcBorders>
            <w:shd w:val="clear" w:color="000000" w:fill="FFFFFF"/>
            <w:hideMark/>
          </w:tcPr>
          <w:p w14:paraId="24DA427E" w14:textId="72DFA971" w:rsidR="003E5542" w:rsidRPr="003E5542" w:rsidRDefault="003E5542" w:rsidP="003E5542">
            <w:pPr>
              <w:rPr>
                <w:rFonts w:eastAsia="Times New Roman" w:cstheme="minorHAnsi"/>
                <w:sz w:val="20"/>
                <w:szCs w:val="20"/>
              </w:rPr>
            </w:pPr>
            <w:r w:rsidRPr="00B05EFA">
              <w:rPr>
                <w:sz w:val="20"/>
                <w:szCs w:val="20"/>
              </w:rPr>
              <w:t>Education &amp; General</w:t>
            </w:r>
          </w:p>
        </w:tc>
        <w:tc>
          <w:tcPr>
            <w:tcW w:w="1794" w:type="dxa"/>
            <w:tcBorders>
              <w:top w:val="nil"/>
              <w:left w:val="nil"/>
              <w:bottom w:val="nil"/>
              <w:right w:val="nil"/>
            </w:tcBorders>
            <w:shd w:val="clear" w:color="000000" w:fill="FFFFFF"/>
            <w:hideMark/>
          </w:tcPr>
          <w:p w14:paraId="643594B8" w14:textId="097443EC" w:rsidR="003E5542" w:rsidRPr="003E5542" w:rsidRDefault="003E5542" w:rsidP="003E5542">
            <w:pPr>
              <w:rPr>
                <w:rFonts w:eastAsia="Times New Roman" w:cstheme="minorHAnsi"/>
                <w:sz w:val="20"/>
                <w:szCs w:val="20"/>
              </w:rPr>
            </w:pPr>
            <w:r w:rsidRPr="00B05EFA">
              <w:rPr>
                <w:sz w:val="20"/>
                <w:szCs w:val="20"/>
              </w:rPr>
              <w:t>In Progress</w:t>
            </w:r>
          </w:p>
        </w:tc>
        <w:tc>
          <w:tcPr>
            <w:tcW w:w="1086" w:type="dxa"/>
            <w:tcBorders>
              <w:top w:val="nil"/>
              <w:left w:val="nil"/>
              <w:bottom w:val="nil"/>
              <w:right w:val="nil"/>
            </w:tcBorders>
            <w:shd w:val="clear" w:color="000000" w:fill="FFFFFF"/>
            <w:noWrap/>
            <w:hideMark/>
          </w:tcPr>
          <w:p w14:paraId="76973DFB" w14:textId="4C5E6F8D" w:rsidR="003E5542" w:rsidRPr="003E5542" w:rsidRDefault="003E5542" w:rsidP="003E5542">
            <w:pPr>
              <w:jc w:val="right"/>
              <w:rPr>
                <w:rFonts w:eastAsia="Times New Roman" w:cstheme="minorHAnsi"/>
                <w:sz w:val="20"/>
                <w:szCs w:val="20"/>
              </w:rPr>
            </w:pPr>
            <w:r w:rsidRPr="00B05EFA">
              <w:rPr>
                <w:sz w:val="20"/>
                <w:szCs w:val="20"/>
              </w:rPr>
              <w:t xml:space="preserve"> 8.50 </w:t>
            </w:r>
          </w:p>
        </w:tc>
      </w:tr>
      <w:tr w:rsidR="003E5542" w:rsidRPr="00B00959" w14:paraId="5F6804F1" w14:textId="77777777" w:rsidTr="008B69B9">
        <w:trPr>
          <w:trHeight w:val="95"/>
          <w:jc w:val="center"/>
        </w:trPr>
        <w:tc>
          <w:tcPr>
            <w:tcW w:w="5690" w:type="dxa"/>
            <w:tcBorders>
              <w:top w:val="nil"/>
              <w:left w:val="nil"/>
              <w:bottom w:val="nil"/>
              <w:right w:val="nil"/>
            </w:tcBorders>
            <w:shd w:val="clear" w:color="000000" w:fill="FFFFFF"/>
            <w:hideMark/>
          </w:tcPr>
          <w:p w14:paraId="44DFD4F4" w14:textId="5DEA649D" w:rsidR="003E5542" w:rsidRPr="003E5542" w:rsidRDefault="003E5542" w:rsidP="003E5542">
            <w:pPr>
              <w:ind w:firstLineChars="75" w:firstLine="150"/>
              <w:rPr>
                <w:rFonts w:eastAsia="Times New Roman" w:cstheme="minorHAnsi"/>
                <w:sz w:val="20"/>
                <w:szCs w:val="20"/>
              </w:rPr>
            </w:pPr>
            <w:r w:rsidRPr="00B05EFA">
              <w:rPr>
                <w:sz w:val="20"/>
                <w:szCs w:val="20"/>
              </w:rPr>
              <w:t>•UM Priority 1 Athletic Fields</w:t>
            </w:r>
          </w:p>
        </w:tc>
        <w:tc>
          <w:tcPr>
            <w:tcW w:w="4570" w:type="dxa"/>
            <w:tcBorders>
              <w:top w:val="nil"/>
              <w:left w:val="nil"/>
              <w:bottom w:val="nil"/>
              <w:right w:val="nil"/>
            </w:tcBorders>
            <w:shd w:val="clear" w:color="000000" w:fill="FFFFFF"/>
            <w:hideMark/>
          </w:tcPr>
          <w:p w14:paraId="59F977B2" w14:textId="35ADD693" w:rsidR="003E5542" w:rsidRPr="003E5542" w:rsidRDefault="003E5542" w:rsidP="003E5542">
            <w:pPr>
              <w:rPr>
                <w:rFonts w:eastAsia="Times New Roman" w:cstheme="minorHAnsi"/>
                <w:sz w:val="20"/>
                <w:szCs w:val="20"/>
              </w:rPr>
            </w:pPr>
            <w:r w:rsidRPr="00B05EFA">
              <w:rPr>
                <w:sz w:val="20"/>
                <w:szCs w:val="20"/>
              </w:rPr>
              <w:t>Gifts and Harold Alfond Foundation Grant</w:t>
            </w:r>
          </w:p>
        </w:tc>
        <w:tc>
          <w:tcPr>
            <w:tcW w:w="1794" w:type="dxa"/>
            <w:tcBorders>
              <w:top w:val="nil"/>
              <w:left w:val="nil"/>
              <w:bottom w:val="nil"/>
              <w:right w:val="nil"/>
            </w:tcBorders>
            <w:shd w:val="clear" w:color="000000" w:fill="FFFFFF"/>
            <w:hideMark/>
          </w:tcPr>
          <w:p w14:paraId="5271C673" w14:textId="690D8DA2" w:rsidR="003E5542" w:rsidRPr="003E5542" w:rsidRDefault="003E5542" w:rsidP="003E5542">
            <w:pPr>
              <w:rPr>
                <w:rFonts w:eastAsia="Times New Roman" w:cstheme="minorHAnsi"/>
                <w:sz w:val="20"/>
                <w:szCs w:val="20"/>
              </w:rPr>
            </w:pPr>
            <w:r w:rsidRPr="00B05EFA">
              <w:rPr>
                <w:sz w:val="20"/>
                <w:szCs w:val="20"/>
              </w:rPr>
              <w:t>Complete</w:t>
            </w:r>
          </w:p>
        </w:tc>
        <w:tc>
          <w:tcPr>
            <w:tcW w:w="1086" w:type="dxa"/>
            <w:tcBorders>
              <w:top w:val="nil"/>
              <w:left w:val="nil"/>
              <w:bottom w:val="nil"/>
              <w:right w:val="nil"/>
            </w:tcBorders>
            <w:shd w:val="clear" w:color="000000" w:fill="FFFFFF"/>
            <w:noWrap/>
            <w:hideMark/>
          </w:tcPr>
          <w:p w14:paraId="71D6FAFF" w14:textId="47FF5D96" w:rsidR="003E5542" w:rsidRPr="003E5542" w:rsidRDefault="003E5542" w:rsidP="003E5542">
            <w:pPr>
              <w:jc w:val="right"/>
              <w:rPr>
                <w:rFonts w:eastAsia="Times New Roman" w:cstheme="minorHAnsi"/>
                <w:sz w:val="20"/>
                <w:szCs w:val="20"/>
              </w:rPr>
            </w:pPr>
            <w:r w:rsidRPr="00B05EFA">
              <w:rPr>
                <w:sz w:val="20"/>
                <w:szCs w:val="20"/>
              </w:rPr>
              <w:t xml:space="preserve"> 33.00 </w:t>
            </w:r>
          </w:p>
        </w:tc>
      </w:tr>
      <w:tr w:rsidR="003E5542" w:rsidRPr="00B00959" w14:paraId="022A2828" w14:textId="77777777" w:rsidTr="008B69B9">
        <w:trPr>
          <w:trHeight w:val="95"/>
          <w:jc w:val="center"/>
        </w:trPr>
        <w:tc>
          <w:tcPr>
            <w:tcW w:w="5690" w:type="dxa"/>
            <w:tcBorders>
              <w:top w:val="nil"/>
              <w:left w:val="nil"/>
              <w:bottom w:val="nil"/>
              <w:right w:val="nil"/>
            </w:tcBorders>
            <w:shd w:val="clear" w:color="000000" w:fill="FFFFFF"/>
            <w:hideMark/>
          </w:tcPr>
          <w:p w14:paraId="34927894" w14:textId="2AB62640" w:rsidR="003E5542" w:rsidRPr="003E5542" w:rsidRDefault="003E5542" w:rsidP="003E5542">
            <w:pPr>
              <w:ind w:firstLineChars="75" w:firstLine="150"/>
              <w:rPr>
                <w:rFonts w:eastAsia="Times New Roman" w:cstheme="minorHAnsi"/>
                <w:sz w:val="20"/>
                <w:szCs w:val="20"/>
              </w:rPr>
            </w:pPr>
            <w:r w:rsidRPr="00B05EFA">
              <w:rPr>
                <w:sz w:val="20"/>
                <w:szCs w:val="20"/>
              </w:rPr>
              <w:t>•UM Adaptive Reuse Project/Historic P3</w:t>
            </w:r>
          </w:p>
        </w:tc>
        <w:tc>
          <w:tcPr>
            <w:tcW w:w="4570" w:type="dxa"/>
            <w:tcBorders>
              <w:top w:val="nil"/>
              <w:left w:val="nil"/>
              <w:bottom w:val="nil"/>
              <w:right w:val="nil"/>
            </w:tcBorders>
            <w:shd w:val="clear" w:color="000000" w:fill="FFFFFF"/>
            <w:hideMark/>
          </w:tcPr>
          <w:p w14:paraId="7228963C" w14:textId="28E6282A" w:rsidR="003E5542" w:rsidRPr="003E5542" w:rsidRDefault="003E5542" w:rsidP="003E5542">
            <w:pPr>
              <w:rPr>
                <w:rFonts w:eastAsia="Times New Roman" w:cstheme="minorHAnsi"/>
                <w:sz w:val="20"/>
                <w:szCs w:val="20"/>
              </w:rPr>
            </w:pPr>
            <w:r w:rsidRPr="00B05EFA">
              <w:rPr>
                <w:sz w:val="20"/>
                <w:szCs w:val="20"/>
              </w:rPr>
              <w:t>Education &amp; General</w:t>
            </w:r>
          </w:p>
        </w:tc>
        <w:tc>
          <w:tcPr>
            <w:tcW w:w="1794" w:type="dxa"/>
            <w:tcBorders>
              <w:top w:val="nil"/>
              <w:left w:val="nil"/>
              <w:bottom w:val="nil"/>
              <w:right w:val="nil"/>
            </w:tcBorders>
            <w:shd w:val="clear" w:color="000000" w:fill="FFFFFF"/>
            <w:hideMark/>
          </w:tcPr>
          <w:p w14:paraId="1A187F26" w14:textId="209F8E9A" w:rsidR="003E5542" w:rsidRPr="003E5542" w:rsidRDefault="003E5542" w:rsidP="003E5542">
            <w:pPr>
              <w:rPr>
                <w:rFonts w:eastAsia="Times New Roman" w:cstheme="minorHAnsi"/>
                <w:sz w:val="20"/>
                <w:szCs w:val="20"/>
              </w:rPr>
            </w:pPr>
            <w:r w:rsidRPr="00B05EFA">
              <w:rPr>
                <w:sz w:val="20"/>
                <w:szCs w:val="20"/>
              </w:rPr>
              <w:t>Complete</w:t>
            </w:r>
          </w:p>
        </w:tc>
        <w:tc>
          <w:tcPr>
            <w:tcW w:w="1086" w:type="dxa"/>
            <w:tcBorders>
              <w:top w:val="nil"/>
              <w:left w:val="nil"/>
              <w:bottom w:val="nil"/>
              <w:right w:val="nil"/>
            </w:tcBorders>
            <w:shd w:val="clear" w:color="000000" w:fill="FFFFFF"/>
            <w:noWrap/>
            <w:hideMark/>
          </w:tcPr>
          <w:p w14:paraId="38D29851" w14:textId="242E7E64" w:rsidR="003E5542" w:rsidRPr="003E5542" w:rsidRDefault="003E5542" w:rsidP="003E5542">
            <w:pPr>
              <w:jc w:val="right"/>
              <w:rPr>
                <w:rFonts w:eastAsia="Times New Roman" w:cstheme="minorHAnsi"/>
                <w:sz w:val="20"/>
                <w:szCs w:val="20"/>
              </w:rPr>
            </w:pPr>
            <w:r w:rsidRPr="00B05EFA">
              <w:rPr>
                <w:sz w:val="20"/>
                <w:szCs w:val="20"/>
              </w:rPr>
              <w:t xml:space="preserve"> 3.50 </w:t>
            </w:r>
          </w:p>
        </w:tc>
      </w:tr>
      <w:tr w:rsidR="003E5542" w:rsidRPr="00B00959" w14:paraId="164E74C4" w14:textId="77777777" w:rsidTr="008B69B9">
        <w:trPr>
          <w:trHeight w:val="95"/>
          <w:jc w:val="center"/>
        </w:trPr>
        <w:tc>
          <w:tcPr>
            <w:tcW w:w="5690" w:type="dxa"/>
            <w:tcBorders>
              <w:top w:val="nil"/>
              <w:left w:val="nil"/>
              <w:bottom w:val="nil"/>
              <w:right w:val="nil"/>
            </w:tcBorders>
            <w:shd w:val="clear" w:color="000000" w:fill="FFFFFF"/>
            <w:hideMark/>
          </w:tcPr>
          <w:p w14:paraId="26533A02" w14:textId="26B39101" w:rsidR="003E5542" w:rsidRPr="003E5542" w:rsidRDefault="003E5542" w:rsidP="003E5542">
            <w:pPr>
              <w:ind w:firstLineChars="75" w:firstLine="150"/>
              <w:rPr>
                <w:rFonts w:eastAsia="Times New Roman" w:cstheme="minorHAnsi"/>
                <w:sz w:val="20"/>
                <w:szCs w:val="20"/>
              </w:rPr>
            </w:pPr>
            <w:r w:rsidRPr="00B05EFA">
              <w:rPr>
                <w:sz w:val="20"/>
                <w:szCs w:val="20"/>
              </w:rPr>
              <w:t>•UM Athletic Phase 2 Projects</w:t>
            </w:r>
          </w:p>
        </w:tc>
        <w:tc>
          <w:tcPr>
            <w:tcW w:w="4570" w:type="dxa"/>
            <w:tcBorders>
              <w:top w:val="nil"/>
              <w:left w:val="nil"/>
              <w:bottom w:val="nil"/>
              <w:right w:val="nil"/>
            </w:tcBorders>
            <w:shd w:val="clear" w:color="000000" w:fill="FFFFFF"/>
            <w:hideMark/>
          </w:tcPr>
          <w:p w14:paraId="61E53066" w14:textId="51CEA290" w:rsidR="003E5542" w:rsidRPr="003E5542" w:rsidRDefault="003E5542" w:rsidP="003E5542">
            <w:pPr>
              <w:rPr>
                <w:rFonts w:eastAsia="Times New Roman" w:cstheme="minorHAnsi"/>
                <w:sz w:val="20"/>
                <w:szCs w:val="20"/>
              </w:rPr>
            </w:pPr>
            <w:r w:rsidRPr="00B05EFA">
              <w:rPr>
                <w:sz w:val="20"/>
                <w:szCs w:val="20"/>
              </w:rPr>
              <w:t>Gifts and Harold Alfond Foundation Grant</w:t>
            </w:r>
          </w:p>
        </w:tc>
        <w:tc>
          <w:tcPr>
            <w:tcW w:w="1794" w:type="dxa"/>
            <w:tcBorders>
              <w:top w:val="nil"/>
              <w:left w:val="nil"/>
              <w:bottom w:val="nil"/>
              <w:right w:val="nil"/>
            </w:tcBorders>
            <w:shd w:val="clear" w:color="000000" w:fill="FFFFFF"/>
            <w:hideMark/>
          </w:tcPr>
          <w:p w14:paraId="307EA973" w14:textId="7F3F47EC" w:rsidR="003E5542" w:rsidRPr="003E5542" w:rsidRDefault="003E5542" w:rsidP="003E5542">
            <w:pPr>
              <w:rPr>
                <w:rFonts w:eastAsia="Times New Roman" w:cstheme="minorHAnsi"/>
                <w:sz w:val="20"/>
                <w:szCs w:val="20"/>
              </w:rPr>
            </w:pPr>
            <w:r w:rsidRPr="00B05EFA">
              <w:rPr>
                <w:sz w:val="20"/>
                <w:szCs w:val="20"/>
              </w:rPr>
              <w:t>In Progress</w:t>
            </w:r>
          </w:p>
        </w:tc>
        <w:tc>
          <w:tcPr>
            <w:tcW w:w="1086" w:type="dxa"/>
            <w:tcBorders>
              <w:top w:val="nil"/>
              <w:left w:val="nil"/>
              <w:bottom w:val="nil"/>
              <w:right w:val="nil"/>
            </w:tcBorders>
            <w:shd w:val="clear" w:color="000000" w:fill="FFFFFF"/>
            <w:noWrap/>
            <w:hideMark/>
          </w:tcPr>
          <w:p w14:paraId="063765F1" w14:textId="39B7323A" w:rsidR="003E5542" w:rsidRPr="003E5542" w:rsidRDefault="003E5542" w:rsidP="003E5542">
            <w:pPr>
              <w:jc w:val="right"/>
              <w:rPr>
                <w:rFonts w:eastAsia="Times New Roman" w:cstheme="minorHAnsi"/>
                <w:sz w:val="20"/>
                <w:szCs w:val="20"/>
              </w:rPr>
            </w:pPr>
            <w:r w:rsidRPr="00B05EFA">
              <w:rPr>
                <w:sz w:val="20"/>
                <w:szCs w:val="20"/>
              </w:rPr>
              <w:t xml:space="preserve"> 32.30 </w:t>
            </w:r>
          </w:p>
        </w:tc>
      </w:tr>
      <w:tr w:rsidR="003E5542" w:rsidRPr="00B00959" w14:paraId="4495370C" w14:textId="77777777" w:rsidTr="008B69B9">
        <w:trPr>
          <w:trHeight w:val="95"/>
          <w:jc w:val="center"/>
        </w:trPr>
        <w:tc>
          <w:tcPr>
            <w:tcW w:w="5690" w:type="dxa"/>
            <w:tcBorders>
              <w:top w:val="nil"/>
              <w:left w:val="nil"/>
              <w:bottom w:val="nil"/>
              <w:right w:val="nil"/>
            </w:tcBorders>
            <w:shd w:val="clear" w:color="000000" w:fill="FFFFFF"/>
            <w:hideMark/>
          </w:tcPr>
          <w:p w14:paraId="5AE24F1B" w14:textId="440EC0E6" w:rsidR="003E5542" w:rsidRPr="003E5542" w:rsidRDefault="003E5542" w:rsidP="003E5542">
            <w:pPr>
              <w:ind w:firstLineChars="75" w:firstLine="150"/>
              <w:rPr>
                <w:rFonts w:eastAsia="Times New Roman" w:cstheme="minorHAnsi"/>
                <w:sz w:val="20"/>
                <w:szCs w:val="20"/>
              </w:rPr>
            </w:pPr>
            <w:r w:rsidRPr="00B05EFA">
              <w:rPr>
                <w:sz w:val="20"/>
                <w:szCs w:val="20"/>
              </w:rPr>
              <w:t>•UM Athletic Phase 3 Projects</w:t>
            </w:r>
          </w:p>
        </w:tc>
        <w:tc>
          <w:tcPr>
            <w:tcW w:w="4570" w:type="dxa"/>
            <w:tcBorders>
              <w:top w:val="nil"/>
              <w:left w:val="nil"/>
              <w:bottom w:val="nil"/>
              <w:right w:val="nil"/>
            </w:tcBorders>
            <w:shd w:val="clear" w:color="000000" w:fill="FFFFFF"/>
            <w:hideMark/>
          </w:tcPr>
          <w:p w14:paraId="370198B9" w14:textId="050B0BA1" w:rsidR="003E5542" w:rsidRPr="003E5542" w:rsidRDefault="003E5542" w:rsidP="003E5542">
            <w:pPr>
              <w:rPr>
                <w:rFonts w:eastAsia="Times New Roman" w:cstheme="minorHAnsi"/>
                <w:sz w:val="20"/>
                <w:szCs w:val="20"/>
              </w:rPr>
            </w:pPr>
            <w:r w:rsidRPr="00B05EFA">
              <w:rPr>
                <w:sz w:val="20"/>
                <w:szCs w:val="20"/>
              </w:rPr>
              <w:t>Gifts and Harold Alfond Foundation Grant</w:t>
            </w:r>
          </w:p>
        </w:tc>
        <w:tc>
          <w:tcPr>
            <w:tcW w:w="1794" w:type="dxa"/>
            <w:tcBorders>
              <w:top w:val="nil"/>
              <w:left w:val="nil"/>
              <w:bottom w:val="nil"/>
              <w:right w:val="nil"/>
            </w:tcBorders>
            <w:shd w:val="clear" w:color="000000" w:fill="FFFFFF"/>
            <w:hideMark/>
          </w:tcPr>
          <w:p w14:paraId="534CC9D9" w14:textId="13C9CB53" w:rsidR="003E5542" w:rsidRPr="003E5542" w:rsidRDefault="003E5542" w:rsidP="003E5542">
            <w:pPr>
              <w:rPr>
                <w:rFonts w:eastAsia="Times New Roman" w:cstheme="minorHAnsi"/>
                <w:sz w:val="20"/>
                <w:szCs w:val="20"/>
              </w:rPr>
            </w:pPr>
            <w:r w:rsidRPr="00B05EFA">
              <w:rPr>
                <w:sz w:val="20"/>
                <w:szCs w:val="20"/>
              </w:rPr>
              <w:t>In Progress</w:t>
            </w:r>
          </w:p>
        </w:tc>
        <w:tc>
          <w:tcPr>
            <w:tcW w:w="1086" w:type="dxa"/>
            <w:tcBorders>
              <w:top w:val="nil"/>
              <w:left w:val="nil"/>
              <w:bottom w:val="nil"/>
              <w:right w:val="nil"/>
            </w:tcBorders>
            <w:shd w:val="clear" w:color="000000" w:fill="FFFFFF"/>
            <w:noWrap/>
            <w:hideMark/>
          </w:tcPr>
          <w:p w14:paraId="43E85F1A" w14:textId="3F89EC98" w:rsidR="003E5542" w:rsidRPr="003E5542" w:rsidRDefault="003E5542" w:rsidP="003E5542">
            <w:pPr>
              <w:jc w:val="right"/>
              <w:rPr>
                <w:rFonts w:eastAsia="Times New Roman" w:cstheme="minorHAnsi"/>
                <w:sz w:val="20"/>
                <w:szCs w:val="20"/>
              </w:rPr>
            </w:pPr>
            <w:r w:rsidRPr="00B05EFA">
              <w:rPr>
                <w:sz w:val="20"/>
                <w:szCs w:val="20"/>
              </w:rPr>
              <w:t xml:space="preserve"> 27.00 </w:t>
            </w:r>
          </w:p>
        </w:tc>
      </w:tr>
      <w:tr w:rsidR="003E5542" w:rsidRPr="00B00959" w14:paraId="22EABA9F" w14:textId="77777777" w:rsidTr="008B69B9">
        <w:trPr>
          <w:trHeight w:val="95"/>
          <w:jc w:val="center"/>
        </w:trPr>
        <w:tc>
          <w:tcPr>
            <w:tcW w:w="5690" w:type="dxa"/>
            <w:tcBorders>
              <w:top w:val="nil"/>
              <w:left w:val="nil"/>
              <w:bottom w:val="nil"/>
              <w:right w:val="nil"/>
            </w:tcBorders>
            <w:shd w:val="clear" w:color="000000" w:fill="FFFFFF"/>
            <w:hideMark/>
          </w:tcPr>
          <w:p w14:paraId="2B6D8F98" w14:textId="29465AF6" w:rsidR="003E5542" w:rsidRPr="003E5542" w:rsidRDefault="003E5542" w:rsidP="003E5542">
            <w:pPr>
              <w:ind w:firstLineChars="75" w:firstLine="150"/>
              <w:rPr>
                <w:rFonts w:eastAsia="Times New Roman" w:cstheme="minorHAnsi"/>
                <w:sz w:val="20"/>
                <w:szCs w:val="20"/>
              </w:rPr>
            </w:pPr>
            <w:r w:rsidRPr="00B05EFA">
              <w:rPr>
                <w:sz w:val="20"/>
                <w:szCs w:val="20"/>
              </w:rPr>
              <w:t>•Modernization of Witter Farm</w:t>
            </w:r>
          </w:p>
        </w:tc>
        <w:tc>
          <w:tcPr>
            <w:tcW w:w="4570" w:type="dxa"/>
            <w:tcBorders>
              <w:top w:val="nil"/>
              <w:left w:val="nil"/>
              <w:bottom w:val="nil"/>
              <w:right w:val="nil"/>
            </w:tcBorders>
            <w:shd w:val="clear" w:color="000000" w:fill="FFFFFF"/>
            <w:hideMark/>
          </w:tcPr>
          <w:p w14:paraId="252A7198" w14:textId="0B1C5DBF" w:rsidR="003E5542" w:rsidRPr="003E5542" w:rsidRDefault="003E5542" w:rsidP="003E5542">
            <w:pPr>
              <w:rPr>
                <w:rFonts w:eastAsia="Times New Roman" w:cstheme="minorHAnsi"/>
                <w:sz w:val="20"/>
                <w:szCs w:val="20"/>
              </w:rPr>
            </w:pPr>
            <w:r w:rsidRPr="00B05EFA">
              <w:rPr>
                <w:sz w:val="20"/>
                <w:szCs w:val="20"/>
              </w:rPr>
              <w:t>Education &amp; General</w:t>
            </w:r>
          </w:p>
        </w:tc>
        <w:tc>
          <w:tcPr>
            <w:tcW w:w="1794" w:type="dxa"/>
            <w:tcBorders>
              <w:top w:val="nil"/>
              <w:left w:val="nil"/>
              <w:bottom w:val="nil"/>
              <w:right w:val="nil"/>
            </w:tcBorders>
            <w:shd w:val="clear" w:color="000000" w:fill="FFFFFF"/>
            <w:hideMark/>
          </w:tcPr>
          <w:p w14:paraId="6854909C" w14:textId="5A451BB6" w:rsidR="003E5542" w:rsidRPr="003E5542" w:rsidRDefault="003E5542" w:rsidP="003E5542">
            <w:pPr>
              <w:rPr>
                <w:rFonts w:eastAsia="Times New Roman" w:cstheme="minorHAnsi"/>
                <w:sz w:val="20"/>
                <w:szCs w:val="20"/>
              </w:rPr>
            </w:pPr>
            <w:r w:rsidRPr="00B05EFA">
              <w:rPr>
                <w:sz w:val="20"/>
                <w:szCs w:val="20"/>
              </w:rPr>
              <w:t>In Progress</w:t>
            </w:r>
          </w:p>
        </w:tc>
        <w:tc>
          <w:tcPr>
            <w:tcW w:w="1086" w:type="dxa"/>
            <w:tcBorders>
              <w:top w:val="nil"/>
              <w:left w:val="nil"/>
              <w:bottom w:val="nil"/>
              <w:right w:val="nil"/>
            </w:tcBorders>
            <w:shd w:val="clear" w:color="000000" w:fill="FFFFFF"/>
            <w:noWrap/>
            <w:hideMark/>
          </w:tcPr>
          <w:p w14:paraId="0F3C99F3" w14:textId="2844FF38" w:rsidR="003E5542" w:rsidRPr="003E5542" w:rsidRDefault="003E5542" w:rsidP="003E5542">
            <w:pPr>
              <w:jc w:val="right"/>
              <w:rPr>
                <w:rFonts w:eastAsia="Times New Roman" w:cstheme="minorHAnsi"/>
                <w:sz w:val="20"/>
                <w:szCs w:val="20"/>
              </w:rPr>
            </w:pPr>
            <w:r w:rsidRPr="00B05EFA">
              <w:rPr>
                <w:sz w:val="20"/>
                <w:szCs w:val="20"/>
              </w:rPr>
              <w:t xml:space="preserve"> 3.50 </w:t>
            </w:r>
          </w:p>
        </w:tc>
      </w:tr>
      <w:tr w:rsidR="003E5542" w:rsidRPr="00B00959" w14:paraId="3E089EDB" w14:textId="77777777" w:rsidTr="008B69B9">
        <w:trPr>
          <w:trHeight w:val="95"/>
          <w:jc w:val="center"/>
        </w:trPr>
        <w:tc>
          <w:tcPr>
            <w:tcW w:w="5690" w:type="dxa"/>
            <w:tcBorders>
              <w:top w:val="nil"/>
              <w:left w:val="nil"/>
              <w:bottom w:val="nil"/>
              <w:right w:val="nil"/>
            </w:tcBorders>
            <w:shd w:val="clear" w:color="000000" w:fill="FFFFFF"/>
            <w:noWrap/>
            <w:hideMark/>
          </w:tcPr>
          <w:p w14:paraId="22063A35" w14:textId="79FFC29C" w:rsidR="003E5542" w:rsidRPr="003E5542" w:rsidRDefault="003E5542" w:rsidP="003E5542">
            <w:pPr>
              <w:ind w:firstLineChars="75" w:firstLine="150"/>
              <w:rPr>
                <w:rFonts w:eastAsia="Times New Roman" w:cstheme="minorHAnsi"/>
                <w:b/>
                <w:bCs/>
                <w:sz w:val="20"/>
                <w:szCs w:val="20"/>
              </w:rPr>
            </w:pPr>
            <w:r w:rsidRPr="00B05EFA">
              <w:rPr>
                <w:sz w:val="20"/>
                <w:szCs w:val="20"/>
              </w:rPr>
              <w:t>•Boudreau Hall Renovation</w:t>
            </w:r>
          </w:p>
        </w:tc>
        <w:tc>
          <w:tcPr>
            <w:tcW w:w="4570" w:type="dxa"/>
            <w:tcBorders>
              <w:top w:val="nil"/>
              <w:left w:val="nil"/>
              <w:bottom w:val="nil"/>
              <w:right w:val="nil"/>
            </w:tcBorders>
            <w:shd w:val="clear" w:color="000000" w:fill="FFFFFF"/>
            <w:hideMark/>
          </w:tcPr>
          <w:p w14:paraId="63F3D1ED" w14:textId="63D9CE82" w:rsidR="003E5542" w:rsidRPr="003E5542" w:rsidRDefault="003E5542" w:rsidP="003E5542">
            <w:pPr>
              <w:rPr>
                <w:rFonts w:eastAsia="Times New Roman" w:cstheme="minorHAnsi"/>
                <w:sz w:val="20"/>
                <w:szCs w:val="20"/>
              </w:rPr>
            </w:pPr>
            <w:r w:rsidRPr="00B05EFA">
              <w:rPr>
                <w:sz w:val="20"/>
                <w:szCs w:val="20"/>
              </w:rPr>
              <w:t>Gifts</w:t>
            </w:r>
          </w:p>
        </w:tc>
        <w:tc>
          <w:tcPr>
            <w:tcW w:w="1794" w:type="dxa"/>
            <w:tcBorders>
              <w:top w:val="nil"/>
              <w:left w:val="nil"/>
              <w:bottom w:val="nil"/>
              <w:right w:val="nil"/>
            </w:tcBorders>
            <w:shd w:val="clear" w:color="000000" w:fill="FFFFFF"/>
            <w:noWrap/>
            <w:hideMark/>
          </w:tcPr>
          <w:p w14:paraId="1BC966AA" w14:textId="35D44A89" w:rsidR="003E5542" w:rsidRPr="003E5542" w:rsidRDefault="003E5542" w:rsidP="003E5542">
            <w:pPr>
              <w:rPr>
                <w:rFonts w:eastAsia="Times New Roman" w:cstheme="minorHAnsi"/>
                <w:sz w:val="20"/>
                <w:szCs w:val="20"/>
              </w:rPr>
            </w:pPr>
            <w:r w:rsidRPr="00B05EFA">
              <w:rPr>
                <w:sz w:val="20"/>
                <w:szCs w:val="20"/>
              </w:rPr>
              <w:t>Complete</w:t>
            </w:r>
          </w:p>
        </w:tc>
        <w:tc>
          <w:tcPr>
            <w:tcW w:w="1086" w:type="dxa"/>
            <w:tcBorders>
              <w:top w:val="nil"/>
              <w:left w:val="nil"/>
              <w:bottom w:val="nil"/>
              <w:right w:val="nil"/>
            </w:tcBorders>
            <w:shd w:val="clear" w:color="000000" w:fill="FFFFFF"/>
            <w:hideMark/>
          </w:tcPr>
          <w:p w14:paraId="18743B03" w14:textId="2C3C4688" w:rsidR="003E5542" w:rsidRPr="003E5542" w:rsidRDefault="003E5542" w:rsidP="003E5542">
            <w:pPr>
              <w:jc w:val="right"/>
              <w:rPr>
                <w:rFonts w:eastAsia="Times New Roman" w:cstheme="minorHAnsi"/>
                <w:sz w:val="20"/>
                <w:szCs w:val="20"/>
              </w:rPr>
            </w:pPr>
            <w:r w:rsidRPr="00B05EFA">
              <w:rPr>
                <w:sz w:val="20"/>
                <w:szCs w:val="20"/>
              </w:rPr>
              <w:t xml:space="preserve"> 0.80 </w:t>
            </w:r>
          </w:p>
        </w:tc>
      </w:tr>
      <w:tr w:rsidR="003E5542" w:rsidRPr="00B00959" w14:paraId="1281BA89" w14:textId="77777777" w:rsidTr="008B69B9">
        <w:trPr>
          <w:trHeight w:val="95"/>
          <w:jc w:val="center"/>
        </w:trPr>
        <w:tc>
          <w:tcPr>
            <w:tcW w:w="5690" w:type="dxa"/>
            <w:tcBorders>
              <w:top w:val="nil"/>
              <w:left w:val="nil"/>
              <w:bottom w:val="nil"/>
              <w:right w:val="nil"/>
            </w:tcBorders>
            <w:shd w:val="clear" w:color="000000" w:fill="FFFFFF"/>
            <w:hideMark/>
          </w:tcPr>
          <w:p w14:paraId="6BC31D4F" w14:textId="1F6AA44D" w:rsidR="003E5542" w:rsidRPr="003E5542" w:rsidRDefault="003E5542" w:rsidP="003E5542">
            <w:pPr>
              <w:ind w:firstLineChars="75" w:firstLine="150"/>
              <w:rPr>
                <w:rFonts w:eastAsia="Times New Roman" w:cstheme="minorHAnsi"/>
                <w:sz w:val="20"/>
                <w:szCs w:val="20"/>
              </w:rPr>
            </w:pPr>
            <w:r w:rsidRPr="00B05EFA">
              <w:rPr>
                <w:sz w:val="20"/>
                <w:szCs w:val="20"/>
              </w:rPr>
              <w:t>•Mahaney Dome Replacement</w:t>
            </w:r>
          </w:p>
        </w:tc>
        <w:tc>
          <w:tcPr>
            <w:tcW w:w="4570" w:type="dxa"/>
            <w:tcBorders>
              <w:top w:val="nil"/>
              <w:left w:val="nil"/>
              <w:bottom w:val="nil"/>
              <w:right w:val="nil"/>
            </w:tcBorders>
            <w:shd w:val="clear" w:color="000000" w:fill="FFFFFF"/>
            <w:hideMark/>
          </w:tcPr>
          <w:p w14:paraId="3748532A" w14:textId="592DF018" w:rsidR="003E5542" w:rsidRPr="003E5542" w:rsidRDefault="003E5542" w:rsidP="003E5542">
            <w:pPr>
              <w:rPr>
                <w:rFonts w:eastAsia="Times New Roman" w:cstheme="minorHAnsi"/>
                <w:sz w:val="20"/>
                <w:szCs w:val="20"/>
              </w:rPr>
            </w:pPr>
            <w:r w:rsidRPr="00B05EFA">
              <w:rPr>
                <w:sz w:val="20"/>
                <w:szCs w:val="20"/>
              </w:rPr>
              <w:t>Education &amp; General</w:t>
            </w:r>
          </w:p>
        </w:tc>
        <w:tc>
          <w:tcPr>
            <w:tcW w:w="1794" w:type="dxa"/>
            <w:tcBorders>
              <w:top w:val="nil"/>
              <w:left w:val="nil"/>
              <w:bottom w:val="nil"/>
              <w:right w:val="nil"/>
            </w:tcBorders>
            <w:shd w:val="clear" w:color="000000" w:fill="FFFFFF"/>
            <w:hideMark/>
          </w:tcPr>
          <w:p w14:paraId="6CAB48A6" w14:textId="5260A58E" w:rsidR="003E5542" w:rsidRPr="003E5542" w:rsidRDefault="003E5542" w:rsidP="003E5542">
            <w:pPr>
              <w:rPr>
                <w:rFonts w:eastAsia="Times New Roman" w:cstheme="minorHAnsi"/>
                <w:sz w:val="20"/>
                <w:szCs w:val="20"/>
              </w:rPr>
            </w:pPr>
            <w:r w:rsidRPr="00B05EFA">
              <w:rPr>
                <w:sz w:val="20"/>
                <w:szCs w:val="20"/>
              </w:rPr>
              <w:t>Complete</w:t>
            </w:r>
          </w:p>
        </w:tc>
        <w:tc>
          <w:tcPr>
            <w:tcW w:w="1086" w:type="dxa"/>
            <w:tcBorders>
              <w:top w:val="nil"/>
              <w:left w:val="nil"/>
              <w:bottom w:val="nil"/>
              <w:right w:val="nil"/>
            </w:tcBorders>
            <w:shd w:val="clear" w:color="000000" w:fill="FFFFFF"/>
            <w:noWrap/>
            <w:hideMark/>
          </w:tcPr>
          <w:p w14:paraId="020EF2B5" w14:textId="60BC1472" w:rsidR="003E5542" w:rsidRPr="003E5542" w:rsidRDefault="003E5542" w:rsidP="003E5542">
            <w:pPr>
              <w:jc w:val="right"/>
              <w:rPr>
                <w:rFonts w:eastAsia="Times New Roman" w:cstheme="minorHAnsi"/>
                <w:sz w:val="20"/>
                <w:szCs w:val="20"/>
              </w:rPr>
            </w:pPr>
            <w:r w:rsidRPr="00B05EFA">
              <w:rPr>
                <w:sz w:val="20"/>
                <w:szCs w:val="20"/>
              </w:rPr>
              <w:t xml:space="preserve"> 3.00 </w:t>
            </w:r>
          </w:p>
        </w:tc>
      </w:tr>
      <w:tr w:rsidR="003E5542" w:rsidRPr="00B00959" w14:paraId="25AF1E1E" w14:textId="77777777" w:rsidTr="008B69B9">
        <w:trPr>
          <w:trHeight w:val="144"/>
          <w:jc w:val="center"/>
        </w:trPr>
        <w:tc>
          <w:tcPr>
            <w:tcW w:w="5690" w:type="dxa"/>
            <w:tcBorders>
              <w:top w:val="nil"/>
              <w:left w:val="nil"/>
              <w:bottom w:val="nil"/>
              <w:right w:val="nil"/>
            </w:tcBorders>
            <w:shd w:val="clear" w:color="000000" w:fill="FFFFFF"/>
            <w:hideMark/>
          </w:tcPr>
          <w:p w14:paraId="15DDD6C4" w14:textId="2A694DC8" w:rsidR="003E5542" w:rsidRPr="003E5542" w:rsidRDefault="003E5542" w:rsidP="003E5542">
            <w:pPr>
              <w:ind w:firstLineChars="75" w:firstLine="150"/>
              <w:rPr>
                <w:rFonts w:eastAsia="Times New Roman" w:cstheme="minorHAnsi"/>
                <w:sz w:val="20"/>
                <w:szCs w:val="20"/>
              </w:rPr>
            </w:pPr>
            <w:r w:rsidRPr="00B05EFA">
              <w:rPr>
                <w:sz w:val="20"/>
                <w:szCs w:val="20"/>
              </w:rPr>
              <w:t>•Hauck Lighting System</w:t>
            </w:r>
          </w:p>
        </w:tc>
        <w:tc>
          <w:tcPr>
            <w:tcW w:w="4570" w:type="dxa"/>
            <w:tcBorders>
              <w:top w:val="nil"/>
              <w:left w:val="nil"/>
              <w:bottom w:val="nil"/>
              <w:right w:val="nil"/>
            </w:tcBorders>
            <w:shd w:val="clear" w:color="000000" w:fill="FFFFFF"/>
            <w:hideMark/>
          </w:tcPr>
          <w:p w14:paraId="7A84E222" w14:textId="24D9A881" w:rsidR="003E5542" w:rsidRPr="003E5542" w:rsidRDefault="003E5542" w:rsidP="003E5542">
            <w:pPr>
              <w:rPr>
                <w:rFonts w:eastAsia="Times New Roman" w:cstheme="minorHAnsi"/>
                <w:sz w:val="20"/>
                <w:szCs w:val="20"/>
              </w:rPr>
            </w:pPr>
            <w:r w:rsidRPr="00B05EFA">
              <w:rPr>
                <w:sz w:val="20"/>
                <w:szCs w:val="20"/>
              </w:rPr>
              <w:t>Education &amp; General, Gifts</w:t>
            </w:r>
          </w:p>
        </w:tc>
        <w:tc>
          <w:tcPr>
            <w:tcW w:w="1794" w:type="dxa"/>
            <w:tcBorders>
              <w:top w:val="nil"/>
              <w:left w:val="nil"/>
              <w:bottom w:val="nil"/>
              <w:right w:val="nil"/>
            </w:tcBorders>
            <w:shd w:val="clear" w:color="000000" w:fill="FFFFFF"/>
            <w:hideMark/>
          </w:tcPr>
          <w:p w14:paraId="56E436C0" w14:textId="4D223534" w:rsidR="003E5542" w:rsidRPr="003E5542" w:rsidRDefault="003E5542" w:rsidP="003E5542">
            <w:pPr>
              <w:rPr>
                <w:rFonts w:eastAsia="Times New Roman" w:cstheme="minorHAnsi"/>
                <w:sz w:val="20"/>
                <w:szCs w:val="20"/>
              </w:rPr>
            </w:pPr>
            <w:r w:rsidRPr="00B05EFA">
              <w:rPr>
                <w:sz w:val="20"/>
                <w:szCs w:val="20"/>
              </w:rPr>
              <w:t>In Progress</w:t>
            </w:r>
          </w:p>
        </w:tc>
        <w:tc>
          <w:tcPr>
            <w:tcW w:w="1086" w:type="dxa"/>
            <w:tcBorders>
              <w:top w:val="nil"/>
              <w:left w:val="nil"/>
              <w:bottom w:val="nil"/>
              <w:right w:val="nil"/>
            </w:tcBorders>
            <w:shd w:val="clear" w:color="000000" w:fill="FFFFFF"/>
            <w:noWrap/>
            <w:hideMark/>
          </w:tcPr>
          <w:p w14:paraId="0C153C18" w14:textId="345FEBA6" w:rsidR="003E5542" w:rsidRPr="003E5542" w:rsidRDefault="003E5542" w:rsidP="003E5542">
            <w:pPr>
              <w:jc w:val="right"/>
              <w:rPr>
                <w:rFonts w:eastAsia="Times New Roman" w:cstheme="minorHAnsi"/>
                <w:sz w:val="20"/>
                <w:szCs w:val="20"/>
              </w:rPr>
            </w:pPr>
            <w:r w:rsidRPr="00B05EFA">
              <w:rPr>
                <w:sz w:val="20"/>
                <w:szCs w:val="20"/>
              </w:rPr>
              <w:t xml:space="preserve"> 0.70 </w:t>
            </w:r>
          </w:p>
        </w:tc>
      </w:tr>
      <w:tr w:rsidR="003E5542" w:rsidRPr="00B00959" w14:paraId="51C4B8E7" w14:textId="77777777" w:rsidTr="008B69B9">
        <w:trPr>
          <w:trHeight w:val="135"/>
          <w:jc w:val="center"/>
        </w:trPr>
        <w:tc>
          <w:tcPr>
            <w:tcW w:w="5690" w:type="dxa"/>
            <w:tcBorders>
              <w:top w:val="nil"/>
              <w:left w:val="nil"/>
              <w:bottom w:val="nil"/>
              <w:right w:val="nil"/>
            </w:tcBorders>
            <w:shd w:val="clear" w:color="000000" w:fill="FFFFFF"/>
            <w:hideMark/>
          </w:tcPr>
          <w:p w14:paraId="4A231D9E" w14:textId="5EE01E63" w:rsidR="003E5542" w:rsidRPr="003E5542" w:rsidRDefault="003E5542" w:rsidP="003E5542">
            <w:pPr>
              <w:ind w:firstLineChars="75" w:firstLine="150"/>
              <w:rPr>
                <w:rFonts w:eastAsia="Times New Roman" w:cstheme="minorHAnsi"/>
                <w:sz w:val="20"/>
                <w:szCs w:val="20"/>
              </w:rPr>
            </w:pPr>
            <w:r w:rsidRPr="00B05EFA">
              <w:rPr>
                <w:sz w:val="20"/>
                <w:szCs w:val="20"/>
              </w:rPr>
              <w:t>•Aroostook Farm Modernization</w:t>
            </w:r>
          </w:p>
        </w:tc>
        <w:tc>
          <w:tcPr>
            <w:tcW w:w="4570" w:type="dxa"/>
            <w:tcBorders>
              <w:top w:val="nil"/>
              <w:left w:val="nil"/>
              <w:bottom w:val="nil"/>
              <w:right w:val="nil"/>
            </w:tcBorders>
            <w:shd w:val="clear" w:color="000000" w:fill="FFFFFF"/>
            <w:hideMark/>
          </w:tcPr>
          <w:p w14:paraId="4034237F" w14:textId="56FAA90F" w:rsidR="003E5542" w:rsidRPr="003E5542" w:rsidRDefault="003E5542" w:rsidP="003E5542">
            <w:pPr>
              <w:rPr>
                <w:rFonts w:eastAsia="Times New Roman" w:cstheme="minorHAnsi"/>
                <w:sz w:val="20"/>
                <w:szCs w:val="20"/>
              </w:rPr>
            </w:pPr>
            <w:r w:rsidRPr="00B05EFA">
              <w:rPr>
                <w:sz w:val="20"/>
                <w:szCs w:val="20"/>
              </w:rPr>
              <w:t>Grants</w:t>
            </w:r>
          </w:p>
        </w:tc>
        <w:tc>
          <w:tcPr>
            <w:tcW w:w="1794" w:type="dxa"/>
            <w:tcBorders>
              <w:top w:val="nil"/>
              <w:left w:val="nil"/>
              <w:bottom w:val="nil"/>
              <w:right w:val="nil"/>
            </w:tcBorders>
            <w:shd w:val="clear" w:color="000000" w:fill="FFFFFF"/>
            <w:hideMark/>
          </w:tcPr>
          <w:p w14:paraId="2B428499" w14:textId="69349045" w:rsidR="003E5542" w:rsidRPr="003E5542" w:rsidRDefault="003E5542" w:rsidP="003E5542">
            <w:pPr>
              <w:rPr>
                <w:rFonts w:eastAsia="Times New Roman" w:cstheme="minorHAnsi"/>
                <w:sz w:val="20"/>
                <w:szCs w:val="20"/>
              </w:rPr>
            </w:pPr>
            <w:r w:rsidRPr="00B05EFA">
              <w:rPr>
                <w:sz w:val="20"/>
                <w:szCs w:val="20"/>
              </w:rPr>
              <w:t>In Progress</w:t>
            </w:r>
          </w:p>
        </w:tc>
        <w:tc>
          <w:tcPr>
            <w:tcW w:w="1086" w:type="dxa"/>
            <w:tcBorders>
              <w:top w:val="nil"/>
              <w:left w:val="nil"/>
              <w:bottom w:val="nil"/>
              <w:right w:val="nil"/>
            </w:tcBorders>
            <w:shd w:val="clear" w:color="000000" w:fill="FFFFFF"/>
            <w:noWrap/>
            <w:hideMark/>
          </w:tcPr>
          <w:p w14:paraId="31E5A3AC" w14:textId="208F8F85" w:rsidR="003E5542" w:rsidRPr="003E5542" w:rsidRDefault="003E5542" w:rsidP="003E5542">
            <w:pPr>
              <w:jc w:val="right"/>
              <w:rPr>
                <w:rFonts w:eastAsia="Times New Roman" w:cstheme="minorHAnsi"/>
                <w:sz w:val="20"/>
                <w:szCs w:val="20"/>
              </w:rPr>
            </w:pPr>
            <w:r w:rsidRPr="00B05EFA">
              <w:rPr>
                <w:sz w:val="20"/>
                <w:szCs w:val="20"/>
              </w:rPr>
              <w:t xml:space="preserve"> 2.90 </w:t>
            </w:r>
          </w:p>
        </w:tc>
      </w:tr>
      <w:tr w:rsidR="003E5542" w:rsidRPr="00B00959" w14:paraId="3D669D21" w14:textId="77777777" w:rsidTr="008B69B9">
        <w:trPr>
          <w:trHeight w:val="95"/>
          <w:jc w:val="center"/>
        </w:trPr>
        <w:tc>
          <w:tcPr>
            <w:tcW w:w="5690" w:type="dxa"/>
            <w:tcBorders>
              <w:top w:val="nil"/>
              <w:left w:val="nil"/>
              <w:bottom w:val="nil"/>
              <w:right w:val="nil"/>
            </w:tcBorders>
            <w:shd w:val="clear" w:color="000000" w:fill="FFFFFF"/>
            <w:hideMark/>
          </w:tcPr>
          <w:p w14:paraId="02F65156" w14:textId="3E819CBC" w:rsidR="003E5542" w:rsidRPr="003E5542" w:rsidRDefault="003E5542" w:rsidP="003E5542">
            <w:pPr>
              <w:ind w:firstLineChars="75" w:firstLine="150"/>
              <w:rPr>
                <w:rFonts w:eastAsia="Times New Roman" w:cstheme="minorHAnsi"/>
                <w:sz w:val="20"/>
                <w:szCs w:val="20"/>
              </w:rPr>
            </w:pPr>
            <w:r w:rsidRPr="00B05EFA">
              <w:rPr>
                <w:sz w:val="20"/>
                <w:szCs w:val="20"/>
              </w:rPr>
              <w:lastRenderedPageBreak/>
              <w:t>•Shawn Walsh Renovation</w:t>
            </w:r>
          </w:p>
        </w:tc>
        <w:tc>
          <w:tcPr>
            <w:tcW w:w="4570" w:type="dxa"/>
            <w:tcBorders>
              <w:top w:val="nil"/>
              <w:left w:val="nil"/>
              <w:bottom w:val="nil"/>
              <w:right w:val="nil"/>
            </w:tcBorders>
            <w:shd w:val="clear" w:color="000000" w:fill="FFFFFF"/>
            <w:hideMark/>
          </w:tcPr>
          <w:p w14:paraId="3E9AF46F" w14:textId="79477239" w:rsidR="003E5542" w:rsidRPr="003E5542" w:rsidRDefault="003E5542" w:rsidP="003E5542">
            <w:pPr>
              <w:rPr>
                <w:rFonts w:eastAsia="Times New Roman" w:cstheme="minorHAnsi"/>
                <w:sz w:val="20"/>
                <w:szCs w:val="20"/>
              </w:rPr>
            </w:pPr>
            <w:r w:rsidRPr="00B05EFA">
              <w:rPr>
                <w:sz w:val="20"/>
                <w:szCs w:val="20"/>
              </w:rPr>
              <w:t>Gifts</w:t>
            </w:r>
            <w:r w:rsidR="004C0AA3">
              <w:rPr>
                <w:sz w:val="20"/>
                <w:szCs w:val="20"/>
              </w:rPr>
              <w:t xml:space="preserve">, </w:t>
            </w:r>
            <w:r w:rsidRPr="00B05EFA">
              <w:rPr>
                <w:sz w:val="20"/>
                <w:szCs w:val="20"/>
              </w:rPr>
              <w:t>Harold Alfond Foundation Grant</w:t>
            </w:r>
          </w:p>
        </w:tc>
        <w:tc>
          <w:tcPr>
            <w:tcW w:w="1794" w:type="dxa"/>
            <w:tcBorders>
              <w:top w:val="nil"/>
              <w:left w:val="nil"/>
              <w:bottom w:val="nil"/>
              <w:right w:val="nil"/>
            </w:tcBorders>
            <w:shd w:val="clear" w:color="000000" w:fill="FFFFFF"/>
            <w:hideMark/>
          </w:tcPr>
          <w:p w14:paraId="59A015E6" w14:textId="380917AC" w:rsidR="003E5542" w:rsidRPr="003E5542" w:rsidRDefault="003E5542" w:rsidP="003E5542">
            <w:pPr>
              <w:rPr>
                <w:rFonts w:eastAsia="Times New Roman" w:cstheme="minorHAnsi"/>
                <w:sz w:val="20"/>
                <w:szCs w:val="20"/>
              </w:rPr>
            </w:pPr>
            <w:r w:rsidRPr="00B05EFA">
              <w:rPr>
                <w:sz w:val="20"/>
                <w:szCs w:val="20"/>
              </w:rPr>
              <w:t>In Progress</w:t>
            </w:r>
          </w:p>
        </w:tc>
        <w:tc>
          <w:tcPr>
            <w:tcW w:w="1086" w:type="dxa"/>
            <w:tcBorders>
              <w:top w:val="nil"/>
              <w:left w:val="nil"/>
              <w:bottom w:val="nil"/>
              <w:right w:val="nil"/>
            </w:tcBorders>
            <w:shd w:val="clear" w:color="000000" w:fill="FFFFFF"/>
            <w:noWrap/>
            <w:hideMark/>
          </w:tcPr>
          <w:p w14:paraId="6D7505A6" w14:textId="140B010D" w:rsidR="003E5542" w:rsidRPr="003E5542" w:rsidRDefault="007A37F8" w:rsidP="00021729">
            <w:pPr>
              <w:tabs>
                <w:tab w:val="left" w:pos="350"/>
              </w:tabs>
              <w:jc w:val="right"/>
              <w:rPr>
                <w:rFonts w:eastAsia="Times New Roman" w:cstheme="minorHAnsi"/>
                <w:sz w:val="20"/>
                <w:szCs w:val="20"/>
              </w:rPr>
            </w:pPr>
            <w:r>
              <w:rPr>
                <w:sz w:val="20"/>
                <w:szCs w:val="20"/>
              </w:rPr>
              <w:t>$</w:t>
            </w:r>
            <w:r w:rsidR="003E5542" w:rsidRPr="00B05EFA">
              <w:rPr>
                <w:sz w:val="20"/>
                <w:szCs w:val="20"/>
              </w:rPr>
              <w:t xml:space="preserve">46.00 </w:t>
            </w:r>
          </w:p>
        </w:tc>
      </w:tr>
      <w:tr w:rsidR="003E5542" w:rsidRPr="00B00959" w14:paraId="621F832C" w14:textId="77777777" w:rsidTr="008B69B9">
        <w:trPr>
          <w:trHeight w:val="95"/>
          <w:jc w:val="center"/>
        </w:trPr>
        <w:tc>
          <w:tcPr>
            <w:tcW w:w="5690" w:type="dxa"/>
            <w:tcBorders>
              <w:top w:val="nil"/>
              <w:left w:val="nil"/>
              <w:bottom w:val="nil"/>
              <w:right w:val="nil"/>
            </w:tcBorders>
            <w:shd w:val="clear" w:color="000000" w:fill="FFFFFF"/>
            <w:hideMark/>
          </w:tcPr>
          <w:p w14:paraId="24A6BD27" w14:textId="1075A28C" w:rsidR="003E5542" w:rsidRPr="003E5542" w:rsidRDefault="003E5542" w:rsidP="003E5542">
            <w:pPr>
              <w:ind w:firstLineChars="75" w:firstLine="150"/>
              <w:rPr>
                <w:rFonts w:eastAsia="Times New Roman" w:cstheme="minorHAnsi"/>
                <w:sz w:val="20"/>
                <w:szCs w:val="20"/>
              </w:rPr>
            </w:pPr>
            <w:r w:rsidRPr="00B05EFA">
              <w:rPr>
                <w:sz w:val="20"/>
                <w:szCs w:val="20"/>
              </w:rPr>
              <w:t>•PFAS lab</w:t>
            </w:r>
          </w:p>
        </w:tc>
        <w:tc>
          <w:tcPr>
            <w:tcW w:w="4570" w:type="dxa"/>
            <w:tcBorders>
              <w:top w:val="nil"/>
              <w:left w:val="nil"/>
              <w:bottom w:val="nil"/>
              <w:right w:val="nil"/>
            </w:tcBorders>
            <w:shd w:val="clear" w:color="000000" w:fill="FFFFFF"/>
            <w:hideMark/>
          </w:tcPr>
          <w:p w14:paraId="2BB3438E" w14:textId="0BE97D06" w:rsidR="003E5542" w:rsidRPr="003E5542" w:rsidRDefault="003E5542" w:rsidP="003E5542">
            <w:pPr>
              <w:rPr>
                <w:rFonts w:eastAsia="Times New Roman" w:cstheme="minorHAnsi"/>
                <w:sz w:val="20"/>
                <w:szCs w:val="20"/>
              </w:rPr>
            </w:pPr>
            <w:r w:rsidRPr="00B05EFA">
              <w:rPr>
                <w:sz w:val="20"/>
                <w:szCs w:val="20"/>
              </w:rPr>
              <w:t>Grants</w:t>
            </w:r>
          </w:p>
        </w:tc>
        <w:tc>
          <w:tcPr>
            <w:tcW w:w="1794" w:type="dxa"/>
            <w:tcBorders>
              <w:top w:val="nil"/>
              <w:left w:val="nil"/>
              <w:bottom w:val="nil"/>
              <w:right w:val="nil"/>
            </w:tcBorders>
            <w:shd w:val="clear" w:color="000000" w:fill="FFFFFF"/>
            <w:hideMark/>
          </w:tcPr>
          <w:p w14:paraId="173375E1" w14:textId="176E1072" w:rsidR="003E5542" w:rsidRPr="003E5542" w:rsidRDefault="003E5542" w:rsidP="003E5542">
            <w:pPr>
              <w:rPr>
                <w:rFonts w:eastAsia="Times New Roman" w:cstheme="minorHAnsi"/>
                <w:sz w:val="20"/>
                <w:szCs w:val="20"/>
              </w:rPr>
            </w:pPr>
            <w:r w:rsidRPr="00B05EFA">
              <w:rPr>
                <w:sz w:val="20"/>
                <w:szCs w:val="20"/>
              </w:rPr>
              <w:t>In Progress</w:t>
            </w:r>
          </w:p>
        </w:tc>
        <w:tc>
          <w:tcPr>
            <w:tcW w:w="1086" w:type="dxa"/>
            <w:tcBorders>
              <w:top w:val="nil"/>
              <w:left w:val="nil"/>
              <w:bottom w:val="nil"/>
              <w:right w:val="nil"/>
            </w:tcBorders>
            <w:shd w:val="clear" w:color="000000" w:fill="FFFFFF"/>
            <w:noWrap/>
            <w:hideMark/>
          </w:tcPr>
          <w:p w14:paraId="2C3E03AB" w14:textId="7479A0E7" w:rsidR="003E5542" w:rsidRPr="003E5542" w:rsidRDefault="003E5542" w:rsidP="003E5542">
            <w:pPr>
              <w:jc w:val="right"/>
              <w:rPr>
                <w:rFonts w:eastAsia="Times New Roman" w:cstheme="minorHAnsi"/>
                <w:sz w:val="20"/>
                <w:szCs w:val="20"/>
              </w:rPr>
            </w:pPr>
            <w:r w:rsidRPr="00B05EFA">
              <w:rPr>
                <w:sz w:val="20"/>
                <w:szCs w:val="20"/>
              </w:rPr>
              <w:t xml:space="preserve"> 7.00 </w:t>
            </w:r>
          </w:p>
        </w:tc>
      </w:tr>
      <w:tr w:rsidR="003E5542" w:rsidRPr="00B00959" w14:paraId="6A971E2A" w14:textId="77777777" w:rsidTr="008B69B9">
        <w:trPr>
          <w:trHeight w:val="95"/>
          <w:jc w:val="center"/>
        </w:trPr>
        <w:tc>
          <w:tcPr>
            <w:tcW w:w="5690" w:type="dxa"/>
            <w:tcBorders>
              <w:top w:val="nil"/>
              <w:left w:val="nil"/>
              <w:bottom w:val="nil"/>
              <w:right w:val="nil"/>
            </w:tcBorders>
            <w:shd w:val="clear" w:color="000000" w:fill="FFFFFF"/>
          </w:tcPr>
          <w:p w14:paraId="3F2E628F" w14:textId="791EC6A9" w:rsidR="003E5542" w:rsidRPr="003E5542" w:rsidRDefault="003E5542" w:rsidP="003E5542">
            <w:pPr>
              <w:ind w:firstLineChars="75" w:firstLine="150"/>
              <w:rPr>
                <w:rFonts w:ascii="Calibri" w:hAnsi="Calibri" w:cs="Calibri"/>
                <w:sz w:val="20"/>
                <w:szCs w:val="20"/>
              </w:rPr>
            </w:pPr>
            <w:r w:rsidRPr="00B05EFA">
              <w:rPr>
                <w:sz w:val="20"/>
                <w:szCs w:val="20"/>
              </w:rPr>
              <w:t>•Dunn Nursing Simulation Lab</w:t>
            </w:r>
          </w:p>
        </w:tc>
        <w:tc>
          <w:tcPr>
            <w:tcW w:w="4570" w:type="dxa"/>
            <w:tcBorders>
              <w:top w:val="nil"/>
              <w:left w:val="nil"/>
              <w:bottom w:val="nil"/>
              <w:right w:val="nil"/>
            </w:tcBorders>
            <w:shd w:val="clear" w:color="000000" w:fill="FFFFFF"/>
          </w:tcPr>
          <w:p w14:paraId="7187EB4D" w14:textId="2CB82E44" w:rsidR="003E5542" w:rsidRPr="003E5542" w:rsidRDefault="003E5542" w:rsidP="003E5542">
            <w:pPr>
              <w:rPr>
                <w:rFonts w:ascii="Calibri" w:hAnsi="Calibri" w:cs="Calibri"/>
                <w:sz w:val="20"/>
                <w:szCs w:val="20"/>
              </w:rPr>
            </w:pPr>
            <w:r w:rsidRPr="00B05EFA">
              <w:rPr>
                <w:sz w:val="20"/>
                <w:szCs w:val="20"/>
              </w:rPr>
              <w:t>Grants, Education &amp; General</w:t>
            </w:r>
          </w:p>
        </w:tc>
        <w:tc>
          <w:tcPr>
            <w:tcW w:w="1794" w:type="dxa"/>
            <w:tcBorders>
              <w:top w:val="nil"/>
              <w:left w:val="nil"/>
              <w:bottom w:val="nil"/>
              <w:right w:val="nil"/>
            </w:tcBorders>
            <w:shd w:val="clear" w:color="000000" w:fill="FFFFFF"/>
          </w:tcPr>
          <w:p w14:paraId="065AE3A2" w14:textId="30D3BDB2" w:rsidR="003E5542" w:rsidRPr="003E5542" w:rsidRDefault="003E5542" w:rsidP="003E5542">
            <w:pPr>
              <w:rPr>
                <w:rFonts w:ascii="Calibri" w:hAnsi="Calibri" w:cs="Calibri"/>
                <w:sz w:val="20"/>
                <w:szCs w:val="20"/>
              </w:rPr>
            </w:pPr>
            <w:r w:rsidRPr="00B05EFA">
              <w:rPr>
                <w:sz w:val="20"/>
                <w:szCs w:val="20"/>
              </w:rPr>
              <w:t>Complete</w:t>
            </w:r>
          </w:p>
        </w:tc>
        <w:tc>
          <w:tcPr>
            <w:tcW w:w="1086" w:type="dxa"/>
            <w:tcBorders>
              <w:top w:val="nil"/>
              <w:left w:val="nil"/>
              <w:bottom w:val="nil"/>
              <w:right w:val="nil"/>
            </w:tcBorders>
            <w:shd w:val="clear" w:color="000000" w:fill="FFFFFF"/>
            <w:noWrap/>
          </w:tcPr>
          <w:p w14:paraId="67DB7EAA" w14:textId="46212B15" w:rsidR="003E5542" w:rsidRPr="003E5542" w:rsidRDefault="003E5542" w:rsidP="003E5542">
            <w:pPr>
              <w:tabs>
                <w:tab w:val="left" w:pos="350"/>
              </w:tabs>
              <w:jc w:val="right"/>
              <w:rPr>
                <w:rFonts w:ascii="Calibri" w:hAnsi="Calibri" w:cs="Calibri"/>
                <w:sz w:val="20"/>
                <w:szCs w:val="20"/>
              </w:rPr>
            </w:pPr>
            <w:r w:rsidRPr="00B05EFA">
              <w:rPr>
                <w:sz w:val="20"/>
                <w:szCs w:val="20"/>
              </w:rPr>
              <w:t xml:space="preserve"> 2.00 </w:t>
            </w:r>
          </w:p>
        </w:tc>
      </w:tr>
      <w:tr w:rsidR="003E5542" w:rsidRPr="00B00959" w14:paraId="1101B331" w14:textId="77777777" w:rsidTr="008B69B9">
        <w:trPr>
          <w:trHeight w:val="95"/>
          <w:jc w:val="center"/>
        </w:trPr>
        <w:tc>
          <w:tcPr>
            <w:tcW w:w="5690" w:type="dxa"/>
            <w:tcBorders>
              <w:top w:val="nil"/>
              <w:left w:val="nil"/>
              <w:bottom w:val="nil"/>
              <w:right w:val="nil"/>
            </w:tcBorders>
            <w:shd w:val="clear" w:color="000000" w:fill="FFFFFF"/>
          </w:tcPr>
          <w:p w14:paraId="680EA425" w14:textId="017EA12B" w:rsidR="003E5542" w:rsidRPr="003E5542" w:rsidRDefault="003E5542" w:rsidP="003E5542">
            <w:pPr>
              <w:ind w:firstLineChars="75" w:firstLine="150"/>
              <w:rPr>
                <w:rFonts w:ascii="Calibri" w:hAnsi="Calibri" w:cs="Calibri"/>
                <w:sz w:val="20"/>
                <w:szCs w:val="20"/>
              </w:rPr>
            </w:pPr>
            <w:r w:rsidRPr="00B05EFA">
              <w:rPr>
                <w:sz w:val="20"/>
                <w:szCs w:val="20"/>
              </w:rPr>
              <w:t>•</w:t>
            </w:r>
            <w:r w:rsidR="005D60F2">
              <w:rPr>
                <w:sz w:val="20"/>
                <w:szCs w:val="20"/>
              </w:rPr>
              <w:t>Advanced Manufacturing Center (</w:t>
            </w:r>
            <w:r w:rsidRPr="00B05EFA">
              <w:rPr>
                <w:sz w:val="20"/>
                <w:szCs w:val="20"/>
              </w:rPr>
              <w:t>AMC</w:t>
            </w:r>
            <w:r w:rsidR="005D60F2">
              <w:rPr>
                <w:sz w:val="20"/>
                <w:szCs w:val="20"/>
              </w:rPr>
              <w:t>)</w:t>
            </w:r>
            <w:r w:rsidRPr="00B05EFA">
              <w:rPr>
                <w:sz w:val="20"/>
                <w:szCs w:val="20"/>
              </w:rPr>
              <w:t xml:space="preserve"> Renovations</w:t>
            </w:r>
          </w:p>
        </w:tc>
        <w:tc>
          <w:tcPr>
            <w:tcW w:w="4570" w:type="dxa"/>
            <w:tcBorders>
              <w:top w:val="nil"/>
              <w:left w:val="nil"/>
              <w:bottom w:val="nil"/>
              <w:right w:val="nil"/>
            </w:tcBorders>
            <w:shd w:val="clear" w:color="000000" w:fill="FFFFFF"/>
          </w:tcPr>
          <w:p w14:paraId="14BC0E6A" w14:textId="0A41FDDC" w:rsidR="003E5542" w:rsidRPr="003E5542" w:rsidRDefault="003E5542" w:rsidP="003E5542">
            <w:pPr>
              <w:rPr>
                <w:rFonts w:ascii="Calibri" w:hAnsi="Calibri" w:cs="Calibri"/>
                <w:sz w:val="20"/>
                <w:szCs w:val="20"/>
              </w:rPr>
            </w:pPr>
            <w:r w:rsidRPr="00B05EFA">
              <w:rPr>
                <w:sz w:val="20"/>
                <w:szCs w:val="20"/>
              </w:rPr>
              <w:t>Harold Alfond Foundation Grant</w:t>
            </w:r>
            <w:r w:rsidR="004C0AA3">
              <w:rPr>
                <w:sz w:val="20"/>
                <w:szCs w:val="20"/>
              </w:rPr>
              <w:t>, Other Grant</w:t>
            </w:r>
          </w:p>
        </w:tc>
        <w:tc>
          <w:tcPr>
            <w:tcW w:w="1794" w:type="dxa"/>
            <w:tcBorders>
              <w:top w:val="nil"/>
              <w:left w:val="nil"/>
              <w:bottom w:val="nil"/>
              <w:right w:val="nil"/>
            </w:tcBorders>
            <w:shd w:val="clear" w:color="000000" w:fill="FFFFFF"/>
          </w:tcPr>
          <w:p w14:paraId="0D81AC5D" w14:textId="12AC7529" w:rsidR="003E5542" w:rsidRPr="003E5542" w:rsidRDefault="003E5542" w:rsidP="003E5542">
            <w:pPr>
              <w:rPr>
                <w:rFonts w:ascii="Calibri" w:hAnsi="Calibri" w:cs="Calibri"/>
                <w:sz w:val="20"/>
                <w:szCs w:val="20"/>
              </w:rPr>
            </w:pPr>
            <w:r w:rsidRPr="00B05EFA">
              <w:rPr>
                <w:sz w:val="20"/>
                <w:szCs w:val="20"/>
              </w:rPr>
              <w:t>In Progress</w:t>
            </w:r>
          </w:p>
        </w:tc>
        <w:tc>
          <w:tcPr>
            <w:tcW w:w="1086" w:type="dxa"/>
            <w:tcBorders>
              <w:top w:val="nil"/>
              <w:left w:val="nil"/>
              <w:bottom w:val="nil"/>
              <w:right w:val="nil"/>
            </w:tcBorders>
            <w:shd w:val="clear" w:color="000000" w:fill="FFFFFF"/>
            <w:noWrap/>
          </w:tcPr>
          <w:p w14:paraId="42BE1392" w14:textId="7D1766DB" w:rsidR="003E5542" w:rsidRPr="003E5542" w:rsidRDefault="003E5542" w:rsidP="003E5542">
            <w:pPr>
              <w:jc w:val="right"/>
              <w:rPr>
                <w:rFonts w:ascii="Calibri" w:hAnsi="Calibri" w:cs="Calibri"/>
                <w:sz w:val="20"/>
                <w:szCs w:val="20"/>
              </w:rPr>
            </w:pPr>
            <w:r w:rsidRPr="00B05EFA">
              <w:rPr>
                <w:sz w:val="20"/>
                <w:szCs w:val="20"/>
              </w:rPr>
              <w:t xml:space="preserve"> 4.50 </w:t>
            </w:r>
          </w:p>
        </w:tc>
      </w:tr>
      <w:tr w:rsidR="003E5542" w:rsidRPr="00B00959" w14:paraId="50503AD7" w14:textId="77777777" w:rsidTr="008B69B9">
        <w:trPr>
          <w:trHeight w:val="95"/>
          <w:jc w:val="center"/>
        </w:trPr>
        <w:tc>
          <w:tcPr>
            <w:tcW w:w="5690" w:type="dxa"/>
            <w:tcBorders>
              <w:top w:val="nil"/>
              <w:left w:val="nil"/>
              <w:bottom w:val="nil"/>
              <w:right w:val="nil"/>
            </w:tcBorders>
            <w:shd w:val="clear" w:color="000000" w:fill="FFFFFF"/>
          </w:tcPr>
          <w:p w14:paraId="663A785B" w14:textId="23505D4C" w:rsidR="003E5542" w:rsidRPr="003E5542" w:rsidRDefault="003E5542" w:rsidP="003E5542">
            <w:pPr>
              <w:ind w:firstLineChars="75" w:firstLine="150"/>
              <w:rPr>
                <w:rFonts w:ascii="Calibri" w:hAnsi="Calibri" w:cs="Calibri"/>
                <w:sz w:val="20"/>
                <w:szCs w:val="20"/>
              </w:rPr>
            </w:pPr>
            <w:r w:rsidRPr="007A37F8">
              <w:rPr>
                <w:sz w:val="20"/>
                <w:szCs w:val="20"/>
              </w:rPr>
              <w:t>•Hancock Bathrooms</w:t>
            </w:r>
          </w:p>
        </w:tc>
        <w:tc>
          <w:tcPr>
            <w:tcW w:w="4570" w:type="dxa"/>
            <w:tcBorders>
              <w:top w:val="nil"/>
              <w:left w:val="nil"/>
              <w:bottom w:val="nil"/>
              <w:right w:val="nil"/>
            </w:tcBorders>
            <w:shd w:val="clear" w:color="000000" w:fill="FFFFFF"/>
          </w:tcPr>
          <w:p w14:paraId="6C283AF5" w14:textId="356EC68E" w:rsidR="003E5542" w:rsidRPr="003E5542" w:rsidRDefault="003E5542" w:rsidP="003E5542">
            <w:pPr>
              <w:rPr>
                <w:rFonts w:ascii="Calibri" w:hAnsi="Calibri" w:cs="Calibri"/>
                <w:sz w:val="20"/>
                <w:szCs w:val="20"/>
              </w:rPr>
            </w:pPr>
            <w:r w:rsidRPr="00082BB3">
              <w:rPr>
                <w:sz w:val="20"/>
                <w:szCs w:val="20"/>
              </w:rPr>
              <w:t>Auxil</w:t>
            </w:r>
            <w:r w:rsidR="009861AE">
              <w:rPr>
                <w:sz w:val="20"/>
                <w:szCs w:val="20"/>
              </w:rPr>
              <w:t>i</w:t>
            </w:r>
            <w:r w:rsidRPr="00082BB3">
              <w:rPr>
                <w:sz w:val="20"/>
                <w:szCs w:val="20"/>
              </w:rPr>
              <w:t>ary</w:t>
            </w:r>
          </w:p>
        </w:tc>
        <w:tc>
          <w:tcPr>
            <w:tcW w:w="1794" w:type="dxa"/>
            <w:tcBorders>
              <w:top w:val="nil"/>
              <w:left w:val="nil"/>
              <w:bottom w:val="nil"/>
              <w:right w:val="nil"/>
            </w:tcBorders>
            <w:shd w:val="clear" w:color="000000" w:fill="FFFFFF"/>
          </w:tcPr>
          <w:p w14:paraId="5E6ACB87" w14:textId="789107EA" w:rsidR="003E5542" w:rsidRPr="003E5542" w:rsidRDefault="003E5542" w:rsidP="003E5542">
            <w:pPr>
              <w:rPr>
                <w:rFonts w:ascii="Calibri" w:hAnsi="Calibri" w:cs="Calibri"/>
                <w:sz w:val="20"/>
                <w:szCs w:val="20"/>
              </w:rPr>
            </w:pPr>
            <w:r w:rsidRPr="00082BB3">
              <w:rPr>
                <w:sz w:val="20"/>
                <w:szCs w:val="20"/>
              </w:rPr>
              <w:t>Complete</w:t>
            </w:r>
          </w:p>
        </w:tc>
        <w:tc>
          <w:tcPr>
            <w:tcW w:w="1086" w:type="dxa"/>
            <w:tcBorders>
              <w:top w:val="nil"/>
              <w:left w:val="nil"/>
              <w:bottom w:val="nil"/>
              <w:right w:val="nil"/>
            </w:tcBorders>
            <w:shd w:val="clear" w:color="000000" w:fill="FFFFFF"/>
            <w:noWrap/>
          </w:tcPr>
          <w:p w14:paraId="420EE411" w14:textId="7364CCF3" w:rsidR="003E5542" w:rsidRPr="003E5542" w:rsidRDefault="003E5542" w:rsidP="003E5542">
            <w:pPr>
              <w:jc w:val="right"/>
              <w:rPr>
                <w:rFonts w:ascii="Calibri" w:hAnsi="Calibri" w:cs="Calibri"/>
                <w:sz w:val="20"/>
                <w:szCs w:val="20"/>
              </w:rPr>
            </w:pPr>
            <w:r w:rsidRPr="004C0AA3">
              <w:rPr>
                <w:sz w:val="20"/>
                <w:szCs w:val="20"/>
              </w:rPr>
              <w:t xml:space="preserve"> 1.50 </w:t>
            </w:r>
          </w:p>
        </w:tc>
      </w:tr>
      <w:tr w:rsidR="003E5542" w:rsidRPr="00B00959" w14:paraId="1B4C3693" w14:textId="77777777" w:rsidTr="008B69B9">
        <w:trPr>
          <w:trHeight w:val="95"/>
          <w:jc w:val="center"/>
        </w:trPr>
        <w:tc>
          <w:tcPr>
            <w:tcW w:w="5690" w:type="dxa"/>
            <w:tcBorders>
              <w:top w:val="nil"/>
              <w:left w:val="nil"/>
              <w:bottom w:val="nil"/>
              <w:right w:val="nil"/>
            </w:tcBorders>
            <w:shd w:val="clear" w:color="000000" w:fill="FFFFFF"/>
          </w:tcPr>
          <w:p w14:paraId="0715BABE" w14:textId="483BC8ED" w:rsidR="003E5542" w:rsidRPr="003E5542" w:rsidRDefault="003E5542" w:rsidP="003E5542">
            <w:pPr>
              <w:ind w:firstLineChars="75" w:firstLine="150"/>
              <w:rPr>
                <w:rFonts w:ascii="Calibri" w:hAnsi="Calibri" w:cs="Calibri"/>
                <w:sz w:val="20"/>
                <w:szCs w:val="20"/>
              </w:rPr>
            </w:pPr>
            <w:r w:rsidRPr="00082BB3">
              <w:rPr>
                <w:sz w:val="20"/>
                <w:szCs w:val="20"/>
              </w:rPr>
              <w:t>•Energy Savings Performance Contract</w:t>
            </w:r>
          </w:p>
        </w:tc>
        <w:tc>
          <w:tcPr>
            <w:tcW w:w="4570" w:type="dxa"/>
            <w:tcBorders>
              <w:top w:val="nil"/>
              <w:left w:val="nil"/>
              <w:bottom w:val="nil"/>
              <w:right w:val="nil"/>
            </w:tcBorders>
            <w:shd w:val="clear" w:color="000000" w:fill="FFFFFF"/>
          </w:tcPr>
          <w:p w14:paraId="67A9B38F" w14:textId="7D89852D" w:rsidR="003E5542" w:rsidRPr="003E5542" w:rsidRDefault="003E5542" w:rsidP="003E5542">
            <w:pPr>
              <w:rPr>
                <w:rFonts w:ascii="Calibri" w:hAnsi="Calibri" w:cs="Calibri"/>
                <w:sz w:val="20"/>
                <w:szCs w:val="20"/>
              </w:rPr>
            </w:pPr>
            <w:r w:rsidRPr="00082BB3">
              <w:rPr>
                <w:sz w:val="20"/>
                <w:szCs w:val="20"/>
              </w:rPr>
              <w:t>Banc of America - Lease Purchase Agreement</w:t>
            </w:r>
          </w:p>
        </w:tc>
        <w:tc>
          <w:tcPr>
            <w:tcW w:w="1794" w:type="dxa"/>
            <w:tcBorders>
              <w:top w:val="nil"/>
              <w:left w:val="nil"/>
              <w:bottom w:val="nil"/>
              <w:right w:val="nil"/>
            </w:tcBorders>
            <w:shd w:val="clear" w:color="000000" w:fill="FFFFFF"/>
          </w:tcPr>
          <w:p w14:paraId="745A590D" w14:textId="638F06DB" w:rsidR="003E5542" w:rsidRPr="003E5542" w:rsidRDefault="003E5542" w:rsidP="003E5542">
            <w:pPr>
              <w:rPr>
                <w:rFonts w:ascii="Calibri" w:hAnsi="Calibri" w:cs="Calibri"/>
                <w:sz w:val="20"/>
                <w:szCs w:val="20"/>
              </w:rPr>
            </w:pPr>
            <w:r w:rsidRPr="00082BB3">
              <w:rPr>
                <w:sz w:val="20"/>
                <w:szCs w:val="20"/>
              </w:rPr>
              <w:t>In Progress</w:t>
            </w:r>
          </w:p>
        </w:tc>
        <w:tc>
          <w:tcPr>
            <w:tcW w:w="1086" w:type="dxa"/>
            <w:tcBorders>
              <w:top w:val="nil"/>
              <w:left w:val="nil"/>
              <w:bottom w:val="nil"/>
              <w:right w:val="nil"/>
            </w:tcBorders>
            <w:shd w:val="clear" w:color="000000" w:fill="FFFFFF"/>
            <w:noWrap/>
          </w:tcPr>
          <w:p w14:paraId="49173B56" w14:textId="1D4D64AD" w:rsidR="003E5542" w:rsidRPr="003E5542" w:rsidRDefault="003E5542" w:rsidP="003E5542">
            <w:pPr>
              <w:jc w:val="right"/>
              <w:rPr>
                <w:rFonts w:ascii="Calibri" w:hAnsi="Calibri" w:cs="Calibri"/>
                <w:sz w:val="20"/>
                <w:szCs w:val="20"/>
              </w:rPr>
            </w:pPr>
            <w:r w:rsidRPr="00082BB3">
              <w:rPr>
                <w:sz w:val="20"/>
                <w:szCs w:val="20"/>
              </w:rPr>
              <w:t xml:space="preserve"> 2.30 </w:t>
            </w:r>
          </w:p>
        </w:tc>
      </w:tr>
      <w:tr w:rsidR="003E5542" w:rsidRPr="00B00959" w14:paraId="1805A629" w14:textId="77777777" w:rsidTr="008B69B9">
        <w:trPr>
          <w:trHeight w:val="95"/>
          <w:jc w:val="center"/>
        </w:trPr>
        <w:tc>
          <w:tcPr>
            <w:tcW w:w="5690" w:type="dxa"/>
            <w:tcBorders>
              <w:top w:val="nil"/>
              <w:left w:val="nil"/>
              <w:bottom w:val="nil"/>
              <w:right w:val="nil"/>
            </w:tcBorders>
            <w:shd w:val="clear" w:color="000000" w:fill="FFFFFF"/>
          </w:tcPr>
          <w:p w14:paraId="7EED6BDF" w14:textId="5A768E46" w:rsidR="003E5542" w:rsidRPr="003E5542" w:rsidRDefault="003E5542" w:rsidP="003E5542">
            <w:pPr>
              <w:ind w:firstLineChars="75" w:firstLine="150"/>
              <w:rPr>
                <w:rFonts w:ascii="Calibri" w:hAnsi="Calibri" w:cs="Calibri"/>
                <w:sz w:val="20"/>
                <w:szCs w:val="20"/>
              </w:rPr>
            </w:pPr>
            <w:r w:rsidRPr="00082BB3">
              <w:rPr>
                <w:sz w:val="20"/>
                <w:szCs w:val="20"/>
              </w:rPr>
              <w:t>•Food Innovation Lab</w:t>
            </w:r>
          </w:p>
        </w:tc>
        <w:tc>
          <w:tcPr>
            <w:tcW w:w="4570" w:type="dxa"/>
            <w:tcBorders>
              <w:top w:val="nil"/>
              <w:left w:val="nil"/>
              <w:bottom w:val="nil"/>
              <w:right w:val="nil"/>
            </w:tcBorders>
            <w:shd w:val="clear" w:color="000000" w:fill="FFFFFF"/>
          </w:tcPr>
          <w:p w14:paraId="75504FFB" w14:textId="2A89CAB8" w:rsidR="003E5542" w:rsidRPr="003E5542" w:rsidRDefault="003E5542" w:rsidP="003E5542">
            <w:pPr>
              <w:rPr>
                <w:rFonts w:ascii="Calibri" w:hAnsi="Calibri" w:cs="Calibri"/>
                <w:sz w:val="20"/>
                <w:szCs w:val="20"/>
              </w:rPr>
            </w:pPr>
            <w:r w:rsidRPr="00082BB3">
              <w:rPr>
                <w:sz w:val="20"/>
                <w:szCs w:val="20"/>
              </w:rPr>
              <w:t>Grants</w:t>
            </w:r>
          </w:p>
        </w:tc>
        <w:tc>
          <w:tcPr>
            <w:tcW w:w="1794" w:type="dxa"/>
            <w:tcBorders>
              <w:top w:val="nil"/>
              <w:left w:val="nil"/>
              <w:bottom w:val="nil"/>
              <w:right w:val="nil"/>
            </w:tcBorders>
            <w:shd w:val="clear" w:color="000000" w:fill="FFFFFF"/>
          </w:tcPr>
          <w:p w14:paraId="251947B2" w14:textId="3E838215" w:rsidR="003E5542" w:rsidRPr="003E5542" w:rsidRDefault="003E5542" w:rsidP="003E5542">
            <w:pPr>
              <w:rPr>
                <w:rFonts w:ascii="Calibri" w:hAnsi="Calibri" w:cs="Calibri"/>
                <w:sz w:val="20"/>
                <w:szCs w:val="20"/>
              </w:rPr>
            </w:pPr>
            <w:r w:rsidRPr="003E5542">
              <w:rPr>
                <w:rFonts w:ascii="Calibri" w:hAnsi="Calibri" w:cs="Calibri"/>
                <w:sz w:val="20"/>
                <w:szCs w:val="20"/>
              </w:rPr>
              <w:t>In Progress</w:t>
            </w:r>
          </w:p>
        </w:tc>
        <w:tc>
          <w:tcPr>
            <w:tcW w:w="1086" w:type="dxa"/>
            <w:tcBorders>
              <w:top w:val="nil"/>
              <w:left w:val="nil"/>
              <w:bottom w:val="nil"/>
              <w:right w:val="nil"/>
            </w:tcBorders>
            <w:shd w:val="clear" w:color="000000" w:fill="FFFFFF"/>
            <w:noWrap/>
          </w:tcPr>
          <w:p w14:paraId="55E046B6" w14:textId="650F45D2" w:rsidR="003E5542" w:rsidRPr="003E5542" w:rsidRDefault="003E5542" w:rsidP="003E5542">
            <w:pPr>
              <w:jc w:val="right"/>
              <w:rPr>
                <w:rFonts w:ascii="Calibri" w:hAnsi="Calibri" w:cs="Calibri"/>
                <w:sz w:val="20"/>
                <w:szCs w:val="20"/>
              </w:rPr>
            </w:pPr>
            <w:r w:rsidRPr="00082BB3">
              <w:rPr>
                <w:sz w:val="20"/>
                <w:szCs w:val="20"/>
              </w:rPr>
              <w:t xml:space="preserve"> 4.50 </w:t>
            </w:r>
          </w:p>
        </w:tc>
      </w:tr>
      <w:tr w:rsidR="003E5542" w:rsidRPr="00B00959" w14:paraId="71DB8F14" w14:textId="77777777" w:rsidTr="008B69B9">
        <w:trPr>
          <w:trHeight w:val="95"/>
          <w:jc w:val="center"/>
        </w:trPr>
        <w:tc>
          <w:tcPr>
            <w:tcW w:w="5690" w:type="dxa"/>
            <w:tcBorders>
              <w:top w:val="nil"/>
              <w:left w:val="nil"/>
              <w:bottom w:val="nil"/>
              <w:right w:val="nil"/>
            </w:tcBorders>
            <w:shd w:val="clear" w:color="000000" w:fill="FFFFFF"/>
          </w:tcPr>
          <w:p w14:paraId="6B4B8EF2" w14:textId="3A9C098F" w:rsidR="003E5542" w:rsidRPr="003E5542" w:rsidRDefault="003E5542" w:rsidP="003E5542">
            <w:pPr>
              <w:ind w:firstLineChars="75" w:firstLine="150"/>
              <w:rPr>
                <w:rFonts w:ascii="Calibri" w:hAnsi="Calibri" w:cs="Calibri"/>
                <w:sz w:val="20"/>
                <w:szCs w:val="20"/>
              </w:rPr>
            </w:pPr>
            <w:r w:rsidRPr="00082BB3">
              <w:rPr>
                <w:sz w:val="20"/>
                <w:szCs w:val="20"/>
              </w:rPr>
              <w:t>•Sustainable Aquaculture Workforce and Innovation Center</w:t>
            </w:r>
          </w:p>
        </w:tc>
        <w:tc>
          <w:tcPr>
            <w:tcW w:w="4570" w:type="dxa"/>
            <w:tcBorders>
              <w:top w:val="nil"/>
              <w:left w:val="nil"/>
              <w:bottom w:val="nil"/>
              <w:right w:val="nil"/>
            </w:tcBorders>
            <w:shd w:val="clear" w:color="000000" w:fill="FFFFFF"/>
          </w:tcPr>
          <w:p w14:paraId="4CB7BF24" w14:textId="2BA3E78A" w:rsidR="003E5542" w:rsidRPr="003E5542" w:rsidRDefault="003E5542" w:rsidP="003E5542">
            <w:pPr>
              <w:rPr>
                <w:rFonts w:ascii="Calibri" w:hAnsi="Calibri" w:cs="Calibri"/>
                <w:sz w:val="20"/>
                <w:szCs w:val="20"/>
              </w:rPr>
            </w:pPr>
            <w:r w:rsidRPr="004C0AA3">
              <w:rPr>
                <w:sz w:val="20"/>
                <w:szCs w:val="20"/>
              </w:rPr>
              <w:t>Education &amp; General, MEIF, Grants</w:t>
            </w:r>
          </w:p>
        </w:tc>
        <w:tc>
          <w:tcPr>
            <w:tcW w:w="1794" w:type="dxa"/>
            <w:tcBorders>
              <w:top w:val="nil"/>
              <w:left w:val="nil"/>
              <w:bottom w:val="nil"/>
              <w:right w:val="nil"/>
            </w:tcBorders>
            <w:shd w:val="clear" w:color="000000" w:fill="FFFFFF"/>
          </w:tcPr>
          <w:p w14:paraId="402CB134" w14:textId="23F49CE4" w:rsidR="003E5542" w:rsidRPr="003E5542" w:rsidRDefault="003E5542" w:rsidP="003E5542">
            <w:pPr>
              <w:rPr>
                <w:rFonts w:ascii="Calibri" w:hAnsi="Calibri" w:cs="Calibri"/>
                <w:sz w:val="20"/>
                <w:szCs w:val="20"/>
              </w:rPr>
            </w:pPr>
            <w:r w:rsidRPr="00082BB3">
              <w:rPr>
                <w:sz w:val="20"/>
                <w:szCs w:val="20"/>
              </w:rPr>
              <w:t>In Progress</w:t>
            </w:r>
          </w:p>
        </w:tc>
        <w:tc>
          <w:tcPr>
            <w:tcW w:w="1086" w:type="dxa"/>
            <w:tcBorders>
              <w:top w:val="nil"/>
              <w:left w:val="nil"/>
              <w:bottom w:val="nil"/>
              <w:right w:val="nil"/>
            </w:tcBorders>
            <w:shd w:val="clear" w:color="000000" w:fill="FFFFFF"/>
            <w:noWrap/>
          </w:tcPr>
          <w:p w14:paraId="0D96EBAA" w14:textId="2A313054" w:rsidR="003E5542" w:rsidRPr="003E5542" w:rsidRDefault="003E5542" w:rsidP="003E5542">
            <w:pPr>
              <w:jc w:val="right"/>
              <w:rPr>
                <w:rFonts w:ascii="Calibri" w:hAnsi="Calibri" w:cs="Calibri"/>
                <w:sz w:val="20"/>
                <w:szCs w:val="20"/>
              </w:rPr>
            </w:pPr>
            <w:r w:rsidRPr="00082BB3">
              <w:rPr>
                <w:sz w:val="20"/>
                <w:szCs w:val="20"/>
              </w:rPr>
              <w:t xml:space="preserve"> 11.00 </w:t>
            </w:r>
          </w:p>
        </w:tc>
      </w:tr>
      <w:tr w:rsidR="003E5542" w:rsidRPr="00B00959" w14:paraId="424ABB30" w14:textId="77777777" w:rsidTr="008B69B9">
        <w:trPr>
          <w:trHeight w:val="95"/>
          <w:jc w:val="center"/>
        </w:trPr>
        <w:tc>
          <w:tcPr>
            <w:tcW w:w="5690" w:type="dxa"/>
            <w:tcBorders>
              <w:top w:val="nil"/>
              <w:left w:val="nil"/>
              <w:bottom w:val="nil"/>
              <w:right w:val="nil"/>
            </w:tcBorders>
            <w:shd w:val="clear" w:color="000000" w:fill="FFFFFF"/>
          </w:tcPr>
          <w:p w14:paraId="76C24222" w14:textId="64357C6D" w:rsidR="003E5542" w:rsidRPr="003E5542" w:rsidRDefault="003E5542" w:rsidP="003E5542">
            <w:pPr>
              <w:ind w:firstLineChars="75" w:firstLine="150"/>
              <w:rPr>
                <w:rFonts w:ascii="Calibri" w:hAnsi="Calibri" w:cs="Calibri"/>
                <w:sz w:val="20"/>
                <w:szCs w:val="20"/>
              </w:rPr>
            </w:pPr>
            <w:r w:rsidRPr="00082BB3">
              <w:rPr>
                <w:sz w:val="20"/>
                <w:szCs w:val="20"/>
              </w:rPr>
              <w:t>•Zebrafish Facility</w:t>
            </w:r>
          </w:p>
        </w:tc>
        <w:tc>
          <w:tcPr>
            <w:tcW w:w="4570" w:type="dxa"/>
            <w:tcBorders>
              <w:top w:val="nil"/>
              <w:left w:val="nil"/>
              <w:bottom w:val="nil"/>
              <w:right w:val="nil"/>
            </w:tcBorders>
            <w:shd w:val="clear" w:color="000000" w:fill="FFFFFF"/>
          </w:tcPr>
          <w:p w14:paraId="157015DB" w14:textId="352F4A17" w:rsidR="003E5542" w:rsidRPr="003E5542" w:rsidRDefault="003E5542" w:rsidP="003E5542">
            <w:pPr>
              <w:rPr>
                <w:rFonts w:ascii="Calibri" w:hAnsi="Calibri" w:cs="Calibri"/>
                <w:sz w:val="20"/>
                <w:szCs w:val="20"/>
              </w:rPr>
            </w:pPr>
            <w:r w:rsidRPr="00082BB3">
              <w:rPr>
                <w:sz w:val="20"/>
                <w:szCs w:val="20"/>
              </w:rPr>
              <w:t>Grants, Education &amp; General</w:t>
            </w:r>
          </w:p>
        </w:tc>
        <w:tc>
          <w:tcPr>
            <w:tcW w:w="1794" w:type="dxa"/>
            <w:tcBorders>
              <w:top w:val="nil"/>
              <w:left w:val="nil"/>
              <w:bottom w:val="nil"/>
              <w:right w:val="nil"/>
            </w:tcBorders>
            <w:shd w:val="clear" w:color="000000" w:fill="FFFFFF"/>
          </w:tcPr>
          <w:p w14:paraId="08031DA5" w14:textId="706C2A5C" w:rsidR="003E5542" w:rsidRPr="003E5542" w:rsidRDefault="003E5542" w:rsidP="003E5542">
            <w:pPr>
              <w:rPr>
                <w:rFonts w:ascii="Calibri" w:hAnsi="Calibri" w:cs="Calibri"/>
                <w:sz w:val="20"/>
                <w:szCs w:val="20"/>
              </w:rPr>
            </w:pPr>
            <w:r w:rsidRPr="00082BB3">
              <w:rPr>
                <w:sz w:val="20"/>
                <w:szCs w:val="20"/>
              </w:rPr>
              <w:t>In Progress</w:t>
            </w:r>
          </w:p>
        </w:tc>
        <w:tc>
          <w:tcPr>
            <w:tcW w:w="1086" w:type="dxa"/>
            <w:tcBorders>
              <w:top w:val="nil"/>
              <w:left w:val="nil"/>
              <w:bottom w:val="nil"/>
              <w:right w:val="nil"/>
            </w:tcBorders>
            <w:shd w:val="clear" w:color="000000" w:fill="FFFFFF"/>
            <w:noWrap/>
          </w:tcPr>
          <w:p w14:paraId="7A95076C" w14:textId="4C59592A" w:rsidR="003E5542" w:rsidRPr="003E5542" w:rsidRDefault="003E5542" w:rsidP="003E5542">
            <w:pPr>
              <w:jc w:val="right"/>
              <w:rPr>
                <w:rFonts w:ascii="Calibri" w:hAnsi="Calibri" w:cs="Calibri"/>
                <w:sz w:val="20"/>
                <w:szCs w:val="20"/>
              </w:rPr>
            </w:pPr>
            <w:r w:rsidRPr="00082BB3">
              <w:rPr>
                <w:sz w:val="20"/>
                <w:szCs w:val="20"/>
              </w:rPr>
              <w:t xml:space="preserve"> 0.90 </w:t>
            </w:r>
          </w:p>
        </w:tc>
      </w:tr>
      <w:tr w:rsidR="003E5542" w:rsidRPr="00B00959" w14:paraId="61B3D794" w14:textId="77777777" w:rsidTr="008B69B9">
        <w:trPr>
          <w:trHeight w:val="95"/>
          <w:jc w:val="center"/>
        </w:trPr>
        <w:tc>
          <w:tcPr>
            <w:tcW w:w="5690" w:type="dxa"/>
            <w:tcBorders>
              <w:top w:val="nil"/>
              <w:left w:val="nil"/>
              <w:bottom w:val="nil"/>
              <w:right w:val="nil"/>
            </w:tcBorders>
            <w:shd w:val="clear" w:color="000000" w:fill="FFFFFF"/>
          </w:tcPr>
          <w:p w14:paraId="145BF1D6" w14:textId="2DFE64D6" w:rsidR="003E5542" w:rsidRPr="003E5542" w:rsidRDefault="003E5542" w:rsidP="003E5542">
            <w:pPr>
              <w:ind w:firstLineChars="75" w:firstLine="150"/>
              <w:rPr>
                <w:rFonts w:ascii="Calibri" w:hAnsi="Calibri" w:cs="Calibri"/>
                <w:sz w:val="20"/>
                <w:szCs w:val="20"/>
              </w:rPr>
            </w:pPr>
            <w:r w:rsidRPr="00082BB3">
              <w:rPr>
                <w:sz w:val="20"/>
                <w:szCs w:val="20"/>
              </w:rPr>
              <w:t>•Chadbourne Hall Renov</w:t>
            </w:r>
          </w:p>
        </w:tc>
        <w:tc>
          <w:tcPr>
            <w:tcW w:w="4570" w:type="dxa"/>
            <w:tcBorders>
              <w:top w:val="nil"/>
              <w:left w:val="nil"/>
              <w:bottom w:val="nil"/>
              <w:right w:val="nil"/>
            </w:tcBorders>
            <w:shd w:val="clear" w:color="000000" w:fill="FFFFFF"/>
          </w:tcPr>
          <w:p w14:paraId="26596A32" w14:textId="754C7D35" w:rsidR="003E5542" w:rsidRPr="003E5542" w:rsidRDefault="003E5542" w:rsidP="003E5542">
            <w:pPr>
              <w:rPr>
                <w:rFonts w:ascii="Calibri" w:hAnsi="Calibri" w:cs="Calibri"/>
                <w:sz w:val="20"/>
                <w:szCs w:val="20"/>
              </w:rPr>
            </w:pPr>
            <w:r w:rsidRPr="004C0AA3">
              <w:rPr>
                <w:sz w:val="20"/>
                <w:szCs w:val="20"/>
              </w:rPr>
              <w:t>Education &amp; General</w:t>
            </w:r>
          </w:p>
        </w:tc>
        <w:tc>
          <w:tcPr>
            <w:tcW w:w="1794" w:type="dxa"/>
            <w:tcBorders>
              <w:top w:val="nil"/>
              <w:left w:val="nil"/>
              <w:bottom w:val="nil"/>
              <w:right w:val="nil"/>
            </w:tcBorders>
            <w:shd w:val="clear" w:color="000000" w:fill="FFFFFF"/>
          </w:tcPr>
          <w:p w14:paraId="4F4BD6A1" w14:textId="03BB292D" w:rsidR="003E5542" w:rsidRPr="003E5542" w:rsidRDefault="003E5542" w:rsidP="003E5542">
            <w:pPr>
              <w:rPr>
                <w:rFonts w:ascii="Calibri" w:hAnsi="Calibri" w:cs="Calibri"/>
                <w:sz w:val="20"/>
                <w:szCs w:val="20"/>
              </w:rPr>
            </w:pPr>
            <w:r w:rsidRPr="00082BB3">
              <w:rPr>
                <w:sz w:val="20"/>
                <w:szCs w:val="20"/>
              </w:rPr>
              <w:t>In Progress</w:t>
            </w:r>
          </w:p>
        </w:tc>
        <w:tc>
          <w:tcPr>
            <w:tcW w:w="1086" w:type="dxa"/>
            <w:tcBorders>
              <w:top w:val="nil"/>
              <w:left w:val="nil"/>
              <w:bottom w:val="nil"/>
              <w:right w:val="nil"/>
            </w:tcBorders>
            <w:shd w:val="clear" w:color="000000" w:fill="FFFFFF"/>
            <w:noWrap/>
          </w:tcPr>
          <w:p w14:paraId="2B75CFDB" w14:textId="58DC8DB6" w:rsidR="003E5542" w:rsidRPr="003E5542" w:rsidRDefault="003E5542" w:rsidP="003E5542">
            <w:pPr>
              <w:jc w:val="right"/>
              <w:rPr>
                <w:rFonts w:ascii="Calibri" w:hAnsi="Calibri" w:cs="Calibri"/>
                <w:sz w:val="20"/>
                <w:szCs w:val="20"/>
              </w:rPr>
            </w:pPr>
            <w:r w:rsidRPr="00082BB3">
              <w:rPr>
                <w:sz w:val="20"/>
                <w:szCs w:val="20"/>
              </w:rPr>
              <w:t xml:space="preserve"> 0.60 </w:t>
            </w:r>
          </w:p>
        </w:tc>
      </w:tr>
      <w:tr w:rsidR="003E5542" w:rsidRPr="00B00959" w14:paraId="759C9EBE" w14:textId="77777777" w:rsidTr="008B69B9">
        <w:trPr>
          <w:trHeight w:val="95"/>
          <w:jc w:val="center"/>
        </w:trPr>
        <w:tc>
          <w:tcPr>
            <w:tcW w:w="5690" w:type="dxa"/>
            <w:tcBorders>
              <w:top w:val="nil"/>
              <w:left w:val="nil"/>
              <w:bottom w:val="nil"/>
              <w:right w:val="nil"/>
            </w:tcBorders>
            <w:shd w:val="clear" w:color="000000" w:fill="FFFFFF"/>
          </w:tcPr>
          <w:p w14:paraId="7807CD29" w14:textId="19F30052" w:rsidR="003E5542" w:rsidRPr="003E5542" w:rsidRDefault="003E5542" w:rsidP="003E5542">
            <w:pPr>
              <w:ind w:firstLineChars="75" w:firstLine="150"/>
              <w:rPr>
                <w:rFonts w:ascii="Calibri" w:hAnsi="Calibri" w:cs="Calibri"/>
                <w:sz w:val="20"/>
                <w:szCs w:val="20"/>
              </w:rPr>
            </w:pPr>
            <w:r w:rsidRPr="00082BB3">
              <w:rPr>
                <w:sz w:val="20"/>
                <w:szCs w:val="20"/>
              </w:rPr>
              <w:t>•Access Control System</w:t>
            </w:r>
          </w:p>
        </w:tc>
        <w:tc>
          <w:tcPr>
            <w:tcW w:w="4570" w:type="dxa"/>
            <w:tcBorders>
              <w:top w:val="nil"/>
              <w:left w:val="nil"/>
              <w:bottom w:val="nil"/>
              <w:right w:val="nil"/>
            </w:tcBorders>
            <w:shd w:val="clear" w:color="000000" w:fill="FFFFFF"/>
          </w:tcPr>
          <w:p w14:paraId="5E56A7FC" w14:textId="29FB8541" w:rsidR="003E5542" w:rsidRPr="003E5542" w:rsidRDefault="003E5542" w:rsidP="003E5542">
            <w:pPr>
              <w:rPr>
                <w:rFonts w:ascii="Calibri" w:hAnsi="Calibri" w:cs="Calibri"/>
                <w:sz w:val="20"/>
                <w:szCs w:val="20"/>
              </w:rPr>
            </w:pPr>
            <w:r w:rsidRPr="00082BB3">
              <w:rPr>
                <w:sz w:val="20"/>
                <w:szCs w:val="20"/>
              </w:rPr>
              <w:t>Education &amp; General, Auxil</w:t>
            </w:r>
            <w:r w:rsidR="005D60F2">
              <w:rPr>
                <w:sz w:val="20"/>
                <w:szCs w:val="20"/>
              </w:rPr>
              <w:t>i</w:t>
            </w:r>
            <w:r w:rsidRPr="00082BB3">
              <w:rPr>
                <w:sz w:val="20"/>
                <w:szCs w:val="20"/>
              </w:rPr>
              <w:t>ary</w:t>
            </w:r>
          </w:p>
        </w:tc>
        <w:tc>
          <w:tcPr>
            <w:tcW w:w="1794" w:type="dxa"/>
            <w:tcBorders>
              <w:top w:val="nil"/>
              <w:left w:val="nil"/>
              <w:bottom w:val="nil"/>
              <w:right w:val="nil"/>
            </w:tcBorders>
            <w:shd w:val="clear" w:color="000000" w:fill="FFFFFF"/>
          </w:tcPr>
          <w:p w14:paraId="3D7765C2" w14:textId="7D823C60" w:rsidR="003E5542" w:rsidRPr="003E5542" w:rsidRDefault="003E5542" w:rsidP="003E5542">
            <w:pPr>
              <w:rPr>
                <w:rFonts w:ascii="Calibri" w:hAnsi="Calibri" w:cs="Calibri"/>
                <w:sz w:val="20"/>
                <w:szCs w:val="20"/>
              </w:rPr>
            </w:pPr>
            <w:r w:rsidRPr="00082BB3">
              <w:rPr>
                <w:sz w:val="20"/>
                <w:szCs w:val="20"/>
              </w:rPr>
              <w:t>In Progress</w:t>
            </w:r>
          </w:p>
        </w:tc>
        <w:tc>
          <w:tcPr>
            <w:tcW w:w="1086" w:type="dxa"/>
            <w:tcBorders>
              <w:top w:val="nil"/>
              <w:left w:val="nil"/>
              <w:bottom w:val="nil"/>
              <w:right w:val="nil"/>
            </w:tcBorders>
            <w:shd w:val="clear" w:color="000000" w:fill="FFFFFF"/>
            <w:noWrap/>
          </w:tcPr>
          <w:p w14:paraId="28879CF1" w14:textId="66DE07DA" w:rsidR="003E5542" w:rsidRPr="003E5542" w:rsidRDefault="003E5542" w:rsidP="003E5542">
            <w:pPr>
              <w:jc w:val="right"/>
              <w:rPr>
                <w:rFonts w:ascii="Calibri" w:hAnsi="Calibri" w:cs="Calibri"/>
                <w:sz w:val="20"/>
                <w:szCs w:val="20"/>
              </w:rPr>
            </w:pPr>
            <w:r w:rsidRPr="00082BB3">
              <w:rPr>
                <w:sz w:val="20"/>
                <w:szCs w:val="20"/>
              </w:rPr>
              <w:t xml:space="preserve"> 0.80 </w:t>
            </w:r>
          </w:p>
        </w:tc>
      </w:tr>
      <w:tr w:rsidR="003E5542" w:rsidRPr="00B00959" w14:paraId="1190D59B" w14:textId="77777777" w:rsidTr="008B69B9">
        <w:trPr>
          <w:trHeight w:val="95"/>
          <w:jc w:val="center"/>
        </w:trPr>
        <w:tc>
          <w:tcPr>
            <w:tcW w:w="5690" w:type="dxa"/>
            <w:tcBorders>
              <w:top w:val="nil"/>
              <w:left w:val="nil"/>
              <w:bottom w:val="nil"/>
              <w:right w:val="nil"/>
            </w:tcBorders>
            <w:shd w:val="clear" w:color="000000" w:fill="FFFFFF"/>
          </w:tcPr>
          <w:p w14:paraId="180554F2" w14:textId="7D42804B" w:rsidR="003E5542" w:rsidRPr="003E5542" w:rsidRDefault="003E5542" w:rsidP="003E5542">
            <w:pPr>
              <w:ind w:firstLineChars="75" w:firstLine="150"/>
              <w:rPr>
                <w:rFonts w:ascii="Calibri" w:hAnsi="Calibri" w:cs="Calibri"/>
                <w:sz w:val="20"/>
                <w:szCs w:val="20"/>
              </w:rPr>
            </w:pPr>
            <w:r w:rsidRPr="004C0AA3">
              <w:rPr>
                <w:sz w:val="20"/>
                <w:szCs w:val="20"/>
              </w:rPr>
              <w:t>•Multipurpose Arena</w:t>
            </w:r>
          </w:p>
        </w:tc>
        <w:tc>
          <w:tcPr>
            <w:tcW w:w="4570" w:type="dxa"/>
            <w:tcBorders>
              <w:top w:val="nil"/>
              <w:left w:val="nil"/>
              <w:bottom w:val="nil"/>
              <w:right w:val="nil"/>
            </w:tcBorders>
            <w:shd w:val="clear" w:color="000000" w:fill="FFFFFF"/>
          </w:tcPr>
          <w:p w14:paraId="1F98879B" w14:textId="12AEDC07" w:rsidR="003E5542" w:rsidRPr="003E5542" w:rsidRDefault="003E5542" w:rsidP="003E5542">
            <w:pPr>
              <w:rPr>
                <w:rFonts w:ascii="Calibri" w:hAnsi="Calibri" w:cs="Calibri"/>
                <w:sz w:val="20"/>
                <w:szCs w:val="20"/>
              </w:rPr>
            </w:pPr>
            <w:r w:rsidRPr="00082BB3">
              <w:rPr>
                <w:sz w:val="20"/>
                <w:szCs w:val="20"/>
              </w:rPr>
              <w:t>Gifts</w:t>
            </w:r>
            <w:r w:rsidR="004C0AA3">
              <w:rPr>
                <w:sz w:val="20"/>
                <w:szCs w:val="20"/>
              </w:rPr>
              <w:t xml:space="preserve">, </w:t>
            </w:r>
            <w:r w:rsidRPr="00082BB3">
              <w:rPr>
                <w:sz w:val="20"/>
                <w:szCs w:val="20"/>
              </w:rPr>
              <w:t>Harold Alfond Foundation Grant</w:t>
            </w:r>
          </w:p>
        </w:tc>
        <w:tc>
          <w:tcPr>
            <w:tcW w:w="1794" w:type="dxa"/>
            <w:tcBorders>
              <w:top w:val="nil"/>
              <w:left w:val="nil"/>
              <w:bottom w:val="nil"/>
              <w:right w:val="nil"/>
            </w:tcBorders>
            <w:shd w:val="clear" w:color="000000" w:fill="FFFFFF"/>
          </w:tcPr>
          <w:p w14:paraId="399707EC" w14:textId="4DBA9A43" w:rsidR="003E5542" w:rsidRPr="003E5542" w:rsidRDefault="003E5542" w:rsidP="003E5542">
            <w:pPr>
              <w:rPr>
                <w:rFonts w:ascii="Calibri" w:hAnsi="Calibri" w:cs="Calibri"/>
                <w:sz w:val="20"/>
                <w:szCs w:val="20"/>
              </w:rPr>
            </w:pPr>
            <w:r w:rsidRPr="00082BB3">
              <w:rPr>
                <w:sz w:val="20"/>
                <w:szCs w:val="20"/>
              </w:rPr>
              <w:t>In Progress</w:t>
            </w:r>
          </w:p>
        </w:tc>
        <w:tc>
          <w:tcPr>
            <w:tcW w:w="1086" w:type="dxa"/>
            <w:tcBorders>
              <w:top w:val="nil"/>
              <w:left w:val="nil"/>
              <w:bottom w:val="nil"/>
              <w:right w:val="nil"/>
            </w:tcBorders>
            <w:shd w:val="clear" w:color="000000" w:fill="FFFFFF"/>
            <w:noWrap/>
          </w:tcPr>
          <w:p w14:paraId="7217AE91" w14:textId="6AF787EF" w:rsidR="003E5542" w:rsidRPr="003E5542" w:rsidRDefault="003E5542" w:rsidP="003E5542">
            <w:pPr>
              <w:jc w:val="right"/>
              <w:rPr>
                <w:rFonts w:ascii="Calibri" w:hAnsi="Calibri" w:cs="Calibri"/>
                <w:sz w:val="20"/>
                <w:szCs w:val="20"/>
              </w:rPr>
            </w:pPr>
            <w:r w:rsidRPr="00082BB3">
              <w:rPr>
                <w:sz w:val="20"/>
                <w:szCs w:val="20"/>
              </w:rPr>
              <w:t xml:space="preserve"> 30.00 </w:t>
            </w:r>
          </w:p>
        </w:tc>
      </w:tr>
      <w:tr w:rsidR="003E5542" w:rsidRPr="00B00959" w14:paraId="791C3577" w14:textId="77777777" w:rsidTr="008B69B9">
        <w:trPr>
          <w:trHeight w:val="95"/>
          <w:jc w:val="center"/>
        </w:trPr>
        <w:tc>
          <w:tcPr>
            <w:tcW w:w="5690" w:type="dxa"/>
            <w:tcBorders>
              <w:top w:val="nil"/>
              <w:left w:val="nil"/>
              <w:bottom w:val="nil"/>
              <w:right w:val="nil"/>
            </w:tcBorders>
            <w:shd w:val="clear" w:color="000000" w:fill="FFFFFF"/>
          </w:tcPr>
          <w:p w14:paraId="0CC12FA6" w14:textId="67B10067" w:rsidR="003E5542" w:rsidRPr="003E5542" w:rsidRDefault="003E5542" w:rsidP="003E5542">
            <w:pPr>
              <w:ind w:firstLineChars="75" w:firstLine="150"/>
              <w:rPr>
                <w:rFonts w:ascii="Calibri" w:hAnsi="Calibri" w:cs="Calibri"/>
                <w:sz w:val="20"/>
                <w:szCs w:val="20"/>
              </w:rPr>
            </w:pPr>
            <w:r w:rsidRPr="00082BB3">
              <w:rPr>
                <w:sz w:val="20"/>
                <w:szCs w:val="20"/>
              </w:rPr>
              <w:t>•Athletic Utility Field B</w:t>
            </w:r>
            <w:r w:rsidR="005D60F2">
              <w:rPr>
                <w:sz w:val="20"/>
                <w:szCs w:val="20"/>
              </w:rPr>
              <w:t>uilding</w:t>
            </w:r>
          </w:p>
        </w:tc>
        <w:tc>
          <w:tcPr>
            <w:tcW w:w="4570" w:type="dxa"/>
            <w:tcBorders>
              <w:top w:val="nil"/>
              <w:left w:val="nil"/>
              <w:bottom w:val="nil"/>
              <w:right w:val="nil"/>
            </w:tcBorders>
            <w:shd w:val="clear" w:color="000000" w:fill="FFFFFF"/>
          </w:tcPr>
          <w:p w14:paraId="6A4DBB75" w14:textId="25D09258" w:rsidR="003E5542" w:rsidRPr="003E5542" w:rsidRDefault="003E5542" w:rsidP="003E5542">
            <w:pPr>
              <w:rPr>
                <w:rFonts w:ascii="Calibri" w:hAnsi="Calibri" w:cs="Calibri"/>
                <w:sz w:val="20"/>
                <w:szCs w:val="20"/>
              </w:rPr>
            </w:pPr>
            <w:r w:rsidRPr="00082BB3">
              <w:rPr>
                <w:sz w:val="20"/>
                <w:szCs w:val="20"/>
              </w:rPr>
              <w:t>Gifts</w:t>
            </w:r>
            <w:r w:rsidR="003A345E">
              <w:rPr>
                <w:sz w:val="20"/>
                <w:szCs w:val="20"/>
              </w:rPr>
              <w:t xml:space="preserve">, </w:t>
            </w:r>
            <w:r w:rsidRPr="00082BB3">
              <w:rPr>
                <w:sz w:val="20"/>
                <w:szCs w:val="20"/>
              </w:rPr>
              <w:t>Harold Alfond Foundation Grant</w:t>
            </w:r>
          </w:p>
        </w:tc>
        <w:tc>
          <w:tcPr>
            <w:tcW w:w="1794" w:type="dxa"/>
            <w:tcBorders>
              <w:top w:val="nil"/>
              <w:left w:val="nil"/>
              <w:bottom w:val="nil"/>
              <w:right w:val="nil"/>
            </w:tcBorders>
            <w:shd w:val="clear" w:color="000000" w:fill="FFFFFF"/>
          </w:tcPr>
          <w:p w14:paraId="431D74A2" w14:textId="16089A4C" w:rsidR="003E5542" w:rsidRPr="003E5542" w:rsidRDefault="003E5542" w:rsidP="003E5542">
            <w:pPr>
              <w:rPr>
                <w:rFonts w:ascii="Calibri" w:hAnsi="Calibri" w:cs="Calibri"/>
                <w:sz w:val="20"/>
                <w:szCs w:val="20"/>
              </w:rPr>
            </w:pPr>
            <w:r w:rsidRPr="00082BB3">
              <w:rPr>
                <w:sz w:val="20"/>
                <w:szCs w:val="20"/>
              </w:rPr>
              <w:t>In Progress</w:t>
            </w:r>
          </w:p>
        </w:tc>
        <w:tc>
          <w:tcPr>
            <w:tcW w:w="1086" w:type="dxa"/>
            <w:tcBorders>
              <w:top w:val="nil"/>
              <w:left w:val="nil"/>
              <w:bottom w:val="nil"/>
              <w:right w:val="nil"/>
            </w:tcBorders>
            <w:shd w:val="clear" w:color="000000" w:fill="FFFFFF"/>
            <w:noWrap/>
          </w:tcPr>
          <w:p w14:paraId="5C1051BA" w14:textId="052F88D4" w:rsidR="003E5542" w:rsidRPr="003E5542" w:rsidRDefault="003E5542" w:rsidP="003E5542">
            <w:pPr>
              <w:jc w:val="right"/>
              <w:rPr>
                <w:rFonts w:ascii="Calibri" w:hAnsi="Calibri" w:cs="Calibri"/>
                <w:sz w:val="20"/>
                <w:szCs w:val="20"/>
              </w:rPr>
            </w:pPr>
            <w:r w:rsidRPr="00082BB3">
              <w:rPr>
                <w:sz w:val="20"/>
                <w:szCs w:val="20"/>
              </w:rPr>
              <w:t xml:space="preserve"> 0.30 </w:t>
            </w:r>
          </w:p>
        </w:tc>
      </w:tr>
      <w:tr w:rsidR="003E5542" w:rsidRPr="00B00959" w14:paraId="0E2A6C57" w14:textId="77777777" w:rsidTr="008B69B9">
        <w:trPr>
          <w:trHeight w:val="95"/>
          <w:jc w:val="center"/>
        </w:trPr>
        <w:tc>
          <w:tcPr>
            <w:tcW w:w="5690" w:type="dxa"/>
            <w:tcBorders>
              <w:top w:val="nil"/>
              <w:left w:val="nil"/>
              <w:bottom w:val="nil"/>
              <w:right w:val="nil"/>
            </w:tcBorders>
            <w:shd w:val="clear" w:color="000000" w:fill="FFFFFF"/>
          </w:tcPr>
          <w:p w14:paraId="56B0C270" w14:textId="4B57043B" w:rsidR="003E5542" w:rsidRPr="003E5542" w:rsidRDefault="003E5542" w:rsidP="003E5542">
            <w:pPr>
              <w:ind w:firstLineChars="75" w:firstLine="150"/>
              <w:rPr>
                <w:rFonts w:ascii="Calibri" w:hAnsi="Calibri" w:cs="Calibri"/>
                <w:sz w:val="20"/>
                <w:szCs w:val="20"/>
              </w:rPr>
            </w:pPr>
            <w:r w:rsidRPr="00082BB3">
              <w:rPr>
                <w:sz w:val="20"/>
                <w:szCs w:val="20"/>
              </w:rPr>
              <w:t>•Memorial Gym Indoor Track Resurfacing</w:t>
            </w:r>
          </w:p>
        </w:tc>
        <w:tc>
          <w:tcPr>
            <w:tcW w:w="4570" w:type="dxa"/>
            <w:tcBorders>
              <w:top w:val="nil"/>
              <w:left w:val="nil"/>
              <w:bottom w:val="nil"/>
              <w:right w:val="nil"/>
            </w:tcBorders>
            <w:shd w:val="clear" w:color="000000" w:fill="FFFFFF"/>
          </w:tcPr>
          <w:p w14:paraId="5620146F" w14:textId="7E6BB2D2" w:rsidR="003E5542" w:rsidRPr="003E5542" w:rsidRDefault="003E5542" w:rsidP="003E5542">
            <w:pPr>
              <w:rPr>
                <w:rFonts w:ascii="Calibri" w:hAnsi="Calibri" w:cs="Calibri"/>
                <w:sz w:val="20"/>
                <w:szCs w:val="20"/>
              </w:rPr>
            </w:pPr>
            <w:r w:rsidRPr="00082BB3">
              <w:rPr>
                <w:sz w:val="20"/>
                <w:szCs w:val="20"/>
              </w:rPr>
              <w:t>Gifts</w:t>
            </w:r>
          </w:p>
        </w:tc>
        <w:tc>
          <w:tcPr>
            <w:tcW w:w="1794" w:type="dxa"/>
            <w:tcBorders>
              <w:top w:val="nil"/>
              <w:left w:val="nil"/>
              <w:bottom w:val="nil"/>
              <w:right w:val="nil"/>
            </w:tcBorders>
            <w:shd w:val="clear" w:color="000000" w:fill="FFFFFF"/>
          </w:tcPr>
          <w:p w14:paraId="27BCC6AF" w14:textId="29382E07" w:rsidR="003E5542" w:rsidRPr="003E5542" w:rsidRDefault="003E5542" w:rsidP="003E5542">
            <w:pPr>
              <w:rPr>
                <w:rFonts w:ascii="Calibri" w:hAnsi="Calibri" w:cs="Calibri"/>
                <w:sz w:val="20"/>
                <w:szCs w:val="20"/>
              </w:rPr>
            </w:pPr>
            <w:r w:rsidRPr="00082BB3">
              <w:rPr>
                <w:sz w:val="20"/>
                <w:szCs w:val="20"/>
              </w:rPr>
              <w:t>In Progress</w:t>
            </w:r>
          </w:p>
        </w:tc>
        <w:tc>
          <w:tcPr>
            <w:tcW w:w="1086" w:type="dxa"/>
            <w:tcBorders>
              <w:top w:val="nil"/>
              <w:left w:val="nil"/>
              <w:bottom w:val="nil"/>
              <w:right w:val="nil"/>
            </w:tcBorders>
            <w:shd w:val="clear" w:color="000000" w:fill="FFFFFF"/>
            <w:noWrap/>
          </w:tcPr>
          <w:p w14:paraId="101EF1AE" w14:textId="7DCA9D8B" w:rsidR="003E5542" w:rsidRPr="003E5542" w:rsidRDefault="003E5542" w:rsidP="003E5542">
            <w:pPr>
              <w:jc w:val="right"/>
              <w:rPr>
                <w:rFonts w:ascii="Calibri" w:hAnsi="Calibri" w:cs="Calibri"/>
                <w:sz w:val="20"/>
                <w:szCs w:val="20"/>
              </w:rPr>
            </w:pPr>
            <w:r w:rsidRPr="00082BB3">
              <w:rPr>
                <w:sz w:val="20"/>
                <w:szCs w:val="20"/>
              </w:rPr>
              <w:t xml:space="preserve"> 0.80 </w:t>
            </w:r>
          </w:p>
        </w:tc>
      </w:tr>
      <w:tr w:rsidR="003E5542" w:rsidRPr="00B00959" w14:paraId="2533E07B" w14:textId="77777777" w:rsidTr="008B69B9">
        <w:trPr>
          <w:trHeight w:val="95"/>
          <w:jc w:val="center"/>
        </w:trPr>
        <w:tc>
          <w:tcPr>
            <w:tcW w:w="5690" w:type="dxa"/>
            <w:tcBorders>
              <w:top w:val="nil"/>
              <w:left w:val="nil"/>
              <w:bottom w:val="nil"/>
              <w:right w:val="nil"/>
            </w:tcBorders>
            <w:shd w:val="clear" w:color="000000" w:fill="FFFFFF"/>
          </w:tcPr>
          <w:p w14:paraId="583CF7C2" w14:textId="54F64F3C" w:rsidR="003E5542" w:rsidRPr="003E5542" w:rsidRDefault="003E5542" w:rsidP="003E5542">
            <w:pPr>
              <w:ind w:firstLineChars="75" w:firstLine="150"/>
              <w:rPr>
                <w:rFonts w:ascii="Calibri" w:hAnsi="Calibri" w:cs="Calibri"/>
                <w:sz w:val="20"/>
                <w:szCs w:val="20"/>
              </w:rPr>
            </w:pPr>
            <w:r w:rsidRPr="00082BB3">
              <w:rPr>
                <w:sz w:val="20"/>
                <w:szCs w:val="20"/>
              </w:rPr>
              <w:t>•Black Bear Academy Child Care Center</w:t>
            </w:r>
          </w:p>
        </w:tc>
        <w:tc>
          <w:tcPr>
            <w:tcW w:w="4570" w:type="dxa"/>
            <w:tcBorders>
              <w:top w:val="nil"/>
              <w:left w:val="nil"/>
              <w:bottom w:val="nil"/>
              <w:right w:val="nil"/>
            </w:tcBorders>
            <w:shd w:val="clear" w:color="000000" w:fill="FFFFFF"/>
          </w:tcPr>
          <w:p w14:paraId="35F9A478" w14:textId="191F639A" w:rsidR="003E5542" w:rsidRPr="003E5542" w:rsidRDefault="003E5542" w:rsidP="003E5542">
            <w:pPr>
              <w:rPr>
                <w:rFonts w:ascii="Calibri" w:hAnsi="Calibri" w:cs="Calibri"/>
                <w:sz w:val="20"/>
                <w:szCs w:val="20"/>
              </w:rPr>
            </w:pPr>
            <w:r w:rsidRPr="00082BB3">
              <w:rPr>
                <w:sz w:val="20"/>
                <w:szCs w:val="20"/>
              </w:rPr>
              <w:t>Grants</w:t>
            </w:r>
          </w:p>
        </w:tc>
        <w:tc>
          <w:tcPr>
            <w:tcW w:w="1794" w:type="dxa"/>
            <w:tcBorders>
              <w:top w:val="nil"/>
              <w:left w:val="nil"/>
              <w:bottom w:val="nil"/>
              <w:right w:val="nil"/>
            </w:tcBorders>
            <w:shd w:val="clear" w:color="000000" w:fill="FFFFFF"/>
          </w:tcPr>
          <w:p w14:paraId="45276503" w14:textId="78D52476" w:rsidR="003E5542" w:rsidRPr="003E5542" w:rsidRDefault="003E5542" w:rsidP="003E5542">
            <w:pPr>
              <w:rPr>
                <w:rFonts w:ascii="Calibri" w:hAnsi="Calibri" w:cs="Calibri"/>
                <w:sz w:val="20"/>
                <w:szCs w:val="20"/>
              </w:rPr>
            </w:pPr>
            <w:r w:rsidRPr="00082BB3">
              <w:rPr>
                <w:sz w:val="20"/>
                <w:szCs w:val="20"/>
              </w:rPr>
              <w:t>In Progress</w:t>
            </w:r>
          </w:p>
        </w:tc>
        <w:tc>
          <w:tcPr>
            <w:tcW w:w="1086" w:type="dxa"/>
            <w:tcBorders>
              <w:top w:val="nil"/>
              <w:left w:val="nil"/>
              <w:bottom w:val="nil"/>
              <w:right w:val="nil"/>
            </w:tcBorders>
            <w:shd w:val="clear" w:color="000000" w:fill="FFFFFF"/>
            <w:noWrap/>
          </w:tcPr>
          <w:p w14:paraId="135B00A1" w14:textId="5A410EA5" w:rsidR="003E5542" w:rsidRPr="003E5542" w:rsidRDefault="003E5542" w:rsidP="003E5542">
            <w:pPr>
              <w:jc w:val="right"/>
              <w:rPr>
                <w:rFonts w:ascii="Calibri" w:hAnsi="Calibri" w:cs="Calibri"/>
                <w:sz w:val="20"/>
                <w:szCs w:val="20"/>
              </w:rPr>
            </w:pPr>
            <w:r w:rsidRPr="00082BB3">
              <w:rPr>
                <w:sz w:val="20"/>
                <w:szCs w:val="20"/>
              </w:rPr>
              <w:t xml:space="preserve"> 4.00 </w:t>
            </w:r>
          </w:p>
        </w:tc>
      </w:tr>
      <w:tr w:rsidR="003E5542" w:rsidRPr="00B00959" w14:paraId="0FFABAAD" w14:textId="77777777" w:rsidTr="008B69B9">
        <w:trPr>
          <w:trHeight w:val="95"/>
          <w:jc w:val="center"/>
        </w:trPr>
        <w:tc>
          <w:tcPr>
            <w:tcW w:w="5690" w:type="dxa"/>
            <w:tcBorders>
              <w:top w:val="nil"/>
              <w:left w:val="nil"/>
              <w:bottom w:val="nil"/>
              <w:right w:val="nil"/>
            </w:tcBorders>
            <w:shd w:val="clear" w:color="000000" w:fill="FFFFFF"/>
          </w:tcPr>
          <w:p w14:paraId="2833F8A2" w14:textId="16B727CC" w:rsidR="003E5542" w:rsidRPr="003E5542" w:rsidRDefault="003E5542" w:rsidP="003E5542">
            <w:pPr>
              <w:ind w:firstLineChars="75" w:firstLine="150"/>
              <w:rPr>
                <w:rFonts w:ascii="Calibri" w:hAnsi="Calibri" w:cs="Calibri"/>
                <w:sz w:val="20"/>
                <w:szCs w:val="20"/>
              </w:rPr>
            </w:pPr>
            <w:r w:rsidRPr="003A345E">
              <w:rPr>
                <w:sz w:val="20"/>
                <w:szCs w:val="20"/>
              </w:rPr>
              <w:t>•Boardman Hall Modernization</w:t>
            </w:r>
          </w:p>
        </w:tc>
        <w:tc>
          <w:tcPr>
            <w:tcW w:w="4570" w:type="dxa"/>
            <w:tcBorders>
              <w:top w:val="nil"/>
              <w:left w:val="nil"/>
              <w:bottom w:val="nil"/>
              <w:right w:val="nil"/>
            </w:tcBorders>
            <w:shd w:val="clear" w:color="000000" w:fill="FFFFFF"/>
          </w:tcPr>
          <w:p w14:paraId="6CD6370A" w14:textId="05507B49" w:rsidR="003E5542" w:rsidRPr="003E5542" w:rsidRDefault="003E5542" w:rsidP="003E5542">
            <w:pPr>
              <w:rPr>
                <w:rFonts w:ascii="Calibri" w:hAnsi="Calibri" w:cs="Calibri"/>
                <w:sz w:val="20"/>
                <w:szCs w:val="20"/>
              </w:rPr>
            </w:pPr>
            <w:r w:rsidRPr="003A345E">
              <w:rPr>
                <w:sz w:val="20"/>
                <w:szCs w:val="20"/>
              </w:rPr>
              <w:t>Gifts</w:t>
            </w:r>
            <w:r w:rsidR="003A345E">
              <w:rPr>
                <w:sz w:val="20"/>
                <w:szCs w:val="20"/>
              </w:rPr>
              <w:t xml:space="preserve">, </w:t>
            </w:r>
            <w:r w:rsidRPr="003A345E">
              <w:rPr>
                <w:sz w:val="20"/>
                <w:szCs w:val="20"/>
              </w:rPr>
              <w:t>Harold Alfond Foundation Grant</w:t>
            </w:r>
          </w:p>
        </w:tc>
        <w:tc>
          <w:tcPr>
            <w:tcW w:w="1794" w:type="dxa"/>
            <w:tcBorders>
              <w:top w:val="nil"/>
              <w:left w:val="nil"/>
              <w:bottom w:val="nil"/>
              <w:right w:val="nil"/>
            </w:tcBorders>
            <w:shd w:val="clear" w:color="000000" w:fill="FFFFFF"/>
          </w:tcPr>
          <w:p w14:paraId="710A72D1" w14:textId="7B964940" w:rsidR="003E5542" w:rsidRPr="003E5542" w:rsidRDefault="003E5542" w:rsidP="003E5542">
            <w:pPr>
              <w:rPr>
                <w:rFonts w:ascii="Calibri" w:hAnsi="Calibri" w:cs="Calibri"/>
                <w:sz w:val="20"/>
                <w:szCs w:val="20"/>
              </w:rPr>
            </w:pPr>
            <w:r w:rsidRPr="003A345E">
              <w:rPr>
                <w:sz w:val="20"/>
                <w:szCs w:val="20"/>
              </w:rPr>
              <w:t>In Progress</w:t>
            </w:r>
          </w:p>
        </w:tc>
        <w:tc>
          <w:tcPr>
            <w:tcW w:w="1086" w:type="dxa"/>
            <w:tcBorders>
              <w:top w:val="nil"/>
              <w:left w:val="nil"/>
              <w:bottom w:val="nil"/>
              <w:right w:val="nil"/>
            </w:tcBorders>
            <w:shd w:val="clear" w:color="000000" w:fill="FFFFFF"/>
            <w:noWrap/>
          </w:tcPr>
          <w:p w14:paraId="38E3A341" w14:textId="4F85231F" w:rsidR="003E5542" w:rsidRPr="003E5542" w:rsidRDefault="003E5542" w:rsidP="003E5542">
            <w:pPr>
              <w:jc w:val="right"/>
              <w:rPr>
                <w:rFonts w:ascii="Calibri" w:hAnsi="Calibri" w:cs="Calibri"/>
                <w:sz w:val="20"/>
                <w:szCs w:val="20"/>
              </w:rPr>
            </w:pPr>
            <w:r w:rsidRPr="003A345E">
              <w:rPr>
                <w:sz w:val="20"/>
                <w:szCs w:val="20"/>
              </w:rPr>
              <w:t xml:space="preserve"> 10.00 </w:t>
            </w:r>
          </w:p>
        </w:tc>
      </w:tr>
      <w:tr w:rsidR="003E5542" w:rsidRPr="00B00959" w14:paraId="4CD4872E" w14:textId="77777777" w:rsidTr="008B69B9">
        <w:trPr>
          <w:trHeight w:val="95"/>
          <w:jc w:val="center"/>
        </w:trPr>
        <w:tc>
          <w:tcPr>
            <w:tcW w:w="5690" w:type="dxa"/>
            <w:tcBorders>
              <w:top w:val="nil"/>
              <w:left w:val="nil"/>
              <w:bottom w:val="nil"/>
              <w:right w:val="nil"/>
            </w:tcBorders>
            <w:shd w:val="clear" w:color="000000" w:fill="FFFFFF"/>
          </w:tcPr>
          <w:p w14:paraId="4D3DFF9F" w14:textId="7C16C655" w:rsidR="003E5542" w:rsidRPr="003E5542" w:rsidRDefault="003E5542" w:rsidP="003E5542">
            <w:pPr>
              <w:ind w:firstLineChars="75" w:firstLine="150"/>
              <w:rPr>
                <w:rFonts w:ascii="Calibri" w:hAnsi="Calibri" w:cs="Calibri"/>
                <w:sz w:val="20"/>
                <w:szCs w:val="20"/>
              </w:rPr>
            </w:pPr>
            <w:r w:rsidRPr="00082BB3">
              <w:rPr>
                <w:sz w:val="20"/>
                <w:szCs w:val="20"/>
              </w:rPr>
              <w:t>•Darling Marine C</w:t>
            </w:r>
            <w:r w:rsidR="005D60F2">
              <w:rPr>
                <w:sz w:val="20"/>
                <w:szCs w:val="20"/>
              </w:rPr>
              <w:t>enter</w:t>
            </w:r>
            <w:r w:rsidRPr="00082BB3">
              <w:rPr>
                <w:sz w:val="20"/>
                <w:szCs w:val="20"/>
              </w:rPr>
              <w:t xml:space="preserve"> - Culture Lab Renov</w:t>
            </w:r>
          </w:p>
        </w:tc>
        <w:tc>
          <w:tcPr>
            <w:tcW w:w="4570" w:type="dxa"/>
            <w:tcBorders>
              <w:top w:val="nil"/>
              <w:left w:val="nil"/>
              <w:bottom w:val="nil"/>
              <w:right w:val="nil"/>
            </w:tcBorders>
            <w:shd w:val="clear" w:color="000000" w:fill="FFFFFF"/>
          </w:tcPr>
          <w:p w14:paraId="5E846581" w14:textId="4DD5B420" w:rsidR="003E5542" w:rsidRPr="003E5542" w:rsidRDefault="003E5542" w:rsidP="003E5542">
            <w:pPr>
              <w:rPr>
                <w:rFonts w:ascii="Calibri" w:hAnsi="Calibri" w:cs="Calibri"/>
                <w:sz w:val="20"/>
                <w:szCs w:val="20"/>
              </w:rPr>
            </w:pPr>
            <w:r w:rsidRPr="00082BB3">
              <w:rPr>
                <w:sz w:val="20"/>
                <w:szCs w:val="20"/>
              </w:rPr>
              <w:t>Grants</w:t>
            </w:r>
          </w:p>
        </w:tc>
        <w:tc>
          <w:tcPr>
            <w:tcW w:w="1794" w:type="dxa"/>
            <w:tcBorders>
              <w:top w:val="nil"/>
              <w:left w:val="nil"/>
              <w:bottom w:val="nil"/>
              <w:right w:val="nil"/>
            </w:tcBorders>
            <w:shd w:val="clear" w:color="000000" w:fill="FFFFFF"/>
          </w:tcPr>
          <w:p w14:paraId="1836F18A" w14:textId="2D01F6DF" w:rsidR="003E5542" w:rsidRPr="003E5542" w:rsidRDefault="003E5542" w:rsidP="003E5542">
            <w:pPr>
              <w:rPr>
                <w:rFonts w:ascii="Calibri" w:hAnsi="Calibri" w:cs="Calibri"/>
                <w:sz w:val="20"/>
                <w:szCs w:val="20"/>
              </w:rPr>
            </w:pPr>
            <w:r w:rsidRPr="00082BB3">
              <w:rPr>
                <w:sz w:val="20"/>
                <w:szCs w:val="20"/>
              </w:rPr>
              <w:t>In Progress</w:t>
            </w:r>
          </w:p>
        </w:tc>
        <w:tc>
          <w:tcPr>
            <w:tcW w:w="1086" w:type="dxa"/>
            <w:tcBorders>
              <w:top w:val="nil"/>
              <w:left w:val="nil"/>
              <w:bottom w:val="nil"/>
              <w:right w:val="nil"/>
            </w:tcBorders>
            <w:shd w:val="clear" w:color="000000" w:fill="FFFFFF"/>
            <w:noWrap/>
          </w:tcPr>
          <w:p w14:paraId="0EDCEF49" w14:textId="4AB17667" w:rsidR="003E5542" w:rsidRPr="003E5542" w:rsidRDefault="003E5542" w:rsidP="003E5542">
            <w:pPr>
              <w:jc w:val="right"/>
              <w:rPr>
                <w:rFonts w:ascii="Calibri" w:hAnsi="Calibri" w:cs="Calibri"/>
                <w:sz w:val="20"/>
                <w:szCs w:val="20"/>
              </w:rPr>
            </w:pPr>
            <w:r w:rsidRPr="00082BB3">
              <w:rPr>
                <w:sz w:val="20"/>
                <w:szCs w:val="20"/>
              </w:rPr>
              <w:t xml:space="preserve"> 1.30 </w:t>
            </w:r>
          </w:p>
        </w:tc>
      </w:tr>
      <w:tr w:rsidR="003E5542" w:rsidRPr="00B00959" w14:paraId="426C36BE" w14:textId="77777777" w:rsidTr="008B69B9">
        <w:trPr>
          <w:trHeight w:val="95"/>
          <w:jc w:val="center"/>
        </w:trPr>
        <w:tc>
          <w:tcPr>
            <w:tcW w:w="5690" w:type="dxa"/>
            <w:tcBorders>
              <w:top w:val="nil"/>
              <w:left w:val="nil"/>
              <w:bottom w:val="nil"/>
              <w:right w:val="nil"/>
            </w:tcBorders>
            <w:shd w:val="clear" w:color="000000" w:fill="FFFFFF"/>
          </w:tcPr>
          <w:p w14:paraId="42CE275A" w14:textId="1A4EF33B" w:rsidR="003E5542" w:rsidRPr="003E5542" w:rsidRDefault="003E5542" w:rsidP="003E5542">
            <w:pPr>
              <w:ind w:firstLineChars="75" w:firstLine="150"/>
              <w:rPr>
                <w:rFonts w:ascii="Calibri" w:hAnsi="Calibri" w:cs="Calibri"/>
                <w:sz w:val="20"/>
                <w:szCs w:val="20"/>
              </w:rPr>
            </w:pPr>
            <w:r w:rsidRPr="00082BB3">
              <w:rPr>
                <w:sz w:val="20"/>
                <w:szCs w:val="20"/>
              </w:rPr>
              <w:t>•Forest Biomaterials Innovation Center</w:t>
            </w:r>
          </w:p>
        </w:tc>
        <w:tc>
          <w:tcPr>
            <w:tcW w:w="4570" w:type="dxa"/>
            <w:tcBorders>
              <w:top w:val="nil"/>
              <w:left w:val="nil"/>
              <w:bottom w:val="nil"/>
              <w:right w:val="nil"/>
            </w:tcBorders>
            <w:shd w:val="clear" w:color="000000" w:fill="FFFFFF"/>
          </w:tcPr>
          <w:p w14:paraId="79C87A0A" w14:textId="2BF4540B" w:rsidR="003E5542" w:rsidRPr="003E5542" w:rsidRDefault="003E5542" w:rsidP="003E5542">
            <w:pPr>
              <w:rPr>
                <w:rFonts w:ascii="Calibri" w:hAnsi="Calibri" w:cs="Calibri"/>
                <w:sz w:val="20"/>
                <w:szCs w:val="20"/>
              </w:rPr>
            </w:pPr>
            <w:r w:rsidRPr="00082BB3">
              <w:rPr>
                <w:sz w:val="20"/>
                <w:szCs w:val="20"/>
              </w:rPr>
              <w:t>Grants</w:t>
            </w:r>
          </w:p>
        </w:tc>
        <w:tc>
          <w:tcPr>
            <w:tcW w:w="1794" w:type="dxa"/>
            <w:tcBorders>
              <w:top w:val="nil"/>
              <w:left w:val="nil"/>
              <w:bottom w:val="nil"/>
              <w:right w:val="nil"/>
            </w:tcBorders>
            <w:shd w:val="clear" w:color="000000" w:fill="FFFFFF"/>
          </w:tcPr>
          <w:p w14:paraId="1AFEC360" w14:textId="073316B1" w:rsidR="003E5542" w:rsidRPr="003E5542" w:rsidRDefault="003E5542" w:rsidP="003E5542">
            <w:pPr>
              <w:rPr>
                <w:rFonts w:ascii="Calibri" w:hAnsi="Calibri" w:cs="Calibri"/>
                <w:sz w:val="20"/>
                <w:szCs w:val="20"/>
              </w:rPr>
            </w:pPr>
            <w:r w:rsidRPr="00082BB3">
              <w:rPr>
                <w:sz w:val="20"/>
                <w:szCs w:val="20"/>
              </w:rPr>
              <w:t>In Progress</w:t>
            </w:r>
          </w:p>
        </w:tc>
        <w:tc>
          <w:tcPr>
            <w:tcW w:w="1086" w:type="dxa"/>
            <w:tcBorders>
              <w:top w:val="nil"/>
              <w:left w:val="nil"/>
              <w:bottom w:val="nil"/>
              <w:right w:val="nil"/>
            </w:tcBorders>
            <w:shd w:val="clear" w:color="000000" w:fill="FFFFFF"/>
            <w:noWrap/>
          </w:tcPr>
          <w:p w14:paraId="3A9A0986" w14:textId="5F1CDCD1" w:rsidR="003E5542" w:rsidRPr="003E5542" w:rsidRDefault="003E5542" w:rsidP="003E5542">
            <w:pPr>
              <w:jc w:val="right"/>
              <w:rPr>
                <w:rFonts w:ascii="Calibri" w:hAnsi="Calibri" w:cs="Calibri"/>
                <w:sz w:val="20"/>
                <w:szCs w:val="20"/>
              </w:rPr>
            </w:pPr>
            <w:r w:rsidRPr="00082BB3">
              <w:rPr>
                <w:sz w:val="20"/>
                <w:szCs w:val="20"/>
              </w:rPr>
              <w:t xml:space="preserve"> 7.40 </w:t>
            </w:r>
          </w:p>
        </w:tc>
      </w:tr>
      <w:tr w:rsidR="003E5542" w:rsidRPr="00B00959" w14:paraId="1FB8CE97" w14:textId="77777777" w:rsidTr="008B69B9">
        <w:trPr>
          <w:trHeight w:val="95"/>
          <w:jc w:val="center"/>
        </w:trPr>
        <w:tc>
          <w:tcPr>
            <w:tcW w:w="5690" w:type="dxa"/>
            <w:tcBorders>
              <w:top w:val="nil"/>
              <w:left w:val="nil"/>
              <w:bottom w:val="nil"/>
              <w:right w:val="nil"/>
            </w:tcBorders>
            <w:shd w:val="clear" w:color="000000" w:fill="FFFFFF"/>
          </w:tcPr>
          <w:p w14:paraId="77E5A7A6" w14:textId="6733894D" w:rsidR="003E5542" w:rsidRPr="003E5542" w:rsidRDefault="003E5542" w:rsidP="003E5542">
            <w:pPr>
              <w:ind w:leftChars="67" w:left="251" w:hangingChars="52" w:hanging="104"/>
              <w:rPr>
                <w:rFonts w:ascii="Calibri" w:hAnsi="Calibri" w:cs="Calibri"/>
                <w:sz w:val="20"/>
                <w:szCs w:val="20"/>
              </w:rPr>
            </w:pPr>
            <w:r w:rsidRPr="00082BB3">
              <w:rPr>
                <w:sz w:val="20"/>
                <w:szCs w:val="20"/>
              </w:rPr>
              <w:t>•Maine Agricultural and Forest Experiment Station (MAFES) Analytical Laboratory Modernization and Expansion</w:t>
            </w:r>
          </w:p>
        </w:tc>
        <w:tc>
          <w:tcPr>
            <w:tcW w:w="4570" w:type="dxa"/>
            <w:tcBorders>
              <w:top w:val="nil"/>
              <w:left w:val="nil"/>
              <w:bottom w:val="nil"/>
              <w:right w:val="nil"/>
            </w:tcBorders>
            <w:shd w:val="clear" w:color="000000" w:fill="FFFFFF"/>
          </w:tcPr>
          <w:p w14:paraId="405D7F85" w14:textId="0929467A" w:rsidR="003E5542" w:rsidRPr="003E5542" w:rsidRDefault="003E5542" w:rsidP="003E5542">
            <w:pPr>
              <w:rPr>
                <w:rFonts w:ascii="Calibri" w:hAnsi="Calibri" w:cs="Calibri"/>
                <w:sz w:val="20"/>
                <w:szCs w:val="20"/>
              </w:rPr>
            </w:pPr>
            <w:r w:rsidRPr="00082BB3">
              <w:rPr>
                <w:sz w:val="20"/>
                <w:szCs w:val="20"/>
              </w:rPr>
              <w:t>Grants</w:t>
            </w:r>
          </w:p>
        </w:tc>
        <w:tc>
          <w:tcPr>
            <w:tcW w:w="1794" w:type="dxa"/>
            <w:tcBorders>
              <w:top w:val="nil"/>
              <w:left w:val="nil"/>
              <w:bottom w:val="nil"/>
              <w:right w:val="nil"/>
            </w:tcBorders>
            <w:shd w:val="clear" w:color="000000" w:fill="FFFFFF"/>
          </w:tcPr>
          <w:p w14:paraId="5DF1E0AA" w14:textId="5371169D" w:rsidR="003E5542" w:rsidRPr="003E5542" w:rsidRDefault="003E5542" w:rsidP="003E5542">
            <w:pPr>
              <w:rPr>
                <w:rFonts w:ascii="Calibri" w:hAnsi="Calibri" w:cs="Calibri"/>
                <w:sz w:val="20"/>
                <w:szCs w:val="20"/>
              </w:rPr>
            </w:pPr>
            <w:r w:rsidRPr="00082BB3">
              <w:rPr>
                <w:sz w:val="20"/>
                <w:szCs w:val="20"/>
              </w:rPr>
              <w:t>In Progress</w:t>
            </w:r>
          </w:p>
        </w:tc>
        <w:tc>
          <w:tcPr>
            <w:tcW w:w="1086" w:type="dxa"/>
            <w:tcBorders>
              <w:top w:val="nil"/>
              <w:left w:val="nil"/>
              <w:bottom w:val="nil"/>
              <w:right w:val="nil"/>
            </w:tcBorders>
            <w:shd w:val="clear" w:color="000000" w:fill="FFFFFF"/>
            <w:noWrap/>
          </w:tcPr>
          <w:p w14:paraId="2344C150" w14:textId="615A84D3" w:rsidR="003E5542" w:rsidRPr="003E5542" w:rsidRDefault="003E5542" w:rsidP="003E5542">
            <w:pPr>
              <w:jc w:val="right"/>
              <w:rPr>
                <w:rFonts w:ascii="Calibri" w:hAnsi="Calibri" w:cs="Calibri"/>
                <w:sz w:val="20"/>
                <w:szCs w:val="20"/>
              </w:rPr>
            </w:pPr>
            <w:r w:rsidRPr="00082BB3">
              <w:rPr>
                <w:sz w:val="20"/>
                <w:szCs w:val="20"/>
              </w:rPr>
              <w:t xml:space="preserve"> 5.00 </w:t>
            </w:r>
          </w:p>
        </w:tc>
      </w:tr>
      <w:tr w:rsidR="004F1D1A" w:rsidRPr="00B00959" w14:paraId="450423DA" w14:textId="77777777" w:rsidTr="008B69B9">
        <w:trPr>
          <w:trHeight w:val="95"/>
          <w:jc w:val="center"/>
        </w:trPr>
        <w:tc>
          <w:tcPr>
            <w:tcW w:w="5690" w:type="dxa"/>
            <w:tcBorders>
              <w:top w:val="nil"/>
              <w:left w:val="nil"/>
              <w:bottom w:val="nil"/>
              <w:right w:val="nil"/>
            </w:tcBorders>
            <w:shd w:val="clear" w:color="000000" w:fill="FFFFFF"/>
            <w:vAlign w:val="bottom"/>
            <w:hideMark/>
          </w:tcPr>
          <w:p w14:paraId="6DF816D5" w14:textId="77EB20E7" w:rsidR="004F1D1A" w:rsidRPr="00324E33" w:rsidRDefault="004F1D1A" w:rsidP="004F1D1A">
            <w:pPr>
              <w:rPr>
                <w:rFonts w:eastAsia="Times New Roman" w:cstheme="minorHAnsi"/>
                <w:sz w:val="20"/>
                <w:szCs w:val="20"/>
              </w:rPr>
            </w:pPr>
            <w:r w:rsidRPr="00324E33">
              <w:rPr>
                <w:rFonts w:ascii="Calibri" w:hAnsi="Calibri" w:cs="Calibri"/>
                <w:b/>
                <w:bCs/>
                <w:sz w:val="20"/>
                <w:szCs w:val="20"/>
              </w:rPr>
              <w:t>USM</w:t>
            </w:r>
          </w:p>
        </w:tc>
        <w:tc>
          <w:tcPr>
            <w:tcW w:w="4570" w:type="dxa"/>
            <w:tcBorders>
              <w:top w:val="nil"/>
              <w:left w:val="nil"/>
              <w:bottom w:val="nil"/>
              <w:right w:val="nil"/>
            </w:tcBorders>
            <w:shd w:val="clear" w:color="000000" w:fill="FFFFFF"/>
            <w:hideMark/>
          </w:tcPr>
          <w:p w14:paraId="6190E023" w14:textId="2B923710" w:rsidR="004F1D1A" w:rsidRPr="00324E33" w:rsidRDefault="004F1D1A" w:rsidP="004F1D1A">
            <w:pPr>
              <w:rPr>
                <w:rFonts w:eastAsia="Times New Roman" w:cstheme="minorHAnsi"/>
                <w:sz w:val="20"/>
                <w:szCs w:val="20"/>
              </w:rPr>
            </w:pPr>
            <w:r w:rsidRPr="00324E33">
              <w:rPr>
                <w:rFonts w:ascii="Calibri" w:hAnsi="Calibri" w:cs="Calibri"/>
                <w:sz w:val="20"/>
                <w:szCs w:val="20"/>
              </w:rPr>
              <w:t> </w:t>
            </w:r>
          </w:p>
        </w:tc>
        <w:tc>
          <w:tcPr>
            <w:tcW w:w="1794" w:type="dxa"/>
            <w:tcBorders>
              <w:top w:val="nil"/>
              <w:left w:val="nil"/>
              <w:bottom w:val="nil"/>
              <w:right w:val="nil"/>
            </w:tcBorders>
            <w:shd w:val="clear" w:color="000000" w:fill="FFFFFF"/>
            <w:hideMark/>
          </w:tcPr>
          <w:p w14:paraId="0DF39B2D" w14:textId="60027D6C" w:rsidR="004F1D1A" w:rsidRPr="00324E33" w:rsidRDefault="004F1D1A" w:rsidP="004F1D1A">
            <w:pPr>
              <w:rPr>
                <w:rFonts w:eastAsia="Times New Roman" w:cstheme="minorHAnsi"/>
                <w:sz w:val="20"/>
                <w:szCs w:val="20"/>
              </w:rPr>
            </w:pPr>
            <w:r w:rsidRPr="00324E33">
              <w:rPr>
                <w:rFonts w:ascii="Calibri" w:hAnsi="Calibri" w:cs="Calibri"/>
                <w:sz w:val="20"/>
                <w:szCs w:val="20"/>
              </w:rPr>
              <w:t> </w:t>
            </w:r>
          </w:p>
        </w:tc>
        <w:tc>
          <w:tcPr>
            <w:tcW w:w="1086" w:type="dxa"/>
            <w:tcBorders>
              <w:top w:val="nil"/>
              <w:left w:val="nil"/>
              <w:bottom w:val="nil"/>
              <w:right w:val="nil"/>
            </w:tcBorders>
            <w:shd w:val="clear" w:color="000000" w:fill="FFFFFF"/>
            <w:noWrap/>
            <w:hideMark/>
          </w:tcPr>
          <w:p w14:paraId="5594B582" w14:textId="419918C5" w:rsidR="004F1D1A" w:rsidRPr="00324E33" w:rsidRDefault="004F1D1A" w:rsidP="004F1D1A">
            <w:pPr>
              <w:jc w:val="right"/>
              <w:rPr>
                <w:rFonts w:eastAsia="Times New Roman" w:cstheme="minorHAnsi"/>
                <w:sz w:val="20"/>
                <w:szCs w:val="20"/>
              </w:rPr>
            </w:pPr>
            <w:r w:rsidRPr="00324E33">
              <w:rPr>
                <w:rFonts w:ascii="Calibri" w:hAnsi="Calibri" w:cs="Calibri"/>
                <w:sz w:val="20"/>
                <w:szCs w:val="20"/>
              </w:rPr>
              <w:t> </w:t>
            </w:r>
          </w:p>
        </w:tc>
      </w:tr>
      <w:tr w:rsidR="003E5542" w:rsidRPr="00B00959" w14:paraId="1C66F588" w14:textId="77777777" w:rsidTr="008B69B9">
        <w:trPr>
          <w:trHeight w:val="95"/>
          <w:jc w:val="center"/>
        </w:trPr>
        <w:tc>
          <w:tcPr>
            <w:tcW w:w="5690" w:type="dxa"/>
            <w:tcBorders>
              <w:top w:val="nil"/>
              <w:left w:val="nil"/>
              <w:bottom w:val="nil"/>
              <w:right w:val="nil"/>
            </w:tcBorders>
            <w:shd w:val="clear" w:color="000000" w:fill="FFFFFF"/>
            <w:hideMark/>
          </w:tcPr>
          <w:p w14:paraId="4AE0440D" w14:textId="3589F6BD" w:rsidR="003E5542" w:rsidRPr="003E5542" w:rsidRDefault="003E5542" w:rsidP="003E5542">
            <w:pPr>
              <w:ind w:left="-15" w:firstLineChars="100" w:firstLine="200"/>
              <w:rPr>
                <w:rFonts w:eastAsia="Times New Roman" w:cstheme="minorHAnsi"/>
                <w:sz w:val="20"/>
                <w:szCs w:val="20"/>
              </w:rPr>
            </w:pPr>
            <w:r w:rsidRPr="003A345E">
              <w:rPr>
                <w:sz w:val="20"/>
                <w:szCs w:val="20"/>
              </w:rPr>
              <w:t>•</w:t>
            </w:r>
            <w:r w:rsidR="000D0B13">
              <w:rPr>
                <w:sz w:val="20"/>
                <w:szCs w:val="20"/>
              </w:rPr>
              <w:t xml:space="preserve">Crewe </w:t>
            </w:r>
            <w:r w:rsidRPr="00082BB3">
              <w:rPr>
                <w:sz w:val="20"/>
                <w:szCs w:val="20"/>
              </w:rPr>
              <w:t>Center for the Arts</w:t>
            </w:r>
          </w:p>
        </w:tc>
        <w:tc>
          <w:tcPr>
            <w:tcW w:w="4570" w:type="dxa"/>
            <w:tcBorders>
              <w:top w:val="nil"/>
              <w:left w:val="nil"/>
              <w:bottom w:val="nil"/>
              <w:right w:val="nil"/>
            </w:tcBorders>
            <w:shd w:val="clear" w:color="000000" w:fill="FFFFFF"/>
            <w:hideMark/>
          </w:tcPr>
          <w:p w14:paraId="189F891B" w14:textId="408DFDAB" w:rsidR="003E5542" w:rsidRPr="003E5542" w:rsidRDefault="003E5542" w:rsidP="003E5542">
            <w:pPr>
              <w:rPr>
                <w:rFonts w:eastAsia="Times New Roman" w:cstheme="minorHAnsi"/>
                <w:sz w:val="20"/>
                <w:szCs w:val="20"/>
              </w:rPr>
            </w:pPr>
            <w:r w:rsidRPr="00082BB3">
              <w:rPr>
                <w:sz w:val="20"/>
                <w:szCs w:val="20"/>
              </w:rPr>
              <w:t>2022 Revenue Bond, 2023 Revenue Bond, Education &amp; General, Gifts, State Appropriation</w:t>
            </w:r>
          </w:p>
        </w:tc>
        <w:tc>
          <w:tcPr>
            <w:tcW w:w="1794" w:type="dxa"/>
            <w:tcBorders>
              <w:top w:val="nil"/>
              <w:left w:val="nil"/>
              <w:bottom w:val="nil"/>
              <w:right w:val="nil"/>
            </w:tcBorders>
            <w:shd w:val="clear" w:color="000000" w:fill="FFFFFF"/>
            <w:hideMark/>
          </w:tcPr>
          <w:p w14:paraId="3B5B973E" w14:textId="7BDD3C0B" w:rsidR="003E5542" w:rsidRPr="003E5542" w:rsidRDefault="003E5542" w:rsidP="003E5542">
            <w:pPr>
              <w:rPr>
                <w:rFonts w:eastAsia="Times New Roman" w:cstheme="minorHAnsi"/>
                <w:sz w:val="20"/>
                <w:szCs w:val="20"/>
              </w:rPr>
            </w:pPr>
            <w:r w:rsidRPr="00082BB3">
              <w:rPr>
                <w:sz w:val="20"/>
                <w:szCs w:val="20"/>
              </w:rPr>
              <w:t>In Progress</w:t>
            </w:r>
          </w:p>
        </w:tc>
        <w:tc>
          <w:tcPr>
            <w:tcW w:w="1086" w:type="dxa"/>
            <w:tcBorders>
              <w:top w:val="nil"/>
              <w:left w:val="nil"/>
              <w:bottom w:val="nil"/>
              <w:right w:val="nil"/>
            </w:tcBorders>
            <w:shd w:val="clear" w:color="000000" w:fill="FFFFFF"/>
            <w:noWrap/>
            <w:hideMark/>
          </w:tcPr>
          <w:p w14:paraId="43C5F579" w14:textId="4B13818D" w:rsidR="003E5542" w:rsidRPr="003E5542" w:rsidRDefault="003E5542" w:rsidP="003E5542">
            <w:pPr>
              <w:jc w:val="right"/>
              <w:rPr>
                <w:rFonts w:eastAsia="Times New Roman" w:cstheme="minorHAnsi"/>
                <w:sz w:val="20"/>
                <w:szCs w:val="20"/>
              </w:rPr>
            </w:pPr>
            <w:r w:rsidRPr="00082BB3">
              <w:rPr>
                <w:sz w:val="20"/>
                <w:szCs w:val="20"/>
              </w:rPr>
              <w:t xml:space="preserve"> 63.00 </w:t>
            </w:r>
          </w:p>
        </w:tc>
      </w:tr>
      <w:tr w:rsidR="003E5542" w:rsidRPr="00B00959" w14:paraId="7A4553CF" w14:textId="77777777" w:rsidTr="008B69B9">
        <w:trPr>
          <w:trHeight w:val="95"/>
          <w:jc w:val="center"/>
        </w:trPr>
        <w:tc>
          <w:tcPr>
            <w:tcW w:w="5690" w:type="dxa"/>
            <w:tcBorders>
              <w:top w:val="nil"/>
              <w:left w:val="nil"/>
              <w:bottom w:val="nil"/>
              <w:right w:val="nil"/>
            </w:tcBorders>
            <w:shd w:val="clear" w:color="000000" w:fill="FFFFFF"/>
            <w:hideMark/>
          </w:tcPr>
          <w:p w14:paraId="34E61C54" w14:textId="68A87369" w:rsidR="003E5542" w:rsidRPr="003E5542" w:rsidRDefault="003E5542" w:rsidP="003E5542">
            <w:pPr>
              <w:ind w:left="-15" w:firstLineChars="100" w:firstLine="200"/>
              <w:rPr>
                <w:rFonts w:eastAsia="Times New Roman" w:cstheme="minorHAnsi"/>
                <w:sz w:val="20"/>
                <w:szCs w:val="20"/>
              </w:rPr>
            </w:pPr>
            <w:r w:rsidRPr="00082BB3">
              <w:rPr>
                <w:sz w:val="20"/>
                <w:szCs w:val="20"/>
              </w:rPr>
              <w:t>•Center for Teaching Innovations</w:t>
            </w:r>
          </w:p>
        </w:tc>
        <w:tc>
          <w:tcPr>
            <w:tcW w:w="4570" w:type="dxa"/>
            <w:tcBorders>
              <w:top w:val="nil"/>
              <w:left w:val="nil"/>
              <w:bottom w:val="nil"/>
              <w:right w:val="nil"/>
            </w:tcBorders>
            <w:shd w:val="clear" w:color="000000" w:fill="FFFFFF"/>
            <w:hideMark/>
          </w:tcPr>
          <w:p w14:paraId="7AD985A6" w14:textId="760F88AC" w:rsidR="003E5542" w:rsidRPr="003E5542" w:rsidRDefault="003E5542" w:rsidP="003E5542">
            <w:pPr>
              <w:rPr>
                <w:rFonts w:eastAsia="Times New Roman" w:cstheme="minorHAnsi"/>
                <w:sz w:val="20"/>
                <w:szCs w:val="20"/>
              </w:rPr>
            </w:pPr>
            <w:r w:rsidRPr="00082BB3">
              <w:rPr>
                <w:sz w:val="20"/>
                <w:szCs w:val="20"/>
              </w:rPr>
              <w:t>2018 State Bond, Gifts</w:t>
            </w:r>
          </w:p>
        </w:tc>
        <w:tc>
          <w:tcPr>
            <w:tcW w:w="1794" w:type="dxa"/>
            <w:tcBorders>
              <w:top w:val="nil"/>
              <w:left w:val="nil"/>
              <w:bottom w:val="nil"/>
              <w:right w:val="nil"/>
            </w:tcBorders>
            <w:shd w:val="clear" w:color="000000" w:fill="FFFFFF"/>
            <w:hideMark/>
          </w:tcPr>
          <w:p w14:paraId="05E927EC" w14:textId="44BC9853" w:rsidR="003E5542" w:rsidRPr="003E5542" w:rsidRDefault="003E5542" w:rsidP="003E5542">
            <w:pPr>
              <w:rPr>
                <w:rFonts w:eastAsia="Times New Roman" w:cstheme="minorHAnsi"/>
                <w:sz w:val="20"/>
                <w:szCs w:val="20"/>
              </w:rPr>
            </w:pPr>
            <w:r w:rsidRPr="00082BB3">
              <w:rPr>
                <w:sz w:val="20"/>
                <w:szCs w:val="20"/>
              </w:rPr>
              <w:t>Complete</w:t>
            </w:r>
          </w:p>
        </w:tc>
        <w:tc>
          <w:tcPr>
            <w:tcW w:w="1086" w:type="dxa"/>
            <w:tcBorders>
              <w:top w:val="nil"/>
              <w:left w:val="nil"/>
              <w:bottom w:val="nil"/>
              <w:right w:val="nil"/>
            </w:tcBorders>
            <w:shd w:val="clear" w:color="000000" w:fill="FFFFFF"/>
            <w:noWrap/>
            <w:hideMark/>
          </w:tcPr>
          <w:p w14:paraId="5CAD2A87" w14:textId="2D15B7B6" w:rsidR="003E5542" w:rsidRPr="003E5542" w:rsidRDefault="003E5542" w:rsidP="003E5542">
            <w:pPr>
              <w:jc w:val="right"/>
              <w:rPr>
                <w:rFonts w:eastAsia="Times New Roman" w:cstheme="minorHAnsi"/>
                <w:sz w:val="20"/>
                <w:szCs w:val="20"/>
              </w:rPr>
            </w:pPr>
            <w:r w:rsidRPr="00082BB3">
              <w:rPr>
                <w:sz w:val="20"/>
                <w:szCs w:val="20"/>
              </w:rPr>
              <w:t xml:space="preserve"> 0.99 </w:t>
            </w:r>
          </w:p>
        </w:tc>
      </w:tr>
      <w:tr w:rsidR="003E5542" w:rsidRPr="00B00959" w14:paraId="55E2F545" w14:textId="77777777" w:rsidTr="008B69B9">
        <w:trPr>
          <w:trHeight w:val="95"/>
          <w:jc w:val="center"/>
        </w:trPr>
        <w:tc>
          <w:tcPr>
            <w:tcW w:w="5690" w:type="dxa"/>
            <w:tcBorders>
              <w:top w:val="nil"/>
              <w:left w:val="nil"/>
              <w:bottom w:val="nil"/>
              <w:right w:val="nil"/>
            </w:tcBorders>
            <w:shd w:val="clear" w:color="000000" w:fill="FFFFFF"/>
            <w:hideMark/>
          </w:tcPr>
          <w:p w14:paraId="50AD1313" w14:textId="6A0A1AEC" w:rsidR="003E5542" w:rsidRPr="003E5542" w:rsidRDefault="003E5542" w:rsidP="003E5542">
            <w:pPr>
              <w:ind w:left="-15" w:firstLineChars="100" w:firstLine="200"/>
              <w:rPr>
                <w:rFonts w:eastAsia="Times New Roman" w:cstheme="minorHAnsi"/>
                <w:sz w:val="20"/>
                <w:szCs w:val="20"/>
              </w:rPr>
            </w:pPr>
            <w:r w:rsidRPr="00082BB3">
              <w:rPr>
                <w:sz w:val="20"/>
                <w:szCs w:val="20"/>
              </w:rPr>
              <w:t>•Career and Student Success Center</w:t>
            </w:r>
          </w:p>
        </w:tc>
        <w:tc>
          <w:tcPr>
            <w:tcW w:w="4570" w:type="dxa"/>
            <w:tcBorders>
              <w:top w:val="nil"/>
              <w:left w:val="nil"/>
              <w:bottom w:val="nil"/>
              <w:right w:val="nil"/>
            </w:tcBorders>
            <w:shd w:val="clear" w:color="000000" w:fill="FFFFFF"/>
            <w:hideMark/>
          </w:tcPr>
          <w:p w14:paraId="1AC1A8E1" w14:textId="232C9F23" w:rsidR="003E5542" w:rsidRPr="003E5542" w:rsidRDefault="003E5542" w:rsidP="003E5542">
            <w:pPr>
              <w:rPr>
                <w:rFonts w:eastAsia="Times New Roman" w:cstheme="minorHAnsi"/>
                <w:sz w:val="20"/>
                <w:szCs w:val="20"/>
              </w:rPr>
            </w:pPr>
            <w:r w:rsidRPr="00082BB3">
              <w:rPr>
                <w:sz w:val="20"/>
                <w:szCs w:val="20"/>
              </w:rPr>
              <w:t>2018 State Bond, 2022 Revenue Bond, 2023 Revenue Bond, Education &amp; General, Gifts</w:t>
            </w:r>
          </w:p>
        </w:tc>
        <w:tc>
          <w:tcPr>
            <w:tcW w:w="1794" w:type="dxa"/>
            <w:tcBorders>
              <w:top w:val="nil"/>
              <w:left w:val="nil"/>
              <w:bottom w:val="nil"/>
              <w:right w:val="nil"/>
            </w:tcBorders>
            <w:shd w:val="clear" w:color="000000" w:fill="FFFFFF"/>
            <w:hideMark/>
          </w:tcPr>
          <w:p w14:paraId="12788593" w14:textId="3F8A50BA" w:rsidR="003E5542" w:rsidRPr="003E5542" w:rsidRDefault="003E5542" w:rsidP="003E5542">
            <w:pPr>
              <w:rPr>
                <w:rFonts w:eastAsia="Times New Roman" w:cstheme="minorHAnsi"/>
                <w:sz w:val="20"/>
                <w:szCs w:val="20"/>
              </w:rPr>
            </w:pPr>
            <w:r w:rsidRPr="00082BB3">
              <w:rPr>
                <w:sz w:val="20"/>
                <w:szCs w:val="20"/>
              </w:rPr>
              <w:t>Complete</w:t>
            </w:r>
          </w:p>
        </w:tc>
        <w:tc>
          <w:tcPr>
            <w:tcW w:w="1086" w:type="dxa"/>
            <w:tcBorders>
              <w:top w:val="nil"/>
              <w:left w:val="nil"/>
              <w:bottom w:val="nil"/>
              <w:right w:val="nil"/>
            </w:tcBorders>
            <w:shd w:val="clear" w:color="000000" w:fill="FFFFFF"/>
            <w:noWrap/>
            <w:hideMark/>
          </w:tcPr>
          <w:p w14:paraId="34A916F8" w14:textId="107082CE" w:rsidR="003E5542" w:rsidRPr="003E5542" w:rsidRDefault="003E5542" w:rsidP="003E5542">
            <w:pPr>
              <w:jc w:val="right"/>
              <w:rPr>
                <w:rFonts w:eastAsia="Times New Roman" w:cstheme="minorHAnsi"/>
                <w:sz w:val="20"/>
                <w:szCs w:val="20"/>
              </w:rPr>
            </w:pPr>
            <w:r w:rsidRPr="00082BB3">
              <w:rPr>
                <w:sz w:val="20"/>
                <w:szCs w:val="20"/>
              </w:rPr>
              <w:t xml:space="preserve"> 26.60 </w:t>
            </w:r>
          </w:p>
        </w:tc>
      </w:tr>
      <w:tr w:rsidR="003E5542" w:rsidRPr="00B00959" w14:paraId="49E0183A" w14:textId="77777777" w:rsidTr="008B69B9">
        <w:trPr>
          <w:trHeight w:val="95"/>
          <w:jc w:val="center"/>
        </w:trPr>
        <w:tc>
          <w:tcPr>
            <w:tcW w:w="5690" w:type="dxa"/>
            <w:tcBorders>
              <w:top w:val="nil"/>
              <w:left w:val="nil"/>
              <w:bottom w:val="nil"/>
              <w:right w:val="nil"/>
            </w:tcBorders>
            <w:shd w:val="clear" w:color="000000" w:fill="FFFFFF"/>
            <w:hideMark/>
          </w:tcPr>
          <w:p w14:paraId="7EE83559" w14:textId="55E4F508" w:rsidR="003E5542" w:rsidRPr="003E5542" w:rsidRDefault="003E5542" w:rsidP="003E5542">
            <w:pPr>
              <w:ind w:left="-15" w:firstLineChars="100" w:firstLine="200"/>
              <w:rPr>
                <w:rFonts w:eastAsia="Times New Roman" w:cstheme="minorHAnsi"/>
                <w:sz w:val="20"/>
                <w:szCs w:val="20"/>
              </w:rPr>
            </w:pPr>
            <w:r w:rsidRPr="00082BB3">
              <w:rPr>
                <w:sz w:val="20"/>
                <w:szCs w:val="20"/>
              </w:rPr>
              <w:t>•Portland Residence Hall</w:t>
            </w:r>
          </w:p>
        </w:tc>
        <w:tc>
          <w:tcPr>
            <w:tcW w:w="4570" w:type="dxa"/>
            <w:tcBorders>
              <w:top w:val="nil"/>
              <w:left w:val="nil"/>
              <w:bottom w:val="nil"/>
              <w:right w:val="nil"/>
            </w:tcBorders>
            <w:shd w:val="clear" w:color="000000" w:fill="FFFFFF"/>
            <w:hideMark/>
          </w:tcPr>
          <w:p w14:paraId="2D539D01" w14:textId="30E8C8CC" w:rsidR="003E5542" w:rsidRPr="003E5542" w:rsidRDefault="003E5542" w:rsidP="003E5542">
            <w:pPr>
              <w:rPr>
                <w:rFonts w:eastAsia="Times New Roman" w:cstheme="minorHAnsi"/>
                <w:sz w:val="20"/>
                <w:szCs w:val="20"/>
              </w:rPr>
            </w:pPr>
            <w:r w:rsidRPr="00082BB3">
              <w:rPr>
                <w:sz w:val="20"/>
                <w:szCs w:val="20"/>
              </w:rPr>
              <w:t>2022 Revenue Bond, 2023 Revenue Bond, Education &amp; General</w:t>
            </w:r>
          </w:p>
        </w:tc>
        <w:tc>
          <w:tcPr>
            <w:tcW w:w="1794" w:type="dxa"/>
            <w:tcBorders>
              <w:top w:val="nil"/>
              <w:left w:val="nil"/>
              <w:bottom w:val="nil"/>
              <w:right w:val="nil"/>
            </w:tcBorders>
            <w:shd w:val="clear" w:color="000000" w:fill="FFFFFF"/>
            <w:hideMark/>
          </w:tcPr>
          <w:p w14:paraId="7BBB0AFF" w14:textId="46403805" w:rsidR="003E5542" w:rsidRPr="003E5542" w:rsidRDefault="003E5542" w:rsidP="003E5542">
            <w:pPr>
              <w:rPr>
                <w:rFonts w:eastAsia="Times New Roman" w:cstheme="minorHAnsi"/>
                <w:sz w:val="20"/>
                <w:szCs w:val="20"/>
              </w:rPr>
            </w:pPr>
            <w:r w:rsidRPr="00082BB3">
              <w:rPr>
                <w:sz w:val="20"/>
                <w:szCs w:val="20"/>
              </w:rPr>
              <w:t>In Progress</w:t>
            </w:r>
          </w:p>
        </w:tc>
        <w:tc>
          <w:tcPr>
            <w:tcW w:w="1086" w:type="dxa"/>
            <w:tcBorders>
              <w:top w:val="nil"/>
              <w:left w:val="nil"/>
              <w:bottom w:val="nil"/>
              <w:right w:val="nil"/>
            </w:tcBorders>
            <w:shd w:val="clear" w:color="000000" w:fill="FFFFFF"/>
            <w:noWrap/>
            <w:hideMark/>
          </w:tcPr>
          <w:p w14:paraId="51A1DE75" w14:textId="7E7AA719" w:rsidR="003E5542" w:rsidRPr="003E5542" w:rsidRDefault="003E5542" w:rsidP="003E5542">
            <w:pPr>
              <w:jc w:val="right"/>
              <w:rPr>
                <w:rFonts w:eastAsia="Times New Roman" w:cstheme="minorHAnsi"/>
                <w:sz w:val="20"/>
                <w:szCs w:val="20"/>
              </w:rPr>
            </w:pPr>
            <w:r w:rsidRPr="00082BB3">
              <w:rPr>
                <w:sz w:val="20"/>
                <w:szCs w:val="20"/>
              </w:rPr>
              <w:t xml:space="preserve"> 74.00 </w:t>
            </w:r>
          </w:p>
        </w:tc>
      </w:tr>
      <w:tr w:rsidR="003E5542" w:rsidRPr="00B00959" w14:paraId="4063C224" w14:textId="77777777" w:rsidTr="008B69B9">
        <w:trPr>
          <w:trHeight w:val="95"/>
          <w:jc w:val="center"/>
        </w:trPr>
        <w:tc>
          <w:tcPr>
            <w:tcW w:w="5690" w:type="dxa"/>
            <w:tcBorders>
              <w:top w:val="nil"/>
              <w:left w:val="nil"/>
              <w:bottom w:val="nil"/>
              <w:right w:val="nil"/>
            </w:tcBorders>
            <w:shd w:val="clear" w:color="000000" w:fill="FFFFFF"/>
            <w:hideMark/>
          </w:tcPr>
          <w:p w14:paraId="350E4E39" w14:textId="04DD3170" w:rsidR="003E5542" w:rsidRPr="003E5542" w:rsidRDefault="003E5542" w:rsidP="003E5542">
            <w:pPr>
              <w:ind w:left="-15" w:firstLineChars="100" w:firstLine="200"/>
              <w:rPr>
                <w:rFonts w:eastAsia="Times New Roman" w:cstheme="minorHAnsi"/>
                <w:sz w:val="20"/>
                <w:szCs w:val="20"/>
              </w:rPr>
            </w:pPr>
            <w:r w:rsidRPr="00082BB3">
              <w:rPr>
                <w:sz w:val="20"/>
                <w:szCs w:val="20"/>
              </w:rPr>
              <w:t>•Portland Parking Garage</w:t>
            </w:r>
          </w:p>
        </w:tc>
        <w:tc>
          <w:tcPr>
            <w:tcW w:w="4570" w:type="dxa"/>
            <w:tcBorders>
              <w:top w:val="nil"/>
              <w:left w:val="nil"/>
              <w:bottom w:val="nil"/>
              <w:right w:val="nil"/>
            </w:tcBorders>
            <w:shd w:val="clear" w:color="000000" w:fill="FFFFFF"/>
            <w:hideMark/>
          </w:tcPr>
          <w:p w14:paraId="00DBC2CB" w14:textId="1B00392D" w:rsidR="003E5542" w:rsidRPr="003E5542" w:rsidRDefault="003E5542" w:rsidP="003E5542">
            <w:pPr>
              <w:rPr>
                <w:rFonts w:eastAsia="Times New Roman" w:cstheme="minorHAnsi"/>
                <w:sz w:val="20"/>
                <w:szCs w:val="20"/>
              </w:rPr>
            </w:pPr>
            <w:r w:rsidRPr="00082BB3">
              <w:rPr>
                <w:sz w:val="20"/>
                <w:szCs w:val="20"/>
              </w:rPr>
              <w:t>Education &amp; General, 2022 Revenue Bond, 2023 Revenue Bond</w:t>
            </w:r>
          </w:p>
        </w:tc>
        <w:tc>
          <w:tcPr>
            <w:tcW w:w="1794" w:type="dxa"/>
            <w:tcBorders>
              <w:top w:val="nil"/>
              <w:left w:val="nil"/>
              <w:bottom w:val="nil"/>
              <w:right w:val="nil"/>
            </w:tcBorders>
            <w:shd w:val="clear" w:color="000000" w:fill="FFFFFF"/>
            <w:hideMark/>
          </w:tcPr>
          <w:p w14:paraId="09CC904F" w14:textId="09D10C5C" w:rsidR="003E5542" w:rsidRPr="003E5542" w:rsidRDefault="003E5542" w:rsidP="003E5542">
            <w:pPr>
              <w:rPr>
                <w:rFonts w:eastAsia="Times New Roman" w:cstheme="minorHAnsi"/>
                <w:sz w:val="20"/>
                <w:szCs w:val="20"/>
              </w:rPr>
            </w:pPr>
            <w:r w:rsidRPr="00082BB3">
              <w:rPr>
                <w:sz w:val="20"/>
                <w:szCs w:val="20"/>
              </w:rPr>
              <w:t>In Progress</w:t>
            </w:r>
          </w:p>
        </w:tc>
        <w:tc>
          <w:tcPr>
            <w:tcW w:w="1086" w:type="dxa"/>
            <w:tcBorders>
              <w:top w:val="nil"/>
              <w:left w:val="nil"/>
              <w:bottom w:val="nil"/>
              <w:right w:val="nil"/>
            </w:tcBorders>
            <w:shd w:val="clear" w:color="000000" w:fill="FFFFFF"/>
            <w:noWrap/>
            <w:hideMark/>
          </w:tcPr>
          <w:p w14:paraId="07C8E0C6" w14:textId="16376E36" w:rsidR="003E5542" w:rsidRPr="003E5542" w:rsidRDefault="003E5542" w:rsidP="003E5542">
            <w:pPr>
              <w:jc w:val="right"/>
              <w:rPr>
                <w:rFonts w:eastAsia="Times New Roman" w:cstheme="minorHAnsi"/>
                <w:sz w:val="20"/>
                <w:szCs w:val="20"/>
              </w:rPr>
            </w:pPr>
            <w:r w:rsidRPr="00082BB3">
              <w:rPr>
                <w:sz w:val="20"/>
                <w:szCs w:val="20"/>
              </w:rPr>
              <w:t xml:space="preserve"> 23.50 </w:t>
            </w:r>
          </w:p>
        </w:tc>
      </w:tr>
      <w:tr w:rsidR="003E5542" w:rsidRPr="00B00959" w14:paraId="4F2F3A79" w14:textId="77777777" w:rsidTr="008B69B9">
        <w:trPr>
          <w:trHeight w:val="95"/>
          <w:jc w:val="center"/>
        </w:trPr>
        <w:tc>
          <w:tcPr>
            <w:tcW w:w="5690" w:type="dxa"/>
            <w:tcBorders>
              <w:top w:val="nil"/>
              <w:left w:val="nil"/>
              <w:bottom w:val="nil"/>
              <w:right w:val="nil"/>
            </w:tcBorders>
            <w:shd w:val="clear" w:color="000000" w:fill="FFFFFF"/>
            <w:hideMark/>
          </w:tcPr>
          <w:p w14:paraId="4E1BB5BB" w14:textId="7B4944FA" w:rsidR="003E5542" w:rsidRPr="003E5542" w:rsidRDefault="003E5542" w:rsidP="003E5542">
            <w:pPr>
              <w:ind w:left="-15" w:firstLineChars="100" w:firstLine="200"/>
              <w:rPr>
                <w:rFonts w:eastAsia="Times New Roman" w:cstheme="minorHAnsi"/>
                <w:sz w:val="20"/>
                <w:szCs w:val="20"/>
              </w:rPr>
            </w:pPr>
            <w:r w:rsidRPr="00082BB3">
              <w:rPr>
                <w:sz w:val="20"/>
                <w:szCs w:val="20"/>
              </w:rPr>
              <w:t>•Dubyak Center</w:t>
            </w:r>
          </w:p>
        </w:tc>
        <w:tc>
          <w:tcPr>
            <w:tcW w:w="4570" w:type="dxa"/>
            <w:tcBorders>
              <w:top w:val="nil"/>
              <w:left w:val="nil"/>
              <w:bottom w:val="nil"/>
              <w:right w:val="nil"/>
            </w:tcBorders>
            <w:shd w:val="clear" w:color="000000" w:fill="FFFFFF"/>
            <w:hideMark/>
          </w:tcPr>
          <w:p w14:paraId="1817B694" w14:textId="279CBA88" w:rsidR="003E5542" w:rsidRPr="003E5542" w:rsidRDefault="003E5542" w:rsidP="003E5542">
            <w:pPr>
              <w:rPr>
                <w:rFonts w:eastAsia="Times New Roman" w:cstheme="minorHAnsi"/>
                <w:sz w:val="20"/>
                <w:szCs w:val="20"/>
              </w:rPr>
            </w:pPr>
            <w:r w:rsidRPr="00082BB3">
              <w:rPr>
                <w:sz w:val="20"/>
                <w:szCs w:val="20"/>
              </w:rPr>
              <w:t>2018 State Bond, Gifts, Grants</w:t>
            </w:r>
          </w:p>
        </w:tc>
        <w:tc>
          <w:tcPr>
            <w:tcW w:w="1794" w:type="dxa"/>
            <w:tcBorders>
              <w:top w:val="nil"/>
              <w:left w:val="nil"/>
              <w:bottom w:val="nil"/>
              <w:right w:val="nil"/>
            </w:tcBorders>
            <w:shd w:val="clear" w:color="000000" w:fill="FFFFFF"/>
            <w:hideMark/>
          </w:tcPr>
          <w:p w14:paraId="60C417F7" w14:textId="027083DC" w:rsidR="003E5542" w:rsidRPr="003E5542" w:rsidRDefault="003E5542" w:rsidP="003E5542">
            <w:pPr>
              <w:rPr>
                <w:rFonts w:eastAsia="Times New Roman" w:cstheme="minorHAnsi"/>
                <w:sz w:val="20"/>
                <w:szCs w:val="20"/>
              </w:rPr>
            </w:pPr>
            <w:r w:rsidRPr="00082BB3">
              <w:rPr>
                <w:sz w:val="20"/>
                <w:szCs w:val="20"/>
              </w:rPr>
              <w:t>In Progress</w:t>
            </w:r>
          </w:p>
        </w:tc>
        <w:tc>
          <w:tcPr>
            <w:tcW w:w="1086" w:type="dxa"/>
            <w:tcBorders>
              <w:top w:val="nil"/>
              <w:left w:val="nil"/>
              <w:bottom w:val="nil"/>
              <w:right w:val="nil"/>
            </w:tcBorders>
            <w:shd w:val="clear" w:color="000000" w:fill="FFFFFF"/>
            <w:noWrap/>
            <w:hideMark/>
          </w:tcPr>
          <w:p w14:paraId="5DD85484" w14:textId="2114616F" w:rsidR="003E5542" w:rsidRPr="003E5542" w:rsidRDefault="003E5542" w:rsidP="003E5542">
            <w:pPr>
              <w:jc w:val="right"/>
              <w:rPr>
                <w:rFonts w:eastAsia="Times New Roman" w:cstheme="minorHAnsi"/>
                <w:sz w:val="20"/>
                <w:szCs w:val="20"/>
              </w:rPr>
            </w:pPr>
            <w:r w:rsidRPr="00082BB3">
              <w:rPr>
                <w:sz w:val="20"/>
                <w:szCs w:val="20"/>
              </w:rPr>
              <w:t xml:space="preserve"> 2.75 </w:t>
            </w:r>
          </w:p>
        </w:tc>
      </w:tr>
      <w:tr w:rsidR="003E5542" w:rsidRPr="00B00959" w14:paraId="14FD2832" w14:textId="77777777" w:rsidTr="008B69B9">
        <w:trPr>
          <w:trHeight w:val="95"/>
          <w:jc w:val="center"/>
        </w:trPr>
        <w:tc>
          <w:tcPr>
            <w:tcW w:w="5690" w:type="dxa"/>
            <w:tcBorders>
              <w:top w:val="nil"/>
              <w:left w:val="nil"/>
              <w:bottom w:val="nil"/>
              <w:right w:val="nil"/>
            </w:tcBorders>
            <w:shd w:val="clear" w:color="000000" w:fill="FFFFFF"/>
            <w:noWrap/>
            <w:hideMark/>
          </w:tcPr>
          <w:p w14:paraId="61E30AB9" w14:textId="185FFFC2" w:rsidR="003E5542" w:rsidRPr="003E5542" w:rsidRDefault="003E5542" w:rsidP="003E5542">
            <w:pPr>
              <w:ind w:left="-15" w:firstLineChars="100" w:firstLine="200"/>
              <w:rPr>
                <w:rFonts w:eastAsia="Times New Roman" w:cstheme="minorHAnsi"/>
                <w:b/>
                <w:bCs/>
                <w:sz w:val="20"/>
                <w:szCs w:val="20"/>
              </w:rPr>
            </w:pPr>
            <w:r w:rsidRPr="00082BB3">
              <w:rPr>
                <w:sz w:val="20"/>
                <w:szCs w:val="20"/>
              </w:rPr>
              <w:t>•Relocation of Deering Farmhouse</w:t>
            </w:r>
          </w:p>
        </w:tc>
        <w:tc>
          <w:tcPr>
            <w:tcW w:w="4570" w:type="dxa"/>
            <w:tcBorders>
              <w:top w:val="nil"/>
              <w:left w:val="nil"/>
              <w:bottom w:val="nil"/>
              <w:right w:val="nil"/>
            </w:tcBorders>
            <w:shd w:val="clear" w:color="000000" w:fill="FFFFFF"/>
            <w:hideMark/>
          </w:tcPr>
          <w:p w14:paraId="5E1F4215" w14:textId="17CCEFFC" w:rsidR="003E5542" w:rsidRPr="003E5542" w:rsidRDefault="003E5542" w:rsidP="003E5542">
            <w:pPr>
              <w:rPr>
                <w:rFonts w:eastAsia="Times New Roman" w:cstheme="minorHAnsi"/>
                <w:sz w:val="20"/>
                <w:szCs w:val="20"/>
              </w:rPr>
            </w:pPr>
            <w:r w:rsidRPr="00082BB3">
              <w:rPr>
                <w:sz w:val="20"/>
                <w:szCs w:val="20"/>
              </w:rPr>
              <w:t>Education &amp; General</w:t>
            </w:r>
          </w:p>
        </w:tc>
        <w:tc>
          <w:tcPr>
            <w:tcW w:w="1794" w:type="dxa"/>
            <w:tcBorders>
              <w:top w:val="nil"/>
              <w:left w:val="nil"/>
              <w:bottom w:val="nil"/>
              <w:right w:val="nil"/>
            </w:tcBorders>
            <w:shd w:val="clear" w:color="000000" w:fill="FFFFFF"/>
            <w:hideMark/>
          </w:tcPr>
          <w:p w14:paraId="70370887" w14:textId="515302CF" w:rsidR="003E5542" w:rsidRPr="003E5542" w:rsidRDefault="003E5542" w:rsidP="003E5542">
            <w:pPr>
              <w:rPr>
                <w:rFonts w:eastAsia="Times New Roman" w:cstheme="minorHAnsi"/>
                <w:sz w:val="20"/>
                <w:szCs w:val="20"/>
              </w:rPr>
            </w:pPr>
            <w:r w:rsidRPr="00082BB3">
              <w:rPr>
                <w:sz w:val="20"/>
                <w:szCs w:val="20"/>
              </w:rPr>
              <w:t>In Progress</w:t>
            </w:r>
          </w:p>
        </w:tc>
        <w:tc>
          <w:tcPr>
            <w:tcW w:w="1086" w:type="dxa"/>
            <w:tcBorders>
              <w:top w:val="nil"/>
              <w:left w:val="nil"/>
              <w:bottom w:val="nil"/>
              <w:right w:val="nil"/>
            </w:tcBorders>
            <w:shd w:val="clear" w:color="000000" w:fill="FFFFFF"/>
            <w:noWrap/>
            <w:hideMark/>
          </w:tcPr>
          <w:p w14:paraId="0A4F0846" w14:textId="708C2DA8" w:rsidR="003E5542" w:rsidRPr="003E5542" w:rsidRDefault="003E5542" w:rsidP="003E5542">
            <w:pPr>
              <w:jc w:val="right"/>
              <w:rPr>
                <w:rFonts w:eastAsia="Times New Roman" w:cstheme="minorHAnsi"/>
                <w:sz w:val="20"/>
                <w:szCs w:val="20"/>
              </w:rPr>
            </w:pPr>
            <w:r w:rsidRPr="00082BB3">
              <w:rPr>
                <w:sz w:val="20"/>
                <w:szCs w:val="20"/>
              </w:rPr>
              <w:t xml:space="preserve"> 2.00 </w:t>
            </w:r>
          </w:p>
        </w:tc>
      </w:tr>
      <w:tr w:rsidR="003E5542" w:rsidRPr="00B00959" w14:paraId="3123B4B4" w14:textId="77777777" w:rsidTr="008B69B9">
        <w:trPr>
          <w:trHeight w:val="126"/>
          <w:jc w:val="center"/>
        </w:trPr>
        <w:tc>
          <w:tcPr>
            <w:tcW w:w="5690" w:type="dxa"/>
            <w:tcBorders>
              <w:top w:val="nil"/>
              <w:left w:val="nil"/>
              <w:bottom w:val="nil"/>
              <w:right w:val="nil"/>
            </w:tcBorders>
            <w:shd w:val="clear" w:color="000000" w:fill="FFFFFF"/>
            <w:hideMark/>
          </w:tcPr>
          <w:p w14:paraId="4EFBB392" w14:textId="632B4CE7" w:rsidR="003E5542" w:rsidRPr="003E5542" w:rsidRDefault="003E5542" w:rsidP="003E5542">
            <w:pPr>
              <w:ind w:left="-15" w:firstLineChars="100" w:firstLine="200"/>
              <w:rPr>
                <w:rFonts w:eastAsia="Times New Roman" w:cstheme="minorHAnsi"/>
                <w:sz w:val="20"/>
                <w:szCs w:val="20"/>
              </w:rPr>
            </w:pPr>
            <w:r w:rsidRPr="00082BB3">
              <w:rPr>
                <w:sz w:val="20"/>
                <w:szCs w:val="20"/>
              </w:rPr>
              <w:t>•Inter-Professional Education Lab</w:t>
            </w:r>
          </w:p>
        </w:tc>
        <w:tc>
          <w:tcPr>
            <w:tcW w:w="4570" w:type="dxa"/>
            <w:tcBorders>
              <w:top w:val="nil"/>
              <w:left w:val="nil"/>
              <w:bottom w:val="nil"/>
              <w:right w:val="nil"/>
            </w:tcBorders>
            <w:shd w:val="clear" w:color="000000" w:fill="FFFFFF"/>
            <w:hideMark/>
          </w:tcPr>
          <w:p w14:paraId="2924C4BA" w14:textId="700DFE19" w:rsidR="003E5542" w:rsidRPr="003E5542" w:rsidRDefault="003E5542" w:rsidP="003E5542">
            <w:pPr>
              <w:rPr>
                <w:rFonts w:eastAsia="Times New Roman" w:cstheme="minorHAnsi"/>
                <w:sz w:val="20"/>
                <w:szCs w:val="20"/>
              </w:rPr>
            </w:pPr>
            <w:r w:rsidRPr="00082BB3">
              <w:rPr>
                <w:sz w:val="20"/>
                <w:szCs w:val="20"/>
              </w:rPr>
              <w:t>Gifts</w:t>
            </w:r>
          </w:p>
        </w:tc>
        <w:tc>
          <w:tcPr>
            <w:tcW w:w="1794" w:type="dxa"/>
            <w:tcBorders>
              <w:top w:val="nil"/>
              <w:left w:val="nil"/>
              <w:bottom w:val="nil"/>
              <w:right w:val="nil"/>
            </w:tcBorders>
            <w:shd w:val="clear" w:color="000000" w:fill="FFFFFF"/>
            <w:hideMark/>
          </w:tcPr>
          <w:p w14:paraId="029BE180" w14:textId="3CFF8E2B" w:rsidR="003E5542" w:rsidRPr="003E5542" w:rsidRDefault="003E5542" w:rsidP="003E5542">
            <w:pPr>
              <w:rPr>
                <w:rFonts w:eastAsia="Times New Roman" w:cstheme="minorHAnsi"/>
                <w:sz w:val="20"/>
                <w:szCs w:val="20"/>
              </w:rPr>
            </w:pPr>
            <w:r w:rsidRPr="00082BB3">
              <w:rPr>
                <w:sz w:val="20"/>
                <w:szCs w:val="20"/>
              </w:rPr>
              <w:t>Complete</w:t>
            </w:r>
          </w:p>
        </w:tc>
        <w:tc>
          <w:tcPr>
            <w:tcW w:w="1086" w:type="dxa"/>
            <w:tcBorders>
              <w:top w:val="nil"/>
              <w:left w:val="nil"/>
              <w:bottom w:val="nil"/>
              <w:right w:val="nil"/>
            </w:tcBorders>
            <w:shd w:val="clear" w:color="000000" w:fill="FFFFFF"/>
            <w:noWrap/>
            <w:hideMark/>
          </w:tcPr>
          <w:p w14:paraId="31269B61" w14:textId="359D04B7" w:rsidR="003E5542" w:rsidRPr="003E5542" w:rsidRDefault="003E5542" w:rsidP="003E5542">
            <w:pPr>
              <w:jc w:val="right"/>
              <w:rPr>
                <w:rFonts w:eastAsia="Times New Roman" w:cstheme="minorHAnsi"/>
                <w:sz w:val="20"/>
                <w:szCs w:val="20"/>
              </w:rPr>
            </w:pPr>
            <w:r w:rsidRPr="00082BB3">
              <w:rPr>
                <w:sz w:val="20"/>
                <w:szCs w:val="20"/>
              </w:rPr>
              <w:t xml:space="preserve"> 0.98 </w:t>
            </w:r>
          </w:p>
        </w:tc>
      </w:tr>
      <w:tr w:rsidR="003E5542" w:rsidRPr="00B00959" w14:paraId="08A3ED88" w14:textId="77777777" w:rsidTr="008B69B9">
        <w:trPr>
          <w:trHeight w:val="95"/>
          <w:jc w:val="center"/>
        </w:trPr>
        <w:tc>
          <w:tcPr>
            <w:tcW w:w="5690" w:type="dxa"/>
            <w:tcBorders>
              <w:top w:val="nil"/>
              <w:left w:val="nil"/>
              <w:bottom w:val="nil"/>
              <w:right w:val="nil"/>
            </w:tcBorders>
            <w:shd w:val="clear" w:color="000000" w:fill="FFFFFF"/>
            <w:hideMark/>
          </w:tcPr>
          <w:p w14:paraId="41D82D6A" w14:textId="79E291C7" w:rsidR="003E5542" w:rsidRPr="003E5542" w:rsidRDefault="003E5542" w:rsidP="003E5542">
            <w:pPr>
              <w:ind w:left="-15" w:firstLineChars="100" w:firstLine="200"/>
              <w:rPr>
                <w:rFonts w:eastAsia="Times New Roman" w:cstheme="minorHAnsi"/>
                <w:sz w:val="20"/>
                <w:szCs w:val="20"/>
              </w:rPr>
            </w:pPr>
            <w:r w:rsidRPr="00082BB3">
              <w:rPr>
                <w:sz w:val="20"/>
                <w:szCs w:val="20"/>
              </w:rPr>
              <w:t>•Academy Building Renovation</w:t>
            </w:r>
          </w:p>
        </w:tc>
        <w:tc>
          <w:tcPr>
            <w:tcW w:w="4570" w:type="dxa"/>
            <w:tcBorders>
              <w:top w:val="nil"/>
              <w:left w:val="nil"/>
              <w:bottom w:val="nil"/>
              <w:right w:val="nil"/>
            </w:tcBorders>
            <w:shd w:val="clear" w:color="000000" w:fill="FFFFFF"/>
            <w:hideMark/>
          </w:tcPr>
          <w:p w14:paraId="1D53150D" w14:textId="6FD9BA0C" w:rsidR="003E5542" w:rsidRPr="003E5542" w:rsidRDefault="003E5542" w:rsidP="003E5542">
            <w:pPr>
              <w:rPr>
                <w:rFonts w:eastAsia="Times New Roman" w:cstheme="minorHAnsi"/>
                <w:sz w:val="20"/>
                <w:szCs w:val="20"/>
              </w:rPr>
            </w:pPr>
            <w:r w:rsidRPr="00082BB3">
              <w:rPr>
                <w:sz w:val="20"/>
                <w:szCs w:val="20"/>
              </w:rPr>
              <w:t>Education &amp; General</w:t>
            </w:r>
          </w:p>
        </w:tc>
        <w:tc>
          <w:tcPr>
            <w:tcW w:w="1794" w:type="dxa"/>
            <w:tcBorders>
              <w:top w:val="nil"/>
              <w:left w:val="nil"/>
              <w:bottom w:val="nil"/>
              <w:right w:val="nil"/>
            </w:tcBorders>
            <w:shd w:val="clear" w:color="000000" w:fill="FFFFFF"/>
            <w:hideMark/>
          </w:tcPr>
          <w:p w14:paraId="175B4986" w14:textId="3C6A7151" w:rsidR="003E5542" w:rsidRPr="003E5542" w:rsidRDefault="003E5542" w:rsidP="003E5542">
            <w:pPr>
              <w:rPr>
                <w:rFonts w:eastAsia="Times New Roman" w:cstheme="minorHAnsi"/>
                <w:sz w:val="20"/>
                <w:szCs w:val="20"/>
              </w:rPr>
            </w:pPr>
            <w:r w:rsidRPr="00082BB3">
              <w:rPr>
                <w:sz w:val="20"/>
                <w:szCs w:val="20"/>
              </w:rPr>
              <w:t>In Progress</w:t>
            </w:r>
          </w:p>
        </w:tc>
        <w:tc>
          <w:tcPr>
            <w:tcW w:w="1086" w:type="dxa"/>
            <w:tcBorders>
              <w:top w:val="nil"/>
              <w:left w:val="nil"/>
              <w:bottom w:val="nil"/>
              <w:right w:val="nil"/>
            </w:tcBorders>
            <w:shd w:val="clear" w:color="000000" w:fill="FFFFFF"/>
            <w:noWrap/>
            <w:hideMark/>
          </w:tcPr>
          <w:p w14:paraId="24205D31" w14:textId="5F4BD672" w:rsidR="003E5542" w:rsidRPr="003E5542" w:rsidRDefault="003E5542" w:rsidP="003E5542">
            <w:pPr>
              <w:jc w:val="right"/>
              <w:rPr>
                <w:rFonts w:eastAsia="Times New Roman" w:cstheme="minorHAnsi"/>
                <w:sz w:val="20"/>
                <w:szCs w:val="20"/>
              </w:rPr>
            </w:pPr>
            <w:r w:rsidRPr="00082BB3">
              <w:rPr>
                <w:sz w:val="20"/>
                <w:szCs w:val="20"/>
              </w:rPr>
              <w:t xml:space="preserve"> 1.30 </w:t>
            </w:r>
          </w:p>
        </w:tc>
      </w:tr>
      <w:tr w:rsidR="003E5542" w:rsidRPr="00B00959" w14:paraId="4ACBBDB5" w14:textId="77777777" w:rsidTr="008B69B9">
        <w:trPr>
          <w:trHeight w:val="95"/>
          <w:jc w:val="center"/>
        </w:trPr>
        <w:tc>
          <w:tcPr>
            <w:tcW w:w="5690" w:type="dxa"/>
            <w:tcBorders>
              <w:top w:val="nil"/>
              <w:left w:val="nil"/>
              <w:bottom w:val="nil"/>
              <w:right w:val="nil"/>
            </w:tcBorders>
            <w:shd w:val="clear" w:color="000000" w:fill="FFFFFF"/>
            <w:hideMark/>
          </w:tcPr>
          <w:p w14:paraId="13DC2DE3" w14:textId="4E86BE42" w:rsidR="003E5542" w:rsidRPr="003E5542" w:rsidRDefault="003E5542" w:rsidP="003E5542">
            <w:pPr>
              <w:ind w:left="-15" w:firstLineChars="100" w:firstLine="200"/>
              <w:rPr>
                <w:rFonts w:eastAsia="Times New Roman" w:cstheme="minorHAnsi"/>
                <w:sz w:val="20"/>
                <w:szCs w:val="20"/>
              </w:rPr>
            </w:pPr>
            <w:r w:rsidRPr="00082BB3">
              <w:rPr>
                <w:sz w:val="20"/>
                <w:szCs w:val="20"/>
              </w:rPr>
              <w:t>•Brooks Esports Arena</w:t>
            </w:r>
          </w:p>
        </w:tc>
        <w:tc>
          <w:tcPr>
            <w:tcW w:w="4570" w:type="dxa"/>
            <w:tcBorders>
              <w:top w:val="nil"/>
              <w:left w:val="nil"/>
              <w:bottom w:val="nil"/>
              <w:right w:val="nil"/>
            </w:tcBorders>
            <w:shd w:val="clear" w:color="000000" w:fill="FFFFFF"/>
            <w:hideMark/>
          </w:tcPr>
          <w:p w14:paraId="00D908C7" w14:textId="2B7C18FA" w:rsidR="003E5542" w:rsidRPr="003E5542" w:rsidRDefault="003E5542" w:rsidP="003E5542">
            <w:pPr>
              <w:rPr>
                <w:rFonts w:eastAsia="Times New Roman" w:cstheme="minorHAnsi"/>
                <w:sz w:val="20"/>
                <w:szCs w:val="20"/>
              </w:rPr>
            </w:pPr>
            <w:r w:rsidRPr="00082BB3">
              <w:rPr>
                <w:sz w:val="20"/>
                <w:szCs w:val="20"/>
              </w:rPr>
              <w:t>Educational &amp; General, Internal Loan, Gifts</w:t>
            </w:r>
          </w:p>
        </w:tc>
        <w:tc>
          <w:tcPr>
            <w:tcW w:w="1794" w:type="dxa"/>
            <w:tcBorders>
              <w:top w:val="nil"/>
              <w:left w:val="nil"/>
              <w:bottom w:val="nil"/>
              <w:right w:val="nil"/>
            </w:tcBorders>
            <w:shd w:val="clear" w:color="000000" w:fill="FFFFFF"/>
            <w:hideMark/>
          </w:tcPr>
          <w:p w14:paraId="21326D52" w14:textId="5EDDFEB7" w:rsidR="003E5542" w:rsidRPr="003E5542" w:rsidRDefault="003E5542" w:rsidP="003E5542">
            <w:pPr>
              <w:rPr>
                <w:rFonts w:eastAsia="Times New Roman" w:cstheme="minorHAnsi"/>
                <w:sz w:val="20"/>
                <w:szCs w:val="20"/>
              </w:rPr>
            </w:pPr>
            <w:r w:rsidRPr="00082BB3">
              <w:rPr>
                <w:sz w:val="20"/>
                <w:szCs w:val="20"/>
              </w:rPr>
              <w:t>In Progress</w:t>
            </w:r>
          </w:p>
        </w:tc>
        <w:tc>
          <w:tcPr>
            <w:tcW w:w="1086" w:type="dxa"/>
            <w:tcBorders>
              <w:top w:val="nil"/>
              <w:left w:val="nil"/>
              <w:bottom w:val="nil"/>
              <w:right w:val="nil"/>
            </w:tcBorders>
            <w:shd w:val="clear" w:color="000000" w:fill="FFFFFF"/>
            <w:noWrap/>
            <w:hideMark/>
          </w:tcPr>
          <w:p w14:paraId="2698B104" w14:textId="48A9978E" w:rsidR="003E5542" w:rsidRPr="003E5542" w:rsidRDefault="003E5542" w:rsidP="003E5542">
            <w:pPr>
              <w:jc w:val="right"/>
              <w:rPr>
                <w:rFonts w:eastAsia="Times New Roman" w:cstheme="minorHAnsi"/>
                <w:sz w:val="20"/>
                <w:szCs w:val="20"/>
              </w:rPr>
            </w:pPr>
            <w:r w:rsidRPr="00082BB3">
              <w:rPr>
                <w:sz w:val="20"/>
                <w:szCs w:val="20"/>
              </w:rPr>
              <w:t xml:space="preserve"> 1.60 </w:t>
            </w:r>
          </w:p>
        </w:tc>
      </w:tr>
      <w:tr w:rsidR="003E5542" w:rsidRPr="00B00959" w14:paraId="77BFE210" w14:textId="77777777" w:rsidTr="008B69B9">
        <w:trPr>
          <w:trHeight w:val="95"/>
          <w:jc w:val="center"/>
        </w:trPr>
        <w:tc>
          <w:tcPr>
            <w:tcW w:w="5690" w:type="dxa"/>
            <w:tcBorders>
              <w:top w:val="nil"/>
              <w:left w:val="nil"/>
              <w:bottom w:val="nil"/>
              <w:right w:val="nil"/>
            </w:tcBorders>
            <w:shd w:val="clear" w:color="000000" w:fill="FFFFFF"/>
            <w:hideMark/>
          </w:tcPr>
          <w:p w14:paraId="0539A362" w14:textId="1BA0C306" w:rsidR="003E5542" w:rsidRPr="003E5542" w:rsidRDefault="003E5542" w:rsidP="003E5542">
            <w:pPr>
              <w:ind w:left="-15" w:firstLineChars="100" w:firstLine="200"/>
              <w:rPr>
                <w:rFonts w:eastAsia="Times New Roman" w:cstheme="minorHAnsi"/>
                <w:sz w:val="20"/>
                <w:szCs w:val="20"/>
              </w:rPr>
            </w:pPr>
            <w:r w:rsidRPr="00082BB3">
              <w:rPr>
                <w:sz w:val="20"/>
                <w:szCs w:val="20"/>
              </w:rPr>
              <w:t>•Bailey Hall Bathrooms</w:t>
            </w:r>
          </w:p>
        </w:tc>
        <w:tc>
          <w:tcPr>
            <w:tcW w:w="4570" w:type="dxa"/>
            <w:tcBorders>
              <w:top w:val="nil"/>
              <w:left w:val="nil"/>
              <w:bottom w:val="nil"/>
              <w:right w:val="nil"/>
            </w:tcBorders>
            <w:shd w:val="clear" w:color="000000" w:fill="FFFFFF"/>
            <w:hideMark/>
          </w:tcPr>
          <w:p w14:paraId="0F3DA180" w14:textId="1D0B77D9" w:rsidR="003E5542" w:rsidRPr="003E5542" w:rsidRDefault="003E5542" w:rsidP="003E5542">
            <w:pPr>
              <w:rPr>
                <w:rFonts w:eastAsia="Times New Roman" w:cstheme="minorHAnsi"/>
                <w:sz w:val="20"/>
                <w:szCs w:val="20"/>
              </w:rPr>
            </w:pPr>
            <w:r w:rsidRPr="00082BB3">
              <w:rPr>
                <w:sz w:val="20"/>
                <w:szCs w:val="20"/>
              </w:rPr>
              <w:t>Educational &amp; General</w:t>
            </w:r>
          </w:p>
        </w:tc>
        <w:tc>
          <w:tcPr>
            <w:tcW w:w="1794" w:type="dxa"/>
            <w:tcBorders>
              <w:top w:val="nil"/>
              <w:left w:val="nil"/>
              <w:bottom w:val="nil"/>
              <w:right w:val="nil"/>
            </w:tcBorders>
            <w:shd w:val="clear" w:color="000000" w:fill="FFFFFF"/>
            <w:hideMark/>
          </w:tcPr>
          <w:p w14:paraId="4A695622" w14:textId="2D0EBA8E" w:rsidR="003E5542" w:rsidRPr="003E5542" w:rsidRDefault="003E5542" w:rsidP="003E5542">
            <w:pPr>
              <w:rPr>
                <w:rFonts w:eastAsia="Times New Roman" w:cstheme="minorHAnsi"/>
                <w:sz w:val="20"/>
                <w:szCs w:val="20"/>
              </w:rPr>
            </w:pPr>
            <w:r w:rsidRPr="00082BB3">
              <w:rPr>
                <w:sz w:val="20"/>
                <w:szCs w:val="20"/>
              </w:rPr>
              <w:t>In Progress</w:t>
            </w:r>
          </w:p>
        </w:tc>
        <w:tc>
          <w:tcPr>
            <w:tcW w:w="1086" w:type="dxa"/>
            <w:tcBorders>
              <w:top w:val="nil"/>
              <w:left w:val="nil"/>
              <w:bottom w:val="nil"/>
              <w:right w:val="nil"/>
            </w:tcBorders>
            <w:shd w:val="clear" w:color="000000" w:fill="FFFFFF"/>
            <w:noWrap/>
            <w:hideMark/>
          </w:tcPr>
          <w:p w14:paraId="461A3DC1" w14:textId="4DFC11E1" w:rsidR="003E5542" w:rsidRPr="003E5542" w:rsidRDefault="003E5542" w:rsidP="003E5542">
            <w:pPr>
              <w:jc w:val="right"/>
              <w:rPr>
                <w:rFonts w:eastAsia="Times New Roman" w:cstheme="minorHAnsi"/>
                <w:sz w:val="20"/>
                <w:szCs w:val="20"/>
              </w:rPr>
            </w:pPr>
            <w:r w:rsidRPr="00082BB3">
              <w:rPr>
                <w:sz w:val="20"/>
                <w:szCs w:val="20"/>
              </w:rPr>
              <w:t xml:space="preserve"> 0.73 </w:t>
            </w:r>
          </w:p>
        </w:tc>
      </w:tr>
      <w:tr w:rsidR="003E5542" w:rsidRPr="00B00959" w14:paraId="6D430964" w14:textId="77777777" w:rsidTr="008B69B9">
        <w:trPr>
          <w:trHeight w:val="95"/>
          <w:jc w:val="center"/>
        </w:trPr>
        <w:tc>
          <w:tcPr>
            <w:tcW w:w="5690" w:type="dxa"/>
            <w:tcBorders>
              <w:top w:val="nil"/>
              <w:left w:val="nil"/>
              <w:bottom w:val="nil"/>
              <w:right w:val="nil"/>
            </w:tcBorders>
            <w:shd w:val="clear" w:color="000000" w:fill="FFFFFF"/>
            <w:hideMark/>
          </w:tcPr>
          <w:p w14:paraId="17506E8F" w14:textId="76FB6EA1" w:rsidR="003E5542" w:rsidRPr="003E5542" w:rsidRDefault="003E5542" w:rsidP="003E5542">
            <w:pPr>
              <w:ind w:left="-15" w:firstLineChars="100" w:firstLine="200"/>
              <w:rPr>
                <w:rFonts w:eastAsia="Times New Roman" w:cstheme="minorHAnsi"/>
                <w:sz w:val="20"/>
                <w:szCs w:val="20"/>
              </w:rPr>
            </w:pPr>
            <w:r w:rsidRPr="00082BB3">
              <w:rPr>
                <w:sz w:val="20"/>
                <w:szCs w:val="20"/>
              </w:rPr>
              <w:t>•Luther Bonney Bathrooms</w:t>
            </w:r>
          </w:p>
        </w:tc>
        <w:tc>
          <w:tcPr>
            <w:tcW w:w="4570" w:type="dxa"/>
            <w:tcBorders>
              <w:top w:val="nil"/>
              <w:left w:val="nil"/>
              <w:bottom w:val="nil"/>
              <w:right w:val="nil"/>
            </w:tcBorders>
            <w:shd w:val="clear" w:color="000000" w:fill="FFFFFF"/>
            <w:hideMark/>
          </w:tcPr>
          <w:p w14:paraId="03AE2969" w14:textId="776E9222" w:rsidR="003E5542" w:rsidRPr="003E5542" w:rsidRDefault="003E5542" w:rsidP="003E5542">
            <w:pPr>
              <w:rPr>
                <w:rFonts w:eastAsia="Times New Roman" w:cstheme="minorHAnsi"/>
                <w:sz w:val="20"/>
                <w:szCs w:val="20"/>
              </w:rPr>
            </w:pPr>
            <w:r w:rsidRPr="00082BB3">
              <w:rPr>
                <w:sz w:val="20"/>
                <w:szCs w:val="20"/>
              </w:rPr>
              <w:t>Educational &amp; General</w:t>
            </w:r>
          </w:p>
        </w:tc>
        <w:tc>
          <w:tcPr>
            <w:tcW w:w="1794" w:type="dxa"/>
            <w:tcBorders>
              <w:top w:val="nil"/>
              <w:left w:val="nil"/>
              <w:bottom w:val="nil"/>
              <w:right w:val="nil"/>
            </w:tcBorders>
            <w:shd w:val="clear" w:color="000000" w:fill="FFFFFF"/>
            <w:hideMark/>
          </w:tcPr>
          <w:p w14:paraId="4B77633B" w14:textId="088DA285" w:rsidR="003E5542" w:rsidRPr="003E5542" w:rsidRDefault="003E5542" w:rsidP="003E5542">
            <w:pPr>
              <w:rPr>
                <w:rFonts w:eastAsia="Times New Roman" w:cstheme="minorHAnsi"/>
                <w:sz w:val="20"/>
                <w:szCs w:val="20"/>
              </w:rPr>
            </w:pPr>
            <w:r w:rsidRPr="00082BB3">
              <w:rPr>
                <w:sz w:val="20"/>
                <w:szCs w:val="20"/>
              </w:rPr>
              <w:t>In Progress</w:t>
            </w:r>
          </w:p>
        </w:tc>
        <w:tc>
          <w:tcPr>
            <w:tcW w:w="1086" w:type="dxa"/>
            <w:tcBorders>
              <w:top w:val="nil"/>
              <w:left w:val="nil"/>
              <w:bottom w:val="nil"/>
              <w:right w:val="nil"/>
            </w:tcBorders>
            <w:shd w:val="clear" w:color="000000" w:fill="FFFFFF"/>
            <w:noWrap/>
            <w:hideMark/>
          </w:tcPr>
          <w:p w14:paraId="3E26B037" w14:textId="7F5FDA5A" w:rsidR="003E5542" w:rsidRPr="003E5542" w:rsidRDefault="003E5542" w:rsidP="003E5542">
            <w:pPr>
              <w:jc w:val="right"/>
              <w:rPr>
                <w:rFonts w:eastAsia="Times New Roman" w:cstheme="minorHAnsi"/>
                <w:sz w:val="20"/>
                <w:szCs w:val="20"/>
              </w:rPr>
            </w:pPr>
            <w:r w:rsidRPr="00082BB3">
              <w:rPr>
                <w:sz w:val="20"/>
                <w:szCs w:val="20"/>
              </w:rPr>
              <w:t xml:space="preserve"> 0.70 </w:t>
            </w:r>
          </w:p>
        </w:tc>
      </w:tr>
      <w:tr w:rsidR="003E5542" w:rsidRPr="00B00959" w14:paraId="4D5DA6A2" w14:textId="77777777" w:rsidTr="008B69B9">
        <w:trPr>
          <w:trHeight w:val="95"/>
          <w:jc w:val="center"/>
        </w:trPr>
        <w:tc>
          <w:tcPr>
            <w:tcW w:w="5690" w:type="dxa"/>
            <w:tcBorders>
              <w:top w:val="nil"/>
              <w:left w:val="nil"/>
              <w:bottom w:val="nil"/>
              <w:right w:val="nil"/>
            </w:tcBorders>
            <w:shd w:val="clear" w:color="000000" w:fill="FFFFFF"/>
          </w:tcPr>
          <w:p w14:paraId="625B2FF3" w14:textId="2F802418" w:rsidR="003E5542" w:rsidRPr="003E5542" w:rsidRDefault="003E5542" w:rsidP="003E5542">
            <w:pPr>
              <w:ind w:left="-15" w:firstLineChars="100" w:firstLine="200"/>
              <w:rPr>
                <w:rFonts w:ascii="Calibri" w:hAnsi="Calibri" w:cs="Calibri"/>
                <w:sz w:val="20"/>
                <w:szCs w:val="20"/>
              </w:rPr>
            </w:pPr>
            <w:r w:rsidRPr="00082BB3">
              <w:rPr>
                <w:sz w:val="20"/>
                <w:szCs w:val="20"/>
              </w:rPr>
              <w:lastRenderedPageBreak/>
              <w:t>•Art Building</w:t>
            </w:r>
          </w:p>
        </w:tc>
        <w:tc>
          <w:tcPr>
            <w:tcW w:w="4570" w:type="dxa"/>
            <w:tcBorders>
              <w:top w:val="nil"/>
              <w:left w:val="nil"/>
              <w:bottom w:val="nil"/>
              <w:right w:val="nil"/>
            </w:tcBorders>
            <w:shd w:val="clear" w:color="000000" w:fill="FFFFFF"/>
          </w:tcPr>
          <w:p w14:paraId="5F4B717D" w14:textId="6E193538" w:rsidR="003E5542" w:rsidRPr="003E5542" w:rsidRDefault="003E5542" w:rsidP="003E5542">
            <w:pPr>
              <w:rPr>
                <w:rFonts w:ascii="Calibri" w:hAnsi="Calibri" w:cs="Calibri"/>
                <w:sz w:val="20"/>
                <w:szCs w:val="20"/>
              </w:rPr>
            </w:pPr>
            <w:r w:rsidRPr="00082BB3">
              <w:rPr>
                <w:sz w:val="20"/>
                <w:szCs w:val="20"/>
              </w:rPr>
              <w:t>Educational &amp; General</w:t>
            </w:r>
          </w:p>
        </w:tc>
        <w:tc>
          <w:tcPr>
            <w:tcW w:w="1794" w:type="dxa"/>
            <w:tcBorders>
              <w:top w:val="nil"/>
              <w:left w:val="nil"/>
              <w:bottom w:val="nil"/>
              <w:right w:val="nil"/>
            </w:tcBorders>
            <w:shd w:val="clear" w:color="000000" w:fill="FFFFFF"/>
          </w:tcPr>
          <w:p w14:paraId="6C4DBE0C" w14:textId="765D1C3B" w:rsidR="003E5542" w:rsidRPr="003E5542" w:rsidRDefault="003E5542" w:rsidP="003E5542">
            <w:pPr>
              <w:rPr>
                <w:rFonts w:ascii="Calibri" w:hAnsi="Calibri" w:cs="Calibri"/>
                <w:sz w:val="20"/>
                <w:szCs w:val="20"/>
              </w:rPr>
            </w:pPr>
            <w:r w:rsidRPr="00082BB3">
              <w:rPr>
                <w:sz w:val="20"/>
                <w:szCs w:val="20"/>
              </w:rPr>
              <w:t>In Progress</w:t>
            </w:r>
          </w:p>
        </w:tc>
        <w:tc>
          <w:tcPr>
            <w:tcW w:w="1086" w:type="dxa"/>
            <w:tcBorders>
              <w:top w:val="nil"/>
              <w:left w:val="nil"/>
              <w:bottom w:val="nil"/>
              <w:right w:val="nil"/>
            </w:tcBorders>
            <w:shd w:val="clear" w:color="000000" w:fill="FFFFFF"/>
            <w:noWrap/>
          </w:tcPr>
          <w:p w14:paraId="7D80B2F0" w14:textId="6A977D40" w:rsidR="003E5542" w:rsidRPr="003E5542" w:rsidRDefault="003E5542" w:rsidP="0074160F">
            <w:pPr>
              <w:tabs>
                <w:tab w:val="left" w:pos="170"/>
              </w:tabs>
              <w:jc w:val="right"/>
              <w:rPr>
                <w:rFonts w:ascii="Calibri" w:hAnsi="Calibri" w:cs="Calibri"/>
                <w:sz w:val="20"/>
                <w:szCs w:val="20"/>
              </w:rPr>
            </w:pPr>
            <w:r w:rsidRPr="00082BB3">
              <w:rPr>
                <w:sz w:val="20"/>
                <w:szCs w:val="20"/>
              </w:rPr>
              <w:t xml:space="preserve"> </w:t>
            </w:r>
            <w:r w:rsidR="0074160F">
              <w:rPr>
                <w:sz w:val="20"/>
                <w:szCs w:val="20"/>
              </w:rPr>
              <w:t xml:space="preserve">$     </w:t>
            </w:r>
            <w:r w:rsidRPr="00082BB3">
              <w:rPr>
                <w:sz w:val="20"/>
                <w:szCs w:val="20"/>
              </w:rPr>
              <w:t xml:space="preserve">2.00 </w:t>
            </w:r>
          </w:p>
        </w:tc>
      </w:tr>
      <w:tr w:rsidR="003E5542" w:rsidRPr="00B00959" w14:paraId="74D401D0" w14:textId="77777777" w:rsidTr="008B69B9">
        <w:trPr>
          <w:trHeight w:val="95"/>
          <w:jc w:val="center"/>
        </w:trPr>
        <w:tc>
          <w:tcPr>
            <w:tcW w:w="5690" w:type="dxa"/>
            <w:tcBorders>
              <w:top w:val="nil"/>
              <w:left w:val="nil"/>
              <w:bottom w:val="nil"/>
              <w:right w:val="nil"/>
            </w:tcBorders>
            <w:shd w:val="clear" w:color="000000" w:fill="FFFFFF"/>
          </w:tcPr>
          <w:p w14:paraId="3254A194" w14:textId="5F0B96AC" w:rsidR="003E5542" w:rsidRPr="003E5542" w:rsidRDefault="003E5542" w:rsidP="003E5542">
            <w:pPr>
              <w:ind w:left="-15" w:firstLineChars="100" w:firstLine="200"/>
              <w:rPr>
                <w:rFonts w:ascii="Calibri" w:hAnsi="Calibri" w:cs="Calibri"/>
                <w:sz w:val="20"/>
                <w:szCs w:val="20"/>
              </w:rPr>
            </w:pPr>
            <w:r w:rsidRPr="00082BB3">
              <w:rPr>
                <w:sz w:val="20"/>
                <w:szCs w:val="20"/>
              </w:rPr>
              <w:t>•Parking Garage Maint</w:t>
            </w:r>
            <w:r w:rsidR="005D60F2">
              <w:rPr>
                <w:sz w:val="20"/>
                <w:szCs w:val="20"/>
              </w:rPr>
              <w:t>enance</w:t>
            </w:r>
          </w:p>
        </w:tc>
        <w:tc>
          <w:tcPr>
            <w:tcW w:w="4570" w:type="dxa"/>
            <w:tcBorders>
              <w:top w:val="nil"/>
              <w:left w:val="nil"/>
              <w:bottom w:val="nil"/>
              <w:right w:val="nil"/>
            </w:tcBorders>
            <w:shd w:val="clear" w:color="000000" w:fill="FFFFFF"/>
          </w:tcPr>
          <w:p w14:paraId="73C7759E" w14:textId="76B331EE" w:rsidR="003E5542" w:rsidRPr="003E5542" w:rsidRDefault="003E5542" w:rsidP="003E5542">
            <w:pPr>
              <w:rPr>
                <w:rFonts w:ascii="Calibri" w:hAnsi="Calibri" w:cs="Calibri"/>
                <w:sz w:val="20"/>
                <w:szCs w:val="20"/>
              </w:rPr>
            </w:pPr>
            <w:r w:rsidRPr="00082BB3">
              <w:rPr>
                <w:sz w:val="20"/>
                <w:szCs w:val="20"/>
              </w:rPr>
              <w:t>Educational &amp; General</w:t>
            </w:r>
          </w:p>
        </w:tc>
        <w:tc>
          <w:tcPr>
            <w:tcW w:w="1794" w:type="dxa"/>
            <w:tcBorders>
              <w:top w:val="nil"/>
              <w:left w:val="nil"/>
              <w:bottom w:val="nil"/>
              <w:right w:val="nil"/>
            </w:tcBorders>
            <w:shd w:val="clear" w:color="000000" w:fill="FFFFFF"/>
          </w:tcPr>
          <w:p w14:paraId="45F819D8" w14:textId="470E034A" w:rsidR="003E5542" w:rsidRPr="003E5542" w:rsidRDefault="003E5542" w:rsidP="003E5542">
            <w:pPr>
              <w:rPr>
                <w:rFonts w:ascii="Calibri" w:hAnsi="Calibri" w:cs="Calibri"/>
                <w:sz w:val="20"/>
                <w:szCs w:val="20"/>
              </w:rPr>
            </w:pPr>
            <w:r w:rsidRPr="00082BB3">
              <w:rPr>
                <w:sz w:val="20"/>
                <w:szCs w:val="20"/>
              </w:rPr>
              <w:t>In Progress</w:t>
            </w:r>
          </w:p>
        </w:tc>
        <w:tc>
          <w:tcPr>
            <w:tcW w:w="1086" w:type="dxa"/>
            <w:tcBorders>
              <w:top w:val="nil"/>
              <w:left w:val="nil"/>
              <w:bottom w:val="nil"/>
              <w:right w:val="nil"/>
            </w:tcBorders>
            <w:shd w:val="clear" w:color="000000" w:fill="FFFFFF"/>
            <w:noWrap/>
          </w:tcPr>
          <w:p w14:paraId="5A045F97" w14:textId="2BCB29D7" w:rsidR="003E5542" w:rsidRPr="003E5542" w:rsidRDefault="003E5542" w:rsidP="003E5542">
            <w:pPr>
              <w:jc w:val="right"/>
              <w:rPr>
                <w:rFonts w:ascii="Calibri" w:hAnsi="Calibri" w:cs="Calibri"/>
                <w:sz w:val="20"/>
                <w:szCs w:val="20"/>
              </w:rPr>
            </w:pPr>
            <w:r w:rsidRPr="00082BB3">
              <w:rPr>
                <w:sz w:val="20"/>
                <w:szCs w:val="20"/>
              </w:rPr>
              <w:t xml:space="preserve"> 0.85 </w:t>
            </w:r>
          </w:p>
        </w:tc>
      </w:tr>
      <w:tr w:rsidR="003E5542" w:rsidRPr="00B00959" w14:paraId="4C5D0620" w14:textId="77777777" w:rsidTr="008B69B9">
        <w:trPr>
          <w:trHeight w:val="95"/>
          <w:jc w:val="center"/>
        </w:trPr>
        <w:tc>
          <w:tcPr>
            <w:tcW w:w="5690" w:type="dxa"/>
            <w:tcBorders>
              <w:top w:val="nil"/>
              <w:left w:val="nil"/>
              <w:bottom w:val="nil"/>
              <w:right w:val="nil"/>
            </w:tcBorders>
            <w:shd w:val="clear" w:color="000000" w:fill="FFFFFF"/>
          </w:tcPr>
          <w:p w14:paraId="05F68848" w14:textId="204D8708" w:rsidR="003E5542" w:rsidRPr="003E5542" w:rsidRDefault="003E5542" w:rsidP="003E5542">
            <w:pPr>
              <w:ind w:left="-15" w:firstLineChars="100" w:firstLine="200"/>
              <w:rPr>
                <w:rFonts w:ascii="Calibri" w:hAnsi="Calibri" w:cs="Calibri"/>
                <w:sz w:val="20"/>
                <w:szCs w:val="20"/>
              </w:rPr>
            </w:pPr>
            <w:r w:rsidRPr="00082BB3">
              <w:rPr>
                <w:sz w:val="20"/>
                <w:szCs w:val="20"/>
              </w:rPr>
              <w:t>•Russell Hall Renovations</w:t>
            </w:r>
          </w:p>
        </w:tc>
        <w:tc>
          <w:tcPr>
            <w:tcW w:w="4570" w:type="dxa"/>
            <w:tcBorders>
              <w:top w:val="nil"/>
              <w:left w:val="nil"/>
              <w:bottom w:val="nil"/>
              <w:right w:val="nil"/>
            </w:tcBorders>
            <w:shd w:val="clear" w:color="000000" w:fill="FFFFFF"/>
          </w:tcPr>
          <w:p w14:paraId="5DD6DF1D" w14:textId="621076F6" w:rsidR="003E5542" w:rsidRPr="003E5542" w:rsidRDefault="003E5542" w:rsidP="003E5542">
            <w:pPr>
              <w:rPr>
                <w:rFonts w:ascii="Calibri" w:hAnsi="Calibri" w:cs="Calibri"/>
                <w:sz w:val="20"/>
                <w:szCs w:val="20"/>
              </w:rPr>
            </w:pPr>
            <w:r w:rsidRPr="00082BB3">
              <w:rPr>
                <w:sz w:val="20"/>
                <w:szCs w:val="20"/>
              </w:rPr>
              <w:t>Educational &amp; General</w:t>
            </w:r>
          </w:p>
        </w:tc>
        <w:tc>
          <w:tcPr>
            <w:tcW w:w="1794" w:type="dxa"/>
            <w:tcBorders>
              <w:top w:val="nil"/>
              <w:left w:val="nil"/>
              <w:bottom w:val="nil"/>
              <w:right w:val="nil"/>
            </w:tcBorders>
            <w:shd w:val="clear" w:color="000000" w:fill="FFFFFF"/>
          </w:tcPr>
          <w:p w14:paraId="173A34C7" w14:textId="32AFCE0D" w:rsidR="003E5542" w:rsidRPr="003E5542" w:rsidRDefault="003E5542" w:rsidP="003E5542">
            <w:pPr>
              <w:rPr>
                <w:rFonts w:ascii="Calibri" w:hAnsi="Calibri" w:cs="Calibri"/>
                <w:sz w:val="20"/>
                <w:szCs w:val="20"/>
              </w:rPr>
            </w:pPr>
            <w:r w:rsidRPr="00082BB3">
              <w:rPr>
                <w:sz w:val="20"/>
                <w:szCs w:val="20"/>
              </w:rPr>
              <w:t>In Progress</w:t>
            </w:r>
          </w:p>
        </w:tc>
        <w:tc>
          <w:tcPr>
            <w:tcW w:w="1086" w:type="dxa"/>
            <w:tcBorders>
              <w:top w:val="nil"/>
              <w:left w:val="nil"/>
              <w:bottom w:val="nil"/>
              <w:right w:val="nil"/>
            </w:tcBorders>
            <w:shd w:val="clear" w:color="000000" w:fill="FFFFFF"/>
            <w:noWrap/>
          </w:tcPr>
          <w:p w14:paraId="2F077695" w14:textId="428CBD04" w:rsidR="003E5542" w:rsidRPr="003E5542" w:rsidRDefault="003E5542" w:rsidP="003E5542">
            <w:pPr>
              <w:jc w:val="right"/>
              <w:rPr>
                <w:rFonts w:ascii="Calibri" w:hAnsi="Calibri" w:cs="Calibri"/>
                <w:sz w:val="20"/>
                <w:szCs w:val="20"/>
              </w:rPr>
            </w:pPr>
            <w:r w:rsidRPr="00082BB3">
              <w:rPr>
                <w:sz w:val="20"/>
                <w:szCs w:val="20"/>
              </w:rPr>
              <w:t xml:space="preserve"> 0.97 </w:t>
            </w:r>
          </w:p>
        </w:tc>
      </w:tr>
      <w:tr w:rsidR="003E5542" w:rsidRPr="00B00959" w14:paraId="5379A7D4" w14:textId="77777777" w:rsidTr="008B69B9">
        <w:trPr>
          <w:trHeight w:val="95"/>
          <w:jc w:val="center"/>
        </w:trPr>
        <w:tc>
          <w:tcPr>
            <w:tcW w:w="5690" w:type="dxa"/>
            <w:tcBorders>
              <w:top w:val="nil"/>
              <w:left w:val="nil"/>
              <w:bottom w:val="nil"/>
              <w:right w:val="nil"/>
            </w:tcBorders>
            <w:shd w:val="clear" w:color="000000" w:fill="FFFFFF"/>
          </w:tcPr>
          <w:p w14:paraId="3A121AA7" w14:textId="6CF4F071" w:rsidR="003E5542" w:rsidRPr="003E5542" w:rsidRDefault="003E5542" w:rsidP="003E5542">
            <w:pPr>
              <w:ind w:left="-15" w:firstLineChars="100" w:firstLine="200"/>
              <w:rPr>
                <w:rFonts w:ascii="Calibri" w:hAnsi="Calibri" w:cs="Calibri"/>
                <w:sz w:val="20"/>
                <w:szCs w:val="20"/>
              </w:rPr>
            </w:pPr>
            <w:r w:rsidRPr="00082BB3">
              <w:rPr>
                <w:sz w:val="20"/>
                <w:szCs w:val="20"/>
              </w:rPr>
              <w:t>•Steinway Piano</w:t>
            </w:r>
            <w:r w:rsidR="000D0B13">
              <w:rPr>
                <w:sz w:val="20"/>
                <w:szCs w:val="20"/>
              </w:rPr>
              <w:t>s</w:t>
            </w:r>
          </w:p>
        </w:tc>
        <w:tc>
          <w:tcPr>
            <w:tcW w:w="4570" w:type="dxa"/>
            <w:tcBorders>
              <w:top w:val="nil"/>
              <w:left w:val="nil"/>
              <w:bottom w:val="nil"/>
              <w:right w:val="nil"/>
            </w:tcBorders>
            <w:shd w:val="clear" w:color="000000" w:fill="FFFFFF"/>
          </w:tcPr>
          <w:p w14:paraId="63954EE9" w14:textId="40FCE591" w:rsidR="003E5542" w:rsidRPr="003E5542" w:rsidRDefault="003E5542" w:rsidP="003E5542">
            <w:pPr>
              <w:rPr>
                <w:rFonts w:ascii="Calibri" w:hAnsi="Calibri" w:cs="Calibri"/>
                <w:sz w:val="20"/>
                <w:szCs w:val="20"/>
              </w:rPr>
            </w:pPr>
            <w:r w:rsidRPr="00082BB3">
              <w:rPr>
                <w:sz w:val="20"/>
                <w:szCs w:val="20"/>
              </w:rPr>
              <w:t>Educational &amp; General</w:t>
            </w:r>
          </w:p>
        </w:tc>
        <w:tc>
          <w:tcPr>
            <w:tcW w:w="1794" w:type="dxa"/>
            <w:tcBorders>
              <w:top w:val="nil"/>
              <w:left w:val="nil"/>
              <w:bottom w:val="nil"/>
              <w:right w:val="nil"/>
            </w:tcBorders>
            <w:shd w:val="clear" w:color="000000" w:fill="FFFFFF"/>
          </w:tcPr>
          <w:p w14:paraId="72012891" w14:textId="0CA031F7" w:rsidR="003E5542" w:rsidRPr="003E5542" w:rsidRDefault="003E5542" w:rsidP="003E5542">
            <w:pPr>
              <w:rPr>
                <w:rFonts w:ascii="Calibri" w:hAnsi="Calibri" w:cs="Calibri"/>
                <w:sz w:val="20"/>
                <w:szCs w:val="20"/>
              </w:rPr>
            </w:pPr>
            <w:r w:rsidRPr="00082BB3">
              <w:rPr>
                <w:sz w:val="20"/>
                <w:szCs w:val="20"/>
              </w:rPr>
              <w:t>In Progress</w:t>
            </w:r>
          </w:p>
        </w:tc>
        <w:tc>
          <w:tcPr>
            <w:tcW w:w="1086" w:type="dxa"/>
            <w:tcBorders>
              <w:top w:val="nil"/>
              <w:left w:val="nil"/>
              <w:bottom w:val="nil"/>
              <w:right w:val="nil"/>
            </w:tcBorders>
            <w:shd w:val="clear" w:color="000000" w:fill="FFFFFF"/>
            <w:noWrap/>
          </w:tcPr>
          <w:p w14:paraId="317E4068" w14:textId="0DC42829" w:rsidR="003E5542" w:rsidRPr="003E5542" w:rsidRDefault="003E5542" w:rsidP="003E5542">
            <w:pPr>
              <w:jc w:val="right"/>
              <w:rPr>
                <w:rFonts w:ascii="Calibri" w:hAnsi="Calibri" w:cs="Calibri"/>
                <w:sz w:val="20"/>
                <w:szCs w:val="20"/>
              </w:rPr>
            </w:pPr>
            <w:r w:rsidRPr="00082BB3">
              <w:rPr>
                <w:sz w:val="20"/>
                <w:szCs w:val="20"/>
              </w:rPr>
              <w:t xml:space="preserve"> 2.80 </w:t>
            </w:r>
          </w:p>
        </w:tc>
      </w:tr>
      <w:tr w:rsidR="004F1D1A" w:rsidRPr="00B00959" w14:paraId="549437A8" w14:textId="77777777" w:rsidTr="008B69B9">
        <w:trPr>
          <w:trHeight w:val="95"/>
          <w:jc w:val="center"/>
        </w:trPr>
        <w:tc>
          <w:tcPr>
            <w:tcW w:w="5690" w:type="dxa"/>
            <w:tcBorders>
              <w:top w:val="nil"/>
              <w:left w:val="nil"/>
              <w:bottom w:val="nil"/>
              <w:right w:val="nil"/>
            </w:tcBorders>
            <w:shd w:val="clear" w:color="000000" w:fill="FFFFFF"/>
            <w:noWrap/>
            <w:vAlign w:val="bottom"/>
            <w:hideMark/>
          </w:tcPr>
          <w:p w14:paraId="3FCC323F" w14:textId="6E9ECAA0" w:rsidR="004F1D1A" w:rsidRPr="00324E33" w:rsidRDefault="004F1D1A" w:rsidP="004F1D1A">
            <w:pPr>
              <w:rPr>
                <w:rFonts w:eastAsia="Times New Roman" w:cstheme="minorHAnsi"/>
                <w:b/>
                <w:bCs/>
                <w:sz w:val="20"/>
                <w:szCs w:val="20"/>
              </w:rPr>
            </w:pPr>
            <w:r w:rsidRPr="00324E33">
              <w:rPr>
                <w:rFonts w:ascii="Calibri" w:hAnsi="Calibri" w:cs="Calibri"/>
                <w:b/>
                <w:bCs/>
                <w:sz w:val="20"/>
                <w:szCs w:val="20"/>
              </w:rPr>
              <w:t>UMPI</w:t>
            </w:r>
          </w:p>
        </w:tc>
        <w:tc>
          <w:tcPr>
            <w:tcW w:w="4570" w:type="dxa"/>
            <w:tcBorders>
              <w:top w:val="nil"/>
              <w:left w:val="nil"/>
              <w:bottom w:val="nil"/>
              <w:right w:val="nil"/>
            </w:tcBorders>
            <w:shd w:val="clear" w:color="000000" w:fill="FFFFFF"/>
            <w:hideMark/>
          </w:tcPr>
          <w:p w14:paraId="17B06A8A" w14:textId="3E7EAAC4" w:rsidR="004F1D1A" w:rsidRPr="00324E33" w:rsidRDefault="004F1D1A" w:rsidP="004F1D1A">
            <w:pPr>
              <w:rPr>
                <w:rFonts w:eastAsia="Times New Roman" w:cstheme="minorHAnsi"/>
                <w:sz w:val="20"/>
                <w:szCs w:val="20"/>
              </w:rPr>
            </w:pPr>
            <w:r w:rsidRPr="00324E33">
              <w:rPr>
                <w:rFonts w:ascii="Calibri" w:hAnsi="Calibri" w:cs="Calibri"/>
                <w:sz w:val="20"/>
                <w:szCs w:val="20"/>
              </w:rPr>
              <w:t> </w:t>
            </w:r>
          </w:p>
        </w:tc>
        <w:tc>
          <w:tcPr>
            <w:tcW w:w="1794" w:type="dxa"/>
            <w:tcBorders>
              <w:top w:val="nil"/>
              <w:left w:val="nil"/>
              <w:bottom w:val="nil"/>
              <w:right w:val="nil"/>
            </w:tcBorders>
            <w:shd w:val="clear" w:color="000000" w:fill="FFFFFF"/>
            <w:hideMark/>
          </w:tcPr>
          <w:p w14:paraId="65F3E6D4" w14:textId="28048FDA" w:rsidR="004F1D1A" w:rsidRPr="00324E33" w:rsidRDefault="004F1D1A" w:rsidP="004F1D1A">
            <w:pPr>
              <w:rPr>
                <w:rFonts w:eastAsia="Times New Roman" w:cstheme="minorHAnsi"/>
                <w:sz w:val="20"/>
                <w:szCs w:val="20"/>
              </w:rPr>
            </w:pPr>
            <w:r w:rsidRPr="00324E33">
              <w:rPr>
                <w:rFonts w:ascii="Calibri" w:hAnsi="Calibri" w:cs="Calibri"/>
                <w:sz w:val="20"/>
                <w:szCs w:val="20"/>
              </w:rPr>
              <w:t> </w:t>
            </w:r>
          </w:p>
        </w:tc>
        <w:tc>
          <w:tcPr>
            <w:tcW w:w="1086" w:type="dxa"/>
            <w:tcBorders>
              <w:top w:val="nil"/>
              <w:left w:val="nil"/>
              <w:bottom w:val="nil"/>
              <w:right w:val="nil"/>
            </w:tcBorders>
            <w:shd w:val="clear" w:color="000000" w:fill="FFFFFF"/>
            <w:noWrap/>
            <w:hideMark/>
          </w:tcPr>
          <w:p w14:paraId="58EB43C8" w14:textId="34467C6B" w:rsidR="004F1D1A" w:rsidRPr="00324E33" w:rsidRDefault="004F1D1A" w:rsidP="004F1D1A">
            <w:pPr>
              <w:jc w:val="right"/>
              <w:rPr>
                <w:rFonts w:eastAsia="Times New Roman" w:cstheme="minorHAnsi"/>
                <w:sz w:val="20"/>
                <w:szCs w:val="20"/>
              </w:rPr>
            </w:pPr>
            <w:r w:rsidRPr="00324E33">
              <w:rPr>
                <w:rFonts w:ascii="Calibri" w:hAnsi="Calibri" w:cs="Calibri"/>
                <w:sz w:val="20"/>
                <w:szCs w:val="20"/>
              </w:rPr>
              <w:t> </w:t>
            </w:r>
          </w:p>
        </w:tc>
      </w:tr>
      <w:tr w:rsidR="003E5542" w:rsidRPr="00B00959" w14:paraId="5FD3E8C4" w14:textId="77777777" w:rsidTr="008B69B9">
        <w:trPr>
          <w:trHeight w:val="95"/>
          <w:jc w:val="center"/>
        </w:trPr>
        <w:tc>
          <w:tcPr>
            <w:tcW w:w="5690" w:type="dxa"/>
            <w:tcBorders>
              <w:top w:val="nil"/>
              <w:left w:val="nil"/>
              <w:bottom w:val="nil"/>
              <w:right w:val="nil"/>
            </w:tcBorders>
            <w:shd w:val="clear" w:color="000000" w:fill="FFFFFF"/>
            <w:hideMark/>
          </w:tcPr>
          <w:p w14:paraId="5528065D" w14:textId="53F29D22" w:rsidR="003E5542" w:rsidRPr="003E5542" w:rsidRDefault="003E5542" w:rsidP="003E5542">
            <w:pPr>
              <w:ind w:firstLineChars="100" w:firstLine="200"/>
              <w:rPr>
                <w:rFonts w:eastAsia="Times New Roman" w:cstheme="minorHAnsi"/>
                <w:sz w:val="20"/>
                <w:szCs w:val="20"/>
              </w:rPr>
            </w:pPr>
            <w:r w:rsidRPr="00082BB3">
              <w:rPr>
                <w:sz w:val="20"/>
                <w:szCs w:val="20"/>
              </w:rPr>
              <w:t>•Wieden Renovation</w:t>
            </w:r>
          </w:p>
        </w:tc>
        <w:tc>
          <w:tcPr>
            <w:tcW w:w="4570" w:type="dxa"/>
            <w:tcBorders>
              <w:top w:val="nil"/>
              <w:left w:val="nil"/>
              <w:bottom w:val="nil"/>
              <w:right w:val="nil"/>
            </w:tcBorders>
            <w:shd w:val="clear" w:color="000000" w:fill="FFFFFF"/>
            <w:hideMark/>
          </w:tcPr>
          <w:p w14:paraId="7B8911EC" w14:textId="41EA26D8" w:rsidR="003E5542" w:rsidRPr="003E5542" w:rsidRDefault="003E5542" w:rsidP="003E5542">
            <w:pPr>
              <w:rPr>
                <w:rFonts w:eastAsia="Times New Roman" w:cstheme="minorHAnsi"/>
                <w:sz w:val="20"/>
                <w:szCs w:val="20"/>
              </w:rPr>
            </w:pPr>
            <w:r w:rsidRPr="00082BB3">
              <w:rPr>
                <w:sz w:val="20"/>
                <w:szCs w:val="20"/>
              </w:rPr>
              <w:t>2018 State Bond, Education &amp; General, Gifts, Grants, Internal Loan</w:t>
            </w:r>
          </w:p>
        </w:tc>
        <w:tc>
          <w:tcPr>
            <w:tcW w:w="1794" w:type="dxa"/>
            <w:tcBorders>
              <w:top w:val="nil"/>
              <w:left w:val="nil"/>
              <w:bottom w:val="nil"/>
              <w:right w:val="nil"/>
            </w:tcBorders>
            <w:shd w:val="clear" w:color="000000" w:fill="FFFFFF"/>
            <w:hideMark/>
          </w:tcPr>
          <w:p w14:paraId="54817967" w14:textId="2FDFE0DF" w:rsidR="003E5542" w:rsidRPr="003E5542" w:rsidRDefault="003E5542" w:rsidP="003E5542">
            <w:pPr>
              <w:rPr>
                <w:rFonts w:eastAsia="Times New Roman" w:cstheme="minorHAnsi"/>
                <w:sz w:val="20"/>
                <w:szCs w:val="20"/>
              </w:rPr>
            </w:pPr>
            <w:r w:rsidRPr="00082BB3">
              <w:rPr>
                <w:sz w:val="20"/>
                <w:szCs w:val="20"/>
              </w:rPr>
              <w:t>In Progress</w:t>
            </w:r>
          </w:p>
        </w:tc>
        <w:tc>
          <w:tcPr>
            <w:tcW w:w="1086" w:type="dxa"/>
            <w:tcBorders>
              <w:top w:val="nil"/>
              <w:left w:val="nil"/>
              <w:bottom w:val="nil"/>
              <w:right w:val="nil"/>
            </w:tcBorders>
            <w:shd w:val="clear" w:color="000000" w:fill="FFFFFF"/>
            <w:noWrap/>
            <w:hideMark/>
          </w:tcPr>
          <w:p w14:paraId="061B4933" w14:textId="06E653AA" w:rsidR="003E5542" w:rsidRPr="003E5542" w:rsidRDefault="003E5542" w:rsidP="003E5542">
            <w:pPr>
              <w:tabs>
                <w:tab w:val="left" w:pos="170"/>
              </w:tabs>
              <w:jc w:val="right"/>
              <w:rPr>
                <w:rFonts w:eastAsia="Times New Roman" w:cstheme="minorHAnsi"/>
                <w:sz w:val="20"/>
                <w:szCs w:val="20"/>
              </w:rPr>
            </w:pPr>
            <w:r w:rsidRPr="00082BB3">
              <w:rPr>
                <w:sz w:val="20"/>
                <w:szCs w:val="20"/>
              </w:rPr>
              <w:t xml:space="preserve"> 7.90 </w:t>
            </w:r>
          </w:p>
        </w:tc>
      </w:tr>
      <w:tr w:rsidR="003E5542" w:rsidRPr="00B00959" w14:paraId="0931533F" w14:textId="77777777" w:rsidTr="008B69B9">
        <w:trPr>
          <w:trHeight w:val="108"/>
          <w:jc w:val="center"/>
        </w:trPr>
        <w:tc>
          <w:tcPr>
            <w:tcW w:w="5690" w:type="dxa"/>
            <w:tcBorders>
              <w:top w:val="nil"/>
              <w:left w:val="nil"/>
              <w:bottom w:val="nil"/>
              <w:right w:val="nil"/>
            </w:tcBorders>
            <w:shd w:val="clear" w:color="000000" w:fill="FFFFFF"/>
            <w:hideMark/>
          </w:tcPr>
          <w:p w14:paraId="5F958CBB" w14:textId="03B9FF33" w:rsidR="003E5542" w:rsidRPr="003E5542" w:rsidRDefault="003E5542" w:rsidP="003E5542">
            <w:pPr>
              <w:ind w:firstLineChars="100" w:firstLine="200"/>
              <w:rPr>
                <w:rFonts w:eastAsia="Times New Roman" w:cstheme="minorHAnsi"/>
                <w:sz w:val="20"/>
                <w:szCs w:val="20"/>
              </w:rPr>
            </w:pPr>
            <w:r w:rsidRPr="00082BB3">
              <w:rPr>
                <w:sz w:val="20"/>
                <w:szCs w:val="20"/>
              </w:rPr>
              <w:t>•Park Hall Improvements</w:t>
            </w:r>
          </w:p>
        </w:tc>
        <w:tc>
          <w:tcPr>
            <w:tcW w:w="4570" w:type="dxa"/>
            <w:tcBorders>
              <w:top w:val="nil"/>
              <w:left w:val="nil"/>
              <w:bottom w:val="nil"/>
              <w:right w:val="nil"/>
            </w:tcBorders>
            <w:shd w:val="clear" w:color="000000" w:fill="FFFFFF"/>
            <w:hideMark/>
          </w:tcPr>
          <w:p w14:paraId="0744C07F" w14:textId="42641384" w:rsidR="003E5542" w:rsidRPr="003E5542" w:rsidRDefault="003E5542" w:rsidP="003E5542">
            <w:pPr>
              <w:rPr>
                <w:rFonts w:eastAsia="Times New Roman" w:cstheme="minorHAnsi"/>
                <w:sz w:val="20"/>
                <w:szCs w:val="20"/>
              </w:rPr>
            </w:pPr>
            <w:r w:rsidRPr="00082BB3">
              <w:rPr>
                <w:sz w:val="20"/>
                <w:szCs w:val="20"/>
              </w:rPr>
              <w:t>State Appropriation</w:t>
            </w:r>
          </w:p>
        </w:tc>
        <w:tc>
          <w:tcPr>
            <w:tcW w:w="1794" w:type="dxa"/>
            <w:tcBorders>
              <w:top w:val="nil"/>
              <w:left w:val="nil"/>
              <w:bottom w:val="nil"/>
              <w:right w:val="nil"/>
            </w:tcBorders>
            <w:shd w:val="clear" w:color="000000" w:fill="FFFFFF"/>
            <w:hideMark/>
          </w:tcPr>
          <w:p w14:paraId="73998474" w14:textId="5E90D4D0" w:rsidR="003E5542" w:rsidRPr="003E5542" w:rsidRDefault="003E5542" w:rsidP="003E5542">
            <w:pPr>
              <w:rPr>
                <w:rFonts w:eastAsia="Times New Roman" w:cstheme="minorHAnsi"/>
                <w:sz w:val="20"/>
                <w:szCs w:val="20"/>
              </w:rPr>
            </w:pPr>
            <w:r w:rsidRPr="00082BB3">
              <w:rPr>
                <w:sz w:val="20"/>
                <w:szCs w:val="20"/>
              </w:rPr>
              <w:t>In Progress</w:t>
            </w:r>
          </w:p>
        </w:tc>
        <w:tc>
          <w:tcPr>
            <w:tcW w:w="1086" w:type="dxa"/>
            <w:tcBorders>
              <w:top w:val="nil"/>
              <w:left w:val="nil"/>
              <w:right w:val="nil"/>
            </w:tcBorders>
            <w:shd w:val="clear" w:color="000000" w:fill="FFFFFF"/>
            <w:noWrap/>
            <w:hideMark/>
          </w:tcPr>
          <w:p w14:paraId="637B3872" w14:textId="4AB1F330" w:rsidR="003E5542" w:rsidRPr="003E5542" w:rsidRDefault="003E5542" w:rsidP="003E5542">
            <w:pPr>
              <w:jc w:val="right"/>
              <w:rPr>
                <w:rFonts w:eastAsia="Times New Roman" w:cstheme="minorHAnsi"/>
                <w:sz w:val="20"/>
                <w:szCs w:val="20"/>
              </w:rPr>
            </w:pPr>
            <w:r w:rsidRPr="00082BB3">
              <w:rPr>
                <w:sz w:val="20"/>
                <w:szCs w:val="20"/>
              </w:rPr>
              <w:t xml:space="preserve"> 0.66 </w:t>
            </w:r>
          </w:p>
        </w:tc>
      </w:tr>
      <w:tr w:rsidR="003E5542" w:rsidRPr="00B00959" w14:paraId="3F667936" w14:textId="77777777" w:rsidTr="008B69B9">
        <w:trPr>
          <w:trHeight w:val="95"/>
          <w:jc w:val="center"/>
        </w:trPr>
        <w:tc>
          <w:tcPr>
            <w:tcW w:w="5690" w:type="dxa"/>
            <w:tcBorders>
              <w:top w:val="nil"/>
              <w:left w:val="nil"/>
              <w:bottom w:val="nil"/>
              <w:right w:val="nil"/>
            </w:tcBorders>
            <w:shd w:val="clear" w:color="000000" w:fill="FFFFFF"/>
            <w:hideMark/>
          </w:tcPr>
          <w:p w14:paraId="44534598" w14:textId="22810F3D" w:rsidR="003E5542" w:rsidRPr="003E5542" w:rsidRDefault="003E5542" w:rsidP="003E5542">
            <w:pPr>
              <w:ind w:firstLineChars="100" w:firstLine="200"/>
              <w:rPr>
                <w:rFonts w:eastAsia="Times New Roman" w:cstheme="minorHAnsi"/>
                <w:sz w:val="20"/>
                <w:szCs w:val="20"/>
              </w:rPr>
            </w:pPr>
            <w:r w:rsidRPr="00082BB3">
              <w:rPr>
                <w:sz w:val="20"/>
                <w:szCs w:val="20"/>
              </w:rPr>
              <w:t>•Emerson Hall Improvements</w:t>
            </w:r>
          </w:p>
        </w:tc>
        <w:tc>
          <w:tcPr>
            <w:tcW w:w="4570" w:type="dxa"/>
            <w:tcBorders>
              <w:top w:val="nil"/>
              <w:left w:val="nil"/>
              <w:bottom w:val="nil"/>
              <w:right w:val="nil"/>
            </w:tcBorders>
            <w:shd w:val="clear" w:color="000000" w:fill="FFFFFF"/>
            <w:hideMark/>
          </w:tcPr>
          <w:p w14:paraId="49A1AA6A" w14:textId="5AC22660" w:rsidR="003E5542" w:rsidRPr="003E5542" w:rsidRDefault="003E5542" w:rsidP="003E5542">
            <w:pPr>
              <w:rPr>
                <w:rFonts w:eastAsia="Times New Roman" w:cstheme="minorHAnsi"/>
                <w:sz w:val="20"/>
                <w:szCs w:val="20"/>
              </w:rPr>
            </w:pPr>
            <w:r w:rsidRPr="00082BB3">
              <w:rPr>
                <w:sz w:val="20"/>
                <w:szCs w:val="20"/>
              </w:rPr>
              <w:t>State Appropriation</w:t>
            </w:r>
          </w:p>
        </w:tc>
        <w:tc>
          <w:tcPr>
            <w:tcW w:w="1794" w:type="dxa"/>
            <w:tcBorders>
              <w:top w:val="nil"/>
              <w:left w:val="nil"/>
              <w:bottom w:val="nil"/>
              <w:right w:val="nil"/>
            </w:tcBorders>
            <w:shd w:val="clear" w:color="000000" w:fill="FFFFFF"/>
            <w:hideMark/>
          </w:tcPr>
          <w:p w14:paraId="5A138850" w14:textId="2635642C" w:rsidR="003E5542" w:rsidRPr="003E5542" w:rsidRDefault="003E5542" w:rsidP="003E5542">
            <w:pPr>
              <w:rPr>
                <w:rFonts w:eastAsia="Times New Roman" w:cstheme="minorHAnsi"/>
                <w:sz w:val="20"/>
                <w:szCs w:val="20"/>
              </w:rPr>
            </w:pPr>
            <w:r w:rsidRPr="00082BB3">
              <w:rPr>
                <w:sz w:val="20"/>
                <w:szCs w:val="20"/>
              </w:rPr>
              <w:t>In Progress</w:t>
            </w:r>
          </w:p>
        </w:tc>
        <w:tc>
          <w:tcPr>
            <w:tcW w:w="1086" w:type="dxa"/>
            <w:tcBorders>
              <w:top w:val="nil"/>
              <w:left w:val="nil"/>
              <w:right w:val="nil"/>
            </w:tcBorders>
            <w:shd w:val="clear" w:color="000000" w:fill="FFFFFF"/>
            <w:noWrap/>
            <w:hideMark/>
          </w:tcPr>
          <w:p w14:paraId="3A613CCE" w14:textId="393D4F62" w:rsidR="003E5542" w:rsidRPr="003E5542" w:rsidRDefault="003E5542" w:rsidP="003E5542">
            <w:pPr>
              <w:jc w:val="right"/>
              <w:rPr>
                <w:rFonts w:eastAsia="Times New Roman" w:cstheme="minorHAnsi"/>
                <w:sz w:val="20"/>
                <w:szCs w:val="20"/>
              </w:rPr>
            </w:pPr>
            <w:r w:rsidRPr="00082BB3">
              <w:rPr>
                <w:sz w:val="20"/>
                <w:szCs w:val="20"/>
              </w:rPr>
              <w:t xml:space="preserve"> 0.92 </w:t>
            </w:r>
          </w:p>
        </w:tc>
      </w:tr>
      <w:tr w:rsidR="003E5542" w:rsidRPr="00B00959" w14:paraId="31A7BADB" w14:textId="77777777" w:rsidTr="008B69B9">
        <w:trPr>
          <w:trHeight w:val="95"/>
          <w:jc w:val="center"/>
        </w:trPr>
        <w:tc>
          <w:tcPr>
            <w:tcW w:w="5690" w:type="dxa"/>
            <w:tcBorders>
              <w:top w:val="nil"/>
              <w:left w:val="nil"/>
              <w:bottom w:val="nil"/>
              <w:right w:val="nil"/>
            </w:tcBorders>
            <w:shd w:val="clear" w:color="000000" w:fill="FFFFFF"/>
            <w:noWrap/>
            <w:hideMark/>
          </w:tcPr>
          <w:p w14:paraId="631CB582" w14:textId="6BBE9C64" w:rsidR="003E5542" w:rsidRPr="003E5542" w:rsidRDefault="003E5542" w:rsidP="003E5542">
            <w:pPr>
              <w:ind w:firstLineChars="100" w:firstLine="200"/>
              <w:rPr>
                <w:rFonts w:eastAsia="Times New Roman" w:cstheme="minorHAnsi"/>
                <w:b/>
                <w:bCs/>
                <w:sz w:val="20"/>
                <w:szCs w:val="20"/>
              </w:rPr>
            </w:pPr>
            <w:r w:rsidRPr="00082BB3">
              <w:rPr>
                <w:sz w:val="20"/>
                <w:szCs w:val="20"/>
              </w:rPr>
              <w:t>•Kelley Commons Dining Upgrades</w:t>
            </w:r>
          </w:p>
        </w:tc>
        <w:tc>
          <w:tcPr>
            <w:tcW w:w="4570" w:type="dxa"/>
            <w:tcBorders>
              <w:top w:val="nil"/>
              <w:left w:val="nil"/>
              <w:bottom w:val="nil"/>
              <w:right w:val="nil"/>
            </w:tcBorders>
            <w:shd w:val="clear" w:color="000000" w:fill="FFFFFF"/>
            <w:hideMark/>
          </w:tcPr>
          <w:p w14:paraId="5F6C195C" w14:textId="437C6462" w:rsidR="003E5542" w:rsidRPr="003E5542" w:rsidRDefault="003E5542" w:rsidP="003E5542">
            <w:pPr>
              <w:rPr>
                <w:rFonts w:eastAsia="Times New Roman" w:cstheme="minorHAnsi"/>
                <w:color w:val="FF0000"/>
                <w:sz w:val="20"/>
                <w:szCs w:val="20"/>
              </w:rPr>
            </w:pPr>
            <w:r w:rsidRPr="00082BB3">
              <w:rPr>
                <w:sz w:val="20"/>
                <w:szCs w:val="20"/>
              </w:rPr>
              <w:t>Education &amp; General</w:t>
            </w:r>
          </w:p>
        </w:tc>
        <w:tc>
          <w:tcPr>
            <w:tcW w:w="1794" w:type="dxa"/>
            <w:tcBorders>
              <w:top w:val="nil"/>
              <w:left w:val="nil"/>
              <w:bottom w:val="nil"/>
              <w:right w:val="nil"/>
            </w:tcBorders>
            <w:shd w:val="clear" w:color="000000" w:fill="FFFFFF"/>
            <w:noWrap/>
            <w:hideMark/>
          </w:tcPr>
          <w:p w14:paraId="5115D628" w14:textId="1B79CAA3" w:rsidR="003E5542" w:rsidRPr="003E5542" w:rsidRDefault="003E5542" w:rsidP="003E5542">
            <w:pPr>
              <w:rPr>
                <w:rFonts w:eastAsia="Times New Roman" w:cstheme="minorHAnsi"/>
                <w:color w:val="FF0000"/>
                <w:sz w:val="20"/>
                <w:szCs w:val="20"/>
              </w:rPr>
            </w:pPr>
            <w:r w:rsidRPr="00082BB3">
              <w:rPr>
                <w:sz w:val="20"/>
                <w:szCs w:val="20"/>
              </w:rPr>
              <w:t>In Progress</w:t>
            </w:r>
          </w:p>
        </w:tc>
        <w:tc>
          <w:tcPr>
            <w:tcW w:w="1086" w:type="dxa"/>
            <w:tcBorders>
              <w:top w:val="nil"/>
              <w:left w:val="nil"/>
              <w:bottom w:val="nil"/>
              <w:right w:val="nil"/>
            </w:tcBorders>
            <w:shd w:val="clear" w:color="000000" w:fill="FFFFFF"/>
            <w:noWrap/>
            <w:hideMark/>
          </w:tcPr>
          <w:p w14:paraId="4DC5A069" w14:textId="16DFE78B" w:rsidR="003E5542" w:rsidRPr="003E5542" w:rsidRDefault="003E5542" w:rsidP="003E5542">
            <w:pPr>
              <w:jc w:val="right"/>
              <w:rPr>
                <w:rFonts w:eastAsia="Times New Roman" w:cstheme="minorHAnsi"/>
                <w:sz w:val="20"/>
                <w:szCs w:val="20"/>
              </w:rPr>
            </w:pPr>
            <w:r w:rsidRPr="00082BB3">
              <w:rPr>
                <w:sz w:val="20"/>
                <w:szCs w:val="20"/>
              </w:rPr>
              <w:t xml:space="preserve"> 0.75 </w:t>
            </w:r>
          </w:p>
        </w:tc>
      </w:tr>
      <w:tr w:rsidR="003E5542" w:rsidRPr="004F1D1A" w14:paraId="7A493D1F" w14:textId="77777777" w:rsidTr="008B69B9">
        <w:trPr>
          <w:trHeight w:val="95"/>
          <w:jc w:val="center"/>
        </w:trPr>
        <w:tc>
          <w:tcPr>
            <w:tcW w:w="5690" w:type="dxa"/>
            <w:tcBorders>
              <w:top w:val="nil"/>
              <w:left w:val="nil"/>
              <w:bottom w:val="nil"/>
              <w:right w:val="nil"/>
            </w:tcBorders>
            <w:shd w:val="clear" w:color="000000" w:fill="FFFFFF"/>
            <w:noWrap/>
          </w:tcPr>
          <w:p w14:paraId="7755F6C3" w14:textId="43299780" w:rsidR="003E5542" w:rsidRPr="003E5542" w:rsidRDefault="003E5542" w:rsidP="003E5542">
            <w:pPr>
              <w:ind w:firstLineChars="100" w:firstLine="200"/>
              <w:rPr>
                <w:rFonts w:ascii="Calibri" w:hAnsi="Calibri" w:cs="Calibri"/>
                <w:sz w:val="20"/>
                <w:szCs w:val="20"/>
              </w:rPr>
            </w:pPr>
            <w:r w:rsidRPr="00082BB3">
              <w:rPr>
                <w:sz w:val="20"/>
                <w:szCs w:val="20"/>
              </w:rPr>
              <w:t>•Kelley Commons Boiler Replacement</w:t>
            </w:r>
          </w:p>
        </w:tc>
        <w:tc>
          <w:tcPr>
            <w:tcW w:w="4570" w:type="dxa"/>
            <w:tcBorders>
              <w:top w:val="nil"/>
              <w:left w:val="nil"/>
              <w:bottom w:val="nil"/>
              <w:right w:val="nil"/>
            </w:tcBorders>
            <w:shd w:val="clear" w:color="000000" w:fill="FFFFFF"/>
          </w:tcPr>
          <w:p w14:paraId="37E8947F" w14:textId="5456491D" w:rsidR="003E5542" w:rsidRPr="003E5542" w:rsidRDefault="003E5542" w:rsidP="003E5542">
            <w:pPr>
              <w:rPr>
                <w:rFonts w:ascii="Calibri" w:hAnsi="Calibri" w:cs="Calibri"/>
                <w:sz w:val="20"/>
                <w:szCs w:val="20"/>
              </w:rPr>
            </w:pPr>
            <w:r w:rsidRPr="00082BB3">
              <w:rPr>
                <w:sz w:val="20"/>
                <w:szCs w:val="20"/>
              </w:rPr>
              <w:t>State Appropriation</w:t>
            </w:r>
          </w:p>
        </w:tc>
        <w:tc>
          <w:tcPr>
            <w:tcW w:w="1794" w:type="dxa"/>
            <w:tcBorders>
              <w:top w:val="nil"/>
              <w:left w:val="nil"/>
              <w:bottom w:val="nil"/>
              <w:right w:val="nil"/>
            </w:tcBorders>
            <w:shd w:val="clear" w:color="000000" w:fill="FFFFFF"/>
            <w:noWrap/>
          </w:tcPr>
          <w:p w14:paraId="7095A2AD" w14:textId="679A3088" w:rsidR="003E5542" w:rsidRPr="003E5542" w:rsidRDefault="003E5542" w:rsidP="003E5542">
            <w:pPr>
              <w:rPr>
                <w:rFonts w:ascii="Calibri" w:hAnsi="Calibri" w:cs="Calibri"/>
                <w:sz w:val="20"/>
                <w:szCs w:val="20"/>
              </w:rPr>
            </w:pPr>
            <w:r w:rsidRPr="00082BB3">
              <w:rPr>
                <w:sz w:val="20"/>
                <w:szCs w:val="20"/>
              </w:rPr>
              <w:t>In Progress</w:t>
            </w:r>
          </w:p>
        </w:tc>
        <w:tc>
          <w:tcPr>
            <w:tcW w:w="1086" w:type="dxa"/>
            <w:tcBorders>
              <w:top w:val="nil"/>
              <w:left w:val="nil"/>
              <w:bottom w:val="nil"/>
              <w:right w:val="nil"/>
            </w:tcBorders>
            <w:shd w:val="clear" w:color="000000" w:fill="FFFFFF"/>
            <w:noWrap/>
          </w:tcPr>
          <w:p w14:paraId="378EBF2F" w14:textId="7498F210" w:rsidR="003E5542" w:rsidRPr="003E5542" w:rsidRDefault="003E5542" w:rsidP="003E5542">
            <w:pPr>
              <w:jc w:val="right"/>
              <w:rPr>
                <w:rFonts w:ascii="Calibri" w:hAnsi="Calibri" w:cs="Calibri"/>
                <w:sz w:val="20"/>
                <w:szCs w:val="20"/>
              </w:rPr>
            </w:pPr>
            <w:r w:rsidRPr="00082BB3">
              <w:rPr>
                <w:sz w:val="20"/>
                <w:szCs w:val="20"/>
              </w:rPr>
              <w:t xml:space="preserve"> 1.50 </w:t>
            </w:r>
          </w:p>
        </w:tc>
      </w:tr>
      <w:tr w:rsidR="003E5542" w:rsidRPr="004F1D1A" w14:paraId="7C225E83" w14:textId="77777777" w:rsidTr="008B69B9">
        <w:trPr>
          <w:trHeight w:val="95"/>
          <w:jc w:val="center"/>
        </w:trPr>
        <w:tc>
          <w:tcPr>
            <w:tcW w:w="5690" w:type="dxa"/>
            <w:tcBorders>
              <w:top w:val="nil"/>
              <w:left w:val="nil"/>
              <w:bottom w:val="nil"/>
              <w:right w:val="nil"/>
            </w:tcBorders>
            <w:shd w:val="clear" w:color="000000" w:fill="FFFFFF"/>
            <w:noWrap/>
          </w:tcPr>
          <w:p w14:paraId="66BAC04D" w14:textId="2C6D2509" w:rsidR="003E5542" w:rsidRPr="003E5542" w:rsidRDefault="003E5542" w:rsidP="003E5542">
            <w:pPr>
              <w:ind w:firstLineChars="100" w:firstLine="200"/>
              <w:rPr>
                <w:rFonts w:ascii="Calibri" w:hAnsi="Calibri" w:cs="Calibri"/>
                <w:sz w:val="20"/>
                <w:szCs w:val="20"/>
              </w:rPr>
            </w:pPr>
            <w:r w:rsidRPr="00082BB3">
              <w:rPr>
                <w:sz w:val="20"/>
                <w:szCs w:val="20"/>
              </w:rPr>
              <w:t>•Biomass Plant</w:t>
            </w:r>
          </w:p>
        </w:tc>
        <w:tc>
          <w:tcPr>
            <w:tcW w:w="4570" w:type="dxa"/>
            <w:tcBorders>
              <w:top w:val="nil"/>
              <w:left w:val="nil"/>
              <w:bottom w:val="nil"/>
              <w:right w:val="nil"/>
            </w:tcBorders>
            <w:shd w:val="clear" w:color="000000" w:fill="FFFFFF"/>
          </w:tcPr>
          <w:p w14:paraId="2570357F" w14:textId="2D3BA0D7" w:rsidR="003E5542" w:rsidRPr="003E5542" w:rsidRDefault="003E5542" w:rsidP="003E5542">
            <w:pPr>
              <w:rPr>
                <w:rFonts w:ascii="Calibri" w:hAnsi="Calibri" w:cs="Calibri"/>
                <w:sz w:val="20"/>
                <w:szCs w:val="20"/>
              </w:rPr>
            </w:pPr>
            <w:r w:rsidRPr="00082BB3">
              <w:rPr>
                <w:sz w:val="20"/>
                <w:szCs w:val="20"/>
              </w:rPr>
              <w:t>Education &amp; General</w:t>
            </w:r>
          </w:p>
        </w:tc>
        <w:tc>
          <w:tcPr>
            <w:tcW w:w="1794" w:type="dxa"/>
            <w:tcBorders>
              <w:top w:val="nil"/>
              <w:left w:val="nil"/>
              <w:bottom w:val="nil"/>
              <w:right w:val="nil"/>
            </w:tcBorders>
            <w:shd w:val="clear" w:color="000000" w:fill="FFFFFF"/>
            <w:noWrap/>
          </w:tcPr>
          <w:p w14:paraId="5CC115B6" w14:textId="1EA20B30" w:rsidR="003E5542" w:rsidRPr="003E5542" w:rsidRDefault="003E5542" w:rsidP="003E5542">
            <w:pPr>
              <w:rPr>
                <w:rFonts w:ascii="Calibri" w:hAnsi="Calibri" w:cs="Calibri"/>
                <w:sz w:val="20"/>
                <w:szCs w:val="20"/>
              </w:rPr>
            </w:pPr>
            <w:r w:rsidRPr="00082BB3">
              <w:rPr>
                <w:sz w:val="20"/>
                <w:szCs w:val="20"/>
              </w:rPr>
              <w:t>In Progress</w:t>
            </w:r>
          </w:p>
        </w:tc>
        <w:tc>
          <w:tcPr>
            <w:tcW w:w="1086" w:type="dxa"/>
            <w:tcBorders>
              <w:top w:val="nil"/>
              <w:left w:val="nil"/>
              <w:bottom w:val="nil"/>
              <w:right w:val="nil"/>
            </w:tcBorders>
            <w:shd w:val="clear" w:color="000000" w:fill="FFFFFF"/>
            <w:noWrap/>
          </w:tcPr>
          <w:p w14:paraId="766AD961" w14:textId="0A3C1F8E" w:rsidR="003E5542" w:rsidRPr="003E5542" w:rsidRDefault="003E5542" w:rsidP="003E5542">
            <w:pPr>
              <w:jc w:val="right"/>
              <w:rPr>
                <w:rFonts w:ascii="Calibri" w:hAnsi="Calibri" w:cs="Calibri"/>
                <w:sz w:val="20"/>
                <w:szCs w:val="20"/>
              </w:rPr>
            </w:pPr>
            <w:r w:rsidRPr="00082BB3">
              <w:rPr>
                <w:sz w:val="20"/>
                <w:szCs w:val="20"/>
              </w:rPr>
              <w:t xml:space="preserve"> 14.40 </w:t>
            </w:r>
          </w:p>
        </w:tc>
      </w:tr>
      <w:tr w:rsidR="003E5542" w:rsidRPr="004F1D1A" w14:paraId="0DF7A1FB" w14:textId="77777777" w:rsidTr="008B69B9">
        <w:trPr>
          <w:trHeight w:val="95"/>
          <w:jc w:val="center"/>
        </w:trPr>
        <w:tc>
          <w:tcPr>
            <w:tcW w:w="5690" w:type="dxa"/>
            <w:tcBorders>
              <w:top w:val="nil"/>
              <w:left w:val="nil"/>
              <w:bottom w:val="nil"/>
              <w:right w:val="nil"/>
            </w:tcBorders>
            <w:shd w:val="clear" w:color="000000" w:fill="FFFFFF"/>
            <w:noWrap/>
          </w:tcPr>
          <w:p w14:paraId="5C4D3769" w14:textId="25D8DBE3" w:rsidR="003E5542" w:rsidRPr="003E5542" w:rsidRDefault="003E5542" w:rsidP="003E5542">
            <w:pPr>
              <w:ind w:firstLineChars="100" w:firstLine="200"/>
              <w:rPr>
                <w:rFonts w:ascii="Calibri" w:hAnsi="Calibri" w:cs="Calibri"/>
                <w:sz w:val="20"/>
                <w:szCs w:val="20"/>
              </w:rPr>
            </w:pPr>
            <w:r w:rsidRPr="00082BB3">
              <w:rPr>
                <w:sz w:val="20"/>
                <w:szCs w:val="20"/>
              </w:rPr>
              <w:t>•Dental lab</w:t>
            </w:r>
          </w:p>
        </w:tc>
        <w:tc>
          <w:tcPr>
            <w:tcW w:w="4570" w:type="dxa"/>
            <w:tcBorders>
              <w:top w:val="nil"/>
              <w:left w:val="nil"/>
              <w:bottom w:val="nil"/>
              <w:right w:val="nil"/>
            </w:tcBorders>
            <w:shd w:val="clear" w:color="000000" w:fill="FFFFFF"/>
          </w:tcPr>
          <w:p w14:paraId="19539D59" w14:textId="6519A321" w:rsidR="003E5542" w:rsidRPr="003E5542" w:rsidRDefault="003E5542" w:rsidP="003E5542">
            <w:pPr>
              <w:rPr>
                <w:rFonts w:ascii="Calibri" w:hAnsi="Calibri" w:cs="Calibri"/>
                <w:sz w:val="20"/>
                <w:szCs w:val="20"/>
              </w:rPr>
            </w:pPr>
            <w:r w:rsidRPr="00082BB3">
              <w:rPr>
                <w:sz w:val="20"/>
                <w:szCs w:val="20"/>
              </w:rPr>
              <w:t>Grant, Education &amp; General</w:t>
            </w:r>
          </w:p>
        </w:tc>
        <w:tc>
          <w:tcPr>
            <w:tcW w:w="1794" w:type="dxa"/>
            <w:tcBorders>
              <w:top w:val="nil"/>
              <w:left w:val="nil"/>
              <w:bottom w:val="nil"/>
              <w:right w:val="nil"/>
            </w:tcBorders>
            <w:shd w:val="clear" w:color="000000" w:fill="FFFFFF"/>
            <w:noWrap/>
          </w:tcPr>
          <w:p w14:paraId="37C82FE1" w14:textId="7A9866CE" w:rsidR="003E5542" w:rsidRPr="003E5542" w:rsidRDefault="003E5542" w:rsidP="003E5542">
            <w:pPr>
              <w:rPr>
                <w:rFonts w:ascii="Calibri" w:hAnsi="Calibri" w:cs="Calibri"/>
                <w:sz w:val="20"/>
                <w:szCs w:val="20"/>
              </w:rPr>
            </w:pPr>
            <w:r w:rsidRPr="00082BB3">
              <w:rPr>
                <w:sz w:val="20"/>
                <w:szCs w:val="20"/>
              </w:rPr>
              <w:t>In Progress</w:t>
            </w:r>
          </w:p>
        </w:tc>
        <w:tc>
          <w:tcPr>
            <w:tcW w:w="1086" w:type="dxa"/>
            <w:tcBorders>
              <w:top w:val="nil"/>
              <w:left w:val="nil"/>
              <w:bottom w:val="nil"/>
              <w:right w:val="nil"/>
            </w:tcBorders>
            <w:shd w:val="clear" w:color="000000" w:fill="FFFFFF"/>
            <w:noWrap/>
          </w:tcPr>
          <w:p w14:paraId="15E1AEB2" w14:textId="51212AF1" w:rsidR="003E5542" w:rsidRPr="003E5542" w:rsidRDefault="003E5542" w:rsidP="003E5542">
            <w:pPr>
              <w:jc w:val="right"/>
              <w:rPr>
                <w:rFonts w:ascii="Calibri" w:hAnsi="Calibri" w:cs="Calibri"/>
                <w:sz w:val="20"/>
                <w:szCs w:val="20"/>
              </w:rPr>
            </w:pPr>
            <w:r w:rsidRPr="00082BB3">
              <w:rPr>
                <w:sz w:val="20"/>
                <w:szCs w:val="20"/>
              </w:rPr>
              <w:t xml:space="preserve"> 1.80 </w:t>
            </w:r>
          </w:p>
        </w:tc>
      </w:tr>
      <w:tr w:rsidR="004F1D1A" w:rsidRPr="004F1D1A" w14:paraId="3408F2BA" w14:textId="77777777" w:rsidTr="008B69B9">
        <w:trPr>
          <w:trHeight w:val="95"/>
          <w:jc w:val="center"/>
        </w:trPr>
        <w:tc>
          <w:tcPr>
            <w:tcW w:w="5690" w:type="dxa"/>
            <w:tcBorders>
              <w:top w:val="nil"/>
              <w:left w:val="nil"/>
              <w:bottom w:val="nil"/>
              <w:right w:val="nil"/>
            </w:tcBorders>
            <w:shd w:val="clear" w:color="000000" w:fill="FFFFFF"/>
            <w:noWrap/>
          </w:tcPr>
          <w:p w14:paraId="4D90C698" w14:textId="77777777" w:rsidR="004F1D1A" w:rsidRPr="00324E33" w:rsidRDefault="004F1D1A" w:rsidP="004F1D1A">
            <w:pPr>
              <w:rPr>
                <w:rFonts w:ascii="Calibri" w:hAnsi="Calibri" w:cs="Calibri"/>
                <w:b/>
                <w:bCs/>
                <w:sz w:val="20"/>
                <w:szCs w:val="20"/>
              </w:rPr>
            </w:pPr>
            <w:r w:rsidRPr="00324E33">
              <w:rPr>
                <w:rFonts w:ascii="Calibri" w:hAnsi="Calibri" w:cs="Calibri"/>
                <w:b/>
                <w:bCs/>
                <w:sz w:val="20"/>
                <w:szCs w:val="20"/>
              </w:rPr>
              <w:t>UMS</w:t>
            </w:r>
          </w:p>
        </w:tc>
        <w:tc>
          <w:tcPr>
            <w:tcW w:w="4570" w:type="dxa"/>
            <w:tcBorders>
              <w:top w:val="nil"/>
              <w:left w:val="nil"/>
              <w:bottom w:val="nil"/>
              <w:right w:val="nil"/>
            </w:tcBorders>
            <w:shd w:val="clear" w:color="000000" w:fill="FFFFFF"/>
          </w:tcPr>
          <w:p w14:paraId="461F8A90" w14:textId="77777777" w:rsidR="004F1D1A" w:rsidRPr="00324E33" w:rsidRDefault="004F1D1A" w:rsidP="004F1D1A">
            <w:pPr>
              <w:rPr>
                <w:rFonts w:ascii="Calibri" w:hAnsi="Calibri" w:cs="Calibri"/>
                <w:sz w:val="20"/>
                <w:szCs w:val="20"/>
              </w:rPr>
            </w:pPr>
            <w:r w:rsidRPr="00324E33">
              <w:rPr>
                <w:rFonts w:ascii="Calibri" w:hAnsi="Calibri" w:cs="Calibri"/>
                <w:sz w:val="20"/>
                <w:szCs w:val="20"/>
              </w:rPr>
              <w:t> </w:t>
            </w:r>
          </w:p>
        </w:tc>
        <w:tc>
          <w:tcPr>
            <w:tcW w:w="1794" w:type="dxa"/>
            <w:tcBorders>
              <w:top w:val="nil"/>
              <w:left w:val="nil"/>
              <w:bottom w:val="nil"/>
              <w:right w:val="nil"/>
            </w:tcBorders>
            <w:shd w:val="clear" w:color="000000" w:fill="FFFFFF"/>
            <w:noWrap/>
          </w:tcPr>
          <w:p w14:paraId="43138BE1" w14:textId="77777777" w:rsidR="004F1D1A" w:rsidRPr="00324E33" w:rsidRDefault="004F1D1A" w:rsidP="004F1D1A">
            <w:pPr>
              <w:rPr>
                <w:rFonts w:ascii="Calibri" w:hAnsi="Calibri" w:cs="Calibri"/>
                <w:sz w:val="20"/>
                <w:szCs w:val="20"/>
              </w:rPr>
            </w:pPr>
            <w:r w:rsidRPr="00324E33">
              <w:rPr>
                <w:rFonts w:ascii="Calibri" w:hAnsi="Calibri" w:cs="Calibri"/>
                <w:sz w:val="20"/>
                <w:szCs w:val="20"/>
              </w:rPr>
              <w:t> </w:t>
            </w:r>
          </w:p>
        </w:tc>
        <w:tc>
          <w:tcPr>
            <w:tcW w:w="1086" w:type="dxa"/>
            <w:tcBorders>
              <w:top w:val="nil"/>
              <w:left w:val="nil"/>
              <w:bottom w:val="nil"/>
              <w:right w:val="nil"/>
            </w:tcBorders>
            <w:shd w:val="clear" w:color="000000" w:fill="FFFFFF"/>
            <w:noWrap/>
          </w:tcPr>
          <w:p w14:paraId="5FEA2136" w14:textId="77777777" w:rsidR="004F1D1A" w:rsidRPr="00324E33" w:rsidRDefault="004F1D1A" w:rsidP="004F1D1A">
            <w:pPr>
              <w:jc w:val="right"/>
              <w:rPr>
                <w:rFonts w:ascii="Calibri" w:hAnsi="Calibri" w:cs="Calibri"/>
                <w:sz w:val="20"/>
                <w:szCs w:val="20"/>
              </w:rPr>
            </w:pPr>
            <w:r w:rsidRPr="00324E33">
              <w:rPr>
                <w:rFonts w:ascii="Calibri" w:hAnsi="Calibri" w:cs="Calibri"/>
                <w:sz w:val="20"/>
                <w:szCs w:val="20"/>
              </w:rPr>
              <w:t> </w:t>
            </w:r>
          </w:p>
        </w:tc>
      </w:tr>
      <w:tr w:rsidR="003E5542" w:rsidRPr="004F1D1A" w14:paraId="000988FE" w14:textId="77777777" w:rsidTr="008B69B9">
        <w:trPr>
          <w:trHeight w:val="95"/>
          <w:jc w:val="center"/>
        </w:trPr>
        <w:tc>
          <w:tcPr>
            <w:tcW w:w="5690" w:type="dxa"/>
            <w:tcBorders>
              <w:top w:val="nil"/>
              <w:left w:val="nil"/>
              <w:bottom w:val="nil"/>
              <w:right w:val="nil"/>
            </w:tcBorders>
            <w:shd w:val="clear" w:color="000000" w:fill="FFFFFF"/>
            <w:noWrap/>
          </w:tcPr>
          <w:p w14:paraId="5654A8CE" w14:textId="1243109B" w:rsidR="003E5542" w:rsidRPr="0074160F" w:rsidRDefault="003E5542" w:rsidP="003E5542">
            <w:pPr>
              <w:ind w:left="165"/>
              <w:rPr>
                <w:rFonts w:ascii="Calibri" w:hAnsi="Calibri" w:cs="Calibri"/>
                <w:sz w:val="20"/>
                <w:szCs w:val="20"/>
              </w:rPr>
            </w:pPr>
            <w:r w:rsidRPr="0074160F">
              <w:rPr>
                <w:sz w:val="20"/>
                <w:szCs w:val="20"/>
              </w:rPr>
              <w:t>•300 Fore St. Portland Renovation</w:t>
            </w:r>
          </w:p>
        </w:tc>
        <w:tc>
          <w:tcPr>
            <w:tcW w:w="4570" w:type="dxa"/>
            <w:tcBorders>
              <w:top w:val="nil"/>
              <w:left w:val="nil"/>
              <w:bottom w:val="nil"/>
              <w:right w:val="nil"/>
            </w:tcBorders>
            <w:shd w:val="clear" w:color="000000" w:fill="FFFFFF"/>
          </w:tcPr>
          <w:p w14:paraId="08DCBB82" w14:textId="368B33C6" w:rsidR="003E5542" w:rsidRPr="0074160F" w:rsidRDefault="003E5542" w:rsidP="003E5542">
            <w:pPr>
              <w:rPr>
                <w:rFonts w:ascii="Calibri" w:hAnsi="Calibri" w:cs="Calibri"/>
                <w:sz w:val="20"/>
                <w:szCs w:val="20"/>
              </w:rPr>
            </w:pPr>
            <w:r w:rsidRPr="0074160F">
              <w:rPr>
                <w:sz w:val="20"/>
                <w:szCs w:val="20"/>
              </w:rPr>
              <w:t>Education &amp; General, Gifts, Grants</w:t>
            </w:r>
          </w:p>
        </w:tc>
        <w:tc>
          <w:tcPr>
            <w:tcW w:w="1794" w:type="dxa"/>
            <w:tcBorders>
              <w:top w:val="nil"/>
              <w:left w:val="nil"/>
              <w:bottom w:val="nil"/>
              <w:right w:val="nil"/>
            </w:tcBorders>
            <w:shd w:val="clear" w:color="000000" w:fill="FFFFFF"/>
            <w:noWrap/>
          </w:tcPr>
          <w:p w14:paraId="17122772" w14:textId="68E6576F" w:rsidR="003E5542" w:rsidRPr="0074160F" w:rsidRDefault="003E5542" w:rsidP="003E5542">
            <w:pPr>
              <w:rPr>
                <w:rFonts w:ascii="Calibri" w:hAnsi="Calibri" w:cs="Calibri"/>
                <w:sz w:val="20"/>
                <w:szCs w:val="20"/>
              </w:rPr>
            </w:pPr>
            <w:r w:rsidRPr="0074160F">
              <w:rPr>
                <w:sz w:val="20"/>
                <w:szCs w:val="20"/>
              </w:rPr>
              <w:t>Complete</w:t>
            </w:r>
          </w:p>
        </w:tc>
        <w:tc>
          <w:tcPr>
            <w:tcW w:w="1086" w:type="dxa"/>
            <w:tcBorders>
              <w:top w:val="nil"/>
              <w:left w:val="nil"/>
              <w:bottom w:val="nil"/>
              <w:right w:val="nil"/>
            </w:tcBorders>
            <w:shd w:val="clear" w:color="000000" w:fill="FFFFFF"/>
            <w:noWrap/>
          </w:tcPr>
          <w:p w14:paraId="2E800340" w14:textId="24829D73" w:rsidR="003E5542" w:rsidRPr="0074160F" w:rsidRDefault="003E5542" w:rsidP="003E5542">
            <w:pPr>
              <w:jc w:val="right"/>
              <w:rPr>
                <w:rFonts w:ascii="Calibri" w:hAnsi="Calibri" w:cs="Calibri"/>
                <w:sz w:val="20"/>
                <w:szCs w:val="20"/>
              </w:rPr>
            </w:pPr>
            <w:r w:rsidRPr="0074160F">
              <w:rPr>
                <w:sz w:val="20"/>
                <w:szCs w:val="20"/>
              </w:rPr>
              <w:t xml:space="preserve"> 13.83 </w:t>
            </w:r>
          </w:p>
        </w:tc>
      </w:tr>
      <w:tr w:rsidR="003E5542" w:rsidRPr="004F1D1A" w14:paraId="232DDBBB" w14:textId="77777777" w:rsidTr="008B69B9">
        <w:trPr>
          <w:trHeight w:val="95"/>
          <w:jc w:val="center"/>
        </w:trPr>
        <w:tc>
          <w:tcPr>
            <w:tcW w:w="5690" w:type="dxa"/>
            <w:tcBorders>
              <w:top w:val="nil"/>
              <w:left w:val="nil"/>
              <w:bottom w:val="nil"/>
              <w:right w:val="nil"/>
            </w:tcBorders>
            <w:shd w:val="clear" w:color="000000" w:fill="FFFFFF"/>
            <w:noWrap/>
          </w:tcPr>
          <w:p w14:paraId="08D92A7B" w14:textId="18C1448A" w:rsidR="003E5542" w:rsidRPr="0074160F" w:rsidRDefault="003E5542" w:rsidP="003E5542">
            <w:pPr>
              <w:ind w:left="255" w:hanging="90"/>
              <w:rPr>
                <w:rFonts w:ascii="Calibri" w:hAnsi="Calibri" w:cs="Calibri"/>
                <w:sz w:val="20"/>
                <w:szCs w:val="20"/>
              </w:rPr>
            </w:pPr>
            <w:r w:rsidRPr="0074160F">
              <w:rPr>
                <w:sz w:val="20"/>
                <w:szCs w:val="20"/>
              </w:rPr>
              <w:t>•7 Custom House</w:t>
            </w:r>
            <w:r w:rsidR="005D60F2" w:rsidRPr="0074160F">
              <w:rPr>
                <w:sz w:val="20"/>
                <w:szCs w:val="20"/>
              </w:rPr>
              <w:t xml:space="preserve"> Portland</w:t>
            </w:r>
          </w:p>
        </w:tc>
        <w:tc>
          <w:tcPr>
            <w:tcW w:w="4570" w:type="dxa"/>
            <w:tcBorders>
              <w:top w:val="nil"/>
              <w:left w:val="nil"/>
              <w:bottom w:val="nil"/>
              <w:right w:val="nil"/>
            </w:tcBorders>
            <w:shd w:val="clear" w:color="000000" w:fill="FFFFFF"/>
          </w:tcPr>
          <w:p w14:paraId="0E3F58A0" w14:textId="016E414F" w:rsidR="003E5542" w:rsidRPr="0074160F" w:rsidRDefault="003E5542" w:rsidP="003E5542">
            <w:pPr>
              <w:rPr>
                <w:rFonts w:ascii="Calibri" w:hAnsi="Calibri" w:cs="Calibri"/>
                <w:sz w:val="20"/>
                <w:szCs w:val="20"/>
              </w:rPr>
            </w:pPr>
            <w:r w:rsidRPr="0074160F">
              <w:rPr>
                <w:sz w:val="20"/>
                <w:szCs w:val="20"/>
              </w:rPr>
              <w:t>State Appropriation, Grants, Education &amp; General</w:t>
            </w:r>
          </w:p>
        </w:tc>
        <w:tc>
          <w:tcPr>
            <w:tcW w:w="1794" w:type="dxa"/>
            <w:tcBorders>
              <w:top w:val="nil"/>
              <w:left w:val="nil"/>
              <w:bottom w:val="nil"/>
              <w:right w:val="nil"/>
            </w:tcBorders>
            <w:shd w:val="clear" w:color="000000" w:fill="FFFFFF"/>
            <w:noWrap/>
          </w:tcPr>
          <w:p w14:paraId="2F37AC24" w14:textId="3229CC93" w:rsidR="003E5542" w:rsidRPr="0074160F" w:rsidRDefault="003E5542" w:rsidP="003E5542">
            <w:pPr>
              <w:rPr>
                <w:rFonts w:ascii="Calibri" w:hAnsi="Calibri" w:cs="Calibri"/>
                <w:sz w:val="20"/>
                <w:szCs w:val="20"/>
              </w:rPr>
            </w:pPr>
            <w:r w:rsidRPr="0074160F">
              <w:rPr>
                <w:sz w:val="20"/>
                <w:szCs w:val="20"/>
              </w:rPr>
              <w:t>In Progress</w:t>
            </w:r>
          </w:p>
        </w:tc>
        <w:tc>
          <w:tcPr>
            <w:tcW w:w="1086" w:type="dxa"/>
            <w:tcBorders>
              <w:top w:val="nil"/>
              <w:left w:val="nil"/>
              <w:right w:val="nil"/>
            </w:tcBorders>
            <w:shd w:val="clear" w:color="000000" w:fill="FFFFFF"/>
            <w:noWrap/>
          </w:tcPr>
          <w:p w14:paraId="05D3A356" w14:textId="56CB49E0" w:rsidR="003E5542" w:rsidRPr="0074160F" w:rsidRDefault="003E5542" w:rsidP="003E5542">
            <w:pPr>
              <w:jc w:val="right"/>
              <w:rPr>
                <w:rFonts w:ascii="Calibri" w:hAnsi="Calibri" w:cs="Calibri"/>
                <w:sz w:val="20"/>
                <w:szCs w:val="20"/>
              </w:rPr>
            </w:pPr>
            <w:r w:rsidRPr="0074160F">
              <w:rPr>
                <w:sz w:val="20"/>
                <w:szCs w:val="20"/>
              </w:rPr>
              <w:t xml:space="preserve"> 8.50 </w:t>
            </w:r>
          </w:p>
        </w:tc>
      </w:tr>
      <w:tr w:rsidR="003E5542" w:rsidRPr="004F1D1A" w14:paraId="7F9967D9" w14:textId="77777777" w:rsidTr="008B69B9">
        <w:trPr>
          <w:trHeight w:val="95"/>
          <w:jc w:val="center"/>
        </w:trPr>
        <w:tc>
          <w:tcPr>
            <w:tcW w:w="5690" w:type="dxa"/>
            <w:tcBorders>
              <w:top w:val="nil"/>
              <w:left w:val="nil"/>
              <w:bottom w:val="nil"/>
              <w:right w:val="nil"/>
            </w:tcBorders>
            <w:shd w:val="clear" w:color="000000" w:fill="FFFFFF"/>
            <w:noWrap/>
          </w:tcPr>
          <w:p w14:paraId="31536555" w14:textId="76F0738A" w:rsidR="003E5542" w:rsidRPr="0074160F" w:rsidRDefault="003E5542" w:rsidP="003E5542">
            <w:pPr>
              <w:ind w:left="165"/>
              <w:rPr>
                <w:rFonts w:ascii="Calibri" w:hAnsi="Calibri" w:cs="Calibri"/>
                <w:sz w:val="20"/>
                <w:szCs w:val="20"/>
              </w:rPr>
            </w:pPr>
            <w:r w:rsidRPr="0074160F">
              <w:rPr>
                <w:sz w:val="20"/>
                <w:szCs w:val="20"/>
              </w:rPr>
              <w:t>•Data Integration System</w:t>
            </w:r>
          </w:p>
        </w:tc>
        <w:tc>
          <w:tcPr>
            <w:tcW w:w="4570" w:type="dxa"/>
            <w:tcBorders>
              <w:top w:val="nil"/>
              <w:left w:val="nil"/>
              <w:bottom w:val="nil"/>
              <w:right w:val="nil"/>
            </w:tcBorders>
            <w:shd w:val="clear" w:color="000000" w:fill="FFFFFF"/>
          </w:tcPr>
          <w:p w14:paraId="676343E5" w14:textId="174C84C7" w:rsidR="003E5542" w:rsidRPr="0074160F" w:rsidRDefault="003E5542" w:rsidP="003E5542">
            <w:pPr>
              <w:rPr>
                <w:rFonts w:ascii="Calibri" w:hAnsi="Calibri" w:cs="Calibri"/>
                <w:sz w:val="20"/>
                <w:szCs w:val="20"/>
              </w:rPr>
            </w:pPr>
            <w:r w:rsidRPr="0074160F">
              <w:rPr>
                <w:sz w:val="20"/>
                <w:szCs w:val="20"/>
              </w:rPr>
              <w:t>Education &amp; General</w:t>
            </w:r>
          </w:p>
        </w:tc>
        <w:tc>
          <w:tcPr>
            <w:tcW w:w="1794" w:type="dxa"/>
            <w:tcBorders>
              <w:top w:val="nil"/>
              <w:left w:val="nil"/>
              <w:bottom w:val="nil"/>
              <w:right w:val="nil"/>
            </w:tcBorders>
            <w:shd w:val="clear" w:color="000000" w:fill="FFFFFF"/>
            <w:noWrap/>
          </w:tcPr>
          <w:p w14:paraId="6630961C" w14:textId="7758511D" w:rsidR="003E5542" w:rsidRPr="0074160F" w:rsidRDefault="003E5542" w:rsidP="003E5542">
            <w:pPr>
              <w:rPr>
                <w:rFonts w:ascii="Calibri" w:hAnsi="Calibri" w:cs="Calibri"/>
                <w:sz w:val="20"/>
                <w:szCs w:val="20"/>
              </w:rPr>
            </w:pPr>
            <w:r w:rsidRPr="0074160F">
              <w:rPr>
                <w:sz w:val="20"/>
                <w:szCs w:val="20"/>
              </w:rPr>
              <w:t>In Progress</w:t>
            </w:r>
          </w:p>
        </w:tc>
        <w:tc>
          <w:tcPr>
            <w:tcW w:w="1086" w:type="dxa"/>
            <w:tcBorders>
              <w:top w:val="nil"/>
              <w:left w:val="nil"/>
              <w:right w:val="nil"/>
            </w:tcBorders>
            <w:shd w:val="clear" w:color="000000" w:fill="FFFFFF"/>
            <w:noWrap/>
          </w:tcPr>
          <w:p w14:paraId="70FB9BEB" w14:textId="17CAADFE" w:rsidR="003E5542" w:rsidRPr="0074160F" w:rsidRDefault="003E5542" w:rsidP="003E5542">
            <w:pPr>
              <w:jc w:val="right"/>
              <w:rPr>
                <w:rFonts w:ascii="Calibri" w:hAnsi="Calibri" w:cs="Calibri"/>
                <w:sz w:val="20"/>
                <w:szCs w:val="20"/>
              </w:rPr>
            </w:pPr>
            <w:r w:rsidRPr="0074160F">
              <w:rPr>
                <w:sz w:val="20"/>
                <w:szCs w:val="20"/>
              </w:rPr>
              <w:t xml:space="preserve"> 2.50 </w:t>
            </w:r>
          </w:p>
        </w:tc>
      </w:tr>
      <w:tr w:rsidR="003E5542" w:rsidRPr="004F1D1A" w14:paraId="24A50CBF" w14:textId="77777777" w:rsidTr="008B69B9">
        <w:trPr>
          <w:trHeight w:val="95"/>
          <w:jc w:val="center"/>
        </w:trPr>
        <w:tc>
          <w:tcPr>
            <w:tcW w:w="5690" w:type="dxa"/>
            <w:tcBorders>
              <w:top w:val="nil"/>
              <w:left w:val="nil"/>
              <w:bottom w:val="nil"/>
              <w:right w:val="nil"/>
            </w:tcBorders>
            <w:shd w:val="clear" w:color="000000" w:fill="FFFFFF"/>
            <w:noWrap/>
          </w:tcPr>
          <w:p w14:paraId="54B67D5F" w14:textId="72930778" w:rsidR="003E5542" w:rsidRPr="0074160F" w:rsidRDefault="003E5542" w:rsidP="003E5542">
            <w:pPr>
              <w:ind w:left="165"/>
              <w:rPr>
                <w:rFonts w:ascii="Calibri" w:hAnsi="Calibri" w:cs="Calibri"/>
                <w:sz w:val="20"/>
                <w:szCs w:val="20"/>
              </w:rPr>
            </w:pPr>
            <w:r w:rsidRPr="0074160F">
              <w:rPr>
                <w:sz w:val="20"/>
                <w:szCs w:val="20"/>
              </w:rPr>
              <w:t>•IT Infrastructure - Wireless and Classroom Technology Upgrades</w:t>
            </w:r>
          </w:p>
        </w:tc>
        <w:tc>
          <w:tcPr>
            <w:tcW w:w="4570" w:type="dxa"/>
            <w:tcBorders>
              <w:top w:val="nil"/>
              <w:left w:val="nil"/>
              <w:bottom w:val="nil"/>
              <w:right w:val="nil"/>
            </w:tcBorders>
            <w:shd w:val="clear" w:color="000000" w:fill="FFFFFF"/>
          </w:tcPr>
          <w:p w14:paraId="77F47B14" w14:textId="09AE2053" w:rsidR="003E5542" w:rsidRPr="0074160F" w:rsidRDefault="003E5542" w:rsidP="003E5542">
            <w:pPr>
              <w:rPr>
                <w:rFonts w:ascii="Calibri" w:hAnsi="Calibri" w:cs="Calibri"/>
                <w:sz w:val="20"/>
                <w:szCs w:val="20"/>
              </w:rPr>
            </w:pPr>
            <w:r w:rsidRPr="0074160F">
              <w:rPr>
                <w:sz w:val="20"/>
                <w:szCs w:val="20"/>
              </w:rPr>
              <w:t>2017 Revenue Bond</w:t>
            </w:r>
          </w:p>
        </w:tc>
        <w:tc>
          <w:tcPr>
            <w:tcW w:w="1794" w:type="dxa"/>
            <w:tcBorders>
              <w:top w:val="nil"/>
              <w:left w:val="nil"/>
              <w:bottom w:val="nil"/>
              <w:right w:val="nil"/>
            </w:tcBorders>
            <w:shd w:val="clear" w:color="000000" w:fill="FFFFFF"/>
            <w:noWrap/>
          </w:tcPr>
          <w:p w14:paraId="792298BC" w14:textId="7B331F83" w:rsidR="003E5542" w:rsidRPr="0074160F" w:rsidRDefault="003E5542" w:rsidP="003E5542">
            <w:pPr>
              <w:rPr>
                <w:rFonts w:ascii="Calibri" w:hAnsi="Calibri" w:cs="Calibri"/>
                <w:sz w:val="20"/>
                <w:szCs w:val="20"/>
              </w:rPr>
            </w:pPr>
            <w:r w:rsidRPr="0074160F">
              <w:rPr>
                <w:sz w:val="20"/>
                <w:szCs w:val="20"/>
              </w:rPr>
              <w:t>In Progress</w:t>
            </w:r>
          </w:p>
        </w:tc>
        <w:tc>
          <w:tcPr>
            <w:tcW w:w="1086" w:type="dxa"/>
            <w:tcBorders>
              <w:top w:val="nil"/>
              <w:left w:val="nil"/>
              <w:right w:val="nil"/>
            </w:tcBorders>
            <w:shd w:val="clear" w:color="000000" w:fill="FFFFFF"/>
            <w:noWrap/>
          </w:tcPr>
          <w:p w14:paraId="3F4A68D8" w14:textId="492EDBB3" w:rsidR="003E5542" w:rsidRPr="0074160F" w:rsidRDefault="003E5542" w:rsidP="003E5542">
            <w:pPr>
              <w:jc w:val="right"/>
              <w:rPr>
                <w:rFonts w:ascii="Calibri" w:hAnsi="Calibri" w:cs="Calibri"/>
                <w:sz w:val="20"/>
                <w:szCs w:val="20"/>
              </w:rPr>
            </w:pPr>
            <w:r w:rsidRPr="0074160F">
              <w:rPr>
                <w:sz w:val="20"/>
                <w:szCs w:val="20"/>
              </w:rPr>
              <w:t xml:space="preserve"> 19.00 </w:t>
            </w:r>
          </w:p>
        </w:tc>
      </w:tr>
      <w:tr w:rsidR="003E5542" w:rsidRPr="004F1D1A" w14:paraId="06D2492A" w14:textId="77777777" w:rsidTr="008B69B9">
        <w:trPr>
          <w:trHeight w:val="95"/>
          <w:jc w:val="center"/>
        </w:trPr>
        <w:tc>
          <w:tcPr>
            <w:tcW w:w="5690" w:type="dxa"/>
            <w:tcBorders>
              <w:top w:val="nil"/>
              <w:left w:val="nil"/>
              <w:bottom w:val="nil"/>
              <w:right w:val="nil"/>
            </w:tcBorders>
            <w:shd w:val="clear" w:color="000000" w:fill="FFFFFF"/>
            <w:noWrap/>
          </w:tcPr>
          <w:p w14:paraId="6244DC25" w14:textId="6C6553DD" w:rsidR="003E5542" w:rsidRPr="0074160F" w:rsidRDefault="003E5542" w:rsidP="003E5542">
            <w:pPr>
              <w:ind w:left="165"/>
              <w:rPr>
                <w:rFonts w:ascii="Calibri" w:hAnsi="Calibri" w:cs="Calibri"/>
                <w:sz w:val="20"/>
                <w:szCs w:val="20"/>
              </w:rPr>
            </w:pPr>
            <w:r w:rsidRPr="0074160F">
              <w:rPr>
                <w:sz w:val="20"/>
                <w:szCs w:val="20"/>
              </w:rPr>
              <w:t>•</w:t>
            </w:r>
            <w:proofErr w:type="spellStart"/>
            <w:r w:rsidRPr="0074160F">
              <w:rPr>
                <w:sz w:val="20"/>
                <w:szCs w:val="20"/>
              </w:rPr>
              <w:t>MaineStreet</w:t>
            </w:r>
            <w:proofErr w:type="spellEnd"/>
            <w:r w:rsidRPr="0074160F">
              <w:rPr>
                <w:sz w:val="20"/>
                <w:szCs w:val="20"/>
              </w:rPr>
              <w:t xml:space="preserve"> Upgrade</w:t>
            </w:r>
          </w:p>
        </w:tc>
        <w:tc>
          <w:tcPr>
            <w:tcW w:w="4570" w:type="dxa"/>
            <w:tcBorders>
              <w:top w:val="nil"/>
              <w:left w:val="nil"/>
              <w:bottom w:val="nil"/>
              <w:right w:val="nil"/>
            </w:tcBorders>
            <w:shd w:val="clear" w:color="000000" w:fill="FFFFFF"/>
          </w:tcPr>
          <w:p w14:paraId="06BE65AA" w14:textId="0565C0FD" w:rsidR="003E5542" w:rsidRPr="0074160F" w:rsidRDefault="003E5542" w:rsidP="003E5542">
            <w:pPr>
              <w:rPr>
                <w:rFonts w:ascii="Calibri" w:hAnsi="Calibri" w:cs="Calibri"/>
                <w:sz w:val="20"/>
                <w:szCs w:val="20"/>
              </w:rPr>
            </w:pPr>
            <w:r w:rsidRPr="0074160F">
              <w:rPr>
                <w:sz w:val="20"/>
                <w:szCs w:val="20"/>
              </w:rPr>
              <w:t>2017 Revenue Bond</w:t>
            </w:r>
          </w:p>
        </w:tc>
        <w:tc>
          <w:tcPr>
            <w:tcW w:w="1794" w:type="dxa"/>
            <w:tcBorders>
              <w:top w:val="nil"/>
              <w:left w:val="nil"/>
              <w:bottom w:val="nil"/>
              <w:right w:val="nil"/>
            </w:tcBorders>
            <w:shd w:val="clear" w:color="000000" w:fill="FFFFFF"/>
            <w:noWrap/>
          </w:tcPr>
          <w:p w14:paraId="514EE5A7" w14:textId="02C0437F" w:rsidR="003E5542" w:rsidRPr="0074160F" w:rsidRDefault="003E5542" w:rsidP="003E5542">
            <w:pPr>
              <w:rPr>
                <w:rFonts w:ascii="Calibri" w:hAnsi="Calibri" w:cs="Calibri"/>
                <w:sz w:val="20"/>
                <w:szCs w:val="20"/>
              </w:rPr>
            </w:pPr>
            <w:r w:rsidRPr="0074160F">
              <w:rPr>
                <w:sz w:val="20"/>
                <w:szCs w:val="20"/>
              </w:rPr>
              <w:t>Complete</w:t>
            </w:r>
          </w:p>
        </w:tc>
        <w:tc>
          <w:tcPr>
            <w:tcW w:w="1086" w:type="dxa"/>
            <w:tcBorders>
              <w:left w:val="nil"/>
              <w:bottom w:val="single" w:sz="4" w:space="0" w:color="auto"/>
              <w:right w:val="nil"/>
            </w:tcBorders>
            <w:shd w:val="clear" w:color="000000" w:fill="FFFFFF"/>
            <w:noWrap/>
          </w:tcPr>
          <w:p w14:paraId="5ACD08AA" w14:textId="6988BB0C" w:rsidR="003E5542" w:rsidRPr="0074160F" w:rsidRDefault="003E5542" w:rsidP="003E5542">
            <w:pPr>
              <w:jc w:val="right"/>
              <w:rPr>
                <w:rFonts w:ascii="Calibri" w:hAnsi="Calibri" w:cs="Calibri"/>
                <w:sz w:val="20"/>
                <w:szCs w:val="20"/>
              </w:rPr>
            </w:pPr>
            <w:r w:rsidRPr="0074160F">
              <w:rPr>
                <w:sz w:val="20"/>
                <w:szCs w:val="20"/>
              </w:rPr>
              <w:t xml:space="preserve"> 2.00 </w:t>
            </w:r>
          </w:p>
        </w:tc>
      </w:tr>
      <w:tr w:rsidR="004F1D1A" w:rsidRPr="004F1D1A" w14:paraId="5D9D2BE2" w14:textId="77777777" w:rsidTr="008B69B9">
        <w:trPr>
          <w:trHeight w:val="95"/>
          <w:jc w:val="center"/>
        </w:trPr>
        <w:tc>
          <w:tcPr>
            <w:tcW w:w="5690" w:type="dxa"/>
            <w:tcBorders>
              <w:top w:val="nil"/>
              <w:left w:val="nil"/>
              <w:bottom w:val="double" w:sz="4" w:space="0" w:color="auto"/>
              <w:right w:val="nil"/>
            </w:tcBorders>
            <w:shd w:val="clear" w:color="000000" w:fill="FFFFFF"/>
            <w:noWrap/>
          </w:tcPr>
          <w:p w14:paraId="1D52F78D" w14:textId="77777777" w:rsidR="004F1D1A" w:rsidRPr="00324E33" w:rsidRDefault="004F1D1A" w:rsidP="004F1D1A">
            <w:pPr>
              <w:rPr>
                <w:rFonts w:ascii="Calibri" w:hAnsi="Calibri" w:cs="Calibri"/>
                <w:sz w:val="20"/>
                <w:szCs w:val="20"/>
              </w:rPr>
            </w:pPr>
            <w:r w:rsidRPr="00324E33">
              <w:rPr>
                <w:rFonts w:ascii="Calibri" w:hAnsi="Calibri" w:cs="Calibri"/>
                <w:sz w:val="20"/>
                <w:szCs w:val="20"/>
              </w:rPr>
              <w:t>TOTAL</w:t>
            </w:r>
          </w:p>
        </w:tc>
        <w:tc>
          <w:tcPr>
            <w:tcW w:w="4570" w:type="dxa"/>
            <w:tcBorders>
              <w:top w:val="nil"/>
              <w:left w:val="nil"/>
              <w:bottom w:val="double" w:sz="4" w:space="0" w:color="auto"/>
              <w:right w:val="nil"/>
            </w:tcBorders>
            <w:shd w:val="clear" w:color="000000" w:fill="FFFFFF"/>
          </w:tcPr>
          <w:p w14:paraId="12EFA50E" w14:textId="77777777" w:rsidR="004F1D1A" w:rsidRPr="00324E33" w:rsidRDefault="004F1D1A" w:rsidP="004F1D1A">
            <w:pPr>
              <w:rPr>
                <w:rFonts w:ascii="Calibri" w:hAnsi="Calibri" w:cs="Calibri"/>
                <w:sz w:val="20"/>
                <w:szCs w:val="20"/>
              </w:rPr>
            </w:pPr>
            <w:r w:rsidRPr="00324E33">
              <w:rPr>
                <w:rFonts w:ascii="Calibri" w:hAnsi="Calibri" w:cs="Calibri"/>
                <w:sz w:val="20"/>
                <w:szCs w:val="20"/>
              </w:rPr>
              <w:t> </w:t>
            </w:r>
          </w:p>
        </w:tc>
        <w:tc>
          <w:tcPr>
            <w:tcW w:w="1794" w:type="dxa"/>
            <w:tcBorders>
              <w:top w:val="nil"/>
              <w:left w:val="nil"/>
              <w:bottom w:val="double" w:sz="4" w:space="0" w:color="auto"/>
              <w:right w:val="nil"/>
            </w:tcBorders>
            <w:shd w:val="clear" w:color="000000" w:fill="FFFFFF"/>
            <w:noWrap/>
          </w:tcPr>
          <w:p w14:paraId="0E9BD2D8" w14:textId="77777777" w:rsidR="004F1D1A" w:rsidRPr="00324E33" w:rsidRDefault="004F1D1A" w:rsidP="004F1D1A">
            <w:pPr>
              <w:rPr>
                <w:rFonts w:ascii="Calibri" w:hAnsi="Calibri" w:cs="Calibri"/>
                <w:sz w:val="20"/>
                <w:szCs w:val="20"/>
              </w:rPr>
            </w:pPr>
            <w:r w:rsidRPr="00324E33">
              <w:rPr>
                <w:rFonts w:ascii="Calibri" w:hAnsi="Calibri" w:cs="Calibri"/>
                <w:sz w:val="20"/>
                <w:szCs w:val="20"/>
              </w:rPr>
              <w:t> </w:t>
            </w:r>
          </w:p>
        </w:tc>
        <w:tc>
          <w:tcPr>
            <w:tcW w:w="1086" w:type="dxa"/>
            <w:tcBorders>
              <w:top w:val="single" w:sz="4" w:space="0" w:color="auto"/>
              <w:left w:val="nil"/>
              <w:bottom w:val="double" w:sz="4" w:space="0" w:color="auto"/>
              <w:right w:val="nil"/>
            </w:tcBorders>
            <w:shd w:val="clear" w:color="000000" w:fill="FFFFFF"/>
            <w:noWrap/>
          </w:tcPr>
          <w:p w14:paraId="0AF46A42" w14:textId="0E79C0F0" w:rsidR="004F1D1A" w:rsidRPr="00324E33" w:rsidRDefault="004F1D1A" w:rsidP="00781761">
            <w:pPr>
              <w:jc w:val="right"/>
              <w:rPr>
                <w:rFonts w:ascii="Calibri" w:hAnsi="Calibri" w:cs="Calibri"/>
                <w:sz w:val="20"/>
                <w:szCs w:val="20"/>
              </w:rPr>
            </w:pPr>
            <w:r w:rsidRPr="00324E33">
              <w:rPr>
                <w:rFonts w:ascii="Calibri" w:hAnsi="Calibri" w:cs="Calibri"/>
                <w:sz w:val="20"/>
                <w:szCs w:val="20"/>
              </w:rPr>
              <w:t>$</w:t>
            </w:r>
            <w:r w:rsidR="00A96EC6">
              <w:rPr>
                <w:rFonts w:ascii="Calibri" w:hAnsi="Calibri" w:cs="Calibri"/>
                <w:sz w:val="20"/>
                <w:szCs w:val="20"/>
              </w:rPr>
              <w:t>771.35</w:t>
            </w:r>
          </w:p>
        </w:tc>
      </w:tr>
    </w:tbl>
    <w:p w14:paraId="451D1F10" w14:textId="77777777" w:rsidR="004F1D1A" w:rsidRPr="004F1D1A" w:rsidRDefault="004F1D1A" w:rsidP="00D75CAF">
      <w:pPr>
        <w:rPr>
          <w:rFonts w:cstheme="minorHAnsi"/>
          <w:sz w:val="2"/>
          <w:szCs w:val="2"/>
        </w:rPr>
        <w:sectPr w:rsidR="004F1D1A" w:rsidRPr="004F1D1A" w:rsidSect="00DC059D">
          <w:footerReference w:type="default" r:id="rId30"/>
          <w:pgSz w:w="15840" w:h="12240" w:orient="landscape"/>
          <w:pgMar w:top="1152" w:right="1440" w:bottom="1152" w:left="1440" w:header="720" w:footer="720" w:gutter="0"/>
          <w:cols w:space="720"/>
          <w:docGrid w:linePitch="299"/>
        </w:sectPr>
      </w:pPr>
    </w:p>
    <w:p w14:paraId="2E055B86" w14:textId="77777777" w:rsidR="00A83362" w:rsidRPr="004E6649" w:rsidRDefault="00A83362" w:rsidP="00A83362">
      <w:pPr>
        <w:pStyle w:val="AFR3"/>
        <w:rPr>
          <w:rFonts w:cstheme="minorHAnsi"/>
          <w:sz w:val="24"/>
          <w:szCs w:val="20"/>
        </w:rPr>
      </w:pPr>
      <w:r w:rsidRPr="004E6649">
        <w:rPr>
          <w:rFonts w:cstheme="minorHAnsi"/>
          <w:sz w:val="24"/>
          <w:szCs w:val="20"/>
        </w:rPr>
        <w:lastRenderedPageBreak/>
        <w:t>Deferred Outflows and Inflows of Resources</w:t>
      </w:r>
    </w:p>
    <w:p w14:paraId="1E94EAB7" w14:textId="03126746" w:rsidR="00A83362" w:rsidRDefault="00A83362" w:rsidP="00A83362">
      <w:pPr>
        <w:rPr>
          <w:rFonts w:cstheme="minorHAnsi"/>
          <w:sz w:val="24"/>
        </w:rPr>
      </w:pPr>
      <w:r w:rsidRPr="004E6649">
        <w:rPr>
          <w:rFonts w:cstheme="minorHAnsi"/>
          <w:sz w:val="24"/>
        </w:rPr>
        <w:t xml:space="preserve">The System’s deferred outflows and deferred inflows of resources primarily relate to the System’s </w:t>
      </w:r>
      <w:r w:rsidR="00B7307E">
        <w:rPr>
          <w:rFonts w:cstheme="minorHAnsi"/>
          <w:sz w:val="24"/>
        </w:rPr>
        <w:t>public-private partnership (</w:t>
      </w:r>
      <w:r w:rsidR="00D63DA6">
        <w:rPr>
          <w:rFonts w:cstheme="minorHAnsi"/>
          <w:sz w:val="24"/>
        </w:rPr>
        <w:t>PPP</w:t>
      </w:r>
      <w:r w:rsidR="00B7307E">
        <w:rPr>
          <w:rFonts w:cstheme="minorHAnsi"/>
          <w:sz w:val="24"/>
        </w:rPr>
        <w:t>)</w:t>
      </w:r>
      <w:r w:rsidR="00D63DA6">
        <w:rPr>
          <w:rFonts w:cstheme="minorHAnsi"/>
          <w:sz w:val="24"/>
        </w:rPr>
        <w:t xml:space="preserve"> arrangement, </w:t>
      </w:r>
      <w:r w:rsidRPr="004E6649">
        <w:rPr>
          <w:rFonts w:cstheme="minorHAnsi"/>
          <w:sz w:val="24"/>
        </w:rPr>
        <w:t xml:space="preserve">defined benefit pension plan and its other postemployment health plan (OPEB). The </w:t>
      </w:r>
      <w:r w:rsidR="00B7307E">
        <w:rPr>
          <w:rFonts w:cstheme="minorHAnsi"/>
          <w:sz w:val="24"/>
        </w:rPr>
        <w:t xml:space="preserve">total </w:t>
      </w:r>
      <w:r w:rsidRPr="004E6649">
        <w:rPr>
          <w:rFonts w:cstheme="minorHAnsi"/>
          <w:sz w:val="24"/>
        </w:rPr>
        <w:t>deferrals</w:t>
      </w:r>
      <w:r w:rsidR="00B7307E">
        <w:rPr>
          <w:rFonts w:cstheme="minorHAnsi"/>
          <w:sz w:val="24"/>
        </w:rPr>
        <w:t xml:space="preserve"> related to the defined benefit pension plan and OPEB</w:t>
      </w:r>
      <w:r w:rsidRPr="004E6649">
        <w:rPr>
          <w:rFonts w:cstheme="minorHAnsi"/>
          <w:sz w:val="24"/>
        </w:rPr>
        <w:t xml:space="preserve"> can fluctuate significantly from year-to-year depending on changes in assumptions used for the plans, differences between expected and actual experience, and differences between projected and actual earnings on plan investments.  To smooth the impact of these changes, they are amortized over a period of years.</w:t>
      </w:r>
    </w:p>
    <w:p w14:paraId="0CF0A8FC" w14:textId="77777777" w:rsidR="00D63DA6" w:rsidRDefault="00D63DA6" w:rsidP="00A83362">
      <w:pPr>
        <w:rPr>
          <w:rFonts w:cstheme="minorHAnsi"/>
          <w:sz w:val="24"/>
          <w:szCs w:val="24"/>
        </w:rPr>
      </w:pPr>
    </w:p>
    <w:p w14:paraId="782BF8BD" w14:textId="783CD6DE" w:rsidR="00A83362" w:rsidRPr="004E6649" w:rsidRDefault="00A83362" w:rsidP="00A83362">
      <w:pPr>
        <w:rPr>
          <w:rFonts w:cstheme="minorHAnsi"/>
          <w:sz w:val="24"/>
        </w:rPr>
      </w:pPr>
      <w:r w:rsidRPr="004E6649">
        <w:rPr>
          <w:rFonts w:cstheme="minorHAnsi"/>
          <w:sz w:val="24"/>
        </w:rPr>
        <w:t xml:space="preserve">At June 30, </w:t>
      </w:r>
      <w:r w:rsidR="00FF4A88" w:rsidRPr="004E6649">
        <w:rPr>
          <w:rFonts w:cstheme="minorHAnsi"/>
          <w:sz w:val="24"/>
        </w:rPr>
        <w:t>202</w:t>
      </w:r>
      <w:r w:rsidR="00FF4A88">
        <w:rPr>
          <w:rFonts w:cstheme="minorHAnsi"/>
          <w:sz w:val="24"/>
        </w:rPr>
        <w:t>5</w:t>
      </w:r>
      <w:r w:rsidR="00FF4A88" w:rsidRPr="004E6649">
        <w:rPr>
          <w:rFonts w:cstheme="minorHAnsi"/>
          <w:sz w:val="24"/>
        </w:rPr>
        <w:t xml:space="preserve"> </w:t>
      </w:r>
      <w:r w:rsidRPr="004E6649">
        <w:rPr>
          <w:rFonts w:cstheme="minorHAnsi"/>
          <w:sz w:val="24"/>
        </w:rPr>
        <w:t>deferred outflows of resources totaled $</w:t>
      </w:r>
      <w:r w:rsidR="002C0A68">
        <w:rPr>
          <w:rFonts w:cstheme="minorHAnsi"/>
          <w:sz w:val="24"/>
        </w:rPr>
        <w:t>22</w:t>
      </w:r>
      <w:r w:rsidR="002C0A68" w:rsidRPr="004E6649">
        <w:rPr>
          <w:rFonts w:cstheme="minorHAnsi"/>
          <w:sz w:val="24"/>
        </w:rPr>
        <w:t xml:space="preserve"> </w:t>
      </w:r>
      <w:r w:rsidRPr="004E6649">
        <w:rPr>
          <w:rFonts w:cstheme="minorHAnsi"/>
          <w:sz w:val="24"/>
        </w:rPr>
        <w:t>million, a</w:t>
      </w:r>
      <w:r w:rsidR="002C0A68" w:rsidRPr="00DF43A9">
        <w:rPr>
          <w:rFonts w:cstheme="minorHAnsi"/>
          <w:sz w:val="24"/>
        </w:rPr>
        <w:t>n in</w:t>
      </w:r>
      <w:r w:rsidRPr="002C0A68">
        <w:rPr>
          <w:rFonts w:cstheme="minorHAnsi"/>
          <w:sz w:val="24"/>
        </w:rPr>
        <w:t>crease of $</w:t>
      </w:r>
      <w:r w:rsidR="002C0A68" w:rsidRPr="002C0A68">
        <w:rPr>
          <w:rFonts w:cstheme="minorHAnsi"/>
          <w:sz w:val="24"/>
        </w:rPr>
        <w:t>1</w:t>
      </w:r>
      <w:r w:rsidR="002C0A68">
        <w:rPr>
          <w:rFonts w:cstheme="minorHAnsi"/>
          <w:sz w:val="24"/>
        </w:rPr>
        <w:t>6</w:t>
      </w:r>
      <w:r w:rsidR="002C0A68" w:rsidRPr="004E6649">
        <w:rPr>
          <w:rFonts w:cstheme="minorHAnsi"/>
          <w:sz w:val="24"/>
        </w:rPr>
        <w:t xml:space="preserve"> </w:t>
      </w:r>
      <w:r w:rsidRPr="004E6649">
        <w:rPr>
          <w:rFonts w:cstheme="minorHAnsi"/>
          <w:sz w:val="24"/>
        </w:rPr>
        <w:t>million from the prior year balance of $</w:t>
      </w:r>
      <w:r w:rsidR="00FF4A88">
        <w:rPr>
          <w:rFonts w:cstheme="minorHAnsi"/>
          <w:sz w:val="24"/>
        </w:rPr>
        <w:t>6</w:t>
      </w:r>
      <w:r w:rsidR="00FF4A88" w:rsidRPr="004E6649">
        <w:rPr>
          <w:rFonts w:cstheme="minorHAnsi"/>
          <w:sz w:val="24"/>
        </w:rPr>
        <w:t xml:space="preserve"> </w:t>
      </w:r>
      <w:r w:rsidRPr="004E6649">
        <w:rPr>
          <w:rFonts w:cstheme="minorHAnsi"/>
          <w:sz w:val="24"/>
        </w:rPr>
        <w:t xml:space="preserve">million. </w:t>
      </w:r>
      <w:r w:rsidRPr="006F770D">
        <w:rPr>
          <w:rFonts w:cstheme="minorHAnsi"/>
          <w:color w:val="0D0D0D" w:themeColor="text1" w:themeTint="F2"/>
          <w:sz w:val="24"/>
        </w:rPr>
        <w:t xml:space="preserve">The </w:t>
      </w:r>
      <w:r w:rsidR="002C0A68">
        <w:rPr>
          <w:rFonts w:cstheme="minorHAnsi"/>
          <w:color w:val="0D0D0D" w:themeColor="text1" w:themeTint="F2"/>
          <w:sz w:val="24"/>
        </w:rPr>
        <w:t>in</w:t>
      </w:r>
      <w:r w:rsidR="002C0A68" w:rsidRPr="006F770D">
        <w:rPr>
          <w:rFonts w:cstheme="minorHAnsi"/>
          <w:color w:val="0D0D0D" w:themeColor="text1" w:themeTint="F2"/>
          <w:sz w:val="24"/>
        </w:rPr>
        <w:t xml:space="preserve">crease </w:t>
      </w:r>
      <w:r w:rsidRPr="006F770D">
        <w:rPr>
          <w:rFonts w:cstheme="minorHAnsi"/>
          <w:color w:val="0D0D0D" w:themeColor="text1" w:themeTint="F2"/>
          <w:sz w:val="24"/>
        </w:rPr>
        <w:t>is primarily due to a</w:t>
      </w:r>
      <w:r w:rsidR="00EC4D64">
        <w:rPr>
          <w:rFonts w:cstheme="minorHAnsi"/>
          <w:color w:val="0D0D0D" w:themeColor="text1" w:themeTint="F2"/>
          <w:sz w:val="24"/>
        </w:rPr>
        <w:t>n in</w:t>
      </w:r>
      <w:r w:rsidRPr="00EC4D64">
        <w:rPr>
          <w:rFonts w:cstheme="minorHAnsi"/>
          <w:color w:val="0D0D0D" w:themeColor="text1" w:themeTint="F2"/>
          <w:sz w:val="24"/>
        </w:rPr>
        <w:t>crease of $</w:t>
      </w:r>
      <w:r w:rsidR="00EC4D64" w:rsidRPr="00EC4D64">
        <w:rPr>
          <w:rFonts w:cstheme="minorHAnsi"/>
          <w:color w:val="0D0D0D" w:themeColor="text1" w:themeTint="F2"/>
          <w:sz w:val="24"/>
        </w:rPr>
        <w:t>1</w:t>
      </w:r>
      <w:r w:rsidR="00EC4D64" w:rsidRPr="00DF43A9">
        <w:rPr>
          <w:rFonts w:cstheme="minorHAnsi"/>
          <w:color w:val="0D0D0D" w:themeColor="text1" w:themeTint="F2"/>
          <w:sz w:val="24"/>
        </w:rPr>
        <w:t>5</w:t>
      </w:r>
      <w:r w:rsidR="00EC4D64" w:rsidRPr="00EC4D64">
        <w:rPr>
          <w:rFonts w:cstheme="minorHAnsi"/>
          <w:color w:val="0D0D0D" w:themeColor="text1" w:themeTint="F2"/>
          <w:sz w:val="24"/>
        </w:rPr>
        <w:t xml:space="preserve"> </w:t>
      </w:r>
      <w:r w:rsidRPr="00EC4D64">
        <w:rPr>
          <w:rFonts w:cstheme="minorHAnsi"/>
          <w:color w:val="0D0D0D" w:themeColor="text1" w:themeTint="F2"/>
          <w:sz w:val="24"/>
        </w:rPr>
        <w:t>million related to OPEB.</w:t>
      </w:r>
      <w:r w:rsidRPr="00EC4D64">
        <w:rPr>
          <w:rFonts w:cstheme="minorHAnsi"/>
          <w:color w:val="FF0000"/>
          <w:sz w:val="24"/>
        </w:rPr>
        <w:t xml:space="preserve"> </w:t>
      </w:r>
      <w:r w:rsidRPr="00EC4D64">
        <w:rPr>
          <w:rFonts w:cstheme="minorHAnsi"/>
          <w:sz w:val="24"/>
        </w:rPr>
        <w:t>I</w:t>
      </w:r>
      <w:r w:rsidRPr="004E6649">
        <w:rPr>
          <w:rFonts w:cstheme="minorHAnsi"/>
          <w:sz w:val="24"/>
        </w:rPr>
        <w:t xml:space="preserve">n </w:t>
      </w:r>
      <w:r w:rsidR="00FF4A88" w:rsidRPr="004E6649">
        <w:rPr>
          <w:rFonts w:cstheme="minorHAnsi"/>
          <w:sz w:val="24"/>
        </w:rPr>
        <w:t>FY2</w:t>
      </w:r>
      <w:r w:rsidR="00FF4A88">
        <w:rPr>
          <w:rFonts w:cstheme="minorHAnsi"/>
          <w:sz w:val="24"/>
        </w:rPr>
        <w:t>4</w:t>
      </w:r>
      <w:r w:rsidRPr="004E6649">
        <w:rPr>
          <w:rFonts w:cstheme="minorHAnsi"/>
          <w:sz w:val="24"/>
        </w:rPr>
        <w:t xml:space="preserve">, the System’s deferred outflows of resources </w:t>
      </w:r>
      <w:r w:rsidR="00BC1B22">
        <w:rPr>
          <w:rFonts w:cstheme="minorHAnsi"/>
          <w:sz w:val="24"/>
        </w:rPr>
        <w:t>de</w:t>
      </w:r>
      <w:r w:rsidRPr="004E6649">
        <w:rPr>
          <w:rFonts w:cstheme="minorHAnsi"/>
          <w:sz w:val="24"/>
        </w:rPr>
        <w:t>creased $</w:t>
      </w:r>
      <w:r w:rsidR="00FF4A88" w:rsidRPr="004E6649">
        <w:rPr>
          <w:rFonts w:cstheme="minorHAnsi"/>
          <w:sz w:val="24"/>
        </w:rPr>
        <w:t>1</w:t>
      </w:r>
      <w:r w:rsidR="00FF4A88">
        <w:rPr>
          <w:rFonts w:cstheme="minorHAnsi"/>
          <w:sz w:val="24"/>
        </w:rPr>
        <w:t>1</w:t>
      </w:r>
      <w:r w:rsidR="00FF4A88" w:rsidRPr="004E6649">
        <w:rPr>
          <w:rFonts w:cstheme="minorHAnsi"/>
          <w:sz w:val="24"/>
        </w:rPr>
        <w:t xml:space="preserve"> </w:t>
      </w:r>
      <w:r w:rsidRPr="004E6649">
        <w:rPr>
          <w:rFonts w:cstheme="minorHAnsi"/>
          <w:sz w:val="24"/>
        </w:rPr>
        <w:t xml:space="preserve">million from the June 30, </w:t>
      </w:r>
      <w:r w:rsidR="00FF4A88" w:rsidRPr="004E6649">
        <w:rPr>
          <w:rFonts w:cstheme="minorHAnsi"/>
          <w:sz w:val="24"/>
        </w:rPr>
        <w:t>202</w:t>
      </w:r>
      <w:r w:rsidR="00FF4A88">
        <w:rPr>
          <w:rFonts w:cstheme="minorHAnsi"/>
          <w:sz w:val="24"/>
        </w:rPr>
        <w:t>3</w:t>
      </w:r>
      <w:r w:rsidR="00FF4A88" w:rsidRPr="004E6649">
        <w:rPr>
          <w:rFonts w:cstheme="minorHAnsi"/>
          <w:sz w:val="24"/>
        </w:rPr>
        <w:t xml:space="preserve"> </w:t>
      </w:r>
      <w:r w:rsidRPr="004E6649">
        <w:rPr>
          <w:rFonts w:cstheme="minorHAnsi"/>
          <w:sz w:val="24"/>
        </w:rPr>
        <w:t>balance of $</w:t>
      </w:r>
      <w:r w:rsidR="00FF4A88">
        <w:rPr>
          <w:rFonts w:cstheme="minorHAnsi"/>
          <w:sz w:val="24"/>
        </w:rPr>
        <w:t>17</w:t>
      </w:r>
      <w:r w:rsidR="00FF4A88" w:rsidRPr="004E6649">
        <w:rPr>
          <w:rFonts w:cstheme="minorHAnsi"/>
          <w:sz w:val="24"/>
        </w:rPr>
        <w:t xml:space="preserve"> </w:t>
      </w:r>
      <w:r w:rsidRPr="004E6649">
        <w:rPr>
          <w:rFonts w:cstheme="minorHAnsi"/>
          <w:sz w:val="24"/>
        </w:rPr>
        <w:t xml:space="preserve">million, </w:t>
      </w:r>
      <w:r w:rsidR="009016EB">
        <w:rPr>
          <w:rFonts w:cstheme="minorHAnsi"/>
          <w:sz w:val="24"/>
        </w:rPr>
        <w:t xml:space="preserve">primarily </w:t>
      </w:r>
      <w:r w:rsidRPr="004E6649">
        <w:rPr>
          <w:rFonts w:cstheme="minorHAnsi"/>
          <w:sz w:val="24"/>
        </w:rPr>
        <w:t>due to a $</w:t>
      </w:r>
      <w:r w:rsidR="00FF4A88" w:rsidRPr="004E6649">
        <w:rPr>
          <w:rFonts w:cstheme="minorHAnsi"/>
          <w:sz w:val="24"/>
        </w:rPr>
        <w:t>1</w:t>
      </w:r>
      <w:r w:rsidR="00FF4A88">
        <w:rPr>
          <w:rFonts w:cstheme="minorHAnsi"/>
          <w:sz w:val="24"/>
        </w:rPr>
        <w:t>0</w:t>
      </w:r>
      <w:r w:rsidR="00FF4A88" w:rsidRPr="004E6649">
        <w:rPr>
          <w:rFonts w:cstheme="minorHAnsi"/>
          <w:sz w:val="24"/>
        </w:rPr>
        <w:t xml:space="preserve"> </w:t>
      </w:r>
      <w:r w:rsidRPr="004E6649">
        <w:rPr>
          <w:rFonts w:cstheme="minorHAnsi"/>
          <w:sz w:val="24"/>
        </w:rPr>
        <w:t xml:space="preserve">million </w:t>
      </w:r>
      <w:r w:rsidR="00BC1B22">
        <w:rPr>
          <w:rFonts w:cstheme="minorHAnsi"/>
          <w:sz w:val="24"/>
        </w:rPr>
        <w:t>de</w:t>
      </w:r>
      <w:r w:rsidRPr="004E6649">
        <w:rPr>
          <w:rFonts w:cstheme="minorHAnsi"/>
          <w:sz w:val="24"/>
        </w:rPr>
        <w:t>crease also related to OPEB.</w:t>
      </w:r>
    </w:p>
    <w:p w14:paraId="49F2744E" w14:textId="77777777" w:rsidR="00A83362" w:rsidRPr="004E6649" w:rsidRDefault="00A83362" w:rsidP="00A83362">
      <w:pPr>
        <w:rPr>
          <w:rFonts w:cstheme="minorHAnsi"/>
          <w:sz w:val="20"/>
          <w:szCs w:val="20"/>
        </w:rPr>
      </w:pPr>
    </w:p>
    <w:p w14:paraId="7564A1BC" w14:textId="45FF7BE6" w:rsidR="00A83362" w:rsidRPr="004E6649" w:rsidRDefault="00A83362" w:rsidP="00A83362">
      <w:pPr>
        <w:rPr>
          <w:rFonts w:cstheme="minorHAnsi"/>
          <w:sz w:val="24"/>
        </w:rPr>
      </w:pPr>
      <w:r w:rsidRPr="004E6649">
        <w:rPr>
          <w:rFonts w:cstheme="minorHAnsi"/>
          <w:sz w:val="24"/>
        </w:rPr>
        <w:t>Deferred inflows of resources of $</w:t>
      </w:r>
      <w:r w:rsidR="00E1495D">
        <w:rPr>
          <w:rFonts w:cstheme="minorHAnsi"/>
          <w:sz w:val="24"/>
        </w:rPr>
        <w:t>74</w:t>
      </w:r>
      <w:r w:rsidR="00E1495D" w:rsidRPr="004E6649">
        <w:rPr>
          <w:rFonts w:cstheme="minorHAnsi"/>
          <w:sz w:val="24"/>
        </w:rPr>
        <w:t xml:space="preserve"> </w:t>
      </w:r>
      <w:r w:rsidRPr="004E6649">
        <w:rPr>
          <w:rFonts w:cstheme="minorHAnsi"/>
          <w:sz w:val="24"/>
        </w:rPr>
        <w:t xml:space="preserve">million at June 30, </w:t>
      </w:r>
      <w:r w:rsidR="00FF4A88" w:rsidRPr="004E6649">
        <w:rPr>
          <w:rFonts w:cstheme="minorHAnsi"/>
          <w:sz w:val="24"/>
        </w:rPr>
        <w:t>202</w:t>
      </w:r>
      <w:r w:rsidR="00FF4A88">
        <w:rPr>
          <w:rFonts w:cstheme="minorHAnsi"/>
          <w:sz w:val="24"/>
        </w:rPr>
        <w:t>5</w:t>
      </w:r>
      <w:r w:rsidR="00FF4A88" w:rsidRPr="004E6649">
        <w:rPr>
          <w:rFonts w:cstheme="minorHAnsi"/>
          <w:sz w:val="24"/>
        </w:rPr>
        <w:t xml:space="preserve"> </w:t>
      </w:r>
      <w:r w:rsidRPr="004E6649">
        <w:rPr>
          <w:rFonts w:cstheme="minorHAnsi"/>
          <w:sz w:val="24"/>
        </w:rPr>
        <w:t>increased $</w:t>
      </w:r>
      <w:r w:rsidR="002C0A68">
        <w:rPr>
          <w:rFonts w:cstheme="minorHAnsi"/>
          <w:sz w:val="24"/>
        </w:rPr>
        <w:t>5</w:t>
      </w:r>
      <w:r w:rsidR="002C0A68" w:rsidRPr="004E6649">
        <w:rPr>
          <w:rFonts w:cstheme="minorHAnsi"/>
          <w:sz w:val="24"/>
        </w:rPr>
        <w:t xml:space="preserve"> </w:t>
      </w:r>
      <w:r w:rsidRPr="004E6649">
        <w:rPr>
          <w:rFonts w:cstheme="minorHAnsi"/>
          <w:sz w:val="24"/>
        </w:rPr>
        <w:t>million from the $</w:t>
      </w:r>
      <w:r w:rsidR="002C0A68">
        <w:rPr>
          <w:rFonts w:cstheme="minorHAnsi"/>
          <w:sz w:val="24"/>
        </w:rPr>
        <w:t>69</w:t>
      </w:r>
      <w:r w:rsidRPr="004E6649">
        <w:rPr>
          <w:rFonts w:cstheme="minorHAnsi"/>
          <w:sz w:val="24"/>
        </w:rPr>
        <w:t xml:space="preserve"> million at June 30, </w:t>
      </w:r>
      <w:r w:rsidR="00FF4A88" w:rsidRPr="004E6649">
        <w:rPr>
          <w:rFonts w:cstheme="minorHAnsi"/>
          <w:sz w:val="24"/>
        </w:rPr>
        <w:t>202</w:t>
      </w:r>
      <w:r w:rsidR="00FF4A88">
        <w:rPr>
          <w:rFonts w:cstheme="minorHAnsi"/>
          <w:sz w:val="24"/>
        </w:rPr>
        <w:t>4</w:t>
      </w:r>
      <w:r w:rsidRPr="004E6649">
        <w:rPr>
          <w:rFonts w:cstheme="minorHAnsi"/>
          <w:sz w:val="24"/>
        </w:rPr>
        <w:t xml:space="preserve">. </w:t>
      </w:r>
      <w:r w:rsidRPr="008750B3">
        <w:rPr>
          <w:rFonts w:cstheme="minorHAnsi"/>
          <w:color w:val="0D0D0D" w:themeColor="text1" w:themeTint="F2"/>
          <w:sz w:val="24"/>
        </w:rPr>
        <w:t xml:space="preserve">The increase is primarily due to </w:t>
      </w:r>
      <w:r w:rsidR="008750B3" w:rsidRPr="00EC4D64">
        <w:rPr>
          <w:rFonts w:cstheme="minorHAnsi"/>
          <w:color w:val="0D0D0D" w:themeColor="text1" w:themeTint="F2"/>
          <w:sz w:val="24"/>
        </w:rPr>
        <w:t>a $</w:t>
      </w:r>
      <w:r w:rsidR="00EC4D64" w:rsidRPr="00DF43A9">
        <w:rPr>
          <w:rFonts w:cstheme="minorHAnsi"/>
          <w:color w:val="0D0D0D" w:themeColor="text1" w:themeTint="F2"/>
          <w:sz w:val="24"/>
        </w:rPr>
        <w:t>5</w:t>
      </w:r>
      <w:r w:rsidR="00EC4D64" w:rsidRPr="00EC4D64">
        <w:rPr>
          <w:rFonts w:cstheme="minorHAnsi"/>
          <w:color w:val="0D0D0D" w:themeColor="text1" w:themeTint="F2"/>
          <w:sz w:val="24"/>
        </w:rPr>
        <w:t xml:space="preserve"> </w:t>
      </w:r>
      <w:r w:rsidR="008750B3" w:rsidRPr="00EC4D64">
        <w:rPr>
          <w:rFonts w:cstheme="minorHAnsi"/>
          <w:color w:val="0D0D0D" w:themeColor="text1" w:themeTint="F2"/>
          <w:sz w:val="24"/>
        </w:rPr>
        <w:t xml:space="preserve">million </w:t>
      </w:r>
      <w:r w:rsidR="00EC4D64">
        <w:rPr>
          <w:rFonts w:cstheme="minorHAnsi"/>
          <w:color w:val="0D0D0D" w:themeColor="text1" w:themeTint="F2"/>
          <w:sz w:val="24"/>
        </w:rPr>
        <w:t>in</w:t>
      </w:r>
      <w:r w:rsidR="00EC4D64" w:rsidRPr="00EC4D64">
        <w:rPr>
          <w:rFonts w:cstheme="minorHAnsi"/>
          <w:color w:val="0D0D0D" w:themeColor="text1" w:themeTint="F2"/>
          <w:sz w:val="24"/>
        </w:rPr>
        <w:t xml:space="preserve">crease </w:t>
      </w:r>
      <w:r w:rsidR="008750B3" w:rsidRPr="00EC4D64">
        <w:rPr>
          <w:rFonts w:cstheme="minorHAnsi"/>
          <w:color w:val="0D0D0D" w:themeColor="text1" w:themeTint="F2"/>
          <w:sz w:val="24"/>
        </w:rPr>
        <w:t>related to the System’s OPEB plan</w:t>
      </w:r>
      <w:r w:rsidRPr="008750B3">
        <w:rPr>
          <w:rFonts w:cstheme="minorHAnsi"/>
          <w:color w:val="0D0D0D" w:themeColor="text1" w:themeTint="F2"/>
          <w:sz w:val="24"/>
        </w:rPr>
        <w:t>.</w:t>
      </w:r>
      <w:r w:rsidRPr="004E6649">
        <w:rPr>
          <w:rFonts w:cstheme="minorHAnsi"/>
          <w:sz w:val="24"/>
        </w:rPr>
        <w:t xml:space="preserve"> In </w:t>
      </w:r>
      <w:r w:rsidR="00FF4A88" w:rsidRPr="004E6649">
        <w:rPr>
          <w:rFonts w:cstheme="minorHAnsi"/>
          <w:sz w:val="24"/>
        </w:rPr>
        <w:t>FY2</w:t>
      </w:r>
      <w:r w:rsidR="00FF4A88">
        <w:rPr>
          <w:rFonts w:cstheme="minorHAnsi"/>
          <w:sz w:val="24"/>
        </w:rPr>
        <w:t>4</w:t>
      </w:r>
      <w:r w:rsidRPr="004E6649">
        <w:rPr>
          <w:rFonts w:cstheme="minorHAnsi"/>
          <w:sz w:val="24"/>
        </w:rPr>
        <w:t xml:space="preserve">, the System’s deferred inflows of resources </w:t>
      </w:r>
      <w:r w:rsidR="00BC1B22">
        <w:rPr>
          <w:rFonts w:cstheme="minorHAnsi"/>
          <w:sz w:val="24"/>
        </w:rPr>
        <w:t>in</w:t>
      </w:r>
      <w:r w:rsidRPr="004E6649">
        <w:rPr>
          <w:rFonts w:cstheme="minorHAnsi"/>
          <w:sz w:val="24"/>
        </w:rPr>
        <w:t>creased $</w:t>
      </w:r>
      <w:r w:rsidR="00E1495D">
        <w:rPr>
          <w:rFonts w:cstheme="minorHAnsi"/>
          <w:sz w:val="24"/>
        </w:rPr>
        <w:t>15</w:t>
      </w:r>
      <w:r w:rsidR="00E1495D" w:rsidRPr="004E6649">
        <w:rPr>
          <w:rFonts w:cstheme="minorHAnsi"/>
          <w:sz w:val="24"/>
        </w:rPr>
        <w:t xml:space="preserve"> </w:t>
      </w:r>
      <w:r w:rsidRPr="004E6649">
        <w:rPr>
          <w:rFonts w:cstheme="minorHAnsi"/>
          <w:sz w:val="24"/>
        </w:rPr>
        <w:t>million from the $</w:t>
      </w:r>
      <w:r w:rsidR="00FF4A88">
        <w:rPr>
          <w:rFonts w:cstheme="minorHAnsi"/>
          <w:sz w:val="24"/>
        </w:rPr>
        <w:t>54</w:t>
      </w:r>
      <w:r w:rsidR="00FF4A88" w:rsidRPr="004E6649">
        <w:rPr>
          <w:rFonts w:cstheme="minorHAnsi"/>
          <w:sz w:val="24"/>
        </w:rPr>
        <w:t xml:space="preserve"> </w:t>
      </w:r>
      <w:r w:rsidRPr="004E6649">
        <w:rPr>
          <w:rFonts w:cstheme="minorHAnsi"/>
          <w:sz w:val="24"/>
        </w:rPr>
        <w:t xml:space="preserve">million at June 30, </w:t>
      </w:r>
      <w:r w:rsidR="00FF4A88" w:rsidRPr="004E6649">
        <w:rPr>
          <w:rFonts w:cstheme="minorHAnsi"/>
          <w:sz w:val="24"/>
        </w:rPr>
        <w:t>202</w:t>
      </w:r>
      <w:r w:rsidR="00FF4A88">
        <w:rPr>
          <w:rFonts w:cstheme="minorHAnsi"/>
          <w:sz w:val="24"/>
        </w:rPr>
        <w:t>3</w:t>
      </w:r>
      <w:r w:rsidRPr="004E6649">
        <w:rPr>
          <w:rFonts w:cstheme="minorHAnsi"/>
          <w:sz w:val="24"/>
        </w:rPr>
        <w:t>, primarily due to a</w:t>
      </w:r>
      <w:r w:rsidR="00BC1B22">
        <w:rPr>
          <w:rFonts w:cstheme="minorHAnsi"/>
          <w:sz w:val="24"/>
        </w:rPr>
        <w:t>n</w:t>
      </w:r>
      <w:r w:rsidRPr="004E6649">
        <w:rPr>
          <w:rFonts w:cstheme="minorHAnsi"/>
          <w:sz w:val="24"/>
        </w:rPr>
        <w:t xml:space="preserve"> </w:t>
      </w:r>
      <w:r w:rsidR="00BC1B22">
        <w:rPr>
          <w:rFonts w:cstheme="minorHAnsi"/>
          <w:sz w:val="24"/>
        </w:rPr>
        <w:t>in</w:t>
      </w:r>
      <w:r w:rsidRPr="004E6649">
        <w:rPr>
          <w:rFonts w:cstheme="minorHAnsi"/>
          <w:sz w:val="24"/>
        </w:rPr>
        <w:t>crease of $</w:t>
      </w:r>
      <w:r w:rsidR="00FF4A88" w:rsidRPr="004E6649">
        <w:rPr>
          <w:rFonts w:cstheme="minorHAnsi"/>
          <w:sz w:val="24"/>
        </w:rPr>
        <w:t>2</w:t>
      </w:r>
      <w:r w:rsidR="00FF4A88">
        <w:rPr>
          <w:rFonts w:cstheme="minorHAnsi"/>
          <w:sz w:val="24"/>
        </w:rPr>
        <w:t>8</w:t>
      </w:r>
      <w:r w:rsidR="00FF4A88" w:rsidRPr="004E6649">
        <w:rPr>
          <w:rFonts w:cstheme="minorHAnsi"/>
          <w:sz w:val="24"/>
        </w:rPr>
        <w:t xml:space="preserve"> </w:t>
      </w:r>
      <w:r w:rsidRPr="004E6649">
        <w:rPr>
          <w:rFonts w:cstheme="minorHAnsi"/>
          <w:sz w:val="24"/>
        </w:rPr>
        <w:t>million related to the System’s</w:t>
      </w:r>
      <w:r w:rsidR="00FF4A88">
        <w:rPr>
          <w:rFonts w:cstheme="minorHAnsi"/>
          <w:sz w:val="24"/>
        </w:rPr>
        <w:t xml:space="preserve"> PPP agreement offset by a $13 million decrease related to the System’s</w:t>
      </w:r>
      <w:r w:rsidRPr="004E6649">
        <w:rPr>
          <w:rFonts w:cstheme="minorHAnsi"/>
          <w:sz w:val="24"/>
        </w:rPr>
        <w:t xml:space="preserve"> OPEB plan.</w:t>
      </w:r>
    </w:p>
    <w:p w14:paraId="309D9B7D" w14:textId="77777777" w:rsidR="00A83362" w:rsidRPr="004E6649" w:rsidRDefault="00A83362" w:rsidP="00A83362">
      <w:pPr>
        <w:pStyle w:val="AFR3"/>
        <w:rPr>
          <w:rFonts w:cstheme="minorHAnsi"/>
          <w:sz w:val="24"/>
          <w:szCs w:val="20"/>
        </w:rPr>
      </w:pPr>
      <w:r w:rsidRPr="004E6649">
        <w:rPr>
          <w:rFonts w:cstheme="minorHAnsi"/>
          <w:sz w:val="24"/>
          <w:szCs w:val="20"/>
        </w:rPr>
        <w:t>Net Position</w:t>
      </w:r>
    </w:p>
    <w:p w14:paraId="2962DD5C" w14:textId="0589B032" w:rsidR="00A83362" w:rsidRPr="004E6649" w:rsidRDefault="00A83362" w:rsidP="00A83362">
      <w:pPr>
        <w:rPr>
          <w:rFonts w:cstheme="minorHAnsi"/>
          <w:sz w:val="24"/>
        </w:rPr>
      </w:pPr>
      <w:r w:rsidRPr="004E6649">
        <w:rPr>
          <w:rFonts w:cstheme="minorHAnsi"/>
          <w:color w:val="000000" w:themeColor="text1"/>
          <w:sz w:val="24"/>
        </w:rPr>
        <w:t xml:space="preserve">As seen in the Condensed Statements of Net Position shown in Table 3 on page </w:t>
      </w:r>
      <w:r w:rsidRPr="004471FD">
        <w:rPr>
          <w:rFonts w:cstheme="minorHAnsi"/>
          <w:color w:val="0D0D0D" w:themeColor="text1" w:themeTint="F2"/>
          <w:sz w:val="24"/>
        </w:rPr>
        <w:t>1</w:t>
      </w:r>
      <w:r w:rsidR="00AF6B37" w:rsidRPr="004471FD">
        <w:rPr>
          <w:rFonts w:cstheme="minorHAnsi"/>
          <w:color w:val="0D0D0D" w:themeColor="text1" w:themeTint="F2"/>
          <w:sz w:val="24"/>
        </w:rPr>
        <w:t>8</w:t>
      </w:r>
      <w:r w:rsidRPr="004471FD">
        <w:rPr>
          <w:rFonts w:cstheme="minorHAnsi"/>
          <w:color w:val="0D0D0D" w:themeColor="text1" w:themeTint="F2"/>
          <w:sz w:val="24"/>
        </w:rPr>
        <w:t>,</w:t>
      </w:r>
      <w:r w:rsidRPr="004E6649">
        <w:rPr>
          <w:rFonts w:cstheme="minorHAnsi"/>
          <w:sz w:val="24"/>
        </w:rPr>
        <w:t xml:space="preserve"> the System’s total net position is presented by the below noted four categories.</w:t>
      </w:r>
    </w:p>
    <w:p w14:paraId="50D2C8D2" w14:textId="77777777" w:rsidR="00A83362" w:rsidRPr="004E6649" w:rsidRDefault="00A83362" w:rsidP="00A83362">
      <w:pPr>
        <w:rPr>
          <w:rFonts w:cstheme="minorHAnsi"/>
          <w:color w:val="FF0000"/>
          <w:sz w:val="20"/>
        </w:rPr>
      </w:pPr>
    </w:p>
    <w:p w14:paraId="416EF52F" w14:textId="52C51C43" w:rsidR="00A83362" w:rsidRPr="004E6649" w:rsidRDefault="00A83362" w:rsidP="00A83362">
      <w:pPr>
        <w:rPr>
          <w:rFonts w:cstheme="minorHAnsi"/>
          <w:color w:val="000000" w:themeColor="text1"/>
          <w:sz w:val="24"/>
        </w:rPr>
      </w:pPr>
      <w:r w:rsidRPr="004E6649">
        <w:rPr>
          <w:rFonts w:cstheme="minorHAnsi"/>
          <w:b/>
          <w:color w:val="000000" w:themeColor="text1"/>
          <w:sz w:val="24"/>
        </w:rPr>
        <w:t>Net investment in capital assets</w:t>
      </w:r>
      <w:r w:rsidRPr="004E6649">
        <w:rPr>
          <w:rFonts w:cstheme="minorHAnsi"/>
          <w:color w:val="000000" w:themeColor="text1"/>
          <w:sz w:val="24"/>
        </w:rPr>
        <w:t xml:space="preserve"> represents the historical cost of the System’s capital assets reduced by total accumulated depreciation and outstanding balances of debt attributable to the acquisition, construction, or improvement of those assets. The System’s net investment in capital assets was </w:t>
      </w:r>
      <w:r w:rsidRPr="004E6649">
        <w:rPr>
          <w:rFonts w:cstheme="minorHAnsi"/>
          <w:sz w:val="24"/>
        </w:rPr>
        <w:t>$</w:t>
      </w:r>
      <w:r w:rsidR="00E1495D">
        <w:rPr>
          <w:rFonts w:cstheme="minorHAnsi"/>
          <w:color w:val="0D0D0D" w:themeColor="text1" w:themeTint="F2"/>
          <w:sz w:val="24"/>
        </w:rPr>
        <w:t>784</w:t>
      </w:r>
      <w:r w:rsidR="00E1495D" w:rsidRPr="004E6649">
        <w:rPr>
          <w:rFonts w:cstheme="minorHAnsi"/>
          <w:color w:val="000000" w:themeColor="text1"/>
          <w:sz w:val="24"/>
        </w:rPr>
        <w:t xml:space="preserve"> </w:t>
      </w:r>
      <w:r w:rsidRPr="004E6649">
        <w:rPr>
          <w:rFonts w:cstheme="minorHAnsi"/>
          <w:color w:val="000000" w:themeColor="text1"/>
          <w:sz w:val="24"/>
        </w:rPr>
        <w:t xml:space="preserve">million at June 30, </w:t>
      </w:r>
      <w:r w:rsidR="00FF4A88" w:rsidRPr="004E6649">
        <w:rPr>
          <w:rFonts w:cstheme="minorHAnsi"/>
          <w:color w:val="000000" w:themeColor="text1"/>
          <w:sz w:val="24"/>
        </w:rPr>
        <w:t>202</w:t>
      </w:r>
      <w:r w:rsidR="00FF4A88">
        <w:rPr>
          <w:rFonts w:cstheme="minorHAnsi"/>
          <w:color w:val="000000" w:themeColor="text1"/>
          <w:sz w:val="24"/>
        </w:rPr>
        <w:t>5</w:t>
      </w:r>
      <w:r w:rsidR="00FF4A88" w:rsidRPr="004E6649">
        <w:rPr>
          <w:rFonts w:cstheme="minorHAnsi"/>
          <w:color w:val="000000" w:themeColor="text1"/>
          <w:sz w:val="24"/>
        </w:rPr>
        <w:t xml:space="preserve"> </w:t>
      </w:r>
      <w:r w:rsidRPr="004E6649">
        <w:rPr>
          <w:rFonts w:cstheme="minorHAnsi"/>
          <w:color w:val="000000" w:themeColor="text1"/>
          <w:sz w:val="24"/>
        </w:rPr>
        <w:t>and $</w:t>
      </w:r>
      <w:r w:rsidR="00FF4A88">
        <w:rPr>
          <w:rFonts w:cstheme="minorHAnsi"/>
          <w:color w:val="000000" w:themeColor="text1"/>
          <w:sz w:val="24"/>
        </w:rPr>
        <w:t>694</w:t>
      </w:r>
      <w:r w:rsidR="00FF4A88" w:rsidRPr="004E6649">
        <w:rPr>
          <w:rFonts w:cstheme="minorHAnsi"/>
          <w:color w:val="000000" w:themeColor="text1"/>
          <w:sz w:val="24"/>
        </w:rPr>
        <w:t xml:space="preserve"> </w:t>
      </w:r>
      <w:r w:rsidRPr="004E6649">
        <w:rPr>
          <w:rFonts w:cstheme="minorHAnsi"/>
          <w:color w:val="000000" w:themeColor="text1"/>
          <w:sz w:val="24"/>
        </w:rPr>
        <w:t xml:space="preserve">million at June 30, </w:t>
      </w:r>
      <w:r w:rsidR="00FF4A88" w:rsidRPr="004E6649">
        <w:rPr>
          <w:rFonts w:cstheme="minorHAnsi"/>
          <w:color w:val="000000" w:themeColor="text1"/>
          <w:sz w:val="24"/>
        </w:rPr>
        <w:t>202</w:t>
      </w:r>
      <w:r w:rsidR="00FF4A88">
        <w:rPr>
          <w:rFonts w:cstheme="minorHAnsi"/>
          <w:color w:val="000000" w:themeColor="text1"/>
          <w:sz w:val="24"/>
        </w:rPr>
        <w:t>4</w:t>
      </w:r>
      <w:r w:rsidRPr="004E6649">
        <w:rPr>
          <w:rFonts w:cstheme="minorHAnsi"/>
          <w:color w:val="000000" w:themeColor="text1"/>
          <w:sz w:val="24"/>
        </w:rPr>
        <w:t>.</w:t>
      </w:r>
    </w:p>
    <w:p w14:paraId="58C0DE32" w14:textId="77777777" w:rsidR="00A83362" w:rsidRPr="004E6649" w:rsidRDefault="00A83362" w:rsidP="00A83362">
      <w:pPr>
        <w:rPr>
          <w:rFonts w:cstheme="minorHAnsi"/>
          <w:color w:val="000000" w:themeColor="text1"/>
          <w:sz w:val="20"/>
        </w:rPr>
      </w:pPr>
    </w:p>
    <w:p w14:paraId="2C4838DD" w14:textId="7807B472" w:rsidR="00A83362" w:rsidRPr="000E4A3B" w:rsidRDefault="00A83362" w:rsidP="00A83362">
      <w:pPr>
        <w:rPr>
          <w:rFonts w:cstheme="minorHAnsi"/>
          <w:color w:val="0D0D0D" w:themeColor="text1" w:themeTint="F2"/>
          <w:sz w:val="24"/>
        </w:rPr>
      </w:pPr>
      <w:r w:rsidRPr="00E11F48">
        <w:rPr>
          <w:rFonts w:cstheme="minorHAnsi"/>
          <w:color w:val="000000" w:themeColor="text1"/>
          <w:sz w:val="24"/>
        </w:rPr>
        <w:t xml:space="preserve">The </w:t>
      </w:r>
      <w:r w:rsidR="00FF4A88" w:rsidRPr="00E11F48">
        <w:rPr>
          <w:rFonts w:cstheme="minorHAnsi"/>
          <w:sz w:val="24"/>
        </w:rPr>
        <w:t xml:space="preserve">FY25 </w:t>
      </w:r>
      <w:r w:rsidRPr="00E11F48">
        <w:rPr>
          <w:rFonts w:cstheme="minorHAnsi"/>
          <w:sz w:val="24"/>
        </w:rPr>
        <w:t xml:space="preserve">increase </w:t>
      </w:r>
      <w:r w:rsidRPr="00E11F48">
        <w:rPr>
          <w:rFonts w:cstheme="minorHAnsi"/>
          <w:color w:val="000000" w:themeColor="text1"/>
          <w:sz w:val="24"/>
        </w:rPr>
        <w:t xml:space="preserve">in net investment in capital assets of </w:t>
      </w:r>
      <w:r w:rsidRPr="00E11F48">
        <w:rPr>
          <w:rFonts w:cstheme="minorHAnsi"/>
          <w:sz w:val="24"/>
        </w:rPr>
        <w:t>$</w:t>
      </w:r>
      <w:r w:rsidR="00D36226" w:rsidRPr="00DF43A9">
        <w:rPr>
          <w:rFonts w:cstheme="minorHAnsi"/>
          <w:sz w:val="24"/>
        </w:rPr>
        <w:t>8</w:t>
      </w:r>
      <w:r w:rsidR="00D36226" w:rsidRPr="00E11F48">
        <w:rPr>
          <w:rFonts w:cstheme="minorHAnsi"/>
          <w:sz w:val="24"/>
        </w:rPr>
        <w:t xml:space="preserve">9 </w:t>
      </w:r>
      <w:r w:rsidRPr="00E11F48">
        <w:rPr>
          <w:rFonts w:cstheme="minorHAnsi"/>
          <w:color w:val="000000" w:themeColor="text1"/>
          <w:sz w:val="24"/>
        </w:rPr>
        <w:t xml:space="preserve">million was comprised of capital </w:t>
      </w:r>
      <w:r w:rsidRPr="00E11F48">
        <w:rPr>
          <w:rFonts w:cstheme="minorHAnsi"/>
          <w:sz w:val="24"/>
        </w:rPr>
        <w:t>asset additions of $</w:t>
      </w:r>
      <w:r w:rsidR="007B600C" w:rsidRPr="00E11F48">
        <w:rPr>
          <w:rFonts w:cstheme="minorHAnsi"/>
          <w:color w:val="0D0D0D" w:themeColor="text1" w:themeTint="F2"/>
          <w:sz w:val="24"/>
        </w:rPr>
        <w:t>1</w:t>
      </w:r>
      <w:r w:rsidR="00E11F48" w:rsidRPr="00DF43A9">
        <w:rPr>
          <w:rFonts w:cstheme="minorHAnsi"/>
          <w:color w:val="0D0D0D" w:themeColor="text1" w:themeTint="F2"/>
          <w:sz w:val="24"/>
        </w:rPr>
        <w:t>60</w:t>
      </w:r>
      <w:r w:rsidR="007B600C" w:rsidRPr="00E11F48">
        <w:rPr>
          <w:rFonts w:cstheme="minorHAnsi"/>
          <w:color w:val="0D0D0D" w:themeColor="text1" w:themeTint="F2"/>
          <w:sz w:val="24"/>
        </w:rPr>
        <w:t xml:space="preserve"> </w:t>
      </w:r>
      <w:r w:rsidRPr="00E11F48">
        <w:rPr>
          <w:rFonts w:cstheme="minorHAnsi"/>
          <w:color w:val="0D0D0D" w:themeColor="text1" w:themeTint="F2"/>
          <w:sz w:val="24"/>
        </w:rPr>
        <w:t xml:space="preserve">million </w:t>
      </w:r>
      <w:r w:rsidR="007B600C" w:rsidRPr="00E11F48">
        <w:rPr>
          <w:rFonts w:cstheme="minorHAnsi"/>
          <w:color w:val="0D0D0D" w:themeColor="text1" w:themeTint="F2"/>
          <w:sz w:val="24"/>
        </w:rPr>
        <w:t>plus reduction of debt and other liabilities through payments of $</w:t>
      </w:r>
      <w:r w:rsidR="00E1495D">
        <w:rPr>
          <w:rFonts w:cstheme="minorHAnsi"/>
          <w:color w:val="0D0D0D" w:themeColor="text1" w:themeTint="F2"/>
          <w:sz w:val="24"/>
        </w:rPr>
        <w:t>16</w:t>
      </w:r>
      <w:r w:rsidR="00E1495D" w:rsidRPr="00E11F48">
        <w:rPr>
          <w:rFonts w:cstheme="minorHAnsi"/>
          <w:color w:val="0D0D0D" w:themeColor="text1" w:themeTint="F2"/>
          <w:sz w:val="24"/>
        </w:rPr>
        <w:t xml:space="preserve"> </w:t>
      </w:r>
      <w:r w:rsidR="007B600C" w:rsidRPr="00E11F48">
        <w:rPr>
          <w:rFonts w:cstheme="minorHAnsi"/>
          <w:color w:val="0D0D0D" w:themeColor="text1" w:themeTint="F2"/>
          <w:sz w:val="24"/>
        </w:rPr>
        <w:t xml:space="preserve">million, </w:t>
      </w:r>
      <w:r w:rsidRPr="00E11F48">
        <w:rPr>
          <w:rFonts w:cstheme="minorHAnsi"/>
          <w:color w:val="0D0D0D" w:themeColor="text1" w:themeTint="F2"/>
          <w:sz w:val="24"/>
        </w:rPr>
        <w:t xml:space="preserve">less </w:t>
      </w:r>
      <w:r w:rsidR="007B600C" w:rsidRPr="00E11F48">
        <w:rPr>
          <w:rFonts w:cstheme="minorHAnsi"/>
          <w:color w:val="0D0D0D" w:themeColor="text1" w:themeTint="F2"/>
          <w:sz w:val="24"/>
        </w:rPr>
        <w:t xml:space="preserve">new debt </w:t>
      </w:r>
      <w:r w:rsidR="008750B3" w:rsidRPr="00E11F48">
        <w:rPr>
          <w:rFonts w:cstheme="minorHAnsi"/>
          <w:color w:val="0D0D0D" w:themeColor="text1" w:themeTint="F2"/>
          <w:sz w:val="24"/>
        </w:rPr>
        <w:t xml:space="preserve">of $12 million, </w:t>
      </w:r>
      <w:r w:rsidR="000E4A3B" w:rsidRPr="00E11F48">
        <w:rPr>
          <w:rFonts w:cstheme="minorHAnsi"/>
          <w:color w:val="0D0D0D" w:themeColor="text1" w:themeTint="F2"/>
          <w:sz w:val="24"/>
        </w:rPr>
        <w:t>less $</w:t>
      </w:r>
      <w:r w:rsidR="00E1495D">
        <w:rPr>
          <w:rFonts w:cstheme="minorHAnsi"/>
          <w:color w:val="0D0D0D" w:themeColor="text1" w:themeTint="F2"/>
          <w:sz w:val="24"/>
        </w:rPr>
        <w:t>5</w:t>
      </w:r>
      <w:r w:rsidR="00E1495D" w:rsidRPr="00E11F48">
        <w:rPr>
          <w:rFonts w:cstheme="minorHAnsi"/>
          <w:color w:val="0D0D0D" w:themeColor="text1" w:themeTint="F2"/>
          <w:sz w:val="24"/>
        </w:rPr>
        <w:t xml:space="preserve"> </w:t>
      </w:r>
      <w:r w:rsidR="000E4A3B" w:rsidRPr="00E11F48">
        <w:rPr>
          <w:rFonts w:cstheme="minorHAnsi"/>
          <w:color w:val="0D0D0D" w:themeColor="text1" w:themeTint="F2"/>
          <w:sz w:val="24"/>
        </w:rPr>
        <w:t xml:space="preserve">million of </w:t>
      </w:r>
      <w:r w:rsidR="00E1495D">
        <w:rPr>
          <w:rFonts w:cstheme="minorHAnsi"/>
          <w:color w:val="0D0D0D" w:themeColor="text1" w:themeTint="F2"/>
          <w:sz w:val="24"/>
        </w:rPr>
        <w:t>liabilities</w:t>
      </w:r>
      <w:r w:rsidR="000E4A3B" w:rsidRPr="00E11F48">
        <w:rPr>
          <w:rFonts w:cstheme="minorHAnsi"/>
          <w:color w:val="0D0D0D" w:themeColor="text1" w:themeTint="F2"/>
          <w:sz w:val="24"/>
        </w:rPr>
        <w:t xml:space="preserve"> reclassified from unexpended plant, less $</w:t>
      </w:r>
      <w:r w:rsidR="00CC6B7F" w:rsidRPr="00DF43A9">
        <w:rPr>
          <w:rFonts w:cstheme="minorHAnsi"/>
          <w:color w:val="0D0D0D" w:themeColor="text1" w:themeTint="F2"/>
          <w:sz w:val="24"/>
        </w:rPr>
        <w:t>63</w:t>
      </w:r>
      <w:r w:rsidR="00CC6B7F" w:rsidRPr="00E11F48">
        <w:rPr>
          <w:rFonts w:cstheme="minorHAnsi"/>
          <w:color w:val="0D0D0D" w:themeColor="text1" w:themeTint="F2"/>
          <w:sz w:val="24"/>
        </w:rPr>
        <w:t xml:space="preserve"> </w:t>
      </w:r>
      <w:r w:rsidR="000E4A3B" w:rsidRPr="00E11F48">
        <w:rPr>
          <w:rFonts w:cstheme="minorHAnsi"/>
          <w:color w:val="0D0D0D" w:themeColor="text1" w:themeTint="F2"/>
          <w:sz w:val="24"/>
        </w:rPr>
        <w:t xml:space="preserve">million of depreciation and amortization expense, </w:t>
      </w:r>
      <w:r w:rsidR="00E11F48" w:rsidRPr="00E11F48">
        <w:rPr>
          <w:rFonts w:cstheme="minorHAnsi"/>
          <w:color w:val="0D0D0D" w:themeColor="text1" w:themeTint="F2"/>
          <w:sz w:val="24"/>
        </w:rPr>
        <w:t xml:space="preserve">and </w:t>
      </w:r>
      <w:r w:rsidR="000E4A3B" w:rsidRPr="00E11F48">
        <w:rPr>
          <w:rFonts w:cstheme="minorHAnsi"/>
          <w:color w:val="0D0D0D" w:themeColor="text1" w:themeTint="F2"/>
          <w:sz w:val="24"/>
        </w:rPr>
        <w:t>less $</w:t>
      </w:r>
      <w:r w:rsidR="00CC6B7F" w:rsidRPr="00DF43A9">
        <w:rPr>
          <w:rFonts w:cstheme="minorHAnsi"/>
          <w:color w:val="0D0D0D" w:themeColor="text1" w:themeTint="F2"/>
          <w:sz w:val="24"/>
        </w:rPr>
        <w:t>7</w:t>
      </w:r>
      <w:r w:rsidR="00CC6B7F" w:rsidRPr="00E11F48">
        <w:rPr>
          <w:rFonts w:cstheme="minorHAnsi"/>
          <w:color w:val="0D0D0D" w:themeColor="text1" w:themeTint="F2"/>
          <w:sz w:val="24"/>
        </w:rPr>
        <w:t xml:space="preserve"> </w:t>
      </w:r>
      <w:r w:rsidR="000E4A3B" w:rsidRPr="00E11F48">
        <w:rPr>
          <w:rFonts w:cstheme="minorHAnsi"/>
          <w:color w:val="0D0D0D" w:themeColor="text1" w:themeTint="F2"/>
          <w:sz w:val="24"/>
        </w:rPr>
        <w:t>million of capital asset retirements.</w:t>
      </w:r>
    </w:p>
    <w:p w14:paraId="64CB7A6A" w14:textId="77777777" w:rsidR="007B600C" w:rsidRPr="004E6649" w:rsidRDefault="007B600C" w:rsidP="00A83362">
      <w:pPr>
        <w:rPr>
          <w:rFonts w:cstheme="minorHAnsi"/>
          <w:color w:val="000000" w:themeColor="text1"/>
          <w:sz w:val="20"/>
        </w:rPr>
      </w:pPr>
    </w:p>
    <w:p w14:paraId="69BA446F" w14:textId="3D4B0E44" w:rsidR="00A83362" w:rsidRPr="004E6649" w:rsidRDefault="00FF4A88" w:rsidP="00A83362">
      <w:pPr>
        <w:rPr>
          <w:rFonts w:cstheme="minorHAnsi"/>
          <w:color w:val="000000" w:themeColor="text1"/>
          <w:sz w:val="24"/>
        </w:rPr>
      </w:pPr>
      <w:r w:rsidRPr="004E6649">
        <w:rPr>
          <w:rFonts w:cstheme="minorHAnsi"/>
          <w:color w:val="000000" w:themeColor="text1"/>
          <w:sz w:val="24"/>
        </w:rPr>
        <w:t xml:space="preserve">The </w:t>
      </w:r>
      <w:r w:rsidRPr="004E6649">
        <w:rPr>
          <w:rFonts w:cstheme="minorHAnsi"/>
          <w:sz w:val="24"/>
        </w:rPr>
        <w:t>FY2</w:t>
      </w:r>
      <w:r>
        <w:rPr>
          <w:rFonts w:cstheme="minorHAnsi"/>
          <w:sz w:val="24"/>
        </w:rPr>
        <w:t>4</w:t>
      </w:r>
      <w:r w:rsidRPr="004E6649">
        <w:rPr>
          <w:rFonts w:cstheme="minorHAnsi"/>
          <w:sz w:val="24"/>
        </w:rPr>
        <w:t xml:space="preserve"> increase </w:t>
      </w:r>
      <w:r w:rsidRPr="004E6649">
        <w:rPr>
          <w:rFonts w:cstheme="minorHAnsi"/>
          <w:color w:val="000000" w:themeColor="text1"/>
          <w:sz w:val="24"/>
        </w:rPr>
        <w:t xml:space="preserve">in net investment in capital assets of </w:t>
      </w:r>
      <w:r w:rsidRPr="004E6649">
        <w:rPr>
          <w:rFonts w:cstheme="minorHAnsi"/>
          <w:sz w:val="24"/>
        </w:rPr>
        <w:t>$</w:t>
      </w:r>
      <w:r>
        <w:rPr>
          <w:rFonts w:cstheme="minorHAnsi"/>
          <w:sz w:val="24"/>
        </w:rPr>
        <w:t xml:space="preserve">59 </w:t>
      </w:r>
      <w:r w:rsidRPr="004E6649">
        <w:rPr>
          <w:rFonts w:cstheme="minorHAnsi"/>
          <w:color w:val="000000" w:themeColor="text1"/>
          <w:sz w:val="24"/>
        </w:rPr>
        <w:t xml:space="preserve">million was comprised of capital </w:t>
      </w:r>
      <w:r w:rsidRPr="004E6649">
        <w:rPr>
          <w:rFonts w:cstheme="minorHAnsi"/>
          <w:sz w:val="24"/>
        </w:rPr>
        <w:t>asset additions of $</w:t>
      </w:r>
      <w:r w:rsidRPr="008750B3">
        <w:rPr>
          <w:rFonts w:cstheme="minorHAnsi"/>
          <w:color w:val="0D0D0D" w:themeColor="text1" w:themeTint="F2"/>
          <w:sz w:val="24"/>
        </w:rPr>
        <w:t>1</w:t>
      </w:r>
      <w:r>
        <w:rPr>
          <w:rFonts w:cstheme="minorHAnsi"/>
          <w:color w:val="0D0D0D" w:themeColor="text1" w:themeTint="F2"/>
          <w:sz w:val="24"/>
        </w:rPr>
        <w:t>39</w:t>
      </w:r>
      <w:r w:rsidRPr="008750B3">
        <w:rPr>
          <w:rFonts w:cstheme="minorHAnsi"/>
          <w:color w:val="0D0D0D" w:themeColor="text1" w:themeTint="F2"/>
          <w:sz w:val="24"/>
        </w:rPr>
        <w:t xml:space="preserve"> million plus</w:t>
      </w:r>
      <w:r w:rsidRPr="000E4A3B">
        <w:rPr>
          <w:rFonts w:cstheme="minorHAnsi"/>
          <w:color w:val="0D0D0D" w:themeColor="text1" w:themeTint="F2"/>
          <w:sz w:val="24"/>
        </w:rPr>
        <w:t xml:space="preserve"> reduction of debt and other liabilities through payments of $28 million, less new debt of $12 million, less deferred inflow</w:t>
      </w:r>
      <w:r>
        <w:rPr>
          <w:rFonts w:cstheme="minorHAnsi"/>
          <w:color w:val="0D0D0D" w:themeColor="text1" w:themeTint="F2"/>
          <w:sz w:val="24"/>
        </w:rPr>
        <w:t>s</w:t>
      </w:r>
      <w:r w:rsidRPr="000E4A3B">
        <w:rPr>
          <w:rFonts w:cstheme="minorHAnsi"/>
          <w:color w:val="0D0D0D" w:themeColor="text1" w:themeTint="F2"/>
          <w:sz w:val="24"/>
        </w:rPr>
        <w:t xml:space="preserve"> of $24 million related to </w:t>
      </w:r>
      <w:r>
        <w:rPr>
          <w:rFonts w:cstheme="minorHAnsi"/>
          <w:color w:val="0D0D0D" w:themeColor="text1" w:themeTint="F2"/>
          <w:sz w:val="24"/>
        </w:rPr>
        <w:t>a PP</w:t>
      </w:r>
      <w:r w:rsidRPr="000E4A3B">
        <w:rPr>
          <w:rFonts w:cstheme="minorHAnsi"/>
          <w:color w:val="0D0D0D" w:themeColor="text1" w:themeTint="F2"/>
          <w:sz w:val="24"/>
        </w:rPr>
        <w:t>P</w:t>
      </w:r>
      <w:r>
        <w:rPr>
          <w:rFonts w:cstheme="minorHAnsi"/>
          <w:color w:val="0D0D0D" w:themeColor="text1" w:themeTint="F2"/>
          <w:sz w:val="24"/>
        </w:rPr>
        <w:t xml:space="preserve"> agreement</w:t>
      </w:r>
      <w:r w:rsidRPr="000E4A3B">
        <w:rPr>
          <w:rFonts w:cstheme="minorHAnsi"/>
          <w:color w:val="0D0D0D" w:themeColor="text1" w:themeTint="F2"/>
          <w:sz w:val="24"/>
        </w:rPr>
        <w:t>, less $16 million of debt reclassified from unexpended plant, less $57 million of depreciation and amortization expense, less $1 million of capital asset retirements, and plus miscellaneous other additions of $</w:t>
      </w:r>
      <w:r>
        <w:rPr>
          <w:rFonts w:cstheme="minorHAnsi"/>
          <w:color w:val="0D0D0D" w:themeColor="text1" w:themeTint="F2"/>
          <w:sz w:val="24"/>
        </w:rPr>
        <w:t>2</w:t>
      </w:r>
      <w:r w:rsidRPr="000E4A3B">
        <w:rPr>
          <w:rFonts w:cstheme="minorHAnsi"/>
          <w:color w:val="0D0D0D" w:themeColor="text1" w:themeTint="F2"/>
          <w:sz w:val="24"/>
        </w:rPr>
        <w:t xml:space="preserve"> million.</w:t>
      </w:r>
    </w:p>
    <w:p w14:paraId="29E04179" w14:textId="77777777" w:rsidR="00A83362" w:rsidRPr="004E6649" w:rsidRDefault="00A83362" w:rsidP="00A83362">
      <w:pPr>
        <w:rPr>
          <w:rFonts w:cstheme="minorHAnsi"/>
          <w:color w:val="000000" w:themeColor="text1"/>
          <w:sz w:val="20"/>
        </w:rPr>
      </w:pPr>
    </w:p>
    <w:p w14:paraId="1B3C8F0F" w14:textId="70A51B60" w:rsidR="00A83362" w:rsidRPr="004E6649" w:rsidRDefault="00A83362" w:rsidP="00A83362">
      <w:pPr>
        <w:rPr>
          <w:rFonts w:cstheme="minorHAnsi"/>
          <w:color w:val="000000" w:themeColor="text1"/>
          <w:sz w:val="24"/>
        </w:rPr>
      </w:pPr>
      <w:r w:rsidRPr="004E6649">
        <w:rPr>
          <w:rFonts w:cstheme="minorHAnsi"/>
          <w:b/>
          <w:color w:val="000000" w:themeColor="text1"/>
          <w:sz w:val="24"/>
        </w:rPr>
        <w:t>Restricted-nonexpendable net position</w:t>
      </w:r>
      <w:r w:rsidRPr="004E6649">
        <w:rPr>
          <w:rFonts w:cstheme="minorHAnsi"/>
          <w:color w:val="000000" w:themeColor="text1"/>
          <w:sz w:val="24"/>
        </w:rPr>
        <w:t xml:space="preserve"> represents the corpus of the System’s permanent endowment funds. Items that impact this category of net position include new endowment gifts and fair value fluctuations for those endowments whose fair value has fallen below the endowment corpus. The June 30, 202</w:t>
      </w:r>
      <w:r w:rsidR="00475967">
        <w:rPr>
          <w:rFonts w:cstheme="minorHAnsi"/>
          <w:color w:val="000000" w:themeColor="text1"/>
          <w:sz w:val="24"/>
        </w:rPr>
        <w:t>5</w:t>
      </w:r>
      <w:r w:rsidRPr="004E6649">
        <w:rPr>
          <w:rFonts w:cstheme="minorHAnsi"/>
          <w:color w:val="000000" w:themeColor="text1"/>
          <w:sz w:val="24"/>
        </w:rPr>
        <w:t xml:space="preserve"> balance of </w:t>
      </w:r>
      <w:r w:rsidRPr="004E6649">
        <w:rPr>
          <w:rFonts w:cstheme="minorHAnsi"/>
          <w:sz w:val="24"/>
        </w:rPr>
        <w:t>$</w:t>
      </w:r>
      <w:r w:rsidR="00D36226" w:rsidRPr="00D36226">
        <w:rPr>
          <w:rFonts w:cstheme="minorHAnsi"/>
          <w:sz w:val="24"/>
        </w:rPr>
        <w:t>7</w:t>
      </w:r>
      <w:r w:rsidR="00D36226" w:rsidRPr="00DF43A9">
        <w:rPr>
          <w:rFonts w:cstheme="minorHAnsi"/>
          <w:sz w:val="24"/>
        </w:rPr>
        <w:t>4</w:t>
      </w:r>
      <w:r w:rsidR="00D36226" w:rsidRPr="00D36226">
        <w:rPr>
          <w:rFonts w:cstheme="minorHAnsi"/>
          <w:color w:val="000000" w:themeColor="text1"/>
          <w:sz w:val="24"/>
        </w:rPr>
        <w:t xml:space="preserve"> </w:t>
      </w:r>
      <w:r w:rsidRPr="00D36226">
        <w:rPr>
          <w:rFonts w:cstheme="minorHAnsi"/>
          <w:color w:val="000000" w:themeColor="text1"/>
          <w:sz w:val="24"/>
        </w:rPr>
        <w:t xml:space="preserve">million </w:t>
      </w:r>
      <w:r w:rsidRPr="00D36226">
        <w:rPr>
          <w:rFonts w:cstheme="minorHAnsi"/>
          <w:sz w:val="24"/>
        </w:rPr>
        <w:t>increased $1</w:t>
      </w:r>
      <w:r w:rsidRPr="00D36226">
        <w:rPr>
          <w:rFonts w:cstheme="minorHAnsi"/>
          <w:color w:val="000000" w:themeColor="text1"/>
          <w:sz w:val="24"/>
        </w:rPr>
        <w:t xml:space="preserve"> million, or </w:t>
      </w:r>
      <w:r w:rsidR="00EE609B" w:rsidRPr="00D36226">
        <w:rPr>
          <w:rFonts w:cstheme="minorHAnsi"/>
          <w:color w:val="000000" w:themeColor="text1"/>
          <w:sz w:val="24"/>
        </w:rPr>
        <w:t>1</w:t>
      </w:r>
      <w:r w:rsidRPr="00D36226">
        <w:rPr>
          <w:rFonts w:cstheme="minorHAnsi"/>
          <w:sz w:val="24"/>
        </w:rPr>
        <w:t>%</w:t>
      </w:r>
      <w:r w:rsidRPr="00D36226">
        <w:rPr>
          <w:rFonts w:cstheme="minorHAnsi"/>
          <w:color w:val="000000" w:themeColor="text1"/>
          <w:sz w:val="24"/>
        </w:rPr>
        <w:t>,</w:t>
      </w:r>
      <w:r w:rsidRPr="004E6649">
        <w:rPr>
          <w:rFonts w:cstheme="minorHAnsi"/>
          <w:color w:val="000000" w:themeColor="text1"/>
          <w:sz w:val="24"/>
        </w:rPr>
        <w:t xml:space="preserve"> over the $</w:t>
      </w:r>
      <w:r w:rsidR="00475967" w:rsidRPr="004E6649">
        <w:rPr>
          <w:rFonts w:cstheme="minorHAnsi"/>
          <w:color w:val="000000" w:themeColor="text1"/>
          <w:sz w:val="24"/>
        </w:rPr>
        <w:t>7</w:t>
      </w:r>
      <w:r w:rsidR="00475967">
        <w:rPr>
          <w:rFonts w:cstheme="minorHAnsi"/>
          <w:color w:val="000000" w:themeColor="text1"/>
          <w:sz w:val="24"/>
        </w:rPr>
        <w:t>3</w:t>
      </w:r>
      <w:r w:rsidR="00475967" w:rsidRPr="004E6649">
        <w:rPr>
          <w:rFonts w:cstheme="minorHAnsi"/>
          <w:color w:val="000000" w:themeColor="text1"/>
          <w:sz w:val="24"/>
        </w:rPr>
        <w:t xml:space="preserve"> </w:t>
      </w:r>
      <w:r w:rsidRPr="004E6649">
        <w:rPr>
          <w:rFonts w:cstheme="minorHAnsi"/>
          <w:color w:val="000000" w:themeColor="text1"/>
          <w:sz w:val="24"/>
        </w:rPr>
        <w:t xml:space="preserve">million at June 30, </w:t>
      </w:r>
      <w:r w:rsidR="00475967" w:rsidRPr="004E6649">
        <w:rPr>
          <w:rFonts w:cstheme="minorHAnsi"/>
          <w:color w:val="000000" w:themeColor="text1"/>
          <w:sz w:val="24"/>
        </w:rPr>
        <w:t>202</w:t>
      </w:r>
      <w:r w:rsidR="00475967">
        <w:rPr>
          <w:rFonts w:cstheme="minorHAnsi"/>
          <w:color w:val="000000" w:themeColor="text1"/>
          <w:sz w:val="24"/>
        </w:rPr>
        <w:t>4</w:t>
      </w:r>
      <w:r w:rsidRPr="004E6649">
        <w:rPr>
          <w:rFonts w:cstheme="minorHAnsi"/>
          <w:color w:val="000000" w:themeColor="text1"/>
          <w:sz w:val="24"/>
        </w:rPr>
        <w:t xml:space="preserve">. For </w:t>
      </w:r>
      <w:r w:rsidR="00475967" w:rsidRPr="004E6649">
        <w:rPr>
          <w:rFonts w:cstheme="minorHAnsi"/>
          <w:color w:val="000000" w:themeColor="text1"/>
          <w:sz w:val="24"/>
        </w:rPr>
        <w:lastRenderedPageBreak/>
        <w:t>FY2</w:t>
      </w:r>
      <w:r w:rsidR="00475967">
        <w:rPr>
          <w:rFonts w:cstheme="minorHAnsi"/>
          <w:color w:val="000000" w:themeColor="text1"/>
          <w:sz w:val="24"/>
        </w:rPr>
        <w:t>4</w:t>
      </w:r>
      <w:r w:rsidRPr="004E6649">
        <w:rPr>
          <w:rFonts w:cstheme="minorHAnsi"/>
          <w:color w:val="000000" w:themeColor="text1"/>
          <w:sz w:val="24"/>
        </w:rPr>
        <w:t>, restricted-nonexpendable net position increased $</w:t>
      </w:r>
      <w:r w:rsidR="00BC1B22">
        <w:rPr>
          <w:rFonts w:cstheme="minorHAnsi"/>
          <w:color w:val="000000" w:themeColor="text1"/>
          <w:sz w:val="24"/>
        </w:rPr>
        <w:t>1</w:t>
      </w:r>
      <w:r w:rsidRPr="004E6649">
        <w:rPr>
          <w:rFonts w:cstheme="minorHAnsi"/>
          <w:color w:val="000000" w:themeColor="text1"/>
          <w:sz w:val="24"/>
        </w:rPr>
        <w:t xml:space="preserve"> million, or </w:t>
      </w:r>
      <w:r w:rsidR="00BC1B22">
        <w:rPr>
          <w:rFonts w:cstheme="minorHAnsi"/>
          <w:color w:val="000000" w:themeColor="text1"/>
          <w:sz w:val="24"/>
        </w:rPr>
        <w:t>1</w:t>
      </w:r>
      <w:r w:rsidRPr="004E6649">
        <w:rPr>
          <w:rFonts w:cstheme="minorHAnsi"/>
          <w:color w:val="000000" w:themeColor="text1"/>
          <w:sz w:val="24"/>
        </w:rPr>
        <w:t xml:space="preserve">%, from the </w:t>
      </w:r>
      <w:r w:rsidR="00475967" w:rsidRPr="004E6649">
        <w:rPr>
          <w:rFonts w:cstheme="minorHAnsi"/>
          <w:color w:val="000000" w:themeColor="text1"/>
          <w:sz w:val="24"/>
        </w:rPr>
        <w:t>FY2</w:t>
      </w:r>
      <w:r w:rsidR="00475967">
        <w:rPr>
          <w:rFonts w:cstheme="minorHAnsi"/>
          <w:color w:val="000000" w:themeColor="text1"/>
          <w:sz w:val="24"/>
        </w:rPr>
        <w:t>3</w:t>
      </w:r>
      <w:r w:rsidR="00475967" w:rsidRPr="004E6649">
        <w:rPr>
          <w:rFonts w:cstheme="minorHAnsi"/>
          <w:color w:val="000000" w:themeColor="text1"/>
          <w:sz w:val="24"/>
        </w:rPr>
        <w:t xml:space="preserve"> </w:t>
      </w:r>
      <w:r w:rsidRPr="004E6649">
        <w:rPr>
          <w:rFonts w:cstheme="minorHAnsi"/>
          <w:color w:val="000000" w:themeColor="text1"/>
          <w:sz w:val="24"/>
        </w:rPr>
        <w:t>year-end balance of $</w:t>
      </w:r>
      <w:r w:rsidR="00475967">
        <w:rPr>
          <w:rFonts w:cstheme="minorHAnsi"/>
          <w:color w:val="000000" w:themeColor="text1"/>
          <w:sz w:val="24"/>
        </w:rPr>
        <w:t>72</w:t>
      </w:r>
      <w:r w:rsidR="00475967" w:rsidRPr="004E6649">
        <w:rPr>
          <w:rFonts w:cstheme="minorHAnsi"/>
          <w:color w:val="000000" w:themeColor="text1"/>
          <w:sz w:val="24"/>
        </w:rPr>
        <w:t xml:space="preserve"> </w:t>
      </w:r>
      <w:r w:rsidRPr="004E6649">
        <w:rPr>
          <w:rFonts w:cstheme="minorHAnsi"/>
          <w:color w:val="000000" w:themeColor="text1"/>
          <w:sz w:val="24"/>
        </w:rPr>
        <w:t>million.</w:t>
      </w:r>
    </w:p>
    <w:p w14:paraId="7D48EC97" w14:textId="77777777" w:rsidR="00A83362" w:rsidRPr="002B5D51" w:rsidRDefault="00A83362" w:rsidP="00A83362">
      <w:pPr>
        <w:tabs>
          <w:tab w:val="left" w:pos="630"/>
        </w:tabs>
        <w:rPr>
          <w:rFonts w:cstheme="minorHAnsi"/>
          <w:b/>
          <w:color w:val="000000" w:themeColor="text1"/>
          <w:sz w:val="20"/>
          <w:szCs w:val="20"/>
          <w:shd w:val="clear" w:color="auto" w:fill="FFFFFF" w:themeFill="background1"/>
        </w:rPr>
      </w:pPr>
    </w:p>
    <w:p w14:paraId="71A95B42" w14:textId="03A28ABB" w:rsidR="00A83362" w:rsidRPr="004E6649" w:rsidRDefault="00A83362" w:rsidP="00A83362">
      <w:pPr>
        <w:tabs>
          <w:tab w:val="left" w:pos="630"/>
        </w:tabs>
        <w:rPr>
          <w:rFonts w:cstheme="minorHAnsi"/>
          <w:color w:val="000000" w:themeColor="text1"/>
          <w:sz w:val="24"/>
          <w:shd w:val="clear" w:color="auto" w:fill="FFFFFF" w:themeFill="background1"/>
        </w:rPr>
      </w:pPr>
      <w:r w:rsidRPr="004E6649">
        <w:rPr>
          <w:rFonts w:cstheme="minorHAnsi"/>
          <w:b/>
          <w:color w:val="000000" w:themeColor="text1"/>
          <w:sz w:val="24"/>
          <w:shd w:val="clear" w:color="auto" w:fill="FFFFFF" w:themeFill="background1"/>
        </w:rPr>
        <w:t>Restricted-expendable net position</w:t>
      </w:r>
      <w:r w:rsidRPr="004E6649">
        <w:rPr>
          <w:rFonts w:cstheme="minorHAnsi"/>
          <w:color w:val="000000" w:themeColor="text1"/>
          <w:sz w:val="24"/>
          <w:shd w:val="clear" w:color="auto" w:fill="FFFFFF" w:themeFill="background1"/>
        </w:rPr>
        <w:t xml:space="preserve"> consists of a variety of funds including unexpended gifts, quasi-endowments</w:t>
      </w:r>
      <w:r w:rsidR="00E464CC">
        <w:rPr>
          <w:rFonts w:cstheme="minorHAnsi"/>
          <w:color w:val="000000" w:themeColor="text1"/>
          <w:sz w:val="24"/>
          <w:shd w:val="clear" w:color="auto" w:fill="FFFFFF" w:themeFill="background1"/>
        </w:rPr>
        <w:t xml:space="preserve">, </w:t>
      </w:r>
      <w:r w:rsidRPr="004E6649">
        <w:rPr>
          <w:rFonts w:cstheme="minorHAnsi"/>
          <w:color w:val="000000" w:themeColor="text1"/>
          <w:sz w:val="24"/>
          <w:shd w:val="clear" w:color="auto" w:fill="FFFFFF" w:themeFill="background1"/>
        </w:rPr>
        <w:t>appreciation on true endowments</w:t>
      </w:r>
      <w:r w:rsidR="00E464CC">
        <w:rPr>
          <w:rFonts w:cstheme="minorHAnsi"/>
          <w:color w:val="000000" w:themeColor="text1"/>
          <w:sz w:val="24"/>
          <w:shd w:val="clear" w:color="auto" w:fill="FFFFFF" w:themeFill="background1"/>
        </w:rPr>
        <w:t xml:space="preserve"> and the System’s net OPEB asset</w:t>
      </w:r>
      <w:r w:rsidRPr="004E6649">
        <w:rPr>
          <w:rFonts w:cstheme="minorHAnsi"/>
          <w:color w:val="000000" w:themeColor="text1"/>
          <w:sz w:val="24"/>
          <w:shd w:val="clear" w:color="auto" w:fill="FFFFFF" w:themeFill="background1"/>
        </w:rPr>
        <w:t>, subject to externally imposed conditions on spending. The restrictions include a variety of purposes including student financial aid, capital asset acquisitions, research, public service</w:t>
      </w:r>
      <w:r w:rsidR="00E464CC">
        <w:rPr>
          <w:rFonts w:cstheme="minorHAnsi"/>
          <w:color w:val="000000" w:themeColor="text1"/>
          <w:sz w:val="24"/>
          <w:shd w:val="clear" w:color="auto" w:fill="FFFFFF" w:themeFill="background1"/>
        </w:rPr>
        <w:t>, and health benefits</w:t>
      </w:r>
      <w:r w:rsidRPr="004E6649">
        <w:rPr>
          <w:rFonts w:cstheme="minorHAnsi"/>
          <w:color w:val="000000" w:themeColor="text1"/>
          <w:sz w:val="24"/>
          <w:shd w:val="clear" w:color="auto" w:fill="FFFFFF" w:themeFill="background1"/>
        </w:rPr>
        <w:t xml:space="preserve">. The June 30, </w:t>
      </w:r>
      <w:r w:rsidR="00475967" w:rsidRPr="004E6649">
        <w:rPr>
          <w:rFonts w:cstheme="minorHAnsi"/>
          <w:color w:val="000000" w:themeColor="text1"/>
          <w:sz w:val="24"/>
          <w:shd w:val="clear" w:color="auto" w:fill="FFFFFF" w:themeFill="background1"/>
        </w:rPr>
        <w:t>202</w:t>
      </w:r>
      <w:r w:rsidR="00475967">
        <w:rPr>
          <w:rFonts w:cstheme="minorHAnsi"/>
          <w:color w:val="000000" w:themeColor="text1"/>
          <w:sz w:val="24"/>
          <w:shd w:val="clear" w:color="auto" w:fill="FFFFFF" w:themeFill="background1"/>
        </w:rPr>
        <w:t>5</w:t>
      </w:r>
      <w:r w:rsidR="00475967" w:rsidRPr="004E6649">
        <w:rPr>
          <w:rFonts w:cstheme="minorHAnsi"/>
          <w:color w:val="000000" w:themeColor="text1"/>
          <w:sz w:val="24"/>
          <w:shd w:val="clear" w:color="auto" w:fill="FFFFFF" w:themeFill="background1"/>
        </w:rPr>
        <w:t xml:space="preserve"> </w:t>
      </w:r>
      <w:r w:rsidRPr="004E6649">
        <w:rPr>
          <w:rFonts w:cstheme="minorHAnsi"/>
          <w:color w:val="000000" w:themeColor="text1"/>
          <w:sz w:val="24"/>
          <w:shd w:val="clear" w:color="auto" w:fill="FFFFFF" w:themeFill="background1"/>
        </w:rPr>
        <w:t xml:space="preserve">balance of </w:t>
      </w:r>
      <w:r w:rsidRPr="004E6649">
        <w:rPr>
          <w:rFonts w:cstheme="minorHAnsi"/>
          <w:sz w:val="24"/>
          <w:shd w:val="clear" w:color="auto" w:fill="FFFFFF" w:themeFill="background1"/>
        </w:rPr>
        <w:t>$</w:t>
      </w:r>
      <w:r w:rsidR="00D36226" w:rsidRPr="005222DE">
        <w:rPr>
          <w:rFonts w:cstheme="minorHAnsi"/>
          <w:sz w:val="24"/>
          <w:shd w:val="clear" w:color="auto" w:fill="FFFFFF" w:themeFill="background1"/>
        </w:rPr>
        <w:t>2</w:t>
      </w:r>
      <w:r w:rsidR="00F207D6">
        <w:rPr>
          <w:rFonts w:cstheme="minorHAnsi"/>
          <w:sz w:val="24"/>
          <w:shd w:val="clear" w:color="auto" w:fill="FFFFFF" w:themeFill="background1"/>
        </w:rPr>
        <w:t>39</w:t>
      </w:r>
      <w:r w:rsidR="00D36226" w:rsidRPr="005222DE">
        <w:rPr>
          <w:rFonts w:cstheme="minorHAnsi"/>
          <w:color w:val="000000" w:themeColor="text1"/>
          <w:sz w:val="24"/>
          <w:shd w:val="clear" w:color="auto" w:fill="FFFFFF" w:themeFill="background1"/>
        </w:rPr>
        <w:t xml:space="preserve"> </w:t>
      </w:r>
      <w:r w:rsidRPr="005222DE">
        <w:rPr>
          <w:rFonts w:cstheme="minorHAnsi"/>
          <w:color w:val="000000" w:themeColor="text1"/>
          <w:sz w:val="24"/>
          <w:shd w:val="clear" w:color="auto" w:fill="FFFFFF" w:themeFill="background1"/>
        </w:rPr>
        <w:t>million in</w:t>
      </w:r>
      <w:r w:rsidRPr="005222DE">
        <w:rPr>
          <w:rFonts w:cstheme="minorHAnsi"/>
          <w:sz w:val="24"/>
          <w:shd w:val="clear" w:color="auto" w:fill="FFFFFF" w:themeFill="background1"/>
        </w:rPr>
        <w:t>creased $</w:t>
      </w:r>
      <w:r w:rsidR="00F207D6">
        <w:rPr>
          <w:rFonts w:cstheme="minorHAnsi"/>
          <w:sz w:val="24"/>
          <w:shd w:val="clear" w:color="auto" w:fill="FFFFFF" w:themeFill="background1"/>
        </w:rPr>
        <w:t>32</w:t>
      </w:r>
      <w:r w:rsidR="00D36226" w:rsidRPr="005222DE">
        <w:rPr>
          <w:rFonts w:cstheme="minorHAnsi"/>
          <w:color w:val="000000" w:themeColor="text1"/>
          <w:sz w:val="24"/>
          <w:shd w:val="clear" w:color="auto" w:fill="FFFFFF" w:themeFill="background1"/>
        </w:rPr>
        <w:t xml:space="preserve"> </w:t>
      </w:r>
      <w:r w:rsidRPr="005222DE">
        <w:rPr>
          <w:rFonts w:cstheme="minorHAnsi"/>
          <w:color w:val="000000" w:themeColor="text1"/>
          <w:sz w:val="24"/>
          <w:shd w:val="clear" w:color="auto" w:fill="FFFFFF" w:themeFill="background1"/>
        </w:rPr>
        <w:t xml:space="preserve">million, or </w:t>
      </w:r>
      <w:r w:rsidR="00E1495D">
        <w:rPr>
          <w:rFonts w:cstheme="minorHAnsi"/>
          <w:color w:val="000000" w:themeColor="text1"/>
          <w:sz w:val="24"/>
          <w:shd w:val="clear" w:color="auto" w:fill="FFFFFF" w:themeFill="background1"/>
        </w:rPr>
        <w:t>15</w:t>
      </w:r>
      <w:r w:rsidRPr="005222DE">
        <w:rPr>
          <w:rFonts w:cstheme="minorHAnsi"/>
          <w:sz w:val="24"/>
          <w:shd w:val="clear" w:color="auto" w:fill="FFFFFF" w:themeFill="background1"/>
        </w:rPr>
        <w:t xml:space="preserve">% from the June 30, </w:t>
      </w:r>
      <w:r w:rsidR="00F207D6" w:rsidRPr="005222DE">
        <w:rPr>
          <w:rFonts w:cstheme="minorHAnsi"/>
          <w:sz w:val="24"/>
          <w:shd w:val="clear" w:color="auto" w:fill="FFFFFF" w:themeFill="background1"/>
        </w:rPr>
        <w:t>202</w:t>
      </w:r>
      <w:r w:rsidR="00F207D6">
        <w:rPr>
          <w:rFonts w:cstheme="minorHAnsi"/>
          <w:sz w:val="24"/>
          <w:shd w:val="clear" w:color="auto" w:fill="FFFFFF" w:themeFill="background1"/>
        </w:rPr>
        <w:t>4</w:t>
      </w:r>
      <w:r w:rsidR="00F207D6" w:rsidRPr="005222DE">
        <w:rPr>
          <w:rFonts w:cstheme="minorHAnsi"/>
          <w:sz w:val="24"/>
          <w:shd w:val="clear" w:color="auto" w:fill="FFFFFF" w:themeFill="background1"/>
        </w:rPr>
        <w:t xml:space="preserve"> </w:t>
      </w:r>
      <w:r w:rsidRPr="005222DE">
        <w:rPr>
          <w:rFonts w:cstheme="minorHAnsi"/>
          <w:sz w:val="24"/>
          <w:shd w:val="clear" w:color="auto" w:fill="FFFFFF" w:themeFill="background1"/>
        </w:rPr>
        <w:t>balance of $</w:t>
      </w:r>
      <w:r w:rsidR="005222DE" w:rsidRPr="00DF43A9">
        <w:rPr>
          <w:rFonts w:cstheme="minorHAnsi"/>
          <w:sz w:val="24"/>
          <w:shd w:val="clear" w:color="auto" w:fill="FFFFFF" w:themeFill="background1"/>
        </w:rPr>
        <w:t>207</w:t>
      </w:r>
      <w:r w:rsidR="005222DE" w:rsidRPr="005222DE">
        <w:rPr>
          <w:rFonts w:cstheme="minorHAnsi"/>
          <w:sz w:val="24"/>
          <w:shd w:val="clear" w:color="auto" w:fill="FFFFFF" w:themeFill="background1"/>
        </w:rPr>
        <w:t xml:space="preserve"> </w:t>
      </w:r>
      <w:r w:rsidRPr="005222DE">
        <w:rPr>
          <w:rFonts w:cstheme="minorHAnsi"/>
          <w:sz w:val="24"/>
          <w:shd w:val="clear" w:color="auto" w:fill="FFFFFF" w:themeFill="background1"/>
        </w:rPr>
        <w:t xml:space="preserve">million.  </w:t>
      </w:r>
      <w:r w:rsidRPr="00EC4D64">
        <w:rPr>
          <w:rFonts w:cstheme="minorHAnsi"/>
          <w:sz w:val="24"/>
          <w:shd w:val="clear" w:color="auto" w:fill="FFFFFF" w:themeFill="background1"/>
        </w:rPr>
        <w:t xml:space="preserve">This increase </w:t>
      </w:r>
      <w:r w:rsidRPr="00EC4D64">
        <w:rPr>
          <w:rFonts w:cstheme="minorHAnsi"/>
          <w:color w:val="000000" w:themeColor="text1"/>
          <w:sz w:val="24"/>
          <w:shd w:val="clear" w:color="auto" w:fill="FFFFFF" w:themeFill="background1"/>
        </w:rPr>
        <w:t xml:space="preserve">is primarily attributable to </w:t>
      </w:r>
      <w:r w:rsidRPr="00EC4D64">
        <w:rPr>
          <w:rFonts w:cstheme="minorHAnsi"/>
          <w:sz w:val="24"/>
          <w:shd w:val="clear" w:color="auto" w:fill="FFFFFF" w:themeFill="background1"/>
        </w:rPr>
        <w:t xml:space="preserve">a </w:t>
      </w:r>
      <w:r w:rsidR="00E464CC" w:rsidRPr="00EC4D64">
        <w:rPr>
          <w:rFonts w:cstheme="minorHAnsi"/>
          <w:sz w:val="24"/>
          <w:shd w:val="clear" w:color="auto" w:fill="FFFFFF" w:themeFill="background1"/>
        </w:rPr>
        <w:t>$</w:t>
      </w:r>
      <w:r w:rsidR="00EC4D64" w:rsidRPr="00DF43A9">
        <w:rPr>
          <w:rFonts w:cstheme="minorHAnsi"/>
          <w:sz w:val="24"/>
          <w:shd w:val="clear" w:color="auto" w:fill="FFFFFF" w:themeFill="background1"/>
        </w:rPr>
        <w:t>6</w:t>
      </w:r>
      <w:r w:rsidR="00EC4D64" w:rsidRPr="00EC4D64">
        <w:rPr>
          <w:rFonts w:cstheme="minorHAnsi"/>
          <w:sz w:val="24"/>
          <w:shd w:val="clear" w:color="auto" w:fill="FFFFFF" w:themeFill="background1"/>
        </w:rPr>
        <w:t xml:space="preserve"> </w:t>
      </w:r>
      <w:r w:rsidR="00E464CC" w:rsidRPr="00EC4D64">
        <w:rPr>
          <w:rFonts w:cstheme="minorHAnsi"/>
          <w:sz w:val="24"/>
          <w:shd w:val="clear" w:color="auto" w:fill="FFFFFF" w:themeFill="background1"/>
        </w:rPr>
        <w:t xml:space="preserve">million increase in the System’s net OPEB asset; </w:t>
      </w:r>
      <w:r w:rsidR="00E464CC" w:rsidRPr="00DB4511">
        <w:rPr>
          <w:rFonts w:cstheme="minorHAnsi"/>
          <w:sz w:val="24"/>
          <w:shd w:val="clear" w:color="auto" w:fill="FFFFFF" w:themeFill="background1"/>
        </w:rPr>
        <w:t xml:space="preserve">a </w:t>
      </w:r>
      <w:r w:rsidRPr="00DB4511">
        <w:rPr>
          <w:rFonts w:cstheme="minorHAnsi"/>
          <w:color w:val="000000" w:themeColor="text1"/>
          <w:sz w:val="24"/>
          <w:shd w:val="clear" w:color="auto" w:fill="FFFFFF" w:themeFill="background1"/>
        </w:rPr>
        <w:t>$</w:t>
      </w:r>
      <w:r w:rsidR="00DB4511" w:rsidRPr="00DF43A9">
        <w:rPr>
          <w:rFonts w:cstheme="minorHAnsi"/>
          <w:color w:val="000000" w:themeColor="text1"/>
          <w:sz w:val="24"/>
          <w:shd w:val="clear" w:color="auto" w:fill="FFFFFF" w:themeFill="background1"/>
        </w:rPr>
        <w:t>8</w:t>
      </w:r>
      <w:r w:rsidR="00DB4511" w:rsidRPr="00DB4511">
        <w:rPr>
          <w:rFonts w:cstheme="minorHAnsi"/>
          <w:color w:val="000000" w:themeColor="text1"/>
          <w:sz w:val="24"/>
          <w:shd w:val="clear" w:color="auto" w:fill="FFFFFF" w:themeFill="background1"/>
        </w:rPr>
        <w:t xml:space="preserve"> </w:t>
      </w:r>
      <w:r w:rsidRPr="00DB4511">
        <w:rPr>
          <w:rFonts w:cstheme="minorHAnsi"/>
          <w:color w:val="000000" w:themeColor="text1"/>
          <w:sz w:val="24"/>
          <w:shd w:val="clear" w:color="auto" w:fill="FFFFFF" w:themeFill="background1"/>
        </w:rPr>
        <w:t xml:space="preserve">million increase in the expendable portion of endowments, resulting from positive investment performance </w:t>
      </w:r>
      <w:r w:rsidR="00EE609B" w:rsidRPr="00DB4511">
        <w:rPr>
          <w:rFonts w:cstheme="minorHAnsi"/>
          <w:color w:val="000000" w:themeColor="text1"/>
          <w:sz w:val="24"/>
          <w:shd w:val="clear" w:color="auto" w:fill="FFFFFF" w:themeFill="background1"/>
        </w:rPr>
        <w:t xml:space="preserve">less </w:t>
      </w:r>
      <w:r w:rsidRPr="00DB4511">
        <w:rPr>
          <w:rFonts w:cstheme="minorHAnsi"/>
          <w:color w:val="000000" w:themeColor="text1"/>
          <w:sz w:val="24"/>
          <w:shd w:val="clear" w:color="auto" w:fill="FFFFFF" w:themeFill="background1"/>
        </w:rPr>
        <w:t>endowment income distributed for operations</w:t>
      </w:r>
      <w:r w:rsidR="00374A7C" w:rsidRPr="00DB4511">
        <w:rPr>
          <w:rFonts w:cstheme="minorHAnsi"/>
          <w:color w:val="000000" w:themeColor="text1"/>
          <w:sz w:val="24"/>
          <w:shd w:val="clear" w:color="auto" w:fill="FFFFFF" w:themeFill="background1"/>
        </w:rPr>
        <w:t>;</w:t>
      </w:r>
      <w:r w:rsidR="00D33371" w:rsidRPr="00DB4511">
        <w:rPr>
          <w:rFonts w:cstheme="minorHAnsi"/>
          <w:color w:val="000000" w:themeColor="text1"/>
          <w:sz w:val="24"/>
          <w:shd w:val="clear" w:color="auto" w:fill="FFFFFF" w:themeFill="background1"/>
        </w:rPr>
        <w:t xml:space="preserve"> </w:t>
      </w:r>
      <w:r w:rsidR="00BE2110" w:rsidRPr="00DB4511">
        <w:rPr>
          <w:rFonts w:cstheme="minorHAnsi"/>
          <w:color w:val="000000" w:themeColor="text1"/>
          <w:sz w:val="24"/>
          <w:shd w:val="clear" w:color="auto" w:fill="FFFFFF" w:themeFill="background1"/>
        </w:rPr>
        <w:t xml:space="preserve">a </w:t>
      </w:r>
      <w:r w:rsidRPr="00DB4511">
        <w:rPr>
          <w:rFonts w:cstheme="minorHAnsi"/>
          <w:color w:val="000000" w:themeColor="text1"/>
          <w:sz w:val="24"/>
          <w:shd w:val="clear" w:color="auto" w:fill="FFFFFF" w:themeFill="background1"/>
        </w:rPr>
        <w:t>$</w:t>
      </w:r>
      <w:r w:rsidR="00DB4511" w:rsidRPr="00DF43A9">
        <w:rPr>
          <w:rFonts w:cstheme="minorHAnsi"/>
          <w:color w:val="000000" w:themeColor="text1"/>
          <w:sz w:val="24"/>
          <w:shd w:val="clear" w:color="auto" w:fill="FFFFFF" w:themeFill="background1"/>
        </w:rPr>
        <w:t>6</w:t>
      </w:r>
      <w:r w:rsidR="00DB4511" w:rsidRPr="00DB4511">
        <w:rPr>
          <w:rFonts w:cstheme="minorHAnsi"/>
          <w:color w:val="000000" w:themeColor="text1"/>
          <w:sz w:val="24"/>
          <w:shd w:val="clear" w:color="auto" w:fill="FFFFFF" w:themeFill="background1"/>
        </w:rPr>
        <w:t xml:space="preserve"> </w:t>
      </w:r>
      <w:r w:rsidRPr="00DB4511">
        <w:rPr>
          <w:rFonts w:cstheme="minorHAnsi"/>
          <w:color w:val="000000" w:themeColor="text1"/>
          <w:sz w:val="24"/>
          <w:shd w:val="clear" w:color="auto" w:fill="FFFFFF" w:themeFill="background1"/>
        </w:rPr>
        <w:t>million increase in unspent restricted gift</w:t>
      </w:r>
      <w:r w:rsidR="00D33371" w:rsidRPr="00DB4511">
        <w:rPr>
          <w:rFonts w:cstheme="minorHAnsi"/>
          <w:color w:val="000000" w:themeColor="text1"/>
          <w:sz w:val="24"/>
          <w:shd w:val="clear" w:color="auto" w:fill="FFFFFF" w:themeFill="background1"/>
        </w:rPr>
        <w:t>s</w:t>
      </w:r>
      <w:r w:rsidR="00E1495D">
        <w:rPr>
          <w:rFonts w:cstheme="minorHAnsi"/>
          <w:color w:val="000000" w:themeColor="text1"/>
          <w:sz w:val="24"/>
          <w:shd w:val="clear" w:color="auto" w:fill="FFFFFF" w:themeFill="background1"/>
        </w:rPr>
        <w:t>, a $6 million increase in restricted funds for construction,</w:t>
      </w:r>
      <w:r w:rsidR="00DC2569" w:rsidRPr="00DB4511">
        <w:rPr>
          <w:rFonts w:cstheme="minorHAnsi"/>
          <w:color w:val="000000" w:themeColor="text1"/>
          <w:sz w:val="24"/>
          <w:shd w:val="clear" w:color="auto" w:fill="FFFFFF" w:themeFill="background1"/>
        </w:rPr>
        <w:t xml:space="preserve"> and a </w:t>
      </w:r>
      <w:r w:rsidR="00BE2110" w:rsidRPr="00DB4511">
        <w:rPr>
          <w:rFonts w:cstheme="minorHAnsi"/>
          <w:color w:val="000000" w:themeColor="text1"/>
          <w:sz w:val="24"/>
          <w:shd w:val="clear" w:color="auto" w:fill="FFFFFF" w:themeFill="background1"/>
        </w:rPr>
        <w:t xml:space="preserve">net </w:t>
      </w:r>
      <w:r w:rsidRPr="00DB4511">
        <w:rPr>
          <w:rFonts w:cstheme="minorHAnsi"/>
          <w:color w:val="000000" w:themeColor="text1"/>
          <w:sz w:val="24"/>
          <w:shd w:val="clear" w:color="auto" w:fill="FFFFFF" w:themeFill="background1"/>
        </w:rPr>
        <w:t>$</w:t>
      </w:r>
      <w:r w:rsidR="00DB4511" w:rsidRPr="00DF43A9">
        <w:rPr>
          <w:rFonts w:cstheme="minorHAnsi"/>
          <w:color w:val="000000" w:themeColor="text1"/>
          <w:sz w:val="24"/>
          <w:shd w:val="clear" w:color="auto" w:fill="FFFFFF" w:themeFill="background1"/>
        </w:rPr>
        <w:t>6</w:t>
      </w:r>
      <w:r w:rsidR="00DB4511" w:rsidRPr="00DB4511">
        <w:rPr>
          <w:rFonts w:cstheme="minorHAnsi"/>
          <w:color w:val="000000" w:themeColor="text1"/>
          <w:sz w:val="24"/>
          <w:shd w:val="clear" w:color="auto" w:fill="FFFFFF" w:themeFill="background1"/>
        </w:rPr>
        <w:t xml:space="preserve"> </w:t>
      </w:r>
      <w:r w:rsidRPr="00DB4511">
        <w:rPr>
          <w:rFonts w:cstheme="minorHAnsi"/>
          <w:color w:val="000000" w:themeColor="text1"/>
          <w:sz w:val="24"/>
          <w:shd w:val="clear" w:color="auto" w:fill="FFFFFF" w:themeFill="background1"/>
        </w:rPr>
        <w:t xml:space="preserve">million </w:t>
      </w:r>
      <w:r w:rsidR="00E1495D">
        <w:rPr>
          <w:rFonts w:cstheme="minorHAnsi"/>
          <w:color w:val="000000" w:themeColor="text1"/>
          <w:sz w:val="24"/>
          <w:shd w:val="clear" w:color="auto" w:fill="FFFFFF" w:themeFill="background1"/>
        </w:rPr>
        <w:t>in</w:t>
      </w:r>
      <w:r w:rsidR="00E1495D" w:rsidRPr="00DB4511">
        <w:rPr>
          <w:rFonts w:cstheme="minorHAnsi"/>
          <w:color w:val="000000" w:themeColor="text1"/>
          <w:sz w:val="24"/>
          <w:shd w:val="clear" w:color="auto" w:fill="FFFFFF" w:themeFill="background1"/>
        </w:rPr>
        <w:t xml:space="preserve">crease </w:t>
      </w:r>
      <w:r w:rsidRPr="00DB4511">
        <w:rPr>
          <w:rFonts w:cstheme="minorHAnsi"/>
          <w:color w:val="000000" w:themeColor="text1"/>
          <w:sz w:val="24"/>
          <w:shd w:val="clear" w:color="auto" w:fill="FFFFFF" w:themeFill="background1"/>
        </w:rPr>
        <w:t>from other managed restricted-expendable funds.</w:t>
      </w:r>
      <w:r w:rsidRPr="00D60FE7">
        <w:rPr>
          <w:rFonts w:cstheme="minorHAnsi"/>
          <w:color w:val="000000" w:themeColor="text1"/>
          <w:sz w:val="24"/>
          <w:shd w:val="clear" w:color="auto" w:fill="FFFFFF" w:themeFill="background1"/>
        </w:rPr>
        <w:t xml:space="preserve">  </w:t>
      </w:r>
    </w:p>
    <w:p w14:paraId="091EDD4E" w14:textId="77777777" w:rsidR="00A83362" w:rsidRPr="004E6649" w:rsidRDefault="00A83362" w:rsidP="00A83362">
      <w:pPr>
        <w:tabs>
          <w:tab w:val="left" w:pos="630"/>
        </w:tabs>
        <w:rPr>
          <w:rFonts w:cstheme="minorHAnsi"/>
          <w:color w:val="000000" w:themeColor="text1"/>
          <w:sz w:val="20"/>
          <w:szCs w:val="20"/>
          <w:shd w:val="clear" w:color="auto" w:fill="FFFFFF" w:themeFill="background1"/>
        </w:rPr>
      </w:pPr>
    </w:p>
    <w:p w14:paraId="001CA33A" w14:textId="2BA41BA0" w:rsidR="00A83362" w:rsidRPr="004E6649" w:rsidRDefault="00A83362" w:rsidP="00A83362">
      <w:pPr>
        <w:tabs>
          <w:tab w:val="left" w:pos="630"/>
        </w:tabs>
        <w:rPr>
          <w:rFonts w:cstheme="minorHAnsi"/>
          <w:color w:val="000000" w:themeColor="text1"/>
          <w:sz w:val="24"/>
          <w:shd w:val="clear" w:color="auto" w:fill="FFFFFF" w:themeFill="background1"/>
        </w:rPr>
      </w:pPr>
      <w:r w:rsidRPr="004E6649">
        <w:rPr>
          <w:rFonts w:cstheme="minorHAnsi"/>
          <w:color w:val="000000" w:themeColor="text1"/>
          <w:sz w:val="24"/>
          <w:shd w:val="clear" w:color="auto" w:fill="FFFFFF" w:themeFill="background1"/>
        </w:rPr>
        <w:t xml:space="preserve">The </w:t>
      </w:r>
      <w:r w:rsidR="00475967" w:rsidRPr="004E6649">
        <w:rPr>
          <w:rFonts w:cstheme="minorHAnsi"/>
          <w:color w:val="000000" w:themeColor="text1"/>
          <w:sz w:val="24"/>
          <w:shd w:val="clear" w:color="auto" w:fill="FFFFFF" w:themeFill="background1"/>
        </w:rPr>
        <w:t>FY2</w:t>
      </w:r>
      <w:r w:rsidR="00475967">
        <w:rPr>
          <w:rFonts w:cstheme="minorHAnsi"/>
          <w:color w:val="000000" w:themeColor="text1"/>
          <w:sz w:val="24"/>
          <w:shd w:val="clear" w:color="auto" w:fill="FFFFFF" w:themeFill="background1"/>
        </w:rPr>
        <w:t>4</w:t>
      </w:r>
      <w:r w:rsidR="00475967" w:rsidRPr="004E6649">
        <w:rPr>
          <w:rFonts w:cstheme="minorHAnsi"/>
          <w:color w:val="000000" w:themeColor="text1"/>
          <w:sz w:val="24"/>
          <w:shd w:val="clear" w:color="auto" w:fill="FFFFFF" w:themeFill="background1"/>
        </w:rPr>
        <w:t xml:space="preserve"> </w:t>
      </w:r>
      <w:r w:rsidRPr="004E6649">
        <w:rPr>
          <w:rFonts w:cstheme="minorHAnsi"/>
          <w:color w:val="000000" w:themeColor="text1"/>
          <w:sz w:val="24"/>
          <w:shd w:val="clear" w:color="auto" w:fill="FFFFFF" w:themeFill="background1"/>
        </w:rPr>
        <w:t>increase of $</w:t>
      </w:r>
      <w:r w:rsidR="00475967">
        <w:rPr>
          <w:rFonts w:cstheme="minorHAnsi"/>
          <w:color w:val="000000" w:themeColor="text1"/>
          <w:sz w:val="24"/>
          <w:shd w:val="clear" w:color="auto" w:fill="FFFFFF" w:themeFill="background1"/>
        </w:rPr>
        <w:t xml:space="preserve">34 </w:t>
      </w:r>
      <w:r w:rsidRPr="004E6649">
        <w:rPr>
          <w:rFonts w:cstheme="minorHAnsi"/>
          <w:color w:val="000000" w:themeColor="text1"/>
          <w:sz w:val="24"/>
          <w:shd w:val="clear" w:color="auto" w:fill="FFFFFF" w:themeFill="background1"/>
        </w:rPr>
        <w:t xml:space="preserve">million, or </w:t>
      </w:r>
      <w:r w:rsidR="00475967">
        <w:rPr>
          <w:rFonts w:cstheme="minorHAnsi"/>
          <w:color w:val="000000" w:themeColor="text1"/>
          <w:sz w:val="24"/>
          <w:shd w:val="clear" w:color="auto" w:fill="FFFFFF" w:themeFill="background1"/>
        </w:rPr>
        <w:t>20</w:t>
      </w:r>
      <w:r w:rsidRPr="004E6649">
        <w:rPr>
          <w:rFonts w:cstheme="minorHAnsi"/>
          <w:color w:val="000000" w:themeColor="text1"/>
          <w:sz w:val="24"/>
          <w:shd w:val="clear" w:color="auto" w:fill="FFFFFF" w:themeFill="background1"/>
        </w:rPr>
        <w:t xml:space="preserve">%, is primarily attributable to </w:t>
      </w:r>
      <w:r w:rsidR="00475967" w:rsidRPr="004E6649">
        <w:rPr>
          <w:rFonts w:cstheme="minorHAnsi"/>
          <w:sz w:val="24"/>
          <w:shd w:val="clear" w:color="auto" w:fill="FFFFFF" w:themeFill="background1"/>
        </w:rPr>
        <w:t xml:space="preserve">a </w:t>
      </w:r>
      <w:r w:rsidR="00475967">
        <w:rPr>
          <w:rFonts w:cstheme="minorHAnsi"/>
          <w:sz w:val="24"/>
          <w:shd w:val="clear" w:color="auto" w:fill="FFFFFF" w:themeFill="background1"/>
        </w:rPr>
        <w:t xml:space="preserve">$13 million increase in the System’s net OPEB asset; a </w:t>
      </w:r>
      <w:r w:rsidR="00475967" w:rsidRPr="00D60FE7">
        <w:rPr>
          <w:rFonts w:cstheme="minorHAnsi"/>
          <w:color w:val="000000" w:themeColor="text1"/>
          <w:sz w:val="24"/>
          <w:shd w:val="clear" w:color="auto" w:fill="FFFFFF" w:themeFill="background1"/>
        </w:rPr>
        <w:t>$9 million increase in the expendable portion of endowments, resulting from positive investment performance less endowment income distributed for operations</w:t>
      </w:r>
      <w:r w:rsidR="00475967">
        <w:rPr>
          <w:rFonts w:cstheme="minorHAnsi"/>
          <w:color w:val="000000" w:themeColor="text1"/>
          <w:sz w:val="24"/>
          <w:shd w:val="clear" w:color="auto" w:fill="FFFFFF" w:themeFill="background1"/>
        </w:rPr>
        <w:t xml:space="preserve">; </w:t>
      </w:r>
      <w:r w:rsidR="00475967" w:rsidRPr="00D60FE7">
        <w:rPr>
          <w:rFonts w:cstheme="minorHAnsi"/>
          <w:color w:val="000000" w:themeColor="text1"/>
          <w:sz w:val="24"/>
          <w:shd w:val="clear" w:color="auto" w:fill="FFFFFF" w:themeFill="background1"/>
        </w:rPr>
        <w:t>a $9 million increase in unspent restricted gift</w:t>
      </w:r>
      <w:r w:rsidR="00475967">
        <w:rPr>
          <w:rFonts w:cstheme="minorHAnsi"/>
          <w:color w:val="000000" w:themeColor="text1"/>
          <w:sz w:val="24"/>
          <w:shd w:val="clear" w:color="auto" w:fill="FFFFFF" w:themeFill="background1"/>
        </w:rPr>
        <w:t xml:space="preserve">s and a </w:t>
      </w:r>
      <w:r w:rsidR="00475967" w:rsidRPr="00D60FE7">
        <w:rPr>
          <w:rFonts w:cstheme="minorHAnsi"/>
          <w:color w:val="000000" w:themeColor="text1"/>
          <w:sz w:val="24"/>
          <w:shd w:val="clear" w:color="auto" w:fill="FFFFFF" w:themeFill="background1"/>
        </w:rPr>
        <w:t>net $</w:t>
      </w:r>
      <w:r w:rsidR="00475967">
        <w:rPr>
          <w:rFonts w:cstheme="minorHAnsi"/>
          <w:color w:val="000000" w:themeColor="text1"/>
          <w:sz w:val="24"/>
          <w:shd w:val="clear" w:color="auto" w:fill="FFFFFF" w:themeFill="background1"/>
        </w:rPr>
        <w:t xml:space="preserve">3 </w:t>
      </w:r>
      <w:r w:rsidR="00475967" w:rsidRPr="00D60FE7">
        <w:rPr>
          <w:rFonts w:cstheme="minorHAnsi"/>
          <w:color w:val="000000" w:themeColor="text1"/>
          <w:sz w:val="24"/>
          <w:shd w:val="clear" w:color="auto" w:fill="FFFFFF" w:themeFill="background1"/>
        </w:rPr>
        <w:t xml:space="preserve">million </w:t>
      </w:r>
      <w:r w:rsidR="00475967">
        <w:rPr>
          <w:rFonts w:cstheme="minorHAnsi"/>
          <w:color w:val="000000" w:themeColor="text1"/>
          <w:sz w:val="24"/>
          <w:shd w:val="clear" w:color="auto" w:fill="FFFFFF" w:themeFill="background1"/>
        </w:rPr>
        <w:t>in</w:t>
      </w:r>
      <w:r w:rsidR="00475967" w:rsidRPr="00D60FE7">
        <w:rPr>
          <w:rFonts w:cstheme="minorHAnsi"/>
          <w:color w:val="000000" w:themeColor="text1"/>
          <w:sz w:val="24"/>
          <w:shd w:val="clear" w:color="auto" w:fill="FFFFFF" w:themeFill="background1"/>
        </w:rPr>
        <w:t>crease from other managed restricted-expendable funds.</w:t>
      </w:r>
      <w:r w:rsidRPr="004E6649">
        <w:rPr>
          <w:rFonts w:cstheme="minorHAnsi"/>
          <w:sz w:val="24"/>
          <w:shd w:val="clear" w:color="auto" w:fill="FFFFFF" w:themeFill="background1"/>
        </w:rPr>
        <w:t xml:space="preserve">  </w:t>
      </w:r>
    </w:p>
    <w:p w14:paraId="65AE89C9" w14:textId="77777777" w:rsidR="00A83362" w:rsidRPr="004E6649" w:rsidRDefault="00A83362" w:rsidP="00A83362">
      <w:pPr>
        <w:tabs>
          <w:tab w:val="left" w:pos="630"/>
        </w:tabs>
        <w:ind w:right="288"/>
        <w:rPr>
          <w:rFonts w:cstheme="minorHAnsi"/>
          <w:color w:val="000000" w:themeColor="text1"/>
          <w:sz w:val="20"/>
          <w:szCs w:val="20"/>
          <w:shd w:val="clear" w:color="auto" w:fill="FFFFFF" w:themeFill="background1"/>
        </w:rPr>
      </w:pPr>
    </w:p>
    <w:p w14:paraId="73E8DA2E" w14:textId="77777777" w:rsidR="00A83362" w:rsidRPr="004E6649" w:rsidRDefault="00A83362" w:rsidP="00A83362">
      <w:pPr>
        <w:rPr>
          <w:rFonts w:cstheme="minorHAnsi"/>
          <w:color w:val="000000" w:themeColor="text1"/>
          <w:sz w:val="24"/>
        </w:rPr>
      </w:pPr>
      <w:r w:rsidRPr="004E6649">
        <w:rPr>
          <w:rFonts w:cstheme="minorHAnsi"/>
          <w:b/>
          <w:color w:val="000000" w:themeColor="text1"/>
          <w:sz w:val="24"/>
        </w:rPr>
        <w:t>Unrestricted net position</w:t>
      </w:r>
      <w:r w:rsidRPr="004E6649">
        <w:rPr>
          <w:rFonts w:cstheme="minorHAnsi"/>
          <w:color w:val="000000" w:themeColor="text1"/>
          <w:sz w:val="24"/>
        </w:rPr>
        <w:t xml:space="preserve"> is not subject to externally imposed stipulations; however, these resources are critical for the financial stability of the UMS and have been designated by management for specific areas, including operational and capital needs, compensating for operating investment and other budget fluctuations, and benefits costs including covering the risks associated with self-insured plans. Given both the physical and financial size of the System, funds must be readily available to cover various situations including emergency and other unforeseen expenditures, strategic priorities, operating losses, over-expenditures on budgeted items, and benefits costs.</w:t>
      </w:r>
    </w:p>
    <w:p w14:paraId="47071018" w14:textId="77777777" w:rsidR="00A83362" w:rsidRPr="002B5D51" w:rsidRDefault="00A83362" w:rsidP="00A83362">
      <w:pPr>
        <w:rPr>
          <w:rFonts w:cstheme="minorHAnsi"/>
          <w:color w:val="000000" w:themeColor="text1"/>
          <w:sz w:val="20"/>
          <w:szCs w:val="20"/>
        </w:rPr>
      </w:pPr>
    </w:p>
    <w:p w14:paraId="5074DC3D" w14:textId="715CC3B8" w:rsidR="0069216A" w:rsidRDefault="00A83362" w:rsidP="004D3BC1">
      <w:pPr>
        <w:rPr>
          <w:rFonts w:eastAsiaTheme="majorEastAsia" w:cstheme="minorHAnsi"/>
          <w:b/>
          <w:i/>
          <w:iCs/>
          <w:noProof/>
          <w:color w:val="000000" w:themeColor="text1"/>
          <w:sz w:val="28"/>
          <w:szCs w:val="24"/>
          <w:u w:color="5B9BD5"/>
        </w:rPr>
      </w:pPr>
      <w:r w:rsidRPr="004E6649">
        <w:rPr>
          <w:rFonts w:cstheme="minorHAnsi"/>
          <w:color w:val="000000" w:themeColor="text1"/>
          <w:sz w:val="24"/>
        </w:rPr>
        <w:t xml:space="preserve">The </w:t>
      </w:r>
      <w:r w:rsidR="0011598D" w:rsidRPr="004E6649">
        <w:rPr>
          <w:rFonts w:cstheme="minorHAnsi"/>
          <w:color w:val="000000" w:themeColor="text1"/>
          <w:sz w:val="24"/>
        </w:rPr>
        <w:t xml:space="preserve">unrestricted net position </w:t>
      </w:r>
      <w:r w:rsidRPr="004E6649">
        <w:rPr>
          <w:rFonts w:cstheme="minorHAnsi"/>
          <w:color w:val="000000" w:themeColor="text1"/>
          <w:sz w:val="24"/>
        </w:rPr>
        <w:t xml:space="preserve">balance of </w:t>
      </w:r>
      <w:r w:rsidRPr="005222DE">
        <w:rPr>
          <w:rFonts w:cstheme="minorHAnsi"/>
          <w:sz w:val="24"/>
        </w:rPr>
        <w:t>$</w:t>
      </w:r>
      <w:r w:rsidR="00F207D6">
        <w:rPr>
          <w:rFonts w:cstheme="minorHAnsi"/>
          <w:sz w:val="24"/>
        </w:rPr>
        <w:t>9</w:t>
      </w:r>
      <w:r w:rsidR="00D938C5">
        <w:rPr>
          <w:rFonts w:cstheme="minorHAnsi"/>
          <w:sz w:val="24"/>
        </w:rPr>
        <w:t>6</w:t>
      </w:r>
      <w:r w:rsidR="005222DE" w:rsidRPr="005222DE">
        <w:rPr>
          <w:rFonts w:cstheme="minorHAnsi"/>
          <w:color w:val="000000" w:themeColor="text1"/>
          <w:sz w:val="24"/>
        </w:rPr>
        <w:t xml:space="preserve"> </w:t>
      </w:r>
      <w:r w:rsidRPr="005222DE">
        <w:rPr>
          <w:rFonts w:cstheme="minorHAnsi"/>
          <w:color w:val="000000" w:themeColor="text1"/>
          <w:sz w:val="24"/>
        </w:rPr>
        <w:t xml:space="preserve">million at June 30, </w:t>
      </w:r>
      <w:r w:rsidR="00AD43C2" w:rsidRPr="005222DE">
        <w:rPr>
          <w:rFonts w:cstheme="minorHAnsi"/>
          <w:color w:val="000000" w:themeColor="text1"/>
          <w:sz w:val="24"/>
        </w:rPr>
        <w:t xml:space="preserve">2025 </w:t>
      </w:r>
      <w:r w:rsidR="00F207D6">
        <w:rPr>
          <w:rFonts w:cstheme="minorHAnsi"/>
          <w:color w:val="000000" w:themeColor="text1"/>
          <w:sz w:val="24"/>
        </w:rPr>
        <w:t>de</w:t>
      </w:r>
      <w:r w:rsidR="005222DE" w:rsidRPr="005222DE">
        <w:rPr>
          <w:rFonts w:cstheme="minorHAnsi"/>
          <w:color w:val="000000" w:themeColor="text1"/>
          <w:sz w:val="24"/>
        </w:rPr>
        <w:t xml:space="preserve">creased </w:t>
      </w:r>
      <w:r w:rsidRPr="005222DE">
        <w:rPr>
          <w:rFonts w:cstheme="minorHAnsi"/>
          <w:color w:val="000000" w:themeColor="text1"/>
          <w:sz w:val="24"/>
        </w:rPr>
        <w:t xml:space="preserve">by </w:t>
      </w:r>
      <w:r w:rsidRPr="005222DE">
        <w:rPr>
          <w:rFonts w:cstheme="minorHAnsi"/>
          <w:sz w:val="24"/>
        </w:rPr>
        <w:t>$</w:t>
      </w:r>
      <w:r w:rsidR="00D938C5">
        <w:rPr>
          <w:rFonts w:cstheme="minorHAnsi"/>
          <w:sz w:val="24"/>
        </w:rPr>
        <w:t>9</w:t>
      </w:r>
      <w:r w:rsidR="005222DE" w:rsidRPr="005222DE">
        <w:rPr>
          <w:rFonts w:cstheme="minorHAnsi"/>
          <w:color w:val="000000" w:themeColor="text1"/>
          <w:sz w:val="24"/>
        </w:rPr>
        <w:t xml:space="preserve"> </w:t>
      </w:r>
      <w:r w:rsidRPr="005222DE">
        <w:rPr>
          <w:rFonts w:cstheme="minorHAnsi"/>
          <w:color w:val="000000" w:themeColor="text1"/>
          <w:sz w:val="24"/>
        </w:rPr>
        <w:t xml:space="preserve">million, or </w:t>
      </w:r>
      <w:r w:rsidR="00E1495D">
        <w:rPr>
          <w:rFonts w:cstheme="minorHAnsi"/>
          <w:color w:val="000000" w:themeColor="text1"/>
          <w:sz w:val="24"/>
        </w:rPr>
        <w:t>9</w:t>
      </w:r>
      <w:r w:rsidRPr="005222DE">
        <w:rPr>
          <w:rFonts w:cstheme="minorHAnsi"/>
          <w:sz w:val="24"/>
        </w:rPr>
        <w:t>%</w:t>
      </w:r>
      <w:r w:rsidRPr="005222DE">
        <w:rPr>
          <w:rFonts w:cstheme="minorHAnsi"/>
          <w:color w:val="000000" w:themeColor="text1"/>
          <w:sz w:val="24"/>
        </w:rPr>
        <w:t>, f</w:t>
      </w:r>
      <w:r w:rsidRPr="004E6649">
        <w:rPr>
          <w:rFonts w:cstheme="minorHAnsi"/>
          <w:color w:val="000000" w:themeColor="text1"/>
          <w:sz w:val="24"/>
        </w:rPr>
        <w:t xml:space="preserve">rom the </w:t>
      </w:r>
      <w:r w:rsidR="00AD43C2" w:rsidRPr="004E6649">
        <w:rPr>
          <w:rFonts w:cstheme="minorHAnsi"/>
          <w:color w:val="000000" w:themeColor="text1"/>
          <w:sz w:val="24"/>
        </w:rPr>
        <w:t>FY2</w:t>
      </w:r>
      <w:r w:rsidR="00AD43C2">
        <w:rPr>
          <w:rFonts w:cstheme="minorHAnsi"/>
          <w:color w:val="000000" w:themeColor="text1"/>
          <w:sz w:val="24"/>
        </w:rPr>
        <w:t>4</w:t>
      </w:r>
      <w:r w:rsidR="00AD43C2" w:rsidRPr="004E6649">
        <w:rPr>
          <w:rFonts w:cstheme="minorHAnsi"/>
          <w:color w:val="000000" w:themeColor="text1"/>
          <w:sz w:val="24"/>
        </w:rPr>
        <w:t xml:space="preserve"> </w:t>
      </w:r>
      <w:r w:rsidRPr="004E6649">
        <w:rPr>
          <w:rFonts w:cstheme="minorHAnsi"/>
          <w:color w:val="000000" w:themeColor="text1"/>
          <w:sz w:val="24"/>
        </w:rPr>
        <w:t>year-end balance of $</w:t>
      </w:r>
      <w:r w:rsidR="00AD43C2" w:rsidRPr="004E6649">
        <w:rPr>
          <w:rFonts w:cstheme="minorHAnsi"/>
          <w:color w:val="000000" w:themeColor="text1"/>
          <w:sz w:val="24"/>
        </w:rPr>
        <w:t>1</w:t>
      </w:r>
      <w:r w:rsidR="00AD43C2">
        <w:rPr>
          <w:rFonts w:cstheme="minorHAnsi"/>
          <w:color w:val="000000" w:themeColor="text1"/>
          <w:sz w:val="24"/>
        </w:rPr>
        <w:t>0</w:t>
      </w:r>
      <w:r w:rsidR="005222DE">
        <w:rPr>
          <w:rFonts w:cstheme="minorHAnsi"/>
          <w:color w:val="000000" w:themeColor="text1"/>
          <w:sz w:val="24"/>
        </w:rPr>
        <w:t>5</w:t>
      </w:r>
      <w:r w:rsidR="00AD43C2" w:rsidRPr="004E6649">
        <w:rPr>
          <w:rFonts w:cstheme="minorHAnsi"/>
          <w:color w:val="000000" w:themeColor="text1"/>
          <w:sz w:val="24"/>
        </w:rPr>
        <w:t xml:space="preserve"> </w:t>
      </w:r>
      <w:r w:rsidRPr="004E6649">
        <w:rPr>
          <w:rFonts w:cstheme="minorHAnsi"/>
          <w:color w:val="000000" w:themeColor="text1"/>
          <w:sz w:val="24"/>
        </w:rPr>
        <w:t xml:space="preserve">million. For </w:t>
      </w:r>
      <w:r w:rsidR="00AD43C2" w:rsidRPr="004E6649">
        <w:rPr>
          <w:rFonts w:cstheme="minorHAnsi"/>
          <w:color w:val="000000" w:themeColor="text1"/>
          <w:sz w:val="24"/>
        </w:rPr>
        <w:t>FY2</w:t>
      </w:r>
      <w:r w:rsidR="00AD43C2">
        <w:rPr>
          <w:rFonts w:cstheme="minorHAnsi"/>
          <w:color w:val="000000" w:themeColor="text1"/>
          <w:sz w:val="24"/>
        </w:rPr>
        <w:t>4</w:t>
      </w:r>
      <w:r w:rsidRPr="004E6649">
        <w:rPr>
          <w:rFonts w:cstheme="minorHAnsi"/>
          <w:color w:val="000000" w:themeColor="text1"/>
          <w:sz w:val="24"/>
        </w:rPr>
        <w:t xml:space="preserve">, </w:t>
      </w:r>
      <w:r w:rsidR="0011598D">
        <w:rPr>
          <w:rFonts w:cstheme="minorHAnsi"/>
          <w:color w:val="000000" w:themeColor="text1"/>
          <w:sz w:val="24"/>
        </w:rPr>
        <w:t xml:space="preserve">the balance </w:t>
      </w:r>
      <w:r w:rsidRPr="004E6649">
        <w:rPr>
          <w:rFonts w:cstheme="minorHAnsi"/>
          <w:color w:val="000000" w:themeColor="text1"/>
          <w:sz w:val="24"/>
        </w:rPr>
        <w:t>decreased $</w:t>
      </w:r>
      <w:r w:rsidR="00E1495D">
        <w:rPr>
          <w:rFonts w:cstheme="minorHAnsi"/>
          <w:color w:val="000000" w:themeColor="text1"/>
          <w:sz w:val="24"/>
        </w:rPr>
        <w:t>16</w:t>
      </w:r>
      <w:r w:rsidR="00E1495D" w:rsidRPr="004E6649">
        <w:rPr>
          <w:rFonts w:cstheme="minorHAnsi"/>
          <w:color w:val="000000" w:themeColor="text1"/>
          <w:sz w:val="24"/>
        </w:rPr>
        <w:t xml:space="preserve"> </w:t>
      </w:r>
      <w:r w:rsidRPr="004E6649">
        <w:rPr>
          <w:rFonts w:cstheme="minorHAnsi"/>
          <w:color w:val="000000" w:themeColor="text1"/>
          <w:sz w:val="24"/>
        </w:rPr>
        <w:t xml:space="preserve">million, or </w:t>
      </w:r>
      <w:r w:rsidR="00E1495D">
        <w:rPr>
          <w:rFonts w:cstheme="minorHAnsi"/>
          <w:color w:val="000000" w:themeColor="text1"/>
          <w:sz w:val="24"/>
        </w:rPr>
        <w:t>13</w:t>
      </w:r>
      <w:r w:rsidRPr="004E6649">
        <w:rPr>
          <w:rFonts w:cstheme="minorHAnsi"/>
          <w:color w:val="000000" w:themeColor="text1"/>
          <w:sz w:val="24"/>
        </w:rPr>
        <w:t xml:space="preserve">%, from the </w:t>
      </w:r>
      <w:r w:rsidR="00AD43C2" w:rsidRPr="004E6649">
        <w:rPr>
          <w:rFonts w:cstheme="minorHAnsi"/>
          <w:color w:val="000000" w:themeColor="text1"/>
          <w:sz w:val="24"/>
        </w:rPr>
        <w:t>FY2</w:t>
      </w:r>
      <w:r w:rsidR="00AD43C2">
        <w:rPr>
          <w:rFonts w:cstheme="minorHAnsi"/>
          <w:color w:val="000000" w:themeColor="text1"/>
          <w:sz w:val="24"/>
        </w:rPr>
        <w:t>3</w:t>
      </w:r>
      <w:r w:rsidR="00AD43C2" w:rsidRPr="004E6649">
        <w:rPr>
          <w:rFonts w:cstheme="minorHAnsi"/>
          <w:color w:val="000000" w:themeColor="text1"/>
          <w:sz w:val="24"/>
        </w:rPr>
        <w:t xml:space="preserve"> </w:t>
      </w:r>
      <w:r w:rsidRPr="004E6649">
        <w:rPr>
          <w:rFonts w:cstheme="minorHAnsi"/>
          <w:color w:val="000000" w:themeColor="text1"/>
          <w:sz w:val="24"/>
        </w:rPr>
        <w:t>year-end balance of $</w:t>
      </w:r>
      <w:r w:rsidR="00AD43C2" w:rsidRPr="004E6649">
        <w:rPr>
          <w:rFonts w:cstheme="minorHAnsi"/>
          <w:color w:val="000000" w:themeColor="text1"/>
          <w:sz w:val="24"/>
        </w:rPr>
        <w:t>1</w:t>
      </w:r>
      <w:r w:rsidR="00AD43C2">
        <w:rPr>
          <w:rFonts w:cstheme="minorHAnsi"/>
          <w:color w:val="000000" w:themeColor="text1"/>
          <w:sz w:val="24"/>
        </w:rPr>
        <w:t>21</w:t>
      </w:r>
      <w:r w:rsidR="00AD43C2" w:rsidRPr="004E6649">
        <w:rPr>
          <w:rFonts w:cstheme="minorHAnsi"/>
          <w:color w:val="000000" w:themeColor="text1"/>
          <w:sz w:val="24"/>
        </w:rPr>
        <w:t xml:space="preserve"> </w:t>
      </w:r>
      <w:r w:rsidRPr="004E6649">
        <w:rPr>
          <w:rFonts w:cstheme="minorHAnsi"/>
          <w:color w:val="000000" w:themeColor="text1"/>
          <w:sz w:val="24"/>
        </w:rPr>
        <w:t>million.</w:t>
      </w:r>
      <w:r w:rsidR="00E1495D">
        <w:rPr>
          <w:rFonts w:cstheme="minorHAnsi"/>
          <w:color w:val="000000" w:themeColor="text1"/>
          <w:sz w:val="24"/>
        </w:rPr>
        <w:t xml:space="preserve">  Part of the decrease is related to the implementation of GASB </w:t>
      </w:r>
      <w:r w:rsidR="00C5324E">
        <w:rPr>
          <w:rFonts w:cstheme="minorHAnsi"/>
          <w:color w:val="000000" w:themeColor="text1"/>
          <w:sz w:val="24"/>
        </w:rPr>
        <w:t xml:space="preserve">Statement No. </w:t>
      </w:r>
      <w:r w:rsidR="00E1495D">
        <w:rPr>
          <w:rFonts w:cstheme="minorHAnsi"/>
          <w:color w:val="000000" w:themeColor="text1"/>
          <w:sz w:val="24"/>
        </w:rPr>
        <w:t>101 described on page 17.</w:t>
      </w:r>
    </w:p>
    <w:p w14:paraId="4DDEA88D" w14:textId="43FCB33C" w:rsidR="00A83362" w:rsidRPr="00C50CFD" w:rsidRDefault="00A83362" w:rsidP="00556EAB">
      <w:pPr>
        <w:pStyle w:val="AFR2"/>
        <w:pBdr>
          <w:bottom w:val="single" w:sz="8" w:space="2" w:color="000000" w:themeColor="text1"/>
        </w:pBdr>
        <w:rPr>
          <w:rFonts w:cstheme="minorHAnsi"/>
          <w:smallCaps w:val="0"/>
          <w:sz w:val="28"/>
          <w:szCs w:val="24"/>
        </w:rPr>
      </w:pPr>
      <w:r w:rsidRPr="00C50CFD">
        <w:rPr>
          <w:rFonts w:cstheme="minorHAnsi"/>
          <w:smallCaps w:val="0"/>
          <w:sz w:val="28"/>
          <w:szCs w:val="24"/>
        </w:rPr>
        <w:t xml:space="preserve">Statements </w:t>
      </w:r>
      <w:r w:rsidR="00644E56" w:rsidRPr="00C50CFD">
        <w:rPr>
          <w:rFonts w:cstheme="minorHAnsi"/>
          <w:smallCaps w:val="0"/>
          <w:sz w:val="28"/>
          <w:szCs w:val="24"/>
        </w:rPr>
        <w:t xml:space="preserve">Of </w:t>
      </w:r>
      <w:r w:rsidRPr="00C50CFD">
        <w:rPr>
          <w:rFonts w:cstheme="minorHAnsi"/>
          <w:smallCaps w:val="0"/>
          <w:sz w:val="28"/>
          <w:szCs w:val="24"/>
        </w:rPr>
        <w:t>Revenues</w:t>
      </w:r>
      <w:r w:rsidR="00644E56" w:rsidRPr="00C50CFD">
        <w:rPr>
          <w:rFonts w:cstheme="minorHAnsi"/>
          <w:smallCaps w:val="0"/>
          <w:sz w:val="28"/>
          <w:szCs w:val="24"/>
        </w:rPr>
        <w:t xml:space="preserve">, </w:t>
      </w:r>
      <w:r w:rsidRPr="00C50CFD">
        <w:rPr>
          <w:rFonts w:cstheme="minorHAnsi"/>
          <w:smallCaps w:val="0"/>
          <w:sz w:val="28"/>
          <w:szCs w:val="24"/>
        </w:rPr>
        <w:t>Expenses</w:t>
      </w:r>
      <w:r w:rsidR="00644E56" w:rsidRPr="00C50CFD">
        <w:rPr>
          <w:rFonts w:cstheme="minorHAnsi"/>
          <w:smallCaps w:val="0"/>
          <w:sz w:val="28"/>
          <w:szCs w:val="24"/>
        </w:rPr>
        <w:t xml:space="preserve">, And </w:t>
      </w:r>
      <w:r w:rsidRPr="00C50CFD">
        <w:rPr>
          <w:rFonts w:cstheme="minorHAnsi"/>
          <w:smallCaps w:val="0"/>
          <w:sz w:val="28"/>
          <w:szCs w:val="24"/>
        </w:rPr>
        <w:t xml:space="preserve">Changes </w:t>
      </w:r>
      <w:r w:rsidR="00644E56" w:rsidRPr="00C50CFD">
        <w:rPr>
          <w:rFonts w:cstheme="minorHAnsi"/>
          <w:smallCaps w:val="0"/>
          <w:sz w:val="28"/>
          <w:szCs w:val="24"/>
        </w:rPr>
        <w:t xml:space="preserve">In </w:t>
      </w:r>
      <w:r w:rsidRPr="00C50CFD">
        <w:rPr>
          <w:rFonts w:cstheme="minorHAnsi"/>
          <w:smallCaps w:val="0"/>
          <w:sz w:val="28"/>
          <w:szCs w:val="24"/>
        </w:rPr>
        <w:t>Net Position</w:t>
      </w:r>
    </w:p>
    <w:p w14:paraId="71F4FBDE" w14:textId="77777777" w:rsidR="00A83362" w:rsidRPr="004E6649" w:rsidRDefault="00A83362" w:rsidP="00A83362">
      <w:pPr>
        <w:rPr>
          <w:rFonts w:cstheme="minorHAnsi"/>
          <w:color w:val="000000"/>
          <w:sz w:val="24"/>
        </w:rPr>
      </w:pPr>
      <w:r w:rsidRPr="004E6649">
        <w:rPr>
          <w:rFonts w:cstheme="minorHAnsi"/>
          <w:sz w:val="24"/>
        </w:rPr>
        <w:t>The</w:t>
      </w:r>
      <w:r w:rsidRPr="004E6649">
        <w:rPr>
          <w:rFonts w:cstheme="minorHAnsi"/>
          <w:color w:val="000000"/>
          <w:sz w:val="24"/>
        </w:rPr>
        <w:t xml:space="preserve"> Statements of Revenues, Expenses, and Changes in Net Position reports operating revenues, operating expenses, nonoperating revenues (expenses), other changes in net position, and the resulting change in net position for the fiscal year. </w:t>
      </w:r>
    </w:p>
    <w:p w14:paraId="03F27731" w14:textId="77777777" w:rsidR="00A83362" w:rsidRPr="004E6649" w:rsidRDefault="00A83362" w:rsidP="00A83362">
      <w:pPr>
        <w:spacing w:before="240" w:after="120"/>
        <w:rPr>
          <w:rFonts w:cstheme="minorHAnsi"/>
          <w:b/>
          <w:i/>
          <w:sz w:val="24"/>
          <w:szCs w:val="20"/>
          <w:u w:val="single" w:color="000000" w:themeColor="text1"/>
        </w:rPr>
      </w:pPr>
      <w:r w:rsidRPr="004E6649">
        <w:rPr>
          <w:rFonts w:cstheme="minorHAnsi"/>
          <w:b/>
          <w:i/>
          <w:sz w:val="24"/>
          <w:szCs w:val="20"/>
          <w:u w:val="single" w:color="000000" w:themeColor="text1"/>
        </w:rPr>
        <w:t>Overview of Condensed Statements of Revenues, Expenses, and Changes in Net Position</w:t>
      </w:r>
    </w:p>
    <w:p w14:paraId="3F5906D8" w14:textId="77777777" w:rsidR="000779BE" w:rsidRDefault="00A83362" w:rsidP="00A83362">
      <w:pPr>
        <w:spacing w:after="120"/>
        <w:rPr>
          <w:rFonts w:cstheme="minorHAnsi"/>
          <w:color w:val="000000"/>
          <w:sz w:val="24"/>
        </w:rPr>
      </w:pPr>
      <w:r w:rsidRPr="004E6649">
        <w:rPr>
          <w:rFonts w:cstheme="minorHAnsi"/>
          <w:color w:val="000000"/>
          <w:sz w:val="24"/>
        </w:rPr>
        <w:t xml:space="preserve">Table 5, on the next page, shows Condensed Statements of Revenues, Expenses, and Changes in Net Position for the past five fiscal years ended June 30. </w:t>
      </w:r>
    </w:p>
    <w:p w14:paraId="07D34F46" w14:textId="1B6549E8" w:rsidR="00A83362" w:rsidRPr="005222DE" w:rsidRDefault="00A83362" w:rsidP="00A83362">
      <w:pPr>
        <w:spacing w:after="120"/>
        <w:rPr>
          <w:rFonts w:cstheme="minorHAnsi"/>
          <w:color w:val="000000"/>
          <w:sz w:val="24"/>
        </w:rPr>
      </w:pPr>
      <w:r w:rsidRPr="004E6649">
        <w:rPr>
          <w:rFonts w:cstheme="minorHAnsi"/>
          <w:color w:val="000000"/>
          <w:sz w:val="24"/>
        </w:rPr>
        <w:t xml:space="preserve">The </w:t>
      </w:r>
      <w:r w:rsidR="00AD43C2" w:rsidRPr="004E6649">
        <w:rPr>
          <w:rFonts w:cstheme="minorHAnsi"/>
          <w:color w:val="000000"/>
          <w:sz w:val="24"/>
        </w:rPr>
        <w:t>FY</w:t>
      </w:r>
      <w:r w:rsidR="00AD43C2">
        <w:rPr>
          <w:rFonts w:cstheme="minorHAnsi"/>
          <w:color w:val="000000"/>
          <w:sz w:val="24"/>
        </w:rPr>
        <w:t>25</w:t>
      </w:r>
      <w:r w:rsidR="00AD43C2" w:rsidRPr="004E6649">
        <w:rPr>
          <w:rFonts w:cstheme="minorHAnsi"/>
          <w:color w:val="000000"/>
          <w:sz w:val="24"/>
        </w:rPr>
        <w:t xml:space="preserve"> </w:t>
      </w:r>
      <w:r w:rsidRPr="004E6649">
        <w:rPr>
          <w:rFonts w:cstheme="minorHAnsi"/>
          <w:color w:val="000000"/>
          <w:sz w:val="24"/>
        </w:rPr>
        <w:t>net position increased $</w:t>
      </w:r>
      <w:r w:rsidR="005222DE" w:rsidRPr="00DF43A9">
        <w:rPr>
          <w:rFonts w:cstheme="minorHAnsi"/>
          <w:color w:val="000000" w:themeColor="text1"/>
          <w:sz w:val="24"/>
        </w:rPr>
        <w:t>11</w:t>
      </w:r>
      <w:r w:rsidR="00D938C5">
        <w:rPr>
          <w:rFonts w:cstheme="minorHAnsi"/>
          <w:color w:val="000000" w:themeColor="text1"/>
          <w:sz w:val="24"/>
        </w:rPr>
        <w:t>3</w:t>
      </w:r>
      <w:r w:rsidR="005222DE" w:rsidRPr="005222DE">
        <w:rPr>
          <w:rFonts w:cstheme="minorHAnsi"/>
          <w:color w:val="000000"/>
          <w:sz w:val="24"/>
        </w:rPr>
        <w:t xml:space="preserve"> </w:t>
      </w:r>
      <w:r w:rsidRPr="005222DE">
        <w:rPr>
          <w:rFonts w:cstheme="minorHAnsi"/>
          <w:color w:val="000000"/>
          <w:sz w:val="24"/>
        </w:rPr>
        <w:t>million</w:t>
      </w:r>
      <w:r w:rsidR="00230CE6" w:rsidRPr="005222DE">
        <w:rPr>
          <w:rFonts w:cstheme="minorHAnsi"/>
          <w:color w:val="000000"/>
          <w:sz w:val="24"/>
        </w:rPr>
        <w:t xml:space="preserve"> </w:t>
      </w:r>
      <w:r w:rsidR="00626A80" w:rsidRPr="005222DE">
        <w:rPr>
          <w:rFonts w:cstheme="minorHAnsi"/>
          <w:color w:val="000000"/>
          <w:sz w:val="24"/>
        </w:rPr>
        <w:t xml:space="preserve">while </w:t>
      </w:r>
      <w:r w:rsidR="00AD43C2" w:rsidRPr="005222DE">
        <w:rPr>
          <w:rFonts w:cstheme="minorHAnsi"/>
          <w:color w:val="000000"/>
          <w:sz w:val="24"/>
        </w:rPr>
        <w:t xml:space="preserve">FY24 </w:t>
      </w:r>
      <w:r w:rsidR="00626A80" w:rsidRPr="005222DE">
        <w:rPr>
          <w:rFonts w:cstheme="minorHAnsi"/>
          <w:color w:val="000000"/>
          <w:sz w:val="24"/>
        </w:rPr>
        <w:t>increased $</w:t>
      </w:r>
      <w:r w:rsidR="00AD43C2" w:rsidRPr="005222DE">
        <w:rPr>
          <w:rFonts w:cstheme="minorHAnsi"/>
          <w:color w:val="000000"/>
          <w:sz w:val="24"/>
        </w:rPr>
        <w:t xml:space="preserve">82 </w:t>
      </w:r>
      <w:r w:rsidR="00626A80" w:rsidRPr="005222DE">
        <w:rPr>
          <w:rFonts w:cstheme="minorHAnsi"/>
          <w:color w:val="000000"/>
          <w:sz w:val="24"/>
        </w:rPr>
        <w:t xml:space="preserve">million. </w:t>
      </w:r>
      <w:r w:rsidRPr="005222DE">
        <w:rPr>
          <w:rFonts w:cstheme="minorHAnsi"/>
          <w:color w:val="000000"/>
          <w:sz w:val="24"/>
        </w:rPr>
        <w:t>Notable factors in th</w:t>
      </w:r>
      <w:r w:rsidR="000779BE" w:rsidRPr="005222DE">
        <w:rPr>
          <w:rFonts w:cstheme="minorHAnsi"/>
          <w:color w:val="000000"/>
          <w:sz w:val="24"/>
        </w:rPr>
        <w:t>e</w:t>
      </w:r>
      <w:r w:rsidRPr="005222DE">
        <w:rPr>
          <w:rFonts w:cstheme="minorHAnsi"/>
          <w:color w:val="000000"/>
          <w:sz w:val="24"/>
        </w:rPr>
        <w:t xml:space="preserve"> </w:t>
      </w:r>
      <w:r w:rsidR="000779BE" w:rsidRPr="005222DE">
        <w:rPr>
          <w:rFonts w:cstheme="minorHAnsi"/>
          <w:color w:val="000000"/>
          <w:sz w:val="24"/>
        </w:rPr>
        <w:t>additional $</w:t>
      </w:r>
      <w:r w:rsidR="004D4489">
        <w:rPr>
          <w:rFonts w:cstheme="minorHAnsi"/>
          <w:color w:val="000000"/>
          <w:sz w:val="24"/>
        </w:rPr>
        <w:t>3</w:t>
      </w:r>
      <w:r w:rsidR="00D938C5">
        <w:rPr>
          <w:rFonts w:cstheme="minorHAnsi"/>
          <w:color w:val="000000"/>
          <w:sz w:val="24"/>
        </w:rPr>
        <w:t>1</w:t>
      </w:r>
      <w:r w:rsidR="005222DE" w:rsidRPr="005222DE">
        <w:rPr>
          <w:rFonts w:cstheme="minorHAnsi"/>
          <w:color w:val="000000"/>
          <w:sz w:val="24"/>
        </w:rPr>
        <w:t xml:space="preserve"> </w:t>
      </w:r>
      <w:r w:rsidR="000779BE" w:rsidRPr="005222DE">
        <w:rPr>
          <w:rFonts w:cstheme="minorHAnsi"/>
          <w:color w:val="000000"/>
          <w:sz w:val="24"/>
        </w:rPr>
        <w:t xml:space="preserve">million </w:t>
      </w:r>
      <w:r w:rsidR="00AD43C2" w:rsidRPr="005222DE">
        <w:rPr>
          <w:rFonts w:cstheme="minorHAnsi"/>
          <w:color w:val="000000"/>
          <w:sz w:val="24"/>
        </w:rPr>
        <w:t xml:space="preserve">FY25 </w:t>
      </w:r>
      <w:r w:rsidR="000779BE" w:rsidRPr="005222DE">
        <w:rPr>
          <w:rFonts w:cstheme="minorHAnsi"/>
          <w:color w:val="000000"/>
          <w:sz w:val="24"/>
        </w:rPr>
        <w:t>change in Net Position</w:t>
      </w:r>
      <w:r w:rsidRPr="005222DE">
        <w:rPr>
          <w:rFonts w:cstheme="minorHAnsi"/>
          <w:color w:val="000000"/>
          <w:sz w:val="24"/>
        </w:rPr>
        <w:t xml:space="preserve"> include the following</w:t>
      </w:r>
      <w:r w:rsidR="000779BE" w:rsidRPr="005222DE">
        <w:rPr>
          <w:rFonts w:cstheme="minorHAnsi"/>
          <w:color w:val="000000"/>
          <w:sz w:val="24"/>
        </w:rPr>
        <w:t xml:space="preserve"> shifts from the prior year</w:t>
      </w:r>
      <w:r w:rsidRPr="005222DE">
        <w:rPr>
          <w:rFonts w:cstheme="minorHAnsi"/>
          <w:color w:val="000000"/>
          <w:sz w:val="24"/>
        </w:rPr>
        <w:t>:</w:t>
      </w:r>
    </w:p>
    <w:p w14:paraId="1E5F4366" w14:textId="5F50BC51" w:rsidR="00B476D1" w:rsidRPr="002C0A68" w:rsidRDefault="00B476D1" w:rsidP="00A83362">
      <w:pPr>
        <w:pStyle w:val="ListParagraph"/>
        <w:numPr>
          <w:ilvl w:val="0"/>
          <w:numId w:val="23"/>
        </w:numPr>
        <w:rPr>
          <w:rFonts w:asciiTheme="minorHAnsi" w:eastAsiaTheme="minorHAnsi" w:hAnsiTheme="minorHAnsi" w:cstheme="minorHAnsi"/>
          <w:color w:val="0D0D0D" w:themeColor="text1" w:themeTint="F2"/>
          <w:szCs w:val="22"/>
        </w:rPr>
      </w:pPr>
      <w:r w:rsidRPr="002C0A68">
        <w:rPr>
          <w:rFonts w:asciiTheme="minorHAnsi" w:eastAsiaTheme="minorHAnsi" w:hAnsiTheme="minorHAnsi" w:cstheme="minorHAnsi"/>
          <w:color w:val="0D0D0D" w:themeColor="text1" w:themeTint="F2"/>
          <w:szCs w:val="22"/>
        </w:rPr>
        <w:lastRenderedPageBreak/>
        <w:t>$</w:t>
      </w:r>
      <w:r w:rsidR="002C0A68" w:rsidRPr="00DF43A9">
        <w:rPr>
          <w:rFonts w:asciiTheme="minorHAnsi" w:eastAsiaTheme="minorHAnsi" w:hAnsiTheme="minorHAnsi" w:cstheme="minorHAnsi"/>
          <w:color w:val="0D0D0D" w:themeColor="text1" w:themeTint="F2"/>
          <w:szCs w:val="22"/>
        </w:rPr>
        <w:t>1</w:t>
      </w:r>
      <w:r w:rsidR="00D938C5">
        <w:rPr>
          <w:rFonts w:asciiTheme="minorHAnsi" w:eastAsiaTheme="minorHAnsi" w:hAnsiTheme="minorHAnsi" w:cstheme="minorHAnsi"/>
          <w:color w:val="0D0D0D" w:themeColor="text1" w:themeTint="F2"/>
          <w:szCs w:val="22"/>
        </w:rPr>
        <w:t>1</w:t>
      </w:r>
      <w:r w:rsidR="002C0A68" w:rsidRPr="002C0A68">
        <w:rPr>
          <w:rFonts w:asciiTheme="minorHAnsi" w:eastAsiaTheme="minorHAnsi" w:hAnsiTheme="minorHAnsi" w:cstheme="minorHAnsi"/>
          <w:color w:val="0D0D0D" w:themeColor="text1" w:themeTint="F2"/>
          <w:szCs w:val="22"/>
        </w:rPr>
        <w:t xml:space="preserve"> </w:t>
      </w:r>
      <w:r w:rsidRPr="002C0A68">
        <w:rPr>
          <w:rFonts w:asciiTheme="minorHAnsi" w:eastAsiaTheme="minorHAnsi" w:hAnsiTheme="minorHAnsi" w:cstheme="minorHAnsi"/>
          <w:color w:val="0D0D0D" w:themeColor="text1" w:themeTint="F2"/>
          <w:szCs w:val="22"/>
        </w:rPr>
        <w:t xml:space="preserve">million </w:t>
      </w:r>
      <w:r w:rsidR="002C0A68" w:rsidRPr="00DF43A9">
        <w:rPr>
          <w:rFonts w:asciiTheme="minorHAnsi" w:eastAsiaTheme="minorHAnsi" w:hAnsiTheme="minorHAnsi" w:cstheme="minorHAnsi"/>
          <w:color w:val="0D0D0D" w:themeColor="text1" w:themeTint="F2"/>
          <w:szCs w:val="22"/>
        </w:rPr>
        <w:t>in</w:t>
      </w:r>
      <w:r w:rsidR="002C0A68" w:rsidRPr="002C0A68">
        <w:rPr>
          <w:rFonts w:asciiTheme="minorHAnsi" w:eastAsiaTheme="minorHAnsi" w:hAnsiTheme="minorHAnsi" w:cstheme="minorHAnsi"/>
          <w:color w:val="0D0D0D" w:themeColor="text1" w:themeTint="F2"/>
          <w:szCs w:val="22"/>
        </w:rPr>
        <w:t xml:space="preserve">crease </w:t>
      </w:r>
      <w:r w:rsidRPr="002C0A68">
        <w:rPr>
          <w:rFonts w:asciiTheme="minorHAnsi" w:eastAsiaTheme="minorHAnsi" w:hAnsiTheme="minorHAnsi" w:cstheme="minorHAnsi"/>
          <w:color w:val="0D0D0D" w:themeColor="text1" w:themeTint="F2"/>
          <w:szCs w:val="22"/>
        </w:rPr>
        <w:t>in operating loss as a</w:t>
      </w:r>
      <w:r w:rsidR="00E1495D">
        <w:rPr>
          <w:rFonts w:asciiTheme="minorHAnsi" w:eastAsiaTheme="minorHAnsi" w:hAnsiTheme="minorHAnsi" w:cstheme="minorHAnsi"/>
          <w:color w:val="0D0D0D" w:themeColor="text1" w:themeTint="F2"/>
          <w:szCs w:val="22"/>
        </w:rPr>
        <w:t>n</w:t>
      </w:r>
      <w:r w:rsidRPr="002C0A68">
        <w:rPr>
          <w:rFonts w:asciiTheme="minorHAnsi" w:eastAsiaTheme="minorHAnsi" w:hAnsiTheme="minorHAnsi" w:cstheme="minorHAnsi"/>
          <w:color w:val="0D0D0D" w:themeColor="text1" w:themeTint="F2"/>
          <w:szCs w:val="22"/>
        </w:rPr>
        <w:t xml:space="preserve"> </w:t>
      </w:r>
      <w:r w:rsidR="00E1495D">
        <w:rPr>
          <w:rFonts w:asciiTheme="minorHAnsi" w:eastAsiaTheme="minorHAnsi" w:hAnsiTheme="minorHAnsi" w:cstheme="minorHAnsi"/>
          <w:color w:val="0D0D0D" w:themeColor="text1" w:themeTint="F2"/>
          <w:szCs w:val="22"/>
        </w:rPr>
        <w:t>in</w:t>
      </w:r>
      <w:r w:rsidRPr="002C0A68">
        <w:rPr>
          <w:rFonts w:asciiTheme="minorHAnsi" w:eastAsiaTheme="minorHAnsi" w:hAnsiTheme="minorHAnsi" w:cstheme="minorHAnsi"/>
          <w:color w:val="0D0D0D" w:themeColor="text1" w:themeTint="F2"/>
          <w:szCs w:val="22"/>
        </w:rPr>
        <w:t xml:space="preserve">crease in operating </w:t>
      </w:r>
      <w:r w:rsidR="00E1495D">
        <w:rPr>
          <w:rFonts w:asciiTheme="minorHAnsi" w:eastAsiaTheme="minorHAnsi" w:hAnsiTheme="minorHAnsi" w:cstheme="minorHAnsi"/>
          <w:color w:val="0D0D0D" w:themeColor="text1" w:themeTint="F2"/>
          <w:szCs w:val="22"/>
        </w:rPr>
        <w:t>expense</w:t>
      </w:r>
      <w:r w:rsidR="00E1495D" w:rsidRPr="002C0A68">
        <w:rPr>
          <w:rFonts w:asciiTheme="minorHAnsi" w:eastAsiaTheme="minorHAnsi" w:hAnsiTheme="minorHAnsi" w:cstheme="minorHAnsi"/>
          <w:color w:val="0D0D0D" w:themeColor="text1" w:themeTint="F2"/>
          <w:szCs w:val="22"/>
        </w:rPr>
        <w:t xml:space="preserve">s </w:t>
      </w:r>
      <w:r w:rsidRPr="002C0A68">
        <w:rPr>
          <w:rFonts w:asciiTheme="minorHAnsi" w:eastAsiaTheme="minorHAnsi" w:hAnsiTheme="minorHAnsi" w:cstheme="minorHAnsi"/>
          <w:color w:val="0D0D0D" w:themeColor="text1" w:themeTint="F2"/>
          <w:szCs w:val="22"/>
        </w:rPr>
        <w:t xml:space="preserve">outpaced an increase in operating </w:t>
      </w:r>
      <w:r w:rsidR="00E1495D">
        <w:rPr>
          <w:rFonts w:asciiTheme="minorHAnsi" w:eastAsiaTheme="minorHAnsi" w:hAnsiTheme="minorHAnsi" w:cstheme="minorHAnsi"/>
          <w:color w:val="0D0D0D" w:themeColor="text1" w:themeTint="F2"/>
          <w:szCs w:val="22"/>
        </w:rPr>
        <w:t>revenues</w:t>
      </w:r>
    </w:p>
    <w:p w14:paraId="1E94FB3C" w14:textId="744EDF60" w:rsidR="00230CE6" w:rsidRPr="002C0A68" w:rsidRDefault="00230CE6" w:rsidP="00A83362">
      <w:pPr>
        <w:pStyle w:val="ListParagraph"/>
        <w:numPr>
          <w:ilvl w:val="0"/>
          <w:numId w:val="23"/>
        </w:numPr>
        <w:rPr>
          <w:rFonts w:asciiTheme="minorHAnsi" w:eastAsiaTheme="minorHAnsi" w:hAnsiTheme="minorHAnsi" w:cstheme="minorHAnsi"/>
          <w:color w:val="0D0D0D" w:themeColor="text1" w:themeTint="F2"/>
          <w:szCs w:val="22"/>
        </w:rPr>
      </w:pPr>
      <w:r w:rsidRPr="002C0A68">
        <w:rPr>
          <w:rFonts w:asciiTheme="minorHAnsi" w:eastAsiaTheme="minorHAnsi" w:hAnsiTheme="minorHAnsi" w:cstheme="minorHAnsi"/>
          <w:color w:val="0D0D0D" w:themeColor="text1" w:themeTint="F2"/>
          <w:szCs w:val="22"/>
        </w:rPr>
        <w:t>$</w:t>
      </w:r>
      <w:r w:rsidR="002C0A68" w:rsidRPr="00DF43A9">
        <w:rPr>
          <w:rFonts w:asciiTheme="minorHAnsi" w:eastAsiaTheme="minorHAnsi" w:hAnsiTheme="minorHAnsi" w:cstheme="minorHAnsi"/>
          <w:color w:val="0D0D0D" w:themeColor="text1" w:themeTint="F2"/>
          <w:szCs w:val="22"/>
        </w:rPr>
        <w:t>9</w:t>
      </w:r>
      <w:r w:rsidR="002C0A68" w:rsidRPr="002C0A68">
        <w:rPr>
          <w:rFonts w:asciiTheme="minorHAnsi" w:eastAsiaTheme="minorHAnsi" w:hAnsiTheme="minorHAnsi" w:cstheme="minorHAnsi"/>
          <w:color w:val="0D0D0D" w:themeColor="text1" w:themeTint="F2"/>
          <w:szCs w:val="22"/>
        </w:rPr>
        <w:t xml:space="preserve"> </w:t>
      </w:r>
      <w:r w:rsidRPr="002C0A68">
        <w:rPr>
          <w:rFonts w:asciiTheme="minorHAnsi" w:eastAsiaTheme="minorHAnsi" w:hAnsiTheme="minorHAnsi" w:cstheme="minorHAnsi"/>
          <w:color w:val="0D0D0D" w:themeColor="text1" w:themeTint="F2"/>
          <w:szCs w:val="22"/>
        </w:rPr>
        <w:t>million increase in noncapital State of Maine appropriations</w:t>
      </w:r>
      <w:r w:rsidRPr="002C0A68" w:rsidDel="00230CE6">
        <w:rPr>
          <w:rFonts w:asciiTheme="minorHAnsi" w:eastAsiaTheme="minorHAnsi" w:hAnsiTheme="minorHAnsi" w:cstheme="minorHAnsi"/>
          <w:color w:val="0D0D0D" w:themeColor="text1" w:themeTint="F2"/>
          <w:szCs w:val="22"/>
        </w:rPr>
        <w:t xml:space="preserve"> </w:t>
      </w:r>
      <w:r w:rsidR="00E1495D">
        <w:rPr>
          <w:rFonts w:asciiTheme="minorHAnsi" w:eastAsiaTheme="minorHAnsi" w:hAnsiTheme="minorHAnsi" w:cstheme="minorHAnsi"/>
          <w:color w:val="0D0D0D" w:themeColor="text1" w:themeTint="F2"/>
          <w:szCs w:val="22"/>
        </w:rPr>
        <w:t>revenue</w:t>
      </w:r>
    </w:p>
    <w:p w14:paraId="7EC18581" w14:textId="734BD7FE" w:rsidR="00A83362" w:rsidRDefault="00A83362" w:rsidP="00A83362">
      <w:pPr>
        <w:pStyle w:val="ListParagraph"/>
        <w:numPr>
          <w:ilvl w:val="0"/>
          <w:numId w:val="23"/>
        </w:numPr>
        <w:rPr>
          <w:rFonts w:asciiTheme="minorHAnsi" w:eastAsiaTheme="minorHAnsi" w:hAnsiTheme="minorHAnsi" w:cstheme="minorHAnsi"/>
          <w:color w:val="0D0D0D" w:themeColor="text1" w:themeTint="F2"/>
          <w:szCs w:val="22"/>
        </w:rPr>
      </w:pPr>
      <w:r w:rsidRPr="002C0A68">
        <w:rPr>
          <w:rFonts w:asciiTheme="minorHAnsi" w:eastAsiaTheme="minorHAnsi" w:hAnsiTheme="minorHAnsi" w:cstheme="minorHAnsi"/>
          <w:color w:val="0D0D0D" w:themeColor="text1" w:themeTint="F2"/>
          <w:szCs w:val="22"/>
        </w:rPr>
        <w:t>$</w:t>
      </w:r>
      <w:r w:rsidR="002C0A68" w:rsidRPr="00DF43A9">
        <w:rPr>
          <w:rFonts w:asciiTheme="minorHAnsi" w:eastAsiaTheme="minorHAnsi" w:hAnsiTheme="minorHAnsi" w:cstheme="minorHAnsi"/>
          <w:color w:val="0D0D0D" w:themeColor="text1" w:themeTint="F2"/>
          <w:szCs w:val="22"/>
        </w:rPr>
        <w:t>3</w:t>
      </w:r>
      <w:r w:rsidR="00A21F37" w:rsidRPr="002C0A68">
        <w:rPr>
          <w:rFonts w:asciiTheme="minorHAnsi" w:eastAsiaTheme="minorHAnsi" w:hAnsiTheme="minorHAnsi" w:cstheme="minorHAnsi"/>
          <w:color w:val="0D0D0D" w:themeColor="text1" w:themeTint="F2"/>
          <w:szCs w:val="22"/>
        </w:rPr>
        <w:t>0</w:t>
      </w:r>
      <w:r w:rsidRPr="002C0A68">
        <w:rPr>
          <w:rFonts w:asciiTheme="minorHAnsi" w:eastAsiaTheme="minorHAnsi" w:hAnsiTheme="minorHAnsi" w:cstheme="minorHAnsi"/>
          <w:color w:val="0D0D0D" w:themeColor="text1" w:themeTint="F2"/>
          <w:szCs w:val="22"/>
        </w:rPr>
        <w:t xml:space="preserve"> million increase in </w:t>
      </w:r>
      <w:r w:rsidR="00A21F37" w:rsidRPr="002C0A68">
        <w:rPr>
          <w:rFonts w:asciiTheme="minorHAnsi" w:eastAsiaTheme="minorHAnsi" w:hAnsiTheme="minorHAnsi" w:cstheme="minorHAnsi"/>
          <w:color w:val="0D0D0D" w:themeColor="text1" w:themeTint="F2"/>
          <w:szCs w:val="22"/>
        </w:rPr>
        <w:t>capital grants and gifts</w:t>
      </w:r>
      <w:r w:rsidR="00E1495D">
        <w:rPr>
          <w:rFonts w:asciiTheme="minorHAnsi" w:eastAsiaTheme="minorHAnsi" w:hAnsiTheme="minorHAnsi" w:cstheme="minorHAnsi"/>
          <w:color w:val="0D0D0D" w:themeColor="text1" w:themeTint="F2"/>
          <w:szCs w:val="22"/>
        </w:rPr>
        <w:t xml:space="preserve"> revenue</w:t>
      </w:r>
    </w:p>
    <w:p w14:paraId="70FFED59" w14:textId="00769F3D" w:rsidR="002C0A68" w:rsidRPr="002C0A68" w:rsidRDefault="002C0A68" w:rsidP="00A83362">
      <w:pPr>
        <w:pStyle w:val="ListParagraph"/>
        <w:numPr>
          <w:ilvl w:val="0"/>
          <w:numId w:val="23"/>
        </w:numPr>
        <w:rPr>
          <w:rFonts w:asciiTheme="minorHAnsi" w:eastAsiaTheme="minorHAnsi" w:hAnsiTheme="minorHAnsi" w:cstheme="minorHAnsi"/>
          <w:color w:val="0D0D0D" w:themeColor="text1" w:themeTint="F2"/>
          <w:szCs w:val="22"/>
        </w:rPr>
      </w:pPr>
      <w:r>
        <w:rPr>
          <w:rFonts w:asciiTheme="minorHAnsi" w:eastAsiaTheme="minorHAnsi" w:hAnsiTheme="minorHAnsi" w:cstheme="minorHAnsi"/>
          <w:color w:val="0D0D0D" w:themeColor="text1" w:themeTint="F2"/>
          <w:szCs w:val="22"/>
        </w:rPr>
        <w:t>$10 million increase in Federal Pell grants</w:t>
      </w:r>
    </w:p>
    <w:p w14:paraId="62CDE913" w14:textId="591308A7" w:rsidR="00A83362" w:rsidRPr="004D4489" w:rsidRDefault="00A83362" w:rsidP="00230CE6">
      <w:pPr>
        <w:pStyle w:val="ListParagraph"/>
        <w:numPr>
          <w:ilvl w:val="0"/>
          <w:numId w:val="23"/>
        </w:numPr>
        <w:rPr>
          <w:rFonts w:asciiTheme="minorHAnsi" w:eastAsiaTheme="minorHAnsi" w:hAnsiTheme="minorHAnsi" w:cstheme="minorHAnsi"/>
          <w:color w:val="0D0D0D" w:themeColor="text1" w:themeTint="F2"/>
          <w:szCs w:val="22"/>
        </w:rPr>
      </w:pPr>
      <w:r w:rsidRPr="004D4489">
        <w:rPr>
          <w:rFonts w:asciiTheme="minorHAnsi" w:eastAsiaTheme="minorHAnsi" w:hAnsiTheme="minorHAnsi" w:cstheme="minorHAnsi"/>
          <w:color w:val="0D0D0D" w:themeColor="text1" w:themeTint="F2"/>
          <w:szCs w:val="22"/>
        </w:rPr>
        <w:t>$</w:t>
      </w:r>
      <w:r w:rsidR="004D4489" w:rsidRPr="00DF43A9">
        <w:rPr>
          <w:rFonts w:asciiTheme="minorHAnsi" w:eastAsiaTheme="minorHAnsi" w:hAnsiTheme="minorHAnsi" w:cstheme="minorHAnsi"/>
          <w:color w:val="0D0D0D" w:themeColor="text1" w:themeTint="F2"/>
          <w:szCs w:val="22"/>
        </w:rPr>
        <w:t>8</w:t>
      </w:r>
      <w:r w:rsidR="004D4489" w:rsidRPr="004D4489">
        <w:rPr>
          <w:rFonts w:asciiTheme="minorHAnsi" w:eastAsiaTheme="minorHAnsi" w:hAnsiTheme="minorHAnsi" w:cstheme="minorHAnsi"/>
          <w:color w:val="0D0D0D" w:themeColor="text1" w:themeTint="F2"/>
          <w:szCs w:val="22"/>
        </w:rPr>
        <w:t xml:space="preserve"> </w:t>
      </w:r>
      <w:r w:rsidRPr="004D4489">
        <w:rPr>
          <w:rFonts w:asciiTheme="minorHAnsi" w:eastAsiaTheme="minorHAnsi" w:hAnsiTheme="minorHAnsi" w:cstheme="minorHAnsi"/>
          <w:color w:val="0D0D0D" w:themeColor="text1" w:themeTint="F2"/>
          <w:szCs w:val="22"/>
        </w:rPr>
        <w:t xml:space="preserve">million </w:t>
      </w:r>
      <w:r w:rsidR="004D4489" w:rsidRPr="00DF43A9">
        <w:rPr>
          <w:rFonts w:asciiTheme="minorHAnsi" w:eastAsiaTheme="minorHAnsi" w:hAnsiTheme="minorHAnsi" w:cstheme="minorHAnsi"/>
          <w:color w:val="0D0D0D" w:themeColor="text1" w:themeTint="F2"/>
          <w:szCs w:val="22"/>
        </w:rPr>
        <w:t>de</w:t>
      </w:r>
      <w:r w:rsidR="004D4489" w:rsidRPr="004D4489">
        <w:rPr>
          <w:rFonts w:asciiTheme="minorHAnsi" w:eastAsiaTheme="minorHAnsi" w:hAnsiTheme="minorHAnsi" w:cstheme="minorHAnsi"/>
          <w:color w:val="0D0D0D" w:themeColor="text1" w:themeTint="F2"/>
          <w:szCs w:val="22"/>
        </w:rPr>
        <w:t xml:space="preserve">crease </w:t>
      </w:r>
      <w:r w:rsidRPr="004D4489">
        <w:rPr>
          <w:rFonts w:asciiTheme="minorHAnsi" w:eastAsiaTheme="minorHAnsi" w:hAnsiTheme="minorHAnsi" w:cstheme="minorHAnsi"/>
          <w:color w:val="0D0D0D" w:themeColor="text1" w:themeTint="F2"/>
          <w:szCs w:val="22"/>
        </w:rPr>
        <w:t xml:space="preserve">in various other revenue </w:t>
      </w:r>
      <w:r w:rsidR="000779BE" w:rsidRPr="004D4489">
        <w:rPr>
          <w:rFonts w:asciiTheme="minorHAnsi" w:eastAsiaTheme="minorHAnsi" w:hAnsiTheme="minorHAnsi" w:cstheme="minorHAnsi"/>
          <w:color w:val="0D0D0D" w:themeColor="text1" w:themeTint="F2"/>
          <w:szCs w:val="22"/>
        </w:rPr>
        <w:t xml:space="preserve">net of </w:t>
      </w:r>
      <w:r w:rsidR="00230CE6" w:rsidRPr="004D4489">
        <w:rPr>
          <w:rFonts w:asciiTheme="minorHAnsi" w:eastAsiaTheme="minorHAnsi" w:hAnsiTheme="minorHAnsi" w:cstheme="minorHAnsi"/>
          <w:color w:val="0D0D0D" w:themeColor="text1" w:themeTint="F2"/>
          <w:szCs w:val="22"/>
        </w:rPr>
        <w:t xml:space="preserve">expense </w:t>
      </w:r>
      <w:r w:rsidRPr="004D4489">
        <w:rPr>
          <w:rFonts w:asciiTheme="minorHAnsi" w:eastAsiaTheme="minorHAnsi" w:hAnsiTheme="minorHAnsi" w:cstheme="minorHAnsi"/>
          <w:color w:val="0D0D0D" w:themeColor="text1" w:themeTint="F2"/>
          <w:szCs w:val="22"/>
        </w:rPr>
        <w:t>lines</w:t>
      </w:r>
    </w:p>
    <w:p w14:paraId="107376B1" w14:textId="77777777" w:rsidR="00A83362" w:rsidRPr="004E6649" w:rsidRDefault="00A83362" w:rsidP="00A83362">
      <w:pPr>
        <w:pStyle w:val="ListParagraph"/>
        <w:ind w:left="770"/>
        <w:rPr>
          <w:rFonts w:asciiTheme="minorHAnsi" w:eastAsiaTheme="minorHAnsi" w:hAnsiTheme="minorHAnsi" w:cstheme="minorHAnsi"/>
          <w:color w:val="000000"/>
          <w:szCs w:val="22"/>
        </w:rPr>
      </w:pPr>
    </w:p>
    <w:p w14:paraId="1922ED6C" w14:textId="77777777" w:rsidR="00AD43C2" w:rsidRPr="004E6649" w:rsidRDefault="00AD43C2" w:rsidP="00AD43C2">
      <w:pPr>
        <w:spacing w:after="120"/>
        <w:rPr>
          <w:rFonts w:cstheme="minorHAnsi"/>
          <w:color w:val="000000"/>
          <w:sz w:val="24"/>
        </w:rPr>
      </w:pPr>
      <w:r w:rsidRPr="004E6649">
        <w:rPr>
          <w:rFonts w:cstheme="minorHAnsi"/>
          <w:color w:val="000000"/>
          <w:sz w:val="24"/>
        </w:rPr>
        <w:t>The FY</w:t>
      </w:r>
      <w:r>
        <w:rPr>
          <w:rFonts w:cstheme="minorHAnsi"/>
          <w:color w:val="000000"/>
          <w:sz w:val="24"/>
        </w:rPr>
        <w:t>24</w:t>
      </w:r>
      <w:r w:rsidRPr="004E6649">
        <w:rPr>
          <w:rFonts w:cstheme="minorHAnsi"/>
          <w:color w:val="000000"/>
          <w:sz w:val="24"/>
        </w:rPr>
        <w:t xml:space="preserve"> net position increased $</w:t>
      </w:r>
      <w:r>
        <w:rPr>
          <w:rFonts w:cstheme="minorHAnsi"/>
          <w:color w:val="000000" w:themeColor="text1"/>
          <w:sz w:val="24"/>
        </w:rPr>
        <w:t>82</w:t>
      </w:r>
      <w:r w:rsidRPr="004E6649">
        <w:rPr>
          <w:rFonts w:cstheme="minorHAnsi"/>
          <w:color w:val="000000"/>
          <w:sz w:val="24"/>
        </w:rPr>
        <w:t xml:space="preserve"> million while FY2</w:t>
      </w:r>
      <w:r>
        <w:rPr>
          <w:rFonts w:cstheme="minorHAnsi"/>
          <w:color w:val="000000"/>
          <w:sz w:val="24"/>
        </w:rPr>
        <w:t>3</w:t>
      </w:r>
      <w:r w:rsidRPr="004E6649">
        <w:rPr>
          <w:rFonts w:cstheme="minorHAnsi"/>
          <w:color w:val="000000"/>
          <w:sz w:val="24"/>
        </w:rPr>
        <w:t xml:space="preserve"> increased $</w:t>
      </w:r>
      <w:r>
        <w:rPr>
          <w:rFonts w:cstheme="minorHAnsi"/>
          <w:color w:val="000000"/>
          <w:sz w:val="24"/>
        </w:rPr>
        <w:t>31</w:t>
      </w:r>
      <w:r w:rsidRPr="004E6649">
        <w:rPr>
          <w:rFonts w:cstheme="minorHAnsi"/>
          <w:color w:val="000000"/>
          <w:sz w:val="24"/>
        </w:rPr>
        <w:t xml:space="preserve"> million. Notable factors in th</w:t>
      </w:r>
      <w:r>
        <w:rPr>
          <w:rFonts w:cstheme="minorHAnsi"/>
          <w:color w:val="000000"/>
          <w:sz w:val="24"/>
        </w:rPr>
        <w:t>e</w:t>
      </w:r>
      <w:r w:rsidRPr="004E6649">
        <w:rPr>
          <w:rFonts w:cstheme="minorHAnsi"/>
          <w:color w:val="000000"/>
          <w:sz w:val="24"/>
        </w:rPr>
        <w:t xml:space="preserve"> </w:t>
      </w:r>
      <w:r>
        <w:rPr>
          <w:rFonts w:cstheme="minorHAnsi"/>
          <w:color w:val="000000"/>
          <w:sz w:val="24"/>
        </w:rPr>
        <w:t>additional $51 million FY24 change in Net Position</w:t>
      </w:r>
      <w:r w:rsidRPr="004E6649">
        <w:rPr>
          <w:rFonts w:cstheme="minorHAnsi"/>
          <w:color w:val="000000"/>
          <w:sz w:val="24"/>
        </w:rPr>
        <w:t xml:space="preserve"> include the following</w:t>
      </w:r>
      <w:r>
        <w:rPr>
          <w:rFonts w:cstheme="minorHAnsi"/>
          <w:color w:val="000000"/>
          <w:sz w:val="24"/>
        </w:rPr>
        <w:t xml:space="preserve"> shifts from the prior year</w:t>
      </w:r>
      <w:r w:rsidRPr="004E6649">
        <w:rPr>
          <w:rFonts w:cstheme="minorHAnsi"/>
          <w:color w:val="000000"/>
          <w:sz w:val="24"/>
        </w:rPr>
        <w:t>:</w:t>
      </w:r>
    </w:p>
    <w:p w14:paraId="6BFB158F" w14:textId="77777777" w:rsidR="00AD43C2" w:rsidRDefault="00AD43C2" w:rsidP="00AD43C2">
      <w:pPr>
        <w:pStyle w:val="ListParagraph"/>
        <w:numPr>
          <w:ilvl w:val="0"/>
          <w:numId w:val="23"/>
        </w:numPr>
        <w:rPr>
          <w:rFonts w:asciiTheme="minorHAnsi" w:eastAsiaTheme="minorHAnsi" w:hAnsiTheme="minorHAnsi" w:cstheme="minorHAnsi"/>
          <w:color w:val="0D0D0D" w:themeColor="text1" w:themeTint="F2"/>
          <w:szCs w:val="22"/>
        </w:rPr>
      </w:pPr>
      <w:r>
        <w:rPr>
          <w:rFonts w:asciiTheme="minorHAnsi" w:eastAsiaTheme="minorHAnsi" w:hAnsiTheme="minorHAnsi" w:cstheme="minorHAnsi"/>
          <w:color w:val="0D0D0D" w:themeColor="text1" w:themeTint="F2"/>
          <w:szCs w:val="22"/>
        </w:rPr>
        <w:t>$7 million decrease in operating loss as an increase in operating revenues outpaced an increase in operating expenses</w:t>
      </w:r>
    </w:p>
    <w:p w14:paraId="1A76FA2D" w14:textId="6DDF03BE" w:rsidR="00AD43C2" w:rsidRPr="004F1F87" w:rsidRDefault="00AD43C2" w:rsidP="00AD43C2">
      <w:pPr>
        <w:pStyle w:val="ListParagraph"/>
        <w:numPr>
          <w:ilvl w:val="0"/>
          <w:numId w:val="23"/>
        </w:numPr>
        <w:rPr>
          <w:rFonts w:asciiTheme="minorHAnsi" w:eastAsiaTheme="minorHAnsi" w:hAnsiTheme="minorHAnsi" w:cstheme="minorHAnsi"/>
          <w:color w:val="0D0D0D" w:themeColor="text1" w:themeTint="F2"/>
          <w:szCs w:val="22"/>
        </w:rPr>
      </w:pPr>
      <w:r w:rsidRPr="004F1F87">
        <w:rPr>
          <w:rFonts w:asciiTheme="minorHAnsi" w:eastAsiaTheme="minorHAnsi" w:hAnsiTheme="minorHAnsi" w:cstheme="minorHAnsi"/>
          <w:color w:val="0D0D0D" w:themeColor="text1" w:themeTint="F2"/>
          <w:szCs w:val="22"/>
        </w:rPr>
        <w:t>$13 million increase in noncapital State of Maine appropriations</w:t>
      </w:r>
      <w:r w:rsidRPr="004F1F87" w:rsidDel="00230CE6">
        <w:rPr>
          <w:rFonts w:asciiTheme="minorHAnsi" w:eastAsiaTheme="minorHAnsi" w:hAnsiTheme="minorHAnsi" w:cstheme="minorHAnsi"/>
          <w:color w:val="0D0D0D" w:themeColor="text1" w:themeTint="F2"/>
          <w:szCs w:val="22"/>
        </w:rPr>
        <w:t xml:space="preserve"> </w:t>
      </w:r>
      <w:r w:rsidR="00E1495D">
        <w:rPr>
          <w:rFonts w:asciiTheme="minorHAnsi" w:eastAsiaTheme="minorHAnsi" w:hAnsiTheme="minorHAnsi" w:cstheme="minorHAnsi"/>
          <w:color w:val="0D0D0D" w:themeColor="text1" w:themeTint="F2"/>
          <w:szCs w:val="22"/>
        </w:rPr>
        <w:t>revenue</w:t>
      </w:r>
    </w:p>
    <w:p w14:paraId="61684120" w14:textId="77777777" w:rsidR="00AD43C2" w:rsidRPr="004F1F87" w:rsidRDefault="00AD43C2" w:rsidP="00AD43C2">
      <w:pPr>
        <w:pStyle w:val="ListParagraph"/>
        <w:numPr>
          <w:ilvl w:val="0"/>
          <w:numId w:val="23"/>
        </w:numPr>
        <w:rPr>
          <w:rFonts w:asciiTheme="minorHAnsi" w:eastAsiaTheme="minorHAnsi" w:hAnsiTheme="minorHAnsi" w:cstheme="minorHAnsi"/>
          <w:color w:val="0D0D0D" w:themeColor="text1" w:themeTint="F2"/>
          <w:szCs w:val="22"/>
        </w:rPr>
      </w:pPr>
      <w:r w:rsidRPr="004F1F87">
        <w:rPr>
          <w:rFonts w:asciiTheme="minorHAnsi" w:eastAsiaTheme="minorHAnsi" w:hAnsiTheme="minorHAnsi" w:cstheme="minorHAnsi"/>
          <w:color w:val="0D0D0D" w:themeColor="text1" w:themeTint="F2"/>
          <w:szCs w:val="22"/>
        </w:rPr>
        <w:t xml:space="preserve">$8 million increase in </w:t>
      </w:r>
      <w:r>
        <w:rPr>
          <w:rFonts w:asciiTheme="minorHAnsi" w:eastAsiaTheme="minorHAnsi" w:hAnsiTheme="minorHAnsi" w:cstheme="minorHAnsi"/>
          <w:color w:val="0D0D0D" w:themeColor="text1" w:themeTint="F2"/>
          <w:szCs w:val="22"/>
        </w:rPr>
        <w:t xml:space="preserve">operating </w:t>
      </w:r>
      <w:r w:rsidRPr="004F1F87">
        <w:rPr>
          <w:rFonts w:asciiTheme="minorHAnsi" w:eastAsiaTheme="minorHAnsi" w:hAnsiTheme="minorHAnsi" w:cstheme="minorHAnsi"/>
          <w:color w:val="0D0D0D" w:themeColor="text1" w:themeTint="F2"/>
          <w:szCs w:val="22"/>
        </w:rPr>
        <w:t>investment income</w:t>
      </w:r>
    </w:p>
    <w:p w14:paraId="77974BFA" w14:textId="2AA30ED7" w:rsidR="00AD43C2" w:rsidRPr="004F1F87" w:rsidRDefault="00AD43C2" w:rsidP="00AD43C2">
      <w:pPr>
        <w:pStyle w:val="ListParagraph"/>
        <w:numPr>
          <w:ilvl w:val="0"/>
          <w:numId w:val="23"/>
        </w:numPr>
        <w:rPr>
          <w:rFonts w:asciiTheme="minorHAnsi" w:eastAsiaTheme="minorHAnsi" w:hAnsiTheme="minorHAnsi" w:cstheme="minorHAnsi"/>
          <w:color w:val="0D0D0D" w:themeColor="text1" w:themeTint="F2"/>
          <w:szCs w:val="22"/>
        </w:rPr>
      </w:pPr>
      <w:r w:rsidRPr="004F1F87">
        <w:rPr>
          <w:rFonts w:asciiTheme="minorHAnsi" w:eastAsiaTheme="minorHAnsi" w:hAnsiTheme="minorHAnsi" w:cstheme="minorHAnsi"/>
          <w:color w:val="0D0D0D" w:themeColor="text1" w:themeTint="F2"/>
          <w:szCs w:val="22"/>
        </w:rPr>
        <w:t>$</w:t>
      </w:r>
      <w:r>
        <w:rPr>
          <w:rFonts w:asciiTheme="minorHAnsi" w:eastAsiaTheme="minorHAnsi" w:hAnsiTheme="minorHAnsi" w:cstheme="minorHAnsi"/>
          <w:color w:val="0D0D0D" w:themeColor="text1" w:themeTint="F2"/>
          <w:szCs w:val="22"/>
        </w:rPr>
        <w:t>20</w:t>
      </w:r>
      <w:r w:rsidRPr="004F1F87">
        <w:rPr>
          <w:rFonts w:asciiTheme="minorHAnsi" w:eastAsiaTheme="minorHAnsi" w:hAnsiTheme="minorHAnsi" w:cstheme="minorHAnsi"/>
          <w:color w:val="0D0D0D" w:themeColor="text1" w:themeTint="F2"/>
          <w:szCs w:val="22"/>
        </w:rPr>
        <w:t xml:space="preserve"> million increase in </w:t>
      </w:r>
      <w:r>
        <w:rPr>
          <w:rFonts w:asciiTheme="minorHAnsi" w:eastAsiaTheme="minorHAnsi" w:hAnsiTheme="minorHAnsi" w:cstheme="minorHAnsi"/>
          <w:color w:val="0D0D0D" w:themeColor="text1" w:themeTint="F2"/>
          <w:szCs w:val="22"/>
        </w:rPr>
        <w:t>capital grants and gifts</w:t>
      </w:r>
      <w:r w:rsidR="00E1495D">
        <w:rPr>
          <w:rFonts w:asciiTheme="minorHAnsi" w:eastAsiaTheme="minorHAnsi" w:hAnsiTheme="minorHAnsi" w:cstheme="minorHAnsi"/>
          <w:color w:val="0D0D0D" w:themeColor="text1" w:themeTint="F2"/>
          <w:szCs w:val="22"/>
        </w:rPr>
        <w:t xml:space="preserve"> revenue</w:t>
      </w:r>
    </w:p>
    <w:p w14:paraId="024AB07B" w14:textId="77777777" w:rsidR="00AD43C2" w:rsidRPr="00A21F37" w:rsidRDefault="00AD43C2" w:rsidP="00AD43C2">
      <w:pPr>
        <w:pStyle w:val="ListParagraph"/>
        <w:numPr>
          <w:ilvl w:val="0"/>
          <w:numId w:val="23"/>
        </w:numPr>
        <w:rPr>
          <w:rFonts w:asciiTheme="minorHAnsi" w:eastAsiaTheme="minorHAnsi" w:hAnsiTheme="minorHAnsi" w:cstheme="minorHAnsi"/>
          <w:color w:val="0D0D0D" w:themeColor="text1" w:themeTint="F2"/>
          <w:szCs w:val="22"/>
        </w:rPr>
      </w:pPr>
      <w:r w:rsidRPr="00A21F37">
        <w:rPr>
          <w:rFonts w:asciiTheme="minorHAnsi" w:eastAsiaTheme="minorHAnsi" w:hAnsiTheme="minorHAnsi" w:cstheme="minorHAnsi"/>
          <w:color w:val="0D0D0D" w:themeColor="text1" w:themeTint="F2"/>
          <w:szCs w:val="22"/>
        </w:rPr>
        <w:t>$</w:t>
      </w:r>
      <w:r>
        <w:rPr>
          <w:rFonts w:asciiTheme="minorHAnsi" w:eastAsiaTheme="minorHAnsi" w:hAnsiTheme="minorHAnsi" w:cstheme="minorHAnsi"/>
          <w:color w:val="0D0D0D" w:themeColor="text1" w:themeTint="F2"/>
          <w:szCs w:val="22"/>
        </w:rPr>
        <w:t>3</w:t>
      </w:r>
      <w:r w:rsidRPr="00A21F37">
        <w:rPr>
          <w:rFonts w:asciiTheme="minorHAnsi" w:eastAsiaTheme="minorHAnsi" w:hAnsiTheme="minorHAnsi" w:cstheme="minorHAnsi"/>
          <w:color w:val="0D0D0D" w:themeColor="text1" w:themeTint="F2"/>
          <w:szCs w:val="22"/>
        </w:rPr>
        <w:t xml:space="preserve"> million increase in various other revenue </w:t>
      </w:r>
      <w:r>
        <w:rPr>
          <w:rFonts w:asciiTheme="minorHAnsi" w:eastAsiaTheme="minorHAnsi" w:hAnsiTheme="minorHAnsi" w:cstheme="minorHAnsi"/>
          <w:color w:val="0D0D0D" w:themeColor="text1" w:themeTint="F2"/>
          <w:szCs w:val="22"/>
        </w:rPr>
        <w:t xml:space="preserve">net of </w:t>
      </w:r>
      <w:r w:rsidRPr="00A21F37">
        <w:rPr>
          <w:rFonts w:asciiTheme="minorHAnsi" w:eastAsiaTheme="minorHAnsi" w:hAnsiTheme="minorHAnsi" w:cstheme="minorHAnsi"/>
          <w:color w:val="0D0D0D" w:themeColor="text1" w:themeTint="F2"/>
          <w:szCs w:val="22"/>
        </w:rPr>
        <w:t>expense lines</w:t>
      </w:r>
    </w:p>
    <w:p w14:paraId="389D1049" w14:textId="584F03FE" w:rsidR="00A83362" w:rsidRPr="00D53B7B" w:rsidRDefault="00A83362" w:rsidP="00D53B7B">
      <w:pPr>
        <w:rPr>
          <w:rFonts w:cstheme="minorHAnsi"/>
          <w:b/>
          <w:color w:val="000000"/>
        </w:rPr>
      </w:pPr>
    </w:p>
    <w:p w14:paraId="7C868BE5" w14:textId="77777777" w:rsidR="00A83362" w:rsidRPr="004E6649" w:rsidRDefault="00A83362" w:rsidP="00A83362">
      <w:pPr>
        <w:jc w:val="center"/>
        <w:rPr>
          <w:rFonts w:cstheme="minorHAnsi"/>
          <w:b/>
          <w:color w:val="000000"/>
        </w:rPr>
      </w:pPr>
      <w:r w:rsidRPr="0057238F">
        <w:rPr>
          <w:rFonts w:cstheme="minorHAnsi"/>
          <w:b/>
          <w:color w:val="000000"/>
        </w:rPr>
        <w:t>Table 5:</w:t>
      </w:r>
      <w:r w:rsidRPr="004E6649">
        <w:rPr>
          <w:rFonts w:cstheme="minorHAnsi"/>
          <w:b/>
          <w:color w:val="000000"/>
        </w:rPr>
        <w:t xml:space="preserve"> Condensed Statements of Revenues, Expenses, and Changes in Net Position</w:t>
      </w:r>
    </w:p>
    <w:p w14:paraId="50B1C60E" w14:textId="77777777" w:rsidR="00A83362" w:rsidRPr="004E6649" w:rsidRDefault="00A83362" w:rsidP="00A83362">
      <w:pPr>
        <w:jc w:val="center"/>
        <w:rPr>
          <w:rFonts w:cstheme="minorHAnsi"/>
          <w:b/>
          <w:color w:val="000000"/>
        </w:rPr>
      </w:pPr>
      <w:r w:rsidRPr="004E6649">
        <w:rPr>
          <w:rFonts w:cstheme="minorHAnsi"/>
          <w:b/>
          <w:color w:val="000000"/>
        </w:rPr>
        <w:t>Years Ended June 30</w:t>
      </w:r>
    </w:p>
    <w:p w14:paraId="4F07D649" w14:textId="77777777" w:rsidR="00A83362" w:rsidRPr="004E6649" w:rsidRDefault="00A83362" w:rsidP="00A83362">
      <w:pPr>
        <w:jc w:val="center"/>
        <w:rPr>
          <w:rFonts w:cstheme="minorHAnsi"/>
          <w:b/>
          <w:color w:val="000000"/>
          <w:sz w:val="20"/>
          <w:szCs w:val="24"/>
        </w:rPr>
      </w:pPr>
      <w:r w:rsidRPr="004E6649">
        <w:rPr>
          <w:rFonts w:cstheme="minorHAnsi"/>
          <w:b/>
          <w:color w:val="000000"/>
          <w:sz w:val="20"/>
          <w:szCs w:val="24"/>
        </w:rPr>
        <w:t>(In millions)</w:t>
      </w:r>
    </w:p>
    <w:p w14:paraId="7AB48821" w14:textId="77777777" w:rsidR="00A83362" w:rsidRPr="004E6649" w:rsidRDefault="00A83362" w:rsidP="00A83362">
      <w:pPr>
        <w:jc w:val="center"/>
        <w:rPr>
          <w:rFonts w:cstheme="minorHAnsi"/>
          <w:b/>
          <w:color w:val="000000"/>
          <w:sz w:val="20"/>
          <w:szCs w:val="24"/>
        </w:rPr>
      </w:pPr>
    </w:p>
    <w:tbl>
      <w:tblPr>
        <w:tblStyle w:val="TableGrid"/>
        <w:tblW w:w="99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4"/>
        <w:gridCol w:w="902"/>
        <w:gridCol w:w="1112"/>
        <w:gridCol w:w="1112"/>
        <w:gridCol w:w="944"/>
        <w:gridCol w:w="902"/>
      </w:tblGrid>
      <w:tr w:rsidR="0057238F" w:rsidRPr="004E6649" w14:paraId="24E800D6" w14:textId="77777777" w:rsidTr="00DF43A9">
        <w:trPr>
          <w:trHeight w:val="252"/>
          <w:jc w:val="center"/>
        </w:trPr>
        <w:tc>
          <w:tcPr>
            <w:tcW w:w="4950" w:type="dxa"/>
            <w:tcBorders>
              <w:bottom w:val="single" w:sz="8" w:space="0" w:color="0D0D0D" w:themeColor="text1" w:themeTint="F2"/>
            </w:tcBorders>
          </w:tcPr>
          <w:p w14:paraId="7A2B4749" w14:textId="77777777" w:rsidR="00B05CD2" w:rsidRPr="00AD5B5C" w:rsidRDefault="00B05CD2" w:rsidP="00B05CD2">
            <w:pPr>
              <w:rPr>
                <w:rFonts w:cstheme="minorHAnsi"/>
              </w:rPr>
            </w:pPr>
          </w:p>
        </w:tc>
        <w:tc>
          <w:tcPr>
            <w:tcW w:w="900" w:type="dxa"/>
            <w:tcBorders>
              <w:bottom w:val="single" w:sz="8" w:space="0" w:color="0D0D0D" w:themeColor="text1" w:themeTint="F2"/>
            </w:tcBorders>
            <w:vAlign w:val="bottom"/>
          </w:tcPr>
          <w:p w14:paraId="695AB7AC" w14:textId="24FE22AF" w:rsidR="00B05CD2" w:rsidRPr="00AD5B5C" w:rsidRDefault="00B05CD2" w:rsidP="00B05CD2">
            <w:pPr>
              <w:jc w:val="center"/>
              <w:rPr>
                <w:rFonts w:cstheme="minorHAnsi"/>
                <w:b/>
                <w:bCs/>
              </w:rPr>
            </w:pPr>
            <w:r>
              <w:rPr>
                <w:rFonts w:ascii="Calibri" w:hAnsi="Calibri" w:cs="Calibri"/>
                <w:b/>
                <w:bCs/>
                <w:color w:val="000000"/>
              </w:rPr>
              <w:t>2025</w:t>
            </w:r>
          </w:p>
        </w:tc>
        <w:tc>
          <w:tcPr>
            <w:tcW w:w="1109" w:type="dxa"/>
            <w:tcBorders>
              <w:bottom w:val="single" w:sz="8" w:space="0" w:color="0D0D0D" w:themeColor="text1" w:themeTint="F2"/>
            </w:tcBorders>
            <w:shd w:val="clear" w:color="auto" w:fill="D9D9D9" w:themeFill="background1" w:themeFillShade="D9"/>
            <w:vAlign w:val="bottom"/>
          </w:tcPr>
          <w:p w14:paraId="584540F0" w14:textId="2DFFDF77" w:rsidR="00B05CD2" w:rsidRPr="00AD5B5C" w:rsidRDefault="00B05CD2" w:rsidP="00B05CD2">
            <w:pPr>
              <w:jc w:val="center"/>
              <w:rPr>
                <w:rFonts w:cstheme="minorHAnsi"/>
                <w:b/>
                <w:bCs/>
              </w:rPr>
            </w:pPr>
            <w:r>
              <w:rPr>
                <w:rFonts w:ascii="Calibri" w:hAnsi="Calibri" w:cs="Calibri"/>
                <w:b/>
                <w:bCs/>
                <w:color w:val="000000"/>
              </w:rPr>
              <w:t>Restated</w:t>
            </w:r>
            <w:r>
              <w:rPr>
                <w:rFonts w:ascii="Calibri" w:hAnsi="Calibri" w:cs="Calibri"/>
                <w:b/>
                <w:bCs/>
                <w:color w:val="000000"/>
              </w:rPr>
              <w:br/>
              <w:t>2024</w:t>
            </w:r>
          </w:p>
        </w:tc>
        <w:tc>
          <w:tcPr>
            <w:tcW w:w="1109" w:type="dxa"/>
            <w:tcBorders>
              <w:bottom w:val="single" w:sz="8" w:space="0" w:color="0D0D0D" w:themeColor="text1" w:themeTint="F2"/>
            </w:tcBorders>
            <w:vAlign w:val="bottom"/>
          </w:tcPr>
          <w:p w14:paraId="6943ED27" w14:textId="50884DC1" w:rsidR="00B05CD2" w:rsidRPr="00AD5B5C" w:rsidRDefault="00B05CD2" w:rsidP="00B05CD2">
            <w:pPr>
              <w:jc w:val="center"/>
              <w:rPr>
                <w:rFonts w:cstheme="minorHAnsi"/>
                <w:b/>
                <w:bCs/>
              </w:rPr>
            </w:pPr>
            <w:r>
              <w:rPr>
                <w:rFonts w:ascii="Calibri" w:hAnsi="Calibri" w:cs="Calibri"/>
                <w:b/>
                <w:bCs/>
                <w:color w:val="000000"/>
              </w:rPr>
              <w:t>2023</w:t>
            </w:r>
          </w:p>
        </w:tc>
        <w:tc>
          <w:tcPr>
            <w:tcW w:w="942" w:type="dxa"/>
            <w:tcBorders>
              <w:bottom w:val="single" w:sz="8" w:space="0" w:color="0D0D0D" w:themeColor="text1" w:themeTint="F2"/>
            </w:tcBorders>
            <w:shd w:val="clear" w:color="auto" w:fill="D9D9D9" w:themeFill="background1" w:themeFillShade="D9"/>
            <w:vAlign w:val="bottom"/>
          </w:tcPr>
          <w:p w14:paraId="5A073591" w14:textId="3AACECF4" w:rsidR="00B05CD2" w:rsidRPr="00AD5B5C" w:rsidRDefault="00B05CD2" w:rsidP="00B05CD2">
            <w:pPr>
              <w:jc w:val="center"/>
              <w:rPr>
                <w:rFonts w:cstheme="minorHAnsi"/>
                <w:b/>
                <w:bCs/>
              </w:rPr>
            </w:pPr>
            <w:r>
              <w:rPr>
                <w:rFonts w:ascii="Calibri" w:hAnsi="Calibri" w:cs="Calibri"/>
                <w:b/>
                <w:bCs/>
                <w:color w:val="000000"/>
              </w:rPr>
              <w:t>2022</w:t>
            </w:r>
          </w:p>
        </w:tc>
        <w:tc>
          <w:tcPr>
            <w:tcW w:w="900" w:type="dxa"/>
            <w:tcBorders>
              <w:bottom w:val="single" w:sz="8" w:space="0" w:color="0D0D0D" w:themeColor="text1" w:themeTint="F2"/>
            </w:tcBorders>
            <w:vAlign w:val="bottom"/>
          </w:tcPr>
          <w:p w14:paraId="619ED1EB" w14:textId="79397023" w:rsidR="00B05CD2" w:rsidRPr="00AD5B5C" w:rsidRDefault="00B05CD2" w:rsidP="00B05CD2">
            <w:pPr>
              <w:jc w:val="center"/>
              <w:rPr>
                <w:rFonts w:cstheme="minorHAnsi"/>
                <w:b/>
                <w:bCs/>
              </w:rPr>
            </w:pPr>
            <w:r>
              <w:rPr>
                <w:rFonts w:ascii="Calibri" w:hAnsi="Calibri" w:cs="Calibri"/>
                <w:b/>
                <w:bCs/>
                <w:color w:val="000000"/>
              </w:rPr>
              <w:t>2021</w:t>
            </w:r>
          </w:p>
        </w:tc>
      </w:tr>
      <w:tr w:rsidR="0057238F" w:rsidRPr="004E6649" w14:paraId="7C923603" w14:textId="77777777" w:rsidTr="00DF43A9">
        <w:trPr>
          <w:trHeight w:val="187"/>
          <w:jc w:val="center"/>
        </w:trPr>
        <w:tc>
          <w:tcPr>
            <w:tcW w:w="4950" w:type="dxa"/>
            <w:tcBorders>
              <w:top w:val="single" w:sz="8" w:space="0" w:color="0D0D0D" w:themeColor="text1" w:themeTint="F2"/>
            </w:tcBorders>
            <w:noWrap/>
            <w:vAlign w:val="bottom"/>
            <w:hideMark/>
          </w:tcPr>
          <w:p w14:paraId="7374CAC3" w14:textId="77777777" w:rsidR="00B05CD2" w:rsidRPr="00AD5B5C" w:rsidRDefault="00B05CD2" w:rsidP="00B05CD2">
            <w:pPr>
              <w:rPr>
                <w:rFonts w:eastAsia="Times New Roman" w:cstheme="minorHAnsi"/>
                <w:color w:val="000000"/>
              </w:rPr>
            </w:pPr>
            <w:r w:rsidRPr="00AD5B5C">
              <w:rPr>
                <w:rFonts w:eastAsia="Times New Roman" w:cstheme="minorHAnsi"/>
                <w:color w:val="000000"/>
              </w:rPr>
              <w:t>Operating Revenues</w:t>
            </w:r>
          </w:p>
        </w:tc>
        <w:tc>
          <w:tcPr>
            <w:tcW w:w="900" w:type="dxa"/>
            <w:tcBorders>
              <w:top w:val="single" w:sz="8" w:space="0" w:color="0D0D0D" w:themeColor="text1" w:themeTint="F2"/>
            </w:tcBorders>
            <w:noWrap/>
            <w:vAlign w:val="bottom"/>
            <w:hideMark/>
          </w:tcPr>
          <w:p w14:paraId="62937D72" w14:textId="57D0AB2B" w:rsidR="00B05CD2" w:rsidRPr="00AD5B5C" w:rsidRDefault="00B05CD2" w:rsidP="00B05CD2">
            <w:pPr>
              <w:jc w:val="right"/>
              <w:rPr>
                <w:rFonts w:eastAsia="Times New Roman" w:cstheme="minorHAnsi"/>
                <w:color w:val="000000"/>
              </w:rPr>
            </w:pPr>
            <w:r>
              <w:rPr>
                <w:rFonts w:ascii="Calibri" w:hAnsi="Calibri" w:cs="Calibri"/>
                <w:color w:val="000000"/>
              </w:rPr>
              <w:t> </w:t>
            </w:r>
          </w:p>
        </w:tc>
        <w:tc>
          <w:tcPr>
            <w:tcW w:w="1109" w:type="dxa"/>
            <w:tcBorders>
              <w:top w:val="single" w:sz="8" w:space="0" w:color="0D0D0D" w:themeColor="text1" w:themeTint="F2"/>
            </w:tcBorders>
            <w:shd w:val="clear" w:color="auto" w:fill="D9D9D9" w:themeFill="background1" w:themeFillShade="D9"/>
            <w:noWrap/>
            <w:vAlign w:val="bottom"/>
            <w:hideMark/>
          </w:tcPr>
          <w:p w14:paraId="4F4059C0" w14:textId="05D3710B" w:rsidR="00B05CD2" w:rsidRPr="00AD5B5C" w:rsidRDefault="00B05CD2" w:rsidP="00B05CD2">
            <w:pPr>
              <w:jc w:val="right"/>
              <w:rPr>
                <w:rFonts w:eastAsia="Times New Roman" w:cstheme="minorHAnsi"/>
                <w:color w:val="000000"/>
              </w:rPr>
            </w:pPr>
            <w:r>
              <w:rPr>
                <w:rFonts w:ascii="Calibri" w:hAnsi="Calibri" w:cs="Calibri"/>
                <w:color w:val="000000"/>
              </w:rPr>
              <w:t> </w:t>
            </w:r>
          </w:p>
        </w:tc>
        <w:tc>
          <w:tcPr>
            <w:tcW w:w="1109" w:type="dxa"/>
            <w:tcBorders>
              <w:top w:val="single" w:sz="8" w:space="0" w:color="0D0D0D" w:themeColor="text1" w:themeTint="F2"/>
            </w:tcBorders>
            <w:vAlign w:val="bottom"/>
            <w:hideMark/>
          </w:tcPr>
          <w:p w14:paraId="72C004B2" w14:textId="717EC7F2" w:rsidR="00B05CD2" w:rsidRPr="00AD5B5C" w:rsidRDefault="00B05CD2" w:rsidP="00B05CD2">
            <w:pPr>
              <w:jc w:val="right"/>
              <w:rPr>
                <w:rFonts w:eastAsia="Times New Roman" w:cstheme="minorHAnsi"/>
                <w:b/>
                <w:bCs/>
                <w:color w:val="000000"/>
              </w:rPr>
            </w:pPr>
            <w:r>
              <w:rPr>
                <w:rFonts w:ascii="Calibri" w:hAnsi="Calibri" w:cs="Calibri"/>
                <w:color w:val="000000"/>
              </w:rPr>
              <w:t> </w:t>
            </w:r>
          </w:p>
        </w:tc>
        <w:tc>
          <w:tcPr>
            <w:tcW w:w="942" w:type="dxa"/>
            <w:tcBorders>
              <w:top w:val="single" w:sz="8" w:space="0" w:color="0D0D0D" w:themeColor="text1" w:themeTint="F2"/>
            </w:tcBorders>
            <w:shd w:val="clear" w:color="auto" w:fill="D9D9D9" w:themeFill="background1" w:themeFillShade="D9"/>
            <w:vAlign w:val="bottom"/>
            <w:hideMark/>
          </w:tcPr>
          <w:p w14:paraId="4B811AB9" w14:textId="48140E99" w:rsidR="00B05CD2" w:rsidRPr="00AD5B5C" w:rsidRDefault="00B05CD2" w:rsidP="00B05CD2">
            <w:pPr>
              <w:jc w:val="right"/>
              <w:rPr>
                <w:rFonts w:eastAsia="Times New Roman" w:cstheme="minorHAnsi"/>
                <w:b/>
                <w:bCs/>
                <w:color w:val="000000"/>
              </w:rPr>
            </w:pPr>
            <w:r>
              <w:rPr>
                <w:rFonts w:ascii="Calibri" w:hAnsi="Calibri" w:cs="Calibri"/>
                <w:color w:val="000000"/>
              </w:rPr>
              <w:t> </w:t>
            </w:r>
          </w:p>
        </w:tc>
        <w:tc>
          <w:tcPr>
            <w:tcW w:w="900" w:type="dxa"/>
            <w:tcBorders>
              <w:top w:val="single" w:sz="8" w:space="0" w:color="0D0D0D" w:themeColor="text1" w:themeTint="F2"/>
            </w:tcBorders>
            <w:vAlign w:val="bottom"/>
            <w:hideMark/>
          </w:tcPr>
          <w:p w14:paraId="32EB0100" w14:textId="2D5BB1E4" w:rsidR="00B05CD2" w:rsidRPr="00AD5B5C" w:rsidRDefault="00B05CD2" w:rsidP="00B05CD2">
            <w:pPr>
              <w:jc w:val="right"/>
              <w:rPr>
                <w:rFonts w:eastAsia="Times New Roman" w:cstheme="minorHAnsi"/>
                <w:b/>
                <w:bCs/>
                <w:color w:val="000000"/>
              </w:rPr>
            </w:pPr>
            <w:r>
              <w:rPr>
                <w:rFonts w:ascii="Calibri" w:hAnsi="Calibri" w:cs="Calibri"/>
                <w:b/>
                <w:bCs/>
                <w:color w:val="000000"/>
              </w:rPr>
              <w:t> </w:t>
            </w:r>
          </w:p>
        </w:tc>
      </w:tr>
      <w:tr w:rsidR="0057238F" w:rsidRPr="004E6649" w14:paraId="20AD7B34" w14:textId="77777777" w:rsidTr="00DF43A9">
        <w:trPr>
          <w:trHeight w:val="135"/>
          <w:jc w:val="center"/>
        </w:trPr>
        <w:tc>
          <w:tcPr>
            <w:tcW w:w="4950" w:type="dxa"/>
            <w:noWrap/>
            <w:vAlign w:val="bottom"/>
            <w:hideMark/>
          </w:tcPr>
          <w:p w14:paraId="102F0934" w14:textId="77777777" w:rsidR="00B05CD2" w:rsidRPr="00AD5B5C" w:rsidRDefault="00B05CD2" w:rsidP="00B05CD2">
            <w:pPr>
              <w:ind w:firstLineChars="100" w:firstLine="220"/>
              <w:rPr>
                <w:rFonts w:eastAsia="Times New Roman" w:cstheme="minorHAnsi"/>
                <w:color w:val="000000"/>
              </w:rPr>
            </w:pPr>
            <w:r w:rsidRPr="00AD5B5C">
              <w:rPr>
                <w:rFonts w:eastAsia="Times New Roman" w:cstheme="minorHAnsi"/>
                <w:color w:val="000000"/>
              </w:rPr>
              <w:t>Net student fees</w:t>
            </w:r>
          </w:p>
        </w:tc>
        <w:tc>
          <w:tcPr>
            <w:tcW w:w="900" w:type="dxa"/>
            <w:noWrap/>
            <w:vAlign w:val="bottom"/>
            <w:hideMark/>
          </w:tcPr>
          <w:p w14:paraId="7780C9F5" w14:textId="114D95DF" w:rsidR="00B05CD2" w:rsidRPr="00AD5B5C" w:rsidRDefault="00B05CD2" w:rsidP="00B05CD2">
            <w:pPr>
              <w:jc w:val="right"/>
              <w:rPr>
                <w:rFonts w:eastAsia="Times New Roman" w:cstheme="minorHAnsi"/>
                <w:color w:val="000000"/>
              </w:rPr>
            </w:pPr>
            <w:r>
              <w:rPr>
                <w:rFonts w:ascii="Calibri" w:hAnsi="Calibri" w:cs="Calibri"/>
                <w:b/>
                <w:bCs/>
                <w:color w:val="000000"/>
              </w:rPr>
              <w:t xml:space="preserve"> $   2</w:t>
            </w:r>
            <w:r w:rsidR="00DA29FB">
              <w:rPr>
                <w:rFonts w:ascii="Calibri" w:hAnsi="Calibri" w:cs="Calibri"/>
                <w:b/>
                <w:bCs/>
                <w:color w:val="000000"/>
              </w:rPr>
              <w:t>62</w:t>
            </w:r>
            <w:r>
              <w:rPr>
                <w:rFonts w:ascii="Calibri" w:hAnsi="Calibri" w:cs="Calibri"/>
                <w:b/>
                <w:bCs/>
                <w:color w:val="000000"/>
              </w:rPr>
              <w:t xml:space="preserve"> </w:t>
            </w:r>
          </w:p>
        </w:tc>
        <w:tc>
          <w:tcPr>
            <w:tcW w:w="1109" w:type="dxa"/>
            <w:shd w:val="clear" w:color="auto" w:fill="D9D9D9" w:themeFill="background1" w:themeFillShade="D9"/>
            <w:noWrap/>
            <w:vAlign w:val="bottom"/>
            <w:hideMark/>
          </w:tcPr>
          <w:p w14:paraId="22D0B371" w14:textId="4DBED207" w:rsidR="00B05CD2" w:rsidRPr="00AD5B5C" w:rsidRDefault="00B05CD2" w:rsidP="00B05CD2">
            <w:pPr>
              <w:ind w:leftChars="-6" w:hangingChars="6" w:hanging="13"/>
              <w:jc w:val="right"/>
              <w:rPr>
                <w:rFonts w:eastAsia="Times New Roman" w:cstheme="minorHAnsi"/>
                <w:color w:val="000000"/>
              </w:rPr>
            </w:pPr>
            <w:r>
              <w:rPr>
                <w:rFonts w:ascii="Calibri" w:hAnsi="Calibri" w:cs="Calibri"/>
                <w:b/>
                <w:bCs/>
                <w:color w:val="000000"/>
              </w:rPr>
              <w:t xml:space="preserve"> $   263 </w:t>
            </w:r>
          </w:p>
        </w:tc>
        <w:tc>
          <w:tcPr>
            <w:tcW w:w="1109" w:type="dxa"/>
            <w:noWrap/>
            <w:vAlign w:val="bottom"/>
            <w:hideMark/>
          </w:tcPr>
          <w:p w14:paraId="3B80BE35" w14:textId="50F472F4" w:rsidR="00B05CD2" w:rsidRPr="00DF43A9" w:rsidRDefault="00B05CD2" w:rsidP="00B05CD2">
            <w:pPr>
              <w:jc w:val="right"/>
              <w:rPr>
                <w:rFonts w:eastAsia="Times New Roman" w:cstheme="minorHAnsi"/>
                <w:color w:val="000000"/>
              </w:rPr>
            </w:pPr>
            <w:r w:rsidRPr="00DF43A9">
              <w:rPr>
                <w:rFonts w:ascii="Calibri" w:hAnsi="Calibri" w:cs="Calibri"/>
                <w:color w:val="000000"/>
              </w:rPr>
              <w:t xml:space="preserve"> $   251 </w:t>
            </w:r>
          </w:p>
        </w:tc>
        <w:tc>
          <w:tcPr>
            <w:tcW w:w="942" w:type="dxa"/>
            <w:shd w:val="clear" w:color="auto" w:fill="D9D9D9" w:themeFill="background1" w:themeFillShade="D9"/>
            <w:noWrap/>
            <w:vAlign w:val="bottom"/>
            <w:hideMark/>
          </w:tcPr>
          <w:p w14:paraId="550DCE05" w14:textId="5318F231" w:rsidR="00B05CD2" w:rsidRPr="00AD5B5C" w:rsidRDefault="00B05CD2" w:rsidP="00B05CD2">
            <w:pPr>
              <w:jc w:val="right"/>
              <w:rPr>
                <w:rFonts w:eastAsia="Times New Roman" w:cstheme="minorHAnsi"/>
                <w:color w:val="000000"/>
              </w:rPr>
            </w:pPr>
            <w:r>
              <w:rPr>
                <w:rFonts w:ascii="Calibri" w:hAnsi="Calibri" w:cs="Calibri"/>
                <w:color w:val="000000"/>
              </w:rPr>
              <w:t xml:space="preserve"> $   263 </w:t>
            </w:r>
          </w:p>
        </w:tc>
        <w:tc>
          <w:tcPr>
            <w:tcW w:w="900" w:type="dxa"/>
            <w:noWrap/>
            <w:vAlign w:val="bottom"/>
            <w:hideMark/>
          </w:tcPr>
          <w:p w14:paraId="0DA57CB2" w14:textId="60408C5A" w:rsidR="00B05CD2" w:rsidRPr="00AD5B5C" w:rsidRDefault="00B05CD2" w:rsidP="00B05CD2">
            <w:pPr>
              <w:jc w:val="right"/>
              <w:rPr>
                <w:rFonts w:eastAsia="Times New Roman" w:cstheme="minorHAnsi"/>
                <w:color w:val="000000"/>
              </w:rPr>
            </w:pPr>
            <w:r>
              <w:rPr>
                <w:rFonts w:ascii="Calibri" w:hAnsi="Calibri" w:cs="Calibri"/>
                <w:color w:val="000000"/>
              </w:rPr>
              <w:t xml:space="preserve">$    239 </w:t>
            </w:r>
          </w:p>
        </w:tc>
      </w:tr>
      <w:tr w:rsidR="0057238F" w:rsidRPr="004E6649" w14:paraId="55243E2E" w14:textId="77777777" w:rsidTr="00DF43A9">
        <w:trPr>
          <w:trHeight w:val="80"/>
          <w:jc w:val="center"/>
        </w:trPr>
        <w:tc>
          <w:tcPr>
            <w:tcW w:w="4950" w:type="dxa"/>
            <w:noWrap/>
            <w:vAlign w:val="bottom"/>
            <w:hideMark/>
          </w:tcPr>
          <w:p w14:paraId="3A5C38C2" w14:textId="77777777" w:rsidR="00B05CD2" w:rsidRPr="00AD5B5C" w:rsidRDefault="00B05CD2" w:rsidP="00B05CD2">
            <w:pPr>
              <w:ind w:firstLineChars="100" w:firstLine="220"/>
              <w:rPr>
                <w:rFonts w:eastAsia="Times New Roman" w:cstheme="minorHAnsi"/>
                <w:color w:val="000000"/>
              </w:rPr>
            </w:pPr>
            <w:r w:rsidRPr="00AD5B5C">
              <w:rPr>
                <w:rFonts w:eastAsia="Times New Roman" w:cstheme="minorHAnsi"/>
                <w:color w:val="000000"/>
              </w:rPr>
              <w:t>Grants, contracts and recovery of indirect costs</w:t>
            </w:r>
          </w:p>
        </w:tc>
        <w:tc>
          <w:tcPr>
            <w:tcW w:w="900" w:type="dxa"/>
            <w:noWrap/>
            <w:vAlign w:val="bottom"/>
            <w:hideMark/>
          </w:tcPr>
          <w:p w14:paraId="7EFA2D29" w14:textId="5603B380" w:rsidR="00B05CD2" w:rsidRPr="00AD5B5C" w:rsidRDefault="00B05CD2" w:rsidP="00B05CD2">
            <w:pPr>
              <w:jc w:val="right"/>
              <w:rPr>
                <w:rFonts w:eastAsia="Times New Roman" w:cstheme="minorHAnsi"/>
                <w:color w:val="000000"/>
              </w:rPr>
            </w:pPr>
            <w:r>
              <w:rPr>
                <w:rFonts w:ascii="Calibri" w:hAnsi="Calibri" w:cs="Calibri"/>
                <w:b/>
                <w:bCs/>
                <w:color w:val="000000"/>
              </w:rPr>
              <w:t xml:space="preserve">216 </w:t>
            </w:r>
          </w:p>
        </w:tc>
        <w:tc>
          <w:tcPr>
            <w:tcW w:w="1109" w:type="dxa"/>
            <w:shd w:val="clear" w:color="auto" w:fill="D9D9D9" w:themeFill="background1" w:themeFillShade="D9"/>
            <w:noWrap/>
            <w:vAlign w:val="bottom"/>
            <w:hideMark/>
          </w:tcPr>
          <w:p w14:paraId="5EA3710F" w14:textId="54EC7993" w:rsidR="00B05CD2" w:rsidRPr="00AD5B5C" w:rsidRDefault="00B05CD2" w:rsidP="00B05CD2">
            <w:pPr>
              <w:ind w:firstLineChars="100" w:firstLine="221"/>
              <w:jc w:val="right"/>
              <w:rPr>
                <w:rFonts w:eastAsia="Times New Roman" w:cstheme="minorHAnsi"/>
                <w:color w:val="000000"/>
              </w:rPr>
            </w:pPr>
            <w:r>
              <w:rPr>
                <w:rFonts w:ascii="Calibri" w:hAnsi="Calibri" w:cs="Calibri"/>
                <w:b/>
                <w:bCs/>
                <w:color w:val="000000"/>
              </w:rPr>
              <w:t xml:space="preserve">196 </w:t>
            </w:r>
          </w:p>
        </w:tc>
        <w:tc>
          <w:tcPr>
            <w:tcW w:w="1109" w:type="dxa"/>
            <w:noWrap/>
            <w:vAlign w:val="bottom"/>
            <w:hideMark/>
          </w:tcPr>
          <w:p w14:paraId="3F352D55" w14:textId="7FC216E6" w:rsidR="00B05CD2" w:rsidRPr="00DF43A9" w:rsidRDefault="00B05CD2" w:rsidP="00B05CD2">
            <w:pPr>
              <w:jc w:val="right"/>
              <w:rPr>
                <w:rFonts w:eastAsia="Times New Roman" w:cstheme="minorHAnsi"/>
                <w:color w:val="000000"/>
              </w:rPr>
            </w:pPr>
            <w:r w:rsidRPr="00DF43A9">
              <w:rPr>
                <w:rFonts w:ascii="Calibri" w:hAnsi="Calibri" w:cs="Calibri"/>
                <w:color w:val="000000"/>
              </w:rPr>
              <w:t xml:space="preserve">168 </w:t>
            </w:r>
          </w:p>
        </w:tc>
        <w:tc>
          <w:tcPr>
            <w:tcW w:w="942" w:type="dxa"/>
            <w:shd w:val="clear" w:color="auto" w:fill="D9D9D9" w:themeFill="background1" w:themeFillShade="D9"/>
            <w:noWrap/>
            <w:vAlign w:val="bottom"/>
            <w:hideMark/>
          </w:tcPr>
          <w:p w14:paraId="7618EA65" w14:textId="775111C7" w:rsidR="00B05CD2" w:rsidRPr="00AD5B5C" w:rsidRDefault="00B05CD2" w:rsidP="00B05CD2">
            <w:pPr>
              <w:jc w:val="right"/>
              <w:rPr>
                <w:rFonts w:eastAsia="Times New Roman" w:cstheme="minorHAnsi"/>
                <w:color w:val="000000"/>
              </w:rPr>
            </w:pPr>
            <w:r>
              <w:rPr>
                <w:rFonts w:ascii="Calibri" w:hAnsi="Calibri" w:cs="Calibri"/>
                <w:color w:val="000000"/>
              </w:rPr>
              <w:t xml:space="preserve">163 </w:t>
            </w:r>
          </w:p>
        </w:tc>
        <w:tc>
          <w:tcPr>
            <w:tcW w:w="900" w:type="dxa"/>
            <w:noWrap/>
            <w:vAlign w:val="bottom"/>
            <w:hideMark/>
          </w:tcPr>
          <w:p w14:paraId="34E520B3" w14:textId="560218ED" w:rsidR="00B05CD2" w:rsidRPr="00AD5B5C" w:rsidRDefault="00B05CD2" w:rsidP="00B05CD2">
            <w:pPr>
              <w:jc w:val="right"/>
              <w:rPr>
                <w:rFonts w:eastAsia="Times New Roman" w:cstheme="minorHAnsi"/>
                <w:color w:val="000000"/>
              </w:rPr>
            </w:pPr>
            <w:r>
              <w:rPr>
                <w:rFonts w:ascii="Calibri" w:hAnsi="Calibri" w:cs="Calibri"/>
                <w:color w:val="000000"/>
              </w:rPr>
              <w:t xml:space="preserve">136 </w:t>
            </w:r>
          </w:p>
        </w:tc>
      </w:tr>
      <w:tr w:rsidR="0057238F" w:rsidRPr="004E6649" w14:paraId="0EA298B1" w14:textId="77777777" w:rsidTr="00DF43A9">
        <w:trPr>
          <w:trHeight w:val="90"/>
          <w:jc w:val="center"/>
        </w:trPr>
        <w:tc>
          <w:tcPr>
            <w:tcW w:w="4950" w:type="dxa"/>
            <w:tcBorders>
              <w:bottom w:val="single" w:sz="4" w:space="0" w:color="auto"/>
            </w:tcBorders>
            <w:noWrap/>
            <w:vAlign w:val="bottom"/>
            <w:hideMark/>
          </w:tcPr>
          <w:p w14:paraId="6A724BAA" w14:textId="77777777" w:rsidR="00B05CD2" w:rsidRPr="00AD5B5C" w:rsidRDefault="00B05CD2" w:rsidP="00B05CD2">
            <w:pPr>
              <w:ind w:firstLineChars="100" w:firstLine="220"/>
              <w:rPr>
                <w:rFonts w:eastAsia="Times New Roman" w:cstheme="minorHAnsi"/>
                <w:color w:val="000000"/>
              </w:rPr>
            </w:pPr>
            <w:r w:rsidRPr="00AD5B5C">
              <w:rPr>
                <w:rFonts w:eastAsia="Times New Roman" w:cstheme="minorHAnsi"/>
                <w:color w:val="000000"/>
              </w:rPr>
              <w:t>Other operating revenues</w:t>
            </w:r>
          </w:p>
        </w:tc>
        <w:tc>
          <w:tcPr>
            <w:tcW w:w="900" w:type="dxa"/>
            <w:tcBorders>
              <w:bottom w:val="single" w:sz="4" w:space="0" w:color="auto"/>
            </w:tcBorders>
            <w:noWrap/>
            <w:vAlign w:val="bottom"/>
            <w:hideMark/>
          </w:tcPr>
          <w:p w14:paraId="3DCDBA9C" w14:textId="2E76A750" w:rsidR="00B05CD2" w:rsidRPr="00AD5B5C" w:rsidRDefault="00B05CD2" w:rsidP="00B05CD2">
            <w:pPr>
              <w:ind w:firstLineChars="100" w:firstLine="221"/>
              <w:jc w:val="right"/>
              <w:rPr>
                <w:rFonts w:eastAsia="Times New Roman" w:cstheme="minorHAnsi"/>
                <w:color w:val="000000"/>
              </w:rPr>
            </w:pPr>
            <w:r>
              <w:rPr>
                <w:rFonts w:ascii="Calibri" w:hAnsi="Calibri" w:cs="Calibri"/>
                <w:b/>
                <w:bCs/>
                <w:color w:val="000000"/>
              </w:rPr>
              <w:t xml:space="preserve">57 </w:t>
            </w:r>
          </w:p>
        </w:tc>
        <w:tc>
          <w:tcPr>
            <w:tcW w:w="1109" w:type="dxa"/>
            <w:tcBorders>
              <w:bottom w:val="single" w:sz="4" w:space="0" w:color="auto"/>
            </w:tcBorders>
            <w:shd w:val="clear" w:color="auto" w:fill="D9D9D9" w:themeFill="background1" w:themeFillShade="D9"/>
            <w:noWrap/>
            <w:vAlign w:val="bottom"/>
            <w:hideMark/>
          </w:tcPr>
          <w:p w14:paraId="187CC432" w14:textId="4E131E41" w:rsidR="00B05CD2" w:rsidRPr="00AD5B5C" w:rsidRDefault="00B05CD2" w:rsidP="00B05CD2">
            <w:pPr>
              <w:ind w:firstLineChars="100" w:firstLine="221"/>
              <w:jc w:val="right"/>
              <w:rPr>
                <w:rFonts w:eastAsia="Times New Roman" w:cstheme="minorHAnsi"/>
                <w:color w:val="000000"/>
              </w:rPr>
            </w:pPr>
            <w:r>
              <w:rPr>
                <w:rFonts w:ascii="Calibri" w:hAnsi="Calibri" w:cs="Calibri"/>
                <w:b/>
                <w:bCs/>
                <w:color w:val="000000"/>
              </w:rPr>
              <w:t xml:space="preserve">52 </w:t>
            </w:r>
          </w:p>
        </w:tc>
        <w:tc>
          <w:tcPr>
            <w:tcW w:w="1109" w:type="dxa"/>
            <w:tcBorders>
              <w:bottom w:val="single" w:sz="4" w:space="0" w:color="auto"/>
            </w:tcBorders>
            <w:noWrap/>
            <w:vAlign w:val="bottom"/>
            <w:hideMark/>
          </w:tcPr>
          <w:p w14:paraId="057F7D9F" w14:textId="198FF7FD" w:rsidR="00B05CD2" w:rsidRPr="00DF43A9" w:rsidRDefault="00B05CD2" w:rsidP="00B05CD2">
            <w:pPr>
              <w:jc w:val="right"/>
              <w:rPr>
                <w:rFonts w:eastAsia="Times New Roman" w:cstheme="minorHAnsi"/>
                <w:color w:val="000000"/>
              </w:rPr>
            </w:pPr>
            <w:r w:rsidRPr="00DF43A9">
              <w:rPr>
                <w:rFonts w:ascii="Calibri" w:hAnsi="Calibri" w:cs="Calibri"/>
                <w:color w:val="000000"/>
              </w:rPr>
              <w:t xml:space="preserve">45 </w:t>
            </w:r>
          </w:p>
        </w:tc>
        <w:tc>
          <w:tcPr>
            <w:tcW w:w="942" w:type="dxa"/>
            <w:tcBorders>
              <w:bottom w:val="single" w:sz="4" w:space="0" w:color="auto"/>
            </w:tcBorders>
            <w:shd w:val="clear" w:color="auto" w:fill="D9D9D9" w:themeFill="background1" w:themeFillShade="D9"/>
            <w:noWrap/>
            <w:vAlign w:val="bottom"/>
            <w:hideMark/>
          </w:tcPr>
          <w:p w14:paraId="0702ECDF" w14:textId="68B5120C" w:rsidR="00B05CD2" w:rsidRPr="00AD5B5C" w:rsidRDefault="00B05CD2" w:rsidP="00B05CD2">
            <w:pPr>
              <w:jc w:val="right"/>
              <w:rPr>
                <w:rFonts w:eastAsia="Times New Roman" w:cstheme="minorHAnsi"/>
                <w:color w:val="000000"/>
              </w:rPr>
            </w:pPr>
            <w:r>
              <w:rPr>
                <w:rFonts w:ascii="Calibri" w:hAnsi="Calibri" w:cs="Calibri"/>
                <w:color w:val="000000"/>
              </w:rPr>
              <w:t xml:space="preserve">41 </w:t>
            </w:r>
          </w:p>
        </w:tc>
        <w:tc>
          <w:tcPr>
            <w:tcW w:w="900" w:type="dxa"/>
            <w:tcBorders>
              <w:bottom w:val="single" w:sz="4" w:space="0" w:color="auto"/>
            </w:tcBorders>
            <w:noWrap/>
            <w:vAlign w:val="bottom"/>
            <w:hideMark/>
          </w:tcPr>
          <w:p w14:paraId="1645CBA8" w14:textId="60B52E9C" w:rsidR="00B05CD2" w:rsidRPr="00AD5B5C" w:rsidRDefault="00B05CD2" w:rsidP="00B05CD2">
            <w:pPr>
              <w:jc w:val="right"/>
              <w:rPr>
                <w:rFonts w:eastAsia="Times New Roman" w:cstheme="minorHAnsi"/>
                <w:color w:val="000000"/>
              </w:rPr>
            </w:pPr>
            <w:r>
              <w:rPr>
                <w:rFonts w:ascii="Calibri" w:hAnsi="Calibri" w:cs="Calibri"/>
                <w:color w:val="000000"/>
              </w:rPr>
              <w:t xml:space="preserve">30 </w:t>
            </w:r>
          </w:p>
        </w:tc>
      </w:tr>
      <w:tr w:rsidR="0057238F" w:rsidRPr="004E6649" w14:paraId="20EDE912" w14:textId="77777777" w:rsidTr="00DF43A9">
        <w:trPr>
          <w:trHeight w:val="87"/>
          <w:jc w:val="center"/>
        </w:trPr>
        <w:tc>
          <w:tcPr>
            <w:tcW w:w="4950" w:type="dxa"/>
            <w:tcBorders>
              <w:top w:val="single" w:sz="4" w:space="0" w:color="auto"/>
            </w:tcBorders>
            <w:noWrap/>
            <w:vAlign w:val="bottom"/>
            <w:hideMark/>
          </w:tcPr>
          <w:p w14:paraId="0EC87BAC" w14:textId="77777777" w:rsidR="00B05CD2" w:rsidRPr="00AD5B5C" w:rsidRDefault="00B05CD2" w:rsidP="00B05CD2">
            <w:pPr>
              <w:rPr>
                <w:rFonts w:eastAsia="Times New Roman" w:cstheme="minorHAnsi"/>
                <w:color w:val="000000"/>
              </w:rPr>
            </w:pPr>
            <w:r w:rsidRPr="00AD5B5C">
              <w:rPr>
                <w:rFonts w:eastAsia="Times New Roman" w:cstheme="minorHAnsi"/>
                <w:color w:val="000000"/>
              </w:rPr>
              <w:t>Total Operating Revenues</w:t>
            </w:r>
          </w:p>
        </w:tc>
        <w:tc>
          <w:tcPr>
            <w:tcW w:w="900" w:type="dxa"/>
            <w:tcBorders>
              <w:top w:val="single" w:sz="4" w:space="0" w:color="auto"/>
            </w:tcBorders>
            <w:noWrap/>
            <w:vAlign w:val="bottom"/>
            <w:hideMark/>
          </w:tcPr>
          <w:p w14:paraId="3C3D1FE5" w14:textId="3EF9FE45" w:rsidR="00B05CD2" w:rsidRPr="00AD5B5C" w:rsidRDefault="00B05CD2" w:rsidP="00B05CD2">
            <w:pPr>
              <w:jc w:val="right"/>
              <w:rPr>
                <w:rFonts w:eastAsia="Times New Roman" w:cstheme="minorHAnsi"/>
                <w:color w:val="000000"/>
              </w:rPr>
            </w:pPr>
            <w:r>
              <w:rPr>
                <w:rFonts w:ascii="Calibri" w:hAnsi="Calibri" w:cs="Calibri"/>
                <w:b/>
                <w:bCs/>
                <w:color w:val="000000"/>
              </w:rPr>
              <w:t>5</w:t>
            </w:r>
            <w:r w:rsidR="00DA29FB">
              <w:rPr>
                <w:rFonts w:ascii="Calibri" w:hAnsi="Calibri" w:cs="Calibri"/>
                <w:b/>
                <w:bCs/>
                <w:color w:val="000000"/>
              </w:rPr>
              <w:t>35</w:t>
            </w:r>
            <w:r>
              <w:rPr>
                <w:rFonts w:ascii="Calibri" w:hAnsi="Calibri" w:cs="Calibri"/>
                <w:b/>
                <w:bCs/>
                <w:color w:val="000000"/>
              </w:rPr>
              <w:t xml:space="preserve"> </w:t>
            </w:r>
          </w:p>
        </w:tc>
        <w:tc>
          <w:tcPr>
            <w:tcW w:w="1109" w:type="dxa"/>
            <w:tcBorders>
              <w:top w:val="single" w:sz="4" w:space="0" w:color="auto"/>
            </w:tcBorders>
            <w:shd w:val="clear" w:color="auto" w:fill="D9D9D9" w:themeFill="background1" w:themeFillShade="D9"/>
            <w:noWrap/>
            <w:vAlign w:val="bottom"/>
            <w:hideMark/>
          </w:tcPr>
          <w:p w14:paraId="0FFD66B1" w14:textId="1F76C767" w:rsidR="00B05CD2" w:rsidRPr="00AD5B5C" w:rsidRDefault="00B05CD2" w:rsidP="00B05CD2">
            <w:pPr>
              <w:jc w:val="right"/>
              <w:rPr>
                <w:rFonts w:eastAsia="Times New Roman" w:cstheme="minorHAnsi"/>
                <w:color w:val="000000"/>
              </w:rPr>
            </w:pPr>
            <w:r>
              <w:rPr>
                <w:rFonts w:ascii="Calibri" w:hAnsi="Calibri" w:cs="Calibri"/>
                <w:b/>
                <w:bCs/>
                <w:color w:val="000000"/>
              </w:rPr>
              <w:t xml:space="preserve">511 </w:t>
            </w:r>
          </w:p>
        </w:tc>
        <w:tc>
          <w:tcPr>
            <w:tcW w:w="1109" w:type="dxa"/>
            <w:tcBorders>
              <w:top w:val="single" w:sz="4" w:space="0" w:color="auto"/>
            </w:tcBorders>
            <w:noWrap/>
            <w:vAlign w:val="bottom"/>
            <w:hideMark/>
          </w:tcPr>
          <w:p w14:paraId="07594741" w14:textId="1BCF84EF" w:rsidR="00B05CD2" w:rsidRPr="00DF43A9" w:rsidRDefault="00B05CD2" w:rsidP="00B05CD2">
            <w:pPr>
              <w:jc w:val="right"/>
              <w:rPr>
                <w:rFonts w:eastAsia="Times New Roman" w:cstheme="minorHAnsi"/>
                <w:color w:val="000000"/>
              </w:rPr>
            </w:pPr>
            <w:r w:rsidRPr="00DF43A9">
              <w:rPr>
                <w:rFonts w:ascii="Calibri" w:hAnsi="Calibri" w:cs="Calibri"/>
                <w:color w:val="000000"/>
              </w:rPr>
              <w:t xml:space="preserve">464 </w:t>
            </w:r>
          </w:p>
        </w:tc>
        <w:tc>
          <w:tcPr>
            <w:tcW w:w="942" w:type="dxa"/>
            <w:tcBorders>
              <w:top w:val="single" w:sz="4" w:space="0" w:color="auto"/>
            </w:tcBorders>
            <w:shd w:val="clear" w:color="auto" w:fill="D9D9D9" w:themeFill="background1" w:themeFillShade="D9"/>
            <w:noWrap/>
            <w:vAlign w:val="bottom"/>
            <w:hideMark/>
          </w:tcPr>
          <w:p w14:paraId="070F4FE0" w14:textId="2D5C032A" w:rsidR="00B05CD2" w:rsidRPr="00AD5B5C" w:rsidRDefault="00B05CD2" w:rsidP="00B05CD2">
            <w:pPr>
              <w:jc w:val="right"/>
              <w:rPr>
                <w:rFonts w:eastAsia="Times New Roman" w:cstheme="minorHAnsi"/>
                <w:color w:val="000000"/>
              </w:rPr>
            </w:pPr>
            <w:r>
              <w:rPr>
                <w:rFonts w:ascii="Calibri" w:hAnsi="Calibri" w:cs="Calibri"/>
                <w:color w:val="000000"/>
              </w:rPr>
              <w:t xml:space="preserve">467 </w:t>
            </w:r>
          </w:p>
        </w:tc>
        <w:tc>
          <w:tcPr>
            <w:tcW w:w="900" w:type="dxa"/>
            <w:tcBorders>
              <w:top w:val="single" w:sz="4" w:space="0" w:color="auto"/>
            </w:tcBorders>
            <w:noWrap/>
            <w:vAlign w:val="bottom"/>
            <w:hideMark/>
          </w:tcPr>
          <w:p w14:paraId="7177EDE2" w14:textId="78E0E805" w:rsidR="00B05CD2" w:rsidRPr="00AD5B5C" w:rsidRDefault="00B05CD2" w:rsidP="00B05CD2">
            <w:pPr>
              <w:jc w:val="right"/>
              <w:rPr>
                <w:rFonts w:eastAsia="Times New Roman" w:cstheme="minorHAnsi"/>
                <w:color w:val="000000"/>
              </w:rPr>
            </w:pPr>
            <w:r>
              <w:rPr>
                <w:rFonts w:ascii="Calibri" w:hAnsi="Calibri" w:cs="Calibri"/>
                <w:color w:val="000000"/>
              </w:rPr>
              <w:t xml:space="preserve">405 </w:t>
            </w:r>
          </w:p>
        </w:tc>
      </w:tr>
      <w:tr w:rsidR="0057238F" w:rsidRPr="004E6649" w14:paraId="6738F191" w14:textId="77777777" w:rsidTr="00DF43A9">
        <w:trPr>
          <w:trHeight w:val="117"/>
          <w:jc w:val="center"/>
        </w:trPr>
        <w:tc>
          <w:tcPr>
            <w:tcW w:w="4950" w:type="dxa"/>
            <w:tcBorders>
              <w:bottom w:val="single" w:sz="4" w:space="0" w:color="00688D"/>
            </w:tcBorders>
            <w:noWrap/>
            <w:vAlign w:val="bottom"/>
            <w:hideMark/>
          </w:tcPr>
          <w:p w14:paraId="621315A7" w14:textId="77777777" w:rsidR="00B05CD2" w:rsidRPr="00AD5B5C" w:rsidRDefault="00B05CD2" w:rsidP="00B05CD2">
            <w:pPr>
              <w:rPr>
                <w:rFonts w:eastAsia="Times New Roman" w:cstheme="minorHAnsi"/>
                <w:color w:val="000000"/>
              </w:rPr>
            </w:pPr>
            <w:r w:rsidRPr="00AD5B5C">
              <w:rPr>
                <w:rFonts w:eastAsia="Times New Roman" w:cstheme="minorHAnsi"/>
                <w:color w:val="000000"/>
              </w:rPr>
              <w:t>Operating Expenses</w:t>
            </w:r>
          </w:p>
        </w:tc>
        <w:tc>
          <w:tcPr>
            <w:tcW w:w="900" w:type="dxa"/>
            <w:tcBorders>
              <w:bottom w:val="single" w:sz="4" w:space="0" w:color="00688D"/>
            </w:tcBorders>
            <w:noWrap/>
            <w:vAlign w:val="bottom"/>
            <w:hideMark/>
          </w:tcPr>
          <w:p w14:paraId="113297C4" w14:textId="2C4DC49A" w:rsidR="00B05CD2" w:rsidRPr="00AD5B5C" w:rsidRDefault="00B05CD2" w:rsidP="00B05CD2">
            <w:pPr>
              <w:jc w:val="right"/>
              <w:rPr>
                <w:rFonts w:eastAsia="Times New Roman" w:cstheme="minorHAnsi"/>
                <w:color w:val="000000"/>
              </w:rPr>
            </w:pPr>
            <w:r>
              <w:rPr>
                <w:rFonts w:ascii="Calibri" w:hAnsi="Calibri" w:cs="Calibri"/>
                <w:b/>
                <w:bCs/>
                <w:color w:val="000000"/>
              </w:rPr>
              <w:t xml:space="preserve"> (</w:t>
            </w:r>
            <w:r w:rsidR="00DA29FB">
              <w:rPr>
                <w:rFonts w:ascii="Calibri" w:hAnsi="Calibri" w:cs="Calibri"/>
                <w:b/>
                <w:bCs/>
                <w:color w:val="000000"/>
              </w:rPr>
              <w:t>885</w:t>
            </w:r>
            <w:r>
              <w:rPr>
                <w:rFonts w:ascii="Calibri" w:hAnsi="Calibri" w:cs="Calibri"/>
                <w:b/>
                <w:bCs/>
                <w:color w:val="000000"/>
              </w:rPr>
              <w:t>)</w:t>
            </w:r>
          </w:p>
        </w:tc>
        <w:tc>
          <w:tcPr>
            <w:tcW w:w="1109" w:type="dxa"/>
            <w:tcBorders>
              <w:bottom w:val="single" w:sz="4" w:space="0" w:color="00688D"/>
            </w:tcBorders>
            <w:shd w:val="clear" w:color="auto" w:fill="D9D9D9" w:themeFill="background1" w:themeFillShade="D9"/>
            <w:noWrap/>
            <w:vAlign w:val="bottom"/>
            <w:hideMark/>
          </w:tcPr>
          <w:p w14:paraId="5CF4E37D" w14:textId="2B479707" w:rsidR="00B05CD2" w:rsidRPr="00AD5B5C" w:rsidRDefault="00B05CD2" w:rsidP="00B05CD2">
            <w:pPr>
              <w:jc w:val="right"/>
              <w:rPr>
                <w:rFonts w:eastAsia="Times New Roman" w:cstheme="minorHAnsi"/>
                <w:color w:val="000000"/>
              </w:rPr>
            </w:pPr>
            <w:r>
              <w:rPr>
                <w:rFonts w:ascii="Calibri" w:hAnsi="Calibri" w:cs="Calibri"/>
                <w:b/>
                <w:bCs/>
                <w:color w:val="000000"/>
              </w:rPr>
              <w:t xml:space="preserve"> (</w:t>
            </w:r>
            <w:r w:rsidR="00E1495D">
              <w:rPr>
                <w:rFonts w:ascii="Calibri" w:hAnsi="Calibri" w:cs="Calibri"/>
                <w:b/>
                <w:bCs/>
                <w:color w:val="000000"/>
              </w:rPr>
              <w:t>850</w:t>
            </w:r>
            <w:r>
              <w:rPr>
                <w:rFonts w:ascii="Calibri" w:hAnsi="Calibri" w:cs="Calibri"/>
                <w:b/>
                <w:bCs/>
                <w:color w:val="000000"/>
              </w:rPr>
              <w:t>)</w:t>
            </w:r>
          </w:p>
        </w:tc>
        <w:tc>
          <w:tcPr>
            <w:tcW w:w="1109" w:type="dxa"/>
            <w:tcBorders>
              <w:bottom w:val="single" w:sz="4" w:space="0" w:color="00688D"/>
            </w:tcBorders>
            <w:noWrap/>
            <w:vAlign w:val="bottom"/>
            <w:hideMark/>
          </w:tcPr>
          <w:p w14:paraId="39C80F79" w14:textId="79128C8A" w:rsidR="00B05CD2" w:rsidRPr="00DF43A9" w:rsidRDefault="00B05CD2" w:rsidP="00B05CD2">
            <w:pPr>
              <w:jc w:val="right"/>
              <w:rPr>
                <w:rFonts w:eastAsia="Times New Roman" w:cstheme="minorHAnsi"/>
                <w:color w:val="000000"/>
              </w:rPr>
            </w:pPr>
            <w:r w:rsidRPr="00DF43A9">
              <w:rPr>
                <w:rFonts w:ascii="Calibri" w:hAnsi="Calibri" w:cs="Calibri"/>
                <w:color w:val="000000"/>
              </w:rPr>
              <w:t xml:space="preserve"> (810)</w:t>
            </w:r>
          </w:p>
        </w:tc>
        <w:tc>
          <w:tcPr>
            <w:tcW w:w="942" w:type="dxa"/>
            <w:tcBorders>
              <w:bottom w:val="single" w:sz="4" w:space="0" w:color="00688D"/>
            </w:tcBorders>
            <w:shd w:val="clear" w:color="auto" w:fill="D9D9D9" w:themeFill="background1" w:themeFillShade="D9"/>
            <w:noWrap/>
            <w:vAlign w:val="bottom"/>
            <w:hideMark/>
          </w:tcPr>
          <w:p w14:paraId="4B065F5C" w14:textId="13036756" w:rsidR="00B05CD2" w:rsidRPr="00AD5B5C" w:rsidRDefault="00B05CD2" w:rsidP="00B05CD2">
            <w:pPr>
              <w:jc w:val="right"/>
              <w:rPr>
                <w:rFonts w:eastAsia="Times New Roman" w:cstheme="minorHAnsi"/>
                <w:color w:val="000000"/>
              </w:rPr>
            </w:pPr>
            <w:r>
              <w:rPr>
                <w:rFonts w:ascii="Calibri" w:hAnsi="Calibri" w:cs="Calibri"/>
                <w:color w:val="000000"/>
              </w:rPr>
              <w:t xml:space="preserve"> (811)</w:t>
            </w:r>
          </w:p>
        </w:tc>
        <w:tc>
          <w:tcPr>
            <w:tcW w:w="900" w:type="dxa"/>
            <w:tcBorders>
              <w:bottom w:val="single" w:sz="4" w:space="0" w:color="00688D"/>
            </w:tcBorders>
            <w:noWrap/>
            <w:vAlign w:val="bottom"/>
            <w:hideMark/>
          </w:tcPr>
          <w:p w14:paraId="4E85346C" w14:textId="3E20859A" w:rsidR="00B05CD2" w:rsidRPr="00AD5B5C" w:rsidRDefault="00B05CD2" w:rsidP="00B05CD2">
            <w:pPr>
              <w:jc w:val="right"/>
              <w:rPr>
                <w:rFonts w:eastAsia="Times New Roman" w:cstheme="minorHAnsi"/>
                <w:color w:val="000000"/>
              </w:rPr>
            </w:pPr>
            <w:r>
              <w:rPr>
                <w:rFonts w:ascii="Calibri" w:hAnsi="Calibri" w:cs="Calibri"/>
                <w:color w:val="000000"/>
              </w:rPr>
              <w:t xml:space="preserve"> (680)</w:t>
            </w:r>
          </w:p>
        </w:tc>
      </w:tr>
      <w:tr w:rsidR="0057238F" w:rsidRPr="004E6649" w14:paraId="77064D9E" w14:textId="77777777" w:rsidTr="00DF43A9">
        <w:trPr>
          <w:trHeight w:val="125"/>
          <w:jc w:val="center"/>
        </w:trPr>
        <w:tc>
          <w:tcPr>
            <w:tcW w:w="4950" w:type="dxa"/>
            <w:tcBorders>
              <w:top w:val="single" w:sz="4" w:space="0" w:color="00688D"/>
              <w:bottom w:val="single" w:sz="4" w:space="0" w:color="00688D"/>
            </w:tcBorders>
            <w:noWrap/>
            <w:vAlign w:val="bottom"/>
            <w:hideMark/>
          </w:tcPr>
          <w:p w14:paraId="0E983BD1" w14:textId="77777777" w:rsidR="00B05CD2" w:rsidRPr="00AD5B5C" w:rsidRDefault="00B05CD2" w:rsidP="00B05CD2">
            <w:pPr>
              <w:rPr>
                <w:rFonts w:eastAsia="Times New Roman" w:cstheme="minorHAnsi"/>
                <w:color w:val="000000"/>
              </w:rPr>
            </w:pPr>
            <w:r w:rsidRPr="00AD5B5C">
              <w:rPr>
                <w:rFonts w:eastAsia="Times New Roman" w:cstheme="minorHAnsi"/>
                <w:color w:val="000000"/>
              </w:rPr>
              <w:t>Operating Loss</w:t>
            </w:r>
          </w:p>
        </w:tc>
        <w:tc>
          <w:tcPr>
            <w:tcW w:w="900" w:type="dxa"/>
            <w:tcBorders>
              <w:top w:val="single" w:sz="4" w:space="0" w:color="00688D"/>
              <w:bottom w:val="single" w:sz="4" w:space="0" w:color="00688D"/>
            </w:tcBorders>
            <w:noWrap/>
            <w:vAlign w:val="bottom"/>
            <w:hideMark/>
          </w:tcPr>
          <w:p w14:paraId="013B893C" w14:textId="4F52709C" w:rsidR="00B05CD2" w:rsidRPr="00AD5B5C" w:rsidRDefault="00B05CD2" w:rsidP="00B05CD2">
            <w:pPr>
              <w:jc w:val="right"/>
              <w:rPr>
                <w:rFonts w:eastAsia="Times New Roman" w:cstheme="minorHAnsi"/>
                <w:color w:val="000000"/>
              </w:rPr>
            </w:pPr>
            <w:r>
              <w:rPr>
                <w:rFonts w:ascii="Calibri" w:hAnsi="Calibri" w:cs="Calibri"/>
                <w:b/>
                <w:bCs/>
                <w:color w:val="000000"/>
              </w:rPr>
              <w:t xml:space="preserve"> (</w:t>
            </w:r>
            <w:r w:rsidR="00A646DC">
              <w:rPr>
                <w:rFonts w:ascii="Calibri" w:hAnsi="Calibri" w:cs="Calibri"/>
                <w:b/>
                <w:bCs/>
                <w:color w:val="000000"/>
              </w:rPr>
              <w:t>350</w:t>
            </w:r>
            <w:r>
              <w:rPr>
                <w:rFonts w:ascii="Calibri" w:hAnsi="Calibri" w:cs="Calibri"/>
                <w:b/>
                <w:bCs/>
                <w:color w:val="000000"/>
              </w:rPr>
              <w:t>)</w:t>
            </w:r>
          </w:p>
        </w:tc>
        <w:tc>
          <w:tcPr>
            <w:tcW w:w="1109" w:type="dxa"/>
            <w:tcBorders>
              <w:top w:val="single" w:sz="4" w:space="0" w:color="00688D"/>
              <w:bottom w:val="single" w:sz="4" w:space="0" w:color="00688D"/>
            </w:tcBorders>
            <w:shd w:val="clear" w:color="auto" w:fill="D9D9D9" w:themeFill="background1" w:themeFillShade="D9"/>
            <w:noWrap/>
            <w:vAlign w:val="bottom"/>
            <w:hideMark/>
          </w:tcPr>
          <w:p w14:paraId="640C8123" w14:textId="0D62515B" w:rsidR="00B05CD2" w:rsidRPr="00AD5B5C" w:rsidRDefault="00B05CD2" w:rsidP="00B05CD2">
            <w:pPr>
              <w:jc w:val="right"/>
              <w:rPr>
                <w:rFonts w:eastAsia="Times New Roman" w:cstheme="minorHAnsi"/>
                <w:color w:val="000000"/>
              </w:rPr>
            </w:pPr>
            <w:r>
              <w:rPr>
                <w:rFonts w:ascii="Calibri" w:hAnsi="Calibri" w:cs="Calibri"/>
                <w:b/>
                <w:bCs/>
                <w:color w:val="000000"/>
              </w:rPr>
              <w:t xml:space="preserve"> (</w:t>
            </w:r>
            <w:r w:rsidR="00E1495D">
              <w:rPr>
                <w:rFonts w:ascii="Calibri" w:hAnsi="Calibri" w:cs="Calibri"/>
                <w:b/>
                <w:bCs/>
                <w:color w:val="000000"/>
              </w:rPr>
              <w:t>339</w:t>
            </w:r>
            <w:r>
              <w:rPr>
                <w:rFonts w:ascii="Calibri" w:hAnsi="Calibri" w:cs="Calibri"/>
                <w:b/>
                <w:bCs/>
                <w:color w:val="000000"/>
              </w:rPr>
              <w:t>)</w:t>
            </w:r>
          </w:p>
        </w:tc>
        <w:tc>
          <w:tcPr>
            <w:tcW w:w="1109" w:type="dxa"/>
            <w:tcBorders>
              <w:top w:val="single" w:sz="4" w:space="0" w:color="00688D"/>
              <w:bottom w:val="single" w:sz="4" w:space="0" w:color="00688D"/>
            </w:tcBorders>
            <w:noWrap/>
            <w:vAlign w:val="bottom"/>
            <w:hideMark/>
          </w:tcPr>
          <w:p w14:paraId="4EC2FA5A" w14:textId="6D4E2F74" w:rsidR="00B05CD2" w:rsidRPr="00DF43A9" w:rsidRDefault="00B05CD2" w:rsidP="00B05CD2">
            <w:pPr>
              <w:jc w:val="right"/>
              <w:rPr>
                <w:rFonts w:eastAsia="Times New Roman" w:cstheme="minorHAnsi"/>
                <w:color w:val="000000"/>
              </w:rPr>
            </w:pPr>
            <w:r w:rsidRPr="00DF43A9">
              <w:rPr>
                <w:rFonts w:ascii="Calibri" w:hAnsi="Calibri" w:cs="Calibri"/>
                <w:color w:val="000000"/>
              </w:rPr>
              <w:t xml:space="preserve"> (346)</w:t>
            </w:r>
          </w:p>
        </w:tc>
        <w:tc>
          <w:tcPr>
            <w:tcW w:w="942" w:type="dxa"/>
            <w:tcBorders>
              <w:top w:val="single" w:sz="4" w:space="0" w:color="00688D"/>
              <w:bottom w:val="single" w:sz="4" w:space="0" w:color="00688D"/>
            </w:tcBorders>
            <w:shd w:val="clear" w:color="auto" w:fill="D9D9D9" w:themeFill="background1" w:themeFillShade="D9"/>
            <w:noWrap/>
            <w:vAlign w:val="bottom"/>
            <w:hideMark/>
          </w:tcPr>
          <w:p w14:paraId="290B1D72" w14:textId="4BF3D372" w:rsidR="00B05CD2" w:rsidRPr="00AD5B5C" w:rsidRDefault="00B05CD2" w:rsidP="00B05CD2">
            <w:pPr>
              <w:jc w:val="right"/>
              <w:rPr>
                <w:rFonts w:eastAsia="Times New Roman" w:cstheme="minorHAnsi"/>
                <w:color w:val="000000"/>
              </w:rPr>
            </w:pPr>
            <w:r>
              <w:rPr>
                <w:rFonts w:ascii="Calibri" w:hAnsi="Calibri" w:cs="Calibri"/>
                <w:color w:val="000000"/>
              </w:rPr>
              <w:t xml:space="preserve"> (344)</w:t>
            </w:r>
          </w:p>
        </w:tc>
        <w:tc>
          <w:tcPr>
            <w:tcW w:w="900" w:type="dxa"/>
            <w:tcBorders>
              <w:top w:val="single" w:sz="4" w:space="0" w:color="00688D"/>
              <w:bottom w:val="single" w:sz="4" w:space="0" w:color="00688D"/>
            </w:tcBorders>
            <w:noWrap/>
            <w:vAlign w:val="bottom"/>
            <w:hideMark/>
          </w:tcPr>
          <w:p w14:paraId="2A757495" w14:textId="597F44C4" w:rsidR="00B05CD2" w:rsidRPr="00AD5B5C" w:rsidRDefault="00B05CD2" w:rsidP="00B05CD2">
            <w:pPr>
              <w:jc w:val="right"/>
              <w:rPr>
                <w:rFonts w:eastAsia="Times New Roman" w:cstheme="minorHAnsi"/>
                <w:color w:val="000000"/>
              </w:rPr>
            </w:pPr>
            <w:r>
              <w:rPr>
                <w:rFonts w:ascii="Calibri" w:hAnsi="Calibri" w:cs="Calibri"/>
                <w:color w:val="000000"/>
              </w:rPr>
              <w:t xml:space="preserve"> (275)</w:t>
            </w:r>
          </w:p>
        </w:tc>
      </w:tr>
      <w:tr w:rsidR="0057238F" w:rsidRPr="004E6649" w14:paraId="49CBE1B1" w14:textId="77777777" w:rsidTr="00DF43A9">
        <w:trPr>
          <w:trHeight w:val="70"/>
          <w:jc w:val="center"/>
        </w:trPr>
        <w:tc>
          <w:tcPr>
            <w:tcW w:w="4950" w:type="dxa"/>
            <w:tcBorders>
              <w:top w:val="single" w:sz="4" w:space="0" w:color="00688D"/>
            </w:tcBorders>
            <w:noWrap/>
            <w:vAlign w:val="bottom"/>
            <w:hideMark/>
          </w:tcPr>
          <w:p w14:paraId="47DCB044" w14:textId="77777777" w:rsidR="00B05CD2" w:rsidRPr="00AD5B5C" w:rsidRDefault="00B05CD2" w:rsidP="00B05CD2">
            <w:pPr>
              <w:rPr>
                <w:rFonts w:eastAsia="Times New Roman" w:cstheme="minorHAnsi"/>
                <w:color w:val="000000"/>
              </w:rPr>
            </w:pPr>
            <w:r w:rsidRPr="00AD5B5C">
              <w:rPr>
                <w:rFonts w:eastAsia="Times New Roman" w:cstheme="minorHAnsi"/>
                <w:color w:val="000000"/>
              </w:rPr>
              <w:t>Nonoperating Revenues (Expenses)</w:t>
            </w:r>
          </w:p>
        </w:tc>
        <w:tc>
          <w:tcPr>
            <w:tcW w:w="900" w:type="dxa"/>
            <w:tcBorders>
              <w:top w:val="single" w:sz="4" w:space="0" w:color="00688D"/>
            </w:tcBorders>
            <w:noWrap/>
            <w:vAlign w:val="bottom"/>
            <w:hideMark/>
          </w:tcPr>
          <w:p w14:paraId="786302EE" w14:textId="3B4329FE" w:rsidR="00B05CD2" w:rsidRPr="00AD5B5C" w:rsidRDefault="00B05CD2" w:rsidP="00B05CD2">
            <w:pPr>
              <w:jc w:val="right"/>
              <w:rPr>
                <w:rFonts w:eastAsia="Times New Roman" w:cstheme="minorHAnsi"/>
                <w:color w:val="000000"/>
              </w:rPr>
            </w:pPr>
            <w:r>
              <w:rPr>
                <w:rFonts w:ascii="Calibri" w:hAnsi="Calibri" w:cs="Calibri"/>
                <w:b/>
                <w:bCs/>
                <w:color w:val="000000"/>
              </w:rPr>
              <w:t> </w:t>
            </w:r>
          </w:p>
        </w:tc>
        <w:tc>
          <w:tcPr>
            <w:tcW w:w="1109" w:type="dxa"/>
            <w:tcBorders>
              <w:top w:val="single" w:sz="4" w:space="0" w:color="00688D"/>
            </w:tcBorders>
            <w:shd w:val="clear" w:color="auto" w:fill="D9D9D9" w:themeFill="background1" w:themeFillShade="D9"/>
            <w:noWrap/>
            <w:vAlign w:val="bottom"/>
            <w:hideMark/>
          </w:tcPr>
          <w:p w14:paraId="097469B0" w14:textId="3327DDEC" w:rsidR="00B05CD2" w:rsidRPr="00AD5B5C" w:rsidRDefault="00B05CD2" w:rsidP="00B05CD2">
            <w:pPr>
              <w:jc w:val="right"/>
              <w:rPr>
                <w:rFonts w:eastAsia="Times New Roman" w:cstheme="minorHAnsi"/>
                <w:color w:val="000000"/>
              </w:rPr>
            </w:pPr>
            <w:r>
              <w:rPr>
                <w:rFonts w:ascii="Calibri" w:hAnsi="Calibri" w:cs="Calibri"/>
                <w:b/>
                <w:bCs/>
                <w:color w:val="000000"/>
              </w:rPr>
              <w:t> </w:t>
            </w:r>
          </w:p>
        </w:tc>
        <w:tc>
          <w:tcPr>
            <w:tcW w:w="1109" w:type="dxa"/>
            <w:tcBorders>
              <w:top w:val="single" w:sz="4" w:space="0" w:color="00688D"/>
            </w:tcBorders>
            <w:noWrap/>
            <w:vAlign w:val="bottom"/>
            <w:hideMark/>
          </w:tcPr>
          <w:p w14:paraId="520736EA" w14:textId="53DD3C1E" w:rsidR="00B05CD2" w:rsidRPr="00DF43A9" w:rsidRDefault="00B05CD2" w:rsidP="00B05CD2">
            <w:pPr>
              <w:jc w:val="right"/>
              <w:rPr>
                <w:rFonts w:eastAsia="Times New Roman" w:cstheme="minorHAnsi"/>
                <w:color w:val="000000"/>
              </w:rPr>
            </w:pPr>
            <w:r w:rsidRPr="00DF43A9">
              <w:rPr>
                <w:rFonts w:ascii="Calibri" w:hAnsi="Calibri" w:cs="Calibri"/>
                <w:color w:val="000000"/>
              </w:rPr>
              <w:t> </w:t>
            </w:r>
          </w:p>
        </w:tc>
        <w:tc>
          <w:tcPr>
            <w:tcW w:w="942" w:type="dxa"/>
            <w:tcBorders>
              <w:top w:val="single" w:sz="4" w:space="0" w:color="00688D"/>
            </w:tcBorders>
            <w:shd w:val="clear" w:color="auto" w:fill="D9D9D9" w:themeFill="background1" w:themeFillShade="D9"/>
            <w:noWrap/>
            <w:vAlign w:val="bottom"/>
            <w:hideMark/>
          </w:tcPr>
          <w:p w14:paraId="79D28EC3" w14:textId="4C10F426" w:rsidR="00B05CD2" w:rsidRPr="00AD5B5C" w:rsidRDefault="00B05CD2" w:rsidP="00B05CD2">
            <w:pPr>
              <w:jc w:val="right"/>
              <w:rPr>
                <w:rFonts w:eastAsia="Times New Roman" w:cstheme="minorHAnsi"/>
                <w:color w:val="000000"/>
              </w:rPr>
            </w:pPr>
            <w:r>
              <w:rPr>
                <w:rFonts w:ascii="Calibri" w:hAnsi="Calibri" w:cs="Calibri"/>
                <w:color w:val="000000"/>
              </w:rPr>
              <w:t> </w:t>
            </w:r>
          </w:p>
        </w:tc>
        <w:tc>
          <w:tcPr>
            <w:tcW w:w="900" w:type="dxa"/>
            <w:tcBorders>
              <w:top w:val="single" w:sz="4" w:space="0" w:color="00688D"/>
            </w:tcBorders>
            <w:noWrap/>
            <w:vAlign w:val="bottom"/>
            <w:hideMark/>
          </w:tcPr>
          <w:p w14:paraId="1DBBD44A" w14:textId="18E9775C" w:rsidR="00B05CD2" w:rsidRPr="00AD5B5C" w:rsidRDefault="00B05CD2" w:rsidP="00B05CD2">
            <w:pPr>
              <w:jc w:val="right"/>
              <w:rPr>
                <w:rFonts w:eastAsia="Times New Roman" w:cstheme="minorHAnsi"/>
                <w:color w:val="000000"/>
              </w:rPr>
            </w:pPr>
            <w:r>
              <w:rPr>
                <w:rFonts w:ascii="Calibri" w:hAnsi="Calibri" w:cs="Calibri"/>
                <w:color w:val="000000"/>
              </w:rPr>
              <w:t> </w:t>
            </w:r>
          </w:p>
        </w:tc>
      </w:tr>
      <w:tr w:rsidR="0057238F" w:rsidRPr="004E6649" w14:paraId="5C22C530" w14:textId="77777777" w:rsidTr="00DF43A9">
        <w:trPr>
          <w:trHeight w:val="90"/>
          <w:jc w:val="center"/>
        </w:trPr>
        <w:tc>
          <w:tcPr>
            <w:tcW w:w="4950" w:type="dxa"/>
            <w:noWrap/>
            <w:vAlign w:val="bottom"/>
            <w:hideMark/>
          </w:tcPr>
          <w:p w14:paraId="2D9E0FBB" w14:textId="77777777" w:rsidR="00B05CD2" w:rsidRPr="00AD5B5C" w:rsidRDefault="00B05CD2" w:rsidP="00B05CD2">
            <w:pPr>
              <w:ind w:firstLineChars="100" w:firstLine="220"/>
              <w:rPr>
                <w:rFonts w:eastAsia="Times New Roman" w:cstheme="minorHAnsi"/>
                <w:color w:val="000000"/>
              </w:rPr>
            </w:pPr>
            <w:r w:rsidRPr="00AD5B5C">
              <w:rPr>
                <w:rFonts w:eastAsia="Times New Roman" w:cstheme="minorHAnsi"/>
                <w:color w:val="000000"/>
              </w:rPr>
              <w:t>Noncapital State of Maine appropriations</w:t>
            </w:r>
          </w:p>
        </w:tc>
        <w:tc>
          <w:tcPr>
            <w:tcW w:w="900" w:type="dxa"/>
            <w:noWrap/>
            <w:vAlign w:val="bottom"/>
            <w:hideMark/>
          </w:tcPr>
          <w:p w14:paraId="23CE36E7" w14:textId="549A7B02" w:rsidR="00B05CD2" w:rsidRPr="00AD5B5C" w:rsidRDefault="00B05CD2" w:rsidP="00B05CD2">
            <w:pPr>
              <w:ind w:firstLineChars="100" w:firstLine="221"/>
              <w:jc w:val="right"/>
              <w:rPr>
                <w:rFonts w:eastAsia="Times New Roman" w:cstheme="minorHAnsi"/>
                <w:color w:val="000000"/>
              </w:rPr>
            </w:pPr>
            <w:r>
              <w:rPr>
                <w:rFonts w:ascii="Calibri" w:hAnsi="Calibri" w:cs="Calibri"/>
                <w:b/>
                <w:bCs/>
                <w:color w:val="000000"/>
              </w:rPr>
              <w:t xml:space="preserve">270 </w:t>
            </w:r>
          </w:p>
        </w:tc>
        <w:tc>
          <w:tcPr>
            <w:tcW w:w="1109" w:type="dxa"/>
            <w:shd w:val="clear" w:color="auto" w:fill="D9D9D9" w:themeFill="background1" w:themeFillShade="D9"/>
            <w:noWrap/>
            <w:vAlign w:val="bottom"/>
            <w:hideMark/>
          </w:tcPr>
          <w:p w14:paraId="391CF7B6" w14:textId="066B266E" w:rsidR="00B05CD2" w:rsidRPr="00AD5B5C" w:rsidRDefault="00B05CD2" w:rsidP="00B05CD2">
            <w:pPr>
              <w:ind w:firstLineChars="100" w:firstLine="221"/>
              <w:jc w:val="right"/>
              <w:rPr>
                <w:rFonts w:eastAsia="Times New Roman" w:cstheme="minorHAnsi"/>
                <w:color w:val="000000"/>
              </w:rPr>
            </w:pPr>
            <w:r>
              <w:rPr>
                <w:rFonts w:ascii="Calibri" w:hAnsi="Calibri" w:cs="Calibri"/>
                <w:b/>
                <w:bCs/>
                <w:color w:val="000000"/>
              </w:rPr>
              <w:t xml:space="preserve">261 </w:t>
            </w:r>
          </w:p>
        </w:tc>
        <w:tc>
          <w:tcPr>
            <w:tcW w:w="1109" w:type="dxa"/>
            <w:noWrap/>
            <w:vAlign w:val="bottom"/>
            <w:hideMark/>
          </w:tcPr>
          <w:p w14:paraId="2757D903" w14:textId="1249950C" w:rsidR="00B05CD2" w:rsidRPr="00DF43A9" w:rsidRDefault="00B05CD2" w:rsidP="00B05CD2">
            <w:pPr>
              <w:jc w:val="right"/>
              <w:rPr>
                <w:rFonts w:eastAsia="Times New Roman" w:cstheme="minorHAnsi"/>
                <w:color w:val="000000"/>
              </w:rPr>
            </w:pPr>
            <w:r w:rsidRPr="00DF43A9">
              <w:rPr>
                <w:rFonts w:ascii="Calibri" w:hAnsi="Calibri" w:cs="Calibri"/>
                <w:color w:val="000000"/>
              </w:rPr>
              <w:t xml:space="preserve">248 </w:t>
            </w:r>
          </w:p>
        </w:tc>
        <w:tc>
          <w:tcPr>
            <w:tcW w:w="942" w:type="dxa"/>
            <w:shd w:val="clear" w:color="auto" w:fill="D9D9D9" w:themeFill="background1" w:themeFillShade="D9"/>
            <w:noWrap/>
            <w:vAlign w:val="bottom"/>
            <w:hideMark/>
          </w:tcPr>
          <w:p w14:paraId="702CFE09" w14:textId="1750CB97" w:rsidR="00B05CD2" w:rsidRPr="00AD5B5C" w:rsidRDefault="00B05CD2" w:rsidP="00B05CD2">
            <w:pPr>
              <w:jc w:val="right"/>
              <w:rPr>
                <w:rFonts w:eastAsia="Times New Roman" w:cstheme="minorHAnsi"/>
                <w:color w:val="000000"/>
              </w:rPr>
            </w:pPr>
            <w:r>
              <w:rPr>
                <w:rFonts w:ascii="Calibri" w:hAnsi="Calibri" w:cs="Calibri"/>
                <w:color w:val="000000"/>
              </w:rPr>
              <w:t xml:space="preserve">229 </w:t>
            </w:r>
          </w:p>
        </w:tc>
        <w:tc>
          <w:tcPr>
            <w:tcW w:w="900" w:type="dxa"/>
            <w:noWrap/>
            <w:vAlign w:val="bottom"/>
            <w:hideMark/>
          </w:tcPr>
          <w:p w14:paraId="091A9715" w14:textId="7EF5FD9E" w:rsidR="00B05CD2" w:rsidRPr="00AD5B5C" w:rsidRDefault="00B05CD2" w:rsidP="00B05CD2">
            <w:pPr>
              <w:jc w:val="right"/>
              <w:rPr>
                <w:rFonts w:eastAsia="Times New Roman" w:cstheme="minorHAnsi"/>
                <w:color w:val="000000"/>
              </w:rPr>
            </w:pPr>
            <w:r>
              <w:rPr>
                <w:rFonts w:ascii="Calibri" w:hAnsi="Calibri" w:cs="Calibri"/>
                <w:color w:val="000000"/>
              </w:rPr>
              <w:t xml:space="preserve">218 </w:t>
            </w:r>
          </w:p>
        </w:tc>
      </w:tr>
      <w:tr w:rsidR="0057238F" w:rsidRPr="004E6649" w14:paraId="58D34B16" w14:textId="77777777" w:rsidTr="00DF43A9">
        <w:trPr>
          <w:trHeight w:val="80"/>
          <w:jc w:val="center"/>
        </w:trPr>
        <w:tc>
          <w:tcPr>
            <w:tcW w:w="4950" w:type="dxa"/>
            <w:noWrap/>
            <w:vAlign w:val="bottom"/>
            <w:hideMark/>
          </w:tcPr>
          <w:p w14:paraId="3CF3A3FF" w14:textId="77777777" w:rsidR="00B05CD2" w:rsidRPr="00AD5B5C" w:rsidRDefault="00B05CD2" w:rsidP="00B05CD2">
            <w:pPr>
              <w:ind w:firstLineChars="100" w:firstLine="220"/>
              <w:rPr>
                <w:rFonts w:eastAsia="Times New Roman" w:cstheme="minorHAnsi"/>
                <w:color w:val="000000"/>
              </w:rPr>
            </w:pPr>
            <w:r w:rsidRPr="00AD5B5C">
              <w:rPr>
                <w:rFonts w:eastAsia="Times New Roman" w:cstheme="minorHAnsi"/>
                <w:color w:val="000000"/>
              </w:rPr>
              <w:t>Federal Pell grants</w:t>
            </w:r>
          </w:p>
        </w:tc>
        <w:tc>
          <w:tcPr>
            <w:tcW w:w="900" w:type="dxa"/>
            <w:noWrap/>
            <w:vAlign w:val="bottom"/>
            <w:hideMark/>
          </w:tcPr>
          <w:p w14:paraId="69E73424" w14:textId="14A125E8" w:rsidR="00B05CD2" w:rsidRPr="00AD5B5C" w:rsidRDefault="00B05CD2" w:rsidP="00B05CD2">
            <w:pPr>
              <w:ind w:firstLineChars="100" w:firstLine="221"/>
              <w:jc w:val="right"/>
              <w:rPr>
                <w:rFonts w:eastAsia="Times New Roman" w:cstheme="minorHAnsi"/>
                <w:color w:val="000000"/>
              </w:rPr>
            </w:pPr>
            <w:r>
              <w:rPr>
                <w:rFonts w:ascii="Calibri" w:hAnsi="Calibri" w:cs="Calibri"/>
                <w:b/>
                <w:bCs/>
                <w:color w:val="000000"/>
              </w:rPr>
              <w:t xml:space="preserve">46 </w:t>
            </w:r>
          </w:p>
        </w:tc>
        <w:tc>
          <w:tcPr>
            <w:tcW w:w="1109" w:type="dxa"/>
            <w:shd w:val="clear" w:color="auto" w:fill="D9D9D9" w:themeFill="background1" w:themeFillShade="D9"/>
            <w:noWrap/>
            <w:vAlign w:val="bottom"/>
            <w:hideMark/>
          </w:tcPr>
          <w:p w14:paraId="65C8465B" w14:textId="4B36AE87" w:rsidR="00B05CD2" w:rsidRPr="00AD5B5C" w:rsidRDefault="00B05CD2" w:rsidP="00B05CD2">
            <w:pPr>
              <w:ind w:firstLineChars="100" w:firstLine="221"/>
              <w:jc w:val="right"/>
              <w:rPr>
                <w:rFonts w:eastAsia="Times New Roman" w:cstheme="minorHAnsi"/>
                <w:color w:val="000000"/>
              </w:rPr>
            </w:pPr>
            <w:r>
              <w:rPr>
                <w:rFonts w:ascii="Calibri" w:hAnsi="Calibri" w:cs="Calibri"/>
                <w:b/>
                <w:bCs/>
                <w:color w:val="000000"/>
              </w:rPr>
              <w:t xml:space="preserve">36 </w:t>
            </w:r>
          </w:p>
        </w:tc>
        <w:tc>
          <w:tcPr>
            <w:tcW w:w="1109" w:type="dxa"/>
            <w:noWrap/>
            <w:vAlign w:val="bottom"/>
            <w:hideMark/>
          </w:tcPr>
          <w:p w14:paraId="4F4005DF" w14:textId="28CE1A0A" w:rsidR="00B05CD2" w:rsidRPr="00DF43A9" w:rsidRDefault="00B05CD2" w:rsidP="00B05CD2">
            <w:pPr>
              <w:jc w:val="right"/>
              <w:rPr>
                <w:rFonts w:eastAsia="Times New Roman" w:cstheme="minorHAnsi"/>
                <w:color w:val="000000"/>
              </w:rPr>
            </w:pPr>
            <w:r w:rsidRPr="00DF43A9">
              <w:rPr>
                <w:rFonts w:ascii="Calibri" w:hAnsi="Calibri" w:cs="Calibri"/>
                <w:color w:val="000000"/>
              </w:rPr>
              <w:t xml:space="preserve">  32 </w:t>
            </w:r>
          </w:p>
        </w:tc>
        <w:tc>
          <w:tcPr>
            <w:tcW w:w="942" w:type="dxa"/>
            <w:shd w:val="clear" w:color="auto" w:fill="D9D9D9" w:themeFill="background1" w:themeFillShade="D9"/>
            <w:noWrap/>
            <w:vAlign w:val="bottom"/>
            <w:hideMark/>
          </w:tcPr>
          <w:p w14:paraId="662E1CAB" w14:textId="082F42A0" w:rsidR="00B05CD2" w:rsidRPr="00AD5B5C" w:rsidRDefault="00B05CD2" w:rsidP="00B05CD2">
            <w:pPr>
              <w:jc w:val="right"/>
              <w:rPr>
                <w:rFonts w:eastAsia="Times New Roman" w:cstheme="minorHAnsi"/>
                <w:color w:val="000000"/>
              </w:rPr>
            </w:pPr>
            <w:r>
              <w:rPr>
                <w:rFonts w:ascii="Calibri" w:hAnsi="Calibri" w:cs="Calibri"/>
                <w:color w:val="000000"/>
              </w:rPr>
              <w:t xml:space="preserve">34 </w:t>
            </w:r>
          </w:p>
        </w:tc>
        <w:tc>
          <w:tcPr>
            <w:tcW w:w="900" w:type="dxa"/>
            <w:noWrap/>
            <w:vAlign w:val="bottom"/>
            <w:hideMark/>
          </w:tcPr>
          <w:p w14:paraId="120EB21A" w14:textId="139B859F" w:rsidR="00B05CD2" w:rsidRPr="00AD5B5C" w:rsidRDefault="00B05CD2" w:rsidP="00B05CD2">
            <w:pPr>
              <w:jc w:val="right"/>
              <w:rPr>
                <w:rFonts w:eastAsia="Times New Roman" w:cstheme="minorHAnsi"/>
                <w:color w:val="000000"/>
              </w:rPr>
            </w:pPr>
            <w:r>
              <w:rPr>
                <w:rFonts w:ascii="Calibri" w:hAnsi="Calibri" w:cs="Calibri"/>
                <w:color w:val="000000"/>
              </w:rPr>
              <w:t xml:space="preserve">35 </w:t>
            </w:r>
          </w:p>
        </w:tc>
      </w:tr>
      <w:tr w:rsidR="0057238F" w:rsidRPr="004E6649" w14:paraId="0C981F89" w14:textId="77777777" w:rsidTr="00DF43A9">
        <w:trPr>
          <w:trHeight w:val="135"/>
          <w:jc w:val="center"/>
        </w:trPr>
        <w:tc>
          <w:tcPr>
            <w:tcW w:w="4950" w:type="dxa"/>
            <w:noWrap/>
            <w:vAlign w:val="bottom"/>
            <w:hideMark/>
          </w:tcPr>
          <w:p w14:paraId="3CF47B4F" w14:textId="77777777" w:rsidR="00B05CD2" w:rsidRPr="00AD5B5C" w:rsidRDefault="00B05CD2" w:rsidP="00B05CD2">
            <w:pPr>
              <w:ind w:firstLineChars="100" w:firstLine="220"/>
              <w:rPr>
                <w:rFonts w:eastAsia="Times New Roman" w:cstheme="minorHAnsi"/>
                <w:color w:val="000000"/>
              </w:rPr>
            </w:pPr>
            <w:r w:rsidRPr="00AD5B5C">
              <w:rPr>
                <w:rFonts w:eastAsia="Times New Roman" w:cstheme="minorHAnsi"/>
                <w:color w:val="000000"/>
              </w:rPr>
              <w:t>Coronavirus relief funding</w:t>
            </w:r>
          </w:p>
        </w:tc>
        <w:tc>
          <w:tcPr>
            <w:tcW w:w="900" w:type="dxa"/>
            <w:noWrap/>
            <w:vAlign w:val="bottom"/>
            <w:hideMark/>
          </w:tcPr>
          <w:p w14:paraId="0A2B6A42" w14:textId="0B219650" w:rsidR="00B05CD2" w:rsidRPr="00AD5B5C" w:rsidRDefault="00B05CD2" w:rsidP="00B05CD2">
            <w:pPr>
              <w:ind w:firstLineChars="100" w:firstLine="221"/>
              <w:jc w:val="right"/>
              <w:rPr>
                <w:rFonts w:eastAsia="Times New Roman" w:cstheme="minorHAnsi"/>
                <w:color w:val="000000"/>
              </w:rPr>
            </w:pPr>
            <w:r>
              <w:rPr>
                <w:rFonts w:ascii="Calibri" w:hAnsi="Calibri" w:cs="Calibri"/>
                <w:b/>
                <w:bCs/>
                <w:color w:val="000000"/>
              </w:rPr>
              <w:t xml:space="preserve">3 </w:t>
            </w:r>
          </w:p>
        </w:tc>
        <w:tc>
          <w:tcPr>
            <w:tcW w:w="1109" w:type="dxa"/>
            <w:shd w:val="clear" w:color="auto" w:fill="D9D9D9" w:themeFill="background1" w:themeFillShade="D9"/>
            <w:noWrap/>
            <w:vAlign w:val="bottom"/>
            <w:hideMark/>
          </w:tcPr>
          <w:p w14:paraId="3E981050" w14:textId="01BEF8E1" w:rsidR="00B05CD2" w:rsidRPr="00AD5B5C" w:rsidRDefault="00E1495D" w:rsidP="00B05CD2">
            <w:pPr>
              <w:ind w:firstLineChars="100" w:firstLine="221"/>
              <w:jc w:val="right"/>
              <w:rPr>
                <w:rFonts w:eastAsia="Times New Roman" w:cstheme="minorHAnsi"/>
                <w:color w:val="000000"/>
              </w:rPr>
            </w:pPr>
            <w:r>
              <w:rPr>
                <w:rFonts w:ascii="Calibri" w:hAnsi="Calibri" w:cs="Calibri"/>
                <w:b/>
                <w:bCs/>
                <w:color w:val="000000"/>
              </w:rPr>
              <w:t xml:space="preserve">3 </w:t>
            </w:r>
          </w:p>
        </w:tc>
        <w:tc>
          <w:tcPr>
            <w:tcW w:w="1109" w:type="dxa"/>
            <w:noWrap/>
            <w:vAlign w:val="bottom"/>
            <w:hideMark/>
          </w:tcPr>
          <w:p w14:paraId="6AB69897" w14:textId="798F808A" w:rsidR="00B05CD2" w:rsidRPr="00DF43A9" w:rsidRDefault="00B05CD2" w:rsidP="00B05CD2">
            <w:pPr>
              <w:jc w:val="right"/>
              <w:rPr>
                <w:rFonts w:eastAsia="Times New Roman" w:cstheme="minorHAnsi"/>
                <w:color w:val="000000"/>
              </w:rPr>
            </w:pPr>
            <w:r w:rsidRPr="00DF43A9">
              <w:rPr>
                <w:rFonts w:ascii="Calibri" w:hAnsi="Calibri" w:cs="Calibri"/>
                <w:color w:val="000000"/>
              </w:rPr>
              <w:t xml:space="preserve">    3 </w:t>
            </w:r>
          </w:p>
        </w:tc>
        <w:tc>
          <w:tcPr>
            <w:tcW w:w="942" w:type="dxa"/>
            <w:shd w:val="clear" w:color="auto" w:fill="D9D9D9" w:themeFill="background1" w:themeFillShade="D9"/>
            <w:noWrap/>
            <w:vAlign w:val="bottom"/>
            <w:hideMark/>
          </w:tcPr>
          <w:p w14:paraId="7A08B64A" w14:textId="1AA9BAE4" w:rsidR="00B05CD2" w:rsidRPr="00AD5B5C" w:rsidRDefault="00B05CD2" w:rsidP="00B05CD2">
            <w:pPr>
              <w:jc w:val="right"/>
              <w:rPr>
                <w:rFonts w:eastAsia="Times New Roman" w:cstheme="minorHAnsi"/>
                <w:color w:val="000000"/>
              </w:rPr>
            </w:pPr>
            <w:r>
              <w:rPr>
                <w:rFonts w:ascii="Calibri" w:hAnsi="Calibri" w:cs="Calibri"/>
                <w:color w:val="000000"/>
              </w:rPr>
              <w:t xml:space="preserve">63 </w:t>
            </w:r>
          </w:p>
        </w:tc>
        <w:tc>
          <w:tcPr>
            <w:tcW w:w="900" w:type="dxa"/>
            <w:noWrap/>
            <w:vAlign w:val="bottom"/>
            <w:hideMark/>
          </w:tcPr>
          <w:p w14:paraId="3B462221" w14:textId="76334D06" w:rsidR="00B05CD2" w:rsidRPr="00AD5B5C" w:rsidRDefault="00B05CD2" w:rsidP="00B05CD2">
            <w:pPr>
              <w:jc w:val="right"/>
              <w:rPr>
                <w:rFonts w:eastAsia="Times New Roman" w:cstheme="minorHAnsi"/>
                <w:color w:val="000000"/>
              </w:rPr>
            </w:pPr>
            <w:r>
              <w:rPr>
                <w:rFonts w:ascii="Calibri" w:hAnsi="Calibri" w:cs="Calibri"/>
                <w:color w:val="000000"/>
              </w:rPr>
              <w:t xml:space="preserve">37 </w:t>
            </w:r>
          </w:p>
        </w:tc>
      </w:tr>
      <w:tr w:rsidR="0057238F" w:rsidRPr="004E6649" w14:paraId="013C4005" w14:textId="77777777" w:rsidTr="00DF43A9">
        <w:trPr>
          <w:trHeight w:val="80"/>
          <w:jc w:val="center"/>
        </w:trPr>
        <w:tc>
          <w:tcPr>
            <w:tcW w:w="4950" w:type="dxa"/>
            <w:noWrap/>
            <w:vAlign w:val="bottom"/>
            <w:hideMark/>
          </w:tcPr>
          <w:p w14:paraId="42FE928D" w14:textId="77777777" w:rsidR="00B05CD2" w:rsidRPr="00AD5B5C" w:rsidRDefault="00B05CD2" w:rsidP="00B05CD2">
            <w:pPr>
              <w:ind w:firstLineChars="100" w:firstLine="220"/>
              <w:rPr>
                <w:rFonts w:eastAsia="Times New Roman" w:cstheme="minorHAnsi"/>
                <w:color w:val="000000"/>
              </w:rPr>
            </w:pPr>
            <w:r w:rsidRPr="00AD5B5C">
              <w:rPr>
                <w:rFonts w:eastAsia="Times New Roman" w:cstheme="minorHAnsi"/>
                <w:color w:val="000000"/>
              </w:rPr>
              <w:t>Gifts currently expendable</w:t>
            </w:r>
          </w:p>
        </w:tc>
        <w:tc>
          <w:tcPr>
            <w:tcW w:w="900" w:type="dxa"/>
            <w:noWrap/>
            <w:vAlign w:val="bottom"/>
            <w:hideMark/>
          </w:tcPr>
          <w:p w14:paraId="3B490583" w14:textId="298905E7" w:rsidR="00B05CD2" w:rsidRPr="00AD5B5C" w:rsidRDefault="00B05CD2" w:rsidP="00B05CD2">
            <w:pPr>
              <w:ind w:firstLineChars="100" w:firstLine="221"/>
              <w:jc w:val="right"/>
              <w:rPr>
                <w:rFonts w:eastAsia="Times New Roman" w:cstheme="minorHAnsi"/>
                <w:color w:val="000000"/>
              </w:rPr>
            </w:pPr>
            <w:r>
              <w:rPr>
                <w:rFonts w:ascii="Calibri" w:hAnsi="Calibri" w:cs="Calibri"/>
                <w:b/>
                <w:bCs/>
                <w:color w:val="000000"/>
              </w:rPr>
              <w:t xml:space="preserve">27 </w:t>
            </w:r>
          </w:p>
        </w:tc>
        <w:tc>
          <w:tcPr>
            <w:tcW w:w="1109" w:type="dxa"/>
            <w:shd w:val="clear" w:color="auto" w:fill="D9D9D9" w:themeFill="background1" w:themeFillShade="D9"/>
            <w:noWrap/>
            <w:vAlign w:val="bottom"/>
            <w:hideMark/>
          </w:tcPr>
          <w:p w14:paraId="7B6547B5" w14:textId="6A83883F" w:rsidR="00B05CD2" w:rsidRPr="00AD5B5C" w:rsidRDefault="00B05CD2" w:rsidP="00B05CD2">
            <w:pPr>
              <w:ind w:firstLineChars="100" w:firstLine="221"/>
              <w:jc w:val="right"/>
              <w:rPr>
                <w:rFonts w:eastAsia="Times New Roman" w:cstheme="minorHAnsi"/>
                <w:color w:val="000000"/>
              </w:rPr>
            </w:pPr>
            <w:r>
              <w:rPr>
                <w:rFonts w:ascii="Calibri" w:hAnsi="Calibri" w:cs="Calibri"/>
                <w:b/>
                <w:bCs/>
                <w:color w:val="000000"/>
              </w:rPr>
              <w:t xml:space="preserve">28 </w:t>
            </w:r>
          </w:p>
        </w:tc>
        <w:tc>
          <w:tcPr>
            <w:tcW w:w="1109" w:type="dxa"/>
            <w:noWrap/>
            <w:vAlign w:val="bottom"/>
            <w:hideMark/>
          </w:tcPr>
          <w:p w14:paraId="777CD1C7" w14:textId="508D8737" w:rsidR="00B05CD2" w:rsidRPr="00DF43A9" w:rsidRDefault="00B05CD2" w:rsidP="00B05CD2">
            <w:pPr>
              <w:jc w:val="right"/>
              <w:rPr>
                <w:rFonts w:eastAsia="Times New Roman" w:cstheme="minorHAnsi"/>
                <w:color w:val="000000"/>
              </w:rPr>
            </w:pPr>
            <w:r w:rsidRPr="00DF43A9">
              <w:rPr>
                <w:rFonts w:ascii="Calibri" w:hAnsi="Calibri" w:cs="Calibri"/>
                <w:color w:val="000000"/>
              </w:rPr>
              <w:t xml:space="preserve">  29 </w:t>
            </w:r>
          </w:p>
        </w:tc>
        <w:tc>
          <w:tcPr>
            <w:tcW w:w="942" w:type="dxa"/>
            <w:shd w:val="clear" w:color="auto" w:fill="D9D9D9" w:themeFill="background1" w:themeFillShade="D9"/>
            <w:noWrap/>
            <w:vAlign w:val="bottom"/>
            <w:hideMark/>
          </w:tcPr>
          <w:p w14:paraId="0A88B635" w14:textId="67987153" w:rsidR="00B05CD2" w:rsidRPr="00AD5B5C" w:rsidRDefault="00B05CD2" w:rsidP="00B05CD2">
            <w:pPr>
              <w:jc w:val="right"/>
              <w:rPr>
                <w:rFonts w:eastAsia="Times New Roman" w:cstheme="minorHAnsi"/>
                <w:color w:val="000000"/>
              </w:rPr>
            </w:pPr>
            <w:r>
              <w:rPr>
                <w:rFonts w:ascii="Calibri" w:hAnsi="Calibri" w:cs="Calibri"/>
                <w:color w:val="000000"/>
              </w:rPr>
              <w:t xml:space="preserve">20 </w:t>
            </w:r>
          </w:p>
        </w:tc>
        <w:tc>
          <w:tcPr>
            <w:tcW w:w="900" w:type="dxa"/>
            <w:noWrap/>
            <w:vAlign w:val="bottom"/>
            <w:hideMark/>
          </w:tcPr>
          <w:p w14:paraId="39C2CCEC" w14:textId="616806EA" w:rsidR="00B05CD2" w:rsidRPr="00AD5B5C" w:rsidRDefault="00B05CD2" w:rsidP="00B05CD2">
            <w:pPr>
              <w:jc w:val="right"/>
              <w:rPr>
                <w:rFonts w:eastAsia="Times New Roman" w:cstheme="minorHAnsi"/>
                <w:color w:val="000000"/>
              </w:rPr>
            </w:pPr>
            <w:r>
              <w:rPr>
                <w:rFonts w:ascii="Calibri" w:hAnsi="Calibri" w:cs="Calibri"/>
                <w:color w:val="000000"/>
              </w:rPr>
              <w:t xml:space="preserve">19 </w:t>
            </w:r>
          </w:p>
        </w:tc>
      </w:tr>
      <w:tr w:rsidR="0057238F" w:rsidRPr="004E6649" w14:paraId="5BF3A782" w14:textId="77777777" w:rsidTr="00DF43A9">
        <w:trPr>
          <w:trHeight w:val="80"/>
          <w:jc w:val="center"/>
        </w:trPr>
        <w:tc>
          <w:tcPr>
            <w:tcW w:w="4950" w:type="dxa"/>
            <w:noWrap/>
            <w:vAlign w:val="bottom"/>
            <w:hideMark/>
          </w:tcPr>
          <w:p w14:paraId="7F70C1D3" w14:textId="77777777" w:rsidR="00B05CD2" w:rsidRPr="00AD5B5C" w:rsidRDefault="00B05CD2" w:rsidP="00B05CD2">
            <w:pPr>
              <w:ind w:firstLineChars="100" w:firstLine="220"/>
              <w:rPr>
                <w:rFonts w:eastAsia="Times New Roman" w:cstheme="minorHAnsi"/>
                <w:color w:val="000000"/>
              </w:rPr>
            </w:pPr>
            <w:r w:rsidRPr="00AD5B5C">
              <w:rPr>
                <w:rFonts w:eastAsia="Times New Roman" w:cstheme="minorHAnsi"/>
                <w:color w:val="000000"/>
              </w:rPr>
              <w:t>Endowment return used for operations</w:t>
            </w:r>
          </w:p>
        </w:tc>
        <w:tc>
          <w:tcPr>
            <w:tcW w:w="900" w:type="dxa"/>
            <w:noWrap/>
            <w:vAlign w:val="bottom"/>
            <w:hideMark/>
          </w:tcPr>
          <w:p w14:paraId="23C8BCD5" w14:textId="22EC6EC7" w:rsidR="00B05CD2" w:rsidRPr="00AD5B5C" w:rsidRDefault="00B05CD2" w:rsidP="00B05CD2">
            <w:pPr>
              <w:ind w:firstLineChars="100" w:firstLine="221"/>
              <w:jc w:val="right"/>
              <w:rPr>
                <w:rFonts w:eastAsia="Times New Roman" w:cstheme="minorHAnsi"/>
                <w:color w:val="000000"/>
              </w:rPr>
            </w:pPr>
            <w:r>
              <w:rPr>
                <w:rFonts w:ascii="Calibri" w:hAnsi="Calibri" w:cs="Calibri"/>
                <w:b/>
                <w:bCs/>
                <w:color w:val="000000"/>
              </w:rPr>
              <w:t xml:space="preserve">7 </w:t>
            </w:r>
          </w:p>
        </w:tc>
        <w:tc>
          <w:tcPr>
            <w:tcW w:w="1109" w:type="dxa"/>
            <w:shd w:val="clear" w:color="auto" w:fill="D9D9D9" w:themeFill="background1" w:themeFillShade="D9"/>
            <w:noWrap/>
            <w:vAlign w:val="bottom"/>
            <w:hideMark/>
          </w:tcPr>
          <w:p w14:paraId="6700FC16" w14:textId="74836A87" w:rsidR="00B05CD2" w:rsidRPr="00AD5B5C" w:rsidRDefault="00B05CD2" w:rsidP="00B05CD2">
            <w:pPr>
              <w:ind w:firstLineChars="100" w:firstLine="221"/>
              <w:jc w:val="right"/>
              <w:rPr>
                <w:rFonts w:eastAsia="Times New Roman" w:cstheme="minorHAnsi"/>
                <w:color w:val="000000"/>
              </w:rPr>
            </w:pPr>
            <w:r>
              <w:rPr>
                <w:rFonts w:ascii="Calibri" w:hAnsi="Calibri" w:cs="Calibri"/>
                <w:b/>
                <w:bCs/>
                <w:color w:val="000000"/>
              </w:rPr>
              <w:t xml:space="preserve">7 </w:t>
            </w:r>
          </w:p>
        </w:tc>
        <w:tc>
          <w:tcPr>
            <w:tcW w:w="1109" w:type="dxa"/>
            <w:noWrap/>
            <w:vAlign w:val="bottom"/>
            <w:hideMark/>
          </w:tcPr>
          <w:p w14:paraId="2BD3C77D" w14:textId="67EAAA7D" w:rsidR="00B05CD2" w:rsidRPr="00DF43A9" w:rsidRDefault="00B05CD2" w:rsidP="00B05CD2">
            <w:pPr>
              <w:jc w:val="right"/>
              <w:rPr>
                <w:rFonts w:eastAsia="Times New Roman" w:cstheme="minorHAnsi"/>
                <w:color w:val="000000"/>
              </w:rPr>
            </w:pPr>
            <w:r w:rsidRPr="00DF43A9">
              <w:rPr>
                <w:rFonts w:ascii="Calibri" w:hAnsi="Calibri" w:cs="Calibri"/>
                <w:color w:val="000000"/>
              </w:rPr>
              <w:t xml:space="preserve">    6 </w:t>
            </w:r>
          </w:p>
        </w:tc>
        <w:tc>
          <w:tcPr>
            <w:tcW w:w="942" w:type="dxa"/>
            <w:shd w:val="clear" w:color="auto" w:fill="D9D9D9" w:themeFill="background1" w:themeFillShade="D9"/>
            <w:noWrap/>
            <w:vAlign w:val="bottom"/>
            <w:hideMark/>
          </w:tcPr>
          <w:p w14:paraId="7698C4AC" w14:textId="231AFFE1" w:rsidR="00B05CD2" w:rsidRPr="00AD5B5C" w:rsidRDefault="00B05CD2" w:rsidP="00B05CD2">
            <w:pPr>
              <w:jc w:val="right"/>
              <w:rPr>
                <w:rFonts w:eastAsia="Times New Roman" w:cstheme="minorHAnsi"/>
                <w:color w:val="000000"/>
              </w:rPr>
            </w:pPr>
            <w:r>
              <w:rPr>
                <w:rFonts w:ascii="Calibri" w:hAnsi="Calibri" w:cs="Calibri"/>
                <w:color w:val="000000"/>
              </w:rPr>
              <w:t xml:space="preserve">  6 </w:t>
            </w:r>
          </w:p>
        </w:tc>
        <w:tc>
          <w:tcPr>
            <w:tcW w:w="900" w:type="dxa"/>
            <w:noWrap/>
            <w:vAlign w:val="bottom"/>
            <w:hideMark/>
          </w:tcPr>
          <w:p w14:paraId="5DBDF883" w14:textId="6D5E63D4" w:rsidR="00B05CD2" w:rsidRPr="00AD5B5C" w:rsidRDefault="00B05CD2" w:rsidP="00B05CD2">
            <w:pPr>
              <w:jc w:val="right"/>
              <w:rPr>
                <w:rFonts w:eastAsia="Times New Roman" w:cstheme="minorHAnsi"/>
                <w:color w:val="000000"/>
              </w:rPr>
            </w:pPr>
            <w:r>
              <w:rPr>
                <w:rFonts w:ascii="Calibri" w:hAnsi="Calibri" w:cs="Calibri"/>
                <w:color w:val="000000"/>
              </w:rPr>
              <w:t xml:space="preserve">6 </w:t>
            </w:r>
          </w:p>
        </w:tc>
      </w:tr>
      <w:tr w:rsidR="0057238F" w:rsidRPr="004E6649" w14:paraId="78D33ED1" w14:textId="77777777" w:rsidTr="00DF43A9">
        <w:trPr>
          <w:trHeight w:val="80"/>
          <w:jc w:val="center"/>
        </w:trPr>
        <w:tc>
          <w:tcPr>
            <w:tcW w:w="4950" w:type="dxa"/>
            <w:noWrap/>
            <w:vAlign w:val="bottom"/>
            <w:hideMark/>
          </w:tcPr>
          <w:p w14:paraId="2D6E11FA" w14:textId="77777777" w:rsidR="00B05CD2" w:rsidRPr="00AD5B5C" w:rsidRDefault="00B05CD2" w:rsidP="00B05CD2">
            <w:pPr>
              <w:ind w:firstLineChars="100" w:firstLine="220"/>
              <w:rPr>
                <w:rFonts w:eastAsia="Times New Roman" w:cstheme="minorHAnsi"/>
                <w:color w:val="000000"/>
              </w:rPr>
            </w:pPr>
            <w:r w:rsidRPr="00AD5B5C">
              <w:rPr>
                <w:rFonts w:eastAsia="Times New Roman" w:cstheme="minorHAnsi"/>
                <w:color w:val="000000"/>
              </w:rPr>
              <w:t>Investment income (loss)</w:t>
            </w:r>
          </w:p>
        </w:tc>
        <w:tc>
          <w:tcPr>
            <w:tcW w:w="900" w:type="dxa"/>
            <w:noWrap/>
            <w:vAlign w:val="bottom"/>
            <w:hideMark/>
          </w:tcPr>
          <w:p w14:paraId="72B45EF0" w14:textId="3B3EDA80" w:rsidR="00B05CD2" w:rsidRPr="00AD5B5C" w:rsidRDefault="00B05CD2" w:rsidP="00B05CD2">
            <w:pPr>
              <w:ind w:firstLineChars="100" w:firstLine="221"/>
              <w:jc w:val="right"/>
              <w:rPr>
                <w:rFonts w:eastAsia="Times New Roman" w:cstheme="minorHAnsi"/>
                <w:color w:val="000000"/>
              </w:rPr>
            </w:pPr>
            <w:r>
              <w:rPr>
                <w:rFonts w:ascii="Calibri" w:hAnsi="Calibri" w:cs="Calibri"/>
                <w:b/>
                <w:bCs/>
                <w:color w:val="000000"/>
              </w:rPr>
              <w:t xml:space="preserve">20 </w:t>
            </w:r>
          </w:p>
        </w:tc>
        <w:tc>
          <w:tcPr>
            <w:tcW w:w="1109" w:type="dxa"/>
            <w:shd w:val="clear" w:color="auto" w:fill="D9D9D9" w:themeFill="background1" w:themeFillShade="D9"/>
            <w:noWrap/>
            <w:vAlign w:val="bottom"/>
            <w:hideMark/>
          </w:tcPr>
          <w:p w14:paraId="0CAB0318" w14:textId="04D9A64B" w:rsidR="00B05CD2" w:rsidRPr="00AD5B5C" w:rsidRDefault="00B05CD2" w:rsidP="00B05CD2">
            <w:pPr>
              <w:ind w:firstLineChars="100" w:firstLine="221"/>
              <w:jc w:val="right"/>
              <w:rPr>
                <w:rFonts w:eastAsia="Times New Roman" w:cstheme="minorHAnsi"/>
                <w:color w:val="000000"/>
              </w:rPr>
            </w:pPr>
            <w:r>
              <w:rPr>
                <w:rFonts w:ascii="Calibri" w:hAnsi="Calibri" w:cs="Calibri"/>
                <w:b/>
                <w:bCs/>
                <w:color w:val="000000"/>
              </w:rPr>
              <w:t xml:space="preserve">21 </w:t>
            </w:r>
          </w:p>
        </w:tc>
        <w:tc>
          <w:tcPr>
            <w:tcW w:w="1109" w:type="dxa"/>
            <w:noWrap/>
            <w:vAlign w:val="bottom"/>
            <w:hideMark/>
          </w:tcPr>
          <w:p w14:paraId="17A26465" w14:textId="731A31EB" w:rsidR="00B05CD2" w:rsidRPr="00DF43A9" w:rsidRDefault="00B05CD2" w:rsidP="00B05CD2">
            <w:pPr>
              <w:jc w:val="right"/>
              <w:rPr>
                <w:rFonts w:eastAsia="Times New Roman" w:cstheme="minorHAnsi"/>
                <w:color w:val="000000"/>
              </w:rPr>
            </w:pPr>
            <w:r w:rsidRPr="00DF43A9">
              <w:rPr>
                <w:rFonts w:ascii="Calibri" w:hAnsi="Calibri" w:cs="Calibri"/>
                <w:color w:val="000000"/>
              </w:rPr>
              <w:t xml:space="preserve">  13 </w:t>
            </w:r>
          </w:p>
        </w:tc>
        <w:tc>
          <w:tcPr>
            <w:tcW w:w="942" w:type="dxa"/>
            <w:shd w:val="clear" w:color="auto" w:fill="D9D9D9" w:themeFill="background1" w:themeFillShade="D9"/>
            <w:noWrap/>
            <w:vAlign w:val="bottom"/>
            <w:hideMark/>
          </w:tcPr>
          <w:p w14:paraId="4BF244C4" w14:textId="541FF724" w:rsidR="00B05CD2" w:rsidRPr="00AD5B5C" w:rsidRDefault="00B05CD2" w:rsidP="00B05CD2">
            <w:pPr>
              <w:jc w:val="right"/>
              <w:rPr>
                <w:rFonts w:eastAsia="Times New Roman" w:cstheme="minorHAnsi"/>
                <w:color w:val="000000"/>
              </w:rPr>
            </w:pPr>
            <w:r>
              <w:rPr>
                <w:rFonts w:ascii="Calibri" w:hAnsi="Calibri" w:cs="Calibri"/>
                <w:color w:val="000000"/>
              </w:rPr>
              <w:t>(14)</w:t>
            </w:r>
          </w:p>
        </w:tc>
        <w:tc>
          <w:tcPr>
            <w:tcW w:w="900" w:type="dxa"/>
            <w:noWrap/>
            <w:vAlign w:val="bottom"/>
            <w:hideMark/>
          </w:tcPr>
          <w:p w14:paraId="2844F762" w14:textId="4428EF45" w:rsidR="00B05CD2" w:rsidRPr="00AD5B5C" w:rsidRDefault="00B05CD2" w:rsidP="00B05CD2">
            <w:pPr>
              <w:jc w:val="right"/>
              <w:rPr>
                <w:rFonts w:eastAsia="Times New Roman" w:cstheme="minorHAnsi"/>
                <w:color w:val="000000"/>
              </w:rPr>
            </w:pPr>
            <w:r>
              <w:rPr>
                <w:rFonts w:ascii="Calibri" w:hAnsi="Calibri" w:cs="Calibri"/>
                <w:color w:val="000000"/>
              </w:rPr>
              <w:t xml:space="preserve">22 </w:t>
            </w:r>
          </w:p>
        </w:tc>
      </w:tr>
      <w:tr w:rsidR="0057238F" w:rsidRPr="004E6649" w14:paraId="7FF8AD3C" w14:textId="77777777" w:rsidTr="00DF43A9">
        <w:trPr>
          <w:trHeight w:val="80"/>
          <w:jc w:val="center"/>
        </w:trPr>
        <w:tc>
          <w:tcPr>
            <w:tcW w:w="4950" w:type="dxa"/>
            <w:tcBorders>
              <w:bottom w:val="single" w:sz="4" w:space="0" w:color="00688D"/>
            </w:tcBorders>
            <w:noWrap/>
            <w:vAlign w:val="bottom"/>
            <w:hideMark/>
          </w:tcPr>
          <w:p w14:paraId="5B1DDE6C" w14:textId="77777777" w:rsidR="00B05CD2" w:rsidRPr="00AD5B5C" w:rsidRDefault="00B05CD2" w:rsidP="00B05CD2">
            <w:pPr>
              <w:ind w:firstLineChars="100" w:firstLine="220"/>
              <w:rPr>
                <w:rFonts w:eastAsia="Times New Roman" w:cstheme="minorHAnsi"/>
                <w:color w:val="000000"/>
              </w:rPr>
            </w:pPr>
            <w:r w:rsidRPr="00AD5B5C">
              <w:rPr>
                <w:rFonts w:eastAsia="Times New Roman" w:cstheme="minorHAnsi"/>
                <w:color w:val="000000"/>
              </w:rPr>
              <w:t>Interest expense, net</w:t>
            </w:r>
          </w:p>
        </w:tc>
        <w:tc>
          <w:tcPr>
            <w:tcW w:w="900" w:type="dxa"/>
            <w:tcBorders>
              <w:bottom w:val="single" w:sz="4" w:space="0" w:color="00688D"/>
            </w:tcBorders>
            <w:noWrap/>
            <w:vAlign w:val="bottom"/>
            <w:hideMark/>
          </w:tcPr>
          <w:p w14:paraId="23EAB0E0" w14:textId="07C5D1DF" w:rsidR="00B05CD2" w:rsidRPr="00AD5B5C" w:rsidRDefault="00B05CD2" w:rsidP="00B05CD2">
            <w:pPr>
              <w:ind w:firstLineChars="100" w:firstLine="221"/>
              <w:jc w:val="right"/>
              <w:rPr>
                <w:rFonts w:eastAsia="Times New Roman" w:cstheme="minorHAnsi"/>
                <w:color w:val="000000"/>
              </w:rPr>
            </w:pPr>
            <w:r>
              <w:rPr>
                <w:rFonts w:ascii="Calibri" w:hAnsi="Calibri" w:cs="Calibri"/>
                <w:b/>
                <w:bCs/>
                <w:color w:val="000000"/>
              </w:rPr>
              <w:t xml:space="preserve"> (9)</w:t>
            </w:r>
          </w:p>
        </w:tc>
        <w:tc>
          <w:tcPr>
            <w:tcW w:w="1109" w:type="dxa"/>
            <w:tcBorders>
              <w:bottom w:val="single" w:sz="4" w:space="0" w:color="00688D"/>
            </w:tcBorders>
            <w:shd w:val="clear" w:color="auto" w:fill="D9D9D9" w:themeFill="background1" w:themeFillShade="D9"/>
            <w:noWrap/>
            <w:vAlign w:val="bottom"/>
            <w:hideMark/>
          </w:tcPr>
          <w:p w14:paraId="7D903A78" w14:textId="492A103B" w:rsidR="00B05CD2" w:rsidRPr="00AD5B5C" w:rsidRDefault="00B05CD2" w:rsidP="00B05CD2">
            <w:pPr>
              <w:ind w:firstLineChars="100" w:firstLine="221"/>
              <w:jc w:val="right"/>
              <w:rPr>
                <w:rFonts w:eastAsia="Times New Roman" w:cstheme="minorHAnsi"/>
                <w:color w:val="000000"/>
              </w:rPr>
            </w:pPr>
            <w:r>
              <w:rPr>
                <w:rFonts w:ascii="Calibri" w:hAnsi="Calibri" w:cs="Calibri"/>
                <w:b/>
                <w:bCs/>
                <w:color w:val="000000"/>
              </w:rPr>
              <w:t xml:space="preserve"> (9)</w:t>
            </w:r>
          </w:p>
        </w:tc>
        <w:tc>
          <w:tcPr>
            <w:tcW w:w="1109" w:type="dxa"/>
            <w:tcBorders>
              <w:bottom w:val="single" w:sz="4" w:space="0" w:color="00688D"/>
            </w:tcBorders>
            <w:noWrap/>
            <w:vAlign w:val="bottom"/>
            <w:hideMark/>
          </w:tcPr>
          <w:p w14:paraId="211FF72C" w14:textId="0F3AF9DA" w:rsidR="00B05CD2" w:rsidRPr="00DF43A9" w:rsidRDefault="00B05CD2" w:rsidP="00B05CD2">
            <w:pPr>
              <w:jc w:val="right"/>
              <w:rPr>
                <w:rFonts w:eastAsia="Times New Roman" w:cstheme="minorHAnsi"/>
                <w:color w:val="000000"/>
              </w:rPr>
            </w:pPr>
            <w:r w:rsidRPr="00DF43A9">
              <w:rPr>
                <w:rFonts w:ascii="Calibri" w:hAnsi="Calibri" w:cs="Calibri"/>
                <w:color w:val="000000"/>
              </w:rPr>
              <w:t>(8)</w:t>
            </w:r>
          </w:p>
        </w:tc>
        <w:tc>
          <w:tcPr>
            <w:tcW w:w="942" w:type="dxa"/>
            <w:tcBorders>
              <w:bottom w:val="single" w:sz="4" w:space="0" w:color="00688D"/>
            </w:tcBorders>
            <w:shd w:val="clear" w:color="auto" w:fill="D9D9D9" w:themeFill="background1" w:themeFillShade="D9"/>
            <w:noWrap/>
            <w:vAlign w:val="bottom"/>
            <w:hideMark/>
          </w:tcPr>
          <w:p w14:paraId="625A03E9" w14:textId="1C934B99" w:rsidR="00B05CD2" w:rsidRPr="00AD5B5C" w:rsidRDefault="00B05CD2" w:rsidP="00B05CD2">
            <w:pPr>
              <w:jc w:val="right"/>
              <w:rPr>
                <w:rFonts w:eastAsia="Times New Roman" w:cstheme="minorHAnsi"/>
                <w:color w:val="000000"/>
              </w:rPr>
            </w:pPr>
            <w:r>
              <w:rPr>
                <w:rFonts w:ascii="Calibri" w:hAnsi="Calibri" w:cs="Calibri"/>
                <w:color w:val="000000"/>
              </w:rPr>
              <w:t xml:space="preserve">  (4)</w:t>
            </w:r>
          </w:p>
        </w:tc>
        <w:tc>
          <w:tcPr>
            <w:tcW w:w="900" w:type="dxa"/>
            <w:tcBorders>
              <w:bottom w:val="single" w:sz="4" w:space="0" w:color="00688D"/>
            </w:tcBorders>
            <w:noWrap/>
            <w:vAlign w:val="bottom"/>
            <w:hideMark/>
          </w:tcPr>
          <w:p w14:paraId="3254F2F0" w14:textId="271ED364" w:rsidR="00B05CD2" w:rsidRPr="00AD5B5C" w:rsidRDefault="00B05CD2" w:rsidP="00B05CD2">
            <w:pPr>
              <w:jc w:val="right"/>
              <w:rPr>
                <w:rFonts w:eastAsia="Times New Roman" w:cstheme="minorHAnsi"/>
                <w:color w:val="000000"/>
              </w:rPr>
            </w:pPr>
            <w:r>
              <w:rPr>
                <w:rFonts w:ascii="Calibri" w:hAnsi="Calibri" w:cs="Calibri"/>
                <w:color w:val="000000"/>
              </w:rPr>
              <w:t xml:space="preserve"> (4)</w:t>
            </w:r>
          </w:p>
        </w:tc>
      </w:tr>
      <w:tr w:rsidR="0057238F" w:rsidRPr="004E6649" w14:paraId="4F9B1831" w14:textId="77777777" w:rsidTr="00DF43A9">
        <w:trPr>
          <w:trHeight w:val="80"/>
          <w:jc w:val="center"/>
        </w:trPr>
        <w:tc>
          <w:tcPr>
            <w:tcW w:w="4950" w:type="dxa"/>
            <w:tcBorders>
              <w:top w:val="single" w:sz="4" w:space="0" w:color="00688D"/>
              <w:bottom w:val="single" w:sz="4" w:space="0" w:color="auto"/>
            </w:tcBorders>
            <w:noWrap/>
            <w:vAlign w:val="bottom"/>
            <w:hideMark/>
          </w:tcPr>
          <w:p w14:paraId="021AE504" w14:textId="77777777" w:rsidR="00B05CD2" w:rsidRPr="00AD5B5C" w:rsidRDefault="00B05CD2" w:rsidP="00B05CD2">
            <w:pPr>
              <w:rPr>
                <w:rFonts w:eastAsia="Times New Roman" w:cstheme="minorHAnsi"/>
                <w:color w:val="000000"/>
              </w:rPr>
            </w:pPr>
            <w:r w:rsidRPr="00AD5B5C">
              <w:rPr>
                <w:rFonts w:eastAsia="Times New Roman" w:cstheme="minorHAnsi"/>
                <w:color w:val="000000"/>
              </w:rPr>
              <w:t>Net Nonoperating Revenues (Expenses)</w:t>
            </w:r>
          </w:p>
        </w:tc>
        <w:tc>
          <w:tcPr>
            <w:tcW w:w="900" w:type="dxa"/>
            <w:tcBorders>
              <w:top w:val="single" w:sz="4" w:space="0" w:color="00688D"/>
              <w:bottom w:val="single" w:sz="4" w:space="0" w:color="auto"/>
            </w:tcBorders>
            <w:noWrap/>
            <w:vAlign w:val="bottom"/>
            <w:hideMark/>
          </w:tcPr>
          <w:p w14:paraId="5CD074A3" w14:textId="042BE440" w:rsidR="00B05CD2" w:rsidRPr="00AD5B5C" w:rsidRDefault="00B05CD2" w:rsidP="00B05CD2">
            <w:pPr>
              <w:jc w:val="right"/>
              <w:rPr>
                <w:rFonts w:eastAsia="Times New Roman" w:cstheme="minorHAnsi"/>
                <w:color w:val="000000"/>
              </w:rPr>
            </w:pPr>
            <w:r>
              <w:rPr>
                <w:rFonts w:ascii="Calibri" w:hAnsi="Calibri" w:cs="Calibri"/>
                <w:b/>
                <w:bCs/>
                <w:color w:val="000000"/>
              </w:rPr>
              <w:t xml:space="preserve">364 </w:t>
            </w:r>
          </w:p>
        </w:tc>
        <w:tc>
          <w:tcPr>
            <w:tcW w:w="1109" w:type="dxa"/>
            <w:tcBorders>
              <w:top w:val="single" w:sz="4" w:space="0" w:color="00688D"/>
              <w:bottom w:val="single" w:sz="4" w:space="0" w:color="auto"/>
            </w:tcBorders>
            <w:shd w:val="clear" w:color="auto" w:fill="D9D9D9" w:themeFill="background1" w:themeFillShade="D9"/>
            <w:noWrap/>
            <w:vAlign w:val="bottom"/>
            <w:hideMark/>
          </w:tcPr>
          <w:p w14:paraId="4417752C" w14:textId="1E35F36D" w:rsidR="00B05CD2" w:rsidRPr="00AD5B5C" w:rsidRDefault="00E1495D" w:rsidP="00B05CD2">
            <w:pPr>
              <w:jc w:val="right"/>
              <w:rPr>
                <w:rFonts w:eastAsia="Times New Roman" w:cstheme="minorHAnsi"/>
                <w:color w:val="000000"/>
              </w:rPr>
            </w:pPr>
            <w:r>
              <w:rPr>
                <w:rFonts w:ascii="Calibri" w:hAnsi="Calibri" w:cs="Calibri"/>
                <w:b/>
                <w:bCs/>
                <w:color w:val="000000"/>
              </w:rPr>
              <w:t xml:space="preserve">347 </w:t>
            </w:r>
          </w:p>
        </w:tc>
        <w:tc>
          <w:tcPr>
            <w:tcW w:w="1109" w:type="dxa"/>
            <w:tcBorders>
              <w:top w:val="single" w:sz="4" w:space="0" w:color="00688D"/>
              <w:bottom w:val="single" w:sz="4" w:space="0" w:color="auto"/>
            </w:tcBorders>
            <w:noWrap/>
            <w:vAlign w:val="bottom"/>
            <w:hideMark/>
          </w:tcPr>
          <w:p w14:paraId="52F6EF4D" w14:textId="3241B4C4" w:rsidR="00B05CD2" w:rsidRPr="00DF43A9" w:rsidRDefault="00B05CD2" w:rsidP="00B05CD2">
            <w:pPr>
              <w:jc w:val="right"/>
              <w:rPr>
                <w:rFonts w:eastAsia="Times New Roman" w:cstheme="minorHAnsi"/>
                <w:color w:val="000000"/>
              </w:rPr>
            </w:pPr>
            <w:r w:rsidRPr="00DF43A9">
              <w:rPr>
                <w:rFonts w:ascii="Calibri" w:hAnsi="Calibri" w:cs="Calibri"/>
                <w:color w:val="000000"/>
              </w:rPr>
              <w:t xml:space="preserve">323 </w:t>
            </w:r>
          </w:p>
        </w:tc>
        <w:tc>
          <w:tcPr>
            <w:tcW w:w="942" w:type="dxa"/>
            <w:tcBorders>
              <w:top w:val="single" w:sz="4" w:space="0" w:color="00688D"/>
              <w:bottom w:val="single" w:sz="4" w:space="0" w:color="auto"/>
            </w:tcBorders>
            <w:shd w:val="clear" w:color="auto" w:fill="D9D9D9" w:themeFill="background1" w:themeFillShade="D9"/>
            <w:noWrap/>
            <w:vAlign w:val="bottom"/>
            <w:hideMark/>
          </w:tcPr>
          <w:p w14:paraId="66474067" w14:textId="3867E317" w:rsidR="00B05CD2" w:rsidRPr="00AD5B5C" w:rsidRDefault="00B05CD2" w:rsidP="00B05CD2">
            <w:pPr>
              <w:jc w:val="right"/>
              <w:rPr>
                <w:rFonts w:eastAsia="Times New Roman" w:cstheme="minorHAnsi"/>
                <w:color w:val="000000"/>
              </w:rPr>
            </w:pPr>
            <w:r>
              <w:rPr>
                <w:rFonts w:ascii="Calibri" w:hAnsi="Calibri" w:cs="Calibri"/>
                <w:color w:val="000000"/>
              </w:rPr>
              <w:t xml:space="preserve">334 </w:t>
            </w:r>
          </w:p>
        </w:tc>
        <w:tc>
          <w:tcPr>
            <w:tcW w:w="900" w:type="dxa"/>
            <w:tcBorders>
              <w:top w:val="single" w:sz="4" w:space="0" w:color="00688D"/>
              <w:bottom w:val="single" w:sz="4" w:space="0" w:color="auto"/>
            </w:tcBorders>
            <w:noWrap/>
            <w:vAlign w:val="bottom"/>
            <w:hideMark/>
          </w:tcPr>
          <w:p w14:paraId="567E8AAE" w14:textId="4741EEDD" w:rsidR="00B05CD2" w:rsidRPr="00AD5B5C" w:rsidRDefault="00B05CD2" w:rsidP="00B05CD2">
            <w:pPr>
              <w:jc w:val="right"/>
              <w:rPr>
                <w:rFonts w:eastAsia="Times New Roman" w:cstheme="minorHAnsi"/>
                <w:color w:val="000000"/>
              </w:rPr>
            </w:pPr>
            <w:r>
              <w:rPr>
                <w:rFonts w:ascii="Calibri" w:hAnsi="Calibri" w:cs="Calibri"/>
                <w:color w:val="000000"/>
              </w:rPr>
              <w:t xml:space="preserve">333 </w:t>
            </w:r>
          </w:p>
        </w:tc>
      </w:tr>
      <w:tr w:rsidR="0057238F" w:rsidRPr="004E6649" w14:paraId="1C45D52B" w14:textId="77777777" w:rsidTr="00DF43A9">
        <w:trPr>
          <w:trHeight w:val="98"/>
          <w:jc w:val="center"/>
        </w:trPr>
        <w:tc>
          <w:tcPr>
            <w:tcW w:w="4950" w:type="dxa"/>
            <w:tcBorders>
              <w:top w:val="single" w:sz="4" w:space="0" w:color="auto"/>
              <w:bottom w:val="single" w:sz="4" w:space="0" w:color="auto"/>
            </w:tcBorders>
            <w:noWrap/>
            <w:vAlign w:val="bottom"/>
            <w:hideMark/>
          </w:tcPr>
          <w:p w14:paraId="0BFBE79F" w14:textId="77777777" w:rsidR="00B05CD2" w:rsidRPr="00AD5B5C" w:rsidRDefault="00B05CD2" w:rsidP="00B05CD2">
            <w:pPr>
              <w:rPr>
                <w:rFonts w:eastAsia="Times New Roman" w:cstheme="minorHAnsi"/>
                <w:color w:val="000000"/>
              </w:rPr>
            </w:pPr>
            <w:r w:rsidRPr="00AD5B5C">
              <w:rPr>
                <w:rFonts w:eastAsia="Times New Roman" w:cstheme="minorHAnsi"/>
                <w:color w:val="000000"/>
              </w:rPr>
              <w:t>Income (Loss) Before Other Changes in Net Position</w:t>
            </w:r>
          </w:p>
        </w:tc>
        <w:tc>
          <w:tcPr>
            <w:tcW w:w="900" w:type="dxa"/>
            <w:tcBorders>
              <w:top w:val="single" w:sz="4" w:space="0" w:color="auto"/>
              <w:bottom w:val="single" w:sz="4" w:space="0" w:color="auto"/>
            </w:tcBorders>
            <w:noWrap/>
            <w:vAlign w:val="bottom"/>
            <w:hideMark/>
          </w:tcPr>
          <w:p w14:paraId="59F16DBE" w14:textId="0AF964A8" w:rsidR="00B05CD2" w:rsidRPr="00AD5B5C" w:rsidRDefault="00B05CD2" w:rsidP="00B05CD2">
            <w:pPr>
              <w:jc w:val="right"/>
              <w:rPr>
                <w:rFonts w:eastAsia="Times New Roman" w:cstheme="minorHAnsi"/>
                <w:color w:val="000000"/>
              </w:rPr>
            </w:pPr>
            <w:r>
              <w:rPr>
                <w:rFonts w:ascii="Calibri" w:hAnsi="Calibri" w:cs="Calibri"/>
                <w:b/>
                <w:bCs/>
                <w:color w:val="000000"/>
              </w:rPr>
              <w:t>1</w:t>
            </w:r>
            <w:r w:rsidR="00A646DC">
              <w:rPr>
                <w:rFonts w:ascii="Calibri" w:hAnsi="Calibri" w:cs="Calibri"/>
                <w:b/>
                <w:bCs/>
                <w:color w:val="000000"/>
              </w:rPr>
              <w:t>4</w:t>
            </w:r>
            <w:r>
              <w:rPr>
                <w:rFonts w:ascii="Calibri" w:hAnsi="Calibri" w:cs="Calibri"/>
                <w:b/>
                <w:bCs/>
                <w:color w:val="000000"/>
              </w:rPr>
              <w:t xml:space="preserve"> </w:t>
            </w:r>
          </w:p>
        </w:tc>
        <w:tc>
          <w:tcPr>
            <w:tcW w:w="1109" w:type="dxa"/>
            <w:tcBorders>
              <w:top w:val="single" w:sz="4" w:space="0" w:color="auto"/>
              <w:bottom w:val="single" w:sz="4" w:space="0" w:color="auto"/>
            </w:tcBorders>
            <w:shd w:val="clear" w:color="auto" w:fill="D9D9D9" w:themeFill="background1" w:themeFillShade="D9"/>
            <w:noWrap/>
            <w:vAlign w:val="bottom"/>
            <w:hideMark/>
          </w:tcPr>
          <w:p w14:paraId="1E0BE798" w14:textId="170FA080" w:rsidR="00B05CD2" w:rsidRPr="00AD5B5C" w:rsidRDefault="00B05CD2" w:rsidP="00B05CD2">
            <w:pPr>
              <w:jc w:val="right"/>
              <w:rPr>
                <w:rFonts w:eastAsia="Times New Roman" w:cstheme="minorHAnsi"/>
                <w:color w:val="000000"/>
              </w:rPr>
            </w:pPr>
            <w:r>
              <w:rPr>
                <w:rFonts w:ascii="Calibri" w:hAnsi="Calibri" w:cs="Calibri"/>
                <w:b/>
                <w:bCs/>
                <w:color w:val="000000"/>
              </w:rPr>
              <w:t xml:space="preserve">8 </w:t>
            </w:r>
          </w:p>
        </w:tc>
        <w:tc>
          <w:tcPr>
            <w:tcW w:w="1109" w:type="dxa"/>
            <w:tcBorders>
              <w:top w:val="single" w:sz="4" w:space="0" w:color="auto"/>
              <w:bottom w:val="single" w:sz="4" w:space="0" w:color="auto"/>
            </w:tcBorders>
            <w:noWrap/>
            <w:vAlign w:val="bottom"/>
            <w:hideMark/>
          </w:tcPr>
          <w:p w14:paraId="49C07654" w14:textId="2E4BC369" w:rsidR="00B05CD2" w:rsidRPr="00DF43A9" w:rsidRDefault="00B05CD2" w:rsidP="00B05CD2">
            <w:pPr>
              <w:jc w:val="right"/>
              <w:rPr>
                <w:rFonts w:eastAsia="Times New Roman" w:cstheme="minorHAnsi"/>
                <w:color w:val="000000"/>
              </w:rPr>
            </w:pPr>
            <w:r w:rsidRPr="00DF43A9">
              <w:rPr>
                <w:rFonts w:ascii="Calibri" w:hAnsi="Calibri" w:cs="Calibri"/>
                <w:color w:val="000000"/>
              </w:rPr>
              <w:t>(23)</w:t>
            </w:r>
          </w:p>
        </w:tc>
        <w:tc>
          <w:tcPr>
            <w:tcW w:w="942" w:type="dxa"/>
            <w:tcBorders>
              <w:top w:val="single" w:sz="4" w:space="0" w:color="auto"/>
              <w:bottom w:val="single" w:sz="4" w:space="0" w:color="auto"/>
            </w:tcBorders>
            <w:shd w:val="clear" w:color="auto" w:fill="D9D9D9" w:themeFill="background1" w:themeFillShade="D9"/>
            <w:noWrap/>
            <w:vAlign w:val="bottom"/>
            <w:hideMark/>
          </w:tcPr>
          <w:p w14:paraId="7788529F" w14:textId="208821CF" w:rsidR="00B05CD2" w:rsidRPr="00AD5B5C" w:rsidRDefault="00B05CD2" w:rsidP="00B05CD2">
            <w:pPr>
              <w:jc w:val="right"/>
              <w:rPr>
                <w:rFonts w:eastAsia="Times New Roman" w:cstheme="minorHAnsi"/>
                <w:color w:val="000000"/>
              </w:rPr>
            </w:pPr>
            <w:r>
              <w:rPr>
                <w:rFonts w:ascii="Calibri" w:hAnsi="Calibri" w:cs="Calibri"/>
                <w:color w:val="000000"/>
              </w:rPr>
              <w:t xml:space="preserve"> (10)</w:t>
            </w:r>
          </w:p>
        </w:tc>
        <w:tc>
          <w:tcPr>
            <w:tcW w:w="900" w:type="dxa"/>
            <w:tcBorders>
              <w:top w:val="single" w:sz="4" w:space="0" w:color="auto"/>
              <w:bottom w:val="single" w:sz="4" w:space="0" w:color="auto"/>
            </w:tcBorders>
            <w:noWrap/>
            <w:vAlign w:val="bottom"/>
            <w:hideMark/>
          </w:tcPr>
          <w:p w14:paraId="43D6A35C" w14:textId="53F0A748" w:rsidR="00B05CD2" w:rsidRPr="00AD5B5C" w:rsidRDefault="00B05CD2" w:rsidP="00B05CD2">
            <w:pPr>
              <w:jc w:val="right"/>
              <w:rPr>
                <w:rFonts w:eastAsia="Times New Roman" w:cstheme="minorHAnsi"/>
                <w:color w:val="000000"/>
              </w:rPr>
            </w:pPr>
            <w:r>
              <w:rPr>
                <w:rFonts w:ascii="Calibri" w:hAnsi="Calibri" w:cs="Calibri"/>
                <w:color w:val="000000"/>
              </w:rPr>
              <w:t xml:space="preserve">58 </w:t>
            </w:r>
          </w:p>
        </w:tc>
      </w:tr>
      <w:tr w:rsidR="0057238F" w:rsidRPr="004E6649" w14:paraId="265BD335" w14:textId="77777777" w:rsidTr="00DF43A9">
        <w:trPr>
          <w:trHeight w:val="87"/>
          <w:jc w:val="center"/>
        </w:trPr>
        <w:tc>
          <w:tcPr>
            <w:tcW w:w="4950" w:type="dxa"/>
            <w:tcBorders>
              <w:top w:val="single" w:sz="4" w:space="0" w:color="auto"/>
            </w:tcBorders>
            <w:noWrap/>
            <w:vAlign w:val="bottom"/>
            <w:hideMark/>
          </w:tcPr>
          <w:p w14:paraId="3E0F96CE" w14:textId="77777777" w:rsidR="00B05CD2" w:rsidRPr="00AD5B5C" w:rsidRDefault="00B05CD2" w:rsidP="00B05CD2">
            <w:pPr>
              <w:rPr>
                <w:rFonts w:eastAsia="Times New Roman" w:cstheme="minorHAnsi"/>
                <w:color w:val="000000"/>
              </w:rPr>
            </w:pPr>
            <w:r w:rsidRPr="00AD5B5C">
              <w:rPr>
                <w:rFonts w:eastAsia="Times New Roman" w:cstheme="minorHAnsi"/>
                <w:color w:val="000000"/>
              </w:rPr>
              <w:t>Other Changes in Net Position</w:t>
            </w:r>
          </w:p>
        </w:tc>
        <w:tc>
          <w:tcPr>
            <w:tcW w:w="900" w:type="dxa"/>
            <w:tcBorders>
              <w:top w:val="single" w:sz="4" w:space="0" w:color="auto"/>
            </w:tcBorders>
            <w:noWrap/>
            <w:vAlign w:val="bottom"/>
            <w:hideMark/>
          </w:tcPr>
          <w:p w14:paraId="771941E9" w14:textId="43D04C99" w:rsidR="00B05CD2" w:rsidRPr="00AD5B5C" w:rsidRDefault="00B05CD2" w:rsidP="00B05CD2">
            <w:pPr>
              <w:jc w:val="right"/>
              <w:rPr>
                <w:rFonts w:eastAsia="Times New Roman" w:cstheme="minorHAnsi"/>
                <w:color w:val="000000"/>
              </w:rPr>
            </w:pPr>
            <w:r>
              <w:rPr>
                <w:rFonts w:ascii="Calibri" w:hAnsi="Calibri" w:cs="Calibri"/>
                <w:b/>
                <w:bCs/>
                <w:color w:val="000000"/>
              </w:rPr>
              <w:t> </w:t>
            </w:r>
          </w:p>
        </w:tc>
        <w:tc>
          <w:tcPr>
            <w:tcW w:w="1109" w:type="dxa"/>
            <w:tcBorders>
              <w:top w:val="single" w:sz="4" w:space="0" w:color="auto"/>
            </w:tcBorders>
            <w:shd w:val="clear" w:color="auto" w:fill="D9D9D9" w:themeFill="background1" w:themeFillShade="D9"/>
            <w:noWrap/>
            <w:vAlign w:val="bottom"/>
            <w:hideMark/>
          </w:tcPr>
          <w:p w14:paraId="1F02891F" w14:textId="314D5CC4" w:rsidR="00B05CD2" w:rsidRPr="00AD5B5C" w:rsidRDefault="00B05CD2" w:rsidP="00B05CD2">
            <w:pPr>
              <w:jc w:val="right"/>
              <w:rPr>
                <w:rFonts w:eastAsia="Times New Roman" w:cstheme="minorHAnsi"/>
                <w:color w:val="000000"/>
              </w:rPr>
            </w:pPr>
            <w:r>
              <w:rPr>
                <w:rFonts w:ascii="Calibri" w:hAnsi="Calibri" w:cs="Calibri"/>
                <w:b/>
                <w:bCs/>
                <w:color w:val="000000"/>
              </w:rPr>
              <w:t> </w:t>
            </w:r>
          </w:p>
        </w:tc>
        <w:tc>
          <w:tcPr>
            <w:tcW w:w="1109" w:type="dxa"/>
            <w:tcBorders>
              <w:top w:val="single" w:sz="4" w:space="0" w:color="auto"/>
            </w:tcBorders>
            <w:vAlign w:val="bottom"/>
            <w:hideMark/>
          </w:tcPr>
          <w:p w14:paraId="3F533F4E" w14:textId="212B1B81" w:rsidR="00B05CD2" w:rsidRPr="00DF43A9" w:rsidRDefault="00B05CD2" w:rsidP="00B05CD2">
            <w:pPr>
              <w:jc w:val="right"/>
              <w:rPr>
                <w:rFonts w:eastAsia="Times New Roman" w:cstheme="minorHAnsi"/>
                <w:color w:val="000000"/>
              </w:rPr>
            </w:pPr>
            <w:r w:rsidRPr="00DF43A9">
              <w:rPr>
                <w:rFonts w:ascii="Calibri" w:hAnsi="Calibri" w:cs="Calibri"/>
                <w:color w:val="000000"/>
              </w:rPr>
              <w:t> </w:t>
            </w:r>
          </w:p>
        </w:tc>
        <w:tc>
          <w:tcPr>
            <w:tcW w:w="942" w:type="dxa"/>
            <w:tcBorders>
              <w:top w:val="single" w:sz="4" w:space="0" w:color="auto"/>
            </w:tcBorders>
            <w:shd w:val="clear" w:color="auto" w:fill="D9D9D9" w:themeFill="background1" w:themeFillShade="D9"/>
            <w:vAlign w:val="bottom"/>
            <w:hideMark/>
          </w:tcPr>
          <w:p w14:paraId="77B07364" w14:textId="1C0E2D43" w:rsidR="00B05CD2" w:rsidRPr="00AD5B5C" w:rsidRDefault="00B05CD2" w:rsidP="00B05CD2">
            <w:pPr>
              <w:jc w:val="right"/>
              <w:rPr>
                <w:rFonts w:eastAsia="Times New Roman" w:cstheme="minorHAnsi"/>
                <w:color w:val="000000"/>
              </w:rPr>
            </w:pPr>
            <w:r>
              <w:rPr>
                <w:rFonts w:ascii="Calibri" w:hAnsi="Calibri" w:cs="Calibri"/>
                <w:color w:val="000000"/>
              </w:rPr>
              <w:t> </w:t>
            </w:r>
          </w:p>
        </w:tc>
        <w:tc>
          <w:tcPr>
            <w:tcW w:w="900" w:type="dxa"/>
            <w:tcBorders>
              <w:top w:val="single" w:sz="4" w:space="0" w:color="auto"/>
            </w:tcBorders>
            <w:vAlign w:val="bottom"/>
            <w:hideMark/>
          </w:tcPr>
          <w:p w14:paraId="4747BE49" w14:textId="31568EAB" w:rsidR="00B05CD2" w:rsidRPr="00AD5B5C" w:rsidRDefault="00B05CD2" w:rsidP="00B05CD2">
            <w:pPr>
              <w:jc w:val="right"/>
              <w:rPr>
                <w:rFonts w:eastAsia="Times New Roman" w:cstheme="minorHAnsi"/>
                <w:color w:val="000000"/>
              </w:rPr>
            </w:pPr>
            <w:r>
              <w:rPr>
                <w:rFonts w:ascii="Calibri" w:hAnsi="Calibri" w:cs="Calibri"/>
                <w:color w:val="000000"/>
              </w:rPr>
              <w:t> </w:t>
            </w:r>
          </w:p>
        </w:tc>
      </w:tr>
      <w:tr w:rsidR="0057238F" w:rsidRPr="004E6649" w14:paraId="63185407" w14:textId="77777777" w:rsidTr="00DF43A9">
        <w:trPr>
          <w:trHeight w:val="108"/>
          <w:jc w:val="center"/>
        </w:trPr>
        <w:tc>
          <w:tcPr>
            <w:tcW w:w="4950" w:type="dxa"/>
            <w:noWrap/>
            <w:vAlign w:val="bottom"/>
            <w:hideMark/>
          </w:tcPr>
          <w:p w14:paraId="2BC2662E" w14:textId="77777777" w:rsidR="00B05CD2" w:rsidRPr="00AD5B5C" w:rsidRDefault="00B05CD2" w:rsidP="00B05CD2">
            <w:pPr>
              <w:ind w:firstLineChars="100" w:firstLine="220"/>
              <w:rPr>
                <w:rFonts w:eastAsia="Times New Roman" w:cstheme="minorHAnsi"/>
                <w:color w:val="000000"/>
              </w:rPr>
            </w:pPr>
            <w:r w:rsidRPr="00AD5B5C">
              <w:rPr>
                <w:rFonts w:eastAsia="Times New Roman" w:cstheme="minorHAnsi"/>
                <w:color w:val="000000"/>
              </w:rPr>
              <w:t>State of Maine capital appropriations</w:t>
            </w:r>
          </w:p>
        </w:tc>
        <w:tc>
          <w:tcPr>
            <w:tcW w:w="900" w:type="dxa"/>
            <w:noWrap/>
            <w:vAlign w:val="bottom"/>
            <w:hideMark/>
          </w:tcPr>
          <w:p w14:paraId="5BD6C8F4" w14:textId="14F7F2ED" w:rsidR="00B05CD2" w:rsidRPr="00AD5B5C" w:rsidRDefault="00B05CD2" w:rsidP="00B05CD2">
            <w:pPr>
              <w:ind w:firstLineChars="100" w:firstLine="221"/>
              <w:jc w:val="right"/>
              <w:rPr>
                <w:rFonts w:eastAsia="Times New Roman" w:cstheme="minorHAnsi"/>
                <w:color w:val="000000"/>
              </w:rPr>
            </w:pPr>
            <w:r>
              <w:rPr>
                <w:rFonts w:ascii="Calibri" w:hAnsi="Calibri" w:cs="Calibri"/>
                <w:b/>
                <w:bCs/>
                <w:color w:val="000000"/>
              </w:rPr>
              <w:t xml:space="preserve">16 </w:t>
            </w:r>
          </w:p>
        </w:tc>
        <w:tc>
          <w:tcPr>
            <w:tcW w:w="1109" w:type="dxa"/>
            <w:shd w:val="clear" w:color="auto" w:fill="D9D9D9" w:themeFill="background1" w:themeFillShade="D9"/>
            <w:noWrap/>
            <w:vAlign w:val="bottom"/>
            <w:hideMark/>
          </w:tcPr>
          <w:p w14:paraId="59E8151A" w14:textId="626C6210" w:rsidR="00B05CD2" w:rsidRPr="00AD5B5C" w:rsidRDefault="00B05CD2" w:rsidP="00B05CD2">
            <w:pPr>
              <w:ind w:firstLineChars="100" w:firstLine="221"/>
              <w:jc w:val="right"/>
              <w:rPr>
                <w:rFonts w:eastAsia="Times New Roman" w:cstheme="minorHAnsi"/>
                <w:color w:val="000000"/>
              </w:rPr>
            </w:pPr>
            <w:r>
              <w:rPr>
                <w:rFonts w:ascii="Calibri" w:hAnsi="Calibri" w:cs="Calibri"/>
                <w:b/>
                <w:bCs/>
                <w:color w:val="000000"/>
              </w:rPr>
              <w:t xml:space="preserve">16 </w:t>
            </w:r>
          </w:p>
        </w:tc>
        <w:tc>
          <w:tcPr>
            <w:tcW w:w="1109" w:type="dxa"/>
            <w:noWrap/>
            <w:vAlign w:val="bottom"/>
            <w:hideMark/>
          </w:tcPr>
          <w:p w14:paraId="377E65D4" w14:textId="17E98D28" w:rsidR="00B05CD2" w:rsidRPr="00DF43A9" w:rsidRDefault="00B05CD2" w:rsidP="00B05CD2">
            <w:pPr>
              <w:jc w:val="right"/>
              <w:rPr>
                <w:rFonts w:eastAsia="Times New Roman" w:cstheme="minorHAnsi"/>
                <w:color w:val="000000"/>
              </w:rPr>
            </w:pPr>
            <w:r w:rsidRPr="00DF43A9">
              <w:rPr>
                <w:rFonts w:ascii="Calibri" w:hAnsi="Calibri" w:cs="Calibri"/>
                <w:color w:val="000000"/>
              </w:rPr>
              <w:t xml:space="preserve">21 </w:t>
            </w:r>
          </w:p>
        </w:tc>
        <w:tc>
          <w:tcPr>
            <w:tcW w:w="942" w:type="dxa"/>
            <w:shd w:val="clear" w:color="auto" w:fill="D9D9D9" w:themeFill="background1" w:themeFillShade="D9"/>
            <w:noWrap/>
            <w:vAlign w:val="bottom"/>
            <w:hideMark/>
          </w:tcPr>
          <w:p w14:paraId="071558A0" w14:textId="6ABC39FC" w:rsidR="00B05CD2" w:rsidRPr="00AD5B5C" w:rsidRDefault="00B05CD2" w:rsidP="00B05CD2">
            <w:pPr>
              <w:jc w:val="right"/>
              <w:rPr>
                <w:rFonts w:eastAsia="Times New Roman" w:cstheme="minorHAnsi"/>
                <w:color w:val="000000"/>
              </w:rPr>
            </w:pPr>
            <w:r>
              <w:rPr>
                <w:rFonts w:ascii="Calibri" w:hAnsi="Calibri" w:cs="Calibri"/>
                <w:color w:val="000000"/>
              </w:rPr>
              <w:t xml:space="preserve">  25 </w:t>
            </w:r>
          </w:p>
        </w:tc>
        <w:tc>
          <w:tcPr>
            <w:tcW w:w="900" w:type="dxa"/>
            <w:noWrap/>
            <w:vAlign w:val="bottom"/>
            <w:hideMark/>
          </w:tcPr>
          <w:p w14:paraId="58F5A719" w14:textId="03F8D68D" w:rsidR="00B05CD2" w:rsidRPr="00AD5B5C" w:rsidRDefault="00B05CD2" w:rsidP="00B05CD2">
            <w:pPr>
              <w:jc w:val="right"/>
              <w:rPr>
                <w:rFonts w:eastAsia="Times New Roman" w:cstheme="minorHAnsi"/>
                <w:color w:val="000000"/>
              </w:rPr>
            </w:pPr>
            <w:r>
              <w:rPr>
                <w:rFonts w:ascii="Calibri" w:hAnsi="Calibri" w:cs="Calibri"/>
                <w:color w:val="000000"/>
              </w:rPr>
              <w:t xml:space="preserve">16 </w:t>
            </w:r>
          </w:p>
        </w:tc>
      </w:tr>
      <w:tr w:rsidR="0057238F" w:rsidRPr="004E6649" w14:paraId="475FDE2D" w14:textId="77777777" w:rsidTr="00DF43A9">
        <w:trPr>
          <w:trHeight w:val="135"/>
          <w:jc w:val="center"/>
        </w:trPr>
        <w:tc>
          <w:tcPr>
            <w:tcW w:w="4950" w:type="dxa"/>
            <w:noWrap/>
            <w:vAlign w:val="bottom"/>
            <w:hideMark/>
          </w:tcPr>
          <w:p w14:paraId="375C8A9A" w14:textId="77777777" w:rsidR="00B05CD2" w:rsidRPr="00AD5B5C" w:rsidRDefault="00B05CD2" w:rsidP="00B05CD2">
            <w:pPr>
              <w:ind w:firstLineChars="100" w:firstLine="220"/>
              <w:rPr>
                <w:rFonts w:eastAsia="Times New Roman" w:cstheme="minorHAnsi"/>
                <w:color w:val="000000"/>
              </w:rPr>
            </w:pPr>
            <w:r w:rsidRPr="00AD5B5C">
              <w:rPr>
                <w:rFonts w:eastAsia="Times New Roman" w:cstheme="minorHAnsi"/>
                <w:color w:val="000000"/>
              </w:rPr>
              <w:t>Capital grants and gifts</w:t>
            </w:r>
          </w:p>
        </w:tc>
        <w:tc>
          <w:tcPr>
            <w:tcW w:w="900" w:type="dxa"/>
            <w:noWrap/>
            <w:vAlign w:val="bottom"/>
            <w:hideMark/>
          </w:tcPr>
          <w:p w14:paraId="743E0BA9" w14:textId="1F4D4CE7" w:rsidR="00B05CD2" w:rsidRPr="00AD5B5C" w:rsidRDefault="00B05CD2" w:rsidP="00B05CD2">
            <w:pPr>
              <w:ind w:firstLineChars="100" w:firstLine="221"/>
              <w:jc w:val="right"/>
              <w:rPr>
                <w:rFonts w:eastAsia="Times New Roman" w:cstheme="minorHAnsi"/>
                <w:color w:val="000000"/>
              </w:rPr>
            </w:pPr>
            <w:r>
              <w:rPr>
                <w:rFonts w:ascii="Calibri" w:hAnsi="Calibri" w:cs="Calibri"/>
                <w:b/>
                <w:bCs/>
                <w:color w:val="000000"/>
              </w:rPr>
              <w:t xml:space="preserve"> 77 </w:t>
            </w:r>
          </w:p>
        </w:tc>
        <w:tc>
          <w:tcPr>
            <w:tcW w:w="1109" w:type="dxa"/>
            <w:shd w:val="clear" w:color="auto" w:fill="D9D9D9" w:themeFill="background1" w:themeFillShade="D9"/>
            <w:noWrap/>
            <w:vAlign w:val="bottom"/>
            <w:hideMark/>
          </w:tcPr>
          <w:p w14:paraId="0B524ACF" w14:textId="455233EF" w:rsidR="00B05CD2" w:rsidRPr="00AD5B5C" w:rsidRDefault="00B05CD2" w:rsidP="00B05CD2">
            <w:pPr>
              <w:ind w:firstLineChars="100" w:firstLine="221"/>
              <w:jc w:val="right"/>
              <w:rPr>
                <w:rFonts w:eastAsia="Times New Roman" w:cstheme="minorHAnsi"/>
                <w:color w:val="000000"/>
              </w:rPr>
            </w:pPr>
            <w:r>
              <w:rPr>
                <w:rFonts w:ascii="Calibri" w:hAnsi="Calibri" w:cs="Calibri"/>
                <w:b/>
                <w:bCs/>
                <w:color w:val="000000"/>
              </w:rPr>
              <w:t xml:space="preserve">46 </w:t>
            </w:r>
          </w:p>
        </w:tc>
        <w:tc>
          <w:tcPr>
            <w:tcW w:w="1109" w:type="dxa"/>
            <w:noWrap/>
            <w:vAlign w:val="bottom"/>
            <w:hideMark/>
          </w:tcPr>
          <w:p w14:paraId="6F0C96C7" w14:textId="44D6ECCC" w:rsidR="00B05CD2" w:rsidRPr="00DF43A9" w:rsidRDefault="00B05CD2" w:rsidP="00B05CD2">
            <w:pPr>
              <w:jc w:val="right"/>
              <w:rPr>
                <w:rFonts w:eastAsia="Times New Roman" w:cstheme="minorHAnsi"/>
                <w:color w:val="000000"/>
              </w:rPr>
            </w:pPr>
            <w:r w:rsidRPr="00DF43A9">
              <w:rPr>
                <w:rFonts w:ascii="Calibri" w:hAnsi="Calibri" w:cs="Calibri"/>
                <w:color w:val="000000"/>
              </w:rPr>
              <w:t xml:space="preserve">26 </w:t>
            </w:r>
          </w:p>
        </w:tc>
        <w:tc>
          <w:tcPr>
            <w:tcW w:w="942" w:type="dxa"/>
            <w:shd w:val="clear" w:color="auto" w:fill="D9D9D9" w:themeFill="background1" w:themeFillShade="D9"/>
            <w:noWrap/>
            <w:vAlign w:val="bottom"/>
            <w:hideMark/>
          </w:tcPr>
          <w:p w14:paraId="5101373E" w14:textId="2E4099AF" w:rsidR="00B05CD2" w:rsidRPr="00AD5B5C" w:rsidRDefault="00B05CD2" w:rsidP="00B05CD2">
            <w:pPr>
              <w:jc w:val="right"/>
              <w:rPr>
                <w:rFonts w:eastAsia="Times New Roman" w:cstheme="minorHAnsi"/>
                <w:color w:val="000000"/>
              </w:rPr>
            </w:pPr>
            <w:r>
              <w:rPr>
                <w:rFonts w:ascii="Calibri" w:hAnsi="Calibri" w:cs="Calibri"/>
                <w:color w:val="000000"/>
              </w:rPr>
              <w:t xml:space="preserve">35 </w:t>
            </w:r>
          </w:p>
        </w:tc>
        <w:tc>
          <w:tcPr>
            <w:tcW w:w="900" w:type="dxa"/>
            <w:noWrap/>
            <w:vAlign w:val="bottom"/>
            <w:hideMark/>
          </w:tcPr>
          <w:p w14:paraId="36B1358B" w14:textId="352E2B71" w:rsidR="00B05CD2" w:rsidRPr="00AD5B5C" w:rsidRDefault="00B05CD2" w:rsidP="00B05CD2">
            <w:pPr>
              <w:jc w:val="right"/>
              <w:rPr>
                <w:rFonts w:eastAsia="Times New Roman" w:cstheme="minorHAnsi"/>
                <w:color w:val="000000"/>
              </w:rPr>
            </w:pPr>
            <w:r>
              <w:rPr>
                <w:rFonts w:ascii="Calibri" w:hAnsi="Calibri" w:cs="Calibri"/>
                <w:color w:val="000000"/>
              </w:rPr>
              <w:t xml:space="preserve">8 </w:t>
            </w:r>
          </w:p>
        </w:tc>
      </w:tr>
      <w:tr w:rsidR="0057238F" w:rsidRPr="004E6649" w14:paraId="1BA4AA13" w14:textId="77777777" w:rsidTr="00DF43A9">
        <w:trPr>
          <w:trHeight w:val="162"/>
          <w:jc w:val="center"/>
        </w:trPr>
        <w:tc>
          <w:tcPr>
            <w:tcW w:w="4950" w:type="dxa"/>
            <w:noWrap/>
            <w:vAlign w:val="bottom"/>
            <w:hideMark/>
          </w:tcPr>
          <w:p w14:paraId="43DB4588" w14:textId="77777777" w:rsidR="00B05CD2" w:rsidRPr="00AD5B5C" w:rsidRDefault="00B05CD2" w:rsidP="00B05CD2">
            <w:pPr>
              <w:ind w:firstLineChars="100" w:firstLine="220"/>
              <w:rPr>
                <w:rFonts w:eastAsia="Times New Roman" w:cstheme="minorHAnsi"/>
                <w:color w:val="000000"/>
              </w:rPr>
            </w:pPr>
            <w:r w:rsidRPr="00AD5B5C">
              <w:rPr>
                <w:rFonts w:eastAsia="Times New Roman" w:cstheme="minorHAnsi"/>
                <w:color w:val="000000"/>
              </w:rPr>
              <w:t>Endow. return, net of amount used for operations</w:t>
            </w:r>
          </w:p>
        </w:tc>
        <w:tc>
          <w:tcPr>
            <w:tcW w:w="900" w:type="dxa"/>
            <w:noWrap/>
            <w:vAlign w:val="bottom"/>
            <w:hideMark/>
          </w:tcPr>
          <w:p w14:paraId="4E073C6F" w14:textId="220BF558" w:rsidR="00B05CD2" w:rsidRPr="00AD5B5C" w:rsidRDefault="00E1495D" w:rsidP="00B05CD2">
            <w:pPr>
              <w:ind w:firstLineChars="100" w:firstLine="221"/>
              <w:jc w:val="right"/>
              <w:rPr>
                <w:rFonts w:eastAsia="Times New Roman" w:cstheme="minorHAnsi"/>
                <w:color w:val="000000"/>
              </w:rPr>
            </w:pPr>
            <w:r>
              <w:rPr>
                <w:rFonts w:ascii="Calibri" w:hAnsi="Calibri" w:cs="Calibri"/>
                <w:b/>
                <w:bCs/>
                <w:color w:val="000000"/>
              </w:rPr>
              <w:t xml:space="preserve">9 </w:t>
            </w:r>
          </w:p>
        </w:tc>
        <w:tc>
          <w:tcPr>
            <w:tcW w:w="1109" w:type="dxa"/>
            <w:shd w:val="clear" w:color="auto" w:fill="D9D9D9" w:themeFill="background1" w:themeFillShade="D9"/>
            <w:noWrap/>
            <w:vAlign w:val="bottom"/>
            <w:hideMark/>
          </w:tcPr>
          <w:p w14:paraId="06A659DA" w14:textId="68E3A8D5" w:rsidR="00B05CD2" w:rsidRPr="00AD5B5C" w:rsidRDefault="00B05CD2" w:rsidP="00B05CD2">
            <w:pPr>
              <w:jc w:val="right"/>
              <w:rPr>
                <w:rFonts w:eastAsia="Times New Roman" w:cstheme="minorHAnsi"/>
                <w:color w:val="000000"/>
              </w:rPr>
            </w:pPr>
            <w:r>
              <w:rPr>
                <w:rFonts w:ascii="Calibri" w:hAnsi="Calibri" w:cs="Calibri"/>
                <w:b/>
                <w:bCs/>
                <w:color w:val="000000"/>
              </w:rPr>
              <w:t xml:space="preserve">11 </w:t>
            </w:r>
          </w:p>
        </w:tc>
        <w:tc>
          <w:tcPr>
            <w:tcW w:w="1109" w:type="dxa"/>
            <w:noWrap/>
            <w:vAlign w:val="bottom"/>
            <w:hideMark/>
          </w:tcPr>
          <w:p w14:paraId="36D1A669" w14:textId="541D5AF8" w:rsidR="00B05CD2" w:rsidRPr="00DF43A9" w:rsidRDefault="00B05CD2" w:rsidP="00B05CD2">
            <w:pPr>
              <w:jc w:val="right"/>
              <w:rPr>
                <w:rFonts w:eastAsia="Times New Roman" w:cstheme="minorHAnsi"/>
                <w:color w:val="000000"/>
              </w:rPr>
            </w:pPr>
            <w:r w:rsidRPr="00DF43A9">
              <w:rPr>
                <w:rFonts w:ascii="Calibri" w:hAnsi="Calibri" w:cs="Calibri"/>
                <w:color w:val="000000"/>
              </w:rPr>
              <w:t xml:space="preserve">8 </w:t>
            </w:r>
          </w:p>
        </w:tc>
        <w:tc>
          <w:tcPr>
            <w:tcW w:w="942" w:type="dxa"/>
            <w:shd w:val="clear" w:color="auto" w:fill="D9D9D9" w:themeFill="background1" w:themeFillShade="D9"/>
            <w:noWrap/>
            <w:vAlign w:val="bottom"/>
            <w:hideMark/>
          </w:tcPr>
          <w:p w14:paraId="23E9D60D" w14:textId="4DF47829" w:rsidR="00B05CD2" w:rsidRPr="00AD5B5C" w:rsidRDefault="00B05CD2" w:rsidP="00B05CD2">
            <w:pPr>
              <w:jc w:val="right"/>
              <w:rPr>
                <w:rFonts w:eastAsia="Times New Roman" w:cstheme="minorHAnsi"/>
                <w:color w:val="000000"/>
              </w:rPr>
            </w:pPr>
            <w:r>
              <w:rPr>
                <w:rFonts w:ascii="Calibri" w:hAnsi="Calibri" w:cs="Calibri"/>
                <w:color w:val="000000"/>
              </w:rPr>
              <w:t>(26)</w:t>
            </w:r>
          </w:p>
        </w:tc>
        <w:tc>
          <w:tcPr>
            <w:tcW w:w="900" w:type="dxa"/>
            <w:noWrap/>
            <w:vAlign w:val="bottom"/>
            <w:hideMark/>
          </w:tcPr>
          <w:p w14:paraId="5CC56446" w14:textId="0AC2AAC6" w:rsidR="00B05CD2" w:rsidRPr="00AD5B5C" w:rsidRDefault="00B05CD2" w:rsidP="00B05CD2">
            <w:pPr>
              <w:jc w:val="right"/>
              <w:rPr>
                <w:rFonts w:eastAsia="Times New Roman" w:cstheme="minorHAnsi"/>
                <w:color w:val="000000"/>
              </w:rPr>
            </w:pPr>
            <w:r>
              <w:rPr>
                <w:rFonts w:ascii="Calibri" w:hAnsi="Calibri" w:cs="Calibri"/>
                <w:color w:val="000000"/>
              </w:rPr>
              <w:t xml:space="preserve">29 </w:t>
            </w:r>
          </w:p>
        </w:tc>
      </w:tr>
      <w:tr w:rsidR="0057238F" w:rsidRPr="004E6649" w14:paraId="6DD1B64B" w14:textId="77777777" w:rsidTr="00DF43A9">
        <w:trPr>
          <w:trHeight w:val="80"/>
          <w:jc w:val="center"/>
        </w:trPr>
        <w:tc>
          <w:tcPr>
            <w:tcW w:w="4950" w:type="dxa"/>
            <w:tcBorders>
              <w:bottom w:val="single" w:sz="4" w:space="0" w:color="00688D"/>
            </w:tcBorders>
            <w:noWrap/>
            <w:vAlign w:val="bottom"/>
            <w:hideMark/>
          </w:tcPr>
          <w:p w14:paraId="171D49CF" w14:textId="77777777" w:rsidR="00B05CD2" w:rsidRPr="00AD5B5C" w:rsidRDefault="00B05CD2" w:rsidP="00B05CD2">
            <w:pPr>
              <w:ind w:firstLineChars="100" w:firstLine="220"/>
              <w:rPr>
                <w:rFonts w:eastAsia="Times New Roman" w:cstheme="minorHAnsi"/>
                <w:color w:val="000000"/>
              </w:rPr>
            </w:pPr>
            <w:r w:rsidRPr="00AD5B5C">
              <w:rPr>
                <w:rFonts w:eastAsia="Times New Roman" w:cstheme="minorHAnsi"/>
                <w:color w:val="000000"/>
              </w:rPr>
              <w:t>Other</w:t>
            </w:r>
          </w:p>
        </w:tc>
        <w:tc>
          <w:tcPr>
            <w:tcW w:w="900" w:type="dxa"/>
            <w:tcBorders>
              <w:bottom w:val="single" w:sz="4" w:space="0" w:color="00688D"/>
            </w:tcBorders>
            <w:noWrap/>
            <w:vAlign w:val="bottom"/>
            <w:hideMark/>
          </w:tcPr>
          <w:p w14:paraId="59A558CC" w14:textId="6B260BD8" w:rsidR="00B05CD2" w:rsidRPr="00AD5B5C" w:rsidRDefault="00B05CD2" w:rsidP="00B05CD2">
            <w:pPr>
              <w:ind w:firstLineChars="100" w:firstLine="221"/>
              <w:jc w:val="right"/>
              <w:rPr>
                <w:rFonts w:eastAsia="Times New Roman" w:cstheme="minorHAnsi"/>
                <w:color w:val="000000"/>
              </w:rPr>
            </w:pPr>
            <w:r>
              <w:rPr>
                <w:rFonts w:ascii="Calibri" w:hAnsi="Calibri" w:cs="Calibri"/>
                <w:b/>
                <w:bCs/>
                <w:color w:val="000000"/>
              </w:rPr>
              <w:t>(</w:t>
            </w:r>
            <w:r w:rsidR="00E1495D">
              <w:rPr>
                <w:rFonts w:ascii="Calibri" w:hAnsi="Calibri" w:cs="Calibri"/>
                <w:b/>
                <w:bCs/>
                <w:color w:val="000000"/>
              </w:rPr>
              <w:t>3</w:t>
            </w:r>
            <w:r>
              <w:rPr>
                <w:rFonts w:ascii="Calibri" w:hAnsi="Calibri" w:cs="Calibri"/>
                <w:b/>
                <w:bCs/>
                <w:color w:val="000000"/>
              </w:rPr>
              <w:t>)</w:t>
            </w:r>
          </w:p>
        </w:tc>
        <w:tc>
          <w:tcPr>
            <w:tcW w:w="1109" w:type="dxa"/>
            <w:tcBorders>
              <w:bottom w:val="single" w:sz="4" w:space="0" w:color="00688D"/>
            </w:tcBorders>
            <w:shd w:val="clear" w:color="auto" w:fill="D9D9D9" w:themeFill="background1" w:themeFillShade="D9"/>
            <w:noWrap/>
            <w:vAlign w:val="bottom"/>
            <w:hideMark/>
          </w:tcPr>
          <w:p w14:paraId="374C78B4" w14:textId="7BCD0D96" w:rsidR="00B05CD2" w:rsidRPr="00AD5B5C" w:rsidRDefault="00B05CD2" w:rsidP="00B05CD2">
            <w:pPr>
              <w:ind w:firstLineChars="100" w:firstLine="221"/>
              <w:jc w:val="right"/>
              <w:rPr>
                <w:rFonts w:eastAsia="Times New Roman" w:cstheme="minorHAnsi"/>
                <w:color w:val="000000"/>
              </w:rPr>
            </w:pPr>
            <w:r>
              <w:rPr>
                <w:rFonts w:ascii="Calibri" w:hAnsi="Calibri" w:cs="Calibri"/>
                <w:b/>
                <w:bCs/>
                <w:color w:val="000000"/>
              </w:rPr>
              <w:t xml:space="preserve">1 </w:t>
            </w:r>
          </w:p>
        </w:tc>
        <w:tc>
          <w:tcPr>
            <w:tcW w:w="1109" w:type="dxa"/>
            <w:tcBorders>
              <w:bottom w:val="single" w:sz="4" w:space="0" w:color="00688D"/>
            </w:tcBorders>
            <w:noWrap/>
            <w:vAlign w:val="bottom"/>
            <w:hideMark/>
          </w:tcPr>
          <w:p w14:paraId="0BBF6F21" w14:textId="74D9D979" w:rsidR="00B05CD2" w:rsidRPr="00DF43A9" w:rsidRDefault="00B05CD2" w:rsidP="00B05CD2">
            <w:pPr>
              <w:jc w:val="right"/>
              <w:rPr>
                <w:rFonts w:eastAsia="Times New Roman" w:cstheme="minorHAnsi"/>
                <w:color w:val="000000"/>
              </w:rPr>
            </w:pPr>
            <w:r w:rsidRPr="00DF43A9">
              <w:rPr>
                <w:rFonts w:ascii="Calibri" w:hAnsi="Calibri" w:cs="Calibri"/>
                <w:color w:val="000000"/>
              </w:rPr>
              <w:t xml:space="preserve"> (1)</w:t>
            </w:r>
          </w:p>
        </w:tc>
        <w:tc>
          <w:tcPr>
            <w:tcW w:w="942" w:type="dxa"/>
            <w:tcBorders>
              <w:bottom w:val="single" w:sz="4" w:space="0" w:color="00688D"/>
            </w:tcBorders>
            <w:shd w:val="clear" w:color="auto" w:fill="D9D9D9" w:themeFill="background1" w:themeFillShade="D9"/>
            <w:noWrap/>
            <w:vAlign w:val="bottom"/>
            <w:hideMark/>
          </w:tcPr>
          <w:p w14:paraId="4A170161" w14:textId="4E98D12D" w:rsidR="00B05CD2" w:rsidRPr="00AD5B5C" w:rsidRDefault="00B05CD2" w:rsidP="00B05CD2">
            <w:pPr>
              <w:jc w:val="right"/>
              <w:rPr>
                <w:rFonts w:eastAsia="Times New Roman" w:cstheme="minorHAnsi"/>
                <w:color w:val="000000"/>
              </w:rPr>
            </w:pPr>
            <w:r>
              <w:rPr>
                <w:rFonts w:ascii="Calibri" w:hAnsi="Calibri" w:cs="Calibri"/>
                <w:color w:val="000000"/>
              </w:rPr>
              <w:t xml:space="preserve">    2 </w:t>
            </w:r>
          </w:p>
        </w:tc>
        <w:tc>
          <w:tcPr>
            <w:tcW w:w="900" w:type="dxa"/>
            <w:tcBorders>
              <w:bottom w:val="single" w:sz="4" w:space="0" w:color="00688D"/>
            </w:tcBorders>
            <w:noWrap/>
            <w:vAlign w:val="bottom"/>
            <w:hideMark/>
          </w:tcPr>
          <w:p w14:paraId="6F9CCF83" w14:textId="3FA7403E" w:rsidR="00B05CD2" w:rsidRPr="00AD5B5C" w:rsidRDefault="00B05CD2" w:rsidP="00B05CD2">
            <w:pPr>
              <w:jc w:val="right"/>
              <w:rPr>
                <w:rFonts w:eastAsia="Times New Roman" w:cstheme="minorHAnsi"/>
                <w:color w:val="000000"/>
              </w:rPr>
            </w:pPr>
            <w:r>
              <w:rPr>
                <w:rFonts w:ascii="Calibri" w:hAnsi="Calibri" w:cs="Calibri"/>
                <w:color w:val="000000"/>
              </w:rPr>
              <w:t xml:space="preserve">1 </w:t>
            </w:r>
          </w:p>
        </w:tc>
      </w:tr>
      <w:tr w:rsidR="0057238F" w:rsidRPr="004E6649" w14:paraId="77CB9E42" w14:textId="77777777" w:rsidTr="00DF43A9">
        <w:trPr>
          <w:trHeight w:val="107"/>
          <w:jc w:val="center"/>
        </w:trPr>
        <w:tc>
          <w:tcPr>
            <w:tcW w:w="4950" w:type="dxa"/>
            <w:tcBorders>
              <w:top w:val="single" w:sz="4" w:space="0" w:color="00688D"/>
              <w:bottom w:val="single" w:sz="4" w:space="0" w:color="auto"/>
            </w:tcBorders>
            <w:noWrap/>
            <w:vAlign w:val="bottom"/>
            <w:hideMark/>
          </w:tcPr>
          <w:p w14:paraId="214B560E" w14:textId="77777777" w:rsidR="00B05CD2" w:rsidRPr="00AD5B5C" w:rsidRDefault="00B05CD2" w:rsidP="00B05CD2">
            <w:pPr>
              <w:rPr>
                <w:rFonts w:eastAsia="Times New Roman" w:cstheme="minorHAnsi"/>
                <w:color w:val="000000"/>
              </w:rPr>
            </w:pPr>
            <w:r w:rsidRPr="00AD5B5C">
              <w:rPr>
                <w:rFonts w:eastAsia="Times New Roman" w:cstheme="minorHAnsi"/>
                <w:color w:val="000000"/>
              </w:rPr>
              <w:t>Total Other Changes in Net Position</w:t>
            </w:r>
          </w:p>
        </w:tc>
        <w:tc>
          <w:tcPr>
            <w:tcW w:w="900" w:type="dxa"/>
            <w:tcBorders>
              <w:top w:val="single" w:sz="4" w:space="0" w:color="00688D"/>
              <w:bottom w:val="single" w:sz="4" w:space="0" w:color="auto"/>
            </w:tcBorders>
            <w:noWrap/>
            <w:vAlign w:val="bottom"/>
            <w:hideMark/>
          </w:tcPr>
          <w:p w14:paraId="623125D5" w14:textId="7006C2DE" w:rsidR="00B05CD2" w:rsidRPr="00AD5B5C" w:rsidRDefault="00B05CD2" w:rsidP="00B05CD2">
            <w:pPr>
              <w:jc w:val="right"/>
              <w:rPr>
                <w:rFonts w:eastAsia="Times New Roman" w:cstheme="minorHAnsi"/>
                <w:color w:val="000000"/>
              </w:rPr>
            </w:pPr>
            <w:r>
              <w:rPr>
                <w:rFonts w:ascii="Calibri" w:hAnsi="Calibri" w:cs="Calibri"/>
                <w:b/>
                <w:bCs/>
                <w:color w:val="000000"/>
              </w:rPr>
              <w:t xml:space="preserve">99 </w:t>
            </w:r>
          </w:p>
        </w:tc>
        <w:tc>
          <w:tcPr>
            <w:tcW w:w="1109" w:type="dxa"/>
            <w:tcBorders>
              <w:top w:val="single" w:sz="4" w:space="0" w:color="00688D"/>
              <w:bottom w:val="single" w:sz="4" w:space="0" w:color="auto"/>
            </w:tcBorders>
            <w:shd w:val="clear" w:color="auto" w:fill="D9D9D9" w:themeFill="background1" w:themeFillShade="D9"/>
            <w:noWrap/>
            <w:vAlign w:val="bottom"/>
            <w:hideMark/>
          </w:tcPr>
          <w:p w14:paraId="128558EA" w14:textId="5F560778" w:rsidR="00B05CD2" w:rsidRPr="00AD5B5C" w:rsidRDefault="00B05CD2" w:rsidP="00B05CD2">
            <w:pPr>
              <w:jc w:val="right"/>
              <w:rPr>
                <w:rFonts w:eastAsia="Times New Roman" w:cstheme="minorHAnsi"/>
                <w:color w:val="000000"/>
              </w:rPr>
            </w:pPr>
            <w:r>
              <w:rPr>
                <w:rFonts w:ascii="Calibri" w:hAnsi="Calibri" w:cs="Calibri"/>
                <w:b/>
                <w:bCs/>
                <w:color w:val="000000"/>
              </w:rPr>
              <w:t xml:space="preserve">74 </w:t>
            </w:r>
          </w:p>
        </w:tc>
        <w:tc>
          <w:tcPr>
            <w:tcW w:w="1109" w:type="dxa"/>
            <w:tcBorders>
              <w:top w:val="single" w:sz="4" w:space="0" w:color="00688D"/>
              <w:bottom w:val="single" w:sz="4" w:space="0" w:color="auto"/>
            </w:tcBorders>
            <w:noWrap/>
            <w:vAlign w:val="bottom"/>
            <w:hideMark/>
          </w:tcPr>
          <w:p w14:paraId="20B0B824" w14:textId="15B97E52" w:rsidR="00B05CD2" w:rsidRPr="00DF43A9" w:rsidRDefault="00B05CD2" w:rsidP="00B05CD2">
            <w:pPr>
              <w:jc w:val="right"/>
              <w:rPr>
                <w:rFonts w:eastAsia="Times New Roman" w:cstheme="minorHAnsi"/>
                <w:color w:val="000000"/>
              </w:rPr>
            </w:pPr>
            <w:r w:rsidRPr="00DF43A9">
              <w:rPr>
                <w:rFonts w:ascii="Calibri" w:hAnsi="Calibri" w:cs="Calibri"/>
                <w:color w:val="000000"/>
              </w:rPr>
              <w:t xml:space="preserve">54 </w:t>
            </w:r>
          </w:p>
        </w:tc>
        <w:tc>
          <w:tcPr>
            <w:tcW w:w="942" w:type="dxa"/>
            <w:tcBorders>
              <w:top w:val="single" w:sz="4" w:space="0" w:color="00688D"/>
              <w:bottom w:val="single" w:sz="4" w:space="0" w:color="auto"/>
            </w:tcBorders>
            <w:shd w:val="clear" w:color="auto" w:fill="D9D9D9" w:themeFill="background1" w:themeFillShade="D9"/>
            <w:noWrap/>
            <w:vAlign w:val="bottom"/>
            <w:hideMark/>
          </w:tcPr>
          <w:p w14:paraId="3694FA38" w14:textId="7FADC30D" w:rsidR="00B05CD2" w:rsidRPr="00AD5B5C" w:rsidRDefault="00B05CD2" w:rsidP="00B05CD2">
            <w:pPr>
              <w:jc w:val="right"/>
              <w:rPr>
                <w:rFonts w:eastAsia="Times New Roman" w:cstheme="minorHAnsi"/>
                <w:color w:val="000000"/>
              </w:rPr>
            </w:pPr>
            <w:r>
              <w:rPr>
                <w:rFonts w:ascii="Calibri" w:hAnsi="Calibri" w:cs="Calibri"/>
                <w:color w:val="000000"/>
              </w:rPr>
              <w:t xml:space="preserve">36 </w:t>
            </w:r>
          </w:p>
        </w:tc>
        <w:tc>
          <w:tcPr>
            <w:tcW w:w="900" w:type="dxa"/>
            <w:tcBorders>
              <w:top w:val="single" w:sz="4" w:space="0" w:color="00688D"/>
              <w:bottom w:val="single" w:sz="4" w:space="0" w:color="auto"/>
            </w:tcBorders>
            <w:noWrap/>
            <w:vAlign w:val="bottom"/>
            <w:hideMark/>
          </w:tcPr>
          <w:p w14:paraId="0C501894" w14:textId="39AFFA70" w:rsidR="00B05CD2" w:rsidRPr="00AD5B5C" w:rsidRDefault="00B05CD2" w:rsidP="00B05CD2">
            <w:pPr>
              <w:jc w:val="right"/>
              <w:rPr>
                <w:rFonts w:eastAsia="Times New Roman" w:cstheme="minorHAnsi"/>
                <w:color w:val="000000"/>
              </w:rPr>
            </w:pPr>
            <w:r>
              <w:rPr>
                <w:rFonts w:ascii="Calibri" w:hAnsi="Calibri" w:cs="Calibri"/>
                <w:color w:val="000000"/>
              </w:rPr>
              <w:t xml:space="preserve">54 </w:t>
            </w:r>
          </w:p>
        </w:tc>
      </w:tr>
      <w:tr w:rsidR="0057238F" w:rsidRPr="004E6649" w14:paraId="7C6E663E" w14:textId="77777777" w:rsidTr="00DF43A9">
        <w:trPr>
          <w:trHeight w:val="80"/>
          <w:jc w:val="center"/>
        </w:trPr>
        <w:tc>
          <w:tcPr>
            <w:tcW w:w="4950" w:type="dxa"/>
            <w:tcBorders>
              <w:top w:val="single" w:sz="4" w:space="0" w:color="auto"/>
              <w:bottom w:val="double" w:sz="4" w:space="0" w:color="0D0D0D" w:themeColor="text1" w:themeTint="F2"/>
            </w:tcBorders>
            <w:noWrap/>
            <w:vAlign w:val="bottom"/>
            <w:hideMark/>
          </w:tcPr>
          <w:p w14:paraId="59834887" w14:textId="77777777" w:rsidR="00B05CD2" w:rsidRPr="00AD5B5C" w:rsidRDefault="00B05CD2" w:rsidP="00B05CD2">
            <w:pPr>
              <w:rPr>
                <w:rFonts w:eastAsia="Times New Roman" w:cstheme="minorHAnsi"/>
                <w:color w:val="000000"/>
              </w:rPr>
            </w:pPr>
            <w:r w:rsidRPr="00AD5B5C">
              <w:rPr>
                <w:rFonts w:eastAsia="Times New Roman" w:cstheme="minorHAnsi"/>
                <w:color w:val="000000"/>
              </w:rPr>
              <w:t>Change in Net Position</w:t>
            </w:r>
          </w:p>
        </w:tc>
        <w:tc>
          <w:tcPr>
            <w:tcW w:w="900" w:type="dxa"/>
            <w:tcBorders>
              <w:top w:val="single" w:sz="4" w:space="0" w:color="auto"/>
              <w:bottom w:val="double" w:sz="4" w:space="0" w:color="0D0D0D" w:themeColor="text1" w:themeTint="F2"/>
            </w:tcBorders>
            <w:noWrap/>
            <w:vAlign w:val="center"/>
            <w:hideMark/>
          </w:tcPr>
          <w:p w14:paraId="1C825B4E" w14:textId="6E75E007" w:rsidR="00B05CD2" w:rsidRPr="00AD5B5C" w:rsidRDefault="00B05CD2" w:rsidP="00B05CD2">
            <w:pPr>
              <w:jc w:val="right"/>
              <w:rPr>
                <w:rFonts w:eastAsia="Times New Roman" w:cstheme="minorHAnsi"/>
                <w:color w:val="000000"/>
              </w:rPr>
            </w:pPr>
            <w:r>
              <w:rPr>
                <w:rFonts w:ascii="Calibri" w:hAnsi="Calibri" w:cs="Calibri"/>
                <w:b/>
                <w:bCs/>
                <w:color w:val="000000"/>
              </w:rPr>
              <w:t>$    11</w:t>
            </w:r>
            <w:r w:rsidR="00A646DC">
              <w:rPr>
                <w:rFonts w:ascii="Calibri" w:hAnsi="Calibri" w:cs="Calibri"/>
                <w:b/>
                <w:bCs/>
                <w:color w:val="000000"/>
              </w:rPr>
              <w:t>3</w:t>
            </w:r>
            <w:r>
              <w:rPr>
                <w:rFonts w:ascii="Calibri" w:hAnsi="Calibri" w:cs="Calibri"/>
                <w:b/>
                <w:bCs/>
                <w:color w:val="000000"/>
              </w:rPr>
              <w:t xml:space="preserve"> </w:t>
            </w:r>
          </w:p>
        </w:tc>
        <w:tc>
          <w:tcPr>
            <w:tcW w:w="1109" w:type="dxa"/>
            <w:tcBorders>
              <w:top w:val="single" w:sz="4" w:space="0" w:color="auto"/>
              <w:bottom w:val="double" w:sz="4" w:space="0" w:color="0D0D0D" w:themeColor="text1" w:themeTint="F2"/>
            </w:tcBorders>
            <w:shd w:val="clear" w:color="auto" w:fill="D9D9D9" w:themeFill="background1" w:themeFillShade="D9"/>
            <w:noWrap/>
            <w:vAlign w:val="center"/>
            <w:hideMark/>
          </w:tcPr>
          <w:p w14:paraId="4FF58744" w14:textId="2F0EE0CC" w:rsidR="00B05CD2" w:rsidRPr="00AD5B5C" w:rsidRDefault="00B05CD2" w:rsidP="00B05CD2">
            <w:pPr>
              <w:jc w:val="right"/>
              <w:rPr>
                <w:rFonts w:eastAsia="Times New Roman" w:cstheme="minorHAnsi"/>
                <w:color w:val="000000"/>
              </w:rPr>
            </w:pPr>
            <w:r>
              <w:rPr>
                <w:rFonts w:ascii="Calibri" w:hAnsi="Calibri" w:cs="Calibri"/>
                <w:b/>
                <w:bCs/>
                <w:color w:val="000000"/>
              </w:rPr>
              <w:t xml:space="preserve">$         82 </w:t>
            </w:r>
          </w:p>
        </w:tc>
        <w:tc>
          <w:tcPr>
            <w:tcW w:w="1109" w:type="dxa"/>
            <w:tcBorders>
              <w:top w:val="single" w:sz="4" w:space="0" w:color="auto"/>
              <w:bottom w:val="double" w:sz="4" w:space="0" w:color="0D0D0D" w:themeColor="text1" w:themeTint="F2"/>
            </w:tcBorders>
            <w:noWrap/>
            <w:vAlign w:val="center"/>
            <w:hideMark/>
          </w:tcPr>
          <w:p w14:paraId="195323EE" w14:textId="3D1764A4" w:rsidR="00B05CD2" w:rsidRPr="00DF43A9" w:rsidRDefault="00B05CD2" w:rsidP="00B05CD2">
            <w:pPr>
              <w:jc w:val="right"/>
              <w:rPr>
                <w:rFonts w:eastAsia="Times New Roman" w:cstheme="minorHAnsi"/>
                <w:color w:val="000000"/>
              </w:rPr>
            </w:pPr>
            <w:r w:rsidRPr="00DF43A9">
              <w:rPr>
                <w:rFonts w:ascii="Calibri" w:hAnsi="Calibri" w:cs="Calibri"/>
                <w:color w:val="000000"/>
              </w:rPr>
              <w:t xml:space="preserve">$         31 </w:t>
            </w:r>
          </w:p>
        </w:tc>
        <w:tc>
          <w:tcPr>
            <w:tcW w:w="942" w:type="dxa"/>
            <w:tcBorders>
              <w:top w:val="single" w:sz="4" w:space="0" w:color="auto"/>
              <w:bottom w:val="double" w:sz="4" w:space="0" w:color="0D0D0D" w:themeColor="text1" w:themeTint="F2"/>
            </w:tcBorders>
            <w:shd w:val="clear" w:color="auto" w:fill="D9D9D9" w:themeFill="background1" w:themeFillShade="D9"/>
            <w:noWrap/>
            <w:vAlign w:val="center"/>
            <w:hideMark/>
          </w:tcPr>
          <w:p w14:paraId="25962E57" w14:textId="34A84A01" w:rsidR="00B05CD2" w:rsidRPr="00AD5B5C" w:rsidRDefault="00B05CD2" w:rsidP="00B05CD2">
            <w:pPr>
              <w:jc w:val="right"/>
              <w:rPr>
                <w:rFonts w:eastAsia="Times New Roman" w:cstheme="minorHAnsi"/>
                <w:color w:val="000000"/>
              </w:rPr>
            </w:pPr>
            <w:r>
              <w:rPr>
                <w:rFonts w:ascii="Calibri" w:hAnsi="Calibri" w:cs="Calibri"/>
                <w:color w:val="000000"/>
              </w:rPr>
              <w:t xml:space="preserve">$       26 </w:t>
            </w:r>
          </w:p>
        </w:tc>
        <w:tc>
          <w:tcPr>
            <w:tcW w:w="900" w:type="dxa"/>
            <w:tcBorders>
              <w:top w:val="single" w:sz="4" w:space="0" w:color="auto"/>
              <w:bottom w:val="double" w:sz="4" w:space="0" w:color="0D0D0D" w:themeColor="text1" w:themeTint="F2"/>
            </w:tcBorders>
            <w:noWrap/>
            <w:vAlign w:val="center"/>
            <w:hideMark/>
          </w:tcPr>
          <w:p w14:paraId="0D7C8105" w14:textId="2F705BF6" w:rsidR="00B05CD2" w:rsidRPr="00AD5B5C" w:rsidRDefault="00B05CD2" w:rsidP="00B05CD2">
            <w:pPr>
              <w:jc w:val="right"/>
              <w:rPr>
                <w:rFonts w:eastAsia="Times New Roman" w:cstheme="minorHAnsi"/>
                <w:color w:val="000000"/>
              </w:rPr>
            </w:pPr>
            <w:r>
              <w:rPr>
                <w:rFonts w:ascii="Calibri" w:hAnsi="Calibri" w:cs="Calibri"/>
                <w:color w:val="000000"/>
              </w:rPr>
              <w:t xml:space="preserve">$    112 </w:t>
            </w:r>
          </w:p>
        </w:tc>
      </w:tr>
    </w:tbl>
    <w:p w14:paraId="639D27D6" w14:textId="77777777" w:rsidR="00847510" w:rsidRDefault="00847510">
      <w:pPr>
        <w:spacing w:after="160" w:line="259" w:lineRule="auto"/>
        <w:rPr>
          <w:rFonts w:cstheme="minorHAnsi"/>
          <w:b/>
          <w:i/>
          <w:sz w:val="24"/>
          <w:szCs w:val="20"/>
          <w:u w:val="single" w:color="000000" w:themeColor="text1"/>
        </w:rPr>
      </w:pPr>
      <w:r>
        <w:rPr>
          <w:rFonts w:cstheme="minorHAnsi"/>
          <w:sz w:val="24"/>
          <w:szCs w:val="20"/>
        </w:rPr>
        <w:br w:type="page"/>
      </w:r>
    </w:p>
    <w:p w14:paraId="34104B83" w14:textId="460FB4F0" w:rsidR="00A83362" w:rsidRPr="004E6649" w:rsidRDefault="00A83362" w:rsidP="00A83362">
      <w:pPr>
        <w:pStyle w:val="AFR3"/>
        <w:rPr>
          <w:rFonts w:cstheme="minorHAnsi"/>
          <w:sz w:val="24"/>
          <w:szCs w:val="20"/>
        </w:rPr>
      </w:pPr>
      <w:r w:rsidRPr="004E6649">
        <w:rPr>
          <w:rFonts w:cstheme="minorHAnsi"/>
          <w:sz w:val="24"/>
          <w:szCs w:val="20"/>
        </w:rPr>
        <w:lastRenderedPageBreak/>
        <w:t>Operating and Nonoperating Revenue</w:t>
      </w:r>
    </w:p>
    <w:p w14:paraId="702DB4BB" w14:textId="77777777" w:rsidR="00A83362" w:rsidRPr="004E6649" w:rsidRDefault="00A83362" w:rsidP="00A83362">
      <w:pPr>
        <w:spacing w:after="120"/>
        <w:rPr>
          <w:rFonts w:eastAsia="Times New Roman" w:cstheme="minorHAnsi"/>
          <w:sz w:val="24"/>
        </w:rPr>
      </w:pPr>
      <w:r w:rsidRPr="004E6649">
        <w:rPr>
          <w:rFonts w:eastAsia="Times New Roman" w:cstheme="minorHAnsi"/>
          <w:sz w:val="24"/>
        </w:rPr>
        <w:t>UMS revenues and expenses are categorized as either operating or nonoperating.</w:t>
      </w:r>
    </w:p>
    <w:p w14:paraId="247B6977" w14:textId="77777777" w:rsidR="00A83362" w:rsidRPr="004E6649" w:rsidRDefault="00A83362" w:rsidP="00A83362">
      <w:pPr>
        <w:pStyle w:val="ListParagraph"/>
        <w:numPr>
          <w:ilvl w:val="0"/>
          <w:numId w:val="18"/>
        </w:numPr>
        <w:contextualSpacing w:val="0"/>
        <w:rPr>
          <w:rFonts w:asciiTheme="minorHAnsi" w:hAnsiTheme="minorHAnsi" w:cstheme="minorHAnsi"/>
        </w:rPr>
      </w:pPr>
      <w:r w:rsidRPr="004E6649">
        <w:rPr>
          <w:rFonts w:asciiTheme="minorHAnsi" w:hAnsiTheme="minorHAnsi" w:cstheme="minorHAnsi"/>
          <w:szCs w:val="22"/>
        </w:rPr>
        <w:t>In addition to tuition and fees, the System receives operating revenue from other sources such as governmental and privately funded grants and contracts; educational sales and services; and auxiliary enterprises.</w:t>
      </w:r>
    </w:p>
    <w:p w14:paraId="2D89B3B4" w14:textId="77777777" w:rsidR="00A83362" w:rsidRPr="004E6649" w:rsidRDefault="00A83362" w:rsidP="00A83362">
      <w:pPr>
        <w:pStyle w:val="ListParagraph"/>
        <w:numPr>
          <w:ilvl w:val="0"/>
          <w:numId w:val="18"/>
        </w:numPr>
        <w:contextualSpacing w:val="0"/>
        <w:rPr>
          <w:rFonts w:asciiTheme="minorHAnsi" w:hAnsiTheme="minorHAnsi" w:cstheme="minorHAnsi"/>
        </w:rPr>
      </w:pPr>
      <w:r w:rsidRPr="004E6649">
        <w:rPr>
          <w:rFonts w:asciiTheme="minorHAnsi" w:hAnsiTheme="minorHAnsi" w:cstheme="minorHAnsi"/>
          <w:szCs w:val="22"/>
        </w:rPr>
        <w:t>Certain significant recurring revenues and expenses are considered nonoperating including state noncapital appropriations, federal Pell grants, coronavirus relief funding, gifts, endowment return used for operations, investment income, and interest expense.</w:t>
      </w:r>
    </w:p>
    <w:p w14:paraId="16BFC015" w14:textId="77777777" w:rsidR="00A83362" w:rsidRPr="004E6649" w:rsidRDefault="00A83362" w:rsidP="00A83362">
      <w:pPr>
        <w:ind w:left="360"/>
        <w:rPr>
          <w:rFonts w:eastAsia="Times New Roman" w:cstheme="minorHAnsi"/>
        </w:rPr>
      </w:pPr>
    </w:p>
    <w:p w14:paraId="719A1B3F" w14:textId="468F0E8F" w:rsidR="008A4EB7" w:rsidRDefault="00A83362" w:rsidP="0048617B">
      <w:pPr>
        <w:rPr>
          <w:rFonts w:eastAsia="Times New Roman" w:cstheme="minorHAnsi"/>
          <w:sz w:val="24"/>
        </w:rPr>
      </w:pPr>
      <w:r w:rsidRPr="004E6649">
        <w:rPr>
          <w:rFonts w:eastAsia="Times New Roman" w:cstheme="minorHAnsi"/>
          <w:sz w:val="24"/>
        </w:rPr>
        <w:t xml:space="preserve">The </w:t>
      </w:r>
      <w:r w:rsidR="00E1495D">
        <w:rPr>
          <w:rFonts w:eastAsia="Times New Roman" w:cstheme="minorHAnsi"/>
          <w:sz w:val="24"/>
        </w:rPr>
        <w:t xml:space="preserve">following </w:t>
      </w:r>
      <w:r w:rsidRPr="004E6649">
        <w:rPr>
          <w:rFonts w:eastAsia="Times New Roman" w:cstheme="minorHAnsi"/>
          <w:sz w:val="24"/>
        </w:rPr>
        <w:t>pie charts</w:t>
      </w:r>
      <w:r w:rsidR="003B1987">
        <w:rPr>
          <w:rFonts w:eastAsia="Times New Roman" w:cstheme="minorHAnsi"/>
          <w:sz w:val="24"/>
        </w:rPr>
        <w:t xml:space="preserve"> </w:t>
      </w:r>
      <w:r w:rsidRPr="004E6649">
        <w:rPr>
          <w:rFonts w:eastAsia="Times New Roman" w:cstheme="minorHAnsi"/>
          <w:sz w:val="24"/>
        </w:rPr>
        <w:t xml:space="preserve">illustrate the total operating and net nonoperating revenue sources used to fund the System’s activities for </w:t>
      </w:r>
      <w:r w:rsidR="00A371A2" w:rsidRPr="004E6649">
        <w:rPr>
          <w:rFonts w:eastAsia="Times New Roman" w:cstheme="minorHAnsi"/>
          <w:sz w:val="24"/>
        </w:rPr>
        <w:t>FY2</w:t>
      </w:r>
      <w:r w:rsidR="00A371A2">
        <w:rPr>
          <w:rFonts w:eastAsia="Times New Roman" w:cstheme="minorHAnsi"/>
          <w:sz w:val="24"/>
        </w:rPr>
        <w:t>5</w:t>
      </w:r>
      <w:r w:rsidR="00A371A2" w:rsidRPr="004E6649">
        <w:rPr>
          <w:rFonts w:eastAsia="Times New Roman" w:cstheme="minorHAnsi"/>
          <w:sz w:val="24"/>
        </w:rPr>
        <w:t xml:space="preserve"> </w:t>
      </w:r>
      <w:r w:rsidRPr="004E6649">
        <w:rPr>
          <w:rFonts w:eastAsia="Times New Roman" w:cstheme="minorHAnsi"/>
          <w:sz w:val="24"/>
        </w:rPr>
        <w:t xml:space="preserve">and </w:t>
      </w:r>
      <w:r w:rsidR="00A371A2" w:rsidRPr="004E6649">
        <w:rPr>
          <w:rFonts w:eastAsia="Times New Roman" w:cstheme="minorHAnsi"/>
          <w:sz w:val="24"/>
        </w:rPr>
        <w:t>FY2</w:t>
      </w:r>
      <w:r w:rsidR="00A371A2">
        <w:rPr>
          <w:rFonts w:eastAsia="Times New Roman" w:cstheme="minorHAnsi"/>
          <w:sz w:val="24"/>
        </w:rPr>
        <w:t>4</w:t>
      </w:r>
      <w:r w:rsidRPr="004E6649">
        <w:rPr>
          <w:rFonts w:eastAsia="Times New Roman" w:cstheme="minorHAnsi"/>
          <w:sz w:val="24"/>
        </w:rPr>
        <w:t>.</w:t>
      </w:r>
    </w:p>
    <w:p w14:paraId="27459201" w14:textId="10ABCF6C" w:rsidR="003B1987" w:rsidRDefault="003B1987" w:rsidP="0048617B">
      <w:pPr>
        <w:rPr>
          <w:rFonts w:eastAsia="Times New Roman" w:cstheme="minorHAnsi"/>
          <w:sz w:val="24"/>
        </w:rPr>
      </w:pPr>
    </w:p>
    <w:p w14:paraId="441F7398" w14:textId="610C69AF" w:rsidR="00A371A2" w:rsidRDefault="003B1987" w:rsidP="00DF43A9">
      <w:pPr>
        <w:spacing w:after="160" w:line="259" w:lineRule="auto"/>
        <w:jc w:val="center"/>
        <w:rPr>
          <w:rFonts w:eastAsia="Times New Roman" w:cstheme="minorHAnsi"/>
          <w:b/>
          <w:sz w:val="24"/>
        </w:rPr>
      </w:pPr>
      <w:r w:rsidRPr="003B1987">
        <w:rPr>
          <w:rFonts w:eastAsia="Times New Roman" w:cstheme="minorHAnsi"/>
          <w:b/>
          <w:sz w:val="24"/>
        </w:rPr>
        <w:t>Chart 6: Total Operating and Net Nonoperating Revenue</w:t>
      </w:r>
      <w:r w:rsidR="00674BE7">
        <w:rPr>
          <w:noProof/>
          <w14:ligatures w14:val="standardContextual"/>
        </w:rPr>
        <w:drawing>
          <wp:inline distT="0" distB="0" distL="0" distR="0" wp14:anchorId="343F50C4" wp14:editId="17FFF788">
            <wp:extent cx="6309360" cy="3383280"/>
            <wp:effectExtent l="0" t="0" r="0" b="0"/>
            <wp:docPr id="768617610" name="Chart 1" descr="2025 Operating and Net Nonoperating revenue">
              <a:extLst xmlns:a="http://schemas.openxmlformats.org/drawingml/2006/main">
                <a:ext uri="{FF2B5EF4-FFF2-40B4-BE49-F238E27FC236}">
                  <a16:creationId xmlns:a16="http://schemas.microsoft.com/office/drawing/2014/main" id="{5B0D9938-5D3A-4D65-9D3E-DC46A104A49A}"/>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1B5D850" w14:textId="100D2DB3" w:rsidR="00A371A2" w:rsidRDefault="00A371A2" w:rsidP="00A371A2">
      <w:pPr>
        <w:spacing w:after="120"/>
        <w:ind w:left="360"/>
        <w:jc w:val="center"/>
        <w:rPr>
          <w:rFonts w:eastAsia="Times New Roman" w:cstheme="minorHAnsi"/>
          <w:b/>
          <w:color w:val="0D0D0D" w:themeColor="text1" w:themeTint="F2"/>
        </w:rPr>
      </w:pPr>
      <w:r>
        <w:rPr>
          <w:rFonts w:eastAsia="Times New Roman" w:cstheme="minorHAnsi"/>
          <w:b/>
          <w:color w:val="0D0D0D" w:themeColor="text1" w:themeTint="F2"/>
        </w:rPr>
        <w:t xml:space="preserve">FY25 </w:t>
      </w:r>
      <w:r w:rsidRPr="0048617B">
        <w:rPr>
          <w:rFonts w:eastAsia="Times New Roman" w:cstheme="minorHAnsi"/>
          <w:b/>
          <w:color w:val="0D0D0D" w:themeColor="text1" w:themeTint="F2"/>
        </w:rPr>
        <w:t>Total Operating and Net Nonoperating Revenue</w:t>
      </w:r>
      <w:r>
        <w:rPr>
          <w:rFonts w:eastAsia="Times New Roman" w:cstheme="minorHAnsi"/>
          <w:b/>
          <w:color w:val="0D0D0D" w:themeColor="text1" w:themeTint="F2"/>
        </w:rPr>
        <w:t xml:space="preserve"> (in millions)</w:t>
      </w:r>
    </w:p>
    <w:tbl>
      <w:tblPr>
        <w:tblW w:w="5434" w:type="dxa"/>
        <w:jc w:val="center"/>
        <w:tblLook w:val="04A0" w:firstRow="1" w:lastRow="0" w:firstColumn="1" w:lastColumn="0" w:noHBand="0" w:noVBand="1"/>
      </w:tblPr>
      <w:tblGrid>
        <w:gridCol w:w="3690"/>
        <w:gridCol w:w="1080"/>
        <w:gridCol w:w="664"/>
      </w:tblGrid>
      <w:tr w:rsidR="00A371A2" w:rsidRPr="00B93C25" w14:paraId="51FC5914" w14:textId="77777777" w:rsidTr="00A371A2">
        <w:trPr>
          <w:trHeight w:val="70"/>
          <w:jc w:val="center"/>
        </w:trPr>
        <w:tc>
          <w:tcPr>
            <w:tcW w:w="3690" w:type="dxa"/>
            <w:tcBorders>
              <w:top w:val="single" w:sz="4" w:space="0" w:color="000000"/>
              <w:left w:val="nil"/>
              <w:bottom w:val="single" w:sz="4" w:space="0" w:color="000000"/>
              <w:right w:val="nil"/>
            </w:tcBorders>
            <w:noWrap/>
            <w:vAlign w:val="bottom"/>
            <w:hideMark/>
          </w:tcPr>
          <w:p w14:paraId="38381AAD" w14:textId="764624AD" w:rsidR="00A371A2" w:rsidRPr="00AD5B5C" w:rsidRDefault="00A371A2" w:rsidP="00730ECF">
            <w:pPr>
              <w:jc w:val="center"/>
              <w:rPr>
                <w:rFonts w:eastAsia="Times New Roman" w:cstheme="minorHAnsi"/>
                <w:b/>
                <w:bCs/>
                <w:color w:val="000000"/>
                <w:sz w:val="20"/>
                <w:szCs w:val="20"/>
              </w:rPr>
            </w:pPr>
            <w:r w:rsidRPr="00AD5B5C">
              <w:rPr>
                <w:rFonts w:eastAsia="Times New Roman" w:cstheme="minorHAnsi"/>
                <w:b/>
                <w:bCs/>
                <w:color w:val="000000"/>
                <w:sz w:val="20"/>
                <w:szCs w:val="20"/>
              </w:rPr>
              <w:t>202</w:t>
            </w:r>
            <w:r>
              <w:rPr>
                <w:rFonts w:eastAsia="Times New Roman" w:cstheme="minorHAnsi"/>
                <w:b/>
                <w:bCs/>
                <w:color w:val="000000"/>
                <w:sz w:val="20"/>
                <w:szCs w:val="20"/>
              </w:rPr>
              <w:t>5</w:t>
            </w:r>
          </w:p>
        </w:tc>
        <w:tc>
          <w:tcPr>
            <w:tcW w:w="1080" w:type="dxa"/>
            <w:tcBorders>
              <w:top w:val="single" w:sz="4" w:space="0" w:color="000000"/>
              <w:left w:val="nil"/>
              <w:bottom w:val="single" w:sz="4" w:space="0" w:color="000000"/>
              <w:right w:val="nil"/>
            </w:tcBorders>
            <w:noWrap/>
            <w:vAlign w:val="bottom"/>
            <w:hideMark/>
          </w:tcPr>
          <w:p w14:paraId="5B643FBB" w14:textId="77777777" w:rsidR="00A371A2" w:rsidRPr="00AD5B5C" w:rsidRDefault="00A371A2" w:rsidP="00730ECF">
            <w:pPr>
              <w:jc w:val="center"/>
              <w:rPr>
                <w:rFonts w:eastAsia="Times New Roman" w:cstheme="minorHAnsi"/>
                <w:b/>
                <w:bCs/>
                <w:color w:val="000000"/>
                <w:sz w:val="20"/>
                <w:szCs w:val="20"/>
              </w:rPr>
            </w:pPr>
            <w:r w:rsidRPr="00AD5B5C">
              <w:rPr>
                <w:rFonts w:eastAsia="Times New Roman" w:cstheme="minorHAnsi"/>
                <w:b/>
                <w:bCs/>
                <w:color w:val="000000"/>
                <w:sz w:val="20"/>
                <w:szCs w:val="20"/>
              </w:rPr>
              <w:t>$ Amount</w:t>
            </w:r>
          </w:p>
        </w:tc>
        <w:tc>
          <w:tcPr>
            <w:tcW w:w="664" w:type="dxa"/>
            <w:tcBorders>
              <w:top w:val="single" w:sz="4" w:space="0" w:color="000000"/>
              <w:left w:val="nil"/>
              <w:bottom w:val="single" w:sz="4" w:space="0" w:color="000000"/>
              <w:right w:val="nil"/>
            </w:tcBorders>
            <w:noWrap/>
            <w:vAlign w:val="bottom"/>
            <w:hideMark/>
          </w:tcPr>
          <w:p w14:paraId="2FEDD475" w14:textId="77777777" w:rsidR="00A371A2" w:rsidRPr="00AD5B5C" w:rsidRDefault="00A371A2" w:rsidP="00730ECF">
            <w:pPr>
              <w:jc w:val="center"/>
              <w:rPr>
                <w:rFonts w:eastAsia="Times New Roman" w:cstheme="minorHAnsi"/>
                <w:b/>
                <w:bCs/>
                <w:color w:val="000000"/>
                <w:sz w:val="20"/>
                <w:szCs w:val="20"/>
              </w:rPr>
            </w:pPr>
            <w:r w:rsidRPr="00AD5B5C">
              <w:rPr>
                <w:rFonts w:eastAsia="Times New Roman" w:cstheme="minorHAnsi"/>
                <w:b/>
                <w:bCs/>
                <w:color w:val="000000"/>
                <w:sz w:val="20"/>
                <w:szCs w:val="20"/>
              </w:rPr>
              <w:t>%</w:t>
            </w:r>
          </w:p>
        </w:tc>
      </w:tr>
      <w:tr w:rsidR="00674BE7" w:rsidRPr="00B93C25" w14:paraId="3E5C5C3B" w14:textId="77777777" w:rsidTr="00DF43A9">
        <w:trPr>
          <w:trHeight w:val="70"/>
          <w:jc w:val="center"/>
        </w:trPr>
        <w:tc>
          <w:tcPr>
            <w:tcW w:w="3690" w:type="dxa"/>
            <w:tcBorders>
              <w:top w:val="nil"/>
              <w:left w:val="nil"/>
              <w:bottom w:val="nil"/>
              <w:right w:val="nil"/>
            </w:tcBorders>
            <w:noWrap/>
            <w:vAlign w:val="bottom"/>
            <w:hideMark/>
          </w:tcPr>
          <w:p w14:paraId="58F24688" w14:textId="77777777" w:rsidR="00674BE7" w:rsidRPr="00AD5B5C" w:rsidRDefault="00674BE7" w:rsidP="00674BE7">
            <w:pPr>
              <w:rPr>
                <w:rFonts w:eastAsia="Times New Roman" w:cstheme="minorHAnsi"/>
                <w:color w:val="000000"/>
                <w:sz w:val="20"/>
                <w:szCs w:val="20"/>
              </w:rPr>
            </w:pPr>
            <w:r w:rsidRPr="00AD5B5C">
              <w:rPr>
                <w:rFonts w:eastAsia="Times New Roman" w:cstheme="minorHAnsi"/>
                <w:color w:val="000000"/>
                <w:sz w:val="20"/>
                <w:szCs w:val="20"/>
              </w:rPr>
              <w:t xml:space="preserve">Net Student Fees </w:t>
            </w:r>
          </w:p>
        </w:tc>
        <w:tc>
          <w:tcPr>
            <w:tcW w:w="1080" w:type="dxa"/>
            <w:tcBorders>
              <w:top w:val="nil"/>
              <w:left w:val="nil"/>
              <w:bottom w:val="nil"/>
              <w:right w:val="nil"/>
            </w:tcBorders>
            <w:noWrap/>
            <w:hideMark/>
          </w:tcPr>
          <w:p w14:paraId="6188A952" w14:textId="4ED5F30E" w:rsidR="00674BE7" w:rsidRPr="00674BE7" w:rsidRDefault="00674BE7" w:rsidP="00674BE7">
            <w:pPr>
              <w:jc w:val="right"/>
              <w:rPr>
                <w:rFonts w:eastAsia="Times New Roman" w:cstheme="minorHAnsi"/>
                <w:color w:val="000000"/>
                <w:sz w:val="20"/>
                <w:szCs w:val="20"/>
              </w:rPr>
            </w:pPr>
            <w:r w:rsidRPr="00DF43A9">
              <w:rPr>
                <w:sz w:val="20"/>
                <w:szCs w:val="20"/>
              </w:rPr>
              <w:t>$262</w:t>
            </w:r>
          </w:p>
        </w:tc>
        <w:tc>
          <w:tcPr>
            <w:tcW w:w="664" w:type="dxa"/>
            <w:tcBorders>
              <w:top w:val="nil"/>
              <w:left w:val="nil"/>
              <w:bottom w:val="nil"/>
              <w:right w:val="nil"/>
            </w:tcBorders>
            <w:noWrap/>
            <w:hideMark/>
          </w:tcPr>
          <w:p w14:paraId="52D4876E" w14:textId="712783CA" w:rsidR="00674BE7" w:rsidRPr="00674BE7" w:rsidRDefault="00674BE7" w:rsidP="00674BE7">
            <w:pPr>
              <w:jc w:val="right"/>
              <w:rPr>
                <w:rFonts w:eastAsia="Times New Roman" w:cstheme="minorHAnsi"/>
                <w:color w:val="000000"/>
                <w:sz w:val="20"/>
                <w:szCs w:val="20"/>
              </w:rPr>
            </w:pPr>
            <w:r w:rsidRPr="00DF43A9">
              <w:rPr>
                <w:sz w:val="20"/>
                <w:szCs w:val="20"/>
              </w:rPr>
              <w:t>29%</w:t>
            </w:r>
          </w:p>
        </w:tc>
      </w:tr>
      <w:tr w:rsidR="00674BE7" w:rsidRPr="00B93C25" w14:paraId="587E7FA0" w14:textId="77777777" w:rsidTr="00DF43A9">
        <w:trPr>
          <w:trHeight w:val="80"/>
          <w:jc w:val="center"/>
        </w:trPr>
        <w:tc>
          <w:tcPr>
            <w:tcW w:w="3690" w:type="dxa"/>
            <w:tcBorders>
              <w:top w:val="nil"/>
              <w:left w:val="nil"/>
              <w:bottom w:val="nil"/>
              <w:right w:val="nil"/>
            </w:tcBorders>
            <w:noWrap/>
            <w:vAlign w:val="bottom"/>
            <w:hideMark/>
          </w:tcPr>
          <w:p w14:paraId="784B1208" w14:textId="77777777" w:rsidR="00674BE7" w:rsidRPr="00AD5B5C" w:rsidRDefault="00674BE7" w:rsidP="00674BE7">
            <w:pPr>
              <w:rPr>
                <w:rFonts w:eastAsia="Times New Roman" w:cstheme="minorHAnsi"/>
                <w:color w:val="000000"/>
                <w:sz w:val="20"/>
                <w:szCs w:val="20"/>
              </w:rPr>
            </w:pPr>
            <w:r w:rsidRPr="00AD5B5C">
              <w:rPr>
                <w:rFonts w:eastAsia="Times New Roman" w:cstheme="minorHAnsi"/>
                <w:color w:val="000000"/>
                <w:sz w:val="20"/>
                <w:szCs w:val="20"/>
              </w:rPr>
              <w:t>Noncapital State Appropriation</w:t>
            </w:r>
          </w:p>
        </w:tc>
        <w:tc>
          <w:tcPr>
            <w:tcW w:w="1080" w:type="dxa"/>
            <w:tcBorders>
              <w:top w:val="nil"/>
              <w:left w:val="nil"/>
              <w:bottom w:val="nil"/>
              <w:right w:val="nil"/>
            </w:tcBorders>
            <w:noWrap/>
            <w:hideMark/>
          </w:tcPr>
          <w:p w14:paraId="72FFAB7F" w14:textId="294C420F" w:rsidR="00674BE7" w:rsidRPr="00674BE7" w:rsidRDefault="00674BE7" w:rsidP="00674BE7">
            <w:pPr>
              <w:jc w:val="right"/>
              <w:rPr>
                <w:rFonts w:eastAsia="Times New Roman" w:cstheme="minorHAnsi"/>
                <w:color w:val="000000"/>
                <w:sz w:val="20"/>
                <w:szCs w:val="20"/>
              </w:rPr>
            </w:pPr>
            <w:r w:rsidRPr="00DF43A9">
              <w:rPr>
                <w:sz w:val="20"/>
                <w:szCs w:val="20"/>
              </w:rPr>
              <w:t>27</w:t>
            </w:r>
            <w:r w:rsidR="00E1495D">
              <w:rPr>
                <w:sz w:val="20"/>
                <w:szCs w:val="20"/>
              </w:rPr>
              <w:t>0</w:t>
            </w:r>
          </w:p>
        </w:tc>
        <w:tc>
          <w:tcPr>
            <w:tcW w:w="664" w:type="dxa"/>
            <w:tcBorders>
              <w:top w:val="nil"/>
              <w:left w:val="nil"/>
              <w:bottom w:val="nil"/>
              <w:right w:val="nil"/>
            </w:tcBorders>
            <w:noWrap/>
            <w:hideMark/>
          </w:tcPr>
          <w:p w14:paraId="55632B3C" w14:textId="3AC474D6" w:rsidR="00674BE7" w:rsidRPr="00674BE7" w:rsidRDefault="00674BE7" w:rsidP="00674BE7">
            <w:pPr>
              <w:jc w:val="right"/>
              <w:rPr>
                <w:rFonts w:eastAsia="Times New Roman" w:cstheme="minorHAnsi"/>
                <w:color w:val="000000"/>
                <w:sz w:val="20"/>
                <w:szCs w:val="20"/>
              </w:rPr>
            </w:pPr>
            <w:r w:rsidRPr="00DF43A9">
              <w:rPr>
                <w:sz w:val="20"/>
                <w:szCs w:val="20"/>
              </w:rPr>
              <w:t>30%</w:t>
            </w:r>
          </w:p>
        </w:tc>
      </w:tr>
      <w:tr w:rsidR="00674BE7" w:rsidRPr="00B93C25" w14:paraId="4A93B30D" w14:textId="77777777" w:rsidTr="00DF43A9">
        <w:trPr>
          <w:trHeight w:val="80"/>
          <w:jc w:val="center"/>
        </w:trPr>
        <w:tc>
          <w:tcPr>
            <w:tcW w:w="3690" w:type="dxa"/>
            <w:tcBorders>
              <w:top w:val="nil"/>
              <w:left w:val="nil"/>
              <w:bottom w:val="nil"/>
              <w:right w:val="nil"/>
            </w:tcBorders>
            <w:noWrap/>
            <w:vAlign w:val="bottom"/>
            <w:hideMark/>
          </w:tcPr>
          <w:p w14:paraId="07F30D5F" w14:textId="77777777" w:rsidR="00674BE7" w:rsidRPr="00AD5B5C" w:rsidRDefault="00674BE7" w:rsidP="00674BE7">
            <w:pPr>
              <w:rPr>
                <w:rFonts w:eastAsia="Times New Roman" w:cstheme="minorHAnsi"/>
                <w:color w:val="000000"/>
                <w:sz w:val="20"/>
                <w:szCs w:val="20"/>
              </w:rPr>
            </w:pPr>
            <w:r w:rsidRPr="00AD5B5C">
              <w:rPr>
                <w:rFonts w:eastAsia="Times New Roman" w:cstheme="minorHAnsi"/>
                <w:color w:val="000000"/>
                <w:sz w:val="20"/>
                <w:szCs w:val="20"/>
              </w:rPr>
              <w:t xml:space="preserve">Grants &amp; Contracts </w:t>
            </w:r>
          </w:p>
        </w:tc>
        <w:tc>
          <w:tcPr>
            <w:tcW w:w="1080" w:type="dxa"/>
            <w:tcBorders>
              <w:top w:val="nil"/>
              <w:left w:val="nil"/>
              <w:bottom w:val="nil"/>
              <w:right w:val="nil"/>
            </w:tcBorders>
            <w:noWrap/>
            <w:hideMark/>
          </w:tcPr>
          <w:p w14:paraId="1254ACBD" w14:textId="5C1D5C9F" w:rsidR="00674BE7" w:rsidRPr="00674BE7" w:rsidRDefault="00674BE7" w:rsidP="00674BE7">
            <w:pPr>
              <w:jc w:val="right"/>
              <w:rPr>
                <w:rFonts w:eastAsia="Times New Roman" w:cstheme="minorHAnsi"/>
                <w:color w:val="000000"/>
                <w:sz w:val="20"/>
                <w:szCs w:val="20"/>
              </w:rPr>
            </w:pPr>
            <w:r w:rsidRPr="00DF43A9">
              <w:rPr>
                <w:sz w:val="20"/>
                <w:szCs w:val="20"/>
              </w:rPr>
              <w:t>183</w:t>
            </w:r>
          </w:p>
        </w:tc>
        <w:tc>
          <w:tcPr>
            <w:tcW w:w="664" w:type="dxa"/>
            <w:tcBorders>
              <w:top w:val="nil"/>
              <w:left w:val="nil"/>
              <w:bottom w:val="nil"/>
              <w:right w:val="nil"/>
            </w:tcBorders>
            <w:noWrap/>
            <w:hideMark/>
          </w:tcPr>
          <w:p w14:paraId="55737D1D" w14:textId="400548BC" w:rsidR="00674BE7" w:rsidRPr="00674BE7" w:rsidRDefault="00674BE7" w:rsidP="00674BE7">
            <w:pPr>
              <w:jc w:val="right"/>
              <w:rPr>
                <w:rFonts w:eastAsia="Times New Roman" w:cstheme="minorHAnsi"/>
                <w:color w:val="000000"/>
                <w:sz w:val="20"/>
                <w:szCs w:val="20"/>
              </w:rPr>
            </w:pPr>
            <w:r w:rsidRPr="00DF43A9">
              <w:rPr>
                <w:sz w:val="20"/>
                <w:szCs w:val="20"/>
              </w:rPr>
              <w:t>20%</w:t>
            </w:r>
          </w:p>
        </w:tc>
      </w:tr>
      <w:tr w:rsidR="00A371A2" w:rsidRPr="00B93C25" w14:paraId="30E3A0AD" w14:textId="77777777" w:rsidTr="00DF43A9">
        <w:trPr>
          <w:trHeight w:val="80"/>
          <w:jc w:val="center"/>
        </w:trPr>
        <w:tc>
          <w:tcPr>
            <w:tcW w:w="3690" w:type="dxa"/>
            <w:tcBorders>
              <w:top w:val="nil"/>
              <w:left w:val="nil"/>
              <w:bottom w:val="nil"/>
              <w:right w:val="nil"/>
            </w:tcBorders>
            <w:noWrap/>
            <w:vAlign w:val="bottom"/>
            <w:hideMark/>
          </w:tcPr>
          <w:p w14:paraId="1F48DAAF" w14:textId="77777777" w:rsidR="00A371A2" w:rsidRPr="00AD5B5C" w:rsidRDefault="00A371A2" w:rsidP="00A371A2">
            <w:pPr>
              <w:rPr>
                <w:rFonts w:eastAsia="Times New Roman" w:cstheme="minorHAnsi"/>
                <w:color w:val="000000"/>
                <w:sz w:val="20"/>
                <w:szCs w:val="20"/>
              </w:rPr>
            </w:pPr>
            <w:r w:rsidRPr="00AD5B5C">
              <w:rPr>
                <w:rFonts w:eastAsia="Times New Roman" w:cstheme="minorHAnsi"/>
                <w:color w:val="000000"/>
                <w:sz w:val="20"/>
                <w:szCs w:val="20"/>
              </w:rPr>
              <w:t>Other:</w:t>
            </w:r>
          </w:p>
        </w:tc>
        <w:tc>
          <w:tcPr>
            <w:tcW w:w="1080" w:type="dxa"/>
            <w:tcBorders>
              <w:top w:val="nil"/>
              <w:left w:val="nil"/>
              <w:bottom w:val="nil"/>
              <w:right w:val="nil"/>
            </w:tcBorders>
            <w:noWrap/>
            <w:hideMark/>
          </w:tcPr>
          <w:p w14:paraId="48FA20B3" w14:textId="70B06992" w:rsidR="00A371A2" w:rsidRPr="00AD5B5C" w:rsidRDefault="0052781A" w:rsidP="00A371A2">
            <w:pPr>
              <w:jc w:val="right"/>
              <w:rPr>
                <w:rFonts w:eastAsia="Times New Roman" w:cstheme="minorHAnsi"/>
                <w:color w:val="000000"/>
                <w:sz w:val="20"/>
                <w:szCs w:val="20"/>
              </w:rPr>
            </w:pPr>
            <w:r>
              <w:rPr>
                <w:rFonts w:eastAsia="Times New Roman" w:cstheme="minorHAnsi"/>
                <w:color w:val="000000"/>
                <w:sz w:val="20"/>
                <w:szCs w:val="20"/>
              </w:rPr>
              <w:t>184</w:t>
            </w:r>
          </w:p>
        </w:tc>
        <w:tc>
          <w:tcPr>
            <w:tcW w:w="664" w:type="dxa"/>
            <w:tcBorders>
              <w:top w:val="nil"/>
              <w:left w:val="nil"/>
              <w:bottom w:val="nil"/>
              <w:right w:val="nil"/>
            </w:tcBorders>
            <w:noWrap/>
            <w:hideMark/>
          </w:tcPr>
          <w:p w14:paraId="3EC5448D" w14:textId="49ABA475" w:rsidR="00A371A2" w:rsidRPr="00DF43A9" w:rsidRDefault="0052781A" w:rsidP="00A371A2">
            <w:pPr>
              <w:jc w:val="right"/>
              <w:rPr>
                <w:rFonts w:eastAsia="Times New Roman" w:cstheme="minorHAnsi"/>
                <w:color w:val="000000"/>
                <w:sz w:val="20"/>
                <w:szCs w:val="20"/>
              </w:rPr>
            </w:pPr>
            <w:r>
              <w:rPr>
                <w:rFonts w:eastAsia="Times New Roman" w:cstheme="minorHAnsi"/>
                <w:color w:val="000000"/>
                <w:sz w:val="20"/>
                <w:szCs w:val="20"/>
              </w:rPr>
              <w:t>21%</w:t>
            </w:r>
          </w:p>
        </w:tc>
      </w:tr>
      <w:tr w:rsidR="00A371A2" w:rsidRPr="00B93C25" w14:paraId="170423EA" w14:textId="77777777" w:rsidTr="00DF43A9">
        <w:trPr>
          <w:trHeight w:val="80"/>
          <w:jc w:val="center"/>
        </w:trPr>
        <w:tc>
          <w:tcPr>
            <w:tcW w:w="3690" w:type="dxa"/>
            <w:tcBorders>
              <w:top w:val="nil"/>
              <w:left w:val="nil"/>
              <w:bottom w:val="nil"/>
              <w:right w:val="nil"/>
            </w:tcBorders>
            <w:noWrap/>
            <w:vAlign w:val="bottom"/>
            <w:hideMark/>
          </w:tcPr>
          <w:p w14:paraId="2797E351" w14:textId="77777777" w:rsidR="00A371A2" w:rsidRPr="00D709CA" w:rsidRDefault="00A371A2" w:rsidP="00A371A2">
            <w:pPr>
              <w:ind w:firstLineChars="100" w:firstLine="180"/>
              <w:rPr>
                <w:rFonts w:eastAsia="Times New Roman" w:cstheme="minorHAnsi"/>
                <w:i/>
                <w:iCs/>
                <w:color w:val="000000"/>
                <w:sz w:val="18"/>
                <w:szCs w:val="18"/>
              </w:rPr>
            </w:pPr>
            <w:r w:rsidRPr="00D709CA">
              <w:rPr>
                <w:rFonts w:eastAsia="Times New Roman" w:cstheme="minorHAnsi"/>
                <w:i/>
                <w:iCs/>
                <w:color w:val="000000"/>
                <w:sz w:val="18"/>
                <w:szCs w:val="18"/>
              </w:rPr>
              <w:t>Educ. Sales &amp; Services/Aux. Enterprises</w:t>
            </w:r>
          </w:p>
        </w:tc>
        <w:tc>
          <w:tcPr>
            <w:tcW w:w="1080" w:type="dxa"/>
            <w:tcBorders>
              <w:top w:val="nil"/>
              <w:left w:val="nil"/>
              <w:bottom w:val="nil"/>
              <w:right w:val="nil"/>
            </w:tcBorders>
            <w:noWrap/>
            <w:hideMark/>
          </w:tcPr>
          <w:p w14:paraId="08F8656F" w14:textId="6761F847" w:rsidR="00A371A2" w:rsidRPr="008B6B93" w:rsidRDefault="00A371A2" w:rsidP="008B6B93">
            <w:pPr>
              <w:jc w:val="right"/>
              <w:rPr>
                <w:rFonts w:eastAsia="Times New Roman" w:cstheme="minorHAnsi"/>
                <w:i/>
                <w:iCs/>
                <w:color w:val="000000"/>
                <w:sz w:val="18"/>
                <w:szCs w:val="18"/>
              </w:rPr>
            </w:pPr>
            <w:r w:rsidRPr="008B6B93">
              <w:rPr>
                <w:rFonts w:eastAsia="Times New Roman" w:cstheme="minorHAnsi"/>
                <w:i/>
                <w:iCs/>
                <w:color w:val="000000"/>
                <w:sz w:val="18"/>
                <w:szCs w:val="18"/>
              </w:rPr>
              <w:t>57</w:t>
            </w:r>
          </w:p>
        </w:tc>
        <w:tc>
          <w:tcPr>
            <w:tcW w:w="664" w:type="dxa"/>
            <w:tcBorders>
              <w:top w:val="nil"/>
              <w:left w:val="nil"/>
              <w:bottom w:val="nil"/>
              <w:right w:val="nil"/>
            </w:tcBorders>
            <w:noWrap/>
            <w:hideMark/>
          </w:tcPr>
          <w:p w14:paraId="3C57FFFB" w14:textId="19AB3283" w:rsidR="00A371A2" w:rsidRPr="008B6B93" w:rsidRDefault="00616EE7" w:rsidP="008B6B93">
            <w:pPr>
              <w:jc w:val="right"/>
              <w:rPr>
                <w:rFonts w:eastAsia="Times New Roman" w:cstheme="minorHAnsi"/>
                <w:i/>
                <w:iCs/>
                <w:color w:val="000000"/>
                <w:sz w:val="18"/>
                <w:szCs w:val="18"/>
              </w:rPr>
            </w:pPr>
            <w:r w:rsidRPr="008B6B93">
              <w:rPr>
                <w:rFonts w:eastAsia="Times New Roman" w:cstheme="minorHAnsi"/>
                <w:i/>
                <w:iCs/>
                <w:color w:val="000000"/>
                <w:sz w:val="18"/>
                <w:szCs w:val="18"/>
              </w:rPr>
              <w:t>6</w:t>
            </w:r>
            <w:r w:rsidR="00A371A2" w:rsidRPr="008B6B93">
              <w:rPr>
                <w:rFonts w:eastAsia="Times New Roman" w:cstheme="minorHAnsi"/>
                <w:i/>
                <w:iCs/>
                <w:color w:val="000000"/>
                <w:sz w:val="18"/>
                <w:szCs w:val="18"/>
              </w:rPr>
              <w:t>%</w:t>
            </w:r>
          </w:p>
        </w:tc>
      </w:tr>
      <w:tr w:rsidR="00A371A2" w:rsidRPr="00B93C25" w14:paraId="4FD5044E" w14:textId="77777777" w:rsidTr="00DF43A9">
        <w:trPr>
          <w:trHeight w:val="80"/>
          <w:jc w:val="center"/>
        </w:trPr>
        <w:tc>
          <w:tcPr>
            <w:tcW w:w="3690" w:type="dxa"/>
            <w:tcBorders>
              <w:top w:val="nil"/>
              <w:left w:val="nil"/>
              <w:bottom w:val="nil"/>
              <w:right w:val="nil"/>
            </w:tcBorders>
            <w:noWrap/>
            <w:vAlign w:val="bottom"/>
            <w:hideMark/>
          </w:tcPr>
          <w:p w14:paraId="14E298C9" w14:textId="77777777" w:rsidR="00A371A2" w:rsidRPr="00D709CA" w:rsidRDefault="00A371A2" w:rsidP="00A371A2">
            <w:pPr>
              <w:ind w:firstLineChars="100" w:firstLine="180"/>
              <w:rPr>
                <w:rFonts w:eastAsia="Times New Roman" w:cstheme="minorHAnsi"/>
                <w:i/>
                <w:iCs/>
                <w:color w:val="000000"/>
                <w:sz w:val="18"/>
                <w:szCs w:val="18"/>
              </w:rPr>
            </w:pPr>
            <w:r w:rsidRPr="00D709CA">
              <w:rPr>
                <w:rFonts w:eastAsia="Times New Roman" w:cstheme="minorHAnsi"/>
                <w:i/>
                <w:iCs/>
                <w:color w:val="000000"/>
                <w:sz w:val="18"/>
                <w:szCs w:val="18"/>
              </w:rPr>
              <w:t xml:space="preserve">Other Nonoperating Revenues Net </w:t>
            </w:r>
          </w:p>
        </w:tc>
        <w:tc>
          <w:tcPr>
            <w:tcW w:w="1080" w:type="dxa"/>
            <w:tcBorders>
              <w:top w:val="nil"/>
              <w:left w:val="nil"/>
              <w:bottom w:val="nil"/>
              <w:right w:val="nil"/>
            </w:tcBorders>
            <w:noWrap/>
            <w:hideMark/>
          </w:tcPr>
          <w:p w14:paraId="540C0327" w14:textId="3C009A3C" w:rsidR="00A371A2" w:rsidRPr="008B6B93" w:rsidRDefault="00A371A2" w:rsidP="008B6B93">
            <w:pPr>
              <w:jc w:val="right"/>
              <w:rPr>
                <w:rFonts w:eastAsia="Times New Roman" w:cstheme="minorHAnsi"/>
                <w:i/>
                <w:iCs/>
                <w:color w:val="000000"/>
                <w:sz w:val="18"/>
                <w:szCs w:val="18"/>
              </w:rPr>
            </w:pPr>
            <w:r w:rsidRPr="008B6B93">
              <w:rPr>
                <w:rFonts w:eastAsia="Times New Roman" w:cstheme="minorHAnsi"/>
                <w:i/>
                <w:iCs/>
                <w:color w:val="000000"/>
                <w:sz w:val="18"/>
                <w:szCs w:val="18"/>
              </w:rPr>
              <w:t>4</w:t>
            </w:r>
            <w:r w:rsidR="00E1495D" w:rsidRPr="008B6B93">
              <w:rPr>
                <w:rFonts w:eastAsia="Times New Roman" w:cstheme="minorHAnsi"/>
                <w:i/>
                <w:iCs/>
                <w:color w:val="000000"/>
                <w:sz w:val="18"/>
                <w:szCs w:val="18"/>
              </w:rPr>
              <w:t>5</w:t>
            </w:r>
          </w:p>
        </w:tc>
        <w:tc>
          <w:tcPr>
            <w:tcW w:w="664" w:type="dxa"/>
            <w:tcBorders>
              <w:top w:val="nil"/>
              <w:left w:val="nil"/>
              <w:bottom w:val="nil"/>
              <w:right w:val="nil"/>
            </w:tcBorders>
            <w:noWrap/>
            <w:hideMark/>
          </w:tcPr>
          <w:p w14:paraId="6BE1C87B" w14:textId="66D17F07" w:rsidR="00A371A2" w:rsidRPr="008B6B93" w:rsidRDefault="00616EE7" w:rsidP="008B6B93">
            <w:pPr>
              <w:jc w:val="right"/>
              <w:rPr>
                <w:rFonts w:eastAsia="Times New Roman" w:cstheme="minorHAnsi"/>
                <w:i/>
                <w:iCs/>
                <w:color w:val="000000"/>
                <w:sz w:val="18"/>
                <w:szCs w:val="18"/>
              </w:rPr>
            </w:pPr>
            <w:r w:rsidRPr="008B6B93">
              <w:rPr>
                <w:rFonts w:eastAsia="Times New Roman" w:cstheme="minorHAnsi"/>
                <w:i/>
                <w:iCs/>
                <w:color w:val="000000"/>
                <w:sz w:val="18"/>
                <w:szCs w:val="18"/>
              </w:rPr>
              <w:t>5</w:t>
            </w:r>
            <w:r w:rsidR="00A371A2" w:rsidRPr="008B6B93">
              <w:rPr>
                <w:rFonts w:eastAsia="Times New Roman" w:cstheme="minorHAnsi"/>
                <w:i/>
                <w:iCs/>
                <w:color w:val="000000"/>
                <w:sz w:val="18"/>
                <w:szCs w:val="18"/>
              </w:rPr>
              <w:t>%</w:t>
            </w:r>
          </w:p>
        </w:tc>
      </w:tr>
      <w:tr w:rsidR="00A371A2" w:rsidRPr="00B93C25" w14:paraId="36DCFFB7" w14:textId="77777777" w:rsidTr="00DF43A9">
        <w:trPr>
          <w:trHeight w:val="80"/>
          <w:jc w:val="center"/>
        </w:trPr>
        <w:tc>
          <w:tcPr>
            <w:tcW w:w="3690" w:type="dxa"/>
            <w:tcBorders>
              <w:top w:val="nil"/>
              <w:left w:val="nil"/>
              <w:bottom w:val="nil"/>
              <w:right w:val="nil"/>
            </w:tcBorders>
            <w:noWrap/>
            <w:vAlign w:val="bottom"/>
            <w:hideMark/>
          </w:tcPr>
          <w:p w14:paraId="3A12F449" w14:textId="77777777" w:rsidR="00A371A2" w:rsidRPr="00D709CA" w:rsidRDefault="00A371A2" w:rsidP="00A371A2">
            <w:pPr>
              <w:ind w:firstLineChars="100" w:firstLine="180"/>
              <w:rPr>
                <w:rFonts w:eastAsia="Times New Roman" w:cstheme="minorHAnsi"/>
                <w:i/>
                <w:iCs/>
                <w:color w:val="000000"/>
                <w:sz w:val="18"/>
                <w:szCs w:val="18"/>
              </w:rPr>
            </w:pPr>
            <w:r w:rsidRPr="00D709CA">
              <w:rPr>
                <w:rFonts w:eastAsia="Times New Roman" w:cstheme="minorHAnsi"/>
                <w:i/>
                <w:iCs/>
                <w:color w:val="000000"/>
                <w:sz w:val="18"/>
                <w:szCs w:val="18"/>
              </w:rPr>
              <w:t>Federal Pell Grants</w:t>
            </w:r>
          </w:p>
        </w:tc>
        <w:tc>
          <w:tcPr>
            <w:tcW w:w="1080" w:type="dxa"/>
            <w:tcBorders>
              <w:top w:val="nil"/>
              <w:left w:val="nil"/>
              <w:bottom w:val="nil"/>
              <w:right w:val="nil"/>
            </w:tcBorders>
            <w:noWrap/>
            <w:hideMark/>
          </w:tcPr>
          <w:p w14:paraId="04326718" w14:textId="0F99C4EA" w:rsidR="00A371A2" w:rsidRPr="008B6B93" w:rsidRDefault="00A371A2" w:rsidP="008B6B93">
            <w:pPr>
              <w:jc w:val="right"/>
              <w:rPr>
                <w:rFonts w:eastAsia="Times New Roman" w:cstheme="minorHAnsi"/>
                <w:i/>
                <w:iCs/>
                <w:color w:val="000000"/>
                <w:sz w:val="18"/>
                <w:szCs w:val="18"/>
              </w:rPr>
            </w:pPr>
            <w:r w:rsidRPr="008B6B93">
              <w:rPr>
                <w:rFonts w:eastAsia="Times New Roman" w:cstheme="minorHAnsi"/>
                <w:i/>
                <w:iCs/>
                <w:color w:val="000000"/>
                <w:sz w:val="18"/>
                <w:szCs w:val="18"/>
              </w:rPr>
              <w:t>46</w:t>
            </w:r>
          </w:p>
        </w:tc>
        <w:tc>
          <w:tcPr>
            <w:tcW w:w="664" w:type="dxa"/>
            <w:tcBorders>
              <w:top w:val="nil"/>
              <w:left w:val="nil"/>
              <w:bottom w:val="nil"/>
              <w:right w:val="nil"/>
            </w:tcBorders>
            <w:noWrap/>
            <w:hideMark/>
          </w:tcPr>
          <w:p w14:paraId="1CA9BDA4" w14:textId="2E9E7A73" w:rsidR="00A371A2" w:rsidRPr="008B6B93" w:rsidRDefault="00674BE7" w:rsidP="008B6B93">
            <w:pPr>
              <w:jc w:val="right"/>
              <w:rPr>
                <w:rFonts w:eastAsia="Times New Roman" w:cstheme="minorHAnsi"/>
                <w:i/>
                <w:iCs/>
                <w:color w:val="000000"/>
                <w:sz w:val="18"/>
                <w:szCs w:val="18"/>
              </w:rPr>
            </w:pPr>
            <w:r w:rsidRPr="008B6B93">
              <w:rPr>
                <w:rFonts w:eastAsia="Times New Roman" w:cstheme="minorHAnsi"/>
                <w:i/>
                <w:iCs/>
                <w:color w:val="000000"/>
                <w:sz w:val="18"/>
                <w:szCs w:val="18"/>
              </w:rPr>
              <w:t>5</w:t>
            </w:r>
            <w:r w:rsidR="00A371A2" w:rsidRPr="008B6B93">
              <w:rPr>
                <w:rFonts w:eastAsia="Times New Roman" w:cstheme="minorHAnsi"/>
                <w:i/>
                <w:iCs/>
                <w:color w:val="000000"/>
                <w:sz w:val="18"/>
                <w:szCs w:val="18"/>
              </w:rPr>
              <w:t>%</w:t>
            </w:r>
          </w:p>
        </w:tc>
      </w:tr>
      <w:tr w:rsidR="00A371A2" w:rsidRPr="00B93C25" w14:paraId="1159C053" w14:textId="77777777" w:rsidTr="00DF43A9">
        <w:trPr>
          <w:trHeight w:val="90"/>
          <w:jc w:val="center"/>
        </w:trPr>
        <w:tc>
          <w:tcPr>
            <w:tcW w:w="3690" w:type="dxa"/>
            <w:tcBorders>
              <w:top w:val="nil"/>
              <w:left w:val="nil"/>
              <w:bottom w:val="nil"/>
              <w:right w:val="nil"/>
            </w:tcBorders>
            <w:noWrap/>
            <w:vAlign w:val="bottom"/>
            <w:hideMark/>
          </w:tcPr>
          <w:p w14:paraId="574ADFBA" w14:textId="77777777" w:rsidR="00A371A2" w:rsidRPr="00D709CA" w:rsidRDefault="00A371A2" w:rsidP="00A371A2">
            <w:pPr>
              <w:ind w:firstLineChars="100" w:firstLine="180"/>
              <w:rPr>
                <w:rFonts w:eastAsia="Times New Roman" w:cstheme="minorHAnsi"/>
                <w:i/>
                <w:iCs/>
                <w:color w:val="000000"/>
                <w:sz w:val="18"/>
                <w:szCs w:val="18"/>
              </w:rPr>
            </w:pPr>
            <w:r w:rsidRPr="00D709CA">
              <w:rPr>
                <w:rFonts w:eastAsia="Times New Roman" w:cstheme="minorHAnsi"/>
                <w:i/>
                <w:iCs/>
                <w:color w:val="000000"/>
                <w:sz w:val="18"/>
                <w:szCs w:val="18"/>
              </w:rPr>
              <w:t xml:space="preserve">Indirect Cost Recovery </w:t>
            </w:r>
          </w:p>
        </w:tc>
        <w:tc>
          <w:tcPr>
            <w:tcW w:w="1080" w:type="dxa"/>
            <w:tcBorders>
              <w:top w:val="nil"/>
              <w:left w:val="nil"/>
              <w:bottom w:val="nil"/>
              <w:right w:val="nil"/>
            </w:tcBorders>
            <w:noWrap/>
            <w:hideMark/>
          </w:tcPr>
          <w:p w14:paraId="6E75D103" w14:textId="679AFCBA" w:rsidR="00A371A2" w:rsidRPr="008B6B93" w:rsidRDefault="00A371A2" w:rsidP="008B6B93">
            <w:pPr>
              <w:jc w:val="right"/>
              <w:rPr>
                <w:rFonts w:eastAsia="Times New Roman" w:cstheme="minorHAnsi"/>
                <w:i/>
                <w:iCs/>
                <w:color w:val="000000"/>
                <w:sz w:val="18"/>
                <w:szCs w:val="18"/>
              </w:rPr>
            </w:pPr>
            <w:r w:rsidRPr="008B6B93">
              <w:rPr>
                <w:rFonts w:eastAsia="Times New Roman" w:cstheme="minorHAnsi"/>
                <w:i/>
                <w:iCs/>
                <w:color w:val="000000"/>
                <w:sz w:val="18"/>
                <w:szCs w:val="18"/>
              </w:rPr>
              <w:t>33</w:t>
            </w:r>
          </w:p>
        </w:tc>
        <w:tc>
          <w:tcPr>
            <w:tcW w:w="664" w:type="dxa"/>
            <w:tcBorders>
              <w:top w:val="nil"/>
              <w:left w:val="nil"/>
              <w:bottom w:val="nil"/>
              <w:right w:val="nil"/>
            </w:tcBorders>
            <w:noWrap/>
            <w:hideMark/>
          </w:tcPr>
          <w:p w14:paraId="38E05641" w14:textId="1719D313" w:rsidR="00A371A2" w:rsidRPr="008B6B93" w:rsidRDefault="00674BE7" w:rsidP="008B6B93">
            <w:pPr>
              <w:jc w:val="right"/>
              <w:rPr>
                <w:rFonts w:eastAsia="Times New Roman" w:cstheme="minorHAnsi"/>
                <w:i/>
                <w:iCs/>
                <w:color w:val="000000"/>
                <w:sz w:val="18"/>
                <w:szCs w:val="18"/>
              </w:rPr>
            </w:pPr>
            <w:r w:rsidRPr="008B6B93">
              <w:rPr>
                <w:rFonts w:eastAsia="Times New Roman" w:cstheme="minorHAnsi"/>
                <w:i/>
                <w:iCs/>
                <w:color w:val="000000"/>
                <w:sz w:val="18"/>
                <w:szCs w:val="18"/>
              </w:rPr>
              <w:t>4</w:t>
            </w:r>
            <w:r w:rsidR="00A371A2" w:rsidRPr="008B6B93">
              <w:rPr>
                <w:rFonts w:eastAsia="Times New Roman" w:cstheme="minorHAnsi"/>
                <w:i/>
                <w:iCs/>
                <w:color w:val="000000"/>
                <w:sz w:val="18"/>
                <w:szCs w:val="18"/>
              </w:rPr>
              <w:t>%</w:t>
            </w:r>
          </w:p>
        </w:tc>
      </w:tr>
      <w:tr w:rsidR="00A371A2" w:rsidRPr="00B93C25" w14:paraId="6AE00058" w14:textId="77777777" w:rsidTr="00DF43A9">
        <w:trPr>
          <w:trHeight w:val="80"/>
          <w:jc w:val="center"/>
        </w:trPr>
        <w:tc>
          <w:tcPr>
            <w:tcW w:w="3690" w:type="dxa"/>
            <w:tcBorders>
              <w:top w:val="nil"/>
              <w:left w:val="nil"/>
              <w:right w:val="nil"/>
            </w:tcBorders>
            <w:noWrap/>
            <w:vAlign w:val="bottom"/>
            <w:hideMark/>
          </w:tcPr>
          <w:p w14:paraId="3B33F948" w14:textId="77777777" w:rsidR="00A371A2" w:rsidRPr="00D709CA" w:rsidRDefault="00A371A2" w:rsidP="00A371A2">
            <w:pPr>
              <w:ind w:firstLineChars="100" w:firstLine="180"/>
              <w:rPr>
                <w:rFonts w:eastAsia="Times New Roman" w:cstheme="minorHAnsi"/>
                <w:i/>
                <w:iCs/>
                <w:color w:val="000000"/>
                <w:sz w:val="18"/>
                <w:szCs w:val="18"/>
              </w:rPr>
            </w:pPr>
            <w:r w:rsidRPr="00D709CA">
              <w:rPr>
                <w:rFonts w:eastAsia="Times New Roman" w:cstheme="minorHAnsi"/>
                <w:i/>
                <w:iCs/>
                <w:color w:val="000000"/>
                <w:sz w:val="18"/>
                <w:szCs w:val="18"/>
              </w:rPr>
              <w:t>Coronavirus Relief Funding</w:t>
            </w:r>
          </w:p>
        </w:tc>
        <w:tc>
          <w:tcPr>
            <w:tcW w:w="1080" w:type="dxa"/>
            <w:tcBorders>
              <w:top w:val="nil"/>
              <w:left w:val="nil"/>
              <w:right w:val="nil"/>
            </w:tcBorders>
            <w:noWrap/>
            <w:hideMark/>
          </w:tcPr>
          <w:p w14:paraId="53EF23C9" w14:textId="03A812F0" w:rsidR="00A371A2" w:rsidRPr="008B6B93" w:rsidRDefault="00E1495D" w:rsidP="008B6B93">
            <w:pPr>
              <w:jc w:val="right"/>
              <w:rPr>
                <w:rFonts w:eastAsia="Times New Roman" w:cstheme="minorHAnsi"/>
                <w:i/>
                <w:iCs/>
                <w:color w:val="000000"/>
                <w:sz w:val="18"/>
                <w:szCs w:val="18"/>
              </w:rPr>
            </w:pPr>
            <w:r w:rsidRPr="008B6B93">
              <w:rPr>
                <w:rFonts w:eastAsia="Times New Roman" w:cstheme="minorHAnsi"/>
                <w:i/>
                <w:iCs/>
                <w:color w:val="000000"/>
                <w:sz w:val="18"/>
                <w:szCs w:val="18"/>
              </w:rPr>
              <w:t xml:space="preserve">  </w:t>
            </w:r>
            <w:r w:rsidR="00616EE7" w:rsidRPr="008B6B93">
              <w:rPr>
                <w:rFonts w:eastAsia="Times New Roman" w:cstheme="minorHAnsi"/>
                <w:i/>
                <w:iCs/>
                <w:color w:val="000000"/>
                <w:sz w:val="18"/>
                <w:szCs w:val="18"/>
              </w:rPr>
              <w:t>3</w:t>
            </w:r>
          </w:p>
        </w:tc>
        <w:tc>
          <w:tcPr>
            <w:tcW w:w="664" w:type="dxa"/>
            <w:tcBorders>
              <w:top w:val="nil"/>
              <w:left w:val="nil"/>
              <w:right w:val="nil"/>
            </w:tcBorders>
            <w:noWrap/>
            <w:hideMark/>
          </w:tcPr>
          <w:p w14:paraId="183CADB0" w14:textId="7BD8A770" w:rsidR="00A371A2" w:rsidRPr="008B6B93" w:rsidRDefault="00A371A2" w:rsidP="008B6B93">
            <w:pPr>
              <w:jc w:val="right"/>
              <w:rPr>
                <w:rFonts w:eastAsia="Times New Roman" w:cstheme="minorHAnsi"/>
                <w:i/>
                <w:iCs/>
                <w:color w:val="000000"/>
                <w:sz w:val="18"/>
                <w:szCs w:val="18"/>
              </w:rPr>
            </w:pPr>
            <w:r w:rsidRPr="008B6B93">
              <w:rPr>
                <w:rFonts w:eastAsia="Times New Roman" w:cstheme="minorHAnsi"/>
                <w:i/>
                <w:iCs/>
                <w:color w:val="000000"/>
                <w:sz w:val="18"/>
                <w:szCs w:val="18"/>
              </w:rPr>
              <w:t>1%</w:t>
            </w:r>
          </w:p>
        </w:tc>
      </w:tr>
      <w:tr w:rsidR="00A371A2" w:rsidRPr="00B93C25" w14:paraId="0EA2BF65" w14:textId="77777777" w:rsidTr="00DF43A9">
        <w:trPr>
          <w:trHeight w:val="80"/>
          <w:jc w:val="center"/>
        </w:trPr>
        <w:tc>
          <w:tcPr>
            <w:tcW w:w="3690" w:type="dxa"/>
            <w:tcBorders>
              <w:top w:val="nil"/>
              <w:left w:val="nil"/>
              <w:bottom w:val="single" w:sz="4" w:space="0" w:color="auto"/>
              <w:right w:val="nil"/>
            </w:tcBorders>
            <w:noWrap/>
            <w:vAlign w:val="bottom"/>
            <w:hideMark/>
          </w:tcPr>
          <w:p w14:paraId="2E7A0DC8" w14:textId="77777777" w:rsidR="00A371A2" w:rsidRPr="00AD5B5C" w:rsidRDefault="00A371A2" w:rsidP="00A371A2">
            <w:pPr>
              <w:jc w:val="right"/>
              <w:rPr>
                <w:rFonts w:eastAsia="Times New Roman" w:cstheme="minorHAnsi"/>
                <w:color w:val="000000"/>
                <w:sz w:val="20"/>
                <w:szCs w:val="20"/>
              </w:rPr>
            </w:pPr>
            <w:r w:rsidRPr="00AD5B5C">
              <w:rPr>
                <w:rFonts w:eastAsia="Times New Roman" w:cstheme="minorHAnsi"/>
                <w:color w:val="000000"/>
                <w:sz w:val="20"/>
                <w:szCs w:val="20"/>
              </w:rPr>
              <w:t>Total:</w:t>
            </w:r>
          </w:p>
        </w:tc>
        <w:tc>
          <w:tcPr>
            <w:tcW w:w="1080" w:type="dxa"/>
            <w:tcBorders>
              <w:top w:val="nil"/>
              <w:left w:val="nil"/>
              <w:bottom w:val="single" w:sz="4" w:space="0" w:color="auto"/>
              <w:right w:val="nil"/>
            </w:tcBorders>
            <w:noWrap/>
            <w:hideMark/>
          </w:tcPr>
          <w:p w14:paraId="1B6F7505" w14:textId="718C96A2" w:rsidR="00A371A2" w:rsidRPr="00AD5B5C" w:rsidRDefault="00A371A2" w:rsidP="00A371A2">
            <w:pPr>
              <w:jc w:val="right"/>
              <w:rPr>
                <w:rFonts w:eastAsia="Times New Roman" w:cstheme="minorHAnsi"/>
                <w:color w:val="000000"/>
                <w:sz w:val="20"/>
                <w:szCs w:val="20"/>
              </w:rPr>
            </w:pPr>
            <w:r w:rsidRPr="00DF43A9">
              <w:rPr>
                <w:rFonts w:eastAsia="Times New Roman" w:cstheme="minorHAnsi"/>
                <w:color w:val="000000"/>
                <w:sz w:val="20"/>
                <w:szCs w:val="20"/>
              </w:rPr>
              <w:t>$</w:t>
            </w:r>
            <w:r w:rsidR="00674BE7">
              <w:rPr>
                <w:rFonts w:eastAsia="Times New Roman" w:cstheme="minorHAnsi"/>
                <w:color w:val="000000"/>
                <w:sz w:val="20"/>
                <w:szCs w:val="20"/>
              </w:rPr>
              <w:t>899</w:t>
            </w:r>
          </w:p>
        </w:tc>
        <w:tc>
          <w:tcPr>
            <w:tcW w:w="664" w:type="dxa"/>
            <w:tcBorders>
              <w:top w:val="nil"/>
              <w:left w:val="nil"/>
              <w:bottom w:val="single" w:sz="4" w:space="0" w:color="auto"/>
              <w:right w:val="nil"/>
            </w:tcBorders>
            <w:noWrap/>
            <w:hideMark/>
          </w:tcPr>
          <w:p w14:paraId="1DE8FF9C" w14:textId="1F432938" w:rsidR="00A371A2" w:rsidRPr="00AD5B5C" w:rsidRDefault="00A371A2" w:rsidP="00A371A2">
            <w:pPr>
              <w:jc w:val="right"/>
              <w:rPr>
                <w:rFonts w:eastAsia="Times New Roman" w:cstheme="minorHAnsi"/>
                <w:color w:val="000000"/>
                <w:sz w:val="20"/>
                <w:szCs w:val="20"/>
              </w:rPr>
            </w:pPr>
            <w:r w:rsidRPr="00DF43A9">
              <w:rPr>
                <w:rFonts w:eastAsia="Times New Roman" w:cstheme="minorHAnsi"/>
                <w:color w:val="000000"/>
                <w:sz w:val="20"/>
                <w:szCs w:val="20"/>
              </w:rPr>
              <w:t>100%</w:t>
            </w:r>
          </w:p>
        </w:tc>
      </w:tr>
    </w:tbl>
    <w:p w14:paraId="055F584B" w14:textId="3909B2DC" w:rsidR="0048617B" w:rsidRDefault="002D79E2" w:rsidP="008A4EB7">
      <w:pPr>
        <w:jc w:val="center"/>
        <w:rPr>
          <w:rFonts w:eastAsia="Times New Roman" w:cstheme="minorHAnsi"/>
          <w:b/>
          <w:color w:val="0D0D0D" w:themeColor="text1" w:themeTint="F2"/>
        </w:rPr>
      </w:pPr>
      <w:r>
        <w:rPr>
          <w:noProof/>
          <w14:ligatures w14:val="standardContextual"/>
        </w:rPr>
        <w:lastRenderedPageBreak/>
        <w:drawing>
          <wp:inline distT="0" distB="0" distL="0" distR="0" wp14:anchorId="06CDCD09" wp14:editId="28CA4BFF">
            <wp:extent cx="5779008" cy="2834640"/>
            <wp:effectExtent l="0" t="0" r="0" b="0"/>
            <wp:docPr id="41042261" name="Chart 1">
              <a:extLst xmlns:a="http://schemas.openxmlformats.org/drawingml/2006/main">
                <a:ext uri="{FF2B5EF4-FFF2-40B4-BE49-F238E27FC236}">
                  <a16:creationId xmlns:a16="http://schemas.microsoft.com/office/drawing/2014/main" id="{C798BFD5-5415-4339-9E8A-9B7ACE959849}"/>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E023FFD" w14:textId="0A5F46E0" w:rsidR="00A83362" w:rsidRDefault="0092588C" w:rsidP="0092588C">
      <w:pPr>
        <w:spacing w:after="120"/>
        <w:ind w:left="360"/>
        <w:jc w:val="center"/>
        <w:rPr>
          <w:rFonts w:eastAsia="Times New Roman" w:cstheme="minorHAnsi"/>
          <w:b/>
          <w:color w:val="0D0D0D" w:themeColor="text1" w:themeTint="F2"/>
        </w:rPr>
      </w:pPr>
      <w:r>
        <w:rPr>
          <w:rFonts w:eastAsia="Times New Roman" w:cstheme="minorHAnsi"/>
          <w:b/>
          <w:color w:val="0D0D0D" w:themeColor="text1" w:themeTint="F2"/>
        </w:rPr>
        <w:t xml:space="preserve">FY24 </w:t>
      </w:r>
      <w:r w:rsidR="00A83362" w:rsidRPr="0048617B">
        <w:rPr>
          <w:rFonts w:eastAsia="Times New Roman" w:cstheme="minorHAnsi"/>
          <w:b/>
          <w:color w:val="0D0D0D" w:themeColor="text1" w:themeTint="F2"/>
        </w:rPr>
        <w:t>Total Operating and Net Nonoperating Revenue</w:t>
      </w:r>
      <w:r w:rsidR="005735BA">
        <w:rPr>
          <w:rFonts w:eastAsia="Times New Roman" w:cstheme="minorHAnsi"/>
          <w:b/>
          <w:color w:val="0D0D0D" w:themeColor="text1" w:themeTint="F2"/>
        </w:rPr>
        <w:t xml:space="preserve"> (in millions)</w:t>
      </w:r>
    </w:p>
    <w:tbl>
      <w:tblPr>
        <w:tblW w:w="5434" w:type="dxa"/>
        <w:jc w:val="center"/>
        <w:tblLook w:val="04A0" w:firstRow="1" w:lastRow="0" w:firstColumn="1" w:lastColumn="0" w:noHBand="0" w:noVBand="1"/>
      </w:tblPr>
      <w:tblGrid>
        <w:gridCol w:w="3690"/>
        <w:gridCol w:w="1080"/>
        <w:gridCol w:w="664"/>
      </w:tblGrid>
      <w:tr w:rsidR="00B93C25" w:rsidRPr="00B93C25" w14:paraId="707364B1" w14:textId="77777777" w:rsidTr="00DF43A9">
        <w:trPr>
          <w:trHeight w:val="70"/>
          <w:jc w:val="center"/>
        </w:trPr>
        <w:tc>
          <w:tcPr>
            <w:tcW w:w="3690" w:type="dxa"/>
            <w:tcBorders>
              <w:top w:val="single" w:sz="4" w:space="0" w:color="000000"/>
              <w:left w:val="nil"/>
              <w:bottom w:val="single" w:sz="4" w:space="0" w:color="000000"/>
              <w:right w:val="nil"/>
            </w:tcBorders>
            <w:noWrap/>
            <w:vAlign w:val="bottom"/>
            <w:hideMark/>
          </w:tcPr>
          <w:p w14:paraId="01212A8D" w14:textId="37B55439" w:rsidR="00B93C25" w:rsidRPr="00AD5B5C" w:rsidRDefault="00B93C25" w:rsidP="00C07D35">
            <w:pPr>
              <w:jc w:val="center"/>
              <w:rPr>
                <w:rFonts w:eastAsia="Times New Roman" w:cstheme="minorHAnsi"/>
                <w:b/>
                <w:bCs/>
                <w:color w:val="000000"/>
                <w:sz w:val="20"/>
                <w:szCs w:val="20"/>
              </w:rPr>
            </w:pPr>
            <w:r w:rsidRPr="00AD5B5C">
              <w:rPr>
                <w:rFonts w:eastAsia="Times New Roman" w:cstheme="minorHAnsi"/>
                <w:b/>
                <w:bCs/>
                <w:color w:val="000000"/>
                <w:sz w:val="20"/>
                <w:szCs w:val="20"/>
              </w:rPr>
              <w:t>202</w:t>
            </w:r>
            <w:r w:rsidR="00521F1A" w:rsidRPr="00AD5B5C">
              <w:rPr>
                <w:rFonts w:eastAsia="Times New Roman" w:cstheme="minorHAnsi"/>
                <w:b/>
                <w:bCs/>
                <w:color w:val="000000"/>
                <w:sz w:val="20"/>
                <w:szCs w:val="20"/>
              </w:rPr>
              <w:t>4</w:t>
            </w:r>
          </w:p>
        </w:tc>
        <w:tc>
          <w:tcPr>
            <w:tcW w:w="1080" w:type="dxa"/>
            <w:tcBorders>
              <w:top w:val="single" w:sz="4" w:space="0" w:color="000000"/>
              <w:left w:val="nil"/>
              <w:bottom w:val="single" w:sz="4" w:space="0" w:color="000000"/>
              <w:right w:val="nil"/>
            </w:tcBorders>
            <w:noWrap/>
            <w:vAlign w:val="bottom"/>
            <w:hideMark/>
          </w:tcPr>
          <w:p w14:paraId="706A0889" w14:textId="77777777" w:rsidR="00B93C25" w:rsidRPr="00AD5B5C" w:rsidRDefault="00B93C25" w:rsidP="00C07D35">
            <w:pPr>
              <w:jc w:val="center"/>
              <w:rPr>
                <w:rFonts w:eastAsia="Times New Roman" w:cstheme="minorHAnsi"/>
                <w:b/>
                <w:bCs/>
                <w:color w:val="000000"/>
                <w:sz w:val="20"/>
                <w:szCs w:val="20"/>
              </w:rPr>
            </w:pPr>
            <w:r w:rsidRPr="00AD5B5C">
              <w:rPr>
                <w:rFonts w:eastAsia="Times New Roman" w:cstheme="minorHAnsi"/>
                <w:b/>
                <w:bCs/>
                <w:color w:val="000000"/>
                <w:sz w:val="20"/>
                <w:szCs w:val="20"/>
              </w:rPr>
              <w:t>$ Amount</w:t>
            </w:r>
          </w:p>
        </w:tc>
        <w:tc>
          <w:tcPr>
            <w:tcW w:w="664" w:type="dxa"/>
            <w:tcBorders>
              <w:top w:val="single" w:sz="4" w:space="0" w:color="000000"/>
              <w:left w:val="nil"/>
              <w:bottom w:val="single" w:sz="4" w:space="0" w:color="000000"/>
              <w:right w:val="nil"/>
            </w:tcBorders>
            <w:noWrap/>
            <w:vAlign w:val="bottom"/>
            <w:hideMark/>
          </w:tcPr>
          <w:p w14:paraId="2ED65B25" w14:textId="77777777" w:rsidR="00B93C25" w:rsidRPr="00AD5B5C" w:rsidRDefault="00B93C25" w:rsidP="00C07D35">
            <w:pPr>
              <w:jc w:val="center"/>
              <w:rPr>
                <w:rFonts w:eastAsia="Times New Roman" w:cstheme="minorHAnsi"/>
                <w:b/>
                <w:bCs/>
                <w:color w:val="000000"/>
                <w:sz w:val="20"/>
                <w:szCs w:val="20"/>
              </w:rPr>
            </w:pPr>
            <w:r w:rsidRPr="00AD5B5C">
              <w:rPr>
                <w:rFonts w:eastAsia="Times New Roman" w:cstheme="minorHAnsi"/>
                <w:b/>
                <w:bCs/>
                <w:color w:val="000000"/>
                <w:sz w:val="20"/>
                <w:szCs w:val="20"/>
              </w:rPr>
              <w:t>%</w:t>
            </w:r>
          </w:p>
        </w:tc>
      </w:tr>
      <w:tr w:rsidR="00B93C25" w:rsidRPr="00B93C25" w14:paraId="493D0CA9" w14:textId="77777777" w:rsidTr="00DF43A9">
        <w:trPr>
          <w:trHeight w:val="70"/>
          <w:jc w:val="center"/>
        </w:trPr>
        <w:tc>
          <w:tcPr>
            <w:tcW w:w="3690" w:type="dxa"/>
            <w:tcBorders>
              <w:top w:val="nil"/>
              <w:left w:val="nil"/>
              <w:bottom w:val="nil"/>
              <w:right w:val="nil"/>
            </w:tcBorders>
            <w:noWrap/>
            <w:vAlign w:val="bottom"/>
            <w:hideMark/>
          </w:tcPr>
          <w:p w14:paraId="15EADABB" w14:textId="77777777" w:rsidR="00B93C25" w:rsidRPr="00AD5B5C" w:rsidRDefault="00B93C25" w:rsidP="00B93C25">
            <w:pPr>
              <w:rPr>
                <w:rFonts w:eastAsia="Times New Roman" w:cstheme="minorHAnsi"/>
                <w:color w:val="000000"/>
                <w:sz w:val="20"/>
                <w:szCs w:val="20"/>
              </w:rPr>
            </w:pPr>
            <w:r w:rsidRPr="00AD5B5C">
              <w:rPr>
                <w:rFonts w:eastAsia="Times New Roman" w:cstheme="minorHAnsi"/>
                <w:color w:val="000000"/>
                <w:sz w:val="20"/>
                <w:szCs w:val="20"/>
              </w:rPr>
              <w:t xml:space="preserve">Net Student Fees </w:t>
            </w:r>
          </w:p>
        </w:tc>
        <w:tc>
          <w:tcPr>
            <w:tcW w:w="1080" w:type="dxa"/>
            <w:tcBorders>
              <w:top w:val="nil"/>
              <w:left w:val="nil"/>
              <w:bottom w:val="nil"/>
              <w:right w:val="nil"/>
            </w:tcBorders>
            <w:noWrap/>
            <w:vAlign w:val="bottom"/>
            <w:hideMark/>
          </w:tcPr>
          <w:p w14:paraId="6DD5F84B" w14:textId="6259B0C6" w:rsidR="00B93C25" w:rsidRPr="00AD5B5C" w:rsidRDefault="00B93C25" w:rsidP="00B93C25">
            <w:pPr>
              <w:jc w:val="right"/>
              <w:rPr>
                <w:rFonts w:eastAsia="Times New Roman" w:cstheme="minorHAnsi"/>
                <w:color w:val="000000"/>
                <w:sz w:val="20"/>
                <w:szCs w:val="20"/>
              </w:rPr>
            </w:pPr>
            <w:r w:rsidRPr="00AD5B5C">
              <w:rPr>
                <w:rFonts w:eastAsia="Times New Roman" w:cstheme="minorHAnsi"/>
                <w:color w:val="000000"/>
                <w:sz w:val="20"/>
                <w:szCs w:val="20"/>
              </w:rPr>
              <w:t>$2</w:t>
            </w:r>
            <w:r w:rsidR="008A4EB7" w:rsidRPr="00AD5B5C">
              <w:rPr>
                <w:rFonts w:eastAsia="Times New Roman" w:cstheme="minorHAnsi"/>
                <w:color w:val="000000"/>
                <w:sz w:val="20"/>
                <w:szCs w:val="20"/>
              </w:rPr>
              <w:t>63</w:t>
            </w:r>
          </w:p>
        </w:tc>
        <w:tc>
          <w:tcPr>
            <w:tcW w:w="664" w:type="dxa"/>
            <w:tcBorders>
              <w:top w:val="nil"/>
              <w:left w:val="nil"/>
              <w:bottom w:val="nil"/>
              <w:right w:val="nil"/>
            </w:tcBorders>
            <w:noWrap/>
            <w:vAlign w:val="bottom"/>
            <w:hideMark/>
          </w:tcPr>
          <w:p w14:paraId="44A35693" w14:textId="13095F1F" w:rsidR="00B93C25" w:rsidRPr="00AD5B5C" w:rsidRDefault="00B93C25" w:rsidP="00B93C25">
            <w:pPr>
              <w:jc w:val="right"/>
              <w:rPr>
                <w:rFonts w:eastAsia="Times New Roman" w:cstheme="minorHAnsi"/>
                <w:color w:val="000000"/>
                <w:sz w:val="20"/>
                <w:szCs w:val="20"/>
              </w:rPr>
            </w:pPr>
            <w:r w:rsidRPr="00AD5B5C">
              <w:rPr>
                <w:rFonts w:eastAsia="Times New Roman" w:cstheme="minorHAnsi"/>
                <w:color w:val="000000"/>
                <w:sz w:val="20"/>
                <w:szCs w:val="20"/>
              </w:rPr>
              <w:t>3</w:t>
            </w:r>
            <w:r w:rsidR="008A4EB7" w:rsidRPr="00AD5B5C">
              <w:rPr>
                <w:rFonts w:eastAsia="Times New Roman" w:cstheme="minorHAnsi"/>
                <w:color w:val="000000"/>
                <w:sz w:val="20"/>
                <w:szCs w:val="20"/>
              </w:rPr>
              <w:t>1</w:t>
            </w:r>
            <w:r w:rsidRPr="00AD5B5C">
              <w:rPr>
                <w:rFonts w:eastAsia="Times New Roman" w:cstheme="minorHAnsi"/>
                <w:color w:val="000000"/>
                <w:sz w:val="20"/>
                <w:szCs w:val="20"/>
              </w:rPr>
              <w:t>%</w:t>
            </w:r>
          </w:p>
        </w:tc>
      </w:tr>
      <w:tr w:rsidR="00B93C25" w:rsidRPr="00B93C25" w14:paraId="6DBC1ECD" w14:textId="77777777" w:rsidTr="00DF43A9">
        <w:trPr>
          <w:trHeight w:val="80"/>
          <w:jc w:val="center"/>
        </w:trPr>
        <w:tc>
          <w:tcPr>
            <w:tcW w:w="3690" w:type="dxa"/>
            <w:tcBorders>
              <w:top w:val="nil"/>
              <w:left w:val="nil"/>
              <w:bottom w:val="nil"/>
              <w:right w:val="nil"/>
            </w:tcBorders>
            <w:noWrap/>
            <w:vAlign w:val="bottom"/>
            <w:hideMark/>
          </w:tcPr>
          <w:p w14:paraId="461B7F45" w14:textId="77777777" w:rsidR="00B93C25" w:rsidRPr="00AD5B5C" w:rsidRDefault="00B93C25" w:rsidP="00B93C25">
            <w:pPr>
              <w:rPr>
                <w:rFonts w:eastAsia="Times New Roman" w:cstheme="minorHAnsi"/>
                <w:color w:val="000000"/>
                <w:sz w:val="20"/>
                <w:szCs w:val="20"/>
              </w:rPr>
            </w:pPr>
            <w:r w:rsidRPr="00AD5B5C">
              <w:rPr>
                <w:rFonts w:eastAsia="Times New Roman" w:cstheme="minorHAnsi"/>
                <w:color w:val="000000"/>
                <w:sz w:val="20"/>
                <w:szCs w:val="20"/>
              </w:rPr>
              <w:t>Noncapital State Appropriation</w:t>
            </w:r>
          </w:p>
        </w:tc>
        <w:tc>
          <w:tcPr>
            <w:tcW w:w="1080" w:type="dxa"/>
            <w:tcBorders>
              <w:top w:val="nil"/>
              <w:left w:val="nil"/>
              <w:bottom w:val="nil"/>
              <w:right w:val="nil"/>
            </w:tcBorders>
            <w:noWrap/>
            <w:vAlign w:val="bottom"/>
            <w:hideMark/>
          </w:tcPr>
          <w:p w14:paraId="27EE45AC" w14:textId="6D84DDF6" w:rsidR="00B93C25" w:rsidRPr="00AD5B5C" w:rsidRDefault="00B93C25" w:rsidP="00B93C25">
            <w:pPr>
              <w:jc w:val="right"/>
              <w:rPr>
                <w:rFonts w:eastAsia="Times New Roman" w:cstheme="minorHAnsi"/>
                <w:color w:val="000000"/>
                <w:sz w:val="20"/>
                <w:szCs w:val="20"/>
              </w:rPr>
            </w:pPr>
            <w:r w:rsidRPr="00AD5B5C">
              <w:rPr>
                <w:rFonts w:eastAsia="Times New Roman" w:cstheme="minorHAnsi"/>
                <w:color w:val="000000"/>
                <w:sz w:val="20"/>
                <w:szCs w:val="20"/>
              </w:rPr>
              <w:t>2</w:t>
            </w:r>
            <w:r w:rsidR="008A4EB7" w:rsidRPr="00AD5B5C">
              <w:rPr>
                <w:rFonts w:eastAsia="Times New Roman" w:cstheme="minorHAnsi"/>
                <w:color w:val="000000"/>
                <w:sz w:val="20"/>
                <w:szCs w:val="20"/>
              </w:rPr>
              <w:t>61</w:t>
            </w:r>
          </w:p>
        </w:tc>
        <w:tc>
          <w:tcPr>
            <w:tcW w:w="664" w:type="dxa"/>
            <w:tcBorders>
              <w:top w:val="nil"/>
              <w:left w:val="nil"/>
              <w:bottom w:val="nil"/>
              <w:right w:val="nil"/>
            </w:tcBorders>
            <w:noWrap/>
            <w:vAlign w:val="bottom"/>
            <w:hideMark/>
          </w:tcPr>
          <w:p w14:paraId="7AF39586" w14:textId="00B7CEDD" w:rsidR="00B93C25" w:rsidRPr="00AD5B5C" w:rsidRDefault="00B93C25" w:rsidP="00B93C25">
            <w:pPr>
              <w:jc w:val="right"/>
              <w:rPr>
                <w:rFonts w:eastAsia="Times New Roman" w:cstheme="minorHAnsi"/>
                <w:color w:val="000000"/>
                <w:sz w:val="20"/>
                <w:szCs w:val="20"/>
              </w:rPr>
            </w:pPr>
            <w:r w:rsidRPr="00AD5B5C">
              <w:rPr>
                <w:rFonts w:eastAsia="Times New Roman" w:cstheme="minorHAnsi"/>
                <w:color w:val="000000"/>
                <w:sz w:val="20"/>
                <w:szCs w:val="20"/>
              </w:rPr>
              <w:t>3</w:t>
            </w:r>
            <w:r w:rsidR="008A4EB7" w:rsidRPr="00AD5B5C">
              <w:rPr>
                <w:rFonts w:eastAsia="Times New Roman" w:cstheme="minorHAnsi"/>
                <w:color w:val="000000"/>
                <w:sz w:val="20"/>
                <w:szCs w:val="20"/>
              </w:rPr>
              <w:t>0</w:t>
            </w:r>
            <w:r w:rsidRPr="00AD5B5C">
              <w:rPr>
                <w:rFonts w:eastAsia="Times New Roman" w:cstheme="minorHAnsi"/>
                <w:color w:val="000000"/>
                <w:sz w:val="20"/>
                <w:szCs w:val="20"/>
              </w:rPr>
              <w:t>%</w:t>
            </w:r>
          </w:p>
        </w:tc>
      </w:tr>
      <w:tr w:rsidR="00B93C25" w:rsidRPr="00B93C25" w14:paraId="45F9D6A6" w14:textId="77777777" w:rsidTr="00DF43A9">
        <w:trPr>
          <w:trHeight w:val="80"/>
          <w:jc w:val="center"/>
        </w:trPr>
        <w:tc>
          <w:tcPr>
            <w:tcW w:w="3690" w:type="dxa"/>
            <w:tcBorders>
              <w:top w:val="nil"/>
              <w:left w:val="nil"/>
              <w:bottom w:val="nil"/>
              <w:right w:val="nil"/>
            </w:tcBorders>
            <w:noWrap/>
            <w:vAlign w:val="bottom"/>
            <w:hideMark/>
          </w:tcPr>
          <w:p w14:paraId="64F698AE" w14:textId="77777777" w:rsidR="00B93C25" w:rsidRPr="00AD5B5C" w:rsidRDefault="00B93C25" w:rsidP="00B93C25">
            <w:pPr>
              <w:rPr>
                <w:rFonts w:eastAsia="Times New Roman" w:cstheme="minorHAnsi"/>
                <w:color w:val="000000"/>
                <w:sz w:val="20"/>
                <w:szCs w:val="20"/>
              </w:rPr>
            </w:pPr>
            <w:r w:rsidRPr="00AD5B5C">
              <w:rPr>
                <w:rFonts w:eastAsia="Times New Roman" w:cstheme="minorHAnsi"/>
                <w:color w:val="000000"/>
                <w:sz w:val="20"/>
                <w:szCs w:val="20"/>
              </w:rPr>
              <w:t xml:space="preserve">Grants &amp; Contracts </w:t>
            </w:r>
          </w:p>
        </w:tc>
        <w:tc>
          <w:tcPr>
            <w:tcW w:w="1080" w:type="dxa"/>
            <w:tcBorders>
              <w:top w:val="nil"/>
              <w:left w:val="nil"/>
              <w:bottom w:val="nil"/>
              <w:right w:val="nil"/>
            </w:tcBorders>
            <w:noWrap/>
            <w:vAlign w:val="bottom"/>
            <w:hideMark/>
          </w:tcPr>
          <w:p w14:paraId="634C2EF0" w14:textId="5BA22E54" w:rsidR="00B93C25" w:rsidRPr="00AD5B5C" w:rsidRDefault="006445C1">
            <w:pPr>
              <w:jc w:val="right"/>
              <w:rPr>
                <w:rFonts w:eastAsia="Times New Roman" w:cstheme="minorHAnsi"/>
                <w:color w:val="000000"/>
                <w:sz w:val="20"/>
                <w:szCs w:val="20"/>
              </w:rPr>
            </w:pPr>
            <w:r w:rsidRPr="00AD5B5C">
              <w:rPr>
                <w:rFonts w:eastAsia="Times New Roman" w:cstheme="minorHAnsi"/>
                <w:color w:val="000000"/>
                <w:sz w:val="20"/>
                <w:szCs w:val="20"/>
              </w:rPr>
              <w:t>16</w:t>
            </w:r>
            <w:r>
              <w:rPr>
                <w:rFonts w:eastAsia="Times New Roman" w:cstheme="minorHAnsi"/>
                <w:color w:val="000000"/>
                <w:sz w:val="20"/>
                <w:szCs w:val="20"/>
              </w:rPr>
              <w:t>8</w:t>
            </w:r>
          </w:p>
        </w:tc>
        <w:tc>
          <w:tcPr>
            <w:tcW w:w="664" w:type="dxa"/>
            <w:tcBorders>
              <w:top w:val="nil"/>
              <w:left w:val="nil"/>
              <w:bottom w:val="nil"/>
              <w:right w:val="nil"/>
            </w:tcBorders>
            <w:noWrap/>
            <w:vAlign w:val="bottom"/>
            <w:hideMark/>
          </w:tcPr>
          <w:p w14:paraId="7CB1A452" w14:textId="563FD4B7" w:rsidR="00B93C25" w:rsidRPr="00AD5B5C" w:rsidRDefault="008A4EB7" w:rsidP="00B93C25">
            <w:pPr>
              <w:jc w:val="right"/>
              <w:rPr>
                <w:rFonts w:eastAsia="Times New Roman" w:cstheme="minorHAnsi"/>
                <w:color w:val="000000"/>
                <w:sz w:val="20"/>
                <w:szCs w:val="20"/>
              </w:rPr>
            </w:pPr>
            <w:r w:rsidRPr="00AD5B5C">
              <w:rPr>
                <w:rFonts w:eastAsia="Times New Roman" w:cstheme="minorHAnsi"/>
                <w:color w:val="000000"/>
                <w:sz w:val="20"/>
                <w:szCs w:val="20"/>
              </w:rPr>
              <w:t>20</w:t>
            </w:r>
            <w:r w:rsidR="00B93C25" w:rsidRPr="00AD5B5C">
              <w:rPr>
                <w:rFonts w:eastAsia="Times New Roman" w:cstheme="minorHAnsi"/>
                <w:color w:val="000000"/>
                <w:sz w:val="20"/>
                <w:szCs w:val="20"/>
              </w:rPr>
              <w:t>%</w:t>
            </w:r>
          </w:p>
        </w:tc>
      </w:tr>
      <w:tr w:rsidR="00B93C25" w:rsidRPr="00B93C25" w14:paraId="521D9B1B" w14:textId="77777777" w:rsidTr="00DF43A9">
        <w:trPr>
          <w:trHeight w:val="80"/>
          <w:jc w:val="center"/>
        </w:trPr>
        <w:tc>
          <w:tcPr>
            <w:tcW w:w="3690" w:type="dxa"/>
            <w:tcBorders>
              <w:top w:val="nil"/>
              <w:left w:val="nil"/>
              <w:bottom w:val="nil"/>
              <w:right w:val="nil"/>
            </w:tcBorders>
            <w:noWrap/>
            <w:vAlign w:val="bottom"/>
            <w:hideMark/>
          </w:tcPr>
          <w:p w14:paraId="1CAC77B2" w14:textId="77777777" w:rsidR="00B93C25" w:rsidRPr="00AD5B5C" w:rsidRDefault="00B93C25" w:rsidP="00B93C25">
            <w:pPr>
              <w:rPr>
                <w:rFonts w:eastAsia="Times New Roman" w:cstheme="minorHAnsi"/>
                <w:color w:val="000000"/>
                <w:sz w:val="20"/>
                <w:szCs w:val="20"/>
              </w:rPr>
            </w:pPr>
            <w:r w:rsidRPr="00AD5B5C">
              <w:rPr>
                <w:rFonts w:eastAsia="Times New Roman" w:cstheme="minorHAnsi"/>
                <w:color w:val="000000"/>
                <w:sz w:val="20"/>
                <w:szCs w:val="20"/>
              </w:rPr>
              <w:t>Other:</w:t>
            </w:r>
          </w:p>
        </w:tc>
        <w:tc>
          <w:tcPr>
            <w:tcW w:w="1080" w:type="dxa"/>
            <w:tcBorders>
              <w:top w:val="nil"/>
              <w:left w:val="nil"/>
              <w:bottom w:val="nil"/>
              <w:right w:val="nil"/>
            </w:tcBorders>
            <w:noWrap/>
            <w:vAlign w:val="bottom"/>
            <w:hideMark/>
          </w:tcPr>
          <w:p w14:paraId="1F78B5E4" w14:textId="753A768D" w:rsidR="00B93C25" w:rsidRPr="00AD5B5C" w:rsidRDefault="006445C1">
            <w:pPr>
              <w:jc w:val="right"/>
              <w:rPr>
                <w:rFonts w:eastAsia="Times New Roman" w:cstheme="minorHAnsi"/>
                <w:color w:val="000000"/>
                <w:sz w:val="20"/>
                <w:szCs w:val="20"/>
              </w:rPr>
            </w:pPr>
            <w:r w:rsidRPr="00AD5B5C">
              <w:rPr>
                <w:rFonts w:eastAsia="Times New Roman" w:cstheme="minorHAnsi"/>
                <w:color w:val="000000"/>
                <w:sz w:val="20"/>
                <w:szCs w:val="20"/>
              </w:rPr>
              <w:t>1</w:t>
            </w:r>
            <w:r w:rsidRPr="00AD5B5C">
              <w:rPr>
                <w:color w:val="000000"/>
                <w:sz w:val="20"/>
                <w:szCs w:val="20"/>
              </w:rPr>
              <w:t>6</w:t>
            </w:r>
            <w:r>
              <w:rPr>
                <w:color w:val="000000"/>
                <w:sz w:val="20"/>
                <w:szCs w:val="20"/>
              </w:rPr>
              <w:t>6</w:t>
            </w:r>
          </w:p>
        </w:tc>
        <w:tc>
          <w:tcPr>
            <w:tcW w:w="664" w:type="dxa"/>
            <w:tcBorders>
              <w:top w:val="nil"/>
              <w:left w:val="nil"/>
              <w:bottom w:val="nil"/>
              <w:right w:val="nil"/>
            </w:tcBorders>
            <w:noWrap/>
            <w:vAlign w:val="bottom"/>
            <w:hideMark/>
          </w:tcPr>
          <w:p w14:paraId="74E6B794" w14:textId="4B37178D" w:rsidR="00B93C25" w:rsidRPr="00AD5B5C" w:rsidRDefault="00654895" w:rsidP="00654895">
            <w:pPr>
              <w:jc w:val="right"/>
              <w:rPr>
                <w:rFonts w:eastAsia="Times New Roman" w:cstheme="minorHAnsi"/>
                <w:sz w:val="20"/>
                <w:szCs w:val="20"/>
              </w:rPr>
            </w:pPr>
            <w:r w:rsidRPr="00AD5B5C">
              <w:rPr>
                <w:rFonts w:eastAsia="Times New Roman" w:cstheme="minorHAnsi"/>
                <w:sz w:val="20"/>
                <w:szCs w:val="20"/>
              </w:rPr>
              <w:t>1</w:t>
            </w:r>
            <w:r w:rsidR="008A4EB7" w:rsidRPr="00AD5B5C">
              <w:rPr>
                <w:sz w:val="20"/>
                <w:szCs w:val="20"/>
              </w:rPr>
              <w:t>9</w:t>
            </w:r>
            <w:r w:rsidRPr="00AD5B5C">
              <w:rPr>
                <w:sz w:val="20"/>
                <w:szCs w:val="20"/>
              </w:rPr>
              <w:t>%</w:t>
            </w:r>
          </w:p>
        </w:tc>
      </w:tr>
      <w:tr w:rsidR="00B93C25" w:rsidRPr="00B93C25" w14:paraId="30E40662" w14:textId="77777777" w:rsidTr="00DF43A9">
        <w:trPr>
          <w:trHeight w:val="80"/>
          <w:jc w:val="center"/>
        </w:trPr>
        <w:tc>
          <w:tcPr>
            <w:tcW w:w="3690" w:type="dxa"/>
            <w:tcBorders>
              <w:top w:val="nil"/>
              <w:left w:val="nil"/>
              <w:bottom w:val="nil"/>
              <w:right w:val="nil"/>
            </w:tcBorders>
            <w:noWrap/>
            <w:vAlign w:val="bottom"/>
            <w:hideMark/>
          </w:tcPr>
          <w:p w14:paraId="54D43BD7" w14:textId="77777777" w:rsidR="00B93C25" w:rsidRPr="00D709CA" w:rsidRDefault="00B93C25" w:rsidP="00B93C25">
            <w:pPr>
              <w:ind w:firstLineChars="100" w:firstLine="180"/>
              <w:rPr>
                <w:rFonts w:eastAsia="Times New Roman" w:cstheme="minorHAnsi"/>
                <w:i/>
                <w:iCs/>
                <w:color w:val="000000"/>
                <w:sz w:val="18"/>
                <w:szCs w:val="18"/>
              </w:rPr>
            </w:pPr>
            <w:r w:rsidRPr="00D709CA">
              <w:rPr>
                <w:rFonts w:eastAsia="Times New Roman" w:cstheme="minorHAnsi"/>
                <w:i/>
                <w:iCs/>
                <w:color w:val="000000"/>
                <w:sz w:val="18"/>
                <w:szCs w:val="18"/>
              </w:rPr>
              <w:t>Educ. Sales &amp; Services/Aux. Enterprises</w:t>
            </w:r>
          </w:p>
        </w:tc>
        <w:tc>
          <w:tcPr>
            <w:tcW w:w="1080" w:type="dxa"/>
            <w:tcBorders>
              <w:top w:val="nil"/>
              <w:left w:val="nil"/>
              <w:bottom w:val="nil"/>
              <w:right w:val="nil"/>
            </w:tcBorders>
            <w:noWrap/>
            <w:vAlign w:val="bottom"/>
            <w:hideMark/>
          </w:tcPr>
          <w:p w14:paraId="6D08898F" w14:textId="1D787A7A" w:rsidR="00B93C25" w:rsidRPr="00D709CA" w:rsidRDefault="008A4EB7" w:rsidP="008B6B93">
            <w:pPr>
              <w:jc w:val="right"/>
              <w:rPr>
                <w:rFonts w:eastAsia="Times New Roman" w:cstheme="minorHAnsi"/>
                <w:i/>
                <w:iCs/>
                <w:color w:val="000000"/>
                <w:sz w:val="18"/>
                <w:szCs w:val="18"/>
              </w:rPr>
            </w:pPr>
            <w:r w:rsidRPr="00D709CA">
              <w:rPr>
                <w:rFonts w:eastAsia="Times New Roman" w:cstheme="minorHAnsi"/>
                <w:i/>
                <w:iCs/>
                <w:color w:val="000000"/>
                <w:sz w:val="18"/>
                <w:szCs w:val="18"/>
              </w:rPr>
              <w:t>52</w:t>
            </w:r>
          </w:p>
        </w:tc>
        <w:tc>
          <w:tcPr>
            <w:tcW w:w="664" w:type="dxa"/>
            <w:tcBorders>
              <w:top w:val="nil"/>
              <w:left w:val="nil"/>
              <w:bottom w:val="nil"/>
              <w:right w:val="nil"/>
            </w:tcBorders>
            <w:noWrap/>
            <w:vAlign w:val="bottom"/>
            <w:hideMark/>
          </w:tcPr>
          <w:p w14:paraId="7B9226B6" w14:textId="5E3B844D" w:rsidR="00B93C25" w:rsidRPr="00D709CA" w:rsidRDefault="008A4EB7" w:rsidP="008B6B93">
            <w:pPr>
              <w:jc w:val="right"/>
              <w:rPr>
                <w:rFonts w:eastAsia="Times New Roman" w:cstheme="minorHAnsi"/>
                <w:i/>
                <w:iCs/>
                <w:color w:val="000000"/>
                <w:sz w:val="18"/>
                <w:szCs w:val="18"/>
              </w:rPr>
            </w:pPr>
            <w:r w:rsidRPr="00D709CA">
              <w:rPr>
                <w:rFonts w:eastAsia="Times New Roman" w:cstheme="minorHAnsi"/>
                <w:i/>
                <w:iCs/>
                <w:color w:val="000000"/>
                <w:sz w:val="18"/>
                <w:szCs w:val="18"/>
              </w:rPr>
              <w:t>6</w:t>
            </w:r>
            <w:r w:rsidR="00B93C25" w:rsidRPr="00D709CA">
              <w:rPr>
                <w:rFonts w:eastAsia="Times New Roman" w:cstheme="minorHAnsi"/>
                <w:i/>
                <w:iCs/>
                <w:color w:val="000000"/>
                <w:sz w:val="18"/>
                <w:szCs w:val="18"/>
              </w:rPr>
              <w:t>%</w:t>
            </w:r>
          </w:p>
        </w:tc>
      </w:tr>
      <w:tr w:rsidR="00B93C25" w:rsidRPr="00B93C25" w14:paraId="6465B936" w14:textId="77777777" w:rsidTr="00DF43A9">
        <w:trPr>
          <w:trHeight w:val="80"/>
          <w:jc w:val="center"/>
        </w:trPr>
        <w:tc>
          <w:tcPr>
            <w:tcW w:w="3690" w:type="dxa"/>
            <w:tcBorders>
              <w:top w:val="nil"/>
              <w:left w:val="nil"/>
              <w:bottom w:val="nil"/>
              <w:right w:val="nil"/>
            </w:tcBorders>
            <w:noWrap/>
            <w:vAlign w:val="bottom"/>
            <w:hideMark/>
          </w:tcPr>
          <w:p w14:paraId="36D5B797" w14:textId="77777777" w:rsidR="00B93C25" w:rsidRPr="00D709CA" w:rsidRDefault="00B93C25" w:rsidP="00B93C25">
            <w:pPr>
              <w:ind w:firstLineChars="100" w:firstLine="180"/>
              <w:rPr>
                <w:rFonts w:eastAsia="Times New Roman" w:cstheme="minorHAnsi"/>
                <w:i/>
                <w:iCs/>
                <w:color w:val="000000"/>
                <w:sz w:val="18"/>
                <w:szCs w:val="18"/>
              </w:rPr>
            </w:pPr>
            <w:r w:rsidRPr="00D709CA">
              <w:rPr>
                <w:rFonts w:eastAsia="Times New Roman" w:cstheme="minorHAnsi"/>
                <w:i/>
                <w:iCs/>
                <w:color w:val="000000"/>
                <w:sz w:val="18"/>
                <w:szCs w:val="18"/>
              </w:rPr>
              <w:t xml:space="preserve">Other Nonoperating Revenues Net </w:t>
            </w:r>
          </w:p>
        </w:tc>
        <w:tc>
          <w:tcPr>
            <w:tcW w:w="1080" w:type="dxa"/>
            <w:tcBorders>
              <w:top w:val="nil"/>
              <w:left w:val="nil"/>
              <w:bottom w:val="nil"/>
              <w:right w:val="nil"/>
            </w:tcBorders>
            <w:noWrap/>
            <w:vAlign w:val="bottom"/>
            <w:hideMark/>
          </w:tcPr>
          <w:p w14:paraId="3FF0FB77" w14:textId="1AB4AC23" w:rsidR="00B93C25" w:rsidRPr="00D709CA" w:rsidRDefault="008A4EB7" w:rsidP="008B6B93">
            <w:pPr>
              <w:jc w:val="right"/>
              <w:rPr>
                <w:rFonts w:eastAsia="Times New Roman" w:cstheme="minorHAnsi"/>
                <w:i/>
                <w:iCs/>
                <w:color w:val="000000"/>
                <w:sz w:val="18"/>
                <w:szCs w:val="18"/>
              </w:rPr>
            </w:pPr>
            <w:r w:rsidRPr="00D709CA">
              <w:rPr>
                <w:rFonts w:eastAsia="Times New Roman" w:cstheme="minorHAnsi"/>
                <w:i/>
                <w:iCs/>
                <w:color w:val="000000"/>
                <w:sz w:val="18"/>
                <w:szCs w:val="18"/>
              </w:rPr>
              <w:t>47</w:t>
            </w:r>
          </w:p>
        </w:tc>
        <w:tc>
          <w:tcPr>
            <w:tcW w:w="664" w:type="dxa"/>
            <w:tcBorders>
              <w:top w:val="nil"/>
              <w:left w:val="nil"/>
              <w:bottom w:val="nil"/>
              <w:right w:val="nil"/>
            </w:tcBorders>
            <w:noWrap/>
            <w:vAlign w:val="bottom"/>
            <w:hideMark/>
          </w:tcPr>
          <w:p w14:paraId="1AEBD561" w14:textId="6C3C2B83" w:rsidR="00B93C25" w:rsidRPr="00D709CA" w:rsidRDefault="008A4EB7" w:rsidP="008B6B93">
            <w:pPr>
              <w:jc w:val="right"/>
              <w:rPr>
                <w:rFonts w:eastAsia="Times New Roman" w:cstheme="minorHAnsi"/>
                <w:i/>
                <w:iCs/>
                <w:color w:val="000000"/>
                <w:sz w:val="18"/>
                <w:szCs w:val="18"/>
              </w:rPr>
            </w:pPr>
            <w:r w:rsidRPr="00D709CA">
              <w:rPr>
                <w:rFonts w:eastAsia="Times New Roman" w:cstheme="minorHAnsi"/>
                <w:i/>
                <w:iCs/>
                <w:color w:val="000000"/>
                <w:sz w:val="18"/>
                <w:szCs w:val="18"/>
              </w:rPr>
              <w:t>5</w:t>
            </w:r>
            <w:r w:rsidR="00B93C25" w:rsidRPr="00D709CA">
              <w:rPr>
                <w:rFonts w:eastAsia="Times New Roman" w:cstheme="minorHAnsi"/>
                <w:i/>
                <w:iCs/>
                <w:color w:val="000000"/>
                <w:sz w:val="18"/>
                <w:szCs w:val="18"/>
              </w:rPr>
              <w:t>%</w:t>
            </w:r>
          </w:p>
        </w:tc>
      </w:tr>
      <w:tr w:rsidR="00B93C25" w:rsidRPr="00B93C25" w14:paraId="34B37286" w14:textId="77777777" w:rsidTr="00DF43A9">
        <w:trPr>
          <w:trHeight w:val="80"/>
          <w:jc w:val="center"/>
        </w:trPr>
        <w:tc>
          <w:tcPr>
            <w:tcW w:w="3690" w:type="dxa"/>
            <w:tcBorders>
              <w:top w:val="nil"/>
              <w:left w:val="nil"/>
              <w:bottom w:val="nil"/>
              <w:right w:val="nil"/>
            </w:tcBorders>
            <w:noWrap/>
            <w:vAlign w:val="bottom"/>
            <w:hideMark/>
          </w:tcPr>
          <w:p w14:paraId="2D7F37B1" w14:textId="77777777" w:rsidR="00B93C25" w:rsidRPr="00D709CA" w:rsidRDefault="00B93C25" w:rsidP="00B93C25">
            <w:pPr>
              <w:ind w:firstLineChars="100" w:firstLine="180"/>
              <w:rPr>
                <w:rFonts w:eastAsia="Times New Roman" w:cstheme="minorHAnsi"/>
                <w:i/>
                <w:iCs/>
                <w:color w:val="000000"/>
                <w:sz w:val="18"/>
                <w:szCs w:val="18"/>
              </w:rPr>
            </w:pPr>
            <w:r w:rsidRPr="00D709CA">
              <w:rPr>
                <w:rFonts w:eastAsia="Times New Roman" w:cstheme="minorHAnsi"/>
                <w:i/>
                <w:iCs/>
                <w:color w:val="000000"/>
                <w:sz w:val="18"/>
                <w:szCs w:val="18"/>
              </w:rPr>
              <w:t>Federal Pell Grants</w:t>
            </w:r>
          </w:p>
        </w:tc>
        <w:tc>
          <w:tcPr>
            <w:tcW w:w="1080" w:type="dxa"/>
            <w:tcBorders>
              <w:top w:val="nil"/>
              <w:left w:val="nil"/>
              <w:bottom w:val="nil"/>
              <w:right w:val="nil"/>
            </w:tcBorders>
            <w:noWrap/>
            <w:vAlign w:val="bottom"/>
            <w:hideMark/>
          </w:tcPr>
          <w:p w14:paraId="04884A6F" w14:textId="199086F2" w:rsidR="00B93C25" w:rsidRPr="00D709CA" w:rsidRDefault="00B93C25" w:rsidP="008B6B93">
            <w:pPr>
              <w:jc w:val="right"/>
              <w:rPr>
                <w:rFonts w:eastAsia="Times New Roman" w:cstheme="minorHAnsi"/>
                <w:i/>
                <w:iCs/>
                <w:color w:val="000000"/>
                <w:sz w:val="18"/>
                <w:szCs w:val="18"/>
              </w:rPr>
            </w:pPr>
            <w:r w:rsidRPr="00D709CA">
              <w:rPr>
                <w:rFonts w:eastAsia="Times New Roman" w:cstheme="minorHAnsi"/>
                <w:i/>
                <w:iCs/>
                <w:color w:val="000000"/>
                <w:sz w:val="18"/>
                <w:szCs w:val="18"/>
              </w:rPr>
              <w:t>3</w:t>
            </w:r>
            <w:r w:rsidR="008A4EB7" w:rsidRPr="00D709CA">
              <w:rPr>
                <w:rFonts w:eastAsia="Times New Roman" w:cstheme="minorHAnsi"/>
                <w:i/>
                <w:iCs/>
                <w:color w:val="000000"/>
                <w:sz w:val="18"/>
                <w:szCs w:val="18"/>
              </w:rPr>
              <w:t>6</w:t>
            </w:r>
          </w:p>
        </w:tc>
        <w:tc>
          <w:tcPr>
            <w:tcW w:w="664" w:type="dxa"/>
            <w:tcBorders>
              <w:top w:val="nil"/>
              <w:left w:val="nil"/>
              <w:bottom w:val="nil"/>
              <w:right w:val="nil"/>
            </w:tcBorders>
            <w:noWrap/>
            <w:vAlign w:val="bottom"/>
            <w:hideMark/>
          </w:tcPr>
          <w:p w14:paraId="7B9C4296" w14:textId="77777777" w:rsidR="00B93C25" w:rsidRPr="00D709CA" w:rsidRDefault="00B93C25" w:rsidP="008B6B93">
            <w:pPr>
              <w:jc w:val="right"/>
              <w:rPr>
                <w:rFonts w:eastAsia="Times New Roman" w:cstheme="minorHAnsi"/>
                <w:i/>
                <w:iCs/>
                <w:color w:val="000000"/>
                <w:sz w:val="18"/>
                <w:szCs w:val="18"/>
              </w:rPr>
            </w:pPr>
            <w:r w:rsidRPr="00D709CA">
              <w:rPr>
                <w:rFonts w:eastAsia="Times New Roman" w:cstheme="minorHAnsi"/>
                <w:i/>
                <w:iCs/>
                <w:color w:val="000000"/>
                <w:sz w:val="18"/>
                <w:szCs w:val="18"/>
              </w:rPr>
              <w:t>4%</w:t>
            </w:r>
          </w:p>
        </w:tc>
      </w:tr>
      <w:tr w:rsidR="00B93C25" w:rsidRPr="00B93C25" w14:paraId="406A6CB9" w14:textId="77777777" w:rsidTr="00DF43A9">
        <w:trPr>
          <w:trHeight w:val="90"/>
          <w:jc w:val="center"/>
        </w:trPr>
        <w:tc>
          <w:tcPr>
            <w:tcW w:w="3690" w:type="dxa"/>
            <w:tcBorders>
              <w:top w:val="nil"/>
              <w:left w:val="nil"/>
              <w:bottom w:val="nil"/>
              <w:right w:val="nil"/>
            </w:tcBorders>
            <w:noWrap/>
            <w:vAlign w:val="bottom"/>
            <w:hideMark/>
          </w:tcPr>
          <w:p w14:paraId="633D463C" w14:textId="77777777" w:rsidR="00B93C25" w:rsidRPr="00D709CA" w:rsidRDefault="00B93C25" w:rsidP="00B93C25">
            <w:pPr>
              <w:ind w:firstLineChars="100" w:firstLine="180"/>
              <w:rPr>
                <w:rFonts w:eastAsia="Times New Roman" w:cstheme="minorHAnsi"/>
                <w:i/>
                <w:iCs/>
                <w:color w:val="000000"/>
                <w:sz w:val="18"/>
                <w:szCs w:val="18"/>
              </w:rPr>
            </w:pPr>
            <w:r w:rsidRPr="00D709CA">
              <w:rPr>
                <w:rFonts w:eastAsia="Times New Roman" w:cstheme="minorHAnsi"/>
                <w:i/>
                <w:iCs/>
                <w:color w:val="000000"/>
                <w:sz w:val="18"/>
                <w:szCs w:val="18"/>
              </w:rPr>
              <w:t xml:space="preserve">Indirect Cost Recovery </w:t>
            </w:r>
          </w:p>
        </w:tc>
        <w:tc>
          <w:tcPr>
            <w:tcW w:w="1080" w:type="dxa"/>
            <w:tcBorders>
              <w:top w:val="nil"/>
              <w:left w:val="nil"/>
              <w:bottom w:val="nil"/>
              <w:right w:val="nil"/>
            </w:tcBorders>
            <w:noWrap/>
            <w:vAlign w:val="bottom"/>
            <w:hideMark/>
          </w:tcPr>
          <w:p w14:paraId="40BC578B" w14:textId="22F8E7A9" w:rsidR="00B93C25" w:rsidRPr="00D709CA" w:rsidRDefault="00B93C25" w:rsidP="008B6B93">
            <w:pPr>
              <w:jc w:val="right"/>
              <w:rPr>
                <w:rFonts w:eastAsia="Times New Roman" w:cstheme="minorHAnsi"/>
                <w:i/>
                <w:iCs/>
                <w:color w:val="000000"/>
                <w:sz w:val="18"/>
                <w:szCs w:val="18"/>
              </w:rPr>
            </w:pPr>
            <w:r w:rsidRPr="00D709CA">
              <w:rPr>
                <w:rFonts w:eastAsia="Times New Roman" w:cstheme="minorHAnsi"/>
                <w:i/>
                <w:iCs/>
                <w:color w:val="000000"/>
                <w:sz w:val="18"/>
                <w:szCs w:val="18"/>
              </w:rPr>
              <w:t>2</w:t>
            </w:r>
            <w:r w:rsidR="008A4EB7" w:rsidRPr="00D709CA">
              <w:rPr>
                <w:rFonts w:eastAsia="Times New Roman" w:cstheme="minorHAnsi"/>
                <w:i/>
                <w:iCs/>
                <w:color w:val="000000"/>
                <w:sz w:val="18"/>
                <w:szCs w:val="18"/>
              </w:rPr>
              <w:t>8</w:t>
            </w:r>
          </w:p>
        </w:tc>
        <w:tc>
          <w:tcPr>
            <w:tcW w:w="664" w:type="dxa"/>
            <w:tcBorders>
              <w:top w:val="nil"/>
              <w:left w:val="nil"/>
              <w:bottom w:val="nil"/>
              <w:right w:val="nil"/>
            </w:tcBorders>
            <w:noWrap/>
            <w:vAlign w:val="bottom"/>
            <w:hideMark/>
          </w:tcPr>
          <w:p w14:paraId="147750FB" w14:textId="77777777" w:rsidR="00B93C25" w:rsidRPr="00D709CA" w:rsidRDefault="00B93C25" w:rsidP="008B6B93">
            <w:pPr>
              <w:jc w:val="right"/>
              <w:rPr>
                <w:rFonts w:eastAsia="Times New Roman" w:cstheme="minorHAnsi"/>
                <w:i/>
                <w:iCs/>
                <w:color w:val="000000"/>
                <w:sz w:val="18"/>
                <w:szCs w:val="18"/>
              </w:rPr>
            </w:pPr>
            <w:r w:rsidRPr="00D709CA">
              <w:rPr>
                <w:rFonts w:eastAsia="Times New Roman" w:cstheme="minorHAnsi"/>
                <w:i/>
                <w:iCs/>
                <w:color w:val="000000"/>
                <w:sz w:val="18"/>
                <w:szCs w:val="18"/>
              </w:rPr>
              <w:t>3%</w:t>
            </w:r>
          </w:p>
        </w:tc>
      </w:tr>
      <w:tr w:rsidR="00B93C25" w:rsidRPr="00B93C25" w14:paraId="70D8AA13" w14:textId="77777777" w:rsidTr="00DF43A9">
        <w:trPr>
          <w:trHeight w:val="80"/>
          <w:jc w:val="center"/>
        </w:trPr>
        <w:tc>
          <w:tcPr>
            <w:tcW w:w="3690" w:type="dxa"/>
            <w:tcBorders>
              <w:top w:val="nil"/>
              <w:left w:val="nil"/>
              <w:right w:val="nil"/>
            </w:tcBorders>
            <w:noWrap/>
            <w:vAlign w:val="bottom"/>
            <w:hideMark/>
          </w:tcPr>
          <w:p w14:paraId="4DD9D03F" w14:textId="77777777" w:rsidR="00B93C25" w:rsidRPr="00D709CA" w:rsidRDefault="00B93C25" w:rsidP="00B93C25">
            <w:pPr>
              <w:ind w:firstLineChars="100" w:firstLine="180"/>
              <w:rPr>
                <w:rFonts w:eastAsia="Times New Roman" w:cstheme="minorHAnsi"/>
                <w:i/>
                <w:iCs/>
                <w:color w:val="000000"/>
                <w:sz w:val="18"/>
                <w:szCs w:val="18"/>
              </w:rPr>
            </w:pPr>
            <w:r w:rsidRPr="00D709CA">
              <w:rPr>
                <w:rFonts w:eastAsia="Times New Roman" w:cstheme="minorHAnsi"/>
                <w:i/>
                <w:iCs/>
                <w:color w:val="000000"/>
                <w:sz w:val="18"/>
                <w:szCs w:val="18"/>
              </w:rPr>
              <w:t>Coronavirus Relief Funding</w:t>
            </w:r>
          </w:p>
        </w:tc>
        <w:tc>
          <w:tcPr>
            <w:tcW w:w="1080" w:type="dxa"/>
            <w:tcBorders>
              <w:top w:val="nil"/>
              <w:left w:val="nil"/>
              <w:right w:val="nil"/>
            </w:tcBorders>
            <w:noWrap/>
            <w:vAlign w:val="bottom"/>
            <w:hideMark/>
          </w:tcPr>
          <w:p w14:paraId="3816CEF6" w14:textId="75957C3B" w:rsidR="00B93C25" w:rsidRPr="00D709CA" w:rsidRDefault="006445C1" w:rsidP="008B6B93">
            <w:pPr>
              <w:jc w:val="right"/>
              <w:rPr>
                <w:rFonts w:eastAsia="Times New Roman" w:cstheme="minorHAnsi"/>
                <w:i/>
                <w:iCs/>
                <w:color w:val="000000"/>
                <w:sz w:val="18"/>
                <w:szCs w:val="18"/>
              </w:rPr>
            </w:pPr>
            <w:r w:rsidRPr="00D709CA">
              <w:rPr>
                <w:rFonts w:eastAsia="Times New Roman" w:cstheme="minorHAnsi"/>
                <w:i/>
                <w:iCs/>
                <w:color w:val="000000"/>
                <w:sz w:val="18"/>
                <w:szCs w:val="18"/>
              </w:rPr>
              <w:t xml:space="preserve">  3</w:t>
            </w:r>
          </w:p>
        </w:tc>
        <w:tc>
          <w:tcPr>
            <w:tcW w:w="664" w:type="dxa"/>
            <w:tcBorders>
              <w:top w:val="nil"/>
              <w:left w:val="nil"/>
              <w:right w:val="nil"/>
            </w:tcBorders>
            <w:noWrap/>
            <w:vAlign w:val="bottom"/>
            <w:hideMark/>
          </w:tcPr>
          <w:p w14:paraId="5E0E978B" w14:textId="77777777" w:rsidR="00B93C25" w:rsidRPr="00D709CA" w:rsidRDefault="00B93C25" w:rsidP="008B6B93">
            <w:pPr>
              <w:jc w:val="right"/>
              <w:rPr>
                <w:rFonts w:eastAsia="Times New Roman" w:cstheme="minorHAnsi"/>
                <w:i/>
                <w:iCs/>
                <w:color w:val="000000"/>
                <w:sz w:val="18"/>
                <w:szCs w:val="18"/>
              </w:rPr>
            </w:pPr>
            <w:r w:rsidRPr="00D709CA">
              <w:rPr>
                <w:rFonts w:eastAsia="Times New Roman" w:cstheme="minorHAnsi"/>
                <w:i/>
                <w:iCs/>
                <w:color w:val="000000"/>
                <w:sz w:val="18"/>
                <w:szCs w:val="18"/>
              </w:rPr>
              <w:t>1%</w:t>
            </w:r>
          </w:p>
        </w:tc>
      </w:tr>
      <w:tr w:rsidR="00B93C25" w:rsidRPr="00B93C25" w14:paraId="04F4160E" w14:textId="77777777" w:rsidTr="00DF43A9">
        <w:trPr>
          <w:trHeight w:val="80"/>
          <w:jc w:val="center"/>
        </w:trPr>
        <w:tc>
          <w:tcPr>
            <w:tcW w:w="3690" w:type="dxa"/>
            <w:tcBorders>
              <w:top w:val="nil"/>
              <w:left w:val="nil"/>
              <w:bottom w:val="single" w:sz="4" w:space="0" w:color="auto"/>
              <w:right w:val="nil"/>
            </w:tcBorders>
            <w:noWrap/>
            <w:vAlign w:val="bottom"/>
            <w:hideMark/>
          </w:tcPr>
          <w:p w14:paraId="4301A166" w14:textId="77777777" w:rsidR="00B93C25" w:rsidRPr="00AD5B5C" w:rsidRDefault="00B93C25" w:rsidP="00B93C25">
            <w:pPr>
              <w:jc w:val="right"/>
              <w:rPr>
                <w:rFonts w:eastAsia="Times New Roman" w:cstheme="minorHAnsi"/>
                <w:color w:val="000000"/>
                <w:sz w:val="20"/>
                <w:szCs w:val="20"/>
              </w:rPr>
            </w:pPr>
            <w:r w:rsidRPr="00AD5B5C">
              <w:rPr>
                <w:rFonts w:eastAsia="Times New Roman" w:cstheme="minorHAnsi"/>
                <w:color w:val="000000"/>
                <w:sz w:val="20"/>
                <w:szCs w:val="20"/>
              </w:rPr>
              <w:t>Total:</w:t>
            </w:r>
          </w:p>
        </w:tc>
        <w:tc>
          <w:tcPr>
            <w:tcW w:w="1080" w:type="dxa"/>
            <w:tcBorders>
              <w:top w:val="nil"/>
              <w:left w:val="nil"/>
              <w:bottom w:val="single" w:sz="4" w:space="0" w:color="auto"/>
              <w:right w:val="nil"/>
            </w:tcBorders>
            <w:noWrap/>
            <w:vAlign w:val="bottom"/>
            <w:hideMark/>
          </w:tcPr>
          <w:p w14:paraId="3099A1B1" w14:textId="1F5A605B" w:rsidR="00B93C25" w:rsidRPr="00AD5B5C" w:rsidRDefault="00B93C25" w:rsidP="00B93C25">
            <w:pPr>
              <w:jc w:val="right"/>
              <w:rPr>
                <w:rFonts w:eastAsia="Times New Roman" w:cstheme="minorHAnsi"/>
                <w:color w:val="000000"/>
                <w:sz w:val="20"/>
                <w:szCs w:val="20"/>
              </w:rPr>
            </w:pPr>
            <w:r w:rsidRPr="00AD5B5C">
              <w:rPr>
                <w:rFonts w:eastAsia="Times New Roman" w:cstheme="minorHAnsi"/>
                <w:color w:val="000000"/>
                <w:sz w:val="20"/>
                <w:szCs w:val="20"/>
              </w:rPr>
              <w:t>$</w:t>
            </w:r>
            <w:r w:rsidR="008A4EB7" w:rsidRPr="00AD5B5C">
              <w:rPr>
                <w:rFonts w:eastAsia="Times New Roman" w:cstheme="minorHAnsi"/>
                <w:color w:val="000000"/>
                <w:sz w:val="20"/>
                <w:szCs w:val="20"/>
              </w:rPr>
              <w:t>858</w:t>
            </w:r>
          </w:p>
        </w:tc>
        <w:tc>
          <w:tcPr>
            <w:tcW w:w="664" w:type="dxa"/>
            <w:tcBorders>
              <w:top w:val="nil"/>
              <w:left w:val="nil"/>
              <w:bottom w:val="single" w:sz="4" w:space="0" w:color="auto"/>
              <w:right w:val="nil"/>
            </w:tcBorders>
            <w:noWrap/>
            <w:vAlign w:val="bottom"/>
            <w:hideMark/>
          </w:tcPr>
          <w:p w14:paraId="10DCE2C3" w14:textId="77777777" w:rsidR="00B93C25" w:rsidRPr="00AD5B5C" w:rsidRDefault="00B93C25" w:rsidP="00B93C25">
            <w:pPr>
              <w:jc w:val="right"/>
              <w:rPr>
                <w:rFonts w:eastAsia="Times New Roman" w:cstheme="minorHAnsi"/>
                <w:color w:val="000000"/>
                <w:sz w:val="20"/>
                <w:szCs w:val="20"/>
              </w:rPr>
            </w:pPr>
            <w:r w:rsidRPr="00AD5B5C">
              <w:rPr>
                <w:rFonts w:eastAsia="Times New Roman" w:cstheme="minorHAnsi"/>
                <w:color w:val="000000"/>
                <w:sz w:val="20"/>
                <w:szCs w:val="20"/>
              </w:rPr>
              <w:t>100%</w:t>
            </w:r>
          </w:p>
        </w:tc>
      </w:tr>
    </w:tbl>
    <w:p w14:paraId="2B72DB5D" w14:textId="6D3175EC" w:rsidR="00A83362" w:rsidRPr="004E6649" w:rsidRDefault="00A83362" w:rsidP="00A83362">
      <w:pPr>
        <w:pStyle w:val="AFR3"/>
        <w:rPr>
          <w:rFonts w:cstheme="minorHAnsi"/>
          <w:sz w:val="24"/>
          <w:szCs w:val="20"/>
        </w:rPr>
      </w:pPr>
      <w:bookmarkStart w:id="4" w:name="_Hlk211886626"/>
      <w:r w:rsidRPr="004E6649">
        <w:rPr>
          <w:rFonts w:cstheme="minorHAnsi"/>
          <w:sz w:val="24"/>
          <w:szCs w:val="20"/>
        </w:rPr>
        <w:t>Net Student Fees Revenue</w:t>
      </w:r>
    </w:p>
    <w:bookmarkEnd w:id="4"/>
    <w:p w14:paraId="70563B53" w14:textId="7A19A185" w:rsidR="00A83362" w:rsidRPr="004E6649" w:rsidRDefault="00A83362" w:rsidP="00A83362">
      <w:pPr>
        <w:spacing w:after="160" w:line="256" w:lineRule="auto"/>
        <w:rPr>
          <w:rFonts w:eastAsia="Times New Roman" w:cstheme="minorHAnsi"/>
          <w:sz w:val="24"/>
        </w:rPr>
      </w:pPr>
      <w:r w:rsidRPr="004E6649">
        <w:rPr>
          <w:rFonts w:eastAsia="Times New Roman" w:cstheme="minorHAnsi"/>
          <w:sz w:val="24"/>
        </w:rPr>
        <w:t xml:space="preserve">Net student fees </w:t>
      </w:r>
      <w:r w:rsidR="00D559A2" w:rsidRPr="004E6649">
        <w:rPr>
          <w:rFonts w:eastAsia="Times New Roman" w:cstheme="minorHAnsi"/>
          <w:sz w:val="24"/>
        </w:rPr>
        <w:t xml:space="preserve">revenue </w:t>
      </w:r>
      <w:r w:rsidRPr="004E6649">
        <w:rPr>
          <w:rFonts w:eastAsia="Times New Roman" w:cstheme="minorHAnsi"/>
          <w:sz w:val="24"/>
        </w:rPr>
        <w:t>of $</w:t>
      </w:r>
      <w:r w:rsidR="00F207D6" w:rsidRPr="004E6649">
        <w:rPr>
          <w:rFonts w:eastAsia="Times New Roman" w:cstheme="minorHAnsi"/>
          <w:color w:val="0D0D0D" w:themeColor="text1" w:themeTint="F2"/>
          <w:sz w:val="24"/>
        </w:rPr>
        <w:t>2</w:t>
      </w:r>
      <w:r w:rsidR="00674BE7">
        <w:rPr>
          <w:rFonts w:eastAsia="Times New Roman" w:cstheme="minorHAnsi"/>
          <w:color w:val="0D0D0D" w:themeColor="text1" w:themeTint="F2"/>
          <w:sz w:val="24"/>
        </w:rPr>
        <w:t>62</w:t>
      </w:r>
      <w:r w:rsidR="00F207D6" w:rsidRPr="004E6649">
        <w:rPr>
          <w:rFonts w:eastAsia="Times New Roman" w:cstheme="minorHAnsi"/>
          <w:sz w:val="24"/>
        </w:rPr>
        <w:t xml:space="preserve"> </w:t>
      </w:r>
      <w:r w:rsidRPr="004E6649">
        <w:rPr>
          <w:rFonts w:eastAsia="Times New Roman" w:cstheme="minorHAnsi"/>
          <w:sz w:val="24"/>
        </w:rPr>
        <w:t xml:space="preserve">million for </w:t>
      </w:r>
      <w:r w:rsidR="00F207D6" w:rsidRPr="004E6649">
        <w:rPr>
          <w:rFonts w:eastAsia="Times New Roman" w:cstheme="minorHAnsi"/>
          <w:sz w:val="24"/>
        </w:rPr>
        <w:t>FY2</w:t>
      </w:r>
      <w:r w:rsidR="00F207D6">
        <w:rPr>
          <w:rFonts w:eastAsia="Times New Roman" w:cstheme="minorHAnsi"/>
          <w:sz w:val="24"/>
        </w:rPr>
        <w:t>5</w:t>
      </w:r>
      <w:r w:rsidR="00D559A2" w:rsidRPr="004E6649">
        <w:rPr>
          <w:rFonts w:eastAsia="Times New Roman" w:cstheme="minorHAnsi"/>
          <w:sz w:val="24"/>
        </w:rPr>
        <w:t>, is</w:t>
      </w:r>
      <w:r w:rsidRPr="004E6649">
        <w:rPr>
          <w:rFonts w:eastAsia="Times New Roman" w:cstheme="minorHAnsi"/>
          <w:sz w:val="24"/>
        </w:rPr>
        <w:t xml:space="preserve"> the</w:t>
      </w:r>
      <w:r w:rsidR="00E1495D">
        <w:rPr>
          <w:rFonts w:eastAsia="Times New Roman" w:cstheme="minorHAnsi"/>
          <w:sz w:val="24"/>
        </w:rPr>
        <w:t xml:space="preserve"> second</w:t>
      </w:r>
      <w:r w:rsidRPr="004E6649">
        <w:rPr>
          <w:rFonts w:eastAsia="Times New Roman" w:cstheme="minorHAnsi"/>
          <w:sz w:val="24"/>
        </w:rPr>
        <w:t xml:space="preserve"> largest source of revenues used to fund operating expenses, representing </w:t>
      </w:r>
      <w:r w:rsidR="00674BE7">
        <w:rPr>
          <w:rFonts w:eastAsia="Times New Roman" w:cstheme="minorHAnsi"/>
          <w:color w:val="0D0D0D" w:themeColor="text1" w:themeTint="F2"/>
          <w:sz w:val="24"/>
        </w:rPr>
        <w:t>29</w:t>
      </w:r>
      <w:r w:rsidRPr="004E6649">
        <w:rPr>
          <w:rFonts w:eastAsia="Times New Roman" w:cstheme="minorHAnsi"/>
          <w:sz w:val="24"/>
        </w:rPr>
        <w:t>% of total operating and net nonoperating revenues. Net student fees of $</w:t>
      </w:r>
      <w:r w:rsidR="00AD43C2" w:rsidRPr="004E6649">
        <w:rPr>
          <w:rFonts w:eastAsia="Times New Roman" w:cstheme="minorHAnsi"/>
          <w:sz w:val="24"/>
        </w:rPr>
        <w:t>2</w:t>
      </w:r>
      <w:r w:rsidR="00AD43C2">
        <w:rPr>
          <w:rFonts w:eastAsia="Times New Roman" w:cstheme="minorHAnsi"/>
          <w:sz w:val="24"/>
        </w:rPr>
        <w:t>63</w:t>
      </w:r>
      <w:r w:rsidR="00AD43C2" w:rsidRPr="004E6649">
        <w:rPr>
          <w:rFonts w:eastAsia="Times New Roman" w:cstheme="minorHAnsi"/>
          <w:sz w:val="24"/>
        </w:rPr>
        <w:t xml:space="preserve"> </w:t>
      </w:r>
      <w:r w:rsidRPr="004E6649">
        <w:rPr>
          <w:rFonts w:eastAsia="Times New Roman" w:cstheme="minorHAnsi"/>
          <w:sz w:val="24"/>
        </w:rPr>
        <w:t xml:space="preserve">million for </w:t>
      </w:r>
      <w:r w:rsidR="00AD43C2" w:rsidRPr="004E6649">
        <w:rPr>
          <w:rFonts w:eastAsia="Times New Roman" w:cstheme="minorHAnsi"/>
          <w:sz w:val="24"/>
        </w:rPr>
        <w:t>FY2</w:t>
      </w:r>
      <w:r w:rsidR="00AD43C2">
        <w:rPr>
          <w:rFonts w:eastAsia="Times New Roman" w:cstheme="minorHAnsi"/>
          <w:sz w:val="24"/>
        </w:rPr>
        <w:t>4</w:t>
      </w:r>
      <w:r w:rsidR="00C81D0B">
        <w:rPr>
          <w:rFonts w:eastAsia="Times New Roman" w:cstheme="minorHAnsi"/>
          <w:sz w:val="24"/>
        </w:rPr>
        <w:t xml:space="preserve"> was the largest source of revenue and </w:t>
      </w:r>
      <w:r w:rsidRPr="004E6649">
        <w:rPr>
          <w:rFonts w:eastAsia="Times New Roman" w:cstheme="minorHAnsi"/>
          <w:sz w:val="24"/>
        </w:rPr>
        <w:t xml:space="preserve">represented </w:t>
      </w:r>
      <w:r w:rsidR="00AD43C2" w:rsidRPr="004E6649">
        <w:rPr>
          <w:rFonts w:eastAsia="Times New Roman" w:cstheme="minorHAnsi"/>
          <w:sz w:val="24"/>
        </w:rPr>
        <w:t>3</w:t>
      </w:r>
      <w:r w:rsidR="00AD43C2">
        <w:rPr>
          <w:rFonts w:eastAsia="Times New Roman" w:cstheme="minorHAnsi"/>
          <w:sz w:val="24"/>
        </w:rPr>
        <w:t>1</w:t>
      </w:r>
      <w:r w:rsidRPr="004E6649">
        <w:rPr>
          <w:rFonts w:eastAsia="Times New Roman" w:cstheme="minorHAnsi"/>
          <w:sz w:val="24"/>
        </w:rPr>
        <w:t>% of that year’s total operating and net nonoperating revenues.</w:t>
      </w:r>
    </w:p>
    <w:p w14:paraId="372ED65D" w14:textId="77777777" w:rsidR="00A83362" w:rsidRPr="004E6649" w:rsidRDefault="00A83362" w:rsidP="00A83362">
      <w:pPr>
        <w:spacing w:after="160" w:line="256" w:lineRule="auto"/>
        <w:rPr>
          <w:rFonts w:eastAsia="Times New Roman" w:cstheme="minorHAnsi"/>
          <w:sz w:val="24"/>
        </w:rPr>
      </w:pPr>
      <w:r w:rsidRPr="004E6649">
        <w:rPr>
          <w:rFonts w:eastAsia="Times New Roman" w:cstheme="minorHAnsi"/>
          <w:sz w:val="24"/>
        </w:rPr>
        <w:t>Net student fees revenue is comprised of tuition and fees and residence and dining fees less scholarship allowances:</w:t>
      </w:r>
    </w:p>
    <w:p w14:paraId="1AE28754" w14:textId="633C1BF4" w:rsidR="00A83362" w:rsidRPr="004E6649" w:rsidRDefault="00A83362" w:rsidP="00A83362">
      <w:pPr>
        <w:pStyle w:val="ListParagraph"/>
        <w:numPr>
          <w:ilvl w:val="0"/>
          <w:numId w:val="13"/>
        </w:numPr>
        <w:spacing w:line="256" w:lineRule="auto"/>
        <w:rPr>
          <w:rFonts w:asciiTheme="minorHAnsi" w:hAnsiTheme="minorHAnsi" w:cstheme="minorHAnsi"/>
        </w:rPr>
      </w:pPr>
      <w:r w:rsidRPr="004E6649">
        <w:rPr>
          <w:rFonts w:asciiTheme="minorHAnsi" w:hAnsiTheme="minorHAnsi" w:cstheme="minorHAnsi"/>
          <w:szCs w:val="22"/>
        </w:rPr>
        <w:t>Tuition and fees totaled $</w:t>
      </w:r>
      <w:r w:rsidR="00B851EF">
        <w:rPr>
          <w:rFonts w:asciiTheme="minorHAnsi" w:hAnsiTheme="minorHAnsi" w:cstheme="minorHAnsi"/>
          <w:szCs w:val="22"/>
        </w:rPr>
        <w:t>339</w:t>
      </w:r>
      <w:r w:rsidR="005222DE" w:rsidRPr="005222DE">
        <w:rPr>
          <w:rFonts w:asciiTheme="minorHAnsi" w:hAnsiTheme="minorHAnsi" w:cstheme="minorHAnsi"/>
          <w:szCs w:val="22"/>
        </w:rPr>
        <w:t xml:space="preserve"> </w:t>
      </w:r>
      <w:r w:rsidRPr="005222DE">
        <w:rPr>
          <w:rFonts w:asciiTheme="minorHAnsi" w:hAnsiTheme="minorHAnsi" w:cstheme="minorHAnsi"/>
          <w:szCs w:val="22"/>
        </w:rPr>
        <w:t xml:space="preserve">million in </w:t>
      </w:r>
      <w:r w:rsidR="00AD43C2" w:rsidRPr="005222DE">
        <w:rPr>
          <w:rFonts w:asciiTheme="minorHAnsi" w:hAnsiTheme="minorHAnsi" w:cstheme="minorHAnsi"/>
          <w:szCs w:val="22"/>
        </w:rPr>
        <w:t>FY25</w:t>
      </w:r>
      <w:r w:rsidRPr="005222DE">
        <w:rPr>
          <w:rFonts w:asciiTheme="minorHAnsi" w:hAnsiTheme="minorHAnsi" w:cstheme="minorHAnsi"/>
          <w:szCs w:val="22"/>
        </w:rPr>
        <w:t xml:space="preserve">, </w:t>
      </w:r>
      <w:r w:rsidR="008A4EB7" w:rsidRPr="005222DE">
        <w:rPr>
          <w:rFonts w:asciiTheme="minorHAnsi" w:hAnsiTheme="minorHAnsi" w:cstheme="minorHAnsi"/>
          <w:szCs w:val="22"/>
        </w:rPr>
        <w:t>in</w:t>
      </w:r>
      <w:r w:rsidRPr="005222DE">
        <w:rPr>
          <w:rFonts w:asciiTheme="minorHAnsi" w:hAnsiTheme="minorHAnsi" w:cstheme="minorHAnsi"/>
          <w:szCs w:val="22"/>
        </w:rPr>
        <w:t>creasing $</w:t>
      </w:r>
      <w:r w:rsidR="00B851EF">
        <w:rPr>
          <w:rFonts w:asciiTheme="minorHAnsi" w:hAnsiTheme="minorHAnsi" w:cstheme="minorHAnsi"/>
          <w:szCs w:val="22"/>
        </w:rPr>
        <w:t>1</w:t>
      </w:r>
      <w:r w:rsidR="005222DE" w:rsidRPr="00DF43A9">
        <w:rPr>
          <w:rFonts w:asciiTheme="minorHAnsi" w:hAnsiTheme="minorHAnsi" w:cstheme="minorHAnsi"/>
          <w:szCs w:val="22"/>
        </w:rPr>
        <w:t>4</w:t>
      </w:r>
      <w:r w:rsidR="005222DE" w:rsidRPr="005222DE">
        <w:rPr>
          <w:rFonts w:asciiTheme="minorHAnsi" w:hAnsiTheme="minorHAnsi" w:cstheme="minorHAnsi"/>
          <w:szCs w:val="22"/>
        </w:rPr>
        <w:t xml:space="preserve"> </w:t>
      </w:r>
      <w:r w:rsidRPr="005222DE">
        <w:rPr>
          <w:rFonts w:asciiTheme="minorHAnsi" w:hAnsiTheme="minorHAnsi" w:cstheme="minorHAnsi"/>
          <w:szCs w:val="22"/>
        </w:rPr>
        <w:t xml:space="preserve">million, or </w:t>
      </w:r>
      <w:r w:rsidR="00B851EF">
        <w:rPr>
          <w:rFonts w:asciiTheme="minorHAnsi" w:hAnsiTheme="minorHAnsi" w:cstheme="minorHAnsi"/>
          <w:szCs w:val="22"/>
        </w:rPr>
        <w:t>4</w:t>
      </w:r>
      <w:r w:rsidRPr="005222DE">
        <w:rPr>
          <w:rFonts w:asciiTheme="minorHAnsi" w:hAnsiTheme="minorHAnsi" w:cstheme="minorHAnsi"/>
          <w:szCs w:val="22"/>
        </w:rPr>
        <w:t>%, from</w:t>
      </w:r>
      <w:r w:rsidRPr="004E6649">
        <w:rPr>
          <w:rFonts w:asciiTheme="minorHAnsi" w:hAnsiTheme="minorHAnsi" w:cstheme="minorHAnsi"/>
          <w:szCs w:val="22"/>
        </w:rPr>
        <w:t xml:space="preserve"> the prior year. </w:t>
      </w:r>
      <w:r w:rsidR="00AD43C2" w:rsidRPr="004E6649">
        <w:rPr>
          <w:rFonts w:asciiTheme="minorHAnsi" w:hAnsiTheme="minorHAnsi" w:cstheme="minorHAnsi"/>
          <w:szCs w:val="22"/>
        </w:rPr>
        <w:t>FY2</w:t>
      </w:r>
      <w:r w:rsidR="00AD43C2">
        <w:rPr>
          <w:rFonts w:asciiTheme="minorHAnsi" w:hAnsiTheme="minorHAnsi" w:cstheme="minorHAnsi"/>
          <w:szCs w:val="22"/>
        </w:rPr>
        <w:t>4</w:t>
      </w:r>
      <w:r w:rsidR="00AD43C2" w:rsidRPr="004E6649">
        <w:rPr>
          <w:rFonts w:asciiTheme="minorHAnsi" w:hAnsiTheme="minorHAnsi" w:cstheme="minorHAnsi"/>
          <w:szCs w:val="22"/>
        </w:rPr>
        <w:t xml:space="preserve"> </w:t>
      </w:r>
      <w:r w:rsidRPr="004E6649">
        <w:rPr>
          <w:rFonts w:asciiTheme="minorHAnsi" w:hAnsiTheme="minorHAnsi" w:cstheme="minorHAnsi"/>
          <w:szCs w:val="22"/>
        </w:rPr>
        <w:t xml:space="preserve">revenues </w:t>
      </w:r>
      <w:r w:rsidR="00AD43C2">
        <w:rPr>
          <w:rFonts w:asciiTheme="minorHAnsi" w:hAnsiTheme="minorHAnsi" w:cstheme="minorHAnsi"/>
          <w:szCs w:val="22"/>
        </w:rPr>
        <w:t>in</w:t>
      </w:r>
      <w:r w:rsidRPr="004E6649">
        <w:rPr>
          <w:rFonts w:asciiTheme="minorHAnsi" w:hAnsiTheme="minorHAnsi" w:cstheme="minorHAnsi"/>
          <w:szCs w:val="22"/>
        </w:rPr>
        <w:t>creased $</w:t>
      </w:r>
      <w:r w:rsidR="00AD43C2">
        <w:rPr>
          <w:rFonts w:asciiTheme="minorHAnsi" w:hAnsiTheme="minorHAnsi" w:cstheme="minorHAnsi"/>
          <w:szCs w:val="22"/>
        </w:rPr>
        <w:t>11</w:t>
      </w:r>
      <w:r w:rsidR="00AD43C2" w:rsidRPr="004E6649">
        <w:rPr>
          <w:rFonts w:asciiTheme="minorHAnsi" w:hAnsiTheme="minorHAnsi" w:cstheme="minorHAnsi"/>
          <w:szCs w:val="22"/>
        </w:rPr>
        <w:t xml:space="preserve"> </w:t>
      </w:r>
      <w:r w:rsidRPr="004E6649">
        <w:rPr>
          <w:rFonts w:asciiTheme="minorHAnsi" w:hAnsiTheme="minorHAnsi" w:cstheme="minorHAnsi"/>
          <w:szCs w:val="22"/>
        </w:rPr>
        <w:t xml:space="preserve">million, or </w:t>
      </w:r>
      <w:r w:rsidR="008A4EB7">
        <w:rPr>
          <w:rFonts w:asciiTheme="minorHAnsi" w:hAnsiTheme="minorHAnsi" w:cstheme="minorHAnsi"/>
          <w:szCs w:val="22"/>
        </w:rPr>
        <w:t>4</w:t>
      </w:r>
      <w:r w:rsidRPr="004E6649">
        <w:rPr>
          <w:rFonts w:asciiTheme="minorHAnsi" w:hAnsiTheme="minorHAnsi" w:cstheme="minorHAnsi"/>
          <w:szCs w:val="22"/>
        </w:rPr>
        <w:t xml:space="preserve">%, from </w:t>
      </w:r>
      <w:r w:rsidR="00AD43C2" w:rsidRPr="004E6649">
        <w:rPr>
          <w:rFonts w:asciiTheme="minorHAnsi" w:hAnsiTheme="minorHAnsi" w:cstheme="minorHAnsi"/>
          <w:szCs w:val="22"/>
        </w:rPr>
        <w:t>FY2</w:t>
      </w:r>
      <w:r w:rsidR="00AD43C2">
        <w:rPr>
          <w:rFonts w:asciiTheme="minorHAnsi" w:hAnsiTheme="minorHAnsi" w:cstheme="minorHAnsi"/>
          <w:szCs w:val="22"/>
        </w:rPr>
        <w:t>3</w:t>
      </w:r>
      <w:r w:rsidRPr="004E6649">
        <w:rPr>
          <w:rFonts w:asciiTheme="minorHAnsi" w:hAnsiTheme="minorHAnsi" w:cstheme="minorHAnsi"/>
          <w:szCs w:val="22"/>
        </w:rPr>
        <w:t>.</w:t>
      </w:r>
    </w:p>
    <w:p w14:paraId="7F6E5750" w14:textId="6F354372" w:rsidR="00A83362" w:rsidRPr="004E6649" w:rsidRDefault="00A83362" w:rsidP="00A83362">
      <w:pPr>
        <w:numPr>
          <w:ilvl w:val="0"/>
          <w:numId w:val="2"/>
        </w:numPr>
        <w:ind w:left="720"/>
        <w:rPr>
          <w:rFonts w:eastAsia="Times New Roman" w:cstheme="minorHAnsi"/>
          <w:sz w:val="24"/>
        </w:rPr>
      </w:pPr>
      <w:r w:rsidRPr="004E6649">
        <w:rPr>
          <w:rFonts w:eastAsia="Times New Roman" w:cstheme="minorHAnsi"/>
          <w:sz w:val="24"/>
        </w:rPr>
        <w:t>Residence and dining fees of $</w:t>
      </w:r>
      <w:r w:rsidR="005222DE" w:rsidRPr="00DF43A9">
        <w:rPr>
          <w:rFonts w:eastAsia="Times New Roman" w:cstheme="minorHAnsi"/>
          <w:sz w:val="24"/>
        </w:rPr>
        <w:t>81</w:t>
      </w:r>
      <w:r w:rsidR="005222DE" w:rsidRPr="005222DE">
        <w:rPr>
          <w:rFonts w:eastAsia="Times New Roman" w:cstheme="minorHAnsi"/>
          <w:sz w:val="24"/>
        </w:rPr>
        <w:t xml:space="preserve"> </w:t>
      </w:r>
      <w:r w:rsidRPr="005222DE">
        <w:rPr>
          <w:rFonts w:eastAsia="Times New Roman" w:cstheme="minorHAnsi"/>
          <w:sz w:val="24"/>
        </w:rPr>
        <w:t xml:space="preserve">million in </w:t>
      </w:r>
      <w:r w:rsidR="00AD43C2" w:rsidRPr="005222DE">
        <w:rPr>
          <w:rFonts w:eastAsia="Times New Roman" w:cstheme="minorHAnsi"/>
          <w:sz w:val="24"/>
        </w:rPr>
        <w:t xml:space="preserve">FY25 </w:t>
      </w:r>
      <w:r w:rsidRPr="005222DE">
        <w:rPr>
          <w:rFonts w:eastAsia="Times New Roman" w:cstheme="minorHAnsi"/>
          <w:sz w:val="24"/>
        </w:rPr>
        <w:t>were up $</w:t>
      </w:r>
      <w:r w:rsidR="005222DE" w:rsidRPr="00DF43A9">
        <w:rPr>
          <w:rFonts w:eastAsia="Times New Roman" w:cstheme="minorHAnsi"/>
          <w:sz w:val="24"/>
        </w:rPr>
        <w:t>9</w:t>
      </w:r>
      <w:r w:rsidR="005222DE" w:rsidRPr="005222DE">
        <w:rPr>
          <w:rFonts w:eastAsia="Times New Roman" w:cstheme="minorHAnsi"/>
          <w:sz w:val="24"/>
        </w:rPr>
        <w:t xml:space="preserve"> </w:t>
      </w:r>
      <w:r w:rsidRPr="005222DE">
        <w:rPr>
          <w:rFonts w:eastAsia="Times New Roman" w:cstheme="minorHAnsi"/>
          <w:sz w:val="24"/>
        </w:rPr>
        <w:t xml:space="preserve">million, or </w:t>
      </w:r>
      <w:r w:rsidR="005222DE" w:rsidRPr="003C277A">
        <w:rPr>
          <w:rFonts w:eastAsia="Times New Roman" w:cstheme="minorHAnsi"/>
          <w:sz w:val="24"/>
        </w:rPr>
        <w:t>12</w:t>
      </w:r>
      <w:r w:rsidRPr="005222DE">
        <w:rPr>
          <w:rFonts w:eastAsia="Times New Roman" w:cstheme="minorHAnsi"/>
          <w:sz w:val="24"/>
        </w:rPr>
        <w:t>%,</w:t>
      </w:r>
      <w:r w:rsidRPr="004E6649">
        <w:rPr>
          <w:rFonts w:eastAsia="Times New Roman" w:cstheme="minorHAnsi"/>
          <w:sz w:val="24"/>
        </w:rPr>
        <w:t xml:space="preserve"> compared with </w:t>
      </w:r>
      <w:r w:rsidR="00AD43C2" w:rsidRPr="004E6649">
        <w:rPr>
          <w:rFonts w:eastAsia="Times New Roman" w:cstheme="minorHAnsi"/>
          <w:sz w:val="24"/>
        </w:rPr>
        <w:t>FY2</w:t>
      </w:r>
      <w:r w:rsidR="00AD43C2">
        <w:rPr>
          <w:rFonts w:eastAsia="Times New Roman" w:cstheme="minorHAnsi"/>
          <w:sz w:val="24"/>
        </w:rPr>
        <w:t>4</w:t>
      </w:r>
      <w:r w:rsidRPr="004E6649">
        <w:rPr>
          <w:rFonts w:eastAsia="Times New Roman" w:cstheme="minorHAnsi"/>
          <w:sz w:val="24"/>
        </w:rPr>
        <w:t xml:space="preserve">.  </w:t>
      </w:r>
      <w:r w:rsidR="00AD43C2" w:rsidRPr="004E6649">
        <w:rPr>
          <w:rFonts w:eastAsia="Times New Roman" w:cstheme="minorHAnsi"/>
          <w:sz w:val="24"/>
        </w:rPr>
        <w:t>FY2</w:t>
      </w:r>
      <w:r w:rsidR="00AD43C2">
        <w:rPr>
          <w:rFonts w:eastAsia="Times New Roman" w:cstheme="minorHAnsi"/>
          <w:sz w:val="24"/>
        </w:rPr>
        <w:t>4</w:t>
      </w:r>
      <w:r w:rsidR="00AD43C2" w:rsidRPr="004E6649">
        <w:rPr>
          <w:rFonts w:eastAsia="Times New Roman" w:cstheme="minorHAnsi"/>
          <w:sz w:val="24"/>
        </w:rPr>
        <w:t xml:space="preserve"> </w:t>
      </w:r>
      <w:r w:rsidRPr="004E6649">
        <w:rPr>
          <w:rFonts w:eastAsia="Times New Roman" w:cstheme="minorHAnsi"/>
          <w:sz w:val="24"/>
        </w:rPr>
        <w:t>residence and dining fees increased $</w:t>
      </w:r>
      <w:r w:rsidR="00AD43C2">
        <w:rPr>
          <w:rFonts w:eastAsia="Times New Roman" w:cstheme="minorHAnsi"/>
          <w:sz w:val="24"/>
        </w:rPr>
        <w:t>5</w:t>
      </w:r>
      <w:r w:rsidRPr="004E6649">
        <w:rPr>
          <w:rFonts w:eastAsia="Times New Roman" w:cstheme="minorHAnsi"/>
          <w:sz w:val="24"/>
        </w:rPr>
        <w:t xml:space="preserve"> million, or </w:t>
      </w:r>
      <w:r w:rsidR="00AD43C2">
        <w:rPr>
          <w:rFonts w:eastAsia="Times New Roman" w:cstheme="minorHAnsi"/>
          <w:sz w:val="24"/>
        </w:rPr>
        <w:t>8</w:t>
      </w:r>
      <w:r w:rsidRPr="004E6649">
        <w:rPr>
          <w:rFonts w:eastAsia="Times New Roman" w:cstheme="minorHAnsi"/>
          <w:sz w:val="24"/>
        </w:rPr>
        <w:t xml:space="preserve">%, compared with </w:t>
      </w:r>
      <w:r w:rsidR="00AD43C2" w:rsidRPr="004E6649">
        <w:rPr>
          <w:rFonts w:eastAsia="Times New Roman" w:cstheme="minorHAnsi"/>
          <w:sz w:val="24"/>
        </w:rPr>
        <w:t>FY2</w:t>
      </w:r>
      <w:r w:rsidR="00AD43C2">
        <w:rPr>
          <w:rFonts w:eastAsia="Times New Roman" w:cstheme="minorHAnsi"/>
          <w:sz w:val="24"/>
        </w:rPr>
        <w:t>3</w:t>
      </w:r>
      <w:r w:rsidRPr="004E6649">
        <w:rPr>
          <w:rFonts w:eastAsia="Times New Roman" w:cstheme="minorHAnsi"/>
          <w:sz w:val="24"/>
        </w:rPr>
        <w:t xml:space="preserve">. </w:t>
      </w:r>
    </w:p>
    <w:p w14:paraId="471881F0" w14:textId="29B95139" w:rsidR="00A83362" w:rsidRPr="004E6649" w:rsidRDefault="00A83362" w:rsidP="00A83362">
      <w:pPr>
        <w:numPr>
          <w:ilvl w:val="0"/>
          <w:numId w:val="2"/>
        </w:numPr>
        <w:ind w:left="720"/>
        <w:rPr>
          <w:rFonts w:eastAsia="Times New Roman" w:cstheme="minorHAnsi"/>
          <w:sz w:val="24"/>
        </w:rPr>
      </w:pPr>
      <w:bookmarkStart w:id="5" w:name="_Hlk211886611"/>
      <w:r w:rsidRPr="004E6649">
        <w:rPr>
          <w:rFonts w:eastAsia="Times New Roman" w:cstheme="minorHAnsi"/>
          <w:sz w:val="24"/>
        </w:rPr>
        <w:t>Scholarship allowances totaled $</w:t>
      </w:r>
      <w:r w:rsidR="00B851EF">
        <w:rPr>
          <w:rFonts w:eastAsia="Times New Roman" w:cstheme="minorHAnsi"/>
          <w:sz w:val="24"/>
        </w:rPr>
        <w:t>158</w:t>
      </w:r>
      <w:r w:rsidR="005222DE" w:rsidRPr="005222DE">
        <w:rPr>
          <w:rFonts w:eastAsia="Times New Roman" w:cstheme="minorHAnsi"/>
          <w:sz w:val="24"/>
        </w:rPr>
        <w:t xml:space="preserve"> </w:t>
      </w:r>
      <w:r w:rsidRPr="005222DE">
        <w:rPr>
          <w:rFonts w:eastAsia="Times New Roman" w:cstheme="minorHAnsi"/>
          <w:sz w:val="24"/>
        </w:rPr>
        <w:t xml:space="preserve">million in </w:t>
      </w:r>
      <w:r w:rsidR="00AD43C2" w:rsidRPr="005222DE">
        <w:rPr>
          <w:rFonts w:eastAsia="Times New Roman" w:cstheme="minorHAnsi"/>
          <w:sz w:val="24"/>
        </w:rPr>
        <w:t>FY25</w:t>
      </w:r>
      <w:r w:rsidR="00B851EF">
        <w:rPr>
          <w:rFonts w:eastAsia="Times New Roman" w:cstheme="minorHAnsi"/>
          <w:sz w:val="24"/>
        </w:rPr>
        <w:t>,</w:t>
      </w:r>
      <w:r w:rsidR="00AD43C2" w:rsidRPr="005222DE">
        <w:rPr>
          <w:rFonts w:eastAsia="Times New Roman" w:cstheme="minorHAnsi"/>
          <w:sz w:val="24"/>
        </w:rPr>
        <w:t xml:space="preserve"> </w:t>
      </w:r>
      <w:r w:rsidR="00A05877" w:rsidRPr="005222DE">
        <w:rPr>
          <w:rFonts w:eastAsia="Times New Roman" w:cstheme="minorHAnsi"/>
          <w:sz w:val="24"/>
        </w:rPr>
        <w:t>increas</w:t>
      </w:r>
      <w:r w:rsidR="00B851EF">
        <w:rPr>
          <w:rFonts w:eastAsia="Times New Roman" w:cstheme="minorHAnsi"/>
          <w:sz w:val="24"/>
        </w:rPr>
        <w:t xml:space="preserve">ing </w:t>
      </w:r>
      <w:r w:rsidR="00A05877" w:rsidRPr="005222DE">
        <w:rPr>
          <w:rFonts w:eastAsia="Times New Roman" w:cstheme="minorHAnsi"/>
          <w:sz w:val="24"/>
        </w:rPr>
        <w:t>$</w:t>
      </w:r>
      <w:r w:rsidR="00B851EF">
        <w:rPr>
          <w:rFonts w:eastAsia="Times New Roman" w:cstheme="minorHAnsi"/>
          <w:sz w:val="24"/>
        </w:rPr>
        <w:t>24</w:t>
      </w:r>
      <w:r w:rsidR="005222DE" w:rsidRPr="005222DE">
        <w:rPr>
          <w:rFonts w:eastAsia="Times New Roman" w:cstheme="minorHAnsi"/>
          <w:sz w:val="24"/>
        </w:rPr>
        <w:t xml:space="preserve"> </w:t>
      </w:r>
      <w:r w:rsidR="00A05877" w:rsidRPr="005222DE">
        <w:rPr>
          <w:rFonts w:eastAsia="Times New Roman" w:cstheme="minorHAnsi"/>
          <w:sz w:val="24"/>
        </w:rPr>
        <w:t xml:space="preserve">million, or </w:t>
      </w:r>
      <w:r w:rsidR="00B851EF">
        <w:rPr>
          <w:rFonts w:eastAsia="Times New Roman" w:cstheme="minorHAnsi"/>
          <w:sz w:val="24"/>
        </w:rPr>
        <w:t>18</w:t>
      </w:r>
      <w:r w:rsidR="00A05877" w:rsidRPr="005222DE">
        <w:rPr>
          <w:rFonts w:eastAsia="Times New Roman" w:cstheme="minorHAnsi"/>
          <w:sz w:val="24"/>
        </w:rPr>
        <w:t>%</w:t>
      </w:r>
      <w:r w:rsidR="00A05877">
        <w:rPr>
          <w:rFonts w:eastAsia="Times New Roman" w:cstheme="minorHAnsi"/>
          <w:sz w:val="24"/>
        </w:rPr>
        <w:t xml:space="preserve"> compared with </w:t>
      </w:r>
      <w:r w:rsidR="00AD43C2">
        <w:rPr>
          <w:rFonts w:eastAsia="Times New Roman" w:cstheme="minorHAnsi"/>
          <w:sz w:val="24"/>
        </w:rPr>
        <w:t>FY24</w:t>
      </w:r>
      <w:r w:rsidRPr="004E6649">
        <w:rPr>
          <w:rFonts w:eastAsia="Times New Roman" w:cstheme="minorHAnsi"/>
          <w:sz w:val="24"/>
        </w:rPr>
        <w:t xml:space="preserve">. </w:t>
      </w:r>
      <w:r w:rsidR="00847510">
        <w:rPr>
          <w:rFonts w:eastAsia="Times New Roman" w:cstheme="minorHAnsi"/>
          <w:sz w:val="24"/>
        </w:rPr>
        <w:t xml:space="preserve">The increase is partially attributable to the </w:t>
      </w:r>
      <w:r w:rsidR="00B851EF">
        <w:rPr>
          <w:rFonts w:eastAsia="Times New Roman" w:cstheme="minorHAnsi"/>
          <w:spacing w:val="-3"/>
          <w:sz w:val="24"/>
          <w:szCs w:val="24"/>
        </w:rPr>
        <w:t>FY25</w:t>
      </w:r>
      <w:r w:rsidR="00847510">
        <w:rPr>
          <w:rFonts w:eastAsia="Times New Roman" w:cstheme="minorHAnsi"/>
          <w:spacing w:val="-3"/>
          <w:sz w:val="24"/>
          <w:szCs w:val="24"/>
        </w:rPr>
        <w:t xml:space="preserve"> adoption of </w:t>
      </w:r>
      <w:r w:rsidR="00B851EF">
        <w:rPr>
          <w:rFonts w:eastAsia="Times New Roman" w:cstheme="minorHAnsi"/>
          <w:spacing w:val="-3"/>
          <w:sz w:val="24"/>
          <w:szCs w:val="24"/>
        </w:rPr>
        <w:t>NACUBO Advisory Report 2023-01 for the estimation and allocation of scholarship allowance</w:t>
      </w:r>
      <w:r w:rsidR="008306F6">
        <w:rPr>
          <w:rFonts w:eastAsia="Times New Roman" w:cstheme="minorHAnsi"/>
          <w:spacing w:val="-3"/>
          <w:sz w:val="24"/>
          <w:szCs w:val="24"/>
        </w:rPr>
        <w:t>s</w:t>
      </w:r>
      <w:r w:rsidR="00B851EF">
        <w:rPr>
          <w:rFonts w:eastAsia="Times New Roman" w:cstheme="minorHAnsi"/>
          <w:spacing w:val="-3"/>
          <w:sz w:val="24"/>
          <w:szCs w:val="24"/>
        </w:rPr>
        <w:t xml:space="preserve">. Under the new approach, student financial aid is assigned to scholarship allowance and student aid expense using student-detail level data, resulting in a greater portion of total financial aid being reported as scholarship allowance.  </w:t>
      </w:r>
      <w:r w:rsidR="008306F6">
        <w:rPr>
          <w:rFonts w:eastAsia="Times New Roman" w:cstheme="minorHAnsi"/>
          <w:spacing w:val="-3"/>
          <w:sz w:val="24"/>
          <w:szCs w:val="24"/>
        </w:rPr>
        <w:t xml:space="preserve">In accordance with </w:t>
      </w:r>
      <w:r w:rsidR="00B851EF">
        <w:rPr>
          <w:rFonts w:eastAsia="Times New Roman" w:cstheme="minorHAnsi"/>
          <w:spacing w:val="-3"/>
          <w:sz w:val="24"/>
          <w:szCs w:val="24"/>
        </w:rPr>
        <w:t xml:space="preserve">GASB </w:t>
      </w:r>
      <w:r w:rsidR="008306F6">
        <w:rPr>
          <w:rFonts w:eastAsia="Times New Roman" w:cstheme="minorHAnsi"/>
          <w:spacing w:val="-3"/>
          <w:sz w:val="24"/>
          <w:szCs w:val="24"/>
        </w:rPr>
        <w:t xml:space="preserve">guidance, the System has applied this change in estimate </w:t>
      </w:r>
      <w:r w:rsidR="008306F6">
        <w:rPr>
          <w:rFonts w:eastAsia="Times New Roman" w:cstheme="minorHAnsi"/>
          <w:spacing w:val="-3"/>
          <w:sz w:val="24"/>
          <w:szCs w:val="24"/>
        </w:rPr>
        <w:lastRenderedPageBreak/>
        <w:t xml:space="preserve">prospectively, leaving the </w:t>
      </w:r>
      <w:r w:rsidR="00C817A0">
        <w:rPr>
          <w:rFonts w:eastAsia="Times New Roman" w:cstheme="minorHAnsi"/>
          <w:spacing w:val="-3"/>
          <w:sz w:val="24"/>
          <w:szCs w:val="24"/>
        </w:rPr>
        <w:t xml:space="preserve">reported </w:t>
      </w:r>
      <w:r w:rsidR="008306F6">
        <w:rPr>
          <w:rFonts w:eastAsia="Times New Roman" w:cstheme="minorHAnsi"/>
          <w:spacing w:val="-3"/>
          <w:sz w:val="24"/>
          <w:szCs w:val="24"/>
        </w:rPr>
        <w:t xml:space="preserve">FY24 scholarship allowances unchanged. </w:t>
      </w:r>
      <w:r w:rsidRPr="004E6649">
        <w:rPr>
          <w:rFonts w:eastAsia="Times New Roman" w:cstheme="minorHAnsi"/>
          <w:sz w:val="24"/>
        </w:rPr>
        <w:t xml:space="preserve">The </w:t>
      </w:r>
      <w:r w:rsidR="00AD43C2" w:rsidRPr="004E6649">
        <w:rPr>
          <w:rFonts w:eastAsia="Times New Roman" w:cstheme="minorHAnsi"/>
          <w:sz w:val="24"/>
        </w:rPr>
        <w:t>FY2</w:t>
      </w:r>
      <w:r w:rsidR="00AD43C2">
        <w:rPr>
          <w:rFonts w:eastAsia="Times New Roman" w:cstheme="minorHAnsi"/>
          <w:sz w:val="24"/>
        </w:rPr>
        <w:t>4</w:t>
      </w:r>
      <w:r w:rsidR="00AD43C2" w:rsidRPr="004E6649">
        <w:rPr>
          <w:rFonts w:eastAsia="Times New Roman" w:cstheme="minorHAnsi"/>
          <w:sz w:val="24"/>
        </w:rPr>
        <w:t xml:space="preserve"> </w:t>
      </w:r>
      <w:r w:rsidRPr="004E6649">
        <w:rPr>
          <w:rFonts w:eastAsia="Times New Roman" w:cstheme="minorHAnsi"/>
          <w:sz w:val="24"/>
        </w:rPr>
        <w:t xml:space="preserve">scholarship allowances </w:t>
      </w:r>
      <w:r w:rsidR="00AD43C2">
        <w:rPr>
          <w:rFonts w:eastAsia="Times New Roman" w:cstheme="minorHAnsi"/>
          <w:sz w:val="24"/>
        </w:rPr>
        <w:t>increased $4 million, or 3% compared with FY23</w:t>
      </w:r>
      <w:r w:rsidRPr="004E6649">
        <w:rPr>
          <w:rFonts w:eastAsia="Times New Roman" w:cstheme="minorHAnsi"/>
          <w:sz w:val="24"/>
        </w:rPr>
        <w:t>.</w:t>
      </w:r>
    </w:p>
    <w:bookmarkEnd w:id="5"/>
    <w:p w14:paraId="6C0A97EF" w14:textId="024698A4" w:rsidR="002D79E2" w:rsidRDefault="002D79E2" w:rsidP="005B3A3B">
      <w:pPr>
        <w:spacing w:line="259" w:lineRule="auto"/>
        <w:rPr>
          <w:rFonts w:cstheme="minorHAnsi"/>
          <w:b/>
          <w:i/>
          <w:sz w:val="24"/>
          <w:szCs w:val="20"/>
          <w:u w:val="single" w:color="000000" w:themeColor="text1"/>
        </w:rPr>
      </w:pPr>
    </w:p>
    <w:p w14:paraId="6155EAB7" w14:textId="58C72CB2" w:rsidR="00A83362" w:rsidRPr="004E6649" w:rsidRDefault="00A83362" w:rsidP="005B3A3B">
      <w:pPr>
        <w:pStyle w:val="AFR3"/>
        <w:spacing w:before="0"/>
        <w:rPr>
          <w:rFonts w:cstheme="minorHAnsi"/>
          <w:sz w:val="24"/>
          <w:szCs w:val="20"/>
        </w:rPr>
      </w:pPr>
      <w:r w:rsidRPr="004E6649">
        <w:rPr>
          <w:rFonts w:cstheme="minorHAnsi"/>
          <w:sz w:val="24"/>
          <w:szCs w:val="20"/>
        </w:rPr>
        <w:t>Student Financial Aid</w:t>
      </w:r>
    </w:p>
    <w:p w14:paraId="381A6265" w14:textId="77777777" w:rsidR="00A83362" w:rsidRPr="004E6649" w:rsidRDefault="00A83362" w:rsidP="00A83362">
      <w:pPr>
        <w:tabs>
          <w:tab w:val="left" w:pos="540"/>
        </w:tabs>
        <w:spacing w:after="160"/>
        <w:rPr>
          <w:rFonts w:eastAsia="Times New Roman" w:cstheme="minorHAnsi"/>
          <w:sz w:val="24"/>
        </w:rPr>
      </w:pPr>
      <w:r w:rsidRPr="004E6649">
        <w:rPr>
          <w:rFonts w:eastAsia="Times New Roman" w:cstheme="minorHAnsi"/>
          <w:sz w:val="24"/>
        </w:rPr>
        <w:t>Student financial aid awards are made from a variety of sources including federal, state, private, and university funds. Funding received by the UMS from third parties is recognized as grants and contracts revenue (operating), federal Pell grants revenue (nonoperating) or gift revenue (nonoperating) on the Statements of Revenues, Expenses, and Changes in Net Position while the distribution of aid from all sources is shown as one of two components:</w:t>
      </w:r>
    </w:p>
    <w:p w14:paraId="673D9674" w14:textId="77777777" w:rsidR="00A83362" w:rsidRPr="004E6649" w:rsidRDefault="00A83362" w:rsidP="00A83362">
      <w:pPr>
        <w:numPr>
          <w:ilvl w:val="2"/>
          <w:numId w:val="12"/>
        </w:numPr>
        <w:tabs>
          <w:tab w:val="left" w:pos="990"/>
        </w:tabs>
        <w:ind w:left="720"/>
        <w:rPr>
          <w:rFonts w:eastAsia="Times New Roman" w:cstheme="minorHAnsi"/>
          <w:sz w:val="24"/>
        </w:rPr>
      </w:pPr>
      <w:r w:rsidRPr="004E6649">
        <w:rPr>
          <w:rFonts w:eastAsia="Times New Roman" w:cstheme="minorHAnsi"/>
          <w:sz w:val="24"/>
        </w:rPr>
        <w:t>Scholarship Allowances – financial aid retained by the System to cover students’ tuition, fees, and on-campus housing and meals. These amounts are reported as a direct offset to operating revenues as a component of the net student fees revenue line.</w:t>
      </w:r>
    </w:p>
    <w:p w14:paraId="40C1D135" w14:textId="77777777" w:rsidR="00A83362" w:rsidRPr="004E6649" w:rsidRDefault="00A83362" w:rsidP="00A83362">
      <w:pPr>
        <w:numPr>
          <w:ilvl w:val="2"/>
          <w:numId w:val="12"/>
        </w:numPr>
        <w:tabs>
          <w:tab w:val="left" w:pos="990"/>
        </w:tabs>
        <w:ind w:left="720"/>
        <w:rPr>
          <w:rFonts w:eastAsia="Times New Roman" w:cstheme="minorHAnsi"/>
          <w:sz w:val="24"/>
        </w:rPr>
      </w:pPr>
      <w:r w:rsidRPr="004E6649">
        <w:rPr>
          <w:rFonts w:eastAsia="Times New Roman" w:cstheme="minorHAnsi"/>
          <w:sz w:val="24"/>
        </w:rPr>
        <w:t>Student Aid Expense – financial aid refunded to students to cover off-campus living costs, books, and other personal living expenses. These amounts are reported as operating expense.</w:t>
      </w:r>
    </w:p>
    <w:p w14:paraId="6683BBC3" w14:textId="77777777" w:rsidR="00A83362" w:rsidRDefault="00A83362" w:rsidP="00A83362">
      <w:pPr>
        <w:tabs>
          <w:tab w:val="left" w:pos="540"/>
        </w:tabs>
        <w:spacing w:before="200" w:after="160"/>
        <w:rPr>
          <w:rFonts w:eastAsia="Times New Roman" w:cstheme="minorHAnsi"/>
          <w:sz w:val="24"/>
        </w:rPr>
      </w:pPr>
      <w:r w:rsidRPr="004E6649">
        <w:rPr>
          <w:rFonts w:eastAsia="Times New Roman" w:cstheme="minorHAnsi"/>
          <w:sz w:val="24"/>
        </w:rPr>
        <w:t>Federal financial aid awards are based on a student’s financial need considering their total cost of education which includes tuition and fees, housing and meals (both on and off campus), books, and other personal living expenses.</w:t>
      </w:r>
    </w:p>
    <w:p w14:paraId="4133AB94" w14:textId="25B88358" w:rsidR="00254258" w:rsidRPr="004E6649" w:rsidRDefault="00EA495B" w:rsidP="00254258">
      <w:pPr>
        <w:tabs>
          <w:tab w:val="left" w:pos="540"/>
        </w:tabs>
        <w:spacing w:before="200" w:after="160"/>
        <w:jc w:val="center"/>
        <w:rPr>
          <w:rFonts w:eastAsia="Times New Roman" w:cstheme="minorHAnsi"/>
          <w:sz w:val="24"/>
        </w:rPr>
      </w:pPr>
      <w:r>
        <w:rPr>
          <w:noProof/>
          <w14:ligatures w14:val="standardContextual"/>
        </w:rPr>
        <w:drawing>
          <wp:inline distT="0" distB="0" distL="0" distR="0" wp14:anchorId="6A4BDAD2" wp14:editId="7DD470DA">
            <wp:extent cx="4407408" cy="2798064"/>
            <wp:effectExtent l="0" t="0" r="0" b="2540"/>
            <wp:docPr id="448598218" name="Chart 1" descr="Chart 7: Total Financail Aid">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bl>
      <w:tblPr>
        <w:tblW w:w="2970" w:type="dxa"/>
        <w:jc w:val="center"/>
        <w:tblLook w:val="04A0" w:firstRow="1" w:lastRow="0" w:firstColumn="1" w:lastColumn="0" w:noHBand="0" w:noVBand="1"/>
      </w:tblPr>
      <w:tblGrid>
        <w:gridCol w:w="1202"/>
        <w:gridCol w:w="1768"/>
      </w:tblGrid>
      <w:tr w:rsidR="00212625" w:rsidRPr="004E6649" w14:paraId="6952C7A9" w14:textId="77777777" w:rsidTr="004D3BC1">
        <w:trPr>
          <w:trHeight w:val="98"/>
          <w:jc w:val="center"/>
        </w:trPr>
        <w:tc>
          <w:tcPr>
            <w:tcW w:w="1202" w:type="dxa"/>
            <w:tcBorders>
              <w:top w:val="single" w:sz="4" w:space="0" w:color="000000"/>
              <w:left w:val="nil"/>
              <w:bottom w:val="single" w:sz="4" w:space="0" w:color="000000"/>
              <w:right w:val="nil"/>
            </w:tcBorders>
            <w:vAlign w:val="bottom"/>
            <w:hideMark/>
          </w:tcPr>
          <w:p w14:paraId="11B5F67D" w14:textId="77777777" w:rsidR="00212625" w:rsidRPr="006D65BD" w:rsidRDefault="00212625" w:rsidP="00212625">
            <w:pPr>
              <w:rPr>
                <w:rFonts w:eastAsia="Times New Roman" w:cstheme="minorHAnsi"/>
                <w:b/>
                <w:bCs/>
                <w:color w:val="000000"/>
                <w:sz w:val="20"/>
                <w:szCs w:val="20"/>
              </w:rPr>
            </w:pPr>
            <w:r w:rsidRPr="006D65BD">
              <w:rPr>
                <w:rFonts w:eastAsia="Times New Roman" w:cstheme="minorHAnsi"/>
                <w:b/>
                <w:bCs/>
                <w:color w:val="000000"/>
                <w:sz w:val="20"/>
                <w:szCs w:val="20"/>
              </w:rPr>
              <w:t>Fiscal Year</w:t>
            </w:r>
          </w:p>
        </w:tc>
        <w:tc>
          <w:tcPr>
            <w:tcW w:w="1768" w:type="dxa"/>
            <w:tcBorders>
              <w:top w:val="single" w:sz="4" w:space="0" w:color="000000"/>
              <w:left w:val="nil"/>
              <w:bottom w:val="single" w:sz="4" w:space="0" w:color="000000"/>
              <w:right w:val="nil"/>
            </w:tcBorders>
            <w:noWrap/>
            <w:vAlign w:val="bottom"/>
            <w:hideMark/>
          </w:tcPr>
          <w:p w14:paraId="0CBDD2F5" w14:textId="77777777" w:rsidR="00212625" w:rsidRPr="006D65BD" w:rsidRDefault="00212625" w:rsidP="00212625">
            <w:pPr>
              <w:rPr>
                <w:rFonts w:eastAsia="Times New Roman" w:cstheme="minorHAnsi"/>
                <w:b/>
                <w:bCs/>
                <w:color w:val="000000"/>
                <w:sz w:val="20"/>
                <w:szCs w:val="20"/>
              </w:rPr>
            </w:pPr>
            <w:r w:rsidRPr="006D65BD">
              <w:rPr>
                <w:rFonts w:eastAsia="Times New Roman" w:cstheme="minorHAnsi"/>
                <w:b/>
                <w:bCs/>
                <w:color w:val="000000"/>
                <w:sz w:val="20"/>
                <w:szCs w:val="20"/>
              </w:rPr>
              <w:t>Total Financial Aid</w:t>
            </w:r>
          </w:p>
        </w:tc>
      </w:tr>
      <w:tr w:rsidR="00AD43C2" w:rsidRPr="004E6649" w14:paraId="537C0DE9" w14:textId="77777777" w:rsidTr="004D3BC1">
        <w:trPr>
          <w:trHeight w:val="70"/>
          <w:jc w:val="center"/>
        </w:trPr>
        <w:tc>
          <w:tcPr>
            <w:tcW w:w="1202" w:type="dxa"/>
            <w:tcBorders>
              <w:top w:val="nil"/>
              <w:left w:val="nil"/>
              <w:bottom w:val="nil"/>
              <w:right w:val="nil"/>
            </w:tcBorders>
            <w:noWrap/>
            <w:vAlign w:val="bottom"/>
            <w:hideMark/>
          </w:tcPr>
          <w:p w14:paraId="27C28340" w14:textId="454B526B" w:rsidR="00AD43C2" w:rsidRPr="006D65BD" w:rsidRDefault="00AD43C2" w:rsidP="00AD43C2">
            <w:pPr>
              <w:jc w:val="right"/>
              <w:rPr>
                <w:rFonts w:eastAsia="Times New Roman" w:cstheme="minorHAnsi"/>
                <w:color w:val="000000"/>
                <w:sz w:val="20"/>
                <w:szCs w:val="20"/>
              </w:rPr>
            </w:pPr>
            <w:r w:rsidRPr="006D65BD">
              <w:rPr>
                <w:rFonts w:eastAsia="Times New Roman" w:cstheme="minorHAnsi"/>
                <w:color w:val="000000"/>
                <w:sz w:val="20"/>
                <w:szCs w:val="20"/>
              </w:rPr>
              <w:t>2021</w:t>
            </w:r>
          </w:p>
        </w:tc>
        <w:tc>
          <w:tcPr>
            <w:tcW w:w="1768" w:type="dxa"/>
            <w:tcBorders>
              <w:top w:val="nil"/>
              <w:left w:val="nil"/>
              <w:bottom w:val="nil"/>
              <w:right w:val="nil"/>
            </w:tcBorders>
            <w:noWrap/>
            <w:vAlign w:val="bottom"/>
            <w:hideMark/>
          </w:tcPr>
          <w:p w14:paraId="6C31F475" w14:textId="7367D926" w:rsidR="00AD43C2" w:rsidRPr="006D65BD" w:rsidRDefault="00AD43C2" w:rsidP="00AD43C2">
            <w:pPr>
              <w:jc w:val="right"/>
              <w:rPr>
                <w:rFonts w:eastAsia="Times New Roman" w:cstheme="minorHAnsi"/>
                <w:color w:val="000000"/>
                <w:sz w:val="20"/>
                <w:szCs w:val="20"/>
              </w:rPr>
            </w:pPr>
            <w:r w:rsidRPr="006D65BD">
              <w:rPr>
                <w:rFonts w:eastAsia="Times New Roman" w:cstheme="minorHAnsi"/>
                <w:color w:val="000000"/>
                <w:sz w:val="20"/>
                <w:szCs w:val="20"/>
              </w:rPr>
              <w:t xml:space="preserve"> $162 </w:t>
            </w:r>
          </w:p>
        </w:tc>
      </w:tr>
      <w:tr w:rsidR="00AD43C2" w:rsidRPr="004E6649" w14:paraId="0431BFCD" w14:textId="77777777" w:rsidTr="004D3BC1">
        <w:trPr>
          <w:trHeight w:val="80"/>
          <w:jc w:val="center"/>
        </w:trPr>
        <w:tc>
          <w:tcPr>
            <w:tcW w:w="1202" w:type="dxa"/>
            <w:tcBorders>
              <w:top w:val="nil"/>
              <w:left w:val="nil"/>
              <w:bottom w:val="nil"/>
              <w:right w:val="nil"/>
            </w:tcBorders>
            <w:noWrap/>
            <w:vAlign w:val="bottom"/>
            <w:hideMark/>
          </w:tcPr>
          <w:p w14:paraId="592E8294" w14:textId="66DF7E94" w:rsidR="00AD43C2" w:rsidRPr="006D65BD" w:rsidRDefault="00AD43C2" w:rsidP="00AD43C2">
            <w:pPr>
              <w:jc w:val="right"/>
              <w:rPr>
                <w:rFonts w:eastAsia="Times New Roman" w:cstheme="minorHAnsi"/>
                <w:color w:val="000000"/>
                <w:sz w:val="20"/>
                <w:szCs w:val="20"/>
              </w:rPr>
            </w:pPr>
            <w:r w:rsidRPr="006D65BD">
              <w:rPr>
                <w:rFonts w:eastAsia="Times New Roman" w:cstheme="minorHAnsi"/>
                <w:color w:val="000000"/>
                <w:sz w:val="20"/>
                <w:szCs w:val="20"/>
              </w:rPr>
              <w:t>2022</w:t>
            </w:r>
          </w:p>
        </w:tc>
        <w:tc>
          <w:tcPr>
            <w:tcW w:w="1768" w:type="dxa"/>
            <w:tcBorders>
              <w:top w:val="nil"/>
              <w:left w:val="nil"/>
              <w:bottom w:val="nil"/>
              <w:right w:val="nil"/>
            </w:tcBorders>
            <w:noWrap/>
            <w:vAlign w:val="bottom"/>
            <w:hideMark/>
          </w:tcPr>
          <w:p w14:paraId="685446EC" w14:textId="5AEA6C9E" w:rsidR="00AD43C2" w:rsidRPr="006D65BD" w:rsidRDefault="00AD43C2" w:rsidP="00AD43C2">
            <w:pPr>
              <w:jc w:val="right"/>
              <w:rPr>
                <w:rFonts w:eastAsia="Times New Roman" w:cstheme="minorHAnsi"/>
                <w:color w:val="000000"/>
                <w:sz w:val="20"/>
                <w:szCs w:val="20"/>
              </w:rPr>
            </w:pPr>
            <w:r w:rsidRPr="006D65BD">
              <w:rPr>
                <w:rFonts w:eastAsia="Times New Roman" w:cstheme="minorHAnsi"/>
                <w:color w:val="000000"/>
                <w:sz w:val="20"/>
                <w:szCs w:val="20"/>
              </w:rPr>
              <w:t xml:space="preserve"> $188 </w:t>
            </w:r>
          </w:p>
        </w:tc>
      </w:tr>
      <w:tr w:rsidR="00AD43C2" w:rsidRPr="004E6649" w14:paraId="12FEF671" w14:textId="77777777" w:rsidTr="004D3BC1">
        <w:trPr>
          <w:trHeight w:val="80"/>
          <w:jc w:val="center"/>
        </w:trPr>
        <w:tc>
          <w:tcPr>
            <w:tcW w:w="1202" w:type="dxa"/>
            <w:tcBorders>
              <w:top w:val="nil"/>
              <w:left w:val="nil"/>
              <w:bottom w:val="nil"/>
              <w:right w:val="nil"/>
            </w:tcBorders>
            <w:noWrap/>
            <w:vAlign w:val="bottom"/>
            <w:hideMark/>
          </w:tcPr>
          <w:p w14:paraId="0397DCD0" w14:textId="7F6646AC" w:rsidR="00AD43C2" w:rsidRPr="006D65BD" w:rsidRDefault="00AD43C2" w:rsidP="00AD43C2">
            <w:pPr>
              <w:jc w:val="right"/>
              <w:rPr>
                <w:rFonts w:eastAsia="Times New Roman" w:cstheme="minorHAnsi"/>
                <w:color w:val="000000"/>
                <w:sz w:val="20"/>
                <w:szCs w:val="20"/>
              </w:rPr>
            </w:pPr>
            <w:r w:rsidRPr="006D65BD">
              <w:rPr>
                <w:rFonts w:eastAsia="Times New Roman" w:cstheme="minorHAnsi"/>
                <w:color w:val="000000"/>
                <w:sz w:val="20"/>
                <w:szCs w:val="20"/>
              </w:rPr>
              <w:t>2023</w:t>
            </w:r>
          </w:p>
        </w:tc>
        <w:tc>
          <w:tcPr>
            <w:tcW w:w="1768" w:type="dxa"/>
            <w:tcBorders>
              <w:top w:val="nil"/>
              <w:left w:val="nil"/>
              <w:bottom w:val="nil"/>
              <w:right w:val="nil"/>
            </w:tcBorders>
            <w:noWrap/>
            <w:vAlign w:val="bottom"/>
            <w:hideMark/>
          </w:tcPr>
          <w:p w14:paraId="73FEDA05" w14:textId="091B7C93" w:rsidR="00AD43C2" w:rsidRPr="006D65BD" w:rsidRDefault="00AD43C2" w:rsidP="00AD43C2">
            <w:pPr>
              <w:jc w:val="right"/>
              <w:rPr>
                <w:rFonts w:eastAsia="Times New Roman" w:cstheme="minorHAnsi"/>
                <w:color w:val="000000"/>
                <w:sz w:val="20"/>
                <w:szCs w:val="20"/>
              </w:rPr>
            </w:pPr>
            <w:r w:rsidRPr="006D65BD">
              <w:rPr>
                <w:rFonts w:eastAsia="Times New Roman" w:cstheme="minorHAnsi"/>
                <w:color w:val="000000"/>
                <w:sz w:val="20"/>
                <w:szCs w:val="20"/>
              </w:rPr>
              <w:t xml:space="preserve"> $157 </w:t>
            </w:r>
          </w:p>
        </w:tc>
      </w:tr>
      <w:tr w:rsidR="00AD43C2" w:rsidRPr="004E6649" w14:paraId="377E2D71" w14:textId="77777777" w:rsidTr="004D3BC1">
        <w:trPr>
          <w:trHeight w:val="80"/>
          <w:jc w:val="center"/>
        </w:trPr>
        <w:tc>
          <w:tcPr>
            <w:tcW w:w="1202" w:type="dxa"/>
            <w:tcBorders>
              <w:top w:val="nil"/>
              <w:left w:val="nil"/>
              <w:bottom w:val="nil"/>
              <w:right w:val="nil"/>
            </w:tcBorders>
            <w:noWrap/>
            <w:vAlign w:val="bottom"/>
            <w:hideMark/>
          </w:tcPr>
          <w:p w14:paraId="5A411402" w14:textId="79B86743" w:rsidR="00AD43C2" w:rsidRPr="006D65BD" w:rsidRDefault="00AD43C2" w:rsidP="00AD43C2">
            <w:pPr>
              <w:jc w:val="right"/>
              <w:rPr>
                <w:rFonts w:eastAsia="Times New Roman" w:cstheme="minorHAnsi"/>
                <w:color w:val="000000"/>
                <w:sz w:val="20"/>
                <w:szCs w:val="20"/>
              </w:rPr>
            </w:pPr>
            <w:r w:rsidRPr="006D65BD">
              <w:rPr>
                <w:rFonts w:eastAsia="Times New Roman" w:cstheme="minorHAnsi"/>
                <w:color w:val="000000"/>
                <w:sz w:val="20"/>
                <w:szCs w:val="20"/>
              </w:rPr>
              <w:t>2024</w:t>
            </w:r>
          </w:p>
        </w:tc>
        <w:tc>
          <w:tcPr>
            <w:tcW w:w="1768" w:type="dxa"/>
            <w:tcBorders>
              <w:top w:val="nil"/>
              <w:left w:val="nil"/>
              <w:bottom w:val="nil"/>
              <w:right w:val="nil"/>
            </w:tcBorders>
            <w:noWrap/>
            <w:vAlign w:val="bottom"/>
            <w:hideMark/>
          </w:tcPr>
          <w:p w14:paraId="0DA96B18" w14:textId="69218817" w:rsidR="00AD43C2" w:rsidRPr="006D65BD" w:rsidRDefault="00AD43C2" w:rsidP="00AD43C2">
            <w:pPr>
              <w:jc w:val="right"/>
              <w:rPr>
                <w:rFonts w:eastAsia="Times New Roman" w:cstheme="minorHAnsi"/>
                <w:color w:val="000000"/>
                <w:sz w:val="20"/>
                <w:szCs w:val="20"/>
              </w:rPr>
            </w:pPr>
            <w:r w:rsidRPr="006D65BD">
              <w:rPr>
                <w:rFonts w:eastAsia="Times New Roman" w:cstheme="minorHAnsi"/>
                <w:color w:val="000000"/>
                <w:sz w:val="20"/>
                <w:szCs w:val="20"/>
              </w:rPr>
              <w:t>$161</w:t>
            </w:r>
          </w:p>
        </w:tc>
      </w:tr>
      <w:tr w:rsidR="00212625" w:rsidRPr="004E6649" w14:paraId="528A89BC" w14:textId="77777777" w:rsidTr="004D3BC1">
        <w:trPr>
          <w:trHeight w:val="80"/>
          <w:jc w:val="center"/>
        </w:trPr>
        <w:tc>
          <w:tcPr>
            <w:tcW w:w="1202" w:type="dxa"/>
            <w:tcBorders>
              <w:top w:val="nil"/>
              <w:left w:val="nil"/>
              <w:bottom w:val="single" w:sz="4" w:space="0" w:color="000000"/>
              <w:right w:val="nil"/>
            </w:tcBorders>
            <w:noWrap/>
            <w:vAlign w:val="bottom"/>
            <w:hideMark/>
          </w:tcPr>
          <w:p w14:paraId="7EA22AF4" w14:textId="65867A67" w:rsidR="00212625" w:rsidRPr="00C35CD6" w:rsidRDefault="00AD43C2" w:rsidP="00212625">
            <w:pPr>
              <w:jc w:val="right"/>
              <w:rPr>
                <w:rFonts w:eastAsia="Times New Roman" w:cstheme="minorHAnsi"/>
                <w:color w:val="000000"/>
                <w:sz w:val="20"/>
                <w:szCs w:val="20"/>
              </w:rPr>
            </w:pPr>
            <w:r w:rsidRPr="00C35CD6">
              <w:rPr>
                <w:rFonts w:eastAsia="Times New Roman" w:cstheme="minorHAnsi"/>
                <w:color w:val="000000"/>
                <w:sz w:val="20"/>
                <w:szCs w:val="20"/>
              </w:rPr>
              <w:t>2025</w:t>
            </w:r>
          </w:p>
        </w:tc>
        <w:tc>
          <w:tcPr>
            <w:tcW w:w="1768" w:type="dxa"/>
            <w:tcBorders>
              <w:top w:val="nil"/>
              <w:left w:val="nil"/>
              <w:bottom w:val="single" w:sz="4" w:space="0" w:color="000000"/>
              <w:right w:val="nil"/>
            </w:tcBorders>
            <w:noWrap/>
            <w:vAlign w:val="bottom"/>
            <w:hideMark/>
          </w:tcPr>
          <w:p w14:paraId="2E56C9DA" w14:textId="4809F659" w:rsidR="00212625" w:rsidRPr="00C35CD6" w:rsidRDefault="00F24C11" w:rsidP="00212625">
            <w:pPr>
              <w:jc w:val="right"/>
              <w:rPr>
                <w:rFonts w:eastAsia="Times New Roman" w:cstheme="minorHAnsi"/>
                <w:color w:val="000000"/>
                <w:sz w:val="20"/>
                <w:szCs w:val="20"/>
              </w:rPr>
            </w:pPr>
            <w:r w:rsidRPr="00C35CD6">
              <w:rPr>
                <w:rFonts w:eastAsia="Times New Roman" w:cstheme="minorHAnsi"/>
                <w:color w:val="000000"/>
                <w:sz w:val="20"/>
                <w:szCs w:val="20"/>
              </w:rPr>
              <w:t>$</w:t>
            </w:r>
            <w:r w:rsidR="00C35CD6" w:rsidRPr="008B69B9">
              <w:rPr>
                <w:rFonts w:eastAsia="Times New Roman" w:cstheme="minorHAnsi"/>
                <w:color w:val="000000"/>
                <w:sz w:val="20"/>
                <w:szCs w:val="20"/>
              </w:rPr>
              <w:t>168</w:t>
            </w:r>
          </w:p>
        </w:tc>
      </w:tr>
    </w:tbl>
    <w:p w14:paraId="66C71C0D" w14:textId="715B32CC" w:rsidR="00A83362" w:rsidRPr="004E6649" w:rsidRDefault="00A83362" w:rsidP="00212625">
      <w:pPr>
        <w:tabs>
          <w:tab w:val="left" w:pos="540"/>
        </w:tabs>
        <w:jc w:val="center"/>
        <w:rPr>
          <w:rFonts w:eastAsia="Times New Roman" w:cstheme="minorHAnsi"/>
          <w:sz w:val="24"/>
        </w:rPr>
      </w:pPr>
    </w:p>
    <w:p w14:paraId="7F8C145B" w14:textId="7006C8E7" w:rsidR="00A83362" w:rsidRPr="009C51FE" w:rsidRDefault="00A83362" w:rsidP="00A83362">
      <w:pPr>
        <w:tabs>
          <w:tab w:val="left" w:pos="540"/>
        </w:tabs>
        <w:rPr>
          <w:rFonts w:eastAsia="Times New Roman" w:cstheme="minorHAnsi"/>
          <w:color w:val="0D0D0D" w:themeColor="text1" w:themeTint="F2"/>
          <w:sz w:val="24"/>
        </w:rPr>
      </w:pPr>
      <w:r w:rsidRPr="004E6649">
        <w:rPr>
          <w:rFonts w:eastAsia="Times New Roman" w:cstheme="minorHAnsi"/>
          <w:sz w:val="24"/>
        </w:rPr>
        <w:t xml:space="preserve">During </w:t>
      </w:r>
      <w:r w:rsidR="00AD43C2" w:rsidRPr="004E6649">
        <w:rPr>
          <w:rFonts w:eastAsia="Times New Roman" w:cstheme="minorHAnsi"/>
          <w:sz w:val="24"/>
        </w:rPr>
        <w:t>FY2</w:t>
      </w:r>
      <w:r w:rsidR="00AD43C2">
        <w:rPr>
          <w:rFonts w:eastAsia="Times New Roman" w:cstheme="minorHAnsi"/>
          <w:sz w:val="24"/>
        </w:rPr>
        <w:t>5</w:t>
      </w:r>
      <w:r w:rsidRPr="004E6649">
        <w:rPr>
          <w:rFonts w:eastAsia="Times New Roman" w:cstheme="minorHAnsi"/>
          <w:sz w:val="24"/>
        </w:rPr>
        <w:t xml:space="preserve">, total financial aid provided to students was </w:t>
      </w:r>
      <w:r w:rsidRPr="00F24C11">
        <w:rPr>
          <w:rFonts w:eastAsia="Times New Roman" w:cstheme="minorHAnsi"/>
          <w:color w:val="0D0D0D" w:themeColor="text1" w:themeTint="F2"/>
          <w:sz w:val="24"/>
        </w:rPr>
        <w:t>$</w:t>
      </w:r>
      <w:r w:rsidRPr="00C35CD6">
        <w:rPr>
          <w:rFonts w:eastAsia="Times New Roman" w:cstheme="minorHAnsi"/>
          <w:color w:val="0D0D0D" w:themeColor="text1" w:themeTint="F2"/>
          <w:sz w:val="24"/>
        </w:rPr>
        <w:t>1</w:t>
      </w:r>
      <w:r w:rsidR="00F24C11" w:rsidRPr="00C35CD6">
        <w:rPr>
          <w:rFonts w:eastAsia="Times New Roman" w:cstheme="minorHAnsi"/>
          <w:color w:val="0D0D0D" w:themeColor="text1" w:themeTint="F2"/>
          <w:sz w:val="24"/>
        </w:rPr>
        <w:t>6</w:t>
      </w:r>
      <w:r w:rsidR="00C35CD6" w:rsidRPr="008B69B9">
        <w:rPr>
          <w:rFonts w:eastAsia="Times New Roman" w:cstheme="minorHAnsi"/>
          <w:color w:val="0D0D0D" w:themeColor="text1" w:themeTint="F2"/>
          <w:sz w:val="24"/>
        </w:rPr>
        <w:t>8</w:t>
      </w:r>
      <w:r w:rsidRPr="00C35CD6">
        <w:rPr>
          <w:rFonts w:eastAsia="Times New Roman" w:cstheme="minorHAnsi"/>
          <w:color w:val="0D0D0D" w:themeColor="text1" w:themeTint="F2"/>
          <w:sz w:val="24"/>
        </w:rPr>
        <w:t xml:space="preserve"> million, </w:t>
      </w:r>
      <w:r w:rsidR="00F24C11" w:rsidRPr="00C35CD6">
        <w:rPr>
          <w:rFonts w:eastAsia="Times New Roman" w:cstheme="minorHAnsi"/>
          <w:color w:val="0D0D0D" w:themeColor="text1" w:themeTint="F2"/>
          <w:sz w:val="24"/>
        </w:rPr>
        <w:t>in</w:t>
      </w:r>
      <w:r w:rsidRPr="00C35CD6">
        <w:rPr>
          <w:rFonts w:eastAsia="Times New Roman" w:cstheme="minorHAnsi"/>
          <w:color w:val="0D0D0D" w:themeColor="text1" w:themeTint="F2"/>
          <w:sz w:val="24"/>
        </w:rPr>
        <w:t>creasing $</w:t>
      </w:r>
      <w:r w:rsidR="00C35CD6" w:rsidRPr="008B69B9">
        <w:rPr>
          <w:rFonts w:eastAsia="Times New Roman" w:cstheme="minorHAnsi"/>
          <w:color w:val="0D0D0D" w:themeColor="text1" w:themeTint="F2"/>
          <w:sz w:val="24"/>
        </w:rPr>
        <w:t>7</w:t>
      </w:r>
      <w:r w:rsidR="00C35CD6" w:rsidRPr="00C35CD6">
        <w:rPr>
          <w:rFonts w:eastAsia="Times New Roman" w:cstheme="minorHAnsi"/>
          <w:color w:val="0D0D0D" w:themeColor="text1" w:themeTint="F2"/>
          <w:sz w:val="24"/>
        </w:rPr>
        <w:t xml:space="preserve"> </w:t>
      </w:r>
      <w:r w:rsidRPr="00C35CD6">
        <w:rPr>
          <w:rFonts w:eastAsia="Times New Roman" w:cstheme="minorHAnsi"/>
          <w:color w:val="0D0D0D" w:themeColor="text1" w:themeTint="F2"/>
          <w:sz w:val="24"/>
        </w:rPr>
        <w:t xml:space="preserve">million, or </w:t>
      </w:r>
      <w:r w:rsidR="00C35CD6" w:rsidRPr="008B69B9">
        <w:rPr>
          <w:rFonts w:eastAsia="Times New Roman" w:cstheme="minorHAnsi"/>
          <w:color w:val="0D0D0D" w:themeColor="text1" w:themeTint="F2"/>
          <w:sz w:val="24"/>
        </w:rPr>
        <w:t>4</w:t>
      </w:r>
      <w:r w:rsidRPr="00C35CD6">
        <w:rPr>
          <w:rFonts w:eastAsia="Times New Roman" w:cstheme="minorHAnsi"/>
          <w:color w:val="0D0D0D" w:themeColor="text1" w:themeTint="F2"/>
          <w:sz w:val="24"/>
        </w:rPr>
        <w:t>%,</w:t>
      </w:r>
      <w:r w:rsidRPr="00F24C11">
        <w:rPr>
          <w:rFonts w:eastAsia="Times New Roman" w:cstheme="minorHAnsi"/>
          <w:color w:val="0D0D0D" w:themeColor="text1" w:themeTint="F2"/>
          <w:sz w:val="24"/>
        </w:rPr>
        <w:t xml:space="preserve"> </w:t>
      </w:r>
      <w:r w:rsidRPr="00976EB2">
        <w:rPr>
          <w:rFonts w:eastAsia="Times New Roman" w:cstheme="minorHAnsi"/>
          <w:color w:val="0D0D0D" w:themeColor="text1" w:themeTint="F2"/>
          <w:sz w:val="24"/>
        </w:rPr>
        <w:t>from FY2</w:t>
      </w:r>
      <w:r w:rsidR="00AD43C2">
        <w:rPr>
          <w:rFonts w:eastAsia="Times New Roman" w:cstheme="minorHAnsi"/>
          <w:color w:val="0D0D0D" w:themeColor="text1" w:themeTint="F2"/>
          <w:sz w:val="24"/>
        </w:rPr>
        <w:t>4</w:t>
      </w:r>
      <w:r w:rsidRPr="00976EB2">
        <w:rPr>
          <w:rFonts w:eastAsia="Times New Roman" w:cstheme="minorHAnsi"/>
          <w:color w:val="0D0D0D" w:themeColor="text1" w:themeTint="F2"/>
          <w:sz w:val="24"/>
        </w:rPr>
        <w:t xml:space="preserve"> financial aid of $</w:t>
      </w:r>
      <w:r w:rsidR="00AD43C2" w:rsidRPr="00976EB2">
        <w:rPr>
          <w:rFonts w:eastAsia="Times New Roman" w:cstheme="minorHAnsi"/>
          <w:color w:val="0D0D0D" w:themeColor="text1" w:themeTint="F2"/>
          <w:sz w:val="24"/>
        </w:rPr>
        <w:t>1</w:t>
      </w:r>
      <w:r w:rsidR="00AD43C2">
        <w:rPr>
          <w:rFonts w:eastAsia="Times New Roman" w:cstheme="minorHAnsi"/>
          <w:color w:val="0D0D0D" w:themeColor="text1" w:themeTint="F2"/>
          <w:sz w:val="24"/>
        </w:rPr>
        <w:t>61</w:t>
      </w:r>
      <w:r w:rsidR="00AD43C2" w:rsidRPr="00976EB2">
        <w:rPr>
          <w:rFonts w:eastAsia="Times New Roman" w:cstheme="minorHAnsi"/>
          <w:color w:val="0D0D0D" w:themeColor="text1" w:themeTint="F2"/>
          <w:sz w:val="24"/>
        </w:rPr>
        <w:t xml:space="preserve"> </w:t>
      </w:r>
      <w:r w:rsidRPr="00976EB2">
        <w:rPr>
          <w:rFonts w:eastAsia="Times New Roman" w:cstheme="minorHAnsi"/>
          <w:color w:val="0D0D0D" w:themeColor="text1" w:themeTint="F2"/>
          <w:sz w:val="24"/>
        </w:rPr>
        <w:t>million.</w:t>
      </w:r>
      <w:r w:rsidRPr="00A05877">
        <w:rPr>
          <w:rFonts w:eastAsia="Times New Roman" w:cstheme="minorHAnsi"/>
          <w:color w:val="FF0000"/>
          <w:sz w:val="24"/>
        </w:rPr>
        <w:t xml:space="preserve"> </w:t>
      </w:r>
      <w:r w:rsidRPr="00C35CD6">
        <w:rPr>
          <w:rFonts w:eastAsia="Times New Roman" w:cstheme="minorHAnsi"/>
          <w:color w:val="0D0D0D" w:themeColor="text1" w:themeTint="F2"/>
          <w:sz w:val="24"/>
        </w:rPr>
        <w:t xml:space="preserve">This net </w:t>
      </w:r>
      <w:r w:rsidR="00F24C11" w:rsidRPr="00C35CD6">
        <w:rPr>
          <w:rFonts w:eastAsia="Times New Roman" w:cstheme="minorHAnsi"/>
          <w:color w:val="0D0D0D" w:themeColor="text1" w:themeTint="F2"/>
          <w:sz w:val="24"/>
        </w:rPr>
        <w:t>in</w:t>
      </w:r>
      <w:r w:rsidRPr="00C35CD6">
        <w:rPr>
          <w:rFonts w:eastAsia="Times New Roman" w:cstheme="minorHAnsi"/>
          <w:color w:val="0D0D0D" w:themeColor="text1" w:themeTint="F2"/>
          <w:sz w:val="24"/>
        </w:rPr>
        <w:t xml:space="preserve">crease </w:t>
      </w:r>
      <w:r w:rsidR="004C4F80" w:rsidRPr="00C35CD6">
        <w:rPr>
          <w:rFonts w:eastAsia="Times New Roman" w:cstheme="minorHAnsi"/>
          <w:color w:val="0D0D0D" w:themeColor="text1" w:themeTint="F2"/>
          <w:sz w:val="24"/>
        </w:rPr>
        <w:t xml:space="preserve">includes </w:t>
      </w:r>
      <w:r w:rsidRPr="00C35CD6">
        <w:rPr>
          <w:rFonts w:eastAsia="Times New Roman" w:cstheme="minorHAnsi"/>
          <w:color w:val="0D0D0D" w:themeColor="text1" w:themeTint="F2"/>
          <w:sz w:val="24"/>
        </w:rPr>
        <w:t>a</w:t>
      </w:r>
      <w:r w:rsidRPr="00C35CD6">
        <w:rPr>
          <w:rFonts w:eastAsia="Times New Roman" w:cstheme="minorHAnsi"/>
          <w:color w:val="FF0000"/>
          <w:sz w:val="24"/>
        </w:rPr>
        <w:t xml:space="preserve"> </w:t>
      </w:r>
      <w:r w:rsidRPr="00C35CD6">
        <w:rPr>
          <w:rFonts w:eastAsia="Times New Roman" w:cstheme="minorHAnsi"/>
          <w:color w:val="0D0D0D" w:themeColor="text1" w:themeTint="F2"/>
          <w:sz w:val="24"/>
        </w:rPr>
        <w:t>$</w:t>
      </w:r>
      <w:r w:rsidR="00C45349" w:rsidRPr="008B69B9">
        <w:rPr>
          <w:rFonts w:eastAsia="Times New Roman" w:cstheme="minorHAnsi"/>
          <w:color w:val="0D0D0D" w:themeColor="text1" w:themeTint="F2"/>
          <w:sz w:val="24"/>
        </w:rPr>
        <w:t>10</w:t>
      </w:r>
      <w:r w:rsidR="00C45349" w:rsidRPr="00C35CD6">
        <w:rPr>
          <w:rFonts w:eastAsia="Times New Roman" w:cstheme="minorHAnsi"/>
          <w:color w:val="0D0D0D" w:themeColor="text1" w:themeTint="F2"/>
          <w:sz w:val="24"/>
        </w:rPr>
        <w:t xml:space="preserve"> </w:t>
      </w:r>
      <w:r w:rsidRPr="00C35CD6">
        <w:rPr>
          <w:rFonts w:eastAsia="Times New Roman" w:cstheme="minorHAnsi"/>
          <w:color w:val="0D0D0D" w:themeColor="text1" w:themeTint="F2"/>
          <w:sz w:val="24"/>
        </w:rPr>
        <w:t xml:space="preserve">million </w:t>
      </w:r>
      <w:r w:rsidR="009C51FE" w:rsidRPr="00C35CD6">
        <w:rPr>
          <w:rFonts w:eastAsia="Times New Roman" w:cstheme="minorHAnsi"/>
          <w:color w:val="0D0D0D" w:themeColor="text1" w:themeTint="F2"/>
          <w:sz w:val="24"/>
        </w:rPr>
        <w:t>in</w:t>
      </w:r>
      <w:r w:rsidRPr="00C35CD6">
        <w:rPr>
          <w:rFonts w:eastAsia="Times New Roman" w:cstheme="minorHAnsi"/>
          <w:color w:val="0D0D0D" w:themeColor="text1" w:themeTint="F2"/>
          <w:sz w:val="24"/>
        </w:rPr>
        <w:t>crease in P</w:t>
      </w:r>
      <w:r w:rsidR="00F50F46">
        <w:rPr>
          <w:rFonts w:eastAsia="Times New Roman" w:cstheme="minorHAnsi"/>
          <w:color w:val="0D0D0D" w:themeColor="text1" w:themeTint="F2"/>
          <w:sz w:val="24"/>
        </w:rPr>
        <w:t>ell</w:t>
      </w:r>
      <w:r w:rsidRPr="00C45349">
        <w:rPr>
          <w:rFonts w:eastAsia="Times New Roman" w:cstheme="minorHAnsi"/>
          <w:color w:val="0D0D0D" w:themeColor="text1" w:themeTint="F2"/>
          <w:sz w:val="24"/>
        </w:rPr>
        <w:t xml:space="preserve"> awards</w:t>
      </w:r>
      <w:r w:rsidR="00C35CD6">
        <w:rPr>
          <w:rFonts w:eastAsia="Times New Roman" w:cstheme="minorHAnsi"/>
          <w:color w:val="0D0D0D" w:themeColor="text1" w:themeTint="F2"/>
          <w:sz w:val="24"/>
        </w:rPr>
        <w:t xml:space="preserve"> offset by a $3 million decrease in </w:t>
      </w:r>
      <w:r w:rsidR="00847510">
        <w:rPr>
          <w:rFonts w:eastAsia="Times New Roman" w:cstheme="minorHAnsi"/>
          <w:color w:val="0D0D0D" w:themeColor="text1" w:themeTint="F2"/>
          <w:sz w:val="24"/>
        </w:rPr>
        <w:t xml:space="preserve">unrestricted </w:t>
      </w:r>
      <w:r w:rsidR="00C35CD6">
        <w:rPr>
          <w:rFonts w:eastAsia="Times New Roman" w:cstheme="minorHAnsi"/>
          <w:color w:val="0D0D0D" w:themeColor="text1" w:themeTint="F2"/>
          <w:sz w:val="24"/>
        </w:rPr>
        <w:t>institutional awards</w:t>
      </w:r>
      <w:r w:rsidRPr="00C45349">
        <w:rPr>
          <w:rFonts w:eastAsia="Times New Roman" w:cstheme="minorHAnsi"/>
          <w:color w:val="0D0D0D" w:themeColor="text1" w:themeTint="F2"/>
          <w:sz w:val="24"/>
        </w:rPr>
        <w:t>.</w:t>
      </w:r>
      <w:r w:rsidRPr="009C51FE">
        <w:rPr>
          <w:rFonts w:eastAsia="Times New Roman" w:cstheme="minorHAnsi"/>
          <w:color w:val="0D0D0D" w:themeColor="text1" w:themeTint="F2"/>
          <w:sz w:val="24"/>
        </w:rPr>
        <w:t xml:space="preserve"> </w:t>
      </w:r>
    </w:p>
    <w:p w14:paraId="3BF5EE01" w14:textId="77777777" w:rsidR="00A83362" w:rsidRPr="004E6649" w:rsidRDefault="00A83362" w:rsidP="00A83362">
      <w:pPr>
        <w:tabs>
          <w:tab w:val="left" w:pos="540"/>
        </w:tabs>
        <w:rPr>
          <w:rFonts w:eastAsia="Times New Roman" w:cstheme="minorHAnsi"/>
          <w:sz w:val="20"/>
          <w:szCs w:val="20"/>
        </w:rPr>
      </w:pPr>
    </w:p>
    <w:p w14:paraId="24758875" w14:textId="141F7344" w:rsidR="00AD43C2" w:rsidRPr="009C51FE" w:rsidRDefault="00A83362" w:rsidP="00AD43C2">
      <w:pPr>
        <w:tabs>
          <w:tab w:val="left" w:pos="540"/>
        </w:tabs>
        <w:rPr>
          <w:rFonts w:eastAsia="Times New Roman" w:cstheme="minorHAnsi"/>
          <w:color w:val="0D0D0D" w:themeColor="text1" w:themeTint="F2"/>
          <w:sz w:val="24"/>
        </w:rPr>
      </w:pPr>
      <w:r w:rsidRPr="004E6649">
        <w:rPr>
          <w:rFonts w:eastAsia="Times New Roman" w:cstheme="minorHAnsi"/>
          <w:sz w:val="24"/>
        </w:rPr>
        <w:lastRenderedPageBreak/>
        <w:t xml:space="preserve">During </w:t>
      </w:r>
      <w:r w:rsidR="00AD43C2" w:rsidRPr="004E6649">
        <w:rPr>
          <w:rFonts w:eastAsia="Times New Roman" w:cstheme="minorHAnsi"/>
          <w:sz w:val="24"/>
        </w:rPr>
        <w:t>FY2</w:t>
      </w:r>
      <w:r w:rsidR="00AD43C2">
        <w:rPr>
          <w:rFonts w:eastAsia="Times New Roman" w:cstheme="minorHAnsi"/>
          <w:sz w:val="24"/>
        </w:rPr>
        <w:t>4</w:t>
      </w:r>
      <w:r w:rsidR="00A05877" w:rsidRPr="004E6649">
        <w:rPr>
          <w:rFonts w:eastAsia="Times New Roman" w:cstheme="minorHAnsi"/>
          <w:sz w:val="24"/>
        </w:rPr>
        <w:t>, total financial aid provided to students was $</w:t>
      </w:r>
      <w:r w:rsidR="00AD43C2" w:rsidRPr="00F24C11">
        <w:rPr>
          <w:rFonts w:eastAsia="Times New Roman" w:cstheme="minorHAnsi"/>
          <w:color w:val="0D0D0D" w:themeColor="text1" w:themeTint="F2"/>
          <w:sz w:val="24"/>
        </w:rPr>
        <w:t xml:space="preserve">161 million, increasing $4 million, or 3%, </w:t>
      </w:r>
      <w:r w:rsidR="00AD43C2" w:rsidRPr="00976EB2">
        <w:rPr>
          <w:rFonts w:eastAsia="Times New Roman" w:cstheme="minorHAnsi"/>
          <w:color w:val="0D0D0D" w:themeColor="text1" w:themeTint="F2"/>
          <w:sz w:val="24"/>
        </w:rPr>
        <w:t>from FY23 financial aid of $157 million.</w:t>
      </w:r>
      <w:r w:rsidR="00AD43C2" w:rsidRPr="00A05877">
        <w:rPr>
          <w:rFonts w:eastAsia="Times New Roman" w:cstheme="minorHAnsi"/>
          <w:color w:val="FF0000"/>
          <w:sz w:val="24"/>
        </w:rPr>
        <w:t xml:space="preserve"> </w:t>
      </w:r>
      <w:r w:rsidR="00AD43C2" w:rsidRPr="00F24C11">
        <w:rPr>
          <w:rFonts w:eastAsia="Times New Roman" w:cstheme="minorHAnsi"/>
          <w:color w:val="0D0D0D" w:themeColor="text1" w:themeTint="F2"/>
          <w:sz w:val="24"/>
        </w:rPr>
        <w:t xml:space="preserve">This net increase </w:t>
      </w:r>
      <w:r w:rsidR="00AD43C2">
        <w:rPr>
          <w:rFonts w:eastAsia="Times New Roman" w:cstheme="minorHAnsi"/>
          <w:color w:val="0D0D0D" w:themeColor="text1" w:themeTint="F2"/>
          <w:sz w:val="24"/>
        </w:rPr>
        <w:t xml:space="preserve">includes </w:t>
      </w:r>
      <w:r w:rsidR="00AD43C2" w:rsidRPr="00F24C11">
        <w:rPr>
          <w:rFonts w:eastAsia="Times New Roman" w:cstheme="minorHAnsi"/>
          <w:color w:val="0D0D0D" w:themeColor="text1" w:themeTint="F2"/>
          <w:sz w:val="24"/>
        </w:rPr>
        <w:t>a</w:t>
      </w:r>
      <w:r w:rsidR="00AD43C2" w:rsidRPr="00A05877">
        <w:rPr>
          <w:rFonts w:eastAsia="Times New Roman" w:cstheme="minorHAnsi"/>
          <w:color w:val="FF0000"/>
          <w:sz w:val="24"/>
        </w:rPr>
        <w:t xml:space="preserve"> </w:t>
      </w:r>
      <w:r w:rsidR="00AD43C2" w:rsidRPr="009C51FE">
        <w:rPr>
          <w:rFonts w:eastAsia="Times New Roman" w:cstheme="minorHAnsi"/>
          <w:color w:val="0D0D0D" w:themeColor="text1" w:themeTint="F2"/>
          <w:sz w:val="24"/>
        </w:rPr>
        <w:t>$4 million increase in P</w:t>
      </w:r>
      <w:r w:rsidR="00F50F46">
        <w:rPr>
          <w:rFonts w:eastAsia="Times New Roman" w:cstheme="minorHAnsi"/>
          <w:color w:val="0D0D0D" w:themeColor="text1" w:themeTint="F2"/>
          <w:sz w:val="24"/>
        </w:rPr>
        <w:t>ell</w:t>
      </w:r>
      <w:r w:rsidR="00AD43C2" w:rsidRPr="009C51FE">
        <w:rPr>
          <w:rFonts w:eastAsia="Times New Roman" w:cstheme="minorHAnsi"/>
          <w:color w:val="0D0D0D" w:themeColor="text1" w:themeTint="F2"/>
          <w:sz w:val="24"/>
        </w:rPr>
        <w:t xml:space="preserve"> awards. </w:t>
      </w:r>
    </w:p>
    <w:p w14:paraId="1464B183" w14:textId="77777777" w:rsidR="00A83362" w:rsidRPr="004E6649" w:rsidRDefault="00A83362" w:rsidP="00A83362">
      <w:pPr>
        <w:pStyle w:val="AFR3"/>
        <w:rPr>
          <w:rFonts w:cstheme="minorHAnsi"/>
          <w:sz w:val="24"/>
          <w:szCs w:val="20"/>
        </w:rPr>
      </w:pPr>
      <w:r w:rsidRPr="004E6649">
        <w:rPr>
          <w:rFonts w:cstheme="minorHAnsi"/>
          <w:sz w:val="24"/>
          <w:szCs w:val="20"/>
        </w:rPr>
        <w:t>Grants, Contracts, and Indirect Cost Recovery</w:t>
      </w:r>
    </w:p>
    <w:p w14:paraId="75FAB40C" w14:textId="77777777" w:rsidR="00A83362" w:rsidRDefault="00A83362" w:rsidP="00A83362">
      <w:pPr>
        <w:tabs>
          <w:tab w:val="left" w:pos="540"/>
        </w:tabs>
        <w:spacing w:after="120"/>
        <w:rPr>
          <w:rFonts w:eastAsia="Times New Roman" w:cstheme="minorHAnsi"/>
          <w:sz w:val="24"/>
        </w:rPr>
      </w:pPr>
      <w:r w:rsidRPr="004E6649">
        <w:rPr>
          <w:rFonts w:eastAsia="Times New Roman" w:cstheme="minorHAnsi"/>
          <w:sz w:val="24"/>
        </w:rPr>
        <w:t>Grants and contracts revenues are recognized to the extent of related expenses. Consequently, reported revenues will fluctuate based on the timing of expenses across fiscal years. The System receives funding from federal, state, and private sources for student aid, research and other activities with the majority of funding being provided by the federal government. State research and development funding is often used to leverage federal dollars.</w:t>
      </w:r>
    </w:p>
    <w:p w14:paraId="056A2EB7" w14:textId="0F46BDE8" w:rsidR="00254258" w:rsidRPr="004E6649" w:rsidRDefault="001842E0" w:rsidP="00254258">
      <w:pPr>
        <w:tabs>
          <w:tab w:val="left" w:pos="540"/>
        </w:tabs>
        <w:spacing w:after="120"/>
        <w:jc w:val="center"/>
        <w:rPr>
          <w:rFonts w:eastAsia="Times New Roman" w:cstheme="minorHAnsi"/>
          <w:sz w:val="24"/>
        </w:rPr>
      </w:pPr>
      <w:r>
        <w:rPr>
          <w:noProof/>
          <w14:ligatures w14:val="standardContextual"/>
        </w:rPr>
        <w:drawing>
          <wp:inline distT="0" distB="0" distL="0" distR="0" wp14:anchorId="43FD4D47" wp14:editId="71D3C95B">
            <wp:extent cx="4572000" cy="2857500"/>
            <wp:effectExtent l="0" t="0" r="0" b="0"/>
            <wp:docPr id="590660404" name="Chart 1" descr="Chart 8: Grants, contracts and indirect cost recovery">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bl>
      <w:tblPr>
        <w:tblW w:w="5667" w:type="dxa"/>
        <w:jc w:val="center"/>
        <w:tblLook w:val="04A0" w:firstRow="1" w:lastRow="0" w:firstColumn="1" w:lastColumn="0" w:noHBand="0" w:noVBand="1"/>
      </w:tblPr>
      <w:tblGrid>
        <w:gridCol w:w="1170"/>
        <w:gridCol w:w="2430"/>
        <w:gridCol w:w="1344"/>
        <w:gridCol w:w="723"/>
      </w:tblGrid>
      <w:tr w:rsidR="00212625" w:rsidRPr="004E6649" w14:paraId="473EEF5A" w14:textId="77777777" w:rsidTr="00492085">
        <w:trPr>
          <w:trHeight w:val="233"/>
          <w:jc w:val="center"/>
        </w:trPr>
        <w:tc>
          <w:tcPr>
            <w:tcW w:w="1170" w:type="dxa"/>
            <w:tcBorders>
              <w:top w:val="single" w:sz="4" w:space="0" w:color="000000"/>
              <w:left w:val="nil"/>
              <w:bottom w:val="single" w:sz="4" w:space="0" w:color="000000"/>
              <w:right w:val="nil"/>
            </w:tcBorders>
            <w:noWrap/>
            <w:vAlign w:val="bottom"/>
            <w:hideMark/>
          </w:tcPr>
          <w:p w14:paraId="3C21E03B" w14:textId="77777777" w:rsidR="00212625" w:rsidRPr="006D65BD" w:rsidRDefault="00212625" w:rsidP="00212625">
            <w:pPr>
              <w:jc w:val="center"/>
              <w:rPr>
                <w:rFonts w:eastAsia="Times New Roman" w:cstheme="minorHAnsi"/>
                <w:b/>
                <w:bCs/>
                <w:color w:val="000000"/>
                <w:sz w:val="20"/>
                <w:szCs w:val="20"/>
              </w:rPr>
            </w:pPr>
            <w:r w:rsidRPr="006D65BD">
              <w:rPr>
                <w:rFonts w:eastAsia="Times New Roman" w:cstheme="minorHAnsi"/>
                <w:b/>
                <w:bCs/>
                <w:color w:val="000000"/>
                <w:sz w:val="20"/>
                <w:szCs w:val="20"/>
              </w:rPr>
              <w:t>Fiscal Year</w:t>
            </w:r>
          </w:p>
        </w:tc>
        <w:tc>
          <w:tcPr>
            <w:tcW w:w="2430" w:type="dxa"/>
            <w:tcBorders>
              <w:top w:val="single" w:sz="4" w:space="0" w:color="000000"/>
              <w:left w:val="nil"/>
              <w:bottom w:val="single" w:sz="4" w:space="0" w:color="000000"/>
              <w:right w:val="nil"/>
            </w:tcBorders>
            <w:vAlign w:val="bottom"/>
            <w:hideMark/>
          </w:tcPr>
          <w:p w14:paraId="7AA41637" w14:textId="0A2B29D4" w:rsidR="00212625" w:rsidRPr="006D65BD" w:rsidRDefault="00212625" w:rsidP="00654895">
            <w:pPr>
              <w:jc w:val="center"/>
              <w:rPr>
                <w:rFonts w:eastAsia="Times New Roman" w:cstheme="minorHAnsi"/>
                <w:b/>
                <w:bCs/>
                <w:color w:val="000000"/>
                <w:sz w:val="20"/>
                <w:szCs w:val="20"/>
              </w:rPr>
            </w:pPr>
            <w:r w:rsidRPr="006D65BD">
              <w:rPr>
                <w:rFonts w:eastAsia="Times New Roman" w:cstheme="minorHAnsi"/>
                <w:b/>
                <w:bCs/>
                <w:color w:val="000000"/>
                <w:sz w:val="20"/>
                <w:szCs w:val="20"/>
              </w:rPr>
              <w:t>Federal, State, and Private</w:t>
            </w:r>
            <w:r w:rsidR="00654895" w:rsidRPr="006D65BD">
              <w:rPr>
                <w:rFonts w:eastAsia="Times New Roman" w:cstheme="minorHAnsi"/>
                <w:b/>
                <w:bCs/>
                <w:color w:val="000000"/>
                <w:sz w:val="20"/>
                <w:szCs w:val="20"/>
              </w:rPr>
              <w:t xml:space="preserve"> </w:t>
            </w:r>
            <w:r w:rsidRPr="006D65BD">
              <w:rPr>
                <w:rFonts w:eastAsia="Times New Roman" w:cstheme="minorHAnsi"/>
                <w:b/>
                <w:bCs/>
                <w:color w:val="000000"/>
                <w:sz w:val="20"/>
                <w:szCs w:val="20"/>
              </w:rPr>
              <w:t>Grants &amp; Contracts</w:t>
            </w:r>
          </w:p>
        </w:tc>
        <w:tc>
          <w:tcPr>
            <w:tcW w:w="1344" w:type="dxa"/>
            <w:tcBorders>
              <w:top w:val="single" w:sz="4" w:space="0" w:color="000000"/>
              <w:left w:val="nil"/>
              <w:bottom w:val="single" w:sz="4" w:space="0" w:color="000000"/>
              <w:right w:val="nil"/>
            </w:tcBorders>
            <w:noWrap/>
            <w:vAlign w:val="bottom"/>
            <w:hideMark/>
          </w:tcPr>
          <w:p w14:paraId="03F53392" w14:textId="77777777" w:rsidR="00212625" w:rsidRPr="006D65BD" w:rsidRDefault="00212625" w:rsidP="00212625">
            <w:pPr>
              <w:jc w:val="center"/>
              <w:rPr>
                <w:rFonts w:eastAsia="Times New Roman" w:cstheme="minorHAnsi"/>
                <w:b/>
                <w:bCs/>
                <w:color w:val="000000"/>
                <w:sz w:val="20"/>
                <w:szCs w:val="20"/>
              </w:rPr>
            </w:pPr>
            <w:r w:rsidRPr="006D65BD">
              <w:rPr>
                <w:rFonts w:eastAsia="Times New Roman" w:cstheme="minorHAnsi"/>
                <w:b/>
                <w:bCs/>
                <w:color w:val="000000"/>
                <w:sz w:val="20"/>
                <w:szCs w:val="20"/>
              </w:rPr>
              <w:t>Indirect Cost Recovery</w:t>
            </w:r>
          </w:p>
        </w:tc>
        <w:tc>
          <w:tcPr>
            <w:tcW w:w="723" w:type="dxa"/>
            <w:tcBorders>
              <w:top w:val="single" w:sz="4" w:space="0" w:color="000000"/>
              <w:left w:val="nil"/>
              <w:bottom w:val="single" w:sz="4" w:space="0" w:color="000000"/>
              <w:right w:val="nil"/>
            </w:tcBorders>
            <w:noWrap/>
            <w:vAlign w:val="bottom"/>
            <w:hideMark/>
          </w:tcPr>
          <w:p w14:paraId="70C8179E" w14:textId="77777777" w:rsidR="00212625" w:rsidRPr="006D65BD" w:rsidRDefault="00212625" w:rsidP="00212625">
            <w:pPr>
              <w:jc w:val="center"/>
              <w:rPr>
                <w:rFonts w:eastAsia="Times New Roman" w:cstheme="minorHAnsi"/>
                <w:b/>
                <w:bCs/>
                <w:color w:val="000000"/>
                <w:sz w:val="20"/>
                <w:szCs w:val="20"/>
              </w:rPr>
            </w:pPr>
            <w:r w:rsidRPr="006D65BD">
              <w:rPr>
                <w:rFonts w:eastAsia="Times New Roman" w:cstheme="minorHAnsi"/>
                <w:b/>
                <w:bCs/>
                <w:color w:val="000000"/>
                <w:sz w:val="20"/>
                <w:szCs w:val="20"/>
              </w:rPr>
              <w:t>Total</w:t>
            </w:r>
          </w:p>
        </w:tc>
      </w:tr>
      <w:tr w:rsidR="00AD43C2" w:rsidRPr="004E6649" w14:paraId="4E579ED8" w14:textId="77777777" w:rsidTr="00492085">
        <w:trPr>
          <w:trHeight w:val="70"/>
          <w:jc w:val="center"/>
        </w:trPr>
        <w:tc>
          <w:tcPr>
            <w:tcW w:w="1170" w:type="dxa"/>
            <w:tcBorders>
              <w:top w:val="nil"/>
              <w:left w:val="nil"/>
              <w:bottom w:val="nil"/>
              <w:right w:val="nil"/>
            </w:tcBorders>
            <w:noWrap/>
            <w:vAlign w:val="bottom"/>
            <w:hideMark/>
          </w:tcPr>
          <w:p w14:paraId="54711959" w14:textId="3077EFA6" w:rsidR="00AD43C2" w:rsidRPr="006D65BD" w:rsidRDefault="00AD43C2" w:rsidP="00AD43C2">
            <w:pPr>
              <w:rPr>
                <w:rFonts w:eastAsia="Times New Roman" w:cstheme="minorHAnsi"/>
                <w:color w:val="000000"/>
                <w:sz w:val="20"/>
                <w:szCs w:val="20"/>
              </w:rPr>
            </w:pPr>
            <w:r w:rsidRPr="006D65BD">
              <w:rPr>
                <w:rFonts w:eastAsia="Times New Roman" w:cstheme="minorHAnsi"/>
                <w:color w:val="000000"/>
                <w:sz w:val="20"/>
                <w:szCs w:val="20"/>
              </w:rPr>
              <w:t>FY21</w:t>
            </w:r>
          </w:p>
        </w:tc>
        <w:tc>
          <w:tcPr>
            <w:tcW w:w="2430" w:type="dxa"/>
            <w:tcBorders>
              <w:top w:val="nil"/>
              <w:left w:val="nil"/>
              <w:bottom w:val="nil"/>
              <w:right w:val="nil"/>
            </w:tcBorders>
            <w:noWrap/>
            <w:vAlign w:val="bottom"/>
            <w:hideMark/>
          </w:tcPr>
          <w:p w14:paraId="11E65A61" w14:textId="6432CE1C" w:rsidR="00AD43C2" w:rsidRPr="006D65BD" w:rsidRDefault="00AD43C2" w:rsidP="00AD43C2">
            <w:pPr>
              <w:jc w:val="right"/>
              <w:rPr>
                <w:rFonts w:eastAsia="Times New Roman" w:cstheme="minorHAnsi"/>
                <w:color w:val="000000"/>
                <w:sz w:val="20"/>
                <w:szCs w:val="20"/>
              </w:rPr>
            </w:pPr>
            <w:r w:rsidRPr="006D65BD">
              <w:rPr>
                <w:rFonts w:eastAsia="Times New Roman" w:cstheme="minorHAnsi"/>
                <w:color w:val="000000"/>
                <w:sz w:val="20"/>
                <w:szCs w:val="20"/>
              </w:rPr>
              <w:t xml:space="preserve"> $119 </w:t>
            </w:r>
          </w:p>
        </w:tc>
        <w:tc>
          <w:tcPr>
            <w:tcW w:w="1344" w:type="dxa"/>
            <w:tcBorders>
              <w:top w:val="nil"/>
              <w:left w:val="nil"/>
              <w:bottom w:val="nil"/>
              <w:right w:val="nil"/>
            </w:tcBorders>
            <w:noWrap/>
            <w:vAlign w:val="bottom"/>
            <w:hideMark/>
          </w:tcPr>
          <w:p w14:paraId="4D25F60E" w14:textId="6B0C8902" w:rsidR="00AD43C2" w:rsidRPr="006D65BD" w:rsidRDefault="00AD43C2" w:rsidP="00AD43C2">
            <w:pPr>
              <w:jc w:val="right"/>
              <w:rPr>
                <w:rFonts w:eastAsia="Times New Roman" w:cstheme="minorHAnsi"/>
                <w:color w:val="000000"/>
                <w:sz w:val="20"/>
                <w:szCs w:val="20"/>
              </w:rPr>
            </w:pPr>
            <w:r w:rsidRPr="006D65BD">
              <w:rPr>
                <w:rFonts w:eastAsia="Times New Roman" w:cstheme="minorHAnsi"/>
                <w:color w:val="000000"/>
                <w:sz w:val="20"/>
                <w:szCs w:val="20"/>
              </w:rPr>
              <w:t xml:space="preserve"> $17 </w:t>
            </w:r>
          </w:p>
        </w:tc>
        <w:tc>
          <w:tcPr>
            <w:tcW w:w="723" w:type="dxa"/>
            <w:tcBorders>
              <w:top w:val="nil"/>
              <w:left w:val="nil"/>
              <w:bottom w:val="nil"/>
              <w:right w:val="nil"/>
            </w:tcBorders>
            <w:noWrap/>
            <w:vAlign w:val="bottom"/>
            <w:hideMark/>
          </w:tcPr>
          <w:p w14:paraId="445D677A" w14:textId="4E915830" w:rsidR="00AD43C2" w:rsidRPr="006D65BD" w:rsidRDefault="00AD43C2" w:rsidP="00AD43C2">
            <w:pPr>
              <w:jc w:val="right"/>
              <w:rPr>
                <w:rFonts w:eastAsia="Times New Roman" w:cstheme="minorHAnsi"/>
                <w:color w:val="000000"/>
                <w:sz w:val="20"/>
                <w:szCs w:val="20"/>
              </w:rPr>
            </w:pPr>
            <w:r w:rsidRPr="006D65BD">
              <w:rPr>
                <w:rFonts w:eastAsia="Times New Roman" w:cstheme="minorHAnsi"/>
                <w:color w:val="000000"/>
                <w:sz w:val="20"/>
                <w:szCs w:val="20"/>
              </w:rPr>
              <w:t xml:space="preserve"> $136 </w:t>
            </w:r>
          </w:p>
        </w:tc>
      </w:tr>
      <w:tr w:rsidR="00AD43C2" w:rsidRPr="004E6649" w14:paraId="49376DE2" w14:textId="77777777" w:rsidTr="00492085">
        <w:trPr>
          <w:trHeight w:val="80"/>
          <w:jc w:val="center"/>
        </w:trPr>
        <w:tc>
          <w:tcPr>
            <w:tcW w:w="1170" w:type="dxa"/>
            <w:tcBorders>
              <w:top w:val="nil"/>
              <w:left w:val="nil"/>
              <w:bottom w:val="nil"/>
              <w:right w:val="nil"/>
            </w:tcBorders>
            <w:noWrap/>
            <w:vAlign w:val="bottom"/>
            <w:hideMark/>
          </w:tcPr>
          <w:p w14:paraId="1275910C" w14:textId="04642BA0" w:rsidR="00AD43C2" w:rsidRPr="006D65BD" w:rsidRDefault="00AD43C2" w:rsidP="00AD43C2">
            <w:pPr>
              <w:rPr>
                <w:rFonts w:eastAsia="Times New Roman" w:cstheme="minorHAnsi"/>
                <w:color w:val="000000"/>
                <w:sz w:val="20"/>
                <w:szCs w:val="20"/>
              </w:rPr>
            </w:pPr>
            <w:r w:rsidRPr="006D65BD">
              <w:rPr>
                <w:rFonts w:eastAsia="Times New Roman" w:cstheme="minorHAnsi"/>
                <w:color w:val="000000"/>
                <w:sz w:val="20"/>
                <w:szCs w:val="20"/>
              </w:rPr>
              <w:t>FY22</w:t>
            </w:r>
          </w:p>
        </w:tc>
        <w:tc>
          <w:tcPr>
            <w:tcW w:w="2430" w:type="dxa"/>
            <w:tcBorders>
              <w:top w:val="nil"/>
              <w:left w:val="nil"/>
              <w:bottom w:val="nil"/>
              <w:right w:val="nil"/>
            </w:tcBorders>
            <w:noWrap/>
            <w:vAlign w:val="bottom"/>
            <w:hideMark/>
          </w:tcPr>
          <w:p w14:paraId="434A4543" w14:textId="428AF0A5" w:rsidR="00AD43C2" w:rsidRPr="006D65BD" w:rsidRDefault="00AD43C2" w:rsidP="00AD43C2">
            <w:pPr>
              <w:jc w:val="right"/>
              <w:rPr>
                <w:rFonts w:eastAsia="Times New Roman" w:cstheme="minorHAnsi"/>
                <w:color w:val="000000"/>
                <w:sz w:val="20"/>
                <w:szCs w:val="20"/>
              </w:rPr>
            </w:pPr>
            <w:r w:rsidRPr="006D65BD">
              <w:rPr>
                <w:rFonts w:eastAsia="Times New Roman" w:cstheme="minorHAnsi"/>
                <w:color w:val="000000"/>
                <w:sz w:val="20"/>
                <w:szCs w:val="20"/>
              </w:rPr>
              <w:t xml:space="preserve"> $140 </w:t>
            </w:r>
          </w:p>
        </w:tc>
        <w:tc>
          <w:tcPr>
            <w:tcW w:w="1344" w:type="dxa"/>
            <w:tcBorders>
              <w:top w:val="nil"/>
              <w:left w:val="nil"/>
              <w:bottom w:val="nil"/>
              <w:right w:val="nil"/>
            </w:tcBorders>
            <w:noWrap/>
            <w:vAlign w:val="bottom"/>
            <w:hideMark/>
          </w:tcPr>
          <w:p w14:paraId="134FF542" w14:textId="3F11772F" w:rsidR="00AD43C2" w:rsidRPr="006D65BD" w:rsidRDefault="00AD43C2" w:rsidP="00AD43C2">
            <w:pPr>
              <w:jc w:val="right"/>
              <w:rPr>
                <w:rFonts w:eastAsia="Times New Roman" w:cstheme="minorHAnsi"/>
                <w:color w:val="000000"/>
                <w:sz w:val="20"/>
                <w:szCs w:val="20"/>
              </w:rPr>
            </w:pPr>
            <w:r w:rsidRPr="006D65BD">
              <w:rPr>
                <w:rFonts w:eastAsia="Times New Roman" w:cstheme="minorHAnsi"/>
                <w:color w:val="000000"/>
                <w:sz w:val="20"/>
                <w:szCs w:val="20"/>
              </w:rPr>
              <w:t xml:space="preserve"> $23 </w:t>
            </w:r>
          </w:p>
        </w:tc>
        <w:tc>
          <w:tcPr>
            <w:tcW w:w="723" w:type="dxa"/>
            <w:tcBorders>
              <w:top w:val="nil"/>
              <w:left w:val="nil"/>
              <w:bottom w:val="nil"/>
              <w:right w:val="nil"/>
            </w:tcBorders>
            <w:noWrap/>
            <w:vAlign w:val="bottom"/>
            <w:hideMark/>
          </w:tcPr>
          <w:p w14:paraId="7D809740" w14:textId="62310410" w:rsidR="00AD43C2" w:rsidRPr="006D65BD" w:rsidRDefault="00AD43C2" w:rsidP="00AD43C2">
            <w:pPr>
              <w:jc w:val="right"/>
              <w:rPr>
                <w:rFonts w:eastAsia="Times New Roman" w:cstheme="minorHAnsi"/>
                <w:color w:val="000000"/>
                <w:sz w:val="20"/>
                <w:szCs w:val="20"/>
              </w:rPr>
            </w:pPr>
            <w:r w:rsidRPr="006D65BD">
              <w:rPr>
                <w:rFonts w:eastAsia="Times New Roman" w:cstheme="minorHAnsi"/>
                <w:color w:val="000000"/>
                <w:sz w:val="20"/>
                <w:szCs w:val="20"/>
              </w:rPr>
              <w:t xml:space="preserve"> $163 </w:t>
            </w:r>
          </w:p>
        </w:tc>
      </w:tr>
      <w:tr w:rsidR="00AD43C2" w:rsidRPr="004E6649" w14:paraId="4606ABC6" w14:textId="77777777" w:rsidTr="00492085">
        <w:trPr>
          <w:trHeight w:val="80"/>
          <w:jc w:val="center"/>
        </w:trPr>
        <w:tc>
          <w:tcPr>
            <w:tcW w:w="1170" w:type="dxa"/>
            <w:tcBorders>
              <w:top w:val="nil"/>
              <w:left w:val="nil"/>
              <w:bottom w:val="nil"/>
              <w:right w:val="nil"/>
            </w:tcBorders>
            <w:noWrap/>
            <w:vAlign w:val="bottom"/>
            <w:hideMark/>
          </w:tcPr>
          <w:p w14:paraId="6E7F45D9" w14:textId="5700D440" w:rsidR="00AD43C2" w:rsidRPr="006D65BD" w:rsidRDefault="00AD43C2" w:rsidP="00AD43C2">
            <w:pPr>
              <w:rPr>
                <w:rFonts w:eastAsia="Times New Roman" w:cstheme="minorHAnsi"/>
                <w:color w:val="000000"/>
                <w:sz w:val="20"/>
                <w:szCs w:val="20"/>
              </w:rPr>
            </w:pPr>
            <w:r w:rsidRPr="006D65BD">
              <w:rPr>
                <w:rFonts w:eastAsia="Times New Roman" w:cstheme="minorHAnsi"/>
                <w:color w:val="000000"/>
                <w:sz w:val="20"/>
                <w:szCs w:val="20"/>
              </w:rPr>
              <w:t>FY23</w:t>
            </w:r>
          </w:p>
        </w:tc>
        <w:tc>
          <w:tcPr>
            <w:tcW w:w="2430" w:type="dxa"/>
            <w:tcBorders>
              <w:top w:val="nil"/>
              <w:left w:val="nil"/>
              <w:bottom w:val="nil"/>
              <w:right w:val="nil"/>
            </w:tcBorders>
            <w:noWrap/>
            <w:vAlign w:val="bottom"/>
            <w:hideMark/>
          </w:tcPr>
          <w:p w14:paraId="23A7925D" w14:textId="7763B8D2" w:rsidR="00AD43C2" w:rsidRPr="006D65BD" w:rsidRDefault="00AD43C2" w:rsidP="00AD43C2">
            <w:pPr>
              <w:jc w:val="right"/>
              <w:rPr>
                <w:rFonts w:eastAsia="Times New Roman" w:cstheme="minorHAnsi"/>
                <w:color w:val="000000"/>
                <w:sz w:val="20"/>
                <w:szCs w:val="20"/>
              </w:rPr>
            </w:pPr>
            <w:r w:rsidRPr="006D65BD">
              <w:rPr>
                <w:rFonts w:eastAsia="Times New Roman" w:cstheme="minorHAnsi"/>
                <w:color w:val="000000"/>
                <w:sz w:val="20"/>
                <w:szCs w:val="20"/>
              </w:rPr>
              <w:t xml:space="preserve"> $143 </w:t>
            </w:r>
          </w:p>
        </w:tc>
        <w:tc>
          <w:tcPr>
            <w:tcW w:w="1344" w:type="dxa"/>
            <w:tcBorders>
              <w:top w:val="nil"/>
              <w:left w:val="nil"/>
              <w:bottom w:val="nil"/>
              <w:right w:val="nil"/>
            </w:tcBorders>
            <w:noWrap/>
            <w:vAlign w:val="bottom"/>
            <w:hideMark/>
          </w:tcPr>
          <w:p w14:paraId="6EA6CF6D" w14:textId="6051C6AC" w:rsidR="00AD43C2" w:rsidRPr="006D65BD" w:rsidRDefault="00AD43C2" w:rsidP="00AD43C2">
            <w:pPr>
              <w:jc w:val="right"/>
              <w:rPr>
                <w:rFonts w:eastAsia="Times New Roman" w:cstheme="minorHAnsi"/>
                <w:color w:val="000000"/>
                <w:sz w:val="20"/>
                <w:szCs w:val="20"/>
              </w:rPr>
            </w:pPr>
            <w:r w:rsidRPr="006D65BD">
              <w:rPr>
                <w:rFonts w:eastAsia="Times New Roman" w:cstheme="minorHAnsi"/>
                <w:color w:val="000000"/>
                <w:sz w:val="20"/>
                <w:szCs w:val="20"/>
              </w:rPr>
              <w:t xml:space="preserve"> $25 </w:t>
            </w:r>
          </w:p>
        </w:tc>
        <w:tc>
          <w:tcPr>
            <w:tcW w:w="723" w:type="dxa"/>
            <w:tcBorders>
              <w:top w:val="nil"/>
              <w:left w:val="nil"/>
              <w:bottom w:val="nil"/>
              <w:right w:val="nil"/>
            </w:tcBorders>
            <w:noWrap/>
            <w:vAlign w:val="bottom"/>
            <w:hideMark/>
          </w:tcPr>
          <w:p w14:paraId="10707A0B" w14:textId="251A16B6" w:rsidR="00AD43C2" w:rsidRPr="006D65BD" w:rsidRDefault="00AD43C2" w:rsidP="00AD43C2">
            <w:pPr>
              <w:jc w:val="right"/>
              <w:rPr>
                <w:rFonts w:eastAsia="Times New Roman" w:cstheme="minorHAnsi"/>
                <w:color w:val="000000"/>
                <w:sz w:val="20"/>
                <w:szCs w:val="20"/>
              </w:rPr>
            </w:pPr>
            <w:r w:rsidRPr="006D65BD">
              <w:rPr>
                <w:rFonts w:eastAsia="Times New Roman" w:cstheme="minorHAnsi"/>
                <w:color w:val="000000"/>
                <w:sz w:val="20"/>
                <w:szCs w:val="20"/>
              </w:rPr>
              <w:t xml:space="preserve"> $168 </w:t>
            </w:r>
          </w:p>
        </w:tc>
      </w:tr>
      <w:tr w:rsidR="00AD43C2" w:rsidRPr="004E6649" w14:paraId="7E4C9BB9" w14:textId="77777777" w:rsidTr="00492085">
        <w:trPr>
          <w:trHeight w:val="80"/>
          <w:jc w:val="center"/>
        </w:trPr>
        <w:tc>
          <w:tcPr>
            <w:tcW w:w="1170" w:type="dxa"/>
            <w:tcBorders>
              <w:top w:val="nil"/>
              <w:left w:val="nil"/>
              <w:bottom w:val="nil"/>
              <w:right w:val="nil"/>
            </w:tcBorders>
            <w:noWrap/>
            <w:vAlign w:val="bottom"/>
            <w:hideMark/>
          </w:tcPr>
          <w:p w14:paraId="08F8921E" w14:textId="5178FF3D" w:rsidR="00AD43C2" w:rsidRPr="006D65BD" w:rsidRDefault="00AD43C2" w:rsidP="00AD43C2">
            <w:pPr>
              <w:rPr>
                <w:rFonts w:eastAsia="Times New Roman" w:cstheme="minorHAnsi"/>
                <w:color w:val="000000"/>
                <w:sz w:val="20"/>
                <w:szCs w:val="20"/>
              </w:rPr>
            </w:pPr>
            <w:r w:rsidRPr="006D65BD">
              <w:rPr>
                <w:rFonts w:eastAsia="Times New Roman" w:cstheme="minorHAnsi"/>
                <w:color w:val="000000"/>
                <w:sz w:val="20"/>
                <w:szCs w:val="20"/>
              </w:rPr>
              <w:t>FY24</w:t>
            </w:r>
          </w:p>
        </w:tc>
        <w:tc>
          <w:tcPr>
            <w:tcW w:w="2430" w:type="dxa"/>
            <w:tcBorders>
              <w:top w:val="nil"/>
              <w:left w:val="nil"/>
              <w:bottom w:val="nil"/>
              <w:right w:val="nil"/>
            </w:tcBorders>
            <w:noWrap/>
            <w:vAlign w:val="bottom"/>
            <w:hideMark/>
          </w:tcPr>
          <w:p w14:paraId="430A2B71" w14:textId="59B5B02A" w:rsidR="00AD43C2" w:rsidRPr="006D65BD" w:rsidRDefault="00AD43C2" w:rsidP="00AD43C2">
            <w:pPr>
              <w:jc w:val="right"/>
              <w:rPr>
                <w:rFonts w:eastAsia="Times New Roman" w:cstheme="minorHAnsi"/>
                <w:color w:val="000000"/>
                <w:sz w:val="20"/>
                <w:szCs w:val="20"/>
              </w:rPr>
            </w:pPr>
            <w:r w:rsidRPr="006D65BD">
              <w:rPr>
                <w:rFonts w:eastAsia="Times New Roman" w:cstheme="minorHAnsi"/>
                <w:color w:val="000000"/>
                <w:sz w:val="20"/>
                <w:szCs w:val="20"/>
              </w:rPr>
              <w:t>$16</w:t>
            </w:r>
            <w:r>
              <w:rPr>
                <w:rFonts w:eastAsia="Times New Roman" w:cstheme="minorHAnsi"/>
                <w:color w:val="000000"/>
                <w:sz w:val="20"/>
                <w:szCs w:val="20"/>
              </w:rPr>
              <w:t>8</w:t>
            </w:r>
          </w:p>
        </w:tc>
        <w:tc>
          <w:tcPr>
            <w:tcW w:w="1344" w:type="dxa"/>
            <w:tcBorders>
              <w:top w:val="nil"/>
              <w:left w:val="nil"/>
              <w:bottom w:val="nil"/>
              <w:right w:val="nil"/>
            </w:tcBorders>
            <w:noWrap/>
            <w:vAlign w:val="bottom"/>
            <w:hideMark/>
          </w:tcPr>
          <w:p w14:paraId="78315DC5" w14:textId="413EF11C" w:rsidR="00AD43C2" w:rsidRPr="006D65BD" w:rsidRDefault="00AD43C2" w:rsidP="00AD43C2">
            <w:pPr>
              <w:jc w:val="right"/>
              <w:rPr>
                <w:rFonts w:eastAsia="Times New Roman" w:cstheme="minorHAnsi"/>
                <w:color w:val="000000"/>
                <w:sz w:val="20"/>
                <w:szCs w:val="20"/>
              </w:rPr>
            </w:pPr>
            <w:r w:rsidRPr="006D65BD">
              <w:rPr>
                <w:rFonts w:eastAsia="Times New Roman" w:cstheme="minorHAnsi"/>
                <w:sz w:val="20"/>
                <w:szCs w:val="20"/>
              </w:rPr>
              <w:t>$28</w:t>
            </w:r>
          </w:p>
        </w:tc>
        <w:tc>
          <w:tcPr>
            <w:tcW w:w="723" w:type="dxa"/>
            <w:tcBorders>
              <w:top w:val="nil"/>
              <w:left w:val="nil"/>
              <w:bottom w:val="nil"/>
              <w:right w:val="nil"/>
            </w:tcBorders>
            <w:noWrap/>
            <w:vAlign w:val="bottom"/>
            <w:hideMark/>
          </w:tcPr>
          <w:p w14:paraId="18E758F6" w14:textId="128C4C7E" w:rsidR="00AD43C2" w:rsidRPr="006D65BD" w:rsidRDefault="00AD43C2" w:rsidP="00AD43C2">
            <w:pPr>
              <w:jc w:val="right"/>
              <w:rPr>
                <w:rFonts w:eastAsia="Times New Roman" w:cstheme="minorHAnsi"/>
                <w:color w:val="000000"/>
                <w:sz w:val="20"/>
                <w:szCs w:val="20"/>
              </w:rPr>
            </w:pPr>
            <w:r w:rsidRPr="006D65BD">
              <w:rPr>
                <w:rFonts w:eastAsia="Times New Roman" w:cstheme="minorHAnsi"/>
                <w:color w:val="000000"/>
                <w:sz w:val="20"/>
                <w:szCs w:val="20"/>
              </w:rPr>
              <w:t xml:space="preserve"> $19</w:t>
            </w:r>
            <w:r>
              <w:rPr>
                <w:rFonts w:eastAsia="Times New Roman" w:cstheme="minorHAnsi"/>
                <w:color w:val="000000"/>
                <w:sz w:val="20"/>
                <w:szCs w:val="20"/>
              </w:rPr>
              <w:t>6</w:t>
            </w:r>
            <w:r w:rsidRPr="006D65BD">
              <w:rPr>
                <w:rFonts w:eastAsia="Times New Roman" w:cstheme="minorHAnsi"/>
                <w:color w:val="000000"/>
                <w:sz w:val="20"/>
                <w:szCs w:val="20"/>
              </w:rPr>
              <w:t xml:space="preserve"> </w:t>
            </w:r>
          </w:p>
        </w:tc>
      </w:tr>
      <w:tr w:rsidR="00212625" w:rsidRPr="004E6649" w14:paraId="24C7C1CE" w14:textId="77777777" w:rsidTr="00492085">
        <w:trPr>
          <w:trHeight w:val="80"/>
          <w:jc w:val="center"/>
        </w:trPr>
        <w:tc>
          <w:tcPr>
            <w:tcW w:w="1170" w:type="dxa"/>
            <w:tcBorders>
              <w:top w:val="nil"/>
              <w:left w:val="nil"/>
              <w:bottom w:val="single" w:sz="4" w:space="0" w:color="000000"/>
              <w:right w:val="nil"/>
            </w:tcBorders>
            <w:noWrap/>
            <w:vAlign w:val="bottom"/>
            <w:hideMark/>
          </w:tcPr>
          <w:p w14:paraId="5BFEF78D" w14:textId="7B58D337" w:rsidR="00212625" w:rsidRPr="006D65BD" w:rsidRDefault="00AD43C2" w:rsidP="00212625">
            <w:pPr>
              <w:rPr>
                <w:rFonts w:eastAsia="Times New Roman" w:cstheme="minorHAnsi"/>
                <w:color w:val="000000"/>
                <w:sz w:val="20"/>
                <w:szCs w:val="20"/>
              </w:rPr>
            </w:pPr>
            <w:r w:rsidRPr="006D65BD">
              <w:rPr>
                <w:rFonts w:eastAsia="Times New Roman" w:cstheme="minorHAnsi"/>
                <w:color w:val="000000"/>
                <w:sz w:val="20"/>
                <w:szCs w:val="20"/>
              </w:rPr>
              <w:t>FY2</w:t>
            </w:r>
            <w:r>
              <w:rPr>
                <w:rFonts w:eastAsia="Times New Roman" w:cstheme="minorHAnsi"/>
                <w:color w:val="000000"/>
                <w:sz w:val="20"/>
                <w:szCs w:val="20"/>
              </w:rPr>
              <w:t>5</w:t>
            </w:r>
          </w:p>
        </w:tc>
        <w:tc>
          <w:tcPr>
            <w:tcW w:w="2430" w:type="dxa"/>
            <w:tcBorders>
              <w:top w:val="nil"/>
              <w:left w:val="nil"/>
              <w:bottom w:val="single" w:sz="4" w:space="0" w:color="000000"/>
              <w:right w:val="nil"/>
            </w:tcBorders>
            <w:noWrap/>
            <w:vAlign w:val="bottom"/>
            <w:hideMark/>
          </w:tcPr>
          <w:p w14:paraId="5F6BB310" w14:textId="04697709" w:rsidR="00212625" w:rsidRPr="006D65BD" w:rsidRDefault="00AD060F">
            <w:pPr>
              <w:jc w:val="right"/>
              <w:rPr>
                <w:rFonts w:eastAsia="Times New Roman" w:cstheme="minorHAnsi"/>
                <w:color w:val="000000"/>
                <w:sz w:val="20"/>
                <w:szCs w:val="20"/>
              </w:rPr>
            </w:pPr>
            <w:r w:rsidRPr="006D65BD">
              <w:rPr>
                <w:rFonts w:eastAsia="Times New Roman" w:cstheme="minorHAnsi"/>
                <w:color w:val="000000"/>
                <w:sz w:val="20"/>
                <w:szCs w:val="20"/>
              </w:rPr>
              <w:t>$</w:t>
            </w:r>
            <w:r w:rsidR="001842E0">
              <w:rPr>
                <w:rFonts w:eastAsia="Times New Roman" w:cstheme="minorHAnsi"/>
                <w:color w:val="000000"/>
                <w:sz w:val="20"/>
                <w:szCs w:val="20"/>
              </w:rPr>
              <w:t>183</w:t>
            </w:r>
          </w:p>
        </w:tc>
        <w:tc>
          <w:tcPr>
            <w:tcW w:w="1344" w:type="dxa"/>
            <w:tcBorders>
              <w:top w:val="nil"/>
              <w:left w:val="nil"/>
              <w:bottom w:val="single" w:sz="4" w:space="0" w:color="000000"/>
              <w:right w:val="nil"/>
            </w:tcBorders>
            <w:noWrap/>
            <w:vAlign w:val="bottom"/>
            <w:hideMark/>
          </w:tcPr>
          <w:p w14:paraId="41C15AA8" w14:textId="10F1A219" w:rsidR="00212625" w:rsidRPr="006D65BD" w:rsidRDefault="00AD060F" w:rsidP="00212625">
            <w:pPr>
              <w:jc w:val="right"/>
              <w:rPr>
                <w:rFonts w:eastAsia="Times New Roman" w:cstheme="minorHAnsi"/>
                <w:sz w:val="20"/>
                <w:szCs w:val="20"/>
              </w:rPr>
            </w:pPr>
            <w:r w:rsidRPr="006D65BD">
              <w:rPr>
                <w:rFonts w:eastAsia="Times New Roman" w:cstheme="minorHAnsi"/>
                <w:sz w:val="20"/>
                <w:szCs w:val="20"/>
              </w:rPr>
              <w:t>$</w:t>
            </w:r>
            <w:r w:rsidR="00A371A2">
              <w:rPr>
                <w:rFonts w:eastAsia="Times New Roman" w:cstheme="minorHAnsi"/>
                <w:sz w:val="20"/>
                <w:szCs w:val="20"/>
              </w:rPr>
              <w:t>33</w:t>
            </w:r>
          </w:p>
        </w:tc>
        <w:tc>
          <w:tcPr>
            <w:tcW w:w="723" w:type="dxa"/>
            <w:tcBorders>
              <w:top w:val="nil"/>
              <w:left w:val="nil"/>
              <w:bottom w:val="single" w:sz="4" w:space="0" w:color="000000"/>
              <w:right w:val="nil"/>
            </w:tcBorders>
            <w:noWrap/>
            <w:vAlign w:val="bottom"/>
            <w:hideMark/>
          </w:tcPr>
          <w:p w14:paraId="31BFC3D0" w14:textId="2664BBEF" w:rsidR="00212625" w:rsidRPr="006D65BD" w:rsidRDefault="00212625" w:rsidP="009E2515">
            <w:pPr>
              <w:jc w:val="right"/>
              <w:rPr>
                <w:rFonts w:eastAsia="Times New Roman" w:cstheme="minorHAnsi"/>
                <w:color w:val="000000"/>
                <w:sz w:val="20"/>
                <w:szCs w:val="20"/>
              </w:rPr>
            </w:pPr>
            <w:r w:rsidRPr="006D65BD">
              <w:rPr>
                <w:rFonts w:eastAsia="Times New Roman" w:cstheme="minorHAnsi"/>
                <w:color w:val="000000"/>
                <w:sz w:val="20"/>
                <w:szCs w:val="20"/>
              </w:rPr>
              <w:t xml:space="preserve"> $ </w:t>
            </w:r>
            <w:r w:rsidR="00A371A2">
              <w:rPr>
                <w:rFonts w:eastAsia="Times New Roman" w:cstheme="minorHAnsi"/>
                <w:color w:val="000000"/>
                <w:sz w:val="20"/>
                <w:szCs w:val="20"/>
              </w:rPr>
              <w:t>2</w:t>
            </w:r>
            <w:r w:rsidR="001842E0">
              <w:rPr>
                <w:rFonts w:eastAsia="Times New Roman" w:cstheme="minorHAnsi"/>
                <w:color w:val="000000"/>
                <w:sz w:val="20"/>
                <w:szCs w:val="20"/>
              </w:rPr>
              <w:t>16</w:t>
            </w:r>
          </w:p>
        </w:tc>
      </w:tr>
    </w:tbl>
    <w:p w14:paraId="2DDA18D0" w14:textId="12BAC7A2" w:rsidR="00A83362" w:rsidRPr="006D65BD" w:rsidRDefault="00A83362" w:rsidP="00212625">
      <w:pPr>
        <w:tabs>
          <w:tab w:val="left" w:pos="540"/>
          <w:tab w:val="left" w:pos="8280"/>
        </w:tabs>
        <w:jc w:val="center"/>
        <w:rPr>
          <w:rFonts w:eastAsia="Times New Roman" w:cstheme="minorHAnsi"/>
          <w:sz w:val="20"/>
          <w:szCs w:val="18"/>
        </w:rPr>
      </w:pPr>
    </w:p>
    <w:p w14:paraId="22F69F22" w14:textId="6840CB0C" w:rsidR="00A83362" w:rsidRPr="00946ADE" w:rsidRDefault="00A83362" w:rsidP="00A83362">
      <w:pPr>
        <w:tabs>
          <w:tab w:val="left" w:pos="540"/>
        </w:tabs>
        <w:rPr>
          <w:rFonts w:eastAsia="Times New Roman" w:cstheme="minorHAnsi"/>
          <w:color w:val="000000" w:themeColor="text1"/>
          <w:sz w:val="24"/>
        </w:rPr>
      </w:pPr>
      <w:r w:rsidRPr="004E6649">
        <w:rPr>
          <w:rFonts w:eastAsia="Times New Roman" w:cstheme="minorHAnsi"/>
          <w:sz w:val="24"/>
        </w:rPr>
        <w:t>Grants and contracts operating revenues totaled $</w:t>
      </w:r>
      <w:r w:rsidR="001842E0">
        <w:rPr>
          <w:rFonts w:eastAsia="Times New Roman" w:cstheme="minorHAnsi"/>
          <w:sz w:val="24"/>
        </w:rPr>
        <w:t>183</w:t>
      </w:r>
      <w:r w:rsidR="00A371A2" w:rsidRPr="004E6649">
        <w:rPr>
          <w:rFonts w:eastAsia="Times New Roman" w:cstheme="minorHAnsi"/>
          <w:sz w:val="24"/>
        </w:rPr>
        <w:t xml:space="preserve"> </w:t>
      </w:r>
      <w:r w:rsidRPr="004E6649">
        <w:rPr>
          <w:rFonts w:eastAsia="Times New Roman" w:cstheme="minorHAnsi"/>
          <w:sz w:val="24"/>
        </w:rPr>
        <w:t>million in FY2</w:t>
      </w:r>
      <w:r w:rsidR="00283D56">
        <w:rPr>
          <w:rFonts w:eastAsia="Times New Roman" w:cstheme="minorHAnsi"/>
          <w:sz w:val="24"/>
        </w:rPr>
        <w:t>5</w:t>
      </w:r>
      <w:r w:rsidRPr="004E6649">
        <w:rPr>
          <w:rFonts w:eastAsia="Times New Roman" w:cstheme="minorHAnsi"/>
          <w:sz w:val="24"/>
        </w:rPr>
        <w:t xml:space="preserve">, </w:t>
      </w:r>
      <w:r w:rsidRPr="00A371A2">
        <w:rPr>
          <w:rFonts w:eastAsia="Times New Roman" w:cstheme="minorHAnsi"/>
          <w:sz w:val="24"/>
        </w:rPr>
        <w:t>increasing $</w:t>
      </w:r>
      <w:r w:rsidR="001842E0">
        <w:rPr>
          <w:rFonts w:eastAsia="Times New Roman" w:cstheme="minorHAnsi"/>
          <w:sz w:val="24"/>
        </w:rPr>
        <w:t>15</w:t>
      </w:r>
      <w:r w:rsidR="00A371A2" w:rsidRPr="00A371A2">
        <w:rPr>
          <w:rFonts w:eastAsia="Times New Roman" w:cstheme="minorHAnsi"/>
          <w:sz w:val="24"/>
        </w:rPr>
        <w:t xml:space="preserve"> </w:t>
      </w:r>
      <w:r w:rsidRPr="00A371A2">
        <w:rPr>
          <w:rFonts w:eastAsia="Times New Roman" w:cstheme="minorHAnsi"/>
          <w:sz w:val="24"/>
        </w:rPr>
        <w:t xml:space="preserve">million, or </w:t>
      </w:r>
      <w:r w:rsidR="001842E0">
        <w:rPr>
          <w:rFonts w:eastAsia="Times New Roman" w:cstheme="minorHAnsi"/>
          <w:sz w:val="24"/>
        </w:rPr>
        <w:t>9</w:t>
      </w:r>
      <w:r w:rsidRPr="00A371A2">
        <w:rPr>
          <w:rFonts w:eastAsia="Times New Roman" w:cstheme="minorHAnsi"/>
          <w:sz w:val="24"/>
        </w:rPr>
        <w:t>%,</w:t>
      </w:r>
      <w:r w:rsidRPr="004E6649">
        <w:rPr>
          <w:rFonts w:eastAsia="Times New Roman" w:cstheme="minorHAnsi"/>
          <w:sz w:val="24"/>
        </w:rPr>
        <w:t xml:space="preserve"> from </w:t>
      </w:r>
      <w:r w:rsidR="00283D56" w:rsidRPr="004E6649">
        <w:rPr>
          <w:rFonts w:eastAsia="Times New Roman" w:cstheme="minorHAnsi"/>
          <w:sz w:val="24"/>
        </w:rPr>
        <w:t>FY2</w:t>
      </w:r>
      <w:r w:rsidR="00283D56">
        <w:rPr>
          <w:rFonts w:eastAsia="Times New Roman" w:cstheme="minorHAnsi"/>
          <w:sz w:val="24"/>
        </w:rPr>
        <w:t>4</w:t>
      </w:r>
      <w:r w:rsidRPr="004E6649">
        <w:rPr>
          <w:rFonts w:eastAsia="Times New Roman" w:cstheme="minorHAnsi"/>
          <w:sz w:val="24"/>
        </w:rPr>
        <w:t xml:space="preserve">. </w:t>
      </w:r>
      <w:r w:rsidRPr="0058573B">
        <w:rPr>
          <w:rFonts w:eastAsia="Times New Roman" w:cstheme="minorHAnsi"/>
          <w:color w:val="000000" w:themeColor="text1"/>
          <w:sz w:val="24"/>
        </w:rPr>
        <w:t xml:space="preserve">This increase is the net change in funding from over 400 different sponsors. </w:t>
      </w:r>
      <w:r w:rsidR="00275EBB" w:rsidRPr="00275EBB">
        <w:rPr>
          <w:rFonts w:eastAsia="Times New Roman" w:cstheme="minorHAnsi"/>
          <w:color w:val="000000" w:themeColor="text1"/>
          <w:sz w:val="24"/>
        </w:rPr>
        <w:t>The largest increases came from the U.S. Department of Defense and the Maine Department of Health and Human Services, each rising by $4 million. In addition, revenues increased by $3 million from the U.S. Department of Agriculture and $2 million from the U.S. Department of Education.</w:t>
      </w:r>
    </w:p>
    <w:p w14:paraId="6A439E56" w14:textId="77777777" w:rsidR="00A83362" w:rsidRPr="004E6649" w:rsidRDefault="00A83362" w:rsidP="00A83362">
      <w:pPr>
        <w:tabs>
          <w:tab w:val="left" w:pos="540"/>
        </w:tabs>
        <w:rPr>
          <w:rFonts w:eastAsia="Times New Roman" w:cstheme="minorHAnsi"/>
          <w:sz w:val="20"/>
          <w:szCs w:val="20"/>
        </w:rPr>
      </w:pPr>
    </w:p>
    <w:p w14:paraId="3F1E31EB" w14:textId="4F847E22" w:rsidR="00A83362" w:rsidRPr="004E6649" w:rsidRDefault="00283D56" w:rsidP="00A83362">
      <w:pPr>
        <w:tabs>
          <w:tab w:val="left" w:pos="540"/>
        </w:tabs>
        <w:rPr>
          <w:rFonts w:eastAsia="Times New Roman" w:cstheme="minorHAnsi"/>
          <w:sz w:val="24"/>
        </w:rPr>
      </w:pPr>
      <w:r w:rsidRPr="004E6649">
        <w:rPr>
          <w:rFonts w:eastAsia="Times New Roman" w:cstheme="minorHAnsi"/>
          <w:sz w:val="24"/>
        </w:rPr>
        <w:t>FY2</w:t>
      </w:r>
      <w:r>
        <w:rPr>
          <w:rFonts w:eastAsia="Times New Roman" w:cstheme="minorHAnsi"/>
          <w:sz w:val="24"/>
        </w:rPr>
        <w:t>4</w:t>
      </w:r>
      <w:r w:rsidRPr="004E6649">
        <w:rPr>
          <w:rFonts w:eastAsia="Times New Roman" w:cstheme="minorHAnsi"/>
          <w:sz w:val="24"/>
        </w:rPr>
        <w:t xml:space="preserve"> </w:t>
      </w:r>
      <w:r w:rsidR="00A83362" w:rsidRPr="004E6649">
        <w:rPr>
          <w:rFonts w:eastAsia="Times New Roman" w:cstheme="minorHAnsi"/>
          <w:sz w:val="24"/>
        </w:rPr>
        <w:t xml:space="preserve">grants and contracts </w:t>
      </w:r>
      <w:r w:rsidR="00CD2DDD" w:rsidRPr="004E6649">
        <w:rPr>
          <w:rFonts w:eastAsia="Times New Roman" w:cstheme="minorHAnsi"/>
          <w:sz w:val="24"/>
        </w:rPr>
        <w:t xml:space="preserve">operating </w:t>
      </w:r>
      <w:r w:rsidR="00A83362" w:rsidRPr="004E6649">
        <w:rPr>
          <w:rFonts w:eastAsia="Times New Roman" w:cstheme="minorHAnsi"/>
          <w:sz w:val="24"/>
        </w:rPr>
        <w:t>revenues totaled $</w:t>
      </w:r>
      <w:r w:rsidRPr="004E6649">
        <w:rPr>
          <w:rFonts w:eastAsia="Times New Roman" w:cstheme="minorHAnsi"/>
          <w:sz w:val="24"/>
        </w:rPr>
        <w:t>1</w:t>
      </w:r>
      <w:r>
        <w:rPr>
          <w:rFonts w:eastAsia="Times New Roman" w:cstheme="minorHAnsi"/>
          <w:sz w:val="24"/>
        </w:rPr>
        <w:t>68</w:t>
      </w:r>
      <w:r w:rsidRPr="004E6649">
        <w:rPr>
          <w:rFonts w:eastAsia="Times New Roman" w:cstheme="minorHAnsi"/>
          <w:sz w:val="24"/>
        </w:rPr>
        <w:t xml:space="preserve"> </w:t>
      </w:r>
      <w:r w:rsidR="00A83362" w:rsidRPr="004E6649">
        <w:rPr>
          <w:rFonts w:eastAsia="Times New Roman" w:cstheme="minorHAnsi"/>
          <w:sz w:val="24"/>
        </w:rPr>
        <w:t>million, increasing $</w:t>
      </w:r>
      <w:r>
        <w:rPr>
          <w:rFonts w:eastAsia="Times New Roman" w:cstheme="minorHAnsi"/>
          <w:sz w:val="24"/>
        </w:rPr>
        <w:t>25</w:t>
      </w:r>
      <w:r w:rsidRPr="004E6649">
        <w:rPr>
          <w:rFonts w:eastAsia="Times New Roman" w:cstheme="minorHAnsi"/>
          <w:sz w:val="24"/>
        </w:rPr>
        <w:t xml:space="preserve"> </w:t>
      </w:r>
      <w:r w:rsidR="00A83362" w:rsidRPr="004E6649">
        <w:rPr>
          <w:rFonts w:eastAsia="Times New Roman" w:cstheme="minorHAnsi"/>
          <w:sz w:val="24"/>
        </w:rPr>
        <w:t xml:space="preserve">million, or </w:t>
      </w:r>
      <w:r>
        <w:rPr>
          <w:rFonts w:eastAsia="Times New Roman" w:cstheme="minorHAnsi"/>
          <w:sz w:val="24"/>
        </w:rPr>
        <w:t>17</w:t>
      </w:r>
      <w:r w:rsidR="00A83362" w:rsidRPr="004E6649">
        <w:rPr>
          <w:rFonts w:eastAsia="Times New Roman" w:cstheme="minorHAnsi"/>
          <w:sz w:val="24"/>
        </w:rPr>
        <w:t xml:space="preserve">%, from </w:t>
      </w:r>
      <w:r w:rsidRPr="004E6649">
        <w:rPr>
          <w:rFonts w:eastAsia="Times New Roman" w:cstheme="minorHAnsi"/>
          <w:sz w:val="24"/>
        </w:rPr>
        <w:t>FY2</w:t>
      </w:r>
      <w:r>
        <w:rPr>
          <w:rFonts w:eastAsia="Times New Roman" w:cstheme="minorHAnsi"/>
          <w:sz w:val="24"/>
        </w:rPr>
        <w:t>3</w:t>
      </w:r>
      <w:r w:rsidR="00A83362" w:rsidRPr="004E6649">
        <w:rPr>
          <w:rFonts w:eastAsia="Times New Roman" w:cstheme="minorHAnsi"/>
          <w:sz w:val="24"/>
        </w:rPr>
        <w:t>. This increase was the net change in funding from over 400 different sponsors. The largest sponsor increase was $</w:t>
      </w:r>
      <w:r>
        <w:rPr>
          <w:rFonts w:eastAsia="Times New Roman" w:cstheme="minorHAnsi"/>
          <w:sz w:val="24"/>
        </w:rPr>
        <w:t>10</w:t>
      </w:r>
      <w:r w:rsidRPr="004E6649">
        <w:rPr>
          <w:rFonts w:eastAsia="Times New Roman" w:cstheme="minorHAnsi"/>
          <w:sz w:val="24"/>
        </w:rPr>
        <w:t xml:space="preserve"> </w:t>
      </w:r>
      <w:r w:rsidR="00A83362" w:rsidRPr="004E6649">
        <w:rPr>
          <w:rFonts w:eastAsia="Times New Roman" w:cstheme="minorHAnsi"/>
          <w:sz w:val="24"/>
        </w:rPr>
        <w:t xml:space="preserve">million related to </w:t>
      </w:r>
      <w:r>
        <w:rPr>
          <w:rFonts w:eastAsia="Times New Roman" w:cstheme="minorHAnsi"/>
          <w:sz w:val="24"/>
        </w:rPr>
        <w:t xml:space="preserve">the ongoing, systemwide activity related to the Harold Alfond Foundation UMS Transforms grant. </w:t>
      </w:r>
      <w:r w:rsidRPr="003C277A">
        <w:rPr>
          <w:rFonts w:eastAsia="Times New Roman" w:cstheme="minorHAnsi"/>
          <w:color w:val="000000" w:themeColor="text1"/>
          <w:sz w:val="24"/>
        </w:rPr>
        <w:t xml:space="preserve">Additionally, grant revenue from the </w:t>
      </w:r>
      <w:r w:rsidR="00CD2DDD" w:rsidRPr="00275EBB">
        <w:rPr>
          <w:rFonts w:eastAsia="Times New Roman" w:cstheme="minorHAnsi"/>
          <w:color w:val="000000" w:themeColor="text1"/>
          <w:sz w:val="24"/>
        </w:rPr>
        <w:t>U.S. Department of Agriculture</w:t>
      </w:r>
      <w:r w:rsidR="00CD2DDD" w:rsidRPr="003C277A" w:rsidDel="00CD2DDD">
        <w:rPr>
          <w:rFonts w:eastAsia="Times New Roman" w:cstheme="minorHAnsi"/>
          <w:color w:val="000000" w:themeColor="text1"/>
          <w:sz w:val="24"/>
        </w:rPr>
        <w:t xml:space="preserve"> </w:t>
      </w:r>
      <w:r w:rsidRPr="003C277A">
        <w:rPr>
          <w:rFonts w:eastAsia="Times New Roman" w:cstheme="minorHAnsi"/>
          <w:color w:val="000000" w:themeColor="text1"/>
          <w:sz w:val="24"/>
        </w:rPr>
        <w:t>and U</w:t>
      </w:r>
      <w:r w:rsidR="00CD2DDD">
        <w:rPr>
          <w:rFonts w:eastAsia="Times New Roman" w:cstheme="minorHAnsi"/>
          <w:color w:val="000000" w:themeColor="text1"/>
          <w:sz w:val="24"/>
        </w:rPr>
        <w:t>.</w:t>
      </w:r>
      <w:r w:rsidRPr="003C277A">
        <w:rPr>
          <w:rFonts w:eastAsia="Times New Roman" w:cstheme="minorHAnsi"/>
          <w:color w:val="000000" w:themeColor="text1"/>
          <w:sz w:val="24"/>
        </w:rPr>
        <w:t>S</w:t>
      </w:r>
      <w:r w:rsidR="00CD2DDD">
        <w:rPr>
          <w:rFonts w:eastAsia="Times New Roman" w:cstheme="minorHAnsi"/>
          <w:color w:val="000000" w:themeColor="text1"/>
          <w:sz w:val="24"/>
        </w:rPr>
        <w:t>.</w:t>
      </w:r>
      <w:r w:rsidRPr="003C277A">
        <w:rPr>
          <w:rFonts w:eastAsia="Times New Roman" w:cstheme="minorHAnsi"/>
          <w:color w:val="000000" w:themeColor="text1"/>
          <w:sz w:val="24"/>
        </w:rPr>
        <w:t xml:space="preserve"> Department of Health and Human Services increased over $4 million</w:t>
      </w:r>
      <w:r w:rsidR="00CD2DDD">
        <w:rPr>
          <w:rFonts w:eastAsia="Times New Roman" w:cstheme="minorHAnsi"/>
          <w:color w:val="000000" w:themeColor="text1"/>
          <w:sz w:val="24"/>
        </w:rPr>
        <w:t xml:space="preserve"> each</w:t>
      </w:r>
      <w:r w:rsidRPr="003C277A">
        <w:rPr>
          <w:rFonts w:eastAsia="Times New Roman" w:cstheme="minorHAnsi"/>
          <w:color w:val="000000" w:themeColor="text1"/>
          <w:sz w:val="24"/>
        </w:rPr>
        <w:t>.</w:t>
      </w:r>
    </w:p>
    <w:p w14:paraId="046DD4B3" w14:textId="77777777" w:rsidR="00A83362" w:rsidRPr="004E6649" w:rsidRDefault="00A83362" w:rsidP="00A83362">
      <w:pPr>
        <w:tabs>
          <w:tab w:val="left" w:pos="540"/>
        </w:tabs>
        <w:rPr>
          <w:rFonts w:eastAsia="Times New Roman" w:cstheme="minorHAnsi"/>
          <w:sz w:val="20"/>
          <w:szCs w:val="20"/>
        </w:rPr>
      </w:pPr>
    </w:p>
    <w:p w14:paraId="13BC315E" w14:textId="17289234" w:rsidR="005F46CC" w:rsidRDefault="00A83362" w:rsidP="003C277A">
      <w:pPr>
        <w:tabs>
          <w:tab w:val="left" w:pos="540"/>
        </w:tabs>
        <w:spacing w:after="160"/>
        <w:rPr>
          <w:rFonts w:cstheme="minorHAnsi"/>
          <w:b/>
          <w:i/>
          <w:sz w:val="24"/>
          <w:szCs w:val="20"/>
          <w:u w:val="single" w:color="000000" w:themeColor="text1"/>
        </w:rPr>
      </w:pPr>
      <w:r w:rsidRPr="004E6649">
        <w:rPr>
          <w:rFonts w:eastAsia="Times New Roman" w:cstheme="minorHAnsi"/>
          <w:sz w:val="24"/>
        </w:rPr>
        <w:lastRenderedPageBreak/>
        <w:t>In addition to providing for direct costs, grants and contracts sponsors provide for recovery of Facilities and Administrative (F&amp;A) costs, which are also known as indirect costs. The amount of allowable F&amp;A costs is calculated for each grant and contract using the applicable negotiated rate subject to specific sponsor limitations and other proposal and award conditions. Recovery of indirect costs totaled $</w:t>
      </w:r>
      <w:r w:rsidR="00A371A2">
        <w:rPr>
          <w:rFonts w:eastAsia="Times New Roman" w:cstheme="minorHAnsi"/>
          <w:sz w:val="24"/>
        </w:rPr>
        <w:t>33</w:t>
      </w:r>
      <w:r w:rsidR="00A371A2" w:rsidRPr="004E6649">
        <w:rPr>
          <w:rFonts w:eastAsia="Times New Roman" w:cstheme="minorHAnsi"/>
          <w:sz w:val="24"/>
        </w:rPr>
        <w:t xml:space="preserve"> </w:t>
      </w:r>
      <w:r w:rsidRPr="004E6649">
        <w:rPr>
          <w:rFonts w:eastAsia="Times New Roman" w:cstheme="minorHAnsi"/>
          <w:sz w:val="24"/>
        </w:rPr>
        <w:t xml:space="preserve">million for </w:t>
      </w:r>
      <w:r w:rsidR="00283D56" w:rsidRPr="004E6649">
        <w:rPr>
          <w:rFonts w:eastAsia="Times New Roman" w:cstheme="minorHAnsi"/>
          <w:sz w:val="24"/>
        </w:rPr>
        <w:t>FY2</w:t>
      </w:r>
      <w:r w:rsidR="00283D56">
        <w:rPr>
          <w:rFonts w:eastAsia="Times New Roman" w:cstheme="minorHAnsi"/>
          <w:sz w:val="24"/>
        </w:rPr>
        <w:t>5</w:t>
      </w:r>
      <w:r w:rsidRPr="004E6649">
        <w:rPr>
          <w:rFonts w:eastAsia="Times New Roman" w:cstheme="minorHAnsi"/>
          <w:sz w:val="24"/>
        </w:rPr>
        <w:t>, increasing $</w:t>
      </w:r>
      <w:r w:rsidR="00A67247">
        <w:rPr>
          <w:rFonts w:eastAsia="Times New Roman" w:cstheme="minorHAnsi"/>
          <w:sz w:val="24"/>
        </w:rPr>
        <w:t>5</w:t>
      </w:r>
      <w:r w:rsidR="00A67247" w:rsidRPr="004E6649">
        <w:rPr>
          <w:rFonts w:eastAsia="Times New Roman" w:cstheme="minorHAnsi"/>
          <w:sz w:val="24"/>
        </w:rPr>
        <w:t xml:space="preserve"> </w:t>
      </w:r>
      <w:r w:rsidRPr="004E6649">
        <w:rPr>
          <w:rFonts w:eastAsia="Times New Roman" w:cstheme="minorHAnsi"/>
          <w:sz w:val="24"/>
        </w:rPr>
        <w:t xml:space="preserve">million from </w:t>
      </w:r>
      <w:r w:rsidR="00283D56" w:rsidRPr="004E6649">
        <w:rPr>
          <w:rFonts w:eastAsia="Times New Roman" w:cstheme="minorHAnsi"/>
          <w:sz w:val="24"/>
        </w:rPr>
        <w:t>FY2</w:t>
      </w:r>
      <w:r w:rsidR="00283D56">
        <w:rPr>
          <w:rFonts w:eastAsia="Times New Roman" w:cstheme="minorHAnsi"/>
          <w:sz w:val="24"/>
        </w:rPr>
        <w:t>4</w:t>
      </w:r>
      <w:r w:rsidRPr="004E6649">
        <w:rPr>
          <w:rFonts w:eastAsia="Times New Roman" w:cstheme="minorHAnsi"/>
          <w:sz w:val="24"/>
        </w:rPr>
        <w:t>. Recovery of indirect costs totaled $</w:t>
      </w:r>
      <w:r w:rsidR="00283D56" w:rsidRPr="004E6649">
        <w:rPr>
          <w:rFonts w:eastAsia="Times New Roman" w:cstheme="minorHAnsi"/>
          <w:sz w:val="24"/>
        </w:rPr>
        <w:t>2</w:t>
      </w:r>
      <w:r w:rsidR="00283D56">
        <w:rPr>
          <w:rFonts w:eastAsia="Times New Roman" w:cstheme="minorHAnsi"/>
          <w:sz w:val="24"/>
        </w:rPr>
        <w:t>8</w:t>
      </w:r>
      <w:r w:rsidR="00283D56" w:rsidRPr="004E6649">
        <w:rPr>
          <w:rFonts w:eastAsia="Times New Roman" w:cstheme="minorHAnsi"/>
          <w:sz w:val="24"/>
        </w:rPr>
        <w:t xml:space="preserve"> </w:t>
      </w:r>
      <w:r w:rsidRPr="004E6649">
        <w:rPr>
          <w:rFonts w:eastAsia="Times New Roman" w:cstheme="minorHAnsi"/>
          <w:sz w:val="24"/>
        </w:rPr>
        <w:t xml:space="preserve">million for </w:t>
      </w:r>
      <w:r w:rsidR="00283D56" w:rsidRPr="004E6649">
        <w:rPr>
          <w:rFonts w:eastAsia="Times New Roman" w:cstheme="minorHAnsi"/>
          <w:sz w:val="24"/>
        </w:rPr>
        <w:t>FY2</w:t>
      </w:r>
      <w:r w:rsidR="00283D56">
        <w:rPr>
          <w:rFonts w:eastAsia="Times New Roman" w:cstheme="minorHAnsi"/>
          <w:sz w:val="24"/>
        </w:rPr>
        <w:t>4</w:t>
      </w:r>
      <w:r w:rsidRPr="004E6649">
        <w:rPr>
          <w:rFonts w:eastAsia="Times New Roman" w:cstheme="minorHAnsi"/>
          <w:sz w:val="24"/>
        </w:rPr>
        <w:t>, which was an increase of $</w:t>
      </w:r>
      <w:r w:rsidR="00283D56">
        <w:rPr>
          <w:rFonts w:eastAsia="Times New Roman" w:cstheme="minorHAnsi"/>
          <w:sz w:val="24"/>
        </w:rPr>
        <w:t>3</w:t>
      </w:r>
      <w:r w:rsidR="00283D56" w:rsidRPr="004E6649">
        <w:rPr>
          <w:rFonts w:eastAsia="Times New Roman" w:cstheme="minorHAnsi"/>
          <w:sz w:val="24"/>
        </w:rPr>
        <w:t xml:space="preserve"> </w:t>
      </w:r>
      <w:r w:rsidRPr="004E6649">
        <w:rPr>
          <w:rFonts w:eastAsia="Times New Roman" w:cstheme="minorHAnsi"/>
          <w:sz w:val="24"/>
        </w:rPr>
        <w:t xml:space="preserve">million from </w:t>
      </w:r>
      <w:r w:rsidR="00283D56" w:rsidRPr="004E6649">
        <w:rPr>
          <w:rFonts w:eastAsia="Times New Roman" w:cstheme="minorHAnsi"/>
          <w:sz w:val="24"/>
        </w:rPr>
        <w:t>FY2</w:t>
      </w:r>
      <w:r w:rsidR="00283D56">
        <w:rPr>
          <w:rFonts w:eastAsia="Times New Roman" w:cstheme="minorHAnsi"/>
          <w:sz w:val="24"/>
        </w:rPr>
        <w:t>3</w:t>
      </w:r>
      <w:r w:rsidRPr="004E6649">
        <w:rPr>
          <w:rFonts w:eastAsia="Times New Roman" w:cstheme="minorHAnsi"/>
          <w:sz w:val="24"/>
        </w:rPr>
        <w:t>.</w:t>
      </w:r>
    </w:p>
    <w:p w14:paraId="4D92F8E7" w14:textId="23767D93" w:rsidR="00A83362" w:rsidRPr="004E6649" w:rsidRDefault="00A83362" w:rsidP="00A83362">
      <w:pPr>
        <w:pStyle w:val="AFR3"/>
        <w:rPr>
          <w:rFonts w:cstheme="minorHAnsi"/>
          <w:sz w:val="24"/>
          <w:szCs w:val="20"/>
        </w:rPr>
      </w:pPr>
      <w:r w:rsidRPr="004E6649">
        <w:rPr>
          <w:rFonts w:cstheme="minorHAnsi"/>
          <w:sz w:val="24"/>
          <w:szCs w:val="20"/>
        </w:rPr>
        <w:t>Noncapital State of Maine Appropriations</w:t>
      </w:r>
    </w:p>
    <w:p w14:paraId="1A639AED" w14:textId="1246A19F" w:rsidR="00A83362" w:rsidRPr="004E6649" w:rsidRDefault="00A83362" w:rsidP="00A83362">
      <w:pPr>
        <w:tabs>
          <w:tab w:val="left" w:pos="540"/>
        </w:tabs>
        <w:rPr>
          <w:rFonts w:eastAsia="Times New Roman" w:cstheme="minorHAnsi"/>
          <w:sz w:val="24"/>
        </w:rPr>
      </w:pPr>
      <w:r w:rsidRPr="004E6649">
        <w:rPr>
          <w:rFonts w:eastAsia="Times New Roman" w:cstheme="minorHAnsi"/>
          <w:sz w:val="24"/>
        </w:rPr>
        <w:t xml:space="preserve">State noncapital appropriation revenue includes amounts for general operations and amounts legislatively earmarked for research and development, financial aid, and various other areas. Although not considered operating revenue under GASB reporting requirements, </w:t>
      </w:r>
      <w:r w:rsidR="00372235">
        <w:rPr>
          <w:rFonts w:eastAsia="Times New Roman" w:cstheme="minorHAnsi"/>
          <w:sz w:val="24"/>
        </w:rPr>
        <w:t xml:space="preserve">in FY25 </w:t>
      </w:r>
      <w:r w:rsidRPr="004E6649">
        <w:rPr>
          <w:rFonts w:eastAsia="Times New Roman" w:cstheme="minorHAnsi"/>
          <w:sz w:val="24"/>
        </w:rPr>
        <w:t>the noncapital state appropriation was the largest funding source for educational and general operations</w:t>
      </w:r>
      <w:r w:rsidR="00372235">
        <w:rPr>
          <w:rFonts w:eastAsia="Times New Roman" w:cstheme="minorHAnsi"/>
          <w:sz w:val="24"/>
        </w:rPr>
        <w:t xml:space="preserve">, closely followed by </w:t>
      </w:r>
      <w:r w:rsidRPr="004E6649">
        <w:rPr>
          <w:rFonts w:eastAsia="Times New Roman" w:cstheme="minorHAnsi"/>
          <w:sz w:val="24"/>
        </w:rPr>
        <w:t>net student fees.</w:t>
      </w:r>
    </w:p>
    <w:p w14:paraId="7A3B23E0" w14:textId="77777777" w:rsidR="00A83362" w:rsidRPr="004E6649" w:rsidRDefault="00A83362" w:rsidP="00A83362">
      <w:pPr>
        <w:tabs>
          <w:tab w:val="left" w:pos="540"/>
        </w:tabs>
        <w:ind w:left="360"/>
        <w:rPr>
          <w:rFonts w:eastAsia="Times New Roman" w:cstheme="minorHAnsi"/>
          <w:sz w:val="20"/>
          <w:szCs w:val="20"/>
        </w:rPr>
      </w:pPr>
    </w:p>
    <w:p w14:paraId="49DC47E7" w14:textId="28039291" w:rsidR="00A83362" w:rsidRPr="004E6649" w:rsidRDefault="00A83362" w:rsidP="00A83362">
      <w:pPr>
        <w:tabs>
          <w:tab w:val="left" w:pos="540"/>
        </w:tabs>
        <w:rPr>
          <w:rFonts w:eastAsia="Times New Roman" w:cstheme="minorHAnsi"/>
          <w:sz w:val="24"/>
        </w:rPr>
      </w:pPr>
      <w:r w:rsidRPr="004E6649">
        <w:rPr>
          <w:rFonts w:eastAsia="Times New Roman" w:cstheme="minorHAnsi"/>
          <w:sz w:val="24"/>
        </w:rPr>
        <w:t xml:space="preserve">As shown in Chart </w:t>
      </w:r>
      <w:r w:rsidR="00387A2D" w:rsidRPr="004E6649">
        <w:rPr>
          <w:rFonts w:eastAsia="Times New Roman" w:cstheme="minorHAnsi"/>
          <w:sz w:val="24"/>
        </w:rPr>
        <w:t>9</w:t>
      </w:r>
      <w:r w:rsidRPr="004E6649">
        <w:rPr>
          <w:rFonts w:eastAsia="Times New Roman" w:cstheme="minorHAnsi"/>
          <w:sz w:val="24"/>
        </w:rPr>
        <w:t>, the System received $</w:t>
      </w:r>
      <w:r w:rsidR="00A371A2" w:rsidRPr="00A371A2">
        <w:rPr>
          <w:rFonts w:eastAsia="Times New Roman" w:cstheme="minorHAnsi"/>
          <w:sz w:val="24"/>
        </w:rPr>
        <w:t>270</w:t>
      </w:r>
      <w:r w:rsidR="00A371A2" w:rsidRPr="00A371A2">
        <w:rPr>
          <w:rFonts w:eastAsia="Times New Roman" w:cstheme="minorHAnsi"/>
          <w:color w:val="FF0000"/>
          <w:sz w:val="24"/>
        </w:rPr>
        <w:t xml:space="preserve"> </w:t>
      </w:r>
      <w:r w:rsidRPr="00A371A2">
        <w:rPr>
          <w:rFonts w:eastAsia="Times New Roman" w:cstheme="minorHAnsi"/>
          <w:sz w:val="24"/>
        </w:rPr>
        <w:t xml:space="preserve">million in noncapital state appropriation revenue during </w:t>
      </w:r>
      <w:r w:rsidR="00283D56" w:rsidRPr="00A371A2">
        <w:rPr>
          <w:rFonts w:eastAsia="Times New Roman" w:cstheme="minorHAnsi"/>
          <w:sz w:val="24"/>
        </w:rPr>
        <w:t>FY25</w:t>
      </w:r>
      <w:r w:rsidRPr="00A371A2">
        <w:rPr>
          <w:rFonts w:eastAsia="Times New Roman" w:cstheme="minorHAnsi"/>
          <w:sz w:val="24"/>
        </w:rPr>
        <w:t>, up $</w:t>
      </w:r>
      <w:r w:rsidR="00A371A2" w:rsidRPr="003C277A">
        <w:rPr>
          <w:rFonts w:eastAsia="Times New Roman" w:cstheme="minorHAnsi"/>
          <w:sz w:val="24"/>
        </w:rPr>
        <w:t>9</w:t>
      </w:r>
      <w:r w:rsidR="00A371A2" w:rsidRPr="00A371A2">
        <w:rPr>
          <w:rFonts w:eastAsia="Times New Roman" w:cstheme="minorHAnsi"/>
          <w:sz w:val="24"/>
        </w:rPr>
        <w:t xml:space="preserve"> </w:t>
      </w:r>
      <w:r w:rsidRPr="00A371A2">
        <w:rPr>
          <w:rFonts w:eastAsia="Times New Roman" w:cstheme="minorHAnsi"/>
          <w:sz w:val="24"/>
        </w:rPr>
        <w:t xml:space="preserve">million, or </w:t>
      </w:r>
      <w:r w:rsidR="00372235">
        <w:rPr>
          <w:rFonts w:eastAsia="Times New Roman" w:cstheme="minorHAnsi"/>
          <w:sz w:val="24"/>
        </w:rPr>
        <w:t>3</w:t>
      </w:r>
      <w:r w:rsidRPr="00A371A2">
        <w:rPr>
          <w:rFonts w:eastAsia="Times New Roman" w:cstheme="minorHAnsi"/>
          <w:sz w:val="24"/>
        </w:rPr>
        <w:t>%</w:t>
      </w:r>
      <w:r w:rsidRPr="004E6649">
        <w:rPr>
          <w:rFonts w:eastAsia="Times New Roman" w:cstheme="minorHAnsi"/>
          <w:sz w:val="24"/>
        </w:rPr>
        <w:t xml:space="preserve"> from </w:t>
      </w:r>
      <w:r w:rsidR="00283D56" w:rsidRPr="004E6649">
        <w:rPr>
          <w:rFonts w:eastAsia="Times New Roman" w:cstheme="minorHAnsi"/>
          <w:sz w:val="24"/>
        </w:rPr>
        <w:t>FY2</w:t>
      </w:r>
      <w:r w:rsidR="00283D56">
        <w:rPr>
          <w:rFonts w:eastAsia="Times New Roman" w:cstheme="minorHAnsi"/>
          <w:sz w:val="24"/>
        </w:rPr>
        <w:t>4</w:t>
      </w:r>
      <w:r w:rsidRPr="004E6649">
        <w:rPr>
          <w:rFonts w:eastAsia="Times New Roman" w:cstheme="minorHAnsi"/>
          <w:sz w:val="24"/>
        </w:rPr>
        <w:t>. The System received $</w:t>
      </w:r>
      <w:r w:rsidR="00283D56" w:rsidRPr="004E6649">
        <w:rPr>
          <w:rFonts w:eastAsia="Times New Roman" w:cstheme="minorHAnsi"/>
          <w:sz w:val="24"/>
        </w:rPr>
        <w:t>2</w:t>
      </w:r>
      <w:r w:rsidR="00283D56">
        <w:rPr>
          <w:rFonts w:eastAsia="Times New Roman" w:cstheme="minorHAnsi"/>
          <w:sz w:val="24"/>
        </w:rPr>
        <w:t>61</w:t>
      </w:r>
      <w:r w:rsidR="00283D56" w:rsidRPr="004E6649">
        <w:rPr>
          <w:rFonts w:eastAsia="Times New Roman" w:cstheme="minorHAnsi"/>
          <w:sz w:val="24"/>
        </w:rPr>
        <w:t xml:space="preserve"> </w:t>
      </w:r>
      <w:r w:rsidRPr="004E6649">
        <w:rPr>
          <w:rFonts w:eastAsia="Times New Roman" w:cstheme="minorHAnsi"/>
          <w:sz w:val="24"/>
        </w:rPr>
        <w:t xml:space="preserve">million in noncapital state appropriation revenue during </w:t>
      </w:r>
      <w:r w:rsidR="00283D56" w:rsidRPr="004E6649">
        <w:rPr>
          <w:rFonts w:eastAsia="Times New Roman" w:cstheme="minorHAnsi"/>
          <w:sz w:val="24"/>
        </w:rPr>
        <w:t>FY2</w:t>
      </w:r>
      <w:r w:rsidR="00283D56">
        <w:rPr>
          <w:rFonts w:eastAsia="Times New Roman" w:cstheme="minorHAnsi"/>
          <w:sz w:val="24"/>
        </w:rPr>
        <w:t>4</w:t>
      </w:r>
      <w:r w:rsidRPr="004E6649">
        <w:rPr>
          <w:rFonts w:eastAsia="Times New Roman" w:cstheme="minorHAnsi"/>
          <w:sz w:val="24"/>
        </w:rPr>
        <w:t>, up $</w:t>
      </w:r>
      <w:r w:rsidR="00283D56" w:rsidRPr="004E6649">
        <w:rPr>
          <w:rFonts w:eastAsia="Times New Roman" w:cstheme="minorHAnsi"/>
          <w:sz w:val="24"/>
        </w:rPr>
        <w:t>1</w:t>
      </w:r>
      <w:r w:rsidR="00283D56">
        <w:rPr>
          <w:rFonts w:eastAsia="Times New Roman" w:cstheme="minorHAnsi"/>
          <w:sz w:val="24"/>
        </w:rPr>
        <w:t>3</w:t>
      </w:r>
      <w:r w:rsidR="00283D56" w:rsidRPr="004E6649">
        <w:rPr>
          <w:rFonts w:eastAsia="Times New Roman" w:cstheme="minorHAnsi"/>
          <w:sz w:val="24"/>
        </w:rPr>
        <w:t xml:space="preserve"> </w:t>
      </w:r>
      <w:r w:rsidRPr="004E6649">
        <w:rPr>
          <w:rFonts w:eastAsia="Times New Roman" w:cstheme="minorHAnsi"/>
          <w:sz w:val="24"/>
        </w:rPr>
        <w:t xml:space="preserve">million, or </w:t>
      </w:r>
      <w:r w:rsidR="00283D56">
        <w:rPr>
          <w:rFonts w:eastAsia="Times New Roman" w:cstheme="minorHAnsi"/>
          <w:sz w:val="24"/>
        </w:rPr>
        <w:t>5</w:t>
      </w:r>
      <w:r w:rsidRPr="004E6649">
        <w:rPr>
          <w:rFonts w:eastAsia="Times New Roman" w:cstheme="minorHAnsi"/>
          <w:sz w:val="24"/>
        </w:rPr>
        <w:t>%, from FY2</w:t>
      </w:r>
      <w:r w:rsidR="00283D56">
        <w:rPr>
          <w:rFonts w:eastAsia="Times New Roman" w:cstheme="minorHAnsi"/>
          <w:sz w:val="24"/>
        </w:rPr>
        <w:t>3</w:t>
      </w:r>
      <w:r w:rsidRPr="004E6649">
        <w:rPr>
          <w:rFonts w:eastAsia="Times New Roman" w:cstheme="minorHAnsi"/>
          <w:sz w:val="24"/>
        </w:rPr>
        <w:t>.</w:t>
      </w:r>
    </w:p>
    <w:p w14:paraId="22BF48C1" w14:textId="77777777" w:rsidR="00A83362" w:rsidRPr="004E6649" w:rsidRDefault="00A83362" w:rsidP="00A83362">
      <w:pPr>
        <w:tabs>
          <w:tab w:val="left" w:pos="540"/>
        </w:tabs>
        <w:ind w:left="360"/>
        <w:rPr>
          <w:rFonts w:eastAsia="Times New Roman" w:cstheme="minorHAnsi"/>
          <w:sz w:val="20"/>
          <w:szCs w:val="20"/>
        </w:rPr>
      </w:pPr>
    </w:p>
    <w:p w14:paraId="1F56D3CE" w14:textId="18C3BC9C" w:rsidR="00A83362" w:rsidRPr="004E6649" w:rsidRDefault="00A83362" w:rsidP="00143B66">
      <w:pPr>
        <w:tabs>
          <w:tab w:val="left" w:pos="540"/>
        </w:tabs>
        <w:spacing w:after="240"/>
        <w:rPr>
          <w:rFonts w:eastAsia="Times New Roman" w:cstheme="minorHAnsi"/>
          <w:sz w:val="24"/>
        </w:rPr>
      </w:pPr>
      <w:r w:rsidRPr="004E6649">
        <w:rPr>
          <w:rFonts w:eastAsia="Times New Roman" w:cstheme="minorHAnsi"/>
          <w:sz w:val="24"/>
        </w:rPr>
        <w:t>At $</w:t>
      </w:r>
      <w:r w:rsidR="00A371A2" w:rsidRPr="00A371A2">
        <w:rPr>
          <w:rFonts w:eastAsia="Times New Roman" w:cstheme="minorHAnsi"/>
          <w:sz w:val="24"/>
        </w:rPr>
        <w:t>2</w:t>
      </w:r>
      <w:r w:rsidR="00A371A2">
        <w:rPr>
          <w:rFonts w:eastAsia="Times New Roman" w:cstheme="minorHAnsi"/>
          <w:sz w:val="24"/>
        </w:rPr>
        <w:t>70</w:t>
      </w:r>
      <w:r w:rsidR="00A371A2" w:rsidRPr="004E6649">
        <w:rPr>
          <w:rFonts w:eastAsia="Times New Roman" w:cstheme="minorHAnsi"/>
          <w:sz w:val="24"/>
        </w:rPr>
        <w:t xml:space="preserve"> </w:t>
      </w:r>
      <w:r w:rsidRPr="004E6649">
        <w:rPr>
          <w:rFonts w:eastAsia="Times New Roman" w:cstheme="minorHAnsi"/>
          <w:sz w:val="24"/>
        </w:rPr>
        <w:t xml:space="preserve">million, noncapital state appropriation revenue covered </w:t>
      </w:r>
      <w:r w:rsidR="004471FD">
        <w:rPr>
          <w:rFonts w:eastAsia="Times New Roman" w:cstheme="minorHAnsi"/>
          <w:color w:val="000000" w:themeColor="text1"/>
          <w:sz w:val="24"/>
        </w:rPr>
        <w:t>77</w:t>
      </w:r>
      <w:r w:rsidRPr="004E6649">
        <w:rPr>
          <w:rFonts w:eastAsia="Times New Roman" w:cstheme="minorHAnsi"/>
          <w:sz w:val="24"/>
        </w:rPr>
        <w:t>% of the $</w:t>
      </w:r>
      <w:r w:rsidR="00A646DC">
        <w:rPr>
          <w:rFonts w:eastAsia="Times New Roman" w:cstheme="minorHAnsi"/>
          <w:sz w:val="24"/>
        </w:rPr>
        <w:t>350</w:t>
      </w:r>
      <w:r w:rsidR="00F66BE4" w:rsidRPr="004E6649">
        <w:rPr>
          <w:rFonts w:eastAsia="Times New Roman" w:cstheme="minorHAnsi"/>
          <w:sz w:val="24"/>
        </w:rPr>
        <w:t xml:space="preserve"> </w:t>
      </w:r>
      <w:r w:rsidRPr="004E6649">
        <w:rPr>
          <w:rFonts w:eastAsia="Times New Roman" w:cstheme="minorHAnsi"/>
          <w:sz w:val="24"/>
        </w:rPr>
        <w:t xml:space="preserve">million operating </w:t>
      </w:r>
      <w:r w:rsidRPr="00F66BE4">
        <w:rPr>
          <w:rFonts w:eastAsia="Times New Roman" w:cstheme="minorHAnsi"/>
          <w:sz w:val="24"/>
        </w:rPr>
        <w:t>loss</w:t>
      </w:r>
      <w:r w:rsidRPr="004E6649">
        <w:rPr>
          <w:rFonts w:eastAsia="Times New Roman" w:cstheme="minorHAnsi"/>
          <w:sz w:val="24"/>
        </w:rPr>
        <w:t xml:space="preserve"> in </w:t>
      </w:r>
      <w:r w:rsidR="00283D56" w:rsidRPr="004E6649">
        <w:rPr>
          <w:rFonts w:eastAsia="Times New Roman" w:cstheme="minorHAnsi"/>
          <w:sz w:val="24"/>
        </w:rPr>
        <w:t>FY2</w:t>
      </w:r>
      <w:r w:rsidR="00283D56">
        <w:rPr>
          <w:rFonts w:eastAsia="Times New Roman" w:cstheme="minorHAnsi"/>
          <w:sz w:val="24"/>
        </w:rPr>
        <w:t>5</w:t>
      </w:r>
      <w:r w:rsidRPr="004E6649">
        <w:rPr>
          <w:rFonts w:eastAsia="Times New Roman" w:cstheme="minorHAnsi"/>
          <w:sz w:val="24"/>
        </w:rPr>
        <w:t xml:space="preserve">, </w:t>
      </w:r>
      <w:r w:rsidR="00372235">
        <w:rPr>
          <w:rFonts w:eastAsia="Times New Roman" w:cstheme="minorHAnsi"/>
          <w:sz w:val="24"/>
        </w:rPr>
        <w:t>flat</w:t>
      </w:r>
      <w:r w:rsidR="00372235" w:rsidRPr="004E6649">
        <w:rPr>
          <w:rFonts w:eastAsia="Times New Roman" w:cstheme="minorHAnsi"/>
          <w:sz w:val="24"/>
        </w:rPr>
        <w:t xml:space="preserve"> </w:t>
      </w:r>
      <w:r w:rsidR="009861AE">
        <w:rPr>
          <w:rFonts w:eastAsia="Times New Roman" w:cstheme="minorHAnsi"/>
          <w:sz w:val="24"/>
        </w:rPr>
        <w:t>with</w:t>
      </w:r>
      <w:r w:rsidRPr="004E6649">
        <w:rPr>
          <w:rFonts w:eastAsia="Times New Roman" w:cstheme="minorHAnsi"/>
          <w:sz w:val="24"/>
        </w:rPr>
        <w:t xml:space="preserve"> the operating loss coverage level of </w:t>
      </w:r>
      <w:r w:rsidR="00372235">
        <w:rPr>
          <w:rFonts w:eastAsia="Times New Roman" w:cstheme="minorHAnsi"/>
          <w:sz w:val="24"/>
        </w:rPr>
        <w:t>77</w:t>
      </w:r>
      <w:r w:rsidRPr="004E6649">
        <w:rPr>
          <w:rFonts w:eastAsia="Times New Roman" w:cstheme="minorHAnsi"/>
          <w:sz w:val="24"/>
        </w:rPr>
        <w:t xml:space="preserve">% in </w:t>
      </w:r>
      <w:r w:rsidR="00283D56" w:rsidRPr="004E6649">
        <w:rPr>
          <w:rFonts w:eastAsia="Times New Roman" w:cstheme="minorHAnsi"/>
          <w:sz w:val="24"/>
        </w:rPr>
        <w:t>FY2</w:t>
      </w:r>
      <w:r w:rsidR="00283D56">
        <w:rPr>
          <w:rFonts w:eastAsia="Times New Roman" w:cstheme="minorHAnsi"/>
          <w:sz w:val="24"/>
        </w:rPr>
        <w:t>4</w:t>
      </w:r>
      <w:r w:rsidRPr="004E6649">
        <w:rPr>
          <w:rFonts w:eastAsia="Times New Roman" w:cstheme="minorHAnsi"/>
          <w:sz w:val="24"/>
        </w:rPr>
        <w:t>.</w:t>
      </w:r>
    </w:p>
    <w:p w14:paraId="61084872" w14:textId="3B7C4E9A" w:rsidR="00A83362" w:rsidRDefault="004471FD" w:rsidP="00254258">
      <w:pPr>
        <w:tabs>
          <w:tab w:val="left" w:pos="540"/>
        </w:tabs>
        <w:jc w:val="center"/>
        <w:rPr>
          <w:noProof/>
          <w14:ligatures w14:val="standardContextual"/>
        </w:rPr>
      </w:pPr>
      <w:r>
        <w:rPr>
          <w:noProof/>
          <w14:ligatures w14:val="standardContextual"/>
        </w:rPr>
        <w:drawing>
          <wp:inline distT="0" distB="0" distL="0" distR="0" wp14:anchorId="316D1A23" wp14:editId="1614AD29">
            <wp:extent cx="4572000" cy="3048000"/>
            <wp:effectExtent l="0" t="0" r="0" b="0"/>
            <wp:docPr id="1371055068" name="Chart 1" descr="Chart 9: Noncapital State Appropriation and annual percentage change">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094066" w:rsidDel="00094066">
        <w:rPr>
          <w:noProof/>
          <w14:ligatures w14:val="standardContextual"/>
        </w:rPr>
        <w:t xml:space="preserve"> </w:t>
      </w:r>
    </w:p>
    <w:p w14:paraId="426ECBF7" w14:textId="77777777" w:rsidR="00FF626B" w:rsidRPr="003C277A" w:rsidRDefault="00FF626B" w:rsidP="00254258">
      <w:pPr>
        <w:tabs>
          <w:tab w:val="left" w:pos="540"/>
        </w:tabs>
        <w:jc w:val="center"/>
        <w:rPr>
          <w:rFonts w:eastAsia="Times New Roman" w:cstheme="minorHAnsi"/>
          <w:sz w:val="16"/>
          <w:szCs w:val="16"/>
        </w:rPr>
      </w:pPr>
    </w:p>
    <w:tbl>
      <w:tblPr>
        <w:tblW w:w="3960" w:type="dxa"/>
        <w:jc w:val="center"/>
        <w:tblLook w:val="04A0" w:firstRow="1" w:lastRow="0" w:firstColumn="1" w:lastColumn="0" w:noHBand="0" w:noVBand="1"/>
      </w:tblPr>
      <w:tblGrid>
        <w:gridCol w:w="1170"/>
        <w:gridCol w:w="1620"/>
        <w:gridCol w:w="1170"/>
      </w:tblGrid>
      <w:tr w:rsidR="00212625" w:rsidRPr="004E6649" w14:paraId="4C61789D" w14:textId="77777777" w:rsidTr="00492085">
        <w:trPr>
          <w:trHeight w:val="593"/>
          <w:jc w:val="center"/>
        </w:trPr>
        <w:tc>
          <w:tcPr>
            <w:tcW w:w="1170" w:type="dxa"/>
            <w:tcBorders>
              <w:top w:val="single" w:sz="4" w:space="0" w:color="000000"/>
              <w:left w:val="nil"/>
              <w:bottom w:val="single" w:sz="4" w:space="0" w:color="000000"/>
              <w:right w:val="nil"/>
            </w:tcBorders>
            <w:noWrap/>
            <w:vAlign w:val="bottom"/>
            <w:hideMark/>
          </w:tcPr>
          <w:p w14:paraId="276B254F" w14:textId="77777777" w:rsidR="00212625" w:rsidRPr="006D65BD" w:rsidRDefault="00212625" w:rsidP="00212625">
            <w:pPr>
              <w:jc w:val="center"/>
              <w:rPr>
                <w:rFonts w:eastAsia="Times New Roman" w:cstheme="minorHAnsi"/>
                <w:b/>
                <w:bCs/>
                <w:color w:val="000000"/>
                <w:sz w:val="20"/>
                <w:szCs w:val="20"/>
              </w:rPr>
            </w:pPr>
            <w:r w:rsidRPr="006D65BD">
              <w:rPr>
                <w:rFonts w:eastAsia="Times New Roman" w:cstheme="minorHAnsi"/>
                <w:b/>
                <w:bCs/>
                <w:color w:val="000000"/>
                <w:sz w:val="20"/>
                <w:szCs w:val="20"/>
              </w:rPr>
              <w:t>Fiscal Year</w:t>
            </w:r>
          </w:p>
        </w:tc>
        <w:tc>
          <w:tcPr>
            <w:tcW w:w="1620" w:type="dxa"/>
            <w:tcBorders>
              <w:top w:val="single" w:sz="4" w:space="0" w:color="000000"/>
              <w:left w:val="nil"/>
              <w:bottom w:val="single" w:sz="4" w:space="0" w:color="000000"/>
              <w:right w:val="nil"/>
            </w:tcBorders>
            <w:noWrap/>
            <w:vAlign w:val="bottom"/>
            <w:hideMark/>
          </w:tcPr>
          <w:p w14:paraId="54831A6B" w14:textId="0D62087B" w:rsidR="00212625" w:rsidRPr="006D65BD" w:rsidRDefault="00212625" w:rsidP="00C07D35">
            <w:pPr>
              <w:jc w:val="center"/>
              <w:rPr>
                <w:rFonts w:eastAsia="Times New Roman" w:cstheme="minorHAnsi"/>
                <w:b/>
                <w:bCs/>
                <w:color w:val="000000"/>
                <w:sz w:val="20"/>
                <w:szCs w:val="20"/>
              </w:rPr>
            </w:pPr>
            <w:r w:rsidRPr="006D65BD">
              <w:rPr>
                <w:rFonts w:eastAsia="Times New Roman" w:cstheme="minorHAnsi"/>
                <w:b/>
                <w:bCs/>
                <w:color w:val="000000"/>
                <w:sz w:val="20"/>
                <w:szCs w:val="20"/>
              </w:rPr>
              <w:t>Noncapital State Appropriation</w:t>
            </w:r>
          </w:p>
        </w:tc>
        <w:tc>
          <w:tcPr>
            <w:tcW w:w="1170" w:type="dxa"/>
            <w:tcBorders>
              <w:top w:val="single" w:sz="4" w:space="0" w:color="000000"/>
              <w:left w:val="nil"/>
              <w:bottom w:val="single" w:sz="4" w:space="0" w:color="000000"/>
              <w:right w:val="nil"/>
            </w:tcBorders>
            <w:noWrap/>
            <w:vAlign w:val="bottom"/>
            <w:hideMark/>
          </w:tcPr>
          <w:p w14:paraId="44996917" w14:textId="62FFE0DA" w:rsidR="00212625" w:rsidRPr="006D65BD" w:rsidRDefault="00212625" w:rsidP="00C07D35">
            <w:pPr>
              <w:jc w:val="center"/>
              <w:rPr>
                <w:rFonts w:eastAsia="Times New Roman" w:cstheme="minorHAnsi"/>
                <w:b/>
                <w:bCs/>
                <w:color w:val="000000"/>
                <w:sz w:val="20"/>
                <w:szCs w:val="20"/>
              </w:rPr>
            </w:pPr>
            <w:r w:rsidRPr="006D65BD">
              <w:rPr>
                <w:rFonts w:eastAsia="Times New Roman" w:cstheme="minorHAnsi"/>
                <w:b/>
                <w:bCs/>
                <w:color w:val="000000"/>
                <w:sz w:val="20"/>
                <w:szCs w:val="20"/>
              </w:rPr>
              <w:t>Annual Percentage Change</w:t>
            </w:r>
          </w:p>
        </w:tc>
      </w:tr>
      <w:tr w:rsidR="00283D56" w:rsidRPr="004E6649" w14:paraId="2FE0200D" w14:textId="77777777" w:rsidTr="00492085">
        <w:trPr>
          <w:trHeight w:val="125"/>
          <w:jc w:val="center"/>
        </w:trPr>
        <w:tc>
          <w:tcPr>
            <w:tcW w:w="1170" w:type="dxa"/>
            <w:tcBorders>
              <w:top w:val="nil"/>
              <w:left w:val="nil"/>
              <w:bottom w:val="nil"/>
              <w:right w:val="nil"/>
            </w:tcBorders>
            <w:noWrap/>
            <w:vAlign w:val="bottom"/>
            <w:hideMark/>
          </w:tcPr>
          <w:p w14:paraId="525CF008" w14:textId="62A65E2E" w:rsidR="00283D56" w:rsidRPr="006D65BD" w:rsidRDefault="00283D56" w:rsidP="00283D56">
            <w:pPr>
              <w:rPr>
                <w:rFonts w:eastAsia="Times New Roman" w:cstheme="minorHAnsi"/>
                <w:color w:val="000000"/>
                <w:sz w:val="20"/>
                <w:szCs w:val="20"/>
              </w:rPr>
            </w:pPr>
            <w:r w:rsidRPr="006D65BD">
              <w:rPr>
                <w:rFonts w:eastAsia="Times New Roman" w:cstheme="minorHAnsi"/>
                <w:color w:val="000000"/>
                <w:sz w:val="20"/>
                <w:szCs w:val="20"/>
              </w:rPr>
              <w:t>FY21</w:t>
            </w:r>
          </w:p>
        </w:tc>
        <w:tc>
          <w:tcPr>
            <w:tcW w:w="1620" w:type="dxa"/>
            <w:tcBorders>
              <w:top w:val="nil"/>
              <w:left w:val="nil"/>
              <w:bottom w:val="nil"/>
              <w:right w:val="nil"/>
            </w:tcBorders>
            <w:noWrap/>
            <w:vAlign w:val="bottom"/>
            <w:hideMark/>
          </w:tcPr>
          <w:p w14:paraId="52714A4E" w14:textId="621C9651" w:rsidR="00283D56" w:rsidRPr="006D65BD" w:rsidRDefault="00283D56" w:rsidP="00283D56">
            <w:pPr>
              <w:jc w:val="right"/>
              <w:rPr>
                <w:rFonts w:eastAsia="Times New Roman" w:cstheme="minorHAnsi"/>
                <w:color w:val="000000"/>
                <w:sz w:val="20"/>
                <w:szCs w:val="20"/>
              </w:rPr>
            </w:pPr>
            <w:r w:rsidRPr="006D65BD">
              <w:rPr>
                <w:rFonts w:eastAsia="Times New Roman" w:cstheme="minorHAnsi"/>
                <w:color w:val="000000"/>
                <w:sz w:val="20"/>
                <w:szCs w:val="20"/>
              </w:rPr>
              <w:t xml:space="preserve">$218 </w:t>
            </w:r>
          </w:p>
        </w:tc>
        <w:tc>
          <w:tcPr>
            <w:tcW w:w="1170" w:type="dxa"/>
            <w:tcBorders>
              <w:top w:val="nil"/>
              <w:left w:val="nil"/>
              <w:bottom w:val="nil"/>
              <w:right w:val="nil"/>
            </w:tcBorders>
            <w:noWrap/>
            <w:vAlign w:val="bottom"/>
            <w:hideMark/>
          </w:tcPr>
          <w:p w14:paraId="5F3C85A6" w14:textId="392EAFCF" w:rsidR="00283D56" w:rsidRPr="006D65BD" w:rsidRDefault="00283D56" w:rsidP="00283D56">
            <w:pPr>
              <w:jc w:val="right"/>
              <w:rPr>
                <w:rFonts w:eastAsia="Times New Roman" w:cstheme="minorHAnsi"/>
                <w:color w:val="000000"/>
                <w:sz w:val="20"/>
                <w:szCs w:val="20"/>
              </w:rPr>
            </w:pPr>
            <w:r w:rsidRPr="006D65BD">
              <w:rPr>
                <w:rFonts w:eastAsia="Times New Roman" w:cstheme="minorHAnsi"/>
                <w:color w:val="000000"/>
                <w:sz w:val="20"/>
                <w:szCs w:val="20"/>
              </w:rPr>
              <w:t>(0.9%)</w:t>
            </w:r>
          </w:p>
        </w:tc>
      </w:tr>
      <w:tr w:rsidR="00283D56" w:rsidRPr="004E6649" w14:paraId="032402DC" w14:textId="77777777" w:rsidTr="00492085">
        <w:trPr>
          <w:trHeight w:val="80"/>
          <w:jc w:val="center"/>
        </w:trPr>
        <w:tc>
          <w:tcPr>
            <w:tcW w:w="1170" w:type="dxa"/>
            <w:tcBorders>
              <w:top w:val="nil"/>
              <w:left w:val="nil"/>
              <w:bottom w:val="nil"/>
              <w:right w:val="nil"/>
            </w:tcBorders>
            <w:noWrap/>
            <w:vAlign w:val="bottom"/>
            <w:hideMark/>
          </w:tcPr>
          <w:p w14:paraId="443A5808" w14:textId="4544AD54" w:rsidR="00283D56" w:rsidRPr="006D65BD" w:rsidRDefault="00283D56" w:rsidP="00283D56">
            <w:pPr>
              <w:rPr>
                <w:rFonts w:eastAsia="Times New Roman" w:cstheme="minorHAnsi"/>
                <w:color w:val="000000"/>
                <w:sz w:val="20"/>
                <w:szCs w:val="20"/>
              </w:rPr>
            </w:pPr>
            <w:r w:rsidRPr="006D65BD">
              <w:rPr>
                <w:rFonts w:eastAsia="Times New Roman" w:cstheme="minorHAnsi"/>
                <w:sz w:val="20"/>
                <w:szCs w:val="20"/>
              </w:rPr>
              <w:t>FY22</w:t>
            </w:r>
          </w:p>
        </w:tc>
        <w:tc>
          <w:tcPr>
            <w:tcW w:w="1620" w:type="dxa"/>
            <w:tcBorders>
              <w:top w:val="nil"/>
              <w:left w:val="nil"/>
              <w:bottom w:val="nil"/>
              <w:right w:val="nil"/>
            </w:tcBorders>
            <w:noWrap/>
            <w:vAlign w:val="bottom"/>
            <w:hideMark/>
          </w:tcPr>
          <w:p w14:paraId="0D50056C" w14:textId="1FF6B01C" w:rsidR="00283D56" w:rsidRPr="006D65BD" w:rsidRDefault="00283D56" w:rsidP="00283D56">
            <w:pPr>
              <w:jc w:val="right"/>
              <w:rPr>
                <w:rFonts w:eastAsia="Times New Roman" w:cstheme="minorHAnsi"/>
                <w:color w:val="000000"/>
                <w:sz w:val="20"/>
                <w:szCs w:val="20"/>
              </w:rPr>
            </w:pPr>
            <w:r w:rsidRPr="006D65BD">
              <w:rPr>
                <w:rFonts w:eastAsia="Times New Roman" w:cstheme="minorHAnsi"/>
                <w:color w:val="000000"/>
                <w:sz w:val="20"/>
                <w:szCs w:val="20"/>
              </w:rPr>
              <w:t xml:space="preserve">$229 </w:t>
            </w:r>
          </w:p>
        </w:tc>
        <w:tc>
          <w:tcPr>
            <w:tcW w:w="1170" w:type="dxa"/>
            <w:tcBorders>
              <w:top w:val="nil"/>
              <w:left w:val="nil"/>
              <w:bottom w:val="nil"/>
              <w:right w:val="nil"/>
            </w:tcBorders>
            <w:noWrap/>
            <w:vAlign w:val="bottom"/>
            <w:hideMark/>
          </w:tcPr>
          <w:p w14:paraId="51ECC3E5" w14:textId="1CCFDD2B" w:rsidR="00283D56" w:rsidRPr="006D65BD" w:rsidRDefault="00283D56" w:rsidP="00283D56">
            <w:pPr>
              <w:jc w:val="right"/>
              <w:rPr>
                <w:rFonts w:eastAsia="Times New Roman" w:cstheme="minorHAnsi"/>
                <w:color w:val="000000"/>
                <w:sz w:val="20"/>
                <w:szCs w:val="20"/>
              </w:rPr>
            </w:pPr>
            <w:r w:rsidRPr="006D65BD">
              <w:rPr>
                <w:rFonts w:eastAsia="Times New Roman" w:cstheme="minorHAnsi"/>
                <w:color w:val="000000"/>
                <w:sz w:val="20"/>
                <w:szCs w:val="20"/>
              </w:rPr>
              <w:t xml:space="preserve">5.0% </w:t>
            </w:r>
          </w:p>
        </w:tc>
      </w:tr>
      <w:tr w:rsidR="00283D56" w:rsidRPr="004E6649" w14:paraId="7EE6E895" w14:textId="77777777" w:rsidTr="00492085">
        <w:trPr>
          <w:trHeight w:val="80"/>
          <w:jc w:val="center"/>
        </w:trPr>
        <w:tc>
          <w:tcPr>
            <w:tcW w:w="1170" w:type="dxa"/>
            <w:tcBorders>
              <w:top w:val="nil"/>
              <w:left w:val="nil"/>
              <w:bottom w:val="nil"/>
              <w:right w:val="nil"/>
            </w:tcBorders>
            <w:noWrap/>
            <w:vAlign w:val="bottom"/>
            <w:hideMark/>
          </w:tcPr>
          <w:p w14:paraId="178E5D29" w14:textId="47BCAADF" w:rsidR="00283D56" w:rsidRPr="006D65BD" w:rsidRDefault="00283D56" w:rsidP="00283D56">
            <w:pPr>
              <w:rPr>
                <w:rFonts w:eastAsia="Times New Roman" w:cstheme="minorHAnsi"/>
                <w:sz w:val="20"/>
                <w:szCs w:val="20"/>
              </w:rPr>
            </w:pPr>
            <w:r w:rsidRPr="006D65BD">
              <w:rPr>
                <w:rFonts w:eastAsia="Times New Roman" w:cstheme="minorHAnsi"/>
                <w:sz w:val="20"/>
                <w:szCs w:val="20"/>
              </w:rPr>
              <w:t>FY23</w:t>
            </w:r>
          </w:p>
        </w:tc>
        <w:tc>
          <w:tcPr>
            <w:tcW w:w="1620" w:type="dxa"/>
            <w:tcBorders>
              <w:top w:val="nil"/>
              <w:left w:val="nil"/>
              <w:bottom w:val="nil"/>
              <w:right w:val="nil"/>
            </w:tcBorders>
            <w:noWrap/>
            <w:vAlign w:val="bottom"/>
            <w:hideMark/>
          </w:tcPr>
          <w:p w14:paraId="4B9899F4" w14:textId="2C656FB9" w:rsidR="00283D56" w:rsidRPr="006D65BD" w:rsidRDefault="00283D56" w:rsidP="00283D56">
            <w:pPr>
              <w:jc w:val="right"/>
              <w:rPr>
                <w:rFonts w:eastAsia="Times New Roman" w:cstheme="minorHAnsi"/>
                <w:color w:val="000000"/>
                <w:sz w:val="20"/>
                <w:szCs w:val="20"/>
              </w:rPr>
            </w:pPr>
            <w:r w:rsidRPr="006D65BD">
              <w:rPr>
                <w:rFonts w:eastAsia="Times New Roman" w:cstheme="minorHAnsi"/>
                <w:color w:val="000000"/>
                <w:sz w:val="20"/>
                <w:szCs w:val="20"/>
              </w:rPr>
              <w:t xml:space="preserve">$248 </w:t>
            </w:r>
          </w:p>
        </w:tc>
        <w:tc>
          <w:tcPr>
            <w:tcW w:w="1170" w:type="dxa"/>
            <w:tcBorders>
              <w:top w:val="nil"/>
              <w:left w:val="nil"/>
              <w:bottom w:val="nil"/>
              <w:right w:val="nil"/>
            </w:tcBorders>
            <w:noWrap/>
            <w:vAlign w:val="bottom"/>
            <w:hideMark/>
          </w:tcPr>
          <w:p w14:paraId="38570EFE" w14:textId="0F8F4D0C" w:rsidR="00283D56" w:rsidRPr="006D65BD" w:rsidRDefault="00283D56" w:rsidP="00283D56">
            <w:pPr>
              <w:jc w:val="right"/>
              <w:rPr>
                <w:rFonts w:eastAsia="Times New Roman" w:cstheme="minorHAnsi"/>
                <w:color w:val="000000"/>
                <w:sz w:val="20"/>
                <w:szCs w:val="20"/>
              </w:rPr>
            </w:pPr>
            <w:r w:rsidRPr="006D65BD">
              <w:rPr>
                <w:rFonts w:eastAsia="Times New Roman" w:cstheme="minorHAnsi"/>
                <w:color w:val="000000"/>
                <w:sz w:val="20"/>
                <w:szCs w:val="20"/>
              </w:rPr>
              <w:t xml:space="preserve">8.3% </w:t>
            </w:r>
          </w:p>
        </w:tc>
      </w:tr>
      <w:tr w:rsidR="00283D56" w:rsidRPr="004E6649" w14:paraId="54D1C761" w14:textId="77777777" w:rsidTr="00492085">
        <w:trPr>
          <w:trHeight w:val="80"/>
          <w:jc w:val="center"/>
        </w:trPr>
        <w:tc>
          <w:tcPr>
            <w:tcW w:w="1170" w:type="dxa"/>
            <w:tcBorders>
              <w:top w:val="nil"/>
              <w:left w:val="nil"/>
              <w:bottom w:val="nil"/>
              <w:right w:val="nil"/>
            </w:tcBorders>
            <w:noWrap/>
            <w:vAlign w:val="bottom"/>
            <w:hideMark/>
          </w:tcPr>
          <w:p w14:paraId="7B7592D0" w14:textId="1F65799B" w:rsidR="00283D56" w:rsidRPr="006D65BD" w:rsidRDefault="00283D56" w:rsidP="00283D56">
            <w:pPr>
              <w:rPr>
                <w:rFonts w:eastAsia="Times New Roman" w:cstheme="minorHAnsi"/>
                <w:sz w:val="20"/>
                <w:szCs w:val="20"/>
              </w:rPr>
            </w:pPr>
            <w:r w:rsidRPr="006D65BD">
              <w:rPr>
                <w:rFonts w:eastAsia="Times New Roman" w:cstheme="minorHAnsi"/>
                <w:color w:val="000000"/>
                <w:sz w:val="20"/>
                <w:szCs w:val="20"/>
              </w:rPr>
              <w:t>FY24</w:t>
            </w:r>
          </w:p>
        </w:tc>
        <w:tc>
          <w:tcPr>
            <w:tcW w:w="1620" w:type="dxa"/>
            <w:tcBorders>
              <w:top w:val="nil"/>
              <w:left w:val="nil"/>
              <w:bottom w:val="nil"/>
              <w:right w:val="nil"/>
            </w:tcBorders>
            <w:noWrap/>
            <w:vAlign w:val="bottom"/>
            <w:hideMark/>
          </w:tcPr>
          <w:p w14:paraId="688E2AF9" w14:textId="12F6ECE7" w:rsidR="00283D56" w:rsidRPr="006D65BD" w:rsidRDefault="00283D56" w:rsidP="00283D56">
            <w:pPr>
              <w:jc w:val="right"/>
              <w:rPr>
                <w:rFonts w:eastAsia="Times New Roman" w:cstheme="minorHAnsi"/>
                <w:color w:val="000000"/>
                <w:sz w:val="20"/>
                <w:szCs w:val="20"/>
              </w:rPr>
            </w:pPr>
            <w:r w:rsidRPr="006D65BD">
              <w:rPr>
                <w:rFonts w:eastAsia="Times New Roman" w:cstheme="minorHAnsi"/>
                <w:color w:val="000000"/>
                <w:sz w:val="20"/>
                <w:szCs w:val="20"/>
              </w:rPr>
              <w:t>$261</w:t>
            </w:r>
          </w:p>
        </w:tc>
        <w:tc>
          <w:tcPr>
            <w:tcW w:w="1170" w:type="dxa"/>
            <w:tcBorders>
              <w:top w:val="nil"/>
              <w:left w:val="nil"/>
              <w:bottom w:val="nil"/>
              <w:right w:val="nil"/>
            </w:tcBorders>
            <w:noWrap/>
            <w:vAlign w:val="bottom"/>
            <w:hideMark/>
          </w:tcPr>
          <w:p w14:paraId="31138493" w14:textId="25EB193C" w:rsidR="00283D56" w:rsidRPr="006D65BD" w:rsidRDefault="00283D56" w:rsidP="00283D56">
            <w:pPr>
              <w:jc w:val="right"/>
              <w:rPr>
                <w:rFonts w:eastAsia="Times New Roman" w:cstheme="minorHAnsi"/>
                <w:color w:val="000000"/>
                <w:sz w:val="20"/>
                <w:szCs w:val="20"/>
              </w:rPr>
            </w:pPr>
            <w:r w:rsidRPr="006D65BD">
              <w:rPr>
                <w:rFonts w:eastAsia="Times New Roman" w:cstheme="minorHAnsi"/>
                <w:color w:val="000000"/>
                <w:sz w:val="20"/>
                <w:szCs w:val="20"/>
              </w:rPr>
              <w:t>5.2%</w:t>
            </w:r>
          </w:p>
        </w:tc>
      </w:tr>
      <w:tr w:rsidR="00212625" w:rsidRPr="004E6649" w14:paraId="18F3B521" w14:textId="77777777" w:rsidTr="00492085">
        <w:trPr>
          <w:trHeight w:val="80"/>
          <w:jc w:val="center"/>
        </w:trPr>
        <w:tc>
          <w:tcPr>
            <w:tcW w:w="1170" w:type="dxa"/>
            <w:tcBorders>
              <w:top w:val="nil"/>
              <w:left w:val="nil"/>
              <w:bottom w:val="single" w:sz="4" w:space="0" w:color="000000"/>
              <w:right w:val="nil"/>
            </w:tcBorders>
            <w:noWrap/>
            <w:vAlign w:val="bottom"/>
            <w:hideMark/>
          </w:tcPr>
          <w:p w14:paraId="0EDAB520" w14:textId="4733D8EE" w:rsidR="00212625" w:rsidRPr="006D65BD" w:rsidRDefault="00283D56" w:rsidP="00212625">
            <w:pPr>
              <w:rPr>
                <w:rFonts w:eastAsia="Times New Roman" w:cstheme="minorHAnsi"/>
                <w:color w:val="000000"/>
                <w:sz w:val="20"/>
                <w:szCs w:val="20"/>
              </w:rPr>
            </w:pPr>
            <w:r w:rsidRPr="006D65BD">
              <w:rPr>
                <w:rFonts w:eastAsia="Times New Roman" w:cstheme="minorHAnsi"/>
                <w:color w:val="000000"/>
                <w:sz w:val="20"/>
                <w:szCs w:val="20"/>
              </w:rPr>
              <w:t>FY2</w:t>
            </w:r>
            <w:r>
              <w:rPr>
                <w:rFonts w:eastAsia="Times New Roman" w:cstheme="minorHAnsi"/>
                <w:color w:val="000000"/>
                <w:sz w:val="20"/>
                <w:szCs w:val="20"/>
              </w:rPr>
              <w:t>5</w:t>
            </w:r>
          </w:p>
        </w:tc>
        <w:tc>
          <w:tcPr>
            <w:tcW w:w="1620" w:type="dxa"/>
            <w:tcBorders>
              <w:top w:val="nil"/>
              <w:left w:val="nil"/>
              <w:bottom w:val="single" w:sz="4" w:space="0" w:color="000000"/>
              <w:right w:val="nil"/>
            </w:tcBorders>
            <w:noWrap/>
            <w:vAlign w:val="bottom"/>
            <w:hideMark/>
          </w:tcPr>
          <w:p w14:paraId="77633AC7" w14:textId="46F5E9FF" w:rsidR="00212625" w:rsidRPr="006D65BD" w:rsidRDefault="00D2575A" w:rsidP="00212625">
            <w:pPr>
              <w:jc w:val="right"/>
              <w:rPr>
                <w:rFonts w:eastAsia="Times New Roman" w:cstheme="minorHAnsi"/>
                <w:color w:val="000000"/>
                <w:sz w:val="20"/>
                <w:szCs w:val="20"/>
              </w:rPr>
            </w:pPr>
            <w:r w:rsidRPr="006D65BD">
              <w:rPr>
                <w:rFonts w:eastAsia="Times New Roman" w:cstheme="minorHAnsi"/>
                <w:color w:val="000000"/>
                <w:sz w:val="20"/>
                <w:szCs w:val="20"/>
              </w:rPr>
              <w:t>$</w:t>
            </w:r>
            <w:r w:rsidR="00A371A2">
              <w:rPr>
                <w:rFonts w:eastAsia="Times New Roman" w:cstheme="minorHAnsi"/>
                <w:color w:val="000000"/>
                <w:sz w:val="20"/>
                <w:szCs w:val="20"/>
              </w:rPr>
              <w:t>270</w:t>
            </w:r>
          </w:p>
        </w:tc>
        <w:tc>
          <w:tcPr>
            <w:tcW w:w="1170" w:type="dxa"/>
            <w:tcBorders>
              <w:top w:val="nil"/>
              <w:left w:val="nil"/>
              <w:bottom w:val="single" w:sz="4" w:space="0" w:color="000000"/>
              <w:right w:val="nil"/>
            </w:tcBorders>
            <w:noWrap/>
            <w:vAlign w:val="bottom"/>
            <w:hideMark/>
          </w:tcPr>
          <w:p w14:paraId="34D2E04D" w14:textId="14667B88" w:rsidR="00212625" w:rsidRPr="006D65BD" w:rsidRDefault="00A371A2" w:rsidP="00212625">
            <w:pPr>
              <w:jc w:val="right"/>
              <w:rPr>
                <w:rFonts w:eastAsia="Times New Roman" w:cstheme="minorHAnsi"/>
                <w:color w:val="000000"/>
                <w:sz w:val="20"/>
                <w:szCs w:val="20"/>
              </w:rPr>
            </w:pPr>
            <w:r>
              <w:rPr>
                <w:rFonts w:eastAsia="Times New Roman" w:cstheme="minorHAnsi"/>
                <w:color w:val="000000"/>
                <w:sz w:val="20"/>
                <w:szCs w:val="20"/>
              </w:rPr>
              <w:t>3.</w:t>
            </w:r>
            <w:r w:rsidR="00E1495D">
              <w:rPr>
                <w:rFonts w:eastAsia="Times New Roman" w:cstheme="minorHAnsi"/>
                <w:color w:val="000000"/>
                <w:sz w:val="20"/>
                <w:szCs w:val="20"/>
              </w:rPr>
              <w:t>4</w:t>
            </w:r>
            <w:r w:rsidR="00D2575A" w:rsidRPr="006D65BD">
              <w:rPr>
                <w:rFonts w:eastAsia="Times New Roman" w:cstheme="minorHAnsi"/>
                <w:color w:val="000000"/>
                <w:sz w:val="20"/>
                <w:szCs w:val="20"/>
              </w:rPr>
              <w:t>%</w:t>
            </w:r>
          </w:p>
        </w:tc>
      </w:tr>
    </w:tbl>
    <w:p w14:paraId="6DD92A99" w14:textId="77777777" w:rsidR="00A83362" w:rsidRPr="00DC2370" w:rsidRDefault="00A83362" w:rsidP="00A83362">
      <w:pPr>
        <w:pStyle w:val="AFR3"/>
        <w:rPr>
          <w:rFonts w:cstheme="minorHAnsi"/>
          <w:sz w:val="24"/>
          <w:szCs w:val="20"/>
        </w:rPr>
      </w:pPr>
      <w:r w:rsidRPr="00DC2370">
        <w:rPr>
          <w:rFonts w:cstheme="minorHAnsi"/>
          <w:sz w:val="24"/>
          <w:szCs w:val="20"/>
        </w:rPr>
        <w:lastRenderedPageBreak/>
        <w:t>Coronavirus Relief Funding</w:t>
      </w:r>
    </w:p>
    <w:p w14:paraId="657B7F82" w14:textId="0C16013E" w:rsidR="007C6342" w:rsidRPr="00DC2370" w:rsidRDefault="00DC2370" w:rsidP="00A83362">
      <w:pPr>
        <w:spacing w:after="120"/>
        <w:rPr>
          <w:rFonts w:eastAsia="Times New Roman" w:cstheme="minorHAnsi"/>
          <w:sz w:val="24"/>
        </w:rPr>
      </w:pPr>
      <w:r w:rsidRPr="003C277A">
        <w:rPr>
          <w:rFonts w:eastAsia="Times New Roman" w:cstheme="minorHAnsi"/>
          <w:sz w:val="24"/>
        </w:rPr>
        <w:t xml:space="preserve">As </w:t>
      </w:r>
      <w:r>
        <w:rPr>
          <w:rFonts w:eastAsia="Times New Roman" w:cstheme="minorHAnsi"/>
          <w:sz w:val="24"/>
        </w:rPr>
        <w:t>detailed</w:t>
      </w:r>
      <w:r w:rsidRPr="003C277A">
        <w:rPr>
          <w:rFonts w:eastAsia="Times New Roman" w:cstheme="minorHAnsi"/>
          <w:sz w:val="24"/>
        </w:rPr>
        <w:t xml:space="preserve"> below, </w:t>
      </w:r>
      <w:r>
        <w:rPr>
          <w:rFonts w:eastAsia="Times New Roman" w:cstheme="minorHAnsi"/>
          <w:sz w:val="24"/>
        </w:rPr>
        <w:t xml:space="preserve">federal </w:t>
      </w:r>
      <w:r w:rsidR="00A83362" w:rsidRPr="00DC2370">
        <w:rPr>
          <w:rFonts w:eastAsia="Times New Roman" w:cstheme="minorHAnsi"/>
          <w:sz w:val="24"/>
        </w:rPr>
        <w:t xml:space="preserve">coronavirus relief funding </w:t>
      </w:r>
      <w:r>
        <w:rPr>
          <w:rFonts w:eastAsia="Times New Roman" w:cstheme="minorHAnsi"/>
          <w:sz w:val="24"/>
        </w:rPr>
        <w:t>concluded</w:t>
      </w:r>
      <w:r w:rsidRPr="003C277A">
        <w:rPr>
          <w:rFonts w:eastAsia="Times New Roman" w:cstheme="minorHAnsi"/>
          <w:sz w:val="24"/>
        </w:rPr>
        <w:t xml:space="preserve"> in FY2</w:t>
      </w:r>
      <w:r>
        <w:rPr>
          <w:rFonts w:eastAsia="Times New Roman" w:cstheme="minorHAnsi"/>
          <w:sz w:val="24"/>
        </w:rPr>
        <w:t>4</w:t>
      </w:r>
      <w:r w:rsidRPr="003C277A">
        <w:rPr>
          <w:rFonts w:eastAsia="Times New Roman" w:cstheme="minorHAnsi"/>
          <w:sz w:val="24"/>
        </w:rPr>
        <w:t xml:space="preserve">; </w:t>
      </w:r>
      <w:r>
        <w:rPr>
          <w:rFonts w:eastAsia="Times New Roman" w:cstheme="minorHAnsi"/>
          <w:sz w:val="24"/>
        </w:rPr>
        <w:t>while</w:t>
      </w:r>
      <w:r w:rsidRPr="003C277A">
        <w:rPr>
          <w:rFonts w:eastAsia="Times New Roman" w:cstheme="minorHAnsi"/>
          <w:sz w:val="24"/>
        </w:rPr>
        <w:t xml:space="preserve"> state funding continued into FY25.</w:t>
      </w:r>
    </w:p>
    <w:p w14:paraId="340439B3" w14:textId="78083227" w:rsidR="00A83362" w:rsidRPr="000515B5" w:rsidRDefault="00A83362" w:rsidP="0048617B">
      <w:pPr>
        <w:rPr>
          <w:rFonts w:eastAsia="Times New Roman" w:cstheme="minorHAnsi"/>
          <w:b/>
          <w:i/>
          <w:sz w:val="24"/>
        </w:rPr>
      </w:pPr>
      <w:r w:rsidRPr="000515B5">
        <w:rPr>
          <w:rFonts w:eastAsia="Times New Roman" w:cstheme="minorHAnsi"/>
          <w:b/>
          <w:i/>
          <w:sz w:val="24"/>
        </w:rPr>
        <w:t>Federal Funding</w:t>
      </w:r>
    </w:p>
    <w:p w14:paraId="27CB4E63" w14:textId="2F04B7B9" w:rsidR="00DC2370" w:rsidRPr="00DC2370" w:rsidRDefault="00DC2370" w:rsidP="00DC2370">
      <w:pPr>
        <w:rPr>
          <w:rFonts w:cstheme="minorHAnsi"/>
          <w:sz w:val="24"/>
          <w:szCs w:val="24"/>
        </w:rPr>
      </w:pPr>
      <w:r w:rsidRPr="003C277A">
        <w:rPr>
          <w:rFonts w:cstheme="minorHAnsi"/>
          <w:spacing w:val="1"/>
          <w:sz w:val="24"/>
          <w:szCs w:val="24"/>
        </w:rPr>
        <w:t>The System was awarded a total of $104 million in FY20 and FY21 from the U.S. Department of Education as part of federal economic relief measures responding to the COVID-19 pandemic. Most of this funding was expended prior to FY24, with the final deadline for expenditures on June 30, 2024. In FY24, the System recognized less than $1 million in revenue from this source, primarily related to residual pandemic-related costs. No federal coronavirus relief funding was available in FY25.</w:t>
      </w:r>
    </w:p>
    <w:p w14:paraId="606130A1" w14:textId="77777777" w:rsidR="00B621E7" w:rsidRPr="003C277A" w:rsidRDefault="00B621E7" w:rsidP="00A83362">
      <w:pPr>
        <w:rPr>
          <w:rFonts w:cstheme="minorHAnsi"/>
          <w:sz w:val="18"/>
          <w:szCs w:val="18"/>
          <w:highlight w:val="yellow"/>
        </w:rPr>
      </w:pPr>
    </w:p>
    <w:p w14:paraId="5C0754D6" w14:textId="6D3FFB25" w:rsidR="00A83362" w:rsidRPr="000515B5" w:rsidRDefault="00A83362" w:rsidP="003C277A">
      <w:pPr>
        <w:rPr>
          <w:rFonts w:eastAsia="Times New Roman" w:cstheme="minorHAnsi"/>
          <w:b/>
          <w:i/>
          <w:sz w:val="24"/>
        </w:rPr>
      </w:pPr>
      <w:r w:rsidRPr="000515B5">
        <w:rPr>
          <w:rFonts w:eastAsia="Times New Roman" w:cstheme="minorHAnsi"/>
          <w:b/>
          <w:i/>
          <w:sz w:val="24"/>
        </w:rPr>
        <w:t>State Funding</w:t>
      </w:r>
    </w:p>
    <w:p w14:paraId="708F054E" w14:textId="538F93AD" w:rsidR="00DC2370" w:rsidRPr="00CA51A7" w:rsidRDefault="00DC2370" w:rsidP="004B6F10">
      <w:pPr>
        <w:rPr>
          <w:rFonts w:cstheme="minorHAnsi"/>
          <w:color w:val="000000" w:themeColor="text1"/>
          <w:sz w:val="24"/>
          <w:szCs w:val="24"/>
        </w:rPr>
      </w:pPr>
      <w:r w:rsidRPr="003C277A">
        <w:rPr>
          <w:rFonts w:eastAsia="Times New Roman" w:cstheme="minorHAnsi"/>
          <w:bCs/>
          <w:iCs/>
          <w:sz w:val="24"/>
        </w:rPr>
        <w:t>In FY22, the State of Maine awarded the System $35 million of its American Rescue Plan Act funds to support projects under the</w:t>
      </w:r>
      <w:r w:rsidRPr="003C277A">
        <w:rPr>
          <w:rFonts w:cstheme="minorHAnsi"/>
          <w:spacing w:val="1"/>
          <w:sz w:val="24"/>
          <w:szCs w:val="24"/>
        </w:rPr>
        <w:t xml:space="preserve"> Maine Jobs and Recovery Plan (MJRP). During both FY2</w:t>
      </w:r>
      <w:r>
        <w:rPr>
          <w:rFonts w:cstheme="minorHAnsi"/>
          <w:spacing w:val="1"/>
          <w:sz w:val="24"/>
          <w:szCs w:val="24"/>
        </w:rPr>
        <w:t>5</w:t>
      </w:r>
      <w:r w:rsidRPr="003C277A">
        <w:rPr>
          <w:rFonts w:cstheme="minorHAnsi"/>
          <w:spacing w:val="1"/>
          <w:sz w:val="24"/>
          <w:szCs w:val="24"/>
        </w:rPr>
        <w:t xml:space="preserve"> and FY2</w:t>
      </w:r>
      <w:r>
        <w:rPr>
          <w:rFonts w:cstheme="minorHAnsi"/>
          <w:spacing w:val="1"/>
          <w:sz w:val="24"/>
          <w:szCs w:val="24"/>
        </w:rPr>
        <w:t>4</w:t>
      </w:r>
      <w:r w:rsidRPr="003C277A">
        <w:rPr>
          <w:rFonts w:cstheme="minorHAnsi"/>
          <w:spacing w:val="1"/>
          <w:sz w:val="24"/>
          <w:szCs w:val="24"/>
        </w:rPr>
        <w:t>, the System recognized $3 million in noncapital coronavirus relief funding from these funds. Additionally, the System recorded $</w:t>
      </w:r>
      <w:r>
        <w:rPr>
          <w:rFonts w:cstheme="minorHAnsi"/>
          <w:spacing w:val="1"/>
          <w:sz w:val="24"/>
          <w:szCs w:val="24"/>
        </w:rPr>
        <w:t xml:space="preserve">10 </w:t>
      </w:r>
      <w:r w:rsidRPr="003C277A">
        <w:rPr>
          <w:rFonts w:cstheme="minorHAnsi"/>
          <w:spacing w:val="1"/>
          <w:sz w:val="24"/>
          <w:szCs w:val="24"/>
        </w:rPr>
        <w:t>million in FY2</w:t>
      </w:r>
      <w:r>
        <w:rPr>
          <w:rFonts w:cstheme="minorHAnsi"/>
          <w:spacing w:val="1"/>
          <w:sz w:val="24"/>
          <w:szCs w:val="24"/>
        </w:rPr>
        <w:t>5</w:t>
      </w:r>
      <w:r w:rsidRPr="003C277A">
        <w:rPr>
          <w:rFonts w:cstheme="minorHAnsi"/>
          <w:spacing w:val="1"/>
          <w:sz w:val="24"/>
          <w:szCs w:val="24"/>
        </w:rPr>
        <w:t xml:space="preserve"> and $</w:t>
      </w:r>
      <w:r>
        <w:rPr>
          <w:rFonts w:cstheme="minorHAnsi"/>
          <w:spacing w:val="1"/>
          <w:sz w:val="24"/>
          <w:szCs w:val="24"/>
        </w:rPr>
        <w:t xml:space="preserve">4 </w:t>
      </w:r>
      <w:r w:rsidRPr="003C277A">
        <w:rPr>
          <w:rFonts w:cstheme="minorHAnsi"/>
          <w:spacing w:val="1"/>
          <w:sz w:val="24"/>
          <w:szCs w:val="24"/>
        </w:rPr>
        <w:t>million in FY2</w:t>
      </w:r>
      <w:r>
        <w:rPr>
          <w:rFonts w:cstheme="minorHAnsi"/>
          <w:spacing w:val="1"/>
          <w:sz w:val="24"/>
          <w:szCs w:val="24"/>
        </w:rPr>
        <w:t>4</w:t>
      </w:r>
      <w:r w:rsidRPr="003C277A">
        <w:rPr>
          <w:rFonts w:cstheme="minorHAnsi"/>
          <w:spacing w:val="1"/>
          <w:sz w:val="24"/>
          <w:szCs w:val="24"/>
        </w:rPr>
        <w:t xml:space="preserve"> as capital grants and gifts revenue in the Statements of Revenues, Expenses, and Changes in Net Position, reflecting the use of MJRP funds for capital improvements.</w:t>
      </w:r>
    </w:p>
    <w:p w14:paraId="1AF485B5" w14:textId="77777777" w:rsidR="00A83362" w:rsidRPr="004E6649" w:rsidRDefault="00A83362" w:rsidP="00A83362">
      <w:pPr>
        <w:spacing w:before="240" w:after="120"/>
        <w:rPr>
          <w:rFonts w:cstheme="minorHAnsi"/>
          <w:sz w:val="20"/>
          <w:szCs w:val="20"/>
        </w:rPr>
      </w:pPr>
      <w:r w:rsidRPr="004E6649">
        <w:rPr>
          <w:rFonts w:cstheme="minorHAnsi"/>
          <w:b/>
          <w:i/>
          <w:sz w:val="24"/>
          <w:szCs w:val="20"/>
          <w:u w:val="single" w:color="000000" w:themeColor="text1"/>
        </w:rPr>
        <w:t>Cash Gifts</w:t>
      </w:r>
    </w:p>
    <w:p w14:paraId="20CC2F59" w14:textId="5D4C4635" w:rsidR="006B08B5" w:rsidRPr="004E6649" w:rsidRDefault="00A83362" w:rsidP="00A83362">
      <w:pPr>
        <w:rPr>
          <w:rFonts w:cstheme="minorHAnsi"/>
          <w:sz w:val="24"/>
          <w:szCs w:val="24"/>
        </w:rPr>
      </w:pPr>
      <w:r w:rsidRPr="004E6649">
        <w:rPr>
          <w:rFonts w:cstheme="minorHAnsi"/>
          <w:sz w:val="24"/>
          <w:szCs w:val="24"/>
        </w:rPr>
        <w:t xml:space="preserve">As shown in Chart </w:t>
      </w:r>
      <w:r w:rsidR="00387A2D" w:rsidRPr="004E6649">
        <w:rPr>
          <w:rFonts w:cstheme="minorHAnsi"/>
          <w:sz w:val="24"/>
          <w:szCs w:val="24"/>
        </w:rPr>
        <w:t>10</w:t>
      </w:r>
      <w:r w:rsidRPr="004E6649">
        <w:rPr>
          <w:rFonts w:cstheme="minorHAnsi"/>
          <w:sz w:val="24"/>
          <w:szCs w:val="24"/>
        </w:rPr>
        <w:t>, total cash gifts of $</w:t>
      </w:r>
      <w:r w:rsidR="00D41DE2">
        <w:rPr>
          <w:rFonts w:cstheme="minorHAnsi"/>
          <w:sz w:val="24"/>
          <w:szCs w:val="24"/>
        </w:rPr>
        <w:t>36</w:t>
      </w:r>
      <w:r w:rsidR="00D41DE2" w:rsidRPr="004E6649">
        <w:rPr>
          <w:rFonts w:cstheme="minorHAnsi"/>
          <w:sz w:val="24"/>
          <w:szCs w:val="24"/>
        </w:rPr>
        <w:t xml:space="preserve"> </w:t>
      </w:r>
      <w:r w:rsidRPr="004E6649">
        <w:rPr>
          <w:rFonts w:cstheme="minorHAnsi"/>
          <w:sz w:val="24"/>
          <w:szCs w:val="24"/>
        </w:rPr>
        <w:t xml:space="preserve">million received in </w:t>
      </w:r>
      <w:r w:rsidR="002F6B9E" w:rsidRPr="004E6649">
        <w:rPr>
          <w:rFonts w:cstheme="minorHAnsi"/>
          <w:sz w:val="24"/>
          <w:szCs w:val="24"/>
        </w:rPr>
        <w:t>FY2</w:t>
      </w:r>
      <w:r w:rsidR="002F6B9E">
        <w:rPr>
          <w:rFonts w:cstheme="minorHAnsi"/>
          <w:sz w:val="24"/>
          <w:szCs w:val="24"/>
        </w:rPr>
        <w:t>5</w:t>
      </w:r>
      <w:r w:rsidR="002F6B9E" w:rsidRPr="004E6649">
        <w:rPr>
          <w:rFonts w:cstheme="minorHAnsi"/>
          <w:sz w:val="24"/>
          <w:szCs w:val="24"/>
        </w:rPr>
        <w:t xml:space="preserve"> </w:t>
      </w:r>
      <w:r w:rsidRPr="004E6649">
        <w:rPr>
          <w:rFonts w:cstheme="minorHAnsi"/>
          <w:sz w:val="24"/>
          <w:szCs w:val="24"/>
        </w:rPr>
        <w:t xml:space="preserve">were </w:t>
      </w:r>
      <w:r w:rsidR="00D41DE2" w:rsidRPr="003C277A">
        <w:rPr>
          <w:rFonts w:cstheme="minorHAnsi"/>
          <w:sz w:val="24"/>
          <w:szCs w:val="24"/>
        </w:rPr>
        <w:t>down</w:t>
      </w:r>
      <w:r w:rsidR="00D41DE2" w:rsidRPr="00D41DE2">
        <w:rPr>
          <w:rFonts w:cstheme="minorHAnsi"/>
          <w:sz w:val="24"/>
          <w:szCs w:val="24"/>
        </w:rPr>
        <w:t xml:space="preserve"> </w:t>
      </w:r>
      <w:r w:rsidRPr="00D41DE2">
        <w:rPr>
          <w:rFonts w:cstheme="minorHAnsi"/>
          <w:sz w:val="24"/>
          <w:szCs w:val="24"/>
        </w:rPr>
        <w:t>$</w:t>
      </w:r>
      <w:r w:rsidR="00D41DE2" w:rsidRPr="003C277A">
        <w:rPr>
          <w:rFonts w:cstheme="minorHAnsi"/>
          <w:sz w:val="24"/>
          <w:szCs w:val="24"/>
        </w:rPr>
        <w:t>9</w:t>
      </w:r>
      <w:r w:rsidR="00D41DE2" w:rsidRPr="00D41DE2">
        <w:rPr>
          <w:rFonts w:cstheme="minorHAnsi"/>
          <w:sz w:val="24"/>
          <w:szCs w:val="24"/>
        </w:rPr>
        <w:t xml:space="preserve"> </w:t>
      </w:r>
      <w:r w:rsidRPr="00D41DE2">
        <w:rPr>
          <w:rFonts w:cstheme="minorHAnsi"/>
          <w:sz w:val="24"/>
          <w:szCs w:val="24"/>
        </w:rPr>
        <w:t xml:space="preserve">million from the prior year, </w:t>
      </w:r>
      <w:r w:rsidRPr="00D41DE2">
        <w:rPr>
          <w:rFonts w:cstheme="minorHAnsi"/>
          <w:color w:val="0D0D0D" w:themeColor="text1" w:themeTint="F2"/>
          <w:sz w:val="24"/>
          <w:szCs w:val="24"/>
        </w:rPr>
        <w:t xml:space="preserve">mainly as a result of </w:t>
      </w:r>
      <w:r w:rsidR="00C942A0" w:rsidRPr="003C277A">
        <w:rPr>
          <w:rFonts w:cstheme="minorHAnsi"/>
          <w:color w:val="0D0D0D" w:themeColor="text1" w:themeTint="F2"/>
          <w:sz w:val="24"/>
          <w:szCs w:val="24"/>
        </w:rPr>
        <w:t>de</w:t>
      </w:r>
      <w:r w:rsidR="00C942A0" w:rsidRPr="00C942A0">
        <w:rPr>
          <w:rFonts w:cstheme="minorHAnsi"/>
          <w:color w:val="0D0D0D" w:themeColor="text1" w:themeTint="F2"/>
          <w:sz w:val="24"/>
          <w:szCs w:val="24"/>
        </w:rPr>
        <w:t xml:space="preserve">creased </w:t>
      </w:r>
      <w:r w:rsidRPr="00C942A0">
        <w:rPr>
          <w:rFonts w:cstheme="minorHAnsi"/>
          <w:color w:val="0D0D0D" w:themeColor="text1" w:themeTint="F2"/>
          <w:sz w:val="24"/>
          <w:szCs w:val="24"/>
        </w:rPr>
        <w:t xml:space="preserve">fundraising for </w:t>
      </w:r>
      <w:r w:rsidR="00286883">
        <w:rPr>
          <w:rFonts w:cstheme="minorHAnsi"/>
          <w:color w:val="0D0D0D" w:themeColor="text1" w:themeTint="F2"/>
          <w:sz w:val="24"/>
          <w:szCs w:val="24"/>
        </w:rPr>
        <w:t xml:space="preserve">USM </w:t>
      </w:r>
      <w:r w:rsidRPr="00C942A0">
        <w:rPr>
          <w:rFonts w:cstheme="minorHAnsi"/>
          <w:color w:val="0D0D0D" w:themeColor="text1" w:themeTint="F2"/>
          <w:sz w:val="24"/>
          <w:szCs w:val="24"/>
        </w:rPr>
        <w:t>capital projects</w:t>
      </w:r>
      <w:r w:rsidR="006B08B5" w:rsidRPr="00C942A0">
        <w:rPr>
          <w:rFonts w:cstheme="minorHAnsi"/>
          <w:color w:val="0D0D0D" w:themeColor="text1" w:themeTint="F2"/>
          <w:sz w:val="24"/>
          <w:szCs w:val="24"/>
        </w:rPr>
        <w:t xml:space="preserve"> </w:t>
      </w:r>
      <w:r w:rsidR="00E0077A" w:rsidRPr="00C942A0">
        <w:rPr>
          <w:rFonts w:cstheme="minorHAnsi"/>
          <w:color w:val="0D0D0D" w:themeColor="text1" w:themeTint="F2"/>
          <w:sz w:val="24"/>
          <w:szCs w:val="24"/>
        </w:rPr>
        <w:t>related to the Center for the Arts</w:t>
      </w:r>
      <w:r w:rsidRPr="00C942A0">
        <w:rPr>
          <w:rFonts w:cstheme="minorHAnsi"/>
          <w:color w:val="0D0D0D" w:themeColor="text1" w:themeTint="F2"/>
          <w:sz w:val="24"/>
          <w:szCs w:val="24"/>
        </w:rPr>
        <w:t>.</w:t>
      </w:r>
      <w:r w:rsidRPr="00C942A0">
        <w:rPr>
          <w:rFonts w:cstheme="minorHAnsi"/>
          <w:sz w:val="24"/>
          <w:szCs w:val="24"/>
        </w:rPr>
        <w:t xml:space="preserve"> </w:t>
      </w:r>
      <w:r w:rsidR="00D41DE2" w:rsidRPr="00D41DE2">
        <w:rPr>
          <w:rFonts w:cstheme="minorHAnsi"/>
          <w:sz w:val="24"/>
          <w:szCs w:val="24"/>
        </w:rPr>
        <w:t>FY2</w:t>
      </w:r>
      <w:r w:rsidR="00D41DE2" w:rsidRPr="003C277A">
        <w:rPr>
          <w:rFonts w:cstheme="minorHAnsi"/>
          <w:sz w:val="24"/>
          <w:szCs w:val="24"/>
        </w:rPr>
        <w:t>5</w:t>
      </w:r>
      <w:r w:rsidR="00D41DE2" w:rsidRPr="00D41DE2">
        <w:rPr>
          <w:rFonts w:cstheme="minorHAnsi"/>
          <w:sz w:val="24"/>
          <w:szCs w:val="24"/>
        </w:rPr>
        <w:t xml:space="preserve"> </w:t>
      </w:r>
      <w:r w:rsidRPr="00D41DE2">
        <w:rPr>
          <w:rFonts w:cstheme="minorHAnsi"/>
          <w:sz w:val="24"/>
          <w:szCs w:val="24"/>
        </w:rPr>
        <w:t xml:space="preserve">gifts from </w:t>
      </w:r>
      <w:r w:rsidRPr="00D41DE2">
        <w:rPr>
          <w:rFonts w:cstheme="minorHAnsi"/>
          <w:color w:val="0D0D0D" w:themeColor="text1" w:themeTint="F2"/>
          <w:sz w:val="24"/>
          <w:szCs w:val="24"/>
        </w:rPr>
        <w:t xml:space="preserve">university foundations </w:t>
      </w:r>
      <w:r w:rsidR="00D41DE2" w:rsidRPr="003C277A">
        <w:rPr>
          <w:rFonts w:cstheme="minorHAnsi"/>
          <w:color w:val="0D0D0D" w:themeColor="text1" w:themeTint="F2"/>
          <w:sz w:val="24"/>
          <w:szCs w:val="24"/>
        </w:rPr>
        <w:t>de</w:t>
      </w:r>
      <w:r w:rsidR="00D41DE2" w:rsidRPr="00D41DE2">
        <w:rPr>
          <w:rFonts w:cstheme="minorHAnsi"/>
          <w:color w:val="0D0D0D" w:themeColor="text1" w:themeTint="F2"/>
          <w:sz w:val="24"/>
          <w:szCs w:val="24"/>
        </w:rPr>
        <w:t xml:space="preserve">creased </w:t>
      </w:r>
      <w:r w:rsidRPr="00D41DE2">
        <w:rPr>
          <w:rFonts w:cstheme="minorHAnsi"/>
          <w:color w:val="0D0D0D" w:themeColor="text1" w:themeTint="F2"/>
          <w:sz w:val="24"/>
          <w:szCs w:val="24"/>
        </w:rPr>
        <w:t>$6 million, corporat</w:t>
      </w:r>
      <w:r w:rsidR="0034209C" w:rsidRPr="00D41DE2">
        <w:rPr>
          <w:rFonts w:cstheme="minorHAnsi"/>
          <w:color w:val="0D0D0D" w:themeColor="text1" w:themeTint="F2"/>
          <w:sz w:val="24"/>
          <w:szCs w:val="24"/>
        </w:rPr>
        <w:t>e</w:t>
      </w:r>
      <w:r w:rsidRPr="00D41DE2">
        <w:rPr>
          <w:rFonts w:cstheme="minorHAnsi"/>
          <w:color w:val="0D0D0D" w:themeColor="text1" w:themeTint="F2"/>
          <w:sz w:val="24"/>
          <w:szCs w:val="24"/>
        </w:rPr>
        <w:t xml:space="preserve"> </w:t>
      </w:r>
      <w:r w:rsidR="00D41DE2" w:rsidRPr="003C277A">
        <w:rPr>
          <w:rFonts w:cstheme="minorHAnsi"/>
          <w:color w:val="0D0D0D" w:themeColor="text1" w:themeTint="F2"/>
          <w:sz w:val="24"/>
          <w:szCs w:val="24"/>
        </w:rPr>
        <w:t>gifts</w:t>
      </w:r>
      <w:r w:rsidR="00D41DE2">
        <w:rPr>
          <w:rFonts w:cstheme="minorHAnsi"/>
          <w:color w:val="0D0D0D" w:themeColor="text1" w:themeTint="F2"/>
          <w:sz w:val="24"/>
          <w:szCs w:val="24"/>
        </w:rPr>
        <w:t>, gifts from non-profits and other donor types each</w:t>
      </w:r>
      <w:r w:rsidR="00D41DE2" w:rsidRPr="003C277A">
        <w:rPr>
          <w:rFonts w:cstheme="minorHAnsi"/>
          <w:color w:val="0D0D0D" w:themeColor="text1" w:themeTint="F2"/>
          <w:sz w:val="24"/>
          <w:szCs w:val="24"/>
        </w:rPr>
        <w:t xml:space="preserve"> decreased $1 million </w:t>
      </w:r>
      <w:r w:rsidR="00D41DE2">
        <w:rPr>
          <w:rFonts w:cstheme="minorHAnsi"/>
          <w:color w:val="0D0D0D" w:themeColor="text1" w:themeTint="F2"/>
          <w:sz w:val="24"/>
          <w:szCs w:val="24"/>
        </w:rPr>
        <w:t>while</w:t>
      </w:r>
      <w:r w:rsidR="00D41DE2" w:rsidRPr="00D41DE2">
        <w:rPr>
          <w:rFonts w:cstheme="minorHAnsi"/>
          <w:color w:val="0D0D0D" w:themeColor="text1" w:themeTint="F2"/>
          <w:sz w:val="24"/>
          <w:szCs w:val="24"/>
        </w:rPr>
        <w:t xml:space="preserve"> </w:t>
      </w:r>
      <w:r w:rsidR="00E0077A" w:rsidRPr="00D41DE2">
        <w:rPr>
          <w:rFonts w:cstheme="minorHAnsi"/>
          <w:color w:val="0D0D0D" w:themeColor="text1" w:themeTint="F2"/>
          <w:sz w:val="24"/>
          <w:szCs w:val="24"/>
        </w:rPr>
        <w:t xml:space="preserve">alumni </w:t>
      </w:r>
      <w:r w:rsidRPr="00D41DE2">
        <w:rPr>
          <w:rFonts w:cstheme="minorHAnsi"/>
          <w:color w:val="0D0D0D" w:themeColor="text1" w:themeTint="F2"/>
          <w:sz w:val="24"/>
          <w:szCs w:val="24"/>
        </w:rPr>
        <w:t xml:space="preserve">gifts remained flat.  </w:t>
      </w:r>
    </w:p>
    <w:p w14:paraId="4186FC00" w14:textId="77777777" w:rsidR="006B08B5" w:rsidRPr="004E6649" w:rsidRDefault="006B08B5" w:rsidP="00A83362">
      <w:pPr>
        <w:rPr>
          <w:rFonts w:cstheme="minorHAnsi"/>
          <w:sz w:val="24"/>
          <w:szCs w:val="24"/>
        </w:rPr>
      </w:pPr>
    </w:p>
    <w:p w14:paraId="31BA2847" w14:textId="3A4A2330" w:rsidR="00A83362" w:rsidRPr="004E6649" w:rsidRDefault="002F6B9E" w:rsidP="00A83362">
      <w:pPr>
        <w:rPr>
          <w:rFonts w:cstheme="minorHAnsi"/>
          <w:sz w:val="24"/>
          <w:szCs w:val="24"/>
        </w:rPr>
      </w:pPr>
      <w:r w:rsidRPr="004E6649">
        <w:rPr>
          <w:rFonts w:cstheme="minorHAnsi"/>
          <w:sz w:val="24"/>
          <w:szCs w:val="24"/>
        </w:rPr>
        <w:t>FY2</w:t>
      </w:r>
      <w:r>
        <w:rPr>
          <w:rFonts w:cstheme="minorHAnsi"/>
          <w:sz w:val="24"/>
          <w:szCs w:val="24"/>
        </w:rPr>
        <w:t>4</w:t>
      </w:r>
      <w:r w:rsidRPr="004E6649">
        <w:rPr>
          <w:rFonts w:cstheme="minorHAnsi"/>
          <w:sz w:val="24"/>
          <w:szCs w:val="24"/>
        </w:rPr>
        <w:t xml:space="preserve"> </w:t>
      </w:r>
      <w:r w:rsidR="00A83362" w:rsidRPr="004E6649">
        <w:rPr>
          <w:rFonts w:cstheme="minorHAnsi"/>
          <w:sz w:val="24"/>
          <w:szCs w:val="24"/>
        </w:rPr>
        <w:t xml:space="preserve">gifts </w:t>
      </w:r>
      <w:r w:rsidR="006B08B5" w:rsidRPr="004E6649">
        <w:rPr>
          <w:rFonts w:cstheme="minorHAnsi"/>
          <w:sz w:val="24"/>
          <w:szCs w:val="24"/>
        </w:rPr>
        <w:t xml:space="preserve">were </w:t>
      </w:r>
      <w:r>
        <w:rPr>
          <w:rFonts w:cstheme="minorHAnsi"/>
          <w:sz w:val="24"/>
          <w:szCs w:val="24"/>
        </w:rPr>
        <w:t>up</w:t>
      </w:r>
      <w:r w:rsidRPr="004E6649">
        <w:rPr>
          <w:rFonts w:cstheme="minorHAnsi"/>
          <w:sz w:val="24"/>
          <w:szCs w:val="24"/>
        </w:rPr>
        <w:t xml:space="preserve"> </w:t>
      </w:r>
      <w:r w:rsidR="006B08B5" w:rsidRPr="004E6649">
        <w:rPr>
          <w:rFonts w:cstheme="minorHAnsi"/>
          <w:sz w:val="24"/>
          <w:szCs w:val="24"/>
        </w:rPr>
        <w:t>$</w:t>
      </w:r>
      <w:r w:rsidR="00E0077A">
        <w:rPr>
          <w:rFonts w:cstheme="minorHAnsi"/>
          <w:sz w:val="24"/>
          <w:szCs w:val="24"/>
        </w:rPr>
        <w:t>1</w:t>
      </w:r>
      <w:r>
        <w:rPr>
          <w:rFonts w:cstheme="minorHAnsi"/>
          <w:sz w:val="24"/>
          <w:szCs w:val="24"/>
        </w:rPr>
        <w:t>0</w:t>
      </w:r>
      <w:r w:rsidR="006B08B5" w:rsidRPr="004E6649">
        <w:rPr>
          <w:rFonts w:cstheme="minorHAnsi"/>
          <w:sz w:val="24"/>
          <w:szCs w:val="24"/>
        </w:rPr>
        <w:t xml:space="preserve"> million from the prior year</w:t>
      </w:r>
      <w:r w:rsidRPr="004E6649">
        <w:rPr>
          <w:rFonts w:cstheme="minorHAnsi"/>
          <w:sz w:val="24"/>
          <w:szCs w:val="24"/>
        </w:rPr>
        <w:t xml:space="preserve">, </w:t>
      </w:r>
      <w:r w:rsidRPr="00E0077A">
        <w:rPr>
          <w:rFonts w:cstheme="minorHAnsi"/>
          <w:color w:val="0D0D0D" w:themeColor="text1" w:themeTint="F2"/>
          <w:sz w:val="24"/>
          <w:szCs w:val="24"/>
        </w:rPr>
        <w:t>mainly as a result of increased fundraising for capital projects at USM related to the Career and Student Success Center as well as the Center for the Arts.</w:t>
      </w:r>
      <w:r w:rsidRPr="004E6649">
        <w:rPr>
          <w:rFonts w:cstheme="minorHAnsi"/>
          <w:sz w:val="24"/>
          <w:szCs w:val="24"/>
        </w:rPr>
        <w:t xml:space="preserve"> FY2</w:t>
      </w:r>
      <w:r>
        <w:rPr>
          <w:rFonts w:cstheme="minorHAnsi"/>
          <w:sz w:val="24"/>
          <w:szCs w:val="24"/>
        </w:rPr>
        <w:t>4</w:t>
      </w:r>
      <w:r w:rsidRPr="004E6649">
        <w:rPr>
          <w:rFonts w:cstheme="minorHAnsi"/>
          <w:sz w:val="24"/>
          <w:szCs w:val="24"/>
        </w:rPr>
        <w:t xml:space="preserve"> gifts from </w:t>
      </w:r>
      <w:r w:rsidRPr="004E6649">
        <w:rPr>
          <w:rFonts w:cstheme="minorHAnsi"/>
          <w:color w:val="0D0D0D" w:themeColor="text1" w:themeTint="F2"/>
          <w:sz w:val="24"/>
          <w:szCs w:val="24"/>
        </w:rPr>
        <w:t xml:space="preserve">university foundations </w:t>
      </w:r>
      <w:r>
        <w:rPr>
          <w:rFonts w:cstheme="minorHAnsi"/>
          <w:color w:val="0D0D0D" w:themeColor="text1" w:themeTint="F2"/>
          <w:sz w:val="24"/>
          <w:szCs w:val="24"/>
        </w:rPr>
        <w:t>in</w:t>
      </w:r>
      <w:r w:rsidRPr="004E6649">
        <w:rPr>
          <w:rFonts w:cstheme="minorHAnsi"/>
          <w:color w:val="0D0D0D" w:themeColor="text1" w:themeTint="F2"/>
          <w:sz w:val="24"/>
          <w:szCs w:val="24"/>
        </w:rPr>
        <w:t>creased $16 million, while corporat</w:t>
      </w:r>
      <w:r>
        <w:rPr>
          <w:rFonts w:cstheme="minorHAnsi"/>
          <w:color w:val="0D0D0D" w:themeColor="text1" w:themeTint="F2"/>
          <w:sz w:val="24"/>
          <w:szCs w:val="24"/>
        </w:rPr>
        <w:t>e</w:t>
      </w:r>
      <w:r w:rsidRPr="004E6649">
        <w:rPr>
          <w:rFonts w:cstheme="minorHAnsi"/>
          <w:color w:val="0D0D0D" w:themeColor="text1" w:themeTint="F2"/>
          <w:sz w:val="24"/>
          <w:szCs w:val="24"/>
        </w:rPr>
        <w:t xml:space="preserve"> </w:t>
      </w:r>
      <w:r>
        <w:rPr>
          <w:rFonts w:cstheme="minorHAnsi"/>
          <w:color w:val="0D0D0D" w:themeColor="text1" w:themeTint="F2"/>
          <w:sz w:val="24"/>
          <w:szCs w:val="24"/>
        </w:rPr>
        <w:t xml:space="preserve">and alumni </w:t>
      </w:r>
      <w:r w:rsidRPr="004E6649">
        <w:rPr>
          <w:rFonts w:cstheme="minorHAnsi"/>
          <w:color w:val="0D0D0D" w:themeColor="text1" w:themeTint="F2"/>
          <w:sz w:val="24"/>
          <w:szCs w:val="24"/>
        </w:rPr>
        <w:t xml:space="preserve">gifts remained flat.  Gifts from non-profits </w:t>
      </w:r>
      <w:r>
        <w:rPr>
          <w:rFonts w:cstheme="minorHAnsi"/>
          <w:color w:val="0D0D0D" w:themeColor="text1" w:themeTint="F2"/>
          <w:sz w:val="24"/>
          <w:szCs w:val="24"/>
        </w:rPr>
        <w:t>de</w:t>
      </w:r>
      <w:r w:rsidRPr="004E6649">
        <w:rPr>
          <w:rFonts w:cstheme="minorHAnsi"/>
          <w:color w:val="0D0D0D" w:themeColor="text1" w:themeTint="F2"/>
          <w:sz w:val="24"/>
          <w:szCs w:val="24"/>
        </w:rPr>
        <w:t>creased $</w:t>
      </w:r>
      <w:r>
        <w:rPr>
          <w:rFonts w:cstheme="minorHAnsi"/>
          <w:color w:val="0D0D0D" w:themeColor="text1" w:themeTint="F2"/>
          <w:sz w:val="24"/>
          <w:szCs w:val="24"/>
        </w:rPr>
        <w:t>1</w:t>
      </w:r>
      <w:r w:rsidRPr="004E6649">
        <w:rPr>
          <w:rFonts w:cstheme="minorHAnsi"/>
          <w:color w:val="0D0D0D" w:themeColor="text1" w:themeTint="F2"/>
          <w:sz w:val="24"/>
          <w:szCs w:val="24"/>
        </w:rPr>
        <w:t xml:space="preserve"> million while other donor types </w:t>
      </w:r>
      <w:r>
        <w:rPr>
          <w:rFonts w:cstheme="minorHAnsi"/>
          <w:color w:val="0D0D0D" w:themeColor="text1" w:themeTint="F2"/>
          <w:sz w:val="24"/>
          <w:szCs w:val="24"/>
        </w:rPr>
        <w:t>de</w:t>
      </w:r>
      <w:r w:rsidRPr="004E6649">
        <w:rPr>
          <w:rFonts w:cstheme="minorHAnsi"/>
          <w:color w:val="0D0D0D" w:themeColor="text1" w:themeTint="F2"/>
          <w:sz w:val="24"/>
          <w:szCs w:val="24"/>
        </w:rPr>
        <w:t>creased $</w:t>
      </w:r>
      <w:r>
        <w:rPr>
          <w:rFonts w:cstheme="minorHAnsi"/>
          <w:color w:val="0D0D0D" w:themeColor="text1" w:themeTint="F2"/>
          <w:sz w:val="24"/>
          <w:szCs w:val="24"/>
        </w:rPr>
        <w:t>5</w:t>
      </w:r>
      <w:r w:rsidRPr="004E6649">
        <w:rPr>
          <w:rFonts w:cstheme="minorHAnsi"/>
          <w:color w:val="0D0D0D" w:themeColor="text1" w:themeTint="F2"/>
          <w:sz w:val="24"/>
          <w:szCs w:val="24"/>
        </w:rPr>
        <w:t xml:space="preserve"> million</w:t>
      </w:r>
      <w:r w:rsidRPr="004E6649">
        <w:rPr>
          <w:rFonts w:cstheme="minorHAnsi"/>
          <w:sz w:val="24"/>
          <w:szCs w:val="24"/>
        </w:rPr>
        <w:t>.</w:t>
      </w:r>
      <w:r w:rsidR="00A83362" w:rsidRPr="004E6649">
        <w:rPr>
          <w:rFonts w:cstheme="minorHAnsi"/>
          <w:sz w:val="24"/>
          <w:szCs w:val="24"/>
        </w:rPr>
        <w:t xml:space="preserve"> </w:t>
      </w:r>
    </w:p>
    <w:p w14:paraId="4DA803C2" w14:textId="77777777" w:rsidR="00A83362" w:rsidRPr="004E6649" w:rsidRDefault="00A83362" w:rsidP="00A83362">
      <w:pPr>
        <w:rPr>
          <w:rFonts w:cstheme="minorHAnsi"/>
          <w:sz w:val="20"/>
          <w:szCs w:val="24"/>
        </w:rPr>
      </w:pPr>
    </w:p>
    <w:p w14:paraId="4A2C2D6A" w14:textId="0CEDAA53" w:rsidR="0048617B" w:rsidRDefault="00A83362" w:rsidP="0048617B">
      <w:pPr>
        <w:spacing w:after="120"/>
        <w:rPr>
          <w:rFonts w:cstheme="minorHAnsi"/>
          <w:sz w:val="24"/>
          <w:szCs w:val="24"/>
        </w:rPr>
      </w:pPr>
      <w:r w:rsidRPr="004E6649">
        <w:rPr>
          <w:rFonts w:cstheme="minorHAnsi"/>
          <w:sz w:val="24"/>
          <w:szCs w:val="24"/>
        </w:rPr>
        <w:t>Of the $</w:t>
      </w:r>
      <w:r w:rsidR="00D41DE2" w:rsidRPr="003C277A">
        <w:rPr>
          <w:rFonts w:cstheme="minorHAnsi"/>
          <w:sz w:val="24"/>
          <w:szCs w:val="24"/>
        </w:rPr>
        <w:t>36</w:t>
      </w:r>
      <w:r w:rsidR="00D41DE2" w:rsidRPr="00D41DE2">
        <w:rPr>
          <w:rFonts w:cstheme="minorHAnsi"/>
          <w:sz w:val="24"/>
          <w:szCs w:val="24"/>
        </w:rPr>
        <w:t xml:space="preserve"> </w:t>
      </w:r>
      <w:r w:rsidRPr="00D41DE2">
        <w:rPr>
          <w:rFonts w:cstheme="minorHAnsi"/>
          <w:sz w:val="24"/>
          <w:szCs w:val="24"/>
        </w:rPr>
        <w:t xml:space="preserve">million in gifts received in </w:t>
      </w:r>
      <w:r w:rsidR="002F6B9E" w:rsidRPr="00D41DE2">
        <w:rPr>
          <w:rFonts w:cstheme="minorHAnsi"/>
          <w:sz w:val="24"/>
          <w:szCs w:val="24"/>
        </w:rPr>
        <w:t>FY25</w:t>
      </w:r>
      <w:r w:rsidRPr="00D41DE2">
        <w:rPr>
          <w:rFonts w:cstheme="minorHAnsi"/>
          <w:sz w:val="24"/>
          <w:szCs w:val="24"/>
        </w:rPr>
        <w:t xml:space="preserve">, </w:t>
      </w:r>
      <w:r w:rsidR="00E0077A" w:rsidRPr="00D41DE2">
        <w:rPr>
          <w:rFonts w:cstheme="minorHAnsi"/>
          <w:sz w:val="24"/>
          <w:szCs w:val="24"/>
        </w:rPr>
        <w:t>96</w:t>
      </w:r>
      <w:r w:rsidRPr="00D41DE2">
        <w:rPr>
          <w:rFonts w:cstheme="minorHAnsi"/>
          <w:sz w:val="24"/>
          <w:szCs w:val="24"/>
        </w:rPr>
        <w:t xml:space="preserve">% were restricted, </w:t>
      </w:r>
      <w:r w:rsidR="00E0077A" w:rsidRPr="00D41DE2">
        <w:rPr>
          <w:rFonts w:cstheme="minorHAnsi"/>
          <w:sz w:val="24"/>
          <w:szCs w:val="24"/>
        </w:rPr>
        <w:t>3</w:t>
      </w:r>
      <w:r w:rsidRPr="00D41DE2">
        <w:rPr>
          <w:rFonts w:cstheme="minorHAnsi"/>
          <w:sz w:val="24"/>
          <w:szCs w:val="24"/>
        </w:rPr>
        <w:t>% were endowed, and 1%</w:t>
      </w:r>
      <w:r w:rsidRPr="004E6649">
        <w:rPr>
          <w:rFonts w:cstheme="minorHAnsi"/>
          <w:sz w:val="24"/>
          <w:szCs w:val="24"/>
        </w:rPr>
        <w:t xml:space="preserve"> were unrestricted. </w:t>
      </w:r>
      <w:r w:rsidR="00E0077A" w:rsidRPr="004E6649">
        <w:rPr>
          <w:rFonts w:cstheme="minorHAnsi"/>
          <w:sz w:val="24"/>
          <w:szCs w:val="24"/>
        </w:rPr>
        <w:t>Of the $</w:t>
      </w:r>
      <w:r w:rsidR="002F6B9E">
        <w:rPr>
          <w:rFonts w:cstheme="minorHAnsi"/>
          <w:sz w:val="24"/>
          <w:szCs w:val="24"/>
        </w:rPr>
        <w:t>4</w:t>
      </w:r>
      <w:r w:rsidR="002F6B9E" w:rsidRPr="004E6649">
        <w:rPr>
          <w:rFonts w:cstheme="minorHAnsi"/>
          <w:sz w:val="24"/>
          <w:szCs w:val="24"/>
        </w:rPr>
        <w:t xml:space="preserve">5 </w:t>
      </w:r>
      <w:r w:rsidR="00E0077A" w:rsidRPr="004E6649">
        <w:rPr>
          <w:rFonts w:cstheme="minorHAnsi"/>
          <w:sz w:val="24"/>
          <w:szCs w:val="24"/>
        </w:rPr>
        <w:t xml:space="preserve">million in gifts received in </w:t>
      </w:r>
      <w:r w:rsidR="002F6B9E" w:rsidRPr="004E6649">
        <w:rPr>
          <w:rFonts w:cstheme="minorHAnsi"/>
          <w:sz w:val="24"/>
          <w:szCs w:val="24"/>
        </w:rPr>
        <w:t>FY2</w:t>
      </w:r>
      <w:r w:rsidR="002F6B9E">
        <w:rPr>
          <w:rFonts w:cstheme="minorHAnsi"/>
          <w:sz w:val="24"/>
          <w:szCs w:val="24"/>
        </w:rPr>
        <w:t>4</w:t>
      </w:r>
      <w:r w:rsidR="00E0077A" w:rsidRPr="004E6649">
        <w:rPr>
          <w:rFonts w:cstheme="minorHAnsi"/>
          <w:sz w:val="24"/>
          <w:szCs w:val="24"/>
        </w:rPr>
        <w:t xml:space="preserve">, </w:t>
      </w:r>
      <w:r w:rsidR="002F6B9E">
        <w:rPr>
          <w:rFonts w:cstheme="minorHAnsi"/>
          <w:sz w:val="24"/>
          <w:szCs w:val="24"/>
        </w:rPr>
        <w:t>96</w:t>
      </w:r>
      <w:r w:rsidR="00E0077A" w:rsidRPr="004E6649">
        <w:rPr>
          <w:rFonts w:cstheme="minorHAnsi"/>
          <w:sz w:val="24"/>
          <w:szCs w:val="24"/>
        </w:rPr>
        <w:t xml:space="preserve">% were restricted, </w:t>
      </w:r>
      <w:r w:rsidR="002F6B9E">
        <w:rPr>
          <w:rFonts w:cstheme="minorHAnsi"/>
          <w:sz w:val="24"/>
          <w:szCs w:val="24"/>
        </w:rPr>
        <w:t>3</w:t>
      </w:r>
      <w:r w:rsidR="00E0077A" w:rsidRPr="004E6649">
        <w:rPr>
          <w:rFonts w:cstheme="minorHAnsi"/>
          <w:sz w:val="24"/>
          <w:szCs w:val="24"/>
        </w:rPr>
        <w:t>% were endowed, and 1% were unrestricted.</w:t>
      </w:r>
    </w:p>
    <w:p w14:paraId="147FBD97" w14:textId="54A60048" w:rsidR="00254258" w:rsidRDefault="00D41DE2" w:rsidP="00254258">
      <w:pPr>
        <w:spacing w:after="120"/>
        <w:jc w:val="center"/>
        <w:rPr>
          <w:rFonts w:cstheme="minorHAnsi"/>
          <w:sz w:val="24"/>
          <w:szCs w:val="24"/>
        </w:rPr>
      </w:pPr>
      <w:r>
        <w:rPr>
          <w:noProof/>
          <w14:ligatures w14:val="standardContextual"/>
        </w:rPr>
        <w:lastRenderedPageBreak/>
        <w:drawing>
          <wp:inline distT="0" distB="0" distL="0" distR="0" wp14:anchorId="4CB7DC1F" wp14:editId="6C4B6069">
            <wp:extent cx="4306885" cy="2651760"/>
            <wp:effectExtent l="0" t="0" r="0" b="0"/>
            <wp:docPr id="86628343" name="Chart 1" descr="Chart 10: Gifts by donor type">
              <a:extLst xmlns:a="http://schemas.openxmlformats.org/drawingml/2006/main">
                <a:ext uri="{FF2B5EF4-FFF2-40B4-BE49-F238E27FC236}">
                  <a16:creationId xmlns:a16="http://schemas.microsoft.com/office/drawing/2014/main" id="{00000000-0008-0000-00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bl>
      <w:tblPr>
        <w:tblW w:w="7370" w:type="dxa"/>
        <w:jc w:val="center"/>
        <w:tblLook w:val="04A0" w:firstRow="1" w:lastRow="0" w:firstColumn="1" w:lastColumn="0" w:noHBand="0" w:noVBand="1"/>
      </w:tblPr>
      <w:tblGrid>
        <w:gridCol w:w="1170"/>
        <w:gridCol w:w="1260"/>
        <w:gridCol w:w="1440"/>
        <w:gridCol w:w="1260"/>
        <w:gridCol w:w="900"/>
        <w:gridCol w:w="700"/>
        <w:gridCol w:w="640"/>
      </w:tblGrid>
      <w:tr w:rsidR="006220AB" w:rsidRPr="004E6649" w14:paraId="37B08383" w14:textId="77777777" w:rsidTr="002F6B9E">
        <w:trPr>
          <w:trHeight w:val="422"/>
          <w:jc w:val="center"/>
        </w:trPr>
        <w:tc>
          <w:tcPr>
            <w:tcW w:w="1170" w:type="dxa"/>
            <w:tcBorders>
              <w:top w:val="single" w:sz="4" w:space="0" w:color="000000"/>
              <w:left w:val="nil"/>
              <w:bottom w:val="single" w:sz="4" w:space="0" w:color="000000"/>
              <w:right w:val="nil"/>
            </w:tcBorders>
            <w:noWrap/>
            <w:vAlign w:val="bottom"/>
            <w:hideMark/>
          </w:tcPr>
          <w:p w14:paraId="65921F8F" w14:textId="77777777" w:rsidR="006220AB" w:rsidRPr="00B57146" w:rsidRDefault="006220AB" w:rsidP="006220AB">
            <w:pPr>
              <w:jc w:val="center"/>
              <w:rPr>
                <w:rFonts w:eastAsia="Times New Roman" w:cstheme="minorHAnsi"/>
                <w:b/>
                <w:bCs/>
                <w:color w:val="000000"/>
                <w:sz w:val="20"/>
                <w:szCs w:val="20"/>
              </w:rPr>
            </w:pPr>
            <w:r w:rsidRPr="00B57146">
              <w:rPr>
                <w:rFonts w:eastAsia="Times New Roman" w:cstheme="minorHAnsi"/>
                <w:b/>
                <w:bCs/>
                <w:color w:val="000000"/>
                <w:sz w:val="20"/>
                <w:szCs w:val="20"/>
              </w:rPr>
              <w:t>Fiscal Year</w:t>
            </w:r>
          </w:p>
        </w:tc>
        <w:tc>
          <w:tcPr>
            <w:tcW w:w="1260" w:type="dxa"/>
            <w:tcBorders>
              <w:top w:val="single" w:sz="4" w:space="0" w:color="000000"/>
              <w:left w:val="nil"/>
              <w:bottom w:val="single" w:sz="4" w:space="0" w:color="000000"/>
              <w:right w:val="nil"/>
            </w:tcBorders>
            <w:vAlign w:val="bottom"/>
            <w:hideMark/>
          </w:tcPr>
          <w:p w14:paraId="31D1B067" w14:textId="6BAC8F5A" w:rsidR="006220AB" w:rsidRPr="00B57146" w:rsidRDefault="006220AB" w:rsidP="0048617B">
            <w:pPr>
              <w:jc w:val="center"/>
              <w:rPr>
                <w:rFonts w:eastAsia="Times New Roman" w:cstheme="minorHAnsi"/>
                <w:b/>
                <w:bCs/>
                <w:color w:val="000000"/>
                <w:sz w:val="20"/>
                <w:szCs w:val="20"/>
              </w:rPr>
            </w:pPr>
            <w:r w:rsidRPr="00B57146">
              <w:rPr>
                <w:rFonts w:eastAsia="Times New Roman" w:cstheme="minorHAnsi"/>
                <w:b/>
                <w:bCs/>
                <w:color w:val="000000"/>
                <w:sz w:val="20"/>
                <w:szCs w:val="20"/>
              </w:rPr>
              <w:t>University</w:t>
            </w:r>
            <w:r w:rsidR="0048617B" w:rsidRPr="00B57146">
              <w:rPr>
                <w:rFonts w:eastAsia="Times New Roman" w:cstheme="minorHAnsi"/>
                <w:b/>
                <w:bCs/>
                <w:color w:val="000000"/>
                <w:sz w:val="20"/>
                <w:szCs w:val="20"/>
              </w:rPr>
              <w:t xml:space="preserve"> </w:t>
            </w:r>
            <w:r w:rsidRPr="00B57146">
              <w:rPr>
                <w:rFonts w:eastAsia="Times New Roman" w:cstheme="minorHAnsi"/>
                <w:b/>
                <w:bCs/>
                <w:color w:val="000000"/>
                <w:sz w:val="20"/>
                <w:szCs w:val="20"/>
              </w:rPr>
              <w:t>Foundations</w:t>
            </w:r>
          </w:p>
        </w:tc>
        <w:tc>
          <w:tcPr>
            <w:tcW w:w="1440" w:type="dxa"/>
            <w:tcBorders>
              <w:top w:val="single" w:sz="4" w:space="0" w:color="000000"/>
              <w:left w:val="nil"/>
              <w:bottom w:val="single" w:sz="4" w:space="0" w:color="000000"/>
              <w:right w:val="nil"/>
            </w:tcBorders>
            <w:noWrap/>
            <w:vAlign w:val="bottom"/>
            <w:hideMark/>
          </w:tcPr>
          <w:p w14:paraId="54693822" w14:textId="77777777" w:rsidR="006220AB" w:rsidRPr="00B57146" w:rsidRDefault="006220AB" w:rsidP="006220AB">
            <w:pPr>
              <w:jc w:val="center"/>
              <w:rPr>
                <w:rFonts w:eastAsia="Times New Roman" w:cstheme="minorHAnsi"/>
                <w:b/>
                <w:bCs/>
                <w:color w:val="000000"/>
                <w:sz w:val="20"/>
                <w:szCs w:val="20"/>
              </w:rPr>
            </w:pPr>
            <w:r w:rsidRPr="00B57146">
              <w:rPr>
                <w:rFonts w:eastAsia="Times New Roman" w:cstheme="minorHAnsi"/>
                <w:b/>
                <w:bCs/>
                <w:color w:val="000000"/>
                <w:sz w:val="20"/>
                <w:szCs w:val="20"/>
              </w:rPr>
              <w:t>Corporations</w:t>
            </w:r>
          </w:p>
        </w:tc>
        <w:tc>
          <w:tcPr>
            <w:tcW w:w="1260" w:type="dxa"/>
            <w:tcBorders>
              <w:top w:val="single" w:sz="4" w:space="0" w:color="000000"/>
              <w:left w:val="nil"/>
              <w:bottom w:val="single" w:sz="4" w:space="0" w:color="000000"/>
              <w:right w:val="nil"/>
            </w:tcBorders>
            <w:noWrap/>
            <w:vAlign w:val="bottom"/>
            <w:hideMark/>
          </w:tcPr>
          <w:p w14:paraId="639B4C96" w14:textId="77777777" w:rsidR="006220AB" w:rsidRPr="00B57146" w:rsidRDefault="006220AB" w:rsidP="006220AB">
            <w:pPr>
              <w:jc w:val="center"/>
              <w:rPr>
                <w:rFonts w:eastAsia="Times New Roman" w:cstheme="minorHAnsi"/>
                <w:b/>
                <w:bCs/>
                <w:color w:val="000000"/>
                <w:sz w:val="20"/>
                <w:szCs w:val="20"/>
              </w:rPr>
            </w:pPr>
            <w:r w:rsidRPr="00B57146">
              <w:rPr>
                <w:rFonts w:eastAsia="Times New Roman" w:cstheme="minorHAnsi"/>
                <w:b/>
                <w:bCs/>
                <w:color w:val="000000"/>
                <w:sz w:val="20"/>
                <w:szCs w:val="20"/>
              </w:rPr>
              <w:t>Non-Profits</w:t>
            </w:r>
          </w:p>
        </w:tc>
        <w:tc>
          <w:tcPr>
            <w:tcW w:w="900" w:type="dxa"/>
            <w:tcBorders>
              <w:top w:val="single" w:sz="4" w:space="0" w:color="000000"/>
              <w:left w:val="nil"/>
              <w:bottom w:val="single" w:sz="4" w:space="0" w:color="000000"/>
              <w:right w:val="nil"/>
            </w:tcBorders>
            <w:noWrap/>
            <w:vAlign w:val="bottom"/>
            <w:hideMark/>
          </w:tcPr>
          <w:p w14:paraId="57D60755" w14:textId="77777777" w:rsidR="006220AB" w:rsidRPr="00B57146" w:rsidRDefault="006220AB" w:rsidP="006220AB">
            <w:pPr>
              <w:jc w:val="center"/>
              <w:rPr>
                <w:rFonts w:eastAsia="Times New Roman" w:cstheme="minorHAnsi"/>
                <w:b/>
                <w:bCs/>
                <w:color w:val="000000"/>
                <w:sz w:val="20"/>
                <w:szCs w:val="20"/>
              </w:rPr>
            </w:pPr>
            <w:r w:rsidRPr="00B57146">
              <w:rPr>
                <w:rFonts w:eastAsia="Times New Roman" w:cstheme="minorHAnsi"/>
                <w:b/>
                <w:bCs/>
                <w:color w:val="000000"/>
                <w:sz w:val="20"/>
                <w:szCs w:val="20"/>
              </w:rPr>
              <w:t>Alumni</w:t>
            </w:r>
          </w:p>
        </w:tc>
        <w:tc>
          <w:tcPr>
            <w:tcW w:w="700" w:type="dxa"/>
            <w:tcBorders>
              <w:top w:val="single" w:sz="4" w:space="0" w:color="000000"/>
              <w:left w:val="nil"/>
              <w:bottom w:val="single" w:sz="4" w:space="0" w:color="000000"/>
              <w:right w:val="nil"/>
            </w:tcBorders>
            <w:noWrap/>
            <w:vAlign w:val="bottom"/>
            <w:hideMark/>
          </w:tcPr>
          <w:p w14:paraId="48E436D9" w14:textId="77777777" w:rsidR="006220AB" w:rsidRPr="00B57146" w:rsidRDefault="006220AB" w:rsidP="006220AB">
            <w:pPr>
              <w:jc w:val="center"/>
              <w:rPr>
                <w:rFonts w:eastAsia="Times New Roman" w:cstheme="minorHAnsi"/>
                <w:b/>
                <w:bCs/>
                <w:color w:val="000000"/>
                <w:sz w:val="20"/>
                <w:szCs w:val="20"/>
              </w:rPr>
            </w:pPr>
            <w:r w:rsidRPr="00B57146">
              <w:rPr>
                <w:rFonts w:eastAsia="Times New Roman" w:cstheme="minorHAnsi"/>
                <w:b/>
                <w:bCs/>
                <w:color w:val="000000"/>
                <w:sz w:val="20"/>
                <w:szCs w:val="20"/>
              </w:rPr>
              <w:t>Other</w:t>
            </w:r>
          </w:p>
        </w:tc>
        <w:tc>
          <w:tcPr>
            <w:tcW w:w="640" w:type="dxa"/>
            <w:tcBorders>
              <w:top w:val="single" w:sz="4" w:space="0" w:color="000000"/>
              <w:left w:val="nil"/>
              <w:bottom w:val="single" w:sz="4" w:space="0" w:color="000000"/>
              <w:right w:val="nil"/>
            </w:tcBorders>
            <w:noWrap/>
            <w:vAlign w:val="bottom"/>
            <w:hideMark/>
          </w:tcPr>
          <w:p w14:paraId="7618FD0B" w14:textId="77777777" w:rsidR="006220AB" w:rsidRPr="00B57146" w:rsidRDefault="006220AB" w:rsidP="006220AB">
            <w:pPr>
              <w:jc w:val="center"/>
              <w:rPr>
                <w:rFonts w:eastAsia="Times New Roman" w:cstheme="minorHAnsi"/>
                <w:b/>
                <w:bCs/>
                <w:color w:val="000000"/>
                <w:sz w:val="20"/>
                <w:szCs w:val="20"/>
              </w:rPr>
            </w:pPr>
            <w:r w:rsidRPr="00B57146">
              <w:rPr>
                <w:rFonts w:eastAsia="Times New Roman" w:cstheme="minorHAnsi"/>
                <w:b/>
                <w:bCs/>
                <w:color w:val="000000"/>
                <w:sz w:val="20"/>
                <w:szCs w:val="20"/>
              </w:rPr>
              <w:t>Total</w:t>
            </w:r>
          </w:p>
        </w:tc>
      </w:tr>
      <w:tr w:rsidR="002F6B9E" w:rsidRPr="004E6649" w14:paraId="55167FF6" w14:textId="77777777" w:rsidTr="002F6B9E">
        <w:trPr>
          <w:trHeight w:val="107"/>
          <w:jc w:val="center"/>
        </w:trPr>
        <w:tc>
          <w:tcPr>
            <w:tcW w:w="1170" w:type="dxa"/>
            <w:tcBorders>
              <w:top w:val="nil"/>
              <w:left w:val="nil"/>
              <w:bottom w:val="nil"/>
              <w:right w:val="nil"/>
            </w:tcBorders>
            <w:noWrap/>
            <w:vAlign w:val="bottom"/>
            <w:hideMark/>
          </w:tcPr>
          <w:p w14:paraId="09B1FD74" w14:textId="7383AE99" w:rsidR="002F6B9E" w:rsidRPr="00B57146" w:rsidRDefault="002F6B9E" w:rsidP="002F6B9E">
            <w:pPr>
              <w:rPr>
                <w:rFonts w:eastAsia="Times New Roman" w:cstheme="minorHAnsi"/>
                <w:color w:val="000000"/>
                <w:sz w:val="20"/>
                <w:szCs w:val="20"/>
              </w:rPr>
            </w:pPr>
            <w:r w:rsidRPr="00B57146">
              <w:rPr>
                <w:rFonts w:eastAsia="Times New Roman" w:cstheme="minorHAnsi"/>
                <w:color w:val="000000"/>
                <w:sz w:val="20"/>
                <w:szCs w:val="20"/>
              </w:rPr>
              <w:t>FY21</w:t>
            </w:r>
          </w:p>
        </w:tc>
        <w:tc>
          <w:tcPr>
            <w:tcW w:w="1260" w:type="dxa"/>
            <w:tcBorders>
              <w:top w:val="nil"/>
              <w:left w:val="nil"/>
              <w:bottom w:val="nil"/>
              <w:right w:val="nil"/>
            </w:tcBorders>
            <w:noWrap/>
            <w:vAlign w:val="bottom"/>
            <w:hideMark/>
          </w:tcPr>
          <w:p w14:paraId="0C54FBD9" w14:textId="4E7F0737" w:rsidR="002F6B9E" w:rsidRPr="00B57146" w:rsidRDefault="002F6B9E" w:rsidP="002F6B9E">
            <w:pPr>
              <w:ind w:right="-15"/>
              <w:jc w:val="right"/>
              <w:rPr>
                <w:rFonts w:eastAsia="Times New Roman" w:cstheme="minorHAnsi"/>
                <w:color w:val="000000"/>
                <w:sz w:val="20"/>
                <w:szCs w:val="20"/>
              </w:rPr>
            </w:pPr>
            <w:r w:rsidRPr="00B57146">
              <w:rPr>
                <w:rFonts w:eastAsia="Times New Roman" w:cstheme="minorHAnsi"/>
                <w:color w:val="000000"/>
                <w:sz w:val="20"/>
                <w:szCs w:val="20"/>
              </w:rPr>
              <w:t xml:space="preserve">$15 </w:t>
            </w:r>
          </w:p>
        </w:tc>
        <w:tc>
          <w:tcPr>
            <w:tcW w:w="1440" w:type="dxa"/>
            <w:tcBorders>
              <w:top w:val="nil"/>
              <w:left w:val="nil"/>
              <w:bottom w:val="nil"/>
              <w:right w:val="nil"/>
            </w:tcBorders>
            <w:noWrap/>
            <w:vAlign w:val="bottom"/>
            <w:hideMark/>
          </w:tcPr>
          <w:p w14:paraId="334E69DB" w14:textId="3E497FA2" w:rsidR="002F6B9E" w:rsidRPr="00B57146" w:rsidRDefault="002F6B9E" w:rsidP="002F6B9E">
            <w:pPr>
              <w:ind w:right="-15"/>
              <w:jc w:val="right"/>
              <w:rPr>
                <w:rFonts w:eastAsia="Times New Roman" w:cstheme="minorHAnsi"/>
                <w:sz w:val="20"/>
                <w:szCs w:val="20"/>
              </w:rPr>
            </w:pPr>
            <w:r w:rsidRPr="00B57146">
              <w:rPr>
                <w:rFonts w:eastAsia="Times New Roman" w:cstheme="minorHAnsi"/>
                <w:color w:val="000000"/>
                <w:sz w:val="20"/>
                <w:szCs w:val="20"/>
              </w:rPr>
              <w:t xml:space="preserve">$2 </w:t>
            </w:r>
          </w:p>
        </w:tc>
        <w:tc>
          <w:tcPr>
            <w:tcW w:w="1260" w:type="dxa"/>
            <w:tcBorders>
              <w:top w:val="nil"/>
              <w:left w:val="nil"/>
              <w:bottom w:val="nil"/>
              <w:right w:val="nil"/>
            </w:tcBorders>
            <w:noWrap/>
            <w:vAlign w:val="bottom"/>
            <w:hideMark/>
          </w:tcPr>
          <w:p w14:paraId="623FCEF9" w14:textId="436B3DEA" w:rsidR="002F6B9E" w:rsidRPr="00B57146" w:rsidRDefault="002F6B9E" w:rsidP="002F6B9E">
            <w:pPr>
              <w:ind w:right="-15"/>
              <w:jc w:val="right"/>
              <w:rPr>
                <w:rFonts w:eastAsia="Times New Roman" w:cstheme="minorHAnsi"/>
                <w:color w:val="000000"/>
                <w:sz w:val="20"/>
                <w:szCs w:val="20"/>
              </w:rPr>
            </w:pPr>
            <w:r w:rsidRPr="00B57146">
              <w:rPr>
                <w:rFonts w:eastAsia="Times New Roman" w:cstheme="minorHAnsi"/>
                <w:color w:val="000000"/>
                <w:sz w:val="20"/>
                <w:szCs w:val="20"/>
              </w:rPr>
              <w:t xml:space="preserve">$4 </w:t>
            </w:r>
          </w:p>
        </w:tc>
        <w:tc>
          <w:tcPr>
            <w:tcW w:w="900" w:type="dxa"/>
            <w:tcBorders>
              <w:top w:val="nil"/>
              <w:left w:val="nil"/>
              <w:bottom w:val="nil"/>
              <w:right w:val="nil"/>
            </w:tcBorders>
            <w:noWrap/>
            <w:vAlign w:val="bottom"/>
            <w:hideMark/>
          </w:tcPr>
          <w:p w14:paraId="44F40D2F" w14:textId="7EB7D631" w:rsidR="002F6B9E" w:rsidRPr="00B57146" w:rsidRDefault="002F6B9E" w:rsidP="002F6B9E">
            <w:pPr>
              <w:ind w:right="-15"/>
              <w:jc w:val="right"/>
              <w:rPr>
                <w:rFonts w:eastAsia="Times New Roman" w:cstheme="minorHAnsi"/>
                <w:color w:val="000000"/>
                <w:sz w:val="20"/>
                <w:szCs w:val="20"/>
              </w:rPr>
            </w:pPr>
            <w:r>
              <w:rPr>
                <w:rFonts w:eastAsia="Times New Roman" w:cstheme="minorHAnsi"/>
                <w:color w:val="000000"/>
                <w:sz w:val="20"/>
                <w:szCs w:val="20"/>
              </w:rPr>
              <w:t xml:space="preserve">$2 </w:t>
            </w:r>
          </w:p>
        </w:tc>
        <w:tc>
          <w:tcPr>
            <w:tcW w:w="700" w:type="dxa"/>
            <w:tcBorders>
              <w:top w:val="nil"/>
              <w:left w:val="nil"/>
              <w:bottom w:val="nil"/>
              <w:right w:val="nil"/>
            </w:tcBorders>
            <w:noWrap/>
            <w:vAlign w:val="bottom"/>
            <w:hideMark/>
          </w:tcPr>
          <w:p w14:paraId="61AA9F09" w14:textId="5D9F702F" w:rsidR="002F6B9E" w:rsidRPr="00B57146" w:rsidRDefault="002F6B9E" w:rsidP="002F6B9E">
            <w:pPr>
              <w:ind w:right="-15"/>
              <w:jc w:val="right"/>
              <w:rPr>
                <w:rFonts w:eastAsia="Times New Roman" w:cstheme="minorHAnsi"/>
                <w:color w:val="000000"/>
                <w:sz w:val="20"/>
                <w:szCs w:val="20"/>
              </w:rPr>
            </w:pPr>
            <w:r w:rsidRPr="00B57146">
              <w:rPr>
                <w:rFonts w:eastAsia="Times New Roman" w:cstheme="minorHAnsi"/>
                <w:color w:val="000000"/>
                <w:sz w:val="20"/>
                <w:szCs w:val="20"/>
              </w:rPr>
              <w:t xml:space="preserve">$3 </w:t>
            </w:r>
          </w:p>
        </w:tc>
        <w:tc>
          <w:tcPr>
            <w:tcW w:w="640" w:type="dxa"/>
            <w:tcBorders>
              <w:top w:val="nil"/>
              <w:left w:val="nil"/>
              <w:bottom w:val="nil"/>
              <w:right w:val="nil"/>
            </w:tcBorders>
            <w:noWrap/>
            <w:vAlign w:val="bottom"/>
            <w:hideMark/>
          </w:tcPr>
          <w:p w14:paraId="69A409BD" w14:textId="7271CDDD" w:rsidR="002F6B9E" w:rsidRPr="00B57146" w:rsidRDefault="002F6B9E" w:rsidP="002F6B9E">
            <w:pPr>
              <w:ind w:right="-15"/>
              <w:jc w:val="right"/>
              <w:rPr>
                <w:rFonts w:eastAsia="Times New Roman" w:cstheme="minorHAnsi"/>
                <w:color w:val="000000"/>
                <w:sz w:val="20"/>
                <w:szCs w:val="20"/>
              </w:rPr>
            </w:pPr>
            <w:r w:rsidRPr="00B57146">
              <w:rPr>
                <w:rFonts w:eastAsia="Times New Roman" w:cstheme="minorHAnsi"/>
                <w:color w:val="000000"/>
                <w:sz w:val="20"/>
                <w:szCs w:val="20"/>
              </w:rPr>
              <w:t xml:space="preserve">$26 </w:t>
            </w:r>
          </w:p>
        </w:tc>
      </w:tr>
      <w:tr w:rsidR="002F6B9E" w:rsidRPr="004E6649" w14:paraId="0064994A" w14:textId="77777777" w:rsidTr="002F6B9E">
        <w:trPr>
          <w:trHeight w:val="80"/>
          <w:jc w:val="center"/>
        </w:trPr>
        <w:tc>
          <w:tcPr>
            <w:tcW w:w="1170" w:type="dxa"/>
            <w:tcBorders>
              <w:top w:val="nil"/>
              <w:left w:val="nil"/>
              <w:bottom w:val="nil"/>
              <w:right w:val="nil"/>
            </w:tcBorders>
            <w:noWrap/>
            <w:vAlign w:val="bottom"/>
            <w:hideMark/>
          </w:tcPr>
          <w:p w14:paraId="5B37D436" w14:textId="07747E68" w:rsidR="002F6B9E" w:rsidRPr="00B57146" w:rsidRDefault="002F6B9E" w:rsidP="002F6B9E">
            <w:pPr>
              <w:rPr>
                <w:rFonts w:eastAsia="Times New Roman" w:cstheme="minorHAnsi"/>
                <w:color w:val="000000"/>
                <w:sz w:val="20"/>
                <w:szCs w:val="20"/>
              </w:rPr>
            </w:pPr>
            <w:r w:rsidRPr="00B57146">
              <w:rPr>
                <w:rFonts w:eastAsia="Times New Roman" w:cstheme="minorHAnsi"/>
                <w:color w:val="000000"/>
                <w:sz w:val="20"/>
                <w:szCs w:val="20"/>
              </w:rPr>
              <w:t>FY22</w:t>
            </w:r>
          </w:p>
        </w:tc>
        <w:tc>
          <w:tcPr>
            <w:tcW w:w="1260" w:type="dxa"/>
            <w:tcBorders>
              <w:top w:val="nil"/>
              <w:left w:val="nil"/>
              <w:bottom w:val="nil"/>
              <w:right w:val="nil"/>
            </w:tcBorders>
            <w:noWrap/>
            <w:vAlign w:val="bottom"/>
            <w:hideMark/>
          </w:tcPr>
          <w:p w14:paraId="07D4FF47" w14:textId="2D32AF29" w:rsidR="002F6B9E" w:rsidRPr="00B57146" w:rsidRDefault="002F6B9E" w:rsidP="002F6B9E">
            <w:pPr>
              <w:ind w:right="-15"/>
              <w:jc w:val="right"/>
              <w:rPr>
                <w:rFonts w:eastAsia="Times New Roman" w:cstheme="minorHAnsi"/>
                <w:color w:val="000000"/>
                <w:sz w:val="20"/>
                <w:szCs w:val="20"/>
              </w:rPr>
            </w:pPr>
            <w:r w:rsidRPr="00B57146">
              <w:rPr>
                <w:rFonts w:eastAsia="Times New Roman" w:cstheme="minorHAnsi"/>
                <w:color w:val="000000"/>
                <w:sz w:val="20"/>
                <w:szCs w:val="20"/>
              </w:rPr>
              <w:t xml:space="preserve">$38 </w:t>
            </w:r>
          </w:p>
        </w:tc>
        <w:tc>
          <w:tcPr>
            <w:tcW w:w="1440" w:type="dxa"/>
            <w:tcBorders>
              <w:top w:val="nil"/>
              <w:left w:val="nil"/>
              <w:bottom w:val="nil"/>
              <w:right w:val="nil"/>
            </w:tcBorders>
            <w:noWrap/>
            <w:vAlign w:val="bottom"/>
            <w:hideMark/>
          </w:tcPr>
          <w:p w14:paraId="1151EA3D" w14:textId="2D67527F" w:rsidR="002F6B9E" w:rsidRPr="00B57146" w:rsidRDefault="002F6B9E" w:rsidP="002F6B9E">
            <w:pPr>
              <w:ind w:right="-15"/>
              <w:jc w:val="right"/>
              <w:rPr>
                <w:rFonts w:eastAsia="Times New Roman" w:cstheme="minorHAnsi"/>
                <w:color w:val="000000"/>
                <w:sz w:val="20"/>
                <w:szCs w:val="20"/>
              </w:rPr>
            </w:pPr>
            <w:r w:rsidRPr="00B57146">
              <w:rPr>
                <w:rFonts w:eastAsia="Times New Roman" w:cstheme="minorHAnsi"/>
                <w:color w:val="000000"/>
                <w:sz w:val="20"/>
                <w:szCs w:val="20"/>
              </w:rPr>
              <w:t xml:space="preserve">$2 </w:t>
            </w:r>
          </w:p>
        </w:tc>
        <w:tc>
          <w:tcPr>
            <w:tcW w:w="1260" w:type="dxa"/>
            <w:tcBorders>
              <w:top w:val="nil"/>
              <w:left w:val="nil"/>
              <w:bottom w:val="nil"/>
              <w:right w:val="nil"/>
            </w:tcBorders>
            <w:noWrap/>
            <w:vAlign w:val="bottom"/>
            <w:hideMark/>
          </w:tcPr>
          <w:p w14:paraId="0E93D66B" w14:textId="554BCD40" w:rsidR="002F6B9E" w:rsidRPr="00B57146" w:rsidRDefault="002F6B9E" w:rsidP="002F6B9E">
            <w:pPr>
              <w:ind w:right="-15"/>
              <w:jc w:val="right"/>
              <w:rPr>
                <w:rFonts w:eastAsia="Times New Roman" w:cstheme="minorHAnsi"/>
                <w:color w:val="000000"/>
                <w:sz w:val="20"/>
                <w:szCs w:val="20"/>
              </w:rPr>
            </w:pPr>
            <w:r w:rsidRPr="00B57146">
              <w:rPr>
                <w:rFonts w:eastAsia="Times New Roman" w:cstheme="minorHAnsi"/>
                <w:color w:val="000000"/>
                <w:sz w:val="20"/>
                <w:szCs w:val="20"/>
              </w:rPr>
              <w:t xml:space="preserve">$3 </w:t>
            </w:r>
          </w:p>
        </w:tc>
        <w:tc>
          <w:tcPr>
            <w:tcW w:w="900" w:type="dxa"/>
            <w:tcBorders>
              <w:top w:val="nil"/>
              <w:left w:val="nil"/>
              <w:bottom w:val="nil"/>
              <w:right w:val="nil"/>
            </w:tcBorders>
            <w:noWrap/>
            <w:vAlign w:val="bottom"/>
            <w:hideMark/>
          </w:tcPr>
          <w:p w14:paraId="347564FB" w14:textId="586BEB98" w:rsidR="002F6B9E" w:rsidRPr="00B57146" w:rsidRDefault="002F6B9E" w:rsidP="002F6B9E">
            <w:pPr>
              <w:ind w:right="-15"/>
              <w:jc w:val="right"/>
              <w:rPr>
                <w:rFonts w:eastAsia="Times New Roman" w:cstheme="minorHAnsi"/>
                <w:color w:val="000000"/>
                <w:sz w:val="20"/>
                <w:szCs w:val="20"/>
              </w:rPr>
            </w:pPr>
            <w:r w:rsidRPr="00B57146">
              <w:rPr>
                <w:rFonts w:eastAsia="Times New Roman" w:cstheme="minorHAnsi"/>
                <w:color w:val="000000"/>
                <w:sz w:val="20"/>
                <w:szCs w:val="20"/>
              </w:rPr>
              <w:t xml:space="preserve">$2 </w:t>
            </w:r>
          </w:p>
        </w:tc>
        <w:tc>
          <w:tcPr>
            <w:tcW w:w="700" w:type="dxa"/>
            <w:tcBorders>
              <w:top w:val="nil"/>
              <w:left w:val="nil"/>
              <w:bottom w:val="nil"/>
              <w:right w:val="nil"/>
            </w:tcBorders>
            <w:noWrap/>
            <w:vAlign w:val="bottom"/>
            <w:hideMark/>
          </w:tcPr>
          <w:p w14:paraId="16AFC7CE" w14:textId="74FE88A1" w:rsidR="002F6B9E" w:rsidRPr="00B57146" w:rsidRDefault="002F6B9E" w:rsidP="002F6B9E">
            <w:pPr>
              <w:ind w:right="-15"/>
              <w:jc w:val="right"/>
              <w:rPr>
                <w:rFonts w:eastAsia="Times New Roman" w:cstheme="minorHAnsi"/>
                <w:color w:val="000000"/>
                <w:sz w:val="20"/>
                <w:szCs w:val="20"/>
              </w:rPr>
            </w:pPr>
            <w:r w:rsidRPr="00B57146">
              <w:rPr>
                <w:rFonts w:eastAsia="Times New Roman" w:cstheme="minorHAnsi"/>
                <w:color w:val="000000"/>
                <w:sz w:val="20"/>
                <w:szCs w:val="20"/>
              </w:rPr>
              <w:t xml:space="preserve">$2 </w:t>
            </w:r>
          </w:p>
        </w:tc>
        <w:tc>
          <w:tcPr>
            <w:tcW w:w="640" w:type="dxa"/>
            <w:tcBorders>
              <w:top w:val="nil"/>
              <w:left w:val="nil"/>
              <w:bottom w:val="nil"/>
              <w:right w:val="nil"/>
            </w:tcBorders>
            <w:noWrap/>
            <w:vAlign w:val="bottom"/>
            <w:hideMark/>
          </w:tcPr>
          <w:p w14:paraId="7090DC69" w14:textId="6CEE19EF" w:rsidR="002F6B9E" w:rsidRPr="00B57146" w:rsidRDefault="002F6B9E" w:rsidP="002F6B9E">
            <w:pPr>
              <w:ind w:right="-15"/>
              <w:jc w:val="right"/>
              <w:rPr>
                <w:rFonts w:eastAsia="Times New Roman" w:cstheme="minorHAnsi"/>
                <w:color w:val="000000"/>
                <w:sz w:val="20"/>
                <w:szCs w:val="20"/>
              </w:rPr>
            </w:pPr>
            <w:r w:rsidRPr="00B57146">
              <w:rPr>
                <w:rFonts w:eastAsia="Times New Roman" w:cstheme="minorHAnsi"/>
                <w:color w:val="000000"/>
                <w:sz w:val="20"/>
                <w:szCs w:val="20"/>
              </w:rPr>
              <w:t xml:space="preserve">$47 </w:t>
            </w:r>
          </w:p>
        </w:tc>
      </w:tr>
      <w:tr w:rsidR="002F6B9E" w:rsidRPr="004E6649" w14:paraId="2B35D6EB" w14:textId="77777777" w:rsidTr="002F6B9E">
        <w:trPr>
          <w:trHeight w:val="80"/>
          <w:jc w:val="center"/>
        </w:trPr>
        <w:tc>
          <w:tcPr>
            <w:tcW w:w="1170" w:type="dxa"/>
            <w:tcBorders>
              <w:top w:val="nil"/>
              <w:left w:val="nil"/>
              <w:bottom w:val="nil"/>
              <w:right w:val="nil"/>
            </w:tcBorders>
            <w:noWrap/>
            <w:vAlign w:val="bottom"/>
            <w:hideMark/>
          </w:tcPr>
          <w:p w14:paraId="2E596A26" w14:textId="0A74C709" w:rsidR="002F6B9E" w:rsidRPr="00B57146" w:rsidRDefault="002F6B9E" w:rsidP="002F6B9E">
            <w:pPr>
              <w:rPr>
                <w:rFonts w:eastAsia="Times New Roman" w:cstheme="minorHAnsi"/>
                <w:color w:val="000000"/>
                <w:sz w:val="20"/>
                <w:szCs w:val="20"/>
              </w:rPr>
            </w:pPr>
            <w:r w:rsidRPr="00B57146">
              <w:rPr>
                <w:rFonts w:eastAsia="Times New Roman" w:cstheme="minorHAnsi"/>
                <w:color w:val="000000"/>
                <w:sz w:val="20"/>
                <w:szCs w:val="20"/>
              </w:rPr>
              <w:t>FY23</w:t>
            </w:r>
          </w:p>
        </w:tc>
        <w:tc>
          <w:tcPr>
            <w:tcW w:w="1260" w:type="dxa"/>
            <w:tcBorders>
              <w:top w:val="nil"/>
              <w:left w:val="nil"/>
              <w:bottom w:val="nil"/>
              <w:right w:val="nil"/>
            </w:tcBorders>
            <w:noWrap/>
            <w:vAlign w:val="bottom"/>
            <w:hideMark/>
          </w:tcPr>
          <w:p w14:paraId="374A0B79" w14:textId="407D6B0A" w:rsidR="002F6B9E" w:rsidRPr="00B57146" w:rsidRDefault="002F6B9E" w:rsidP="002F6B9E">
            <w:pPr>
              <w:ind w:right="-15"/>
              <w:jc w:val="right"/>
              <w:rPr>
                <w:rFonts w:eastAsia="Times New Roman" w:cstheme="minorHAnsi"/>
                <w:color w:val="000000"/>
                <w:sz w:val="20"/>
                <w:szCs w:val="20"/>
              </w:rPr>
            </w:pPr>
            <w:r w:rsidRPr="00B57146">
              <w:rPr>
                <w:rFonts w:eastAsia="Times New Roman" w:cstheme="minorHAnsi"/>
                <w:color w:val="000000"/>
                <w:sz w:val="20"/>
                <w:szCs w:val="20"/>
              </w:rPr>
              <w:t xml:space="preserve">$22 </w:t>
            </w:r>
          </w:p>
        </w:tc>
        <w:tc>
          <w:tcPr>
            <w:tcW w:w="1440" w:type="dxa"/>
            <w:tcBorders>
              <w:top w:val="nil"/>
              <w:left w:val="nil"/>
              <w:bottom w:val="nil"/>
              <w:right w:val="nil"/>
            </w:tcBorders>
            <w:noWrap/>
            <w:vAlign w:val="bottom"/>
            <w:hideMark/>
          </w:tcPr>
          <w:p w14:paraId="2EA6F6C0" w14:textId="47E69E35" w:rsidR="002F6B9E" w:rsidRPr="00B57146" w:rsidRDefault="002F6B9E" w:rsidP="002F6B9E">
            <w:pPr>
              <w:ind w:right="-15"/>
              <w:jc w:val="right"/>
              <w:rPr>
                <w:rFonts w:eastAsia="Times New Roman" w:cstheme="minorHAnsi"/>
                <w:color w:val="000000"/>
                <w:sz w:val="20"/>
                <w:szCs w:val="20"/>
              </w:rPr>
            </w:pPr>
            <w:r w:rsidRPr="00B57146">
              <w:rPr>
                <w:rFonts w:eastAsia="Times New Roman" w:cstheme="minorHAnsi"/>
                <w:color w:val="000000"/>
                <w:sz w:val="20"/>
                <w:szCs w:val="20"/>
              </w:rPr>
              <w:t xml:space="preserve">$2 </w:t>
            </w:r>
          </w:p>
        </w:tc>
        <w:tc>
          <w:tcPr>
            <w:tcW w:w="1260" w:type="dxa"/>
            <w:tcBorders>
              <w:top w:val="nil"/>
              <w:left w:val="nil"/>
              <w:bottom w:val="nil"/>
              <w:right w:val="nil"/>
            </w:tcBorders>
            <w:noWrap/>
            <w:vAlign w:val="bottom"/>
            <w:hideMark/>
          </w:tcPr>
          <w:p w14:paraId="5654FCC4" w14:textId="14F379C9" w:rsidR="002F6B9E" w:rsidRPr="00B57146" w:rsidRDefault="002F6B9E" w:rsidP="002F6B9E">
            <w:pPr>
              <w:ind w:right="-15"/>
              <w:jc w:val="right"/>
              <w:rPr>
                <w:rFonts w:eastAsia="Times New Roman" w:cstheme="minorHAnsi"/>
                <w:color w:val="000000"/>
                <w:sz w:val="20"/>
                <w:szCs w:val="20"/>
              </w:rPr>
            </w:pPr>
            <w:r w:rsidRPr="00B57146">
              <w:rPr>
                <w:rFonts w:eastAsia="Times New Roman" w:cstheme="minorHAnsi"/>
                <w:color w:val="000000"/>
                <w:sz w:val="20"/>
                <w:szCs w:val="20"/>
              </w:rPr>
              <w:t xml:space="preserve">$5 </w:t>
            </w:r>
          </w:p>
        </w:tc>
        <w:tc>
          <w:tcPr>
            <w:tcW w:w="900" w:type="dxa"/>
            <w:tcBorders>
              <w:top w:val="nil"/>
              <w:left w:val="nil"/>
              <w:bottom w:val="nil"/>
              <w:right w:val="nil"/>
            </w:tcBorders>
            <w:noWrap/>
            <w:vAlign w:val="bottom"/>
            <w:hideMark/>
          </w:tcPr>
          <w:p w14:paraId="1571BCF4" w14:textId="3EEE2E02" w:rsidR="002F6B9E" w:rsidRPr="00B57146" w:rsidRDefault="002F6B9E" w:rsidP="002F6B9E">
            <w:pPr>
              <w:ind w:right="-15"/>
              <w:jc w:val="right"/>
              <w:rPr>
                <w:rFonts w:eastAsia="Times New Roman" w:cstheme="minorHAnsi"/>
                <w:color w:val="000000"/>
                <w:sz w:val="20"/>
                <w:szCs w:val="20"/>
              </w:rPr>
            </w:pPr>
            <w:r w:rsidRPr="00B57146">
              <w:rPr>
                <w:rFonts w:eastAsia="Times New Roman" w:cstheme="minorHAnsi"/>
                <w:color w:val="000000"/>
                <w:sz w:val="20"/>
                <w:szCs w:val="20"/>
              </w:rPr>
              <w:t xml:space="preserve">$0 </w:t>
            </w:r>
          </w:p>
        </w:tc>
        <w:tc>
          <w:tcPr>
            <w:tcW w:w="700" w:type="dxa"/>
            <w:tcBorders>
              <w:top w:val="nil"/>
              <w:left w:val="nil"/>
              <w:bottom w:val="nil"/>
              <w:right w:val="nil"/>
            </w:tcBorders>
            <w:noWrap/>
            <w:vAlign w:val="bottom"/>
            <w:hideMark/>
          </w:tcPr>
          <w:p w14:paraId="476A96A3" w14:textId="28E8656F" w:rsidR="002F6B9E" w:rsidRPr="00B57146" w:rsidRDefault="002F6B9E" w:rsidP="002F6B9E">
            <w:pPr>
              <w:ind w:right="-15"/>
              <w:jc w:val="right"/>
              <w:rPr>
                <w:rFonts w:eastAsia="Times New Roman" w:cstheme="minorHAnsi"/>
                <w:color w:val="000000"/>
                <w:sz w:val="20"/>
                <w:szCs w:val="20"/>
              </w:rPr>
            </w:pPr>
            <w:r w:rsidRPr="00B57146">
              <w:rPr>
                <w:rFonts w:eastAsia="Times New Roman" w:cstheme="minorHAnsi"/>
                <w:color w:val="000000"/>
                <w:sz w:val="20"/>
                <w:szCs w:val="20"/>
              </w:rPr>
              <w:t xml:space="preserve">$6 </w:t>
            </w:r>
          </w:p>
        </w:tc>
        <w:tc>
          <w:tcPr>
            <w:tcW w:w="640" w:type="dxa"/>
            <w:tcBorders>
              <w:top w:val="nil"/>
              <w:left w:val="nil"/>
              <w:bottom w:val="nil"/>
              <w:right w:val="nil"/>
            </w:tcBorders>
            <w:noWrap/>
            <w:vAlign w:val="bottom"/>
            <w:hideMark/>
          </w:tcPr>
          <w:p w14:paraId="5F21B551" w14:textId="41590617" w:rsidR="002F6B9E" w:rsidRPr="00B57146" w:rsidRDefault="002F6B9E" w:rsidP="002F6B9E">
            <w:pPr>
              <w:ind w:right="-15"/>
              <w:jc w:val="right"/>
              <w:rPr>
                <w:rFonts w:eastAsia="Times New Roman" w:cstheme="minorHAnsi"/>
                <w:color w:val="000000"/>
                <w:sz w:val="20"/>
                <w:szCs w:val="20"/>
              </w:rPr>
            </w:pPr>
            <w:r w:rsidRPr="00B57146">
              <w:rPr>
                <w:rFonts w:eastAsia="Times New Roman" w:cstheme="minorHAnsi"/>
                <w:color w:val="000000"/>
                <w:sz w:val="20"/>
                <w:szCs w:val="20"/>
              </w:rPr>
              <w:t xml:space="preserve">$35 </w:t>
            </w:r>
          </w:p>
        </w:tc>
      </w:tr>
      <w:tr w:rsidR="002F6B9E" w:rsidRPr="004E6649" w14:paraId="2B0BD7EB" w14:textId="77777777" w:rsidTr="002F6B9E">
        <w:trPr>
          <w:trHeight w:val="80"/>
          <w:jc w:val="center"/>
        </w:trPr>
        <w:tc>
          <w:tcPr>
            <w:tcW w:w="1170" w:type="dxa"/>
            <w:tcBorders>
              <w:top w:val="nil"/>
              <w:left w:val="nil"/>
              <w:bottom w:val="nil"/>
              <w:right w:val="nil"/>
            </w:tcBorders>
            <w:noWrap/>
            <w:vAlign w:val="bottom"/>
            <w:hideMark/>
          </w:tcPr>
          <w:p w14:paraId="4B82BDD4" w14:textId="40A4B91E" w:rsidR="002F6B9E" w:rsidRPr="00B57146" w:rsidRDefault="002F6B9E" w:rsidP="002F6B9E">
            <w:pPr>
              <w:rPr>
                <w:rFonts w:eastAsia="Times New Roman" w:cstheme="minorHAnsi"/>
                <w:color w:val="000000"/>
                <w:sz w:val="20"/>
                <w:szCs w:val="20"/>
              </w:rPr>
            </w:pPr>
            <w:r w:rsidRPr="00B57146">
              <w:rPr>
                <w:rFonts w:eastAsia="Times New Roman" w:cstheme="minorHAnsi"/>
                <w:color w:val="000000"/>
                <w:sz w:val="20"/>
                <w:szCs w:val="20"/>
              </w:rPr>
              <w:t>FY24</w:t>
            </w:r>
          </w:p>
        </w:tc>
        <w:tc>
          <w:tcPr>
            <w:tcW w:w="1260" w:type="dxa"/>
            <w:tcBorders>
              <w:top w:val="nil"/>
              <w:left w:val="nil"/>
              <w:bottom w:val="nil"/>
              <w:right w:val="nil"/>
            </w:tcBorders>
            <w:noWrap/>
            <w:vAlign w:val="bottom"/>
            <w:hideMark/>
          </w:tcPr>
          <w:p w14:paraId="71B93A4A" w14:textId="178037D6" w:rsidR="002F6B9E" w:rsidRPr="00B57146" w:rsidRDefault="002F6B9E" w:rsidP="002F6B9E">
            <w:pPr>
              <w:ind w:right="-15"/>
              <w:jc w:val="right"/>
              <w:rPr>
                <w:rFonts w:eastAsia="Times New Roman" w:cstheme="minorHAnsi"/>
                <w:color w:val="000000"/>
                <w:sz w:val="20"/>
                <w:szCs w:val="20"/>
              </w:rPr>
            </w:pPr>
            <w:r w:rsidRPr="00B57146">
              <w:rPr>
                <w:rFonts w:eastAsia="Times New Roman" w:cstheme="minorHAnsi"/>
                <w:color w:val="000000"/>
                <w:sz w:val="20"/>
                <w:szCs w:val="20"/>
              </w:rPr>
              <w:t>$38</w:t>
            </w:r>
          </w:p>
        </w:tc>
        <w:tc>
          <w:tcPr>
            <w:tcW w:w="1440" w:type="dxa"/>
            <w:tcBorders>
              <w:top w:val="nil"/>
              <w:left w:val="nil"/>
              <w:bottom w:val="nil"/>
              <w:right w:val="nil"/>
            </w:tcBorders>
            <w:noWrap/>
            <w:vAlign w:val="bottom"/>
            <w:hideMark/>
          </w:tcPr>
          <w:p w14:paraId="69FE25A3" w14:textId="0E8B2A97" w:rsidR="002F6B9E" w:rsidRPr="00B57146" w:rsidRDefault="002F6B9E" w:rsidP="002F6B9E">
            <w:pPr>
              <w:ind w:right="-15"/>
              <w:jc w:val="right"/>
              <w:rPr>
                <w:rFonts w:eastAsia="Times New Roman" w:cstheme="minorHAnsi"/>
                <w:color w:val="000000"/>
                <w:sz w:val="20"/>
                <w:szCs w:val="20"/>
              </w:rPr>
            </w:pPr>
            <w:r w:rsidRPr="00B57146">
              <w:rPr>
                <w:rFonts w:eastAsia="Times New Roman" w:cstheme="minorHAnsi"/>
                <w:color w:val="000000"/>
                <w:sz w:val="20"/>
                <w:szCs w:val="20"/>
              </w:rPr>
              <w:t>$1</w:t>
            </w:r>
          </w:p>
        </w:tc>
        <w:tc>
          <w:tcPr>
            <w:tcW w:w="1260" w:type="dxa"/>
            <w:tcBorders>
              <w:top w:val="nil"/>
              <w:left w:val="nil"/>
              <w:bottom w:val="nil"/>
              <w:right w:val="nil"/>
            </w:tcBorders>
            <w:noWrap/>
            <w:vAlign w:val="bottom"/>
            <w:hideMark/>
          </w:tcPr>
          <w:p w14:paraId="55F6C8B0" w14:textId="12098C19" w:rsidR="002F6B9E" w:rsidRPr="00B57146" w:rsidRDefault="002F6B9E" w:rsidP="002F6B9E">
            <w:pPr>
              <w:ind w:right="-15"/>
              <w:jc w:val="right"/>
              <w:rPr>
                <w:rFonts w:eastAsia="Times New Roman" w:cstheme="minorHAnsi"/>
                <w:color w:val="000000"/>
                <w:sz w:val="20"/>
                <w:szCs w:val="20"/>
              </w:rPr>
            </w:pPr>
            <w:r w:rsidRPr="00B57146">
              <w:rPr>
                <w:rFonts w:eastAsia="Times New Roman" w:cstheme="minorHAnsi"/>
                <w:color w:val="000000"/>
                <w:sz w:val="20"/>
                <w:szCs w:val="20"/>
              </w:rPr>
              <w:t>$4</w:t>
            </w:r>
          </w:p>
        </w:tc>
        <w:tc>
          <w:tcPr>
            <w:tcW w:w="900" w:type="dxa"/>
            <w:tcBorders>
              <w:top w:val="nil"/>
              <w:left w:val="nil"/>
              <w:bottom w:val="nil"/>
              <w:right w:val="nil"/>
            </w:tcBorders>
            <w:noWrap/>
            <w:vAlign w:val="bottom"/>
            <w:hideMark/>
          </w:tcPr>
          <w:p w14:paraId="777DE60B" w14:textId="50D3D7A8" w:rsidR="002F6B9E" w:rsidRPr="00B57146" w:rsidRDefault="002F6B9E" w:rsidP="002F6B9E">
            <w:pPr>
              <w:ind w:right="-15"/>
              <w:jc w:val="right"/>
              <w:rPr>
                <w:rFonts w:eastAsia="Times New Roman" w:cstheme="minorHAnsi"/>
                <w:color w:val="000000"/>
                <w:sz w:val="20"/>
                <w:szCs w:val="20"/>
              </w:rPr>
            </w:pPr>
            <w:r w:rsidRPr="00B57146">
              <w:rPr>
                <w:rFonts w:eastAsia="Times New Roman" w:cstheme="minorHAnsi"/>
                <w:color w:val="000000"/>
                <w:sz w:val="20"/>
                <w:szCs w:val="20"/>
              </w:rPr>
              <w:t>$0</w:t>
            </w:r>
          </w:p>
        </w:tc>
        <w:tc>
          <w:tcPr>
            <w:tcW w:w="700" w:type="dxa"/>
            <w:tcBorders>
              <w:top w:val="nil"/>
              <w:left w:val="nil"/>
              <w:bottom w:val="nil"/>
              <w:right w:val="nil"/>
            </w:tcBorders>
            <w:noWrap/>
            <w:vAlign w:val="bottom"/>
            <w:hideMark/>
          </w:tcPr>
          <w:p w14:paraId="33EF3998" w14:textId="72EDC69E" w:rsidR="002F6B9E" w:rsidRPr="00B57146" w:rsidRDefault="002F6B9E" w:rsidP="002F6B9E">
            <w:pPr>
              <w:ind w:right="-15"/>
              <w:jc w:val="right"/>
              <w:rPr>
                <w:rFonts w:eastAsia="Times New Roman" w:cstheme="minorHAnsi"/>
                <w:color w:val="000000"/>
                <w:sz w:val="20"/>
                <w:szCs w:val="20"/>
              </w:rPr>
            </w:pPr>
            <w:r w:rsidRPr="00B57146">
              <w:rPr>
                <w:rFonts w:eastAsia="Times New Roman" w:cstheme="minorHAnsi"/>
                <w:color w:val="000000"/>
                <w:sz w:val="20"/>
                <w:szCs w:val="20"/>
              </w:rPr>
              <w:t>$2</w:t>
            </w:r>
          </w:p>
        </w:tc>
        <w:tc>
          <w:tcPr>
            <w:tcW w:w="640" w:type="dxa"/>
            <w:tcBorders>
              <w:top w:val="nil"/>
              <w:left w:val="nil"/>
              <w:bottom w:val="nil"/>
              <w:right w:val="nil"/>
            </w:tcBorders>
            <w:noWrap/>
            <w:vAlign w:val="bottom"/>
            <w:hideMark/>
          </w:tcPr>
          <w:p w14:paraId="7B8150F6" w14:textId="10787299" w:rsidR="002F6B9E" w:rsidRPr="00B57146" w:rsidRDefault="002F6B9E" w:rsidP="002F6B9E">
            <w:pPr>
              <w:ind w:right="-15"/>
              <w:jc w:val="right"/>
              <w:rPr>
                <w:rFonts w:eastAsia="Times New Roman" w:cstheme="minorHAnsi"/>
                <w:color w:val="000000"/>
                <w:sz w:val="20"/>
                <w:szCs w:val="20"/>
              </w:rPr>
            </w:pPr>
            <w:r w:rsidRPr="00B57146">
              <w:rPr>
                <w:rFonts w:eastAsia="Times New Roman" w:cstheme="minorHAnsi"/>
                <w:color w:val="000000"/>
                <w:sz w:val="20"/>
                <w:szCs w:val="20"/>
              </w:rPr>
              <w:t>$45</w:t>
            </w:r>
          </w:p>
        </w:tc>
      </w:tr>
      <w:tr w:rsidR="006220AB" w:rsidRPr="004E6649" w14:paraId="1291195F" w14:textId="77777777" w:rsidTr="002F6B9E">
        <w:trPr>
          <w:trHeight w:val="80"/>
          <w:jc w:val="center"/>
        </w:trPr>
        <w:tc>
          <w:tcPr>
            <w:tcW w:w="1170" w:type="dxa"/>
            <w:tcBorders>
              <w:top w:val="nil"/>
              <w:left w:val="nil"/>
              <w:bottom w:val="single" w:sz="4" w:space="0" w:color="000000"/>
              <w:right w:val="nil"/>
            </w:tcBorders>
            <w:noWrap/>
            <w:vAlign w:val="bottom"/>
            <w:hideMark/>
          </w:tcPr>
          <w:p w14:paraId="0067113D" w14:textId="4EFC037B" w:rsidR="006220AB" w:rsidRPr="00B57146" w:rsidRDefault="002F6B9E" w:rsidP="006220AB">
            <w:pPr>
              <w:rPr>
                <w:rFonts w:eastAsia="Times New Roman" w:cstheme="minorHAnsi"/>
                <w:color w:val="000000"/>
                <w:sz w:val="20"/>
                <w:szCs w:val="20"/>
              </w:rPr>
            </w:pPr>
            <w:r w:rsidRPr="00B57146">
              <w:rPr>
                <w:rFonts w:eastAsia="Times New Roman" w:cstheme="minorHAnsi"/>
                <w:color w:val="000000"/>
                <w:sz w:val="20"/>
                <w:szCs w:val="20"/>
              </w:rPr>
              <w:t>FY2</w:t>
            </w:r>
            <w:r>
              <w:rPr>
                <w:rFonts w:eastAsia="Times New Roman" w:cstheme="minorHAnsi"/>
                <w:color w:val="000000"/>
                <w:sz w:val="20"/>
                <w:szCs w:val="20"/>
              </w:rPr>
              <w:t>5</w:t>
            </w:r>
          </w:p>
        </w:tc>
        <w:tc>
          <w:tcPr>
            <w:tcW w:w="1260" w:type="dxa"/>
            <w:tcBorders>
              <w:top w:val="nil"/>
              <w:left w:val="nil"/>
              <w:bottom w:val="single" w:sz="4" w:space="0" w:color="000000"/>
              <w:right w:val="nil"/>
            </w:tcBorders>
            <w:noWrap/>
            <w:vAlign w:val="bottom"/>
            <w:hideMark/>
          </w:tcPr>
          <w:p w14:paraId="0D0D13DA" w14:textId="59D79598" w:rsidR="006220AB" w:rsidRPr="00B57146" w:rsidRDefault="00FE30EA" w:rsidP="00FE30EA">
            <w:pPr>
              <w:ind w:right="-15"/>
              <w:jc w:val="right"/>
              <w:rPr>
                <w:rFonts w:eastAsia="Times New Roman" w:cstheme="minorHAnsi"/>
                <w:color w:val="000000"/>
                <w:sz w:val="20"/>
                <w:szCs w:val="20"/>
              </w:rPr>
            </w:pPr>
            <w:r w:rsidRPr="00B57146">
              <w:rPr>
                <w:rFonts w:eastAsia="Times New Roman" w:cstheme="minorHAnsi"/>
                <w:color w:val="000000"/>
                <w:sz w:val="20"/>
                <w:szCs w:val="20"/>
              </w:rPr>
              <w:t>$</w:t>
            </w:r>
            <w:r w:rsidR="00D41DE2">
              <w:rPr>
                <w:rFonts w:eastAsia="Times New Roman" w:cstheme="minorHAnsi"/>
                <w:color w:val="000000"/>
                <w:sz w:val="20"/>
                <w:szCs w:val="20"/>
              </w:rPr>
              <w:t>32</w:t>
            </w:r>
          </w:p>
        </w:tc>
        <w:tc>
          <w:tcPr>
            <w:tcW w:w="1440" w:type="dxa"/>
            <w:tcBorders>
              <w:top w:val="nil"/>
              <w:left w:val="nil"/>
              <w:bottom w:val="single" w:sz="4" w:space="0" w:color="000000"/>
              <w:right w:val="nil"/>
            </w:tcBorders>
            <w:noWrap/>
            <w:vAlign w:val="bottom"/>
            <w:hideMark/>
          </w:tcPr>
          <w:p w14:paraId="49BF38A2" w14:textId="52536E96" w:rsidR="006220AB" w:rsidRPr="00B57146" w:rsidRDefault="00FE30EA" w:rsidP="00FE30EA">
            <w:pPr>
              <w:ind w:right="-15"/>
              <w:jc w:val="right"/>
              <w:rPr>
                <w:rFonts w:eastAsia="Times New Roman" w:cstheme="minorHAnsi"/>
                <w:color w:val="000000"/>
                <w:sz w:val="20"/>
                <w:szCs w:val="20"/>
              </w:rPr>
            </w:pPr>
            <w:r w:rsidRPr="00B57146">
              <w:rPr>
                <w:rFonts w:eastAsia="Times New Roman" w:cstheme="minorHAnsi"/>
                <w:color w:val="000000"/>
                <w:sz w:val="20"/>
                <w:szCs w:val="20"/>
              </w:rPr>
              <w:t>$</w:t>
            </w:r>
            <w:r w:rsidR="00D41DE2">
              <w:rPr>
                <w:rFonts w:eastAsia="Times New Roman" w:cstheme="minorHAnsi"/>
                <w:color w:val="000000"/>
                <w:sz w:val="20"/>
                <w:szCs w:val="20"/>
              </w:rPr>
              <w:t>0</w:t>
            </w:r>
          </w:p>
        </w:tc>
        <w:tc>
          <w:tcPr>
            <w:tcW w:w="1260" w:type="dxa"/>
            <w:tcBorders>
              <w:top w:val="nil"/>
              <w:left w:val="nil"/>
              <w:bottom w:val="single" w:sz="4" w:space="0" w:color="000000"/>
              <w:right w:val="nil"/>
            </w:tcBorders>
            <w:noWrap/>
            <w:vAlign w:val="bottom"/>
            <w:hideMark/>
          </w:tcPr>
          <w:p w14:paraId="47EC8E09" w14:textId="405117C0" w:rsidR="006220AB" w:rsidRPr="00B57146" w:rsidRDefault="00FE30EA" w:rsidP="00FE30EA">
            <w:pPr>
              <w:ind w:right="-15"/>
              <w:jc w:val="right"/>
              <w:rPr>
                <w:rFonts w:eastAsia="Times New Roman" w:cstheme="minorHAnsi"/>
                <w:color w:val="000000"/>
                <w:sz w:val="20"/>
                <w:szCs w:val="20"/>
              </w:rPr>
            </w:pPr>
            <w:r w:rsidRPr="00B57146">
              <w:rPr>
                <w:rFonts w:eastAsia="Times New Roman" w:cstheme="minorHAnsi"/>
                <w:color w:val="000000"/>
                <w:sz w:val="20"/>
                <w:szCs w:val="20"/>
              </w:rPr>
              <w:t>$</w:t>
            </w:r>
            <w:r w:rsidR="00D41DE2">
              <w:rPr>
                <w:rFonts w:eastAsia="Times New Roman" w:cstheme="minorHAnsi"/>
                <w:color w:val="000000"/>
                <w:sz w:val="20"/>
                <w:szCs w:val="20"/>
              </w:rPr>
              <w:t>3</w:t>
            </w:r>
          </w:p>
        </w:tc>
        <w:tc>
          <w:tcPr>
            <w:tcW w:w="900" w:type="dxa"/>
            <w:tcBorders>
              <w:top w:val="nil"/>
              <w:left w:val="nil"/>
              <w:bottom w:val="single" w:sz="4" w:space="0" w:color="000000"/>
              <w:right w:val="nil"/>
            </w:tcBorders>
            <w:noWrap/>
            <w:vAlign w:val="bottom"/>
            <w:hideMark/>
          </w:tcPr>
          <w:p w14:paraId="5911CF1A" w14:textId="2441641F" w:rsidR="006220AB" w:rsidRPr="00B57146" w:rsidRDefault="00FE30EA" w:rsidP="00FE30EA">
            <w:pPr>
              <w:ind w:right="-15"/>
              <w:jc w:val="right"/>
              <w:rPr>
                <w:rFonts w:eastAsia="Times New Roman" w:cstheme="minorHAnsi"/>
                <w:color w:val="000000"/>
                <w:sz w:val="20"/>
                <w:szCs w:val="20"/>
              </w:rPr>
            </w:pPr>
            <w:r w:rsidRPr="00B57146">
              <w:rPr>
                <w:rFonts w:eastAsia="Times New Roman" w:cstheme="minorHAnsi"/>
                <w:color w:val="000000"/>
                <w:sz w:val="20"/>
                <w:szCs w:val="20"/>
              </w:rPr>
              <w:t>$</w:t>
            </w:r>
            <w:r w:rsidR="00D41DE2">
              <w:rPr>
                <w:rFonts w:eastAsia="Times New Roman" w:cstheme="minorHAnsi"/>
                <w:color w:val="000000"/>
                <w:sz w:val="20"/>
                <w:szCs w:val="20"/>
              </w:rPr>
              <w:t>0</w:t>
            </w:r>
          </w:p>
        </w:tc>
        <w:tc>
          <w:tcPr>
            <w:tcW w:w="700" w:type="dxa"/>
            <w:tcBorders>
              <w:top w:val="nil"/>
              <w:left w:val="nil"/>
              <w:bottom w:val="single" w:sz="4" w:space="0" w:color="000000"/>
              <w:right w:val="nil"/>
            </w:tcBorders>
            <w:noWrap/>
            <w:vAlign w:val="bottom"/>
            <w:hideMark/>
          </w:tcPr>
          <w:p w14:paraId="1B42FE80" w14:textId="094CEA6C" w:rsidR="006220AB" w:rsidRPr="00B57146" w:rsidRDefault="00FE30EA" w:rsidP="00FE30EA">
            <w:pPr>
              <w:ind w:right="-15"/>
              <w:jc w:val="right"/>
              <w:rPr>
                <w:rFonts w:eastAsia="Times New Roman" w:cstheme="minorHAnsi"/>
                <w:color w:val="000000"/>
                <w:sz w:val="20"/>
                <w:szCs w:val="20"/>
              </w:rPr>
            </w:pPr>
            <w:r w:rsidRPr="00B57146">
              <w:rPr>
                <w:rFonts w:eastAsia="Times New Roman" w:cstheme="minorHAnsi"/>
                <w:color w:val="000000"/>
                <w:sz w:val="20"/>
                <w:szCs w:val="20"/>
              </w:rPr>
              <w:t>$</w:t>
            </w:r>
            <w:r w:rsidR="00D41DE2">
              <w:rPr>
                <w:rFonts w:eastAsia="Times New Roman" w:cstheme="minorHAnsi"/>
                <w:color w:val="000000"/>
                <w:sz w:val="20"/>
                <w:szCs w:val="20"/>
              </w:rPr>
              <w:t>1</w:t>
            </w:r>
          </w:p>
        </w:tc>
        <w:tc>
          <w:tcPr>
            <w:tcW w:w="640" w:type="dxa"/>
            <w:tcBorders>
              <w:top w:val="nil"/>
              <w:left w:val="nil"/>
              <w:bottom w:val="single" w:sz="4" w:space="0" w:color="000000"/>
              <w:right w:val="nil"/>
            </w:tcBorders>
            <w:noWrap/>
            <w:vAlign w:val="bottom"/>
            <w:hideMark/>
          </w:tcPr>
          <w:p w14:paraId="742A371C" w14:textId="3FD4D239" w:rsidR="006220AB" w:rsidRPr="00B57146" w:rsidRDefault="00FE30EA" w:rsidP="00FE30EA">
            <w:pPr>
              <w:ind w:right="-15"/>
              <w:jc w:val="right"/>
              <w:rPr>
                <w:rFonts w:eastAsia="Times New Roman" w:cstheme="minorHAnsi"/>
                <w:color w:val="000000"/>
                <w:sz w:val="20"/>
                <w:szCs w:val="20"/>
              </w:rPr>
            </w:pPr>
            <w:r w:rsidRPr="00B57146">
              <w:rPr>
                <w:rFonts w:eastAsia="Times New Roman" w:cstheme="minorHAnsi"/>
                <w:color w:val="000000"/>
                <w:sz w:val="20"/>
                <w:szCs w:val="20"/>
              </w:rPr>
              <w:t>$</w:t>
            </w:r>
            <w:r w:rsidR="00D41DE2">
              <w:rPr>
                <w:rFonts w:eastAsia="Times New Roman" w:cstheme="minorHAnsi"/>
                <w:color w:val="000000"/>
                <w:sz w:val="20"/>
                <w:szCs w:val="20"/>
              </w:rPr>
              <w:t>36</w:t>
            </w:r>
          </w:p>
        </w:tc>
      </w:tr>
    </w:tbl>
    <w:p w14:paraId="11EE6DFC" w14:textId="40F430C9" w:rsidR="00B57146" w:rsidRPr="003C277A" w:rsidRDefault="00B57146">
      <w:pPr>
        <w:spacing w:after="160" w:line="259" w:lineRule="auto"/>
        <w:rPr>
          <w:rFonts w:cstheme="minorHAnsi"/>
          <w:b/>
          <w:i/>
          <w:sz w:val="2"/>
          <w:szCs w:val="2"/>
          <w:u w:val="single" w:color="000000" w:themeColor="text1"/>
        </w:rPr>
      </w:pPr>
    </w:p>
    <w:p w14:paraId="30500DCF" w14:textId="2466AC58" w:rsidR="00A83362" w:rsidRPr="004E6649" w:rsidRDefault="00A83362" w:rsidP="00A83362">
      <w:pPr>
        <w:pStyle w:val="AFR3"/>
        <w:rPr>
          <w:rFonts w:cstheme="minorHAnsi"/>
          <w:sz w:val="24"/>
          <w:szCs w:val="20"/>
        </w:rPr>
      </w:pPr>
      <w:r w:rsidRPr="004E6649">
        <w:rPr>
          <w:rFonts w:cstheme="minorHAnsi"/>
          <w:sz w:val="24"/>
          <w:szCs w:val="20"/>
        </w:rPr>
        <w:t>Operating Expenses</w:t>
      </w:r>
    </w:p>
    <w:p w14:paraId="0A2E7B32" w14:textId="77777777" w:rsidR="00A83362" w:rsidRPr="004E6649" w:rsidRDefault="00A83362" w:rsidP="00A83362">
      <w:pPr>
        <w:spacing w:after="240"/>
        <w:rPr>
          <w:rFonts w:eastAsia="Times New Roman" w:cstheme="minorHAnsi"/>
          <w:sz w:val="24"/>
        </w:rPr>
      </w:pPr>
      <w:r w:rsidRPr="004E6649">
        <w:rPr>
          <w:rFonts w:eastAsia="Times New Roman" w:cstheme="minorHAnsi"/>
          <w:sz w:val="24"/>
        </w:rPr>
        <w:t>Table 6 shows expenses on a functional basis while Table 7 shows expenses by natural classification.</w:t>
      </w:r>
    </w:p>
    <w:p w14:paraId="3438DB19" w14:textId="77777777" w:rsidR="00A83362" w:rsidRPr="004E6649" w:rsidRDefault="00A83362" w:rsidP="00A83362">
      <w:pPr>
        <w:jc w:val="center"/>
        <w:rPr>
          <w:rFonts w:eastAsia="Times New Roman" w:cstheme="minorHAnsi"/>
          <w:b/>
          <w:bCs/>
          <w:color w:val="0D0D0D" w:themeColor="text1" w:themeTint="F2"/>
          <w:sz w:val="24"/>
        </w:rPr>
      </w:pPr>
      <w:r w:rsidRPr="004E6649">
        <w:rPr>
          <w:rFonts w:eastAsia="Times New Roman" w:cstheme="minorHAnsi"/>
          <w:b/>
          <w:bCs/>
          <w:color w:val="0D0D0D" w:themeColor="text1" w:themeTint="F2"/>
          <w:sz w:val="24"/>
        </w:rPr>
        <w:t>Table 6: Operating Expenses by Functional Classification</w:t>
      </w:r>
    </w:p>
    <w:p w14:paraId="043A0ED3" w14:textId="77777777" w:rsidR="00A83362" w:rsidRPr="004E6649" w:rsidRDefault="00A83362" w:rsidP="00A83362">
      <w:pPr>
        <w:jc w:val="center"/>
        <w:rPr>
          <w:rFonts w:eastAsia="Times New Roman" w:cstheme="minorHAnsi"/>
          <w:b/>
          <w:bCs/>
          <w:color w:val="0D0D0D" w:themeColor="text1" w:themeTint="F2"/>
          <w:sz w:val="24"/>
        </w:rPr>
      </w:pPr>
      <w:r w:rsidRPr="004E6649">
        <w:rPr>
          <w:rFonts w:eastAsia="Times New Roman" w:cstheme="minorHAnsi"/>
          <w:b/>
          <w:bCs/>
          <w:color w:val="0D0D0D" w:themeColor="text1" w:themeTint="F2"/>
          <w:sz w:val="24"/>
        </w:rPr>
        <w:t>For the Years Ended June 30</w:t>
      </w:r>
    </w:p>
    <w:p w14:paraId="425765BB" w14:textId="77777777" w:rsidR="00A83362" w:rsidRPr="004E6649" w:rsidRDefault="00A83362" w:rsidP="00996B41">
      <w:pPr>
        <w:jc w:val="center"/>
        <w:rPr>
          <w:rFonts w:eastAsia="Times New Roman" w:cstheme="minorHAnsi"/>
          <w:b/>
          <w:bCs/>
          <w:color w:val="0D0D0D" w:themeColor="text1" w:themeTint="F2"/>
          <w:sz w:val="20"/>
          <w:szCs w:val="20"/>
        </w:rPr>
      </w:pPr>
      <w:r w:rsidRPr="004E6649">
        <w:rPr>
          <w:rFonts w:eastAsia="Times New Roman" w:cstheme="minorHAnsi"/>
          <w:b/>
          <w:bCs/>
          <w:color w:val="0D0D0D" w:themeColor="text1" w:themeTint="F2"/>
          <w:sz w:val="20"/>
          <w:szCs w:val="20"/>
        </w:rPr>
        <w:t>(In millions)</w:t>
      </w:r>
    </w:p>
    <w:tbl>
      <w:tblPr>
        <w:tblW w:w="9630" w:type="dxa"/>
        <w:jc w:val="center"/>
        <w:tblLayout w:type="fixed"/>
        <w:tblLook w:val="04A0" w:firstRow="1" w:lastRow="0" w:firstColumn="1" w:lastColumn="0" w:noHBand="0" w:noVBand="1"/>
      </w:tblPr>
      <w:tblGrid>
        <w:gridCol w:w="3000"/>
        <w:gridCol w:w="636"/>
        <w:gridCol w:w="636"/>
        <w:gridCol w:w="636"/>
        <w:gridCol w:w="636"/>
        <w:gridCol w:w="636"/>
        <w:gridCol w:w="750"/>
        <w:gridCol w:w="636"/>
        <w:gridCol w:w="714"/>
        <w:gridCol w:w="636"/>
        <w:gridCol w:w="714"/>
      </w:tblGrid>
      <w:tr w:rsidR="002F6B9E" w:rsidRPr="004E6649" w14:paraId="358A5FAB" w14:textId="77777777" w:rsidTr="00F46E9D">
        <w:trPr>
          <w:trHeight w:val="288"/>
          <w:jc w:val="center"/>
        </w:trPr>
        <w:tc>
          <w:tcPr>
            <w:tcW w:w="3000" w:type="dxa"/>
            <w:tcBorders>
              <w:top w:val="nil"/>
              <w:left w:val="nil"/>
              <w:bottom w:val="single" w:sz="12" w:space="0" w:color="000000" w:themeColor="text1"/>
              <w:right w:val="nil"/>
            </w:tcBorders>
            <w:shd w:val="clear" w:color="000000" w:fill="FFFFFF"/>
            <w:noWrap/>
            <w:vAlign w:val="bottom"/>
            <w:hideMark/>
          </w:tcPr>
          <w:p w14:paraId="193D5A19" w14:textId="77777777" w:rsidR="002F6B9E" w:rsidRPr="004E6649" w:rsidRDefault="002F6B9E" w:rsidP="002F6B9E">
            <w:pPr>
              <w:rPr>
                <w:rFonts w:eastAsia="Times New Roman" w:cstheme="minorHAnsi"/>
                <w:b/>
                <w:bCs/>
                <w:color w:val="0D0D0D"/>
                <w:sz w:val="18"/>
                <w:szCs w:val="18"/>
              </w:rPr>
            </w:pPr>
            <w:r w:rsidRPr="004E6649">
              <w:rPr>
                <w:rFonts w:eastAsia="Times New Roman" w:cstheme="minorHAnsi"/>
                <w:b/>
                <w:bCs/>
                <w:color w:val="0D0D0D"/>
                <w:sz w:val="18"/>
                <w:szCs w:val="18"/>
              </w:rPr>
              <w:t> </w:t>
            </w:r>
          </w:p>
        </w:tc>
        <w:tc>
          <w:tcPr>
            <w:tcW w:w="1272" w:type="dxa"/>
            <w:gridSpan w:val="2"/>
            <w:tcBorders>
              <w:top w:val="nil"/>
              <w:left w:val="nil"/>
              <w:bottom w:val="single" w:sz="12" w:space="0" w:color="000000" w:themeColor="text1"/>
              <w:right w:val="nil"/>
            </w:tcBorders>
            <w:shd w:val="clear" w:color="000000" w:fill="FFFFFF"/>
            <w:noWrap/>
            <w:vAlign w:val="bottom"/>
            <w:hideMark/>
          </w:tcPr>
          <w:p w14:paraId="61B63078" w14:textId="59E2CFC3" w:rsidR="002F6B9E" w:rsidRPr="004E6649" w:rsidRDefault="002F6B9E" w:rsidP="002F6B9E">
            <w:pPr>
              <w:jc w:val="center"/>
              <w:rPr>
                <w:rFonts w:eastAsia="Times New Roman" w:cstheme="minorHAnsi"/>
                <w:b/>
                <w:bCs/>
                <w:color w:val="0D0D0D"/>
                <w:sz w:val="18"/>
                <w:szCs w:val="18"/>
              </w:rPr>
            </w:pPr>
            <w:r w:rsidRPr="004E6649">
              <w:rPr>
                <w:rFonts w:eastAsia="Times New Roman" w:cstheme="minorHAnsi"/>
                <w:b/>
                <w:bCs/>
                <w:color w:val="0D0D0D"/>
                <w:sz w:val="18"/>
                <w:szCs w:val="18"/>
              </w:rPr>
              <w:t>202</w:t>
            </w:r>
            <w:r>
              <w:rPr>
                <w:rFonts w:eastAsia="Times New Roman" w:cstheme="minorHAnsi"/>
                <w:b/>
                <w:bCs/>
                <w:color w:val="0D0D0D"/>
                <w:sz w:val="18"/>
                <w:szCs w:val="18"/>
              </w:rPr>
              <w:t>5</w:t>
            </w:r>
          </w:p>
        </w:tc>
        <w:tc>
          <w:tcPr>
            <w:tcW w:w="1272" w:type="dxa"/>
            <w:gridSpan w:val="2"/>
            <w:tcBorders>
              <w:top w:val="nil"/>
              <w:left w:val="nil"/>
              <w:bottom w:val="single" w:sz="12" w:space="0" w:color="000000" w:themeColor="text1"/>
              <w:right w:val="nil"/>
            </w:tcBorders>
            <w:shd w:val="clear" w:color="000000" w:fill="FFFFFF"/>
            <w:vAlign w:val="bottom"/>
            <w:hideMark/>
          </w:tcPr>
          <w:p w14:paraId="256E5F0F" w14:textId="55EAECEB" w:rsidR="002F6B9E" w:rsidRPr="004E6649" w:rsidRDefault="002F6B9E" w:rsidP="002F6B9E">
            <w:pPr>
              <w:jc w:val="center"/>
              <w:rPr>
                <w:rFonts w:eastAsia="Times New Roman" w:cstheme="minorHAnsi"/>
                <w:b/>
                <w:bCs/>
                <w:color w:val="0D0D0D"/>
                <w:sz w:val="18"/>
                <w:szCs w:val="18"/>
              </w:rPr>
            </w:pPr>
            <w:r w:rsidRPr="004E6649">
              <w:rPr>
                <w:rFonts w:eastAsia="Times New Roman" w:cstheme="minorHAnsi"/>
                <w:b/>
                <w:bCs/>
                <w:color w:val="0D0D0D"/>
                <w:sz w:val="18"/>
                <w:szCs w:val="18"/>
              </w:rPr>
              <w:t>202</w:t>
            </w:r>
            <w:r w:rsidR="00E1495D">
              <w:rPr>
                <w:rFonts w:eastAsia="Times New Roman" w:cstheme="minorHAnsi"/>
                <w:b/>
                <w:bCs/>
                <w:color w:val="0D0D0D"/>
                <w:sz w:val="18"/>
                <w:szCs w:val="18"/>
              </w:rPr>
              <w:t>4</w:t>
            </w:r>
          </w:p>
        </w:tc>
        <w:tc>
          <w:tcPr>
            <w:tcW w:w="1386" w:type="dxa"/>
            <w:gridSpan w:val="2"/>
            <w:tcBorders>
              <w:top w:val="nil"/>
              <w:left w:val="nil"/>
              <w:bottom w:val="single" w:sz="12" w:space="0" w:color="000000" w:themeColor="text1"/>
              <w:right w:val="nil"/>
            </w:tcBorders>
            <w:shd w:val="clear" w:color="000000" w:fill="FFFFFF"/>
            <w:noWrap/>
            <w:vAlign w:val="bottom"/>
            <w:hideMark/>
          </w:tcPr>
          <w:p w14:paraId="164198C5" w14:textId="3ABAB63B" w:rsidR="002F6B9E" w:rsidRPr="004E6649" w:rsidRDefault="002F6B9E" w:rsidP="002F6B9E">
            <w:pPr>
              <w:jc w:val="center"/>
              <w:rPr>
                <w:rFonts w:eastAsia="Times New Roman" w:cstheme="minorHAnsi"/>
                <w:b/>
                <w:bCs/>
                <w:color w:val="0D0D0D"/>
                <w:sz w:val="18"/>
                <w:szCs w:val="18"/>
              </w:rPr>
            </w:pPr>
            <w:r w:rsidRPr="004E6649">
              <w:rPr>
                <w:rFonts w:eastAsia="Times New Roman" w:cstheme="minorHAnsi"/>
                <w:b/>
                <w:bCs/>
                <w:color w:val="0D0D0D"/>
                <w:sz w:val="18"/>
                <w:szCs w:val="18"/>
              </w:rPr>
              <w:t>202</w:t>
            </w:r>
            <w:r w:rsidR="00E1495D">
              <w:rPr>
                <w:rFonts w:eastAsia="Times New Roman" w:cstheme="minorHAnsi"/>
                <w:b/>
                <w:bCs/>
                <w:color w:val="0D0D0D"/>
                <w:sz w:val="18"/>
                <w:szCs w:val="18"/>
              </w:rPr>
              <w:t>3</w:t>
            </w:r>
          </w:p>
        </w:tc>
        <w:tc>
          <w:tcPr>
            <w:tcW w:w="1350" w:type="dxa"/>
            <w:gridSpan w:val="2"/>
            <w:tcBorders>
              <w:top w:val="nil"/>
              <w:left w:val="nil"/>
              <w:bottom w:val="single" w:sz="12" w:space="0" w:color="000000" w:themeColor="text1"/>
              <w:right w:val="nil"/>
            </w:tcBorders>
            <w:shd w:val="clear" w:color="000000" w:fill="FFFFFF"/>
            <w:noWrap/>
            <w:vAlign w:val="bottom"/>
            <w:hideMark/>
          </w:tcPr>
          <w:p w14:paraId="6D8E7AA1" w14:textId="646708D8" w:rsidR="002F6B9E" w:rsidRPr="004E6649" w:rsidRDefault="002F6B9E" w:rsidP="002F6B9E">
            <w:pPr>
              <w:jc w:val="center"/>
              <w:rPr>
                <w:rFonts w:eastAsia="Times New Roman" w:cstheme="minorHAnsi"/>
                <w:b/>
                <w:bCs/>
                <w:color w:val="0D0D0D"/>
                <w:sz w:val="18"/>
                <w:szCs w:val="18"/>
              </w:rPr>
            </w:pPr>
            <w:r w:rsidRPr="004E6649">
              <w:rPr>
                <w:rFonts w:eastAsia="Times New Roman" w:cstheme="minorHAnsi"/>
                <w:b/>
                <w:bCs/>
                <w:color w:val="0D0D0D"/>
                <w:sz w:val="18"/>
                <w:szCs w:val="18"/>
              </w:rPr>
              <w:t>202</w:t>
            </w:r>
            <w:r w:rsidR="00E1495D">
              <w:rPr>
                <w:rFonts w:eastAsia="Times New Roman" w:cstheme="minorHAnsi"/>
                <w:b/>
                <w:bCs/>
                <w:color w:val="0D0D0D"/>
                <w:sz w:val="18"/>
                <w:szCs w:val="18"/>
              </w:rPr>
              <w:t>2</w:t>
            </w:r>
          </w:p>
        </w:tc>
        <w:tc>
          <w:tcPr>
            <w:tcW w:w="1350" w:type="dxa"/>
            <w:gridSpan w:val="2"/>
            <w:tcBorders>
              <w:top w:val="nil"/>
              <w:left w:val="nil"/>
              <w:bottom w:val="single" w:sz="12" w:space="0" w:color="000000" w:themeColor="text1"/>
              <w:right w:val="nil"/>
            </w:tcBorders>
            <w:shd w:val="clear" w:color="000000" w:fill="FFFFFF"/>
            <w:vAlign w:val="bottom"/>
            <w:hideMark/>
          </w:tcPr>
          <w:p w14:paraId="0E03741E" w14:textId="000576AB" w:rsidR="002F6B9E" w:rsidRPr="004E6649" w:rsidRDefault="002F6B9E" w:rsidP="002F6B9E">
            <w:pPr>
              <w:jc w:val="center"/>
              <w:rPr>
                <w:rFonts w:eastAsia="Times New Roman" w:cstheme="minorHAnsi"/>
                <w:b/>
                <w:bCs/>
                <w:color w:val="0D0D0D"/>
                <w:sz w:val="18"/>
                <w:szCs w:val="18"/>
              </w:rPr>
            </w:pPr>
            <w:r w:rsidRPr="004E6649">
              <w:rPr>
                <w:rFonts w:eastAsia="Times New Roman" w:cstheme="minorHAnsi"/>
                <w:b/>
                <w:bCs/>
                <w:color w:val="0D0D0D"/>
                <w:sz w:val="18"/>
                <w:szCs w:val="18"/>
              </w:rPr>
              <w:t>202</w:t>
            </w:r>
            <w:r w:rsidR="00E1495D">
              <w:rPr>
                <w:rFonts w:eastAsia="Times New Roman" w:cstheme="minorHAnsi"/>
                <w:b/>
                <w:bCs/>
                <w:color w:val="0D0D0D"/>
                <w:sz w:val="18"/>
                <w:szCs w:val="18"/>
              </w:rPr>
              <w:t>1</w:t>
            </w:r>
          </w:p>
        </w:tc>
      </w:tr>
      <w:tr w:rsidR="00E1495D" w:rsidRPr="004E6649" w14:paraId="7330E3E8" w14:textId="77777777" w:rsidTr="00F46E9D">
        <w:trPr>
          <w:trHeight w:val="177"/>
          <w:jc w:val="center"/>
        </w:trPr>
        <w:tc>
          <w:tcPr>
            <w:tcW w:w="3000" w:type="dxa"/>
            <w:tcBorders>
              <w:top w:val="single" w:sz="12" w:space="0" w:color="000000" w:themeColor="text1"/>
              <w:left w:val="nil"/>
              <w:bottom w:val="nil"/>
              <w:right w:val="nil"/>
            </w:tcBorders>
            <w:shd w:val="clear" w:color="000000" w:fill="FFFFFF"/>
            <w:noWrap/>
            <w:vAlign w:val="bottom"/>
            <w:hideMark/>
          </w:tcPr>
          <w:p w14:paraId="1884E283" w14:textId="77777777" w:rsidR="00E1495D" w:rsidRPr="004E6649" w:rsidRDefault="00E1495D" w:rsidP="00E1495D">
            <w:pPr>
              <w:rPr>
                <w:rFonts w:eastAsia="Times New Roman" w:cstheme="minorHAnsi"/>
                <w:color w:val="0D0D0D"/>
                <w:sz w:val="18"/>
                <w:szCs w:val="18"/>
              </w:rPr>
            </w:pPr>
            <w:r w:rsidRPr="004E6649">
              <w:rPr>
                <w:rFonts w:eastAsia="Times New Roman" w:cstheme="minorHAnsi"/>
                <w:color w:val="0D0D0D"/>
                <w:sz w:val="18"/>
                <w:szCs w:val="18"/>
              </w:rPr>
              <w:t xml:space="preserve">Instruction </w:t>
            </w:r>
          </w:p>
        </w:tc>
        <w:tc>
          <w:tcPr>
            <w:tcW w:w="636" w:type="dxa"/>
            <w:tcBorders>
              <w:top w:val="single" w:sz="12" w:space="0" w:color="000000" w:themeColor="text1"/>
              <w:left w:val="nil"/>
              <w:bottom w:val="nil"/>
              <w:right w:val="nil"/>
            </w:tcBorders>
            <w:shd w:val="clear" w:color="000000" w:fill="FFFFFF"/>
            <w:noWrap/>
            <w:vAlign w:val="bottom"/>
          </w:tcPr>
          <w:p w14:paraId="3CF288B1" w14:textId="103ABE41" w:rsidR="00E1495D" w:rsidRPr="00CA25FD" w:rsidRDefault="00E1495D" w:rsidP="00E1495D">
            <w:pPr>
              <w:jc w:val="right"/>
              <w:rPr>
                <w:rFonts w:eastAsia="Times New Roman" w:cstheme="minorHAnsi"/>
                <w:b/>
                <w:bCs/>
                <w:color w:val="0D0D0D"/>
                <w:sz w:val="18"/>
                <w:szCs w:val="18"/>
              </w:rPr>
            </w:pPr>
            <w:r>
              <w:rPr>
                <w:rFonts w:ascii="Calibri" w:hAnsi="Calibri" w:cs="Calibri"/>
                <w:b/>
                <w:bCs/>
                <w:color w:val="0D0D0D"/>
                <w:sz w:val="18"/>
                <w:szCs w:val="18"/>
              </w:rPr>
              <w:t>$200</w:t>
            </w:r>
          </w:p>
        </w:tc>
        <w:tc>
          <w:tcPr>
            <w:tcW w:w="636" w:type="dxa"/>
            <w:tcBorders>
              <w:top w:val="single" w:sz="12" w:space="0" w:color="000000" w:themeColor="text1"/>
              <w:left w:val="nil"/>
              <w:bottom w:val="nil"/>
              <w:right w:val="nil"/>
            </w:tcBorders>
            <w:shd w:val="clear" w:color="000000" w:fill="BFBFBF"/>
            <w:noWrap/>
            <w:vAlign w:val="bottom"/>
          </w:tcPr>
          <w:p w14:paraId="3F72C49E" w14:textId="0F761C5E" w:rsidR="00E1495D" w:rsidRPr="00CA25FD" w:rsidRDefault="00E1495D" w:rsidP="00E1495D">
            <w:pPr>
              <w:jc w:val="right"/>
              <w:rPr>
                <w:rFonts w:eastAsia="Times New Roman" w:cstheme="minorHAnsi"/>
                <w:b/>
                <w:bCs/>
                <w:color w:val="0D0D0D" w:themeColor="text1" w:themeTint="F2"/>
                <w:sz w:val="18"/>
                <w:szCs w:val="18"/>
              </w:rPr>
            </w:pPr>
            <w:r>
              <w:rPr>
                <w:rFonts w:ascii="Calibri" w:hAnsi="Calibri" w:cs="Calibri"/>
                <w:b/>
                <w:bCs/>
                <w:color w:val="0D0D0D"/>
                <w:sz w:val="18"/>
                <w:szCs w:val="18"/>
              </w:rPr>
              <w:t>23%</w:t>
            </w:r>
          </w:p>
        </w:tc>
        <w:tc>
          <w:tcPr>
            <w:tcW w:w="636" w:type="dxa"/>
            <w:tcBorders>
              <w:top w:val="single" w:sz="12" w:space="0" w:color="000000" w:themeColor="text1"/>
              <w:left w:val="nil"/>
              <w:bottom w:val="nil"/>
              <w:right w:val="nil"/>
            </w:tcBorders>
            <w:shd w:val="clear" w:color="000000" w:fill="FFFFFF"/>
            <w:noWrap/>
            <w:vAlign w:val="bottom"/>
          </w:tcPr>
          <w:p w14:paraId="30EDC4D4" w14:textId="2ECACCC1" w:rsidR="00E1495D" w:rsidRPr="00CA25FD" w:rsidRDefault="00E1495D" w:rsidP="00E1495D">
            <w:pPr>
              <w:jc w:val="right"/>
              <w:rPr>
                <w:rFonts w:eastAsia="Times New Roman" w:cstheme="minorHAnsi"/>
                <w:b/>
                <w:bCs/>
                <w:color w:val="0D0D0D"/>
                <w:sz w:val="18"/>
                <w:szCs w:val="18"/>
              </w:rPr>
            </w:pPr>
            <w:r w:rsidRPr="00492085">
              <w:rPr>
                <w:rFonts w:ascii="Calibri" w:hAnsi="Calibri" w:cs="Calibri"/>
                <w:b/>
                <w:bCs/>
                <w:color w:val="0D0D0D"/>
                <w:sz w:val="18"/>
                <w:szCs w:val="18"/>
              </w:rPr>
              <w:t>$19</w:t>
            </w:r>
            <w:r>
              <w:rPr>
                <w:rFonts w:ascii="Calibri" w:hAnsi="Calibri" w:cs="Calibri"/>
                <w:b/>
                <w:bCs/>
                <w:color w:val="0D0D0D"/>
                <w:sz w:val="18"/>
                <w:szCs w:val="18"/>
              </w:rPr>
              <w:t>5</w:t>
            </w:r>
          </w:p>
        </w:tc>
        <w:tc>
          <w:tcPr>
            <w:tcW w:w="636" w:type="dxa"/>
            <w:tcBorders>
              <w:top w:val="single" w:sz="12" w:space="0" w:color="000000" w:themeColor="text1"/>
              <w:left w:val="nil"/>
              <w:bottom w:val="nil"/>
              <w:right w:val="nil"/>
            </w:tcBorders>
            <w:shd w:val="clear" w:color="000000" w:fill="BFBFBF"/>
            <w:noWrap/>
            <w:vAlign w:val="bottom"/>
          </w:tcPr>
          <w:p w14:paraId="2CA4D448" w14:textId="0299158C" w:rsidR="00E1495D" w:rsidRPr="00CA25FD" w:rsidRDefault="00E1495D" w:rsidP="00E1495D">
            <w:pPr>
              <w:jc w:val="right"/>
              <w:rPr>
                <w:rFonts w:eastAsia="Times New Roman" w:cstheme="minorHAnsi"/>
                <w:b/>
                <w:bCs/>
                <w:color w:val="0D0D0D"/>
                <w:sz w:val="18"/>
                <w:szCs w:val="18"/>
              </w:rPr>
            </w:pPr>
            <w:r w:rsidRPr="00492085">
              <w:rPr>
                <w:rFonts w:ascii="Calibri" w:hAnsi="Calibri" w:cs="Calibri"/>
                <w:b/>
                <w:bCs/>
                <w:color w:val="0D0D0D"/>
                <w:sz w:val="18"/>
                <w:szCs w:val="18"/>
              </w:rPr>
              <w:t>23%</w:t>
            </w:r>
          </w:p>
        </w:tc>
        <w:tc>
          <w:tcPr>
            <w:tcW w:w="636" w:type="dxa"/>
            <w:tcBorders>
              <w:top w:val="single" w:sz="12" w:space="0" w:color="000000" w:themeColor="text1"/>
              <w:left w:val="nil"/>
              <w:bottom w:val="nil"/>
              <w:right w:val="nil"/>
            </w:tcBorders>
            <w:shd w:val="clear" w:color="000000" w:fill="FFFFFF"/>
            <w:noWrap/>
            <w:vAlign w:val="bottom"/>
          </w:tcPr>
          <w:p w14:paraId="4A708AC6" w14:textId="3C452BE6" w:rsidR="00E1495D" w:rsidRPr="00F50B8A" w:rsidRDefault="00F46E9D" w:rsidP="00E1495D">
            <w:pPr>
              <w:jc w:val="right"/>
              <w:rPr>
                <w:rFonts w:eastAsia="Times New Roman" w:cstheme="minorHAnsi"/>
                <w:b/>
                <w:bCs/>
                <w:color w:val="0D0D0D"/>
                <w:sz w:val="18"/>
                <w:szCs w:val="18"/>
              </w:rPr>
            </w:pPr>
            <w:r w:rsidRPr="00F50B8A">
              <w:rPr>
                <w:rFonts w:ascii="Calibri" w:hAnsi="Calibri" w:cs="Calibri"/>
                <w:b/>
                <w:bCs/>
                <w:color w:val="000000"/>
                <w:sz w:val="18"/>
                <w:szCs w:val="18"/>
              </w:rPr>
              <w:t>$</w:t>
            </w:r>
            <w:r w:rsidR="00E1495D" w:rsidRPr="00F50B8A">
              <w:rPr>
                <w:rFonts w:ascii="Calibri" w:hAnsi="Calibri" w:cs="Calibri"/>
                <w:b/>
                <w:bCs/>
                <w:color w:val="000000"/>
                <w:sz w:val="18"/>
                <w:szCs w:val="18"/>
              </w:rPr>
              <w:t>199</w:t>
            </w:r>
          </w:p>
        </w:tc>
        <w:tc>
          <w:tcPr>
            <w:tcW w:w="750" w:type="dxa"/>
            <w:tcBorders>
              <w:top w:val="single" w:sz="12" w:space="0" w:color="000000" w:themeColor="text1"/>
              <w:left w:val="nil"/>
              <w:bottom w:val="nil"/>
              <w:right w:val="nil"/>
            </w:tcBorders>
            <w:shd w:val="clear" w:color="000000" w:fill="BFBFBF"/>
            <w:noWrap/>
            <w:vAlign w:val="bottom"/>
          </w:tcPr>
          <w:p w14:paraId="5A88A5BF" w14:textId="1C511A80" w:rsidR="00E1495D" w:rsidRPr="00E1495D" w:rsidRDefault="00E1495D" w:rsidP="00E1495D">
            <w:pPr>
              <w:jc w:val="right"/>
              <w:rPr>
                <w:rFonts w:eastAsia="Times New Roman" w:cstheme="minorHAnsi"/>
                <w:color w:val="0D0D0D"/>
                <w:sz w:val="18"/>
                <w:szCs w:val="18"/>
              </w:rPr>
            </w:pPr>
            <w:r w:rsidRPr="00F46E9D">
              <w:rPr>
                <w:rFonts w:ascii="Calibri" w:hAnsi="Calibri" w:cs="Calibri"/>
                <w:b/>
                <w:bCs/>
                <w:color w:val="000000"/>
                <w:sz w:val="18"/>
                <w:szCs w:val="18"/>
              </w:rPr>
              <w:t>24%</w:t>
            </w:r>
          </w:p>
        </w:tc>
        <w:tc>
          <w:tcPr>
            <w:tcW w:w="636" w:type="dxa"/>
            <w:tcBorders>
              <w:top w:val="single" w:sz="12" w:space="0" w:color="000000" w:themeColor="text1"/>
              <w:left w:val="nil"/>
              <w:bottom w:val="nil"/>
              <w:right w:val="nil"/>
            </w:tcBorders>
            <w:shd w:val="clear" w:color="000000" w:fill="FFFFFF"/>
            <w:noWrap/>
            <w:vAlign w:val="bottom"/>
          </w:tcPr>
          <w:p w14:paraId="474B65BB" w14:textId="00C21017" w:rsidR="00E1495D" w:rsidRPr="00F50B8A" w:rsidRDefault="00F46E9D" w:rsidP="00E1495D">
            <w:pPr>
              <w:jc w:val="right"/>
              <w:rPr>
                <w:rFonts w:eastAsia="Times New Roman" w:cstheme="minorHAnsi"/>
                <w:b/>
                <w:bCs/>
                <w:color w:val="0D0D0D"/>
                <w:sz w:val="18"/>
                <w:szCs w:val="18"/>
              </w:rPr>
            </w:pPr>
            <w:r w:rsidRPr="00F50B8A">
              <w:rPr>
                <w:rFonts w:ascii="Calibri" w:hAnsi="Calibri" w:cs="Calibri"/>
                <w:b/>
                <w:bCs/>
                <w:color w:val="000000"/>
                <w:sz w:val="18"/>
                <w:szCs w:val="18"/>
              </w:rPr>
              <w:t>$</w:t>
            </w:r>
            <w:r w:rsidR="00E1495D" w:rsidRPr="00F50B8A">
              <w:rPr>
                <w:rFonts w:ascii="Calibri" w:hAnsi="Calibri" w:cs="Calibri"/>
                <w:b/>
                <w:bCs/>
                <w:color w:val="000000"/>
                <w:sz w:val="18"/>
                <w:szCs w:val="18"/>
              </w:rPr>
              <w:t>202</w:t>
            </w:r>
          </w:p>
        </w:tc>
        <w:tc>
          <w:tcPr>
            <w:tcW w:w="714" w:type="dxa"/>
            <w:tcBorders>
              <w:top w:val="single" w:sz="12" w:space="0" w:color="000000" w:themeColor="text1"/>
              <w:left w:val="nil"/>
              <w:bottom w:val="nil"/>
              <w:right w:val="nil"/>
            </w:tcBorders>
            <w:shd w:val="clear" w:color="000000" w:fill="BFBFBF"/>
            <w:noWrap/>
            <w:vAlign w:val="bottom"/>
          </w:tcPr>
          <w:p w14:paraId="328A8C81" w14:textId="36176C72" w:rsidR="00E1495D" w:rsidRPr="00E1495D" w:rsidRDefault="00E1495D" w:rsidP="00E1495D">
            <w:pPr>
              <w:jc w:val="right"/>
              <w:rPr>
                <w:rFonts w:eastAsia="Times New Roman" w:cstheme="minorHAnsi"/>
                <w:color w:val="0D0D0D"/>
                <w:sz w:val="18"/>
                <w:szCs w:val="18"/>
              </w:rPr>
            </w:pPr>
            <w:r w:rsidRPr="00F46E9D">
              <w:rPr>
                <w:rFonts w:ascii="Calibri" w:hAnsi="Calibri" w:cs="Calibri"/>
                <w:b/>
                <w:bCs/>
                <w:color w:val="000000"/>
                <w:sz w:val="18"/>
                <w:szCs w:val="18"/>
              </w:rPr>
              <w:t>25%</w:t>
            </w:r>
          </w:p>
        </w:tc>
        <w:tc>
          <w:tcPr>
            <w:tcW w:w="636" w:type="dxa"/>
            <w:tcBorders>
              <w:top w:val="single" w:sz="12" w:space="0" w:color="000000" w:themeColor="text1"/>
              <w:left w:val="nil"/>
              <w:bottom w:val="nil"/>
              <w:right w:val="nil"/>
            </w:tcBorders>
            <w:shd w:val="clear" w:color="000000" w:fill="FFFFFF"/>
            <w:noWrap/>
            <w:vAlign w:val="bottom"/>
          </w:tcPr>
          <w:p w14:paraId="083CF4FA" w14:textId="3BA8269C" w:rsidR="00E1495D" w:rsidRPr="00E1495D" w:rsidRDefault="00E1495D" w:rsidP="00E1495D">
            <w:pPr>
              <w:jc w:val="right"/>
              <w:rPr>
                <w:rFonts w:eastAsia="Times New Roman" w:cstheme="minorHAnsi"/>
                <w:color w:val="0D0D0D"/>
                <w:sz w:val="18"/>
                <w:szCs w:val="18"/>
              </w:rPr>
            </w:pPr>
            <w:r w:rsidRPr="00F46E9D">
              <w:rPr>
                <w:rFonts w:ascii="Calibri" w:hAnsi="Calibri" w:cs="Calibri"/>
                <w:b/>
                <w:bCs/>
                <w:color w:val="000000"/>
                <w:sz w:val="18"/>
                <w:szCs w:val="18"/>
              </w:rPr>
              <w:t xml:space="preserve">$ 188 </w:t>
            </w:r>
          </w:p>
        </w:tc>
        <w:tc>
          <w:tcPr>
            <w:tcW w:w="714" w:type="dxa"/>
            <w:tcBorders>
              <w:top w:val="single" w:sz="12" w:space="0" w:color="000000" w:themeColor="text1"/>
              <w:left w:val="nil"/>
              <w:bottom w:val="nil"/>
              <w:right w:val="nil"/>
            </w:tcBorders>
            <w:shd w:val="clear" w:color="000000" w:fill="BFBFBF"/>
            <w:noWrap/>
            <w:vAlign w:val="bottom"/>
          </w:tcPr>
          <w:p w14:paraId="258ED292" w14:textId="3CDDF64E" w:rsidR="00E1495D" w:rsidRPr="00E1495D" w:rsidRDefault="00E1495D" w:rsidP="00E1495D">
            <w:pPr>
              <w:jc w:val="right"/>
              <w:rPr>
                <w:rFonts w:eastAsia="Times New Roman" w:cstheme="minorHAnsi"/>
                <w:color w:val="0D0D0D"/>
                <w:sz w:val="18"/>
                <w:szCs w:val="18"/>
              </w:rPr>
            </w:pPr>
            <w:r w:rsidRPr="00F46E9D">
              <w:rPr>
                <w:rFonts w:ascii="Calibri" w:hAnsi="Calibri" w:cs="Calibri"/>
                <w:b/>
                <w:bCs/>
                <w:color w:val="000000"/>
                <w:sz w:val="18"/>
                <w:szCs w:val="18"/>
              </w:rPr>
              <w:t>28%</w:t>
            </w:r>
          </w:p>
        </w:tc>
      </w:tr>
      <w:tr w:rsidR="00E1495D" w:rsidRPr="004E6649" w14:paraId="58780D04" w14:textId="77777777" w:rsidTr="00F46E9D">
        <w:trPr>
          <w:trHeight w:val="80"/>
          <w:jc w:val="center"/>
        </w:trPr>
        <w:tc>
          <w:tcPr>
            <w:tcW w:w="3000" w:type="dxa"/>
            <w:tcBorders>
              <w:top w:val="nil"/>
              <w:left w:val="nil"/>
              <w:bottom w:val="nil"/>
              <w:right w:val="nil"/>
            </w:tcBorders>
            <w:shd w:val="clear" w:color="000000" w:fill="FFFFFF"/>
            <w:noWrap/>
            <w:vAlign w:val="bottom"/>
            <w:hideMark/>
          </w:tcPr>
          <w:p w14:paraId="35A43651" w14:textId="77777777" w:rsidR="00E1495D" w:rsidRPr="004E6649" w:rsidRDefault="00E1495D" w:rsidP="00E1495D">
            <w:pPr>
              <w:rPr>
                <w:rFonts w:eastAsia="Times New Roman" w:cstheme="minorHAnsi"/>
                <w:color w:val="0D0D0D"/>
                <w:sz w:val="18"/>
                <w:szCs w:val="18"/>
              </w:rPr>
            </w:pPr>
            <w:r w:rsidRPr="004E6649">
              <w:rPr>
                <w:rFonts w:eastAsia="Times New Roman" w:cstheme="minorHAnsi"/>
                <w:color w:val="0D0D0D"/>
                <w:sz w:val="18"/>
                <w:szCs w:val="18"/>
              </w:rPr>
              <w:t>Academic support</w:t>
            </w:r>
          </w:p>
        </w:tc>
        <w:tc>
          <w:tcPr>
            <w:tcW w:w="636" w:type="dxa"/>
            <w:tcBorders>
              <w:top w:val="nil"/>
              <w:left w:val="nil"/>
              <w:right w:val="nil"/>
            </w:tcBorders>
            <w:shd w:val="clear" w:color="000000" w:fill="FFFFFF"/>
            <w:noWrap/>
            <w:vAlign w:val="bottom"/>
          </w:tcPr>
          <w:p w14:paraId="77C47ECA" w14:textId="02108978" w:rsidR="00E1495D" w:rsidRPr="00CA25FD" w:rsidRDefault="00E1495D" w:rsidP="00E1495D">
            <w:pPr>
              <w:jc w:val="right"/>
              <w:rPr>
                <w:rFonts w:eastAsia="Times New Roman" w:cstheme="minorHAnsi"/>
                <w:b/>
                <w:bCs/>
                <w:color w:val="0D0D0D"/>
                <w:sz w:val="18"/>
                <w:szCs w:val="18"/>
              </w:rPr>
            </w:pPr>
            <w:r>
              <w:rPr>
                <w:rFonts w:ascii="Calibri" w:hAnsi="Calibri" w:cs="Calibri"/>
                <w:b/>
                <w:bCs/>
                <w:color w:val="0D0D0D"/>
                <w:sz w:val="18"/>
                <w:szCs w:val="18"/>
              </w:rPr>
              <w:t>85</w:t>
            </w:r>
          </w:p>
        </w:tc>
        <w:tc>
          <w:tcPr>
            <w:tcW w:w="636" w:type="dxa"/>
            <w:tcBorders>
              <w:top w:val="nil"/>
              <w:left w:val="nil"/>
              <w:right w:val="nil"/>
            </w:tcBorders>
            <w:shd w:val="clear" w:color="000000" w:fill="BFBFBF"/>
            <w:noWrap/>
            <w:vAlign w:val="bottom"/>
          </w:tcPr>
          <w:p w14:paraId="48410285" w14:textId="50D294B5" w:rsidR="00E1495D" w:rsidRPr="00CA25FD" w:rsidRDefault="00E1495D" w:rsidP="00E1495D">
            <w:pPr>
              <w:jc w:val="right"/>
              <w:rPr>
                <w:rFonts w:eastAsia="Times New Roman" w:cstheme="minorHAnsi"/>
                <w:b/>
                <w:bCs/>
                <w:color w:val="0D0D0D" w:themeColor="text1" w:themeTint="F2"/>
                <w:sz w:val="18"/>
                <w:szCs w:val="18"/>
              </w:rPr>
            </w:pPr>
            <w:r>
              <w:rPr>
                <w:rFonts w:ascii="Calibri" w:hAnsi="Calibri" w:cs="Calibri"/>
                <w:b/>
                <w:bCs/>
                <w:color w:val="0D0D0D"/>
                <w:sz w:val="18"/>
                <w:szCs w:val="18"/>
              </w:rPr>
              <w:t>10%</w:t>
            </w:r>
          </w:p>
        </w:tc>
        <w:tc>
          <w:tcPr>
            <w:tcW w:w="636" w:type="dxa"/>
            <w:tcBorders>
              <w:top w:val="nil"/>
              <w:left w:val="nil"/>
              <w:right w:val="nil"/>
            </w:tcBorders>
            <w:shd w:val="clear" w:color="000000" w:fill="FFFFFF"/>
            <w:noWrap/>
            <w:vAlign w:val="bottom"/>
          </w:tcPr>
          <w:p w14:paraId="010A7AF7" w14:textId="45507158" w:rsidR="00E1495D" w:rsidRPr="00CA25FD" w:rsidRDefault="00E1495D" w:rsidP="00E1495D">
            <w:pPr>
              <w:jc w:val="right"/>
              <w:rPr>
                <w:rFonts w:eastAsia="Times New Roman" w:cstheme="minorHAnsi"/>
                <w:b/>
                <w:bCs/>
                <w:color w:val="0D0D0D"/>
                <w:sz w:val="18"/>
                <w:szCs w:val="18"/>
              </w:rPr>
            </w:pPr>
            <w:r w:rsidRPr="00492085">
              <w:rPr>
                <w:rFonts w:ascii="Calibri" w:hAnsi="Calibri" w:cs="Calibri"/>
                <w:b/>
                <w:bCs/>
                <w:color w:val="0D0D0D"/>
                <w:sz w:val="18"/>
                <w:szCs w:val="18"/>
              </w:rPr>
              <w:t>84</w:t>
            </w:r>
          </w:p>
        </w:tc>
        <w:tc>
          <w:tcPr>
            <w:tcW w:w="636" w:type="dxa"/>
            <w:tcBorders>
              <w:top w:val="nil"/>
              <w:left w:val="nil"/>
              <w:right w:val="nil"/>
            </w:tcBorders>
            <w:shd w:val="clear" w:color="000000" w:fill="BFBFBF"/>
            <w:noWrap/>
            <w:vAlign w:val="bottom"/>
          </w:tcPr>
          <w:p w14:paraId="0A1C169F" w14:textId="61C9BDDE" w:rsidR="00E1495D" w:rsidRPr="00CA25FD" w:rsidRDefault="00E1495D" w:rsidP="00E1495D">
            <w:pPr>
              <w:jc w:val="right"/>
              <w:rPr>
                <w:rFonts w:eastAsia="Times New Roman" w:cstheme="minorHAnsi"/>
                <w:b/>
                <w:bCs/>
                <w:color w:val="0D0D0D"/>
                <w:sz w:val="18"/>
                <w:szCs w:val="18"/>
              </w:rPr>
            </w:pPr>
            <w:r w:rsidRPr="00492085">
              <w:rPr>
                <w:rFonts w:ascii="Calibri" w:hAnsi="Calibri" w:cs="Calibri"/>
                <w:b/>
                <w:bCs/>
                <w:color w:val="0D0D0D"/>
                <w:sz w:val="18"/>
                <w:szCs w:val="18"/>
              </w:rPr>
              <w:t>10%</w:t>
            </w:r>
          </w:p>
        </w:tc>
        <w:tc>
          <w:tcPr>
            <w:tcW w:w="636" w:type="dxa"/>
            <w:tcBorders>
              <w:top w:val="nil"/>
              <w:left w:val="nil"/>
              <w:right w:val="nil"/>
            </w:tcBorders>
            <w:shd w:val="clear" w:color="000000" w:fill="FFFFFF"/>
            <w:noWrap/>
            <w:vAlign w:val="bottom"/>
          </w:tcPr>
          <w:p w14:paraId="729C90C6" w14:textId="3EDCE9C3" w:rsidR="00E1495D" w:rsidRPr="00F50B8A" w:rsidRDefault="00E1495D" w:rsidP="00E1495D">
            <w:pPr>
              <w:jc w:val="right"/>
              <w:rPr>
                <w:rFonts w:eastAsia="Times New Roman" w:cstheme="minorHAnsi"/>
                <w:b/>
                <w:bCs/>
                <w:color w:val="0D0D0D"/>
                <w:sz w:val="18"/>
                <w:szCs w:val="18"/>
              </w:rPr>
            </w:pPr>
            <w:r w:rsidRPr="00F50B8A">
              <w:rPr>
                <w:rFonts w:ascii="Calibri" w:hAnsi="Calibri" w:cs="Calibri"/>
                <w:b/>
                <w:bCs/>
                <w:color w:val="000000"/>
                <w:sz w:val="18"/>
                <w:szCs w:val="18"/>
              </w:rPr>
              <w:t>79</w:t>
            </w:r>
          </w:p>
        </w:tc>
        <w:tc>
          <w:tcPr>
            <w:tcW w:w="750" w:type="dxa"/>
            <w:tcBorders>
              <w:top w:val="nil"/>
              <w:left w:val="nil"/>
              <w:right w:val="nil"/>
            </w:tcBorders>
            <w:shd w:val="clear" w:color="000000" w:fill="BFBFBF"/>
            <w:noWrap/>
            <w:vAlign w:val="bottom"/>
          </w:tcPr>
          <w:p w14:paraId="7B6AFE6A" w14:textId="2A3EDAB1" w:rsidR="00E1495D" w:rsidRPr="00E1495D" w:rsidRDefault="00E1495D" w:rsidP="00E1495D">
            <w:pPr>
              <w:jc w:val="right"/>
              <w:rPr>
                <w:rFonts w:eastAsia="Times New Roman" w:cstheme="minorHAnsi"/>
                <w:color w:val="0D0D0D"/>
                <w:sz w:val="18"/>
                <w:szCs w:val="18"/>
              </w:rPr>
            </w:pPr>
            <w:r w:rsidRPr="00F46E9D">
              <w:rPr>
                <w:rFonts w:ascii="Calibri" w:hAnsi="Calibri" w:cs="Calibri"/>
                <w:b/>
                <w:bCs/>
                <w:color w:val="000000"/>
                <w:sz w:val="18"/>
                <w:szCs w:val="18"/>
              </w:rPr>
              <w:t>10%</w:t>
            </w:r>
          </w:p>
        </w:tc>
        <w:tc>
          <w:tcPr>
            <w:tcW w:w="636" w:type="dxa"/>
            <w:tcBorders>
              <w:top w:val="nil"/>
              <w:left w:val="nil"/>
              <w:right w:val="nil"/>
            </w:tcBorders>
            <w:shd w:val="clear" w:color="000000" w:fill="FFFFFF"/>
            <w:noWrap/>
            <w:vAlign w:val="bottom"/>
          </w:tcPr>
          <w:p w14:paraId="52AF221E" w14:textId="48586F4C" w:rsidR="00E1495D" w:rsidRPr="00F50B8A" w:rsidRDefault="00E1495D" w:rsidP="00E1495D">
            <w:pPr>
              <w:jc w:val="right"/>
              <w:rPr>
                <w:rFonts w:eastAsia="Times New Roman" w:cstheme="minorHAnsi"/>
                <w:b/>
                <w:bCs/>
                <w:color w:val="0D0D0D"/>
                <w:sz w:val="18"/>
                <w:szCs w:val="18"/>
              </w:rPr>
            </w:pPr>
            <w:r w:rsidRPr="00F50B8A">
              <w:rPr>
                <w:rFonts w:ascii="Calibri" w:hAnsi="Calibri" w:cs="Calibri"/>
                <w:b/>
                <w:bCs/>
                <w:color w:val="000000"/>
                <w:sz w:val="18"/>
                <w:szCs w:val="18"/>
              </w:rPr>
              <w:t>78</w:t>
            </w:r>
          </w:p>
        </w:tc>
        <w:tc>
          <w:tcPr>
            <w:tcW w:w="714" w:type="dxa"/>
            <w:tcBorders>
              <w:top w:val="nil"/>
              <w:left w:val="nil"/>
              <w:right w:val="nil"/>
            </w:tcBorders>
            <w:shd w:val="clear" w:color="000000" w:fill="BFBFBF"/>
            <w:noWrap/>
            <w:vAlign w:val="bottom"/>
          </w:tcPr>
          <w:p w14:paraId="23BCAB3F" w14:textId="03B29CE4" w:rsidR="00E1495D" w:rsidRPr="00E1495D" w:rsidRDefault="00E1495D" w:rsidP="00E1495D">
            <w:pPr>
              <w:jc w:val="right"/>
              <w:rPr>
                <w:rFonts w:eastAsia="Times New Roman" w:cstheme="minorHAnsi"/>
                <w:color w:val="0D0D0D"/>
                <w:sz w:val="18"/>
                <w:szCs w:val="18"/>
              </w:rPr>
            </w:pPr>
            <w:r w:rsidRPr="00F46E9D">
              <w:rPr>
                <w:rFonts w:ascii="Calibri" w:hAnsi="Calibri" w:cs="Calibri"/>
                <w:b/>
                <w:bCs/>
                <w:color w:val="000000"/>
                <w:sz w:val="18"/>
                <w:szCs w:val="18"/>
              </w:rPr>
              <w:t>10%</w:t>
            </w:r>
          </w:p>
        </w:tc>
        <w:tc>
          <w:tcPr>
            <w:tcW w:w="636" w:type="dxa"/>
            <w:tcBorders>
              <w:top w:val="nil"/>
              <w:left w:val="nil"/>
              <w:right w:val="nil"/>
            </w:tcBorders>
            <w:shd w:val="clear" w:color="000000" w:fill="FFFFFF"/>
            <w:noWrap/>
            <w:vAlign w:val="bottom"/>
          </w:tcPr>
          <w:p w14:paraId="18025B44" w14:textId="763987FA" w:rsidR="00E1495D" w:rsidRPr="00E1495D" w:rsidRDefault="00E1495D" w:rsidP="00E1495D">
            <w:pPr>
              <w:jc w:val="right"/>
              <w:rPr>
                <w:rFonts w:eastAsia="Times New Roman" w:cstheme="minorHAnsi"/>
                <w:color w:val="0D0D0D"/>
                <w:sz w:val="18"/>
                <w:szCs w:val="18"/>
              </w:rPr>
            </w:pPr>
            <w:r w:rsidRPr="00F46E9D">
              <w:rPr>
                <w:rFonts w:ascii="Calibri" w:hAnsi="Calibri" w:cs="Calibri"/>
                <w:b/>
                <w:bCs/>
                <w:color w:val="000000"/>
                <w:sz w:val="18"/>
                <w:szCs w:val="18"/>
              </w:rPr>
              <w:t xml:space="preserve">75 </w:t>
            </w:r>
          </w:p>
        </w:tc>
        <w:tc>
          <w:tcPr>
            <w:tcW w:w="714" w:type="dxa"/>
            <w:tcBorders>
              <w:top w:val="nil"/>
              <w:left w:val="nil"/>
              <w:right w:val="nil"/>
            </w:tcBorders>
            <w:shd w:val="clear" w:color="000000" w:fill="BFBFBF"/>
            <w:noWrap/>
            <w:vAlign w:val="bottom"/>
          </w:tcPr>
          <w:p w14:paraId="2D740F34" w14:textId="18228805" w:rsidR="00E1495D" w:rsidRPr="00E1495D" w:rsidRDefault="00E1495D" w:rsidP="00E1495D">
            <w:pPr>
              <w:jc w:val="right"/>
              <w:rPr>
                <w:rFonts w:eastAsia="Times New Roman" w:cstheme="minorHAnsi"/>
                <w:color w:val="0D0D0D"/>
                <w:sz w:val="18"/>
                <w:szCs w:val="18"/>
              </w:rPr>
            </w:pPr>
            <w:r w:rsidRPr="00F46E9D">
              <w:rPr>
                <w:rFonts w:ascii="Calibri" w:hAnsi="Calibri" w:cs="Calibri"/>
                <w:b/>
                <w:bCs/>
                <w:color w:val="000000"/>
                <w:sz w:val="18"/>
                <w:szCs w:val="18"/>
              </w:rPr>
              <w:t>11%</w:t>
            </w:r>
          </w:p>
        </w:tc>
      </w:tr>
      <w:tr w:rsidR="00E1495D" w:rsidRPr="004E6649" w14:paraId="0FAE7441" w14:textId="77777777" w:rsidTr="00F46E9D">
        <w:trPr>
          <w:trHeight w:val="90"/>
          <w:jc w:val="center"/>
        </w:trPr>
        <w:tc>
          <w:tcPr>
            <w:tcW w:w="3000" w:type="dxa"/>
            <w:tcBorders>
              <w:top w:val="nil"/>
              <w:left w:val="nil"/>
              <w:bottom w:val="nil"/>
              <w:right w:val="nil"/>
            </w:tcBorders>
            <w:shd w:val="clear" w:color="000000" w:fill="FFFFFF"/>
            <w:noWrap/>
            <w:vAlign w:val="bottom"/>
            <w:hideMark/>
          </w:tcPr>
          <w:p w14:paraId="1098251A" w14:textId="77777777" w:rsidR="00E1495D" w:rsidRPr="004E6649" w:rsidRDefault="00E1495D" w:rsidP="00E1495D">
            <w:pPr>
              <w:rPr>
                <w:rFonts w:eastAsia="Times New Roman" w:cstheme="minorHAnsi"/>
                <w:color w:val="0D0D0D"/>
                <w:sz w:val="18"/>
                <w:szCs w:val="18"/>
              </w:rPr>
            </w:pPr>
            <w:r w:rsidRPr="004E6649">
              <w:rPr>
                <w:rFonts w:eastAsia="Times New Roman" w:cstheme="minorHAnsi"/>
                <w:color w:val="0D0D0D"/>
                <w:sz w:val="18"/>
                <w:szCs w:val="18"/>
              </w:rPr>
              <w:t>Student services</w:t>
            </w:r>
          </w:p>
        </w:tc>
        <w:tc>
          <w:tcPr>
            <w:tcW w:w="636" w:type="dxa"/>
            <w:tcBorders>
              <w:top w:val="nil"/>
              <w:left w:val="nil"/>
              <w:bottom w:val="single" w:sz="8" w:space="0" w:color="000000" w:themeColor="text1"/>
              <w:right w:val="nil"/>
            </w:tcBorders>
            <w:shd w:val="clear" w:color="000000" w:fill="FFFFFF"/>
            <w:noWrap/>
            <w:vAlign w:val="bottom"/>
          </w:tcPr>
          <w:p w14:paraId="37D41756" w14:textId="0908C26F" w:rsidR="00E1495D" w:rsidRPr="00CA25FD" w:rsidRDefault="00E1495D" w:rsidP="00E1495D">
            <w:pPr>
              <w:jc w:val="right"/>
              <w:rPr>
                <w:rFonts w:eastAsia="Times New Roman" w:cstheme="minorHAnsi"/>
                <w:b/>
                <w:bCs/>
                <w:color w:val="0D0D0D"/>
                <w:sz w:val="18"/>
                <w:szCs w:val="18"/>
              </w:rPr>
            </w:pPr>
            <w:r>
              <w:rPr>
                <w:rFonts w:ascii="Calibri" w:hAnsi="Calibri" w:cs="Calibri"/>
                <w:b/>
                <w:bCs/>
                <w:color w:val="0D0D0D"/>
                <w:sz w:val="18"/>
                <w:szCs w:val="18"/>
              </w:rPr>
              <w:t>80</w:t>
            </w:r>
          </w:p>
        </w:tc>
        <w:tc>
          <w:tcPr>
            <w:tcW w:w="636" w:type="dxa"/>
            <w:tcBorders>
              <w:top w:val="nil"/>
              <w:left w:val="nil"/>
              <w:bottom w:val="single" w:sz="8" w:space="0" w:color="000000" w:themeColor="text1"/>
              <w:right w:val="nil"/>
            </w:tcBorders>
            <w:shd w:val="clear" w:color="000000" w:fill="BFBFBF"/>
            <w:noWrap/>
            <w:vAlign w:val="bottom"/>
          </w:tcPr>
          <w:p w14:paraId="5E8FFD41" w14:textId="30BF41E3" w:rsidR="00E1495D" w:rsidRPr="00CA25FD" w:rsidRDefault="00E1495D" w:rsidP="00E1495D">
            <w:pPr>
              <w:jc w:val="right"/>
              <w:rPr>
                <w:rFonts w:eastAsia="Times New Roman" w:cstheme="minorHAnsi"/>
                <w:b/>
                <w:bCs/>
                <w:color w:val="0D0D0D" w:themeColor="text1" w:themeTint="F2"/>
                <w:sz w:val="18"/>
                <w:szCs w:val="18"/>
              </w:rPr>
            </w:pPr>
            <w:r>
              <w:rPr>
                <w:rFonts w:ascii="Calibri" w:hAnsi="Calibri" w:cs="Calibri"/>
                <w:b/>
                <w:bCs/>
                <w:color w:val="0D0D0D"/>
                <w:sz w:val="18"/>
                <w:szCs w:val="18"/>
              </w:rPr>
              <w:t>9%</w:t>
            </w:r>
          </w:p>
        </w:tc>
        <w:tc>
          <w:tcPr>
            <w:tcW w:w="636" w:type="dxa"/>
            <w:tcBorders>
              <w:top w:val="nil"/>
              <w:left w:val="nil"/>
              <w:bottom w:val="single" w:sz="8" w:space="0" w:color="000000" w:themeColor="text1"/>
              <w:right w:val="nil"/>
            </w:tcBorders>
            <w:shd w:val="clear" w:color="000000" w:fill="FFFFFF"/>
            <w:noWrap/>
            <w:vAlign w:val="bottom"/>
          </w:tcPr>
          <w:p w14:paraId="54F39D99" w14:textId="52A0B1C0" w:rsidR="00E1495D" w:rsidRPr="00CA25FD" w:rsidRDefault="00E1495D" w:rsidP="00E1495D">
            <w:pPr>
              <w:jc w:val="right"/>
              <w:rPr>
                <w:rFonts w:eastAsia="Times New Roman" w:cstheme="minorHAnsi"/>
                <w:b/>
                <w:bCs/>
                <w:color w:val="0D0D0D"/>
                <w:sz w:val="18"/>
                <w:szCs w:val="18"/>
              </w:rPr>
            </w:pPr>
            <w:r w:rsidRPr="00492085">
              <w:rPr>
                <w:rFonts w:ascii="Calibri" w:hAnsi="Calibri" w:cs="Calibri"/>
                <w:b/>
                <w:bCs/>
                <w:color w:val="0D0D0D"/>
                <w:sz w:val="18"/>
                <w:szCs w:val="18"/>
              </w:rPr>
              <w:t>78</w:t>
            </w:r>
          </w:p>
        </w:tc>
        <w:tc>
          <w:tcPr>
            <w:tcW w:w="636" w:type="dxa"/>
            <w:tcBorders>
              <w:top w:val="nil"/>
              <w:left w:val="nil"/>
              <w:bottom w:val="single" w:sz="8" w:space="0" w:color="000000" w:themeColor="text1"/>
              <w:right w:val="nil"/>
            </w:tcBorders>
            <w:shd w:val="clear" w:color="000000" w:fill="BFBFBF"/>
            <w:noWrap/>
            <w:vAlign w:val="bottom"/>
          </w:tcPr>
          <w:p w14:paraId="20F1E182" w14:textId="20A33DB8" w:rsidR="00E1495D" w:rsidRPr="00CA25FD" w:rsidRDefault="00E1495D" w:rsidP="00E1495D">
            <w:pPr>
              <w:jc w:val="right"/>
              <w:rPr>
                <w:rFonts w:eastAsia="Times New Roman" w:cstheme="minorHAnsi"/>
                <w:b/>
                <w:bCs/>
                <w:color w:val="0D0D0D"/>
                <w:sz w:val="18"/>
                <w:szCs w:val="18"/>
              </w:rPr>
            </w:pPr>
            <w:r w:rsidRPr="00492085">
              <w:rPr>
                <w:rFonts w:ascii="Calibri" w:hAnsi="Calibri" w:cs="Calibri"/>
                <w:b/>
                <w:bCs/>
                <w:color w:val="0D0D0D"/>
                <w:sz w:val="18"/>
                <w:szCs w:val="18"/>
              </w:rPr>
              <w:t>9%</w:t>
            </w:r>
          </w:p>
        </w:tc>
        <w:tc>
          <w:tcPr>
            <w:tcW w:w="636" w:type="dxa"/>
            <w:tcBorders>
              <w:top w:val="nil"/>
              <w:left w:val="nil"/>
              <w:bottom w:val="single" w:sz="8" w:space="0" w:color="000000" w:themeColor="text1"/>
              <w:right w:val="nil"/>
            </w:tcBorders>
            <w:shd w:val="clear" w:color="000000" w:fill="FFFFFF"/>
            <w:noWrap/>
            <w:vAlign w:val="bottom"/>
          </w:tcPr>
          <w:p w14:paraId="7A64F36B" w14:textId="00C5722A" w:rsidR="00E1495D" w:rsidRPr="00F50B8A" w:rsidRDefault="00E1495D" w:rsidP="00E1495D">
            <w:pPr>
              <w:jc w:val="right"/>
              <w:rPr>
                <w:rFonts w:eastAsia="Times New Roman" w:cstheme="minorHAnsi"/>
                <w:b/>
                <w:bCs/>
                <w:color w:val="0D0D0D"/>
                <w:sz w:val="18"/>
                <w:szCs w:val="18"/>
              </w:rPr>
            </w:pPr>
            <w:r w:rsidRPr="00F50B8A">
              <w:rPr>
                <w:rFonts w:ascii="Calibri" w:hAnsi="Calibri" w:cs="Calibri"/>
                <w:b/>
                <w:bCs/>
                <w:color w:val="000000"/>
                <w:sz w:val="18"/>
                <w:szCs w:val="18"/>
              </w:rPr>
              <w:t>76</w:t>
            </w:r>
          </w:p>
        </w:tc>
        <w:tc>
          <w:tcPr>
            <w:tcW w:w="750" w:type="dxa"/>
            <w:tcBorders>
              <w:top w:val="nil"/>
              <w:left w:val="nil"/>
              <w:bottom w:val="single" w:sz="8" w:space="0" w:color="000000" w:themeColor="text1"/>
              <w:right w:val="nil"/>
            </w:tcBorders>
            <w:shd w:val="clear" w:color="000000" w:fill="BFBFBF"/>
            <w:noWrap/>
            <w:vAlign w:val="bottom"/>
          </w:tcPr>
          <w:p w14:paraId="0DDB3CBF" w14:textId="7FC8E794" w:rsidR="00E1495D" w:rsidRPr="00E1495D" w:rsidRDefault="00E1495D" w:rsidP="00E1495D">
            <w:pPr>
              <w:jc w:val="right"/>
              <w:rPr>
                <w:rFonts w:eastAsia="Times New Roman" w:cstheme="minorHAnsi"/>
                <w:color w:val="0D0D0D"/>
                <w:sz w:val="18"/>
                <w:szCs w:val="18"/>
              </w:rPr>
            </w:pPr>
            <w:r w:rsidRPr="00F46E9D">
              <w:rPr>
                <w:rFonts w:ascii="Calibri" w:hAnsi="Calibri" w:cs="Calibri"/>
                <w:b/>
                <w:bCs/>
                <w:color w:val="000000"/>
                <w:sz w:val="18"/>
                <w:szCs w:val="18"/>
              </w:rPr>
              <w:t>9%</w:t>
            </w:r>
          </w:p>
        </w:tc>
        <w:tc>
          <w:tcPr>
            <w:tcW w:w="636" w:type="dxa"/>
            <w:tcBorders>
              <w:top w:val="nil"/>
              <w:left w:val="nil"/>
              <w:bottom w:val="single" w:sz="8" w:space="0" w:color="000000" w:themeColor="text1"/>
              <w:right w:val="nil"/>
            </w:tcBorders>
            <w:shd w:val="clear" w:color="000000" w:fill="FFFFFF"/>
            <w:noWrap/>
            <w:vAlign w:val="bottom"/>
          </w:tcPr>
          <w:p w14:paraId="2EB61C04" w14:textId="596908B5" w:rsidR="00E1495D" w:rsidRPr="00F50B8A" w:rsidRDefault="00E1495D" w:rsidP="00E1495D">
            <w:pPr>
              <w:jc w:val="right"/>
              <w:rPr>
                <w:rFonts w:eastAsia="Times New Roman" w:cstheme="minorHAnsi"/>
                <w:b/>
                <w:bCs/>
                <w:color w:val="0D0D0D"/>
                <w:sz w:val="18"/>
                <w:szCs w:val="18"/>
              </w:rPr>
            </w:pPr>
            <w:r w:rsidRPr="00F50B8A">
              <w:rPr>
                <w:rFonts w:ascii="Calibri" w:hAnsi="Calibri" w:cs="Calibri"/>
                <w:b/>
                <w:bCs/>
                <w:color w:val="000000"/>
                <w:sz w:val="18"/>
                <w:szCs w:val="18"/>
              </w:rPr>
              <w:t>69</w:t>
            </w:r>
          </w:p>
        </w:tc>
        <w:tc>
          <w:tcPr>
            <w:tcW w:w="714" w:type="dxa"/>
            <w:tcBorders>
              <w:top w:val="nil"/>
              <w:left w:val="nil"/>
              <w:bottom w:val="single" w:sz="8" w:space="0" w:color="000000" w:themeColor="text1"/>
              <w:right w:val="nil"/>
            </w:tcBorders>
            <w:shd w:val="clear" w:color="000000" w:fill="BFBFBF"/>
            <w:noWrap/>
            <w:vAlign w:val="bottom"/>
          </w:tcPr>
          <w:p w14:paraId="1B5D9AE0" w14:textId="2D7FEFFB" w:rsidR="00E1495D" w:rsidRPr="00E1495D" w:rsidRDefault="00E1495D" w:rsidP="00E1495D">
            <w:pPr>
              <w:jc w:val="right"/>
              <w:rPr>
                <w:rFonts w:eastAsia="Times New Roman" w:cstheme="minorHAnsi"/>
                <w:color w:val="0D0D0D"/>
                <w:sz w:val="18"/>
                <w:szCs w:val="18"/>
              </w:rPr>
            </w:pPr>
            <w:r w:rsidRPr="00F46E9D">
              <w:rPr>
                <w:rFonts w:ascii="Calibri" w:hAnsi="Calibri" w:cs="Calibri"/>
                <w:b/>
                <w:bCs/>
                <w:color w:val="000000"/>
                <w:sz w:val="18"/>
                <w:szCs w:val="18"/>
              </w:rPr>
              <w:t>8%</w:t>
            </w:r>
          </w:p>
        </w:tc>
        <w:tc>
          <w:tcPr>
            <w:tcW w:w="636" w:type="dxa"/>
            <w:tcBorders>
              <w:top w:val="nil"/>
              <w:left w:val="nil"/>
              <w:bottom w:val="single" w:sz="8" w:space="0" w:color="000000" w:themeColor="text1"/>
              <w:right w:val="nil"/>
            </w:tcBorders>
            <w:shd w:val="clear" w:color="000000" w:fill="FFFFFF"/>
            <w:noWrap/>
            <w:vAlign w:val="bottom"/>
          </w:tcPr>
          <w:p w14:paraId="710B398C" w14:textId="20263D10" w:rsidR="00E1495D" w:rsidRPr="00E1495D" w:rsidRDefault="00E1495D" w:rsidP="00E1495D">
            <w:pPr>
              <w:jc w:val="right"/>
              <w:rPr>
                <w:rFonts w:eastAsia="Times New Roman" w:cstheme="minorHAnsi"/>
                <w:color w:val="0D0D0D"/>
                <w:sz w:val="18"/>
                <w:szCs w:val="18"/>
              </w:rPr>
            </w:pPr>
            <w:r w:rsidRPr="00F46E9D">
              <w:rPr>
                <w:rFonts w:ascii="Calibri" w:hAnsi="Calibri" w:cs="Calibri"/>
                <w:b/>
                <w:bCs/>
                <w:color w:val="000000"/>
                <w:sz w:val="18"/>
                <w:szCs w:val="18"/>
              </w:rPr>
              <w:t xml:space="preserve">57 </w:t>
            </w:r>
          </w:p>
        </w:tc>
        <w:tc>
          <w:tcPr>
            <w:tcW w:w="714" w:type="dxa"/>
            <w:tcBorders>
              <w:top w:val="nil"/>
              <w:left w:val="nil"/>
              <w:bottom w:val="single" w:sz="8" w:space="0" w:color="000000" w:themeColor="text1"/>
              <w:right w:val="nil"/>
            </w:tcBorders>
            <w:shd w:val="clear" w:color="000000" w:fill="BFBFBF"/>
            <w:noWrap/>
            <w:vAlign w:val="bottom"/>
          </w:tcPr>
          <w:p w14:paraId="56AB9636" w14:textId="76015039" w:rsidR="00E1495D" w:rsidRPr="00E1495D" w:rsidRDefault="00E1495D" w:rsidP="00E1495D">
            <w:pPr>
              <w:jc w:val="right"/>
              <w:rPr>
                <w:rFonts w:eastAsia="Times New Roman" w:cstheme="minorHAnsi"/>
                <w:color w:val="0D0D0D"/>
                <w:sz w:val="18"/>
                <w:szCs w:val="18"/>
              </w:rPr>
            </w:pPr>
            <w:r w:rsidRPr="00F46E9D">
              <w:rPr>
                <w:rFonts w:ascii="Calibri" w:hAnsi="Calibri" w:cs="Calibri"/>
                <w:b/>
                <w:bCs/>
                <w:color w:val="000000"/>
                <w:sz w:val="18"/>
                <w:szCs w:val="18"/>
              </w:rPr>
              <w:t>8%</w:t>
            </w:r>
          </w:p>
        </w:tc>
      </w:tr>
      <w:tr w:rsidR="00E1495D" w:rsidRPr="004E6649" w14:paraId="199F3E8D" w14:textId="77777777" w:rsidTr="00F46E9D">
        <w:trPr>
          <w:trHeight w:val="70"/>
          <w:jc w:val="center"/>
        </w:trPr>
        <w:tc>
          <w:tcPr>
            <w:tcW w:w="3000" w:type="dxa"/>
            <w:tcBorders>
              <w:top w:val="nil"/>
              <w:left w:val="nil"/>
              <w:bottom w:val="nil"/>
              <w:right w:val="nil"/>
            </w:tcBorders>
            <w:shd w:val="clear" w:color="000000" w:fill="FFFFFF"/>
            <w:noWrap/>
            <w:vAlign w:val="bottom"/>
            <w:hideMark/>
          </w:tcPr>
          <w:p w14:paraId="32AEA4E6" w14:textId="77777777" w:rsidR="00E1495D" w:rsidRPr="004E6649" w:rsidRDefault="00E1495D" w:rsidP="00E1495D">
            <w:pPr>
              <w:ind w:firstLineChars="100" w:firstLine="180"/>
              <w:rPr>
                <w:rFonts w:eastAsia="Times New Roman" w:cstheme="minorHAnsi"/>
                <w:color w:val="0D0D0D"/>
                <w:sz w:val="18"/>
                <w:szCs w:val="18"/>
              </w:rPr>
            </w:pPr>
            <w:r w:rsidRPr="004E6649">
              <w:rPr>
                <w:rFonts w:eastAsia="Times New Roman" w:cstheme="minorHAnsi"/>
                <w:color w:val="0D0D0D"/>
                <w:sz w:val="18"/>
                <w:szCs w:val="18"/>
              </w:rPr>
              <w:t>Subtotal</w:t>
            </w:r>
          </w:p>
        </w:tc>
        <w:tc>
          <w:tcPr>
            <w:tcW w:w="636" w:type="dxa"/>
            <w:tcBorders>
              <w:top w:val="single" w:sz="8" w:space="0" w:color="000000" w:themeColor="text1"/>
              <w:left w:val="nil"/>
              <w:bottom w:val="nil"/>
              <w:right w:val="nil"/>
            </w:tcBorders>
            <w:shd w:val="clear" w:color="000000" w:fill="FFFFFF"/>
            <w:noWrap/>
            <w:vAlign w:val="bottom"/>
          </w:tcPr>
          <w:p w14:paraId="70F8E9BD" w14:textId="4DC06A9F" w:rsidR="00E1495D" w:rsidRPr="00CA25FD" w:rsidRDefault="00E1495D" w:rsidP="00E1495D">
            <w:pPr>
              <w:jc w:val="right"/>
              <w:rPr>
                <w:rFonts w:eastAsia="Times New Roman" w:cstheme="minorHAnsi"/>
                <w:b/>
                <w:bCs/>
                <w:color w:val="0D0D0D"/>
                <w:sz w:val="18"/>
                <w:szCs w:val="18"/>
              </w:rPr>
            </w:pPr>
            <w:r>
              <w:rPr>
                <w:rFonts w:ascii="Calibri" w:hAnsi="Calibri" w:cs="Calibri"/>
                <w:b/>
                <w:bCs/>
                <w:color w:val="0D0D0D"/>
                <w:sz w:val="18"/>
                <w:szCs w:val="18"/>
              </w:rPr>
              <w:t>365</w:t>
            </w:r>
          </w:p>
        </w:tc>
        <w:tc>
          <w:tcPr>
            <w:tcW w:w="636" w:type="dxa"/>
            <w:tcBorders>
              <w:top w:val="single" w:sz="8" w:space="0" w:color="000000" w:themeColor="text1"/>
              <w:left w:val="nil"/>
              <w:bottom w:val="nil"/>
              <w:right w:val="nil"/>
            </w:tcBorders>
            <w:shd w:val="clear" w:color="000000" w:fill="BFBFBF"/>
            <w:noWrap/>
            <w:vAlign w:val="bottom"/>
          </w:tcPr>
          <w:p w14:paraId="182BDDDD" w14:textId="7E394D8E" w:rsidR="00E1495D" w:rsidRPr="00CA25FD" w:rsidRDefault="00E1495D" w:rsidP="00E1495D">
            <w:pPr>
              <w:jc w:val="right"/>
              <w:rPr>
                <w:rFonts w:eastAsia="Times New Roman" w:cstheme="minorHAnsi"/>
                <w:b/>
                <w:bCs/>
                <w:color w:val="0D0D0D" w:themeColor="text1" w:themeTint="F2"/>
                <w:sz w:val="18"/>
                <w:szCs w:val="18"/>
              </w:rPr>
            </w:pPr>
            <w:r>
              <w:rPr>
                <w:rFonts w:ascii="Calibri" w:hAnsi="Calibri" w:cs="Calibri"/>
                <w:b/>
                <w:bCs/>
                <w:color w:val="0D0D0D"/>
                <w:sz w:val="18"/>
                <w:szCs w:val="18"/>
              </w:rPr>
              <w:t>42%</w:t>
            </w:r>
          </w:p>
        </w:tc>
        <w:tc>
          <w:tcPr>
            <w:tcW w:w="636" w:type="dxa"/>
            <w:tcBorders>
              <w:top w:val="single" w:sz="8" w:space="0" w:color="000000" w:themeColor="text1"/>
              <w:left w:val="nil"/>
              <w:bottom w:val="nil"/>
              <w:right w:val="nil"/>
            </w:tcBorders>
            <w:shd w:val="clear" w:color="000000" w:fill="FFFFFF"/>
            <w:noWrap/>
            <w:vAlign w:val="bottom"/>
          </w:tcPr>
          <w:p w14:paraId="65EB37D5" w14:textId="009207A7" w:rsidR="00E1495D" w:rsidRPr="00CA25FD" w:rsidRDefault="00E1495D" w:rsidP="00E1495D">
            <w:pPr>
              <w:jc w:val="right"/>
              <w:rPr>
                <w:rFonts w:eastAsia="Times New Roman" w:cstheme="minorHAnsi"/>
                <w:b/>
                <w:bCs/>
                <w:color w:val="0D0D0D"/>
                <w:sz w:val="18"/>
                <w:szCs w:val="18"/>
              </w:rPr>
            </w:pPr>
            <w:r w:rsidRPr="00492085">
              <w:rPr>
                <w:rFonts w:ascii="Calibri" w:hAnsi="Calibri" w:cs="Calibri"/>
                <w:b/>
                <w:bCs/>
                <w:color w:val="0D0D0D"/>
                <w:sz w:val="18"/>
                <w:szCs w:val="18"/>
              </w:rPr>
              <w:t>35</w:t>
            </w:r>
            <w:r>
              <w:rPr>
                <w:rFonts w:ascii="Calibri" w:hAnsi="Calibri" w:cs="Calibri"/>
                <w:b/>
                <w:bCs/>
                <w:color w:val="0D0D0D"/>
                <w:sz w:val="18"/>
                <w:szCs w:val="18"/>
              </w:rPr>
              <w:t>7</w:t>
            </w:r>
          </w:p>
        </w:tc>
        <w:tc>
          <w:tcPr>
            <w:tcW w:w="636" w:type="dxa"/>
            <w:tcBorders>
              <w:top w:val="single" w:sz="8" w:space="0" w:color="000000" w:themeColor="text1"/>
              <w:left w:val="nil"/>
              <w:bottom w:val="nil"/>
              <w:right w:val="nil"/>
            </w:tcBorders>
            <w:shd w:val="clear" w:color="000000" w:fill="BFBFBF"/>
            <w:noWrap/>
            <w:vAlign w:val="bottom"/>
          </w:tcPr>
          <w:p w14:paraId="0BC9CA56" w14:textId="1CC5EA01" w:rsidR="00E1495D" w:rsidRPr="00CA25FD" w:rsidRDefault="00E1495D" w:rsidP="00E1495D">
            <w:pPr>
              <w:jc w:val="right"/>
              <w:rPr>
                <w:rFonts w:eastAsia="Times New Roman" w:cstheme="minorHAnsi"/>
                <w:b/>
                <w:bCs/>
                <w:color w:val="0D0D0D"/>
                <w:sz w:val="18"/>
                <w:szCs w:val="18"/>
              </w:rPr>
            </w:pPr>
            <w:r w:rsidRPr="00492085">
              <w:rPr>
                <w:rFonts w:ascii="Calibri" w:hAnsi="Calibri" w:cs="Calibri"/>
                <w:b/>
                <w:bCs/>
                <w:color w:val="0D0D0D"/>
                <w:sz w:val="18"/>
                <w:szCs w:val="18"/>
              </w:rPr>
              <w:t>42%</w:t>
            </w:r>
          </w:p>
        </w:tc>
        <w:tc>
          <w:tcPr>
            <w:tcW w:w="636" w:type="dxa"/>
            <w:tcBorders>
              <w:top w:val="single" w:sz="8" w:space="0" w:color="000000" w:themeColor="text1"/>
              <w:left w:val="nil"/>
              <w:bottom w:val="nil"/>
              <w:right w:val="nil"/>
            </w:tcBorders>
            <w:shd w:val="clear" w:color="000000" w:fill="FFFFFF"/>
            <w:noWrap/>
            <w:vAlign w:val="bottom"/>
          </w:tcPr>
          <w:p w14:paraId="5764048E" w14:textId="353451C0" w:rsidR="00E1495D" w:rsidRPr="00F50B8A" w:rsidRDefault="00E1495D" w:rsidP="00E1495D">
            <w:pPr>
              <w:jc w:val="right"/>
              <w:rPr>
                <w:rFonts w:eastAsia="Times New Roman" w:cstheme="minorHAnsi"/>
                <w:b/>
                <w:bCs/>
                <w:color w:val="0D0D0D"/>
                <w:sz w:val="18"/>
                <w:szCs w:val="18"/>
              </w:rPr>
            </w:pPr>
            <w:r w:rsidRPr="00F50B8A">
              <w:rPr>
                <w:rFonts w:ascii="Calibri" w:hAnsi="Calibri" w:cs="Calibri"/>
                <w:b/>
                <w:bCs/>
                <w:color w:val="000000"/>
                <w:sz w:val="18"/>
                <w:szCs w:val="18"/>
              </w:rPr>
              <w:t xml:space="preserve">354 </w:t>
            </w:r>
          </w:p>
        </w:tc>
        <w:tc>
          <w:tcPr>
            <w:tcW w:w="750" w:type="dxa"/>
            <w:tcBorders>
              <w:top w:val="single" w:sz="8" w:space="0" w:color="000000" w:themeColor="text1"/>
              <w:left w:val="nil"/>
              <w:bottom w:val="nil"/>
              <w:right w:val="nil"/>
            </w:tcBorders>
            <w:shd w:val="clear" w:color="000000" w:fill="BFBFBF"/>
            <w:noWrap/>
            <w:vAlign w:val="bottom"/>
          </w:tcPr>
          <w:p w14:paraId="330FA815" w14:textId="2B6F8A80" w:rsidR="00E1495D" w:rsidRPr="00E1495D" w:rsidRDefault="00E1495D" w:rsidP="00E1495D">
            <w:pPr>
              <w:jc w:val="right"/>
              <w:rPr>
                <w:rFonts w:eastAsia="Times New Roman" w:cstheme="minorHAnsi"/>
                <w:color w:val="0D0D0D"/>
                <w:sz w:val="18"/>
                <w:szCs w:val="18"/>
              </w:rPr>
            </w:pPr>
            <w:r w:rsidRPr="00F46E9D">
              <w:rPr>
                <w:rFonts w:ascii="Calibri" w:hAnsi="Calibri" w:cs="Calibri"/>
                <w:b/>
                <w:bCs/>
                <w:color w:val="000000"/>
                <w:sz w:val="18"/>
                <w:szCs w:val="18"/>
              </w:rPr>
              <w:t>43%</w:t>
            </w:r>
          </w:p>
        </w:tc>
        <w:tc>
          <w:tcPr>
            <w:tcW w:w="636" w:type="dxa"/>
            <w:tcBorders>
              <w:top w:val="single" w:sz="8" w:space="0" w:color="000000" w:themeColor="text1"/>
              <w:left w:val="nil"/>
              <w:bottom w:val="nil"/>
              <w:right w:val="nil"/>
            </w:tcBorders>
            <w:shd w:val="clear" w:color="000000" w:fill="FFFFFF"/>
            <w:noWrap/>
            <w:vAlign w:val="bottom"/>
          </w:tcPr>
          <w:p w14:paraId="7AB00810" w14:textId="71212AA3" w:rsidR="00E1495D" w:rsidRPr="00F50B8A" w:rsidRDefault="00E1495D" w:rsidP="00E1495D">
            <w:pPr>
              <w:jc w:val="right"/>
              <w:rPr>
                <w:rFonts w:eastAsia="Times New Roman" w:cstheme="minorHAnsi"/>
                <w:b/>
                <w:bCs/>
                <w:color w:val="0D0D0D"/>
                <w:sz w:val="18"/>
                <w:szCs w:val="18"/>
              </w:rPr>
            </w:pPr>
            <w:r w:rsidRPr="00F50B8A">
              <w:rPr>
                <w:rFonts w:ascii="Calibri" w:hAnsi="Calibri" w:cs="Calibri"/>
                <w:b/>
                <w:bCs/>
                <w:color w:val="000000"/>
                <w:sz w:val="18"/>
                <w:szCs w:val="18"/>
              </w:rPr>
              <w:t xml:space="preserve">349 </w:t>
            </w:r>
          </w:p>
        </w:tc>
        <w:tc>
          <w:tcPr>
            <w:tcW w:w="714" w:type="dxa"/>
            <w:tcBorders>
              <w:top w:val="single" w:sz="8" w:space="0" w:color="000000" w:themeColor="text1"/>
              <w:left w:val="nil"/>
              <w:bottom w:val="nil"/>
              <w:right w:val="nil"/>
            </w:tcBorders>
            <w:shd w:val="clear" w:color="000000" w:fill="BFBFBF"/>
            <w:noWrap/>
            <w:vAlign w:val="bottom"/>
          </w:tcPr>
          <w:p w14:paraId="4E32573B" w14:textId="206D9CC3" w:rsidR="00E1495D" w:rsidRPr="00E1495D" w:rsidRDefault="00E1495D" w:rsidP="00E1495D">
            <w:pPr>
              <w:jc w:val="right"/>
              <w:rPr>
                <w:rFonts w:eastAsia="Times New Roman" w:cstheme="minorHAnsi"/>
                <w:color w:val="0D0D0D"/>
                <w:sz w:val="18"/>
                <w:szCs w:val="18"/>
              </w:rPr>
            </w:pPr>
            <w:r w:rsidRPr="00F46E9D">
              <w:rPr>
                <w:rFonts w:ascii="Calibri" w:hAnsi="Calibri" w:cs="Calibri"/>
                <w:b/>
                <w:bCs/>
                <w:color w:val="000000"/>
                <w:sz w:val="18"/>
                <w:szCs w:val="18"/>
              </w:rPr>
              <w:t>43%</w:t>
            </w:r>
          </w:p>
        </w:tc>
        <w:tc>
          <w:tcPr>
            <w:tcW w:w="636" w:type="dxa"/>
            <w:tcBorders>
              <w:top w:val="single" w:sz="8" w:space="0" w:color="000000" w:themeColor="text1"/>
              <w:left w:val="nil"/>
              <w:bottom w:val="nil"/>
              <w:right w:val="nil"/>
            </w:tcBorders>
            <w:shd w:val="clear" w:color="000000" w:fill="FFFFFF"/>
            <w:noWrap/>
            <w:vAlign w:val="bottom"/>
          </w:tcPr>
          <w:p w14:paraId="7C49515D" w14:textId="2823ADE6" w:rsidR="00E1495D" w:rsidRPr="00E1495D" w:rsidRDefault="00E1495D" w:rsidP="00E1495D">
            <w:pPr>
              <w:jc w:val="right"/>
              <w:rPr>
                <w:rFonts w:eastAsia="Times New Roman" w:cstheme="minorHAnsi"/>
                <w:color w:val="0D0D0D"/>
                <w:sz w:val="18"/>
                <w:szCs w:val="18"/>
              </w:rPr>
            </w:pPr>
            <w:r w:rsidRPr="00F46E9D">
              <w:rPr>
                <w:rFonts w:ascii="Calibri" w:hAnsi="Calibri" w:cs="Calibri"/>
                <w:b/>
                <w:bCs/>
                <w:color w:val="000000"/>
                <w:sz w:val="18"/>
                <w:szCs w:val="18"/>
              </w:rPr>
              <w:t xml:space="preserve">320 </w:t>
            </w:r>
          </w:p>
        </w:tc>
        <w:tc>
          <w:tcPr>
            <w:tcW w:w="714" w:type="dxa"/>
            <w:tcBorders>
              <w:top w:val="single" w:sz="8" w:space="0" w:color="000000" w:themeColor="text1"/>
              <w:left w:val="nil"/>
              <w:bottom w:val="nil"/>
              <w:right w:val="nil"/>
            </w:tcBorders>
            <w:shd w:val="clear" w:color="000000" w:fill="BFBFBF"/>
            <w:noWrap/>
            <w:vAlign w:val="bottom"/>
          </w:tcPr>
          <w:p w14:paraId="23C3624F" w14:textId="7BD307D9" w:rsidR="00E1495D" w:rsidRPr="00E1495D" w:rsidRDefault="00E1495D" w:rsidP="00E1495D">
            <w:pPr>
              <w:jc w:val="right"/>
              <w:rPr>
                <w:rFonts w:eastAsia="Times New Roman" w:cstheme="minorHAnsi"/>
                <w:color w:val="0D0D0D"/>
                <w:sz w:val="18"/>
                <w:szCs w:val="18"/>
              </w:rPr>
            </w:pPr>
            <w:r w:rsidRPr="00F46E9D">
              <w:rPr>
                <w:rFonts w:ascii="Calibri" w:hAnsi="Calibri" w:cs="Calibri"/>
                <w:b/>
                <w:bCs/>
                <w:color w:val="000000"/>
                <w:sz w:val="18"/>
                <w:szCs w:val="18"/>
              </w:rPr>
              <w:t>47%</w:t>
            </w:r>
          </w:p>
        </w:tc>
      </w:tr>
      <w:tr w:rsidR="00E1495D" w:rsidRPr="004E6649" w14:paraId="6CF2A0ED" w14:textId="77777777" w:rsidTr="00F46E9D">
        <w:trPr>
          <w:trHeight w:val="80"/>
          <w:jc w:val="center"/>
        </w:trPr>
        <w:tc>
          <w:tcPr>
            <w:tcW w:w="3000" w:type="dxa"/>
            <w:tcBorders>
              <w:top w:val="nil"/>
              <w:left w:val="nil"/>
              <w:bottom w:val="nil"/>
              <w:right w:val="nil"/>
            </w:tcBorders>
            <w:shd w:val="clear" w:color="000000" w:fill="FFFFFF"/>
            <w:noWrap/>
            <w:vAlign w:val="bottom"/>
            <w:hideMark/>
          </w:tcPr>
          <w:p w14:paraId="0D2F7680" w14:textId="77777777" w:rsidR="00E1495D" w:rsidRPr="004E6649" w:rsidRDefault="00E1495D" w:rsidP="00E1495D">
            <w:pPr>
              <w:rPr>
                <w:rFonts w:eastAsia="Times New Roman" w:cstheme="minorHAnsi"/>
                <w:color w:val="0D0D0D"/>
                <w:sz w:val="18"/>
                <w:szCs w:val="18"/>
              </w:rPr>
            </w:pPr>
            <w:r w:rsidRPr="004E6649">
              <w:rPr>
                <w:rFonts w:eastAsia="Times New Roman" w:cstheme="minorHAnsi"/>
                <w:color w:val="0D0D0D"/>
                <w:sz w:val="18"/>
                <w:szCs w:val="18"/>
              </w:rPr>
              <w:t>Research</w:t>
            </w:r>
          </w:p>
        </w:tc>
        <w:tc>
          <w:tcPr>
            <w:tcW w:w="636" w:type="dxa"/>
            <w:tcBorders>
              <w:top w:val="nil"/>
              <w:left w:val="nil"/>
              <w:bottom w:val="nil"/>
              <w:right w:val="nil"/>
            </w:tcBorders>
            <w:shd w:val="clear" w:color="000000" w:fill="FFFFFF"/>
            <w:noWrap/>
            <w:vAlign w:val="bottom"/>
          </w:tcPr>
          <w:p w14:paraId="70E1C6B7" w14:textId="42D8B419" w:rsidR="00E1495D" w:rsidRPr="00CA25FD" w:rsidRDefault="00E1495D" w:rsidP="00E1495D">
            <w:pPr>
              <w:jc w:val="right"/>
              <w:rPr>
                <w:rFonts w:eastAsia="Times New Roman" w:cstheme="minorHAnsi"/>
                <w:b/>
                <w:bCs/>
                <w:color w:val="0D0D0D"/>
                <w:sz w:val="18"/>
                <w:szCs w:val="18"/>
              </w:rPr>
            </w:pPr>
            <w:r>
              <w:rPr>
                <w:rFonts w:ascii="Calibri" w:hAnsi="Calibri" w:cs="Calibri"/>
                <w:b/>
                <w:bCs/>
                <w:color w:val="0D0D0D"/>
                <w:sz w:val="18"/>
                <w:szCs w:val="18"/>
              </w:rPr>
              <w:t>127</w:t>
            </w:r>
          </w:p>
        </w:tc>
        <w:tc>
          <w:tcPr>
            <w:tcW w:w="636" w:type="dxa"/>
            <w:tcBorders>
              <w:top w:val="nil"/>
              <w:left w:val="nil"/>
              <w:bottom w:val="nil"/>
              <w:right w:val="nil"/>
            </w:tcBorders>
            <w:shd w:val="clear" w:color="000000" w:fill="BFBFBF"/>
            <w:noWrap/>
            <w:vAlign w:val="bottom"/>
          </w:tcPr>
          <w:p w14:paraId="20915FDB" w14:textId="571EEBFD" w:rsidR="00E1495D" w:rsidRPr="00CA25FD" w:rsidRDefault="00E1495D" w:rsidP="00E1495D">
            <w:pPr>
              <w:jc w:val="right"/>
              <w:rPr>
                <w:rFonts w:eastAsia="Times New Roman" w:cstheme="minorHAnsi"/>
                <w:b/>
                <w:bCs/>
                <w:color w:val="0D0D0D" w:themeColor="text1" w:themeTint="F2"/>
                <w:sz w:val="18"/>
                <w:szCs w:val="18"/>
              </w:rPr>
            </w:pPr>
            <w:r>
              <w:rPr>
                <w:rFonts w:ascii="Calibri" w:hAnsi="Calibri" w:cs="Calibri"/>
                <w:b/>
                <w:bCs/>
                <w:color w:val="0D0D0D"/>
                <w:sz w:val="18"/>
                <w:szCs w:val="18"/>
              </w:rPr>
              <w:t>14%</w:t>
            </w:r>
          </w:p>
        </w:tc>
        <w:tc>
          <w:tcPr>
            <w:tcW w:w="636" w:type="dxa"/>
            <w:tcBorders>
              <w:top w:val="nil"/>
              <w:left w:val="nil"/>
              <w:bottom w:val="nil"/>
              <w:right w:val="nil"/>
            </w:tcBorders>
            <w:shd w:val="clear" w:color="000000" w:fill="FFFFFF"/>
            <w:noWrap/>
            <w:vAlign w:val="bottom"/>
          </w:tcPr>
          <w:p w14:paraId="04171454" w14:textId="4F993085" w:rsidR="00E1495D" w:rsidRPr="00CA25FD" w:rsidRDefault="00E1495D" w:rsidP="00E1495D">
            <w:pPr>
              <w:jc w:val="right"/>
              <w:rPr>
                <w:rFonts w:eastAsia="Times New Roman" w:cstheme="minorHAnsi"/>
                <w:b/>
                <w:bCs/>
                <w:color w:val="0D0D0D"/>
                <w:sz w:val="18"/>
                <w:szCs w:val="18"/>
              </w:rPr>
            </w:pPr>
            <w:r w:rsidRPr="00492085">
              <w:rPr>
                <w:rFonts w:ascii="Calibri" w:hAnsi="Calibri" w:cs="Calibri"/>
                <w:b/>
                <w:bCs/>
                <w:color w:val="0D0D0D"/>
                <w:sz w:val="18"/>
                <w:szCs w:val="18"/>
              </w:rPr>
              <w:t>120</w:t>
            </w:r>
          </w:p>
        </w:tc>
        <w:tc>
          <w:tcPr>
            <w:tcW w:w="636" w:type="dxa"/>
            <w:tcBorders>
              <w:top w:val="nil"/>
              <w:left w:val="nil"/>
              <w:bottom w:val="nil"/>
              <w:right w:val="nil"/>
            </w:tcBorders>
            <w:shd w:val="clear" w:color="000000" w:fill="BFBFBF"/>
            <w:noWrap/>
            <w:vAlign w:val="bottom"/>
          </w:tcPr>
          <w:p w14:paraId="04737DBC" w14:textId="6AEFDDE7" w:rsidR="00E1495D" w:rsidRPr="00CA25FD" w:rsidRDefault="00E1495D" w:rsidP="00E1495D">
            <w:pPr>
              <w:jc w:val="right"/>
              <w:rPr>
                <w:rFonts w:eastAsia="Times New Roman" w:cstheme="minorHAnsi"/>
                <w:b/>
                <w:bCs/>
                <w:color w:val="0D0D0D"/>
                <w:sz w:val="18"/>
                <w:szCs w:val="18"/>
              </w:rPr>
            </w:pPr>
            <w:r w:rsidRPr="00492085">
              <w:rPr>
                <w:rFonts w:ascii="Calibri" w:hAnsi="Calibri" w:cs="Calibri"/>
                <w:b/>
                <w:bCs/>
                <w:color w:val="0D0D0D"/>
                <w:sz w:val="18"/>
                <w:szCs w:val="18"/>
              </w:rPr>
              <w:t>14%</w:t>
            </w:r>
          </w:p>
        </w:tc>
        <w:tc>
          <w:tcPr>
            <w:tcW w:w="636" w:type="dxa"/>
            <w:tcBorders>
              <w:top w:val="nil"/>
              <w:left w:val="nil"/>
              <w:bottom w:val="nil"/>
              <w:right w:val="nil"/>
            </w:tcBorders>
            <w:shd w:val="clear" w:color="000000" w:fill="FFFFFF"/>
            <w:noWrap/>
            <w:vAlign w:val="bottom"/>
          </w:tcPr>
          <w:p w14:paraId="5DAB5702" w14:textId="5975ECAB" w:rsidR="00E1495D" w:rsidRPr="00F50B8A" w:rsidRDefault="00E1495D" w:rsidP="00E1495D">
            <w:pPr>
              <w:jc w:val="right"/>
              <w:rPr>
                <w:rFonts w:eastAsia="Times New Roman" w:cstheme="minorHAnsi"/>
                <w:b/>
                <w:bCs/>
                <w:color w:val="0D0D0D"/>
                <w:sz w:val="18"/>
                <w:szCs w:val="18"/>
              </w:rPr>
            </w:pPr>
            <w:r w:rsidRPr="00F50B8A">
              <w:rPr>
                <w:rFonts w:ascii="Calibri" w:hAnsi="Calibri" w:cs="Calibri"/>
                <w:b/>
                <w:bCs/>
                <w:color w:val="000000"/>
                <w:sz w:val="18"/>
                <w:szCs w:val="18"/>
              </w:rPr>
              <w:t>110</w:t>
            </w:r>
          </w:p>
        </w:tc>
        <w:tc>
          <w:tcPr>
            <w:tcW w:w="750" w:type="dxa"/>
            <w:tcBorders>
              <w:top w:val="nil"/>
              <w:left w:val="nil"/>
              <w:bottom w:val="nil"/>
              <w:right w:val="nil"/>
            </w:tcBorders>
            <w:shd w:val="clear" w:color="000000" w:fill="BFBFBF"/>
            <w:noWrap/>
            <w:vAlign w:val="bottom"/>
          </w:tcPr>
          <w:p w14:paraId="1135CD08" w14:textId="69E111FB" w:rsidR="00E1495D" w:rsidRPr="00E1495D" w:rsidRDefault="00E1495D" w:rsidP="00E1495D">
            <w:pPr>
              <w:jc w:val="right"/>
              <w:rPr>
                <w:rFonts w:eastAsia="Times New Roman" w:cstheme="minorHAnsi"/>
                <w:color w:val="0D0D0D"/>
                <w:sz w:val="18"/>
                <w:szCs w:val="18"/>
              </w:rPr>
            </w:pPr>
            <w:r w:rsidRPr="00F46E9D">
              <w:rPr>
                <w:rFonts w:ascii="Calibri" w:hAnsi="Calibri" w:cs="Calibri"/>
                <w:b/>
                <w:bCs/>
                <w:color w:val="000000"/>
                <w:sz w:val="18"/>
                <w:szCs w:val="18"/>
              </w:rPr>
              <w:t>14%</w:t>
            </w:r>
          </w:p>
        </w:tc>
        <w:tc>
          <w:tcPr>
            <w:tcW w:w="636" w:type="dxa"/>
            <w:tcBorders>
              <w:top w:val="nil"/>
              <w:left w:val="nil"/>
              <w:bottom w:val="nil"/>
              <w:right w:val="nil"/>
            </w:tcBorders>
            <w:shd w:val="clear" w:color="000000" w:fill="FFFFFF"/>
            <w:noWrap/>
            <w:vAlign w:val="bottom"/>
          </w:tcPr>
          <w:p w14:paraId="5807758F" w14:textId="7A7BB7A7" w:rsidR="00E1495D" w:rsidRPr="00F50B8A" w:rsidRDefault="00E1495D" w:rsidP="00E1495D">
            <w:pPr>
              <w:jc w:val="right"/>
              <w:rPr>
                <w:rFonts w:eastAsia="Times New Roman" w:cstheme="minorHAnsi"/>
                <w:b/>
                <w:bCs/>
                <w:color w:val="0D0D0D"/>
                <w:sz w:val="18"/>
                <w:szCs w:val="18"/>
              </w:rPr>
            </w:pPr>
            <w:r w:rsidRPr="00F50B8A">
              <w:rPr>
                <w:rFonts w:ascii="Calibri" w:hAnsi="Calibri" w:cs="Calibri"/>
                <w:b/>
                <w:bCs/>
                <w:color w:val="000000"/>
                <w:sz w:val="18"/>
                <w:szCs w:val="18"/>
              </w:rPr>
              <w:t>100</w:t>
            </w:r>
          </w:p>
        </w:tc>
        <w:tc>
          <w:tcPr>
            <w:tcW w:w="714" w:type="dxa"/>
            <w:tcBorders>
              <w:top w:val="nil"/>
              <w:left w:val="nil"/>
              <w:bottom w:val="nil"/>
              <w:right w:val="nil"/>
            </w:tcBorders>
            <w:shd w:val="clear" w:color="000000" w:fill="BFBFBF"/>
            <w:noWrap/>
            <w:vAlign w:val="bottom"/>
          </w:tcPr>
          <w:p w14:paraId="3135DDFF" w14:textId="774169F7" w:rsidR="00E1495D" w:rsidRPr="00E1495D" w:rsidRDefault="00E1495D" w:rsidP="00E1495D">
            <w:pPr>
              <w:jc w:val="right"/>
              <w:rPr>
                <w:rFonts w:eastAsia="Times New Roman" w:cstheme="minorHAnsi"/>
                <w:color w:val="0D0D0D"/>
                <w:sz w:val="18"/>
                <w:szCs w:val="18"/>
              </w:rPr>
            </w:pPr>
            <w:r w:rsidRPr="00F46E9D">
              <w:rPr>
                <w:rFonts w:ascii="Calibri" w:hAnsi="Calibri" w:cs="Calibri"/>
                <w:b/>
                <w:bCs/>
                <w:color w:val="000000"/>
                <w:sz w:val="18"/>
                <w:szCs w:val="18"/>
              </w:rPr>
              <w:t>12%</w:t>
            </w:r>
          </w:p>
        </w:tc>
        <w:tc>
          <w:tcPr>
            <w:tcW w:w="636" w:type="dxa"/>
            <w:tcBorders>
              <w:top w:val="nil"/>
              <w:left w:val="nil"/>
              <w:bottom w:val="nil"/>
              <w:right w:val="nil"/>
            </w:tcBorders>
            <w:shd w:val="clear" w:color="000000" w:fill="FFFFFF"/>
            <w:noWrap/>
            <w:vAlign w:val="bottom"/>
          </w:tcPr>
          <w:p w14:paraId="7A923A74" w14:textId="238B22F1" w:rsidR="00E1495D" w:rsidRPr="00E1495D" w:rsidRDefault="00E1495D" w:rsidP="00E1495D">
            <w:pPr>
              <w:jc w:val="right"/>
              <w:rPr>
                <w:rFonts w:eastAsia="Times New Roman" w:cstheme="minorHAnsi"/>
                <w:color w:val="0D0D0D"/>
                <w:sz w:val="18"/>
                <w:szCs w:val="18"/>
              </w:rPr>
            </w:pPr>
            <w:r w:rsidRPr="00F46E9D">
              <w:rPr>
                <w:rFonts w:ascii="Calibri" w:hAnsi="Calibri" w:cs="Calibri"/>
                <w:b/>
                <w:bCs/>
                <w:color w:val="000000"/>
                <w:sz w:val="18"/>
                <w:szCs w:val="18"/>
              </w:rPr>
              <w:t xml:space="preserve">86 </w:t>
            </w:r>
          </w:p>
        </w:tc>
        <w:tc>
          <w:tcPr>
            <w:tcW w:w="714" w:type="dxa"/>
            <w:tcBorders>
              <w:top w:val="nil"/>
              <w:left w:val="nil"/>
              <w:bottom w:val="nil"/>
              <w:right w:val="nil"/>
            </w:tcBorders>
            <w:shd w:val="clear" w:color="000000" w:fill="BFBFBF"/>
            <w:noWrap/>
            <w:vAlign w:val="bottom"/>
          </w:tcPr>
          <w:p w14:paraId="56D96488" w14:textId="2BC834EB" w:rsidR="00E1495D" w:rsidRPr="00E1495D" w:rsidRDefault="00E1495D" w:rsidP="00E1495D">
            <w:pPr>
              <w:jc w:val="right"/>
              <w:rPr>
                <w:rFonts w:eastAsia="Times New Roman" w:cstheme="minorHAnsi"/>
                <w:color w:val="0D0D0D"/>
                <w:sz w:val="18"/>
                <w:szCs w:val="18"/>
              </w:rPr>
            </w:pPr>
            <w:r w:rsidRPr="00F46E9D">
              <w:rPr>
                <w:rFonts w:ascii="Calibri" w:hAnsi="Calibri" w:cs="Calibri"/>
                <w:b/>
                <w:bCs/>
                <w:color w:val="000000"/>
                <w:sz w:val="18"/>
                <w:szCs w:val="18"/>
              </w:rPr>
              <w:t>13%</w:t>
            </w:r>
          </w:p>
        </w:tc>
      </w:tr>
      <w:tr w:rsidR="00E1495D" w:rsidRPr="004E6649" w14:paraId="5ACF5F22" w14:textId="77777777" w:rsidTr="00F46E9D">
        <w:trPr>
          <w:trHeight w:val="80"/>
          <w:jc w:val="center"/>
        </w:trPr>
        <w:tc>
          <w:tcPr>
            <w:tcW w:w="3000" w:type="dxa"/>
            <w:tcBorders>
              <w:top w:val="nil"/>
              <w:left w:val="nil"/>
              <w:bottom w:val="nil"/>
              <w:right w:val="nil"/>
            </w:tcBorders>
            <w:shd w:val="clear" w:color="000000" w:fill="FFFFFF"/>
            <w:noWrap/>
            <w:vAlign w:val="bottom"/>
            <w:hideMark/>
          </w:tcPr>
          <w:p w14:paraId="3314970A" w14:textId="77777777" w:rsidR="00E1495D" w:rsidRPr="004E6649" w:rsidRDefault="00E1495D" w:rsidP="00E1495D">
            <w:pPr>
              <w:rPr>
                <w:rFonts w:eastAsia="Times New Roman" w:cstheme="minorHAnsi"/>
                <w:color w:val="0D0D0D"/>
                <w:sz w:val="18"/>
                <w:szCs w:val="18"/>
              </w:rPr>
            </w:pPr>
            <w:r w:rsidRPr="004E6649">
              <w:rPr>
                <w:rFonts w:eastAsia="Times New Roman" w:cstheme="minorHAnsi"/>
                <w:color w:val="0D0D0D"/>
                <w:sz w:val="18"/>
                <w:szCs w:val="18"/>
              </w:rPr>
              <w:t>Public service</w:t>
            </w:r>
          </w:p>
        </w:tc>
        <w:tc>
          <w:tcPr>
            <w:tcW w:w="636" w:type="dxa"/>
            <w:tcBorders>
              <w:top w:val="nil"/>
              <w:left w:val="nil"/>
              <w:bottom w:val="nil"/>
              <w:right w:val="nil"/>
            </w:tcBorders>
            <w:shd w:val="clear" w:color="000000" w:fill="FFFFFF"/>
            <w:noWrap/>
            <w:vAlign w:val="bottom"/>
          </w:tcPr>
          <w:p w14:paraId="37F326B0" w14:textId="0EB8D403" w:rsidR="00E1495D" w:rsidRPr="00CA25FD" w:rsidRDefault="00E1495D" w:rsidP="00E1495D">
            <w:pPr>
              <w:jc w:val="right"/>
              <w:rPr>
                <w:rFonts w:eastAsia="Times New Roman" w:cstheme="minorHAnsi"/>
                <w:b/>
                <w:bCs/>
                <w:color w:val="0D0D0D"/>
                <w:sz w:val="18"/>
                <w:szCs w:val="18"/>
              </w:rPr>
            </w:pPr>
            <w:r>
              <w:rPr>
                <w:rFonts w:ascii="Calibri" w:hAnsi="Calibri" w:cs="Calibri"/>
                <w:b/>
                <w:bCs/>
                <w:color w:val="0D0D0D"/>
                <w:sz w:val="18"/>
                <w:szCs w:val="18"/>
              </w:rPr>
              <w:t>83</w:t>
            </w:r>
          </w:p>
        </w:tc>
        <w:tc>
          <w:tcPr>
            <w:tcW w:w="636" w:type="dxa"/>
            <w:tcBorders>
              <w:top w:val="nil"/>
              <w:left w:val="nil"/>
              <w:bottom w:val="nil"/>
              <w:right w:val="nil"/>
            </w:tcBorders>
            <w:shd w:val="clear" w:color="000000" w:fill="BFBFBF"/>
            <w:noWrap/>
            <w:vAlign w:val="bottom"/>
          </w:tcPr>
          <w:p w14:paraId="061FEF6E" w14:textId="00571CC0" w:rsidR="00E1495D" w:rsidRPr="00CA25FD" w:rsidRDefault="00E1495D" w:rsidP="00E1495D">
            <w:pPr>
              <w:jc w:val="right"/>
              <w:rPr>
                <w:rFonts w:eastAsia="Times New Roman" w:cstheme="minorHAnsi"/>
                <w:b/>
                <w:bCs/>
                <w:color w:val="0D0D0D" w:themeColor="text1" w:themeTint="F2"/>
                <w:sz w:val="18"/>
                <w:szCs w:val="18"/>
              </w:rPr>
            </w:pPr>
            <w:r>
              <w:rPr>
                <w:rFonts w:ascii="Calibri" w:hAnsi="Calibri" w:cs="Calibri"/>
                <w:b/>
                <w:bCs/>
                <w:color w:val="0D0D0D"/>
                <w:sz w:val="18"/>
                <w:szCs w:val="18"/>
              </w:rPr>
              <w:t>9%</w:t>
            </w:r>
          </w:p>
        </w:tc>
        <w:tc>
          <w:tcPr>
            <w:tcW w:w="636" w:type="dxa"/>
            <w:tcBorders>
              <w:top w:val="nil"/>
              <w:left w:val="nil"/>
              <w:bottom w:val="nil"/>
              <w:right w:val="nil"/>
            </w:tcBorders>
            <w:shd w:val="clear" w:color="000000" w:fill="FFFFFF"/>
            <w:noWrap/>
            <w:vAlign w:val="bottom"/>
          </w:tcPr>
          <w:p w14:paraId="1230F900" w14:textId="5DF0489B" w:rsidR="00E1495D" w:rsidRPr="00CA25FD" w:rsidRDefault="00E1495D" w:rsidP="00E1495D">
            <w:pPr>
              <w:jc w:val="right"/>
              <w:rPr>
                <w:rFonts w:eastAsia="Times New Roman" w:cstheme="minorHAnsi"/>
                <w:b/>
                <w:bCs/>
                <w:color w:val="0D0D0D"/>
                <w:sz w:val="18"/>
                <w:szCs w:val="18"/>
              </w:rPr>
            </w:pPr>
            <w:r w:rsidRPr="00492085">
              <w:rPr>
                <w:rFonts w:ascii="Calibri" w:hAnsi="Calibri" w:cs="Calibri"/>
                <w:b/>
                <w:bCs/>
                <w:color w:val="0D0D0D"/>
                <w:sz w:val="18"/>
                <w:szCs w:val="18"/>
              </w:rPr>
              <w:t>76</w:t>
            </w:r>
          </w:p>
        </w:tc>
        <w:tc>
          <w:tcPr>
            <w:tcW w:w="636" w:type="dxa"/>
            <w:tcBorders>
              <w:top w:val="nil"/>
              <w:left w:val="nil"/>
              <w:bottom w:val="nil"/>
              <w:right w:val="nil"/>
            </w:tcBorders>
            <w:shd w:val="clear" w:color="000000" w:fill="BFBFBF"/>
            <w:noWrap/>
            <w:vAlign w:val="bottom"/>
          </w:tcPr>
          <w:p w14:paraId="7BCD24A7" w14:textId="24E9300C" w:rsidR="00E1495D" w:rsidRPr="00CA25FD" w:rsidRDefault="00E1495D" w:rsidP="00E1495D">
            <w:pPr>
              <w:jc w:val="right"/>
              <w:rPr>
                <w:rFonts w:eastAsia="Times New Roman" w:cstheme="minorHAnsi"/>
                <w:b/>
                <w:bCs/>
                <w:color w:val="0D0D0D"/>
                <w:sz w:val="18"/>
                <w:szCs w:val="18"/>
              </w:rPr>
            </w:pPr>
            <w:r w:rsidRPr="00492085">
              <w:rPr>
                <w:rFonts w:ascii="Calibri" w:hAnsi="Calibri" w:cs="Calibri"/>
                <w:b/>
                <w:bCs/>
                <w:color w:val="0D0D0D"/>
                <w:sz w:val="18"/>
                <w:szCs w:val="18"/>
              </w:rPr>
              <w:t>9%</w:t>
            </w:r>
          </w:p>
        </w:tc>
        <w:tc>
          <w:tcPr>
            <w:tcW w:w="636" w:type="dxa"/>
            <w:tcBorders>
              <w:top w:val="nil"/>
              <w:left w:val="nil"/>
              <w:bottom w:val="nil"/>
              <w:right w:val="nil"/>
            </w:tcBorders>
            <w:shd w:val="clear" w:color="000000" w:fill="FFFFFF"/>
            <w:noWrap/>
            <w:vAlign w:val="bottom"/>
          </w:tcPr>
          <w:p w14:paraId="08040897" w14:textId="04F4FA98" w:rsidR="00E1495D" w:rsidRPr="00F50B8A" w:rsidRDefault="00E1495D" w:rsidP="00E1495D">
            <w:pPr>
              <w:jc w:val="right"/>
              <w:rPr>
                <w:rFonts w:eastAsia="Times New Roman" w:cstheme="minorHAnsi"/>
                <w:b/>
                <w:bCs/>
                <w:color w:val="0D0D0D"/>
                <w:sz w:val="18"/>
                <w:szCs w:val="18"/>
              </w:rPr>
            </w:pPr>
            <w:r w:rsidRPr="00F50B8A">
              <w:rPr>
                <w:rFonts w:ascii="Calibri" w:hAnsi="Calibri" w:cs="Calibri"/>
                <w:b/>
                <w:bCs/>
                <w:color w:val="000000"/>
                <w:sz w:val="18"/>
                <w:szCs w:val="18"/>
              </w:rPr>
              <w:t>72</w:t>
            </w:r>
          </w:p>
        </w:tc>
        <w:tc>
          <w:tcPr>
            <w:tcW w:w="750" w:type="dxa"/>
            <w:tcBorders>
              <w:top w:val="nil"/>
              <w:left w:val="nil"/>
              <w:bottom w:val="nil"/>
              <w:right w:val="nil"/>
            </w:tcBorders>
            <w:shd w:val="clear" w:color="000000" w:fill="BFBFBF"/>
            <w:noWrap/>
            <w:vAlign w:val="bottom"/>
          </w:tcPr>
          <w:p w14:paraId="1DCA4E51" w14:textId="3AA2EC25" w:rsidR="00E1495D" w:rsidRPr="00E1495D" w:rsidRDefault="00E1495D" w:rsidP="00E1495D">
            <w:pPr>
              <w:jc w:val="right"/>
              <w:rPr>
                <w:rFonts w:eastAsia="Times New Roman" w:cstheme="minorHAnsi"/>
                <w:color w:val="0D0D0D"/>
                <w:sz w:val="18"/>
                <w:szCs w:val="18"/>
              </w:rPr>
            </w:pPr>
            <w:r w:rsidRPr="00F46E9D">
              <w:rPr>
                <w:rFonts w:ascii="Calibri" w:hAnsi="Calibri" w:cs="Calibri"/>
                <w:b/>
                <w:bCs/>
                <w:color w:val="000000"/>
                <w:sz w:val="18"/>
                <w:szCs w:val="18"/>
              </w:rPr>
              <w:t>9%</w:t>
            </w:r>
          </w:p>
        </w:tc>
        <w:tc>
          <w:tcPr>
            <w:tcW w:w="636" w:type="dxa"/>
            <w:tcBorders>
              <w:top w:val="nil"/>
              <w:left w:val="nil"/>
              <w:bottom w:val="nil"/>
              <w:right w:val="nil"/>
            </w:tcBorders>
            <w:shd w:val="clear" w:color="000000" w:fill="FFFFFF"/>
            <w:noWrap/>
            <w:vAlign w:val="bottom"/>
          </w:tcPr>
          <w:p w14:paraId="752B3B82" w14:textId="174A19F1" w:rsidR="00E1495D" w:rsidRPr="00F50B8A" w:rsidRDefault="00E1495D" w:rsidP="00E1495D">
            <w:pPr>
              <w:jc w:val="right"/>
              <w:rPr>
                <w:rFonts w:eastAsia="Times New Roman" w:cstheme="minorHAnsi"/>
                <w:b/>
                <w:bCs/>
                <w:color w:val="0D0D0D"/>
                <w:sz w:val="18"/>
                <w:szCs w:val="18"/>
              </w:rPr>
            </w:pPr>
            <w:r w:rsidRPr="00F50B8A">
              <w:rPr>
                <w:rFonts w:ascii="Calibri" w:hAnsi="Calibri" w:cs="Calibri"/>
                <w:b/>
                <w:bCs/>
                <w:color w:val="000000"/>
                <w:sz w:val="18"/>
                <w:szCs w:val="18"/>
              </w:rPr>
              <w:t>65</w:t>
            </w:r>
          </w:p>
        </w:tc>
        <w:tc>
          <w:tcPr>
            <w:tcW w:w="714" w:type="dxa"/>
            <w:tcBorders>
              <w:top w:val="nil"/>
              <w:left w:val="nil"/>
              <w:bottom w:val="nil"/>
              <w:right w:val="nil"/>
            </w:tcBorders>
            <w:shd w:val="clear" w:color="000000" w:fill="BFBFBF"/>
            <w:noWrap/>
            <w:vAlign w:val="bottom"/>
          </w:tcPr>
          <w:p w14:paraId="1696F260" w14:textId="10D1E581" w:rsidR="00E1495D" w:rsidRPr="00E1495D" w:rsidRDefault="00E1495D" w:rsidP="00E1495D">
            <w:pPr>
              <w:jc w:val="right"/>
              <w:rPr>
                <w:rFonts w:eastAsia="Times New Roman" w:cstheme="minorHAnsi"/>
                <w:color w:val="0D0D0D"/>
                <w:sz w:val="18"/>
                <w:szCs w:val="18"/>
              </w:rPr>
            </w:pPr>
            <w:r w:rsidRPr="00F46E9D">
              <w:rPr>
                <w:rFonts w:ascii="Calibri" w:hAnsi="Calibri" w:cs="Calibri"/>
                <w:b/>
                <w:bCs/>
                <w:color w:val="000000"/>
                <w:sz w:val="18"/>
                <w:szCs w:val="18"/>
              </w:rPr>
              <w:t>8%</w:t>
            </w:r>
          </w:p>
        </w:tc>
        <w:tc>
          <w:tcPr>
            <w:tcW w:w="636" w:type="dxa"/>
            <w:tcBorders>
              <w:top w:val="nil"/>
              <w:left w:val="nil"/>
              <w:bottom w:val="nil"/>
              <w:right w:val="nil"/>
            </w:tcBorders>
            <w:shd w:val="clear" w:color="000000" w:fill="FFFFFF"/>
            <w:noWrap/>
            <w:vAlign w:val="bottom"/>
          </w:tcPr>
          <w:p w14:paraId="37DD0200" w14:textId="5F5E4D1E" w:rsidR="00E1495D" w:rsidRPr="00E1495D" w:rsidRDefault="00E1495D" w:rsidP="00E1495D">
            <w:pPr>
              <w:jc w:val="right"/>
              <w:rPr>
                <w:rFonts w:eastAsia="Times New Roman" w:cstheme="minorHAnsi"/>
                <w:color w:val="0D0D0D"/>
                <w:sz w:val="18"/>
                <w:szCs w:val="18"/>
              </w:rPr>
            </w:pPr>
            <w:r w:rsidRPr="00F46E9D">
              <w:rPr>
                <w:rFonts w:ascii="Calibri" w:hAnsi="Calibri" w:cs="Calibri"/>
                <w:b/>
                <w:bCs/>
                <w:color w:val="000000"/>
                <w:sz w:val="18"/>
                <w:szCs w:val="18"/>
              </w:rPr>
              <w:t xml:space="preserve">59 </w:t>
            </w:r>
          </w:p>
        </w:tc>
        <w:tc>
          <w:tcPr>
            <w:tcW w:w="714" w:type="dxa"/>
            <w:tcBorders>
              <w:top w:val="nil"/>
              <w:left w:val="nil"/>
              <w:bottom w:val="nil"/>
              <w:right w:val="nil"/>
            </w:tcBorders>
            <w:shd w:val="clear" w:color="000000" w:fill="BFBFBF"/>
            <w:noWrap/>
            <w:vAlign w:val="bottom"/>
          </w:tcPr>
          <w:p w14:paraId="34A28B86" w14:textId="3FC16E23" w:rsidR="00E1495D" w:rsidRPr="00E1495D" w:rsidRDefault="00E1495D" w:rsidP="00E1495D">
            <w:pPr>
              <w:jc w:val="right"/>
              <w:rPr>
                <w:rFonts w:eastAsia="Times New Roman" w:cstheme="minorHAnsi"/>
                <w:color w:val="0D0D0D"/>
                <w:sz w:val="18"/>
                <w:szCs w:val="18"/>
              </w:rPr>
            </w:pPr>
            <w:r w:rsidRPr="00F46E9D">
              <w:rPr>
                <w:rFonts w:ascii="Calibri" w:hAnsi="Calibri" w:cs="Calibri"/>
                <w:b/>
                <w:bCs/>
                <w:color w:val="000000"/>
                <w:sz w:val="18"/>
                <w:szCs w:val="18"/>
              </w:rPr>
              <w:t>9%</w:t>
            </w:r>
          </w:p>
        </w:tc>
      </w:tr>
      <w:tr w:rsidR="00E1495D" w:rsidRPr="004E6649" w14:paraId="023C9EF1" w14:textId="77777777" w:rsidTr="00F46E9D">
        <w:trPr>
          <w:trHeight w:val="80"/>
          <w:jc w:val="center"/>
        </w:trPr>
        <w:tc>
          <w:tcPr>
            <w:tcW w:w="3000" w:type="dxa"/>
            <w:tcBorders>
              <w:top w:val="nil"/>
              <w:left w:val="nil"/>
              <w:bottom w:val="nil"/>
              <w:right w:val="nil"/>
            </w:tcBorders>
            <w:shd w:val="clear" w:color="000000" w:fill="FFFFFF"/>
            <w:noWrap/>
            <w:vAlign w:val="bottom"/>
            <w:hideMark/>
          </w:tcPr>
          <w:p w14:paraId="608171D1" w14:textId="77777777" w:rsidR="00E1495D" w:rsidRPr="004E6649" w:rsidRDefault="00E1495D" w:rsidP="00E1495D">
            <w:pPr>
              <w:rPr>
                <w:rFonts w:eastAsia="Times New Roman" w:cstheme="minorHAnsi"/>
                <w:color w:val="0D0D0D"/>
                <w:sz w:val="18"/>
                <w:szCs w:val="18"/>
              </w:rPr>
            </w:pPr>
            <w:r w:rsidRPr="004E6649">
              <w:rPr>
                <w:rFonts w:eastAsia="Times New Roman" w:cstheme="minorHAnsi"/>
                <w:color w:val="0D0D0D"/>
                <w:sz w:val="18"/>
                <w:szCs w:val="18"/>
              </w:rPr>
              <w:t>Institutional support</w:t>
            </w:r>
          </w:p>
        </w:tc>
        <w:tc>
          <w:tcPr>
            <w:tcW w:w="636" w:type="dxa"/>
            <w:tcBorders>
              <w:top w:val="nil"/>
              <w:left w:val="nil"/>
              <w:bottom w:val="nil"/>
              <w:right w:val="nil"/>
            </w:tcBorders>
            <w:shd w:val="clear" w:color="000000" w:fill="FFFFFF"/>
            <w:noWrap/>
            <w:vAlign w:val="bottom"/>
          </w:tcPr>
          <w:p w14:paraId="60F8504A" w14:textId="6D006903" w:rsidR="00E1495D" w:rsidRPr="00CA25FD" w:rsidRDefault="00E1495D" w:rsidP="00E1495D">
            <w:pPr>
              <w:jc w:val="right"/>
              <w:rPr>
                <w:rFonts w:eastAsia="Times New Roman" w:cstheme="minorHAnsi"/>
                <w:b/>
                <w:bCs/>
                <w:color w:val="0D0D0D"/>
                <w:sz w:val="18"/>
                <w:szCs w:val="18"/>
              </w:rPr>
            </w:pPr>
            <w:r>
              <w:rPr>
                <w:rFonts w:ascii="Calibri" w:hAnsi="Calibri" w:cs="Calibri"/>
                <w:b/>
                <w:bCs/>
                <w:color w:val="0D0D0D"/>
                <w:sz w:val="18"/>
                <w:szCs w:val="18"/>
              </w:rPr>
              <w:t>92</w:t>
            </w:r>
          </w:p>
        </w:tc>
        <w:tc>
          <w:tcPr>
            <w:tcW w:w="636" w:type="dxa"/>
            <w:tcBorders>
              <w:top w:val="nil"/>
              <w:left w:val="nil"/>
              <w:bottom w:val="nil"/>
              <w:right w:val="nil"/>
            </w:tcBorders>
            <w:shd w:val="clear" w:color="000000" w:fill="BFBFBF"/>
            <w:noWrap/>
            <w:vAlign w:val="bottom"/>
          </w:tcPr>
          <w:p w14:paraId="312D2045" w14:textId="489AC2CD" w:rsidR="00E1495D" w:rsidRPr="00CA25FD" w:rsidRDefault="00E1495D" w:rsidP="00E1495D">
            <w:pPr>
              <w:jc w:val="right"/>
              <w:rPr>
                <w:rFonts w:eastAsia="Times New Roman" w:cstheme="minorHAnsi"/>
                <w:b/>
                <w:bCs/>
                <w:color w:val="0D0D0D" w:themeColor="text1" w:themeTint="F2"/>
                <w:sz w:val="18"/>
                <w:szCs w:val="18"/>
              </w:rPr>
            </w:pPr>
            <w:r>
              <w:rPr>
                <w:rFonts w:ascii="Calibri" w:hAnsi="Calibri" w:cs="Calibri"/>
                <w:b/>
                <w:bCs/>
                <w:color w:val="0D0D0D"/>
                <w:sz w:val="18"/>
                <w:szCs w:val="18"/>
              </w:rPr>
              <w:t>10%</w:t>
            </w:r>
          </w:p>
        </w:tc>
        <w:tc>
          <w:tcPr>
            <w:tcW w:w="636" w:type="dxa"/>
            <w:tcBorders>
              <w:top w:val="nil"/>
              <w:left w:val="nil"/>
              <w:bottom w:val="nil"/>
              <w:right w:val="nil"/>
            </w:tcBorders>
            <w:shd w:val="clear" w:color="000000" w:fill="FFFFFF"/>
            <w:noWrap/>
            <w:vAlign w:val="bottom"/>
          </w:tcPr>
          <w:p w14:paraId="2B3BB46F" w14:textId="28E7CA20" w:rsidR="00E1495D" w:rsidRPr="00CA25FD" w:rsidRDefault="00E1495D" w:rsidP="00E1495D">
            <w:pPr>
              <w:jc w:val="right"/>
              <w:rPr>
                <w:rFonts w:eastAsia="Times New Roman" w:cstheme="minorHAnsi"/>
                <w:b/>
                <w:bCs/>
                <w:color w:val="0D0D0D"/>
                <w:sz w:val="18"/>
                <w:szCs w:val="18"/>
              </w:rPr>
            </w:pPr>
            <w:r w:rsidRPr="00492085">
              <w:rPr>
                <w:rFonts w:ascii="Calibri" w:hAnsi="Calibri" w:cs="Calibri"/>
                <w:b/>
                <w:bCs/>
                <w:color w:val="0D0D0D"/>
                <w:sz w:val="18"/>
                <w:szCs w:val="18"/>
              </w:rPr>
              <w:t>79</w:t>
            </w:r>
          </w:p>
        </w:tc>
        <w:tc>
          <w:tcPr>
            <w:tcW w:w="636" w:type="dxa"/>
            <w:tcBorders>
              <w:top w:val="nil"/>
              <w:left w:val="nil"/>
              <w:bottom w:val="nil"/>
              <w:right w:val="nil"/>
            </w:tcBorders>
            <w:shd w:val="clear" w:color="000000" w:fill="BFBFBF"/>
            <w:noWrap/>
            <w:vAlign w:val="bottom"/>
          </w:tcPr>
          <w:p w14:paraId="2C85D719" w14:textId="5C8943ED" w:rsidR="00E1495D" w:rsidRPr="00CA25FD" w:rsidRDefault="00E1495D" w:rsidP="00E1495D">
            <w:pPr>
              <w:jc w:val="right"/>
              <w:rPr>
                <w:rFonts w:eastAsia="Times New Roman" w:cstheme="minorHAnsi"/>
                <w:b/>
                <w:bCs/>
                <w:color w:val="0D0D0D"/>
                <w:sz w:val="18"/>
                <w:szCs w:val="18"/>
              </w:rPr>
            </w:pPr>
            <w:r w:rsidRPr="00492085">
              <w:rPr>
                <w:rFonts w:ascii="Calibri" w:hAnsi="Calibri" w:cs="Calibri"/>
                <w:b/>
                <w:bCs/>
                <w:color w:val="0D0D0D"/>
                <w:sz w:val="18"/>
                <w:szCs w:val="18"/>
              </w:rPr>
              <w:t>9%</w:t>
            </w:r>
          </w:p>
        </w:tc>
        <w:tc>
          <w:tcPr>
            <w:tcW w:w="636" w:type="dxa"/>
            <w:tcBorders>
              <w:top w:val="nil"/>
              <w:left w:val="nil"/>
              <w:bottom w:val="nil"/>
              <w:right w:val="nil"/>
            </w:tcBorders>
            <w:shd w:val="clear" w:color="000000" w:fill="FFFFFF"/>
            <w:noWrap/>
            <w:vAlign w:val="bottom"/>
          </w:tcPr>
          <w:p w14:paraId="2599AC94" w14:textId="4F92E423" w:rsidR="00E1495D" w:rsidRPr="00F50B8A" w:rsidRDefault="00E1495D" w:rsidP="00E1495D">
            <w:pPr>
              <w:jc w:val="right"/>
              <w:rPr>
                <w:rFonts w:eastAsia="Times New Roman" w:cstheme="minorHAnsi"/>
                <w:b/>
                <w:bCs/>
                <w:color w:val="0D0D0D"/>
                <w:sz w:val="18"/>
                <w:szCs w:val="18"/>
              </w:rPr>
            </w:pPr>
            <w:r w:rsidRPr="00F50B8A">
              <w:rPr>
                <w:rFonts w:ascii="Calibri" w:hAnsi="Calibri" w:cs="Calibri"/>
                <w:b/>
                <w:bCs/>
                <w:color w:val="000000"/>
                <w:sz w:val="18"/>
                <w:szCs w:val="18"/>
              </w:rPr>
              <w:t>72</w:t>
            </w:r>
          </w:p>
        </w:tc>
        <w:tc>
          <w:tcPr>
            <w:tcW w:w="750" w:type="dxa"/>
            <w:tcBorders>
              <w:top w:val="nil"/>
              <w:left w:val="nil"/>
              <w:bottom w:val="nil"/>
              <w:right w:val="nil"/>
            </w:tcBorders>
            <w:shd w:val="clear" w:color="000000" w:fill="BFBFBF"/>
            <w:noWrap/>
            <w:vAlign w:val="bottom"/>
          </w:tcPr>
          <w:p w14:paraId="137E8315" w14:textId="7AAB0050" w:rsidR="00E1495D" w:rsidRPr="00E1495D" w:rsidRDefault="00E1495D" w:rsidP="00E1495D">
            <w:pPr>
              <w:jc w:val="right"/>
              <w:rPr>
                <w:rFonts w:eastAsia="Times New Roman" w:cstheme="minorHAnsi"/>
                <w:color w:val="0D0D0D"/>
                <w:sz w:val="18"/>
                <w:szCs w:val="18"/>
              </w:rPr>
            </w:pPr>
            <w:r w:rsidRPr="00F46E9D">
              <w:rPr>
                <w:rFonts w:ascii="Calibri" w:hAnsi="Calibri" w:cs="Calibri"/>
                <w:b/>
                <w:bCs/>
                <w:color w:val="000000"/>
                <w:sz w:val="18"/>
                <w:szCs w:val="18"/>
              </w:rPr>
              <w:t>9%</w:t>
            </w:r>
          </w:p>
        </w:tc>
        <w:tc>
          <w:tcPr>
            <w:tcW w:w="636" w:type="dxa"/>
            <w:tcBorders>
              <w:top w:val="nil"/>
              <w:left w:val="nil"/>
              <w:bottom w:val="nil"/>
              <w:right w:val="nil"/>
            </w:tcBorders>
            <w:shd w:val="clear" w:color="000000" w:fill="FFFFFF"/>
            <w:noWrap/>
            <w:vAlign w:val="bottom"/>
          </w:tcPr>
          <w:p w14:paraId="777783E2" w14:textId="0D3807D5" w:rsidR="00E1495D" w:rsidRPr="00F50B8A" w:rsidRDefault="00E1495D" w:rsidP="00E1495D">
            <w:pPr>
              <w:jc w:val="right"/>
              <w:rPr>
                <w:rFonts w:eastAsia="Times New Roman" w:cstheme="minorHAnsi"/>
                <w:b/>
                <w:bCs/>
                <w:color w:val="0D0D0D"/>
                <w:sz w:val="18"/>
                <w:szCs w:val="18"/>
              </w:rPr>
            </w:pPr>
            <w:r w:rsidRPr="00F50B8A">
              <w:rPr>
                <w:rFonts w:ascii="Calibri" w:hAnsi="Calibri" w:cs="Calibri"/>
                <w:b/>
                <w:bCs/>
                <w:color w:val="000000"/>
                <w:sz w:val="18"/>
                <w:szCs w:val="18"/>
              </w:rPr>
              <w:t>66</w:t>
            </w:r>
          </w:p>
        </w:tc>
        <w:tc>
          <w:tcPr>
            <w:tcW w:w="714" w:type="dxa"/>
            <w:tcBorders>
              <w:top w:val="nil"/>
              <w:left w:val="nil"/>
              <w:bottom w:val="nil"/>
              <w:right w:val="nil"/>
            </w:tcBorders>
            <w:shd w:val="clear" w:color="000000" w:fill="BFBFBF"/>
            <w:noWrap/>
            <w:vAlign w:val="bottom"/>
          </w:tcPr>
          <w:p w14:paraId="3F0B6B57" w14:textId="39913924" w:rsidR="00E1495D" w:rsidRPr="00E1495D" w:rsidRDefault="00E1495D" w:rsidP="00E1495D">
            <w:pPr>
              <w:jc w:val="right"/>
              <w:rPr>
                <w:rFonts w:eastAsia="Times New Roman" w:cstheme="minorHAnsi"/>
                <w:color w:val="0D0D0D"/>
                <w:sz w:val="18"/>
                <w:szCs w:val="18"/>
              </w:rPr>
            </w:pPr>
            <w:r w:rsidRPr="00F46E9D">
              <w:rPr>
                <w:rFonts w:ascii="Calibri" w:hAnsi="Calibri" w:cs="Calibri"/>
                <w:b/>
                <w:bCs/>
                <w:color w:val="000000"/>
                <w:sz w:val="18"/>
                <w:szCs w:val="18"/>
              </w:rPr>
              <w:t>8%</w:t>
            </w:r>
          </w:p>
        </w:tc>
        <w:tc>
          <w:tcPr>
            <w:tcW w:w="636" w:type="dxa"/>
            <w:tcBorders>
              <w:top w:val="nil"/>
              <w:left w:val="nil"/>
              <w:bottom w:val="nil"/>
              <w:right w:val="nil"/>
            </w:tcBorders>
            <w:shd w:val="clear" w:color="000000" w:fill="FFFFFF"/>
            <w:noWrap/>
            <w:vAlign w:val="bottom"/>
          </w:tcPr>
          <w:p w14:paraId="3421B45C" w14:textId="1349EDDA" w:rsidR="00E1495D" w:rsidRPr="00E1495D" w:rsidRDefault="00E1495D" w:rsidP="00E1495D">
            <w:pPr>
              <w:jc w:val="right"/>
              <w:rPr>
                <w:rFonts w:eastAsia="Times New Roman" w:cstheme="minorHAnsi"/>
                <w:color w:val="0D0D0D"/>
                <w:sz w:val="18"/>
                <w:szCs w:val="18"/>
              </w:rPr>
            </w:pPr>
            <w:r w:rsidRPr="00F46E9D">
              <w:rPr>
                <w:rFonts w:ascii="Calibri" w:hAnsi="Calibri" w:cs="Calibri"/>
                <w:b/>
                <w:bCs/>
                <w:color w:val="000000"/>
                <w:sz w:val="18"/>
                <w:szCs w:val="18"/>
              </w:rPr>
              <w:t xml:space="preserve">12 </w:t>
            </w:r>
          </w:p>
        </w:tc>
        <w:tc>
          <w:tcPr>
            <w:tcW w:w="714" w:type="dxa"/>
            <w:tcBorders>
              <w:top w:val="nil"/>
              <w:left w:val="nil"/>
              <w:bottom w:val="nil"/>
              <w:right w:val="nil"/>
            </w:tcBorders>
            <w:shd w:val="clear" w:color="000000" w:fill="BFBFBF"/>
            <w:noWrap/>
            <w:vAlign w:val="bottom"/>
          </w:tcPr>
          <w:p w14:paraId="0C10F967" w14:textId="16367A85" w:rsidR="00E1495D" w:rsidRPr="00E1495D" w:rsidRDefault="00E1495D" w:rsidP="00E1495D">
            <w:pPr>
              <w:jc w:val="right"/>
              <w:rPr>
                <w:rFonts w:eastAsia="Times New Roman" w:cstheme="minorHAnsi"/>
                <w:color w:val="0D0D0D"/>
                <w:sz w:val="18"/>
                <w:szCs w:val="18"/>
              </w:rPr>
            </w:pPr>
            <w:r w:rsidRPr="00F46E9D">
              <w:rPr>
                <w:rFonts w:ascii="Calibri" w:hAnsi="Calibri" w:cs="Calibri"/>
                <w:b/>
                <w:bCs/>
                <w:color w:val="000000"/>
                <w:sz w:val="18"/>
                <w:szCs w:val="18"/>
              </w:rPr>
              <w:t>2%</w:t>
            </w:r>
          </w:p>
        </w:tc>
      </w:tr>
      <w:tr w:rsidR="00E1495D" w:rsidRPr="004E6649" w14:paraId="34C08488" w14:textId="77777777" w:rsidTr="00F46E9D">
        <w:trPr>
          <w:trHeight w:val="80"/>
          <w:jc w:val="center"/>
        </w:trPr>
        <w:tc>
          <w:tcPr>
            <w:tcW w:w="3000" w:type="dxa"/>
            <w:tcBorders>
              <w:top w:val="nil"/>
              <w:left w:val="nil"/>
              <w:bottom w:val="nil"/>
              <w:right w:val="nil"/>
            </w:tcBorders>
            <w:shd w:val="clear" w:color="000000" w:fill="FFFFFF"/>
            <w:noWrap/>
            <w:vAlign w:val="bottom"/>
            <w:hideMark/>
          </w:tcPr>
          <w:p w14:paraId="6AAA31B4" w14:textId="77777777" w:rsidR="00E1495D" w:rsidRPr="004E6649" w:rsidRDefault="00E1495D" w:rsidP="00E1495D">
            <w:pPr>
              <w:rPr>
                <w:rFonts w:eastAsia="Times New Roman" w:cstheme="minorHAnsi"/>
                <w:color w:val="0D0D0D"/>
                <w:sz w:val="18"/>
                <w:szCs w:val="18"/>
              </w:rPr>
            </w:pPr>
            <w:r w:rsidRPr="004E6649">
              <w:rPr>
                <w:rFonts w:eastAsia="Times New Roman" w:cstheme="minorHAnsi"/>
                <w:color w:val="0D0D0D"/>
                <w:sz w:val="18"/>
                <w:szCs w:val="18"/>
              </w:rPr>
              <w:t>Operation and maintenance of plant</w:t>
            </w:r>
          </w:p>
        </w:tc>
        <w:tc>
          <w:tcPr>
            <w:tcW w:w="636" w:type="dxa"/>
            <w:tcBorders>
              <w:top w:val="nil"/>
              <w:left w:val="nil"/>
              <w:bottom w:val="nil"/>
              <w:right w:val="nil"/>
            </w:tcBorders>
            <w:shd w:val="clear" w:color="000000" w:fill="FFFFFF"/>
            <w:noWrap/>
            <w:vAlign w:val="bottom"/>
          </w:tcPr>
          <w:p w14:paraId="1E41C267" w14:textId="4AD02069" w:rsidR="00E1495D" w:rsidRPr="00CA25FD" w:rsidRDefault="00E1495D" w:rsidP="00E1495D">
            <w:pPr>
              <w:jc w:val="right"/>
              <w:rPr>
                <w:rFonts w:eastAsia="Times New Roman" w:cstheme="minorHAnsi"/>
                <w:b/>
                <w:bCs/>
                <w:color w:val="0D0D0D"/>
                <w:sz w:val="18"/>
                <w:szCs w:val="18"/>
              </w:rPr>
            </w:pPr>
            <w:r>
              <w:rPr>
                <w:rFonts w:ascii="Calibri" w:hAnsi="Calibri" w:cs="Calibri"/>
                <w:b/>
                <w:bCs/>
                <w:color w:val="0D0D0D"/>
                <w:sz w:val="18"/>
                <w:szCs w:val="18"/>
              </w:rPr>
              <w:t>68</w:t>
            </w:r>
          </w:p>
        </w:tc>
        <w:tc>
          <w:tcPr>
            <w:tcW w:w="636" w:type="dxa"/>
            <w:tcBorders>
              <w:top w:val="nil"/>
              <w:left w:val="nil"/>
              <w:bottom w:val="nil"/>
              <w:right w:val="nil"/>
            </w:tcBorders>
            <w:shd w:val="clear" w:color="000000" w:fill="BFBFBF"/>
            <w:noWrap/>
            <w:vAlign w:val="bottom"/>
          </w:tcPr>
          <w:p w14:paraId="5BCBA522" w14:textId="2A6BAC02" w:rsidR="00E1495D" w:rsidRPr="00CA25FD" w:rsidRDefault="00E1495D" w:rsidP="00E1495D">
            <w:pPr>
              <w:jc w:val="right"/>
              <w:rPr>
                <w:rFonts w:eastAsia="Times New Roman" w:cstheme="minorHAnsi"/>
                <w:b/>
                <w:bCs/>
                <w:color w:val="0D0D0D" w:themeColor="text1" w:themeTint="F2"/>
                <w:sz w:val="18"/>
                <w:szCs w:val="18"/>
              </w:rPr>
            </w:pPr>
            <w:r>
              <w:rPr>
                <w:rFonts w:ascii="Calibri" w:hAnsi="Calibri" w:cs="Calibri"/>
                <w:b/>
                <w:bCs/>
                <w:color w:val="0D0D0D"/>
                <w:sz w:val="18"/>
                <w:szCs w:val="18"/>
              </w:rPr>
              <w:t>8%</w:t>
            </w:r>
          </w:p>
        </w:tc>
        <w:tc>
          <w:tcPr>
            <w:tcW w:w="636" w:type="dxa"/>
            <w:tcBorders>
              <w:top w:val="nil"/>
              <w:left w:val="nil"/>
              <w:bottom w:val="nil"/>
              <w:right w:val="nil"/>
            </w:tcBorders>
            <w:shd w:val="clear" w:color="000000" w:fill="FFFFFF"/>
            <w:noWrap/>
            <w:vAlign w:val="bottom"/>
          </w:tcPr>
          <w:p w14:paraId="2E8B00A4" w14:textId="0B036DB9" w:rsidR="00E1495D" w:rsidRPr="00CA25FD" w:rsidRDefault="00E1495D" w:rsidP="00E1495D">
            <w:pPr>
              <w:jc w:val="right"/>
              <w:rPr>
                <w:rFonts w:eastAsia="Times New Roman" w:cstheme="minorHAnsi"/>
                <w:b/>
                <w:bCs/>
                <w:color w:val="0D0D0D"/>
                <w:sz w:val="18"/>
                <w:szCs w:val="18"/>
              </w:rPr>
            </w:pPr>
            <w:r w:rsidRPr="00492085">
              <w:rPr>
                <w:rFonts w:ascii="Calibri" w:hAnsi="Calibri" w:cs="Calibri"/>
                <w:b/>
                <w:bCs/>
                <w:color w:val="0D0D0D"/>
                <w:sz w:val="18"/>
                <w:szCs w:val="18"/>
              </w:rPr>
              <w:t>64</w:t>
            </w:r>
          </w:p>
        </w:tc>
        <w:tc>
          <w:tcPr>
            <w:tcW w:w="636" w:type="dxa"/>
            <w:tcBorders>
              <w:top w:val="nil"/>
              <w:left w:val="nil"/>
              <w:bottom w:val="nil"/>
              <w:right w:val="nil"/>
            </w:tcBorders>
            <w:shd w:val="clear" w:color="000000" w:fill="BFBFBF"/>
            <w:noWrap/>
            <w:vAlign w:val="bottom"/>
          </w:tcPr>
          <w:p w14:paraId="25A44DA6" w14:textId="633588B7" w:rsidR="00E1495D" w:rsidRPr="00CA25FD" w:rsidRDefault="00E1495D" w:rsidP="00E1495D">
            <w:pPr>
              <w:jc w:val="right"/>
              <w:rPr>
                <w:rFonts w:eastAsia="Times New Roman" w:cstheme="minorHAnsi"/>
                <w:b/>
                <w:bCs/>
                <w:color w:val="0D0D0D"/>
                <w:sz w:val="18"/>
                <w:szCs w:val="18"/>
              </w:rPr>
            </w:pPr>
            <w:r w:rsidRPr="00492085">
              <w:rPr>
                <w:rFonts w:ascii="Calibri" w:hAnsi="Calibri" w:cs="Calibri"/>
                <w:b/>
                <w:bCs/>
                <w:color w:val="0D0D0D"/>
                <w:sz w:val="18"/>
                <w:szCs w:val="18"/>
              </w:rPr>
              <w:t>8%</w:t>
            </w:r>
          </w:p>
        </w:tc>
        <w:tc>
          <w:tcPr>
            <w:tcW w:w="636" w:type="dxa"/>
            <w:tcBorders>
              <w:top w:val="nil"/>
              <w:left w:val="nil"/>
              <w:bottom w:val="nil"/>
              <w:right w:val="nil"/>
            </w:tcBorders>
            <w:shd w:val="clear" w:color="000000" w:fill="FFFFFF"/>
            <w:noWrap/>
            <w:vAlign w:val="bottom"/>
          </w:tcPr>
          <w:p w14:paraId="2B43AA61" w14:textId="6BF7CC19" w:rsidR="00E1495D" w:rsidRPr="00F50B8A" w:rsidRDefault="00E1495D" w:rsidP="00E1495D">
            <w:pPr>
              <w:jc w:val="right"/>
              <w:rPr>
                <w:rFonts w:eastAsia="Times New Roman" w:cstheme="minorHAnsi"/>
                <w:b/>
                <w:bCs/>
                <w:color w:val="0D0D0D"/>
                <w:sz w:val="18"/>
                <w:szCs w:val="18"/>
              </w:rPr>
            </w:pPr>
            <w:r w:rsidRPr="00F50B8A">
              <w:rPr>
                <w:rFonts w:ascii="Calibri" w:hAnsi="Calibri" w:cs="Calibri"/>
                <w:b/>
                <w:bCs/>
                <w:color w:val="000000"/>
                <w:sz w:val="18"/>
                <w:szCs w:val="18"/>
              </w:rPr>
              <w:t>55</w:t>
            </w:r>
          </w:p>
        </w:tc>
        <w:tc>
          <w:tcPr>
            <w:tcW w:w="750" w:type="dxa"/>
            <w:tcBorders>
              <w:top w:val="nil"/>
              <w:left w:val="nil"/>
              <w:bottom w:val="nil"/>
              <w:right w:val="nil"/>
            </w:tcBorders>
            <w:shd w:val="clear" w:color="000000" w:fill="BFBFBF"/>
            <w:noWrap/>
            <w:vAlign w:val="bottom"/>
          </w:tcPr>
          <w:p w14:paraId="5DEC133E" w14:textId="43070E3E" w:rsidR="00E1495D" w:rsidRPr="00E1495D" w:rsidRDefault="00E1495D" w:rsidP="00E1495D">
            <w:pPr>
              <w:jc w:val="right"/>
              <w:rPr>
                <w:rFonts w:eastAsia="Times New Roman" w:cstheme="minorHAnsi"/>
                <w:color w:val="0D0D0D"/>
                <w:sz w:val="18"/>
                <w:szCs w:val="18"/>
              </w:rPr>
            </w:pPr>
            <w:r w:rsidRPr="00F46E9D">
              <w:rPr>
                <w:rFonts w:ascii="Calibri" w:hAnsi="Calibri" w:cs="Calibri"/>
                <w:b/>
                <w:bCs/>
                <w:color w:val="000000"/>
                <w:sz w:val="18"/>
                <w:szCs w:val="18"/>
              </w:rPr>
              <w:t>7%</w:t>
            </w:r>
          </w:p>
        </w:tc>
        <w:tc>
          <w:tcPr>
            <w:tcW w:w="636" w:type="dxa"/>
            <w:tcBorders>
              <w:top w:val="nil"/>
              <w:left w:val="nil"/>
              <w:bottom w:val="nil"/>
              <w:right w:val="nil"/>
            </w:tcBorders>
            <w:shd w:val="clear" w:color="000000" w:fill="FFFFFF"/>
            <w:noWrap/>
            <w:vAlign w:val="bottom"/>
          </w:tcPr>
          <w:p w14:paraId="44AB20B8" w14:textId="00BA36C5" w:rsidR="00E1495D" w:rsidRPr="00F50B8A" w:rsidRDefault="00E1495D" w:rsidP="00E1495D">
            <w:pPr>
              <w:jc w:val="right"/>
              <w:rPr>
                <w:rFonts w:eastAsia="Times New Roman" w:cstheme="minorHAnsi"/>
                <w:b/>
                <w:bCs/>
                <w:color w:val="0D0D0D"/>
                <w:sz w:val="18"/>
                <w:szCs w:val="18"/>
              </w:rPr>
            </w:pPr>
            <w:r w:rsidRPr="00F50B8A">
              <w:rPr>
                <w:rFonts w:ascii="Calibri" w:hAnsi="Calibri" w:cs="Calibri"/>
                <w:b/>
                <w:bCs/>
                <w:color w:val="000000"/>
                <w:sz w:val="18"/>
                <w:szCs w:val="18"/>
              </w:rPr>
              <w:t>61</w:t>
            </w:r>
          </w:p>
        </w:tc>
        <w:tc>
          <w:tcPr>
            <w:tcW w:w="714" w:type="dxa"/>
            <w:tcBorders>
              <w:top w:val="nil"/>
              <w:left w:val="nil"/>
              <w:bottom w:val="nil"/>
              <w:right w:val="nil"/>
            </w:tcBorders>
            <w:shd w:val="clear" w:color="000000" w:fill="BFBFBF"/>
            <w:noWrap/>
            <w:vAlign w:val="bottom"/>
          </w:tcPr>
          <w:p w14:paraId="7412FB99" w14:textId="02D3D9AB" w:rsidR="00E1495D" w:rsidRPr="00E1495D" w:rsidRDefault="00E1495D" w:rsidP="00E1495D">
            <w:pPr>
              <w:jc w:val="right"/>
              <w:rPr>
                <w:rFonts w:eastAsia="Times New Roman" w:cstheme="minorHAnsi"/>
                <w:color w:val="0D0D0D"/>
                <w:sz w:val="18"/>
                <w:szCs w:val="18"/>
              </w:rPr>
            </w:pPr>
            <w:r w:rsidRPr="00F46E9D">
              <w:rPr>
                <w:rFonts w:ascii="Calibri" w:hAnsi="Calibri" w:cs="Calibri"/>
                <w:b/>
                <w:bCs/>
                <w:color w:val="000000"/>
                <w:sz w:val="18"/>
                <w:szCs w:val="18"/>
              </w:rPr>
              <w:t>8%</w:t>
            </w:r>
          </w:p>
        </w:tc>
        <w:tc>
          <w:tcPr>
            <w:tcW w:w="636" w:type="dxa"/>
            <w:tcBorders>
              <w:top w:val="nil"/>
              <w:left w:val="nil"/>
              <w:bottom w:val="nil"/>
              <w:right w:val="nil"/>
            </w:tcBorders>
            <w:shd w:val="clear" w:color="000000" w:fill="FFFFFF"/>
            <w:noWrap/>
            <w:vAlign w:val="bottom"/>
          </w:tcPr>
          <w:p w14:paraId="174B04BC" w14:textId="14522E25" w:rsidR="00E1495D" w:rsidRPr="00E1495D" w:rsidRDefault="00E1495D" w:rsidP="00E1495D">
            <w:pPr>
              <w:jc w:val="right"/>
              <w:rPr>
                <w:rFonts w:eastAsia="Times New Roman" w:cstheme="minorHAnsi"/>
                <w:color w:val="0D0D0D"/>
                <w:sz w:val="18"/>
                <w:szCs w:val="18"/>
              </w:rPr>
            </w:pPr>
            <w:r w:rsidRPr="00F46E9D">
              <w:rPr>
                <w:rFonts w:ascii="Calibri" w:hAnsi="Calibri" w:cs="Calibri"/>
                <w:b/>
                <w:bCs/>
                <w:color w:val="000000"/>
                <w:sz w:val="18"/>
                <w:szCs w:val="18"/>
              </w:rPr>
              <w:t xml:space="preserve">62 </w:t>
            </w:r>
          </w:p>
        </w:tc>
        <w:tc>
          <w:tcPr>
            <w:tcW w:w="714" w:type="dxa"/>
            <w:tcBorders>
              <w:top w:val="nil"/>
              <w:left w:val="nil"/>
              <w:bottom w:val="nil"/>
              <w:right w:val="nil"/>
            </w:tcBorders>
            <w:shd w:val="clear" w:color="000000" w:fill="BFBFBF"/>
            <w:noWrap/>
            <w:vAlign w:val="bottom"/>
          </w:tcPr>
          <w:p w14:paraId="3401665B" w14:textId="2FC1092F" w:rsidR="00E1495D" w:rsidRPr="00E1495D" w:rsidRDefault="00E1495D" w:rsidP="00E1495D">
            <w:pPr>
              <w:jc w:val="right"/>
              <w:rPr>
                <w:rFonts w:eastAsia="Times New Roman" w:cstheme="minorHAnsi"/>
                <w:color w:val="0D0D0D"/>
                <w:sz w:val="18"/>
                <w:szCs w:val="18"/>
              </w:rPr>
            </w:pPr>
            <w:r w:rsidRPr="00F46E9D">
              <w:rPr>
                <w:rFonts w:ascii="Calibri" w:hAnsi="Calibri" w:cs="Calibri"/>
                <w:b/>
                <w:bCs/>
                <w:color w:val="000000"/>
                <w:sz w:val="18"/>
                <w:szCs w:val="18"/>
              </w:rPr>
              <w:t>9%</w:t>
            </w:r>
          </w:p>
        </w:tc>
      </w:tr>
      <w:tr w:rsidR="00E1495D" w:rsidRPr="004E6649" w14:paraId="2C562656" w14:textId="77777777" w:rsidTr="00F46E9D">
        <w:trPr>
          <w:trHeight w:val="80"/>
          <w:jc w:val="center"/>
        </w:trPr>
        <w:tc>
          <w:tcPr>
            <w:tcW w:w="3000" w:type="dxa"/>
            <w:tcBorders>
              <w:top w:val="nil"/>
              <w:left w:val="nil"/>
              <w:bottom w:val="nil"/>
              <w:right w:val="nil"/>
            </w:tcBorders>
            <w:shd w:val="clear" w:color="000000" w:fill="FFFFFF"/>
            <w:noWrap/>
            <w:vAlign w:val="bottom"/>
            <w:hideMark/>
          </w:tcPr>
          <w:p w14:paraId="58A91638" w14:textId="77777777" w:rsidR="00E1495D" w:rsidRPr="004E6649" w:rsidRDefault="00E1495D" w:rsidP="00E1495D">
            <w:pPr>
              <w:rPr>
                <w:rFonts w:eastAsia="Times New Roman" w:cstheme="minorHAnsi"/>
                <w:color w:val="0D0D0D"/>
                <w:sz w:val="18"/>
                <w:szCs w:val="18"/>
              </w:rPr>
            </w:pPr>
            <w:r w:rsidRPr="004E6649">
              <w:rPr>
                <w:rFonts w:eastAsia="Times New Roman" w:cstheme="minorHAnsi"/>
                <w:color w:val="0D0D0D"/>
                <w:sz w:val="18"/>
                <w:szCs w:val="18"/>
              </w:rPr>
              <w:t>Depreciation and amortization</w:t>
            </w:r>
          </w:p>
        </w:tc>
        <w:tc>
          <w:tcPr>
            <w:tcW w:w="636" w:type="dxa"/>
            <w:tcBorders>
              <w:top w:val="nil"/>
              <w:left w:val="nil"/>
              <w:bottom w:val="nil"/>
              <w:right w:val="nil"/>
            </w:tcBorders>
            <w:shd w:val="clear" w:color="000000" w:fill="FFFFFF"/>
            <w:noWrap/>
            <w:vAlign w:val="bottom"/>
          </w:tcPr>
          <w:p w14:paraId="69C640C0" w14:textId="1FE149A0" w:rsidR="00E1495D" w:rsidRPr="00CA25FD" w:rsidRDefault="00E1495D" w:rsidP="00E1495D">
            <w:pPr>
              <w:jc w:val="right"/>
              <w:rPr>
                <w:rFonts w:eastAsia="Times New Roman" w:cstheme="minorHAnsi"/>
                <w:b/>
                <w:bCs/>
                <w:color w:val="0D0D0D"/>
                <w:sz w:val="18"/>
                <w:szCs w:val="18"/>
              </w:rPr>
            </w:pPr>
            <w:r>
              <w:rPr>
                <w:rFonts w:ascii="Calibri" w:hAnsi="Calibri" w:cs="Calibri"/>
                <w:b/>
                <w:bCs/>
                <w:color w:val="0D0D0D"/>
                <w:sz w:val="18"/>
                <w:szCs w:val="18"/>
              </w:rPr>
              <w:t>63</w:t>
            </w:r>
          </w:p>
        </w:tc>
        <w:tc>
          <w:tcPr>
            <w:tcW w:w="636" w:type="dxa"/>
            <w:tcBorders>
              <w:top w:val="nil"/>
              <w:left w:val="nil"/>
              <w:bottom w:val="nil"/>
              <w:right w:val="nil"/>
            </w:tcBorders>
            <w:shd w:val="clear" w:color="000000" w:fill="BFBFBF"/>
            <w:noWrap/>
            <w:vAlign w:val="bottom"/>
          </w:tcPr>
          <w:p w14:paraId="75AF00DB" w14:textId="50652DBF" w:rsidR="00E1495D" w:rsidRPr="00CA25FD" w:rsidRDefault="00E1495D" w:rsidP="00E1495D">
            <w:pPr>
              <w:jc w:val="right"/>
              <w:rPr>
                <w:rFonts w:eastAsia="Times New Roman" w:cstheme="minorHAnsi"/>
                <w:b/>
                <w:bCs/>
                <w:color w:val="0D0D0D" w:themeColor="text1" w:themeTint="F2"/>
                <w:sz w:val="18"/>
                <w:szCs w:val="18"/>
              </w:rPr>
            </w:pPr>
            <w:r>
              <w:rPr>
                <w:rFonts w:ascii="Calibri" w:hAnsi="Calibri" w:cs="Calibri"/>
                <w:b/>
                <w:bCs/>
                <w:color w:val="0D0D0D"/>
                <w:sz w:val="18"/>
                <w:szCs w:val="18"/>
              </w:rPr>
              <w:t>7%</w:t>
            </w:r>
          </w:p>
        </w:tc>
        <w:tc>
          <w:tcPr>
            <w:tcW w:w="636" w:type="dxa"/>
            <w:tcBorders>
              <w:top w:val="nil"/>
              <w:left w:val="nil"/>
              <w:bottom w:val="nil"/>
              <w:right w:val="nil"/>
            </w:tcBorders>
            <w:shd w:val="clear" w:color="000000" w:fill="FFFFFF"/>
            <w:noWrap/>
            <w:vAlign w:val="bottom"/>
          </w:tcPr>
          <w:p w14:paraId="55C0BC1B" w14:textId="68EF759D" w:rsidR="00E1495D" w:rsidRPr="00CA25FD" w:rsidRDefault="00E1495D" w:rsidP="00E1495D">
            <w:pPr>
              <w:jc w:val="right"/>
              <w:rPr>
                <w:rFonts w:eastAsia="Times New Roman" w:cstheme="minorHAnsi"/>
                <w:b/>
                <w:bCs/>
                <w:color w:val="0D0D0D"/>
                <w:sz w:val="18"/>
                <w:szCs w:val="18"/>
              </w:rPr>
            </w:pPr>
            <w:r w:rsidRPr="00492085">
              <w:rPr>
                <w:rFonts w:ascii="Calibri" w:hAnsi="Calibri" w:cs="Calibri"/>
                <w:b/>
                <w:bCs/>
                <w:color w:val="0D0D0D"/>
                <w:sz w:val="18"/>
                <w:szCs w:val="18"/>
              </w:rPr>
              <w:t>57</w:t>
            </w:r>
          </w:p>
        </w:tc>
        <w:tc>
          <w:tcPr>
            <w:tcW w:w="636" w:type="dxa"/>
            <w:tcBorders>
              <w:top w:val="nil"/>
              <w:left w:val="nil"/>
              <w:bottom w:val="nil"/>
              <w:right w:val="nil"/>
            </w:tcBorders>
            <w:shd w:val="clear" w:color="000000" w:fill="BFBFBF"/>
            <w:noWrap/>
            <w:vAlign w:val="bottom"/>
          </w:tcPr>
          <w:p w14:paraId="5DFD3D09" w14:textId="52B77632" w:rsidR="00E1495D" w:rsidRPr="00CA25FD" w:rsidRDefault="00E1495D" w:rsidP="00E1495D">
            <w:pPr>
              <w:jc w:val="right"/>
              <w:rPr>
                <w:rFonts w:eastAsia="Times New Roman" w:cstheme="minorHAnsi"/>
                <w:b/>
                <w:bCs/>
                <w:color w:val="0D0D0D"/>
                <w:sz w:val="18"/>
                <w:szCs w:val="18"/>
              </w:rPr>
            </w:pPr>
            <w:r w:rsidRPr="00492085">
              <w:rPr>
                <w:rFonts w:ascii="Calibri" w:hAnsi="Calibri" w:cs="Calibri"/>
                <w:b/>
                <w:bCs/>
                <w:color w:val="0D0D0D"/>
                <w:sz w:val="18"/>
                <w:szCs w:val="18"/>
              </w:rPr>
              <w:t>7%</w:t>
            </w:r>
          </w:p>
        </w:tc>
        <w:tc>
          <w:tcPr>
            <w:tcW w:w="636" w:type="dxa"/>
            <w:tcBorders>
              <w:top w:val="nil"/>
              <w:left w:val="nil"/>
              <w:bottom w:val="nil"/>
              <w:right w:val="nil"/>
            </w:tcBorders>
            <w:shd w:val="clear" w:color="000000" w:fill="FFFFFF"/>
            <w:noWrap/>
            <w:vAlign w:val="bottom"/>
          </w:tcPr>
          <w:p w14:paraId="571B6B51" w14:textId="34B00961" w:rsidR="00E1495D" w:rsidRPr="00F50B8A" w:rsidRDefault="00E1495D" w:rsidP="00E1495D">
            <w:pPr>
              <w:jc w:val="right"/>
              <w:rPr>
                <w:rFonts w:eastAsia="Times New Roman" w:cstheme="minorHAnsi"/>
                <w:b/>
                <w:bCs/>
                <w:color w:val="0D0D0D"/>
                <w:sz w:val="18"/>
                <w:szCs w:val="18"/>
              </w:rPr>
            </w:pPr>
            <w:r w:rsidRPr="00F50B8A">
              <w:rPr>
                <w:rFonts w:ascii="Calibri" w:hAnsi="Calibri" w:cs="Calibri"/>
                <w:b/>
                <w:bCs/>
                <w:color w:val="000000"/>
                <w:sz w:val="18"/>
                <w:szCs w:val="18"/>
              </w:rPr>
              <w:t>50</w:t>
            </w:r>
          </w:p>
        </w:tc>
        <w:tc>
          <w:tcPr>
            <w:tcW w:w="750" w:type="dxa"/>
            <w:tcBorders>
              <w:top w:val="nil"/>
              <w:left w:val="nil"/>
              <w:bottom w:val="nil"/>
              <w:right w:val="nil"/>
            </w:tcBorders>
            <w:shd w:val="clear" w:color="000000" w:fill="BFBFBF"/>
            <w:noWrap/>
            <w:vAlign w:val="bottom"/>
          </w:tcPr>
          <w:p w14:paraId="51F0F597" w14:textId="1B8A230F" w:rsidR="00E1495D" w:rsidRPr="00E1495D" w:rsidRDefault="00E1495D" w:rsidP="00E1495D">
            <w:pPr>
              <w:jc w:val="right"/>
              <w:rPr>
                <w:rFonts w:eastAsia="Times New Roman" w:cstheme="minorHAnsi"/>
                <w:color w:val="0D0D0D"/>
                <w:sz w:val="18"/>
                <w:szCs w:val="18"/>
              </w:rPr>
            </w:pPr>
            <w:r w:rsidRPr="00F46E9D">
              <w:rPr>
                <w:rFonts w:ascii="Calibri" w:hAnsi="Calibri" w:cs="Calibri"/>
                <w:b/>
                <w:bCs/>
                <w:color w:val="000000"/>
                <w:sz w:val="18"/>
                <w:szCs w:val="18"/>
              </w:rPr>
              <w:t>6%</w:t>
            </w:r>
          </w:p>
        </w:tc>
        <w:tc>
          <w:tcPr>
            <w:tcW w:w="636" w:type="dxa"/>
            <w:tcBorders>
              <w:top w:val="nil"/>
              <w:left w:val="nil"/>
              <w:bottom w:val="nil"/>
              <w:right w:val="nil"/>
            </w:tcBorders>
            <w:shd w:val="clear" w:color="000000" w:fill="FFFFFF"/>
            <w:noWrap/>
            <w:vAlign w:val="bottom"/>
          </w:tcPr>
          <w:p w14:paraId="240A82AA" w14:textId="1D6FC384" w:rsidR="00E1495D" w:rsidRPr="00F50B8A" w:rsidRDefault="00E1495D" w:rsidP="00E1495D">
            <w:pPr>
              <w:jc w:val="right"/>
              <w:rPr>
                <w:rFonts w:eastAsia="Times New Roman" w:cstheme="minorHAnsi"/>
                <w:b/>
                <w:bCs/>
                <w:color w:val="0D0D0D"/>
                <w:sz w:val="18"/>
                <w:szCs w:val="18"/>
              </w:rPr>
            </w:pPr>
            <w:r w:rsidRPr="00F50B8A">
              <w:rPr>
                <w:rFonts w:ascii="Calibri" w:hAnsi="Calibri" w:cs="Calibri"/>
                <w:b/>
                <w:bCs/>
                <w:color w:val="000000"/>
                <w:sz w:val="18"/>
                <w:szCs w:val="18"/>
              </w:rPr>
              <w:t>47</w:t>
            </w:r>
          </w:p>
        </w:tc>
        <w:tc>
          <w:tcPr>
            <w:tcW w:w="714" w:type="dxa"/>
            <w:tcBorders>
              <w:top w:val="nil"/>
              <w:left w:val="nil"/>
              <w:bottom w:val="nil"/>
              <w:right w:val="nil"/>
            </w:tcBorders>
            <w:shd w:val="clear" w:color="000000" w:fill="BFBFBF"/>
            <w:noWrap/>
            <w:vAlign w:val="bottom"/>
          </w:tcPr>
          <w:p w14:paraId="4243814F" w14:textId="63AC5E9A" w:rsidR="00E1495D" w:rsidRPr="00E1495D" w:rsidRDefault="00E1495D" w:rsidP="00E1495D">
            <w:pPr>
              <w:jc w:val="right"/>
              <w:rPr>
                <w:rFonts w:eastAsia="Times New Roman" w:cstheme="minorHAnsi"/>
                <w:color w:val="0D0D0D"/>
                <w:sz w:val="18"/>
                <w:szCs w:val="18"/>
              </w:rPr>
            </w:pPr>
            <w:r w:rsidRPr="00F46E9D">
              <w:rPr>
                <w:rFonts w:ascii="Calibri" w:hAnsi="Calibri" w:cs="Calibri"/>
                <w:b/>
                <w:bCs/>
                <w:color w:val="000000"/>
                <w:sz w:val="18"/>
                <w:szCs w:val="18"/>
              </w:rPr>
              <w:t>6%</w:t>
            </w:r>
          </w:p>
        </w:tc>
        <w:tc>
          <w:tcPr>
            <w:tcW w:w="636" w:type="dxa"/>
            <w:tcBorders>
              <w:top w:val="nil"/>
              <w:left w:val="nil"/>
              <w:bottom w:val="nil"/>
              <w:right w:val="nil"/>
            </w:tcBorders>
            <w:shd w:val="clear" w:color="000000" w:fill="FFFFFF"/>
            <w:noWrap/>
            <w:vAlign w:val="bottom"/>
          </w:tcPr>
          <w:p w14:paraId="32C48D77" w14:textId="66B6329E" w:rsidR="00E1495D" w:rsidRPr="00E1495D" w:rsidRDefault="00E1495D" w:rsidP="00E1495D">
            <w:pPr>
              <w:jc w:val="right"/>
              <w:rPr>
                <w:rFonts w:eastAsia="Times New Roman" w:cstheme="minorHAnsi"/>
                <w:color w:val="0D0D0D"/>
                <w:sz w:val="18"/>
                <w:szCs w:val="18"/>
              </w:rPr>
            </w:pPr>
            <w:r w:rsidRPr="00F46E9D">
              <w:rPr>
                <w:rFonts w:ascii="Calibri" w:hAnsi="Calibri" w:cs="Calibri"/>
                <w:b/>
                <w:bCs/>
                <w:color w:val="000000"/>
                <w:sz w:val="18"/>
                <w:szCs w:val="18"/>
              </w:rPr>
              <w:t xml:space="preserve">44 </w:t>
            </w:r>
          </w:p>
        </w:tc>
        <w:tc>
          <w:tcPr>
            <w:tcW w:w="714" w:type="dxa"/>
            <w:tcBorders>
              <w:top w:val="nil"/>
              <w:left w:val="nil"/>
              <w:bottom w:val="nil"/>
              <w:right w:val="nil"/>
            </w:tcBorders>
            <w:shd w:val="clear" w:color="000000" w:fill="BFBFBF"/>
            <w:noWrap/>
            <w:vAlign w:val="bottom"/>
          </w:tcPr>
          <w:p w14:paraId="3973D8EF" w14:textId="76C0B282" w:rsidR="00E1495D" w:rsidRPr="00E1495D" w:rsidRDefault="00E1495D" w:rsidP="00E1495D">
            <w:pPr>
              <w:jc w:val="right"/>
              <w:rPr>
                <w:rFonts w:eastAsia="Times New Roman" w:cstheme="minorHAnsi"/>
                <w:color w:val="0D0D0D"/>
                <w:sz w:val="18"/>
                <w:szCs w:val="18"/>
              </w:rPr>
            </w:pPr>
            <w:r w:rsidRPr="00F46E9D">
              <w:rPr>
                <w:rFonts w:ascii="Calibri" w:hAnsi="Calibri" w:cs="Calibri"/>
                <w:b/>
                <w:bCs/>
                <w:color w:val="000000"/>
                <w:sz w:val="18"/>
                <w:szCs w:val="18"/>
              </w:rPr>
              <w:t>6%</w:t>
            </w:r>
          </w:p>
        </w:tc>
      </w:tr>
      <w:tr w:rsidR="00E1495D" w:rsidRPr="004E6649" w14:paraId="4AFB070C" w14:textId="77777777" w:rsidTr="00F46E9D">
        <w:trPr>
          <w:trHeight w:val="80"/>
          <w:jc w:val="center"/>
        </w:trPr>
        <w:tc>
          <w:tcPr>
            <w:tcW w:w="3000" w:type="dxa"/>
            <w:tcBorders>
              <w:top w:val="nil"/>
              <w:left w:val="nil"/>
              <w:bottom w:val="nil"/>
              <w:right w:val="nil"/>
            </w:tcBorders>
            <w:shd w:val="clear" w:color="000000" w:fill="FFFFFF"/>
            <w:noWrap/>
            <w:vAlign w:val="bottom"/>
            <w:hideMark/>
          </w:tcPr>
          <w:p w14:paraId="00097F19" w14:textId="77777777" w:rsidR="00E1495D" w:rsidRPr="004E6649" w:rsidRDefault="00E1495D" w:rsidP="00E1495D">
            <w:pPr>
              <w:rPr>
                <w:rFonts w:eastAsia="Times New Roman" w:cstheme="minorHAnsi"/>
                <w:color w:val="0D0D0D"/>
                <w:sz w:val="18"/>
                <w:szCs w:val="18"/>
              </w:rPr>
            </w:pPr>
            <w:r w:rsidRPr="004E6649">
              <w:rPr>
                <w:rFonts w:eastAsia="Times New Roman" w:cstheme="minorHAnsi"/>
                <w:color w:val="0D0D0D"/>
                <w:sz w:val="18"/>
                <w:szCs w:val="18"/>
              </w:rPr>
              <w:t>Student aid</w:t>
            </w:r>
          </w:p>
        </w:tc>
        <w:tc>
          <w:tcPr>
            <w:tcW w:w="636" w:type="dxa"/>
            <w:tcBorders>
              <w:top w:val="nil"/>
              <w:left w:val="nil"/>
              <w:bottom w:val="nil"/>
              <w:right w:val="nil"/>
            </w:tcBorders>
            <w:shd w:val="clear" w:color="000000" w:fill="FFFFFF"/>
            <w:noWrap/>
            <w:vAlign w:val="bottom"/>
          </w:tcPr>
          <w:p w14:paraId="075D8AFF" w14:textId="2178852C" w:rsidR="00E1495D" w:rsidRPr="00CA25FD" w:rsidRDefault="00E1495D" w:rsidP="00E1495D">
            <w:pPr>
              <w:jc w:val="right"/>
              <w:rPr>
                <w:rFonts w:eastAsia="Times New Roman" w:cstheme="minorHAnsi"/>
                <w:b/>
                <w:bCs/>
                <w:color w:val="0D0D0D"/>
                <w:sz w:val="18"/>
                <w:szCs w:val="18"/>
              </w:rPr>
            </w:pPr>
            <w:r>
              <w:rPr>
                <w:rFonts w:ascii="Calibri" w:hAnsi="Calibri" w:cs="Calibri"/>
                <w:b/>
                <w:bCs/>
                <w:color w:val="0D0D0D"/>
                <w:sz w:val="18"/>
                <w:szCs w:val="18"/>
              </w:rPr>
              <w:t>10</w:t>
            </w:r>
          </w:p>
        </w:tc>
        <w:tc>
          <w:tcPr>
            <w:tcW w:w="636" w:type="dxa"/>
            <w:tcBorders>
              <w:top w:val="nil"/>
              <w:left w:val="nil"/>
              <w:bottom w:val="nil"/>
              <w:right w:val="nil"/>
            </w:tcBorders>
            <w:shd w:val="clear" w:color="000000" w:fill="BFBFBF"/>
            <w:noWrap/>
            <w:vAlign w:val="bottom"/>
          </w:tcPr>
          <w:p w14:paraId="2AAA12DC" w14:textId="4058A560" w:rsidR="00E1495D" w:rsidRPr="00CA25FD" w:rsidRDefault="00E1495D" w:rsidP="00E1495D">
            <w:pPr>
              <w:jc w:val="right"/>
              <w:rPr>
                <w:rFonts w:eastAsia="Times New Roman" w:cstheme="minorHAnsi"/>
                <w:b/>
                <w:bCs/>
                <w:color w:val="0D0D0D" w:themeColor="text1" w:themeTint="F2"/>
                <w:sz w:val="18"/>
                <w:szCs w:val="18"/>
              </w:rPr>
            </w:pPr>
            <w:r>
              <w:rPr>
                <w:rFonts w:ascii="Calibri" w:hAnsi="Calibri" w:cs="Calibri"/>
                <w:b/>
                <w:bCs/>
                <w:color w:val="0D0D0D"/>
                <w:sz w:val="18"/>
                <w:szCs w:val="18"/>
              </w:rPr>
              <w:t>1%</w:t>
            </w:r>
          </w:p>
        </w:tc>
        <w:tc>
          <w:tcPr>
            <w:tcW w:w="636" w:type="dxa"/>
            <w:tcBorders>
              <w:top w:val="nil"/>
              <w:left w:val="nil"/>
              <w:bottom w:val="nil"/>
              <w:right w:val="nil"/>
            </w:tcBorders>
            <w:shd w:val="clear" w:color="000000" w:fill="FFFFFF"/>
            <w:noWrap/>
            <w:vAlign w:val="bottom"/>
          </w:tcPr>
          <w:p w14:paraId="59A24839" w14:textId="05219110" w:rsidR="00E1495D" w:rsidRPr="00CA25FD" w:rsidRDefault="00E1495D" w:rsidP="00E1495D">
            <w:pPr>
              <w:jc w:val="right"/>
              <w:rPr>
                <w:rFonts w:eastAsia="Times New Roman" w:cstheme="minorHAnsi"/>
                <w:b/>
                <w:bCs/>
                <w:color w:val="0D0D0D"/>
                <w:sz w:val="18"/>
                <w:szCs w:val="18"/>
              </w:rPr>
            </w:pPr>
            <w:r w:rsidRPr="00492085">
              <w:rPr>
                <w:rFonts w:ascii="Calibri" w:hAnsi="Calibri" w:cs="Calibri"/>
                <w:b/>
                <w:bCs/>
                <w:color w:val="0D0D0D"/>
                <w:sz w:val="18"/>
                <w:szCs w:val="18"/>
              </w:rPr>
              <w:t>27</w:t>
            </w:r>
          </w:p>
        </w:tc>
        <w:tc>
          <w:tcPr>
            <w:tcW w:w="636" w:type="dxa"/>
            <w:tcBorders>
              <w:top w:val="nil"/>
              <w:left w:val="nil"/>
              <w:bottom w:val="nil"/>
              <w:right w:val="nil"/>
            </w:tcBorders>
            <w:shd w:val="clear" w:color="000000" w:fill="BFBFBF"/>
            <w:noWrap/>
            <w:vAlign w:val="bottom"/>
          </w:tcPr>
          <w:p w14:paraId="41B99337" w14:textId="2E5C2F3E" w:rsidR="00E1495D" w:rsidRPr="00CA25FD" w:rsidRDefault="00E1495D" w:rsidP="00E1495D">
            <w:pPr>
              <w:jc w:val="right"/>
              <w:rPr>
                <w:rFonts w:eastAsia="Times New Roman" w:cstheme="minorHAnsi"/>
                <w:b/>
                <w:bCs/>
                <w:color w:val="0D0D0D"/>
                <w:sz w:val="18"/>
                <w:szCs w:val="18"/>
              </w:rPr>
            </w:pPr>
            <w:r w:rsidRPr="00492085">
              <w:rPr>
                <w:rFonts w:ascii="Calibri" w:hAnsi="Calibri" w:cs="Calibri"/>
                <w:b/>
                <w:bCs/>
                <w:color w:val="0D0D0D"/>
                <w:sz w:val="18"/>
                <w:szCs w:val="18"/>
              </w:rPr>
              <w:t>3%</w:t>
            </w:r>
          </w:p>
        </w:tc>
        <w:tc>
          <w:tcPr>
            <w:tcW w:w="636" w:type="dxa"/>
            <w:tcBorders>
              <w:top w:val="nil"/>
              <w:left w:val="nil"/>
              <w:bottom w:val="nil"/>
              <w:right w:val="nil"/>
            </w:tcBorders>
            <w:shd w:val="clear" w:color="000000" w:fill="FFFFFF"/>
            <w:noWrap/>
            <w:vAlign w:val="bottom"/>
          </w:tcPr>
          <w:p w14:paraId="07517D06" w14:textId="1AF6514F" w:rsidR="00E1495D" w:rsidRPr="00F50B8A" w:rsidRDefault="00E1495D" w:rsidP="00E1495D">
            <w:pPr>
              <w:jc w:val="right"/>
              <w:rPr>
                <w:rFonts w:eastAsia="Times New Roman" w:cstheme="minorHAnsi"/>
                <w:b/>
                <w:bCs/>
                <w:color w:val="0D0D0D"/>
                <w:sz w:val="18"/>
                <w:szCs w:val="18"/>
              </w:rPr>
            </w:pPr>
            <w:r w:rsidRPr="00F50B8A">
              <w:rPr>
                <w:rFonts w:ascii="Calibri" w:hAnsi="Calibri" w:cs="Calibri"/>
                <w:b/>
                <w:bCs/>
                <w:color w:val="000000"/>
                <w:sz w:val="18"/>
                <w:szCs w:val="18"/>
              </w:rPr>
              <w:t>27</w:t>
            </w:r>
          </w:p>
        </w:tc>
        <w:tc>
          <w:tcPr>
            <w:tcW w:w="750" w:type="dxa"/>
            <w:tcBorders>
              <w:top w:val="nil"/>
              <w:left w:val="nil"/>
              <w:bottom w:val="nil"/>
              <w:right w:val="nil"/>
            </w:tcBorders>
            <w:shd w:val="clear" w:color="000000" w:fill="BFBFBF"/>
            <w:noWrap/>
            <w:vAlign w:val="bottom"/>
          </w:tcPr>
          <w:p w14:paraId="5C361310" w14:textId="598D20A2" w:rsidR="00E1495D" w:rsidRPr="00E1495D" w:rsidRDefault="00E1495D" w:rsidP="00E1495D">
            <w:pPr>
              <w:jc w:val="right"/>
              <w:rPr>
                <w:rFonts w:eastAsia="Times New Roman" w:cstheme="minorHAnsi"/>
                <w:color w:val="0D0D0D"/>
                <w:sz w:val="18"/>
                <w:szCs w:val="18"/>
              </w:rPr>
            </w:pPr>
            <w:r w:rsidRPr="00F46E9D">
              <w:rPr>
                <w:rFonts w:ascii="Calibri" w:hAnsi="Calibri" w:cs="Calibri"/>
                <w:b/>
                <w:bCs/>
                <w:color w:val="000000"/>
                <w:sz w:val="18"/>
                <w:szCs w:val="18"/>
              </w:rPr>
              <w:t>3%</w:t>
            </w:r>
          </w:p>
        </w:tc>
        <w:tc>
          <w:tcPr>
            <w:tcW w:w="636" w:type="dxa"/>
            <w:tcBorders>
              <w:top w:val="nil"/>
              <w:left w:val="nil"/>
              <w:bottom w:val="nil"/>
              <w:right w:val="nil"/>
            </w:tcBorders>
            <w:shd w:val="clear" w:color="000000" w:fill="FFFFFF"/>
            <w:noWrap/>
            <w:vAlign w:val="bottom"/>
          </w:tcPr>
          <w:p w14:paraId="21863C62" w14:textId="1629C6FD" w:rsidR="00E1495D" w:rsidRPr="00F50B8A" w:rsidRDefault="00E1495D" w:rsidP="00E1495D">
            <w:pPr>
              <w:jc w:val="right"/>
              <w:rPr>
                <w:rFonts w:eastAsia="Times New Roman" w:cstheme="minorHAnsi"/>
                <w:b/>
                <w:bCs/>
                <w:color w:val="0D0D0D"/>
                <w:sz w:val="18"/>
                <w:szCs w:val="18"/>
              </w:rPr>
            </w:pPr>
            <w:r w:rsidRPr="00F50B8A">
              <w:rPr>
                <w:rFonts w:ascii="Calibri" w:hAnsi="Calibri" w:cs="Calibri"/>
                <w:b/>
                <w:bCs/>
                <w:color w:val="000000"/>
                <w:sz w:val="18"/>
                <w:szCs w:val="18"/>
              </w:rPr>
              <w:t>58</w:t>
            </w:r>
          </w:p>
        </w:tc>
        <w:tc>
          <w:tcPr>
            <w:tcW w:w="714" w:type="dxa"/>
            <w:tcBorders>
              <w:top w:val="nil"/>
              <w:left w:val="nil"/>
              <w:bottom w:val="nil"/>
              <w:right w:val="nil"/>
            </w:tcBorders>
            <w:shd w:val="clear" w:color="000000" w:fill="BFBFBF"/>
            <w:noWrap/>
            <w:vAlign w:val="bottom"/>
          </w:tcPr>
          <w:p w14:paraId="35C740D6" w14:textId="5BC38D1C" w:rsidR="00E1495D" w:rsidRPr="00E1495D" w:rsidRDefault="00E1495D" w:rsidP="00E1495D">
            <w:pPr>
              <w:jc w:val="right"/>
              <w:rPr>
                <w:rFonts w:eastAsia="Times New Roman" w:cstheme="minorHAnsi"/>
                <w:color w:val="0D0D0D"/>
                <w:sz w:val="18"/>
                <w:szCs w:val="18"/>
              </w:rPr>
            </w:pPr>
            <w:r w:rsidRPr="00F46E9D">
              <w:rPr>
                <w:rFonts w:ascii="Calibri" w:hAnsi="Calibri" w:cs="Calibri"/>
                <w:b/>
                <w:bCs/>
                <w:color w:val="000000"/>
                <w:sz w:val="18"/>
                <w:szCs w:val="18"/>
              </w:rPr>
              <w:t>7%</w:t>
            </w:r>
          </w:p>
        </w:tc>
        <w:tc>
          <w:tcPr>
            <w:tcW w:w="636" w:type="dxa"/>
            <w:tcBorders>
              <w:top w:val="nil"/>
              <w:left w:val="nil"/>
              <w:bottom w:val="nil"/>
              <w:right w:val="nil"/>
            </w:tcBorders>
            <w:shd w:val="clear" w:color="000000" w:fill="FFFFFF"/>
            <w:noWrap/>
            <w:vAlign w:val="bottom"/>
          </w:tcPr>
          <w:p w14:paraId="380F254A" w14:textId="780943A9" w:rsidR="00E1495D" w:rsidRPr="00E1495D" w:rsidRDefault="00E1495D" w:rsidP="00E1495D">
            <w:pPr>
              <w:jc w:val="right"/>
              <w:rPr>
                <w:rFonts w:eastAsia="Times New Roman" w:cstheme="minorHAnsi"/>
                <w:color w:val="0D0D0D"/>
                <w:sz w:val="18"/>
                <w:szCs w:val="18"/>
              </w:rPr>
            </w:pPr>
            <w:r w:rsidRPr="00F46E9D">
              <w:rPr>
                <w:rFonts w:ascii="Calibri" w:hAnsi="Calibri" w:cs="Calibri"/>
                <w:b/>
                <w:bCs/>
                <w:color w:val="000000"/>
                <w:sz w:val="18"/>
                <w:szCs w:val="18"/>
              </w:rPr>
              <w:t xml:space="preserve">40 </w:t>
            </w:r>
          </w:p>
        </w:tc>
        <w:tc>
          <w:tcPr>
            <w:tcW w:w="714" w:type="dxa"/>
            <w:tcBorders>
              <w:top w:val="nil"/>
              <w:left w:val="nil"/>
              <w:bottom w:val="nil"/>
              <w:right w:val="nil"/>
            </w:tcBorders>
            <w:shd w:val="clear" w:color="000000" w:fill="BFBFBF"/>
            <w:noWrap/>
            <w:vAlign w:val="bottom"/>
          </w:tcPr>
          <w:p w14:paraId="38164FAA" w14:textId="16759818" w:rsidR="00E1495D" w:rsidRPr="00E1495D" w:rsidRDefault="00E1495D" w:rsidP="00E1495D">
            <w:pPr>
              <w:jc w:val="right"/>
              <w:rPr>
                <w:rFonts w:eastAsia="Times New Roman" w:cstheme="minorHAnsi"/>
                <w:color w:val="0D0D0D"/>
                <w:sz w:val="18"/>
                <w:szCs w:val="18"/>
              </w:rPr>
            </w:pPr>
            <w:r w:rsidRPr="00F46E9D">
              <w:rPr>
                <w:rFonts w:ascii="Calibri" w:hAnsi="Calibri" w:cs="Calibri"/>
                <w:b/>
                <w:bCs/>
                <w:color w:val="000000"/>
                <w:sz w:val="18"/>
                <w:szCs w:val="18"/>
              </w:rPr>
              <w:t>6%</w:t>
            </w:r>
          </w:p>
        </w:tc>
      </w:tr>
      <w:tr w:rsidR="00E1495D" w:rsidRPr="004E6649" w14:paraId="7CB9A59A" w14:textId="77777777" w:rsidTr="00F46E9D">
        <w:trPr>
          <w:trHeight w:val="80"/>
          <w:jc w:val="center"/>
        </w:trPr>
        <w:tc>
          <w:tcPr>
            <w:tcW w:w="3000" w:type="dxa"/>
            <w:tcBorders>
              <w:top w:val="nil"/>
              <w:left w:val="nil"/>
              <w:bottom w:val="single" w:sz="4" w:space="0" w:color="000000" w:themeColor="text1"/>
              <w:right w:val="nil"/>
            </w:tcBorders>
            <w:shd w:val="clear" w:color="000000" w:fill="FFFFFF"/>
            <w:noWrap/>
            <w:vAlign w:val="bottom"/>
            <w:hideMark/>
          </w:tcPr>
          <w:p w14:paraId="1B4A2C7B" w14:textId="77777777" w:rsidR="00E1495D" w:rsidRPr="004E6649" w:rsidRDefault="00E1495D" w:rsidP="00E1495D">
            <w:pPr>
              <w:rPr>
                <w:rFonts w:eastAsia="Times New Roman" w:cstheme="minorHAnsi"/>
                <w:color w:val="0D0D0D"/>
                <w:sz w:val="18"/>
                <w:szCs w:val="18"/>
              </w:rPr>
            </w:pPr>
            <w:r w:rsidRPr="004E6649">
              <w:rPr>
                <w:rFonts w:eastAsia="Times New Roman" w:cstheme="minorHAnsi"/>
                <w:color w:val="0D0D0D"/>
                <w:sz w:val="18"/>
                <w:szCs w:val="18"/>
              </w:rPr>
              <w:t>Auxiliary enterprises</w:t>
            </w:r>
          </w:p>
        </w:tc>
        <w:tc>
          <w:tcPr>
            <w:tcW w:w="636" w:type="dxa"/>
            <w:tcBorders>
              <w:top w:val="nil"/>
              <w:left w:val="nil"/>
              <w:bottom w:val="single" w:sz="4" w:space="0" w:color="000000" w:themeColor="text1"/>
              <w:right w:val="nil"/>
            </w:tcBorders>
            <w:shd w:val="clear" w:color="000000" w:fill="FFFFFF"/>
            <w:noWrap/>
            <w:vAlign w:val="bottom"/>
          </w:tcPr>
          <w:p w14:paraId="07992B5A" w14:textId="7790F629" w:rsidR="00E1495D" w:rsidRPr="00CA25FD" w:rsidRDefault="00E1495D" w:rsidP="00E1495D">
            <w:pPr>
              <w:jc w:val="right"/>
              <w:rPr>
                <w:rFonts w:eastAsia="Times New Roman" w:cstheme="minorHAnsi"/>
                <w:b/>
                <w:bCs/>
                <w:color w:val="0D0D0D"/>
                <w:sz w:val="18"/>
                <w:szCs w:val="18"/>
              </w:rPr>
            </w:pPr>
            <w:r>
              <w:rPr>
                <w:rFonts w:ascii="Calibri" w:hAnsi="Calibri" w:cs="Calibri"/>
                <w:b/>
                <w:bCs/>
                <w:color w:val="0D0D0D"/>
                <w:sz w:val="18"/>
                <w:szCs w:val="18"/>
              </w:rPr>
              <w:t>77</w:t>
            </w:r>
          </w:p>
        </w:tc>
        <w:tc>
          <w:tcPr>
            <w:tcW w:w="636" w:type="dxa"/>
            <w:tcBorders>
              <w:top w:val="nil"/>
              <w:left w:val="nil"/>
              <w:bottom w:val="single" w:sz="4" w:space="0" w:color="000000" w:themeColor="text1"/>
              <w:right w:val="nil"/>
            </w:tcBorders>
            <w:shd w:val="clear" w:color="000000" w:fill="BFBFBF"/>
            <w:noWrap/>
            <w:vAlign w:val="bottom"/>
          </w:tcPr>
          <w:p w14:paraId="1A20C5CF" w14:textId="2FE7F268" w:rsidR="00E1495D" w:rsidRPr="00CA25FD" w:rsidRDefault="00E1495D" w:rsidP="00E1495D">
            <w:pPr>
              <w:jc w:val="right"/>
              <w:rPr>
                <w:rFonts w:eastAsia="Times New Roman" w:cstheme="minorHAnsi"/>
                <w:b/>
                <w:bCs/>
                <w:color w:val="0D0D0D" w:themeColor="text1" w:themeTint="F2"/>
                <w:sz w:val="18"/>
                <w:szCs w:val="18"/>
              </w:rPr>
            </w:pPr>
            <w:r>
              <w:rPr>
                <w:rFonts w:ascii="Calibri" w:hAnsi="Calibri" w:cs="Calibri"/>
                <w:b/>
                <w:bCs/>
                <w:color w:val="0D0D0D"/>
                <w:sz w:val="18"/>
                <w:szCs w:val="18"/>
              </w:rPr>
              <w:t>9%</w:t>
            </w:r>
          </w:p>
        </w:tc>
        <w:tc>
          <w:tcPr>
            <w:tcW w:w="636" w:type="dxa"/>
            <w:tcBorders>
              <w:top w:val="nil"/>
              <w:left w:val="nil"/>
              <w:bottom w:val="single" w:sz="4" w:space="0" w:color="000000" w:themeColor="text1"/>
              <w:right w:val="nil"/>
            </w:tcBorders>
            <w:shd w:val="clear" w:color="000000" w:fill="FFFFFF"/>
            <w:noWrap/>
            <w:vAlign w:val="bottom"/>
          </w:tcPr>
          <w:p w14:paraId="76514CD2" w14:textId="5A75E824" w:rsidR="00E1495D" w:rsidRPr="00CA25FD" w:rsidRDefault="00E1495D" w:rsidP="00E1495D">
            <w:pPr>
              <w:jc w:val="right"/>
              <w:rPr>
                <w:rFonts w:eastAsia="Times New Roman" w:cstheme="minorHAnsi"/>
                <w:b/>
                <w:bCs/>
                <w:color w:val="0D0D0D"/>
                <w:sz w:val="18"/>
                <w:szCs w:val="18"/>
              </w:rPr>
            </w:pPr>
            <w:r w:rsidRPr="00492085">
              <w:rPr>
                <w:rFonts w:ascii="Calibri" w:hAnsi="Calibri" w:cs="Calibri"/>
                <w:b/>
                <w:bCs/>
                <w:color w:val="0D0D0D"/>
                <w:sz w:val="18"/>
                <w:szCs w:val="18"/>
              </w:rPr>
              <w:t>70</w:t>
            </w:r>
          </w:p>
        </w:tc>
        <w:tc>
          <w:tcPr>
            <w:tcW w:w="636" w:type="dxa"/>
            <w:tcBorders>
              <w:top w:val="nil"/>
              <w:left w:val="nil"/>
              <w:bottom w:val="single" w:sz="4" w:space="0" w:color="000000" w:themeColor="text1"/>
              <w:right w:val="nil"/>
            </w:tcBorders>
            <w:shd w:val="clear" w:color="000000" w:fill="BFBFBF"/>
            <w:noWrap/>
            <w:vAlign w:val="bottom"/>
          </w:tcPr>
          <w:p w14:paraId="27FCFE17" w14:textId="7047B982" w:rsidR="00E1495D" w:rsidRPr="00CA25FD" w:rsidRDefault="00E1495D" w:rsidP="00E1495D">
            <w:pPr>
              <w:jc w:val="right"/>
              <w:rPr>
                <w:rFonts w:eastAsia="Times New Roman" w:cstheme="minorHAnsi"/>
                <w:b/>
                <w:bCs/>
                <w:color w:val="0D0D0D"/>
                <w:sz w:val="18"/>
                <w:szCs w:val="18"/>
              </w:rPr>
            </w:pPr>
            <w:r w:rsidRPr="00492085">
              <w:rPr>
                <w:rFonts w:ascii="Calibri" w:hAnsi="Calibri" w:cs="Calibri"/>
                <w:b/>
                <w:bCs/>
                <w:color w:val="0D0D0D"/>
                <w:sz w:val="18"/>
                <w:szCs w:val="18"/>
              </w:rPr>
              <w:t>8%</w:t>
            </w:r>
          </w:p>
        </w:tc>
        <w:tc>
          <w:tcPr>
            <w:tcW w:w="636" w:type="dxa"/>
            <w:tcBorders>
              <w:top w:val="nil"/>
              <w:left w:val="nil"/>
              <w:bottom w:val="single" w:sz="4" w:space="0" w:color="000000" w:themeColor="text1"/>
              <w:right w:val="nil"/>
            </w:tcBorders>
            <w:shd w:val="clear" w:color="000000" w:fill="FFFFFF"/>
            <w:noWrap/>
            <w:vAlign w:val="bottom"/>
          </w:tcPr>
          <w:p w14:paraId="2FAC7E1D" w14:textId="37495009" w:rsidR="00E1495D" w:rsidRPr="00F50B8A" w:rsidRDefault="00E1495D" w:rsidP="00E1495D">
            <w:pPr>
              <w:jc w:val="right"/>
              <w:rPr>
                <w:rFonts w:eastAsia="Times New Roman" w:cstheme="minorHAnsi"/>
                <w:b/>
                <w:bCs/>
                <w:color w:val="0D0D0D"/>
                <w:sz w:val="18"/>
                <w:szCs w:val="18"/>
              </w:rPr>
            </w:pPr>
            <w:r w:rsidRPr="00F50B8A">
              <w:rPr>
                <w:rFonts w:ascii="Calibri" w:hAnsi="Calibri" w:cs="Calibri"/>
                <w:b/>
                <w:bCs/>
                <w:color w:val="000000"/>
                <w:sz w:val="18"/>
                <w:szCs w:val="18"/>
              </w:rPr>
              <w:t>70</w:t>
            </w:r>
          </w:p>
        </w:tc>
        <w:tc>
          <w:tcPr>
            <w:tcW w:w="750" w:type="dxa"/>
            <w:tcBorders>
              <w:top w:val="nil"/>
              <w:left w:val="nil"/>
              <w:bottom w:val="single" w:sz="4" w:space="0" w:color="000000" w:themeColor="text1"/>
              <w:right w:val="nil"/>
            </w:tcBorders>
            <w:shd w:val="clear" w:color="000000" w:fill="BFBFBF"/>
            <w:noWrap/>
            <w:vAlign w:val="bottom"/>
          </w:tcPr>
          <w:p w14:paraId="076EFC80" w14:textId="2391991B" w:rsidR="00E1495D" w:rsidRPr="00F50B8A" w:rsidRDefault="00E1495D" w:rsidP="00E1495D">
            <w:pPr>
              <w:jc w:val="right"/>
              <w:rPr>
                <w:rFonts w:eastAsia="Times New Roman" w:cstheme="minorHAnsi"/>
                <w:color w:val="0D0D0D"/>
                <w:sz w:val="18"/>
                <w:szCs w:val="18"/>
              </w:rPr>
            </w:pPr>
            <w:r w:rsidRPr="00F50B8A">
              <w:rPr>
                <w:rFonts w:ascii="Calibri" w:hAnsi="Calibri" w:cs="Calibri"/>
                <w:b/>
                <w:bCs/>
                <w:color w:val="000000"/>
                <w:sz w:val="18"/>
                <w:szCs w:val="18"/>
              </w:rPr>
              <w:t>9%</w:t>
            </w:r>
          </w:p>
        </w:tc>
        <w:tc>
          <w:tcPr>
            <w:tcW w:w="636" w:type="dxa"/>
            <w:tcBorders>
              <w:top w:val="nil"/>
              <w:left w:val="nil"/>
              <w:bottom w:val="single" w:sz="4" w:space="0" w:color="000000" w:themeColor="text1"/>
              <w:right w:val="nil"/>
            </w:tcBorders>
            <w:shd w:val="clear" w:color="000000" w:fill="FFFFFF"/>
            <w:noWrap/>
            <w:vAlign w:val="bottom"/>
          </w:tcPr>
          <w:p w14:paraId="47D9656F" w14:textId="23AB7268" w:rsidR="00E1495D" w:rsidRPr="00F50B8A" w:rsidRDefault="00E1495D" w:rsidP="00E1495D">
            <w:pPr>
              <w:jc w:val="right"/>
              <w:rPr>
                <w:rFonts w:eastAsia="Times New Roman" w:cstheme="minorHAnsi"/>
                <w:b/>
                <w:bCs/>
                <w:color w:val="0D0D0D"/>
                <w:sz w:val="18"/>
                <w:szCs w:val="18"/>
              </w:rPr>
            </w:pPr>
            <w:r w:rsidRPr="00F50B8A">
              <w:rPr>
                <w:rFonts w:ascii="Calibri" w:hAnsi="Calibri" w:cs="Calibri"/>
                <w:b/>
                <w:bCs/>
                <w:color w:val="000000"/>
                <w:sz w:val="18"/>
                <w:szCs w:val="18"/>
              </w:rPr>
              <w:t>65</w:t>
            </w:r>
          </w:p>
        </w:tc>
        <w:tc>
          <w:tcPr>
            <w:tcW w:w="714" w:type="dxa"/>
            <w:tcBorders>
              <w:top w:val="nil"/>
              <w:left w:val="nil"/>
              <w:bottom w:val="single" w:sz="4" w:space="0" w:color="000000" w:themeColor="text1"/>
              <w:right w:val="nil"/>
            </w:tcBorders>
            <w:shd w:val="clear" w:color="000000" w:fill="BFBFBF"/>
            <w:noWrap/>
            <w:vAlign w:val="bottom"/>
          </w:tcPr>
          <w:p w14:paraId="7A15303B" w14:textId="0350D235" w:rsidR="00E1495D" w:rsidRPr="00F50B8A" w:rsidRDefault="00E1495D" w:rsidP="00E1495D">
            <w:pPr>
              <w:jc w:val="right"/>
              <w:rPr>
                <w:rFonts w:eastAsia="Times New Roman" w:cstheme="minorHAnsi"/>
                <w:color w:val="0D0D0D"/>
                <w:sz w:val="18"/>
                <w:szCs w:val="18"/>
              </w:rPr>
            </w:pPr>
            <w:r w:rsidRPr="00F50B8A">
              <w:rPr>
                <w:rFonts w:ascii="Calibri" w:hAnsi="Calibri" w:cs="Calibri"/>
                <w:b/>
                <w:bCs/>
                <w:color w:val="000000"/>
                <w:sz w:val="18"/>
                <w:szCs w:val="18"/>
              </w:rPr>
              <w:t>8%</w:t>
            </w:r>
          </w:p>
        </w:tc>
        <w:tc>
          <w:tcPr>
            <w:tcW w:w="636" w:type="dxa"/>
            <w:tcBorders>
              <w:top w:val="nil"/>
              <w:left w:val="nil"/>
              <w:bottom w:val="single" w:sz="4" w:space="0" w:color="000000" w:themeColor="text1"/>
              <w:right w:val="nil"/>
            </w:tcBorders>
            <w:shd w:val="clear" w:color="000000" w:fill="FFFFFF"/>
            <w:noWrap/>
            <w:vAlign w:val="bottom"/>
          </w:tcPr>
          <w:p w14:paraId="19E850A1" w14:textId="4E9CE73C" w:rsidR="00E1495D" w:rsidRPr="00F50B8A" w:rsidRDefault="00E1495D" w:rsidP="00E1495D">
            <w:pPr>
              <w:jc w:val="right"/>
              <w:rPr>
                <w:rFonts w:eastAsia="Times New Roman" w:cstheme="minorHAnsi"/>
                <w:color w:val="0D0D0D"/>
                <w:sz w:val="18"/>
                <w:szCs w:val="18"/>
              </w:rPr>
            </w:pPr>
            <w:r w:rsidRPr="00F50B8A">
              <w:rPr>
                <w:rFonts w:ascii="Calibri" w:hAnsi="Calibri" w:cs="Calibri"/>
                <w:b/>
                <w:bCs/>
                <w:color w:val="000000"/>
                <w:sz w:val="18"/>
                <w:szCs w:val="18"/>
              </w:rPr>
              <w:t xml:space="preserve">57 </w:t>
            </w:r>
          </w:p>
        </w:tc>
        <w:tc>
          <w:tcPr>
            <w:tcW w:w="714" w:type="dxa"/>
            <w:tcBorders>
              <w:top w:val="nil"/>
              <w:left w:val="nil"/>
              <w:bottom w:val="single" w:sz="4" w:space="0" w:color="000000" w:themeColor="text1"/>
              <w:right w:val="nil"/>
            </w:tcBorders>
            <w:shd w:val="clear" w:color="000000" w:fill="BFBFBF"/>
            <w:noWrap/>
            <w:vAlign w:val="bottom"/>
          </w:tcPr>
          <w:p w14:paraId="0069FA72" w14:textId="745FDA8A" w:rsidR="00E1495D" w:rsidRPr="00F50B8A" w:rsidRDefault="00E1495D" w:rsidP="00E1495D">
            <w:pPr>
              <w:jc w:val="right"/>
              <w:rPr>
                <w:rFonts w:eastAsia="Times New Roman" w:cstheme="minorHAnsi"/>
                <w:color w:val="0D0D0D"/>
                <w:sz w:val="18"/>
                <w:szCs w:val="18"/>
              </w:rPr>
            </w:pPr>
            <w:r w:rsidRPr="00F50B8A">
              <w:rPr>
                <w:rFonts w:ascii="Calibri" w:hAnsi="Calibri" w:cs="Calibri"/>
                <w:b/>
                <w:bCs/>
                <w:color w:val="000000"/>
                <w:sz w:val="18"/>
                <w:szCs w:val="18"/>
              </w:rPr>
              <w:t>8%</w:t>
            </w:r>
          </w:p>
        </w:tc>
      </w:tr>
      <w:tr w:rsidR="00E1495D" w:rsidRPr="004E6649" w14:paraId="60B66989" w14:textId="77777777" w:rsidTr="00F46E9D">
        <w:trPr>
          <w:trHeight w:val="70"/>
          <w:jc w:val="center"/>
        </w:trPr>
        <w:tc>
          <w:tcPr>
            <w:tcW w:w="3000" w:type="dxa"/>
            <w:tcBorders>
              <w:top w:val="single" w:sz="4" w:space="0" w:color="000000" w:themeColor="text1"/>
              <w:left w:val="nil"/>
              <w:bottom w:val="double" w:sz="4" w:space="0" w:color="000000" w:themeColor="text1"/>
              <w:right w:val="nil"/>
            </w:tcBorders>
            <w:shd w:val="clear" w:color="000000" w:fill="FFFFFF"/>
            <w:noWrap/>
            <w:vAlign w:val="bottom"/>
            <w:hideMark/>
          </w:tcPr>
          <w:p w14:paraId="7912FC01" w14:textId="77777777" w:rsidR="00E1495D" w:rsidRPr="004E6649" w:rsidRDefault="00E1495D" w:rsidP="00E1495D">
            <w:pPr>
              <w:ind w:firstLineChars="100" w:firstLine="181"/>
              <w:rPr>
                <w:rFonts w:eastAsia="Times New Roman" w:cstheme="minorHAnsi"/>
                <w:b/>
                <w:bCs/>
                <w:color w:val="0D0D0D"/>
                <w:sz w:val="18"/>
                <w:szCs w:val="18"/>
              </w:rPr>
            </w:pPr>
            <w:r w:rsidRPr="004E6649">
              <w:rPr>
                <w:rFonts w:eastAsia="Times New Roman" w:cstheme="minorHAnsi"/>
                <w:b/>
                <w:bCs/>
                <w:color w:val="0D0D0D"/>
                <w:sz w:val="18"/>
                <w:szCs w:val="18"/>
              </w:rPr>
              <w:t>Total Operating Expenses</w:t>
            </w:r>
          </w:p>
        </w:tc>
        <w:tc>
          <w:tcPr>
            <w:tcW w:w="636" w:type="dxa"/>
            <w:tcBorders>
              <w:top w:val="single" w:sz="4" w:space="0" w:color="000000" w:themeColor="text1"/>
              <w:left w:val="nil"/>
              <w:bottom w:val="double" w:sz="4" w:space="0" w:color="000000" w:themeColor="text1"/>
              <w:right w:val="nil"/>
            </w:tcBorders>
            <w:shd w:val="clear" w:color="000000" w:fill="FFFFFF"/>
            <w:noWrap/>
            <w:vAlign w:val="bottom"/>
          </w:tcPr>
          <w:p w14:paraId="685AB2B7" w14:textId="3E684AE1" w:rsidR="00E1495D" w:rsidRPr="00CA25FD" w:rsidRDefault="00E1495D" w:rsidP="00E1495D">
            <w:pPr>
              <w:jc w:val="right"/>
              <w:rPr>
                <w:rFonts w:eastAsia="Times New Roman" w:cstheme="minorHAnsi"/>
                <w:b/>
                <w:bCs/>
                <w:color w:val="0D0D0D"/>
                <w:sz w:val="18"/>
                <w:szCs w:val="18"/>
              </w:rPr>
            </w:pPr>
            <w:r>
              <w:rPr>
                <w:rFonts w:ascii="Calibri" w:hAnsi="Calibri" w:cs="Calibri"/>
                <w:b/>
                <w:bCs/>
                <w:color w:val="0D0D0D"/>
                <w:sz w:val="18"/>
                <w:szCs w:val="18"/>
              </w:rPr>
              <w:t>$885</w:t>
            </w:r>
          </w:p>
        </w:tc>
        <w:tc>
          <w:tcPr>
            <w:tcW w:w="636" w:type="dxa"/>
            <w:tcBorders>
              <w:top w:val="single" w:sz="4" w:space="0" w:color="000000" w:themeColor="text1"/>
              <w:left w:val="nil"/>
              <w:bottom w:val="double" w:sz="4" w:space="0" w:color="000000" w:themeColor="text1"/>
              <w:right w:val="nil"/>
            </w:tcBorders>
            <w:shd w:val="clear" w:color="000000" w:fill="BFBFBF"/>
            <w:noWrap/>
            <w:vAlign w:val="bottom"/>
          </w:tcPr>
          <w:p w14:paraId="7A86F629" w14:textId="573ABDB2" w:rsidR="00E1495D" w:rsidRPr="00CA25FD" w:rsidRDefault="00E1495D" w:rsidP="00E1495D">
            <w:pPr>
              <w:jc w:val="right"/>
              <w:rPr>
                <w:rFonts w:eastAsia="Times New Roman" w:cstheme="minorHAnsi"/>
                <w:b/>
                <w:bCs/>
                <w:color w:val="0D0D0D"/>
                <w:sz w:val="18"/>
                <w:szCs w:val="18"/>
              </w:rPr>
            </w:pPr>
            <w:r>
              <w:rPr>
                <w:rFonts w:ascii="Calibri" w:hAnsi="Calibri" w:cs="Calibri"/>
                <w:b/>
                <w:bCs/>
                <w:color w:val="0D0D0D"/>
                <w:sz w:val="18"/>
                <w:szCs w:val="18"/>
              </w:rPr>
              <w:t>100%</w:t>
            </w:r>
          </w:p>
        </w:tc>
        <w:tc>
          <w:tcPr>
            <w:tcW w:w="636" w:type="dxa"/>
            <w:tcBorders>
              <w:top w:val="single" w:sz="4" w:space="0" w:color="000000" w:themeColor="text1"/>
              <w:left w:val="nil"/>
              <w:bottom w:val="double" w:sz="4" w:space="0" w:color="000000" w:themeColor="text1"/>
              <w:right w:val="nil"/>
            </w:tcBorders>
            <w:shd w:val="clear" w:color="000000" w:fill="FFFFFF"/>
            <w:noWrap/>
            <w:vAlign w:val="bottom"/>
          </w:tcPr>
          <w:p w14:paraId="269E8160" w14:textId="169541B0" w:rsidR="00E1495D" w:rsidRPr="00CA25FD" w:rsidRDefault="00E1495D" w:rsidP="00E1495D">
            <w:pPr>
              <w:jc w:val="right"/>
              <w:rPr>
                <w:rFonts w:eastAsia="Times New Roman" w:cstheme="minorHAnsi"/>
                <w:b/>
                <w:bCs/>
                <w:color w:val="0D0D0D"/>
                <w:sz w:val="18"/>
                <w:szCs w:val="18"/>
              </w:rPr>
            </w:pPr>
            <w:r w:rsidRPr="00492085">
              <w:rPr>
                <w:rFonts w:ascii="Calibri" w:hAnsi="Calibri" w:cs="Calibri"/>
                <w:b/>
                <w:bCs/>
                <w:color w:val="0D0D0D"/>
                <w:sz w:val="18"/>
                <w:szCs w:val="18"/>
              </w:rPr>
              <w:t>$</w:t>
            </w:r>
            <w:r>
              <w:rPr>
                <w:rFonts w:ascii="Calibri" w:hAnsi="Calibri" w:cs="Calibri"/>
                <w:b/>
                <w:bCs/>
                <w:color w:val="0D0D0D"/>
                <w:sz w:val="18"/>
                <w:szCs w:val="18"/>
              </w:rPr>
              <w:t>850</w:t>
            </w:r>
          </w:p>
        </w:tc>
        <w:tc>
          <w:tcPr>
            <w:tcW w:w="636" w:type="dxa"/>
            <w:tcBorders>
              <w:top w:val="single" w:sz="4" w:space="0" w:color="000000" w:themeColor="text1"/>
              <w:left w:val="nil"/>
              <w:bottom w:val="double" w:sz="4" w:space="0" w:color="000000" w:themeColor="text1"/>
              <w:right w:val="nil"/>
            </w:tcBorders>
            <w:shd w:val="clear" w:color="000000" w:fill="BFBFBF"/>
            <w:noWrap/>
            <w:vAlign w:val="bottom"/>
          </w:tcPr>
          <w:p w14:paraId="29D60ABB" w14:textId="2873D3B0" w:rsidR="00E1495D" w:rsidRPr="00CA25FD" w:rsidRDefault="00E1495D" w:rsidP="00E1495D">
            <w:pPr>
              <w:jc w:val="right"/>
              <w:rPr>
                <w:rFonts w:eastAsia="Times New Roman" w:cstheme="minorHAnsi"/>
                <w:b/>
                <w:bCs/>
                <w:color w:val="0D0D0D"/>
                <w:sz w:val="18"/>
                <w:szCs w:val="18"/>
              </w:rPr>
            </w:pPr>
            <w:r w:rsidRPr="00492085">
              <w:rPr>
                <w:rFonts w:ascii="Calibri" w:hAnsi="Calibri" w:cs="Calibri"/>
                <w:b/>
                <w:bCs/>
                <w:color w:val="0D0D0D"/>
                <w:sz w:val="18"/>
                <w:szCs w:val="18"/>
              </w:rPr>
              <w:t>100%</w:t>
            </w:r>
          </w:p>
        </w:tc>
        <w:tc>
          <w:tcPr>
            <w:tcW w:w="636" w:type="dxa"/>
            <w:tcBorders>
              <w:top w:val="single" w:sz="4" w:space="0" w:color="000000" w:themeColor="text1"/>
              <w:left w:val="nil"/>
              <w:bottom w:val="double" w:sz="4" w:space="0" w:color="000000" w:themeColor="text1"/>
              <w:right w:val="nil"/>
            </w:tcBorders>
            <w:shd w:val="clear" w:color="000000" w:fill="FFFFFF"/>
            <w:noWrap/>
            <w:vAlign w:val="bottom"/>
          </w:tcPr>
          <w:p w14:paraId="13666D05" w14:textId="57BB2AF2" w:rsidR="00E1495D" w:rsidRPr="00F50B8A" w:rsidRDefault="00E1495D" w:rsidP="00E1495D">
            <w:pPr>
              <w:jc w:val="right"/>
              <w:rPr>
                <w:rFonts w:eastAsia="Times New Roman" w:cstheme="minorHAnsi"/>
                <w:b/>
                <w:bCs/>
                <w:color w:val="0D0D0D"/>
                <w:sz w:val="18"/>
                <w:szCs w:val="18"/>
              </w:rPr>
            </w:pPr>
            <w:r w:rsidRPr="00F50B8A">
              <w:rPr>
                <w:rFonts w:ascii="Calibri" w:hAnsi="Calibri" w:cs="Calibri"/>
                <w:b/>
                <w:bCs/>
                <w:color w:val="000000"/>
                <w:sz w:val="18"/>
                <w:szCs w:val="18"/>
              </w:rPr>
              <w:t xml:space="preserve">$810 </w:t>
            </w:r>
          </w:p>
        </w:tc>
        <w:tc>
          <w:tcPr>
            <w:tcW w:w="750" w:type="dxa"/>
            <w:tcBorders>
              <w:top w:val="single" w:sz="4" w:space="0" w:color="000000" w:themeColor="text1"/>
              <w:left w:val="nil"/>
              <w:bottom w:val="double" w:sz="4" w:space="0" w:color="000000" w:themeColor="text1"/>
              <w:right w:val="nil"/>
            </w:tcBorders>
            <w:shd w:val="clear" w:color="000000" w:fill="BFBFBF"/>
            <w:noWrap/>
            <w:vAlign w:val="bottom"/>
          </w:tcPr>
          <w:p w14:paraId="5B711E6C" w14:textId="1C4FC6A3" w:rsidR="00E1495D" w:rsidRPr="00F50B8A" w:rsidRDefault="00E1495D" w:rsidP="00E1495D">
            <w:pPr>
              <w:jc w:val="right"/>
              <w:rPr>
                <w:rFonts w:eastAsia="Times New Roman" w:cstheme="minorHAnsi"/>
                <w:color w:val="0D0D0D"/>
                <w:sz w:val="18"/>
                <w:szCs w:val="18"/>
              </w:rPr>
            </w:pPr>
            <w:r w:rsidRPr="00F50B8A">
              <w:rPr>
                <w:rFonts w:ascii="Calibri" w:hAnsi="Calibri" w:cs="Calibri"/>
                <w:b/>
                <w:bCs/>
                <w:color w:val="000000"/>
                <w:sz w:val="18"/>
                <w:szCs w:val="18"/>
              </w:rPr>
              <w:t>100%</w:t>
            </w:r>
          </w:p>
        </w:tc>
        <w:tc>
          <w:tcPr>
            <w:tcW w:w="636" w:type="dxa"/>
            <w:tcBorders>
              <w:top w:val="single" w:sz="4" w:space="0" w:color="000000" w:themeColor="text1"/>
              <w:left w:val="nil"/>
              <w:bottom w:val="double" w:sz="4" w:space="0" w:color="000000" w:themeColor="text1"/>
              <w:right w:val="nil"/>
            </w:tcBorders>
            <w:shd w:val="clear" w:color="000000" w:fill="FFFFFF"/>
            <w:noWrap/>
            <w:vAlign w:val="bottom"/>
          </w:tcPr>
          <w:p w14:paraId="1DA90BA0" w14:textId="3B842146" w:rsidR="00E1495D" w:rsidRPr="00F50B8A" w:rsidRDefault="00E1495D" w:rsidP="00E1495D">
            <w:pPr>
              <w:jc w:val="right"/>
              <w:rPr>
                <w:rFonts w:eastAsia="Times New Roman" w:cstheme="minorHAnsi"/>
                <w:color w:val="0D0D0D"/>
                <w:sz w:val="18"/>
                <w:szCs w:val="18"/>
              </w:rPr>
            </w:pPr>
            <w:r w:rsidRPr="00F50B8A">
              <w:rPr>
                <w:rFonts w:ascii="Calibri" w:hAnsi="Calibri" w:cs="Calibri"/>
                <w:b/>
                <w:bCs/>
                <w:color w:val="000000"/>
                <w:sz w:val="18"/>
                <w:szCs w:val="18"/>
              </w:rPr>
              <w:t xml:space="preserve">$811 </w:t>
            </w:r>
          </w:p>
        </w:tc>
        <w:tc>
          <w:tcPr>
            <w:tcW w:w="714" w:type="dxa"/>
            <w:tcBorders>
              <w:top w:val="single" w:sz="4" w:space="0" w:color="000000" w:themeColor="text1"/>
              <w:left w:val="nil"/>
              <w:bottom w:val="double" w:sz="4" w:space="0" w:color="000000" w:themeColor="text1"/>
              <w:right w:val="nil"/>
            </w:tcBorders>
            <w:shd w:val="clear" w:color="000000" w:fill="BFBFBF"/>
            <w:noWrap/>
            <w:vAlign w:val="bottom"/>
          </w:tcPr>
          <w:p w14:paraId="792FAC4C" w14:textId="56FD4DE6" w:rsidR="00E1495D" w:rsidRPr="00F50B8A" w:rsidRDefault="00E1495D" w:rsidP="00E1495D">
            <w:pPr>
              <w:jc w:val="right"/>
              <w:rPr>
                <w:rFonts w:eastAsia="Times New Roman" w:cstheme="minorHAnsi"/>
                <w:color w:val="0D0D0D"/>
                <w:sz w:val="18"/>
                <w:szCs w:val="18"/>
              </w:rPr>
            </w:pPr>
            <w:r w:rsidRPr="00F50B8A">
              <w:rPr>
                <w:rFonts w:ascii="Calibri" w:hAnsi="Calibri" w:cs="Calibri"/>
                <w:b/>
                <w:bCs/>
                <w:color w:val="000000"/>
                <w:sz w:val="18"/>
                <w:szCs w:val="18"/>
              </w:rPr>
              <w:t>100%</w:t>
            </w:r>
          </w:p>
        </w:tc>
        <w:tc>
          <w:tcPr>
            <w:tcW w:w="636" w:type="dxa"/>
            <w:tcBorders>
              <w:top w:val="single" w:sz="4" w:space="0" w:color="000000" w:themeColor="text1"/>
              <w:left w:val="nil"/>
              <w:bottom w:val="double" w:sz="4" w:space="0" w:color="000000" w:themeColor="text1"/>
              <w:right w:val="nil"/>
            </w:tcBorders>
            <w:shd w:val="clear" w:color="000000" w:fill="FFFFFF"/>
            <w:noWrap/>
            <w:vAlign w:val="bottom"/>
          </w:tcPr>
          <w:p w14:paraId="34F1E223" w14:textId="4EA257BB" w:rsidR="00E1495D" w:rsidRPr="00F50B8A" w:rsidRDefault="00E1495D" w:rsidP="00E1495D">
            <w:pPr>
              <w:jc w:val="right"/>
              <w:rPr>
                <w:rFonts w:eastAsia="Times New Roman" w:cstheme="minorHAnsi"/>
                <w:color w:val="0D0D0D"/>
                <w:sz w:val="18"/>
                <w:szCs w:val="18"/>
              </w:rPr>
            </w:pPr>
            <w:r w:rsidRPr="00F50B8A">
              <w:rPr>
                <w:rFonts w:ascii="Calibri" w:hAnsi="Calibri" w:cs="Calibri"/>
                <w:b/>
                <w:bCs/>
                <w:color w:val="000000"/>
                <w:sz w:val="18"/>
                <w:szCs w:val="18"/>
              </w:rPr>
              <w:t xml:space="preserve">$680 </w:t>
            </w:r>
          </w:p>
        </w:tc>
        <w:tc>
          <w:tcPr>
            <w:tcW w:w="714" w:type="dxa"/>
            <w:tcBorders>
              <w:top w:val="single" w:sz="4" w:space="0" w:color="000000" w:themeColor="text1"/>
              <w:left w:val="nil"/>
              <w:bottom w:val="double" w:sz="4" w:space="0" w:color="000000" w:themeColor="text1"/>
              <w:right w:val="nil"/>
            </w:tcBorders>
            <w:shd w:val="clear" w:color="000000" w:fill="BFBFBF"/>
            <w:noWrap/>
            <w:vAlign w:val="bottom"/>
          </w:tcPr>
          <w:p w14:paraId="3E7D1C60" w14:textId="450C7F58" w:rsidR="00E1495D" w:rsidRPr="00F50B8A" w:rsidRDefault="00E1495D" w:rsidP="00E1495D">
            <w:pPr>
              <w:jc w:val="right"/>
              <w:rPr>
                <w:rFonts w:eastAsia="Times New Roman" w:cstheme="minorHAnsi"/>
                <w:color w:val="0D0D0D"/>
                <w:sz w:val="18"/>
                <w:szCs w:val="18"/>
              </w:rPr>
            </w:pPr>
            <w:r w:rsidRPr="00F50B8A">
              <w:rPr>
                <w:rFonts w:ascii="Calibri" w:hAnsi="Calibri" w:cs="Calibri"/>
                <w:b/>
                <w:bCs/>
                <w:color w:val="000000"/>
                <w:sz w:val="18"/>
                <w:szCs w:val="18"/>
              </w:rPr>
              <w:t>100%</w:t>
            </w:r>
          </w:p>
        </w:tc>
      </w:tr>
    </w:tbl>
    <w:p w14:paraId="2DE68FCD" w14:textId="5790F165" w:rsidR="008D6D27" w:rsidRDefault="008D6D27" w:rsidP="0048617B">
      <w:pPr>
        <w:jc w:val="center"/>
        <w:rPr>
          <w:rFonts w:eastAsia="Times New Roman" w:cstheme="minorHAnsi"/>
          <w:b/>
          <w:bCs/>
          <w:color w:val="0D0D0D" w:themeColor="text1" w:themeTint="F2"/>
          <w:sz w:val="20"/>
          <w:szCs w:val="20"/>
        </w:rPr>
      </w:pPr>
    </w:p>
    <w:p w14:paraId="6E899D29" w14:textId="77777777" w:rsidR="008D6D27" w:rsidRDefault="008D6D27">
      <w:pPr>
        <w:spacing w:after="160" w:line="259" w:lineRule="auto"/>
        <w:rPr>
          <w:rFonts w:eastAsia="Times New Roman" w:cstheme="minorHAnsi"/>
          <w:b/>
          <w:bCs/>
          <w:color w:val="0D0D0D" w:themeColor="text1" w:themeTint="F2"/>
          <w:sz w:val="20"/>
          <w:szCs w:val="20"/>
        </w:rPr>
      </w:pPr>
      <w:r>
        <w:rPr>
          <w:rFonts w:eastAsia="Times New Roman" w:cstheme="minorHAnsi"/>
          <w:b/>
          <w:bCs/>
          <w:color w:val="0D0D0D" w:themeColor="text1" w:themeTint="F2"/>
          <w:sz w:val="20"/>
          <w:szCs w:val="20"/>
        </w:rPr>
        <w:br w:type="page"/>
      </w:r>
    </w:p>
    <w:p w14:paraId="01276F49" w14:textId="2BAF742E" w:rsidR="00A83362" w:rsidRPr="004E6649" w:rsidRDefault="00A83362" w:rsidP="00A83362">
      <w:pPr>
        <w:jc w:val="center"/>
        <w:rPr>
          <w:rFonts w:eastAsia="Times New Roman" w:cstheme="minorHAnsi"/>
          <w:b/>
          <w:bCs/>
          <w:color w:val="0D0D0D" w:themeColor="text1" w:themeTint="F2"/>
          <w:sz w:val="24"/>
        </w:rPr>
      </w:pPr>
      <w:r w:rsidRPr="004E6649">
        <w:rPr>
          <w:rFonts w:eastAsia="Times New Roman" w:cstheme="minorHAnsi"/>
          <w:b/>
          <w:bCs/>
          <w:color w:val="0D0D0D" w:themeColor="text1" w:themeTint="F2"/>
          <w:sz w:val="24"/>
        </w:rPr>
        <w:lastRenderedPageBreak/>
        <w:t>Table 7: Total Expenses by Natural Classification</w:t>
      </w:r>
    </w:p>
    <w:p w14:paraId="60E505C1" w14:textId="77777777" w:rsidR="00A83362" w:rsidRPr="004E6649" w:rsidRDefault="00A83362" w:rsidP="00A83362">
      <w:pPr>
        <w:jc w:val="center"/>
        <w:rPr>
          <w:rFonts w:eastAsia="Times New Roman" w:cstheme="minorHAnsi"/>
          <w:b/>
          <w:bCs/>
          <w:color w:val="0D0D0D" w:themeColor="text1" w:themeTint="F2"/>
          <w:sz w:val="24"/>
        </w:rPr>
      </w:pPr>
      <w:r w:rsidRPr="004E6649">
        <w:rPr>
          <w:rFonts w:eastAsia="Times New Roman" w:cstheme="minorHAnsi"/>
          <w:b/>
          <w:bCs/>
          <w:color w:val="0D0D0D" w:themeColor="text1" w:themeTint="F2"/>
          <w:sz w:val="24"/>
        </w:rPr>
        <w:t>For the Years Ended June 30</w:t>
      </w:r>
    </w:p>
    <w:p w14:paraId="4D1AACD5" w14:textId="77777777" w:rsidR="00A83362" w:rsidRDefault="00A83362" w:rsidP="00996B41">
      <w:pPr>
        <w:jc w:val="center"/>
        <w:rPr>
          <w:rFonts w:eastAsia="Times New Roman" w:cstheme="minorHAnsi"/>
          <w:b/>
          <w:bCs/>
          <w:color w:val="0D0D0D" w:themeColor="text1" w:themeTint="F2"/>
          <w:sz w:val="20"/>
          <w:szCs w:val="18"/>
        </w:rPr>
      </w:pPr>
      <w:r w:rsidRPr="004E6649">
        <w:rPr>
          <w:rFonts w:eastAsia="Times New Roman" w:cstheme="minorHAnsi"/>
          <w:b/>
          <w:bCs/>
          <w:color w:val="0D0D0D" w:themeColor="text1" w:themeTint="F2"/>
          <w:sz w:val="20"/>
          <w:szCs w:val="18"/>
        </w:rPr>
        <w:t>(In millions)</w:t>
      </w:r>
    </w:p>
    <w:p w14:paraId="1945821B" w14:textId="77777777" w:rsidR="005A5E5E" w:rsidRPr="004E6649" w:rsidRDefault="005A5E5E" w:rsidP="00996B41">
      <w:pPr>
        <w:jc w:val="center"/>
        <w:rPr>
          <w:rFonts w:eastAsia="Times New Roman" w:cstheme="minorHAnsi"/>
          <w:b/>
          <w:bCs/>
          <w:color w:val="0D0D0D" w:themeColor="text1" w:themeTint="F2"/>
          <w:sz w:val="20"/>
          <w:szCs w:val="18"/>
        </w:rPr>
      </w:pPr>
    </w:p>
    <w:tbl>
      <w:tblPr>
        <w:tblW w:w="9270" w:type="dxa"/>
        <w:jc w:val="center"/>
        <w:tblLook w:val="04A0" w:firstRow="1" w:lastRow="0" w:firstColumn="1" w:lastColumn="0" w:noHBand="0" w:noVBand="1"/>
      </w:tblPr>
      <w:tblGrid>
        <w:gridCol w:w="2831"/>
        <w:gridCol w:w="755"/>
        <w:gridCol w:w="621"/>
        <w:gridCol w:w="764"/>
        <w:gridCol w:w="621"/>
        <w:gridCol w:w="609"/>
        <w:gridCol w:w="619"/>
        <w:gridCol w:w="609"/>
        <w:gridCol w:w="649"/>
        <w:gridCol w:w="609"/>
        <w:gridCol w:w="619"/>
      </w:tblGrid>
      <w:tr w:rsidR="0059182A" w:rsidRPr="004E6649" w14:paraId="5C79EB13" w14:textId="77777777" w:rsidTr="0059182A">
        <w:trPr>
          <w:trHeight w:val="207"/>
          <w:jc w:val="center"/>
        </w:trPr>
        <w:tc>
          <w:tcPr>
            <w:tcW w:w="2831" w:type="dxa"/>
            <w:tcBorders>
              <w:top w:val="nil"/>
              <w:left w:val="nil"/>
              <w:bottom w:val="single" w:sz="12" w:space="0" w:color="000000" w:themeColor="text1"/>
              <w:right w:val="nil"/>
            </w:tcBorders>
            <w:shd w:val="clear" w:color="000000" w:fill="FFFFFF"/>
            <w:noWrap/>
            <w:vAlign w:val="bottom"/>
            <w:hideMark/>
          </w:tcPr>
          <w:p w14:paraId="71180F64" w14:textId="77777777" w:rsidR="00E003F0" w:rsidRPr="00996B41" w:rsidRDefault="00E003F0" w:rsidP="00E003F0">
            <w:pPr>
              <w:rPr>
                <w:rFonts w:eastAsia="Times New Roman" w:cstheme="minorHAnsi"/>
                <w:b/>
                <w:bCs/>
                <w:color w:val="0D0D0D"/>
                <w:sz w:val="18"/>
                <w:szCs w:val="18"/>
              </w:rPr>
            </w:pPr>
            <w:r w:rsidRPr="00996B41">
              <w:rPr>
                <w:rFonts w:eastAsia="Times New Roman" w:cstheme="minorHAnsi"/>
                <w:b/>
                <w:bCs/>
                <w:color w:val="0D0D0D"/>
                <w:sz w:val="18"/>
                <w:szCs w:val="18"/>
              </w:rPr>
              <w:t> </w:t>
            </w:r>
          </w:p>
        </w:tc>
        <w:tc>
          <w:tcPr>
            <w:tcW w:w="1376" w:type="dxa"/>
            <w:gridSpan w:val="2"/>
            <w:tcBorders>
              <w:top w:val="nil"/>
              <w:left w:val="nil"/>
              <w:bottom w:val="single" w:sz="12" w:space="0" w:color="000000" w:themeColor="text1"/>
              <w:right w:val="nil"/>
            </w:tcBorders>
            <w:shd w:val="clear" w:color="000000" w:fill="FFFFFF"/>
            <w:noWrap/>
            <w:vAlign w:val="bottom"/>
            <w:hideMark/>
          </w:tcPr>
          <w:p w14:paraId="43135E5F" w14:textId="3DFAB541" w:rsidR="00E003F0" w:rsidRPr="00996B41" w:rsidRDefault="00981DEF" w:rsidP="00E003F0">
            <w:pPr>
              <w:jc w:val="center"/>
              <w:rPr>
                <w:rFonts w:eastAsia="Times New Roman" w:cstheme="minorHAnsi"/>
                <w:b/>
                <w:bCs/>
                <w:color w:val="0D0D0D"/>
                <w:sz w:val="18"/>
                <w:szCs w:val="18"/>
              </w:rPr>
            </w:pPr>
            <w:r w:rsidRPr="00996B41">
              <w:rPr>
                <w:rFonts w:eastAsia="Times New Roman" w:cstheme="minorHAnsi"/>
                <w:b/>
                <w:bCs/>
                <w:color w:val="0D0D0D"/>
                <w:sz w:val="18"/>
                <w:szCs w:val="18"/>
              </w:rPr>
              <w:t>202</w:t>
            </w:r>
            <w:r>
              <w:rPr>
                <w:rFonts w:eastAsia="Times New Roman" w:cstheme="minorHAnsi"/>
                <w:b/>
                <w:bCs/>
                <w:color w:val="0D0D0D"/>
                <w:sz w:val="18"/>
                <w:szCs w:val="18"/>
              </w:rPr>
              <w:t>5</w:t>
            </w:r>
          </w:p>
        </w:tc>
        <w:tc>
          <w:tcPr>
            <w:tcW w:w="1385" w:type="dxa"/>
            <w:gridSpan w:val="2"/>
            <w:tcBorders>
              <w:top w:val="nil"/>
              <w:left w:val="nil"/>
              <w:bottom w:val="single" w:sz="12" w:space="0" w:color="000000" w:themeColor="text1"/>
              <w:right w:val="nil"/>
            </w:tcBorders>
            <w:shd w:val="clear" w:color="000000" w:fill="FFFFFF"/>
            <w:vAlign w:val="bottom"/>
            <w:hideMark/>
          </w:tcPr>
          <w:p w14:paraId="1BE12650" w14:textId="77777777" w:rsidR="0059182A" w:rsidRDefault="0059182A" w:rsidP="00E003F0">
            <w:pPr>
              <w:jc w:val="center"/>
              <w:rPr>
                <w:rFonts w:eastAsia="Times New Roman" w:cstheme="minorHAnsi"/>
                <w:b/>
                <w:bCs/>
                <w:color w:val="0D0D0D"/>
                <w:sz w:val="18"/>
                <w:szCs w:val="18"/>
              </w:rPr>
            </w:pPr>
            <w:r>
              <w:rPr>
                <w:rFonts w:eastAsia="Times New Roman" w:cstheme="minorHAnsi"/>
                <w:b/>
                <w:bCs/>
                <w:color w:val="0D0D0D"/>
                <w:sz w:val="18"/>
                <w:szCs w:val="18"/>
              </w:rPr>
              <w:t xml:space="preserve">Restated </w:t>
            </w:r>
          </w:p>
          <w:p w14:paraId="591843D8" w14:textId="17E0887F" w:rsidR="00E003F0" w:rsidRPr="00996B41" w:rsidRDefault="00981DEF" w:rsidP="00E003F0">
            <w:pPr>
              <w:jc w:val="center"/>
              <w:rPr>
                <w:rFonts w:eastAsia="Times New Roman" w:cstheme="minorHAnsi"/>
                <w:b/>
                <w:bCs/>
                <w:color w:val="0D0D0D"/>
                <w:sz w:val="18"/>
                <w:szCs w:val="18"/>
              </w:rPr>
            </w:pPr>
            <w:r w:rsidRPr="00996B41">
              <w:rPr>
                <w:rFonts w:eastAsia="Times New Roman" w:cstheme="minorHAnsi"/>
                <w:b/>
                <w:bCs/>
                <w:color w:val="0D0D0D"/>
                <w:sz w:val="18"/>
                <w:szCs w:val="18"/>
              </w:rPr>
              <w:t>202</w:t>
            </w:r>
            <w:r>
              <w:rPr>
                <w:rFonts w:eastAsia="Times New Roman" w:cstheme="minorHAnsi"/>
                <w:b/>
                <w:bCs/>
                <w:color w:val="0D0D0D"/>
                <w:sz w:val="18"/>
                <w:szCs w:val="18"/>
              </w:rPr>
              <w:t>4</w:t>
            </w:r>
          </w:p>
        </w:tc>
        <w:tc>
          <w:tcPr>
            <w:tcW w:w="1228" w:type="dxa"/>
            <w:gridSpan w:val="2"/>
            <w:tcBorders>
              <w:top w:val="nil"/>
              <w:left w:val="nil"/>
              <w:bottom w:val="single" w:sz="12" w:space="0" w:color="000000" w:themeColor="text1"/>
              <w:right w:val="nil"/>
            </w:tcBorders>
            <w:shd w:val="clear" w:color="000000" w:fill="FFFFFF"/>
            <w:noWrap/>
            <w:vAlign w:val="bottom"/>
            <w:hideMark/>
          </w:tcPr>
          <w:p w14:paraId="12EF8D70" w14:textId="71A96438" w:rsidR="00E003F0" w:rsidRPr="00996B41" w:rsidRDefault="00E003F0" w:rsidP="00E003F0">
            <w:pPr>
              <w:jc w:val="center"/>
              <w:rPr>
                <w:rFonts w:eastAsia="Times New Roman" w:cstheme="minorHAnsi"/>
                <w:b/>
                <w:bCs/>
                <w:color w:val="0D0D0D"/>
                <w:sz w:val="18"/>
                <w:szCs w:val="18"/>
              </w:rPr>
            </w:pPr>
            <w:r w:rsidRPr="00996B41">
              <w:rPr>
                <w:rFonts w:eastAsia="Times New Roman" w:cstheme="minorHAnsi"/>
                <w:b/>
                <w:bCs/>
                <w:color w:val="0D0D0D"/>
                <w:sz w:val="18"/>
                <w:szCs w:val="18"/>
              </w:rPr>
              <w:t>202</w:t>
            </w:r>
            <w:r w:rsidR="00981DEF">
              <w:rPr>
                <w:rFonts w:eastAsia="Times New Roman" w:cstheme="minorHAnsi"/>
                <w:b/>
                <w:bCs/>
                <w:color w:val="0D0D0D"/>
                <w:sz w:val="18"/>
                <w:szCs w:val="18"/>
              </w:rPr>
              <w:t>3</w:t>
            </w:r>
          </w:p>
        </w:tc>
        <w:tc>
          <w:tcPr>
            <w:tcW w:w="1258" w:type="dxa"/>
            <w:gridSpan w:val="2"/>
            <w:tcBorders>
              <w:top w:val="nil"/>
              <w:left w:val="nil"/>
              <w:bottom w:val="single" w:sz="12" w:space="0" w:color="000000" w:themeColor="text1"/>
              <w:right w:val="nil"/>
            </w:tcBorders>
            <w:shd w:val="clear" w:color="000000" w:fill="FFFFFF"/>
            <w:noWrap/>
            <w:vAlign w:val="bottom"/>
            <w:hideMark/>
          </w:tcPr>
          <w:p w14:paraId="0B11BE9C" w14:textId="5E0E44ED" w:rsidR="00E003F0" w:rsidRPr="00996B41" w:rsidRDefault="002F6B9E" w:rsidP="00E003F0">
            <w:pPr>
              <w:jc w:val="center"/>
              <w:rPr>
                <w:rFonts w:eastAsia="Times New Roman" w:cstheme="minorHAnsi"/>
                <w:b/>
                <w:bCs/>
                <w:color w:val="0D0D0D"/>
                <w:sz w:val="18"/>
                <w:szCs w:val="18"/>
              </w:rPr>
            </w:pPr>
            <w:r>
              <w:rPr>
                <w:rFonts w:eastAsia="Times New Roman" w:cstheme="minorHAnsi"/>
                <w:b/>
                <w:bCs/>
                <w:color w:val="0D0D0D"/>
                <w:sz w:val="18"/>
                <w:szCs w:val="18"/>
              </w:rPr>
              <w:t xml:space="preserve">Restated </w:t>
            </w:r>
            <w:r w:rsidR="00E003F0" w:rsidRPr="00996B41">
              <w:rPr>
                <w:rFonts w:eastAsia="Times New Roman" w:cstheme="minorHAnsi"/>
                <w:b/>
                <w:bCs/>
                <w:color w:val="0D0D0D"/>
                <w:sz w:val="18"/>
                <w:szCs w:val="18"/>
              </w:rPr>
              <w:t>202</w:t>
            </w:r>
            <w:r>
              <w:rPr>
                <w:rFonts w:eastAsia="Times New Roman" w:cstheme="minorHAnsi"/>
                <w:b/>
                <w:bCs/>
                <w:color w:val="0D0D0D"/>
                <w:sz w:val="18"/>
                <w:szCs w:val="18"/>
              </w:rPr>
              <w:t>2</w:t>
            </w:r>
          </w:p>
        </w:tc>
        <w:tc>
          <w:tcPr>
            <w:tcW w:w="1192" w:type="dxa"/>
            <w:gridSpan w:val="2"/>
            <w:tcBorders>
              <w:top w:val="nil"/>
              <w:left w:val="nil"/>
              <w:bottom w:val="single" w:sz="12" w:space="0" w:color="000000" w:themeColor="text1"/>
              <w:right w:val="nil"/>
            </w:tcBorders>
            <w:shd w:val="clear" w:color="000000" w:fill="FFFFFF"/>
            <w:noWrap/>
            <w:vAlign w:val="bottom"/>
            <w:hideMark/>
          </w:tcPr>
          <w:p w14:paraId="42CA0DA2" w14:textId="57758BFA" w:rsidR="00E003F0" w:rsidRPr="00996B41" w:rsidRDefault="002F6B9E" w:rsidP="00E003F0">
            <w:pPr>
              <w:jc w:val="center"/>
              <w:rPr>
                <w:rFonts w:eastAsia="Times New Roman" w:cstheme="minorHAnsi"/>
                <w:b/>
                <w:bCs/>
                <w:color w:val="0D0D0D"/>
                <w:sz w:val="18"/>
                <w:szCs w:val="18"/>
              </w:rPr>
            </w:pPr>
            <w:r w:rsidRPr="00996B41">
              <w:rPr>
                <w:rFonts w:eastAsia="Times New Roman" w:cstheme="minorHAnsi"/>
                <w:b/>
                <w:bCs/>
                <w:color w:val="0D0D0D"/>
                <w:sz w:val="18"/>
                <w:szCs w:val="18"/>
              </w:rPr>
              <w:t>202</w:t>
            </w:r>
            <w:r>
              <w:rPr>
                <w:rFonts w:eastAsia="Times New Roman" w:cstheme="minorHAnsi"/>
                <w:b/>
                <w:bCs/>
                <w:color w:val="0D0D0D"/>
                <w:sz w:val="18"/>
                <w:szCs w:val="18"/>
              </w:rPr>
              <w:t>1</w:t>
            </w:r>
          </w:p>
        </w:tc>
      </w:tr>
      <w:tr w:rsidR="0059182A" w:rsidRPr="004E6649" w14:paraId="1EDADFFB" w14:textId="77777777" w:rsidTr="00F50B8A">
        <w:trPr>
          <w:trHeight w:val="195"/>
          <w:jc w:val="center"/>
        </w:trPr>
        <w:tc>
          <w:tcPr>
            <w:tcW w:w="2831" w:type="dxa"/>
            <w:tcBorders>
              <w:top w:val="nil"/>
              <w:left w:val="nil"/>
              <w:bottom w:val="nil"/>
              <w:right w:val="nil"/>
            </w:tcBorders>
            <w:shd w:val="clear" w:color="000000" w:fill="FFFFFF"/>
            <w:noWrap/>
            <w:vAlign w:val="bottom"/>
            <w:hideMark/>
          </w:tcPr>
          <w:p w14:paraId="4C3C0EF8" w14:textId="77777777" w:rsidR="00441E8E" w:rsidRPr="00996B41" w:rsidRDefault="00441E8E" w:rsidP="00441E8E">
            <w:pPr>
              <w:rPr>
                <w:rFonts w:eastAsia="Times New Roman" w:cstheme="minorHAnsi"/>
                <w:color w:val="0D0D0D"/>
                <w:sz w:val="18"/>
                <w:szCs w:val="18"/>
              </w:rPr>
            </w:pPr>
            <w:r w:rsidRPr="00996B41">
              <w:rPr>
                <w:rFonts w:eastAsia="Times New Roman" w:cstheme="minorHAnsi"/>
                <w:color w:val="0D0D0D"/>
                <w:sz w:val="18"/>
                <w:szCs w:val="18"/>
              </w:rPr>
              <w:t>Operating:</w:t>
            </w:r>
          </w:p>
        </w:tc>
        <w:tc>
          <w:tcPr>
            <w:tcW w:w="755" w:type="dxa"/>
            <w:tcBorders>
              <w:top w:val="nil"/>
              <w:left w:val="nil"/>
              <w:bottom w:val="nil"/>
              <w:right w:val="nil"/>
            </w:tcBorders>
            <w:shd w:val="clear" w:color="000000" w:fill="FFFFFF"/>
            <w:noWrap/>
            <w:vAlign w:val="bottom"/>
            <w:hideMark/>
          </w:tcPr>
          <w:p w14:paraId="37171C7B" w14:textId="77777777" w:rsidR="00441E8E" w:rsidRPr="00996B41" w:rsidRDefault="00441E8E" w:rsidP="00441E8E">
            <w:pPr>
              <w:jc w:val="right"/>
              <w:rPr>
                <w:rFonts w:eastAsia="Times New Roman" w:cstheme="minorHAnsi"/>
                <w:color w:val="0D0D0D"/>
                <w:sz w:val="18"/>
                <w:szCs w:val="18"/>
              </w:rPr>
            </w:pPr>
            <w:r w:rsidRPr="00996B41">
              <w:rPr>
                <w:rFonts w:eastAsia="Times New Roman" w:cstheme="minorHAnsi"/>
                <w:color w:val="0D0D0D"/>
                <w:sz w:val="18"/>
                <w:szCs w:val="18"/>
              </w:rPr>
              <w:t> </w:t>
            </w:r>
          </w:p>
        </w:tc>
        <w:tc>
          <w:tcPr>
            <w:tcW w:w="621" w:type="dxa"/>
            <w:tcBorders>
              <w:top w:val="nil"/>
              <w:left w:val="nil"/>
              <w:bottom w:val="nil"/>
              <w:right w:val="nil"/>
            </w:tcBorders>
            <w:shd w:val="clear" w:color="000000" w:fill="BFBFBF"/>
            <w:noWrap/>
            <w:vAlign w:val="bottom"/>
            <w:hideMark/>
          </w:tcPr>
          <w:p w14:paraId="0CAC731A" w14:textId="77777777" w:rsidR="00441E8E" w:rsidRPr="00996B41" w:rsidRDefault="00441E8E" w:rsidP="00441E8E">
            <w:pPr>
              <w:jc w:val="right"/>
              <w:rPr>
                <w:rFonts w:eastAsia="Times New Roman" w:cstheme="minorHAnsi"/>
                <w:color w:val="0D0D0D"/>
                <w:sz w:val="18"/>
                <w:szCs w:val="18"/>
              </w:rPr>
            </w:pPr>
            <w:r w:rsidRPr="00996B41">
              <w:rPr>
                <w:rFonts w:eastAsia="Times New Roman" w:cstheme="minorHAnsi"/>
                <w:color w:val="0D0D0D"/>
                <w:sz w:val="18"/>
                <w:szCs w:val="18"/>
              </w:rPr>
              <w:t> </w:t>
            </w:r>
          </w:p>
        </w:tc>
        <w:tc>
          <w:tcPr>
            <w:tcW w:w="764" w:type="dxa"/>
            <w:tcBorders>
              <w:top w:val="nil"/>
              <w:left w:val="nil"/>
              <w:bottom w:val="nil"/>
              <w:right w:val="nil"/>
            </w:tcBorders>
            <w:shd w:val="clear" w:color="000000" w:fill="FFFFFF"/>
            <w:noWrap/>
            <w:vAlign w:val="bottom"/>
            <w:hideMark/>
          </w:tcPr>
          <w:p w14:paraId="4EC86CCF" w14:textId="77777777" w:rsidR="00441E8E" w:rsidRPr="00996B41" w:rsidRDefault="00441E8E" w:rsidP="00441E8E">
            <w:pPr>
              <w:jc w:val="right"/>
              <w:rPr>
                <w:rFonts w:eastAsia="Times New Roman" w:cstheme="minorHAnsi"/>
                <w:color w:val="0D0D0D"/>
                <w:sz w:val="18"/>
                <w:szCs w:val="18"/>
              </w:rPr>
            </w:pPr>
            <w:r w:rsidRPr="00996B41">
              <w:rPr>
                <w:rFonts w:eastAsia="Times New Roman" w:cstheme="minorHAnsi"/>
                <w:color w:val="0D0D0D"/>
                <w:sz w:val="18"/>
                <w:szCs w:val="18"/>
              </w:rPr>
              <w:t> </w:t>
            </w:r>
          </w:p>
        </w:tc>
        <w:tc>
          <w:tcPr>
            <w:tcW w:w="621" w:type="dxa"/>
            <w:tcBorders>
              <w:top w:val="nil"/>
              <w:left w:val="nil"/>
              <w:bottom w:val="nil"/>
              <w:right w:val="nil"/>
            </w:tcBorders>
            <w:shd w:val="clear" w:color="000000" w:fill="BFBFBF"/>
            <w:noWrap/>
            <w:vAlign w:val="bottom"/>
            <w:hideMark/>
          </w:tcPr>
          <w:p w14:paraId="7A031C29" w14:textId="77777777" w:rsidR="00441E8E" w:rsidRPr="00996B41" w:rsidRDefault="00441E8E" w:rsidP="00441E8E">
            <w:pPr>
              <w:jc w:val="right"/>
              <w:rPr>
                <w:rFonts w:eastAsia="Times New Roman" w:cstheme="minorHAnsi"/>
                <w:color w:val="0D0D0D"/>
                <w:sz w:val="18"/>
                <w:szCs w:val="18"/>
              </w:rPr>
            </w:pPr>
            <w:r w:rsidRPr="00996B41">
              <w:rPr>
                <w:rFonts w:eastAsia="Times New Roman" w:cstheme="minorHAnsi"/>
                <w:color w:val="0D0D0D"/>
                <w:sz w:val="18"/>
                <w:szCs w:val="18"/>
              </w:rPr>
              <w:t> </w:t>
            </w:r>
          </w:p>
        </w:tc>
        <w:tc>
          <w:tcPr>
            <w:tcW w:w="609" w:type="dxa"/>
            <w:tcBorders>
              <w:top w:val="nil"/>
              <w:left w:val="nil"/>
              <w:bottom w:val="nil"/>
              <w:right w:val="nil"/>
            </w:tcBorders>
            <w:shd w:val="clear" w:color="000000" w:fill="FFFFFF"/>
            <w:noWrap/>
            <w:vAlign w:val="bottom"/>
            <w:hideMark/>
          </w:tcPr>
          <w:p w14:paraId="645C3E5D" w14:textId="77777777" w:rsidR="00441E8E" w:rsidRPr="00996B41" w:rsidRDefault="00441E8E" w:rsidP="00441E8E">
            <w:pPr>
              <w:jc w:val="right"/>
              <w:rPr>
                <w:rFonts w:eastAsia="Times New Roman" w:cstheme="minorHAnsi"/>
                <w:color w:val="0D0D0D"/>
                <w:sz w:val="18"/>
                <w:szCs w:val="18"/>
              </w:rPr>
            </w:pPr>
            <w:r w:rsidRPr="00996B41">
              <w:rPr>
                <w:rFonts w:eastAsia="Times New Roman" w:cstheme="minorHAnsi"/>
                <w:color w:val="0D0D0D"/>
                <w:sz w:val="18"/>
                <w:szCs w:val="18"/>
              </w:rPr>
              <w:t> </w:t>
            </w:r>
          </w:p>
        </w:tc>
        <w:tc>
          <w:tcPr>
            <w:tcW w:w="619" w:type="dxa"/>
            <w:tcBorders>
              <w:top w:val="nil"/>
              <w:left w:val="nil"/>
              <w:bottom w:val="nil"/>
              <w:right w:val="nil"/>
            </w:tcBorders>
            <w:shd w:val="clear" w:color="000000" w:fill="BFBFBF"/>
            <w:noWrap/>
            <w:vAlign w:val="bottom"/>
            <w:hideMark/>
          </w:tcPr>
          <w:p w14:paraId="41D15E29" w14:textId="77777777" w:rsidR="00441E8E" w:rsidRPr="00996B41" w:rsidRDefault="00441E8E" w:rsidP="00441E8E">
            <w:pPr>
              <w:jc w:val="right"/>
              <w:rPr>
                <w:rFonts w:eastAsia="Times New Roman" w:cstheme="minorHAnsi"/>
                <w:color w:val="0D0D0D"/>
                <w:sz w:val="18"/>
                <w:szCs w:val="18"/>
              </w:rPr>
            </w:pPr>
            <w:r w:rsidRPr="00996B41">
              <w:rPr>
                <w:rFonts w:eastAsia="Times New Roman" w:cstheme="minorHAnsi"/>
                <w:color w:val="0D0D0D"/>
                <w:sz w:val="18"/>
                <w:szCs w:val="18"/>
              </w:rPr>
              <w:t> </w:t>
            </w:r>
          </w:p>
        </w:tc>
        <w:tc>
          <w:tcPr>
            <w:tcW w:w="609" w:type="dxa"/>
            <w:tcBorders>
              <w:top w:val="nil"/>
              <w:left w:val="nil"/>
              <w:bottom w:val="nil"/>
              <w:right w:val="nil"/>
            </w:tcBorders>
            <w:shd w:val="clear" w:color="000000" w:fill="FFFFFF"/>
            <w:noWrap/>
            <w:vAlign w:val="bottom"/>
            <w:hideMark/>
          </w:tcPr>
          <w:p w14:paraId="181625B6" w14:textId="77777777" w:rsidR="00441E8E" w:rsidRPr="00996B41" w:rsidRDefault="00441E8E" w:rsidP="00441E8E">
            <w:pPr>
              <w:jc w:val="right"/>
              <w:rPr>
                <w:rFonts w:eastAsia="Times New Roman" w:cstheme="minorHAnsi"/>
                <w:color w:val="0D0D0D"/>
                <w:sz w:val="18"/>
                <w:szCs w:val="18"/>
              </w:rPr>
            </w:pPr>
            <w:r w:rsidRPr="00996B41">
              <w:rPr>
                <w:rFonts w:eastAsia="Times New Roman" w:cstheme="minorHAnsi"/>
                <w:color w:val="0D0D0D"/>
                <w:sz w:val="18"/>
                <w:szCs w:val="18"/>
              </w:rPr>
              <w:t> </w:t>
            </w:r>
          </w:p>
        </w:tc>
        <w:tc>
          <w:tcPr>
            <w:tcW w:w="649" w:type="dxa"/>
            <w:tcBorders>
              <w:top w:val="nil"/>
              <w:left w:val="nil"/>
              <w:bottom w:val="nil"/>
              <w:right w:val="nil"/>
            </w:tcBorders>
            <w:shd w:val="clear" w:color="000000" w:fill="BFBFBF"/>
            <w:noWrap/>
            <w:vAlign w:val="bottom"/>
            <w:hideMark/>
          </w:tcPr>
          <w:p w14:paraId="24B1704A" w14:textId="77777777" w:rsidR="00441E8E" w:rsidRPr="00996B41" w:rsidRDefault="00441E8E" w:rsidP="00441E8E">
            <w:pPr>
              <w:jc w:val="right"/>
              <w:rPr>
                <w:rFonts w:eastAsia="Times New Roman" w:cstheme="minorHAnsi"/>
                <w:color w:val="0D0D0D"/>
                <w:sz w:val="18"/>
                <w:szCs w:val="18"/>
              </w:rPr>
            </w:pPr>
            <w:r w:rsidRPr="00996B41">
              <w:rPr>
                <w:rFonts w:eastAsia="Times New Roman" w:cstheme="minorHAnsi"/>
                <w:color w:val="0D0D0D"/>
                <w:sz w:val="18"/>
                <w:szCs w:val="18"/>
              </w:rPr>
              <w:t> </w:t>
            </w:r>
          </w:p>
        </w:tc>
        <w:tc>
          <w:tcPr>
            <w:tcW w:w="609" w:type="dxa"/>
            <w:tcBorders>
              <w:top w:val="nil"/>
              <w:left w:val="nil"/>
              <w:bottom w:val="nil"/>
              <w:right w:val="nil"/>
            </w:tcBorders>
            <w:shd w:val="clear" w:color="000000" w:fill="FFFFFF"/>
            <w:noWrap/>
            <w:vAlign w:val="bottom"/>
            <w:hideMark/>
          </w:tcPr>
          <w:p w14:paraId="462D9110" w14:textId="77777777" w:rsidR="00441E8E" w:rsidRPr="00996B41" w:rsidRDefault="00441E8E" w:rsidP="00441E8E">
            <w:pPr>
              <w:jc w:val="right"/>
              <w:rPr>
                <w:rFonts w:eastAsia="Times New Roman" w:cstheme="minorHAnsi"/>
                <w:color w:val="0D0D0D"/>
                <w:sz w:val="18"/>
                <w:szCs w:val="18"/>
              </w:rPr>
            </w:pPr>
            <w:r w:rsidRPr="00996B41">
              <w:rPr>
                <w:rFonts w:eastAsia="Times New Roman" w:cstheme="minorHAnsi"/>
                <w:color w:val="0D0D0D"/>
                <w:sz w:val="18"/>
                <w:szCs w:val="18"/>
              </w:rPr>
              <w:t> </w:t>
            </w:r>
          </w:p>
        </w:tc>
        <w:tc>
          <w:tcPr>
            <w:tcW w:w="583" w:type="dxa"/>
            <w:tcBorders>
              <w:top w:val="nil"/>
              <w:left w:val="nil"/>
              <w:bottom w:val="nil"/>
              <w:right w:val="nil"/>
            </w:tcBorders>
            <w:shd w:val="clear" w:color="000000" w:fill="BFBFBF"/>
            <w:noWrap/>
            <w:vAlign w:val="bottom"/>
            <w:hideMark/>
          </w:tcPr>
          <w:p w14:paraId="5D22E5E8" w14:textId="77777777" w:rsidR="00441E8E" w:rsidRPr="00996B41" w:rsidRDefault="00441E8E" w:rsidP="00441E8E">
            <w:pPr>
              <w:jc w:val="right"/>
              <w:rPr>
                <w:rFonts w:eastAsia="Times New Roman" w:cstheme="minorHAnsi"/>
                <w:color w:val="0D0D0D"/>
                <w:sz w:val="18"/>
                <w:szCs w:val="18"/>
              </w:rPr>
            </w:pPr>
            <w:r w:rsidRPr="00996B41">
              <w:rPr>
                <w:rFonts w:eastAsia="Times New Roman" w:cstheme="minorHAnsi"/>
                <w:color w:val="0D0D0D"/>
                <w:sz w:val="18"/>
                <w:szCs w:val="18"/>
              </w:rPr>
              <w:t> </w:t>
            </w:r>
          </w:p>
        </w:tc>
      </w:tr>
      <w:tr w:rsidR="0059182A" w:rsidRPr="004E6649" w14:paraId="175E77C0" w14:textId="77777777" w:rsidTr="00F50B8A">
        <w:trPr>
          <w:trHeight w:val="80"/>
          <w:jc w:val="center"/>
        </w:trPr>
        <w:tc>
          <w:tcPr>
            <w:tcW w:w="2831" w:type="dxa"/>
            <w:tcBorders>
              <w:top w:val="nil"/>
              <w:left w:val="nil"/>
              <w:bottom w:val="nil"/>
              <w:right w:val="nil"/>
            </w:tcBorders>
            <w:shd w:val="clear" w:color="000000" w:fill="FFFFFF"/>
            <w:noWrap/>
            <w:vAlign w:val="bottom"/>
            <w:hideMark/>
          </w:tcPr>
          <w:p w14:paraId="4DCF6CD6" w14:textId="77777777" w:rsidR="00E003F0" w:rsidRPr="00996B41" w:rsidRDefault="00E003F0" w:rsidP="00E003F0">
            <w:pPr>
              <w:ind w:firstLineChars="100" w:firstLine="180"/>
              <w:rPr>
                <w:rFonts w:eastAsia="Times New Roman" w:cstheme="minorHAnsi"/>
                <w:color w:val="0D0D0D"/>
                <w:sz w:val="18"/>
                <w:szCs w:val="18"/>
              </w:rPr>
            </w:pPr>
            <w:r w:rsidRPr="00996B41">
              <w:rPr>
                <w:rFonts w:eastAsia="Times New Roman" w:cstheme="minorHAnsi"/>
                <w:color w:val="0D0D0D"/>
                <w:sz w:val="18"/>
                <w:szCs w:val="18"/>
              </w:rPr>
              <w:t>Compensation</w:t>
            </w:r>
          </w:p>
        </w:tc>
        <w:tc>
          <w:tcPr>
            <w:tcW w:w="755" w:type="dxa"/>
            <w:tcBorders>
              <w:top w:val="nil"/>
              <w:left w:val="nil"/>
              <w:bottom w:val="nil"/>
              <w:right w:val="nil"/>
            </w:tcBorders>
            <w:shd w:val="clear" w:color="000000" w:fill="FFFFFF"/>
            <w:noWrap/>
            <w:vAlign w:val="bottom"/>
          </w:tcPr>
          <w:p w14:paraId="298F209D" w14:textId="40ADBDA2" w:rsidR="00E003F0" w:rsidRPr="00996B41" w:rsidRDefault="00F50B8A" w:rsidP="00E003F0">
            <w:pPr>
              <w:jc w:val="right"/>
              <w:rPr>
                <w:rFonts w:eastAsia="Times New Roman" w:cstheme="minorHAnsi"/>
                <w:b/>
                <w:bCs/>
                <w:color w:val="0D0D0D"/>
                <w:sz w:val="18"/>
                <w:szCs w:val="18"/>
              </w:rPr>
            </w:pPr>
            <w:r>
              <w:rPr>
                <w:rFonts w:eastAsia="Times New Roman" w:cstheme="minorHAnsi"/>
                <w:b/>
                <w:bCs/>
                <w:color w:val="0D0D0D"/>
                <w:sz w:val="18"/>
                <w:szCs w:val="18"/>
              </w:rPr>
              <w:t>$</w:t>
            </w:r>
            <w:r w:rsidR="005222DE">
              <w:rPr>
                <w:rFonts w:eastAsia="Times New Roman" w:cstheme="minorHAnsi"/>
                <w:b/>
                <w:bCs/>
                <w:color w:val="0D0D0D"/>
                <w:sz w:val="18"/>
                <w:szCs w:val="18"/>
              </w:rPr>
              <w:t>408</w:t>
            </w:r>
          </w:p>
        </w:tc>
        <w:tc>
          <w:tcPr>
            <w:tcW w:w="621" w:type="dxa"/>
            <w:tcBorders>
              <w:top w:val="nil"/>
              <w:left w:val="nil"/>
              <w:bottom w:val="nil"/>
              <w:right w:val="nil"/>
            </w:tcBorders>
            <w:shd w:val="clear" w:color="000000" w:fill="BFBFBF"/>
            <w:noWrap/>
            <w:vAlign w:val="bottom"/>
          </w:tcPr>
          <w:p w14:paraId="72E2FCD3" w14:textId="06830865" w:rsidR="00E003F0" w:rsidRPr="00996B41" w:rsidRDefault="000D5A87" w:rsidP="00E003F0">
            <w:pPr>
              <w:jc w:val="right"/>
              <w:rPr>
                <w:rFonts w:eastAsia="Times New Roman" w:cstheme="minorHAnsi"/>
                <w:b/>
                <w:bCs/>
                <w:color w:val="0D0D0D"/>
                <w:sz w:val="18"/>
                <w:szCs w:val="18"/>
              </w:rPr>
            </w:pPr>
            <w:r>
              <w:rPr>
                <w:rFonts w:eastAsia="Times New Roman" w:cstheme="minorHAnsi"/>
                <w:b/>
                <w:bCs/>
                <w:color w:val="0D0D0D"/>
                <w:sz w:val="18"/>
                <w:szCs w:val="18"/>
              </w:rPr>
              <w:t>4</w:t>
            </w:r>
            <w:r w:rsidR="00446388">
              <w:rPr>
                <w:rFonts w:eastAsia="Times New Roman" w:cstheme="minorHAnsi"/>
                <w:b/>
                <w:bCs/>
                <w:color w:val="0D0D0D"/>
                <w:sz w:val="18"/>
                <w:szCs w:val="18"/>
              </w:rPr>
              <w:t>6</w:t>
            </w:r>
            <w:r>
              <w:rPr>
                <w:rFonts w:eastAsia="Times New Roman" w:cstheme="minorHAnsi"/>
                <w:b/>
                <w:bCs/>
                <w:color w:val="0D0D0D"/>
                <w:sz w:val="18"/>
                <w:szCs w:val="18"/>
              </w:rPr>
              <w:t>%</w:t>
            </w:r>
          </w:p>
        </w:tc>
        <w:tc>
          <w:tcPr>
            <w:tcW w:w="764" w:type="dxa"/>
            <w:tcBorders>
              <w:top w:val="nil"/>
              <w:left w:val="nil"/>
              <w:bottom w:val="nil"/>
              <w:right w:val="nil"/>
            </w:tcBorders>
            <w:shd w:val="clear" w:color="000000" w:fill="FFFFFF"/>
            <w:noWrap/>
            <w:vAlign w:val="bottom"/>
            <w:hideMark/>
          </w:tcPr>
          <w:p w14:paraId="090A2A09" w14:textId="3379FA1B" w:rsidR="00E003F0" w:rsidRPr="00996B41" w:rsidRDefault="00E003F0" w:rsidP="00E003F0">
            <w:pPr>
              <w:jc w:val="right"/>
              <w:rPr>
                <w:rFonts w:eastAsia="Times New Roman" w:cstheme="minorHAnsi"/>
                <w:b/>
                <w:bCs/>
                <w:color w:val="0D0D0D"/>
                <w:sz w:val="18"/>
                <w:szCs w:val="18"/>
              </w:rPr>
            </w:pPr>
            <w:r w:rsidRPr="00996B41">
              <w:rPr>
                <w:rFonts w:eastAsia="Times New Roman" w:cstheme="minorHAnsi"/>
                <w:b/>
                <w:bCs/>
                <w:color w:val="0D0D0D"/>
                <w:sz w:val="18"/>
                <w:szCs w:val="18"/>
              </w:rPr>
              <w:t>$</w:t>
            </w:r>
            <w:r w:rsidR="00981DEF" w:rsidRPr="00996B41">
              <w:rPr>
                <w:rFonts w:eastAsia="Times New Roman" w:cstheme="minorHAnsi"/>
                <w:b/>
                <w:bCs/>
                <w:color w:val="0D0D0D"/>
                <w:sz w:val="18"/>
                <w:szCs w:val="18"/>
              </w:rPr>
              <w:t>3</w:t>
            </w:r>
            <w:r w:rsidR="00981DEF">
              <w:rPr>
                <w:rFonts w:eastAsia="Times New Roman" w:cstheme="minorHAnsi"/>
                <w:b/>
                <w:bCs/>
                <w:color w:val="0D0D0D"/>
                <w:sz w:val="18"/>
                <w:szCs w:val="18"/>
              </w:rPr>
              <w:t>86</w:t>
            </w:r>
          </w:p>
        </w:tc>
        <w:tc>
          <w:tcPr>
            <w:tcW w:w="621" w:type="dxa"/>
            <w:tcBorders>
              <w:top w:val="nil"/>
              <w:left w:val="nil"/>
              <w:bottom w:val="nil"/>
              <w:right w:val="nil"/>
            </w:tcBorders>
            <w:shd w:val="clear" w:color="000000" w:fill="BFBFBF"/>
            <w:noWrap/>
            <w:vAlign w:val="bottom"/>
            <w:hideMark/>
          </w:tcPr>
          <w:p w14:paraId="65FB46A7" w14:textId="7AFBAE09" w:rsidR="00E003F0" w:rsidRPr="00996B41" w:rsidRDefault="00E003F0" w:rsidP="00E003F0">
            <w:pPr>
              <w:jc w:val="right"/>
              <w:rPr>
                <w:rFonts w:eastAsia="Times New Roman" w:cstheme="minorHAnsi"/>
                <w:b/>
                <w:bCs/>
                <w:color w:val="0D0D0D"/>
                <w:sz w:val="18"/>
                <w:szCs w:val="18"/>
              </w:rPr>
            </w:pPr>
            <w:r w:rsidRPr="00996B41">
              <w:rPr>
                <w:rFonts w:eastAsia="Times New Roman" w:cstheme="minorHAnsi"/>
                <w:b/>
                <w:bCs/>
                <w:color w:val="0D0D0D"/>
                <w:sz w:val="18"/>
                <w:szCs w:val="18"/>
              </w:rPr>
              <w:t>4</w:t>
            </w:r>
            <w:r w:rsidR="00981DEF">
              <w:rPr>
                <w:rFonts w:eastAsia="Times New Roman" w:cstheme="minorHAnsi"/>
                <w:b/>
                <w:bCs/>
                <w:color w:val="0D0D0D"/>
                <w:sz w:val="18"/>
                <w:szCs w:val="18"/>
              </w:rPr>
              <w:t>5</w:t>
            </w:r>
            <w:r w:rsidRPr="00996B41">
              <w:rPr>
                <w:rFonts w:eastAsia="Times New Roman" w:cstheme="minorHAnsi"/>
                <w:b/>
                <w:bCs/>
                <w:color w:val="0D0D0D"/>
                <w:sz w:val="18"/>
                <w:szCs w:val="18"/>
              </w:rPr>
              <w:t>%</w:t>
            </w:r>
          </w:p>
        </w:tc>
        <w:tc>
          <w:tcPr>
            <w:tcW w:w="609" w:type="dxa"/>
            <w:tcBorders>
              <w:top w:val="nil"/>
              <w:left w:val="nil"/>
              <w:bottom w:val="nil"/>
              <w:right w:val="nil"/>
            </w:tcBorders>
            <w:shd w:val="clear" w:color="000000" w:fill="FFFFFF"/>
            <w:noWrap/>
            <w:vAlign w:val="bottom"/>
            <w:hideMark/>
          </w:tcPr>
          <w:p w14:paraId="73D25506" w14:textId="1EEE5DD7" w:rsidR="00E003F0" w:rsidRPr="00996B41" w:rsidRDefault="00E003F0" w:rsidP="00E003F0">
            <w:pPr>
              <w:jc w:val="right"/>
              <w:rPr>
                <w:rFonts w:eastAsia="Times New Roman" w:cstheme="minorHAnsi"/>
                <w:color w:val="0D0D0D"/>
                <w:sz w:val="18"/>
                <w:szCs w:val="18"/>
              </w:rPr>
            </w:pPr>
            <w:r w:rsidRPr="00996B41">
              <w:rPr>
                <w:rFonts w:eastAsia="Times New Roman" w:cstheme="minorHAnsi"/>
                <w:b/>
                <w:bCs/>
                <w:color w:val="0D0D0D"/>
                <w:sz w:val="18"/>
                <w:szCs w:val="18"/>
              </w:rPr>
              <w:t>$</w:t>
            </w:r>
            <w:r w:rsidR="00981DEF" w:rsidRPr="00996B41">
              <w:rPr>
                <w:rFonts w:eastAsia="Times New Roman" w:cstheme="minorHAnsi"/>
                <w:b/>
                <w:bCs/>
                <w:color w:val="0D0D0D"/>
                <w:sz w:val="18"/>
                <w:szCs w:val="18"/>
              </w:rPr>
              <w:t>3</w:t>
            </w:r>
            <w:r w:rsidR="00981DEF">
              <w:rPr>
                <w:rFonts w:eastAsia="Times New Roman" w:cstheme="minorHAnsi"/>
                <w:b/>
                <w:bCs/>
                <w:color w:val="0D0D0D"/>
                <w:sz w:val="18"/>
                <w:szCs w:val="18"/>
              </w:rPr>
              <w:t>79</w:t>
            </w:r>
          </w:p>
        </w:tc>
        <w:tc>
          <w:tcPr>
            <w:tcW w:w="619" w:type="dxa"/>
            <w:tcBorders>
              <w:top w:val="nil"/>
              <w:left w:val="nil"/>
              <w:bottom w:val="nil"/>
              <w:right w:val="nil"/>
            </w:tcBorders>
            <w:shd w:val="clear" w:color="000000" w:fill="BFBFBF"/>
            <w:noWrap/>
            <w:vAlign w:val="bottom"/>
            <w:hideMark/>
          </w:tcPr>
          <w:p w14:paraId="6714B7A5" w14:textId="00A4AE18" w:rsidR="00E003F0" w:rsidRPr="00996B41" w:rsidRDefault="00E003F0" w:rsidP="00E003F0">
            <w:pPr>
              <w:jc w:val="right"/>
              <w:rPr>
                <w:rFonts w:eastAsia="Times New Roman" w:cstheme="minorHAnsi"/>
                <w:color w:val="0D0D0D"/>
                <w:sz w:val="18"/>
                <w:szCs w:val="18"/>
              </w:rPr>
            </w:pPr>
            <w:r w:rsidRPr="00996B41">
              <w:rPr>
                <w:rFonts w:eastAsia="Times New Roman" w:cstheme="minorHAnsi"/>
                <w:color w:val="0D0D0D"/>
                <w:sz w:val="18"/>
                <w:szCs w:val="18"/>
              </w:rPr>
              <w:t>4</w:t>
            </w:r>
            <w:r w:rsidR="00981DEF">
              <w:rPr>
                <w:rFonts w:eastAsia="Times New Roman" w:cstheme="minorHAnsi"/>
                <w:color w:val="0D0D0D"/>
                <w:sz w:val="18"/>
                <w:szCs w:val="18"/>
              </w:rPr>
              <w:t>7</w:t>
            </w:r>
            <w:r w:rsidRPr="00996B41">
              <w:rPr>
                <w:rFonts w:eastAsia="Times New Roman" w:cstheme="minorHAnsi"/>
                <w:color w:val="0D0D0D"/>
                <w:sz w:val="18"/>
                <w:szCs w:val="18"/>
              </w:rPr>
              <w:t>%</w:t>
            </w:r>
          </w:p>
        </w:tc>
        <w:tc>
          <w:tcPr>
            <w:tcW w:w="609" w:type="dxa"/>
            <w:tcBorders>
              <w:top w:val="nil"/>
              <w:left w:val="nil"/>
              <w:bottom w:val="nil"/>
              <w:right w:val="nil"/>
            </w:tcBorders>
            <w:shd w:val="clear" w:color="000000" w:fill="FFFFFF"/>
            <w:noWrap/>
            <w:vAlign w:val="bottom"/>
            <w:hideMark/>
          </w:tcPr>
          <w:p w14:paraId="20D62782" w14:textId="20A0BEA0" w:rsidR="00E003F0" w:rsidRPr="00996B41" w:rsidRDefault="00E003F0" w:rsidP="00E003F0">
            <w:pPr>
              <w:jc w:val="right"/>
              <w:rPr>
                <w:rFonts w:eastAsia="Times New Roman" w:cstheme="minorHAnsi"/>
                <w:color w:val="0D0D0D"/>
                <w:sz w:val="18"/>
                <w:szCs w:val="18"/>
              </w:rPr>
            </w:pPr>
            <w:r w:rsidRPr="00996B41">
              <w:rPr>
                <w:rFonts w:eastAsia="Times New Roman" w:cstheme="minorHAnsi"/>
                <w:color w:val="0D0D0D"/>
                <w:sz w:val="18"/>
                <w:szCs w:val="18"/>
              </w:rPr>
              <w:t>$3</w:t>
            </w:r>
            <w:r w:rsidR="00981DEF">
              <w:rPr>
                <w:rFonts w:eastAsia="Times New Roman" w:cstheme="minorHAnsi"/>
                <w:color w:val="0D0D0D"/>
                <w:sz w:val="18"/>
                <w:szCs w:val="18"/>
              </w:rPr>
              <w:t>62</w:t>
            </w:r>
          </w:p>
        </w:tc>
        <w:tc>
          <w:tcPr>
            <w:tcW w:w="649" w:type="dxa"/>
            <w:tcBorders>
              <w:top w:val="nil"/>
              <w:left w:val="nil"/>
              <w:bottom w:val="nil"/>
              <w:right w:val="nil"/>
            </w:tcBorders>
            <w:shd w:val="clear" w:color="000000" w:fill="BFBFBF"/>
            <w:noWrap/>
            <w:vAlign w:val="bottom"/>
            <w:hideMark/>
          </w:tcPr>
          <w:p w14:paraId="52B675A6" w14:textId="6EA49D8E" w:rsidR="00E003F0" w:rsidRPr="00996B41" w:rsidRDefault="00E003F0" w:rsidP="00E003F0">
            <w:pPr>
              <w:jc w:val="right"/>
              <w:rPr>
                <w:rFonts w:eastAsia="Times New Roman" w:cstheme="minorHAnsi"/>
                <w:color w:val="0D0D0D"/>
                <w:sz w:val="18"/>
                <w:szCs w:val="18"/>
              </w:rPr>
            </w:pPr>
            <w:r w:rsidRPr="00996B41">
              <w:rPr>
                <w:rFonts w:eastAsia="Times New Roman" w:cstheme="minorHAnsi"/>
                <w:color w:val="0D0D0D"/>
                <w:sz w:val="18"/>
                <w:szCs w:val="18"/>
              </w:rPr>
              <w:t>4</w:t>
            </w:r>
            <w:r w:rsidR="00981DEF">
              <w:rPr>
                <w:rFonts w:eastAsia="Times New Roman" w:cstheme="minorHAnsi"/>
                <w:color w:val="0D0D0D"/>
                <w:sz w:val="18"/>
                <w:szCs w:val="18"/>
              </w:rPr>
              <w:t>4</w:t>
            </w:r>
            <w:r w:rsidRPr="00996B41">
              <w:rPr>
                <w:rFonts w:eastAsia="Times New Roman" w:cstheme="minorHAnsi"/>
                <w:color w:val="0D0D0D"/>
                <w:sz w:val="18"/>
                <w:szCs w:val="18"/>
              </w:rPr>
              <w:t>%</w:t>
            </w:r>
          </w:p>
        </w:tc>
        <w:tc>
          <w:tcPr>
            <w:tcW w:w="609" w:type="dxa"/>
            <w:tcBorders>
              <w:top w:val="nil"/>
              <w:left w:val="nil"/>
              <w:bottom w:val="nil"/>
              <w:right w:val="nil"/>
            </w:tcBorders>
            <w:shd w:val="clear" w:color="000000" w:fill="FFFFFF"/>
            <w:noWrap/>
            <w:vAlign w:val="bottom"/>
            <w:hideMark/>
          </w:tcPr>
          <w:p w14:paraId="3CCC4FD3" w14:textId="7AD11472" w:rsidR="00E003F0" w:rsidRPr="00996B41" w:rsidRDefault="00E003F0" w:rsidP="00E003F0">
            <w:pPr>
              <w:jc w:val="right"/>
              <w:rPr>
                <w:rFonts w:eastAsia="Times New Roman" w:cstheme="minorHAnsi"/>
                <w:color w:val="0D0D0D"/>
                <w:sz w:val="18"/>
                <w:szCs w:val="18"/>
              </w:rPr>
            </w:pPr>
            <w:r w:rsidRPr="00996B41">
              <w:rPr>
                <w:rFonts w:eastAsia="Times New Roman" w:cstheme="minorHAnsi"/>
                <w:color w:val="0D0D0D"/>
                <w:sz w:val="18"/>
                <w:szCs w:val="18"/>
              </w:rPr>
              <w:t>$33</w:t>
            </w:r>
            <w:r w:rsidR="002F6B9E">
              <w:rPr>
                <w:rFonts w:eastAsia="Times New Roman" w:cstheme="minorHAnsi"/>
                <w:color w:val="0D0D0D"/>
                <w:sz w:val="18"/>
                <w:szCs w:val="18"/>
              </w:rPr>
              <w:t>6</w:t>
            </w:r>
          </w:p>
        </w:tc>
        <w:tc>
          <w:tcPr>
            <w:tcW w:w="583" w:type="dxa"/>
            <w:tcBorders>
              <w:top w:val="nil"/>
              <w:left w:val="nil"/>
              <w:bottom w:val="nil"/>
              <w:right w:val="nil"/>
            </w:tcBorders>
            <w:shd w:val="clear" w:color="000000" w:fill="BFBFBF"/>
            <w:noWrap/>
            <w:vAlign w:val="bottom"/>
            <w:hideMark/>
          </w:tcPr>
          <w:p w14:paraId="051F286C" w14:textId="11D782AC" w:rsidR="00E003F0" w:rsidRPr="00996B41" w:rsidRDefault="00E003F0" w:rsidP="00E003F0">
            <w:pPr>
              <w:jc w:val="right"/>
              <w:rPr>
                <w:rFonts w:eastAsia="Times New Roman" w:cstheme="minorHAnsi"/>
                <w:color w:val="0D0D0D"/>
                <w:sz w:val="18"/>
                <w:szCs w:val="18"/>
              </w:rPr>
            </w:pPr>
            <w:r w:rsidRPr="00996B41">
              <w:rPr>
                <w:rFonts w:eastAsia="Times New Roman" w:cstheme="minorHAnsi"/>
                <w:color w:val="0D0D0D"/>
                <w:sz w:val="18"/>
                <w:szCs w:val="18"/>
              </w:rPr>
              <w:t>4</w:t>
            </w:r>
            <w:r w:rsidR="002F6B9E">
              <w:rPr>
                <w:rFonts w:eastAsia="Times New Roman" w:cstheme="minorHAnsi"/>
                <w:color w:val="0D0D0D"/>
                <w:sz w:val="18"/>
                <w:szCs w:val="18"/>
              </w:rPr>
              <w:t>9</w:t>
            </w:r>
            <w:r w:rsidRPr="00996B41">
              <w:rPr>
                <w:rFonts w:eastAsia="Times New Roman" w:cstheme="minorHAnsi"/>
                <w:color w:val="0D0D0D"/>
                <w:sz w:val="18"/>
                <w:szCs w:val="18"/>
              </w:rPr>
              <w:t>%</w:t>
            </w:r>
          </w:p>
        </w:tc>
      </w:tr>
      <w:tr w:rsidR="0059182A" w:rsidRPr="004E6649" w14:paraId="10C3609A" w14:textId="77777777" w:rsidTr="00F50B8A">
        <w:trPr>
          <w:trHeight w:val="80"/>
          <w:jc w:val="center"/>
        </w:trPr>
        <w:tc>
          <w:tcPr>
            <w:tcW w:w="2831" w:type="dxa"/>
            <w:tcBorders>
              <w:top w:val="nil"/>
              <w:left w:val="nil"/>
              <w:bottom w:val="nil"/>
              <w:right w:val="nil"/>
            </w:tcBorders>
            <w:shd w:val="clear" w:color="000000" w:fill="FFFFFF"/>
            <w:noWrap/>
            <w:vAlign w:val="bottom"/>
            <w:hideMark/>
          </w:tcPr>
          <w:p w14:paraId="1E24C34A" w14:textId="77777777" w:rsidR="00E003F0" w:rsidRPr="00996B41" w:rsidRDefault="00E003F0" w:rsidP="00E003F0">
            <w:pPr>
              <w:ind w:firstLineChars="100" w:firstLine="180"/>
              <w:rPr>
                <w:rFonts w:eastAsia="Times New Roman" w:cstheme="minorHAnsi"/>
                <w:color w:val="0D0D0D"/>
                <w:sz w:val="18"/>
                <w:szCs w:val="18"/>
              </w:rPr>
            </w:pPr>
            <w:r w:rsidRPr="00996B41">
              <w:rPr>
                <w:rFonts w:eastAsia="Times New Roman" w:cstheme="minorHAnsi"/>
                <w:color w:val="0D0D0D"/>
                <w:sz w:val="18"/>
                <w:szCs w:val="18"/>
              </w:rPr>
              <w:t>Benefits</w:t>
            </w:r>
          </w:p>
        </w:tc>
        <w:tc>
          <w:tcPr>
            <w:tcW w:w="755" w:type="dxa"/>
            <w:tcBorders>
              <w:top w:val="nil"/>
              <w:left w:val="nil"/>
              <w:bottom w:val="nil"/>
              <w:right w:val="nil"/>
            </w:tcBorders>
            <w:shd w:val="clear" w:color="000000" w:fill="FFFFFF"/>
            <w:noWrap/>
            <w:vAlign w:val="bottom"/>
          </w:tcPr>
          <w:p w14:paraId="0364ACC0" w14:textId="51856133" w:rsidR="00E003F0" w:rsidRPr="00996B41" w:rsidRDefault="003E1080" w:rsidP="00E003F0">
            <w:pPr>
              <w:jc w:val="right"/>
              <w:rPr>
                <w:rFonts w:eastAsia="Times New Roman" w:cstheme="minorHAnsi"/>
                <w:b/>
                <w:bCs/>
                <w:color w:val="0D0D0D"/>
                <w:sz w:val="18"/>
                <w:szCs w:val="18"/>
              </w:rPr>
            </w:pPr>
            <w:r>
              <w:rPr>
                <w:rFonts w:eastAsia="Times New Roman" w:cstheme="minorHAnsi"/>
                <w:b/>
                <w:bCs/>
                <w:color w:val="0D0D0D"/>
                <w:sz w:val="18"/>
                <w:szCs w:val="18"/>
              </w:rPr>
              <w:t>146</w:t>
            </w:r>
          </w:p>
        </w:tc>
        <w:tc>
          <w:tcPr>
            <w:tcW w:w="621" w:type="dxa"/>
            <w:tcBorders>
              <w:top w:val="nil"/>
              <w:left w:val="nil"/>
              <w:bottom w:val="nil"/>
              <w:right w:val="nil"/>
            </w:tcBorders>
            <w:shd w:val="clear" w:color="000000" w:fill="BFBFBF"/>
            <w:noWrap/>
            <w:vAlign w:val="bottom"/>
          </w:tcPr>
          <w:p w14:paraId="48440470" w14:textId="5F657363" w:rsidR="00E003F0" w:rsidRPr="00996B41" w:rsidRDefault="000D5A87" w:rsidP="00E003F0">
            <w:pPr>
              <w:jc w:val="right"/>
              <w:rPr>
                <w:rFonts w:eastAsia="Times New Roman" w:cstheme="minorHAnsi"/>
                <w:b/>
                <w:bCs/>
                <w:color w:val="0D0D0D"/>
                <w:sz w:val="18"/>
                <w:szCs w:val="18"/>
              </w:rPr>
            </w:pPr>
            <w:r>
              <w:rPr>
                <w:rFonts w:eastAsia="Times New Roman" w:cstheme="minorHAnsi"/>
                <w:b/>
                <w:bCs/>
                <w:color w:val="0D0D0D"/>
                <w:sz w:val="18"/>
                <w:szCs w:val="18"/>
              </w:rPr>
              <w:t>16%</w:t>
            </w:r>
          </w:p>
        </w:tc>
        <w:tc>
          <w:tcPr>
            <w:tcW w:w="764" w:type="dxa"/>
            <w:tcBorders>
              <w:top w:val="nil"/>
              <w:left w:val="nil"/>
              <w:bottom w:val="nil"/>
              <w:right w:val="nil"/>
            </w:tcBorders>
            <w:shd w:val="clear" w:color="000000" w:fill="FFFFFF"/>
            <w:noWrap/>
            <w:vAlign w:val="bottom"/>
            <w:hideMark/>
          </w:tcPr>
          <w:p w14:paraId="746B097C" w14:textId="46863AB7" w:rsidR="00E003F0" w:rsidRPr="00996B41" w:rsidRDefault="00981DEF" w:rsidP="00E003F0">
            <w:pPr>
              <w:jc w:val="right"/>
              <w:rPr>
                <w:rFonts w:eastAsia="Times New Roman" w:cstheme="minorHAnsi"/>
                <w:b/>
                <w:bCs/>
                <w:color w:val="0D0D0D"/>
                <w:sz w:val="18"/>
                <w:szCs w:val="18"/>
              </w:rPr>
            </w:pPr>
            <w:r w:rsidRPr="00996B41">
              <w:rPr>
                <w:rFonts w:eastAsia="Times New Roman" w:cstheme="minorHAnsi"/>
                <w:b/>
                <w:bCs/>
                <w:color w:val="0D0D0D"/>
                <w:sz w:val="18"/>
                <w:szCs w:val="18"/>
              </w:rPr>
              <w:t>14</w:t>
            </w:r>
            <w:r>
              <w:rPr>
                <w:rFonts w:eastAsia="Times New Roman" w:cstheme="minorHAnsi"/>
                <w:b/>
                <w:bCs/>
                <w:color w:val="0D0D0D"/>
                <w:sz w:val="18"/>
                <w:szCs w:val="18"/>
              </w:rPr>
              <w:t>3</w:t>
            </w:r>
          </w:p>
        </w:tc>
        <w:tc>
          <w:tcPr>
            <w:tcW w:w="621" w:type="dxa"/>
            <w:tcBorders>
              <w:top w:val="nil"/>
              <w:left w:val="nil"/>
              <w:bottom w:val="nil"/>
              <w:right w:val="nil"/>
            </w:tcBorders>
            <w:shd w:val="clear" w:color="000000" w:fill="BFBFBF"/>
            <w:noWrap/>
            <w:vAlign w:val="bottom"/>
            <w:hideMark/>
          </w:tcPr>
          <w:p w14:paraId="4957E138" w14:textId="182CACAA" w:rsidR="00E003F0" w:rsidRPr="00996B41" w:rsidRDefault="00981DEF" w:rsidP="00E003F0">
            <w:pPr>
              <w:jc w:val="right"/>
              <w:rPr>
                <w:rFonts w:eastAsia="Times New Roman" w:cstheme="minorHAnsi"/>
                <w:b/>
                <w:bCs/>
                <w:color w:val="0D0D0D"/>
                <w:sz w:val="18"/>
                <w:szCs w:val="18"/>
              </w:rPr>
            </w:pPr>
            <w:r w:rsidRPr="00996B41">
              <w:rPr>
                <w:rFonts w:eastAsia="Times New Roman" w:cstheme="minorHAnsi"/>
                <w:b/>
                <w:bCs/>
                <w:color w:val="0D0D0D"/>
                <w:sz w:val="18"/>
                <w:szCs w:val="18"/>
              </w:rPr>
              <w:t>1</w:t>
            </w:r>
            <w:r>
              <w:rPr>
                <w:rFonts w:eastAsia="Times New Roman" w:cstheme="minorHAnsi"/>
                <w:b/>
                <w:bCs/>
                <w:color w:val="0D0D0D"/>
                <w:sz w:val="18"/>
                <w:szCs w:val="18"/>
              </w:rPr>
              <w:t>7</w:t>
            </w:r>
            <w:r w:rsidR="00E003F0" w:rsidRPr="00996B41">
              <w:rPr>
                <w:rFonts w:eastAsia="Times New Roman" w:cstheme="minorHAnsi"/>
                <w:b/>
                <w:bCs/>
                <w:color w:val="0D0D0D"/>
                <w:sz w:val="18"/>
                <w:szCs w:val="18"/>
              </w:rPr>
              <w:t>%</w:t>
            </w:r>
          </w:p>
        </w:tc>
        <w:tc>
          <w:tcPr>
            <w:tcW w:w="609" w:type="dxa"/>
            <w:tcBorders>
              <w:top w:val="nil"/>
              <w:left w:val="nil"/>
              <w:bottom w:val="nil"/>
              <w:right w:val="nil"/>
            </w:tcBorders>
            <w:shd w:val="clear" w:color="000000" w:fill="FFFFFF"/>
            <w:noWrap/>
            <w:vAlign w:val="bottom"/>
            <w:hideMark/>
          </w:tcPr>
          <w:p w14:paraId="4B67EEE5" w14:textId="6CCB836F" w:rsidR="00E003F0" w:rsidRPr="00996B41" w:rsidRDefault="00981DEF" w:rsidP="00E003F0">
            <w:pPr>
              <w:jc w:val="right"/>
              <w:rPr>
                <w:rFonts w:eastAsia="Times New Roman" w:cstheme="minorHAnsi"/>
                <w:color w:val="0D0D0D"/>
                <w:sz w:val="18"/>
                <w:szCs w:val="18"/>
              </w:rPr>
            </w:pPr>
            <w:r w:rsidRPr="00996B41">
              <w:rPr>
                <w:rFonts w:eastAsia="Times New Roman" w:cstheme="minorHAnsi"/>
                <w:b/>
                <w:bCs/>
                <w:color w:val="0D0D0D"/>
                <w:sz w:val="18"/>
                <w:szCs w:val="18"/>
              </w:rPr>
              <w:t>14</w:t>
            </w:r>
            <w:r>
              <w:rPr>
                <w:rFonts w:eastAsia="Times New Roman" w:cstheme="minorHAnsi"/>
                <w:b/>
                <w:bCs/>
                <w:color w:val="0D0D0D"/>
                <w:sz w:val="18"/>
                <w:szCs w:val="18"/>
              </w:rPr>
              <w:t>7</w:t>
            </w:r>
          </w:p>
        </w:tc>
        <w:tc>
          <w:tcPr>
            <w:tcW w:w="619" w:type="dxa"/>
            <w:tcBorders>
              <w:top w:val="nil"/>
              <w:left w:val="nil"/>
              <w:bottom w:val="nil"/>
              <w:right w:val="nil"/>
            </w:tcBorders>
            <w:shd w:val="clear" w:color="000000" w:fill="BFBFBF"/>
            <w:noWrap/>
            <w:vAlign w:val="bottom"/>
            <w:hideMark/>
          </w:tcPr>
          <w:p w14:paraId="6D44A0F4" w14:textId="55106B30" w:rsidR="00E003F0" w:rsidRPr="00996B41" w:rsidRDefault="00E003F0" w:rsidP="00E003F0">
            <w:pPr>
              <w:jc w:val="right"/>
              <w:rPr>
                <w:rFonts w:eastAsia="Times New Roman" w:cstheme="minorHAnsi"/>
                <w:color w:val="0D0D0D"/>
                <w:sz w:val="18"/>
                <w:szCs w:val="18"/>
              </w:rPr>
            </w:pPr>
            <w:r w:rsidRPr="00996B41">
              <w:rPr>
                <w:rFonts w:eastAsia="Times New Roman" w:cstheme="minorHAnsi"/>
                <w:color w:val="0D0D0D"/>
                <w:sz w:val="18"/>
                <w:szCs w:val="18"/>
              </w:rPr>
              <w:t>18%</w:t>
            </w:r>
          </w:p>
        </w:tc>
        <w:tc>
          <w:tcPr>
            <w:tcW w:w="609" w:type="dxa"/>
            <w:tcBorders>
              <w:top w:val="nil"/>
              <w:left w:val="nil"/>
              <w:bottom w:val="nil"/>
              <w:right w:val="nil"/>
            </w:tcBorders>
            <w:shd w:val="clear" w:color="000000" w:fill="FFFFFF"/>
            <w:noWrap/>
            <w:vAlign w:val="bottom"/>
            <w:hideMark/>
          </w:tcPr>
          <w:p w14:paraId="7CDFA1B4" w14:textId="58773FAA" w:rsidR="00E003F0" w:rsidRPr="00996B41" w:rsidRDefault="00981DEF" w:rsidP="00E003F0">
            <w:pPr>
              <w:jc w:val="right"/>
              <w:rPr>
                <w:rFonts w:eastAsia="Times New Roman" w:cstheme="minorHAnsi"/>
                <w:color w:val="0D0D0D"/>
                <w:sz w:val="18"/>
                <w:szCs w:val="18"/>
              </w:rPr>
            </w:pPr>
            <w:r>
              <w:rPr>
                <w:rFonts w:eastAsia="Times New Roman" w:cstheme="minorHAnsi"/>
                <w:color w:val="0D0D0D"/>
                <w:sz w:val="18"/>
                <w:szCs w:val="18"/>
              </w:rPr>
              <w:t>148</w:t>
            </w:r>
          </w:p>
        </w:tc>
        <w:tc>
          <w:tcPr>
            <w:tcW w:w="649" w:type="dxa"/>
            <w:tcBorders>
              <w:top w:val="nil"/>
              <w:left w:val="nil"/>
              <w:bottom w:val="nil"/>
              <w:right w:val="nil"/>
            </w:tcBorders>
            <w:shd w:val="clear" w:color="000000" w:fill="BFBFBF"/>
            <w:noWrap/>
            <w:vAlign w:val="bottom"/>
            <w:hideMark/>
          </w:tcPr>
          <w:p w14:paraId="2A4B7A57" w14:textId="69C204D3" w:rsidR="00E003F0" w:rsidRPr="00996B41" w:rsidRDefault="00E003F0" w:rsidP="00E003F0">
            <w:pPr>
              <w:jc w:val="right"/>
              <w:rPr>
                <w:rFonts w:eastAsia="Times New Roman" w:cstheme="minorHAnsi"/>
                <w:color w:val="0D0D0D"/>
                <w:sz w:val="18"/>
                <w:szCs w:val="18"/>
              </w:rPr>
            </w:pPr>
            <w:r w:rsidRPr="00996B41">
              <w:rPr>
                <w:rFonts w:eastAsia="Times New Roman" w:cstheme="minorHAnsi"/>
                <w:color w:val="0D0D0D"/>
                <w:sz w:val="18"/>
                <w:szCs w:val="18"/>
              </w:rPr>
              <w:t>1</w:t>
            </w:r>
            <w:r w:rsidR="00981DEF">
              <w:rPr>
                <w:rFonts w:eastAsia="Times New Roman" w:cstheme="minorHAnsi"/>
                <w:color w:val="0D0D0D"/>
                <w:sz w:val="18"/>
                <w:szCs w:val="18"/>
              </w:rPr>
              <w:t>8</w:t>
            </w:r>
            <w:r w:rsidRPr="00996B41">
              <w:rPr>
                <w:rFonts w:eastAsia="Times New Roman" w:cstheme="minorHAnsi"/>
                <w:color w:val="0D0D0D"/>
                <w:sz w:val="18"/>
                <w:szCs w:val="18"/>
              </w:rPr>
              <w:t>%</w:t>
            </w:r>
          </w:p>
        </w:tc>
        <w:tc>
          <w:tcPr>
            <w:tcW w:w="609" w:type="dxa"/>
            <w:tcBorders>
              <w:top w:val="nil"/>
              <w:left w:val="nil"/>
              <w:bottom w:val="nil"/>
              <w:right w:val="nil"/>
            </w:tcBorders>
            <w:shd w:val="clear" w:color="000000" w:fill="FFFFFF"/>
            <w:noWrap/>
            <w:vAlign w:val="bottom"/>
            <w:hideMark/>
          </w:tcPr>
          <w:p w14:paraId="2CA13080" w14:textId="2FA82C02" w:rsidR="00E003F0" w:rsidRPr="00996B41" w:rsidRDefault="002F6B9E" w:rsidP="00E003F0">
            <w:pPr>
              <w:jc w:val="right"/>
              <w:rPr>
                <w:rFonts w:eastAsia="Times New Roman" w:cstheme="minorHAnsi"/>
                <w:color w:val="0D0D0D"/>
                <w:sz w:val="18"/>
                <w:szCs w:val="18"/>
              </w:rPr>
            </w:pPr>
            <w:r>
              <w:rPr>
                <w:rFonts w:eastAsia="Times New Roman" w:cstheme="minorHAnsi"/>
                <w:color w:val="0D0D0D"/>
                <w:sz w:val="18"/>
                <w:szCs w:val="18"/>
              </w:rPr>
              <w:t>87</w:t>
            </w:r>
          </w:p>
        </w:tc>
        <w:tc>
          <w:tcPr>
            <w:tcW w:w="583" w:type="dxa"/>
            <w:tcBorders>
              <w:top w:val="nil"/>
              <w:left w:val="nil"/>
              <w:bottom w:val="nil"/>
              <w:right w:val="nil"/>
            </w:tcBorders>
            <w:shd w:val="clear" w:color="000000" w:fill="BFBFBF"/>
            <w:noWrap/>
            <w:vAlign w:val="bottom"/>
            <w:hideMark/>
          </w:tcPr>
          <w:p w14:paraId="3ECE709F" w14:textId="50C941DA" w:rsidR="00E003F0" w:rsidRPr="00996B41" w:rsidRDefault="002F6B9E" w:rsidP="00E003F0">
            <w:pPr>
              <w:jc w:val="right"/>
              <w:rPr>
                <w:rFonts w:eastAsia="Times New Roman" w:cstheme="minorHAnsi"/>
                <w:color w:val="0D0D0D"/>
                <w:sz w:val="18"/>
                <w:szCs w:val="18"/>
              </w:rPr>
            </w:pPr>
            <w:r w:rsidRPr="00996B41">
              <w:rPr>
                <w:rFonts w:eastAsia="Times New Roman" w:cstheme="minorHAnsi"/>
                <w:color w:val="0D0D0D"/>
                <w:sz w:val="18"/>
                <w:szCs w:val="18"/>
              </w:rPr>
              <w:t>1</w:t>
            </w:r>
            <w:r>
              <w:rPr>
                <w:rFonts w:eastAsia="Times New Roman" w:cstheme="minorHAnsi"/>
                <w:color w:val="0D0D0D"/>
                <w:sz w:val="18"/>
                <w:szCs w:val="18"/>
              </w:rPr>
              <w:t>3</w:t>
            </w:r>
            <w:r w:rsidR="00E003F0" w:rsidRPr="00996B41">
              <w:rPr>
                <w:rFonts w:eastAsia="Times New Roman" w:cstheme="minorHAnsi"/>
                <w:color w:val="0D0D0D"/>
                <w:sz w:val="18"/>
                <w:szCs w:val="18"/>
              </w:rPr>
              <w:t>%</w:t>
            </w:r>
          </w:p>
        </w:tc>
      </w:tr>
      <w:tr w:rsidR="0059182A" w:rsidRPr="004E6649" w14:paraId="1C737D79" w14:textId="77777777" w:rsidTr="00F50B8A">
        <w:trPr>
          <w:trHeight w:val="80"/>
          <w:jc w:val="center"/>
        </w:trPr>
        <w:tc>
          <w:tcPr>
            <w:tcW w:w="2831" w:type="dxa"/>
            <w:tcBorders>
              <w:top w:val="nil"/>
              <w:left w:val="nil"/>
              <w:bottom w:val="nil"/>
              <w:right w:val="nil"/>
            </w:tcBorders>
            <w:shd w:val="clear" w:color="000000" w:fill="FFFFFF"/>
            <w:noWrap/>
            <w:vAlign w:val="bottom"/>
            <w:hideMark/>
          </w:tcPr>
          <w:p w14:paraId="325DA972" w14:textId="77777777" w:rsidR="00E003F0" w:rsidRPr="00996B41" w:rsidRDefault="00E003F0" w:rsidP="00E003F0">
            <w:pPr>
              <w:ind w:firstLineChars="100" w:firstLine="180"/>
              <w:rPr>
                <w:rFonts w:eastAsia="Times New Roman" w:cstheme="minorHAnsi"/>
                <w:color w:val="0D0D0D"/>
                <w:sz w:val="18"/>
                <w:szCs w:val="18"/>
              </w:rPr>
            </w:pPr>
            <w:r w:rsidRPr="00996B41">
              <w:rPr>
                <w:rFonts w:eastAsia="Times New Roman" w:cstheme="minorHAnsi"/>
                <w:color w:val="0D0D0D"/>
                <w:sz w:val="18"/>
                <w:szCs w:val="18"/>
              </w:rPr>
              <w:t>Utilities</w:t>
            </w:r>
          </w:p>
        </w:tc>
        <w:tc>
          <w:tcPr>
            <w:tcW w:w="755" w:type="dxa"/>
            <w:tcBorders>
              <w:top w:val="nil"/>
              <w:left w:val="nil"/>
              <w:bottom w:val="nil"/>
              <w:right w:val="nil"/>
            </w:tcBorders>
            <w:shd w:val="clear" w:color="000000" w:fill="FFFFFF"/>
            <w:noWrap/>
            <w:vAlign w:val="bottom"/>
          </w:tcPr>
          <w:p w14:paraId="4E3A486A" w14:textId="59A1D31D" w:rsidR="00E003F0" w:rsidRPr="00996B41" w:rsidRDefault="005222DE" w:rsidP="00E003F0">
            <w:pPr>
              <w:jc w:val="right"/>
              <w:rPr>
                <w:rFonts w:eastAsia="Times New Roman" w:cstheme="minorHAnsi"/>
                <w:b/>
                <w:bCs/>
                <w:color w:val="0D0D0D"/>
                <w:sz w:val="18"/>
                <w:szCs w:val="18"/>
              </w:rPr>
            </w:pPr>
            <w:r>
              <w:rPr>
                <w:rFonts w:eastAsia="Times New Roman" w:cstheme="minorHAnsi"/>
                <w:b/>
                <w:bCs/>
                <w:color w:val="0D0D0D"/>
                <w:sz w:val="18"/>
                <w:szCs w:val="18"/>
              </w:rPr>
              <w:t>35</w:t>
            </w:r>
          </w:p>
        </w:tc>
        <w:tc>
          <w:tcPr>
            <w:tcW w:w="621" w:type="dxa"/>
            <w:tcBorders>
              <w:top w:val="nil"/>
              <w:left w:val="nil"/>
              <w:bottom w:val="nil"/>
              <w:right w:val="nil"/>
            </w:tcBorders>
            <w:shd w:val="clear" w:color="000000" w:fill="BFBFBF"/>
            <w:noWrap/>
            <w:vAlign w:val="bottom"/>
          </w:tcPr>
          <w:p w14:paraId="2CF8E7B8" w14:textId="305962AB" w:rsidR="00E003F0" w:rsidRPr="00996B41" w:rsidRDefault="000D5A87" w:rsidP="00E003F0">
            <w:pPr>
              <w:jc w:val="right"/>
              <w:rPr>
                <w:rFonts w:eastAsia="Times New Roman" w:cstheme="minorHAnsi"/>
                <w:b/>
                <w:bCs/>
                <w:color w:val="0D0D0D"/>
                <w:sz w:val="18"/>
                <w:szCs w:val="18"/>
              </w:rPr>
            </w:pPr>
            <w:r>
              <w:rPr>
                <w:rFonts w:eastAsia="Times New Roman" w:cstheme="minorHAnsi"/>
                <w:b/>
                <w:bCs/>
                <w:color w:val="0D0D0D"/>
                <w:sz w:val="18"/>
                <w:szCs w:val="18"/>
              </w:rPr>
              <w:t>4%</w:t>
            </w:r>
          </w:p>
        </w:tc>
        <w:tc>
          <w:tcPr>
            <w:tcW w:w="764" w:type="dxa"/>
            <w:tcBorders>
              <w:top w:val="nil"/>
              <w:left w:val="nil"/>
              <w:bottom w:val="nil"/>
              <w:right w:val="nil"/>
            </w:tcBorders>
            <w:shd w:val="clear" w:color="000000" w:fill="FFFFFF"/>
            <w:noWrap/>
            <w:vAlign w:val="bottom"/>
            <w:hideMark/>
          </w:tcPr>
          <w:p w14:paraId="63DE562F" w14:textId="03C10F3F" w:rsidR="00E003F0" w:rsidRPr="00996B41" w:rsidRDefault="00981DEF" w:rsidP="00E003F0">
            <w:pPr>
              <w:jc w:val="right"/>
              <w:rPr>
                <w:rFonts w:eastAsia="Times New Roman" w:cstheme="minorHAnsi"/>
                <w:b/>
                <w:bCs/>
                <w:color w:val="0D0D0D"/>
                <w:sz w:val="18"/>
                <w:szCs w:val="18"/>
              </w:rPr>
            </w:pPr>
            <w:r>
              <w:rPr>
                <w:rFonts w:eastAsia="Times New Roman" w:cstheme="minorHAnsi"/>
                <w:b/>
                <w:bCs/>
                <w:color w:val="0D0D0D"/>
                <w:sz w:val="18"/>
                <w:szCs w:val="18"/>
              </w:rPr>
              <w:t>31</w:t>
            </w:r>
          </w:p>
        </w:tc>
        <w:tc>
          <w:tcPr>
            <w:tcW w:w="621" w:type="dxa"/>
            <w:tcBorders>
              <w:top w:val="nil"/>
              <w:left w:val="nil"/>
              <w:bottom w:val="nil"/>
              <w:right w:val="nil"/>
            </w:tcBorders>
            <w:shd w:val="clear" w:color="000000" w:fill="BFBFBF"/>
            <w:noWrap/>
            <w:vAlign w:val="bottom"/>
            <w:hideMark/>
          </w:tcPr>
          <w:p w14:paraId="639D28D5" w14:textId="465FC2AA" w:rsidR="00E003F0" w:rsidRPr="00996B41" w:rsidRDefault="007B6C2A" w:rsidP="00E003F0">
            <w:pPr>
              <w:jc w:val="right"/>
              <w:rPr>
                <w:rFonts w:eastAsia="Times New Roman" w:cstheme="minorHAnsi"/>
                <w:b/>
                <w:bCs/>
                <w:color w:val="0D0D0D"/>
                <w:sz w:val="18"/>
                <w:szCs w:val="18"/>
              </w:rPr>
            </w:pPr>
            <w:r>
              <w:rPr>
                <w:rFonts w:eastAsia="Times New Roman" w:cstheme="minorHAnsi"/>
                <w:b/>
                <w:bCs/>
                <w:color w:val="0D0D0D"/>
                <w:sz w:val="18"/>
                <w:szCs w:val="18"/>
              </w:rPr>
              <w:t>3</w:t>
            </w:r>
            <w:r w:rsidR="00E003F0" w:rsidRPr="00996B41">
              <w:rPr>
                <w:rFonts w:eastAsia="Times New Roman" w:cstheme="minorHAnsi"/>
                <w:b/>
                <w:bCs/>
                <w:color w:val="0D0D0D"/>
                <w:sz w:val="18"/>
                <w:szCs w:val="18"/>
              </w:rPr>
              <w:t>%</w:t>
            </w:r>
          </w:p>
        </w:tc>
        <w:tc>
          <w:tcPr>
            <w:tcW w:w="609" w:type="dxa"/>
            <w:tcBorders>
              <w:top w:val="nil"/>
              <w:left w:val="nil"/>
              <w:bottom w:val="nil"/>
              <w:right w:val="nil"/>
            </w:tcBorders>
            <w:shd w:val="clear" w:color="000000" w:fill="FFFFFF"/>
            <w:noWrap/>
            <w:vAlign w:val="bottom"/>
            <w:hideMark/>
          </w:tcPr>
          <w:p w14:paraId="1F345277" w14:textId="13A5C29D" w:rsidR="00E003F0" w:rsidRPr="00996B41" w:rsidRDefault="00981DEF" w:rsidP="00E003F0">
            <w:pPr>
              <w:jc w:val="right"/>
              <w:rPr>
                <w:rFonts w:eastAsia="Times New Roman" w:cstheme="minorHAnsi"/>
                <w:color w:val="0D0D0D"/>
                <w:sz w:val="18"/>
                <w:szCs w:val="18"/>
              </w:rPr>
            </w:pPr>
            <w:r>
              <w:rPr>
                <w:rFonts w:eastAsia="Times New Roman" w:cstheme="minorHAnsi"/>
                <w:b/>
                <w:bCs/>
                <w:color w:val="0D0D0D"/>
                <w:sz w:val="18"/>
                <w:szCs w:val="18"/>
              </w:rPr>
              <w:t>27</w:t>
            </w:r>
          </w:p>
        </w:tc>
        <w:tc>
          <w:tcPr>
            <w:tcW w:w="619" w:type="dxa"/>
            <w:tcBorders>
              <w:top w:val="nil"/>
              <w:left w:val="nil"/>
              <w:bottom w:val="nil"/>
              <w:right w:val="nil"/>
            </w:tcBorders>
            <w:shd w:val="clear" w:color="000000" w:fill="BFBFBF"/>
            <w:noWrap/>
            <w:vAlign w:val="bottom"/>
            <w:hideMark/>
          </w:tcPr>
          <w:p w14:paraId="354C65F7" w14:textId="77EC172F" w:rsidR="00E003F0" w:rsidRPr="00996B41" w:rsidRDefault="00981DEF" w:rsidP="00E003F0">
            <w:pPr>
              <w:jc w:val="right"/>
              <w:rPr>
                <w:rFonts w:eastAsia="Times New Roman" w:cstheme="minorHAnsi"/>
                <w:color w:val="0D0D0D"/>
                <w:sz w:val="18"/>
                <w:szCs w:val="18"/>
              </w:rPr>
            </w:pPr>
            <w:r>
              <w:rPr>
                <w:rFonts w:eastAsia="Times New Roman" w:cstheme="minorHAnsi"/>
                <w:color w:val="0D0D0D"/>
                <w:sz w:val="18"/>
                <w:szCs w:val="18"/>
              </w:rPr>
              <w:t>3</w:t>
            </w:r>
            <w:r w:rsidR="00E003F0" w:rsidRPr="00996B41">
              <w:rPr>
                <w:rFonts w:eastAsia="Times New Roman" w:cstheme="minorHAnsi"/>
                <w:color w:val="0D0D0D"/>
                <w:sz w:val="18"/>
                <w:szCs w:val="18"/>
              </w:rPr>
              <w:t>%</w:t>
            </w:r>
          </w:p>
        </w:tc>
        <w:tc>
          <w:tcPr>
            <w:tcW w:w="609" w:type="dxa"/>
            <w:tcBorders>
              <w:top w:val="nil"/>
              <w:left w:val="nil"/>
              <w:bottom w:val="nil"/>
              <w:right w:val="nil"/>
            </w:tcBorders>
            <w:shd w:val="clear" w:color="000000" w:fill="FFFFFF"/>
            <w:noWrap/>
            <w:vAlign w:val="bottom"/>
            <w:hideMark/>
          </w:tcPr>
          <w:p w14:paraId="4EF07A30" w14:textId="3B585571" w:rsidR="00E003F0" w:rsidRPr="00996B41" w:rsidRDefault="00981DEF" w:rsidP="00E003F0">
            <w:pPr>
              <w:jc w:val="right"/>
              <w:rPr>
                <w:rFonts w:eastAsia="Times New Roman" w:cstheme="minorHAnsi"/>
                <w:color w:val="0D0D0D"/>
                <w:sz w:val="18"/>
                <w:szCs w:val="18"/>
              </w:rPr>
            </w:pPr>
            <w:r>
              <w:rPr>
                <w:rFonts w:eastAsia="Times New Roman" w:cstheme="minorHAnsi"/>
                <w:color w:val="0D0D0D"/>
                <w:sz w:val="18"/>
                <w:szCs w:val="18"/>
              </w:rPr>
              <w:t>30</w:t>
            </w:r>
          </w:p>
        </w:tc>
        <w:tc>
          <w:tcPr>
            <w:tcW w:w="649" w:type="dxa"/>
            <w:tcBorders>
              <w:top w:val="nil"/>
              <w:left w:val="nil"/>
              <w:bottom w:val="nil"/>
              <w:right w:val="nil"/>
            </w:tcBorders>
            <w:shd w:val="clear" w:color="000000" w:fill="BFBFBF"/>
            <w:noWrap/>
            <w:vAlign w:val="bottom"/>
            <w:hideMark/>
          </w:tcPr>
          <w:p w14:paraId="7A8C6BE2" w14:textId="0BB1C6BB" w:rsidR="00E003F0" w:rsidRPr="00996B41" w:rsidRDefault="00981DEF" w:rsidP="00E003F0">
            <w:pPr>
              <w:jc w:val="right"/>
              <w:rPr>
                <w:rFonts w:eastAsia="Times New Roman" w:cstheme="minorHAnsi"/>
                <w:color w:val="0D0D0D"/>
                <w:sz w:val="18"/>
                <w:szCs w:val="18"/>
              </w:rPr>
            </w:pPr>
            <w:r>
              <w:rPr>
                <w:rFonts w:eastAsia="Times New Roman" w:cstheme="minorHAnsi"/>
                <w:color w:val="0D0D0D"/>
                <w:sz w:val="18"/>
                <w:szCs w:val="18"/>
              </w:rPr>
              <w:t>4</w:t>
            </w:r>
            <w:r w:rsidR="00E003F0" w:rsidRPr="00996B41">
              <w:rPr>
                <w:rFonts w:eastAsia="Times New Roman" w:cstheme="minorHAnsi"/>
                <w:color w:val="0D0D0D"/>
                <w:sz w:val="18"/>
                <w:szCs w:val="18"/>
              </w:rPr>
              <w:t>%</w:t>
            </w:r>
          </w:p>
        </w:tc>
        <w:tc>
          <w:tcPr>
            <w:tcW w:w="609" w:type="dxa"/>
            <w:tcBorders>
              <w:top w:val="nil"/>
              <w:left w:val="nil"/>
              <w:bottom w:val="nil"/>
              <w:right w:val="nil"/>
            </w:tcBorders>
            <w:shd w:val="clear" w:color="000000" w:fill="FFFFFF"/>
            <w:noWrap/>
            <w:vAlign w:val="bottom"/>
            <w:hideMark/>
          </w:tcPr>
          <w:p w14:paraId="7813C53E" w14:textId="2615ACC3" w:rsidR="00E003F0" w:rsidRPr="00996B41" w:rsidRDefault="002F6B9E" w:rsidP="00E003F0">
            <w:pPr>
              <w:jc w:val="right"/>
              <w:rPr>
                <w:rFonts w:eastAsia="Times New Roman" w:cstheme="minorHAnsi"/>
                <w:color w:val="0D0D0D"/>
                <w:sz w:val="18"/>
                <w:szCs w:val="18"/>
              </w:rPr>
            </w:pPr>
            <w:r w:rsidRPr="00996B41">
              <w:rPr>
                <w:rFonts w:eastAsia="Times New Roman" w:cstheme="minorHAnsi"/>
                <w:color w:val="0D0D0D"/>
                <w:sz w:val="18"/>
                <w:szCs w:val="18"/>
              </w:rPr>
              <w:t>2</w:t>
            </w:r>
            <w:r>
              <w:rPr>
                <w:rFonts w:eastAsia="Times New Roman" w:cstheme="minorHAnsi"/>
                <w:color w:val="0D0D0D"/>
                <w:sz w:val="18"/>
                <w:szCs w:val="18"/>
              </w:rPr>
              <w:t>7</w:t>
            </w:r>
          </w:p>
        </w:tc>
        <w:tc>
          <w:tcPr>
            <w:tcW w:w="583" w:type="dxa"/>
            <w:tcBorders>
              <w:top w:val="nil"/>
              <w:left w:val="nil"/>
              <w:bottom w:val="nil"/>
              <w:right w:val="nil"/>
            </w:tcBorders>
            <w:shd w:val="clear" w:color="000000" w:fill="BFBFBF"/>
            <w:noWrap/>
            <w:vAlign w:val="bottom"/>
            <w:hideMark/>
          </w:tcPr>
          <w:p w14:paraId="2982DD60" w14:textId="095BC390" w:rsidR="00E003F0" w:rsidRPr="00996B41" w:rsidRDefault="0059182A" w:rsidP="00E003F0">
            <w:pPr>
              <w:jc w:val="right"/>
              <w:rPr>
                <w:rFonts w:eastAsia="Times New Roman" w:cstheme="minorHAnsi"/>
                <w:color w:val="0D0D0D"/>
                <w:sz w:val="18"/>
                <w:szCs w:val="18"/>
              </w:rPr>
            </w:pPr>
            <w:r>
              <w:rPr>
                <w:rFonts w:eastAsia="Times New Roman" w:cstheme="minorHAnsi"/>
                <w:color w:val="0D0D0D"/>
                <w:sz w:val="18"/>
                <w:szCs w:val="18"/>
              </w:rPr>
              <w:t>4</w:t>
            </w:r>
            <w:r w:rsidR="00E003F0" w:rsidRPr="00996B41">
              <w:rPr>
                <w:rFonts w:eastAsia="Times New Roman" w:cstheme="minorHAnsi"/>
                <w:color w:val="0D0D0D"/>
                <w:sz w:val="18"/>
                <w:szCs w:val="18"/>
              </w:rPr>
              <w:t>%</w:t>
            </w:r>
          </w:p>
        </w:tc>
      </w:tr>
      <w:tr w:rsidR="0059182A" w:rsidRPr="004E6649" w14:paraId="7825966C" w14:textId="77777777" w:rsidTr="00F50B8A">
        <w:trPr>
          <w:trHeight w:val="80"/>
          <w:jc w:val="center"/>
        </w:trPr>
        <w:tc>
          <w:tcPr>
            <w:tcW w:w="2831" w:type="dxa"/>
            <w:tcBorders>
              <w:top w:val="nil"/>
              <w:left w:val="nil"/>
              <w:bottom w:val="nil"/>
              <w:right w:val="nil"/>
            </w:tcBorders>
            <w:shd w:val="clear" w:color="000000" w:fill="FFFFFF"/>
            <w:noWrap/>
            <w:vAlign w:val="bottom"/>
            <w:hideMark/>
          </w:tcPr>
          <w:p w14:paraId="15A15D62" w14:textId="77777777" w:rsidR="00E003F0" w:rsidRPr="00996B41" w:rsidRDefault="00E003F0" w:rsidP="00E003F0">
            <w:pPr>
              <w:ind w:firstLineChars="100" w:firstLine="180"/>
              <w:rPr>
                <w:rFonts w:eastAsia="Times New Roman" w:cstheme="minorHAnsi"/>
                <w:color w:val="0D0D0D"/>
                <w:sz w:val="18"/>
                <w:szCs w:val="18"/>
              </w:rPr>
            </w:pPr>
            <w:r w:rsidRPr="00996B41">
              <w:rPr>
                <w:rFonts w:eastAsia="Times New Roman" w:cstheme="minorHAnsi"/>
                <w:color w:val="0D0D0D"/>
                <w:sz w:val="18"/>
                <w:szCs w:val="18"/>
              </w:rPr>
              <w:t>Supplies and Services</w:t>
            </w:r>
          </w:p>
        </w:tc>
        <w:tc>
          <w:tcPr>
            <w:tcW w:w="755" w:type="dxa"/>
            <w:tcBorders>
              <w:top w:val="nil"/>
              <w:left w:val="nil"/>
              <w:bottom w:val="nil"/>
              <w:right w:val="nil"/>
            </w:tcBorders>
            <w:shd w:val="clear" w:color="000000" w:fill="FFFFFF"/>
            <w:noWrap/>
            <w:vAlign w:val="bottom"/>
          </w:tcPr>
          <w:p w14:paraId="6A882495" w14:textId="5EC945BE" w:rsidR="00E003F0" w:rsidRPr="00996B41" w:rsidRDefault="005222DE" w:rsidP="003802D8">
            <w:pPr>
              <w:jc w:val="right"/>
              <w:rPr>
                <w:rFonts w:eastAsia="Times New Roman" w:cstheme="minorHAnsi"/>
                <w:b/>
                <w:bCs/>
                <w:color w:val="0D0D0D"/>
                <w:sz w:val="18"/>
                <w:szCs w:val="18"/>
              </w:rPr>
            </w:pPr>
            <w:r>
              <w:rPr>
                <w:rFonts w:eastAsia="Times New Roman" w:cstheme="minorHAnsi"/>
                <w:b/>
                <w:bCs/>
                <w:color w:val="0D0D0D" w:themeColor="text1" w:themeTint="F2"/>
                <w:sz w:val="18"/>
                <w:szCs w:val="18"/>
              </w:rPr>
              <w:t>2</w:t>
            </w:r>
            <w:r w:rsidR="00AA61D4">
              <w:rPr>
                <w:rFonts w:eastAsia="Times New Roman" w:cstheme="minorHAnsi"/>
                <w:b/>
                <w:bCs/>
                <w:color w:val="0D0D0D" w:themeColor="text1" w:themeTint="F2"/>
                <w:sz w:val="18"/>
                <w:szCs w:val="18"/>
              </w:rPr>
              <w:t>2</w:t>
            </w:r>
            <w:r w:rsidR="00A646DC">
              <w:rPr>
                <w:rFonts w:eastAsia="Times New Roman" w:cstheme="minorHAnsi"/>
                <w:b/>
                <w:bCs/>
                <w:color w:val="0D0D0D" w:themeColor="text1" w:themeTint="F2"/>
                <w:sz w:val="18"/>
                <w:szCs w:val="18"/>
              </w:rPr>
              <w:t>3</w:t>
            </w:r>
          </w:p>
        </w:tc>
        <w:tc>
          <w:tcPr>
            <w:tcW w:w="621" w:type="dxa"/>
            <w:tcBorders>
              <w:top w:val="nil"/>
              <w:left w:val="nil"/>
              <w:bottom w:val="nil"/>
              <w:right w:val="nil"/>
            </w:tcBorders>
            <w:shd w:val="clear" w:color="000000" w:fill="BFBFBF"/>
            <w:noWrap/>
            <w:vAlign w:val="bottom"/>
          </w:tcPr>
          <w:p w14:paraId="03F059E0" w14:textId="1D791D54" w:rsidR="00E003F0" w:rsidRPr="00996B41" w:rsidRDefault="000D5A87" w:rsidP="00E003F0">
            <w:pPr>
              <w:jc w:val="right"/>
              <w:rPr>
                <w:rFonts w:eastAsia="Times New Roman" w:cstheme="minorHAnsi"/>
                <w:b/>
                <w:bCs/>
                <w:color w:val="0D0D0D"/>
                <w:sz w:val="18"/>
                <w:szCs w:val="18"/>
              </w:rPr>
            </w:pPr>
            <w:r>
              <w:rPr>
                <w:rFonts w:eastAsia="Times New Roman" w:cstheme="minorHAnsi"/>
                <w:b/>
                <w:bCs/>
                <w:color w:val="0D0D0D"/>
                <w:sz w:val="18"/>
                <w:szCs w:val="18"/>
              </w:rPr>
              <w:t>2</w:t>
            </w:r>
            <w:r w:rsidR="00446388">
              <w:rPr>
                <w:rFonts w:eastAsia="Times New Roman" w:cstheme="minorHAnsi"/>
                <w:b/>
                <w:bCs/>
                <w:color w:val="0D0D0D"/>
                <w:sz w:val="18"/>
                <w:szCs w:val="18"/>
              </w:rPr>
              <w:t>5</w:t>
            </w:r>
            <w:r>
              <w:rPr>
                <w:rFonts w:eastAsia="Times New Roman" w:cstheme="minorHAnsi"/>
                <w:b/>
                <w:bCs/>
                <w:color w:val="0D0D0D"/>
                <w:sz w:val="18"/>
                <w:szCs w:val="18"/>
              </w:rPr>
              <w:t>%</w:t>
            </w:r>
          </w:p>
        </w:tc>
        <w:tc>
          <w:tcPr>
            <w:tcW w:w="764" w:type="dxa"/>
            <w:tcBorders>
              <w:top w:val="nil"/>
              <w:left w:val="nil"/>
              <w:bottom w:val="nil"/>
              <w:right w:val="nil"/>
            </w:tcBorders>
            <w:shd w:val="clear" w:color="000000" w:fill="FFFFFF"/>
            <w:noWrap/>
            <w:vAlign w:val="bottom"/>
            <w:hideMark/>
          </w:tcPr>
          <w:p w14:paraId="36B48F83" w14:textId="450F4D8C" w:rsidR="00E003F0" w:rsidRPr="00996B41" w:rsidRDefault="00981DEF" w:rsidP="00E003F0">
            <w:pPr>
              <w:jc w:val="right"/>
              <w:rPr>
                <w:rFonts w:eastAsia="Times New Roman" w:cstheme="minorHAnsi"/>
                <w:b/>
                <w:bCs/>
                <w:color w:val="0D0D0D"/>
                <w:sz w:val="18"/>
                <w:szCs w:val="18"/>
              </w:rPr>
            </w:pPr>
            <w:r>
              <w:rPr>
                <w:rFonts w:eastAsia="Times New Roman" w:cstheme="minorHAnsi"/>
                <w:b/>
                <w:bCs/>
                <w:color w:val="0D0D0D"/>
                <w:sz w:val="18"/>
                <w:szCs w:val="18"/>
              </w:rPr>
              <w:t>20</w:t>
            </w:r>
            <w:r w:rsidR="0059182A">
              <w:rPr>
                <w:rFonts w:eastAsia="Times New Roman" w:cstheme="minorHAnsi"/>
                <w:b/>
                <w:bCs/>
                <w:color w:val="0D0D0D"/>
                <w:sz w:val="18"/>
                <w:szCs w:val="18"/>
              </w:rPr>
              <w:t>6</w:t>
            </w:r>
          </w:p>
        </w:tc>
        <w:tc>
          <w:tcPr>
            <w:tcW w:w="621" w:type="dxa"/>
            <w:tcBorders>
              <w:top w:val="nil"/>
              <w:left w:val="nil"/>
              <w:bottom w:val="nil"/>
              <w:right w:val="nil"/>
            </w:tcBorders>
            <w:shd w:val="clear" w:color="000000" w:fill="BFBFBF"/>
            <w:noWrap/>
            <w:vAlign w:val="bottom"/>
            <w:hideMark/>
          </w:tcPr>
          <w:p w14:paraId="47F263B7" w14:textId="74774003" w:rsidR="00E003F0" w:rsidRPr="00996B41" w:rsidRDefault="00981DEF" w:rsidP="00E003F0">
            <w:pPr>
              <w:jc w:val="right"/>
              <w:rPr>
                <w:rFonts w:eastAsia="Times New Roman" w:cstheme="minorHAnsi"/>
                <w:b/>
                <w:bCs/>
                <w:color w:val="0D0D0D"/>
                <w:sz w:val="18"/>
                <w:szCs w:val="18"/>
              </w:rPr>
            </w:pPr>
            <w:r w:rsidRPr="00996B41">
              <w:rPr>
                <w:rFonts w:eastAsia="Times New Roman" w:cstheme="minorHAnsi"/>
                <w:b/>
                <w:bCs/>
                <w:color w:val="0D0D0D"/>
                <w:sz w:val="18"/>
                <w:szCs w:val="18"/>
              </w:rPr>
              <w:t>2</w:t>
            </w:r>
            <w:r>
              <w:rPr>
                <w:rFonts w:eastAsia="Times New Roman" w:cstheme="minorHAnsi"/>
                <w:b/>
                <w:bCs/>
                <w:color w:val="0D0D0D"/>
                <w:sz w:val="18"/>
                <w:szCs w:val="18"/>
              </w:rPr>
              <w:t>4</w:t>
            </w:r>
            <w:r w:rsidR="00E003F0" w:rsidRPr="00996B41">
              <w:rPr>
                <w:rFonts w:eastAsia="Times New Roman" w:cstheme="minorHAnsi"/>
                <w:b/>
                <w:bCs/>
                <w:color w:val="0D0D0D"/>
                <w:sz w:val="18"/>
                <w:szCs w:val="18"/>
              </w:rPr>
              <w:t>%</w:t>
            </w:r>
          </w:p>
        </w:tc>
        <w:tc>
          <w:tcPr>
            <w:tcW w:w="609" w:type="dxa"/>
            <w:tcBorders>
              <w:top w:val="nil"/>
              <w:left w:val="nil"/>
              <w:bottom w:val="nil"/>
              <w:right w:val="nil"/>
            </w:tcBorders>
            <w:shd w:val="clear" w:color="000000" w:fill="FFFFFF"/>
            <w:noWrap/>
            <w:vAlign w:val="bottom"/>
            <w:hideMark/>
          </w:tcPr>
          <w:p w14:paraId="38E83621" w14:textId="15AAE30D" w:rsidR="00E003F0" w:rsidRPr="00996B41" w:rsidRDefault="00981DEF" w:rsidP="00E003F0">
            <w:pPr>
              <w:jc w:val="right"/>
              <w:rPr>
                <w:rFonts w:eastAsia="Times New Roman" w:cstheme="minorHAnsi"/>
                <w:color w:val="0D0D0D"/>
                <w:sz w:val="18"/>
                <w:szCs w:val="18"/>
              </w:rPr>
            </w:pPr>
            <w:r w:rsidRPr="00996B41">
              <w:rPr>
                <w:rFonts w:eastAsia="Times New Roman" w:cstheme="minorHAnsi"/>
                <w:b/>
                <w:bCs/>
                <w:color w:val="0D0D0D"/>
                <w:sz w:val="18"/>
                <w:szCs w:val="18"/>
              </w:rPr>
              <w:t>1</w:t>
            </w:r>
            <w:r>
              <w:rPr>
                <w:rFonts w:eastAsia="Times New Roman" w:cstheme="minorHAnsi"/>
                <w:b/>
                <w:bCs/>
                <w:color w:val="0D0D0D"/>
                <w:sz w:val="18"/>
                <w:szCs w:val="18"/>
              </w:rPr>
              <w:t>80</w:t>
            </w:r>
          </w:p>
        </w:tc>
        <w:tc>
          <w:tcPr>
            <w:tcW w:w="619" w:type="dxa"/>
            <w:tcBorders>
              <w:top w:val="nil"/>
              <w:left w:val="nil"/>
              <w:bottom w:val="nil"/>
              <w:right w:val="nil"/>
            </w:tcBorders>
            <w:shd w:val="clear" w:color="000000" w:fill="BFBFBF"/>
            <w:noWrap/>
            <w:vAlign w:val="bottom"/>
            <w:hideMark/>
          </w:tcPr>
          <w:p w14:paraId="3F7150E0" w14:textId="685D2637" w:rsidR="00E003F0" w:rsidRPr="00996B41" w:rsidRDefault="00981DEF" w:rsidP="00E003F0">
            <w:pPr>
              <w:jc w:val="right"/>
              <w:rPr>
                <w:rFonts w:eastAsia="Times New Roman" w:cstheme="minorHAnsi"/>
                <w:color w:val="0D0D0D"/>
                <w:sz w:val="18"/>
                <w:szCs w:val="18"/>
              </w:rPr>
            </w:pPr>
            <w:r w:rsidRPr="00996B41">
              <w:rPr>
                <w:rFonts w:eastAsia="Times New Roman" w:cstheme="minorHAnsi"/>
                <w:color w:val="0D0D0D"/>
                <w:sz w:val="18"/>
                <w:szCs w:val="18"/>
              </w:rPr>
              <w:t>2</w:t>
            </w:r>
            <w:r>
              <w:rPr>
                <w:rFonts w:eastAsia="Times New Roman" w:cstheme="minorHAnsi"/>
                <w:color w:val="0D0D0D"/>
                <w:sz w:val="18"/>
                <w:szCs w:val="18"/>
              </w:rPr>
              <w:t>2</w:t>
            </w:r>
            <w:r w:rsidR="00E003F0" w:rsidRPr="00996B41">
              <w:rPr>
                <w:rFonts w:eastAsia="Times New Roman" w:cstheme="minorHAnsi"/>
                <w:color w:val="0D0D0D"/>
                <w:sz w:val="18"/>
                <w:szCs w:val="18"/>
              </w:rPr>
              <w:t>%</w:t>
            </w:r>
          </w:p>
        </w:tc>
        <w:tc>
          <w:tcPr>
            <w:tcW w:w="609" w:type="dxa"/>
            <w:tcBorders>
              <w:top w:val="nil"/>
              <w:left w:val="nil"/>
              <w:bottom w:val="nil"/>
              <w:right w:val="nil"/>
            </w:tcBorders>
            <w:shd w:val="clear" w:color="000000" w:fill="FFFFFF"/>
            <w:noWrap/>
            <w:vAlign w:val="bottom"/>
            <w:hideMark/>
          </w:tcPr>
          <w:p w14:paraId="793886C0" w14:textId="05B1FACE" w:rsidR="00E003F0" w:rsidRPr="00996B41" w:rsidRDefault="00981DEF" w:rsidP="00E003F0">
            <w:pPr>
              <w:jc w:val="right"/>
              <w:rPr>
                <w:rFonts w:eastAsia="Times New Roman" w:cstheme="minorHAnsi"/>
                <w:color w:val="0D0D0D"/>
                <w:sz w:val="18"/>
                <w:szCs w:val="18"/>
              </w:rPr>
            </w:pPr>
            <w:r w:rsidRPr="00996B41">
              <w:rPr>
                <w:rFonts w:eastAsia="Times New Roman" w:cstheme="minorHAnsi"/>
                <w:color w:val="0D0D0D"/>
                <w:sz w:val="18"/>
                <w:szCs w:val="18"/>
              </w:rPr>
              <w:t>1</w:t>
            </w:r>
            <w:r>
              <w:rPr>
                <w:rFonts w:eastAsia="Times New Roman" w:cstheme="minorHAnsi"/>
                <w:color w:val="0D0D0D"/>
                <w:sz w:val="18"/>
                <w:szCs w:val="18"/>
              </w:rPr>
              <w:t>66</w:t>
            </w:r>
          </w:p>
        </w:tc>
        <w:tc>
          <w:tcPr>
            <w:tcW w:w="649" w:type="dxa"/>
            <w:tcBorders>
              <w:top w:val="nil"/>
              <w:left w:val="nil"/>
              <w:bottom w:val="nil"/>
              <w:right w:val="nil"/>
            </w:tcBorders>
            <w:shd w:val="clear" w:color="000000" w:fill="BFBFBF"/>
            <w:noWrap/>
            <w:vAlign w:val="bottom"/>
            <w:hideMark/>
          </w:tcPr>
          <w:p w14:paraId="08966ABD" w14:textId="5E99046B" w:rsidR="00E003F0" w:rsidRPr="00996B41" w:rsidRDefault="00E003F0" w:rsidP="00E003F0">
            <w:pPr>
              <w:jc w:val="right"/>
              <w:rPr>
                <w:rFonts w:eastAsia="Times New Roman" w:cstheme="minorHAnsi"/>
                <w:color w:val="0D0D0D"/>
                <w:sz w:val="18"/>
                <w:szCs w:val="18"/>
              </w:rPr>
            </w:pPr>
            <w:r w:rsidRPr="00996B41">
              <w:rPr>
                <w:rFonts w:eastAsia="Times New Roman" w:cstheme="minorHAnsi"/>
                <w:color w:val="0D0D0D"/>
                <w:sz w:val="18"/>
                <w:szCs w:val="18"/>
              </w:rPr>
              <w:t>20%</w:t>
            </w:r>
          </w:p>
        </w:tc>
        <w:tc>
          <w:tcPr>
            <w:tcW w:w="609" w:type="dxa"/>
            <w:tcBorders>
              <w:top w:val="nil"/>
              <w:left w:val="nil"/>
              <w:bottom w:val="nil"/>
              <w:right w:val="nil"/>
            </w:tcBorders>
            <w:shd w:val="clear" w:color="000000" w:fill="FFFFFF"/>
            <w:noWrap/>
            <w:vAlign w:val="bottom"/>
            <w:hideMark/>
          </w:tcPr>
          <w:p w14:paraId="0D899939" w14:textId="7955A9C2" w:rsidR="00E003F0" w:rsidRPr="00996B41" w:rsidRDefault="00E003F0" w:rsidP="00E003F0">
            <w:pPr>
              <w:jc w:val="right"/>
              <w:rPr>
                <w:rFonts w:eastAsia="Times New Roman" w:cstheme="minorHAnsi"/>
                <w:color w:val="0D0D0D"/>
                <w:sz w:val="18"/>
                <w:szCs w:val="18"/>
              </w:rPr>
            </w:pPr>
            <w:r w:rsidRPr="00996B41">
              <w:rPr>
                <w:rFonts w:eastAsia="Times New Roman" w:cstheme="minorHAnsi"/>
                <w:color w:val="0D0D0D"/>
                <w:sz w:val="18"/>
                <w:szCs w:val="18"/>
              </w:rPr>
              <w:t>146</w:t>
            </w:r>
          </w:p>
        </w:tc>
        <w:tc>
          <w:tcPr>
            <w:tcW w:w="583" w:type="dxa"/>
            <w:tcBorders>
              <w:top w:val="nil"/>
              <w:left w:val="nil"/>
              <w:bottom w:val="nil"/>
              <w:right w:val="nil"/>
            </w:tcBorders>
            <w:shd w:val="clear" w:color="000000" w:fill="BFBFBF"/>
            <w:noWrap/>
            <w:vAlign w:val="bottom"/>
            <w:hideMark/>
          </w:tcPr>
          <w:p w14:paraId="72C7DAE6" w14:textId="6AD436C9" w:rsidR="00E003F0" w:rsidRPr="00996B41" w:rsidRDefault="00E003F0" w:rsidP="00E003F0">
            <w:pPr>
              <w:jc w:val="right"/>
              <w:rPr>
                <w:rFonts w:eastAsia="Times New Roman" w:cstheme="minorHAnsi"/>
                <w:color w:val="0D0D0D"/>
                <w:sz w:val="18"/>
                <w:szCs w:val="18"/>
              </w:rPr>
            </w:pPr>
            <w:r w:rsidRPr="00996B41">
              <w:rPr>
                <w:rFonts w:eastAsia="Times New Roman" w:cstheme="minorHAnsi"/>
                <w:color w:val="0D0D0D"/>
                <w:sz w:val="18"/>
                <w:szCs w:val="18"/>
              </w:rPr>
              <w:t>2</w:t>
            </w:r>
            <w:r w:rsidR="0059182A">
              <w:rPr>
                <w:rFonts w:eastAsia="Times New Roman" w:cstheme="minorHAnsi"/>
                <w:color w:val="0D0D0D"/>
                <w:sz w:val="18"/>
                <w:szCs w:val="18"/>
              </w:rPr>
              <w:t>1</w:t>
            </w:r>
            <w:r w:rsidRPr="00996B41">
              <w:rPr>
                <w:rFonts w:eastAsia="Times New Roman" w:cstheme="minorHAnsi"/>
                <w:color w:val="0D0D0D"/>
                <w:sz w:val="18"/>
                <w:szCs w:val="18"/>
              </w:rPr>
              <w:t>%</w:t>
            </w:r>
          </w:p>
        </w:tc>
      </w:tr>
      <w:tr w:rsidR="0059182A" w:rsidRPr="004E6649" w14:paraId="3883BEB4" w14:textId="77777777" w:rsidTr="00F50B8A">
        <w:trPr>
          <w:trHeight w:val="80"/>
          <w:jc w:val="center"/>
        </w:trPr>
        <w:tc>
          <w:tcPr>
            <w:tcW w:w="2831" w:type="dxa"/>
            <w:tcBorders>
              <w:top w:val="nil"/>
              <w:left w:val="nil"/>
              <w:right w:val="nil"/>
            </w:tcBorders>
            <w:shd w:val="clear" w:color="000000" w:fill="FFFFFF"/>
            <w:noWrap/>
            <w:vAlign w:val="bottom"/>
            <w:hideMark/>
          </w:tcPr>
          <w:p w14:paraId="5508AA97" w14:textId="77777777" w:rsidR="00E003F0" w:rsidRPr="00996B41" w:rsidRDefault="00E003F0" w:rsidP="00E003F0">
            <w:pPr>
              <w:ind w:firstLineChars="100" w:firstLine="180"/>
              <w:rPr>
                <w:rFonts w:eastAsia="Times New Roman" w:cstheme="minorHAnsi"/>
                <w:color w:val="0D0D0D"/>
                <w:sz w:val="18"/>
                <w:szCs w:val="18"/>
              </w:rPr>
            </w:pPr>
            <w:r w:rsidRPr="00996B41">
              <w:rPr>
                <w:rFonts w:eastAsia="Times New Roman" w:cstheme="minorHAnsi"/>
                <w:color w:val="0D0D0D"/>
                <w:sz w:val="18"/>
                <w:szCs w:val="18"/>
              </w:rPr>
              <w:t>Depreciation and Amortization</w:t>
            </w:r>
          </w:p>
        </w:tc>
        <w:tc>
          <w:tcPr>
            <w:tcW w:w="755" w:type="dxa"/>
            <w:tcBorders>
              <w:top w:val="nil"/>
              <w:left w:val="nil"/>
              <w:right w:val="nil"/>
            </w:tcBorders>
            <w:shd w:val="clear" w:color="000000" w:fill="FFFFFF"/>
            <w:noWrap/>
            <w:vAlign w:val="bottom"/>
          </w:tcPr>
          <w:p w14:paraId="48853859" w14:textId="57CD3458" w:rsidR="00E003F0" w:rsidRPr="00996B41" w:rsidRDefault="005222DE" w:rsidP="00E003F0">
            <w:pPr>
              <w:jc w:val="right"/>
              <w:rPr>
                <w:rFonts w:eastAsia="Times New Roman" w:cstheme="minorHAnsi"/>
                <w:b/>
                <w:bCs/>
                <w:color w:val="0D0D0D"/>
                <w:sz w:val="18"/>
                <w:szCs w:val="18"/>
              </w:rPr>
            </w:pPr>
            <w:r>
              <w:rPr>
                <w:rFonts w:eastAsia="Times New Roman" w:cstheme="minorHAnsi"/>
                <w:b/>
                <w:bCs/>
                <w:color w:val="0D0D0D"/>
                <w:sz w:val="18"/>
                <w:szCs w:val="18"/>
              </w:rPr>
              <w:t>6</w:t>
            </w:r>
            <w:r w:rsidR="003E1080">
              <w:rPr>
                <w:rFonts w:eastAsia="Times New Roman" w:cstheme="minorHAnsi"/>
                <w:b/>
                <w:bCs/>
                <w:color w:val="0D0D0D"/>
                <w:sz w:val="18"/>
                <w:szCs w:val="18"/>
              </w:rPr>
              <w:t>3</w:t>
            </w:r>
          </w:p>
        </w:tc>
        <w:tc>
          <w:tcPr>
            <w:tcW w:w="621" w:type="dxa"/>
            <w:tcBorders>
              <w:top w:val="nil"/>
              <w:left w:val="nil"/>
              <w:right w:val="nil"/>
            </w:tcBorders>
            <w:shd w:val="clear" w:color="000000" w:fill="BFBFBF"/>
            <w:noWrap/>
            <w:vAlign w:val="bottom"/>
          </w:tcPr>
          <w:p w14:paraId="39CF91D6" w14:textId="0171FBF3" w:rsidR="00E003F0" w:rsidRPr="00996B41" w:rsidRDefault="000D5A87" w:rsidP="00E003F0">
            <w:pPr>
              <w:jc w:val="right"/>
              <w:rPr>
                <w:rFonts w:eastAsia="Times New Roman" w:cstheme="minorHAnsi"/>
                <w:b/>
                <w:bCs/>
                <w:color w:val="0D0D0D"/>
                <w:sz w:val="18"/>
                <w:szCs w:val="18"/>
              </w:rPr>
            </w:pPr>
            <w:r>
              <w:rPr>
                <w:rFonts w:eastAsia="Times New Roman" w:cstheme="minorHAnsi"/>
                <w:b/>
                <w:bCs/>
                <w:color w:val="0D0D0D"/>
                <w:sz w:val="18"/>
                <w:szCs w:val="18"/>
              </w:rPr>
              <w:t>7%</w:t>
            </w:r>
          </w:p>
        </w:tc>
        <w:tc>
          <w:tcPr>
            <w:tcW w:w="764" w:type="dxa"/>
            <w:tcBorders>
              <w:top w:val="nil"/>
              <w:left w:val="nil"/>
              <w:right w:val="nil"/>
            </w:tcBorders>
            <w:shd w:val="clear" w:color="000000" w:fill="FFFFFF"/>
            <w:noWrap/>
            <w:vAlign w:val="bottom"/>
            <w:hideMark/>
          </w:tcPr>
          <w:p w14:paraId="6B1AA0F9" w14:textId="2491CFE9" w:rsidR="00E003F0" w:rsidRPr="00996B41" w:rsidRDefault="00981DEF" w:rsidP="00E003F0">
            <w:pPr>
              <w:jc w:val="right"/>
              <w:rPr>
                <w:rFonts w:eastAsia="Times New Roman" w:cstheme="minorHAnsi"/>
                <w:b/>
                <w:bCs/>
                <w:color w:val="0D0D0D"/>
                <w:sz w:val="18"/>
                <w:szCs w:val="18"/>
              </w:rPr>
            </w:pPr>
            <w:r w:rsidRPr="00996B41">
              <w:rPr>
                <w:rFonts w:eastAsia="Times New Roman" w:cstheme="minorHAnsi"/>
                <w:b/>
                <w:bCs/>
                <w:color w:val="0D0D0D"/>
                <w:sz w:val="18"/>
                <w:szCs w:val="18"/>
              </w:rPr>
              <w:t>5</w:t>
            </w:r>
            <w:r>
              <w:rPr>
                <w:rFonts w:eastAsia="Times New Roman" w:cstheme="minorHAnsi"/>
                <w:b/>
                <w:bCs/>
                <w:color w:val="0D0D0D"/>
                <w:sz w:val="18"/>
                <w:szCs w:val="18"/>
              </w:rPr>
              <w:t>7</w:t>
            </w:r>
          </w:p>
        </w:tc>
        <w:tc>
          <w:tcPr>
            <w:tcW w:w="621" w:type="dxa"/>
            <w:tcBorders>
              <w:top w:val="nil"/>
              <w:left w:val="nil"/>
              <w:right w:val="nil"/>
            </w:tcBorders>
            <w:shd w:val="clear" w:color="000000" w:fill="BFBFBF"/>
            <w:noWrap/>
            <w:vAlign w:val="bottom"/>
            <w:hideMark/>
          </w:tcPr>
          <w:p w14:paraId="779E4F50" w14:textId="275A6D11" w:rsidR="00E003F0" w:rsidRPr="00996B41" w:rsidRDefault="00981DEF" w:rsidP="00E003F0">
            <w:pPr>
              <w:jc w:val="right"/>
              <w:rPr>
                <w:rFonts w:eastAsia="Times New Roman" w:cstheme="minorHAnsi"/>
                <w:b/>
                <w:bCs/>
                <w:color w:val="0D0D0D"/>
                <w:sz w:val="18"/>
                <w:szCs w:val="18"/>
              </w:rPr>
            </w:pPr>
            <w:r>
              <w:rPr>
                <w:rFonts w:eastAsia="Times New Roman" w:cstheme="minorHAnsi"/>
                <w:b/>
                <w:bCs/>
                <w:color w:val="0D0D0D"/>
                <w:sz w:val="18"/>
                <w:szCs w:val="18"/>
              </w:rPr>
              <w:t>7</w:t>
            </w:r>
            <w:r w:rsidR="00E003F0" w:rsidRPr="00996B41">
              <w:rPr>
                <w:rFonts w:eastAsia="Times New Roman" w:cstheme="minorHAnsi"/>
                <w:b/>
                <w:bCs/>
                <w:color w:val="0D0D0D"/>
                <w:sz w:val="18"/>
                <w:szCs w:val="18"/>
              </w:rPr>
              <w:t>%</w:t>
            </w:r>
          </w:p>
        </w:tc>
        <w:tc>
          <w:tcPr>
            <w:tcW w:w="609" w:type="dxa"/>
            <w:tcBorders>
              <w:top w:val="nil"/>
              <w:left w:val="nil"/>
              <w:right w:val="nil"/>
            </w:tcBorders>
            <w:shd w:val="clear" w:color="000000" w:fill="FFFFFF"/>
            <w:noWrap/>
            <w:vAlign w:val="bottom"/>
            <w:hideMark/>
          </w:tcPr>
          <w:p w14:paraId="0F55AEC5" w14:textId="7AB4DBF3" w:rsidR="00E003F0" w:rsidRPr="00996B41" w:rsidRDefault="00981DEF" w:rsidP="00E003F0">
            <w:pPr>
              <w:jc w:val="right"/>
              <w:rPr>
                <w:rFonts w:eastAsia="Times New Roman" w:cstheme="minorHAnsi"/>
                <w:color w:val="0D0D0D"/>
                <w:sz w:val="18"/>
                <w:szCs w:val="18"/>
              </w:rPr>
            </w:pPr>
            <w:r>
              <w:rPr>
                <w:rFonts w:eastAsia="Times New Roman" w:cstheme="minorHAnsi"/>
                <w:b/>
                <w:bCs/>
                <w:color w:val="0D0D0D"/>
                <w:sz w:val="18"/>
                <w:szCs w:val="18"/>
              </w:rPr>
              <w:t>50</w:t>
            </w:r>
          </w:p>
        </w:tc>
        <w:tc>
          <w:tcPr>
            <w:tcW w:w="619" w:type="dxa"/>
            <w:tcBorders>
              <w:top w:val="nil"/>
              <w:left w:val="nil"/>
              <w:right w:val="nil"/>
            </w:tcBorders>
            <w:shd w:val="clear" w:color="000000" w:fill="BFBFBF"/>
            <w:noWrap/>
            <w:vAlign w:val="bottom"/>
            <w:hideMark/>
          </w:tcPr>
          <w:p w14:paraId="651E7509" w14:textId="732613C1" w:rsidR="00E003F0" w:rsidRPr="00996B41" w:rsidRDefault="00E003F0" w:rsidP="00E003F0">
            <w:pPr>
              <w:jc w:val="right"/>
              <w:rPr>
                <w:rFonts w:eastAsia="Times New Roman" w:cstheme="minorHAnsi"/>
                <w:color w:val="0D0D0D"/>
                <w:sz w:val="18"/>
                <w:szCs w:val="18"/>
              </w:rPr>
            </w:pPr>
            <w:r w:rsidRPr="00996B41">
              <w:rPr>
                <w:rFonts w:eastAsia="Times New Roman" w:cstheme="minorHAnsi"/>
                <w:color w:val="0D0D0D"/>
                <w:sz w:val="18"/>
                <w:szCs w:val="18"/>
              </w:rPr>
              <w:t>6%</w:t>
            </w:r>
          </w:p>
        </w:tc>
        <w:tc>
          <w:tcPr>
            <w:tcW w:w="609" w:type="dxa"/>
            <w:tcBorders>
              <w:top w:val="nil"/>
              <w:left w:val="nil"/>
              <w:right w:val="nil"/>
            </w:tcBorders>
            <w:shd w:val="clear" w:color="000000" w:fill="FFFFFF"/>
            <w:noWrap/>
            <w:vAlign w:val="bottom"/>
            <w:hideMark/>
          </w:tcPr>
          <w:p w14:paraId="5C7CC052" w14:textId="2A70B63A" w:rsidR="00E003F0" w:rsidRPr="00996B41" w:rsidRDefault="00981DEF" w:rsidP="00E003F0">
            <w:pPr>
              <w:jc w:val="right"/>
              <w:rPr>
                <w:rFonts w:eastAsia="Times New Roman" w:cstheme="minorHAnsi"/>
                <w:color w:val="0D0D0D"/>
                <w:sz w:val="18"/>
                <w:szCs w:val="18"/>
              </w:rPr>
            </w:pPr>
            <w:r w:rsidRPr="00996B41">
              <w:rPr>
                <w:rFonts w:eastAsia="Times New Roman" w:cstheme="minorHAnsi"/>
                <w:color w:val="0D0D0D"/>
                <w:sz w:val="18"/>
                <w:szCs w:val="18"/>
              </w:rPr>
              <w:t>4</w:t>
            </w:r>
            <w:r>
              <w:rPr>
                <w:rFonts w:eastAsia="Times New Roman" w:cstheme="minorHAnsi"/>
                <w:color w:val="0D0D0D"/>
                <w:sz w:val="18"/>
                <w:szCs w:val="18"/>
              </w:rPr>
              <w:t>7</w:t>
            </w:r>
          </w:p>
        </w:tc>
        <w:tc>
          <w:tcPr>
            <w:tcW w:w="649" w:type="dxa"/>
            <w:tcBorders>
              <w:top w:val="nil"/>
              <w:left w:val="nil"/>
              <w:right w:val="nil"/>
            </w:tcBorders>
            <w:shd w:val="clear" w:color="000000" w:fill="BFBFBF"/>
            <w:noWrap/>
            <w:vAlign w:val="bottom"/>
            <w:hideMark/>
          </w:tcPr>
          <w:p w14:paraId="38EAF2C4" w14:textId="5A2A51DC" w:rsidR="00E003F0" w:rsidRPr="00996B41" w:rsidRDefault="00E003F0" w:rsidP="00E003F0">
            <w:pPr>
              <w:jc w:val="right"/>
              <w:rPr>
                <w:rFonts w:eastAsia="Times New Roman" w:cstheme="minorHAnsi"/>
                <w:color w:val="0D0D0D"/>
                <w:sz w:val="18"/>
                <w:szCs w:val="18"/>
              </w:rPr>
            </w:pPr>
            <w:r w:rsidRPr="00996B41">
              <w:rPr>
                <w:rFonts w:eastAsia="Times New Roman" w:cstheme="minorHAnsi"/>
                <w:color w:val="0D0D0D"/>
                <w:sz w:val="18"/>
                <w:szCs w:val="18"/>
              </w:rPr>
              <w:t>6%</w:t>
            </w:r>
          </w:p>
        </w:tc>
        <w:tc>
          <w:tcPr>
            <w:tcW w:w="609" w:type="dxa"/>
            <w:tcBorders>
              <w:top w:val="nil"/>
              <w:left w:val="nil"/>
              <w:right w:val="nil"/>
            </w:tcBorders>
            <w:shd w:val="clear" w:color="000000" w:fill="FFFFFF"/>
            <w:noWrap/>
            <w:vAlign w:val="bottom"/>
            <w:hideMark/>
          </w:tcPr>
          <w:p w14:paraId="28700F0A" w14:textId="0A814573" w:rsidR="00E003F0" w:rsidRPr="00996B41" w:rsidRDefault="002F6B9E" w:rsidP="00E003F0">
            <w:pPr>
              <w:jc w:val="right"/>
              <w:rPr>
                <w:rFonts w:eastAsia="Times New Roman" w:cstheme="minorHAnsi"/>
                <w:color w:val="0D0D0D"/>
                <w:sz w:val="18"/>
                <w:szCs w:val="18"/>
              </w:rPr>
            </w:pPr>
            <w:r w:rsidRPr="00996B41">
              <w:rPr>
                <w:rFonts w:eastAsia="Times New Roman" w:cstheme="minorHAnsi"/>
                <w:color w:val="0D0D0D"/>
                <w:sz w:val="18"/>
                <w:szCs w:val="18"/>
              </w:rPr>
              <w:t>4</w:t>
            </w:r>
            <w:r>
              <w:rPr>
                <w:rFonts w:eastAsia="Times New Roman" w:cstheme="minorHAnsi"/>
                <w:color w:val="0D0D0D"/>
                <w:sz w:val="18"/>
                <w:szCs w:val="18"/>
              </w:rPr>
              <w:t>4</w:t>
            </w:r>
          </w:p>
        </w:tc>
        <w:tc>
          <w:tcPr>
            <w:tcW w:w="583" w:type="dxa"/>
            <w:tcBorders>
              <w:top w:val="nil"/>
              <w:left w:val="nil"/>
              <w:right w:val="nil"/>
            </w:tcBorders>
            <w:shd w:val="clear" w:color="000000" w:fill="BFBFBF"/>
            <w:noWrap/>
            <w:vAlign w:val="bottom"/>
            <w:hideMark/>
          </w:tcPr>
          <w:p w14:paraId="6DFDB132" w14:textId="4C4461BE" w:rsidR="00E003F0" w:rsidRPr="00996B41" w:rsidRDefault="00E003F0" w:rsidP="00E003F0">
            <w:pPr>
              <w:jc w:val="right"/>
              <w:rPr>
                <w:rFonts w:eastAsia="Times New Roman" w:cstheme="minorHAnsi"/>
                <w:color w:val="0D0D0D"/>
                <w:sz w:val="18"/>
                <w:szCs w:val="18"/>
              </w:rPr>
            </w:pPr>
            <w:r w:rsidRPr="00996B41">
              <w:rPr>
                <w:rFonts w:eastAsia="Times New Roman" w:cstheme="minorHAnsi"/>
                <w:color w:val="0D0D0D"/>
                <w:sz w:val="18"/>
                <w:szCs w:val="18"/>
              </w:rPr>
              <w:t>6%</w:t>
            </w:r>
          </w:p>
        </w:tc>
      </w:tr>
      <w:tr w:rsidR="0059182A" w:rsidRPr="004E6649" w14:paraId="3AAA292F" w14:textId="77777777" w:rsidTr="00F50B8A">
        <w:trPr>
          <w:trHeight w:val="80"/>
          <w:jc w:val="center"/>
        </w:trPr>
        <w:tc>
          <w:tcPr>
            <w:tcW w:w="2831" w:type="dxa"/>
            <w:tcBorders>
              <w:top w:val="nil"/>
              <w:left w:val="nil"/>
              <w:bottom w:val="single" w:sz="8" w:space="0" w:color="000000" w:themeColor="text1"/>
              <w:right w:val="nil"/>
            </w:tcBorders>
            <w:shd w:val="clear" w:color="000000" w:fill="FFFFFF"/>
            <w:noWrap/>
            <w:vAlign w:val="bottom"/>
            <w:hideMark/>
          </w:tcPr>
          <w:p w14:paraId="3137DCD4" w14:textId="77777777" w:rsidR="00E003F0" w:rsidRPr="00996B41" w:rsidRDefault="00E003F0" w:rsidP="00E003F0">
            <w:pPr>
              <w:ind w:firstLineChars="100" w:firstLine="180"/>
              <w:rPr>
                <w:rFonts w:eastAsia="Times New Roman" w:cstheme="minorHAnsi"/>
                <w:color w:val="0D0D0D"/>
                <w:sz w:val="18"/>
                <w:szCs w:val="18"/>
              </w:rPr>
            </w:pPr>
            <w:r w:rsidRPr="00996B41">
              <w:rPr>
                <w:rFonts w:eastAsia="Times New Roman" w:cstheme="minorHAnsi"/>
                <w:color w:val="0D0D0D"/>
                <w:sz w:val="18"/>
                <w:szCs w:val="18"/>
              </w:rPr>
              <w:t>Student Aid</w:t>
            </w:r>
          </w:p>
        </w:tc>
        <w:tc>
          <w:tcPr>
            <w:tcW w:w="755" w:type="dxa"/>
            <w:tcBorders>
              <w:top w:val="nil"/>
              <w:left w:val="nil"/>
              <w:bottom w:val="single" w:sz="8" w:space="0" w:color="000000" w:themeColor="text1"/>
              <w:right w:val="nil"/>
            </w:tcBorders>
            <w:shd w:val="clear" w:color="000000" w:fill="FFFFFF"/>
            <w:noWrap/>
            <w:vAlign w:val="bottom"/>
          </w:tcPr>
          <w:p w14:paraId="471F77E6" w14:textId="67B891D5" w:rsidR="00E003F0" w:rsidRPr="00996B41" w:rsidRDefault="005F22A4" w:rsidP="00E003F0">
            <w:pPr>
              <w:jc w:val="right"/>
              <w:rPr>
                <w:rFonts w:eastAsia="Times New Roman" w:cstheme="minorHAnsi"/>
                <w:b/>
                <w:bCs/>
                <w:color w:val="0D0D0D"/>
                <w:sz w:val="18"/>
                <w:szCs w:val="18"/>
              </w:rPr>
            </w:pPr>
            <w:r>
              <w:rPr>
                <w:rFonts w:eastAsia="Times New Roman" w:cstheme="minorHAnsi"/>
                <w:b/>
                <w:bCs/>
                <w:color w:val="0D0D0D"/>
                <w:sz w:val="18"/>
                <w:szCs w:val="18"/>
              </w:rPr>
              <w:t>10</w:t>
            </w:r>
          </w:p>
        </w:tc>
        <w:tc>
          <w:tcPr>
            <w:tcW w:w="621" w:type="dxa"/>
            <w:tcBorders>
              <w:top w:val="nil"/>
              <w:left w:val="nil"/>
              <w:bottom w:val="single" w:sz="8" w:space="0" w:color="000000" w:themeColor="text1"/>
              <w:right w:val="nil"/>
            </w:tcBorders>
            <w:shd w:val="clear" w:color="000000" w:fill="BFBFBF"/>
            <w:noWrap/>
            <w:vAlign w:val="bottom"/>
          </w:tcPr>
          <w:p w14:paraId="1D4785F4" w14:textId="57971F1A" w:rsidR="00E003F0" w:rsidRPr="00996B41" w:rsidRDefault="00446388" w:rsidP="00E003F0">
            <w:pPr>
              <w:jc w:val="right"/>
              <w:rPr>
                <w:rFonts w:eastAsia="Times New Roman" w:cstheme="minorHAnsi"/>
                <w:b/>
                <w:bCs/>
                <w:color w:val="0D0D0D"/>
                <w:sz w:val="18"/>
                <w:szCs w:val="18"/>
              </w:rPr>
            </w:pPr>
            <w:r>
              <w:rPr>
                <w:rFonts w:eastAsia="Times New Roman" w:cstheme="minorHAnsi"/>
                <w:b/>
                <w:bCs/>
                <w:color w:val="0D0D0D"/>
                <w:sz w:val="18"/>
                <w:szCs w:val="18"/>
              </w:rPr>
              <w:t>1</w:t>
            </w:r>
            <w:r w:rsidR="000D5A87">
              <w:rPr>
                <w:rFonts w:eastAsia="Times New Roman" w:cstheme="minorHAnsi"/>
                <w:b/>
                <w:bCs/>
                <w:color w:val="0D0D0D"/>
                <w:sz w:val="18"/>
                <w:szCs w:val="18"/>
              </w:rPr>
              <w:t>%</w:t>
            </w:r>
          </w:p>
        </w:tc>
        <w:tc>
          <w:tcPr>
            <w:tcW w:w="764" w:type="dxa"/>
            <w:tcBorders>
              <w:top w:val="nil"/>
              <w:left w:val="nil"/>
              <w:bottom w:val="single" w:sz="8" w:space="0" w:color="000000" w:themeColor="text1"/>
              <w:right w:val="nil"/>
            </w:tcBorders>
            <w:shd w:val="clear" w:color="000000" w:fill="FFFFFF"/>
            <w:noWrap/>
            <w:vAlign w:val="bottom"/>
            <w:hideMark/>
          </w:tcPr>
          <w:p w14:paraId="5BEA9B7C" w14:textId="55EC5700" w:rsidR="00E003F0" w:rsidRPr="00996B41" w:rsidRDefault="00E003F0" w:rsidP="00E003F0">
            <w:pPr>
              <w:jc w:val="right"/>
              <w:rPr>
                <w:rFonts w:eastAsia="Times New Roman" w:cstheme="minorHAnsi"/>
                <w:b/>
                <w:bCs/>
                <w:color w:val="0D0D0D"/>
                <w:sz w:val="18"/>
                <w:szCs w:val="18"/>
              </w:rPr>
            </w:pPr>
            <w:r w:rsidRPr="00996B41">
              <w:rPr>
                <w:rFonts w:eastAsia="Times New Roman" w:cstheme="minorHAnsi"/>
                <w:b/>
                <w:bCs/>
                <w:color w:val="0D0D0D"/>
                <w:sz w:val="18"/>
                <w:szCs w:val="18"/>
              </w:rPr>
              <w:t>27</w:t>
            </w:r>
          </w:p>
        </w:tc>
        <w:tc>
          <w:tcPr>
            <w:tcW w:w="621" w:type="dxa"/>
            <w:tcBorders>
              <w:top w:val="nil"/>
              <w:left w:val="nil"/>
              <w:bottom w:val="single" w:sz="8" w:space="0" w:color="000000" w:themeColor="text1"/>
              <w:right w:val="nil"/>
            </w:tcBorders>
            <w:shd w:val="clear" w:color="000000" w:fill="BFBFBF"/>
            <w:noWrap/>
            <w:vAlign w:val="bottom"/>
            <w:hideMark/>
          </w:tcPr>
          <w:p w14:paraId="525BC694" w14:textId="3688035C" w:rsidR="00E003F0" w:rsidRPr="00996B41" w:rsidRDefault="00E003F0" w:rsidP="00E003F0">
            <w:pPr>
              <w:jc w:val="right"/>
              <w:rPr>
                <w:rFonts w:eastAsia="Times New Roman" w:cstheme="minorHAnsi"/>
                <w:b/>
                <w:bCs/>
                <w:color w:val="0D0D0D"/>
                <w:sz w:val="18"/>
                <w:szCs w:val="18"/>
              </w:rPr>
            </w:pPr>
            <w:r w:rsidRPr="00996B41">
              <w:rPr>
                <w:rFonts w:eastAsia="Times New Roman" w:cstheme="minorHAnsi"/>
                <w:b/>
                <w:bCs/>
                <w:color w:val="0D0D0D"/>
                <w:sz w:val="18"/>
                <w:szCs w:val="18"/>
              </w:rPr>
              <w:t>3%</w:t>
            </w:r>
          </w:p>
        </w:tc>
        <w:tc>
          <w:tcPr>
            <w:tcW w:w="609" w:type="dxa"/>
            <w:tcBorders>
              <w:top w:val="nil"/>
              <w:left w:val="nil"/>
              <w:bottom w:val="single" w:sz="8" w:space="0" w:color="000000" w:themeColor="text1"/>
              <w:right w:val="nil"/>
            </w:tcBorders>
            <w:shd w:val="clear" w:color="000000" w:fill="FFFFFF"/>
            <w:noWrap/>
            <w:vAlign w:val="bottom"/>
            <w:hideMark/>
          </w:tcPr>
          <w:p w14:paraId="25DDF023" w14:textId="69965832" w:rsidR="00E003F0" w:rsidRPr="00996B41" w:rsidRDefault="00981DEF" w:rsidP="00E003F0">
            <w:pPr>
              <w:jc w:val="right"/>
              <w:rPr>
                <w:rFonts w:eastAsia="Times New Roman" w:cstheme="minorHAnsi"/>
                <w:color w:val="0D0D0D"/>
                <w:sz w:val="18"/>
                <w:szCs w:val="18"/>
              </w:rPr>
            </w:pPr>
            <w:r>
              <w:rPr>
                <w:rFonts w:eastAsia="Times New Roman" w:cstheme="minorHAnsi"/>
                <w:b/>
                <w:bCs/>
                <w:color w:val="0D0D0D"/>
                <w:sz w:val="18"/>
                <w:szCs w:val="18"/>
              </w:rPr>
              <w:t>27</w:t>
            </w:r>
          </w:p>
        </w:tc>
        <w:tc>
          <w:tcPr>
            <w:tcW w:w="619" w:type="dxa"/>
            <w:tcBorders>
              <w:top w:val="nil"/>
              <w:left w:val="nil"/>
              <w:bottom w:val="single" w:sz="8" w:space="0" w:color="000000" w:themeColor="text1"/>
              <w:right w:val="nil"/>
            </w:tcBorders>
            <w:shd w:val="clear" w:color="000000" w:fill="BFBFBF"/>
            <w:noWrap/>
            <w:vAlign w:val="bottom"/>
            <w:hideMark/>
          </w:tcPr>
          <w:p w14:paraId="4E52366C" w14:textId="6CEBA6D7" w:rsidR="00E003F0" w:rsidRPr="00996B41" w:rsidRDefault="00981DEF" w:rsidP="00E003F0">
            <w:pPr>
              <w:jc w:val="right"/>
              <w:rPr>
                <w:rFonts w:eastAsia="Times New Roman" w:cstheme="minorHAnsi"/>
                <w:color w:val="0D0D0D"/>
                <w:sz w:val="18"/>
                <w:szCs w:val="18"/>
              </w:rPr>
            </w:pPr>
            <w:r>
              <w:rPr>
                <w:rFonts w:eastAsia="Times New Roman" w:cstheme="minorHAnsi"/>
                <w:color w:val="0D0D0D"/>
                <w:sz w:val="18"/>
                <w:szCs w:val="18"/>
              </w:rPr>
              <w:t>3</w:t>
            </w:r>
            <w:r w:rsidR="00E003F0" w:rsidRPr="00996B41">
              <w:rPr>
                <w:rFonts w:eastAsia="Times New Roman" w:cstheme="minorHAnsi"/>
                <w:color w:val="0D0D0D"/>
                <w:sz w:val="18"/>
                <w:szCs w:val="18"/>
              </w:rPr>
              <w:t>%</w:t>
            </w:r>
          </w:p>
        </w:tc>
        <w:tc>
          <w:tcPr>
            <w:tcW w:w="609" w:type="dxa"/>
            <w:tcBorders>
              <w:top w:val="nil"/>
              <w:left w:val="nil"/>
              <w:bottom w:val="single" w:sz="8" w:space="0" w:color="000000" w:themeColor="text1"/>
              <w:right w:val="nil"/>
            </w:tcBorders>
            <w:shd w:val="clear" w:color="000000" w:fill="FFFFFF"/>
            <w:noWrap/>
            <w:vAlign w:val="bottom"/>
            <w:hideMark/>
          </w:tcPr>
          <w:p w14:paraId="42FEA08E" w14:textId="56AD3BAC" w:rsidR="00E003F0" w:rsidRPr="00996B41" w:rsidRDefault="00981DEF" w:rsidP="00E003F0">
            <w:pPr>
              <w:jc w:val="right"/>
              <w:rPr>
                <w:rFonts w:eastAsia="Times New Roman" w:cstheme="minorHAnsi"/>
                <w:color w:val="0D0D0D"/>
                <w:sz w:val="18"/>
                <w:szCs w:val="18"/>
              </w:rPr>
            </w:pPr>
            <w:r>
              <w:rPr>
                <w:rFonts w:eastAsia="Times New Roman" w:cstheme="minorHAnsi"/>
                <w:color w:val="0D0D0D"/>
                <w:sz w:val="18"/>
                <w:szCs w:val="18"/>
              </w:rPr>
              <w:t>58</w:t>
            </w:r>
          </w:p>
        </w:tc>
        <w:tc>
          <w:tcPr>
            <w:tcW w:w="649" w:type="dxa"/>
            <w:tcBorders>
              <w:top w:val="nil"/>
              <w:left w:val="nil"/>
              <w:bottom w:val="single" w:sz="8" w:space="0" w:color="000000" w:themeColor="text1"/>
              <w:right w:val="nil"/>
            </w:tcBorders>
            <w:shd w:val="clear" w:color="000000" w:fill="BFBFBF"/>
            <w:noWrap/>
            <w:vAlign w:val="bottom"/>
            <w:hideMark/>
          </w:tcPr>
          <w:p w14:paraId="3D6240D3" w14:textId="674F4E3A" w:rsidR="00E003F0" w:rsidRPr="00996B41" w:rsidRDefault="00981DEF" w:rsidP="00E003F0">
            <w:pPr>
              <w:jc w:val="right"/>
              <w:rPr>
                <w:rFonts w:eastAsia="Times New Roman" w:cstheme="minorHAnsi"/>
                <w:color w:val="0D0D0D"/>
                <w:sz w:val="18"/>
                <w:szCs w:val="18"/>
              </w:rPr>
            </w:pPr>
            <w:r>
              <w:rPr>
                <w:rFonts w:eastAsia="Times New Roman" w:cstheme="minorHAnsi"/>
                <w:color w:val="0D0D0D"/>
                <w:sz w:val="18"/>
                <w:szCs w:val="18"/>
              </w:rPr>
              <w:t>7</w:t>
            </w:r>
            <w:r w:rsidR="00E003F0" w:rsidRPr="00996B41">
              <w:rPr>
                <w:rFonts w:eastAsia="Times New Roman" w:cstheme="minorHAnsi"/>
                <w:color w:val="0D0D0D"/>
                <w:sz w:val="18"/>
                <w:szCs w:val="18"/>
              </w:rPr>
              <w:t>%</w:t>
            </w:r>
          </w:p>
        </w:tc>
        <w:tc>
          <w:tcPr>
            <w:tcW w:w="609" w:type="dxa"/>
            <w:tcBorders>
              <w:top w:val="nil"/>
              <w:left w:val="nil"/>
              <w:bottom w:val="single" w:sz="8" w:space="0" w:color="000000" w:themeColor="text1"/>
              <w:right w:val="nil"/>
            </w:tcBorders>
            <w:shd w:val="clear" w:color="000000" w:fill="FFFFFF"/>
            <w:noWrap/>
            <w:vAlign w:val="bottom"/>
            <w:hideMark/>
          </w:tcPr>
          <w:p w14:paraId="7D5DC54D" w14:textId="4E0991B5" w:rsidR="00E003F0" w:rsidRPr="00996B41" w:rsidRDefault="00E003F0" w:rsidP="00E003F0">
            <w:pPr>
              <w:jc w:val="right"/>
              <w:rPr>
                <w:rFonts w:eastAsia="Times New Roman" w:cstheme="minorHAnsi"/>
                <w:color w:val="0D0D0D"/>
                <w:sz w:val="18"/>
                <w:szCs w:val="18"/>
              </w:rPr>
            </w:pPr>
            <w:r w:rsidRPr="00996B41">
              <w:rPr>
                <w:rFonts w:eastAsia="Times New Roman" w:cstheme="minorHAnsi"/>
                <w:color w:val="0D0D0D"/>
                <w:sz w:val="18"/>
                <w:szCs w:val="18"/>
              </w:rPr>
              <w:t>40</w:t>
            </w:r>
          </w:p>
        </w:tc>
        <w:tc>
          <w:tcPr>
            <w:tcW w:w="583" w:type="dxa"/>
            <w:tcBorders>
              <w:top w:val="nil"/>
              <w:left w:val="nil"/>
              <w:bottom w:val="single" w:sz="8" w:space="0" w:color="000000" w:themeColor="text1"/>
              <w:right w:val="nil"/>
            </w:tcBorders>
            <w:shd w:val="clear" w:color="000000" w:fill="BFBFBF"/>
            <w:noWrap/>
            <w:vAlign w:val="bottom"/>
            <w:hideMark/>
          </w:tcPr>
          <w:p w14:paraId="11671555" w14:textId="18E11208" w:rsidR="00E003F0" w:rsidRPr="00996B41" w:rsidRDefault="002F6B9E" w:rsidP="00E003F0">
            <w:pPr>
              <w:jc w:val="right"/>
              <w:rPr>
                <w:rFonts w:eastAsia="Times New Roman" w:cstheme="minorHAnsi"/>
                <w:color w:val="0D0D0D"/>
                <w:sz w:val="18"/>
                <w:szCs w:val="18"/>
              </w:rPr>
            </w:pPr>
            <w:r>
              <w:rPr>
                <w:rFonts w:eastAsia="Times New Roman" w:cstheme="minorHAnsi"/>
                <w:color w:val="0D0D0D"/>
                <w:sz w:val="18"/>
                <w:szCs w:val="18"/>
              </w:rPr>
              <w:t>6</w:t>
            </w:r>
            <w:r w:rsidR="00E003F0" w:rsidRPr="00996B41">
              <w:rPr>
                <w:rFonts w:eastAsia="Times New Roman" w:cstheme="minorHAnsi"/>
                <w:color w:val="0D0D0D"/>
                <w:sz w:val="18"/>
                <w:szCs w:val="18"/>
              </w:rPr>
              <w:t>%</w:t>
            </w:r>
          </w:p>
        </w:tc>
      </w:tr>
      <w:tr w:rsidR="0059182A" w:rsidRPr="004E6649" w14:paraId="7F2126F0" w14:textId="77777777" w:rsidTr="00F50B8A">
        <w:trPr>
          <w:trHeight w:val="70"/>
          <w:jc w:val="center"/>
        </w:trPr>
        <w:tc>
          <w:tcPr>
            <w:tcW w:w="2831" w:type="dxa"/>
            <w:tcBorders>
              <w:top w:val="single" w:sz="8" w:space="0" w:color="000000" w:themeColor="text1"/>
              <w:left w:val="nil"/>
              <w:bottom w:val="nil"/>
              <w:right w:val="nil"/>
            </w:tcBorders>
            <w:shd w:val="clear" w:color="000000" w:fill="FFFFFF"/>
            <w:noWrap/>
            <w:vAlign w:val="bottom"/>
            <w:hideMark/>
          </w:tcPr>
          <w:p w14:paraId="2CFAB89B" w14:textId="77777777" w:rsidR="00E003F0" w:rsidRPr="00996B41" w:rsidRDefault="00E003F0" w:rsidP="00E003F0">
            <w:pPr>
              <w:ind w:firstLineChars="100" w:firstLine="181"/>
              <w:rPr>
                <w:rFonts w:eastAsia="Times New Roman" w:cstheme="minorHAnsi"/>
                <w:b/>
                <w:bCs/>
                <w:color w:val="0D0D0D"/>
                <w:sz w:val="18"/>
                <w:szCs w:val="18"/>
              </w:rPr>
            </w:pPr>
            <w:r w:rsidRPr="00996B41">
              <w:rPr>
                <w:rFonts w:eastAsia="Times New Roman" w:cstheme="minorHAnsi"/>
                <w:b/>
                <w:bCs/>
                <w:color w:val="0D0D0D"/>
                <w:sz w:val="18"/>
                <w:szCs w:val="18"/>
              </w:rPr>
              <w:t>Total Operating Expenses</w:t>
            </w:r>
          </w:p>
        </w:tc>
        <w:tc>
          <w:tcPr>
            <w:tcW w:w="755" w:type="dxa"/>
            <w:tcBorders>
              <w:top w:val="single" w:sz="8" w:space="0" w:color="000000" w:themeColor="text1"/>
              <w:left w:val="nil"/>
              <w:bottom w:val="nil"/>
              <w:right w:val="nil"/>
            </w:tcBorders>
            <w:shd w:val="clear" w:color="000000" w:fill="FFFFFF"/>
            <w:noWrap/>
            <w:vAlign w:val="bottom"/>
          </w:tcPr>
          <w:p w14:paraId="2988E58E" w14:textId="5A65A246" w:rsidR="00E003F0" w:rsidRPr="00996B41" w:rsidRDefault="005F22A4" w:rsidP="00A65769">
            <w:pPr>
              <w:jc w:val="right"/>
              <w:rPr>
                <w:rFonts w:eastAsia="Times New Roman" w:cstheme="minorHAnsi"/>
                <w:b/>
                <w:bCs/>
                <w:color w:val="0D0D0D"/>
                <w:sz w:val="18"/>
                <w:szCs w:val="18"/>
              </w:rPr>
            </w:pPr>
            <w:r>
              <w:rPr>
                <w:rFonts w:eastAsia="Times New Roman" w:cstheme="minorHAnsi"/>
                <w:b/>
                <w:bCs/>
                <w:color w:val="0D0D0D"/>
                <w:sz w:val="18"/>
                <w:szCs w:val="18"/>
              </w:rPr>
              <w:t>885</w:t>
            </w:r>
          </w:p>
        </w:tc>
        <w:tc>
          <w:tcPr>
            <w:tcW w:w="621" w:type="dxa"/>
            <w:tcBorders>
              <w:top w:val="single" w:sz="8" w:space="0" w:color="000000" w:themeColor="text1"/>
              <w:left w:val="nil"/>
              <w:bottom w:val="nil"/>
              <w:right w:val="nil"/>
            </w:tcBorders>
            <w:shd w:val="clear" w:color="000000" w:fill="BFBFBF"/>
            <w:noWrap/>
            <w:vAlign w:val="bottom"/>
          </w:tcPr>
          <w:p w14:paraId="03DB4ADC" w14:textId="50694958" w:rsidR="00E003F0" w:rsidRPr="00996B41" w:rsidRDefault="000D5A87" w:rsidP="00E003F0">
            <w:pPr>
              <w:jc w:val="right"/>
              <w:rPr>
                <w:rFonts w:eastAsia="Times New Roman" w:cstheme="minorHAnsi"/>
                <w:b/>
                <w:bCs/>
                <w:color w:val="0D0D0D"/>
                <w:sz w:val="18"/>
                <w:szCs w:val="18"/>
              </w:rPr>
            </w:pPr>
            <w:r>
              <w:rPr>
                <w:rFonts w:eastAsia="Times New Roman" w:cstheme="minorHAnsi"/>
                <w:b/>
                <w:bCs/>
                <w:color w:val="0D0D0D"/>
                <w:sz w:val="18"/>
                <w:szCs w:val="18"/>
              </w:rPr>
              <w:t>99%</w:t>
            </w:r>
          </w:p>
        </w:tc>
        <w:tc>
          <w:tcPr>
            <w:tcW w:w="764" w:type="dxa"/>
            <w:tcBorders>
              <w:top w:val="single" w:sz="8" w:space="0" w:color="000000" w:themeColor="text1"/>
              <w:left w:val="nil"/>
              <w:bottom w:val="nil"/>
              <w:right w:val="nil"/>
            </w:tcBorders>
            <w:shd w:val="clear" w:color="000000" w:fill="FFFFFF"/>
            <w:noWrap/>
            <w:vAlign w:val="bottom"/>
            <w:hideMark/>
          </w:tcPr>
          <w:p w14:paraId="0ED39E56" w14:textId="31F51FF4" w:rsidR="00E003F0" w:rsidRPr="00996B41" w:rsidRDefault="00981DEF" w:rsidP="00E003F0">
            <w:pPr>
              <w:jc w:val="right"/>
              <w:rPr>
                <w:rFonts w:eastAsia="Times New Roman" w:cstheme="minorHAnsi"/>
                <w:b/>
                <w:bCs/>
                <w:color w:val="0D0D0D"/>
                <w:sz w:val="18"/>
                <w:szCs w:val="18"/>
              </w:rPr>
            </w:pPr>
            <w:r w:rsidRPr="00996B41">
              <w:rPr>
                <w:rFonts w:eastAsia="Times New Roman" w:cstheme="minorHAnsi"/>
                <w:b/>
                <w:bCs/>
                <w:color w:val="0D0D0D"/>
                <w:sz w:val="18"/>
                <w:szCs w:val="18"/>
              </w:rPr>
              <w:t>8</w:t>
            </w:r>
            <w:r>
              <w:rPr>
                <w:rFonts w:eastAsia="Times New Roman" w:cstheme="minorHAnsi"/>
                <w:b/>
                <w:bCs/>
                <w:color w:val="0D0D0D"/>
                <w:sz w:val="18"/>
                <w:szCs w:val="18"/>
              </w:rPr>
              <w:t>5</w:t>
            </w:r>
            <w:r w:rsidR="0059182A">
              <w:rPr>
                <w:rFonts w:eastAsia="Times New Roman" w:cstheme="minorHAnsi"/>
                <w:b/>
                <w:bCs/>
                <w:color w:val="0D0D0D"/>
                <w:sz w:val="18"/>
                <w:szCs w:val="18"/>
              </w:rPr>
              <w:t>0</w:t>
            </w:r>
          </w:p>
        </w:tc>
        <w:tc>
          <w:tcPr>
            <w:tcW w:w="621" w:type="dxa"/>
            <w:tcBorders>
              <w:top w:val="single" w:sz="8" w:space="0" w:color="000000" w:themeColor="text1"/>
              <w:left w:val="nil"/>
              <w:bottom w:val="nil"/>
              <w:right w:val="nil"/>
            </w:tcBorders>
            <w:shd w:val="clear" w:color="000000" w:fill="BFBFBF"/>
            <w:noWrap/>
            <w:vAlign w:val="bottom"/>
            <w:hideMark/>
          </w:tcPr>
          <w:p w14:paraId="676DF67F" w14:textId="16958A44" w:rsidR="00E003F0" w:rsidRPr="00996B41" w:rsidRDefault="00E003F0" w:rsidP="00E003F0">
            <w:pPr>
              <w:jc w:val="right"/>
              <w:rPr>
                <w:rFonts w:eastAsia="Times New Roman" w:cstheme="minorHAnsi"/>
                <w:b/>
                <w:bCs/>
                <w:color w:val="0D0D0D"/>
                <w:sz w:val="18"/>
                <w:szCs w:val="18"/>
              </w:rPr>
            </w:pPr>
            <w:r w:rsidRPr="00996B41">
              <w:rPr>
                <w:rFonts w:eastAsia="Times New Roman" w:cstheme="minorHAnsi"/>
                <w:b/>
                <w:bCs/>
                <w:color w:val="0D0D0D"/>
                <w:sz w:val="18"/>
                <w:szCs w:val="18"/>
              </w:rPr>
              <w:t>99%</w:t>
            </w:r>
          </w:p>
        </w:tc>
        <w:tc>
          <w:tcPr>
            <w:tcW w:w="609" w:type="dxa"/>
            <w:tcBorders>
              <w:top w:val="single" w:sz="8" w:space="0" w:color="000000" w:themeColor="text1"/>
              <w:left w:val="nil"/>
              <w:bottom w:val="nil"/>
              <w:right w:val="nil"/>
            </w:tcBorders>
            <w:shd w:val="clear" w:color="000000" w:fill="FFFFFF"/>
            <w:noWrap/>
            <w:vAlign w:val="bottom"/>
            <w:hideMark/>
          </w:tcPr>
          <w:p w14:paraId="00965B41" w14:textId="56A510C3" w:rsidR="00E003F0" w:rsidRPr="00996B41" w:rsidRDefault="00981DEF" w:rsidP="00E003F0">
            <w:pPr>
              <w:jc w:val="right"/>
              <w:rPr>
                <w:rFonts w:eastAsia="Times New Roman" w:cstheme="minorHAnsi"/>
                <w:color w:val="0D0D0D"/>
                <w:sz w:val="18"/>
                <w:szCs w:val="18"/>
              </w:rPr>
            </w:pPr>
            <w:r w:rsidRPr="00996B41">
              <w:rPr>
                <w:rFonts w:eastAsia="Times New Roman" w:cstheme="minorHAnsi"/>
                <w:b/>
                <w:bCs/>
                <w:color w:val="0D0D0D"/>
                <w:sz w:val="18"/>
                <w:szCs w:val="18"/>
              </w:rPr>
              <w:t>81</w:t>
            </w:r>
            <w:r>
              <w:rPr>
                <w:rFonts w:eastAsia="Times New Roman" w:cstheme="minorHAnsi"/>
                <w:b/>
                <w:bCs/>
                <w:color w:val="0D0D0D"/>
                <w:sz w:val="18"/>
                <w:szCs w:val="18"/>
              </w:rPr>
              <w:t>0</w:t>
            </w:r>
          </w:p>
        </w:tc>
        <w:tc>
          <w:tcPr>
            <w:tcW w:w="619" w:type="dxa"/>
            <w:tcBorders>
              <w:top w:val="single" w:sz="8" w:space="0" w:color="000000" w:themeColor="text1"/>
              <w:left w:val="nil"/>
              <w:bottom w:val="nil"/>
              <w:right w:val="nil"/>
            </w:tcBorders>
            <w:shd w:val="clear" w:color="000000" w:fill="BFBFBF"/>
            <w:noWrap/>
            <w:vAlign w:val="bottom"/>
            <w:hideMark/>
          </w:tcPr>
          <w:p w14:paraId="23377C6B" w14:textId="73F8DB0C" w:rsidR="00E003F0" w:rsidRPr="00996B41" w:rsidRDefault="00E003F0" w:rsidP="00E003F0">
            <w:pPr>
              <w:jc w:val="right"/>
              <w:rPr>
                <w:rFonts w:eastAsia="Times New Roman" w:cstheme="minorHAnsi"/>
                <w:color w:val="0D0D0D"/>
                <w:sz w:val="18"/>
                <w:szCs w:val="18"/>
              </w:rPr>
            </w:pPr>
            <w:r w:rsidRPr="00996B41">
              <w:rPr>
                <w:rFonts w:eastAsia="Times New Roman" w:cstheme="minorHAnsi"/>
                <w:color w:val="0D0D0D"/>
                <w:sz w:val="18"/>
                <w:szCs w:val="18"/>
              </w:rPr>
              <w:t>99%</w:t>
            </w:r>
          </w:p>
        </w:tc>
        <w:tc>
          <w:tcPr>
            <w:tcW w:w="609" w:type="dxa"/>
            <w:tcBorders>
              <w:top w:val="single" w:sz="8" w:space="0" w:color="000000" w:themeColor="text1"/>
              <w:left w:val="nil"/>
              <w:bottom w:val="nil"/>
              <w:right w:val="nil"/>
            </w:tcBorders>
            <w:shd w:val="clear" w:color="000000" w:fill="FFFFFF"/>
            <w:noWrap/>
            <w:vAlign w:val="bottom"/>
            <w:hideMark/>
          </w:tcPr>
          <w:p w14:paraId="22ACEA5E" w14:textId="40CD1F70" w:rsidR="00E003F0" w:rsidRPr="00996B41" w:rsidRDefault="00981DEF" w:rsidP="00E003F0">
            <w:pPr>
              <w:jc w:val="right"/>
              <w:rPr>
                <w:rFonts w:eastAsia="Times New Roman" w:cstheme="minorHAnsi"/>
                <w:color w:val="0D0D0D"/>
                <w:sz w:val="18"/>
                <w:szCs w:val="18"/>
              </w:rPr>
            </w:pPr>
            <w:r>
              <w:rPr>
                <w:rFonts w:eastAsia="Times New Roman" w:cstheme="minorHAnsi"/>
                <w:color w:val="0D0D0D"/>
                <w:sz w:val="18"/>
                <w:szCs w:val="18"/>
              </w:rPr>
              <w:t>811</w:t>
            </w:r>
          </w:p>
        </w:tc>
        <w:tc>
          <w:tcPr>
            <w:tcW w:w="649" w:type="dxa"/>
            <w:tcBorders>
              <w:top w:val="single" w:sz="8" w:space="0" w:color="000000" w:themeColor="text1"/>
              <w:left w:val="nil"/>
              <w:bottom w:val="nil"/>
              <w:right w:val="nil"/>
            </w:tcBorders>
            <w:shd w:val="clear" w:color="000000" w:fill="BFBFBF"/>
            <w:noWrap/>
            <w:vAlign w:val="bottom"/>
            <w:hideMark/>
          </w:tcPr>
          <w:p w14:paraId="5EA7E0CA" w14:textId="48E2FDDD" w:rsidR="00E003F0" w:rsidRPr="00996B41" w:rsidRDefault="00E003F0" w:rsidP="00E003F0">
            <w:pPr>
              <w:jc w:val="right"/>
              <w:rPr>
                <w:rFonts w:eastAsia="Times New Roman" w:cstheme="minorHAnsi"/>
                <w:color w:val="0D0D0D"/>
                <w:sz w:val="18"/>
                <w:szCs w:val="18"/>
              </w:rPr>
            </w:pPr>
            <w:r w:rsidRPr="00996B41">
              <w:rPr>
                <w:rFonts w:eastAsia="Times New Roman" w:cstheme="minorHAnsi"/>
                <w:color w:val="0D0D0D"/>
                <w:sz w:val="18"/>
                <w:szCs w:val="18"/>
              </w:rPr>
              <w:t>99%</w:t>
            </w:r>
          </w:p>
        </w:tc>
        <w:tc>
          <w:tcPr>
            <w:tcW w:w="609" w:type="dxa"/>
            <w:tcBorders>
              <w:top w:val="single" w:sz="8" w:space="0" w:color="000000" w:themeColor="text1"/>
              <w:left w:val="nil"/>
              <w:bottom w:val="nil"/>
              <w:right w:val="nil"/>
            </w:tcBorders>
            <w:shd w:val="clear" w:color="000000" w:fill="FFFFFF"/>
            <w:noWrap/>
            <w:vAlign w:val="bottom"/>
            <w:hideMark/>
          </w:tcPr>
          <w:p w14:paraId="69679643" w14:textId="61111799" w:rsidR="00E003F0" w:rsidRPr="00996B41" w:rsidRDefault="002F6B9E" w:rsidP="00E003F0">
            <w:pPr>
              <w:jc w:val="right"/>
              <w:rPr>
                <w:rFonts w:eastAsia="Times New Roman" w:cstheme="minorHAnsi"/>
                <w:color w:val="0D0D0D"/>
                <w:sz w:val="18"/>
                <w:szCs w:val="18"/>
              </w:rPr>
            </w:pPr>
            <w:r>
              <w:rPr>
                <w:rFonts w:eastAsia="Times New Roman" w:cstheme="minorHAnsi"/>
                <w:color w:val="0D0D0D"/>
                <w:sz w:val="18"/>
                <w:szCs w:val="18"/>
              </w:rPr>
              <w:t>680</w:t>
            </w:r>
          </w:p>
        </w:tc>
        <w:tc>
          <w:tcPr>
            <w:tcW w:w="583" w:type="dxa"/>
            <w:tcBorders>
              <w:top w:val="single" w:sz="8" w:space="0" w:color="000000" w:themeColor="text1"/>
              <w:left w:val="nil"/>
              <w:bottom w:val="nil"/>
              <w:right w:val="nil"/>
            </w:tcBorders>
            <w:shd w:val="clear" w:color="000000" w:fill="BFBFBF"/>
            <w:noWrap/>
            <w:vAlign w:val="bottom"/>
            <w:hideMark/>
          </w:tcPr>
          <w:p w14:paraId="45FC67A6" w14:textId="4A61C8FC" w:rsidR="00E003F0" w:rsidRPr="00996B41" w:rsidRDefault="00E003F0" w:rsidP="00E003F0">
            <w:pPr>
              <w:jc w:val="right"/>
              <w:rPr>
                <w:rFonts w:eastAsia="Times New Roman" w:cstheme="minorHAnsi"/>
                <w:color w:val="0D0D0D"/>
                <w:sz w:val="18"/>
                <w:szCs w:val="18"/>
              </w:rPr>
            </w:pPr>
            <w:r w:rsidRPr="00996B41">
              <w:rPr>
                <w:rFonts w:eastAsia="Times New Roman" w:cstheme="minorHAnsi"/>
                <w:color w:val="0D0D0D"/>
                <w:sz w:val="18"/>
                <w:szCs w:val="18"/>
              </w:rPr>
              <w:t>99%</w:t>
            </w:r>
          </w:p>
        </w:tc>
      </w:tr>
      <w:tr w:rsidR="0059182A" w:rsidRPr="004E6649" w14:paraId="02FACB9E" w14:textId="77777777" w:rsidTr="00F50B8A">
        <w:trPr>
          <w:trHeight w:val="80"/>
          <w:jc w:val="center"/>
        </w:trPr>
        <w:tc>
          <w:tcPr>
            <w:tcW w:w="2831" w:type="dxa"/>
            <w:tcBorders>
              <w:top w:val="nil"/>
              <w:left w:val="nil"/>
              <w:bottom w:val="nil"/>
              <w:right w:val="nil"/>
            </w:tcBorders>
            <w:shd w:val="clear" w:color="000000" w:fill="FFFFFF"/>
            <w:noWrap/>
            <w:vAlign w:val="bottom"/>
            <w:hideMark/>
          </w:tcPr>
          <w:p w14:paraId="35DFCB03" w14:textId="77777777" w:rsidR="00E003F0" w:rsidRPr="00996B41" w:rsidRDefault="00E003F0" w:rsidP="00E003F0">
            <w:pPr>
              <w:rPr>
                <w:rFonts w:eastAsia="Times New Roman" w:cstheme="minorHAnsi"/>
                <w:color w:val="0D0D0D"/>
                <w:sz w:val="18"/>
                <w:szCs w:val="18"/>
              </w:rPr>
            </w:pPr>
            <w:r w:rsidRPr="00996B41">
              <w:rPr>
                <w:rFonts w:eastAsia="Times New Roman" w:cstheme="minorHAnsi"/>
                <w:color w:val="0D0D0D"/>
                <w:sz w:val="18"/>
                <w:szCs w:val="18"/>
              </w:rPr>
              <w:t>Nonoperating:</w:t>
            </w:r>
          </w:p>
        </w:tc>
        <w:tc>
          <w:tcPr>
            <w:tcW w:w="755" w:type="dxa"/>
            <w:tcBorders>
              <w:top w:val="nil"/>
              <w:left w:val="nil"/>
              <w:bottom w:val="nil"/>
              <w:right w:val="nil"/>
            </w:tcBorders>
            <w:shd w:val="clear" w:color="000000" w:fill="FFFFFF"/>
            <w:noWrap/>
            <w:vAlign w:val="bottom"/>
          </w:tcPr>
          <w:p w14:paraId="657BF573" w14:textId="66BEC309" w:rsidR="00E003F0" w:rsidRPr="00996B41" w:rsidRDefault="00E003F0" w:rsidP="00E003F0">
            <w:pPr>
              <w:jc w:val="right"/>
              <w:rPr>
                <w:rFonts w:eastAsia="Times New Roman" w:cstheme="minorHAnsi"/>
                <w:b/>
                <w:bCs/>
                <w:color w:val="0D0D0D"/>
                <w:sz w:val="18"/>
                <w:szCs w:val="18"/>
              </w:rPr>
            </w:pPr>
          </w:p>
        </w:tc>
        <w:tc>
          <w:tcPr>
            <w:tcW w:w="621" w:type="dxa"/>
            <w:tcBorders>
              <w:top w:val="nil"/>
              <w:left w:val="nil"/>
              <w:bottom w:val="nil"/>
              <w:right w:val="nil"/>
            </w:tcBorders>
            <w:shd w:val="clear" w:color="000000" w:fill="BFBFBF"/>
            <w:noWrap/>
            <w:vAlign w:val="bottom"/>
          </w:tcPr>
          <w:p w14:paraId="5F8421EE" w14:textId="11C1E7FA" w:rsidR="00E003F0" w:rsidRPr="00996B41" w:rsidRDefault="00E003F0" w:rsidP="00E003F0">
            <w:pPr>
              <w:jc w:val="right"/>
              <w:rPr>
                <w:rFonts w:eastAsia="Times New Roman" w:cstheme="minorHAnsi"/>
                <w:b/>
                <w:bCs/>
                <w:color w:val="0D0D0D"/>
                <w:sz w:val="18"/>
                <w:szCs w:val="18"/>
              </w:rPr>
            </w:pPr>
          </w:p>
        </w:tc>
        <w:tc>
          <w:tcPr>
            <w:tcW w:w="764" w:type="dxa"/>
            <w:tcBorders>
              <w:top w:val="nil"/>
              <w:left w:val="nil"/>
              <w:bottom w:val="nil"/>
              <w:right w:val="nil"/>
            </w:tcBorders>
            <w:shd w:val="clear" w:color="000000" w:fill="FFFFFF"/>
            <w:noWrap/>
            <w:vAlign w:val="bottom"/>
            <w:hideMark/>
          </w:tcPr>
          <w:p w14:paraId="6B16898A" w14:textId="5176BEE6" w:rsidR="00E003F0" w:rsidRPr="00996B41" w:rsidRDefault="00E003F0" w:rsidP="00E003F0">
            <w:pPr>
              <w:jc w:val="right"/>
              <w:rPr>
                <w:rFonts w:eastAsia="Times New Roman" w:cstheme="minorHAnsi"/>
                <w:b/>
                <w:bCs/>
                <w:color w:val="0D0D0D"/>
                <w:sz w:val="18"/>
                <w:szCs w:val="18"/>
              </w:rPr>
            </w:pPr>
            <w:r w:rsidRPr="00996B41">
              <w:rPr>
                <w:rFonts w:eastAsia="Times New Roman" w:cstheme="minorHAnsi"/>
                <w:b/>
                <w:bCs/>
                <w:color w:val="0D0D0D"/>
                <w:sz w:val="18"/>
                <w:szCs w:val="18"/>
              </w:rPr>
              <w:t> </w:t>
            </w:r>
          </w:p>
        </w:tc>
        <w:tc>
          <w:tcPr>
            <w:tcW w:w="621" w:type="dxa"/>
            <w:tcBorders>
              <w:top w:val="nil"/>
              <w:left w:val="nil"/>
              <w:bottom w:val="nil"/>
              <w:right w:val="nil"/>
            </w:tcBorders>
            <w:shd w:val="clear" w:color="000000" w:fill="BFBFBF"/>
            <w:noWrap/>
            <w:vAlign w:val="bottom"/>
            <w:hideMark/>
          </w:tcPr>
          <w:p w14:paraId="5AA76A6B" w14:textId="675746E2" w:rsidR="00E003F0" w:rsidRPr="00996B41" w:rsidRDefault="00E003F0" w:rsidP="00E003F0">
            <w:pPr>
              <w:jc w:val="right"/>
              <w:rPr>
                <w:rFonts w:eastAsia="Times New Roman" w:cstheme="minorHAnsi"/>
                <w:b/>
                <w:bCs/>
                <w:color w:val="0D0D0D"/>
                <w:sz w:val="18"/>
                <w:szCs w:val="18"/>
              </w:rPr>
            </w:pPr>
            <w:r w:rsidRPr="00996B41">
              <w:rPr>
                <w:rFonts w:eastAsia="Times New Roman" w:cstheme="minorHAnsi"/>
                <w:b/>
                <w:bCs/>
                <w:color w:val="0D0D0D"/>
                <w:sz w:val="18"/>
                <w:szCs w:val="18"/>
              </w:rPr>
              <w:t> </w:t>
            </w:r>
          </w:p>
        </w:tc>
        <w:tc>
          <w:tcPr>
            <w:tcW w:w="609" w:type="dxa"/>
            <w:tcBorders>
              <w:top w:val="nil"/>
              <w:left w:val="nil"/>
              <w:bottom w:val="nil"/>
              <w:right w:val="nil"/>
            </w:tcBorders>
            <w:shd w:val="clear" w:color="000000" w:fill="FFFFFF"/>
            <w:noWrap/>
            <w:vAlign w:val="bottom"/>
            <w:hideMark/>
          </w:tcPr>
          <w:p w14:paraId="63AA6B4D" w14:textId="38A0E80A" w:rsidR="00E003F0" w:rsidRPr="00996B41" w:rsidRDefault="00E003F0" w:rsidP="00E003F0">
            <w:pPr>
              <w:jc w:val="right"/>
              <w:rPr>
                <w:rFonts w:eastAsia="Times New Roman" w:cstheme="minorHAnsi"/>
                <w:color w:val="0D0D0D"/>
                <w:sz w:val="18"/>
                <w:szCs w:val="18"/>
              </w:rPr>
            </w:pPr>
            <w:r w:rsidRPr="00996B41">
              <w:rPr>
                <w:rFonts w:eastAsia="Times New Roman" w:cstheme="minorHAnsi"/>
                <w:b/>
                <w:bCs/>
                <w:color w:val="0D0D0D"/>
                <w:sz w:val="18"/>
                <w:szCs w:val="18"/>
              </w:rPr>
              <w:t> </w:t>
            </w:r>
          </w:p>
        </w:tc>
        <w:tc>
          <w:tcPr>
            <w:tcW w:w="619" w:type="dxa"/>
            <w:tcBorders>
              <w:top w:val="nil"/>
              <w:left w:val="nil"/>
              <w:bottom w:val="nil"/>
              <w:right w:val="nil"/>
            </w:tcBorders>
            <w:shd w:val="clear" w:color="000000" w:fill="BFBFBF"/>
            <w:noWrap/>
            <w:vAlign w:val="bottom"/>
            <w:hideMark/>
          </w:tcPr>
          <w:p w14:paraId="1BE36069" w14:textId="6996D739" w:rsidR="00E003F0" w:rsidRPr="00996B41" w:rsidRDefault="00E003F0" w:rsidP="00E003F0">
            <w:pPr>
              <w:jc w:val="right"/>
              <w:rPr>
                <w:rFonts w:eastAsia="Times New Roman" w:cstheme="minorHAnsi"/>
                <w:color w:val="0D0D0D"/>
                <w:sz w:val="18"/>
                <w:szCs w:val="18"/>
              </w:rPr>
            </w:pPr>
            <w:r w:rsidRPr="00996B41">
              <w:rPr>
                <w:rFonts w:eastAsia="Times New Roman" w:cstheme="minorHAnsi"/>
                <w:color w:val="0D0D0D"/>
                <w:sz w:val="18"/>
                <w:szCs w:val="18"/>
              </w:rPr>
              <w:t> </w:t>
            </w:r>
          </w:p>
        </w:tc>
        <w:tc>
          <w:tcPr>
            <w:tcW w:w="609" w:type="dxa"/>
            <w:tcBorders>
              <w:top w:val="nil"/>
              <w:left w:val="nil"/>
              <w:bottom w:val="nil"/>
              <w:right w:val="nil"/>
            </w:tcBorders>
            <w:shd w:val="clear" w:color="000000" w:fill="FFFFFF"/>
            <w:noWrap/>
            <w:vAlign w:val="bottom"/>
            <w:hideMark/>
          </w:tcPr>
          <w:p w14:paraId="7CF66426" w14:textId="4E97F09F" w:rsidR="00E003F0" w:rsidRPr="00996B41" w:rsidRDefault="00E003F0" w:rsidP="00E003F0">
            <w:pPr>
              <w:jc w:val="right"/>
              <w:rPr>
                <w:rFonts w:eastAsia="Times New Roman" w:cstheme="minorHAnsi"/>
                <w:color w:val="0D0D0D"/>
                <w:sz w:val="18"/>
                <w:szCs w:val="18"/>
              </w:rPr>
            </w:pPr>
            <w:r w:rsidRPr="00996B41">
              <w:rPr>
                <w:rFonts w:eastAsia="Times New Roman" w:cstheme="minorHAnsi"/>
                <w:color w:val="0D0D0D"/>
                <w:sz w:val="18"/>
                <w:szCs w:val="18"/>
              </w:rPr>
              <w:t> </w:t>
            </w:r>
          </w:p>
        </w:tc>
        <w:tc>
          <w:tcPr>
            <w:tcW w:w="649" w:type="dxa"/>
            <w:tcBorders>
              <w:top w:val="nil"/>
              <w:left w:val="nil"/>
              <w:bottom w:val="nil"/>
              <w:right w:val="nil"/>
            </w:tcBorders>
            <w:shd w:val="clear" w:color="000000" w:fill="BFBFBF"/>
            <w:noWrap/>
            <w:vAlign w:val="bottom"/>
            <w:hideMark/>
          </w:tcPr>
          <w:p w14:paraId="136CF500" w14:textId="5C6EF9CB" w:rsidR="00E003F0" w:rsidRPr="00996B41" w:rsidRDefault="00E003F0" w:rsidP="00E003F0">
            <w:pPr>
              <w:jc w:val="right"/>
              <w:rPr>
                <w:rFonts w:eastAsia="Times New Roman" w:cstheme="minorHAnsi"/>
                <w:color w:val="0D0D0D"/>
                <w:sz w:val="18"/>
                <w:szCs w:val="18"/>
              </w:rPr>
            </w:pPr>
            <w:r w:rsidRPr="00996B41">
              <w:rPr>
                <w:rFonts w:eastAsia="Times New Roman" w:cstheme="minorHAnsi"/>
                <w:color w:val="0D0D0D"/>
                <w:sz w:val="18"/>
                <w:szCs w:val="18"/>
              </w:rPr>
              <w:t> </w:t>
            </w:r>
          </w:p>
        </w:tc>
        <w:tc>
          <w:tcPr>
            <w:tcW w:w="609" w:type="dxa"/>
            <w:tcBorders>
              <w:top w:val="nil"/>
              <w:left w:val="nil"/>
              <w:bottom w:val="nil"/>
              <w:right w:val="nil"/>
            </w:tcBorders>
            <w:shd w:val="clear" w:color="000000" w:fill="FFFFFF"/>
            <w:noWrap/>
            <w:vAlign w:val="bottom"/>
            <w:hideMark/>
          </w:tcPr>
          <w:p w14:paraId="55FFC9C1" w14:textId="320C5041" w:rsidR="00E003F0" w:rsidRPr="00996B41" w:rsidRDefault="00E003F0" w:rsidP="00E003F0">
            <w:pPr>
              <w:jc w:val="right"/>
              <w:rPr>
                <w:rFonts w:eastAsia="Times New Roman" w:cstheme="minorHAnsi"/>
                <w:color w:val="0D0D0D"/>
                <w:sz w:val="18"/>
                <w:szCs w:val="18"/>
              </w:rPr>
            </w:pPr>
            <w:r w:rsidRPr="00996B41">
              <w:rPr>
                <w:rFonts w:eastAsia="Times New Roman" w:cstheme="minorHAnsi"/>
                <w:color w:val="0D0D0D"/>
                <w:sz w:val="18"/>
                <w:szCs w:val="18"/>
              </w:rPr>
              <w:t> </w:t>
            </w:r>
          </w:p>
        </w:tc>
        <w:tc>
          <w:tcPr>
            <w:tcW w:w="583" w:type="dxa"/>
            <w:tcBorders>
              <w:top w:val="nil"/>
              <w:left w:val="nil"/>
              <w:bottom w:val="nil"/>
              <w:right w:val="nil"/>
            </w:tcBorders>
            <w:shd w:val="clear" w:color="000000" w:fill="BFBFBF"/>
            <w:noWrap/>
            <w:vAlign w:val="bottom"/>
            <w:hideMark/>
          </w:tcPr>
          <w:p w14:paraId="50EBD943" w14:textId="5EA04883" w:rsidR="00E003F0" w:rsidRPr="00996B41" w:rsidRDefault="00E003F0" w:rsidP="00E003F0">
            <w:pPr>
              <w:jc w:val="right"/>
              <w:rPr>
                <w:rFonts w:eastAsia="Times New Roman" w:cstheme="minorHAnsi"/>
                <w:color w:val="0D0D0D"/>
                <w:sz w:val="18"/>
                <w:szCs w:val="18"/>
              </w:rPr>
            </w:pPr>
            <w:r w:rsidRPr="00996B41">
              <w:rPr>
                <w:rFonts w:eastAsia="Times New Roman" w:cstheme="minorHAnsi"/>
                <w:color w:val="0D0D0D"/>
                <w:sz w:val="18"/>
                <w:szCs w:val="18"/>
              </w:rPr>
              <w:t> </w:t>
            </w:r>
          </w:p>
        </w:tc>
      </w:tr>
      <w:tr w:rsidR="0059182A" w:rsidRPr="004E6649" w14:paraId="410AEDEA" w14:textId="77777777" w:rsidTr="00F50B8A">
        <w:trPr>
          <w:trHeight w:val="80"/>
          <w:jc w:val="center"/>
        </w:trPr>
        <w:tc>
          <w:tcPr>
            <w:tcW w:w="2831" w:type="dxa"/>
            <w:tcBorders>
              <w:top w:val="nil"/>
              <w:left w:val="nil"/>
              <w:bottom w:val="single" w:sz="4" w:space="0" w:color="000000" w:themeColor="text1"/>
              <w:right w:val="nil"/>
            </w:tcBorders>
            <w:shd w:val="clear" w:color="000000" w:fill="FFFFFF"/>
            <w:noWrap/>
            <w:vAlign w:val="bottom"/>
            <w:hideMark/>
          </w:tcPr>
          <w:p w14:paraId="6A620B91" w14:textId="77777777" w:rsidR="00E003F0" w:rsidRPr="00996B41" w:rsidRDefault="00E003F0" w:rsidP="00E003F0">
            <w:pPr>
              <w:ind w:firstLineChars="100" w:firstLine="180"/>
              <w:rPr>
                <w:rFonts w:eastAsia="Times New Roman" w:cstheme="minorHAnsi"/>
                <w:color w:val="0D0D0D"/>
                <w:sz w:val="18"/>
                <w:szCs w:val="18"/>
              </w:rPr>
            </w:pPr>
            <w:r w:rsidRPr="00996B41">
              <w:rPr>
                <w:rFonts w:eastAsia="Times New Roman" w:cstheme="minorHAnsi"/>
                <w:color w:val="0D0D0D"/>
                <w:sz w:val="18"/>
                <w:szCs w:val="18"/>
              </w:rPr>
              <w:t xml:space="preserve">Interest </w:t>
            </w:r>
          </w:p>
        </w:tc>
        <w:tc>
          <w:tcPr>
            <w:tcW w:w="755" w:type="dxa"/>
            <w:tcBorders>
              <w:top w:val="nil"/>
              <w:left w:val="nil"/>
              <w:bottom w:val="single" w:sz="4" w:space="0" w:color="000000" w:themeColor="text1"/>
              <w:right w:val="nil"/>
            </w:tcBorders>
            <w:shd w:val="clear" w:color="000000" w:fill="FFFFFF"/>
            <w:noWrap/>
            <w:vAlign w:val="bottom"/>
          </w:tcPr>
          <w:p w14:paraId="4E62A919" w14:textId="2667EF0C" w:rsidR="00E003F0" w:rsidRPr="00996B41" w:rsidRDefault="00AA61D4" w:rsidP="00E003F0">
            <w:pPr>
              <w:jc w:val="right"/>
              <w:rPr>
                <w:rFonts w:eastAsia="Times New Roman" w:cstheme="minorHAnsi"/>
                <w:b/>
                <w:bCs/>
                <w:color w:val="FF0000"/>
                <w:sz w:val="18"/>
                <w:szCs w:val="18"/>
              </w:rPr>
            </w:pPr>
            <w:r>
              <w:rPr>
                <w:rFonts w:eastAsia="Times New Roman" w:cstheme="minorHAnsi"/>
                <w:b/>
                <w:bCs/>
                <w:color w:val="0D0D0D" w:themeColor="text1" w:themeTint="F2"/>
                <w:sz w:val="18"/>
                <w:szCs w:val="18"/>
              </w:rPr>
              <w:t>9</w:t>
            </w:r>
          </w:p>
        </w:tc>
        <w:tc>
          <w:tcPr>
            <w:tcW w:w="621" w:type="dxa"/>
            <w:tcBorders>
              <w:top w:val="nil"/>
              <w:left w:val="nil"/>
              <w:bottom w:val="single" w:sz="4" w:space="0" w:color="000000" w:themeColor="text1"/>
              <w:right w:val="nil"/>
            </w:tcBorders>
            <w:shd w:val="clear" w:color="000000" w:fill="BFBFBF"/>
            <w:noWrap/>
            <w:vAlign w:val="bottom"/>
          </w:tcPr>
          <w:p w14:paraId="39FDF262" w14:textId="2E7D01B4" w:rsidR="00E003F0" w:rsidRPr="00996B41" w:rsidRDefault="000D5A87" w:rsidP="00E003F0">
            <w:pPr>
              <w:jc w:val="right"/>
              <w:rPr>
                <w:rFonts w:eastAsia="Times New Roman" w:cstheme="minorHAnsi"/>
                <w:b/>
                <w:bCs/>
                <w:color w:val="FF0000"/>
                <w:sz w:val="18"/>
                <w:szCs w:val="18"/>
              </w:rPr>
            </w:pPr>
            <w:r>
              <w:rPr>
                <w:rFonts w:eastAsia="Times New Roman" w:cstheme="minorHAnsi"/>
                <w:b/>
                <w:bCs/>
                <w:color w:val="0D0D0D" w:themeColor="text1" w:themeTint="F2"/>
                <w:sz w:val="18"/>
                <w:szCs w:val="18"/>
              </w:rPr>
              <w:t>1%</w:t>
            </w:r>
          </w:p>
        </w:tc>
        <w:tc>
          <w:tcPr>
            <w:tcW w:w="764" w:type="dxa"/>
            <w:tcBorders>
              <w:top w:val="nil"/>
              <w:left w:val="nil"/>
              <w:bottom w:val="single" w:sz="4" w:space="0" w:color="000000" w:themeColor="text1"/>
              <w:right w:val="nil"/>
            </w:tcBorders>
            <w:shd w:val="clear" w:color="000000" w:fill="FFFFFF"/>
            <w:noWrap/>
            <w:vAlign w:val="bottom"/>
            <w:hideMark/>
          </w:tcPr>
          <w:p w14:paraId="5E486C52" w14:textId="4A4D89B1" w:rsidR="00E003F0" w:rsidRPr="00996B41" w:rsidRDefault="00981DEF" w:rsidP="00E003F0">
            <w:pPr>
              <w:jc w:val="right"/>
              <w:rPr>
                <w:rFonts w:eastAsia="Times New Roman" w:cstheme="minorHAnsi"/>
                <w:b/>
                <w:bCs/>
                <w:color w:val="0D0D0D"/>
                <w:sz w:val="18"/>
                <w:szCs w:val="18"/>
              </w:rPr>
            </w:pPr>
            <w:r>
              <w:rPr>
                <w:rFonts w:eastAsia="Times New Roman" w:cstheme="minorHAnsi"/>
                <w:b/>
                <w:bCs/>
                <w:color w:val="0D0D0D"/>
                <w:sz w:val="18"/>
                <w:szCs w:val="18"/>
              </w:rPr>
              <w:t>9</w:t>
            </w:r>
          </w:p>
        </w:tc>
        <w:tc>
          <w:tcPr>
            <w:tcW w:w="621" w:type="dxa"/>
            <w:tcBorders>
              <w:top w:val="nil"/>
              <w:left w:val="nil"/>
              <w:bottom w:val="single" w:sz="4" w:space="0" w:color="000000" w:themeColor="text1"/>
              <w:right w:val="nil"/>
            </w:tcBorders>
            <w:shd w:val="clear" w:color="000000" w:fill="BFBFBF"/>
            <w:noWrap/>
            <w:vAlign w:val="bottom"/>
            <w:hideMark/>
          </w:tcPr>
          <w:p w14:paraId="1B707403" w14:textId="2B95916A" w:rsidR="00E003F0" w:rsidRPr="00996B41" w:rsidRDefault="00E003F0" w:rsidP="00E003F0">
            <w:pPr>
              <w:jc w:val="right"/>
              <w:rPr>
                <w:rFonts w:eastAsia="Times New Roman" w:cstheme="minorHAnsi"/>
                <w:b/>
                <w:bCs/>
                <w:color w:val="0D0D0D"/>
                <w:sz w:val="18"/>
                <w:szCs w:val="18"/>
              </w:rPr>
            </w:pPr>
            <w:r w:rsidRPr="00996B41">
              <w:rPr>
                <w:rFonts w:eastAsia="Times New Roman" w:cstheme="minorHAnsi"/>
                <w:b/>
                <w:bCs/>
                <w:color w:val="0D0D0D"/>
                <w:sz w:val="18"/>
                <w:szCs w:val="18"/>
              </w:rPr>
              <w:t>1%</w:t>
            </w:r>
          </w:p>
        </w:tc>
        <w:tc>
          <w:tcPr>
            <w:tcW w:w="609" w:type="dxa"/>
            <w:tcBorders>
              <w:top w:val="nil"/>
              <w:left w:val="nil"/>
              <w:bottom w:val="single" w:sz="4" w:space="0" w:color="000000" w:themeColor="text1"/>
              <w:right w:val="nil"/>
            </w:tcBorders>
            <w:shd w:val="clear" w:color="000000" w:fill="FFFFFF"/>
            <w:noWrap/>
            <w:vAlign w:val="bottom"/>
            <w:hideMark/>
          </w:tcPr>
          <w:p w14:paraId="441F51FC" w14:textId="0F337EF3" w:rsidR="00E003F0" w:rsidRPr="00996B41" w:rsidRDefault="00981DEF" w:rsidP="00E003F0">
            <w:pPr>
              <w:jc w:val="right"/>
              <w:rPr>
                <w:rFonts w:eastAsia="Times New Roman" w:cstheme="minorHAnsi"/>
                <w:color w:val="0D0D0D"/>
                <w:sz w:val="18"/>
                <w:szCs w:val="18"/>
              </w:rPr>
            </w:pPr>
            <w:r>
              <w:rPr>
                <w:rFonts w:eastAsia="Times New Roman" w:cstheme="minorHAnsi"/>
                <w:b/>
                <w:bCs/>
                <w:color w:val="0D0D0D"/>
                <w:sz w:val="18"/>
                <w:szCs w:val="18"/>
              </w:rPr>
              <w:t>8</w:t>
            </w:r>
          </w:p>
        </w:tc>
        <w:tc>
          <w:tcPr>
            <w:tcW w:w="619" w:type="dxa"/>
            <w:tcBorders>
              <w:top w:val="nil"/>
              <w:left w:val="nil"/>
              <w:bottom w:val="single" w:sz="4" w:space="0" w:color="000000" w:themeColor="text1"/>
              <w:right w:val="nil"/>
            </w:tcBorders>
            <w:shd w:val="clear" w:color="000000" w:fill="BFBFBF"/>
            <w:noWrap/>
            <w:vAlign w:val="bottom"/>
            <w:hideMark/>
          </w:tcPr>
          <w:p w14:paraId="0099018C" w14:textId="74A710A8" w:rsidR="00E003F0" w:rsidRPr="00996B41" w:rsidRDefault="00E003F0" w:rsidP="00E003F0">
            <w:pPr>
              <w:jc w:val="right"/>
              <w:rPr>
                <w:rFonts w:eastAsia="Times New Roman" w:cstheme="minorHAnsi"/>
                <w:color w:val="0D0D0D"/>
                <w:sz w:val="18"/>
                <w:szCs w:val="18"/>
              </w:rPr>
            </w:pPr>
            <w:r w:rsidRPr="00996B41">
              <w:rPr>
                <w:rFonts w:eastAsia="Times New Roman" w:cstheme="minorHAnsi"/>
                <w:color w:val="0D0D0D"/>
                <w:sz w:val="18"/>
                <w:szCs w:val="18"/>
              </w:rPr>
              <w:t>1%</w:t>
            </w:r>
          </w:p>
        </w:tc>
        <w:tc>
          <w:tcPr>
            <w:tcW w:w="609" w:type="dxa"/>
            <w:tcBorders>
              <w:top w:val="nil"/>
              <w:left w:val="nil"/>
              <w:bottom w:val="single" w:sz="4" w:space="0" w:color="000000" w:themeColor="text1"/>
              <w:right w:val="nil"/>
            </w:tcBorders>
            <w:shd w:val="clear" w:color="000000" w:fill="FFFFFF"/>
            <w:noWrap/>
            <w:vAlign w:val="bottom"/>
            <w:hideMark/>
          </w:tcPr>
          <w:p w14:paraId="08DD18E7" w14:textId="0152D07A" w:rsidR="00E003F0" w:rsidRPr="00996B41" w:rsidRDefault="00E003F0" w:rsidP="00E003F0">
            <w:pPr>
              <w:jc w:val="right"/>
              <w:rPr>
                <w:rFonts w:eastAsia="Times New Roman" w:cstheme="minorHAnsi"/>
                <w:color w:val="0D0D0D"/>
                <w:sz w:val="18"/>
                <w:szCs w:val="18"/>
              </w:rPr>
            </w:pPr>
            <w:r w:rsidRPr="00996B41">
              <w:rPr>
                <w:rFonts w:eastAsia="Times New Roman" w:cstheme="minorHAnsi"/>
                <w:color w:val="0D0D0D"/>
                <w:sz w:val="18"/>
                <w:szCs w:val="18"/>
              </w:rPr>
              <w:t>4</w:t>
            </w:r>
          </w:p>
        </w:tc>
        <w:tc>
          <w:tcPr>
            <w:tcW w:w="649" w:type="dxa"/>
            <w:tcBorders>
              <w:top w:val="nil"/>
              <w:left w:val="nil"/>
              <w:bottom w:val="single" w:sz="4" w:space="0" w:color="000000" w:themeColor="text1"/>
              <w:right w:val="nil"/>
            </w:tcBorders>
            <w:shd w:val="clear" w:color="000000" w:fill="BFBFBF"/>
            <w:noWrap/>
            <w:vAlign w:val="bottom"/>
            <w:hideMark/>
          </w:tcPr>
          <w:p w14:paraId="2510FC82" w14:textId="69DF9E54" w:rsidR="00E003F0" w:rsidRPr="00996B41" w:rsidRDefault="00E003F0" w:rsidP="00E003F0">
            <w:pPr>
              <w:jc w:val="right"/>
              <w:rPr>
                <w:rFonts w:eastAsia="Times New Roman" w:cstheme="minorHAnsi"/>
                <w:color w:val="0D0D0D"/>
                <w:sz w:val="18"/>
                <w:szCs w:val="18"/>
              </w:rPr>
            </w:pPr>
            <w:r w:rsidRPr="00996B41">
              <w:rPr>
                <w:rFonts w:eastAsia="Times New Roman" w:cstheme="minorHAnsi"/>
                <w:color w:val="0D0D0D"/>
                <w:sz w:val="18"/>
                <w:szCs w:val="18"/>
              </w:rPr>
              <w:t>1%</w:t>
            </w:r>
          </w:p>
        </w:tc>
        <w:tc>
          <w:tcPr>
            <w:tcW w:w="609" w:type="dxa"/>
            <w:tcBorders>
              <w:top w:val="nil"/>
              <w:left w:val="nil"/>
              <w:bottom w:val="single" w:sz="4" w:space="0" w:color="000000" w:themeColor="text1"/>
              <w:right w:val="nil"/>
            </w:tcBorders>
            <w:shd w:val="clear" w:color="000000" w:fill="FFFFFF"/>
            <w:noWrap/>
            <w:vAlign w:val="bottom"/>
            <w:hideMark/>
          </w:tcPr>
          <w:p w14:paraId="17B3DB1D" w14:textId="5528679C" w:rsidR="00E003F0" w:rsidRPr="00996B41" w:rsidRDefault="00E003F0" w:rsidP="00E003F0">
            <w:pPr>
              <w:jc w:val="right"/>
              <w:rPr>
                <w:rFonts w:eastAsia="Times New Roman" w:cstheme="minorHAnsi"/>
                <w:color w:val="0D0D0D"/>
                <w:sz w:val="18"/>
                <w:szCs w:val="18"/>
              </w:rPr>
            </w:pPr>
            <w:r w:rsidRPr="00996B41">
              <w:rPr>
                <w:rFonts w:eastAsia="Times New Roman" w:cstheme="minorHAnsi"/>
                <w:color w:val="0D0D0D"/>
                <w:sz w:val="18"/>
                <w:szCs w:val="18"/>
              </w:rPr>
              <w:t>4</w:t>
            </w:r>
          </w:p>
        </w:tc>
        <w:tc>
          <w:tcPr>
            <w:tcW w:w="583" w:type="dxa"/>
            <w:tcBorders>
              <w:top w:val="nil"/>
              <w:left w:val="nil"/>
              <w:bottom w:val="single" w:sz="4" w:space="0" w:color="000000" w:themeColor="text1"/>
              <w:right w:val="nil"/>
            </w:tcBorders>
            <w:shd w:val="clear" w:color="000000" w:fill="BFBFBF"/>
            <w:noWrap/>
            <w:vAlign w:val="bottom"/>
            <w:hideMark/>
          </w:tcPr>
          <w:p w14:paraId="69E99520" w14:textId="603974D0" w:rsidR="00E003F0" w:rsidRPr="00996B41" w:rsidRDefault="00E003F0" w:rsidP="00E003F0">
            <w:pPr>
              <w:jc w:val="right"/>
              <w:rPr>
                <w:rFonts w:eastAsia="Times New Roman" w:cstheme="minorHAnsi"/>
                <w:color w:val="0D0D0D"/>
                <w:sz w:val="18"/>
                <w:szCs w:val="18"/>
              </w:rPr>
            </w:pPr>
            <w:r w:rsidRPr="00996B41">
              <w:rPr>
                <w:rFonts w:eastAsia="Times New Roman" w:cstheme="minorHAnsi"/>
                <w:color w:val="0D0D0D"/>
                <w:sz w:val="18"/>
                <w:szCs w:val="18"/>
              </w:rPr>
              <w:t>1%</w:t>
            </w:r>
          </w:p>
        </w:tc>
      </w:tr>
      <w:tr w:rsidR="0059182A" w:rsidRPr="004E6649" w14:paraId="5436D971" w14:textId="77777777" w:rsidTr="00F50B8A">
        <w:trPr>
          <w:trHeight w:val="70"/>
          <w:jc w:val="center"/>
        </w:trPr>
        <w:tc>
          <w:tcPr>
            <w:tcW w:w="2831" w:type="dxa"/>
            <w:tcBorders>
              <w:top w:val="single" w:sz="4" w:space="0" w:color="000000" w:themeColor="text1"/>
              <w:left w:val="nil"/>
              <w:bottom w:val="double" w:sz="4" w:space="0" w:color="000000" w:themeColor="text1"/>
              <w:right w:val="nil"/>
            </w:tcBorders>
            <w:shd w:val="clear" w:color="000000" w:fill="FFFFFF"/>
            <w:noWrap/>
            <w:vAlign w:val="bottom"/>
            <w:hideMark/>
          </w:tcPr>
          <w:p w14:paraId="5B5600C6" w14:textId="77777777" w:rsidR="00E003F0" w:rsidRPr="00996B41" w:rsidRDefault="00E003F0" w:rsidP="00E003F0">
            <w:pPr>
              <w:ind w:firstLineChars="100" w:firstLine="181"/>
              <w:rPr>
                <w:rFonts w:eastAsia="Times New Roman" w:cstheme="minorHAnsi"/>
                <w:b/>
                <w:bCs/>
                <w:color w:val="0D0D0D"/>
                <w:sz w:val="18"/>
                <w:szCs w:val="18"/>
              </w:rPr>
            </w:pPr>
            <w:r w:rsidRPr="00996B41">
              <w:rPr>
                <w:rFonts w:eastAsia="Times New Roman" w:cstheme="minorHAnsi"/>
                <w:b/>
                <w:bCs/>
                <w:color w:val="0D0D0D"/>
                <w:sz w:val="18"/>
                <w:szCs w:val="18"/>
              </w:rPr>
              <w:t>Total Expenses</w:t>
            </w:r>
          </w:p>
        </w:tc>
        <w:tc>
          <w:tcPr>
            <w:tcW w:w="755" w:type="dxa"/>
            <w:tcBorders>
              <w:top w:val="single" w:sz="4" w:space="0" w:color="000000" w:themeColor="text1"/>
              <w:left w:val="nil"/>
              <w:bottom w:val="double" w:sz="4" w:space="0" w:color="000000" w:themeColor="text1"/>
              <w:right w:val="nil"/>
            </w:tcBorders>
            <w:shd w:val="clear" w:color="000000" w:fill="FFFFFF"/>
            <w:noWrap/>
            <w:vAlign w:val="bottom"/>
          </w:tcPr>
          <w:p w14:paraId="0D6892CF" w14:textId="4CC74897" w:rsidR="00025347" w:rsidRPr="00996B41" w:rsidRDefault="00AA61D4" w:rsidP="00A65769">
            <w:pPr>
              <w:jc w:val="right"/>
              <w:rPr>
                <w:rFonts w:eastAsia="Times New Roman" w:cstheme="minorHAnsi"/>
                <w:b/>
                <w:bCs/>
                <w:color w:val="0D0D0D"/>
                <w:sz w:val="18"/>
                <w:szCs w:val="18"/>
              </w:rPr>
            </w:pPr>
            <w:r>
              <w:rPr>
                <w:rFonts w:eastAsia="Times New Roman" w:cstheme="minorHAnsi"/>
                <w:b/>
                <w:bCs/>
                <w:color w:val="0D0D0D"/>
                <w:sz w:val="18"/>
                <w:szCs w:val="18"/>
              </w:rPr>
              <w:t>$</w:t>
            </w:r>
            <w:r w:rsidR="005F22A4">
              <w:rPr>
                <w:rFonts w:eastAsia="Times New Roman" w:cstheme="minorHAnsi"/>
                <w:b/>
                <w:bCs/>
                <w:color w:val="0D0D0D"/>
                <w:sz w:val="18"/>
                <w:szCs w:val="18"/>
              </w:rPr>
              <w:t>894</w:t>
            </w:r>
          </w:p>
        </w:tc>
        <w:tc>
          <w:tcPr>
            <w:tcW w:w="621" w:type="dxa"/>
            <w:tcBorders>
              <w:top w:val="single" w:sz="4" w:space="0" w:color="000000" w:themeColor="text1"/>
              <w:left w:val="nil"/>
              <w:bottom w:val="double" w:sz="4" w:space="0" w:color="000000" w:themeColor="text1"/>
              <w:right w:val="nil"/>
            </w:tcBorders>
            <w:shd w:val="clear" w:color="000000" w:fill="BFBFBF"/>
            <w:noWrap/>
            <w:vAlign w:val="bottom"/>
          </w:tcPr>
          <w:p w14:paraId="7FD4D1BB" w14:textId="62ED41BF" w:rsidR="00E003F0" w:rsidRPr="00996B41" w:rsidRDefault="000D5A87" w:rsidP="00E003F0">
            <w:pPr>
              <w:jc w:val="right"/>
              <w:rPr>
                <w:rFonts w:eastAsia="Times New Roman" w:cstheme="minorHAnsi"/>
                <w:b/>
                <w:bCs/>
                <w:color w:val="0D0D0D"/>
                <w:sz w:val="18"/>
                <w:szCs w:val="18"/>
              </w:rPr>
            </w:pPr>
            <w:r>
              <w:rPr>
                <w:rFonts w:eastAsia="Times New Roman" w:cstheme="minorHAnsi"/>
                <w:b/>
                <w:bCs/>
                <w:color w:val="0D0D0D"/>
                <w:sz w:val="18"/>
                <w:szCs w:val="18"/>
              </w:rPr>
              <w:t>100%</w:t>
            </w:r>
          </w:p>
        </w:tc>
        <w:tc>
          <w:tcPr>
            <w:tcW w:w="764" w:type="dxa"/>
            <w:tcBorders>
              <w:top w:val="single" w:sz="4" w:space="0" w:color="000000" w:themeColor="text1"/>
              <w:left w:val="nil"/>
              <w:bottom w:val="double" w:sz="4" w:space="0" w:color="000000" w:themeColor="text1"/>
              <w:right w:val="nil"/>
            </w:tcBorders>
            <w:shd w:val="clear" w:color="000000" w:fill="FFFFFF"/>
            <w:noWrap/>
            <w:vAlign w:val="bottom"/>
            <w:hideMark/>
          </w:tcPr>
          <w:p w14:paraId="227EFE87" w14:textId="70BB941A" w:rsidR="00E003F0" w:rsidRPr="00996B41" w:rsidRDefault="00E003F0" w:rsidP="00E003F0">
            <w:pPr>
              <w:jc w:val="right"/>
              <w:rPr>
                <w:rFonts w:eastAsia="Times New Roman" w:cstheme="minorHAnsi"/>
                <w:b/>
                <w:bCs/>
                <w:color w:val="0D0D0D"/>
                <w:sz w:val="18"/>
                <w:szCs w:val="18"/>
              </w:rPr>
            </w:pPr>
            <w:r w:rsidRPr="00996B41">
              <w:rPr>
                <w:rFonts w:eastAsia="Times New Roman" w:cstheme="minorHAnsi"/>
                <w:b/>
                <w:bCs/>
                <w:color w:val="0D0D0D"/>
                <w:sz w:val="18"/>
                <w:szCs w:val="18"/>
              </w:rPr>
              <w:t>$</w:t>
            </w:r>
            <w:r w:rsidR="00981DEF" w:rsidRPr="00996B41">
              <w:rPr>
                <w:rFonts w:eastAsia="Times New Roman" w:cstheme="minorHAnsi"/>
                <w:b/>
                <w:bCs/>
                <w:color w:val="0D0D0D"/>
                <w:sz w:val="18"/>
                <w:szCs w:val="18"/>
              </w:rPr>
              <w:t>8</w:t>
            </w:r>
            <w:r w:rsidR="0059182A">
              <w:rPr>
                <w:rFonts w:eastAsia="Times New Roman" w:cstheme="minorHAnsi"/>
                <w:b/>
                <w:bCs/>
                <w:color w:val="0D0D0D"/>
                <w:sz w:val="18"/>
                <w:szCs w:val="18"/>
              </w:rPr>
              <w:t>59</w:t>
            </w:r>
          </w:p>
        </w:tc>
        <w:tc>
          <w:tcPr>
            <w:tcW w:w="621" w:type="dxa"/>
            <w:tcBorders>
              <w:top w:val="single" w:sz="4" w:space="0" w:color="000000" w:themeColor="text1"/>
              <w:left w:val="nil"/>
              <w:bottom w:val="double" w:sz="4" w:space="0" w:color="000000" w:themeColor="text1"/>
              <w:right w:val="nil"/>
            </w:tcBorders>
            <w:shd w:val="clear" w:color="000000" w:fill="BFBFBF"/>
            <w:noWrap/>
            <w:vAlign w:val="bottom"/>
            <w:hideMark/>
          </w:tcPr>
          <w:p w14:paraId="7CF743CD" w14:textId="1568EF43" w:rsidR="00E003F0" w:rsidRPr="00996B41" w:rsidRDefault="00E003F0" w:rsidP="00E003F0">
            <w:pPr>
              <w:jc w:val="right"/>
              <w:rPr>
                <w:rFonts w:eastAsia="Times New Roman" w:cstheme="minorHAnsi"/>
                <w:b/>
                <w:bCs/>
                <w:color w:val="0D0D0D"/>
                <w:sz w:val="18"/>
                <w:szCs w:val="18"/>
              </w:rPr>
            </w:pPr>
            <w:r w:rsidRPr="00996B41">
              <w:rPr>
                <w:rFonts w:eastAsia="Times New Roman" w:cstheme="minorHAnsi"/>
                <w:b/>
                <w:bCs/>
                <w:color w:val="0D0D0D"/>
                <w:sz w:val="18"/>
                <w:szCs w:val="18"/>
              </w:rPr>
              <w:t>100%</w:t>
            </w:r>
          </w:p>
        </w:tc>
        <w:tc>
          <w:tcPr>
            <w:tcW w:w="609" w:type="dxa"/>
            <w:tcBorders>
              <w:top w:val="single" w:sz="4" w:space="0" w:color="000000" w:themeColor="text1"/>
              <w:left w:val="nil"/>
              <w:bottom w:val="double" w:sz="4" w:space="0" w:color="000000" w:themeColor="text1"/>
              <w:right w:val="nil"/>
            </w:tcBorders>
            <w:shd w:val="clear" w:color="000000" w:fill="FFFFFF"/>
            <w:noWrap/>
            <w:vAlign w:val="bottom"/>
            <w:hideMark/>
          </w:tcPr>
          <w:p w14:paraId="34F1099B" w14:textId="62273641" w:rsidR="00E003F0" w:rsidRPr="00996B41" w:rsidRDefault="00E003F0" w:rsidP="00E003F0">
            <w:pPr>
              <w:jc w:val="right"/>
              <w:rPr>
                <w:rFonts w:eastAsia="Times New Roman" w:cstheme="minorHAnsi"/>
                <w:color w:val="0D0D0D"/>
                <w:sz w:val="18"/>
                <w:szCs w:val="18"/>
              </w:rPr>
            </w:pPr>
            <w:r w:rsidRPr="00996B41">
              <w:rPr>
                <w:rFonts w:eastAsia="Times New Roman" w:cstheme="minorHAnsi"/>
                <w:b/>
                <w:bCs/>
                <w:color w:val="0D0D0D"/>
                <w:sz w:val="18"/>
                <w:szCs w:val="18"/>
              </w:rPr>
              <w:t>$</w:t>
            </w:r>
            <w:r w:rsidR="00981DEF" w:rsidRPr="00996B41">
              <w:rPr>
                <w:rFonts w:eastAsia="Times New Roman" w:cstheme="minorHAnsi"/>
                <w:b/>
                <w:bCs/>
                <w:color w:val="0D0D0D"/>
                <w:sz w:val="18"/>
                <w:szCs w:val="18"/>
              </w:rPr>
              <w:t>81</w:t>
            </w:r>
            <w:r w:rsidR="00981DEF">
              <w:rPr>
                <w:rFonts w:eastAsia="Times New Roman" w:cstheme="minorHAnsi"/>
                <w:b/>
                <w:bCs/>
                <w:color w:val="0D0D0D"/>
                <w:sz w:val="18"/>
                <w:szCs w:val="18"/>
              </w:rPr>
              <w:t>8</w:t>
            </w:r>
          </w:p>
        </w:tc>
        <w:tc>
          <w:tcPr>
            <w:tcW w:w="619" w:type="dxa"/>
            <w:tcBorders>
              <w:top w:val="single" w:sz="4" w:space="0" w:color="000000" w:themeColor="text1"/>
              <w:left w:val="nil"/>
              <w:bottom w:val="double" w:sz="4" w:space="0" w:color="000000" w:themeColor="text1"/>
              <w:right w:val="nil"/>
            </w:tcBorders>
            <w:shd w:val="clear" w:color="000000" w:fill="BFBFBF"/>
            <w:noWrap/>
            <w:vAlign w:val="bottom"/>
            <w:hideMark/>
          </w:tcPr>
          <w:p w14:paraId="1E0A5C26" w14:textId="03DEB0DE" w:rsidR="00E003F0" w:rsidRPr="00996B41" w:rsidRDefault="00E003F0" w:rsidP="00E003F0">
            <w:pPr>
              <w:jc w:val="right"/>
              <w:rPr>
                <w:rFonts w:eastAsia="Times New Roman" w:cstheme="minorHAnsi"/>
                <w:color w:val="0D0D0D"/>
                <w:sz w:val="18"/>
                <w:szCs w:val="18"/>
              </w:rPr>
            </w:pPr>
            <w:r w:rsidRPr="00996B41">
              <w:rPr>
                <w:rFonts w:eastAsia="Times New Roman" w:cstheme="minorHAnsi"/>
                <w:color w:val="0D0D0D"/>
                <w:sz w:val="18"/>
                <w:szCs w:val="18"/>
              </w:rPr>
              <w:t>100%</w:t>
            </w:r>
          </w:p>
        </w:tc>
        <w:tc>
          <w:tcPr>
            <w:tcW w:w="609" w:type="dxa"/>
            <w:tcBorders>
              <w:top w:val="single" w:sz="4" w:space="0" w:color="000000" w:themeColor="text1"/>
              <w:left w:val="nil"/>
              <w:bottom w:val="double" w:sz="4" w:space="0" w:color="000000" w:themeColor="text1"/>
              <w:right w:val="nil"/>
            </w:tcBorders>
            <w:shd w:val="clear" w:color="000000" w:fill="FFFFFF"/>
            <w:noWrap/>
            <w:vAlign w:val="bottom"/>
            <w:hideMark/>
          </w:tcPr>
          <w:p w14:paraId="0E7DD34F" w14:textId="13FF6E61" w:rsidR="00E003F0" w:rsidRPr="00996B41" w:rsidRDefault="00E003F0" w:rsidP="00E003F0">
            <w:pPr>
              <w:jc w:val="right"/>
              <w:rPr>
                <w:rFonts w:eastAsia="Times New Roman" w:cstheme="minorHAnsi"/>
                <w:color w:val="0D0D0D"/>
                <w:sz w:val="18"/>
                <w:szCs w:val="18"/>
              </w:rPr>
            </w:pPr>
            <w:r w:rsidRPr="00996B41">
              <w:rPr>
                <w:rFonts w:eastAsia="Times New Roman" w:cstheme="minorHAnsi"/>
                <w:color w:val="0D0D0D"/>
                <w:sz w:val="18"/>
                <w:szCs w:val="18"/>
              </w:rPr>
              <w:t>$</w:t>
            </w:r>
            <w:r w:rsidR="00981DEF">
              <w:rPr>
                <w:rFonts w:eastAsia="Times New Roman" w:cstheme="minorHAnsi"/>
                <w:color w:val="0D0D0D"/>
                <w:sz w:val="18"/>
                <w:szCs w:val="18"/>
              </w:rPr>
              <w:t>815</w:t>
            </w:r>
          </w:p>
        </w:tc>
        <w:tc>
          <w:tcPr>
            <w:tcW w:w="649" w:type="dxa"/>
            <w:tcBorders>
              <w:top w:val="single" w:sz="4" w:space="0" w:color="000000" w:themeColor="text1"/>
              <w:left w:val="nil"/>
              <w:bottom w:val="double" w:sz="4" w:space="0" w:color="000000" w:themeColor="text1"/>
              <w:right w:val="nil"/>
            </w:tcBorders>
            <w:shd w:val="clear" w:color="000000" w:fill="BFBFBF"/>
            <w:noWrap/>
            <w:vAlign w:val="bottom"/>
            <w:hideMark/>
          </w:tcPr>
          <w:p w14:paraId="0C202557" w14:textId="1F136D89" w:rsidR="00E003F0" w:rsidRPr="00996B41" w:rsidRDefault="00E003F0" w:rsidP="00E003F0">
            <w:pPr>
              <w:jc w:val="right"/>
              <w:rPr>
                <w:rFonts w:eastAsia="Times New Roman" w:cstheme="minorHAnsi"/>
                <w:color w:val="0D0D0D"/>
                <w:sz w:val="18"/>
                <w:szCs w:val="18"/>
              </w:rPr>
            </w:pPr>
            <w:r w:rsidRPr="00996B41">
              <w:rPr>
                <w:rFonts w:eastAsia="Times New Roman" w:cstheme="minorHAnsi"/>
                <w:color w:val="0D0D0D"/>
                <w:sz w:val="18"/>
                <w:szCs w:val="18"/>
              </w:rPr>
              <w:t>100%</w:t>
            </w:r>
          </w:p>
        </w:tc>
        <w:tc>
          <w:tcPr>
            <w:tcW w:w="609" w:type="dxa"/>
            <w:tcBorders>
              <w:top w:val="single" w:sz="4" w:space="0" w:color="000000" w:themeColor="text1"/>
              <w:left w:val="nil"/>
              <w:bottom w:val="double" w:sz="4" w:space="0" w:color="000000" w:themeColor="text1"/>
              <w:right w:val="nil"/>
            </w:tcBorders>
            <w:shd w:val="clear" w:color="000000" w:fill="FFFFFF"/>
            <w:noWrap/>
            <w:vAlign w:val="bottom"/>
            <w:hideMark/>
          </w:tcPr>
          <w:p w14:paraId="48453174" w14:textId="4009FC36" w:rsidR="00E003F0" w:rsidRPr="00996B41" w:rsidRDefault="00E003F0" w:rsidP="00E003F0">
            <w:pPr>
              <w:jc w:val="right"/>
              <w:rPr>
                <w:rFonts w:eastAsia="Times New Roman" w:cstheme="minorHAnsi"/>
                <w:color w:val="0D0D0D"/>
                <w:sz w:val="18"/>
                <w:szCs w:val="18"/>
              </w:rPr>
            </w:pPr>
            <w:r w:rsidRPr="00996B41">
              <w:rPr>
                <w:rFonts w:eastAsia="Times New Roman" w:cstheme="minorHAnsi"/>
                <w:color w:val="0D0D0D"/>
                <w:sz w:val="18"/>
                <w:szCs w:val="18"/>
              </w:rPr>
              <w:t>$</w:t>
            </w:r>
            <w:r w:rsidR="002F6B9E">
              <w:rPr>
                <w:rFonts w:eastAsia="Times New Roman" w:cstheme="minorHAnsi"/>
                <w:color w:val="0D0D0D"/>
                <w:sz w:val="18"/>
                <w:szCs w:val="18"/>
              </w:rPr>
              <w:t>684</w:t>
            </w:r>
          </w:p>
        </w:tc>
        <w:tc>
          <w:tcPr>
            <w:tcW w:w="583" w:type="dxa"/>
            <w:tcBorders>
              <w:top w:val="single" w:sz="4" w:space="0" w:color="000000" w:themeColor="text1"/>
              <w:left w:val="nil"/>
              <w:bottom w:val="double" w:sz="4" w:space="0" w:color="000000" w:themeColor="text1"/>
              <w:right w:val="nil"/>
            </w:tcBorders>
            <w:shd w:val="clear" w:color="000000" w:fill="BFBFBF"/>
            <w:noWrap/>
            <w:vAlign w:val="bottom"/>
            <w:hideMark/>
          </w:tcPr>
          <w:p w14:paraId="2187077C" w14:textId="4ACECD91" w:rsidR="00E003F0" w:rsidRPr="00996B41" w:rsidRDefault="00E003F0" w:rsidP="00E003F0">
            <w:pPr>
              <w:jc w:val="right"/>
              <w:rPr>
                <w:rFonts w:eastAsia="Times New Roman" w:cstheme="minorHAnsi"/>
                <w:color w:val="0D0D0D"/>
                <w:sz w:val="18"/>
                <w:szCs w:val="18"/>
              </w:rPr>
            </w:pPr>
            <w:r w:rsidRPr="00996B41">
              <w:rPr>
                <w:rFonts w:eastAsia="Times New Roman" w:cstheme="minorHAnsi"/>
                <w:color w:val="0D0D0D"/>
                <w:sz w:val="18"/>
                <w:szCs w:val="18"/>
              </w:rPr>
              <w:t>100%</w:t>
            </w:r>
          </w:p>
        </w:tc>
      </w:tr>
    </w:tbl>
    <w:p w14:paraId="2F3BCABD" w14:textId="217035E1" w:rsidR="00A83362" w:rsidRDefault="00A83362" w:rsidP="00A81690">
      <w:pPr>
        <w:spacing w:before="200"/>
        <w:rPr>
          <w:rFonts w:eastAsia="Times New Roman" w:cstheme="minorHAnsi"/>
          <w:sz w:val="24"/>
          <w:szCs w:val="20"/>
        </w:rPr>
      </w:pPr>
      <w:r w:rsidRPr="004E6649">
        <w:rPr>
          <w:rFonts w:eastAsia="Times New Roman" w:cstheme="minorHAnsi"/>
          <w:sz w:val="24"/>
          <w:szCs w:val="20"/>
        </w:rPr>
        <w:t>Compensation costs were $</w:t>
      </w:r>
      <w:r w:rsidR="005222DE">
        <w:rPr>
          <w:rFonts w:eastAsia="Times New Roman" w:cstheme="minorHAnsi"/>
          <w:sz w:val="24"/>
          <w:szCs w:val="20"/>
        </w:rPr>
        <w:t>408</w:t>
      </w:r>
      <w:r w:rsidR="005222DE" w:rsidRPr="004E6649">
        <w:rPr>
          <w:rFonts w:eastAsia="Times New Roman" w:cstheme="minorHAnsi"/>
          <w:sz w:val="24"/>
          <w:szCs w:val="20"/>
        </w:rPr>
        <w:t xml:space="preserve"> </w:t>
      </w:r>
      <w:r w:rsidRPr="004E6649">
        <w:rPr>
          <w:rFonts w:eastAsia="Times New Roman" w:cstheme="minorHAnsi"/>
          <w:sz w:val="24"/>
          <w:szCs w:val="20"/>
        </w:rPr>
        <w:t xml:space="preserve">million in </w:t>
      </w:r>
      <w:r w:rsidR="002F6B9E" w:rsidRPr="004E6649">
        <w:rPr>
          <w:rFonts w:eastAsia="Times New Roman" w:cstheme="minorHAnsi"/>
          <w:sz w:val="24"/>
          <w:szCs w:val="20"/>
        </w:rPr>
        <w:t>FY2</w:t>
      </w:r>
      <w:r w:rsidR="002F6B9E">
        <w:rPr>
          <w:rFonts w:eastAsia="Times New Roman" w:cstheme="minorHAnsi"/>
          <w:sz w:val="24"/>
          <w:szCs w:val="20"/>
        </w:rPr>
        <w:t>5</w:t>
      </w:r>
      <w:r w:rsidRPr="004E6649">
        <w:rPr>
          <w:rFonts w:eastAsia="Times New Roman" w:cstheme="minorHAnsi"/>
          <w:sz w:val="24"/>
          <w:szCs w:val="20"/>
        </w:rPr>
        <w:t xml:space="preserve">, </w:t>
      </w:r>
      <w:r w:rsidRPr="005222DE">
        <w:rPr>
          <w:rFonts w:eastAsia="Times New Roman" w:cstheme="minorHAnsi"/>
          <w:sz w:val="24"/>
          <w:szCs w:val="20"/>
        </w:rPr>
        <w:t xml:space="preserve">up </w:t>
      </w:r>
      <w:r w:rsidR="005222DE">
        <w:rPr>
          <w:rFonts w:eastAsia="Times New Roman" w:cstheme="minorHAnsi"/>
          <w:sz w:val="24"/>
          <w:szCs w:val="20"/>
        </w:rPr>
        <w:t>5.7</w:t>
      </w:r>
      <w:r w:rsidRPr="004E6649">
        <w:rPr>
          <w:rFonts w:eastAsia="Times New Roman" w:cstheme="minorHAnsi"/>
          <w:sz w:val="24"/>
          <w:szCs w:val="20"/>
        </w:rPr>
        <w:t xml:space="preserve">% from the </w:t>
      </w:r>
      <w:r w:rsidR="002F6B9E" w:rsidRPr="004E6649">
        <w:rPr>
          <w:rFonts w:eastAsia="Times New Roman" w:cstheme="minorHAnsi"/>
          <w:sz w:val="24"/>
          <w:szCs w:val="20"/>
        </w:rPr>
        <w:t>FY2</w:t>
      </w:r>
      <w:r w:rsidR="002F6B9E">
        <w:rPr>
          <w:rFonts w:eastAsia="Times New Roman" w:cstheme="minorHAnsi"/>
          <w:sz w:val="24"/>
          <w:szCs w:val="20"/>
        </w:rPr>
        <w:t>4</w:t>
      </w:r>
      <w:r w:rsidR="002F6B9E" w:rsidRPr="004E6649">
        <w:rPr>
          <w:rFonts w:eastAsia="Times New Roman" w:cstheme="minorHAnsi"/>
          <w:sz w:val="24"/>
          <w:szCs w:val="20"/>
        </w:rPr>
        <w:t xml:space="preserve"> </w:t>
      </w:r>
      <w:r w:rsidRPr="004E6649">
        <w:rPr>
          <w:rFonts w:eastAsia="Times New Roman" w:cstheme="minorHAnsi"/>
          <w:sz w:val="24"/>
          <w:szCs w:val="20"/>
        </w:rPr>
        <w:t>total of $</w:t>
      </w:r>
      <w:r w:rsidR="002F6B9E" w:rsidRPr="004E6649">
        <w:rPr>
          <w:rFonts w:eastAsia="Times New Roman" w:cstheme="minorHAnsi"/>
          <w:sz w:val="24"/>
          <w:szCs w:val="20"/>
        </w:rPr>
        <w:t>3</w:t>
      </w:r>
      <w:r w:rsidR="002F6B9E">
        <w:rPr>
          <w:rFonts w:eastAsia="Times New Roman" w:cstheme="minorHAnsi"/>
          <w:sz w:val="24"/>
          <w:szCs w:val="20"/>
        </w:rPr>
        <w:t>86</w:t>
      </w:r>
      <w:r w:rsidR="002F6B9E" w:rsidRPr="004E6649">
        <w:rPr>
          <w:rFonts w:eastAsia="Times New Roman" w:cstheme="minorHAnsi"/>
          <w:sz w:val="24"/>
          <w:szCs w:val="20"/>
        </w:rPr>
        <w:t xml:space="preserve"> </w:t>
      </w:r>
      <w:r w:rsidRPr="004E6649">
        <w:rPr>
          <w:rFonts w:eastAsia="Times New Roman" w:cstheme="minorHAnsi"/>
          <w:sz w:val="24"/>
          <w:szCs w:val="20"/>
        </w:rPr>
        <w:t xml:space="preserve">million while </w:t>
      </w:r>
      <w:r w:rsidR="002F6B9E" w:rsidRPr="004E6649">
        <w:rPr>
          <w:rFonts w:eastAsia="Times New Roman" w:cstheme="minorHAnsi"/>
          <w:sz w:val="24"/>
          <w:szCs w:val="20"/>
        </w:rPr>
        <w:t>FY2</w:t>
      </w:r>
      <w:r w:rsidR="002F6B9E">
        <w:rPr>
          <w:rFonts w:eastAsia="Times New Roman" w:cstheme="minorHAnsi"/>
          <w:sz w:val="24"/>
          <w:szCs w:val="20"/>
        </w:rPr>
        <w:t>5</w:t>
      </w:r>
      <w:r w:rsidR="002F6B9E" w:rsidRPr="004E6649">
        <w:rPr>
          <w:rFonts w:eastAsia="Times New Roman" w:cstheme="minorHAnsi"/>
          <w:sz w:val="24"/>
          <w:szCs w:val="20"/>
        </w:rPr>
        <w:t xml:space="preserve"> </w:t>
      </w:r>
      <w:r w:rsidRPr="004E6649">
        <w:rPr>
          <w:rFonts w:eastAsia="Times New Roman" w:cstheme="minorHAnsi"/>
          <w:sz w:val="24"/>
          <w:szCs w:val="20"/>
        </w:rPr>
        <w:t>benefits totaled $</w:t>
      </w:r>
      <w:r w:rsidR="005222DE" w:rsidRPr="005222DE">
        <w:rPr>
          <w:rFonts w:eastAsia="Times New Roman" w:cstheme="minorHAnsi"/>
          <w:sz w:val="24"/>
          <w:szCs w:val="20"/>
        </w:rPr>
        <w:t>14</w:t>
      </w:r>
      <w:r w:rsidR="003E1080">
        <w:rPr>
          <w:rFonts w:eastAsia="Times New Roman" w:cstheme="minorHAnsi"/>
          <w:sz w:val="24"/>
          <w:szCs w:val="20"/>
        </w:rPr>
        <w:t>6</w:t>
      </w:r>
      <w:r w:rsidR="005222DE" w:rsidRPr="005222DE">
        <w:rPr>
          <w:rFonts w:eastAsia="Times New Roman" w:cstheme="minorHAnsi"/>
          <w:sz w:val="24"/>
          <w:szCs w:val="20"/>
        </w:rPr>
        <w:t xml:space="preserve"> </w:t>
      </w:r>
      <w:r w:rsidRPr="005222DE">
        <w:rPr>
          <w:rFonts w:eastAsia="Times New Roman" w:cstheme="minorHAnsi"/>
          <w:sz w:val="24"/>
          <w:szCs w:val="20"/>
        </w:rPr>
        <w:t xml:space="preserve">million, </w:t>
      </w:r>
      <w:r w:rsidR="005222DE" w:rsidRPr="003C277A">
        <w:rPr>
          <w:rFonts w:eastAsia="Times New Roman" w:cstheme="minorHAnsi"/>
          <w:sz w:val="24"/>
          <w:szCs w:val="20"/>
        </w:rPr>
        <w:t>up</w:t>
      </w:r>
      <w:r w:rsidR="005222DE" w:rsidRPr="005222DE">
        <w:rPr>
          <w:rFonts w:eastAsia="Times New Roman" w:cstheme="minorHAnsi"/>
          <w:sz w:val="24"/>
          <w:szCs w:val="20"/>
        </w:rPr>
        <w:t xml:space="preserve"> </w:t>
      </w:r>
      <w:r w:rsidRPr="005222DE">
        <w:rPr>
          <w:rFonts w:eastAsia="Times New Roman" w:cstheme="minorHAnsi"/>
          <w:sz w:val="24"/>
          <w:szCs w:val="20"/>
        </w:rPr>
        <w:t>$</w:t>
      </w:r>
      <w:r w:rsidR="003E1080">
        <w:rPr>
          <w:rFonts w:eastAsia="Times New Roman" w:cstheme="minorHAnsi"/>
          <w:sz w:val="24"/>
          <w:szCs w:val="20"/>
        </w:rPr>
        <w:t>3</w:t>
      </w:r>
      <w:r w:rsidR="005222DE" w:rsidRPr="004E6649">
        <w:rPr>
          <w:rFonts w:eastAsia="Times New Roman" w:cstheme="minorHAnsi"/>
          <w:sz w:val="24"/>
          <w:szCs w:val="20"/>
        </w:rPr>
        <w:t xml:space="preserve"> </w:t>
      </w:r>
      <w:r w:rsidRPr="004E6649">
        <w:rPr>
          <w:rFonts w:eastAsia="Times New Roman" w:cstheme="minorHAnsi"/>
          <w:sz w:val="24"/>
          <w:szCs w:val="20"/>
        </w:rPr>
        <w:t xml:space="preserve">million from the </w:t>
      </w:r>
      <w:r w:rsidR="002F6B9E" w:rsidRPr="004E6649">
        <w:rPr>
          <w:rFonts w:eastAsia="Times New Roman" w:cstheme="minorHAnsi"/>
          <w:sz w:val="24"/>
          <w:szCs w:val="20"/>
        </w:rPr>
        <w:t>FY2</w:t>
      </w:r>
      <w:r w:rsidR="002F6B9E">
        <w:rPr>
          <w:rFonts w:eastAsia="Times New Roman" w:cstheme="minorHAnsi"/>
          <w:sz w:val="24"/>
          <w:szCs w:val="20"/>
        </w:rPr>
        <w:t>4</w:t>
      </w:r>
      <w:r w:rsidR="002F6B9E" w:rsidRPr="004E6649">
        <w:rPr>
          <w:rFonts w:eastAsia="Times New Roman" w:cstheme="minorHAnsi"/>
          <w:sz w:val="24"/>
          <w:szCs w:val="20"/>
        </w:rPr>
        <w:t xml:space="preserve"> </w:t>
      </w:r>
      <w:r w:rsidRPr="004E6649">
        <w:rPr>
          <w:rFonts w:eastAsia="Times New Roman" w:cstheme="minorHAnsi"/>
          <w:sz w:val="24"/>
          <w:szCs w:val="20"/>
        </w:rPr>
        <w:t>total of $</w:t>
      </w:r>
      <w:r w:rsidR="002F6B9E" w:rsidRPr="004E6649">
        <w:rPr>
          <w:rFonts w:eastAsia="Times New Roman" w:cstheme="minorHAnsi"/>
          <w:sz w:val="24"/>
          <w:szCs w:val="20"/>
        </w:rPr>
        <w:t>14</w:t>
      </w:r>
      <w:r w:rsidR="002F6B9E">
        <w:rPr>
          <w:rFonts w:eastAsia="Times New Roman" w:cstheme="minorHAnsi"/>
          <w:sz w:val="24"/>
          <w:szCs w:val="20"/>
        </w:rPr>
        <w:t>3</w:t>
      </w:r>
      <w:r w:rsidR="002F6B9E" w:rsidRPr="004E6649">
        <w:rPr>
          <w:rFonts w:eastAsia="Times New Roman" w:cstheme="minorHAnsi"/>
          <w:sz w:val="24"/>
          <w:szCs w:val="20"/>
        </w:rPr>
        <w:t xml:space="preserve"> </w:t>
      </w:r>
      <w:r w:rsidRPr="004E6649">
        <w:rPr>
          <w:rFonts w:eastAsia="Times New Roman" w:cstheme="minorHAnsi"/>
          <w:sz w:val="24"/>
          <w:szCs w:val="20"/>
        </w:rPr>
        <w:t xml:space="preserve">million. Compensation costs for </w:t>
      </w:r>
      <w:r w:rsidR="002F6B9E" w:rsidRPr="004E6649">
        <w:rPr>
          <w:rFonts w:eastAsia="Times New Roman" w:cstheme="minorHAnsi"/>
          <w:sz w:val="24"/>
          <w:szCs w:val="20"/>
        </w:rPr>
        <w:t>FY2</w:t>
      </w:r>
      <w:r w:rsidR="002F6B9E">
        <w:rPr>
          <w:rFonts w:eastAsia="Times New Roman" w:cstheme="minorHAnsi"/>
          <w:sz w:val="24"/>
          <w:szCs w:val="20"/>
        </w:rPr>
        <w:t>4</w:t>
      </w:r>
      <w:r w:rsidR="002F6B9E" w:rsidRPr="004E6649">
        <w:rPr>
          <w:rFonts w:eastAsia="Times New Roman" w:cstheme="minorHAnsi"/>
          <w:sz w:val="24"/>
          <w:szCs w:val="20"/>
        </w:rPr>
        <w:t xml:space="preserve"> </w:t>
      </w:r>
      <w:r w:rsidRPr="004E6649">
        <w:rPr>
          <w:rFonts w:eastAsia="Times New Roman" w:cstheme="minorHAnsi"/>
          <w:sz w:val="24"/>
          <w:szCs w:val="20"/>
        </w:rPr>
        <w:t xml:space="preserve">saw an increase of </w:t>
      </w:r>
      <w:r w:rsidR="002F6B9E">
        <w:rPr>
          <w:rFonts w:eastAsia="Times New Roman" w:cstheme="minorHAnsi"/>
          <w:sz w:val="24"/>
          <w:szCs w:val="20"/>
        </w:rPr>
        <w:t>1.8</w:t>
      </w:r>
      <w:r w:rsidRPr="004E6649">
        <w:rPr>
          <w:rFonts w:eastAsia="Times New Roman" w:cstheme="minorHAnsi"/>
          <w:sz w:val="24"/>
          <w:szCs w:val="20"/>
        </w:rPr>
        <w:t xml:space="preserve">% over the </w:t>
      </w:r>
      <w:r w:rsidR="002F6B9E" w:rsidRPr="004E6649">
        <w:rPr>
          <w:rFonts w:eastAsia="Times New Roman" w:cstheme="minorHAnsi"/>
          <w:sz w:val="24"/>
          <w:szCs w:val="20"/>
        </w:rPr>
        <w:t>FY2</w:t>
      </w:r>
      <w:r w:rsidR="002F6B9E">
        <w:rPr>
          <w:rFonts w:eastAsia="Times New Roman" w:cstheme="minorHAnsi"/>
          <w:sz w:val="24"/>
          <w:szCs w:val="20"/>
        </w:rPr>
        <w:t>3</w:t>
      </w:r>
      <w:r w:rsidR="002F6B9E" w:rsidRPr="004E6649">
        <w:rPr>
          <w:rFonts w:eastAsia="Times New Roman" w:cstheme="minorHAnsi"/>
          <w:sz w:val="24"/>
          <w:szCs w:val="20"/>
        </w:rPr>
        <w:t xml:space="preserve"> </w:t>
      </w:r>
      <w:r w:rsidRPr="004E6649">
        <w:rPr>
          <w:rFonts w:eastAsia="Times New Roman" w:cstheme="minorHAnsi"/>
          <w:sz w:val="24"/>
          <w:szCs w:val="20"/>
        </w:rPr>
        <w:t>total of $</w:t>
      </w:r>
      <w:r w:rsidR="002F6B9E" w:rsidRPr="004E6649">
        <w:rPr>
          <w:rFonts w:eastAsia="Times New Roman" w:cstheme="minorHAnsi"/>
          <w:sz w:val="24"/>
          <w:szCs w:val="20"/>
        </w:rPr>
        <w:t>3</w:t>
      </w:r>
      <w:r w:rsidR="002F6B9E">
        <w:rPr>
          <w:rFonts w:eastAsia="Times New Roman" w:cstheme="minorHAnsi"/>
          <w:sz w:val="24"/>
          <w:szCs w:val="20"/>
        </w:rPr>
        <w:t>79</w:t>
      </w:r>
      <w:r w:rsidR="002F6B9E" w:rsidRPr="004E6649">
        <w:rPr>
          <w:rFonts w:eastAsia="Times New Roman" w:cstheme="minorHAnsi"/>
          <w:sz w:val="24"/>
          <w:szCs w:val="20"/>
        </w:rPr>
        <w:t xml:space="preserve"> </w:t>
      </w:r>
      <w:r w:rsidRPr="004E6649">
        <w:rPr>
          <w:rFonts w:eastAsia="Times New Roman" w:cstheme="minorHAnsi"/>
          <w:sz w:val="24"/>
          <w:szCs w:val="20"/>
        </w:rPr>
        <w:t>million and FY2</w:t>
      </w:r>
      <w:r w:rsidR="002F6B9E">
        <w:rPr>
          <w:rFonts w:eastAsia="Times New Roman" w:cstheme="minorHAnsi"/>
          <w:sz w:val="24"/>
          <w:szCs w:val="20"/>
        </w:rPr>
        <w:t>4</w:t>
      </w:r>
      <w:r w:rsidRPr="004E6649">
        <w:rPr>
          <w:rFonts w:eastAsia="Times New Roman" w:cstheme="minorHAnsi"/>
          <w:sz w:val="24"/>
          <w:szCs w:val="20"/>
        </w:rPr>
        <w:t xml:space="preserve"> benefits were </w:t>
      </w:r>
      <w:r w:rsidR="00B960B6">
        <w:rPr>
          <w:rFonts w:eastAsia="Times New Roman" w:cstheme="minorHAnsi"/>
          <w:sz w:val="24"/>
          <w:szCs w:val="20"/>
        </w:rPr>
        <w:t>down</w:t>
      </w:r>
      <w:r w:rsidRPr="004E6649">
        <w:rPr>
          <w:rFonts w:eastAsia="Times New Roman" w:cstheme="minorHAnsi"/>
          <w:sz w:val="24"/>
          <w:szCs w:val="20"/>
        </w:rPr>
        <w:t xml:space="preserve"> </w:t>
      </w:r>
      <w:r w:rsidR="00B960B6">
        <w:rPr>
          <w:rFonts w:eastAsia="Times New Roman" w:cstheme="minorHAnsi"/>
          <w:sz w:val="24"/>
          <w:szCs w:val="20"/>
        </w:rPr>
        <w:t>$</w:t>
      </w:r>
      <w:r w:rsidR="002F6B9E">
        <w:rPr>
          <w:rFonts w:eastAsia="Times New Roman" w:cstheme="minorHAnsi"/>
          <w:sz w:val="24"/>
          <w:szCs w:val="20"/>
        </w:rPr>
        <w:t xml:space="preserve">4 </w:t>
      </w:r>
      <w:r w:rsidR="00B960B6">
        <w:rPr>
          <w:rFonts w:eastAsia="Times New Roman" w:cstheme="minorHAnsi"/>
          <w:sz w:val="24"/>
          <w:szCs w:val="20"/>
        </w:rPr>
        <w:t>million</w:t>
      </w:r>
      <w:r w:rsidRPr="004E6649">
        <w:rPr>
          <w:rFonts w:eastAsia="Times New Roman" w:cstheme="minorHAnsi"/>
          <w:sz w:val="24"/>
          <w:szCs w:val="20"/>
        </w:rPr>
        <w:t xml:space="preserve"> from the </w:t>
      </w:r>
      <w:r w:rsidR="002F6B9E" w:rsidRPr="004E6649">
        <w:rPr>
          <w:rFonts w:eastAsia="Times New Roman" w:cstheme="minorHAnsi"/>
          <w:sz w:val="24"/>
          <w:szCs w:val="20"/>
        </w:rPr>
        <w:t>FY2</w:t>
      </w:r>
      <w:r w:rsidR="002F6B9E">
        <w:rPr>
          <w:rFonts w:eastAsia="Times New Roman" w:cstheme="minorHAnsi"/>
          <w:sz w:val="24"/>
          <w:szCs w:val="20"/>
        </w:rPr>
        <w:t>3</w:t>
      </w:r>
      <w:r w:rsidR="002F6B9E" w:rsidRPr="004E6649">
        <w:rPr>
          <w:rFonts w:eastAsia="Times New Roman" w:cstheme="minorHAnsi"/>
          <w:sz w:val="24"/>
          <w:szCs w:val="20"/>
        </w:rPr>
        <w:t xml:space="preserve"> </w:t>
      </w:r>
      <w:r w:rsidRPr="004E6649">
        <w:rPr>
          <w:rFonts w:eastAsia="Times New Roman" w:cstheme="minorHAnsi"/>
          <w:sz w:val="24"/>
          <w:szCs w:val="20"/>
        </w:rPr>
        <w:t>total of $</w:t>
      </w:r>
      <w:r w:rsidR="002F6B9E">
        <w:rPr>
          <w:rFonts w:eastAsia="Times New Roman" w:cstheme="minorHAnsi"/>
          <w:sz w:val="24"/>
          <w:szCs w:val="20"/>
        </w:rPr>
        <w:t>147</w:t>
      </w:r>
      <w:r w:rsidR="002F6B9E" w:rsidRPr="004E6649">
        <w:rPr>
          <w:rFonts w:eastAsia="Times New Roman" w:cstheme="minorHAnsi"/>
          <w:sz w:val="24"/>
          <w:szCs w:val="20"/>
        </w:rPr>
        <w:t xml:space="preserve"> </w:t>
      </w:r>
      <w:r w:rsidRPr="004E6649">
        <w:rPr>
          <w:rFonts w:eastAsia="Times New Roman" w:cstheme="minorHAnsi"/>
          <w:sz w:val="24"/>
          <w:szCs w:val="20"/>
        </w:rPr>
        <w:t>million.</w:t>
      </w:r>
    </w:p>
    <w:p w14:paraId="39D23C6B" w14:textId="28F0FD3F" w:rsidR="007C2803" w:rsidRPr="004E6649" w:rsidRDefault="007C2803" w:rsidP="00A81690">
      <w:pPr>
        <w:spacing w:before="200"/>
        <w:rPr>
          <w:rFonts w:eastAsia="Times New Roman" w:cstheme="minorHAnsi"/>
          <w:sz w:val="24"/>
          <w:szCs w:val="20"/>
        </w:rPr>
      </w:pPr>
      <w:r>
        <w:rPr>
          <w:rFonts w:eastAsia="Times New Roman" w:cstheme="minorHAnsi"/>
          <w:sz w:val="24"/>
          <w:szCs w:val="20"/>
        </w:rPr>
        <w:t>The $17 million decrease in student aid expense from FY24 to FY25 is primarily related to the FY25 adoption of a new methodology for calculating scholarship allowances. See the discussion of Net Student Fees Revenue on page 30 for more information.</w:t>
      </w:r>
    </w:p>
    <w:p w14:paraId="23DD92D9" w14:textId="77777777" w:rsidR="00A83362" w:rsidRPr="00C50CFD" w:rsidRDefault="00A83362" w:rsidP="00556EAB">
      <w:pPr>
        <w:pStyle w:val="AFR2"/>
        <w:pBdr>
          <w:bottom w:val="single" w:sz="8" w:space="2" w:color="000000" w:themeColor="text1"/>
        </w:pBdr>
        <w:rPr>
          <w:rFonts w:cstheme="minorHAnsi"/>
          <w:smallCaps w:val="0"/>
          <w:sz w:val="28"/>
          <w:szCs w:val="24"/>
        </w:rPr>
      </w:pPr>
      <w:r w:rsidRPr="00C50CFD">
        <w:rPr>
          <w:rFonts w:cstheme="minorHAnsi"/>
          <w:smallCaps w:val="0"/>
          <w:sz w:val="28"/>
          <w:szCs w:val="24"/>
        </w:rPr>
        <w:t>Statements of Cash Flows</w:t>
      </w:r>
    </w:p>
    <w:p w14:paraId="41847673" w14:textId="4AE35002" w:rsidR="005F46CC" w:rsidRDefault="00A83362" w:rsidP="008D6D27">
      <w:pPr>
        <w:tabs>
          <w:tab w:val="left" w:pos="540"/>
        </w:tabs>
        <w:rPr>
          <w:rFonts w:eastAsiaTheme="majorEastAsia" w:cstheme="minorHAnsi"/>
          <w:b/>
          <w:i/>
          <w:iCs/>
          <w:noProof/>
          <w:color w:val="000000" w:themeColor="text1"/>
          <w:sz w:val="28"/>
          <w:szCs w:val="24"/>
          <w:u w:color="5B9BD5"/>
        </w:rPr>
      </w:pPr>
      <w:r w:rsidRPr="004E6649">
        <w:rPr>
          <w:rFonts w:eastAsia="Times New Roman" w:cstheme="minorHAnsi"/>
          <w:sz w:val="24"/>
        </w:rPr>
        <w:t>The Statements of Cash Flows examines the changes in cash position for each year of operations. Its primary purpose is to provide relevant information about the cash receipts and cash payments of the System during the fiscal year. These statements help users assess the System’s ability to generate future cash flows, its ability to meet obligations as they become due, and its need for external financing.</w:t>
      </w:r>
      <w:r w:rsidRPr="004E6649">
        <w:rPr>
          <w:rFonts w:eastAsia="Times New Roman" w:cstheme="minorHAnsi"/>
          <w:sz w:val="24"/>
          <w:szCs w:val="20"/>
        </w:rPr>
        <w:t xml:space="preserve"> </w:t>
      </w:r>
    </w:p>
    <w:p w14:paraId="5E71ED08" w14:textId="5F4DAA20" w:rsidR="00A83362" w:rsidRPr="00C50CFD" w:rsidRDefault="00A83362" w:rsidP="00556EAB">
      <w:pPr>
        <w:pStyle w:val="AFR2"/>
        <w:pBdr>
          <w:bottom w:val="single" w:sz="8" w:space="2" w:color="000000" w:themeColor="text1"/>
        </w:pBdr>
        <w:rPr>
          <w:rFonts w:cstheme="minorHAnsi"/>
          <w:smallCaps w:val="0"/>
          <w:sz w:val="28"/>
          <w:szCs w:val="24"/>
        </w:rPr>
      </w:pPr>
      <w:r w:rsidRPr="00C50CFD">
        <w:rPr>
          <w:rFonts w:cstheme="minorHAnsi"/>
          <w:smallCaps w:val="0"/>
          <w:sz w:val="28"/>
          <w:szCs w:val="24"/>
        </w:rPr>
        <w:t>Statements of Fiduciary Net Position</w:t>
      </w:r>
    </w:p>
    <w:p w14:paraId="539F2FDC" w14:textId="41725519" w:rsidR="00A83362" w:rsidRPr="004E6649" w:rsidRDefault="00A83362" w:rsidP="00B57146">
      <w:pPr>
        <w:tabs>
          <w:tab w:val="left" w:pos="540"/>
        </w:tabs>
        <w:spacing w:after="120"/>
        <w:rPr>
          <w:rFonts w:eastAsia="Times New Roman" w:cstheme="minorHAnsi"/>
          <w:sz w:val="24"/>
        </w:rPr>
      </w:pPr>
      <w:r w:rsidRPr="004E6649">
        <w:rPr>
          <w:rFonts w:eastAsia="Times New Roman" w:cstheme="minorHAnsi"/>
          <w:sz w:val="24"/>
        </w:rPr>
        <w:t>The Statements of Fiduciary Net Position present assets that the System holds in a fiduciary or trustee capacity on behalf of various external entities and groups, including the following:</w:t>
      </w:r>
    </w:p>
    <w:p w14:paraId="1CFBF09A" w14:textId="77777777" w:rsidR="00A83362" w:rsidRPr="00155FD9" w:rsidRDefault="00A83362" w:rsidP="00A83362">
      <w:pPr>
        <w:pStyle w:val="ListParagraph"/>
        <w:numPr>
          <w:ilvl w:val="0"/>
          <w:numId w:val="17"/>
        </w:numPr>
        <w:tabs>
          <w:tab w:val="left" w:pos="540"/>
        </w:tabs>
        <w:rPr>
          <w:rFonts w:asciiTheme="minorHAnsi" w:hAnsiTheme="minorHAnsi" w:cstheme="minorHAnsi"/>
          <w:szCs w:val="22"/>
        </w:rPr>
      </w:pPr>
      <w:r w:rsidRPr="00155FD9">
        <w:rPr>
          <w:rFonts w:asciiTheme="minorHAnsi" w:hAnsiTheme="minorHAnsi" w:cstheme="minorHAnsi"/>
          <w:szCs w:val="22"/>
        </w:rPr>
        <w:t xml:space="preserve">UMS </w:t>
      </w:r>
      <w:r w:rsidRPr="00155FD9">
        <w:rPr>
          <w:rFonts w:asciiTheme="minorHAnsi" w:hAnsiTheme="minorHAnsi" w:cstheme="minorHAnsi"/>
        </w:rPr>
        <w:t>OPEB Trust</w:t>
      </w:r>
    </w:p>
    <w:p w14:paraId="1B717BB5" w14:textId="5BA63862" w:rsidR="00A83362" w:rsidRPr="00155FD9" w:rsidRDefault="00A83362">
      <w:pPr>
        <w:pStyle w:val="ListParagraph"/>
        <w:numPr>
          <w:ilvl w:val="0"/>
          <w:numId w:val="17"/>
        </w:numPr>
        <w:tabs>
          <w:tab w:val="left" w:pos="540"/>
        </w:tabs>
        <w:rPr>
          <w:rFonts w:asciiTheme="minorHAnsi" w:hAnsiTheme="minorHAnsi" w:cstheme="minorHAnsi"/>
          <w:szCs w:val="22"/>
        </w:rPr>
      </w:pPr>
      <w:r w:rsidRPr="00155FD9">
        <w:rPr>
          <w:rFonts w:asciiTheme="minorHAnsi" w:hAnsiTheme="minorHAnsi" w:cstheme="minorHAnsi"/>
        </w:rPr>
        <w:t xml:space="preserve">UMS Defined Benefit </w:t>
      </w:r>
      <w:r w:rsidR="0023684D" w:rsidRPr="00155FD9">
        <w:rPr>
          <w:rFonts w:asciiTheme="minorHAnsi" w:hAnsiTheme="minorHAnsi" w:cstheme="minorHAnsi"/>
        </w:rPr>
        <w:t xml:space="preserve">Pension </w:t>
      </w:r>
      <w:r w:rsidRPr="00155FD9">
        <w:rPr>
          <w:rFonts w:asciiTheme="minorHAnsi" w:hAnsiTheme="minorHAnsi" w:cstheme="minorHAnsi"/>
        </w:rPr>
        <w:t>plan</w:t>
      </w:r>
    </w:p>
    <w:p w14:paraId="6BA38B72" w14:textId="77777777" w:rsidR="00A83362" w:rsidRPr="004E6649" w:rsidRDefault="00A83362" w:rsidP="00A83362">
      <w:pPr>
        <w:pStyle w:val="ListParagraph"/>
        <w:numPr>
          <w:ilvl w:val="0"/>
          <w:numId w:val="17"/>
        </w:numPr>
        <w:tabs>
          <w:tab w:val="left" w:pos="540"/>
        </w:tabs>
        <w:rPr>
          <w:rFonts w:asciiTheme="minorHAnsi" w:hAnsiTheme="minorHAnsi" w:cstheme="minorHAnsi"/>
        </w:rPr>
      </w:pPr>
      <w:r w:rsidRPr="004E6649">
        <w:rPr>
          <w:rFonts w:asciiTheme="minorHAnsi" w:hAnsiTheme="minorHAnsi" w:cstheme="minorHAnsi"/>
        </w:rPr>
        <w:t>University of Maine School of Law Foundation</w:t>
      </w:r>
    </w:p>
    <w:p w14:paraId="7C297332" w14:textId="77777777" w:rsidR="00A83362" w:rsidRPr="004E6649" w:rsidRDefault="00A83362" w:rsidP="00A83362">
      <w:pPr>
        <w:pStyle w:val="ListParagraph"/>
        <w:numPr>
          <w:ilvl w:val="0"/>
          <w:numId w:val="17"/>
        </w:numPr>
        <w:tabs>
          <w:tab w:val="left" w:pos="540"/>
        </w:tabs>
        <w:rPr>
          <w:rFonts w:asciiTheme="minorHAnsi" w:hAnsiTheme="minorHAnsi" w:cstheme="minorHAnsi"/>
        </w:rPr>
      </w:pPr>
      <w:r w:rsidRPr="004E6649">
        <w:rPr>
          <w:rFonts w:asciiTheme="minorHAnsi" w:hAnsiTheme="minorHAnsi" w:cstheme="minorHAnsi"/>
        </w:rPr>
        <w:t>University of Maine at Fort Kent Foundation</w:t>
      </w:r>
    </w:p>
    <w:p w14:paraId="5D353CD3" w14:textId="23EF4BE9" w:rsidR="00A83362" w:rsidRPr="004E6649" w:rsidRDefault="00A83362" w:rsidP="00A83362">
      <w:pPr>
        <w:pStyle w:val="ListParagraph"/>
        <w:numPr>
          <w:ilvl w:val="0"/>
          <w:numId w:val="17"/>
        </w:numPr>
        <w:tabs>
          <w:tab w:val="left" w:pos="540"/>
        </w:tabs>
        <w:rPr>
          <w:rFonts w:asciiTheme="minorHAnsi" w:hAnsiTheme="minorHAnsi" w:cstheme="minorHAnsi"/>
        </w:rPr>
      </w:pPr>
      <w:r w:rsidRPr="004E6649">
        <w:rPr>
          <w:rFonts w:asciiTheme="minorHAnsi" w:hAnsiTheme="minorHAnsi" w:cstheme="minorHAnsi"/>
        </w:rPr>
        <w:t>University of Southern Maine Foundation</w:t>
      </w:r>
      <w:r w:rsidR="002D4F89">
        <w:rPr>
          <w:rFonts w:asciiTheme="minorHAnsi" w:hAnsiTheme="minorHAnsi" w:cstheme="minorHAnsi"/>
        </w:rPr>
        <w:t xml:space="preserve"> (withdrew July 1, 2024)</w:t>
      </w:r>
    </w:p>
    <w:p w14:paraId="5E6B47A3" w14:textId="77777777" w:rsidR="00A83362" w:rsidRPr="004E6649" w:rsidRDefault="00A83362" w:rsidP="00A83362">
      <w:pPr>
        <w:pStyle w:val="ListParagraph"/>
        <w:numPr>
          <w:ilvl w:val="0"/>
          <w:numId w:val="17"/>
        </w:numPr>
        <w:tabs>
          <w:tab w:val="left" w:pos="540"/>
        </w:tabs>
        <w:rPr>
          <w:rFonts w:asciiTheme="minorHAnsi" w:hAnsiTheme="minorHAnsi" w:cstheme="minorHAnsi"/>
        </w:rPr>
      </w:pPr>
      <w:r w:rsidRPr="004E6649">
        <w:rPr>
          <w:rFonts w:asciiTheme="minorHAnsi" w:hAnsiTheme="minorHAnsi" w:cstheme="minorHAnsi"/>
        </w:rPr>
        <w:t>John L. Martin Scholarship Fund, Inc.</w:t>
      </w:r>
    </w:p>
    <w:p w14:paraId="512DB936" w14:textId="77777777" w:rsidR="00A83362" w:rsidRPr="004E6649" w:rsidRDefault="00A83362" w:rsidP="00A83362">
      <w:pPr>
        <w:pStyle w:val="ListParagraph"/>
        <w:numPr>
          <w:ilvl w:val="0"/>
          <w:numId w:val="17"/>
        </w:numPr>
        <w:tabs>
          <w:tab w:val="left" w:pos="540"/>
        </w:tabs>
        <w:rPr>
          <w:rFonts w:asciiTheme="minorHAnsi" w:hAnsiTheme="minorHAnsi" w:cstheme="minorHAnsi"/>
        </w:rPr>
      </w:pPr>
      <w:r w:rsidRPr="004E6649">
        <w:rPr>
          <w:rFonts w:asciiTheme="minorHAnsi" w:hAnsiTheme="minorHAnsi" w:cstheme="minorHAnsi"/>
        </w:rPr>
        <w:t>Student government groups</w:t>
      </w:r>
    </w:p>
    <w:p w14:paraId="62272A93" w14:textId="77777777" w:rsidR="00A83362" w:rsidRPr="004E6649" w:rsidRDefault="00A83362" w:rsidP="00A83362">
      <w:pPr>
        <w:tabs>
          <w:tab w:val="left" w:pos="540"/>
        </w:tabs>
        <w:rPr>
          <w:rFonts w:eastAsia="Times New Roman" w:cstheme="minorHAnsi"/>
          <w:sz w:val="24"/>
        </w:rPr>
      </w:pPr>
    </w:p>
    <w:p w14:paraId="13994111" w14:textId="01E49F00" w:rsidR="00A83362" w:rsidRPr="004E6649" w:rsidRDefault="00A83362" w:rsidP="00A83362">
      <w:pPr>
        <w:tabs>
          <w:tab w:val="left" w:pos="540"/>
        </w:tabs>
        <w:rPr>
          <w:rFonts w:cstheme="minorHAnsi"/>
          <w:sz w:val="24"/>
          <w:szCs w:val="24"/>
        </w:rPr>
      </w:pPr>
      <w:r w:rsidRPr="004E6649">
        <w:rPr>
          <w:rFonts w:cstheme="minorHAnsi"/>
          <w:sz w:val="24"/>
          <w:szCs w:val="24"/>
        </w:rPr>
        <w:t>As shown in the Condensed Statements of Fiduciary Net Position in Table 8, the System holds a total of $</w:t>
      </w:r>
      <w:r w:rsidR="00AA61D4" w:rsidRPr="00AA61D4">
        <w:rPr>
          <w:rFonts w:cstheme="minorHAnsi"/>
          <w:sz w:val="24"/>
          <w:szCs w:val="24"/>
        </w:rPr>
        <w:t>2</w:t>
      </w:r>
      <w:r w:rsidR="00AA61D4">
        <w:rPr>
          <w:rFonts w:cstheme="minorHAnsi"/>
          <w:sz w:val="24"/>
          <w:szCs w:val="24"/>
        </w:rPr>
        <w:t>44</w:t>
      </w:r>
      <w:r w:rsidR="00AA61D4" w:rsidRPr="004E6649">
        <w:rPr>
          <w:rFonts w:cstheme="minorHAnsi"/>
          <w:sz w:val="24"/>
          <w:szCs w:val="24"/>
        </w:rPr>
        <w:t xml:space="preserve"> </w:t>
      </w:r>
      <w:r w:rsidRPr="004E6649">
        <w:rPr>
          <w:rFonts w:cstheme="minorHAnsi"/>
          <w:sz w:val="24"/>
          <w:szCs w:val="24"/>
        </w:rPr>
        <w:t xml:space="preserve">million in assets on behalf of the above noted entities. The vast majority of these assets are in the </w:t>
      </w:r>
      <w:r w:rsidRPr="004E6649">
        <w:rPr>
          <w:rFonts w:cstheme="minorHAnsi"/>
          <w:sz w:val="24"/>
          <w:szCs w:val="24"/>
        </w:rPr>
        <w:lastRenderedPageBreak/>
        <w:t xml:space="preserve">form of pooled investments, representing investment in the System’s MIP, either directly or indirectly through the UMS Endowment Pool. See the discussion of the UMS’ Managed Investment Pool and Endowments on pages </w:t>
      </w:r>
      <w:r w:rsidR="005F46CC" w:rsidRPr="005F46CC">
        <w:rPr>
          <w:rFonts w:cstheme="minorHAnsi"/>
          <w:sz w:val="24"/>
          <w:szCs w:val="24"/>
        </w:rPr>
        <w:t>1</w:t>
      </w:r>
      <w:r w:rsidR="005F46CC" w:rsidRPr="003C277A">
        <w:rPr>
          <w:rFonts w:cstheme="minorHAnsi"/>
          <w:sz w:val="24"/>
          <w:szCs w:val="24"/>
        </w:rPr>
        <w:t>9</w:t>
      </w:r>
      <w:r w:rsidR="005F46CC" w:rsidRPr="005F46CC">
        <w:rPr>
          <w:rFonts w:cstheme="minorHAnsi"/>
          <w:sz w:val="24"/>
          <w:szCs w:val="24"/>
        </w:rPr>
        <w:t xml:space="preserve"> </w:t>
      </w:r>
      <w:r w:rsidRPr="005F46CC">
        <w:rPr>
          <w:rFonts w:cstheme="minorHAnsi"/>
          <w:sz w:val="24"/>
          <w:szCs w:val="24"/>
        </w:rPr>
        <w:t xml:space="preserve">and </w:t>
      </w:r>
      <w:r w:rsidR="005F46CC" w:rsidRPr="005F46CC">
        <w:rPr>
          <w:rFonts w:cstheme="minorHAnsi"/>
          <w:sz w:val="24"/>
          <w:szCs w:val="24"/>
        </w:rPr>
        <w:t>2</w:t>
      </w:r>
      <w:r w:rsidR="008D6D27">
        <w:rPr>
          <w:rFonts w:cstheme="minorHAnsi"/>
          <w:sz w:val="24"/>
          <w:szCs w:val="24"/>
        </w:rPr>
        <w:t>0</w:t>
      </w:r>
      <w:r w:rsidRPr="005F46CC">
        <w:rPr>
          <w:rFonts w:cstheme="minorHAnsi"/>
          <w:sz w:val="24"/>
          <w:szCs w:val="24"/>
        </w:rPr>
        <w:t>,</w:t>
      </w:r>
      <w:r w:rsidRPr="004E6649">
        <w:rPr>
          <w:rFonts w:cstheme="minorHAnsi"/>
          <w:sz w:val="24"/>
          <w:szCs w:val="24"/>
        </w:rPr>
        <w:t xml:space="preserve"> respectively for more information about these investments. </w:t>
      </w:r>
    </w:p>
    <w:p w14:paraId="2E6FD372" w14:textId="19AD2041" w:rsidR="0048617B" w:rsidRDefault="00A83362" w:rsidP="005A5E5E">
      <w:pPr>
        <w:tabs>
          <w:tab w:val="left" w:pos="540"/>
        </w:tabs>
        <w:spacing w:after="240"/>
        <w:rPr>
          <w:rFonts w:cstheme="minorHAnsi"/>
          <w:sz w:val="24"/>
          <w:szCs w:val="24"/>
        </w:rPr>
      </w:pPr>
      <w:r w:rsidRPr="004E6649">
        <w:rPr>
          <w:rFonts w:cstheme="minorHAnsi"/>
          <w:sz w:val="24"/>
          <w:szCs w:val="24"/>
        </w:rPr>
        <w:t>The Statements of Fiduciary Net Position also present liabilities and net position associated with the assets held on behalf of the external entities.</w:t>
      </w:r>
    </w:p>
    <w:p w14:paraId="27698C35" w14:textId="4D46C13B" w:rsidR="00A83362" w:rsidRPr="004E6649" w:rsidRDefault="00A83362" w:rsidP="00A83362">
      <w:pPr>
        <w:tabs>
          <w:tab w:val="left" w:pos="540"/>
        </w:tabs>
        <w:jc w:val="center"/>
        <w:rPr>
          <w:rFonts w:cstheme="minorHAnsi"/>
          <w:b/>
          <w:bCs/>
          <w:sz w:val="24"/>
          <w:szCs w:val="24"/>
        </w:rPr>
      </w:pPr>
      <w:r w:rsidRPr="004E6649">
        <w:rPr>
          <w:rFonts w:cstheme="minorHAnsi"/>
          <w:b/>
          <w:bCs/>
          <w:sz w:val="24"/>
          <w:szCs w:val="24"/>
        </w:rPr>
        <w:t>Table 8: Condensed Statements of Fiduciary Net Position as of June 30</w:t>
      </w:r>
    </w:p>
    <w:p w14:paraId="1734A6B9" w14:textId="77777777" w:rsidR="00A83362" w:rsidRPr="004E6649" w:rsidRDefault="00A83362" w:rsidP="00A83362">
      <w:pPr>
        <w:tabs>
          <w:tab w:val="left" w:pos="540"/>
        </w:tabs>
        <w:jc w:val="center"/>
        <w:rPr>
          <w:rFonts w:cstheme="minorHAnsi"/>
          <w:b/>
          <w:bCs/>
          <w:sz w:val="20"/>
          <w:szCs w:val="20"/>
        </w:rPr>
      </w:pPr>
      <w:r w:rsidRPr="004E6649">
        <w:rPr>
          <w:rFonts w:cstheme="minorHAnsi"/>
          <w:b/>
          <w:bCs/>
          <w:sz w:val="20"/>
          <w:szCs w:val="20"/>
        </w:rPr>
        <w:t>(In millions)</w:t>
      </w:r>
    </w:p>
    <w:p w14:paraId="59ECB609" w14:textId="77777777" w:rsidR="00A83362" w:rsidRPr="00C07D35" w:rsidRDefault="00A83362" w:rsidP="00A83362">
      <w:pPr>
        <w:pStyle w:val="AFR2"/>
        <w:pBdr>
          <w:bottom w:val="none" w:sz="0" w:space="0" w:color="auto"/>
        </w:pBdr>
        <w:spacing w:before="0" w:after="0"/>
        <w:jc w:val="center"/>
        <w:rPr>
          <w:rFonts w:cstheme="minorHAnsi"/>
          <w:b w:val="0"/>
          <w:i w:val="0"/>
          <w:sz w:val="16"/>
          <w:szCs w:val="22"/>
        </w:rPr>
      </w:pPr>
    </w:p>
    <w:tbl>
      <w:tblPr>
        <w:tblW w:w="10794" w:type="dxa"/>
        <w:jc w:val="center"/>
        <w:tblLayout w:type="fixed"/>
        <w:tblLook w:val="04A0" w:firstRow="1" w:lastRow="0" w:firstColumn="1" w:lastColumn="0" w:noHBand="0" w:noVBand="1"/>
      </w:tblPr>
      <w:tblGrid>
        <w:gridCol w:w="4050"/>
        <w:gridCol w:w="630"/>
        <w:gridCol w:w="894"/>
        <w:gridCol w:w="630"/>
        <w:gridCol w:w="900"/>
        <w:gridCol w:w="630"/>
        <w:gridCol w:w="900"/>
        <w:gridCol w:w="630"/>
        <w:gridCol w:w="900"/>
        <w:gridCol w:w="630"/>
      </w:tblGrid>
      <w:tr w:rsidR="007B6C2A" w:rsidRPr="004E6649" w14:paraId="761C9E76" w14:textId="4566209E" w:rsidTr="008B1130">
        <w:trPr>
          <w:trHeight w:val="396"/>
          <w:jc w:val="center"/>
        </w:trPr>
        <w:tc>
          <w:tcPr>
            <w:tcW w:w="4050" w:type="dxa"/>
            <w:tcBorders>
              <w:top w:val="nil"/>
              <w:left w:val="nil"/>
              <w:bottom w:val="single" w:sz="12" w:space="0" w:color="000000"/>
              <w:right w:val="nil"/>
            </w:tcBorders>
            <w:shd w:val="clear" w:color="000000" w:fill="FFFFFF"/>
            <w:noWrap/>
            <w:vAlign w:val="bottom"/>
            <w:hideMark/>
          </w:tcPr>
          <w:p w14:paraId="69106543" w14:textId="351B70E6" w:rsidR="007B6C2A" w:rsidRPr="00B2223B" w:rsidRDefault="007B6C2A" w:rsidP="007B6C2A">
            <w:pPr>
              <w:rPr>
                <w:rFonts w:eastAsia="Times New Roman" w:cstheme="minorHAnsi"/>
                <w:b/>
                <w:bCs/>
                <w:sz w:val="20"/>
                <w:szCs w:val="20"/>
              </w:rPr>
            </w:pPr>
            <w:r w:rsidRPr="00B2223B">
              <w:rPr>
                <w:rFonts w:ascii="Calibri" w:hAnsi="Calibri" w:cs="Calibri"/>
                <w:b/>
                <w:bCs/>
                <w:sz w:val="20"/>
                <w:szCs w:val="20"/>
              </w:rPr>
              <w:t> </w:t>
            </w:r>
          </w:p>
        </w:tc>
        <w:tc>
          <w:tcPr>
            <w:tcW w:w="630" w:type="dxa"/>
            <w:tcBorders>
              <w:top w:val="nil"/>
              <w:left w:val="nil"/>
              <w:bottom w:val="single" w:sz="12" w:space="0" w:color="000000"/>
              <w:right w:val="nil"/>
            </w:tcBorders>
            <w:shd w:val="clear" w:color="000000" w:fill="FFFFFF"/>
            <w:vAlign w:val="bottom"/>
          </w:tcPr>
          <w:p w14:paraId="3509AE0E" w14:textId="6D9EF8C0" w:rsidR="007B6C2A" w:rsidRPr="00B2223B" w:rsidRDefault="007B6C2A" w:rsidP="007B6C2A">
            <w:pPr>
              <w:jc w:val="center"/>
              <w:rPr>
                <w:rFonts w:eastAsia="Times New Roman" w:cstheme="minorHAnsi"/>
                <w:b/>
                <w:bCs/>
                <w:sz w:val="20"/>
                <w:szCs w:val="20"/>
              </w:rPr>
            </w:pPr>
            <w:r w:rsidRPr="00B2223B">
              <w:rPr>
                <w:rFonts w:ascii="Calibri" w:hAnsi="Calibri" w:cs="Calibri"/>
                <w:b/>
                <w:bCs/>
                <w:sz w:val="20"/>
                <w:szCs w:val="20"/>
              </w:rPr>
              <w:t>202</w:t>
            </w:r>
            <w:r>
              <w:rPr>
                <w:rFonts w:ascii="Calibri" w:hAnsi="Calibri" w:cs="Calibri"/>
                <w:b/>
                <w:bCs/>
                <w:sz w:val="20"/>
                <w:szCs w:val="20"/>
              </w:rPr>
              <w:t>5</w:t>
            </w:r>
          </w:p>
        </w:tc>
        <w:tc>
          <w:tcPr>
            <w:tcW w:w="894" w:type="dxa"/>
            <w:tcBorders>
              <w:top w:val="nil"/>
              <w:left w:val="nil"/>
              <w:bottom w:val="single" w:sz="12" w:space="0" w:color="000000"/>
              <w:right w:val="nil"/>
            </w:tcBorders>
            <w:shd w:val="clear" w:color="000000" w:fill="FFFFFF"/>
            <w:vAlign w:val="bottom"/>
          </w:tcPr>
          <w:p w14:paraId="4F672C72" w14:textId="48A511D1" w:rsidR="007B6C2A" w:rsidRPr="00B2223B" w:rsidRDefault="007B6C2A" w:rsidP="007B6C2A">
            <w:pPr>
              <w:jc w:val="center"/>
              <w:rPr>
                <w:rFonts w:eastAsia="Times New Roman" w:cstheme="minorHAnsi"/>
                <w:b/>
                <w:bCs/>
                <w:sz w:val="20"/>
                <w:szCs w:val="20"/>
              </w:rPr>
            </w:pPr>
            <w:r w:rsidRPr="00B2223B">
              <w:rPr>
                <w:rFonts w:ascii="Calibri" w:hAnsi="Calibri" w:cs="Calibri"/>
                <w:b/>
                <w:bCs/>
                <w:sz w:val="20"/>
                <w:szCs w:val="20"/>
              </w:rPr>
              <w:t>% Change</w:t>
            </w:r>
          </w:p>
        </w:tc>
        <w:tc>
          <w:tcPr>
            <w:tcW w:w="630" w:type="dxa"/>
            <w:tcBorders>
              <w:top w:val="nil"/>
              <w:left w:val="nil"/>
              <w:bottom w:val="single" w:sz="12" w:space="0" w:color="000000"/>
              <w:right w:val="nil"/>
            </w:tcBorders>
            <w:shd w:val="clear" w:color="000000" w:fill="FFFFFF"/>
            <w:vAlign w:val="bottom"/>
            <w:hideMark/>
          </w:tcPr>
          <w:p w14:paraId="4420F7B1" w14:textId="1361C537" w:rsidR="007B6C2A" w:rsidRPr="00B2223B" w:rsidRDefault="007B6C2A" w:rsidP="007B6C2A">
            <w:pPr>
              <w:jc w:val="center"/>
              <w:rPr>
                <w:rFonts w:eastAsia="Times New Roman" w:cstheme="minorHAnsi"/>
                <w:b/>
                <w:bCs/>
                <w:sz w:val="20"/>
                <w:szCs w:val="20"/>
              </w:rPr>
            </w:pPr>
            <w:r w:rsidRPr="00B2223B">
              <w:rPr>
                <w:rFonts w:ascii="Calibri" w:hAnsi="Calibri" w:cs="Calibri"/>
                <w:b/>
                <w:bCs/>
                <w:sz w:val="20"/>
                <w:szCs w:val="20"/>
              </w:rPr>
              <w:t>2024</w:t>
            </w:r>
          </w:p>
        </w:tc>
        <w:tc>
          <w:tcPr>
            <w:tcW w:w="900" w:type="dxa"/>
            <w:tcBorders>
              <w:top w:val="nil"/>
              <w:left w:val="nil"/>
              <w:bottom w:val="single" w:sz="12" w:space="0" w:color="000000"/>
              <w:right w:val="nil"/>
            </w:tcBorders>
            <w:shd w:val="clear" w:color="000000" w:fill="FFFFFF"/>
            <w:vAlign w:val="bottom"/>
            <w:hideMark/>
          </w:tcPr>
          <w:p w14:paraId="3FCB18D1" w14:textId="13AE5022" w:rsidR="007B6C2A" w:rsidRPr="00B2223B" w:rsidRDefault="007B6C2A" w:rsidP="007B6C2A">
            <w:pPr>
              <w:jc w:val="center"/>
              <w:rPr>
                <w:rFonts w:eastAsia="Times New Roman" w:cstheme="minorHAnsi"/>
                <w:b/>
                <w:bCs/>
                <w:sz w:val="20"/>
                <w:szCs w:val="20"/>
              </w:rPr>
            </w:pPr>
            <w:r w:rsidRPr="00B2223B">
              <w:rPr>
                <w:rFonts w:ascii="Calibri" w:hAnsi="Calibri" w:cs="Calibri"/>
                <w:b/>
                <w:bCs/>
                <w:sz w:val="20"/>
                <w:szCs w:val="20"/>
              </w:rPr>
              <w:t>% Change</w:t>
            </w:r>
          </w:p>
        </w:tc>
        <w:tc>
          <w:tcPr>
            <w:tcW w:w="630" w:type="dxa"/>
            <w:tcBorders>
              <w:top w:val="nil"/>
              <w:left w:val="nil"/>
              <w:bottom w:val="single" w:sz="12" w:space="0" w:color="000000"/>
              <w:right w:val="nil"/>
            </w:tcBorders>
            <w:shd w:val="clear" w:color="000000" w:fill="FFFFFF"/>
            <w:vAlign w:val="bottom"/>
            <w:hideMark/>
          </w:tcPr>
          <w:p w14:paraId="6D83E9C2" w14:textId="3E9172AC" w:rsidR="007B6C2A" w:rsidRPr="00B2223B" w:rsidRDefault="007B6C2A" w:rsidP="007B6C2A">
            <w:pPr>
              <w:jc w:val="center"/>
              <w:rPr>
                <w:rFonts w:eastAsia="Times New Roman" w:cstheme="minorHAnsi"/>
                <w:b/>
                <w:bCs/>
                <w:sz w:val="20"/>
                <w:szCs w:val="20"/>
              </w:rPr>
            </w:pPr>
            <w:r w:rsidRPr="00B2223B">
              <w:rPr>
                <w:rFonts w:ascii="Calibri" w:hAnsi="Calibri" w:cs="Calibri"/>
                <w:b/>
                <w:bCs/>
                <w:sz w:val="20"/>
                <w:szCs w:val="20"/>
              </w:rPr>
              <w:t>2023</w:t>
            </w:r>
          </w:p>
        </w:tc>
        <w:tc>
          <w:tcPr>
            <w:tcW w:w="900" w:type="dxa"/>
            <w:tcBorders>
              <w:top w:val="nil"/>
              <w:left w:val="nil"/>
              <w:bottom w:val="single" w:sz="12" w:space="0" w:color="000000"/>
              <w:right w:val="nil"/>
            </w:tcBorders>
            <w:shd w:val="clear" w:color="000000" w:fill="FFFFFF"/>
            <w:vAlign w:val="bottom"/>
            <w:hideMark/>
          </w:tcPr>
          <w:p w14:paraId="78AB9D87" w14:textId="2F381B02" w:rsidR="007B6C2A" w:rsidRPr="00B2223B" w:rsidRDefault="007B6C2A" w:rsidP="007B6C2A">
            <w:pPr>
              <w:jc w:val="center"/>
              <w:rPr>
                <w:rFonts w:eastAsia="Times New Roman" w:cstheme="minorHAnsi"/>
                <w:b/>
                <w:bCs/>
                <w:sz w:val="20"/>
                <w:szCs w:val="20"/>
              </w:rPr>
            </w:pPr>
            <w:r w:rsidRPr="00B2223B">
              <w:rPr>
                <w:rFonts w:ascii="Calibri" w:hAnsi="Calibri" w:cs="Calibri"/>
                <w:b/>
                <w:bCs/>
                <w:sz w:val="20"/>
                <w:szCs w:val="20"/>
              </w:rPr>
              <w:t>% Change</w:t>
            </w:r>
          </w:p>
        </w:tc>
        <w:tc>
          <w:tcPr>
            <w:tcW w:w="630" w:type="dxa"/>
            <w:tcBorders>
              <w:top w:val="nil"/>
              <w:left w:val="nil"/>
              <w:bottom w:val="single" w:sz="12" w:space="0" w:color="000000"/>
              <w:right w:val="nil"/>
            </w:tcBorders>
            <w:shd w:val="clear" w:color="000000" w:fill="FFFFFF"/>
            <w:vAlign w:val="bottom"/>
            <w:hideMark/>
          </w:tcPr>
          <w:p w14:paraId="6AC72D2A" w14:textId="373ED192" w:rsidR="007B6C2A" w:rsidRPr="00B2223B" w:rsidRDefault="007B6C2A" w:rsidP="007B6C2A">
            <w:pPr>
              <w:jc w:val="center"/>
              <w:rPr>
                <w:rFonts w:eastAsia="Times New Roman" w:cstheme="minorHAnsi"/>
                <w:b/>
                <w:bCs/>
                <w:sz w:val="20"/>
                <w:szCs w:val="20"/>
              </w:rPr>
            </w:pPr>
            <w:r w:rsidRPr="00B2223B">
              <w:rPr>
                <w:rFonts w:ascii="Calibri" w:hAnsi="Calibri" w:cs="Calibri"/>
                <w:b/>
                <w:bCs/>
                <w:sz w:val="20"/>
                <w:szCs w:val="20"/>
              </w:rPr>
              <w:t>2022</w:t>
            </w:r>
          </w:p>
        </w:tc>
        <w:tc>
          <w:tcPr>
            <w:tcW w:w="900" w:type="dxa"/>
            <w:tcBorders>
              <w:top w:val="nil"/>
              <w:left w:val="nil"/>
              <w:bottom w:val="single" w:sz="12" w:space="0" w:color="000000"/>
              <w:right w:val="nil"/>
            </w:tcBorders>
            <w:shd w:val="clear" w:color="000000" w:fill="FFFFFF"/>
            <w:vAlign w:val="bottom"/>
          </w:tcPr>
          <w:p w14:paraId="597EFE68" w14:textId="267D1DAE" w:rsidR="007B6C2A" w:rsidRPr="00B2223B" w:rsidRDefault="007B6C2A" w:rsidP="007B6C2A">
            <w:pPr>
              <w:jc w:val="center"/>
              <w:rPr>
                <w:rFonts w:ascii="Calibri" w:hAnsi="Calibri" w:cs="Calibri"/>
                <w:b/>
                <w:bCs/>
                <w:sz w:val="20"/>
                <w:szCs w:val="20"/>
              </w:rPr>
            </w:pPr>
            <w:r w:rsidRPr="00B2223B">
              <w:rPr>
                <w:rFonts w:ascii="Calibri" w:hAnsi="Calibri" w:cs="Calibri"/>
                <w:b/>
                <w:bCs/>
                <w:sz w:val="20"/>
                <w:szCs w:val="20"/>
              </w:rPr>
              <w:t>% Change</w:t>
            </w:r>
          </w:p>
        </w:tc>
        <w:tc>
          <w:tcPr>
            <w:tcW w:w="630" w:type="dxa"/>
            <w:tcBorders>
              <w:top w:val="nil"/>
              <w:left w:val="nil"/>
              <w:bottom w:val="single" w:sz="12" w:space="0" w:color="000000"/>
              <w:right w:val="nil"/>
            </w:tcBorders>
            <w:shd w:val="clear" w:color="000000" w:fill="FFFFFF"/>
            <w:vAlign w:val="bottom"/>
          </w:tcPr>
          <w:p w14:paraId="79FE32EC" w14:textId="02F6D9AA" w:rsidR="007B6C2A" w:rsidRPr="00B2223B" w:rsidRDefault="007B6C2A" w:rsidP="007B6C2A">
            <w:pPr>
              <w:jc w:val="center"/>
              <w:rPr>
                <w:rFonts w:ascii="Calibri" w:hAnsi="Calibri" w:cs="Calibri"/>
                <w:b/>
                <w:bCs/>
                <w:sz w:val="20"/>
                <w:szCs w:val="20"/>
              </w:rPr>
            </w:pPr>
            <w:r w:rsidRPr="00B2223B">
              <w:rPr>
                <w:rFonts w:ascii="Calibri" w:hAnsi="Calibri" w:cs="Calibri"/>
                <w:b/>
                <w:bCs/>
                <w:sz w:val="20"/>
                <w:szCs w:val="20"/>
              </w:rPr>
              <w:t>2021</w:t>
            </w:r>
          </w:p>
        </w:tc>
      </w:tr>
      <w:tr w:rsidR="007B6C2A" w:rsidRPr="004E6649" w14:paraId="32AB4E01" w14:textId="27F48CA9" w:rsidTr="00155FD9">
        <w:trPr>
          <w:trHeight w:val="87"/>
          <w:jc w:val="center"/>
        </w:trPr>
        <w:tc>
          <w:tcPr>
            <w:tcW w:w="4050" w:type="dxa"/>
            <w:tcBorders>
              <w:top w:val="nil"/>
              <w:left w:val="nil"/>
              <w:bottom w:val="nil"/>
              <w:right w:val="nil"/>
            </w:tcBorders>
            <w:shd w:val="clear" w:color="000000" w:fill="FFFFFF"/>
            <w:noWrap/>
            <w:vAlign w:val="bottom"/>
            <w:hideMark/>
          </w:tcPr>
          <w:p w14:paraId="42F81EF6" w14:textId="02EADC54" w:rsidR="007B6C2A" w:rsidRPr="00B2223B" w:rsidRDefault="007B6C2A" w:rsidP="007B6C2A">
            <w:pPr>
              <w:rPr>
                <w:rFonts w:eastAsia="Times New Roman" w:cstheme="minorHAnsi"/>
                <w:sz w:val="20"/>
                <w:szCs w:val="20"/>
              </w:rPr>
            </w:pPr>
            <w:r w:rsidRPr="00B2223B">
              <w:rPr>
                <w:rFonts w:ascii="Calibri" w:hAnsi="Calibri" w:cs="Calibri"/>
                <w:sz w:val="20"/>
                <w:szCs w:val="20"/>
              </w:rPr>
              <w:t>Cash and cash equivalents</w:t>
            </w:r>
          </w:p>
        </w:tc>
        <w:tc>
          <w:tcPr>
            <w:tcW w:w="630" w:type="dxa"/>
            <w:tcBorders>
              <w:top w:val="nil"/>
              <w:left w:val="nil"/>
              <w:bottom w:val="nil"/>
              <w:right w:val="nil"/>
            </w:tcBorders>
            <w:shd w:val="clear" w:color="000000" w:fill="FFFFFF"/>
            <w:vAlign w:val="bottom"/>
          </w:tcPr>
          <w:p w14:paraId="43C89437" w14:textId="7C72E6B8" w:rsidR="007B6C2A" w:rsidRPr="0059182A" w:rsidRDefault="007B6C2A" w:rsidP="007B6C2A">
            <w:pPr>
              <w:jc w:val="right"/>
              <w:rPr>
                <w:rFonts w:eastAsia="Times New Roman" w:cstheme="minorHAnsi"/>
                <w:b/>
                <w:bCs/>
                <w:sz w:val="20"/>
                <w:szCs w:val="20"/>
              </w:rPr>
            </w:pPr>
            <w:r w:rsidRPr="0059182A">
              <w:rPr>
                <w:rFonts w:ascii="Calibri" w:hAnsi="Calibri" w:cs="Calibri"/>
                <w:b/>
                <w:bCs/>
                <w:sz w:val="20"/>
                <w:szCs w:val="20"/>
              </w:rPr>
              <w:t xml:space="preserve">$   </w:t>
            </w:r>
            <w:r w:rsidR="0059182A" w:rsidRPr="0059182A">
              <w:rPr>
                <w:rFonts w:ascii="Calibri" w:hAnsi="Calibri" w:cs="Calibri"/>
                <w:b/>
                <w:bCs/>
                <w:sz w:val="20"/>
                <w:szCs w:val="20"/>
              </w:rPr>
              <w:t>3</w:t>
            </w:r>
            <w:r w:rsidRPr="0059182A">
              <w:rPr>
                <w:rFonts w:ascii="Calibri" w:hAnsi="Calibri" w:cs="Calibri"/>
                <w:b/>
                <w:bCs/>
                <w:sz w:val="20"/>
                <w:szCs w:val="20"/>
              </w:rPr>
              <w:t xml:space="preserve"> </w:t>
            </w:r>
          </w:p>
        </w:tc>
        <w:tc>
          <w:tcPr>
            <w:tcW w:w="894" w:type="dxa"/>
            <w:tcBorders>
              <w:top w:val="nil"/>
              <w:left w:val="nil"/>
              <w:bottom w:val="nil"/>
              <w:right w:val="nil"/>
            </w:tcBorders>
            <w:shd w:val="clear" w:color="auto" w:fill="BFBFBF" w:themeFill="background1" w:themeFillShade="BF"/>
            <w:vAlign w:val="bottom"/>
          </w:tcPr>
          <w:p w14:paraId="00EADB73" w14:textId="15FFE6C2" w:rsidR="007B6C2A" w:rsidRPr="0059182A" w:rsidRDefault="0059182A" w:rsidP="007B6C2A">
            <w:pPr>
              <w:jc w:val="right"/>
              <w:rPr>
                <w:rFonts w:eastAsia="Times New Roman" w:cstheme="minorHAnsi"/>
                <w:b/>
                <w:bCs/>
                <w:sz w:val="20"/>
                <w:szCs w:val="20"/>
              </w:rPr>
            </w:pPr>
            <w:r w:rsidRPr="0059182A">
              <w:rPr>
                <w:rFonts w:ascii="Calibri" w:hAnsi="Calibri" w:cs="Calibri"/>
                <w:b/>
                <w:bCs/>
                <w:sz w:val="20"/>
                <w:szCs w:val="20"/>
              </w:rPr>
              <w:t>5</w:t>
            </w:r>
            <w:r w:rsidR="007B6C2A" w:rsidRPr="0059182A">
              <w:rPr>
                <w:rFonts w:ascii="Calibri" w:hAnsi="Calibri" w:cs="Calibri"/>
                <w:b/>
                <w:bCs/>
                <w:sz w:val="20"/>
                <w:szCs w:val="20"/>
              </w:rPr>
              <w:t>0%</w:t>
            </w:r>
          </w:p>
        </w:tc>
        <w:tc>
          <w:tcPr>
            <w:tcW w:w="630" w:type="dxa"/>
            <w:tcBorders>
              <w:top w:val="nil"/>
              <w:left w:val="nil"/>
              <w:bottom w:val="nil"/>
              <w:right w:val="nil"/>
            </w:tcBorders>
            <w:shd w:val="clear" w:color="000000" w:fill="FFFFFF"/>
            <w:noWrap/>
            <w:vAlign w:val="bottom"/>
            <w:hideMark/>
          </w:tcPr>
          <w:p w14:paraId="4CF1799B" w14:textId="6E22B6E6" w:rsidR="007B6C2A" w:rsidRPr="0059182A" w:rsidRDefault="007B6C2A" w:rsidP="007B6C2A">
            <w:pPr>
              <w:jc w:val="right"/>
              <w:rPr>
                <w:rFonts w:eastAsia="Times New Roman" w:cstheme="minorHAnsi"/>
                <w:b/>
                <w:bCs/>
                <w:sz w:val="20"/>
                <w:szCs w:val="20"/>
              </w:rPr>
            </w:pPr>
            <w:r w:rsidRPr="0059182A">
              <w:rPr>
                <w:rFonts w:ascii="Calibri" w:hAnsi="Calibri" w:cs="Calibri"/>
                <w:b/>
                <w:bCs/>
                <w:sz w:val="20"/>
                <w:szCs w:val="20"/>
              </w:rPr>
              <w:t xml:space="preserve">$    2 </w:t>
            </w:r>
          </w:p>
        </w:tc>
        <w:tc>
          <w:tcPr>
            <w:tcW w:w="900" w:type="dxa"/>
            <w:tcBorders>
              <w:top w:val="nil"/>
              <w:left w:val="nil"/>
              <w:bottom w:val="nil"/>
              <w:right w:val="nil"/>
            </w:tcBorders>
            <w:shd w:val="clear" w:color="auto" w:fill="BFBFBF" w:themeFill="background1" w:themeFillShade="BF"/>
            <w:noWrap/>
            <w:vAlign w:val="bottom"/>
            <w:hideMark/>
          </w:tcPr>
          <w:p w14:paraId="66D31D4D" w14:textId="5E1F525A" w:rsidR="007B6C2A" w:rsidRPr="0059182A" w:rsidRDefault="007B6C2A" w:rsidP="007B6C2A">
            <w:pPr>
              <w:jc w:val="right"/>
              <w:rPr>
                <w:rFonts w:eastAsia="Times New Roman" w:cstheme="minorHAnsi"/>
                <w:b/>
                <w:bCs/>
                <w:sz w:val="20"/>
                <w:szCs w:val="20"/>
              </w:rPr>
            </w:pPr>
            <w:r w:rsidRPr="0059182A">
              <w:rPr>
                <w:rFonts w:ascii="Calibri" w:hAnsi="Calibri" w:cs="Calibri"/>
                <w:b/>
                <w:bCs/>
                <w:sz w:val="20"/>
                <w:szCs w:val="20"/>
              </w:rPr>
              <w:t>-33%</w:t>
            </w:r>
          </w:p>
        </w:tc>
        <w:tc>
          <w:tcPr>
            <w:tcW w:w="630" w:type="dxa"/>
            <w:tcBorders>
              <w:top w:val="nil"/>
              <w:left w:val="nil"/>
              <w:bottom w:val="nil"/>
              <w:right w:val="nil"/>
            </w:tcBorders>
            <w:shd w:val="clear" w:color="000000" w:fill="FFFFFF"/>
            <w:noWrap/>
            <w:vAlign w:val="bottom"/>
            <w:hideMark/>
          </w:tcPr>
          <w:p w14:paraId="4C181127" w14:textId="719FD024" w:rsidR="007B6C2A" w:rsidRPr="0059182A" w:rsidRDefault="007B6C2A" w:rsidP="007B6C2A">
            <w:pPr>
              <w:jc w:val="right"/>
              <w:rPr>
                <w:rFonts w:eastAsia="Times New Roman" w:cstheme="minorHAnsi"/>
                <w:sz w:val="20"/>
                <w:szCs w:val="20"/>
              </w:rPr>
            </w:pPr>
            <w:r w:rsidRPr="00146CEA">
              <w:rPr>
                <w:rFonts w:ascii="Calibri" w:hAnsi="Calibri" w:cs="Calibri"/>
                <w:sz w:val="20"/>
                <w:szCs w:val="20"/>
              </w:rPr>
              <w:t xml:space="preserve">$    3 </w:t>
            </w:r>
          </w:p>
        </w:tc>
        <w:tc>
          <w:tcPr>
            <w:tcW w:w="900" w:type="dxa"/>
            <w:tcBorders>
              <w:top w:val="nil"/>
              <w:left w:val="nil"/>
              <w:bottom w:val="nil"/>
              <w:right w:val="nil"/>
            </w:tcBorders>
            <w:shd w:val="clear" w:color="auto" w:fill="BFBFBF" w:themeFill="background1" w:themeFillShade="BF"/>
            <w:noWrap/>
            <w:vAlign w:val="bottom"/>
            <w:hideMark/>
          </w:tcPr>
          <w:p w14:paraId="5256DA83" w14:textId="5651B53A" w:rsidR="007B6C2A" w:rsidRPr="0059182A" w:rsidRDefault="007B6C2A" w:rsidP="007B6C2A">
            <w:pPr>
              <w:jc w:val="right"/>
              <w:rPr>
                <w:rFonts w:eastAsia="Times New Roman" w:cstheme="minorHAnsi"/>
                <w:sz w:val="20"/>
                <w:szCs w:val="20"/>
              </w:rPr>
            </w:pPr>
            <w:r w:rsidRPr="00146CEA">
              <w:rPr>
                <w:rFonts w:ascii="Calibri" w:hAnsi="Calibri" w:cs="Calibri"/>
                <w:sz w:val="20"/>
                <w:szCs w:val="20"/>
              </w:rPr>
              <w:t>50%</w:t>
            </w:r>
          </w:p>
        </w:tc>
        <w:tc>
          <w:tcPr>
            <w:tcW w:w="630" w:type="dxa"/>
            <w:tcBorders>
              <w:top w:val="nil"/>
              <w:left w:val="nil"/>
              <w:bottom w:val="nil"/>
              <w:right w:val="nil"/>
            </w:tcBorders>
            <w:shd w:val="clear" w:color="000000" w:fill="FFFFFF"/>
            <w:noWrap/>
            <w:vAlign w:val="bottom"/>
            <w:hideMark/>
          </w:tcPr>
          <w:p w14:paraId="6909A928" w14:textId="1FC4CDB6" w:rsidR="007B6C2A" w:rsidRPr="0059182A" w:rsidRDefault="007B6C2A" w:rsidP="007B6C2A">
            <w:pPr>
              <w:jc w:val="right"/>
              <w:rPr>
                <w:rFonts w:eastAsia="Times New Roman" w:cstheme="minorHAnsi"/>
                <w:sz w:val="20"/>
                <w:szCs w:val="20"/>
              </w:rPr>
            </w:pPr>
            <w:r w:rsidRPr="0059182A">
              <w:rPr>
                <w:rFonts w:ascii="Calibri" w:hAnsi="Calibri" w:cs="Calibri"/>
                <w:sz w:val="20"/>
                <w:szCs w:val="20"/>
              </w:rPr>
              <w:t xml:space="preserve">$    2 </w:t>
            </w:r>
          </w:p>
        </w:tc>
        <w:tc>
          <w:tcPr>
            <w:tcW w:w="900" w:type="dxa"/>
            <w:tcBorders>
              <w:top w:val="nil"/>
              <w:left w:val="nil"/>
              <w:bottom w:val="nil"/>
              <w:right w:val="nil"/>
            </w:tcBorders>
            <w:shd w:val="clear" w:color="auto" w:fill="BFBFBF" w:themeFill="background1" w:themeFillShade="BF"/>
            <w:vAlign w:val="bottom"/>
          </w:tcPr>
          <w:p w14:paraId="393937E1" w14:textId="3632053A" w:rsidR="007B6C2A" w:rsidRPr="0059182A" w:rsidRDefault="007B6C2A" w:rsidP="007B6C2A">
            <w:pPr>
              <w:jc w:val="right"/>
              <w:rPr>
                <w:rFonts w:ascii="Calibri" w:hAnsi="Calibri" w:cs="Calibri"/>
                <w:sz w:val="20"/>
                <w:szCs w:val="20"/>
              </w:rPr>
            </w:pPr>
            <w:r w:rsidRPr="0059182A">
              <w:rPr>
                <w:rFonts w:ascii="Calibri" w:hAnsi="Calibri" w:cs="Calibri"/>
                <w:sz w:val="20"/>
                <w:szCs w:val="20"/>
              </w:rPr>
              <w:t>0%</w:t>
            </w:r>
          </w:p>
        </w:tc>
        <w:tc>
          <w:tcPr>
            <w:tcW w:w="630" w:type="dxa"/>
            <w:tcBorders>
              <w:top w:val="nil"/>
              <w:left w:val="nil"/>
              <w:bottom w:val="nil"/>
              <w:right w:val="nil"/>
            </w:tcBorders>
            <w:shd w:val="clear" w:color="000000" w:fill="FFFFFF"/>
            <w:vAlign w:val="bottom"/>
          </w:tcPr>
          <w:p w14:paraId="6BC4EBDC" w14:textId="3935ACB5" w:rsidR="007B6C2A" w:rsidRPr="0059182A" w:rsidRDefault="007B6C2A" w:rsidP="007B6C2A">
            <w:pPr>
              <w:jc w:val="right"/>
              <w:rPr>
                <w:rFonts w:ascii="Calibri" w:hAnsi="Calibri" w:cs="Calibri"/>
                <w:sz w:val="20"/>
                <w:szCs w:val="20"/>
              </w:rPr>
            </w:pPr>
            <w:r w:rsidRPr="0059182A">
              <w:rPr>
                <w:rFonts w:ascii="Calibri" w:hAnsi="Calibri" w:cs="Calibri"/>
                <w:sz w:val="20"/>
                <w:szCs w:val="20"/>
              </w:rPr>
              <w:t xml:space="preserve">$    2 </w:t>
            </w:r>
          </w:p>
        </w:tc>
      </w:tr>
      <w:tr w:rsidR="007B6C2A" w:rsidRPr="004E6649" w14:paraId="75CCB4C7" w14:textId="7C994729" w:rsidTr="00155FD9">
        <w:trPr>
          <w:trHeight w:val="90"/>
          <w:jc w:val="center"/>
        </w:trPr>
        <w:tc>
          <w:tcPr>
            <w:tcW w:w="4050" w:type="dxa"/>
            <w:tcBorders>
              <w:top w:val="nil"/>
              <w:left w:val="nil"/>
              <w:bottom w:val="nil"/>
              <w:right w:val="nil"/>
            </w:tcBorders>
            <w:shd w:val="clear" w:color="000000" w:fill="FFFFFF"/>
            <w:noWrap/>
            <w:vAlign w:val="bottom"/>
            <w:hideMark/>
          </w:tcPr>
          <w:p w14:paraId="70DC5A78" w14:textId="5D4074E2" w:rsidR="007B6C2A" w:rsidRPr="00B2223B" w:rsidRDefault="007B6C2A" w:rsidP="007B6C2A">
            <w:pPr>
              <w:rPr>
                <w:rFonts w:eastAsia="Times New Roman" w:cstheme="minorHAnsi"/>
                <w:sz w:val="20"/>
                <w:szCs w:val="20"/>
              </w:rPr>
            </w:pPr>
            <w:r w:rsidRPr="00B2223B">
              <w:rPr>
                <w:rFonts w:ascii="Calibri" w:hAnsi="Calibri" w:cs="Calibri"/>
                <w:sz w:val="20"/>
                <w:szCs w:val="20"/>
              </w:rPr>
              <w:t>Investments - pooled</w:t>
            </w:r>
          </w:p>
        </w:tc>
        <w:tc>
          <w:tcPr>
            <w:tcW w:w="630" w:type="dxa"/>
            <w:tcBorders>
              <w:top w:val="nil"/>
              <w:left w:val="nil"/>
              <w:bottom w:val="nil"/>
              <w:right w:val="nil"/>
            </w:tcBorders>
            <w:shd w:val="clear" w:color="000000" w:fill="FFFFFF"/>
            <w:vAlign w:val="bottom"/>
          </w:tcPr>
          <w:p w14:paraId="5087B331" w14:textId="21A2B43D" w:rsidR="007B6C2A" w:rsidRPr="0059182A" w:rsidRDefault="009A1BDB" w:rsidP="007B6C2A">
            <w:pPr>
              <w:jc w:val="right"/>
              <w:rPr>
                <w:rFonts w:eastAsia="Times New Roman" w:cstheme="minorHAnsi"/>
                <w:b/>
                <w:bCs/>
                <w:sz w:val="20"/>
                <w:szCs w:val="20"/>
              </w:rPr>
            </w:pPr>
            <w:r w:rsidRPr="0059182A">
              <w:rPr>
                <w:rFonts w:ascii="Calibri" w:hAnsi="Calibri" w:cs="Calibri"/>
                <w:b/>
                <w:bCs/>
                <w:sz w:val="20"/>
                <w:szCs w:val="20"/>
              </w:rPr>
              <w:t xml:space="preserve">225 </w:t>
            </w:r>
          </w:p>
        </w:tc>
        <w:tc>
          <w:tcPr>
            <w:tcW w:w="894" w:type="dxa"/>
            <w:tcBorders>
              <w:top w:val="nil"/>
              <w:left w:val="nil"/>
              <w:bottom w:val="nil"/>
              <w:right w:val="nil"/>
            </w:tcBorders>
            <w:shd w:val="clear" w:color="auto" w:fill="BFBFBF" w:themeFill="background1" w:themeFillShade="BF"/>
            <w:vAlign w:val="bottom"/>
          </w:tcPr>
          <w:p w14:paraId="00F2338D" w14:textId="382E9527" w:rsidR="007B6C2A" w:rsidRPr="0059182A" w:rsidRDefault="009A1BDB" w:rsidP="007B6C2A">
            <w:pPr>
              <w:jc w:val="right"/>
              <w:rPr>
                <w:rFonts w:eastAsia="Times New Roman" w:cstheme="minorHAnsi"/>
                <w:b/>
                <w:bCs/>
                <w:sz w:val="20"/>
                <w:szCs w:val="20"/>
              </w:rPr>
            </w:pPr>
            <w:r w:rsidRPr="0059182A">
              <w:rPr>
                <w:rFonts w:ascii="Calibri" w:hAnsi="Calibri" w:cs="Calibri"/>
                <w:b/>
                <w:bCs/>
                <w:sz w:val="20"/>
                <w:szCs w:val="20"/>
              </w:rPr>
              <w:t>-6</w:t>
            </w:r>
            <w:r w:rsidR="007B6C2A" w:rsidRPr="0059182A">
              <w:rPr>
                <w:rFonts w:ascii="Calibri" w:hAnsi="Calibri" w:cs="Calibri"/>
                <w:b/>
                <w:bCs/>
                <w:sz w:val="20"/>
                <w:szCs w:val="20"/>
              </w:rPr>
              <w:t>%</w:t>
            </w:r>
          </w:p>
        </w:tc>
        <w:tc>
          <w:tcPr>
            <w:tcW w:w="630" w:type="dxa"/>
            <w:tcBorders>
              <w:top w:val="nil"/>
              <w:left w:val="nil"/>
              <w:bottom w:val="nil"/>
              <w:right w:val="nil"/>
            </w:tcBorders>
            <w:shd w:val="clear" w:color="000000" w:fill="FFFFFF"/>
            <w:noWrap/>
            <w:vAlign w:val="bottom"/>
            <w:hideMark/>
          </w:tcPr>
          <w:p w14:paraId="66B0460B" w14:textId="64CD1A5C" w:rsidR="007B6C2A" w:rsidRPr="0059182A" w:rsidRDefault="007B6C2A" w:rsidP="007B6C2A">
            <w:pPr>
              <w:jc w:val="right"/>
              <w:rPr>
                <w:rFonts w:eastAsia="Times New Roman" w:cstheme="minorHAnsi"/>
                <w:b/>
                <w:bCs/>
                <w:sz w:val="20"/>
                <w:szCs w:val="20"/>
              </w:rPr>
            </w:pPr>
            <w:r w:rsidRPr="0059182A">
              <w:rPr>
                <w:rFonts w:ascii="Calibri" w:hAnsi="Calibri" w:cs="Calibri"/>
                <w:b/>
                <w:bCs/>
                <w:sz w:val="20"/>
                <w:szCs w:val="20"/>
              </w:rPr>
              <w:t xml:space="preserve">240 </w:t>
            </w:r>
          </w:p>
        </w:tc>
        <w:tc>
          <w:tcPr>
            <w:tcW w:w="900" w:type="dxa"/>
            <w:tcBorders>
              <w:top w:val="nil"/>
              <w:left w:val="nil"/>
              <w:bottom w:val="nil"/>
              <w:right w:val="nil"/>
            </w:tcBorders>
            <w:shd w:val="clear" w:color="auto" w:fill="BFBFBF" w:themeFill="background1" w:themeFillShade="BF"/>
            <w:noWrap/>
            <w:vAlign w:val="bottom"/>
            <w:hideMark/>
          </w:tcPr>
          <w:p w14:paraId="137BF914" w14:textId="3704AC10" w:rsidR="007B6C2A" w:rsidRPr="0059182A" w:rsidRDefault="007B6C2A" w:rsidP="007B6C2A">
            <w:pPr>
              <w:jc w:val="right"/>
              <w:rPr>
                <w:rFonts w:eastAsia="Times New Roman" w:cstheme="minorHAnsi"/>
                <w:b/>
                <w:bCs/>
                <w:sz w:val="20"/>
                <w:szCs w:val="20"/>
              </w:rPr>
            </w:pPr>
            <w:r w:rsidRPr="0059182A">
              <w:rPr>
                <w:rFonts w:ascii="Calibri" w:hAnsi="Calibri" w:cs="Calibri"/>
                <w:b/>
                <w:bCs/>
                <w:sz w:val="20"/>
                <w:szCs w:val="20"/>
              </w:rPr>
              <w:t>13%</w:t>
            </w:r>
          </w:p>
        </w:tc>
        <w:tc>
          <w:tcPr>
            <w:tcW w:w="630" w:type="dxa"/>
            <w:tcBorders>
              <w:top w:val="nil"/>
              <w:left w:val="nil"/>
              <w:bottom w:val="nil"/>
              <w:right w:val="nil"/>
            </w:tcBorders>
            <w:shd w:val="clear" w:color="000000" w:fill="FFFFFF"/>
            <w:noWrap/>
            <w:vAlign w:val="bottom"/>
            <w:hideMark/>
          </w:tcPr>
          <w:p w14:paraId="160F347B" w14:textId="5D7FD454" w:rsidR="007B6C2A" w:rsidRPr="0059182A" w:rsidRDefault="007B6C2A" w:rsidP="007B6C2A">
            <w:pPr>
              <w:jc w:val="right"/>
              <w:rPr>
                <w:rFonts w:eastAsia="Times New Roman" w:cstheme="minorHAnsi"/>
                <w:sz w:val="20"/>
                <w:szCs w:val="20"/>
              </w:rPr>
            </w:pPr>
            <w:r w:rsidRPr="00146CEA">
              <w:rPr>
                <w:rFonts w:ascii="Calibri" w:hAnsi="Calibri" w:cs="Calibri"/>
                <w:sz w:val="20"/>
                <w:szCs w:val="20"/>
              </w:rPr>
              <w:t xml:space="preserve">213 </w:t>
            </w:r>
          </w:p>
        </w:tc>
        <w:tc>
          <w:tcPr>
            <w:tcW w:w="900" w:type="dxa"/>
            <w:tcBorders>
              <w:top w:val="nil"/>
              <w:left w:val="nil"/>
              <w:bottom w:val="nil"/>
              <w:right w:val="nil"/>
            </w:tcBorders>
            <w:shd w:val="clear" w:color="auto" w:fill="BFBFBF" w:themeFill="background1" w:themeFillShade="BF"/>
            <w:noWrap/>
            <w:vAlign w:val="bottom"/>
            <w:hideMark/>
          </w:tcPr>
          <w:p w14:paraId="605D1FB5" w14:textId="4FF3711D" w:rsidR="007B6C2A" w:rsidRPr="0059182A" w:rsidRDefault="007B6C2A" w:rsidP="007B6C2A">
            <w:pPr>
              <w:jc w:val="right"/>
              <w:rPr>
                <w:rFonts w:eastAsia="Times New Roman" w:cstheme="minorHAnsi"/>
                <w:sz w:val="20"/>
                <w:szCs w:val="20"/>
              </w:rPr>
            </w:pPr>
            <w:r w:rsidRPr="00146CEA">
              <w:rPr>
                <w:rFonts w:ascii="Calibri" w:hAnsi="Calibri" w:cs="Calibri"/>
                <w:sz w:val="20"/>
                <w:szCs w:val="20"/>
              </w:rPr>
              <w:t>8%</w:t>
            </w:r>
          </w:p>
        </w:tc>
        <w:tc>
          <w:tcPr>
            <w:tcW w:w="630" w:type="dxa"/>
            <w:tcBorders>
              <w:top w:val="nil"/>
              <w:left w:val="nil"/>
              <w:bottom w:val="nil"/>
              <w:right w:val="nil"/>
            </w:tcBorders>
            <w:shd w:val="clear" w:color="000000" w:fill="FFFFFF"/>
            <w:noWrap/>
            <w:vAlign w:val="bottom"/>
            <w:hideMark/>
          </w:tcPr>
          <w:p w14:paraId="6F965877" w14:textId="437BD8AB" w:rsidR="007B6C2A" w:rsidRPr="0059182A" w:rsidRDefault="007B6C2A" w:rsidP="007B6C2A">
            <w:pPr>
              <w:jc w:val="right"/>
              <w:rPr>
                <w:rFonts w:eastAsia="Times New Roman" w:cstheme="minorHAnsi"/>
                <w:sz w:val="20"/>
                <w:szCs w:val="20"/>
              </w:rPr>
            </w:pPr>
            <w:r w:rsidRPr="0059182A">
              <w:rPr>
                <w:rFonts w:ascii="Calibri" w:hAnsi="Calibri" w:cs="Calibri"/>
                <w:sz w:val="20"/>
                <w:szCs w:val="20"/>
              </w:rPr>
              <w:t xml:space="preserve">197 </w:t>
            </w:r>
          </w:p>
        </w:tc>
        <w:tc>
          <w:tcPr>
            <w:tcW w:w="900" w:type="dxa"/>
            <w:tcBorders>
              <w:top w:val="nil"/>
              <w:left w:val="nil"/>
              <w:bottom w:val="nil"/>
              <w:right w:val="nil"/>
            </w:tcBorders>
            <w:shd w:val="clear" w:color="auto" w:fill="BFBFBF" w:themeFill="background1" w:themeFillShade="BF"/>
            <w:vAlign w:val="bottom"/>
          </w:tcPr>
          <w:p w14:paraId="15328872" w14:textId="654E4522" w:rsidR="007B6C2A" w:rsidRPr="0059182A" w:rsidRDefault="007B6C2A" w:rsidP="007B6C2A">
            <w:pPr>
              <w:jc w:val="right"/>
              <w:rPr>
                <w:rFonts w:ascii="Calibri" w:hAnsi="Calibri" w:cs="Calibri"/>
                <w:sz w:val="20"/>
                <w:szCs w:val="20"/>
              </w:rPr>
            </w:pPr>
            <w:r w:rsidRPr="0059182A">
              <w:rPr>
                <w:rFonts w:ascii="Calibri" w:hAnsi="Calibri" w:cs="Calibri"/>
                <w:sz w:val="20"/>
                <w:szCs w:val="20"/>
              </w:rPr>
              <w:t>-30%</w:t>
            </w:r>
          </w:p>
        </w:tc>
        <w:tc>
          <w:tcPr>
            <w:tcW w:w="630" w:type="dxa"/>
            <w:tcBorders>
              <w:top w:val="nil"/>
              <w:left w:val="nil"/>
              <w:bottom w:val="nil"/>
              <w:right w:val="nil"/>
            </w:tcBorders>
            <w:shd w:val="clear" w:color="000000" w:fill="FFFFFF"/>
            <w:vAlign w:val="bottom"/>
          </w:tcPr>
          <w:p w14:paraId="1F4BF3FF" w14:textId="0039CBCB" w:rsidR="007B6C2A" w:rsidRPr="0059182A" w:rsidRDefault="007B6C2A" w:rsidP="007B6C2A">
            <w:pPr>
              <w:jc w:val="right"/>
              <w:rPr>
                <w:rFonts w:ascii="Calibri" w:hAnsi="Calibri" w:cs="Calibri"/>
                <w:sz w:val="20"/>
                <w:szCs w:val="20"/>
              </w:rPr>
            </w:pPr>
            <w:r w:rsidRPr="0059182A">
              <w:rPr>
                <w:rFonts w:ascii="Calibri" w:hAnsi="Calibri" w:cs="Calibri"/>
                <w:sz w:val="20"/>
                <w:szCs w:val="20"/>
              </w:rPr>
              <w:t xml:space="preserve">283 </w:t>
            </w:r>
          </w:p>
        </w:tc>
      </w:tr>
      <w:tr w:rsidR="007B6C2A" w:rsidRPr="004E6649" w14:paraId="516D3C0F" w14:textId="3FDC3A1B" w:rsidTr="00155FD9">
        <w:trPr>
          <w:trHeight w:val="66"/>
          <w:jc w:val="center"/>
        </w:trPr>
        <w:tc>
          <w:tcPr>
            <w:tcW w:w="4050" w:type="dxa"/>
            <w:tcBorders>
              <w:top w:val="nil"/>
              <w:left w:val="nil"/>
              <w:bottom w:val="single" w:sz="4" w:space="0" w:color="auto"/>
              <w:right w:val="nil"/>
            </w:tcBorders>
            <w:shd w:val="clear" w:color="000000" w:fill="FFFFFF"/>
            <w:noWrap/>
            <w:vAlign w:val="bottom"/>
            <w:hideMark/>
          </w:tcPr>
          <w:p w14:paraId="494037B2" w14:textId="08920D6C" w:rsidR="007B6C2A" w:rsidRPr="00B2223B" w:rsidRDefault="007B6C2A" w:rsidP="007B6C2A">
            <w:pPr>
              <w:rPr>
                <w:rFonts w:eastAsia="Times New Roman" w:cstheme="minorHAnsi"/>
                <w:sz w:val="20"/>
                <w:szCs w:val="20"/>
              </w:rPr>
            </w:pPr>
            <w:r w:rsidRPr="00B2223B">
              <w:rPr>
                <w:rFonts w:ascii="Calibri" w:hAnsi="Calibri" w:cs="Calibri"/>
                <w:sz w:val="20"/>
                <w:szCs w:val="20"/>
              </w:rPr>
              <w:t>Investments - other</w:t>
            </w:r>
          </w:p>
        </w:tc>
        <w:tc>
          <w:tcPr>
            <w:tcW w:w="630" w:type="dxa"/>
            <w:tcBorders>
              <w:top w:val="nil"/>
              <w:left w:val="nil"/>
              <w:bottom w:val="single" w:sz="4" w:space="0" w:color="auto"/>
              <w:right w:val="nil"/>
            </w:tcBorders>
            <w:shd w:val="clear" w:color="000000" w:fill="FFFFFF"/>
            <w:vAlign w:val="bottom"/>
          </w:tcPr>
          <w:p w14:paraId="3FA575D1" w14:textId="1ED620C3" w:rsidR="007B6C2A" w:rsidRPr="0059182A" w:rsidRDefault="007B6C2A" w:rsidP="007B6C2A">
            <w:pPr>
              <w:jc w:val="right"/>
              <w:rPr>
                <w:rFonts w:eastAsia="Times New Roman" w:cstheme="minorHAnsi"/>
                <w:b/>
                <w:bCs/>
                <w:sz w:val="20"/>
                <w:szCs w:val="20"/>
              </w:rPr>
            </w:pPr>
            <w:r w:rsidRPr="0059182A">
              <w:rPr>
                <w:rFonts w:ascii="Calibri" w:hAnsi="Calibri" w:cs="Calibri"/>
                <w:b/>
                <w:bCs/>
                <w:sz w:val="20"/>
                <w:szCs w:val="20"/>
              </w:rPr>
              <w:t>1</w:t>
            </w:r>
            <w:r w:rsidR="009A1BDB" w:rsidRPr="0059182A">
              <w:rPr>
                <w:rFonts w:ascii="Calibri" w:hAnsi="Calibri" w:cs="Calibri"/>
                <w:b/>
                <w:bCs/>
                <w:sz w:val="20"/>
                <w:szCs w:val="20"/>
              </w:rPr>
              <w:t>6</w:t>
            </w:r>
            <w:r w:rsidRPr="0059182A">
              <w:rPr>
                <w:rFonts w:ascii="Calibri" w:hAnsi="Calibri" w:cs="Calibri"/>
                <w:b/>
                <w:bCs/>
                <w:sz w:val="20"/>
                <w:szCs w:val="20"/>
              </w:rPr>
              <w:t xml:space="preserve"> </w:t>
            </w:r>
          </w:p>
        </w:tc>
        <w:tc>
          <w:tcPr>
            <w:tcW w:w="894" w:type="dxa"/>
            <w:tcBorders>
              <w:top w:val="nil"/>
              <w:left w:val="nil"/>
              <w:bottom w:val="single" w:sz="4" w:space="0" w:color="auto"/>
              <w:right w:val="nil"/>
            </w:tcBorders>
            <w:shd w:val="clear" w:color="auto" w:fill="BFBFBF" w:themeFill="background1" w:themeFillShade="BF"/>
            <w:vAlign w:val="bottom"/>
          </w:tcPr>
          <w:p w14:paraId="49A597B6" w14:textId="078DAD3C" w:rsidR="007B6C2A" w:rsidRPr="0059182A" w:rsidRDefault="007B6C2A" w:rsidP="007B6C2A">
            <w:pPr>
              <w:jc w:val="right"/>
              <w:rPr>
                <w:rFonts w:eastAsia="Times New Roman" w:cstheme="minorHAnsi"/>
                <w:b/>
                <w:bCs/>
                <w:sz w:val="20"/>
                <w:szCs w:val="20"/>
              </w:rPr>
            </w:pPr>
            <w:r w:rsidRPr="0059182A">
              <w:rPr>
                <w:rFonts w:ascii="Calibri" w:hAnsi="Calibri" w:cs="Calibri"/>
                <w:b/>
                <w:bCs/>
                <w:sz w:val="20"/>
                <w:szCs w:val="20"/>
              </w:rPr>
              <w:t>-</w:t>
            </w:r>
            <w:r w:rsidR="009A1BDB" w:rsidRPr="0059182A">
              <w:rPr>
                <w:rFonts w:ascii="Calibri" w:hAnsi="Calibri" w:cs="Calibri"/>
                <w:b/>
                <w:bCs/>
                <w:sz w:val="20"/>
                <w:szCs w:val="20"/>
              </w:rPr>
              <w:t>11</w:t>
            </w:r>
            <w:r w:rsidRPr="0059182A">
              <w:rPr>
                <w:rFonts w:ascii="Calibri" w:hAnsi="Calibri" w:cs="Calibri"/>
                <w:b/>
                <w:bCs/>
                <w:sz w:val="20"/>
                <w:szCs w:val="20"/>
              </w:rPr>
              <w:t>%</w:t>
            </w:r>
          </w:p>
        </w:tc>
        <w:tc>
          <w:tcPr>
            <w:tcW w:w="630" w:type="dxa"/>
            <w:tcBorders>
              <w:top w:val="nil"/>
              <w:left w:val="nil"/>
              <w:bottom w:val="single" w:sz="4" w:space="0" w:color="auto"/>
              <w:right w:val="nil"/>
            </w:tcBorders>
            <w:shd w:val="clear" w:color="000000" w:fill="FFFFFF"/>
            <w:noWrap/>
            <w:vAlign w:val="bottom"/>
            <w:hideMark/>
          </w:tcPr>
          <w:p w14:paraId="70B9F136" w14:textId="75B370DF" w:rsidR="007B6C2A" w:rsidRPr="0059182A" w:rsidRDefault="007B6C2A" w:rsidP="007B6C2A">
            <w:pPr>
              <w:jc w:val="right"/>
              <w:rPr>
                <w:rFonts w:eastAsia="Times New Roman" w:cstheme="minorHAnsi"/>
                <w:b/>
                <w:bCs/>
                <w:sz w:val="20"/>
                <w:szCs w:val="20"/>
              </w:rPr>
            </w:pPr>
            <w:r w:rsidRPr="0059182A">
              <w:rPr>
                <w:rFonts w:ascii="Calibri" w:hAnsi="Calibri" w:cs="Calibri"/>
                <w:b/>
                <w:bCs/>
                <w:sz w:val="20"/>
                <w:szCs w:val="20"/>
              </w:rPr>
              <w:t xml:space="preserve">18 </w:t>
            </w:r>
          </w:p>
        </w:tc>
        <w:tc>
          <w:tcPr>
            <w:tcW w:w="900" w:type="dxa"/>
            <w:tcBorders>
              <w:top w:val="nil"/>
              <w:left w:val="nil"/>
              <w:bottom w:val="single" w:sz="4" w:space="0" w:color="auto"/>
              <w:right w:val="nil"/>
            </w:tcBorders>
            <w:shd w:val="clear" w:color="auto" w:fill="BFBFBF" w:themeFill="background1" w:themeFillShade="BF"/>
            <w:noWrap/>
            <w:vAlign w:val="bottom"/>
            <w:hideMark/>
          </w:tcPr>
          <w:p w14:paraId="2867AB7D" w14:textId="2B051505" w:rsidR="007B6C2A" w:rsidRPr="0059182A" w:rsidRDefault="007B6C2A" w:rsidP="007B6C2A">
            <w:pPr>
              <w:jc w:val="right"/>
              <w:rPr>
                <w:rFonts w:eastAsia="Times New Roman" w:cstheme="minorHAnsi"/>
                <w:b/>
                <w:bCs/>
                <w:sz w:val="20"/>
                <w:szCs w:val="20"/>
              </w:rPr>
            </w:pPr>
            <w:r w:rsidRPr="0059182A">
              <w:rPr>
                <w:rFonts w:ascii="Calibri" w:hAnsi="Calibri" w:cs="Calibri"/>
                <w:b/>
                <w:bCs/>
                <w:sz w:val="20"/>
                <w:szCs w:val="20"/>
              </w:rPr>
              <w:t>-5%</w:t>
            </w:r>
          </w:p>
        </w:tc>
        <w:tc>
          <w:tcPr>
            <w:tcW w:w="630" w:type="dxa"/>
            <w:tcBorders>
              <w:top w:val="nil"/>
              <w:left w:val="nil"/>
              <w:bottom w:val="single" w:sz="4" w:space="0" w:color="auto"/>
              <w:right w:val="nil"/>
            </w:tcBorders>
            <w:shd w:val="clear" w:color="000000" w:fill="FFFFFF"/>
            <w:noWrap/>
            <w:vAlign w:val="bottom"/>
            <w:hideMark/>
          </w:tcPr>
          <w:p w14:paraId="2C2AB274" w14:textId="4238B232" w:rsidR="007B6C2A" w:rsidRPr="0059182A" w:rsidRDefault="007B6C2A" w:rsidP="007B6C2A">
            <w:pPr>
              <w:jc w:val="right"/>
              <w:rPr>
                <w:rFonts w:eastAsia="Times New Roman" w:cstheme="minorHAnsi"/>
                <w:sz w:val="20"/>
                <w:szCs w:val="20"/>
              </w:rPr>
            </w:pPr>
            <w:r w:rsidRPr="00146CEA">
              <w:rPr>
                <w:rFonts w:ascii="Calibri" w:hAnsi="Calibri" w:cs="Calibri"/>
                <w:sz w:val="20"/>
                <w:szCs w:val="20"/>
              </w:rPr>
              <w:t xml:space="preserve">19 </w:t>
            </w:r>
          </w:p>
        </w:tc>
        <w:tc>
          <w:tcPr>
            <w:tcW w:w="900" w:type="dxa"/>
            <w:tcBorders>
              <w:top w:val="nil"/>
              <w:left w:val="nil"/>
              <w:bottom w:val="single" w:sz="4" w:space="0" w:color="auto"/>
              <w:right w:val="nil"/>
            </w:tcBorders>
            <w:shd w:val="clear" w:color="auto" w:fill="BFBFBF" w:themeFill="background1" w:themeFillShade="BF"/>
            <w:noWrap/>
            <w:vAlign w:val="bottom"/>
            <w:hideMark/>
          </w:tcPr>
          <w:p w14:paraId="7D0CD006" w14:textId="3DF3DBAA" w:rsidR="007B6C2A" w:rsidRPr="0059182A" w:rsidRDefault="007B6C2A" w:rsidP="007B6C2A">
            <w:pPr>
              <w:jc w:val="right"/>
              <w:rPr>
                <w:rFonts w:eastAsia="Times New Roman" w:cstheme="minorHAnsi"/>
                <w:sz w:val="20"/>
                <w:szCs w:val="20"/>
              </w:rPr>
            </w:pPr>
            <w:r w:rsidRPr="00146CEA">
              <w:rPr>
                <w:rFonts w:ascii="Calibri" w:hAnsi="Calibri" w:cs="Calibri"/>
                <w:sz w:val="20"/>
                <w:szCs w:val="20"/>
              </w:rPr>
              <w:t>-10%</w:t>
            </w:r>
          </w:p>
        </w:tc>
        <w:tc>
          <w:tcPr>
            <w:tcW w:w="630" w:type="dxa"/>
            <w:tcBorders>
              <w:top w:val="nil"/>
              <w:left w:val="nil"/>
              <w:bottom w:val="single" w:sz="4" w:space="0" w:color="auto"/>
              <w:right w:val="nil"/>
            </w:tcBorders>
            <w:shd w:val="clear" w:color="000000" w:fill="FFFFFF"/>
            <w:noWrap/>
            <w:vAlign w:val="bottom"/>
            <w:hideMark/>
          </w:tcPr>
          <w:p w14:paraId="6F9565BF" w14:textId="7CF7B63B" w:rsidR="007B6C2A" w:rsidRPr="0059182A" w:rsidRDefault="007B6C2A" w:rsidP="007B6C2A">
            <w:pPr>
              <w:jc w:val="right"/>
              <w:rPr>
                <w:rFonts w:eastAsia="Times New Roman" w:cstheme="minorHAnsi"/>
                <w:sz w:val="20"/>
                <w:szCs w:val="20"/>
              </w:rPr>
            </w:pPr>
            <w:r w:rsidRPr="0059182A">
              <w:rPr>
                <w:rFonts w:ascii="Calibri" w:hAnsi="Calibri" w:cs="Calibri"/>
                <w:sz w:val="20"/>
                <w:szCs w:val="20"/>
              </w:rPr>
              <w:t xml:space="preserve">21 </w:t>
            </w:r>
          </w:p>
        </w:tc>
        <w:tc>
          <w:tcPr>
            <w:tcW w:w="900" w:type="dxa"/>
            <w:tcBorders>
              <w:top w:val="nil"/>
              <w:left w:val="nil"/>
              <w:bottom w:val="single" w:sz="4" w:space="0" w:color="auto"/>
              <w:right w:val="nil"/>
            </w:tcBorders>
            <w:shd w:val="clear" w:color="auto" w:fill="BFBFBF" w:themeFill="background1" w:themeFillShade="BF"/>
            <w:vAlign w:val="bottom"/>
          </w:tcPr>
          <w:p w14:paraId="4DE793ED" w14:textId="6B057A8F" w:rsidR="007B6C2A" w:rsidRPr="0059182A" w:rsidRDefault="007B6C2A" w:rsidP="007B6C2A">
            <w:pPr>
              <w:jc w:val="right"/>
              <w:rPr>
                <w:rFonts w:ascii="Calibri" w:hAnsi="Calibri" w:cs="Calibri"/>
                <w:sz w:val="20"/>
                <w:szCs w:val="20"/>
              </w:rPr>
            </w:pPr>
            <w:r w:rsidRPr="0059182A">
              <w:rPr>
                <w:rFonts w:ascii="Calibri" w:hAnsi="Calibri" w:cs="Calibri"/>
                <w:sz w:val="20"/>
                <w:szCs w:val="20"/>
              </w:rPr>
              <w:t>-16%</w:t>
            </w:r>
          </w:p>
        </w:tc>
        <w:tc>
          <w:tcPr>
            <w:tcW w:w="630" w:type="dxa"/>
            <w:tcBorders>
              <w:top w:val="nil"/>
              <w:left w:val="nil"/>
              <w:bottom w:val="single" w:sz="4" w:space="0" w:color="auto"/>
              <w:right w:val="nil"/>
            </w:tcBorders>
            <w:shd w:val="clear" w:color="000000" w:fill="FFFFFF"/>
            <w:vAlign w:val="bottom"/>
          </w:tcPr>
          <w:p w14:paraId="7EADE7AF" w14:textId="361119BA" w:rsidR="007B6C2A" w:rsidRPr="0059182A" w:rsidRDefault="007B6C2A" w:rsidP="007B6C2A">
            <w:pPr>
              <w:jc w:val="right"/>
              <w:rPr>
                <w:rFonts w:ascii="Calibri" w:hAnsi="Calibri" w:cs="Calibri"/>
                <w:sz w:val="20"/>
                <w:szCs w:val="20"/>
              </w:rPr>
            </w:pPr>
            <w:r w:rsidRPr="0059182A">
              <w:rPr>
                <w:rFonts w:ascii="Calibri" w:hAnsi="Calibri" w:cs="Calibri"/>
                <w:sz w:val="20"/>
                <w:szCs w:val="20"/>
              </w:rPr>
              <w:t xml:space="preserve">25 </w:t>
            </w:r>
          </w:p>
        </w:tc>
      </w:tr>
      <w:tr w:rsidR="007B6C2A" w:rsidRPr="004E6649" w14:paraId="163161F2" w14:textId="709E2885" w:rsidTr="00155FD9">
        <w:trPr>
          <w:trHeight w:val="56"/>
          <w:jc w:val="center"/>
        </w:trPr>
        <w:tc>
          <w:tcPr>
            <w:tcW w:w="4050" w:type="dxa"/>
            <w:tcBorders>
              <w:top w:val="nil"/>
              <w:left w:val="nil"/>
              <w:bottom w:val="single" w:sz="4" w:space="0" w:color="auto"/>
              <w:right w:val="nil"/>
            </w:tcBorders>
            <w:shd w:val="clear" w:color="000000" w:fill="FFFFFF"/>
            <w:noWrap/>
            <w:vAlign w:val="bottom"/>
            <w:hideMark/>
          </w:tcPr>
          <w:p w14:paraId="66A5E609" w14:textId="2D269CEE" w:rsidR="007B6C2A" w:rsidRPr="00B2223B" w:rsidRDefault="007B6C2A" w:rsidP="007B6C2A">
            <w:pPr>
              <w:rPr>
                <w:rFonts w:eastAsia="Times New Roman" w:cstheme="minorHAnsi"/>
                <w:b/>
                <w:bCs/>
                <w:sz w:val="20"/>
                <w:szCs w:val="20"/>
              </w:rPr>
            </w:pPr>
            <w:r w:rsidRPr="00B2223B">
              <w:rPr>
                <w:rFonts w:ascii="Calibri" w:hAnsi="Calibri" w:cs="Calibri"/>
                <w:b/>
                <w:bCs/>
                <w:sz w:val="20"/>
                <w:szCs w:val="20"/>
              </w:rPr>
              <w:t>Total Assets</w:t>
            </w:r>
          </w:p>
        </w:tc>
        <w:tc>
          <w:tcPr>
            <w:tcW w:w="630" w:type="dxa"/>
            <w:tcBorders>
              <w:top w:val="nil"/>
              <w:left w:val="nil"/>
              <w:bottom w:val="single" w:sz="4" w:space="0" w:color="auto"/>
              <w:right w:val="nil"/>
            </w:tcBorders>
            <w:shd w:val="clear" w:color="000000" w:fill="FFFFFF"/>
            <w:vAlign w:val="bottom"/>
          </w:tcPr>
          <w:p w14:paraId="0576D844" w14:textId="25D7D059" w:rsidR="007B6C2A" w:rsidRPr="0059182A" w:rsidRDefault="007B6C2A" w:rsidP="007B6C2A">
            <w:pPr>
              <w:jc w:val="right"/>
              <w:rPr>
                <w:rFonts w:eastAsia="Times New Roman" w:cstheme="minorHAnsi"/>
                <w:b/>
                <w:bCs/>
                <w:sz w:val="20"/>
                <w:szCs w:val="20"/>
              </w:rPr>
            </w:pPr>
            <w:r w:rsidRPr="0059182A">
              <w:rPr>
                <w:rFonts w:ascii="Calibri" w:hAnsi="Calibri" w:cs="Calibri"/>
                <w:b/>
                <w:bCs/>
                <w:sz w:val="20"/>
                <w:szCs w:val="20"/>
              </w:rPr>
              <w:t>2</w:t>
            </w:r>
            <w:r w:rsidR="009A1BDB" w:rsidRPr="0059182A">
              <w:rPr>
                <w:rFonts w:ascii="Calibri" w:hAnsi="Calibri" w:cs="Calibri"/>
                <w:b/>
                <w:bCs/>
                <w:sz w:val="20"/>
                <w:szCs w:val="20"/>
              </w:rPr>
              <w:t>44</w:t>
            </w:r>
            <w:r w:rsidRPr="0059182A">
              <w:rPr>
                <w:rFonts w:ascii="Calibri" w:hAnsi="Calibri" w:cs="Calibri"/>
                <w:b/>
                <w:bCs/>
                <w:sz w:val="20"/>
                <w:szCs w:val="20"/>
              </w:rPr>
              <w:t xml:space="preserve"> </w:t>
            </w:r>
          </w:p>
        </w:tc>
        <w:tc>
          <w:tcPr>
            <w:tcW w:w="894" w:type="dxa"/>
            <w:tcBorders>
              <w:top w:val="nil"/>
              <w:left w:val="nil"/>
              <w:bottom w:val="single" w:sz="4" w:space="0" w:color="auto"/>
              <w:right w:val="nil"/>
            </w:tcBorders>
            <w:shd w:val="clear" w:color="auto" w:fill="BFBFBF" w:themeFill="background1" w:themeFillShade="BF"/>
            <w:vAlign w:val="bottom"/>
          </w:tcPr>
          <w:p w14:paraId="3B5358E2" w14:textId="26F0963D" w:rsidR="007B6C2A" w:rsidRPr="0059182A" w:rsidRDefault="009A1BDB" w:rsidP="007B6C2A">
            <w:pPr>
              <w:jc w:val="right"/>
              <w:rPr>
                <w:rFonts w:eastAsia="Times New Roman" w:cstheme="minorHAnsi"/>
                <w:b/>
                <w:bCs/>
                <w:sz w:val="20"/>
                <w:szCs w:val="20"/>
              </w:rPr>
            </w:pPr>
            <w:r w:rsidRPr="0059182A">
              <w:rPr>
                <w:rFonts w:ascii="Calibri" w:hAnsi="Calibri" w:cs="Calibri"/>
                <w:b/>
                <w:bCs/>
                <w:sz w:val="20"/>
                <w:szCs w:val="20"/>
              </w:rPr>
              <w:t>-6</w:t>
            </w:r>
            <w:r w:rsidR="007B6C2A" w:rsidRPr="0059182A">
              <w:rPr>
                <w:rFonts w:ascii="Calibri" w:hAnsi="Calibri" w:cs="Calibri"/>
                <w:b/>
                <w:bCs/>
                <w:sz w:val="20"/>
                <w:szCs w:val="20"/>
              </w:rPr>
              <w:t>%</w:t>
            </w:r>
          </w:p>
        </w:tc>
        <w:tc>
          <w:tcPr>
            <w:tcW w:w="630" w:type="dxa"/>
            <w:tcBorders>
              <w:top w:val="nil"/>
              <w:left w:val="nil"/>
              <w:bottom w:val="single" w:sz="4" w:space="0" w:color="auto"/>
              <w:right w:val="nil"/>
            </w:tcBorders>
            <w:shd w:val="clear" w:color="000000" w:fill="FFFFFF"/>
            <w:noWrap/>
            <w:vAlign w:val="bottom"/>
            <w:hideMark/>
          </w:tcPr>
          <w:p w14:paraId="0785A814" w14:textId="537F1EB1" w:rsidR="007B6C2A" w:rsidRPr="0059182A" w:rsidRDefault="007B6C2A" w:rsidP="007B6C2A">
            <w:pPr>
              <w:jc w:val="right"/>
              <w:rPr>
                <w:rFonts w:eastAsia="Times New Roman" w:cstheme="minorHAnsi"/>
                <w:b/>
                <w:bCs/>
                <w:sz w:val="20"/>
                <w:szCs w:val="20"/>
              </w:rPr>
            </w:pPr>
            <w:r w:rsidRPr="0059182A">
              <w:rPr>
                <w:rFonts w:ascii="Calibri" w:hAnsi="Calibri" w:cs="Calibri"/>
                <w:b/>
                <w:bCs/>
                <w:sz w:val="20"/>
                <w:szCs w:val="20"/>
              </w:rPr>
              <w:t xml:space="preserve">260 </w:t>
            </w:r>
          </w:p>
        </w:tc>
        <w:tc>
          <w:tcPr>
            <w:tcW w:w="900" w:type="dxa"/>
            <w:tcBorders>
              <w:top w:val="nil"/>
              <w:left w:val="nil"/>
              <w:bottom w:val="single" w:sz="4" w:space="0" w:color="auto"/>
              <w:right w:val="nil"/>
            </w:tcBorders>
            <w:shd w:val="clear" w:color="auto" w:fill="BFBFBF" w:themeFill="background1" w:themeFillShade="BF"/>
            <w:noWrap/>
            <w:vAlign w:val="bottom"/>
            <w:hideMark/>
          </w:tcPr>
          <w:p w14:paraId="2D8DAFCE" w14:textId="7F525618" w:rsidR="007B6C2A" w:rsidRPr="0059182A" w:rsidRDefault="007B6C2A" w:rsidP="007B6C2A">
            <w:pPr>
              <w:jc w:val="right"/>
              <w:rPr>
                <w:rFonts w:eastAsia="Times New Roman" w:cstheme="minorHAnsi"/>
                <w:b/>
                <w:bCs/>
                <w:sz w:val="20"/>
                <w:szCs w:val="20"/>
              </w:rPr>
            </w:pPr>
            <w:r w:rsidRPr="0059182A">
              <w:rPr>
                <w:rFonts w:ascii="Calibri" w:hAnsi="Calibri" w:cs="Calibri"/>
                <w:b/>
                <w:bCs/>
                <w:sz w:val="20"/>
                <w:szCs w:val="20"/>
              </w:rPr>
              <w:t>11%</w:t>
            </w:r>
          </w:p>
        </w:tc>
        <w:tc>
          <w:tcPr>
            <w:tcW w:w="630" w:type="dxa"/>
            <w:tcBorders>
              <w:top w:val="nil"/>
              <w:left w:val="nil"/>
              <w:bottom w:val="single" w:sz="4" w:space="0" w:color="auto"/>
              <w:right w:val="nil"/>
            </w:tcBorders>
            <w:shd w:val="clear" w:color="000000" w:fill="FFFFFF"/>
            <w:noWrap/>
            <w:vAlign w:val="bottom"/>
            <w:hideMark/>
          </w:tcPr>
          <w:p w14:paraId="2F9E2F94" w14:textId="6010062D" w:rsidR="007B6C2A" w:rsidRPr="0059182A" w:rsidRDefault="007B6C2A" w:rsidP="007B6C2A">
            <w:pPr>
              <w:jc w:val="right"/>
              <w:rPr>
                <w:rFonts w:eastAsia="Times New Roman" w:cstheme="minorHAnsi"/>
                <w:sz w:val="20"/>
                <w:szCs w:val="20"/>
              </w:rPr>
            </w:pPr>
            <w:r w:rsidRPr="00146CEA">
              <w:rPr>
                <w:rFonts w:ascii="Calibri" w:hAnsi="Calibri" w:cs="Calibri"/>
                <w:sz w:val="20"/>
                <w:szCs w:val="20"/>
              </w:rPr>
              <w:t xml:space="preserve">235 </w:t>
            </w:r>
          </w:p>
        </w:tc>
        <w:tc>
          <w:tcPr>
            <w:tcW w:w="900" w:type="dxa"/>
            <w:tcBorders>
              <w:top w:val="nil"/>
              <w:left w:val="nil"/>
              <w:bottom w:val="single" w:sz="4" w:space="0" w:color="auto"/>
              <w:right w:val="nil"/>
            </w:tcBorders>
            <w:shd w:val="clear" w:color="auto" w:fill="BFBFBF" w:themeFill="background1" w:themeFillShade="BF"/>
            <w:noWrap/>
            <w:vAlign w:val="bottom"/>
            <w:hideMark/>
          </w:tcPr>
          <w:p w14:paraId="62940E04" w14:textId="08ADB166" w:rsidR="007B6C2A" w:rsidRPr="0059182A" w:rsidRDefault="007B6C2A" w:rsidP="007B6C2A">
            <w:pPr>
              <w:jc w:val="right"/>
              <w:rPr>
                <w:rFonts w:eastAsia="Times New Roman" w:cstheme="minorHAnsi"/>
                <w:sz w:val="20"/>
                <w:szCs w:val="20"/>
              </w:rPr>
            </w:pPr>
            <w:r w:rsidRPr="00146CEA">
              <w:rPr>
                <w:rFonts w:ascii="Calibri" w:hAnsi="Calibri" w:cs="Calibri"/>
                <w:sz w:val="20"/>
                <w:szCs w:val="20"/>
              </w:rPr>
              <w:t>7%</w:t>
            </w:r>
          </w:p>
        </w:tc>
        <w:tc>
          <w:tcPr>
            <w:tcW w:w="630" w:type="dxa"/>
            <w:tcBorders>
              <w:top w:val="nil"/>
              <w:left w:val="nil"/>
              <w:bottom w:val="single" w:sz="4" w:space="0" w:color="auto"/>
              <w:right w:val="nil"/>
            </w:tcBorders>
            <w:shd w:val="clear" w:color="000000" w:fill="FFFFFF"/>
            <w:noWrap/>
            <w:vAlign w:val="bottom"/>
            <w:hideMark/>
          </w:tcPr>
          <w:p w14:paraId="64EA93B5" w14:textId="1A320F42" w:rsidR="007B6C2A" w:rsidRPr="0059182A" w:rsidRDefault="007B6C2A" w:rsidP="007B6C2A">
            <w:pPr>
              <w:jc w:val="right"/>
              <w:rPr>
                <w:rFonts w:eastAsia="Times New Roman" w:cstheme="minorHAnsi"/>
                <w:sz w:val="20"/>
                <w:szCs w:val="20"/>
              </w:rPr>
            </w:pPr>
            <w:r w:rsidRPr="0059182A">
              <w:rPr>
                <w:rFonts w:ascii="Calibri" w:hAnsi="Calibri" w:cs="Calibri"/>
                <w:sz w:val="20"/>
                <w:szCs w:val="20"/>
              </w:rPr>
              <w:t xml:space="preserve">220 </w:t>
            </w:r>
          </w:p>
        </w:tc>
        <w:tc>
          <w:tcPr>
            <w:tcW w:w="900" w:type="dxa"/>
            <w:tcBorders>
              <w:top w:val="nil"/>
              <w:left w:val="nil"/>
              <w:bottom w:val="single" w:sz="4" w:space="0" w:color="auto"/>
              <w:right w:val="nil"/>
            </w:tcBorders>
            <w:shd w:val="clear" w:color="auto" w:fill="BFBFBF" w:themeFill="background1" w:themeFillShade="BF"/>
            <w:vAlign w:val="bottom"/>
          </w:tcPr>
          <w:p w14:paraId="7C3CD693" w14:textId="442D5994" w:rsidR="007B6C2A" w:rsidRPr="0059182A" w:rsidRDefault="007B6C2A" w:rsidP="007B6C2A">
            <w:pPr>
              <w:jc w:val="right"/>
              <w:rPr>
                <w:rFonts w:ascii="Calibri" w:hAnsi="Calibri" w:cs="Calibri"/>
                <w:sz w:val="20"/>
                <w:szCs w:val="20"/>
              </w:rPr>
            </w:pPr>
            <w:r w:rsidRPr="0059182A">
              <w:rPr>
                <w:rFonts w:ascii="Calibri" w:hAnsi="Calibri" w:cs="Calibri"/>
                <w:sz w:val="20"/>
                <w:szCs w:val="20"/>
              </w:rPr>
              <w:t>-29%</w:t>
            </w:r>
          </w:p>
        </w:tc>
        <w:tc>
          <w:tcPr>
            <w:tcW w:w="630" w:type="dxa"/>
            <w:tcBorders>
              <w:top w:val="nil"/>
              <w:left w:val="nil"/>
              <w:bottom w:val="single" w:sz="4" w:space="0" w:color="auto"/>
              <w:right w:val="nil"/>
            </w:tcBorders>
            <w:shd w:val="clear" w:color="000000" w:fill="FFFFFF"/>
            <w:vAlign w:val="bottom"/>
          </w:tcPr>
          <w:p w14:paraId="7E857192" w14:textId="721E4F62" w:rsidR="007B6C2A" w:rsidRPr="0059182A" w:rsidRDefault="007B6C2A" w:rsidP="007B6C2A">
            <w:pPr>
              <w:jc w:val="right"/>
              <w:rPr>
                <w:rFonts w:ascii="Calibri" w:hAnsi="Calibri" w:cs="Calibri"/>
                <w:sz w:val="20"/>
                <w:szCs w:val="20"/>
              </w:rPr>
            </w:pPr>
            <w:r w:rsidRPr="0059182A">
              <w:rPr>
                <w:rFonts w:ascii="Calibri" w:hAnsi="Calibri" w:cs="Calibri"/>
                <w:sz w:val="20"/>
                <w:szCs w:val="20"/>
              </w:rPr>
              <w:t xml:space="preserve">310 </w:t>
            </w:r>
          </w:p>
        </w:tc>
      </w:tr>
      <w:tr w:rsidR="007B6C2A" w:rsidRPr="004E6649" w14:paraId="0F66B476" w14:textId="6062E699" w:rsidTr="00155FD9">
        <w:trPr>
          <w:trHeight w:val="170"/>
          <w:jc w:val="center"/>
        </w:trPr>
        <w:tc>
          <w:tcPr>
            <w:tcW w:w="4050" w:type="dxa"/>
            <w:tcBorders>
              <w:top w:val="nil"/>
              <w:left w:val="nil"/>
              <w:bottom w:val="single" w:sz="4" w:space="0" w:color="auto"/>
              <w:right w:val="nil"/>
            </w:tcBorders>
            <w:shd w:val="clear" w:color="000000" w:fill="FFFFFF"/>
            <w:noWrap/>
            <w:vAlign w:val="bottom"/>
            <w:hideMark/>
          </w:tcPr>
          <w:p w14:paraId="3B84CA7A" w14:textId="2AFDBC66" w:rsidR="007B6C2A" w:rsidRPr="00B2223B" w:rsidRDefault="007B6C2A" w:rsidP="007B6C2A">
            <w:pPr>
              <w:rPr>
                <w:rFonts w:eastAsia="Times New Roman" w:cstheme="minorHAnsi"/>
                <w:sz w:val="20"/>
                <w:szCs w:val="20"/>
              </w:rPr>
            </w:pPr>
            <w:r w:rsidRPr="00B2223B">
              <w:rPr>
                <w:rFonts w:ascii="Calibri" w:hAnsi="Calibri" w:cs="Calibri"/>
                <w:b/>
                <w:bCs/>
                <w:sz w:val="20"/>
                <w:szCs w:val="20"/>
              </w:rPr>
              <w:t>Total Liabilities</w:t>
            </w:r>
          </w:p>
        </w:tc>
        <w:tc>
          <w:tcPr>
            <w:tcW w:w="630" w:type="dxa"/>
            <w:tcBorders>
              <w:top w:val="nil"/>
              <w:left w:val="nil"/>
              <w:bottom w:val="single" w:sz="4" w:space="0" w:color="auto"/>
              <w:right w:val="nil"/>
            </w:tcBorders>
            <w:shd w:val="clear" w:color="000000" w:fill="FFFFFF"/>
            <w:vAlign w:val="bottom"/>
          </w:tcPr>
          <w:p w14:paraId="7058819C" w14:textId="78AF761A" w:rsidR="007B6C2A" w:rsidRPr="0059182A" w:rsidRDefault="0059182A" w:rsidP="007B6C2A">
            <w:pPr>
              <w:jc w:val="right"/>
              <w:rPr>
                <w:rFonts w:eastAsia="Times New Roman" w:cstheme="minorHAnsi"/>
                <w:b/>
                <w:bCs/>
                <w:sz w:val="20"/>
                <w:szCs w:val="20"/>
              </w:rPr>
            </w:pPr>
            <w:r w:rsidRPr="0059182A">
              <w:rPr>
                <w:rFonts w:ascii="Calibri" w:hAnsi="Calibri" w:cs="Calibri"/>
                <w:b/>
                <w:bCs/>
                <w:sz w:val="20"/>
                <w:szCs w:val="20"/>
              </w:rPr>
              <w:t>-</w:t>
            </w:r>
          </w:p>
        </w:tc>
        <w:tc>
          <w:tcPr>
            <w:tcW w:w="894" w:type="dxa"/>
            <w:tcBorders>
              <w:top w:val="nil"/>
              <w:left w:val="nil"/>
              <w:bottom w:val="single" w:sz="4" w:space="0" w:color="auto"/>
              <w:right w:val="nil"/>
            </w:tcBorders>
            <w:shd w:val="clear" w:color="auto" w:fill="BFBFBF" w:themeFill="background1" w:themeFillShade="BF"/>
            <w:vAlign w:val="bottom"/>
          </w:tcPr>
          <w:p w14:paraId="0E712EF8" w14:textId="446A18BB" w:rsidR="007B6C2A" w:rsidRPr="0059182A" w:rsidRDefault="00146CEA" w:rsidP="007B6C2A">
            <w:pPr>
              <w:jc w:val="right"/>
              <w:rPr>
                <w:rFonts w:eastAsia="Times New Roman" w:cstheme="minorHAnsi"/>
                <w:b/>
                <w:bCs/>
                <w:sz w:val="20"/>
                <w:szCs w:val="20"/>
              </w:rPr>
            </w:pPr>
            <w:r>
              <w:rPr>
                <w:rFonts w:ascii="Calibri" w:hAnsi="Calibri" w:cs="Calibri"/>
                <w:b/>
                <w:bCs/>
                <w:sz w:val="20"/>
                <w:szCs w:val="20"/>
              </w:rPr>
              <w:t>-</w:t>
            </w:r>
          </w:p>
        </w:tc>
        <w:tc>
          <w:tcPr>
            <w:tcW w:w="630" w:type="dxa"/>
            <w:tcBorders>
              <w:top w:val="nil"/>
              <w:left w:val="nil"/>
              <w:bottom w:val="single" w:sz="4" w:space="0" w:color="auto"/>
              <w:right w:val="nil"/>
            </w:tcBorders>
            <w:shd w:val="clear" w:color="000000" w:fill="FFFFFF"/>
            <w:noWrap/>
            <w:vAlign w:val="bottom"/>
            <w:hideMark/>
          </w:tcPr>
          <w:p w14:paraId="272385C9" w14:textId="32AF6466" w:rsidR="007B6C2A" w:rsidRPr="0059182A" w:rsidRDefault="007B6C2A" w:rsidP="007B6C2A">
            <w:pPr>
              <w:jc w:val="right"/>
              <w:rPr>
                <w:rFonts w:eastAsia="Times New Roman" w:cstheme="minorHAnsi"/>
                <w:b/>
                <w:bCs/>
                <w:sz w:val="20"/>
                <w:szCs w:val="20"/>
              </w:rPr>
            </w:pPr>
            <w:r w:rsidRPr="0059182A">
              <w:rPr>
                <w:rFonts w:ascii="Calibri" w:hAnsi="Calibri" w:cs="Calibri"/>
                <w:b/>
                <w:bCs/>
                <w:sz w:val="20"/>
                <w:szCs w:val="20"/>
              </w:rPr>
              <w:t>34</w:t>
            </w:r>
          </w:p>
        </w:tc>
        <w:tc>
          <w:tcPr>
            <w:tcW w:w="900" w:type="dxa"/>
            <w:tcBorders>
              <w:top w:val="nil"/>
              <w:left w:val="nil"/>
              <w:bottom w:val="single" w:sz="4" w:space="0" w:color="auto"/>
              <w:right w:val="nil"/>
            </w:tcBorders>
            <w:shd w:val="clear" w:color="auto" w:fill="BFBFBF" w:themeFill="background1" w:themeFillShade="BF"/>
            <w:noWrap/>
            <w:vAlign w:val="bottom"/>
            <w:hideMark/>
          </w:tcPr>
          <w:p w14:paraId="18D03182" w14:textId="1210C660" w:rsidR="007B6C2A" w:rsidRPr="0059182A" w:rsidRDefault="00146CEA" w:rsidP="007B6C2A">
            <w:pPr>
              <w:jc w:val="right"/>
              <w:rPr>
                <w:rFonts w:eastAsia="Times New Roman" w:cstheme="minorHAnsi"/>
                <w:b/>
                <w:bCs/>
                <w:sz w:val="20"/>
                <w:szCs w:val="20"/>
              </w:rPr>
            </w:pPr>
            <w:r>
              <w:rPr>
                <w:rFonts w:ascii="Calibri" w:hAnsi="Calibri" w:cs="Calibri"/>
                <w:b/>
                <w:bCs/>
                <w:sz w:val="20"/>
                <w:szCs w:val="20"/>
              </w:rPr>
              <w:t>-</w:t>
            </w:r>
          </w:p>
        </w:tc>
        <w:tc>
          <w:tcPr>
            <w:tcW w:w="630" w:type="dxa"/>
            <w:tcBorders>
              <w:top w:val="nil"/>
              <w:left w:val="nil"/>
              <w:bottom w:val="single" w:sz="4" w:space="0" w:color="auto"/>
              <w:right w:val="nil"/>
            </w:tcBorders>
            <w:shd w:val="clear" w:color="000000" w:fill="FFFFFF"/>
            <w:noWrap/>
            <w:vAlign w:val="bottom"/>
            <w:hideMark/>
          </w:tcPr>
          <w:p w14:paraId="060818A1" w14:textId="37C289A7" w:rsidR="007B6C2A" w:rsidRPr="0059182A" w:rsidRDefault="007B6C2A" w:rsidP="007B6C2A">
            <w:pPr>
              <w:jc w:val="right"/>
              <w:rPr>
                <w:rFonts w:eastAsia="Times New Roman" w:cstheme="minorHAnsi"/>
                <w:sz w:val="20"/>
                <w:szCs w:val="20"/>
              </w:rPr>
            </w:pPr>
            <w:r w:rsidRPr="00F50B8A">
              <w:rPr>
                <w:rFonts w:ascii="Calibri" w:hAnsi="Calibri" w:cs="Calibri"/>
                <w:sz w:val="20"/>
                <w:szCs w:val="20"/>
              </w:rPr>
              <w:t>-</w:t>
            </w:r>
          </w:p>
        </w:tc>
        <w:tc>
          <w:tcPr>
            <w:tcW w:w="900" w:type="dxa"/>
            <w:tcBorders>
              <w:top w:val="nil"/>
              <w:left w:val="nil"/>
              <w:bottom w:val="single" w:sz="4" w:space="0" w:color="auto"/>
              <w:right w:val="nil"/>
            </w:tcBorders>
            <w:shd w:val="clear" w:color="auto" w:fill="BFBFBF" w:themeFill="background1" w:themeFillShade="BF"/>
            <w:noWrap/>
            <w:vAlign w:val="bottom"/>
            <w:hideMark/>
          </w:tcPr>
          <w:p w14:paraId="7FA58824" w14:textId="58B32052" w:rsidR="007B6C2A" w:rsidRPr="0059182A" w:rsidRDefault="00146CEA" w:rsidP="007B6C2A">
            <w:pPr>
              <w:jc w:val="right"/>
              <w:rPr>
                <w:rFonts w:eastAsia="Times New Roman" w:cstheme="minorHAnsi"/>
                <w:sz w:val="20"/>
                <w:szCs w:val="20"/>
              </w:rPr>
            </w:pPr>
            <w:r>
              <w:rPr>
                <w:rFonts w:ascii="Calibri" w:hAnsi="Calibri" w:cs="Calibri"/>
                <w:sz w:val="20"/>
                <w:szCs w:val="20"/>
              </w:rPr>
              <w:t>-</w:t>
            </w:r>
          </w:p>
        </w:tc>
        <w:tc>
          <w:tcPr>
            <w:tcW w:w="630" w:type="dxa"/>
            <w:tcBorders>
              <w:top w:val="nil"/>
              <w:left w:val="nil"/>
              <w:bottom w:val="single" w:sz="4" w:space="0" w:color="auto"/>
              <w:right w:val="nil"/>
            </w:tcBorders>
            <w:shd w:val="clear" w:color="000000" w:fill="FFFFFF"/>
            <w:noWrap/>
            <w:vAlign w:val="bottom"/>
            <w:hideMark/>
          </w:tcPr>
          <w:p w14:paraId="0C64BB00" w14:textId="0725D155" w:rsidR="007B6C2A" w:rsidRPr="0059182A" w:rsidRDefault="007B6C2A" w:rsidP="007B6C2A">
            <w:pPr>
              <w:jc w:val="right"/>
              <w:rPr>
                <w:rFonts w:eastAsia="Times New Roman" w:cstheme="minorHAnsi"/>
                <w:sz w:val="20"/>
                <w:szCs w:val="20"/>
              </w:rPr>
            </w:pPr>
            <w:r w:rsidRPr="0059182A">
              <w:rPr>
                <w:rFonts w:ascii="Calibri" w:hAnsi="Calibri" w:cs="Calibri"/>
                <w:sz w:val="20"/>
                <w:szCs w:val="20"/>
              </w:rPr>
              <w:t>- </w:t>
            </w:r>
          </w:p>
        </w:tc>
        <w:tc>
          <w:tcPr>
            <w:tcW w:w="900" w:type="dxa"/>
            <w:tcBorders>
              <w:top w:val="nil"/>
              <w:left w:val="nil"/>
              <w:bottom w:val="single" w:sz="4" w:space="0" w:color="auto"/>
              <w:right w:val="nil"/>
            </w:tcBorders>
            <w:shd w:val="clear" w:color="auto" w:fill="BFBFBF" w:themeFill="background1" w:themeFillShade="BF"/>
            <w:vAlign w:val="bottom"/>
          </w:tcPr>
          <w:p w14:paraId="4AC35062" w14:textId="6B043C91" w:rsidR="007B6C2A" w:rsidRPr="0059182A" w:rsidRDefault="00146CEA" w:rsidP="007B6C2A">
            <w:pPr>
              <w:jc w:val="right"/>
              <w:rPr>
                <w:rFonts w:ascii="Calibri" w:hAnsi="Calibri" w:cs="Calibri"/>
                <w:sz w:val="20"/>
                <w:szCs w:val="20"/>
              </w:rPr>
            </w:pPr>
            <w:r>
              <w:rPr>
                <w:rFonts w:ascii="Calibri" w:hAnsi="Calibri" w:cs="Calibri"/>
                <w:sz w:val="20"/>
                <w:szCs w:val="20"/>
              </w:rPr>
              <w:t>-</w:t>
            </w:r>
          </w:p>
        </w:tc>
        <w:tc>
          <w:tcPr>
            <w:tcW w:w="630" w:type="dxa"/>
            <w:tcBorders>
              <w:top w:val="nil"/>
              <w:left w:val="nil"/>
              <w:bottom w:val="single" w:sz="4" w:space="0" w:color="auto"/>
              <w:right w:val="nil"/>
            </w:tcBorders>
            <w:shd w:val="clear" w:color="000000" w:fill="FFFFFF"/>
            <w:vAlign w:val="bottom"/>
          </w:tcPr>
          <w:p w14:paraId="4D355F76" w14:textId="30253E7D" w:rsidR="007B6C2A" w:rsidRPr="0059182A" w:rsidRDefault="007B6C2A" w:rsidP="007B6C2A">
            <w:pPr>
              <w:jc w:val="right"/>
              <w:rPr>
                <w:rFonts w:ascii="Calibri" w:hAnsi="Calibri" w:cs="Calibri"/>
                <w:sz w:val="20"/>
                <w:szCs w:val="20"/>
              </w:rPr>
            </w:pPr>
            <w:r w:rsidRPr="0059182A">
              <w:rPr>
                <w:rFonts w:ascii="Calibri" w:hAnsi="Calibri" w:cs="Calibri"/>
                <w:sz w:val="20"/>
                <w:szCs w:val="20"/>
              </w:rPr>
              <w:t>- </w:t>
            </w:r>
          </w:p>
        </w:tc>
      </w:tr>
      <w:tr w:rsidR="007B6C2A" w:rsidRPr="004E6649" w14:paraId="3D968C80" w14:textId="139C1094" w:rsidTr="00155FD9">
        <w:trPr>
          <w:trHeight w:val="71"/>
          <w:jc w:val="center"/>
        </w:trPr>
        <w:tc>
          <w:tcPr>
            <w:tcW w:w="4050" w:type="dxa"/>
            <w:tcBorders>
              <w:top w:val="nil"/>
              <w:left w:val="nil"/>
              <w:bottom w:val="nil"/>
              <w:right w:val="nil"/>
            </w:tcBorders>
            <w:shd w:val="clear" w:color="000000" w:fill="FFFFFF"/>
            <w:noWrap/>
            <w:vAlign w:val="bottom"/>
            <w:hideMark/>
          </w:tcPr>
          <w:p w14:paraId="7225D4F4" w14:textId="25BEA346" w:rsidR="007B6C2A" w:rsidRPr="00B2223B" w:rsidRDefault="007B6C2A" w:rsidP="007B6C2A">
            <w:pPr>
              <w:rPr>
                <w:rFonts w:eastAsia="Times New Roman" w:cstheme="minorHAnsi"/>
                <w:sz w:val="20"/>
                <w:szCs w:val="20"/>
              </w:rPr>
            </w:pPr>
            <w:r w:rsidRPr="00B2223B">
              <w:rPr>
                <w:rFonts w:ascii="Calibri" w:hAnsi="Calibri" w:cs="Calibri"/>
                <w:sz w:val="20"/>
                <w:szCs w:val="20"/>
              </w:rPr>
              <w:t>Pensions</w:t>
            </w:r>
          </w:p>
        </w:tc>
        <w:tc>
          <w:tcPr>
            <w:tcW w:w="630" w:type="dxa"/>
            <w:tcBorders>
              <w:top w:val="nil"/>
              <w:left w:val="nil"/>
              <w:bottom w:val="nil"/>
              <w:right w:val="nil"/>
            </w:tcBorders>
            <w:shd w:val="clear" w:color="000000" w:fill="FFFFFF"/>
            <w:vAlign w:val="bottom"/>
          </w:tcPr>
          <w:p w14:paraId="3067766C" w14:textId="21722252" w:rsidR="007B6C2A" w:rsidRPr="0059182A" w:rsidRDefault="007B6C2A" w:rsidP="007B6C2A">
            <w:pPr>
              <w:jc w:val="right"/>
              <w:rPr>
                <w:rFonts w:eastAsia="Times New Roman" w:cstheme="minorHAnsi"/>
                <w:b/>
                <w:bCs/>
                <w:sz w:val="20"/>
                <w:szCs w:val="20"/>
              </w:rPr>
            </w:pPr>
            <w:r w:rsidRPr="0059182A">
              <w:rPr>
                <w:rFonts w:ascii="Calibri" w:hAnsi="Calibri" w:cs="Calibri"/>
                <w:b/>
                <w:bCs/>
                <w:sz w:val="20"/>
                <w:szCs w:val="20"/>
              </w:rPr>
              <w:t>1</w:t>
            </w:r>
            <w:r w:rsidR="009A1BDB" w:rsidRPr="0059182A">
              <w:rPr>
                <w:rFonts w:ascii="Calibri" w:hAnsi="Calibri" w:cs="Calibri"/>
                <w:b/>
                <w:bCs/>
                <w:sz w:val="20"/>
                <w:szCs w:val="20"/>
              </w:rPr>
              <w:t>6</w:t>
            </w:r>
          </w:p>
        </w:tc>
        <w:tc>
          <w:tcPr>
            <w:tcW w:w="894" w:type="dxa"/>
            <w:tcBorders>
              <w:top w:val="nil"/>
              <w:left w:val="nil"/>
              <w:bottom w:val="nil"/>
              <w:right w:val="nil"/>
            </w:tcBorders>
            <w:shd w:val="clear" w:color="auto" w:fill="BFBFBF" w:themeFill="background1" w:themeFillShade="BF"/>
            <w:vAlign w:val="bottom"/>
          </w:tcPr>
          <w:p w14:paraId="0C36E8BA" w14:textId="1044C594" w:rsidR="007B6C2A" w:rsidRPr="0059182A" w:rsidRDefault="009A1BDB" w:rsidP="007B6C2A">
            <w:pPr>
              <w:jc w:val="right"/>
              <w:rPr>
                <w:rFonts w:eastAsia="Times New Roman" w:cstheme="minorHAnsi"/>
                <w:b/>
                <w:bCs/>
                <w:sz w:val="20"/>
                <w:szCs w:val="20"/>
              </w:rPr>
            </w:pPr>
            <w:r w:rsidRPr="0059182A">
              <w:rPr>
                <w:rFonts w:ascii="Calibri" w:hAnsi="Calibri" w:cs="Calibri"/>
                <w:b/>
                <w:bCs/>
                <w:sz w:val="20"/>
                <w:szCs w:val="20"/>
              </w:rPr>
              <w:t>-11%</w:t>
            </w:r>
          </w:p>
        </w:tc>
        <w:tc>
          <w:tcPr>
            <w:tcW w:w="630" w:type="dxa"/>
            <w:tcBorders>
              <w:top w:val="nil"/>
              <w:left w:val="nil"/>
              <w:bottom w:val="nil"/>
              <w:right w:val="nil"/>
            </w:tcBorders>
            <w:shd w:val="clear" w:color="000000" w:fill="FFFFFF"/>
            <w:noWrap/>
            <w:vAlign w:val="bottom"/>
            <w:hideMark/>
          </w:tcPr>
          <w:p w14:paraId="318AD2BB" w14:textId="7182E2C1" w:rsidR="007B6C2A" w:rsidRPr="0059182A" w:rsidRDefault="007B6C2A" w:rsidP="007B6C2A">
            <w:pPr>
              <w:jc w:val="right"/>
              <w:rPr>
                <w:rFonts w:eastAsia="Times New Roman" w:cstheme="minorHAnsi"/>
                <w:b/>
                <w:bCs/>
                <w:sz w:val="20"/>
                <w:szCs w:val="20"/>
              </w:rPr>
            </w:pPr>
            <w:r w:rsidRPr="0059182A">
              <w:rPr>
                <w:rFonts w:ascii="Calibri" w:hAnsi="Calibri" w:cs="Calibri"/>
                <w:b/>
                <w:bCs/>
                <w:sz w:val="20"/>
                <w:szCs w:val="20"/>
              </w:rPr>
              <w:t>18</w:t>
            </w:r>
          </w:p>
        </w:tc>
        <w:tc>
          <w:tcPr>
            <w:tcW w:w="900" w:type="dxa"/>
            <w:tcBorders>
              <w:top w:val="nil"/>
              <w:left w:val="nil"/>
              <w:bottom w:val="nil"/>
              <w:right w:val="nil"/>
            </w:tcBorders>
            <w:shd w:val="clear" w:color="auto" w:fill="BFBFBF" w:themeFill="background1" w:themeFillShade="BF"/>
            <w:noWrap/>
            <w:vAlign w:val="bottom"/>
            <w:hideMark/>
          </w:tcPr>
          <w:p w14:paraId="35C31B63" w14:textId="2797A381" w:rsidR="007B6C2A" w:rsidRPr="0059182A" w:rsidRDefault="0059182A" w:rsidP="007B6C2A">
            <w:pPr>
              <w:jc w:val="right"/>
              <w:rPr>
                <w:rFonts w:eastAsia="Times New Roman" w:cstheme="minorHAnsi"/>
                <w:b/>
                <w:bCs/>
                <w:sz w:val="20"/>
                <w:szCs w:val="20"/>
              </w:rPr>
            </w:pPr>
            <w:r w:rsidRPr="0059182A">
              <w:rPr>
                <w:rFonts w:ascii="Calibri" w:hAnsi="Calibri" w:cs="Calibri"/>
                <w:b/>
                <w:bCs/>
                <w:sz w:val="20"/>
                <w:szCs w:val="20"/>
              </w:rPr>
              <w:t>-5</w:t>
            </w:r>
            <w:r w:rsidR="007B6C2A" w:rsidRPr="0059182A">
              <w:rPr>
                <w:rFonts w:ascii="Calibri" w:hAnsi="Calibri" w:cs="Calibri"/>
                <w:b/>
                <w:bCs/>
                <w:sz w:val="20"/>
                <w:szCs w:val="20"/>
              </w:rPr>
              <w:t>%</w:t>
            </w:r>
          </w:p>
        </w:tc>
        <w:tc>
          <w:tcPr>
            <w:tcW w:w="630" w:type="dxa"/>
            <w:tcBorders>
              <w:top w:val="nil"/>
              <w:left w:val="nil"/>
              <w:bottom w:val="nil"/>
              <w:right w:val="nil"/>
            </w:tcBorders>
            <w:shd w:val="clear" w:color="000000" w:fill="FFFFFF"/>
            <w:noWrap/>
            <w:vAlign w:val="bottom"/>
            <w:hideMark/>
          </w:tcPr>
          <w:p w14:paraId="18FE7B6F" w14:textId="1033DB58" w:rsidR="007B6C2A" w:rsidRPr="0059182A" w:rsidRDefault="007B6C2A" w:rsidP="007B6C2A">
            <w:pPr>
              <w:jc w:val="right"/>
              <w:rPr>
                <w:rFonts w:eastAsia="Times New Roman" w:cstheme="minorHAnsi"/>
                <w:sz w:val="20"/>
                <w:szCs w:val="20"/>
              </w:rPr>
            </w:pPr>
            <w:r w:rsidRPr="00146CEA">
              <w:rPr>
                <w:rFonts w:ascii="Calibri" w:hAnsi="Calibri" w:cs="Calibri"/>
                <w:sz w:val="20"/>
                <w:szCs w:val="20"/>
              </w:rPr>
              <w:t xml:space="preserve">19 </w:t>
            </w:r>
          </w:p>
        </w:tc>
        <w:tc>
          <w:tcPr>
            <w:tcW w:w="900" w:type="dxa"/>
            <w:tcBorders>
              <w:top w:val="nil"/>
              <w:left w:val="nil"/>
              <w:bottom w:val="nil"/>
              <w:right w:val="nil"/>
            </w:tcBorders>
            <w:shd w:val="clear" w:color="auto" w:fill="BFBFBF" w:themeFill="background1" w:themeFillShade="BF"/>
            <w:noWrap/>
            <w:vAlign w:val="bottom"/>
            <w:hideMark/>
          </w:tcPr>
          <w:p w14:paraId="75D21C53" w14:textId="2CF4F7C8" w:rsidR="007B6C2A" w:rsidRPr="0059182A" w:rsidRDefault="007B6C2A" w:rsidP="007B6C2A">
            <w:pPr>
              <w:jc w:val="right"/>
              <w:rPr>
                <w:rFonts w:eastAsia="Times New Roman" w:cstheme="minorHAnsi"/>
                <w:sz w:val="20"/>
                <w:szCs w:val="20"/>
              </w:rPr>
            </w:pPr>
            <w:r w:rsidRPr="00146CEA">
              <w:rPr>
                <w:rFonts w:ascii="Calibri" w:hAnsi="Calibri" w:cs="Calibri"/>
                <w:sz w:val="20"/>
                <w:szCs w:val="20"/>
              </w:rPr>
              <w:t>-5%</w:t>
            </w:r>
          </w:p>
        </w:tc>
        <w:tc>
          <w:tcPr>
            <w:tcW w:w="630" w:type="dxa"/>
            <w:tcBorders>
              <w:top w:val="nil"/>
              <w:left w:val="nil"/>
              <w:bottom w:val="nil"/>
              <w:right w:val="nil"/>
            </w:tcBorders>
            <w:shd w:val="clear" w:color="000000" w:fill="FFFFFF"/>
            <w:noWrap/>
            <w:vAlign w:val="bottom"/>
            <w:hideMark/>
          </w:tcPr>
          <w:p w14:paraId="1895958A" w14:textId="637305E0" w:rsidR="007B6C2A" w:rsidRPr="0059182A" w:rsidRDefault="007B6C2A" w:rsidP="007B6C2A">
            <w:pPr>
              <w:jc w:val="right"/>
              <w:rPr>
                <w:rFonts w:eastAsia="Times New Roman" w:cstheme="minorHAnsi"/>
                <w:sz w:val="20"/>
                <w:szCs w:val="20"/>
              </w:rPr>
            </w:pPr>
            <w:r w:rsidRPr="0059182A">
              <w:rPr>
                <w:rFonts w:ascii="Calibri" w:hAnsi="Calibri" w:cs="Calibri"/>
                <w:sz w:val="20"/>
                <w:szCs w:val="20"/>
              </w:rPr>
              <w:t xml:space="preserve">20 </w:t>
            </w:r>
          </w:p>
        </w:tc>
        <w:tc>
          <w:tcPr>
            <w:tcW w:w="900" w:type="dxa"/>
            <w:tcBorders>
              <w:top w:val="nil"/>
              <w:left w:val="nil"/>
              <w:bottom w:val="nil"/>
              <w:right w:val="nil"/>
            </w:tcBorders>
            <w:shd w:val="clear" w:color="auto" w:fill="BFBFBF" w:themeFill="background1" w:themeFillShade="BF"/>
            <w:vAlign w:val="bottom"/>
          </w:tcPr>
          <w:p w14:paraId="1DD04D64" w14:textId="420126C5" w:rsidR="007B6C2A" w:rsidRPr="0059182A" w:rsidRDefault="007B6C2A" w:rsidP="007B6C2A">
            <w:pPr>
              <w:jc w:val="right"/>
              <w:rPr>
                <w:rFonts w:ascii="Calibri" w:hAnsi="Calibri" w:cs="Calibri"/>
                <w:sz w:val="20"/>
                <w:szCs w:val="20"/>
              </w:rPr>
            </w:pPr>
            <w:r w:rsidRPr="0059182A">
              <w:rPr>
                <w:rFonts w:ascii="Calibri" w:hAnsi="Calibri" w:cs="Calibri"/>
                <w:sz w:val="20"/>
                <w:szCs w:val="20"/>
              </w:rPr>
              <w:t>-20%</w:t>
            </w:r>
          </w:p>
        </w:tc>
        <w:tc>
          <w:tcPr>
            <w:tcW w:w="630" w:type="dxa"/>
            <w:tcBorders>
              <w:top w:val="nil"/>
              <w:left w:val="nil"/>
              <w:bottom w:val="nil"/>
              <w:right w:val="nil"/>
            </w:tcBorders>
            <w:shd w:val="clear" w:color="000000" w:fill="FFFFFF"/>
            <w:vAlign w:val="bottom"/>
          </w:tcPr>
          <w:p w14:paraId="6534C805" w14:textId="1A6B1D44" w:rsidR="007B6C2A" w:rsidRPr="0059182A" w:rsidRDefault="007B6C2A" w:rsidP="007B6C2A">
            <w:pPr>
              <w:jc w:val="right"/>
              <w:rPr>
                <w:rFonts w:ascii="Calibri" w:hAnsi="Calibri" w:cs="Calibri"/>
                <w:sz w:val="20"/>
                <w:szCs w:val="20"/>
              </w:rPr>
            </w:pPr>
            <w:r w:rsidRPr="0059182A">
              <w:rPr>
                <w:rFonts w:ascii="Calibri" w:hAnsi="Calibri" w:cs="Calibri"/>
                <w:sz w:val="20"/>
                <w:szCs w:val="20"/>
              </w:rPr>
              <w:t xml:space="preserve">25 </w:t>
            </w:r>
          </w:p>
        </w:tc>
      </w:tr>
      <w:tr w:rsidR="007B6C2A" w:rsidRPr="004E6649" w14:paraId="6932299A" w14:textId="34EA41E2" w:rsidTr="00155FD9">
        <w:trPr>
          <w:trHeight w:val="72"/>
          <w:jc w:val="center"/>
        </w:trPr>
        <w:tc>
          <w:tcPr>
            <w:tcW w:w="4050" w:type="dxa"/>
            <w:tcBorders>
              <w:top w:val="nil"/>
              <w:left w:val="nil"/>
              <w:bottom w:val="nil"/>
              <w:right w:val="nil"/>
            </w:tcBorders>
            <w:shd w:val="clear" w:color="000000" w:fill="FFFFFF"/>
            <w:noWrap/>
            <w:vAlign w:val="bottom"/>
            <w:hideMark/>
          </w:tcPr>
          <w:p w14:paraId="5398DB46" w14:textId="0966A6EA" w:rsidR="007B6C2A" w:rsidRPr="00B2223B" w:rsidRDefault="007B6C2A" w:rsidP="007B6C2A">
            <w:pPr>
              <w:rPr>
                <w:rFonts w:eastAsia="Times New Roman" w:cstheme="minorHAnsi"/>
                <w:sz w:val="20"/>
                <w:szCs w:val="20"/>
              </w:rPr>
            </w:pPr>
            <w:r w:rsidRPr="00B2223B">
              <w:rPr>
                <w:rFonts w:ascii="Calibri" w:hAnsi="Calibri" w:cs="Calibri"/>
                <w:sz w:val="20"/>
                <w:szCs w:val="20"/>
              </w:rPr>
              <w:t>Postemployment benefits other than pensions</w:t>
            </w:r>
          </w:p>
        </w:tc>
        <w:tc>
          <w:tcPr>
            <w:tcW w:w="630" w:type="dxa"/>
            <w:tcBorders>
              <w:top w:val="nil"/>
              <w:left w:val="nil"/>
              <w:bottom w:val="nil"/>
              <w:right w:val="nil"/>
            </w:tcBorders>
            <w:shd w:val="clear" w:color="000000" w:fill="FFFFFF"/>
            <w:vAlign w:val="bottom"/>
          </w:tcPr>
          <w:p w14:paraId="2A20DEED" w14:textId="30D41254" w:rsidR="007B6C2A" w:rsidRPr="0059182A" w:rsidRDefault="009A1BDB" w:rsidP="007B6C2A">
            <w:pPr>
              <w:jc w:val="right"/>
              <w:rPr>
                <w:rFonts w:eastAsia="Times New Roman" w:cstheme="minorHAnsi"/>
                <w:b/>
                <w:bCs/>
                <w:sz w:val="20"/>
                <w:szCs w:val="20"/>
              </w:rPr>
            </w:pPr>
            <w:r w:rsidRPr="0059182A">
              <w:rPr>
                <w:rFonts w:ascii="Calibri" w:hAnsi="Calibri" w:cs="Calibri"/>
                <w:b/>
                <w:bCs/>
                <w:sz w:val="20"/>
                <w:szCs w:val="20"/>
              </w:rPr>
              <w:t>215</w:t>
            </w:r>
          </w:p>
        </w:tc>
        <w:tc>
          <w:tcPr>
            <w:tcW w:w="894" w:type="dxa"/>
            <w:tcBorders>
              <w:top w:val="nil"/>
              <w:left w:val="nil"/>
              <w:bottom w:val="nil"/>
              <w:right w:val="nil"/>
            </w:tcBorders>
            <w:shd w:val="clear" w:color="auto" w:fill="BFBFBF" w:themeFill="background1" w:themeFillShade="BF"/>
            <w:vAlign w:val="bottom"/>
          </w:tcPr>
          <w:p w14:paraId="4A150369" w14:textId="2DFEF2E6" w:rsidR="007B6C2A" w:rsidRPr="0059182A" w:rsidRDefault="009A1BDB" w:rsidP="007B6C2A">
            <w:pPr>
              <w:jc w:val="right"/>
              <w:rPr>
                <w:rFonts w:eastAsia="Times New Roman" w:cstheme="minorHAnsi"/>
                <w:b/>
                <w:bCs/>
                <w:sz w:val="20"/>
                <w:szCs w:val="20"/>
              </w:rPr>
            </w:pPr>
            <w:r w:rsidRPr="0059182A">
              <w:rPr>
                <w:rFonts w:ascii="Calibri" w:hAnsi="Calibri" w:cs="Calibri"/>
                <w:b/>
                <w:bCs/>
                <w:sz w:val="20"/>
                <w:szCs w:val="20"/>
              </w:rPr>
              <w:t>10%</w:t>
            </w:r>
          </w:p>
        </w:tc>
        <w:tc>
          <w:tcPr>
            <w:tcW w:w="630" w:type="dxa"/>
            <w:tcBorders>
              <w:top w:val="nil"/>
              <w:left w:val="nil"/>
              <w:bottom w:val="nil"/>
              <w:right w:val="nil"/>
            </w:tcBorders>
            <w:shd w:val="clear" w:color="000000" w:fill="FFFFFF"/>
            <w:noWrap/>
            <w:vAlign w:val="bottom"/>
            <w:hideMark/>
          </w:tcPr>
          <w:p w14:paraId="2330C0C4" w14:textId="3ACC4755" w:rsidR="007B6C2A" w:rsidRPr="0059182A" w:rsidRDefault="007B6C2A" w:rsidP="007B6C2A">
            <w:pPr>
              <w:jc w:val="right"/>
              <w:rPr>
                <w:rFonts w:eastAsia="Times New Roman" w:cstheme="minorHAnsi"/>
                <w:b/>
                <w:bCs/>
                <w:sz w:val="20"/>
                <w:szCs w:val="20"/>
              </w:rPr>
            </w:pPr>
            <w:r w:rsidRPr="0059182A">
              <w:rPr>
                <w:rFonts w:ascii="Calibri" w:hAnsi="Calibri" w:cs="Calibri"/>
                <w:b/>
                <w:bCs/>
                <w:sz w:val="20"/>
                <w:szCs w:val="20"/>
              </w:rPr>
              <w:t>196</w:t>
            </w:r>
          </w:p>
        </w:tc>
        <w:tc>
          <w:tcPr>
            <w:tcW w:w="900" w:type="dxa"/>
            <w:tcBorders>
              <w:top w:val="nil"/>
              <w:left w:val="nil"/>
              <w:bottom w:val="nil"/>
              <w:right w:val="nil"/>
            </w:tcBorders>
            <w:shd w:val="clear" w:color="auto" w:fill="BFBFBF" w:themeFill="background1" w:themeFillShade="BF"/>
            <w:noWrap/>
            <w:vAlign w:val="bottom"/>
            <w:hideMark/>
          </w:tcPr>
          <w:p w14:paraId="205FEF14" w14:textId="3CE75F93" w:rsidR="007B6C2A" w:rsidRPr="0059182A" w:rsidRDefault="0059182A" w:rsidP="007B6C2A">
            <w:pPr>
              <w:jc w:val="right"/>
              <w:rPr>
                <w:rFonts w:eastAsia="Times New Roman" w:cstheme="minorHAnsi"/>
                <w:b/>
                <w:bCs/>
                <w:sz w:val="20"/>
                <w:szCs w:val="20"/>
              </w:rPr>
            </w:pPr>
            <w:r w:rsidRPr="0059182A">
              <w:rPr>
                <w:rFonts w:ascii="Calibri" w:hAnsi="Calibri" w:cs="Calibri"/>
                <w:b/>
                <w:bCs/>
                <w:sz w:val="20"/>
                <w:szCs w:val="20"/>
              </w:rPr>
              <w:t>13</w:t>
            </w:r>
            <w:r w:rsidR="007B6C2A" w:rsidRPr="0059182A">
              <w:rPr>
                <w:rFonts w:ascii="Calibri" w:hAnsi="Calibri" w:cs="Calibri"/>
                <w:b/>
                <w:bCs/>
                <w:sz w:val="20"/>
                <w:szCs w:val="20"/>
              </w:rPr>
              <w:t>%</w:t>
            </w:r>
          </w:p>
        </w:tc>
        <w:tc>
          <w:tcPr>
            <w:tcW w:w="630" w:type="dxa"/>
            <w:tcBorders>
              <w:top w:val="nil"/>
              <w:left w:val="nil"/>
              <w:bottom w:val="nil"/>
              <w:right w:val="nil"/>
            </w:tcBorders>
            <w:shd w:val="clear" w:color="000000" w:fill="FFFFFF"/>
            <w:noWrap/>
            <w:vAlign w:val="bottom"/>
            <w:hideMark/>
          </w:tcPr>
          <w:p w14:paraId="1B639DDF" w14:textId="52B5946F" w:rsidR="007B6C2A" w:rsidRPr="0059182A" w:rsidRDefault="007B6C2A" w:rsidP="007B6C2A">
            <w:pPr>
              <w:jc w:val="right"/>
              <w:rPr>
                <w:rFonts w:eastAsia="Times New Roman" w:cstheme="minorHAnsi"/>
                <w:sz w:val="20"/>
                <w:szCs w:val="20"/>
              </w:rPr>
            </w:pPr>
            <w:r w:rsidRPr="00146CEA">
              <w:rPr>
                <w:rFonts w:ascii="Calibri" w:hAnsi="Calibri" w:cs="Calibri"/>
                <w:sz w:val="20"/>
                <w:szCs w:val="20"/>
              </w:rPr>
              <w:t xml:space="preserve">174 </w:t>
            </w:r>
          </w:p>
        </w:tc>
        <w:tc>
          <w:tcPr>
            <w:tcW w:w="900" w:type="dxa"/>
            <w:tcBorders>
              <w:top w:val="nil"/>
              <w:left w:val="nil"/>
              <w:bottom w:val="nil"/>
              <w:right w:val="nil"/>
            </w:tcBorders>
            <w:shd w:val="clear" w:color="auto" w:fill="BFBFBF" w:themeFill="background1" w:themeFillShade="BF"/>
            <w:noWrap/>
            <w:vAlign w:val="bottom"/>
            <w:hideMark/>
          </w:tcPr>
          <w:p w14:paraId="57AC320D" w14:textId="7D3FAC2B" w:rsidR="007B6C2A" w:rsidRPr="0059182A" w:rsidRDefault="007B6C2A" w:rsidP="007B6C2A">
            <w:pPr>
              <w:jc w:val="right"/>
              <w:rPr>
                <w:rFonts w:eastAsia="Times New Roman" w:cstheme="minorHAnsi"/>
                <w:sz w:val="20"/>
                <w:szCs w:val="20"/>
              </w:rPr>
            </w:pPr>
            <w:r w:rsidRPr="00146CEA">
              <w:rPr>
                <w:rFonts w:ascii="Calibri" w:hAnsi="Calibri" w:cs="Calibri"/>
                <w:sz w:val="20"/>
                <w:szCs w:val="20"/>
              </w:rPr>
              <w:t>12%</w:t>
            </w:r>
          </w:p>
        </w:tc>
        <w:tc>
          <w:tcPr>
            <w:tcW w:w="630" w:type="dxa"/>
            <w:tcBorders>
              <w:top w:val="nil"/>
              <w:left w:val="nil"/>
              <w:bottom w:val="nil"/>
              <w:right w:val="nil"/>
            </w:tcBorders>
            <w:shd w:val="clear" w:color="000000" w:fill="FFFFFF"/>
            <w:noWrap/>
            <w:vAlign w:val="bottom"/>
            <w:hideMark/>
          </w:tcPr>
          <w:p w14:paraId="040905DA" w14:textId="1B25DB0C" w:rsidR="007B6C2A" w:rsidRPr="0059182A" w:rsidRDefault="007B6C2A" w:rsidP="007B6C2A">
            <w:pPr>
              <w:jc w:val="right"/>
              <w:rPr>
                <w:rFonts w:eastAsia="Times New Roman" w:cstheme="minorHAnsi"/>
                <w:sz w:val="20"/>
                <w:szCs w:val="20"/>
              </w:rPr>
            </w:pPr>
            <w:r w:rsidRPr="0059182A">
              <w:rPr>
                <w:rFonts w:ascii="Calibri" w:hAnsi="Calibri" w:cs="Calibri"/>
                <w:sz w:val="20"/>
                <w:szCs w:val="20"/>
              </w:rPr>
              <w:t xml:space="preserve">156 </w:t>
            </w:r>
          </w:p>
        </w:tc>
        <w:tc>
          <w:tcPr>
            <w:tcW w:w="900" w:type="dxa"/>
            <w:tcBorders>
              <w:top w:val="nil"/>
              <w:left w:val="nil"/>
              <w:bottom w:val="nil"/>
              <w:right w:val="nil"/>
            </w:tcBorders>
            <w:shd w:val="clear" w:color="auto" w:fill="BFBFBF" w:themeFill="background1" w:themeFillShade="BF"/>
            <w:vAlign w:val="bottom"/>
          </w:tcPr>
          <w:p w14:paraId="38512DB4" w14:textId="00E70521" w:rsidR="007B6C2A" w:rsidRPr="0059182A" w:rsidRDefault="007B6C2A" w:rsidP="007B6C2A">
            <w:pPr>
              <w:jc w:val="right"/>
              <w:rPr>
                <w:rFonts w:ascii="Calibri" w:hAnsi="Calibri" w:cs="Calibri"/>
                <w:sz w:val="20"/>
                <w:szCs w:val="20"/>
              </w:rPr>
            </w:pPr>
            <w:r w:rsidRPr="0059182A">
              <w:rPr>
                <w:rFonts w:ascii="Calibri" w:hAnsi="Calibri" w:cs="Calibri"/>
                <w:sz w:val="20"/>
                <w:szCs w:val="20"/>
              </w:rPr>
              <w:t>-13%</w:t>
            </w:r>
          </w:p>
        </w:tc>
        <w:tc>
          <w:tcPr>
            <w:tcW w:w="630" w:type="dxa"/>
            <w:tcBorders>
              <w:top w:val="nil"/>
              <w:left w:val="nil"/>
              <w:bottom w:val="nil"/>
              <w:right w:val="nil"/>
            </w:tcBorders>
            <w:shd w:val="clear" w:color="000000" w:fill="FFFFFF"/>
            <w:vAlign w:val="bottom"/>
          </w:tcPr>
          <w:p w14:paraId="19EE3B51" w14:textId="4DAF4BCE" w:rsidR="007B6C2A" w:rsidRPr="0059182A" w:rsidRDefault="007B6C2A" w:rsidP="007B6C2A">
            <w:pPr>
              <w:jc w:val="right"/>
              <w:rPr>
                <w:rFonts w:ascii="Calibri" w:hAnsi="Calibri" w:cs="Calibri"/>
                <w:sz w:val="20"/>
                <w:szCs w:val="20"/>
              </w:rPr>
            </w:pPr>
            <w:r w:rsidRPr="0059182A">
              <w:rPr>
                <w:rFonts w:ascii="Calibri" w:hAnsi="Calibri" w:cs="Calibri"/>
                <w:sz w:val="20"/>
                <w:szCs w:val="20"/>
              </w:rPr>
              <w:t xml:space="preserve">180 </w:t>
            </w:r>
          </w:p>
        </w:tc>
      </w:tr>
      <w:tr w:rsidR="007B6C2A" w:rsidRPr="004E6649" w14:paraId="18C60928" w14:textId="63665F73" w:rsidTr="00155FD9">
        <w:trPr>
          <w:trHeight w:val="66"/>
          <w:jc w:val="center"/>
        </w:trPr>
        <w:tc>
          <w:tcPr>
            <w:tcW w:w="4050" w:type="dxa"/>
            <w:tcBorders>
              <w:top w:val="nil"/>
              <w:left w:val="nil"/>
              <w:bottom w:val="nil"/>
              <w:right w:val="nil"/>
            </w:tcBorders>
            <w:shd w:val="clear" w:color="000000" w:fill="FFFFFF"/>
            <w:noWrap/>
            <w:vAlign w:val="bottom"/>
            <w:hideMark/>
          </w:tcPr>
          <w:p w14:paraId="4472D5A2" w14:textId="03F836B2" w:rsidR="007B6C2A" w:rsidRPr="00B2223B" w:rsidRDefault="007B6C2A" w:rsidP="007B6C2A">
            <w:pPr>
              <w:rPr>
                <w:rFonts w:eastAsia="Times New Roman" w:cstheme="minorHAnsi"/>
                <w:sz w:val="20"/>
                <w:szCs w:val="20"/>
              </w:rPr>
            </w:pPr>
            <w:r w:rsidRPr="00B2223B">
              <w:rPr>
                <w:rFonts w:ascii="Calibri" w:hAnsi="Calibri" w:cs="Calibri"/>
                <w:sz w:val="20"/>
                <w:szCs w:val="20"/>
              </w:rPr>
              <w:t>Pool participants</w:t>
            </w:r>
          </w:p>
        </w:tc>
        <w:tc>
          <w:tcPr>
            <w:tcW w:w="630" w:type="dxa"/>
            <w:tcBorders>
              <w:top w:val="nil"/>
              <w:left w:val="nil"/>
              <w:bottom w:val="nil"/>
              <w:right w:val="nil"/>
            </w:tcBorders>
            <w:shd w:val="clear" w:color="000000" w:fill="FFFFFF"/>
            <w:vAlign w:val="bottom"/>
          </w:tcPr>
          <w:p w14:paraId="047A75C8" w14:textId="21472722" w:rsidR="007B6C2A" w:rsidRPr="0059182A" w:rsidRDefault="007B6C2A" w:rsidP="007B6C2A">
            <w:pPr>
              <w:jc w:val="right"/>
              <w:rPr>
                <w:rFonts w:eastAsia="Times New Roman" w:cstheme="minorHAnsi"/>
                <w:b/>
                <w:bCs/>
                <w:sz w:val="20"/>
                <w:szCs w:val="20"/>
              </w:rPr>
            </w:pPr>
            <w:r w:rsidRPr="0059182A">
              <w:rPr>
                <w:rFonts w:ascii="Calibri" w:hAnsi="Calibri" w:cs="Calibri"/>
                <w:b/>
                <w:bCs/>
                <w:sz w:val="20"/>
                <w:szCs w:val="20"/>
              </w:rPr>
              <w:t>10</w:t>
            </w:r>
          </w:p>
        </w:tc>
        <w:tc>
          <w:tcPr>
            <w:tcW w:w="894" w:type="dxa"/>
            <w:tcBorders>
              <w:top w:val="nil"/>
              <w:left w:val="nil"/>
              <w:bottom w:val="nil"/>
              <w:right w:val="nil"/>
            </w:tcBorders>
            <w:shd w:val="clear" w:color="auto" w:fill="BFBFBF" w:themeFill="background1" w:themeFillShade="BF"/>
            <w:vAlign w:val="bottom"/>
          </w:tcPr>
          <w:p w14:paraId="69052989" w14:textId="5F55A6CF" w:rsidR="007B6C2A" w:rsidRPr="0059182A" w:rsidRDefault="009A1BDB" w:rsidP="007B6C2A">
            <w:pPr>
              <w:jc w:val="right"/>
              <w:rPr>
                <w:rFonts w:eastAsia="Times New Roman" w:cstheme="minorHAnsi"/>
                <w:b/>
                <w:bCs/>
                <w:sz w:val="20"/>
                <w:szCs w:val="20"/>
              </w:rPr>
            </w:pPr>
            <w:r w:rsidRPr="0059182A">
              <w:rPr>
                <w:rFonts w:ascii="Calibri" w:hAnsi="Calibri" w:cs="Calibri"/>
                <w:b/>
                <w:bCs/>
                <w:sz w:val="20"/>
                <w:szCs w:val="20"/>
              </w:rPr>
              <w:t>0%</w:t>
            </w:r>
          </w:p>
        </w:tc>
        <w:tc>
          <w:tcPr>
            <w:tcW w:w="630" w:type="dxa"/>
            <w:tcBorders>
              <w:top w:val="nil"/>
              <w:left w:val="nil"/>
              <w:bottom w:val="nil"/>
              <w:right w:val="nil"/>
            </w:tcBorders>
            <w:shd w:val="clear" w:color="000000" w:fill="FFFFFF"/>
            <w:noWrap/>
            <w:vAlign w:val="bottom"/>
            <w:hideMark/>
          </w:tcPr>
          <w:p w14:paraId="0617493C" w14:textId="4032E7C2" w:rsidR="007B6C2A" w:rsidRPr="0059182A" w:rsidRDefault="007B6C2A" w:rsidP="007B6C2A">
            <w:pPr>
              <w:jc w:val="right"/>
              <w:rPr>
                <w:rFonts w:eastAsia="Times New Roman" w:cstheme="minorHAnsi"/>
                <w:b/>
                <w:bCs/>
                <w:sz w:val="20"/>
                <w:szCs w:val="20"/>
              </w:rPr>
            </w:pPr>
            <w:r w:rsidRPr="0059182A">
              <w:rPr>
                <w:rFonts w:ascii="Calibri" w:hAnsi="Calibri" w:cs="Calibri"/>
                <w:b/>
                <w:bCs/>
                <w:sz w:val="20"/>
                <w:szCs w:val="20"/>
              </w:rPr>
              <w:t>10</w:t>
            </w:r>
          </w:p>
        </w:tc>
        <w:tc>
          <w:tcPr>
            <w:tcW w:w="900" w:type="dxa"/>
            <w:tcBorders>
              <w:top w:val="nil"/>
              <w:left w:val="nil"/>
              <w:bottom w:val="nil"/>
              <w:right w:val="nil"/>
            </w:tcBorders>
            <w:shd w:val="clear" w:color="auto" w:fill="BFBFBF" w:themeFill="background1" w:themeFillShade="BF"/>
            <w:noWrap/>
            <w:vAlign w:val="bottom"/>
            <w:hideMark/>
          </w:tcPr>
          <w:p w14:paraId="46613BD1" w14:textId="55B756F0" w:rsidR="007B6C2A" w:rsidRPr="0059182A" w:rsidRDefault="0059182A" w:rsidP="007B6C2A">
            <w:pPr>
              <w:jc w:val="right"/>
              <w:rPr>
                <w:rFonts w:eastAsia="Times New Roman" w:cstheme="minorHAnsi"/>
                <w:b/>
                <w:bCs/>
                <w:sz w:val="20"/>
                <w:szCs w:val="20"/>
              </w:rPr>
            </w:pPr>
            <w:r w:rsidRPr="0059182A">
              <w:rPr>
                <w:rFonts w:ascii="Calibri" w:hAnsi="Calibri" w:cs="Calibri"/>
                <w:b/>
                <w:bCs/>
                <w:sz w:val="20"/>
                <w:szCs w:val="20"/>
              </w:rPr>
              <w:t>-74</w:t>
            </w:r>
            <w:r w:rsidR="007B6C2A" w:rsidRPr="0059182A">
              <w:rPr>
                <w:rFonts w:ascii="Calibri" w:hAnsi="Calibri" w:cs="Calibri"/>
                <w:b/>
                <w:bCs/>
                <w:sz w:val="20"/>
                <w:szCs w:val="20"/>
              </w:rPr>
              <w:t>%</w:t>
            </w:r>
          </w:p>
        </w:tc>
        <w:tc>
          <w:tcPr>
            <w:tcW w:w="630" w:type="dxa"/>
            <w:tcBorders>
              <w:top w:val="nil"/>
              <w:left w:val="nil"/>
              <w:bottom w:val="nil"/>
              <w:right w:val="nil"/>
            </w:tcBorders>
            <w:shd w:val="clear" w:color="000000" w:fill="FFFFFF"/>
            <w:noWrap/>
            <w:vAlign w:val="bottom"/>
            <w:hideMark/>
          </w:tcPr>
          <w:p w14:paraId="1B40A389" w14:textId="77047552" w:rsidR="007B6C2A" w:rsidRPr="0059182A" w:rsidRDefault="007B6C2A" w:rsidP="007B6C2A">
            <w:pPr>
              <w:jc w:val="right"/>
              <w:rPr>
                <w:rFonts w:eastAsia="Times New Roman" w:cstheme="minorHAnsi"/>
                <w:sz w:val="20"/>
                <w:szCs w:val="20"/>
              </w:rPr>
            </w:pPr>
            <w:r w:rsidRPr="00146CEA">
              <w:rPr>
                <w:rFonts w:ascii="Calibri" w:hAnsi="Calibri" w:cs="Calibri"/>
                <w:sz w:val="20"/>
                <w:szCs w:val="20"/>
              </w:rPr>
              <w:t xml:space="preserve">39 </w:t>
            </w:r>
          </w:p>
        </w:tc>
        <w:tc>
          <w:tcPr>
            <w:tcW w:w="900" w:type="dxa"/>
            <w:tcBorders>
              <w:top w:val="nil"/>
              <w:left w:val="nil"/>
              <w:bottom w:val="nil"/>
              <w:right w:val="nil"/>
            </w:tcBorders>
            <w:shd w:val="clear" w:color="auto" w:fill="BFBFBF" w:themeFill="background1" w:themeFillShade="BF"/>
            <w:noWrap/>
            <w:vAlign w:val="bottom"/>
            <w:hideMark/>
          </w:tcPr>
          <w:p w14:paraId="19CE73BF" w14:textId="43F36FBF" w:rsidR="007B6C2A" w:rsidRPr="0059182A" w:rsidRDefault="007B6C2A" w:rsidP="007B6C2A">
            <w:pPr>
              <w:jc w:val="right"/>
              <w:rPr>
                <w:rFonts w:eastAsia="Times New Roman" w:cstheme="minorHAnsi"/>
                <w:sz w:val="20"/>
                <w:szCs w:val="20"/>
              </w:rPr>
            </w:pPr>
            <w:r w:rsidRPr="00146CEA">
              <w:rPr>
                <w:rFonts w:ascii="Calibri" w:hAnsi="Calibri" w:cs="Calibri"/>
                <w:sz w:val="20"/>
                <w:szCs w:val="20"/>
              </w:rPr>
              <w:t>-5%</w:t>
            </w:r>
          </w:p>
        </w:tc>
        <w:tc>
          <w:tcPr>
            <w:tcW w:w="630" w:type="dxa"/>
            <w:tcBorders>
              <w:top w:val="nil"/>
              <w:left w:val="nil"/>
              <w:bottom w:val="nil"/>
              <w:right w:val="nil"/>
            </w:tcBorders>
            <w:shd w:val="clear" w:color="000000" w:fill="FFFFFF"/>
            <w:noWrap/>
            <w:vAlign w:val="bottom"/>
            <w:hideMark/>
          </w:tcPr>
          <w:p w14:paraId="203B29F9" w14:textId="4D3B653E" w:rsidR="007B6C2A" w:rsidRPr="0059182A" w:rsidRDefault="007B6C2A" w:rsidP="007B6C2A">
            <w:pPr>
              <w:jc w:val="right"/>
              <w:rPr>
                <w:rFonts w:eastAsia="Times New Roman" w:cstheme="minorHAnsi"/>
                <w:sz w:val="20"/>
                <w:szCs w:val="20"/>
              </w:rPr>
            </w:pPr>
            <w:r w:rsidRPr="0059182A">
              <w:rPr>
                <w:rFonts w:ascii="Calibri" w:hAnsi="Calibri" w:cs="Calibri"/>
                <w:sz w:val="20"/>
                <w:szCs w:val="20"/>
              </w:rPr>
              <w:t xml:space="preserve">41 </w:t>
            </w:r>
          </w:p>
        </w:tc>
        <w:tc>
          <w:tcPr>
            <w:tcW w:w="900" w:type="dxa"/>
            <w:tcBorders>
              <w:top w:val="nil"/>
              <w:left w:val="nil"/>
              <w:bottom w:val="nil"/>
              <w:right w:val="nil"/>
            </w:tcBorders>
            <w:shd w:val="clear" w:color="auto" w:fill="BFBFBF" w:themeFill="background1" w:themeFillShade="BF"/>
            <w:vAlign w:val="bottom"/>
          </w:tcPr>
          <w:p w14:paraId="17902ABE" w14:textId="4AA65590" w:rsidR="007B6C2A" w:rsidRPr="0059182A" w:rsidRDefault="007B6C2A" w:rsidP="007B6C2A">
            <w:pPr>
              <w:jc w:val="right"/>
              <w:rPr>
                <w:rFonts w:ascii="Calibri" w:hAnsi="Calibri" w:cs="Calibri"/>
                <w:sz w:val="20"/>
                <w:szCs w:val="20"/>
              </w:rPr>
            </w:pPr>
            <w:r w:rsidRPr="0059182A">
              <w:rPr>
                <w:rFonts w:ascii="Calibri" w:hAnsi="Calibri" w:cs="Calibri"/>
                <w:sz w:val="20"/>
                <w:szCs w:val="20"/>
              </w:rPr>
              <w:t>-60%</w:t>
            </w:r>
          </w:p>
        </w:tc>
        <w:tc>
          <w:tcPr>
            <w:tcW w:w="630" w:type="dxa"/>
            <w:tcBorders>
              <w:top w:val="nil"/>
              <w:left w:val="nil"/>
              <w:bottom w:val="nil"/>
              <w:right w:val="nil"/>
            </w:tcBorders>
            <w:shd w:val="clear" w:color="000000" w:fill="FFFFFF"/>
            <w:vAlign w:val="bottom"/>
          </w:tcPr>
          <w:p w14:paraId="6968B47D" w14:textId="3F6B6747" w:rsidR="007B6C2A" w:rsidRPr="0059182A" w:rsidRDefault="007B6C2A" w:rsidP="007B6C2A">
            <w:pPr>
              <w:jc w:val="right"/>
              <w:rPr>
                <w:rFonts w:ascii="Calibri" w:hAnsi="Calibri" w:cs="Calibri"/>
                <w:sz w:val="20"/>
                <w:szCs w:val="20"/>
              </w:rPr>
            </w:pPr>
            <w:r w:rsidRPr="0059182A">
              <w:rPr>
                <w:rFonts w:ascii="Calibri" w:hAnsi="Calibri" w:cs="Calibri"/>
                <w:sz w:val="20"/>
                <w:szCs w:val="20"/>
              </w:rPr>
              <w:t xml:space="preserve">102 </w:t>
            </w:r>
          </w:p>
        </w:tc>
      </w:tr>
      <w:tr w:rsidR="007B6C2A" w:rsidRPr="004E6649" w14:paraId="2D0640F5" w14:textId="70E106F5" w:rsidTr="003B07E2">
        <w:trPr>
          <w:trHeight w:val="66"/>
          <w:jc w:val="center"/>
        </w:trPr>
        <w:tc>
          <w:tcPr>
            <w:tcW w:w="4050" w:type="dxa"/>
            <w:tcBorders>
              <w:top w:val="nil"/>
              <w:left w:val="nil"/>
              <w:bottom w:val="single" w:sz="4" w:space="0" w:color="auto"/>
              <w:right w:val="nil"/>
            </w:tcBorders>
            <w:shd w:val="clear" w:color="000000" w:fill="FFFFFF"/>
            <w:noWrap/>
            <w:vAlign w:val="bottom"/>
            <w:hideMark/>
          </w:tcPr>
          <w:p w14:paraId="0059F2E4" w14:textId="0460ED95" w:rsidR="007B6C2A" w:rsidRPr="00B2223B" w:rsidRDefault="007B6C2A" w:rsidP="007B6C2A">
            <w:pPr>
              <w:rPr>
                <w:rFonts w:eastAsia="Times New Roman" w:cstheme="minorHAnsi"/>
                <w:b/>
                <w:bCs/>
                <w:sz w:val="20"/>
                <w:szCs w:val="20"/>
              </w:rPr>
            </w:pPr>
            <w:r w:rsidRPr="00B2223B">
              <w:rPr>
                <w:rFonts w:ascii="Calibri" w:hAnsi="Calibri" w:cs="Calibri"/>
                <w:sz w:val="20"/>
                <w:szCs w:val="20"/>
              </w:rPr>
              <w:t>Student and other groups</w:t>
            </w:r>
          </w:p>
        </w:tc>
        <w:tc>
          <w:tcPr>
            <w:tcW w:w="630" w:type="dxa"/>
            <w:tcBorders>
              <w:top w:val="nil"/>
              <w:left w:val="nil"/>
              <w:bottom w:val="single" w:sz="4" w:space="0" w:color="auto"/>
              <w:right w:val="nil"/>
            </w:tcBorders>
            <w:shd w:val="clear" w:color="000000" w:fill="FFFFFF"/>
            <w:vAlign w:val="bottom"/>
          </w:tcPr>
          <w:p w14:paraId="15C7C084" w14:textId="12F000E1" w:rsidR="007B6C2A" w:rsidRPr="0059182A" w:rsidRDefault="0059182A" w:rsidP="007B6C2A">
            <w:pPr>
              <w:jc w:val="right"/>
              <w:rPr>
                <w:rFonts w:eastAsia="Times New Roman" w:cstheme="minorHAnsi"/>
                <w:b/>
                <w:bCs/>
                <w:sz w:val="20"/>
                <w:szCs w:val="20"/>
              </w:rPr>
            </w:pPr>
            <w:r w:rsidRPr="0059182A">
              <w:rPr>
                <w:rFonts w:ascii="Calibri" w:hAnsi="Calibri" w:cs="Calibri"/>
                <w:b/>
                <w:bCs/>
                <w:sz w:val="20"/>
                <w:szCs w:val="20"/>
              </w:rPr>
              <w:t>3</w:t>
            </w:r>
            <w:r w:rsidR="007B6C2A" w:rsidRPr="0059182A">
              <w:rPr>
                <w:rFonts w:ascii="Calibri" w:hAnsi="Calibri" w:cs="Calibri"/>
                <w:b/>
                <w:bCs/>
                <w:sz w:val="20"/>
                <w:szCs w:val="20"/>
              </w:rPr>
              <w:t xml:space="preserve"> </w:t>
            </w:r>
          </w:p>
        </w:tc>
        <w:tc>
          <w:tcPr>
            <w:tcW w:w="894" w:type="dxa"/>
            <w:tcBorders>
              <w:top w:val="nil"/>
              <w:left w:val="nil"/>
              <w:bottom w:val="single" w:sz="4" w:space="0" w:color="auto"/>
              <w:right w:val="nil"/>
            </w:tcBorders>
            <w:shd w:val="clear" w:color="auto" w:fill="BFBFBF" w:themeFill="background1" w:themeFillShade="BF"/>
            <w:vAlign w:val="bottom"/>
          </w:tcPr>
          <w:p w14:paraId="2B313776" w14:textId="48892378" w:rsidR="007B6C2A" w:rsidRPr="0059182A" w:rsidRDefault="0059182A" w:rsidP="007B6C2A">
            <w:pPr>
              <w:jc w:val="right"/>
              <w:rPr>
                <w:rFonts w:eastAsia="Times New Roman" w:cstheme="minorHAnsi"/>
                <w:b/>
                <w:bCs/>
                <w:sz w:val="20"/>
                <w:szCs w:val="20"/>
              </w:rPr>
            </w:pPr>
            <w:r w:rsidRPr="0059182A">
              <w:rPr>
                <w:rFonts w:ascii="Calibri" w:hAnsi="Calibri" w:cs="Calibri"/>
                <w:b/>
                <w:bCs/>
                <w:sz w:val="20"/>
                <w:szCs w:val="20"/>
              </w:rPr>
              <w:t>50</w:t>
            </w:r>
            <w:r w:rsidR="009A1BDB" w:rsidRPr="0059182A">
              <w:rPr>
                <w:rFonts w:ascii="Calibri" w:hAnsi="Calibri" w:cs="Calibri"/>
                <w:b/>
                <w:bCs/>
                <w:sz w:val="20"/>
                <w:szCs w:val="20"/>
              </w:rPr>
              <w:t>%</w:t>
            </w:r>
          </w:p>
        </w:tc>
        <w:tc>
          <w:tcPr>
            <w:tcW w:w="630" w:type="dxa"/>
            <w:tcBorders>
              <w:top w:val="nil"/>
              <w:left w:val="nil"/>
              <w:bottom w:val="single" w:sz="4" w:space="0" w:color="auto"/>
              <w:right w:val="nil"/>
            </w:tcBorders>
            <w:shd w:val="clear" w:color="000000" w:fill="FFFFFF"/>
            <w:noWrap/>
            <w:vAlign w:val="bottom"/>
          </w:tcPr>
          <w:p w14:paraId="1A2971DB" w14:textId="5B7C45EF" w:rsidR="007B6C2A" w:rsidRPr="0059182A" w:rsidRDefault="007B6C2A" w:rsidP="007B6C2A">
            <w:pPr>
              <w:jc w:val="right"/>
              <w:rPr>
                <w:rFonts w:eastAsia="Times New Roman" w:cstheme="minorHAnsi"/>
                <w:b/>
                <w:bCs/>
                <w:sz w:val="20"/>
                <w:szCs w:val="20"/>
              </w:rPr>
            </w:pPr>
            <w:r w:rsidRPr="0059182A">
              <w:rPr>
                <w:rFonts w:ascii="Calibri" w:hAnsi="Calibri" w:cs="Calibri"/>
                <w:b/>
                <w:bCs/>
                <w:sz w:val="20"/>
                <w:szCs w:val="20"/>
              </w:rPr>
              <w:t xml:space="preserve">2 </w:t>
            </w:r>
          </w:p>
        </w:tc>
        <w:tc>
          <w:tcPr>
            <w:tcW w:w="900" w:type="dxa"/>
            <w:tcBorders>
              <w:top w:val="nil"/>
              <w:left w:val="nil"/>
              <w:bottom w:val="single" w:sz="4" w:space="0" w:color="auto"/>
              <w:right w:val="nil"/>
            </w:tcBorders>
            <w:shd w:val="clear" w:color="auto" w:fill="BFBFBF" w:themeFill="background1" w:themeFillShade="BF"/>
            <w:noWrap/>
            <w:vAlign w:val="bottom"/>
          </w:tcPr>
          <w:p w14:paraId="4301AF42" w14:textId="54FF1D03" w:rsidR="007B6C2A" w:rsidRPr="0059182A" w:rsidRDefault="007B6C2A" w:rsidP="007B6C2A">
            <w:pPr>
              <w:jc w:val="right"/>
              <w:rPr>
                <w:rFonts w:eastAsia="Times New Roman" w:cstheme="minorHAnsi"/>
                <w:b/>
                <w:bCs/>
                <w:sz w:val="20"/>
                <w:szCs w:val="20"/>
              </w:rPr>
            </w:pPr>
            <w:r w:rsidRPr="0059182A">
              <w:rPr>
                <w:rFonts w:ascii="Calibri" w:hAnsi="Calibri" w:cs="Calibri"/>
                <w:b/>
                <w:bCs/>
                <w:sz w:val="20"/>
                <w:szCs w:val="20"/>
              </w:rPr>
              <w:t>-</w:t>
            </w:r>
            <w:r w:rsidR="00146CEA">
              <w:rPr>
                <w:rFonts w:ascii="Calibri" w:hAnsi="Calibri" w:cs="Calibri"/>
                <w:b/>
                <w:bCs/>
                <w:sz w:val="20"/>
                <w:szCs w:val="20"/>
              </w:rPr>
              <w:t>33</w:t>
            </w:r>
            <w:r w:rsidRPr="0059182A">
              <w:rPr>
                <w:rFonts w:ascii="Calibri" w:hAnsi="Calibri" w:cs="Calibri"/>
                <w:b/>
                <w:bCs/>
                <w:sz w:val="20"/>
                <w:szCs w:val="20"/>
              </w:rPr>
              <w:t>%</w:t>
            </w:r>
          </w:p>
        </w:tc>
        <w:tc>
          <w:tcPr>
            <w:tcW w:w="630" w:type="dxa"/>
            <w:tcBorders>
              <w:top w:val="nil"/>
              <w:left w:val="nil"/>
              <w:bottom w:val="single" w:sz="4" w:space="0" w:color="auto"/>
              <w:right w:val="nil"/>
            </w:tcBorders>
            <w:shd w:val="clear" w:color="000000" w:fill="FFFFFF"/>
            <w:noWrap/>
            <w:vAlign w:val="bottom"/>
          </w:tcPr>
          <w:p w14:paraId="32AD4281" w14:textId="57B35A28" w:rsidR="007B6C2A" w:rsidRPr="0059182A" w:rsidRDefault="007B6C2A" w:rsidP="007B6C2A">
            <w:pPr>
              <w:jc w:val="right"/>
              <w:rPr>
                <w:rFonts w:eastAsia="Times New Roman" w:cstheme="minorHAnsi"/>
                <w:sz w:val="20"/>
                <w:szCs w:val="20"/>
              </w:rPr>
            </w:pPr>
            <w:r w:rsidRPr="00146CEA">
              <w:rPr>
                <w:rFonts w:ascii="Calibri" w:hAnsi="Calibri" w:cs="Calibri"/>
                <w:sz w:val="20"/>
                <w:szCs w:val="20"/>
              </w:rPr>
              <w:t xml:space="preserve">3 </w:t>
            </w:r>
          </w:p>
        </w:tc>
        <w:tc>
          <w:tcPr>
            <w:tcW w:w="900" w:type="dxa"/>
            <w:tcBorders>
              <w:top w:val="nil"/>
              <w:left w:val="nil"/>
              <w:bottom w:val="single" w:sz="4" w:space="0" w:color="auto"/>
              <w:right w:val="nil"/>
            </w:tcBorders>
            <w:shd w:val="clear" w:color="auto" w:fill="BFBFBF" w:themeFill="background1" w:themeFillShade="BF"/>
            <w:noWrap/>
            <w:vAlign w:val="bottom"/>
          </w:tcPr>
          <w:p w14:paraId="3BDD2C4D" w14:textId="15D7F273" w:rsidR="007B6C2A" w:rsidRPr="0059182A" w:rsidRDefault="007B6C2A" w:rsidP="007B6C2A">
            <w:pPr>
              <w:jc w:val="right"/>
              <w:rPr>
                <w:rFonts w:eastAsia="Times New Roman" w:cstheme="minorHAnsi"/>
                <w:sz w:val="20"/>
                <w:szCs w:val="20"/>
              </w:rPr>
            </w:pPr>
            <w:r w:rsidRPr="00146CEA">
              <w:rPr>
                <w:rFonts w:ascii="Calibri" w:hAnsi="Calibri" w:cs="Calibri"/>
                <w:sz w:val="20"/>
                <w:szCs w:val="20"/>
              </w:rPr>
              <w:t>0%</w:t>
            </w:r>
          </w:p>
        </w:tc>
        <w:tc>
          <w:tcPr>
            <w:tcW w:w="630" w:type="dxa"/>
            <w:tcBorders>
              <w:top w:val="nil"/>
              <w:left w:val="nil"/>
              <w:bottom w:val="single" w:sz="4" w:space="0" w:color="auto"/>
              <w:right w:val="nil"/>
            </w:tcBorders>
            <w:shd w:val="clear" w:color="000000" w:fill="FFFFFF"/>
            <w:noWrap/>
            <w:vAlign w:val="bottom"/>
          </w:tcPr>
          <w:p w14:paraId="2EF94CDB" w14:textId="6C0DC0E6" w:rsidR="007B6C2A" w:rsidRPr="0059182A" w:rsidRDefault="007B6C2A" w:rsidP="007B6C2A">
            <w:pPr>
              <w:jc w:val="right"/>
              <w:rPr>
                <w:rFonts w:eastAsia="Times New Roman" w:cstheme="minorHAnsi"/>
                <w:sz w:val="20"/>
                <w:szCs w:val="20"/>
              </w:rPr>
            </w:pPr>
            <w:r w:rsidRPr="00146CEA">
              <w:rPr>
                <w:rFonts w:ascii="Calibri" w:hAnsi="Calibri" w:cs="Calibri"/>
                <w:sz w:val="20"/>
                <w:szCs w:val="20"/>
              </w:rPr>
              <w:t xml:space="preserve">3 </w:t>
            </w:r>
          </w:p>
        </w:tc>
        <w:tc>
          <w:tcPr>
            <w:tcW w:w="900" w:type="dxa"/>
            <w:tcBorders>
              <w:top w:val="nil"/>
              <w:left w:val="nil"/>
              <w:bottom w:val="single" w:sz="4" w:space="0" w:color="auto"/>
              <w:right w:val="nil"/>
            </w:tcBorders>
            <w:shd w:val="clear" w:color="auto" w:fill="BFBFBF" w:themeFill="background1" w:themeFillShade="BF"/>
            <w:vAlign w:val="bottom"/>
          </w:tcPr>
          <w:p w14:paraId="5C3D05BF" w14:textId="5332FFBB" w:rsidR="007B6C2A" w:rsidRPr="0059182A" w:rsidRDefault="007B6C2A" w:rsidP="007B6C2A">
            <w:pPr>
              <w:jc w:val="right"/>
              <w:rPr>
                <w:rFonts w:ascii="Calibri" w:hAnsi="Calibri" w:cs="Calibri"/>
                <w:sz w:val="20"/>
                <w:szCs w:val="20"/>
              </w:rPr>
            </w:pPr>
            <w:r w:rsidRPr="00146CEA">
              <w:rPr>
                <w:rFonts w:ascii="Calibri" w:hAnsi="Calibri" w:cs="Calibri"/>
                <w:sz w:val="20"/>
                <w:szCs w:val="20"/>
              </w:rPr>
              <w:t>0%</w:t>
            </w:r>
          </w:p>
        </w:tc>
        <w:tc>
          <w:tcPr>
            <w:tcW w:w="630" w:type="dxa"/>
            <w:tcBorders>
              <w:top w:val="nil"/>
              <w:left w:val="nil"/>
              <w:bottom w:val="single" w:sz="4" w:space="0" w:color="auto"/>
              <w:right w:val="nil"/>
            </w:tcBorders>
            <w:shd w:val="clear" w:color="000000" w:fill="FFFFFF"/>
            <w:vAlign w:val="bottom"/>
          </w:tcPr>
          <w:p w14:paraId="03D4E642" w14:textId="372354A3" w:rsidR="007B6C2A" w:rsidRPr="0059182A" w:rsidRDefault="007B6C2A" w:rsidP="007B6C2A">
            <w:pPr>
              <w:jc w:val="right"/>
              <w:rPr>
                <w:rFonts w:ascii="Calibri" w:hAnsi="Calibri" w:cs="Calibri"/>
                <w:sz w:val="20"/>
                <w:szCs w:val="20"/>
              </w:rPr>
            </w:pPr>
            <w:r w:rsidRPr="00146CEA">
              <w:rPr>
                <w:rFonts w:ascii="Calibri" w:hAnsi="Calibri" w:cs="Calibri"/>
                <w:sz w:val="20"/>
                <w:szCs w:val="20"/>
              </w:rPr>
              <w:t xml:space="preserve">3 </w:t>
            </w:r>
          </w:p>
        </w:tc>
      </w:tr>
      <w:tr w:rsidR="007B6C2A" w:rsidRPr="004E6649" w14:paraId="1AF2F00B" w14:textId="77777777" w:rsidTr="00155FD9">
        <w:trPr>
          <w:trHeight w:val="66"/>
          <w:jc w:val="center"/>
        </w:trPr>
        <w:tc>
          <w:tcPr>
            <w:tcW w:w="4050" w:type="dxa"/>
            <w:tcBorders>
              <w:top w:val="single" w:sz="4" w:space="0" w:color="auto"/>
              <w:left w:val="nil"/>
              <w:bottom w:val="double" w:sz="4" w:space="0" w:color="auto"/>
              <w:right w:val="nil"/>
            </w:tcBorders>
            <w:shd w:val="clear" w:color="000000" w:fill="FFFFFF"/>
            <w:noWrap/>
            <w:vAlign w:val="bottom"/>
          </w:tcPr>
          <w:p w14:paraId="162401D6" w14:textId="3251744C" w:rsidR="007B6C2A" w:rsidRPr="00B2223B" w:rsidRDefault="007B6C2A" w:rsidP="007B6C2A">
            <w:pPr>
              <w:rPr>
                <w:rFonts w:ascii="Calibri" w:hAnsi="Calibri" w:cs="Calibri"/>
                <w:sz w:val="20"/>
                <w:szCs w:val="20"/>
              </w:rPr>
            </w:pPr>
            <w:r w:rsidRPr="00B2223B">
              <w:rPr>
                <w:rFonts w:ascii="Calibri" w:hAnsi="Calibri" w:cs="Calibri"/>
                <w:b/>
                <w:bCs/>
                <w:sz w:val="20"/>
                <w:szCs w:val="20"/>
              </w:rPr>
              <w:t>Total Net Position</w:t>
            </w:r>
          </w:p>
        </w:tc>
        <w:tc>
          <w:tcPr>
            <w:tcW w:w="630" w:type="dxa"/>
            <w:tcBorders>
              <w:top w:val="single" w:sz="4" w:space="0" w:color="auto"/>
              <w:left w:val="nil"/>
              <w:bottom w:val="double" w:sz="4" w:space="0" w:color="auto"/>
              <w:right w:val="nil"/>
            </w:tcBorders>
            <w:shd w:val="clear" w:color="000000" w:fill="FFFFFF"/>
            <w:vAlign w:val="bottom"/>
          </w:tcPr>
          <w:p w14:paraId="7E672FA0" w14:textId="5C596267" w:rsidR="007B6C2A" w:rsidRPr="0059182A" w:rsidRDefault="007B6C2A" w:rsidP="007B6C2A">
            <w:pPr>
              <w:jc w:val="right"/>
              <w:rPr>
                <w:rFonts w:ascii="Calibri" w:hAnsi="Calibri" w:cs="Calibri"/>
                <w:b/>
                <w:bCs/>
                <w:sz w:val="20"/>
                <w:szCs w:val="20"/>
              </w:rPr>
            </w:pPr>
            <w:r w:rsidRPr="0059182A">
              <w:rPr>
                <w:rFonts w:ascii="Calibri" w:hAnsi="Calibri" w:cs="Calibri"/>
                <w:b/>
                <w:bCs/>
                <w:sz w:val="20"/>
                <w:szCs w:val="20"/>
              </w:rPr>
              <w:t>$</w:t>
            </w:r>
            <w:r w:rsidR="009A1BDB" w:rsidRPr="0059182A">
              <w:rPr>
                <w:rFonts w:ascii="Calibri" w:hAnsi="Calibri" w:cs="Calibri"/>
                <w:b/>
                <w:bCs/>
                <w:sz w:val="20"/>
                <w:szCs w:val="20"/>
              </w:rPr>
              <w:t>244</w:t>
            </w:r>
          </w:p>
        </w:tc>
        <w:tc>
          <w:tcPr>
            <w:tcW w:w="894" w:type="dxa"/>
            <w:tcBorders>
              <w:top w:val="single" w:sz="4" w:space="0" w:color="auto"/>
              <w:left w:val="nil"/>
              <w:bottom w:val="double" w:sz="4" w:space="0" w:color="auto"/>
              <w:right w:val="nil"/>
            </w:tcBorders>
            <w:shd w:val="clear" w:color="auto" w:fill="BFBFBF" w:themeFill="background1" w:themeFillShade="BF"/>
            <w:vAlign w:val="bottom"/>
          </w:tcPr>
          <w:p w14:paraId="579B18DD" w14:textId="4802A4D7" w:rsidR="007B6C2A" w:rsidRPr="0059182A" w:rsidRDefault="009A1BDB" w:rsidP="007B6C2A">
            <w:pPr>
              <w:jc w:val="right"/>
              <w:rPr>
                <w:rFonts w:ascii="Calibri" w:hAnsi="Calibri" w:cs="Calibri"/>
                <w:b/>
                <w:bCs/>
                <w:sz w:val="20"/>
                <w:szCs w:val="20"/>
              </w:rPr>
            </w:pPr>
            <w:r w:rsidRPr="0059182A">
              <w:rPr>
                <w:rFonts w:ascii="Calibri" w:hAnsi="Calibri" w:cs="Calibri"/>
                <w:b/>
                <w:bCs/>
                <w:sz w:val="20"/>
                <w:szCs w:val="20"/>
              </w:rPr>
              <w:t>8%</w:t>
            </w:r>
          </w:p>
        </w:tc>
        <w:tc>
          <w:tcPr>
            <w:tcW w:w="630" w:type="dxa"/>
            <w:tcBorders>
              <w:top w:val="single" w:sz="4" w:space="0" w:color="auto"/>
              <w:left w:val="nil"/>
              <w:bottom w:val="double" w:sz="4" w:space="0" w:color="auto"/>
              <w:right w:val="nil"/>
            </w:tcBorders>
            <w:shd w:val="clear" w:color="000000" w:fill="FFFFFF"/>
            <w:noWrap/>
            <w:vAlign w:val="bottom"/>
          </w:tcPr>
          <w:p w14:paraId="7415CD58" w14:textId="2F2747C6" w:rsidR="007B6C2A" w:rsidRPr="0059182A" w:rsidRDefault="007B6C2A" w:rsidP="007B6C2A">
            <w:pPr>
              <w:jc w:val="right"/>
              <w:rPr>
                <w:rFonts w:ascii="Calibri" w:hAnsi="Calibri" w:cs="Calibri"/>
                <w:b/>
                <w:bCs/>
                <w:sz w:val="20"/>
                <w:szCs w:val="20"/>
              </w:rPr>
            </w:pPr>
            <w:r w:rsidRPr="0059182A">
              <w:rPr>
                <w:rFonts w:ascii="Calibri" w:hAnsi="Calibri" w:cs="Calibri"/>
                <w:b/>
                <w:bCs/>
                <w:sz w:val="20"/>
                <w:szCs w:val="20"/>
              </w:rPr>
              <w:t>$226</w:t>
            </w:r>
          </w:p>
        </w:tc>
        <w:tc>
          <w:tcPr>
            <w:tcW w:w="900" w:type="dxa"/>
            <w:tcBorders>
              <w:top w:val="single" w:sz="4" w:space="0" w:color="auto"/>
              <w:left w:val="nil"/>
              <w:bottom w:val="double" w:sz="4" w:space="0" w:color="auto"/>
              <w:right w:val="nil"/>
            </w:tcBorders>
            <w:shd w:val="clear" w:color="auto" w:fill="BFBFBF" w:themeFill="background1" w:themeFillShade="BF"/>
            <w:noWrap/>
            <w:vAlign w:val="bottom"/>
          </w:tcPr>
          <w:p w14:paraId="03739ADD" w14:textId="2AB7AA20" w:rsidR="007B6C2A" w:rsidRPr="0059182A" w:rsidRDefault="00146CEA" w:rsidP="007B6C2A">
            <w:pPr>
              <w:jc w:val="right"/>
              <w:rPr>
                <w:rFonts w:ascii="Calibri" w:hAnsi="Calibri" w:cs="Calibri"/>
                <w:b/>
                <w:bCs/>
                <w:sz w:val="20"/>
                <w:szCs w:val="20"/>
              </w:rPr>
            </w:pPr>
            <w:r>
              <w:rPr>
                <w:rFonts w:ascii="Calibri" w:hAnsi="Calibri" w:cs="Calibri"/>
                <w:b/>
                <w:bCs/>
                <w:sz w:val="20"/>
                <w:szCs w:val="20"/>
              </w:rPr>
              <w:t>-4</w:t>
            </w:r>
            <w:r w:rsidR="007B6C2A" w:rsidRPr="0059182A">
              <w:rPr>
                <w:rFonts w:ascii="Calibri" w:hAnsi="Calibri" w:cs="Calibri"/>
                <w:b/>
                <w:bCs/>
                <w:sz w:val="20"/>
                <w:szCs w:val="20"/>
              </w:rPr>
              <w:t>%</w:t>
            </w:r>
          </w:p>
        </w:tc>
        <w:tc>
          <w:tcPr>
            <w:tcW w:w="630" w:type="dxa"/>
            <w:tcBorders>
              <w:top w:val="single" w:sz="4" w:space="0" w:color="auto"/>
              <w:left w:val="nil"/>
              <w:bottom w:val="double" w:sz="4" w:space="0" w:color="auto"/>
              <w:right w:val="nil"/>
            </w:tcBorders>
            <w:shd w:val="clear" w:color="000000" w:fill="FFFFFF"/>
            <w:noWrap/>
            <w:vAlign w:val="bottom"/>
          </w:tcPr>
          <w:p w14:paraId="0508C75D" w14:textId="4D503522" w:rsidR="007B6C2A" w:rsidRPr="0059182A" w:rsidRDefault="007B6C2A" w:rsidP="007B6C2A">
            <w:pPr>
              <w:jc w:val="right"/>
              <w:rPr>
                <w:rFonts w:ascii="Calibri" w:hAnsi="Calibri" w:cs="Calibri"/>
                <w:sz w:val="20"/>
                <w:szCs w:val="20"/>
              </w:rPr>
            </w:pPr>
            <w:r w:rsidRPr="00146CEA">
              <w:rPr>
                <w:rFonts w:ascii="Calibri" w:hAnsi="Calibri" w:cs="Calibri"/>
                <w:sz w:val="20"/>
                <w:szCs w:val="20"/>
              </w:rPr>
              <w:t xml:space="preserve">$235 </w:t>
            </w:r>
          </w:p>
        </w:tc>
        <w:tc>
          <w:tcPr>
            <w:tcW w:w="900" w:type="dxa"/>
            <w:tcBorders>
              <w:top w:val="single" w:sz="4" w:space="0" w:color="auto"/>
              <w:left w:val="nil"/>
              <w:bottom w:val="double" w:sz="4" w:space="0" w:color="auto"/>
              <w:right w:val="nil"/>
            </w:tcBorders>
            <w:shd w:val="clear" w:color="auto" w:fill="BFBFBF" w:themeFill="background1" w:themeFillShade="BF"/>
            <w:noWrap/>
            <w:vAlign w:val="bottom"/>
          </w:tcPr>
          <w:p w14:paraId="3CD4DB4E" w14:textId="31BCB9D2" w:rsidR="007B6C2A" w:rsidRPr="0059182A" w:rsidRDefault="007B6C2A" w:rsidP="007B6C2A">
            <w:pPr>
              <w:jc w:val="right"/>
              <w:rPr>
                <w:rFonts w:ascii="Calibri" w:hAnsi="Calibri" w:cs="Calibri"/>
                <w:sz w:val="20"/>
                <w:szCs w:val="20"/>
              </w:rPr>
            </w:pPr>
            <w:r w:rsidRPr="00146CEA">
              <w:rPr>
                <w:rFonts w:ascii="Calibri" w:hAnsi="Calibri" w:cs="Calibri"/>
                <w:sz w:val="20"/>
                <w:szCs w:val="20"/>
              </w:rPr>
              <w:t>7%</w:t>
            </w:r>
          </w:p>
        </w:tc>
        <w:tc>
          <w:tcPr>
            <w:tcW w:w="630" w:type="dxa"/>
            <w:tcBorders>
              <w:top w:val="single" w:sz="4" w:space="0" w:color="auto"/>
              <w:left w:val="nil"/>
              <w:bottom w:val="double" w:sz="4" w:space="0" w:color="auto"/>
              <w:right w:val="nil"/>
            </w:tcBorders>
            <w:shd w:val="clear" w:color="000000" w:fill="FFFFFF"/>
            <w:noWrap/>
            <w:vAlign w:val="bottom"/>
          </w:tcPr>
          <w:p w14:paraId="4CEE12BB" w14:textId="1ED1D373" w:rsidR="007B6C2A" w:rsidRPr="0059182A" w:rsidRDefault="007B6C2A" w:rsidP="007B6C2A">
            <w:pPr>
              <w:jc w:val="right"/>
              <w:rPr>
                <w:rFonts w:ascii="Calibri" w:hAnsi="Calibri" w:cs="Calibri"/>
                <w:sz w:val="20"/>
                <w:szCs w:val="20"/>
              </w:rPr>
            </w:pPr>
            <w:r w:rsidRPr="0059182A">
              <w:rPr>
                <w:rFonts w:ascii="Calibri" w:hAnsi="Calibri" w:cs="Calibri"/>
                <w:sz w:val="20"/>
                <w:szCs w:val="20"/>
              </w:rPr>
              <w:t xml:space="preserve">$220 </w:t>
            </w:r>
          </w:p>
        </w:tc>
        <w:tc>
          <w:tcPr>
            <w:tcW w:w="900" w:type="dxa"/>
            <w:tcBorders>
              <w:top w:val="single" w:sz="4" w:space="0" w:color="auto"/>
              <w:left w:val="nil"/>
              <w:bottom w:val="double" w:sz="4" w:space="0" w:color="auto"/>
              <w:right w:val="nil"/>
            </w:tcBorders>
            <w:shd w:val="clear" w:color="auto" w:fill="BFBFBF" w:themeFill="background1" w:themeFillShade="BF"/>
            <w:vAlign w:val="bottom"/>
          </w:tcPr>
          <w:p w14:paraId="64517024" w14:textId="417694DA" w:rsidR="007B6C2A" w:rsidRPr="0059182A" w:rsidRDefault="007B6C2A" w:rsidP="007B6C2A">
            <w:pPr>
              <w:jc w:val="right"/>
              <w:rPr>
                <w:rFonts w:ascii="Calibri" w:hAnsi="Calibri" w:cs="Calibri"/>
                <w:sz w:val="20"/>
                <w:szCs w:val="20"/>
              </w:rPr>
            </w:pPr>
            <w:r w:rsidRPr="0059182A">
              <w:rPr>
                <w:rFonts w:ascii="Calibri" w:hAnsi="Calibri" w:cs="Calibri"/>
                <w:sz w:val="20"/>
                <w:szCs w:val="20"/>
              </w:rPr>
              <w:t>-29%</w:t>
            </w:r>
          </w:p>
        </w:tc>
        <w:tc>
          <w:tcPr>
            <w:tcW w:w="630" w:type="dxa"/>
            <w:tcBorders>
              <w:top w:val="single" w:sz="4" w:space="0" w:color="auto"/>
              <w:left w:val="nil"/>
              <w:bottom w:val="double" w:sz="4" w:space="0" w:color="auto"/>
              <w:right w:val="nil"/>
            </w:tcBorders>
            <w:shd w:val="clear" w:color="000000" w:fill="FFFFFF"/>
            <w:vAlign w:val="bottom"/>
          </w:tcPr>
          <w:p w14:paraId="2347F79C" w14:textId="7F767B3A" w:rsidR="007B6C2A" w:rsidRPr="0059182A" w:rsidRDefault="007B6C2A" w:rsidP="007B6C2A">
            <w:pPr>
              <w:jc w:val="right"/>
              <w:rPr>
                <w:rFonts w:ascii="Calibri" w:hAnsi="Calibri" w:cs="Calibri"/>
                <w:sz w:val="20"/>
                <w:szCs w:val="20"/>
              </w:rPr>
            </w:pPr>
            <w:r w:rsidRPr="0059182A">
              <w:rPr>
                <w:rFonts w:ascii="Calibri" w:hAnsi="Calibri" w:cs="Calibri"/>
                <w:sz w:val="20"/>
                <w:szCs w:val="20"/>
              </w:rPr>
              <w:t xml:space="preserve">$310 </w:t>
            </w:r>
          </w:p>
        </w:tc>
      </w:tr>
    </w:tbl>
    <w:p w14:paraId="63F6B0D9" w14:textId="77777777" w:rsidR="00A83362" w:rsidRPr="00C50CFD" w:rsidRDefault="00A83362" w:rsidP="00556EAB">
      <w:pPr>
        <w:pStyle w:val="AFR2"/>
        <w:pBdr>
          <w:bottom w:val="single" w:sz="8" w:space="2" w:color="000000" w:themeColor="text1"/>
        </w:pBdr>
        <w:rPr>
          <w:rFonts w:cstheme="minorHAnsi"/>
          <w:smallCaps w:val="0"/>
          <w:sz w:val="28"/>
          <w:szCs w:val="24"/>
        </w:rPr>
      </w:pPr>
      <w:r w:rsidRPr="00C50CFD">
        <w:rPr>
          <w:rFonts w:cstheme="minorHAnsi"/>
          <w:smallCaps w:val="0"/>
          <w:sz w:val="28"/>
          <w:szCs w:val="24"/>
        </w:rPr>
        <w:t>Statements of Changes in Fiduciary Net Position</w:t>
      </w:r>
    </w:p>
    <w:p w14:paraId="2FB97361" w14:textId="328FB968" w:rsidR="005F46CC" w:rsidRDefault="00A83362" w:rsidP="008D6D27">
      <w:pPr>
        <w:tabs>
          <w:tab w:val="left" w:pos="540"/>
        </w:tabs>
        <w:rPr>
          <w:rFonts w:eastAsiaTheme="majorEastAsia" w:cstheme="minorHAnsi"/>
          <w:b/>
          <w:i/>
          <w:iCs/>
          <w:noProof/>
          <w:color w:val="000000" w:themeColor="text1"/>
          <w:sz w:val="28"/>
          <w:szCs w:val="24"/>
          <w:u w:color="5B9BD5"/>
        </w:rPr>
      </w:pPr>
      <w:r w:rsidRPr="004E6649">
        <w:rPr>
          <w:rFonts w:eastAsia="Times New Roman" w:cstheme="minorHAnsi"/>
          <w:sz w:val="24"/>
        </w:rPr>
        <w:t>The Statements of Changes in Fiduciary Net Position show the fiscal year changes in the net position associated with assets held on behalf of the external entities noted in the prior discussion of the Statements of Fiduciary Net Position.</w:t>
      </w:r>
    </w:p>
    <w:p w14:paraId="24835F28" w14:textId="3EE8B398" w:rsidR="00A83362" w:rsidRPr="00EB4A65" w:rsidRDefault="00A83362" w:rsidP="00556EAB">
      <w:pPr>
        <w:pStyle w:val="AFR2"/>
        <w:pBdr>
          <w:bottom w:val="single" w:sz="8" w:space="2" w:color="000000" w:themeColor="text1"/>
        </w:pBdr>
        <w:rPr>
          <w:rFonts w:cstheme="minorHAnsi"/>
          <w:smallCaps w:val="0"/>
          <w:sz w:val="28"/>
          <w:szCs w:val="24"/>
        </w:rPr>
      </w:pPr>
      <w:r w:rsidRPr="00EB4A65">
        <w:rPr>
          <w:rFonts w:cstheme="minorHAnsi"/>
          <w:smallCaps w:val="0"/>
          <w:sz w:val="28"/>
          <w:szCs w:val="24"/>
        </w:rPr>
        <w:t xml:space="preserve">Strategic Vision and </w:t>
      </w:r>
      <w:r w:rsidR="00EB4A65" w:rsidRPr="00EB4A65">
        <w:rPr>
          <w:rFonts w:cstheme="minorHAnsi"/>
          <w:smallCaps w:val="0"/>
          <w:sz w:val="28"/>
          <w:szCs w:val="24"/>
        </w:rPr>
        <w:t>Financial Stewardship</w:t>
      </w:r>
    </w:p>
    <w:p w14:paraId="144F0418" w14:textId="77777777" w:rsidR="00EB4A65" w:rsidRDefault="00EB4A65" w:rsidP="00EB4A65">
      <w:pPr>
        <w:rPr>
          <w:rFonts w:eastAsia="Times New Roman" w:cstheme="minorHAnsi"/>
          <w:sz w:val="24"/>
        </w:rPr>
      </w:pPr>
      <w:r w:rsidRPr="00EB4A65">
        <w:rPr>
          <w:rFonts w:eastAsia="Times New Roman" w:cstheme="minorHAnsi"/>
          <w:sz w:val="24"/>
        </w:rPr>
        <w:t>The University of Maine System remains a critical driver of Maine’s educational attainment, workforce readiness, and economic competitiveness. Guided by its Strategic Plan, approved in May 2023, UMS continues to advance priorities in academic innovation, financial sustainability, infrastructure renewal, and student success. The nation’s first unified accreditation underpins these efforts, enabling multi-university academic programming, operational efficiency, and broad student access across all seven public universities.</w:t>
      </w:r>
    </w:p>
    <w:p w14:paraId="364C66D4" w14:textId="77777777" w:rsidR="005E04F6" w:rsidRPr="00EB4A65" w:rsidRDefault="005E04F6" w:rsidP="00EB4A65">
      <w:pPr>
        <w:rPr>
          <w:rFonts w:eastAsia="Times New Roman" w:cstheme="minorHAnsi"/>
          <w:sz w:val="24"/>
        </w:rPr>
      </w:pPr>
    </w:p>
    <w:p w14:paraId="365CD181" w14:textId="77777777" w:rsidR="00EB4A65" w:rsidRPr="00EB4A65" w:rsidRDefault="00EB4A65" w:rsidP="00EB4A65">
      <w:pPr>
        <w:rPr>
          <w:rFonts w:eastAsia="Times New Roman" w:cstheme="minorHAnsi"/>
          <w:sz w:val="24"/>
        </w:rPr>
      </w:pPr>
      <w:r w:rsidRPr="00EB4A65">
        <w:rPr>
          <w:rFonts w:eastAsia="Times New Roman" w:cstheme="minorHAnsi"/>
          <w:sz w:val="24"/>
        </w:rPr>
        <w:t>A defining feature of this transformation is UMS TRANSFORMS, fueled by the Harold Alfond Foundation’s $320 million investment and nearly $200 million in matching commitments. This initiative is strengthening Maine’s economy by:</w:t>
      </w:r>
    </w:p>
    <w:p w14:paraId="21DE11F7" w14:textId="77777777" w:rsidR="00EB4A65" w:rsidRPr="00EB4A65" w:rsidRDefault="00EB4A65" w:rsidP="00EB4A65">
      <w:pPr>
        <w:numPr>
          <w:ilvl w:val="0"/>
          <w:numId w:val="57"/>
        </w:numPr>
        <w:spacing w:line="278" w:lineRule="auto"/>
        <w:rPr>
          <w:rFonts w:eastAsia="Times New Roman" w:cstheme="minorHAnsi"/>
          <w:sz w:val="24"/>
        </w:rPr>
      </w:pPr>
      <w:r w:rsidRPr="00EB4A65">
        <w:rPr>
          <w:rFonts w:eastAsia="Times New Roman" w:cstheme="minorHAnsi"/>
          <w:sz w:val="24"/>
        </w:rPr>
        <w:t>Expanding engineering, computing, and health workforce pipelines.</w:t>
      </w:r>
    </w:p>
    <w:p w14:paraId="5F63EAE0" w14:textId="77777777" w:rsidR="00EB4A65" w:rsidRPr="00EB4A65" w:rsidRDefault="00EB4A65" w:rsidP="00EB4A65">
      <w:pPr>
        <w:numPr>
          <w:ilvl w:val="0"/>
          <w:numId w:val="57"/>
        </w:numPr>
        <w:spacing w:line="278" w:lineRule="auto"/>
        <w:rPr>
          <w:rFonts w:eastAsia="Times New Roman" w:cstheme="minorHAnsi"/>
          <w:sz w:val="24"/>
        </w:rPr>
      </w:pPr>
      <w:r w:rsidRPr="00EB4A65">
        <w:rPr>
          <w:rFonts w:eastAsia="Times New Roman" w:cstheme="minorHAnsi"/>
          <w:sz w:val="24"/>
        </w:rPr>
        <w:t>Integrating graduate business, law, health, and policy programs responsive to employer needs.</w:t>
      </w:r>
    </w:p>
    <w:p w14:paraId="17366B6B" w14:textId="77777777" w:rsidR="00EB4A65" w:rsidRPr="00EB4A65" w:rsidRDefault="00EB4A65" w:rsidP="00EB4A65">
      <w:pPr>
        <w:numPr>
          <w:ilvl w:val="0"/>
          <w:numId w:val="57"/>
        </w:numPr>
        <w:spacing w:line="278" w:lineRule="auto"/>
        <w:rPr>
          <w:rFonts w:eastAsia="Times New Roman" w:cstheme="minorHAnsi"/>
          <w:sz w:val="24"/>
        </w:rPr>
      </w:pPr>
      <w:r w:rsidRPr="00EB4A65">
        <w:rPr>
          <w:rFonts w:eastAsia="Times New Roman" w:cstheme="minorHAnsi"/>
          <w:sz w:val="24"/>
        </w:rPr>
        <w:t>Modernizing athletic and academic facilities to support recruitment, retention, and student engagement.</w:t>
      </w:r>
    </w:p>
    <w:p w14:paraId="1DC3ABC2" w14:textId="77777777" w:rsidR="00EB4A65" w:rsidRPr="00EB4A65" w:rsidRDefault="00EB4A65" w:rsidP="00EB4A65">
      <w:pPr>
        <w:numPr>
          <w:ilvl w:val="0"/>
          <w:numId w:val="57"/>
        </w:numPr>
        <w:spacing w:line="278" w:lineRule="auto"/>
        <w:rPr>
          <w:rFonts w:eastAsia="Times New Roman" w:cstheme="minorHAnsi"/>
          <w:sz w:val="24"/>
        </w:rPr>
      </w:pPr>
      <w:r w:rsidRPr="00EB4A65">
        <w:rPr>
          <w:rFonts w:eastAsia="Times New Roman" w:cstheme="minorHAnsi"/>
          <w:sz w:val="24"/>
        </w:rPr>
        <w:t>Advancing student success through redesigned STEM gateway courses, expanded tutoring, and early access to hands-on research and paid internships.</w:t>
      </w:r>
    </w:p>
    <w:p w14:paraId="18BDD0D0" w14:textId="48C35BC8" w:rsidR="00EB4A65" w:rsidRPr="00EB4A65" w:rsidRDefault="00EB4A65" w:rsidP="00EB4A65">
      <w:pPr>
        <w:rPr>
          <w:rFonts w:eastAsia="Times New Roman" w:cstheme="minorHAnsi"/>
          <w:sz w:val="24"/>
        </w:rPr>
      </w:pPr>
      <w:r w:rsidRPr="00EB4A65">
        <w:rPr>
          <w:rFonts w:eastAsia="Times New Roman" w:cstheme="minorHAnsi"/>
          <w:sz w:val="24"/>
        </w:rPr>
        <w:lastRenderedPageBreak/>
        <w:t xml:space="preserve">Strategic investments, sustained increases in State appropriations, and the affirmation of UMS’s strong </w:t>
      </w:r>
      <w:r w:rsidR="000E3ECD" w:rsidRPr="004E6649">
        <w:rPr>
          <w:rFonts w:eastAsia="Times New Roman" w:cstheme="minorHAnsi"/>
          <w:bCs/>
          <w:spacing w:val="-3"/>
          <w:sz w:val="24"/>
          <w:szCs w:val="20"/>
        </w:rPr>
        <w:t xml:space="preserve">Standard and Poor’s </w:t>
      </w:r>
      <w:r w:rsidR="000E3ECD">
        <w:rPr>
          <w:rFonts w:eastAsia="Times New Roman" w:cstheme="minorHAnsi"/>
          <w:bCs/>
          <w:spacing w:val="-3"/>
          <w:sz w:val="24"/>
          <w:szCs w:val="20"/>
        </w:rPr>
        <w:t>(</w:t>
      </w:r>
      <w:r w:rsidRPr="00EB4A65">
        <w:rPr>
          <w:rFonts w:eastAsia="Times New Roman" w:cstheme="minorHAnsi"/>
          <w:sz w:val="24"/>
        </w:rPr>
        <w:t>S&amp;P</w:t>
      </w:r>
      <w:r w:rsidR="000E3ECD">
        <w:rPr>
          <w:rFonts w:eastAsia="Times New Roman" w:cstheme="minorHAnsi"/>
          <w:sz w:val="24"/>
        </w:rPr>
        <w:t>)</w:t>
      </w:r>
      <w:r w:rsidRPr="00EB4A65">
        <w:rPr>
          <w:rFonts w:eastAsia="Times New Roman" w:cstheme="minorHAnsi"/>
          <w:sz w:val="24"/>
        </w:rPr>
        <w:t xml:space="preserve"> credit rating have helped to strengthen the System’s financial foundation and position us for improved long-term fiscal stability and impact. Continued progress, however, will require ongoing—and potentially increased—support particularly as we address significant deferred maintenance needs.</w:t>
      </w:r>
    </w:p>
    <w:p w14:paraId="450068BF" w14:textId="77777777" w:rsidR="00EB4A65" w:rsidRPr="00EB4A65" w:rsidRDefault="00EB4A65" w:rsidP="00EB4A65">
      <w:pPr>
        <w:pStyle w:val="AFR3"/>
        <w:rPr>
          <w:rFonts w:cstheme="minorHAnsi"/>
          <w:sz w:val="24"/>
          <w:szCs w:val="20"/>
        </w:rPr>
      </w:pPr>
      <w:r w:rsidRPr="00EB4A65">
        <w:rPr>
          <w:rFonts w:cstheme="minorHAnsi"/>
          <w:sz w:val="24"/>
          <w:szCs w:val="20"/>
        </w:rPr>
        <w:t>FY25 Progress and Future Focus</w:t>
      </w:r>
    </w:p>
    <w:p w14:paraId="3BBF2F2B" w14:textId="77777777" w:rsidR="00EB4A65" w:rsidRPr="00EB4A65" w:rsidRDefault="00EB4A65" w:rsidP="00202660">
      <w:pPr>
        <w:spacing w:after="120"/>
        <w:rPr>
          <w:rFonts w:eastAsia="Times New Roman" w:cstheme="minorHAnsi"/>
          <w:sz w:val="24"/>
        </w:rPr>
      </w:pPr>
      <w:r w:rsidRPr="00EB4A65">
        <w:rPr>
          <w:rFonts w:eastAsia="Times New Roman" w:cstheme="minorHAnsi"/>
          <w:sz w:val="24"/>
        </w:rPr>
        <w:t>The Board of Trustees has maintained strong oversight of UMS operations, advancing fiscal discipline, structural reforms, and accountability. In FY25, the System achieved several milestones consistent with its mission and strategic priorities:</w:t>
      </w:r>
    </w:p>
    <w:p w14:paraId="30815EE9" w14:textId="77777777" w:rsidR="00EB4A65" w:rsidRPr="00EB4A65" w:rsidRDefault="00EB4A65" w:rsidP="00202660">
      <w:pPr>
        <w:numPr>
          <w:ilvl w:val="0"/>
          <w:numId w:val="58"/>
        </w:numPr>
        <w:spacing w:after="120" w:line="278" w:lineRule="auto"/>
        <w:rPr>
          <w:rFonts w:eastAsia="Times New Roman" w:cstheme="minorHAnsi"/>
          <w:sz w:val="24"/>
        </w:rPr>
      </w:pPr>
      <w:r w:rsidRPr="00EB4A65">
        <w:rPr>
          <w:rFonts w:eastAsia="Times New Roman" w:cstheme="minorHAnsi"/>
          <w:sz w:val="24"/>
        </w:rPr>
        <w:t>Enrollment Growth: For the first time in more than two decades, undergraduate enrollment increased, accompanied by record levels of graduate enrollment, transfers, and the largest entering law class since 2008.</w:t>
      </w:r>
    </w:p>
    <w:p w14:paraId="6E22E5C3" w14:textId="77777777" w:rsidR="00EB4A65" w:rsidRPr="00EB4A65" w:rsidRDefault="00EB4A65" w:rsidP="00202660">
      <w:pPr>
        <w:numPr>
          <w:ilvl w:val="0"/>
          <w:numId w:val="58"/>
        </w:numPr>
        <w:spacing w:after="120" w:line="278" w:lineRule="auto"/>
        <w:rPr>
          <w:rFonts w:eastAsia="Times New Roman" w:cstheme="minorHAnsi"/>
          <w:sz w:val="24"/>
        </w:rPr>
      </w:pPr>
      <w:r w:rsidRPr="00EB4A65">
        <w:rPr>
          <w:rFonts w:eastAsia="Times New Roman" w:cstheme="minorHAnsi"/>
          <w:sz w:val="24"/>
        </w:rPr>
        <w:t>Access and Affordability: Expansion of direct admission for Maine high school students and more than 150 articulation agreements with Maine Community Colleges strengthened pathways to affordable higher education.</w:t>
      </w:r>
    </w:p>
    <w:p w14:paraId="4BD550DE" w14:textId="77777777" w:rsidR="00EB4A65" w:rsidRPr="00EB4A65" w:rsidRDefault="00EB4A65" w:rsidP="00202660">
      <w:pPr>
        <w:numPr>
          <w:ilvl w:val="0"/>
          <w:numId w:val="58"/>
        </w:numPr>
        <w:spacing w:after="120" w:line="278" w:lineRule="auto"/>
        <w:rPr>
          <w:rFonts w:eastAsia="Times New Roman" w:cstheme="minorHAnsi"/>
          <w:sz w:val="24"/>
        </w:rPr>
      </w:pPr>
      <w:r w:rsidRPr="00EB4A65">
        <w:rPr>
          <w:rFonts w:eastAsia="Times New Roman" w:cstheme="minorHAnsi"/>
          <w:sz w:val="24"/>
        </w:rPr>
        <w:t>Infrastructure Modernization: Significant investments across campuses—including housing, academic, and research facilities—are modernizing environments and enhancing student experience.</w:t>
      </w:r>
    </w:p>
    <w:p w14:paraId="518C2532" w14:textId="653797AD" w:rsidR="00EB4A65" w:rsidRPr="00EB4A65" w:rsidRDefault="00EB4A65" w:rsidP="00EB4A65">
      <w:pPr>
        <w:numPr>
          <w:ilvl w:val="0"/>
          <w:numId w:val="58"/>
        </w:numPr>
        <w:spacing w:line="278" w:lineRule="auto"/>
        <w:rPr>
          <w:rFonts w:eastAsia="Times New Roman" w:cstheme="minorHAnsi"/>
          <w:sz w:val="24"/>
        </w:rPr>
      </w:pPr>
      <w:r w:rsidRPr="00EB4A65">
        <w:rPr>
          <w:rFonts w:eastAsia="Times New Roman" w:cstheme="minorHAnsi"/>
          <w:sz w:val="24"/>
        </w:rPr>
        <w:t>Research and Innovation: Anchored by UM’s R1 classification, UMS is positioning itself as a leader in research-driven innovation—pursuing shared infrastructure and strategic partnerships to bolster Maine’s competitiveness and support national security priorities.</w:t>
      </w:r>
    </w:p>
    <w:p w14:paraId="087BD31F" w14:textId="77777777" w:rsidR="00EB4A65" w:rsidRPr="00EB4A65" w:rsidRDefault="00EB4A65" w:rsidP="00EB4A65">
      <w:pPr>
        <w:spacing w:before="160"/>
        <w:rPr>
          <w:rFonts w:eastAsia="Times New Roman" w:cstheme="minorHAnsi"/>
          <w:sz w:val="24"/>
        </w:rPr>
      </w:pPr>
      <w:r w:rsidRPr="00EB4A65">
        <w:rPr>
          <w:rFonts w:eastAsia="Times New Roman" w:cstheme="minorHAnsi"/>
          <w:sz w:val="24"/>
        </w:rPr>
        <w:t>These accomplishments reflect the Board’s commitment to sustaining long-term value for students, Maine taxpayers, and other stakeholders.</w:t>
      </w:r>
    </w:p>
    <w:p w14:paraId="115F0B94" w14:textId="77777777" w:rsidR="00EB4A65" w:rsidRPr="00EB4A65" w:rsidRDefault="00EB4A65" w:rsidP="00202660">
      <w:pPr>
        <w:spacing w:before="160" w:after="120"/>
        <w:rPr>
          <w:rFonts w:eastAsia="Times New Roman" w:cstheme="minorHAnsi"/>
          <w:sz w:val="24"/>
        </w:rPr>
      </w:pPr>
      <w:r w:rsidRPr="00EB4A65">
        <w:rPr>
          <w:rFonts w:eastAsia="Times New Roman" w:cstheme="minorHAnsi"/>
          <w:sz w:val="24"/>
        </w:rPr>
        <w:t>UMS remains proactive in addressing challenges such as demographic headwinds, inflationary pressures, deferred maintenance, and federal policy changes. At the same time, the System is pursuing opportunities that align with Maine’s future economic and social needs. Key priorities include:</w:t>
      </w:r>
    </w:p>
    <w:p w14:paraId="064BF2E7" w14:textId="77777777" w:rsidR="00EB4A65" w:rsidRPr="00EB4A65" w:rsidRDefault="00EB4A65" w:rsidP="00202660">
      <w:pPr>
        <w:numPr>
          <w:ilvl w:val="0"/>
          <w:numId w:val="59"/>
        </w:numPr>
        <w:spacing w:after="120" w:line="278" w:lineRule="auto"/>
        <w:rPr>
          <w:rFonts w:eastAsia="Times New Roman" w:cstheme="minorHAnsi"/>
          <w:sz w:val="24"/>
        </w:rPr>
      </w:pPr>
      <w:r w:rsidRPr="00EB4A65">
        <w:rPr>
          <w:rFonts w:eastAsia="Times New Roman" w:cstheme="minorHAnsi"/>
          <w:sz w:val="24"/>
        </w:rPr>
        <w:t>Workforce-Aligned Education: Expanding programs in high-demand sectors such as healthcare, advanced manufacturing, and cybersecurity, with a goal of doubling nursing graduates and scaling employer-driven partnerships.</w:t>
      </w:r>
    </w:p>
    <w:p w14:paraId="2AB23BFF" w14:textId="77777777" w:rsidR="00EB4A65" w:rsidRPr="00EB4A65" w:rsidRDefault="00EB4A65" w:rsidP="00202660">
      <w:pPr>
        <w:numPr>
          <w:ilvl w:val="0"/>
          <w:numId w:val="59"/>
        </w:numPr>
        <w:spacing w:after="120" w:line="278" w:lineRule="auto"/>
        <w:rPr>
          <w:rFonts w:eastAsia="Times New Roman" w:cstheme="minorHAnsi"/>
          <w:sz w:val="24"/>
        </w:rPr>
      </w:pPr>
      <w:r w:rsidRPr="00EB4A65">
        <w:rPr>
          <w:rFonts w:eastAsia="Times New Roman" w:cstheme="minorHAnsi"/>
          <w:sz w:val="24"/>
        </w:rPr>
        <w:t>Access for Lifelong Learners: Broadening online and hybrid offerings, competency-based education, and flexible degree-completion pathways for working adults.</w:t>
      </w:r>
    </w:p>
    <w:p w14:paraId="12B46255" w14:textId="77777777" w:rsidR="00EB4A65" w:rsidRPr="00EB4A65" w:rsidRDefault="00EB4A65" w:rsidP="00202660">
      <w:pPr>
        <w:numPr>
          <w:ilvl w:val="0"/>
          <w:numId w:val="59"/>
        </w:numPr>
        <w:spacing w:after="120" w:line="278" w:lineRule="auto"/>
        <w:rPr>
          <w:rFonts w:eastAsia="Times New Roman" w:cstheme="minorHAnsi"/>
          <w:sz w:val="24"/>
        </w:rPr>
      </w:pPr>
      <w:r w:rsidRPr="00EB4A65">
        <w:rPr>
          <w:rFonts w:eastAsia="Times New Roman" w:cstheme="minorHAnsi"/>
          <w:sz w:val="24"/>
        </w:rPr>
        <w:t>Technology and Analytics: Leveraging artificial intelligence and advanced analytics to strengthen financial planning, student services, and operational efficiency.</w:t>
      </w:r>
    </w:p>
    <w:p w14:paraId="2D2D0F4D" w14:textId="77777777" w:rsidR="00EB4A65" w:rsidRPr="00EB4A65" w:rsidRDefault="00EB4A65" w:rsidP="00EB4A65">
      <w:pPr>
        <w:numPr>
          <w:ilvl w:val="0"/>
          <w:numId w:val="59"/>
        </w:numPr>
        <w:spacing w:line="278" w:lineRule="auto"/>
        <w:rPr>
          <w:rFonts w:eastAsia="Times New Roman" w:cstheme="minorHAnsi"/>
          <w:sz w:val="24"/>
        </w:rPr>
      </w:pPr>
      <w:r w:rsidRPr="00EB4A65">
        <w:rPr>
          <w:rFonts w:eastAsia="Times New Roman" w:cstheme="minorHAnsi"/>
          <w:sz w:val="24"/>
        </w:rPr>
        <w:t>Infrastructure Renewal: Sustaining momentum in housing and academic facility investments to enhance recruitment, retention, and research capacity.</w:t>
      </w:r>
    </w:p>
    <w:p w14:paraId="34B0CE32" w14:textId="77777777" w:rsidR="00EB4A65" w:rsidRPr="00EB4A65" w:rsidRDefault="00EB4A65" w:rsidP="00EB4A65">
      <w:pPr>
        <w:numPr>
          <w:ilvl w:val="0"/>
          <w:numId w:val="59"/>
        </w:numPr>
        <w:spacing w:line="278" w:lineRule="auto"/>
        <w:rPr>
          <w:rFonts w:eastAsia="Times New Roman" w:cstheme="minorHAnsi"/>
          <w:sz w:val="24"/>
        </w:rPr>
      </w:pPr>
      <w:r w:rsidRPr="00EB4A65">
        <w:rPr>
          <w:rFonts w:eastAsia="Times New Roman" w:cstheme="minorHAnsi"/>
          <w:sz w:val="24"/>
        </w:rPr>
        <w:lastRenderedPageBreak/>
        <w:t>Collaborative Innovation: Using unified accreditation to expand multi-university programs, employer partnerships, and shared services, ensuring UMS remains both affordable and academically competitive.</w:t>
      </w:r>
    </w:p>
    <w:p w14:paraId="3BF3B8A5" w14:textId="77777777" w:rsidR="00B762DB" w:rsidRDefault="00EB4A65" w:rsidP="00EB4A65">
      <w:pPr>
        <w:spacing w:before="160"/>
        <w:rPr>
          <w:rFonts w:eastAsia="Times New Roman" w:cstheme="minorHAnsi"/>
          <w:sz w:val="24"/>
        </w:rPr>
        <w:sectPr w:rsidR="00B762DB" w:rsidSect="00DC059D">
          <w:headerReference w:type="default" r:id="rId37"/>
          <w:footerReference w:type="default" r:id="rId38"/>
          <w:pgSz w:w="12240" w:h="15840"/>
          <w:pgMar w:top="634" w:right="965" w:bottom="1123" w:left="965" w:header="720" w:footer="720" w:gutter="0"/>
          <w:cols w:space="720"/>
          <w:docGrid w:linePitch="299"/>
        </w:sectPr>
      </w:pPr>
      <w:r w:rsidRPr="00EB4A65">
        <w:rPr>
          <w:rFonts w:eastAsia="Times New Roman" w:cstheme="minorHAnsi"/>
          <w:sz w:val="24"/>
        </w:rPr>
        <w:t>Through careful financial stewardship, strategic partnerships, and innovative academic programming, UMS has reinforced its position as both Maine’s most powerful engine of upward mobility and a national model for affordability and access. Building on enrollment growth, public and private investment, and a strong credit profile, the System enters FY26 with continued focus on remaining fiscally resilient while expanding its impact on Maine’s economy, workforce, and communities.</w:t>
      </w:r>
    </w:p>
    <w:p w14:paraId="7DE32A1A" w14:textId="77777777" w:rsidR="00EB4A65" w:rsidRPr="009146F8" w:rsidRDefault="00EB4A65" w:rsidP="00EB4A65">
      <w:pPr>
        <w:spacing w:before="160"/>
      </w:pPr>
    </w:p>
    <w:p w14:paraId="261841C9" w14:textId="77777777" w:rsidR="00EB4A65" w:rsidRDefault="00EB4A65">
      <w:pPr>
        <w:spacing w:after="160" w:line="259" w:lineRule="auto"/>
        <w:rPr>
          <w:rFonts w:cstheme="minorHAnsi"/>
          <w:b/>
          <w:i/>
          <w:sz w:val="26"/>
          <w:szCs w:val="26"/>
        </w:rPr>
      </w:pPr>
      <w:r>
        <w:rPr>
          <w:rFonts w:cstheme="minorHAnsi"/>
          <w:b/>
          <w:i/>
          <w:sz w:val="26"/>
          <w:szCs w:val="26"/>
        </w:rPr>
        <w:br w:type="page"/>
      </w:r>
    </w:p>
    <w:p w14:paraId="64072CDE" w14:textId="13D9D049" w:rsidR="002A66B3" w:rsidRPr="002A66B3" w:rsidRDefault="002A66B3" w:rsidP="00730ECF">
      <w:pPr>
        <w:rPr>
          <w:rFonts w:cstheme="minorHAnsi"/>
          <w:b/>
          <w:i/>
          <w:sz w:val="26"/>
          <w:szCs w:val="26"/>
        </w:rPr>
      </w:pPr>
      <w:r w:rsidRPr="002A66B3">
        <w:rPr>
          <w:rFonts w:cstheme="minorHAnsi"/>
          <w:b/>
          <w:i/>
          <w:sz w:val="26"/>
          <w:szCs w:val="26"/>
        </w:rPr>
        <w:lastRenderedPageBreak/>
        <w:t>UNIVERSITY OF MAINE SYSTEM</w:t>
      </w:r>
    </w:p>
    <w:p w14:paraId="0251249B" w14:textId="77777777" w:rsidR="002A66B3" w:rsidRPr="00730ECF" w:rsidRDefault="002A66B3" w:rsidP="00730ECF">
      <w:pPr>
        <w:keepNext/>
        <w:pBdr>
          <w:bottom w:val="single" w:sz="18" w:space="1" w:color="00688D"/>
        </w:pBdr>
        <w:suppressAutoHyphens/>
        <w:outlineLvl w:val="0"/>
        <w:rPr>
          <w:rFonts w:cstheme="minorHAnsi"/>
          <w:b/>
          <w:i/>
          <w:caps/>
          <w:color w:val="000000"/>
          <w:spacing w:val="-3"/>
          <w:sz w:val="26"/>
          <w:szCs w:val="26"/>
        </w:rPr>
      </w:pPr>
      <w:bookmarkStart w:id="6" w:name="SNP"/>
      <w:r w:rsidRPr="00730ECF">
        <w:rPr>
          <w:rFonts w:cstheme="minorHAnsi"/>
          <w:b/>
          <w:i/>
          <w:caps/>
          <w:color w:val="000000"/>
          <w:spacing w:val="-3"/>
          <w:sz w:val="26"/>
          <w:szCs w:val="26"/>
        </w:rPr>
        <w:t>STATEMENTS OF NET POSITION</w:t>
      </w:r>
    </w:p>
    <w:bookmarkEnd w:id="6"/>
    <w:p w14:paraId="7DF60D9F" w14:textId="77777777" w:rsidR="002A66B3" w:rsidRPr="00730ECF" w:rsidRDefault="002A66B3" w:rsidP="006743EC">
      <w:pPr>
        <w:keepNext/>
        <w:pBdr>
          <w:bottom w:val="single" w:sz="18" w:space="1" w:color="00688D"/>
        </w:pBdr>
        <w:suppressAutoHyphens/>
        <w:spacing w:after="120"/>
        <w:outlineLvl w:val="0"/>
        <w:rPr>
          <w:rFonts w:cstheme="minorHAnsi"/>
          <w:b/>
          <w:i/>
          <w:caps/>
          <w:color w:val="000000"/>
          <w:spacing w:val="-3"/>
          <w:sz w:val="26"/>
          <w:szCs w:val="26"/>
        </w:rPr>
      </w:pPr>
      <w:r w:rsidRPr="00730ECF">
        <w:rPr>
          <w:rFonts w:cstheme="minorHAnsi"/>
          <w:b/>
          <w:i/>
          <w:caps/>
          <w:color w:val="000000"/>
          <w:spacing w:val="-3"/>
          <w:sz w:val="26"/>
          <w:szCs w:val="26"/>
        </w:rPr>
        <w:t>JUNE 30, 2025 AND 2024 (IN THOUSANDS)</w:t>
      </w:r>
    </w:p>
    <w:tbl>
      <w:tblPr>
        <w:tblW w:w="9413" w:type="dxa"/>
        <w:jc w:val="center"/>
        <w:tblLook w:val="04A0" w:firstRow="1" w:lastRow="0" w:firstColumn="1" w:lastColumn="0" w:noHBand="0" w:noVBand="1"/>
      </w:tblPr>
      <w:tblGrid>
        <w:gridCol w:w="6640"/>
        <w:gridCol w:w="1240"/>
        <w:gridCol w:w="1533"/>
      </w:tblGrid>
      <w:tr w:rsidR="002A66B3" w:rsidRPr="002A66B3" w14:paraId="09F701D6" w14:textId="77777777" w:rsidTr="00730ECF">
        <w:trPr>
          <w:trHeight w:val="243"/>
          <w:jc w:val="center"/>
        </w:trPr>
        <w:tc>
          <w:tcPr>
            <w:tcW w:w="6640" w:type="dxa"/>
            <w:tcBorders>
              <w:top w:val="nil"/>
              <w:left w:val="nil"/>
              <w:bottom w:val="single" w:sz="12" w:space="0" w:color="000000"/>
              <w:right w:val="nil"/>
            </w:tcBorders>
            <w:shd w:val="clear" w:color="000000" w:fill="FFFFFF"/>
            <w:noWrap/>
            <w:vAlign w:val="bottom"/>
            <w:hideMark/>
          </w:tcPr>
          <w:p w14:paraId="63757942" w14:textId="037CD448" w:rsidR="002A66B3" w:rsidRPr="00730ECF" w:rsidRDefault="002A66B3" w:rsidP="002A66B3">
            <w:pPr>
              <w:rPr>
                <w:rFonts w:cstheme="minorHAnsi"/>
                <w:b/>
                <w:bCs/>
                <w:color w:val="000000"/>
                <w:sz w:val="20"/>
                <w:szCs w:val="20"/>
              </w:rPr>
            </w:pPr>
          </w:p>
        </w:tc>
        <w:tc>
          <w:tcPr>
            <w:tcW w:w="1240" w:type="dxa"/>
            <w:tcBorders>
              <w:top w:val="nil"/>
              <w:left w:val="nil"/>
              <w:bottom w:val="single" w:sz="12" w:space="0" w:color="000000"/>
              <w:right w:val="nil"/>
            </w:tcBorders>
            <w:shd w:val="clear" w:color="000000" w:fill="FFFFFF"/>
            <w:noWrap/>
            <w:vAlign w:val="bottom"/>
            <w:hideMark/>
          </w:tcPr>
          <w:p w14:paraId="2CB9CA7F" w14:textId="77777777" w:rsidR="002A66B3" w:rsidRPr="00730ECF" w:rsidRDefault="002A66B3" w:rsidP="002A66B3">
            <w:pPr>
              <w:jc w:val="center"/>
              <w:rPr>
                <w:rFonts w:cstheme="minorHAnsi"/>
                <w:b/>
                <w:bCs/>
                <w:sz w:val="20"/>
                <w:szCs w:val="20"/>
              </w:rPr>
            </w:pPr>
            <w:r w:rsidRPr="00730ECF">
              <w:rPr>
                <w:rFonts w:cstheme="minorHAnsi"/>
                <w:b/>
                <w:bCs/>
                <w:sz w:val="20"/>
                <w:szCs w:val="20"/>
              </w:rPr>
              <w:t>2025</w:t>
            </w:r>
          </w:p>
        </w:tc>
        <w:tc>
          <w:tcPr>
            <w:tcW w:w="1533" w:type="dxa"/>
            <w:tcBorders>
              <w:top w:val="nil"/>
              <w:left w:val="nil"/>
              <w:bottom w:val="single" w:sz="12" w:space="0" w:color="000000"/>
              <w:right w:val="nil"/>
            </w:tcBorders>
            <w:shd w:val="clear" w:color="000000" w:fill="FFFFFF"/>
            <w:vAlign w:val="bottom"/>
            <w:hideMark/>
          </w:tcPr>
          <w:p w14:paraId="6E9A24BA" w14:textId="77777777" w:rsidR="002A66B3" w:rsidRPr="00730ECF" w:rsidRDefault="002A66B3" w:rsidP="002A66B3">
            <w:pPr>
              <w:jc w:val="center"/>
              <w:rPr>
                <w:rFonts w:cstheme="minorHAnsi"/>
                <w:b/>
                <w:bCs/>
                <w:color w:val="000000"/>
                <w:sz w:val="20"/>
                <w:szCs w:val="20"/>
              </w:rPr>
            </w:pPr>
            <w:r w:rsidRPr="00730ECF">
              <w:rPr>
                <w:rFonts w:cstheme="minorHAnsi"/>
                <w:b/>
                <w:bCs/>
                <w:color w:val="000000"/>
                <w:sz w:val="20"/>
                <w:szCs w:val="20"/>
              </w:rPr>
              <w:t>2024</w:t>
            </w:r>
          </w:p>
          <w:p w14:paraId="2A7FF56C" w14:textId="77777777" w:rsidR="002A66B3" w:rsidRPr="00730ECF" w:rsidRDefault="002A66B3" w:rsidP="002A66B3">
            <w:pPr>
              <w:jc w:val="center"/>
              <w:rPr>
                <w:rFonts w:cstheme="minorHAnsi"/>
                <w:b/>
                <w:bCs/>
                <w:color w:val="000000"/>
                <w:sz w:val="20"/>
                <w:szCs w:val="20"/>
              </w:rPr>
            </w:pPr>
            <w:r w:rsidRPr="00730ECF">
              <w:rPr>
                <w:rFonts w:cstheme="minorHAnsi"/>
                <w:b/>
                <w:bCs/>
                <w:color w:val="000000"/>
                <w:sz w:val="20"/>
                <w:szCs w:val="20"/>
              </w:rPr>
              <w:t>Restated</w:t>
            </w:r>
          </w:p>
        </w:tc>
      </w:tr>
      <w:tr w:rsidR="002A66B3" w:rsidRPr="002A66B3" w14:paraId="62D4A29E" w14:textId="77777777" w:rsidTr="00730ECF">
        <w:trPr>
          <w:trHeight w:val="78"/>
          <w:jc w:val="center"/>
        </w:trPr>
        <w:tc>
          <w:tcPr>
            <w:tcW w:w="6640" w:type="dxa"/>
            <w:tcBorders>
              <w:top w:val="nil"/>
              <w:left w:val="nil"/>
              <w:bottom w:val="nil"/>
              <w:right w:val="nil"/>
            </w:tcBorders>
            <w:shd w:val="clear" w:color="000000" w:fill="FFFFFF"/>
            <w:noWrap/>
            <w:vAlign w:val="bottom"/>
            <w:hideMark/>
          </w:tcPr>
          <w:p w14:paraId="640E1ACC" w14:textId="77777777" w:rsidR="002A66B3" w:rsidRPr="00730ECF" w:rsidRDefault="002A66B3" w:rsidP="002A66B3">
            <w:pPr>
              <w:rPr>
                <w:rFonts w:cstheme="minorHAnsi"/>
                <w:b/>
                <w:bCs/>
                <w:color w:val="000000"/>
                <w:sz w:val="20"/>
                <w:szCs w:val="20"/>
              </w:rPr>
            </w:pPr>
            <w:r w:rsidRPr="00730ECF">
              <w:rPr>
                <w:rFonts w:cstheme="minorHAnsi"/>
                <w:b/>
                <w:bCs/>
                <w:color w:val="000000"/>
                <w:sz w:val="20"/>
                <w:szCs w:val="20"/>
              </w:rPr>
              <w:t>Assets</w:t>
            </w:r>
          </w:p>
        </w:tc>
        <w:tc>
          <w:tcPr>
            <w:tcW w:w="1240" w:type="dxa"/>
            <w:tcBorders>
              <w:top w:val="nil"/>
              <w:left w:val="nil"/>
              <w:bottom w:val="nil"/>
              <w:right w:val="nil"/>
            </w:tcBorders>
            <w:shd w:val="clear" w:color="000000" w:fill="FFFFFF"/>
            <w:noWrap/>
            <w:vAlign w:val="bottom"/>
            <w:hideMark/>
          </w:tcPr>
          <w:p w14:paraId="0C26FCD3" w14:textId="528B3412" w:rsidR="002A66B3" w:rsidRPr="00730ECF" w:rsidRDefault="002A66B3" w:rsidP="002A66B3">
            <w:pPr>
              <w:jc w:val="center"/>
              <w:rPr>
                <w:rFonts w:cstheme="minorHAnsi"/>
                <w:b/>
                <w:bCs/>
                <w:sz w:val="20"/>
                <w:szCs w:val="20"/>
              </w:rPr>
            </w:pPr>
          </w:p>
        </w:tc>
        <w:tc>
          <w:tcPr>
            <w:tcW w:w="1533" w:type="dxa"/>
            <w:tcBorders>
              <w:top w:val="nil"/>
              <w:left w:val="nil"/>
              <w:bottom w:val="nil"/>
              <w:right w:val="nil"/>
            </w:tcBorders>
            <w:shd w:val="clear" w:color="000000" w:fill="FFFFFF"/>
            <w:noWrap/>
            <w:vAlign w:val="bottom"/>
            <w:hideMark/>
          </w:tcPr>
          <w:p w14:paraId="4EBDCFAB" w14:textId="45CBB6F1" w:rsidR="002A66B3" w:rsidRPr="00730ECF" w:rsidRDefault="002A66B3" w:rsidP="002A66B3">
            <w:pPr>
              <w:jc w:val="center"/>
              <w:rPr>
                <w:rFonts w:cstheme="minorHAnsi"/>
                <w:b/>
                <w:bCs/>
                <w:color w:val="000000"/>
                <w:sz w:val="20"/>
                <w:szCs w:val="20"/>
              </w:rPr>
            </w:pPr>
          </w:p>
        </w:tc>
      </w:tr>
      <w:tr w:rsidR="002A66B3" w:rsidRPr="002A66B3" w14:paraId="7898649C" w14:textId="77777777" w:rsidTr="00730ECF">
        <w:trPr>
          <w:trHeight w:val="80"/>
          <w:jc w:val="center"/>
        </w:trPr>
        <w:tc>
          <w:tcPr>
            <w:tcW w:w="6640" w:type="dxa"/>
            <w:tcBorders>
              <w:top w:val="nil"/>
              <w:left w:val="nil"/>
              <w:bottom w:val="nil"/>
              <w:right w:val="nil"/>
            </w:tcBorders>
            <w:shd w:val="clear" w:color="000000" w:fill="FFFFFF"/>
            <w:noWrap/>
            <w:vAlign w:val="bottom"/>
            <w:hideMark/>
          </w:tcPr>
          <w:p w14:paraId="126F7CE4" w14:textId="77777777" w:rsidR="002A66B3" w:rsidRPr="00730ECF" w:rsidRDefault="002A66B3" w:rsidP="002A66B3">
            <w:pPr>
              <w:rPr>
                <w:rFonts w:cstheme="minorHAnsi"/>
                <w:color w:val="000000"/>
                <w:sz w:val="20"/>
                <w:szCs w:val="20"/>
              </w:rPr>
            </w:pPr>
            <w:r w:rsidRPr="00730ECF">
              <w:rPr>
                <w:rFonts w:cstheme="minorHAnsi"/>
                <w:color w:val="000000"/>
                <w:sz w:val="20"/>
                <w:szCs w:val="20"/>
              </w:rPr>
              <w:t>Current Assets</w:t>
            </w:r>
          </w:p>
        </w:tc>
        <w:tc>
          <w:tcPr>
            <w:tcW w:w="1240" w:type="dxa"/>
            <w:tcBorders>
              <w:top w:val="nil"/>
              <w:left w:val="nil"/>
              <w:bottom w:val="nil"/>
              <w:right w:val="nil"/>
            </w:tcBorders>
            <w:shd w:val="clear" w:color="000000" w:fill="FFFFFF"/>
            <w:noWrap/>
            <w:vAlign w:val="bottom"/>
            <w:hideMark/>
          </w:tcPr>
          <w:p w14:paraId="5A16E31C" w14:textId="32CA1D33" w:rsidR="002A66B3" w:rsidRPr="00730ECF" w:rsidRDefault="002A66B3" w:rsidP="002A66B3">
            <w:pPr>
              <w:jc w:val="right"/>
              <w:rPr>
                <w:rFonts w:cstheme="minorHAnsi"/>
                <w:sz w:val="20"/>
                <w:szCs w:val="20"/>
              </w:rPr>
            </w:pPr>
          </w:p>
        </w:tc>
        <w:tc>
          <w:tcPr>
            <w:tcW w:w="1533" w:type="dxa"/>
            <w:tcBorders>
              <w:top w:val="nil"/>
              <w:left w:val="nil"/>
              <w:bottom w:val="nil"/>
              <w:right w:val="nil"/>
            </w:tcBorders>
            <w:shd w:val="clear" w:color="000000" w:fill="FFFFFF"/>
            <w:noWrap/>
            <w:vAlign w:val="bottom"/>
            <w:hideMark/>
          </w:tcPr>
          <w:p w14:paraId="3B13906C" w14:textId="19611412" w:rsidR="002A66B3" w:rsidRPr="00730ECF" w:rsidRDefault="002A66B3" w:rsidP="002A66B3">
            <w:pPr>
              <w:jc w:val="right"/>
              <w:rPr>
                <w:rFonts w:cstheme="minorHAnsi"/>
                <w:color w:val="000000"/>
                <w:sz w:val="20"/>
                <w:szCs w:val="20"/>
              </w:rPr>
            </w:pPr>
          </w:p>
        </w:tc>
      </w:tr>
      <w:tr w:rsidR="002A66B3" w:rsidRPr="002A66B3" w14:paraId="512D3B09" w14:textId="77777777" w:rsidTr="00730ECF">
        <w:trPr>
          <w:trHeight w:val="80"/>
          <w:jc w:val="center"/>
        </w:trPr>
        <w:tc>
          <w:tcPr>
            <w:tcW w:w="6640" w:type="dxa"/>
            <w:tcBorders>
              <w:top w:val="nil"/>
              <w:left w:val="nil"/>
              <w:bottom w:val="nil"/>
              <w:right w:val="nil"/>
            </w:tcBorders>
            <w:shd w:val="clear" w:color="000000" w:fill="FFFFFF"/>
            <w:noWrap/>
            <w:vAlign w:val="bottom"/>
            <w:hideMark/>
          </w:tcPr>
          <w:p w14:paraId="0958ABA9" w14:textId="77777777" w:rsidR="002A66B3" w:rsidRPr="00730ECF" w:rsidRDefault="002A66B3" w:rsidP="00730ECF">
            <w:pPr>
              <w:ind w:left="435"/>
              <w:rPr>
                <w:rFonts w:cstheme="minorHAnsi"/>
                <w:color w:val="000000"/>
                <w:sz w:val="20"/>
                <w:szCs w:val="20"/>
              </w:rPr>
            </w:pPr>
            <w:r w:rsidRPr="00730ECF">
              <w:rPr>
                <w:rFonts w:cstheme="minorHAnsi"/>
                <w:color w:val="000000"/>
                <w:sz w:val="20"/>
                <w:szCs w:val="20"/>
              </w:rPr>
              <w:t xml:space="preserve">Cash and cash equivalents </w:t>
            </w:r>
            <w:r w:rsidRPr="00730ECF">
              <w:rPr>
                <w:rFonts w:cstheme="minorHAnsi"/>
                <w:i/>
                <w:iCs/>
                <w:color w:val="000000"/>
                <w:sz w:val="20"/>
                <w:szCs w:val="20"/>
              </w:rPr>
              <w:t>(Note 2)</w:t>
            </w:r>
          </w:p>
        </w:tc>
        <w:tc>
          <w:tcPr>
            <w:tcW w:w="1240" w:type="dxa"/>
            <w:tcBorders>
              <w:top w:val="nil"/>
              <w:left w:val="nil"/>
              <w:bottom w:val="nil"/>
              <w:right w:val="nil"/>
            </w:tcBorders>
            <w:shd w:val="clear" w:color="000000" w:fill="FFFFFF"/>
            <w:noWrap/>
            <w:vAlign w:val="bottom"/>
            <w:hideMark/>
          </w:tcPr>
          <w:p w14:paraId="29BE36F5" w14:textId="57F229BB" w:rsidR="002A66B3" w:rsidRPr="00730ECF" w:rsidRDefault="002A66B3" w:rsidP="002A66B3">
            <w:pPr>
              <w:jc w:val="right"/>
              <w:rPr>
                <w:rFonts w:cstheme="minorHAnsi"/>
                <w:sz w:val="20"/>
                <w:szCs w:val="20"/>
              </w:rPr>
            </w:pPr>
            <w:r w:rsidRPr="00730ECF">
              <w:rPr>
                <w:rFonts w:cstheme="minorHAnsi"/>
                <w:sz w:val="20"/>
                <w:szCs w:val="20"/>
              </w:rPr>
              <w:t xml:space="preserve">$         1,521 </w:t>
            </w:r>
          </w:p>
        </w:tc>
        <w:tc>
          <w:tcPr>
            <w:tcW w:w="1533" w:type="dxa"/>
            <w:tcBorders>
              <w:top w:val="nil"/>
              <w:left w:val="nil"/>
              <w:bottom w:val="nil"/>
              <w:right w:val="nil"/>
            </w:tcBorders>
            <w:shd w:val="clear" w:color="000000" w:fill="FFFFFF"/>
            <w:noWrap/>
            <w:vAlign w:val="bottom"/>
            <w:hideMark/>
          </w:tcPr>
          <w:p w14:paraId="014F1034" w14:textId="77777777" w:rsidR="002A66B3" w:rsidRPr="00730ECF" w:rsidRDefault="002A66B3" w:rsidP="002A66B3">
            <w:pPr>
              <w:jc w:val="right"/>
              <w:rPr>
                <w:rFonts w:cstheme="minorHAnsi"/>
                <w:color w:val="000000"/>
                <w:sz w:val="20"/>
                <w:szCs w:val="20"/>
              </w:rPr>
            </w:pPr>
            <w:r w:rsidRPr="00730ECF">
              <w:rPr>
                <w:rFonts w:cstheme="minorHAnsi"/>
                <w:sz w:val="20"/>
                <w:szCs w:val="20"/>
              </w:rPr>
              <w:t xml:space="preserve">$        7,923 </w:t>
            </w:r>
          </w:p>
        </w:tc>
      </w:tr>
      <w:tr w:rsidR="002A66B3" w:rsidRPr="002A66B3" w14:paraId="25955783" w14:textId="77777777" w:rsidTr="00730ECF">
        <w:trPr>
          <w:trHeight w:val="80"/>
          <w:jc w:val="center"/>
        </w:trPr>
        <w:tc>
          <w:tcPr>
            <w:tcW w:w="6640" w:type="dxa"/>
            <w:tcBorders>
              <w:top w:val="nil"/>
              <w:left w:val="nil"/>
              <w:bottom w:val="nil"/>
              <w:right w:val="nil"/>
            </w:tcBorders>
            <w:shd w:val="clear" w:color="000000" w:fill="FFFFFF"/>
            <w:noWrap/>
            <w:vAlign w:val="bottom"/>
            <w:hideMark/>
          </w:tcPr>
          <w:p w14:paraId="4F3E9F30" w14:textId="77777777" w:rsidR="002A66B3" w:rsidRPr="00730ECF" w:rsidRDefault="002A66B3" w:rsidP="00730ECF">
            <w:pPr>
              <w:ind w:left="435"/>
              <w:rPr>
                <w:rFonts w:cstheme="minorHAnsi"/>
                <w:color w:val="000000"/>
                <w:sz w:val="20"/>
                <w:szCs w:val="20"/>
              </w:rPr>
            </w:pPr>
            <w:r w:rsidRPr="00730ECF">
              <w:rPr>
                <w:rFonts w:cstheme="minorHAnsi"/>
                <w:color w:val="000000"/>
                <w:sz w:val="20"/>
                <w:szCs w:val="20"/>
              </w:rPr>
              <w:t xml:space="preserve">Operating investments </w:t>
            </w:r>
            <w:r w:rsidRPr="00730ECF">
              <w:rPr>
                <w:rFonts w:cstheme="minorHAnsi"/>
                <w:i/>
                <w:iCs/>
                <w:color w:val="000000"/>
                <w:sz w:val="20"/>
                <w:szCs w:val="20"/>
              </w:rPr>
              <w:t>(Note 3)</w:t>
            </w:r>
          </w:p>
        </w:tc>
        <w:tc>
          <w:tcPr>
            <w:tcW w:w="1240" w:type="dxa"/>
            <w:tcBorders>
              <w:top w:val="nil"/>
              <w:left w:val="nil"/>
              <w:bottom w:val="nil"/>
              <w:right w:val="nil"/>
            </w:tcBorders>
            <w:shd w:val="clear" w:color="000000" w:fill="FFFFFF"/>
            <w:noWrap/>
            <w:vAlign w:val="bottom"/>
            <w:hideMark/>
          </w:tcPr>
          <w:p w14:paraId="306DCE5A" w14:textId="738FF555" w:rsidR="002A66B3" w:rsidRPr="00730ECF" w:rsidRDefault="002A66B3" w:rsidP="002A66B3">
            <w:pPr>
              <w:jc w:val="right"/>
              <w:rPr>
                <w:rFonts w:cstheme="minorHAnsi"/>
                <w:sz w:val="20"/>
                <w:szCs w:val="20"/>
              </w:rPr>
            </w:pPr>
            <w:r w:rsidRPr="00730ECF">
              <w:rPr>
                <w:rFonts w:cstheme="minorHAnsi"/>
                <w:sz w:val="20"/>
                <w:szCs w:val="20"/>
              </w:rPr>
              <w:t xml:space="preserve">250,638 </w:t>
            </w:r>
          </w:p>
        </w:tc>
        <w:tc>
          <w:tcPr>
            <w:tcW w:w="1533" w:type="dxa"/>
            <w:tcBorders>
              <w:top w:val="nil"/>
              <w:left w:val="nil"/>
              <w:bottom w:val="nil"/>
              <w:right w:val="nil"/>
            </w:tcBorders>
            <w:shd w:val="clear" w:color="000000" w:fill="FFFFFF"/>
            <w:noWrap/>
            <w:vAlign w:val="bottom"/>
            <w:hideMark/>
          </w:tcPr>
          <w:p w14:paraId="7F922B55" w14:textId="77777777" w:rsidR="002A66B3" w:rsidRPr="00730ECF" w:rsidRDefault="002A66B3" w:rsidP="002A66B3">
            <w:pPr>
              <w:jc w:val="right"/>
              <w:rPr>
                <w:rFonts w:cstheme="minorHAnsi"/>
                <w:color w:val="000000"/>
                <w:sz w:val="20"/>
                <w:szCs w:val="20"/>
              </w:rPr>
            </w:pPr>
            <w:r w:rsidRPr="00730ECF">
              <w:rPr>
                <w:rFonts w:cstheme="minorHAnsi"/>
                <w:sz w:val="20"/>
                <w:szCs w:val="20"/>
              </w:rPr>
              <w:t xml:space="preserve">258,339 </w:t>
            </w:r>
          </w:p>
        </w:tc>
      </w:tr>
      <w:tr w:rsidR="002A66B3" w:rsidRPr="002A66B3" w14:paraId="5EBBFD8E" w14:textId="77777777" w:rsidTr="00730ECF">
        <w:trPr>
          <w:trHeight w:val="80"/>
          <w:jc w:val="center"/>
        </w:trPr>
        <w:tc>
          <w:tcPr>
            <w:tcW w:w="6640" w:type="dxa"/>
            <w:tcBorders>
              <w:top w:val="nil"/>
              <w:left w:val="nil"/>
              <w:bottom w:val="nil"/>
              <w:right w:val="nil"/>
            </w:tcBorders>
            <w:shd w:val="clear" w:color="000000" w:fill="FFFFFF"/>
            <w:noWrap/>
            <w:vAlign w:val="bottom"/>
            <w:hideMark/>
          </w:tcPr>
          <w:p w14:paraId="6D4B0B56" w14:textId="77777777" w:rsidR="002A66B3" w:rsidRPr="00730ECF" w:rsidRDefault="002A66B3" w:rsidP="00730ECF">
            <w:pPr>
              <w:ind w:left="435"/>
              <w:rPr>
                <w:rFonts w:cstheme="minorHAnsi"/>
                <w:color w:val="000000"/>
                <w:sz w:val="20"/>
                <w:szCs w:val="20"/>
              </w:rPr>
            </w:pPr>
            <w:r w:rsidRPr="00730ECF">
              <w:rPr>
                <w:rFonts w:cstheme="minorHAnsi"/>
                <w:color w:val="000000"/>
                <w:sz w:val="20"/>
                <w:szCs w:val="20"/>
              </w:rPr>
              <w:t xml:space="preserve">Accounts, grants, and pledges receivable, net </w:t>
            </w:r>
            <w:r w:rsidRPr="00730ECF">
              <w:rPr>
                <w:rFonts w:cstheme="minorHAnsi"/>
                <w:i/>
                <w:iCs/>
                <w:color w:val="000000"/>
                <w:sz w:val="20"/>
                <w:szCs w:val="20"/>
              </w:rPr>
              <w:t>(Note 4)</w:t>
            </w:r>
          </w:p>
        </w:tc>
        <w:tc>
          <w:tcPr>
            <w:tcW w:w="1240" w:type="dxa"/>
            <w:tcBorders>
              <w:top w:val="nil"/>
              <w:left w:val="nil"/>
              <w:bottom w:val="nil"/>
              <w:right w:val="nil"/>
            </w:tcBorders>
            <w:shd w:val="clear" w:color="000000" w:fill="FFFFFF"/>
            <w:noWrap/>
            <w:vAlign w:val="bottom"/>
            <w:hideMark/>
          </w:tcPr>
          <w:p w14:paraId="72FEDEC5" w14:textId="0E6FD01E" w:rsidR="002A66B3" w:rsidRPr="00730ECF" w:rsidRDefault="00EA5BB4" w:rsidP="002A66B3">
            <w:pPr>
              <w:jc w:val="right"/>
              <w:rPr>
                <w:rFonts w:cstheme="minorHAnsi"/>
                <w:sz w:val="20"/>
                <w:szCs w:val="20"/>
              </w:rPr>
            </w:pPr>
            <w:r w:rsidRPr="00EA5BB4">
              <w:rPr>
                <w:rFonts w:cstheme="minorHAnsi"/>
                <w:sz w:val="20"/>
                <w:szCs w:val="20"/>
              </w:rPr>
              <w:t>104,094</w:t>
            </w:r>
          </w:p>
        </w:tc>
        <w:tc>
          <w:tcPr>
            <w:tcW w:w="1533" w:type="dxa"/>
            <w:tcBorders>
              <w:top w:val="nil"/>
              <w:left w:val="nil"/>
              <w:bottom w:val="nil"/>
              <w:right w:val="nil"/>
            </w:tcBorders>
            <w:shd w:val="clear" w:color="000000" w:fill="FFFFFF"/>
            <w:noWrap/>
            <w:vAlign w:val="bottom"/>
            <w:hideMark/>
          </w:tcPr>
          <w:p w14:paraId="36B52793" w14:textId="77777777" w:rsidR="002A66B3" w:rsidRPr="00730ECF" w:rsidRDefault="002A66B3" w:rsidP="002A66B3">
            <w:pPr>
              <w:jc w:val="right"/>
              <w:rPr>
                <w:rFonts w:cstheme="minorHAnsi"/>
                <w:color w:val="000000"/>
                <w:sz w:val="20"/>
                <w:szCs w:val="20"/>
              </w:rPr>
            </w:pPr>
            <w:r w:rsidRPr="00730ECF">
              <w:rPr>
                <w:rFonts w:cstheme="minorHAnsi"/>
                <w:sz w:val="20"/>
                <w:szCs w:val="20"/>
              </w:rPr>
              <w:t xml:space="preserve">89,579 </w:t>
            </w:r>
          </w:p>
        </w:tc>
      </w:tr>
      <w:tr w:rsidR="002A66B3" w:rsidRPr="002A66B3" w14:paraId="04653AF1" w14:textId="77777777" w:rsidTr="00730ECF">
        <w:trPr>
          <w:trHeight w:val="90"/>
          <w:jc w:val="center"/>
        </w:trPr>
        <w:tc>
          <w:tcPr>
            <w:tcW w:w="6640" w:type="dxa"/>
            <w:tcBorders>
              <w:top w:val="nil"/>
              <w:left w:val="nil"/>
              <w:bottom w:val="nil"/>
              <w:right w:val="nil"/>
            </w:tcBorders>
            <w:shd w:val="clear" w:color="000000" w:fill="FFFFFF"/>
            <w:noWrap/>
            <w:vAlign w:val="bottom"/>
            <w:hideMark/>
          </w:tcPr>
          <w:p w14:paraId="6CFB118A" w14:textId="77777777" w:rsidR="002A66B3" w:rsidRPr="00730ECF" w:rsidRDefault="002A66B3" w:rsidP="00730ECF">
            <w:pPr>
              <w:ind w:left="435"/>
              <w:rPr>
                <w:rFonts w:cstheme="minorHAnsi"/>
                <w:color w:val="000000"/>
                <w:sz w:val="20"/>
                <w:szCs w:val="20"/>
              </w:rPr>
            </w:pPr>
            <w:r w:rsidRPr="00730ECF">
              <w:rPr>
                <w:rFonts w:cstheme="minorHAnsi"/>
                <w:color w:val="000000"/>
                <w:sz w:val="20"/>
                <w:szCs w:val="20"/>
              </w:rPr>
              <w:t>Inventories and prepaid expenses</w:t>
            </w:r>
          </w:p>
        </w:tc>
        <w:tc>
          <w:tcPr>
            <w:tcW w:w="1240" w:type="dxa"/>
            <w:tcBorders>
              <w:top w:val="nil"/>
              <w:left w:val="nil"/>
              <w:bottom w:val="nil"/>
              <w:right w:val="nil"/>
            </w:tcBorders>
            <w:shd w:val="clear" w:color="000000" w:fill="FFFFFF"/>
            <w:noWrap/>
            <w:vAlign w:val="bottom"/>
            <w:hideMark/>
          </w:tcPr>
          <w:p w14:paraId="76DCDCFB" w14:textId="2303F2DC" w:rsidR="002A66B3" w:rsidRPr="00730ECF" w:rsidRDefault="002A66B3" w:rsidP="002A66B3">
            <w:pPr>
              <w:jc w:val="right"/>
              <w:rPr>
                <w:rFonts w:cstheme="minorHAnsi"/>
                <w:sz w:val="20"/>
                <w:szCs w:val="20"/>
              </w:rPr>
            </w:pPr>
            <w:r w:rsidRPr="00730ECF">
              <w:rPr>
                <w:rFonts w:cstheme="minorHAnsi"/>
                <w:sz w:val="20"/>
                <w:szCs w:val="20"/>
              </w:rPr>
              <w:t xml:space="preserve">10,020 </w:t>
            </w:r>
          </w:p>
        </w:tc>
        <w:tc>
          <w:tcPr>
            <w:tcW w:w="1533" w:type="dxa"/>
            <w:tcBorders>
              <w:top w:val="nil"/>
              <w:left w:val="nil"/>
              <w:bottom w:val="nil"/>
              <w:right w:val="nil"/>
            </w:tcBorders>
            <w:shd w:val="clear" w:color="000000" w:fill="FFFFFF"/>
            <w:noWrap/>
            <w:vAlign w:val="bottom"/>
            <w:hideMark/>
          </w:tcPr>
          <w:p w14:paraId="12168126" w14:textId="77777777" w:rsidR="002A66B3" w:rsidRPr="00730ECF" w:rsidRDefault="002A66B3" w:rsidP="002A66B3">
            <w:pPr>
              <w:jc w:val="right"/>
              <w:rPr>
                <w:rFonts w:cstheme="minorHAnsi"/>
                <w:color w:val="000000"/>
                <w:sz w:val="20"/>
                <w:szCs w:val="20"/>
              </w:rPr>
            </w:pPr>
            <w:r w:rsidRPr="00730ECF">
              <w:rPr>
                <w:rFonts w:cstheme="minorHAnsi"/>
                <w:sz w:val="20"/>
                <w:szCs w:val="20"/>
              </w:rPr>
              <w:t xml:space="preserve">7,993 </w:t>
            </w:r>
          </w:p>
        </w:tc>
      </w:tr>
      <w:tr w:rsidR="002A66B3" w:rsidRPr="002A66B3" w14:paraId="179FD4BD" w14:textId="77777777" w:rsidTr="00730ECF">
        <w:trPr>
          <w:trHeight w:val="80"/>
          <w:jc w:val="center"/>
        </w:trPr>
        <w:tc>
          <w:tcPr>
            <w:tcW w:w="6640" w:type="dxa"/>
            <w:tcBorders>
              <w:top w:val="nil"/>
              <w:left w:val="nil"/>
              <w:bottom w:val="nil"/>
              <w:right w:val="nil"/>
            </w:tcBorders>
            <w:noWrap/>
            <w:vAlign w:val="bottom"/>
            <w:hideMark/>
          </w:tcPr>
          <w:p w14:paraId="3A92E281" w14:textId="77777777" w:rsidR="002A66B3" w:rsidRPr="00730ECF" w:rsidRDefault="002A66B3" w:rsidP="00730ECF">
            <w:pPr>
              <w:ind w:left="435"/>
              <w:rPr>
                <w:rFonts w:cstheme="minorHAnsi"/>
                <w:color w:val="000000"/>
                <w:sz w:val="20"/>
                <w:szCs w:val="20"/>
              </w:rPr>
            </w:pPr>
            <w:r w:rsidRPr="00730ECF">
              <w:rPr>
                <w:rFonts w:cstheme="minorHAnsi"/>
                <w:color w:val="000000"/>
                <w:sz w:val="20"/>
                <w:szCs w:val="20"/>
              </w:rPr>
              <w:t xml:space="preserve">Notes, leases and PPP receivable, net </w:t>
            </w:r>
            <w:r w:rsidRPr="00730ECF">
              <w:rPr>
                <w:rFonts w:cstheme="minorHAnsi"/>
                <w:i/>
                <w:iCs/>
                <w:color w:val="000000"/>
                <w:sz w:val="20"/>
                <w:szCs w:val="20"/>
              </w:rPr>
              <w:t>(Note 5)</w:t>
            </w:r>
          </w:p>
        </w:tc>
        <w:tc>
          <w:tcPr>
            <w:tcW w:w="1240" w:type="dxa"/>
            <w:tcBorders>
              <w:top w:val="nil"/>
              <w:left w:val="nil"/>
              <w:bottom w:val="nil"/>
              <w:right w:val="nil"/>
            </w:tcBorders>
            <w:shd w:val="clear" w:color="000000" w:fill="FFFFFF"/>
            <w:noWrap/>
            <w:vAlign w:val="bottom"/>
            <w:hideMark/>
          </w:tcPr>
          <w:p w14:paraId="3008361F" w14:textId="3CD93FEB" w:rsidR="002A66B3" w:rsidRPr="00730ECF" w:rsidRDefault="002A66B3" w:rsidP="002A66B3">
            <w:pPr>
              <w:jc w:val="right"/>
              <w:rPr>
                <w:rFonts w:cstheme="minorHAnsi"/>
                <w:sz w:val="20"/>
                <w:szCs w:val="20"/>
              </w:rPr>
            </w:pPr>
            <w:r w:rsidRPr="00730ECF">
              <w:rPr>
                <w:rFonts w:cstheme="minorHAnsi"/>
                <w:sz w:val="20"/>
                <w:szCs w:val="20"/>
              </w:rPr>
              <w:t xml:space="preserve">294 </w:t>
            </w:r>
          </w:p>
        </w:tc>
        <w:tc>
          <w:tcPr>
            <w:tcW w:w="1533" w:type="dxa"/>
            <w:tcBorders>
              <w:top w:val="nil"/>
              <w:left w:val="nil"/>
              <w:bottom w:val="nil"/>
              <w:right w:val="nil"/>
            </w:tcBorders>
            <w:shd w:val="clear" w:color="000000" w:fill="FFFFFF"/>
            <w:noWrap/>
            <w:vAlign w:val="bottom"/>
            <w:hideMark/>
          </w:tcPr>
          <w:p w14:paraId="46111323" w14:textId="77777777" w:rsidR="002A66B3" w:rsidRPr="00730ECF" w:rsidRDefault="002A66B3" w:rsidP="002A66B3">
            <w:pPr>
              <w:jc w:val="right"/>
              <w:rPr>
                <w:rFonts w:cstheme="minorHAnsi"/>
                <w:sz w:val="20"/>
                <w:szCs w:val="20"/>
              </w:rPr>
            </w:pPr>
            <w:r w:rsidRPr="00730ECF">
              <w:rPr>
                <w:rFonts w:cstheme="minorHAnsi"/>
                <w:sz w:val="20"/>
                <w:szCs w:val="20"/>
              </w:rPr>
              <w:t xml:space="preserve">294 </w:t>
            </w:r>
          </w:p>
        </w:tc>
      </w:tr>
      <w:tr w:rsidR="002A66B3" w:rsidRPr="002A66B3" w14:paraId="111E3B86" w14:textId="77777777" w:rsidTr="00730ECF">
        <w:trPr>
          <w:trHeight w:val="70"/>
          <w:jc w:val="center"/>
        </w:trPr>
        <w:tc>
          <w:tcPr>
            <w:tcW w:w="6640" w:type="dxa"/>
            <w:tcBorders>
              <w:top w:val="single" w:sz="4" w:space="0" w:color="000000"/>
              <w:left w:val="nil"/>
              <w:bottom w:val="single" w:sz="4" w:space="0" w:color="000000"/>
              <w:right w:val="nil"/>
            </w:tcBorders>
            <w:shd w:val="clear" w:color="000000" w:fill="FFFFFF"/>
            <w:noWrap/>
            <w:vAlign w:val="bottom"/>
            <w:hideMark/>
          </w:tcPr>
          <w:p w14:paraId="699194D4" w14:textId="77777777" w:rsidR="002A66B3" w:rsidRPr="00730ECF" w:rsidRDefault="002A66B3" w:rsidP="00730ECF">
            <w:pPr>
              <w:ind w:left="435"/>
              <w:rPr>
                <w:rFonts w:cstheme="minorHAnsi"/>
                <w:b/>
                <w:bCs/>
                <w:color w:val="000000"/>
                <w:sz w:val="20"/>
                <w:szCs w:val="20"/>
              </w:rPr>
            </w:pPr>
            <w:r w:rsidRPr="00730ECF">
              <w:rPr>
                <w:rFonts w:cstheme="minorHAnsi"/>
                <w:b/>
                <w:bCs/>
                <w:color w:val="000000"/>
                <w:sz w:val="20"/>
                <w:szCs w:val="20"/>
              </w:rPr>
              <w:t>Total Current Assets</w:t>
            </w:r>
          </w:p>
        </w:tc>
        <w:tc>
          <w:tcPr>
            <w:tcW w:w="1240" w:type="dxa"/>
            <w:tcBorders>
              <w:top w:val="single" w:sz="4" w:space="0" w:color="000000"/>
              <w:left w:val="nil"/>
              <w:bottom w:val="single" w:sz="4" w:space="0" w:color="000000"/>
              <w:right w:val="nil"/>
            </w:tcBorders>
            <w:shd w:val="clear" w:color="000000" w:fill="FFFFFF"/>
            <w:noWrap/>
            <w:vAlign w:val="bottom"/>
            <w:hideMark/>
          </w:tcPr>
          <w:p w14:paraId="11077225" w14:textId="728FC811" w:rsidR="002A66B3" w:rsidRPr="00730ECF" w:rsidRDefault="00EA5BB4" w:rsidP="002A66B3">
            <w:pPr>
              <w:jc w:val="right"/>
              <w:rPr>
                <w:rFonts w:cstheme="minorHAnsi"/>
                <w:sz w:val="20"/>
                <w:szCs w:val="20"/>
              </w:rPr>
            </w:pPr>
            <w:r w:rsidRPr="00EA5BB4">
              <w:rPr>
                <w:rFonts w:cstheme="minorHAnsi"/>
                <w:sz w:val="20"/>
                <w:szCs w:val="20"/>
              </w:rPr>
              <w:t>366,567</w:t>
            </w:r>
          </w:p>
        </w:tc>
        <w:tc>
          <w:tcPr>
            <w:tcW w:w="1533" w:type="dxa"/>
            <w:tcBorders>
              <w:top w:val="single" w:sz="4" w:space="0" w:color="000000"/>
              <w:left w:val="nil"/>
              <w:bottom w:val="single" w:sz="4" w:space="0" w:color="000000"/>
              <w:right w:val="nil"/>
            </w:tcBorders>
            <w:shd w:val="clear" w:color="000000" w:fill="FFFFFF"/>
            <w:noWrap/>
            <w:vAlign w:val="bottom"/>
            <w:hideMark/>
          </w:tcPr>
          <w:p w14:paraId="65B2A2D9" w14:textId="77777777" w:rsidR="002A66B3" w:rsidRPr="00730ECF" w:rsidRDefault="002A66B3" w:rsidP="002A66B3">
            <w:pPr>
              <w:jc w:val="right"/>
              <w:rPr>
                <w:rFonts w:cstheme="minorHAnsi"/>
                <w:sz w:val="20"/>
                <w:szCs w:val="20"/>
              </w:rPr>
            </w:pPr>
            <w:r w:rsidRPr="00730ECF">
              <w:rPr>
                <w:rFonts w:cstheme="minorHAnsi"/>
                <w:sz w:val="20"/>
                <w:szCs w:val="20"/>
              </w:rPr>
              <w:t xml:space="preserve">364,128 </w:t>
            </w:r>
          </w:p>
        </w:tc>
      </w:tr>
      <w:tr w:rsidR="002A66B3" w:rsidRPr="002A66B3" w14:paraId="4A2DBF24" w14:textId="77777777" w:rsidTr="00730ECF">
        <w:trPr>
          <w:trHeight w:val="70"/>
          <w:jc w:val="center"/>
        </w:trPr>
        <w:tc>
          <w:tcPr>
            <w:tcW w:w="6640" w:type="dxa"/>
            <w:tcBorders>
              <w:top w:val="nil"/>
              <w:left w:val="nil"/>
              <w:bottom w:val="nil"/>
              <w:right w:val="nil"/>
            </w:tcBorders>
            <w:shd w:val="clear" w:color="000000" w:fill="FFFFFF"/>
            <w:noWrap/>
            <w:vAlign w:val="bottom"/>
            <w:hideMark/>
          </w:tcPr>
          <w:p w14:paraId="4FDE2B3E" w14:textId="77777777" w:rsidR="002A66B3" w:rsidRPr="00730ECF" w:rsidRDefault="002A66B3" w:rsidP="002A66B3">
            <w:pPr>
              <w:rPr>
                <w:rFonts w:cstheme="minorHAnsi"/>
                <w:color w:val="000000"/>
                <w:sz w:val="20"/>
                <w:szCs w:val="20"/>
              </w:rPr>
            </w:pPr>
            <w:r w:rsidRPr="00730ECF">
              <w:rPr>
                <w:rFonts w:cstheme="minorHAnsi"/>
                <w:color w:val="000000"/>
                <w:sz w:val="20"/>
                <w:szCs w:val="20"/>
              </w:rPr>
              <w:t>Noncurrent Assets</w:t>
            </w:r>
          </w:p>
        </w:tc>
        <w:tc>
          <w:tcPr>
            <w:tcW w:w="1240" w:type="dxa"/>
            <w:tcBorders>
              <w:top w:val="nil"/>
              <w:left w:val="nil"/>
              <w:bottom w:val="nil"/>
              <w:right w:val="nil"/>
            </w:tcBorders>
            <w:shd w:val="clear" w:color="000000" w:fill="FFFFFF"/>
            <w:noWrap/>
            <w:vAlign w:val="bottom"/>
            <w:hideMark/>
          </w:tcPr>
          <w:p w14:paraId="192DBFC5" w14:textId="48730D17" w:rsidR="002A66B3" w:rsidRPr="00730ECF" w:rsidRDefault="002A66B3" w:rsidP="002A66B3">
            <w:pPr>
              <w:jc w:val="right"/>
              <w:rPr>
                <w:rFonts w:cstheme="minorHAnsi"/>
                <w:color w:val="FF0000"/>
                <w:sz w:val="20"/>
                <w:szCs w:val="20"/>
              </w:rPr>
            </w:pPr>
          </w:p>
        </w:tc>
        <w:tc>
          <w:tcPr>
            <w:tcW w:w="1533" w:type="dxa"/>
            <w:tcBorders>
              <w:top w:val="nil"/>
              <w:left w:val="nil"/>
              <w:bottom w:val="nil"/>
              <w:right w:val="nil"/>
            </w:tcBorders>
            <w:shd w:val="clear" w:color="000000" w:fill="FFFFFF"/>
            <w:noWrap/>
            <w:vAlign w:val="bottom"/>
            <w:hideMark/>
          </w:tcPr>
          <w:p w14:paraId="0B229EAB" w14:textId="3436F575" w:rsidR="002A66B3" w:rsidRPr="00730ECF" w:rsidRDefault="002A66B3" w:rsidP="002A66B3">
            <w:pPr>
              <w:jc w:val="right"/>
              <w:rPr>
                <w:rFonts w:cstheme="minorHAnsi"/>
                <w:sz w:val="20"/>
                <w:szCs w:val="20"/>
              </w:rPr>
            </w:pPr>
          </w:p>
        </w:tc>
      </w:tr>
      <w:tr w:rsidR="002A66B3" w:rsidRPr="002A66B3" w14:paraId="5773A4EA" w14:textId="77777777" w:rsidTr="00730ECF">
        <w:trPr>
          <w:trHeight w:val="80"/>
          <w:jc w:val="center"/>
        </w:trPr>
        <w:tc>
          <w:tcPr>
            <w:tcW w:w="6640" w:type="dxa"/>
            <w:tcBorders>
              <w:top w:val="nil"/>
              <w:left w:val="nil"/>
              <w:bottom w:val="nil"/>
              <w:right w:val="nil"/>
            </w:tcBorders>
            <w:shd w:val="clear" w:color="000000" w:fill="FFFFFF"/>
            <w:noWrap/>
            <w:vAlign w:val="bottom"/>
            <w:hideMark/>
          </w:tcPr>
          <w:p w14:paraId="580AAAAF" w14:textId="77777777" w:rsidR="002A66B3" w:rsidRPr="00730ECF" w:rsidRDefault="002A66B3" w:rsidP="00730ECF">
            <w:pPr>
              <w:ind w:left="435"/>
              <w:rPr>
                <w:rFonts w:cstheme="minorHAnsi"/>
                <w:color w:val="000000"/>
                <w:sz w:val="20"/>
                <w:szCs w:val="20"/>
              </w:rPr>
            </w:pPr>
            <w:r w:rsidRPr="00730ECF">
              <w:rPr>
                <w:rFonts w:cstheme="minorHAnsi"/>
                <w:color w:val="000000"/>
                <w:sz w:val="20"/>
                <w:szCs w:val="20"/>
              </w:rPr>
              <w:t xml:space="preserve">Deposits with trustees </w:t>
            </w:r>
            <w:r w:rsidRPr="00730ECF">
              <w:rPr>
                <w:rFonts w:cstheme="minorHAnsi"/>
                <w:i/>
                <w:iCs/>
                <w:color w:val="000000"/>
                <w:sz w:val="20"/>
                <w:szCs w:val="20"/>
              </w:rPr>
              <w:t>(Notes 3 and 6)</w:t>
            </w:r>
          </w:p>
        </w:tc>
        <w:tc>
          <w:tcPr>
            <w:tcW w:w="1240" w:type="dxa"/>
            <w:tcBorders>
              <w:top w:val="nil"/>
              <w:left w:val="nil"/>
              <w:bottom w:val="nil"/>
              <w:right w:val="nil"/>
            </w:tcBorders>
            <w:shd w:val="clear" w:color="000000" w:fill="FFFFFF"/>
            <w:noWrap/>
            <w:vAlign w:val="bottom"/>
            <w:hideMark/>
          </w:tcPr>
          <w:p w14:paraId="2C42D6EA" w14:textId="38B1BF4C" w:rsidR="002A66B3" w:rsidRPr="00730ECF" w:rsidRDefault="002A66B3" w:rsidP="002A66B3">
            <w:pPr>
              <w:jc w:val="right"/>
              <w:rPr>
                <w:rFonts w:cstheme="minorHAnsi"/>
                <w:sz w:val="20"/>
                <w:szCs w:val="20"/>
              </w:rPr>
            </w:pPr>
            <w:r w:rsidRPr="00730ECF">
              <w:rPr>
                <w:rFonts w:cstheme="minorHAnsi"/>
                <w:sz w:val="20"/>
                <w:szCs w:val="20"/>
              </w:rPr>
              <w:t xml:space="preserve">2,583 </w:t>
            </w:r>
          </w:p>
        </w:tc>
        <w:tc>
          <w:tcPr>
            <w:tcW w:w="1533" w:type="dxa"/>
            <w:tcBorders>
              <w:top w:val="nil"/>
              <w:left w:val="nil"/>
              <w:bottom w:val="nil"/>
              <w:right w:val="nil"/>
            </w:tcBorders>
            <w:shd w:val="clear" w:color="000000" w:fill="FFFFFF"/>
            <w:noWrap/>
            <w:vAlign w:val="bottom"/>
            <w:hideMark/>
          </w:tcPr>
          <w:p w14:paraId="1B3B9299" w14:textId="77777777" w:rsidR="002A66B3" w:rsidRPr="00730ECF" w:rsidRDefault="002A66B3" w:rsidP="002A66B3">
            <w:pPr>
              <w:jc w:val="right"/>
              <w:rPr>
                <w:rFonts w:cstheme="minorHAnsi"/>
                <w:sz w:val="20"/>
                <w:szCs w:val="20"/>
              </w:rPr>
            </w:pPr>
            <w:r w:rsidRPr="00730ECF">
              <w:rPr>
                <w:rFonts w:cstheme="minorHAnsi"/>
                <w:sz w:val="20"/>
                <w:szCs w:val="20"/>
              </w:rPr>
              <w:t xml:space="preserve">4,650 </w:t>
            </w:r>
          </w:p>
        </w:tc>
      </w:tr>
      <w:tr w:rsidR="002A66B3" w:rsidRPr="002A66B3" w14:paraId="417102D6" w14:textId="77777777" w:rsidTr="00730ECF">
        <w:trPr>
          <w:trHeight w:val="80"/>
          <w:jc w:val="center"/>
        </w:trPr>
        <w:tc>
          <w:tcPr>
            <w:tcW w:w="6640" w:type="dxa"/>
            <w:tcBorders>
              <w:top w:val="nil"/>
              <w:left w:val="nil"/>
              <w:bottom w:val="nil"/>
              <w:right w:val="nil"/>
            </w:tcBorders>
            <w:shd w:val="clear" w:color="000000" w:fill="FFFFFF"/>
            <w:noWrap/>
            <w:vAlign w:val="bottom"/>
            <w:hideMark/>
          </w:tcPr>
          <w:p w14:paraId="0A8A7ABB" w14:textId="77777777" w:rsidR="002A66B3" w:rsidRPr="00730ECF" w:rsidRDefault="002A66B3" w:rsidP="00730ECF">
            <w:pPr>
              <w:ind w:left="435"/>
              <w:rPr>
                <w:rFonts w:cstheme="minorHAnsi"/>
                <w:color w:val="000000"/>
                <w:sz w:val="20"/>
                <w:szCs w:val="20"/>
              </w:rPr>
            </w:pPr>
            <w:r w:rsidRPr="00730ECF">
              <w:rPr>
                <w:rFonts w:cstheme="minorHAnsi"/>
                <w:color w:val="000000"/>
                <w:sz w:val="20"/>
                <w:szCs w:val="20"/>
              </w:rPr>
              <w:t xml:space="preserve">Accounts, grants and pledges receivable, net </w:t>
            </w:r>
            <w:r w:rsidRPr="00730ECF">
              <w:rPr>
                <w:rFonts w:cstheme="minorHAnsi"/>
                <w:i/>
                <w:iCs/>
                <w:color w:val="000000"/>
                <w:sz w:val="20"/>
                <w:szCs w:val="20"/>
              </w:rPr>
              <w:t>(Note 4)</w:t>
            </w:r>
          </w:p>
        </w:tc>
        <w:tc>
          <w:tcPr>
            <w:tcW w:w="1240" w:type="dxa"/>
            <w:tcBorders>
              <w:top w:val="nil"/>
              <w:left w:val="nil"/>
              <w:bottom w:val="nil"/>
              <w:right w:val="nil"/>
            </w:tcBorders>
            <w:shd w:val="clear" w:color="000000" w:fill="FFFFFF"/>
            <w:noWrap/>
            <w:vAlign w:val="bottom"/>
            <w:hideMark/>
          </w:tcPr>
          <w:p w14:paraId="7D93039D" w14:textId="764612BB" w:rsidR="002A66B3" w:rsidRPr="00730ECF" w:rsidRDefault="002A66B3" w:rsidP="002A66B3">
            <w:pPr>
              <w:jc w:val="right"/>
              <w:rPr>
                <w:rFonts w:cstheme="minorHAnsi"/>
                <w:sz w:val="20"/>
                <w:szCs w:val="20"/>
              </w:rPr>
            </w:pPr>
            <w:r w:rsidRPr="00730ECF">
              <w:rPr>
                <w:rFonts w:cstheme="minorHAnsi"/>
                <w:sz w:val="20"/>
                <w:szCs w:val="20"/>
              </w:rPr>
              <w:t xml:space="preserve">7,723 </w:t>
            </w:r>
          </w:p>
        </w:tc>
        <w:tc>
          <w:tcPr>
            <w:tcW w:w="1533" w:type="dxa"/>
            <w:tcBorders>
              <w:top w:val="nil"/>
              <w:left w:val="nil"/>
              <w:bottom w:val="nil"/>
              <w:right w:val="nil"/>
            </w:tcBorders>
            <w:shd w:val="clear" w:color="000000" w:fill="FFFFFF"/>
            <w:noWrap/>
            <w:vAlign w:val="bottom"/>
            <w:hideMark/>
          </w:tcPr>
          <w:p w14:paraId="0BFE9A45" w14:textId="77777777" w:rsidR="002A66B3" w:rsidRPr="00730ECF" w:rsidRDefault="002A66B3" w:rsidP="002A66B3">
            <w:pPr>
              <w:jc w:val="right"/>
              <w:rPr>
                <w:rFonts w:cstheme="minorHAnsi"/>
                <w:sz w:val="20"/>
                <w:szCs w:val="20"/>
              </w:rPr>
            </w:pPr>
            <w:r w:rsidRPr="00730ECF">
              <w:rPr>
                <w:rFonts w:cstheme="minorHAnsi"/>
                <w:sz w:val="20"/>
                <w:szCs w:val="20"/>
              </w:rPr>
              <w:t xml:space="preserve">7,181 </w:t>
            </w:r>
          </w:p>
        </w:tc>
      </w:tr>
      <w:tr w:rsidR="002A66B3" w:rsidRPr="002A66B3" w14:paraId="596F4080" w14:textId="77777777" w:rsidTr="00730ECF">
        <w:trPr>
          <w:trHeight w:val="80"/>
          <w:jc w:val="center"/>
        </w:trPr>
        <w:tc>
          <w:tcPr>
            <w:tcW w:w="6640" w:type="dxa"/>
            <w:tcBorders>
              <w:top w:val="nil"/>
              <w:left w:val="nil"/>
              <w:bottom w:val="nil"/>
              <w:right w:val="nil"/>
            </w:tcBorders>
            <w:noWrap/>
            <w:vAlign w:val="bottom"/>
            <w:hideMark/>
          </w:tcPr>
          <w:p w14:paraId="2786A74E" w14:textId="77777777" w:rsidR="002A66B3" w:rsidRPr="00730ECF" w:rsidRDefault="002A66B3" w:rsidP="00730ECF">
            <w:pPr>
              <w:ind w:left="435"/>
              <w:rPr>
                <w:rFonts w:cstheme="minorHAnsi"/>
                <w:color w:val="000000"/>
                <w:sz w:val="20"/>
                <w:szCs w:val="20"/>
              </w:rPr>
            </w:pPr>
            <w:r w:rsidRPr="00730ECF">
              <w:rPr>
                <w:rFonts w:cstheme="minorHAnsi"/>
                <w:color w:val="000000"/>
                <w:sz w:val="20"/>
                <w:szCs w:val="20"/>
              </w:rPr>
              <w:t xml:space="preserve">Notes, leases and PPP receivable, net </w:t>
            </w:r>
            <w:r w:rsidRPr="00730ECF">
              <w:rPr>
                <w:rFonts w:cstheme="minorHAnsi"/>
                <w:i/>
                <w:iCs/>
                <w:color w:val="000000"/>
                <w:sz w:val="20"/>
                <w:szCs w:val="20"/>
              </w:rPr>
              <w:t>(Note 5)</w:t>
            </w:r>
          </w:p>
        </w:tc>
        <w:tc>
          <w:tcPr>
            <w:tcW w:w="1240" w:type="dxa"/>
            <w:tcBorders>
              <w:top w:val="nil"/>
              <w:left w:val="nil"/>
              <w:bottom w:val="nil"/>
              <w:right w:val="nil"/>
            </w:tcBorders>
            <w:shd w:val="clear" w:color="000000" w:fill="FFFFFF"/>
            <w:noWrap/>
            <w:vAlign w:val="bottom"/>
            <w:hideMark/>
          </w:tcPr>
          <w:p w14:paraId="73CD33D3" w14:textId="165D83CB" w:rsidR="002A66B3" w:rsidRPr="00730ECF" w:rsidRDefault="002A66B3" w:rsidP="002A66B3">
            <w:pPr>
              <w:jc w:val="right"/>
              <w:rPr>
                <w:rFonts w:cstheme="minorHAnsi"/>
                <w:sz w:val="20"/>
                <w:szCs w:val="20"/>
              </w:rPr>
            </w:pPr>
            <w:r w:rsidRPr="00730ECF">
              <w:rPr>
                <w:rFonts w:cstheme="minorHAnsi"/>
                <w:sz w:val="20"/>
                <w:szCs w:val="20"/>
              </w:rPr>
              <w:t xml:space="preserve">23,965 </w:t>
            </w:r>
          </w:p>
        </w:tc>
        <w:tc>
          <w:tcPr>
            <w:tcW w:w="1533" w:type="dxa"/>
            <w:tcBorders>
              <w:top w:val="nil"/>
              <w:left w:val="nil"/>
              <w:bottom w:val="nil"/>
              <w:right w:val="nil"/>
            </w:tcBorders>
            <w:shd w:val="clear" w:color="000000" w:fill="FFFFFF"/>
            <w:noWrap/>
            <w:vAlign w:val="bottom"/>
            <w:hideMark/>
          </w:tcPr>
          <w:p w14:paraId="224A1359" w14:textId="77777777" w:rsidR="002A66B3" w:rsidRPr="00730ECF" w:rsidRDefault="002A66B3" w:rsidP="002A66B3">
            <w:pPr>
              <w:jc w:val="right"/>
              <w:rPr>
                <w:rFonts w:cstheme="minorHAnsi"/>
                <w:sz w:val="20"/>
                <w:szCs w:val="20"/>
              </w:rPr>
            </w:pPr>
            <w:r w:rsidRPr="00730ECF">
              <w:rPr>
                <w:rFonts w:cstheme="minorHAnsi"/>
                <w:sz w:val="20"/>
                <w:szCs w:val="20"/>
              </w:rPr>
              <w:t xml:space="preserve">25,400 </w:t>
            </w:r>
          </w:p>
        </w:tc>
      </w:tr>
      <w:tr w:rsidR="002A66B3" w:rsidRPr="002A66B3" w14:paraId="0AFD46DD" w14:textId="77777777" w:rsidTr="00730ECF">
        <w:trPr>
          <w:trHeight w:val="80"/>
          <w:jc w:val="center"/>
        </w:trPr>
        <w:tc>
          <w:tcPr>
            <w:tcW w:w="6640" w:type="dxa"/>
            <w:tcBorders>
              <w:top w:val="nil"/>
              <w:left w:val="nil"/>
              <w:bottom w:val="nil"/>
              <w:right w:val="nil"/>
            </w:tcBorders>
            <w:shd w:val="clear" w:color="000000" w:fill="FFFFFF"/>
            <w:noWrap/>
            <w:vAlign w:val="bottom"/>
            <w:hideMark/>
          </w:tcPr>
          <w:p w14:paraId="1F73C9D5" w14:textId="77777777" w:rsidR="002A66B3" w:rsidRPr="00730ECF" w:rsidRDefault="002A66B3" w:rsidP="00730ECF">
            <w:pPr>
              <w:ind w:left="435"/>
              <w:rPr>
                <w:rFonts w:cstheme="minorHAnsi"/>
                <w:color w:val="000000"/>
                <w:sz w:val="20"/>
                <w:szCs w:val="20"/>
              </w:rPr>
            </w:pPr>
            <w:r w:rsidRPr="00730ECF">
              <w:rPr>
                <w:rFonts w:cstheme="minorHAnsi"/>
                <w:color w:val="000000"/>
                <w:sz w:val="20"/>
                <w:szCs w:val="20"/>
              </w:rPr>
              <w:t xml:space="preserve">Net OPEB asset </w:t>
            </w:r>
            <w:r w:rsidRPr="00730ECF">
              <w:rPr>
                <w:rFonts w:cstheme="minorHAnsi"/>
                <w:i/>
                <w:iCs/>
                <w:color w:val="000000"/>
                <w:sz w:val="20"/>
                <w:szCs w:val="20"/>
              </w:rPr>
              <w:t>(Note 14)</w:t>
            </w:r>
          </w:p>
        </w:tc>
        <w:tc>
          <w:tcPr>
            <w:tcW w:w="1240" w:type="dxa"/>
            <w:tcBorders>
              <w:top w:val="nil"/>
              <w:left w:val="nil"/>
              <w:bottom w:val="nil"/>
              <w:right w:val="nil"/>
            </w:tcBorders>
            <w:shd w:val="clear" w:color="000000" w:fill="FFFFFF"/>
            <w:noWrap/>
            <w:vAlign w:val="bottom"/>
            <w:hideMark/>
          </w:tcPr>
          <w:p w14:paraId="3812AECC" w14:textId="618D1F5E" w:rsidR="002A66B3" w:rsidRPr="00730ECF" w:rsidRDefault="002A66B3" w:rsidP="002A66B3">
            <w:pPr>
              <w:jc w:val="right"/>
              <w:rPr>
                <w:rFonts w:cstheme="minorHAnsi"/>
                <w:sz w:val="20"/>
                <w:szCs w:val="20"/>
              </w:rPr>
            </w:pPr>
            <w:r w:rsidRPr="00730ECF">
              <w:rPr>
                <w:rFonts w:cstheme="minorHAnsi"/>
                <w:sz w:val="20"/>
                <w:szCs w:val="20"/>
              </w:rPr>
              <w:t xml:space="preserve">40,665 </w:t>
            </w:r>
          </w:p>
        </w:tc>
        <w:tc>
          <w:tcPr>
            <w:tcW w:w="1533" w:type="dxa"/>
            <w:tcBorders>
              <w:top w:val="nil"/>
              <w:left w:val="nil"/>
              <w:bottom w:val="nil"/>
              <w:right w:val="nil"/>
            </w:tcBorders>
            <w:shd w:val="clear" w:color="000000" w:fill="FFFFFF"/>
            <w:noWrap/>
            <w:vAlign w:val="bottom"/>
            <w:hideMark/>
          </w:tcPr>
          <w:p w14:paraId="3FC88759" w14:textId="77777777" w:rsidR="002A66B3" w:rsidRPr="00730ECF" w:rsidRDefault="002A66B3" w:rsidP="002A66B3">
            <w:pPr>
              <w:jc w:val="right"/>
              <w:rPr>
                <w:rFonts w:cstheme="minorHAnsi"/>
                <w:sz w:val="20"/>
                <w:szCs w:val="20"/>
              </w:rPr>
            </w:pPr>
            <w:r w:rsidRPr="00730ECF">
              <w:rPr>
                <w:rFonts w:cstheme="minorHAnsi"/>
                <w:sz w:val="20"/>
                <w:szCs w:val="20"/>
              </w:rPr>
              <w:t xml:space="preserve">34,433 </w:t>
            </w:r>
          </w:p>
        </w:tc>
      </w:tr>
      <w:tr w:rsidR="002A66B3" w:rsidRPr="002A66B3" w14:paraId="21638F2F" w14:textId="77777777" w:rsidTr="00730ECF">
        <w:trPr>
          <w:trHeight w:val="80"/>
          <w:jc w:val="center"/>
        </w:trPr>
        <w:tc>
          <w:tcPr>
            <w:tcW w:w="6640" w:type="dxa"/>
            <w:tcBorders>
              <w:top w:val="nil"/>
              <w:left w:val="nil"/>
              <w:bottom w:val="nil"/>
              <w:right w:val="nil"/>
            </w:tcBorders>
            <w:shd w:val="clear" w:color="000000" w:fill="FFFFFF"/>
            <w:noWrap/>
            <w:vAlign w:val="bottom"/>
            <w:hideMark/>
          </w:tcPr>
          <w:p w14:paraId="3194447C" w14:textId="77777777" w:rsidR="002A66B3" w:rsidRPr="00730ECF" w:rsidRDefault="002A66B3" w:rsidP="00730ECF">
            <w:pPr>
              <w:ind w:left="435"/>
              <w:rPr>
                <w:rFonts w:cstheme="minorHAnsi"/>
                <w:color w:val="000000"/>
                <w:sz w:val="20"/>
                <w:szCs w:val="20"/>
              </w:rPr>
            </w:pPr>
            <w:r w:rsidRPr="00730ECF">
              <w:rPr>
                <w:rFonts w:cstheme="minorHAnsi"/>
                <w:color w:val="000000"/>
                <w:sz w:val="20"/>
                <w:szCs w:val="20"/>
              </w:rPr>
              <w:t xml:space="preserve">Endowment investments </w:t>
            </w:r>
            <w:r w:rsidRPr="00730ECF">
              <w:rPr>
                <w:rFonts w:cstheme="minorHAnsi"/>
                <w:i/>
                <w:iCs/>
                <w:color w:val="000000"/>
                <w:sz w:val="20"/>
                <w:szCs w:val="20"/>
              </w:rPr>
              <w:t>(Note 3)</w:t>
            </w:r>
          </w:p>
        </w:tc>
        <w:tc>
          <w:tcPr>
            <w:tcW w:w="1240" w:type="dxa"/>
            <w:tcBorders>
              <w:top w:val="nil"/>
              <w:left w:val="nil"/>
              <w:bottom w:val="nil"/>
              <w:right w:val="nil"/>
            </w:tcBorders>
            <w:shd w:val="clear" w:color="000000" w:fill="FFFFFF"/>
            <w:noWrap/>
            <w:vAlign w:val="bottom"/>
            <w:hideMark/>
          </w:tcPr>
          <w:p w14:paraId="2014055E" w14:textId="4FF2C519" w:rsidR="002A66B3" w:rsidRPr="00730ECF" w:rsidRDefault="002A66B3" w:rsidP="002A66B3">
            <w:pPr>
              <w:jc w:val="right"/>
              <w:rPr>
                <w:rFonts w:cstheme="minorHAnsi"/>
                <w:sz w:val="20"/>
                <w:szCs w:val="20"/>
              </w:rPr>
            </w:pPr>
            <w:r w:rsidRPr="00730ECF">
              <w:rPr>
                <w:rFonts w:cstheme="minorHAnsi"/>
                <w:sz w:val="20"/>
                <w:szCs w:val="20"/>
              </w:rPr>
              <w:t xml:space="preserve">172,014 </w:t>
            </w:r>
          </w:p>
        </w:tc>
        <w:tc>
          <w:tcPr>
            <w:tcW w:w="1533" w:type="dxa"/>
            <w:tcBorders>
              <w:top w:val="nil"/>
              <w:left w:val="nil"/>
              <w:bottom w:val="nil"/>
              <w:right w:val="nil"/>
            </w:tcBorders>
            <w:shd w:val="clear" w:color="000000" w:fill="FFFFFF"/>
            <w:noWrap/>
            <w:vAlign w:val="bottom"/>
            <w:hideMark/>
          </w:tcPr>
          <w:p w14:paraId="3B1EA317" w14:textId="77777777" w:rsidR="002A66B3" w:rsidRPr="00730ECF" w:rsidRDefault="002A66B3" w:rsidP="002A66B3">
            <w:pPr>
              <w:jc w:val="right"/>
              <w:rPr>
                <w:rFonts w:cstheme="minorHAnsi"/>
                <w:sz w:val="20"/>
                <w:szCs w:val="20"/>
              </w:rPr>
            </w:pPr>
            <w:r w:rsidRPr="00730ECF">
              <w:rPr>
                <w:rFonts w:cstheme="minorHAnsi"/>
                <w:sz w:val="20"/>
                <w:szCs w:val="20"/>
              </w:rPr>
              <w:t xml:space="preserve">162,047 </w:t>
            </w:r>
          </w:p>
        </w:tc>
      </w:tr>
      <w:tr w:rsidR="002A66B3" w:rsidRPr="002A66B3" w14:paraId="4022238F" w14:textId="77777777" w:rsidTr="00730ECF">
        <w:trPr>
          <w:trHeight w:val="80"/>
          <w:jc w:val="center"/>
        </w:trPr>
        <w:tc>
          <w:tcPr>
            <w:tcW w:w="6640" w:type="dxa"/>
            <w:tcBorders>
              <w:top w:val="nil"/>
              <w:left w:val="nil"/>
              <w:bottom w:val="nil"/>
              <w:right w:val="nil"/>
            </w:tcBorders>
            <w:shd w:val="clear" w:color="000000" w:fill="FFFFFF"/>
            <w:noWrap/>
            <w:vAlign w:val="bottom"/>
            <w:hideMark/>
          </w:tcPr>
          <w:p w14:paraId="0378D226" w14:textId="2A902A67" w:rsidR="002A66B3" w:rsidRPr="00730ECF" w:rsidRDefault="002A66B3" w:rsidP="00730ECF">
            <w:pPr>
              <w:ind w:left="435"/>
              <w:rPr>
                <w:rFonts w:cstheme="minorHAnsi"/>
                <w:color w:val="000000"/>
                <w:sz w:val="20"/>
                <w:szCs w:val="20"/>
              </w:rPr>
            </w:pPr>
            <w:r w:rsidRPr="00730ECF">
              <w:rPr>
                <w:rFonts w:cstheme="minorHAnsi"/>
                <w:color w:val="000000"/>
                <w:sz w:val="20"/>
                <w:szCs w:val="20"/>
              </w:rPr>
              <w:t xml:space="preserve">Capital assets, net </w:t>
            </w:r>
            <w:r w:rsidRPr="00730ECF">
              <w:rPr>
                <w:rFonts w:cstheme="minorHAnsi"/>
                <w:i/>
                <w:iCs/>
                <w:color w:val="000000"/>
                <w:sz w:val="20"/>
                <w:szCs w:val="20"/>
              </w:rPr>
              <w:t>(Note 6)</w:t>
            </w:r>
          </w:p>
        </w:tc>
        <w:tc>
          <w:tcPr>
            <w:tcW w:w="1240" w:type="dxa"/>
            <w:tcBorders>
              <w:top w:val="nil"/>
              <w:left w:val="nil"/>
              <w:bottom w:val="nil"/>
              <w:right w:val="nil"/>
            </w:tcBorders>
            <w:shd w:val="clear" w:color="000000" w:fill="FFFFFF"/>
            <w:noWrap/>
            <w:vAlign w:val="bottom"/>
            <w:hideMark/>
          </w:tcPr>
          <w:p w14:paraId="4D22A7A3" w14:textId="7E451440" w:rsidR="002A66B3" w:rsidRPr="00730ECF" w:rsidRDefault="002A66B3" w:rsidP="002A66B3">
            <w:pPr>
              <w:jc w:val="right"/>
              <w:rPr>
                <w:rFonts w:cstheme="minorHAnsi"/>
                <w:sz w:val="20"/>
                <w:szCs w:val="20"/>
              </w:rPr>
            </w:pPr>
            <w:r w:rsidRPr="00730ECF">
              <w:rPr>
                <w:rFonts w:cstheme="minorHAnsi"/>
                <w:sz w:val="20"/>
                <w:szCs w:val="20"/>
              </w:rPr>
              <w:t xml:space="preserve">1,106,385 </w:t>
            </w:r>
          </w:p>
        </w:tc>
        <w:tc>
          <w:tcPr>
            <w:tcW w:w="1533" w:type="dxa"/>
            <w:tcBorders>
              <w:top w:val="nil"/>
              <w:left w:val="nil"/>
              <w:bottom w:val="nil"/>
              <w:right w:val="nil"/>
            </w:tcBorders>
            <w:shd w:val="clear" w:color="000000" w:fill="FFFFFF"/>
            <w:noWrap/>
            <w:vAlign w:val="bottom"/>
            <w:hideMark/>
          </w:tcPr>
          <w:p w14:paraId="4585FC05" w14:textId="77777777" w:rsidR="002A66B3" w:rsidRPr="00730ECF" w:rsidRDefault="002A66B3" w:rsidP="002A66B3">
            <w:pPr>
              <w:jc w:val="right"/>
              <w:rPr>
                <w:rFonts w:cstheme="minorHAnsi"/>
                <w:sz w:val="20"/>
                <w:szCs w:val="20"/>
              </w:rPr>
            </w:pPr>
            <w:r w:rsidRPr="00730ECF">
              <w:rPr>
                <w:rFonts w:cstheme="minorHAnsi"/>
                <w:sz w:val="20"/>
                <w:szCs w:val="20"/>
              </w:rPr>
              <w:t xml:space="preserve">1,016,244 </w:t>
            </w:r>
          </w:p>
        </w:tc>
      </w:tr>
      <w:tr w:rsidR="002A66B3" w:rsidRPr="002A66B3" w14:paraId="48C6F665" w14:textId="77777777" w:rsidTr="00730ECF">
        <w:trPr>
          <w:trHeight w:val="80"/>
          <w:jc w:val="center"/>
        </w:trPr>
        <w:tc>
          <w:tcPr>
            <w:tcW w:w="6640" w:type="dxa"/>
            <w:tcBorders>
              <w:top w:val="nil"/>
              <w:left w:val="nil"/>
              <w:bottom w:val="nil"/>
              <w:right w:val="nil"/>
            </w:tcBorders>
            <w:shd w:val="clear" w:color="000000" w:fill="FFFFFF"/>
            <w:noWrap/>
            <w:vAlign w:val="bottom"/>
            <w:hideMark/>
          </w:tcPr>
          <w:p w14:paraId="78BAF352" w14:textId="77777777" w:rsidR="002A66B3" w:rsidRPr="00730ECF" w:rsidRDefault="002A66B3" w:rsidP="00730ECF">
            <w:pPr>
              <w:ind w:left="435"/>
              <w:rPr>
                <w:rFonts w:cstheme="minorHAnsi"/>
                <w:color w:val="000000"/>
                <w:sz w:val="20"/>
                <w:szCs w:val="20"/>
              </w:rPr>
            </w:pPr>
            <w:r w:rsidRPr="00730ECF">
              <w:rPr>
                <w:rFonts w:cstheme="minorHAnsi"/>
                <w:color w:val="000000"/>
                <w:sz w:val="20"/>
                <w:szCs w:val="20"/>
              </w:rPr>
              <w:t>Irrevocable split interest agreements</w:t>
            </w:r>
          </w:p>
        </w:tc>
        <w:tc>
          <w:tcPr>
            <w:tcW w:w="1240" w:type="dxa"/>
            <w:tcBorders>
              <w:top w:val="nil"/>
              <w:left w:val="nil"/>
              <w:bottom w:val="nil"/>
              <w:right w:val="nil"/>
            </w:tcBorders>
            <w:shd w:val="clear" w:color="000000" w:fill="FFFFFF"/>
            <w:noWrap/>
            <w:vAlign w:val="bottom"/>
            <w:hideMark/>
          </w:tcPr>
          <w:p w14:paraId="371590D8" w14:textId="0D3979EA" w:rsidR="002A66B3" w:rsidRPr="00730ECF" w:rsidRDefault="002A66B3" w:rsidP="002A66B3">
            <w:pPr>
              <w:jc w:val="right"/>
              <w:rPr>
                <w:rFonts w:cstheme="minorHAnsi"/>
                <w:sz w:val="20"/>
                <w:szCs w:val="20"/>
              </w:rPr>
            </w:pPr>
            <w:r w:rsidRPr="00730ECF">
              <w:rPr>
                <w:rFonts w:cstheme="minorHAnsi"/>
                <w:sz w:val="20"/>
                <w:szCs w:val="20"/>
              </w:rPr>
              <w:t xml:space="preserve">429 </w:t>
            </w:r>
          </w:p>
        </w:tc>
        <w:tc>
          <w:tcPr>
            <w:tcW w:w="1533" w:type="dxa"/>
            <w:tcBorders>
              <w:top w:val="nil"/>
              <w:left w:val="nil"/>
              <w:bottom w:val="nil"/>
              <w:right w:val="nil"/>
            </w:tcBorders>
            <w:shd w:val="clear" w:color="000000" w:fill="FFFFFF"/>
            <w:noWrap/>
            <w:vAlign w:val="bottom"/>
            <w:hideMark/>
          </w:tcPr>
          <w:p w14:paraId="51627247" w14:textId="77777777" w:rsidR="002A66B3" w:rsidRPr="00730ECF" w:rsidRDefault="002A66B3" w:rsidP="002A66B3">
            <w:pPr>
              <w:jc w:val="right"/>
              <w:rPr>
                <w:rFonts w:cstheme="minorHAnsi"/>
                <w:sz w:val="20"/>
                <w:szCs w:val="20"/>
              </w:rPr>
            </w:pPr>
            <w:r w:rsidRPr="00730ECF">
              <w:rPr>
                <w:rFonts w:cstheme="minorHAnsi"/>
                <w:sz w:val="20"/>
                <w:szCs w:val="20"/>
              </w:rPr>
              <w:t xml:space="preserve">298 </w:t>
            </w:r>
          </w:p>
        </w:tc>
      </w:tr>
      <w:tr w:rsidR="002A66B3" w:rsidRPr="002A66B3" w14:paraId="20EF53A6" w14:textId="77777777" w:rsidTr="00730ECF">
        <w:trPr>
          <w:trHeight w:val="70"/>
          <w:jc w:val="center"/>
        </w:trPr>
        <w:tc>
          <w:tcPr>
            <w:tcW w:w="6640" w:type="dxa"/>
            <w:tcBorders>
              <w:top w:val="single" w:sz="4" w:space="0" w:color="000000"/>
              <w:left w:val="nil"/>
              <w:bottom w:val="single" w:sz="4" w:space="0" w:color="000000"/>
              <w:right w:val="nil"/>
            </w:tcBorders>
            <w:shd w:val="clear" w:color="000000" w:fill="FFFFFF"/>
            <w:noWrap/>
            <w:vAlign w:val="bottom"/>
            <w:hideMark/>
          </w:tcPr>
          <w:p w14:paraId="13E74A0D" w14:textId="77777777" w:rsidR="002A66B3" w:rsidRPr="00730ECF" w:rsidRDefault="002A66B3" w:rsidP="00730ECF">
            <w:pPr>
              <w:ind w:left="435"/>
              <w:rPr>
                <w:rFonts w:cstheme="minorHAnsi"/>
                <w:b/>
                <w:bCs/>
                <w:color w:val="000000"/>
                <w:sz w:val="20"/>
                <w:szCs w:val="20"/>
              </w:rPr>
            </w:pPr>
            <w:r w:rsidRPr="00730ECF">
              <w:rPr>
                <w:rFonts w:cstheme="minorHAnsi"/>
                <w:b/>
                <w:bCs/>
                <w:color w:val="000000"/>
                <w:sz w:val="20"/>
                <w:szCs w:val="20"/>
              </w:rPr>
              <w:t>Total Noncurrent Assets</w:t>
            </w:r>
          </w:p>
        </w:tc>
        <w:tc>
          <w:tcPr>
            <w:tcW w:w="1240" w:type="dxa"/>
            <w:tcBorders>
              <w:top w:val="single" w:sz="4" w:space="0" w:color="000000"/>
              <w:left w:val="nil"/>
              <w:bottom w:val="single" w:sz="4" w:space="0" w:color="000000"/>
              <w:right w:val="nil"/>
            </w:tcBorders>
            <w:shd w:val="clear" w:color="000000" w:fill="FFFFFF"/>
            <w:noWrap/>
            <w:vAlign w:val="bottom"/>
            <w:hideMark/>
          </w:tcPr>
          <w:p w14:paraId="2B108188" w14:textId="1D01DC6E" w:rsidR="002A66B3" w:rsidRPr="00730ECF" w:rsidRDefault="002A66B3" w:rsidP="002A66B3">
            <w:pPr>
              <w:jc w:val="right"/>
              <w:rPr>
                <w:rFonts w:cstheme="minorHAnsi"/>
                <w:sz w:val="20"/>
                <w:szCs w:val="20"/>
              </w:rPr>
            </w:pPr>
            <w:r w:rsidRPr="00730ECF">
              <w:rPr>
                <w:rFonts w:cstheme="minorHAnsi"/>
                <w:sz w:val="20"/>
                <w:szCs w:val="20"/>
              </w:rPr>
              <w:t xml:space="preserve">1,353,764 </w:t>
            </w:r>
          </w:p>
        </w:tc>
        <w:tc>
          <w:tcPr>
            <w:tcW w:w="1533" w:type="dxa"/>
            <w:tcBorders>
              <w:top w:val="single" w:sz="4" w:space="0" w:color="000000"/>
              <w:left w:val="nil"/>
              <w:bottom w:val="single" w:sz="4" w:space="0" w:color="000000"/>
              <w:right w:val="nil"/>
            </w:tcBorders>
            <w:shd w:val="clear" w:color="000000" w:fill="FFFFFF"/>
            <w:noWrap/>
            <w:vAlign w:val="bottom"/>
            <w:hideMark/>
          </w:tcPr>
          <w:p w14:paraId="334609B6" w14:textId="77777777" w:rsidR="002A66B3" w:rsidRPr="00730ECF" w:rsidRDefault="002A66B3" w:rsidP="002A66B3">
            <w:pPr>
              <w:jc w:val="right"/>
              <w:rPr>
                <w:rFonts w:cstheme="minorHAnsi"/>
                <w:sz w:val="20"/>
                <w:szCs w:val="20"/>
              </w:rPr>
            </w:pPr>
            <w:r w:rsidRPr="00730ECF">
              <w:rPr>
                <w:rFonts w:cstheme="minorHAnsi"/>
                <w:sz w:val="20"/>
                <w:szCs w:val="20"/>
              </w:rPr>
              <w:t xml:space="preserve">1,250,253 </w:t>
            </w:r>
          </w:p>
        </w:tc>
      </w:tr>
      <w:tr w:rsidR="002A66B3" w:rsidRPr="002A66B3" w14:paraId="6B61F77A" w14:textId="77777777" w:rsidTr="00730ECF">
        <w:trPr>
          <w:trHeight w:val="70"/>
          <w:jc w:val="center"/>
        </w:trPr>
        <w:tc>
          <w:tcPr>
            <w:tcW w:w="6640" w:type="dxa"/>
            <w:tcBorders>
              <w:top w:val="nil"/>
              <w:left w:val="nil"/>
              <w:bottom w:val="single" w:sz="4" w:space="0" w:color="000000"/>
              <w:right w:val="nil"/>
            </w:tcBorders>
            <w:shd w:val="clear" w:color="000000" w:fill="FFFFFF"/>
            <w:noWrap/>
            <w:vAlign w:val="bottom"/>
            <w:hideMark/>
          </w:tcPr>
          <w:p w14:paraId="1868DA8E" w14:textId="77777777" w:rsidR="002A66B3" w:rsidRPr="00730ECF" w:rsidRDefault="002A66B3" w:rsidP="002A66B3">
            <w:pPr>
              <w:rPr>
                <w:rFonts w:cstheme="minorHAnsi"/>
                <w:b/>
                <w:bCs/>
                <w:color w:val="000000"/>
                <w:sz w:val="20"/>
                <w:szCs w:val="20"/>
              </w:rPr>
            </w:pPr>
            <w:r w:rsidRPr="00730ECF">
              <w:rPr>
                <w:rFonts w:cstheme="minorHAnsi"/>
                <w:b/>
                <w:bCs/>
                <w:color w:val="000000"/>
                <w:sz w:val="20"/>
                <w:szCs w:val="20"/>
              </w:rPr>
              <w:t>Total Assets</w:t>
            </w:r>
          </w:p>
        </w:tc>
        <w:tc>
          <w:tcPr>
            <w:tcW w:w="1240" w:type="dxa"/>
            <w:tcBorders>
              <w:top w:val="nil"/>
              <w:left w:val="nil"/>
              <w:bottom w:val="single" w:sz="4" w:space="0" w:color="000000"/>
              <w:right w:val="nil"/>
            </w:tcBorders>
            <w:shd w:val="clear" w:color="000000" w:fill="FFFFFF"/>
            <w:noWrap/>
            <w:vAlign w:val="bottom"/>
            <w:hideMark/>
          </w:tcPr>
          <w:p w14:paraId="0995257F" w14:textId="10FB24B9" w:rsidR="002A66B3" w:rsidRPr="00730ECF" w:rsidRDefault="00EA5BB4" w:rsidP="002A66B3">
            <w:pPr>
              <w:jc w:val="right"/>
              <w:rPr>
                <w:rFonts w:cstheme="minorHAnsi"/>
                <w:sz w:val="20"/>
                <w:szCs w:val="20"/>
              </w:rPr>
            </w:pPr>
            <w:r w:rsidRPr="00EA5BB4">
              <w:rPr>
                <w:rFonts w:cstheme="minorHAnsi"/>
                <w:sz w:val="20"/>
                <w:szCs w:val="20"/>
              </w:rPr>
              <w:t>1,720,331</w:t>
            </w:r>
          </w:p>
        </w:tc>
        <w:tc>
          <w:tcPr>
            <w:tcW w:w="1533" w:type="dxa"/>
            <w:tcBorders>
              <w:top w:val="nil"/>
              <w:left w:val="nil"/>
              <w:bottom w:val="single" w:sz="4" w:space="0" w:color="000000"/>
              <w:right w:val="nil"/>
            </w:tcBorders>
            <w:shd w:val="clear" w:color="000000" w:fill="FFFFFF"/>
            <w:noWrap/>
            <w:vAlign w:val="bottom"/>
            <w:hideMark/>
          </w:tcPr>
          <w:p w14:paraId="39CC3D8C" w14:textId="77777777" w:rsidR="002A66B3" w:rsidRPr="00730ECF" w:rsidRDefault="002A66B3" w:rsidP="002A66B3">
            <w:pPr>
              <w:jc w:val="right"/>
              <w:rPr>
                <w:rFonts w:cstheme="minorHAnsi"/>
                <w:sz w:val="20"/>
                <w:szCs w:val="20"/>
              </w:rPr>
            </w:pPr>
            <w:r w:rsidRPr="00730ECF">
              <w:rPr>
                <w:rFonts w:cstheme="minorHAnsi"/>
                <w:sz w:val="20"/>
                <w:szCs w:val="20"/>
              </w:rPr>
              <w:t xml:space="preserve">1,614,381 </w:t>
            </w:r>
          </w:p>
        </w:tc>
      </w:tr>
      <w:tr w:rsidR="002A66B3" w:rsidRPr="002A66B3" w14:paraId="58680919" w14:textId="77777777" w:rsidTr="00730ECF">
        <w:trPr>
          <w:trHeight w:val="70"/>
          <w:jc w:val="center"/>
        </w:trPr>
        <w:tc>
          <w:tcPr>
            <w:tcW w:w="6640" w:type="dxa"/>
            <w:tcBorders>
              <w:top w:val="nil"/>
              <w:left w:val="nil"/>
              <w:bottom w:val="single" w:sz="4" w:space="0" w:color="000000"/>
              <w:right w:val="nil"/>
            </w:tcBorders>
            <w:shd w:val="clear" w:color="000000" w:fill="FFFFFF"/>
            <w:noWrap/>
            <w:vAlign w:val="bottom"/>
            <w:hideMark/>
          </w:tcPr>
          <w:p w14:paraId="285FF86F" w14:textId="77777777" w:rsidR="002A66B3" w:rsidRPr="00730ECF" w:rsidRDefault="002A66B3" w:rsidP="002A66B3">
            <w:pPr>
              <w:rPr>
                <w:rFonts w:cstheme="minorHAnsi"/>
                <w:b/>
                <w:bCs/>
                <w:color w:val="000000"/>
                <w:sz w:val="20"/>
                <w:szCs w:val="20"/>
              </w:rPr>
            </w:pPr>
            <w:r w:rsidRPr="00730ECF">
              <w:rPr>
                <w:rFonts w:cstheme="minorHAnsi"/>
                <w:b/>
                <w:bCs/>
                <w:color w:val="000000"/>
                <w:sz w:val="20"/>
                <w:szCs w:val="20"/>
              </w:rPr>
              <w:t xml:space="preserve">Deferred Outflows of Resources </w:t>
            </w:r>
            <w:r w:rsidRPr="00730ECF">
              <w:rPr>
                <w:rFonts w:cstheme="minorHAnsi"/>
                <w:b/>
                <w:bCs/>
                <w:i/>
                <w:iCs/>
                <w:color w:val="000000"/>
                <w:sz w:val="20"/>
                <w:szCs w:val="20"/>
              </w:rPr>
              <w:t>(Note 16)</w:t>
            </w:r>
          </w:p>
        </w:tc>
        <w:tc>
          <w:tcPr>
            <w:tcW w:w="1240" w:type="dxa"/>
            <w:tcBorders>
              <w:top w:val="nil"/>
              <w:left w:val="nil"/>
              <w:bottom w:val="single" w:sz="4" w:space="0" w:color="000000"/>
              <w:right w:val="nil"/>
            </w:tcBorders>
            <w:shd w:val="clear" w:color="000000" w:fill="FFFFFF"/>
            <w:noWrap/>
            <w:vAlign w:val="bottom"/>
            <w:hideMark/>
          </w:tcPr>
          <w:p w14:paraId="04CA9092" w14:textId="51D1851F" w:rsidR="002A66B3" w:rsidRPr="00730ECF" w:rsidRDefault="002A66B3" w:rsidP="002A66B3">
            <w:pPr>
              <w:jc w:val="right"/>
              <w:rPr>
                <w:rFonts w:cstheme="minorHAnsi"/>
                <w:sz w:val="20"/>
                <w:szCs w:val="20"/>
              </w:rPr>
            </w:pPr>
            <w:r w:rsidRPr="00730ECF">
              <w:rPr>
                <w:rFonts w:cstheme="minorHAnsi"/>
                <w:sz w:val="20"/>
                <w:szCs w:val="20"/>
              </w:rPr>
              <w:t xml:space="preserve">21,693 </w:t>
            </w:r>
          </w:p>
        </w:tc>
        <w:tc>
          <w:tcPr>
            <w:tcW w:w="1533" w:type="dxa"/>
            <w:tcBorders>
              <w:top w:val="nil"/>
              <w:left w:val="nil"/>
              <w:bottom w:val="single" w:sz="4" w:space="0" w:color="000000"/>
              <w:right w:val="nil"/>
            </w:tcBorders>
            <w:shd w:val="clear" w:color="000000" w:fill="FFFFFF"/>
            <w:noWrap/>
            <w:vAlign w:val="bottom"/>
            <w:hideMark/>
          </w:tcPr>
          <w:p w14:paraId="6A18E723" w14:textId="77777777" w:rsidR="002A66B3" w:rsidRPr="00730ECF" w:rsidRDefault="002A66B3" w:rsidP="002A66B3">
            <w:pPr>
              <w:jc w:val="right"/>
              <w:rPr>
                <w:rFonts w:cstheme="minorHAnsi"/>
                <w:sz w:val="20"/>
                <w:szCs w:val="20"/>
              </w:rPr>
            </w:pPr>
            <w:r w:rsidRPr="00730ECF">
              <w:rPr>
                <w:rFonts w:cstheme="minorHAnsi"/>
                <w:sz w:val="20"/>
                <w:szCs w:val="20"/>
              </w:rPr>
              <w:t xml:space="preserve">6,039 </w:t>
            </w:r>
          </w:p>
        </w:tc>
      </w:tr>
      <w:tr w:rsidR="002A66B3" w:rsidRPr="002A66B3" w14:paraId="19EB98F0" w14:textId="77777777" w:rsidTr="00730ECF">
        <w:trPr>
          <w:trHeight w:val="70"/>
          <w:jc w:val="center"/>
        </w:trPr>
        <w:tc>
          <w:tcPr>
            <w:tcW w:w="6640" w:type="dxa"/>
            <w:tcBorders>
              <w:top w:val="nil"/>
              <w:left w:val="nil"/>
              <w:bottom w:val="double" w:sz="6" w:space="0" w:color="000000"/>
              <w:right w:val="nil"/>
            </w:tcBorders>
            <w:shd w:val="clear" w:color="000000" w:fill="FFFFFF"/>
            <w:noWrap/>
            <w:vAlign w:val="bottom"/>
            <w:hideMark/>
          </w:tcPr>
          <w:p w14:paraId="2A31E6B0" w14:textId="77777777" w:rsidR="002A66B3" w:rsidRPr="00730ECF" w:rsidRDefault="002A66B3" w:rsidP="002A66B3">
            <w:pPr>
              <w:rPr>
                <w:rFonts w:cstheme="minorHAnsi"/>
                <w:b/>
                <w:bCs/>
                <w:color w:val="000000"/>
                <w:sz w:val="20"/>
                <w:szCs w:val="20"/>
              </w:rPr>
            </w:pPr>
            <w:r w:rsidRPr="00730ECF">
              <w:rPr>
                <w:rFonts w:cstheme="minorHAnsi"/>
                <w:b/>
                <w:bCs/>
                <w:color w:val="000000"/>
                <w:sz w:val="20"/>
                <w:szCs w:val="20"/>
              </w:rPr>
              <w:t>Total Assets and Deferred Outflows of Resources</w:t>
            </w:r>
          </w:p>
        </w:tc>
        <w:tc>
          <w:tcPr>
            <w:tcW w:w="1240" w:type="dxa"/>
            <w:tcBorders>
              <w:top w:val="nil"/>
              <w:left w:val="nil"/>
              <w:bottom w:val="double" w:sz="6" w:space="0" w:color="000000"/>
              <w:right w:val="nil"/>
            </w:tcBorders>
            <w:shd w:val="clear" w:color="000000" w:fill="FFFFFF"/>
            <w:noWrap/>
            <w:vAlign w:val="bottom"/>
            <w:hideMark/>
          </w:tcPr>
          <w:p w14:paraId="576BC946" w14:textId="0DBC7A18" w:rsidR="002A66B3" w:rsidRPr="00730ECF" w:rsidRDefault="00EA5BB4" w:rsidP="002A66B3">
            <w:pPr>
              <w:jc w:val="right"/>
              <w:rPr>
                <w:rFonts w:cstheme="minorHAnsi"/>
                <w:b/>
                <w:sz w:val="20"/>
                <w:szCs w:val="20"/>
              </w:rPr>
            </w:pPr>
            <w:r w:rsidRPr="00EA5BB4">
              <w:rPr>
                <w:rFonts w:cstheme="minorHAnsi"/>
                <w:b/>
                <w:sz w:val="20"/>
                <w:szCs w:val="20"/>
              </w:rPr>
              <w:t>$1,742,024</w:t>
            </w:r>
          </w:p>
        </w:tc>
        <w:tc>
          <w:tcPr>
            <w:tcW w:w="1533" w:type="dxa"/>
            <w:tcBorders>
              <w:top w:val="nil"/>
              <w:left w:val="nil"/>
              <w:bottom w:val="double" w:sz="6" w:space="0" w:color="000000"/>
              <w:right w:val="nil"/>
            </w:tcBorders>
            <w:shd w:val="clear" w:color="000000" w:fill="FFFFFF"/>
            <w:noWrap/>
            <w:vAlign w:val="bottom"/>
            <w:hideMark/>
          </w:tcPr>
          <w:p w14:paraId="5D156C60" w14:textId="77777777" w:rsidR="002A66B3" w:rsidRPr="00730ECF" w:rsidRDefault="002A66B3" w:rsidP="002A66B3">
            <w:pPr>
              <w:jc w:val="right"/>
              <w:rPr>
                <w:rFonts w:cstheme="minorHAnsi"/>
                <w:b/>
                <w:bCs/>
                <w:sz w:val="20"/>
                <w:szCs w:val="20"/>
              </w:rPr>
            </w:pPr>
            <w:r w:rsidRPr="00730ECF">
              <w:rPr>
                <w:rFonts w:cstheme="minorHAnsi"/>
                <w:b/>
                <w:bCs/>
                <w:sz w:val="20"/>
                <w:szCs w:val="20"/>
              </w:rPr>
              <w:t xml:space="preserve">$1,620,420 </w:t>
            </w:r>
          </w:p>
        </w:tc>
      </w:tr>
      <w:tr w:rsidR="002A66B3" w:rsidRPr="002A66B3" w14:paraId="43B01DA4" w14:textId="77777777" w:rsidTr="00730ECF">
        <w:trPr>
          <w:trHeight w:val="35"/>
          <w:jc w:val="center"/>
        </w:trPr>
        <w:tc>
          <w:tcPr>
            <w:tcW w:w="6640" w:type="dxa"/>
            <w:tcBorders>
              <w:top w:val="nil"/>
              <w:left w:val="nil"/>
              <w:bottom w:val="nil"/>
              <w:right w:val="nil"/>
            </w:tcBorders>
            <w:shd w:val="clear" w:color="000000" w:fill="FFFFFF"/>
            <w:noWrap/>
            <w:vAlign w:val="bottom"/>
            <w:hideMark/>
          </w:tcPr>
          <w:p w14:paraId="7E56DE8A" w14:textId="77777777" w:rsidR="002A66B3" w:rsidRPr="00730ECF" w:rsidRDefault="002A66B3" w:rsidP="002A66B3">
            <w:pPr>
              <w:rPr>
                <w:rFonts w:cstheme="minorHAnsi"/>
                <w:b/>
                <w:bCs/>
                <w:color w:val="000000"/>
                <w:sz w:val="20"/>
                <w:szCs w:val="20"/>
              </w:rPr>
            </w:pPr>
            <w:r w:rsidRPr="00730ECF">
              <w:rPr>
                <w:rFonts w:cstheme="minorHAnsi"/>
                <w:b/>
                <w:bCs/>
                <w:color w:val="000000"/>
                <w:sz w:val="20"/>
                <w:szCs w:val="20"/>
              </w:rPr>
              <w:t>Liabilities</w:t>
            </w:r>
          </w:p>
        </w:tc>
        <w:tc>
          <w:tcPr>
            <w:tcW w:w="1240" w:type="dxa"/>
            <w:tcBorders>
              <w:top w:val="nil"/>
              <w:left w:val="nil"/>
              <w:bottom w:val="nil"/>
              <w:right w:val="nil"/>
            </w:tcBorders>
            <w:shd w:val="clear" w:color="000000" w:fill="FFFFFF"/>
            <w:noWrap/>
            <w:vAlign w:val="bottom"/>
            <w:hideMark/>
          </w:tcPr>
          <w:p w14:paraId="65A44C8A" w14:textId="55FBDCED" w:rsidR="002A66B3" w:rsidRPr="00730ECF" w:rsidRDefault="002A66B3" w:rsidP="002A66B3">
            <w:pPr>
              <w:jc w:val="right"/>
              <w:rPr>
                <w:rFonts w:cstheme="minorHAnsi"/>
                <w:b/>
                <w:bCs/>
                <w:color w:val="FF0000"/>
                <w:sz w:val="20"/>
                <w:szCs w:val="20"/>
              </w:rPr>
            </w:pPr>
          </w:p>
        </w:tc>
        <w:tc>
          <w:tcPr>
            <w:tcW w:w="1533" w:type="dxa"/>
            <w:tcBorders>
              <w:top w:val="nil"/>
              <w:left w:val="nil"/>
              <w:bottom w:val="nil"/>
              <w:right w:val="nil"/>
            </w:tcBorders>
            <w:shd w:val="clear" w:color="000000" w:fill="FFFFFF"/>
            <w:noWrap/>
            <w:vAlign w:val="bottom"/>
            <w:hideMark/>
          </w:tcPr>
          <w:p w14:paraId="6B194670" w14:textId="3E378A6A" w:rsidR="002A66B3" w:rsidRPr="00730ECF" w:rsidRDefault="002A66B3" w:rsidP="002A66B3">
            <w:pPr>
              <w:jc w:val="right"/>
              <w:rPr>
                <w:rFonts w:cstheme="minorHAnsi"/>
                <w:b/>
                <w:bCs/>
                <w:sz w:val="20"/>
                <w:szCs w:val="20"/>
              </w:rPr>
            </w:pPr>
          </w:p>
        </w:tc>
      </w:tr>
      <w:tr w:rsidR="002A66B3" w:rsidRPr="002A66B3" w14:paraId="44A3F7E4" w14:textId="77777777" w:rsidTr="00730ECF">
        <w:trPr>
          <w:trHeight w:val="73"/>
          <w:jc w:val="center"/>
        </w:trPr>
        <w:tc>
          <w:tcPr>
            <w:tcW w:w="6640" w:type="dxa"/>
            <w:tcBorders>
              <w:top w:val="nil"/>
              <w:left w:val="nil"/>
              <w:bottom w:val="nil"/>
              <w:right w:val="nil"/>
            </w:tcBorders>
            <w:shd w:val="clear" w:color="000000" w:fill="FFFFFF"/>
            <w:noWrap/>
            <w:vAlign w:val="bottom"/>
            <w:hideMark/>
          </w:tcPr>
          <w:p w14:paraId="566DE63B" w14:textId="77777777" w:rsidR="002A66B3" w:rsidRPr="00730ECF" w:rsidRDefault="002A66B3" w:rsidP="00730ECF">
            <w:pPr>
              <w:rPr>
                <w:rFonts w:cstheme="minorHAnsi"/>
                <w:color w:val="000000"/>
                <w:sz w:val="20"/>
                <w:szCs w:val="20"/>
              </w:rPr>
            </w:pPr>
            <w:r w:rsidRPr="00730ECF">
              <w:rPr>
                <w:rFonts w:cstheme="minorHAnsi"/>
                <w:color w:val="000000"/>
                <w:sz w:val="20"/>
                <w:szCs w:val="20"/>
              </w:rPr>
              <w:t>Current Liabilities</w:t>
            </w:r>
          </w:p>
        </w:tc>
        <w:tc>
          <w:tcPr>
            <w:tcW w:w="1240" w:type="dxa"/>
            <w:tcBorders>
              <w:top w:val="nil"/>
              <w:left w:val="nil"/>
              <w:bottom w:val="nil"/>
              <w:right w:val="nil"/>
            </w:tcBorders>
            <w:shd w:val="clear" w:color="000000" w:fill="FFFFFF"/>
            <w:noWrap/>
            <w:vAlign w:val="bottom"/>
            <w:hideMark/>
          </w:tcPr>
          <w:p w14:paraId="5126547A" w14:textId="4E964504" w:rsidR="002A66B3" w:rsidRPr="00730ECF" w:rsidRDefault="002A66B3" w:rsidP="002A66B3">
            <w:pPr>
              <w:jc w:val="right"/>
              <w:rPr>
                <w:rFonts w:cstheme="minorHAnsi"/>
                <w:color w:val="FF0000"/>
                <w:sz w:val="20"/>
                <w:szCs w:val="20"/>
              </w:rPr>
            </w:pPr>
          </w:p>
        </w:tc>
        <w:tc>
          <w:tcPr>
            <w:tcW w:w="1533" w:type="dxa"/>
            <w:tcBorders>
              <w:top w:val="nil"/>
              <w:left w:val="nil"/>
              <w:bottom w:val="nil"/>
              <w:right w:val="nil"/>
            </w:tcBorders>
            <w:shd w:val="clear" w:color="000000" w:fill="FFFFFF"/>
            <w:noWrap/>
            <w:vAlign w:val="bottom"/>
            <w:hideMark/>
          </w:tcPr>
          <w:p w14:paraId="4683AD81" w14:textId="4D3146D7" w:rsidR="002A66B3" w:rsidRPr="00730ECF" w:rsidRDefault="002A66B3" w:rsidP="002A66B3">
            <w:pPr>
              <w:jc w:val="right"/>
              <w:rPr>
                <w:rFonts w:cstheme="minorHAnsi"/>
                <w:sz w:val="20"/>
                <w:szCs w:val="20"/>
              </w:rPr>
            </w:pPr>
          </w:p>
        </w:tc>
      </w:tr>
      <w:tr w:rsidR="002A66B3" w:rsidRPr="002A66B3" w14:paraId="634681CB" w14:textId="77777777" w:rsidTr="00730ECF">
        <w:trPr>
          <w:trHeight w:val="80"/>
          <w:jc w:val="center"/>
        </w:trPr>
        <w:tc>
          <w:tcPr>
            <w:tcW w:w="6640" w:type="dxa"/>
            <w:tcBorders>
              <w:top w:val="nil"/>
              <w:left w:val="nil"/>
              <w:bottom w:val="nil"/>
              <w:right w:val="nil"/>
            </w:tcBorders>
            <w:shd w:val="clear" w:color="000000" w:fill="FFFFFF"/>
            <w:noWrap/>
            <w:vAlign w:val="bottom"/>
            <w:hideMark/>
          </w:tcPr>
          <w:p w14:paraId="6169D159" w14:textId="77777777" w:rsidR="002A66B3" w:rsidRPr="00730ECF" w:rsidRDefault="002A66B3" w:rsidP="00730ECF">
            <w:pPr>
              <w:ind w:left="435"/>
              <w:rPr>
                <w:rFonts w:cstheme="minorHAnsi"/>
                <w:color w:val="000000"/>
                <w:sz w:val="20"/>
                <w:szCs w:val="20"/>
              </w:rPr>
            </w:pPr>
            <w:r w:rsidRPr="00730ECF">
              <w:rPr>
                <w:rFonts w:cstheme="minorHAnsi"/>
                <w:color w:val="000000"/>
                <w:sz w:val="20"/>
                <w:szCs w:val="20"/>
              </w:rPr>
              <w:t>Accounts payable</w:t>
            </w:r>
          </w:p>
        </w:tc>
        <w:tc>
          <w:tcPr>
            <w:tcW w:w="1240" w:type="dxa"/>
            <w:tcBorders>
              <w:top w:val="nil"/>
              <w:left w:val="nil"/>
              <w:bottom w:val="nil"/>
              <w:right w:val="nil"/>
            </w:tcBorders>
            <w:shd w:val="clear" w:color="000000" w:fill="FFFFFF"/>
            <w:noWrap/>
            <w:vAlign w:val="bottom"/>
            <w:hideMark/>
          </w:tcPr>
          <w:p w14:paraId="33913646" w14:textId="29FC98AE" w:rsidR="002A66B3" w:rsidRPr="00730ECF" w:rsidRDefault="002A66B3" w:rsidP="002A66B3">
            <w:pPr>
              <w:jc w:val="right"/>
              <w:rPr>
                <w:rFonts w:cstheme="minorHAnsi"/>
                <w:sz w:val="20"/>
                <w:szCs w:val="20"/>
              </w:rPr>
            </w:pPr>
            <w:r w:rsidRPr="00730ECF">
              <w:rPr>
                <w:rFonts w:cstheme="minorHAnsi"/>
                <w:sz w:val="20"/>
                <w:szCs w:val="20"/>
              </w:rPr>
              <w:t>$      44,</w:t>
            </w:r>
            <w:r w:rsidR="00EA5BB4" w:rsidRPr="00730ECF">
              <w:rPr>
                <w:rFonts w:cstheme="minorHAnsi"/>
                <w:sz w:val="20"/>
                <w:szCs w:val="20"/>
              </w:rPr>
              <w:t>0</w:t>
            </w:r>
            <w:r w:rsidR="00EA5BB4">
              <w:rPr>
                <w:rFonts w:cstheme="minorHAnsi"/>
                <w:sz w:val="20"/>
                <w:szCs w:val="20"/>
              </w:rPr>
              <w:t>20</w:t>
            </w:r>
            <w:r w:rsidR="00EA5BB4" w:rsidRPr="00730ECF">
              <w:rPr>
                <w:rFonts w:cstheme="minorHAnsi"/>
                <w:sz w:val="20"/>
                <w:szCs w:val="20"/>
              </w:rPr>
              <w:t xml:space="preserve"> </w:t>
            </w:r>
          </w:p>
        </w:tc>
        <w:tc>
          <w:tcPr>
            <w:tcW w:w="1533" w:type="dxa"/>
            <w:tcBorders>
              <w:top w:val="nil"/>
              <w:left w:val="nil"/>
              <w:bottom w:val="nil"/>
              <w:right w:val="nil"/>
            </w:tcBorders>
            <w:shd w:val="clear" w:color="000000" w:fill="FFFFFF"/>
            <w:noWrap/>
            <w:vAlign w:val="bottom"/>
            <w:hideMark/>
          </w:tcPr>
          <w:p w14:paraId="64DBE755" w14:textId="77777777" w:rsidR="002A66B3" w:rsidRPr="00730ECF" w:rsidRDefault="002A66B3" w:rsidP="002A66B3">
            <w:pPr>
              <w:jc w:val="right"/>
              <w:rPr>
                <w:rFonts w:cstheme="minorHAnsi"/>
                <w:sz w:val="20"/>
                <w:szCs w:val="20"/>
              </w:rPr>
            </w:pPr>
            <w:r w:rsidRPr="00730ECF">
              <w:rPr>
                <w:rFonts w:cstheme="minorHAnsi"/>
                <w:sz w:val="20"/>
                <w:szCs w:val="20"/>
              </w:rPr>
              <w:t xml:space="preserve">$      35,066 </w:t>
            </w:r>
          </w:p>
        </w:tc>
      </w:tr>
      <w:tr w:rsidR="002A66B3" w:rsidRPr="002A66B3" w14:paraId="64B61549" w14:textId="77777777" w:rsidTr="00730ECF">
        <w:trPr>
          <w:trHeight w:val="80"/>
          <w:jc w:val="center"/>
        </w:trPr>
        <w:tc>
          <w:tcPr>
            <w:tcW w:w="6640" w:type="dxa"/>
            <w:tcBorders>
              <w:top w:val="nil"/>
              <w:left w:val="nil"/>
              <w:bottom w:val="nil"/>
              <w:right w:val="nil"/>
            </w:tcBorders>
            <w:shd w:val="clear" w:color="000000" w:fill="FFFFFF"/>
            <w:noWrap/>
            <w:vAlign w:val="bottom"/>
            <w:hideMark/>
          </w:tcPr>
          <w:p w14:paraId="22EE2163" w14:textId="77777777" w:rsidR="002A66B3" w:rsidRPr="00730ECF" w:rsidRDefault="002A66B3" w:rsidP="00730ECF">
            <w:pPr>
              <w:ind w:left="435"/>
              <w:rPr>
                <w:rFonts w:cstheme="minorHAnsi"/>
                <w:color w:val="000000"/>
                <w:sz w:val="20"/>
                <w:szCs w:val="20"/>
              </w:rPr>
            </w:pPr>
            <w:r w:rsidRPr="00730ECF">
              <w:rPr>
                <w:rFonts w:cstheme="minorHAnsi"/>
                <w:color w:val="000000"/>
                <w:sz w:val="20"/>
                <w:szCs w:val="20"/>
              </w:rPr>
              <w:t xml:space="preserve">Unearned revenue and deposits </w:t>
            </w:r>
            <w:r w:rsidRPr="00730ECF">
              <w:rPr>
                <w:rFonts w:cstheme="minorHAnsi"/>
                <w:i/>
                <w:iCs/>
                <w:color w:val="000000"/>
                <w:sz w:val="20"/>
                <w:szCs w:val="20"/>
              </w:rPr>
              <w:t>(Note 8)</w:t>
            </w:r>
          </w:p>
        </w:tc>
        <w:tc>
          <w:tcPr>
            <w:tcW w:w="1240" w:type="dxa"/>
            <w:tcBorders>
              <w:top w:val="nil"/>
              <w:left w:val="nil"/>
              <w:bottom w:val="nil"/>
              <w:right w:val="nil"/>
            </w:tcBorders>
            <w:shd w:val="clear" w:color="000000" w:fill="FFFFFF"/>
            <w:noWrap/>
            <w:vAlign w:val="bottom"/>
            <w:hideMark/>
          </w:tcPr>
          <w:p w14:paraId="2483A83C" w14:textId="2185302B" w:rsidR="002A66B3" w:rsidRPr="00730ECF" w:rsidRDefault="002A66B3" w:rsidP="002A66B3">
            <w:pPr>
              <w:jc w:val="right"/>
              <w:rPr>
                <w:rFonts w:cstheme="minorHAnsi"/>
                <w:sz w:val="20"/>
                <w:szCs w:val="20"/>
              </w:rPr>
            </w:pPr>
            <w:r w:rsidRPr="00730ECF">
              <w:rPr>
                <w:rFonts w:cstheme="minorHAnsi"/>
                <w:sz w:val="20"/>
                <w:szCs w:val="20"/>
              </w:rPr>
              <w:t xml:space="preserve">62,729 </w:t>
            </w:r>
          </w:p>
        </w:tc>
        <w:tc>
          <w:tcPr>
            <w:tcW w:w="1533" w:type="dxa"/>
            <w:tcBorders>
              <w:top w:val="nil"/>
              <w:left w:val="nil"/>
              <w:bottom w:val="nil"/>
              <w:right w:val="nil"/>
            </w:tcBorders>
            <w:shd w:val="clear" w:color="000000" w:fill="FFFFFF"/>
            <w:noWrap/>
            <w:vAlign w:val="bottom"/>
            <w:hideMark/>
          </w:tcPr>
          <w:p w14:paraId="69D9D465" w14:textId="77777777" w:rsidR="002A66B3" w:rsidRPr="00730ECF" w:rsidRDefault="002A66B3" w:rsidP="002A66B3">
            <w:pPr>
              <w:jc w:val="right"/>
              <w:rPr>
                <w:rFonts w:cstheme="minorHAnsi"/>
                <w:sz w:val="20"/>
                <w:szCs w:val="20"/>
              </w:rPr>
            </w:pPr>
            <w:r w:rsidRPr="00730ECF">
              <w:rPr>
                <w:rFonts w:cstheme="minorHAnsi"/>
                <w:sz w:val="20"/>
                <w:szCs w:val="20"/>
              </w:rPr>
              <w:t xml:space="preserve">47,834 </w:t>
            </w:r>
          </w:p>
        </w:tc>
      </w:tr>
      <w:tr w:rsidR="002A66B3" w:rsidRPr="002A66B3" w14:paraId="542A7EF1" w14:textId="77777777" w:rsidTr="00730ECF">
        <w:trPr>
          <w:trHeight w:val="80"/>
          <w:jc w:val="center"/>
        </w:trPr>
        <w:tc>
          <w:tcPr>
            <w:tcW w:w="6640" w:type="dxa"/>
            <w:tcBorders>
              <w:top w:val="nil"/>
              <w:left w:val="nil"/>
              <w:bottom w:val="nil"/>
              <w:right w:val="nil"/>
            </w:tcBorders>
            <w:shd w:val="clear" w:color="000000" w:fill="FFFFFF"/>
            <w:vAlign w:val="bottom"/>
            <w:hideMark/>
          </w:tcPr>
          <w:p w14:paraId="385B6F41" w14:textId="77777777" w:rsidR="002A66B3" w:rsidRPr="00730ECF" w:rsidRDefault="002A66B3" w:rsidP="00730ECF">
            <w:pPr>
              <w:ind w:left="435"/>
              <w:rPr>
                <w:rFonts w:cstheme="minorHAnsi"/>
                <w:color w:val="000000"/>
                <w:sz w:val="20"/>
                <w:szCs w:val="20"/>
              </w:rPr>
            </w:pPr>
            <w:r w:rsidRPr="00730ECF">
              <w:rPr>
                <w:rFonts w:cstheme="minorHAnsi"/>
                <w:color w:val="000000"/>
                <w:sz w:val="20"/>
                <w:szCs w:val="20"/>
              </w:rPr>
              <w:t>Accrued liabilities - current portion</w:t>
            </w:r>
            <w:r w:rsidRPr="00730ECF">
              <w:rPr>
                <w:rFonts w:cstheme="minorHAnsi"/>
                <w:i/>
                <w:iCs/>
                <w:color w:val="000000"/>
                <w:sz w:val="20"/>
                <w:szCs w:val="20"/>
              </w:rPr>
              <w:t xml:space="preserve"> (Notes 7, 11 and 13)</w:t>
            </w:r>
          </w:p>
        </w:tc>
        <w:tc>
          <w:tcPr>
            <w:tcW w:w="1240" w:type="dxa"/>
            <w:tcBorders>
              <w:top w:val="nil"/>
              <w:left w:val="nil"/>
              <w:bottom w:val="nil"/>
              <w:right w:val="nil"/>
            </w:tcBorders>
            <w:shd w:val="clear" w:color="000000" w:fill="FFFFFF"/>
            <w:noWrap/>
            <w:vAlign w:val="bottom"/>
            <w:hideMark/>
          </w:tcPr>
          <w:p w14:paraId="26C7F35F" w14:textId="53D842D6" w:rsidR="002A66B3" w:rsidRPr="00730ECF" w:rsidRDefault="002A66B3" w:rsidP="002A66B3">
            <w:pPr>
              <w:jc w:val="right"/>
              <w:rPr>
                <w:rFonts w:cstheme="minorHAnsi"/>
                <w:sz w:val="20"/>
                <w:szCs w:val="20"/>
              </w:rPr>
            </w:pPr>
            <w:r w:rsidRPr="00730ECF">
              <w:rPr>
                <w:rFonts w:cstheme="minorHAnsi"/>
                <w:sz w:val="20"/>
                <w:szCs w:val="20"/>
              </w:rPr>
              <w:t xml:space="preserve">24,408 </w:t>
            </w:r>
          </w:p>
        </w:tc>
        <w:tc>
          <w:tcPr>
            <w:tcW w:w="1533" w:type="dxa"/>
            <w:tcBorders>
              <w:top w:val="nil"/>
              <w:left w:val="nil"/>
              <w:bottom w:val="nil"/>
              <w:right w:val="nil"/>
            </w:tcBorders>
            <w:shd w:val="clear" w:color="000000" w:fill="FFFFFF"/>
            <w:noWrap/>
            <w:vAlign w:val="bottom"/>
            <w:hideMark/>
          </w:tcPr>
          <w:p w14:paraId="5FD0466C" w14:textId="77777777" w:rsidR="002A66B3" w:rsidRPr="00730ECF" w:rsidRDefault="002A66B3" w:rsidP="002A66B3">
            <w:pPr>
              <w:jc w:val="right"/>
              <w:rPr>
                <w:rFonts w:cstheme="minorHAnsi"/>
                <w:sz w:val="20"/>
                <w:szCs w:val="20"/>
              </w:rPr>
            </w:pPr>
            <w:r w:rsidRPr="00730ECF">
              <w:rPr>
                <w:rFonts w:cstheme="minorHAnsi"/>
                <w:sz w:val="20"/>
                <w:szCs w:val="20"/>
              </w:rPr>
              <w:t>27,248</w:t>
            </w:r>
          </w:p>
        </w:tc>
      </w:tr>
      <w:tr w:rsidR="002A66B3" w:rsidRPr="002A66B3" w14:paraId="58C63FB2" w14:textId="77777777" w:rsidTr="00730ECF">
        <w:trPr>
          <w:trHeight w:val="80"/>
          <w:jc w:val="center"/>
        </w:trPr>
        <w:tc>
          <w:tcPr>
            <w:tcW w:w="6640" w:type="dxa"/>
            <w:tcBorders>
              <w:top w:val="nil"/>
              <w:left w:val="nil"/>
              <w:bottom w:val="nil"/>
              <w:right w:val="nil"/>
            </w:tcBorders>
            <w:shd w:val="clear" w:color="000000" w:fill="FFFFFF"/>
            <w:noWrap/>
            <w:vAlign w:val="bottom"/>
            <w:hideMark/>
          </w:tcPr>
          <w:p w14:paraId="7D54B7FE" w14:textId="77777777" w:rsidR="002A66B3" w:rsidRPr="00730ECF" w:rsidRDefault="002A66B3" w:rsidP="00730ECF">
            <w:pPr>
              <w:ind w:left="435"/>
              <w:rPr>
                <w:rFonts w:cstheme="minorHAnsi"/>
                <w:color w:val="000000"/>
                <w:sz w:val="20"/>
                <w:szCs w:val="20"/>
              </w:rPr>
            </w:pPr>
            <w:r w:rsidRPr="00730ECF">
              <w:rPr>
                <w:rFonts w:cstheme="minorHAnsi"/>
                <w:color w:val="000000"/>
                <w:sz w:val="20"/>
                <w:szCs w:val="20"/>
              </w:rPr>
              <w:t xml:space="preserve">Obligations for right-to-use assets - current portion </w:t>
            </w:r>
            <w:r w:rsidRPr="00730ECF">
              <w:rPr>
                <w:rFonts w:cstheme="minorHAnsi"/>
                <w:i/>
                <w:iCs/>
                <w:color w:val="000000"/>
                <w:sz w:val="20"/>
                <w:szCs w:val="20"/>
              </w:rPr>
              <w:t>(Note 7)</w:t>
            </w:r>
          </w:p>
        </w:tc>
        <w:tc>
          <w:tcPr>
            <w:tcW w:w="1240" w:type="dxa"/>
            <w:tcBorders>
              <w:top w:val="nil"/>
              <w:left w:val="nil"/>
              <w:bottom w:val="nil"/>
              <w:right w:val="nil"/>
            </w:tcBorders>
            <w:shd w:val="clear" w:color="000000" w:fill="FFFFFF"/>
            <w:noWrap/>
            <w:vAlign w:val="bottom"/>
            <w:hideMark/>
          </w:tcPr>
          <w:p w14:paraId="36238050" w14:textId="296509DD" w:rsidR="002A66B3" w:rsidRPr="00730ECF" w:rsidRDefault="002A66B3" w:rsidP="002A66B3">
            <w:pPr>
              <w:jc w:val="right"/>
              <w:rPr>
                <w:rFonts w:cstheme="minorHAnsi"/>
                <w:sz w:val="20"/>
                <w:szCs w:val="20"/>
              </w:rPr>
            </w:pPr>
            <w:r w:rsidRPr="00730ECF">
              <w:rPr>
                <w:rFonts w:cstheme="minorHAnsi"/>
                <w:sz w:val="20"/>
                <w:szCs w:val="20"/>
              </w:rPr>
              <w:t xml:space="preserve">7,203 </w:t>
            </w:r>
          </w:p>
        </w:tc>
        <w:tc>
          <w:tcPr>
            <w:tcW w:w="1533" w:type="dxa"/>
            <w:tcBorders>
              <w:top w:val="nil"/>
              <w:left w:val="nil"/>
              <w:bottom w:val="nil"/>
              <w:right w:val="nil"/>
            </w:tcBorders>
            <w:shd w:val="clear" w:color="000000" w:fill="FFFFFF"/>
            <w:noWrap/>
            <w:vAlign w:val="bottom"/>
            <w:hideMark/>
          </w:tcPr>
          <w:p w14:paraId="0AFE4C6A" w14:textId="77777777" w:rsidR="002A66B3" w:rsidRPr="00730ECF" w:rsidRDefault="002A66B3" w:rsidP="002A66B3">
            <w:pPr>
              <w:jc w:val="right"/>
              <w:rPr>
                <w:rFonts w:cstheme="minorHAnsi"/>
                <w:sz w:val="20"/>
                <w:szCs w:val="20"/>
              </w:rPr>
            </w:pPr>
            <w:r w:rsidRPr="00730ECF">
              <w:rPr>
                <w:rFonts w:cstheme="minorHAnsi"/>
                <w:sz w:val="20"/>
                <w:szCs w:val="20"/>
              </w:rPr>
              <w:t xml:space="preserve">5,916 </w:t>
            </w:r>
          </w:p>
        </w:tc>
      </w:tr>
      <w:tr w:rsidR="002A66B3" w:rsidRPr="002A66B3" w14:paraId="72B975F5" w14:textId="77777777" w:rsidTr="00730ECF">
        <w:trPr>
          <w:trHeight w:val="80"/>
          <w:jc w:val="center"/>
        </w:trPr>
        <w:tc>
          <w:tcPr>
            <w:tcW w:w="6640" w:type="dxa"/>
            <w:tcBorders>
              <w:top w:val="nil"/>
              <w:left w:val="nil"/>
              <w:bottom w:val="nil"/>
              <w:right w:val="nil"/>
            </w:tcBorders>
            <w:shd w:val="clear" w:color="000000" w:fill="FFFFFF"/>
            <w:noWrap/>
            <w:vAlign w:val="bottom"/>
            <w:hideMark/>
          </w:tcPr>
          <w:p w14:paraId="48866A8D" w14:textId="77777777" w:rsidR="002A66B3" w:rsidRPr="00730ECF" w:rsidRDefault="002A66B3" w:rsidP="00730ECF">
            <w:pPr>
              <w:ind w:left="435"/>
              <w:rPr>
                <w:rFonts w:cstheme="minorHAnsi"/>
                <w:color w:val="000000"/>
                <w:sz w:val="20"/>
                <w:szCs w:val="20"/>
              </w:rPr>
            </w:pPr>
            <w:r w:rsidRPr="00730ECF">
              <w:rPr>
                <w:rFonts w:cstheme="minorHAnsi"/>
                <w:color w:val="000000"/>
                <w:sz w:val="20"/>
                <w:szCs w:val="20"/>
              </w:rPr>
              <w:t xml:space="preserve">Long-term debt - current portion </w:t>
            </w:r>
            <w:r w:rsidRPr="00730ECF">
              <w:rPr>
                <w:rFonts w:cstheme="minorHAnsi"/>
                <w:i/>
                <w:iCs/>
                <w:color w:val="000000"/>
                <w:sz w:val="20"/>
                <w:szCs w:val="20"/>
              </w:rPr>
              <w:t>(Note 7)</w:t>
            </w:r>
          </w:p>
        </w:tc>
        <w:tc>
          <w:tcPr>
            <w:tcW w:w="1240" w:type="dxa"/>
            <w:tcBorders>
              <w:top w:val="nil"/>
              <w:left w:val="nil"/>
              <w:bottom w:val="nil"/>
              <w:right w:val="nil"/>
            </w:tcBorders>
            <w:shd w:val="clear" w:color="000000" w:fill="FFFFFF"/>
            <w:noWrap/>
            <w:vAlign w:val="bottom"/>
            <w:hideMark/>
          </w:tcPr>
          <w:p w14:paraId="67B289B9" w14:textId="219F66C0" w:rsidR="002A66B3" w:rsidRPr="00730ECF" w:rsidRDefault="002A66B3" w:rsidP="002A66B3">
            <w:pPr>
              <w:jc w:val="right"/>
              <w:rPr>
                <w:rFonts w:cstheme="minorHAnsi"/>
                <w:sz w:val="20"/>
                <w:szCs w:val="20"/>
              </w:rPr>
            </w:pPr>
            <w:r w:rsidRPr="00730ECF">
              <w:rPr>
                <w:rFonts w:cstheme="minorHAnsi"/>
                <w:sz w:val="20"/>
                <w:szCs w:val="20"/>
              </w:rPr>
              <w:t xml:space="preserve">18,292 </w:t>
            </w:r>
          </w:p>
        </w:tc>
        <w:tc>
          <w:tcPr>
            <w:tcW w:w="1533" w:type="dxa"/>
            <w:tcBorders>
              <w:top w:val="nil"/>
              <w:left w:val="nil"/>
              <w:bottom w:val="nil"/>
              <w:right w:val="nil"/>
            </w:tcBorders>
            <w:shd w:val="clear" w:color="000000" w:fill="FFFFFF"/>
            <w:noWrap/>
            <w:vAlign w:val="bottom"/>
            <w:hideMark/>
          </w:tcPr>
          <w:p w14:paraId="475A6AA1" w14:textId="77777777" w:rsidR="002A66B3" w:rsidRPr="00730ECF" w:rsidRDefault="002A66B3" w:rsidP="002A66B3">
            <w:pPr>
              <w:jc w:val="right"/>
              <w:rPr>
                <w:rFonts w:cstheme="minorHAnsi"/>
                <w:sz w:val="20"/>
                <w:szCs w:val="20"/>
              </w:rPr>
            </w:pPr>
            <w:r w:rsidRPr="00730ECF">
              <w:rPr>
                <w:rFonts w:cstheme="minorHAnsi"/>
                <w:sz w:val="20"/>
                <w:szCs w:val="20"/>
              </w:rPr>
              <w:t xml:space="preserve">17,871 </w:t>
            </w:r>
          </w:p>
        </w:tc>
      </w:tr>
      <w:tr w:rsidR="002A66B3" w:rsidRPr="002A66B3" w14:paraId="3A2782CD" w14:textId="77777777" w:rsidTr="00730ECF">
        <w:trPr>
          <w:trHeight w:val="70"/>
          <w:jc w:val="center"/>
        </w:trPr>
        <w:tc>
          <w:tcPr>
            <w:tcW w:w="6640" w:type="dxa"/>
            <w:tcBorders>
              <w:top w:val="single" w:sz="4" w:space="0" w:color="000000"/>
              <w:left w:val="nil"/>
              <w:bottom w:val="single" w:sz="4" w:space="0" w:color="000000"/>
              <w:right w:val="nil"/>
            </w:tcBorders>
            <w:shd w:val="clear" w:color="000000" w:fill="FFFFFF"/>
            <w:noWrap/>
            <w:vAlign w:val="bottom"/>
            <w:hideMark/>
          </w:tcPr>
          <w:p w14:paraId="4FEF1F2E" w14:textId="77777777" w:rsidR="002A66B3" w:rsidRPr="00730ECF" w:rsidRDefault="002A66B3" w:rsidP="00730ECF">
            <w:pPr>
              <w:ind w:left="435"/>
              <w:rPr>
                <w:rFonts w:cstheme="minorHAnsi"/>
                <w:b/>
                <w:bCs/>
                <w:color w:val="000000"/>
                <w:sz w:val="20"/>
                <w:szCs w:val="20"/>
              </w:rPr>
            </w:pPr>
            <w:r w:rsidRPr="00730ECF">
              <w:rPr>
                <w:rFonts w:cstheme="minorHAnsi"/>
                <w:b/>
                <w:bCs/>
                <w:color w:val="000000"/>
                <w:sz w:val="20"/>
                <w:szCs w:val="20"/>
              </w:rPr>
              <w:t>Total Current Liabilities</w:t>
            </w:r>
          </w:p>
        </w:tc>
        <w:tc>
          <w:tcPr>
            <w:tcW w:w="1240" w:type="dxa"/>
            <w:tcBorders>
              <w:top w:val="single" w:sz="4" w:space="0" w:color="000000"/>
              <w:left w:val="nil"/>
              <w:bottom w:val="single" w:sz="4" w:space="0" w:color="000000"/>
              <w:right w:val="nil"/>
            </w:tcBorders>
            <w:shd w:val="clear" w:color="000000" w:fill="FFFFFF"/>
            <w:noWrap/>
            <w:vAlign w:val="bottom"/>
            <w:hideMark/>
          </w:tcPr>
          <w:p w14:paraId="238C0633" w14:textId="4F3362E6" w:rsidR="002A66B3" w:rsidRPr="00730ECF" w:rsidRDefault="002A66B3" w:rsidP="002A66B3">
            <w:pPr>
              <w:jc w:val="right"/>
              <w:rPr>
                <w:rFonts w:cstheme="minorHAnsi"/>
                <w:sz w:val="20"/>
                <w:szCs w:val="20"/>
              </w:rPr>
            </w:pPr>
            <w:r w:rsidRPr="00730ECF">
              <w:rPr>
                <w:rFonts w:cstheme="minorHAnsi"/>
                <w:sz w:val="20"/>
                <w:szCs w:val="20"/>
              </w:rPr>
              <w:t>156,</w:t>
            </w:r>
            <w:r w:rsidR="00EA5BB4" w:rsidRPr="00730ECF">
              <w:rPr>
                <w:rFonts w:cstheme="minorHAnsi"/>
                <w:sz w:val="20"/>
                <w:szCs w:val="20"/>
              </w:rPr>
              <w:t>65</w:t>
            </w:r>
            <w:r w:rsidR="00EA5BB4">
              <w:rPr>
                <w:rFonts w:cstheme="minorHAnsi"/>
                <w:sz w:val="20"/>
                <w:szCs w:val="20"/>
              </w:rPr>
              <w:t>2</w:t>
            </w:r>
            <w:r w:rsidR="00EA5BB4" w:rsidRPr="00730ECF">
              <w:rPr>
                <w:rFonts w:cstheme="minorHAnsi"/>
                <w:sz w:val="20"/>
                <w:szCs w:val="20"/>
              </w:rPr>
              <w:t xml:space="preserve"> </w:t>
            </w:r>
          </w:p>
        </w:tc>
        <w:tc>
          <w:tcPr>
            <w:tcW w:w="1533" w:type="dxa"/>
            <w:tcBorders>
              <w:top w:val="single" w:sz="4" w:space="0" w:color="000000"/>
              <w:left w:val="nil"/>
              <w:bottom w:val="single" w:sz="4" w:space="0" w:color="000000"/>
              <w:right w:val="nil"/>
            </w:tcBorders>
            <w:shd w:val="clear" w:color="000000" w:fill="FFFFFF"/>
            <w:noWrap/>
            <w:vAlign w:val="bottom"/>
            <w:hideMark/>
          </w:tcPr>
          <w:p w14:paraId="4DD687E0" w14:textId="77777777" w:rsidR="002A66B3" w:rsidRPr="00730ECF" w:rsidRDefault="002A66B3" w:rsidP="002A66B3">
            <w:pPr>
              <w:jc w:val="right"/>
              <w:rPr>
                <w:rFonts w:cstheme="minorHAnsi"/>
                <w:sz w:val="20"/>
                <w:szCs w:val="20"/>
              </w:rPr>
            </w:pPr>
            <w:r w:rsidRPr="00730ECF">
              <w:rPr>
                <w:rFonts w:cstheme="minorHAnsi"/>
                <w:sz w:val="20"/>
                <w:szCs w:val="20"/>
              </w:rPr>
              <w:t>133,935</w:t>
            </w:r>
          </w:p>
        </w:tc>
      </w:tr>
      <w:tr w:rsidR="002A66B3" w:rsidRPr="002A66B3" w14:paraId="5F094897" w14:textId="77777777" w:rsidTr="00730ECF">
        <w:trPr>
          <w:trHeight w:val="70"/>
          <w:jc w:val="center"/>
        </w:trPr>
        <w:tc>
          <w:tcPr>
            <w:tcW w:w="6640" w:type="dxa"/>
            <w:tcBorders>
              <w:top w:val="nil"/>
              <w:left w:val="nil"/>
              <w:bottom w:val="nil"/>
              <w:right w:val="nil"/>
            </w:tcBorders>
            <w:shd w:val="clear" w:color="000000" w:fill="FFFFFF"/>
            <w:noWrap/>
            <w:vAlign w:val="bottom"/>
            <w:hideMark/>
          </w:tcPr>
          <w:p w14:paraId="18D1D7EE" w14:textId="77777777" w:rsidR="002A66B3" w:rsidRPr="00730ECF" w:rsidRDefault="002A66B3" w:rsidP="00730ECF">
            <w:pPr>
              <w:rPr>
                <w:rFonts w:cstheme="minorHAnsi"/>
                <w:color w:val="000000"/>
                <w:sz w:val="20"/>
                <w:szCs w:val="20"/>
              </w:rPr>
            </w:pPr>
            <w:r w:rsidRPr="00730ECF">
              <w:rPr>
                <w:rFonts w:cstheme="minorHAnsi"/>
                <w:color w:val="000000"/>
                <w:sz w:val="20"/>
                <w:szCs w:val="20"/>
              </w:rPr>
              <w:t>Noncurrent Liabilities</w:t>
            </w:r>
          </w:p>
        </w:tc>
        <w:tc>
          <w:tcPr>
            <w:tcW w:w="1240" w:type="dxa"/>
            <w:tcBorders>
              <w:top w:val="nil"/>
              <w:left w:val="nil"/>
              <w:bottom w:val="nil"/>
              <w:right w:val="nil"/>
            </w:tcBorders>
            <w:shd w:val="clear" w:color="000000" w:fill="FFFFFF"/>
            <w:noWrap/>
            <w:vAlign w:val="bottom"/>
            <w:hideMark/>
          </w:tcPr>
          <w:p w14:paraId="455576B0" w14:textId="1A151733" w:rsidR="002A66B3" w:rsidRPr="00730ECF" w:rsidRDefault="002A66B3" w:rsidP="002A66B3">
            <w:pPr>
              <w:jc w:val="right"/>
              <w:rPr>
                <w:rFonts w:cstheme="minorHAnsi"/>
                <w:sz w:val="20"/>
                <w:szCs w:val="20"/>
              </w:rPr>
            </w:pPr>
          </w:p>
        </w:tc>
        <w:tc>
          <w:tcPr>
            <w:tcW w:w="1533" w:type="dxa"/>
            <w:tcBorders>
              <w:top w:val="nil"/>
              <w:left w:val="nil"/>
              <w:bottom w:val="nil"/>
              <w:right w:val="nil"/>
            </w:tcBorders>
            <w:shd w:val="clear" w:color="000000" w:fill="FFFFFF"/>
            <w:noWrap/>
            <w:vAlign w:val="bottom"/>
            <w:hideMark/>
          </w:tcPr>
          <w:p w14:paraId="7AB724BC" w14:textId="6525D445" w:rsidR="002A66B3" w:rsidRPr="00730ECF" w:rsidRDefault="002A66B3" w:rsidP="002A66B3">
            <w:pPr>
              <w:jc w:val="right"/>
              <w:rPr>
                <w:rFonts w:cstheme="minorHAnsi"/>
                <w:sz w:val="20"/>
                <w:szCs w:val="20"/>
              </w:rPr>
            </w:pPr>
          </w:p>
        </w:tc>
      </w:tr>
      <w:tr w:rsidR="002A66B3" w:rsidRPr="002A66B3" w14:paraId="0EFCBA42" w14:textId="77777777" w:rsidTr="00730ECF">
        <w:trPr>
          <w:trHeight w:val="80"/>
          <w:jc w:val="center"/>
        </w:trPr>
        <w:tc>
          <w:tcPr>
            <w:tcW w:w="6640" w:type="dxa"/>
            <w:tcBorders>
              <w:top w:val="nil"/>
              <w:left w:val="nil"/>
              <w:bottom w:val="nil"/>
              <w:right w:val="nil"/>
            </w:tcBorders>
            <w:shd w:val="clear" w:color="000000" w:fill="FFFFFF"/>
            <w:noWrap/>
            <w:vAlign w:val="bottom"/>
            <w:hideMark/>
          </w:tcPr>
          <w:p w14:paraId="0232B249" w14:textId="77777777" w:rsidR="002A66B3" w:rsidRPr="00730ECF" w:rsidRDefault="002A66B3" w:rsidP="00730ECF">
            <w:pPr>
              <w:ind w:left="435"/>
              <w:rPr>
                <w:rFonts w:cstheme="minorHAnsi"/>
                <w:color w:val="000000"/>
                <w:sz w:val="20"/>
                <w:szCs w:val="20"/>
              </w:rPr>
            </w:pPr>
            <w:r w:rsidRPr="00730ECF">
              <w:rPr>
                <w:rFonts w:cstheme="minorHAnsi"/>
                <w:color w:val="000000"/>
                <w:sz w:val="20"/>
                <w:szCs w:val="20"/>
              </w:rPr>
              <w:t>Unearned revenue and other liabilities - noncurrent</w:t>
            </w:r>
            <w:r w:rsidRPr="00730ECF">
              <w:rPr>
                <w:rFonts w:cstheme="minorHAnsi"/>
                <w:i/>
                <w:iCs/>
                <w:color w:val="000000"/>
                <w:sz w:val="20"/>
                <w:szCs w:val="20"/>
              </w:rPr>
              <w:t xml:space="preserve"> (Note 8)</w:t>
            </w:r>
          </w:p>
        </w:tc>
        <w:tc>
          <w:tcPr>
            <w:tcW w:w="1240" w:type="dxa"/>
            <w:tcBorders>
              <w:top w:val="nil"/>
              <w:left w:val="nil"/>
              <w:bottom w:val="nil"/>
              <w:right w:val="nil"/>
            </w:tcBorders>
            <w:shd w:val="clear" w:color="000000" w:fill="FFFFFF"/>
            <w:noWrap/>
            <w:vAlign w:val="bottom"/>
            <w:hideMark/>
          </w:tcPr>
          <w:p w14:paraId="6DEE3D6F" w14:textId="7C6B5441" w:rsidR="002A66B3" w:rsidRPr="00730ECF" w:rsidRDefault="002A66B3" w:rsidP="002A66B3">
            <w:pPr>
              <w:jc w:val="right"/>
              <w:rPr>
                <w:rFonts w:cstheme="minorHAnsi"/>
                <w:sz w:val="20"/>
                <w:szCs w:val="20"/>
              </w:rPr>
            </w:pPr>
            <w:r w:rsidRPr="00730ECF">
              <w:rPr>
                <w:rFonts w:cstheme="minorHAnsi"/>
                <w:sz w:val="20"/>
                <w:szCs w:val="20"/>
              </w:rPr>
              <w:t xml:space="preserve">12,309 </w:t>
            </w:r>
          </w:p>
        </w:tc>
        <w:tc>
          <w:tcPr>
            <w:tcW w:w="1533" w:type="dxa"/>
            <w:tcBorders>
              <w:top w:val="nil"/>
              <w:left w:val="nil"/>
              <w:bottom w:val="nil"/>
              <w:right w:val="nil"/>
            </w:tcBorders>
            <w:shd w:val="clear" w:color="000000" w:fill="FFFFFF"/>
            <w:noWrap/>
            <w:vAlign w:val="bottom"/>
            <w:hideMark/>
          </w:tcPr>
          <w:p w14:paraId="67B7BDE4" w14:textId="77777777" w:rsidR="002A66B3" w:rsidRPr="00730ECF" w:rsidRDefault="002A66B3" w:rsidP="002A66B3">
            <w:pPr>
              <w:jc w:val="right"/>
              <w:rPr>
                <w:rFonts w:cstheme="minorHAnsi"/>
                <w:sz w:val="20"/>
                <w:szCs w:val="20"/>
              </w:rPr>
            </w:pPr>
            <w:r w:rsidRPr="00730ECF">
              <w:rPr>
                <w:rFonts w:cstheme="minorHAnsi"/>
                <w:sz w:val="20"/>
                <w:szCs w:val="20"/>
              </w:rPr>
              <w:t xml:space="preserve">10,518 </w:t>
            </w:r>
          </w:p>
        </w:tc>
      </w:tr>
      <w:tr w:rsidR="002A66B3" w:rsidRPr="002A66B3" w14:paraId="72EB3A4B" w14:textId="77777777" w:rsidTr="00730ECF">
        <w:trPr>
          <w:trHeight w:val="80"/>
          <w:jc w:val="center"/>
        </w:trPr>
        <w:tc>
          <w:tcPr>
            <w:tcW w:w="6640" w:type="dxa"/>
            <w:tcBorders>
              <w:top w:val="nil"/>
              <w:left w:val="nil"/>
              <w:bottom w:val="nil"/>
              <w:right w:val="nil"/>
            </w:tcBorders>
            <w:shd w:val="clear" w:color="000000" w:fill="FFFFFF"/>
            <w:noWrap/>
            <w:vAlign w:val="bottom"/>
            <w:hideMark/>
          </w:tcPr>
          <w:p w14:paraId="10823512" w14:textId="77777777" w:rsidR="002A66B3" w:rsidRPr="00730ECF" w:rsidRDefault="002A66B3" w:rsidP="00730ECF">
            <w:pPr>
              <w:ind w:left="435"/>
              <w:rPr>
                <w:rFonts w:cstheme="minorHAnsi"/>
                <w:color w:val="000000"/>
                <w:sz w:val="20"/>
                <w:szCs w:val="20"/>
              </w:rPr>
            </w:pPr>
            <w:r w:rsidRPr="00730ECF">
              <w:rPr>
                <w:rFonts w:cstheme="minorHAnsi"/>
                <w:color w:val="000000"/>
                <w:sz w:val="20"/>
                <w:szCs w:val="20"/>
              </w:rPr>
              <w:t xml:space="preserve">Accrued liabilities </w:t>
            </w:r>
            <w:r w:rsidRPr="00730ECF">
              <w:rPr>
                <w:rFonts w:cstheme="minorHAnsi"/>
                <w:i/>
                <w:iCs/>
                <w:color w:val="000000"/>
                <w:sz w:val="20"/>
                <w:szCs w:val="20"/>
              </w:rPr>
              <w:t>(Notes 7, 11, 13)</w:t>
            </w:r>
          </w:p>
        </w:tc>
        <w:tc>
          <w:tcPr>
            <w:tcW w:w="1240" w:type="dxa"/>
            <w:tcBorders>
              <w:top w:val="nil"/>
              <w:left w:val="nil"/>
              <w:bottom w:val="nil"/>
              <w:right w:val="nil"/>
            </w:tcBorders>
            <w:shd w:val="clear" w:color="000000" w:fill="FFFFFF"/>
            <w:noWrap/>
            <w:vAlign w:val="bottom"/>
            <w:hideMark/>
          </w:tcPr>
          <w:p w14:paraId="6E3AA4C4" w14:textId="417E4D00" w:rsidR="002A66B3" w:rsidRPr="00730ECF" w:rsidRDefault="002A66B3" w:rsidP="002A66B3">
            <w:pPr>
              <w:jc w:val="right"/>
              <w:rPr>
                <w:rFonts w:cstheme="minorHAnsi"/>
                <w:sz w:val="20"/>
                <w:szCs w:val="20"/>
              </w:rPr>
            </w:pPr>
            <w:r w:rsidRPr="00730ECF">
              <w:rPr>
                <w:rFonts w:cstheme="minorHAnsi"/>
                <w:sz w:val="20"/>
                <w:szCs w:val="20"/>
              </w:rPr>
              <w:t xml:space="preserve">47,628 </w:t>
            </w:r>
          </w:p>
        </w:tc>
        <w:tc>
          <w:tcPr>
            <w:tcW w:w="1533" w:type="dxa"/>
            <w:tcBorders>
              <w:top w:val="nil"/>
              <w:left w:val="nil"/>
              <w:bottom w:val="nil"/>
              <w:right w:val="nil"/>
            </w:tcBorders>
            <w:shd w:val="clear" w:color="000000" w:fill="FFFFFF"/>
            <w:noWrap/>
            <w:vAlign w:val="bottom"/>
            <w:hideMark/>
          </w:tcPr>
          <w:p w14:paraId="5ACFDA01" w14:textId="77777777" w:rsidR="002A66B3" w:rsidRPr="00730ECF" w:rsidRDefault="002A66B3" w:rsidP="002A66B3">
            <w:pPr>
              <w:jc w:val="right"/>
              <w:rPr>
                <w:rFonts w:cstheme="minorHAnsi"/>
                <w:sz w:val="20"/>
                <w:szCs w:val="20"/>
              </w:rPr>
            </w:pPr>
            <w:r w:rsidRPr="00730ECF">
              <w:rPr>
                <w:rFonts w:cstheme="minorHAnsi"/>
                <w:sz w:val="20"/>
                <w:szCs w:val="20"/>
              </w:rPr>
              <w:t>51,437</w:t>
            </w:r>
          </w:p>
        </w:tc>
      </w:tr>
      <w:tr w:rsidR="002A66B3" w:rsidRPr="002A66B3" w14:paraId="7C72E6C8" w14:textId="77777777" w:rsidTr="00730ECF">
        <w:trPr>
          <w:trHeight w:val="80"/>
          <w:jc w:val="center"/>
        </w:trPr>
        <w:tc>
          <w:tcPr>
            <w:tcW w:w="6640" w:type="dxa"/>
            <w:tcBorders>
              <w:top w:val="nil"/>
              <w:left w:val="nil"/>
              <w:bottom w:val="nil"/>
              <w:right w:val="nil"/>
            </w:tcBorders>
            <w:shd w:val="clear" w:color="000000" w:fill="FFFFFF"/>
            <w:noWrap/>
            <w:vAlign w:val="bottom"/>
            <w:hideMark/>
          </w:tcPr>
          <w:p w14:paraId="45283898" w14:textId="77777777" w:rsidR="002A66B3" w:rsidRPr="00730ECF" w:rsidRDefault="002A66B3" w:rsidP="00730ECF">
            <w:pPr>
              <w:ind w:left="435"/>
              <w:rPr>
                <w:rFonts w:cstheme="minorHAnsi"/>
                <w:color w:val="000000"/>
                <w:sz w:val="20"/>
                <w:szCs w:val="20"/>
              </w:rPr>
            </w:pPr>
            <w:r w:rsidRPr="00730ECF">
              <w:rPr>
                <w:rFonts w:cstheme="minorHAnsi"/>
                <w:color w:val="000000"/>
                <w:sz w:val="20"/>
                <w:szCs w:val="20"/>
              </w:rPr>
              <w:t xml:space="preserve">Obligations for right-to-use assets </w:t>
            </w:r>
            <w:r w:rsidRPr="00730ECF">
              <w:rPr>
                <w:rFonts w:cstheme="minorHAnsi"/>
                <w:i/>
                <w:iCs/>
                <w:color w:val="000000"/>
                <w:sz w:val="20"/>
                <w:szCs w:val="20"/>
              </w:rPr>
              <w:t>(Note 7)</w:t>
            </w:r>
          </w:p>
        </w:tc>
        <w:tc>
          <w:tcPr>
            <w:tcW w:w="1240" w:type="dxa"/>
            <w:tcBorders>
              <w:top w:val="nil"/>
              <w:left w:val="nil"/>
              <w:bottom w:val="nil"/>
              <w:right w:val="nil"/>
            </w:tcBorders>
            <w:shd w:val="clear" w:color="000000" w:fill="FFFFFF"/>
            <w:noWrap/>
            <w:vAlign w:val="bottom"/>
            <w:hideMark/>
          </w:tcPr>
          <w:p w14:paraId="3310080B" w14:textId="33D52DDD" w:rsidR="002A66B3" w:rsidRPr="00730ECF" w:rsidRDefault="002A66B3" w:rsidP="002A66B3">
            <w:pPr>
              <w:jc w:val="right"/>
              <w:rPr>
                <w:rFonts w:cstheme="minorHAnsi"/>
                <w:sz w:val="20"/>
                <w:szCs w:val="20"/>
              </w:rPr>
            </w:pPr>
            <w:r w:rsidRPr="00730ECF">
              <w:rPr>
                <w:rFonts w:cstheme="minorHAnsi"/>
                <w:sz w:val="20"/>
                <w:szCs w:val="20"/>
              </w:rPr>
              <w:t xml:space="preserve">70,925 </w:t>
            </w:r>
          </w:p>
        </w:tc>
        <w:tc>
          <w:tcPr>
            <w:tcW w:w="1533" w:type="dxa"/>
            <w:tcBorders>
              <w:top w:val="nil"/>
              <w:left w:val="nil"/>
              <w:bottom w:val="nil"/>
              <w:right w:val="nil"/>
            </w:tcBorders>
            <w:shd w:val="clear" w:color="000000" w:fill="FFFFFF"/>
            <w:noWrap/>
            <w:vAlign w:val="bottom"/>
            <w:hideMark/>
          </w:tcPr>
          <w:p w14:paraId="09116C42" w14:textId="77777777" w:rsidR="002A66B3" w:rsidRPr="00730ECF" w:rsidRDefault="002A66B3" w:rsidP="002A66B3">
            <w:pPr>
              <w:jc w:val="right"/>
              <w:rPr>
                <w:rFonts w:cstheme="minorHAnsi"/>
                <w:sz w:val="20"/>
                <w:szCs w:val="20"/>
              </w:rPr>
            </w:pPr>
            <w:r w:rsidRPr="00730ECF">
              <w:rPr>
                <w:rFonts w:cstheme="minorHAnsi"/>
                <w:sz w:val="20"/>
                <w:szCs w:val="20"/>
              </w:rPr>
              <w:t xml:space="preserve">69,950 </w:t>
            </w:r>
          </w:p>
        </w:tc>
      </w:tr>
      <w:tr w:rsidR="002A66B3" w:rsidRPr="002A66B3" w14:paraId="23BFA9C1" w14:textId="77777777" w:rsidTr="00730ECF">
        <w:trPr>
          <w:trHeight w:val="80"/>
          <w:jc w:val="center"/>
        </w:trPr>
        <w:tc>
          <w:tcPr>
            <w:tcW w:w="6640" w:type="dxa"/>
            <w:tcBorders>
              <w:top w:val="nil"/>
              <w:left w:val="nil"/>
              <w:bottom w:val="nil"/>
              <w:right w:val="nil"/>
            </w:tcBorders>
            <w:shd w:val="clear" w:color="000000" w:fill="FFFFFF"/>
            <w:noWrap/>
            <w:vAlign w:val="bottom"/>
            <w:hideMark/>
          </w:tcPr>
          <w:p w14:paraId="5F0C7972" w14:textId="77777777" w:rsidR="002A66B3" w:rsidRPr="00730ECF" w:rsidRDefault="002A66B3" w:rsidP="00730ECF">
            <w:pPr>
              <w:ind w:left="435"/>
              <w:rPr>
                <w:rFonts w:cstheme="minorHAnsi"/>
                <w:color w:val="000000"/>
                <w:sz w:val="20"/>
                <w:szCs w:val="20"/>
              </w:rPr>
            </w:pPr>
            <w:r w:rsidRPr="00730ECF">
              <w:rPr>
                <w:rFonts w:cstheme="minorHAnsi"/>
                <w:color w:val="000000"/>
                <w:sz w:val="20"/>
                <w:szCs w:val="20"/>
              </w:rPr>
              <w:t xml:space="preserve">Long-term debt </w:t>
            </w:r>
            <w:r w:rsidRPr="00730ECF">
              <w:rPr>
                <w:rFonts w:cstheme="minorHAnsi"/>
                <w:i/>
                <w:iCs/>
                <w:color w:val="000000"/>
                <w:sz w:val="20"/>
                <w:szCs w:val="20"/>
              </w:rPr>
              <w:t>(Note 7)</w:t>
            </w:r>
          </w:p>
        </w:tc>
        <w:tc>
          <w:tcPr>
            <w:tcW w:w="1240" w:type="dxa"/>
            <w:tcBorders>
              <w:top w:val="nil"/>
              <w:left w:val="nil"/>
              <w:bottom w:val="nil"/>
              <w:right w:val="nil"/>
            </w:tcBorders>
            <w:shd w:val="clear" w:color="000000" w:fill="FFFFFF"/>
            <w:noWrap/>
            <w:vAlign w:val="bottom"/>
            <w:hideMark/>
          </w:tcPr>
          <w:p w14:paraId="7C9BEEBD" w14:textId="0DCCEDBC" w:rsidR="002A66B3" w:rsidRPr="00730ECF" w:rsidRDefault="002A66B3" w:rsidP="002A66B3">
            <w:pPr>
              <w:jc w:val="right"/>
              <w:rPr>
                <w:rFonts w:cstheme="minorHAnsi"/>
                <w:sz w:val="20"/>
                <w:szCs w:val="20"/>
              </w:rPr>
            </w:pPr>
            <w:r w:rsidRPr="00730ECF">
              <w:rPr>
                <w:rFonts w:cstheme="minorHAnsi"/>
                <w:sz w:val="20"/>
                <w:szCs w:val="20"/>
              </w:rPr>
              <w:t xml:space="preserve">183,708 </w:t>
            </w:r>
          </w:p>
        </w:tc>
        <w:tc>
          <w:tcPr>
            <w:tcW w:w="1533" w:type="dxa"/>
            <w:tcBorders>
              <w:top w:val="nil"/>
              <w:left w:val="nil"/>
              <w:bottom w:val="nil"/>
              <w:right w:val="nil"/>
            </w:tcBorders>
            <w:shd w:val="clear" w:color="000000" w:fill="FFFFFF"/>
            <w:noWrap/>
            <w:vAlign w:val="bottom"/>
            <w:hideMark/>
          </w:tcPr>
          <w:p w14:paraId="0522D12F" w14:textId="77777777" w:rsidR="002A66B3" w:rsidRPr="00730ECF" w:rsidRDefault="002A66B3" w:rsidP="002A66B3">
            <w:pPr>
              <w:jc w:val="right"/>
              <w:rPr>
                <w:rFonts w:cstheme="minorHAnsi"/>
                <w:sz w:val="20"/>
                <w:szCs w:val="20"/>
              </w:rPr>
            </w:pPr>
            <w:r w:rsidRPr="00730ECF">
              <w:rPr>
                <w:rFonts w:cstheme="minorHAnsi"/>
                <w:sz w:val="20"/>
                <w:szCs w:val="20"/>
              </w:rPr>
              <w:t xml:space="preserve">199,779 </w:t>
            </w:r>
          </w:p>
        </w:tc>
      </w:tr>
      <w:tr w:rsidR="002A66B3" w:rsidRPr="002A66B3" w14:paraId="3EE0E6F5" w14:textId="77777777" w:rsidTr="00730ECF">
        <w:trPr>
          <w:trHeight w:val="80"/>
          <w:jc w:val="center"/>
        </w:trPr>
        <w:tc>
          <w:tcPr>
            <w:tcW w:w="6640" w:type="dxa"/>
            <w:tcBorders>
              <w:top w:val="nil"/>
              <w:left w:val="nil"/>
              <w:bottom w:val="nil"/>
              <w:right w:val="nil"/>
            </w:tcBorders>
            <w:shd w:val="clear" w:color="000000" w:fill="FFFFFF"/>
            <w:noWrap/>
            <w:vAlign w:val="bottom"/>
            <w:hideMark/>
          </w:tcPr>
          <w:p w14:paraId="0AE01500" w14:textId="77777777" w:rsidR="002A66B3" w:rsidRPr="00730ECF" w:rsidRDefault="002A66B3" w:rsidP="00730ECF">
            <w:pPr>
              <w:ind w:left="435"/>
              <w:rPr>
                <w:rFonts w:cstheme="minorHAnsi"/>
                <w:color w:val="000000"/>
                <w:sz w:val="20"/>
                <w:szCs w:val="20"/>
              </w:rPr>
            </w:pPr>
            <w:r w:rsidRPr="00730ECF">
              <w:rPr>
                <w:rFonts w:cstheme="minorHAnsi"/>
                <w:color w:val="000000"/>
                <w:sz w:val="20"/>
                <w:szCs w:val="20"/>
              </w:rPr>
              <w:t xml:space="preserve">Government advances refundable </w:t>
            </w:r>
            <w:r w:rsidRPr="00730ECF">
              <w:rPr>
                <w:rFonts w:cstheme="minorHAnsi"/>
                <w:i/>
                <w:iCs/>
                <w:color w:val="000000"/>
                <w:sz w:val="20"/>
                <w:szCs w:val="20"/>
              </w:rPr>
              <w:t>(Note 9)</w:t>
            </w:r>
          </w:p>
        </w:tc>
        <w:tc>
          <w:tcPr>
            <w:tcW w:w="1240" w:type="dxa"/>
            <w:tcBorders>
              <w:top w:val="nil"/>
              <w:left w:val="nil"/>
              <w:bottom w:val="nil"/>
              <w:right w:val="nil"/>
            </w:tcBorders>
            <w:shd w:val="clear" w:color="000000" w:fill="FFFFFF"/>
            <w:noWrap/>
            <w:vAlign w:val="bottom"/>
            <w:hideMark/>
          </w:tcPr>
          <w:p w14:paraId="51926A34" w14:textId="3D784DA0" w:rsidR="002A66B3" w:rsidRPr="00730ECF" w:rsidRDefault="002A66B3" w:rsidP="002A66B3">
            <w:pPr>
              <w:jc w:val="right"/>
              <w:rPr>
                <w:rFonts w:cstheme="minorHAnsi"/>
                <w:sz w:val="20"/>
                <w:szCs w:val="20"/>
              </w:rPr>
            </w:pPr>
            <w:r w:rsidRPr="00730ECF">
              <w:rPr>
                <w:rFonts w:cstheme="minorHAnsi"/>
                <w:sz w:val="20"/>
                <w:szCs w:val="20"/>
              </w:rPr>
              <w:t xml:space="preserve">4,841 </w:t>
            </w:r>
          </w:p>
        </w:tc>
        <w:tc>
          <w:tcPr>
            <w:tcW w:w="1533" w:type="dxa"/>
            <w:tcBorders>
              <w:top w:val="nil"/>
              <w:left w:val="nil"/>
              <w:bottom w:val="nil"/>
              <w:right w:val="nil"/>
            </w:tcBorders>
            <w:shd w:val="clear" w:color="000000" w:fill="FFFFFF"/>
            <w:noWrap/>
            <w:vAlign w:val="bottom"/>
            <w:hideMark/>
          </w:tcPr>
          <w:p w14:paraId="7901387C" w14:textId="77777777" w:rsidR="002A66B3" w:rsidRPr="00730ECF" w:rsidRDefault="002A66B3" w:rsidP="002A66B3">
            <w:pPr>
              <w:jc w:val="right"/>
              <w:rPr>
                <w:rFonts w:cstheme="minorHAnsi"/>
                <w:sz w:val="20"/>
                <w:szCs w:val="20"/>
              </w:rPr>
            </w:pPr>
            <w:r w:rsidRPr="00730ECF">
              <w:rPr>
                <w:rFonts w:cstheme="minorHAnsi"/>
                <w:sz w:val="20"/>
                <w:szCs w:val="20"/>
              </w:rPr>
              <w:t xml:space="preserve">6,781 </w:t>
            </w:r>
          </w:p>
        </w:tc>
      </w:tr>
      <w:tr w:rsidR="002A66B3" w:rsidRPr="002A66B3" w14:paraId="13F06528" w14:textId="77777777" w:rsidTr="00730ECF">
        <w:trPr>
          <w:trHeight w:val="70"/>
          <w:jc w:val="center"/>
        </w:trPr>
        <w:tc>
          <w:tcPr>
            <w:tcW w:w="6640" w:type="dxa"/>
            <w:tcBorders>
              <w:top w:val="single" w:sz="4" w:space="0" w:color="000000"/>
              <w:left w:val="nil"/>
              <w:bottom w:val="single" w:sz="4" w:space="0" w:color="000000"/>
              <w:right w:val="nil"/>
            </w:tcBorders>
            <w:shd w:val="clear" w:color="000000" w:fill="FFFFFF"/>
            <w:noWrap/>
            <w:vAlign w:val="bottom"/>
            <w:hideMark/>
          </w:tcPr>
          <w:p w14:paraId="55090CDC" w14:textId="77777777" w:rsidR="002A66B3" w:rsidRPr="00730ECF" w:rsidRDefault="002A66B3" w:rsidP="00730ECF">
            <w:pPr>
              <w:ind w:left="435"/>
              <w:rPr>
                <w:rFonts w:cstheme="minorHAnsi"/>
                <w:b/>
                <w:bCs/>
                <w:color w:val="000000"/>
                <w:sz w:val="20"/>
                <w:szCs w:val="20"/>
              </w:rPr>
            </w:pPr>
            <w:r w:rsidRPr="00730ECF">
              <w:rPr>
                <w:rFonts w:cstheme="minorHAnsi"/>
                <w:b/>
                <w:bCs/>
                <w:color w:val="000000"/>
                <w:sz w:val="20"/>
                <w:szCs w:val="20"/>
              </w:rPr>
              <w:t>Total Noncurrent Liabilities</w:t>
            </w:r>
          </w:p>
        </w:tc>
        <w:tc>
          <w:tcPr>
            <w:tcW w:w="1240" w:type="dxa"/>
            <w:tcBorders>
              <w:top w:val="single" w:sz="4" w:space="0" w:color="000000"/>
              <w:left w:val="nil"/>
              <w:bottom w:val="single" w:sz="4" w:space="0" w:color="000000"/>
              <w:right w:val="nil"/>
            </w:tcBorders>
            <w:shd w:val="clear" w:color="000000" w:fill="FFFFFF"/>
            <w:noWrap/>
            <w:vAlign w:val="bottom"/>
            <w:hideMark/>
          </w:tcPr>
          <w:p w14:paraId="573F352D" w14:textId="168041CD" w:rsidR="002A66B3" w:rsidRPr="00730ECF" w:rsidRDefault="002A66B3" w:rsidP="002A66B3">
            <w:pPr>
              <w:jc w:val="right"/>
              <w:rPr>
                <w:rFonts w:cstheme="minorHAnsi"/>
                <w:sz w:val="20"/>
                <w:szCs w:val="20"/>
              </w:rPr>
            </w:pPr>
            <w:r w:rsidRPr="00730ECF">
              <w:rPr>
                <w:rFonts w:cstheme="minorHAnsi"/>
                <w:sz w:val="20"/>
                <w:szCs w:val="20"/>
              </w:rPr>
              <w:t xml:space="preserve">319,411 </w:t>
            </w:r>
          </w:p>
        </w:tc>
        <w:tc>
          <w:tcPr>
            <w:tcW w:w="1533" w:type="dxa"/>
            <w:tcBorders>
              <w:top w:val="single" w:sz="4" w:space="0" w:color="000000"/>
              <w:left w:val="nil"/>
              <w:bottom w:val="single" w:sz="4" w:space="0" w:color="000000"/>
              <w:right w:val="nil"/>
            </w:tcBorders>
            <w:shd w:val="clear" w:color="000000" w:fill="FFFFFF"/>
            <w:noWrap/>
            <w:vAlign w:val="bottom"/>
            <w:hideMark/>
          </w:tcPr>
          <w:p w14:paraId="2EE7F6B6" w14:textId="77777777" w:rsidR="002A66B3" w:rsidRPr="00730ECF" w:rsidRDefault="002A66B3" w:rsidP="002A66B3">
            <w:pPr>
              <w:jc w:val="right"/>
              <w:rPr>
                <w:rFonts w:cstheme="minorHAnsi"/>
                <w:sz w:val="20"/>
                <w:szCs w:val="20"/>
              </w:rPr>
            </w:pPr>
            <w:r w:rsidRPr="00730ECF">
              <w:rPr>
                <w:rFonts w:cstheme="minorHAnsi"/>
                <w:sz w:val="20"/>
                <w:szCs w:val="20"/>
              </w:rPr>
              <w:t>338,465</w:t>
            </w:r>
          </w:p>
        </w:tc>
      </w:tr>
      <w:tr w:rsidR="002A66B3" w:rsidRPr="002A66B3" w14:paraId="49823F94" w14:textId="77777777" w:rsidTr="00730ECF">
        <w:trPr>
          <w:trHeight w:val="70"/>
          <w:jc w:val="center"/>
        </w:trPr>
        <w:tc>
          <w:tcPr>
            <w:tcW w:w="6640" w:type="dxa"/>
            <w:tcBorders>
              <w:top w:val="nil"/>
              <w:left w:val="nil"/>
              <w:bottom w:val="single" w:sz="4" w:space="0" w:color="000000"/>
              <w:right w:val="nil"/>
            </w:tcBorders>
            <w:shd w:val="clear" w:color="000000" w:fill="FFFFFF"/>
            <w:noWrap/>
            <w:vAlign w:val="bottom"/>
            <w:hideMark/>
          </w:tcPr>
          <w:p w14:paraId="08657C7C" w14:textId="77777777" w:rsidR="002A66B3" w:rsidRPr="00730ECF" w:rsidRDefault="002A66B3" w:rsidP="002A66B3">
            <w:pPr>
              <w:rPr>
                <w:rFonts w:cstheme="minorHAnsi"/>
                <w:b/>
                <w:bCs/>
                <w:color w:val="000000"/>
                <w:sz w:val="20"/>
                <w:szCs w:val="20"/>
              </w:rPr>
            </w:pPr>
            <w:r w:rsidRPr="00730ECF">
              <w:rPr>
                <w:rFonts w:cstheme="minorHAnsi"/>
                <w:b/>
                <w:bCs/>
                <w:color w:val="000000"/>
                <w:sz w:val="20"/>
                <w:szCs w:val="20"/>
              </w:rPr>
              <w:t>Total Liabilities</w:t>
            </w:r>
          </w:p>
        </w:tc>
        <w:tc>
          <w:tcPr>
            <w:tcW w:w="1240" w:type="dxa"/>
            <w:tcBorders>
              <w:top w:val="nil"/>
              <w:left w:val="nil"/>
              <w:bottom w:val="single" w:sz="4" w:space="0" w:color="000000"/>
              <w:right w:val="nil"/>
            </w:tcBorders>
            <w:shd w:val="clear" w:color="000000" w:fill="FFFFFF"/>
            <w:noWrap/>
            <w:vAlign w:val="bottom"/>
            <w:hideMark/>
          </w:tcPr>
          <w:p w14:paraId="3865696E" w14:textId="2B9735A6" w:rsidR="002A66B3" w:rsidRPr="00730ECF" w:rsidRDefault="002A66B3" w:rsidP="002A66B3">
            <w:pPr>
              <w:jc w:val="right"/>
              <w:rPr>
                <w:rFonts w:cstheme="minorHAnsi"/>
                <w:sz w:val="20"/>
                <w:szCs w:val="20"/>
              </w:rPr>
            </w:pPr>
            <w:r w:rsidRPr="00730ECF">
              <w:rPr>
                <w:rFonts w:cstheme="minorHAnsi"/>
                <w:sz w:val="20"/>
                <w:szCs w:val="20"/>
              </w:rPr>
              <w:t>476,06</w:t>
            </w:r>
            <w:r w:rsidR="001D7582">
              <w:rPr>
                <w:rFonts w:cstheme="minorHAnsi"/>
                <w:sz w:val="20"/>
                <w:szCs w:val="20"/>
              </w:rPr>
              <w:t>3</w:t>
            </w:r>
            <w:r w:rsidRPr="00730ECF">
              <w:rPr>
                <w:rFonts w:cstheme="minorHAnsi"/>
                <w:sz w:val="20"/>
                <w:szCs w:val="20"/>
              </w:rPr>
              <w:t xml:space="preserve"> </w:t>
            </w:r>
          </w:p>
        </w:tc>
        <w:tc>
          <w:tcPr>
            <w:tcW w:w="1533" w:type="dxa"/>
            <w:tcBorders>
              <w:top w:val="nil"/>
              <w:left w:val="nil"/>
              <w:bottom w:val="single" w:sz="4" w:space="0" w:color="000000"/>
              <w:right w:val="nil"/>
            </w:tcBorders>
            <w:shd w:val="clear" w:color="000000" w:fill="FFFFFF"/>
            <w:noWrap/>
            <w:hideMark/>
          </w:tcPr>
          <w:p w14:paraId="258A6646" w14:textId="77777777" w:rsidR="002A66B3" w:rsidRPr="00730ECF" w:rsidRDefault="002A66B3" w:rsidP="002A66B3">
            <w:pPr>
              <w:jc w:val="right"/>
              <w:rPr>
                <w:rFonts w:cstheme="minorHAnsi"/>
                <w:sz w:val="20"/>
                <w:szCs w:val="20"/>
              </w:rPr>
            </w:pPr>
            <w:r w:rsidRPr="00730ECF">
              <w:rPr>
                <w:rFonts w:cstheme="minorHAnsi"/>
                <w:sz w:val="20"/>
                <w:szCs w:val="20"/>
              </w:rPr>
              <w:t>472,400</w:t>
            </w:r>
          </w:p>
        </w:tc>
      </w:tr>
      <w:tr w:rsidR="002A66B3" w:rsidRPr="002A66B3" w14:paraId="57A0946D" w14:textId="77777777" w:rsidTr="00730ECF">
        <w:trPr>
          <w:trHeight w:val="70"/>
          <w:jc w:val="center"/>
        </w:trPr>
        <w:tc>
          <w:tcPr>
            <w:tcW w:w="6640" w:type="dxa"/>
            <w:tcBorders>
              <w:top w:val="nil"/>
              <w:left w:val="nil"/>
              <w:bottom w:val="single" w:sz="4" w:space="0" w:color="000000"/>
              <w:right w:val="nil"/>
            </w:tcBorders>
            <w:shd w:val="clear" w:color="000000" w:fill="FFFFFF"/>
            <w:noWrap/>
            <w:vAlign w:val="bottom"/>
            <w:hideMark/>
          </w:tcPr>
          <w:p w14:paraId="24CDFACB" w14:textId="77777777" w:rsidR="002A66B3" w:rsidRPr="00730ECF" w:rsidRDefault="002A66B3" w:rsidP="002A66B3">
            <w:pPr>
              <w:rPr>
                <w:rFonts w:cstheme="minorHAnsi"/>
                <w:b/>
                <w:bCs/>
                <w:color w:val="000000"/>
                <w:sz w:val="20"/>
                <w:szCs w:val="20"/>
              </w:rPr>
            </w:pPr>
            <w:r w:rsidRPr="00730ECF">
              <w:rPr>
                <w:rFonts w:cstheme="minorHAnsi"/>
                <w:b/>
                <w:bCs/>
                <w:color w:val="000000"/>
                <w:sz w:val="20"/>
                <w:szCs w:val="20"/>
              </w:rPr>
              <w:t xml:space="preserve">Deferred Inflows of Resources </w:t>
            </w:r>
            <w:r w:rsidRPr="00730ECF">
              <w:rPr>
                <w:rFonts w:cstheme="minorHAnsi"/>
                <w:b/>
                <w:bCs/>
                <w:i/>
                <w:iCs/>
                <w:color w:val="000000"/>
                <w:sz w:val="20"/>
                <w:szCs w:val="20"/>
              </w:rPr>
              <w:t>(Note 16)</w:t>
            </w:r>
          </w:p>
        </w:tc>
        <w:tc>
          <w:tcPr>
            <w:tcW w:w="1240" w:type="dxa"/>
            <w:tcBorders>
              <w:top w:val="nil"/>
              <w:left w:val="nil"/>
              <w:bottom w:val="single" w:sz="4" w:space="0" w:color="000000"/>
              <w:right w:val="nil"/>
            </w:tcBorders>
            <w:shd w:val="clear" w:color="000000" w:fill="FFFFFF"/>
            <w:noWrap/>
            <w:vAlign w:val="bottom"/>
            <w:hideMark/>
          </w:tcPr>
          <w:p w14:paraId="0D1AF20D" w14:textId="0CE3DCB4" w:rsidR="002A66B3" w:rsidRPr="00730ECF" w:rsidRDefault="002A66B3" w:rsidP="002A66B3">
            <w:pPr>
              <w:jc w:val="right"/>
              <w:rPr>
                <w:rFonts w:cstheme="minorHAnsi"/>
                <w:sz w:val="20"/>
                <w:szCs w:val="20"/>
              </w:rPr>
            </w:pPr>
            <w:r w:rsidRPr="00730ECF">
              <w:rPr>
                <w:rFonts w:cstheme="minorHAnsi"/>
                <w:sz w:val="20"/>
                <w:szCs w:val="20"/>
              </w:rPr>
              <w:t xml:space="preserve">73,363 </w:t>
            </w:r>
          </w:p>
        </w:tc>
        <w:tc>
          <w:tcPr>
            <w:tcW w:w="1533" w:type="dxa"/>
            <w:tcBorders>
              <w:top w:val="nil"/>
              <w:left w:val="nil"/>
              <w:bottom w:val="single" w:sz="4" w:space="0" w:color="000000"/>
              <w:right w:val="nil"/>
            </w:tcBorders>
            <w:shd w:val="clear" w:color="000000" w:fill="FFFFFF"/>
            <w:noWrap/>
            <w:hideMark/>
          </w:tcPr>
          <w:p w14:paraId="5DC487F4" w14:textId="77777777" w:rsidR="002A66B3" w:rsidRPr="00730ECF" w:rsidRDefault="002A66B3" w:rsidP="002A66B3">
            <w:pPr>
              <w:jc w:val="right"/>
              <w:rPr>
                <w:rFonts w:cstheme="minorHAnsi"/>
                <w:color w:val="000000"/>
                <w:sz w:val="20"/>
                <w:szCs w:val="20"/>
              </w:rPr>
            </w:pPr>
            <w:r w:rsidRPr="00730ECF">
              <w:rPr>
                <w:rFonts w:cstheme="minorHAnsi"/>
                <w:color w:val="000000"/>
                <w:sz w:val="20"/>
                <w:szCs w:val="20"/>
              </w:rPr>
              <w:t>68,658</w:t>
            </w:r>
          </w:p>
        </w:tc>
      </w:tr>
      <w:tr w:rsidR="002A66B3" w:rsidRPr="002A66B3" w14:paraId="5FF42882" w14:textId="77777777" w:rsidTr="00730ECF">
        <w:trPr>
          <w:trHeight w:val="70"/>
          <w:jc w:val="center"/>
        </w:trPr>
        <w:tc>
          <w:tcPr>
            <w:tcW w:w="6640" w:type="dxa"/>
            <w:tcBorders>
              <w:top w:val="nil"/>
              <w:left w:val="nil"/>
              <w:bottom w:val="nil"/>
              <w:right w:val="nil"/>
            </w:tcBorders>
            <w:shd w:val="clear" w:color="000000" w:fill="FFFFFF"/>
            <w:noWrap/>
            <w:vAlign w:val="bottom"/>
            <w:hideMark/>
          </w:tcPr>
          <w:p w14:paraId="466AEBF2" w14:textId="77777777" w:rsidR="002A66B3" w:rsidRPr="00730ECF" w:rsidRDefault="002A66B3" w:rsidP="002A66B3">
            <w:pPr>
              <w:rPr>
                <w:rFonts w:cstheme="minorHAnsi"/>
                <w:b/>
                <w:bCs/>
                <w:color w:val="000000"/>
                <w:sz w:val="20"/>
                <w:szCs w:val="20"/>
              </w:rPr>
            </w:pPr>
            <w:r w:rsidRPr="00730ECF">
              <w:rPr>
                <w:rFonts w:cstheme="minorHAnsi"/>
                <w:b/>
                <w:bCs/>
                <w:color w:val="000000"/>
                <w:sz w:val="20"/>
                <w:szCs w:val="20"/>
              </w:rPr>
              <w:t>Net Position</w:t>
            </w:r>
          </w:p>
        </w:tc>
        <w:tc>
          <w:tcPr>
            <w:tcW w:w="1240" w:type="dxa"/>
            <w:tcBorders>
              <w:top w:val="nil"/>
              <w:left w:val="nil"/>
              <w:bottom w:val="nil"/>
              <w:right w:val="nil"/>
            </w:tcBorders>
            <w:shd w:val="clear" w:color="000000" w:fill="FFFFFF"/>
            <w:noWrap/>
            <w:vAlign w:val="bottom"/>
            <w:hideMark/>
          </w:tcPr>
          <w:p w14:paraId="0EEA6E4C" w14:textId="337B696D" w:rsidR="002A66B3" w:rsidRPr="00730ECF" w:rsidRDefault="002A66B3" w:rsidP="002A66B3">
            <w:pPr>
              <w:jc w:val="right"/>
              <w:rPr>
                <w:rFonts w:cstheme="minorHAnsi"/>
                <w:color w:val="FF0000"/>
                <w:sz w:val="20"/>
                <w:szCs w:val="20"/>
              </w:rPr>
            </w:pPr>
          </w:p>
        </w:tc>
        <w:tc>
          <w:tcPr>
            <w:tcW w:w="1533" w:type="dxa"/>
            <w:tcBorders>
              <w:top w:val="nil"/>
              <w:left w:val="nil"/>
              <w:bottom w:val="nil"/>
              <w:right w:val="nil"/>
            </w:tcBorders>
            <w:shd w:val="clear" w:color="000000" w:fill="FFFFFF"/>
            <w:noWrap/>
            <w:vAlign w:val="bottom"/>
            <w:hideMark/>
          </w:tcPr>
          <w:p w14:paraId="529602BF" w14:textId="3C282F16" w:rsidR="002A66B3" w:rsidRPr="00730ECF" w:rsidRDefault="002A66B3" w:rsidP="002A66B3">
            <w:pPr>
              <w:jc w:val="right"/>
              <w:rPr>
                <w:rFonts w:cstheme="minorHAnsi"/>
                <w:sz w:val="20"/>
                <w:szCs w:val="20"/>
              </w:rPr>
            </w:pPr>
          </w:p>
        </w:tc>
      </w:tr>
      <w:tr w:rsidR="002A66B3" w:rsidRPr="002A66B3" w14:paraId="77B62948" w14:textId="77777777" w:rsidTr="00730ECF">
        <w:trPr>
          <w:trHeight w:val="80"/>
          <w:jc w:val="center"/>
        </w:trPr>
        <w:tc>
          <w:tcPr>
            <w:tcW w:w="6640" w:type="dxa"/>
            <w:tcBorders>
              <w:top w:val="nil"/>
              <w:left w:val="nil"/>
              <w:bottom w:val="nil"/>
              <w:right w:val="nil"/>
            </w:tcBorders>
            <w:shd w:val="clear" w:color="000000" w:fill="FFFFFF"/>
            <w:noWrap/>
            <w:vAlign w:val="bottom"/>
            <w:hideMark/>
          </w:tcPr>
          <w:p w14:paraId="34C2FC3D" w14:textId="77777777" w:rsidR="002A66B3" w:rsidRPr="00730ECF" w:rsidRDefault="002A66B3" w:rsidP="002A66B3">
            <w:pPr>
              <w:rPr>
                <w:rFonts w:cstheme="minorHAnsi"/>
                <w:color w:val="000000"/>
                <w:sz w:val="20"/>
                <w:szCs w:val="20"/>
              </w:rPr>
            </w:pPr>
            <w:r w:rsidRPr="00730ECF">
              <w:rPr>
                <w:rFonts w:cstheme="minorHAnsi"/>
                <w:color w:val="000000"/>
                <w:sz w:val="20"/>
                <w:szCs w:val="20"/>
              </w:rPr>
              <w:t xml:space="preserve">Net investment in capital assets </w:t>
            </w:r>
            <w:r w:rsidRPr="00730ECF">
              <w:rPr>
                <w:rFonts w:cstheme="minorHAnsi"/>
                <w:i/>
                <w:iCs/>
                <w:color w:val="000000"/>
                <w:sz w:val="20"/>
                <w:szCs w:val="20"/>
              </w:rPr>
              <w:t>(Note 10)</w:t>
            </w:r>
          </w:p>
        </w:tc>
        <w:tc>
          <w:tcPr>
            <w:tcW w:w="1240" w:type="dxa"/>
            <w:tcBorders>
              <w:top w:val="nil"/>
              <w:left w:val="nil"/>
              <w:bottom w:val="nil"/>
              <w:right w:val="nil"/>
            </w:tcBorders>
            <w:shd w:val="clear" w:color="000000" w:fill="FFFFFF"/>
            <w:noWrap/>
            <w:vAlign w:val="bottom"/>
            <w:hideMark/>
          </w:tcPr>
          <w:p w14:paraId="3753710D" w14:textId="4579D658" w:rsidR="002A66B3" w:rsidRPr="00730ECF" w:rsidRDefault="002A66B3" w:rsidP="002A66B3">
            <w:pPr>
              <w:jc w:val="right"/>
              <w:rPr>
                <w:rFonts w:cstheme="minorHAnsi"/>
                <w:sz w:val="20"/>
                <w:szCs w:val="20"/>
              </w:rPr>
            </w:pPr>
            <w:r w:rsidRPr="00730ECF">
              <w:rPr>
                <w:rFonts w:cstheme="minorHAnsi"/>
                <w:sz w:val="20"/>
                <w:szCs w:val="20"/>
              </w:rPr>
              <w:t xml:space="preserve">783,465 </w:t>
            </w:r>
          </w:p>
        </w:tc>
        <w:tc>
          <w:tcPr>
            <w:tcW w:w="1533" w:type="dxa"/>
            <w:tcBorders>
              <w:top w:val="nil"/>
              <w:left w:val="nil"/>
              <w:bottom w:val="nil"/>
              <w:right w:val="nil"/>
            </w:tcBorders>
            <w:shd w:val="clear" w:color="000000" w:fill="FFFFFF"/>
            <w:noWrap/>
            <w:vAlign w:val="bottom"/>
            <w:hideMark/>
          </w:tcPr>
          <w:p w14:paraId="1724BEBD" w14:textId="77777777" w:rsidR="002A66B3" w:rsidRPr="00730ECF" w:rsidRDefault="002A66B3" w:rsidP="002A66B3">
            <w:pPr>
              <w:jc w:val="right"/>
              <w:rPr>
                <w:rFonts w:cstheme="minorHAnsi"/>
                <w:sz w:val="20"/>
                <w:szCs w:val="20"/>
              </w:rPr>
            </w:pPr>
            <w:r w:rsidRPr="00730ECF">
              <w:rPr>
                <w:rFonts w:cstheme="minorHAnsi"/>
                <w:sz w:val="20"/>
                <w:szCs w:val="20"/>
              </w:rPr>
              <w:t xml:space="preserve">694,128 </w:t>
            </w:r>
          </w:p>
        </w:tc>
      </w:tr>
      <w:tr w:rsidR="002A66B3" w:rsidRPr="002A66B3" w14:paraId="7963F8B3" w14:textId="77777777" w:rsidTr="00730ECF">
        <w:trPr>
          <w:trHeight w:val="80"/>
          <w:jc w:val="center"/>
        </w:trPr>
        <w:tc>
          <w:tcPr>
            <w:tcW w:w="6640" w:type="dxa"/>
            <w:tcBorders>
              <w:top w:val="nil"/>
              <w:left w:val="nil"/>
              <w:bottom w:val="nil"/>
              <w:right w:val="nil"/>
            </w:tcBorders>
            <w:shd w:val="clear" w:color="000000" w:fill="FFFFFF"/>
            <w:noWrap/>
            <w:vAlign w:val="bottom"/>
            <w:hideMark/>
          </w:tcPr>
          <w:p w14:paraId="225A9A15" w14:textId="77777777" w:rsidR="002A66B3" w:rsidRPr="00730ECF" w:rsidRDefault="002A66B3" w:rsidP="002A66B3">
            <w:pPr>
              <w:rPr>
                <w:rFonts w:cstheme="minorHAnsi"/>
                <w:color w:val="000000"/>
                <w:sz w:val="20"/>
                <w:szCs w:val="20"/>
              </w:rPr>
            </w:pPr>
            <w:r w:rsidRPr="00730ECF">
              <w:rPr>
                <w:rFonts w:cstheme="minorHAnsi"/>
                <w:color w:val="000000"/>
                <w:sz w:val="20"/>
                <w:szCs w:val="20"/>
              </w:rPr>
              <w:t xml:space="preserve">Restricted nonexpendable </w:t>
            </w:r>
            <w:r w:rsidRPr="00730ECF">
              <w:rPr>
                <w:rFonts w:cstheme="minorHAnsi"/>
                <w:i/>
                <w:iCs/>
                <w:color w:val="000000"/>
                <w:sz w:val="20"/>
                <w:szCs w:val="20"/>
              </w:rPr>
              <w:t>(Note 10)</w:t>
            </w:r>
          </w:p>
        </w:tc>
        <w:tc>
          <w:tcPr>
            <w:tcW w:w="1240" w:type="dxa"/>
            <w:tcBorders>
              <w:top w:val="nil"/>
              <w:left w:val="nil"/>
              <w:bottom w:val="nil"/>
              <w:right w:val="nil"/>
            </w:tcBorders>
            <w:shd w:val="clear" w:color="000000" w:fill="FFFFFF"/>
            <w:noWrap/>
            <w:vAlign w:val="bottom"/>
            <w:hideMark/>
          </w:tcPr>
          <w:p w14:paraId="08D5D2E7" w14:textId="356C13A4" w:rsidR="002A66B3" w:rsidRPr="00730ECF" w:rsidRDefault="002A66B3" w:rsidP="002A66B3">
            <w:pPr>
              <w:jc w:val="right"/>
              <w:rPr>
                <w:rFonts w:cstheme="minorHAnsi"/>
                <w:sz w:val="20"/>
                <w:szCs w:val="20"/>
              </w:rPr>
            </w:pPr>
            <w:r w:rsidRPr="00730ECF">
              <w:rPr>
                <w:rFonts w:cstheme="minorHAnsi"/>
                <w:sz w:val="20"/>
                <w:szCs w:val="20"/>
              </w:rPr>
              <w:t xml:space="preserve">73,747 </w:t>
            </w:r>
          </w:p>
        </w:tc>
        <w:tc>
          <w:tcPr>
            <w:tcW w:w="1533" w:type="dxa"/>
            <w:tcBorders>
              <w:top w:val="nil"/>
              <w:left w:val="nil"/>
              <w:bottom w:val="nil"/>
              <w:right w:val="nil"/>
            </w:tcBorders>
            <w:shd w:val="clear" w:color="000000" w:fill="FFFFFF"/>
            <w:noWrap/>
            <w:vAlign w:val="bottom"/>
            <w:hideMark/>
          </w:tcPr>
          <w:p w14:paraId="0E088F09" w14:textId="77777777" w:rsidR="002A66B3" w:rsidRPr="00730ECF" w:rsidRDefault="002A66B3" w:rsidP="002A66B3">
            <w:pPr>
              <w:jc w:val="right"/>
              <w:rPr>
                <w:rFonts w:cstheme="minorHAnsi"/>
                <w:sz w:val="20"/>
                <w:szCs w:val="20"/>
              </w:rPr>
            </w:pPr>
            <w:r w:rsidRPr="00730ECF">
              <w:rPr>
                <w:rFonts w:cstheme="minorHAnsi"/>
                <w:sz w:val="20"/>
                <w:szCs w:val="20"/>
              </w:rPr>
              <w:t xml:space="preserve">73,254 </w:t>
            </w:r>
          </w:p>
        </w:tc>
      </w:tr>
      <w:tr w:rsidR="002A66B3" w:rsidRPr="002A66B3" w14:paraId="472EDDF2" w14:textId="77777777" w:rsidTr="00730ECF">
        <w:trPr>
          <w:trHeight w:val="80"/>
          <w:jc w:val="center"/>
        </w:trPr>
        <w:tc>
          <w:tcPr>
            <w:tcW w:w="6640" w:type="dxa"/>
            <w:tcBorders>
              <w:top w:val="nil"/>
              <w:left w:val="nil"/>
              <w:bottom w:val="nil"/>
              <w:right w:val="nil"/>
            </w:tcBorders>
            <w:shd w:val="clear" w:color="000000" w:fill="FFFFFF"/>
            <w:noWrap/>
            <w:vAlign w:val="bottom"/>
            <w:hideMark/>
          </w:tcPr>
          <w:p w14:paraId="0B48E038" w14:textId="77777777" w:rsidR="002A66B3" w:rsidRPr="00730ECF" w:rsidRDefault="002A66B3" w:rsidP="002A66B3">
            <w:pPr>
              <w:rPr>
                <w:rFonts w:cstheme="minorHAnsi"/>
                <w:color w:val="000000"/>
                <w:sz w:val="20"/>
                <w:szCs w:val="20"/>
              </w:rPr>
            </w:pPr>
            <w:r w:rsidRPr="00730ECF">
              <w:rPr>
                <w:rFonts w:cstheme="minorHAnsi"/>
                <w:color w:val="000000"/>
                <w:sz w:val="20"/>
                <w:szCs w:val="20"/>
              </w:rPr>
              <w:t>Restricted expendable</w:t>
            </w:r>
            <w:r w:rsidRPr="00730ECF">
              <w:rPr>
                <w:rFonts w:cstheme="minorHAnsi"/>
                <w:i/>
                <w:iCs/>
                <w:color w:val="000000"/>
                <w:sz w:val="20"/>
                <w:szCs w:val="20"/>
              </w:rPr>
              <w:t xml:space="preserve"> (Notes 3 and 10)</w:t>
            </w:r>
          </w:p>
        </w:tc>
        <w:tc>
          <w:tcPr>
            <w:tcW w:w="1240" w:type="dxa"/>
            <w:tcBorders>
              <w:top w:val="nil"/>
              <w:left w:val="nil"/>
              <w:bottom w:val="nil"/>
              <w:right w:val="nil"/>
            </w:tcBorders>
            <w:shd w:val="clear" w:color="000000" w:fill="FFFFFF"/>
            <w:noWrap/>
            <w:vAlign w:val="bottom"/>
            <w:hideMark/>
          </w:tcPr>
          <w:p w14:paraId="05CE7B1F" w14:textId="00C2FCF0" w:rsidR="002A66B3" w:rsidRPr="00730ECF" w:rsidRDefault="002A66B3" w:rsidP="002A66B3">
            <w:pPr>
              <w:jc w:val="right"/>
              <w:rPr>
                <w:rFonts w:cstheme="minorHAnsi"/>
                <w:sz w:val="20"/>
                <w:szCs w:val="20"/>
              </w:rPr>
            </w:pPr>
            <w:r w:rsidRPr="00730ECF">
              <w:rPr>
                <w:rFonts w:cstheme="minorHAnsi"/>
                <w:sz w:val="20"/>
                <w:szCs w:val="20"/>
              </w:rPr>
              <w:t xml:space="preserve">239,086  </w:t>
            </w:r>
          </w:p>
        </w:tc>
        <w:tc>
          <w:tcPr>
            <w:tcW w:w="1533" w:type="dxa"/>
            <w:tcBorders>
              <w:top w:val="nil"/>
              <w:left w:val="nil"/>
              <w:bottom w:val="nil"/>
              <w:right w:val="nil"/>
            </w:tcBorders>
            <w:shd w:val="clear" w:color="000000" w:fill="FFFFFF"/>
            <w:noWrap/>
            <w:vAlign w:val="bottom"/>
            <w:hideMark/>
          </w:tcPr>
          <w:p w14:paraId="5D55FF45" w14:textId="77777777" w:rsidR="002A66B3" w:rsidRPr="00730ECF" w:rsidRDefault="002A66B3" w:rsidP="002A66B3">
            <w:pPr>
              <w:jc w:val="right"/>
              <w:rPr>
                <w:rFonts w:cstheme="minorHAnsi"/>
                <w:sz w:val="20"/>
                <w:szCs w:val="20"/>
              </w:rPr>
            </w:pPr>
            <w:r w:rsidRPr="00730ECF">
              <w:rPr>
                <w:rFonts w:cstheme="minorHAnsi"/>
                <w:sz w:val="20"/>
                <w:szCs w:val="20"/>
              </w:rPr>
              <w:t xml:space="preserve">206,952 </w:t>
            </w:r>
          </w:p>
        </w:tc>
      </w:tr>
      <w:tr w:rsidR="002A66B3" w:rsidRPr="002A66B3" w14:paraId="3E05426C" w14:textId="77777777" w:rsidTr="00730ECF">
        <w:trPr>
          <w:trHeight w:val="80"/>
          <w:jc w:val="center"/>
        </w:trPr>
        <w:tc>
          <w:tcPr>
            <w:tcW w:w="6640" w:type="dxa"/>
            <w:tcBorders>
              <w:top w:val="nil"/>
              <w:left w:val="nil"/>
              <w:bottom w:val="nil"/>
              <w:right w:val="nil"/>
            </w:tcBorders>
            <w:shd w:val="clear" w:color="000000" w:fill="FFFFFF"/>
            <w:noWrap/>
            <w:vAlign w:val="bottom"/>
            <w:hideMark/>
          </w:tcPr>
          <w:p w14:paraId="6C056B9F" w14:textId="77777777" w:rsidR="002A66B3" w:rsidRPr="00730ECF" w:rsidRDefault="002A66B3" w:rsidP="002A66B3">
            <w:pPr>
              <w:rPr>
                <w:rFonts w:cstheme="minorHAnsi"/>
                <w:color w:val="000000"/>
                <w:sz w:val="20"/>
                <w:szCs w:val="20"/>
              </w:rPr>
            </w:pPr>
            <w:r w:rsidRPr="00730ECF">
              <w:rPr>
                <w:rFonts w:cstheme="minorHAnsi"/>
                <w:color w:val="000000"/>
                <w:sz w:val="20"/>
                <w:szCs w:val="20"/>
              </w:rPr>
              <w:t xml:space="preserve">Unrestricted </w:t>
            </w:r>
            <w:r w:rsidRPr="00730ECF">
              <w:rPr>
                <w:rFonts w:cstheme="minorHAnsi"/>
                <w:i/>
                <w:iCs/>
                <w:color w:val="000000"/>
                <w:sz w:val="20"/>
                <w:szCs w:val="20"/>
              </w:rPr>
              <w:t>(Notes 3 and 10)</w:t>
            </w:r>
          </w:p>
        </w:tc>
        <w:tc>
          <w:tcPr>
            <w:tcW w:w="1240" w:type="dxa"/>
            <w:tcBorders>
              <w:top w:val="nil"/>
              <w:left w:val="nil"/>
              <w:bottom w:val="nil"/>
              <w:right w:val="nil"/>
            </w:tcBorders>
            <w:shd w:val="clear" w:color="000000" w:fill="FFFFFF"/>
            <w:noWrap/>
            <w:vAlign w:val="bottom"/>
            <w:hideMark/>
          </w:tcPr>
          <w:p w14:paraId="26FEA361" w14:textId="0165E52E" w:rsidR="002A66B3" w:rsidRPr="00730ECF" w:rsidRDefault="00EA5BB4" w:rsidP="002A66B3">
            <w:pPr>
              <w:jc w:val="right"/>
              <w:rPr>
                <w:rFonts w:cstheme="minorHAnsi"/>
                <w:sz w:val="20"/>
                <w:szCs w:val="20"/>
              </w:rPr>
            </w:pPr>
            <w:r w:rsidRPr="00EA5BB4">
              <w:rPr>
                <w:rFonts w:cstheme="minorHAnsi"/>
                <w:sz w:val="20"/>
                <w:szCs w:val="20"/>
              </w:rPr>
              <w:t>96,300</w:t>
            </w:r>
          </w:p>
        </w:tc>
        <w:tc>
          <w:tcPr>
            <w:tcW w:w="1533" w:type="dxa"/>
            <w:tcBorders>
              <w:top w:val="nil"/>
              <w:left w:val="nil"/>
              <w:bottom w:val="nil"/>
              <w:right w:val="nil"/>
            </w:tcBorders>
            <w:shd w:val="clear" w:color="000000" w:fill="FFFFFF"/>
            <w:noWrap/>
            <w:vAlign w:val="bottom"/>
            <w:hideMark/>
          </w:tcPr>
          <w:p w14:paraId="11CE9A61" w14:textId="77777777" w:rsidR="002A66B3" w:rsidRPr="00730ECF" w:rsidRDefault="002A66B3" w:rsidP="002A66B3">
            <w:pPr>
              <w:jc w:val="right"/>
              <w:rPr>
                <w:rFonts w:cstheme="minorHAnsi"/>
                <w:sz w:val="20"/>
                <w:szCs w:val="20"/>
              </w:rPr>
            </w:pPr>
            <w:r w:rsidRPr="00730ECF">
              <w:rPr>
                <w:rFonts w:cstheme="minorHAnsi"/>
                <w:sz w:val="20"/>
                <w:szCs w:val="20"/>
              </w:rPr>
              <w:t>105,028</w:t>
            </w:r>
          </w:p>
        </w:tc>
      </w:tr>
      <w:tr w:rsidR="002A66B3" w:rsidRPr="002A66B3" w14:paraId="01F85526" w14:textId="77777777" w:rsidTr="00730ECF">
        <w:trPr>
          <w:trHeight w:val="70"/>
          <w:jc w:val="center"/>
        </w:trPr>
        <w:tc>
          <w:tcPr>
            <w:tcW w:w="6640" w:type="dxa"/>
            <w:tcBorders>
              <w:top w:val="single" w:sz="4" w:space="0" w:color="000000"/>
              <w:left w:val="nil"/>
              <w:bottom w:val="single" w:sz="4" w:space="0" w:color="000000"/>
              <w:right w:val="nil"/>
            </w:tcBorders>
            <w:shd w:val="clear" w:color="000000" w:fill="FFFFFF"/>
            <w:noWrap/>
            <w:vAlign w:val="bottom"/>
            <w:hideMark/>
          </w:tcPr>
          <w:p w14:paraId="6AD1F223" w14:textId="77777777" w:rsidR="002A66B3" w:rsidRPr="00730ECF" w:rsidRDefault="002A66B3" w:rsidP="002A66B3">
            <w:pPr>
              <w:rPr>
                <w:rFonts w:cstheme="minorHAnsi"/>
                <w:b/>
                <w:bCs/>
                <w:color w:val="000000"/>
                <w:sz w:val="20"/>
                <w:szCs w:val="20"/>
              </w:rPr>
            </w:pPr>
            <w:r w:rsidRPr="00730ECF">
              <w:rPr>
                <w:rFonts w:cstheme="minorHAnsi"/>
                <w:b/>
                <w:bCs/>
                <w:color w:val="000000"/>
                <w:sz w:val="20"/>
                <w:szCs w:val="20"/>
              </w:rPr>
              <w:t>Total Net Position</w:t>
            </w:r>
          </w:p>
        </w:tc>
        <w:tc>
          <w:tcPr>
            <w:tcW w:w="1240" w:type="dxa"/>
            <w:tcBorders>
              <w:top w:val="single" w:sz="4" w:space="0" w:color="000000"/>
              <w:left w:val="nil"/>
              <w:bottom w:val="single" w:sz="4" w:space="0" w:color="000000"/>
              <w:right w:val="nil"/>
            </w:tcBorders>
            <w:shd w:val="clear" w:color="000000" w:fill="FFFFFF"/>
            <w:noWrap/>
            <w:vAlign w:val="bottom"/>
            <w:hideMark/>
          </w:tcPr>
          <w:p w14:paraId="13431ECE" w14:textId="3D15BE19" w:rsidR="002A66B3" w:rsidRPr="00730ECF" w:rsidRDefault="00EA5BB4" w:rsidP="002A66B3">
            <w:pPr>
              <w:jc w:val="right"/>
              <w:rPr>
                <w:rFonts w:cstheme="minorHAnsi"/>
                <w:sz w:val="20"/>
                <w:szCs w:val="20"/>
              </w:rPr>
            </w:pPr>
            <w:r w:rsidRPr="00EA5BB4">
              <w:rPr>
                <w:rFonts w:cstheme="minorHAnsi"/>
                <w:sz w:val="20"/>
                <w:szCs w:val="20"/>
              </w:rPr>
              <w:t>1,192,598</w:t>
            </w:r>
          </w:p>
        </w:tc>
        <w:tc>
          <w:tcPr>
            <w:tcW w:w="1533" w:type="dxa"/>
            <w:tcBorders>
              <w:top w:val="single" w:sz="4" w:space="0" w:color="000000"/>
              <w:left w:val="nil"/>
              <w:bottom w:val="single" w:sz="4" w:space="0" w:color="000000"/>
              <w:right w:val="nil"/>
            </w:tcBorders>
            <w:shd w:val="clear" w:color="000000" w:fill="FFFFFF"/>
            <w:noWrap/>
            <w:vAlign w:val="bottom"/>
            <w:hideMark/>
          </w:tcPr>
          <w:p w14:paraId="11018281" w14:textId="77777777" w:rsidR="002A66B3" w:rsidRPr="00730ECF" w:rsidRDefault="002A66B3" w:rsidP="002A66B3">
            <w:pPr>
              <w:jc w:val="right"/>
              <w:rPr>
                <w:rFonts w:cstheme="minorHAnsi"/>
                <w:sz w:val="20"/>
                <w:szCs w:val="20"/>
              </w:rPr>
            </w:pPr>
            <w:r w:rsidRPr="00730ECF">
              <w:rPr>
                <w:rFonts w:cstheme="minorHAnsi"/>
                <w:sz w:val="20"/>
                <w:szCs w:val="20"/>
              </w:rPr>
              <w:t>1,079,362</w:t>
            </w:r>
          </w:p>
        </w:tc>
      </w:tr>
      <w:tr w:rsidR="002A66B3" w:rsidRPr="002A66B3" w14:paraId="40391ACA" w14:textId="77777777" w:rsidTr="00730ECF">
        <w:trPr>
          <w:trHeight w:val="70"/>
          <w:jc w:val="center"/>
        </w:trPr>
        <w:tc>
          <w:tcPr>
            <w:tcW w:w="6640" w:type="dxa"/>
            <w:tcBorders>
              <w:top w:val="nil"/>
              <w:left w:val="nil"/>
              <w:bottom w:val="double" w:sz="6" w:space="0" w:color="000000"/>
              <w:right w:val="nil"/>
            </w:tcBorders>
            <w:shd w:val="clear" w:color="000000" w:fill="FFFFFF"/>
            <w:noWrap/>
            <w:vAlign w:val="bottom"/>
            <w:hideMark/>
          </w:tcPr>
          <w:p w14:paraId="2EE754D1" w14:textId="77777777" w:rsidR="002A66B3" w:rsidRPr="00730ECF" w:rsidRDefault="002A66B3" w:rsidP="002A66B3">
            <w:pPr>
              <w:rPr>
                <w:rFonts w:cstheme="minorHAnsi"/>
                <w:b/>
                <w:bCs/>
                <w:color w:val="000000"/>
                <w:sz w:val="20"/>
                <w:szCs w:val="20"/>
              </w:rPr>
            </w:pPr>
            <w:r w:rsidRPr="00730ECF">
              <w:rPr>
                <w:rFonts w:cstheme="minorHAnsi"/>
                <w:b/>
                <w:bCs/>
                <w:color w:val="000000"/>
                <w:sz w:val="20"/>
                <w:szCs w:val="20"/>
              </w:rPr>
              <w:t>Total Liabilities, Deferred Inflows of Resources and Net Position</w:t>
            </w:r>
          </w:p>
        </w:tc>
        <w:tc>
          <w:tcPr>
            <w:tcW w:w="1240" w:type="dxa"/>
            <w:tcBorders>
              <w:top w:val="nil"/>
              <w:left w:val="nil"/>
              <w:bottom w:val="double" w:sz="6" w:space="0" w:color="000000"/>
              <w:right w:val="nil"/>
            </w:tcBorders>
            <w:shd w:val="clear" w:color="000000" w:fill="FFFFFF"/>
            <w:noWrap/>
            <w:vAlign w:val="bottom"/>
            <w:hideMark/>
          </w:tcPr>
          <w:p w14:paraId="7BADB0BD" w14:textId="062A9B41" w:rsidR="002A66B3" w:rsidRPr="00730ECF" w:rsidRDefault="00EA5BB4" w:rsidP="002A66B3">
            <w:pPr>
              <w:jc w:val="right"/>
              <w:rPr>
                <w:rFonts w:cstheme="minorHAnsi"/>
                <w:b/>
                <w:bCs/>
                <w:sz w:val="20"/>
                <w:szCs w:val="20"/>
              </w:rPr>
            </w:pPr>
            <w:r w:rsidRPr="00EA5BB4">
              <w:rPr>
                <w:rFonts w:cstheme="minorHAnsi"/>
                <w:b/>
                <w:bCs/>
                <w:sz w:val="20"/>
                <w:szCs w:val="20"/>
              </w:rPr>
              <w:t>$1,742,024</w:t>
            </w:r>
          </w:p>
        </w:tc>
        <w:tc>
          <w:tcPr>
            <w:tcW w:w="1533" w:type="dxa"/>
            <w:tcBorders>
              <w:top w:val="nil"/>
              <w:left w:val="nil"/>
              <w:bottom w:val="double" w:sz="6" w:space="0" w:color="000000"/>
              <w:right w:val="nil"/>
            </w:tcBorders>
            <w:shd w:val="clear" w:color="000000" w:fill="FFFFFF"/>
            <w:noWrap/>
            <w:vAlign w:val="bottom"/>
            <w:hideMark/>
          </w:tcPr>
          <w:p w14:paraId="51623932" w14:textId="77777777" w:rsidR="002A66B3" w:rsidRPr="00730ECF" w:rsidRDefault="002A66B3" w:rsidP="002A66B3">
            <w:pPr>
              <w:jc w:val="right"/>
              <w:rPr>
                <w:rFonts w:cstheme="minorHAnsi"/>
                <w:b/>
                <w:bCs/>
                <w:sz w:val="20"/>
                <w:szCs w:val="20"/>
              </w:rPr>
            </w:pPr>
            <w:r w:rsidRPr="00730ECF">
              <w:rPr>
                <w:rFonts w:cstheme="minorHAnsi"/>
                <w:b/>
                <w:bCs/>
                <w:sz w:val="20"/>
                <w:szCs w:val="20"/>
              </w:rPr>
              <w:t xml:space="preserve">$1,620,420 </w:t>
            </w:r>
          </w:p>
        </w:tc>
      </w:tr>
    </w:tbl>
    <w:p w14:paraId="69C5993D" w14:textId="77777777" w:rsidR="002A66B3" w:rsidRPr="002A66B3" w:rsidRDefault="002A66B3" w:rsidP="00730ECF">
      <w:pPr>
        <w:spacing w:before="120"/>
        <w:jc w:val="center"/>
        <w:rPr>
          <w:rFonts w:cstheme="minorHAnsi"/>
        </w:rPr>
      </w:pPr>
      <w:r w:rsidRPr="002A66B3">
        <w:rPr>
          <w:rFonts w:cstheme="minorHAnsi"/>
          <w:sz w:val="20"/>
        </w:rPr>
        <w:t>See accompanying notes to the basic financial statements.</w:t>
      </w:r>
      <w:r w:rsidRPr="002A66B3">
        <w:rPr>
          <w:rFonts w:cstheme="minorHAnsi"/>
        </w:rPr>
        <w:br w:type="page"/>
      </w:r>
    </w:p>
    <w:p w14:paraId="5C949B8A" w14:textId="77777777" w:rsidR="002A66B3" w:rsidRPr="002A66B3" w:rsidRDefault="002A66B3" w:rsidP="00730ECF">
      <w:pPr>
        <w:rPr>
          <w:rFonts w:cstheme="minorHAnsi"/>
          <w:b/>
          <w:i/>
          <w:sz w:val="26"/>
          <w:szCs w:val="26"/>
        </w:rPr>
      </w:pPr>
      <w:r w:rsidRPr="002A66B3">
        <w:rPr>
          <w:rFonts w:cstheme="minorHAnsi"/>
          <w:b/>
          <w:i/>
          <w:sz w:val="26"/>
          <w:szCs w:val="26"/>
        </w:rPr>
        <w:lastRenderedPageBreak/>
        <w:t>UNIVERSITY OF MAINE SYSTEM</w:t>
      </w:r>
    </w:p>
    <w:p w14:paraId="4C1FE9EE" w14:textId="77777777" w:rsidR="002A66B3" w:rsidRPr="00730ECF" w:rsidRDefault="002A66B3" w:rsidP="00730ECF">
      <w:pPr>
        <w:pStyle w:val="Style1"/>
        <w:rPr>
          <w:rFonts w:asciiTheme="minorHAnsi" w:hAnsiTheme="minorHAnsi" w:cstheme="minorHAnsi"/>
        </w:rPr>
      </w:pPr>
      <w:bookmarkStart w:id="7" w:name="SNPCU"/>
      <w:r w:rsidRPr="00730ECF">
        <w:rPr>
          <w:rFonts w:asciiTheme="minorHAnsi" w:hAnsiTheme="minorHAnsi" w:cstheme="minorHAnsi"/>
        </w:rPr>
        <w:t xml:space="preserve">Statements of Financial Position – </w:t>
      </w:r>
      <w:r w:rsidRPr="00730ECF">
        <w:rPr>
          <w:rFonts w:asciiTheme="minorHAnsi" w:hAnsiTheme="minorHAnsi" w:cstheme="minorHAnsi"/>
          <w:color w:val="auto"/>
        </w:rPr>
        <w:t>Discretely Presented Component Unit</w:t>
      </w:r>
    </w:p>
    <w:bookmarkEnd w:id="7"/>
    <w:p w14:paraId="7F5E1F68" w14:textId="77777777" w:rsidR="002A66B3" w:rsidRPr="002A66B3" w:rsidRDefault="002A66B3" w:rsidP="006743EC">
      <w:pPr>
        <w:pBdr>
          <w:bottom w:val="single" w:sz="18" w:space="1" w:color="00688D"/>
        </w:pBdr>
        <w:spacing w:after="120"/>
        <w:rPr>
          <w:rFonts w:cstheme="minorHAnsi"/>
          <w:b/>
          <w:color w:val="FF0000"/>
          <w:sz w:val="26"/>
          <w:szCs w:val="26"/>
        </w:rPr>
      </w:pPr>
      <w:r w:rsidRPr="002A66B3">
        <w:rPr>
          <w:rFonts w:cstheme="minorHAnsi"/>
          <w:b/>
          <w:i/>
          <w:sz w:val="26"/>
          <w:szCs w:val="26"/>
        </w:rPr>
        <w:t>DECEMBER 31, 2024 AND 2023 (IN THOUSANDS)</w:t>
      </w:r>
    </w:p>
    <w:tbl>
      <w:tblPr>
        <w:tblW w:w="8730" w:type="dxa"/>
        <w:jc w:val="center"/>
        <w:tblLook w:val="04A0" w:firstRow="1" w:lastRow="0" w:firstColumn="1" w:lastColumn="0" w:noHBand="0" w:noVBand="1"/>
      </w:tblPr>
      <w:tblGrid>
        <w:gridCol w:w="5820"/>
        <w:gridCol w:w="1455"/>
        <w:gridCol w:w="1455"/>
      </w:tblGrid>
      <w:tr w:rsidR="002A66B3" w:rsidRPr="002A66B3" w14:paraId="788FC8A2" w14:textId="77777777" w:rsidTr="003E1080">
        <w:trPr>
          <w:trHeight w:val="315"/>
          <w:jc w:val="center"/>
        </w:trPr>
        <w:tc>
          <w:tcPr>
            <w:tcW w:w="5760" w:type="dxa"/>
            <w:tcBorders>
              <w:top w:val="nil"/>
              <w:left w:val="nil"/>
              <w:bottom w:val="single" w:sz="8" w:space="0" w:color="000000"/>
              <w:right w:val="nil"/>
            </w:tcBorders>
            <w:shd w:val="clear" w:color="000000" w:fill="FFFFFF"/>
            <w:noWrap/>
            <w:vAlign w:val="bottom"/>
            <w:hideMark/>
          </w:tcPr>
          <w:p w14:paraId="58E7D1B7" w14:textId="08137BD3" w:rsidR="002A66B3" w:rsidRPr="00730ECF" w:rsidRDefault="002A66B3" w:rsidP="006743EC">
            <w:pPr>
              <w:spacing w:before="120"/>
              <w:rPr>
                <w:rFonts w:cstheme="minorHAnsi"/>
                <w:b/>
                <w:bCs/>
                <w:color w:val="000000"/>
              </w:rPr>
            </w:pPr>
          </w:p>
        </w:tc>
        <w:tc>
          <w:tcPr>
            <w:tcW w:w="1440" w:type="dxa"/>
            <w:tcBorders>
              <w:top w:val="nil"/>
              <w:left w:val="nil"/>
              <w:bottom w:val="single" w:sz="8" w:space="0" w:color="000000"/>
              <w:right w:val="nil"/>
            </w:tcBorders>
            <w:shd w:val="clear" w:color="000000" w:fill="FFFFFF"/>
            <w:vAlign w:val="bottom"/>
            <w:hideMark/>
          </w:tcPr>
          <w:p w14:paraId="506539EA" w14:textId="77777777" w:rsidR="002A66B3" w:rsidRPr="00730ECF" w:rsidRDefault="002A66B3" w:rsidP="006743EC">
            <w:pPr>
              <w:spacing w:before="120"/>
              <w:jc w:val="center"/>
              <w:rPr>
                <w:rFonts w:cstheme="minorHAnsi"/>
                <w:b/>
                <w:bCs/>
              </w:rPr>
            </w:pPr>
            <w:r w:rsidRPr="00730ECF">
              <w:rPr>
                <w:rFonts w:cstheme="minorHAnsi"/>
                <w:b/>
                <w:bCs/>
              </w:rPr>
              <w:t>2024</w:t>
            </w:r>
          </w:p>
        </w:tc>
        <w:tc>
          <w:tcPr>
            <w:tcW w:w="1440" w:type="dxa"/>
            <w:tcBorders>
              <w:top w:val="nil"/>
              <w:left w:val="nil"/>
              <w:bottom w:val="single" w:sz="8" w:space="0" w:color="000000"/>
              <w:right w:val="nil"/>
            </w:tcBorders>
            <w:shd w:val="clear" w:color="000000" w:fill="FFFFFF"/>
            <w:vAlign w:val="bottom"/>
          </w:tcPr>
          <w:p w14:paraId="566B9714" w14:textId="77777777" w:rsidR="002A66B3" w:rsidRPr="00730ECF" w:rsidDel="008D34A6" w:rsidRDefault="002A66B3" w:rsidP="006743EC">
            <w:pPr>
              <w:spacing w:before="120"/>
              <w:jc w:val="center"/>
              <w:rPr>
                <w:rFonts w:cstheme="minorHAnsi"/>
                <w:b/>
                <w:bCs/>
                <w:color w:val="000000"/>
              </w:rPr>
            </w:pPr>
            <w:r w:rsidRPr="00730ECF">
              <w:rPr>
                <w:rFonts w:cstheme="minorHAnsi"/>
                <w:b/>
                <w:bCs/>
              </w:rPr>
              <w:t>2023</w:t>
            </w:r>
          </w:p>
        </w:tc>
      </w:tr>
      <w:tr w:rsidR="002A66B3" w:rsidRPr="002A66B3" w14:paraId="1023B8D9" w14:textId="77777777" w:rsidTr="003E1080">
        <w:trPr>
          <w:trHeight w:val="88"/>
          <w:jc w:val="center"/>
        </w:trPr>
        <w:tc>
          <w:tcPr>
            <w:tcW w:w="5760" w:type="dxa"/>
            <w:tcBorders>
              <w:top w:val="nil"/>
              <w:left w:val="nil"/>
              <w:bottom w:val="nil"/>
              <w:right w:val="nil"/>
            </w:tcBorders>
            <w:shd w:val="clear" w:color="000000" w:fill="FFFFFF"/>
            <w:noWrap/>
            <w:vAlign w:val="bottom"/>
            <w:hideMark/>
          </w:tcPr>
          <w:p w14:paraId="3F10DE0C" w14:textId="77777777" w:rsidR="002A66B3" w:rsidRPr="00730ECF" w:rsidRDefault="002A66B3" w:rsidP="006743EC">
            <w:pPr>
              <w:spacing w:before="120"/>
              <w:rPr>
                <w:rFonts w:cstheme="minorHAnsi"/>
                <w:b/>
                <w:bCs/>
                <w:color w:val="000000"/>
              </w:rPr>
            </w:pPr>
            <w:r w:rsidRPr="00730ECF">
              <w:rPr>
                <w:rFonts w:cstheme="minorHAnsi"/>
                <w:b/>
                <w:bCs/>
                <w:color w:val="000000"/>
              </w:rPr>
              <w:t>Assets</w:t>
            </w:r>
          </w:p>
        </w:tc>
        <w:tc>
          <w:tcPr>
            <w:tcW w:w="1440" w:type="dxa"/>
            <w:tcBorders>
              <w:top w:val="nil"/>
              <w:left w:val="nil"/>
              <w:bottom w:val="nil"/>
              <w:right w:val="nil"/>
            </w:tcBorders>
            <w:shd w:val="clear" w:color="000000" w:fill="FFFFFF"/>
            <w:noWrap/>
            <w:vAlign w:val="bottom"/>
            <w:hideMark/>
          </w:tcPr>
          <w:p w14:paraId="05233B1E" w14:textId="3D510087" w:rsidR="002A66B3" w:rsidRPr="00730ECF" w:rsidRDefault="002A66B3" w:rsidP="006743EC">
            <w:pPr>
              <w:spacing w:before="120"/>
              <w:rPr>
                <w:rFonts w:cstheme="minorHAnsi"/>
              </w:rPr>
            </w:pPr>
          </w:p>
        </w:tc>
        <w:tc>
          <w:tcPr>
            <w:tcW w:w="1440" w:type="dxa"/>
            <w:tcBorders>
              <w:top w:val="nil"/>
              <w:left w:val="nil"/>
              <w:bottom w:val="nil"/>
              <w:right w:val="nil"/>
            </w:tcBorders>
            <w:shd w:val="clear" w:color="000000" w:fill="FFFFFF"/>
            <w:vAlign w:val="bottom"/>
          </w:tcPr>
          <w:p w14:paraId="339FAFB0" w14:textId="7E7CE7A8" w:rsidR="002A66B3" w:rsidRPr="00730ECF" w:rsidDel="008D34A6" w:rsidRDefault="002A66B3" w:rsidP="006743EC">
            <w:pPr>
              <w:spacing w:before="120"/>
              <w:rPr>
                <w:rFonts w:cstheme="minorHAnsi"/>
                <w:color w:val="000000"/>
              </w:rPr>
            </w:pPr>
          </w:p>
        </w:tc>
      </w:tr>
      <w:tr w:rsidR="002A66B3" w:rsidRPr="002A66B3" w14:paraId="0011DECA" w14:textId="77777777" w:rsidTr="003E1080">
        <w:trPr>
          <w:trHeight w:val="80"/>
          <w:jc w:val="center"/>
        </w:trPr>
        <w:tc>
          <w:tcPr>
            <w:tcW w:w="5760" w:type="dxa"/>
            <w:tcBorders>
              <w:top w:val="nil"/>
              <w:left w:val="nil"/>
              <w:bottom w:val="nil"/>
              <w:right w:val="nil"/>
            </w:tcBorders>
            <w:shd w:val="clear" w:color="000000" w:fill="FFFFFF"/>
            <w:noWrap/>
            <w:vAlign w:val="bottom"/>
            <w:hideMark/>
          </w:tcPr>
          <w:p w14:paraId="4577225E" w14:textId="77777777" w:rsidR="002A66B3" w:rsidRPr="00730ECF" w:rsidRDefault="002A66B3" w:rsidP="006743EC">
            <w:pPr>
              <w:spacing w:before="120"/>
              <w:ind w:left="165"/>
              <w:rPr>
                <w:rFonts w:cstheme="minorHAnsi"/>
                <w:color w:val="000000"/>
              </w:rPr>
            </w:pPr>
            <w:r w:rsidRPr="00730ECF">
              <w:rPr>
                <w:rFonts w:cstheme="minorHAnsi"/>
                <w:color w:val="000000"/>
              </w:rPr>
              <w:t>Cash and cash equivalents</w:t>
            </w:r>
          </w:p>
        </w:tc>
        <w:tc>
          <w:tcPr>
            <w:tcW w:w="1440" w:type="dxa"/>
            <w:tcBorders>
              <w:top w:val="nil"/>
              <w:left w:val="nil"/>
              <w:bottom w:val="nil"/>
              <w:right w:val="nil"/>
            </w:tcBorders>
            <w:shd w:val="clear" w:color="000000" w:fill="FFFFFF"/>
            <w:noWrap/>
            <w:vAlign w:val="bottom"/>
            <w:hideMark/>
          </w:tcPr>
          <w:p w14:paraId="066E3935" w14:textId="77777777" w:rsidR="002A66B3" w:rsidRPr="00730ECF" w:rsidRDefault="002A66B3" w:rsidP="006743EC">
            <w:pPr>
              <w:spacing w:before="120"/>
              <w:jc w:val="right"/>
              <w:rPr>
                <w:rFonts w:cstheme="minorHAnsi"/>
              </w:rPr>
            </w:pPr>
            <w:r w:rsidRPr="00730ECF">
              <w:rPr>
                <w:rFonts w:cstheme="minorHAnsi"/>
              </w:rPr>
              <w:t>$          11,881</w:t>
            </w:r>
          </w:p>
        </w:tc>
        <w:tc>
          <w:tcPr>
            <w:tcW w:w="1440" w:type="dxa"/>
            <w:tcBorders>
              <w:top w:val="nil"/>
              <w:left w:val="nil"/>
              <w:bottom w:val="nil"/>
              <w:right w:val="nil"/>
            </w:tcBorders>
            <w:shd w:val="clear" w:color="000000" w:fill="FFFFFF"/>
            <w:vAlign w:val="bottom"/>
          </w:tcPr>
          <w:p w14:paraId="4D955D8D" w14:textId="77777777" w:rsidR="002A66B3" w:rsidRPr="00730ECF" w:rsidDel="008D34A6" w:rsidRDefault="002A66B3" w:rsidP="006743EC">
            <w:pPr>
              <w:spacing w:before="120"/>
              <w:jc w:val="right"/>
              <w:rPr>
                <w:rFonts w:cstheme="minorHAnsi"/>
                <w:color w:val="000000"/>
              </w:rPr>
            </w:pPr>
            <w:r w:rsidRPr="00730ECF">
              <w:rPr>
                <w:rFonts w:cstheme="minorHAnsi"/>
              </w:rPr>
              <w:t xml:space="preserve">$       4,741 </w:t>
            </w:r>
          </w:p>
        </w:tc>
      </w:tr>
      <w:tr w:rsidR="002A66B3" w:rsidRPr="002A66B3" w14:paraId="135128F2" w14:textId="77777777" w:rsidTr="003E1080">
        <w:trPr>
          <w:trHeight w:val="593"/>
          <w:jc w:val="center"/>
        </w:trPr>
        <w:tc>
          <w:tcPr>
            <w:tcW w:w="5760" w:type="dxa"/>
            <w:tcBorders>
              <w:top w:val="nil"/>
              <w:left w:val="nil"/>
              <w:bottom w:val="nil"/>
              <w:right w:val="nil"/>
            </w:tcBorders>
            <w:shd w:val="clear" w:color="000000" w:fill="FFFFFF"/>
            <w:vAlign w:val="bottom"/>
            <w:hideMark/>
          </w:tcPr>
          <w:p w14:paraId="14E32820" w14:textId="77777777" w:rsidR="002A66B3" w:rsidRPr="00730ECF" w:rsidRDefault="002A66B3" w:rsidP="006743EC">
            <w:pPr>
              <w:spacing w:before="120"/>
              <w:ind w:left="165"/>
              <w:rPr>
                <w:rFonts w:cstheme="minorHAnsi"/>
              </w:rPr>
            </w:pPr>
            <w:r w:rsidRPr="00730ECF">
              <w:rPr>
                <w:rFonts w:cstheme="minorHAnsi"/>
              </w:rPr>
              <w:t>Promises to give, less allowance for uncollectible pledges of $60 and $60, respectively</w:t>
            </w:r>
          </w:p>
        </w:tc>
        <w:tc>
          <w:tcPr>
            <w:tcW w:w="1440" w:type="dxa"/>
            <w:tcBorders>
              <w:top w:val="nil"/>
              <w:left w:val="nil"/>
              <w:bottom w:val="nil"/>
              <w:right w:val="nil"/>
            </w:tcBorders>
            <w:shd w:val="clear" w:color="000000" w:fill="FFFFFF"/>
            <w:noWrap/>
            <w:vAlign w:val="bottom"/>
            <w:hideMark/>
          </w:tcPr>
          <w:p w14:paraId="69870E97" w14:textId="77777777" w:rsidR="002A66B3" w:rsidRPr="00730ECF" w:rsidRDefault="002A66B3" w:rsidP="006743EC">
            <w:pPr>
              <w:spacing w:before="120"/>
              <w:jc w:val="right"/>
              <w:rPr>
                <w:rFonts w:cstheme="minorHAnsi"/>
              </w:rPr>
            </w:pPr>
            <w:r w:rsidRPr="00730ECF">
              <w:rPr>
                <w:rFonts w:cstheme="minorHAnsi"/>
              </w:rPr>
              <w:t>6,031</w:t>
            </w:r>
          </w:p>
        </w:tc>
        <w:tc>
          <w:tcPr>
            <w:tcW w:w="1440" w:type="dxa"/>
            <w:tcBorders>
              <w:top w:val="nil"/>
              <w:left w:val="nil"/>
              <w:bottom w:val="nil"/>
              <w:right w:val="nil"/>
            </w:tcBorders>
            <w:shd w:val="clear" w:color="000000" w:fill="FFFFFF"/>
            <w:vAlign w:val="bottom"/>
          </w:tcPr>
          <w:p w14:paraId="7D47B52E" w14:textId="77777777" w:rsidR="002A66B3" w:rsidRPr="002A66B3" w:rsidDel="008D34A6" w:rsidRDefault="002A66B3" w:rsidP="006743EC">
            <w:pPr>
              <w:spacing w:before="120"/>
              <w:jc w:val="right"/>
              <w:rPr>
                <w:rFonts w:cstheme="minorHAnsi"/>
              </w:rPr>
            </w:pPr>
            <w:r w:rsidRPr="00730ECF">
              <w:rPr>
                <w:rFonts w:cstheme="minorHAnsi"/>
              </w:rPr>
              <w:t>5,462</w:t>
            </w:r>
          </w:p>
        </w:tc>
      </w:tr>
      <w:tr w:rsidR="002A66B3" w:rsidRPr="002A66B3" w14:paraId="595E8447" w14:textId="77777777" w:rsidTr="003E1080">
        <w:trPr>
          <w:trHeight w:val="180"/>
          <w:jc w:val="center"/>
        </w:trPr>
        <w:tc>
          <w:tcPr>
            <w:tcW w:w="5760" w:type="dxa"/>
            <w:tcBorders>
              <w:top w:val="nil"/>
              <w:left w:val="nil"/>
              <w:bottom w:val="nil"/>
              <w:right w:val="nil"/>
            </w:tcBorders>
            <w:shd w:val="clear" w:color="000000" w:fill="FFFFFF"/>
            <w:noWrap/>
            <w:vAlign w:val="bottom"/>
            <w:hideMark/>
          </w:tcPr>
          <w:p w14:paraId="3F9A0376" w14:textId="77777777" w:rsidR="002A66B3" w:rsidRPr="00730ECF" w:rsidRDefault="002A66B3" w:rsidP="006743EC">
            <w:pPr>
              <w:spacing w:before="120"/>
              <w:ind w:left="165"/>
              <w:rPr>
                <w:rFonts w:cstheme="minorHAnsi"/>
                <w:color w:val="000000"/>
              </w:rPr>
            </w:pPr>
            <w:r w:rsidRPr="00730ECF">
              <w:rPr>
                <w:rFonts w:cstheme="minorHAnsi"/>
                <w:color w:val="000000"/>
              </w:rPr>
              <w:t>Short-term investments</w:t>
            </w:r>
          </w:p>
        </w:tc>
        <w:tc>
          <w:tcPr>
            <w:tcW w:w="1440" w:type="dxa"/>
            <w:tcBorders>
              <w:top w:val="nil"/>
              <w:left w:val="nil"/>
              <w:bottom w:val="nil"/>
              <w:right w:val="nil"/>
            </w:tcBorders>
            <w:shd w:val="clear" w:color="000000" w:fill="FFFFFF"/>
            <w:noWrap/>
            <w:vAlign w:val="bottom"/>
          </w:tcPr>
          <w:p w14:paraId="128391B3" w14:textId="77777777" w:rsidR="002A66B3" w:rsidRPr="00730ECF" w:rsidRDefault="002A66B3" w:rsidP="006743EC">
            <w:pPr>
              <w:spacing w:before="120"/>
              <w:jc w:val="right"/>
              <w:rPr>
                <w:rFonts w:eastAsia="Times New Roman" w:cstheme="minorHAnsi"/>
              </w:rPr>
            </w:pPr>
            <w:r w:rsidRPr="00730ECF">
              <w:rPr>
                <w:rFonts w:cstheme="minorHAnsi"/>
              </w:rPr>
              <w:t>16,430</w:t>
            </w:r>
          </w:p>
        </w:tc>
        <w:tc>
          <w:tcPr>
            <w:tcW w:w="1440" w:type="dxa"/>
            <w:tcBorders>
              <w:top w:val="nil"/>
              <w:left w:val="nil"/>
              <w:bottom w:val="nil"/>
              <w:right w:val="nil"/>
            </w:tcBorders>
            <w:shd w:val="clear" w:color="000000" w:fill="FFFFFF"/>
            <w:vAlign w:val="bottom"/>
          </w:tcPr>
          <w:p w14:paraId="5C792C9C" w14:textId="77777777" w:rsidR="002A66B3" w:rsidRPr="002A66B3" w:rsidDel="008D34A6" w:rsidRDefault="002A66B3" w:rsidP="006743EC">
            <w:pPr>
              <w:spacing w:before="120"/>
              <w:jc w:val="right"/>
              <w:rPr>
                <w:rFonts w:cstheme="minorHAnsi"/>
              </w:rPr>
            </w:pPr>
            <w:r w:rsidRPr="00730ECF">
              <w:rPr>
                <w:rFonts w:cstheme="minorHAnsi"/>
              </w:rPr>
              <w:t xml:space="preserve">18,664 </w:t>
            </w:r>
          </w:p>
        </w:tc>
      </w:tr>
      <w:tr w:rsidR="002A66B3" w:rsidRPr="002A66B3" w14:paraId="1CF6F04D" w14:textId="77777777" w:rsidTr="003E1080">
        <w:trPr>
          <w:trHeight w:val="80"/>
          <w:jc w:val="center"/>
        </w:trPr>
        <w:tc>
          <w:tcPr>
            <w:tcW w:w="5760" w:type="dxa"/>
            <w:tcBorders>
              <w:top w:val="nil"/>
              <w:left w:val="nil"/>
              <w:bottom w:val="nil"/>
              <w:right w:val="nil"/>
            </w:tcBorders>
            <w:shd w:val="clear" w:color="000000" w:fill="FFFFFF"/>
            <w:noWrap/>
            <w:vAlign w:val="bottom"/>
            <w:hideMark/>
          </w:tcPr>
          <w:p w14:paraId="3CF52C38" w14:textId="77777777" w:rsidR="002A66B3" w:rsidRPr="00730ECF" w:rsidRDefault="002A66B3" w:rsidP="006743EC">
            <w:pPr>
              <w:spacing w:before="120"/>
              <w:ind w:left="165"/>
              <w:rPr>
                <w:rFonts w:cstheme="minorHAnsi"/>
                <w:color w:val="000000"/>
              </w:rPr>
            </w:pPr>
            <w:r w:rsidRPr="00730ECF">
              <w:rPr>
                <w:rFonts w:cstheme="minorHAnsi"/>
                <w:color w:val="000000"/>
              </w:rPr>
              <w:t>Cash surrender value of life insurance</w:t>
            </w:r>
          </w:p>
        </w:tc>
        <w:tc>
          <w:tcPr>
            <w:tcW w:w="1440" w:type="dxa"/>
            <w:tcBorders>
              <w:top w:val="nil"/>
              <w:left w:val="nil"/>
              <w:bottom w:val="nil"/>
              <w:right w:val="nil"/>
            </w:tcBorders>
            <w:shd w:val="clear" w:color="000000" w:fill="FFFFFF"/>
            <w:noWrap/>
            <w:vAlign w:val="bottom"/>
          </w:tcPr>
          <w:p w14:paraId="24AE3278" w14:textId="77777777" w:rsidR="002A66B3" w:rsidRPr="00730ECF" w:rsidRDefault="002A66B3" w:rsidP="006743EC">
            <w:pPr>
              <w:spacing w:before="120"/>
              <w:jc w:val="right"/>
              <w:rPr>
                <w:rFonts w:eastAsia="Times New Roman" w:cstheme="minorHAnsi"/>
              </w:rPr>
            </w:pPr>
            <w:r w:rsidRPr="00730ECF">
              <w:rPr>
                <w:rFonts w:cstheme="minorHAnsi"/>
              </w:rPr>
              <w:t>215</w:t>
            </w:r>
          </w:p>
        </w:tc>
        <w:tc>
          <w:tcPr>
            <w:tcW w:w="1440" w:type="dxa"/>
            <w:tcBorders>
              <w:top w:val="nil"/>
              <w:left w:val="nil"/>
              <w:bottom w:val="nil"/>
              <w:right w:val="nil"/>
            </w:tcBorders>
            <w:shd w:val="clear" w:color="000000" w:fill="FFFFFF"/>
            <w:vAlign w:val="bottom"/>
          </w:tcPr>
          <w:p w14:paraId="49D2DC11" w14:textId="77777777" w:rsidR="002A66B3" w:rsidRPr="002A66B3" w:rsidDel="008D34A6" w:rsidRDefault="002A66B3" w:rsidP="006743EC">
            <w:pPr>
              <w:spacing w:before="120"/>
              <w:jc w:val="right"/>
              <w:rPr>
                <w:rFonts w:cstheme="minorHAnsi"/>
              </w:rPr>
            </w:pPr>
            <w:r w:rsidRPr="00730ECF">
              <w:rPr>
                <w:rFonts w:cstheme="minorHAnsi"/>
              </w:rPr>
              <w:t xml:space="preserve">208 </w:t>
            </w:r>
          </w:p>
        </w:tc>
      </w:tr>
      <w:tr w:rsidR="002A66B3" w:rsidRPr="002A66B3" w14:paraId="4792A514" w14:textId="77777777" w:rsidTr="003E1080">
        <w:trPr>
          <w:trHeight w:val="80"/>
          <w:jc w:val="center"/>
        </w:trPr>
        <w:tc>
          <w:tcPr>
            <w:tcW w:w="5760" w:type="dxa"/>
            <w:tcBorders>
              <w:top w:val="nil"/>
              <w:left w:val="nil"/>
              <w:bottom w:val="nil"/>
              <w:right w:val="nil"/>
            </w:tcBorders>
            <w:shd w:val="clear" w:color="000000" w:fill="FFFFFF"/>
            <w:noWrap/>
            <w:vAlign w:val="bottom"/>
            <w:hideMark/>
          </w:tcPr>
          <w:p w14:paraId="0011D1A3" w14:textId="77777777" w:rsidR="002A66B3" w:rsidRPr="00730ECF" w:rsidRDefault="002A66B3" w:rsidP="006743EC">
            <w:pPr>
              <w:spacing w:before="120"/>
              <w:ind w:left="165"/>
              <w:rPr>
                <w:rFonts w:cstheme="minorHAnsi"/>
                <w:color w:val="000000"/>
              </w:rPr>
            </w:pPr>
            <w:r w:rsidRPr="00730ECF">
              <w:rPr>
                <w:rFonts w:cstheme="minorHAnsi"/>
                <w:color w:val="000000"/>
              </w:rPr>
              <w:t>Long-term investments, endowment</w:t>
            </w:r>
          </w:p>
        </w:tc>
        <w:tc>
          <w:tcPr>
            <w:tcW w:w="1440" w:type="dxa"/>
            <w:tcBorders>
              <w:top w:val="nil"/>
              <w:left w:val="nil"/>
              <w:bottom w:val="nil"/>
              <w:right w:val="nil"/>
            </w:tcBorders>
            <w:shd w:val="clear" w:color="000000" w:fill="FFFFFF"/>
            <w:noWrap/>
            <w:vAlign w:val="bottom"/>
          </w:tcPr>
          <w:p w14:paraId="46A41110" w14:textId="77777777" w:rsidR="002A66B3" w:rsidRPr="00730ECF" w:rsidRDefault="002A66B3" w:rsidP="006743EC">
            <w:pPr>
              <w:spacing w:before="120"/>
              <w:jc w:val="right"/>
              <w:rPr>
                <w:rFonts w:eastAsia="Times New Roman" w:cstheme="minorHAnsi"/>
              </w:rPr>
            </w:pPr>
            <w:r w:rsidRPr="00730ECF">
              <w:rPr>
                <w:rFonts w:cstheme="minorHAnsi"/>
              </w:rPr>
              <w:t>399,704</w:t>
            </w:r>
          </w:p>
        </w:tc>
        <w:tc>
          <w:tcPr>
            <w:tcW w:w="1440" w:type="dxa"/>
            <w:tcBorders>
              <w:top w:val="nil"/>
              <w:left w:val="nil"/>
              <w:bottom w:val="nil"/>
              <w:right w:val="nil"/>
            </w:tcBorders>
            <w:shd w:val="clear" w:color="000000" w:fill="FFFFFF"/>
            <w:vAlign w:val="bottom"/>
          </w:tcPr>
          <w:p w14:paraId="1F2F6B28" w14:textId="77777777" w:rsidR="002A66B3" w:rsidRPr="002A66B3" w:rsidDel="008D34A6" w:rsidRDefault="002A66B3" w:rsidP="006743EC">
            <w:pPr>
              <w:spacing w:before="120"/>
              <w:jc w:val="right"/>
              <w:rPr>
                <w:rFonts w:cstheme="minorHAnsi"/>
              </w:rPr>
            </w:pPr>
            <w:r w:rsidRPr="00730ECF">
              <w:rPr>
                <w:rFonts w:cstheme="minorHAnsi"/>
              </w:rPr>
              <w:t xml:space="preserve">340,868 </w:t>
            </w:r>
          </w:p>
        </w:tc>
      </w:tr>
      <w:tr w:rsidR="002A66B3" w:rsidRPr="002A66B3" w14:paraId="0E26A74F" w14:textId="77777777" w:rsidTr="003E1080">
        <w:trPr>
          <w:trHeight w:val="90"/>
          <w:jc w:val="center"/>
        </w:trPr>
        <w:tc>
          <w:tcPr>
            <w:tcW w:w="5760" w:type="dxa"/>
            <w:tcBorders>
              <w:top w:val="nil"/>
              <w:left w:val="nil"/>
              <w:bottom w:val="nil"/>
              <w:right w:val="nil"/>
            </w:tcBorders>
            <w:shd w:val="clear" w:color="000000" w:fill="FFFFFF"/>
            <w:noWrap/>
            <w:vAlign w:val="bottom"/>
            <w:hideMark/>
          </w:tcPr>
          <w:p w14:paraId="0D6C09A6" w14:textId="77777777" w:rsidR="002A66B3" w:rsidRPr="00730ECF" w:rsidRDefault="002A66B3" w:rsidP="006743EC">
            <w:pPr>
              <w:spacing w:before="120"/>
              <w:ind w:left="165"/>
              <w:rPr>
                <w:rFonts w:cstheme="minorHAnsi"/>
                <w:color w:val="000000"/>
              </w:rPr>
            </w:pPr>
            <w:r w:rsidRPr="00730ECF">
              <w:rPr>
                <w:rFonts w:cstheme="minorHAnsi"/>
                <w:color w:val="000000"/>
              </w:rPr>
              <w:t>Long-term investments, life income plans</w:t>
            </w:r>
          </w:p>
        </w:tc>
        <w:tc>
          <w:tcPr>
            <w:tcW w:w="1440" w:type="dxa"/>
            <w:tcBorders>
              <w:top w:val="nil"/>
              <w:left w:val="nil"/>
              <w:bottom w:val="nil"/>
              <w:right w:val="nil"/>
            </w:tcBorders>
            <w:shd w:val="clear" w:color="000000" w:fill="FFFFFF"/>
            <w:noWrap/>
            <w:vAlign w:val="bottom"/>
          </w:tcPr>
          <w:p w14:paraId="04BAD6FC" w14:textId="77777777" w:rsidR="002A66B3" w:rsidRPr="00730ECF" w:rsidRDefault="002A66B3" w:rsidP="006743EC">
            <w:pPr>
              <w:spacing w:before="120"/>
              <w:jc w:val="right"/>
              <w:rPr>
                <w:rFonts w:eastAsia="Times New Roman" w:cstheme="minorHAnsi"/>
              </w:rPr>
            </w:pPr>
            <w:r w:rsidRPr="00730ECF">
              <w:rPr>
                <w:rFonts w:cstheme="minorHAnsi"/>
              </w:rPr>
              <w:t>6,259</w:t>
            </w:r>
          </w:p>
        </w:tc>
        <w:tc>
          <w:tcPr>
            <w:tcW w:w="1440" w:type="dxa"/>
            <w:tcBorders>
              <w:top w:val="nil"/>
              <w:left w:val="nil"/>
              <w:bottom w:val="nil"/>
              <w:right w:val="nil"/>
            </w:tcBorders>
            <w:shd w:val="clear" w:color="000000" w:fill="FFFFFF"/>
            <w:vAlign w:val="bottom"/>
          </w:tcPr>
          <w:p w14:paraId="0ED6456F" w14:textId="77777777" w:rsidR="002A66B3" w:rsidRPr="002A66B3" w:rsidDel="008D34A6" w:rsidRDefault="002A66B3" w:rsidP="006743EC">
            <w:pPr>
              <w:spacing w:before="120"/>
              <w:jc w:val="right"/>
              <w:rPr>
                <w:rFonts w:cstheme="minorHAnsi"/>
              </w:rPr>
            </w:pPr>
            <w:r w:rsidRPr="00730ECF">
              <w:rPr>
                <w:rFonts w:cstheme="minorHAnsi"/>
              </w:rPr>
              <w:t xml:space="preserve">5,929 </w:t>
            </w:r>
          </w:p>
        </w:tc>
      </w:tr>
      <w:tr w:rsidR="002A66B3" w:rsidRPr="002A66B3" w14:paraId="60E52A0C" w14:textId="77777777" w:rsidTr="003E1080">
        <w:trPr>
          <w:trHeight w:val="80"/>
          <w:jc w:val="center"/>
        </w:trPr>
        <w:tc>
          <w:tcPr>
            <w:tcW w:w="5760" w:type="dxa"/>
            <w:tcBorders>
              <w:top w:val="nil"/>
              <w:left w:val="nil"/>
              <w:bottom w:val="nil"/>
              <w:right w:val="nil"/>
            </w:tcBorders>
            <w:shd w:val="clear" w:color="000000" w:fill="FFFFFF"/>
            <w:noWrap/>
            <w:vAlign w:val="bottom"/>
            <w:hideMark/>
          </w:tcPr>
          <w:p w14:paraId="24E032A4" w14:textId="77777777" w:rsidR="002A66B3" w:rsidRPr="00730ECF" w:rsidRDefault="002A66B3" w:rsidP="006743EC">
            <w:pPr>
              <w:spacing w:before="120"/>
              <w:ind w:left="165"/>
              <w:rPr>
                <w:rFonts w:cstheme="minorHAnsi"/>
                <w:color w:val="000000"/>
              </w:rPr>
            </w:pPr>
            <w:r w:rsidRPr="00730ECF">
              <w:rPr>
                <w:rFonts w:cstheme="minorHAnsi"/>
                <w:color w:val="000000"/>
              </w:rPr>
              <w:t>Equity in Buchanan Alumni House</w:t>
            </w:r>
          </w:p>
        </w:tc>
        <w:tc>
          <w:tcPr>
            <w:tcW w:w="1440" w:type="dxa"/>
            <w:tcBorders>
              <w:top w:val="nil"/>
              <w:left w:val="nil"/>
              <w:bottom w:val="nil"/>
              <w:right w:val="nil"/>
            </w:tcBorders>
            <w:shd w:val="clear" w:color="000000" w:fill="FFFFFF"/>
            <w:noWrap/>
            <w:vAlign w:val="bottom"/>
          </w:tcPr>
          <w:p w14:paraId="4803911F" w14:textId="77777777" w:rsidR="002A66B3" w:rsidRPr="00730ECF" w:rsidRDefault="002A66B3" w:rsidP="006743EC">
            <w:pPr>
              <w:spacing w:before="120"/>
              <w:jc w:val="right"/>
              <w:rPr>
                <w:rFonts w:cstheme="minorHAnsi"/>
              </w:rPr>
            </w:pPr>
            <w:r w:rsidRPr="00730ECF">
              <w:rPr>
                <w:rFonts w:cstheme="minorHAnsi"/>
              </w:rPr>
              <w:t>2,554</w:t>
            </w:r>
          </w:p>
        </w:tc>
        <w:tc>
          <w:tcPr>
            <w:tcW w:w="1440" w:type="dxa"/>
            <w:tcBorders>
              <w:top w:val="nil"/>
              <w:left w:val="nil"/>
              <w:bottom w:val="nil"/>
              <w:right w:val="nil"/>
            </w:tcBorders>
            <w:shd w:val="clear" w:color="000000" w:fill="FFFFFF"/>
            <w:vAlign w:val="bottom"/>
          </w:tcPr>
          <w:p w14:paraId="4BE34068" w14:textId="77777777" w:rsidR="002A66B3" w:rsidRPr="002A66B3" w:rsidDel="008D34A6" w:rsidRDefault="002A66B3" w:rsidP="006743EC">
            <w:pPr>
              <w:spacing w:before="120"/>
              <w:jc w:val="right"/>
              <w:rPr>
                <w:rFonts w:cstheme="minorHAnsi"/>
              </w:rPr>
            </w:pPr>
            <w:r w:rsidRPr="00730ECF">
              <w:rPr>
                <w:rFonts w:cstheme="minorHAnsi"/>
              </w:rPr>
              <w:t xml:space="preserve">2,551 </w:t>
            </w:r>
          </w:p>
        </w:tc>
      </w:tr>
      <w:tr w:rsidR="002A66B3" w:rsidRPr="002A66B3" w14:paraId="0A7997D8" w14:textId="77777777" w:rsidTr="003E1080">
        <w:trPr>
          <w:trHeight w:val="80"/>
          <w:jc w:val="center"/>
        </w:trPr>
        <w:tc>
          <w:tcPr>
            <w:tcW w:w="5760" w:type="dxa"/>
            <w:tcBorders>
              <w:top w:val="nil"/>
              <w:left w:val="nil"/>
              <w:bottom w:val="nil"/>
              <w:right w:val="nil"/>
            </w:tcBorders>
            <w:shd w:val="clear" w:color="000000" w:fill="FFFFFF"/>
            <w:noWrap/>
            <w:vAlign w:val="bottom"/>
            <w:hideMark/>
          </w:tcPr>
          <w:p w14:paraId="48B177A8" w14:textId="77777777" w:rsidR="002A66B3" w:rsidRPr="00730ECF" w:rsidRDefault="002A66B3" w:rsidP="006743EC">
            <w:pPr>
              <w:spacing w:before="120"/>
              <w:ind w:left="165"/>
              <w:rPr>
                <w:rFonts w:cstheme="minorHAnsi"/>
                <w:color w:val="000000"/>
              </w:rPr>
            </w:pPr>
            <w:r w:rsidRPr="00730ECF">
              <w:rPr>
                <w:rFonts w:cstheme="minorHAnsi"/>
                <w:color w:val="000000"/>
              </w:rPr>
              <w:t>Investment real estate</w:t>
            </w:r>
          </w:p>
        </w:tc>
        <w:tc>
          <w:tcPr>
            <w:tcW w:w="1440" w:type="dxa"/>
            <w:tcBorders>
              <w:top w:val="nil"/>
              <w:left w:val="nil"/>
              <w:bottom w:val="nil"/>
              <w:right w:val="nil"/>
            </w:tcBorders>
            <w:shd w:val="clear" w:color="000000" w:fill="FFFFFF"/>
            <w:noWrap/>
            <w:vAlign w:val="bottom"/>
          </w:tcPr>
          <w:p w14:paraId="5B484F0E" w14:textId="77777777" w:rsidR="002A66B3" w:rsidRPr="00730ECF" w:rsidRDefault="002A66B3" w:rsidP="006743EC">
            <w:pPr>
              <w:spacing w:before="120"/>
              <w:jc w:val="right"/>
              <w:rPr>
                <w:rFonts w:cstheme="minorHAnsi"/>
              </w:rPr>
            </w:pPr>
            <w:r w:rsidRPr="00730ECF">
              <w:rPr>
                <w:rFonts w:cstheme="minorHAnsi"/>
              </w:rPr>
              <w:t>5,942</w:t>
            </w:r>
          </w:p>
        </w:tc>
        <w:tc>
          <w:tcPr>
            <w:tcW w:w="1440" w:type="dxa"/>
            <w:tcBorders>
              <w:top w:val="nil"/>
              <w:left w:val="nil"/>
              <w:bottom w:val="nil"/>
              <w:right w:val="nil"/>
            </w:tcBorders>
            <w:shd w:val="clear" w:color="000000" w:fill="FFFFFF"/>
            <w:vAlign w:val="bottom"/>
          </w:tcPr>
          <w:p w14:paraId="000DC2ED" w14:textId="77777777" w:rsidR="002A66B3" w:rsidRPr="002A66B3" w:rsidDel="008D34A6" w:rsidRDefault="002A66B3" w:rsidP="006743EC">
            <w:pPr>
              <w:spacing w:before="120"/>
              <w:jc w:val="right"/>
              <w:rPr>
                <w:rFonts w:cstheme="minorHAnsi"/>
              </w:rPr>
            </w:pPr>
            <w:r w:rsidRPr="00730ECF">
              <w:rPr>
                <w:rFonts w:cstheme="minorHAnsi"/>
              </w:rPr>
              <w:t xml:space="preserve">5,450 </w:t>
            </w:r>
          </w:p>
        </w:tc>
      </w:tr>
      <w:tr w:rsidR="002A66B3" w:rsidRPr="002A66B3" w14:paraId="330AEDFD" w14:textId="77777777" w:rsidTr="003E1080">
        <w:trPr>
          <w:trHeight w:val="80"/>
          <w:jc w:val="center"/>
        </w:trPr>
        <w:tc>
          <w:tcPr>
            <w:tcW w:w="5760" w:type="dxa"/>
            <w:tcBorders>
              <w:top w:val="nil"/>
              <w:left w:val="nil"/>
              <w:bottom w:val="nil"/>
              <w:right w:val="nil"/>
            </w:tcBorders>
            <w:shd w:val="clear" w:color="000000" w:fill="FFFFFF"/>
            <w:vAlign w:val="bottom"/>
            <w:hideMark/>
          </w:tcPr>
          <w:p w14:paraId="1550E0A6" w14:textId="77777777" w:rsidR="002A66B3" w:rsidRPr="00730ECF" w:rsidRDefault="002A66B3" w:rsidP="006743EC">
            <w:pPr>
              <w:spacing w:before="120"/>
              <w:ind w:left="165"/>
              <w:rPr>
                <w:rFonts w:cstheme="minorHAnsi"/>
                <w:color w:val="000000"/>
              </w:rPr>
            </w:pPr>
            <w:r w:rsidRPr="00730ECF">
              <w:rPr>
                <w:rFonts w:cstheme="minorHAnsi"/>
                <w:color w:val="000000"/>
              </w:rPr>
              <w:t xml:space="preserve">Property and equipment, net of accumulated depreciation of </w:t>
            </w:r>
            <w:r w:rsidRPr="00730ECF">
              <w:rPr>
                <w:rFonts w:cstheme="minorHAnsi"/>
              </w:rPr>
              <w:t>$373 and $329</w:t>
            </w:r>
            <w:r w:rsidRPr="00730ECF">
              <w:rPr>
                <w:rFonts w:cstheme="minorHAnsi"/>
                <w:color w:val="000000"/>
              </w:rPr>
              <w:t>, respectively</w:t>
            </w:r>
          </w:p>
        </w:tc>
        <w:tc>
          <w:tcPr>
            <w:tcW w:w="1440" w:type="dxa"/>
            <w:tcBorders>
              <w:top w:val="nil"/>
              <w:left w:val="nil"/>
              <w:bottom w:val="nil"/>
              <w:right w:val="nil"/>
            </w:tcBorders>
            <w:shd w:val="clear" w:color="000000" w:fill="FFFFFF"/>
            <w:noWrap/>
            <w:vAlign w:val="bottom"/>
          </w:tcPr>
          <w:p w14:paraId="5AC6ED56" w14:textId="77777777" w:rsidR="002A66B3" w:rsidRPr="00730ECF" w:rsidRDefault="002A66B3" w:rsidP="006743EC">
            <w:pPr>
              <w:spacing w:before="120"/>
              <w:jc w:val="right"/>
              <w:rPr>
                <w:rFonts w:cstheme="minorHAnsi"/>
              </w:rPr>
            </w:pPr>
            <w:r w:rsidRPr="00730ECF">
              <w:rPr>
                <w:rFonts w:cstheme="minorHAnsi"/>
              </w:rPr>
              <w:t>108</w:t>
            </w:r>
          </w:p>
        </w:tc>
        <w:tc>
          <w:tcPr>
            <w:tcW w:w="1440" w:type="dxa"/>
            <w:tcBorders>
              <w:top w:val="nil"/>
              <w:left w:val="nil"/>
              <w:bottom w:val="nil"/>
              <w:right w:val="nil"/>
            </w:tcBorders>
            <w:shd w:val="clear" w:color="000000" w:fill="FFFFFF"/>
            <w:vAlign w:val="bottom"/>
          </w:tcPr>
          <w:p w14:paraId="1C8BDC74" w14:textId="77777777" w:rsidR="002A66B3" w:rsidRPr="002A66B3" w:rsidDel="008D34A6" w:rsidRDefault="002A66B3" w:rsidP="006743EC">
            <w:pPr>
              <w:spacing w:before="120"/>
              <w:jc w:val="right"/>
              <w:rPr>
                <w:rFonts w:cstheme="minorHAnsi"/>
              </w:rPr>
            </w:pPr>
            <w:r w:rsidRPr="00730ECF">
              <w:rPr>
                <w:rFonts w:cstheme="minorHAnsi"/>
              </w:rPr>
              <w:t xml:space="preserve">142 </w:t>
            </w:r>
          </w:p>
        </w:tc>
      </w:tr>
      <w:tr w:rsidR="002A66B3" w:rsidRPr="002A66B3" w14:paraId="11366C92" w14:textId="77777777" w:rsidTr="00AD1DFC">
        <w:trPr>
          <w:trHeight w:val="80"/>
          <w:jc w:val="center"/>
        </w:trPr>
        <w:tc>
          <w:tcPr>
            <w:tcW w:w="5760" w:type="dxa"/>
            <w:tcBorders>
              <w:top w:val="nil"/>
              <w:left w:val="nil"/>
              <w:right w:val="nil"/>
            </w:tcBorders>
            <w:shd w:val="clear" w:color="000000" w:fill="FFFFFF"/>
            <w:noWrap/>
            <w:vAlign w:val="bottom"/>
            <w:hideMark/>
          </w:tcPr>
          <w:p w14:paraId="3CB94D12" w14:textId="77777777" w:rsidR="002A66B3" w:rsidRPr="00730ECF" w:rsidRDefault="002A66B3" w:rsidP="006743EC">
            <w:pPr>
              <w:spacing w:before="120"/>
              <w:ind w:left="165"/>
              <w:rPr>
                <w:rFonts w:cstheme="minorHAnsi"/>
                <w:color w:val="000000"/>
              </w:rPr>
            </w:pPr>
            <w:r w:rsidRPr="00730ECF">
              <w:rPr>
                <w:rFonts w:cstheme="minorHAnsi"/>
                <w:color w:val="000000"/>
              </w:rPr>
              <w:t>Other assets</w:t>
            </w:r>
          </w:p>
        </w:tc>
        <w:tc>
          <w:tcPr>
            <w:tcW w:w="1440" w:type="dxa"/>
            <w:tcBorders>
              <w:top w:val="nil"/>
              <w:left w:val="nil"/>
              <w:right w:val="nil"/>
            </w:tcBorders>
            <w:shd w:val="clear" w:color="000000" w:fill="FFFFFF"/>
            <w:noWrap/>
            <w:vAlign w:val="bottom"/>
          </w:tcPr>
          <w:p w14:paraId="2BCE733F" w14:textId="77777777" w:rsidR="002A66B3" w:rsidRPr="00730ECF" w:rsidRDefault="002A66B3" w:rsidP="006743EC">
            <w:pPr>
              <w:spacing w:before="120"/>
              <w:jc w:val="right"/>
              <w:rPr>
                <w:rFonts w:cstheme="minorHAnsi"/>
              </w:rPr>
            </w:pPr>
            <w:r w:rsidRPr="00730ECF">
              <w:rPr>
                <w:rFonts w:cstheme="minorHAnsi"/>
              </w:rPr>
              <w:t>415</w:t>
            </w:r>
          </w:p>
        </w:tc>
        <w:tc>
          <w:tcPr>
            <w:tcW w:w="1440" w:type="dxa"/>
            <w:tcBorders>
              <w:top w:val="nil"/>
              <w:left w:val="nil"/>
              <w:right w:val="nil"/>
            </w:tcBorders>
            <w:shd w:val="clear" w:color="000000" w:fill="FFFFFF"/>
            <w:vAlign w:val="bottom"/>
          </w:tcPr>
          <w:p w14:paraId="2A280B35" w14:textId="77777777" w:rsidR="002A66B3" w:rsidRPr="002A66B3" w:rsidDel="008D34A6" w:rsidRDefault="002A66B3" w:rsidP="006743EC">
            <w:pPr>
              <w:spacing w:before="120"/>
              <w:jc w:val="right"/>
              <w:rPr>
                <w:rFonts w:cstheme="minorHAnsi"/>
              </w:rPr>
            </w:pPr>
            <w:r w:rsidRPr="00730ECF">
              <w:rPr>
                <w:rFonts w:cstheme="minorHAnsi"/>
              </w:rPr>
              <w:t xml:space="preserve">1,155 </w:t>
            </w:r>
          </w:p>
        </w:tc>
      </w:tr>
      <w:tr w:rsidR="002A66B3" w:rsidRPr="002A66B3" w14:paraId="3801DA3C" w14:textId="77777777" w:rsidTr="00AD1DFC">
        <w:trPr>
          <w:trHeight w:val="108"/>
          <w:jc w:val="center"/>
        </w:trPr>
        <w:tc>
          <w:tcPr>
            <w:tcW w:w="5760" w:type="dxa"/>
            <w:tcBorders>
              <w:top w:val="nil"/>
              <w:left w:val="nil"/>
              <w:bottom w:val="single" w:sz="4" w:space="0" w:color="auto"/>
              <w:right w:val="nil"/>
            </w:tcBorders>
            <w:shd w:val="clear" w:color="000000" w:fill="FFFFFF"/>
            <w:noWrap/>
            <w:vAlign w:val="bottom"/>
            <w:hideMark/>
          </w:tcPr>
          <w:p w14:paraId="6638CD6C" w14:textId="77777777" w:rsidR="002A66B3" w:rsidRPr="00730ECF" w:rsidRDefault="002A66B3" w:rsidP="006743EC">
            <w:pPr>
              <w:spacing w:before="120"/>
              <w:ind w:left="165"/>
              <w:rPr>
                <w:rFonts w:cstheme="minorHAnsi"/>
                <w:color w:val="000000"/>
              </w:rPr>
            </w:pPr>
            <w:r w:rsidRPr="00730ECF">
              <w:rPr>
                <w:rFonts w:cstheme="minorHAnsi"/>
                <w:color w:val="000000"/>
              </w:rPr>
              <w:t>Irrevocable trusts</w:t>
            </w:r>
          </w:p>
        </w:tc>
        <w:tc>
          <w:tcPr>
            <w:tcW w:w="1440" w:type="dxa"/>
            <w:tcBorders>
              <w:top w:val="nil"/>
              <w:left w:val="nil"/>
              <w:bottom w:val="single" w:sz="4" w:space="0" w:color="auto"/>
              <w:right w:val="nil"/>
            </w:tcBorders>
            <w:shd w:val="clear" w:color="000000" w:fill="FFFFFF"/>
            <w:noWrap/>
            <w:vAlign w:val="bottom"/>
          </w:tcPr>
          <w:p w14:paraId="2C2DA298" w14:textId="77777777" w:rsidR="002A66B3" w:rsidRPr="00730ECF" w:rsidRDefault="002A66B3" w:rsidP="006743EC">
            <w:pPr>
              <w:spacing w:before="120"/>
              <w:jc w:val="right"/>
              <w:rPr>
                <w:rFonts w:cstheme="minorHAnsi"/>
              </w:rPr>
            </w:pPr>
            <w:r w:rsidRPr="00730ECF">
              <w:rPr>
                <w:rFonts w:cstheme="minorHAnsi"/>
              </w:rPr>
              <w:t>8,793</w:t>
            </w:r>
          </w:p>
        </w:tc>
        <w:tc>
          <w:tcPr>
            <w:tcW w:w="1440" w:type="dxa"/>
            <w:tcBorders>
              <w:top w:val="nil"/>
              <w:left w:val="nil"/>
              <w:bottom w:val="single" w:sz="4" w:space="0" w:color="auto"/>
              <w:right w:val="nil"/>
            </w:tcBorders>
            <w:shd w:val="clear" w:color="000000" w:fill="FFFFFF"/>
            <w:vAlign w:val="bottom"/>
          </w:tcPr>
          <w:p w14:paraId="6DC36C72" w14:textId="77777777" w:rsidR="002A66B3" w:rsidRPr="002A66B3" w:rsidDel="008D34A6" w:rsidRDefault="002A66B3" w:rsidP="006743EC">
            <w:pPr>
              <w:spacing w:before="120"/>
              <w:jc w:val="right"/>
              <w:rPr>
                <w:rFonts w:cstheme="minorHAnsi"/>
              </w:rPr>
            </w:pPr>
            <w:r w:rsidRPr="00730ECF">
              <w:rPr>
                <w:rFonts w:cstheme="minorHAnsi"/>
              </w:rPr>
              <w:t xml:space="preserve">5,411 </w:t>
            </w:r>
          </w:p>
        </w:tc>
      </w:tr>
      <w:tr w:rsidR="002A66B3" w:rsidRPr="002A66B3" w14:paraId="48968919" w14:textId="77777777" w:rsidTr="00AD1DFC">
        <w:trPr>
          <w:trHeight w:val="70"/>
          <w:jc w:val="center"/>
        </w:trPr>
        <w:tc>
          <w:tcPr>
            <w:tcW w:w="5760" w:type="dxa"/>
            <w:tcBorders>
              <w:top w:val="single" w:sz="4" w:space="0" w:color="auto"/>
              <w:left w:val="nil"/>
              <w:bottom w:val="double" w:sz="4" w:space="0" w:color="auto"/>
              <w:right w:val="nil"/>
            </w:tcBorders>
            <w:noWrap/>
            <w:vAlign w:val="bottom"/>
            <w:hideMark/>
          </w:tcPr>
          <w:p w14:paraId="71B8960B" w14:textId="77777777" w:rsidR="002A66B3" w:rsidRPr="00730ECF" w:rsidRDefault="002A66B3" w:rsidP="006743EC">
            <w:pPr>
              <w:spacing w:before="120"/>
              <w:ind w:left="435"/>
              <w:rPr>
                <w:rFonts w:cstheme="minorHAnsi"/>
                <w:b/>
                <w:bCs/>
                <w:color w:val="000000"/>
              </w:rPr>
            </w:pPr>
            <w:r w:rsidRPr="00730ECF">
              <w:rPr>
                <w:rFonts w:cstheme="minorHAnsi"/>
                <w:b/>
                <w:bCs/>
                <w:color w:val="000000"/>
              </w:rPr>
              <w:t>Total Assets</w:t>
            </w:r>
          </w:p>
        </w:tc>
        <w:tc>
          <w:tcPr>
            <w:tcW w:w="1440" w:type="dxa"/>
            <w:tcBorders>
              <w:top w:val="single" w:sz="4" w:space="0" w:color="auto"/>
              <w:left w:val="nil"/>
              <w:bottom w:val="double" w:sz="4" w:space="0" w:color="auto"/>
              <w:right w:val="nil"/>
            </w:tcBorders>
            <w:noWrap/>
            <w:vAlign w:val="bottom"/>
          </w:tcPr>
          <w:p w14:paraId="5161234C" w14:textId="2FCA5390" w:rsidR="002A66B3" w:rsidRPr="00730ECF" w:rsidRDefault="002A66B3" w:rsidP="006743EC">
            <w:pPr>
              <w:tabs>
                <w:tab w:val="left" w:pos="293"/>
              </w:tabs>
              <w:spacing w:before="120"/>
              <w:jc w:val="right"/>
              <w:rPr>
                <w:rFonts w:cstheme="minorHAnsi"/>
                <w:b/>
                <w:bCs/>
              </w:rPr>
            </w:pPr>
            <w:r w:rsidRPr="00730ECF">
              <w:rPr>
                <w:rFonts w:cstheme="minorHAnsi"/>
                <w:b/>
                <w:bCs/>
              </w:rPr>
              <w:t>$</w:t>
            </w:r>
            <w:r w:rsidR="00D86576">
              <w:rPr>
                <w:rFonts w:cstheme="minorHAnsi"/>
                <w:b/>
                <w:bCs/>
              </w:rPr>
              <w:t xml:space="preserve">       </w:t>
            </w:r>
            <w:r w:rsidRPr="00730ECF">
              <w:rPr>
                <w:rFonts w:cstheme="minorHAnsi"/>
                <w:b/>
                <w:bCs/>
              </w:rPr>
              <w:t>458,332</w:t>
            </w:r>
          </w:p>
        </w:tc>
        <w:tc>
          <w:tcPr>
            <w:tcW w:w="1440" w:type="dxa"/>
            <w:tcBorders>
              <w:top w:val="single" w:sz="4" w:space="0" w:color="auto"/>
              <w:left w:val="nil"/>
              <w:bottom w:val="double" w:sz="4" w:space="0" w:color="auto"/>
              <w:right w:val="nil"/>
            </w:tcBorders>
            <w:vAlign w:val="bottom"/>
          </w:tcPr>
          <w:p w14:paraId="16940BD4" w14:textId="77777777" w:rsidR="002A66B3" w:rsidRPr="00730ECF" w:rsidDel="008D34A6" w:rsidRDefault="002A66B3" w:rsidP="006743EC">
            <w:pPr>
              <w:spacing w:before="120"/>
              <w:jc w:val="right"/>
              <w:rPr>
                <w:rFonts w:cstheme="minorHAnsi"/>
                <w:b/>
                <w:bCs/>
                <w:color w:val="000000"/>
              </w:rPr>
            </w:pPr>
            <w:r w:rsidRPr="00730ECF">
              <w:rPr>
                <w:rFonts w:cstheme="minorHAnsi"/>
                <w:b/>
                <w:bCs/>
              </w:rPr>
              <w:t>$ 390,581</w:t>
            </w:r>
          </w:p>
        </w:tc>
      </w:tr>
      <w:tr w:rsidR="002A66B3" w:rsidRPr="002A66B3" w14:paraId="0ECD9FE6" w14:textId="77777777" w:rsidTr="00AD1DFC">
        <w:trPr>
          <w:trHeight w:val="428"/>
          <w:jc w:val="center"/>
        </w:trPr>
        <w:tc>
          <w:tcPr>
            <w:tcW w:w="5760" w:type="dxa"/>
            <w:tcBorders>
              <w:top w:val="double" w:sz="4" w:space="0" w:color="auto"/>
              <w:left w:val="nil"/>
              <w:bottom w:val="nil"/>
              <w:right w:val="nil"/>
            </w:tcBorders>
            <w:shd w:val="clear" w:color="000000" w:fill="FFFFFF"/>
            <w:noWrap/>
            <w:vAlign w:val="bottom"/>
            <w:hideMark/>
          </w:tcPr>
          <w:p w14:paraId="5216700E" w14:textId="77777777" w:rsidR="002A66B3" w:rsidRPr="00730ECF" w:rsidRDefault="002A66B3" w:rsidP="006743EC">
            <w:pPr>
              <w:spacing w:before="120"/>
              <w:rPr>
                <w:rFonts w:cstheme="minorHAnsi"/>
                <w:b/>
                <w:bCs/>
                <w:color w:val="000000"/>
              </w:rPr>
            </w:pPr>
            <w:r w:rsidRPr="00730ECF">
              <w:rPr>
                <w:rFonts w:cstheme="minorHAnsi"/>
                <w:b/>
                <w:bCs/>
                <w:color w:val="000000"/>
              </w:rPr>
              <w:t>Liabilities</w:t>
            </w:r>
          </w:p>
        </w:tc>
        <w:tc>
          <w:tcPr>
            <w:tcW w:w="1440" w:type="dxa"/>
            <w:tcBorders>
              <w:top w:val="double" w:sz="4" w:space="0" w:color="auto"/>
              <w:left w:val="nil"/>
              <w:right w:val="nil"/>
            </w:tcBorders>
            <w:shd w:val="clear" w:color="000000" w:fill="FFFFFF"/>
            <w:noWrap/>
            <w:vAlign w:val="bottom"/>
          </w:tcPr>
          <w:p w14:paraId="41D5991C" w14:textId="77777777" w:rsidR="002A66B3" w:rsidRPr="00730ECF" w:rsidRDefault="002A66B3" w:rsidP="006743EC">
            <w:pPr>
              <w:spacing w:before="120"/>
              <w:jc w:val="right"/>
              <w:rPr>
                <w:rFonts w:cstheme="minorHAnsi"/>
              </w:rPr>
            </w:pPr>
          </w:p>
        </w:tc>
        <w:tc>
          <w:tcPr>
            <w:tcW w:w="1440" w:type="dxa"/>
            <w:tcBorders>
              <w:top w:val="double" w:sz="4" w:space="0" w:color="auto"/>
              <w:left w:val="nil"/>
              <w:bottom w:val="nil"/>
              <w:right w:val="nil"/>
            </w:tcBorders>
            <w:shd w:val="clear" w:color="000000" w:fill="FFFFFF"/>
            <w:vAlign w:val="bottom"/>
          </w:tcPr>
          <w:p w14:paraId="3A5FA0B6" w14:textId="5D8AF688" w:rsidR="002A66B3" w:rsidRPr="00730ECF" w:rsidDel="008D34A6" w:rsidRDefault="002A66B3" w:rsidP="006743EC">
            <w:pPr>
              <w:spacing w:before="120"/>
              <w:jc w:val="right"/>
              <w:rPr>
                <w:rFonts w:cstheme="minorHAnsi"/>
                <w:color w:val="000000"/>
              </w:rPr>
            </w:pPr>
          </w:p>
        </w:tc>
      </w:tr>
      <w:tr w:rsidR="002A66B3" w:rsidRPr="002A66B3" w14:paraId="5BCA1EB2" w14:textId="77777777" w:rsidTr="003E1080">
        <w:trPr>
          <w:trHeight w:val="80"/>
          <w:jc w:val="center"/>
        </w:trPr>
        <w:tc>
          <w:tcPr>
            <w:tcW w:w="5760" w:type="dxa"/>
            <w:tcBorders>
              <w:top w:val="nil"/>
              <w:left w:val="nil"/>
              <w:bottom w:val="nil"/>
              <w:right w:val="nil"/>
            </w:tcBorders>
            <w:shd w:val="clear" w:color="000000" w:fill="FFFFFF"/>
            <w:noWrap/>
            <w:vAlign w:val="bottom"/>
            <w:hideMark/>
          </w:tcPr>
          <w:p w14:paraId="3BEC87AB" w14:textId="77777777" w:rsidR="002A66B3" w:rsidRPr="00730ECF" w:rsidRDefault="002A66B3" w:rsidP="006743EC">
            <w:pPr>
              <w:spacing w:before="120"/>
              <w:ind w:left="165"/>
              <w:rPr>
                <w:rFonts w:cstheme="minorHAnsi"/>
                <w:color w:val="000000"/>
              </w:rPr>
            </w:pPr>
            <w:r w:rsidRPr="00730ECF">
              <w:rPr>
                <w:rFonts w:cstheme="minorHAnsi"/>
                <w:color w:val="000000"/>
              </w:rPr>
              <w:t>Accounts payable</w:t>
            </w:r>
          </w:p>
        </w:tc>
        <w:tc>
          <w:tcPr>
            <w:tcW w:w="1440" w:type="dxa"/>
            <w:tcBorders>
              <w:left w:val="nil"/>
              <w:bottom w:val="nil"/>
              <w:right w:val="nil"/>
            </w:tcBorders>
            <w:shd w:val="clear" w:color="000000" w:fill="FFFFFF"/>
            <w:noWrap/>
            <w:vAlign w:val="bottom"/>
          </w:tcPr>
          <w:p w14:paraId="7C1D77D8" w14:textId="16270D16" w:rsidR="002A66B3" w:rsidRPr="00730ECF" w:rsidRDefault="002A66B3" w:rsidP="006743EC">
            <w:pPr>
              <w:spacing w:before="120"/>
              <w:jc w:val="right"/>
              <w:rPr>
                <w:rFonts w:eastAsia="Times New Roman" w:cstheme="minorHAnsi"/>
              </w:rPr>
            </w:pPr>
            <w:r w:rsidRPr="00730ECF">
              <w:rPr>
                <w:rFonts w:cstheme="minorHAnsi"/>
              </w:rPr>
              <w:t>$            1,654</w:t>
            </w:r>
          </w:p>
        </w:tc>
        <w:tc>
          <w:tcPr>
            <w:tcW w:w="1440" w:type="dxa"/>
            <w:tcBorders>
              <w:top w:val="nil"/>
              <w:left w:val="nil"/>
              <w:bottom w:val="nil"/>
              <w:right w:val="nil"/>
            </w:tcBorders>
            <w:shd w:val="clear" w:color="000000" w:fill="FFFFFF"/>
            <w:vAlign w:val="bottom"/>
          </w:tcPr>
          <w:p w14:paraId="118BA523" w14:textId="77777777" w:rsidR="002A66B3" w:rsidRPr="002A66B3" w:rsidDel="008D34A6" w:rsidRDefault="002A66B3" w:rsidP="006743EC">
            <w:pPr>
              <w:spacing w:before="120"/>
              <w:jc w:val="right"/>
              <w:rPr>
                <w:rFonts w:cstheme="minorHAnsi"/>
              </w:rPr>
            </w:pPr>
            <w:r w:rsidRPr="00730ECF">
              <w:rPr>
                <w:rFonts w:cstheme="minorHAnsi"/>
              </w:rPr>
              <w:t>$        2,834</w:t>
            </w:r>
          </w:p>
        </w:tc>
      </w:tr>
      <w:tr w:rsidR="002A66B3" w:rsidRPr="002A66B3" w14:paraId="72A11E5C" w14:textId="77777777" w:rsidTr="003E1080">
        <w:trPr>
          <w:trHeight w:val="80"/>
          <w:jc w:val="center"/>
        </w:trPr>
        <w:tc>
          <w:tcPr>
            <w:tcW w:w="5760" w:type="dxa"/>
            <w:tcBorders>
              <w:top w:val="nil"/>
              <w:left w:val="nil"/>
              <w:bottom w:val="nil"/>
              <w:right w:val="nil"/>
            </w:tcBorders>
            <w:shd w:val="clear" w:color="000000" w:fill="FFFFFF"/>
            <w:noWrap/>
            <w:vAlign w:val="bottom"/>
            <w:hideMark/>
          </w:tcPr>
          <w:p w14:paraId="184D7A32" w14:textId="77777777" w:rsidR="002A66B3" w:rsidRPr="00730ECF" w:rsidRDefault="002A66B3" w:rsidP="006743EC">
            <w:pPr>
              <w:spacing w:before="120"/>
              <w:ind w:left="165"/>
              <w:rPr>
                <w:rFonts w:cstheme="minorHAnsi"/>
                <w:color w:val="000000"/>
              </w:rPr>
            </w:pPr>
            <w:r w:rsidRPr="00730ECF">
              <w:rPr>
                <w:rFonts w:cstheme="minorHAnsi"/>
                <w:color w:val="000000"/>
              </w:rPr>
              <w:t>Liabilities under split-interest agreements</w:t>
            </w:r>
          </w:p>
        </w:tc>
        <w:tc>
          <w:tcPr>
            <w:tcW w:w="1440" w:type="dxa"/>
            <w:tcBorders>
              <w:top w:val="nil"/>
              <w:left w:val="nil"/>
              <w:bottom w:val="nil"/>
              <w:right w:val="nil"/>
            </w:tcBorders>
            <w:shd w:val="clear" w:color="000000" w:fill="FFFFFF"/>
            <w:noWrap/>
            <w:vAlign w:val="bottom"/>
          </w:tcPr>
          <w:p w14:paraId="6F558AFB" w14:textId="77777777" w:rsidR="002A66B3" w:rsidRPr="00730ECF" w:rsidRDefault="002A66B3" w:rsidP="006743EC">
            <w:pPr>
              <w:spacing w:before="120"/>
              <w:jc w:val="right"/>
              <w:rPr>
                <w:rFonts w:eastAsia="Times New Roman" w:cstheme="minorHAnsi"/>
              </w:rPr>
            </w:pPr>
            <w:r w:rsidRPr="00730ECF">
              <w:rPr>
                <w:rFonts w:cstheme="minorHAnsi"/>
              </w:rPr>
              <w:t>2,054</w:t>
            </w:r>
          </w:p>
        </w:tc>
        <w:tc>
          <w:tcPr>
            <w:tcW w:w="1440" w:type="dxa"/>
            <w:tcBorders>
              <w:top w:val="nil"/>
              <w:left w:val="nil"/>
              <w:bottom w:val="nil"/>
              <w:right w:val="nil"/>
            </w:tcBorders>
            <w:shd w:val="clear" w:color="000000" w:fill="FFFFFF"/>
            <w:vAlign w:val="bottom"/>
          </w:tcPr>
          <w:p w14:paraId="3FC1AF94" w14:textId="77777777" w:rsidR="002A66B3" w:rsidRPr="002A66B3" w:rsidDel="008D34A6" w:rsidRDefault="002A66B3" w:rsidP="006743EC">
            <w:pPr>
              <w:spacing w:before="120"/>
              <w:jc w:val="right"/>
              <w:rPr>
                <w:rFonts w:cstheme="minorHAnsi"/>
              </w:rPr>
            </w:pPr>
            <w:r w:rsidRPr="00730ECF">
              <w:rPr>
                <w:rFonts w:cstheme="minorHAnsi"/>
              </w:rPr>
              <w:t>2,138</w:t>
            </w:r>
          </w:p>
        </w:tc>
      </w:tr>
      <w:tr w:rsidR="002A66B3" w:rsidRPr="002A66B3" w14:paraId="01438875" w14:textId="77777777" w:rsidTr="003E1080">
        <w:trPr>
          <w:trHeight w:val="80"/>
          <w:jc w:val="center"/>
        </w:trPr>
        <w:tc>
          <w:tcPr>
            <w:tcW w:w="5760" w:type="dxa"/>
            <w:tcBorders>
              <w:top w:val="nil"/>
              <w:left w:val="nil"/>
              <w:bottom w:val="nil"/>
              <w:right w:val="nil"/>
            </w:tcBorders>
            <w:shd w:val="clear" w:color="000000" w:fill="FFFFFF"/>
            <w:noWrap/>
            <w:vAlign w:val="bottom"/>
            <w:hideMark/>
          </w:tcPr>
          <w:p w14:paraId="4513A1AD" w14:textId="77777777" w:rsidR="002A66B3" w:rsidRPr="00730ECF" w:rsidRDefault="002A66B3" w:rsidP="006743EC">
            <w:pPr>
              <w:spacing w:before="120"/>
              <w:ind w:left="165"/>
              <w:rPr>
                <w:rFonts w:cstheme="minorHAnsi"/>
                <w:color w:val="000000"/>
              </w:rPr>
            </w:pPr>
            <w:r w:rsidRPr="00730ECF">
              <w:rPr>
                <w:rFonts w:cstheme="minorHAnsi"/>
                <w:color w:val="000000"/>
              </w:rPr>
              <w:t>Accrued expenses</w:t>
            </w:r>
          </w:p>
        </w:tc>
        <w:tc>
          <w:tcPr>
            <w:tcW w:w="1440" w:type="dxa"/>
            <w:tcBorders>
              <w:top w:val="nil"/>
              <w:left w:val="nil"/>
              <w:bottom w:val="nil"/>
              <w:right w:val="nil"/>
            </w:tcBorders>
            <w:shd w:val="clear" w:color="000000" w:fill="FFFFFF"/>
            <w:noWrap/>
            <w:vAlign w:val="bottom"/>
          </w:tcPr>
          <w:p w14:paraId="1D2E35C1" w14:textId="77777777" w:rsidR="002A66B3" w:rsidRPr="00730ECF" w:rsidRDefault="002A66B3" w:rsidP="006743EC">
            <w:pPr>
              <w:spacing w:before="120"/>
              <w:jc w:val="right"/>
              <w:rPr>
                <w:rFonts w:eastAsia="Times New Roman" w:cstheme="minorHAnsi"/>
              </w:rPr>
            </w:pPr>
            <w:r w:rsidRPr="00730ECF">
              <w:rPr>
                <w:rFonts w:cstheme="minorHAnsi"/>
              </w:rPr>
              <w:t>1,339</w:t>
            </w:r>
          </w:p>
        </w:tc>
        <w:tc>
          <w:tcPr>
            <w:tcW w:w="1440" w:type="dxa"/>
            <w:tcBorders>
              <w:top w:val="nil"/>
              <w:left w:val="nil"/>
              <w:bottom w:val="nil"/>
              <w:right w:val="nil"/>
            </w:tcBorders>
            <w:shd w:val="clear" w:color="000000" w:fill="FFFFFF"/>
            <w:vAlign w:val="bottom"/>
          </w:tcPr>
          <w:p w14:paraId="10D0E0AB" w14:textId="77777777" w:rsidR="002A66B3" w:rsidRPr="002A66B3" w:rsidDel="008D34A6" w:rsidRDefault="002A66B3" w:rsidP="006743EC">
            <w:pPr>
              <w:spacing w:before="120"/>
              <w:jc w:val="right"/>
              <w:rPr>
                <w:rFonts w:cstheme="minorHAnsi"/>
              </w:rPr>
            </w:pPr>
            <w:r w:rsidRPr="00730ECF">
              <w:rPr>
                <w:rFonts w:cstheme="minorHAnsi"/>
              </w:rPr>
              <w:t>1,285</w:t>
            </w:r>
          </w:p>
        </w:tc>
      </w:tr>
      <w:tr w:rsidR="002A66B3" w:rsidRPr="002A66B3" w14:paraId="7FD70D53" w14:textId="77777777" w:rsidTr="003E1080">
        <w:trPr>
          <w:trHeight w:val="80"/>
          <w:jc w:val="center"/>
        </w:trPr>
        <w:tc>
          <w:tcPr>
            <w:tcW w:w="5760" w:type="dxa"/>
            <w:tcBorders>
              <w:top w:val="nil"/>
              <w:left w:val="nil"/>
              <w:bottom w:val="nil"/>
              <w:right w:val="nil"/>
            </w:tcBorders>
            <w:shd w:val="clear" w:color="000000" w:fill="FFFFFF"/>
            <w:noWrap/>
            <w:vAlign w:val="bottom"/>
            <w:hideMark/>
          </w:tcPr>
          <w:p w14:paraId="3193C853" w14:textId="77777777" w:rsidR="002A66B3" w:rsidRPr="00730ECF" w:rsidRDefault="002A66B3" w:rsidP="006743EC">
            <w:pPr>
              <w:spacing w:before="120"/>
              <w:ind w:left="165"/>
              <w:rPr>
                <w:rFonts w:cstheme="minorHAnsi"/>
                <w:color w:val="000000"/>
              </w:rPr>
            </w:pPr>
            <w:r w:rsidRPr="00730ECF">
              <w:rPr>
                <w:rFonts w:cstheme="minorHAnsi"/>
                <w:color w:val="000000"/>
              </w:rPr>
              <w:t>Deferred revenue</w:t>
            </w:r>
          </w:p>
        </w:tc>
        <w:tc>
          <w:tcPr>
            <w:tcW w:w="1440" w:type="dxa"/>
            <w:tcBorders>
              <w:top w:val="nil"/>
              <w:left w:val="nil"/>
              <w:bottom w:val="nil"/>
              <w:right w:val="nil"/>
            </w:tcBorders>
            <w:shd w:val="clear" w:color="000000" w:fill="FFFFFF"/>
            <w:noWrap/>
            <w:vAlign w:val="bottom"/>
          </w:tcPr>
          <w:p w14:paraId="0D78E6C1" w14:textId="77777777" w:rsidR="002A66B3" w:rsidRPr="00730ECF" w:rsidRDefault="002A66B3" w:rsidP="006743EC">
            <w:pPr>
              <w:spacing w:before="120"/>
              <w:jc w:val="right"/>
              <w:rPr>
                <w:rFonts w:eastAsia="Times New Roman" w:cstheme="minorHAnsi"/>
              </w:rPr>
            </w:pPr>
            <w:r w:rsidRPr="00730ECF">
              <w:rPr>
                <w:rFonts w:cstheme="minorHAnsi"/>
              </w:rPr>
              <w:t>1,959</w:t>
            </w:r>
          </w:p>
        </w:tc>
        <w:tc>
          <w:tcPr>
            <w:tcW w:w="1440" w:type="dxa"/>
            <w:tcBorders>
              <w:top w:val="nil"/>
              <w:left w:val="nil"/>
              <w:bottom w:val="nil"/>
              <w:right w:val="nil"/>
            </w:tcBorders>
            <w:shd w:val="clear" w:color="000000" w:fill="FFFFFF"/>
            <w:vAlign w:val="bottom"/>
          </w:tcPr>
          <w:p w14:paraId="72394257" w14:textId="77777777" w:rsidR="002A66B3" w:rsidRPr="002A66B3" w:rsidDel="008D34A6" w:rsidRDefault="002A66B3" w:rsidP="006743EC">
            <w:pPr>
              <w:spacing w:before="120"/>
              <w:jc w:val="right"/>
              <w:rPr>
                <w:rFonts w:cstheme="minorHAnsi"/>
              </w:rPr>
            </w:pPr>
            <w:r w:rsidRPr="00730ECF">
              <w:rPr>
                <w:rFonts w:cstheme="minorHAnsi"/>
              </w:rPr>
              <w:t>1,947</w:t>
            </w:r>
          </w:p>
        </w:tc>
      </w:tr>
      <w:tr w:rsidR="002A66B3" w:rsidRPr="002A66B3" w14:paraId="640A2198" w14:textId="77777777" w:rsidTr="003E1080">
        <w:trPr>
          <w:trHeight w:val="80"/>
          <w:jc w:val="center"/>
        </w:trPr>
        <w:tc>
          <w:tcPr>
            <w:tcW w:w="5760" w:type="dxa"/>
            <w:tcBorders>
              <w:top w:val="nil"/>
              <w:left w:val="nil"/>
              <w:bottom w:val="nil"/>
              <w:right w:val="nil"/>
            </w:tcBorders>
            <w:shd w:val="clear" w:color="000000" w:fill="FFFFFF"/>
            <w:noWrap/>
            <w:vAlign w:val="bottom"/>
            <w:hideMark/>
          </w:tcPr>
          <w:p w14:paraId="043B673A" w14:textId="77777777" w:rsidR="002A66B3" w:rsidRPr="00730ECF" w:rsidRDefault="002A66B3" w:rsidP="006743EC">
            <w:pPr>
              <w:spacing w:before="120"/>
              <w:ind w:left="165"/>
              <w:rPr>
                <w:rFonts w:cstheme="minorHAnsi"/>
                <w:color w:val="000000"/>
              </w:rPr>
            </w:pPr>
            <w:r w:rsidRPr="00730ECF">
              <w:rPr>
                <w:rFonts w:cstheme="minorHAnsi"/>
                <w:color w:val="000000"/>
              </w:rPr>
              <w:t>Custodial accounts payable</w:t>
            </w:r>
          </w:p>
        </w:tc>
        <w:tc>
          <w:tcPr>
            <w:tcW w:w="1440" w:type="dxa"/>
            <w:tcBorders>
              <w:top w:val="nil"/>
              <w:left w:val="nil"/>
              <w:bottom w:val="single" w:sz="4" w:space="0" w:color="auto"/>
              <w:right w:val="nil"/>
            </w:tcBorders>
            <w:shd w:val="clear" w:color="000000" w:fill="FFFFFF"/>
            <w:noWrap/>
            <w:vAlign w:val="bottom"/>
          </w:tcPr>
          <w:p w14:paraId="75F3BF95" w14:textId="77777777" w:rsidR="002A66B3" w:rsidRPr="00730ECF" w:rsidRDefault="002A66B3" w:rsidP="006743EC">
            <w:pPr>
              <w:spacing w:before="120"/>
              <w:jc w:val="right"/>
              <w:rPr>
                <w:rFonts w:eastAsia="Times New Roman" w:cstheme="minorHAnsi"/>
              </w:rPr>
            </w:pPr>
            <w:r w:rsidRPr="00730ECF">
              <w:rPr>
                <w:rFonts w:cstheme="minorHAnsi"/>
              </w:rPr>
              <w:t>4,233</w:t>
            </w:r>
          </w:p>
        </w:tc>
        <w:tc>
          <w:tcPr>
            <w:tcW w:w="1440" w:type="dxa"/>
            <w:tcBorders>
              <w:top w:val="nil"/>
              <w:left w:val="nil"/>
              <w:bottom w:val="single" w:sz="4" w:space="0" w:color="000000"/>
              <w:right w:val="nil"/>
            </w:tcBorders>
            <w:shd w:val="clear" w:color="000000" w:fill="FFFFFF"/>
            <w:vAlign w:val="bottom"/>
          </w:tcPr>
          <w:p w14:paraId="2309BB14" w14:textId="77777777" w:rsidR="002A66B3" w:rsidRPr="002A66B3" w:rsidDel="008D34A6" w:rsidRDefault="002A66B3" w:rsidP="006743EC">
            <w:pPr>
              <w:spacing w:before="120"/>
              <w:jc w:val="right"/>
              <w:rPr>
                <w:rFonts w:cstheme="minorHAnsi"/>
              </w:rPr>
            </w:pPr>
            <w:r w:rsidRPr="00730ECF">
              <w:rPr>
                <w:rFonts w:cstheme="minorHAnsi"/>
              </w:rPr>
              <w:t>3,871</w:t>
            </w:r>
          </w:p>
        </w:tc>
      </w:tr>
      <w:tr w:rsidR="002A66B3" w:rsidRPr="002A66B3" w14:paraId="4B5FE342" w14:textId="77777777" w:rsidTr="003E1080">
        <w:trPr>
          <w:trHeight w:val="70"/>
          <w:jc w:val="center"/>
        </w:trPr>
        <w:tc>
          <w:tcPr>
            <w:tcW w:w="5760" w:type="dxa"/>
            <w:tcBorders>
              <w:top w:val="single" w:sz="4" w:space="0" w:color="000000"/>
              <w:left w:val="nil"/>
              <w:bottom w:val="single" w:sz="4" w:space="0" w:color="000000"/>
              <w:right w:val="nil"/>
            </w:tcBorders>
            <w:noWrap/>
            <w:vAlign w:val="bottom"/>
            <w:hideMark/>
          </w:tcPr>
          <w:p w14:paraId="7FFDCE03" w14:textId="77777777" w:rsidR="002A66B3" w:rsidRPr="00730ECF" w:rsidRDefault="002A66B3" w:rsidP="006743EC">
            <w:pPr>
              <w:spacing w:before="120"/>
              <w:ind w:left="435"/>
              <w:rPr>
                <w:rFonts w:cstheme="minorHAnsi"/>
                <w:b/>
                <w:bCs/>
                <w:color w:val="000000"/>
              </w:rPr>
            </w:pPr>
            <w:r w:rsidRPr="00730ECF">
              <w:rPr>
                <w:rFonts w:cstheme="minorHAnsi"/>
                <w:b/>
                <w:bCs/>
                <w:color w:val="000000"/>
              </w:rPr>
              <w:t>Total Liabilities</w:t>
            </w:r>
          </w:p>
        </w:tc>
        <w:tc>
          <w:tcPr>
            <w:tcW w:w="1440" w:type="dxa"/>
            <w:tcBorders>
              <w:top w:val="single" w:sz="4" w:space="0" w:color="auto"/>
              <w:left w:val="nil"/>
              <w:bottom w:val="single" w:sz="4" w:space="0" w:color="auto"/>
              <w:right w:val="nil"/>
            </w:tcBorders>
            <w:shd w:val="clear" w:color="000000" w:fill="FFFFFF"/>
            <w:noWrap/>
            <w:vAlign w:val="bottom"/>
          </w:tcPr>
          <w:p w14:paraId="46D54C4A" w14:textId="77777777" w:rsidR="002A66B3" w:rsidRPr="00730ECF" w:rsidRDefault="002A66B3" w:rsidP="006743EC">
            <w:pPr>
              <w:spacing w:before="120"/>
              <w:jc w:val="right"/>
              <w:rPr>
                <w:rFonts w:eastAsia="Times New Roman" w:cstheme="minorHAnsi"/>
              </w:rPr>
            </w:pPr>
            <w:r w:rsidRPr="00730ECF">
              <w:rPr>
                <w:rFonts w:cstheme="minorHAnsi"/>
              </w:rPr>
              <w:t>11,239</w:t>
            </w:r>
          </w:p>
        </w:tc>
        <w:tc>
          <w:tcPr>
            <w:tcW w:w="1440" w:type="dxa"/>
            <w:tcBorders>
              <w:top w:val="nil"/>
              <w:left w:val="nil"/>
              <w:bottom w:val="single" w:sz="4" w:space="0" w:color="000000"/>
              <w:right w:val="nil"/>
            </w:tcBorders>
            <w:shd w:val="clear" w:color="000000" w:fill="FFFFFF"/>
            <w:vAlign w:val="bottom"/>
          </w:tcPr>
          <w:p w14:paraId="7FDC8ED1" w14:textId="77777777" w:rsidR="002A66B3" w:rsidRPr="002A66B3" w:rsidDel="008D34A6" w:rsidRDefault="002A66B3" w:rsidP="006743EC">
            <w:pPr>
              <w:spacing w:before="120"/>
              <w:jc w:val="right"/>
              <w:rPr>
                <w:rFonts w:cstheme="minorHAnsi"/>
              </w:rPr>
            </w:pPr>
            <w:r w:rsidRPr="00730ECF">
              <w:rPr>
                <w:rFonts w:cstheme="minorHAnsi"/>
              </w:rPr>
              <w:t>12,075</w:t>
            </w:r>
          </w:p>
        </w:tc>
      </w:tr>
      <w:tr w:rsidR="002A66B3" w:rsidRPr="002A66B3" w14:paraId="43F37F7D" w14:textId="77777777" w:rsidTr="003E1080">
        <w:trPr>
          <w:trHeight w:val="70"/>
          <w:jc w:val="center"/>
        </w:trPr>
        <w:tc>
          <w:tcPr>
            <w:tcW w:w="5760" w:type="dxa"/>
            <w:tcBorders>
              <w:top w:val="nil"/>
              <w:left w:val="nil"/>
              <w:bottom w:val="nil"/>
              <w:right w:val="nil"/>
            </w:tcBorders>
            <w:shd w:val="clear" w:color="000000" w:fill="FFFFFF"/>
            <w:noWrap/>
            <w:vAlign w:val="bottom"/>
            <w:hideMark/>
          </w:tcPr>
          <w:p w14:paraId="389E3438" w14:textId="77777777" w:rsidR="002A66B3" w:rsidRPr="00730ECF" w:rsidRDefault="002A66B3" w:rsidP="006743EC">
            <w:pPr>
              <w:spacing w:before="120"/>
              <w:rPr>
                <w:rFonts w:cstheme="minorHAnsi"/>
                <w:b/>
                <w:bCs/>
                <w:color w:val="000000"/>
              </w:rPr>
            </w:pPr>
            <w:r w:rsidRPr="00730ECF">
              <w:rPr>
                <w:rFonts w:cstheme="minorHAnsi"/>
                <w:b/>
                <w:bCs/>
                <w:color w:val="000000"/>
              </w:rPr>
              <w:t>Net Assets</w:t>
            </w:r>
          </w:p>
        </w:tc>
        <w:tc>
          <w:tcPr>
            <w:tcW w:w="1440" w:type="dxa"/>
            <w:tcBorders>
              <w:top w:val="single" w:sz="4" w:space="0" w:color="auto"/>
              <w:left w:val="nil"/>
              <w:right w:val="nil"/>
            </w:tcBorders>
            <w:shd w:val="clear" w:color="000000" w:fill="FFFFFF"/>
            <w:noWrap/>
            <w:vAlign w:val="bottom"/>
          </w:tcPr>
          <w:p w14:paraId="284608A2" w14:textId="4CA85AAD" w:rsidR="002A66B3" w:rsidRPr="00730ECF" w:rsidRDefault="002A66B3" w:rsidP="006743EC">
            <w:pPr>
              <w:spacing w:before="120"/>
              <w:jc w:val="right"/>
              <w:rPr>
                <w:rFonts w:cstheme="minorHAnsi"/>
              </w:rPr>
            </w:pPr>
          </w:p>
        </w:tc>
        <w:tc>
          <w:tcPr>
            <w:tcW w:w="1440" w:type="dxa"/>
            <w:tcBorders>
              <w:top w:val="nil"/>
              <w:left w:val="nil"/>
              <w:bottom w:val="nil"/>
              <w:right w:val="nil"/>
            </w:tcBorders>
            <w:shd w:val="clear" w:color="000000" w:fill="FFFFFF"/>
            <w:vAlign w:val="bottom"/>
          </w:tcPr>
          <w:p w14:paraId="21C602D9" w14:textId="16EF74B3" w:rsidR="002A66B3" w:rsidRPr="00730ECF" w:rsidDel="008D34A6" w:rsidRDefault="002A66B3" w:rsidP="006743EC">
            <w:pPr>
              <w:spacing w:before="120"/>
              <w:jc w:val="right"/>
              <w:rPr>
                <w:rFonts w:cstheme="minorHAnsi"/>
                <w:color w:val="000000"/>
              </w:rPr>
            </w:pPr>
          </w:p>
        </w:tc>
      </w:tr>
      <w:tr w:rsidR="002A66B3" w:rsidRPr="002A66B3" w14:paraId="5A399A2A" w14:textId="77777777" w:rsidTr="003E1080">
        <w:trPr>
          <w:trHeight w:val="80"/>
          <w:jc w:val="center"/>
        </w:trPr>
        <w:tc>
          <w:tcPr>
            <w:tcW w:w="5760" w:type="dxa"/>
            <w:tcBorders>
              <w:top w:val="nil"/>
              <w:left w:val="nil"/>
              <w:bottom w:val="nil"/>
              <w:right w:val="nil"/>
            </w:tcBorders>
            <w:shd w:val="clear" w:color="000000" w:fill="FFFFFF"/>
            <w:noWrap/>
            <w:vAlign w:val="bottom"/>
            <w:hideMark/>
          </w:tcPr>
          <w:p w14:paraId="6656C95F" w14:textId="77777777" w:rsidR="002A66B3" w:rsidRPr="00730ECF" w:rsidRDefault="002A66B3" w:rsidP="006743EC">
            <w:pPr>
              <w:spacing w:before="120"/>
              <w:ind w:left="165"/>
              <w:rPr>
                <w:rFonts w:cstheme="minorHAnsi"/>
                <w:color w:val="000000"/>
              </w:rPr>
            </w:pPr>
            <w:r w:rsidRPr="00730ECF">
              <w:rPr>
                <w:rFonts w:cstheme="minorHAnsi"/>
                <w:color w:val="000000"/>
              </w:rPr>
              <w:t>Without donor restrictions</w:t>
            </w:r>
          </w:p>
        </w:tc>
        <w:tc>
          <w:tcPr>
            <w:tcW w:w="1440" w:type="dxa"/>
            <w:tcBorders>
              <w:left w:val="nil"/>
              <w:bottom w:val="nil"/>
              <w:right w:val="nil"/>
            </w:tcBorders>
            <w:shd w:val="clear" w:color="000000" w:fill="FFFFFF"/>
            <w:noWrap/>
            <w:vAlign w:val="bottom"/>
          </w:tcPr>
          <w:p w14:paraId="2A783F3E" w14:textId="77777777" w:rsidR="002A66B3" w:rsidRPr="00730ECF" w:rsidRDefault="002A66B3" w:rsidP="006743EC">
            <w:pPr>
              <w:spacing w:before="120"/>
              <w:jc w:val="right"/>
              <w:rPr>
                <w:rFonts w:eastAsia="Times New Roman" w:cstheme="minorHAnsi"/>
              </w:rPr>
            </w:pPr>
            <w:r w:rsidRPr="00730ECF">
              <w:rPr>
                <w:rFonts w:cstheme="minorHAnsi"/>
              </w:rPr>
              <w:t>19,322</w:t>
            </w:r>
          </w:p>
        </w:tc>
        <w:tc>
          <w:tcPr>
            <w:tcW w:w="1440" w:type="dxa"/>
            <w:tcBorders>
              <w:top w:val="nil"/>
              <w:left w:val="nil"/>
              <w:bottom w:val="nil"/>
              <w:right w:val="nil"/>
            </w:tcBorders>
            <w:vAlign w:val="bottom"/>
          </w:tcPr>
          <w:p w14:paraId="621EFF6B" w14:textId="77777777" w:rsidR="002A66B3" w:rsidRPr="002A66B3" w:rsidDel="008D34A6" w:rsidRDefault="002A66B3" w:rsidP="006743EC">
            <w:pPr>
              <w:spacing w:before="120"/>
              <w:jc w:val="right"/>
              <w:rPr>
                <w:rFonts w:cstheme="minorHAnsi"/>
              </w:rPr>
            </w:pPr>
            <w:r w:rsidRPr="00730ECF">
              <w:rPr>
                <w:rFonts w:cstheme="minorHAnsi"/>
              </w:rPr>
              <w:t>18,110</w:t>
            </w:r>
          </w:p>
        </w:tc>
      </w:tr>
      <w:tr w:rsidR="002A66B3" w:rsidRPr="002A66B3" w14:paraId="21621DC3" w14:textId="77777777" w:rsidTr="00AD1DFC">
        <w:trPr>
          <w:trHeight w:val="80"/>
          <w:jc w:val="center"/>
        </w:trPr>
        <w:tc>
          <w:tcPr>
            <w:tcW w:w="5760" w:type="dxa"/>
            <w:tcBorders>
              <w:top w:val="nil"/>
              <w:left w:val="nil"/>
              <w:right w:val="nil"/>
            </w:tcBorders>
            <w:shd w:val="clear" w:color="000000" w:fill="FFFFFF"/>
            <w:noWrap/>
            <w:vAlign w:val="bottom"/>
            <w:hideMark/>
          </w:tcPr>
          <w:p w14:paraId="6EDC257B" w14:textId="77777777" w:rsidR="002A66B3" w:rsidRPr="00730ECF" w:rsidRDefault="002A66B3" w:rsidP="006743EC">
            <w:pPr>
              <w:spacing w:before="120"/>
              <w:ind w:left="165"/>
              <w:rPr>
                <w:rFonts w:cstheme="minorHAnsi"/>
                <w:color w:val="000000"/>
              </w:rPr>
            </w:pPr>
            <w:r w:rsidRPr="00730ECF">
              <w:rPr>
                <w:rFonts w:cstheme="minorHAnsi"/>
                <w:color w:val="000000"/>
              </w:rPr>
              <w:t>With donor restrictions</w:t>
            </w:r>
          </w:p>
        </w:tc>
        <w:tc>
          <w:tcPr>
            <w:tcW w:w="1440" w:type="dxa"/>
            <w:tcBorders>
              <w:top w:val="nil"/>
              <w:left w:val="nil"/>
              <w:right w:val="nil"/>
            </w:tcBorders>
            <w:noWrap/>
            <w:vAlign w:val="bottom"/>
          </w:tcPr>
          <w:p w14:paraId="0E96D2ED" w14:textId="3DEE2141" w:rsidR="002A66B3" w:rsidRPr="00730ECF" w:rsidRDefault="002A66B3" w:rsidP="006743EC">
            <w:pPr>
              <w:spacing w:before="120"/>
              <w:jc w:val="right"/>
              <w:rPr>
                <w:rFonts w:eastAsia="Times New Roman" w:cstheme="minorHAnsi"/>
              </w:rPr>
            </w:pPr>
            <w:r w:rsidRPr="00730ECF">
              <w:rPr>
                <w:rFonts w:cstheme="minorHAnsi"/>
              </w:rPr>
              <w:t>427,</w:t>
            </w:r>
            <w:r w:rsidR="003E46D5">
              <w:rPr>
                <w:rFonts w:cstheme="minorHAnsi"/>
              </w:rPr>
              <w:t>771</w:t>
            </w:r>
          </w:p>
        </w:tc>
        <w:tc>
          <w:tcPr>
            <w:tcW w:w="1440" w:type="dxa"/>
            <w:tcBorders>
              <w:top w:val="nil"/>
              <w:left w:val="nil"/>
              <w:right w:val="nil"/>
            </w:tcBorders>
            <w:shd w:val="clear" w:color="000000" w:fill="FFFFFF"/>
            <w:vAlign w:val="bottom"/>
          </w:tcPr>
          <w:p w14:paraId="4B268FA9" w14:textId="77777777" w:rsidR="002A66B3" w:rsidRPr="002A66B3" w:rsidDel="008D34A6" w:rsidRDefault="002A66B3" w:rsidP="006743EC">
            <w:pPr>
              <w:spacing w:before="120"/>
              <w:jc w:val="right"/>
              <w:rPr>
                <w:rFonts w:cstheme="minorHAnsi"/>
              </w:rPr>
            </w:pPr>
            <w:r w:rsidRPr="00730ECF">
              <w:rPr>
                <w:rFonts w:cstheme="minorHAnsi"/>
              </w:rPr>
              <w:t>360,396</w:t>
            </w:r>
          </w:p>
        </w:tc>
      </w:tr>
      <w:tr w:rsidR="002A66B3" w:rsidRPr="002A66B3" w14:paraId="472D0095" w14:textId="77777777" w:rsidTr="00AD1DFC">
        <w:trPr>
          <w:trHeight w:val="70"/>
          <w:jc w:val="center"/>
        </w:trPr>
        <w:tc>
          <w:tcPr>
            <w:tcW w:w="5760" w:type="dxa"/>
            <w:tcBorders>
              <w:left w:val="nil"/>
              <w:bottom w:val="single" w:sz="4" w:space="0" w:color="auto"/>
              <w:right w:val="nil"/>
            </w:tcBorders>
            <w:noWrap/>
            <w:vAlign w:val="bottom"/>
            <w:hideMark/>
          </w:tcPr>
          <w:p w14:paraId="4C1C93BC" w14:textId="77777777" w:rsidR="002A66B3" w:rsidRPr="00730ECF" w:rsidRDefault="002A66B3" w:rsidP="006743EC">
            <w:pPr>
              <w:spacing w:before="120"/>
              <w:ind w:left="435"/>
              <w:rPr>
                <w:rFonts w:cstheme="minorHAnsi"/>
                <w:b/>
                <w:bCs/>
                <w:color w:val="000000"/>
              </w:rPr>
            </w:pPr>
            <w:r w:rsidRPr="00730ECF">
              <w:rPr>
                <w:rFonts w:cstheme="minorHAnsi"/>
                <w:b/>
                <w:bCs/>
                <w:color w:val="000000"/>
              </w:rPr>
              <w:t>Total Net Assets</w:t>
            </w:r>
          </w:p>
        </w:tc>
        <w:tc>
          <w:tcPr>
            <w:tcW w:w="1440" w:type="dxa"/>
            <w:tcBorders>
              <w:left w:val="nil"/>
              <w:bottom w:val="single" w:sz="4" w:space="0" w:color="auto"/>
              <w:right w:val="nil"/>
            </w:tcBorders>
            <w:shd w:val="clear" w:color="000000" w:fill="FFFFFF"/>
            <w:noWrap/>
            <w:vAlign w:val="bottom"/>
          </w:tcPr>
          <w:p w14:paraId="7F5C8196" w14:textId="71B8535B" w:rsidR="002A66B3" w:rsidRPr="00730ECF" w:rsidRDefault="003E46D5" w:rsidP="006743EC">
            <w:pPr>
              <w:spacing w:before="120"/>
              <w:jc w:val="right"/>
              <w:rPr>
                <w:rFonts w:eastAsia="Times New Roman" w:cstheme="minorHAnsi"/>
              </w:rPr>
            </w:pPr>
            <w:r w:rsidRPr="00730ECF">
              <w:rPr>
                <w:rFonts w:cstheme="minorHAnsi"/>
              </w:rPr>
              <w:t>44</w:t>
            </w:r>
            <w:r>
              <w:rPr>
                <w:rFonts w:cstheme="minorHAnsi"/>
              </w:rPr>
              <w:t>7</w:t>
            </w:r>
            <w:r w:rsidR="002A66B3" w:rsidRPr="00730ECF">
              <w:rPr>
                <w:rFonts w:cstheme="minorHAnsi"/>
              </w:rPr>
              <w:t>,</w:t>
            </w:r>
            <w:r>
              <w:rPr>
                <w:rFonts w:cstheme="minorHAnsi"/>
              </w:rPr>
              <w:t>093</w:t>
            </w:r>
          </w:p>
        </w:tc>
        <w:tc>
          <w:tcPr>
            <w:tcW w:w="1440" w:type="dxa"/>
            <w:tcBorders>
              <w:left w:val="nil"/>
              <w:bottom w:val="single" w:sz="4" w:space="0" w:color="auto"/>
              <w:right w:val="nil"/>
            </w:tcBorders>
            <w:shd w:val="clear" w:color="000000" w:fill="FFFFFF"/>
            <w:vAlign w:val="bottom"/>
          </w:tcPr>
          <w:p w14:paraId="1AE46615" w14:textId="77777777" w:rsidR="002A66B3" w:rsidRPr="002A66B3" w:rsidDel="008D34A6" w:rsidRDefault="002A66B3" w:rsidP="006743EC">
            <w:pPr>
              <w:spacing w:before="120"/>
              <w:jc w:val="right"/>
              <w:rPr>
                <w:rFonts w:cstheme="minorHAnsi"/>
              </w:rPr>
            </w:pPr>
            <w:r w:rsidRPr="00730ECF">
              <w:rPr>
                <w:rFonts w:cstheme="minorHAnsi"/>
              </w:rPr>
              <w:t>378,506</w:t>
            </w:r>
          </w:p>
        </w:tc>
      </w:tr>
      <w:tr w:rsidR="002A66B3" w:rsidRPr="00D441AA" w14:paraId="1376E234" w14:textId="77777777" w:rsidTr="00AD1DFC">
        <w:trPr>
          <w:trHeight w:val="70"/>
          <w:jc w:val="center"/>
        </w:trPr>
        <w:tc>
          <w:tcPr>
            <w:tcW w:w="5760" w:type="dxa"/>
            <w:tcBorders>
              <w:top w:val="single" w:sz="4" w:space="0" w:color="auto"/>
              <w:left w:val="nil"/>
              <w:bottom w:val="double" w:sz="4" w:space="0" w:color="auto"/>
              <w:right w:val="nil"/>
            </w:tcBorders>
            <w:noWrap/>
            <w:vAlign w:val="bottom"/>
            <w:hideMark/>
          </w:tcPr>
          <w:p w14:paraId="247C1C83" w14:textId="77777777" w:rsidR="002A66B3" w:rsidRPr="00730ECF" w:rsidRDefault="002A66B3" w:rsidP="006743EC">
            <w:pPr>
              <w:spacing w:before="120"/>
              <w:ind w:left="435"/>
              <w:rPr>
                <w:rFonts w:cstheme="minorHAnsi"/>
                <w:b/>
                <w:bCs/>
                <w:color w:val="000000"/>
              </w:rPr>
            </w:pPr>
            <w:r w:rsidRPr="00730ECF">
              <w:rPr>
                <w:rFonts w:cstheme="minorHAnsi"/>
                <w:b/>
                <w:bCs/>
                <w:color w:val="000000"/>
              </w:rPr>
              <w:t>Total Liabilities and Net Assets</w:t>
            </w:r>
          </w:p>
        </w:tc>
        <w:tc>
          <w:tcPr>
            <w:tcW w:w="1440" w:type="dxa"/>
            <w:tcBorders>
              <w:top w:val="single" w:sz="4" w:space="0" w:color="auto"/>
              <w:left w:val="nil"/>
              <w:bottom w:val="double" w:sz="4" w:space="0" w:color="auto"/>
              <w:right w:val="nil"/>
            </w:tcBorders>
            <w:shd w:val="clear" w:color="000000" w:fill="FFFFFF"/>
            <w:noWrap/>
            <w:vAlign w:val="bottom"/>
          </w:tcPr>
          <w:p w14:paraId="485E92E6" w14:textId="0F43118B" w:rsidR="002A66B3" w:rsidRPr="00D441AA" w:rsidRDefault="002A66B3" w:rsidP="006743EC">
            <w:pPr>
              <w:spacing w:before="120"/>
              <w:jc w:val="right"/>
              <w:rPr>
                <w:rFonts w:cstheme="minorHAnsi"/>
                <w:b/>
                <w:bCs/>
                <w:color w:val="000000"/>
              </w:rPr>
            </w:pPr>
            <w:r w:rsidRPr="00D441AA">
              <w:rPr>
                <w:rFonts w:cstheme="minorHAnsi"/>
                <w:b/>
                <w:bCs/>
                <w:color w:val="000000"/>
              </w:rPr>
              <w:t>$        45</w:t>
            </w:r>
            <w:r w:rsidR="003E46D5" w:rsidRPr="00D441AA">
              <w:rPr>
                <w:rFonts w:cstheme="minorHAnsi"/>
                <w:b/>
                <w:bCs/>
                <w:color w:val="000000"/>
              </w:rPr>
              <w:t>8,332</w:t>
            </w:r>
          </w:p>
        </w:tc>
        <w:tc>
          <w:tcPr>
            <w:tcW w:w="1440" w:type="dxa"/>
            <w:tcBorders>
              <w:top w:val="single" w:sz="4" w:space="0" w:color="auto"/>
              <w:left w:val="nil"/>
              <w:bottom w:val="double" w:sz="4" w:space="0" w:color="auto"/>
              <w:right w:val="nil"/>
            </w:tcBorders>
            <w:shd w:val="clear" w:color="000000" w:fill="FFFFFF"/>
            <w:vAlign w:val="bottom"/>
          </w:tcPr>
          <w:p w14:paraId="6F365C11" w14:textId="77777777" w:rsidR="002A66B3" w:rsidRPr="00D441AA" w:rsidDel="008D34A6" w:rsidRDefault="002A66B3" w:rsidP="006743EC">
            <w:pPr>
              <w:spacing w:before="120"/>
              <w:jc w:val="right"/>
              <w:rPr>
                <w:rFonts w:cstheme="minorHAnsi"/>
                <w:b/>
                <w:bCs/>
                <w:color w:val="000000"/>
              </w:rPr>
            </w:pPr>
            <w:r w:rsidRPr="00D441AA">
              <w:rPr>
                <w:rFonts w:cstheme="minorHAnsi"/>
                <w:b/>
                <w:bCs/>
                <w:color w:val="000000"/>
              </w:rPr>
              <w:t>$    390,581</w:t>
            </w:r>
          </w:p>
        </w:tc>
      </w:tr>
    </w:tbl>
    <w:p w14:paraId="52D09944" w14:textId="77777777" w:rsidR="002A66B3" w:rsidRPr="002A66B3" w:rsidRDefault="002A66B3" w:rsidP="00730ECF">
      <w:pPr>
        <w:spacing w:before="120" w:line="259" w:lineRule="auto"/>
        <w:jc w:val="center"/>
        <w:rPr>
          <w:rFonts w:cstheme="minorHAnsi"/>
        </w:rPr>
      </w:pPr>
      <w:r w:rsidRPr="002A66B3">
        <w:rPr>
          <w:rFonts w:cstheme="minorHAnsi"/>
          <w:sz w:val="20"/>
        </w:rPr>
        <w:t>See accompanying notes to the basic financial statements.</w:t>
      </w:r>
      <w:r w:rsidRPr="002A66B3">
        <w:rPr>
          <w:rFonts w:cstheme="minorHAnsi"/>
        </w:rPr>
        <w:br w:type="page"/>
      </w:r>
    </w:p>
    <w:p w14:paraId="27949E45" w14:textId="77777777" w:rsidR="002A66B3" w:rsidRPr="002A66B3" w:rsidRDefault="002A66B3" w:rsidP="00730ECF">
      <w:pPr>
        <w:rPr>
          <w:rFonts w:cstheme="minorHAnsi"/>
          <w:b/>
          <w:i/>
          <w:sz w:val="26"/>
          <w:szCs w:val="26"/>
        </w:rPr>
      </w:pPr>
      <w:r w:rsidRPr="002A66B3">
        <w:rPr>
          <w:rFonts w:cstheme="minorHAnsi"/>
          <w:b/>
          <w:i/>
          <w:sz w:val="26"/>
          <w:szCs w:val="26"/>
        </w:rPr>
        <w:lastRenderedPageBreak/>
        <w:t>UNIVERSITY OF MAINE SYSTEM</w:t>
      </w:r>
    </w:p>
    <w:p w14:paraId="0B888B5F" w14:textId="77777777" w:rsidR="002A66B3" w:rsidRPr="00730ECF" w:rsidRDefault="002A66B3" w:rsidP="00730ECF">
      <w:pPr>
        <w:pStyle w:val="Style1"/>
        <w:rPr>
          <w:rFonts w:asciiTheme="minorHAnsi" w:hAnsiTheme="minorHAnsi" w:cstheme="minorHAnsi"/>
        </w:rPr>
      </w:pPr>
      <w:bookmarkStart w:id="8" w:name="SRECNP"/>
      <w:r w:rsidRPr="00730ECF">
        <w:rPr>
          <w:rFonts w:asciiTheme="minorHAnsi" w:hAnsiTheme="minorHAnsi" w:cstheme="minorHAnsi"/>
        </w:rPr>
        <w:t>Statements of Revenues, Expenses and Changes in Net Position</w:t>
      </w:r>
    </w:p>
    <w:bookmarkEnd w:id="8"/>
    <w:p w14:paraId="105767DF" w14:textId="77777777" w:rsidR="002A66B3" w:rsidRPr="002A66B3" w:rsidRDefault="002A66B3" w:rsidP="006743EC">
      <w:pPr>
        <w:pBdr>
          <w:bottom w:val="single" w:sz="18" w:space="1" w:color="00688D"/>
        </w:pBdr>
        <w:spacing w:after="60"/>
        <w:rPr>
          <w:rFonts w:cstheme="minorHAnsi"/>
          <w:b/>
          <w:i/>
          <w:sz w:val="26"/>
          <w:szCs w:val="26"/>
        </w:rPr>
      </w:pPr>
      <w:r w:rsidRPr="002A66B3">
        <w:rPr>
          <w:rFonts w:cstheme="minorHAnsi"/>
          <w:b/>
          <w:i/>
          <w:sz w:val="26"/>
          <w:szCs w:val="26"/>
        </w:rPr>
        <w:t>YEARS ENDED JUNE 30, 2025 AND 2024 (IN THOUSANDS)</w:t>
      </w:r>
    </w:p>
    <w:tbl>
      <w:tblPr>
        <w:tblW w:w="8978" w:type="dxa"/>
        <w:jc w:val="center"/>
        <w:tblLook w:val="04A0" w:firstRow="1" w:lastRow="0" w:firstColumn="1" w:lastColumn="0" w:noHBand="0" w:noVBand="1"/>
      </w:tblPr>
      <w:tblGrid>
        <w:gridCol w:w="6120"/>
        <w:gridCol w:w="1325"/>
        <w:gridCol w:w="1533"/>
      </w:tblGrid>
      <w:tr w:rsidR="002A66B3" w:rsidRPr="002A66B3" w14:paraId="71D6DA99" w14:textId="77777777" w:rsidTr="006F148D">
        <w:trPr>
          <w:trHeight w:val="153"/>
          <w:jc w:val="center"/>
        </w:trPr>
        <w:tc>
          <w:tcPr>
            <w:tcW w:w="6120" w:type="dxa"/>
            <w:tcBorders>
              <w:top w:val="nil"/>
              <w:left w:val="nil"/>
              <w:bottom w:val="single" w:sz="12" w:space="0" w:color="000000"/>
              <w:right w:val="nil"/>
            </w:tcBorders>
            <w:shd w:val="clear" w:color="000000" w:fill="FFFFFF"/>
            <w:noWrap/>
            <w:hideMark/>
          </w:tcPr>
          <w:p w14:paraId="04389DDF" w14:textId="298EC49C" w:rsidR="002A66B3" w:rsidRPr="00730ECF" w:rsidRDefault="002A66B3" w:rsidP="002A66B3">
            <w:pPr>
              <w:jc w:val="center"/>
              <w:rPr>
                <w:rFonts w:cstheme="minorHAnsi"/>
                <w:b/>
                <w:bCs/>
                <w:color w:val="000000"/>
                <w:sz w:val="20"/>
                <w:szCs w:val="20"/>
              </w:rPr>
            </w:pPr>
          </w:p>
        </w:tc>
        <w:tc>
          <w:tcPr>
            <w:tcW w:w="1325" w:type="dxa"/>
            <w:tcBorders>
              <w:top w:val="nil"/>
              <w:left w:val="nil"/>
              <w:bottom w:val="single" w:sz="12" w:space="0" w:color="000000"/>
              <w:right w:val="nil"/>
            </w:tcBorders>
            <w:shd w:val="clear" w:color="000000" w:fill="FFFFFF"/>
            <w:noWrap/>
            <w:vAlign w:val="bottom"/>
            <w:hideMark/>
          </w:tcPr>
          <w:p w14:paraId="0B0D2EE9" w14:textId="77777777" w:rsidR="002A66B3" w:rsidRPr="00730ECF" w:rsidRDefault="002A66B3" w:rsidP="002A66B3">
            <w:pPr>
              <w:jc w:val="center"/>
              <w:rPr>
                <w:rFonts w:cstheme="minorHAnsi"/>
                <w:b/>
                <w:bCs/>
                <w:sz w:val="20"/>
                <w:szCs w:val="20"/>
              </w:rPr>
            </w:pPr>
            <w:r w:rsidRPr="00730ECF">
              <w:rPr>
                <w:rFonts w:cstheme="minorHAnsi"/>
                <w:b/>
                <w:bCs/>
                <w:sz w:val="20"/>
                <w:szCs w:val="20"/>
              </w:rPr>
              <w:t>2025</w:t>
            </w:r>
          </w:p>
        </w:tc>
        <w:tc>
          <w:tcPr>
            <w:tcW w:w="1533" w:type="dxa"/>
            <w:tcBorders>
              <w:top w:val="nil"/>
              <w:left w:val="nil"/>
              <w:bottom w:val="single" w:sz="12" w:space="0" w:color="000000"/>
              <w:right w:val="nil"/>
            </w:tcBorders>
            <w:shd w:val="clear" w:color="000000" w:fill="FFFFFF"/>
            <w:vAlign w:val="bottom"/>
            <w:hideMark/>
          </w:tcPr>
          <w:p w14:paraId="13CD4B48" w14:textId="77777777" w:rsidR="002A66B3" w:rsidRPr="00730ECF" w:rsidRDefault="002A66B3" w:rsidP="002A66B3">
            <w:pPr>
              <w:jc w:val="center"/>
              <w:rPr>
                <w:rFonts w:cstheme="minorHAnsi"/>
                <w:b/>
                <w:bCs/>
                <w:color w:val="000000"/>
                <w:sz w:val="20"/>
                <w:szCs w:val="20"/>
              </w:rPr>
            </w:pPr>
            <w:r w:rsidRPr="00730ECF">
              <w:rPr>
                <w:rFonts w:cstheme="minorHAnsi"/>
                <w:b/>
                <w:bCs/>
                <w:color w:val="000000"/>
                <w:sz w:val="20"/>
                <w:szCs w:val="20"/>
              </w:rPr>
              <w:t>2024</w:t>
            </w:r>
          </w:p>
          <w:p w14:paraId="45CDCA32" w14:textId="77777777" w:rsidR="002A66B3" w:rsidRPr="00730ECF" w:rsidRDefault="002A66B3" w:rsidP="002A66B3">
            <w:pPr>
              <w:jc w:val="center"/>
              <w:rPr>
                <w:rFonts w:cstheme="minorHAnsi"/>
                <w:b/>
                <w:bCs/>
                <w:color w:val="000000"/>
                <w:sz w:val="20"/>
                <w:szCs w:val="20"/>
              </w:rPr>
            </w:pPr>
            <w:r w:rsidRPr="00730ECF">
              <w:rPr>
                <w:rFonts w:cstheme="minorHAnsi"/>
                <w:b/>
                <w:bCs/>
                <w:color w:val="000000"/>
                <w:sz w:val="20"/>
                <w:szCs w:val="20"/>
              </w:rPr>
              <w:t>Restated</w:t>
            </w:r>
          </w:p>
        </w:tc>
      </w:tr>
      <w:tr w:rsidR="002A66B3" w:rsidRPr="002A66B3" w14:paraId="71FA0544" w14:textId="77777777" w:rsidTr="006F148D">
        <w:trPr>
          <w:trHeight w:val="123"/>
          <w:jc w:val="center"/>
        </w:trPr>
        <w:tc>
          <w:tcPr>
            <w:tcW w:w="6120" w:type="dxa"/>
            <w:tcBorders>
              <w:top w:val="nil"/>
              <w:left w:val="nil"/>
              <w:bottom w:val="nil"/>
              <w:right w:val="nil"/>
            </w:tcBorders>
            <w:shd w:val="clear" w:color="000000" w:fill="FFFFFF"/>
            <w:noWrap/>
            <w:vAlign w:val="bottom"/>
            <w:hideMark/>
          </w:tcPr>
          <w:p w14:paraId="67482047" w14:textId="77777777" w:rsidR="002A66B3" w:rsidRPr="00730ECF" w:rsidRDefault="002A66B3" w:rsidP="002A66B3">
            <w:pPr>
              <w:rPr>
                <w:rFonts w:cstheme="minorHAnsi"/>
                <w:b/>
                <w:bCs/>
                <w:color w:val="000000"/>
                <w:sz w:val="20"/>
                <w:szCs w:val="20"/>
              </w:rPr>
            </w:pPr>
            <w:r w:rsidRPr="00730ECF">
              <w:rPr>
                <w:rFonts w:cstheme="minorHAnsi"/>
                <w:b/>
                <w:bCs/>
                <w:color w:val="000000"/>
                <w:sz w:val="20"/>
                <w:szCs w:val="20"/>
              </w:rPr>
              <w:t>Operating Revenues</w:t>
            </w:r>
          </w:p>
        </w:tc>
        <w:tc>
          <w:tcPr>
            <w:tcW w:w="1325" w:type="dxa"/>
            <w:tcBorders>
              <w:top w:val="nil"/>
              <w:left w:val="nil"/>
              <w:bottom w:val="nil"/>
              <w:right w:val="nil"/>
            </w:tcBorders>
            <w:shd w:val="clear" w:color="000000" w:fill="FFFFFF"/>
            <w:noWrap/>
            <w:vAlign w:val="bottom"/>
            <w:hideMark/>
          </w:tcPr>
          <w:p w14:paraId="550B2F77" w14:textId="5D55C410" w:rsidR="002A66B3" w:rsidRPr="00730ECF" w:rsidRDefault="002A66B3" w:rsidP="002A66B3">
            <w:pPr>
              <w:jc w:val="right"/>
              <w:rPr>
                <w:rFonts w:cstheme="minorHAnsi"/>
                <w:sz w:val="20"/>
                <w:szCs w:val="20"/>
              </w:rPr>
            </w:pPr>
          </w:p>
        </w:tc>
        <w:tc>
          <w:tcPr>
            <w:tcW w:w="1533" w:type="dxa"/>
            <w:tcBorders>
              <w:top w:val="nil"/>
              <w:left w:val="nil"/>
              <w:bottom w:val="nil"/>
              <w:right w:val="nil"/>
            </w:tcBorders>
            <w:shd w:val="clear" w:color="000000" w:fill="FFFFFF"/>
            <w:noWrap/>
            <w:vAlign w:val="bottom"/>
            <w:hideMark/>
          </w:tcPr>
          <w:p w14:paraId="2928D9C0" w14:textId="6BA16C2D" w:rsidR="002A66B3" w:rsidRPr="00730ECF" w:rsidRDefault="002A66B3" w:rsidP="002A66B3">
            <w:pPr>
              <w:jc w:val="right"/>
              <w:rPr>
                <w:rFonts w:cstheme="minorHAnsi"/>
                <w:color w:val="000000"/>
                <w:sz w:val="20"/>
                <w:szCs w:val="20"/>
              </w:rPr>
            </w:pPr>
          </w:p>
        </w:tc>
      </w:tr>
      <w:tr w:rsidR="002A66B3" w:rsidRPr="002A66B3" w14:paraId="4081C156" w14:textId="77777777" w:rsidTr="006F148D">
        <w:trPr>
          <w:trHeight w:val="80"/>
          <w:jc w:val="center"/>
        </w:trPr>
        <w:tc>
          <w:tcPr>
            <w:tcW w:w="6120" w:type="dxa"/>
            <w:tcBorders>
              <w:top w:val="nil"/>
              <w:left w:val="nil"/>
              <w:bottom w:val="nil"/>
              <w:right w:val="nil"/>
            </w:tcBorders>
            <w:shd w:val="clear" w:color="000000" w:fill="FFFFFF"/>
            <w:noWrap/>
            <w:vAlign w:val="bottom"/>
            <w:hideMark/>
          </w:tcPr>
          <w:p w14:paraId="0274EC76" w14:textId="77777777" w:rsidR="002A66B3" w:rsidRPr="00730ECF" w:rsidRDefault="002A66B3" w:rsidP="00730ECF">
            <w:pPr>
              <w:ind w:left="255"/>
              <w:rPr>
                <w:rFonts w:cstheme="minorHAnsi"/>
                <w:color w:val="000000"/>
                <w:sz w:val="20"/>
                <w:szCs w:val="20"/>
              </w:rPr>
            </w:pPr>
            <w:r w:rsidRPr="00730ECF">
              <w:rPr>
                <w:rFonts w:cstheme="minorHAnsi"/>
                <w:color w:val="000000"/>
                <w:sz w:val="20"/>
                <w:szCs w:val="20"/>
              </w:rPr>
              <w:t>Tuition and fees</w:t>
            </w:r>
          </w:p>
        </w:tc>
        <w:tc>
          <w:tcPr>
            <w:tcW w:w="1325" w:type="dxa"/>
            <w:tcBorders>
              <w:top w:val="nil"/>
              <w:left w:val="nil"/>
              <w:bottom w:val="nil"/>
              <w:right w:val="nil"/>
            </w:tcBorders>
            <w:shd w:val="clear" w:color="000000" w:fill="FFFFFF"/>
            <w:noWrap/>
            <w:hideMark/>
          </w:tcPr>
          <w:p w14:paraId="5AA01606" w14:textId="0CBC5296" w:rsidR="002A66B3" w:rsidRPr="00730ECF" w:rsidRDefault="002A66B3" w:rsidP="002A66B3">
            <w:pPr>
              <w:jc w:val="right"/>
              <w:rPr>
                <w:rFonts w:cstheme="minorHAnsi"/>
                <w:sz w:val="20"/>
                <w:szCs w:val="20"/>
              </w:rPr>
            </w:pPr>
            <w:r w:rsidRPr="00730ECF">
              <w:rPr>
                <w:rFonts w:cstheme="minorHAnsi"/>
                <w:sz w:val="20"/>
                <w:szCs w:val="20"/>
              </w:rPr>
              <w:t xml:space="preserve">$  339,370 </w:t>
            </w:r>
          </w:p>
        </w:tc>
        <w:tc>
          <w:tcPr>
            <w:tcW w:w="1533" w:type="dxa"/>
            <w:tcBorders>
              <w:top w:val="nil"/>
              <w:left w:val="nil"/>
              <w:bottom w:val="nil"/>
              <w:right w:val="nil"/>
            </w:tcBorders>
            <w:shd w:val="clear" w:color="000000" w:fill="FFFFFF"/>
            <w:noWrap/>
            <w:vAlign w:val="bottom"/>
            <w:hideMark/>
          </w:tcPr>
          <w:p w14:paraId="4A79D5FF" w14:textId="34D6A1D4" w:rsidR="002A66B3" w:rsidRPr="00730ECF" w:rsidRDefault="002A66B3" w:rsidP="002A66B3">
            <w:pPr>
              <w:jc w:val="right"/>
              <w:rPr>
                <w:rFonts w:cstheme="minorHAnsi"/>
                <w:sz w:val="20"/>
                <w:szCs w:val="20"/>
              </w:rPr>
            </w:pPr>
            <w:r w:rsidRPr="00730ECF">
              <w:rPr>
                <w:rFonts w:cstheme="minorHAnsi"/>
                <w:sz w:val="20"/>
                <w:szCs w:val="20"/>
              </w:rPr>
              <w:t xml:space="preserve">$  </w:t>
            </w:r>
            <w:r w:rsidR="00642F95">
              <w:rPr>
                <w:rFonts w:cstheme="minorHAnsi"/>
                <w:sz w:val="20"/>
                <w:szCs w:val="20"/>
              </w:rPr>
              <w:t>325,486</w:t>
            </w:r>
          </w:p>
        </w:tc>
      </w:tr>
      <w:tr w:rsidR="002A66B3" w:rsidRPr="002A66B3" w14:paraId="2BEFFBE4" w14:textId="77777777" w:rsidTr="006F148D">
        <w:trPr>
          <w:trHeight w:val="80"/>
          <w:jc w:val="center"/>
        </w:trPr>
        <w:tc>
          <w:tcPr>
            <w:tcW w:w="6120" w:type="dxa"/>
            <w:tcBorders>
              <w:top w:val="nil"/>
              <w:left w:val="nil"/>
              <w:bottom w:val="nil"/>
              <w:right w:val="nil"/>
            </w:tcBorders>
            <w:shd w:val="clear" w:color="000000" w:fill="FFFFFF"/>
            <w:noWrap/>
            <w:vAlign w:val="bottom"/>
            <w:hideMark/>
          </w:tcPr>
          <w:p w14:paraId="6AE6451B" w14:textId="77777777" w:rsidR="002A66B3" w:rsidRPr="00730ECF" w:rsidRDefault="002A66B3" w:rsidP="00730ECF">
            <w:pPr>
              <w:ind w:left="255"/>
              <w:rPr>
                <w:rFonts w:cstheme="minorHAnsi"/>
                <w:color w:val="000000"/>
                <w:sz w:val="20"/>
                <w:szCs w:val="20"/>
              </w:rPr>
            </w:pPr>
            <w:r w:rsidRPr="00730ECF">
              <w:rPr>
                <w:rFonts w:cstheme="minorHAnsi"/>
                <w:color w:val="000000"/>
                <w:sz w:val="20"/>
                <w:szCs w:val="20"/>
              </w:rPr>
              <w:t>Residence and dining fees</w:t>
            </w:r>
          </w:p>
        </w:tc>
        <w:tc>
          <w:tcPr>
            <w:tcW w:w="1325" w:type="dxa"/>
            <w:tcBorders>
              <w:top w:val="nil"/>
              <w:left w:val="nil"/>
              <w:bottom w:val="nil"/>
              <w:right w:val="nil"/>
            </w:tcBorders>
            <w:shd w:val="clear" w:color="000000" w:fill="FFFFFF"/>
            <w:noWrap/>
            <w:hideMark/>
          </w:tcPr>
          <w:p w14:paraId="1EF61705" w14:textId="0FA8E727" w:rsidR="002A66B3" w:rsidRPr="00730ECF" w:rsidRDefault="002A66B3" w:rsidP="002A66B3">
            <w:pPr>
              <w:jc w:val="right"/>
              <w:rPr>
                <w:rFonts w:cstheme="minorHAnsi"/>
                <w:sz w:val="20"/>
                <w:szCs w:val="20"/>
              </w:rPr>
            </w:pPr>
            <w:r w:rsidRPr="00730ECF">
              <w:rPr>
                <w:rFonts w:cstheme="minorHAnsi"/>
                <w:sz w:val="20"/>
                <w:szCs w:val="20"/>
              </w:rPr>
              <w:t xml:space="preserve">81,029 </w:t>
            </w:r>
          </w:p>
        </w:tc>
        <w:tc>
          <w:tcPr>
            <w:tcW w:w="1533" w:type="dxa"/>
            <w:tcBorders>
              <w:top w:val="nil"/>
              <w:left w:val="nil"/>
              <w:bottom w:val="nil"/>
              <w:right w:val="nil"/>
            </w:tcBorders>
            <w:shd w:val="clear" w:color="000000" w:fill="FFFFFF"/>
            <w:noWrap/>
            <w:vAlign w:val="bottom"/>
            <w:hideMark/>
          </w:tcPr>
          <w:p w14:paraId="61DDD82E" w14:textId="77777777" w:rsidR="002A66B3" w:rsidRPr="00730ECF" w:rsidRDefault="002A66B3" w:rsidP="002A66B3">
            <w:pPr>
              <w:jc w:val="right"/>
              <w:rPr>
                <w:rFonts w:cstheme="minorHAnsi"/>
                <w:sz w:val="20"/>
                <w:szCs w:val="20"/>
              </w:rPr>
            </w:pPr>
            <w:r w:rsidRPr="00730ECF">
              <w:rPr>
                <w:rFonts w:cstheme="minorHAnsi"/>
                <w:sz w:val="20"/>
                <w:szCs w:val="20"/>
              </w:rPr>
              <w:t xml:space="preserve">72,344 </w:t>
            </w:r>
          </w:p>
        </w:tc>
      </w:tr>
      <w:tr w:rsidR="002A66B3" w:rsidRPr="002A66B3" w14:paraId="121F22E7" w14:textId="77777777" w:rsidTr="006F148D">
        <w:trPr>
          <w:trHeight w:val="80"/>
          <w:jc w:val="center"/>
        </w:trPr>
        <w:tc>
          <w:tcPr>
            <w:tcW w:w="6120" w:type="dxa"/>
            <w:tcBorders>
              <w:top w:val="nil"/>
              <w:left w:val="nil"/>
              <w:bottom w:val="single" w:sz="4" w:space="0" w:color="000000"/>
              <w:right w:val="nil"/>
            </w:tcBorders>
            <w:shd w:val="clear" w:color="000000" w:fill="FFFFFF"/>
            <w:noWrap/>
            <w:vAlign w:val="bottom"/>
            <w:hideMark/>
          </w:tcPr>
          <w:p w14:paraId="2B8C7E54" w14:textId="77777777" w:rsidR="002A66B3" w:rsidRPr="00730ECF" w:rsidRDefault="002A66B3" w:rsidP="00730ECF">
            <w:pPr>
              <w:ind w:left="255"/>
              <w:rPr>
                <w:rFonts w:cstheme="minorHAnsi"/>
                <w:color w:val="000000"/>
                <w:sz w:val="20"/>
                <w:szCs w:val="20"/>
              </w:rPr>
            </w:pPr>
            <w:r w:rsidRPr="00730ECF">
              <w:rPr>
                <w:rFonts w:cstheme="minorHAnsi"/>
                <w:color w:val="000000"/>
                <w:sz w:val="20"/>
                <w:szCs w:val="20"/>
              </w:rPr>
              <w:t>Less: scholarship allowances</w:t>
            </w:r>
          </w:p>
        </w:tc>
        <w:tc>
          <w:tcPr>
            <w:tcW w:w="1325" w:type="dxa"/>
            <w:tcBorders>
              <w:top w:val="nil"/>
              <w:left w:val="nil"/>
              <w:bottom w:val="single" w:sz="4" w:space="0" w:color="000000"/>
              <w:right w:val="nil"/>
            </w:tcBorders>
            <w:shd w:val="clear" w:color="000000" w:fill="FFFFFF"/>
            <w:noWrap/>
            <w:hideMark/>
          </w:tcPr>
          <w:p w14:paraId="47D735D4" w14:textId="77777777" w:rsidR="002A66B3" w:rsidRPr="00730ECF" w:rsidRDefault="002A66B3" w:rsidP="002A66B3">
            <w:pPr>
              <w:jc w:val="right"/>
              <w:rPr>
                <w:rFonts w:cstheme="minorHAnsi"/>
                <w:sz w:val="20"/>
                <w:szCs w:val="20"/>
              </w:rPr>
            </w:pPr>
            <w:r w:rsidRPr="00730ECF">
              <w:rPr>
                <w:rFonts w:cstheme="minorHAnsi"/>
                <w:sz w:val="20"/>
                <w:szCs w:val="20"/>
              </w:rPr>
              <w:t>(158,252)</w:t>
            </w:r>
          </w:p>
        </w:tc>
        <w:tc>
          <w:tcPr>
            <w:tcW w:w="1533" w:type="dxa"/>
            <w:tcBorders>
              <w:top w:val="nil"/>
              <w:left w:val="nil"/>
              <w:bottom w:val="single" w:sz="4" w:space="0" w:color="000000"/>
              <w:right w:val="nil"/>
            </w:tcBorders>
            <w:shd w:val="clear" w:color="000000" w:fill="FFFFFF"/>
            <w:noWrap/>
            <w:vAlign w:val="bottom"/>
            <w:hideMark/>
          </w:tcPr>
          <w:p w14:paraId="2638F3A3" w14:textId="46EBA6A5" w:rsidR="002A66B3" w:rsidRPr="00730ECF" w:rsidRDefault="002A66B3" w:rsidP="002A66B3">
            <w:pPr>
              <w:jc w:val="right"/>
              <w:rPr>
                <w:rFonts w:cstheme="minorHAnsi"/>
                <w:sz w:val="20"/>
                <w:szCs w:val="20"/>
              </w:rPr>
            </w:pPr>
            <w:r w:rsidRPr="00730ECF">
              <w:rPr>
                <w:rFonts w:cstheme="minorHAnsi"/>
                <w:sz w:val="20"/>
                <w:szCs w:val="20"/>
              </w:rPr>
              <w:t>(134,465)</w:t>
            </w:r>
          </w:p>
        </w:tc>
      </w:tr>
      <w:tr w:rsidR="002A66B3" w:rsidRPr="002A66B3" w14:paraId="4DD25DCA" w14:textId="77777777" w:rsidTr="006F148D">
        <w:trPr>
          <w:trHeight w:val="70"/>
          <w:jc w:val="center"/>
        </w:trPr>
        <w:tc>
          <w:tcPr>
            <w:tcW w:w="6120" w:type="dxa"/>
            <w:tcBorders>
              <w:top w:val="nil"/>
              <w:left w:val="nil"/>
              <w:bottom w:val="nil"/>
              <w:right w:val="nil"/>
            </w:tcBorders>
            <w:shd w:val="clear" w:color="000000" w:fill="FFFFFF"/>
            <w:noWrap/>
            <w:hideMark/>
          </w:tcPr>
          <w:p w14:paraId="59C331F5" w14:textId="77777777" w:rsidR="002A66B3" w:rsidRPr="00730ECF" w:rsidRDefault="002A66B3" w:rsidP="00730ECF">
            <w:pPr>
              <w:ind w:left="435"/>
              <w:rPr>
                <w:rFonts w:cstheme="minorHAnsi"/>
                <w:b/>
                <w:bCs/>
                <w:color w:val="000000"/>
                <w:sz w:val="20"/>
                <w:szCs w:val="20"/>
              </w:rPr>
            </w:pPr>
            <w:r w:rsidRPr="00730ECF">
              <w:rPr>
                <w:rFonts w:cstheme="minorHAnsi"/>
                <w:b/>
                <w:bCs/>
                <w:color w:val="000000"/>
                <w:sz w:val="20"/>
                <w:szCs w:val="20"/>
              </w:rPr>
              <w:t>Net student fees</w:t>
            </w:r>
          </w:p>
        </w:tc>
        <w:tc>
          <w:tcPr>
            <w:tcW w:w="1325" w:type="dxa"/>
            <w:tcBorders>
              <w:top w:val="nil"/>
              <w:left w:val="nil"/>
              <w:bottom w:val="nil"/>
              <w:right w:val="nil"/>
            </w:tcBorders>
            <w:shd w:val="clear" w:color="000000" w:fill="FFFFFF"/>
            <w:noWrap/>
            <w:hideMark/>
          </w:tcPr>
          <w:p w14:paraId="3060687C" w14:textId="77777777" w:rsidR="002A66B3" w:rsidRPr="00730ECF" w:rsidRDefault="002A66B3" w:rsidP="002A66B3">
            <w:pPr>
              <w:jc w:val="right"/>
              <w:rPr>
                <w:rFonts w:cstheme="minorHAnsi"/>
                <w:sz w:val="20"/>
                <w:szCs w:val="20"/>
              </w:rPr>
            </w:pPr>
            <w:r w:rsidRPr="00730ECF">
              <w:rPr>
                <w:rFonts w:cstheme="minorHAnsi"/>
                <w:sz w:val="20"/>
                <w:szCs w:val="20"/>
              </w:rPr>
              <w:t>262,147</w:t>
            </w:r>
          </w:p>
        </w:tc>
        <w:tc>
          <w:tcPr>
            <w:tcW w:w="1533" w:type="dxa"/>
            <w:tcBorders>
              <w:top w:val="nil"/>
              <w:left w:val="nil"/>
              <w:bottom w:val="nil"/>
              <w:right w:val="nil"/>
            </w:tcBorders>
            <w:shd w:val="clear" w:color="000000" w:fill="FFFFFF"/>
            <w:noWrap/>
            <w:hideMark/>
          </w:tcPr>
          <w:p w14:paraId="7D9526C6" w14:textId="290B1D6E" w:rsidR="002A66B3" w:rsidRPr="00730ECF" w:rsidRDefault="00642F95" w:rsidP="002A66B3">
            <w:pPr>
              <w:jc w:val="right"/>
              <w:rPr>
                <w:rFonts w:cstheme="minorHAnsi"/>
                <w:sz w:val="20"/>
                <w:szCs w:val="20"/>
              </w:rPr>
            </w:pPr>
            <w:r>
              <w:rPr>
                <w:rFonts w:cstheme="minorHAnsi"/>
                <w:sz w:val="20"/>
                <w:szCs w:val="20"/>
              </w:rPr>
              <w:t>263,365</w:t>
            </w:r>
          </w:p>
        </w:tc>
      </w:tr>
      <w:tr w:rsidR="002A66B3" w:rsidRPr="002A66B3" w14:paraId="4D12753B" w14:textId="77777777" w:rsidTr="006F148D">
        <w:trPr>
          <w:trHeight w:val="80"/>
          <w:jc w:val="center"/>
        </w:trPr>
        <w:tc>
          <w:tcPr>
            <w:tcW w:w="6120" w:type="dxa"/>
            <w:tcBorders>
              <w:top w:val="nil"/>
              <w:left w:val="nil"/>
              <w:bottom w:val="nil"/>
              <w:right w:val="nil"/>
            </w:tcBorders>
            <w:shd w:val="clear" w:color="000000" w:fill="FFFFFF"/>
            <w:noWrap/>
            <w:vAlign w:val="bottom"/>
            <w:hideMark/>
          </w:tcPr>
          <w:p w14:paraId="5EBC4DAF" w14:textId="77777777" w:rsidR="002A66B3" w:rsidRPr="00730ECF" w:rsidRDefault="002A66B3" w:rsidP="00730ECF">
            <w:pPr>
              <w:ind w:left="255"/>
              <w:rPr>
                <w:rFonts w:cstheme="minorHAnsi"/>
                <w:color w:val="000000"/>
                <w:sz w:val="20"/>
                <w:szCs w:val="20"/>
              </w:rPr>
            </w:pPr>
            <w:r w:rsidRPr="00730ECF">
              <w:rPr>
                <w:rFonts w:cstheme="minorHAnsi"/>
                <w:color w:val="000000"/>
                <w:sz w:val="20"/>
                <w:szCs w:val="20"/>
              </w:rPr>
              <w:t>Federal, state and private grants and contracts</w:t>
            </w:r>
          </w:p>
        </w:tc>
        <w:tc>
          <w:tcPr>
            <w:tcW w:w="1325" w:type="dxa"/>
            <w:tcBorders>
              <w:top w:val="nil"/>
              <w:left w:val="nil"/>
              <w:bottom w:val="nil"/>
              <w:right w:val="nil"/>
            </w:tcBorders>
            <w:shd w:val="clear" w:color="000000" w:fill="FFFFFF"/>
            <w:noWrap/>
            <w:hideMark/>
          </w:tcPr>
          <w:p w14:paraId="78FD2A4E" w14:textId="0637E5E1" w:rsidR="002A66B3" w:rsidRPr="00730ECF" w:rsidRDefault="002A66B3" w:rsidP="002A66B3">
            <w:pPr>
              <w:jc w:val="right"/>
              <w:rPr>
                <w:rFonts w:cstheme="minorHAnsi"/>
                <w:sz w:val="20"/>
                <w:szCs w:val="20"/>
              </w:rPr>
            </w:pPr>
            <w:r w:rsidRPr="00730ECF">
              <w:rPr>
                <w:rFonts w:cstheme="minorHAnsi"/>
                <w:sz w:val="20"/>
                <w:szCs w:val="20"/>
              </w:rPr>
              <w:t xml:space="preserve">183,008 </w:t>
            </w:r>
          </w:p>
        </w:tc>
        <w:tc>
          <w:tcPr>
            <w:tcW w:w="1533" w:type="dxa"/>
            <w:tcBorders>
              <w:top w:val="nil"/>
              <w:left w:val="nil"/>
              <w:bottom w:val="nil"/>
              <w:right w:val="nil"/>
            </w:tcBorders>
            <w:shd w:val="clear" w:color="000000" w:fill="FFFFFF"/>
            <w:noWrap/>
            <w:vAlign w:val="bottom"/>
            <w:hideMark/>
          </w:tcPr>
          <w:p w14:paraId="234CFC95" w14:textId="77777777" w:rsidR="002A66B3" w:rsidRPr="00730ECF" w:rsidRDefault="002A66B3" w:rsidP="002A66B3">
            <w:pPr>
              <w:jc w:val="right"/>
              <w:rPr>
                <w:rFonts w:cstheme="minorHAnsi"/>
                <w:sz w:val="20"/>
                <w:szCs w:val="20"/>
              </w:rPr>
            </w:pPr>
            <w:r w:rsidRPr="00730ECF">
              <w:rPr>
                <w:rFonts w:cstheme="minorHAnsi"/>
                <w:sz w:val="20"/>
                <w:szCs w:val="20"/>
              </w:rPr>
              <w:t xml:space="preserve">167,886 </w:t>
            </w:r>
          </w:p>
        </w:tc>
      </w:tr>
      <w:tr w:rsidR="002A66B3" w:rsidRPr="002A66B3" w14:paraId="35F32FDA" w14:textId="77777777" w:rsidTr="006F148D">
        <w:trPr>
          <w:trHeight w:val="80"/>
          <w:jc w:val="center"/>
        </w:trPr>
        <w:tc>
          <w:tcPr>
            <w:tcW w:w="6120" w:type="dxa"/>
            <w:tcBorders>
              <w:top w:val="nil"/>
              <w:left w:val="nil"/>
              <w:bottom w:val="nil"/>
              <w:right w:val="nil"/>
            </w:tcBorders>
            <w:shd w:val="clear" w:color="000000" w:fill="FFFFFF"/>
            <w:noWrap/>
            <w:vAlign w:val="bottom"/>
            <w:hideMark/>
          </w:tcPr>
          <w:p w14:paraId="3C232A72" w14:textId="77777777" w:rsidR="002A66B3" w:rsidRPr="00730ECF" w:rsidRDefault="002A66B3" w:rsidP="00730ECF">
            <w:pPr>
              <w:ind w:left="255"/>
              <w:rPr>
                <w:rFonts w:cstheme="minorHAnsi"/>
                <w:color w:val="000000"/>
                <w:sz w:val="20"/>
                <w:szCs w:val="20"/>
              </w:rPr>
            </w:pPr>
            <w:r w:rsidRPr="00730ECF">
              <w:rPr>
                <w:rFonts w:cstheme="minorHAnsi"/>
                <w:color w:val="000000"/>
                <w:sz w:val="20"/>
                <w:szCs w:val="20"/>
              </w:rPr>
              <w:t>Recovery of indirect costs</w:t>
            </w:r>
          </w:p>
        </w:tc>
        <w:tc>
          <w:tcPr>
            <w:tcW w:w="1325" w:type="dxa"/>
            <w:tcBorders>
              <w:top w:val="nil"/>
              <w:left w:val="nil"/>
              <w:bottom w:val="nil"/>
              <w:right w:val="nil"/>
            </w:tcBorders>
            <w:shd w:val="clear" w:color="000000" w:fill="FFFFFF"/>
            <w:noWrap/>
            <w:hideMark/>
          </w:tcPr>
          <w:p w14:paraId="2C202D5C" w14:textId="00FCB51B" w:rsidR="002A66B3" w:rsidRPr="00730ECF" w:rsidRDefault="002A66B3" w:rsidP="002A66B3">
            <w:pPr>
              <w:jc w:val="right"/>
              <w:rPr>
                <w:rFonts w:cstheme="minorHAnsi"/>
                <w:sz w:val="20"/>
                <w:szCs w:val="20"/>
              </w:rPr>
            </w:pPr>
            <w:r w:rsidRPr="00730ECF">
              <w:rPr>
                <w:rFonts w:cstheme="minorHAnsi"/>
                <w:sz w:val="20"/>
                <w:szCs w:val="20"/>
              </w:rPr>
              <w:t xml:space="preserve">32,801 </w:t>
            </w:r>
          </w:p>
        </w:tc>
        <w:tc>
          <w:tcPr>
            <w:tcW w:w="1533" w:type="dxa"/>
            <w:tcBorders>
              <w:top w:val="nil"/>
              <w:left w:val="nil"/>
              <w:bottom w:val="nil"/>
              <w:right w:val="nil"/>
            </w:tcBorders>
            <w:shd w:val="clear" w:color="000000" w:fill="FFFFFF"/>
            <w:noWrap/>
            <w:vAlign w:val="bottom"/>
            <w:hideMark/>
          </w:tcPr>
          <w:p w14:paraId="6978E302" w14:textId="77777777" w:rsidR="002A66B3" w:rsidRPr="00730ECF" w:rsidRDefault="002A66B3" w:rsidP="002A66B3">
            <w:pPr>
              <w:jc w:val="right"/>
              <w:rPr>
                <w:rFonts w:cstheme="minorHAnsi"/>
                <w:sz w:val="20"/>
                <w:szCs w:val="20"/>
              </w:rPr>
            </w:pPr>
            <w:r w:rsidRPr="00730ECF">
              <w:rPr>
                <w:rFonts w:cstheme="minorHAnsi"/>
                <w:sz w:val="20"/>
                <w:szCs w:val="20"/>
              </w:rPr>
              <w:t xml:space="preserve">28,350 </w:t>
            </w:r>
          </w:p>
        </w:tc>
      </w:tr>
      <w:tr w:rsidR="002A66B3" w:rsidRPr="002A66B3" w14:paraId="6F5D8651" w14:textId="77777777" w:rsidTr="006F148D">
        <w:trPr>
          <w:trHeight w:val="80"/>
          <w:jc w:val="center"/>
        </w:trPr>
        <w:tc>
          <w:tcPr>
            <w:tcW w:w="6120" w:type="dxa"/>
            <w:tcBorders>
              <w:top w:val="nil"/>
              <w:left w:val="nil"/>
              <w:bottom w:val="nil"/>
              <w:right w:val="nil"/>
            </w:tcBorders>
            <w:shd w:val="clear" w:color="000000" w:fill="FFFFFF"/>
            <w:noWrap/>
            <w:vAlign w:val="bottom"/>
            <w:hideMark/>
          </w:tcPr>
          <w:p w14:paraId="525BAF53" w14:textId="77777777" w:rsidR="002A66B3" w:rsidRPr="00730ECF" w:rsidRDefault="002A66B3" w:rsidP="00730ECF">
            <w:pPr>
              <w:ind w:left="255"/>
              <w:rPr>
                <w:rFonts w:cstheme="minorHAnsi"/>
                <w:color w:val="000000"/>
                <w:sz w:val="20"/>
                <w:szCs w:val="20"/>
              </w:rPr>
            </w:pPr>
            <w:r w:rsidRPr="00730ECF">
              <w:rPr>
                <w:rFonts w:cstheme="minorHAnsi"/>
                <w:color w:val="000000"/>
                <w:sz w:val="20"/>
                <w:szCs w:val="20"/>
              </w:rPr>
              <w:t>Educational sales and services and other revenues</w:t>
            </w:r>
          </w:p>
        </w:tc>
        <w:tc>
          <w:tcPr>
            <w:tcW w:w="1325" w:type="dxa"/>
            <w:tcBorders>
              <w:top w:val="nil"/>
              <w:left w:val="nil"/>
              <w:bottom w:val="nil"/>
              <w:right w:val="nil"/>
            </w:tcBorders>
            <w:shd w:val="clear" w:color="000000" w:fill="FFFFFF"/>
            <w:noWrap/>
            <w:hideMark/>
          </w:tcPr>
          <w:p w14:paraId="2261EC94" w14:textId="2816F3B7" w:rsidR="002A66B3" w:rsidRPr="00730ECF" w:rsidRDefault="002A66B3" w:rsidP="002A66B3">
            <w:pPr>
              <w:jc w:val="right"/>
              <w:rPr>
                <w:rFonts w:cstheme="minorHAnsi"/>
                <w:sz w:val="20"/>
                <w:szCs w:val="20"/>
              </w:rPr>
            </w:pPr>
            <w:r w:rsidRPr="00730ECF">
              <w:rPr>
                <w:rFonts w:cstheme="minorHAnsi"/>
                <w:sz w:val="20"/>
                <w:szCs w:val="20"/>
              </w:rPr>
              <w:t xml:space="preserve">43,118 </w:t>
            </w:r>
          </w:p>
        </w:tc>
        <w:tc>
          <w:tcPr>
            <w:tcW w:w="1533" w:type="dxa"/>
            <w:tcBorders>
              <w:top w:val="nil"/>
              <w:left w:val="nil"/>
              <w:bottom w:val="nil"/>
              <w:right w:val="nil"/>
            </w:tcBorders>
            <w:shd w:val="clear" w:color="000000" w:fill="FFFFFF"/>
            <w:noWrap/>
            <w:vAlign w:val="bottom"/>
            <w:hideMark/>
          </w:tcPr>
          <w:p w14:paraId="21BDB30C" w14:textId="77777777" w:rsidR="002A66B3" w:rsidRPr="00730ECF" w:rsidRDefault="002A66B3" w:rsidP="002A66B3">
            <w:pPr>
              <w:jc w:val="right"/>
              <w:rPr>
                <w:rFonts w:cstheme="minorHAnsi"/>
                <w:sz w:val="20"/>
                <w:szCs w:val="20"/>
              </w:rPr>
            </w:pPr>
            <w:r w:rsidRPr="00730ECF">
              <w:rPr>
                <w:rFonts w:cstheme="minorHAnsi"/>
                <w:sz w:val="20"/>
                <w:szCs w:val="20"/>
              </w:rPr>
              <w:t xml:space="preserve">39,146 </w:t>
            </w:r>
          </w:p>
        </w:tc>
      </w:tr>
      <w:tr w:rsidR="002A66B3" w:rsidRPr="002A66B3" w14:paraId="384AD6E8" w14:textId="77777777" w:rsidTr="006F148D">
        <w:trPr>
          <w:trHeight w:val="80"/>
          <w:jc w:val="center"/>
        </w:trPr>
        <w:tc>
          <w:tcPr>
            <w:tcW w:w="6120" w:type="dxa"/>
            <w:tcBorders>
              <w:top w:val="nil"/>
              <w:left w:val="nil"/>
              <w:bottom w:val="single" w:sz="4" w:space="0" w:color="000000"/>
              <w:right w:val="nil"/>
            </w:tcBorders>
            <w:shd w:val="clear" w:color="000000" w:fill="FFFFFF"/>
            <w:noWrap/>
            <w:vAlign w:val="bottom"/>
            <w:hideMark/>
          </w:tcPr>
          <w:p w14:paraId="321826BD" w14:textId="77777777" w:rsidR="002A66B3" w:rsidRPr="00730ECF" w:rsidRDefault="002A66B3" w:rsidP="00730ECF">
            <w:pPr>
              <w:ind w:left="255"/>
              <w:rPr>
                <w:rFonts w:cstheme="minorHAnsi"/>
                <w:color w:val="000000"/>
                <w:sz w:val="20"/>
                <w:szCs w:val="20"/>
              </w:rPr>
            </w:pPr>
            <w:r w:rsidRPr="00730ECF">
              <w:rPr>
                <w:rFonts w:cstheme="minorHAnsi"/>
                <w:color w:val="000000"/>
                <w:sz w:val="20"/>
                <w:szCs w:val="20"/>
              </w:rPr>
              <w:t>Other auxiliary enterprises</w:t>
            </w:r>
          </w:p>
        </w:tc>
        <w:tc>
          <w:tcPr>
            <w:tcW w:w="1325" w:type="dxa"/>
            <w:tcBorders>
              <w:top w:val="nil"/>
              <w:left w:val="nil"/>
              <w:bottom w:val="single" w:sz="4" w:space="0" w:color="000000"/>
              <w:right w:val="nil"/>
            </w:tcBorders>
            <w:shd w:val="clear" w:color="000000" w:fill="FFFFFF"/>
            <w:noWrap/>
            <w:hideMark/>
          </w:tcPr>
          <w:p w14:paraId="6392E8D0" w14:textId="18C398E1" w:rsidR="002A66B3" w:rsidRPr="00730ECF" w:rsidRDefault="002A66B3" w:rsidP="002A66B3">
            <w:pPr>
              <w:jc w:val="right"/>
              <w:rPr>
                <w:rFonts w:cstheme="minorHAnsi"/>
                <w:sz w:val="20"/>
                <w:szCs w:val="20"/>
              </w:rPr>
            </w:pPr>
            <w:r w:rsidRPr="00730ECF">
              <w:rPr>
                <w:rFonts w:cstheme="minorHAnsi"/>
                <w:sz w:val="20"/>
                <w:szCs w:val="20"/>
              </w:rPr>
              <w:t xml:space="preserve">14,105 </w:t>
            </w:r>
          </w:p>
        </w:tc>
        <w:tc>
          <w:tcPr>
            <w:tcW w:w="1533" w:type="dxa"/>
            <w:tcBorders>
              <w:top w:val="nil"/>
              <w:left w:val="nil"/>
              <w:bottom w:val="single" w:sz="4" w:space="0" w:color="000000"/>
              <w:right w:val="nil"/>
            </w:tcBorders>
            <w:shd w:val="clear" w:color="000000" w:fill="FFFFFF"/>
            <w:noWrap/>
            <w:vAlign w:val="bottom"/>
            <w:hideMark/>
          </w:tcPr>
          <w:p w14:paraId="15FA70B2" w14:textId="12798633" w:rsidR="002A66B3" w:rsidRPr="00730ECF" w:rsidRDefault="002A66B3" w:rsidP="002A66B3">
            <w:pPr>
              <w:jc w:val="right"/>
              <w:rPr>
                <w:rFonts w:cstheme="minorHAnsi"/>
                <w:sz w:val="20"/>
                <w:szCs w:val="20"/>
              </w:rPr>
            </w:pPr>
            <w:r w:rsidRPr="00642F95">
              <w:rPr>
                <w:rFonts w:cstheme="minorHAnsi"/>
                <w:sz w:val="20"/>
                <w:szCs w:val="20"/>
              </w:rPr>
              <w:t>12,</w:t>
            </w:r>
            <w:r w:rsidR="00642F95" w:rsidRPr="00642F95">
              <w:rPr>
                <w:rFonts w:cstheme="minorHAnsi"/>
                <w:sz w:val="20"/>
                <w:szCs w:val="20"/>
              </w:rPr>
              <w:t>3</w:t>
            </w:r>
            <w:r w:rsidR="00642F95">
              <w:rPr>
                <w:rFonts w:cstheme="minorHAnsi"/>
                <w:sz w:val="20"/>
                <w:szCs w:val="20"/>
              </w:rPr>
              <w:t>15</w:t>
            </w:r>
          </w:p>
        </w:tc>
      </w:tr>
      <w:tr w:rsidR="002A66B3" w:rsidRPr="002A66B3" w14:paraId="1E726F36" w14:textId="77777777" w:rsidTr="006F148D">
        <w:trPr>
          <w:trHeight w:val="70"/>
          <w:jc w:val="center"/>
        </w:trPr>
        <w:tc>
          <w:tcPr>
            <w:tcW w:w="6120" w:type="dxa"/>
            <w:tcBorders>
              <w:top w:val="nil"/>
              <w:left w:val="nil"/>
              <w:bottom w:val="single" w:sz="4" w:space="0" w:color="000000"/>
              <w:right w:val="nil"/>
            </w:tcBorders>
            <w:shd w:val="clear" w:color="000000" w:fill="FFFFFF"/>
            <w:noWrap/>
            <w:vAlign w:val="bottom"/>
            <w:hideMark/>
          </w:tcPr>
          <w:p w14:paraId="08E63040" w14:textId="77777777" w:rsidR="002A66B3" w:rsidRPr="00730ECF" w:rsidRDefault="002A66B3" w:rsidP="00730ECF">
            <w:pPr>
              <w:ind w:left="435"/>
              <w:rPr>
                <w:rFonts w:cstheme="minorHAnsi"/>
                <w:b/>
                <w:bCs/>
                <w:color w:val="000000"/>
                <w:sz w:val="20"/>
                <w:szCs w:val="20"/>
              </w:rPr>
            </w:pPr>
            <w:r w:rsidRPr="00730ECF">
              <w:rPr>
                <w:rFonts w:cstheme="minorHAnsi"/>
                <w:b/>
                <w:bCs/>
                <w:color w:val="000000"/>
                <w:sz w:val="20"/>
                <w:szCs w:val="20"/>
              </w:rPr>
              <w:t>Total Operating Revenues</w:t>
            </w:r>
          </w:p>
        </w:tc>
        <w:tc>
          <w:tcPr>
            <w:tcW w:w="1325" w:type="dxa"/>
            <w:tcBorders>
              <w:top w:val="nil"/>
              <w:left w:val="nil"/>
              <w:bottom w:val="single" w:sz="4" w:space="0" w:color="000000"/>
              <w:right w:val="nil"/>
            </w:tcBorders>
            <w:shd w:val="clear" w:color="000000" w:fill="FFFFFF"/>
            <w:noWrap/>
            <w:hideMark/>
          </w:tcPr>
          <w:p w14:paraId="01D5C61E" w14:textId="0FD8EE47" w:rsidR="002A66B3" w:rsidRPr="00730ECF" w:rsidRDefault="002A66B3" w:rsidP="002A66B3">
            <w:pPr>
              <w:jc w:val="right"/>
              <w:rPr>
                <w:rFonts w:cstheme="minorHAnsi"/>
                <w:sz w:val="20"/>
                <w:szCs w:val="20"/>
              </w:rPr>
            </w:pPr>
            <w:r w:rsidRPr="00730ECF">
              <w:rPr>
                <w:rFonts w:cstheme="minorHAnsi"/>
                <w:sz w:val="20"/>
                <w:szCs w:val="20"/>
              </w:rPr>
              <w:t>535,179</w:t>
            </w:r>
          </w:p>
        </w:tc>
        <w:tc>
          <w:tcPr>
            <w:tcW w:w="1533" w:type="dxa"/>
            <w:tcBorders>
              <w:top w:val="nil"/>
              <w:left w:val="nil"/>
              <w:bottom w:val="single" w:sz="4" w:space="0" w:color="000000"/>
              <w:right w:val="nil"/>
            </w:tcBorders>
            <w:shd w:val="clear" w:color="000000" w:fill="FFFFFF"/>
            <w:noWrap/>
            <w:vAlign w:val="bottom"/>
            <w:hideMark/>
          </w:tcPr>
          <w:p w14:paraId="011E2F97" w14:textId="77777777" w:rsidR="002A66B3" w:rsidRPr="00730ECF" w:rsidRDefault="002A66B3" w:rsidP="002A66B3">
            <w:pPr>
              <w:jc w:val="right"/>
              <w:rPr>
                <w:rFonts w:cstheme="minorHAnsi"/>
                <w:sz w:val="20"/>
                <w:szCs w:val="20"/>
              </w:rPr>
            </w:pPr>
            <w:r w:rsidRPr="00730ECF">
              <w:rPr>
                <w:rFonts w:cstheme="minorHAnsi"/>
                <w:sz w:val="20"/>
                <w:szCs w:val="20"/>
              </w:rPr>
              <w:t xml:space="preserve">511,062 </w:t>
            </w:r>
          </w:p>
        </w:tc>
      </w:tr>
      <w:tr w:rsidR="002A66B3" w:rsidRPr="002A66B3" w14:paraId="714C4941" w14:textId="77777777" w:rsidTr="006F148D">
        <w:trPr>
          <w:trHeight w:val="70"/>
          <w:jc w:val="center"/>
        </w:trPr>
        <w:tc>
          <w:tcPr>
            <w:tcW w:w="6120" w:type="dxa"/>
            <w:tcBorders>
              <w:top w:val="nil"/>
              <w:left w:val="nil"/>
              <w:bottom w:val="nil"/>
              <w:right w:val="nil"/>
            </w:tcBorders>
            <w:shd w:val="clear" w:color="000000" w:fill="FFFFFF"/>
            <w:noWrap/>
            <w:vAlign w:val="bottom"/>
            <w:hideMark/>
          </w:tcPr>
          <w:p w14:paraId="6DD8E70C" w14:textId="77777777" w:rsidR="002A66B3" w:rsidRPr="00730ECF" w:rsidRDefault="002A66B3" w:rsidP="002A66B3">
            <w:pPr>
              <w:rPr>
                <w:rFonts w:cstheme="minorHAnsi"/>
                <w:b/>
                <w:bCs/>
                <w:color w:val="000000"/>
                <w:sz w:val="20"/>
                <w:szCs w:val="20"/>
              </w:rPr>
            </w:pPr>
            <w:r w:rsidRPr="00730ECF">
              <w:rPr>
                <w:rFonts w:cstheme="minorHAnsi"/>
                <w:b/>
                <w:bCs/>
                <w:color w:val="000000"/>
                <w:sz w:val="20"/>
                <w:szCs w:val="20"/>
              </w:rPr>
              <w:t>Operating Expenses</w:t>
            </w:r>
          </w:p>
        </w:tc>
        <w:tc>
          <w:tcPr>
            <w:tcW w:w="1325" w:type="dxa"/>
            <w:tcBorders>
              <w:top w:val="nil"/>
              <w:left w:val="nil"/>
              <w:bottom w:val="nil"/>
              <w:right w:val="nil"/>
            </w:tcBorders>
            <w:shd w:val="clear" w:color="000000" w:fill="FFFFFF"/>
            <w:noWrap/>
            <w:vAlign w:val="bottom"/>
            <w:hideMark/>
          </w:tcPr>
          <w:p w14:paraId="3524B577" w14:textId="6E255EF7" w:rsidR="002A66B3" w:rsidRPr="00730ECF" w:rsidRDefault="002A66B3" w:rsidP="002A66B3">
            <w:pPr>
              <w:jc w:val="right"/>
              <w:rPr>
                <w:rFonts w:cstheme="minorHAnsi"/>
                <w:sz w:val="20"/>
                <w:szCs w:val="20"/>
              </w:rPr>
            </w:pPr>
          </w:p>
        </w:tc>
        <w:tc>
          <w:tcPr>
            <w:tcW w:w="1533" w:type="dxa"/>
            <w:tcBorders>
              <w:top w:val="nil"/>
              <w:left w:val="nil"/>
              <w:bottom w:val="nil"/>
              <w:right w:val="nil"/>
            </w:tcBorders>
            <w:shd w:val="clear" w:color="000000" w:fill="FFFFFF"/>
            <w:noWrap/>
            <w:vAlign w:val="bottom"/>
            <w:hideMark/>
          </w:tcPr>
          <w:p w14:paraId="5C5264AE" w14:textId="00A08DF0" w:rsidR="002A66B3" w:rsidRPr="00730ECF" w:rsidRDefault="002A66B3" w:rsidP="002A66B3">
            <w:pPr>
              <w:jc w:val="right"/>
              <w:rPr>
                <w:rFonts w:cstheme="minorHAnsi"/>
                <w:b/>
                <w:bCs/>
                <w:sz w:val="20"/>
                <w:szCs w:val="20"/>
              </w:rPr>
            </w:pPr>
          </w:p>
        </w:tc>
      </w:tr>
      <w:tr w:rsidR="002A66B3" w:rsidRPr="002A66B3" w14:paraId="2E8BEC33" w14:textId="77777777" w:rsidTr="006F148D">
        <w:trPr>
          <w:trHeight w:val="80"/>
          <w:jc w:val="center"/>
        </w:trPr>
        <w:tc>
          <w:tcPr>
            <w:tcW w:w="6120" w:type="dxa"/>
            <w:tcBorders>
              <w:top w:val="nil"/>
              <w:left w:val="nil"/>
              <w:bottom w:val="nil"/>
              <w:right w:val="nil"/>
            </w:tcBorders>
            <w:shd w:val="clear" w:color="000000" w:fill="FFFFFF"/>
            <w:noWrap/>
            <w:vAlign w:val="bottom"/>
            <w:hideMark/>
          </w:tcPr>
          <w:p w14:paraId="2CEAF5A1" w14:textId="77777777" w:rsidR="002A66B3" w:rsidRPr="00730ECF" w:rsidRDefault="002A66B3" w:rsidP="00730ECF">
            <w:pPr>
              <w:ind w:left="255"/>
              <w:rPr>
                <w:rFonts w:cstheme="minorHAnsi"/>
                <w:color w:val="000000"/>
                <w:sz w:val="20"/>
                <w:szCs w:val="20"/>
              </w:rPr>
            </w:pPr>
            <w:r w:rsidRPr="00730ECF">
              <w:rPr>
                <w:rFonts w:cstheme="minorHAnsi"/>
                <w:color w:val="000000"/>
                <w:sz w:val="20"/>
                <w:szCs w:val="20"/>
              </w:rPr>
              <w:t>Instruction</w:t>
            </w:r>
          </w:p>
        </w:tc>
        <w:tc>
          <w:tcPr>
            <w:tcW w:w="1325" w:type="dxa"/>
            <w:tcBorders>
              <w:top w:val="nil"/>
              <w:left w:val="nil"/>
              <w:bottom w:val="nil"/>
              <w:right w:val="nil"/>
            </w:tcBorders>
            <w:shd w:val="clear" w:color="000000" w:fill="FFFFFF"/>
            <w:noWrap/>
            <w:hideMark/>
          </w:tcPr>
          <w:p w14:paraId="4CDDDD21" w14:textId="3F4A571A" w:rsidR="002A66B3" w:rsidRPr="00730ECF" w:rsidRDefault="002A66B3" w:rsidP="002A66B3">
            <w:pPr>
              <w:jc w:val="right"/>
              <w:rPr>
                <w:rFonts w:cstheme="minorHAnsi"/>
                <w:sz w:val="20"/>
                <w:szCs w:val="20"/>
              </w:rPr>
            </w:pPr>
            <w:r w:rsidRPr="00730ECF">
              <w:rPr>
                <w:rFonts w:cstheme="minorHAnsi"/>
                <w:sz w:val="20"/>
                <w:szCs w:val="20"/>
              </w:rPr>
              <w:t xml:space="preserve">200,041 </w:t>
            </w:r>
          </w:p>
        </w:tc>
        <w:tc>
          <w:tcPr>
            <w:tcW w:w="1533" w:type="dxa"/>
            <w:tcBorders>
              <w:top w:val="nil"/>
              <w:left w:val="nil"/>
              <w:bottom w:val="nil"/>
              <w:right w:val="nil"/>
            </w:tcBorders>
            <w:shd w:val="clear" w:color="000000" w:fill="FFFFFF"/>
            <w:noWrap/>
            <w:vAlign w:val="bottom"/>
            <w:hideMark/>
          </w:tcPr>
          <w:p w14:paraId="76792B4E" w14:textId="77777777" w:rsidR="002A66B3" w:rsidRPr="00730ECF" w:rsidRDefault="002A66B3" w:rsidP="002A66B3">
            <w:pPr>
              <w:jc w:val="right"/>
              <w:rPr>
                <w:rFonts w:cstheme="minorHAnsi"/>
                <w:sz w:val="20"/>
                <w:szCs w:val="20"/>
              </w:rPr>
            </w:pPr>
            <w:r w:rsidRPr="00730ECF">
              <w:rPr>
                <w:rFonts w:cstheme="minorHAnsi"/>
                <w:sz w:val="20"/>
                <w:szCs w:val="20"/>
              </w:rPr>
              <w:t xml:space="preserve">195,660 </w:t>
            </w:r>
          </w:p>
        </w:tc>
      </w:tr>
      <w:tr w:rsidR="002A66B3" w:rsidRPr="002A66B3" w14:paraId="7E8D4B65" w14:textId="77777777" w:rsidTr="006F148D">
        <w:trPr>
          <w:trHeight w:val="80"/>
          <w:jc w:val="center"/>
        </w:trPr>
        <w:tc>
          <w:tcPr>
            <w:tcW w:w="6120" w:type="dxa"/>
            <w:tcBorders>
              <w:top w:val="nil"/>
              <w:left w:val="nil"/>
              <w:bottom w:val="nil"/>
              <w:right w:val="nil"/>
            </w:tcBorders>
            <w:shd w:val="clear" w:color="000000" w:fill="FFFFFF"/>
            <w:noWrap/>
            <w:vAlign w:val="bottom"/>
            <w:hideMark/>
          </w:tcPr>
          <w:p w14:paraId="27F682AD" w14:textId="77777777" w:rsidR="002A66B3" w:rsidRPr="00730ECF" w:rsidRDefault="002A66B3" w:rsidP="00730ECF">
            <w:pPr>
              <w:ind w:left="255"/>
              <w:rPr>
                <w:rFonts w:cstheme="minorHAnsi"/>
                <w:color w:val="000000"/>
                <w:sz w:val="20"/>
                <w:szCs w:val="20"/>
              </w:rPr>
            </w:pPr>
            <w:r w:rsidRPr="00730ECF">
              <w:rPr>
                <w:rFonts w:cstheme="minorHAnsi"/>
                <w:color w:val="000000"/>
                <w:sz w:val="20"/>
                <w:szCs w:val="20"/>
              </w:rPr>
              <w:t>Research</w:t>
            </w:r>
          </w:p>
        </w:tc>
        <w:tc>
          <w:tcPr>
            <w:tcW w:w="1325" w:type="dxa"/>
            <w:tcBorders>
              <w:top w:val="nil"/>
              <w:left w:val="nil"/>
              <w:bottom w:val="nil"/>
              <w:right w:val="nil"/>
            </w:tcBorders>
            <w:shd w:val="clear" w:color="000000" w:fill="FFFFFF"/>
            <w:noWrap/>
            <w:hideMark/>
          </w:tcPr>
          <w:p w14:paraId="37000050" w14:textId="5FE1DC9C" w:rsidR="002A66B3" w:rsidRPr="00730ECF" w:rsidRDefault="002A66B3" w:rsidP="002A66B3">
            <w:pPr>
              <w:jc w:val="right"/>
              <w:rPr>
                <w:rFonts w:cstheme="minorHAnsi"/>
                <w:sz w:val="20"/>
                <w:szCs w:val="20"/>
              </w:rPr>
            </w:pPr>
            <w:r w:rsidRPr="00730ECF">
              <w:rPr>
                <w:rFonts w:cstheme="minorHAnsi"/>
                <w:sz w:val="20"/>
                <w:szCs w:val="20"/>
              </w:rPr>
              <w:t xml:space="preserve">127,419 </w:t>
            </w:r>
          </w:p>
        </w:tc>
        <w:tc>
          <w:tcPr>
            <w:tcW w:w="1533" w:type="dxa"/>
            <w:tcBorders>
              <w:top w:val="nil"/>
              <w:left w:val="nil"/>
              <w:bottom w:val="nil"/>
              <w:right w:val="nil"/>
            </w:tcBorders>
            <w:shd w:val="clear" w:color="000000" w:fill="FFFFFF"/>
            <w:noWrap/>
            <w:vAlign w:val="bottom"/>
            <w:hideMark/>
          </w:tcPr>
          <w:p w14:paraId="1618D242" w14:textId="77777777" w:rsidR="002A66B3" w:rsidRPr="00730ECF" w:rsidRDefault="002A66B3" w:rsidP="002A66B3">
            <w:pPr>
              <w:jc w:val="right"/>
              <w:rPr>
                <w:rFonts w:cstheme="minorHAnsi"/>
                <w:sz w:val="20"/>
                <w:szCs w:val="20"/>
              </w:rPr>
            </w:pPr>
            <w:r w:rsidRPr="00730ECF">
              <w:rPr>
                <w:rFonts w:cstheme="minorHAnsi"/>
                <w:sz w:val="20"/>
                <w:szCs w:val="20"/>
              </w:rPr>
              <w:t xml:space="preserve">119,687 </w:t>
            </w:r>
          </w:p>
        </w:tc>
      </w:tr>
      <w:tr w:rsidR="002A66B3" w:rsidRPr="002A66B3" w14:paraId="41EC8DAC" w14:textId="77777777" w:rsidTr="006F148D">
        <w:trPr>
          <w:trHeight w:val="80"/>
          <w:jc w:val="center"/>
        </w:trPr>
        <w:tc>
          <w:tcPr>
            <w:tcW w:w="6120" w:type="dxa"/>
            <w:tcBorders>
              <w:top w:val="nil"/>
              <w:left w:val="nil"/>
              <w:bottom w:val="nil"/>
              <w:right w:val="nil"/>
            </w:tcBorders>
            <w:shd w:val="clear" w:color="000000" w:fill="FFFFFF"/>
            <w:noWrap/>
            <w:vAlign w:val="bottom"/>
            <w:hideMark/>
          </w:tcPr>
          <w:p w14:paraId="2A492E07" w14:textId="77777777" w:rsidR="002A66B3" w:rsidRPr="00730ECF" w:rsidRDefault="002A66B3" w:rsidP="00730ECF">
            <w:pPr>
              <w:ind w:left="255"/>
              <w:rPr>
                <w:rFonts w:cstheme="minorHAnsi"/>
                <w:color w:val="000000"/>
                <w:sz w:val="20"/>
                <w:szCs w:val="20"/>
              </w:rPr>
            </w:pPr>
            <w:r w:rsidRPr="00730ECF">
              <w:rPr>
                <w:rFonts w:cstheme="minorHAnsi"/>
                <w:color w:val="000000"/>
                <w:sz w:val="20"/>
                <w:szCs w:val="20"/>
              </w:rPr>
              <w:t>Public service</w:t>
            </w:r>
          </w:p>
        </w:tc>
        <w:tc>
          <w:tcPr>
            <w:tcW w:w="1325" w:type="dxa"/>
            <w:tcBorders>
              <w:top w:val="nil"/>
              <w:left w:val="nil"/>
              <w:bottom w:val="nil"/>
              <w:right w:val="nil"/>
            </w:tcBorders>
            <w:shd w:val="clear" w:color="000000" w:fill="FFFFFF"/>
            <w:noWrap/>
            <w:hideMark/>
          </w:tcPr>
          <w:p w14:paraId="5477798A" w14:textId="355E431D" w:rsidR="002A66B3" w:rsidRPr="00730ECF" w:rsidRDefault="002A66B3" w:rsidP="002A66B3">
            <w:pPr>
              <w:jc w:val="right"/>
              <w:rPr>
                <w:rFonts w:cstheme="minorHAnsi"/>
                <w:sz w:val="20"/>
                <w:szCs w:val="20"/>
              </w:rPr>
            </w:pPr>
            <w:r w:rsidRPr="00730ECF">
              <w:rPr>
                <w:rFonts w:cstheme="minorHAnsi"/>
                <w:sz w:val="20"/>
                <w:szCs w:val="20"/>
              </w:rPr>
              <w:t xml:space="preserve">82,587 </w:t>
            </w:r>
          </w:p>
        </w:tc>
        <w:tc>
          <w:tcPr>
            <w:tcW w:w="1533" w:type="dxa"/>
            <w:tcBorders>
              <w:top w:val="nil"/>
              <w:left w:val="nil"/>
              <w:bottom w:val="nil"/>
              <w:right w:val="nil"/>
            </w:tcBorders>
            <w:shd w:val="clear" w:color="000000" w:fill="FFFFFF"/>
            <w:noWrap/>
            <w:vAlign w:val="bottom"/>
            <w:hideMark/>
          </w:tcPr>
          <w:p w14:paraId="067E896A" w14:textId="77777777" w:rsidR="002A66B3" w:rsidRPr="00730ECF" w:rsidRDefault="002A66B3" w:rsidP="002A66B3">
            <w:pPr>
              <w:jc w:val="right"/>
              <w:rPr>
                <w:rFonts w:cstheme="minorHAnsi"/>
                <w:sz w:val="20"/>
                <w:szCs w:val="20"/>
              </w:rPr>
            </w:pPr>
            <w:r w:rsidRPr="00730ECF">
              <w:rPr>
                <w:rFonts w:cstheme="minorHAnsi"/>
                <w:sz w:val="20"/>
                <w:szCs w:val="20"/>
              </w:rPr>
              <w:t xml:space="preserve">76,355 </w:t>
            </w:r>
          </w:p>
        </w:tc>
      </w:tr>
      <w:tr w:rsidR="002A66B3" w:rsidRPr="002A66B3" w14:paraId="149847BC" w14:textId="77777777" w:rsidTr="006F148D">
        <w:trPr>
          <w:trHeight w:val="108"/>
          <w:jc w:val="center"/>
        </w:trPr>
        <w:tc>
          <w:tcPr>
            <w:tcW w:w="6120" w:type="dxa"/>
            <w:tcBorders>
              <w:top w:val="nil"/>
              <w:left w:val="nil"/>
              <w:bottom w:val="nil"/>
              <w:right w:val="nil"/>
            </w:tcBorders>
            <w:shd w:val="clear" w:color="000000" w:fill="FFFFFF"/>
            <w:noWrap/>
            <w:vAlign w:val="bottom"/>
            <w:hideMark/>
          </w:tcPr>
          <w:p w14:paraId="6DD82B3A" w14:textId="77777777" w:rsidR="002A66B3" w:rsidRPr="00730ECF" w:rsidRDefault="002A66B3" w:rsidP="00730ECF">
            <w:pPr>
              <w:ind w:left="255"/>
              <w:rPr>
                <w:rFonts w:cstheme="minorHAnsi"/>
                <w:color w:val="000000"/>
                <w:sz w:val="20"/>
                <w:szCs w:val="20"/>
              </w:rPr>
            </w:pPr>
            <w:r w:rsidRPr="00730ECF">
              <w:rPr>
                <w:rFonts w:cstheme="minorHAnsi"/>
                <w:color w:val="000000"/>
                <w:sz w:val="20"/>
                <w:szCs w:val="20"/>
              </w:rPr>
              <w:t>Academic support</w:t>
            </w:r>
          </w:p>
        </w:tc>
        <w:tc>
          <w:tcPr>
            <w:tcW w:w="1325" w:type="dxa"/>
            <w:tcBorders>
              <w:top w:val="nil"/>
              <w:left w:val="nil"/>
              <w:bottom w:val="nil"/>
              <w:right w:val="nil"/>
            </w:tcBorders>
            <w:shd w:val="clear" w:color="000000" w:fill="FFFFFF"/>
            <w:noWrap/>
            <w:hideMark/>
          </w:tcPr>
          <w:p w14:paraId="18FF3620" w14:textId="67AD62B4" w:rsidR="002A66B3" w:rsidRPr="00730ECF" w:rsidRDefault="002A66B3" w:rsidP="002A66B3">
            <w:pPr>
              <w:jc w:val="right"/>
              <w:rPr>
                <w:rFonts w:cstheme="minorHAnsi"/>
                <w:sz w:val="20"/>
                <w:szCs w:val="20"/>
              </w:rPr>
            </w:pPr>
            <w:r w:rsidRPr="00730ECF">
              <w:rPr>
                <w:rFonts w:cstheme="minorHAnsi"/>
                <w:sz w:val="20"/>
                <w:szCs w:val="20"/>
              </w:rPr>
              <w:t xml:space="preserve">84,750 </w:t>
            </w:r>
          </w:p>
        </w:tc>
        <w:tc>
          <w:tcPr>
            <w:tcW w:w="1533" w:type="dxa"/>
            <w:tcBorders>
              <w:top w:val="nil"/>
              <w:left w:val="nil"/>
              <w:bottom w:val="nil"/>
              <w:right w:val="nil"/>
            </w:tcBorders>
            <w:shd w:val="clear" w:color="000000" w:fill="FFFFFF"/>
            <w:noWrap/>
            <w:vAlign w:val="bottom"/>
            <w:hideMark/>
          </w:tcPr>
          <w:p w14:paraId="11CC2C64" w14:textId="77777777" w:rsidR="002A66B3" w:rsidRPr="00730ECF" w:rsidRDefault="002A66B3" w:rsidP="002A66B3">
            <w:pPr>
              <w:jc w:val="right"/>
              <w:rPr>
                <w:rFonts w:cstheme="minorHAnsi"/>
                <w:sz w:val="20"/>
                <w:szCs w:val="20"/>
              </w:rPr>
            </w:pPr>
            <w:r w:rsidRPr="00730ECF">
              <w:rPr>
                <w:rFonts w:cstheme="minorHAnsi"/>
                <w:sz w:val="20"/>
                <w:szCs w:val="20"/>
              </w:rPr>
              <w:t xml:space="preserve">83,960 </w:t>
            </w:r>
          </w:p>
        </w:tc>
      </w:tr>
      <w:tr w:rsidR="002A66B3" w:rsidRPr="002A66B3" w14:paraId="442594FD" w14:textId="77777777" w:rsidTr="006F148D">
        <w:trPr>
          <w:trHeight w:val="80"/>
          <w:jc w:val="center"/>
        </w:trPr>
        <w:tc>
          <w:tcPr>
            <w:tcW w:w="6120" w:type="dxa"/>
            <w:tcBorders>
              <w:top w:val="nil"/>
              <w:left w:val="nil"/>
              <w:bottom w:val="nil"/>
              <w:right w:val="nil"/>
            </w:tcBorders>
            <w:shd w:val="clear" w:color="000000" w:fill="FFFFFF"/>
            <w:noWrap/>
            <w:vAlign w:val="bottom"/>
            <w:hideMark/>
          </w:tcPr>
          <w:p w14:paraId="1915F9FC" w14:textId="77777777" w:rsidR="002A66B3" w:rsidRPr="00730ECF" w:rsidRDefault="002A66B3" w:rsidP="00730ECF">
            <w:pPr>
              <w:ind w:left="255"/>
              <w:rPr>
                <w:rFonts w:cstheme="minorHAnsi"/>
                <w:color w:val="000000"/>
                <w:sz w:val="20"/>
                <w:szCs w:val="20"/>
              </w:rPr>
            </w:pPr>
            <w:r w:rsidRPr="00730ECF">
              <w:rPr>
                <w:rFonts w:cstheme="minorHAnsi"/>
                <w:color w:val="000000"/>
                <w:sz w:val="20"/>
                <w:szCs w:val="20"/>
              </w:rPr>
              <w:t>Student services</w:t>
            </w:r>
          </w:p>
        </w:tc>
        <w:tc>
          <w:tcPr>
            <w:tcW w:w="1325" w:type="dxa"/>
            <w:tcBorders>
              <w:top w:val="nil"/>
              <w:left w:val="nil"/>
              <w:bottom w:val="nil"/>
              <w:right w:val="nil"/>
            </w:tcBorders>
            <w:shd w:val="clear" w:color="000000" w:fill="FFFFFF"/>
            <w:noWrap/>
            <w:hideMark/>
          </w:tcPr>
          <w:p w14:paraId="7B240678" w14:textId="14B0C07A" w:rsidR="002A66B3" w:rsidRPr="00730ECF" w:rsidRDefault="002A66B3" w:rsidP="002A66B3">
            <w:pPr>
              <w:jc w:val="right"/>
              <w:rPr>
                <w:rFonts w:cstheme="minorHAnsi"/>
                <w:sz w:val="20"/>
                <w:szCs w:val="20"/>
              </w:rPr>
            </w:pPr>
            <w:r w:rsidRPr="00730ECF">
              <w:rPr>
                <w:rFonts w:cstheme="minorHAnsi"/>
                <w:sz w:val="20"/>
                <w:szCs w:val="20"/>
              </w:rPr>
              <w:t xml:space="preserve">79,598 </w:t>
            </w:r>
          </w:p>
        </w:tc>
        <w:tc>
          <w:tcPr>
            <w:tcW w:w="1533" w:type="dxa"/>
            <w:tcBorders>
              <w:top w:val="nil"/>
              <w:left w:val="nil"/>
              <w:bottom w:val="nil"/>
              <w:right w:val="nil"/>
            </w:tcBorders>
            <w:shd w:val="clear" w:color="000000" w:fill="FFFFFF"/>
            <w:noWrap/>
            <w:vAlign w:val="bottom"/>
            <w:hideMark/>
          </w:tcPr>
          <w:p w14:paraId="30192633" w14:textId="77777777" w:rsidR="002A66B3" w:rsidRPr="00730ECF" w:rsidRDefault="002A66B3" w:rsidP="002A66B3">
            <w:pPr>
              <w:jc w:val="right"/>
              <w:rPr>
                <w:rFonts w:cstheme="minorHAnsi"/>
                <w:sz w:val="20"/>
                <w:szCs w:val="20"/>
              </w:rPr>
            </w:pPr>
            <w:r w:rsidRPr="00730ECF">
              <w:rPr>
                <w:rFonts w:cstheme="minorHAnsi"/>
                <w:sz w:val="20"/>
                <w:szCs w:val="20"/>
              </w:rPr>
              <w:t xml:space="preserve">78,477 </w:t>
            </w:r>
          </w:p>
        </w:tc>
      </w:tr>
      <w:tr w:rsidR="002A66B3" w:rsidRPr="002A66B3" w14:paraId="0FB5893F" w14:textId="77777777" w:rsidTr="006F148D">
        <w:trPr>
          <w:trHeight w:val="80"/>
          <w:jc w:val="center"/>
        </w:trPr>
        <w:tc>
          <w:tcPr>
            <w:tcW w:w="6120" w:type="dxa"/>
            <w:tcBorders>
              <w:top w:val="nil"/>
              <w:left w:val="nil"/>
              <w:bottom w:val="nil"/>
              <w:right w:val="nil"/>
            </w:tcBorders>
            <w:shd w:val="clear" w:color="000000" w:fill="FFFFFF"/>
            <w:noWrap/>
            <w:vAlign w:val="bottom"/>
            <w:hideMark/>
          </w:tcPr>
          <w:p w14:paraId="2B74FF2B" w14:textId="77777777" w:rsidR="002A66B3" w:rsidRPr="00730ECF" w:rsidRDefault="002A66B3" w:rsidP="00730ECF">
            <w:pPr>
              <w:ind w:left="255"/>
              <w:rPr>
                <w:rFonts w:cstheme="minorHAnsi"/>
                <w:color w:val="000000"/>
                <w:sz w:val="20"/>
                <w:szCs w:val="20"/>
              </w:rPr>
            </w:pPr>
            <w:r w:rsidRPr="00730ECF">
              <w:rPr>
                <w:rFonts w:cstheme="minorHAnsi"/>
                <w:color w:val="000000"/>
                <w:sz w:val="20"/>
                <w:szCs w:val="20"/>
              </w:rPr>
              <w:t>Institutional support</w:t>
            </w:r>
          </w:p>
        </w:tc>
        <w:tc>
          <w:tcPr>
            <w:tcW w:w="1325" w:type="dxa"/>
            <w:tcBorders>
              <w:top w:val="nil"/>
              <w:left w:val="nil"/>
              <w:bottom w:val="nil"/>
              <w:right w:val="nil"/>
            </w:tcBorders>
            <w:shd w:val="clear" w:color="000000" w:fill="FFFFFF"/>
            <w:noWrap/>
          </w:tcPr>
          <w:p w14:paraId="426DCCBE" w14:textId="1C0E1D48" w:rsidR="002A66B3" w:rsidRPr="00730ECF" w:rsidRDefault="00BA70E7" w:rsidP="00642F95">
            <w:pPr>
              <w:jc w:val="right"/>
              <w:rPr>
                <w:rFonts w:cstheme="minorHAnsi"/>
                <w:sz w:val="20"/>
                <w:szCs w:val="20"/>
              </w:rPr>
            </w:pPr>
            <w:r w:rsidRPr="00BA70E7">
              <w:rPr>
                <w:rFonts w:cstheme="minorHAnsi"/>
                <w:sz w:val="20"/>
                <w:szCs w:val="20"/>
              </w:rPr>
              <w:t>92,543</w:t>
            </w:r>
          </w:p>
        </w:tc>
        <w:tc>
          <w:tcPr>
            <w:tcW w:w="1325" w:type="dxa"/>
            <w:tcBorders>
              <w:top w:val="nil"/>
              <w:left w:val="nil"/>
              <w:bottom w:val="nil"/>
              <w:right w:val="nil"/>
            </w:tcBorders>
            <w:shd w:val="clear" w:color="000000" w:fill="FFFFFF"/>
            <w:noWrap/>
            <w:vAlign w:val="bottom"/>
            <w:hideMark/>
          </w:tcPr>
          <w:p w14:paraId="095470BD" w14:textId="77777777" w:rsidR="002A66B3" w:rsidRPr="00730ECF" w:rsidRDefault="002A66B3" w:rsidP="002A66B3">
            <w:pPr>
              <w:jc w:val="right"/>
              <w:rPr>
                <w:rFonts w:cstheme="minorHAnsi"/>
                <w:sz w:val="20"/>
                <w:szCs w:val="20"/>
              </w:rPr>
            </w:pPr>
            <w:r w:rsidRPr="00642F95">
              <w:rPr>
                <w:rFonts w:cstheme="minorHAnsi"/>
                <w:sz w:val="20"/>
                <w:szCs w:val="20"/>
              </w:rPr>
              <w:t>78,880</w:t>
            </w:r>
          </w:p>
        </w:tc>
      </w:tr>
      <w:tr w:rsidR="002A66B3" w:rsidRPr="002A66B3" w14:paraId="5C19878A" w14:textId="77777777" w:rsidTr="006F148D">
        <w:trPr>
          <w:trHeight w:val="80"/>
          <w:jc w:val="center"/>
        </w:trPr>
        <w:tc>
          <w:tcPr>
            <w:tcW w:w="6120" w:type="dxa"/>
            <w:tcBorders>
              <w:top w:val="nil"/>
              <w:left w:val="nil"/>
              <w:bottom w:val="nil"/>
              <w:right w:val="nil"/>
            </w:tcBorders>
            <w:shd w:val="clear" w:color="000000" w:fill="FFFFFF"/>
            <w:noWrap/>
            <w:vAlign w:val="bottom"/>
            <w:hideMark/>
          </w:tcPr>
          <w:p w14:paraId="4BBC18A9" w14:textId="77777777" w:rsidR="002A66B3" w:rsidRPr="00730ECF" w:rsidRDefault="002A66B3" w:rsidP="00730ECF">
            <w:pPr>
              <w:ind w:left="255"/>
              <w:rPr>
                <w:rFonts w:cstheme="minorHAnsi"/>
                <w:color w:val="000000"/>
                <w:sz w:val="20"/>
                <w:szCs w:val="20"/>
              </w:rPr>
            </w:pPr>
            <w:r w:rsidRPr="00730ECF">
              <w:rPr>
                <w:rFonts w:cstheme="minorHAnsi"/>
                <w:color w:val="000000"/>
                <w:sz w:val="20"/>
                <w:szCs w:val="20"/>
              </w:rPr>
              <w:t>Operation and maintenance of plant</w:t>
            </w:r>
          </w:p>
        </w:tc>
        <w:tc>
          <w:tcPr>
            <w:tcW w:w="1325" w:type="dxa"/>
            <w:tcBorders>
              <w:top w:val="nil"/>
              <w:left w:val="nil"/>
              <w:bottom w:val="nil"/>
              <w:right w:val="nil"/>
            </w:tcBorders>
            <w:shd w:val="clear" w:color="000000" w:fill="FFFFFF"/>
            <w:noWrap/>
            <w:hideMark/>
          </w:tcPr>
          <w:p w14:paraId="0A0AE2FD" w14:textId="3E297D0D" w:rsidR="002A66B3" w:rsidRPr="00730ECF" w:rsidRDefault="002A66B3" w:rsidP="002A66B3">
            <w:pPr>
              <w:jc w:val="right"/>
              <w:rPr>
                <w:rFonts w:cstheme="minorHAnsi"/>
                <w:sz w:val="20"/>
                <w:szCs w:val="20"/>
              </w:rPr>
            </w:pPr>
            <w:r w:rsidRPr="00730ECF">
              <w:rPr>
                <w:rFonts w:cstheme="minorHAnsi"/>
                <w:sz w:val="20"/>
                <w:szCs w:val="20"/>
              </w:rPr>
              <w:t xml:space="preserve">68,183 </w:t>
            </w:r>
          </w:p>
        </w:tc>
        <w:tc>
          <w:tcPr>
            <w:tcW w:w="1533" w:type="dxa"/>
            <w:tcBorders>
              <w:top w:val="nil"/>
              <w:left w:val="nil"/>
              <w:bottom w:val="nil"/>
              <w:right w:val="nil"/>
            </w:tcBorders>
            <w:shd w:val="clear" w:color="000000" w:fill="FFFFFF"/>
            <w:noWrap/>
            <w:vAlign w:val="bottom"/>
            <w:hideMark/>
          </w:tcPr>
          <w:p w14:paraId="5EB2C459" w14:textId="77777777" w:rsidR="002A66B3" w:rsidRPr="00730ECF" w:rsidRDefault="002A66B3" w:rsidP="002A66B3">
            <w:pPr>
              <w:jc w:val="right"/>
              <w:rPr>
                <w:rFonts w:cstheme="minorHAnsi"/>
                <w:sz w:val="20"/>
                <w:szCs w:val="20"/>
              </w:rPr>
            </w:pPr>
            <w:r w:rsidRPr="00730ECF">
              <w:rPr>
                <w:rFonts w:cstheme="minorHAnsi"/>
                <w:sz w:val="20"/>
                <w:szCs w:val="20"/>
              </w:rPr>
              <w:t xml:space="preserve">63,828 </w:t>
            </w:r>
          </w:p>
        </w:tc>
      </w:tr>
      <w:tr w:rsidR="002A66B3" w:rsidRPr="002A66B3" w14:paraId="7CE1A678" w14:textId="77777777" w:rsidTr="006F148D">
        <w:trPr>
          <w:trHeight w:val="80"/>
          <w:jc w:val="center"/>
        </w:trPr>
        <w:tc>
          <w:tcPr>
            <w:tcW w:w="6120" w:type="dxa"/>
            <w:tcBorders>
              <w:top w:val="nil"/>
              <w:left w:val="nil"/>
              <w:bottom w:val="nil"/>
              <w:right w:val="nil"/>
            </w:tcBorders>
            <w:shd w:val="clear" w:color="000000" w:fill="FFFFFF"/>
            <w:noWrap/>
            <w:vAlign w:val="bottom"/>
            <w:hideMark/>
          </w:tcPr>
          <w:p w14:paraId="68FD2FB0" w14:textId="77777777" w:rsidR="002A66B3" w:rsidRPr="00730ECF" w:rsidRDefault="002A66B3" w:rsidP="00730ECF">
            <w:pPr>
              <w:ind w:left="255"/>
              <w:rPr>
                <w:rFonts w:cstheme="minorHAnsi"/>
                <w:color w:val="000000"/>
                <w:sz w:val="20"/>
                <w:szCs w:val="20"/>
              </w:rPr>
            </w:pPr>
            <w:r w:rsidRPr="00730ECF">
              <w:rPr>
                <w:rFonts w:cstheme="minorHAnsi"/>
                <w:color w:val="000000"/>
                <w:sz w:val="20"/>
                <w:szCs w:val="20"/>
              </w:rPr>
              <w:t xml:space="preserve">Depreciation and amortization </w:t>
            </w:r>
            <w:r w:rsidRPr="00730ECF">
              <w:rPr>
                <w:rFonts w:cstheme="minorHAnsi"/>
                <w:i/>
                <w:iCs/>
                <w:color w:val="000000"/>
                <w:sz w:val="20"/>
                <w:szCs w:val="20"/>
              </w:rPr>
              <w:t>(Note 6)</w:t>
            </w:r>
          </w:p>
        </w:tc>
        <w:tc>
          <w:tcPr>
            <w:tcW w:w="1325" w:type="dxa"/>
            <w:tcBorders>
              <w:top w:val="nil"/>
              <w:left w:val="nil"/>
              <w:bottom w:val="nil"/>
              <w:right w:val="nil"/>
            </w:tcBorders>
            <w:noWrap/>
            <w:hideMark/>
          </w:tcPr>
          <w:p w14:paraId="541B5B9D" w14:textId="13D5BDFF" w:rsidR="002A66B3" w:rsidRPr="00730ECF" w:rsidRDefault="002A66B3" w:rsidP="002A66B3">
            <w:pPr>
              <w:jc w:val="right"/>
              <w:rPr>
                <w:rFonts w:cstheme="minorHAnsi"/>
                <w:sz w:val="20"/>
                <w:szCs w:val="20"/>
              </w:rPr>
            </w:pPr>
            <w:r w:rsidRPr="00730ECF">
              <w:rPr>
                <w:rFonts w:cstheme="minorHAnsi"/>
                <w:sz w:val="20"/>
                <w:szCs w:val="20"/>
              </w:rPr>
              <w:t xml:space="preserve">63,481 </w:t>
            </w:r>
          </w:p>
        </w:tc>
        <w:tc>
          <w:tcPr>
            <w:tcW w:w="1533" w:type="dxa"/>
            <w:tcBorders>
              <w:top w:val="nil"/>
              <w:left w:val="nil"/>
              <w:bottom w:val="nil"/>
              <w:right w:val="nil"/>
            </w:tcBorders>
            <w:noWrap/>
            <w:vAlign w:val="bottom"/>
            <w:hideMark/>
          </w:tcPr>
          <w:p w14:paraId="3896665C" w14:textId="77777777" w:rsidR="002A66B3" w:rsidRPr="00730ECF" w:rsidRDefault="002A66B3" w:rsidP="002A66B3">
            <w:pPr>
              <w:jc w:val="right"/>
              <w:rPr>
                <w:rFonts w:cstheme="minorHAnsi"/>
                <w:sz w:val="20"/>
                <w:szCs w:val="20"/>
              </w:rPr>
            </w:pPr>
            <w:r w:rsidRPr="00730ECF">
              <w:rPr>
                <w:rFonts w:cstheme="minorHAnsi"/>
                <w:sz w:val="20"/>
                <w:szCs w:val="20"/>
              </w:rPr>
              <w:t xml:space="preserve">56,987 </w:t>
            </w:r>
          </w:p>
        </w:tc>
      </w:tr>
      <w:tr w:rsidR="002A66B3" w:rsidRPr="002A66B3" w14:paraId="02B07BF3" w14:textId="77777777" w:rsidTr="006F148D">
        <w:trPr>
          <w:trHeight w:val="80"/>
          <w:jc w:val="center"/>
        </w:trPr>
        <w:tc>
          <w:tcPr>
            <w:tcW w:w="6120" w:type="dxa"/>
            <w:tcBorders>
              <w:top w:val="nil"/>
              <w:left w:val="nil"/>
              <w:bottom w:val="nil"/>
              <w:right w:val="nil"/>
            </w:tcBorders>
            <w:shd w:val="clear" w:color="000000" w:fill="FFFFFF"/>
            <w:noWrap/>
            <w:vAlign w:val="bottom"/>
            <w:hideMark/>
          </w:tcPr>
          <w:p w14:paraId="77BC3BA2" w14:textId="77777777" w:rsidR="002A66B3" w:rsidRPr="00730ECF" w:rsidRDefault="002A66B3" w:rsidP="00730ECF">
            <w:pPr>
              <w:ind w:left="255"/>
              <w:rPr>
                <w:rFonts w:cstheme="minorHAnsi"/>
                <w:color w:val="000000"/>
                <w:sz w:val="20"/>
                <w:szCs w:val="20"/>
              </w:rPr>
            </w:pPr>
            <w:r w:rsidRPr="00730ECF">
              <w:rPr>
                <w:rFonts w:cstheme="minorHAnsi"/>
                <w:color w:val="000000"/>
                <w:sz w:val="20"/>
                <w:szCs w:val="20"/>
              </w:rPr>
              <w:t>Student aid</w:t>
            </w:r>
          </w:p>
        </w:tc>
        <w:tc>
          <w:tcPr>
            <w:tcW w:w="1325" w:type="dxa"/>
            <w:tcBorders>
              <w:top w:val="nil"/>
              <w:left w:val="nil"/>
              <w:bottom w:val="nil"/>
              <w:right w:val="nil"/>
            </w:tcBorders>
            <w:shd w:val="clear" w:color="000000" w:fill="FFFFFF"/>
            <w:noWrap/>
            <w:hideMark/>
          </w:tcPr>
          <w:p w14:paraId="0B48A161" w14:textId="77777777" w:rsidR="002A66B3" w:rsidRPr="00730ECF" w:rsidRDefault="002A66B3" w:rsidP="002A66B3">
            <w:pPr>
              <w:jc w:val="right"/>
              <w:rPr>
                <w:rFonts w:cstheme="minorHAnsi"/>
                <w:sz w:val="20"/>
                <w:szCs w:val="20"/>
              </w:rPr>
            </w:pPr>
            <w:r w:rsidRPr="00730ECF">
              <w:rPr>
                <w:rFonts w:cstheme="minorHAnsi"/>
                <w:sz w:val="20"/>
                <w:szCs w:val="20"/>
              </w:rPr>
              <w:t>10,161</w:t>
            </w:r>
          </w:p>
        </w:tc>
        <w:tc>
          <w:tcPr>
            <w:tcW w:w="1533" w:type="dxa"/>
            <w:tcBorders>
              <w:top w:val="nil"/>
              <w:left w:val="nil"/>
              <w:bottom w:val="nil"/>
              <w:right w:val="nil"/>
            </w:tcBorders>
            <w:shd w:val="clear" w:color="000000" w:fill="FFFFFF"/>
            <w:noWrap/>
            <w:vAlign w:val="bottom"/>
            <w:hideMark/>
          </w:tcPr>
          <w:p w14:paraId="7C63AC86" w14:textId="77777777" w:rsidR="002A66B3" w:rsidRPr="00730ECF" w:rsidRDefault="002A66B3" w:rsidP="002A66B3">
            <w:pPr>
              <w:jc w:val="right"/>
              <w:rPr>
                <w:rFonts w:cstheme="minorHAnsi"/>
                <w:sz w:val="20"/>
                <w:szCs w:val="20"/>
              </w:rPr>
            </w:pPr>
            <w:r w:rsidRPr="00730ECF">
              <w:rPr>
                <w:rFonts w:cstheme="minorHAnsi"/>
                <w:sz w:val="20"/>
                <w:szCs w:val="20"/>
              </w:rPr>
              <w:t xml:space="preserve">26,884 </w:t>
            </w:r>
          </w:p>
        </w:tc>
      </w:tr>
      <w:tr w:rsidR="002A66B3" w:rsidRPr="002A66B3" w14:paraId="14A4DEA8" w14:textId="77777777" w:rsidTr="006F148D">
        <w:trPr>
          <w:trHeight w:val="80"/>
          <w:jc w:val="center"/>
        </w:trPr>
        <w:tc>
          <w:tcPr>
            <w:tcW w:w="6120" w:type="dxa"/>
            <w:tcBorders>
              <w:top w:val="nil"/>
              <w:left w:val="nil"/>
              <w:bottom w:val="single" w:sz="4" w:space="0" w:color="000000"/>
              <w:right w:val="nil"/>
            </w:tcBorders>
            <w:shd w:val="clear" w:color="000000" w:fill="FFFFFF"/>
            <w:noWrap/>
            <w:vAlign w:val="bottom"/>
            <w:hideMark/>
          </w:tcPr>
          <w:p w14:paraId="725DABF3" w14:textId="77777777" w:rsidR="002A66B3" w:rsidRPr="00730ECF" w:rsidRDefault="002A66B3" w:rsidP="00730ECF">
            <w:pPr>
              <w:ind w:left="255"/>
              <w:rPr>
                <w:rFonts w:cstheme="minorHAnsi"/>
                <w:color w:val="000000"/>
                <w:sz w:val="20"/>
                <w:szCs w:val="20"/>
              </w:rPr>
            </w:pPr>
            <w:r w:rsidRPr="00730ECF">
              <w:rPr>
                <w:rFonts w:cstheme="minorHAnsi"/>
                <w:color w:val="000000"/>
                <w:sz w:val="20"/>
                <w:szCs w:val="20"/>
              </w:rPr>
              <w:t>Auxiliary enterprises</w:t>
            </w:r>
          </w:p>
        </w:tc>
        <w:tc>
          <w:tcPr>
            <w:tcW w:w="1325" w:type="dxa"/>
            <w:tcBorders>
              <w:top w:val="nil"/>
              <w:left w:val="nil"/>
              <w:bottom w:val="single" w:sz="4" w:space="0" w:color="000000"/>
              <w:right w:val="nil"/>
            </w:tcBorders>
            <w:shd w:val="clear" w:color="000000" w:fill="FFFFFF"/>
            <w:noWrap/>
            <w:hideMark/>
          </w:tcPr>
          <w:p w14:paraId="0E9A703B" w14:textId="39EA1899" w:rsidR="002A66B3" w:rsidRPr="00730ECF" w:rsidRDefault="002A66B3" w:rsidP="002A66B3">
            <w:pPr>
              <w:jc w:val="right"/>
              <w:rPr>
                <w:rFonts w:cstheme="minorHAnsi"/>
                <w:sz w:val="20"/>
                <w:szCs w:val="20"/>
              </w:rPr>
            </w:pPr>
            <w:r w:rsidRPr="00730ECF">
              <w:rPr>
                <w:rFonts w:cstheme="minorHAnsi"/>
                <w:sz w:val="20"/>
                <w:szCs w:val="20"/>
              </w:rPr>
              <w:t xml:space="preserve">76,717 </w:t>
            </w:r>
          </w:p>
        </w:tc>
        <w:tc>
          <w:tcPr>
            <w:tcW w:w="1533" w:type="dxa"/>
            <w:tcBorders>
              <w:top w:val="nil"/>
              <w:left w:val="nil"/>
              <w:bottom w:val="single" w:sz="4" w:space="0" w:color="000000"/>
              <w:right w:val="nil"/>
            </w:tcBorders>
            <w:shd w:val="clear" w:color="000000" w:fill="FFFFFF"/>
            <w:noWrap/>
            <w:vAlign w:val="bottom"/>
            <w:hideMark/>
          </w:tcPr>
          <w:p w14:paraId="55D05116" w14:textId="77777777" w:rsidR="002A66B3" w:rsidRPr="00730ECF" w:rsidRDefault="002A66B3" w:rsidP="002A66B3">
            <w:pPr>
              <w:jc w:val="right"/>
              <w:rPr>
                <w:rFonts w:cstheme="minorHAnsi"/>
                <w:sz w:val="20"/>
                <w:szCs w:val="20"/>
              </w:rPr>
            </w:pPr>
            <w:r w:rsidRPr="00730ECF">
              <w:rPr>
                <w:rFonts w:cstheme="minorHAnsi"/>
                <w:sz w:val="20"/>
                <w:szCs w:val="20"/>
              </w:rPr>
              <w:t xml:space="preserve">69,974 </w:t>
            </w:r>
          </w:p>
        </w:tc>
      </w:tr>
      <w:tr w:rsidR="002A66B3" w:rsidRPr="002A66B3" w14:paraId="5D2AE82D" w14:textId="77777777" w:rsidTr="006F148D">
        <w:trPr>
          <w:trHeight w:val="70"/>
          <w:jc w:val="center"/>
        </w:trPr>
        <w:tc>
          <w:tcPr>
            <w:tcW w:w="6120" w:type="dxa"/>
            <w:tcBorders>
              <w:top w:val="nil"/>
              <w:left w:val="nil"/>
              <w:bottom w:val="single" w:sz="4" w:space="0" w:color="000000"/>
              <w:right w:val="nil"/>
            </w:tcBorders>
            <w:shd w:val="clear" w:color="000000" w:fill="FFFFFF"/>
            <w:noWrap/>
            <w:vAlign w:val="bottom"/>
            <w:hideMark/>
          </w:tcPr>
          <w:p w14:paraId="74124273" w14:textId="77777777" w:rsidR="002A66B3" w:rsidRPr="00730ECF" w:rsidRDefault="002A66B3" w:rsidP="00730ECF">
            <w:pPr>
              <w:ind w:left="435"/>
              <w:rPr>
                <w:rFonts w:cstheme="minorHAnsi"/>
                <w:b/>
                <w:bCs/>
                <w:color w:val="000000"/>
                <w:sz w:val="20"/>
                <w:szCs w:val="20"/>
              </w:rPr>
            </w:pPr>
            <w:r w:rsidRPr="00730ECF">
              <w:rPr>
                <w:rFonts w:cstheme="minorHAnsi"/>
                <w:b/>
                <w:bCs/>
                <w:color w:val="000000"/>
                <w:sz w:val="20"/>
                <w:szCs w:val="20"/>
              </w:rPr>
              <w:t>Total Operating Expenses</w:t>
            </w:r>
          </w:p>
        </w:tc>
        <w:tc>
          <w:tcPr>
            <w:tcW w:w="1325" w:type="dxa"/>
            <w:tcBorders>
              <w:top w:val="nil"/>
              <w:left w:val="nil"/>
              <w:bottom w:val="single" w:sz="4" w:space="0" w:color="000000"/>
              <w:right w:val="nil"/>
            </w:tcBorders>
            <w:shd w:val="clear" w:color="000000" w:fill="FFFFFF"/>
            <w:noWrap/>
            <w:hideMark/>
          </w:tcPr>
          <w:p w14:paraId="7B8C262B" w14:textId="7D968652" w:rsidR="002A66B3" w:rsidRPr="00730ECF" w:rsidRDefault="00BA70E7" w:rsidP="002A66B3">
            <w:pPr>
              <w:jc w:val="right"/>
              <w:rPr>
                <w:rFonts w:cstheme="minorHAnsi"/>
                <w:sz w:val="20"/>
                <w:szCs w:val="20"/>
              </w:rPr>
            </w:pPr>
            <w:r w:rsidRPr="00BA70E7">
              <w:rPr>
                <w:rFonts w:cstheme="minorHAnsi"/>
                <w:sz w:val="20"/>
                <w:szCs w:val="20"/>
              </w:rPr>
              <w:t>885,480</w:t>
            </w:r>
          </w:p>
        </w:tc>
        <w:tc>
          <w:tcPr>
            <w:tcW w:w="1533" w:type="dxa"/>
            <w:tcBorders>
              <w:top w:val="nil"/>
              <w:left w:val="nil"/>
              <w:bottom w:val="single" w:sz="4" w:space="0" w:color="000000"/>
              <w:right w:val="nil"/>
            </w:tcBorders>
            <w:shd w:val="clear" w:color="000000" w:fill="FFFFFF"/>
            <w:noWrap/>
            <w:vAlign w:val="bottom"/>
            <w:hideMark/>
          </w:tcPr>
          <w:p w14:paraId="4AA12B25" w14:textId="77777777" w:rsidR="002A66B3" w:rsidRPr="00730ECF" w:rsidRDefault="002A66B3" w:rsidP="002A66B3">
            <w:pPr>
              <w:jc w:val="right"/>
              <w:rPr>
                <w:rFonts w:cstheme="minorHAnsi"/>
                <w:sz w:val="20"/>
                <w:szCs w:val="20"/>
              </w:rPr>
            </w:pPr>
            <w:r w:rsidRPr="00730ECF">
              <w:rPr>
                <w:rFonts w:cstheme="minorHAnsi"/>
                <w:sz w:val="20"/>
                <w:szCs w:val="20"/>
              </w:rPr>
              <w:t>850,692</w:t>
            </w:r>
          </w:p>
        </w:tc>
      </w:tr>
      <w:tr w:rsidR="002A66B3" w:rsidRPr="002A66B3" w14:paraId="1049A23D" w14:textId="77777777" w:rsidTr="006F148D">
        <w:trPr>
          <w:trHeight w:val="70"/>
          <w:jc w:val="center"/>
        </w:trPr>
        <w:tc>
          <w:tcPr>
            <w:tcW w:w="6120" w:type="dxa"/>
            <w:tcBorders>
              <w:top w:val="nil"/>
              <w:left w:val="nil"/>
              <w:bottom w:val="single" w:sz="4" w:space="0" w:color="000000"/>
              <w:right w:val="nil"/>
            </w:tcBorders>
            <w:shd w:val="clear" w:color="000000" w:fill="FFFFFF"/>
            <w:noWrap/>
            <w:vAlign w:val="bottom"/>
            <w:hideMark/>
          </w:tcPr>
          <w:p w14:paraId="54142697" w14:textId="77777777" w:rsidR="002A66B3" w:rsidRPr="00730ECF" w:rsidRDefault="002A66B3" w:rsidP="002A66B3">
            <w:pPr>
              <w:rPr>
                <w:rFonts w:cstheme="minorHAnsi"/>
                <w:b/>
                <w:bCs/>
                <w:color w:val="000000"/>
                <w:sz w:val="20"/>
                <w:szCs w:val="20"/>
              </w:rPr>
            </w:pPr>
            <w:r w:rsidRPr="00730ECF">
              <w:rPr>
                <w:rFonts w:cstheme="minorHAnsi"/>
                <w:b/>
                <w:bCs/>
                <w:color w:val="000000"/>
                <w:sz w:val="20"/>
                <w:szCs w:val="20"/>
              </w:rPr>
              <w:t>Operating Loss</w:t>
            </w:r>
          </w:p>
        </w:tc>
        <w:tc>
          <w:tcPr>
            <w:tcW w:w="1325" w:type="dxa"/>
            <w:tcBorders>
              <w:top w:val="nil"/>
              <w:left w:val="nil"/>
              <w:bottom w:val="single" w:sz="4" w:space="0" w:color="000000"/>
              <w:right w:val="nil"/>
            </w:tcBorders>
            <w:shd w:val="clear" w:color="000000" w:fill="FFFFFF"/>
            <w:noWrap/>
            <w:hideMark/>
          </w:tcPr>
          <w:p w14:paraId="241944A7" w14:textId="12ABE8DC" w:rsidR="002A66B3" w:rsidRPr="00730ECF" w:rsidRDefault="00BA70E7" w:rsidP="002A66B3">
            <w:pPr>
              <w:jc w:val="right"/>
              <w:rPr>
                <w:rFonts w:cstheme="minorHAnsi"/>
                <w:sz w:val="20"/>
                <w:szCs w:val="20"/>
              </w:rPr>
            </w:pPr>
            <w:r w:rsidRPr="00BA70E7">
              <w:rPr>
                <w:rFonts w:cstheme="minorHAnsi"/>
                <w:sz w:val="20"/>
                <w:szCs w:val="20"/>
              </w:rPr>
              <w:t>(350,301)</w:t>
            </w:r>
          </w:p>
        </w:tc>
        <w:tc>
          <w:tcPr>
            <w:tcW w:w="1533" w:type="dxa"/>
            <w:tcBorders>
              <w:top w:val="nil"/>
              <w:left w:val="nil"/>
              <w:bottom w:val="single" w:sz="4" w:space="0" w:color="000000"/>
              <w:right w:val="nil"/>
            </w:tcBorders>
            <w:shd w:val="clear" w:color="000000" w:fill="FFFFFF"/>
            <w:noWrap/>
            <w:vAlign w:val="bottom"/>
            <w:hideMark/>
          </w:tcPr>
          <w:p w14:paraId="786B6D51" w14:textId="3F2FC9BD" w:rsidR="002A66B3" w:rsidRPr="00730ECF" w:rsidRDefault="002A66B3" w:rsidP="002A66B3">
            <w:pPr>
              <w:jc w:val="right"/>
              <w:rPr>
                <w:rFonts w:cstheme="minorHAnsi"/>
                <w:sz w:val="20"/>
                <w:szCs w:val="20"/>
              </w:rPr>
            </w:pPr>
            <w:r w:rsidRPr="00730ECF">
              <w:rPr>
                <w:rFonts w:cstheme="minorHAnsi"/>
                <w:sz w:val="20"/>
                <w:szCs w:val="20"/>
              </w:rPr>
              <w:t>(339,630)</w:t>
            </w:r>
          </w:p>
        </w:tc>
      </w:tr>
      <w:tr w:rsidR="002A66B3" w:rsidRPr="002A66B3" w14:paraId="39CE87FD" w14:textId="77777777" w:rsidTr="006F148D">
        <w:trPr>
          <w:trHeight w:val="70"/>
          <w:jc w:val="center"/>
        </w:trPr>
        <w:tc>
          <w:tcPr>
            <w:tcW w:w="6120" w:type="dxa"/>
            <w:tcBorders>
              <w:top w:val="nil"/>
              <w:left w:val="nil"/>
              <w:bottom w:val="nil"/>
              <w:right w:val="nil"/>
            </w:tcBorders>
            <w:shd w:val="clear" w:color="000000" w:fill="FFFFFF"/>
            <w:noWrap/>
            <w:vAlign w:val="bottom"/>
            <w:hideMark/>
          </w:tcPr>
          <w:p w14:paraId="5C13CC33" w14:textId="77777777" w:rsidR="002A66B3" w:rsidRPr="00730ECF" w:rsidRDefault="002A66B3" w:rsidP="002A66B3">
            <w:pPr>
              <w:rPr>
                <w:rFonts w:cstheme="minorHAnsi"/>
                <w:b/>
                <w:bCs/>
                <w:color w:val="000000"/>
                <w:sz w:val="20"/>
                <w:szCs w:val="20"/>
              </w:rPr>
            </w:pPr>
            <w:r w:rsidRPr="00730ECF">
              <w:rPr>
                <w:rFonts w:cstheme="minorHAnsi"/>
                <w:b/>
                <w:bCs/>
                <w:color w:val="000000"/>
                <w:sz w:val="20"/>
                <w:szCs w:val="20"/>
              </w:rPr>
              <w:t>Nonoperating Revenues (Expenses)</w:t>
            </w:r>
          </w:p>
        </w:tc>
        <w:tc>
          <w:tcPr>
            <w:tcW w:w="1325" w:type="dxa"/>
            <w:tcBorders>
              <w:top w:val="nil"/>
              <w:left w:val="nil"/>
              <w:bottom w:val="nil"/>
              <w:right w:val="nil"/>
            </w:tcBorders>
            <w:shd w:val="clear" w:color="000000" w:fill="FFFFFF"/>
            <w:noWrap/>
            <w:vAlign w:val="bottom"/>
            <w:hideMark/>
          </w:tcPr>
          <w:p w14:paraId="7E8DB7F6" w14:textId="0B7B8EAC" w:rsidR="002A66B3" w:rsidRPr="00730ECF" w:rsidRDefault="002A66B3" w:rsidP="002A66B3">
            <w:pPr>
              <w:jc w:val="right"/>
              <w:rPr>
                <w:rFonts w:cstheme="minorHAnsi"/>
                <w:sz w:val="20"/>
                <w:szCs w:val="20"/>
              </w:rPr>
            </w:pPr>
          </w:p>
        </w:tc>
        <w:tc>
          <w:tcPr>
            <w:tcW w:w="1533" w:type="dxa"/>
            <w:tcBorders>
              <w:top w:val="nil"/>
              <w:left w:val="nil"/>
              <w:bottom w:val="nil"/>
              <w:right w:val="nil"/>
            </w:tcBorders>
            <w:shd w:val="clear" w:color="000000" w:fill="FFFFFF"/>
            <w:noWrap/>
            <w:vAlign w:val="bottom"/>
            <w:hideMark/>
          </w:tcPr>
          <w:p w14:paraId="1DD746BD" w14:textId="5A7E5CDA" w:rsidR="002A66B3" w:rsidRPr="00730ECF" w:rsidRDefault="002A66B3" w:rsidP="002A66B3">
            <w:pPr>
              <w:jc w:val="right"/>
              <w:rPr>
                <w:rFonts w:cstheme="minorHAnsi"/>
                <w:b/>
                <w:bCs/>
                <w:sz w:val="20"/>
                <w:szCs w:val="20"/>
              </w:rPr>
            </w:pPr>
          </w:p>
        </w:tc>
      </w:tr>
      <w:tr w:rsidR="002A66B3" w:rsidRPr="002A66B3" w14:paraId="453ACA24" w14:textId="77777777" w:rsidTr="006F148D">
        <w:trPr>
          <w:trHeight w:val="80"/>
          <w:jc w:val="center"/>
        </w:trPr>
        <w:tc>
          <w:tcPr>
            <w:tcW w:w="6120" w:type="dxa"/>
            <w:tcBorders>
              <w:top w:val="nil"/>
              <w:left w:val="nil"/>
              <w:bottom w:val="nil"/>
              <w:right w:val="nil"/>
            </w:tcBorders>
            <w:shd w:val="clear" w:color="000000" w:fill="FFFFFF"/>
            <w:noWrap/>
            <w:vAlign w:val="bottom"/>
            <w:hideMark/>
          </w:tcPr>
          <w:p w14:paraId="29C74F67" w14:textId="77777777" w:rsidR="002A66B3" w:rsidRPr="00730ECF" w:rsidRDefault="002A66B3" w:rsidP="00730ECF">
            <w:pPr>
              <w:ind w:left="255"/>
              <w:rPr>
                <w:rFonts w:cstheme="minorHAnsi"/>
                <w:color w:val="000000"/>
                <w:sz w:val="20"/>
                <w:szCs w:val="20"/>
              </w:rPr>
            </w:pPr>
            <w:r w:rsidRPr="00730ECF">
              <w:rPr>
                <w:rFonts w:cstheme="minorHAnsi"/>
                <w:color w:val="000000"/>
                <w:sz w:val="20"/>
                <w:szCs w:val="20"/>
              </w:rPr>
              <w:t>Noncapital State of Maine appropriations</w:t>
            </w:r>
          </w:p>
        </w:tc>
        <w:tc>
          <w:tcPr>
            <w:tcW w:w="1325" w:type="dxa"/>
            <w:tcBorders>
              <w:top w:val="nil"/>
              <w:left w:val="nil"/>
              <w:bottom w:val="nil"/>
              <w:right w:val="nil"/>
            </w:tcBorders>
            <w:shd w:val="clear" w:color="000000" w:fill="FFFFFF"/>
            <w:noWrap/>
            <w:hideMark/>
          </w:tcPr>
          <w:p w14:paraId="5E3DE015" w14:textId="54159B05" w:rsidR="002A66B3" w:rsidRPr="00730ECF" w:rsidRDefault="002A66B3" w:rsidP="002A66B3">
            <w:pPr>
              <w:jc w:val="right"/>
              <w:rPr>
                <w:rFonts w:cstheme="minorHAnsi"/>
                <w:sz w:val="20"/>
                <w:szCs w:val="20"/>
              </w:rPr>
            </w:pPr>
            <w:r w:rsidRPr="00730ECF">
              <w:rPr>
                <w:rFonts w:cstheme="minorHAnsi"/>
                <w:sz w:val="20"/>
                <w:szCs w:val="20"/>
              </w:rPr>
              <w:t xml:space="preserve">270,467 </w:t>
            </w:r>
          </w:p>
        </w:tc>
        <w:tc>
          <w:tcPr>
            <w:tcW w:w="1533" w:type="dxa"/>
            <w:tcBorders>
              <w:top w:val="nil"/>
              <w:left w:val="nil"/>
              <w:bottom w:val="nil"/>
              <w:right w:val="nil"/>
            </w:tcBorders>
            <w:shd w:val="clear" w:color="000000" w:fill="FFFFFF"/>
            <w:noWrap/>
            <w:vAlign w:val="bottom"/>
            <w:hideMark/>
          </w:tcPr>
          <w:p w14:paraId="06CA7247" w14:textId="77777777" w:rsidR="002A66B3" w:rsidRPr="00730ECF" w:rsidRDefault="002A66B3" w:rsidP="002A66B3">
            <w:pPr>
              <w:jc w:val="right"/>
              <w:rPr>
                <w:rFonts w:cstheme="minorHAnsi"/>
                <w:sz w:val="20"/>
                <w:szCs w:val="20"/>
              </w:rPr>
            </w:pPr>
            <w:r w:rsidRPr="00730ECF">
              <w:rPr>
                <w:rFonts w:cstheme="minorHAnsi"/>
                <w:sz w:val="20"/>
                <w:szCs w:val="20"/>
              </w:rPr>
              <w:t xml:space="preserve">261,171 </w:t>
            </w:r>
          </w:p>
        </w:tc>
      </w:tr>
      <w:tr w:rsidR="002A66B3" w:rsidRPr="002A66B3" w14:paraId="4D71E55A" w14:textId="77777777" w:rsidTr="006F148D">
        <w:trPr>
          <w:trHeight w:val="80"/>
          <w:jc w:val="center"/>
        </w:trPr>
        <w:tc>
          <w:tcPr>
            <w:tcW w:w="6120" w:type="dxa"/>
            <w:tcBorders>
              <w:top w:val="nil"/>
              <w:left w:val="nil"/>
              <w:bottom w:val="nil"/>
              <w:right w:val="nil"/>
            </w:tcBorders>
            <w:shd w:val="clear" w:color="000000" w:fill="FFFFFF"/>
            <w:noWrap/>
            <w:vAlign w:val="bottom"/>
            <w:hideMark/>
          </w:tcPr>
          <w:p w14:paraId="44C6ECA6" w14:textId="77777777" w:rsidR="002A66B3" w:rsidRPr="00730ECF" w:rsidRDefault="002A66B3" w:rsidP="00730ECF">
            <w:pPr>
              <w:ind w:left="255"/>
              <w:rPr>
                <w:rFonts w:cstheme="minorHAnsi"/>
                <w:color w:val="000000"/>
                <w:sz w:val="20"/>
                <w:szCs w:val="20"/>
              </w:rPr>
            </w:pPr>
            <w:r w:rsidRPr="00730ECF">
              <w:rPr>
                <w:rFonts w:cstheme="minorHAnsi"/>
                <w:color w:val="000000"/>
                <w:sz w:val="20"/>
                <w:szCs w:val="20"/>
              </w:rPr>
              <w:t>Federal Pell Grants</w:t>
            </w:r>
          </w:p>
        </w:tc>
        <w:tc>
          <w:tcPr>
            <w:tcW w:w="1325" w:type="dxa"/>
            <w:tcBorders>
              <w:top w:val="nil"/>
              <w:left w:val="nil"/>
              <w:bottom w:val="nil"/>
              <w:right w:val="nil"/>
            </w:tcBorders>
            <w:shd w:val="clear" w:color="000000" w:fill="FFFFFF"/>
            <w:noWrap/>
            <w:hideMark/>
          </w:tcPr>
          <w:p w14:paraId="1E717BD7" w14:textId="7D5BD4BD" w:rsidR="002A66B3" w:rsidRPr="00730ECF" w:rsidRDefault="002A66B3" w:rsidP="002A66B3">
            <w:pPr>
              <w:jc w:val="right"/>
              <w:rPr>
                <w:rFonts w:cstheme="minorHAnsi"/>
                <w:sz w:val="20"/>
                <w:szCs w:val="20"/>
              </w:rPr>
            </w:pPr>
            <w:r w:rsidRPr="00730ECF">
              <w:rPr>
                <w:rFonts w:cstheme="minorHAnsi"/>
                <w:sz w:val="20"/>
                <w:szCs w:val="20"/>
              </w:rPr>
              <w:t xml:space="preserve">45,958 </w:t>
            </w:r>
          </w:p>
        </w:tc>
        <w:tc>
          <w:tcPr>
            <w:tcW w:w="1533" w:type="dxa"/>
            <w:tcBorders>
              <w:top w:val="nil"/>
              <w:left w:val="nil"/>
              <w:bottom w:val="nil"/>
              <w:right w:val="nil"/>
            </w:tcBorders>
            <w:shd w:val="clear" w:color="000000" w:fill="FFFFFF"/>
            <w:noWrap/>
            <w:vAlign w:val="bottom"/>
            <w:hideMark/>
          </w:tcPr>
          <w:p w14:paraId="02A8B14A" w14:textId="77777777" w:rsidR="002A66B3" w:rsidRPr="00730ECF" w:rsidRDefault="002A66B3" w:rsidP="002A66B3">
            <w:pPr>
              <w:jc w:val="right"/>
              <w:rPr>
                <w:rFonts w:cstheme="minorHAnsi"/>
                <w:sz w:val="20"/>
                <w:szCs w:val="20"/>
              </w:rPr>
            </w:pPr>
            <w:r w:rsidRPr="00730ECF">
              <w:rPr>
                <w:rFonts w:cstheme="minorHAnsi"/>
                <w:sz w:val="20"/>
                <w:szCs w:val="20"/>
              </w:rPr>
              <w:t xml:space="preserve">35,822 </w:t>
            </w:r>
          </w:p>
        </w:tc>
      </w:tr>
      <w:tr w:rsidR="002A66B3" w:rsidRPr="002A66B3" w14:paraId="6946BA45" w14:textId="77777777" w:rsidTr="006F148D">
        <w:trPr>
          <w:trHeight w:val="80"/>
          <w:jc w:val="center"/>
        </w:trPr>
        <w:tc>
          <w:tcPr>
            <w:tcW w:w="6120" w:type="dxa"/>
            <w:tcBorders>
              <w:top w:val="nil"/>
              <w:left w:val="nil"/>
              <w:bottom w:val="nil"/>
              <w:right w:val="nil"/>
            </w:tcBorders>
            <w:shd w:val="clear" w:color="000000" w:fill="FFFFFF"/>
            <w:noWrap/>
            <w:vAlign w:val="bottom"/>
            <w:hideMark/>
          </w:tcPr>
          <w:p w14:paraId="29D841BD" w14:textId="77777777" w:rsidR="002A66B3" w:rsidRPr="00730ECF" w:rsidRDefault="002A66B3" w:rsidP="00730ECF">
            <w:pPr>
              <w:ind w:left="255"/>
              <w:rPr>
                <w:rFonts w:cstheme="minorHAnsi"/>
                <w:color w:val="000000"/>
                <w:sz w:val="20"/>
                <w:szCs w:val="20"/>
              </w:rPr>
            </w:pPr>
            <w:r w:rsidRPr="00730ECF">
              <w:rPr>
                <w:rFonts w:cstheme="minorHAnsi"/>
                <w:color w:val="000000"/>
                <w:sz w:val="20"/>
                <w:szCs w:val="20"/>
              </w:rPr>
              <w:t>Coronavirus relief funding</w:t>
            </w:r>
          </w:p>
        </w:tc>
        <w:tc>
          <w:tcPr>
            <w:tcW w:w="1325" w:type="dxa"/>
            <w:tcBorders>
              <w:top w:val="nil"/>
              <w:left w:val="nil"/>
              <w:bottom w:val="nil"/>
              <w:right w:val="nil"/>
            </w:tcBorders>
            <w:shd w:val="clear" w:color="000000" w:fill="FFFFFF"/>
            <w:noWrap/>
            <w:hideMark/>
          </w:tcPr>
          <w:p w14:paraId="685EACF3" w14:textId="500085CF" w:rsidR="002A66B3" w:rsidRPr="00730ECF" w:rsidRDefault="002A66B3" w:rsidP="002A66B3">
            <w:pPr>
              <w:jc w:val="right"/>
              <w:rPr>
                <w:rFonts w:cstheme="minorHAnsi"/>
                <w:sz w:val="20"/>
                <w:szCs w:val="20"/>
              </w:rPr>
            </w:pPr>
            <w:r w:rsidRPr="00730ECF">
              <w:rPr>
                <w:rFonts w:cstheme="minorHAnsi"/>
                <w:sz w:val="20"/>
                <w:szCs w:val="20"/>
              </w:rPr>
              <w:t xml:space="preserve">3,385 </w:t>
            </w:r>
          </w:p>
        </w:tc>
        <w:tc>
          <w:tcPr>
            <w:tcW w:w="1533" w:type="dxa"/>
            <w:tcBorders>
              <w:top w:val="nil"/>
              <w:left w:val="nil"/>
              <w:bottom w:val="nil"/>
              <w:right w:val="nil"/>
            </w:tcBorders>
            <w:shd w:val="clear" w:color="000000" w:fill="FFFFFF"/>
            <w:noWrap/>
            <w:vAlign w:val="bottom"/>
            <w:hideMark/>
          </w:tcPr>
          <w:p w14:paraId="131DD673" w14:textId="77777777" w:rsidR="002A66B3" w:rsidRPr="00730ECF" w:rsidRDefault="002A66B3" w:rsidP="002A66B3">
            <w:pPr>
              <w:jc w:val="right"/>
              <w:rPr>
                <w:rFonts w:cstheme="minorHAnsi"/>
                <w:sz w:val="20"/>
                <w:szCs w:val="20"/>
              </w:rPr>
            </w:pPr>
            <w:r w:rsidRPr="00730ECF">
              <w:rPr>
                <w:rFonts w:cstheme="minorHAnsi"/>
                <w:sz w:val="20"/>
                <w:szCs w:val="20"/>
              </w:rPr>
              <w:t xml:space="preserve">3,621 </w:t>
            </w:r>
          </w:p>
        </w:tc>
      </w:tr>
      <w:tr w:rsidR="002A66B3" w:rsidRPr="002A66B3" w14:paraId="219E9656" w14:textId="77777777" w:rsidTr="006F148D">
        <w:trPr>
          <w:trHeight w:val="80"/>
          <w:jc w:val="center"/>
        </w:trPr>
        <w:tc>
          <w:tcPr>
            <w:tcW w:w="6120" w:type="dxa"/>
            <w:tcBorders>
              <w:top w:val="nil"/>
              <w:left w:val="nil"/>
              <w:bottom w:val="nil"/>
              <w:right w:val="nil"/>
            </w:tcBorders>
            <w:shd w:val="clear" w:color="000000" w:fill="FFFFFF"/>
            <w:noWrap/>
            <w:vAlign w:val="bottom"/>
            <w:hideMark/>
          </w:tcPr>
          <w:p w14:paraId="195FCDD9" w14:textId="77777777" w:rsidR="002A66B3" w:rsidRPr="00730ECF" w:rsidRDefault="002A66B3" w:rsidP="00730ECF">
            <w:pPr>
              <w:ind w:left="255"/>
              <w:rPr>
                <w:rFonts w:cstheme="minorHAnsi"/>
                <w:color w:val="000000"/>
                <w:sz w:val="20"/>
                <w:szCs w:val="20"/>
              </w:rPr>
            </w:pPr>
            <w:r w:rsidRPr="00730ECF">
              <w:rPr>
                <w:rFonts w:cstheme="minorHAnsi"/>
                <w:color w:val="000000"/>
                <w:sz w:val="20"/>
                <w:szCs w:val="20"/>
              </w:rPr>
              <w:t>Gifts currently expendable</w:t>
            </w:r>
          </w:p>
        </w:tc>
        <w:tc>
          <w:tcPr>
            <w:tcW w:w="1325" w:type="dxa"/>
            <w:tcBorders>
              <w:top w:val="nil"/>
              <w:left w:val="nil"/>
              <w:bottom w:val="nil"/>
              <w:right w:val="nil"/>
            </w:tcBorders>
            <w:shd w:val="clear" w:color="000000" w:fill="FFFFFF"/>
            <w:noWrap/>
            <w:hideMark/>
          </w:tcPr>
          <w:p w14:paraId="0B68C8B0" w14:textId="17E3363D" w:rsidR="002A66B3" w:rsidRPr="00730ECF" w:rsidRDefault="002A66B3" w:rsidP="002A66B3">
            <w:pPr>
              <w:jc w:val="right"/>
              <w:rPr>
                <w:rFonts w:cstheme="minorHAnsi"/>
                <w:sz w:val="20"/>
                <w:szCs w:val="20"/>
              </w:rPr>
            </w:pPr>
            <w:r w:rsidRPr="00730ECF">
              <w:rPr>
                <w:rFonts w:cstheme="minorHAnsi"/>
                <w:sz w:val="20"/>
                <w:szCs w:val="20"/>
              </w:rPr>
              <w:t xml:space="preserve">26,917 </w:t>
            </w:r>
          </w:p>
        </w:tc>
        <w:tc>
          <w:tcPr>
            <w:tcW w:w="1533" w:type="dxa"/>
            <w:tcBorders>
              <w:top w:val="nil"/>
              <w:left w:val="nil"/>
              <w:bottom w:val="nil"/>
              <w:right w:val="nil"/>
            </w:tcBorders>
            <w:shd w:val="clear" w:color="000000" w:fill="FFFFFF"/>
            <w:noWrap/>
            <w:vAlign w:val="bottom"/>
            <w:hideMark/>
          </w:tcPr>
          <w:p w14:paraId="4DE7CD05" w14:textId="77777777" w:rsidR="002A66B3" w:rsidRPr="00730ECF" w:rsidRDefault="002A66B3" w:rsidP="002A66B3">
            <w:pPr>
              <w:jc w:val="right"/>
              <w:rPr>
                <w:rFonts w:cstheme="minorHAnsi"/>
                <w:sz w:val="20"/>
                <w:szCs w:val="20"/>
              </w:rPr>
            </w:pPr>
            <w:r w:rsidRPr="00730ECF">
              <w:rPr>
                <w:rFonts w:cstheme="minorHAnsi"/>
                <w:sz w:val="20"/>
                <w:szCs w:val="20"/>
              </w:rPr>
              <w:t xml:space="preserve">28,326 </w:t>
            </w:r>
          </w:p>
        </w:tc>
      </w:tr>
      <w:tr w:rsidR="002A66B3" w:rsidRPr="002A66B3" w14:paraId="4EB303AC" w14:textId="77777777" w:rsidTr="006F148D">
        <w:trPr>
          <w:trHeight w:val="80"/>
          <w:jc w:val="center"/>
        </w:trPr>
        <w:tc>
          <w:tcPr>
            <w:tcW w:w="6120" w:type="dxa"/>
            <w:tcBorders>
              <w:top w:val="nil"/>
              <w:left w:val="nil"/>
              <w:bottom w:val="nil"/>
              <w:right w:val="nil"/>
            </w:tcBorders>
            <w:shd w:val="clear" w:color="000000" w:fill="FFFFFF"/>
            <w:noWrap/>
            <w:vAlign w:val="bottom"/>
            <w:hideMark/>
          </w:tcPr>
          <w:p w14:paraId="36DD2968" w14:textId="77777777" w:rsidR="002A66B3" w:rsidRPr="00730ECF" w:rsidRDefault="002A66B3" w:rsidP="00730ECF">
            <w:pPr>
              <w:ind w:left="255"/>
              <w:rPr>
                <w:rFonts w:cstheme="minorHAnsi"/>
                <w:color w:val="000000"/>
                <w:sz w:val="20"/>
                <w:szCs w:val="20"/>
              </w:rPr>
            </w:pPr>
            <w:r w:rsidRPr="00730ECF">
              <w:rPr>
                <w:rFonts w:cstheme="minorHAnsi"/>
                <w:color w:val="000000"/>
                <w:sz w:val="20"/>
                <w:szCs w:val="20"/>
              </w:rPr>
              <w:t xml:space="preserve">Endowment return used for operations </w:t>
            </w:r>
            <w:r w:rsidRPr="00730ECF">
              <w:rPr>
                <w:rFonts w:cstheme="minorHAnsi"/>
                <w:i/>
                <w:iCs/>
                <w:color w:val="000000"/>
                <w:sz w:val="20"/>
                <w:szCs w:val="20"/>
              </w:rPr>
              <w:t>(Note 3)</w:t>
            </w:r>
          </w:p>
        </w:tc>
        <w:tc>
          <w:tcPr>
            <w:tcW w:w="1325" w:type="dxa"/>
            <w:tcBorders>
              <w:top w:val="nil"/>
              <w:left w:val="nil"/>
              <w:bottom w:val="nil"/>
              <w:right w:val="nil"/>
            </w:tcBorders>
            <w:shd w:val="clear" w:color="000000" w:fill="FFFFFF"/>
            <w:noWrap/>
            <w:hideMark/>
          </w:tcPr>
          <w:p w14:paraId="5D8A5452" w14:textId="7EB35317" w:rsidR="002A66B3" w:rsidRPr="00730ECF" w:rsidRDefault="002A66B3" w:rsidP="002A66B3">
            <w:pPr>
              <w:jc w:val="right"/>
              <w:rPr>
                <w:rFonts w:cstheme="minorHAnsi"/>
                <w:sz w:val="20"/>
                <w:szCs w:val="20"/>
              </w:rPr>
            </w:pPr>
            <w:r w:rsidRPr="00730ECF">
              <w:rPr>
                <w:rFonts w:cstheme="minorHAnsi"/>
                <w:sz w:val="20"/>
                <w:szCs w:val="20"/>
              </w:rPr>
              <w:t xml:space="preserve">6,772 </w:t>
            </w:r>
          </w:p>
        </w:tc>
        <w:tc>
          <w:tcPr>
            <w:tcW w:w="1533" w:type="dxa"/>
            <w:tcBorders>
              <w:top w:val="nil"/>
              <w:left w:val="nil"/>
              <w:bottom w:val="nil"/>
              <w:right w:val="nil"/>
            </w:tcBorders>
            <w:shd w:val="clear" w:color="000000" w:fill="FFFFFF"/>
            <w:noWrap/>
            <w:vAlign w:val="bottom"/>
            <w:hideMark/>
          </w:tcPr>
          <w:p w14:paraId="1ED1A9F4" w14:textId="77777777" w:rsidR="002A66B3" w:rsidRPr="00730ECF" w:rsidRDefault="002A66B3" w:rsidP="002A66B3">
            <w:pPr>
              <w:jc w:val="right"/>
              <w:rPr>
                <w:rFonts w:cstheme="minorHAnsi"/>
                <w:sz w:val="20"/>
                <w:szCs w:val="20"/>
              </w:rPr>
            </w:pPr>
            <w:r w:rsidRPr="00730ECF">
              <w:rPr>
                <w:rFonts w:cstheme="minorHAnsi"/>
                <w:sz w:val="20"/>
                <w:szCs w:val="20"/>
              </w:rPr>
              <w:t xml:space="preserve">6,627 </w:t>
            </w:r>
          </w:p>
        </w:tc>
      </w:tr>
      <w:tr w:rsidR="002A66B3" w:rsidRPr="002A66B3" w14:paraId="2351760C" w14:textId="77777777" w:rsidTr="006F148D">
        <w:trPr>
          <w:trHeight w:val="80"/>
          <w:jc w:val="center"/>
        </w:trPr>
        <w:tc>
          <w:tcPr>
            <w:tcW w:w="6120" w:type="dxa"/>
            <w:tcBorders>
              <w:top w:val="nil"/>
              <w:left w:val="nil"/>
              <w:bottom w:val="nil"/>
              <w:right w:val="nil"/>
            </w:tcBorders>
            <w:shd w:val="clear" w:color="000000" w:fill="FFFFFF"/>
            <w:noWrap/>
            <w:vAlign w:val="bottom"/>
            <w:hideMark/>
          </w:tcPr>
          <w:p w14:paraId="61D8D9E5" w14:textId="77777777" w:rsidR="002A66B3" w:rsidRPr="00730ECF" w:rsidRDefault="002A66B3" w:rsidP="00730ECF">
            <w:pPr>
              <w:ind w:left="255"/>
              <w:rPr>
                <w:rFonts w:cstheme="minorHAnsi"/>
                <w:color w:val="000000"/>
                <w:sz w:val="20"/>
                <w:szCs w:val="20"/>
              </w:rPr>
            </w:pPr>
            <w:r w:rsidRPr="00730ECF">
              <w:rPr>
                <w:rFonts w:cstheme="minorHAnsi"/>
                <w:color w:val="000000"/>
                <w:sz w:val="20"/>
                <w:szCs w:val="20"/>
              </w:rPr>
              <w:t xml:space="preserve">Investment income </w:t>
            </w:r>
            <w:r w:rsidRPr="00730ECF">
              <w:rPr>
                <w:rFonts w:cstheme="minorHAnsi"/>
                <w:i/>
                <w:iCs/>
                <w:color w:val="000000"/>
                <w:sz w:val="20"/>
                <w:szCs w:val="20"/>
              </w:rPr>
              <w:t>(Note 3)</w:t>
            </w:r>
          </w:p>
        </w:tc>
        <w:tc>
          <w:tcPr>
            <w:tcW w:w="1325" w:type="dxa"/>
            <w:tcBorders>
              <w:top w:val="nil"/>
              <w:left w:val="nil"/>
              <w:bottom w:val="nil"/>
              <w:right w:val="nil"/>
            </w:tcBorders>
            <w:shd w:val="clear" w:color="000000" w:fill="FFFFFF"/>
            <w:noWrap/>
            <w:hideMark/>
          </w:tcPr>
          <w:p w14:paraId="572C0008" w14:textId="345DC9C9" w:rsidR="002A66B3" w:rsidRPr="00730ECF" w:rsidRDefault="002A66B3" w:rsidP="002A66B3">
            <w:pPr>
              <w:jc w:val="right"/>
              <w:rPr>
                <w:rFonts w:cstheme="minorHAnsi"/>
                <w:sz w:val="20"/>
                <w:szCs w:val="20"/>
              </w:rPr>
            </w:pPr>
            <w:r w:rsidRPr="00730ECF">
              <w:rPr>
                <w:rFonts w:cstheme="minorHAnsi"/>
                <w:sz w:val="20"/>
                <w:szCs w:val="20"/>
              </w:rPr>
              <w:t xml:space="preserve">19,734 </w:t>
            </w:r>
          </w:p>
        </w:tc>
        <w:tc>
          <w:tcPr>
            <w:tcW w:w="1533" w:type="dxa"/>
            <w:tcBorders>
              <w:top w:val="nil"/>
              <w:left w:val="nil"/>
              <w:bottom w:val="nil"/>
              <w:right w:val="nil"/>
            </w:tcBorders>
            <w:shd w:val="clear" w:color="000000" w:fill="FFFFFF"/>
            <w:noWrap/>
            <w:vAlign w:val="bottom"/>
            <w:hideMark/>
          </w:tcPr>
          <w:p w14:paraId="4E0A0494" w14:textId="77777777" w:rsidR="002A66B3" w:rsidRPr="00730ECF" w:rsidRDefault="002A66B3" w:rsidP="002A66B3">
            <w:pPr>
              <w:jc w:val="right"/>
              <w:rPr>
                <w:rFonts w:cstheme="minorHAnsi"/>
                <w:sz w:val="20"/>
                <w:szCs w:val="20"/>
              </w:rPr>
            </w:pPr>
            <w:r w:rsidRPr="00730ECF">
              <w:rPr>
                <w:rFonts w:cstheme="minorHAnsi"/>
                <w:sz w:val="20"/>
                <w:szCs w:val="20"/>
              </w:rPr>
              <w:t xml:space="preserve">21,148 </w:t>
            </w:r>
          </w:p>
        </w:tc>
      </w:tr>
      <w:tr w:rsidR="002A66B3" w:rsidRPr="002A66B3" w14:paraId="4C087CD6" w14:textId="77777777" w:rsidTr="006F148D">
        <w:trPr>
          <w:trHeight w:val="80"/>
          <w:jc w:val="center"/>
        </w:trPr>
        <w:tc>
          <w:tcPr>
            <w:tcW w:w="6120" w:type="dxa"/>
            <w:tcBorders>
              <w:top w:val="nil"/>
              <w:left w:val="nil"/>
              <w:bottom w:val="nil"/>
              <w:right w:val="nil"/>
            </w:tcBorders>
            <w:noWrap/>
            <w:vAlign w:val="bottom"/>
            <w:hideMark/>
          </w:tcPr>
          <w:p w14:paraId="50A77BC1" w14:textId="77777777" w:rsidR="002A66B3" w:rsidRPr="00730ECF" w:rsidRDefault="002A66B3" w:rsidP="00730ECF">
            <w:pPr>
              <w:ind w:left="255"/>
              <w:rPr>
                <w:rFonts w:cstheme="minorHAnsi"/>
                <w:color w:val="000000"/>
                <w:sz w:val="20"/>
                <w:szCs w:val="20"/>
              </w:rPr>
            </w:pPr>
            <w:r w:rsidRPr="00730ECF">
              <w:rPr>
                <w:rFonts w:cstheme="minorHAnsi"/>
                <w:color w:val="000000"/>
                <w:sz w:val="20"/>
                <w:szCs w:val="20"/>
              </w:rPr>
              <w:t xml:space="preserve">Income from public-private partnerships </w:t>
            </w:r>
            <w:r w:rsidRPr="00730ECF">
              <w:rPr>
                <w:rFonts w:cstheme="minorHAnsi"/>
                <w:i/>
                <w:iCs/>
                <w:color w:val="000000"/>
                <w:sz w:val="20"/>
                <w:szCs w:val="20"/>
              </w:rPr>
              <w:t>(Note 15)</w:t>
            </w:r>
          </w:p>
        </w:tc>
        <w:tc>
          <w:tcPr>
            <w:tcW w:w="1325" w:type="dxa"/>
            <w:tcBorders>
              <w:top w:val="nil"/>
              <w:left w:val="nil"/>
              <w:bottom w:val="nil"/>
              <w:right w:val="nil"/>
            </w:tcBorders>
            <w:shd w:val="clear" w:color="000000" w:fill="FFFFFF"/>
            <w:noWrap/>
            <w:hideMark/>
          </w:tcPr>
          <w:p w14:paraId="44438D3B" w14:textId="3F0D9B3E" w:rsidR="002A66B3" w:rsidRPr="00730ECF" w:rsidRDefault="002A66B3" w:rsidP="002A66B3">
            <w:pPr>
              <w:jc w:val="right"/>
              <w:rPr>
                <w:rFonts w:cstheme="minorHAnsi"/>
                <w:sz w:val="20"/>
                <w:szCs w:val="20"/>
              </w:rPr>
            </w:pPr>
            <w:r w:rsidRPr="00730ECF">
              <w:rPr>
                <w:rFonts w:cstheme="minorHAnsi"/>
                <w:sz w:val="20"/>
                <w:szCs w:val="20"/>
              </w:rPr>
              <w:t xml:space="preserve">287 </w:t>
            </w:r>
          </w:p>
        </w:tc>
        <w:tc>
          <w:tcPr>
            <w:tcW w:w="1533" w:type="dxa"/>
            <w:tcBorders>
              <w:top w:val="nil"/>
              <w:left w:val="nil"/>
              <w:bottom w:val="nil"/>
              <w:right w:val="nil"/>
            </w:tcBorders>
            <w:shd w:val="clear" w:color="000000" w:fill="FFFFFF"/>
            <w:noWrap/>
            <w:vAlign w:val="bottom"/>
            <w:hideMark/>
          </w:tcPr>
          <w:p w14:paraId="6E8DDC69" w14:textId="77777777" w:rsidR="002A66B3" w:rsidRPr="00730ECF" w:rsidRDefault="002A66B3" w:rsidP="002A66B3">
            <w:pPr>
              <w:jc w:val="right"/>
              <w:rPr>
                <w:rFonts w:cstheme="minorHAnsi"/>
                <w:sz w:val="20"/>
                <w:szCs w:val="20"/>
              </w:rPr>
            </w:pPr>
            <w:r w:rsidRPr="00730ECF">
              <w:rPr>
                <w:rFonts w:cstheme="minorHAnsi"/>
                <w:sz w:val="20"/>
                <w:szCs w:val="20"/>
              </w:rPr>
              <w:t xml:space="preserve">287 </w:t>
            </w:r>
          </w:p>
        </w:tc>
      </w:tr>
      <w:tr w:rsidR="002A66B3" w:rsidRPr="002A66B3" w14:paraId="58C9F532" w14:textId="77777777" w:rsidTr="006F148D">
        <w:trPr>
          <w:trHeight w:val="80"/>
          <w:jc w:val="center"/>
        </w:trPr>
        <w:tc>
          <w:tcPr>
            <w:tcW w:w="6120" w:type="dxa"/>
            <w:tcBorders>
              <w:top w:val="nil"/>
              <w:left w:val="nil"/>
              <w:bottom w:val="single" w:sz="4" w:space="0" w:color="000000"/>
              <w:right w:val="nil"/>
            </w:tcBorders>
            <w:shd w:val="clear" w:color="000000" w:fill="FFFFFF"/>
            <w:noWrap/>
            <w:vAlign w:val="bottom"/>
            <w:hideMark/>
          </w:tcPr>
          <w:p w14:paraId="608EA623" w14:textId="77777777" w:rsidR="002A66B3" w:rsidRPr="00730ECF" w:rsidRDefault="002A66B3" w:rsidP="00730ECF">
            <w:pPr>
              <w:ind w:left="255"/>
              <w:rPr>
                <w:rFonts w:cstheme="minorHAnsi"/>
                <w:color w:val="000000"/>
                <w:sz w:val="20"/>
                <w:szCs w:val="20"/>
              </w:rPr>
            </w:pPr>
            <w:r w:rsidRPr="00730ECF">
              <w:rPr>
                <w:rFonts w:cstheme="minorHAnsi"/>
                <w:color w:val="000000"/>
                <w:sz w:val="20"/>
                <w:szCs w:val="20"/>
              </w:rPr>
              <w:t xml:space="preserve">Interest expense, net </w:t>
            </w:r>
            <w:r w:rsidRPr="00730ECF">
              <w:rPr>
                <w:rFonts w:cstheme="minorHAnsi"/>
                <w:i/>
                <w:iCs/>
                <w:color w:val="000000"/>
                <w:sz w:val="20"/>
                <w:szCs w:val="20"/>
              </w:rPr>
              <w:t>(Note 7)</w:t>
            </w:r>
          </w:p>
        </w:tc>
        <w:tc>
          <w:tcPr>
            <w:tcW w:w="1325" w:type="dxa"/>
            <w:tcBorders>
              <w:top w:val="nil"/>
              <w:left w:val="nil"/>
              <w:bottom w:val="single" w:sz="4" w:space="0" w:color="000000"/>
              <w:right w:val="nil"/>
            </w:tcBorders>
            <w:shd w:val="clear" w:color="000000" w:fill="FFFFFF"/>
            <w:noWrap/>
            <w:hideMark/>
          </w:tcPr>
          <w:p w14:paraId="5B886953" w14:textId="6F15A01F" w:rsidR="002A66B3" w:rsidRPr="00730ECF" w:rsidRDefault="002A66B3" w:rsidP="002A66B3">
            <w:pPr>
              <w:jc w:val="right"/>
              <w:rPr>
                <w:rFonts w:cstheme="minorHAnsi"/>
                <w:sz w:val="20"/>
                <w:szCs w:val="20"/>
              </w:rPr>
            </w:pPr>
            <w:r w:rsidRPr="00730ECF">
              <w:rPr>
                <w:rFonts w:cstheme="minorHAnsi"/>
                <w:sz w:val="20"/>
                <w:szCs w:val="20"/>
              </w:rPr>
              <w:t>(9,373)</w:t>
            </w:r>
          </w:p>
        </w:tc>
        <w:tc>
          <w:tcPr>
            <w:tcW w:w="1533" w:type="dxa"/>
            <w:tcBorders>
              <w:top w:val="nil"/>
              <w:left w:val="nil"/>
              <w:bottom w:val="single" w:sz="4" w:space="0" w:color="000000"/>
              <w:right w:val="nil"/>
            </w:tcBorders>
            <w:shd w:val="clear" w:color="000000" w:fill="FFFFFF"/>
            <w:noWrap/>
            <w:vAlign w:val="bottom"/>
            <w:hideMark/>
          </w:tcPr>
          <w:p w14:paraId="1B3D827A" w14:textId="01A40386" w:rsidR="002A66B3" w:rsidRPr="00730ECF" w:rsidRDefault="002A66B3" w:rsidP="002A66B3">
            <w:pPr>
              <w:jc w:val="right"/>
              <w:rPr>
                <w:rFonts w:cstheme="minorHAnsi"/>
                <w:sz w:val="20"/>
                <w:szCs w:val="20"/>
              </w:rPr>
            </w:pPr>
            <w:r w:rsidRPr="00730ECF">
              <w:rPr>
                <w:rFonts w:cstheme="minorHAnsi"/>
                <w:sz w:val="20"/>
                <w:szCs w:val="20"/>
              </w:rPr>
              <w:t>(9,459)</w:t>
            </w:r>
          </w:p>
        </w:tc>
      </w:tr>
      <w:tr w:rsidR="002A66B3" w:rsidRPr="002A66B3" w14:paraId="625B7AFA" w14:textId="77777777" w:rsidTr="006F148D">
        <w:trPr>
          <w:trHeight w:val="70"/>
          <w:jc w:val="center"/>
        </w:trPr>
        <w:tc>
          <w:tcPr>
            <w:tcW w:w="6120" w:type="dxa"/>
            <w:tcBorders>
              <w:top w:val="nil"/>
              <w:left w:val="nil"/>
              <w:bottom w:val="single" w:sz="4" w:space="0" w:color="000000"/>
              <w:right w:val="nil"/>
            </w:tcBorders>
            <w:shd w:val="clear" w:color="000000" w:fill="FFFFFF"/>
            <w:noWrap/>
            <w:vAlign w:val="bottom"/>
            <w:hideMark/>
          </w:tcPr>
          <w:p w14:paraId="5907C3E0" w14:textId="77777777" w:rsidR="002A66B3" w:rsidRPr="00730ECF" w:rsidRDefault="002A66B3" w:rsidP="00730ECF">
            <w:pPr>
              <w:ind w:left="435"/>
              <w:rPr>
                <w:rFonts w:cstheme="minorHAnsi"/>
                <w:b/>
                <w:bCs/>
                <w:color w:val="000000"/>
                <w:sz w:val="20"/>
                <w:szCs w:val="20"/>
              </w:rPr>
            </w:pPr>
            <w:r w:rsidRPr="00730ECF">
              <w:rPr>
                <w:rFonts w:cstheme="minorHAnsi"/>
                <w:b/>
                <w:bCs/>
                <w:color w:val="000000"/>
                <w:sz w:val="20"/>
                <w:szCs w:val="20"/>
              </w:rPr>
              <w:t>Net Nonoperating Revenues (Expenses)</w:t>
            </w:r>
          </w:p>
        </w:tc>
        <w:tc>
          <w:tcPr>
            <w:tcW w:w="1325" w:type="dxa"/>
            <w:tcBorders>
              <w:top w:val="nil"/>
              <w:left w:val="nil"/>
              <w:bottom w:val="single" w:sz="4" w:space="0" w:color="000000"/>
              <w:right w:val="nil"/>
            </w:tcBorders>
            <w:shd w:val="clear" w:color="000000" w:fill="FFFFFF"/>
            <w:noWrap/>
            <w:hideMark/>
          </w:tcPr>
          <w:p w14:paraId="19F24B48" w14:textId="07A292EA" w:rsidR="002A66B3" w:rsidRPr="00730ECF" w:rsidRDefault="002A66B3" w:rsidP="002A66B3">
            <w:pPr>
              <w:jc w:val="right"/>
              <w:rPr>
                <w:rFonts w:cstheme="minorHAnsi"/>
                <w:sz w:val="20"/>
                <w:szCs w:val="20"/>
              </w:rPr>
            </w:pPr>
            <w:r w:rsidRPr="00730ECF">
              <w:rPr>
                <w:rFonts w:cstheme="minorHAnsi"/>
                <w:sz w:val="20"/>
                <w:szCs w:val="20"/>
              </w:rPr>
              <w:t xml:space="preserve">364,147 </w:t>
            </w:r>
          </w:p>
        </w:tc>
        <w:tc>
          <w:tcPr>
            <w:tcW w:w="1533" w:type="dxa"/>
            <w:tcBorders>
              <w:top w:val="nil"/>
              <w:left w:val="nil"/>
              <w:bottom w:val="single" w:sz="4" w:space="0" w:color="000000"/>
              <w:right w:val="nil"/>
            </w:tcBorders>
            <w:shd w:val="clear" w:color="000000" w:fill="FFFFFF"/>
            <w:noWrap/>
            <w:vAlign w:val="bottom"/>
            <w:hideMark/>
          </w:tcPr>
          <w:p w14:paraId="7F3EDA00" w14:textId="77777777" w:rsidR="002A66B3" w:rsidRPr="00730ECF" w:rsidRDefault="002A66B3" w:rsidP="002A66B3">
            <w:pPr>
              <w:jc w:val="right"/>
              <w:rPr>
                <w:rFonts w:cstheme="minorHAnsi"/>
                <w:sz w:val="20"/>
                <w:szCs w:val="20"/>
              </w:rPr>
            </w:pPr>
            <w:r w:rsidRPr="00730ECF">
              <w:rPr>
                <w:rFonts w:cstheme="minorHAnsi"/>
                <w:sz w:val="20"/>
                <w:szCs w:val="20"/>
              </w:rPr>
              <w:t xml:space="preserve">347,543 </w:t>
            </w:r>
          </w:p>
        </w:tc>
      </w:tr>
      <w:tr w:rsidR="002A66B3" w:rsidRPr="002A66B3" w14:paraId="0BF4997F" w14:textId="77777777" w:rsidTr="006F148D">
        <w:trPr>
          <w:trHeight w:val="70"/>
          <w:jc w:val="center"/>
        </w:trPr>
        <w:tc>
          <w:tcPr>
            <w:tcW w:w="6120" w:type="dxa"/>
            <w:tcBorders>
              <w:top w:val="nil"/>
              <w:left w:val="nil"/>
              <w:bottom w:val="single" w:sz="4" w:space="0" w:color="000000"/>
              <w:right w:val="nil"/>
            </w:tcBorders>
            <w:shd w:val="clear" w:color="000000" w:fill="FFFFFF"/>
            <w:noWrap/>
            <w:vAlign w:val="bottom"/>
            <w:hideMark/>
          </w:tcPr>
          <w:p w14:paraId="520A675C" w14:textId="5B1E0567" w:rsidR="002A66B3" w:rsidRPr="00730ECF" w:rsidRDefault="002A66B3" w:rsidP="002A66B3">
            <w:pPr>
              <w:rPr>
                <w:rFonts w:cstheme="minorHAnsi"/>
                <w:b/>
                <w:bCs/>
                <w:color w:val="000000"/>
                <w:sz w:val="20"/>
                <w:szCs w:val="20"/>
              </w:rPr>
            </w:pPr>
            <w:r w:rsidRPr="00730ECF">
              <w:rPr>
                <w:rFonts w:cstheme="minorHAnsi"/>
                <w:b/>
                <w:bCs/>
                <w:color w:val="000000"/>
                <w:sz w:val="20"/>
                <w:szCs w:val="20"/>
              </w:rPr>
              <w:t>Income Before Other Changes in Net Position</w:t>
            </w:r>
          </w:p>
        </w:tc>
        <w:tc>
          <w:tcPr>
            <w:tcW w:w="1325" w:type="dxa"/>
            <w:tcBorders>
              <w:top w:val="nil"/>
              <w:left w:val="nil"/>
              <w:bottom w:val="single" w:sz="4" w:space="0" w:color="000000"/>
              <w:right w:val="nil"/>
            </w:tcBorders>
            <w:shd w:val="clear" w:color="000000" w:fill="FFFFFF"/>
            <w:noWrap/>
            <w:hideMark/>
          </w:tcPr>
          <w:p w14:paraId="742C09FD" w14:textId="6810F724" w:rsidR="002A66B3" w:rsidRPr="00730ECF" w:rsidRDefault="00BA70E7" w:rsidP="002A66B3">
            <w:pPr>
              <w:jc w:val="right"/>
              <w:rPr>
                <w:rFonts w:cstheme="minorHAnsi"/>
                <w:sz w:val="20"/>
                <w:szCs w:val="20"/>
              </w:rPr>
            </w:pPr>
            <w:r w:rsidRPr="00BA70E7">
              <w:rPr>
                <w:rFonts w:cstheme="minorHAnsi"/>
                <w:sz w:val="20"/>
                <w:szCs w:val="20"/>
              </w:rPr>
              <w:t>13,846</w:t>
            </w:r>
          </w:p>
        </w:tc>
        <w:tc>
          <w:tcPr>
            <w:tcW w:w="1533" w:type="dxa"/>
            <w:tcBorders>
              <w:top w:val="nil"/>
              <w:left w:val="nil"/>
              <w:bottom w:val="single" w:sz="4" w:space="0" w:color="000000"/>
              <w:right w:val="nil"/>
            </w:tcBorders>
            <w:shd w:val="clear" w:color="000000" w:fill="FFFFFF"/>
            <w:noWrap/>
            <w:vAlign w:val="bottom"/>
            <w:hideMark/>
          </w:tcPr>
          <w:p w14:paraId="58881962" w14:textId="77777777" w:rsidR="002A66B3" w:rsidRPr="00730ECF" w:rsidRDefault="002A66B3" w:rsidP="002A66B3">
            <w:pPr>
              <w:jc w:val="right"/>
              <w:rPr>
                <w:rFonts w:cstheme="minorHAnsi"/>
                <w:sz w:val="20"/>
                <w:szCs w:val="20"/>
              </w:rPr>
            </w:pPr>
            <w:r w:rsidRPr="00730ECF">
              <w:rPr>
                <w:rFonts w:cstheme="minorHAnsi"/>
                <w:sz w:val="20"/>
                <w:szCs w:val="20"/>
              </w:rPr>
              <w:t>7,913</w:t>
            </w:r>
          </w:p>
        </w:tc>
      </w:tr>
      <w:tr w:rsidR="002A66B3" w:rsidRPr="002A66B3" w14:paraId="74711F25" w14:textId="77777777" w:rsidTr="006F148D">
        <w:trPr>
          <w:trHeight w:val="70"/>
          <w:jc w:val="center"/>
        </w:trPr>
        <w:tc>
          <w:tcPr>
            <w:tcW w:w="6120" w:type="dxa"/>
            <w:tcBorders>
              <w:top w:val="nil"/>
              <w:left w:val="nil"/>
              <w:bottom w:val="nil"/>
              <w:right w:val="nil"/>
            </w:tcBorders>
            <w:shd w:val="clear" w:color="000000" w:fill="FFFFFF"/>
            <w:noWrap/>
            <w:vAlign w:val="bottom"/>
            <w:hideMark/>
          </w:tcPr>
          <w:p w14:paraId="2F6BDF39" w14:textId="77777777" w:rsidR="002A66B3" w:rsidRPr="00730ECF" w:rsidRDefault="002A66B3" w:rsidP="002A66B3">
            <w:pPr>
              <w:rPr>
                <w:rFonts w:cstheme="minorHAnsi"/>
                <w:b/>
                <w:bCs/>
                <w:color w:val="000000"/>
                <w:sz w:val="20"/>
                <w:szCs w:val="20"/>
              </w:rPr>
            </w:pPr>
            <w:r w:rsidRPr="00730ECF">
              <w:rPr>
                <w:rFonts w:cstheme="minorHAnsi"/>
                <w:b/>
                <w:bCs/>
                <w:color w:val="000000"/>
                <w:sz w:val="20"/>
                <w:szCs w:val="20"/>
              </w:rPr>
              <w:t>Other Changes in Net Position</w:t>
            </w:r>
          </w:p>
        </w:tc>
        <w:tc>
          <w:tcPr>
            <w:tcW w:w="1325" w:type="dxa"/>
            <w:tcBorders>
              <w:top w:val="nil"/>
              <w:left w:val="nil"/>
              <w:bottom w:val="nil"/>
              <w:right w:val="nil"/>
            </w:tcBorders>
            <w:shd w:val="clear" w:color="000000" w:fill="FFFFFF"/>
            <w:noWrap/>
            <w:vAlign w:val="bottom"/>
            <w:hideMark/>
          </w:tcPr>
          <w:p w14:paraId="585F5E41" w14:textId="5F9DB1F5" w:rsidR="002A66B3" w:rsidRPr="00730ECF" w:rsidRDefault="002A66B3" w:rsidP="002A66B3">
            <w:pPr>
              <w:jc w:val="right"/>
              <w:rPr>
                <w:rFonts w:cstheme="minorHAnsi"/>
                <w:sz w:val="20"/>
                <w:szCs w:val="20"/>
              </w:rPr>
            </w:pPr>
          </w:p>
        </w:tc>
        <w:tc>
          <w:tcPr>
            <w:tcW w:w="1533" w:type="dxa"/>
            <w:tcBorders>
              <w:top w:val="nil"/>
              <w:left w:val="nil"/>
              <w:bottom w:val="nil"/>
              <w:right w:val="nil"/>
            </w:tcBorders>
            <w:shd w:val="clear" w:color="000000" w:fill="FFFFFF"/>
            <w:noWrap/>
            <w:vAlign w:val="bottom"/>
            <w:hideMark/>
          </w:tcPr>
          <w:p w14:paraId="5DAFC791" w14:textId="2E0BD0EC" w:rsidR="002A66B3" w:rsidRPr="00730ECF" w:rsidRDefault="002A66B3" w:rsidP="002A66B3">
            <w:pPr>
              <w:jc w:val="right"/>
              <w:rPr>
                <w:rFonts w:cstheme="minorHAnsi"/>
                <w:b/>
                <w:bCs/>
                <w:sz w:val="20"/>
                <w:szCs w:val="20"/>
              </w:rPr>
            </w:pPr>
          </w:p>
        </w:tc>
      </w:tr>
      <w:tr w:rsidR="002A66B3" w:rsidRPr="002A66B3" w14:paraId="54084C18" w14:textId="77777777" w:rsidTr="006F148D">
        <w:trPr>
          <w:trHeight w:val="80"/>
          <w:jc w:val="center"/>
        </w:trPr>
        <w:tc>
          <w:tcPr>
            <w:tcW w:w="6120" w:type="dxa"/>
            <w:tcBorders>
              <w:top w:val="nil"/>
              <w:left w:val="nil"/>
              <w:bottom w:val="nil"/>
              <w:right w:val="nil"/>
            </w:tcBorders>
            <w:shd w:val="clear" w:color="000000" w:fill="FFFFFF"/>
            <w:noWrap/>
            <w:vAlign w:val="bottom"/>
            <w:hideMark/>
          </w:tcPr>
          <w:p w14:paraId="685CC830" w14:textId="77777777" w:rsidR="002A66B3" w:rsidRPr="00730ECF" w:rsidRDefault="002A66B3" w:rsidP="00730ECF">
            <w:pPr>
              <w:ind w:left="255"/>
              <w:rPr>
                <w:rFonts w:cstheme="minorHAnsi"/>
                <w:color w:val="000000"/>
                <w:sz w:val="20"/>
                <w:szCs w:val="20"/>
              </w:rPr>
            </w:pPr>
            <w:r w:rsidRPr="00730ECF">
              <w:rPr>
                <w:rFonts w:cstheme="minorHAnsi"/>
                <w:color w:val="000000"/>
                <w:sz w:val="20"/>
                <w:szCs w:val="20"/>
              </w:rPr>
              <w:t>State of Maine capital appropriations</w:t>
            </w:r>
          </w:p>
        </w:tc>
        <w:tc>
          <w:tcPr>
            <w:tcW w:w="1325" w:type="dxa"/>
            <w:tcBorders>
              <w:top w:val="nil"/>
              <w:left w:val="nil"/>
              <w:bottom w:val="nil"/>
              <w:right w:val="nil"/>
            </w:tcBorders>
            <w:shd w:val="clear" w:color="000000" w:fill="FFFFFF"/>
            <w:noWrap/>
            <w:hideMark/>
          </w:tcPr>
          <w:p w14:paraId="4A78DA3D" w14:textId="461C835B" w:rsidR="002A66B3" w:rsidRPr="00730ECF" w:rsidRDefault="002A66B3" w:rsidP="002A66B3">
            <w:pPr>
              <w:jc w:val="right"/>
              <w:rPr>
                <w:rFonts w:cstheme="minorHAnsi"/>
                <w:sz w:val="20"/>
                <w:szCs w:val="20"/>
              </w:rPr>
            </w:pPr>
            <w:r w:rsidRPr="00730ECF">
              <w:rPr>
                <w:rFonts w:cstheme="minorHAnsi"/>
                <w:sz w:val="20"/>
                <w:szCs w:val="20"/>
              </w:rPr>
              <w:t xml:space="preserve">16,115 </w:t>
            </w:r>
          </w:p>
        </w:tc>
        <w:tc>
          <w:tcPr>
            <w:tcW w:w="1533" w:type="dxa"/>
            <w:tcBorders>
              <w:top w:val="nil"/>
              <w:left w:val="nil"/>
              <w:bottom w:val="nil"/>
              <w:right w:val="nil"/>
            </w:tcBorders>
            <w:shd w:val="clear" w:color="000000" w:fill="FFFFFF"/>
            <w:noWrap/>
            <w:vAlign w:val="bottom"/>
            <w:hideMark/>
          </w:tcPr>
          <w:p w14:paraId="19593938" w14:textId="77777777" w:rsidR="002A66B3" w:rsidRPr="00730ECF" w:rsidRDefault="002A66B3" w:rsidP="002A66B3">
            <w:pPr>
              <w:jc w:val="right"/>
              <w:rPr>
                <w:rFonts w:cstheme="minorHAnsi"/>
                <w:sz w:val="20"/>
                <w:szCs w:val="20"/>
              </w:rPr>
            </w:pPr>
            <w:r w:rsidRPr="00730ECF">
              <w:rPr>
                <w:rFonts w:cstheme="minorHAnsi"/>
                <w:sz w:val="20"/>
                <w:szCs w:val="20"/>
              </w:rPr>
              <w:t xml:space="preserve">16,143 </w:t>
            </w:r>
          </w:p>
        </w:tc>
      </w:tr>
      <w:tr w:rsidR="002A66B3" w:rsidRPr="002A66B3" w14:paraId="13E63865" w14:textId="77777777" w:rsidTr="006F148D">
        <w:trPr>
          <w:trHeight w:val="80"/>
          <w:jc w:val="center"/>
        </w:trPr>
        <w:tc>
          <w:tcPr>
            <w:tcW w:w="6120" w:type="dxa"/>
            <w:tcBorders>
              <w:top w:val="nil"/>
              <w:left w:val="nil"/>
              <w:bottom w:val="nil"/>
              <w:right w:val="nil"/>
            </w:tcBorders>
            <w:shd w:val="clear" w:color="000000" w:fill="FFFFFF"/>
            <w:noWrap/>
            <w:vAlign w:val="bottom"/>
            <w:hideMark/>
          </w:tcPr>
          <w:p w14:paraId="61201D6C" w14:textId="77777777" w:rsidR="002A66B3" w:rsidRPr="00730ECF" w:rsidRDefault="002A66B3" w:rsidP="00730ECF">
            <w:pPr>
              <w:ind w:left="255"/>
              <w:rPr>
                <w:rFonts w:cstheme="minorHAnsi"/>
                <w:color w:val="000000"/>
                <w:sz w:val="20"/>
                <w:szCs w:val="20"/>
              </w:rPr>
            </w:pPr>
            <w:r w:rsidRPr="00730ECF">
              <w:rPr>
                <w:rFonts w:cstheme="minorHAnsi"/>
                <w:color w:val="000000"/>
                <w:sz w:val="20"/>
                <w:szCs w:val="20"/>
              </w:rPr>
              <w:t>Capital grants and gifts</w:t>
            </w:r>
          </w:p>
        </w:tc>
        <w:tc>
          <w:tcPr>
            <w:tcW w:w="1325" w:type="dxa"/>
            <w:tcBorders>
              <w:top w:val="nil"/>
              <w:left w:val="nil"/>
              <w:bottom w:val="nil"/>
              <w:right w:val="nil"/>
            </w:tcBorders>
            <w:shd w:val="clear" w:color="000000" w:fill="FFFFFF"/>
            <w:noWrap/>
            <w:hideMark/>
          </w:tcPr>
          <w:p w14:paraId="2815B48B" w14:textId="0E14A70E" w:rsidR="002A66B3" w:rsidRPr="00730ECF" w:rsidRDefault="002A66B3" w:rsidP="002A66B3">
            <w:pPr>
              <w:jc w:val="right"/>
              <w:rPr>
                <w:rFonts w:cstheme="minorHAnsi"/>
                <w:sz w:val="20"/>
                <w:szCs w:val="20"/>
              </w:rPr>
            </w:pPr>
            <w:r w:rsidRPr="00730ECF">
              <w:rPr>
                <w:rFonts w:cstheme="minorHAnsi"/>
                <w:sz w:val="20"/>
                <w:szCs w:val="20"/>
              </w:rPr>
              <w:t xml:space="preserve">76,816 </w:t>
            </w:r>
          </w:p>
        </w:tc>
        <w:tc>
          <w:tcPr>
            <w:tcW w:w="1533" w:type="dxa"/>
            <w:tcBorders>
              <w:top w:val="nil"/>
              <w:left w:val="nil"/>
              <w:bottom w:val="nil"/>
              <w:right w:val="nil"/>
            </w:tcBorders>
            <w:shd w:val="clear" w:color="000000" w:fill="FFFFFF"/>
            <w:noWrap/>
            <w:vAlign w:val="bottom"/>
            <w:hideMark/>
          </w:tcPr>
          <w:p w14:paraId="63BBF915" w14:textId="77777777" w:rsidR="002A66B3" w:rsidRPr="00730ECF" w:rsidRDefault="002A66B3" w:rsidP="002A66B3">
            <w:pPr>
              <w:jc w:val="right"/>
              <w:rPr>
                <w:rFonts w:cstheme="minorHAnsi"/>
                <w:sz w:val="20"/>
                <w:szCs w:val="20"/>
              </w:rPr>
            </w:pPr>
            <w:r w:rsidRPr="00730ECF">
              <w:rPr>
                <w:rFonts w:cstheme="minorHAnsi"/>
                <w:sz w:val="20"/>
                <w:szCs w:val="20"/>
              </w:rPr>
              <w:t xml:space="preserve">46,412 </w:t>
            </w:r>
          </w:p>
        </w:tc>
      </w:tr>
      <w:tr w:rsidR="002A66B3" w:rsidRPr="002A66B3" w14:paraId="39C52B87" w14:textId="77777777" w:rsidTr="006F148D">
        <w:trPr>
          <w:trHeight w:val="80"/>
          <w:jc w:val="center"/>
        </w:trPr>
        <w:tc>
          <w:tcPr>
            <w:tcW w:w="6120" w:type="dxa"/>
            <w:tcBorders>
              <w:top w:val="nil"/>
              <w:left w:val="nil"/>
              <w:bottom w:val="nil"/>
              <w:right w:val="nil"/>
            </w:tcBorders>
            <w:shd w:val="clear" w:color="000000" w:fill="FFFFFF"/>
            <w:vAlign w:val="bottom"/>
            <w:hideMark/>
          </w:tcPr>
          <w:p w14:paraId="2F810B3F" w14:textId="77777777" w:rsidR="002A66B3" w:rsidRPr="00730ECF" w:rsidRDefault="002A66B3" w:rsidP="00730ECF">
            <w:pPr>
              <w:ind w:left="255"/>
              <w:rPr>
                <w:rFonts w:cstheme="minorHAnsi"/>
                <w:color w:val="000000"/>
                <w:sz w:val="20"/>
                <w:szCs w:val="20"/>
              </w:rPr>
            </w:pPr>
            <w:r w:rsidRPr="00730ECF">
              <w:rPr>
                <w:rFonts w:cstheme="minorHAnsi"/>
                <w:color w:val="000000"/>
                <w:sz w:val="20"/>
                <w:szCs w:val="20"/>
              </w:rPr>
              <w:t>Endowment return, net of amount used for operations</w:t>
            </w:r>
            <w:r w:rsidRPr="00730ECF">
              <w:rPr>
                <w:rFonts w:cstheme="minorHAnsi"/>
                <w:i/>
                <w:iCs/>
                <w:color w:val="000000"/>
                <w:sz w:val="20"/>
                <w:szCs w:val="20"/>
              </w:rPr>
              <w:t xml:space="preserve"> (Note 3)</w:t>
            </w:r>
          </w:p>
        </w:tc>
        <w:tc>
          <w:tcPr>
            <w:tcW w:w="1325" w:type="dxa"/>
            <w:tcBorders>
              <w:top w:val="nil"/>
              <w:left w:val="nil"/>
              <w:bottom w:val="nil"/>
              <w:right w:val="nil"/>
            </w:tcBorders>
            <w:shd w:val="clear" w:color="000000" w:fill="FFFFFF"/>
            <w:noWrap/>
            <w:hideMark/>
          </w:tcPr>
          <w:p w14:paraId="049932F4" w14:textId="0CA9B384" w:rsidR="002A66B3" w:rsidRPr="00730ECF" w:rsidRDefault="002A66B3" w:rsidP="002A66B3">
            <w:pPr>
              <w:jc w:val="right"/>
              <w:rPr>
                <w:rFonts w:cstheme="minorHAnsi"/>
                <w:sz w:val="20"/>
                <w:szCs w:val="20"/>
              </w:rPr>
            </w:pPr>
            <w:r w:rsidRPr="00730ECF">
              <w:rPr>
                <w:rFonts w:cstheme="minorHAnsi"/>
                <w:sz w:val="20"/>
                <w:szCs w:val="20"/>
              </w:rPr>
              <w:t xml:space="preserve">8,763 </w:t>
            </w:r>
          </w:p>
        </w:tc>
        <w:tc>
          <w:tcPr>
            <w:tcW w:w="1533" w:type="dxa"/>
            <w:tcBorders>
              <w:top w:val="nil"/>
              <w:left w:val="nil"/>
              <w:bottom w:val="nil"/>
              <w:right w:val="nil"/>
            </w:tcBorders>
            <w:shd w:val="clear" w:color="000000" w:fill="FFFFFF"/>
            <w:noWrap/>
            <w:vAlign w:val="bottom"/>
            <w:hideMark/>
          </w:tcPr>
          <w:p w14:paraId="04445D90" w14:textId="77777777" w:rsidR="002A66B3" w:rsidRPr="00730ECF" w:rsidRDefault="002A66B3" w:rsidP="002A66B3">
            <w:pPr>
              <w:jc w:val="right"/>
              <w:rPr>
                <w:rFonts w:cstheme="minorHAnsi"/>
                <w:sz w:val="20"/>
                <w:szCs w:val="20"/>
              </w:rPr>
            </w:pPr>
            <w:r w:rsidRPr="00730ECF">
              <w:rPr>
                <w:rFonts w:cstheme="minorHAnsi"/>
                <w:sz w:val="20"/>
                <w:szCs w:val="20"/>
              </w:rPr>
              <w:t xml:space="preserve">10,613 </w:t>
            </w:r>
          </w:p>
        </w:tc>
      </w:tr>
      <w:tr w:rsidR="002A66B3" w:rsidRPr="002A66B3" w14:paraId="600236B8" w14:textId="77777777" w:rsidTr="006F148D">
        <w:trPr>
          <w:trHeight w:val="80"/>
          <w:jc w:val="center"/>
        </w:trPr>
        <w:tc>
          <w:tcPr>
            <w:tcW w:w="6120" w:type="dxa"/>
            <w:tcBorders>
              <w:top w:val="nil"/>
              <w:left w:val="nil"/>
              <w:bottom w:val="nil"/>
              <w:right w:val="nil"/>
            </w:tcBorders>
            <w:shd w:val="clear" w:color="000000" w:fill="FFFFFF"/>
            <w:noWrap/>
            <w:vAlign w:val="bottom"/>
            <w:hideMark/>
          </w:tcPr>
          <w:p w14:paraId="4073BE98" w14:textId="77777777" w:rsidR="002A66B3" w:rsidRPr="00730ECF" w:rsidRDefault="002A66B3" w:rsidP="00730ECF">
            <w:pPr>
              <w:ind w:left="255"/>
              <w:rPr>
                <w:rFonts w:cstheme="minorHAnsi"/>
                <w:color w:val="000000"/>
                <w:sz w:val="20"/>
                <w:szCs w:val="20"/>
              </w:rPr>
            </w:pPr>
            <w:r w:rsidRPr="00730ECF">
              <w:rPr>
                <w:rFonts w:cstheme="minorHAnsi"/>
                <w:color w:val="000000"/>
                <w:sz w:val="20"/>
                <w:szCs w:val="20"/>
              </w:rPr>
              <w:t>True and quasi endowment gifts</w:t>
            </w:r>
          </w:p>
        </w:tc>
        <w:tc>
          <w:tcPr>
            <w:tcW w:w="1325" w:type="dxa"/>
            <w:tcBorders>
              <w:top w:val="nil"/>
              <w:left w:val="nil"/>
              <w:bottom w:val="nil"/>
              <w:right w:val="nil"/>
            </w:tcBorders>
            <w:shd w:val="clear" w:color="000000" w:fill="FFFFFF"/>
            <w:noWrap/>
            <w:hideMark/>
          </w:tcPr>
          <w:p w14:paraId="33639560" w14:textId="1A2B5819" w:rsidR="002A66B3" w:rsidRPr="00730ECF" w:rsidRDefault="002A66B3" w:rsidP="002A66B3">
            <w:pPr>
              <w:jc w:val="right"/>
              <w:rPr>
                <w:rFonts w:cstheme="minorHAnsi"/>
                <w:sz w:val="20"/>
                <w:szCs w:val="20"/>
              </w:rPr>
            </w:pPr>
            <w:r w:rsidRPr="00730ECF">
              <w:rPr>
                <w:rFonts w:cstheme="minorHAnsi"/>
                <w:sz w:val="20"/>
                <w:szCs w:val="20"/>
              </w:rPr>
              <w:t xml:space="preserve">1,146 </w:t>
            </w:r>
          </w:p>
        </w:tc>
        <w:tc>
          <w:tcPr>
            <w:tcW w:w="1533" w:type="dxa"/>
            <w:tcBorders>
              <w:top w:val="nil"/>
              <w:left w:val="nil"/>
              <w:bottom w:val="nil"/>
              <w:right w:val="nil"/>
            </w:tcBorders>
            <w:shd w:val="clear" w:color="000000" w:fill="FFFFFF"/>
            <w:noWrap/>
            <w:vAlign w:val="bottom"/>
            <w:hideMark/>
          </w:tcPr>
          <w:p w14:paraId="0E665AA5" w14:textId="77777777" w:rsidR="002A66B3" w:rsidRPr="00730ECF" w:rsidRDefault="002A66B3" w:rsidP="002A66B3">
            <w:pPr>
              <w:jc w:val="right"/>
              <w:rPr>
                <w:rFonts w:cstheme="minorHAnsi"/>
                <w:sz w:val="20"/>
                <w:szCs w:val="20"/>
              </w:rPr>
            </w:pPr>
            <w:r w:rsidRPr="00730ECF">
              <w:rPr>
                <w:rFonts w:cstheme="minorHAnsi"/>
                <w:sz w:val="20"/>
                <w:szCs w:val="20"/>
              </w:rPr>
              <w:t xml:space="preserve">773 </w:t>
            </w:r>
          </w:p>
        </w:tc>
      </w:tr>
      <w:tr w:rsidR="002A66B3" w:rsidRPr="002A66B3" w14:paraId="79ADD605" w14:textId="77777777" w:rsidTr="006F148D">
        <w:trPr>
          <w:trHeight w:val="80"/>
          <w:jc w:val="center"/>
        </w:trPr>
        <w:tc>
          <w:tcPr>
            <w:tcW w:w="6120" w:type="dxa"/>
            <w:tcBorders>
              <w:top w:val="nil"/>
              <w:left w:val="nil"/>
              <w:bottom w:val="single" w:sz="4" w:space="0" w:color="000000"/>
              <w:right w:val="nil"/>
            </w:tcBorders>
            <w:shd w:val="clear" w:color="000000" w:fill="FFFFFF"/>
            <w:noWrap/>
            <w:vAlign w:val="bottom"/>
            <w:hideMark/>
          </w:tcPr>
          <w:p w14:paraId="0CA6470B" w14:textId="77777777" w:rsidR="002A66B3" w:rsidRPr="00730ECF" w:rsidRDefault="002A66B3" w:rsidP="00730ECF">
            <w:pPr>
              <w:ind w:left="255"/>
              <w:rPr>
                <w:rFonts w:cstheme="minorHAnsi"/>
                <w:color w:val="000000"/>
                <w:sz w:val="20"/>
                <w:szCs w:val="20"/>
              </w:rPr>
            </w:pPr>
            <w:r w:rsidRPr="00730ECF">
              <w:rPr>
                <w:rFonts w:cstheme="minorHAnsi"/>
                <w:color w:val="000000"/>
                <w:sz w:val="20"/>
                <w:szCs w:val="20"/>
              </w:rPr>
              <w:t>Gain (loss) on disposal of capital assets</w:t>
            </w:r>
          </w:p>
        </w:tc>
        <w:tc>
          <w:tcPr>
            <w:tcW w:w="1325" w:type="dxa"/>
            <w:tcBorders>
              <w:top w:val="nil"/>
              <w:left w:val="nil"/>
              <w:bottom w:val="single" w:sz="4" w:space="0" w:color="000000"/>
              <w:right w:val="nil"/>
            </w:tcBorders>
            <w:shd w:val="clear" w:color="000000" w:fill="FFFFFF"/>
            <w:noWrap/>
            <w:hideMark/>
          </w:tcPr>
          <w:p w14:paraId="62002FDC" w14:textId="2FA29358" w:rsidR="002A66B3" w:rsidRPr="00730ECF" w:rsidRDefault="002A66B3" w:rsidP="002A66B3">
            <w:pPr>
              <w:jc w:val="right"/>
              <w:rPr>
                <w:rFonts w:cstheme="minorHAnsi"/>
                <w:sz w:val="20"/>
                <w:szCs w:val="20"/>
              </w:rPr>
            </w:pPr>
            <w:r w:rsidRPr="00730ECF">
              <w:rPr>
                <w:rFonts w:cstheme="minorHAnsi"/>
                <w:sz w:val="20"/>
                <w:szCs w:val="20"/>
              </w:rPr>
              <w:t>(3,450)</w:t>
            </w:r>
          </w:p>
        </w:tc>
        <w:tc>
          <w:tcPr>
            <w:tcW w:w="1533" w:type="dxa"/>
            <w:tcBorders>
              <w:top w:val="nil"/>
              <w:left w:val="nil"/>
              <w:bottom w:val="single" w:sz="4" w:space="0" w:color="000000"/>
              <w:right w:val="nil"/>
            </w:tcBorders>
            <w:shd w:val="clear" w:color="000000" w:fill="FFFFFF"/>
            <w:noWrap/>
            <w:vAlign w:val="bottom"/>
            <w:hideMark/>
          </w:tcPr>
          <w:p w14:paraId="3C38F3F9" w14:textId="77777777" w:rsidR="002A66B3" w:rsidRPr="00730ECF" w:rsidRDefault="002A66B3" w:rsidP="002A66B3">
            <w:pPr>
              <w:jc w:val="right"/>
              <w:rPr>
                <w:rFonts w:cstheme="minorHAnsi"/>
                <w:sz w:val="20"/>
                <w:szCs w:val="20"/>
              </w:rPr>
            </w:pPr>
            <w:r w:rsidRPr="00730ECF">
              <w:rPr>
                <w:rFonts w:cstheme="minorHAnsi"/>
                <w:sz w:val="20"/>
                <w:szCs w:val="20"/>
              </w:rPr>
              <w:t xml:space="preserve">191 </w:t>
            </w:r>
          </w:p>
        </w:tc>
      </w:tr>
      <w:tr w:rsidR="002A66B3" w:rsidRPr="002A66B3" w14:paraId="1C3688B9" w14:textId="77777777" w:rsidTr="006F148D">
        <w:trPr>
          <w:trHeight w:val="70"/>
          <w:jc w:val="center"/>
        </w:trPr>
        <w:tc>
          <w:tcPr>
            <w:tcW w:w="6120" w:type="dxa"/>
            <w:tcBorders>
              <w:top w:val="nil"/>
              <w:left w:val="nil"/>
              <w:bottom w:val="single" w:sz="4" w:space="0" w:color="000000"/>
              <w:right w:val="nil"/>
            </w:tcBorders>
            <w:shd w:val="clear" w:color="000000" w:fill="FFFFFF"/>
            <w:noWrap/>
            <w:vAlign w:val="bottom"/>
            <w:hideMark/>
          </w:tcPr>
          <w:p w14:paraId="0DB718CA" w14:textId="77777777" w:rsidR="002A66B3" w:rsidRPr="00730ECF" w:rsidRDefault="002A66B3" w:rsidP="002A66B3">
            <w:pPr>
              <w:rPr>
                <w:rFonts w:cstheme="minorHAnsi"/>
                <w:b/>
                <w:bCs/>
                <w:color w:val="000000"/>
                <w:sz w:val="20"/>
                <w:szCs w:val="20"/>
              </w:rPr>
            </w:pPr>
            <w:r w:rsidRPr="00730ECF">
              <w:rPr>
                <w:rFonts w:cstheme="minorHAnsi"/>
                <w:b/>
                <w:bCs/>
                <w:color w:val="000000"/>
                <w:sz w:val="20"/>
                <w:szCs w:val="20"/>
              </w:rPr>
              <w:t>Total Other Changes in Net Position</w:t>
            </w:r>
          </w:p>
        </w:tc>
        <w:tc>
          <w:tcPr>
            <w:tcW w:w="1325" w:type="dxa"/>
            <w:tcBorders>
              <w:top w:val="nil"/>
              <w:left w:val="nil"/>
              <w:bottom w:val="single" w:sz="4" w:space="0" w:color="000000"/>
              <w:right w:val="nil"/>
            </w:tcBorders>
            <w:shd w:val="clear" w:color="000000" w:fill="FFFFFF"/>
            <w:noWrap/>
            <w:hideMark/>
          </w:tcPr>
          <w:p w14:paraId="443EA492" w14:textId="0E67353A" w:rsidR="002A66B3" w:rsidRPr="00642F95" w:rsidRDefault="002A66B3" w:rsidP="002A66B3">
            <w:pPr>
              <w:jc w:val="right"/>
              <w:rPr>
                <w:rFonts w:cstheme="minorHAnsi"/>
                <w:sz w:val="20"/>
                <w:szCs w:val="20"/>
              </w:rPr>
            </w:pPr>
            <w:r w:rsidRPr="00642F95">
              <w:rPr>
                <w:rFonts w:cstheme="minorHAnsi"/>
                <w:sz w:val="20"/>
                <w:szCs w:val="20"/>
              </w:rPr>
              <w:t xml:space="preserve">99,390 </w:t>
            </w:r>
          </w:p>
        </w:tc>
        <w:tc>
          <w:tcPr>
            <w:tcW w:w="1533" w:type="dxa"/>
            <w:tcBorders>
              <w:top w:val="nil"/>
              <w:left w:val="nil"/>
              <w:bottom w:val="single" w:sz="4" w:space="0" w:color="000000"/>
              <w:right w:val="nil"/>
            </w:tcBorders>
            <w:shd w:val="clear" w:color="000000" w:fill="FFFFFF"/>
            <w:noWrap/>
            <w:vAlign w:val="bottom"/>
            <w:hideMark/>
          </w:tcPr>
          <w:p w14:paraId="323C4ECE" w14:textId="77777777" w:rsidR="002A66B3" w:rsidRPr="00642F95" w:rsidRDefault="002A66B3" w:rsidP="002A66B3">
            <w:pPr>
              <w:jc w:val="right"/>
              <w:rPr>
                <w:rFonts w:cstheme="minorHAnsi"/>
                <w:sz w:val="20"/>
                <w:szCs w:val="20"/>
              </w:rPr>
            </w:pPr>
            <w:r w:rsidRPr="00642F95">
              <w:rPr>
                <w:rFonts w:cstheme="minorHAnsi"/>
                <w:sz w:val="20"/>
                <w:szCs w:val="20"/>
              </w:rPr>
              <w:t xml:space="preserve">74,132 </w:t>
            </w:r>
          </w:p>
        </w:tc>
      </w:tr>
      <w:tr w:rsidR="002A66B3" w:rsidRPr="002A66B3" w14:paraId="151747ED" w14:textId="77777777" w:rsidTr="006F148D">
        <w:trPr>
          <w:trHeight w:val="70"/>
          <w:jc w:val="center"/>
        </w:trPr>
        <w:tc>
          <w:tcPr>
            <w:tcW w:w="6120" w:type="dxa"/>
            <w:tcBorders>
              <w:top w:val="nil"/>
              <w:left w:val="nil"/>
              <w:bottom w:val="single" w:sz="4" w:space="0" w:color="auto"/>
              <w:right w:val="nil"/>
            </w:tcBorders>
            <w:shd w:val="clear" w:color="000000" w:fill="FFFFFF"/>
            <w:noWrap/>
            <w:vAlign w:val="bottom"/>
            <w:hideMark/>
          </w:tcPr>
          <w:p w14:paraId="1E032EA5" w14:textId="77777777" w:rsidR="002A66B3" w:rsidRPr="00730ECF" w:rsidRDefault="002A66B3" w:rsidP="002A66B3">
            <w:pPr>
              <w:rPr>
                <w:rFonts w:cstheme="minorHAnsi"/>
                <w:b/>
                <w:bCs/>
                <w:color w:val="000000"/>
                <w:sz w:val="20"/>
                <w:szCs w:val="20"/>
              </w:rPr>
            </w:pPr>
            <w:r w:rsidRPr="00730ECF">
              <w:rPr>
                <w:rFonts w:cstheme="minorHAnsi"/>
                <w:b/>
                <w:bCs/>
                <w:color w:val="000000"/>
                <w:sz w:val="20"/>
                <w:szCs w:val="20"/>
              </w:rPr>
              <w:t>Change in Net Position</w:t>
            </w:r>
          </w:p>
        </w:tc>
        <w:tc>
          <w:tcPr>
            <w:tcW w:w="1325" w:type="dxa"/>
            <w:tcBorders>
              <w:top w:val="nil"/>
              <w:left w:val="nil"/>
              <w:bottom w:val="single" w:sz="4" w:space="0" w:color="auto"/>
              <w:right w:val="nil"/>
            </w:tcBorders>
            <w:shd w:val="clear" w:color="000000" w:fill="FFFFFF"/>
            <w:noWrap/>
            <w:hideMark/>
          </w:tcPr>
          <w:p w14:paraId="7B213DCA" w14:textId="6DE61B42" w:rsidR="002A66B3" w:rsidRPr="006F148D" w:rsidRDefault="00BA70E7" w:rsidP="002A66B3">
            <w:pPr>
              <w:jc w:val="right"/>
              <w:rPr>
                <w:rFonts w:cstheme="minorHAnsi"/>
                <w:color w:val="000000"/>
                <w:sz w:val="20"/>
                <w:szCs w:val="20"/>
              </w:rPr>
            </w:pPr>
            <w:r w:rsidRPr="006F148D">
              <w:rPr>
                <w:rFonts w:cstheme="minorHAnsi"/>
                <w:color w:val="000000"/>
                <w:sz w:val="20"/>
                <w:szCs w:val="20"/>
              </w:rPr>
              <w:t>113,236</w:t>
            </w:r>
          </w:p>
        </w:tc>
        <w:tc>
          <w:tcPr>
            <w:tcW w:w="1533" w:type="dxa"/>
            <w:tcBorders>
              <w:top w:val="nil"/>
              <w:left w:val="nil"/>
              <w:bottom w:val="single" w:sz="4" w:space="0" w:color="auto"/>
              <w:right w:val="nil"/>
            </w:tcBorders>
            <w:shd w:val="clear" w:color="000000" w:fill="FFFFFF"/>
            <w:noWrap/>
            <w:hideMark/>
          </w:tcPr>
          <w:p w14:paraId="454C6405" w14:textId="77777777" w:rsidR="002A66B3" w:rsidRPr="006F148D" w:rsidRDefault="002A66B3" w:rsidP="002A66B3">
            <w:pPr>
              <w:jc w:val="right"/>
              <w:rPr>
                <w:rFonts w:cstheme="minorHAnsi"/>
                <w:color w:val="000000"/>
                <w:sz w:val="20"/>
                <w:szCs w:val="20"/>
              </w:rPr>
            </w:pPr>
            <w:r w:rsidRPr="006F148D">
              <w:rPr>
                <w:rFonts w:cstheme="minorHAnsi"/>
                <w:color w:val="000000"/>
                <w:sz w:val="20"/>
                <w:szCs w:val="20"/>
              </w:rPr>
              <w:t>82,045</w:t>
            </w:r>
          </w:p>
        </w:tc>
      </w:tr>
      <w:tr w:rsidR="00642F95" w:rsidRPr="002A66B3" w14:paraId="2AB06666" w14:textId="77777777" w:rsidTr="006F148D">
        <w:trPr>
          <w:trHeight w:val="80"/>
          <w:jc w:val="center"/>
        </w:trPr>
        <w:tc>
          <w:tcPr>
            <w:tcW w:w="6120" w:type="dxa"/>
            <w:tcBorders>
              <w:top w:val="single" w:sz="4" w:space="0" w:color="auto"/>
              <w:left w:val="nil"/>
              <w:right w:val="nil"/>
            </w:tcBorders>
            <w:shd w:val="clear" w:color="000000" w:fill="FFFFFF"/>
            <w:noWrap/>
            <w:vAlign w:val="bottom"/>
          </w:tcPr>
          <w:p w14:paraId="674D9A6E" w14:textId="40D75CAA" w:rsidR="00642F95" w:rsidRPr="00730ECF" w:rsidRDefault="00642F95" w:rsidP="002A66B3">
            <w:pPr>
              <w:rPr>
                <w:rFonts w:cstheme="minorHAnsi"/>
                <w:b/>
                <w:bCs/>
                <w:color w:val="000000"/>
                <w:sz w:val="20"/>
                <w:szCs w:val="20"/>
              </w:rPr>
            </w:pPr>
            <w:r w:rsidRPr="00730ECF">
              <w:rPr>
                <w:rFonts w:cstheme="minorHAnsi"/>
                <w:b/>
                <w:bCs/>
                <w:color w:val="000000"/>
                <w:sz w:val="20"/>
                <w:szCs w:val="20"/>
              </w:rPr>
              <w:t>Net Position - Beginning of the Year</w:t>
            </w:r>
            <w:r w:rsidR="00024993">
              <w:rPr>
                <w:rFonts w:cstheme="minorHAnsi"/>
                <w:b/>
                <w:bCs/>
                <w:color w:val="000000"/>
                <w:sz w:val="20"/>
                <w:szCs w:val="20"/>
              </w:rPr>
              <w:t xml:space="preserve"> – As Previously Reported</w:t>
            </w:r>
          </w:p>
        </w:tc>
        <w:tc>
          <w:tcPr>
            <w:tcW w:w="1325" w:type="dxa"/>
            <w:tcBorders>
              <w:top w:val="single" w:sz="4" w:space="0" w:color="auto"/>
              <w:left w:val="nil"/>
              <w:right w:val="nil"/>
            </w:tcBorders>
            <w:shd w:val="clear" w:color="000000" w:fill="FFFFFF"/>
            <w:noWrap/>
          </w:tcPr>
          <w:p w14:paraId="272A4CE6" w14:textId="0FFF88AB" w:rsidR="00642F95" w:rsidRPr="00730ECF" w:rsidRDefault="00642F95" w:rsidP="002A66B3">
            <w:pPr>
              <w:jc w:val="right"/>
              <w:rPr>
                <w:rFonts w:cstheme="minorHAnsi"/>
                <w:sz w:val="20"/>
                <w:szCs w:val="20"/>
              </w:rPr>
            </w:pPr>
            <w:r>
              <w:rPr>
                <w:rFonts w:cstheme="minorHAnsi"/>
                <w:sz w:val="20"/>
                <w:szCs w:val="20"/>
              </w:rPr>
              <w:t>1,079,362</w:t>
            </w:r>
          </w:p>
        </w:tc>
        <w:tc>
          <w:tcPr>
            <w:tcW w:w="1533" w:type="dxa"/>
            <w:tcBorders>
              <w:top w:val="single" w:sz="4" w:space="0" w:color="auto"/>
              <w:left w:val="nil"/>
              <w:right w:val="nil"/>
            </w:tcBorders>
            <w:shd w:val="clear" w:color="000000" w:fill="FFFFFF"/>
            <w:noWrap/>
            <w:vAlign w:val="bottom"/>
          </w:tcPr>
          <w:p w14:paraId="1CD4CC5A" w14:textId="459B8F17" w:rsidR="00642F95" w:rsidRPr="00730ECF" w:rsidRDefault="00642F95" w:rsidP="002A66B3">
            <w:pPr>
              <w:jc w:val="right"/>
              <w:rPr>
                <w:rFonts w:cstheme="minorHAnsi"/>
                <w:sz w:val="20"/>
                <w:szCs w:val="20"/>
              </w:rPr>
            </w:pPr>
            <w:r>
              <w:rPr>
                <w:rFonts w:cstheme="minorHAnsi"/>
                <w:sz w:val="20"/>
                <w:szCs w:val="20"/>
              </w:rPr>
              <w:t>1,000,715</w:t>
            </w:r>
          </w:p>
        </w:tc>
      </w:tr>
      <w:tr w:rsidR="00642F95" w:rsidRPr="002A66B3" w14:paraId="201707E6" w14:textId="77777777" w:rsidTr="006F148D">
        <w:trPr>
          <w:trHeight w:val="80"/>
          <w:jc w:val="center"/>
        </w:trPr>
        <w:tc>
          <w:tcPr>
            <w:tcW w:w="6120" w:type="dxa"/>
            <w:tcBorders>
              <w:top w:val="nil"/>
              <w:left w:val="nil"/>
              <w:bottom w:val="single" w:sz="4" w:space="0" w:color="auto"/>
              <w:right w:val="nil"/>
            </w:tcBorders>
            <w:shd w:val="clear" w:color="000000" w:fill="FFFFFF"/>
            <w:noWrap/>
            <w:vAlign w:val="bottom"/>
          </w:tcPr>
          <w:p w14:paraId="79C159C0" w14:textId="02BA5804" w:rsidR="00642F95" w:rsidRPr="00730ECF" w:rsidRDefault="00024993" w:rsidP="002A66B3">
            <w:pPr>
              <w:rPr>
                <w:rFonts w:cstheme="minorHAnsi"/>
                <w:b/>
                <w:bCs/>
                <w:color w:val="000000"/>
                <w:sz w:val="20"/>
                <w:szCs w:val="20"/>
              </w:rPr>
            </w:pPr>
            <w:r>
              <w:rPr>
                <w:rFonts w:cstheme="minorHAnsi"/>
                <w:b/>
                <w:bCs/>
                <w:color w:val="000000"/>
                <w:sz w:val="20"/>
                <w:szCs w:val="20"/>
              </w:rPr>
              <w:t>Restatement – Change in Accounting Principal</w:t>
            </w:r>
            <w:r w:rsidR="00A80D0A">
              <w:rPr>
                <w:rFonts w:cstheme="minorHAnsi"/>
                <w:b/>
                <w:bCs/>
                <w:color w:val="000000"/>
                <w:sz w:val="20"/>
                <w:szCs w:val="20"/>
              </w:rPr>
              <w:t xml:space="preserve"> </w:t>
            </w:r>
            <w:r w:rsidR="00A80D0A" w:rsidRPr="006F148D">
              <w:rPr>
                <w:rFonts w:cstheme="minorHAnsi"/>
                <w:b/>
                <w:bCs/>
                <w:i/>
                <w:iCs/>
                <w:color w:val="000000"/>
                <w:sz w:val="20"/>
                <w:szCs w:val="20"/>
              </w:rPr>
              <w:t>(Note 18)</w:t>
            </w:r>
          </w:p>
        </w:tc>
        <w:tc>
          <w:tcPr>
            <w:tcW w:w="1325" w:type="dxa"/>
            <w:tcBorders>
              <w:top w:val="nil"/>
              <w:left w:val="nil"/>
              <w:bottom w:val="single" w:sz="4" w:space="0" w:color="auto"/>
              <w:right w:val="nil"/>
            </w:tcBorders>
            <w:shd w:val="clear" w:color="000000" w:fill="FFFFFF"/>
            <w:noWrap/>
            <w:vAlign w:val="bottom"/>
          </w:tcPr>
          <w:p w14:paraId="099D0826" w14:textId="7871A856" w:rsidR="00642F95" w:rsidRPr="006F148D" w:rsidRDefault="00642F95" w:rsidP="00642F95">
            <w:pPr>
              <w:jc w:val="right"/>
              <w:rPr>
                <w:rFonts w:cstheme="minorHAnsi"/>
                <w:sz w:val="20"/>
                <w:szCs w:val="20"/>
              </w:rPr>
            </w:pPr>
            <w:r>
              <w:rPr>
                <w:rFonts w:cstheme="minorHAnsi"/>
                <w:sz w:val="20"/>
                <w:szCs w:val="20"/>
              </w:rPr>
              <w:t>-</w:t>
            </w:r>
          </w:p>
        </w:tc>
        <w:tc>
          <w:tcPr>
            <w:tcW w:w="1533" w:type="dxa"/>
            <w:tcBorders>
              <w:top w:val="nil"/>
              <w:left w:val="nil"/>
              <w:bottom w:val="single" w:sz="4" w:space="0" w:color="auto"/>
              <w:right w:val="nil"/>
            </w:tcBorders>
            <w:shd w:val="clear" w:color="000000" w:fill="FFFFFF"/>
            <w:noWrap/>
            <w:vAlign w:val="bottom"/>
          </w:tcPr>
          <w:p w14:paraId="684E54C5" w14:textId="708B5AD0" w:rsidR="00642F95" w:rsidRPr="00730ECF" w:rsidRDefault="00642F95" w:rsidP="002A66B3">
            <w:pPr>
              <w:jc w:val="right"/>
              <w:rPr>
                <w:rFonts w:cstheme="minorHAnsi"/>
                <w:sz w:val="20"/>
                <w:szCs w:val="20"/>
              </w:rPr>
            </w:pPr>
            <w:r>
              <w:rPr>
                <w:rFonts w:cstheme="minorHAnsi"/>
                <w:sz w:val="20"/>
                <w:szCs w:val="20"/>
              </w:rPr>
              <w:t>(3,398)</w:t>
            </w:r>
          </w:p>
        </w:tc>
      </w:tr>
      <w:tr w:rsidR="002A66B3" w:rsidRPr="002A66B3" w14:paraId="7F2B3585" w14:textId="77777777" w:rsidTr="006F148D">
        <w:trPr>
          <w:trHeight w:val="80"/>
          <w:jc w:val="center"/>
        </w:trPr>
        <w:tc>
          <w:tcPr>
            <w:tcW w:w="6120" w:type="dxa"/>
            <w:tcBorders>
              <w:top w:val="single" w:sz="4" w:space="0" w:color="auto"/>
              <w:left w:val="nil"/>
              <w:bottom w:val="single" w:sz="4" w:space="0" w:color="auto"/>
              <w:right w:val="nil"/>
            </w:tcBorders>
            <w:shd w:val="clear" w:color="000000" w:fill="FFFFFF"/>
            <w:noWrap/>
            <w:vAlign w:val="bottom"/>
            <w:hideMark/>
          </w:tcPr>
          <w:p w14:paraId="5FA38BCE" w14:textId="5060ED4C" w:rsidR="002A66B3" w:rsidRPr="00730ECF" w:rsidRDefault="002A66B3" w:rsidP="002A66B3">
            <w:pPr>
              <w:rPr>
                <w:rFonts w:cstheme="minorHAnsi"/>
                <w:b/>
                <w:bCs/>
                <w:color w:val="000000"/>
                <w:sz w:val="20"/>
                <w:szCs w:val="20"/>
              </w:rPr>
            </w:pPr>
            <w:r w:rsidRPr="00730ECF">
              <w:rPr>
                <w:rFonts w:cstheme="minorHAnsi"/>
                <w:b/>
                <w:bCs/>
                <w:color w:val="000000"/>
                <w:sz w:val="20"/>
                <w:szCs w:val="20"/>
              </w:rPr>
              <w:t>Net Position - Beginning of the Year</w:t>
            </w:r>
            <w:r w:rsidR="00024993">
              <w:rPr>
                <w:rFonts w:cstheme="minorHAnsi"/>
                <w:b/>
                <w:bCs/>
                <w:color w:val="000000"/>
                <w:sz w:val="20"/>
                <w:szCs w:val="20"/>
              </w:rPr>
              <w:t xml:space="preserve"> </w:t>
            </w:r>
            <w:r w:rsidRPr="00730ECF">
              <w:rPr>
                <w:rFonts w:cstheme="minorHAnsi"/>
                <w:b/>
                <w:bCs/>
                <w:color w:val="000000"/>
                <w:sz w:val="20"/>
                <w:szCs w:val="20"/>
              </w:rPr>
              <w:t>-</w:t>
            </w:r>
            <w:r w:rsidR="00024993">
              <w:rPr>
                <w:rFonts w:cstheme="minorHAnsi"/>
                <w:b/>
                <w:bCs/>
                <w:color w:val="000000"/>
                <w:sz w:val="20"/>
                <w:szCs w:val="20"/>
              </w:rPr>
              <w:t xml:space="preserve"> </w:t>
            </w:r>
            <w:r w:rsidRPr="00730ECF">
              <w:rPr>
                <w:rFonts w:cstheme="minorHAnsi"/>
                <w:b/>
                <w:bCs/>
                <w:color w:val="000000"/>
                <w:sz w:val="20"/>
                <w:szCs w:val="20"/>
              </w:rPr>
              <w:t>As Restated</w:t>
            </w:r>
          </w:p>
        </w:tc>
        <w:tc>
          <w:tcPr>
            <w:tcW w:w="1325" w:type="dxa"/>
            <w:tcBorders>
              <w:top w:val="single" w:sz="4" w:space="0" w:color="auto"/>
              <w:left w:val="nil"/>
              <w:bottom w:val="single" w:sz="4" w:space="0" w:color="auto"/>
              <w:right w:val="nil"/>
            </w:tcBorders>
            <w:shd w:val="clear" w:color="000000" w:fill="FFFFFF"/>
            <w:noWrap/>
            <w:hideMark/>
          </w:tcPr>
          <w:p w14:paraId="20373BB9" w14:textId="2C21175E" w:rsidR="002A66B3" w:rsidRPr="00730ECF" w:rsidRDefault="002A66B3" w:rsidP="002A66B3">
            <w:pPr>
              <w:jc w:val="right"/>
              <w:rPr>
                <w:rFonts w:cstheme="minorHAnsi"/>
                <w:sz w:val="20"/>
                <w:szCs w:val="20"/>
              </w:rPr>
            </w:pPr>
            <w:r w:rsidRPr="00730ECF">
              <w:rPr>
                <w:rFonts w:cstheme="minorHAnsi"/>
                <w:sz w:val="20"/>
                <w:szCs w:val="20"/>
              </w:rPr>
              <w:t xml:space="preserve">1,079,362 </w:t>
            </w:r>
          </w:p>
        </w:tc>
        <w:tc>
          <w:tcPr>
            <w:tcW w:w="1533" w:type="dxa"/>
            <w:tcBorders>
              <w:top w:val="single" w:sz="4" w:space="0" w:color="auto"/>
              <w:left w:val="nil"/>
              <w:bottom w:val="single" w:sz="4" w:space="0" w:color="auto"/>
              <w:right w:val="nil"/>
            </w:tcBorders>
            <w:shd w:val="clear" w:color="000000" w:fill="FFFFFF"/>
            <w:noWrap/>
            <w:vAlign w:val="bottom"/>
            <w:hideMark/>
          </w:tcPr>
          <w:p w14:paraId="01FAF28A" w14:textId="77777777" w:rsidR="002A66B3" w:rsidRPr="00730ECF" w:rsidRDefault="002A66B3" w:rsidP="002A66B3">
            <w:pPr>
              <w:jc w:val="right"/>
              <w:rPr>
                <w:rFonts w:cstheme="minorHAnsi"/>
                <w:sz w:val="20"/>
                <w:szCs w:val="20"/>
              </w:rPr>
            </w:pPr>
            <w:r w:rsidRPr="00730ECF">
              <w:rPr>
                <w:rFonts w:cstheme="minorHAnsi"/>
                <w:sz w:val="20"/>
                <w:szCs w:val="20"/>
              </w:rPr>
              <w:t>997,317</w:t>
            </w:r>
          </w:p>
        </w:tc>
      </w:tr>
      <w:tr w:rsidR="002A66B3" w:rsidRPr="002A66B3" w14:paraId="2C268CEA" w14:textId="77777777" w:rsidTr="006F148D">
        <w:trPr>
          <w:trHeight w:val="70"/>
          <w:jc w:val="center"/>
        </w:trPr>
        <w:tc>
          <w:tcPr>
            <w:tcW w:w="6120" w:type="dxa"/>
            <w:tcBorders>
              <w:top w:val="single" w:sz="4" w:space="0" w:color="auto"/>
              <w:left w:val="nil"/>
              <w:bottom w:val="double" w:sz="6" w:space="0" w:color="000000"/>
              <w:right w:val="nil"/>
            </w:tcBorders>
            <w:shd w:val="clear" w:color="000000" w:fill="FFFFFF"/>
            <w:noWrap/>
            <w:vAlign w:val="bottom"/>
            <w:hideMark/>
          </w:tcPr>
          <w:p w14:paraId="4C7064EE" w14:textId="77777777" w:rsidR="002A66B3" w:rsidRPr="00730ECF" w:rsidRDefault="002A66B3" w:rsidP="002A66B3">
            <w:pPr>
              <w:rPr>
                <w:rFonts w:cstheme="minorHAnsi"/>
                <w:b/>
                <w:bCs/>
                <w:color w:val="000000"/>
                <w:sz w:val="20"/>
                <w:szCs w:val="20"/>
              </w:rPr>
            </w:pPr>
            <w:r w:rsidRPr="00730ECF">
              <w:rPr>
                <w:rFonts w:cstheme="minorHAnsi"/>
                <w:b/>
                <w:bCs/>
                <w:color w:val="000000"/>
                <w:sz w:val="20"/>
                <w:szCs w:val="20"/>
              </w:rPr>
              <w:t>Net Position - End of Year</w:t>
            </w:r>
          </w:p>
        </w:tc>
        <w:tc>
          <w:tcPr>
            <w:tcW w:w="1325" w:type="dxa"/>
            <w:tcBorders>
              <w:top w:val="single" w:sz="4" w:space="0" w:color="auto"/>
              <w:left w:val="nil"/>
              <w:bottom w:val="double" w:sz="6" w:space="0" w:color="000000"/>
              <w:right w:val="nil"/>
            </w:tcBorders>
            <w:noWrap/>
            <w:hideMark/>
          </w:tcPr>
          <w:p w14:paraId="0EDCE2DE" w14:textId="2FB0A47F" w:rsidR="002A66B3" w:rsidRPr="00730ECF" w:rsidRDefault="00BA70E7" w:rsidP="002A66B3">
            <w:pPr>
              <w:jc w:val="right"/>
              <w:rPr>
                <w:rFonts w:cstheme="minorHAnsi"/>
                <w:sz w:val="20"/>
                <w:szCs w:val="20"/>
              </w:rPr>
            </w:pPr>
            <w:r w:rsidRPr="00BA70E7">
              <w:rPr>
                <w:rFonts w:cstheme="minorHAnsi"/>
                <w:sz w:val="20"/>
                <w:szCs w:val="20"/>
              </w:rPr>
              <w:t>$1,192,598</w:t>
            </w:r>
          </w:p>
        </w:tc>
        <w:tc>
          <w:tcPr>
            <w:tcW w:w="1533" w:type="dxa"/>
            <w:tcBorders>
              <w:top w:val="single" w:sz="4" w:space="0" w:color="auto"/>
              <w:left w:val="nil"/>
              <w:bottom w:val="double" w:sz="6" w:space="0" w:color="000000"/>
              <w:right w:val="nil"/>
            </w:tcBorders>
            <w:noWrap/>
            <w:vAlign w:val="bottom"/>
            <w:hideMark/>
          </w:tcPr>
          <w:p w14:paraId="4AF82169" w14:textId="77777777" w:rsidR="002A66B3" w:rsidRPr="00730ECF" w:rsidRDefault="002A66B3" w:rsidP="002A66B3">
            <w:pPr>
              <w:jc w:val="right"/>
              <w:rPr>
                <w:rFonts w:cstheme="minorHAnsi"/>
                <w:sz w:val="20"/>
                <w:szCs w:val="20"/>
              </w:rPr>
            </w:pPr>
            <w:r w:rsidRPr="00730ECF">
              <w:rPr>
                <w:rFonts w:cstheme="minorHAnsi"/>
                <w:sz w:val="20"/>
                <w:szCs w:val="20"/>
              </w:rPr>
              <w:t>$ 1,079,362</w:t>
            </w:r>
          </w:p>
        </w:tc>
      </w:tr>
    </w:tbl>
    <w:p w14:paraId="5DF8C9B1" w14:textId="77777777" w:rsidR="002A66B3" w:rsidRPr="002A66B3" w:rsidRDefault="002A66B3" w:rsidP="00730ECF">
      <w:pPr>
        <w:spacing w:before="120" w:line="259" w:lineRule="auto"/>
        <w:jc w:val="center"/>
        <w:rPr>
          <w:rFonts w:cstheme="minorHAnsi"/>
        </w:rPr>
      </w:pPr>
      <w:r w:rsidRPr="002A66B3">
        <w:rPr>
          <w:rFonts w:cstheme="minorHAnsi"/>
          <w:sz w:val="20"/>
        </w:rPr>
        <w:t>See accompanying notes to the basic financial statements.</w:t>
      </w:r>
      <w:r w:rsidRPr="002A66B3">
        <w:rPr>
          <w:rFonts w:cstheme="minorHAnsi"/>
        </w:rPr>
        <w:br w:type="page"/>
      </w:r>
    </w:p>
    <w:p w14:paraId="2C5E7F97" w14:textId="77777777" w:rsidR="002A66B3" w:rsidRPr="002A66B3" w:rsidRDefault="002A66B3" w:rsidP="00730ECF">
      <w:pPr>
        <w:rPr>
          <w:rFonts w:cstheme="minorHAnsi"/>
          <w:b/>
          <w:i/>
          <w:sz w:val="26"/>
          <w:szCs w:val="26"/>
        </w:rPr>
      </w:pPr>
      <w:r w:rsidRPr="002A66B3">
        <w:rPr>
          <w:rFonts w:cstheme="minorHAnsi"/>
          <w:b/>
          <w:i/>
          <w:sz w:val="26"/>
          <w:szCs w:val="26"/>
        </w:rPr>
        <w:lastRenderedPageBreak/>
        <w:t>UNIVERSITY OF MAINE SYSTEM</w:t>
      </w:r>
    </w:p>
    <w:p w14:paraId="40519A19" w14:textId="77777777" w:rsidR="002A66B3" w:rsidRPr="00730ECF" w:rsidRDefault="002A66B3" w:rsidP="00730ECF">
      <w:pPr>
        <w:keepNext/>
        <w:pBdr>
          <w:bottom w:val="single" w:sz="18" w:space="1" w:color="00688D"/>
        </w:pBdr>
        <w:suppressAutoHyphens/>
        <w:outlineLvl w:val="0"/>
        <w:rPr>
          <w:rFonts w:cstheme="minorHAnsi"/>
          <w:b/>
          <w:i/>
          <w:caps/>
          <w:color w:val="000000"/>
          <w:spacing w:val="-3"/>
          <w:sz w:val="26"/>
          <w:szCs w:val="26"/>
        </w:rPr>
      </w:pPr>
      <w:bookmarkStart w:id="9" w:name="SRECNPCU"/>
      <w:r w:rsidRPr="00730ECF">
        <w:rPr>
          <w:rFonts w:cstheme="minorHAnsi"/>
          <w:b/>
          <w:i/>
          <w:caps/>
          <w:color w:val="000000"/>
          <w:spacing w:val="-3"/>
          <w:sz w:val="26"/>
          <w:szCs w:val="26"/>
        </w:rPr>
        <w:t xml:space="preserve">Statements of Activities – </w:t>
      </w:r>
      <w:r w:rsidRPr="00730ECF">
        <w:rPr>
          <w:rFonts w:cstheme="minorHAnsi"/>
          <w:b/>
          <w:i/>
          <w:caps/>
          <w:spacing w:val="-3"/>
          <w:sz w:val="26"/>
          <w:szCs w:val="26"/>
        </w:rPr>
        <w:t>Discretely Presented Component Unit</w:t>
      </w:r>
      <w:bookmarkEnd w:id="9"/>
      <w:r w:rsidRPr="00730ECF">
        <w:rPr>
          <w:rFonts w:cstheme="minorHAnsi"/>
          <w:b/>
          <w:i/>
          <w:caps/>
          <w:spacing w:val="-3"/>
          <w:sz w:val="26"/>
          <w:szCs w:val="26"/>
        </w:rPr>
        <w:t xml:space="preserve"> </w:t>
      </w:r>
    </w:p>
    <w:p w14:paraId="15918D8C" w14:textId="77777777" w:rsidR="002A66B3" w:rsidRPr="002A66B3" w:rsidRDefault="002A66B3" w:rsidP="006743EC">
      <w:pPr>
        <w:pBdr>
          <w:bottom w:val="single" w:sz="18" w:space="1" w:color="00688D"/>
        </w:pBdr>
        <w:spacing w:after="120"/>
        <w:rPr>
          <w:rFonts w:cstheme="minorHAnsi"/>
          <w:b/>
          <w:i/>
          <w:sz w:val="26"/>
          <w:szCs w:val="26"/>
        </w:rPr>
      </w:pPr>
      <w:r w:rsidRPr="002A66B3">
        <w:rPr>
          <w:rFonts w:cstheme="minorHAnsi"/>
          <w:b/>
          <w:i/>
          <w:sz w:val="26"/>
          <w:szCs w:val="26"/>
        </w:rPr>
        <w:t>YEARS ENDED DECEMBER 31, 2024 AND 2023 (IN THOUSANDS)</w:t>
      </w:r>
    </w:p>
    <w:tbl>
      <w:tblPr>
        <w:tblW w:w="10680" w:type="dxa"/>
        <w:jc w:val="center"/>
        <w:tblLayout w:type="fixed"/>
        <w:tblLook w:val="04A0" w:firstRow="1" w:lastRow="0" w:firstColumn="1" w:lastColumn="0" w:noHBand="0" w:noVBand="1"/>
      </w:tblPr>
      <w:tblGrid>
        <w:gridCol w:w="3236"/>
        <w:gridCol w:w="1264"/>
        <w:gridCol w:w="1206"/>
        <w:gridCol w:w="1282"/>
        <w:gridCol w:w="1202"/>
        <w:gridCol w:w="1206"/>
        <w:gridCol w:w="1284"/>
      </w:tblGrid>
      <w:tr w:rsidR="002A66B3" w:rsidRPr="002A66B3" w14:paraId="26891F49" w14:textId="77777777" w:rsidTr="00730ECF">
        <w:trPr>
          <w:trHeight w:val="360"/>
          <w:jc w:val="center"/>
        </w:trPr>
        <w:tc>
          <w:tcPr>
            <w:tcW w:w="3236" w:type="dxa"/>
            <w:tcBorders>
              <w:top w:val="nil"/>
              <w:left w:val="nil"/>
              <w:bottom w:val="nil"/>
              <w:right w:val="nil"/>
            </w:tcBorders>
            <w:noWrap/>
            <w:vAlign w:val="bottom"/>
            <w:hideMark/>
          </w:tcPr>
          <w:p w14:paraId="0BEFECE2" w14:textId="77777777" w:rsidR="002A66B3" w:rsidRPr="00730ECF" w:rsidRDefault="002A66B3" w:rsidP="002A66B3">
            <w:pPr>
              <w:rPr>
                <w:rFonts w:cstheme="minorHAnsi"/>
                <w:sz w:val="20"/>
                <w:szCs w:val="20"/>
              </w:rPr>
            </w:pPr>
          </w:p>
        </w:tc>
        <w:tc>
          <w:tcPr>
            <w:tcW w:w="3752" w:type="dxa"/>
            <w:gridSpan w:val="3"/>
            <w:tcBorders>
              <w:top w:val="nil"/>
              <w:left w:val="nil"/>
              <w:bottom w:val="single" w:sz="12" w:space="0" w:color="0D0D0D"/>
              <w:right w:val="single" w:sz="8" w:space="0" w:color="000000"/>
            </w:tcBorders>
            <w:noWrap/>
            <w:vAlign w:val="bottom"/>
            <w:hideMark/>
          </w:tcPr>
          <w:p w14:paraId="0E5F5659" w14:textId="77777777" w:rsidR="002A66B3" w:rsidRPr="00730ECF" w:rsidRDefault="002A66B3" w:rsidP="002A66B3">
            <w:pPr>
              <w:jc w:val="center"/>
              <w:rPr>
                <w:rFonts w:cstheme="minorHAnsi"/>
                <w:b/>
                <w:bCs/>
                <w:color w:val="0D0D0D"/>
                <w:sz w:val="20"/>
                <w:szCs w:val="20"/>
              </w:rPr>
            </w:pPr>
            <w:r w:rsidRPr="00730ECF">
              <w:rPr>
                <w:rFonts w:cstheme="minorHAnsi"/>
                <w:b/>
                <w:bCs/>
                <w:color w:val="0D0D0D"/>
                <w:sz w:val="20"/>
                <w:szCs w:val="20"/>
              </w:rPr>
              <w:t>2024</w:t>
            </w:r>
          </w:p>
        </w:tc>
        <w:tc>
          <w:tcPr>
            <w:tcW w:w="3692" w:type="dxa"/>
            <w:gridSpan w:val="3"/>
            <w:tcBorders>
              <w:top w:val="nil"/>
              <w:left w:val="single" w:sz="8" w:space="0" w:color="000000"/>
              <w:bottom w:val="single" w:sz="12" w:space="0" w:color="0D0D0D"/>
              <w:right w:val="nil"/>
            </w:tcBorders>
            <w:noWrap/>
            <w:vAlign w:val="bottom"/>
            <w:hideMark/>
          </w:tcPr>
          <w:p w14:paraId="7A80494E" w14:textId="77777777" w:rsidR="002A66B3" w:rsidRPr="00730ECF" w:rsidRDefault="002A66B3" w:rsidP="002A66B3">
            <w:pPr>
              <w:jc w:val="center"/>
              <w:rPr>
                <w:rFonts w:cstheme="minorHAnsi"/>
                <w:b/>
                <w:bCs/>
                <w:color w:val="0D0D0D"/>
                <w:sz w:val="20"/>
                <w:szCs w:val="20"/>
              </w:rPr>
            </w:pPr>
            <w:r w:rsidRPr="00730ECF">
              <w:rPr>
                <w:rFonts w:cstheme="minorHAnsi"/>
                <w:b/>
                <w:bCs/>
                <w:color w:val="0D0D0D"/>
                <w:sz w:val="20"/>
                <w:szCs w:val="20"/>
              </w:rPr>
              <w:t>2023</w:t>
            </w:r>
          </w:p>
        </w:tc>
      </w:tr>
      <w:tr w:rsidR="002A66B3" w:rsidRPr="002A66B3" w14:paraId="0FC681A7" w14:textId="77777777" w:rsidTr="006F148D">
        <w:trPr>
          <w:trHeight w:val="930"/>
          <w:jc w:val="center"/>
        </w:trPr>
        <w:tc>
          <w:tcPr>
            <w:tcW w:w="3236" w:type="dxa"/>
            <w:tcBorders>
              <w:top w:val="nil"/>
              <w:left w:val="nil"/>
              <w:bottom w:val="single" w:sz="12" w:space="0" w:color="000000"/>
              <w:right w:val="nil"/>
            </w:tcBorders>
            <w:shd w:val="clear" w:color="000000" w:fill="FFFFFF"/>
            <w:noWrap/>
            <w:vAlign w:val="bottom"/>
            <w:hideMark/>
          </w:tcPr>
          <w:p w14:paraId="7582075D" w14:textId="60763C69" w:rsidR="002A66B3" w:rsidRPr="00730ECF" w:rsidRDefault="002A66B3" w:rsidP="002A66B3">
            <w:pPr>
              <w:rPr>
                <w:rFonts w:cstheme="minorHAnsi"/>
                <w:b/>
                <w:bCs/>
                <w:color w:val="000000"/>
                <w:sz w:val="20"/>
                <w:szCs w:val="20"/>
              </w:rPr>
            </w:pPr>
          </w:p>
        </w:tc>
        <w:tc>
          <w:tcPr>
            <w:tcW w:w="1264" w:type="dxa"/>
            <w:tcBorders>
              <w:top w:val="nil"/>
              <w:left w:val="nil"/>
              <w:bottom w:val="single" w:sz="12" w:space="0" w:color="000000"/>
              <w:right w:val="nil"/>
            </w:tcBorders>
            <w:shd w:val="clear" w:color="000000" w:fill="FFFFFF"/>
            <w:vAlign w:val="bottom"/>
            <w:hideMark/>
          </w:tcPr>
          <w:p w14:paraId="18615E71" w14:textId="77777777" w:rsidR="002A66B3" w:rsidRPr="00730ECF" w:rsidRDefault="002A66B3" w:rsidP="002A66B3">
            <w:pPr>
              <w:jc w:val="center"/>
              <w:rPr>
                <w:rFonts w:cstheme="minorHAnsi"/>
                <w:b/>
                <w:bCs/>
                <w:color w:val="000000"/>
                <w:sz w:val="20"/>
                <w:szCs w:val="20"/>
              </w:rPr>
            </w:pPr>
            <w:r w:rsidRPr="00730ECF">
              <w:rPr>
                <w:rFonts w:cstheme="minorHAnsi"/>
                <w:b/>
                <w:bCs/>
                <w:color w:val="000000"/>
                <w:sz w:val="20"/>
                <w:szCs w:val="20"/>
              </w:rPr>
              <w:t>Without Donor Restrictions</w:t>
            </w:r>
          </w:p>
        </w:tc>
        <w:tc>
          <w:tcPr>
            <w:tcW w:w="1206" w:type="dxa"/>
            <w:tcBorders>
              <w:top w:val="nil"/>
              <w:left w:val="nil"/>
              <w:bottom w:val="single" w:sz="12" w:space="0" w:color="000000"/>
              <w:right w:val="nil"/>
            </w:tcBorders>
            <w:shd w:val="clear" w:color="000000" w:fill="FFFFFF"/>
            <w:vAlign w:val="bottom"/>
            <w:hideMark/>
          </w:tcPr>
          <w:p w14:paraId="6A70DF01" w14:textId="77777777" w:rsidR="002A66B3" w:rsidRPr="00730ECF" w:rsidRDefault="002A66B3" w:rsidP="002A66B3">
            <w:pPr>
              <w:jc w:val="center"/>
              <w:rPr>
                <w:rFonts w:cstheme="minorHAnsi"/>
                <w:b/>
                <w:bCs/>
                <w:color w:val="000000"/>
                <w:sz w:val="20"/>
                <w:szCs w:val="20"/>
              </w:rPr>
            </w:pPr>
            <w:r w:rsidRPr="00730ECF">
              <w:rPr>
                <w:rFonts w:cstheme="minorHAnsi"/>
                <w:b/>
                <w:bCs/>
                <w:color w:val="000000"/>
                <w:sz w:val="20"/>
                <w:szCs w:val="20"/>
              </w:rPr>
              <w:t>With Donor Restrictions</w:t>
            </w:r>
          </w:p>
        </w:tc>
        <w:tc>
          <w:tcPr>
            <w:tcW w:w="1282" w:type="dxa"/>
            <w:tcBorders>
              <w:top w:val="nil"/>
              <w:left w:val="nil"/>
              <w:bottom w:val="single" w:sz="12" w:space="0" w:color="000000"/>
              <w:right w:val="single" w:sz="8" w:space="0" w:color="000000"/>
            </w:tcBorders>
            <w:shd w:val="clear" w:color="000000" w:fill="FFFFFF"/>
            <w:vAlign w:val="bottom"/>
            <w:hideMark/>
          </w:tcPr>
          <w:p w14:paraId="07280DEC" w14:textId="77777777" w:rsidR="002A66B3" w:rsidRPr="00730ECF" w:rsidRDefault="002A66B3" w:rsidP="002A66B3">
            <w:pPr>
              <w:jc w:val="center"/>
              <w:rPr>
                <w:rFonts w:cstheme="minorHAnsi"/>
                <w:b/>
                <w:bCs/>
                <w:color w:val="000000"/>
                <w:sz w:val="20"/>
                <w:szCs w:val="20"/>
              </w:rPr>
            </w:pPr>
            <w:r w:rsidRPr="00730ECF">
              <w:rPr>
                <w:rFonts w:cstheme="minorHAnsi"/>
                <w:b/>
                <w:bCs/>
                <w:color w:val="000000"/>
                <w:sz w:val="20"/>
                <w:szCs w:val="20"/>
              </w:rPr>
              <w:t>Total</w:t>
            </w:r>
          </w:p>
        </w:tc>
        <w:tc>
          <w:tcPr>
            <w:tcW w:w="1202" w:type="dxa"/>
            <w:tcBorders>
              <w:top w:val="nil"/>
              <w:left w:val="single" w:sz="8" w:space="0" w:color="000000"/>
              <w:bottom w:val="single" w:sz="12" w:space="0" w:color="000000"/>
              <w:right w:val="nil"/>
            </w:tcBorders>
            <w:vAlign w:val="bottom"/>
            <w:hideMark/>
          </w:tcPr>
          <w:p w14:paraId="26AAC112" w14:textId="77777777" w:rsidR="002A66B3" w:rsidRPr="00730ECF" w:rsidRDefault="002A66B3" w:rsidP="002A66B3">
            <w:pPr>
              <w:jc w:val="center"/>
              <w:rPr>
                <w:rFonts w:cstheme="minorHAnsi"/>
                <w:b/>
                <w:bCs/>
                <w:color w:val="000000"/>
                <w:sz w:val="20"/>
                <w:szCs w:val="20"/>
              </w:rPr>
            </w:pPr>
            <w:r w:rsidRPr="00730ECF">
              <w:rPr>
                <w:rFonts w:cstheme="minorHAnsi"/>
                <w:b/>
                <w:bCs/>
                <w:color w:val="000000"/>
                <w:sz w:val="20"/>
                <w:szCs w:val="20"/>
              </w:rPr>
              <w:t>Without Donor Restrictions</w:t>
            </w:r>
          </w:p>
        </w:tc>
        <w:tc>
          <w:tcPr>
            <w:tcW w:w="1206" w:type="dxa"/>
            <w:tcBorders>
              <w:top w:val="nil"/>
              <w:left w:val="nil"/>
              <w:bottom w:val="single" w:sz="12" w:space="0" w:color="000000"/>
              <w:right w:val="nil"/>
            </w:tcBorders>
            <w:vAlign w:val="bottom"/>
            <w:hideMark/>
          </w:tcPr>
          <w:p w14:paraId="7FBD9B10" w14:textId="77777777" w:rsidR="002A66B3" w:rsidRPr="00730ECF" w:rsidRDefault="002A66B3" w:rsidP="002A66B3">
            <w:pPr>
              <w:jc w:val="center"/>
              <w:rPr>
                <w:rFonts w:cstheme="minorHAnsi"/>
                <w:b/>
                <w:bCs/>
                <w:color w:val="000000"/>
                <w:sz w:val="20"/>
                <w:szCs w:val="20"/>
              </w:rPr>
            </w:pPr>
            <w:r w:rsidRPr="00730ECF">
              <w:rPr>
                <w:rFonts w:cstheme="minorHAnsi"/>
                <w:b/>
                <w:bCs/>
                <w:color w:val="000000"/>
                <w:sz w:val="20"/>
                <w:szCs w:val="20"/>
              </w:rPr>
              <w:t>With Donor Restrictions</w:t>
            </w:r>
          </w:p>
        </w:tc>
        <w:tc>
          <w:tcPr>
            <w:tcW w:w="1284" w:type="dxa"/>
            <w:tcBorders>
              <w:top w:val="nil"/>
              <w:left w:val="nil"/>
              <w:bottom w:val="single" w:sz="12" w:space="0" w:color="000000"/>
              <w:right w:val="nil"/>
            </w:tcBorders>
            <w:vAlign w:val="bottom"/>
            <w:hideMark/>
          </w:tcPr>
          <w:p w14:paraId="27F2B89D" w14:textId="77777777" w:rsidR="002A66B3" w:rsidRPr="00730ECF" w:rsidRDefault="002A66B3" w:rsidP="002A66B3">
            <w:pPr>
              <w:jc w:val="center"/>
              <w:rPr>
                <w:rFonts w:cstheme="minorHAnsi"/>
                <w:b/>
                <w:bCs/>
                <w:color w:val="000000"/>
                <w:sz w:val="20"/>
                <w:szCs w:val="20"/>
              </w:rPr>
            </w:pPr>
            <w:r w:rsidRPr="00730ECF">
              <w:rPr>
                <w:rFonts w:cstheme="minorHAnsi"/>
                <w:b/>
                <w:bCs/>
                <w:color w:val="000000"/>
                <w:sz w:val="20"/>
                <w:szCs w:val="20"/>
              </w:rPr>
              <w:t>Total</w:t>
            </w:r>
          </w:p>
        </w:tc>
      </w:tr>
      <w:tr w:rsidR="002A66B3" w:rsidRPr="002A66B3" w14:paraId="7ADFD4A3" w14:textId="77777777" w:rsidTr="006F148D">
        <w:trPr>
          <w:trHeight w:val="50"/>
          <w:jc w:val="center"/>
        </w:trPr>
        <w:tc>
          <w:tcPr>
            <w:tcW w:w="3236" w:type="dxa"/>
            <w:tcBorders>
              <w:top w:val="nil"/>
              <w:left w:val="nil"/>
              <w:bottom w:val="nil"/>
              <w:right w:val="nil"/>
            </w:tcBorders>
            <w:shd w:val="clear" w:color="000000" w:fill="FFFFFF"/>
            <w:noWrap/>
            <w:vAlign w:val="bottom"/>
            <w:hideMark/>
          </w:tcPr>
          <w:p w14:paraId="323B5BA3" w14:textId="0B6E3B40" w:rsidR="002A66B3" w:rsidRPr="00730ECF" w:rsidRDefault="002A66B3" w:rsidP="002A66B3">
            <w:pPr>
              <w:rPr>
                <w:rFonts w:cstheme="minorHAnsi"/>
                <w:color w:val="000000"/>
                <w:sz w:val="2"/>
                <w:szCs w:val="2"/>
              </w:rPr>
            </w:pPr>
          </w:p>
        </w:tc>
        <w:tc>
          <w:tcPr>
            <w:tcW w:w="1264" w:type="dxa"/>
            <w:tcBorders>
              <w:top w:val="nil"/>
              <w:left w:val="nil"/>
              <w:bottom w:val="nil"/>
              <w:right w:val="nil"/>
            </w:tcBorders>
            <w:shd w:val="clear" w:color="000000" w:fill="FFFFFF"/>
            <w:noWrap/>
            <w:vAlign w:val="bottom"/>
            <w:hideMark/>
          </w:tcPr>
          <w:p w14:paraId="2A37584E" w14:textId="7245275D" w:rsidR="002A66B3" w:rsidRPr="00730ECF" w:rsidRDefault="002A66B3" w:rsidP="002A66B3">
            <w:pPr>
              <w:jc w:val="right"/>
              <w:rPr>
                <w:rFonts w:cstheme="minorHAnsi"/>
                <w:color w:val="000000"/>
                <w:sz w:val="2"/>
                <w:szCs w:val="2"/>
              </w:rPr>
            </w:pPr>
          </w:p>
        </w:tc>
        <w:tc>
          <w:tcPr>
            <w:tcW w:w="1206" w:type="dxa"/>
            <w:tcBorders>
              <w:top w:val="nil"/>
              <w:left w:val="nil"/>
              <w:bottom w:val="nil"/>
              <w:right w:val="nil"/>
            </w:tcBorders>
            <w:shd w:val="clear" w:color="000000" w:fill="FFFFFF"/>
            <w:noWrap/>
            <w:vAlign w:val="bottom"/>
            <w:hideMark/>
          </w:tcPr>
          <w:p w14:paraId="284364E1" w14:textId="1B13ECDF" w:rsidR="002A66B3" w:rsidRPr="00730ECF" w:rsidRDefault="002A66B3" w:rsidP="002A66B3">
            <w:pPr>
              <w:jc w:val="right"/>
              <w:rPr>
                <w:rFonts w:cstheme="minorHAnsi"/>
                <w:color w:val="000000"/>
                <w:sz w:val="2"/>
                <w:szCs w:val="2"/>
              </w:rPr>
            </w:pPr>
          </w:p>
        </w:tc>
        <w:tc>
          <w:tcPr>
            <w:tcW w:w="1282" w:type="dxa"/>
            <w:tcBorders>
              <w:top w:val="nil"/>
              <w:left w:val="nil"/>
              <w:bottom w:val="nil"/>
              <w:right w:val="single" w:sz="8" w:space="0" w:color="000000"/>
            </w:tcBorders>
            <w:shd w:val="clear" w:color="000000" w:fill="FFFFFF"/>
            <w:noWrap/>
            <w:vAlign w:val="bottom"/>
            <w:hideMark/>
          </w:tcPr>
          <w:p w14:paraId="3C81DC96" w14:textId="320A0DF7" w:rsidR="002A66B3" w:rsidRPr="00730ECF" w:rsidRDefault="002A66B3" w:rsidP="002A66B3">
            <w:pPr>
              <w:jc w:val="right"/>
              <w:rPr>
                <w:rFonts w:cstheme="minorHAnsi"/>
                <w:b/>
                <w:bCs/>
                <w:color w:val="000000"/>
                <w:sz w:val="2"/>
                <w:szCs w:val="2"/>
              </w:rPr>
            </w:pPr>
          </w:p>
        </w:tc>
        <w:tc>
          <w:tcPr>
            <w:tcW w:w="1202" w:type="dxa"/>
            <w:tcBorders>
              <w:top w:val="nil"/>
              <w:left w:val="single" w:sz="8" w:space="0" w:color="000000"/>
              <w:bottom w:val="nil"/>
              <w:right w:val="nil"/>
            </w:tcBorders>
            <w:noWrap/>
            <w:vAlign w:val="bottom"/>
            <w:hideMark/>
          </w:tcPr>
          <w:p w14:paraId="5CF83FF5" w14:textId="77777777" w:rsidR="002A66B3" w:rsidRPr="00730ECF" w:rsidRDefault="002A66B3" w:rsidP="002A66B3">
            <w:pPr>
              <w:jc w:val="right"/>
              <w:rPr>
                <w:rFonts w:cstheme="minorHAnsi"/>
                <w:b/>
                <w:bCs/>
                <w:color w:val="000000"/>
                <w:sz w:val="2"/>
                <w:szCs w:val="2"/>
              </w:rPr>
            </w:pPr>
          </w:p>
        </w:tc>
        <w:tc>
          <w:tcPr>
            <w:tcW w:w="1206" w:type="dxa"/>
            <w:tcBorders>
              <w:top w:val="nil"/>
              <w:left w:val="nil"/>
              <w:bottom w:val="nil"/>
              <w:right w:val="nil"/>
            </w:tcBorders>
            <w:noWrap/>
            <w:vAlign w:val="bottom"/>
            <w:hideMark/>
          </w:tcPr>
          <w:p w14:paraId="3ABA6F33" w14:textId="77777777" w:rsidR="002A66B3" w:rsidRPr="00730ECF" w:rsidRDefault="002A66B3" w:rsidP="002A66B3">
            <w:pPr>
              <w:jc w:val="right"/>
              <w:rPr>
                <w:rFonts w:cstheme="minorHAnsi"/>
                <w:sz w:val="2"/>
                <w:szCs w:val="2"/>
              </w:rPr>
            </w:pPr>
          </w:p>
        </w:tc>
        <w:tc>
          <w:tcPr>
            <w:tcW w:w="1284" w:type="dxa"/>
            <w:tcBorders>
              <w:top w:val="nil"/>
              <w:left w:val="nil"/>
              <w:bottom w:val="nil"/>
              <w:right w:val="nil"/>
            </w:tcBorders>
            <w:noWrap/>
            <w:vAlign w:val="bottom"/>
            <w:hideMark/>
          </w:tcPr>
          <w:p w14:paraId="1D48BF29" w14:textId="77777777" w:rsidR="002A66B3" w:rsidRPr="00730ECF" w:rsidRDefault="002A66B3" w:rsidP="002A66B3">
            <w:pPr>
              <w:jc w:val="right"/>
              <w:rPr>
                <w:rFonts w:cstheme="minorHAnsi"/>
                <w:sz w:val="2"/>
                <w:szCs w:val="2"/>
              </w:rPr>
            </w:pPr>
          </w:p>
        </w:tc>
      </w:tr>
      <w:tr w:rsidR="002A66B3" w:rsidRPr="002A66B3" w14:paraId="3CC293B1" w14:textId="77777777" w:rsidTr="006F148D">
        <w:trPr>
          <w:trHeight w:val="300"/>
          <w:jc w:val="center"/>
        </w:trPr>
        <w:tc>
          <w:tcPr>
            <w:tcW w:w="3236" w:type="dxa"/>
            <w:tcBorders>
              <w:top w:val="nil"/>
              <w:left w:val="nil"/>
              <w:bottom w:val="nil"/>
              <w:right w:val="nil"/>
            </w:tcBorders>
            <w:shd w:val="clear" w:color="000000" w:fill="FFFFFF"/>
            <w:noWrap/>
            <w:vAlign w:val="bottom"/>
            <w:hideMark/>
          </w:tcPr>
          <w:p w14:paraId="74DED23F" w14:textId="77777777" w:rsidR="002A66B3" w:rsidRPr="00730ECF" w:rsidRDefault="002A66B3" w:rsidP="002A66B3">
            <w:pPr>
              <w:rPr>
                <w:rFonts w:cstheme="minorHAnsi"/>
                <w:b/>
                <w:bCs/>
                <w:color w:val="000000"/>
                <w:sz w:val="20"/>
                <w:szCs w:val="20"/>
              </w:rPr>
            </w:pPr>
            <w:r w:rsidRPr="00730ECF">
              <w:rPr>
                <w:rFonts w:cstheme="minorHAnsi"/>
                <w:b/>
                <w:bCs/>
                <w:color w:val="000000"/>
                <w:sz w:val="20"/>
                <w:szCs w:val="20"/>
              </w:rPr>
              <w:t>Revenues, Gains, Losses, and Reclassification</w:t>
            </w:r>
          </w:p>
        </w:tc>
        <w:tc>
          <w:tcPr>
            <w:tcW w:w="1264" w:type="dxa"/>
            <w:tcBorders>
              <w:top w:val="nil"/>
              <w:left w:val="nil"/>
              <w:bottom w:val="nil"/>
              <w:right w:val="nil"/>
            </w:tcBorders>
            <w:shd w:val="clear" w:color="000000" w:fill="FFFFFF"/>
            <w:noWrap/>
            <w:vAlign w:val="bottom"/>
            <w:hideMark/>
          </w:tcPr>
          <w:p w14:paraId="2334A12A" w14:textId="77DDF9F2" w:rsidR="002A66B3" w:rsidRPr="00730ECF" w:rsidRDefault="002A66B3" w:rsidP="002A66B3">
            <w:pPr>
              <w:jc w:val="right"/>
              <w:rPr>
                <w:rFonts w:cstheme="minorHAnsi"/>
                <w:color w:val="000000"/>
                <w:sz w:val="20"/>
                <w:szCs w:val="20"/>
              </w:rPr>
            </w:pPr>
          </w:p>
        </w:tc>
        <w:tc>
          <w:tcPr>
            <w:tcW w:w="1206" w:type="dxa"/>
            <w:tcBorders>
              <w:top w:val="nil"/>
              <w:left w:val="nil"/>
              <w:bottom w:val="nil"/>
              <w:right w:val="nil"/>
            </w:tcBorders>
            <w:shd w:val="clear" w:color="000000" w:fill="FFFFFF"/>
            <w:noWrap/>
            <w:vAlign w:val="bottom"/>
            <w:hideMark/>
          </w:tcPr>
          <w:p w14:paraId="35179FDA" w14:textId="7ED3B531" w:rsidR="002A66B3" w:rsidRPr="00730ECF" w:rsidRDefault="002A66B3" w:rsidP="002A66B3">
            <w:pPr>
              <w:jc w:val="right"/>
              <w:rPr>
                <w:rFonts w:cstheme="minorHAnsi"/>
                <w:color w:val="000000"/>
                <w:sz w:val="20"/>
                <w:szCs w:val="20"/>
              </w:rPr>
            </w:pPr>
          </w:p>
        </w:tc>
        <w:tc>
          <w:tcPr>
            <w:tcW w:w="1282" w:type="dxa"/>
            <w:tcBorders>
              <w:top w:val="nil"/>
              <w:left w:val="nil"/>
              <w:bottom w:val="nil"/>
              <w:right w:val="single" w:sz="8" w:space="0" w:color="000000"/>
            </w:tcBorders>
            <w:shd w:val="clear" w:color="000000" w:fill="FFFFFF"/>
            <w:noWrap/>
            <w:vAlign w:val="bottom"/>
            <w:hideMark/>
          </w:tcPr>
          <w:p w14:paraId="665C2EA2" w14:textId="0973A31D" w:rsidR="002A66B3" w:rsidRPr="00730ECF" w:rsidRDefault="002A66B3" w:rsidP="002A66B3">
            <w:pPr>
              <w:jc w:val="right"/>
              <w:rPr>
                <w:rFonts w:cstheme="minorHAnsi"/>
                <w:color w:val="000000"/>
                <w:sz w:val="20"/>
                <w:szCs w:val="20"/>
              </w:rPr>
            </w:pPr>
          </w:p>
        </w:tc>
        <w:tc>
          <w:tcPr>
            <w:tcW w:w="1202" w:type="dxa"/>
            <w:tcBorders>
              <w:top w:val="nil"/>
              <w:left w:val="single" w:sz="8" w:space="0" w:color="000000"/>
              <w:bottom w:val="nil"/>
              <w:right w:val="nil"/>
            </w:tcBorders>
            <w:noWrap/>
            <w:vAlign w:val="bottom"/>
            <w:hideMark/>
          </w:tcPr>
          <w:p w14:paraId="7975DEC8" w14:textId="77777777" w:rsidR="002A66B3" w:rsidRPr="00730ECF" w:rsidRDefault="002A66B3" w:rsidP="002A66B3">
            <w:pPr>
              <w:jc w:val="right"/>
              <w:rPr>
                <w:rFonts w:cstheme="minorHAnsi"/>
                <w:color w:val="000000"/>
                <w:sz w:val="20"/>
                <w:szCs w:val="20"/>
              </w:rPr>
            </w:pPr>
          </w:p>
        </w:tc>
        <w:tc>
          <w:tcPr>
            <w:tcW w:w="1206" w:type="dxa"/>
            <w:tcBorders>
              <w:top w:val="nil"/>
              <w:left w:val="nil"/>
              <w:bottom w:val="nil"/>
              <w:right w:val="nil"/>
            </w:tcBorders>
            <w:noWrap/>
            <w:vAlign w:val="bottom"/>
            <w:hideMark/>
          </w:tcPr>
          <w:p w14:paraId="39F08802" w14:textId="77777777" w:rsidR="002A66B3" w:rsidRPr="00730ECF" w:rsidRDefault="002A66B3" w:rsidP="002A66B3">
            <w:pPr>
              <w:jc w:val="right"/>
              <w:rPr>
                <w:rFonts w:cstheme="minorHAnsi"/>
                <w:sz w:val="20"/>
                <w:szCs w:val="20"/>
              </w:rPr>
            </w:pPr>
          </w:p>
        </w:tc>
        <w:tc>
          <w:tcPr>
            <w:tcW w:w="1284" w:type="dxa"/>
            <w:tcBorders>
              <w:top w:val="nil"/>
              <w:left w:val="nil"/>
              <w:bottom w:val="nil"/>
              <w:right w:val="nil"/>
            </w:tcBorders>
            <w:noWrap/>
            <w:vAlign w:val="bottom"/>
            <w:hideMark/>
          </w:tcPr>
          <w:p w14:paraId="5B9E7730" w14:textId="77777777" w:rsidR="002A66B3" w:rsidRPr="00730ECF" w:rsidRDefault="002A66B3" w:rsidP="002A66B3">
            <w:pPr>
              <w:jc w:val="right"/>
              <w:rPr>
                <w:rFonts w:cstheme="minorHAnsi"/>
                <w:sz w:val="20"/>
                <w:szCs w:val="20"/>
              </w:rPr>
            </w:pPr>
          </w:p>
        </w:tc>
      </w:tr>
      <w:tr w:rsidR="002A66B3" w:rsidRPr="002A66B3" w14:paraId="3149D526" w14:textId="77777777" w:rsidTr="006F148D">
        <w:trPr>
          <w:trHeight w:val="300"/>
          <w:jc w:val="center"/>
        </w:trPr>
        <w:tc>
          <w:tcPr>
            <w:tcW w:w="3236" w:type="dxa"/>
            <w:tcBorders>
              <w:top w:val="nil"/>
              <w:left w:val="nil"/>
              <w:bottom w:val="nil"/>
              <w:right w:val="nil"/>
            </w:tcBorders>
            <w:shd w:val="clear" w:color="000000" w:fill="FFFFFF"/>
            <w:noWrap/>
            <w:vAlign w:val="bottom"/>
            <w:hideMark/>
          </w:tcPr>
          <w:p w14:paraId="21F17BD6" w14:textId="77777777" w:rsidR="002A66B3" w:rsidRPr="00730ECF" w:rsidRDefault="002A66B3" w:rsidP="002A66B3">
            <w:pPr>
              <w:ind w:left="255"/>
              <w:rPr>
                <w:rFonts w:cstheme="minorHAnsi"/>
                <w:color w:val="000000"/>
                <w:sz w:val="20"/>
                <w:szCs w:val="20"/>
              </w:rPr>
            </w:pPr>
            <w:r w:rsidRPr="00730ECF">
              <w:rPr>
                <w:rFonts w:cstheme="minorHAnsi"/>
                <w:color w:val="000000"/>
                <w:sz w:val="20"/>
                <w:szCs w:val="20"/>
              </w:rPr>
              <w:t>Contributions</w:t>
            </w:r>
          </w:p>
        </w:tc>
        <w:tc>
          <w:tcPr>
            <w:tcW w:w="1264" w:type="dxa"/>
            <w:tcBorders>
              <w:top w:val="nil"/>
              <w:left w:val="nil"/>
              <w:bottom w:val="nil"/>
              <w:right w:val="nil"/>
            </w:tcBorders>
            <w:shd w:val="clear" w:color="000000" w:fill="FFFFFF"/>
            <w:noWrap/>
            <w:vAlign w:val="bottom"/>
            <w:hideMark/>
          </w:tcPr>
          <w:p w14:paraId="48288D2B" w14:textId="77777777" w:rsidR="002A66B3" w:rsidRPr="00730ECF" w:rsidRDefault="002A66B3" w:rsidP="002A66B3">
            <w:pPr>
              <w:jc w:val="right"/>
              <w:rPr>
                <w:rFonts w:eastAsia="Times New Roman" w:cstheme="minorHAnsi"/>
                <w:sz w:val="20"/>
                <w:szCs w:val="20"/>
              </w:rPr>
            </w:pPr>
            <w:r w:rsidRPr="00730ECF">
              <w:rPr>
                <w:rFonts w:cstheme="minorHAnsi"/>
                <w:sz w:val="20"/>
                <w:szCs w:val="20"/>
              </w:rPr>
              <w:t>$      9,269</w:t>
            </w:r>
          </w:p>
        </w:tc>
        <w:tc>
          <w:tcPr>
            <w:tcW w:w="1206" w:type="dxa"/>
            <w:tcBorders>
              <w:top w:val="nil"/>
              <w:left w:val="nil"/>
              <w:bottom w:val="nil"/>
              <w:right w:val="nil"/>
            </w:tcBorders>
            <w:shd w:val="clear" w:color="000000" w:fill="FFFFFF"/>
            <w:noWrap/>
            <w:vAlign w:val="bottom"/>
            <w:hideMark/>
          </w:tcPr>
          <w:p w14:paraId="56BC8EF3" w14:textId="1E4355E3" w:rsidR="002A66B3" w:rsidRPr="00730ECF" w:rsidRDefault="002A66B3" w:rsidP="002A66B3">
            <w:pPr>
              <w:jc w:val="right"/>
              <w:rPr>
                <w:rFonts w:eastAsia="Times New Roman" w:cstheme="minorHAnsi"/>
                <w:sz w:val="20"/>
                <w:szCs w:val="20"/>
              </w:rPr>
            </w:pPr>
            <w:r w:rsidRPr="00730ECF">
              <w:rPr>
                <w:rFonts w:cstheme="minorHAnsi"/>
                <w:sz w:val="20"/>
                <w:szCs w:val="20"/>
              </w:rPr>
              <w:t>$      38,</w:t>
            </w:r>
            <w:r w:rsidR="003E46D5">
              <w:rPr>
                <w:rFonts w:cstheme="minorHAnsi"/>
                <w:sz w:val="20"/>
                <w:szCs w:val="20"/>
              </w:rPr>
              <w:t>821</w:t>
            </w:r>
          </w:p>
        </w:tc>
        <w:tc>
          <w:tcPr>
            <w:tcW w:w="1282" w:type="dxa"/>
            <w:tcBorders>
              <w:top w:val="nil"/>
              <w:left w:val="nil"/>
              <w:bottom w:val="nil"/>
              <w:right w:val="single" w:sz="8" w:space="0" w:color="000000"/>
            </w:tcBorders>
            <w:shd w:val="clear" w:color="000000" w:fill="FFFFFF"/>
            <w:noWrap/>
            <w:vAlign w:val="bottom"/>
            <w:hideMark/>
          </w:tcPr>
          <w:p w14:paraId="1AC4E270" w14:textId="507EA9DD" w:rsidR="002A66B3" w:rsidRPr="00730ECF" w:rsidRDefault="002A66B3" w:rsidP="002A66B3">
            <w:pPr>
              <w:jc w:val="right"/>
              <w:rPr>
                <w:rFonts w:eastAsia="Times New Roman" w:cstheme="minorHAnsi"/>
                <w:sz w:val="20"/>
                <w:szCs w:val="20"/>
              </w:rPr>
            </w:pPr>
            <w:r w:rsidRPr="00730ECF">
              <w:rPr>
                <w:rFonts w:cstheme="minorHAnsi"/>
                <w:sz w:val="20"/>
                <w:szCs w:val="20"/>
              </w:rPr>
              <w:t>$        4</w:t>
            </w:r>
            <w:r w:rsidR="003E46D5">
              <w:rPr>
                <w:rFonts w:cstheme="minorHAnsi"/>
                <w:sz w:val="20"/>
                <w:szCs w:val="20"/>
              </w:rPr>
              <w:t>8</w:t>
            </w:r>
            <w:r w:rsidRPr="00730ECF">
              <w:rPr>
                <w:rFonts w:cstheme="minorHAnsi"/>
                <w:sz w:val="20"/>
                <w:szCs w:val="20"/>
              </w:rPr>
              <w:t>,</w:t>
            </w:r>
            <w:r w:rsidR="003E46D5">
              <w:rPr>
                <w:rFonts w:cstheme="minorHAnsi"/>
                <w:sz w:val="20"/>
                <w:szCs w:val="20"/>
              </w:rPr>
              <w:t>090</w:t>
            </w:r>
          </w:p>
        </w:tc>
        <w:tc>
          <w:tcPr>
            <w:tcW w:w="1202" w:type="dxa"/>
            <w:tcBorders>
              <w:top w:val="nil"/>
              <w:left w:val="single" w:sz="8" w:space="0" w:color="000000"/>
              <w:bottom w:val="nil"/>
              <w:right w:val="nil"/>
            </w:tcBorders>
            <w:shd w:val="clear" w:color="000000" w:fill="FFFFFF"/>
            <w:noWrap/>
            <w:vAlign w:val="bottom"/>
            <w:hideMark/>
          </w:tcPr>
          <w:p w14:paraId="0E2F9438" w14:textId="77777777" w:rsidR="002A66B3" w:rsidRPr="00730ECF" w:rsidRDefault="002A66B3" w:rsidP="002A66B3">
            <w:pPr>
              <w:jc w:val="right"/>
              <w:rPr>
                <w:rFonts w:eastAsia="Times New Roman" w:cstheme="minorHAnsi"/>
                <w:sz w:val="20"/>
                <w:szCs w:val="20"/>
              </w:rPr>
            </w:pPr>
            <w:r w:rsidRPr="00730ECF">
              <w:rPr>
                <w:rFonts w:cstheme="minorHAnsi"/>
                <w:sz w:val="20"/>
                <w:szCs w:val="20"/>
              </w:rPr>
              <w:t>$      8,725</w:t>
            </w:r>
          </w:p>
        </w:tc>
        <w:tc>
          <w:tcPr>
            <w:tcW w:w="1206" w:type="dxa"/>
            <w:tcBorders>
              <w:top w:val="nil"/>
              <w:left w:val="nil"/>
              <w:bottom w:val="nil"/>
              <w:right w:val="nil"/>
            </w:tcBorders>
            <w:shd w:val="clear" w:color="000000" w:fill="FFFFFF"/>
            <w:noWrap/>
            <w:vAlign w:val="bottom"/>
            <w:hideMark/>
          </w:tcPr>
          <w:p w14:paraId="5255DE4B" w14:textId="77777777" w:rsidR="002A66B3" w:rsidRPr="00730ECF" w:rsidRDefault="002A66B3" w:rsidP="002A66B3">
            <w:pPr>
              <w:jc w:val="right"/>
              <w:rPr>
                <w:rFonts w:eastAsia="Times New Roman" w:cstheme="minorHAnsi"/>
                <w:sz w:val="20"/>
                <w:szCs w:val="20"/>
              </w:rPr>
            </w:pPr>
            <w:r w:rsidRPr="00730ECF">
              <w:rPr>
                <w:rFonts w:cstheme="minorHAnsi"/>
                <w:sz w:val="20"/>
                <w:szCs w:val="20"/>
              </w:rPr>
              <w:t>$      39,043</w:t>
            </w:r>
          </w:p>
        </w:tc>
        <w:tc>
          <w:tcPr>
            <w:tcW w:w="1284" w:type="dxa"/>
            <w:tcBorders>
              <w:top w:val="nil"/>
              <w:left w:val="nil"/>
              <w:bottom w:val="nil"/>
              <w:right w:val="nil"/>
            </w:tcBorders>
            <w:noWrap/>
            <w:vAlign w:val="bottom"/>
            <w:hideMark/>
          </w:tcPr>
          <w:p w14:paraId="433DB4B1" w14:textId="77777777" w:rsidR="002A66B3" w:rsidRPr="00730ECF" w:rsidRDefault="002A66B3" w:rsidP="002A66B3">
            <w:pPr>
              <w:jc w:val="right"/>
              <w:rPr>
                <w:rFonts w:eastAsia="Times New Roman" w:cstheme="minorHAnsi"/>
                <w:color w:val="000000"/>
                <w:sz w:val="20"/>
                <w:szCs w:val="20"/>
              </w:rPr>
            </w:pPr>
            <w:r w:rsidRPr="00730ECF">
              <w:rPr>
                <w:rFonts w:cstheme="minorHAnsi"/>
                <w:color w:val="000000"/>
                <w:sz w:val="20"/>
                <w:szCs w:val="20"/>
              </w:rPr>
              <w:t>$        47,768</w:t>
            </w:r>
          </w:p>
        </w:tc>
      </w:tr>
      <w:tr w:rsidR="002A66B3" w:rsidRPr="002A66B3" w14:paraId="51D1432C" w14:textId="77777777" w:rsidTr="006F148D">
        <w:trPr>
          <w:trHeight w:val="300"/>
          <w:jc w:val="center"/>
        </w:trPr>
        <w:tc>
          <w:tcPr>
            <w:tcW w:w="3236" w:type="dxa"/>
            <w:tcBorders>
              <w:top w:val="nil"/>
              <w:left w:val="nil"/>
              <w:bottom w:val="nil"/>
              <w:right w:val="nil"/>
            </w:tcBorders>
            <w:shd w:val="clear" w:color="000000" w:fill="FFFFFF"/>
            <w:noWrap/>
            <w:vAlign w:val="bottom"/>
            <w:hideMark/>
          </w:tcPr>
          <w:p w14:paraId="7882ED64" w14:textId="77777777" w:rsidR="002A66B3" w:rsidRPr="00730ECF" w:rsidRDefault="002A66B3" w:rsidP="002A66B3">
            <w:pPr>
              <w:ind w:left="255"/>
              <w:rPr>
                <w:rFonts w:cstheme="minorHAnsi"/>
                <w:color w:val="000000"/>
                <w:sz w:val="20"/>
                <w:szCs w:val="20"/>
              </w:rPr>
            </w:pPr>
            <w:r w:rsidRPr="00730ECF">
              <w:rPr>
                <w:rFonts w:cstheme="minorHAnsi"/>
                <w:color w:val="000000"/>
                <w:sz w:val="20"/>
                <w:szCs w:val="20"/>
              </w:rPr>
              <w:t>Advancement services</w:t>
            </w:r>
          </w:p>
        </w:tc>
        <w:tc>
          <w:tcPr>
            <w:tcW w:w="1264" w:type="dxa"/>
            <w:tcBorders>
              <w:top w:val="nil"/>
              <w:left w:val="nil"/>
              <w:bottom w:val="nil"/>
              <w:right w:val="nil"/>
            </w:tcBorders>
            <w:shd w:val="clear" w:color="000000" w:fill="FFFFFF"/>
            <w:noWrap/>
            <w:vAlign w:val="bottom"/>
            <w:hideMark/>
          </w:tcPr>
          <w:p w14:paraId="51DA0652" w14:textId="77777777" w:rsidR="002A66B3" w:rsidRPr="00730ECF" w:rsidRDefault="002A66B3" w:rsidP="002A66B3">
            <w:pPr>
              <w:jc w:val="right"/>
              <w:rPr>
                <w:rFonts w:eastAsia="Times New Roman" w:cstheme="minorHAnsi"/>
                <w:sz w:val="20"/>
                <w:szCs w:val="20"/>
              </w:rPr>
            </w:pPr>
            <w:r w:rsidRPr="00730ECF">
              <w:rPr>
                <w:rFonts w:cstheme="minorHAnsi"/>
                <w:sz w:val="20"/>
                <w:szCs w:val="20"/>
              </w:rPr>
              <w:t>3,906</w:t>
            </w:r>
          </w:p>
        </w:tc>
        <w:tc>
          <w:tcPr>
            <w:tcW w:w="1206" w:type="dxa"/>
            <w:tcBorders>
              <w:top w:val="nil"/>
              <w:left w:val="nil"/>
              <w:bottom w:val="nil"/>
              <w:right w:val="nil"/>
            </w:tcBorders>
            <w:shd w:val="clear" w:color="000000" w:fill="FFFFFF"/>
            <w:noWrap/>
            <w:vAlign w:val="bottom"/>
            <w:hideMark/>
          </w:tcPr>
          <w:p w14:paraId="34314E55" w14:textId="77777777" w:rsidR="002A66B3" w:rsidRPr="00730ECF" w:rsidRDefault="002A66B3" w:rsidP="002A66B3">
            <w:pPr>
              <w:jc w:val="right"/>
              <w:rPr>
                <w:rFonts w:eastAsia="Times New Roman" w:cstheme="minorHAnsi"/>
                <w:sz w:val="20"/>
                <w:szCs w:val="20"/>
              </w:rPr>
            </w:pPr>
            <w:r w:rsidRPr="00730ECF">
              <w:rPr>
                <w:rFonts w:cstheme="minorHAnsi"/>
                <w:sz w:val="20"/>
                <w:szCs w:val="20"/>
              </w:rPr>
              <w:t>-</w:t>
            </w:r>
          </w:p>
        </w:tc>
        <w:tc>
          <w:tcPr>
            <w:tcW w:w="1282" w:type="dxa"/>
            <w:tcBorders>
              <w:top w:val="nil"/>
              <w:left w:val="nil"/>
              <w:bottom w:val="nil"/>
              <w:right w:val="single" w:sz="8" w:space="0" w:color="000000"/>
            </w:tcBorders>
            <w:shd w:val="clear" w:color="000000" w:fill="FFFFFF"/>
            <w:noWrap/>
            <w:vAlign w:val="bottom"/>
            <w:hideMark/>
          </w:tcPr>
          <w:p w14:paraId="6296E4D9" w14:textId="77777777" w:rsidR="002A66B3" w:rsidRPr="00730ECF" w:rsidRDefault="002A66B3" w:rsidP="002A66B3">
            <w:pPr>
              <w:jc w:val="right"/>
              <w:rPr>
                <w:rFonts w:eastAsia="Times New Roman" w:cstheme="minorHAnsi"/>
                <w:sz w:val="20"/>
                <w:szCs w:val="20"/>
              </w:rPr>
            </w:pPr>
            <w:r w:rsidRPr="00730ECF">
              <w:rPr>
                <w:rFonts w:cstheme="minorHAnsi"/>
                <w:sz w:val="20"/>
                <w:szCs w:val="20"/>
              </w:rPr>
              <w:t>3,906</w:t>
            </w:r>
          </w:p>
        </w:tc>
        <w:tc>
          <w:tcPr>
            <w:tcW w:w="1202" w:type="dxa"/>
            <w:tcBorders>
              <w:top w:val="nil"/>
              <w:left w:val="single" w:sz="8" w:space="0" w:color="000000"/>
              <w:bottom w:val="nil"/>
              <w:right w:val="nil"/>
            </w:tcBorders>
            <w:shd w:val="clear" w:color="000000" w:fill="FFFFFF"/>
            <w:noWrap/>
            <w:vAlign w:val="bottom"/>
            <w:hideMark/>
          </w:tcPr>
          <w:p w14:paraId="51D64E18" w14:textId="31169F58" w:rsidR="002A66B3" w:rsidRPr="00730ECF" w:rsidRDefault="002A66B3" w:rsidP="002A66B3">
            <w:pPr>
              <w:jc w:val="right"/>
              <w:rPr>
                <w:rFonts w:eastAsia="Times New Roman" w:cstheme="minorHAnsi"/>
                <w:sz w:val="20"/>
                <w:szCs w:val="20"/>
              </w:rPr>
            </w:pPr>
            <w:r w:rsidRPr="00730ECF">
              <w:rPr>
                <w:rFonts w:cstheme="minorHAnsi"/>
                <w:sz w:val="20"/>
                <w:szCs w:val="20"/>
              </w:rPr>
              <w:t>3,838</w:t>
            </w:r>
          </w:p>
        </w:tc>
        <w:tc>
          <w:tcPr>
            <w:tcW w:w="1206" w:type="dxa"/>
            <w:tcBorders>
              <w:top w:val="nil"/>
              <w:left w:val="nil"/>
              <w:bottom w:val="nil"/>
              <w:right w:val="nil"/>
            </w:tcBorders>
            <w:shd w:val="clear" w:color="000000" w:fill="FFFFFF"/>
            <w:noWrap/>
            <w:vAlign w:val="bottom"/>
            <w:hideMark/>
          </w:tcPr>
          <w:p w14:paraId="257ED2D3" w14:textId="0B4F8678" w:rsidR="002A66B3" w:rsidRPr="00730ECF" w:rsidRDefault="002A66B3" w:rsidP="002A66B3">
            <w:pPr>
              <w:jc w:val="right"/>
              <w:rPr>
                <w:rFonts w:eastAsia="Times New Roman" w:cstheme="minorHAnsi"/>
                <w:sz w:val="20"/>
                <w:szCs w:val="20"/>
              </w:rPr>
            </w:pPr>
            <w:r w:rsidRPr="00730ECF">
              <w:rPr>
                <w:rFonts w:cstheme="minorHAnsi"/>
                <w:sz w:val="20"/>
                <w:szCs w:val="20"/>
              </w:rPr>
              <w:t>-</w:t>
            </w:r>
          </w:p>
        </w:tc>
        <w:tc>
          <w:tcPr>
            <w:tcW w:w="1284" w:type="dxa"/>
            <w:tcBorders>
              <w:top w:val="nil"/>
              <w:left w:val="nil"/>
              <w:bottom w:val="nil"/>
              <w:right w:val="nil"/>
            </w:tcBorders>
            <w:noWrap/>
            <w:vAlign w:val="bottom"/>
            <w:hideMark/>
          </w:tcPr>
          <w:p w14:paraId="0D6AB5E8" w14:textId="3788FA30" w:rsidR="002A66B3" w:rsidRPr="00730ECF" w:rsidRDefault="002A66B3" w:rsidP="002A66B3">
            <w:pPr>
              <w:jc w:val="right"/>
              <w:rPr>
                <w:rFonts w:eastAsia="Times New Roman" w:cstheme="minorHAnsi"/>
                <w:color w:val="000000"/>
                <w:sz w:val="20"/>
                <w:szCs w:val="20"/>
              </w:rPr>
            </w:pPr>
            <w:r w:rsidRPr="00730ECF">
              <w:rPr>
                <w:rFonts w:cstheme="minorHAnsi"/>
                <w:color w:val="000000"/>
                <w:sz w:val="20"/>
                <w:szCs w:val="20"/>
              </w:rPr>
              <w:t>3,838</w:t>
            </w:r>
          </w:p>
        </w:tc>
      </w:tr>
      <w:tr w:rsidR="002A66B3" w:rsidRPr="002A66B3" w14:paraId="6B7EB35B" w14:textId="77777777" w:rsidTr="006F148D">
        <w:trPr>
          <w:trHeight w:val="300"/>
          <w:jc w:val="center"/>
        </w:trPr>
        <w:tc>
          <w:tcPr>
            <w:tcW w:w="3236" w:type="dxa"/>
            <w:tcBorders>
              <w:top w:val="nil"/>
              <w:left w:val="nil"/>
              <w:bottom w:val="nil"/>
              <w:right w:val="nil"/>
            </w:tcBorders>
            <w:shd w:val="clear" w:color="000000" w:fill="FFFFFF"/>
            <w:noWrap/>
            <w:vAlign w:val="bottom"/>
            <w:hideMark/>
          </w:tcPr>
          <w:p w14:paraId="640ACA2C" w14:textId="77777777" w:rsidR="002A66B3" w:rsidRPr="00730ECF" w:rsidRDefault="002A66B3" w:rsidP="002A66B3">
            <w:pPr>
              <w:ind w:left="255"/>
              <w:rPr>
                <w:rFonts w:cstheme="minorHAnsi"/>
                <w:color w:val="000000"/>
                <w:sz w:val="20"/>
                <w:szCs w:val="20"/>
              </w:rPr>
            </w:pPr>
            <w:r w:rsidRPr="00730ECF">
              <w:rPr>
                <w:rFonts w:cstheme="minorHAnsi"/>
                <w:color w:val="000000"/>
                <w:sz w:val="20"/>
                <w:szCs w:val="20"/>
              </w:rPr>
              <w:t>Investment returns (loss) and other revenue</w:t>
            </w:r>
          </w:p>
        </w:tc>
        <w:tc>
          <w:tcPr>
            <w:tcW w:w="1264" w:type="dxa"/>
            <w:tcBorders>
              <w:top w:val="nil"/>
              <w:left w:val="nil"/>
              <w:bottom w:val="nil"/>
              <w:right w:val="nil"/>
            </w:tcBorders>
            <w:noWrap/>
            <w:vAlign w:val="bottom"/>
            <w:hideMark/>
          </w:tcPr>
          <w:p w14:paraId="0CFAD600" w14:textId="77777777" w:rsidR="002A66B3" w:rsidRPr="00730ECF" w:rsidRDefault="002A66B3" w:rsidP="002A66B3">
            <w:pPr>
              <w:jc w:val="right"/>
              <w:rPr>
                <w:rFonts w:eastAsia="Times New Roman" w:cstheme="minorHAnsi"/>
                <w:sz w:val="20"/>
                <w:szCs w:val="20"/>
              </w:rPr>
            </w:pPr>
            <w:r w:rsidRPr="00730ECF">
              <w:rPr>
                <w:rFonts w:cstheme="minorHAnsi"/>
                <w:sz w:val="20"/>
                <w:szCs w:val="20"/>
              </w:rPr>
              <w:t>1,918</w:t>
            </w:r>
          </w:p>
        </w:tc>
        <w:tc>
          <w:tcPr>
            <w:tcW w:w="1206" w:type="dxa"/>
            <w:tcBorders>
              <w:top w:val="nil"/>
              <w:left w:val="nil"/>
              <w:bottom w:val="nil"/>
              <w:right w:val="nil"/>
            </w:tcBorders>
            <w:shd w:val="clear" w:color="000000" w:fill="FFFFFF"/>
            <w:noWrap/>
            <w:vAlign w:val="bottom"/>
            <w:hideMark/>
          </w:tcPr>
          <w:p w14:paraId="0DF07394" w14:textId="77777777" w:rsidR="002A66B3" w:rsidRPr="00730ECF" w:rsidRDefault="002A66B3" w:rsidP="002A66B3">
            <w:pPr>
              <w:jc w:val="right"/>
              <w:rPr>
                <w:rFonts w:eastAsia="Times New Roman" w:cstheme="minorHAnsi"/>
                <w:sz w:val="20"/>
                <w:szCs w:val="20"/>
              </w:rPr>
            </w:pPr>
            <w:r w:rsidRPr="00730ECF">
              <w:rPr>
                <w:rFonts w:cstheme="minorHAnsi"/>
                <w:sz w:val="20"/>
                <w:szCs w:val="20"/>
              </w:rPr>
              <w:t>44,452</w:t>
            </w:r>
          </w:p>
        </w:tc>
        <w:tc>
          <w:tcPr>
            <w:tcW w:w="1282" w:type="dxa"/>
            <w:tcBorders>
              <w:top w:val="nil"/>
              <w:left w:val="nil"/>
              <w:bottom w:val="nil"/>
              <w:right w:val="single" w:sz="8" w:space="0" w:color="000000"/>
            </w:tcBorders>
            <w:shd w:val="clear" w:color="000000" w:fill="FFFFFF"/>
            <w:noWrap/>
            <w:vAlign w:val="bottom"/>
            <w:hideMark/>
          </w:tcPr>
          <w:p w14:paraId="5C8EA35F" w14:textId="77777777" w:rsidR="002A66B3" w:rsidRPr="00730ECF" w:rsidRDefault="002A66B3" w:rsidP="002A66B3">
            <w:pPr>
              <w:jc w:val="right"/>
              <w:rPr>
                <w:rFonts w:eastAsia="Times New Roman" w:cstheme="minorHAnsi"/>
                <w:sz w:val="20"/>
                <w:szCs w:val="20"/>
              </w:rPr>
            </w:pPr>
            <w:r w:rsidRPr="00730ECF">
              <w:rPr>
                <w:rFonts w:cstheme="minorHAnsi"/>
                <w:sz w:val="20"/>
                <w:szCs w:val="20"/>
              </w:rPr>
              <w:t>46,370</w:t>
            </w:r>
          </w:p>
        </w:tc>
        <w:tc>
          <w:tcPr>
            <w:tcW w:w="1202" w:type="dxa"/>
            <w:tcBorders>
              <w:top w:val="nil"/>
              <w:left w:val="single" w:sz="8" w:space="0" w:color="000000"/>
              <w:bottom w:val="nil"/>
              <w:right w:val="nil"/>
            </w:tcBorders>
            <w:noWrap/>
            <w:vAlign w:val="bottom"/>
            <w:hideMark/>
          </w:tcPr>
          <w:p w14:paraId="671E4C99" w14:textId="77777777" w:rsidR="002A66B3" w:rsidRPr="00730ECF" w:rsidRDefault="002A66B3" w:rsidP="002A66B3">
            <w:pPr>
              <w:jc w:val="right"/>
              <w:rPr>
                <w:rFonts w:eastAsia="Times New Roman" w:cstheme="minorHAnsi"/>
                <w:sz w:val="20"/>
                <w:szCs w:val="20"/>
              </w:rPr>
            </w:pPr>
            <w:r w:rsidRPr="00730ECF">
              <w:rPr>
                <w:rFonts w:cstheme="minorHAnsi"/>
                <w:sz w:val="20"/>
                <w:szCs w:val="20"/>
              </w:rPr>
              <w:t>1,952</w:t>
            </w:r>
          </w:p>
        </w:tc>
        <w:tc>
          <w:tcPr>
            <w:tcW w:w="1206" w:type="dxa"/>
            <w:tcBorders>
              <w:top w:val="nil"/>
              <w:left w:val="nil"/>
              <w:bottom w:val="nil"/>
              <w:right w:val="nil"/>
            </w:tcBorders>
            <w:shd w:val="clear" w:color="000000" w:fill="FFFFFF"/>
            <w:noWrap/>
            <w:vAlign w:val="bottom"/>
            <w:hideMark/>
          </w:tcPr>
          <w:p w14:paraId="106D88AA" w14:textId="470FF042" w:rsidR="002A66B3" w:rsidRPr="00730ECF" w:rsidRDefault="002A66B3" w:rsidP="002A66B3">
            <w:pPr>
              <w:jc w:val="right"/>
              <w:rPr>
                <w:rFonts w:eastAsia="Times New Roman" w:cstheme="minorHAnsi"/>
                <w:sz w:val="20"/>
                <w:szCs w:val="20"/>
              </w:rPr>
            </w:pPr>
            <w:r w:rsidRPr="00730ECF">
              <w:rPr>
                <w:rFonts w:cstheme="minorHAnsi"/>
                <w:sz w:val="20"/>
                <w:szCs w:val="20"/>
              </w:rPr>
              <w:t>39,890</w:t>
            </w:r>
          </w:p>
        </w:tc>
        <w:tc>
          <w:tcPr>
            <w:tcW w:w="1284" w:type="dxa"/>
            <w:tcBorders>
              <w:top w:val="nil"/>
              <w:left w:val="nil"/>
              <w:bottom w:val="nil"/>
              <w:right w:val="nil"/>
            </w:tcBorders>
            <w:noWrap/>
            <w:vAlign w:val="bottom"/>
            <w:hideMark/>
          </w:tcPr>
          <w:p w14:paraId="552097A1" w14:textId="1390EF17" w:rsidR="002A66B3" w:rsidRPr="00730ECF" w:rsidRDefault="002A66B3" w:rsidP="002A66B3">
            <w:pPr>
              <w:jc w:val="right"/>
              <w:rPr>
                <w:rFonts w:eastAsia="Times New Roman" w:cstheme="minorHAnsi"/>
                <w:color w:val="000000"/>
                <w:sz w:val="20"/>
                <w:szCs w:val="20"/>
              </w:rPr>
            </w:pPr>
            <w:r w:rsidRPr="00730ECF">
              <w:rPr>
                <w:rFonts w:cstheme="minorHAnsi"/>
                <w:color w:val="000000"/>
                <w:sz w:val="20"/>
                <w:szCs w:val="20"/>
              </w:rPr>
              <w:t>41,842</w:t>
            </w:r>
          </w:p>
        </w:tc>
      </w:tr>
      <w:tr w:rsidR="002A66B3" w:rsidRPr="002A66B3" w14:paraId="4BAE2FF9" w14:textId="77777777" w:rsidTr="006F148D">
        <w:trPr>
          <w:trHeight w:val="300"/>
          <w:jc w:val="center"/>
        </w:trPr>
        <w:tc>
          <w:tcPr>
            <w:tcW w:w="3236" w:type="dxa"/>
            <w:tcBorders>
              <w:top w:val="nil"/>
              <w:left w:val="nil"/>
              <w:bottom w:val="nil"/>
              <w:right w:val="nil"/>
            </w:tcBorders>
            <w:shd w:val="clear" w:color="000000" w:fill="FFFFFF"/>
            <w:noWrap/>
            <w:vAlign w:val="bottom"/>
            <w:hideMark/>
          </w:tcPr>
          <w:p w14:paraId="27F82341" w14:textId="77777777" w:rsidR="002A66B3" w:rsidRPr="00730ECF" w:rsidRDefault="002A66B3" w:rsidP="002A66B3">
            <w:pPr>
              <w:ind w:left="255"/>
              <w:rPr>
                <w:rFonts w:cstheme="minorHAnsi"/>
                <w:color w:val="000000"/>
                <w:sz w:val="20"/>
                <w:szCs w:val="20"/>
              </w:rPr>
            </w:pPr>
            <w:r w:rsidRPr="00730ECF">
              <w:rPr>
                <w:rFonts w:cstheme="minorHAnsi"/>
                <w:color w:val="000000"/>
                <w:sz w:val="20"/>
                <w:szCs w:val="20"/>
              </w:rPr>
              <w:t>Net assets released from restrictions pursuant to endowment spending distribution</w:t>
            </w:r>
          </w:p>
        </w:tc>
        <w:tc>
          <w:tcPr>
            <w:tcW w:w="1264" w:type="dxa"/>
            <w:tcBorders>
              <w:top w:val="nil"/>
              <w:left w:val="nil"/>
              <w:bottom w:val="nil"/>
              <w:right w:val="nil"/>
            </w:tcBorders>
            <w:shd w:val="clear" w:color="000000" w:fill="FFFFFF"/>
            <w:noWrap/>
            <w:vAlign w:val="bottom"/>
            <w:hideMark/>
          </w:tcPr>
          <w:p w14:paraId="756D32E0" w14:textId="77777777" w:rsidR="002A66B3" w:rsidRPr="00730ECF" w:rsidRDefault="002A66B3" w:rsidP="002A66B3">
            <w:pPr>
              <w:jc w:val="right"/>
              <w:rPr>
                <w:rFonts w:eastAsia="Times New Roman" w:cstheme="minorHAnsi"/>
                <w:sz w:val="20"/>
                <w:szCs w:val="20"/>
              </w:rPr>
            </w:pPr>
            <w:r w:rsidRPr="00730ECF">
              <w:rPr>
                <w:rFonts w:cstheme="minorHAnsi"/>
                <w:sz w:val="20"/>
                <w:szCs w:val="20"/>
              </w:rPr>
              <w:t>8,376</w:t>
            </w:r>
          </w:p>
        </w:tc>
        <w:tc>
          <w:tcPr>
            <w:tcW w:w="1206" w:type="dxa"/>
            <w:tcBorders>
              <w:top w:val="nil"/>
              <w:left w:val="nil"/>
              <w:bottom w:val="nil"/>
              <w:right w:val="nil"/>
            </w:tcBorders>
            <w:shd w:val="clear" w:color="000000" w:fill="FFFFFF"/>
            <w:noWrap/>
            <w:vAlign w:val="bottom"/>
            <w:hideMark/>
          </w:tcPr>
          <w:p w14:paraId="7945B967" w14:textId="77777777" w:rsidR="002A66B3" w:rsidRPr="00730ECF" w:rsidRDefault="002A66B3" w:rsidP="002A66B3">
            <w:pPr>
              <w:jc w:val="right"/>
              <w:rPr>
                <w:rFonts w:eastAsia="Times New Roman" w:cstheme="minorHAnsi"/>
                <w:sz w:val="20"/>
                <w:szCs w:val="20"/>
              </w:rPr>
            </w:pPr>
            <w:r w:rsidRPr="00730ECF">
              <w:rPr>
                <w:rFonts w:cstheme="minorHAnsi"/>
                <w:sz w:val="20"/>
                <w:szCs w:val="20"/>
              </w:rPr>
              <w:t>(8,376)</w:t>
            </w:r>
          </w:p>
        </w:tc>
        <w:tc>
          <w:tcPr>
            <w:tcW w:w="1282" w:type="dxa"/>
            <w:tcBorders>
              <w:top w:val="nil"/>
              <w:left w:val="nil"/>
              <w:bottom w:val="nil"/>
              <w:right w:val="single" w:sz="8" w:space="0" w:color="000000"/>
            </w:tcBorders>
            <w:shd w:val="clear" w:color="000000" w:fill="FFFFFF"/>
            <w:noWrap/>
            <w:vAlign w:val="bottom"/>
            <w:hideMark/>
          </w:tcPr>
          <w:p w14:paraId="02E69258" w14:textId="77777777" w:rsidR="002A66B3" w:rsidRPr="00730ECF" w:rsidRDefault="002A66B3" w:rsidP="002A66B3">
            <w:pPr>
              <w:jc w:val="right"/>
              <w:rPr>
                <w:rFonts w:eastAsia="Times New Roman" w:cstheme="minorHAnsi"/>
                <w:sz w:val="20"/>
                <w:szCs w:val="20"/>
              </w:rPr>
            </w:pPr>
            <w:r w:rsidRPr="00730ECF">
              <w:rPr>
                <w:rFonts w:cstheme="minorHAnsi"/>
                <w:sz w:val="20"/>
                <w:szCs w:val="20"/>
              </w:rPr>
              <w:t>-</w:t>
            </w:r>
          </w:p>
        </w:tc>
        <w:tc>
          <w:tcPr>
            <w:tcW w:w="1202" w:type="dxa"/>
            <w:tcBorders>
              <w:top w:val="nil"/>
              <w:left w:val="single" w:sz="8" w:space="0" w:color="000000"/>
              <w:bottom w:val="nil"/>
              <w:right w:val="nil"/>
            </w:tcBorders>
            <w:shd w:val="clear" w:color="000000" w:fill="FFFFFF"/>
            <w:noWrap/>
            <w:vAlign w:val="bottom"/>
            <w:hideMark/>
          </w:tcPr>
          <w:p w14:paraId="6288D910" w14:textId="191ED522" w:rsidR="002A66B3" w:rsidRPr="00730ECF" w:rsidRDefault="002A66B3" w:rsidP="002A66B3">
            <w:pPr>
              <w:jc w:val="right"/>
              <w:rPr>
                <w:rFonts w:eastAsia="Times New Roman" w:cstheme="minorHAnsi"/>
                <w:sz w:val="20"/>
                <w:szCs w:val="20"/>
              </w:rPr>
            </w:pPr>
            <w:r w:rsidRPr="00730ECF">
              <w:rPr>
                <w:rFonts w:cstheme="minorHAnsi"/>
                <w:sz w:val="20"/>
                <w:szCs w:val="20"/>
              </w:rPr>
              <w:t>7,814</w:t>
            </w:r>
          </w:p>
        </w:tc>
        <w:tc>
          <w:tcPr>
            <w:tcW w:w="1206" w:type="dxa"/>
            <w:tcBorders>
              <w:top w:val="nil"/>
              <w:left w:val="nil"/>
              <w:bottom w:val="nil"/>
              <w:right w:val="nil"/>
            </w:tcBorders>
            <w:shd w:val="clear" w:color="000000" w:fill="FFFFFF"/>
            <w:noWrap/>
            <w:vAlign w:val="bottom"/>
            <w:hideMark/>
          </w:tcPr>
          <w:p w14:paraId="36FC2344" w14:textId="4C1A4B1C" w:rsidR="002A66B3" w:rsidRPr="00730ECF" w:rsidRDefault="002A66B3" w:rsidP="002A66B3">
            <w:pPr>
              <w:jc w:val="right"/>
              <w:rPr>
                <w:rFonts w:eastAsia="Times New Roman" w:cstheme="minorHAnsi"/>
                <w:sz w:val="20"/>
                <w:szCs w:val="20"/>
              </w:rPr>
            </w:pPr>
            <w:r w:rsidRPr="00730ECF">
              <w:rPr>
                <w:rFonts w:cstheme="minorHAnsi"/>
                <w:sz w:val="20"/>
                <w:szCs w:val="20"/>
              </w:rPr>
              <w:t>(7,814)</w:t>
            </w:r>
          </w:p>
        </w:tc>
        <w:tc>
          <w:tcPr>
            <w:tcW w:w="1284" w:type="dxa"/>
            <w:tcBorders>
              <w:top w:val="nil"/>
              <w:left w:val="nil"/>
              <w:bottom w:val="nil"/>
              <w:right w:val="nil"/>
            </w:tcBorders>
            <w:noWrap/>
            <w:vAlign w:val="bottom"/>
            <w:hideMark/>
          </w:tcPr>
          <w:p w14:paraId="01E1BA21" w14:textId="35B6CDFF" w:rsidR="002A66B3" w:rsidRPr="00730ECF" w:rsidRDefault="002A66B3" w:rsidP="002A66B3">
            <w:pPr>
              <w:jc w:val="right"/>
              <w:rPr>
                <w:rFonts w:eastAsia="Times New Roman" w:cstheme="minorHAnsi"/>
                <w:color w:val="000000"/>
                <w:sz w:val="20"/>
                <w:szCs w:val="20"/>
              </w:rPr>
            </w:pPr>
            <w:r w:rsidRPr="00730ECF">
              <w:rPr>
                <w:rFonts w:cstheme="minorHAnsi"/>
                <w:color w:val="000000"/>
                <w:sz w:val="20"/>
                <w:szCs w:val="20"/>
              </w:rPr>
              <w:t>-</w:t>
            </w:r>
          </w:p>
        </w:tc>
      </w:tr>
      <w:tr w:rsidR="002A66B3" w:rsidRPr="002A66B3" w14:paraId="3279821D" w14:textId="77777777" w:rsidTr="006F148D">
        <w:trPr>
          <w:trHeight w:val="300"/>
          <w:jc w:val="center"/>
        </w:trPr>
        <w:tc>
          <w:tcPr>
            <w:tcW w:w="3236" w:type="dxa"/>
            <w:tcBorders>
              <w:top w:val="nil"/>
              <w:left w:val="nil"/>
              <w:bottom w:val="nil"/>
              <w:right w:val="nil"/>
            </w:tcBorders>
            <w:shd w:val="clear" w:color="000000" w:fill="FFFFFF"/>
            <w:noWrap/>
            <w:vAlign w:val="bottom"/>
            <w:hideMark/>
          </w:tcPr>
          <w:p w14:paraId="74732ED6" w14:textId="77777777" w:rsidR="002A66B3" w:rsidRPr="00730ECF" w:rsidRDefault="002A66B3" w:rsidP="002A66B3">
            <w:pPr>
              <w:ind w:left="255"/>
              <w:rPr>
                <w:rFonts w:cstheme="minorHAnsi"/>
                <w:color w:val="000000"/>
                <w:sz w:val="20"/>
                <w:szCs w:val="20"/>
              </w:rPr>
            </w:pPr>
            <w:r w:rsidRPr="00730ECF">
              <w:rPr>
                <w:rFonts w:cstheme="minorHAnsi"/>
                <w:color w:val="000000"/>
                <w:sz w:val="20"/>
                <w:szCs w:val="20"/>
              </w:rPr>
              <w:t>Net assets released from restrictions - other</w:t>
            </w:r>
          </w:p>
        </w:tc>
        <w:tc>
          <w:tcPr>
            <w:tcW w:w="1264" w:type="dxa"/>
            <w:tcBorders>
              <w:top w:val="nil"/>
              <w:left w:val="nil"/>
              <w:bottom w:val="nil"/>
              <w:right w:val="nil"/>
            </w:tcBorders>
            <w:shd w:val="clear" w:color="000000" w:fill="FFFFFF"/>
            <w:noWrap/>
            <w:vAlign w:val="bottom"/>
            <w:hideMark/>
          </w:tcPr>
          <w:p w14:paraId="01D8AE40" w14:textId="77777777" w:rsidR="002A66B3" w:rsidRPr="00730ECF" w:rsidRDefault="002A66B3" w:rsidP="002A66B3">
            <w:pPr>
              <w:jc w:val="right"/>
              <w:rPr>
                <w:rFonts w:eastAsia="Times New Roman" w:cstheme="minorHAnsi"/>
                <w:sz w:val="20"/>
                <w:szCs w:val="20"/>
              </w:rPr>
            </w:pPr>
            <w:r w:rsidRPr="00730ECF">
              <w:rPr>
                <w:rFonts w:cstheme="minorHAnsi"/>
                <w:sz w:val="20"/>
                <w:szCs w:val="20"/>
              </w:rPr>
              <w:t>7,522</w:t>
            </w:r>
          </w:p>
        </w:tc>
        <w:tc>
          <w:tcPr>
            <w:tcW w:w="1206" w:type="dxa"/>
            <w:tcBorders>
              <w:top w:val="nil"/>
              <w:left w:val="nil"/>
              <w:bottom w:val="nil"/>
              <w:right w:val="nil"/>
            </w:tcBorders>
            <w:shd w:val="clear" w:color="000000" w:fill="FFFFFF"/>
            <w:noWrap/>
            <w:vAlign w:val="bottom"/>
            <w:hideMark/>
          </w:tcPr>
          <w:p w14:paraId="70A16CF1" w14:textId="729AD2EF" w:rsidR="002A66B3" w:rsidRPr="00730ECF" w:rsidRDefault="002A66B3" w:rsidP="002A66B3">
            <w:pPr>
              <w:jc w:val="right"/>
              <w:rPr>
                <w:rFonts w:eastAsia="Times New Roman" w:cstheme="minorHAnsi"/>
                <w:sz w:val="20"/>
                <w:szCs w:val="20"/>
              </w:rPr>
            </w:pPr>
            <w:r w:rsidRPr="00730ECF">
              <w:rPr>
                <w:rFonts w:cstheme="minorHAnsi"/>
                <w:sz w:val="20"/>
                <w:szCs w:val="20"/>
              </w:rPr>
              <w:t>(7,522)</w:t>
            </w:r>
          </w:p>
        </w:tc>
        <w:tc>
          <w:tcPr>
            <w:tcW w:w="1282" w:type="dxa"/>
            <w:tcBorders>
              <w:top w:val="nil"/>
              <w:left w:val="nil"/>
              <w:bottom w:val="nil"/>
              <w:right w:val="single" w:sz="8" w:space="0" w:color="000000"/>
            </w:tcBorders>
            <w:shd w:val="clear" w:color="000000" w:fill="FFFFFF"/>
            <w:noWrap/>
            <w:vAlign w:val="bottom"/>
            <w:hideMark/>
          </w:tcPr>
          <w:p w14:paraId="7BDD5362" w14:textId="77777777" w:rsidR="002A66B3" w:rsidRPr="00730ECF" w:rsidRDefault="002A66B3" w:rsidP="002A66B3">
            <w:pPr>
              <w:jc w:val="right"/>
              <w:rPr>
                <w:rFonts w:eastAsia="Times New Roman" w:cstheme="minorHAnsi"/>
                <w:sz w:val="20"/>
                <w:szCs w:val="20"/>
              </w:rPr>
            </w:pPr>
            <w:r w:rsidRPr="00730ECF">
              <w:rPr>
                <w:rFonts w:cstheme="minorHAnsi"/>
                <w:sz w:val="20"/>
                <w:szCs w:val="20"/>
              </w:rPr>
              <w:t>-</w:t>
            </w:r>
          </w:p>
        </w:tc>
        <w:tc>
          <w:tcPr>
            <w:tcW w:w="1202" w:type="dxa"/>
            <w:tcBorders>
              <w:top w:val="nil"/>
              <w:left w:val="single" w:sz="8" w:space="0" w:color="000000"/>
              <w:bottom w:val="nil"/>
              <w:right w:val="nil"/>
            </w:tcBorders>
            <w:shd w:val="clear" w:color="000000" w:fill="FFFFFF"/>
            <w:noWrap/>
            <w:vAlign w:val="bottom"/>
            <w:hideMark/>
          </w:tcPr>
          <w:p w14:paraId="74D4D4DA" w14:textId="1C1F2832" w:rsidR="002A66B3" w:rsidRPr="00730ECF" w:rsidRDefault="002A66B3" w:rsidP="002A66B3">
            <w:pPr>
              <w:jc w:val="right"/>
              <w:rPr>
                <w:rFonts w:eastAsia="Times New Roman" w:cstheme="minorHAnsi"/>
                <w:sz w:val="20"/>
                <w:szCs w:val="20"/>
              </w:rPr>
            </w:pPr>
            <w:r w:rsidRPr="00730ECF">
              <w:rPr>
                <w:rFonts w:cstheme="minorHAnsi"/>
                <w:sz w:val="20"/>
                <w:szCs w:val="20"/>
              </w:rPr>
              <w:t>10,623</w:t>
            </w:r>
          </w:p>
        </w:tc>
        <w:tc>
          <w:tcPr>
            <w:tcW w:w="1206" w:type="dxa"/>
            <w:tcBorders>
              <w:top w:val="nil"/>
              <w:left w:val="nil"/>
              <w:bottom w:val="nil"/>
              <w:right w:val="nil"/>
            </w:tcBorders>
            <w:shd w:val="clear" w:color="000000" w:fill="FFFFFF"/>
            <w:noWrap/>
            <w:vAlign w:val="bottom"/>
            <w:hideMark/>
          </w:tcPr>
          <w:p w14:paraId="23F6B1F2" w14:textId="77777777" w:rsidR="002A66B3" w:rsidRPr="00730ECF" w:rsidRDefault="002A66B3" w:rsidP="002A66B3">
            <w:pPr>
              <w:jc w:val="right"/>
              <w:rPr>
                <w:rFonts w:eastAsia="Times New Roman" w:cstheme="minorHAnsi"/>
                <w:sz w:val="20"/>
                <w:szCs w:val="20"/>
              </w:rPr>
            </w:pPr>
            <w:r w:rsidRPr="00730ECF">
              <w:rPr>
                <w:rFonts w:cstheme="minorHAnsi"/>
                <w:sz w:val="20"/>
                <w:szCs w:val="20"/>
              </w:rPr>
              <w:t>$    (10,623)</w:t>
            </w:r>
          </w:p>
        </w:tc>
        <w:tc>
          <w:tcPr>
            <w:tcW w:w="1284" w:type="dxa"/>
            <w:tcBorders>
              <w:top w:val="nil"/>
              <w:left w:val="nil"/>
              <w:bottom w:val="nil"/>
              <w:right w:val="nil"/>
            </w:tcBorders>
            <w:noWrap/>
            <w:vAlign w:val="bottom"/>
            <w:hideMark/>
          </w:tcPr>
          <w:p w14:paraId="4A156967" w14:textId="76A581B1" w:rsidR="002A66B3" w:rsidRPr="00730ECF" w:rsidRDefault="002A66B3" w:rsidP="006F148D">
            <w:pPr>
              <w:jc w:val="right"/>
              <w:rPr>
                <w:rFonts w:eastAsia="Times New Roman" w:cstheme="minorHAnsi"/>
                <w:color w:val="000000"/>
                <w:sz w:val="20"/>
                <w:szCs w:val="20"/>
              </w:rPr>
            </w:pPr>
            <w:r w:rsidRPr="00730ECF">
              <w:rPr>
                <w:rFonts w:cstheme="minorHAnsi"/>
                <w:color w:val="000000"/>
                <w:sz w:val="20"/>
                <w:szCs w:val="20"/>
              </w:rPr>
              <w:t>-</w:t>
            </w:r>
          </w:p>
        </w:tc>
      </w:tr>
      <w:tr w:rsidR="002A66B3" w:rsidRPr="002A66B3" w14:paraId="721B8060" w14:textId="77777777" w:rsidTr="006F148D">
        <w:trPr>
          <w:trHeight w:val="600"/>
          <w:jc w:val="center"/>
        </w:trPr>
        <w:tc>
          <w:tcPr>
            <w:tcW w:w="3236" w:type="dxa"/>
            <w:tcBorders>
              <w:top w:val="single" w:sz="4" w:space="0" w:color="000000"/>
              <w:left w:val="nil"/>
              <w:bottom w:val="single" w:sz="4" w:space="0" w:color="000000"/>
              <w:right w:val="nil"/>
            </w:tcBorders>
            <w:shd w:val="clear" w:color="000000" w:fill="FFFFFF"/>
            <w:vAlign w:val="bottom"/>
            <w:hideMark/>
          </w:tcPr>
          <w:p w14:paraId="7A816960" w14:textId="77777777" w:rsidR="002A66B3" w:rsidRPr="00730ECF" w:rsidRDefault="002A66B3" w:rsidP="002A66B3">
            <w:pPr>
              <w:rPr>
                <w:rFonts w:cstheme="minorHAnsi"/>
                <w:b/>
                <w:bCs/>
                <w:color w:val="000000"/>
                <w:sz w:val="20"/>
                <w:szCs w:val="20"/>
              </w:rPr>
            </w:pPr>
            <w:r w:rsidRPr="00730ECF">
              <w:rPr>
                <w:rFonts w:cstheme="minorHAnsi"/>
                <w:b/>
                <w:bCs/>
                <w:color w:val="000000"/>
                <w:sz w:val="20"/>
                <w:szCs w:val="20"/>
              </w:rPr>
              <w:t>Total Revenues, Gains, Losses, and Reclassification</w:t>
            </w:r>
          </w:p>
        </w:tc>
        <w:tc>
          <w:tcPr>
            <w:tcW w:w="1264" w:type="dxa"/>
            <w:tcBorders>
              <w:top w:val="single" w:sz="4" w:space="0" w:color="000000"/>
              <w:left w:val="nil"/>
              <w:bottom w:val="single" w:sz="4" w:space="0" w:color="000000"/>
              <w:right w:val="nil"/>
            </w:tcBorders>
            <w:shd w:val="clear" w:color="000000" w:fill="FFFFFF"/>
            <w:noWrap/>
            <w:vAlign w:val="bottom"/>
            <w:hideMark/>
          </w:tcPr>
          <w:p w14:paraId="51B475B8" w14:textId="77777777" w:rsidR="002A66B3" w:rsidRPr="00730ECF" w:rsidRDefault="002A66B3" w:rsidP="002A66B3">
            <w:pPr>
              <w:jc w:val="right"/>
              <w:rPr>
                <w:rFonts w:eastAsia="Times New Roman" w:cstheme="minorHAnsi"/>
                <w:sz w:val="20"/>
                <w:szCs w:val="20"/>
              </w:rPr>
            </w:pPr>
            <w:r w:rsidRPr="00730ECF">
              <w:rPr>
                <w:rFonts w:cstheme="minorHAnsi"/>
                <w:sz w:val="20"/>
                <w:szCs w:val="20"/>
              </w:rPr>
              <w:t>30,991</w:t>
            </w:r>
          </w:p>
        </w:tc>
        <w:tc>
          <w:tcPr>
            <w:tcW w:w="1206" w:type="dxa"/>
            <w:tcBorders>
              <w:top w:val="single" w:sz="4" w:space="0" w:color="000000"/>
              <w:left w:val="nil"/>
              <w:bottom w:val="single" w:sz="4" w:space="0" w:color="000000"/>
              <w:right w:val="nil"/>
            </w:tcBorders>
            <w:shd w:val="clear" w:color="000000" w:fill="FFFFFF"/>
            <w:noWrap/>
            <w:vAlign w:val="bottom"/>
            <w:hideMark/>
          </w:tcPr>
          <w:p w14:paraId="1314F8C6" w14:textId="26477447" w:rsidR="002A66B3" w:rsidRPr="00730ECF" w:rsidRDefault="003E46D5" w:rsidP="002A66B3">
            <w:pPr>
              <w:jc w:val="right"/>
              <w:rPr>
                <w:rFonts w:eastAsia="Times New Roman" w:cstheme="minorHAnsi"/>
                <w:sz w:val="20"/>
                <w:szCs w:val="20"/>
              </w:rPr>
            </w:pPr>
            <w:r>
              <w:rPr>
                <w:rFonts w:cstheme="minorHAnsi"/>
                <w:sz w:val="20"/>
                <w:szCs w:val="20"/>
              </w:rPr>
              <w:t>67,375</w:t>
            </w:r>
          </w:p>
        </w:tc>
        <w:tc>
          <w:tcPr>
            <w:tcW w:w="1282" w:type="dxa"/>
            <w:tcBorders>
              <w:top w:val="single" w:sz="4" w:space="0" w:color="000000"/>
              <w:left w:val="nil"/>
              <w:bottom w:val="single" w:sz="4" w:space="0" w:color="000000"/>
              <w:right w:val="single" w:sz="8" w:space="0" w:color="000000"/>
            </w:tcBorders>
            <w:shd w:val="clear" w:color="000000" w:fill="FFFFFF"/>
            <w:noWrap/>
            <w:vAlign w:val="bottom"/>
            <w:hideMark/>
          </w:tcPr>
          <w:p w14:paraId="2698911C" w14:textId="1E449E56" w:rsidR="002A66B3" w:rsidRPr="00730ECF" w:rsidRDefault="003E46D5" w:rsidP="002A66B3">
            <w:pPr>
              <w:jc w:val="right"/>
              <w:rPr>
                <w:rFonts w:eastAsia="Times New Roman" w:cstheme="minorHAnsi"/>
                <w:sz w:val="20"/>
                <w:szCs w:val="20"/>
              </w:rPr>
            </w:pPr>
            <w:r>
              <w:rPr>
                <w:rFonts w:cstheme="minorHAnsi"/>
                <w:sz w:val="20"/>
                <w:szCs w:val="20"/>
              </w:rPr>
              <w:t>98,366</w:t>
            </w:r>
          </w:p>
        </w:tc>
        <w:tc>
          <w:tcPr>
            <w:tcW w:w="1202" w:type="dxa"/>
            <w:tcBorders>
              <w:top w:val="single" w:sz="4" w:space="0" w:color="000000"/>
              <w:left w:val="single" w:sz="8" w:space="0" w:color="000000"/>
              <w:bottom w:val="single" w:sz="4" w:space="0" w:color="000000"/>
              <w:right w:val="nil"/>
            </w:tcBorders>
            <w:noWrap/>
            <w:vAlign w:val="bottom"/>
            <w:hideMark/>
          </w:tcPr>
          <w:p w14:paraId="46039618" w14:textId="77777777" w:rsidR="002A66B3" w:rsidRPr="00730ECF" w:rsidRDefault="002A66B3" w:rsidP="002A66B3">
            <w:pPr>
              <w:jc w:val="right"/>
              <w:rPr>
                <w:rFonts w:eastAsia="Times New Roman" w:cstheme="minorHAnsi"/>
                <w:color w:val="000000"/>
                <w:sz w:val="20"/>
                <w:szCs w:val="20"/>
              </w:rPr>
            </w:pPr>
            <w:r w:rsidRPr="00730ECF">
              <w:rPr>
                <w:rFonts w:cstheme="minorHAnsi"/>
                <w:color w:val="000000"/>
                <w:sz w:val="20"/>
                <w:szCs w:val="20"/>
              </w:rPr>
              <w:t>32,952</w:t>
            </w:r>
          </w:p>
        </w:tc>
        <w:tc>
          <w:tcPr>
            <w:tcW w:w="1206" w:type="dxa"/>
            <w:tcBorders>
              <w:top w:val="single" w:sz="4" w:space="0" w:color="000000"/>
              <w:left w:val="nil"/>
              <w:bottom w:val="single" w:sz="4" w:space="0" w:color="000000"/>
              <w:right w:val="nil"/>
            </w:tcBorders>
            <w:noWrap/>
            <w:vAlign w:val="bottom"/>
            <w:hideMark/>
          </w:tcPr>
          <w:p w14:paraId="12A1F608" w14:textId="77777777" w:rsidR="002A66B3" w:rsidRPr="00730ECF" w:rsidRDefault="002A66B3" w:rsidP="002A66B3">
            <w:pPr>
              <w:jc w:val="right"/>
              <w:rPr>
                <w:rFonts w:eastAsia="Times New Roman" w:cstheme="minorHAnsi"/>
                <w:color w:val="000000"/>
                <w:sz w:val="20"/>
                <w:szCs w:val="20"/>
              </w:rPr>
            </w:pPr>
            <w:r w:rsidRPr="00730ECF">
              <w:rPr>
                <w:rFonts w:cstheme="minorHAnsi"/>
                <w:color w:val="000000"/>
                <w:sz w:val="20"/>
                <w:szCs w:val="20"/>
              </w:rPr>
              <w:t>60,496</w:t>
            </w:r>
          </w:p>
        </w:tc>
        <w:tc>
          <w:tcPr>
            <w:tcW w:w="1284" w:type="dxa"/>
            <w:tcBorders>
              <w:top w:val="single" w:sz="4" w:space="0" w:color="000000"/>
              <w:left w:val="nil"/>
              <w:bottom w:val="single" w:sz="4" w:space="0" w:color="000000"/>
              <w:right w:val="nil"/>
            </w:tcBorders>
            <w:noWrap/>
            <w:vAlign w:val="bottom"/>
            <w:hideMark/>
          </w:tcPr>
          <w:p w14:paraId="6A68462E" w14:textId="77777777" w:rsidR="002A66B3" w:rsidRPr="00730ECF" w:rsidRDefault="002A66B3" w:rsidP="002A66B3">
            <w:pPr>
              <w:jc w:val="right"/>
              <w:rPr>
                <w:rFonts w:eastAsia="Times New Roman" w:cstheme="minorHAnsi"/>
                <w:color w:val="000000"/>
                <w:sz w:val="20"/>
                <w:szCs w:val="20"/>
              </w:rPr>
            </w:pPr>
            <w:r w:rsidRPr="00730ECF">
              <w:rPr>
                <w:rFonts w:cstheme="minorHAnsi"/>
                <w:color w:val="000000"/>
                <w:sz w:val="20"/>
                <w:szCs w:val="20"/>
              </w:rPr>
              <w:t>93,448</w:t>
            </w:r>
          </w:p>
        </w:tc>
      </w:tr>
      <w:tr w:rsidR="002A66B3" w:rsidRPr="002A66B3" w14:paraId="12E3A1BC" w14:textId="77777777" w:rsidTr="006F148D">
        <w:trPr>
          <w:trHeight w:val="300"/>
          <w:jc w:val="center"/>
        </w:trPr>
        <w:tc>
          <w:tcPr>
            <w:tcW w:w="3236" w:type="dxa"/>
            <w:tcBorders>
              <w:top w:val="nil"/>
              <w:left w:val="nil"/>
              <w:bottom w:val="nil"/>
              <w:right w:val="nil"/>
            </w:tcBorders>
            <w:shd w:val="clear" w:color="000000" w:fill="FFFFFF"/>
            <w:noWrap/>
            <w:vAlign w:val="bottom"/>
            <w:hideMark/>
          </w:tcPr>
          <w:p w14:paraId="21E68532" w14:textId="77777777" w:rsidR="002A66B3" w:rsidRPr="00730ECF" w:rsidRDefault="002A66B3" w:rsidP="002A66B3">
            <w:pPr>
              <w:rPr>
                <w:rFonts w:cstheme="minorHAnsi"/>
                <w:b/>
                <w:bCs/>
                <w:color w:val="000000"/>
                <w:sz w:val="20"/>
                <w:szCs w:val="20"/>
              </w:rPr>
            </w:pPr>
            <w:r w:rsidRPr="00730ECF">
              <w:rPr>
                <w:rFonts w:cstheme="minorHAnsi"/>
                <w:b/>
                <w:bCs/>
                <w:color w:val="000000"/>
                <w:sz w:val="20"/>
                <w:szCs w:val="20"/>
              </w:rPr>
              <w:t>Expenses and Losses</w:t>
            </w:r>
          </w:p>
        </w:tc>
        <w:tc>
          <w:tcPr>
            <w:tcW w:w="1264" w:type="dxa"/>
            <w:tcBorders>
              <w:top w:val="nil"/>
              <w:left w:val="nil"/>
              <w:bottom w:val="nil"/>
              <w:right w:val="nil"/>
            </w:tcBorders>
            <w:shd w:val="clear" w:color="000000" w:fill="FFFFFF"/>
            <w:noWrap/>
            <w:vAlign w:val="bottom"/>
            <w:hideMark/>
          </w:tcPr>
          <w:p w14:paraId="2390A662" w14:textId="55ACA3C0" w:rsidR="002A66B3" w:rsidRPr="00730ECF" w:rsidRDefault="002A66B3" w:rsidP="002A66B3">
            <w:pPr>
              <w:jc w:val="right"/>
              <w:rPr>
                <w:rFonts w:cstheme="minorHAnsi"/>
                <w:color w:val="FF0000"/>
                <w:sz w:val="20"/>
                <w:szCs w:val="20"/>
              </w:rPr>
            </w:pPr>
          </w:p>
        </w:tc>
        <w:tc>
          <w:tcPr>
            <w:tcW w:w="1206" w:type="dxa"/>
            <w:tcBorders>
              <w:top w:val="nil"/>
              <w:left w:val="nil"/>
              <w:bottom w:val="nil"/>
              <w:right w:val="nil"/>
            </w:tcBorders>
            <w:shd w:val="clear" w:color="000000" w:fill="FFFFFF"/>
            <w:noWrap/>
            <w:vAlign w:val="bottom"/>
            <w:hideMark/>
          </w:tcPr>
          <w:p w14:paraId="7F4BC18F" w14:textId="474D1CB4" w:rsidR="002A66B3" w:rsidRPr="00730ECF" w:rsidRDefault="002A66B3" w:rsidP="002A66B3">
            <w:pPr>
              <w:jc w:val="right"/>
              <w:rPr>
                <w:rFonts w:cstheme="minorHAnsi"/>
                <w:color w:val="FF0000"/>
                <w:sz w:val="20"/>
                <w:szCs w:val="20"/>
              </w:rPr>
            </w:pPr>
          </w:p>
        </w:tc>
        <w:tc>
          <w:tcPr>
            <w:tcW w:w="1282" w:type="dxa"/>
            <w:tcBorders>
              <w:top w:val="nil"/>
              <w:left w:val="nil"/>
              <w:bottom w:val="nil"/>
              <w:right w:val="single" w:sz="8" w:space="0" w:color="000000"/>
            </w:tcBorders>
            <w:shd w:val="clear" w:color="000000" w:fill="FFFFFF"/>
            <w:noWrap/>
            <w:vAlign w:val="bottom"/>
            <w:hideMark/>
          </w:tcPr>
          <w:p w14:paraId="184D817D" w14:textId="3CA44FB1" w:rsidR="002A66B3" w:rsidRPr="00730ECF" w:rsidRDefault="002A66B3" w:rsidP="002A66B3">
            <w:pPr>
              <w:jc w:val="right"/>
              <w:rPr>
                <w:rFonts w:cstheme="minorHAnsi"/>
                <w:color w:val="FF0000"/>
                <w:sz w:val="20"/>
                <w:szCs w:val="20"/>
              </w:rPr>
            </w:pPr>
          </w:p>
        </w:tc>
        <w:tc>
          <w:tcPr>
            <w:tcW w:w="1202" w:type="dxa"/>
            <w:tcBorders>
              <w:top w:val="nil"/>
              <w:left w:val="single" w:sz="8" w:space="0" w:color="000000"/>
              <w:bottom w:val="nil"/>
              <w:right w:val="nil"/>
            </w:tcBorders>
            <w:noWrap/>
            <w:vAlign w:val="bottom"/>
            <w:hideMark/>
          </w:tcPr>
          <w:p w14:paraId="706D59AC" w14:textId="77777777" w:rsidR="002A66B3" w:rsidRPr="00730ECF" w:rsidRDefault="002A66B3" w:rsidP="002A66B3">
            <w:pPr>
              <w:jc w:val="right"/>
              <w:rPr>
                <w:rFonts w:cstheme="minorHAnsi"/>
                <w:color w:val="FF0000"/>
                <w:sz w:val="20"/>
                <w:szCs w:val="20"/>
              </w:rPr>
            </w:pPr>
          </w:p>
        </w:tc>
        <w:tc>
          <w:tcPr>
            <w:tcW w:w="1206" w:type="dxa"/>
            <w:tcBorders>
              <w:top w:val="nil"/>
              <w:left w:val="nil"/>
              <w:bottom w:val="nil"/>
              <w:right w:val="nil"/>
            </w:tcBorders>
            <w:noWrap/>
            <w:vAlign w:val="bottom"/>
            <w:hideMark/>
          </w:tcPr>
          <w:p w14:paraId="2E15FD58" w14:textId="77777777" w:rsidR="002A66B3" w:rsidRPr="00730ECF" w:rsidRDefault="002A66B3" w:rsidP="002A66B3">
            <w:pPr>
              <w:jc w:val="right"/>
              <w:rPr>
                <w:rFonts w:cstheme="minorHAnsi"/>
                <w:sz w:val="20"/>
                <w:szCs w:val="20"/>
              </w:rPr>
            </w:pPr>
          </w:p>
        </w:tc>
        <w:tc>
          <w:tcPr>
            <w:tcW w:w="1284" w:type="dxa"/>
            <w:tcBorders>
              <w:top w:val="nil"/>
              <w:left w:val="nil"/>
              <w:bottom w:val="nil"/>
              <w:right w:val="nil"/>
            </w:tcBorders>
            <w:noWrap/>
            <w:vAlign w:val="bottom"/>
            <w:hideMark/>
          </w:tcPr>
          <w:p w14:paraId="1CA4D523" w14:textId="77777777" w:rsidR="002A66B3" w:rsidRPr="00730ECF" w:rsidRDefault="002A66B3" w:rsidP="002A66B3">
            <w:pPr>
              <w:jc w:val="right"/>
              <w:rPr>
                <w:rFonts w:cstheme="minorHAnsi"/>
                <w:sz w:val="20"/>
                <w:szCs w:val="20"/>
              </w:rPr>
            </w:pPr>
          </w:p>
        </w:tc>
      </w:tr>
      <w:tr w:rsidR="002A66B3" w:rsidRPr="002A66B3" w14:paraId="216882CE" w14:textId="77777777" w:rsidTr="006F148D">
        <w:trPr>
          <w:trHeight w:val="300"/>
          <w:jc w:val="center"/>
        </w:trPr>
        <w:tc>
          <w:tcPr>
            <w:tcW w:w="3236" w:type="dxa"/>
            <w:tcBorders>
              <w:top w:val="nil"/>
              <w:left w:val="nil"/>
              <w:bottom w:val="nil"/>
              <w:right w:val="nil"/>
            </w:tcBorders>
            <w:shd w:val="clear" w:color="000000" w:fill="FFFFFF"/>
            <w:noWrap/>
            <w:vAlign w:val="bottom"/>
            <w:hideMark/>
          </w:tcPr>
          <w:p w14:paraId="391F37B3" w14:textId="77777777" w:rsidR="002A66B3" w:rsidRPr="00730ECF" w:rsidRDefault="002A66B3" w:rsidP="00730ECF">
            <w:pPr>
              <w:ind w:left="255"/>
              <w:rPr>
                <w:rFonts w:cstheme="minorHAnsi"/>
                <w:color w:val="000000"/>
                <w:sz w:val="20"/>
                <w:szCs w:val="20"/>
              </w:rPr>
            </w:pPr>
            <w:r w:rsidRPr="00730ECF">
              <w:rPr>
                <w:rFonts w:cstheme="minorHAnsi"/>
                <w:color w:val="000000"/>
                <w:sz w:val="20"/>
                <w:szCs w:val="20"/>
              </w:rPr>
              <w:t>Program services</w:t>
            </w:r>
          </w:p>
        </w:tc>
        <w:tc>
          <w:tcPr>
            <w:tcW w:w="1264" w:type="dxa"/>
            <w:tcBorders>
              <w:top w:val="nil"/>
              <w:left w:val="nil"/>
              <w:bottom w:val="nil"/>
              <w:right w:val="nil"/>
            </w:tcBorders>
            <w:shd w:val="clear" w:color="000000" w:fill="FFFFFF"/>
            <w:noWrap/>
            <w:vAlign w:val="bottom"/>
            <w:hideMark/>
          </w:tcPr>
          <w:p w14:paraId="7DA8A16B" w14:textId="77777777" w:rsidR="002A66B3" w:rsidRPr="00730ECF" w:rsidRDefault="002A66B3" w:rsidP="002A66B3">
            <w:pPr>
              <w:jc w:val="right"/>
              <w:rPr>
                <w:rFonts w:eastAsia="Times New Roman" w:cstheme="minorHAnsi"/>
                <w:sz w:val="20"/>
                <w:szCs w:val="20"/>
              </w:rPr>
            </w:pPr>
            <w:r w:rsidRPr="00730ECF">
              <w:rPr>
                <w:rFonts w:cstheme="minorHAnsi"/>
                <w:sz w:val="20"/>
                <w:szCs w:val="20"/>
              </w:rPr>
              <w:t>24,296</w:t>
            </w:r>
          </w:p>
        </w:tc>
        <w:tc>
          <w:tcPr>
            <w:tcW w:w="1206" w:type="dxa"/>
            <w:tcBorders>
              <w:top w:val="nil"/>
              <w:left w:val="nil"/>
              <w:bottom w:val="nil"/>
              <w:right w:val="nil"/>
            </w:tcBorders>
            <w:shd w:val="clear" w:color="000000" w:fill="FFFFFF"/>
            <w:noWrap/>
            <w:vAlign w:val="bottom"/>
            <w:hideMark/>
          </w:tcPr>
          <w:p w14:paraId="49458C71" w14:textId="77777777" w:rsidR="002A66B3" w:rsidRPr="00730ECF" w:rsidRDefault="002A66B3" w:rsidP="002A66B3">
            <w:pPr>
              <w:jc w:val="right"/>
              <w:rPr>
                <w:rFonts w:eastAsia="Times New Roman" w:cstheme="minorHAnsi"/>
                <w:sz w:val="20"/>
                <w:szCs w:val="20"/>
              </w:rPr>
            </w:pPr>
            <w:r w:rsidRPr="00730ECF">
              <w:rPr>
                <w:rFonts w:cstheme="minorHAnsi"/>
                <w:sz w:val="20"/>
                <w:szCs w:val="20"/>
              </w:rPr>
              <w:t>-</w:t>
            </w:r>
          </w:p>
        </w:tc>
        <w:tc>
          <w:tcPr>
            <w:tcW w:w="1282" w:type="dxa"/>
            <w:tcBorders>
              <w:top w:val="nil"/>
              <w:left w:val="nil"/>
              <w:bottom w:val="nil"/>
              <w:right w:val="single" w:sz="8" w:space="0" w:color="000000"/>
            </w:tcBorders>
            <w:shd w:val="clear" w:color="000000" w:fill="FFFFFF"/>
            <w:noWrap/>
            <w:vAlign w:val="bottom"/>
            <w:hideMark/>
          </w:tcPr>
          <w:p w14:paraId="0C29AD96" w14:textId="77777777" w:rsidR="002A66B3" w:rsidRPr="00730ECF" w:rsidRDefault="002A66B3" w:rsidP="002A66B3">
            <w:pPr>
              <w:jc w:val="right"/>
              <w:rPr>
                <w:rFonts w:eastAsia="Times New Roman" w:cstheme="minorHAnsi"/>
                <w:sz w:val="20"/>
                <w:szCs w:val="20"/>
              </w:rPr>
            </w:pPr>
            <w:r w:rsidRPr="00730ECF">
              <w:rPr>
                <w:rFonts w:cstheme="minorHAnsi"/>
                <w:sz w:val="20"/>
                <w:szCs w:val="20"/>
              </w:rPr>
              <w:t>24,296</w:t>
            </w:r>
          </w:p>
        </w:tc>
        <w:tc>
          <w:tcPr>
            <w:tcW w:w="1202" w:type="dxa"/>
            <w:tcBorders>
              <w:top w:val="nil"/>
              <w:left w:val="single" w:sz="8" w:space="0" w:color="000000"/>
              <w:bottom w:val="nil"/>
              <w:right w:val="nil"/>
            </w:tcBorders>
            <w:shd w:val="clear" w:color="000000" w:fill="FFFFFF"/>
            <w:noWrap/>
            <w:vAlign w:val="bottom"/>
            <w:hideMark/>
          </w:tcPr>
          <w:p w14:paraId="35F50180" w14:textId="77777777" w:rsidR="002A66B3" w:rsidRPr="00730ECF" w:rsidRDefault="002A66B3" w:rsidP="002A66B3">
            <w:pPr>
              <w:jc w:val="right"/>
              <w:rPr>
                <w:rFonts w:eastAsia="Times New Roman" w:cstheme="minorHAnsi"/>
                <w:sz w:val="20"/>
                <w:szCs w:val="20"/>
              </w:rPr>
            </w:pPr>
            <w:r w:rsidRPr="00730ECF">
              <w:rPr>
                <w:rFonts w:cstheme="minorHAnsi"/>
                <w:sz w:val="20"/>
                <w:szCs w:val="20"/>
              </w:rPr>
              <w:t>26,734</w:t>
            </w:r>
          </w:p>
        </w:tc>
        <w:tc>
          <w:tcPr>
            <w:tcW w:w="1206" w:type="dxa"/>
            <w:tcBorders>
              <w:top w:val="nil"/>
              <w:left w:val="nil"/>
              <w:bottom w:val="nil"/>
              <w:right w:val="nil"/>
            </w:tcBorders>
            <w:noWrap/>
            <w:vAlign w:val="bottom"/>
            <w:hideMark/>
          </w:tcPr>
          <w:p w14:paraId="13475336" w14:textId="77777777" w:rsidR="002A66B3" w:rsidRPr="00730ECF" w:rsidRDefault="002A66B3" w:rsidP="002A66B3">
            <w:pPr>
              <w:jc w:val="right"/>
              <w:rPr>
                <w:rFonts w:eastAsia="Times New Roman" w:cstheme="minorHAnsi"/>
                <w:color w:val="000000"/>
                <w:sz w:val="20"/>
                <w:szCs w:val="20"/>
              </w:rPr>
            </w:pPr>
            <w:r w:rsidRPr="00730ECF">
              <w:rPr>
                <w:rFonts w:cstheme="minorHAnsi"/>
                <w:color w:val="000000"/>
                <w:sz w:val="20"/>
                <w:szCs w:val="20"/>
              </w:rPr>
              <w:t>-</w:t>
            </w:r>
          </w:p>
        </w:tc>
        <w:tc>
          <w:tcPr>
            <w:tcW w:w="1284" w:type="dxa"/>
            <w:tcBorders>
              <w:top w:val="nil"/>
              <w:left w:val="nil"/>
              <w:bottom w:val="nil"/>
              <w:right w:val="nil"/>
            </w:tcBorders>
            <w:noWrap/>
            <w:vAlign w:val="bottom"/>
            <w:hideMark/>
          </w:tcPr>
          <w:p w14:paraId="324FEB93" w14:textId="77777777" w:rsidR="002A66B3" w:rsidRPr="00730ECF" w:rsidRDefault="002A66B3" w:rsidP="002A66B3">
            <w:pPr>
              <w:jc w:val="right"/>
              <w:rPr>
                <w:rFonts w:eastAsia="Times New Roman" w:cstheme="minorHAnsi"/>
                <w:color w:val="000000"/>
                <w:sz w:val="20"/>
                <w:szCs w:val="20"/>
              </w:rPr>
            </w:pPr>
            <w:r w:rsidRPr="00730ECF">
              <w:rPr>
                <w:rFonts w:cstheme="minorHAnsi"/>
                <w:color w:val="000000"/>
                <w:sz w:val="20"/>
                <w:szCs w:val="20"/>
              </w:rPr>
              <w:t>26,734</w:t>
            </w:r>
          </w:p>
        </w:tc>
      </w:tr>
      <w:tr w:rsidR="002A66B3" w:rsidRPr="002A66B3" w14:paraId="2281F1D3" w14:textId="77777777" w:rsidTr="006F148D">
        <w:trPr>
          <w:trHeight w:val="300"/>
          <w:jc w:val="center"/>
        </w:trPr>
        <w:tc>
          <w:tcPr>
            <w:tcW w:w="3236" w:type="dxa"/>
            <w:tcBorders>
              <w:top w:val="nil"/>
              <w:left w:val="nil"/>
              <w:bottom w:val="nil"/>
              <w:right w:val="nil"/>
            </w:tcBorders>
            <w:shd w:val="clear" w:color="000000" w:fill="FFFFFF"/>
            <w:noWrap/>
            <w:vAlign w:val="bottom"/>
            <w:hideMark/>
          </w:tcPr>
          <w:p w14:paraId="7A4F5D3A" w14:textId="77777777" w:rsidR="002A66B3" w:rsidRPr="00730ECF" w:rsidRDefault="002A66B3" w:rsidP="00730ECF">
            <w:pPr>
              <w:ind w:left="255"/>
              <w:rPr>
                <w:rFonts w:cstheme="minorHAnsi"/>
                <w:color w:val="000000"/>
                <w:sz w:val="20"/>
                <w:szCs w:val="20"/>
              </w:rPr>
            </w:pPr>
            <w:r w:rsidRPr="00730ECF">
              <w:rPr>
                <w:rFonts w:cstheme="minorHAnsi"/>
                <w:color w:val="000000"/>
                <w:sz w:val="20"/>
                <w:szCs w:val="20"/>
              </w:rPr>
              <w:t>Management and general</w:t>
            </w:r>
          </w:p>
        </w:tc>
        <w:tc>
          <w:tcPr>
            <w:tcW w:w="1264" w:type="dxa"/>
            <w:tcBorders>
              <w:top w:val="nil"/>
              <w:left w:val="nil"/>
              <w:bottom w:val="nil"/>
              <w:right w:val="nil"/>
            </w:tcBorders>
            <w:shd w:val="clear" w:color="000000" w:fill="FFFFFF"/>
            <w:noWrap/>
            <w:vAlign w:val="bottom"/>
            <w:hideMark/>
          </w:tcPr>
          <w:p w14:paraId="51B8746D" w14:textId="77777777" w:rsidR="002A66B3" w:rsidRPr="00730ECF" w:rsidRDefault="002A66B3" w:rsidP="002A66B3">
            <w:pPr>
              <w:jc w:val="right"/>
              <w:rPr>
                <w:rFonts w:eastAsia="Times New Roman" w:cstheme="minorHAnsi"/>
                <w:sz w:val="20"/>
                <w:szCs w:val="20"/>
              </w:rPr>
            </w:pPr>
            <w:r w:rsidRPr="00730ECF">
              <w:rPr>
                <w:rFonts w:cstheme="minorHAnsi"/>
                <w:sz w:val="20"/>
                <w:szCs w:val="20"/>
              </w:rPr>
              <w:t>1,353</w:t>
            </w:r>
          </w:p>
        </w:tc>
        <w:tc>
          <w:tcPr>
            <w:tcW w:w="1206" w:type="dxa"/>
            <w:tcBorders>
              <w:top w:val="nil"/>
              <w:left w:val="nil"/>
              <w:bottom w:val="nil"/>
              <w:right w:val="nil"/>
            </w:tcBorders>
            <w:shd w:val="clear" w:color="000000" w:fill="FFFFFF"/>
            <w:noWrap/>
            <w:vAlign w:val="bottom"/>
            <w:hideMark/>
          </w:tcPr>
          <w:p w14:paraId="2C576B44" w14:textId="77777777" w:rsidR="002A66B3" w:rsidRPr="00730ECF" w:rsidRDefault="002A66B3" w:rsidP="002A66B3">
            <w:pPr>
              <w:jc w:val="right"/>
              <w:rPr>
                <w:rFonts w:eastAsia="Times New Roman" w:cstheme="minorHAnsi"/>
                <w:sz w:val="20"/>
                <w:szCs w:val="20"/>
              </w:rPr>
            </w:pPr>
            <w:r w:rsidRPr="00730ECF">
              <w:rPr>
                <w:rFonts w:cstheme="minorHAnsi"/>
                <w:sz w:val="20"/>
                <w:szCs w:val="20"/>
              </w:rPr>
              <w:t>-</w:t>
            </w:r>
          </w:p>
        </w:tc>
        <w:tc>
          <w:tcPr>
            <w:tcW w:w="1282" w:type="dxa"/>
            <w:tcBorders>
              <w:top w:val="nil"/>
              <w:left w:val="nil"/>
              <w:bottom w:val="nil"/>
              <w:right w:val="single" w:sz="8" w:space="0" w:color="000000"/>
            </w:tcBorders>
            <w:shd w:val="clear" w:color="000000" w:fill="FFFFFF"/>
            <w:noWrap/>
            <w:vAlign w:val="bottom"/>
            <w:hideMark/>
          </w:tcPr>
          <w:p w14:paraId="30BAD83C" w14:textId="77777777" w:rsidR="002A66B3" w:rsidRPr="00730ECF" w:rsidRDefault="002A66B3" w:rsidP="002A66B3">
            <w:pPr>
              <w:jc w:val="right"/>
              <w:rPr>
                <w:rFonts w:eastAsia="Times New Roman" w:cstheme="minorHAnsi"/>
                <w:sz w:val="20"/>
                <w:szCs w:val="20"/>
              </w:rPr>
            </w:pPr>
            <w:r w:rsidRPr="00730ECF">
              <w:rPr>
                <w:rFonts w:cstheme="minorHAnsi"/>
                <w:sz w:val="20"/>
                <w:szCs w:val="20"/>
              </w:rPr>
              <w:t>1,353</w:t>
            </w:r>
          </w:p>
        </w:tc>
        <w:tc>
          <w:tcPr>
            <w:tcW w:w="1202" w:type="dxa"/>
            <w:tcBorders>
              <w:top w:val="nil"/>
              <w:left w:val="single" w:sz="8" w:space="0" w:color="000000"/>
              <w:bottom w:val="nil"/>
              <w:right w:val="nil"/>
            </w:tcBorders>
            <w:shd w:val="clear" w:color="000000" w:fill="FFFFFF"/>
            <w:noWrap/>
            <w:vAlign w:val="bottom"/>
            <w:hideMark/>
          </w:tcPr>
          <w:p w14:paraId="0B06490C" w14:textId="77777777" w:rsidR="002A66B3" w:rsidRPr="00730ECF" w:rsidRDefault="002A66B3" w:rsidP="002A66B3">
            <w:pPr>
              <w:jc w:val="right"/>
              <w:rPr>
                <w:rFonts w:eastAsia="Times New Roman" w:cstheme="minorHAnsi"/>
                <w:sz w:val="20"/>
                <w:szCs w:val="20"/>
              </w:rPr>
            </w:pPr>
            <w:r w:rsidRPr="00730ECF">
              <w:rPr>
                <w:rFonts w:cstheme="minorHAnsi"/>
                <w:sz w:val="20"/>
                <w:szCs w:val="20"/>
              </w:rPr>
              <w:t>1,218</w:t>
            </w:r>
          </w:p>
        </w:tc>
        <w:tc>
          <w:tcPr>
            <w:tcW w:w="1206" w:type="dxa"/>
            <w:tcBorders>
              <w:top w:val="nil"/>
              <w:left w:val="nil"/>
              <w:bottom w:val="nil"/>
              <w:right w:val="nil"/>
            </w:tcBorders>
            <w:noWrap/>
            <w:vAlign w:val="bottom"/>
            <w:hideMark/>
          </w:tcPr>
          <w:p w14:paraId="0B2CFD45" w14:textId="77777777" w:rsidR="002A66B3" w:rsidRPr="00730ECF" w:rsidRDefault="002A66B3" w:rsidP="002A66B3">
            <w:pPr>
              <w:jc w:val="right"/>
              <w:rPr>
                <w:rFonts w:eastAsia="Times New Roman" w:cstheme="minorHAnsi"/>
                <w:color w:val="000000"/>
                <w:sz w:val="20"/>
                <w:szCs w:val="20"/>
              </w:rPr>
            </w:pPr>
            <w:r w:rsidRPr="00730ECF">
              <w:rPr>
                <w:rFonts w:cstheme="minorHAnsi"/>
                <w:color w:val="000000"/>
                <w:sz w:val="20"/>
                <w:szCs w:val="20"/>
              </w:rPr>
              <w:t>-</w:t>
            </w:r>
          </w:p>
        </w:tc>
        <w:tc>
          <w:tcPr>
            <w:tcW w:w="1284" w:type="dxa"/>
            <w:tcBorders>
              <w:top w:val="nil"/>
              <w:left w:val="nil"/>
              <w:bottom w:val="nil"/>
              <w:right w:val="nil"/>
            </w:tcBorders>
            <w:noWrap/>
            <w:vAlign w:val="bottom"/>
            <w:hideMark/>
          </w:tcPr>
          <w:p w14:paraId="57FD047A" w14:textId="77777777" w:rsidR="002A66B3" w:rsidRPr="00730ECF" w:rsidRDefault="002A66B3" w:rsidP="002A66B3">
            <w:pPr>
              <w:jc w:val="right"/>
              <w:rPr>
                <w:rFonts w:eastAsia="Times New Roman" w:cstheme="minorHAnsi"/>
                <w:color w:val="000000"/>
                <w:sz w:val="20"/>
                <w:szCs w:val="20"/>
              </w:rPr>
            </w:pPr>
            <w:r w:rsidRPr="00730ECF">
              <w:rPr>
                <w:rFonts w:cstheme="minorHAnsi"/>
                <w:color w:val="000000"/>
                <w:sz w:val="20"/>
                <w:szCs w:val="20"/>
              </w:rPr>
              <w:t>1,218</w:t>
            </w:r>
          </w:p>
        </w:tc>
      </w:tr>
      <w:tr w:rsidR="002A66B3" w:rsidRPr="002A66B3" w14:paraId="4270A920" w14:textId="77777777" w:rsidTr="006F148D">
        <w:trPr>
          <w:trHeight w:val="300"/>
          <w:jc w:val="center"/>
        </w:trPr>
        <w:tc>
          <w:tcPr>
            <w:tcW w:w="3236" w:type="dxa"/>
            <w:tcBorders>
              <w:top w:val="nil"/>
              <w:left w:val="nil"/>
              <w:bottom w:val="nil"/>
              <w:right w:val="nil"/>
            </w:tcBorders>
            <w:shd w:val="clear" w:color="000000" w:fill="FFFFFF"/>
            <w:noWrap/>
            <w:vAlign w:val="bottom"/>
            <w:hideMark/>
          </w:tcPr>
          <w:p w14:paraId="711BDF4C" w14:textId="77777777" w:rsidR="002A66B3" w:rsidRPr="00730ECF" w:rsidRDefault="002A66B3" w:rsidP="00730ECF">
            <w:pPr>
              <w:ind w:left="255"/>
              <w:rPr>
                <w:rFonts w:cstheme="minorHAnsi"/>
                <w:color w:val="000000"/>
                <w:sz w:val="20"/>
                <w:szCs w:val="20"/>
              </w:rPr>
            </w:pPr>
            <w:r w:rsidRPr="00730ECF">
              <w:rPr>
                <w:rFonts w:cstheme="minorHAnsi"/>
                <w:color w:val="000000"/>
                <w:sz w:val="20"/>
                <w:szCs w:val="20"/>
              </w:rPr>
              <w:t>Fundraising</w:t>
            </w:r>
          </w:p>
        </w:tc>
        <w:tc>
          <w:tcPr>
            <w:tcW w:w="1264" w:type="dxa"/>
            <w:tcBorders>
              <w:top w:val="nil"/>
              <w:left w:val="nil"/>
              <w:bottom w:val="nil"/>
              <w:right w:val="nil"/>
            </w:tcBorders>
            <w:shd w:val="clear" w:color="000000" w:fill="FFFFFF"/>
            <w:noWrap/>
            <w:vAlign w:val="bottom"/>
            <w:hideMark/>
          </w:tcPr>
          <w:p w14:paraId="55526324" w14:textId="77777777" w:rsidR="002A66B3" w:rsidRPr="00730ECF" w:rsidRDefault="002A66B3" w:rsidP="002A66B3">
            <w:pPr>
              <w:jc w:val="right"/>
              <w:rPr>
                <w:rFonts w:eastAsia="Times New Roman" w:cstheme="minorHAnsi"/>
                <w:sz w:val="20"/>
                <w:szCs w:val="20"/>
              </w:rPr>
            </w:pPr>
            <w:r w:rsidRPr="00730ECF">
              <w:rPr>
                <w:rFonts w:cstheme="minorHAnsi"/>
                <w:sz w:val="20"/>
                <w:szCs w:val="20"/>
              </w:rPr>
              <w:t>4,130</w:t>
            </w:r>
          </w:p>
        </w:tc>
        <w:tc>
          <w:tcPr>
            <w:tcW w:w="1206" w:type="dxa"/>
            <w:tcBorders>
              <w:top w:val="nil"/>
              <w:left w:val="nil"/>
              <w:bottom w:val="nil"/>
              <w:right w:val="nil"/>
            </w:tcBorders>
            <w:shd w:val="clear" w:color="000000" w:fill="FFFFFF"/>
            <w:noWrap/>
            <w:vAlign w:val="bottom"/>
            <w:hideMark/>
          </w:tcPr>
          <w:p w14:paraId="54B231B8" w14:textId="77777777" w:rsidR="002A66B3" w:rsidRPr="00730ECF" w:rsidRDefault="002A66B3" w:rsidP="002A66B3">
            <w:pPr>
              <w:jc w:val="right"/>
              <w:rPr>
                <w:rFonts w:eastAsia="Times New Roman" w:cstheme="minorHAnsi"/>
                <w:sz w:val="20"/>
                <w:szCs w:val="20"/>
              </w:rPr>
            </w:pPr>
            <w:r w:rsidRPr="00730ECF">
              <w:rPr>
                <w:rFonts w:cstheme="minorHAnsi"/>
                <w:sz w:val="20"/>
                <w:szCs w:val="20"/>
              </w:rPr>
              <w:t>-</w:t>
            </w:r>
          </w:p>
        </w:tc>
        <w:tc>
          <w:tcPr>
            <w:tcW w:w="1282" w:type="dxa"/>
            <w:tcBorders>
              <w:top w:val="nil"/>
              <w:left w:val="nil"/>
              <w:bottom w:val="nil"/>
              <w:right w:val="single" w:sz="8" w:space="0" w:color="000000"/>
            </w:tcBorders>
            <w:shd w:val="clear" w:color="000000" w:fill="FFFFFF"/>
            <w:noWrap/>
            <w:vAlign w:val="bottom"/>
            <w:hideMark/>
          </w:tcPr>
          <w:p w14:paraId="532A5149" w14:textId="77777777" w:rsidR="002A66B3" w:rsidRPr="00730ECF" w:rsidRDefault="002A66B3" w:rsidP="002A66B3">
            <w:pPr>
              <w:jc w:val="right"/>
              <w:rPr>
                <w:rFonts w:eastAsia="Times New Roman" w:cstheme="minorHAnsi"/>
                <w:sz w:val="20"/>
                <w:szCs w:val="20"/>
              </w:rPr>
            </w:pPr>
            <w:r w:rsidRPr="00730ECF">
              <w:rPr>
                <w:rFonts w:cstheme="minorHAnsi"/>
                <w:sz w:val="20"/>
                <w:szCs w:val="20"/>
              </w:rPr>
              <w:t>4,130</w:t>
            </w:r>
          </w:p>
        </w:tc>
        <w:tc>
          <w:tcPr>
            <w:tcW w:w="1202" w:type="dxa"/>
            <w:tcBorders>
              <w:top w:val="nil"/>
              <w:left w:val="single" w:sz="8" w:space="0" w:color="000000"/>
              <w:bottom w:val="nil"/>
              <w:right w:val="nil"/>
            </w:tcBorders>
            <w:shd w:val="clear" w:color="000000" w:fill="FFFFFF"/>
            <w:noWrap/>
            <w:vAlign w:val="bottom"/>
            <w:hideMark/>
          </w:tcPr>
          <w:p w14:paraId="197D3783" w14:textId="77777777" w:rsidR="002A66B3" w:rsidRPr="00730ECF" w:rsidRDefault="002A66B3" w:rsidP="002A66B3">
            <w:pPr>
              <w:jc w:val="right"/>
              <w:rPr>
                <w:rFonts w:eastAsia="Times New Roman" w:cstheme="minorHAnsi"/>
                <w:sz w:val="20"/>
                <w:szCs w:val="20"/>
              </w:rPr>
            </w:pPr>
            <w:r w:rsidRPr="00730ECF">
              <w:rPr>
                <w:rFonts w:cstheme="minorHAnsi"/>
                <w:sz w:val="20"/>
                <w:szCs w:val="20"/>
              </w:rPr>
              <w:t>3,864</w:t>
            </w:r>
          </w:p>
        </w:tc>
        <w:tc>
          <w:tcPr>
            <w:tcW w:w="1206" w:type="dxa"/>
            <w:tcBorders>
              <w:top w:val="nil"/>
              <w:left w:val="nil"/>
              <w:bottom w:val="nil"/>
              <w:right w:val="nil"/>
            </w:tcBorders>
            <w:noWrap/>
            <w:vAlign w:val="bottom"/>
            <w:hideMark/>
          </w:tcPr>
          <w:p w14:paraId="73C755D5" w14:textId="77777777" w:rsidR="002A66B3" w:rsidRPr="00730ECF" w:rsidRDefault="002A66B3" w:rsidP="002A66B3">
            <w:pPr>
              <w:jc w:val="right"/>
              <w:rPr>
                <w:rFonts w:eastAsia="Times New Roman" w:cstheme="minorHAnsi"/>
                <w:color w:val="000000"/>
                <w:sz w:val="20"/>
                <w:szCs w:val="20"/>
              </w:rPr>
            </w:pPr>
            <w:r w:rsidRPr="00730ECF">
              <w:rPr>
                <w:rFonts w:cstheme="minorHAnsi"/>
                <w:color w:val="000000"/>
                <w:sz w:val="20"/>
                <w:szCs w:val="20"/>
              </w:rPr>
              <w:t>-</w:t>
            </w:r>
          </w:p>
        </w:tc>
        <w:tc>
          <w:tcPr>
            <w:tcW w:w="1284" w:type="dxa"/>
            <w:tcBorders>
              <w:top w:val="nil"/>
              <w:left w:val="nil"/>
              <w:bottom w:val="nil"/>
              <w:right w:val="nil"/>
            </w:tcBorders>
            <w:noWrap/>
            <w:vAlign w:val="bottom"/>
            <w:hideMark/>
          </w:tcPr>
          <w:p w14:paraId="4134C3E4" w14:textId="77777777" w:rsidR="002A66B3" w:rsidRPr="00730ECF" w:rsidRDefault="002A66B3" w:rsidP="002A66B3">
            <w:pPr>
              <w:jc w:val="right"/>
              <w:rPr>
                <w:rFonts w:eastAsia="Times New Roman" w:cstheme="minorHAnsi"/>
                <w:color w:val="000000"/>
                <w:sz w:val="20"/>
                <w:szCs w:val="20"/>
              </w:rPr>
            </w:pPr>
            <w:r w:rsidRPr="00730ECF">
              <w:rPr>
                <w:rFonts w:cstheme="minorHAnsi"/>
                <w:color w:val="000000"/>
                <w:sz w:val="20"/>
                <w:szCs w:val="20"/>
              </w:rPr>
              <w:t>3,864</w:t>
            </w:r>
          </w:p>
        </w:tc>
      </w:tr>
      <w:tr w:rsidR="002A66B3" w:rsidRPr="002A66B3" w14:paraId="027FC4BF" w14:textId="77777777" w:rsidTr="006F148D">
        <w:trPr>
          <w:trHeight w:val="300"/>
          <w:jc w:val="center"/>
        </w:trPr>
        <w:tc>
          <w:tcPr>
            <w:tcW w:w="3236" w:type="dxa"/>
            <w:tcBorders>
              <w:top w:val="single" w:sz="4" w:space="0" w:color="000000"/>
              <w:left w:val="nil"/>
              <w:bottom w:val="single" w:sz="4" w:space="0" w:color="000000"/>
              <w:right w:val="nil"/>
            </w:tcBorders>
            <w:shd w:val="clear" w:color="000000" w:fill="FFFFFF"/>
            <w:noWrap/>
            <w:vAlign w:val="bottom"/>
            <w:hideMark/>
          </w:tcPr>
          <w:p w14:paraId="1799136B" w14:textId="77777777" w:rsidR="002A66B3" w:rsidRPr="00730ECF" w:rsidRDefault="002A66B3" w:rsidP="00730ECF">
            <w:pPr>
              <w:ind w:left="255"/>
              <w:rPr>
                <w:rFonts w:cstheme="minorHAnsi"/>
                <w:b/>
                <w:bCs/>
                <w:color w:val="000000"/>
                <w:sz w:val="20"/>
                <w:szCs w:val="20"/>
              </w:rPr>
            </w:pPr>
            <w:r w:rsidRPr="00730ECF">
              <w:rPr>
                <w:rFonts w:cstheme="minorHAnsi"/>
                <w:b/>
                <w:bCs/>
                <w:color w:val="000000"/>
                <w:sz w:val="20"/>
                <w:szCs w:val="20"/>
              </w:rPr>
              <w:t>Total Expenses</w:t>
            </w:r>
          </w:p>
        </w:tc>
        <w:tc>
          <w:tcPr>
            <w:tcW w:w="1264" w:type="dxa"/>
            <w:tcBorders>
              <w:top w:val="single" w:sz="4" w:space="0" w:color="000000"/>
              <w:left w:val="nil"/>
              <w:bottom w:val="single" w:sz="4" w:space="0" w:color="000000"/>
              <w:right w:val="nil"/>
            </w:tcBorders>
            <w:shd w:val="clear" w:color="000000" w:fill="FFFFFF"/>
            <w:noWrap/>
            <w:vAlign w:val="bottom"/>
            <w:hideMark/>
          </w:tcPr>
          <w:p w14:paraId="668AB4E1" w14:textId="77777777" w:rsidR="002A66B3" w:rsidRPr="00730ECF" w:rsidRDefault="002A66B3" w:rsidP="002A66B3">
            <w:pPr>
              <w:jc w:val="right"/>
              <w:rPr>
                <w:rFonts w:eastAsia="Times New Roman" w:cstheme="minorHAnsi"/>
                <w:sz w:val="20"/>
                <w:szCs w:val="20"/>
              </w:rPr>
            </w:pPr>
            <w:r w:rsidRPr="00730ECF">
              <w:rPr>
                <w:rFonts w:cstheme="minorHAnsi"/>
                <w:sz w:val="20"/>
                <w:szCs w:val="20"/>
              </w:rPr>
              <w:t>29,779</w:t>
            </w:r>
          </w:p>
        </w:tc>
        <w:tc>
          <w:tcPr>
            <w:tcW w:w="1206" w:type="dxa"/>
            <w:tcBorders>
              <w:top w:val="single" w:sz="4" w:space="0" w:color="000000"/>
              <w:left w:val="nil"/>
              <w:bottom w:val="single" w:sz="4" w:space="0" w:color="000000"/>
              <w:right w:val="nil"/>
            </w:tcBorders>
            <w:shd w:val="clear" w:color="000000" w:fill="FFFFFF"/>
            <w:noWrap/>
            <w:vAlign w:val="bottom"/>
            <w:hideMark/>
          </w:tcPr>
          <w:p w14:paraId="724A00BD" w14:textId="77777777" w:rsidR="002A66B3" w:rsidRPr="00730ECF" w:rsidRDefault="002A66B3" w:rsidP="002A66B3">
            <w:pPr>
              <w:jc w:val="right"/>
              <w:rPr>
                <w:rFonts w:eastAsia="Times New Roman" w:cstheme="minorHAnsi"/>
                <w:sz w:val="20"/>
                <w:szCs w:val="20"/>
              </w:rPr>
            </w:pPr>
            <w:r w:rsidRPr="00730ECF">
              <w:rPr>
                <w:rFonts w:cstheme="minorHAnsi"/>
                <w:sz w:val="20"/>
                <w:szCs w:val="20"/>
              </w:rPr>
              <w:t>-</w:t>
            </w:r>
          </w:p>
        </w:tc>
        <w:tc>
          <w:tcPr>
            <w:tcW w:w="1282" w:type="dxa"/>
            <w:tcBorders>
              <w:top w:val="single" w:sz="4" w:space="0" w:color="000000"/>
              <w:left w:val="nil"/>
              <w:bottom w:val="single" w:sz="4" w:space="0" w:color="000000"/>
              <w:right w:val="single" w:sz="8" w:space="0" w:color="000000"/>
            </w:tcBorders>
            <w:shd w:val="clear" w:color="000000" w:fill="FFFFFF"/>
            <w:noWrap/>
            <w:vAlign w:val="bottom"/>
            <w:hideMark/>
          </w:tcPr>
          <w:p w14:paraId="1C0B4D2C" w14:textId="77777777" w:rsidR="002A66B3" w:rsidRPr="00730ECF" w:rsidRDefault="002A66B3" w:rsidP="002A66B3">
            <w:pPr>
              <w:jc w:val="right"/>
              <w:rPr>
                <w:rFonts w:eastAsia="Times New Roman" w:cstheme="minorHAnsi"/>
                <w:sz w:val="20"/>
                <w:szCs w:val="20"/>
              </w:rPr>
            </w:pPr>
            <w:r w:rsidRPr="00730ECF">
              <w:rPr>
                <w:rFonts w:cstheme="minorHAnsi"/>
                <w:sz w:val="20"/>
                <w:szCs w:val="20"/>
              </w:rPr>
              <w:t>29,779</w:t>
            </w:r>
          </w:p>
        </w:tc>
        <w:tc>
          <w:tcPr>
            <w:tcW w:w="1202" w:type="dxa"/>
            <w:tcBorders>
              <w:top w:val="single" w:sz="4" w:space="0" w:color="000000"/>
              <w:left w:val="single" w:sz="8" w:space="0" w:color="000000"/>
              <w:bottom w:val="single" w:sz="4" w:space="0" w:color="000000"/>
              <w:right w:val="nil"/>
            </w:tcBorders>
            <w:noWrap/>
            <w:vAlign w:val="bottom"/>
            <w:hideMark/>
          </w:tcPr>
          <w:p w14:paraId="789C43DC" w14:textId="77777777" w:rsidR="002A66B3" w:rsidRPr="00730ECF" w:rsidRDefault="002A66B3" w:rsidP="002A66B3">
            <w:pPr>
              <w:jc w:val="right"/>
              <w:rPr>
                <w:rFonts w:eastAsia="Times New Roman" w:cstheme="minorHAnsi"/>
                <w:color w:val="000000"/>
                <w:sz w:val="20"/>
                <w:szCs w:val="20"/>
              </w:rPr>
            </w:pPr>
            <w:r w:rsidRPr="00730ECF">
              <w:rPr>
                <w:rFonts w:cstheme="minorHAnsi"/>
                <w:color w:val="000000"/>
                <w:sz w:val="20"/>
                <w:szCs w:val="20"/>
              </w:rPr>
              <w:t>31,816</w:t>
            </w:r>
          </w:p>
        </w:tc>
        <w:tc>
          <w:tcPr>
            <w:tcW w:w="1206" w:type="dxa"/>
            <w:tcBorders>
              <w:top w:val="single" w:sz="4" w:space="0" w:color="000000"/>
              <w:left w:val="nil"/>
              <w:bottom w:val="single" w:sz="4" w:space="0" w:color="000000"/>
              <w:right w:val="nil"/>
            </w:tcBorders>
            <w:noWrap/>
            <w:vAlign w:val="bottom"/>
            <w:hideMark/>
          </w:tcPr>
          <w:p w14:paraId="1DE43593" w14:textId="77777777" w:rsidR="002A66B3" w:rsidRPr="00730ECF" w:rsidRDefault="002A66B3" w:rsidP="002A66B3">
            <w:pPr>
              <w:jc w:val="right"/>
              <w:rPr>
                <w:rFonts w:eastAsia="Times New Roman" w:cstheme="minorHAnsi"/>
                <w:color w:val="000000"/>
                <w:sz w:val="20"/>
                <w:szCs w:val="20"/>
              </w:rPr>
            </w:pPr>
            <w:r w:rsidRPr="00730ECF">
              <w:rPr>
                <w:rFonts w:cstheme="minorHAnsi"/>
                <w:color w:val="000000"/>
                <w:sz w:val="20"/>
                <w:szCs w:val="20"/>
              </w:rPr>
              <w:t>-</w:t>
            </w:r>
          </w:p>
        </w:tc>
        <w:tc>
          <w:tcPr>
            <w:tcW w:w="1284" w:type="dxa"/>
            <w:tcBorders>
              <w:top w:val="single" w:sz="4" w:space="0" w:color="000000"/>
              <w:left w:val="nil"/>
              <w:bottom w:val="single" w:sz="4" w:space="0" w:color="000000"/>
              <w:right w:val="nil"/>
            </w:tcBorders>
            <w:noWrap/>
            <w:vAlign w:val="bottom"/>
            <w:hideMark/>
          </w:tcPr>
          <w:p w14:paraId="56E81C8C" w14:textId="77777777" w:rsidR="002A66B3" w:rsidRPr="00730ECF" w:rsidRDefault="002A66B3" w:rsidP="002A66B3">
            <w:pPr>
              <w:jc w:val="right"/>
              <w:rPr>
                <w:rFonts w:eastAsia="Times New Roman" w:cstheme="minorHAnsi"/>
                <w:color w:val="000000"/>
                <w:sz w:val="20"/>
                <w:szCs w:val="20"/>
              </w:rPr>
            </w:pPr>
            <w:r w:rsidRPr="00730ECF">
              <w:rPr>
                <w:rFonts w:cstheme="minorHAnsi"/>
                <w:color w:val="000000"/>
                <w:sz w:val="20"/>
                <w:szCs w:val="20"/>
              </w:rPr>
              <w:t>31,816</w:t>
            </w:r>
          </w:p>
        </w:tc>
      </w:tr>
      <w:tr w:rsidR="002A66B3" w:rsidRPr="002A66B3" w14:paraId="41B528D1" w14:textId="77777777" w:rsidTr="006F148D">
        <w:trPr>
          <w:trHeight w:val="300"/>
          <w:jc w:val="center"/>
        </w:trPr>
        <w:tc>
          <w:tcPr>
            <w:tcW w:w="3236" w:type="dxa"/>
            <w:tcBorders>
              <w:top w:val="nil"/>
              <w:left w:val="nil"/>
              <w:bottom w:val="nil"/>
              <w:right w:val="nil"/>
            </w:tcBorders>
            <w:shd w:val="clear" w:color="000000" w:fill="FFFFFF"/>
            <w:noWrap/>
            <w:vAlign w:val="bottom"/>
            <w:hideMark/>
          </w:tcPr>
          <w:p w14:paraId="78B9C5DC" w14:textId="77777777" w:rsidR="002A66B3" w:rsidRPr="00730ECF" w:rsidRDefault="002A66B3" w:rsidP="00730ECF">
            <w:pPr>
              <w:ind w:left="255"/>
              <w:rPr>
                <w:rFonts w:cstheme="minorHAnsi"/>
                <w:b/>
                <w:bCs/>
                <w:color w:val="000000"/>
                <w:sz w:val="20"/>
                <w:szCs w:val="20"/>
              </w:rPr>
            </w:pPr>
            <w:r w:rsidRPr="00730ECF">
              <w:rPr>
                <w:rFonts w:cstheme="minorHAnsi"/>
                <w:b/>
                <w:bCs/>
                <w:color w:val="000000"/>
                <w:sz w:val="20"/>
                <w:szCs w:val="20"/>
              </w:rPr>
              <w:t>Change in Net Assets</w:t>
            </w:r>
          </w:p>
        </w:tc>
        <w:tc>
          <w:tcPr>
            <w:tcW w:w="1264" w:type="dxa"/>
            <w:tcBorders>
              <w:top w:val="nil"/>
              <w:left w:val="nil"/>
              <w:bottom w:val="nil"/>
              <w:right w:val="nil"/>
            </w:tcBorders>
            <w:shd w:val="clear" w:color="000000" w:fill="FFFFFF"/>
            <w:noWrap/>
            <w:vAlign w:val="bottom"/>
            <w:hideMark/>
          </w:tcPr>
          <w:p w14:paraId="09E88768" w14:textId="77777777" w:rsidR="002A66B3" w:rsidRPr="00730ECF" w:rsidRDefault="002A66B3" w:rsidP="002A66B3">
            <w:pPr>
              <w:jc w:val="right"/>
              <w:rPr>
                <w:rFonts w:eastAsia="Times New Roman" w:cstheme="minorHAnsi"/>
                <w:sz w:val="20"/>
                <w:szCs w:val="20"/>
              </w:rPr>
            </w:pPr>
            <w:r w:rsidRPr="00730ECF">
              <w:rPr>
                <w:rFonts w:cstheme="minorHAnsi"/>
                <w:sz w:val="20"/>
                <w:szCs w:val="20"/>
              </w:rPr>
              <w:t>1,212</w:t>
            </w:r>
          </w:p>
        </w:tc>
        <w:tc>
          <w:tcPr>
            <w:tcW w:w="1206" w:type="dxa"/>
            <w:tcBorders>
              <w:top w:val="nil"/>
              <w:left w:val="nil"/>
              <w:bottom w:val="nil"/>
              <w:right w:val="nil"/>
            </w:tcBorders>
            <w:shd w:val="clear" w:color="000000" w:fill="FFFFFF"/>
            <w:noWrap/>
            <w:vAlign w:val="bottom"/>
            <w:hideMark/>
          </w:tcPr>
          <w:p w14:paraId="389F4546" w14:textId="497B1B37" w:rsidR="002A66B3" w:rsidRPr="00730ECF" w:rsidRDefault="003E46D5" w:rsidP="002A66B3">
            <w:pPr>
              <w:jc w:val="right"/>
              <w:rPr>
                <w:rFonts w:eastAsia="Times New Roman" w:cstheme="minorHAnsi"/>
                <w:sz w:val="20"/>
                <w:szCs w:val="20"/>
              </w:rPr>
            </w:pPr>
            <w:r>
              <w:rPr>
                <w:rFonts w:cstheme="minorHAnsi"/>
                <w:sz w:val="20"/>
                <w:szCs w:val="20"/>
              </w:rPr>
              <w:t>67,375</w:t>
            </w:r>
          </w:p>
        </w:tc>
        <w:tc>
          <w:tcPr>
            <w:tcW w:w="1282" w:type="dxa"/>
            <w:tcBorders>
              <w:top w:val="nil"/>
              <w:left w:val="nil"/>
              <w:bottom w:val="nil"/>
              <w:right w:val="single" w:sz="8" w:space="0" w:color="000000"/>
            </w:tcBorders>
            <w:shd w:val="clear" w:color="000000" w:fill="FFFFFF"/>
            <w:noWrap/>
            <w:vAlign w:val="bottom"/>
            <w:hideMark/>
          </w:tcPr>
          <w:p w14:paraId="51315383" w14:textId="12CFDBE2" w:rsidR="002A66B3" w:rsidRPr="00730ECF" w:rsidRDefault="003E46D5" w:rsidP="002A66B3">
            <w:pPr>
              <w:jc w:val="right"/>
              <w:rPr>
                <w:rFonts w:eastAsia="Times New Roman" w:cstheme="minorHAnsi"/>
                <w:sz w:val="20"/>
                <w:szCs w:val="20"/>
              </w:rPr>
            </w:pPr>
            <w:r>
              <w:rPr>
                <w:rFonts w:cstheme="minorHAnsi"/>
                <w:sz w:val="20"/>
                <w:szCs w:val="20"/>
              </w:rPr>
              <w:t>68,587</w:t>
            </w:r>
          </w:p>
        </w:tc>
        <w:tc>
          <w:tcPr>
            <w:tcW w:w="1202" w:type="dxa"/>
            <w:tcBorders>
              <w:top w:val="nil"/>
              <w:left w:val="single" w:sz="8" w:space="0" w:color="000000"/>
              <w:bottom w:val="nil"/>
              <w:right w:val="nil"/>
            </w:tcBorders>
            <w:shd w:val="clear" w:color="000000" w:fill="FFFFFF"/>
            <w:noWrap/>
            <w:vAlign w:val="bottom"/>
            <w:hideMark/>
          </w:tcPr>
          <w:p w14:paraId="6C5DB48F" w14:textId="77777777" w:rsidR="002A66B3" w:rsidRPr="00730ECF" w:rsidRDefault="002A66B3" w:rsidP="002A66B3">
            <w:pPr>
              <w:jc w:val="right"/>
              <w:rPr>
                <w:rFonts w:eastAsia="Times New Roman" w:cstheme="minorHAnsi"/>
                <w:sz w:val="20"/>
                <w:szCs w:val="20"/>
              </w:rPr>
            </w:pPr>
            <w:r w:rsidRPr="00730ECF">
              <w:rPr>
                <w:rFonts w:cstheme="minorHAnsi"/>
                <w:sz w:val="20"/>
                <w:szCs w:val="20"/>
              </w:rPr>
              <w:t>1,136</w:t>
            </w:r>
          </w:p>
        </w:tc>
        <w:tc>
          <w:tcPr>
            <w:tcW w:w="1206" w:type="dxa"/>
            <w:tcBorders>
              <w:top w:val="nil"/>
              <w:left w:val="nil"/>
              <w:bottom w:val="nil"/>
              <w:right w:val="nil"/>
            </w:tcBorders>
            <w:shd w:val="clear" w:color="000000" w:fill="FFFFFF"/>
            <w:noWrap/>
            <w:vAlign w:val="bottom"/>
            <w:hideMark/>
          </w:tcPr>
          <w:p w14:paraId="61E4C856" w14:textId="77777777" w:rsidR="002A66B3" w:rsidRPr="00730ECF" w:rsidRDefault="002A66B3" w:rsidP="002A66B3">
            <w:pPr>
              <w:jc w:val="right"/>
              <w:rPr>
                <w:rFonts w:eastAsia="Times New Roman" w:cstheme="minorHAnsi"/>
                <w:sz w:val="20"/>
                <w:szCs w:val="20"/>
              </w:rPr>
            </w:pPr>
            <w:r w:rsidRPr="00730ECF">
              <w:rPr>
                <w:rFonts w:cstheme="minorHAnsi"/>
                <w:sz w:val="20"/>
                <w:szCs w:val="20"/>
              </w:rPr>
              <w:t>60,496</w:t>
            </w:r>
          </w:p>
        </w:tc>
        <w:tc>
          <w:tcPr>
            <w:tcW w:w="1284" w:type="dxa"/>
            <w:tcBorders>
              <w:top w:val="nil"/>
              <w:left w:val="nil"/>
              <w:bottom w:val="nil"/>
              <w:right w:val="nil"/>
            </w:tcBorders>
            <w:noWrap/>
            <w:vAlign w:val="bottom"/>
            <w:hideMark/>
          </w:tcPr>
          <w:p w14:paraId="20E664C9" w14:textId="77777777" w:rsidR="002A66B3" w:rsidRPr="00730ECF" w:rsidRDefault="002A66B3" w:rsidP="002A66B3">
            <w:pPr>
              <w:jc w:val="right"/>
              <w:rPr>
                <w:rFonts w:eastAsia="Times New Roman" w:cstheme="minorHAnsi"/>
                <w:color w:val="000000"/>
                <w:sz w:val="20"/>
                <w:szCs w:val="20"/>
              </w:rPr>
            </w:pPr>
            <w:r w:rsidRPr="00730ECF">
              <w:rPr>
                <w:rFonts w:cstheme="minorHAnsi"/>
                <w:color w:val="000000"/>
                <w:sz w:val="20"/>
                <w:szCs w:val="20"/>
              </w:rPr>
              <w:t>61,632</w:t>
            </w:r>
          </w:p>
        </w:tc>
      </w:tr>
      <w:tr w:rsidR="002A66B3" w:rsidRPr="002A66B3" w14:paraId="3E205FEB" w14:textId="77777777" w:rsidTr="006F148D">
        <w:trPr>
          <w:trHeight w:val="300"/>
          <w:jc w:val="center"/>
        </w:trPr>
        <w:tc>
          <w:tcPr>
            <w:tcW w:w="3236" w:type="dxa"/>
            <w:tcBorders>
              <w:top w:val="nil"/>
              <w:left w:val="nil"/>
              <w:bottom w:val="nil"/>
              <w:right w:val="nil"/>
            </w:tcBorders>
            <w:shd w:val="clear" w:color="000000" w:fill="FFFFFF"/>
            <w:noWrap/>
            <w:vAlign w:val="bottom"/>
            <w:hideMark/>
          </w:tcPr>
          <w:p w14:paraId="5DEBC3CC" w14:textId="77777777" w:rsidR="002A66B3" w:rsidRPr="00730ECF" w:rsidRDefault="002A66B3" w:rsidP="00730ECF">
            <w:pPr>
              <w:ind w:left="255"/>
              <w:rPr>
                <w:rFonts w:cstheme="minorHAnsi"/>
                <w:b/>
                <w:bCs/>
                <w:color w:val="000000"/>
                <w:sz w:val="20"/>
                <w:szCs w:val="20"/>
              </w:rPr>
            </w:pPr>
            <w:r w:rsidRPr="00730ECF">
              <w:rPr>
                <w:rFonts w:cstheme="minorHAnsi"/>
                <w:b/>
                <w:bCs/>
                <w:color w:val="000000"/>
                <w:sz w:val="20"/>
                <w:szCs w:val="20"/>
              </w:rPr>
              <w:t>Net Assets - Beginning of Year</w:t>
            </w:r>
          </w:p>
        </w:tc>
        <w:tc>
          <w:tcPr>
            <w:tcW w:w="1264" w:type="dxa"/>
            <w:tcBorders>
              <w:top w:val="nil"/>
              <w:left w:val="nil"/>
              <w:bottom w:val="nil"/>
              <w:right w:val="nil"/>
            </w:tcBorders>
            <w:shd w:val="clear" w:color="000000" w:fill="FFFFFF"/>
            <w:noWrap/>
            <w:vAlign w:val="bottom"/>
            <w:hideMark/>
          </w:tcPr>
          <w:p w14:paraId="38C35C33" w14:textId="77777777" w:rsidR="002A66B3" w:rsidRPr="00730ECF" w:rsidRDefault="002A66B3" w:rsidP="002A66B3">
            <w:pPr>
              <w:jc w:val="right"/>
              <w:rPr>
                <w:rFonts w:eastAsia="Times New Roman" w:cstheme="minorHAnsi"/>
                <w:sz w:val="20"/>
                <w:szCs w:val="20"/>
              </w:rPr>
            </w:pPr>
            <w:r w:rsidRPr="00730ECF">
              <w:rPr>
                <w:rFonts w:cstheme="minorHAnsi"/>
                <w:sz w:val="20"/>
                <w:szCs w:val="20"/>
              </w:rPr>
              <w:t>18,110</w:t>
            </w:r>
          </w:p>
        </w:tc>
        <w:tc>
          <w:tcPr>
            <w:tcW w:w="1206" w:type="dxa"/>
            <w:tcBorders>
              <w:top w:val="nil"/>
              <w:left w:val="nil"/>
              <w:bottom w:val="nil"/>
              <w:right w:val="nil"/>
            </w:tcBorders>
            <w:shd w:val="clear" w:color="000000" w:fill="FFFFFF"/>
            <w:noWrap/>
            <w:vAlign w:val="bottom"/>
            <w:hideMark/>
          </w:tcPr>
          <w:p w14:paraId="39B4EA5E" w14:textId="77777777" w:rsidR="002A66B3" w:rsidRPr="00730ECF" w:rsidRDefault="002A66B3" w:rsidP="002A66B3">
            <w:pPr>
              <w:jc w:val="right"/>
              <w:rPr>
                <w:rFonts w:eastAsia="Times New Roman" w:cstheme="minorHAnsi"/>
                <w:sz w:val="20"/>
                <w:szCs w:val="20"/>
              </w:rPr>
            </w:pPr>
            <w:r w:rsidRPr="00730ECF">
              <w:rPr>
                <w:rFonts w:cstheme="minorHAnsi"/>
                <w:sz w:val="20"/>
                <w:szCs w:val="20"/>
              </w:rPr>
              <w:t>360,396</w:t>
            </w:r>
          </w:p>
        </w:tc>
        <w:tc>
          <w:tcPr>
            <w:tcW w:w="1282" w:type="dxa"/>
            <w:tcBorders>
              <w:top w:val="nil"/>
              <w:left w:val="nil"/>
              <w:bottom w:val="nil"/>
              <w:right w:val="single" w:sz="8" w:space="0" w:color="000000"/>
            </w:tcBorders>
            <w:shd w:val="clear" w:color="000000" w:fill="FFFFFF"/>
            <w:noWrap/>
            <w:vAlign w:val="bottom"/>
            <w:hideMark/>
          </w:tcPr>
          <w:p w14:paraId="6C8FE9D1" w14:textId="77777777" w:rsidR="002A66B3" w:rsidRPr="00730ECF" w:rsidRDefault="002A66B3" w:rsidP="002A66B3">
            <w:pPr>
              <w:jc w:val="right"/>
              <w:rPr>
                <w:rFonts w:eastAsia="Times New Roman" w:cstheme="minorHAnsi"/>
                <w:sz w:val="20"/>
                <w:szCs w:val="20"/>
              </w:rPr>
            </w:pPr>
            <w:r w:rsidRPr="00730ECF">
              <w:rPr>
                <w:rFonts w:cstheme="minorHAnsi"/>
                <w:sz w:val="20"/>
                <w:szCs w:val="20"/>
              </w:rPr>
              <w:t>378,506</w:t>
            </w:r>
          </w:p>
        </w:tc>
        <w:tc>
          <w:tcPr>
            <w:tcW w:w="1202" w:type="dxa"/>
            <w:tcBorders>
              <w:top w:val="nil"/>
              <w:left w:val="single" w:sz="8" w:space="0" w:color="000000"/>
              <w:bottom w:val="nil"/>
              <w:right w:val="nil"/>
            </w:tcBorders>
            <w:shd w:val="clear" w:color="000000" w:fill="FFFFFF"/>
            <w:noWrap/>
            <w:vAlign w:val="bottom"/>
            <w:hideMark/>
          </w:tcPr>
          <w:p w14:paraId="6809F6AD" w14:textId="77777777" w:rsidR="002A66B3" w:rsidRPr="00730ECF" w:rsidRDefault="002A66B3" w:rsidP="002A66B3">
            <w:pPr>
              <w:jc w:val="right"/>
              <w:rPr>
                <w:rFonts w:eastAsia="Times New Roman" w:cstheme="minorHAnsi"/>
                <w:sz w:val="20"/>
                <w:szCs w:val="20"/>
              </w:rPr>
            </w:pPr>
            <w:r w:rsidRPr="00730ECF">
              <w:rPr>
                <w:rFonts w:cstheme="minorHAnsi"/>
                <w:sz w:val="20"/>
                <w:szCs w:val="20"/>
              </w:rPr>
              <w:t>16,974</w:t>
            </w:r>
          </w:p>
        </w:tc>
        <w:tc>
          <w:tcPr>
            <w:tcW w:w="1206" w:type="dxa"/>
            <w:tcBorders>
              <w:top w:val="nil"/>
              <w:left w:val="nil"/>
              <w:bottom w:val="nil"/>
              <w:right w:val="nil"/>
            </w:tcBorders>
            <w:shd w:val="clear" w:color="000000" w:fill="FFFFFF"/>
            <w:noWrap/>
            <w:vAlign w:val="bottom"/>
            <w:hideMark/>
          </w:tcPr>
          <w:p w14:paraId="61493F82" w14:textId="77777777" w:rsidR="002A66B3" w:rsidRPr="00730ECF" w:rsidRDefault="002A66B3" w:rsidP="002A66B3">
            <w:pPr>
              <w:jc w:val="right"/>
              <w:rPr>
                <w:rFonts w:eastAsia="Times New Roman" w:cstheme="minorHAnsi"/>
                <w:sz w:val="20"/>
                <w:szCs w:val="20"/>
              </w:rPr>
            </w:pPr>
            <w:r w:rsidRPr="00730ECF">
              <w:rPr>
                <w:rFonts w:cstheme="minorHAnsi"/>
                <w:sz w:val="20"/>
                <w:szCs w:val="20"/>
              </w:rPr>
              <w:t>299,900</w:t>
            </w:r>
          </w:p>
        </w:tc>
        <w:tc>
          <w:tcPr>
            <w:tcW w:w="1284" w:type="dxa"/>
            <w:tcBorders>
              <w:top w:val="nil"/>
              <w:left w:val="nil"/>
              <w:bottom w:val="nil"/>
              <w:right w:val="nil"/>
            </w:tcBorders>
            <w:noWrap/>
            <w:vAlign w:val="bottom"/>
            <w:hideMark/>
          </w:tcPr>
          <w:p w14:paraId="5216574F" w14:textId="77777777" w:rsidR="002A66B3" w:rsidRPr="00730ECF" w:rsidRDefault="002A66B3" w:rsidP="002A66B3">
            <w:pPr>
              <w:jc w:val="right"/>
              <w:rPr>
                <w:rFonts w:eastAsia="Times New Roman" w:cstheme="minorHAnsi"/>
                <w:color w:val="000000"/>
                <w:sz w:val="20"/>
                <w:szCs w:val="20"/>
              </w:rPr>
            </w:pPr>
            <w:r w:rsidRPr="00730ECF">
              <w:rPr>
                <w:rFonts w:cstheme="minorHAnsi"/>
                <w:color w:val="000000"/>
                <w:sz w:val="20"/>
                <w:szCs w:val="20"/>
              </w:rPr>
              <w:t>316,874</w:t>
            </w:r>
          </w:p>
        </w:tc>
      </w:tr>
      <w:tr w:rsidR="002A66B3" w:rsidRPr="002A66B3" w14:paraId="3DD7A5CD" w14:textId="77777777" w:rsidTr="006F148D">
        <w:trPr>
          <w:trHeight w:val="315"/>
          <w:jc w:val="center"/>
        </w:trPr>
        <w:tc>
          <w:tcPr>
            <w:tcW w:w="3236" w:type="dxa"/>
            <w:tcBorders>
              <w:top w:val="single" w:sz="4" w:space="0" w:color="000000"/>
              <w:left w:val="nil"/>
              <w:bottom w:val="double" w:sz="6" w:space="0" w:color="000000"/>
              <w:right w:val="nil"/>
            </w:tcBorders>
            <w:shd w:val="clear" w:color="000000" w:fill="FFFFFF"/>
            <w:noWrap/>
            <w:vAlign w:val="bottom"/>
            <w:hideMark/>
          </w:tcPr>
          <w:p w14:paraId="7B0C9BA0" w14:textId="77777777" w:rsidR="002A66B3" w:rsidRPr="00730ECF" w:rsidRDefault="002A66B3" w:rsidP="00730ECF">
            <w:pPr>
              <w:ind w:left="255"/>
              <w:rPr>
                <w:rFonts w:cstheme="minorHAnsi"/>
                <w:b/>
                <w:bCs/>
                <w:color w:val="000000"/>
                <w:sz w:val="20"/>
                <w:szCs w:val="20"/>
              </w:rPr>
            </w:pPr>
            <w:r w:rsidRPr="00730ECF">
              <w:rPr>
                <w:rFonts w:cstheme="minorHAnsi"/>
                <w:b/>
                <w:bCs/>
                <w:color w:val="000000"/>
                <w:sz w:val="20"/>
                <w:szCs w:val="20"/>
              </w:rPr>
              <w:t>Net Assets - End of Year</w:t>
            </w:r>
          </w:p>
        </w:tc>
        <w:tc>
          <w:tcPr>
            <w:tcW w:w="1264" w:type="dxa"/>
            <w:tcBorders>
              <w:top w:val="single" w:sz="4" w:space="0" w:color="000000"/>
              <w:left w:val="nil"/>
              <w:bottom w:val="double" w:sz="6" w:space="0" w:color="000000"/>
              <w:right w:val="nil"/>
            </w:tcBorders>
            <w:shd w:val="clear" w:color="000000" w:fill="FFFFFF"/>
            <w:noWrap/>
            <w:vAlign w:val="bottom"/>
            <w:hideMark/>
          </w:tcPr>
          <w:p w14:paraId="2DBB407D" w14:textId="77777777" w:rsidR="002A66B3" w:rsidRPr="00730ECF" w:rsidRDefault="002A66B3" w:rsidP="002A66B3">
            <w:pPr>
              <w:jc w:val="right"/>
              <w:rPr>
                <w:rFonts w:eastAsia="Times New Roman" w:cstheme="minorHAnsi"/>
                <w:sz w:val="20"/>
                <w:szCs w:val="20"/>
              </w:rPr>
            </w:pPr>
            <w:r w:rsidRPr="00730ECF">
              <w:rPr>
                <w:rFonts w:cstheme="minorHAnsi"/>
                <w:sz w:val="20"/>
                <w:szCs w:val="20"/>
              </w:rPr>
              <w:t>$   19,322</w:t>
            </w:r>
          </w:p>
        </w:tc>
        <w:tc>
          <w:tcPr>
            <w:tcW w:w="1206" w:type="dxa"/>
            <w:tcBorders>
              <w:top w:val="single" w:sz="4" w:space="0" w:color="000000"/>
              <w:left w:val="nil"/>
              <w:bottom w:val="double" w:sz="6" w:space="0" w:color="000000"/>
              <w:right w:val="nil"/>
            </w:tcBorders>
            <w:shd w:val="clear" w:color="000000" w:fill="FFFFFF"/>
            <w:noWrap/>
            <w:vAlign w:val="bottom"/>
            <w:hideMark/>
          </w:tcPr>
          <w:p w14:paraId="03A5BC87" w14:textId="4B332AD8" w:rsidR="002A66B3" w:rsidRPr="00730ECF" w:rsidRDefault="002A66B3" w:rsidP="002A66B3">
            <w:pPr>
              <w:jc w:val="right"/>
              <w:rPr>
                <w:rFonts w:eastAsia="Times New Roman" w:cstheme="minorHAnsi"/>
                <w:sz w:val="20"/>
                <w:szCs w:val="20"/>
              </w:rPr>
            </w:pPr>
            <w:r w:rsidRPr="00730ECF">
              <w:rPr>
                <w:rFonts w:cstheme="minorHAnsi"/>
                <w:sz w:val="20"/>
                <w:szCs w:val="20"/>
              </w:rPr>
              <w:t>$     427,</w:t>
            </w:r>
            <w:r w:rsidR="00AF6690">
              <w:rPr>
                <w:rFonts w:cstheme="minorHAnsi"/>
                <w:sz w:val="20"/>
                <w:szCs w:val="20"/>
              </w:rPr>
              <w:t>771</w:t>
            </w:r>
          </w:p>
        </w:tc>
        <w:tc>
          <w:tcPr>
            <w:tcW w:w="1282" w:type="dxa"/>
            <w:tcBorders>
              <w:top w:val="single" w:sz="4" w:space="0" w:color="000000"/>
              <w:left w:val="nil"/>
              <w:bottom w:val="double" w:sz="6" w:space="0" w:color="000000"/>
              <w:right w:val="single" w:sz="8" w:space="0" w:color="000000"/>
            </w:tcBorders>
            <w:shd w:val="clear" w:color="000000" w:fill="FFFFFF"/>
            <w:noWrap/>
            <w:vAlign w:val="bottom"/>
            <w:hideMark/>
          </w:tcPr>
          <w:p w14:paraId="083E349A" w14:textId="04FF6DB9" w:rsidR="002A66B3" w:rsidRPr="00730ECF" w:rsidRDefault="002A66B3" w:rsidP="002A66B3">
            <w:pPr>
              <w:jc w:val="right"/>
              <w:rPr>
                <w:rFonts w:eastAsia="Times New Roman" w:cstheme="minorHAnsi"/>
                <w:sz w:val="20"/>
                <w:szCs w:val="20"/>
              </w:rPr>
            </w:pPr>
            <w:r w:rsidRPr="00730ECF">
              <w:rPr>
                <w:rFonts w:cstheme="minorHAnsi"/>
                <w:sz w:val="20"/>
                <w:szCs w:val="20"/>
              </w:rPr>
              <w:t>$     44</w:t>
            </w:r>
            <w:r w:rsidR="00AF6690">
              <w:rPr>
                <w:rFonts w:cstheme="minorHAnsi"/>
                <w:sz w:val="20"/>
                <w:szCs w:val="20"/>
              </w:rPr>
              <w:t>7,093</w:t>
            </w:r>
          </w:p>
        </w:tc>
        <w:tc>
          <w:tcPr>
            <w:tcW w:w="1202" w:type="dxa"/>
            <w:tcBorders>
              <w:top w:val="single" w:sz="4" w:space="0" w:color="000000"/>
              <w:left w:val="single" w:sz="8" w:space="0" w:color="000000"/>
              <w:bottom w:val="double" w:sz="6" w:space="0" w:color="000000"/>
              <w:right w:val="nil"/>
            </w:tcBorders>
            <w:noWrap/>
            <w:vAlign w:val="bottom"/>
            <w:hideMark/>
          </w:tcPr>
          <w:p w14:paraId="5574BC34" w14:textId="77777777" w:rsidR="002A66B3" w:rsidRPr="00730ECF" w:rsidRDefault="002A66B3" w:rsidP="002A66B3">
            <w:pPr>
              <w:jc w:val="right"/>
              <w:rPr>
                <w:rFonts w:eastAsia="Times New Roman" w:cstheme="minorHAnsi"/>
                <w:color w:val="000000"/>
                <w:sz w:val="20"/>
                <w:szCs w:val="20"/>
              </w:rPr>
            </w:pPr>
            <w:r w:rsidRPr="00730ECF">
              <w:rPr>
                <w:rFonts w:cstheme="minorHAnsi"/>
                <w:color w:val="000000"/>
                <w:sz w:val="20"/>
                <w:szCs w:val="20"/>
              </w:rPr>
              <w:t>$   18,110</w:t>
            </w:r>
          </w:p>
        </w:tc>
        <w:tc>
          <w:tcPr>
            <w:tcW w:w="1206" w:type="dxa"/>
            <w:tcBorders>
              <w:top w:val="single" w:sz="4" w:space="0" w:color="000000"/>
              <w:left w:val="nil"/>
              <w:bottom w:val="double" w:sz="6" w:space="0" w:color="000000"/>
              <w:right w:val="nil"/>
            </w:tcBorders>
            <w:noWrap/>
            <w:vAlign w:val="bottom"/>
            <w:hideMark/>
          </w:tcPr>
          <w:p w14:paraId="7A6502EF" w14:textId="77777777" w:rsidR="002A66B3" w:rsidRPr="00730ECF" w:rsidRDefault="002A66B3" w:rsidP="002A66B3">
            <w:pPr>
              <w:jc w:val="right"/>
              <w:rPr>
                <w:rFonts w:eastAsia="Times New Roman" w:cstheme="minorHAnsi"/>
                <w:color w:val="000000"/>
                <w:sz w:val="20"/>
                <w:szCs w:val="20"/>
              </w:rPr>
            </w:pPr>
            <w:r w:rsidRPr="00730ECF">
              <w:rPr>
                <w:rFonts w:cstheme="minorHAnsi"/>
                <w:color w:val="000000"/>
                <w:sz w:val="20"/>
                <w:szCs w:val="20"/>
              </w:rPr>
              <w:t>$     360,396</w:t>
            </w:r>
          </w:p>
        </w:tc>
        <w:tc>
          <w:tcPr>
            <w:tcW w:w="1284" w:type="dxa"/>
            <w:tcBorders>
              <w:top w:val="single" w:sz="4" w:space="0" w:color="000000"/>
              <w:left w:val="nil"/>
              <w:bottom w:val="double" w:sz="6" w:space="0" w:color="000000"/>
              <w:right w:val="nil"/>
            </w:tcBorders>
            <w:noWrap/>
            <w:vAlign w:val="bottom"/>
            <w:hideMark/>
          </w:tcPr>
          <w:p w14:paraId="102E882F" w14:textId="77777777" w:rsidR="002A66B3" w:rsidRPr="00730ECF" w:rsidRDefault="002A66B3" w:rsidP="002A66B3">
            <w:pPr>
              <w:jc w:val="right"/>
              <w:rPr>
                <w:rFonts w:eastAsia="Times New Roman" w:cstheme="minorHAnsi"/>
                <w:color w:val="000000"/>
                <w:sz w:val="20"/>
                <w:szCs w:val="20"/>
              </w:rPr>
            </w:pPr>
            <w:r w:rsidRPr="00730ECF">
              <w:rPr>
                <w:rFonts w:cstheme="minorHAnsi"/>
                <w:color w:val="000000"/>
                <w:sz w:val="20"/>
                <w:szCs w:val="20"/>
              </w:rPr>
              <w:t>$     378,506</w:t>
            </w:r>
          </w:p>
        </w:tc>
      </w:tr>
    </w:tbl>
    <w:p w14:paraId="65CC0865" w14:textId="77777777" w:rsidR="002A66B3" w:rsidRPr="002A66B3" w:rsidRDefault="002A66B3" w:rsidP="00730ECF">
      <w:pPr>
        <w:spacing w:before="120" w:line="259" w:lineRule="auto"/>
        <w:jc w:val="center"/>
        <w:rPr>
          <w:rFonts w:cstheme="minorHAnsi"/>
        </w:rPr>
      </w:pPr>
      <w:r w:rsidRPr="002A66B3">
        <w:rPr>
          <w:rFonts w:cstheme="minorHAnsi"/>
          <w:sz w:val="20"/>
        </w:rPr>
        <w:t>See accompanying notes to the basic financial statements.</w:t>
      </w:r>
      <w:r w:rsidRPr="002A66B3">
        <w:rPr>
          <w:rFonts w:cstheme="minorHAnsi"/>
        </w:rPr>
        <w:br w:type="page"/>
      </w:r>
    </w:p>
    <w:p w14:paraId="5F6AECEC" w14:textId="77777777" w:rsidR="002A66B3" w:rsidRPr="002A66B3" w:rsidRDefault="002A66B3" w:rsidP="00730ECF">
      <w:pPr>
        <w:rPr>
          <w:rFonts w:cstheme="minorHAnsi"/>
          <w:b/>
          <w:i/>
          <w:sz w:val="26"/>
          <w:szCs w:val="26"/>
        </w:rPr>
      </w:pPr>
      <w:r w:rsidRPr="002A66B3">
        <w:rPr>
          <w:rFonts w:cstheme="minorHAnsi"/>
          <w:b/>
          <w:i/>
          <w:sz w:val="26"/>
          <w:szCs w:val="26"/>
        </w:rPr>
        <w:lastRenderedPageBreak/>
        <w:t>UNIVERSITY OF MAINE SYSTEM</w:t>
      </w:r>
    </w:p>
    <w:p w14:paraId="240FF898" w14:textId="77777777" w:rsidR="002A66B3" w:rsidRPr="00730ECF" w:rsidRDefault="002A66B3" w:rsidP="00730ECF">
      <w:pPr>
        <w:keepNext/>
        <w:pBdr>
          <w:bottom w:val="single" w:sz="18" w:space="1" w:color="00688D"/>
        </w:pBdr>
        <w:suppressAutoHyphens/>
        <w:outlineLvl w:val="0"/>
        <w:rPr>
          <w:rFonts w:cstheme="minorHAnsi"/>
          <w:b/>
          <w:i/>
          <w:caps/>
          <w:color w:val="000000"/>
          <w:spacing w:val="-3"/>
          <w:sz w:val="26"/>
          <w:szCs w:val="26"/>
        </w:rPr>
      </w:pPr>
      <w:bookmarkStart w:id="10" w:name="CF1"/>
      <w:r w:rsidRPr="00730ECF">
        <w:rPr>
          <w:rFonts w:cstheme="minorHAnsi"/>
          <w:b/>
          <w:i/>
          <w:caps/>
          <w:color w:val="000000"/>
          <w:spacing w:val="-3"/>
          <w:sz w:val="26"/>
          <w:szCs w:val="26"/>
        </w:rPr>
        <w:t xml:space="preserve">Statements </w:t>
      </w:r>
      <w:r w:rsidRPr="00730ECF">
        <w:rPr>
          <w:rFonts w:cstheme="minorHAnsi"/>
          <w:b/>
          <w:i/>
          <w:caps/>
          <w:spacing w:val="-3"/>
          <w:sz w:val="26"/>
          <w:szCs w:val="26"/>
        </w:rPr>
        <w:t>of Cash Flows</w:t>
      </w:r>
    </w:p>
    <w:bookmarkEnd w:id="10"/>
    <w:p w14:paraId="13C0B76A" w14:textId="77777777" w:rsidR="002A66B3" w:rsidRPr="00730ECF" w:rsidRDefault="002A66B3" w:rsidP="006743EC">
      <w:pPr>
        <w:keepNext/>
        <w:pBdr>
          <w:bottom w:val="single" w:sz="18" w:space="1" w:color="00688D"/>
        </w:pBdr>
        <w:suppressAutoHyphens/>
        <w:spacing w:after="120"/>
        <w:outlineLvl w:val="0"/>
        <w:rPr>
          <w:rFonts w:cstheme="minorHAnsi"/>
          <w:b/>
          <w:i/>
          <w:caps/>
          <w:color w:val="000000"/>
          <w:spacing w:val="-3"/>
        </w:rPr>
      </w:pPr>
      <w:r w:rsidRPr="00730ECF">
        <w:rPr>
          <w:rFonts w:cstheme="minorHAnsi"/>
          <w:b/>
          <w:i/>
          <w:caps/>
          <w:color w:val="000000"/>
          <w:spacing w:val="-3"/>
          <w:sz w:val="26"/>
          <w:szCs w:val="26"/>
        </w:rPr>
        <w:t xml:space="preserve">Years Ended June 30, 2025 and 2024 </w:t>
      </w:r>
      <w:r w:rsidRPr="00730ECF">
        <w:rPr>
          <w:rFonts w:cstheme="minorHAnsi"/>
          <w:b/>
          <w:i/>
          <w:caps/>
          <w:color w:val="000000"/>
          <w:spacing w:val="-3"/>
        </w:rPr>
        <w:t>(in thousands)</w:t>
      </w:r>
    </w:p>
    <w:tbl>
      <w:tblPr>
        <w:tblW w:w="9487" w:type="dxa"/>
        <w:jc w:val="center"/>
        <w:tblLook w:val="04A0" w:firstRow="1" w:lastRow="0" w:firstColumn="1" w:lastColumn="0" w:noHBand="0" w:noVBand="1"/>
      </w:tblPr>
      <w:tblGrid>
        <w:gridCol w:w="6750"/>
        <w:gridCol w:w="1440"/>
        <w:gridCol w:w="1297"/>
      </w:tblGrid>
      <w:tr w:rsidR="002A66B3" w:rsidRPr="002A66B3" w14:paraId="4AADEAD3" w14:textId="77777777" w:rsidTr="00730ECF">
        <w:trPr>
          <w:trHeight w:val="315"/>
          <w:jc w:val="center"/>
        </w:trPr>
        <w:tc>
          <w:tcPr>
            <w:tcW w:w="6750" w:type="dxa"/>
            <w:tcBorders>
              <w:top w:val="nil"/>
              <w:left w:val="nil"/>
              <w:bottom w:val="single" w:sz="12" w:space="0" w:color="000000"/>
              <w:right w:val="nil"/>
            </w:tcBorders>
            <w:shd w:val="clear" w:color="000000" w:fill="FFFFFF"/>
            <w:noWrap/>
            <w:vAlign w:val="bottom"/>
            <w:hideMark/>
          </w:tcPr>
          <w:p w14:paraId="634908F7" w14:textId="597107A8" w:rsidR="002A66B3" w:rsidRPr="00730ECF" w:rsidRDefault="002A66B3" w:rsidP="002A66B3">
            <w:pPr>
              <w:rPr>
                <w:rFonts w:cstheme="minorHAnsi"/>
                <w:b/>
                <w:bCs/>
                <w:color w:val="000000"/>
              </w:rPr>
            </w:pPr>
          </w:p>
        </w:tc>
        <w:tc>
          <w:tcPr>
            <w:tcW w:w="1440" w:type="dxa"/>
            <w:tcBorders>
              <w:top w:val="nil"/>
              <w:left w:val="nil"/>
              <w:bottom w:val="single" w:sz="12" w:space="0" w:color="000000"/>
              <w:right w:val="nil"/>
            </w:tcBorders>
            <w:shd w:val="clear" w:color="000000" w:fill="FFFFFF"/>
            <w:noWrap/>
            <w:vAlign w:val="bottom"/>
            <w:hideMark/>
          </w:tcPr>
          <w:p w14:paraId="03E9D310" w14:textId="77777777" w:rsidR="002A66B3" w:rsidRPr="00730ECF" w:rsidRDefault="002A66B3" w:rsidP="002A66B3">
            <w:pPr>
              <w:jc w:val="center"/>
              <w:rPr>
                <w:rFonts w:cstheme="minorHAnsi"/>
                <w:b/>
                <w:bCs/>
              </w:rPr>
            </w:pPr>
            <w:r w:rsidRPr="00730ECF">
              <w:rPr>
                <w:rFonts w:cstheme="minorHAnsi"/>
                <w:b/>
                <w:bCs/>
              </w:rPr>
              <w:t>2025</w:t>
            </w:r>
          </w:p>
        </w:tc>
        <w:tc>
          <w:tcPr>
            <w:tcW w:w="1297" w:type="dxa"/>
            <w:tcBorders>
              <w:top w:val="nil"/>
              <w:left w:val="nil"/>
              <w:bottom w:val="single" w:sz="12" w:space="0" w:color="000000"/>
              <w:right w:val="nil"/>
            </w:tcBorders>
            <w:shd w:val="clear" w:color="000000" w:fill="FFFFFF"/>
            <w:vAlign w:val="bottom"/>
            <w:hideMark/>
          </w:tcPr>
          <w:p w14:paraId="3C52AC6F" w14:textId="0AA462ED" w:rsidR="002A66B3" w:rsidRPr="00730ECF" w:rsidRDefault="002A66B3" w:rsidP="002A66B3">
            <w:pPr>
              <w:jc w:val="center"/>
              <w:rPr>
                <w:rFonts w:cstheme="minorHAnsi"/>
                <w:b/>
                <w:bCs/>
                <w:color w:val="000000"/>
              </w:rPr>
            </w:pPr>
            <w:r w:rsidRPr="00730ECF">
              <w:rPr>
                <w:rFonts w:cstheme="minorHAnsi"/>
                <w:b/>
                <w:bCs/>
                <w:color w:val="000000"/>
              </w:rPr>
              <w:t>2024</w:t>
            </w:r>
            <w:r w:rsidR="009A0088">
              <w:rPr>
                <w:rFonts w:cstheme="minorHAnsi"/>
                <w:b/>
                <w:bCs/>
                <w:color w:val="000000"/>
              </w:rPr>
              <w:t xml:space="preserve"> Restated</w:t>
            </w:r>
          </w:p>
        </w:tc>
      </w:tr>
      <w:tr w:rsidR="002A66B3" w:rsidRPr="002A66B3" w14:paraId="059F0F4F" w14:textId="77777777" w:rsidTr="00730ECF">
        <w:trPr>
          <w:trHeight w:val="105"/>
          <w:jc w:val="center"/>
        </w:trPr>
        <w:tc>
          <w:tcPr>
            <w:tcW w:w="6750" w:type="dxa"/>
            <w:tcBorders>
              <w:top w:val="nil"/>
              <w:left w:val="nil"/>
              <w:bottom w:val="nil"/>
              <w:right w:val="nil"/>
            </w:tcBorders>
            <w:shd w:val="clear" w:color="000000" w:fill="FFFFFF"/>
            <w:noWrap/>
            <w:vAlign w:val="bottom"/>
            <w:hideMark/>
          </w:tcPr>
          <w:p w14:paraId="0D168BF4" w14:textId="77777777" w:rsidR="002A66B3" w:rsidRPr="00730ECF" w:rsidRDefault="002A66B3" w:rsidP="002A66B3">
            <w:pPr>
              <w:rPr>
                <w:rFonts w:cstheme="minorHAnsi"/>
                <w:b/>
                <w:bCs/>
                <w:color w:val="000000"/>
              </w:rPr>
            </w:pPr>
            <w:r w:rsidRPr="00730ECF">
              <w:rPr>
                <w:rFonts w:cstheme="minorHAnsi"/>
                <w:b/>
                <w:bCs/>
                <w:color w:val="000000"/>
              </w:rPr>
              <w:t>Cash Flows From Operating Activities</w:t>
            </w:r>
          </w:p>
        </w:tc>
        <w:tc>
          <w:tcPr>
            <w:tcW w:w="1440" w:type="dxa"/>
            <w:tcBorders>
              <w:top w:val="nil"/>
              <w:left w:val="nil"/>
              <w:bottom w:val="nil"/>
              <w:right w:val="nil"/>
            </w:tcBorders>
            <w:shd w:val="clear" w:color="000000" w:fill="FFFFFF"/>
            <w:noWrap/>
            <w:vAlign w:val="bottom"/>
            <w:hideMark/>
          </w:tcPr>
          <w:p w14:paraId="3503C750" w14:textId="35A4FBEC" w:rsidR="002A66B3" w:rsidRPr="00730ECF" w:rsidRDefault="002A66B3" w:rsidP="002A66B3">
            <w:pPr>
              <w:rPr>
                <w:rFonts w:cstheme="minorHAnsi"/>
                <w:color w:val="FF0000"/>
              </w:rPr>
            </w:pPr>
          </w:p>
        </w:tc>
        <w:tc>
          <w:tcPr>
            <w:tcW w:w="1297" w:type="dxa"/>
            <w:tcBorders>
              <w:top w:val="nil"/>
              <w:left w:val="nil"/>
              <w:bottom w:val="nil"/>
              <w:right w:val="nil"/>
            </w:tcBorders>
            <w:shd w:val="clear" w:color="000000" w:fill="FFFFFF"/>
            <w:noWrap/>
            <w:vAlign w:val="bottom"/>
            <w:hideMark/>
          </w:tcPr>
          <w:p w14:paraId="6D022053" w14:textId="4AA40CF9" w:rsidR="002A66B3" w:rsidRPr="00730ECF" w:rsidRDefault="002A66B3" w:rsidP="002A66B3">
            <w:pPr>
              <w:rPr>
                <w:rFonts w:cstheme="minorHAnsi"/>
                <w:color w:val="000000"/>
              </w:rPr>
            </w:pPr>
          </w:p>
        </w:tc>
      </w:tr>
      <w:tr w:rsidR="002A66B3" w:rsidRPr="002A66B3" w14:paraId="1E25CF08" w14:textId="77777777" w:rsidTr="00730ECF">
        <w:trPr>
          <w:trHeight w:val="80"/>
          <w:jc w:val="center"/>
        </w:trPr>
        <w:tc>
          <w:tcPr>
            <w:tcW w:w="6750" w:type="dxa"/>
            <w:tcBorders>
              <w:top w:val="nil"/>
              <w:left w:val="nil"/>
              <w:bottom w:val="nil"/>
              <w:right w:val="nil"/>
            </w:tcBorders>
            <w:shd w:val="clear" w:color="000000" w:fill="FFFFFF"/>
            <w:noWrap/>
            <w:vAlign w:val="bottom"/>
            <w:hideMark/>
          </w:tcPr>
          <w:p w14:paraId="421B069E" w14:textId="77777777" w:rsidR="002A66B3" w:rsidRPr="00730ECF" w:rsidRDefault="002A66B3" w:rsidP="00730ECF">
            <w:pPr>
              <w:ind w:left="255"/>
              <w:rPr>
                <w:rFonts w:cstheme="minorHAnsi"/>
                <w:color w:val="000000"/>
              </w:rPr>
            </w:pPr>
            <w:r w:rsidRPr="00730ECF">
              <w:rPr>
                <w:rFonts w:cstheme="minorHAnsi"/>
                <w:color w:val="000000"/>
              </w:rPr>
              <w:t>Tuition, residence, dining, and other student fees</w:t>
            </w:r>
          </w:p>
        </w:tc>
        <w:tc>
          <w:tcPr>
            <w:tcW w:w="1440" w:type="dxa"/>
            <w:tcBorders>
              <w:top w:val="nil"/>
              <w:left w:val="nil"/>
              <w:bottom w:val="nil"/>
              <w:right w:val="nil"/>
            </w:tcBorders>
            <w:shd w:val="clear" w:color="000000" w:fill="FFFFFF"/>
            <w:noWrap/>
            <w:hideMark/>
          </w:tcPr>
          <w:p w14:paraId="21D9A8BA" w14:textId="08C51911" w:rsidR="002A66B3" w:rsidRPr="00730ECF" w:rsidRDefault="002A66B3" w:rsidP="002A66B3">
            <w:pPr>
              <w:jc w:val="right"/>
              <w:rPr>
                <w:rFonts w:eastAsia="Times New Roman" w:cstheme="minorHAnsi"/>
                <w:color w:val="FF0000"/>
              </w:rPr>
            </w:pPr>
            <w:r w:rsidRPr="002A66B3">
              <w:rPr>
                <w:rFonts w:cstheme="minorHAnsi"/>
              </w:rPr>
              <w:t xml:space="preserve">$256,207 </w:t>
            </w:r>
          </w:p>
        </w:tc>
        <w:tc>
          <w:tcPr>
            <w:tcW w:w="1297" w:type="dxa"/>
            <w:tcBorders>
              <w:top w:val="nil"/>
              <w:left w:val="nil"/>
              <w:bottom w:val="nil"/>
              <w:right w:val="nil"/>
            </w:tcBorders>
            <w:shd w:val="clear" w:color="000000" w:fill="FFFFFF"/>
            <w:noWrap/>
            <w:hideMark/>
          </w:tcPr>
          <w:p w14:paraId="362AAC6E" w14:textId="20220AC4" w:rsidR="002A66B3" w:rsidRPr="00730ECF" w:rsidRDefault="002A66B3" w:rsidP="002A66B3">
            <w:pPr>
              <w:jc w:val="right"/>
              <w:rPr>
                <w:rFonts w:eastAsia="Times New Roman" w:cstheme="minorHAnsi"/>
                <w:color w:val="000000"/>
              </w:rPr>
            </w:pPr>
            <w:r w:rsidRPr="002A66B3">
              <w:rPr>
                <w:rFonts w:cstheme="minorHAnsi"/>
              </w:rPr>
              <w:t xml:space="preserve">$ 256,325 </w:t>
            </w:r>
          </w:p>
        </w:tc>
      </w:tr>
      <w:tr w:rsidR="002A66B3" w:rsidRPr="002A66B3" w14:paraId="577EF168" w14:textId="77777777" w:rsidTr="00730ECF">
        <w:trPr>
          <w:trHeight w:val="80"/>
          <w:jc w:val="center"/>
        </w:trPr>
        <w:tc>
          <w:tcPr>
            <w:tcW w:w="6750" w:type="dxa"/>
            <w:tcBorders>
              <w:top w:val="nil"/>
              <w:left w:val="nil"/>
              <w:bottom w:val="nil"/>
              <w:right w:val="nil"/>
            </w:tcBorders>
            <w:shd w:val="clear" w:color="000000" w:fill="FFFFFF"/>
            <w:noWrap/>
            <w:vAlign w:val="bottom"/>
            <w:hideMark/>
          </w:tcPr>
          <w:p w14:paraId="2B841BEE" w14:textId="77777777" w:rsidR="002A66B3" w:rsidRPr="00730ECF" w:rsidRDefault="002A66B3" w:rsidP="00730ECF">
            <w:pPr>
              <w:ind w:left="255"/>
              <w:rPr>
                <w:rFonts w:cstheme="minorHAnsi"/>
                <w:color w:val="000000"/>
              </w:rPr>
            </w:pPr>
            <w:r w:rsidRPr="00730ECF">
              <w:rPr>
                <w:rFonts w:cstheme="minorHAnsi"/>
                <w:color w:val="000000"/>
              </w:rPr>
              <w:t>Grants and contracts</w:t>
            </w:r>
          </w:p>
        </w:tc>
        <w:tc>
          <w:tcPr>
            <w:tcW w:w="1440" w:type="dxa"/>
            <w:tcBorders>
              <w:top w:val="nil"/>
              <w:left w:val="nil"/>
              <w:bottom w:val="nil"/>
              <w:right w:val="nil"/>
            </w:tcBorders>
            <w:shd w:val="clear" w:color="000000" w:fill="FFFFFF"/>
            <w:noWrap/>
            <w:hideMark/>
          </w:tcPr>
          <w:p w14:paraId="063051E1" w14:textId="5243EB82" w:rsidR="002A66B3" w:rsidRPr="00730ECF" w:rsidRDefault="002A66B3" w:rsidP="002A66B3">
            <w:pPr>
              <w:jc w:val="right"/>
              <w:rPr>
                <w:rFonts w:eastAsia="Times New Roman" w:cstheme="minorHAnsi"/>
                <w:color w:val="FF0000"/>
              </w:rPr>
            </w:pPr>
            <w:r w:rsidRPr="002A66B3">
              <w:rPr>
                <w:rFonts w:cstheme="minorHAnsi"/>
              </w:rPr>
              <w:t xml:space="preserve">222,811 </w:t>
            </w:r>
          </w:p>
        </w:tc>
        <w:tc>
          <w:tcPr>
            <w:tcW w:w="1297" w:type="dxa"/>
            <w:tcBorders>
              <w:top w:val="nil"/>
              <w:left w:val="nil"/>
              <w:bottom w:val="nil"/>
              <w:right w:val="nil"/>
            </w:tcBorders>
            <w:shd w:val="clear" w:color="000000" w:fill="FFFFFF"/>
            <w:noWrap/>
            <w:hideMark/>
          </w:tcPr>
          <w:p w14:paraId="06C1E51B" w14:textId="0A8F01FD" w:rsidR="002A66B3" w:rsidRPr="00730ECF" w:rsidRDefault="002A66B3" w:rsidP="002A66B3">
            <w:pPr>
              <w:jc w:val="right"/>
              <w:rPr>
                <w:rFonts w:eastAsia="Times New Roman" w:cstheme="minorHAnsi"/>
                <w:color w:val="000000"/>
              </w:rPr>
            </w:pPr>
            <w:r w:rsidRPr="002A66B3">
              <w:rPr>
                <w:rFonts w:cstheme="minorHAnsi"/>
              </w:rPr>
              <w:t xml:space="preserve">195,798 </w:t>
            </w:r>
          </w:p>
        </w:tc>
      </w:tr>
      <w:tr w:rsidR="002A66B3" w:rsidRPr="002A66B3" w14:paraId="0AB077D6" w14:textId="77777777" w:rsidTr="00730ECF">
        <w:trPr>
          <w:trHeight w:val="80"/>
          <w:jc w:val="center"/>
        </w:trPr>
        <w:tc>
          <w:tcPr>
            <w:tcW w:w="6750" w:type="dxa"/>
            <w:tcBorders>
              <w:top w:val="nil"/>
              <w:left w:val="nil"/>
              <w:bottom w:val="nil"/>
              <w:right w:val="nil"/>
            </w:tcBorders>
            <w:shd w:val="clear" w:color="000000" w:fill="FFFFFF"/>
            <w:vAlign w:val="bottom"/>
            <w:hideMark/>
          </w:tcPr>
          <w:p w14:paraId="3C001041" w14:textId="77777777" w:rsidR="002A66B3" w:rsidRPr="00730ECF" w:rsidRDefault="002A66B3" w:rsidP="00730ECF">
            <w:pPr>
              <w:ind w:left="255"/>
              <w:rPr>
                <w:rFonts w:cstheme="minorHAnsi"/>
                <w:color w:val="000000"/>
              </w:rPr>
            </w:pPr>
            <w:r w:rsidRPr="00730ECF">
              <w:rPr>
                <w:rFonts w:cstheme="minorHAnsi"/>
                <w:color w:val="000000"/>
              </w:rPr>
              <w:t>Educational sales and services and other auxiliary enterprise revenues</w:t>
            </w:r>
          </w:p>
        </w:tc>
        <w:tc>
          <w:tcPr>
            <w:tcW w:w="1440" w:type="dxa"/>
            <w:tcBorders>
              <w:top w:val="nil"/>
              <w:left w:val="nil"/>
              <w:bottom w:val="nil"/>
              <w:right w:val="nil"/>
            </w:tcBorders>
            <w:shd w:val="clear" w:color="000000" w:fill="FFFFFF"/>
            <w:noWrap/>
            <w:hideMark/>
          </w:tcPr>
          <w:p w14:paraId="697C4F8C" w14:textId="6F5DD9CF" w:rsidR="002A66B3" w:rsidRPr="00730ECF" w:rsidRDefault="002A66B3" w:rsidP="002A66B3">
            <w:pPr>
              <w:jc w:val="right"/>
              <w:rPr>
                <w:rFonts w:eastAsia="Times New Roman" w:cstheme="minorHAnsi"/>
                <w:color w:val="FF0000"/>
              </w:rPr>
            </w:pPr>
            <w:r w:rsidRPr="002A66B3">
              <w:rPr>
                <w:rFonts w:cstheme="minorHAnsi"/>
              </w:rPr>
              <w:t xml:space="preserve">55,674 </w:t>
            </w:r>
          </w:p>
        </w:tc>
        <w:tc>
          <w:tcPr>
            <w:tcW w:w="1297" w:type="dxa"/>
            <w:tcBorders>
              <w:top w:val="nil"/>
              <w:left w:val="nil"/>
              <w:bottom w:val="nil"/>
              <w:right w:val="nil"/>
            </w:tcBorders>
            <w:shd w:val="clear" w:color="000000" w:fill="FFFFFF"/>
            <w:noWrap/>
            <w:hideMark/>
          </w:tcPr>
          <w:p w14:paraId="6104A811" w14:textId="2EE9EBE3" w:rsidR="002A66B3" w:rsidRPr="00730ECF" w:rsidRDefault="002A66B3" w:rsidP="002A66B3">
            <w:pPr>
              <w:jc w:val="right"/>
              <w:rPr>
                <w:rFonts w:eastAsia="Times New Roman" w:cstheme="minorHAnsi"/>
              </w:rPr>
            </w:pPr>
            <w:r w:rsidRPr="002A66B3">
              <w:rPr>
                <w:rFonts w:cstheme="minorHAnsi"/>
              </w:rPr>
              <w:t xml:space="preserve">50,528 </w:t>
            </w:r>
          </w:p>
        </w:tc>
      </w:tr>
      <w:tr w:rsidR="002A66B3" w:rsidRPr="002A66B3" w14:paraId="5D6FF14D" w14:textId="77777777" w:rsidTr="00730ECF">
        <w:trPr>
          <w:trHeight w:val="80"/>
          <w:jc w:val="center"/>
        </w:trPr>
        <w:tc>
          <w:tcPr>
            <w:tcW w:w="6750" w:type="dxa"/>
            <w:tcBorders>
              <w:top w:val="nil"/>
              <w:left w:val="nil"/>
              <w:bottom w:val="nil"/>
              <w:right w:val="nil"/>
            </w:tcBorders>
            <w:shd w:val="clear" w:color="000000" w:fill="FFFFFF"/>
            <w:noWrap/>
            <w:vAlign w:val="bottom"/>
            <w:hideMark/>
          </w:tcPr>
          <w:p w14:paraId="2EF1F02F" w14:textId="77777777" w:rsidR="002A66B3" w:rsidRPr="00730ECF" w:rsidRDefault="002A66B3" w:rsidP="00730ECF">
            <w:pPr>
              <w:ind w:left="255"/>
              <w:rPr>
                <w:rFonts w:cstheme="minorHAnsi"/>
                <w:color w:val="000000"/>
              </w:rPr>
            </w:pPr>
            <w:r w:rsidRPr="00730ECF">
              <w:rPr>
                <w:rFonts w:cstheme="minorHAnsi"/>
                <w:color w:val="000000"/>
              </w:rPr>
              <w:t>Payments to and on behalf of employees</w:t>
            </w:r>
          </w:p>
        </w:tc>
        <w:tc>
          <w:tcPr>
            <w:tcW w:w="1440" w:type="dxa"/>
            <w:tcBorders>
              <w:top w:val="nil"/>
              <w:left w:val="nil"/>
              <w:bottom w:val="nil"/>
              <w:right w:val="nil"/>
            </w:tcBorders>
            <w:shd w:val="clear" w:color="000000" w:fill="FFFFFF"/>
            <w:noWrap/>
            <w:hideMark/>
          </w:tcPr>
          <w:p w14:paraId="129811B2" w14:textId="2E69070C" w:rsidR="002A66B3" w:rsidRPr="00730ECF" w:rsidRDefault="002A66B3" w:rsidP="002A66B3">
            <w:pPr>
              <w:jc w:val="right"/>
              <w:rPr>
                <w:rFonts w:eastAsia="Times New Roman" w:cstheme="minorHAnsi"/>
                <w:color w:val="FF0000"/>
              </w:rPr>
            </w:pPr>
            <w:r w:rsidRPr="002A66B3">
              <w:rPr>
                <w:rFonts w:cstheme="minorHAnsi"/>
              </w:rPr>
              <w:t>(570,670)</w:t>
            </w:r>
          </w:p>
        </w:tc>
        <w:tc>
          <w:tcPr>
            <w:tcW w:w="1297" w:type="dxa"/>
            <w:tcBorders>
              <w:top w:val="nil"/>
              <w:left w:val="nil"/>
              <w:bottom w:val="nil"/>
              <w:right w:val="nil"/>
            </w:tcBorders>
            <w:shd w:val="clear" w:color="000000" w:fill="FFFFFF"/>
            <w:noWrap/>
            <w:hideMark/>
          </w:tcPr>
          <w:p w14:paraId="6EEB8C3D" w14:textId="0D3E6909" w:rsidR="002A66B3" w:rsidRPr="00730ECF" w:rsidRDefault="002A66B3" w:rsidP="002A66B3">
            <w:pPr>
              <w:jc w:val="right"/>
              <w:rPr>
                <w:rFonts w:eastAsia="Times New Roman" w:cstheme="minorHAnsi"/>
              </w:rPr>
            </w:pPr>
            <w:r w:rsidRPr="002A66B3">
              <w:rPr>
                <w:rFonts w:cstheme="minorHAnsi"/>
              </w:rPr>
              <w:t>(540,192)</w:t>
            </w:r>
          </w:p>
        </w:tc>
      </w:tr>
      <w:tr w:rsidR="002A66B3" w:rsidRPr="002A66B3" w14:paraId="3D598CDD" w14:textId="77777777" w:rsidTr="00730ECF">
        <w:trPr>
          <w:trHeight w:val="80"/>
          <w:jc w:val="center"/>
        </w:trPr>
        <w:tc>
          <w:tcPr>
            <w:tcW w:w="6750" w:type="dxa"/>
            <w:tcBorders>
              <w:top w:val="nil"/>
              <w:left w:val="nil"/>
              <w:bottom w:val="nil"/>
              <w:right w:val="nil"/>
            </w:tcBorders>
            <w:shd w:val="clear" w:color="000000" w:fill="FFFFFF"/>
            <w:noWrap/>
            <w:vAlign w:val="bottom"/>
            <w:hideMark/>
          </w:tcPr>
          <w:p w14:paraId="2A88FB9A" w14:textId="77777777" w:rsidR="002A66B3" w:rsidRPr="00730ECF" w:rsidRDefault="002A66B3" w:rsidP="00730ECF">
            <w:pPr>
              <w:ind w:left="255"/>
              <w:rPr>
                <w:rFonts w:cstheme="minorHAnsi"/>
                <w:color w:val="000000"/>
              </w:rPr>
            </w:pPr>
            <w:r w:rsidRPr="00730ECF">
              <w:rPr>
                <w:rFonts w:cstheme="minorHAnsi"/>
                <w:color w:val="000000"/>
              </w:rPr>
              <w:t>Financial aid paid to students</w:t>
            </w:r>
          </w:p>
        </w:tc>
        <w:tc>
          <w:tcPr>
            <w:tcW w:w="1440" w:type="dxa"/>
            <w:tcBorders>
              <w:top w:val="nil"/>
              <w:left w:val="nil"/>
              <w:bottom w:val="nil"/>
              <w:right w:val="nil"/>
            </w:tcBorders>
            <w:shd w:val="clear" w:color="000000" w:fill="FFFFFF"/>
            <w:noWrap/>
            <w:hideMark/>
          </w:tcPr>
          <w:p w14:paraId="64291A9C" w14:textId="0A9A1EAC" w:rsidR="002A66B3" w:rsidRPr="00730ECF" w:rsidRDefault="002A66B3" w:rsidP="002A66B3">
            <w:pPr>
              <w:jc w:val="right"/>
              <w:rPr>
                <w:rFonts w:eastAsia="Times New Roman" w:cstheme="minorHAnsi"/>
                <w:color w:val="FF0000"/>
              </w:rPr>
            </w:pPr>
            <w:r w:rsidRPr="002A66B3">
              <w:rPr>
                <w:rFonts w:cstheme="minorHAnsi"/>
              </w:rPr>
              <w:t>(15,301)</w:t>
            </w:r>
          </w:p>
        </w:tc>
        <w:tc>
          <w:tcPr>
            <w:tcW w:w="1297" w:type="dxa"/>
            <w:tcBorders>
              <w:top w:val="nil"/>
              <w:left w:val="nil"/>
              <w:bottom w:val="nil"/>
              <w:right w:val="nil"/>
            </w:tcBorders>
            <w:shd w:val="clear" w:color="000000" w:fill="FFFFFF"/>
            <w:noWrap/>
            <w:hideMark/>
          </w:tcPr>
          <w:p w14:paraId="17EEC072" w14:textId="66766CD0" w:rsidR="002A66B3" w:rsidRPr="00730ECF" w:rsidRDefault="002A66B3" w:rsidP="002A66B3">
            <w:pPr>
              <w:jc w:val="right"/>
              <w:rPr>
                <w:rFonts w:eastAsia="Times New Roman" w:cstheme="minorHAnsi"/>
              </w:rPr>
            </w:pPr>
            <w:r w:rsidRPr="002A66B3">
              <w:rPr>
                <w:rFonts w:cstheme="minorHAnsi"/>
              </w:rPr>
              <w:t>(33,347)</w:t>
            </w:r>
          </w:p>
        </w:tc>
      </w:tr>
      <w:tr w:rsidR="002A66B3" w:rsidRPr="002A66B3" w14:paraId="0A4D6366" w14:textId="77777777" w:rsidTr="00730ECF">
        <w:trPr>
          <w:trHeight w:val="80"/>
          <w:jc w:val="center"/>
        </w:trPr>
        <w:tc>
          <w:tcPr>
            <w:tcW w:w="6750" w:type="dxa"/>
            <w:tcBorders>
              <w:top w:val="nil"/>
              <w:left w:val="nil"/>
              <w:bottom w:val="nil"/>
              <w:right w:val="nil"/>
            </w:tcBorders>
            <w:shd w:val="clear" w:color="000000" w:fill="FFFFFF"/>
            <w:noWrap/>
            <w:vAlign w:val="bottom"/>
            <w:hideMark/>
          </w:tcPr>
          <w:p w14:paraId="2F7DBDA6" w14:textId="77777777" w:rsidR="002A66B3" w:rsidRPr="00730ECF" w:rsidRDefault="002A66B3" w:rsidP="00730ECF">
            <w:pPr>
              <w:ind w:left="255"/>
              <w:rPr>
                <w:rFonts w:cstheme="minorHAnsi"/>
                <w:color w:val="000000"/>
              </w:rPr>
            </w:pPr>
            <w:r w:rsidRPr="00730ECF">
              <w:rPr>
                <w:rFonts w:cstheme="minorHAnsi"/>
                <w:color w:val="000000"/>
              </w:rPr>
              <w:t>Payments to suppliers</w:t>
            </w:r>
          </w:p>
        </w:tc>
        <w:tc>
          <w:tcPr>
            <w:tcW w:w="1440" w:type="dxa"/>
            <w:tcBorders>
              <w:top w:val="nil"/>
              <w:left w:val="nil"/>
              <w:bottom w:val="nil"/>
              <w:right w:val="nil"/>
            </w:tcBorders>
            <w:shd w:val="clear" w:color="000000" w:fill="FFFFFF"/>
            <w:noWrap/>
            <w:hideMark/>
          </w:tcPr>
          <w:p w14:paraId="05E14819" w14:textId="3FE937A7" w:rsidR="002A66B3" w:rsidRPr="00730ECF" w:rsidRDefault="002A66B3" w:rsidP="002A66B3">
            <w:pPr>
              <w:jc w:val="right"/>
              <w:rPr>
                <w:rFonts w:eastAsia="Times New Roman" w:cstheme="minorHAnsi"/>
                <w:color w:val="FF0000"/>
              </w:rPr>
            </w:pPr>
            <w:r w:rsidRPr="002A66B3">
              <w:rPr>
                <w:rFonts w:cstheme="minorHAnsi"/>
              </w:rPr>
              <w:t>(258,262)</w:t>
            </w:r>
          </w:p>
        </w:tc>
        <w:tc>
          <w:tcPr>
            <w:tcW w:w="1297" w:type="dxa"/>
            <w:tcBorders>
              <w:top w:val="nil"/>
              <w:left w:val="nil"/>
              <w:bottom w:val="nil"/>
              <w:right w:val="nil"/>
            </w:tcBorders>
            <w:shd w:val="clear" w:color="000000" w:fill="FFFFFF"/>
            <w:noWrap/>
            <w:hideMark/>
          </w:tcPr>
          <w:p w14:paraId="2E97A2CD" w14:textId="17BCA794" w:rsidR="002A66B3" w:rsidRPr="00730ECF" w:rsidRDefault="002A66B3" w:rsidP="002A66B3">
            <w:pPr>
              <w:jc w:val="right"/>
              <w:rPr>
                <w:rFonts w:eastAsia="Times New Roman" w:cstheme="minorHAnsi"/>
              </w:rPr>
            </w:pPr>
            <w:r w:rsidRPr="002A66B3">
              <w:rPr>
                <w:rFonts w:cstheme="minorHAnsi"/>
              </w:rPr>
              <w:t>(230,669)</w:t>
            </w:r>
          </w:p>
        </w:tc>
      </w:tr>
      <w:tr w:rsidR="002A66B3" w:rsidRPr="002A66B3" w14:paraId="4D59CF19" w14:textId="77777777" w:rsidTr="00730ECF">
        <w:trPr>
          <w:trHeight w:val="80"/>
          <w:jc w:val="center"/>
        </w:trPr>
        <w:tc>
          <w:tcPr>
            <w:tcW w:w="6750" w:type="dxa"/>
            <w:tcBorders>
              <w:top w:val="nil"/>
              <w:left w:val="nil"/>
              <w:bottom w:val="nil"/>
              <w:right w:val="nil"/>
            </w:tcBorders>
            <w:shd w:val="clear" w:color="000000" w:fill="FFFFFF"/>
            <w:noWrap/>
            <w:vAlign w:val="bottom"/>
            <w:hideMark/>
          </w:tcPr>
          <w:p w14:paraId="55EAFA20" w14:textId="77777777" w:rsidR="002A66B3" w:rsidRPr="00730ECF" w:rsidRDefault="002A66B3" w:rsidP="00730ECF">
            <w:pPr>
              <w:ind w:left="255"/>
              <w:rPr>
                <w:rFonts w:cstheme="minorHAnsi"/>
                <w:color w:val="000000"/>
              </w:rPr>
            </w:pPr>
            <w:r w:rsidRPr="00730ECF">
              <w:rPr>
                <w:rFonts w:cstheme="minorHAnsi"/>
                <w:color w:val="000000"/>
              </w:rPr>
              <w:t>Loans issued to students</w:t>
            </w:r>
          </w:p>
        </w:tc>
        <w:tc>
          <w:tcPr>
            <w:tcW w:w="1440" w:type="dxa"/>
            <w:tcBorders>
              <w:top w:val="nil"/>
              <w:left w:val="nil"/>
              <w:bottom w:val="nil"/>
              <w:right w:val="nil"/>
            </w:tcBorders>
            <w:shd w:val="clear" w:color="000000" w:fill="FFFFFF"/>
            <w:noWrap/>
            <w:hideMark/>
          </w:tcPr>
          <w:p w14:paraId="328A6EB3" w14:textId="52922D4F" w:rsidR="002A66B3" w:rsidRPr="00730ECF" w:rsidRDefault="002A66B3" w:rsidP="002A66B3">
            <w:pPr>
              <w:jc w:val="right"/>
              <w:rPr>
                <w:rFonts w:eastAsia="Times New Roman" w:cstheme="minorHAnsi"/>
                <w:color w:val="FF0000"/>
              </w:rPr>
            </w:pPr>
            <w:r w:rsidRPr="002A66B3">
              <w:rPr>
                <w:rFonts w:cstheme="minorHAnsi"/>
              </w:rPr>
              <w:t>(1,921)</w:t>
            </w:r>
          </w:p>
        </w:tc>
        <w:tc>
          <w:tcPr>
            <w:tcW w:w="1297" w:type="dxa"/>
            <w:tcBorders>
              <w:top w:val="nil"/>
              <w:left w:val="nil"/>
              <w:bottom w:val="nil"/>
              <w:right w:val="nil"/>
            </w:tcBorders>
            <w:shd w:val="clear" w:color="000000" w:fill="FFFFFF"/>
            <w:noWrap/>
            <w:hideMark/>
          </w:tcPr>
          <w:p w14:paraId="03C5910A" w14:textId="264DEC52" w:rsidR="002A66B3" w:rsidRPr="00730ECF" w:rsidRDefault="002A66B3" w:rsidP="002A66B3">
            <w:pPr>
              <w:jc w:val="right"/>
              <w:rPr>
                <w:rFonts w:eastAsia="Times New Roman" w:cstheme="minorHAnsi"/>
              </w:rPr>
            </w:pPr>
            <w:r w:rsidRPr="002A66B3">
              <w:rPr>
                <w:rFonts w:cstheme="minorHAnsi"/>
              </w:rPr>
              <w:t>(1,976)</w:t>
            </w:r>
          </w:p>
        </w:tc>
      </w:tr>
      <w:tr w:rsidR="002A66B3" w:rsidRPr="002A66B3" w14:paraId="40C090CC" w14:textId="77777777" w:rsidTr="00730ECF">
        <w:trPr>
          <w:trHeight w:val="80"/>
          <w:jc w:val="center"/>
        </w:trPr>
        <w:tc>
          <w:tcPr>
            <w:tcW w:w="6750" w:type="dxa"/>
            <w:tcBorders>
              <w:top w:val="nil"/>
              <w:left w:val="nil"/>
              <w:bottom w:val="nil"/>
              <w:right w:val="nil"/>
            </w:tcBorders>
            <w:shd w:val="clear" w:color="000000" w:fill="FFFFFF"/>
            <w:noWrap/>
            <w:vAlign w:val="bottom"/>
            <w:hideMark/>
          </w:tcPr>
          <w:p w14:paraId="096AE134" w14:textId="77777777" w:rsidR="002A66B3" w:rsidRPr="00730ECF" w:rsidRDefault="002A66B3" w:rsidP="00730ECF">
            <w:pPr>
              <w:ind w:left="255"/>
              <w:rPr>
                <w:rFonts w:cstheme="minorHAnsi"/>
                <w:color w:val="000000"/>
              </w:rPr>
            </w:pPr>
            <w:r w:rsidRPr="00730ECF">
              <w:rPr>
                <w:rFonts w:cstheme="minorHAnsi"/>
                <w:color w:val="000000"/>
              </w:rPr>
              <w:t>Collection of loans to students</w:t>
            </w:r>
          </w:p>
        </w:tc>
        <w:tc>
          <w:tcPr>
            <w:tcW w:w="1440" w:type="dxa"/>
            <w:tcBorders>
              <w:top w:val="nil"/>
              <w:left w:val="nil"/>
              <w:bottom w:val="nil"/>
              <w:right w:val="nil"/>
            </w:tcBorders>
            <w:shd w:val="clear" w:color="000000" w:fill="FFFFFF"/>
            <w:noWrap/>
            <w:hideMark/>
          </w:tcPr>
          <w:p w14:paraId="644E49AD" w14:textId="6DFB0EDA" w:rsidR="002A66B3" w:rsidRPr="00730ECF" w:rsidRDefault="002A66B3" w:rsidP="002A66B3">
            <w:pPr>
              <w:jc w:val="right"/>
              <w:rPr>
                <w:rFonts w:eastAsia="Times New Roman" w:cstheme="minorHAnsi"/>
                <w:color w:val="FF0000"/>
              </w:rPr>
            </w:pPr>
            <w:r w:rsidRPr="002A66B3">
              <w:rPr>
                <w:rFonts w:cstheme="minorHAnsi"/>
              </w:rPr>
              <w:t xml:space="preserve">2,275 </w:t>
            </w:r>
          </w:p>
        </w:tc>
        <w:tc>
          <w:tcPr>
            <w:tcW w:w="1297" w:type="dxa"/>
            <w:tcBorders>
              <w:top w:val="nil"/>
              <w:left w:val="nil"/>
              <w:bottom w:val="nil"/>
              <w:right w:val="nil"/>
            </w:tcBorders>
            <w:shd w:val="clear" w:color="000000" w:fill="FFFFFF"/>
            <w:noWrap/>
            <w:hideMark/>
          </w:tcPr>
          <w:p w14:paraId="2A6D5E1F" w14:textId="307370C4" w:rsidR="002A66B3" w:rsidRPr="00730ECF" w:rsidRDefault="002A66B3" w:rsidP="002A66B3">
            <w:pPr>
              <w:jc w:val="right"/>
              <w:rPr>
                <w:rFonts w:eastAsia="Times New Roman" w:cstheme="minorHAnsi"/>
              </w:rPr>
            </w:pPr>
            <w:r w:rsidRPr="002A66B3">
              <w:rPr>
                <w:rFonts w:cstheme="minorHAnsi"/>
              </w:rPr>
              <w:t xml:space="preserve">3,489 </w:t>
            </w:r>
          </w:p>
        </w:tc>
      </w:tr>
      <w:tr w:rsidR="002A66B3" w:rsidRPr="002A66B3" w14:paraId="1C0491EE" w14:textId="77777777" w:rsidTr="00730ECF">
        <w:trPr>
          <w:trHeight w:val="80"/>
          <w:jc w:val="center"/>
        </w:trPr>
        <w:tc>
          <w:tcPr>
            <w:tcW w:w="6750" w:type="dxa"/>
            <w:tcBorders>
              <w:top w:val="nil"/>
              <w:left w:val="nil"/>
              <w:bottom w:val="nil"/>
              <w:right w:val="nil"/>
            </w:tcBorders>
            <w:shd w:val="clear" w:color="000000" w:fill="FFFFFF"/>
            <w:noWrap/>
            <w:vAlign w:val="bottom"/>
            <w:hideMark/>
          </w:tcPr>
          <w:p w14:paraId="367FAB2A" w14:textId="77777777" w:rsidR="002A66B3" w:rsidRPr="00730ECF" w:rsidRDefault="002A66B3" w:rsidP="00730ECF">
            <w:pPr>
              <w:ind w:left="255"/>
              <w:rPr>
                <w:rFonts w:cstheme="minorHAnsi"/>
                <w:color w:val="000000"/>
              </w:rPr>
            </w:pPr>
            <w:r w:rsidRPr="00730ECF">
              <w:rPr>
                <w:rFonts w:cstheme="minorHAnsi"/>
                <w:color w:val="000000"/>
              </w:rPr>
              <w:t>Direct loan proceeds received from the Federal Government</w:t>
            </w:r>
          </w:p>
        </w:tc>
        <w:tc>
          <w:tcPr>
            <w:tcW w:w="1440" w:type="dxa"/>
            <w:tcBorders>
              <w:top w:val="nil"/>
              <w:left w:val="nil"/>
              <w:bottom w:val="nil"/>
              <w:right w:val="nil"/>
            </w:tcBorders>
            <w:shd w:val="clear" w:color="000000" w:fill="FFFFFF"/>
            <w:noWrap/>
            <w:hideMark/>
          </w:tcPr>
          <w:p w14:paraId="5AD647EB" w14:textId="04C09E43" w:rsidR="002A66B3" w:rsidRPr="00730ECF" w:rsidRDefault="002A66B3" w:rsidP="002A66B3">
            <w:pPr>
              <w:jc w:val="right"/>
              <w:rPr>
                <w:rFonts w:eastAsia="Times New Roman" w:cstheme="minorHAnsi"/>
                <w:color w:val="FF0000"/>
              </w:rPr>
            </w:pPr>
            <w:r w:rsidRPr="002A66B3">
              <w:rPr>
                <w:rFonts w:cstheme="minorHAnsi"/>
              </w:rPr>
              <w:t xml:space="preserve">96,028 </w:t>
            </w:r>
          </w:p>
        </w:tc>
        <w:tc>
          <w:tcPr>
            <w:tcW w:w="1297" w:type="dxa"/>
            <w:tcBorders>
              <w:top w:val="nil"/>
              <w:left w:val="nil"/>
              <w:bottom w:val="nil"/>
              <w:right w:val="nil"/>
            </w:tcBorders>
            <w:shd w:val="clear" w:color="000000" w:fill="FFFFFF"/>
            <w:noWrap/>
            <w:hideMark/>
          </w:tcPr>
          <w:p w14:paraId="6991DE28" w14:textId="7302822C" w:rsidR="002A66B3" w:rsidRPr="00730ECF" w:rsidRDefault="002A66B3" w:rsidP="002A66B3">
            <w:pPr>
              <w:jc w:val="right"/>
              <w:rPr>
                <w:rFonts w:eastAsia="Times New Roman" w:cstheme="minorHAnsi"/>
              </w:rPr>
            </w:pPr>
            <w:r w:rsidRPr="002A66B3">
              <w:rPr>
                <w:rFonts w:cstheme="minorHAnsi"/>
              </w:rPr>
              <w:t xml:space="preserve">88,393 </w:t>
            </w:r>
          </w:p>
        </w:tc>
      </w:tr>
      <w:tr w:rsidR="002A66B3" w:rsidRPr="002A66B3" w14:paraId="7439064E" w14:textId="77777777" w:rsidTr="00730ECF">
        <w:trPr>
          <w:trHeight w:val="80"/>
          <w:jc w:val="center"/>
        </w:trPr>
        <w:tc>
          <w:tcPr>
            <w:tcW w:w="6750" w:type="dxa"/>
            <w:tcBorders>
              <w:top w:val="nil"/>
              <w:left w:val="nil"/>
              <w:bottom w:val="single" w:sz="4" w:space="0" w:color="000000"/>
              <w:right w:val="nil"/>
            </w:tcBorders>
            <w:shd w:val="clear" w:color="000000" w:fill="FFFFFF"/>
            <w:noWrap/>
            <w:vAlign w:val="bottom"/>
            <w:hideMark/>
          </w:tcPr>
          <w:p w14:paraId="765F126D" w14:textId="77777777" w:rsidR="002A66B3" w:rsidRPr="00730ECF" w:rsidRDefault="002A66B3" w:rsidP="00730ECF">
            <w:pPr>
              <w:ind w:left="255"/>
              <w:rPr>
                <w:rFonts w:cstheme="minorHAnsi"/>
                <w:color w:val="000000"/>
              </w:rPr>
            </w:pPr>
            <w:r w:rsidRPr="00730ECF">
              <w:rPr>
                <w:rFonts w:cstheme="minorHAnsi"/>
                <w:color w:val="000000"/>
              </w:rPr>
              <w:t>Direct loans issued to students</w:t>
            </w:r>
          </w:p>
        </w:tc>
        <w:tc>
          <w:tcPr>
            <w:tcW w:w="1440" w:type="dxa"/>
            <w:tcBorders>
              <w:top w:val="nil"/>
              <w:left w:val="nil"/>
              <w:bottom w:val="single" w:sz="4" w:space="0" w:color="000000"/>
              <w:right w:val="nil"/>
            </w:tcBorders>
            <w:shd w:val="clear" w:color="000000" w:fill="FFFFFF"/>
            <w:noWrap/>
            <w:hideMark/>
          </w:tcPr>
          <w:p w14:paraId="3852DDED" w14:textId="40B0E0DE" w:rsidR="002A66B3" w:rsidRPr="00730ECF" w:rsidRDefault="002A66B3" w:rsidP="002A66B3">
            <w:pPr>
              <w:jc w:val="right"/>
              <w:rPr>
                <w:rFonts w:eastAsia="Times New Roman" w:cstheme="minorHAnsi"/>
                <w:color w:val="FF0000"/>
              </w:rPr>
            </w:pPr>
            <w:r w:rsidRPr="002A66B3">
              <w:rPr>
                <w:rFonts w:cstheme="minorHAnsi"/>
              </w:rPr>
              <w:t>(95,375)</w:t>
            </w:r>
          </w:p>
        </w:tc>
        <w:tc>
          <w:tcPr>
            <w:tcW w:w="1297" w:type="dxa"/>
            <w:tcBorders>
              <w:top w:val="nil"/>
              <w:left w:val="nil"/>
              <w:bottom w:val="single" w:sz="4" w:space="0" w:color="000000"/>
              <w:right w:val="nil"/>
            </w:tcBorders>
            <w:shd w:val="clear" w:color="000000" w:fill="FFFFFF"/>
            <w:noWrap/>
            <w:hideMark/>
          </w:tcPr>
          <w:p w14:paraId="5E18B087" w14:textId="76F147EB" w:rsidR="002A66B3" w:rsidRPr="00730ECF" w:rsidRDefault="002A66B3" w:rsidP="002A66B3">
            <w:pPr>
              <w:jc w:val="right"/>
              <w:rPr>
                <w:rFonts w:eastAsia="Times New Roman" w:cstheme="minorHAnsi"/>
              </w:rPr>
            </w:pPr>
            <w:r w:rsidRPr="002A66B3">
              <w:rPr>
                <w:rFonts w:cstheme="minorHAnsi"/>
              </w:rPr>
              <w:t>(91,940)</w:t>
            </w:r>
          </w:p>
        </w:tc>
      </w:tr>
      <w:tr w:rsidR="002A66B3" w:rsidRPr="002A66B3" w14:paraId="1D4E9F1C" w14:textId="77777777" w:rsidTr="00730ECF">
        <w:trPr>
          <w:trHeight w:val="70"/>
          <w:jc w:val="center"/>
        </w:trPr>
        <w:tc>
          <w:tcPr>
            <w:tcW w:w="6750" w:type="dxa"/>
            <w:tcBorders>
              <w:top w:val="nil"/>
              <w:left w:val="nil"/>
              <w:bottom w:val="single" w:sz="4" w:space="0" w:color="000000"/>
              <w:right w:val="nil"/>
            </w:tcBorders>
            <w:shd w:val="clear" w:color="000000" w:fill="FFFFFF"/>
            <w:noWrap/>
            <w:vAlign w:val="bottom"/>
            <w:hideMark/>
          </w:tcPr>
          <w:p w14:paraId="4AB3C151" w14:textId="77777777" w:rsidR="002A66B3" w:rsidRPr="00730ECF" w:rsidRDefault="002A66B3" w:rsidP="00730ECF">
            <w:pPr>
              <w:ind w:left="525"/>
              <w:rPr>
                <w:rFonts w:cstheme="minorHAnsi"/>
                <w:b/>
                <w:bCs/>
                <w:color w:val="000000"/>
              </w:rPr>
            </w:pPr>
            <w:r w:rsidRPr="00730ECF">
              <w:rPr>
                <w:rFonts w:cstheme="minorHAnsi"/>
                <w:b/>
                <w:bCs/>
                <w:color w:val="000000"/>
              </w:rPr>
              <w:t>Net Cash Used for Operating Activities</w:t>
            </w:r>
          </w:p>
        </w:tc>
        <w:tc>
          <w:tcPr>
            <w:tcW w:w="1440" w:type="dxa"/>
            <w:tcBorders>
              <w:top w:val="nil"/>
              <w:left w:val="nil"/>
              <w:bottom w:val="single" w:sz="4" w:space="0" w:color="000000"/>
              <w:right w:val="nil"/>
            </w:tcBorders>
            <w:shd w:val="clear" w:color="000000" w:fill="FFFFFF"/>
            <w:noWrap/>
            <w:vAlign w:val="bottom"/>
            <w:hideMark/>
          </w:tcPr>
          <w:p w14:paraId="6D0C1850" w14:textId="77777777" w:rsidR="002A66B3" w:rsidRPr="00730ECF" w:rsidRDefault="002A66B3" w:rsidP="002A66B3">
            <w:pPr>
              <w:jc w:val="right"/>
              <w:rPr>
                <w:rFonts w:cstheme="minorHAnsi"/>
              </w:rPr>
            </w:pPr>
            <w:r w:rsidRPr="00730ECF">
              <w:rPr>
                <w:rFonts w:cstheme="minorHAnsi"/>
              </w:rPr>
              <w:t>(308,534)</w:t>
            </w:r>
          </w:p>
        </w:tc>
        <w:tc>
          <w:tcPr>
            <w:tcW w:w="1297" w:type="dxa"/>
            <w:tcBorders>
              <w:top w:val="nil"/>
              <w:left w:val="nil"/>
              <w:bottom w:val="single" w:sz="4" w:space="0" w:color="000000"/>
              <w:right w:val="nil"/>
            </w:tcBorders>
            <w:shd w:val="clear" w:color="000000" w:fill="FFFFFF"/>
            <w:noWrap/>
            <w:vAlign w:val="bottom"/>
            <w:hideMark/>
          </w:tcPr>
          <w:p w14:paraId="040DB7BE" w14:textId="77777777" w:rsidR="002A66B3" w:rsidRPr="00730ECF" w:rsidRDefault="002A66B3" w:rsidP="002A66B3">
            <w:pPr>
              <w:jc w:val="right"/>
              <w:rPr>
                <w:rFonts w:cstheme="minorHAnsi"/>
              </w:rPr>
            </w:pPr>
            <w:r w:rsidRPr="00730ECF">
              <w:rPr>
                <w:rFonts w:cstheme="minorHAnsi"/>
              </w:rPr>
              <w:t>(303,591)</w:t>
            </w:r>
          </w:p>
        </w:tc>
      </w:tr>
      <w:tr w:rsidR="002A66B3" w:rsidRPr="002A66B3" w14:paraId="7C9434BD" w14:textId="77777777" w:rsidTr="00730ECF">
        <w:trPr>
          <w:trHeight w:val="70"/>
          <w:jc w:val="center"/>
        </w:trPr>
        <w:tc>
          <w:tcPr>
            <w:tcW w:w="6750" w:type="dxa"/>
            <w:tcBorders>
              <w:top w:val="nil"/>
              <w:left w:val="nil"/>
              <w:bottom w:val="nil"/>
              <w:right w:val="nil"/>
            </w:tcBorders>
            <w:shd w:val="clear" w:color="000000" w:fill="FFFFFF"/>
            <w:noWrap/>
            <w:vAlign w:val="bottom"/>
            <w:hideMark/>
          </w:tcPr>
          <w:p w14:paraId="6C3AB9A7" w14:textId="77777777" w:rsidR="002A66B3" w:rsidRPr="00730ECF" w:rsidRDefault="002A66B3" w:rsidP="002A66B3">
            <w:pPr>
              <w:rPr>
                <w:rFonts w:cstheme="minorHAnsi"/>
                <w:b/>
                <w:bCs/>
                <w:color w:val="000000"/>
              </w:rPr>
            </w:pPr>
            <w:r w:rsidRPr="00730ECF">
              <w:rPr>
                <w:rFonts w:cstheme="minorHAnsi"/>
                <w:b/>
                <w:bCs/>
                <w:color w:val="000000"/>
              </w:rPr>
              <w:t>Cash Flows From Noncapital Financing Activities</w:t>
            </w:r>
          </w:p>
        </w:tc>
        <w:tc>
          <w:tcPr>
            <w:tcW w:w="1440" w:type="dxa"/>
            <w:tcBorders>
              <w:top w:val="nil"/>
              <w:left w:val="nil"/>
              <w:bottom w:val="nil"/>
              <w:right w:val="nil"/>
            </w:tcBorders>
            <w:shd w:val="clear" w:color="000000" w:fill="FFFFFF"/>
            <w:noWrap/>
            <w:vAlign w:val="bottom"/>
            <w:hideMark/>
          </w:tcPr>
          <w:p w14:paraId="23F13C9F" w14:textId="734EBF1F" w:rsidR="002A66B3" w:rsidRPr="00730ECF" w:rsidRDefault="002A66B3" w:rsidP="002A66B3">
            <w:pPr>
              <w:jc w:val="right"/>
              <w:rPr>
                <w:rFonts w:cstheme="minorHAnsi"/>
              </w:rPr>
            </w:pPr>
          </w:p>
        </w:tc>
        <w:tc>
          <w:tcPr>
            <w:tcW w:w="1297" w:type="dxa"/>
            <w:tcBorders>
              <w:top w:val="nil"/>
              <w:left w:val="nil"/>
              <w:bottom w:val="nil"/>
              <w:right w:val="nil"/>
            </w:tcBorders>
            <w:shd w:val="clear" w:color="000000" w:fill="FFFFFF"/>
            <w:noWrap/>
            <w:vAlign w:val="bottom"/>
            <w:hideMark/>
          </w:tcPr>
          <w:p w14:paraId="78AF6A76" w14:textId="0F20E1BA" w:rsidR="002A66B3" w:rsidRPr="00730ECF" w:rsidRDefault="002A66B3" w:rsidP="002A66B3">
            <w:pPr>
              <w:jc w:val="right"/>
              <w:rPr>
                <w:rFonts w:cstheme="minorHAnsi"/>
              </w:rPr>
            </w:pPr>
          </w:p>
        </w:tc>
      </w:tr>
      <w:tr w:rsidR="002A66B3" w:rsidRPr="002A66B3" w14:paraId="035E3F5E" w14:textId="77777777" w:rsidTr="00730ECF">
        <w:trPr>
          <w:trHeight w:val="80"/>
          <w:jc w:val="center"/>
        </w:trPr>
        <w:tc>
          <w:tcPr>
            <w:tcW w:w="6750" w:type="dxa"/>
            <w:tcBorders>
              <w:top w:val="nil"/>
              <w:left w:val="nil"/>
              <w:bottom w:val="nil"/>
              <w:right w:val="nil"/>
            </w:tcBorders>
            <w:shd w:val="clear" w:color="000000" w:fill="FFFFFF"/>
            <w:noWrap/>
            <w:vAlign w:val="bottom"/>
            <w:hideMark/>
          </w:tcPr>
          <w:p w14:paraId="5CB82ADF" w14:textId="77777777" w:rsidR="002A66B3" w:rsidRPr="00730ECF" w:rsidRDefault="002A66B3" w:rsidP="00730ECF">
            <w:pPr>
              <w:ind w:left="255"/>
              <w:rPr>
                <w:rFonts w:cstheme="minorHAnsi"/>
                <w:color w:val="000000"/>
              </w:rPr>
            </w:pPr>
            <w:r w:rsidRPr="00730ECF">
              <w:rPr>
                <w:rFonts w:cstheme="minorHAnsi"/>
                <w:color w:val="000000"/>
              </w:rPr>
              <w:t>State appropriations</w:t>
            </w:r>
          </w:p>
        </w:tc>
        <w:tc>
          <w:tcPr>
            <w:tcW w:w="1440" w:type="dxa"/>
            <w:tcBorders>
              <w:top w:val="nil"/>
              <w:left w:val="nil"/>
              <w:bottom w:val="nil"/>
              <w:right w:val="nil"/>
            </w:tcBorders>
            <w:shd w:val="clear" w:color="000000" w:fill="FFFFFF"/>
            <w:noWrap/>
            <w:hideMark/>
          </w:tcPr>
          <w:p w14:paraId="2051A2BA" w14:textId="7B9D7715" w:rsidR="002A66B3" w:rsidRPr="00730ECF" w:rsidRDefault="002A66B3" w:rsidP="002A66B3">
            <w:pPr>
              <w:jc w:val="right"/>
              <w:rPr>
                <w:rFonts w:eastAsia="Times New Roman" w:cstheme="minorHAnsi"/>
              </w:rPr>
            </w:pPr>
            <w:r w:rsidRPr="002A66B3">
              <w:rPr>
                <w:rFonts w:cstheme="minorHAnsi"/>
              </w:rPr>
              <w:t xml:space="preserve">270,467 </w:t>
            </w:r>
          </w:p>
        </w:tc>
        <w:tc>
          <w:tcPr>
            <w:tcW w:w="1297" w:type="dxa"/>
            <w:tcBorders>
              <w:top w:val="nil"/>
              <w:left w:val="nil"/>
              <w:bottom w:val="nil"/>
              <w:right w:val="nil"/>
            </w:tcBorders>
            <w:shd w:val="clear" w:color="000000" w:fill="FFFFFF"/>
            <w:noWrap/>
            <w:hideMark/>
          </w:tcPr>
          <w:p w14:paraId="76DC7AC1" w14:textId="554DF791" w:rsidR="002A66B3" w:rsidRPr="00730ECF" w:rsidRDefault="002A66B3" w:rsidP="002A66B3">
            <w:pPr>
              <w:jc w:val="right"/>
              <w:rPr>
                <w:rFonts w:eastAsia="Times New Roman" w:cstheme="minorHAnsi"/>
              </w:rPr>
            </w:pPr>
            <w:r w:rsidRPr="002A66B3">
              <w:rPr>
                <w:rFonts w:cstheme="minorHAnsi"/>
              </w:rPr>
              <w:t xml:space="preserve">261,171 </w:t>
            </w:r>
          </w:p>
        </w:tc>
      </w:tr>
      <w:tr w:rsidR="002A66B3" w:rsidRPr="002A66B3" w14:paraId="360FDD32" w14:textId="77777777" w:rsidTr="00730ECF">
        <w:trPr>
          <w:trHeight w:val="80"/>
          <w:jc w:val="center"/>
        </w:trPr>
        <w:tc>
          <w:tcPr>
            <w:tcW w:w="6750" w:type="dxa"/>
            <w:tcBorders>
              <w:top w:val="nil"/>
              <w:left w:val="nil"/>
              <w:bottom w:val="nil"/>
              <w:right w:val="nil"/>
            </w:tcBorders>
            <w:shd w:val="clear" w:color="000000" w:fill="FFFFFF"/>
            <w:noWrap/>
            <w:vAlign w:val="bottom"/>
            <w:hideMark/>
          </w:tcPr>
          <w:p w14:paraId="51B1B95C" w14:textId="77777777" w:rsidR="002A66B3" w:rsidRPr="00730ECF" w:rsidRDefault="002A66B3" w:rsidP="00730ECF">
            <w:pPr>
              <w:ind w:left="255"/>
              <w:rPr>
                <w:rFonts w:cstheme="minorHAnsi"/>
                <w:color w:val="000000"/>
              </w:rPr>
            </w:pPr>
            <w:r w:rsidRPr="00730ECF">
              <w:rPr>
                <w:rFonts w:cstheme="minorHAnsi"/>
                <w:color w:val="000000"/>
              </w:rPr>
              <w:t>Federal Pell Grants</w:t>
            </w:r>
          </w:p>
        </w:tc>
        <w:tc>
          <w:tcPr>
            <w:tcW w:w="1440" w:type="dxa"/>
            <w:tcBorders>
              <w:top w:val="nil"/>
              <w:left w:val="nil"/>
              <w:bottom w:val="nil"/>
              <w:right w:val="nil"/>
            </w:tcBorders>
            <w:shd w:val="clear" w:color="000000" w:fill="FFFFFF"/>
            <w:noWrap/>
            <w:hideMark/>
          </w:tcPr>
          <w:p w14:paraId="2A20F1D0" w14:textId="633C32BD" w:rsidR="002A66B3" w:rsidRPr="00730ECF" w:rsidRDefault="002A66B3" w:rsidP="002A66B3">
            <w:pPr>
              <w:jc w:val="right"/>
              <w:rPr>
                <w:rFonts w:eastAsia="Times New Roman" w:cstheme="minorHAnsi"/>
              </w:rPr>
            </w:pPr>
            <w:r w:rsidRPr="002A66B3">
              <w:rPr>
                <w:rFonts w:cstheme="minorHAnsi"/>
              </w:rPr>
              <w:t xml:space="preserve">47,313 </w:t>
            </w:r>
          </w:p>
        </w:tc>
        <w:tc>
          <w:tcPr>
            <w:tcW w:w="1297" w:type="dxa"/>
            <w:tcBorders>
              <w:top w:val="nil"/>
              <w:left w:val="nil"/>
              <w:bottom w:val="nil"/>
              <w:right w:val="nil"/>
            </w:tcBorders>
            <w:shd w:val="clear" w:color="000000" w:fill="FFFFFF"/>
            <w:noWrap/>
            <w:hideMark/>
          </w:tcPr>
          <w:p w14:paraId="4CE987E9" w14:textId="3F9FC5B6" w:rsidR="002A66B3" w:rsidRPr="00730ECF" w:rsidRDefault="002A66B3" w:rsidP="002A66B3">
            <w:pPr>
              <w:jc w:val="right"/>
              <w:rPr>
                <w:rFonts w:eastAsia="Times New Roman" w:cstheme="minorHAnsi"/>
              </w:rPr>
            </w:pPr>
            <w:r w:rsidRPr="002A66B3">
              <w:rPr>
                <w:rFonts w:cstheme="minorHAnsi"/>
              </w:rPr>
              <w:t xml:space="preserve">34,302 </w:t>
            </w:r>
          </w:p>
        </w:tc>
      </w:tr>
      <w:tr w:rsidR="002A66B3" w:rsidRPr="002A66B3" w14:paraId="2A318B76" w14:textId="77777777" w:rsidTr="00730ECF">
        <w:trPr>
          <w:trHeight w:val="80"/>
          <w:jc w:val="center"/>
        </w:trPr>
        <w:tc>
          <w:tcPr>
            <w:tcW w:w="6750" w:type="dxa"/>
            <w:tcBorders>
              <w:top w:val="nil"/>
              <w:left w:val="nil"/>
              <w:bottom w:val="nil"/>
              <w:right w:val="nil"/>
            </w:tcBorders>
            <w:shd w:val="clear" w:color="000000" w:fill="FFFFFF"/>
            <w:noWrap/>
            <w:vAlign w:val="bottom"/>
            <w:hideMark/>
          </w:tcPr>
          <w:p w14:paraId="19A5A20E" w14:textId="77777777" w:rsidR="002A66B3" w:rsidRPr="00730ECF" w:rsidRDefault="002A66B3" w:rsidP="00730ECF">
            <w:pPr>
              <w:ind w:left="255"/>
              <w:rPr>
                <w:rFonts w:cstheme="minorHAnsi"/>
                <w:color w:val="000000"/>
              </w:rPr>
            </w:pPr>
            <w:r w:rsidRPr="00730ECF">
              <w:rPr>
                <w:rFonts w:cstheme="minorHAnsi"/>
                <w:color w:val="000000"/>
              </w:rPr>
              <w:t>Coronavirus relief funding</w:t>
            </w:r>
          </w:p>
        </w:tc>
        <w:tc>
          <w:tcPr>
            <w:tcW w:w="1440" w:type="dxa"/>
            <w:tcBorders>
              <w:top w:val="nil"/>
              <w:left w:val="nil"/>
              <w:bottom w:val="nil"/>
              <w:right w:val="nil"/>
            </w:tcBorders>
            <w:shd w:val="clear" w:color="000000" w:fill="FFFFFF"/>
            <w:noWrap/>
            <w:hideMark/>
          </w:tcPr>
          <w:p w14:paraId="0246B33B" w14:textId="42119803" w:rsidR="002A66B3" w:rsidRPr="00730ECF" w:rsidRDefault="002A66B3" w:rsidP="002A66B3">
            <w:pPr>
              <w:jc w:val="right"/>
              <w:rPr>
                <w:rFonts w:eastAsia="Times New Roman" w:cstheme="minorHAnsi"/>
              </w:rPr>
            </w:pPr>
            <w:r w:rsidRPr="002A66B3">
              <w:rPr>
                <w:rFonts w:cstheme="minorHAnsi"/>
              </w:rPr>
              <w:t xml:space="preserve">3,385 </w:t>
            </w:r>
          </w:p>
        </w:tc>
        <w:tc>
          <w:tcPr>
            <w:tcW w:w="1297" w:type="dxa"/>
            <w:tcBorders>
              <w:top w:val="nil"/>
              <w:left w:val="nil"/>
              <w:bottom w:val="nil"/>
              <w:right w:val="nil"/>
            </w:tcBorders>
            <w:shd w:val="clear" w:color="000000" w:fill="FFFFFF"/>
            <w:noWrap/>
            <w:hideMark/>
          </w:tcPr>
          <w:p w14:paraId="6D567E20" w14:textId="25F412F6" w:rsidR="002A66B3" w:rsidRPr="00730ECF" w:rsidRDefault="002A66B3" w:rsidP="002A66B3">
            <w:pPr>
              <w:jc w:val="right"/>
              <w:rPr>
                <w:rFonts w:eastAsia="Times New Roman" w:cstheme="minorHAnsi"/>
              </w:rPr>
            </w:pPr>
            <w:r w:rsidRPr="002A66B3">
              <w:rPr>
                <w:rFonts w:cstheme="minorHAnsi"/>
              </w:rPr>
              <w:t xml:space="preserve">3,640 </w:t>
            </w:r>
          </w:p>
        </w:tc>
      </w:tr>
      <w:tr w:rsidR="002A66B3" w:rsidRPr="002A66B3" w14:paraId="4D61A4DD" w14:textId="77777777" w:rsidTr="00730ECF">
        <w:trPr>
          <w:trHeight w:val="80"/>
          <w:jc w:val="center"/>
        </w:trPr>
        <w:tc>
          <w:tcPr>
            <w:tcW w:w="6750" w:type="dxa"/>
            <w:tcBorders>
              <w:top w:val="nil"/>
              <w:left w:val="nil"/>
              <w:bottom w:val="nil"/>
              <w:right w:val="nil"/>
            </w:tcBorders>
            <w:shd w:val="clear" w:color="000000" w:fill="FFFFFF"/>
            <w:noWrap/>
            <w:vAlign w:val="bottom"/>
            <w:hideMark/>
          </w:tcPr>
          <w:p w14:paraId="49C005C2" w14:textId="77777777" w:rsidR="002A66B3" w:rsidRPr="00730ECF" w:rsidRDefault="002A66B3" w:rsidP="00730ECF">
            <w:pPr>
              <w:ind w:left="255"/>
              <w:rPr>
                <w:rFonts w:cstheme="minorHAnsi"/>
                <w:color w:val="000000"/>
              </w:rPr>
            </w:pPr>
            <w:r w:rsidRPr="00730ECF">
              <w:rPr>
                <w:rFonts w:cstheme="minorHAnsi"/>
                <w:color w:val="000000"/>
              </w:rPr>
              <w:t>Noncapital grants and gifts</w:t>
            </w:r>
          </w:p>
        </w:tc>
        <w:tc>
          <w:tcPr>
            <w:tcW w:w="1440" w:type="dxa"/>
            <w:tcBorders>
              <w:top w:val="nil"/>
              <w:left w:val="nil"/>
              <w:bottom w:val="nil"/>
              <w:right w:val="nil"/>
            </w:tcBorders>
            <w:shd w:val="clear" w:color="000000" w:fill="FFFFFF"/>
            <w:noWrap/>
            <w:hideMark/>
          </w:tcPr>
          <w:p w14:paraId="66A9BFC9" w14:textId="22F5818E" w:rsidR="002A66B3" w:rsidRPr="00730ECF" w:rsidRDefault="002A66B3" w:rsidP="002A66B3">
            <w:pPr>
              <w:jc w:val="right"/>
              <w:rPr>
                <w:rFonts w:eastAsia="Times New Roman" w:cstheme="minorHAnsi"/>
              </w:rPr>
            </w:pPr>
            <w:r w:rsidRPr="002A66B3">
              <w:rPr>
                <w:rFonts w:cstheme="minorHAnsi"/>
              </w:rPr>
              <w:t xml:space="preserve">26,124 </w:t>
            </w:r>
          </w:p>
        </w:tc>
        <w:tc>
          <w:tcPr>
            <w:tcW w:w="1297" w:type="dxa"/>
            <w:tcBorders>
              <w:top w:val="nil"/>
              <w:left w:val="nil"/>
              <w:bottom w:val="nil"/>
              <w:right w:val="nil"/>
            </w:tcBorders>
            <w:shd w:val="clear" w:color="000000" w:fill="FFFFFF"/>
            <w:noWrap/>
            <w:hideMark/>
          </w:tcPr>
          <w:p w14:paraId="192F79D5" w14:textId="55C62480" w:rsidR="002A66B3" w:rsidRPr="00730ECF" w:rsidRDefault="002A66B3" w:rsidP="002A66B3">
            <w:pPr>
              <w:jc w:val="right"/>
              <w:rPr>
                <w:rFonts w:eastAsia="Times New Roman" w:cstheme="minorHAnsi"/>
              </w:rPr>
            </w:pPr>
            <w:r w:rsidRPr="002A66B3">
              <w:rPr>
                <w:rFonts w:cstheme="minorHAnsi"/>
              </w:rPr>
              <w:t xml:space="preserve">27,664 </w:t>
            </w:r>
          </w:p>
        </w:tc>
      </w:tr>
      <w:tr w:rsidR="002A66B3" w:rsidRPr="002A66B3" w14:paraId="60FA1A41" w14:textId="77777777" w:rsidTr="00730ECF">
        <w:trPr>
          <w:trHeight w:val="80"/>
          <w:jc w:val="center"/>
        </w:trPr>
        <w:tc>
          <w:tcPr>
            <w:tcW w:w="6750" w:type="dxa"/>
            <w:tcBorders>
              <w:top w:val="nil"/>
              <w:left w:val="nil"/>
              <w:bottom w:val="single" w:sz="4" w:space="0" w:color="000000"/>
              <w:right w:val="nil"/>
            </w:tcBorders>
            <w:shd w:val="clear" w:color="000000" w:fill="FFFFFF"/>
            <w:noWrap/>
            <w:vAlign w:val="bottom"/>
            <w:hideMark/>
          </w:tcPr>
          <w:p w14:paraId="35FE8CE0" w14:textId="77777777" w:rsidR="002A66B3" w:rsidRPr="00730ECF" w:rsidRDefault="002A66B3" w:rsidP="00730ECF">
            <w:pPr>
              <w:ind w:left="255"/>
              <w:rPr>
                <w:rFonts w:cstheme="minorHAnsi"/>
                <w:color w:val="000000"/>
              </w:rPr>
            </w:pPr>
            <w:r w:rsidRPr="00730ECF">
              <w:rPr>
                <w:rFonts w:cstheme="minorHAnsi"/>
                <w:color w:val="000000"/>
              </w:rPr>
              <w:t>Other transactions</w:t>
            </w:r>
          </w:p>
        </w:tc>
        <w:tc>
          <w:tcPr>
            <w:tcW w:w="1440" w:type="dxa"/>
            <w:tcBorders>
              <w:top w:val="nil"/>
              <w:left w:val="nil"/>
              <w:bottom w:val="single" w:sz="4" w:space="0" w:color="000000"/>
              <w:right w:val="nil"/>
            </w:tcBorders>
            <w:shd w:val="clear" w:color="000000" w:fill="FFFFFF"/>
            <w:noWrap/>
            <w:hideMark/>
          </w:tcPr>
          <w:p w14:paraId="016F3802" w14:textId="3E33DE1C" w:rsidR="002A66B3" w:rsidRPr="00730ECF" w:rsidRDefault="002A66B3" w:rsidP="002A66B3">
            <w:pPr>
              <w:jc w:val="right"/>
              <w:rPr>
                <w:rFonts w:eastAsia="Times New Roman" w:cstheme="minorHAnsi"/>
              </w:rPr>
            </w:pPr>
            <w:r w:rsidRPr="002A66B3">
              <w:rPr>
                <w:rFonts w:cstheme="minorHAnsi"/>
              </w:rPr>
              <w:t>(247)</w:t>
            </w:r>
          </w:p>
        </w:tc>
        <w:tc>
          <w:tcPr>
            <w:tcW w:w="1297" w:type="dxa"/>
            <w:tcBorders>
              <w:top w:val="nil"/>
              <w:left w:val="nil"/>
              <w:bottom w:val="single" w:sz="4" w:space="0" w:color="000000"/>
              <w:right w:val="nil"/>
            </w:tcBorders>
            <w:shd w:val="clear" w:color="000000" w:fill="FFFFFF"/>
            <w:noWrap/>
            <w:hideMark/>
          </w:tcPr>
          <w:p w14:paraId="22C454E8" w14:textId="3569B7F1" w:rsidR="002A66B3" w:rsidRPr="00730ECF" w:rsidRDefault="002A66B3" w:rsidP="002A66B3">
            <w:pPr>
              <w:jc w:val="right"/>
              <w:rPr>
                <w:rFonts w:eastAsia="Times New Roman" w:cstheme="minorHAnsi"/>
              </w:rPr>
            </w:pPr>
            <w:r w:rsidRPr="002A66B3">
              <w:rPr>
                <w:rFonts w:cstheme="minorHAnsi"/>
              </w:rPr>
              <w:t xml:space="preserve">46 </w:t>
            </w:r>
          </w:p>
        </w:tc>
      </w:tr>
      <w:tr w:rsidR="002A66B3" w:rsidRPr="002A66B3" w14:paraId="65119968" w14:textId="77777777" w:rsidTr="00730ECF">
        <w:trPr>
          <w:trHeight w:val="70"/>
          <w:jc w:val="center"/>
        </w:trPr>
        <w:tc>
          <w:tcPr>
            <w:tcW w:w="6750" w:type="dxa"/>
            <w:tcBorders>
              <w:top w:val="nil"/>
              <w:left w:val="nil"/>
              <w:bottom w:val="single" w:sz="4" w:space="0" w:color="000000"/>
              <w:right w:val="nil"/>
            </w:tcBorders>
            <w:shd w:val="clear" w:color="000000" w:fill="FFFFFF"/>
            <w:noWrap/>
            <w:vAlign w:val="bottom"/>
            <w:hideMark/>
          </w:tcPr>
          <w:p w14:paraId="75CE0A03" w14:textId="77777777" w:rsidR="002A66B3" w:rsidRPr="00730ECF" w:rsidRDefault="002A66B3" w:rsidP="00730ECF">
            <w:pPr>
              <w:ind w:left="525"/>
              <w:rPr>
                <w:rFonts w:cstheme="minorHAnsi"/>
                <w:b/>
                <w:bCs/>
                <w:color w:val="000000"/>
              </w:rPr>
            </w:pPr>
            <w:r w:rsidRPr="00730ECF">
              <w:rPr>
                <w:rFonts w:cstheme="minorHAnsi"/>
                <w:b/>
                <w:bCs/>
                <w:color w:val="000000"/>
              </w:rPr>
              <w:t>Net Cash Provided by Noncapital Financing Activities</w:t>
            </w:r>
          </w:p>
        </w:tc>
        <w:tc>
          <w:tcPr>
            <w:tcW w:w="1440" w:type="dxa"/>
            <w:tcBorders>
              <w:top w:val="nil"/>
              <w:left w:val="nil"/>
              <w:bottom w:val="single" w:sz="4" w:space="0" w:color="000000"/>
              <w:right w:val="nil"/>
            </w:tcBorders>
            <w:shd w:val="clear" w:color="000000" w:fill="FFFFFF"/>
            <w:noWrap/>
            <w:hideMark/>
          </w:tcPr>
          <w:p w14:paraId="7C6307E0" w14:textId="77777777" w:rsidR="002A66B3" w:rsidRPr="00730ECF" w:rsidRDefault="002A66B3" w:rsidP="002A66B3">
            <w:pPr>
              <w:jc w:val="right"/>
              <w:rPr>
                <w:rFonts w:eastAsia="Times New Roman" w:cstheme="minorHAnsi"/>
              </w:rPr>
            </w:pPr>
            <w:r w:rsidRPr="002A66B3">
              <w:rPr>
                <w:rFonts w:cstheme="minorHAnsi"/>
              </w:rPr>
              <w:t>347,042</w:t>
            </w:r>
          </w:p>
        </w:tc>
        <w:tc>
          <w:tcPr>
            <w:tcW w:w="1297" w:type="dxa"/>
            <w:tcBorders>
              <w:top w:val="nil"/>
              <w:left w:val="nil"/>
              <w:bottom w:val="single" w:sz="4" w:space="0" w:color="000000"/>
              <w:right w:val="nil"/>
            </w:tcBorders>
            <w:shd w:val="clear" w:color="000000" w:fill="FFFFFF"/>
            <w:noWrap/>
            <w:hideMark/>
          </w:tcPr>
          <w:p w14:paraId="7E322710" w14:textId="09DCE7FC" w:rsidR="002A66B3" w:rsidRPr="00730ECF" w:rsidRDefault="002A66B3" w:rsidP="002A66B3">
            <w:pPr>
              <w:jc w:val="right"/>
              <w:rPr>
                <w:rFonts w:eastAsia="Times New Roman" w:cstheme="minorHAnsi"/>
              </w:rPr>
            </w:pPr>
            <w:r w:rsidRPr="002A66B3">
              <w:rPr>
                <w:rFonts w:cstheme="minorHAnsi"/>
              </w:rPr>
              <w:t xml:space="preserve">326,823 </w:t>
            </w:r>
          </w:p>
        </w:tc>
      </w:tr>
      <w:tr w:rsidR="002A66B3" w:rsidRPr="002A66B3" w14:paraId="2134983D" w14:textId="77777777" w:rsidTr="00730ECF">
        <w:trPr>
          <w:trHeight w:val="70"/>
          <w:jc w:val="center"/>
        </w:trPr>
        <w:tc>
          <w:tcPr>
            <w:tcW w:w="6750" w:type="dxa"/>
            <w:tcBorders>
              <w:top w:val="nil"/>
              <w:left w:val="nil"/>
              <w:bottom w:val="single" w:sz="4" w:space="0" w:color="000000"/>
              <w:right w:val="nil"/>
            </w:tcBorders>
            <w:shd w:val="clear" w:color="000000" w:fill="FFFFFF"/>
            <w:noWrap/>
            <w:vAlign w:val="bottom"/>
            <w:hideMark/>
          </w:tcPr>
          <w:p w14:paraId="6F3709B6" w14:textId="77777777" w:rsidR="002A66B3" w:rsidRPr="00730ECF" w:rsidRDefault="002A66B3" w:rsidP="002A66B3">
            <w:pPr>
              <w:rPr>
                <w:rFonts w:cstheme="minorHAnsi"/>
                <w:b/>
                <w:bCs/>
                <w:color w:val="000000"/>
              </w:rPr>
            </w:pPr>
            <w:r w:rsidRPr="00730ECF">
              <w:rPr>
                <w:rFonts w:cstheme="minorHAnsi"/>
                <w:b/>
                <w:bCs/>
                <w:color w:val="000000"/>
              </w:rPr>
              <w:t>Cash Flows From Capital and Related Financing Activities</w:t>
            </w:r>
          </w:p>
        </w:tc>
        <w:tc>
          <w:tcPr>
            <w:tcW w:w="1440" w:type="dxa"/>
            <w:tcBorders>
              <w:top w:val="nil"/>
              <w:left w:val="nil"/>
              <w:bottom w:val="single" w:sz="4" w:space="0" w:color="000000"/>
              <w:right w:val="nil"/>
            </w:tcBorders>
            <w:shd w:val="clear" w:color="000000" w:fill="FFFFFF"/>
            <w:noWrap/>
            <w:vAlign w:val="bottom"/>
            <w:hideMark/>
          </w:tcPr>
          <w:p w14:paraId="2D7C90A4" w14:textId="3B5A2BCF" w:rsidR="002A66B3" w:rsidRPr="00730ECF" w:rsidRDefault="002A66B3" w:rsidP="002A66B3">
            <w:pPr>
              <w:jc w:val="right"/>
              <w:rPr>
                <w:rFonts w:cstheme="minorHAnsi"/>
                <w:color w:val="FF0000"/>
              </w:rPr>
            </w:pPr>
          </w:p>
        </w:tc>
        <w:tc>
          <w:tcPr>
            <w:tcW w:w="1297" w:type="dxa"/>
            <w:tcBorders>
              <w:top w:val="nil"/>
              <w:left w:val="nil"/>
              <w:bottom w:val="single" w:sz="4" w:space="0" w:color="000000"/>
              <w:right w:val="nil"/>
            </w:tcBorders>
            <w:shd w:val="clear" w:color="000000" w:fill="FFFFFF"/>
            <w:noWrap/>
            <w:vAlign w:val="bottom"/>
            <w:hideMark/>
          </w:tcPr>
          <w:p w14:paraId="1EC5B16E" w14:textId="29C17E05" w:rsidR="002A66B3" w:rsidRPr="00730ECF" w:rsidRDefault="002A66B3" w:rsidP="002A66B3">
            <w:pPr>
              <w:jc w:val="right"/>
              <w:rPr>
                <w:rFonts w:cstheme="minorHAnsi"/>
              </w:rPr>
            </w:pPr>
          </w:p>
        </w:tc>
      </w:tr>
      <w:tr w:rsidR="002A66B3" w:rsidRPr="002A66B3" w14:paraId="413D653A" w14:textId="77777777" w:rsidTr="00730ECF">
        <w:trPr>
          <w:trHeight w:val="90"/>
          <w:jc w:val="center"/>
        </w:trPr>
        <w:tc>
          <w:tcPr>
            <w:tcW w:w="6750" w:type="dxa"/>
            <w:tcBorders>
              <w:top w:val="nil"/>
              <w:left w:val="nil"/>
              <w:bottom w:val="nil"/>
              <w:right w:val="nil"/>
            </w:tcBorders>
            <w:shd w:val="clear" w:color="000000" w:fill="FFFFFF"/>
            <w:noWrap/>
            <w:vAlign w:val="bottom"/>
            <w:hideMark/>
          </w:tcPr>
          <w:p w14:paraId="16AB3EDB" w14:textId="77777777" w:rsidR="002A66B3" w:rsidRPr="00730ECF" w:rsidRDefault="002A66B3" w:rsidP="00730ECF">
            <w:pPr>
              <w:ind w:left="255"/>
              <w:rPr>
                <w:rFonts w:cstheme="minorHAnsi"/>
                <w:color w:val="000000"/>
              </w:rPr>
            </w:pPr>
            <w:r w:rsidRPr="00730ECF">
              <w:rPr>
                <w:rFonts w:cstheme="minorHAnsi"/>
                <w:color w:val="000000"/>
              </w:rPr>
              <w:t>Capital appropriations</w:t>
            </w:r>
          </w:p>
        </w:tc>
        <w:tc>
          <w:tcPr>
            <w:tcW w:w="1440" w:type="dxa"/>
            <w:tcBorders>
              <w:top w:val="nil"/>
              <w:left w:val="nil"/>
              <w:bottom w:val="nil"/>
              <w:right w:val="nil"/>
            </w:tcBorders>
            <w:shd w:val="clear" w:color="000000" w:fill="FFFFFF"/>
            <w:noWrap/>
            <w:hideMark/>
          </w:tcPr>
          <w:p w14:paraId="42971261" w14:textId="22E766BD" w:rsidR="002A66B3" w:rsidRPr="00730ECF" w:rsidRDefault="002A66B3" w:rsidP="002A66B3">
            <w:pPr>
              <w:jc w:val="right"/>
              <w:rPr>
                <w:rFonts w:eastAsia="Times New Roman" w:cstheme="minorHAnsi"/>
                <w:color w:val="FF0000"/>
              </w:rPr>
            </w:pPr>
            <w:r w:rsidRPr="002A66B3">
              <w:rPr>
                <w:rFonts w:cstheme="minorHAnsi"/>
              </w:rPr>
              <w:t xml:space="preserve">15,097 </w:t>
            </w:r>
          </w:p>
        </w:tc>
        <w:tc>
          <w:tcPr>
            <w:tcW w:w="1297" w:type="dxa"/>
            <w:tcBorders>
              <w:top w:val="nil"/>
              <w:left w:val="nil"/>
              <w:bottom w:val="nil"/>
              <w:right w:val="nil"/>
            </w:tcBorders>
            <w:shd w:val="clear" w:color="000000" w:fill="FFFFFF"/>
            <w:noWrap/>
            <w:hideMark/>
          </w:tcPr>
          <w:p w14:paraId="38A8DD45" w14:textId="686CECF7" w:rsidR="002A66B3" w:rsidRPr="00730ECF" w:rsidRDefault="002A66B3" w:rsidP="002A66B3">
            <w:pPr>
              <w:jc w:val="right"/>
              <w:rPr>
                <w:rFonts w:eastAsia="Times New Roman" w:cstheme="minorHAnsi"/>
              </w:rPr>
            </w:pPr>
            <w:r w:rsidRPr="002A66B3">
              <w:rPr>
                <w:rFonts w:cstheme="minorHAnsi"/>
              </w:rPr>
              <w:t xml:space="preserve">14,920 </w:t>
            </w:r>
          </w:p>
        </w:tc>
      </w:tr>
      <w:tr w:rsidR="002A66B3" w:rsidRPr="002A66B3" w14:paraId="6B2BDB21" w14:textId="77777777" w:rsidTr="00730ECF">
        <w:trPr>
          <w:trHeight w:val="80"/>
          <w:jc w:val="center"/>
        </w:trPr>
        <w:tc>
          <w:tcPr>
            <w:tcW w:w="6750" w:type="dxa"/>
            <w:tcBorders>
              <w:top w:val="nil"/>
              <w:left w:val="nil"/>
              <w:bottom w:val="nil"/>
              <w:right w:val="nil"/>
            </w:tcBorders>
            <w:shd w:val="clear" w:color="000000" w:fill="FFFFFF"/>
            <w:noWrap/>
            <w:vAlign w:val="bottom"/>
            <w:hideMark/>
          </w:tcPr>
          <w:p w14:paraId="6B612EA5" w14:textId="77777777" w:rsidR="002A66B3" w:rsidRPr="00730ECF" w:rsidRDefault="002A66B3" w:rsidP="00730ECF">
            <w:pPr>
              <w:ind w:left="255"/>
              <w:rPr>
                <w:rFonts w:cstheme="minorHAnsi"/>
                <w:color w:val="000000"/>
              </w:rPr>
            </w:pPr>
            <w:r w:rsidRPr="00730ECF">
              <w:rPr>
                <w:rFonts w:cstheme="minorHAnsi"/>
                <w:color w:val="000000"/>
              </w:rPr>
              <w:t>Capital grants and gifts</w:t>
            </w:r>
          </w:p>
        </w:tc>
        <w:tc>
          <w:tcPr>
            <w:tcW w:w="1440" w:type="dxa"/>
            <w:tcBorders>
              <w:top w:val="nil"/>
              <w:left w:val="nil"/>
              <w:bottom w:val="nil"/>
              <w:right w:val="nil"/>
            </w:tcBorders>
            <w:shd w:val="clear" w:color="000000" w:fill="FFFFFF"/>
            <w:noWrap/>
            <w:hideMark/>
          </w:tcPr>
          <w:p w14:paraId="0A476236" w14:textId="1F21C74B" w:rsidR="002A66B3" w:rsidRPr="00730ECF" w:rsidRDefault="002A66B3" w:rsidP="002A66B3">
            <w:pPr>
              <w:jc w:val="right"/>
              <w:rPr>
                <w:rFonts w:eastAsia="Times New Roman" w:cstheme="minorHAnsi"/>
                <w:color w:val="FF0000"/>
              </w:rPr>
            </w:pPr>
            <w:r w:rsidRPr="002A66B3">
              <w:rPr>
                <w:rFonts w:cstheme="minorHAnsi"/>
              </w:rPr>
              <w:t xml:space="preserve">71,046 </w:t>
            </w:r>
          </w:p>
        </w:tc>
        <w:tc>
          <w:tcPr>
            <w:tcW w:w="1297" w:type="dxa"/>
            <w:tcBorders>
              <w:top w:val="nil"/>
              <w:left w:val="nil"/>
              <w:bottom w:val="nil"/>
              <w:right w:val="nil"/>
            </w:tcBorders>
            <w:shd w:val="clear" w:color="000000" w:fill="FFFFFF"/>
            <w:noWrap/>
            <w:hideMark/>
          </w:tcPr>
          <w:p w14:paraId="6F8F653D" w14:textId="29EFE595" w:rsidR="002A66B3" w:rsidRPr="00730ECF" w:rsidRDefault="002A66B3" w:rsidP="002A66B3">
            <w:pPr>
              <w:jc w:val="right"/>
              <w:rPr>
                <w:rFonts w:eastAsia="Times New Roman" w:cstheme="minorHAnsi"/>
              </w:rPr>
            </w:pPr>
            <w:r w:rsidRPr="002A66B3">
              <w:rPr>
                <w:rFonts w:cstheme="minorHAnsi"/>
              </w:rPr>
              <w:t xml:space="preserve">55,505 </w:t>
            </w:r>
          </w:p>
        </w:tc>
      </w:tr>
      <w:tr w:rsidR="002A66B3" w:rsidRPr="002A66B3" w14:paraId="40BD1BED" w14:textId="77777777" w:rsidTr="00730ECF">
        <w:trPr>
          <w:trHeight w:val="80"/>
          <w:jc w:val="center"/>
        </w:trPr>
        <w:tc>
          <w:tcPr>
            <w:tcW w:w="6750" w:type="dxa"/>
            <w:tcBorders>
              <w:top w:val="nil"/>
              <w:left w:val="nil"/>
              <w:bottom w:val="nil"/>
              <w:right w:val="nil"/>
            </w:tcBorders>
            <w:shd w:val="clear" w:color="000000" w:fill="FFFFFF"/>
            <w:noWrap/>
            <w:vAlign w:val="bottom"/>
          </w:tcPr>
          <w:p w14:paraId="0C827881" w14:textId="77777777" w:rsidR="002A66B3" w:rsidRPr="00730ECF" w:rsidRDefault="002A66B3" w:rsidP="00730ECF">
            <w:pPr>
              <w:ind w:left="255"/>
              <w:rPr>
                <w:rFonts w:cstheme="minorHAnsi"/>
                <w:color w:val="000000"/>
              </w:rPr>
            </w:pPr>
            <w:r w:rsidRPr="00730ECF">
              <w:rPr>
                <w:rFonts w:cstheme="minorHAnsi"/>
                <w:color w:val="000000"/>
              </w:rPr>
              <w:t>Proceeds from lease receivables</w:t>
            </w:r>
          </w:p>
        </w:tc>
        <w:tc>
          <w:tcPr>
            <w:tcW w:w="1440" w:type="dxa"/>
            <w:tcBorders>
              <w:top w:val="nil"/>
              <w:left w:val="nil"/>
              <w:bottom w:val="nil"/>
              <w:right w:val="nil"/>
            </w:tcBorders>
            <w:shd w:val="clear" w:color="000000" w:fill="FFFFFF"/>
            <w:noWrap/>
          </w:tcPr>
          <w:p w14:paraId="0455958E" w14:textId="44D2D241" w:rsidR="002A66B3" w:rsidRPr="002A66B3" w:rsidRDefault="002A66B3" w:rsidP="002A66B3">
            <w:pPr>
              <w:jc w:val="right"/>
              <w:rPr>
                <w:rFonts w:cstheme="minorHAnsi"/>
                <w:color w:val="FF0000"/>
              </w:rPr>
            </w:pPr>
            <w:r w:rsidRPr="002A66B3">
              <w:rPr>
                <w:rFonts w:cstheme="minorHAnsi"/>
              </w:rPr>
              <w:t xml:space="preserve">294 </w:t>
            </w:r>
          </w:p>
        </w:tc>
        <w:tc>
          <w:tcPr>
            <w:tcW w:w="1297" w:type="dxa"/>
            <w:tcBorders>
              <w:top w:val="nil"/>
              <w:left w:val="nil"/>
              <w:bottom w:val="nil"/>
              <w:right w:val="nil"/>
            </w:tcBorders>
            <w:shd w:val="clear" w:color="000000" w:fill="FFFFFF"/>
            <w:noWrap/>
          </w:tcPr>
          <w:p w14:paraId="62570DE6" w14:textId="77777777" w:rsidR="002A66B3" w:rsidRPr="002A66B3" w:rsidRDefault="002A66B3" w:rsidP="002A66B3">
            <w:pPr>
              <w:jc w:val="right"/>
              <w:rPr>
                <w:rFonts w:cstheme="minorHAnsi"/>
              </w:rPr>
            </w:pPr>
            <w:r w:rsidRPr="002A66B3">
              <w:rPr>
                <w:rFonts w:cstheme="minorHAnsi"/>
              </w:rPr>
              <w:t>340</w:t>
            </w:r>
          </w:p>
        </w:tc>
      </w:tr>
      <w:tr w:rsidR="002A66B3" w:rsidRPr="002A66B3" w14:paraId="0FFD4A81" w14:textId="77777777" w:rsidTr="00730ECF">
        <w:trPr>
          <w:trHeight w:val="80"/>
          <w:jc w:val="center"/>
        </w:trPr>
        <w:tc>
          <w:tcPr>
            <w:tcW w:w="6750" w:type="dxa"/>
            <w:tcBorders>
              <w:top w:val="nil"/>
              <w:left w:val="nil"/>
              <w:bottom w:val="nil"/>
              <w:right w:val="nil"/>
            </w:tcBorders>
            <w:shd w:val="clear" w:color="000000" w:fill="FFFFFF"/>
            <w:noWrap/>
            <w:vAlign w:val="bottom"/>
            <w:hideMark/>
          </w:tcPr>
          <w:p w14:paraId="31E5381A" w14:textId="77777777" w:rsidR="002A66B3" w:rsidRPr="00730ECF" w:rsidRDefault="002A66B3" w:rsidP="00730ECF">
            <w:pPr>
              <w:ind w:left="255"/>
              <w:rPr>
                <w:rFonts w:cstheme="minorHAnsi"/>
                <w:color w:val="000000"/>
              </w:rPr>
            </w:pPr>
            <w:r w:rsidRPr="00730ECF">
              <w:rPr>
                <w:rFonts w:cstheme="minorHAnsi"/>
                <w:color w:val="000000"/>
              </w:rPr>
              <w:t>Proceeds from sale of capital assets</w:t>
            </w:r>
          </w:p>
        </w:tc>
        <w:tc>
          <w:tcPr>
            <w:tcW w:w="1440" w:type="dxa"/>
            <w:tcBorders>
              <w:top w:val="nil"/>
              <w:left w:val="nil"/>
              <w:bottom w:val="nil"/>
              <w:right w:val="nil"/>
            </w:tcBorders>
            <w:shd w:val="clear" w:color="000000" w:fill="FFFFFF"/>
            <w:noWrap/>
            <w:hideMark/>
          </w:tcPr>
          <w:p w14:paraId="41A61197" w14:textId="0BA22FDF" w:rsidR="002A66B3" w:rsidRPr="00730ECF" w:rsidRDefault="002A66B3" w:rsidP="002A66B3">
            <w:pPr>
              <w:jc w:val="right"/>
              <w:rPr>
                <w:rFonts w:eastAsia="Times New Roman" w:cstheme="minorHAnsi"/>
                <w:color w:val="FF0000"/>
              </w:rPr>
            </w:pPr>
            <w:r w:rsidRPr="002A66B3">
              <w:rPr>
                <w:rFonts w:cstheme="minorHAnsi"/>
              </w:rPr>
              <w:t xml:space="preserve">3,535 </w:t>
            </w:r>
          </w:p>
        </w:tc>
        <w:tc>
          <w:tcPr>
            <w:tcW w:w="1297" w:type="dxa"/>
            <w:tcBorders>
              <w:top w:val="nil"/>
              <w:left w:val="nil"/>
              <w:bottom w:val="nil"/>
              <w:right w:val="nil"/>
            </w:tcBorders>
            <w:shd w:val="clear" w:color="000000" w:fill="FFFFFF"/>
            <w:noWrap/>
            <w:hideMark/>
          </w:tcPr>
          <w:p w14:paraId="1AFDA706" w14:textId="7856A516" w:rsidR="002A66B3" w:rsidRPr="00730ECF" w:rsidRDefault="002A66B3" w:rsidP="002A66B3">
            <w:pPr>
              <w:jc w:val="right"/>
              <w:rPr>
                <w:rFonts w:eastAsia="Times New Roman" w:cstheme="minorHAnsi"/>
              </w:rPr>
            </w:pPr>
            <w:r w:rsidRPr="002A66B3">
              <w:rPr>
                <w:rFonts w:cstheme="minorHAnsi"/>
              </w:rPr>
              <w:t xml:space="preserve">1,210 </w:t>
            </w:r>
          </w:p>
        </w:tc>
      </w:tr>
      <w:tr w:rsidR="002A66B3" w:rsidRPr="002A66B3" w14:paraId="42BAA9B7" w14:textId="77777777" w:rsidTr="00730ECF">
        <w:trPr>
          <w:trHeight w:val="80"/>
          <w:jc w:val="center"/>
        </w:trPr>
        <w:tc>
          <w:tcPr>
            <w:tcW w:w="6750" w:type="dxa"/>
            <w:tcBorders>
              <w:top w:val="nil"/>
              <w:left w:val="nil"/>
              <w:bottom w:val="nil"/>
              <w:right w:val="nil"/>
            </w:tcBorders>
            <w:shd w:val="clear" w:color="000000" w:fill="FFFFFF"/>
            <w:noWrap/>
            <w:vAlign w:val="bottom"/>
            <w:hideMark/>
          </w:tcPr>
          <w:p w14:paraId="031FE89F" w14:textId="77777777" w:rsidR="002A66B3" w:rsidRPr="00730ECF" w:rsidRDefault="002A66B3" w:rsidP="00730ECF">
            <w:pPr>
              <w:ind w:left="255"/>
              <w:rPr>
                <w:rFonts w:cstheme="minorHAnsi"/>
                <w:color w:val="000000"/>
              </w:rPr>
            </w:pPr>
            <w:r w:rsidRPr="00730ECF">
              <w:rPr>
                <w:rFonts w:cstheme="minorHAnsi"/>
                <w:color w:val="000000"/>
              </w:rPr>
              <w:t>Acquisition and construction of capital assets</w:t>
            </w:r>
          </w:p>
        </w:tc>
        <w:tc>
          <w:tcPr>
            <w:tcW w:w="1440" w:type="dxa"/>
            <w:tcBorders>
              <w:top w:val="nil"/>
              <w:left w:val="nil"/>
              <w:bottom w:val="nil"/>
              <w:right w:val="nil"/>
            </w:tcBorders>
            <w:shd w:val="clear" w:color="000000" w:fill="FFFFFF"/>
            <w:noWrap/>
            <w:hideMark/>
          </w:tcPr>
          <w:p w14:paraId="7A2BC040" w14:textId="6718C7AE" w:rsidR="002A66B3" w:rsidRPr="00730ECF" w:rsidRDefault="002A66B3" w:rsidP="002A66B3">
            <w:pPr>
              <w:jc w:val="right"/>
              <w:rPr>
                <w:rFonts w:eastAsia="Times New Roman" w:cstheme="minorHAnsi"/>
                <w:color w:val="FF0000"/>
              </w:rPr>
            </w:pPr>
            <w:r w:rsidRPr="002A66B3">
              <w:rPr>
                <w:rFonts w:cstheme="minorHAnsi"/>
              </w:rPr>
              <w:t>(136,687)</w:t>
            </w:r>
          </w:p>
        </w:tc>
        <w:tc>
          <w:tcPr>
            <w:tcW w:w="1297" w:type="dxa"/>
            <w:tcBorders>
              <w:top w:val="nil"/>
              <w:left w:val="nil"/>
              <w:bottom w:val="nil"/>
              <w:right w:val="nil"/>
            </w:tcBorders>
            <w:shd w:val="clear" w:color="000000" w:fill="FFFFFF"/>
            <w:noWrap/>
            <w:hideMark/>
          </w:tcPr>
          <w:p w14:paraId="7B7B42B2" w14:textId="661F770C" w:rsidR="002A66B3" w:rsidRPr="00730ECF" w:rsidRDefault="002A66B3" w:rsidP="002A66B3">
            <w:pPr>
              <w:jc w:val="right"/>
              <w:rPr>
                <w:rFonts w:eastAsia="Times New Roman" w:cstheme="minorHAnsi"/>
              </w:rPr>
            </w:pPr>
            <w:r w:rsidRPr="002A66B3">
              <w:rPr>
                <w:rFonts w:cstheme="minorHAnsi"/>
              </w:rPr>
              <w:t>(110,008)</w:t>
            </w:r>
          </w:p>
        </w:tc>
      </w:tr>
      <w:tr w:rsidR="002A66B3" w:rsidRPr="002A66B3" w14:paraId="4DC6242A" w14:textId="77777777" w:rsidTr="00730ECF">
        <w:trPr>
          <w:trHeight w:val="80"/>
          <w:jc w:val="center"/>
        </w:trPr>
        <w:tc>
          <w:tcPr>
            <w:tcW w:w="6750" w:type="dxa"/>
            <w:tcBorders>
              <w:top w:val="nil"/>
              <w:left w:val="nil"/>
              <w:bottom w:val="nil"/>
              <w:right w:val="nil"/>
            </w:tcBorders>
            <w:shd w:val="clear" w:color="000000" w:fill="FFFFFF"/>
            <w:noWrap/>
            <w:vAlign w:val="bottom"/>
            <w:hideMark/>
          </w:tcPr>
          <w:p w14:paraId="0E0D9F7C" w14:textId="77777777" w:rsidR="002A66B3" w:rsidRPr="00730ECF" w:rsidRDefault="002A66B3" w:rsidP="00730ECF">
            <w:pPr>
              <w:ind w:left="255"/>
              <w:rPr>
                <w:rFonts w:cstheme="minorHAnsi"/>
                <w:color w:val="000000"/>
              </w:rPr>
            </w:pPr>
            <w:r w:rsidRPr="00730ECF">
              <w:rPr>
                <w:rFonts w:cstheme="minorHAnsi"/>
                <w:color w:val="000000"/>
              </w:rPr>
              <w:t>Principal paid on capital debt and obligations of right-to-use assets</w:t>
            </w:r>
          </w:p>
        </w:tc>
        <w:tc>
          <w:tcPr>
            <w:tcW w:w="1440" w:type="dxa"/>
            <w:tcBorders>
              <w:top w:val="nil"/>
              <w:left w:val="nil"/>
              <w:bottom w:val="nil"/>
              <w:right w:val="nil"/>
            </w:tcBorders>
            <w:shd w:val="clear" w:color="000000" w:fill="FFFFFF"/>
            <w:noWrap/>
            <w:hideMark/>
          </w:tcPr>
          <w:p w14:paraId="3BAC0EE5" w14:textId="2E493B3B" w:rsidR="002A66B3" w:rsidRPr="00730ECF" w:rsidRDefault="002A66B3" w:rsidP="002A66B3">
            <w:pPr>
              <w:jc w:val="right"/>
              <w:rPr>
                <w:rFonts w:eastAsia="Times New Roman" w:cstheme="minorHAnsi"/>
              </w:rPr>
            </w:pPr>
            <w:r w:rsidRPr="002A66B3">
              <w:rPr>
                <w:rFonts w:cstheme="minorHAnsi"/>
              </w:rPr>
              <w:t>(23,889)</w:t>
            </w:r>
          </w:p>
        </w:tc>
        <w:tc>
          <w:tcPr>
            <w:tcW w:w="1297" w:type="dxa"/>
            <w:tcBorders>
              <w:top w:val="nil"/>
              <w:left w:val="nil"/>
              <w:bottom w:val="nil"/>
              <w:right w:val="nil"/>
            </w:tcBorders>
            <w:shd w:val="clear" w:color="000000" w:fill="FFFFFF"/>
            <w:noWrap/>
            <w:hideMark/>
          </w:tcPr>
          <w:p w14:paraId="52C43F88" w14:textId="68DB11B3" w:rsidR="002A66B3" w:rsidRPr="00730ECF" w:rsidRDefault="002A66B3" w:rsidP="002A66B3">
            <w:pPr>
              <w:jc w:val="right"/>
              <w:rPr>
                <w:rFonts w:eastAsia="Times New Roman" w:cstheme="minorHAnsi"/>
              </w:rPr>
            </w:pPr>
            <w:r w:rsidRPr="002A66B3">
              <w:rPr>
                <w:rFonts w:cstheme="minorHAnsi"/>
              </w:rPr>
              <w:t>(24,839)</w:t>
            </w:r>
          </w:p>
        </w:tc>
      </w:tr>
      <w:tr w:rsidR="002A66B3" w:rsidRPr="002A66B3" w14:paraId="3040CF5C" w14:textId="77777777" w:rsidTr="00730ECF">
        <w:trPr>
          <w:trHeight w:val="80"/>
          <w:jc w:val="center"/>
        </w:trPr>
        <w:tc>
          <w:tcPr>
            <w:tcW w:w="6750" w:type="dxa"/>
            <w:tcBorders>
              <w:top w:val="nil"/>
              <w:left w:val="nil"/>
              <w:bottom w:val="single" w:sz="4" w:space="0" w:color="00688D"/>
              <w:right w:val="nil"/>
            </w:tcBorders>
            <w:shd w:val="clear" w:color="000000" w:fill="FFFFFF"/>
            <w:noWrap/>
            <w:vAlign w:val="bottom"/>
            <w:hideMark/>
          </w:tcPr>
          <w:p w14:paraId="45663E58" w14:textId="77777777" w:rsidR="002A66B3" w:rsidRPr="00730ECF" w:rsidRDefault="002A66B3" w:rsidP="00730ECF">
            <w:pPr>
              <w:ind w:left="255"/>
              <w:rPr>
                <w:rFonts w:cstheme="minorHAnsi"/>
                <w:color w:val="000000"/>
              </w:rPr>
            </w:pPr>
            <w:r w:rsidRPr="00730ECF">
              <w:rPr>
                <w:rFonts w:cstheme="minorHAnsi"/>
                <w:color w:val="000000"/>
              </w:rPr>
              <w:t>Interest paid on capital debt and leases</w:t>
            </w:r>
          </w:p>
        </w:tc>
        <w:tc>
          <w:tcPr>
            <w:tcW w:w="1440" w:type="dxa"/>
            <w:tcBorders>
              <w:top w:val="nil"/>
              <w:left w:val="nil"/>
              <w:bottom w:val="single" w:sz="4" w:space="0" w:color="00688D"/>
              <w:right w:val="nil"/>
            </w:tcBorders>
            <w:shd w:val="clear" w:color="000000" w:fill="FFFFFF"/>
            <w:noWrap/>
            <w:hideMark/>
          </w:tcPr>
          <w:p w14:paraId="7E727CB3" w14:textId="03F21048" w:rsidR="002A66B3" w:rsidRPr="00730ECF" w:rsidRDefault="002A66B3" w:rsidP="002A66B3">
            <w:pPr>
              <w:jc w:val="right"/>
              <w:rPr>
                <w:rFonts w:eastAsia="Times New Roman" w:cstheme="minorHAnsi"/>
              </w:rPr>
            </w:pPr>
            <w:r w:rsidRPr="002A66B3">
              <w:rPr>
                <w:rFonts w:cstheme="minorHAnsi"/>
              </w:rPr>
              <w:t>(11,295)</w:t>
            </w:r>
          </w:p>
        </w:tc>
        <w:tc>
          <w:tcPr>
            <w:tcW w:w="1297" w:type="dxa"/>
            <w:tcBorders>
              <w:top w:val="nil"/>
              <w:left w:val="nil"/>
              <w:bottom w:val="single" w:sz="4" w:space="0" w:color="00688D"/>
              <w:right w:val="nil"/>
            </w:tcBorders>
            <w:shd w:val="clear" w:color="000000" w:fill="FFFFFF"/>
            <w:noWrap/>
            <w:hideMark/>
          </w:tcPr>
          <w:p w14:paraId="0926CADA" w14:textId="6BBDE339" w:rsidR="002A66B3" w:rsidRPr="00730ECF" w:rsidRDefault="002A66B3" w:rsidP="002A66B3">
            <w:pPr>
              <w:jc w:val="right"/>
              <w:rPr>
                <w:rFonts w:eastAsia="Times New Roman" w:cstheme="minorHAnsi"/>
              </w:rPr>
            </w:pPr>
            <w:r w:rsidRPr="002A66B3">
              <w:rPr>
                <w:rFonts w:cstheme="minorHAnsi"/>
              </w:rPr>
              <w:t>(11,310)</w:t>
            </w:r>
          </w:p>
        </w:tc>
      </w:tr>
      <w:tr w:rsidR="002A66B3" w:rsidRPr="002A66B3" w14:paraId="315BB372" w14:textId="77777777" w:rsidTr="00730ECF">
        <w:trPr>
          <w:trHeight w:val="70"/>
          <w:jc w:val="center"/>
        </w:trPr>
        <w:tc>
          <w:tcPr>
            <w:tcW w:w="6750" w:type="dxa"/>
            <w:tcBorders>
              <w:top w:val="nil"/>
              <w:left w:val="nil"/>
              <w:bottom w:val="single" w:sz="4" w:space="0" w:color="000000"/>
              <w:right w:val="nil"/>
            </w:tcBorders>
            <w:shd w:val="clear" w:color="000000" w:fill="FFFFFF"/>
            <w:noWrap/>
            <w:vAlign w:val="bottom"/>
            <w:hideMark/>
          </w:tcPr>
          <w:p w14:paraId="415FBECF" w14:textId="77777777" w:rsidR="002A66B3" w:rsidRPr="00730ECF" w:rsidRDefault="002A66B3" w:rsidP="00730ECF">
            <w:pPr>
              <w:ind w:left="525"/>
              <w:rPr>
                <w:rFonts w:cstheme="minorHAnsi"/>
                <w:b/>
                <w:bCs/>
                <w:color w:val="000000"/>
              </w:rPr>
            </w:pPr>
            <w:r w:rsidRPr="00730ECF">
              <w:rPr>
                <w:rFonts w:cstheme="minorHAnsi"/>
                <w:b/>
                <w:bCs/>
                <w:color w:val="000000"/>
              </w:rPr>
              <w:t>Net Cash Used for Capital and Related Financing Activities</w:t>
            </w:r>
          </w:p>
        </w:tc>
        <w:tc>
          <w:tcPr>
            <w:tcW w:w="1440" w:type="dxa"/>
            <w:tcBorders>
              <w:top w:val="nil"/>
              <w:left w:val="nil"/>
              <w:bottom w:val="single" w:sz="4" w:space="0" w:color="000000"/>
              <w:right w:val="nil"/>
            </w:tcBorders>
            <w:shd w:val="clear" w:color="000000" w:fill="FFFFFF"/>
            <w:noWrap/>
            <w:hideMark/>
          </w:tcPr>
          <w:p w14:paraId="1127E27E" w14:textId="012A68D8" w:rsidR="002A66B3" w:rsidRPr="00730ECF" w:rsidRDefault="002A66B3" w:rsidP="002A66B3">
            <w:pPr>
              <w:jc w:val="right"/>
              <w:rPr>
                <w:rFonts w:eastAsia="Times New Roman" w:cstheme="minorHAnsi"/>
              </w:rPr>
            </w:pPr>
            <w:r w:rsidRPr="002A66B3">
              <w:rPr>
                <w:rFonts w:cstheme="minorHAnsi"/>
              </w:rPr>
              <w:t>(81,899)</w:t>
            </w:r>
          </w:p>
        </w:tc>
        <w:tc>
          <w:tcPr>
            <w:tcW w:w="1297" w:type="dxa"/>
            <w:tcBorders>
              <w:top w:val="nil"/>
              <w:left w:val="nil"/>
              <w:bottom w:val="single" w:sz="4" w:space="0" w:color="000000"/>
              <w:right w:val="nil"/>
            </w:tcBorders>
            <w:shd w:val="clear" w:color="000000" w:fill="FFFFFF"/>
            <w:noWrap/>
            <w:hideMark/>
          </w:tcPr>
          <w:p w14:paraId="4228C6B4" w14:textId="5DE0D3E0" w:rsidR="002A66B3" w:rsidRPr="00730ECF" w:rsidRDefault="002A66B3" w:rsidP="002A66B3">
            <w:pPr>
              <w:jc w:val="right"/>
              <w:rPr>
                <w:rFonts w:eastAsia="Times New Roman" w:cstheme="minorHAnsi"/>
              </w:rPr>
            </w:pPr>
            <w:r w:rsidRPr="002A66B3">
              <w:rPr>
                <w:rFonts w:cstheme="minorHAnsi"/>
              </w:rPr>
              <w:t>(74,182)</w:t>
            </w:r>
          </w:p>
        </w:tc>
      </w:tr>
      <w:tr w:rsidR="002A66B3" w:rsidRPr="002A66B3" w14:paraId="604100F8" w14:textId="77777777" w:rsidTr="00730ECF">
        <w:trPr>
          <w:trHeight w:val="70"/>
          <w:jc w:val="center"/>
        </w:trPr>
        <w:tc>
          <w:tcPr>
            <w:tcW w:w="6750" w:type="dxa"/>
            <w:tcBorders>
              <w:top w:val="nil"/>
              <w:left w:val="nil"/>
              <w:bottom w:val="nil"/>
              <w:right w:val="nil"/>
            </w:tcBorders>
            <w:shd w:val="clear" w:color="000000" w:fill="FFFFFF"/>
            <w:noWrap/>
            <w:vAlign w:val="bottom"/>
            <w:hideMark/>
          </w:tcPr>
          <w:p w14:paraId="25FFDDE7" w14:textId="77777777" w:rsidR="002A66B3" w:rsidRPr="00730ECF" w:rsidRDefault="002A66B3" w:rsidP="002A66B3">
            <w:pPr>
              <w:rPr>
                <w:rFonts w:cstheme="minorHAnsi"/>
                <w:b/>
                <w:bCs/>
                <w:color w:val="000000"/>
              </w:rPr>
            </w:pPr>
            <w:r w:rsidRPr="00730ECF">
              <w:rPr>
                <w:rFonts w:cstheme="minorHAnsi"/>
                <w:b/>
                <w:bCs/>
                <w:color w:val="000000"/>
              </w:rPr>
              <w:t>Cash Flows From Investing Activities</w:t>
            </w:r>
          </w:p>
        </w:tc>
        <w:tc>
          <w:tcPr>
            <w:tcW w:w="1440" w:type="dxa"/>
            <w:tcBorders>
              <w:top w:val="nil"/>
              <w:left w:val="nil"/>
              <w:bottom w:val="nil"/>
              <w:right w:val="nil"/>
            </w:tcBorders>
            <w:shd w:val="clear" w:color="000000" w:fill="FFFFFF"/>
            <w:noWrap/>
            <w:vAlign w:val="bottom"/>
            <w:hideMark/>
          </w:tcPr>
          <w:p w14:paraId="63F0B750" w14:textId="6424DFF2" w:rsidR="002A66B3" w:rsidRPr="00730ECF" w:rsidRDefault="002A66B3" w:rsidP="002A66B3">
            <w:pPr>
              <w:jc w:val="right"/>
              <w:rPr>
                <w:rFonts w:cstheme="minorHAnsi"/>
              </w:rPr>
            </w:pPr>
          </w:p>
        </w:tc>
        <w:tc>
          <w:tcPr>
            <w:tcW w:w="1297" w:type="dxa"/>
            <w:tcBorders>
              <w:top w:val="nil"/>
              <w:left w:val="nil"/>
              <w:bottom w:val="nil"/>
              <w:right w:val="nil"/>
            </w:tcBorders>
            <w:shd w:val="clear" w:color="000000" w:fill="FFFFFF"/>
            <w:noWrap/>
            <w:vAlign w:val="bottom"/>
            <w:hideMark/>
          </w:tcPr>
          <w:p w14:paraId="24B57472" w14:textId="3856DE8F" w:rsidR="002A66B3" w:rsidRPr="00730ECF" w:rsidRDefault="002A66B3" w:rsidP="002A66B3">
            <w:pPr>
              <w:jc w:val="right"/>
              <w:rPr>
                <w:rFonts w:cstheme="minorHAnsi"/>
              </w:rPr>
            </w:pPr>
          </w:p>
        </w:tc>
      </w:tr>
      <w:tr w:rsidR="002A66B3" w:rsidRPr="002A66B3" w14:paraId="3386E7BB" w14:textId="77777777" w:rsidTr="00730ECF">
        <w:trPr>
          <w:trHeight w:val="80"/>
          <w:jc w:val="center"/>
        </w:trPr>
        <w:tc>
          <w:tcPr>
            <w:tcW w:w="6750" w:type="dxa"/>
            <w:tcBorders>
              <w:top w:val="nil"/>
              <w:left w:val="nil"/>
              <w:bottom w:val="nil"/>
              <w:right w:val="nil"/>
            </w:tcBorders>
            <w:shd w:val="clear" w:color="000000" w:fill="FFFFFF"/>
            <w:noWrap/>
            <w:vAlign w:val="bottom"/>
            <w:hideMark/>
          </w:tcPr>
          <w:p w14:paraId="38CF15D7" w14:textId="77777777" w:rsidR="002A66B3" w:rsidRPr="00730ECF" w:rsidRDefault="002A66B3" w:rsidP="00730ECF">
            <w:pPr>
              <w:ind w:left="255"/>
              <w:rPr>
                <w:rFonts w:cstheme="minorHAnsi"/>
                <w:color w:val="000000"/>
              </w:rPr>
            </w:pPr>
            <w:r w:rsidRPr="00730ECF">
              <w:rPr>
                <w:rFonts w:cstheme="minorHAnsi"/>
                <w:color w:val="000000"/>
              </w:rPr>
              <w:t>Proceeds from sales and maturities of investments</w:t>
            </w:r>
          </w:p>
        </w:tc>
        <w:tc>
          <w:tcPr>
            <w:tcW w:w="1440" w:type="dxa"/>
            <w:tcBorders>
              <w:top w:val="nil"/>
              <w:left w:val="nil"/>
              <w:bottom w:val="nil"/>
              <w:right w:val="nil"/>
            </w:tcBorders>
            <w:shd w:val="clear" w:color="000000" w:fill="FFFFFF"/>
            <w:noWrap/>
            <w:hideMark/>
          </w:tcPr>
          <w:p w14:paraId="7B85BA95" w14:textId="47878D96" w:rsidR="002A66B3" w:rsidRPr="00730ECF" w:rsidRDefault="002A66B3" w:rsidP="002A66B3">
            <w:pPr>
              <w:jc w:val="right"/>
              <w:rPr>
                <w:rFonts w:eastAsia="Times New Roman" w:cstheme="minorHAnsi"/>
              </w:rPr>
            </w:pPr>
            <w:r w:rsidRPr="002A66B3">
              <w:rPr>
                <w:rFonts w:cstheme="minorHAnsi"/>
              </w:rPr>
              <w:t xml:space="preserve">894,747 </w:t>
            </w:r>
          </w:p>
        </w:tc>
        <w:tc>
          <w:tcPr>
            <w:tcW w:w="1297" w:type="dxa"/>
            <w:tcBorders>
              <w:top w:val="nil"/>
              <w:left w:val="nil"/>
              <w:bottom w:val="nil"/>
              <w:right w:val="nil"/>
            </w:tcBorders>
            <w:shd w:val="clear" w:color="000000" w:fill="FFFFFF"/>
            <w:noWrap/>
            <w:hideMark/>
          </w:tcPr>
          <w:p w14:paraId="5453F265" w14:textId="76214BE7" w:rsidR="002A66B3" w:rsidRPr="00730ECF" w:rsidRDefault="002A66B3" w:rsidP="002A66B3">
            <w:pPr>
              <w:jc w:val="right"/>
              <w:rPr>
                <w:rFonts w:eastAsia="Times New Roman" w:cstheme="minorHAnsi"/>
              </w:rPr>
            </w:pPr>
            <w:r w:rsidRPr="002A66B3">
              <w:rPr>
                <w:rFonts w:cstheme="minorHAnsi"/>
              </w:rPr>
              <w:t xml:space="preserve">902,380 </w:t>
            </w:r>
          </w:p>
        </w:tc>
      </w:tr>
      <w:tr w:rsidR="002A66B3" w:rsidRPr="002A66B3" w14:paraId="3744B1A2" w14:textId="77777777" w:rsidTr="00730ECF">
        <w:trPr>
          <w:trHeight w:val="80"/>
          <w:jc w:val="center"/>
        </w:trPr>
        <w:tc>
          <w:tcPr>
            <w:tcW w:w="6750" w:type="dxa"/>
            <w:tcBorders>
              <w:top w:val="nil"/>
              <w:left w:val="nil"/>
              <w:bottom w:val="nil"/>
              <w:right w:val="nil"/>
            </w:tcBorders>
            <w:shd w:val="clear" w:color="000000" w:fill="FFFFFF"/>
            <w:noWrap/>
            <w:vAlign w:val="bottom"/>
            <w:hideMark/>
          </w:tcPr>
          <w:p w14:paraId="5974BF02" w14:textId="77777777" w:rsidR="002A66B3" w:rsidRPr="00730ECF" w:rsidRDefault="002A66B3" w:rsidP="00730ECF">
            <w:pPr>
              <w:ind w:left="255"/>
              <w:rPr>
                <w:rFonts w:cstheme="minorHAnsi"/>
                <w:color w:val="000000"/>
              </w:rPr>
            </w:pPr>
            <w:r w:rsidRPr="00730ECF">
              <w:rPr>
                <w:rFonts w:cstheme="minorHAnsi"/>
                <w:color w:val="000000"/>
              </w:rPr>
              <w:t>Purchases of investments</w:t>
            </w:r>
          </w:p>
        </w:tc>
        <w:tc>
          <w:tcPr>
            <w:tcW w:w="1440" w:type="dxa"/>
            <w:tcBorders>
              <w:top w:val="nil"/>
              <w:left w:val="nil"/>
              <w:bottom w:val="nil"/>
              <w:right w:val="nil"/>
            </w:tcBorders>
            <w:shd w:val="clear" w:color="000000" w:fill="FFFFFF"/>
            <w:noWrap/>
            <w:hideMark/>
          </w:tcPr>
          <w:p w14:paraId="6ED093E7" w14:textId="1FFE435D" w:rsidR="002A66B3" w:rsidRPr="00730ECF" w:rsidRDefault="002A66B3" w:rsidP="002A66B3">
            <w:pPr>
              <w:jc w:val="right"/>
              <w:rPr>
                <w:rFonts w:eastAsia="Times New Roman" w:cstheme="minorHAnsi"/>
              </w:rPr>
            </w:pPr>
            <w:r w:rsidRPr="002A66B3">
              <w:rPr>
                <w:rFonts w:cstheme="minorHAnsi"/>
              </w:rPr>
              <w:t>(875,030)</w:t>
            </w:r>
          </w:p>
        </w:tc>
        <w:tc>
          <w:tcPr>
            <w:tcW w:w="1297" w:type="dxa"/>
            <w:tcBorders>
              <w:top w:val="nil"/>
              <w:left w:val="nil"/>
              <w:bottom w:val="nil"/>
              <w:right w:val="nil"/>
            </w:tcBorders>
            <w:shd w:val="clear" w:color="000000" w:fill="FFFFFF"/>
            <w:noWrap/>
            <w:hideMark/>
          </w:tcPr>
          <w:p w14:paraId="52C6FF80" w14:textId="14A8421D" w:rsidR="002A66B3" w:rsidRPr="00730ECF" w:rsidRDefault="002A66B3" w:rsidP="002A66B3">
            <w:pPr>
              <w:jc w:val="right"/>
              <w:rPr>
                <w:rFonts w:eastAsia="Times New Roman" w:cstheme="minorHAnsi"/>
              </w:rPr>
            </w:pPr>
            <w:r w:rsidRPr="002A66B3">
              <w:rPr>
                <w:rFonts w:cstheme="minorHAnsi"/>
              </w:rPr>
              <w:t>(866,722)</w:t>
            </w:r>
          </w:p>
        </w:tc>
      </w:tr>
      <w:tr w:rsidR="002A66B3" w:rsidRPr="002A66B3" w14:paraId="4B7ADCB8" w14:textId="77777777" w:rsidTr="00730ECF">
        <w:trPr>
          <w:trHeight w:val="80"/>
          <w:jc w:val="center"/>
        </w:trPr>
        <w:tc>
          <w:tcPr>
            <w:tcW w:w="6750" w:type="dxa"/>
            <w:tcBorders>
              <w:top w:val="nil"/>
              <w:left w:val="nil"/>
              <w:bottom w:val="single" w:sz="4" w:space="0" w:color="000000"/>
              <w:right w:val="nil"/>
            </w:tcBorders>
            <w:shd w:val="clear" w:color="000000" w:fill="FFFFFF"/>
            <w:noWrap/>
            <w:vAlign w:val="bottom"/>
            <w:hideMark/>
          </w:tcPr>
          <w:p w14:paraId="615F6F6A" w14:textId="77777777" w:rsidR="002A66B3" w:rsidRPr="00730ECF" w:rsidRDefault="002A66B3" w:rsidP="00730ECF">
            <w:pPr>
              <w:ind w:left="255"/>
              <w:rPr>
                <w:rFonts w:cstheme="minorHAnsi"/>
                <w:color w:val="000000"/>
              </w:rPr>
            </w:pPr>
            <w:r w:rsidRPr="00730ECF">
              <w:rPr>
                <w:rFonts w:cstheme="minorHAnsi"/>
                <w:color w:val="000000"/>
              </w:rPr>
              <w:t>Earnings from investments</w:t>
            </w:r>
          </w:p>
        </w:tc>
        <w:tc>
          <w:tcPr>
            <w:tcW w:w="1440" w:type="dxa"/>
            <w:tcBorders>
              <w:top w:val="nil"/>
              <w:left w:val="nil"/>
              <w:bottom w:val="single" w:sz="4" w:space="0" w:color="000000"/>
              <w:right w:val="nil"/>
            </w:tcBorders>
            <w:shd w:val="clear" w:color="000000" w:fill="FFFFFF"/>
            <w:noWrap/>
            <w:hideMark/>
          </w:tcPr>
          <w:p w14:paraId="25420E00" w14:textId="3C4D4A9A" w:rsidR="002A66B3" w:rsidRPr="00730ECF" w:rsidRDefault="002A66B3" w:rsidP="002A66B3">
            <w:pPr>
              <w:jc w:val="right"/>
              <w:rPr>
                <w:rFonts w:eastAsia="Times New Roman" w:cstheme="minorHAnsi"/>
              </w:rPr>
            </w:pPr>
            <w:r w:rsidRPr="002A66B3">
              <w:rPr>
                <w:rFonts w:cstheme="minorHAnsi"/>
              </w:rPr>
              <w:t xml:space="preserve">17,272 </w:t>
            </w:r>
          </w:p>
        </w:tc>
        <w:tc>
          <w:tcPr>
            <w:tcW w:w="1297" w:type="dxa"/>
            <w:tcBorders>
              <w:top w:val="nil"/>
              <w:left w:val="nil"/>
              <w:bottom w:val="single" w:sz="4" w:space="0" w:color="000000"/>
              <w:right w:val="nil"/>
            </w:tcBorders>
            <w:shd w:val="clear" w:color="000000" w:fill="FFFFFF"/>
            <w:noWrap/>
            <w:hideMark/>
          </w:tcPr>
          <w:p w14:paraId="721FDD54" w14:textId="60AA3F13" w:rsidR="002A66B3" w:rsidRPr="00730ECF" w:rsidRDefault="002A66B3" w:rsidP="002A66B3">
            <w:pPr>
              <w:jc w:val="right"/>
              <w:rPr>
                <w:rFonts w:eastAsia="Times New Roman" w:cstheme="minorHAnsi"/>
              </w:rPr>
            </w:pPr>
            <w:r w:rsidRPr="002A66B3">
              <w:rPr>
                <w:rFonts w:cstheme="minorHAnsi"/>
              </w:rPr>
              <w:t xml:space="preserve">16,627 </w:t>
            </w:r>
          </w:p>
        </w:tc>
      </w:tr>
      <w:tr w:rsidR="002A66B3" w:rsidRPr="002A66B3" w14:paraId="3CD2A55C" w14:textId="77777777" w:rsidTr="00730ECF">
        <w:trPr>
          <w:trHeight w:val="70"/>
          <w:jc w:val="center"/>
        </w:trPr>
        <w:tc>
          <w:tcPr>
            <w:tcW w:w="6750" w:type="dxa"/>
            <w:tcBorders>
              <w:top w:val="nil"/>
              <w:left w:val="nil"/>
              <w:bottom w:val="single" w:sz="4" w:space="0" w:color="000000"/>
              <w:right w:val="nil"/>
            </w:tcBorders>
            <w:shd w:val="clear" w:color="000000" w:fill="FFFFFF"/>
            <w:noWrap/>
            <w:vAlign w:val="bottom"/>
            <w:hideMark/>
          </w:tcPr>
          <w:p w14:paraId="43726CC3" w14:textId="77777777" w:rsidR="002A66B3" w:rsidRPr="00730ECF" w:rsidRDefault="002A66B3" w:rsidP="00730ECF">
            <w:pPr>
              <w:ind w:left="525"/>
              <w:rPr>
                <w:rFonts w:cstheme="minorHAnsi"/>
                <w:b/>
                <w:bCs/>
                <w:color w:val="000000"/>
              </w:rPr>
            </w:pPr>
            <w:r w:rsidRPr="00730ECF">
              <w:rPr>
                <w:rFonts w:cstheme="minorHAnsi"/>
                <w:b/>
                <w:bCs/>
                <w:color w:val="000000"/>
              </w:rPr>
              <w:t>Net Cash Provided by Investing Activities</w:t>
            </w:r>
          </w:p>
        </w:tc>
        <w:tc>
          <w:tcPr>
            <w:tcW w:w="1440" w:type="dxa"/>
            <w:tcBorders>
              <w:top w:val="nil"/>
              <w:left w:val="nil"/>
              <w:bottom w:val="single" w:sz="4" w:space="0" w:color="000000"/>
              <w:right w:val="nil"/>
            </w:tcBorders>
            <w:shd w:val="clear" w:color="000000" w:fill="FFFFFF"/>
            <w:noWrap/>
            <w:hideMark/>
          </w:tcPr>
          <w:p w14:paraId="17C36097" w14:textId="1C733915" w:rsidR="002A66B3" w:rsidRPr="00730ECF" w:rsidRDefault="002A66B3" w:rsidP="002A66B3">
            <w:pPr>
              <w:jc w:val="right"/>
              <w:rPr>
                <w:rFonts w:eastAsia="Times New Roman" w:cstheme="minorHAnsi"/>
              </w:rPr>
            </w:pPr>
            <w:r w:rsidRPr="002A66B3">
              <w:rPr>
                <w:rFonts w:cstheme="minorHAnsi"/>
              </w:rPr>
              <w:t>36,989</w:t>
            </w:r>
          </w:p>
        </w:tc>
        <w:tc>
          <w:tcPr>
            <w:tcW w:w="1297" w:type="dxa"/>
            <w:tcBorders>
              <w:top w:val="nil"/>
              <w:left w:val="nil"/>
              <w:bottom w:val="single" w:sz="4" w:space="0" w:color="000000"/>
              <w:right w:val="nil"/>
            </w:tcBorders>
            <w:shd w:val="clear" w:color="000000" w:fill="FFFFFF"/>
            <w:noWrap/>
            <w:hideMark/>
          </w:tcPr>
          <w:p w14:paraId="3D5D3BF9" w14:textId="0B67DFAF" w:rsidR="002A66B3" w:rsidRPr="00730ECF" w:rsidRDefault="002A66B3" w:rsidP="002A66B3">
            <w:pPr>
              <w:jc w:val="right"/>
              <w:rPr>
                <w:rFonts w:eastAsia="Times New Roman" w:cstheme="minorHAnsi"/>
              </w:rPr>
            </w:pPr>
            <w:r w:rsidRPr="002A66B3">
              <w:rPr>
                <w:rFonts w:cstheme="minorHAnsi"/>
              </w:rPr>
              <w:t xml:space="preserve">52,285 </w:t>
            </w:r>
          </w:p>
        </w:tc>
      </w:tr>
      <w:tr w:rsidR="002A66B3" w:rsidRPr="002A66B3" w14:paraId="1E9E3BE6" w14:textId="77777777" w:rsidTr="00730ECF">
        <w:trPr>
          <w:trHeight w:val="70"/>
          <w:jc w:val="center"/>
        </w:trPr>
        <w:tc>
          <w:tcPr>
            <w:tcW w:w="6750" w:type="dxa"/>
            <w:tcBorders>
              <w:top w:val="nil"/>
              <w:left w:val="nil"/>
              <w:bottom w:val="nil"/>
              <w:right w:val="nil"/>
            </w:tcBorders>
            <w:shd w:val="clear" w:color="000000" w:fill="FFFFFF"/>
            <w:noWrap/>
            <w:vAlign w:val="bottom"/>
            <w:hideMark/>
          </w:tcPr>
          <w:p w14:paraId="781E9575" w14:textId="77777777" w:rsidR="002A66B3" w:rsidRPr="00730ECF" w:rsidRDefault="002A66B3" w:rsidP="00730ECF">
            <w:pPr>
              <w:ind w:left="255"/>
              <w:rPr>
                <w:rFonts w:cstheme="minorHAnsi"/>
                <w:b/>
                <w:bCs/>
                <w:color w:val="000000"/>
              </w:rPr>
            </w:pPr>
            <w:r w:rsidRPr="00730ECF">
              <w:rPr>
                <w:rFonts w:cstheme="minorHAnsi"/>
                <w:b/>
                <w:bCs/>
                <w:color w:val="000000"/>
              </w:rPr>
              <w:t>Net Increase (Decrease) in Cash and Cash Equivalents</w:t>
            </w:r>
          </w:p>
        </w:tc>
        <w:tc>
          <w:tcPr>
            <w:tcW w:w="1440" w:type="dxa"/>
            <w:tcBorders>
              <w:top w:val="nil"/>
              <w:left w:val="nil"/>
              <w:bottom w:val="nil"/>
              <w:right w:val="nil"/>
            </w:tcBorders>
            <w:shd w:val="clear" w:color="000000" w:fill="FFFFFF"/>
            <w:noWrap/>
            <w:hideMark/>
          </w:tcPr>
          <w:p w14:paraId="48589DF1" w14:textId="7686E86B" w:rsidR="002A66B3" w:rsidRPr="00730ECF" w:rsidRDefault="002A66B3" w:rsidP="002A66B3">
            <w:pPr>
              <w:jc w:val="right"/>
              <w:rPr>
                <w:rFonts w:eastAsia="Times New Roman" w:cstheme="minorHAnsi"/>
              </w:rPr>
            </w:pPr>
            <w:r w:rsidRPr="002A66B3">
              <w:rPr>
                <w:rFonts w:cstheme="minorHAnsi"/>
              </w:rPr>
              <w:t>(6,402)</w:t>
            </w:r>
          </w:p>
        </w:tc>
        <w:tc>
          <w:tcPr>
            <w:tcW w:w="1297" w:type="dxa"/>
            <w:tcBorders>
              <w:top w:val="nil"/>
              <w:left w:val="nil"/>
              <w:bottom w:val="nil"/>
              <w:right w:val="nil"/>
            </w:tcBorders>
            <w:shd w:val="clear" w:color="000000" w:fill="FFFFFF"/>
            <w:noWrap/>
            <w:hideMark/>
          </w:tcPr>
          <w:p w14:paraId="0AB00AE2" w14:textId="47BE202F" w:rsidR="002A66B3" w:rsidRPr="00730ECF" w:rsidRDefault="002A66B3" w:rsidP="002A66B3">
            <w:pPr>
              <w:jc w:val="right"/>
              <w:rPr>
                <w:rFonts w:eastAsia="Times New Roman" w:cstheme="minorHAnsi"/>
              </w:rPr>
            </w:pPr>
            <w:r w:rsidRPr="002A66B3">
              <w:rPr>
                <w:rFonts w:cstheme="minorHAnsi"/>
              </w:rPr>
              <w:t xml:space="preserve">1,335 </w:t>
            </w:r>
          </w:p>
        </w:tc>
      </w:tr>
      <w:tr w:rsidR="002A66B3" w:rsidRPr="002A66B3" w14:paraId="427A587C" w14:textId="77777777" w:rsidTr="00730ECF">
        <w:trPr>
          <w:trHeight w:val="80"/>
          <w:jc w:val="center"/>
        </w:trPr>
        <w:tc>
          <w:tcPr>
            <w:tcW w:w="6750" w:type="dxa"/>
            <w:tcBorders>
              <w:top w:val="nil"/>
              <w:left w:val="nil"/>
              <w:bottom w:val="single" w:sz="4" w:space="0" w:color="000000"/>
              <w:right w:val="nil"/>
            </w:tcBorders>
            <w:shd w:val="clear" w:color="000000" w:fill="FFFFFF"/>
            <w:noWrap/>
            <w:vAlign w:val="bottom"/>
            <w:hideMark/>
          </w:tcPr>
          <w:p w14:paraId="376C9815" w14:textId="77777777" w:rsidR="002A66B3" w:rsidRPr="00730ECF" w:rsidRDefault="002A66B3" w:rsidP="00730ECF">
            <w:pPr>
              <w:ind w:left="255"/>
              <w:rPr>
                <w:rFonts w:cstheme="minorHAnsi"/>
                <w:b/>
                <w:bCs/>
                <w:color w:val="000000"/>
              </w:rPr>
            </w:pPr>
            <w:r w:rsidRPr="00730ECF">
              <w:rPr>
                <w:rFonts w:cstheme="minorHAnsi"/>
                <w:b/>
                <w:bCs/>
                <w:color w:val="000000"/>
              </w:rPr>
              <w:t>Cash and Cash Equivalents - Beginning of Year</w:t>
            </w:r>
          </w:p>
        </w:tc>
        <w:tc>
          <w:tcPr>
            <w:tcW w:w="1440" w:type="dxa"/>
            <w:tcBorders>
              <w:top w:val="nil"/>
              <w:left w:val="nil"/>
              <w:bottom w:val="single" w:sz="4" w:space="0" w:color="000000"/>
              <w:right w:val="nil"/>
            </w:tcBorders>
            <w:shd w:val="clear" w:color="000000" w:fill="FFFFFF"/>
            <w:noWrap/>
            <w:hideMark/>
          </w:tcPr>
          <w:p w14:paraId="5C1339F0" w14:textId="45AF833C" w:rsidR="002A66B3" w:rsidRPr="00730ECF" w:rsidRDefault="002A66B3" w:rsidP="002A66B3">
            <w:pPr>
              <w:jc w:val="right"/>
              <w:rPr>
                <w:rFonts w:eastAsia="Times New Roman" w:cstheme="minorHAnsi"/>
              </w:rPr>
            </w:pPr>
            <w:r w:rsidRPr="002A66B3">
              <w:rPr>
                <w:rFonts w:cstheme="minorHAnsi"/>
              </w:rPr>
              <w:t>7,923</w:t>
            </w:r>
          </w:p>
        </w:tc>
        <w:tc>
          <w:tcPr>
            <w:tcW w:w="1297" w:type="dxa"/>
            <w:tcBorders>
              <w:top w:val="nil"/>
              <w:left w:val="nil"/>
              <w:bottom w:val="single" w:sz="4" w:space="0" w:color="000000"/>
              <w:right w:val="nil"/>
            </w:tcBorders>
            <w:shd w:val="clear" w:color="000000" w:fill="FFFFFF"/>
            <w:noWrap/>
            <w:hideMark/>
          </w:tcPr>
          <w:p w14:paraId="68A2A3FF" w14:textId="50A2D46C" w:rsidR="002A66B3" w:rsidRPr="00730ECF" w:rsidRDefault="002A66B3" w:rsidP="002A66B3">
            <w:pPr>
              <w:jc w:val="right"/>
              <w:rPr>
                <w:rFonts w:eastAsia="Times New Roman" w:cstheme="minorHAnsi"/>
                <w:color w:val="000000"/>
              </w:rPr>
            </w:pPr>
            <w:r w:rsidRPr="002A66B3">
              <w:rPr>
                <w:rFonts w:cstheme="minorHAnsi"/>
              </w:rPr>
              <w:t xml:space="preserve">6,588 </w:t>
            </w:r>
          </w:p>
        </w:tc>
      </w:tr>
      <w:tr w:rsidR="002A66B3" w:rsidRPr="002A66B3" w14:paraId="15C9B810" w14:textId="77777777" w:rsidTr="00730ECF">
        <w:trPr>
          <w:trHeight w:val="70"/>
          <w:jc w:val="center"/>
        </w:trPr>
        <w:tc>
          <w:tcPr>
            <w:tcW w:w="6750" w:type="dxa"/>
            <w:tcBorders>
              <w:top w:val="nil"/>
              <w:left w:val="nil"/>
              <w:bottom w:val="double" w:sz="6" w:space="0" w:color="00688D"/>
              <w:right w:val="nil"/>
            </w:tcBorders>
            <w:shd w:val="clear" w:color="000000" w:fill="FFFFFF"/>
            <w:noWrap/>
            <w:vAlign w:val="bottom"/>
            <w:hideMark/>
          </w:tcPr>
          <w:p w14:paraId="6AA167A2" w14:textId="77777777" w:rsidR="002A66B3" w:rsidRPr="00730ECF" w:rsidRDefault="002A66B3" w:rsidP="00730ECF">
            <w:pPr>
              <w:ind w:left="255"/>
              <w:rPr>
                <w:rFonts w:cstheme="minorHAnsi"/>
                <w:b/>
                <w:bCs/>
                <w:color w:val="000000"/>
              </w:rPr>
            </w:pPr>
            <w:r w:rsidRPr="00730ECF">
              <w:rPr>
                <w:rFonts w:cstheme="minorHAnsi"/>
                <w:b/>
                <w:bCs/>
                <w:color w:val="000000"/>
              </w:rPr>
              <w:t>Cash and Cash Equivalents - End of Year</w:t>
            </w:r>
          </w:p>
        </w:tc>
        <w:tc>
          <w:tcPr>
            <w:tcW w:w="1440" w:type="dxa"/>
            <w:tcBorders>
              <w:top w:val="nil"/>
              <w:left w:val="nil"/>
              <w:bottom w:val="double" w:sz="6" w:space="0" w:color="00688D"/>
              <w:right w:val="nil"/>
            </w:tcBorders>
            <w:shd w:val="clear" w:color="000000" w:fill="FFFFFF"/>
            <w:noWrap/>
            <w:hideMark/>
          </w:tcPr>
          <w:p w14:paraId="4D11A2D8" w14:textId="795A5ADB" w:rsidR="002A66B3" w:rsidRPr="00730ECF" w:rsidRDefault="002A66B3" w:rsidP="002A66B3">
            <w:pPr>
              <w:jc w:val="right"/>
              <w:rPr>
                <w:rFonts w:eastAsia="Times New Roman" w:cstheme="minorHAnsi"/>
                <w:b/>
                <w:bCs/>
              </w:rPr>
            </w:pPr>
            <w:r w:rsidRPr="00730ECF">
              <w:rPr>
                <w:rFonts w:cstheme="minorHAnsi"/>
                <w:b/>
              </w:rPr>
              <w:t>$1,521</w:t>
            </w:r>
          </w:p>
        </w:tc>
        <w:tc>
          <w:tcPr>
            <w:tcW w:w="1297" w:type="dxa"/>
            <w:tcBorders>
              <w:top w:val="nil"/>
              <w:left w:val="nil"/>
              <w:bottom w:val="double" w:sz="6" w:space="0" w:color="00688D"/>
              <w:right w:val="nil"/>
            </w:tcBorders>
            <w:shd w:val="clear" w:color="000000" w:fill="FFFFFF"/>
            <w:noWrap/>
            <w:hideMark/>
          </w:tcPr>
          <w:p w14:paraId="38A10F03" w14:textId="6106FF86" w:rsidR="002A66B3" w:rsidRPr="00730ECF" w:rsidRDefault="002A66B3" w:rsidP="002A66B3">
            <w:pPr>
              <w:jc w:val="right"/>
              <w:rPr>
                <w:rFonts w:eastAsia="Times New Roman" w:cstheme="minorHAnsi"/>
                <w:b/>
                <w:bCs/>
              </w:rPr>
            </w:pPr>
            <w:r w:rsidRPr="00730ECF">
              <w:rPr>
                <w:rFonts w:cstheme="minorHAnsi"/>
                <w:b/>
              </w:rPr>
              <w:t xml:space="preserve">$ 7,923 </w:t>
            </w:r>
          </w:p>
        </w:tc>
      </w:tr>
    </w:tbl>
    <w:p w14:paraId="76A70CB5" w14:textId="77777777" w:rsidR="002A66B3" w:rsidRPr="002A66B3" w:rsidRDefault="002A66B3" w:rsidP="00730ECF">
      <w:pPr>
        <w:spacing w:before="120" w:line="259" w:lineRule="auto"/>
        <w:jc w:val="center"/>
        <w:rPr>
          <w:rFonts w:cstheme="minorHAnsi"/>
        </w:rPr>
      </w:pPr>
      <w:r w:rsidRPr="002A66B3">
        <w:rPr>
          <w:rFonts w:cstheme="minorHAnsi"/>
          <w:sz w:val="20"/>
        </w:rPr>
        <w:t>See accompanying notes to the basic financial statements.</w:t>
      </w:r>
      <w:r w:rsidRPr="002A66B3">
        <w:rPr>
          <w:rFonts w:cstheme="minorHAnsi"/>
        </w:rPr>
        <w:br w:type="page"/>
      </w:r>
    </w:p>
    <w:p w14:paraId="019F863A" w14:textId="77777777" w:rsidR="002A66B3" w:rsidRPr="002A66B3" w:rsidRDefault="002A66B3" w:rsidP="00730ECF">
      <w:pPr>
        <w:rPr>
          <w:rFonts w:cstheme="minorHAnsi"/>
          <w:b/>
          <w:i/>
          <w:sz w:val="26"/>
          <w:szCs w:val="26"/>
        </w:rPr>
      </w:pPr>
      <w:r w:rsidRPr="002A66B3">
        <w:rPr>
          <w:rFonts w:cstheme="minorHAnsi"/>
          <w:b/>
          <w:i/>
          <w:sz w:val="26"/>
          <w:szCs w:val="26"/>
        </w:rPr>
        <w:lastRenderedPageBreak/>
        <w:t>UNIVERSITY OF MAINE SYSTEM</w:t>
      </w:r>
    </w:p>
    <w:p w14:paraId="5FED05F5" w14:textId="77777777" w:rsidR="002A66B3" w:rsidRPr="00730ECF" w:rsidRDefault="002A66B3" w:rsidP="00730ECF">
      <w:pPr>
        <w:keepNext/>
        <w:pBdr>
          <w:bottom w:val="single" w:sz="18" w:space="1" w:color="00688D"/>
        </w:pBdr>
        <w:suppressAutoHyphens/>
        <w:outlineLvl w:val="0"/>
        <w:rPr>
          <w:rFonts w:cstheme="minorHAnsi"/>
          <w:b/>
          <w:i/>
          <w:caps/>
          <w:color w:val="000000"/>
          <w:spacing w:val="-3"/>
          <w:sz w:val="26"/>
          <w:szCs w:val="26"/>
        </w:rPr>
      </w:pPr>
      <w:r w:rsidRPr="00730ECF">
        <w:rPr>
          <w:rFonts w:cstheme="minorHAnsi"/>
          <w:b/>
          <w:i/>
          <w:caps/>
          <w:color w:val="000000"/>
          <w:spacing w:val="-3"/>
          <w:sz w:val="26"/>
          <w:szCs w:val="26"/>
        </w:rPr>
        <w:t xml:space="preserve">Statements of </w:t>
      </w:r>
      <w:r w:rsidRPr="00730ECF">
        <w:rPr>
          <w:rFonts w:cstheme="minorHAnsi"/>
          <w:b/>
          <w:i/>
          <w:caps/>
          <w:spacing w:val="-3"/>
          <w:sz w:val="26"/>
          <w:szCs w:val="26"/>
        </w:rPr>
        <w:t>Cash Flows</w:t>
      </w:r>
    </w:p>
    <w:p w14:paraId="230A6C43" w14:textId="77777777" w:rsidR="002A66B3" w:rsidRPr="002A66B3" w:rsidRDefault="002A66B3" w:rsidP="006743EC">
      <w:pPr>
        <w:keepNext/>
        <w:pBdr>
          <w:bottom w:val="single" w:sz="18" w:space="1" w:color="00688D"/>
        </w:pBdr>
        <w:suppressAutoHyphens/>
        <w:spacing w:after="120"/>
        <w:outlineLvl w:val="0"/>
        <w:rPr>
          <w:rFonts w:cstheme="minorHAnsi"/>
        </w:rPr>
      </w:pPr>
      <w:r w:rsidRPr="00730ECF">
        <w:rPr>
          <w:rFonts w:cstheme="minorHAnsi"/>
          <w:b/>
          <w:i/>
          <w:caps/>
          <w:color w:val="000000"/>
          <w:spacing w:val="-3"/>
          <w:sz w:val="26"/>
          <w:szCs w:val="26"/>
        </w:rPr>
        <w:t xml:space="preserve">Years Ended June 30, </w:t>
      </w:r>
      <w:proofErr w:type="gramStart"/>
      <w:r w:rsidRPr="00730ECF">
        <w:rPr>
          <w:rFonts w:cstheme="minorHAnsi"/>
          <w:b/>
          <w:i/>
          <w:caps/>
          <w:color w:val="000000"/>
          <w:spacing w:val="-3"/>
          <w:sz w:val="26"/>
          <w:szCs w:val="26"/>
        </w:rPr>
        <w:t>2025</w:t>
      </w:r>
      <w:proofErr w:type="gramEnd"/>
      <w:r w:rsidRPr="00730ECF">
        <w:rPr>
          <w:rFonts w:cstheme="minorHAnsi"/>
          <w:b/>
          <w:i/>
          <w:caps/>
          <w:color w:val="000000"/>
          <w:spacing w:val="-3"/>
          <w:sz w:val="26"/>
          <w:szCs w:val="26"/>
        </w:rPr>
        <w:t xml:space="preserve"> and 2024 </w:t>
      </w:r>
      <w:r w:rsidRPr="00730ECF">
        <w:rPr>
          <w:rFonts w:cstheme="minorHAnsi"/>
          <w:b/>
          <w:i/>
          <w:caps/>
          <w:color w:val="000000"/>
          <w:spacing w:val="-3"/>
        </w:rPr>
        <w:t>(in Thousands)</w:t>
      </w:r>
      <w:r w:rsidRPr="002A66B3">
        <w:rPr>
          <w:rFonts w:cstheme="minorHAnsi"/>
        </w:rPr>
        <w:fldChar w:fldCharType="begin"/>
      </w:r>
      <w:r w:rsidRPr="002A66B3">
        <w:rPr>
          <w:rFonts w:cstheme="minorHAnsi"/>
        </w:rPr>
        <w:fldChar w:fldCharType="end"/>
      </w:r>
    </w:p>
    <w:tbl>
      <w:tblPr>
        <w:tblW w:w="9762" w:type="dxa"/>
        <w:jc w:val="center"/>
        <w:tblLook w:val="04A0" w:firstRow="1" w:lastRow="0" w:firstColumn="1" w:lastColumn="0" w:noHBand="0" w:noVBand="1"/>
      </w:tblPr>
      <w:tblGrid>
        <w:gridCol w:w="7380"/>
        <w:gridCol w:w="1191"/>
        <w:gridCol w:w="1191"/>
      </w:tblGrid>
      <w:tr w:rsidR="002A66B3" w:rsidRPr="002A66B3" w14:paraId="621CF75A" w14:textId="77777777" w:rsidTr="00730ECF">
        <w:trPr>
          <w:trHeight w:val="289"/>
          <w:jc w:val="center"/>
        </w:trPr>
        <w:tc>
          <w:tcPr>
            <w:tcW w:w="7380" w:type="dxa"/>
            <w:tcBorders>
              <w:top w:val="nil"/>
              <w:left w:val="nil"/>
              <w:bottom w:val="nil"/>
              <w:right w:val="nil"/>
            </w:tcBorders>
            <w:shd w:val="clear" w:color="000000" w:fill="FFFFFF"/>
            <w:noWrap/>
            <w:vAlign w:val="bottom"/>
            <w:hideMark/>
          </w:tcPr>
          <w:p w14:paraId="61E806A0" w14:textId="77777777" w:rsidR="002A66B3" w:rsidRPr="00730ECF" w:rsidRDefault="002A66B3" w:rsidP="002A66B3">
            <w:pPr>
              <w:rPr>
                <w:rFonts w:cstheme="minorHAnsi"/>
                <w:b/>
                <w:bCs/>
                <w:color w:val="000000"/>
              </w:rPr>
            </w:pPr>
            <w:r w:rsidRPr="00730ECF">
              <w:rPr>
                <w:rFonts w:cstheme="minorHAnsi"/>
                <w:b/>
                <w:bCs/>
                <w:color w:val="000000"/>
              </w:rPr>
              <w:t>Reconciliation of operating loss to net cash used for operating activities:</w:t>
            </w:r>
          </w:p>
        </w:tc>
        <w:tc>
          <w:tcPr>
            <w:tcW w:w="1191" w:type="dxa"/>
            <w:tcBorders>
              <w:top w:val="nil"/>
              <w:left w:val="nil"/>
              <w:bottom w:val="nil"/>
              <w:right w:val="nil"/>
            </w:tcBorders>
            <w:shd w:val="clear" w:color="000000" w:fill="FFFFFF"/>
            <w:noWrap/>
            <w:vAlign w:val="bottom"/>
            <w:hideMark/>
          </w:tcPr>
          <w:p w14:paraId="1D53227C" w14:textId="06C9160A" w:rsidR="002A66B3" w:rsidRPr="00730ECF" w:rsidRDefault="002A66B3" w:rsidP="002A66B3">
            <w:pPr>
              <w:rPr>
                <w:rFonts w:cstheme="minorHAnsi"/>
                <w:b/>
                <w:bCs/>
                <w:color w:val="FF0000"/>
              </w:rPr>
            </w:pPr>
          </w:p>
        </w:tc>
        <w:tc>
          <w:tcPr>
            <w:tcW w:w="1191" w:type="dxa"/>
            <w:tcBorders>
              <w:top w:val="nil"/>
              <w:left w:val="nil"/>
              <w:bottom w:val="nil"/>
              <w:right w:val="nil"/>
            </w:tcBorders>
            <w:shd w:val="clear" w:color="000000" w:fill="FFFFFF"/>
            <w:noWrap/>
            <w:vAlign w:val="bottom"/>
            <w:hideMark/>
          </w:tcPr>
          <w:p w14:paraId="195EBA47" w14:textId="4A2C0439" w:rsidR="002A66B3" w:rsidRPr="00730ECF" w:rsidRDefault="002A66B3" w:rsidP="002A66B3">
            <w:pPr>
              <w:rPr>
                <w:rFonts w:cstheme="minorHAnsi"/>
                <w:b/>
                <w:bCs/>
                <w:color w:val="000000"/>
              </w:rPr>
            </w:pPr>
          </w:p>
        </w:tc>
      </w:tr>
      <w:tr w:rsidR="002A66B3" w:rsidRPr="002A66B3" w14:paraId="2A6DB84C" w14:textId="77777777" w:rsidTr="00730ECF">
        <w:trPr>
          <w:trHeight w:val="683"/>
          <w:jc w:val="center"/>
        </w:trPr>
        <w:tc>
          <w:tcPr>
            <w:tcW w:w="7380" w:type="dxa"/>
            <w:tcBorders>
              <w:top w:val="nil"/>
              <w:left w:val="nil"/>
              <w:bottom w:val="single" w:sz="12" w:space="0" w:color="000000"/>
              <w:right w:val="nil"/>
            </w:tcBorders>
            <w:shd w:val="clear" w:color="000000" w:fill="FFFFFF"/>
            <w:noWrap/>
            <w:vAlign w:val="bottom"/>
            <w:hideMark/>
          </w:tcPr>
          <w:p w14:paraId="0C4A356E" w14:textId="2A69D5D2" w:rsidR="002A66B3" w:rsidRPr="00730ECF" w:rsidRDefault="002A66B3" w:rsidP="002A66B3">
            <w:pPr>
              <w:rPr>
                <w:rFonts w:cstheme="minorHAnsi"/>
                <w:b/>
                <w:bCs/>
                <w:color w:val="000000"/>
              </w:rPr>
            </w:pPr>
          </w:p>
        </w:tc>
        <w:tc>
          <w:tcPr>
            <w:tcW w:w="1191" w:type="dxa"/>
            <w:tcBorders>
              <w:top w:val="nil"/>
              <w:left w:val="nil"/>
              <w:bottom w:val="single" w:sz="12" w:space="0" w:color="000000"/>
              <w:right w:val="nil"/>
            </w:tcBorders>
            <w:shd w:val="clear" w:color="000000" w:fill="FFFFFF"/>
            <w:noWrap/>
            <w:vAlign w:val="bottom"/>
            <w:hideMark/>
          </w:tcPr>
          <w:p w14:paraId="15F0687F" w14:textId="77777777" w:rsidR="002A66B3" w:rsidRPr="00730ECF" w:rsidRDefault="002A66B3" w:rsidP="002A66B3">
            <w:pPr>
              <w:jc w:val="center"/>
              <w:rPr>
                <w:rFonts w:cstheme="minorHAnsi"/>
                <w:b/>
                <w:bCs/>
                <w:color w:val="FF0000"/>
              </w:rPr>
            </w:pPr>
            <w:r w:rsidRPr="00730ECF">
              <w:rPr>
                <w:rFonts w:cstheme="minorHAnsi"/>
                <w:b/>
                <w:bCs/>
              </w:rPr>
              <w:t>2025</w:t>
            </w:r>
          </w:p>
        </w:tc>
        <w:tc>
          <w:tcPr>
            <w:tcW w:w="1191" w:type="dxa"/>
            <w:tcBorders>
              <w:top w:val="nil"/>
              <w:left w:val="nil"/>
              <w:bottom w:val="single" w:sz="12" w:space="0" w:color="000000"/>
              <w:right w:val="nil"/>
            </w:tcBorders>
            <w:shd w:val="clear" w:color="000000" w:fill="FFFFFF"/>
            <w:vAlign w:val="bottom"/>
            <w:hideMark/>
          </w:tcPr>
          <w:p w14:paraId="42E59811" w14:textId="77777777" w:rsidR="002A66B3" w:rsidRPr="00730ECF" w:rsidRDefault="002A66B3" w:rsidP="002A66B3">
            <w:pPr>
              <w:jc w:val="center"/>
              <w:rPr>
                <w:rFonts w:cstheme="minorHAnsi"/>
                <w:b/>
                <w:bCs/>
                <w:color w:val="000000"/>
              </w:rPr>
            </w:pPr>
            <w:r w:rsidRPr="00730ECF">
              <w:rPr>
                <w:rFonts w:cstheme="minorHAnsi"/>
                <w:b/>
                <w:bCs/>
                <w:color w:val="000000"/>
              </w:rPr>
              <w:t>2024</w:t>
            </w:r>
          </w:p>
          <w:p w14:paraId="7D07AC66" w14:textId="77777777" w:rsidR="002A66B3" w:rsidRPr="00730ECF" w:rsidRDefault="002A66B3" w:rsidP="002A66B3">
            <w:pPr>
              <w:jc w:val="center"/>
              <w:rPr>
                <w:rFonts w:cstheme="minorHAnsi"/>
                <w:b/>
                <w:bCs/>
                <w:color w:val="000000"/>
              </w:rPr>
            </w:pPr>
            <w:r w:rsidRPr="00730ECF">
              <w:rPr>
                <w:rFonts w:cstheme="minorHAnsi"/>
                <w:b/>
                <w:bCs/>
                <w:color w:val="000000"/>
              </w:rPr>
              <w:t>Restated</w:t>
            </w:r>
          </w:p>
        </w:tc>
      </w:tr>
      <w:tr w:rsidR="002A66B3" w:rsidRPr="002A66B3" w14:paraId="7376FD26" w14:textId="77777777" w:rsidTr="00730ECF">
        <w:trPr>
          <w:trHeight w:val="315"/>
          <w:jc w:val="center"/>
        </w:trPr>
        <w:tc>
          <w:tcPr>
            <w:tcW w:w="7380" w:type="dxa"/>
            <w:tcBorders>
              <w:top w:val="nil"/>
              <w:left w:val="nil"/>
              <w:bottom w:val="nil"/>
              <w:right w:val="nil"/>
            </w:tcBorders>
            <w:shd w:val="clear" w:color="000000" w:fill="FFFFFF"/>
            <w:noWrap/>
            <w:vAlign w:val="bottom"/>
            <w:hideMark/>
          </w:tcPr>
          <w:p w14:paraId="4E43FD2C" w14:textId="77777777" w:rsidR="002A66B3" w:rsidRPr="00730ECF" w:rsidRDefault="002A66B3" w:rsidP="002A66B3">
            <w:pPr>
              <w:rPr>
                <w:rFonts w:cstheme="minorHAnsi"/>
                <w:color w:val="000000"/>
              </w:rPr>
            </w:pPr>
            <w:r w:rsidRPr="00730ECF">
              <w:rPr>
                <w:rFonts w:cstheme="minorHAnsi"/>
                <w:color w:val="000000"/>
              </w:rPr>
              <w:t>Operating Loss</w:t>
            </w:r>
          </w:p>
        </w:tc>
        <w:tc>
          <w:tcPr>
            <w:tcW w:w="1191" w:type="dxa"/>
            <w:tcBorders>
              <w:top w:val="nil"/>
              <w:left w:val="nil"/>
              <w:bottom w:val="nil"/>
              <w:right w:val="nil"/>
            </w:tcBorders>
            <w:shd w:val="clear" w:color="000000" w:fill="FFFFFF"/>
            <w:noWrap/>
            <w:vAlign w:val="bottom"/>
            <w:hideMark/>
          </w:tcPr>
          <w:p w14:paraId="2154585A" w14:textId="64733F81" w:rsidR="002A66B3" w:rsidRPr="00730ECF" w:rsidRDefault="002A66B3" w:rsidP="002A66B3">
            <w:pPr>
              <w:jc w:val="right"/>
              <w:rPr>
                <w:rFonts w:cstheme="minorHAnsi"/>
              </w:rPr>
            </w:pPr>
            <w:r w:rsidRPr="00730ECF">
              <w:rPr>
                <w:rFonts w:cstheme="minorHAnsi"/>
              </w:rPr>
              <w:t>$(</w:t>
            </w:r>
            <w:r w:rsidR="002175A8">
              <w:rPr>
                <w:rFonts w:cstheme="minorHAnsi"/>
              </w:rPr>
              <w:t>350,301</w:t>
            </w:r>
            <w:r w:rsidRPr="00730ECF">
              <w:rPr>
                <w:rFonts w:cstheme="minorHAnsi"/>
              </w:rPr>
              <w:t>)</w:t>
            </w:r>
          </w:p>
        </w:tc>
        <w:tc>
          <w:tcPr>
            <w:tcW w:w="1191" w:type="dxa"/>
            <w:tcBorders>
              <w:top w:val="nil"/>
              <w:left w:val="nil"/>
              <w:bottom w:val="nil"/>
              <w:right w:val="nil"/>
            </w:tcBorders>
            <w:shd w:val="clear" w:color="000000" w:fill="FFFFFF"/>
            <w:noWrap/>
            <w:vAlign w:val="bottom"/>
            <w:hideMark/>
          </w:tcPr>
          <w:p w14:paraId="17FD05E1" w14:textId="77777777" w:rsidR="002175A8" w:rsidRDefault="002175A8" w:rsidP="002175A8">
            <w:pPr>
              <w:rPr>
                <w:rFonts w:cstheme="minorHAnsi"/>
              </w:rPr>
            </w:pPr>
          </w:p>
          <w:p w14:paraId="3BCE4698" w14:textId="34582602" w:rsidR="002A66B3" w:rsidRPr="00730ECF" w:rsidRDefault="002A66B3" w:rsidP="001F4002">
            <w:pPr>
              <w:rPr>
                <w:rFonts w:cstheme="minorHAnsi"/>
                <w:color w:val="000000"/>
              </w:rPr>
            </w:pPr>
            <w:r w:rsidRPr="00730ECF">
              <w:rPr>
                <w:rFonts w:cstheme="minorHAnsi"/>
              </w:rPr>
              <w:t>$(339,630</w:t>
            </w:r>
            <w:r w:rsidR="002175A8">
              <w:rPr>
                <w:rFonts w:cstheme="minorHAnsi"/>
              </w:rPr>
              <w:t>)</w:t>
            </w:r>
          </w:p>
        </w:tc>
      </w:tr>
      <w:tr w:rsidR="002A66B3" w:rsidRPr="002A66B3" w14:paraId="5B13FBCB" w14:textId="77777777" w:rsidTr="00730ECF">
        <w:trPr>
          <w:trHeight w:val="600"/>
          <w:jc w:val="center"/>
        </w:trPr>
        <w:tc>
          <w:tcPr>
            <w:tcW w:w="7380" w:type="dxa"/>
            <w:tcBorders>
              <w:top w:val="nil"/>
              <w:left w:val="nil"/>
              <w:bottom w:val="nil"/>
              <w:right w:val="nil"/>
            </w:tcBorders>
            <w:shd w:val="clear" w:color="000000" w:fill="FFFFFF"/>
            <w:vAlign w:val="bottom"/>
            <w:hideMark/>
          </w:tcPr>
          <w:p w14:paraId="36DA8308" w14:textId="77777777" w:rsidR="002A66B3" w:rsidRPr="00730ECF" w:rsidRDefault="002A66B3" w:rsidP="002A66B3">
            <w:pPr>
              <w:rPr>
                <w:rFonts w:cstheme="minorHAnsi"/>
                <w:color w:val="000000"/>
              </w:rPr>
            </w:pPr>
            <w:r w:rsidRPr="00730ECF">
              <w:rPr>
                <w:rFonts w:cstheme="minorHAnsi"/>
                <w:color w:val="000000"/>
              </w:rPr>
              <w:t>Adjustments to reconcile operating loss to net cash used for operating activities:</w:t>
            </w:r>
          </w:p>
        </w:tc>
        <w:tc>
          <w:tcPr>
            <w:tcW w:w="1191" w:type="dxa"/>
            <w:tcBorders>
              <w:top w:val="nil"/>
              <w:left w:val="nil"/>
              <w:bottom w:val="nil"/>
              <w:right w:val="nil"/>
            </w:tcBorders>
            <w:shd w:val="clear" w:color="000000" w:fill="FFFFFF"/>
            <w:noWrap/>
            <w:vAlign w:val="bottom"/>
            <w:hideMark/>
          </w:tcPr>
          <w:p w14:paraId="77E196DB" w14:textId="2CCDA43C" w:rsidR="002A66B3" w:rsidRPr="00730ECF" w:rsidRDefault="002A66B3" w:rsidP="002A66B3">
            <w:pPr>
              <w:jc w:val="right"/>
              <w:rPr>
                <w:rFonts w:cstheme="minorHAnsi"/>
              </w:rPr>
            </w:pPr>
          </w:p>
        </w:tc>
        <w:tc>
          <w:tcPr>
            <w:tcW w:w="1191" w:type="dxa"/>
            <w:tcBorders>
              <w:top w:val="nil"/>
              <w:left w:val="nil"/>
              <w:bottom w:val="nil"/>
              <w:right w:val="nil"/>
            </w:tcBorders>
            <w:shd w:val="clear" w:color="000000" w:fill="FFFFFF"/>
            <w:noWrap/>
            <w:vAlign w:val="bottom"/>
            <w:hideMark/>
          </w:tcPr>
          <w:p w14:paraId="24653E4E" w14:textId="3B316224" w:rsidR="002A66B3" w:rsidRPr="00730ECF" w:rsidRDefault="002A66B3" w:rsidP="002A66B3">
            <w:pPr>
              <w:jc w:val="right"/>
              <w:rPr>
                <w:rFonts w:cstheme="minorHAnsi"/>
                <w:color w:val="000000"/>
              </w:rPr>
            </w:pPr>
          </w:p>
        </w:tc>
      </w:tr>
      <w:tr w:rsidR="002A66B3" w:rsidRPr="002A66B3" w14:paraId="5772CA11" w14:textId="77777777" w:rsidTr="00730ECF">
        <w:trPr>
          <w:trHeight w:val="300"/>
          <w:jc w:val="center"/>
        </w:trPr>
        <w:tc>
          <w:tcPr>
            <w:tcW w:w="7380" w:type="dxa"/>
            <w:tcBorders>
              <w:top w:val="nil"/>
              <w:left w:val="nil"/>
              <w:bottom w:val="nil"/>
              <w:right w:val="nil"/>
            </w:tcBorders>
            <w:shd w:val="clear" w:color="000000" w:fill="FFFFFF"/>
            <w:noWrap/>
            <w:vAlign w:val="bottom"/>
            <w:hideMark/>
          </w:tcPr>
          <w:p w14:paraId="28AF8333" w14:textId="77777777" w:rsidR="002A66B3" w:rsidRPr="00730ECF" w:rsidRDefault="002A66B3" w:rsidP="00730ECF">
            <w:pPr>
              <w:ind w:left="255"/>
              <w:rPr>
                <w:rFonts w:cstheme="minorHAnsi"/>
                <w:color w:val="000000"/>
              </w:rPr>
            </w:pPr>
            <w:r w:rsidRPr="00730ECF">
              <w:rPr>
                <w:rFonts w:cstheme="minorHAnsi"/>
                <w:color w:val="000000"/>
              </w:rPr>
              <w:t>Depreciation and amortization</w:t>
            </w:r>
          </w:p>
        </w:tc>
        <w:tc>
          <w:tcPr>
            <w:tcW w:w="1191" w:type="dxa"/>
            <w:tcBorders>
              <w:top w:val="nil"/>
              <w:left w:val="nil"/>
              <w:bottom w:val="nil"/>
              <w:right w:val="nil"/>
            </w:tcBorders>
            <w:shd w:val="clear" w:color="000000" w:fill="FFFFFF"/>
            <w:noWrap/>
            <w:vAlign w:val="bottom"/>
            <w:hideMark/>
          </w:tcPr>
          <w:p w14:paraId="7048F6F1" w14:textId="77777777" w:rsidR="002A66B3" w:rsidRPr="00730ECF" w:rsidRDefault="002A66B3" w:rsidP="002A66B3">
            <w:pPr>
              <w:jc w:val="right"/>
              <w:rPr>
                <w:rFonts w:cstheme="minorHAnsi"/>
              </w:rPr>
            </w:pPr>
            <w:r w:rsidRPr="00730ECF">
              <w:rPr>
                <w:rFonts w:cstheme="minorHAnsi"/>
              </w:rPr>
              <w:t>63,481</w:t>
            </w:r>
          </w:p>
        </w:tc>
        <w:tc>
          <w:tcPr>
            <w:tcW w:w="1191" w:type="dxa"/>
            <w:tcBorders>
              <w:top w:val="nil"/>
              <w:left w:val="nil"/>
              <w:bottom w:val="nil"/>
              <w:right w:val="nil"/>
            </w:tcBorders>
            <w:shd w:val="clear" w:color="000000" w:fill="FFFFFF"/>
            <w:noWrap/>
            <w:vAlign w:val="bottom"/>
            <w:hideMark/>
          </w:tcPr>
          <w:p w14:paraId="3A367D54" w14:textId="77777777" w:rsidR="002A66B3" w:rsidRPr="00730ECF" w:rsidRDefault="002A66B3" w:rsidP="002A66B3">
            <w:pPr>
              <w:jc w:val="right"/>
              <w:rPr>
                <w:rFonts w:cstheme="minorHAnsi"/>
                <w:color w:val="000000"/>
              </w:rPr>
            </w:pPr>
            <w:r w:rsidRPr="00730ECF">
              <w:rPr>
                <w:rFonts w:cstheme="minorHAnsi"/>
              </w:rPr>
              <w:t xml:space="preserve">56,987 </w:t>
            </w:r>
          </w:p>
        </w:tc>
      </w:tr>
      <w:tr w:rsidR="002A66B3" w:rsidRPr="002A66B3" w14:paraId="533FBFB7" w14:textId="77777777" w:rsidTr="00730ECF">
        <w:trPr>
          <w:trHeight w:val="300"/>
          <w:jc w:val="center"/>
        </w:trPr>
        <w:tc>
          <w:tcPr>
            <w:tcW w:w="7380" w:type="dxa"/>
            <w:tcBorders>
              <w:top w:val="nil"/>
              <w:left w:val="nil"/>
              <w:bottom w:val="nil"/>
              <w:right w:val="nil"/>
            </w:tcBorders>
            <w:shd w:val="clear" w:color="000000" w:fill="FFFFFF"/>
            <w:noWrap/>
            <w:vAlign w:val="bottom"/>
            <w:hideMark/>
          </w:tcPr>
          <w:p w14:paraId="69BEE41C" w14:textId="77777777" w:rsidR="002A66B3" w:rsidRPr="00730ECF" w:rsidRDefault="002A66B3" w:rsidP="00730ECF">
            <w:pPr>
              <w:ind w:left="255"/>
              <w:rPr>
                <w:rFonts w:cstheme="minorHAnsi"/>
                <w:color w:val="000000"/>
              </w:rPr>
            </w:pPr>
            <w:r w:rsidRPr="00730ECF">
              <w:rPr>
                <w:rFonts w:cstheme="minorHAnsi"/>
                <w:color w:val="000000"/>
              </w:rPr>
              <w:t>Changes in assets, liabilities, deferred outflows and deferred inflows:</w:t>
            </w:r>
          </w:p>
        </w:tc>
        <w:tc>
          <w:tcPr>
            <w:tcW w:w="1191" w:type="dxa"/>
            <w:tcBorders>
              <w:top w:val="nil"/>
              <w:left w:val="nil"/>
              <w:bottom w:val="nil"/>
              <w:right w:val="nil"/>
            </w:tcBorders>
            <w:shd w:val="clear" w:color="000000" w:fill="FFFFFF"/>
            <w:noWrap/>
            <w:vAlign w:val="bottom"/>
            <w:hideMark/>
          </w:tcPr>
          <w:p w14:paraId="5B4202A0" w14:textId="7AD4904A" w:rsidR="002A66B3" w:rsidRPr="00730ECF" w:rsidRDefault="002A66B3" w:rsidP="002A66B3">
            <w:pPr>
              <w:jc w:val="right"/>
              <w:rPr>
                <w:rFonts w:cstheme="minorHAnsi"/>
              </w:rPr>
            </w:pPr>
          </w:p>
        </w:tc>
        <w:tc>
          <w:tcPr>
            <w:tcW w:w="1191" w:type="dxa"/>
            <w:tcBorders>
              <w:top w:val="nil"/>
              <w:left w:val="nil"/>
              <w:bottom w:val="nil"/>
              <w:right w:val="nil"/>
            </w:tcBorders>
            <w:shd w:val="clear" w:color="000000" w:fill="FFFFFF"/>
            <w:noWrap/>
            <w:vAlign w:val="bottom"/>
            <w:hideMark/>
          </w:tcPr>
          <w:p w14:paraId="0E6BA904" w14:textId="5EDA4468" w:rsidR="002A66B3" w:rsidRPr="00730ECF" w:rsidRDefault="002A66B3" w:rsidP="002A66B3">
            <w:pPr>
              <w:jc w:val="right"/>
              <w:rPr>
                <w:rFonts w:cstheme="minorHAnsi"/>
                <w:color w:val="000000"/>
              </w:rPr>
            </w:pPr>
          </w:p>
        </w:tc>
      </w:tr>
      <w:tr w:rsidR="002A66B3" w:rsidRPr="002A66B3" w14:paraId="00461FE7" w14:textId="77777777" w:rsidTr="00730ECF">
        <w:trPr>
          <w:trHeight w:val="300"/>
          <w:jc w:val="center"/>
        </w:trPr>
        <w:tc>
          <w:tcPr>
            <w:tcW w:w="7380" w:type="dxa"/>
            <w:tcBorders>
              <w:top w:val="nil"/>
              <w:left w:val="nil"/>
              <w:bottom w:val="nil"/>
              <w:right w:val="nil"/>
            </w:tcBorders>
            <w:shd w:val="clear" w:color="000000" w:fill="FFFFFF"/>
            <w:noWrap/>
            <w:vAlign w:val="bottom"/>
            <w:hideMark/>
          </w:tcPr>
          <w:p w14:paraId="4FAAB156" w14:textId="77777777" w:rsidR="002A66B3" w:rsidRPr="00730ECF" w:rsidRDefault="002A66B3" w:rsidP="00730ECF">
            <w:pPr>
              <w:ind w:left="525"/>
              <w:rPr>
                <w:rFonts w:cstheme="minorHAnsi"/>
                <w:color w:val="000000"/>
              </w:rPr>
            </w:pPr>
            <w:r w:rsidRPr="00730ECF">
              <w:rPr>
                <w:rFonts w:cstheme="minorHAnsi"/>
                <w:color w:val="000000"/>
              </w:rPr>
              <w:t>Accounts and grants receivable, net</w:t>
            </w:r>
          </w:p>
        </w:tc>
        <w:tc>
          <w:tcPr>
            <w:tcW w:w="1191" w:type="dxa"/>
            <w:tcBorders>
              <w:top w:val="nil"/>
              <w:left w:val="nil"/>
              <w:bottom w:val="nil"/>
              <w:right w:val="nil"/>
            </w:tcBorders>
            <w:shd w:val="clear" w:color="000000" w:fill="FFFFFF"/>
            <w:noWrap/>
            <w:vAlign w:val="bottom"/>
            <w:hideMark/>
          </w:tcPr>
          <w:p w14:paraId="6262129F" w14:textId="34B6F504" w:rsidR="002A66B3" w:rsidRPr="00730ECF" w:rsidRDefault="008A6193" w:rsidP="002A66B3">
            <w:pPr>
              <w:jc w:val="right"/>
              <w:rPr>
                <w:rFonts w:cstheme="minorHAnsi"/>
              </w:rPr>
            </w:pPr>
            <w:r w:rsidRPr="008A6193">
              <w:rPr>
                <w:rFonts w:cstheme="minorHAnsi"/>
              </w:rPr>
              <w:t>(11,128</w:t>
            </w:r>
            <w:r w:rsidR="002A66B3" w:rsidRPr="00730ECF">
              <w:rPr>
                <w:rFonts w:cstheme="minorHAnsi"/>
              </w:rPr>
              <w:t>)</w:t>
            </w:r>
          </w:p>
        </w:tc>
        <w:tc>
          <w:tcPr>
            <w:tcW w:w="1191" w:type="dxa"/>
            <w:tcBorders>
              <w:top w:val="nil"/>
              <w:left w:val="nil"/>
              <w:bottom w:val="nil"/>
              <w:right w:val="nil"/>
            </w:tcBorders>
            <w:shd w:val="clear" w:color="000000" w:fill="FFFFFF"/>
            <w:noWrap/>
            <w:vAlign w:val="bottom"/>
            <w:hideMark/>
          </w:tcPr>
          <w:p w14:paraId="67714A8E" w14:textId="77777777" w:rsidR="002A66B3" w:rsidRPr="00730ECF" w:rsidRDefault="002A66B3" w:rsidP="002A66B3">
            <w:pPr>
              <w:jc w:val="right"/>
              <w:rPr>
                <w:rFonts w:cstheme="minorHAnsi"/>
              </w:rPr>
            </w:pPr>
            <w:r w:rsidRPr="00730ECF">
              <w:rPr>
                <w:rFonts w:cstheme="minorHAnsi"/>
              </w:rPr>
              <w:t>(20,957)</w:t>
            </w:r>
          </w:p>
        </w:tc>
      </w:tr>
      <w:tr w:rsidR="002A66B3" w:rsidRPr="002A66B3" w14:paraId="39E58D13" w14:textId="77777777" w:rsidTr="00730ECF">
        <w:trPr>
          <w:trHeight w:val="300"/>
          <w:jc w:val="center"/>
        </w:trPr>
        <w:tc>
          <w:tcPr>
            <w:tcW w:w="7380" w:type="dxa"/>
            <w:tcBorders>
              <w:top w:val="nil"/>
              <w:left w:val="nil"/>
              <w:bottom w:val="nil"/>
              <w:right w:val="nil"/>
            </w:tcBorders>
            <w:shd w:val="clear" w:color="000000" w:fill="FFFFFF"/>
            <w:noWrap/>
            <w:vAlign w:val="bottom"/>
            <w:hideMark/>
          </w:tcPr>
          <w:p w14:paraId="1D428D21" w14:textId="77777777" w:rsidR="002A66B3" w:rsidRPr="00730ECF" w:rsidRDefault="002A66B3" w:rsidP="00730ECF">
            <w:pPr>
              <w:ind w:left="525"/>
              <w:rPr>
                <w:rFonts w:cstheme="minorHAnsi"/>
                <w:color w:val="000000"/>
              </w:rPr>
            </w:pPr>
            <w:r w:rsidRPr="00730ECF">
              <w:rPr>
                <w:rFonts w:cstheme="minorHAnsi"/>
                <w:color w:val="000000"/>
              </w:rPr>
              <w:t>Inventories and prepaid expenses</w:t>
            </w:r>
          </w:p>
        </w:tc>
        <w:tc>
          <w:tcPr>
            <w:tcW w:w="1191" w:type="dxa"/>
            <w:tcBorders>
              <w:top w:val="nil"/>
              <w:left w:val="nil"/>
              <w:bottom w:val="nil"/>
              <w:right w:val="nil"/>
            </w:tcBorders>
            <w:shd w:val="clear" w:color="000000" w:fill="FFFFFF"/>
            <w:noWrap/>
            <w:hideMark/>
          </w:tcPr>
          <w:p w14:paraId="1D2CE4E9" w14:textId="77777777" w:rsidR="002A66B3" w:rsidRPr="00730ECF" w:rsidRDefault="002A66B3" w:rsidP="002A66B3">
            <w:pPr>
              <w:jc w:val="right"/>
              <w:rPr>
                <w:rFonts w:eastAsia="Times New Roman" w:cstheme="minorHAnsi"/>
              </w:rPr>
            </w:pPr>
            <w:r w:rsidRPr="002A66B3">
              <w:rPr>
                <w:rFonts w:cstheme="minorHAnsi"/>
              </w:rPr>
              <w:t>(2,027)</w:t>
            </w:r>
          </w:p>
        </w:tc>
        <w:tc>
          <w:tcPr>
            <w:tcW w:w="1191" w:type="dxa"/>
            <w:tcBorders>
              <w:top w:val="nil"/>
              <w:left w:val="nil"/>
              <w:bottom w:val="nil"/>
              <w:right w:val="nil"/>
            </w:tcBorders>
            <w:shd w:val="clear" w:color="000000" w:fill="FFFFFF"/>
            <w:noWrap/>
            <w:hideMark/>
          </w:tcPr>
          <w:p w14:paraId="5E56902A" w14:textId="32B69B2B" w:rsidR="002A66B3" w:rsidRPr="00730ECF" w:rsidRDefault="002A66B3" w:rsidP="002A66B3">
            <w:pPr>
              <w:jc w:val="right"/>
              <w:rPr>
                <w:rFonts w:eastAsia="Times New Roman" w:cstheme="minorHAnsi"/>
              </w:rPr>
            </w:pPr>
            <w:r w:rsidRPr="002A66B3">
              <w:rPr>
                <w:rFonts w:cstheme="minorHAnsi"/>
              </w:rPr>
              <w:t>(707)</w:t>
            </w:r>
          </w:p>
        </w:tc>
      </w:tr>
      <w:tr w:rsidR="002A66B3" w:rsidRPr="002A66B3" w14:paraId="07732D31" w14:textId="77777777" w:rsidTr="00730ECF">
        <w:trPr>
          <w:trHeight w:val="300"/>
          <w:jc w:val="center"/>
        </w:trPr>
        <w:tc>
          <w:tcPr>
            <w:tcW w:w="7380" w:type="dxa"/>
            <w:tcBorders>
              <w:top w:val="nil"/>
              <w:left w:val="nil"/>
              <w:bottom w:val="nil"/>
              <w:right w:val="nil"/>
            </w:tcBorders>
            <w:shd w:val="clear" w:color="000000" w:fill="FFFFFF"/>
            <w:noWrap/>
            <w:vAlign w:val="bottom"/>
            <w:hideMark/>
          </w:tcPr>
          <w:p w14:paraId="3661E85F" w14:textId="77777777" w:rsidR="002A66B3" w:rsidRPr="00730ECF" w:rsidRDefault="002A66B3" w:rsidP="00730ECF">
            <w:pPr>
              <w:ind w:left="525"/>
              <w:rPr>
                <w:rFonts w:cstheme="minorHAnsi"/>
                <w:color w:val="000000"/>
              </w:rPr>
            </w:pPr>
            <w:r w:rsidRPr="00730ECF">
              <w:rPr>
                <w:rFonts w:cstheme="minorHAnsi"/>
                <w:color w:val="000000"/>
              </w:rPr>
              <w:t>Notes and leases receivable, net</w:t>
            </w:r>
          </w:p>
        </w:tc>
        <w:tc>
          <w:tcPr>
            <w:tcW w:w="1191" w:type="dxa"/>
            <w:tcBorders>
              <w:top w:val="nil"/>
              <w:left w:val="nil"/>
              <w:bottom w:val="nil"/>
              <w:right w:val="nil"/>
            </w:tcBorders>
            <w:shd w:val="clear" w:color="000000" w:fill="FFFFFF"/>
            <w:noWrap/>
            <w:hideMark/>
          </w:tcPr>
          <w:p w14:paraId="651C4F83" w14:textId="77777777" w:rsidR="002A66B3" w:rsidRPr="00730ECF" w:rsidRDefault="002A66B3" w:rsidP="002A66B3">
            <w:pPr>
              <w:jc w:val="right"/>
              <w:rPr>
                <w:rFonts w:eastAsia="Times New Roman" w:cstheme="minorHAnsi"/>
              </w:rPr>
            </w:pPr>
            <w:r w:rsidRPr="002A66B3">
              <w:rPr>
                <w:rFonts w:cstheme="minorHAnsi"/>
              </w:rPr>
              <w:t>1,141</w:t>
            </w:r>
          </w:p>
        </w:tc>
        <w:tc>
          <w:tcPr>
            <w:tcW w:w="1191" w:type="dxa"/>
            <w:tcBorders>
              <w:top w:val="nil"/>
              <w:left w:val="nil"/>
              <w:bottom w:val="nil"/>
              <w:right w:val="nil"/>
            </w:tcBorders>
            <w:shd w:val="clear" w:color="000000" w:fill="FFFFFF"/>
            <w:noWrap/>
            <w:hideMark/>
          </w:tcPr>
          <w:p w14:paraId="0A234DFA" w14:textId="393AF623" w:rsidR="002A66B3" w:rsidRPr="00730ECF" w:rsidRDefault="002A66B3" w:rsidP="002A66B3">
            <w:pPr>
              <w:jc w:val="right"/>
              <w:rPr>
                <w:rFonts w:eastAsia="Times New Roman" w:cstheme="minorHAnsi"/>
              </w:rPr>
            </w:pPr>
            <w:r w:rsidRPr="002A66B3">
              <w:rPr>
                <w:rFonts w:cstheme="minorHAnsi"/>
              </w:rPr>
              <w:t xml:space="preserve">3,000 </w:t>
            </w:r>
          </w:p>
        </w:tc>
      </w:tr>
      <w:tr w:rsidR="002A66B3" w:rsidRPr="002A66B3" w14:paraId="22F6C074" w14:textId="77777777" w:rsidTr="00730ECF">
        <w:trPr>
          <w:trHeight w:val="300"/>
          <w:jc w:val="center"/>
        </w:trPr>
        <w:tc>
          <w:tcPr>
            <w:tcW w:w="7380" w:type="dxa"/>
            <w:tcBorders>
              <w:top w:val="nil"/>
              <w:left w:val="nil"/>
              <w:bottom w:val="nil"/>
              <w:right w:val="nil"/>
            </w:tcBorders>
            <w:shd w:val="clear" w:color="000000" w:fill="FFFFFF"/>
            <w:noWrap/>
            <w:vAlign w:val="bottom"/>
            <w:hideMark/>
          </w:tcPr>
          <w:p w14:paraId="68995B35" w14:textId="77777777" w:rsidR="002A66B3" w:rsidRPr="00730ECF" w:rsidRDefault="002A66B3" w:rsidP="00730ECF">
            <w:pPr>
              <w:ind w:left="525"/>
              <w:rPr>
                <w:rFonts w:cstheme="minorHAnsi"/>
                <w:color w:val="000000"/>
              </w:rPr>
            </w:pPr>
            <w:r w:rsidRPr="00730ECF">
              <w:rPr>
                <w:rFonts w:cstheme="minorHAnsi"/>
                <w:color w:val="000000"/>
              </w:rPr>
              <w:t>Net OPEB (asset) liability</w:t>
            </w:r>
          </w:p>
        </w:tc>
        <w:tc>
          <w:tcPr>
            <w:tcW w:w="1191" w:type="dxa"/>
            <w:tcBorders>
              <w:top w:val="nil"/>
              <w:left w:val="nil"/>
              <w:bottom w:val="nil"/>
              <w:right w:val="nil"/>
            </w:tcBorders>
            <w:shd w:val="clear" w:color="000000" w:fill="FFFFFF"/>
            <w:noWrap/>
            <w:hideMark/>
          </w:tcPr>
          <w:p w14:paraId="5E4CF91D" w14:textId="77777777" w:rsidR="002A66B3" w:rsidRPr="00730ECF" w:rsidRDefault="002A66B3" w:rsidP="002A66B3">
            <w:pPr>
              <w:jc w:val="right"/>
              <w:rPr>
                <w:rFonts w:eastAsia="Times New Roman" w:cstheme="minorHAnsi"/>
              </w:rPr>
            </w:pPr>
            <w:r w:rsidRPr="002A66B3">
              <w:rPr>
                <w:rFonts w:cstheme="minorHAnsi"/>
              </w:rPr>
              <w:t>(6,232)</w:t>
            </w:r>
          </w:p>
        </w:tc>
        <w:tc>
          <w:tcPr>
            <w:tcW w:w="1191" w:type="dxa"/>
            <w:tcBorders>
              <w:top w:val="nil"/>
              <w:left w:val="nil"/>
              <w:bottom w:val="nil"/>
              <w:right w:val="nil"/>
            </w:tcBorders>
            <w:shd w:val="clear" w:color="000000" w:fill="FFFFFF"/>
            <w:noWrap/>
            <w:hideMark/>
          </w:tcPr>
          <w:p w14:paraId="49FDA6D9" w14:textId="18CCD483" w:rsidR="002A66B3" w:rsidRPr="00730ECF" w:rsidRDefault="002A66B3" w:rsidP="002A66B3">
            <w:pPr>
              <w:jc w:val="right"/>
              <w:rPr>
                <w:rFonts w:eastAsia="Times New Roman" w:cstheme="minorHAnsi"/>
              </w:rPr>
            </w:pPr>
            <w:r w:rsidRPr="002A66B3">
              <w:rPr>
                <w:rFonts w:cstheme="minorHAnsi"/>
              </w:rPr>
              <w:t>(13,264)</w:t>
            </w:r>
          </w:p>
        </w:tc>
      </w:tr>
      <w:tr w:rsidR="002A66B3" w:rsidRPr="002A66B3" w14:paraId="4C917468" w14:textId="77777777" w:rsidTr="00730ECF">
        <w:trPr>
          <w:trHeight w:val="300"/>
          <w:jc w:val="center"/>
        </w:trPr>
        <w:tc>
          <w:tcPr>
            <w:tcW w:w="7380" w:type="dxa"/>
            <w:tcBorders>
              <w:top w:val="nil"/>
              <w:left w:val="nil"/>
              <w:bottom w:val="nil"/>
              <w:right w:val="nil"/>
            </w:tcBorders>
            <w:shd w:val="clear" w:color="000000" w:fill="FFFFFF"/>
            <w:noWrap/>
            <w:vAlign w:val="bottom"/>
            <w:hideMark/>
          </w:tcPr>
          <w:p w14:paraId="6F41F203" w14:textId="77777777" w:rsidR="002A66B3" w:rsidRPr="00730ECF" w:rsidRDefault="002A66B3" w:rsidP="00730ECF">
            <w:pPr>
              <w:ind w:left="525"/>
              <w:rPr>
                <w:rFonts w:cstheme="minorHAnsi"/>
                <w:color w:val="000000"/>
              </w:rPr>
            </w:pPr>
            <w:r w:rsidRPr="00730ECF">
              <w:rPr>
                <w:rFonts w:cstheme="minorHAnsi"/>
                <w:color w:val="000000"/>
              </w:rPr>
              <w:t>Irrevocable split interest agreements</w:t>
            </w:r>
          </w:p>
        </w:tc>
        <w:tc>
          <w:tcPr>
            <w:tcW w:w="1191" w:type="dxa"/>
            <w:tcBorders>
              <w:top w:val="nil"/>
              <w:left w:val="nil"/>
              <w:bottom w:val="nil"/>
              <w:right w:val="nil"/>
            </w:tcBorders>
            <w:shd w:val="clear" w:color="000000" w:fill="FFFFFF"/>
            <w:noWrap/>
            <w:hideMark/>
          </w:tcPr>
          <w:p w14:paraId="4FEE4F0E" w14:textId="3C7F18F2" w:rsidR="002A66B3" w:rsidRPr="00730ECF" w:rsidRDefault="002A66B3" w:rsidP="002A66B3">
            <w:pPr>
              <w:jc w:val="right"/>
              <w:rPr>
                <w:rFonts w:eastAsia="Times New Roman" w:cstheme="minorHAnsi"/>
              </w:rPr>
            </w:pPr>
            <w:r w:rsidRPr="002A66B3">
              <w:rPr>
                <w:rFonts w:cstheme="minorHAnsi"/>
              </w:rPr>
              <w:t>(131)</w:t>
            </w:r>
          </w:p>
        </w:tc>
        <w:tc>
          <w:tcPr>
            <w:tcW w:w="1191" w:type="dxa"/>
            <w:tcBorders>
              <w:top w:val="nil"/>
              <w:left w:val="nil"/>
              <w:bottom w:val="nil"/>
              <w:right w:val="nil"/>
            </w:tcBorders>
            <w:shd w:val="clear" w:color="000000" w:fill="FFFFFF"/>
            <w:noWrap/>
            <w:hideMark/>
          </w:tcPr>
          <w:p w14:paraId="045BB092" w14:textId="69101A02" w:rsidR="002A66B3" w:rsidRPr="00730ECF" w:rsidRDefault="002A66B3" w:rsidP="002A66B3">
            <w:pPr>
              <w:jc w:val="right"/>
              <w:rPr>
                <w:rFonts w:eastAsia="Times New Roman" w:cstheme="minorHAnsi"/>
              </w:rPr>
            </w:pPr>
            <w:r w:rsidRPr="002A66B3">
              <w:rPr>
                <w:rFonts w:cstheme="minorHAnsi"/>
              </w:rPr>
              <w:t>(80)</w:t>
            </w:r>
          </w:p>
        </w:tc>
      </w:tr>
      <w:tr w:rsidR="002A66B3" w:rsidRPr="002A66B3" w14:paraId="50DDD122" w14:textId="77777777" w:rsidTr="00730ECF">
        <w:trPr>
          <w:trHeight w:val="300"/>
          <w:jc w:val="center"/>
        </w:trPr>
        <w:tc>
          <w:tcPr>
            <w:tcW w:w="7380" w:type="dxa"/>
            <w:tcBorders>
              <w:top w:val="nil"/>
              <w:left w:val="nil"/>
              <w:bottom w:val="nil"/>
              <w:right w:val="nil"/>
            </w:tcBorders>
            <w:shd w:val="clear" w:color="000000" w:fill="FFFFFF"/>
            <w:noWrap/>
            <w:vAlign w:val="bottom"/>
            <w:hideMark/>
          </w:tcPr>
          <w:p w14:paraId="032B896F" w14:textId="77777777" w:rsidR="002A66B3" w:rsidRPr="00730ECF" w:rsidRDefault="002A66B3" w:rsidP="00730ECF">
            <w:pPr>
              <w:ind w:left="525"/>
              <w:rPr>
                <w:rFonts w:cstheme="minorHAnsi"/>
                <w:color w:val="000000"/>
              </w:rPr>
            </w:pPr>
            <w:r w:rsidRPr="00730ECF">
              <w:rPr>
                <w:rFonts w:cstheme="minorHAnsi"/>
                <w:color w:val="000000"/>
              </w:rPr>
              <w:t>Deferred outflows related to pensions</w:t>
            </w:r>
          </w:p>
        </w:tc>
        <w:tc>
          <w:tcPr>
            <w:tcW w:w="1191" w:type="dxa"/>
            <w:tcBorders>
              <w:top w:val="nil"/>
              <w:left w:val="nil"/>
              <w:bottom w:val="nil"/>
              <w:right w:val="nil"/>
            </w:tcBorders>
            <w:shd w:val="clear" w:color="000000" w:fill="FFFFFF"/>
            <w:noWrap/>
            <w:hideMark/>
          </w:tcPr>
          <w:p w14:paraId="38441E06" w14:textId="77777777" w:rsidR="002A66B3" w:rsidRPr="00730ECF" w:rsidRDefault="002A66B3" w:rsidP="002A66B3">
            <w:pPr>
              <w:jc w:val="right"/>
              <w:rPr>
                <w:rFonts w:eastAsia="Times New Roman" w:cstheme="minorHAnsi"/>
              </w:rPr>
            </w:pPr>
            <w:r w:rsidRPr="002A66B3">
              <w:rPr>
                <w:rFonts w:cstheme="minorHAnsi"/>
              </w:rPr>
              <w:t>(809)</w:t>
            </w:r>
          </w:p>
        </w:tc>
        <w:tc>
          <w:tcPr>
            <w:tcW w:w="1191" w:type="dxa"/>
            <w:tcBorders>
              <w:top w:val="nil"/>
              <w:left w:val="nil"/>
              <w:bottom w:val="nil"/>
              <w:right w:val="nil"/>
            </w:tcBorders>
            <w:shd w:val="clear" w:color="000000" w:fill="FFFFFF"/>
            <w:noWrap/>
            <w:hideMark/>
          </w:tcPr>
          <w:p w14:paraId="28409696" w14:textId="78A31C01" w:rsidR="002A66B3" w:rsidRPr="00730ECF" w:rsidRDefault="002A66B3" w:rsidP="002A66B3">
            <w:pPr>
              <w:jc w:val="right"/>
              <w:rPr>
                <w:rFonts w:eastAsia="Times New Roman" w:cstheme="minorHAnsi"/>
              </w:rPr>
            </w:pPr>
            <w:r w:rsidRPr="002A66B3">
              <w:rPr>
                <w:rFonts w:cstheme="minorHAnsi"/>
              </w:rPr>
              <w:t xml:space="preserve">727 </w:t>
            </w:r>
          </w:p>
        </w:tc>
      </w:tr>
      <w:tr w:rsidR="002A66B3" w:rsidRPr="002A66B3" w14:paraId="681FC330" w14:textId="77777777" w:rsidTr="00730ECF">
        <w:trPr>
          <w:trHeight w:val="300"/>
          <w:jc w:val="center"/>
        </w:trPr>
        <w:tc>
          <w:tcPr>
            <w:tcW w:w="7380" w:type="dxa"/>
            <w:tcBorders>
              <w:top w:val="nil"/>
              <w:left w:val="nil"/>
              <w:bottom w:val="nil"/>
              <w:right w:val="nil"/>
            </w:tcBorders>
            <w:shd w:val="clear" w:color="000000" w:fill="FFFFFF"/>
            <w:noWrap/>
            <w:vAlign w:val="bottom"/>
            <w:hideMark/>
          </w:tcPr>
          <w:p w14:paraId="68ACDA9E" w14:textId="77777777" w:rsidR="002A66B3" w:rsidRPr="00730ECF" w:rsidRDefault="002A66B3" w:rsidP="00730ECF">
            <w:pPr>
              <w:ind w:left="525"/>
              <w:rPr>
                <w:rFonts w:cstheme="minorHAnsi"/>
                <w:color w:val="000000"/>
              </w:rPr>
            </w:pPr>
            <w:r w:rsidRPr="00730ECF">
              <w:rPr>
                <w:rFonts w:cstheme="minorHAnsi"/>
                <w:color w:val="000000"/>
              </w:rPr>
              <w:t>Deferred outflows related to OPEB</w:t>
            </w:r>
          </w:p>
        </w:tc>
        <w:tc>
          <w:tcPr>
            <w:tcW w:w="1191" w:type="dxa"/>
            <w:tcBorders>
              <w:top w:val="nil"/>
              <w:left w:val="nil"/>
              <w:bottom w:val="nil"/>
              <w:right w:val="nil"/>
            </w:tcBorders>
            <w:shd w:val="clear" w:color="000000" w:fill="FFFFFF"/>
            <w:noWrap/>
            <w:hideMark/>
          </w:tcPr>
          <w:p w14:paraId="4A4BD45C" w14:textId="77777777" w:rsidR="002A66B3" w:rsidRPr="00730ECF" w:rsidRDefault="002A66B3" w:rsidP="002A66B3">
            <w:pPr>
              <w:jc w:val="right"/>
              <w:rPr>
                <w:rFonts w:eastAsia="Times New Roman" w:cstheme="minorHAnsi"/>
              </w:rPr>
            </w:pPr>
            <w:r w:rsidRPr="002A66B3">
              <w:rPr>
                <w:rFonts w:cstheme="minorHAnsi"/>
              </w:rPr>
              <w:t>(15,016)</w:t>
            </w:r>
          </w:p>
        </w:tc>
        <w:tc>
          <w:tcPr>
            <w:tcW w:w="1191" w:type="dxa"/>
            <w:tcBorders>
              <w:top w:val="nil"/>
              <w:left w:val="nil"/>
              <w:bottom w:val="nil"/>
              <w:right w:val="nil"/>
            </w:tcBorders>
            <w:shd w:val="clear" w:color="000000" w:fill="FFFFFF"/>
            <w:noWrap/>
            <w:hideMark/>
          </w:tcPr>
          <w:p w14:paraId="5A1EBC04" w14:textId="662F6D16" w:rsidR="002A66B3" w:rsidRPr="00730ECF" w:rsidRDefault="002A66B3" w:rsidP="002A66B3">
            <w:pPr>
              <w:jc w:val="right"/>
              <w:rPr>
                <w:rFonts w:eastAsia="Times New Roman" w:cstheme="minorHAnsi"/>
              </w:rPr>
            </w:pPr>
            <w:r w:rsidRPr="002A66B3">
              <w:rPr>
                <w:rFonts w:cstheme="minorHAnsi"/>
              </w:rPr>
              <w:t xml:space="preserve">10,257 </w:t>
            </w:r>
          </w:p>
        </w:tc>
      </w:tr>
      <w:tr w:rsidR="002A66B3" w:rsidRPr="002A66B3" w14:paraId="57C2671D" w14:textId="77777777" w:rsidTr="00730ECF">
        <w:trPr>
          <w:trHeight w:val="300"/>
          <w:jc w:val="center"/>
        </w:trPr>
        <w:tc>
          <w:tcPr>
            <w:tcW w:w="7380" w:type="dxa"/>
            <w:tcBorders>
              <w:top w:val="nil"/>
              <w:left w:val="nil"/>
              <w:bottom w:val="nil"/>
              <w:right w:val="nil"/>
            </w:tcBorders>
            <w:shd w:val="clear" w:color="000000" w:fill="FFFFFF"/>
            <w:noWrap/>
            <w:vAlign w:val="bottom"/>
            <w:hideMark/>
          </w:tcPr>
          <w:p w14:paraId="258FEB32" w14:textId="77777777" w:rsidR="002A66B3" w:rsidRPr="00730ECF" w:rsidRDefault="002A66B3" w:rsidP="00730ECF">
            <w:pPr>
              <w:ind w:left="525"/>
              <w:rPr>
                <w:rFonts w:cstheme="minorHAnsi"/>
                <w:color w:val="000000"/>
              </w:rPr>
            </w:pPr>
            <w:r w:rsidRPr="00730ECF">
              <w:rPr>
                <w:rFonts w:cstheme="minorHAnsi"/>
                <w:color w:val="000000"/>
              </w:rPr>
              <w:t>Accounts payable</w:t>
            </w:r>
          </w:p>
        </w:tc>
        <w:tc>
          <w:tcPr>
            <w:tcW w:w="1191" w:type="dxa"/>
            <w:tcBorders>
              <w:top w:val="nil"/>
              <w:left w:val="nil"/>
              <w:bottom w:val="nil"/>
              <w:right w:val="nil"/>
            </w:tcBorders>
            <w:shd w:val="clear" w:color="000000" w:fill="FFFFFF"/>
            <w:noWrap/>
            <w:hideMark/>
          </w:tcPr>
          <w:p w14:paraId="1D3EA014" w14:textId="165A621E" w:rsidR="002A66B3" w:rsidRPr="00730ECF" w:rsidRDefault="002A66B3" w:rsidP="002A66B3">
            <w:pPr>
              <w:jc w:val="right"/>
              <w:rPr>
                <w:rFonts w:eastAsia="Times New Roman" w:cstheme="minorHAnsi"/>
              </w:rPr>
            </w:pPr>
            <w:r w:rsidRPr="002A66B3">
              <w:rPr>
                <w:rFonts w:cstheme="minorHAnsi"/>
              </w:rPr>
              <w:t>(591)</w:t>
            </w:r>
          </w:p>
        </w:tc>
        <w:tc>
          <w:tcPr>
            <w:tcW w:w="1191" w:type="dxa"/>
            <w:tcBorders>
              <w:top w:val="nil"/>
              <w:left w:val="nil"/>
              <w:bottom w:val="nil"/>
              <w:right w:val="nil"/>
            </w:tcBorders>
            <w:shd w:val="clear" w:color="000000" w:fill="FFFFFF"/>
            <w:noWrap/>
            <w:hideMark/>
          </w:tcPr>
          <w:p w14:paraId="068FDA9D" w14:textId="03A96328" w:rsidR="002A66B3" w:rsidRPr="00730ECF" w:rsidRDefault="002A66B3" w:rsidP="002A66B3">
            <w:pPr>
              <w:jc w:val="right"/>
              <w:rPr>
                <w:rFonts w:eastAsia="Times New Roman" w:cstheme="minorHAnsi"/>
              </w:rPr>
            </w:pPr>
            <w:r w:rsidRPr="002A66B3">
              <w:rPr>
                <w:rFonts w:cstheme="minorHAnsi"/>
              </w:rPr>
              <w:t xml:space="preserve">4,660 </w:t>
            </w:r>
          </w:p>
        </w:tc>
      </w:tr>
      <w:tr w:rsidR="002A66B3" w:rsidRPr="002A66B3" w14:paraId="3C5B0814" w14:textId="77777777" w:rsidTr="00730ECF">
        <w:trPr>
          <w:trHeight w:val="300"/>
          <w:jc w:val="center"/>
        </w:trPr>
        <w:tc>
          <w:tcPr>
            <w:tcW w:w="7380" w:type="dxa"/>
            <w:tcBorders>
              <w:top w:val="nil"/>
              <w:left w:val="nil"/>
              <w:bottom w:val="nil"/>
              <w:right w:val="nil"/>
            </w:tcBorders>
            <w:shd w:val="clear" w:color="000000" w:fill="FFFFFF"/>
            <w:noWrap/>
            <w:vAlign w:val="bottom"/>
            <w:hideMark/>
          </w:tcPr>
          <w:p w14:paraId="57FAB892" w14:textId="77777777" w:rsidR="002A66B3" w:rsidRPr="00730ECF" w:rsidRDefault="002A66B3" w:rsidP="00730ECF">
            <w:pPr>
              <w:ind w:left="525"/>
              <w:rPr>
                <w:rFonts w:cstheme="minorHAnsi"/>
                <w:color w:val="000000"/>
              </w:rPr>
            </w:pPr>
            <w:r w:rsidRPr="00730ECF">
              <w:rPr>
                <w:rFonts w:cstheme="minorHAnsi"/>
                <w:color w:val="000000"/>
              </w:rPr>
              <w:t>Unearned revenue and deposits</w:t>
            </w:r>
          </w:p>
        </w:tc>
        <w:tc>
          <w:tcPr>
            <w:tcW w:w="1191" w:type="dxa"/>
            <w:tcBorders>
              <w:top w:val="nil"/>
              <w:left w:val="nil"/>
              <w:bottom w:val="nil"/>
              <w:right w:val="nil"/>
            </w:tcBorders>
            <w:shd w:val="clear" w:color="000000" w:fill="FFFFFF"/>
            <w:noWrap/>
            <w:hideMark/>
          </w:tcPr>
          <w:p w14:paraId="4887AE9A" w14:textId="06BA0DE8" w:rsidR="002A66B3" w:rsidRPr="00730ECF" w:rsidRDefault="002A66B3" w:rsidP="002A66B3">
            <w:pPr>
              <w:jc w:val="right"/>
              <w:rPr>
                <w:rFonts w:eastAsia="Times New Roman" w:cstheme="minorHAnsi"/>
              </w:rPr>
            </w:pPr>
            <w:r w:rsidRPr="002A66B3">
              <w:rPr>
                <w:rFonts w:cstheme="minorHAnsi"/>
              </w:rPr>
              <w:t>16,434</w:t>
            </w:r>
          </w:p>
        </w:tc>
        <w:tc>
          <w:tcPr>
            <w:tcW w:w="1191" w:type="dxa"/>
            <w:tcBorders>
              <w:top w:val="nil"/>
              <w:left w:val="nil"/>
              <w:bottom w:val="nil"/>
              <w:right w:val="nil"/>
            </w:tcBorders>
            <w:shd w:val="clear" w:color="000000" w:fill="FFFFFF"/>
            <w:noWrap/>
            <w:hideMark/>
          </w:tcPr>
          <w:p w14:paraId="18422390" w14:textId="13042402" w:rsidR="002A66B3" w:rsidRPr="00730ECF" w:rsidRDefault="002A66B3" w:rsidP="002A66B3">
            <w:pPr>
              <w:jc w:val="right"/>
              <w:rPr>
                <w:rFonts w:eastAsia="Times New Roman" w:cstheme="minorHAnsi"/>
              </w:rPr>
            </w:pPr>
            <w:r w:rsidRPr="002A66B3">
              <w:rPr>
                <w:rFonts w:cstheme="minorHAnsi"/>
              </w:rPr>
              <w:t xml:space="preserve">14,673 </w:t>
            </w:r>
          </w:p>
        </w:tc>
      </w:tr>
      <w:tr w:rsidR="002A66B3" w:rsidRPr="002A66B3" w14:paraId="6749E95E" w14:textId="77777777" w:rsidTr="00730ECF">
        <w:trPr>
          <w:trHeight w:val="300"/>
          <w:jc w:val="center"/>
        </w:trPr>
        <w:tc>
          <w:tcPr>
            <w:tcW w:w="7380" w:type="dxa"/>
            <w:tcBorders>
              <w:top w:val="nil"/>
              <w:left w:val="nil"/>
              <w:bottom w:val="nil"/>
              <w:right w:val="nil"/>
            </w:tcBorders>
            <w:shd w:val="clear" w:color="000000" w:fill="FFFFFF"/>
            <w:noWrap/>
            <w:vAlign w:val="bottom"/>
            <w:hideMark/>
          </w:tcPr>
          <w:p w14:paraId="0B51CD06" w14:textId="77777777" w:rsidR="002A66B3" w:rsidRPr="00730ECF" w:rsidRDefault="002A66B3" w:rsidP="00730ECF">
            <w:pPr>
              <w:ind w:left="525"/>
              <w:rPr>
                <w:rFonts w:cstheme="minorHAnsi"/>
                <w:color w:val="000000"/>
              </w:rPr>
            </w:pPr>
            <w:r w:rsidRPr="00730ECF">
              <w:rPr>
                <w:rFonts w:cstheme="minorHAnsi"/>
                <w:color w:val="000000"/>
              </w:rPr>
              <w:t>Accrued liabilities</w:t>
            </w:r>
          </w:p>
        </w:tc>
        <w:tc>
          <w:tcPr>
            <w:tcW w:w="1191" w:type="dxa"/>
            <w:tcBorders>
              <w:top w:val="nil"/>
              <w:left w:val="nil"/>
              <w:bottom w:val="nil"/>
              <w:right w:val="nil"/>
            </w:tcBorders>
            <w:shd w:val="clear" w:color="000000" w:fill="FFFFFF"/>
            <w:noWrap/>
            <w:hideMark/>
          </w:tcPr>
          <w:p w14:paraId="5C3305EB" w14:textId="13C1D425" w:rsidR="002A66B3" w:rsidRPr="00730ECF" w:rsidRDefault="002A66B3" w:rsidP="002A66B3">
            <w:pPr>
              <w:jc w:val="right"/>
              <w:rPr>
                <w:rFonts w:eastAsia="Times New Roman" w:cstheme="minorHAnsi"/>
              </w:rPr>
            </w:pPr>
            <w:r w:rsidRPr="002A66B3">
              <w:rPr>
                <w:rFonts w:cstheme="minorHAnsi"/>
              </w:rPr>
              <w:t>(6,407)</w:t>
            </w:r>
          </w:p>
        </w:tc>
        <w:tc>
          <w:tcPr>
            <w:tcW w:w="1191" w:type="dxa"/>
            <w:tcBorders>
              <w:top w:val="nil"/>
              <w:left w:val="nil"/>
              <w:bottom w:val="nil"/>
              <w:right w:val="nil"/>
            </w:tcBorders>
            <w:shd w:val="clear" w:color="000000" w:fill="FFFFFF"/>
            <w:noWrap/>
            <w:hideMark/>
          </w:tcPr>
          <w:p w14:paraId="2C76DEB1" w14:textId="739624B1" w:rsidR="002A66B3" w:rsidRPr="00730ECF" w:rsidRDefault="002A66B3" w:rsidP="002A66B3">
            <w:pPr>
              <w:jc w:val="right"/>
              <w:rPr>
                <w:rFonts w:eastAsia="Times New Roman" w:cstheme="minorHAnsi"/>
              </w:rPr>
            </w:pPr>
            <w:r w:rsidRPr="002A66B3">
              <w:rPr>
                <w:rFonts w:cstheme="minorHAnsi"/>
              </w:rPr>
              <w:t>(2,906)</w:t>
            </w:r>
          </w:p>
        </w:tc>
      </w:tr>
      <w:tr w:rsidR="002A66B3" w:rsidRPr="002A66B3" w14:paraId="0178C066" w14:textId="77777777" w:rsidTr="00730ECF">
        <w:trPr>
          <w:trHeight w:val="300"/>
          <w:jc w:val="center"/>
        </w:trPr>
        <w:tc>
          <w:tcPr>
            <w:tcW w:w="7380" w:type="dxa"/>
            <w:tcBorders>
              <w:top w:val="nil"/>
              <w:left w:val="nil"/>
              <w:bottom w:val="nil"/>
              <w:right w:val="nil"/>
            </w:tcBorders>
            <w:shd w:val="clear" w:color="000000" w:fill="FFFFFF"/>
            <w:noWrap/>
            <w:vAlign w:val="bottom"/>
            <w:hideMark/>
          </w:tcPr>
          <w:p w14:paraId="198A966A" w14:textId="77777777" w:rsidR="002A66B3" w:rsidRPr="00730ECF" w:rsidRDefault="002A66B3" w:rsidP="00730ECF">
            <w:pPr>
              <w:ind w:left="525"/>
              <w:rPr>
                <w:rFonts w:cstheme="minorHAnsi"/>
                <w:color w:val="000000"/>
              </w:rPr>
            </w:pPr>
            <w:r w:rsidRPr="00730ECF">
              <w:rPr>
                <w:rFonts w:cstheme="minorHAnsi"/>
                <w:color w:val="000000"/>
              </w:rPr>
              <w:t>Grants refundable</w:t>
            </w:r>
          </w:p>
        </w:tc>
        <w:tc>
          <w:tcPr>
            <w:tcW w:w="1191" w:type="dxa"/>
            <w:tcBorders>
              <w:top w:val="nil"/>
              <w:left w:val="nil"/>
              <w:bottom w:val="nil"/>
              <w:right w:val="nil"/>
            </w:tcBorders>
            <w:shd w:val="clear" w:color="000000" w:fill="FFFFFF"/>
            <w:noWrap/>
            <w:vAlign w:val="bottom"/>
            <w:hideMark/>
          </w:tcPr>
          <w:p w14:paraId="74B91D1F" w14:textId="77777777" w:rsidR="002A66B3" w:rsidRPr="00730ECF" w:rsidRDefault="002A66B3" w:rsidP="002A66B3">
            <w:pPr>
              <w:jc w:val="right"/>
              <w:rPr>
                <w:rFonts w:cstheme="minorHAnsi"/>
              </w:rPr>
            </w:pPr>
            <w:r w:rsidRPr="00730ECF">
              <w:rPr>
                <w:rFonts w:cstheme="minorHAnsi"/>
              </w:rPr>
              <w:t>(1,940)</w:t>
            </w:r>
          </w:p>
        </w:tc>
        <w:tc>
          <w:tcPr>
            <w:tcW w:w="1191" w:type="dxa"/>
            <w:tcBorders>
              <w:top w:val="nil"/>
              <w:left w:val="nil"/>
              <w:bottom w:val="nil"/>
              <w:right w:val="nil"/>
            </w:tcBorders>
            <w:shd w:val="clear" w:color="000000" w:fill="FFFFFF"/>
            <w:noWrap/>
            <w:vAlign w:val="bottom"/>
            <w:hideMark/>
          </w:tcPr>
          <w:p w14:paraId="7C9F2C70" w14:textId="77777777" w:rsidR="002A66B3" w:rsidRPr="00730ECF" w:rsidRDefault="002A66B3" w:rsidP="002A66B3">
            <w:pPr>
              <w:jc w:val="right"/>
              <w:rPr>
                <w:rFonts w:cstheme="minorHAnsi"/>
              </w:rPr>
            </w:pPr>
            <w:r w:rsidRPr="00730ECF">
              <w:rPr>
                <w:rFonts w:cstheme="minorHAnsi"/>
              </w:rPr>
              <w:t>(3,227)</w:t>
            </w:r>
          </w:p>
        </w:tc>
      </w:tr>
      <w:tr w:rsidR="002A66B3" w:rsidRPr="002A66B3" w14:paraId="50F7DB0D" w14:textId="77777777" w:rsidTr="00730ECF">
        <w:trPr>
          <w:trHeight w:val="300"/>
          <w:jc w:val="center"/>
        </w:trPr>
        <w:tc>
          <w:tcPr>
            <w:tcW w:w="7380" w:type="dxa"/>
            <w:tcBorders>
              <w:top w:val="nil"/>
              <w:left w:val="nil"/>
              <w:bottom w:val="nil"/>
              <w:right w:val="nil"/>
            </w:tcBorders>
            <w:shd w:val="clear" w:color="000000" w:fill="FFFFFF"/>
            <w:noWrap/>
            <w:vAlign w:val="bottom"/>
            <w:hideMark/>
          </w:tcPr>
          <w:p w14:paraId="1079B856" w14:textId="77777777" w:rsidR="002A66B3" w:rsidRPr="00730ECF" w:rsidRDefault="002A66B3" w:rsidP="00730ECF">
            <w:pPr>
              <w:ind w:left="525"/>
              <w:rPr>
                <w:rFonts w:cstheme="minorHAnsi"/>
                <w:color w:val="000000"/>
              </w:rPr>
            </w:pPr>
            <w:r w:rsidRPr="00730ECF">
              <w:rPr>
                <w:rFonts w:cstheme="minorHAnsi"/>
                <w:color w:val="000000"/>
              </w:rPr>
              <w:t>Deferred inflows related to pensions</w:t>
            </w:r>
          </w:p>
        </w:tc>
        <w:tc>
          <w:tcPr>
            <w:tcW w:w="1191" w:type="dxa"/>
            <w:tcBorders>
              <w:top w:val="nil"/>
              <w:left w:val="nil"/>
              <w:bottom w:val="nil"/>
              <w:right w:val="nil"/>
            </w:tcBorders>
            <w:shd w:val="clear" w:color="000000" w:fill="FFFFFF"/>
            <w:noWrap/>
            <w:vAlign w:val="bottom"/>
            <w:hideMark/>
          </w:tcPr>
          <w:p w14:paraId="28A18653" w14:textId="77777777" w:rsidR="002A66B3" w:rsidRPr="00730ECF" w:rsidRDefault="002A66B3" w:rsidP="002A66B3">
            <w:pPr>
              <w:jc w:val="right"/>
              <w:rPr>
                <w:rFonts w:cstheme="minorHAnsi"/>
              </w:rPr>
            </w:pPr>
            <w:r w:rsidRPr="00730ECF">
              <w:rPr>
                <w:rFonts w:cstheme="minorHAnsi"/>
              </w:rPr>
              <w:t>254</w:t>
            </w:r>
          </w:p>
        </w:tc>
        <w:tc>
          <w:tcPr>
            <w:tcW w:w="1191" w:type="dxa"/>
            <w:tcBorders>
              <w:top w:val="nil"/>
              <w:left w:val="nil"/>
              <w:bottom w:val="nil"/>
              <w:right w:val="nil"/>
            </w:tcBorders>
            <w:shd w:val="clear" w:color="000000" w:fill="FFFFFF"/>
            <w:noWrap/>
            <w:vAlign w:val="bottom"/>
            <w:hideMark/>
          </w:tcPr>
          <w:p w14:paraId="57AADD47" w14:textId="77777777" w:rsidR="002A66B3" w:rsidRPr="00730ECF" w:rsidRDefault="002A66B3" w:rsidP="002A66B3">
            <w:pPr>
              <w:jc w:val="right"/>
              <w:rPr>
                <w:rFonts w:cstheme="minorHAnsi"/>
              </w:rPr>
            </w:pPr>
            <w:r w:rsidRPr="00730ECF">
              <w:rPr>
                <w:rFonts w:cstheme="minorHAnsi"/>
              </w:rPr>
              <w:t>(142)</w:t>
            </w:r>
          </w:p>
        </w:tc>
      </w:tr>
      <w:tr w:rsidR="002A66B3" w:rsidRPr="002A66B3" w14:paraId="0D57BEE9" w14:textId="77777777" w:rsidTr="00730ECF">
        <w:trPr>
          <w:trHeight w:val="300"/>
          <w:jc w:val="center"/>
        </w:trPr>
        <w:tc>
          <w:tcPr>
            <w:tcW w:w="7380" w:type="dxa"/>
            <w:tcBorders>
              <w:top w:val="nil"/>
              <w:left w:val="nil"/>
              <w:bottom w:val="nil"/>
              <w:right w:val="nil"/>
            </w:tcBorders>
            <w:shd w:val="clear" w:color="000000" w:fill="FFFFFF"/>
            <w:noWrap/>
            <w:vAlign w:val="bottom"/>
            <w:hideMark/>
          </w:tcPr>
          <w:p w14:paraId="4F9B533E" w14:textId="77777777" w:rsidR="002A66B3" w:rsidRPr="00730ECF" w:rsidRDefault="002A66B3" w:rsidP="00730ECF">
            <w:pPr>
              <w:ind w:left="525"/>
              <w:rPr>
                <w:rFonts w:cstheme="minorHAnsi"/>
                <w:color w:val="000000"/>
              </w:rPr>
            </w:pPr>
            <w:r w:rsidRPr="00730ECF">
              <w:rPr>
                <w:rFonts w:cstheme="minorHAnsi"/>
                <w:color w:val="000000"/>
              </w:rPr>
              <w:t>Deferred inflows related to OPEB</w:t>
            </w:r>
          </w:p>
        </w:tc>
        <w:tc>
          <w:tcPr>
            <w:tcW w:w="1191" w:type="dxa"/>
            <w:tcBorders>
              <w:top w:val="nil"/>
              <w:left w:val="nil"/>
              <w:bottom w:val="nil"/>
              <w:right w:val="nil"/>
            </w:tcBorders>
            <w:shd w:val="clear" w:color="000000" w:fill="FFFFFF"/>
            <w:noWrap/>
            <w:vAlign w:val="bottom"/>
            <w:hideMark/>
          </w:tcPr>
          <w:p w14:paraId="14D56358" w14:textId="77777777" w:rsidR="002A66B3" w:rsidRPr="00730ECF" w:rsidRDefault="002A66B3" w:rsidP="002A66B3">
            <w:pPr>
              <w:jc w:val="right"/>
              <w:rPr>
                <w:rFonts w:cstheme="minorHAnsi"/>
              </w:rPr>
            </w:pPr>
            <w:r w:rsidRPr="00730ECF">
              <w:rPr>
                <w:rFonts w:cstheme="minorHAnsi"/>
              </w:rPr>
              <w:t>4,907</w:t>
            </w:r>
          </w:p>
        </w:tc>
        <w:tc>
          <w:tcPr>
            <w:tcW w:w="1191" w:type="dxa"/>
            <w:tcBorders>
              <w:top w:val="nil"/>
              <w:left w:val="nil"/>
              <w:bottom w:val="nil"/>
              <w:right w:val="nil"/>
            </w:tcBorders>
            <w:shd w:val="clear" w:color="000000" w:fill="FFFFFF"/>
            <w:noWrap/>
            <w:vAlign w:val="bottom"/>
            <w:hideMark/>
          </w:tcPr>
          <w:p w14:paraId="5950D712" w14:textId="77777777" w:rsidR="002A66B3" w:rsidRPr="00730ECF" w:rsidRDefault="002A66B3" w:rsidP="002A66B3">
            <w:pPr>
              <w:jc w:val="right"/>
              <w:rPr>
                <w:rFonts w:cstheme="minorHAnsi"/>
              </w:rPr>
            </w:pPr>
            <w:r w:rsidRPr="00730ECF">
              <w:rPr>
                <w:rFonts w:cstheme="minorHAnsi"/>
              </w:rPr>
              <w:t xml:space="preserve">(12,716) </w:t>
            </w:r>
          </w:p>
        </w:tc>
      </w:tr>
      <w:tr w:rsidR="002A66B3" w:rsidRPr="002A66B3" w14:paraId="1F2705A0" w14:textId="77777777" w:rsidTr="00730ECF">
        <w:trPr>
          <w:trHeight w:val="300"/>
          <w:jc w:val="center"/>
        </w:trPr>
        <w:tc>
          <w:tcPr>
            <w:tcW w:w="7380" w:type="dxa"/>
            <w:tcBorders>
              <w:top w:val="nil"/>
              <w:left w:val="nil"/>
              <w:bottom w:val="nil"/>
              <w:right w:val="nil"/>
            </w:tcBorders>
            <w:shd w:val="clear" w:color="000000" w:fill="FFFFFF"/>
            <w:noWrap/>
            <w:vAlign w:val="bottom"/>
            <w:hideMark/>
          </w:tcPr>
          <w:p w14:paraId="7A439D4C" w14:textId="77777777" w:rsidR="002A66B3" w:rsidRPr="00730ECF" w:rsidRDefault="002A66B3" w:rsidP="00730ECF">
            <w:pPr>
              <w:ind w:left="525"/>
              <w:rPr>
                <w:rFonts w:cstheme="minorHAnsi"/>
                <w:color w:val="000000"/>
              </w:rPr>
            </w:pPr>
            <w:r w:rsidRPr="00730ECF">
              <w:rPr>
                <w:rFonts w:cstheme="minorHAnsi"/>
                <w:color w:val="000000"/>
              </w:rPr>
              <w:t>Deferred inflows related to split interest agreements</w:t>
            </w:r>
          </w:p>
        </w:tc>
        <w:tc>
          <w:tcPr>
            <w:tcW w:w="1191" w:type="dxa"/>
            <w:tcBorders>
              <w:top w:val="nil"/>
              <w:left w:val="nil"/>
              <w:bottom w:val="nil"/>
              <w:right w:val="nil"/>
            </w:tcBorders>
            <w:shd w:val="clear" w:color="000000" w:fill="FFFFFF"/>
            <w:noWrap/>
            <w:hideMark/>
          </w:tcPr>
          <w:p w14:paraId="0EF676B5" w14:textId="10CB7B9F" w:rsidR="002A66B3" w:rsidRPr="00730ECF" w:rsidRDefault="002A66B3" w:rsidP="002A66B3">
            <w:pPr>
              <w:jc w:val="right"/>
              <w:rPr>
                <w:rFonts w:eastAsia="Times New Roman" w:cstheme="minorHAnsi"/>
              </w:rPr>
            </w:pPr>
            <w:r w:rsidRPr="002A66B3">
              <w:rPr>
                <w:rFonts w:cstheme="minorHAnsi"/>
              </w:rPr>
              <w:t>131</w:t>
            </w:r>
          </w:p>
        </w:tc>
        <w:tc>
          <w:tcPr>
            <w:tcW w:w="1191" w:type="dxa"/>
            <w:tcBorders>
              <w:top w:val="nil"/>
              <w:left w:val="nil"/>
              <w:bottom w:val="nil"/>
              <w:right w:val="nil"/>
            </w:tcBorders>
            <w:shd w:val="clear" w:color="000000" w:fill="FFFFFF"/>
            <w:noWrap/>
            <w:hideMark/>
          </w:tcPr>
          <w:p w14:paraId="2034A83E" w14:textId="64560D98" w:rsidR="002A66B3" w:rsidRPr="00730ECF" w:rsidRDefault="002A66B3" w:rsidP="002A66B3">
            <w:pPr>
              <w:jc w:val="right"/>
              <w:rPr>
                <w:rFonts w:eastAsia="Times New Roman" w:cstheme="minorHAnsi"/>
              </w:rPr>
            </w:pPr>
            <w:r w:rsidRPr="002A66B3">
              <w:rPr>
                <w:rFonts w:cstheme="minorHAnsi"/>
              </w:rPr>
              <w:t xml:space="preserve">80 </w:t>
            </w:r>
          </w:p>
        </w:tc>
      </w:tr>
      <w:tr w:rsidR="002A66B3" w:rsidRPr="002A66B3" w14:paraId="6175FFED" w14:textId="77777777" w:rsidTr="00730ECF">
        <w:trPr>
          <w:trHeight w:val="300"/>
          <w:jc w:val="center"/>
        </w:trPr>
        <w:tc>
          <w:tcPr>
            <w:tcW w:w="7380" w:type="dxa"/>
            <w:tcBorders>
              <w:top w:val="nil"/>
              <w:left w:val="nil"/>
              <w:bottom w:val="single" w:sz="4" w:space="0" w:color="000000"/>
              <w:right w:val="nil"/>
            </w:tcBorders>
            <w:shd w:val="clear" w:color="000000" w:fill="FFFFFF"/>
            <w:noWrap/>
            <w:vAlign w:val="bottom"/>
            <w:hideMark/>
          </w:tcPr>
          <w:p w14:paraId="370FA052" w14:textId="77777777" w:rsidR="002A66B3" w:rsidRPr="00730ECF" w:rsidRDefault="002A66B3" w:rsidP="00730ECF">
            <w:pPr>
              <w:ind w:left="525"/>
              <w:rPr>
                <w:rFonts w:cstheme="minorHAnsi"/>
                <w:color w:val="000000"/>
              </w:rPr>
            </w:pPr>
            <w:r w:rsidRPr="00730ECF">
              <w:rPr>
                <w:rFonts w:cstheme="minorHAnsi"/>
                <w:color w:val="000000"/>
              </w:rPr>
              <w:t>Deferred inflows related to leases</w:t>
            </w:r>
          </w:p>
        </w:tc>
        <w:tc>
          <w:tcPr>
            <w:tcW w:w="1191" w:type="dxa"/>
            <w:tcBorders>
              <w:top w:val="nil"/>
              <w:left w:val="nil"/>
              <w:bottom w:val="single" w:sz="4" w:space="0" w:color="000000"/>
              <w:right w:val="nil"/>
            </w:tcBorders>
            <w:shd w:val="clear" w:color="000000" w:fill="FFFFFF"/>
            <w:noWrap/>
            <w:hideMark/>
          </w:tcPr>
          <w:p w14:paraId="6D86316B" w14:textId="29CA74A0" w:rsidR="002A66B3" w:rsidRPr="00730ECF" w:rsidRDefault="002A66B3" w:rsidP="002A66B3">
            <w:pPr>
              <w:jc w:val="right"/>
              <w:rPr>
                <w:rFonts w:eastAsia="Times New Roman" w:cstheme="minorHAnsi"/>
              </w:rPr>
            </w:pPr>
            <w:r w:rsidRPr="002A66B3">
              <w:rPr>
                <w:rFonts w:cstheme="minorHAnsi"/>
              </w:rPr>
              <w:t>(300)</w:t>
            </w:r>
          </w:p>
        </w:tc>
        <w:tc>
          <w:tcPr>
            <w:tcW w:w="1191" w:type="dxa"/>
            <w:tcBorders>
              <w:top w:val="nil"/>
              <w:left w:val="nil"/>
              <w:bottom w:val="single" w:sz="4" w:space="0" w:color="000000"/>
              <w:right w:val="nil"/>
            </w:tcBorders>
            <w:shd w:val="clear" w:color="000000" w:fill="FFFFFF"/>
            <w:noWrap/>
            <w:hideMark/>
          </w:tcPr>
          <w:p w14:paraId="5022C896" w14:textId="0F5167A6" w:rsidR="002A66B3" w:rsidRPr="00730ECF" w:rsidRDefault="002A66B3" w:rsidP="002A66B3">
            <w:pPr>
              <w:jc w:val="right"/>
              <w:rPr>
                <w:rFonts w:eastAsia="Times New Roman" w:cstheme="minorHAnsi"/>
                <w:color w:val="000000"/>
              </w:rPr>
            </w:pPr>
            <w:r w:rsidRPr="002A66B3">
              <w:rPr>
                <w:rFonts w:cstheme="minorHAnsi"/>
              </w:rPr>
              <w:t>(346)</w:t>
            </w:r>
          </w:p>
        </w:tc>
      </w:tr>
      <w:tr w:rsidR="002A66B3" w:rsidRPr="002A66B3" w14:paraId="1575E4CF" w14:textId="77777777" w:rsidTr="00730ECF">
        <w:trPr>
          <w:trHeight w:val="315"/>
          <w:jc w:val="center"/>
        </w:trPr>
        <w:tc>
          <w:tcPr>
            <w:tcW w:w="7380" w:type="dxa"/>
            <w:tcBorders>
              <w:top w:val="nil"/>
              <w:left w:val="nil"/>
              <w:bottom w:val="double" w:sz="6" w:space="0" w:color="000000"/>
              <w:right w:val="nil"/>
            </w:tcBorders>
            <w:shd w:val="clear" w:color="000000" w:fill="FFFFFF"/>
            <w:noWrap/>
            <w:vAlign w:val="bottom"/>
            <w:hideMark/>
          </w:tcPr>
          <w:p w14:paraId="06E81459" w14:textId="77777777" w:rsidR="002A66B3" w:rsidRPr="00730ECF" w:rsidRDefault="002A66B3" w:rsidP="00730ECF">
            <w:pPr>
              <w:ind w:left="795"/>
              <w:rPr>
                <w:rFonts w:cstheme="minorHAnsi"/>
                <w:b/>
                <w:bCs/>
                <w:color w:val="000000"/>
              </w:rPr>
            </w:pPr>
            <w:r w:rsidRPr="00730ECF">
              <w:rPr>
                <w:rFonts w:cstheme="minorHAnsi"/>
                <w:b/>
                <w:bCs/>
                <w:color w:val="000000"/>
              </w:rPr>
              <w:t>Net Cash Used for Operating Activities</w:t>
            </w:r>
          </w:p>
        </w:tc>
        <w:tc>
          <w:tcPr>
            <w:tcW w:w="1191" w:type="dxa"/>
            <w:tcBorders>
              <w:top w:val="nil"/>
              <w:left w:val="nil"/>
              <w:bottom w:val="double" w:sz="6" w:space="0" w:color="000000"/>
              <w:right w:val="nil"/>
            </w:tcBorders>
            <w:shd w:val="clear" w:color="000000" w:fill="FFFFFF"/>
            <w:noWrap/>
            <w:vAlign w:val="bottom"/>
            <w:hideMark/>
          </w:tcPr>
          <w:p w14:paraId="1061475E" w14:textId="2EDF1B11" w:rsidR="002A66B3" w:rsidRPr="001F4002" w:rsidRDefault="008A6193" w:rsidP="002A66B3">
            <w:pPr>
              <w:jc w:val="right"/>
              <w:rPr>
                <w:rFonts w:cstheme="minorHAnsi"/>
                <w:b/>
                <w:bCs/>
                <w:highlight w:val="yellow"/>
              </w:rPr>
            </w:pPr>
            <w:r w:rsidRPr="008A6193">
              <w:rPr>
                <w:rFonts w:cstheme="minorHAnsi"/>
                <w:b/>
                <w:bCs/>
              </w:rPr>
              <w:t>$(308,534)</w:t>
            </w:r>
          </w:p>
        </w:tc>
        <w:tc>
          <w:tcPr>
            <w:tcW w:w="1191" w:type="dxa"/>
            <w:tcBorders>
              <w:top w:val="nil"/>
              <w:left w:val="nil"/>
              <w:bottom w:val="double" w:sz="6" w:space="0" w:color="000000"/>
              <w:right w:val="nil"/>
            </w:tcBorders>
            <w:shd w:val="clear" w:color="000000" w:fill="FFFFFF"/>
            <w:noWrap/>
            <w:vAlign w:val="bottom"/>
            <w:hideMark/>
          </w:tcPr>
          <w:p w14:paraId="7EFB9AFD" w14:textId="77777777" w:rsidR="002A66B3" w:rsidRPr="00730ECF" w:rsidRDefault="002A66B3" w:rsidP="002A66B3">
            <w:pPr>
              <w:jc w:val="right"/>
              <w:rPr>
                <w:rFonts w:cstheme="minorHAnsi"/>
                <w:b/>
                <w:bCs/>
              </w:rPr>
            </w:pPr>
            <w:r w:rsidRPr="00730ECF">
              <w:rPr>
                <w:rFonts w:cstheme="minorHAnsi"/>
                <w:b/>
                <w:bCs/>
              </w:rPr>
              <w:t>$(303,591)</w:t>
            </w:r>
          </w:p>
        </w:tc>
      </w:tr>
      <w:tr w:rsidR="002A66B3" w:rsidRPr="002A66B3" w14:paraId="5F6A9474" w14:textId="77777777" w:rsidTr="00730ECF">
        <w:trPr>
          <w:trHeight w:val="420"/>
          <w:jc w:val="center"/>
        </w:trPr>
        <w:tc>
          <w:tcPr>
            <w:tcW w:w="7380" w:type="dxa"/>
            <w:tcBorders>
              <w:top w:val="nil"/>
              <w:left w:val="nil"/>
              <w:bottom w:val="nil"/>
              <w:right w:val="nil"/>
            </w:tcBorders>
            <w:shd w:val="clear" w:color="000000" w:fill="FFFFFF"/>
            <w:noWrap/>
            <w:vAlign w:val="bottom"/>
            <w:hideMark/>
          </w:tcPr>
          <w:p w14:paraId="66D78747" w14:textId="77777777" w:rsidR="002A66B3" w:rsidRPr="00730ECF" w:rsidRDefault="002A66B3" w:rsidP="002A66B3">
            <w:pPr>
              <w:rPr>
                <w:rFonts w:cstheme="minorHAnsi"/>
                <w:b/>
                <w:bCs/>
                <w:color w:val="000000"/>
              </w:rPr>
            </w:pPr>
            <w:r w:rsidRPr="00730ECF">
              <w:rPr>
                <w:rFonts w:cstheme="minorHAnsi"/>
                <w:b/>
                <w:bCs/>
                <w:color w:val="000000"/>
              </w:rPr>
              <w:t>Noncash investing, capital, and financing activities:</w:t>
            </w:r>
          </w:p>
        </w:tc>
        <w:tc>
          <w:tcPr>
            <w:tcW w:w="1191" w:type="dxa"/>
            <w:tcBorders>
              <w:top w:val="nil"/>
              <w:left w:val="nil"/>
              <w:bottom w:val="nil"/>
              <w:right w:val="nil"/>
            </w:tcBorders>
            <w:shd w:val="clear" w:color="000000" w:fill="FFFFFF"/>
            <w:noWrap/>
            <w:vAlign w:val="bottom"/>
            <w:hideMark/>
          </w:tcPr>
          <w:p w14:paraId="756DA3D4" w14:textId="637A8884" w:rsidR="002A66B3" w:rsidRPr="00730ECF" w:rsidRDefault="002A66B3" w:rsidP="002A66B3">
            <w:pPr>
              <w:jc w:val="right"/>
              <w:rPr>
                <w:rFonts w:cstheme="minorHAnsi"/>
                <w:color w:val="FF0000"/>
              </w:rPr>
            </w:pPr>
          </w:p>
        </w:tc>
        <w:tc>
          <w:tcPr>
            <w:tcW w:w="1191" w:type="dxa"/>
            <w:tcBorders>
              <w:top w:val="nil"/>
              <w:left w:val="nil"/>
              <w:bottom w:val="nil"/>
              <w:right w:val="nil"/>
            </w:tcBorders>
            <w:shd w:val="clear" w:color="000000" w:fill="FFFFFF"/>
            <w:noWrap/>
            <w:vAlign w:val="bottom"/>
            <w:hideMark/>
          </w:tcPr>
          <w:p w14:paraId="0A32F195" w14:textId="240F38CD" w:rsidR="002A66B3" w:rsidRPr="00730ECF" w:rsidRDefault="002A66B3" w:rsidP="002A66B3">
            <w:pPr>
              <w:jc w:val="right"/>
              <w:rPr>
                <w:rFonts w:cstheme="minorHAnsi"/>
                <w:color w:val="000000"/>
              </w:rPr>
            </w:pPr>
          </w:p>
        </w:tc>
      </w:tr>
      <w:tr w:rsidR="002A66B3" w:rsidRPr="002A66B3" w14:paraId="43BC966E" w14:textId="77777777" w:rsidTr="00730ECF">
        <w:trPr>
          <w:trHeight w:val="615"/>
          <w:jc w:val="center"/>
        </w:trPr>
        <w:tc>
          <w:tcPr>
            <w:tcW w:w="7380" w:type="dxa"/>
            <w:tcBorders>
              <w:top w:val="nil"/>
              <w:left w:val="nil"/>
              <w:bottom w:val="nil"/>
              <w:right w:val="nil"/>
            </w:tcBorders>
            <w:shd w:val="clear" w:color="000000" w:fill="FFFFFF"/>
            <w:vAlign w:val="bottom"/>
            <w:hideMark/>
          </w:tcPr>
          <w:p w14:paraId="16CE103E" w14:textId="77777777" w:rsidR="002A66B3" w:rsidRPr="00730ECF" w:rsidRDefault="002A66B3" w:rsidP="00730ECF">
            <w:pPr>
              <w:ind w:left="255"/>
              <w:rPr>
                <w:rFonts w:cstheme="minorHAnsi"/>
                <w:color w:val="000000"/>
              </w:rPr>
            </w:pPr>
            <w:r w:rsidRPr="00730ECF">
              <w:rPr>
                <w:rFonts w:cstheme="minorHAnsi"/>
                <w:color w:val="000000"/>
              </w:rPr>
              <w:t>Capital asset additions included in accounts payable and accrued liabilities as of June 30</w:t>
            </w:r>
          </w:p>
        </w:tc>
        <w:tc>
          <w:tcPr>
            <w:tcW w:w="1191" w:type="dxa"/>
            <w:tcBorders>
              <w:top w:val="nil"/>
              <w:left w:val="nil"/>
              <w:bottom w:val="double" w:sz="6" w:space="0" w:color="000000"/>
              <w:right w:val="nil"/>
            </w:tcBorders>
            <w:shd w:val="clear" w:color="000000" w:fill="FFFFFF"/>
            <w:noWrap/>
            <w:vAlign w:val="bottom"/>
            <w:hideMark/>
          </w:tcPr>
          <w:p w14:paraId="7A51D5CA" w14:textId="77777777" w:rsidR="002A66B3" w:rsidRPr="00730ECF" w:rsidRDefault="002A66B3" w:rsidP="002A66B3">
            <w:pPr>
              <w:jc w:val="right"/>
              <w:rPr>
                <w:rFonts w:eastAsia="Times New Roman" w:cstheme="minorHAnsi"/>
              </w:rPr>
            </w:pPr>
            <w:r w:rsidRPr="002A66B3">
              <w:rPr>
                <w:rFonts w:cstheme="minorHAnsi"/>
              </w:rPr>
              <w:t>$23,255</w:t>
            </w:r>
          </w:p>
        </w:tc>
        <w:tc>
          <w:tcPr>
            <w:tcW w:w="1191" w:type="dxa"/>
            <w:tcBorders>
              <w:top w:val="nil"/>
              <w:left w:val="nil"/>
              <w:bottom w:val="double" w:sz="6" w:space="0" w:color="000000"/>
              <w:right w:val="nil"/>
            </w:tcBorders>
            <w:shd w:val="clear" w:color="000000" w:fill="FFFFFF"/>
            <w:noWrap/>
            <w:vAlign w:val="bottom"/>
            <w:hideMark/>
          </w:tcPr>
          <w:p w14:paraId="30839A39" w14:textId="68AEEC2C" w:rsidR="002A66B3" w:rsidRPr="002A66B3" w:rsidRDefault="002A66B3" w:rsidP="002A66B3">
            <w:pPr>
              <w:jc w:val="right"/>
              <w:rPr>
                <w:rFonts w:cstheme="minorHAnsi"/>
              </w:rPr>
            </w:pPr>
          </w:p>
          <w:p w14:paraId="43C04FA7" w14:textId="77777777" w:rsidR="002A66B3" w:rsidRPr="00730ECF" w:rsidRDefault="002A66B3" w:rsidP="002A66B3">
            <w:pPr>
              <w:jc w:val="right"/>
              <w:rPr>
                <w:rFonts w:eastAsia="Times New Roman" w:cstheme="minorHAnsi"/>
                <w:color w:val="000000"/>
              </w:rPr>
            </w:pPr>
            <w:r w:rsidRPr="002A66B3">
              <w:rPr>
                <w:rFonts w:cstheme="minorHAnsi"/>
              </w:rPr>
              <w:t>$ 13,703</w:t>
            </w:r>
          </w:p>
        </w:tc>
      </w:tr>
      <w:tr w:rsidR="002A66B3" w:rsidRPr="002A66B3" w14:paraId="3062D939" w14:textId="77777777" w:rsidTr="00730ECF">
        <w:trPr>
          <w:trHeight w:val="35"/>
          <w:jc w:val="center"/>
        </w:trPr>
        <w:tc>
          <w:tcPr>
            <w:tcW w:w="7380" w:type="dxa"/>
            <w:tcBorders>
              <w:top w:val="nil"/>
              <w:left w:val="nil"/>
              <w:bottom w:val="nil"/>
              <w:right w:val="nil"/>
            </w:tcBorders>
            <w:shd w:val="clear" w:color="000000" w:fill="FFFFFF"/>
            <w:noWrap/>
            <w:vAlign w:val="bottom"/>
            <w:hideMark/>
          </w:tcPr>
          <w:p w14:paraId="34E3CEDB" w14:textId="77777777" w:rsidR="002A66B3" w:rsidRPr="00730ECF" w:rsidRDefault="002A66B3" w:rsidP="00730ECF">
            <w:pPr>
              <w:ind w:left="255"/>
              <w:rPr>
                <w:rFonts w:cstheme="minorHAnsi"/>
                <w:color w:val="000000"/>
              </w:rPr>
            </w:pPr>
            <w:r w:rsidRPr="00730ECF">
              <w:rPr>
                <w:rFonts w:cstheme="minorHAnsi"/>
                <w:color w:val="000000"/>
              </w:rPr>
              <w:t>Capital asset additions acquired through long-term debt</w:t>
            </w:r>
          </w:p>
        </w:tc>
        <w:tc>
          <w:tcPr>
            <w:tcW w:w="1191" w:type="dxa"/>
            <w:tcBorders>
              <w:top w:val="nil"/>
              <w:left w:val="nil"/>
              <w:bottom w:val="double" w:sz="6" w:space="0" w:color="000000"/>
              <w:right w:val="nil"/>
            </w:tcBorders>
            <w:shd w:val="clear" w:color="000000" w:fill="FFFFFF"/>
            <w:noWrap/>
            <w:vAlign w:val="bottom"/>
            <w:hideMark/>
          </w:tcPr>
          <w:p w14:paraId="228379AF" w14:textId="77777777" w:rsidR="002A66B3" w:rsidRPr="00730ECF" w:rsidRDefault="002A66B3" w:rsidP="002A66B3">
            <w:pPr>
              <w:jc w:val="right"/>
              <w:rPr>
                <w:rFonts w:eastAsia="Times New Roman" w:cstheme="minorHAnsi"/>
              </w:rPr>
            </w:pPr>
            <w:r w:rsidRPr="002A66B3">
              <w:rPr>
                <w:rFonts w:cstheme="minorHAnsi"/>
              </w:rPr>
              <w:t>$10,705</w:t>
            </w:r>
          </w:p>
        </w:tc>
        <w:tc>
          <w:tcPr>
            <w:tcW w:w="1191" w:type="dxa"/>
            <w:tcBorders>
              <w:top w:val="nil"/>
              <w:left w:val="nil"/>
              <w:bottom w:val="double" w:sz="6" w:space="0" w:color="000000"/>
              <w:right w:val="nil"/>
            </w:tcBorders>
            <w:shd w:val="clear" w:color="000000" w:fill="FFFFFF"/>
            <w:noWrap/>
            <w:vAlign w:val="bottom"/>
            <w:hideMark/>
          </w:tcPr>
          <w:p w14:paraId="28DFE50D" w14:textId="1F03F150" w:rsidR="002A66B3" w:rsidRPr="00730ECF" w:rsidRDefault="002A66B3" w:rsidP="002A66B3">
            <w:pPr>
              <w:jc w:val="right"/>
              <w:rPr>
                <w:rFonts w:eastAsia="Times New Roman" w:cstheme="minorHAnsi"/>
                <w:color w:val="000000"/>
              </w:rPr>
            </w:pPr>
            <w:r w:rsidRPr="002A66B3">
              <w:rPr>
                <w:rFonts w:cstheme="minorHAnsi"/>
              </w:rPr>
              <w:t xml:space="preserve">$   1,181 </w:t>
            </w:r>
          </w:p>
        </w:tc>
      </w:tr>
      <w:tr w:rsidR="002A66B3" w:rsidRPr="002A66B3" w14:paraId="60723B5F" w14:textId="77777777" w:rsidTr="00730ECF">
        <w:trPr>
          <w:trHeight w:val="35"/>
          <w:jc w:val="center"/>
        </w:trPr>
        <w:tc>
          <w:tcPr>
            <w:tcW w:w="7380" w:type="dxa"/>
            <w:tcBorders>
              <w:top w:val="nil"/>
              <w:left w:val="nil"/>
              <w:bottom w:val="nil"/>
              <w:right w:val="nil"/>
            </w:tcBorders>
            <w:shd w:val="clear" w:color="000000" w:fill="FFFFFF"/>
            <w:noWrap/>
            <w:vAlign w:val="bottom"/>
            <w:hideMark/>
          </w:tcPr>
          <w:p w14:paraId="5B342DB5" w14:textId="77777777" w:rsidR="002A66B3" w:rsidRPr="00730ECF" w:rsidRDefault="002A66B3" w:rsidP="00730ECF">
            <w:pPr>
              <w:ind w:left="255"/>
              <w:rPr>
                <w:rFonts w:cstheme="minorHAnsi"/>
                <w:color w:val="000000"/>
              </w:rPr>
            </w:pPr>
            <w:r w:rsidRPr="00730ECF">
              <w:rPr>
                <w:rFonts w:cstheme="minorHAnsi"/>
                <w:color w:val="000000"/>
              </w:rPr>
              <w:t>Capital asset additions acquired through obligations of right-to-use assets</w:t>
            </w:r>
          </w:p>
        </w:tc>
        <w:tc>
          <w:tcPr>
            <w:tcW w:w="1191" w:type="dxa"/>
            <w:tcBorders>
              <w:top w:val="nil"/>
              <w:left w:val="nil"/>
              <w:bottom w:val="double" w:sz="6" w:space="0" w:color="000000"/>
              <w:right w:val="nil"/>
            </w:tcBorders>
            <w:shd w:val="clear" w:color="000000" w:fill="FFFFFF"/>
            <w:noWrap/>
            <w:vAlign w:val="bottom"/>
            <w:hideMark/>
          </w:tcPr>
          <w:p w14:paraId="7BCA55F6" w14:textId="77777777" w:rsidR="002A66B3" w:rsidRPr="00730ECF" w:rsidRDefault="002A66B3" w:rsidP="002A66B3">
            <w:pPr>
              <w:jc w:val="right"/>
              <w:rPr>
                <w:rFonts w:eastAsia="Times New Roman" w:cstheme="minorHAnsi"/>
              </w:rPr>
            </w:pPr>
            <w:r w:rsidRPr="002A66B3">
              <w:rPr>
                <w:rFonts w:cstheme="minorHAnsi"/>
              </w:rPr>
              <w:t>$10,112</w:t>
            </w:r>
          </w:p>
        </w:tc>
        <w:tc>
          <w:tcPr>
            <w:tcW w:w="1191" w:type="dxa"/>
            <w:tcBorders>
              <w:top w:val="nil"/>
              <w:left w:val="nil"/>
              <w:bottom w:val="double" w:sz="6" w:space="0" w:color="000000"/>
              <w:right w:val="nil"/>
            </w:tcBorders>
            <w:shd w:val="clear" w:color="000000" w:fill="FFFFFF"/>
            <w:noWrap/>
            <w:vAlign w:val="bottom"/>
            <w:hideMark/>
          </w:tcPr>
          <w:p w14:paraId="1C50BD13" w14:textId="7FE7238B" w:rsidR="002A66B3" w:rsidRPr="00730ECF" w:rsidRDefault="002A66B3" w:rsidP="002A66B3">
            <w:pPr>
              <w:jc w:val="right"/>
              <w:rPr>
                <w:rFonts w:eastAsia="Times New Roman" w:cstheme="minorHAnsi"/>
                <w:color w:val="000000"/>
              </w:rPr>
            </w:pPr>
            <w:r w:rsidRPr="002A66B3">
              <w:rPr>
                <w:rFonts w:cstheme="minorHAnsi"/>
              </w:rPr>
              <w:t xml:space="preserve">$ 11,068 </w:t>
            </w:r>
          </w:p>
        </w:tc>
      </w:tr>
      <w:tr w:rsidR="002A66B3" w:rsidRPr="002A66B3" w14:paraId="57EF3768" w14:textId="77777777" w:rsidTr="00730ECF">
        <w:trPr>
          <w:trHeight w:val="35"/>
          <w:jc w:val="center"/>
        </w:trPr>
        <w:tc>
          <w:tcPr>
            <w:tcW w:w="7380" w:type="dxa"/>
            <w:tcBorders>
              <w:top w:val="nil"/>
              <w:left w:val="nil"/>
              <w:bottom w:val="nil"/>
              <w:right w:val="nil"/>
            </w:tcBorders>
            <w:shd w:val="clear" w:color="000000" w:fill="FFFFFF"/>
            <w:noWrap/>
            <w:vAlign w:val="bottom"/>
          </w:tcPr>
          <w:p w14:paraId="195C9191" w14:textId="77777777" w:rsidR="002A66B3" w:rsidRPr="00730ECF" w:rsidRDefault="002A66B3" w:rsidP="00730ECF">
            <w:pPr>
              <w:ind w:left="255"/>
              <w:rPr>
                <w:rFonts w:cstheme="minorHAnsi"/>
                <w:color w:val="000000"/>
              </w:rPr>
            </w:pPr>
            <w:r w:rsidRPr="00730ECF">
              <w:rPr>
                <w:rFonts w:cstheme="minorHAnsi"/>
                <w:color w:val="000000"/>
              </w:rPr>
              <w:t>Capital asset additions acquired through deferred inflows-PPP</w:t>
            </w:r>
          </w:p>
        </w:tc>
        <w:tc>
          <w:tcPr>
            <w:tcW w:w="1191" w:type="dxa"/>
            <w:tcBorders>
              <w:top w:val="nil"/>
              <w:left w:val="nil"/>
              <w:bottom w:val="double" w:sz="6" w:space="0" w:color="000000"/>
              <w:right w:val="nil"/>
            </w:tcBorders>
            <w:shd w:val="clear" w:color="000000" w:fill="FFFFFF"/>
            <w:noWrap/>
            <w:vAlign w:val="bottom"/>
          </w:tcPr>
          <w:p w14:paraId="0F492A4A" w14:textId="0E80C4C3" w:rsidR="002A66B3" w:rsidRPr="00730ECF" w:rsidRDefault="002A66B3" w:rsidP="002A66B3">
            <w:pPr>
              <w:jc w:val="right"/>
              <w:rPr>
                <w:rFonts w:eastAsia="Times New Roman" w:cstheme="minorHAnsi"/>
              </w:rPr>
            </w:pPr>
            <w:r w:rsidRPr="002A66B3">
              <w:rPr>
                <w:rFonts w:cstheme="minorHAnsi"/>
              </w:rPr>
              <w:t xml:space="preserve">$           - </w:t>
            </w:r>
          </w:p>
        </w:tc>
        <w:tc>
          <w:tcPr>
            <w:tcW w:w="1191" w:type="dxa"/>
            <w:tcBorders>
              <w:top w:val="nil"/>
              <w:left w:val="nil"/>
              <w:bottom w:val="double" w:sz="6" w:space="0" w:color="000000"/>
              <w:right w:val="nil"/>
            </w:tcBorders>
            <w:shd w:val="clear" w:color="000000" w:fill="FFFFFF"/>
            <w:noWrap/>
            <w:vAlign w:val="bottom"/>
          </w:tcPr>
          <w:p w14:paraId="04E81EB8" w14:textId="37FD0B03" w:rsidR="002A66B3" w:rsidRPr="00730ECF" w:rsidRDefault="002A66B3" w:rsidP="002A66B3">
            <w:pPr>
              <w:jc w:val="right"/>
              <w:rPr>
                <w:rFonts w:eastAsia="Times New Roman" w:cstheme="minorHAnsi"/>
                <w:color w:val="000000"/>
              </w:rPr>
            </w:pPr>
            <w:r w:rsidRPr="002A66B3">
              <w:rPr>
                <w:rFonts w:cstheme="minorHAnsi"/>
              </w:rPr>
              <w:t xml:space="preserve">$ 22,596 </w:t>
            </w:r>
          </w:p>
        </w:tc>
      </w:tr>
      <w:tr w:rsidR="002A66B3" w:rsidRPr="002A66B3" w14:paraId="5DA8FE41" w14:textId="77777777" w:rsidTr="00730ECF">
        <w:trPr>
          <w:trHeight w:val="35"/>
          <w:jc w:val="center"/>
        </w:trPr>
        <w:tc>
          <w:tcPr>
            <w:tcW w:w="7380" w:type="dxa"/>
            <w:tcBorders>
              <w:top w:val="nil"/>
              <w:left w:val="nil"/>
              <w:bottom w:val="nil"/>
              <w:right w:val="nil"/>
            </w:tcBorders>
            <w:shd w:val="clear" w:color="000000" w:fill="FFFFFF"/>
            <w:noWrap/>
            <w:vAlign w:val="bottom"/>
          </w:tcPr>
          <w:p w14:paraId="0F2D8453" w14:textId="77777777" w:rsidR="002A66B3" w:rsidRPr="00730ECF" w:rsidRDefault="002A66B3" w:rsidP="00730ECF">
            <w:pPr>
              <w:ind w:left="255"/>
              <w:rPr>
                <w:rFonts w:cstheme="minorHAnsi"/>
                <w:color w:val="000000"/>
              </w:rPr>
            </w:pPr>
            <w:r w:rsidRPr="00730ECF">
              <w:rPr>
                <w:rFonts w:cstheme="minorHAnsi"/>
                <w:color w:val="000000"/>
              </w:rPr>
              <w:t>Capital asset additions acquired through unspent capital investment funds</w:t>
            </w:r>
          </w:p>
        </w:tc>
        <w:tc>
          <w:tcPr>
            <w:tcW w:w="1191" w:type="dxa"/>
            <w:tcBorders>
              <w:top w:val="nil"/>
              <w:left w:val="nil"/>
              <w:bottom w:val="double" w:sz="6" w:space="0" w:color="000000"/>
              <w:right w:val="nil"/>
            </w:tcBorders>
            <w:shd w:val="clear" w:color="000000" w:fill="FFFFFF"/>
            <w:noWrap/>
            <w:vAlign w:val="bottom"/>
          </w:tcPr>
          <w:p w14:paraId="603A1B13" w14:textId="0D73EB3D" w:rsidR="002A66B3" w:rsidRPr="002A66B3" w:rsidRDefault="002A66B3" w:rsidP="002A66B3">
            <w:pPr>
              <w:jc w:val="right"/>
              <w:rPr>
                <w:rFonts w:cstheme="minorHAnsi"/>
              </w:rPr>
            </w:pPr>
            <w:r w:rsidRPr="002A66B3">
              <w:rPr>
                <w:rFonts w:cstheme="minorHAnsi"/>
              </w:rPr>
              <w:t>$  5,587</w:t>
            </w:r>
          </w:p>
        </w:tc>
        <w:tc>
          <w:tcPr>
            <w:tcW w:w="1191" w:type="dxa"/>
            <w:tcBorders>
              <w:top w:val="nil"/>
              <w:left w:val="nil"/>
              <w:bottom w:val="double" w:sz="6" w:space="0" w:color="000000"/>
              <w:right w:val="nil"/>
            </w:tcBorders>
            <w:shd w:val="clear" w:color="000000" w:fill="FFFFFF"/>
            <w:noWrap/>
            <w:vAlign w:val="bottom"/>
          </w:tcPr>
          <w:p w14:paraId="302D8736" w14:textId="138BD007" w:rsidR="002A66B3" w:rsidRPr="002A66B3" w:rsidRDefault="002A66B3" w:rsidP="002A66B3">
            <w:pPr>
              <w:jc w:val="right"/>
              <w:rPr>
                <w:rFonts w:cstheme="minorHAnsi"/>
              </w:rPr>
            </w:pPr>
            <w:r w:rsidRPr="002A66B3">
              <w:rPr>
                <w:rFonts w:cstheme="minorHAnsi"/>
              </w:rPr>
              <w:t>$      428</w:t>
            </w:r>
          </w:p>
        </w:tc>
      </w:tr>
      <w:tr w:rsidR="002A66B3" w:rsidRPr="002A66B3" w14:paraId="7511AE12" w14:textId="77777777" w:rsidTr="00730ECF">
        <w:trPr>
          <w:trHeight w:val="35"/>
          <w:jc w:val="center"/>
        </w:trPr>
        <w:tc>
          <w:tcPr>
            <w:tcW w:w="7380" w:type="dxa"/>
            <w:tcBorders>
              <w:top w:val="nil"/>
              <w:left w:val="nil"/>
              <w:bottom w:val="nil"/>
              <w:right w:val="nil"/>
            </w:tcBorders>
            <w:shd w:val="clear" w:color="000000" w:fill="FFFFFF"/>
            <w:noWrap/>
            <w:vAlign w:val="bottom"/>
          </w:tcPr>
          <w:p w14:paraId="372EE313" w14:textId="77777777" w:rsidR="002A66B3" w:rsidRPr="00730ECF" w:rsidRDefault="002A66B3" w:rsidP="00730ECF">
            <w:pPr>
              <w:ind w:left="255"/>
              <w:rPr>
                <w:rFonts w:cstheme="minorHAnsi"/>
                <w:color w:val="000000"/>
              </w:rPr>
            </w:pPr>
            <w:r w:rsidRPr="00730ECF">
              <w:rPr>
                <w:rFonts w:cstheme="minorHAnsi"/>
                <w:color w:val="000000"/>
              </w:rPr>
              <w:t>Capital asset additions acquired through book value of trade-in</w:t>
            </w:r>
          </w:p>
        </w:tc>
        <w:tc>
          <w:tcPr>
            <w:tcW w:w="1191" w:type="dxa"/>
            <w:tcBorders>
              <w:top w:val="nil"/>
              <w:left w:val="nil"/>
              <w:bottom w:val="double" w:sz="6" w:space="0" w:color="000000"/>
              <w:right w:val="nil"/>
            </w:tcBorders>
            <w:shd w:val="clear" w:color="000000" w:fill="FFFFFF"/>
            <w:noWrap/>
            <w:vAlign w:val="bottom"/>
          </w:tcPr>
          <w:p w14:paraId="1CCA131E" w14:textId="5D9F81E8" w:rsidR="002A66B3" w:rsidRPr="00730ECF" w:rsidRDefault="002A66B3" w:rsidP="002A66B3">
            <w:pPr>
              <w:jc w:val="right"/>
              <w:rPr>
                <w:rFonts w:eastAsia="Times New Roman" w:cstheme="minorHAnsi"/>
              </w:rPr>
            </w:pPr>
            <w:r w:rsidRPr="002A66B3">
              <w:rPr>
                <w:rFonts w:cstheme="minorHAnsi"/>
              </w:rPr>
              <w:t xml:space="preserve">$           - </w:t>
            </w:r>
          </w:p>
        </w:tc>
        <w:tc>
          <w:tcPr>
            <w:tcW w:w="1191" w:type="dxa"/>
            <w:tcBorders>
              <w:top w:val="nil"/>
              <w:left w:val="nil"/>
              <w:bottom w:val="double" w:sz="6" w:space="0" w:color="000000"/>
              <w:right w:val="nil"/>
            </w:tcBorders>
            <w:shd w:val="clear" w:color="000000" w:fill="FFFFFF"/>
            <w:noWrap/>
            <w:vAlign w:val="bottom"/>
          </w:tcPr>
          <w:p w14:paraId="0F4C16C1" w14:textId="36760FC0" w:rsidR="002A66B3" w:rsidRPr="00730ECF" w:rsidRDefault="002A66B3" w:rsidP="002A66B3">
            <w:pPr>
              <w:jc w:val="right"/>
              <w:rPr>
                <w:rFonts w:eastAsia="Times New Roman" w:cstheme="minorHAnsi"/>
                <w:color w:val="000000"/>
              </w:rPr>
            </w:pPr>
            <w:r w:rsidRPr="002A66B3">
              <w:rPr>
                <w:rFonts w:cstheme="minorHAnsi"/>
              </w:rPr>
              <w:t xml:space="preserve">$ </w:t>
            </w:r>
            <w:r w:rsidR="001521B8">
              <w:rPr>
                <w:rFonts w:cstheme="minorHAnsi"/>
              </w:rPr>
              <w:t xml:space="preserve">       </w:t>
            </w:r>
            <w:r w:rsidRPr="002A66B3">
              <w:rPr>
                <w:rFonts w:cstheme="minorHAnsi"/>
              </w:rPr>
              <w:t xml:space="preserve">29 </w:t>
            </w:r>
          </w:p>
        </w:tc>
      </w:tr>
    </w:tbl>
    <w:p w14:paraId="424FDF13" w14:textId="77777777" w:rsidR="002A66B3" w:rsidRPr="002A66B3" w:rsidRDefault="002A66B3" w:rsidP="00F51774">
      <w:pPr>
        <w:spacing w:before="120" w:line="259" w:lineRule="auto"/>
        <w:jc w:val="center"/>
        <w:rPr>
          <w:rFonts w:cstheme="minorHAnsi"/>
        </w:rPr>
      </w:pPr>
      <w:r w:rsidRPr="002A66B3">
        <w:rPr>
          <w:rFonts w:cstheme="minorHAnsi"/>
          <w:sz w:val="20"/>
        </w:rPr>
        <w:t>See accompanying notes to the basic financial statements.</w:t>
      </w:r>
      <w:r w:rsidRPr="002A66B3">
        <w:rPr>
          <w:rFonts w:cstheme="minorHAnsi"/>
        </w:rPr>
        <w:br w:type="page"/>
      </w:r>
    </w:p>
    <w:p w14:paraId="0D2DC388" w14:textId="77777777" w:rsidR="002A66B3" w:rsidRPr="002A66B3" w:rsidRDefault="002A66B3" w:rsidP="00F51774">
      <w:pPr>
        <w:rPr>
          <w:rFonts w:cstheme="minorHAnsi"/>
          <w:b/>
          <w:i/>
          <w:color w:val="0D0D0D" w:themeColor="text1" w:themeTint="F2"/>
          <w:sz w:val="26"/>
          <w:szCs w:val="26"/>
        </w:rPr>
      </w:pPr>
      <w:r w:rsidRPr="002A66B3">
        <w:rPr>
          <w:rFonts w:cstheme="minorHAnsi"/>
          <w:b/>
          <w:i/>
          <w:color w:val="0D0D0D" w:themeColor="text1" w:themeTint="F2"/>
          <w:sz w:val="26"/>
          <w:szCs w:val="26"/>
        </w:rPr>
        <w:lastRenderedPageBreak/>
        <w:t>UNIVERSITY OF MAINE SYSTEM</w:t>
      </w:r>
    </w:p>
    <w:p w14:paraId="2FB2F3E7" w14:textId="77777777" w:rsidR="002A66B3" w:rsidRPr="00F51774" w:rsidRDefault="002A66B3" w:rsidP="00F51774">
      <w:pPr>
        <w:keepNext/>
        <w:pBdr>
          <w:bottom w:val="single" w:sz="18" w:space="1" w:color="00688D"/>
        </w:pBdr>
        <w:suppressAutoHyphens/>
        <w:outlineLvl w:val="0"/>
        <w:rPr>
          <w:rFonts w:cstheme="minorHAnsi"/>
          <w:b/>
          <w:i/>
          <w:caps/>
          <w:color w:val="0D0D0D" w:themeColor="text1" w:themeTint="F2"/>
          <w:spacing w:val="-3"/>
          <w:sz w:val="26"/>
          <w:szCs w:val="26"/>
        </w:rPr>
      </w:pPr>
      <w:bookmarkStart w:id="11" w:name="SFNP"/>
      <w:r w:rsidRPr="00F51774">
        <w:rPr>
          <w:rFonts w:cstheme="minorHAnsi"/>
          <w:b/>
          <w:i/>
          <w:caps/>
          <w:color w:val="0D0D0D" w:themeColor="text1" w:themeTint="F2"/>
          <w:spacing w:val="-3"/>
          <w:sz w:val="26"/>
          <w:szCs w:val="26"/>
        </w:rPr>
        <w:t>Statements of FiDUCIARY NET POSITION</w:t>
      </w:r>
    </w:p>
    <w:bookmarkEnd w:id="11"/>
    <w:p w14:paraId="7F43A0EF" w14:textId="77777777" w:rsidR="002A66B3" w:rsidRPr="002A66B3" w:rsidRDefault="002A66B3" w:rsidP="006743EC">
      <w:pPr>
        <w:keepNext/>
        <w:pBdr>
          <w:bottom w:val="single" w:sz="18" w:space="1" w:color="00688D"/>
        </w:pBdr>
        <w:suppressAutoHyphens/>
        <w:spacing w:after="120"/>
        <w:outlineLvl w:val="0"/>
        <w:rPr>
          <w:rFonts w:cstheme="minorHAnsi"/>
          <w:color w:val="0D0D0D" w:themeColor="text1" w:themeTint="F2"/>
        </w:rPr>
      </w:pPr>
      <w:r w:rsidRPr="00F51774">
        <w:rPr>
          <w:rFonts w:cstheme="minorHAnsi"/>
          <w:b/>
          <w:i/>
          <w:caps/>
          <w:color w:val="0D0D0D" w:themeColor="text1" w:themeTint="F2"/>
          <w:spacing w:val="-3"/>
          <w:sz w:val="26"/>
          <w:szCs w:val="26"/>
        </w:rPr>
        <w:t xml:space="preserve">June 30, </w:t>
      </w:r>
      <w:proofErr w:type="gramStart"/>
      <w:r w:rsidRPr="00F51774">
        <w:rPr>
          <w:rFonts w:cstheme="minorHAnsi"/>
          <w:b/>
          <w:i/>
          <w:caps/>
          <w:color w:val="0D0D0D" w:themeColor="text1" w:themeTint="F2"/>
          <w:spacing w:val="-3"/>
          <w:sz w:val="26"/>
          <w:szCs w:val="26"/>
        </w:rPr>
        <w:t>2025</w:t>
      </w:r>
      <w:proofErr w:type="gramEnd"/>
      <w:r w:rsidRPr="00F51774">
        <w:rPr>
          <w:rFonts w:cstheme="minorHAnsi"/>
          <w:b/>
          <w:i/>
          <w:caps/>
          <w:color w:val="0D0D0D" w:themeColor="text1" w:themeTint="F2"/>
          <w:spacing w:val="-3"/>
          <w:sz w:val="26"/>
          <w:szCs w:val="26"/>
        </w:rPr>
        <w:t xml:space="preserve"> and 2024 </w:t>
      </w:r>
      <w:r w:rsidRPr="00F51774">
        <w:rPr>
          <w:rFonts w:cstheme="minorHAnsi"/>
          <w:b/>
          <w:i/>
          <w:caps/>
          <w:color w:val="0D0D0D" w:themeColor="text1" w:themeTint="F2"/>
          <w:spacing w:val="-3"/>
        </w:rPr>
        <w:t>(in Thousands)</w:t>
      </w:r>
      <w:r w:rsidRPr="002A66B3">
        <w:rPr>
          <w:rFonts w:cstheme="minorHAnsi"/>
          <w:color w:val="0D0D0D" w:themeColor="text1" w:themeTint="F2"/>
        </w:rPr>
        <w:fldChar w:fldCharType="begin"/>
      </w:r>
      <w:r w:rsidRPr="002A66B3">
        <w:rPr>
          <w:rFonts w:cstheme="minorHAnsi"/>
          <w:color w:val="0D0D0D" w:themeColor="text1" w:themeTint="F2"/>
        </w:rPr>
        <w:fldChar w:fldCharType="end"/>
      </w:r>
    </w:p>
    <w:tbl>
      <w:tblPr>
        <w:tblW w:w="10308" w:type="dxa"/>
        <w:jc w:val="center"/>
        <w:tblLook w:val="04A0" w:firstRow="1" w:lastRow="0" w:firstColumn="1" w:lastColumn="0" w:noHBand="0" w:noVBand="1"/>
      </w:tblPr>
      <w:tblGrid>
        <w:gridCol w:w="3330"/>
        <w:gridCol w:w="1144"/>
        <w:gridCol w:w="1256"/>
        <w:gridCol w:w="1068"/>
        <w:gridCol w:w="1186"/>
        <w:gridCol w:w="1256"/>
        <w:gridCol w:w="1068"/>
      </w:tblGrid>
      <w:tr w:rsidR="002A66B3" w:rsidRPr="002A66B3" w14:paraId="202C27D7" w14:textId="77777777" w:rsidTr="00F51774">
        <w:trPr>
          <w:trHeight w:val="315"/>
          <w:jc w:val="center"/>
        </w:trPr>
        <w:tc>
          <w:tcPr>
            <w:tcW w:w="3330" w:type="dxa"/>
            <w:tcBorders>
              <w:top w:val="nil"/>
              <w:left w:val="nil"/>
              <w:bottom w:val="single" w:sz="12" w:space="0" w:color="000000"/>
              <w:right w:val="nil"/>
            </w:tcBorders>
            <w:shd w:val="clear" w:color="000000" w:fill="FFFFFF"/>
            <w:noWrap/>
            <w:vAlign w:val="bottom"/>
            <w:hideMark/>
          </w:tcPr>
          <w:p w14:paraId="6081DD9E" w14:textId="71E0EF6C" w:rsidR="002A66B3" w:rsidRPr="00F51774" w:rsidRDefault="002A66B3" w:rsidP="002A66B3">
            <w:pPr>
              <w:jc w:val="center"/>
              <w:rPr>
                <w:rFonts w:cstheme="minorHAnsi"/>
                <w:b/>
                <w:bCs/>
                <w:color w:val="FF0000"/>
                <w:sz w:val="20"/>
                <w:szCs w:val="20"/>
              </w:rPr>
            </w:pPr>
          </w:p>
        </w:tc>
        <w:tc>
          <w:tcPr>
            <w:tcW w:w="1144" w:type="dxa"/>
            <w:tcBorders>
              <w:top w:val="nil"/>
              <w:left w:val="nil"/>
              <w:bottom w:val="single" w:sz="12" w:space="0" w:color="000000"/>
              <w:right w:val="nil"/>
            </w:tcBorders>
            <w:shd w:val="clear" w:color="000000" w:fill="FFFFFF"/>
            <w:vAlign w:val="bottom"/>
            <w:hideMark/>
          </w:tcPr>
          <w:p w14:paraId="711FECB5" w14:textId="59E9DFB9" w:rsidR="002A66B3" w:rsidRPr="00F51774" w:rsidRDefault="002A66B3" w:rsidP="002A66B3">
            <w:pPr>
              <w:rPr>
                <w:rFonts w:cstheme="minorHAnsi"/>
                <w:b/>
                <w:bCs/>
                <w:color w:val="000000"/>
              </w:rPr>
            </w:pPr>
          </w:p>
        </w:tc>
        <w:tc>
          <w:tcPr>
            <w:tcW w:w="1256" w:type="dxa"/>
            <w:tcBorders>
              <w:top w:val="nil"/>
              <w:left w:val="nil"/>
              <w:bottom w:val="single" w:sz="12" w:space="0" w:color="000000"/>
              <w:right w:val="nil"/>
            </w:tcBorders>
            <w:shd w:val="clear" w:color="000000" w:fill="FFFFFF"/>
            <w:vAlign w:val="bottom"/>
            <w:hideMark/>
          </w:tcPr>
          <w:p w14:paraId="70C8D4AF" w14:textId="77777777" w:rsidR="002A66B3" w:rsidRPr="00F51774" w:rsidRDefault="002A66B3" w:rsidP="002A66B3">
            <w:pPr>
              <w:jc w:val="center"/>
              <w:rPr>
                <w:rFonts w:cstheme="minorHAnsi"/>
                <w:b/>
                <w:bCs/>
                <w:color w:val="000000"/>
              </w:rPr>
            </w:pPr>
            <w:r w:rsidRPr="00F51774">
              <w:rPr>
                <w:rFonts w:cstheme="minorHAnsi"/>
                <w:b/>
                <w:bCs/>
                <w:color w:val="000000"/>
              </w:rPr>
              <w:t>2025</w:t>
            </w:r>
          </w:p>
        </w:tc>
        <w:tc>
          <w:tcPr>
            <w:tcW w:w="1068" w:type="dxa"/>
            <w:tcBorders>
              <w:top w:val="nil"/>
              <w:left w:val="nil"/>
              <w:bottom w:val="single" w:sz="12" w:space="0" w:color="auto"/>
            </w:tcBorders>
            <w:shd w:val="clear" w:color="000000" w:fill="FFFFFF"/>
            <w:vAlign w:val="bottom"/>
            <w:hideMark/>
          </w:tcPr>
          <w:p w14:paraId="6394445E" w14:textId="246DE832" w:rsidR="002A66B3" w:rsidRPr="00F51774" w:rsidRDefault="002A66B3" w:rsidP="002A66B3">
            <w:pPr>
              <w:rPr>
                <w:rFonts w:cstheme="minorHAnsi"/>
                <w:b/>
                <w:bCs/>
                <w:color w:val="000000"/>
              </w:rPr>
            </w:pPr>
          </w:p>
        </w:tc>
        <w:tc>
          <w:tcPr>
            <w:tcW w:w="1186" w:type="dxa"/>
            <w:tcBorders>
              <w:top w:val="nil"/>
              <w:bottom w:val="single" w:sz="12" w:space="0" w:color="auto"/>
              <w:right w:val="nil"/>
            </w:tcBorders>
            <w:shd w:val="clear" w:color="000000" w:fill="FFFFFF"/>
            <w:vAlign w:val="bottom"/>
            <w:hideMark/>
          </w:tcPr>
          <w:p w14:paraId="4A0FC1A9" w14:textId="47BFFBF3" w:rsidR="002A66B3" w:rsidRPr="00F51774" w:rsidRDefault="002A66B3" w:rsidP="002A66B3">
            <w:pPr>
              <w:rPr>
                <w:rFonts w:cstheme="minorHAnsi"/>
                <w:b/>
                <w:bCs/>
                <w:color w:val="000000"/>
              </w:rPr>
            </w:pPr>
          </w:p>
        </w:tc>
        <w:tc>
          <w:tcPr>
            <w:tcW w:w="1256" w:type="dxa"/>
            <w:tcBorders>
              <w:top w:val="nil"/>
              <w:left w:val="nil"/>
              <w:bottom w:val="single" w:sz="12" w:space="0" w:color="000000"/>
              <w:right w:val="nil"/>
            </w:tcBorders>
            <w:shd w:val="clear" w:color="000000" w:fill="FFFFFF"/>
            <w:vAlign w:val="bottom"/>
            <w:hideMark/>
          </w:tcPr>
          <w:p w14:paraId="59853F5E" w14:textId="77777777" w:rsidR="002A66B3" w:rsidRPr="00F51774" w:rsidRDefault="002A66B3" w:rsidP="002A66B3">
            <w:pPr>
              <w:jc w:val="center"/>
              <w:rPr>
                <w:rFonts w:cstheme="minorHAnsi"/>
                <w:b/>
                <w:bCs/>
                <w:color w:val="000000"/>
              </w:rPr>
            </w:pPr>
            <w:r w:rsidRPr="00F51774">
              <w:rPr>
                <w:rFonts w:cstheme="minorHAnsi"/>
                <w:b/>
                <w:bCs/>
                <w:color w:val="000000"/>
              </w:rPr>
              <w:t>2024</w:t>
            </w:r>
          </w:p>
        </w:tc>
        <w:tc>
          <w:tcPr>
            <w:tcW w:w="1068" w:type="dxa"/>
            <w:tcBorders>
              <w:top w:val="nil"/>
              <w:left w:val="nil"/>
              <w:bottom w:val="single" w:sz="12" w:space="0" w:color="000000"/>
              <w:right w:val="nil"/>
            </w:tcBorders>
            <w:shd w:val="clear" w:color="000000" w:fill="FFFFFF"/>
            <w:vAlign w:val="bottom"/>
            <w:hideMark/>
          </w:tcPr>
          <w:p w14:paraId="67DCE438" w14:textId="4860A82D" w:rsidR="002A66B3" w:rsidRPr="00F51774" w:rsidRDefault="002A66B3" w:rsidP="002A66B3">
            <w:pPr>
              <w:rPr>
                <w:rFonts w:cstheme="minorHAnsi"/>
                <w:b/>
                <w:bCs/>
                <w:color w:val="000000"/>
              </w:rPr>
            </w:pPr>
          </w:p>
        </w:tc>
      </w:tr>
      <w:tr w:rsidR="002A66B3" w:rsidRPr="002A66B3" w14:paraId="77BEEB78" w14:textId="77777777" w:rsidTr="00F51774">
        <w:trPr>
          <w:trHeight w:val="645"/>
          <w:jc w:val="center"/>
        </w:trPr>
        <w:tc>
          <w:tcPr>
            <w:tcW w:w="3330" w:type="dxa"/>
            <w:tcBorders>
              <w:top w:val="nil"/>
              <w:left w:val="nil"/>
              <w:bottom w:val="nil"/>
              <w:right w:val="nil"/>
            </w:tcBorders>
            <w:shd w:val="clear" w:color="000000" w:fill="FFFFFF"/>
            <w:noWrap/>
            <w:vAlign w:val="bottom"/>
            <w:hideMark/>
          </w:tcPr>
          <w:p w14:paraId="5901215F" w14:textId="024A2B65" w:rsidR="002A66B3" w:rsidRPr="00F51774" w:rsidRDefault="002A66B3" w:rsidP="002A66B3">
            <w:pPr>
              <w:rPr>
                <w:rFonts w:cstheme="minorHAnsi"/>
                <w:b/>
                <w:bCs/>
                <w:color w:val="000000"/>
              </w:rPr>
            </w:pPr>
          </w:p>
        </w:tc>
        <w:tc>
          <w:tcPr>
            <w:tcW w:w="1144" w:type="dxa"/>
            <w:tcBorders>
              <w:top w:val="nil"/>
              <w:left w:val="nil"/>
              <w:bottom w:val="nil"/>
              <w:right w:val="nil"/>
            </w:tcBorders>
            <w:shd w:val="clear" w:color="000000" w:fill="FFFFFF"/>
            <w:vAlign w:val="bottom"/>
            <w:hideMark/>
          </w:tcPr>
          <w:p w14:paraId="1B6A112E" w14:textId="77777777" w:rsidR="002A66B3" w:rsidRPr="00F51774" w:rsidRDefault="002A66B3" w:rsidP="002A66B3">
            <w:pPr>
              <w:jc w:val="center"/>
              <w:rPr>
                <w:rFonts w:cstheme="minorHAnsi"/>
                <w:b/>
                <w:bCs/>
                <w:color w:val="000000"/>
              </w:rPr>
            </w:pPr>
            <w:r w:rsidRPr="00F51774">
              <w:rPr>
                <w:rFonts w:cstheme="minorHAnsi"/>
                <w:b/>
                <w:bCs/>
                <w:color w:val="000000"/>
              </w:rPr>
              <w:t xml:space="preserve">Pension and Other Employee </w:t>
            </w:r>
          </w:p>
        </w:tc>
        <w:tc>
          <w:tcPr>
            <w:tcW w:w="2324" w:type="dxa"/>
            <w:gridSpan w:val="2"/>
            <w:tcBorders>
              <w:top w:val="nil"/>
              <w:left w:val="nil"/>
              <w:bottom w:val="nil"/>
              <w:right w:val="single" w:sz="8" w:space="0" w:color="000000"/>
            </w:tcBorders>
            <w:shd w:val="clear" w:color="000000" w:fill="FFFFFF"/>
            <w:vAlign w:val="bottom"/>
            <w:hideMark/>
          </w:tcPr>
          <w:p w14:paraId="4F21D91E" w14:textId="77777777" w:rsidR="002A66B3" w:rsidRPr="00F51774" w:rsidRDefault="002A66B3" w:rsidP="002A66B3">
            <w:pPr>
              <w:jc w:val="center"/>
              <w:rPr>
                <w:rFonts w:cstheme="minorHAnsi"/>
                <w:b/>
                <w:bCs/>
                <w:color w:val="000000"/>
                <w:u w:val="single"/>
              </w:rPr>
            </w:pPr>
            <w:r w:rsidRPr="00F51774">
              <w:rPr>
                <w:rFonts w:cstheme="minorHAnsi"/>
                <w:b/>
                <w:bCs/>
                <w:color w:val="000000"/>
                <w:u w:val="single"/>
              </w:rPr>
              <w:t>Custodial Funds</w:t>
            </w:r>
          </w:p>
        </w:tc>
        <w:tc>
          <w:tcPr>
            <w:tcW w:w="1186" w:type="dxa"/>
            <w:tcBorders>
              <w:top w:val="nil"/>
              <w:left w:val="single" w:sz="8" w:space="0" w:color="000000"/>
              <w:bottom w:val="nil"/>
              <w:right w:val="nil"/>
            </w:tcBorders>
            <w:shd w:val="clear" w:color="000000" w:fill="FFFFFF"/>
            <w:vAlign w:val="bottom"/>
            <w:hideMark/>
          </w:tcPr>
          <w:p w14:paraId="609331B5" w14:textId="77777777" w:rsidR="002A66B3" w:rsidRPr="00F51774" w:rsidRDefault="002A66B3" w:rsidP="002A66B3">
            <w:pPr>
              <w:jc w:val="center"/>
              <w:rPr>
                <w:rFonts w:cstheme="minorHAnsi"/>
                <w:b/>
                <w:bCs/>
                <w:color w:val="000000"/>
              </w:rPr>
            </w:pPr>
            <w:r w:rsidRPr="00F51774">
              <w:rPr>
                <w:rFonts w:cstheme="minorHAnsi"/>
                <w:b/>
                <w:bCs/>
                <w:color w:val="000000"/>
              </w:rPr>
              <w:t>Pension and Other Employee</w:t>
            </w:r>
          </w:p>
        </w:tc>
        <w:tc>
          <w:tcPr>
            <w:tcW w:w="2324" w:type="dxa"/>
            <w:gridSpan w:val="2"/>
            <w:tcBorders>
              <w:top w:val="nil"/>
              <w:left w:val="nil"/>
              <w:bottom w:val="nil"/>
              <w:right w:val="nil"/>
            </w:tcBorders>
            <w:shd w:val="clear" w:color="000000" w:fill="FFFFFF"/>
            <w:vAlign w:val="bottom"/>
            <w:hideMark/>
          </w:tcPr>
          <w:p w14:paraId="09E6D67B" w14:textId="77777777" w:rsidR="002A66B3" w:rsidRPr="00F51774" w:rsidRDefault="002A66B3" w:rsidP="002A66B3">
            <w:pPr>
              <w:jc w:val="center"/>
              <w:rPr>
                <w:rFonts w:cstheme="minorHAnsi"/>
                <w:b/>
                <w:bCs/>
                <w:color w:val="000000"/>
                <w:u w:val="single"/>
              </w:rPr>
            </w:pPr>
            <w:r w:rsidRPr="00F51774">
              <w:rPr>
                <w:rFonts w:cstheme="minorHAnsi"/>
                <w:b/>
                <w:bCs/>
                <w:color w:val="000000"/>
                <w:u w:val="single"/>
              </w:rPr>
              <w:t>Custodial Funds</w:t>
            </w:r>
          </w:p>
        </w:tc>
      </w:tr>
      <w:tr w:rsidR="002A66B3" w:rsidRPr="002A66B3" w14:paraId="40064EA2" w14:textId="77777777" w:rsidTr="00F51774">
        <w:trPr>
          <w:trHeight w:val="288"/>
          <w:jc w:val="center"/>
        </w:trPr>
        <w:tc>
          <w:tcPr>
            <w:tcW w:w="3330" w:type="dxa"/>
            <w:tcBorders>
              <w:top w:val="nil"/>
              <w:left w:val="nil"/>
              <w:bottom w:val="single" w:sz="12" w:space="0" w:color="000000"/>
              <w:right w:val="nil"/>
            </w:tcBorders>
            <w:shd w:val="clear" w:color="000000" w:fill="FFFFFF"/>
            <w:noWrap/>
            <w:vAlign w:val="bottom"/>
            <w:hideMark/>
          </w:tcPr>
          <w:p w14:paraId="725C6309" w14:textId="307ED4A6" w:rsidR="002A66B3" w:rsidRPr="00F51774" w:rsidRDefault="002A66B3" w:rsidP="002A66B3">
            <w:pPr>
              <w:rPr>
                <w:rFonts w:cstheme="minorHAnsi"/>
                <w:b/>
                <w:bCs/>
                <w:color w:val="000000"/>
              </w:rPr>
            </w:pPr>
          </w:p>
        </w:tc>
        <w:tc>
          <w:tcPr>
            <w:tcW w:w="1144" w:type="dxa"/>
            <w:tcBorders>
              <w:top w:val="nil"/>
              <w:left w:val="nil"/>
              <w:bottom w:val="single" w:sz="12" w:space="0" w:color="000000"/>
              <w:right w:val="nil"/>
            </w:tcBorders>
            <w:shd w:val="clear" w:color="000000" w:fill="FFFFFF"/>
            <w:vAlign w:val="bottom"/>
            <w:hideMark/>
          </w:tcPr>
          <w:p w14:paraId="5D5047A1" w14:textId="77777777" w:rsidR="002A66B3" w:rsidRPr="00F51774" w:rsidRDefault="002A66B3" w:rsidP="002A66B3">
            <w:pPr>
              <w:jc w:val="center"/>
              <w:rPr>
                <w:rFonts w:cstheme="minorHAnsi"/>
                <w:b/>
                <w:bCs/>
                <w:color w:val="000000"/>
              </w:rPr>
            </w:pPr>
            <w:r w:rsidRPr="00F51774">
              <w:rPr>
                <w:rFonts w:cstheme="minorHAnsi"/>
                <w:b/>
                <w:bCs/>
                <w:color w:val="000000"/>
              </w:rPr>
              <w:t>Benefit Trust Funds</w:t>
            </w:r>
          </w:p>
        </w:tc>
        <w:tc>
          <w:tcPr>
            <w:tcW w:w="1256" w:type="dxa"/>
            <w:tcBorders>
              <w:top w:val="nil"/>
              <w:left w:val="nil"/>
              <w:bottom w:val="single" w:sz="12" w:space="0" w:color="000000"/>
              <w:right w:val="nil"/>
            </w:tcBorders>
            <w:shd w:val="clear" w:color="000000" w:fill="FFFFFF"/>
            <w:vAlign w:val="bottom"/>
            <w:hideMark/>
          </w:tcPr>
          <w:p w14:paraId="6BD8D2F6" w14:textId="77777777" w:rsidR="002A66B3" w:rsidRPr="00F51774" w:rsidRDefault="002A66B3" w:rsidP="002A66B3">
            <w:pPr>
              <w:jc w:val="center"/>
              <w:rPr>
                <w:rFonts w:cstheme="minorHAnsi"/>
                <w:b/>
                <w:bCs/>
                <w:color w:val="000000"/>
              </w:rPr>
            </w:pPr>
            <w:r w:rsidRPr="00F51774">
              <w:rPr>
                <w:rFonts w:cstheme="minorHAnsi"/>
                <w:b/>
                <w:bCs/>
                <w:color w:val="000000"/>
              </w:rPr>
              <w:t>External Investment Pools</w:t>
            </w:r>
          </w:p>
        </w:tc>
        <w:tc>
          <w:tcPr>
            <w:tcW w:w="1068" w:type="dxa"/>
            <w:tcBorders>
              <w:top w:val="nil"/>
              <w:left w:val="nil"/>
              <w:bottom w:val="single" w:sz="12" w:space="0" w:color="000000"/>
              <w:right w:val="single" w:sz="8" w:space="0" w:color="000000"/>
            </w:tcBorders>
            <w:shd w:val="clear" w:color="000000" w:fill="FFFFFF"/>
            <w:vAlign w:val="bottom"/>
            <w:hideMark/>
          </w:tcPr>
          <w:p w14:paraId="782221A6" w14:textId="77777777" w:rsidR="002A66B3" w:rsidRPr="00F51774" w:rsidRDefault="002A66B3" w:rsidP="002A66B3">
            <w:pPr>
              <w:jc w:val="center"/>
              <w:rPr>
                <w:rFonts w:cstheme="minorHAnsi"/>
                <w:b/>
                <w:bCs/>
                <w:color w:val="000000"/>
              </w:rPr>
            </w:pPr>
            <w:r w:rsidRPr="00F51774">
              <w:rPr>
                <w:rFonts w:cstheme="minorHAnsi"/>
                <w:b/>
                <w:bCs/>
                <w:color w:val="000000"/>
              </w:rPr>
              <w:t>Other Custodial Funds</w:t>
            </w:r>
          </w:p>
        </w:tc>
        <w:tc>
          <w:tcPr>
            <w:tcW w:w="1186" w:type="dxa"/>
            <w:tcBorders>
              <w:top w:val="nil"/>
              <w:left w:val="single" w:sz="8" w:space="0" w:color="000000"/>
              <w:bottom w:val="single" w:sz="12" w:space="0" w:color="000000"/>
              <w:right w:val="nil"/>
            </w:tcBorders>
            <w:shd w:val="clear" w:color="000000" w:fill="FFFFFF"/>
            <w:vAlign w:val="bottom"/>
            <w:hideMark/>
          </w:tcPr>
          <w:p w14:paraId="5071C7ED" w14:textId="77777777" w:rsidR="002A66B3" w:rsidRPr="00F51774" w:rsidRDefault="002A66B3" w:rsidP="002A66B3">
            <w:pPr>
              <w:jc w:val="center"/>
              <w:rPr>
                <w:rFonts w:cstheme="minorHAnsi"/>
                <w:b/>
                <w:bCs/>
                <w:color w:val="000000"/>
              </w:rPr>
            </w:pPr>
            <w:r w:rsidRPr="00F51774">
              <w:rPr>
                <w:rFonts w:cstheme="minorHAnsi"/>
                <w:b/>
                <w:bCs/>
                <w:color w:val="000000"/>
              </w:rPr>
              <w:t>Benefit Trust Funds</w:t>
            </w:r>
          </w:p>
        </w:tc>
        <w:tc>
          <w:tcPr>
            <w:tcW w:w="1256" w:type="dxa"/>
            <w:tcBorders>
              <w:top w:val="nil"/>
              <w:left w:val="nil"/>
              <w:bottom w:val="single" w:sz="12" w:space="0" w:color="000000"/>
              <w:right w:val="nil"/>
            </w:tcBorders>
            <w:shd w:val="clear" w:color="000000" w:fill="FFFFFF"/>
            <w:vAlign w:val="bottom"/>
            <w:hideMark/>
          </w:tcPr>
          <w:p w14:paraId="380FBB38" w14:textId="77777777" w:rsidR="002A66B3" w:rsidRPr="00F51774" w:rsidRDefault="002A66B3" w:rsidP="002A66B3">
            <w:pPr>
              <w:jc w:val="center"/>
              <w:rPr>
                <w:rFonts w:cstheme="minorHAnsi"/>
                <w:b/>
                <w:bCs/>
                <w:color w:val="000000"/>
              </w:rPr>
            </w:pPr>
            <w:r w:rsidRPr="00F51774">
              <w:rPr>
                <w:rFonts w:cstheme="minorHAnsi"/>
                <w:b/>
                <w:bCs/>
                <w:color w:val="000000"/>
              </w:rPr>
              <w:t>External Investment Pools</w:t>
            </w:r>
          </w:p>
        </w:tc>
        <w:tc>
          <w:tcPr>
            <w:tcW w:w="1068" w:type="dxa"/>
            <w:tcBorders>
              <w:top w:val="nil"/>
              <w:left w:val="nil"/>
              <w:bottom w:val="single" w:sz="12" w:space="0" w:color="000000"/>
              <w:right w:val="nil"/>
            </w:tcBorders>
            <w:shd w:val="clear" w:color="000000" w:fill="FFFFFF"/>
            <w:vAlign w:val="bottom"/>
            <w:hideMark/>
          </w:tcPr>
          <w:p w14:paraId="4E8E314E" w14:textId="77777777" w:rsidR="002A66B3" w:rsidRPr="00F51774" w:rsidRDefault="002A66B3" w:rsidP="002A66B3">
            <w:pPr>
              <w:jc w:val="center"/>
              <w:rPr>
                <w:rFonts w:cstheme="minorHAnsi"/>
                <w:b/>
                <w:bCs/>
                <w:color w:val="000000"/>
              </w:rPr>
            </w:pPr>
            <w:r w:rsidRPr="00F51774">
              <w:rPr>
                <w:rFonts w:cstheme="minorHAnsi"/>
                <w:b/>
                <w:bCs/>
                <w:color w:val="000000"/>
              </w:rPr>
              <w:t>Other Custodial Funds</w:t>
            </w:r>
          </w:p>
        </w:tc>
      </w:tr>
      <w:tr w:rsidR="002A66B3" w:rsidRPr="002A66B3" w14:paraId="73DC3AC5" w14:textId="77777777" w:rsidTr="00E85A09">
        <w:trPr>
          <w:trHeight w:val="315"/>
          <w:jc w:val="center"/>
        </w:trPr>
        <w:tc>
          <w:tcPr>
            <w:tcW w:w="3330" w:type="dxa"/>
            <w:tcBorders>
              <w:top w:val="nil"/>
              <w:left w:val="nil"/>
              <w:bottom w:val="nil"/>
              <w:right w:val="nil"/>
            </w:tcBorders>
            <w:shd w:val="clear" w:color="000000" w:fill="FFFFFF"/>
            <w:noWrap/>
            <w:vAlign w:val="bottom"/>
            <w:hideMark/>
          </w:tcPr>
          <w:p w14:paraId="4D0379C3" w14:textId="77777777" w:rsidR="002A66B3" w:rsidRPr="00F51774" w:rsidRDefault="002A66B3" w:rsidP="002A66B3">
            <w:pPr>
              <w:rPr>
                <w:rFonts w:cstheme="minorHAnsi"/>
                <w:b/>
                <w:bCs/>
              </w:rPr>
            </w:pPr>
            <w:r w:rsidRPr="00F51774">
              <w:rPr>
                <w:rFonts w:cstheme="minorHAnsi"/>
                <w:b/>
                <w:bCs/>
              </w:rPr>
              <w:t>Assets</w:t>
            </w:r>
          </w:p>
        </w:tc>
        <w:tc>
          <w:tcPr>
            <w:tcW w:w="1144" w:type="dxa"/>
            <w:tcBorders>
              <w:top w:val="nil"/>
              <w:left w:val="nil"/>
              <w:bottom w:val="nil"/>
              <w:right w:val="nil"/>
            </w:tcBorders>
            <w:shd w:val="clear" w:color="000000" w:fill="FFFFFF"/>
            <w:noWrap/>
            <w:vAlign w:val="bottom"/>
            <w:hideMark/>
          </w:tcPr>
          <w:p w14:paraId="196310AC" w14:textId="72516B11" w:rsidR="002A66B3" w:rsidRPr="00F51774" w:rsidRDefault="002A66B3" w:rsidP="002A66B3">
            <w:pPr>
              <w:jc w:val="right"/>
              <w:rPr>
                <w:rFonts w:cstheme="minorHAnsi"/>
                <w:color w:val="000000"/>
              </w:rPr>
            </w:pPr>
          </w:p>
        </w:tc>
        <w:tc>
          <w:tcPr>
            <w:tcW w:w="1256" w:type="dxa"/>
            <w:tcBorders>
              <w:top w:val="nil"/>
              <w:left w:val="nil"/>
              <w:bottom w:val="nil"/>
              <w:right w:val="nil"/>
            </w:tcBorders>
            <w:shd w:val="clear" w:color="000000" w:fill="FFFFFF"/>
            <w:noWrap/>
            <w:vAlign w:val="bottom"/>
            <w:hideMark/>
          </w:tcPr>
          <w:p w14:paraId="0883605E" w14:textId="4CD0781C" w:rsidR="002A66B3" w:rsidRPr="00F51774" w:rsidRDefault="002A66B3" w:rsidP="002A66B3">
            <w:pPr>
              <w:jc w:val="right"/>
              <w:rPr>
                <w:rFonts w:cstheme="minorHAnsi"/>
                <w:color w:val="000000"/>
              </w:rPr>
            </w:pPr>
          </w:p>
        </w:tc>
        <w:tc>
          <w:tcPr>
            <w:tcW w:w="1068" w:type="dxa"/>
            <w:tcBorders>
              <w:top w:val="nil"/>
              <w:left w:val="nil"/>
              <w:bottom w:val="nil"/>
              <w:right w:val="single" w:sz="8" w:space="0" w:color="000000"/>
            </w:tcBorders>
            <w:shd w:val="clear" w:color="000000" w:fill="FFFFFF"/>
            <w:noWrap/>
            <w:vAlign w:val="bottom"/>
            <w:hideMark/>
          </w:tcPr>
          <w:p w14:paraId="3314AD5F" w14:textId="28A4EEA4" w:rsidR="002A66B3" w:rsidRPr="00F51774" w:rsidRDefault="002A66B3" w:rsidP="002A66B3">
            <w:pPr>
              <w:jc w:val="right"/>
              <w:rPr>
                <w:rFonts w:cstheme="minorHAnsi"/>
                <w:sz w:val="20"/>
                <w:szCs w:val="20"/>
                <w:u w:val="single"/>
              </w:rPr>
            </w:pPr>
          </w:p>
        </w:tc>
        <w:tc>
          <w:tcPr>
            <w:tcW w:w="1186" w:type="dxa"/>
            <w:tcBorders>
              <w:top w:val="nil"/>
              <w:left w:val="single" w:sz="8" w:space="0" w:color="000000"/>
              <w:bottom w:val="nil"/>
              <w:right w:val="nil"/>
            </w:tcBorders>
            <w:shd w:val="clear" w:color="000000" w:fill="FFFFFF"/>
            <w:vAlign w:val="bottom"/>
            <w:hideMark/>
          </w:tcPr>
          <w:p w14:paraId="3B4BEA55" w14:textId="3D7F2C0D" w:rsidR="002A66B3" w:rsidRPr="00F51774" w:rsidRDefault="002A66B3" w:rsidP="002A66B3">
            <w:pPr>
              <w:jc w:val="right"/>
              <w:rPr>
                <w:rFonts w:cstheme="minorHAnsi"/>
                <w:b/>
                <w:bCs/>
                <w:sz w:val="20"/>
                <w:szCs w:val="20"/>
              </w:rPr>
            </w:pPr>
          </w:p>
        </w:tc>
        <w:tc>
          <w:tcPr>
            <w:tcW w:w="1256" w:type="dxa"/>
            <w:tcBorders>
              <w:top w:val="nil"/>
              <w:left w:val="nil"/>
              <w:bottom w:val="nil"/>
              <w:right w:val="nil"/>
            </w:tcBorders>
            <w:shd w:val="clear" w:color="000000" w:fill="FFFFFF"/>
            <w:noWrap/>
            <w:vAlign w:val="bottom"/>
            <w:hideMark/>
          </w:tcPr>
          <w:p w14:paraId="6A698A08" w14:textId="586198BF" w:rsidR="002A66B3" w:rsidRPr="00F51774" w:rsidRDefault="002A66B3" w:rsidP="002A66B3">
            <w:pPr>
              <w:jc w:val="right"/>
              <w:rPr>
                <w:rFonts w:cstheme="minorHAnsi"/>
                <w:color w:val="000000"/>
              </w:rPr>
            </w:pPr>
          </w:p>
        </w:tc>
        <w:tc>
          <w:tcPr>
            <w:tcW w:w="1068" w:type="dxa"/>
            <w:tcBorders>
              <w:top w:val="nil"/>
              <w:left w:val="nil"/>
              <w:right w:val="nil"/>
            </w:tcBorders>
            <w:shd w:val="clear" w:color="000000" w:fill="FFFFFF"/>
            <w:noWrap/>
            <w:vAlign w:val="bottom"/>
            <w:hideMark/>
          </w:tcPr>
          <w:p w14:paraId="6DE135DC" w14:textId="42415FA2" w:rsidR="002A66B3" w:rsidRPr="00F51774" w:rsidRDefault="002A66B3" w:rsidP="002A66B3">
            <w:pPr>
              <w:jc w:val="right"/>
              <w:rPr>
                <w:rFonts w:cstheme="minorHAnsi"/>
                <w:color w:val="000000"/>
              </w:rPr>
            </w:pPr>
          </w:p>
        </w:tc>
      </w:tr>
      <w:tr w:rsidR="002A66B3" w:rsidRPr="002A66B3" w14:paraId="394A2E75" w14:textId="77777777" w:rsidTr="00E85A09">
        <w:trPr>
          <w:trHeight w:val="300"/>
          <w:jc w:val="center"/>
        </w:trPr>
        <w:tc>
          <w:tcPr>
            <w:tcW w:w="3330" w:type="dxa"/>
            <w:tcBorders>
              <w:top w:val="nil"/>
              <w:left w:val="nil"/>
              <w:bottom w:val="nil"/>
              <w:right w:val="nil"/>
            </w:tcBorders>
            <w:shd w:val="clear" w:color="000000" w:fill="FFFFFF"/>
            <w:noWrap/>
            <w:vAlign w:val="bottom"/>
            <w:hideMark/>
          </w:tcPr>
          <w:p w14:paraId="62C78F86" w14:textId="7EC0A9B0" w:rsidR="002A66B3" w:rsidRPr="00F51774" w:rsidRDefault="002A66B3" w:rsidP="00F51774">
            <w:pPr>
              <w:ind w:left="255"/>
              <w:rPr>
                <w:rFonts w:cstheme="minorHAnsi"/>
                <w:sz w:val="20"/>
                <w:szCs w:val="20"/>
              </w:rPr>
            </w:pPr>
            <w:r w:rsidRPr="00F51774">
              <w:rPr>
                <w:rFonts w:cstheme="minorHAnsi"/>
                <w:sz w:val="20"/>
                <w:szCs w:val="20"/>
              </w:rPr>
              <w:t xml:space="preserve">Cash and cash equivalents </w:t>
            </w:r>
            <w:r w:rsidRPr="00F51774">
              <w:rPr>
                <w:rFonts w:cstheme="minorHAnsi"/>
                <w:i/>
                <w:iCs/>
                <w:sz w:val="20"/>
                <w:szCs w:val="20"/>
              </w:rPr>
              <w:t>(Note 2)</w:t>
            </w:r>
          </w:p>
        </w:tc>
        <w:tc>
          <w:tcPr>
            <w:tcW w:w="1144" w:type="dxa"/>
            <w:tcBorders>
              <w:top w:val="nil"/>
              <w:left w:val="nil"/>
              <w:bottom w:val="nil"/>
              <w:right w:val="nil"/>
            </w:tcBorders>
            <w:shd w:val="clear" w:color="000000" w:fill="FFFFFF"/>
            <w:noWrap/>
            <w:vAlign w:val="bottom"/>
            <w:hideMark/>
          </w:tcPr>
          <w:p w14:paraId="1CDA008B" w14:textId="77777777" w:rsidR="002A66B3" w:rsidRPr="00F51774" w:rsidRDefault="002A66B3" w:rsidP="002A66B3">
            <w:pPr>
              <w:jc w:val="right"/>
              <w:rPr>
                <w:rFonts w:cstheme="minorHAnsi"/>
                <w:color w:val="0D0D0D" w:themeColor="text1" w:themeTint="F2"/>
                <w:sz w:val="20"/>
                <w:szCs w:val="20"/>
              </w:rPr>
            </w:pPr>
            <w:r w:rsidRPr="00F51774">
              <w:rPr>
                <w:rFonts w:cstheme="minorHAnsi"/>
                <w:color w:val="0D0D0D" w:themeColor="text1" w:themeTint="F2"/>
                <w:sz w:val="20"/>
                <w:szCs w:val="20"/>
              </w:rPr>
              <w:t>$             -</w:t>
            </w:r>
          </w:p>
        </w:tc>
        <w:tc>
          <w:tcPr>
            <w:tcW w:w="1256" w:type="dxa"/>
            <w:tcBorders>
              <w:top w:val="nil"/>
              <w:left w:val="nil"/>
              <w:bottom w:val="nil"/>
              <w:right w:val="nil"/>
            </w:tcBorders>
            <w:shd w:val="clear" w:color="000000" w:fill="FFFFFF"/>
            <w:noWrap/>
            <w:vAlign w:val="bottom"/>
            <w:hideMark/>
          </w:tcPr>
          <w:p w14:paraId="72538772" w14:textId="77777777" w:rsidR="002A66B3" w:rsidRPr="00F51774" w:rsidRDefault="002A66B3" w:rsidP="002A66B3">
            <w:pPr>
              <w:jc w:val="right"/>
              <w:rPr>
                <w:rFonts w:cstheme="minorHAnsi"/>
                <w:color w:val="0D0D0D" w:themeColor="text1" w:themeTint="F2"/>
                <w:sz w:val="20"/>
                <w:szCs w:val="20"/>
              </w:rPr>
            </w:pPr>
            <w:r w:rsidRPr="00F51774">
              <w:rPr>
                <w:rFonts w:cstheme="minorHAnsi"/>
                <w:color w:val="0D0D0D" w:themeColor="text1" w:themeTint="F2"/>
                <w:sz w:val="20"/>
                <w:szCs w:val="20"/>
              </w:rPr>
              <w:t>$                -</w:t>
            </w:r>
          </w:p>
        </w:tc>
        <w:tc>
          <w:tcPr>
            <w:tcW w:w="1068" w:type="dxa"/>
            <w:tcBorders>
              <w:top w:val="nil"/>
              <w:left w:val="nil"/>
              <w:bottom w:val="nil"/>
              <w:right w:val="single" w:sz="8" w:space="0" w:color="000000"/>
            </w:tcBorders>
            <w:shd w:val="clear" w:color="000000" w:fill="FFFFFF"/>
            <w:noWrap/>
            <w:vAlign w:val="bottom"/>
            <w:hideMark/>
          </w:tcPr>
          <w:p w14:paraId="09800E0A" w14:textId="77777777" w:rsidR="002A66B3" w:rsidRPr="00F51774" w:rsidRDefault="002A66B3" w:rsidP="002A66B3">
            <w:pPr>
              <w:jc w:val="right"/>
              <w:rPr>
                <w:rFonts w:cstheme="minorHAnsi"/>
                <w:color w:val="0D0D0D" w:themeColor="text1" w:themeTint="F2"/>
                <w:sz w:val="20"/>
                <w:szCs w:val="20"/>
              </w:rPr>
            </w:pPr>
            <w:r w:rsidRPr="00F51774">
              <w:rPr>
                <w:rFonts w:cstheme="minorHAnsi"/>
                <w:color w:val="0D0D0D" w:themeColor="text1" w:themeTint="F2"/>
                <w:sz w:val="20"/>
                <w:szCs w:val="20"/>
              </w:rPr>
              <w:t>$   2,389</w:t>
            </w:r>
          </w:p>
        </w:tc>
        <w:tc>
          <w:tcPr>
            <w:tcW w:w="1186" w:type="dxa"/>
            <w:tcBorders>
              <w:top w:val="nil"/>
              <w:left w:val="nil"/>
              <w:bottom w:val="nil"/>
              <w:right w:val="nil"/>
            </w:tcBorders>
            <w:shd w:val="clear" w:color="000000" w:fill="FFFFFF"/>
            <w:noWrap/>
            <w:vAlign w:val="bottom"/>
            <w:hideMark/>
          </w:tcPr>
          <w:p w14:paraId="10A73F39" w14:textId="77777777" w:rsidR="002A66B3" w:rsidRPr="00F51774" w:rsidRDefault="002A66B3" w:rsidP="002A66B3">
            <w:pPr>
              <w:jc w:val="right"/>
              <w:rPr>
                <w:rFonts w:cstheme="minorHAnsi"/>
                <w:color w:val="000000"/>
                <w:sz w:val="20"/>
                <w:szCs w:val="20"/>
              </w:rPr>
            </w:pPr>
            <w:r w:rsidRPr="00F51774">
              <w:rPr>
                <w:rFonts w:cstheme="minorHAnsi"/>
                <w:color w:val="0D0D0D" w:themeColor="text1" w:themeTint="F2"/>
                <w:sz w:val="20"/>
                <w:szCs w:val="20"/>
              </w:rPr>
              <w:t>$             -</w:t>
            </w:r>
          </w:p>
        </w:tc>
        <w:tc>
          <w:tcPr>
            <w:tcW w:w="1256" w:type="dxa"/>
            <w:tcBorders>
              <w:top w:val="nil"/>
              <w:left w:val="nil"/>
              <w:bottom w:val="nil"/>
              <w:right w:val="nil"/>
            </w:tcBorders>
            <w:shd w:val="clear" w:color="000000" w:fill="FFFFFF"/>
            <w:noWrap/>
            <w:vAlign w:val="bottom"/>
            <w:hideMark/>
          </w:tcPr>
          <w:p w14:paraId="7B3119E9" w14:textId="77777777" w:rsidR="002A66B3" w:rsidRPr="00F51774" w:rsidRDefault="002A66B3" w:rsidP="002A66B3">
            <w:pPr>
              <w:jc w:val="right"/>
              <w:rPr>
                <w:rFonts w:cstheme="minorHAnsi"/>
                <w:color w:val="000000"/>
                <w:sz w:val="20"/>
                <w:szCs w:val="20"/>
              </w:rPr>
            </w:pPr>
            <w:r w:rsidRPr="00F51774">
              <w:rPr>
                <w:rFonts w:cstheme="minorHAnsi"/>
                <w:color w:val="0D0D0D" w:themeColor="text1" w:themeTint="F2"/>
                <w:sz w:val="20"/>
                <w:szCs w:val="20"/>
              </w:rPr>
              <w:t>$                -</w:t>
            </w:r>
          </w:p>
        </w:tc>
        <w:tc>
          <w:tcPr>
            <w:tcW w:w="1068" w:type="dxa"/>
            <w:tcBorders>
              <w:top w:val="nil"/>
              <w:left w:val="nil"/>
              <w:bottom w:val="nil"/>
            </w:tcBorders>
            <w:shd w:val="clear" w:color="000000" w:fill="FFFFFF"/>
            <w:noWrap/>
            <w:vAlign w:val="bottom"/>
            <w:hideMark/>
          </w:tcPr>
          <w:p w14:paraId="25BC064B" w14:textId="77777777" w:rsidR="002A66B3" w:rsidRPr="00F51774" w:rsidRDefault="002A66B3" w:rsidP="002A66B3">
            <w:pPr>
              <w:jc w:val="right"/>
              <w:rPr>
                <w:rFonts w:cstheme="minorHAnsi"/>
                <w:color w:val="000000"/>
                <w:sz w:val="20"/>
                <w:szCs w:val="20"/>
              </w:rPr>
            </w:pPr>
            <w:r w:rsidRPr="00F51774">
              <w:rPr>
                <w:rFonts w:cstheme="minorHAnsi"/>
                <w:color w:val="0D0D0D" w:themeColor="text1" w:themeTint="F2"/>
                <w:sz w:val="20"/>
                <w:szCs w:val="20"/>
              </w:rPr>
              <w:t>$   2,462</w:t>
            </w:r>
          </w:p>
        </w:tc>
      </w:tr>
      <w:tr w:rsidR="002A66B3" w:rsidRPr="002A66B3" w14:paraId="59800A39" w14:textId="77777777" w:rsidTr="00E85A09">
        <w:trPr>
          <w:trHeight w:val="525"/>
          <w:jc w:val="center"/>
        </w:trPr>
        <w:tc>
          <w:tcPr>
            <w:tcW w:w="3330" w:type="dxa"/>
            <w:tcBorders>
              <w:top w:val="nil"/>
              <w:left w:val="nil"/>
              <w:bottom w:val="nil"/>
              <w:right w:val="nil"/>
            </w:tcBorders>
            <w:shd w:val="clear" w:color="000000" w:fill="FFFFFF"/>
            <w:vAlign w:val="bottom"/>
            <w:hideMark/>
          </w:tcPr>
          <w:p w14:paraId="6DE515B8" w14:textId="77777777" w:rsidR="002A66B3" w:rsidRPr="00F51774" w:rsidRDefault="002A66B3" w:rsidP="00F51774">
            <w:pPr>
              <w:ind w:left="255"/>
              <w:rPr>
                <w:rFonts w:cstheme="minorHAnsi"/>
                <w:sz w:val="20"/>
                <w:szCs w:val="20"/>
              </w:rPr>
            </w:pPr>
            <w:r w:rsidRPr="00F51774">
              <w:rPr>
                <w:rFonts w:cstheme="minorHAnsi"/>
                <w:sz w:val="20"/>
                <w:szCs w:val="20"/>
              </w:rPr>
              <w:t xml:space="preserve">Investment in UMS managed investment pool </w:t>
            </w:r>
            <w:r w:rsidRPr="00F51774">
              <w:rPr>
                <w:rFonts w:cstheme="minorHAnsi"/>
                <w:i/>
                <w:iCs/>
                <w:sz w:val="20"/>
                <w:szCs w:val="20"/>
              </w:rPr>
              <w:t>(Note 3)</w:t>
            </w:r>
          </w:p>
        </w:tc>
        <w:tc>
          <w:tcPr>
            <w:tcW w:w="1144" w:type="dxa"/>
            <w:tcBorders>
              <w:top w:val="nil"/>
              <w:left w:val="nil"/>
              <w:bottom w:val="nil"/>
              <w:right w:val="nil"/>
            </w:tcBorders>
            <w:shd w:val="clear" w:color="000000" w:fill="FFFFFF"/>
            <w:noWrap/>
            <w:vAlign w:val="bottom"/>
            <w:hideMark/>
          </w:tcPr>
          <w:p w14:paraId="087F1E2C" w14:textId="77777777" w:rsidR="002A66B3" w:rsidRPr="00F51774" w:rsidRDefault="002A66B3" w:rsidP="002A66B3">
            <w:pPr>
              <w:jc w:val="right"/>
              <w:rPr>
                <w:rFonts w:cstheme="minorHAnsi"/>
                <w:color w:val="0D0D0D" w:themeColor="text1" w:themeTint="F2"/>
                <w:sz w:val="20"/>
                <w:szCs w:val="20"/>
              </w:rPr>
            </w:pPr>
            <w:r w:rsidRPr="00F51774">
              <w:rPr>
                <w:rFonts w:cstheme="minorHAnsi"/>
                <w:color w:val="0D0D0D" w:themeColor="text1" w:themeTint="F2"/>
                <w:sz w:val="20"/>
                <w:szCs w:val="20"/>
              </w:rPr>
              <w:t>215,091</w:t>
            </w:r>
          </w:p>
        </w:tc>
        <w:tc>
          <w:tcPr>
            <w:tcW w:w="1256" w:type="dxa"/>
            <w:tcBorders>
              <w:top w:val="nil"/>
              <w:left w:val="nil"/>
              <w:bottom w:val="nil"/>
              <w:right w:val="nil"/>
            </w:tcBorders>
            <w:shd w:val="clear" w:color="000000" w:fill="FFFFFF"/>
            <w:noWrap/>
            <w:vAlign w:val="bottom"/>
            <w:hideMark/>
          </w:tcPr>
          <w:p w14:paraId="0FB527DF" w14:textId="77777777" w:rsidR="002A66B3" w:rsidRPr="00F51774" w:rsidRDefault="002A66B3" w:rsidP="002A66B3">
            <w:pPr>
              <w:jc w:val="right"/>
              <w:rPr>
                <w:rFonts w:cstheme="minorHAnsi"/>
                <w:color w:val="0D0D0D" w:themeColor="text1" w:themeTint="F2"/>
                <w:sz w:val="20"/>
                <w:szCs w:val="20"/>
              </w:rPr>
            </w:pPr>
            <w:r w:rsidRPr="00F51774">
              <w:rPr>
                <w:rFonts w:cstheme="minorHAnsi"/>
                <w:color w:val="0D0D0D" w:themeColor="text1" w:themeTint="F2"/>
                <w:sz w:val="20"/>
                <w:szCs w:val="20"/>
              </w:rPr>
              <w:t>6,015</w:t>
            </w:r>
          </w:p>
        </w:tc>
        <w:tc>
          <w:tcPr>
            <w:tcW w:w="1068" w:type="dxa"/>
            <w:tcBorders>
              <w:top w:val="nil"/>
              <w:left w:val="nil"/>
              <w:bottom w:val="nil"/>
              <w:right w:val="single" w:sz="8" w:space="0" w:color="000000"/>
            </w:tcBorders>
            <w:shd w:val="clear" w:color="000000" w:fill="FFFFFF"/>
            <w:noWrap/>
            <w:vAlign w:val="bottom"/>
            <w:hideMark/>
          </w:tcPr>
          <w:p w14:paraId="33C75E18" w14:textId="77777777" w:rsidR="002A66B3" w:rsidRPr="00F51774" w:rsidRDefault="002A66B3" w:rsidP="002A66B3">
            <w:pPr>
              <w:jc w:val="right"/>
              <w:rPr>
                <w:rFonts w:cstheme="minorHAnsi"/>
                <w:color w:val="0D0D0D" w:themeColor="text1" w:themeTint="F2"/>
                <w:sz w:val="20"/>
                <w:szCs w:val="20"/>
              </w:rPr>
            </w:pPr>
            <w:r w:rsidRPr="00F51774">
              <w:rPr>
                <w:rFonts w:cstheme="minorHAnsi"/>
                <w:color w:val="0D0D0D" w:themeColor="text1" w:themeTint="F2"/>
                <w:sz w:val="20"/>
                <w:szCs w:val="20"/>
              </w:rPr>
              <w:t xml:space="preserve">- </w:t>
            </w:r>
          </w:p>
        </w:tc>
        <w:tc>
          <w:tcPr>
            <w:tcW w:w="1186" w:type="dxa"/>
            <w:tcBorders>
              <w:top w:val="nil"/>
              <w:left w:val="nil"/>
              <w:bottom w:val="nil"/>
              <w:right w:val="nil"/>
            </w:tcBorders>
            <w:shd w:val="clear" w:color="000000" w:fill="FFFFFF"/>
            <w:noWrap/>
            <w:vAlign w:val="bottom"/>
            <w:hideMark/>
          </w:tcPr>
          <w:p w14:paraId="02718E85" w14:textId="77777777" w:rsidR="002A66B3" w:rsidRPr="00F51774" w:rsidRDefault="002A66B3" w:rsidP="002A66B3">
            <w:pPr>
              <w:jc w:val="right"/>
              <w:rPr>
                <w:rFonts w:cstheme="minorHAnsi"/>
                <w:color w:val="000000"/>
                <w:sz w:val="20"/>
                <w:szCs w:val="20"/>
              </w:rPr>
            </w:pPr>
            <w:r w:rsidRPr="00F51774">
              <w:rPr>
                <w:rFonts w:cstheme="minorHAnsi"/>
                <w:color w:val="0D0D0D" w:themeColor="text1" w:themeTint="F2"/>
                <w:sz w:val="20"/>
                <w:szCs w:val="20"/>
              </w:rPr>
              <w:t>195,991</w:t>
            </w:r>
          </w:p>
        </w:tc>
        <w:tc>
          <w:tcPr>
            <w:tcW w:w="1256" w:type="dxa"/>
            <w:tcBorders>
              <w:top w:val="nil"/>
              <w:left w:val="nil"/>
              <w:bottom w:val="nil"/>
              <w:right w:val="nil"/>
            </w:tcBorders>
            <w:shd w:val="clear" w:color="000000" w:fill="FFFFFF"/>
            <w:noWrap/>
            <w:vAlign w:val="bottom"/>
            <w:hideMark/>
          </w:tcPr>
          <w:p w14:paraId="597548F3" w14:textId="77777777" w:rsidR="002A66B3" w:rsidRPr="00F51774" w:rsidRDefault="002A66B3" w:rsidP="002A66B3">
            <w:pPr>
              <w:jc w:val="right"/>
              <w:rPr>
                <w:rFonts w:cstheme="minorHAnsi"/>
                <w:color w:val="000000"/>
                <w:sz w:val="20"/>
                <w:szCs w:val="20"/>
              </w:rPr>
            </w:pPr>
            <w:r w:rsidRPr="00F51774">
              <w:rPr>
                <w:rFonts w:cstheme="minorHAnsi"/>
                <w:color w:val="0D0D0D" w:themeColor="text1" w:themeTint="F2"/>
                <w:sz w:val="20"/>
                <w:szCs w:val="20"/>
              </w:rPr>
              <w:t>5,569</w:t>
            </w:r>
          </w:p>
        </w:tc>
        <w:tc>
          <w:tcPr>
            <w:tcW w:w="1068" w:type="dxa"/>
            <w:tcBorders>
              <w:top w:val="nil"/>
              <w:left w:val="nil"/>
              <w:bottom w:val="nil"/>
            </w:tcBorders>
            <w:shd w:val="clear" w:color="000000" w:fill="FFFFFF"/>
            <w:noWrap/>
            <w:vAlign w:val="bottom"/>
            <w:hideMark/>
          </w:tcPr>
          <w:p w14:paraId="037C7ACF" w14:textId="77777777" w:rsidR="002A66B3" w:rsidRPr="00F51774" w:rsidRDefault="002A66B3" w:rsidP="002A66B3">
            <w:pPr>
              <w:jc w:val="right"/>
              <w:rPr>
                <w:rFonts w:cstheme="minorHAnsi"/>
                <w:color w:val="000000"/>
                <w:sz w:val="20"/>
                <w:szCs w:val="20"/>
              </w:rPr>
            </w:pPr>
            <w:r w:rsidRPr="00F51774">
              <w:rPr>
                <w:rFonts w:cstheme="minorHAnsi"/>
                <w:color w:val="0D0D0D" w:themeColor="text1" w:themeTint="F2"/>
                <w:sz w:val="20"/>
                <w:szCs w:val="20"/>
              </w:rPr>
              <w:t xml:space="preserve">- </w:t>
            </w:r>
          </w:p>
        </w:tc>
      </w:tr>
      <w:tr w:rsidR="002A66B3" w:rsidRPr="002A66B3" w14:paraId="491DCA88" w14:textId="77777777" w:rsidTr="00E85A09">
        <w:trPr>
          <w:trHeight w:val="525"/>
          <w:jc w:val="center"/>
        </w:trPr>
        <w:tc>
          <w:tcPr>
            <w:tcW w:w="3330" w:type="dxa"/>
            <w:tcBorders>
              <w:top w:val="nil"/>
              <w:left w:val="nil"/>
              <w:bottom w:val="nil"/>
              <w:right w:val="nil"/>
            </w:tcBorders>
            <w:shd w:val="clear" w:color="000000" w:fill="FFFFFF"/>
            <w:vAlign w:val="bottom"/>
            <w:hideMark/>
          </w:tcPr>
          <w:p w14:paraId="2015214C" w14:textId="77777777" w:rsidR="002A66B3" w:rsidRPr="00F51774" w:rsidRDefault="002A66B3" w:rsidP="00F51774">
            <w:pPr>
              <w:ind w:left="255"/>
              <w:rPr>
                <w:rFonts w:cstheme="minorHAnsi"/>
                <w:sz w:val="20"/>
                <w:szCs w:val="20"/>
              </w:rPr>
            </w:pPr>
            <w:r w:rsidRPr="00F51774">
              <w:rPr>
                <w:rFonts w:cstheme="minorHAnsi"/>
                <w:sz w:val="20"/>
                <w:szCs w:val="20"/>
              </w:rPr>
              <w:t xml:space="preserve">Investment in UMS endowment pool </w:t>
            </w:r>
            <w:r w:rsidRPr="00F51774">
              <w:rPr>
                <w:rFonts w:cstheme="minorHAnsi"/>
                <w:i/>
                <w:iCs/>
                <w:sz w:val="20"/>
                <w:szCs w:val="20"/>
              </w:rPr>
              <w:t>(Note 3)</w:t>
            </w:r>
          </w:p>
        </w:tc>
        <w:tc>
          <w:tcPr>
            <w:tcW w:w="1144" w:type="dxa"/>
            <w:tcBorders>
              <w:top w:val="nil"/>
              <w:left w:val="nil"/>
              <w:bottom w:val="nil"/>
              <w:right w:val="nil"/>
            </w:tcBorders>
            <w:shd w:val="clear" w:color="000000" w:fill="FFFFFF"/>
            <w:noWrap/>
            <w:vAlign w:val="bottom"/>
            <w:hideMark/>
          </w:tcPr>
          <w:p w14:paraId="65AB2C5C" w14:textId="77777777" w:rsidR="002A66B3" w:rsidRPr="00F51774" w:rsidRDefault="002A66B3" w:rsidP="002A66B3">
            <w:pPr>
              <w:jc w:val="right"/>
              <w:rPr>
                <w:rFonts w:cstheme="minorHAnsi"/>
                <w:color w:val="0D0D0D" w:themeColor="text1" w:themeTint="F2"/>
                <w:sz w:val="20"/>
                <w:szCs w:val="20"/>
              </w:rPr>
            </w:pPr>
            <w:r w:rsidRPr="00F51774">
              <w:rPr>
                <w:rFonts w:cstheme="minorHAnsi"/>
                <w:color w:val="0D0D0D" w:themeColor="text1" w:themeTint="F2"/>
                <w:sz w:val="20"/>
                <w:szCs w:val="20"/>
              </w:rPr>
              <w:t>-</w:t>
            </w:r>
          </w:p>
        </w:tc>
        <w:tc>
          <w:tcPr>
            <w:tcW w:w="1256" w:type="dxa"/>
            <w:tcBorders>
              <w:top w:val="nil"/>
              <w:left w:val="nil"/>
              <w:bottom w:val="nil"/>
              <w:right w:val="nil"/>
            </w:tcBorders>
            <w:shd w:val="clear" w:color="000000" w:fill="FFFFFF"/>
            <w:noWrap/>
            <w:vAlign w:val="bottom"/>
            <w:hideMark/>
          </w:tcPr>
          <w:p w14:paraId="72D1B7C2" w14:textId="77777777" w:rsidR="002A66B3" w:rsidRPr="00F51774" w:rsidRDefault="002A66B3" w:rsidP="002A66B3">
            <w:pPr>
              <w:jc w:val="right"/>
              <w:rPr>
                <w:rFonts w:cstheme="minorHAnsi"/>
                <w:color w:val="0D0D0D" w:themeColor="text1" w:themeTint="F2"/>
                <w:sz w:val="20"/>
                <w:szCs w:val="20"/>
              </w:rPr>
            </w:pPr>
            <w:r w:rsidRPr="00F51774">
              <w:rPr>
                <w:rFonts w:cstheme="minorHAnsi"/>
                <w:color w:val="0D0D0D" w:themeColor="text1" w:themeTint="F2"/>
                <w:sz w:val="20"/>
                <w:szCs w:val="20"/>
              </w:rPr>
              <w:t>4,336</w:t>
            </w:r>
          </w:p>
        </w:tc>
        <w:tc>
          <w:tcPr>
            <w:tcW w:w="1068" w:type="dxa"/>
            <w:tcBorders>
              <w:top w:val="nil"/>
              <w:left w:val="nil"/>
              <w:bottom w:val="nil"/>
              <w:right w:val="single" w:sz="8" w:space="0" w:color="000000"/>
            </w:tcBorders>
            <w:shd w:val="clear" w:color="000000" w:fill="FFFFFF"/>
            <w:noWrap/>
            <w:vAlign w:val="bottom"/>
            <w:hideMark/>
          </w:tcPr>
          <w:p w14:paraId="728394B8" w14:textId="77777777" w:rsidR="002A66B3" w:rsidRPr="00F51774" w:rsidRDefault="002A66B3" w:rsidP="002A66B3">
            <w:pPr>
              <w:jc w:val="right"/>
              <w:rPr>
                <w:rFonts w:cstheme="minorHAnsi"/>
                <w:color w:val="0D0D0D" w:themeColor="text1" w:themeTint="F2"/>
                <w:sz w:val="20"/>
                <w:szCs w:val="20"/>
              </w:rPr>
            </w:pPr>
            <w:r w:rsidRPr="00F51774">
              <w:rPr>
                <w:rFonts w:cstheme="minorHAnsi"/>
                <w:color w:val="0D0D0D" w:themeColor="text1" w:themeTint="F2"/>
                <w:sz w:val="20"/>
                <w:szCs w:val="20"/>
              </w:rPr>
              <w:t xml:space="preserve">- </w:t>
            </w:r>
          </w:p>
        </w:tc>
        <w:tc>
          <w:tcPr>
            <w:tcW w:w="1186" w:type="dxa"/>
            <w:tcBorders>
              <w:top w:val="nil"/>
              <w:left w:val="nil"/>
              <w:bottom w:val="nil"/>
              <w:right w:val="nil"/>
            </w:tcBorders>
            <w:shd w:val="clear" w:color="000000" w:fill="FFFFFF"/>
            <w:noWrap/>
            <w:vAlign w:val="bottom"/>
            <w:hideMark/>
          </w:tcPr>
          <w:p w14:paraId="3CED51CD" w14:textId="77777777" w:rsidR="002A66B3" w:rsidRPr="00F51774" w:rsidRDefault="002A66B3" w:rsidP="002A66B3">
            <w:pPr>
              <w:jc w:val="right"/>
              <w:rPr>
                <w:rFonts w:cstheme="minorHAnsi"/>
                <w:color w:val="000000"/>
                <w:sz w:val="20"/>
                <w:szCs w:val="20"/>
              </w:rPr>
            </w:pPr>
            <w:r w:rsidRPr="00F51774">
              <w:rPr>
                <w:rFonts w:cstheme="minorHAnsi"/>
                <w:color w:val="0D0D0D" w:themeColor="text1" w:themeTint="F2"/>
                <w:sz w:val="20"/>
                <w:szCs w:val="20"/>
              </w:rPr>
              <w:t>-</w:t>
            </w:r>
          </w:p>
        </w:tc>
        <w:tc>
          <w:tcPr>
            <w:tcW w:w="1256" w:type="dxa"/>
            <w:tcBorders>
              <w:top w:val="nil"/>
              <w:left w:val="nil"/>
              <w:bottom w:val="nil"/>
              <w:right w:val="nil"/>
            </w:tcBorders>
            <w:shd w:val="clear" w:color="000000" w:fill="FFFFFF"/>
            <w:noWrap/>
            <w:vAlign w:val="bottom"/>
            <w:hideMark/>
          </w:tcPr>
          <w:p w14:paraId="77680228" w14:textId="77777777" w:rsidR="002A66B3" w:rsidRPr="00F51774" w:rsidRDefault="002A66B3" w:rsidP="002A66B3">
            <w:pPr>
              <w:jc w:val="right"/>
              <w:rPr>
                <w:rFonts w:cstheme="minorHAnsi"/>
                <w:color w:val="000000"/>
                <w:sz w:val="20"/>
                <w:szCs w:val="20"/>
              </w:rPr>
            </w:pPr>
            <w:r w:rsidRPr="00F51774">
              <w:rPr>
                <w:rFonts w:cstheme="minorHAnsi"/>
                <w:color w:val="0D0D0D" w:themeColor="text1" w:themeTint="F2"/>
                <w:sz w:val="20"/>
                <w:szCs w:val="20"/>
              </w:rPr>
              <w:t>38,165</w:t>
            </w:r>
          </w:p>
        </w:tc>
        <w:tc>
          <w:tcPr>
            <w:tcW w:w="1068" w:type="dxa"/>
            <w:tcBorders>
              <w:top w:val="nil"/>
              <w:left w:val="nil"/>
              <w:bottom w:val="nil"/>
            </w:tcBorders>
            <w:shd w:val="clear" w:color="000000" w:fill="FFFFFF"/>
            <w:noWrap/>
            <w:vAlign w:val="bottom"/>
            <w:hideMark/>
          </w:tcPr>
          <w:p w14:paraId="6C27ACD1" w14:textId="77777777" w:rsidR="002A66B3" w:rsidRPr="00F51774" w:rsidRDefault="002A66B3" w:rsidP="002A66B3">
            <w:pPr>
              <w:jc w:val="right"/>
              <w:rPr>
                <w:rFonts w:cstheme="minorHAnsi"/>
                <w:color w:val="000000"/>
                <w:sz w:val="20"/>
                <w:szCs w:val="20"/>
              </w:rPr>
            </w:pPr>
            <w:r w:rsidRPr="00F51774">
              <w:rPr>
                <w:rFonts w:cstheme="minorHAnsi"/>
                <w:color w:val="0D0D0D" w:themeColor="text1" w:themeTint="F2"/>
                <w:sz w:val="20"/>
                <w:szCs w:val="20"/>
              </w:rPr>
              <w:t xml:space="preserve">- </w:t>
            </w:r>
          </w:p>
        </w:tc>
      </w:tr>
      <w:tr w:rsidR="002A66B3" w:rsidRPr="002A66B3" w14:paraId="680ED044" w14:textId="77777777" w:rsidTr="00E85A09">
        <w:trPr>
          <w:trHeight w:val="300"/>
          <w:jc w:val="center"/>
        </w:trPr>
        <w:tc>
          <w:tcPr>
            <w:tcW w:w="3330" w:type="dxa"/>
            <w:tcBorders>
              <w:top w:val="nil"/>
              <w:left w:val="nil"/>
              <w:bottom w:val="nil"/>
              <w:right w:val="nil"/>
            </w:tcBorders>
            <w:shd w:val="clear" w:color="000000" w:fill="FFFFFF"/>
            <w:noWrap/>
            <w:vAlign w:val="bottom"/>
            <w:hideMark/>
          </w:tcPr>
          <w:p w14:paraId="16EF9FF2" w14:textId="5241D3CD" w:rsidR="002A66B3" w:rsidRPr="00F51774" w:rsidRDefault="002A66B3" w:rsidP="00F51774">
            <w:pPr>
              <w:ind w:left="255"/>
              <w:rPr>
                <w:rFonts w:cstheme="minorHAnsi"/>
                <w:sz w:val="20"/>
                <w:szCs w:val="20"/>
              </w:rPr>
            </w:pPr>
            <w:r w:rsidRPr="00F51774">
              <w:rPr>
                <w:rFonts w:cstheme="minorHAnsi"/>
                <w:sz w:val="20"/>
                <w:szCs w:val="20"/>
              </w:rPr>
              <w:t xml:space="preserve">Other investments </w:t>
            </w:r>
            <w:r w:rsidRPr="00F51774">
              <w:rPr>
                <w:rFonts w:cstheme="minorHAnsi"/>
                <w:i/>
                <w:iCs/>
                <w:sz w:val="20"/>
                <w:szCs w:val="20"/>
              </w:rPr>
              <w:t>(Note 3)</w:t>
            </w:r>
          </w:p>
        </w:tc>
        <w:tc>
          <w:tcPr>
            <w:tcW w:w="1144" w:type="dxa"/>
            <w:tcBorders>
              <w:top w:val="nil"/>
              <w:left w:val="nil"/>
              <w:bottom w:val="nil"/>
              <w:right w:val="nil"/>
            </w:tcBorders>
            <w:shd w:val="clear" w:color="000000" w:fill="FFFFFF"/>
            <w:noWrap/>
            <w:vAlign w:val="bottom"/>
            <w:hideMark/>
          </w:tcPr>
          <w:p w14:paraId="01D7C6E8" w14:textId="77777777" w:rsidR="002A66B3" w:rsidRPr="00F51774" w:rsidRDefault="002A66B3" w:rsidP="002A66B3">
            <w:pPr>
              <w:jc w:val="right"/>
              <w:rPr>
                <w:rFonts w:cstheme="minorHAnsi"/>
                <w:color w:val="0D0D0D" w:themeColor="text1" w:themeTint="F2"/>
                <w:sz w:val="20"/>
                <w:szCs w:val="20"/>
              </w:rPr>
            </w:pPr>
            <w:r w:rsidRPr="00F51774">
              <w:rPr>
                <w:rFonts w:cstheme="minorHAnsi"/>
                <w:color w:val="0D0D0D" w:themeColor="text1" w:themeTint="F2"/>
                <w:sz w:val="20"/>
                <w:szCs w:val="20"/>
              </w:rPr>
              <w:t>16,230</w:t>
            </w:r>
          </w:p>
        </w:tc>
        <w:tc>
          <w:tcPr>
            <w:tcW w:w="1256" w:type="dxa"/>
            <w:tcBorders>
              <w:top w:val="nil"/>
              <w:left w:val="nil"/>
              <w:bottom w:val="nil"/>
              <w:right w:val="nil"/>
            </w:tcBorders>
            <w:shd w:val="clear" w:color="000000" w:fill="FFFFFF"/>
            <w:noWrap/>
            <w:vAlign w:val="bottom"/>
            <w:hideMark/>
          </w:tcPr>
          <w:p w14:paraId="4DF66A67" w14:textId="77777777" w:rsidR="002A66B3" w:rsidRPr="00F51774" w:rsidRDefault="002A66B3" w:rsidP="002A66B3">
            <w:pPr>
              <w:jc w:val="right"/>
              <w:rPr>
                <w:rFonts w:cstheme="minorHAnsi"/>
                <w:color w:val="0D0D0D" w:themeColor="text1" w:themeTint="F2"/>
                <w:sz w:val="20"/>
                <w:szCs w:val="20"/>
              </w:rPr>
            </w:pPr>
            <w:r w:rsidRPr="00F51774">
              <w:rPr>
                <w:rFonts w:cstheme="minorHAnsi"/>
                <w:color w:val="0D0D0D" w:themeColor="text1" w:themeTint="F2"/>
                <w:sz w:val="20"/>
                <w:szCs w:val="20"/>
              </w:rPr>
              <w:t>-</w:t>
            </w:r>
          </w:p>
        </w:tc>
        <w:tc>
          <w:tcPr>
            <w:tcW w:w="1068" w:type="dxa"/>
            <w:tcBorders>
              <w:top w:val="nil"/>
              <w:left w:val="nil"/>
              <w:bottom w:val="nil"/>
              <w:right w:val="single" w:sz="8" w:space="0" w:color="000000"/>
            </w:tcBorders>
            <w:shd w:val="clear" w:color="000000" w:fill="FFFFFF"/>
            <w:noWrap/>
            <w:vAlign w:val="bottom"/>
            <w:hideMark/>
          </w:tcPr>
          <w:p w14:paraId="015CCD23" w14:textId="77777777" w:rsidR="002A66B3" w:rsidRPr="00F51774" w:rsidRDefault="002A66B3" w:rsidP="002A66B3">
            <w:pPr>
              <w:jc w:val="right"/>
              <w:rPr>
                <w:rFonts w:cstheme="minorHAnsi"/>
                <w:color w:val="0D0D0D" w:themeColor="text1" w:themeTint="F2"/>
                <w:sz w:val="20"/>
                <w:szCs w:val="20"/>
              </w:rPr>
            </w:pPr>
            <w:r w:rsidRPr="00F51774">
              <w:rPr>
                <w:rFonts w:cstheme="minorHAnsi"/>
                <w:color w:val="0D0D0D" w:themeColor="text1" w:themeTint="F2"/>
                <w:sz w:val="20"/>
                <w:szCs w:val="20"/>
              </w:rPr>
              <w:t xml:space="preserve">- </w:t>
            </w:r>
          </w:p>
        </w:tc>
        <w:tc>
          <w:tcPr>
            <w:tcW w:w="1186" w:type="dxa"/>
            <w:tcBorders>
              <w:top w:val="nil"/>
              <w:left w:val="nil"/>
              <w:bottom w:val="nil"/>
              <w:right w:val="nil"/>
            </w:tcBorders>
            <w:shd w:val="clear" w:color="000000" w:fill="FFFFFF"/>
            <w:noWrap/>
            <w:vAlign w:val="bottom"/>
            <w:hideMark/>
          </w:tcPr>
          <w:p w14:paraId="6036686B" w14:textId="77777777" w:rsidR="002A66B3" w:rsidRPr="00F51774" w:rsidRDefault="002A66B3" w:rsidP="002A66B3">
            <w:pPr>
              <w:jc w:val="right"/>
              <w:rPr>
                <w:rFonts w:cstheme="minorHAnsi"/>
                <w:color w:val="000000"/>
                <w:sz w:val="20"/>
                <w:szCs w:val="20"/>
              </w:rPr>
            </w:pPr>
            <w:r w:rsidRPr="00F51774">
              <w:rPr>
                <w:rFonts w:cstheme="minorHAnsi"/>
                <w:color w:val="0D0D0D" w:themeColor="text1" w:themeTint="F2"/>
                <w:sz w:val="20"/>
                <w:szCs w:val="20"/>
              </w:rPr>
              <w:t>17,593</w:t>
            </w:r>
          </w:p>
        </w:tc>
        <w:tc>
          <w:tcPr>
            <w:tcW w:w="1256" w:type="dxa"/>
            <w:tcBorders>
              <w:top w:val="nil"/>
              <w:left w:val="nil"/>
              <w:bottom w:val="nil"/>
              <w:right w:val="nil"/>
            </w:tcBorders>
            <w:shd w:val="clear" w:color="000000" w:fill="FFFFFF"/>
            <w:noWrap/>
            <w:vAlign w:val="bottom"/>
            <w:hideMark/>
          </w:tcPr>
          <w:p w14:paraId="2250AD43" w14:textId="77777777" w:rsidR="002A66B3" w:rsidRPr="00F51774" w:rsidRDefault="002A66B3" w:rsidP="002A66B3">
            <w:pPr>
              <w:jc w:val="right"/>
              <w:rPr>
                <w:rFonts w:cstheme="minorHAnsi"/>
                <w:color w:val="000000"/>
                <w:sz w:val="20"/>
                <w:szCs w:val="20"/>
              </w:rPr>
            </w:pPr>
            <w:r w:rsidRPr="00F51774">
              <w:rPr>
                <w:rFonts w:cstheme="minorHAnsi"/>
                <w:color w:val="0D0D0D" w:themeColor="text1" w:themeTint="F2"/>
                <w:sz w:val="20"/>
                <w:szCs w:val="20"/>
              </w:rPr>
              <w:t>-</w:t>
            </w:r>
          </w:p>
        </w:tc>
        <w:tc>
          <w:tcPr>
            <w:tcW w:w="1068" w:type="dxa"/>
            <w:tcBorders>
              <w:top w:val="nil"/>
              <w:left w:val="nil"/>
              <w:bottom w:val="nil"/>
            </w:tcBorders>
            <w:shd w:val="clear" w:color="000000" w:fill="FFFFFF"/>
            <w:noWrap/>
            <w:vAlign w:val="bottom"/>
            <w:hideMark/>
          </w:tcPr>
          <w:p w14:paraId="0C13A0DC" w14:textId="77777777" w:rsidR="002A66B3" w:rsidRPr="00F51774" w:rsidRDefault="002A66B3" w:rsidP="002A66B3">
            <w:pPr>
              <w:jc w:val="right"/>
              <w:rPr>
                <w:rFonts w:cstheme="minorHAnsi"/>
                <w:color w:val="000000"/>
                <w:sz w:val="20"/>
                <w:szCs w:val="20"/>
              </w:rPr>
            </w:pPr>
            <w:r w:rsidRPr="00F51774">
              <w:rPr>
                <w:rFonts w:cstheme="minorHAnsi"/>
                <w:color w:val="0D0D0D" w:themeColor="text1" w:themeTint="F2"/>
                <w:sz w:val="20"/>
                <w:szCs w:val="20"/>
              </w:rPr>
              <w:t xml:space="preserve">- </w:t>
            </w:r>
          </w:p>
        </w:tc>
      </w:tr>
      <w:tr w:rsidR="002A66B3" w:rsidRPr="002A66B3" w14:paraId="1B03186F" w14:textId="77777777" w:rsidTr="00E85A09">
        <w:trPr>
          <w:trHeight w:val="300"/>
          <w:jc w:val="center"/>
        </w:trPr>
        <w:tc>
          <w:tcPr>
            <w:tcW w:w="3330" w:type="dxa"/>
            <w:tcBorders>
              <w:top w:val="nil"/>
              <w:left w:val="nil"/>
              <w:bottom w:val="nil"/>
              <w:right w:val="nil"/>
            </w:tcBorders>
            <w:shd w:val="clear" w:color="000000" w:fill="FFFFFF"/>
            <w:noWrap/>
            <w:vAlign w:val="bottom"/>
            <w:hideMark/>
          </w:tcPr>
          <w:p w14:paraId="1B58B153" w14:textId="26FBEACF" w:rsidR="002A66B3" w:rsidRPr="00F51774" w:rsidRDefault="002A66B3" w:rsidP="00F51774">
            <w:pPr>
              <w:ind w:left="255"/>
              <w:rPr>
                <w:rFonts w:cstheme="minorHAnsi"/>
                <w:sz w:val="20"/>
                <w:szCs w:val="20"/>
              </w:rPr>
            </w:pPr>
            <w:r w:rsidRPr="00F51774">
              <w:rPr>
                <w:rFonts w:cstheme="minorHAnsi"/>
                <w:sz w:val="20"/>
                <w:szCs w:val="20"/>
              </w:rPr>
              <w:t>Prepaid expenses</w:t>
            </w:r>
          </w:p>
        </w:tc>
        <w:tc>
          <w:tcPr>
            <w:tcW w:w="1144" w:type="dxa"/>
            <w:tcBorders>
              <w:top w:val="nil"/>
              <w:left w:val="nil"/>
              <w:bottom w:val="nil"/>
              <w:right w:val="nil"/>
            </w:tcBorders>
            <w:shd w:val="clear" w:color="000000" w:fill="FFFFFF"/>
            <w:noWrap/>
            <w:vAlign w:val="bottom"/>
            <w:hideMark/>
          </w:tcPr>
          <w:p w14:paraId="349770DB" w14:textId="77777777" w:rsidR="002A66B3" w:rsidRPr="00F51774" w:rsidRDefault="002A66B3" w:rsidP="002A66B3">
            <w:pPr>
              <w:jc w:val="right"/>
              <w:rPr>
                <w:rFonts w:cstheme="minorHAnsi"/>
                <w:color w:val="0D0D0D" w:themeColor="text1" w:themeTint="F2"/>
                <w:sz w:val="20"/>
                <w:szCs w:val="20"/>
              </w:rPr>
            </w:pPr>
            <w:r w:rsidRPr="00F51774">
              <w:rPr>
                <w:rFonts w:cstheme="minorHAnsi"/>
                <w:color w:val="0D0D0D" w:themeColor="text1" w:themeTint="F2"/>
                <w:sz w:val="20"/>
                <w:szCs w:val="20"/>
              </w:rPr>
              <w:t>-</w:t>
            </w:r>
          </w:p>
        </w:tc>
        <w:tc>
          <w:tcPr>
            <w:tcW w:w="1256" w:type="dxa"/>
            <w:tcBorders>
              <w:top w:val="nil"/>
              <w:left w:val="nil"/>
              <w:bottom w:val="nil"/>
              <w:right w:val="nil"/>
            </w:tcBorders>
            <w:shd w:val="clear" w:color="000000" w:fill="FFFFFF"/>
            <w:noWrap/>
            <w:vAlign w:val="bottom"/>
            <w:hideMark/>
          </w:tcPr>
          <w:p w14:paraId="30D141C6" w14:textId="77777777" w:rsidR="002A66B3" w:rsidRPr="00F51774" w:rsidRDefault="002A66B3" w:rsidP="002A66B3">
            <w:pPr>
              <w:jc w:val="right"/>
              <w:rPr>
                <w:rFonts w:cstheme="minorHAnsi"/>
                <w:color w:val="0D0D0D" w:themeColor="text1" w:themeTint="F2"/>
                <w:sz w:val="20"/>
                <w:szCs w:val="20"/>
              </w:rPr>
            </w:pPr>
            <w:r w:rsidRPr="00F51774">
              <w:rPr>
                <w:rFonts w:cstheme="minorHAnsi"/>
                <w:color w:val="0D0D0D" w:themeColor="text1" w:themeTint="F2"/>
                <w:sz w:val="20"/>
                <w:szCs w:val="20"/>
              </w:rPr>
              <w:t>-</w:t>
            </w:r>
          </w:p>
        </w:tc>
        <w:tc>
          <w:tcPr>
            <w:tcW w:w="1068" w:type="dxa"/>
            <w:tcBorders>
              <w:top w:val="nil"/>
              <w:left w:val="nil"/>
              <w:bottom w:val="nil"/>
              <w:right w:val="single" w:sz="8" w:space="0" w:color="000000"/>
            </w:tcBorders>
            <w:shd w:val="clear" w:color="000000" w:fill="FFFFFF"/>
            <w:noWrap/>
            <w:vAlign w:val="bottom"/>
            <w:hideMark/>
          </w:tcPr>
          <w:p w14:paraId="66D515F4" w14:textId="77777777" w:rsidR="002A66B3" w:rsidRPr="00F51774" w:rsidRDefault="002A66B3" w:rsidP="002A66B3">
            <w:pPr>
              <w:jc w:val="right"/>
              <w:rPr>
                <w:rFonts w:cstheme="minorHAnsi"/>
                <w:color w:val="0D0D0D" w:themeColor="text1" w:themeTint="F2"/>
                <w:sz w:val="20"/>
                <w:szCs w:val="20"/>
              </w:rPr>
            </w:pPr>
            <w:r w:rsidRPr="00F51774">
              <w:rPr>
                <w:rFonts w:cstheme="minorHAnsi"/>
                <w:color w:val="0D0D0D" w:themeColor="text1" w:themeTint="F2"/>
                <w:sz w:val="20"/>
                <w:szCs w:val="20"/>
              </w:rPr>
              <w:t>-</w:t>
            </w:r>
          </w:p>
        </w:tc>
        <w:tc>
          <w:tcPr>
            <w:tcW w:w="1186" w:type="dxa"/>
            <w:tcBorders>
              <w:top w:val="nil"/>
              <w:left w:val="nil"/>
              <w:bottom w:val="nil"/>
              <w:right w:val="nil"/>
            </w:tcBorders>
            <w:shd w:val="clear" w:color="000000" w:fill="FFFFFF"/>
            <w:noWrap/>
            <w:vAlign w:val="bottom"/>
            <w:hideMark/>
          </w:tcPr>
          <w:p w14:paraId="17B8275B" w14:textId="77777777" w:rsidR="002A66B3" w:rsidRPr="00F51774" w:rsidRDefault="002A66B3" w:rsidP="002A66B3">
            <w:pPr>
              <w:jc w:val="right"/>
              <w:rPr>
                <w:rFonts w:cstheme="minorHAnsi"/>
                <w:color w:val="000000"/>
                <w:sz w:val="20"/>
                <w:szCs w:val="20"/>
              </w:rPr>
            </w:pPr>
            <w:r w:rsidRPr="00F51774">
              <w:rPr>
                <w:rFonts w:cstheme="minorHAnsi"/>
                <w:color w:val="0D0D0D" w:themeColor="text1" w:themeTint="F2"/>
                <w:sz w:val="20"/>
                <w:szCs w:val="20"/>
              </w:rPr>
              <w:t>-</w:t>
            </w:r>
          </w:p>
        </w:tc>
        <w:tc>
          <w:tcPr>
            <w:tcW w:w="1256" w:type="dxa"/>
            <w:tcBorders>
              <w:top w:val="nil"/>
              <w:left w:val="nil"/>
              <w:bottom w:val="nil"/>
              <w:right w:val="nil"/>
            </w:tcBorders>
            <w:shd w:val="clear" w:color="000000" w:fill="FFFFFF"/>
            <w:noWrap/>
            <w:vAlign w:val="bottom"/>
            <w:hideMark/>
          </w:tcPr>
          <w:p w14:paraId="0ECA8F40" w14:textId="77777777" w:rsidR="002A66B3" w:rsidRPr="00F51774" w:rsidRDefault="002A66B3" w:rsidP="002A66B3">
            <w:pPr>
              <w:jc w:val="right"/>
              <w:rPr>
                <w:rFonts w:cstheme="minorHAnsi"/>
                <w:color w:val="000000"/>
                <w:sz w:val="20"/>
                <w:szCs w:val="20"/>
              </w:rPr>
            </w:pPr>
            <w:r w:rsidRPr="00F51774">
              <w:rPr>
                <w:rFonts w:cstheme="minorHAnsi"/>
                <w:color w:val="0D0D0D" w:themeColor="text1" w:themeTint="F2"/>
                <w:sz w:val="20"/>
                <w:szCs w:val="20"/>
              </w:rPr>
              <w:t>-</w:t>
            </w:r>
          </w:p>
        </w:tc>
        <w:tc>
          <w:tcPr>
            <w:tcW w:w="1068" w:type="dxa"/>
            <w:tcBorders>
              <w:top w:val="nil"/>
              <w:left w:val="nil"/>
              <w:bottom w:val="nil"/>
            </w:tcBorders>
            <w:shd w:val="clear" w:color="000000" w:fill="FFFFFF"/>
            <w:noWrap/>
            <w:vAlign w:val="bottom"/>
            <w:hideMark/>
          </w:tcPr>
          <w:p w14:paraId="0BE63EC7" w14:textId="77777777" w:rsidR="002A66B3" w:rsidRPr="00F51774" w:rsidRDefault="002A66B3" w:rsidP="002A66B3">
            <w:pPr>
              <w:jc w:val="right"/>
              <w:rPr>
                <w:rFonts w:cstheme="minorHAnsi"/>
                <w:color w:val="000000"/>
                <w:sz w:val="20"/>
                <w:szCs w:val="20"/>
              </w:rPr>
            </w:pPr>
            <w:r w:rsidRPr="00F51774">
              <w:rPr>
                <w:rFonts w:cstheme="minorHAnsi"/>
                <w:color w:val="0D0D0D" w:themeColor="text1" w:themeTint="F2"/>
                <w:sz w:val="20"/>
                <w:szCs w:val="20"/>
              </w:rPr>
              <w:t>19</w:t>
            </w:r>
          </w:p>
        </w:tc>
      </w:tr>
      <w:tr w:rsidR="002A66B3" w:rsidRPr="002A66B3" w14:paraId="04B9D6E6" w14:textId="77777777" w:rsidTr="00E85A09">
        <w:trPr>
          <w:trHeight w:val="300"/>
          <w:jc w:val="center"/>
        </w:trPr>
        <w:tc>
          <w:tcPr>
            <w:tcW w:w="3330" w:type="dxa"/>
            <w:tcBorders>
              <w:top w:val="single" w:sz="4" w:space="0" w:color="000000"/>
              <w:left w:val="nil"/>
              <w:bottom w:val="single" w:sz="4" w:space="0" w:color="000000"/>
              <w:right w:val="nil"/>
            </w:tcBorders>
            <w:shd w:val="clear" w:color="000000" w:fill="FFFFFF"/>
            <w:noWrap/>
            <w:vAlign w:val="bottom"/>
            <w:hideMark/>
          </w:tcPr>
          <w:p w14:paraId="60CD2061" w14:textId="77777777" w:rsidR="002A66B3" w:rsidRPr="00F51774" w:rsidRDefault="002A66B3" w:rsidP="002A66B3">
            <w:pPr>
              <w:rPr>
                <w:rFonts w:cstheme="minorHAnsi"/>
                <w:b/>
                <w:bCs/>
              </w:rPr>
            </w:pPr>
            <w:r w:rsidRPr="00F51774">
              <w:rPr>
                <w:rFonts w:cstheme="minorHAnsi"/>
                <w:b/>
                <w:bCs/>
              </w:rPr>
              <w:t>Total Assets</w:t>
            </w:r>
          </w:p>
        </w:tc>
        <w:tc>
          <w:tcPr>
            <w:tcW w:w="1144" w:type="dxa"/>
            <w:tcBorders>
              <w:top w:val="single" w:sz="4" w:space="0" w:color="000000"/>
              <w:left w:val="nil"/>
              <w:bottom w:val="single" w:sz="4" w:space="0" w:color="000000"/>
              <w:right w:val="nil"/>
            </w:tcBorders>
            <w:shd w:val="clear" w:color="000000" w:fill="FFFFFF"/>
            <w:noWrap/>
            <w:vAlign w:val="bottom"/>
            <w:hideMark/>
          </w:tcPr>
          <w:p w14:paraId="38602313" w14:textId="77777777" w:rsidR="002A66B3" w:rsidRPr="00F51774" w:rsidRDefault="002A66B3" w:rsidP="002A66B3">
            <w:pPr>
              <w:jc w:val="right"/>
              <w:rPr>
                <w:rFonts w:cstheme="minorHAnsi"/>
                <w:color w:val="0D0D0D" w:themeColor="text1" w:themeTint="F2"/>
                <w:sz w:val="20"/>
                <w:szCs w:val="20"/>
              </w:rPr>
            </w:pPr>
            <w:r w:rsidRPr="00F51774">
              <w:rPr>
                <w:rFonts w:cstheme="minorHAnsi"/>
                <w:color w:val="0D0D0D" w:themeColor="text1" w:themeTint="F2"/>
                <w:sz w:val="20"/>
                <w:szCs w:val="20"/>
              </w:rPr>
              <w:t>231,321</w:t>
            </w:r>
          </w:p>
        </w:tc>
        <w:tc>
          <w:tcPr>
            <w:tcW w:w="1256" w:type="dxa"/>
            <w:tcBorders>
              <w:top w:val="single" w:sz="4" w:space="0" w:color="000000"/>
              <w:left w:val="nil"/>
              <w:bottom w:val="single" w:sz="4" w:space="0" w:color="000000"/>
              <w:right w:val="nil"/>
            </w:tcBorders>
            <w:shd w:val="clear" w:color="000000" w:fill="FFFFFF"/>
            <w:noWrap/>
            <w:vAlign w:val="bottom"/>
            <w:hideMark/>
          </w:tcPr>
          <w:p w14:paraId="5B2E50B7" w14:textId="77777777" w:rsidR="002A66B3" w:rsidRPr="00F51774" w:rsidRDefault="002A66B3" w:rsidP="002A66B3">
            <w:pPr>
              <w:jc w:val="right"/>
              <w:rPr>
                <w:rFonts w:cstheme="minorHAnsi"/>
                <w:color w:val="0D0D0D" w:themeColor="text1" w:themeTint="F2"/>
                <w:sz w:val="20"/>
                <w:szCs w:val="20"/>
              </w:rPr>
            </w:pPr>
            <w:r w:rsidRPr="00F51774">
              <w:rPr>
                <w:rFonts w:cstheme="minorHAnsi"/>
                <w:color w:val="0D0D0D" w:themeColor="text1" w:themeTint="F2"/>
                <w:sz w:val="20"/>
                <w:szCs w:val="20"/>
              </w:rPr>
              <w:t>10,351</w:t>
            </w:r>
          </w:p>
        </w:tc>
        <w:tc>
          <w:tcPr>
            <w:tcW w:w="1068" w:type="dxa"/>
            <w:tcBorders>
              <w:top w:val="single" w:sz="4" w:space="0" w:color="000000"/>
              <w:left w:val="nil"/>
              <w:bottom w:val="single" w:sz="4" w:space="0" w:color="000000"/>
              <w:right w:val="single" w:sz="8" w:space="0" w:color="000000"/>
            </w:tcBorders>
            <w:shd w:val="clear" w:color="000000" w:fill="FFFFFF"/>
            <w:noWrap/>
            <w:vAlign w:val="bottom"/>
            <w:hideMark/>
          </w:tcPr>
          <w:p w14:paraId="1ADB5AE5" w14:textId="77777777" w:rsidR="002A66B3" w:rsidRPr="00F51774" w:rsidRDefault="002A66B3" w:rsidP="002A66B3">
            <w:pPr>
              <w:jc w:val="right"/>
              <w:rPr>
                <w:rFonts w:cstheme="minorHAnsi"/>
                <w:color w:val="0D0D0D" w:themeColor="text1" w:themeTint="F2"/>
                <w:sz w:val="20"/>
                <w:szCs w:val="20"/>
              </w:rPr>
            </w:pPr>
            <w:r w:rsidRPr="00F51774">
              <w:rPr>
                <w:rFonts w:cstheme="minorHAnsi"/>
                <w:color w:val="0D0D0D" w:themeColor="text1" w:themeTint="F2"/>
                <w:sz w:val="20"/>
                <w:szCs w:val="20"/>
              </w:rPr>
              <w:t>2,389</w:t>
            </w:r>
          </w:p>
        </w:tc>
        <w:tc>
          <w:tcPr>
            <w:tcW w:w="1186" w:type="dxa"/>
            <w:tcBorders>
              <w:top w:val="single" w:sz="4" w:space="0" w:color="000000"/>
              <w:left w:val="nil"/>
              <w:bottom w:val="single" w:sz="4" w:space="0" w:color="000000"/>
              <w:right w:val="nil"/>
            </w:tcBorders>
            <w:shd w:val="clear" w:color="000000" w:fill="FFFFFF"/>
            <w:noWrap/>
            <w:vAlign w:val="bottom"/>
            <w:hideMark/>
          </w:tcPr>
          <w:p w14:paraId="6C3AB192" w14:textId="77777777" w:rsidR="002A66B3" w:rsidRPr="00F51774" w:rsidRDefault="002A66B3" w:rsidP="002A66B3">
            <w:pPr>
              <w:jc w:val="right"/>
              <w:rPr>
                <w:rFonts w:cstheme="minorHAnsi"/>
                <w:sz w:val="20"/>
                <w:szCs w:val="20"/>
              </w:rPr>
            </w:pPr>
            <w:r w:rsidRPr="00F51774">
              <w:rPr>
                <w:rFonts w:cstheme="minorHAnsi"/>
                <w:color w:val="0D0D0D" w:themeColor="text1" w:themeTint="F2"/>
                <w:sz w:val="20"/>
                <w:szCs w:val="20"/>
              </w:rPr>
              <w:t>213,584</w:t>
            </w:r>
          </w:p>
        </w:tc>
        <w:tc>
          <w:tcPr>
            <w:tcW w:w="1256" w:type="dxa"/>
            <w:tcBorders>
              <w:top w:val="single" w:sz="4" w:space="0" w:color="000000"/>
              <w:left w:val="nil"/>
              <w:bottom w:val="single" w:sz="4" w:space="0" w:color="000000"/>
              <w:right w:val="nil"/>
            </w:tcBorders>
            <w:shd w:val="clear" w:color="000000" w:fill="FFFFFF"/>
            <w:noWrap/>
            <w:vAlign w:val="bottom"/>
            <w:hideMark/>
          </w:tcPr>
          <w:p w14:paraId="22BB1897" w14:textId="77777777" w:rsidR="002A66B3" w:rsidRPr="00F51774" w:rsidRDefault="002A66B3" w:rsidP="002A66B3">
            <w:pPr>
              <w:jc w:val="right"/>
              <w:rPr>
                <w:rFonts w:cstheme="minorHAnsi"/>
                <w:sz w:val="20"/>
                <w:szCs w:val="20"/>
              </w:rPr>
            </w:pPr>
            <w:r w:rsidRPr="00F51774">
              <w:rPr>
                <w:rFonts w:cstheme="minorHAnsi"/>
                <w:color w:val="0D0D0D" w:themeColor="text1" w:themeTint="F2"/>
                <w:sz w:val="20"/>
                <w:szCs w:val="20"/>
              </w:rPr>
              <w:t>43,734</w:t>
            </w:r>
          </w:p>
        </w:tc>
        <w:tc>
          <w:tcPr>
            <w:tcW w:w="1068" w:type="dxa"/>
            <w:tcBorders>
              <w:top w:val="single" w:sz="4" w:space="0" w:color="000000"/>
              <w:left w:val="nil"/>
              <w:bottom w:val="single" w:sz="4" w:space="0" w:color="000000"/>
            </w:tcBorders>
            <w:shd w:val="clear" w:color="000000" w:fill="FFFFFF"/>
            <w:noWrap/>
            <w:vAlign w:val="bottom"/>
            <w:hideMark/>
          </w:tcPr>
          <w:p w14:paraId="7EAB17B8" w14:textId="77777777" w:rsidR="002A66B3" w:rsidRPr="00F51774" w:rsidRDefault="002A66B3" w:rsidP="002A66B3">
            <w:pPr>
              <w:jc w:val="right"/>
              <w:rPr>
                <w:rFonts w:cstheme="minorHAnsi"/>
                <w:sz w:val="20"/>
                <w:szCs w:val="20"/>
              </w:rPr>
            </w:pPr>
            <w:r w:rsidRPr="00F51774">
              <w:rPr>
                <w:rFonts w:cstheme="minorHAnsi"/>
                <w:color w:val="0D0D0D" w:themeColor="text1" w:themeTint="F2"/>
                <w:sz w:val="20"/>
                <w:szCs w:val="20"/>
              </w:rPr>
              <w:t>2,481</w:t>
            </w:r>
          </w:p>
        </w:tc>
      </w:tr>
      <w:tr w:rsidR="002A66B3" w:rsidRPr="002A66B3" w14:paraId="2BFD945D" w14:textId="77777777" w:rsidTr="00E85A09">
        <w:trPr>
          <w:trHeight w:val="503"/>
          <w:jc w:val="center"/>
        </w:trPr>
        <w:tc>
          <w:tcPr>
            <w:tcW w:w="3330" w:type="dxa"/>
            <w:tcBorders>
              <w:top w:val="nil"/>
              <w:left w:val="nil"/>
              <w:bottom w:val="nil"/>
              <w:right w:val="nil"/>
            </w:tcBorders>
            <w:shd w:val="clear" w:color="000000" w:fill="FFFFFF"/>
            <w:noWrap/>
            <w:vAlign w:val="bottom"/>
            <w:hideMark/>
          </w:tcPr>
          <w:p w14:paraId="6875DC24" w14:textId="77777777" w:rsidR="002A66B3" w:rsidRPr="00F51774" w:rsidRDefault="002A66B3" w:rsidP="002A66B3">
            <w:pPr>
              <w:rPr>
                <w:rFonts w:cstheme="minorHAnsi"/>
                <w:b/>
                <w:bCs/>
                <w:color w:val="000000"/>
              </w:rPr>
            </w:pPr>
            <w:r w:rsidRPr="00F51774">
              <w:rPr>
                <w:rFonts w:cstheme="minorHAnsi"/>
                <w:b/>
                <w:bCs/>
                <w:color w:val="000000"/>
              </w:rPr>
              <w:t>Liabilities</w:t>
            </w:r>
          </w:p>
        </w:tc>
        <w:tc>
          <w:tcPr>
            <w:tcW w:w="1144" w:type="dxa"/>
            <w:tcBorders>
              <w:top w:val="nil"/>
              <w:left w:val="nil"/>
              <w:bottom w:val="nil"/>
              <w:right w:val="nil"/>
            </w:tcBorders>
            <w:shd w:val="clear" w:color="000000" w:fill="FFFFFF"/>
            <w:noWrap/>
            <w:vAlign w:val="bottom"/>
            <w:hideMark/>
          </w:tcPr>
          <w:p w14:paraId="0C8B3FD3" w14:textId="2D2FFF5E" w:rsidR="002A66B3" w:rsidRPr="00F51774" w:rsidRDefault="002A66B3" w:rsidP="002A66B3">
            <w:pPr>
              <w:jc w:val="right"/>
              <w:rPr>
                <w:rFonts w:cstheme="minorHAnsi"/>
                <w:color w:val="0D0D0D" w:themeColor="text1" w:themeTint="F2"/>
                <w:sz w:val="20"/>
                <w:szCs w:val="20"/>
              </w:rPr>
            </w:pPr>
          </w:p>
        </w:tc>
        <w:tc>
          <w:tcPr>
            <w:tcW w:w="1256" w:type="dxa"/>
            <w:tcBorders>
              <w:top w:val="nil"/>
              <w:left w:val="nil"/>
              <w:bottom w:val="nil"/>
              <w:right w:val="nil"/>
            </w:tcBorders>
            <w:shd w:val="clear" w:color="000000" w:fill="FFFFFF"/>
            <w:noWrap/>
            <w:vAlign w:val="bottom"/>
            <w:hideMark/>
          </w:tcPr>
          <w:p w14:paraId="551C46F6" w14:textId="25254C9B" w:rsidR="002A66B3" w:rsidRPr="00F51774" w:rsidRDefault="002A66B3" w:rsidP="002A66B3">
            <w:pPr>
              <w:jc w:val="right"/>
              <w:rPr>
                <w:rFonts w:cstheme="minorHAnsi"/>
                <w:color w:val="0D0D0D" w:themeColor="text1" w:themeTint="F2"/>
                <w:sz w:val="20"/>
                <w:szCs w:val="20"/>
              </w:rPr>
            </w:pPr>
          </w:p>
        </w:tc>
        <w:tc>
          <w:tcPr>
            <w:tcW w:w="1068" w:type="dxa"/>
            <w:tcBorders>
              <w:top w:val="nil"/>
              <w:left w:val="nil"/>
              <w:bottom w:val="nil"/>
              <w:right w:val="single" w:sz="8" w:space="0" w:color="000000"/>
            </w:tcBorders>
            <w:shd w:val="clear" w:color="000000" w:fill="FFFFFF"/>
            <w:noWrap/>
            <w:vAlign w:val="bottom"/>
            <w:hideMark/>
          </w:tcPr>
          <w:p w14:paraId="38DB25E2" w14:textId="62FC1984" w:rsidR="002A66B3" w:rsidRPr="00F51774" w:rsidRDefault="002A66B3" w:rsidP="002A66B3">
            <w:pPr>
              <w:jc w:val="right"/>
              <w:rPr>
                <w:rFonts w:cstheme="minorHAnsi"/>
                <w:color w:val="0D0D0D" w:themeColor="text1" w:themeTint="F2"/>
                <w:sz w:val="20"/>
                <w:szCs w:val="20"/>
              </w:rPr>
            </w:pPr>
          </w:p>
        </w:tc>
        <w:tc>
          <w:tcPr>
            <w:tcW w:w="1186" w:type="dxa"/>
            <w:tcBorders>
              <w:top w:val="nil"/>
              <w:left w:val="nil"/>
              <w:bottom w:val="nil"/>
              <w:right w:val="nil"/>
            </w:tcBorders>
            <w:shd w:val="clear" w:color="000000" w:fill="FFFFFF"/>
            <w:noWrap/>
            <w:vAlign w:val="bottom"/>
            <w:hideMark/>
          </w:tcPr>
          <w:p w14:paraId="4A4912C3" w14:textId="32D718DC" w:rsidR="002A66B3" w:rsidRPr="00F51774" w:rsidRDefault="002A66B3" w:rsidP="002A66B3">
            <w:pPr>
              <w:jc w:val="right"/>
              <w:rPr>
                <w:rFonts w:cstheme="minorHAnsi"/>
                <w:sz w:val="20"/>
                <w:szCs w:val="20"/>
              </w:rPr>
            </w:pPr>
          </w:p>
        </w:tc>
        <w:tc>
          <w:tcPr>
            <w:tcW w:w="1256" w:type="dxa"/>
            <w:tcBorders>
              <w:top w:val="nil"/>
              <w:left w:val="nil"/>
              <w:bottom w:val="nil"/>
              <w:right w:val="nil"/>
            </w:tcBorders>
            <w:shd w:val="clear" w:color="000000" w:fill="FFFFFF"/>
            <w:noWrap/>
            <w:vAlign w:val="bottom"/>
            <w:hideMark/>
          </w:tcPr>
          <w:p w14:paraId="70619D80" w14:textId="2F766D21" w:rsidR="002A66B3" w:rsidRPr="00F51774" w:rsidRDefault="002A66B3" w:rsidP="002A66B3">
            <w:pPr>
              <w:jc w:val="right"/>
              <w:rPr>
                <w:rFonts w:cstheme="minorHAnsi"/>
                <w:sz w:val="20"/>
                <w:szCs w:val="20"/>
              </w:rPr>
            </w:pPr>
          </w:p>
        </w:tc>
        <w:tc>
          <w:tcPr>
            <w:tcW w:w="1068" w:type="dxa"/>
            <w:tcBorders>
              <w:top w:val="nil"/>
              <w:left w:val="nil"/>
              <w:bottom w:val="nil"/>
            </w:tcBorders>
            <w:shd w:val="clear" w:color="000000" w:fill="FFFFFF"/>
            <w:noWrap/>
            <w:vAlign w:val="bottom"/>
            <w:hideMark/>
          </w:tcPr>
          <w:p w14:paraId="6BE42F75" w14:textId="0D7B3C7E" w:rsidR="002A66B3" w:rsidRPr="00F51774" w:rsidRDefault="002A66B3" w:rsidP="002A66B3">
            <w:pPr>
              <w:jc w:val="right"/>
              <w:rPr>
                <w:rFonts w:cstheme="minorHAnsi"/>
                <w:sz w:val="20"/>
                <w:szCs w:val="20"/>
              </w:rPr>
            </w:pPr>
          </w:p>
        </w:tc>
      </w:tr>
      <w:tr w:rsidR="002A66B3" w:rsidRPr="002A66B3" w14:paraId="18571DFF" w14:textId="77777777" w:rsidTr="00E85A09">
        <w:trPr>
          <w:trHeight w:val="300"/>
          <w:jc w:val="center"/>
        </w:trPr>
        <w:tc>
          <w:tcPr>
            <w:tcW w:w="3330" w:type="dxa"/>
            <w:tcBorders>
              <w:top w:val="nil"/>
              <w:left w:val="nil"/>
              <w:bottom w:val="nil"/>
              <w:right w:val="nil"/>
            </w:tcBorders>
            <w:shd w:val="clear" w:color="000000" w:fill="FFFFFF"/>
            <w:noWrap/>
            <w:vAlign w:val="bottom"/>
            <w:hideMark/>
          </w:tcPr>
          <w:p w14:paraId="3A318D2D" w14:textId="77777777" w:rsidR="002A66B3" w:rsidRPr="00F51774" w:rsidRDefault="002A66B3" w:rsidP="00F51774">
            <w:pPr>
              <w:ind w:left="255"/>
              <w:rPr>
                <w:rFonts w:cstheme="minorHAnsi"/>
                <w:sz w:val="20"/>
                <w:szCs w:val="20"/>
              </w:rPr>
            </w:pPr>
            <w:r w:rsidRPr="00F51774">
              <w:rPr>
                <w:rFonts w:cstheme="minorHAnsi"/>
                <w:sz w:val="20"/>
                <w:szCs w:val="20"/>
              </w:rPr>
              <w:t>Accounts payable and other liabilities</w:t>
            </w:r>
          </w:p>
        </w:tc>
        <w:tc>
          <w:tcPr>
            <w:tcW w:w="1144" w:type="dxa"/>
            <w:tcBorders>
              <w:top w:val="nil"/>
              <w:left w:val="nil"/>
              <w:bottom w:val="nil"/>
              <w:right w:val="nil"/>
            </w:tcBorders>
            <w:shd w:val="clear" w:color="000000" w:fill="FFFFFF"/>
            <w:noWrap/>
            <w:vAlign w:val="bottom"/>
            <w:hideMark/>
          </w:tcPr>
          <w:p w14:paraId="1A01C593" w14:textId="77777777" w:rsidR="002A66B3" w:rsidRPr="00F51774" w:rsidRDefault="002A66B3" w:rsidP="002A66B3">
            <w:pPr>
              <w:jc w:val="right"/>
              <w:rPr>
                <w:rFonts w:cstheme="minorHAnsi"/>
                <w:color w:val="0D0D0D" w:themeColor="text1" w:themeTint="F2"/>
                <w:sz w:val="20"/>
                <w:szCs w:val="20"/>
              </w:rPr>
            </w:pPr>
            <w:r w:rsidRPr="00F51774">
              <w:rPr>
                <w:rFonts w:cstheme="minorHAnsi"/>
                <w:color w:val="0D0D0D" w:themeColor="text1" w:themeTint="F2"/>
                <w:sz w:val="20"/>
                <w:szCs w:val="20"/>
              </w:rPr>
              <w:t>-</w:t>
            </w:r>
          </w:p>
        </w:tc>
        <w:tc>
          <w:tcPr>
            <w:tcW w:w="1256" w:type="dxa"/>
            <w:tcBorders>
              <w:top w:val="nil"/>
              <w:left w:val="nil"/>
              <w:bottom w:val="nil"/>
              <w:right w:val="nil"/>
            </w:tcBorders>
            <w:shd w:val="clear" w:color="000000" w:fill="FFFFFF"/>
            <w:noWrap/>
            <w:vAlign w:val="bottom"/>
            <w:hideMark/>
          </w:tcPr>
          <w:p w14:paraId="51056427" w14:textId="77777777" w:rsidR="002A66B3" w:rsidRPr="00F51774" w:rsidRDefault="002A66B3" w:rsidP="002A66B3">
            <w:pPr>
              <w:jc w:val="right"/>
              <w:rPr>
                <w:rFonts w:cstheme="minorHAnsi"/>
                <w:color w:val="0D0D0D" w:themeColor="text1" w:themeTint="F2"/>
                <w:sz w:val="20"/>
                <w:szCs w:val="20"/>
              </w:rPr>
            </w:pPr>
            <w:r w:rsidRPr="00F51774">
              <w:rPr>
                <w:rFonts w:cstheme="minorHAnsi"/>
                <w:color w:val="0D0D0D" w:themeColor="text1" w:themeTint="F2"/>
                <w:sz w:val="20"/>
                <w:szCs w:val="20"/>
              </w:rPr>
              <w:t>-</w:t>
            </w:r>
          </w:p>
        </w:tc>
        <w:tc>
          <w:tcPr>
            <w:tcW w:w="1068" w:type="dxa"/>
            <w:tcBorders>
              <w:top w:val="nil"/>
              <w:left w:val="nil"/>
              <w:bottom w:val="nil"/>
              <w:right w:val="single" w:sz="8" w:space="0" w:color="000000"/>
            </w:tcBorders>
            <w:shd w:val="clear" w:color="000000" w:fill="FFFFFF"/>
            <w:noWrap/>
            <w:vAlign w:val="bottom"/>
            <w:hideMark/>
          </w:tcPr>
          <w:p w14:paraId="56E01E82" w14:textId="77777777" w:rsidR="002A66B3" w:rsidRPr="00F51774" w:rsidRDefault="002A66B3" w:rsidP="002A66B3">
            <w:pPr>
              <w:jc w:val="right"/>
              <w:rPr>
                <w:rFonts w:cstheme="minorHAnsi"/>
                <w:color w:val="0D0D0D" w:themeColor="text1" w:themeTint="F2"/>
                <w:sz w:val="20"/>
                <w:szCs w:val="20"/>
              </w:rPr>
            </w:pPr>
            <w:r w:rsidRPr="00F51774">
              <w:rPr>
                <w:rFonts w:cstheme="minorHAnsi"/>
                <w:color w:val="0D0D0D" w:themeColor="text1" w:themeTint="F2"/>
                <w:sz w:val="20"/>
                <w:szCs w:val="20"/>
              </w:rPr>
              <w:t>5</w:t>
            </w:r>
          </w:p>
        </w:tc>
        <w:tc>
          <w:tcPr>
            <w:tcW w:w="1186" w:type="dxa"/>
            <w:tcBorders>
              <w:top w:val="nil"/>
              <w:left w:val="nil"/>
              <w:bottom w:val="nil"/>
              <w:right w:val="nil"/>
            </w:tcBorders>
            <w:shd w:val="clear" w:color="000000" w:fill="FFFFFF"/>
            <w:noWrap/>
            <w:vAlign w:val="bottom"/>
            <w:hideMark/>
          </w:tcPr>
          <w:p w14:paraId="6EFF421B" w14:textId="77777777" w:rsidR="002A66B3" w:rsidRPr="00F51774" w:rsidRDefault="002A66B3" w:rsidP="002A66B3">
            <w:pPr>
              <w:jc w:val="right"/>
              <w:rPr>
                <w:rFonts w:cstheme="minorHAnsi"/>
                <w:sz w:val="20"/>
                <w:szCs w:val="20"/>
              </w:rPr>
            </w:pPr>
            <w:r w:rsidRPr="00F51774">
              <w:rPr>
                <w:rFonts w:cstheme="minorHAnsi"/>
                <w:color w:val="0D0D0D" w:themeColor="text1" w:themeTint="F2"/>
                <w:sz w:val="20"/>
                <w:szCs w:val="20"/>
              </w:rPr>
              <w:t>-</w:t>
            </w:r>
          </w:p>
        </w:tc>
        <w:tc>
          <w:tcPr>
            <w:tcW w:w="1256" w:type="dxa"/>
            <w:tcBorders>
              <w:top w:val="nil"/>
              <w:left w:val="nil"/>
              <w:bottom w:val="nil"/>
              <w:right w:val="nil"/>
            </w:tcBorders>
            <w:shd w:val="clear" w:color="000000" w:fill="FFFFFF"/>
            <w:noWrap/>
            <w:vAlign w:val="bottom"/>
            <w:hideMark/>
          </w:tcPr>
          <w:p w14:paraId="519800B1" w14:textId="77777777" w:rsidR="002A66B3" w:rsidRPr="00F51774" w:rsidRDefault="002A66B3" w:rsidP="002A66B3">
            <w:pPr>
              <w:jc w:val="right"/>
              <w:rPr>
                <w:rFonts w:cstheme="minorHAnsi"/>
                <w:sz w:val="20"/>
                <w:szCs w:val="20"/>
              </w:rPr>
            </w:pPr>
            <w:r w:rsidRPr="00F51774">
              <w:rPr>
                <w:rFonts w:cstheme="minorHAnsi"/>
                <w:color w:val="0D0D0D" w:themeColor="text1" w:themeTint="F2"/>
                <w:sz w:val="20"/>
                <w:szCs w:val="20"/>
              </w:rPr>
              <w:t>-</w:t>
            </w:r>
          </w:p>
        </w:tc>
        <w:tc>
          <w:tcPr>
            <w:tcW w:w="1068" w:type="dxa"/>
            <w:tcBorders>
              <w:top w:val="nil"/>
              <w:left w:val="nil"/>
              <w:bottom w:val="nil"/>
            </w:tcBorders>
            <w:shd w:val="clear" w:color="000000" w:fill="FFFFFF"/>
            <w:noWrap/>
            <w:vAlign w:val="bottom"/>
            <w:hideMark/>
          </w:tcPr>
          <w:p w14:paraId="4F5F5BF1" w14:textId="77777777" w:rsidR="002A66B3" w:rsidRPr="00F51774" w:rsidRDefault="002A66B3" w:rsidP="002A66B3">
            <w:pPr>
              <w:jc w:val="right"/>
              <w:rPr>
                <w:rFonts w:cstheme="minorHAnsi"/>
                <w:sz w:val="20"/>
                <w:szCs w:val="20"/>
              </w:rPr>
            </w:pPr>
            <w:r w:rsidRPr="00F51774">
              <w:rPr>
                <w:rFonts w:cstheme="minorHAnsi"/>
                <w:color w:val="0D0D0D" w:themeColor="text1" w:themeTint="F2"/>
                <w:sz w:val="20"/>
                <w:szCs w:val="20"/>
              </w:rPr>
              <w:t>-</w:t>
            </w:r>
          </w:p>
        </w:tc>
      </w:tr>
      <w:tr w:rsidR="002A66B3" w:rsidRPr="002A66B3" w14:paraId="793CEBA1" w14:textId="77777777" w:rsidTr="00E85A09">
        <w:trPr>
          <w:trHeight w:val="300"/>
          <w:jc w:val="center"/>
        </w:trPr>
        <w:tc>
          <w:tcPr>
            <w:tcW w:w="3330" w:type="dxa"/>
            <w:tcBorders>
              <w:top w:val="nil"/>
              <w:left w:val="nil"/>
              <w:bottom w:val="nil"/>
              <w:right w:val="nil"/>
            </w:tcBorders>
            <w:shd w:val="clear" w:color="000000" w:fill="FFFFFF"/>
            <w:noWrap/>
            <w:vAlign w:val="bottom"/>
            <w:hideMark/>
          </w:tcPr>
          <w:p w14:paraId="61267343" w14:textId="393C09A5" w:rsidR="002A66B3" w:rsidRPr="00F51774" w:rsidRDefault="002A66B3" w:rsidP="00F51774">
            <w:pPr>
              <w:ind w:left="255"/>
              <w:rPr>
                <w:rFonts w:cstheme="minorHAnsi"/>
                <w:sz w:val="20"/>
                <w:szCs w:val="20"/>
              </w:rPr>
            </w:pPr>
            <w:r w:rsidRPr="00F51774">
              <w:rPr>
                <w:rFonts w:cstheme="minorHAnsi"/>
                <w:sz w:val="20"/>
                <w:szCs w:val="20"/>
              </w:rPr>
              <w:t>Requested by beneficiaries</w:t>
            </w:r>
          </w:p>
        </w:tc>
        <w:tc>
          <w:tcPr>
            <w:tcW w:w="1144" w:type="dxa"/>
            <w:tcBorders>
              <w:top w:val="nil"/>
              <w:left w:val="nil"/>
              <w:bottom w:val="nil"/>
              <w:right w:val="nil"/>
            </w:tcBorders>
            <w:shd w:val="clear" w:color="000000" w:fill="FFFFFF"/>
            <w:noWrap/>
            <w:vAlign w:val="bottom"/>
            <w:hideMark/>
          </w:tcPr>
          <w:p w14:paraId="1B20B0F3" w14:textId="77777777" w:rsidR="002A66B3" w:rsidRPr="00F51774" w:rsidRDefault="002A66B3" w:rsidP="002A66B3">
            <w:pPr>
              <w:jc w:val="right"/>
              <w:rPr>
                <w:rFonts w:cstheme="minorHAnsi"/>
                <w:color w:val="0D0D0D" w:themeColor="text1" w:themeTint="F2"/>
                <w:sz w:val="20"/>
                <w:szCs w:val="20"/>
              </w:rPr>
            </w:pPr>
            <w:r w:rsidRPr="00F51774">
              <w:rPr>
                <w:rFonts w:cstheme="minorHAnsi"/>
                <w:color w:val="0D0D0D" w:themeColor="text1" w:themeTint="F2"/>
                <w:sz w:val="20"/>
                <w:szCs w:val="20"/>
              </w:rPr>
              <w:t>-</w:t>
            </w:r>
          </w:p>
        </w:tc>
        <w:tc>
          <w:tcPr>
            <w:tcW w:w="1256" w:type="dxa"/>
            <w:tcBorders>
              <w:top w:val="nil"/>
              <w:left w:val="nil"/>
              <w:bottom w:val="nil"/>
              <w:right w:val="nil"/>
            </w:tcBorders>
            <w:shd w:val="clear" w:color="000000" w:fill="FFFFFF"/>
            <w:noWrap/>
            <w:vAlign w:val="bottom"/>
            <w:hideMark/>
          </w:tcPr>
          <w:p w14:paraId="50312B6D" w14:textId="77777777" w:rsidR="002A66B3" w:rsidRPr="00F51774" w:rsidRDefault="002A66B3" w:rsidP="002A66B3">
            <w:pPr>
              <w:jc w:val="right"/>
              <w:rPr>
                <w:rFonts w:cstheme="minorHAnsi"/>
                <w:color w:val="0D0D0D" w:themeColor="text1" w:themeTint="F2"/>
                <w:sz w:val="20"/>
                <w:szCs w:val="20"/>
              </w:rPr>
            </w:pPr>
            <w:r w:rsidRPr="00F51774">
              <w:rPr>
                <w:rFonts w:cstheme="minorHAnsi"/>
                <w:color w:val="0D0D0D" w:themeColor="text1" w:themeTint="F2"/>
                <w:sz w:val="20"/>
                <w:szCs w:val="20"/>
              </w:rPr>
              <w:t>-</w:t>
            </w:r>
          </w:p>
        </w:tc>
        <w:tc>
          <w:tcPr>
            <w:tcW w:w="1068" w:type="dxa"/>
            <w:tcBorders>
              <w:top w:val="nil"/>
              <w:left w:val="nil"/>
              <w:bottom w:val="nil"/>
              <w:right w:val="single" w:sz="8" w:space="0" w:color="000000"/>
            </w:tcBorders>
            <w:shd w:val="clear" w:color="000000" w:fill="FFFFFF"/>
            <w:noWrap/>
            <w:vAlign w:val="bottom"/>
            <w:hideMark/>
          </w:tcPr>
          <w:p w14:paraId="095BC393" w14:textId="77777777" w:rsidR="002A66B3" w:rsidRPr="00F51774" w:rsidRDefault="002A66B3" w:rsidP="002A66B3">
            <w:pPr>
              <w:jc w:val="right"/>
              <w:rPr>
                <w:rFonts w:cstheme="minorHAnsi"/>
                <w:color w:val="0D0D0D" w:themeColor="text1" w:themeTint="F2"/>
                <w:sz w:val="20"/>
                <w:szCs w:val="20"/>
              </w:rPr>
            </w:pPr>
            <w:r w:rsidRPr="00F51774">
              <w:rPr>
                <w:rFonts w:cstheme="minorHAnsi"/>
                <w:color w:val="0D0D0D" w:themeColor="text1" w:themeTint="F2"/>
                <w:sz w:val="20"/>
                <w:szCs w:val="20"/>
              </w:rPr>
              <w:t xml:space="preserve">- </w:t>
            </w:r>
          </w:p>
        </w:tc>
        <w:tc>
          <w:tcPr>
            <w:tcW w:w="1186" w:type="dxa"/>
            <w:tcBorders>
              <w:top w:val="nil"/>
              <w:left w:val="nil"/>
              <w:bottom w:val="nil"/>
              <w:right w:val="nil"/>
            </w:tcBorders>
            <w:shd w:val="clear" w:color="000000" w:fill="FFFFFF"/>
            <w:noWrap/>
            <w:vAlign w:val="bottom"/>
            <w:hideMark/>
          </w:tcPr>
          <w:p w14:paraId="206AA31D" w14:textId="77777777" w:rsidR="002A66B3" w:rsidRPr="00F51774" w:rsidRDefault="002A66B3" w:rsidP="002A66B3">
            <w:pPr>
              <w:jc w:val="right"/>
              <w:rPr>
                <w:rFonts w:cstheme="minorHAnsi"/>
                <w:sz w:val="20"/>
                <w:szCs w:val="20"/>
              </w:rPr>
            </w:pPr>
            <w:r w:rsidRPr="00F51774">
              <w:rPr>
                <w:rFonts w:cstheme="minorHAnsi"/>
                <w:color w:val="0D0D0D" w:themeColor="text1" w:themeTint="F2"/>
                <w:sz w:val="20"/>
                <w:szCs w:val="20"/>
              </w:rPr>
              <w:t>-</w:t>
            </w:r>
          </w:p>
        </w:tc>
        <w:tc>
          <w:tcPr>
            <w:tcW w:w="1256" w:type="dxa"/>
            <w:tcBorders>
              <w:top w:val="nil"/>
              <w:left w:val="nil"/>
              <w:bottom w:val="nil"/>
              <w:right w:val="nil"/>
            </w:tcBorders>
            <w:shd w:val="clear" w:color="000000" w:fill="FFFFFF"/>
            <w:noWrap/>
            <w:vAlign w:val="bottom"/>
            <w:hideMark/>
          </w:tcPr>
          <w:p w14:paraId="360058AB" w14:textId="77777777" w:rsidR="002A66B3" w:rsidRPr="00F51774" w:rsidRDefault="002A66B3" w:rsidP="002A66B3">
            <w:pPr>
              <w:jc w:val="right"/>
              <w:rPr>
                <w:rFonts w:cstheme="minorHAnsi"/>
                <w:sz w:val="20"/>
                <w:szCs w:val="20"/>
              </w:rPr>
            </w:pPr>
            <w:r w:rsidRPr="00F51774">
              <w:rPr>
                <w:rFonts w:cstheme="minorHAnsi"/>
                <w:color w:val="0D0D0D" w:themeColor="text1" w:themeTint="F2"/>
                <w:sz w:val="20"/>
                <w:szCs w:val="20"/>
              </w:rPr>
              <w:t>34,148</w:t>
            </w:r>
          </w:p>
        </w:tc>
        <w:tc>
          <w:tcPr>
            <w:tcW w:w="1068" w:type="dxa"/>
            <w:tcBorders>
              <w:top w:val="nil"/>
              <w:left w:val="nil"/>
              <w:bottom w:val="nil"/>
            </w:tcBorders>
            <w:shd w:val="clear" w:color="000000" w:fill="FFFFFF"/>
            <w:noWrap/>
            <w:vAlign w:val="bottom"/>
            <w:hideMark/>
          </w:tcPr>
          <w:p w14:paraId="46565663" w14:textId="77777777" w:rsidR="002A66B3" w:rsidRPr="00F51774" w:rsidRDefault="002A66B3" w:rsidP="002A66B3">
            <w:pPr>
              <w:jc w:val="right"/>
              <w:rPr>
                <w:rFonts w:cstheme="minorHAnsi"/>
                <w:sz w:val="20"/>
                <w:szCs w:val="20"/>
              </w:rPr>
            </w:pPr>
            <w:r w:rsidRPr="00F51774">
              <w:rPr>
                <w:rFonts w:cstheme="minorHAnsi"/>
                <w:color w:val="0D0D0D" w:themeColor="text1" w:themeTint="F2"/>
                <w:sz w:val="20"/>
                <w:szCs w:val="20"/>
              </w:rPr>
              <w:t>-</w:t>
            </w:r>
          </w:p>
        </w:tc>
      </w:tr>
      <w:tr w:rsidR="002A66B3" w:rsidRPr="002A66B3" w14:paraId="6D2EDAFE" w14:textId="77777777" w:rsidTr="00E85A09">
        <w:trPr>
          <w:trHeight w:val="300"/>
          <w:jc w:val="center"/>
        </w:trPr>
        <w:tc>
          <w:tcPr>
            <w:tcW w:w="3330" w:type="dxa"/>
            <w:tcBorders>
              <w:top w:val="single" w:sz="4" w:space="0" w:color="000000"/>
              <w:left w:val="nil"/>
              <w:bottom w:val="single" w:sz="4" w:space="0" w:color="000000"/>
              <w:right w:val="nil"/>
            </w:tcBorders>
            <w:shd w:val="clear" w:color="000000" w:fill="FFFFFF"/>
            <w:noWrap/>
            <w:vAlign w:val="bottom"/>
            <w:hideMark/>
          </w:tcPr>
          <w:p w14:paraId="31286D42" w14:textId="77777777" w:rsidR="002A66B3" w:rsidRPr="00F51774" w:rsidRDefault="002A66B3" w:rsidP="002A66B3">
            <w:pPr>
              <w:rPr>
                <w:rFonts w:cstheme="minorHAnsi"/>
                <w:b/>
                <w:bCs/>
              </w:rPr>
            </w:pPr>
            <w:r w:rsidRPr="00F51774">
              <w:rPr>
                <w:rFonts w:cstheme="minorHAnsi"/>
                <w:b/>
                <w:bCs/>
              </w:rPr>
              <w:t>Total Liabilities</w:t>
            </w:r>
          </w:p>
        </w:tc>
        <w:tc>
          <w:tcPr>
            <w:tcW w:w="1144" w:type="dxa"/>
            <w:tcBorders>
              <w:top w:val="single" w:sz="4" w:space="0" w:color="000000"/>
              <w:left w:val="nil"/>
              <w:bottom w:val="single" w:sz="4" w:space="0" w:color="000000"/>
              <w:right w:val="nil"/>
            </w:tcBorders>
            <w:shd w:val="clear" w:color="000000" w:fill="FFFFFF"/>
            <w:noWrap/>
            <w:vAlign w:val="bottom"/>
            <w:hideMark/>
          </w:tcPr>
          <w:p w14:paraId="76F45ADC" w14:textId="77777777" w:rsidR="002A66B3" w:rsidRPr="00F51774" w:rsidRDefault="002A66B3" w:rsidP="002A66B3">
            <w:pPr>
              <w:jc w:val="right"/>
              <w:rPr>
                <w:rFonts w:cstheme="minorHAnsi"/>
                <w:color w:val="0D0D0D" w:themeColor="text1" w:themeTint="F2"/>
                <w:sz w:val="20"/>
                <w:szCs w:val="20"/>
              </w:rPr>
            </w:pPr>
            <w:r w:rsidRPr="00F51774">
              <w:rPr>
                <w:rFonts w:cstheme="minorHAnsi"/>
                <w:color w:val="0D0D0D" w:themeColor="text1" w:themeTint="F2"/>
                <w:sz w:val="20"/>
                <w:szCs w:val="20"/>
              </w:rPr>
              <w:t>-</w:t>
            </w:r>
          </w:p>
        </w:tc>
        <w:tc>
          <w:tcPr>
            <w:tcW w:w="1256" w:type="dxa"/>
            <w:tcBorders>
              <w:top w:val="single" w:sz="4" w:space="0" w:color="000000"/>
              <w:left w:val="nil"/>
              <w:bottom w:val="single" w:sz="4" w:space="0" w:color="000000"/>
              <w:right w:val="nil"/>
            </w:tcBorders>
            <w:shd w:val="clear" w:color="000000" w:fill="FFFFFF"/>
            <w:noWrap/>
            <w:vAlign w:val="bottom"/>
            <w:hideMark/>
          </w:tcPr>
          <w:p w14:paraId="174E9A9E" w14:textId="77777777" w:rsidR="002A66B3" w:rsidRPr="00F51774" w:rsidRDefault="002A66B3" w:rsidP="002A66B3">
            <w:pPr>
              <w:jc w:val="right"/>
              <w:rPr>
                <w:rFonts w:cstheme="minorHAnsi"/>
                <w:color w:val="0D0D0D" w:themeColor="text1" w:themeTint="F2"/>
                <w:sz w:val="20"/>
                <w:szCs w:val="20"/>
              </w:rPr>
            </w:pPr>
            <w:r w:rsidRPr="00F51774">
              <w:rPr>
                <w:rFonts w:cstheme="minorHAnsi"/>
                <w:color w:val="0D0D0D" w:themeColor="text1" w:themeTint="F2"/>
                <w:sz w:val="20"/>
                <w:szCs w:val="20"/>
              </w:rPr>
              <w:t>-</w:t>
            </w:r>
          </w:p>
        </w:tc>
        <w:tc>
          <w:tcPr>
            <w:tcW w:w="1068" w:type="dxa"/>
            <w:tcBorders>
              <w:top w:val="single" w:sz="4" w:space="0" w:color="000000"/>
              <w:left w:val="nil"/>
              <w:bottom w:val="single" w:sz="4" w:space="0" w:color="000000"/>
              <w:right w:val="single" w:sz="8" w:space="0" w:color="000000"/>
            </w:tcBorders>
            <w:shd w:val="clear" w:color="000000" w:fill="FFFFFF"/>
            <w:noWrap/>
            <w:vAlign w:val="bottom"/>
            <w:hideMark/>
          </w:tcPr>
          <w:p w14:paraId="3D8E5A11" w14:textId="77777777" w:rsidR="002A66B3" w:rsidRPr="00F51774" w:rsidRDefault="002A66B3" w:rsidP="002A66B3">
            <w:pPr>
              <w:jc w:val="right"/>
              <w:rPr>
                <w:rFonts w:cstheme="minorHAnsi"/>
                <w:color w:val="0D0D0D" w:themeColor="text1" w:themeTint="F2"/>
                <w:sz w:val="20"/>
                <w:szCs w:val="20"/>
              </w:rPr>
            </w:pPr>
            <w:r w:rsidRPr="00F51774">
              <w:rPr>
                <w:rFonts w:cstheme="minorHAnsi"/>
                <w:color w:val="0D0D0D" w:themeColor="text1" w:themeTint="F2"/>
                <w:sz w:val="20"/>
                <w:szCs w:val="20"/>
              </w:rPr>
              <w:t>5</w:t>
            </w:r>
          </w:p>
        </w:tc>
        <w:tc>
          <w:tcPr>
            <w:tcW w:w="1186" w:type="dxa"/>
            <w:tcBorders>
              <w:top w:val="single" w:sz="4" w:space="0" w:color="000000"/>
              <w:left w:val="nil"/>
              <w:bottom w:val="single" w:sz="4" w:space="0" w:color="000000"/>
              <w:right w:val="nil"/>
            </w:tcBorders>
            <w:shd w:val="clear" w:color="000000" w:fill="FFFFFF"/>
            <w:noWrap/>
            <w:vAlign w:val="bottom"/>
            <w:hideMark/>
          </w:tcPr>
          <w:p w14:paraId="192220A2" w14:textId="77777777" w:rsidR="002A66B3" w:rsidRPr="00F51774" w:rsidRDefault="002A66B3" w:rsidP="002A66B3">
            <w:pPr>
              <w:jc w:val="right"/>
              <w:rPr>
                <w:rFonts w:cstheme="minorHAnsi"/>
                <w:sz w:val="20"/>
                <w:szCs w:val="20"/>
              </w:rPr>
            </w:pPr>
            <w:r w:rsidRPr="00F51774">
              <w:rPr>
                <w:rFonts w:cstheme="minorHAnsi"/>
                <w:color w:val="0D0D0D" w:themeColor="text1" w:themeTint="F2"/>
                <w:sz w:val="20"/>
                <w:szCs w:val="20"/>
              </w:rPr>
              <w:t>-</w:t>
            </w:r>
          </w:p>
        </w:tc>
        <w:tc>
          <w:tcPr>
            <w:tcW w:w="1256" w:type="dxa"/>
            <w:tcBorders>
              <w:top w:val="single" w:sz="4" w:space="0" w:color="000000"/>
              <w:left w:val="nil"/>
              <w:bottom w:val="single" w:sz="4" w:space="0" w:color="000000"/>
              <w:right w:val="nil"/>
            </w:tcBorders>
            <w:shd w:val="clear" w:color="000000" w:fill="FFFFFF"/>
            <w:noWrap/>
            <w:vAlign w:val="bottom"/>
            <w:hideMark/>
          </w:tcPr>
          <w:p w14:paraId="4D4AB441" w14:textId="77777777" w:rsidR="002A66B3" w:rsidRPr="00F51774" w:rsidRDefault="002A66B3" w:rsidP="002A66B3">
            <w:pPr>
              <w:jc w:val="right"/>
              <w:rPr>
                <w:rFonts w:cstheme="minorHAnsi"/>
                <w:sz w:val="20"/>
                <w:szCs w:val="20"/>
              </w:rPr>
            </w:pPr>
            <w:r w:rsidRPr="00F51774">
              <w:rPr>
                <w:rFonts w:cstheme="minorHAnsi"/>
                <w:color w:val="0D0D0D" w:themeColor="text1" w:themeTint="F2"/>
                <w:sz w:val="20"/>
                <w:szCs w:val="20"/>
              </w:rPr>
              <w:t>34,148</w:t>
            </w:r>
          </w:p>
        </w:tc>
        <w:tc>
          <w:tcPr>
            <w:tcW w:w="1068" w:type="dxa"/>
            <w:tcBorders>
              <w:top w:val="single" w:sz="4" w:space="0" w:color="000000"/>
              <w:left w:val="nil"/>
              <w:bottom w:val="single" w:sz="4" w:space="0" w:color="000000"/>
            </w:tcBorders>
            <w:shd w:val="clear" w:color="000000" w:fill="FFFFFF"/>
            <w:noWrap/>
            <w:vAlign w:val="bottom"/>
            <w:hideMark/>
          </w:tcPr>
          <w:p w14:paraId="45F1ED71" w14:textId="77777777" w:rsidR="002A66B3" w:rsidRPr="00F51774" w:rsidRDefault="002A66B3" w:rsidP="002A66B3">
            <w:pPr>
              <w:jc w:val="right"/>
              <w:rPr>
                <w:rFonts w:cstheme="minorHAnsi"/>
                <w:sz w:val="20"/>
                <w:szCs w:val="20"/>
              </w:rPr>
            </w:pPr>
            <w:r w:rsidRPr="00F51774">
              <w:rPr>
                <w:rFonts w:cstheme="minorHAnsi"/>
                <w:color w:val="0D0D0D" w:themeColor="text1" w:themeTint="F2"/>
                <w:sz w:val="20"/>
                <w:szCs w:val="20"/>
              </w:rPr>
              <w:t>-</w:t>
            </w:r>
          </w:p>
        </w:tc>
      </w:tr>
      <w:tr w:rsidR="002A66B3" w:rsidRPr="002A66B3" w14:paraId="002A1FBA" w14:textId="77777777" w:rsidTr="00E85A09">
        <w:trPr>
          <w:trHeight w:val="503"/>
          <w:jc w:val="center"/>
        </w:trPr>
        <w:tc>
          <w:tcPr>
            <w:tcW w:w="3330" w:type="dxa"/>
            <w:tcBorders>
              <w:top w:val="nil"/>
              <w:left w:val="nil"/>
              <w:bottom w:val="nil"/>
              <w:right w:val="nil"/>
            </w:tcBorders>
            <w:shd w:val="clear" w:color="000000" w:fill="FFFFFF"/>
            <w:noWrap/>
            <w:vAlign w:val="bottom"/>
            <w:hideMark/>
          </w:tcPr>
          <w:p w14:paraId="39944566" w14:textId="77777777" w:rsidR="002A66B3" w:rsidRPr="00F51774" w:rsidRDefault="002A66B3" w:rsidP="002A66B3">
            <w:pPr>
              <w:rPr>
                <w:rFonts w:cstheme="minorHAnsi"/>
                <w:b/>
                <w:bCs/>
                <w:color w:val="000000"/>
              </w:rPr>
            </w:pPr>
            <w:r w:rsidRPr="00F51774">
              <w:rPr>
                <w:rFonts w:cstheme="minorHAnsi"/>
                <w:b/>
                <w:bCs/>
                <w:color w:val="000000"/>
              </w:rPr>
              <w:t>Net Position Restricted for:</w:t>
            </w:r>
          </w:p>
        </w:tc>
        <w:tc>
          <w:tcPr>
            <w:tcW w:w="1144" w:type="dxa"/>
            <w:tcBorders>
              <w:top w:val="nil"/>
              <w:left w:val="nil"/>
              <w:bottom w:val="nil"/>
              <w:right w:val="nil"/>
            </w:tcBorders>
            <w:shd w:val="clear" w:color="000000" w:fill="FFFFFF"/>
            <w:noWrap/>
            <w:vAlign w:val="bottom"/>
            <w:hideMark/>
          </w:tcPr>
          <w:p w14:paraId="08372F1A" w14:textId="6636AF9D" w:rsidR="002A66B3" w:rsidRPr="00F51774" w:rsidRDefault="002A66B3" w:rsidP="002A66B3">
            <w:pPr>
              <w:jc w:val="right"/>
              <w:rPr>
                <w:rFonts w:cstheme="minorHAnsi"/>
                <w:color w:val="0D0D0D" w:themeColor="text1" w:themeTint="F2"/>
                <w:sz w:val="20"/>
                <w:szCs w:val="20"/>
              </w:rPr>
            </w:pPr>
          </w:p>
        </w:tc>
        <w:tc>
          <w:tcPr>
            <w:tcW w:w="1256" w:type="dxa"/>
            <w:tcBorders>
              <w:top w:val="nil"/>
              <w:left w:val="nil"/>
              <w:bottom w:val="nil"/>
              <w:right w:val="nil"/>
            </w:tcBorders>
            <w:shd w:val="clear" w:color="000000" w:fill="FFFFFF"/>
            <w:noWrap/>
            <w:vAlign w:val="bottom"/>
            <w:hideMark/>
          </w:tcPr>
          <w:p w14:paraId="4816B224" w14:textId="0C7CF8C8" w:rsidR="002A66B3" w:rsidRPr="00F51774" w:rsidRDefault="002A66B3" w:rsidP="002A66B3">
            <w:pPr>
              <w:jc w:val="right"/>
              <w:rPr>
                <w:rFonts w:cstheme="minorHAnsi"/>
                <w:color w:val="0D0D0D" w:themeColor="text1" w:themeTint="F2"/>
                <w:sz w:val="20"/>
                <w:szCs w:val="20"/>
              </w:rPr>
            </w:pPr>
          </w:p>
        </w:tc>
        <w:tc>
          <w:tcPr>
            <w:tcW w:w="1068" w:type="dxa"/>
            <w:tcBorders>
              <w:top w:val="nil"/>
              <w:left w:val="nil"/>
              <w:bottom w:val="nil"/>
              <w:right w:val="single" w:sz="8" w:space="0" w:color="000000"/>
            </w:tcBorders>
            <w:shd w:val="clear" w:color="000000" w:fill="FFFFFF"/>
            <w:noWrap/>
            <w:vAlign w:val="bottom"/>
            <w:hideMark/>
          </w:tcPr>
          <w:p w14:paraId="29BCE3AD" w14:textId="3582B89D" w:rsidR="002A66B3" w:rsidRPr="00F51774" w:rsidRDefault="002A66B3" w:rsidP="002A66B3">
            <w:pPr>
              <w:jc w:val="right"/>
              <w:rPr>
                <w:rFonts w:cstheme="minorHAnsi"/>
                <w:color w:val="0D0D0D" w:themeColor="text1" w:themeTint="F2"/>
                <w:sz w:val="20"/>
                <w:szCs w:val="20"/>
              </w:rPr>
            </w:pPr>
          </w:p>
        </w:tc>
        <w:tc>
          <w:tcPr>
            <w:tcW w:w="1186" w:type="dxa"/>
            <w:tcBorders>
              <w:top w:val="nil"/>
              <w:left w:val="nil"/>
              <w:bottom w:val="nil"/>
              <w:right w:val="nil"/>
            </w:tcBorders>
            <w:shd w:val="clear" w:color="000000" w:fill="FFFFFF"/>
            <w:noWrap/>
            <w:vAlign w:val="bottom"/>
            <w:hideMark/>
          </w:tcPr>
          <w:p w14:paraId="4E771A18" w14:textId="079958A2" w:rsidR="002A66B3" w:rsidRPr="00F51774" w:rsidRDefault="002A66B3" w:rsidP="002A66B3">
            <w:pPr>
              <w:jc w:val="right"/>
              <w:rPr>
                <w:rFonts w:cstheme="minorHAnsi"/>
                <w:sz w:val="20"/>
                <w:szCs w:val="20"/>
              </w:rPr>
            </w:pPr>
          </w:p>
        </w:tc>
        <w:tc>
          <w:tcPr>
            <w:tcW w:w="1256" w:type="dxa"/>
            <w:tcBorders>
              <w:top w:val="nil"/>
              <w:left w:val="nil"/>
              <w:bottom w:val="nil"/>
              <w:right w:val="nil"/>
            </w:tcBorders>
            <w:shd w:val="clear" w:color="000000" w:fill="FFFFFF"/>
            <w:noWrap/>
            <w:vAlign w:val="bottom"/>
            <w:hideMark/>
          </w:tcPr>
          <w:p w14:paraId="4A30F80A" w14:textId="6FBE3575" w:rsidR="002A66B3" w:rsidRPr="00F51774" w:rsidRDefault="002A66B3" w:rsidP="002A66B3">
            <w:pPr>
              <w:jc w:val="right"/>
              <w:rPr>
                <w:rFonts w:cstheme="minorHAnsi"/>
                <w:sz w:val="20"/>
                <w:szCs w:val="20"/>
              </w:rPr>
            </w:pPr>
          </w:p>
        </w:tc>
        <w:tc>
          <w:tcPr>
            <w:tcW w:w="1068" w:type="dxa"/>
            <w:tcBorders>
              <w:top w:val="nil"/>
              <w:left w:val="nil"/>
              <w:bottom w:val="nil"/>
            </w:tcBorders>
            <w:shd w:val="clear" w:color="000000" w:fill="FFFFFF"/>
            <w:noWrap/>
            <w:vAlign w:val="bottom"/>
            <w:hideMark/>
          </w:tcPr>
          <w:p w14:paraId="53A871FF" w14:textId="71602CB1" w:rsidR="002A66B3" w:rsidRPr="00F51774" w:rsidRDefault="002A66B3" w:rsidP="002A66B3">
            <w:pPr>
              <w:jc w:val="right"/>
              <w:rPr>
                <w:rFonts w:cstheme="minorHAnsi"/>
                <w:sz w:val="20"/>
                <w:szCs w:val="20"/>
              </w:rPr>
            </w:pPr>
          </w:p>
        </w:tc>
      </w:tr>
      <w:tr w:rsidR="002A66B3" w:rsidRPr="002A66B3" w14:paraId="06CB9D08" w14:textId="77777777" w:rsidTr="00E85A09">
        <w:trPr>
          <w:trHeight w:val="300"/>
          <w:jc w:val="center"/>
        </w:trPr>
        <w:tc>
          <w:tcPr>
            <w:tcW w:w="3330" w:type="dxa"/>
            <w:tcBorders>
              <w:top w:val="nil"/>
              <w:left w:val="nil"/>
              <w:bottom w:val="nil"/>
              <w:right w:val="nil"/>
            </w:tcBorders>
            <w:shd w:val="clear" w:color="000000" w:fill="FFFFFF"/>
            <w:noWrap/>
            <w:vAlign w:val="bottom"/>
            <w:hideMark/>
          </w:tcPr>
          <w:p w14:paraId="6B0FDF1C" w14:textId="2C503C73" w:rsidR="002A66B3" w:rsidRPr="00F51774" w:rsidRDefault="002A66B3" w:rsidP="00F51774">
            <w:pPr>
              <w:ind w:left="255"/>
              <w:rPr>
                <w:rFonts w:cstheme="minorHAnsi"/>
                <w:sz w:val="20"/>
                <w:szCs w:val="20"/>
              </w:rPr>
            </w:pPr>
            <w:r w:rsidRPr="00F51774">
              <w:rPr>
                <w:rFonts w:cstheme="minorHAnsi"/>
                <w:sz w:val="20"/>
                <w:szCs w:val="20"/>
              </w:rPr>
              <w:t>Pensions</w:t>
            </w:r>
          </w:p>
        </w:tc>
        <w:tc>
          <w:tcPr>
            <w:tcW w:w="1144" w:type="dxa"/>
            <w:tcBorders>
              <w:top w:val="nil"/>
              <w:left w:val="nil"/>
              <w:bottom w:val="nil"/>
              <w:right w:val="nil"/>
            </w:tcBorders>
            <w:shd w:val="clear" w:color="000000" w:fill="FFFFFF"/>
            <w:noWrap/>
            <w:vAlign w:val="bottom"/>
            <w:hideMark/>
          </w:tcPr>
          <w:p w14:paraId="5AEF2C62" w14:textId="77777777" w:rsidR="002A66B3" w:rsidRPr="00F51774" w:rsidRDefault="002A66B3" w:rsidP="002A66B3">
            <w:pPr>
              <w:jc w:val="right"/>
              <w:rPr>
                <w:rFonts w:cstheme="minorHAnsi"/>
                <w:color w:val="0D0D0D" w:themeColor="text1" w:themeTint="F2"/>
                <w:sz w:val="20"/>
                <w:szCs w:val="20"/>
              </w:rPr>
            </w:pPr>
            <w:r w:rsidRPr="00F51774">
              <w:rPr>
                <w:rFonts w:cstheme="minorHAnsi"/>
                <w:color w:val="0D0D0D" w:themeColor="text1" w:themeTint="F2"/>
                <w:sz w:val="20"/>
                <w:szCs w:val="20"/>
              </w:rPr>
              <w:t>16,230</w:t>
            </w:r>
          </w:p>
        </w:tc>
        <w:tc>
          <w:tcPr>
            <w:tcW w:w="1256" w:type="dxa"/>
            <w:tcBorders>
              <w:top w:val="nil"/>
              <w:left w:val="nil"/>
              <w:bottom w:val="nil"/>
              <w:right w:val="nil"/>
            </w:tcBorders>
            <w:shd w:val="clear" w:color="000000" w:fill="FFFFFF"/>
            <w:noWrap/>
            <w:vAlign w:val="bottom"/>
            <w:hideMark/>
          </w:tcPr>
          <w:p w14:paraId="24869387" w14:textId="77777777" w:rsidR="002A66B3" w:rsidRPr="00F51774" w:rsidRDefault="002A66B3" w:rsidP="002A66B3">
            <w:pPr>
              <w:jc w:val="right"/>
              <w:rPr>
                <w:rFonts w:cstheme="minorHAnsi"/>
                <w:color w:val="0D0D0D" w:themeColor="text1" w:themeTint="F2"/>
                <w:sz w:val="20"/>
                <w:szCs w:val="20"/>
              </w:rPr>
            </w:pPr>
            <w:r w:rsidRPr="00F51774">
              <w:rPr>
                <w:rFonts w:cstheme="minorHAnsi"/>
                <w:color w:val="0D0D0D" w:themeColor="text1" w:themeTint="F2"/>
                <w:sz w:val="20"/>
                <w:szCs w:val="20"/>
              </w:rPr>
              <w:t>-</w:t>
            </w:r>
          </w:p>
        </w:tc>
        <w:tc>
          <w:tcPr>
            <w:tcW w:w="1068" w:type="dxa"/>
            <w:tcBorders>
              <w:top w:val="nil"/>
              <w:left w:val="nil"/>
              <w:bottom w:val="nil"/>
              <w:right w:val="single" w:sz="8" w:space="0" w:color="000000"/>
            </w:tcBorders>
            <w:shd w:val="clear" w:color="000000" w:fill="FFFFFF"/>
            <w:noWrap/>
            <w:vAlign w:val="bottom"/>
            <w:hideMark/>
          </w:tcPr>
          <w:p w14:paraId="59D67968" w14:textId="77777777" w:rsidR="002A66B3" w:rsidRPr="00F51774" w:rsidRDefault="002A66B3" w:rsidP="002A66B3">
            <w:pPr>
              <w:jc w:val="right"/>
              <w:rPr>
                <w:rFonts w:cstheme="minorHAnsi"/>
                <w:color w:val="0D0D0D" w:themeColor="text1" w:themeTint="F2"/>
                <w:sz w:val="20"/>
                <w:szCs w:val="20"/>
              </w:rPr>
            </w:pPr>
            <w:r w:rsidRPr="00F51774">
              <w:rPr>
                <w:rFonts w:cstheme="minorHAnsi"/>
                <w:color w:val="0D0D0D" w:themeColor="text1" w:themeTint="F2"/>
                <w:sz w:val="20"/>
                <w:szCs w:val="20"/>
              </w:rPr>
              <w:t>-</w:t>
            </w:r>
          </w:p>
        </w:tc>
        <w:tc>
          <w:tcPr>
            <w:tcW w:w="1186" w:type="dxa"/>
            <w:tcBorders>
              <w:top w:val="nil"/>
              <w:left w:val="nil"/>
              <w:bottom w:val="nil"/>
              <w:right w:val="nil"/>
            </w:tcBorders>
            <w:shd w:val="clear" w:color="000000" w:fill="FFFFFF"/>
            <w:noWrap/>
            <w:vAlign w:val="bottom"/>
            <w:hideMark/>
          </w:tcPr>
          <w:p w14:paraId="13FC830B" w14:textId="77777777" w:rsidR="002A66B3" w:rsidRPr="00F51774" w:rsidRDefault="002A66B3" w:rsidP="002A66B3">
            <w:pPr>
              <w:jc w:val="right"/>
              <w:rPr>
                <w:rFonts w:cstheme="minorHAnsi"/>
                <w:sz w:val="20"/>
                <w:szCs w:val="20"/>
              </w:rPr>
            </w:pPr>
            <w:r w:rsidRPr="00F51774">
              <w:rPr>
                <w:rFonts w:cstheme="minorHAnsi"/>
                <w:color w:val="0D0D0D" w:themeColor="text1" w:themeTint="F2"/>
                <w:sz w:val="20"/>
                <w:szCs w:val="20"/>
              </w:rPr>
              <w:t>17,593</w:t>
            </w:r>
          </w:p>
        </w:tc>
        <w:tc>
          <w:tcPr>
            <w:tcW w:w="1256" w:type="dxa"/>
            <w:tcBorders>
              <w:top w:val="nil"/>
              <w:left w:val="nil"/>
              <w:bottom w:val="nil"/>
              <w:right w:val="nil"/>
            </w:tcBorders>
            <w:shd w:val="clear" w:color="000000" w:fill="FFFFFF"/>
            <w:noWrap/>
            <w:vAlign w:val="bottom"/>
            <w:hideMark/>
          </w:tcPr>
          <w:p w14:paraId="593C04ED" w14:textId="77777777" w:rsidR="002A66B3" w:rsidRPr="00F51774" w:rsidRDefault="002A66B3" w:rsidP="002A66B3">
            <w:pPr>
              <w:jc w:val="right"/>
              <w:rPr>
                <w:rFonts w:cstheme="minorHAnsi"/>
                <w:sz w:val="20"/>
                <w:szCs w:val="20"/>
              </w:rPr>
            </w:pPr>
            <w:r w:rsidRPr="00F51774">
              <w:rPr>
                <w:rFonts w:cstheme="minorHAnsi"/>
                <w:color w:val="0D0D0D" w:themeColor="text1" w:themeTint="F2"/>
                <w:sz w:val="20"/>
                <w:szCs w:val="20"/>
              </w:rPr>
              <w:t>-</w:t>
            </w:r>
          </w:p>
        </w:tc>
        <w:tc>
          <w:tcPr>
            <w:tcW w:w="1068" w:type="dxa"/>
            <w:tcBorders>
              <w:top w:val="nil"/>
              <w:left w:val="nil"/>
              <w:bottom w:val="nil"/>
            </w:tcBorders>
            <w:shd w:val="clear" w:color="000000" w:fill="FFFFFF"/>
            <w:noWrap/>
            <w:vAlign w:val="bottom"/>
            <w:hideMark/>
          </w:tcPr>
          <w:p w14:paraId="6E95E052" w14:textId="77777777" w:rsidR="002A66B3" w:rsidRPr="00F51774" w:rsidRDefault="002A66B3" w:rsidP="002A66B3">
            <w:pPr>
              <w:jc w:val="right"/>
              <w:rPr>
                <w:rFonts w:cstheme="minorHAnsi"/>
                <w:sz w:val="20"/>
                <w:szCs w:val="20"/>
              </w:rPr>
            </w:pPr>
            <w:r w:rsidRPr="00F51774">
              <w:rPr>
                <w:rFonts w:cstheme="minorHAnsi"/>
                <w:color w:val="0D0D0D" w:themeColor="text1" w:themeTint="F2"/>
                <w:sz w:val="20"/>
                <w:szCs w:val="20"/>
              </w:rPr>
              <w:t>-</w:t>
            </w:r>
          </w:p>
        </w:tc>
      </w:tr>
      <w:tr w:rsidR="002A66B3" w:rsidRPr="002A66B3" w14:paraId="06350C11" w14:textId="77777777" w:rsidTr="00E85A09">
        <w:trPr>
          <w:trHeight w:val="525"/>
          <w:jc w:val="center"/>
        </w:trPr>
        <w:tc>
          <w:tcPr>
            <w:tcW w:w="3330" w:type="dxa"/>
            <w:tcBorders>
              <w:top w:val="nil"/>
              <w:left w:val="nil"/>
              <w:bottom w:val="nil"/>
              <w:right w:val="nil"/>
            </w:tcBorders>
            <w:shd w:val="clear" w:color="000000" w:fill="FFFFFF"/>
            <w:vAlign w:val="bottom"/>
            <w:hideMark/>
          </w:tcPr>
          <w:p w14:paraId="4C53FD78" w14:textId="126C72B4" w:rsidR="002A66B3" w:rsidRPr="00F51774" w:rsidRDefault="002A66B3" w:rsidP="00F51774">
            <w:pPr>
              <w:ind w:left="255"/>
              <w:rPr>
                <w:rFonts w:cstheme="minorHAnsi"/>
                <w:sz w:val="20"/>
                <w:szCs w:val="20"/>
              </w:rPr>
            </w:pPr>
            <w:r w:rsidRPr="00F51774">
              <w:rPr>
                <w:rFonts w:cstheme="minorHAnsi"/>
                <w:sz w:val="20"/>
                <w:szCs w:val="20"/>
              </w:rPr>
              <w:t>Postemployment benefits other         than pensions</w:t>
            </w:r>
          </w:p>
        </w:tc>
        <w:tc>
          <w:tcPr>
            <w:tcW w:w="1144" w:type="dxa"/>
            <w:tcBorders>
              <w:top w:val="nil"/>
              <w:left w:val="nil"/>
              <w:bottom w:val="nil"/>
              <w:right w:val="nil"/>
            </w:tcBorders>
            <w:shd w:val="clear" w:color="000000" w:fill="FFFFFF"/>
            <w:noWrap/>
            <w:vAlign w:val="bottom"/>
            <w:hideMark/>
          </w:tcPr>
          <w:p w14:paraId="4D2FBBF6" w14:textId="77777777" w:rsidR="002A66B3" w:rsidRPr="00F51774" w:rsidRDefault="002A66B3" w:rsidP="002A66B3">
            <w:pPr>
              <w:jc w:val="right"/>
              <w:rPr>
                <w:rFonts w:cstheme="minorHAnsi"/>
                <w:color w:val="0D0D0D" w:themeColor="text1" w:themeTint="F2"/>
                <w:sz w:val="20"/>
                <w:szCs w:val="20"/>
              </w:rPr>
            </w:pPr>
            <w:r w:rsidRPr="00F51774">
              <w:rPr>
                <w:rFonts w:cstheme="minorHAnsi"/>
                <w:color w:val="0D0D0D" w:themeColor="text1" w:themeTint="F2"/>
                <w:sz w:val="20"/>
                <w:szCs w:val="20"/>
              </w:rPr>
              <w:t>215,091</w:t>
            </w:r>
          </w:p>
        </w:tc>
        <w:tc>
          <w:tcPr>
            <w:tcW w:w="1256" w:type="dxa"/>
            <w:tcBorders>
              <w:top w:val="nil"/>
              <w:left w:val="nil"/>
              <w:bottom w:val="nil"/>
              <w:right w:val="nil"/>
            </w:tcBorders>
            <w:shd w:val="clear" w:color="000000" w:fill="FFFFFF"/>
            <w:noWrap/>
            <w:vAlign w:val="bottom"/>
            <w:hideMark/>
          </w:tcPr>
          <w:p w14:paraId="3B4A9E44" w14:textId="77777777" w:rsidR="002A66B3" w:rsidRPr="00F51774" w:rsidRDefault="002A66B3" w:rsidP="002A66B3">
            <w:pPr>
              <w:jc w:val="right"/>
              <w:rPr>
                <w:rFonts w:cstheme="minorHAnsi"/>
                <w:color w:val="0D0D0D" w:themeColor="text1" w:themeTint="F2"/>
                <w:sz w:val="20"/>
                <w:szCs w:val="20"/>
              </w:rPr>
            </w:pPr>
            <w:r w:rsidRPr="00F51774">
              <w:rPr>
                <w:rFonts w:cstheme="minorHAnsi"/>
                <w:color w:val="0D0D0D" w:themeColor="text1" w:themeTint="F2"/>
                <w:sz w:val="20"/>
                <w:szCs w:val="20"/>
              </w:rPr>
              <w:t>-</w:t>
            </w:r>
          </w:p>
        </w:tc>
        <w:tc>
          <w:tcPr>
            <w:tcW w:w="1068" w:type="dxa"/>
            <w:tcBorders>
              <w:top w:val="nil"/>
              <w:left w:val="nil"/>
              <w:bottom w:val="nil"/>
              <w:right w:val="single" w:sz="8" w:space="0" w:color="000000"/>
            </w:tcBorders>
            <w:shd w:val="clear" w:color="000000" w:fill="FFFFFF"/>
            <w:noWrap/>
            <w:vAlign w:val="bottom"/>
            <w:hideMark/>
          </w:tcPr>
          <w:p w14:paraId="38A65EA3" w14:textId="77777777" w:rsidR="002A66B3" w:rsidRPr="00F51774" w:rsidRDefault="002A66B3" w:rsidP="002A66B3">
            <w:pPr>
              <w:jc w:val="right"/>
              <w:rPr>
                <w:rFonts w:cstheme="minorHAnsi"/>
                <w:color w:val="0D0D0D" w:themeColor="text1" w:themeTint="F2"/>
                <w:sz w:val="20"/>
                <w:szCs w:val="20"/>
              </w:rPr>
            </w:pPr>
            <w:r w:rsidRPr="00F51774">
              <w:rPr>
                <w:rFonts w:cstheme="minorHAnsi"/>
                <w:color w:val="0D0D0D" w:themeColor="text1" w:themeTint="F2"/>
                <w:sz w:val="20"/>
                <w:szCs w:val="20"/>
              </w:rPr>
              <w:t>-</w:t>
            </w:r>
          </w:p>
        </w:tc>
        <w:tc>
          <w:tcPr>
            <w:tcW w:w="1186" w:type="dxa"/>
            <w:tcBorders>
              <w:top w:val="nil"/>
              <w:left w:val="nil"/>
              <w:bottom w:val="nil"/>
              <w:right w:val="nil"/>
            </w:tcBorders>
            <w:shd w:val="clear" w:color="000000" w:fill="FFFFFF"/>
            <w:noWrap/>
            <w:vAlign w:val="bottom"/>
            <w:hideMark/>
          </w:tcPr>
          <w:p w14:paraId="61895513" w14:textId="77777777" w:rsidR="002A66B3" w:rsidRPr="00F51774" w:rsidRDefault="002A66B3" w:rsidP="002A66B3">
            <w:pPr>
              <w:jc w:val="right"/>
              <w:rPr>
                <w:rFonts w:cstheme="minorHAnsi"/>
                <w:sz w:val="20"/>
                <w:szCs w:val="20"/>
              </w:rPr>
            </w:pPr>
            <w:r w:rsidRPr="00F51774">
              <w:rPr>
                <w:rFonts w:cstheme="minorHAnsi"/>
                <w:color w:val="0D0D0D" w:themeColor="text1" w:themeTint="F2"/>
                <w:sz w:val="20"/>
                <w:szCs w:val="20"/>
              </w:rPr>
              <w:t>195,991</w:t>
            </w:r>
          </w:p>
        </w:tc>
        <w:tc>
          <w:tcPr>
            <w:tcW w:w="1256" w:type="dxa"/>
            <w:tcBorders>
              <w:top w:val="nil"/>
              <w:left w:val="nil"/>
              <w:bottom w:val="nil"/>
              <w:right w:val="nil"/>
            </w:tcBorders>
            <w:shd w:val="clear" w:color="000000" w:fill="FFFFFF"/>
            <w:noWrap/>
            <w:vAlign w:val="bottom"/>
            <w:hideMark/>
          </w:tcPr>
          <w:p w14:paraId="6C91AD24" w14:textId="77777777" w:rsidR="002A66B3" w:rsidRPr="00F51774" w:rsidRDefault="002A66B3" w:rsidP="002A66B3">
            <w:pPr>
              <w:jc w:val="right"/>
              <w:rPr>
                <w:rFonts w:cstheme="minorHAnsi"/>
                <w:sz w:val="20"/>
                <w:szCs w:val="20"/>
              </w:rPr>
            </w:pPr>
            <w:r w:rsidRPr="00F51774">
              <w:rPr>
                <w:rFonts w:cstheme="minorHAnsi"/>
                <w:color w:val="0D0D0D" w:themeColor="text1" w:themeTint="F2"/>
                <w:sz w:val="20"/>
                <w:szCs w:val="20"/>
              </w:rPr>
              <w:t>-</w:t>
            </w:r>
          </w:p>
        </w:tc>
        <w:tc>
          <w:tcPr>
            <w:tcW w:w="1068" w:type="dxa"/>
            <w:tcBorders>
              <w:top w:val="nil"/>
              <w:left w:val="nil"/>
              <w:bottom w:val="nil"/>
            </w:tcBorders>
            <w:shd w:val="clear" w:color="000000" w:fill="FFFFFF"/>
            <w:noWrap/>
            <w:vAlign w:val="bottom"/>
            <w:hideMark/>
          </w:tcPr>
          <w:p w14:paraId="2BAC25DB" w14:textId="77777777" w:rsidR="002A66B3" w:rsidRPr="00F51774" w:rsidRDefault="002A66B3" w:rsidP="002A66B3">
            <w:pPr>
              <w:jc w:val="right"/>
              <w:rPr>
                <w:rFonts w:cstheme="minorHAnsi"/>
                <w:sz w:val="20"/>
                <w:szCs w:val="20"/>
              </w:rPr>
            </w:pPr>
            <w:r w:rsidRPr="00F51774">
              <w:rPr>
                <w:rFonts w:cstheme="minorHAnsi"/>
                <w:color w:val="0D0D0D" w:themeColor="text1" w:themeTint="F2"/>
                <w:sz w:val="20"/>
                <w:szCs w:val="20"/>
              </w:rPr>
              <w:t>-</w:t>
            </w:r>
          </w:p>
        </w:tc>
      </w:tr>
      <w:tr w:rsidR="002A66B3" w:rsidRPr="002A66B3" w14:paraId="1FC200A6" w14:textId="77777777" w:rsidTr="00E85A09">
        <w:trPr>
          <w:trHeight w:val="300"/>
          <w:jc w:val="center"/>
        </w:trPr>
        <w:tc>
          <w:tcPr>
            <w:tcW w:w="3330" w:type="dxa"/>
            <w:tcBorders>
              <w:top w:val="nil"/>
              <w:left w:val="nil"/>
              <w:bottom w:val="nil"/>
              <w:right w:val="nil"/>
            </w:tcBorders>
            <w:shd w:val="clear" w:color="000000" w:fill="FFFFFF"/>
            <w:noWrap/>
            <w:vAlign w:val="bottom"/>
            <w:hideMark/>
          </w:tcPr>
          <w:p w14:paraId="3C1CA2EC" w14:textId="286E97C4" w:rsidR="002A66B3" w:rsidRPr="00F51774" w:rsidRDefault="002A66B3" w:rsidP="00F51774">
            <w:pPr>
              <w:ind w:left="255"/>
              <w:rPr>
                <w:rFonts w:cstheme="minorHAnsi"/>
                <w:sz w:val="20"/>
                <w:szCs w:val="20"/>
              </w:rPr>
            </w:pPr>
            <w:r w:rsidRPr="00F51774">
              <w:rPr>
                <w:rFonts w:cstheme="minorHAnsi"/>
                <w:sz w:val="20"/>
                <w:szCs w:val="20"/>
              </w:rPr>
              <w:t>Pool participants</w:t>
            </w:r>
          </w:p>
        </w:tc>
        <w:tc>
          <w:tcPr>
            <w:tcW w:w="1144" w:type="dxa"/>
            <w:tcBorders>
              <w:top w:val="nil"/>
              <w:left w:val="nil"/>
              <w:bottom w:val="nil"/>
              <w:right w:val="nil"/>
            </w:tcBorders>
            <w:shd w:val="clear" w:color="000000" w:fill="FFFFFF"/>
            <w:noWrap/>
            <w:vAlign w:val="bottom"/>
            <w:hideMark/>
          </w:tcPr>
          <w:p w14:paraId="31A2FACC" w14:textId="77777777" w:rsidR="002A66B3" w:rsidRPr="00F51774" w:rsidRDefault="002A66B3" w:rsidP="002A66B3">
            <w:pPr>
              <w:jc w:val="right"/>
              <w:rPr>
                <w:rFonts w:cstheme="minorHAnsi"/>
                <w:color w:val="0D0D0D" w:themeColor="text1" w:themeTint="F2"/>
                <w:sz w:val="20"/>
                <w:szCs w:val="20"/>
              </w:rPr>
            </w:pPr>
            <w:r w:rsidRPr="00F51774">
              <w:rPr>
                <w:rFonts w:cstheme="minorHAnsi"/>
                <w:color w:val="0D0D0D" w:themeColor="text1" w:themeTint="F2"/>
                <w:sz w:val="20"/>
                <w:szCs w:val="20"/>
              </w:rPr>
              <w:t>-</w:t>
            </w:r>
          </w:p>
        </w:tc>
        <w:tc>
          <w:tcPr>
            <w:tcW w:w="1256" w:type="dxa"/>
            <w:tcBorders>
              <w:top w:val="nil"/>
              <w:left w:val="nil"/>
              <w:bottom w:val="nil"/>
              <w:right w:val="nil"/>
            </w:tcBorders>
            <w:shd w:val="clear" w:color="000000" w:fill="FFFFFF"/>
            <w:noWrap/>
            <w:vAlign w:val="bottom"/>
            <w:hideMark/>
          </w:tcPr>
          <w:p w14:paraId="547C2D63" w14:textId="77777777" w:rsidR="002A66B3" w:rsidRPr="00F51774" w:rsidRDefault="002A66B3" w:rsidP="002A66B3">
            <w:pPr>
              <w:jc w:val="right"/>
              <w:rPr>
                <w:rFonts w:cstheme="minorHAnsi"/>
                <w:color w:val="0D0D0D" w:themeColor="text1" w:themeTint="F2"/>
                <w:sz w:val="20"/>
                <w:szCs w:val="20"/>
              </w:rPr>
            </w:pPr>
            <w:r w:rsidRPr="00F51774">
              <w:rPr>
                <w:rFonts w:cstheme="minorHAnsi"/>
                <w:color w:val="0D0D0D" w:themeColor="text1" w:themeTint="F2"/>
                <w:sz w:val="20"/>
                <w:szCs w:val="20"/>
              </w:rPr>
              <w:t>10,351</w:t>
            </w:r>
          </w:p>
        </w:tc>
        <w:tc>
          <w:tcPr>
            <w:tcW w:w="1068" w:type="dxa"/>
            <w:tcBorders>
              <w:top w:val="nil"/>
              <w:left w:val="nil"/>
              <w:bottom w:val="nil"/>
              <w:right w:val="single" w:sz="8" w:space="0" w:color="000000"/>
            </w:tcBorders>
            <w:shd w:val="clear" w:color="000000" w:fill="FFFFFF"/>
            <w:noWrap/>
            <w:vAlign w:val="bottom"/>
            <w:hideMark/>
          </w:tcPr>
          <w:p w14:paraId="3AE62188" w14:textId="77777777" w:rsidR="002A66B3" w:rsidRPr="00F51774" w:rsidRDefault="002A66B3" w:rsidP="002A66B3">
            <w:pPr>
              <w:jc w:val="right"/>
              <w:rPr>
                <w:rFonts w:cstheme="minorHAnsi"/>
                <w:color w:val="0D0D0D" w:themeColor="text1" w:themeTint="F2"/>
                <w:sz w:val="20"/>
                <w:szCs w:val="20"/>
              </w:rPr>
            </w:pPr>
            <w:r w:rsidRPr="00F51774">
              <w:rPr>
                <w:rFonts w:cstheme="minorHAnsi"/>
                <w:color w:val="0D0D0D" w:themeColor="text1" w:themeTint="F2"/>
                <w:sz w:val="20"/>
                <w:szCs w:val="20"/>
              </w:rPr>
              <w:t>9</w:t>
            </w:r>
          </w:p>
        </w:tc>
        <w:tc>
          <w:tcPr>
            <w:tcW w:w="1186" w:type="dxa"/>
            <w:tcBorders>
              <w:top w:val="nil"/>
              <w:left w:val="nil"/>
              <w:bottom w:val="nil"/>
              <w:right w:val="nil"/>
            </w:tcBorders>
            <w:shd w:val="clear" w:color="000000" w:fill="FFFFFF"/>
            <w:noWrap/>
            <w:vAlign w:val="bottom"/>
            <w:hideMark/>
          </w:tcPr>
          <w:p w14:paraId="29A12DD5" w14:textId="77777777" w:rsidR="002A66B3" w:rsidRPr="00F51774" w:rsidRDefault="002A66B3" w:rsidP="002A66B3">
            <w:pPr>
              <w:jc w:val="right"/>
              <w:rPr>
                <w:rFonts w:cstheme="minorHAnsi"/>
                <w:sz w:val="20"/>
                <w:szCs w:val="20"/>
              </w:rPr>
            </w:pPr>
            <w:r w:rsidRPr="00F51774">
              <w:rPr>
                <w:rFonts w:cstheme="minorHAnsi"/>
                <w:color w:val="0D0D0D" w:themeColor="text1" w:themeTint="F2"/>
                <w:sz w:val="20"/>
                <w:szCs w:val="20"/>
              </w:rPr>
              <w:t>-</w:t>
            </w:r>
          </w:p>
        </w:tc>
        <w:tc>
          <w:tcPr>
            <w:tcW w:w="1256" w:type="dxa"/>
            <w:tcBorders>
              <w:top w:val="nil"/>
              <w:left w:val="nil"/>
              <w:bottom w:val="nil"/>
              <w:right w:val="nil"/>
            </w:tcBorders>
            <w:shd w:val="clear" w:color="000000" w:fill="FFFFFF"/>
            <w:noWrap/>
            <w:vAlign w:val="bottom"/>
            <w:hideMark/>
          </w:tcPr>
          <w:p w14:paraId="27680C89" w14:textId="77777777" w:rsidR="002A66B3" w:rsidRPr="00F51774" w:rsidRDefault="002A66B3" w:rsidP="002A66B3">
            <w:pPr>
              <w:jc w:val="right"/>
              <w:rPr>
                <w:rFonts w:cstheme="minorHAnsi"/>
                <w:sz w:val="20"/>
                <w:szCs w:val="20"/>
              </w:rPr>
            </w:pPr>
            <w:r w:rsidRPr="00F51774">
              <w:rPr>
                <w:rFonts w:cstheme="minorHAnsi"/>
                <w:color w:val="0D0D0D" w:themeColor="text1" w:themeTint="F2"/>
                <w:sz w:val="20"/>
                <w:szCs w:val="20"/>
              </w:rPr>
              <w:t>9,586</w:t>
            </w:r>
          </w:p>
        </w:tc>
        <w:tc>
          <w:tcPr>
            <w:tcW w:w="1068" w:type="dxa"/>
            <w:tcBorders>
              <w:top w:val="nil"/>
              <w:left w:val="nil"/>
              <w:bottom w:val="nil"/>
            </w:tcBorders>
            <w:shd w:val="clear" w:color="000000" w:fill="FFFFFF"/>
            <w:noWrap/>
            <w:vAlign w:val="bottom"/>
            <w:hideMark/>
          </w:tcPr>
          <w:p w14:paraId="5DB5BA89" w14:textId="77777777" w:rsidR="002A66B3" w:rsidRPr="00F51774" w:rsidRDefault="002A66B3" w:rsidP="002A66B3">
            <w:pPr>
              <w:jc w:val="right"/>
              <w:rPr>
                <w:rFonts w:cstheme="minorHAnsi"/>
                <w:sz w:val="20"/>
                <w:szCs w:val="20"/>
              </w:rPr>
            </w:pPr>
            <w:r w:rsidRPr="00F51774">
              <w:rPr>
                <w:rFonts w:cstheme="minorHAnsi"/>
                <w:color w:val="0D0D0D" w:themeColor="text1" w:themeTint="F2"/>
                <w:sz w:val="20"/>
                <w:szCs w:val="20"/>
              </w:rPr>
              <w:t>28</w:t>
            </w:r>
          </w:p>
        </w:tc>
      </w:tr>
      <w:tr w:rsidR="002A66B3" w:rsidRPr="002A66B3" w14:paraId="679D7727" w14:textId="77777777" w:rsidTr="00E85A09">
        <w:trPr>
          <w:trHeight w:val="300"/>
          <w:jc w:val="center"/>
        </w:trPr>
        <w:tc>
          <w:tcPr>
            <w:tcW w:w="3330" w:type="dxa"/>
            <w:tcBorders>
              <w:top w:val="nil"/>
              <w:left w:val="nil"/>
              <w:bottom w:val="nil"/>
              <w:right w:val="nil"/>
            </w:tcBorders>
            <w:shd w:val="clear" w:color="000000" w:fill="FFFFFF"/>
            <w:noWrap/>
            <w:vAlign w:val="bottom"/>
            <w:hideMark/>
          </w:tcPr>
          <w:p w14:paraId="709FA2D7" w14:textId="71E624C9" w:rsidR="002A66B3" w:rsidRPr="00F51774" w:rsidRDefault="002A66B3" w:rsidP="00F51774">
            <w:pPr>
              <w:ind w:left="255"/>
              <w:rPr>
                <w:rFonts w:cstheme="minorHAnsi"/>
                <w:sz w:val="20"/>
                <w:szCs w:val="20"/>
              </w:rPr>
            </w:pPr>
            <w:r w:rsidRPr="00F51774">
              <w:rPr>
                <w:rFonts w:cstheme="minorHAnsi"/>
                <w:sz w:val="20"/>
                <w:szCs w:val="20"/>
              </w:rPr>
              <w:t>Student and other groups</w:t>
            </w:r>
          </w:p>
        </w:tc>
        <w:tc>
          <w:tcPr>
            <w:tcW w:w="1144" w:type="dxa"/>
            <w:tcBorders>
              <w:top w:val="nil"/>
              <w:left w:val="nil"/>
              <w:bottom w:val="nil"/>
              <w:right w:val="nil"/>
            </w:tcBorders>
            <w:shd w:val="clear" w:color="000000" w:fill="FFFFFF"/>
            <w:noWrap/>
            <w:vAlign w:val="bottom"/>
            <w:hideMark/>
          </w:tcPr>
          <w:p w14:paraId="3736F756" w14:textId="77777777" w:rsidR="002A66B3" w:rsidRPr="00F51774" w:rsidRDefault="002A66B3" w:rsidP="002A66B3">
            <w:pPr>
              <w:jc w:val="right"/>
              <w:rPr>
                <w:rFonts w:cstheme="minorHAnsi"/>
                <w:color w:val="0D0D0D" w:themeColor="text1" w:themeTint="F2"/>
                <w:sz w:val="20"/>
                <w:szCs w:val="20"/>
              </w:rPr>
            </w:pPr>
            <w:r w:rsidRPr="00F51774">
              <w:rPr>
                <w:rFonts w:cstheme="minorHAnsi"/>
                <w:color w:val="0D0D0D" w:themeColor="text1" w:themeTint="F2"/>
                <w:sz w:val="20"/>
                <w:szCs w:val="20"/>
              </w:rPr>
              <w:t>-</w:t>
            </w:r>
          </w:p>
        </w:tc>
        <w:tc>
          <w:tcPr>
            <w:tcW w:w="1256" w:type="dxa"/>
            <w:tcBorders>
              <w:top w:val="nil"/>
              <w:left w:val="nil"/>
              <w:bottom w:val="nil"/>
              <w:right w:val="nil"/>
            </w:tcBorders>
            <w:shd w:val="clear" w:color="000000" w:fill="FFFFFF"/>
            <w:noWrap/>
            <w:vAlign w:val="bottom"/>
            <w:hideMark/>
          </w:tcPr>
          <w:p w14:paraId="52BB6101" w14:textId="77777777" w:rsidR="002A66B3" w:rsidRPr="00F51774" w:rsidRDefault="002A66B3" w:rsidP="002A66B3">
            <w:pPr>
              <w:jc w:val="right"/>
              <w:rPr>
                <w:rFonts w:cstheme="minorHAnsi"/>
                <w:color w:val="0D0D0D" w:themeColor="text1" w:themeTint="F2"/>
                <w:sz w:val="20"/>
                <w:szCs w:val="20"/>
              </w:rPr>
            </w:pPr>
            <w:r w:rsidRPr="00F51774">
              <w:rPr>
                <w:rFonts w:cstheme="minorHAnsi"/>
                <w:color w:val="0D0D0D" w:themeColor="text1" w:themeTint="F2"/>
                <w:sz w:val="20"/>
                <w:szCs w:val="20"/>
              </w:rPr>
              <w:t>-</w:t>
            </w:r>
          </w:p>
        </w:tc>
        <w:tc>
          <w:tcPr>
            <w:tcW w:w="1068" w:type="dxa"/>
            <w:tcBorders>
              <w:top w:val="nil"/>
              <w:left w:val="nil"/>
              <w:bottom w:val="nil"/>
              <w:right w:val="single" w:sz="8" w:space="0" w:color="000000"/>
            </w:tcBorders>
            <w:shd w:val="clear" w:color="000000" w:fill="FFFFFF"/>
            <w:noWrap/>
            <w:vAlign w:val="bottom"/>
            <w:hideMark/>
          </w:tcPr>
          <w:p w14:paraId="79853721" w14:textId="77777777" w:rsidR="002A66B3" w:rsidRPr="00F51774" w:rsidRDefault="002A66B3" w:rsidP="002A66B3">
            <w:pPr>
              <w:jc w:val="right"/>
              <w:rPr>
                <w:rFonts w:cstheme="minorHAnsi"/>
                <w:color w:val="0D0D0D" w:themeColor="text1" w:themeTint="F2"/>
                <w:sz w:val="20"/>
                <w:szCs w:val="20"/>
              </w:rPr>
            </w:pPr>
            <w:r w:rsidRPr="00F51774">
              <w:rPr>
                <w:rFonts w:cstheme="minorHAnsi"/>
                <w:color w:val="0D0D0D" w:themeColor="text1" w:themeTint="F2"/>
                <w:sz w:val="20"/>
                <w:szCs w:val="20"/>
              </w:rPr>
              <w:t>2,375</w:t>
            </w:r>
          </w:p>
        </w:tc>
        <w:tc>
          <w:tcPr>
            <w:tcW w:w="1186" w:type="dxa"/>
            <w:tcBorders>
              <w:top w:val="nil"/>
              <w:left w:val="nil"/>
              <w:bottom w:val="nil"/>
              <w:right w:val="nil"/>
            </w:tcBorders>
            <w:shd w:val="clear" w:color="000000" w:fill="FFFFFF"/>
            <w:noWrap/>
            <w:vAlign w:val="bottom"/>
            <w:hideMark/>
          </w:tcPr>
          <w:p w14:paraId="06A0F00B" w14:textId="77777777" w:rsidR="002A66B3" w:rsidRPr="00F51774" w:rsidRDefault="002A66B3" w:rsidP="002A66B3">
            <w:pPr>
              <w:jc w:val="right"/>
              <w:rPr>
                <w:rFonts w:cstheme="minorHAnsi"/>
                <w:sz w:val="20"/>
                <w:szCs w:val="20"/>
              </w:rPr>
            </w:pPr>
            <w:r w:rsidRPr="00F51774">
              <w:rPr>
                <w:rFonts w:cstheme="minorHAnsi"/>
                <w:color w:val="0D0D0D" w:themeColor="text1" w:themeTint="F2"/>
                <w:sz w:val="20"/>
                <w:szCs w:val="20"/>
              </w:rPr>
              <w:t>-</w:t>
            </w:r>
          </w:p>
        </w:tc>
        <w:tc>
          <w:tcPr>
            <w:tcW w:w="1256" w:type="dxa"/>
            <w:tcBorders>
              <w:top w:val="nil"/>
              <w:left w:val="nil"/>
              <w:bottom w:val="nil"/>
              <w:right w:val="nil"/>
            </w:tcBorders>
            <w:shd w:val="clear" w:color="000000" w:fill="FFFFFF"/>
            <w:noWrap/>
            <w:vAlign w:val="bottom"/>
            <w:hideMark/>
          </w:tcPr>
          <w:p w14:paraId="67257DA2" w14:textId="77777777" w:rsidR="002A66B3" w:rsidRPr="00F51774" w:rsidRDefault="002A66B3" w:rsidP="002A66B3">
            <w:pPr>
              <w:jc w:val="right"/>
              <w:rPr>
                <w:rFonts w:cstheme="minorHAnsi"/>
                <w:sz w:val="20"/>
                <w:szCs w:val="20"/>
              </w:rPr>
            </w:pPr>
            <w:r w:rsidRPr="00F51774">
              <w:rPr>
                <w:rFonts w:cstheme="minorHAnsi"/>
                <w:color w:val="0D0D0D" w:themeColor="text1" w:themeTint="F2"/>
                <w:sz w:val="20"/>
                <w:szCs w:val="20"/>
              </w:rPr>
              <w:t>-</w:t>
            </w:r>
          </w:p>
        </w:tc>
        <w:tc>
          <w:tcPr>
            <w:tcW w:w="1068" w:type="dxa"/>
            <w:tcBorders>
              <w:top w:val="nil"/>
              <w:left w:val="nil"/>
              <w:bottom w:val="nil"/>
            </w:tcBorders>
            <w:shd w:val="clear" w:color="000000" w:fill="FFFFFF"/>
            <w:noWrap/>
            <w:vAlign w:val="bottom"/>
            <w:hideMark/>
          </w:tcPr>
          <w:p w14:paraId="24518D10" w14:textId="77777777" w:rsidR="002A66B3" w:rsidRPr="00F51774" w:rsidRDefault="002A66B3" w:rsidP="002A66B3">
            <w:pPr>
              <w:jc w:val="right"/>
              <w:rPr>
                <w:rFonts w:cstheme="minorHAnsi"/>
                <w:sz w:val="20"/>
                <w:szCs w:val="20"/>
              </w:rPr>
            </w:pPr>
            <w:r w:rsidRPr="00F51774">
              <w:rPr>
                <w:rFonts w:cstheme="minorHAnsi"/>
                <w:color w:val="0D0D0D" w:themeColor="text1" w:themeTint="F2"/>
                <w:sz w:val="20"/>
                <w:szCs w:val="20"/>
              </w:rPr>
              <w:t>2,453</w:t>
            </w:r>
          </w:p>
        </w:tc>
      </w:tr>
      <w:tr w:rsidR="002A66B3" w:rsidRPr="002A66B3" w14:paraId="39AD997F" w14:textId="77777777" w:rsidTr="00E85A09">
        <w:trPr>
          <w:trHeight w:val="315"/>
          <w:jc w:val="center"/>
        </w:trPr>
        <w:tc>
          <w:tcPr>
            <w:tcW w:w="3330" w:type="dxa"/>
            <w:tcBorders>
              <w:top w:val="single" w:sz="4" w:space="0" w:color="000000"/>
              <w:left w:val="nil"/>
              <w:bottom w:val="double" w:sz="6" w:space="0" w:color="000000"/>
              <w:right w:val="nil"/>
            </w:tcBorders>
            <w:shd w:val="clear" w:color="000000" w:fill="FFFFFF"/>
            <w:noWrap/>
            <w:vAlign w:val="bottom"/>
            <w:hideMark/>
          </w:tcPr>
          <w:p w14:paraId="1EF0F2EE" w14:textId="77777777" w:rsidR="002A66B3" w:rsidRPr="00F51774" w:rsidRDefault="002A66B3" w:rsidP="002A66B3">
            <w:pPr>
              <w:rPr>
                <w:rFonts w:cstheme="minorHAnsi"/>
                <w:b/>
                <w:bCs/>
              </w:rPr>
            </w:pPr>
            <w:r w:rsidRPr="00F51774">
              <w:rPr>
                <w:rFonts w:cstheme="minorHAnsi"/>
                <w:b/>
                <w:bCs/>
              </w:rPr>
              <w:t>Total Net Position</w:t>
            </w:r>
          </w:p>
        </w:tc>
        <w:tc>
          <w:tcPr>
            <w:tcW w:w="1144" w:type="dxa"/>
            <w:tcBorders>
              <w:top w:val="single" w:sz="4" w:space="0" w:color="000000"/>
              <w:left w:val="nil"/>
              <w:bottom w:val="double" w:sz="6" w:space="0" w:color="000000"/>
              <w:right w:val="nil"/>
            </w:tcBorders>
            <w:shd w:val="clear" w:color="000000" w:fill="FFFFFF"/>
            <w:noWrap/>
            <w:vAlign w:val="bottom"/>
            <w:hideMark/>
          </w:tcPr>
          <w:p w14:paraId="1CA44D2F" w14:textId="77777777" w:rsidR="002A66B3" w:rsidRPr="00F51774" w:rsidRDefault="002A66B3" w:rsidP="002A66B3">
            <w:pPr>
              <w:jc w:val="right"/>
              <w:rPr>
                <w:rFonts w:cstheme="minorHAnsi"/>
                <w:color w:val="0D0D0D" w:themeColor="text1" w:themeTint="F2"/>
                <w:sz w:val="20"/>
                <w:szCs w:val="20"/>
              </w:rPr>
            </w:pPr>
            <w:r w:rsidRPr="00F51774">
              <w:rPr>
                <w:rFonts w:cstheme="minorHAnsi"/>
                <w:color w:val="0D0D0D" w:themeColor="text1" w:themeTint="F2"/>
                <w:sz w:val="20"/>
                <w:szCs w:val="20"/>
              </w:rPr>
              <w:t>$231,321</w:t>
            </w:r>
          </w:p>
        </w:tc>
        <w:tc>
          <w:tcPr>
            <w:tcW w:w="1256" w:type="dxa"/>
            <w:tcBorders>
              <w:top w:val="single" w:sz="4" w:space="0" w:color="000000"/>
              <w:left w:val="nil"/>
              <w:bottom w:val="double" w:sz="6" w:space="0" w:color="000000"/>
              <w:right w:val="nil"/>
            </w:tcBorders>
            <w:shd w:val="clear" w:color="000000" w:fill="FFFFFF"/>
            <w:noWrap/>
            <w:vAlign w:val="bottom"/>
            <w:hideMark/>
          </w:tcPr>
          <w:p w14:paraId="6631CACE" w14:textId="77777777" w:rsidR="002A66B3" w:rsidRPr="00F51774" w:rsidRDefault="002A66B3" w:rsidP="002A66B3">
            <w:pPr>
              <w:jc w:val="right"/>
              <w:rPr>
                <w:rFonts w:cstheme="minorHAnsi"/>
                <w:color w:val="0D0D0D" w:themeColor="text1" w:themeTint="F2"/>
                <w:sz w:val="20"/>
                <w:szCs w:val="20"/>
              </w:rPr>
            </w:pPr>
            <w:r w:rsidRPr="00F51774">
              <w:rPr>
                <w:rFonts w:cstheme="minorHAnsi"/>
                <w:color w:val="0D0D0D" w:themeColor="text1" w:themeTint="F2"/>
                <w:sz w:val="20"/>
                <w:szCs w:val="20"/>
              </w:rPr>
              <w:t>$     10,351</w:t>
            </w:r>
          </w:p>
        </w:tc>
        <w:tc>
          <w:tcPr>
            <w:tcW w:w="1068" w:type="dxa"/>
            <w:tcBorders>
              <w:top w:val="single" w:sz="4" w:space="0" w:color="000000"/>
              <w:left w:val="nil"/>
              <w:bottom w:val="double" w:sz="6" w:space="0" w:color="000000"/>
              <w:right w:val="single" w:sz="8" w:space="0" w:color="000000"/>
            </w:tcBorders>
            <w:shd w:val="clear" w:color="000000" w:fill="FFFFFF"/>
            <w:noWrap/>
            <w:vAlign w:val="bottom"/>
            <w:hideMark/>
          </w:tcPr>
          <w:p w14:paraId="1F3E2CA9" w14:textId="77777777" w:rsidR="002A66B3" w:rsidRPr="00F51774" w:rsidRDefault="002A66B3" w:rsidP="002A66B3">
            <w:pPr>
              <w:jc w:val="right"/>
              <w:rPr>
                <w:rFonts w:cstheme="minorHAnsi"/>
                <w:color w:val="0D0D0D" w:themeColor="text1" w:themeTint="F2"/>
                <w:sz w:val="20"/>
                <w:szCs w:val="20"/>
              </w:rPr>
            </w:pPr>
            <w:r w:rsidRPr="00F51774">
              <w:rPr>
                <w:rFonts w:cstheme="minorHAnsi"/>
                <w:color w:val="0D0D0D" w:themeColor="text1" w:themeTint="F2"/>
                <w:sz w:val="20"/>
                <w:szCs w:val="20"/>
              </w:rPr>
              <w:t>$   2,384</w:t>
            </w:r>
          </w:p>
        </w:tc>
        <w:tc>
          <w:tcPr>
            <w:tcW w:w="1186" w:type="dxa"/>
            <w:tcBorders>
              <w:top w:val="single" w:sz="4" w:space="0" w:color="000000"/>
              <w:left w:val="nil"/>
              <w:bottom w:val="double" w:sz="6" w:space="0" w:color="000000"/>
              <w:right w:val="nil"/>
            </w:tcBorders>
            <w:shd w:val="clear" w:color="000000" w:fill="FFFFFF"/>
            <w:noWrap/>
            <w:vAlign w:val="bottom"/>
            <w:hideMark/>
          </w:tcPr>
          <w:p w14:paraId="2F44117C" w14:textId="77777777" w:rsidR="002A66B3" w:rsidRPr="00F51774" w:rsidRDefault="002A66B3" w:rsidP="002A66B3">
            <w:pPr>
              <w:jc w:val="right"/>
              <w:rPr>
                <w:rFonts w:cstheme="minorHAnsi"/>
                <w:sz w:val="20"/>
                <w:szCs w:val="20"/>
              </w:rPr>
            </w:pPr>
            <w:r w:rsidRPr="00F51774">
              <w:rPr>
                <w:rFonts w:cstheme="minorHAnsi"/>
                <w:color w:val="0D0D0D" w:themeColor="text1" w:themeTint="F2"/>
                <w:sz w:val="20"/>
                <w:szCs w:val="20"/>
              </w:rPr>
              <w:t>$213,584</w:t>
            </w:r>
          </w:p>
        </w:tc>
        <w:tc>
          <w:tcPr>
            <w:tcW w:w="1256" w:type="dxa"/>
            <w:tcBorders>
              <w:top w:val="single" w:sz="4" w:space="0" w:color="000000"/>
              <w:left w:val="nil"/>
              <w:bottom w:val="double" w:sz="6" w:space="0" w:color="000000"/>
              <w:right w:val="nil"/>
            </w:tcBorders>
            <w:shd w:val="clear" w:color="000000" w:fill="FFFFFF"/>
            <w:noWrap/>
            <w:vAlign w:val="bottom"/>
            <w:hideMark/>
          </w:tcPr>
          <w:p w14:paraId="615F7D77" w14:textId="77777777" w:rsidR="002A66B3" w:rsidRPr="00F51774" w:rsidRDefault="002A66B3" w:rsidP="002A66B3">
            <w:pPr>
              <w:jc w:val="right"/>
              <w:rPr>
                <w:rFonts w:cstheme="minorHAnsi"/>
                <w:sz w:val="20"/>
                <w:szCs w:val="20"/>
              </w:rPr>
            </w:pPr>
            <w:r w:rsidRPr="00F51774">
              <w:rPr>
                <w:rFonts w:cstheme="minorHAnsi"/>
                <w:color w:val="0D0D0D" w:themeColor="text1" w:themeTint="F2"/>
                <w:sz w:val="20"/>
                <w:szCs w:val="20"/>
              </w:rPr>
              <w:t>$     9,586</w:t>
            </w:r>
          </w:p>
        </w:tc>
        <w:tc>
          <w:tcPr>
            <w:tcW w:w="1068" w:type="dxa"/>
            <w:tcBorders>
              <w:top w:val="single" w:sz="4" w:space="0" w:color="000000"/>
              <w:left w:val="nil"/>
              <w:bottom w:val="double" w:sz="6" w:space="0" w:color="000000"/>
            </w:tcBorders>
            <w:shd w:val="clear" w:color="000000" w:fill="FFFFFF"/>
            <w:noWrap/>
            <w:vAlign w:val="bottom"/>
            <w:hideMark/>
          </w:tcPr>
          <w:p w14:paraId="275D19A5" w14:textId="77777777" w:rsidR="002A66B3" w:rsidRPr="00F51774" w:rsidRDefault="002A66B3" w:rsidP="002A66B3">
            <w:pPr>
              <w:jc w:val="right"/>
              <w:rPr>
                <w:rFonts w:cstheme="minorHAnsi"/>
                <w:sz w:val="20"/>
                <w:szCs w:val="20"/>
              </w:rPr>
            </w:pPr>
            <w:r w:rsidRPr="00F51774">
              <w:rPr>
                <w:rFonts w:cstheme="minorHAnsi"/>
                <w:color w:val="0D0D0D" w:themeColor="text1" w:themeTint="F2"/>
                <w:sz w:val="20"/>
                <w:szCs w:val="20"/>
              </w:rPr>
              <w:t>$   2,481</w:t>
            </w:r>
          </w:p>
        </w:tc>
      </w:tr>
    </w:tbl>
    <w:p w14:paraId="53E66CB6" w14:textId="77777777" w:rsidR="002A66B3" w:rsidRPr="002A66B3" w:rsidRDefault="002A66B3" w:rsidP="00F51774">
      <w:pPr>
        <w:spacing w:before="120" w:line="259" w:lineRule="auto"/>
        <w:jc w:val="center"/>
        <w:rPr>
          <w:rFonts w:cstheme="minorHAnsi"/>
        </w:rPr>
      </w:pPr>
      <w:r w:rsidRPr="002A66B3">
        <w:rPr>
          <w:rFonts w:cstheme="minorHAnsi"/>
          <w:sz w:val="20"/>
        </w:rPr>
        <w:t>See accompanying notes to the basic financial statements.</w:t>
      </w:r>
      <w:r w:rsidRPr="002A66B3">
        <w:rPr>
          <w:rFonts w:cstheme="minorHAnsi"/>
        </w:rPr>
        <w:br w:type="page"/>
      </w:r>
    </w:p>
    <w:p w14:paraId="49E55836" w14:textId="77777777" w:rsidR="002A66B3" w:rsidRPr="002A66B3" w:rsidRDefault="002A66B3" w:rsidP="00F51774">
      <w:pPr>
        <w:rPr>
          <w:rFonts w:cstheme="minorHAnsi"/>
          <w:b/>
          <w:i/>
          <w:color w:val="0D0D0D" w:themeColor="text1" w:themeTint="F2"/>
          <w:sz w:val="26"/>
          <w:szCs w:val="26"/>
        </w:rPr>
      </w:pPr>
      <w:r w:rsidRPr="002A66B3">
        <w:rPr>
          <w:rFonts w:cstheme="minorHAnsi"/>
          <w:b/>
          <w:i/>
          <w:color w:val="0D0D0D" w:themeColor="text1" w:themeTint="F2"/>
          <w:sz w:val="26"/>
          <w:szCs w:val="26"/>
        </w:rPr>
        <w:lastRenderedPageBreak/>
        <w:t>UNIVERSITY OF MAINE SYSTEM</w:t>
      </w:r>
    </w:p>
    <w:p w14:paraId="7E75DE23" w14:textId="77777777" w:rsidR="002A66B3" w:rsidRPr="00F51774" w:rsidRDefault="002A66B3" w:rsidP="00F51774">
      <w:pPr>
        <w:pStyle w:val="Style1"/>
        <w:rPr>
          <w:rFonts w:asciiTheme="minorHAnsi" w:hAnsiTheme="minorHAnsi" w:cstheme="minorHAnsi"/>
        </w:rPr>
      </w:pPr>
      <w:bookmarkStart w:id="12" w:name="SCFNP"/>
      <w:r w:rsidRPr="00F51774">
        <w:rPr>
          <w:rFonts w:asciiTheme="minorHAnsi" w:hAnsiTheme="minorHAnsi" w:cstheme="minorHAnsi"/>
        </w:rPr>
        <w:t>Statements of Changes in FIDUCIARY Net Position</w:t>
      </w:r>
    </w:p>
    <w:bookmarkEnd w:id="12"/>
    <w:p w14:paraId="0AD7F2B5" w14:textId="77777777" w:rsidR="002A66B3" w:rsidRPr="002A66B3" w:rsidRDefault="002A66B3" w:rsidP="006743EC">
      <w:pPr>
        <w:keepNext/>
        <w:pBdr>
          <w:bottom w:val="single" w:sz="18" w:space="1" w:color="00688D"/>
        </w:pBdr>
        <w:suppressAutoHyphens/>
        <w:spacing w:after="120"/>
        <w:outlineLvl w:val="0"/>
        <w:rPr>
          <w:rFonts w:cstheme="minorHAnsi"/>
          <w:color w:val="0D0D0D" w:themeColor="text1" w:themeTint="F2"/>
        </w:rPr>
      </w:pPr>
      <w:r w:rsidRPr="00F51774">
        <w:rPr>
          <w:rFonts w:cstheme="minorHAnsi"/>
          <w:b/>
          <w:i/>
          <w:caps/>
          <w:color w:val="0D0D0D" w:themeColor="text1" w:themeTint="F2"/>
          <w:spacing w:val="-3"/>
          <w:sz w:val="26"/>
          <w:szCs w:val="26"/>
        </w:rPr>
        <w:t xml:space="preserve">Years Ended June 30, </w:t>
      </w:r>
      <w:proofErr w:type="gramStart"/>
      <w:r w:rsidRPr="00F51774">
        <w:rPr>
          <w:rFonts w:cstheme="minorHAnsi"/>
          <w:b/>
          <w:i/>
          <w:caps/>
          <w:color w:val="0D0D0D" w:themeColor="text1" w:themeTint="F2"/>
          <w:spacing w:val="-3"/>
          <w:sz w:val="26"/>
          <w:szCs w:val="26"/>
        </w:rPr>
        <w:t>2025</w:t>
      </w:r>
      <w:proofErr w:type="gramEnd"/>
      <w:r w:rsidRPr="00F51774">
        <w:rPr>
          <w:rFonts w:cstheme="minorHAnsi"/>
          <w:b/>
          <w:i/>
          <w:caps/>
          <w:color w:val="0D0D0D" w:themeColor="text1" w:themeTint="F2"/>
          <w:spacing w:val="-3"/>
          <w:sz w:val="26"/>
          <w:szCs w:val="26"/>
        </w:rPr>
        <w:t xml:space="preserve"> and 2024 </w:t>
      </w:r>
      <w:r w:rsidRPr="00F51774">
        <w:rPr>
          <w:rFonts w:cstheme="minorHAnsi"/>
          <w:b/>
          <w:i/>
          <w:caps/>
          <w:color w:val="0D0D0D" w:themeColor="text1" w:themeTint="F2"/>
          <w:spacing w:val="-3"/>
        </w:rPr>
        <w:t>(in Thousands)</w:t>
      </w:r>
      <w:r w:rsidRPr="002A66B3">
        <w:rPr>
          <w:rFonts w:cstheme="minorHAnsi"/>
          <w:color w:val="0D0D0D" w:themeColor="text1" w:themeTint="F2"/>
        </w:rPr>
        <w:fldChar w:fldCharType="begin"/>
      </w:r>
      <w:r w:rsidRPr="002A66B3">
        <w:rPr>
          <w:rFonts w:cstheme="minorHAnsi"/>
          <w:color w:val="0D0D0D" w:themeColor="text1" w:themeTint="F2"/>
        </w:rPr>
        <w:fldChar w:fldCharType="end"/>
      </w:r>
    </w:p>
    <w:tbl>
      <w:tblPr>
        <w:tblW w:w="11070" w:type="dxa"/>
        <w:jc w:val="center"/>
        <w:tblLayout w:type="fixed"/>
        <w:tblLook w:val="04A0" w:firstRow="1" w:lastRow="0" w:firstColumn="1" w:lastColumn="0" w:noHBand="0" w:noVBand="1"/>
      </w:tblPr>
      <w:tblGrid>
        <w:gridCol w:w="4050"/>
        <w:gridCol w:w="1170"/>
        <w:gridCol w:w="1260"/>
        <w:gridCol w:w="1068"/>
        <w:gridCol w:w="1119"/>
        <w:gridCol w:w="1256"/>
        <w:gridCol w:w="1147"/>
      </w:tblGrid>
      <w:tr w:rsidR="008B3EFA" w:rsidRPr="002A66B3" w14:paraId="417FDBF1" w14:textId="77777777" w:rsidTr="00F51774">
        <w:trPr>
          <w:trHeight w:val="315"/>
          <w:jc w:val="center"/>
        </w:trPr>
        <w:tc>
          <w:tcPr>
            <w:tcW w:w="4050" w:type="dxa"/>
            <w:tcBorders>
              <w:top w:val="nil"/>
              <w:left w:val="nil"/>
              <w:bottom w:val="single" w:sz="12" w:space="0" w:color="000000"/>
              <w:right w:val="nil"/>
            </w:tcBorders>
            <w:shd w:val="clear" w:color="000000" w:fill="FFFFFF"/>
            <w:vAlign w:val="bottom"/>
            <w:hideMark/>
          </w:tcPr>
          <w:p w14:paraId="1986C553" w14:textId="2A043DA2" w:rsidR="002A66B3" w:rsidRPr="00F51774" w:rsidRDefault="002A66B3" w:rsidP="002A66B3">
            <w:pPr>
              <w:rPr>
                <w:rFonts w:cstheme="minorHAnsi"/>
                <w:b/>
                <w:bCs/>
                <w:color w:val="000000"/>
              </w:rPr>
            </w:pPr>
          </w:p>
        </w:tc>
        <w:tc>
          <w:tcPr>
            <w:tcW w:w="1170" w:type="dxa"/>
            <w:tcBorders>
              <w:top w:val="nil"/>
              <w:left w:val="nil"/>
              <w:bottom w:val="single" w:sz="12" w:space="0" w:color="000000"/>
              <w:right w:val="nil"/>
            </w:tcBorders>
            <w:shd w:val="clear" w:color="000000" w:fill="FFFFFF"/>
            <w:vAlign w:val="bottom"/>
            <w:hideMark/>
          </w:tcPr>
          <w:p w14:paraId="624CC423" w14:textId="336EE66F" w:rsidR="002A66B3" w:rsidRPr="00F51774" w:rsidRDefault="002A66B3" w:rsidP="002A66B3">
            <w:pPr>
              <w:rPr>
                <w:rFonts w:cstheme="minorHAnsi"/>
                <w:b/>
                <w:bCs/>
                <w:color w:val="000000"/>
              </w:rPr>
            </w:pPr>
          </w:p>
        </w:tc>
        <w:tc>
          <w:tcPr>
            <w:tcW w:w="1260" w:type="dxa"/>
            <w:tcBorders>
              <w:top w:val="nil"/>
              <w:left w:val="nil"/>
              <w:bottom w:val="single" w:sz="12" w:space="0" w:color="000000"/>
              <w:right w:val="nil"/>
            </w:tcBorders>
            <w:shd w:val="clear" w:color="000000" w:fill="FFFFFF"/>
            <w:vAlign w:val="bottom"/>
            <w:hideMark/>
          </w:tcPr>
          <w:p w14:paraId="360D5B64" w14:textId="77777777" w:rsidR="002A66B3" w:rsidRPr="00F51774" w:rsidRDefault="002A66B3" w:rsidP="002A66B3">
            <w:pPr>
              <w:jc w:val="center"/>
              <w:rPr>
                <w:rFonts w:cstheme="minorHAnsi"/>
                <w:b/>
                <w:bCs/>
              </w:rPr>
            </w:pPr>
            <w:r w:rsidRPr="00F51774">
              <w:rPr>
                <w:rFonts w:cstheme="minorHAnsi"/>
                <w:b/>
                <w:bCs/>
              </w:rPr>
              <w:t>2025</w:t>
            </w:r>
          </w:p>
        </w:tc>
        <w:tc>
          <w:tcPr>
            <w:tcW w:w="1068" w:type="dxa"/>
            <w:tcBorders>
              <w:top w:val="nil"/>
              <w:left w:val="nil"/>
              <w:bottom w:val="single" w:sz="12" w:space="0" w:color="auto"/>
            </w:tcBorders>
            <w:shd w:val="clear" w:color="000000" w:fill="FFFFFF"/>
            <w:vAlign w:val="bottom"/>
            <w:hideMark/>
          </w:tcPr>
          <w:p w14:paraId="3977DBA7" w14:textId="24B9A271" w:rsidR="002A66B3" w:rsidRPr="00F51774" w:rsidRDefault="002A66B3" w:rsidP="002A66B3">
            <w:pPr>
              <w:rPr>
                <w:rFonts w:cstheme="minorHAnsi"/>
                <w:b/>
                <w:bCs/>
                <w:color w:val="000000"/>
              </w:rPr>
            </w:pPr>
          </w:p>
        </w:tc>
        <w:tc>
          <w:tcPr>
            <w:tcW w:w="1119" w:type="dxa"/>
            <w:tcBorders>
              <w:top w:val="nil"/>
              <w:bottom w:val="single" w:sz="12" w:space="0" w:color="auto"/>
              <w:right w:val="nil"/>
            </w:tcBorders>
            <w:shd w:val="clear" w:color="000000" w:fill="FFFFFF"/>
            <w:vAlign w:val="bottom"/>
            <w:hideMark/>
          </w:tcPr>
          <w:p w14:paraId="463264B8" w14:textId="3647ED09" w:rsidR="002A66B3" w:rsidRPr="00F51774" w:rsidRDefault="002A66B3" w:rsidP="002A66B3">
            <w:pPr>
              <w:rPr>
                <w:rFonts w:cstheme="minorHAnsi"/>
                <w:b/>
                <w:bCs/>
                <w:color w:val="000000"/>
              </w:rPr>
            </w:pPr>
          </w:p>
        </w:tc>
        <w:tc>
          <w:tcPr>
            <w:tcW w:w="1256" w:type="dxa"/>
            <w:tcBorders>
              <w:top w:val="nil"/>
              <w:left w:val="nil"/>
              <w:bottom w:val="single" w:sz="12" w:space="0" w:color="000000"/>
              <w:right w:val="nil"/>
            </w:tcBorders>
            <w:shd w:val="clear" w:color="000000" w:fill="FFFFFF"/>
            <w:vAlign w:val="bottom"/>
            <w:hideMark/>
          </w:tcPr>
          <w:p w14:paraId="164EB286" w14:textId="77777777" w:rsidR="002A66B3" w:rsidRPr="00F51774" w:rsidRDefault="002A66B3" w:rsidP="002A66B3">
            <w:pPr>
              <w:jc w:val="center"/>
              <w:rPr>
                <w:rFonts w:cstheme="minorHAnsi"/>
                <w:b/>
                <w:bCs/>
                <w:color w:val="000000"/>
              </w:rPr>
            </w:pPr>
            <w:r w:rsidRPr="00F51774">
              <w:rPr>
                <w:rFonts w:cstheme="minorHAnsi"/>
                <w:b/>
                <w:bCs/>
                <w:color w:val="000000"/>
              </w:rPr>
              <w:t>2024</w:t>
            </w:r>
          </w:p>
        </w:tc>
        <w:tc>
          <w:tcPr>
            <w:tcW w:w="1147" w:type="dxa"/>
            <w:tcBorders>
              <w:top w:val="nil"/>
              <w:left w:val="nil"/>
              <w:bottom w:val="single" w:sz="12" w:space="0" w:color="000000"/>
              <w:right w:val="nil"/>
            </w:tcBorders>
            <w:shd w:val="clear" w:color="000000" w:fill="FFFFFF"/>
            <w:vAlign w:val="bottom"/>
            <w:hideMark/>
          </w:tcPr>
          <w:p w14:paraId="642383B0" w14:textId="0B923272" w:rsidR="002A66B3" w:rsidRPr="00F51774" w:rsidRDefault="002A66B3" w:rsidP="002A66B3">
            <w:pPr>
              <w:rPr>
                <w:rFonts w:cstheme="minorHAnsi"/>
                <w:b/>
                <w:bCs/>
                <w:color w:val="000000"/>
              </w:rPr>
            </w:pPr>
          </w:p>
        </w:tc>
      </w:tr>
      <w:tr w:rsidR="008B3EFA" w:rsidRPr="002A66B3" w14:paraId="07AD5C96" w14:textId="77777777" w:rsidTr="00F51774">
        <w:trPr>
          <w:trHeight w:val="1005"/>
          <w:jc w:val="center"/>
        </w:trPr>
        <w:tc>
          <w:tcPr>
            <w:tcW w:w="4050" w:type="dxa"/>
            <w:tcBorders>
              <w:top w:val="nil"/>
              <w:left w:val="nil"/>
              <w:bottom w:val="nil"/>
              <w:right w:val="nil"/>
            </w:tcBorders>
            <w:shd w:val="clear" w:color="000000" w:fill="FFFFFF"/>
            <w:noWrap/>
            <w:vAlign w:val="bottom"/>
            <w:hideMark/>
          </w:tcPr>
          <w:p w14:paraId="612580B2" w14:textId="7A88E361" w:rsidR="002A66B3" w:rsidRPr="00F51774" w:rsidRDefault="002A66B3" w:rsidP="002A66B3">
            <w:pPr>
              <w:rPr>
                <w:rFonts w:cstheme="minorHAnsi"/>
                <w:color w:val="000000"/>
              </w:rPr>
            </w:pPr>
          </w:p>
        </w:tc>
        <w:tc>
          <w:tcPr>
            <w:tcW w:w="1170" w:type="dxa"/>
            <w:tcBorders>
              <w:top w:val="nil"/>
              <w:left w:val="nil"/>
              <w:bottom w:val="nil"/>
              <w:right w:val="nil"/>
            </w:tcBorders>
            <w:shd w:val="clear" w:color="000000" w:fill="FFFFFF"/>
            <w:vAlign w:val="bottom"/>
            <w:hideMark/>
          </w:tcPr>
          <w:p w14:paraId="76C705D3" w14:textId="77777777" w:rsidR="002A66B3" w:rsidRPr="00F51774" w:rsidRDefault="002A66B3" w:rsidP="002A66B3">
            <w:pPr>
              <w:jc w:val="center"/>
              <w:rPr>
                <w:rFonts w:cstheme="minorHAnsi"/>
                <w:b/>
                <w:bCs/>
                <w:color w:val="000000"/>
              </w:rPr>
            </w:pPr>
            <w:r w:rsidRPr="00F51774">
              <w:rPr>
                <w:rFonts w:cstheme="minorHAnsi"/>
                <w:b/>
                <w:bCs/>
                <w:color w:val="000000"/>
              </w:rPr>
              <w:t>Pension and Other Employee</w:t>
            </w:r>
          </w:p>
        </w:tc>
        <w:tc>
          <w:tcPr>
            <w:tcW w:w="2328" w:type="dxa"/>
            <w:gridSpan w:val="2"/>
            <w:tcBorders>
              <w:top w:val="nil"/>
              <w:left w:val="nil"/>
              <w:bottom w:val="nil"/>
              <w:right w:val="single" w:sz="8" w:space="0" w:color="000000"/>
            </w:tcBorders>
            <w:shd w:val="clear" w:color="000000" w:fill="FFFFFF"/>
            <w:vAlign w:val="bottom"/>
            <w:hideMark/>
          </w:tcPr>
          <w:p w14:paraId="4C3775B3" w14:textId="77777777" w:rsidR="002A66B3" w:rsidRPr="00F51774" w:rsidRDefault="002A66B3" w:rsidP="002A66B3">
            <w:pPr>
              <w:jc w:val="center"/>
              <w:rPr>
                <w:rFonts w:cstheme="minorHAnsi"/>
                <w:b/>
                <w:bCs/>
                <w:color w:val="000000"/>
                <w:u w:val="single"/>
              </w:rPr>
            </w:pPr>
            <w:r w:rsidRPr="00F51774">
              <w:rPr>
                <w:rFonts w:cstheme="minorHAnsi"/>
                <w:b/>
                <w:bCs/>
                <w:color w:val="000000"/>
                <w:u w:val="single"/>
              </w:rPr>
              <w:t>Custodial Funds</w:t>
            </w:r>
          </w:p>
        </w:tc>
        <w:tc>
          <w:tcPr>
            <w:tcW w:w="1119" w:type="dxa"/>
            <w:tcBorders>
              <w:top w:val="nil"/>
              <w:left w:val="single" w:sz="8" w:space="0" w:color="000000"/>
              <w:bottom w:val="nil"/>
              <w:right w:val="nil"/>
            </w:tcBorders>
            <w:shd w:val="clear" w:color="000000" w:fill="FFFFFF"/>
            <w:vAlign w:val="bottom"/>
            <w:hideMark/>
          </w:tcPr>
          <w:p w14:paraId="06AB2C39" w14:textId="77777777" w:rsidR="002A66B3" w:rsidRPr="00F51774" w:rsidRDefault="002A66B3" w:rsidP="002A66B3">
            <w:pPr>
              <w:jc w:val="center"/>
              <w:rPr>
                <w:rFonts w:cstheme="minorHAnsi"/>
                <w:b/>
                <w:bCs/>
                <w:color w:val="000000"/>
              </w:rPr>
            </w:pPr>
            <w:r w:rsidRPr="00F51774">
              <w:rPr>
                <w:rFonts w:cstheme="minorHAnsi"/>
                <w:b/>
                <w:bCs/>
                <w:color w:val="000000"/>
              </w:rPr>
              <w:t xml:space="preserve">Pension and Other Employee </w:t>
            </w:r>
          </w:p>
        </w:tc>
        <w:tc>
          <w:tcPr>
            <w:tcW w:w="2403" w:type="dxa"/>
            <w:gridSpan w:val="2"/>
            <w:tcBorders>
              <w:top w:val="nil"/>
              <w:left w:val="nil"/>
              <w:bottom w:val="nil"/>
              <w:right w:val="nil"/>
            </w:tcBorders>
            <w:shd w:val="clear" w:color="000000" w:fill="FFFFFF"/>
            <w:vAlign w:val="bottom"/>
            <w:hideMark/>
          </w:tcPr>
          <w:p w14:paraId="6FCC322A" w14:textId="77777777" w:rsidR="002A66B3" w:rsidRPr="00F51774" w:rsidRDefault="002A66B3" w:rsidP="002A66B3">
            <w:pPr>
              <w:jc w:val="center"/>
              <w:rPr>
                <w:rFonts w:cstheme="minorHAnsi"/>
                <w:b/>
                <w:bCs/>
                <w:color w:val="000000"/>
                <w:u w:val="single"/>
              </w:rPr>
            </w:pPr>
            <w:r w:rsidRPr="00F51774">
              <w:rPr>
                <w:rFonts w:cstheme="minorHAnsi"/>
                <w:b/>
                <w:bCs/>
                <w:color w:val="000000"/>
                <w:u w:val="single"/>
              </w:rPr>
              <w:t>Custodial Funds</w:t>
            </w:r>
          </w:p>
        </w:tc>
      </w:tr>
      <w:tr w:rsidR="008B3EFA" w:rsidRPr="002A66B3" w14:paraId="6FD8DBAD" w14:textId="77777777" w:rsidTr="00F51774">
        <w:trPr>
          <w:trHeight w:val="648"/>
          <w:jc w:val="center"/>
        </w:trPr>
        <w:tc>
          <w:tcPr>
            <w:tcW w:w="4050" w:type="dxa"/>
            <w:tcBorders>
              <w:top w:val="nil"/>
              <w:left w:val="nil"/>
              <w:bottom w:val="single" w:sz="12" w:space="0" w:color="000000"/>
              <w:right w:val="nil"/>
            </w:tcBorders>
            <w:shd w:val="clear" w:color="000000" w:fill="FFFFFF"/>
            <w:noWrap/>
            <w:hideMark/>
          </w:tcPr>
          <w:p w14:paraId="20C5AC8D" w14:textId="3B824C9F" w:rsidR="002A66B3" w:rsidRPr="00F51774" w:rsidRDefault="002A66B3" w:rsidP="002A66B3">
            <w:pPr>
              <w:jc w:val="center"/>
              <w:rPr>
                <w:rFonts w:cstheme="minorHAnsi"/>
                <w:b/>
                <w:bCs/>
                <w:color w:val="000000"/>
              </w:rPr>
            </w:pPr>
          </w:p>
        </w:tc>
        <w:tc>
          <w:tcPr>
            <w:tcW w:w="1170" w:type="dxa"/>
            <w:tcBorders>
              <w:top w:val="nil"/>
              <w:left w:val="nil"/>
              <w:bottom w:val="single" w:sz="12" w:space="0" w:color="000000"/>
              <w:right w:val="nil"/>
            </w:tcBorders>
            <w:shd w:val="clear" w:color="000000" w:fill="FFFFFF"/>
            <w:vAlign w:val="bottom"/>
            <w:hideMark/>
          </w:tcPr>
          <w:p w14:paraId="5A7970B1" w14:textId="77777777" w:rsidR="002A66B3" w:rsidRPr="00F51774" w:rsidRDefault="002A66B3" w:rsidP="002A66B3">
            <w:pPr>
              <w:jc w:val="center"/>
              <w:rPr>
                <w:rFonts w:cstheme="minorHAnsi"/>
                <w:b/>
                <w:bCs/>
                <w:color w:val="000000"/>
              </w:rPr>
            </w:pPr>
            <w:r w:rsidRPr="00F51774">
              <w:rPr>
                <w:rFonts w:cstheme="minorHAnsi"/>
                <w:b/>
                <w:bCs/>
                <w:color w:val="000000"/>
              </w:rPr>
              <w:t>Benefit Trust Funds</w:t>
            </w:r>
          </w:p>
        </w:tc>
        <w:tc>
          <w:tcPr>
            <w:tcW w:w="1260" w:type="dxa"/>
            <w:tcBorders>
              <w:top w:val="nil"/>
              <w:left w:val="nil"/>
              <w:bottom w:val="single" w:sz="12" w:space="0" w:color="000000"/>
              <w:right w:val="nil"/>
            </w:tcBorders>
            <w:shd w:val="clear" w:color="000000" w:fill="FFFFFF"/>
            <w:vAlign w:val="bottom"/>
            <w:hideMark/>
          </w:tcPr>
          <w:p w14:paraId="7FE51D79" w14:textId="77777777" w:rsidR="002A66B3" w:rsidRPr="00F51774" w:rsidRDefault="002A66B3" w:rsidP="002A66B3">
            <w:pPr>
              <w:jc w:val="center"/>
              <w:rPr>
                <w:rFonts w:cstheme="minorHAnsi"/>
                <w:b/>
                <w:bCs/>
                <w:color w:val="000000"/>
              </w:rPr>
            </w:pPr>
            <w:r w:rsidRPr="00F51774">
              <w:rPr>
                <w:rFonts w:cstheme="minorHAnsi"/>
                <w:b/>
                <w:bCs/>
                <w:color w:val="000000"/>
              </w:rPr>
              <w:t>External Investment Pools</w:t>
            </w:r>
          </w:p>
        </w:tc>
        <w:tc>
          <w:tcPr>
            <w:tcW w:w="1068" w:type="dxa"/>
            <w:tcBorders>
              <w:top w:val="nil"/>
              <w:left w:val="nil"/>
              <w:bottom w:val="single" w:sz="12" w:space="0" w:color="000000"/>
              <w:right w:val="single" w:sz="8" w:space="0" w:color="000000"/>
            </w:tcBorders>
            <w:shd w:val="clear" w:color="000000" w:fill="FFFFFF"/>
            <w:vAlign w:val="bottom"/>
            <w:hideMark/>
          </w:tcPr>
          <w:p w14:paraId="13A8AFBC" w14:textId="77777777" w:rsidR="002A66B3" w:rsidRPr="00F51774" w:rsidRDefault="002A66B3" w:rsidP="002A66B3">
            <w:pPr>
              <w:jc w:val="center"/>
              <w:rPr>
                <w:rFonts w:cstheme="minorHAnsi"/>
                <w:b/>
                <w:bCs/>
                <w:color w:val="000000"/>
              </w:rPr>
            </w:pPr>
            <w:r w:rsidRPr="00F51774">
              <w:rPr>
                <w:rFonts w:cstheme="minorHAnsi"/>
                <w:b/>
                <w:bCs/>
                <w:color w:val="000000"/>
              </w:rPr>
              <w:t>Other Custodial Funds</w:t>
            </w:r>
          </w:p>
        </w:tc>
        <w:tc>
          <w:tcPr>
            <w:tcW w:w="1119" w:type="dxa"/>
            <w:tcBorders>
              <w:top w:val="nil"/>
              <w:left w:val="single" w:sz="8" w:space="0" w:color="000000"/>
              <w:bottom w:val="single" w:sz="12" w:space="0" w:color="000000"/>
              <w:right w:val="nil"/>
            </w:tcBorders>
            <w:shd w:val="clear" w:color="000000" w:fill="FFFFFF"/>
            <w:vAlign w:val="bottom"/>
            <w:hideMark/>
          </w:tcPr>
          <w:p w14:paraId="496A6DAD" w14:textId="77777777" w:rsidR="002A66B3" w:rsidRPr="00F51774" w:rsidRDefault="002A66B3" w:rsidP="002A66B3">
            <w:pPr>
              <w:jc w:val="center"/>
              <w:rPr>
                <w:rFonts w:cstheme="minorHAnsi"/>
                <w:b/>
                <w:bCs/>
                <w:color w:val="000000"/>
              </w:rPr>
            </w:pPr>
            <w:r w:rsidRPr="00F51774">
              <w:rPr>
                <w:rFonts w:cstheme="minorHAnsi"/>
                <w:b/>
                <w:bCs/>
                <w:color w:val="000000"/>
              </w:rPr>
              <w:t>Benefit Trust Funds</w:t>
            </w:r>
          </w:p>
        </w:tc>
        <w:tc>
          <w:tcPr>
            <w:tcW w:w="1256" w:type="dxa"/>
            <w:tcBorders>
              <w:top w:val="nil"/>
              <w:left w:val="nil"/>
              <w:bottom w:val="single" w:sz="12" w:space="0" w:color="000000"/>
              <w:right w:val="nil"/>
            </w:tcBorders>
            <w:shd w:val="clear" w:color="000000" w:fill="FFFFFF"/>
            <w:vAlign w:val="bottom"/>
            <w:hideMark/>
          </w:tcPr>
          <w:p w14:paraId="12FE7066" w14:textId="77777777" w:rsidR="002A66B3" w:rsidRPr="00F51774" w:rsidRDefault="002A66B3" w:rsidP="002A66B3">
            <w:pPr>
              <w:jc w:val="center"/>
              <w:rPr>
                <w:rFonts w:cstheme="minorHAnsi"/>
                <w:b/>
                <w:bCs/>
                <w:color w:val="000000"/>
              </w:rPr>
            </w:pPr>
            <w:r w:rsidRPr="00F51774">
              <w:rPr>
                <w:rFonts w:cstheme="minorHAnsi"/>
                <w:b/>
                <w:bCs/>
                <w:color w:val="000000"/>
              </w:rPr>
              <w:t>External Investment Pools</w:t>
            </w:r>
          </w:p>
        </w:tc>
        <w:tc>
          <w:tcPr>
            <w:tcW w:w="1147" w:type="dxa"/>
            <w:tcBorders>
              <w:top w:val="nil"/>
              <w:left w:val="nil"/>
              <w:bottom w:val="single" w:sz="12" w:space="0" w:color="000000"/>
              <w:right w:val="nil"/>
            </w:tcBorders>
            <w:shd w:val="clear" w:color="000000" w:fill="FFFFFF"/>
            <w:vAlign w:val="bottom"/>
            <w:hideMark/>
          </w:tcPr>
          <w:p w14:paraId="462AB7C5" w14:textId="77777777" w:rsidR="002A66B3" w:rsidRPr="00F51774" w:rsidRDefault="002A66B3" w:rsidP="002A66B3">
            <w:pPr>
              <w:jc w:val="center"/>
              <w:rPr>
                <w:rFonts w:cstheme="minorHAnsi"/>
                <w:b/>
                <w:bCs/>
                <w:color w:val="000000"/>
              </w:rPr>
            </w:pPr>
            <w:r w:rsidRPr="00F51774">
              <w:rPr>
                <w:rFonts w:cstheme="minorHAnsi"/>
                <w:b/>
                <w:bCs/>
                <w:color w:val="000000"/>
              </w:rPr>
              <w:t>Other Custodial Funds</w:t>
            </w:r>
          </w:p>
        </w:tc>
      </w:tr>
      <w:tr w:rsidR="008B3EFA" w:rsidRPr="002A66B3" w14:paraId="25822575" w14:textId="77777777" w:rsidTr="00F51774">
        <w:trPr>
          <w:trHeight w:val="50"/>
          <w:jc w:val="center"/>
        </w:trPr>
        <w:tc>
          <w:tcPr>
            <w:tcW w:w="4050" w:type="dxa"/>
            <w:tcBorders>
              <w:top w:val="nil"/>
              <w:left w:val="nil"/>
              <w:bottom w:val="nil"/>
              <w:right w:val="nil"/>
            </w:tcBorders>
            <w:shd w:val="clear" w:color="000000" w:fill="FFFFFF"/>
            <w:noWrap/>
            <w:vAlign w:val="bottom"/>
            <w:hideMark/>
          </w:tcPr>
          <w:p w14:paraId="6D707741" w14:textId="77777777" w:rsidR="002A66B3" w:rsidRPr="00F51774" w:rsidRDefault="002A66B3" w:rsidP="002A66B3">
            <w:pPr>
              <w:rPr>
                <w:rFonts w:cstheme="minorHAnsi"/>
                <w:b/>
                <w:bCs/>
                <w:color w:val="000000"/>
              </w:rPr>
            </w:pPr>
            <w:r w:rsidRPr="00F51774">
              <w:rPr>
                <w:rFonts w:cstheme="minorHAnsi"/>
                <w:b/>
                <w:bCs/>
                <w:color w:val="000000"/>
              </w:rPr>
              <w:t>Additions</w:t>
            </w:r>
          </w:p>
        </w:tc>
        <w:tc>
          <w:tcPr>
            <w:tcW w:w="1170" w:type="dxa"/>
            <w:tcBorders>
              <w:top w:val="nil"/>
              <w:left w:val="nil"/>
              <w:bottom w:val="nil"/>
              <w:right w:val="nil"/>
            </w:tcBorders>
            <w:shd w:val="clear" w:color="000000" w:fill="FFFFFF"/>
            <w:noWrap/>
            <w:vAlign w:val="bottom"/>
            <w:hideMark/>
          </w:tcPr>
          <w:p w14:paraId="0E9BD8C0" w14:textId="687C75C5" w:rsidR="002A66B3" w:rsidRPr="00F51774" w:rsidRDefault="002A66B3" w:rsidP="002A66B3">
            <w:pPr>
              <w:jc w:val="right"/>
              <w:rPr>
                <w:rFonts w:cstheme="minorHAnsi"/>
                <w:color w:val="0D0D0D" w:themeColor="text1" w:themeTint="F2"/>
              </w:rPr>
            </w:pPr>
          </w:p>
        </w:tc>
        <w:tc>
          <w:tcPr>
            <w:tcW w:w="1260" w:type="dxa"/>
            <w:tcBorders>
              <w:top w:val="nil"/>
              <w:left w:val="nil"/>
              <w:bottom w:val="nil"/>
              <w:right w:val="nil"/>
            </w:tcBorders>
            <w:shd w:val="clear" w:color="000000" w:fill="FFFFFF"/>
            <w:noWrap/>
            <w:vAlign w:val="bottom"/>
            <w:hideMark/>
          </w:tcPr>
          <w:p w14:paraId="0BD6F307" w14:textId="6A771964" w:rsidR="002A66B3" w:rsidRPr="00F51774" w:rsidRDefault="002A66B3" w:rsidP="002A66B3">
            <w:pPr>
              <w:jc w:val="right"/>
              <w:rPr>
                <w:rFonts w:cstheme="minorHAnsi"/>
                <w:color w:val="0D0D0D" w:themeColor="text1" w:themeTint="F2"/>
              </w:rPr>
            </w:pPr>
          </w:p>
        </w:tc>
        <w:tc>
          <w:tcPr>
            <w:tcW w:w="1068" w:type="dxa"/>
            <w:tcBorders>
              <w:top w:val="nil"/>
              <w:left w:val="nil"/>
              <w:bottom w:val="nil"/>
              <w:right w:val="single" w:sz="8" w:space="0" w:color="000000"/>
            </w:tcBorders>
            <w:shd w:val="clear" w:color="000000" w:fill="FFFFFF"/>
            <w:noWrap/>
            <w:vAlign w:val="bottom"/>
            <w:hideMark/>
          </w:tcPr>
          <w:p w14:paraId="50360CA3" w14:textId="6FE4E715" w:rsidR="002A66B3" w:rsidRPr="00F51774" w:rsidRDefault="002A66B3" w:rsidP="002A66B3">
            <w:pPr>
              <w:jc w:val="right"/>
              <w:rPr>
                <w:rFonts w:cstheme="minorHAnsi"/>
                <w:color w:val="0D0D0D" w:themeColor="text1" w:themeTint="F2"/>
              </w:rPr>
            </w:pPr>
          </w:p>
        </w:tc>
        <w:tc>
          <w:tcPr>
            <w:tcW w:w="1119" w:type="dxa"/>
            <w:tcBorders>
              <w:top w:val="nil"/>
              <w:left w:val="single" w:sz="8" w:space="0" w:color="000000"/>
              <w:bottom w:val="nil"/>
              <w:right w:val="nil"/>
            </w:tcBorders>
            <w:shd w:val="clear" w:color="000000" w:fill="FFFFFF"/>
            <w:noWrap/>
            <w:vAlign w:val="bottom"/>
            <w:hideMark/>
          </w:tcPr>
          <w:p w14:paraId="448FB2CA" w14:textId="43BD8E85" w:rsidR="002A66B3" w:rsidRPr="00F51774" w:rsidRDefault="002A66B3" w:rsidP="002A66B3">
            <w:pPr>
              <w:jc w:val="right"/>
              <w:rPr>
                <w:rFonts w:cstheme="minorHAnsi"/>
              </w:rPr>
            </w:pPr>
          </w:p>
        </w:tc>
        <w:tc>
          <w:tcPr>
            <w:tcW w:w="1256" w:type="dxa"/>
            <w:tcBorders>
              <w:top w:val="nil"/>
              <w:left w:val="nil"/>
              <w:bottom w:val="nil"/>
              <w:right w:val="nil"/>
            </w:tcBorders>
            <w:shd w:val="clear" w:color="000000" w:fill="FFFFFF"/>
            <w:noWrap/>
            <w:vAlign w:val="bottom"/>
            <w:hideMark/>
          </w:tcPr>
          <w:p w14:paraId="57CAC699" w14:textId="16534DCD" w:rsidR="002A66B3" w:rsidRPr="00F51774" w:rsidRDefault="002A66B3" w:rsidP="002A66B3">
            <w:pPr>
              <w:jc w:val="right"/>
              <w:rPr>
                <w:rFonts w:cstheme="minorHAnsi"/>
              </w:rPr>
            </w:pPr>
          </w:p>
        </w:tc>
        <w:tc>
          <w:tcPr>
            <w:tcW w:w="1147" w:type="dxa"/>
            <w:tcBorders>
              <w:top w:val="nil"/>
              <w:left w:val="nil"/>
              <w:bottom w:val="nil"/>
              <w:right w:val="nil"/>
            </w:tcBorders>
            <w:shd w:val="clear" w:color="000000" w:fill="FFFFFF"/>
            <w:noWrap/>
            <w:vAlign w:val="bottom"/>
            <w:hideMark/>
          </w:tcPr>
          <w:p w14:paraId="1931C5E8" w14:textId="75C78323" w:rsidR="002A66B3" w:rsidRPr="00F51774" w:rsidRDefault="002A66B3" w:rsidP="002A66B3">
            <w:pPr>
              <w:jc w:val="right"/>
              <w:rPr>
                <w:rFonts w:cstheme="minorHAnsi"/>
              </w:rPr>
            </w:pPr>
          </w:p>
        </w:tc>
      </w:tr>
      <w:tr w:rsidR="008B3EFA" w:rsidRPr="002A66B3" w14:paraId="38A3C300" w14:textId="77777777" w:rsidTr="00954223">
        <w:trPr>
          <w:trHeight w:val="90"/>
          <w:jc w:val="center"/>
        </w:trPr>
        <w:tc>
          <w:tcPr>
            <w:tcW w:w="4050" w:type="dxa"/>
            <w:tcBorders>
              <w:top w:val="nil"/>
              <w:left w:val="nil"/>
              <w:bottom w:val="nil"/>
              <w:right w:val="nil"/>
            </w:tcBorders>
            <w:shd w:val="clear" w:color="000000" w:fill="FFFFFF"/>
            <w:noWrap/>
            <w:vAlign w:val="bottom"/>
            <w:hideMark/>
          </w:tcPr>
          <w:p w14:paraId="0CE3BA9F" w14:textId="77777777" w:rsidR="002A66B3" w:rsidRPr="00F51774" w:rsidRDefault="002A66B3" w:rsidP="002A66B3">
            <w:pPr>
              <w:rPr>
                <w:rFonts w:cstheme="minorHAnsi"/>
                <w:color w:val="000000"/>
              </w:rPr>
            </w:pPr>
            <w:r w:rsidRPr="00F51774">
              <w:rPr>
                <w:rFonts w:cstheme="minorHAnsi"/>
                <w:color w:val="000000"/>
              </w:rPr>
              <w:t>Contributions</w:t>
            </w:r>
          </w:p>
        </w:tc>
        <w:tc>
          <w:tcPr>
            <w:tcW w:w="1170" w:type="dxa"/>
            <w:tcBorders>
              <w:top w:val="nil"/>
              <w:left w:val="nil"/>
              <w:bottom w:val="nil"/>
              <w:right w:val="nil"/>
            </w:tcBorders>
            <w:shd w:val="clear" w:color="000000" w:fill="FFFFFF"/>
            <w:noWrap/>
            <w:vAlign w:val="bottom"/>
            <w:hideMark/>
          </w:tcPr>
          <w:p w14:paraId="177B1352" w14:textId="04C999CD" w:rsidR="002A66B3" w:rsidRPr="00F51774" w:rsidRDefault="002A66B3" w:rsidP="002A66B3">
            <w:pPr>
              <w:jc w:val="right"/>
              <w:rPr>
                <w:rFonts w:cstheme="minorHAnsi"/>
                <w:color w:val="0D0D0D" w:themeColor="text1" w:themeTint="F2"/>
              </w:rPr>
            </w:pPr>
          </w:p>
        </w:tc>
        <w:tc>
          <w:tcPr>
            <w:tcW w:w="1260" w:type="dxa"/>
            <w:tcBorders>
              <w:top w:val="nil"/>
              <w:left w:val="nil"/>
              <w:bottom w:val="nil"/>
              <w:right w:val="nil"/>
            </w:tcBorders>
            <w:shd w:val="clear" w:color="000000" w:fill="FFFFFF"/>
            <w:noWrap/>
            <w:vAlign w:val="bottom"/>
            <w:hideMark/>
          </w:tcPr>
          <w:p w14:paraId="67A0F50C" w14:textId="37B22D88" w:rsidR="002A66B3" w:rsidRPr="00F51774" w:rsidRDefault="002A66B3" w:rsidP="002A66B3">
            <w:pPr>
              <w:jc w:val="right"/>
              <w:rPr>
                <w:rFonts w:cstheme="minorHAnsi"/>
                <w:color w:val="0D0D0D" w:themeColor="text1" w:themeTint="F2"/>
              </w:rPr>
            </w:pPr>
          </w:p>
        </w:tc>
        <w:tc>
          <w:tcPr>
            <w:tcW w:w="1068" w:type="dxa"/>
            <w:tcBorders>
              <w:top w:val="nil"/>
              <w:left w:val="nil"/>
              <w:bottom w:val="nil"/>
              <w:right w:val="single" w:sz="8" w:space="0" w:color="000000"/>
            </w:tcBorders>
            <w:shd w:val="clear" w:color="000000" w:fill="FFFFFF"/>
            <w:noWrap/>
            <w:vAlign w:val="bottom"/>
            <w:hideMark/>
          </w:tcPr>
          <w:p w14:paraId="24E5B968" w14:textId="3E5B4363" w:rsidR="002A66B3" w:rsidRPr="00F51774" w:rsidRDefault="002A66B3" w:rsidP="002A66B3">
            <w:pPr>
              <w:jc w:val="right"/>
              <w:rPr>
                <w:rFonts w:cstheme="minorHAnsi"/>
                <w:color w:val="0D0D0D" w:themeColor="text1" w:themeTint="F2"/>
              </w:rPr>
            </w:pPr>
          </w:p>
        </w:tc>
        <w:tc>
          <w:tcPr>
            <w:tcW w:w="1119" w:type="dxa"/>
            <w:tcBorders>
              <w:top w:val="nil"/>
              <w:left w:val="single" w:sz="8" w:space="0" w:color="000000"/>
              <w:bottom w:val="nil"/>
              <w:right w:val="nil"/>
            </w:tcBorders>
            <w:shd w:val="clear" w:color="000000" w:fill="FFFFFF"/>
            <w:noWrap/>
            <w:vAlign w:val="bottom"/>
            <w:hideMark/>
          </w:tcPr>
          <w:p w14:paraId="1C06A1C7" w14:textId="6A096FDD" w:rsidR="002A66B3" w:rsidRPr="00F51774" w:rsidRDefault="002A66B3" w:rsidP="002A66B3">
            <w:pPr>
              <w:jc w:val="right"/>
              <w:rPr>
                <w:rFonts w:cstheme="minorHAnsi"/>
              </w:rPr>
            </w:pPr>
          </w:p>
        </w:tc>
        <w:tc>
          <w:tcPr>
            <w:tcW w:w="1256" w:type="dxa"/>
            <w:tcBorders>
              <w:top w:val="nil"/>
              <w:left w:val="nil"/>
              <w:bottom w:val="nil"/>
              <w:right w:val="nil"/>
            </w:tcBorders>
            <w:shd w:val="clear" w:color="000000" w:fill="FFFFFF"/>
            <w:noWrap/>
            <w:vAlign w:val="bottom"/>
            <w:hideMark/>
          </w:tcPr>
          <w:p w14:paraId="4578FE59" w14:textId="45AC6DD1" w:rsidR="002A66B3" w:rsidRPr="00F51774" w:rsidRDefault="002A66B3" w:rsidP="002A66B3">
            <w:pPr>
              <w:jc w:val="right"/>
              <w:rPr>
                <w:rFonts w:cstheme="minorHAnsi"/>
              </w:rPr>
            </w:pPr>
          </w:p>
        </w:tc>
        <w:tc>
          <w:tcPr>
            <w:tcW w:w="1147" w:type="dxa"/>
            <w:tcBorders>
              <w:top w:val="nil"/>
              <w:left w:val="nil"/>
              <w:right w:val="nil"/>
            </w:tcBorders>
            <w:shd w:val="clear" w:color="000000" w:fill="FFFFFF"/>
            <w:noWrap/>
            <w:vAlign w:val="bottom"/>
            <w:hideMark/>
          </w:tcPr>
          <w:p w14:paraId="4DC278DE" w14:textId="62486AB3" w:rsidR="002A66B3" w:rsidRPr="00F51774" w:rsidRDefault="002A66B3" w:rsidP="002A66B3">
            <w:pPr>
              <w:jc w:val="right"/>
              <w:rPr>
                <w:rFonts w:cstheme="minorHAnsi"/>
              </w:rPr>
            </w:pPr>
          </w:p>
        </w:tc>
      </w:tr>
      <w:tr w:rsidR="008B3EFA" w:rsidRPr="002A66B3" w14:paraId="2808E95A" w14:textId="77777777" w:rsidTr="00954223">
        <w:trPr>
          <w:trHeight w:val="90"/>
          <w:jc w:val="center"/>
        </w:trPr>
        <w:tc>
          <w:tcPr>
            <w:tcW w:w="4050" w:type="dxa"/>
            <w:tcBorders>
              <w:top w:val="nil"/>
              <w:left w:val="nil"/>
              <w:bottom w:val="nil"/>
              <w:right w:val="nil"/>
            </w:tcBorders>
            <w:shd w:val="clear" w:color="000000" w:fill="FFFFFF"/>
            <w:noWrap/>
            <w:vAlign w:val="bottom"/>
            <w:hideMark/>
          </w:tcPr>
          <w:p w14:paraId="7D7CB57B" w14:textId="77777777" w:rsidR="002A66B3" w:rsidRPr="00F51774" w:rsidRDefault="002A66B3" w:rsidP="00F51774">
            <w:pPr>
              <w:ind w:left="255"/>
              <w:rPr>
                <w:rFonts w:cstheme="minorHAnsi"/>
              </w:rPr>
            </w:pPr>
            <w:r w:rsidRPr="00F51774">
              <w:rPr>
                <w:rFonts w:cstheme="minorHAnsi"/>
              </w:rPr>
              <w:t>Employer contributions</w:t>
            </w:r>
          </w:p>
        </w:tc>
        <w:tc>
          <w:tcPr>
            <w:tcW w:w="1170" w:type="dxa"/>
            <w:tcBorders>
              <w:top w:val="nil"/>
              <w:left w:val="nil"/>
              <w:bottom w:val="nil"/>
              <w:right w:val="nil"/>
            </w:tcBorders>
            <w:shd w:val="clear" w:color="000000" w:fill="FFFFFF"/>
            <w:noWrap/>
            <w:vAlign w:val="bottom"/>
            <w:hideMark/>
          </w:tcPr>
          <w:p w14:paraId="344B31C3" w14:textId="77777777" w:rsidR="002A66B3" w:rsidRPr="00F51774" w:rsidRDefault="002A66B3" w:rsidP="002A66B3">
            <w:pPr>
              <w:jc w:val="right"/>
              <w:rPr>
                <w:rFonts w:cstheme="minorHAnsi"/>
              </w:rPr>
            </w:pPr>
            <w:r w:rsidRPr="00F51774">
              <w:rPr>
                <w:rFonts w:cstheme="minorHAnsi"/>
              </w:rPr>
              <w:t>$   8,806</w:t>
            </w:r>
          </w:p>
        </w:tc>
        <w:tc>
          <w:tcPr>
            <w:tcW w:w="1260" w:type="dxa"/>
            <w:tcBorders>
              <w:top w:val="nil"/>
              <w:left w:val="nil"/>
              <w:bottom w:val="nil"/>
              <w:right w:val="nil"/>
            </w:tcBorders>
            <w:shd w:val="clear" w:color="000000" w:fill="FFFFFF"/>
            <w:noWrap/>
            <w:vAlign w:val="bottom"/>
            <w:hideMark/>
          </w:tcPr>
          <w:p w14:paraId="43C0C5E7" w14:textId="77777777" w:rsidR="002A66B3" w:rsidRPr="00F51774" w:rsidRDefault="002A66B3" w:rsidP="002A66B3">
            <w:pPr>
              <w:jc w:val="right"/>
              <w:rPr>
                <w:rFonts w:cstheme="minorHAnsi"/>
              </w:rPr>
            </w:pPr>
            <w:r w:rsidRPr="00F51774">
              <w:rPr>
                <w:rFonts w:cstheme="minorHAnsi"/>
              </w:rPr>
              <w:t xml:space="preserve">$             - </w:t>
            </w:r>
          </w:p>
        </w:tc>
        <w:tc>
          <w:tcPr>
            <w:tcW w:w="1068" w:type="dxa"/>
            <w:tcBorders>
              <w:top w:val="nil"/>
              <w:left w:val="nil"/>
              <w:bottom w:val="nil"/>
              <w:right w:val="single" w:sz="8" w:space="0" w:color="000000"/>
            </w:tcBorders>
            <w:shd w:val="clear" w:color="000000" w:fill="FFFFFF"/>
            <w:noWrap/>
            <w:vAlign w:val="bottom"/>
            <w:hideMark/>
          </w:tcPr>
          <w:p w14:paraId="5575145F" w14:textId="77777777" w:rsidR="002A66B3" w:rsidRPr="00F51774" w:rsidRDefault="002A66B3" w:rsidP="002A66B3">
            <w:pPr>
              <w:jc w:val="right"/>
              <w:rPr>
                <w:rFonts w:cstheme="minorHAnsi"/>
              </w:rPr>
            </w:pPr>
            <w:r w:rsidRPr="00F51774">
              <w:rPr>
                <w:rFonts w:cstheme="minorHAnsi"/>
              </w:rPr>
              <w:t xml:space="preserve">$            - </w:t>
            </w:r>
          </w:p>
        </w:tc>
        <w:tc>
          <w:tcPr>
            <w:tcW w:w="1119" w:type="dxa"/>
            <w:tcBorders>
              <w:top w:val="nil"/>
              <w:left w:val="nil"/>
              <w:bottom w:val="nil"/>
              <w:right w:val="nil"/>
            </w:tcBorders>
            <w:shd w:val="clear" w:color="000000" w:fill="FFFFFF"/>
            <w:noWrap/>
            <w:vAlign w:val="bottom"/>
            <w:hideMark/>
          </w:tcPr>
          <w:p w14:paraId="079B581B" w14:textId="77777777" w:rsidR="002A66B3" w:rsidRPr="00F51774" w:rsidRDefault="002A66B3" w:rsidP="002A66B3">
            <w:pPr>
              <w:jc w:val="right"/>
              <w:rPr>
                <w:rFonts w:cstheme="minorHAnsi"/>
              </w:rPr>
            </w:pPr>
            <w:r w:rsidRPr="00F51774">
              <w:rPr>
                <w:rFonts w:cstheme="minorHAnsi"/>
              </w:rPr>
              <w:t xml:space="preserve">$   10,598 </w:t>
            </w:r>
          </w:p>
        </w:tc>
        <w:tc>
          <w:tcPr>
            <w:tcW w:w="1256" w:type="dxa"/>
            <w:tcBorders>
              <w:top w:val="nil"/>
              <w:left w:val="nil"/>
              <w:bottom w:val="nil"/>
              <w:right w:val="nil"/>
            </w:tcBorders>
            <w:shd w:val="clear" w:color="000000" w:fill="FFFFFF"/>
            <w:noWrap/>
            <w:vAlign w:val="bottom"/>
            <w:hideMark/>
          </w:tcPr>
          <w:p w14:paraId="6D8FC43F" w14:textId="77777777" w:rsidR="002A66B3" w:rsidRPr="00F51774" w:rsidRDefault="002A66B3" w:rsidP="002A66B3">
            <w:pPr>
              <w:jc w:val="right"/>
              <w:rPr>
                <w:rFonts w:cstheme="minorHAnsi"/>
              </w:rPr>
            </w:pPr>
            <w:r w:rsidRPr="00F51774">
              <w:rPr>
                <w:rFonts w:cstheme="minorHAnsi"/>
              </w:rPr>
              <w:t xml:space="preserve">$                 - </w:t>
            </w:r>
          </w:p>
        </w:tc>
        <w:tc>
          <w:tcPr>
            <w:tcW w:w="1147" w:type="dxa"/>
            <w:tcBorders>
              <w:top w:val="nil"/>
              <w:left w:val="nil"/>
              <w:bottom w:val="nil"/>
            </w:tcBorders>
            <w:shd w:val="clear" w:color="000000" w:fill="FFFFFF"/>
            <w:noWrap/>
            <w:vAlign w:val="bottom"/>
            <w:hideMark/>
          </w:tcPr>
          <w:p w14:paraId="3F6886D2" w14:textId="77777777" w:rsidR="002A66B3" w:rsidRPr="00F51774" w:rsidRDefault="002A66B3" w:rsidP="002A66B3">
            <w:pPr>
              <w:jc w:val="right"/>
              <w:rPr>
                <w:rFonts w:cstheme="minorHAnsi"/>
              </w:rPr>
            </w:pPr>
            <w:r w:rsidRPr="00F51774">
              <w:rPr>
                <w:rFonts w:cstheme="minorHAnsi"/>
              </w:rPr>
              <w:t xml:space="preserve">$            - </w:t>
            </w:r>
          </w:p>
        </w:tc>
      </w:tr>
      <w:tr w:rsidR="008B3EFA" w:rsidRPr="002A66B3" w14:paraId="1863D14A" w14:textId="77777777" w:rsidTr="00954223">
        <w:trPr>
          <w:trHeight w:val="80"/>
          <w:jc w:val="center"/>
        </w:trPr>
        <w:tc>
          <w:tcPr>
            <w:tcW w:w="4050" w:type="dxa"/>
            <w:tcBorders>
              <w:top w:val="nil"/>
              <w:left w:val="nil"/>
              <w:bottom w:val="nil"/>
              <w:right w:val="nil"/>
            </w:tcBorders>
            <w:shd w:val="clear" w:color="000000" w:fill="FFFFFF"/>
            <w:noWrap/>
            <w:vAlign w:val="bottom"/>
            <w:hideMark/>
          </w:tcPr>
          <w:p w14:paraId="78ECEAF9" w14:textId="77777777" w:rsidR="002A66B3" w:rsidRPr="00F51774" w:rsidRDefault="002A66B3" w:rsidP="00F51774">
            <w:pPr>
              <w:ind w:left="255"/>
              <w:rPr>
                <w:rFonts w:cstheme="minorHAnsi"/>
              </w:rPr>
            </w:pPr>
            <w:r w:rsidRPr="00F51774">
              <w:rPr>
                <w:rFonts w:cstheme="minorHAnsi"/>
              </w:rPr>
              <w:t>Retiree contributions</w:t>
            </w:r>
          </w:p>
        </w:tc>
        <w:tc>
          <w:tcPr>
            <w:tcW w:w="1170" w:type="dxa"/>
            <w:tcBorders>
              <w:top w:val="nil"/>
              <w:left w:val="nil"/>
              <w:bottom w:val="nil"/>
              <w:right w:val="nil"/>
            </w:tcBorders>
            <w:shd w:val="clear" w:color="000000" w:fill="FFFFFF"/>
            <w:noWrap/>
            <w:vAlign w:val="bottom"/>
            <w:hideMark/>
          </w:tcPr>
          <w:p w14:paraId="33FF4506" w14:textId="77777777" w:rsidR="002A66B3" w:rsidRPr="00F51774" w:rsidRDefault="002A66B3" w:rsidP="002A66B3">
            <w:pPr>
              <w:jc w:val="right"/>
              <w:rPr>
                <w:rFonts w:cstheme="minorHAnsi"/>
              </w:rPr>
            </w:pPr>
            <w:r w:rsidRPr="00F51774">
              <w:rPr>
                <w:rFonts w:cstheme="minorHAnsi"/>
              </w:rPr>
              <w:t xml:space="preserve">1,848 </w:t>
            </w:r>
          </w:p>
        </w:tc>
        <w:tc>
          <w:tcPr>
            <w:tcW w:w="1260" w:type="dxa"/>
            <w:tcBorders>
              <w:top w:val="nil"/>
              <w:left w:val="nil"/>
              <w:bottom w:val="nil"/>
              <w:right w:val="nil"/>
            </w:tcBorders>
            <w:shd w:val="clear" w:color="000000" w:fill="FFFFFF"/>
            <w:noWrap/>
            <w:vAlign w:val="bottom"/>
            <w:hideMark/>
          </w:tcPr>
          <w:p w14:paraId="6307C6AD" w14:textId="77777777" w:rsidR="002A66B3" w:rsidRPr="00F51774" w:rsidRDefault="002A66B3" w:rsidP="002A66B3">
            <w:pPr>
              <w:jc w:val="right"/>
              <w:rPr>
                <w:rFonts w:cstheme="minorHAnsi"/>
              </w:rPr>
            </w:pPr>
            <w:r w:rsidRPr="00F51774">
              <w:rPr>
                <w:rFonts w:cstheme="minorHAnsi"/>
              </w:rPr>
              <w:t xml:space="preserve">- </w:t>
            </w:r>
          </w:p>
        </w:tc>
        <w:tc>
          <w:tcPr>
            <w:tcW w:w="1068" w:type="dxa"/>
            <w:tcBorders>
              <w:top w:val="nil"/>
              <w:left w:val="nil"/>
              <w:bottom w:val="nil"/>
              <w:right w:val="single" w:sz="8" w:space="0" w:color="000000"/>
            </w:tcBorders>
            <w:shd w:val="clear" w:color="000000" w:fill="FFFFFF"/>
            <w:noWrap/>
            <w:vAlign w:val="bottom"/>
            <w:hideMark/>
          </w:tcPr>
          <w:p w14:paraId="3C5DD056" w14:textId="77777777" w:rsidR="002A66B3" w:rsidRPr="00F51774" w:rsidRDefault="002A66B3" w:rsidP="002A66B3">
            <w:pPr>
              <w:jc w:val="right"/>
              <w:rPr>
                <w:rFonts w:cstheme="minorHAnsi"/>
              </w:rPr>
            </w:pPr>
            <w:r w:rsidRPr="00F51774">
              <w:rPr>
                <w:rFonts w:cstheme="minorHAnsi"/>
              </w:rPr>
              <w:t xml:space="preserve">- </w:t>
            </w:r>
          </w:p>
        </w:tc>
        <w:tc>
          <w:tcPr>
            <w:tcW w:w="1119" w:type="dxa"/>
            <w:tcBorders>
              <w:top w:val="nil"/>
              <w:left w:val="nil"/>
              <w:bottom w:val="nil"/>
              <w:right w:val="nil"/>
            </w:tcBorders>
            <w:shd w:val="clear" w:color="000000" w:fill="FFFFFF"/>
            <w:noWrap/>
            <w:vAlign w:val="bottom"/>
            <w:hideMark/>
          </w:tcPr>
          <w:p w14:paraId="760E45E3" w14:textId="77777777" w:rsidR="002A66B3" w:rsidRPr="00F51774" w:rsidRDefault="002A66B3" w:rsidP="002A66B3">
            <w:pPr>
              <w:jc w:val="right"/>
              <w:rPr>
                <w:rFonts w:cstheme="minorHAnsi"/>
              </w:rPr>
            </w:pPr>
            <w:r w:rsidRPr="00F51774">
              <w:rPr>
                <w:rFonts w:cstheme="minorHAnsi"/>
              </w:rPr>
              <w:t xml:space="preserve">1,853 </w:t>
            </w:r>
          </w:p>
        </w:tc>
        <w:tc>
          <w:tcPr>
            <w:tcW w:w="1256" w:type="dxa"/>
            <w:tcBorders>
              <w:top w:val="nil"/>
              <w:left w:val="nil"/>
              <w:bottom w:val="nil"/>
              <w:right w:val="nil"/>
            </w:tcBorders>
            <w:shd w:val="clear" w:color="000000" w:fill="FFFFFF"/>
            <w:noWrap/>
            <w:vAlign w:val="bottom"/>
            <w:hideMark/>
          </w:tcPr>
          <w:p w14:paraId="1C9BFCB8" w14:textId="77777777" w:rsidR="002A66B3" w:rsidRPr="00F51774" w:rsidRDefault="002A66B3" w:rsidP="002A66B3">
            <w:pPr>
              <w:jc w:val="right"/>
              <w:rPr>
                <w:rFonts w:cstheme="minorHAnsi"/>
              </w:rPr>
            </w:pPr>
            <w:r w:rsidRPr="00F51774">
              <w:rPr>
                <w:rFonts w:cstheme="minorHAnsi"/>
              </w:rPr>
              <w:t xml:space="preserve">- </w:t>
            </w:r>
          </w:p>
        </w:tc>
        <w:tc>
          <w:tcPr>
            <w:tcW w:w="1147" w:type="dxa"/>
            <w:tcBorders>
              <w:top w:val="nil"/>
              <w:left w:val="nil"/>
              <w:bottom w:val="nil"/>
            </w:tcBorders>
            <w:shd w:val="clear" w:color="000000" w:fill="FFFFFF"/>
            <w:noWrap/>
            <w:vAlign w:val="bottom"/>
            <w:hideMark/>
          </w:tcPr>
          <w:p w14:paraId="273ADE03" w14:textId="77777777" w:rsidR="002A66B3" w:rsidRPr="00F51774" w:rsidRDefault="002A66B3" w:rsidP="002A66B3">
            <w:pPr>
              <w:jc w:val="right"/>
              <w:rPr>
                <w:rFonts w:cstheme="minorHAnsi"/>
              </w:rPr>
            </w:pPr>
            <w:r w:rsidRPr="00F51774">
              <w:rPr>
                <w:rFonts w:cstheme="minorHAnsi"/>
              </w:rPr>
              <w:t xml:space="preserve">- </w:t>
            </w:r>
          </w:p>
        </w:tc>
      </w:tr>
      <w:tr w:rsidR="008B3EFA" w:rsidRPr="002A66B3" w14:paraId="2C46F149" w14:textId="77777777" w:rsidTr="00954223">
        <w:trPr>
          <w:trHeight w:val="80"/>
          <w:jc w:val="center"/>
        </w:trPr>
        <w:tc>
          <w:tcPr>
            <w:tcW w:w="4050" w:type="dxa"/>
            <w:tcBorders>
              <w:top w:val="nil"/>
              <w:left w:val="nil"/>
              <w:bottom w:val="nil"/>
              <w:right w:val="nil"/>
            </w:tcBorders>
            <w:shd w:val="clear" w:color="000000" w:fill="FFFFFF"/>
            <w:noWrap/>
            <w:vAlign w:val="bottom"/>
            <w:hideMark/>
          </w:tcPr>
          <w:p w14:paraId="4860C033" w14:textId="77777777" w:rsidR="002A66B3" w:rsidRPr="00F51774" w:rsidRDefault="002A66B3" w:rsidP="00F51774">
            <w:pPr>
              <w:ind w:left="255"/>
              <w:rPr>
                <w:rFonts w:cstheme="minorHAnsi"/>
              </w:rPr>
            </w:pPr>
            <w:r w:rsidRPr="00F51774">
              <w:rPr>
                <w:rFonts w:cstheme="minorHAnsi"/>
              </w:rPr>
              <w:t>Contributions to investment pools</w:t>
            </w:r>
          </w:p>
        </w:tc>
        <w:tc>
          <w:tcPr>
            <w:tcW w:w="1170" w:type="dxa"/>
            <w:tcBorders>
              <w:top w:val="nil"/>
              <w:left w:val="nil"/>
              <w:bottom w:val="nil"/>
              <w:right w:val="nil"/>
            </w:tcBorders>
            <w:shd w:val="clear" w:color="000000" w:fill="FFFFFF"/>
            <w:noWrap/>
            <w:vAlign w:val="bottom"/>
            <w:hideMark/>
          </w:tcPr>
          <w:p w14:paraId="42BA46D5" w14:textId="77777777" w:rsidR="002A66B3" w:rsidRPr="00F51774" w:rsidRDefault="002A66B3" w:rsidP="002A66B3">
            <w:pPr>
              <w:jc w:val="right"/>
              <w:rPr>
                <w:rFonts w:cstheme="minorHAnsi"/>
              </w:rPr>
            </w:pPr>
            <w:r w:rsidRPr="00F51774">
              <w:rPr>
                <w:rFonts w:cstheme="minorHAnsi"/>
              </w:rPr>
              <w:t xml:space="preserve">- </w:t>
            </w:r>
          </w:p>
        </w:tc>
        <w:tc>
          <w:tcPr>
            <w:tcW w:w="1260" w:type="dxa"/>
            <w:tcBorders>
              <w:top w:val="nil"/>
              <w:left w:val="nil"/>
              <w:bottom w:val="nil"/>
              <w:right w:val="nil"/>
            </w:tcBorders>
            <w:shd w:val="clear" w:color="000000" w:fill="FFFFFF"/>
            <w:noWrap/>
            <w:vAlign w:val="bottom"/>
            <w:hideMark/>
          </w:tcPr>
          <w:p w14:paraId="7F3C3F34" w14:textId="77777777" w:rsidR="002A66B3" w:rsidRPr="00F51774" w:rsidRDefault="002A66B3" w:rsidP="002A66B3">
            <w:pPr>
              <w:jc w:val="right"/>
              <w:rPr>
                <w:rFonts w:cstheme="minorHAnsi"/>
              </w:rPr>
            </w:pPr>
            <w:r w:rsidRPr="00F51774">
              <w:rPr>
                <w:rFonts w:cstheme="minorHAnsi"/>
              </w:rPr>
              <w:t>274</w:t>
            </w:r>
          </w:p>
        </w:tc>
        <w:tc>
          <w:tcPr>
            <w:tcW w:w="1068" w:type="dxa"/>
            <w:tcBorders>
              <w:top w:val="nil"/>
              <w:left w:val="nil"/>
              <w:bottom w:val="nil"/>
              <w:right w:val="single" w:sz="8" w:space="0" w:color="000000"/>
            </w:tcBorders>
            <w:shd w:val="clear" w:color="000000" w:fill="FFFFFF"/>
            <w:noWrap/>
            <w:vAlign w:val="bottom"/>
            <w:hideMark/>
          </w:tcPr>
          <w:p w14:paraId="4551A853" w14:textId="77777777" w:rsidR="002A66B3" w:rsidRPr="00F51774" w:rsidRDefault="002A66B3" w:rsidP="002A66B3">
            <w:pPr>
              <w:jc w:val="right"/>
              <w:rPr>
                <w:rFonts w:cstheme="minorHAnsi"/>
              </w:rPr>
            </w:pPr>
            <w:r w:rsidRPr="00F51774">
              <w:rPr>
                <w:rFonts w:cstheme="minorHAnsi"/>
              </w:rPr>
              <w:t xml:space="preserve">- </w:t>
            </w:r>
          </w:p>
        </w:tc>
        <w:tc>
          <w:tcPr>
            <w:tcW w:w="1119" w:type="dxa"/>
            <w:tcBorders>
              <w:top w:val="nil"/>
              <w:left w:val="nil"/>
              <w:bottom w:val="nil"/>
              <w:right w:val="nil"/>
            </w:tcBorders>
            <w:shd w:val="clear" w:color="000000" w:fill="FFFFFF"/>
            <w:noWrap/>
            <w:vAlign w:val="bottom"/>
            <w:hideMark/>
          </w:tcPr>
          <w:p w14:paraId="68B34A7F" w14:textId="77777777" w:rsidR="002A66B3" w:rsidRPr="00F51774" w:rsidRDefault="002A66B3" w:rsidP="002A66B3">
            <w:pPr>
              <w:jc w:val="right"/>
              <w:rPr>
                <w:rFonts w:cstheme="minorHAnsi"/>
              </w:rPr>
            </w:pPr>
            <w:r w:rsidRPr="00F51774">
              <w:rPr>
                <w:rFonts w:cstheme="minorHAnsi"/>
              </w:rPr>
              <w:t xml:space="preserve">- </w:t>
            </w:r>
          </w:p>
        </w:tc>
        <w:tc>
          <w:tcPr>
            <w:tcW w:w="1256" w:type="dxa"/>
            <w:tcBorders>
              <w:top w:val="nil"/>
              <w:left w:val="nil"/>
              <w:bottom w:val="nil"/>
              <w:right w:val="nil"/>
            </w:tcBorders>
            <w:shd w:val="clear" w:color="000000" w:fill="FFFFFF"/>
            <w:noWrap/>
            <w:vAlign w:val="bottom"/>
            <w:hideMark/>
          </w:tcPr>
          <w:p w14:paraId="413DDBE1" w14:textId="77777777" w:rsidR="002A66B3" w:rsidRPr="00F51774" w:rsidRDefault="002A66B3" w:rsidP="002A66B3">
            <w:pPr>
              <w:jc w:val="right"/>
              <w:rPr>
                <w:rFonts w:cstheme="minorHAnsi"/>
              </w:rPr>
            </w:pPr>
            <w:r w:rsidRPr="00F51774">
              <w:rPr>
                <w:rFonts w:cstheme="minorHAnsi"/>
              </w:rPr>
              <w:t xml:space="preserve">1,673 </w:t>
            </w:r>
          </w:p>
        </w:tc>
        <w:tc>
          <w:tcPr>
            <w:tcW w:w="1147" w:type="dxa"/>
            <w:tcBorders>
              <w:top w:val="nil"/>
              <w:left w:val="nil"/>
              <w:bottom w:val="nil"/>
            </w:tcBorders>
            <w:shd w:val="clear" w:color="000000" w:fill="FFFFFF"/>
            <w:noWrap/>
            <w:vAlign w:val="bottom"/>
            <w:hideMark/>
          </w:tcPr>
          <w:p w14:paraId="7D29163C" w14:textId="77777777" w:rsidR="002A66B3" w:rsidRPr="00F51774" w:rsidRDefault="002A66B3" w:rsidP="002A66B3">
            <w:pPr>
              <w:jc w:val="right"/>
              <w:rPr>
                <w:rFonts w:cstheme="minorHAnsi"/>
              </w:rPr>
            </w:pPr>
            <w:r w:rsidRPr="00F51774">
              <w:rPr>
                <w:rFonts w:cstheme="minorHAnsi"/>
              </w:rPr>
              <w:t xml:space="preserve">- </w:t>
            </w:r>
          </w:p>
        </w:tc>
      </w:tr>
      <w:tr w:rsidR="008B3EFA" w:rsidRPr="002A66B3" w14:paraId="320BBAB4" w14:textId="77777777" w:rsidTr="00954223">
        <w:trPr>
          <w:trHeight w:val="80"/>
          <w:jc w:val="center"/>
        </w:trPr>
        <w:tc>
          <w:tcPr>
            <w:tcW w:w="4050" w:type="dxa"/>
            <w:tcBorders>
              <w:top w:val="nil"/>
              <w:left w:val="nil"/>
              <w:bottom w:val="single" w:sz="4" w:space="0" w:color="000000"/>
              <w:right w:val="nil"/>
            </w:tcBorders>
            <w:shd w:val="clear" w:color="000000" w:fill="FFFFFF"/>
            <w:noWrap/>
            <w:vAlign w:val="bottom"/>
            <w:hideMark/>
          </w:tcPr>
          <w:p w14:paraId="38A3502B" w14:textId="77777777" w:rsidR="002A66B3" w:rsidRPr="00F51774" w:rsidRDefault="002A66B3" w:rsidP="00F51774">
            <w:pPr>
              <w:ind w:left="255"/>
              <w:rPr>
                <w:rFonts w:cstheme="minorHAnsi"/>
              </w:rPr>
            </w:pPr>
            <w:r w:rsidRPr="00F51774">
              <w:rPr>
                <w:rFonts w:cstheme="minorHAnsi"/>
              </w:rPr>
              <w:t>Private donations</w:t>
            </w:r>
          </w:p>
        </w:tc>
        <w:tc>
          <w:tcPr>
            <w:tcW w:w="1170" w:type="dxa"/>
            <w:tcBorders>
              <w:top w:val="nil"/>
              <w:left w:val="nil"/>
              <w:bottom w:val="single" w:sz="4" w:space="0" w:color="000000"/>
              <w:right w:val="nil"/>
            </w:tcBorders>
            <w:shd w:val="clear" w:color="000000" w:fill="FFFFFF"/>
            <w:noWrap/>
            <w:vAlign w:val="bottom"/>
            <w:hideMark/>
          </w:tcPr>
          <w:p w14:paraId="6C474282" w14:textId="77777777" w:rsidR="002A66B3" w:rsidRPr="00F51774" w:rsidRDefault="002A66B3" w:rsidP="002A66B3">
            <w:pPr>
              <w:jc w:val="right"/>
              <w:rPr>
                <w:rFonts w:cstheme="minorHAnsi"/>
              </w:rPr>
            </w:pPr>
            <w:r w:rsidRPr="00F51774">
              <w:rPr>
                <w:rFonts w:cstheme="minorHAnsi"/>
              </w:rPr>
              <w:t xml:space="preserve">- </w:t>
            </w:r>
          </w:p>
        </w:tc>
        <w:tc>
          <w:tcPr>
            <w:tcW w:w="1260" w:type="dxa"/>
            <w:tcBorders>
              <w:top w:val="nil"/>
              <w:left w:val="nil"/>
              <w:bottom w:val="single" w:sz="4" w:space="0" w:color="000000"/>
              <w:right w:val="nil"/>
            </w:tcBorders>
            <w:shd w:val="clear" w:color="000000" w:fill="FFFFFF"/>
            <w:noWrap/>
            <w:vAlign w:val="bottom"/>
            <w:hideMark/>
          </w:tcPr>
          <w:p w14:paraId="04CF5A9C" w14:textId="77777777" w:rsidR="002A66B3" w:rsidRPr="00F51774" w:rsidRDefault="002A66B3" w:rsidP="002A66B3">
            <w:pPr>
              <w:jc w:val="right"/>
              <w:rPr>
                <w:rFonts w:cstheme="minorHAnsi"/>
              </w:rPr>
            </w:pPr>
            <w:r w:rsidRPr="00F51774">
              <w:rPr>
                <w:rFonts w:cstheme="minorHAnsi"/>
              </w:rPr>
              <w:t xml:space="preserve">- </w:t>
            </w:r>
          </w:p>
        </w:tc>
        <w:tc>
          <w:tcPr>
            <w:tcW w:w="1068" w:type="dxa"/>
            <w:tcBorders>
              <w:top w:val="nil"/>
              <w:left w:val="nil"/>
              <w:bottom w:val="single" w:sz="4" w:space="0" w:color="000000"/>
              <w:right w:val="single" w:sz="8" w:space="0" w:color="000000"/>
            </w:tcBorders>
            <w:shd w:val="clear" w:color="000000" w:fill="FFFFFF"/>
            <w:noWrap/>
            <w:vAlign w:val="bottom"/>
            <w:hideMark/>
          </w:tcPr>
          <w:p w14:paraId="21D3BD02" w14:textId="77777777" w:rsidR="002A66B3" w:rsidRPr="00F51774" w:rsidRDefault="002A66B3" w:rsidP="002A66B3">
            <w:pPr>
              <w:jc w:val="right"/>
              <w:rPr>
                <w:rFonts w:cstheme="minorHAnsi"/>
              </w:rPr>
            </w:pPr>
            <w:r w:rsidRPr="00F51774">
              <w:rPr>
                <w:rFonts w:cstheme="minorHAnsi"/>
              </w:rPr>
              <w:t>24</w:t>
            </w:r>
          </w:p>
        </w:tc>
        <w:tc>
          <w:tcPr>
            <w:tcW w:w="1119" w:type="dxa"/>
            <w:tcBorders>
              <w:top w:val="nil"/>
              <w:left w:val="nil"/>
              <w:bottom w:val="single" w:sz="4" w:space="0" w:color="000000"/>
              <w:right w:val="nil"/>
            </w:tcBorders>
            <w:shd w:val="clear" w:color="000000" w:fill="FFFFFF"/>
            <w:noWrap/>
            <w:vAlign w:val="bottom"/>
            <w:hideMark/>
          </w:tcPr>
          <w:p w14:paraId="5306C141" w14:textId="77777777" w:rsidR="002A66B3" w:rsidRPr="00F51774" w:rsidRDefault="002A66B3" w:rsidP="002A66B3">
            <w:pPr>
              <w:jc w:val="right"/>
              <w:rPr>
                <w:rFonts w:cstheme="minorHAnsi"/>
              </w:rPr>
            </w:pPr>
            <w:r w:rsidRPr="00F51774">
              <w:rPr>
                <w:rFonts w:cstheme="minorHAnsi"/>
              </w:rPr>
              <w:t xml:space="preserve">- </w:t>
            </w:r>
          </w:p>
        </w:tc>
        <w:tc>
          <w:tcPr>
            <w:tcW w:w="1256" w:type="dxa"/>
            <w:tcBorders>
              <w:top w:val="nil"/>
              <w:left w:val="nil"/>
              <w:bottom w:val="single" w:sz="4" w:space="0" w:color="000000"/>
              <w:right w:val="nil"/>
            </w:tcBorders>
            <w:shd w:val="clear" w:color="000000" w:fill="FFFFFF"/>
            <w:noWrap/>
            <w:vAlign w:val="bottom"/>
            <w:hideMark/>
          </w:tcPr>
          <w:p w14:paraId="4530B80D" w14:textId="77777777" w:rsidR="002A66B3" w:rsidRPr="00F51774" w:rsidRDefault="002A66B3" w:rsidP="002A66B3">
            <w:pPr>
              <w:jc w:val="right"/>
              <w:rPr>
                <w:rFonts w:cstheme="minorHAnsi"/>
              </w:rPr>
            </w:pPr>
            <w:r w:rsidRPr="00F51774">
              <w:rPr>
                <w:rFonts w:cstheme="minorHAnsi"/>
              </w:rPr>
              <w:t xml:space="preserve">- </w:t>
            </w:r>
          </w:p>
        </w:tc>
        <w:tc>
          <w:tcPr>
            <w:tcW w:w="1147" w:type="dxa"/>
            <w:tcBorders>
              <w:top w:val="nil"/>
              <w:left w:val="nil"/>
              <w:bottom w:val="single" w:sz="4" w:space="0" w:color="000000"/>
            </w:tcBorders>
            <w:shd w:val="clear" w:color="000000" w:fill="FFFFFF"/>
            <w:noWrap/>
            <w:vAlign w:val="bottom"/>
            <w:hideMark/>
          </w:tcPr>
          <w:p w14:paraId="7911919A" w14:textId="77777777" w:rsidR="002A66B3" w:rsidRPr="00F51774" w:rsidRDefault="002A66B3" w:rsidP="002A66B3">
            <w:pPr>
              <w:jc w:val="right"/>
              <w:rPr>
                <w:rFonts w:cstheme="minorHAnsi"/>
              </w:rPr>
            </w:pPr>
            <w:r w:rsidRPr="00F51774">
              <w:rPr>
                <w:rFonts w:cstheme="minorHAnsi"/>
              </w:rPr>
              <w:t xml:space="preserve">- </w:t>
            </w:r>
          </w:p>
        </w:tc>
      </w:tr>
      <w:tr w:rsidR="008B3EFA" w:rsidRPr="002A66B3" w14:paraId="2E77C7A2" w14:textId="77777777" w:rsidTr="00954223">
        <w:trPr>
          <w:trHeight w:val="70"/>
          <w:jc w:val="center"/>
        </w:trPr>
        <w:tc>
          <w:tcPr>
            <w:tcW w:w="4050" w:type="dxa"/>
            <w:tcBorders>
              <w:top w:val="nil"/>
              <w:left w:val="nil"/>
              <w:bottom w:val="single" w:sz="4" w:space="0" w:color="000000"/>
              <w:right w:val="nil"/>
            </w:tcBorders>
            <w:shd w:val="clear" w:color="000000" w:fill="FFFFFF"/>
            <w:noWrap/>
            <w:vAlign w:val="bottom"/>
            <w:hideMark/>
          </w:tcPr>
          <w:p w14:paraId="07066BAD" w14:textId="77777777" w:rsidR="002A66B3" w:rsidRPr="00F51774" w:rsidRDefault="002A66B3" w:rsidP="00F51774">
            <w:pPr>
              <w:ind w:left="525"/>
              <w:rPr>
                <w:rFonts w:cstheme="minorHAnsi"/>
                <w:color w:val="000000"/>
              </w:rPr>
            </w:pPr>
            <w:r w:rsidRPr="00F51774">
              <w:rPr>
                <w:rFonts w:cstheme="minorHAnsi"/>
                <w:color w:val="000000"/>
              </w:rPr>
              <w:t>Total contributions</w:t>
            </w:r>
          </w:p>
        </w:tc>
        <w:tc>
          <w:tcPr>
            <w:tcW w:w="1170" w:type="dxa"/>
            <w:tcBorders>
              <w:top w:val="nil"/>
              <w:left w:val="nil"/>
              <w:bottom w:val="single" w:sz="4" w:space="0" w:color="000000"/>
              <w:right w:val="nil"/>
            </w:tcBorders>
            <w:shd w:val="clear" w:color="000000" w:fill="FFFFFF"/>
            <w:noWrap/>
            <w:vAlign w:val="bottom"/>
            <w:hideMark/>
          </w:tcPr>
          <w:p w14:paraId="1C5D8EFC" w14:textId="77777777" w:rsidR="002A66B3" w:rsidRPr="00F51774" w:rsidRDefault="002A66B3" w:rsidP="002A66B3">
            <w:pPr>
              <w:jc w:val="right"/>
              <w:rPr>
                <w:rFonts w:cstheme="minorHAnsi"/>
              </w:rPr>
            </w:pPr>
            <w:r w:rsidRPr="00F51774">
              <w:rPr>
                <w:rFonts w:cstheme="minorHAnsi"/>
              </w:rPr>
              <w:t xml:space="preserve">10,654 </w:t>
            </w:r>
          </w:p>
        </w:tc>
        <w:tc>
          <w:tcPr>
            <w:tcW w:w="1260" w:type="dxa"/>
            <w:tcBorders>
              <w:top w:val="nil"/>
              <w:left w:val="nil"/>
              <w:bottom w:val="single" w:sz="4" w:space="0" w:color="000000"/>
              <w:right w:val="nil"/>
            </w:tcBorders>
            <w:shd w:val="clear" w:color="000000" w:fill="FFFFFF"/>
            <w:noWrap/>
            <w:vAlign w:val="bottom"/>
            <w:hideMark/>
          </w:tcPr>
          <w:p w14:paraId="4C4329CB" w14:textId="77777777" w:rsidR="002A66B3" w:rsidRPr="00F51774" w:rsidRDefault="002A66B3" w:rsidP="002A66B3">
            <w:pPr>
              <w:jc w:val="right"/>
              <w:rPr>
                <w:rFonts w:cstheme="minorHAnsi"/>
              </w:rPr>
            </w:pPr>
            <w:r w:rsidRPr="00F51774">
              <w:rPr>
                <w:rFonts w:cstheme="minorHAnsi"/>
              </w:rPr>
              <w:t>274</w:t>
            </w:r>
          </w:p>
        </w:tc>
        <w:tc>
          <w:tcPr>
            <w:tcW w:w="1068" w:type="dxa"/>
            <w:tcBorders>
              <w:top w:val="nil"/>
              <w:left w:val="nil"/>
              <w:bottom w:val="single" w:sz="4" w:space="0" w:color="000000"/>
              <w:right w:val="single" w:sz="8" w:space="0" w:color="000000"/>
            </w:tcBorders>
            <w:shd w:val="clear" w:color="000000" w:fill="FFFFFF"/>
            <w:noWrap/>
            <w:vAlign w:val="bottom"/>
            <w:hideMark/>
          </w:tcPr>
          <w:p w14:paraId="47A73F31" w14:textId="77777777" w:rsidR="002A66B3" w:rsidRPr="00F51774" w:rsidRDefault="002A66B3" w:rsidP="002A66B3">
            <w:pPr>
              <w:jc w:val="right"/>
              <w:rPr>
                <w:rFonts w:cstheme="minorHAnsi"/>
              </w:rPr>
            </w:pPr>
            <w:r w:rsidRPr="00F51774">
              <w:rPr>
                <w:rFonts w:cstheme="minorHAnsi"/>
              </w:rPr>
              <w:t>24</w:t>
            </w:r>
          </w:p>
        </w:tc>
        <w:tc>
          <w:tcPr>
            <w:tcW w:w="1119" w:type="dxa"/>
            <w:tcBorders>
              <w:top w:val="nil"/>
              <w:left w:val="nil"/>
              <w:bottom w:val="single" w:sz="4" w:space="0" w:color="000000"/>
              <w:right w:val="nil"/>
            </w:tcBorders>
            <w:shd w:val="clear" w:color="000000" w:fill="FFFFFF"/>
            <w:noWrap/>
            <w:vAlign w:val="bottom"/>
            <w:hideMark/>
          </w:tcPr>
          <w:p w14:paraId="76300A99" w14:textId="77777777" w:rsidR="002A66B3" w:rsidRPr="00F51774" w:rsidRDefault="002A66B3" w:rsidP="002A66B3">
            <w:pPr>
              <w:jc w:val="right"/>
              <w:rPr>
                <w:rFonts w:cstheme="minorHAnsi"/>
              </w:rPr>
            </w:pPr>
            <w:r w:rsidRPr="00F51774">
              <w:rPr>
                <w:rFonts w:cstheme="minorHAnsi"/>
              </w:rPr>
              <w:t xml:space="preserve">12,451 </w:t>
            </w:r>
          </w:p>
        </w:tc>
        <w:tc>
          <w:tcPr>
            <w:tcW w:w="1256" w:type="dxa"/>
            <w:tcBorders>
              <w:top w:val="nil"/>
              <w:left w:val="nil"/>
              <w:bottom w:val="single" w:sz="4" w:space="0" w:color="000000"/>
              <w:right w:val="nil"/>
            </w:tcBorders>
            <w:shd w:val="clear" w:color="000000" w:fill="FFFFFF"/>
            <w:noWrap/>
            <w:vAlign w:val="bottom"/>
            <w:hideMark/>
          </w:tcPr>
          <w:p w14:paraId="2C137A95" w14:textId="77777777" w:rsidR="002A66B3" w:rsidRPr="00F51774" w:rsidRDefault="002A66B3" w:rsidP="002A66B3">
            <w:pPr>
              <w:jc w:val="right"/>
              <w:rPr>
                <w:rFonts w:cstheme="minorHAnsi"/>
              </w:rPr>
            </w:pPr>
            <w:r w:rsidRPr="00F51774">
              <w:rPr>
                <w:rFonts w:cstheme="minorHAnsi"/>
              </w:rPr>
              <w:t xml:space="preserve">1,673 </w:t>
            </w:r>
          </w:p>
        </w:tc>
        <w:tc>
          <w:tcPr>
            <w:tcW w:w="1147" w:type="dxa"/>
            <w:tcBorders>
              <w:top w:val="nil"/>
              <w:left w:val="nil"/>
              <w:bottom w:val="single" w:sz="4" w:space="0" w:color="000000"/>
            </w:tcBorders>
            <w:shd w:val="clear" w:color="000000" w:fill="FFFFFF"/>
            <w:noWrap/>
            <w:vAlign w:val="bottom"/>
            <w:hideMark/>
          </w:tcPr>
          <w:p w14:paraId="0252684B" w14:textId="77777777" w:rsidR="002A66B3" w:rsidRPr="00F51774" w:rsidRDefault="002A66B3" w:rsidP="002A66B3">
            <w:pPr>
              <w:jc w:val="right"/>
              <w:rPr>
                <w:rFonts w:cstheme="minorHAnsi"/>
              </w:rPr>
            </w:pPr>
            <w:r w:rsidRPr="00F51774">
              <w:rPr>
                <w:rFonts w:cstheme="minorHAnsi"/>
              </w:rPr>
              <w:t xml:space="preserve">- </w:t>
            </w:r>
          </w:p>
        </w:tc>
      </w:tr>
      <w:tr w:rsidR="008B3EFA" w:rsidRPr="002A66B3" w14:paraId="549C1A1B" w14:textId="77777777" w:rsidTr="00954223">
        <w:trPr>
          <w:trHeight w:val="70"/>
          <w:jc w:val="center"/>
        </w:trPr>
        <w:tc>
          <w:tcPr>
            <w:tcW w:w="4050" w:type="dxa"/>
            <w:tcBorders>
              <w:top w:val="nil"/>
              <w:left w:val="nil"/>
              <w:bottom w:val="nil"/>
              <w:right w:val="nil"/>
            </w:tcBorders>
            <w:shd w:val="clear" w:color="000000" w:fill="FFFFFF"/>
            <w:noWrap/>
            <w:vAlign w:val="bottom"/>
            <w:hideMark/>
          </w:tcPr>
          <w:p w14:paraId="44326925" w14:textId="570C28C1" w:rsidR="002A66B3" w:rsidRPr="00F51774" w:rsidRDefault="002A66B3" w:rsidP="002A66B3">
            <w:pPr>
              <w:rPr>
                <w:rFonts w:cstheme="minorHAnsi"/>
              </w:rPr>
            </w:pPr>
            <w:r w:rsidRPr="00F51774">
              <w:rPr>
                <w:rFonts w:cstheme="minorHAnsi"/>
              </w:rPr>
              <w:t>Investment income</w:t>
            </w:r>
          </w:p>
        </w:tc>
        <w:tc>
          <w:tcPr>
            <w:tcW w:w="1170" w:type="dxa"/>
            <w:tcBorders>
              <w:top w:val="nil"/>
              <w:left w:val="nil"/>
              <w:bottom w:val="nil"/>
              <w:right w:val="nil"/>
            </w:tcBorders>
            <w:shd w:val="clear" w:color="000000" w:fill="FFFFFF"/>
            <w:noWrap/>
            <w:vAlign w:val="bottom"/>
            <w:hideMark/>
          </w:tcPr>
          <w:p w14:paraId="5CF8925F" w14:textId="28D0FB21" w:rsidR="002A66B3" w:rsidRPr="00F51774" w:rsidRDefault="002A66B3" w:rsidP="002A66B3">
            <w:pPr>
              <w:jc w:val="right"/>
              <w:rPr>
                <w:rFonts w:cstheme="minorHAnsi"/>
              </w:rPr>
            </w:pPr>
          </w:p>
        </w:tc>
        <w:tc>
          <w:tcPr>
            <w:tcW w:w="1260" w:type="dxa"/>
            <w:tcBorders>
              <w:top w:val="nil"/>
              <w:left w:val="nil"/>
              <w:bottom w:val="nil"/>
              <w:right w:val="nil"/>
            </w:tcBorders>
            <w:shd w:val="clear" w:color="000000" w:fill="FFFFFF"/>
            <w:noWrap/>
            <w:vAlign w:val="bottom"/>
            <w:hideMark/>
          </w:tcPr>
          <w:p w14:paraId="47142FDC" w14:textId="2D09A062" w:rsidR="002A66B3" w:rsidRPr="00F51774" w:rsidRDefault="002A66B3" w:rsidP="002A66B3">
            <w:pPr>
              <w:jc w:val="right"/>
              <w:rPr>
                <w:rFonts w:cstheme="minorHAnsi"/>
              </w:rPr>
            </w:pPr>
          </w:p>
        </w:tc>
        <w:tc>
          <w:tcPr>
            <w:tcW w:w="1068" w:type="dxa"/>
            <w:tcBorders>
              <w:top w:val="nil"/>
              <w:left w:val="nil"/>
              <w:bottom w:val="nil"/>
              <w:right w:val="single" w:sz="8" w:space="0" w:color="000000"/>
            </w:tcBorders>
            <w:shd w:val="clear" w:color="000000" w:fill="FFFFFF"/>
            <w:noWrap/>
            <w:vAlign w:val="bottom"/>
            <w:hideMark/>
          </w:tcPr>
          <w:p w14:paraId="6C7CF398" w14:textId="7032F302" w:rsidR="002A66B3" w:rsidRPr="00F51774" w:rsidRDefault="002A66B3" w:rsidP="002A66B3">
            <w:pPr>
              <w:jc w:val="right"/>
              <w:rPr>
                <w:rFonts w:cstheme="minorHAnsi"/>
              </w:rPr>
            </w:pPr>
          </w:p>
        </w:tc>
        <w:tc>
          <w:tcPr>
            <w:tcW w:w="1119" w:type="dxa"/>
            <w:tcBorders>
              <w:top w:val="nil"/>
              <w:left w:val="nil"/>
              <w:bottom w:val="nil"/>
              <w:right w:val="nil"/>
            </w:tcBorders>
            <w:shd w:val="clear" w:color="000000" w:fill="FFFFFF"/>
            <w:noWrap/>
            <w:vAlign w:val="bottom"/>
            <w:hideMark/>
          </w:tcPr>
          <w:p w14:paraId="109A04E9" w14:textId="0CA79BCC" w:rsidR="002A66B3" w:rsidRPr="00F51774" w:rsidRDefault="002A66B3" w:rsidP="002A66B3">
            <w:pPr>
              <w:jc w:val="right"/>
              <w:rPr>
                <w:rFonts w:cstheme="minorHAnsi"/>
              </w:rPr>
            </w:pPr>
          </w:p>
        </w:tc>
        <w:tc>
          <w:tcPr>
            <w:tcW w:w="1256" w:type="dxa"/>
            <w:tcBorders>
              <w:top w:val="nil"/>
              <w:left w:val="nil"/>
              <w:bottom w:val="nil"/>
              <w:right w:val="nil"/>
            </w:tcBorders>
            <w:shd w:val="clear" w:color="000000" w:fill="FFFFFF"/>
            <w:noWrap/>
            <w:vAlign w:val="bottom"/>
            <w:hideMark/>
          </w:tcPr>
          <w:p w14:paraId="7FBB0754" w14:textId="3C3B787D" w:rsidR="002A66B3" w:rsidRPr="00F51774" w:rsidRDefault="002A66B3" w:rsidP="002A66B3">
            <w:pPr>
              <w:jc w:val="right"/>
              <w:rPr>
                <w:rFonts w:cstheme="minorHAnsi"/>
              </w:rPr>
            </w:pPr>
          </w:p>
        </w:tc>
        <w:tc>
          <w:tcPr>
            <w:tcW w:w="1147" w:type="dxa"/>
            <w:tcBorders>
              <w:top w:val="nil"/>
              <w:left w:val="nil"/>
              <w:bottom w:val="nil"/>
            </w:tcBorders>
            <w:shd w:val="clear" w:color="000000" w:fill="FFFFFF"/>
            <w:noWrap/>
            <w:vAlign w:val="bottom"/>
            <w:hideMark/>
          </w:tcPr>
          <w:p w14:paraId="4515138E" w14:textId="580045EA" w:rsidR="002A66B3" w:rsidRPr="00F51774" w:rsidRDefault="002A66B3" w:rsidP="002A66B3">
            <w:pPr>
              <w:jc w:val="right"/>
              <w:rPr>
                <w:rFonts w:cstheme="minorHAnsi"/>
              </w:rPr>
            </w:pPr>
          </w:p>
        </w:tc>
      </w:tr>
      <w:tr w:rsidR="008B3EFA" w:rsidRPr="002A66B3" w14:paraId="6522F134" w14:textId="77777777" w:rsidTr="00954223">
        <w:trPr>
          <w:trHeight w:val="80"/>
          <w:jc w:val="center"/>
        </w:trPr>
        <w:tc>
          <w:tcPr>
            <w:tcW w:w="4050" w:type="dxa"/>
            <w:tcBorders>
              <w:top w:val="nil"/>
              <w:left w:val="nil"/>
              <w:bottom w:val="nil"/>
              <w:right w:val="nil"/>
            </w:tcBorders>
            <w:shd w:val="clear" w:color="000000" w:fill="FFFFFF"/>
            <w:noWrap/>
            <w:vAlign w:val="bottom"/>
            <w:hideMark/>
          </w:tcPr>
          <w:p w14:paraId="03A270C1" w14:textId="77777777" w:rsidR="002A66B3" w:rsidRPr="00F51774" w:rsidRDefault="002A66B3" w:rsidP="00F51774">
            <w:pPr>
              <w:ind w:left="255"/>
              <w:rPr>
                <w:rFonts w:cstheme="minorHAnsi"/>
              </w:rPr>
            </w:pPr>
            <w:r w:rsidRPr="00F51774">
              <w:rPr>
                <w:rFonts w:cstheme="minorHAnsi"/>
              </w:rPr>
              <w:t>Interest and dividends</w:t>
            </w:r>
          </w:p>
        </w:tc>
        <w:tc>
          <w:tcPr>
            <w:tcW w:w="1170" w:type="dxa"/>
            <w:tcBorders>
              <w:top w:val="nil"/>
              <w:left w:val="nil"/>
              <w:bottom w:val="nil"/>
              <w:right w:val="nil"/>
            </w:tcBorders>
            <w:shd w:val="clear" w:color="000000" w:fill="FFFFFF"/>
            <w:noWrap/>
            <w:vAlign w:val="bottom"/>
            <w:hideMark/>
          </w:tcPr>
          <w:p w14:paraId="09CC41A8" w14:textId="77777777" w:rsidR="002A66B3" w:rsidRPr="00F51774" w:rsidRDefault="002A66B3" w:rsidP="002A66B3">
            <w:pPr>
              <w:jc w:val="right"/>
              <w:rPr>
                <w:rFonts w:cstheme="minorHAnsi"/>
              </w:rPr>
            </w:pPr>
            <w:r w:rsidRPr="00F51774">
              <w:rPr>
                <w:rFonts w:cstheme="minorHAnsi"/>
              </w:rPr>
              <w:t xml:space="preserve">5,523 </w:t>
            </w:r>
          </w:p>
        </w:tc>
        <w:tc>
          <w:tcPr>
            <w:tcW w:w="1260" w:type="dxa"/>
            <w:tcBorders>
              <w:top w:val="nil"/>
              <w:left w:val="nil"/>
              <w:bottom w:val="nil"/>
              <w:right w:val="nil"/>
            </w:tcBorders>
            <w:shd w:val="clear" w:color="000000" w:fill="FFFFFF"/>
            <w:noWrap/>
            <w:vAlign w:val="bottom"/>
            <w:hideMark/>
          </w:tcPr>
          <w:p w14:paraId="7BFF7D94" w14:textId="77777777" w:rsidR="002A66B3" w:rsidRPr="00F51774" w:rsidRDefault="002A66B3" w:rsidP="002A66B3">
            <w:pPr>
              <w:jc w:val="right"/>
              <w:rPr>
                <w:rFonts w:cstheme="minorHAnsi"/>
              </w:rPr>
            </w:pPr>
            <w:r w:rsidRPr="00F51774">
              <w:rPr>
                <w:rFonts w:cstheme="minorHAnsi"/>
              </w:rPr>
              <w:t>246</w:t>
            </w:r>
          </w:p>
        </w:tc>
        <w:tc>
          <w:tcPr>
            <w:tcW w:w="1068" w:type="dxa"/>
            <w:tcBorders>
              <w:top w:val="nil"/>
              <w:left w:val="nil"/>
              <w:bottom w:val="nil"/>
              <w:right w:val="single" w:sz="8" w:space="0" w:color="000000"/>
            </w:tcBorders>
            <w:shd w:val="clear" w:color="000000" w:fill="FFFFFF"/>
            <w:noWrap/>
            <w:vAlign w:val="bottom"/>
            <w:hideMark/>
          </w:tcPr>
          <w:p w14:paraId="138195C6" w14:textId="77777777" w:rsidR="002A66B3" w:rsidRPr="00F51774" w:rsidRDefault="002A66B3" w:rsidP="002A66B3">
            <w:pPr>
              <w:jc w:val="right"/>
              <w:rPr>
                <w:rFonts w:cstheme="minorHAnsi"/>
              </w:rPr>
            </w:pPr>
            <w:r w:rsidRPr="00F51774">
              <w:rPr>
                <w:rFonts w:cstheme="minorHAnsi"/>
              </w:rPr>
              <w:t>122</w:t>
            </w:r>
          </w:p>
        </w:tc>
        <w:tc>
          <w:tcPr>
            <w:tcW w:w="1119" w:type="dxa"/>
            <w:tcBorders>
              <w:top w:val="nil"/>
              <w:left w:val="nil"/>
              <w:bottom w:val="nil"/>
              <w:right w:val="nil"/>
            </w:tcBorders>
            <w:shd w:val="clear" w:color="000000" w:fill="FFFFFF"/>
            <w:noWrap/>
            <w:vAlign w:val="bottom"/>
            <w:hideMark/>
          </w:tcPr>
          <w:p w14:paraId="6D5B7BE8" w14:textId="77777777" w:rsidR="002A66B3" w:rsidRPr="00F51774" w:rsidRDefault="002A66B3" w:rsidP="002A66B3">
            <w:pPr>
              <w:jc w:val="right"/>
              <w:rPr>
                <w:rFonts w:cstheme="minorHAnsi"/>
              </w:rPr>
            </w:pPr>
            <w:r w:rsidRPr="00F51774">
              <w:rPr>
                <w:rFonts w:cstheme="minorHAnsi"/>
              </w:rPr>
              <w:t xml:space="preserve">3,496 </w:t>
            </w:r>
          </w:p>
        </w:tc>
        <w:tc>
          <w:tcPr>
            <w:tcW w:w="1256" w:type="dxa"/>
            <w:tcBorders>
              <w:top w:val="nil"/>
              <w:left w:val="nil"/>
              <w:bottom w:val="nil"/>
              <w:right w:val="nil"/>
            </w:tcBorders>
            <w:shd w:val="clear" w:color="000000" w:fill="FFFFFF"/>
            <w:noWrap/>
            <w:vAlign w:val="bottom"/>
            <w:hideMark/>
          </w:tcPr>
          <w:p w14:paraId="69AD6F36" w14:textId="77777777" w:rsidR="002A66B3" w:rsidRPr="00F51774" w:rsidRDefault="002A66B3" w:rsidP="002A66B3">
            <w:pPr>
              <w:jc w:val="right"/>
              <w:rPr>
                <w:rFonts w:cstheme="minorHAnsi"/>
              </w:rPr>
            </w:pPr>
            <w:r w:rsidRPr="00F51774">
              <w:rPr>
                <w:rFonts w:cstheme="minorHAnsi"/>
              </w:rPr>
              <w:t xml:space="preserve">690 </w:t>
            </w:r>
          </w:p>
        </w:tc>
        <w:tc>
          <w:tcPr>
            <w:tcW w:w="1147" w:type="dxa"/>
            <w:tcBorders>
              <w:top w:val="nil"/>
              <w:left w:val="nil"/>
              <w:bottom w:val="nil"/>
            </w:tcBorders>
            <w:shd w:val="clear" w:color="000000" w:fill="FFFFFF"/>
            <w:noWrap/>
            <w:vAlign w:val="bottom"/>
            <w:hideMark/>
          </w:tcPr>
          <w:p w14:paraId="3D90553E" w14:textId="77777777" w:rsidR="002A66B3" w:rsidRPr="00F51774" w:rsidRDefault="002A66B3" w:rsidP="002A66B3">
            <w:pPr>
              <w:jc w:val="right"/>
              <w:rPr>
                <w:rFonts w:cstheme="minorHAnsi"/>
              </w:rPr>
            </w:pPr>
            <w:r w:rsidRPr="00F51774">
              <w:rPr>
                <w:rFonts w:cstheme="minorHAnsi"/>
              </w:rPr>
              <w:t xml:space="preserve">144 </w:t>
            </w:r>
          </w:p>
        </w:tc>
      </w:tr>
      <w:tr w:rsidR="008B3EFA" w:rsidRPr="002A66B3" w14:paraId="22E7C4B4" w14:textId="77777777" w:rsidTr="00954223">
        <w:trPr>
          <w:trHeight w:val="162"/>
          <w:jc w:val="center"/>
        </w:trPr>
        <w:tc>
          <w:tcPr>
            <w:tcW w:w="4050" w:type="dxa"/>
            <w:tcBorders>
              <w:top w:val="nil"/>
              <w:left w:val="nil"/>
              <w:bottom w:val="single" w:sz="4" w:space="0" w:color="000000"/>
              <w:right w:val="nil"/>
            </w:tcBorders>
            <w:shd w:val="clear" w:color="000000" w:fill="FFFFFF"/>
            <w:noWrap/>
            <w:vAlign w:val="bottom"/>
            <w:hideMark/>
          </w:tcPr>
          <w:p w14:paraId="088C5540" w14:textId="08844CFB" w:rsidR="002A66B3" w:rsidRPr="00F51774" w:rsidRDefault="002A66B3" w:rsidP="008B3EFA">
            <w:pPr>
              <w:ind w:left="255"/>
              <w:rPr>
                <w:rFonts w:cstheme="minorHAnsi"/>
              </w:rPr>
            </w:pPr>
            <w:r w:rsidRPr="00F51774">
              <w:rPr>
                <w:rFonts w:cstheme="minorHAnsi"/>
              </w:rPr>
              <w:t>Net increase in fair value of investments</w:t>
            </w:r>
          </w:p>
        </w:tc>
        <w:tc>
          <w:tcPr>
            <w:tcW w:w="1170" w:type="dxa"/>
            <w:tcBorders>
              <w:top w:val="nil"/>
              <w:left w:val="nil"/>
              <w:bottom w:val="single" w:sz="4" w:space="0" w:color="000000"/>
              <w:right w:val="nil"/>
            </w:tcBorders>
            <w:shd w:val="clear" w:color="000000" w:fill="FFFFFF"/>
            <w:noWrap/>
            <w:vAlign w:val="bottom"/>
            <w:hideMark/>
          </w:tcPr>
          <w:p w14:paraId="0AAF274F" w14:textId="77777777" w:rsidR="002A66B3" w:rsidRPr="00F51774" w:rsidRDefault="002A66B3" w:rsidP="002A66B3">
            <w:pPr>
              <w:jc w:val="right"/>
              <w:rPr>
                <w:rFonts w:cstheme="minorHAnsi"/>
              </w:rPr>
            </w:pPr>
            <w:r w:rsidRPr="00F51774">
              <w:rPr>
                <w:rFonts w:cstheme="minorHAnsi"/>
              </w:rPr>
              <w:t xml:space="preserve">15,446 </w:t>
            </w:r>
          </w:p>
        </w:tc>
        <w:tc>
          <w:tcPr>
            <w:tcW w:w="1260" w:type="dxa"/>
            <w:tcBorders>
              <w:top w:val="nil"/>
              <w:left w:val="nil"/>
              <w:bottom w:val="single" w:sz="4" w:space="0" w:color="000000"/>
              <w:right w:val="nil"/>
            </w:tcBorders>
            <w:shd w:val="clear" w:color="000000" w:fill="FFFFFF"/>
            <w:noWrap/>
            <w:vAlign w:val="bottom"/>
            <w:hideMark/>
          </w:tcPr>
          <w:p w14:paraId="7C83B7DE" w14:textId="77777777" w:rsidR="002A66B3" w:rsidRPr="00F51774" w:rsidRDefault="002A66B3" w:rsidP="002A66B3">
            <w:pPr>
              <w:jc w:val="right"/>
              <w:rPr>
                <w:rFonts w:cstheme="minorHAnsi"/>
              </w:rPr>
            </w:pPr>
            <w:r w:rsidRPr="00F51774">
              <w:rPr>
                <w:rFonts w:cstheme="minorHAnsi"/>
              </w:rPr>
              <w:t>720</w:t>
            </w:r>
          </w:p>
        </w:tc>
        <w:tc>
          <w:tcPr>
            <w:tcW w:w="1068" w:type="dxa"/>
            <w:tcBorders>
              <w:top w:val="nil"/>
              <w:left w:val="nil"/>
              <w:bottom w:val="single" w:sz="4" w:space="0" w:color="000000"/>
              <w:right w:val="single" w:sz="8" w:space="0" w:color="000000"/>
            </w:tcBorders>
            <w:shd w:val="clear" w:color="000000" w:fill="FFFFFF"/>
            <w:noWrap/>
            <w:vAlign w:val="bottom"/>
            <w:hideMark/>
          </w:tcPr>
          <w:p w14:paraId="6431CC5D" w14:textId="77777777" w:rsidR="002A66B3" w:rsidRPr="00F51774" w:rsidRDefault="002A66B3" w:rsidP="002A66B3">
            <w:pPr>
              <w:jc w:val="right"/>
              <w:rPr>
                <w:rFonts w:cstheme="minorHAnsi"/>
              </w:rPr>
            </w:pPr>
            <w:r w:rsidRPr="00F51774">
              <w:rPr>
                <w:rFonts w:cstheme="minorHAnsi"/>
              </w:rPr>
              <w:t>-</w:t>
            </w:r>
          </w:p>
        </w:tc>
        <w:tc>
          <w:tcPr>
            <w:tcW w:w="1119" w:type="dxa"/>
            <w:tcBorders>
              <w:top w:val="nil"/>
              <w:left w:val="nil"/>
              <w:bottom w:val="single" w:sz="4" w:space="0" w:color="000000"/>
              <w:right w:val="nil"/>
            </w:tcBorders>
            <w:shd w:val="clear" w:color="000000" w:fill="FFFFFF"/>
            <w:noWrap/>
            <w:vAlign w:val="bottom"/>
            <w:hideMark/>
          </w:tcPr>
          <w:p w14:paraId="6579EA6B" w14:textId="77777777" w:rsidR="002A66B3" w:rsidRPr="00F51774" w:rsidRDefault="002A66B3" w:rsidP="002A66B3">
            <w:pPr>
              <w:jc w:val="right"/>
              <w:rPr>
                <w:rFonts w:cstheme="minorHAnsi"/>
              </w:rPr>
            </w:pPr>
            <w:r w:rsidRPr="00F51774">
              <w:rPr>
                <w:rFonts w:cstheme="minorHAnsi"/>
              </w:rPr>
              <w:t xml:space="preserve">18,970 </w:t>
            </w:r>
          </w:p>
        </w:tc>
        <w:tc>
          <w:tcPr>
            <w:tcW w:w="1256" w:type="dxa"/>
            <w:tcBorders>
              <w:top w:val="nil"/>
              <w:left w:val="nil"/>
              <w:bottom w:val="single" w:sz="4" w:space="0" w:color="000000"/>
              <w:right w:val="nil"/>
            </w:tcBorders>
            <w:shd w:val="clear" w:color="000000" w:fill="FFFFFF"/>
            <w:noWrap/>
            <w:vAlign w:val="bottom"/>
            <w:hideMark/>
          </w:tcPr>
          <w:p w14:paraId="1122F486" w14:textId="77777777" w:rsidR="002A66B3" w:rsidRPr="00F51774" w:rsidRDefault="002A66B3" w:rsidP="002A66B3">
            <w:pPr>
              <w:jc w:val="right"/>
              <w:rPr>
                <w:rFonts w:cstheme="minorHAnsi"/>
              </w:rPr>
            </w:pPr>
            <w:r w:rsidRPr="00F51774">
              <w:rPr>
                <w:rFonts w:cstheme="minorHAnsi"/>
              </w:rPr>
              <w:t xml:space="preserve">4,044 </w:t>
            </w:r>
          </w:p>
        </w:tc>
        <w:tc>
          <w:tcPr>
            <w:tcW w:w="1147" w:type="dxa"/>
            <w:tcBorders>
              <w:top w:val="nil"/>
              <w:left w:val="nil"/>
              <w:bottom w:val="single" w:sz="4" w:space="0" w:color="000000"/>
            </w:tcBorders>
            <w:shd w:val="clear" w:color="000000" w:fill="FFFFFF"/>
            <w:noWrap/>
            <w:vAlign w:val="bottom"/>
            <w:hideMark/>
          </w:tcPr>
          <w:p w14:paraId="050B7081" w14:textId="77777777" w:rsidR="002A66B3" w:rsidRPr="00F51774" w:rsidRDefault="002A66B3" w:rsidP="002A66B3">
            <w:pPr>
              <w:jc w:val="right"/>
              <w:rPr>
                <w:rFonts w:cstheme="minorHAnsi"/>
              </w:rPr>
            </w:pPr>
            <w:r w:rsidRPr="00F51774">
              <w:rPr>
                <w:rFonts w:cstheme="minorHAnsi"/>
              </w:rPr>
              <w:t xml:space="preserve">- </w:t>
            </w:r>
          </w:p>
        </w:tc>
      </w:tr>
      <w:tr w:rsidR="008B3EFA" w:rsidRPr="002A66B3" w14:paraId="26B4A1AC" w14:textId="77777777" w:rsidTr="00954223">
        <w:trPr>
          <w:trHeight w:val="70"/>
          <w:jc w:val="center"/>
        </w:trPr>
        <w:tc>
          <w:tcPr>
            <w:tcW w:w="4050" w:type="dxa"/>
            <w:tcBorders>
              <w:top w:val="nil"/>
              <w:left w:val="nil"/>
              <w:bottom w:val="nil"/>
              <w:right w:val="nil"/>
            </w:tcBorders>
            <w:shd w:val="clear" w:color="000000" w:fill="FFFFFF"/>
            <w:noWrap/>
            <w:hideMark/>
          </w:tcPr>
          <w:p w14:paraId="3071FDF1" w14:textId="5689FCFE" w:rsidR="002A66B3" w:rsidRPr="00F51774" w:rsidRDefault="002A66B3" w:rsidP="00F51774">
            <w:pPr>
              <w:ind w:left="525"/>
              <w:rPr>
                <w:rFonts w:cstheme="minorHAnsi"/>
              </w:rPr>
            </w:pPr>
            <w:r w:rsidRPr="00F51774">
              <w:rPr>
                <w:rFonts w:cstheme="minorHAnsi"/>
              </w:rPr>
              <w:t>Total investment income</w:t>
            </w:r>
          </w:p>
        </w:tc>
        <w:tc>
          <w:tcPr>
            <w:tcW w:w="1170" w:type="dxa"/>
            <w:tcBorders>
              <w:top w:val="nil"/>
              <w:left w:val="nil"/>
              <w:bottom w:val="nil"/>
              <w:right w:val="nil"/>
            </w:tcBorders>
            <w:shd w:val="clear" w:color="000000" w:fill="FFFFFF"/>
            <w:noWrap/>
            <w:hideMark/>
          </w:tcPr>
          <w:p w14:paraId="2027C425" w14:textId="77777777" w:rsidR="002A66B3" w:rsidRPr="00F51774" w:rsidRDefault="002A66B3" w:rsidP="002A66B3">
            <w:pPr>
              <w:jc w:val="right"/>
              <w:rPr>
                <w:rFonts w:cstheme="minorHAnsi"/>
              </w:rPr>
            </w:pPr>
            <w:r w:rsidRPr="00F51774">
              <w:rPr>
                <w:rFonts w:cstheme="minorHAnsi"/>
              </w:rPr>
              <w:t xml:space="preserve">20,969 </w:t>
            </w:r>
          </w:p>
        </w:tc>
        <w:tc>
          <w:tcPr>
            <w:tcW w:w="1260" w:type="dxa"/>
            <w:tcBorders>
              <w:top w:val="nil"/>
              <w:left w:val="nil"/>
              <w:bottom w:val="nil"/>
              <w:right w:val="nil"/>
            </w:tcBorders>
            <w:shd w:val="clear" w:color="000000" w:fill="FFFFFF"/>
            <w:noWrap/>
            <w:hideMark/>
          </w:tcPr>
          <w:p w14:paraId="309C7EC2" w14:textId="77777777" w:rsidR="002A66B3" w:rsidRPr="00F51774" w:rsidRDefault="002A66B3" w:rsidP="002A66B3">
            <w:pPr>
              <w:jc w:val="right"/>
              <w:rPr>
                <w:rFonts w:cstheme="minorHAnsi"/>
              </w:rPr>
            </w:pPr>
            <w:r w:rsidRPr="00F51774">
              <w:rPr>
                <w:rFonts w:cstheme="minorHAnsi"/>
              </w:rPr>
              <w:t>966</w:t>
            </w:r>
          </w:p>
        </w:tc>
        <w:tc>
          <w:tcPr>
            <w:tcW w:w="1068" w:type="dxa"/>
            <w:tcBorders>
              <w:top w:val="nil"/>
              <w:left w:val="nil"/>
              <w:bottom w:val="nil"/>
              <w:right w:val="single" w:sz="8" w:space="0" w:color="000000"/>
            </w:tcBorders>
            <w:shd w:val="clear" w:color="000000" w:fill="FFFFFF"/>
            <w:noWrap/>
            <w:hideMark/>
          </w:tcPr>
          <w:p w14:paraId="7EB79E9B" w14:textId="77777777" w:rsidR="002A66B3" w:rsidRPr="00F51774" w:rsidRDefault="002A66B3" w:rsidP="002A66B3">
            <w:pPr>
              <w:jc w:val="right"/>
              <w:rPr>
                <w:rFonts w:cstheme="minorHAnsi"/>
              </w:rPr>
            </w:pPr>
            <w:r w:rsidRPr="00F51774">
              <w:rPr>
                <w:rFonts w:cstheme="minorHAnsi"/>
              </w:rPr>
              <w:t>122</w:t>
            </w:r>
          </w:p>
        </w:tc>
        <w:tc>
          <w:tcPr>
            <w:tcW w:w="1119" w:type="dxa"/>
            <w:tcBorders>
              <w:top w:val="nil"/>
              <w:left w:val="nil"/>
              <w:bottom w:val="nil"/>
              <w:right w:val="nil"/>
            </w:tcBorders>
            <w:shd w:val="clear" w:color="000000" w:fill="FFFFFF"/>
            <w:noWrap/>
            <w:hideMark/>
          </w:tcPr>
          <w:p w14:paraId="654CA11C" w14:textId="77777777" w:rsidR="002A66B3" w:rsidRPr="00F51774" w:rsidRDefault="002A66B3" w:rsidP="002A66B3">
            <w:pPr>
              <w:jc w:val="right"/>
              <w:rPr>
                <w:rFonts w:cstheme="minorHAnsi"/>
              </w:rPr>
            </w:pPr>
            <w:r w:rsidRPr="00F51774">
              <w:rPr>
                <w:rFonts w:cstheme="minorHAnsi"/>
              </w:rPr>
              <w:t xml:space="preserve">22,466 </w:t>
            </w:r>
          </w:p>
        </w:tc>
        <w:tc>
          <w:tcPr>
            <w:tcW w:w="1256" w:type="dxa"/>
            <w:tcBorders>
              <w:top w:val="nil"/>
              <w:left w:val="nil"/>
              <w:bottom w:val="nil"/>
              <w:right w:val="nil"/>
            </w:tcBorders>
            <w:shd w:val="clear" w:color="000000" w:fill="FFFFFF"/>
            <w:noWrap/>
            <w:hideMark/>
          </w:tcPr>
          <w:p w14:paraId="47CD924D" w14:textId="77777777" w:rsidR="002A66B3" w:rsidRPr="00F51774" w:rsidRDefault="002A66B3" w:rsidP="002A66B3">
            <w:pPr>
              <w:jc w:val="right"/>
              <w:rPr>
                <w:rFonts w:cstheme="minorHAnsi"/>
              </w:rPr>
            </w:pPr>
            <w:r w:rsidRPr="00F51774">
              <w:rPr>
                <w:rFonts w:cstheme="minorHAnsi"/>
              </w:rPr>
              <w:t xml:space="preserve">4,734 </w:t>
            </w:r>
          </w:p>
        </w:tc>
        <w:tc>
          <w:tcPr>
            <w:tcW w:w="1147" w:type="dxa"/>
            <w:tcBorders>
              <w:top w:val="nil"/>
              <w:left w:val="nil"/>
              <w:bottom w:val="nil"/>
            </w:tcBorders>
            <w:shd w:val="clear" w:color="000000" w:fill="FFFFFF"/>
            <w:noWrap/>
            <w:hideMark/>
          </w:tcPr>
          <w:p w14:paraId="347279BA" w14:textId="77777777" w:rsidR="002A66B3" w:rsidRPr="00F51774" w:rsidRDefault="002A66B3" w:rsidP="002A66B3">
            <w:pPr>
              <w:jc w:val="right"/>
              <w:rPr>
                <w:rFonts w:cstheme="minorHAnsi"/>
              </w:rPr>
            </w:pPr>
            <w:r w:rsidRPr="00F51774">
              <w:rPr>
                <w:rFonts w:cstheme="minorHAnsi"/>
              </w:rPr>
              <w:t xml:space="preserve">144 </w:t>
            </w:r>
          </w:p>
        </w:tc>
      </w:tr>
      <w:tr w:rsidR="008B3EFA" w:rsidRPr="002A66B3" w14:paraId="2D0BB5BD" w14:textId="77777777" w:rsidTr="00954223">
        <w:trPr>
          <w:trHeight w:val="80"/>
          <w:jc w:val="center"/>
        </w:trPr>
        <w:tc>
          <w:tcPr>
            <w:tcW w:w="4050" w:type="dxa"/>
            <w:tcBorders>
              <w:top w:val="nil"/>
              <w:left w:val="nil"/>
              <w:bottom w:val="single" w:sz="4" w:space="0" w:color="000000"/>
              <w:right w:val="nil"/>
            </w:tcBorders>
            <w:shd w:val="clear" w:color="000000" w:fill="FFFFFF"/>
            <w:noWrap/>
            <w:vAlign w:val="bottom"/>
            <w:hideMark/>
          </w:tcPr>
          <w:p w14:paraId="7AAB19CC" w14:textId="77777777" w:rsidR="002A66B3" w:rsidRPr="00F51774" w:rsidRDefault="002A66B3" w:rsidP="00F51774">
            <w:pPr>
              <w:ind w:left="255"/>
              <w:rPr>
                <w:rFonts w:cstheme="minorHAnsi"/>
              </w:rPr>
            </w:pPr>
            <w:r w:rsidRPr="00F51774">
              <w:rPr>
                <w:rFonts w:cstheme="minorHAnsi"/>
              </w:rPr>
              <w:t>Less investment expense</w:t>
            </w:r>
          </w:p>
        </w:tc>
        <w:tc>
          <w:tcPr>
            <w:tcW w:w="1170" w:type="dxa"/>
            <w:tcBorders>
              <w:top w:val="nil"/>
              <w:left w:val="nil"/>
              <w:bottom w:val="single" w:sz="4" w:space="0" w:color="000000"/>
              <w:right w:val="nil"/>
            </w:tcBorders>
            <w:shd w:val="clear" w:color="000000" w:fill="FFFFFF"/>
            <w:noWrap/>
            <w:vAlign w:val="bottom"/>
            <w:hideMark/>
          </w:tcPr>
          <w:p w14:paraId="1109B0E8" w14:textId="1A97D647" w:rsidR="002A66B3" w:rsidRPr="00F51774" w:rsidRDefault="002A66B3" w:rsidP="002A66B3">
            <w:pPr>
              <w:jc w:val="right"/>
              <w:rPr>
                <w:rFonts w:cstheme="minorHAnsi"/>
              </w:rPr>
            </w:pPr>
            <w:r w:rsidRPr="00F51774">
              <w:rPr>
                <w:rFonts w:cstheme="minorHAnsi"/>
              </w:rPr>
              <w:t>(93</w:t>
            </w:r>
            <w:r w:rsidR="00AF6690">
              <w:rPr>
                <w:rFonts w:cstheme="minorHAnsi"/>
              </w:rPr>
              <w:t>6</w:t>
            </w:r>
            <w:r w:rsidRPr="00F51774">
              <w:rPr>
                <w:rFonts w:cstheme="minorHAnsi"/>
              </w:rPr>
              <w:t>)</w:t>
            </w:r>
          </w:p>
        </w:tc>
        <w:tc>
          <w:tcPr>
            <w:tcW w:w="1260" w:type="dxa"/>
            <w:tcBorders>
              <w:top w:val="nil"/>
              <w:left w:val="nil"/>
              <w:bottom w:val="single" w:sz="4" w:space="0" w:color="000000"/>
              <w:right w:val="nil"/>
            </w:tcBorders>
            <w:shd w:val="clear" w:color="000000" w:fill="FFFFFF"/>
            <w:noWrap/>
            <w:vAlign w:val="bottom"/>
            <w:hideMark/>
          </w:tcPr>
          <w:p w14:paraId="3BD46942" w14:textId="77777777" w:rsidR="002A66B3" w:rsidRPr="00F51774" w:rsidRDefault="002A66B3" w:rsidP="002A66B3">
            <w:pPr>
              <w:jc w:val="right"/>
              <w:rPr>
                <w:rFonts w:cstheme="minorHAnsi"/>
              </w:rPr>
            </w:pPr>
            <w:r w:rsidRPr="00F51774">
              <w:rPr>
                <w:rFonts w:cstheme="minorHAnsi"/>
              </w:rPr>
              <w:t>(43)</w:t>
            </w:r>
          </w:p>
        </w:tc>
        <w:tc>
          <w:tcPr>
            <w:tcW w:w="1068" w:type="dxa"/>
            <w:tcBorders>
              <w:top w:val="nil"/>
              <w:left w:val="nil"/>
              <w:bottom w:val="single" w:sz="4" w:space="0" w:color="000000"/>
              <w:right w:val="single" w:sz="8" w:space="0" w:color="000000"/>
            </w:tcBorders>
            <w:shd w:val="clear" w:color="000000" w:fill="FFFFFF"/>
            <w:noWrap/>
            <w:vAlign w:val="bottom"/>
            <w:hideMark/>
          </w:tcPr>
          <w:p w14:paraId="5ED6CC8F" w14:textId="77777777" w:rsidR="002A66B3" w:rsidRPr="00F51774" w:rsidRDefault="002A66B3" w:rsidP="002A66B3">
            <w:pPr>
              <w:jc w:val="right"/>
              <w:rPr>
                <w:rFonts w:cstheme="minorHAnsi"/>
              </w:rPr>
            </w:pPr>
            <w:r w:rsidRPr="00F51774">
              <w:rPr>
                <w:rFonts w:cstheme="minorHAnsi"/>
              </w:rPr>
              <w:t>-</w:t>
            </w:r>
          </w:p>
        </w:tc>
        <w:tc>
          <w:tcPr>
            <w:tcW w:w="1119" w:type="dxa"/>
            <w:tcBorders>
              <w:top w:val="nil"/>
              <w:left w:val="nil"/>
              <w:bottom w:val="single" w:sz="4" w:space="0" w:color="000000"/>
              <w:right w:val="nil"/>
            </w:tcBorders>
            <w:shd w:val="clear" w:color="000000" w:fill="FFFFFF"/>
            <w:noWrap/>
            <w:vAlign w:val="bottom"/>
            <w:hideMark/>
          </w:tcPr>
          <w:p w14:paraId="71728401" w14:textId="6A64CB65" w:rsidR="002A66B3" w:rsidRPr="00F51774" w:rsidRDefault="002A66B3" w:rsidP="002A66B3">
            <w:pPr>
              <w:jc w:val="right"/>
              <w:rPr>
                <w:rFonts w:cstheme="minorHAnsi"/>
              </w:rPr>
            </w:pPr>
            <w:r w:rsidRPr="00F51774">
              <w:rPr>
                <w:rFonts w:cstheme="minorHAnsi"/>
              </w:rPr>
              <w:t>(702)</w:t>
            </w:r>
          </w:p>
        </w:tc>
        <w:tc>
          <w:tcPr>
            <w:tcW w:w="1256" w:type="dxa"/>
            <w:tcBorders>
              <w:top w:val="nil"/>
              <w:left w:val="nil"/>
              <w:bottom w:val="single" w:sz="4" w:space="0" w:color="000000"/>
              <w:right w:val="nil"/>
            </w:tcBorders>
            <w:shd w:val="clear" w:color="000000" w:fill="FFFFFF"/>
            <w:noWrap/>
            <w:vAlign w:val="bottom"/>
            <w:hideMark/>
          </w:tcPr>
          <w:p w14:paraId="513F1672" w14:textId="59C2FD98" w:rsidR="002A66B3" w:rsidRPr="00F51774" w:rsidRDefault="002A66B3" w:rsidP="002A66B3">
            <w:pPr>
              <w:jc w:val="right"/>
              <w:rPr>
                <w:rFonts w:cstheme="minorHAnsi"/>
              </w:rPr>
            </w:pPr>
            <w:r w:rsidRPr="00F51774">
              <w:rPr>
                <w:rFonts w:cstheme="minorHAnsi"/>
              </w:rPr>
              <w:t>(143)</w:t>
            </w:r>
          </w:p>
        </w:tc>
        <w:tc>
          <w:tcPr>
            <w:tcW w:w="1147" w:type="dxa"/>
            <w:tcBorders>
              <w:top w:val="nil"/>
              <w:left w:val="nil"/>
              <w:bottom w:val="single" w:sz="4" w:space="0" w:color="000000"/>
            </w:tcBorders>
            <w:shd w:val="clear" w:color="000000" w:fill="FFFFFF"/>
            <w:noWrap/>
            <w:vAlign w:val="bottom"/>
            <w:hideMark/>
          </w:tcPr>
          <w:p w14:paraId="7C4CE575" w14:textId="77777777" w:rsidR="002A66B3" w:rsidRPr="00F51774" w:rsidRDefault="002A66B3" w:rsidP="002A66B3">
            <w:pPr>
              <w:jc w:val="right"/>
              <w:rPr>
                <w:rFonts w:cstheme="minorHAnsi"/>
              </w:rPr>
            </w:pPr>
            <w:r w:rsidRPr="00F51774">
              <w:rPr>
                <w:rFonts w:cstheme="minorHAnsi"/>
              </w:rPr>
              <w:t xml:space="preserve">- </w:t>
            </w:r>
          </w:p>
        </w:tc>
      </w:tr>
      <w:tr w:rsidR="008B3EFA" w:rsidRPr="002A66B3" w14:paraId="2CF1CD8F" w14:textId="77777777" w:rsidTr="00954223">
        <w:trPr>
          <w:trHeight w:val="70"/>
          <w:jc w:val="center"/>
        </w:trPr>
        <w:tc>
          <w:tcPr>
            <w:tcW w:w="4050" w:type="dxa"/>
            <w:tcBorders>
              <w:top w:val="nil"/>
              <w:left w:val="nil"/>
              <w:bottom w:val="single" w:sz="4" w:space="0" w:color="000000"/>
              <w:right w:val="nil"/>
            </w:tcBorders>
            <w:shd w:val="clear" w:color="000000" w:fill="FFFFFF"/>
            <w:noWrap/>
            <w:vAlign w:val="bottom"/>
            <w:hideMark/>
          </w:tcPr>
          <w:p w14:paraId="3547CD6E" w14:textId="77777777" w:rsidR="002A66B3" w:rsidRPr="00F51774" w:rsidRDefault="002A66B3" w:rsidP="00F51774">
            <w:pPr>
              <w:ind w:left="525"/>
              <w:rPr>
                <w:rFonts w:cstheme="minorHAnsi"/>
                <w:color w:val="000000"/>
              </w:rPr>
            </w:pPr>
            <w:r w:rsidRPr="00F51774">
              <w:rPr>
                <w:rFonts w:cstheme="minorHAnsi"/>
                <w:color w:val="000000"/>
              </w:rPr>
              <w:t>Net investment income</w:t>
            </w:r>
          </w:p>
        </w:tc>
        <w:tc>
          <w:tcPr>
            <w:tcW w:w="1170" w:type="dxa"/>
            <w:tcBorders>
              <w:top w:val="nil"/>
              <w:left w:val="nil"/>
              <w:bottom w:val="single" w:sz="4" w:space="0" w:color="000000"/>
              <w:right w:val="nil"/>
            </w:tcBorders>
            <w:shd w:val="clear" w:color="000000" w:fill="FFFFFF"/>
            <w:noWrap/>
            <w:vAlign w:val="bottom"/>
            <w:hideMark/>
          </w:tcPr>
          <w:p w14:paraId="1EA0D087" w14:textId="4E042CF2" w:rsidR="002A66B3" w:rsidRPr="00F51774" w:rsidRDefault="002A66B3" w:rsidP="002A66B3">
            <w:pPr>
              <w:jc w:val="right"/>
              <w:rPr>
                <w:rFonts w:cstheme="minorHAnsi"/>
              </w:rPr>
            </w:pPr>
            <w:r w:rsidRPr="00F51774">
              <w:rPr>
                <w:rFonts w:cstheme="minorHAnsi"/>
              </w:rPr>
              <w:t>20,</w:t>
            </w:r>
            <w:r w:rsidR="00AF6690" w:rsidRPr="00F51774">
              <w:rPr>
                <w:rFonts w:cstheme="minorHAnsi"/>
              </w:rPr>
              <w:t>03</w:t>
            </w:r>
            <w:r w:rsidR="00AF6690">
              <w:rPr>
                <w:rFonts w:cstheme="minorHAnsi"/>
              </w:rPr>
              <w:t>3</w:t>
            </w:r>
          </w:p>
        </w:tc>
        <w:tc>
          <w:tcPr>
            <w:tcW w:w="1260" w:type="dxa"/>
            <w:tcBorders>
              <w:top w:val="nil"/>
              <w:left w:val="nil"/>
              <w:bottom w:val="single" w:sz="4" w:space="0" w:color="000000"/>
              <w:right w:val="nil"/>
            </w:tcBorders>
            <w:shd w:val="clear" w:color="000000" w:fill="FFFFFF"/>
            <w:noWrap/>
            <w:vAlign w:val="bottom"/>
            <w:hideMark/>
          </w:tcPr>
          <w:p w14:paraId="1A6C7D2C" w14:textId="77777777" w:rsidR="002A66B3" w:rsidRPr="00F51774" w:rsidRDefault="002A66B3" w:rsidP="002A66B3">
            <w:pPr>
              <w:jc w:val="right"/>
              <w:rPr>
                <w:rFonts w:cstheme="minorHAnsi"/>
              </w:rPr>
            </w:pPr>
            <w:r w:rsidRPr="00F51774">
              <w:rPr>
                <w:rFonts w:cstheme="minorHAnsi"/>
              </w:rPr>
              <w:t>923</w:t>
            </w:r>
          </w:p>
        </w:tc>
        <w:tc>
          <w:tcPr>
            <w:tcW w:w="1068" w:type="dxa"/>
            <w:tcBorders>
              <w:top w:val="nil"/>
              <w:left w:val="nil"/>
              <w:bottom w:val="single" w:sz="4" w:space="0" w:color="000000"/>
              <w:right w:val="single" w:sz="8" w:space="0" w:color="000000"/>
            </w:tcBorders>
            <w:shd w:val="clear" w:color="000000" w:fill="FFFFFF"/>
            <w:noWrap/>
            <w:vAlign w:val="bottom"/>
            <w:hideMark/>
          </w:tcPr>
          <w:p w14:paraId="4F0AC851" w14:textId="77777777" w:rsidR="002A66B3" w:rsidRPr="00F51774" w:rsidRDefault="002A66B3" w:rsidP="002A66B3">
            <w:pPr>
              <w:jc w:val="right"/>
              <w:rPr>
                <w:rFonts w:cstheme="minorHAnsi"/>
              </w:rPr>
            </w:pPr>
            <w:r w:rsidRPr="00F51774">
              <w:rPr>
                <w:rFonts w:cstheme="minorHAnsi"/>
              </w:rPr>
              <w:t>122</w:t>
            </w:r>
          </w:p>
        </w:tc>
        <w:tc>
          <w:tcPr>
            <w:tcW w:w="1119" w:type="dxa"/>
            <w:tcBorders>
              <w:top w:val="nil"/>
              <w:left w:val="nil"/>
              <w:bottom w:val="single" w:sz="4" w:space="0" w:color="000000"/>
              <w:right w:val="nil"/>
            </w:tcBorders>
            <w:shd w:val="clear" w:color="000000" w:fill="FFFFFF"/>
            <w:noWrap/>
            <w:vAlign w:val="bottom"/>
            <w:hideMark/>
          </w:tcPr>
          <w:p w14:paraId="6BB3A244" w14:textId="77777777" w:rsidR="002A66B3" w:rsidRPr="00F51774" w:rsidRDefault="002A66B3" w:rsidP="002A66B3">
            <w:pPr>
              <w:jc w:val="right"/>
              <w:rPr>
                <w:rFonts w:cstheme="minorHAnsi"/>
              </w:rPr>
            </w:pPr>
            <w:r w:rsidRPr="00F51774">
              <w:rPr>
                <w:rFonts w:cstheme="minorHAnsi"/>
              </w:rPr>
              <w:t xml:space="preserve">21,764 </w:t>
            </w:r>
          </w:p>
        </w:tc>
        <w:tc>
          <w:tcPr>
            <w:tcW w:w="1256" w:type="dxa"/>
            <w:tcBorders>
              <w:top w:val="nil"/>
              <w:left w:val="nil"/>
              <w:bottom w:val="single" w:sz="4" w:space="0" w:color="000000"/>
              <w:right w:val="nil"/>
            </w:tcBorders>
            <w:shd w:val="clear" w:color="000000" w:fill="FFFFFF"/>
            <w:noWrap/>
            <w:vAlign w:val="bottom"/>
            <w:hideMark/>
          </w:tcPr>
          <w:p w14:paraId="6564F88C" w14:textId="77777777" w:rsidR="002A66B3" w:rsidRPr="00F51774" w:rsidRDefault="002A66B3" w:rsidP="002A66B3">
            <w:pPr>
              <w:jc w:val="right"/>
              <w:rPr>
                <w:rFonts w:cstheme="minorHAnsi"/>
              </w:rPr>
            </w:pPr>
            <w:r w:rsidRPr="00F51774">
              <w:rPr>
                <w:rFonts w:cstheme="minorHAnsi"/>
              </w:rPr>
              <w:t xml:space="preserve">4,591 </w:t>
            </w:r>
          </w:p>
        </w:tc>
        <w:tc>
          <w:tcPr>
            <w:tcW w:w="1147" w:type="dxa"/>
            <w:tcBorders>
              <w:top w:val="nil"/>
              <w:left w:val="nil"/>
              <w:bottom w:val="single" w:sz="4" w:space="0" w:color="000000"/>
            </w:tcBorders>
            <w:shd w:val="clear" w:color="000000" w:fill="FFFFFF"/>
            <w:noWrap/>
            <w:vAlign w:val="bottom"/>
            <w:hideMark/>
          </w:tcPr>
          <w:p w14:paraId="6D9FF7C9" w14:textId="77777777" w:rsidR="002A66B3" w:rsidRPr="00F51774" w:rsidRDefault="002A66B3" w:rsidP="002A66B3">
            <w:pPr>
              <w:jc w:val="right"/>
              <w:rPr>
                <w:rFonts w:cstheme="minorHAnsi"/>
              </w:rPr>
            </w:pPr>
            <w:r w:rsidRPr="00F51774">
              <w:rPr>
                <w:rFonts w:cstheme="minorHAnsi"/>
              </w:rPr>
              <w:t xml:space="preserve">144 </w:t>
            </w:r>
          </w:p>
        </w:tc>
      </w:tr>
      <w:tr w:rsidR="008B3EFA" w:rsidRPr="002A66B3" w14:paraId="0B543896" w14:textId="77777777" w:rsidTr="00954223">
        <w:trPr>
          <w:trHeight w:val="70"/>
          <w:jc w:val="center"/>
        </w:trPr>
        <w:tc>
          <w:tcPr>
            <w:tcW w:w="4050" w:type="dxa"/>
            <w:tcBorders>
              <w:top w:val="nil"/>
              <w:left w:val="nil"/>
              <w:bottom w:val="nil"/>
              <w:right w:val="nil"/>
            </w:tcBorders>
            <w:shd w:val="clear" w:color="000000" w:fill="FFFFFF"/>
            <w:noWrap/>
            <w:vAlign w:val="bottom"/>
            <w:hideMark/>
          </w:tcPr>
          <w:p w14:paraId="5367C462" w14:textId="77777777" w:rsidR="002A66B3" w:rsidRPr="00F51774" w:rsidRDefault="002A66B3" w:rsidP="002A66B3">
            <w:pPr>
              <w:rPr>
                <w:rFonts w:cstheme="minorHAnsi"/>
                <w:color w:val="000000"/>
              </w:rPr>
            </w:pPr>
            <w:r w:rsidRPr="00F51774">
              <w:rPr>
                <w:rFonts w:cstheme="minorHAnsi"/>
                <w:color w:val="000000"/>
              </w:rPr>
              <w:t>Other additions</w:t>
            </w:r>
          </w:p>
        </w:tc>
        <w:tc>
          <w:tcPr>
            <w:tcW w:w="1170" w:type="dxa"/>
            <w:tcBorders>
              <w:top w:val="nil"/>
              <w:left w:val="nil"/>
              <w:bottom w:val="nil"/>
              <w:right w:val="nil"/>
            </w:tcBorders>
            <w:shd w:val="clear" w:color="000000" w:fill="FFFFFF"/>
            <w:noWrap/>
            <w:vAlign w:val="bottom"/>
            <w:hideMark/>
          </w:tcPr>
          <w:p w14:paraId="4EE5D0D9" w14:textId="33BF1575" w:rsidR="002A66B3" w:rsidRPr="00F51774" w:rsidRDefault="002A66B3" w:rsidP="002A66B3">
            <w:pPr>
              <w:jc w:val="right"/>
              <w:rPr>
                <w:rFonts w:cstheme="minorHAnsi"/>
              </w:rPr>
            </w:pPr>
          </w:p>
        </w:tc>
        <w:tc>
          <w:tcPr>
            <w:tcW w:w="1260" w:type="dxa"/>
            <w:tcBorders>
              <w:top w:val="nil"/>
              <w:left w:val="nil"/>
              <w:bottom w:val="nil"/>
              <w:right w:val="nil"/>
            </w:tcBorders>
            <w:shd w:val="clear" w:color="000000" w:fill="FFFFFF"/>
            <w:noWrap/>
            <w:vAlign w:val="bottom"/>
            <w:hideMark/>
          </w:tcPr>
          <w:p w14:paraId="6189E83A" w14:textId="469B20D6" w:rsidR="002A66B3" w:rsidRPr="00F51774" w:rsidRDefault="002A66B3" w:rsidP="002A66B3">
            <w:pPr>
              <w:jc w:val="right"/>
              <w:rPr>
                <w:rFonts w:cstheme="minorHAnsi"/>
              </w:rPr>
            </w:pPr>
          </w:p>
        </w:tc>
        <w:tc>
          <w:tcPr>
            <w:tcW w:w="1068" w:type="dxa"/>
            <w:tcBorders>
              <w:top w:val="nil"/>
              <w:left w:val="nil"/>
              <w:bottom w:val="nil"/>
              <w:right w:val="single" w:sz="8" w:space="0" w:color="000000"/>
            </w:tcBorders>
            <w:shd w:val="clear" w:color="000000" w:fill="FFFFFF"/>
            <w:noWrap/>
            <w:vAlign w:val="bottom"/>
            <w:hideMark/>
          </w:tcPr>
          <w:p w14:paraId="029ED948" w14:textId="35ADC8D4" w:rsidR="002A66B3" w:rsidRPr="00F51774" w:rsidRDefault="002A66B3" w:rsidP="002A66B3">
            <w:pPr>
              <w:jc w:val="right"/>
              <w:rPr>
                <w:rFonts w:cstheme="minorHAnsi"/>
              </w:rPr>
            </w:pPr>
          </w:p>
        </w:tc>
        <w:tc>
          <w:tcPr>
            <w:tcW w:w="1119" w:type="dxa"/>
            <w:tcBorders>
              <w:top w:val="nil"/>
              <w:left w:val="nil"/>
              <w:bottom w:val="nil"/>
              <w:right w:val="nil"/>
            </w:tcBorders>
            <w:shd w:val="clear" w:color="000000" w:fill="FFFFFF"/>
            <w:noWrap/>
            <w:vAlign w:val="bottom"/>
            <w:hideMark/>
          </w:tcPr>
          <w:p w14:paraId="23025B53" w14:textId="1E987402" w:rsidR="002A66B3" w:rsidRPr="00F51774" w:rsidRDefault="002A66B3" w:rsidP="002A66B3">
            <w:pPr>
              <w:jc w:val="right"/>
              <w:rPr>
                <w:rFonts w:cstheme="minorHAnsi"/>
              </w:rPr>
            </w:pPr>
          </w:p>
        </w:tc>
        <w:tc>
          <w:tcPr>
            <w:tcW w:w="1256" w:type="dxa"/>
            <w:tcBorders>
              <w:top w:val="nil"/>
              <w:left w:val="nil"/>
              <w:bottom w:val="nil"/>
              <w:right w:val="nil"/>
            </w:tcBorders>
            <w:shd w:val="clear" w:color="000000" w:fill="FFFFFF"/>
            <w:noWrap/>
            <w:vAlign w:val="bottom"/>
            <w:hideMark/>
          </w:tcPr>
          <w:p w14:paraId="2C765387" w14:textId="6B4021D9" w:rsidR="002A66B3" w:rsidRPr="00F51774" w:rsidRDefault="002A66B3" w:rsidP="002A66B3">
            <w:pPr>
              <w:jc w:val="right"/>
              <w:rPr>
                <w:rFonts w:cstheme="minorHAnsi"/>
              </w:rPr>
            </w:pPr>
          </w:p>
        </w:tc>
        <w:tc>
          <w:tcPr>
            <w:tcW w:w="1147" w:type="dxa"/>
            <w:tcBorders>
              <w:top w:val="nil"/>
              <w:left w:val="nil"/>
              <w:bottom w:val="nil"/>
            </w:tcBorders>
            <w:shd w:val="clear" w:color="000000" w:fill="FFFFFF"/>
            <w:noWrap/>
            <w:vAlign w:val="bottom"/>
            <w:hideMark/>
          </w:tcPr>
          <w:p w14:paraId="526F1A63" w14:textId="5BC7A426" w:rsidR="002A66B3" w:rsidRPr="00F51774" w:rsidRDefault="002A66B3" w:rsidP="002A66B3">
            <w:pPr>
              <w:jc w:val="right"/>
              <w:rPr>
                <w:rFonts w:cstheme="minorHAnsi"/>
              </w:rPr>
            </w:pPr>
          </w:p>
        </w:tc>
      </w:tr>
      <w:tr w:rsidR="008B3EFA" w:rsidRPr="002A66B3" w14:paraId="2B68B986" w14:textId="77777777" w:rsidTr="00954223">
        <w:trPr>
          <w:trHeight w:val="80"/>
          <w:jc w:val="center"/>
        </w:trPr>
        <w:tc>
          <w:tcPr>
            <w:tcW w:w="4050" w:type="dxa"/>
            <w:tcBorders>
              <w:top w:val="nil"/>
              <w:left w:val="nil"/>
              <w:bottom w:val="nil"/>
              <w:right w:val="nil"/>
            </w:tcBorders>
            <w:shd w:val="clear" w:color="000000" w:fill="FFFFFF"/>
            <w:noWrap/>
            <w:vAlign w:val="bottom"/>
            <w:hideMark/>
          </w:tcPr>
          <w:p w14:paraId="390B8632" w14:textId="77777777" w:rsidR="002A66B3" w:rsidRPr="00F51774" w:rsidRDefault="002A66B3" w:rsidP="00F51774">
            <w:pPr>
              <w:ind w:left="255"/>
              <w:rPr>
                <w:rFonts w:cstheme="minorHAnsi"/>
              </w:rPr>
            </w:pPr>
            <w:r w:rsidRPr="00F51774">
              <w:rPr>
                <w:rFonts w:cstheme="minorHAnsi"/>
              </w:rPr>
              <w:t>Student activity fees</w:t>
            </w:r>
          </w:p>
        </w:tc>
        <w:tc>
          <w:tcPr>
            <w:tcW w:w="1170" w:type="dxa"/>
            <w:tcBorders>
              <w:top w:val="nil"/>
              <w:left w:val="nil"/>
              <w:bottom w:val="nil"/>
              <w:right w:val="nil"/>
            </w:tcBorders>
            <w:shd w:val="clear" w:color="000000" w:fill="FFFFFF"/>
            <w:noWrap/>
            <w:vAlign w:val="bottom"/>
            <w:hideMark/>
          </w:tcPr>
          <w:p w14:paraId="0A27EC62" w14:textId="77777777" w:rsidR="002A66B3" w:rsidRPr="00F51774" w:rsidRDefault="002A66B3" w:rsidP="002A66B3">
            <w:pPr>
              <w:jc w:val="right"/>
              <w:rPr>
                <w:rFonts w:cstheme="minorHAnsi"/>
              </w:rPr>
            </w:pPr>
            <w:r w:rsidRPr="00F51774">
              <w:rPr>
                <w:rFonts w:cstheme="minorHAnsi"/>
              </w:rPr>
              <w:t>-</w:t>
            </w:r>
          </w:p>
        </w:tc>
        <w:tc>
          <w:tcPr>
            <w:tcW w:w="1260" w:type="dxa"/>
            <w:tcBorders>
              <w:top w:val="nil"/>
              <w:left w:val="nil"/>
              <w:bottom w:val="nil"/>
              <w:right w:val="nil"/>
            </w:tcBorders>
            <w:shd w:val="clear" w:color="000000" w:fill="FFFFFF"/>
            <w:noWrap/>
            <w:vAlign w:val="bottom"/>
            <w:hideMark/>
          </w:tcPr>
          <w:p w14:paraId="38A41244" w14:textId="77777777" w:rsidR="002A66B3" w:rsidRPr="00F51774" w:rsidRDefault="002A66B3" w:rsidP="002A66B3">
            <w:pPr>
              <w:jc w:val="right"/>
              <w:rPr>
                <w:rFonts w:cstheme="minorHAnsi"/>
              </w:rPr>
            </w:pPr>
            <w:r w:rsidRPr="00F51774">
              <w:rPr>
                <w:rFonts w:cstheme="minorHAnsi"/>
              </w:rPr>
              <w:t xml:space="preserve">- </w:t>
            </w:r>
          </w:p>
        </w:tc>
        <w:tc>
          <w:tcPr>
            <w:tcW w:w="1068" w:type="dxa"/>
            <w:tcBorders>
              <w:top w:val="nil"/>
              <w:left w:val="nil"/>
              <w:bottom w:val="nil"/>
              <w:right w:val="single" w:sz="8" w:space="0" w:color="000000"/>
            </w:tcBorders>
            <w:shd w:val="clear" w:color="000000" w:fill="FFFFFF"/>
            <w:noWrap/>
            <w:vAlign w:val="bottom"/>
            <w:hideMark/>
          </w:tcPr>
          <w:p w14:paraId="095D8A0E" w14:textId="77777777" w:rsidR="002A66B3" w:rsidRPr="00F51774" w:rsidRDefault="002A66B3" w:rsidP="002A66B3">
            <w:pPr>
              <w:jc w:val="right"/>
              <w:rPr>
                <w:rFonts w:cstheme="minorHAnsi"/>
              </w:rPr>
            </w:pPr>
            <w:r w:rsidRPr="00F51774">
              <w:rPr>
                <w:rFonts w:cstheme="minorHAnsi"/>
              </w:rPr>
              <w:t>2,009</w:t>
            </w:r>
          </w:p>
        </w:tc>
        <w:tc>
          <w:tcPr>
            <w:tcW w:w="1119" w:type="dxa"/>
            <w:tcBorders>
              <w:top w:val="nil"/>
              <w:left w:val="nil"/>
              <w:bottom w:val="nil"/>
              <w:right w:val="nil"/>
            </w:tcBorders>
            <w:shd w:val="clear" w:color="000000" w:fill="FFFFFF"/>
            <w:noWrap/>
            <w:vAlign w:val="bottom"/>
            <w:hideMark/>
          </w:tcPr>
          <w:p w14:paraId="6485FC46" w14:textId="77777777" w:rsidR="002A66B3" w:rsidRPr="00F51774" w:rsidRDefault="002A66B3" w:rsidP="002A66B3">
            <w:pPr>
              <w:jc w:val="right"/>
              <w:rPr>
                <w:rFonts w:cstheme="minorHAnsi"/>
              </w:rPr>
            </w:pPr>
            <w:r w:rsidRPr="00F51774">
              <w:rPr>
                <w:rFonts w:cstheme="minorHAnsi"/>
              </w:rPr>
              <w:t xml:space="preserve">- </w:t>
            </w:r>
          </w:p>
        </w:tc>
        <w:tc>
          <w:tcPr>
            <w:tcW w:w="1256" w:type="dxa"/>
            <w:tcBorders>
              <w:top w:val="nil"/>
              <w:left w:val="nil"/>
              <w:bottom w:val="nil"/>
              <w:right w:val="nil"/>
            </w:tcBorders>
            <w:shd w:val="clear" w:color="000000" w:fill="FFFFFF"/>
            <w:noWrap/>
            <w:vAlign w:val="bottom"/>
            <w:hideMark/>
          </w:tcPr>
          <w:p w14:paraId="032BE452" w14:textId="77777777" w:rsidR="002A66B3" w:rsidRPr="00F51774" w:rsidRDefault="002A66B3" w:rsidP="002A66B3">
            <w:pPr>
              <w:jc w:val="right"/>
              <w:rPr>
                <w:rFonts w:cstheme="minorHAnsi"/>
              </w:rPr>
            </w:pPr>
            <w:r w:rsidRPr="00F51774">
              <w:rPr>
                <w:rFonts w:cstheme="minorHAnsi"/>
              </w:rPr>
              <w:t xml:space="preserve">- </w:t>
            </w:r>
          </w:p>
        </w:tc>
        <w:tc>
          <w:tcPr>
            <w:tcW w:w="1147" w:type="dxa"/>
            <w:tcBorders>
              <w:top w:val="nil"/>
              <w:left w:val="nil"/>
              <w:bottom w:val="nil"/>
            </w:tcBorders>
            <w:shd w:val="clear" w:color="000000" w:fill="FFFFFF"/>
            <w:noWrap/>
            <w:vAlign w:val="bottom"/>
            <w:hideMark/>
          </w:tcPr>
          <w:p w14:paraId="45E2DDED" w14:textId="77777777" w:rsidR="002A66B3" w:rsidRPr="00F51774" w:rsidRDefault="002A66B3" w:rsidP="002A66B3">
            <w:pPr>
              <w:jc w:val="right"/>
              <w:rPr>
                <w:rFonts w:cstheme="minorHAnsi"/>
              </w:rPr>
            </w:pPr>
            <w:r w:rsidRPr="00F51774">
              <w:rPr>
                <w:rFonts w:cstheme="minorHAnsi"/>
              </w:rPr>
              <w:t xml:space="preserve">2,011 </w:t>
            </w:r>
          </w:p>
        </w:tc>
      </w:tr>
      <w:tr w:rsidR="008B3EFA" w:rsidRPr="002A66B3" w14:paraId="3EF13EB1" w14:textId="77777777" w:rsidTr="00954223">
        <w:trPr>
          <w:trHeight w:val="80"/>
          <w:jc w:val="center"/>
        </w:trPr>
        <w:tc>
          <w:tcPr>
            <w:tcW w:w="4050" w:type="dxa"/>
            <w:tcBorders>
              <w:top w:val="nil"/>
              <w:left w:val="nil"/>
              <w:bottom w:val="nil"/>
              <w:right w:val="nil"/>
            </w:tcBorders>
            <w:shd w:val="clear" w:color="000000" w:fill="FFFFFF"/>
            <w:noWrap/>
            <w:vAlign w:val="bottom"/>
            <w:hideMark/>
          </w:tcPr>
          <w:p w14:paraId="6BA20DCA" w14:textId="77777777" w:rsidR="002A66B3" w:rsidRPr="00F51774" w:rsidRDefault="002A66B3" w:rsidP="00F51774">
            <w:pPr>
              <w:ind w:left="255"/>
              <w:rPr>
                <w:rFonts w:cstheme="minorHAnsi"/>
              </w:rPr>
            </w:pPr>
            <w:r w:rsidRPr="00F51774">
              <w:rPr>
                <w:rFonts w:cstheme="minorHAnsi"/>
              </w:rPr>
              <w:t>Endowment income distribution</w:t>
            </w:r>
          </w:p>
        </w:tc>
        <w:tc>
          <w:tcPr>
            <w:tcW w:w="1170" w:type="dxa"/>
            <w:tcBorders>
              <w:top w:val="nil"/>
              <w:left w:val="nil"/>
              <w:bottom w:val="nil"/>
              <w:right w:val="nil"/>
            </w:tcBorders>
            <w:shd w:val="clear" w:color="000000" w:fill="FFFFFF"/>
            <w:noWrap/>
            <w:vAlign w:val="bottom"/>
            <w:hideMark/>
          </w:tcPr>
          <w:p w14:paraId="42F7DC7E" w14:textId="77777777" w:rsidR="002A66B3" w:rsidRPr="00F51774" w:rsidRDefault="002A66B3" w:rsidP="002A66B3">
            <w:pPr>
              <w:jc w:val="right"/>
              <w:rPr>
                <w:rFonts w:cstheme="minorHAnsi"/>
              </w:rPr>
            </w:pPr>
            <w:r w:rsidRPr="00F51774">
              <w:rPr>
                <w:rFonts w:cstheme="minorHAnsi"/>
              </w:rPr>
              <w:t>-</w:t>
            </w:r>
          </w:p>
        </w:tc>
        <w:tc>
          <w:tcPr>
            <w:tcW w:w="1260" w:type="dxa"/>
            <w:tcBorders>
              <w:top w:val="nil"/>
              <w:left w:val="nil"/>
              <w:bottom w:val="nil"/>
              <w:right w:val="nil"/>
            </w:tcBorders>
            <w:shd w:val="clear" w:color="000000" w:fill="FFFFFF"/>
            <w:noWrap/>
            <w:vAlign w:val="bottom"/>
            <w:hideMark/>
          </w:tcPr>
          <w:p w14:paraId="39D2AD02" w14:textId="77777777" w:rsidR="002A66B3" w:rsidRPr="00F51774" w:rsidRDefault="002A66B3" w:rsidP="002A66B3">
            <w:pPr>
              <w:jc w:val="right"/>
              <w:rPr>
                <w:rFonts w:cstheme="minorHAnsi"/>
              </w:rPr>
            </w:pPr>
            <w:r w:rsidRPr="00F51774">
              <w:rPr>
                <w:rFonts w:cstheme="minorHAnsi"/>
              </w:rPr>
              <w:t xml:space="preserve">- </w:t>
            </w:r>
          </w:p>
        </w:tc>
        <w:tc>
          <w:tcPr>
            <w:tcW w:w="1068" w:type="dxa"/>
            <w:tcBorders>
              <w:top w:val="nil"/>
              <w:left w:val="nil"/>
              <w:bottom w:val="nil"/>
              <w:right w:val="single" w:sz="8" w:space="0" w:color="000000"/>
            </w:tcBorders>
            <w:shd w:val="clear" w:color="000000" w:fill="FFFFFF"/>
            <w:noWrap/>
            <w:vAlign w:val="bottom"/>
            <w:hideMark/>
          </w:tcPr>
          <w:p w14:paraId="6243FA65" w14:textId="77777777" w:rsidR="002A66B3" w:rsidRPr="00F51774" w:rsidRDefault="002A66B3" w:rsidP="002A66B3">
            <w:pPr>
              <w:jc w:val="right"/>
              <w:rPr>
                <w:rFonts w:cstheme="minorHAnsi"/>
              </w:rPr>
            </w:pPr>
            <w:r w:rsidRPr="00F51774">
              <w:rPr>
                <w:rFonts w:cstheme="minorHAnsi"/>
              </w:rPr>
              <w:t>155</w:t>
            </w:r>
          </w:p>
        </w:tc>
        <w:tc>
          <w:tcPr>
            <w:tcW w:w="1119" w:type="dxa"/>
            <w:tcBorders>
              <w:top w:val="nil"/>
              <w:left w:val="nil"/>
              <w:bottom w:val="nil"/>
              <w:right w:val="nil"/>
            </w:tcBorders>
            <w:shd w:val="clear" w:color="000000" w:fill="FFFFFF"/>
            <w:noWrap/>
            <w:vAlign w:val="bottom"/>
            <w:hideMark/>
          </w:tcPr>
          <w:p w14:paraId="64E9D845" w14:textId="77777777" w:rsidR="002A66B3" w:rsidRPr="00F51774" w:rsidRDefault="002A66B3" w:rsidP="002A66B3">
            <w:pPr>
              <w:jc w:val="right"/>
              <w:rPr>
                <w:rFonts w:cstheme="minorHAnsi"/>
              </w:rPr>
            </w:pPr>
            <w:r w:rsidRPr="00F51774">
              <w:rPr>
                <w:rFonts w:cstheme="minorHAnsi"/>
              </w:rPr>
              <w:t xml:space="preserve">- </w:t>
            </w:r>
          </w:p>
        </w:tc>
        <w:tc>
          <w:tcPr>
            <w:tcW w:w="1256" w:type="dxa"/>
            <w:tcBorders>
              <w:top w:val="nil"/>
              <w:left w:val="nil"/>
              <w:bottom w:val="nil"/>
              <w:right w:val="nil"/>
            </w:tcBorders>
            <w:shd w:val="clear" w:color="000000" w:fill="FFFFFF"/>
            <w:noWrap/>
            <w:vAlign w:val="bottom"/>
            <w:hideMark/>
          </w:tcPr>
          <w:p w14:paraId="7A1AB843" w14:textId="77777777" w:rsidR="002A66B3" w:rsidRPr="00F51774" w:rsidRDefault="002A66B3" w:rsidP="002A66B3">
            <w:pPr>
              <w:jc w:val="right"/>
              <w:rPr>
                <w:rFonts w:cstheme="minorHAnsi"/>
              </w:rPr>
            </w:pPr>
            <w:r w:rsidRPr="00F51774">
              <w:rPr>
                <w:rFonts w:cstheme="minorHAnsi"/>
              </w:rPr>
              <w:t xml:space="preserve">- </w:t>
            </w:r>
          </w:p>
        </w:tc>
        <w:tc>
          <w:tcPr>
            <w:tcW w:w="1147" w:type="dxa"/>
            <w:tcBorders>
              <w:top w:val="nil"/>
              <w:left w:val="nil"/>
              <w:bottom w:val="nil"/>
            </w:tcBorders>
            <w:shd w:val="clear" w:color="000000" w:fill="FFFFFF"/>
            <w:noWrap/>
            <w:vAlign w:val="bottom"/>
            <w:hideMark/>
          </w:tcPr>
          <w:p w14:paraId="6E1BE370" w14:textId="77777777" w:rsidR="002A66B3" w:rsidRPr="00F51774" w:rsidRDefault="002A66B3" w:rsidP="002A66B3">
            <w:pPr>
              <w:jc w:val="right"/>
              <w:rPr>
                <w:rFonts w:cstheme="minorHAnsi"/>
              </w:rPr>
            </w:pPr>
            <w:r w:rsidRPr="00F51774">
              <w:rPr>
                <w:rFonts w:cstheme="minorHAnsi"/>
              </w:rPr>
              <w:t xml:space="preserve">1,139 </w:t>
            </w:r>
          </w:p>
        </w:tc>
      </w:tr>
      <w:tr w:rsidR="008B3EFA" w:rsidRPr="002A66B3" w14:paraId="17780CDE" w14:textId="77777777" w:rsidTr="00954223">
        <w:trPr>
          <w:trHeight w:val="80"/>
          <w:jc w:val="center"/>
        </w:trPr>
        <w:tc>
          <w:tcPr>
            <w:tcW w:w="4050" w:type="dxa"/>
            <w:tcBorders>
              <w:top w:val="nil"/>
              <w:left w:val="nil"/>
              <w:bottom w:val="single" w:sz="4" w:space="0" w:color="000000"/>
              <w:right w:val="nil"/>
            </w:tcBorders>
            <w:shd w:val="clear" w:color="000000" w:fill="FFFFFF"/>
            <w:noWrap/>
            <w:vAlign w:val="bottom"/>
            <w:hideMark/>
          </w:tcPr>
          <w:p w14:paraId="47FEE1A5" w14:textId="77777777" w:rsidR="002A66B3" w:rsidRPr="00F51774" w:rsidRDefault="002A66B3" w:rsidP="00F51774">
            <w:pPr>
              <w:ind w:left="255"/>
              <w:rPr>
                <w:rFonts w:cstheme="minorHAnsi"/>
              </w:rPr>
            </w:pPr>
            <w:r w:rsidRPr="00F51774">
              <w:rPr>
                <w:rFonts w:cstheme="minorHAnsi"/>
              </w:rPr>
              <w:t>Other income</w:t>
            </w:r>
          </w:p>
        </w:tc>
        <w:tc>
          <w:tcPr>
            <w:tcW w:w="1170" w:type="dxa"/>
            <w:tcBorders>
              <w:top w:val="nil"/>
              <w:left w:val="nil"/>
              <w:bottom w:val="single" w:sz="4" w:space="0" w:color="000000"/>
              <w:right w:val="nil"/>
            </w:tcBorders>
            <w:shd w:val="clear" w:color="000000" w:fill="FFFFFF"/>
            <w:noWrap/>
            <w:vAlign w:val="bottom"/>
            <w:hideMark/>
          </w:tcPr>
          <w:p w14:paraId="18234C83" w14:textId="77777777" w:rsidR="002A66B3" w:rsidRPr="00F51774" w:rsidRDefault="002A66B3" w:rsidP="002A66B3">
            <w:pPr>
              <w:jc w:val="right"/>
              <w:rPr>
                <w:rFonts w:cstheme="minorHAnsi"/>
              </w:rPr>
            </w:pPr>
            <w:r w:rsidRPr="00F51774">
              <w:rPr>
                <w:rFonts w:cstheme="minorHAnsi"/>
              </w:rPr>
              <w:t>-</w:t>
            </w:r>
          </w:p>
        </w:tc>
        <w:tc>
          <w:tcPr>
            <w:tcW w:w="1260" w:type="dxa"/>
            <w:tcBorders>
              <w:top w:val="nil"/>
              <w:left w:val="nil"/>
              <w:bottom w:val="single" w:sz="4" w:space="0" w:color="000000"/>
              <w:right w:val="nil"/>
            </w:tcBorders>
            <w:shd w:val="clear" w:color="000000" w:fill="FFFFFF"/>
            <w:noWrap/>
            <w:vAlign w:val="bottom"/>
            <w:hideMark/>
          </w:tcPr>
          <w:p w14:paraId="1D3B01B4" w14:textId="77777777" w:rsidR="002A66B3" w:rsidRPr="00F51774" w:rsidRDefault="002A66B3" w:rsidP="002A66B3">
            <w:pPr>
              <w:jc w:val="right"/>
              <w:rPr>
                <w:rFonts w:cstheme="minorHAnsi"/>
              </w:rPr>
            </w:pPr>
            <w:r w:rsidRPr="00F51774">
              <w:rPr>
                <w:rFonts w:cstheme="minorHAnsi"/>
              </w:rPr>
              <w:t xml:space="preserve">- </w:t>
            </w:r>
          </w:p>
        </w:tc>
        <w:tc>
          <w:tcPr>
            <w:tcW w:w="1068" w:type="dxa"/>
            <w:tcBorders>
              <w:top w:val="nil"/>
              <w:left w:val="nil"/>
              <w:bottom w:val="single" w:sz="4" w:space="0" w:color="000000"/>
              <w:right w:val="single" w:sz="8" w:space="0" w:color="000000"/>
            </w:tcBorders>
            <w:shd w:val="clear" w:color="000000" w:fill="FFFFFF"/>
            <w:noWrap/>
            <w:vAlign w:val="bottom"/>
            <w:hideMark/>
          </w:tcPr>
          <w:p w14:paraId="7BBD0E22" w14:textId="77777777" w:rsidR="002A66B3" w:rsidRPr="00F51774" w:rsidRDefault="002A66B3" w:rsidP="002A66B3">
            <w:pPr>
              <w:jc w:val="right"/>
              <w:rPr>
                <w:rFonts w:cstheme="minorHAnsi"/>
              </w:rPr>
            </w:pPr>
            <w:r w:rsidRPr="00F51774">
              <w:rPr>
                <w:rFonts w:cstheme="minorHAnsi"/>
              </w:rPr>
              <w:t>489</w:t>
            </w:r>
          </w:p>
        </w:tc>
        <w:tc>
          <w:tcPr>
            <w:tcW w:w="1119" w:type="dxa"/>
            <w:tcBorders>
              <w:top w:val="nil"/>
              <w:left w:val="nil"/>
              <w:bottom w:val="single" w:sz="4" w:space="0" w:color="000000"/>
              <w:right w:val="nil"/>
            </w:tcBorders>
            <w:shd w:val="clear" w:color="000000" w:fill="FFFFFF"/>
            <w:noWrap/>
            <w:vAlign w:val="bottom"/>
            <w:hideMark/>
          </w:tcPr>
          <w:p w14:paraId="1ED433F3" w14:textId="77777777" w:rsidR="002A66B3" w:rsidRPr="00F51774" w:rsidRDefault="002A66B3" w:rsidP="002A66B3">
            <w:pPr>
              <w:jc w:val="right"/>
              <w:rPr>
                <w:rFonts w:cstheme="minorHAnsi"/>
              </w:rPr>
            </w:pPr>
            <w:r w:rsidRPr="00F51774">
              <w:rPr>
                <w:rFonts w:cstheme="minorHAnsi"/>
              </w:rPr>
              <w:t xml:space="preserve">- </w:t>
            </w:r>
          </w:p>
        </w:tc>
        <w:tc>
          <w:tcPr>
            <w:tcW w:w="1256" w:type="dxa"/>
            <w:tcBorders>
              <w:top w:val="nil"/>
              <w:left w:val="nil"/>
              <w:bottom w:val="single" w:sz="4" w:space="0" w:color="000000"/>
              <w:right w:val="nil"/>
            </w:tcBorders>
            <w:shd w:val="clear" w:color="000000" w:fill="FFFFFF"/>
            <w:noWrap/>
            <w:vAlign w:val="bottom"/>
            <w:hideMark/>
          </w:tcPr>
          <w:p w14:paraId="4DD9C605" w14:textId="77777777" w:rsidR="002A66B3" w:rsidRPr="00F51774" w:rsidRDefault="002A66B3" w:rsidP="002A66B3">
            <w:pPr>
              <w:jc w:val="right"/>
              <w:rPr>
                <w:rFonts w:cstheme="minorHAnsi"/>
              </w:rPr>
            </w:pPr>
            <w:r w:rsidRPr="00F51774">
              <w:rPr>
                <w:rFonts w:cstheme="minorHAnsi"/>
              </w:rPr>
              <w:t xml:space="preserve">- </w:t>
            </w:r>
          </w:p>
        </w:tc>
        <w:tc>
          <w:tcPr>
            <w:tcW w:w="1147" w:type="dxa"/>
            <w:tcBorders>
              <w:top w:val="nil"/>
              <w:left w:val="nil"/>
              <w:bottom w:val="single" w:sz="4" w:space="0" w:color="000000"/>
            </w:tcBorders>
            <w:shd w:val="clear" w:color="000000" w:fill="FFFFFF"/>
            <w:noWrap/>
            <w:vAlign w:val="bottom"/>
            <w:hideMark/>
          </w:tcPr>
          <w:p w14:paraId="368E985E" w14:textId="77777777" w:rsidR="002A66B3" w:rsidRPr="00F51774" w:rsidRDefault="002A66B3" w:rsidP="002A66B3">
            <w:pPr>
              <w:jc w:val="right"/>
              <w:rPr>
                <w:rFonts w:cstheme="minorHAnsi"/>
              </w:rPr>
            </w:pPr>
            <w:r w:rsidRPr="00F51774">
              <w:rPr>
                <w:rFonts w:cstheme="minorHAnsi"/>
              </w:rPr>
              <w:t xml:space="preserve">317 </w:t>
            </w:r>
          </w:p>
        </w:tc>
      </w:tr>
      <w:tr w:rsidR="008B3EFA" w:rsidRPr="002A66B3" w14:paraId="5F9E1C85" w14:textId="77777777" w:rsidTr="00954223">
        <w:trPr>
          <w:trHeight w:val="70"/>
          <w:jc w:val="center"/>
        </w:trPr>
        <w:tc>
          <w:tcPr>
            <w:tcW w:w="4050" w:type="dxa"/>
            <w:tcBorders>
              <w:top w:val="nil"/>
              <w:left w:val="nil"/>
              <w:bottom w:val="single" w:sz="4" w:space="0" w:color="000000"/>
              <w:right w:val="nil"/>
            </w:tcBorders>
            <w:shd w:val="clear" w:color="000000" w:fill="FFFFFF"/>
            <w:noWrap/>
            <w:hideMark/>
          </w:tcPr>
          <w:p w14:paraId="73925565" w14:textId="77777777" w:rsidR="002A66B3" w:rsidRPr="00F51774" w:rsidRDefault="002A66B3" w:rsidP="00F51774">
            <w:pPr>
              <w:ind w:left="525"/>
              <w:rPr>
                <w:rFonts w:cstheme="minorHAnsi"/>
                <w:color w:val="000000"/>
              </w:rPr>
            </w:pPr>
            <w:r w:rsidRPr="00F51774">
              <w:rPr>
                <w:rFonts w:cstheme="minorHAnsi"/>
                <w:color w:val="000000"/>
              </w:rPr>
              <w:t>Total other additions</w:t>
            </w:r>
          </w:p>
        </w:tc>
        <w:tc>
          <w:tcPr>
            <w:tcW w:w="1170" w:type="dxa"/>
            <w:tcBorders>
              <w:top w:val="nil"/>
              <w:left w:val="nil"/>
              <w:bottom w:val="single" w:sz="4" w:space="0" w:color="000000"/>
              <w:right w:val="nil"/>
            </w:tcBorders>
            <w:shd w:val="clear" w:color="000000" w:fill="FFFFFF"/>
            <w:noWrap/>
            <w:hideMark/>
          </w:tcPr>
          <w:p w14:paraId="4FE2FF19" w14:textId="77777777" w:rsidR="002A66B3" w:rsidRPr="00F51774" w:rsidRDefault="002A66B3" w:rsidP="002A66B3">
            <w:pPr>
              <w:jc w:val="right"/>
              <w:rPr>
                <w:rFonts w:cstheme="minorHAnsi"/>
              </w:rPr>
            </w:pPr>
            <w:r w:rsidRPr="00F51774">
              <w:rPr>
                <w:rFonts w:cstheme="minorHAnsi"/>
              </w:rPr>
              <w:t>-</w:t>
            </w:r>
          </w:p>
        </w:tc>
        <w:tc>
          <w:tcPr>
            <w:tcW w:w="1260" w:type="dxa"/>
            <w:tcBorders>
              <w:top w:val="nil"/>
              <w:left w:val="nil"/>
              <w:bottom w:val="single" w:sz="4" w:space="0" w:color="000000"/>
              <w:right w:val="nil"/>
            </w:tcBorders>
            <w:shd w:val="clear" w:color="000000" w:fill="FFFFFF"/>
            <w:noWrap/>
            <w:hideMark/>
          </w:tcPr>
          <w:p w14:paraId="52614237" w14:textId="77777777" w:rsidR="002A66B3" w:rsidRPr="00F51774" w:rsidRDefault="002A66B3" w:rsidP="002A66B3">
            <w:pPr>
              <w:jc w:val="right"/>
              <w:rPr>
                <w:rFonts w:cstheme="minorHAnsi"/>
              </w:rPr>
            </w:pPr>
            <w:r w:rsidRPr="00F51774">
              <w:rPr>
                <w:rFonts w:cstheme="minorHAnsi"/>
              </w:rPr>
              <w:t xml:space="preserve">- </w:t>
            </w:r>
          </w:p>
        </w:tc>
        <w:tc>
          <w:tcPr>
            <w:tcW w:w="1068" w:type="dxa"/>
            <w:tcBorders>
              <w:top w:val="nil"/>
              <w:left w:val="nil"/>
              <w:bottom w:val="single" w:sz="4" w:space="0" w:color="000000"/>
              <w:right w:val="single" w:sz="8" w:space="0" w:color="000000"/>
            </w:tcBorders>
            <w:shd w:val="clear" w:color="000000" w:fill="FFFFFF"/>
            <w:noWrap/>
            <w:hideMark/>
          </w:tcPr>
          <w:p w14:paraId="7836138A" w14:textId="77777777" w:rsidR="002A66B3" w:rsidRPr="00F51774" w:rsidRDefault="002A66B3" w:rsidP="002A66B3">
            <w:pPr>
              <w:jc w:val="right"/>
              <w:rPr>
                <w:rFonts w:cstheme="minorHAnsi"/>
              </w:rPr>
            </w:pPr>
            <w:r w:rsidRPr="00F51774">
              <w:rPr>
                <w:rFonts w:cstheme="minorHAnsi"/>
              </w:rPr>
              <w:t>2,653</w:t>
            </w:r>
          </w:p>
        </w:tc>
        <w:tc>
          <w:tcPr>
            <w:tcW w:w="1119" w:type="dxa"/>
            <w:tcBorders>
              <w:top w:val="nil"/>
              <w:left w:val="nil"/>
              <w:bottom w:val="single" w:sz="4" w:space="0" w:color="000000"/>
              <w:right w:val="nil"/>
            </w:tcBorders>
            <w:shd w:val="clear" w:color="000000" w:fill="FFFFFF"/>
            <w:noWrap/>
            <w:hideMark/>
          </w:tcPr>
          <w:p w14:paraId="4D9893FC" w14:textId="77777777" w:rsidR="002A66B3" w:rsidRPr="00F51774" w:rsidRDefault="002A66B3" w:rsidP="002A66B3">
            <w:pPr>
              <w:jc w:val="right"/>
              <w:rPr>
                <w:rFonts w:cstheme="minorHAnsi"/>
              </w:rPr>
            </w:pPr>
            <w:r w:rsidRPr="00F51774">
              <w:rPr>
                <w:rFonts w:cstheme="minorHAnsi"/>
              </w:rPr>
              <w:t xml:space="preserve">- </w:t>
            </w:r>
          </w:p>
        </w:tc>
        <w:tc>
          <w:tcPr>
            <w:tcW w:w="1256" w:type="dxa"/>
            <w:tcBorders>
              <w:top w:val="nil"/>
              <w:left w:val="nil"/>
              <w:bottom w:val="single" w:sz="4" w:space="0" w:color="000000"/>
              <w:right w:val="nil"/>
            </w:tcBorders>
            <w:shd w:val="clear" w:color="000000" w:fill="FFFFFF"/>
            <w:noWrap/>
            <w:hideMark/>
          </w:tcPr>
          <w:p w14:paraId="71721850" w14:textId="77777777" w:rsidR="002A66B3" w:rsidRPr="00F51774" w:rsidRDefault="002A66B3" w:rsidP="002A66B3">
            <w:pPr>
              <w:jc w:val="right"/>
              <w:rPr>
                <w:rFonts w:cstheme="minorHAnsi"/>
              </w:rPr>
            </w:pPr>
            <w:r w:rsidRPr="00F51774">
              <w:rPr>
                <w:rFonts w:cstheme="minorHAnsi"/>
              </w:rPr>
              <w:t xml:space="preserve">- </w:t>
            </w:r>
          </w:p>
        </w:tc>
        <w:tc>
          <w:tcPr>
            <w:tcW w:w="1147" w:type="dxa"/>
            <w:tcBorders>
              <w:top w:val="nil"/>
              <w:left w:val="nil"/>
              <w:bottom w:val="single" w:sz="4" w:space="0" w:color="000000"/>
            </w:tcBorders>
            <w:shd w:val="clear" w:color="000000" w:fill="FFFFFF"/>
            <w:noWrap/>
            <w:hideMark/>
          </w:tcPr>
          <w:p w14:paraId="411BB93C" w14:textId="77777777" w:rsidR="002A66B3" w:rsidRPr="00F51774" w:rsidRDefault="002A66B3" w:rsidP="002A66B3">
            <w:pPr>
              <w:jc w:val="right"/>
              <w:rPr>
                <w:rFonts w:cstheme="minorHAnsi"/>
              </w:rPr>
            </w:pPr>
            <w:r w:rsidRPr="00F51774">
              <w:rPr>
                <w:rFonts w:cstheme="minorHAnsi"/>
              </w:rPr>
              <w:t>3,467</w:t>
            </w:r>
          </w:p>
        </w:tc>
      </w:tr>
      <w:tr w:rsidR="008B3EFA" w:rsidRPr="002A66B3" w14:paraId="2B46462C" w14:textId="77777777" w:rsidTr="00954223">
        <w:trPr>
          <w:trHeight w:val="70"/>
          <w:jc w:val="center"/>
        </w:trPr>
        <w:tc>
          <w:tcPr>
            <w:tcW w:w="4050" w:type="dxa"/>
            <w:tcBorders>
              <w:top w:val="nil"/>
              <w:left w:val="nil"/>
              <w:bottom w:val="single" w:sz="4" w:space="0" w:color="000000"/>
              <w:right w:val="nil"/>
            </w:tcBorders>
            <w:shd w:val="clear" w:color="000000" w:fill="FFFFFF"/>
            <w:noWrap/>
            <w:vAlign w:val="bottom"/>
            <w:hideMark/>
          </w:tcPr>
          <w:p w14:paraId="4FB8FF78" w14:textId="77777777" w:rsidR="002A66B3" w:rsidRPr="00F51774" w:rsidRDefault="002A66B3" w:rsidP="00F51774">
            <w:pPr>
              <w:ind w:left="525"/>
              <w:rPr>
                <w:rFonts w:cstheme="minorHAnsi"/>
                <w:b/>
                <w:bCs/>
                <w:color w:val="000000"/>
              </w:rPr>
            </w:pPr>
            <w:r w:rsidRPr="00F51774">
              <w:rPr>
                <w:rFonts w:cstheme="minorHAnsi"/>
                <w:b/>
                <w:bCs/>
                <w:color w:val="000000"/>
              </w:rPr>
              <w:t>Total additions</w:t>
            </w:r>
          </w:p>
        </w:tc>
        <w:tc>
          <w:tcPr>
            <w:tcW w:w="1170" w:type="dxa"/>
            <w:tcBorders>
              <w:top w:val="nil"/>
              <w:left w:val="nil"/>
              <w:bottom w:val="single" w:sz="4" w:space="0" w:color="000000"/>
              <w:right w:val="nil"/>
            </w:tcBorders>
            <w:shd w:val="clear" w:color="000000" w:fill="FFFFFF"/>
            <w:noWrap/>
            <w:vAlign w:val="bottom"/>
            <w:hideMark/>
          </w:tcPr>
          <w:p w14:paraId="072D80AE" w14:textId="113D20E0" w:rsidR="002A66B3" w:rsidRPr="00F51774" w:rsidRDefault="002A66B3" w:rsidP="002A66B3">
            <w:pPr>
              <w:jc w:val="right"/>
              <w:rPr>
                <w:rFonts w:cstheme="minorHAnsi"/>
              </w:rPr>
            </w:pPr>
            <w:r w:rsidRPr="00F51774">
              <w:rPr>
                <w:rFonts w:cstheme="minorHAnsi"/>
              </w:rPr>
              <w:t>30,68</w:t>
            </w:r>
            <w:r w:rsidR="00AF6690">
              <w:rPr>
                <w:rFonts w:cstheme="minorHAnsi"/>
              </w:rPr>
              <w:t>7</w:t>
            </w:r>
          </w:p>
        </w:tc>
        <w:tc>
          <w:tcPr>
            <w:tcW w:w="1260" w:type="dxa"/>
            <w:tcBorders>
              <w:top w:val="nil"/>
              <w:left w:val="nil"/>
              <w:bottom w:val="single" w:sz="4" w:space="0" w:color="000000"/>
              <w:right w:val="nil"/>
            </w:tcBorders>
            <w:shd w:val="clear" w:color="000000" w:fill="FFFFFF"/>
            <w:noWrap/>
            <w:vAlign w:val="bottom"/>
            <w:hideMark/>
          </w:tcPr>
          <w:p w14:paraId="77AE3DC4" w14:textId="77777777" w:rsidR="002A66B3" w:rsidRPr="00F51774" w:rsidRDefault="002A66B3" w:rsidP="002A66B3">
            <w:pPr>
              <w:jc w:val="right"/>
              <w:rPr>
                <w:rFonts w:cstheme="minorHAnsi"/>
              </w:rPr>
            </w:pPr>
            <w:r w:rsidRPr="00F51774">
              <w:rPr>
                <w:rFonts w:cstheme="minorHAnsi"/>
              </w:rPr>
              <w:t>1,197</w:t>
            </w:r>
          </w:p>
        </w:tc>
        <w:tc>
          <w:tcPr>
            <w:tcW w:w="1068" w:type="dxa"/>
            <w:tcBorders>
              <w:top w:val="nil"/>
              <w:left w:val="nil"/>
              <w:bottom w:val="single" w:sz="4" w:space="0" w:color="000000"/>
              <w:right w:val="single" w:sz="8" w:space="0" w:color="000000"/>
            </w:tcBorders>
            <w:shd w:val="clear" w:color="000000" w:fill="FFFFFF"/>
            <w:noWrap/>
            <w:vAlign w:val="bottom"/>
            <w:hideMark/>
          </w:tcPr>
          <w:p w14:paraId="72848EFF" w14:textId="77777777" w:rsidR="002A66B3" w:rsidRPr="00F51774" w:rsidRDefault="002A66B3" w:rsidP="002A66B3">
            <w:pPr>
              <w:jc w:val="right"/>
              <w:rPr>
                <w:rFonts w:cstheme="minorHAnsi"/>
              </w:rPr>
            </w:pPr>
            <w:r w:rsidRPr="00F51774">
              <w:rPr>
                <w:rFonts w:cstheme="minorHAnsi"/>
              </w:rPr>
              <w:t>2,799</w:t>
            </w:r>
          </w:p>
        </w:tc>
        <w:tc>
          <w:tcPr>
            <w:tcW w:w="1119" w:type="dxa"/>
            <w:tcBorders>
              <w:top w:val="nil"/>
              <w:left w:val="nil"/>
              <w:bottom w:val="single" w:sz="4" w:space="0" w:color="000000"/>
              <w:right w:val="nil"/>
            </w:tcBorders>
            <w:shd w:val="clear" w:color="000000" w:fill="FFFFFF"/>
            <w:noWrap/>
            <w:vAlign w:val="bottom"/>
            <w:hideMark/>
          </w:tcPr>
          <w:p w14:paraId="626EC425" w14:textId="77777777" w:rsidR="002A66B3" w:rsidRPr="00F51774" w:rsidRDefault="002A66B3" w:rsidP="002A66B3">
            <w:pPr>
              <w:jc w:val="right"/>
              <w:rPr>
                <w:rFonts w:cstheme="minorHAnsi"/>
              </w:rPr>
            </w:pPr>
            <w:r w:rsidRPr="00F51774">
              <w:rPr>
                <w:rFonts w:cstheme="minorHAnsi"/>
              </w:rPr>
              <w:t xml:space="preserve">34,215 </w:t>
            </w:r>
          </w:p>
        </w:tc>
        <w:tc>
          <w:tcPr>
            <w:tcW w:w="1256" w:type="dxa"/>
            <w:tcBorders>
              <w:top w:val="nil"/>
              <w:left w:val="nil"/>
              <w:bottom w:val="single" w:sz="4" w:space="0" w:color="000000"/>
              <w:right w:val="nil"/>
            </w:tcBorders>
            <w:shd w:val="clear" w:color="000000" w:fill="FFFFFF"/>
            <w:noWrap/>
            <w:vAlign w:val="bottom"/>
            <w:hideMark/>
          </w:tcPr>
          <w:p w14:paraId="4E67B4DA" w14:textId="77777777" w:rsidR="002A66B3" w:rsidRPr="00F51774" w:rsidRDefault="002A66B3" w:rsidP="002A66B3">
            <w:pPr>
              <w:jc w:val="right"/>
              <w:rPr>
                <w:rFonts w:cstheme="minorHAnsi"/>
              </w:rPr>
            </w:pPr>
            <w:r w:rsidRPr="00F51774">
              <w:rPr>
                <w:rFonts w:cstheme="minorHAnsi"/>
              </w:rPr>
              <w:t xml:space="preserve">6,264 </w:t>
            </w:r>
          </w:p>
        </w:tc>
        <w:tc>
          <w:tcPr>
            <w:tcW w:w="1147" w:type="dxa"/>
            <w:tcBorders>
              <w:top w:val="nil"/>
              <w:left w:val="nil"/>
              <w:bottom w:val="single" w:sz="4" w:space="0" w:color="000000"/>
            </w:tcBorders>
            <w:shd w:val="clear" w:color="000000" w:fill="FFFFFF"/>
            <w:noWrap/>
            <w:vAlign w:val="bottom"/>
            <w:hideMark/>
          </w:tcPr>
          <w:p w14:paraId="7B92013C" w14:textId="77777777" w:rsidR="002A66B3" w:rsidRPr="00F51774" w:rsidRDefault="002A66B3" w:rsidP="002A66B3">
            <w:pPr>
              <w:jc w:val="right"/>
              <w:rPr>
                <w:rFonts w:cstheme="minorHAnsi"/>
              </w:rPr>
            </w:pPr>
            <w:r w:rsidRPr="00F51774">
              <w:rPr>
                <w:rFonts w:cstheme="minorHAnsi"/>
              </w:rPr>
              <w:t xml:space="preserve">3,611 </w:t>
            </w:r>
          </w:p>
        </w:tc>
      </w:tr>
      <w:tr w:rsidR="008B3EFA" w:rsidRPr="002A66B3" w14:paraId="4F95D2B1" w14:textId="77777777" w:rsidTr="00954223">
        <w:trPr>
          <w:trHeight w:val="70"/>
          <w:jc w:val="center"/>
        </w:trPr>
        <w:tc>
          <w:tcPr>
            <w:tcW w:w="4050" w:type="dxa"/>
            <w:tcBorders>
              <w:top w:val="nil"/>
              <w:left w:val="nil"/>
              <w:bottom w:val="nil"/>
              <w:right w:val="nil"/>
            </w:tcBorders>
            <w:shd w:val="clear" w:color="000000" w:fill="FFFFFF"/>
            <w:noWrap/>
            <w:vAlign w:val="bottom"/>
            <w:hideMark/>
          </w:tcPr>
          <w:p w14:paraId="41FEC4B3" w14:textId="77777777" w:rsidR="002A66B3" w:rsidRPr="00F51774" w:rsidRDefault="002A66B3" w:rsidP="002A66B3">
            <w:pPr>
              <w:rPr>
                <w:rFonts w:cstheme="minorHAnsi"/>
                <w:b/>
                <w:bCs/>
                <w:color w:val="000000"/>
              </w:rPr>
            </w:pPr>
            <w:r w:rsidRPr="00F51774">
              <w:rPr>
                <w:rFonts w:cstheme="minorHAnsi"/>
                <w:b/>
                <w:bCs/>
                <w:color w:val="000000"/>
              </w:rPr>
              <w:t>Deductions</w:t>
            </w:r>
          </w:p>
        </w:tc>
        <w:tc>
          <w:tcPr>
            <w:tcW w:w="1170" w:type="dxa"/>
            <w:tcBorders>
              <w:top w:val="nil"/>
              <w:left w:val="nil"/>
              <w:bottom w:val="nil"/>
              <w:right w:val="nil"/>
            </w:tcBorders>
            <w:shd w:val="clear" w:color="000000" w:fill="FFFFFF"/>
            <w:noWrap/>
            <w:vAlign w:val="bottom"/>
            <w:hideMark/>
          </w:tcPr>
          <w:p w14:paraId="65CCE223" w14:textId="4B2472BB" w:rsidR="002A66B3" w:rsidRPr="00F51774" w:rsidRDefault="002A66B3" w:rsidP="002A66B3">
            <w:pPr>
              <w:jc w:val="right"/>
              <w:rPr>
                <w:rFonts w:cstheme="minorHAnsi"/>
                <w:b/>
                <w:bCs/>
              </w:rPr>
            </w:pPr>
          </w:p>
        </w:tc>
        <w:tc>
          <w:tcPr>
            <w:tcW w:w="1260" w:type="dxa"/>
            <w:tcBorders>
              <w:top w:val="nil"/>
              <w:left w:val="nil"/>
              <w:bottom w:val="nil"/>
              <w:right w:val="nil"/>
            </w:tcBorders>
            <w:shd w:val="clear" w:color="000000" w:fill="FFFFFF"/>
            <w:noWrap/>
            <w:vAlign w:val="bottom"/>
            <w:hideMark/>
          </w:tcPr>
          <w:p w14:paraId="000C5420" w14:textId="62DDC2E7" w:rsidR="002A66B3" w:rsidRPr="00F51774" w:rsidRDefault="002A66B3" w:rsidP="002A66B3">
            <w:pPr>
              <w:jc w:val="right"/>
              <w:rPr>
                <w:rFonts w:cstheme="minorHAnsi"/>
                <w:b/>
                <w:bCs/>
              </w:rPr>
            </w:pPr>
          </w:p>
        </w:tc>
        <w:tc>
          <w:tcPr>
            <w:tcW w:w="1068" w:type="dxa"/>
            <w:tcBorders>
              <w:top w:val="nil"/>
              <w:left w:val="nil"/>
              <w:bottom w:val="nil"/>
              <w:right w:val="single" w:sz="8" w:space="0" w:color="000000"/>
            </w:tcBorders>
            <w:shd w:val="clear" w:color="000000" w:fill="FFFFFF"/>
            <w:noWrap/>
            <w:vAlign w:val="bottom"/>
            <w:hideMark/>
          </w:tcPr>
          <w:p w14:paraId="74040951" w14:textId="1137654B" w:rsidR="002A66B3" w:rsidRPr="00F51774" w:rsidRDefault="002A66B3" w:rsidP="002A66B3">
            <w:pPr>
              <w:jc w:val="right"/>
              <w:rPr>
                <w:rFonts w:cstheme="minorHAnsi"/>
                <w:b/>
                <w:bCs/>
              </w:rPr>
            </w:pPr>
          </w:p>
        </w:tc>
        <w:tc>
          <w:tcPr>
            <w:tcW w:w="1119" w:type="dxa"/>
            <w:tcBorders>
              <w:top w:val="nil"/>
              <w:left w:val="nil"/>
              <w:bottom w:val="nil"/>
              <w:right w:val="nil"/>
            </w:tcBorders>
            <w:shd w:val="clear" w:color="000000" w:fill="FFFFFF"/>
            <w:noWrap/>
            <w:vAlign w:val="bottom"/>
            <w:hideMark/>
          </w:tcPr>
          <w:p w14:paraId="59E66362" w14:textId="699AAD08" w:rsidR="002A66B3" w:rsidRPr="00F51774" w:rsidRDefault="002A66B3" w:rsidP="002A66B3">
            <w:pPr>
              <w:jc w:val="right"/>
              <w:rPr>
                <w:rFonts w:cstheme="minorHAnsi"/>
                <w:b/>
                <w:bCs/>
              </w:rPr>
            </w:pPr>
          </w:p>
        </w:tc>
        <w:tc>
          <w:tcPr>
            <w:tcW w:w="1256" w:type="dxa"/>
            <w:tcBorders>
              <w:top w:val="nil"/>
              <w:left w:val="nil"/>
              <w:bottom w:val="nil"/>
              <w:right w:val="nil"/>
            </w:tcBorders>
            <w:shd w:val="clear" w:color="000000" w:fill="FFFFFF"/>
            <w:noWrap/>
            <w:vAlign w:val="bottom"/>
            <w:hideMark/>
          </w:tcPr>
          <w:p w14:paraId="767F90EC" w14:textId="00545EAC" w:rsidR="002A66B3" w:rsidRPr="00F51774" w:rsidRDefault="002A66B3" w:rsidP="002A66B3">
            <w:pPr>
              <w:jc w:val="right"/>
              <w:rPr>
                <w:rFonts w:cstheme="minorHAnsi"/>
                <w:b/>
                <w:bCs/>
              </w:rPr>
            </w:pPr>
          </w:p>
        </w:tc>
        <w:tc>
          <w:tcPr>
            <w:tcW w:w="1147" w:type="dxa"/>
            <w:tcBorders>
              <w:top w:val="nil"/>
              <w:left w:val="nil"/>
              <w:bottom w:val="nil"/>
            </w:tcBorders>
            <w:shd w:val="clear" w:color="000000" w:fill="FFFFFF"/>
            <w:noWrap/>
            <w:vAlign w:val="bottom"/>
            <w:hideMark/>
          </w:tcPr>
          <w:p w14:paraId="16E7A446" w14:textId="47CEE7CF" w:rsidR="002A66B3" w:rsidRPr="00F51774" w:rsidRDefault="002A66B3" w:rsidP="002A66B3">
            <w:pPr>
              <w:jc w:val="right"/>
              <w:rPr>
                <w:rFonts w:cstheme="minorHAnsi"/>
                <w:b/>
                <w:bCs/>
              </w:rPr>
            </w:pPr>
          </w:p>
        </w:tc>
      </w:tr>
      <w:tr w:rsidR="008B3EFA" w:rsidRPr="002A66B3" w14:paraId="5A5F3F39" w14:textId="77777777" w:rsidTr="00954223">
        <w:trPr>
          <w:trHeight w:val="117"/>
          <w:jc w:val="center"/>
        </w:trPr>
        <w:tc>
          <w:tcPr>
            <w:tcW w:w="4050" w:type="dxa"/>
            <w:tcBorders>
              <w:top w:val="nil"/>
              <w:left w:val="nil"/>
              <w:bottom w:val="nil"/>
              <w:right w:val="nil"/>
            </w:tcBorders>
            <w:shd w:val="clear" w:color="000000" w:fill="FFFFFF"/>
            <w:noWrap/>
            <w:vAlign w:val="bottom"/>
            <w:hideMark/>
          </w:tcPr>
          <w:p w14:paraId="41C0B228" w14:textId="77777777" w:rsidR="002A66B3" w:rsidRPr="00F51774" w:rsidRDefault="002A66B3" w:rsidP="00F51774">
            <w:pPr>
              <w:ind w:left="255"/>
              <w:rPr>
                <w:rFonts w:cstheme="minorHAnsi"/>
              </w:rPr>
            </w:pPr>
            <w:r w:rsidRPr="00F51774">
              <w:rPr>
                <w:rFonts w:cstheme="minorHAnsi"/>
              </w:rPr>
              <w:t>Beneficiary payments</w:t>
            </w:r>
          </w:p>
        </w:tc>
        <w:tc>
          <w:tcPr>
            <w:tcW w:w="1170" w:type="dxa"/>
            <w:tcBorders>
              <w:top w:val="nil"/>
              <w:left w:val="nil"/>
              <w:bottom w:val="nil"/>
              <w:right w:val="nil"/>
            </w:tcBorders>
            <w:shd w:val="clear" w:color="000000" w:fill="FFFFFF"/>
            <w:noWrap/>
            <w:vAlign w:val="bottom"/>
            <w:hideMark/>
          </w:tcPr>
          <w:p w14:paraId="187F8AEA" w14:textId="77777777" w:rsidR="002A66B3" w:rsidRPr="00F51774" w:rsidRDefault="002A66B3" w:rsidP="002A66B3">
            <w:pPr>
              <w:jc w:val="right"/>
              <w:rPr>
                <w:rFonts w:cstheme="minorHAnsi"/>
              </w:rPr>
            </w:pPr>
            <w:r w:rsidRPr="00F51774">
              <w:rPr>
                <w:rFonts w:cstheme="minorHAnsi"/>
              </w:rPr>
              <w:t>12,934</w:t>
            </w:r>
          </w:p>
        </w:tc>
        <w:tc>
          <w:tcPr>
            <w:tcW w:w="1260" w:type="dxa"/>
            <w:tcBorders>
              <w:top w:val="nil"/>
              <w:left w:val="nil"/>
              <w:bottom w:val="nil"/>
              <w:right w:val="nil"/>
            </w:tcBorders>
            <w:shd w:val="clear" w:color="000000" w:fill="FFFFFF"/>
            <w:noWrap/>
            <w:vAlign w:val="bottom"/>
            <w:hideMark/>
          </w:tcPr>
          <w:p w14:paraId="7000F970" w14:textId="77777777" w:rsidR="002A66B3" w:rsidRPr="00F51774" w:rsidRDefault="002A66B3" w:rsidP="002A66B3">
            <w:pPr>
              <w:jc w:val="right"/>
              <w:rPr>
                <w:rFonts w:cstheme="minorHAnsi"/>
              </w:rPr>
            </w:pPr>
            <w:r w:rsidRPr="00F51774">
              <w:rPr>
                <w:rFonts w:cstheme="minorHAnsi"/>
              </w:rPr>
              <w:t xml:space="preserve">- </w:t>
            </w:r>
          </w:p>
        </w:tc>
        <w:tc>
          <w:tcPr>
            <w:tcW w:w="1068" w:type="dxa"/>
            <w:tcBorders>
              <w:top w:val="nil"/>
              <w:left w:val="nil"/>
              <w:bottom w:val="nil"/>
              <w:right w:val="single" w:sz="8" w:space="0" w:color="000000"/>
            </w:tcBorders>
            <w:shd w:val="clear" w:color="000000" w:fill="FFFFFF"/>
            <w:noWrap/>
            <w:vAlign w:val="bottom"/>
            <w:hideMark/>
          </w:tcPr>
          <w:p w14:paraId="706E33FF" w14:textId="77777777" w:rsidR="002A66B3" w:rsidRPr="00F51774" w:rsidRDefault="002A66B3" w:rsidP="002A66B3">
            <w:pPr>
              <w:jc w:val="right"/>
              <w:rPr>
                <w:rFonts w:cstheme="minorHAnsi"/>
              </w:rPr>
            </w:pPr>
            <w:r w:rsidRPr="00F51774">
              <w:rPr>
                <w:rFonts w:cstheme="minorHAnsi"/>
              </w:rPr>
              <w:t xml:space="preserve">- </w:t>
            </w:r>
          </w:p>
        </w:tc>
        <w:tc>
          <w:tcPr>
            <w:tcW w:w="1119" w:type="dxa"/>
            <w:tcBorders>
              <w:top w:val="nil"/>
              <w:left w:val="nil"/>
              <w:bottom w:val="nil"/>
              <w:right w:val="nil"/>
            </w:tcBorders>
            <w:shd w:val="clear" w:color="000000" w:fill="FFFFFF"/>
            <w:noWrap/>
            <w:vAlign w:val="bottom"/>
            <w:hideMark/>
          </w:tcPr>
          <w:p w14:paraId="4ECDB6A5" w14:textId="77777777" w:rsidR="002A66B3" w:rsidRPr="00F51774" w:rsidRDefault="002A66B3" w:rsidP="002A66B3">
            <w:pPr>
              <w:jc w:val="right"/>
              <w:rPr>
                <w:rFonts w:cstheme="minorHAnsi"/>
              </w:rPr>
            </w:pPr>
            <w:r w:rsidRPr="00F51774">
              <w:rPr>
                <w:rFonts w:cstheme="minorHAnsi"/>
              </w:rPr>
              <w:t xml:space="preserve">14,028 </w:t>
            </w:r>
          </w:p>
        </w:tc>
        <w:tc>
          <w:tcPr>
            <w:tcW w:w="1256" w:type="dxa"/>
            <w:tcBorders>
              <w:top w:val="nil"/>
              <w:left w:val="nil"/>
              <w:bottom w:val="nil"/>
              <w:right w:val="nil"/>
            </w:tcBorders>
            <w:shd w:val="clear" w:color="000000" w:fill="FFFFFF"/>
            <w:noWrap/>
            <w:vAlign w:val="bottom"/>
            <w:hideMark/>
          </w:tcPr>
          <w:p w14:paraId="44E4BF44" w14:textId="77777777" w:rsidR="002A66B3" w:rsidRPr="00F51774" w:rsidRDefault="002A66B3" w:rsidP="002A66B3">
            <w:pPr>
              <w:jc w:val="right"/>
              <w:rPr>
                <w:rFonts w:cstheme="minorHAnsi"/>
              </w:rPr>
            </w:pPr>
            <w:r w:rsidRPr="00F51774">
              <w:rPr>
                <w:rFonts w:cstheme="minorHAnsi"/>
              </w:rPr>
              <w:t xml:space="preserve">- </w:t>
            </w:r>
          </w:p>
        </w:tc>
        <w:tc>
          <w:tcPr>
            <w:tcW w:w="1147" w:type="dxa"/>
            <w:tcBorders>
              <w:top w:val="nil"/>
              <w:left w:val="nil"/>
              <w:bottom w:val="nil"/>
            </w:tcBorders>
            <w:shd w:val="clear" w:color="000000" w:fill="FFFFFF"/>
            <w:noWrap/>
            <w:vAlign w:val="bottom"/>
            <w:hideMark/>
          </w:tcPr>
          <w:p w14:paraId="168A800D" w14:textId="77777777" w:rsidR="002A66B3" w:rsidRPr="00F51774" w:rsidRDefault="002A66B3" w:rsidP="002A66B3">
            <w:pPr>
              <w:jc w:val="right"/>
              <w:rPr>
                <w:rFonts w:cstheme="minorHAnsi"/>
              </w:rPr>
            </w:pPr>
            <w:r w:rsidRPr="00F51774">
              <w:rPr>
                <w:rFonts w:cstheme="minorHAnsi"/>
              </w:rPr>
              <w:t xml:space="preserve">- </w:t>
            </w:r>
          </w:p>
        </w:tc>
      </w:tr>
      <w:tr w:rsidR="008B3EFA" w:rsidRPr="002A66B3" w14:paraId="4A0BA2F9" w14:textId="77777777" w:rsidTr="00954223">
        <w:trPr>
          <w:trHeight w:val="90"/>
          <w:jc w:val="center"/>
        </w:trPr>
        <w:tc>
          <w:tcPr>
            <w:tcW w:w="4050" w:type="dxa"/>
            <w:tcBorders>
              <w:top w:val="nil"/>
              <w:left w:val="nil"/>
              <w:bottom w:val="nil"/>
              <w:right w:val="nil"/>
            </w:tcBorders>
            <w:shd w:val="clear" w:color="000000" w:fill="FFFFFF"/>
            <w:noWrap/>
            <w:vAlign w:val="bottom"/>
            <w:hideMark/>
          </w:tcPr>
          <w:p w14:paraId="13095902" w14:textId="77777777" w:rsidR="002A66B3" w:rsidRPr="00F51774" w:rsidRDefault="002A66B3" w:rsidP="00F51774">
            <w:pPr>
              <w:ind w:left="255"/>
              <w:rPr>
                <w:rFonts w:cstheme="minorHAnsi"/>
              </w:rPr>
            </w:pPr>
            <w:r w:rsidRPr="00F51774">
              <w:rPr>
                <w:rFonts w:cstheme="minorHAnsi"/>
              </w:rPr>
              <w:t>Investment pool distributions</w:t>
            </w:r>
          </w:p>
        </w:tc>
        <w:tc>
          <w:tcPr>
            <w:tcW w:w="1170" w:type="dxa"/>
            <w:tcBorders>
              <w:top w:val="nil"/>
              <w:left w:val="nil"/>
              <w:bottom w:val="nil"/>
              <w:right w:val="nil"/>
            </w:tcBorders>
            <w:shd w:val="clear" w:color="000000" w:fill="FFFFFF"/>
            <w:noWrap/>
            <w:vAlign w:val="bottom"/>
            <w:hideMark/>
          </w:tcPr>
          <w:p w14:paraId="68A85965" w14:textId="77777777" w:rsidR="002A66B3" w:rsidRPr="00F51774" w:rsidRDefault="002A66B3" w:rsidP="002A66B3">
            <w:pPr>
              <w:jc w:val="right"/>
              <w:rPr>
                <w:rFonts w:cstheme="minorHAnsi"/>
              </w:rPr>
            </w:pPr>
            <w:r w:rsidRPr="00F51774">
              <w:rPr>
                <w:rFonts w:cstheme="minorHAnsi"/>
              </w:rPr>
              <w:t>-</w:t>
            </w:r>
          </w:p>
        </w:tc>
        <w:tc>
          <w:tcPr>
            <w:tcW w:w="1260" w:type="dxa"/>
            <w:tcBorders>
              <w:top w:val="nil"/>
              <w:left w:val="nil"/>
              <w:bottom w:val="nil"/>
              <w:right w:val="nil"/>
            </w:tcBorders>
            <w:shd w:val="clear" w:color="000000" w:fill="FFFFFF"/>
            <w:noWrap/>
            <w:vAlign w:val="bottom"/>
            <w:hideMark/>
          </w:tcPr>
          <w:p w14:paraId="1D7A7653" w14:textId="77777777" w:rsidR="002A66B3" w:rsidRPr="00F51774" w:rsidRDefault="002A66B3" w:rsidP="002A66B3">
            <w:pPr>
              <w:jc w:val="right"/>
              <w:rPr>
                <w:rFonts w:cstheme="minorHAnsi"/>
              </w:rPr>
            </w:pPr>
            <w:r w:rsidRPr="00F51774">
              <w:rPr>
                <w:rFonts w:cstheme="minorHAnsi"/>
              </w:rPr>
              <w:t>432</w:t>
            </w:r>
          </w:p>
        </w:tc>
        <w:tc>
          <w:tcPr>
            <w:tcW w:w="1068" w:type="dxa"/>
            <w:tcBorders>
              <w:top w:val="nil"/>
              <w:left w:val="nil"/>
              <w:bottom w:val="nil"/>
              <w:right w:val="single" w:sz="8" w:space="0" w:color="000000"/>
            </w:tcBorders>
            <w:shd w:val="clear" w:color="000000" w:fill="FFFFFF"/>
            <w:noWrap/>
            <w:vAlign w:val="bottom"/>
            <w:hideMark/>
          </w:tcPr>
          <w:p w14:paraId="7E1A0093" w14:textId="77777777" w:rsidR="002A66B3" w:rsidRPr="00F51774" w:rsidRDefault="002A66B3" w:rsidP="002A66B3">
            <w:pPr>
              <w:jc w:val="right"/>
              <w:rPr>
                <w:rFonts w:cstheme="minorHAnsi"/>
              </w:rPr>
            </w:pPr>
            <w:r w:rsidRPr="00F51774">
              <w:rPr>
                <w:rFonts w:cstheme="minorHAnsi"/>
              </w:rPr>
              <w:t xml:space="preserve">- </w:t>
            </w:r>
          </w:p>
        </w:tc>
        <w:tc>
          <w:tcPr>
            <w:tcW w:w="1119" w:type="dxa"/>
            <w:tcBorders>
              <w:top w:val="nil"/>
              <w:left w:val="nil"/>
              <w:bottom w:val="nil"/>
              <w:right w:val="nil"/>
            </w:tcBorders>
            <w:shd w:val="clear" w:color="000000" w:fill="FFFFFF"/>
            <w:noWrap/>
            <w:vAlign w:val="bottom"/>
            <w:hideMark/>
          </w:tcPr>
          <w:p w14:paraId="469510F8" w14:textId="77777777" w:rsidR="002A66B3" w:rsidRPr="00F51774" w:rsidRDefault="002A66B3" w:rsidP="002A66B3">
            <w:pPr>
              <w:jc w:val="right"/>
              <w:rPr>
                <w:rFonts w:cstheme="minorHAnsi"/>
              </w:rPr>
            </w:pPr>
            <w:r w:rsidRPr="00F51774">
              <w:rPr>
                <w:rFonts w:cstheme="minorHAnsi"/>
              </w:rPr>
              <w:t xml:space="preserve">- </w:t>
            </w:r>
          </w:p>
        </w:tc>
        <w:tc>
          <w:tcPr>
            <w:tcW w:w="1256" w:type="dxa"/>
            <w:tcBorders>
              <w:top w:val="nil"/>
              <w:left w:val="nil"/>
              <w:bottom w:val="nil"/>
              <w:right w:val="nil"/>
            </w:tcBorders>
            <w:shd w:val="clear" w:color="000000" w:fill="FFFFFF"/>
            <w:noWrap/>
            <w:vAlign w:val="bottom"/>
            <w:hideMark/>
          </w:tcPr>
          <w:p w14:paraId="5FB8E6D0" w14:textId="77777777" w:rsidR="002A66B3" w:rsidRPr="00F51774" w:rsidRDefault="002A66B3" w:rsidP="002A66B3">
            <w:pPr>
              <w:jc w:val="right"/>
              <w:rPr>
                <w:rFonts w:cstheme="minorHAnsi"/>
              </w:rPr>
            </w:pPr>
            <w:r w:rsidRPr="00F51774">
              <w:rPr>
                <w:rFonts w:cstheme="minorHAnsi"/>
              </w:rPr>
              <w:t xml:space="preserve">35,663 </w:t>
            </w:r>
          </w:p>
        </w:tc>
        <w:tc>
          <w:tcPr>
            <w:tcW w:w="1147" w:type="dxa"/>
            <w:tcBorders>
              <w:top w:val="nil"/>
              <w:left w:val="nil"/>
              <w:bottom w:val="nil"/>
            </w:tcBorders>
            <w:shd w:val="clear" w:color="000000" w:fill="FFFFFF"/>
            <w:noWrap/>
            <w:vAlign w:val="bottom"/>
            <w:hideMark/>
          </w:tcPr>
          <w:p w14:paraId="537BA8E8" w14:textId="77777777" w:rsidR="002A66B3" w:rsidRPr="00F51774" w:rsidRDefault="002A66B3" w:rsidP="002A66B3">
            <w:pPr>
              <w:jc w:val="right"/>
              <w:rPr>
                <w:rFonts w:cstheme="minorHAnsi"/>
              </w:rPr>
            </w:pPr>
            <w:r w:rsidRPr="00F51774">
              <w:rPr>
                <w:rFonts w:cstheme="minorHAnsi"/>
              </w:rPr>
              <w:t xml:space="preserve">- </w:t>
            </w:r>
          </w:p>
        </w:tc>
      </w:tr>
      <w:tr w:rsidR="008B3EFA" w:rsidRPr="002A66B3" w14:paraId="5611B269" w14:textId="77777777" w:rsidTr="00954223">
        <w:trPr>
          <w:trHeight w:val="80"/>
          <w:jc w:val="center"/>
        </w:trPr>
        <w:tc>
          <w:tcPr>
            <w:tcW w:w="4050" w:type="dxa"/>
            <w:tcBorders>
              <w:top w:val="nil"/>
              <w:left w:val="nil"/>
              <w:bottom w:val="nil"/>
              <w:right w:val="nil"/>
            </w:tcBorders>
            <w:shd w:val="clear" w:color="000000" w:fill="FFFFFF"/>
            <w:noWrap/>
            <w:vAlign w:val="bottom"/>
            <w:hideMark/>
          </w:tcPr>
          <w:p w14:paraId="3B780A5E" w14:textId="77777777" w:rsidR="002A66B3" w:rsidRPr="00F51774" w:rsidRDefault="002A66B3" w:rsidP="00F51774">
            <w:pPr>
              <w:ind w:left="255"/>
              <w:rPr>
                <w:rFonts w:cstheme="minorHAnsi"/>
              </w:rPr>
            </w:pPr>
            <w:r w:rsidRPr="00F51774">
              <w:rPr>
                <w:rFonts w:cstheme="minorHAnsi"/>
              </w:rPr>
              <w:t>Distribute activity fees</w:t>
            </w:r>
          </w:p>
        </w:tc>
        <w:tc>
          <w:tcPr>
            <w:tcW w:w="1170" w:type="dxa"/>
            <w:tcBorders>
              <w:top w:val="nil"/>
              <w:left w:val="nil"/>
              <w:bottom w:val="nil"/>
              <w:right w:val="nil"/>
            </w:tcBorders>
            <w:shd w:val="clear" w:color="000000" w:fill="FFFFFF"/>
            <w:noWrap/>
            <w:vAlign w:val="bottom"/>
            <w:hideMark/>
          </w:tcPr>
          <w:p w14:paraId="07327ECF" w14:textId="77777777" w:rsidR="002A66B3" w:rsidRPr="00F51774" w:rsidRDefault="002A66B3" w:rsidP="002A66B3">
            <w:pPr>
              <w:jc w:val="right"/>
              <w:rPr>
                <w:rFonts w:cstheme="minorHAnsi"/>
              </w:rPr>
            </w:pPr>
            <w:r w:rsidRPr="00F51774">
              <w:rPr>
                <w:rFonts w:cstheme="minorHAnsi"/>
              </w:rPr>
              <w:t>-</w:t>
            </w:r>
          </w:p>
        </w:tc>
        <w:tc>
          <w:tcPr>
            <w:tcW w:w="1260" w:type="dxa"/>
            <w:tcBorders>
              <w:top w:val="nil"/>
              <w:left w:val="nil"/>
              <w:bottom w:val="nil"/>
              <w:right w:val="nil"/>
            </w:tcBorders>
            <w:shd w:val="clear" w:color="000000" w:fill="FFFFFF"/>
            <w:noWrap/>
            <w:vAlign w:val="bottom"/>
            <w:hideMark/>
          </w:tcPr>
          <w:p w14:paraId="373789B1" w14:textId="77777777" w:rsidR="002A66B3" w:rsidRPr="00F51774" w:rsidRDefault="002A66B3" w:rsidP="002A66B3">
            <w:pPr>
              <w:jc w:val="right"/>
              <w:rPr>
                <w:rFonts w:cstheme="minorHAnsi"/>
              </w:rPr>
            </w:pPr>
            <w:r w:rsidRPr="00F51774">
              <w:rPr>
                <w:rFonts w:cstheme="minorHAnsi"/>
              </w:rPr>
              <w:t xml:space="preserve">- </w:t>
            </w:r>
          </w:p>
        </w:tc>
        <w:tc>
          <w:tcPr>
            <w:tcW w:w="1068" w:type="dxa"/>
            <w:tcBorders>
              <w:top w:val="nil"/>
              <w:left w:val="nil"/>
              <w:bottom w:val="nil"/>
              <w:right w:val="single" w:sz="8" w:space="0" w:color="000000"/>
            </w:tcBorders>
            <w:shd w:val="clear" w:color="000000" w:fill="FFFFFF"/>
            <w:noWrap/>
            <w:vAlign w:val="bottom"/>
            <w:hideMark/>
          </w:tcPr>
          <w:p w14:paraId="68AA1182" w14:textId="77777777" w:rsidR="002A66B3" w:rsidRPr="00F51774" w:rsidRDefault="002A66B3" w:rsidP="002A66B3">
            <w:pPr>
              <w:jc w:val="right"/>
              <w:rPr>
                <w:rFonts w:cstheme="minorHAnsi"/>
              </w:rPr>
            </w:pPr>
            <w:r w:rsidRPr="00F51774">
              <w:rPr>
                <w:rFonts w:cstheme="minorHAnsi"/>
              </w:rPr>
              <w:t>1,516</w:t>
            </w:r>
          </w:p>
        </w:tc>
        <w:tc>
          <w:tcPr>
            <w:tcW w:w="1119" w:type="dxa"/>
            <w:tcBorders>
              <w:top w:val="nil"/>
              <w:left w:val="nil"/>
              <w:bottom w:val="nil"/>
              <w:right w:val="nil"/>
            </w:tcBorders>
            <w:shd w:val="clear" w:color="000000" w:fill="FFFFFF"/>
            <w:noWrap/>
            <w:vAlign w:val="bottom"/>
            <w:hideMark/>
          </w:tcPr>
          <w:p w14:paraId="5F6E89A2" w14:textId="77777777" w:rsidR="002A66B3" w:rsidRPr="00F51774" w:rsidRDefault="002A66B3" w:rsidP="002A66B3">
            <w:pPr>
              <w:jc w:val="right"/>
              <w:rPr>
                <w:rFonts w:cstheme="minorHAnsi"/>
              </w:rPr>
            </w:pPr>
            <w:r w:rsidRPr="00F51774">
              <w:rPr>
                <w:rFonts w:cstheme="minorHAnsi"/>
              </w:rPr>
              <w:t xml:space="preserve">- </w:t>
            </w:r>
          </w:p>
        </w:tc>
        <w:tc>
          <w:tcPr>
            <w:tcW w:w="1256" w:type="dxa"/>
            <w:tcBorders>
              <w:top w:val="nil"/>
              <w:left w:val="nil"/>
              <w:bottom w:val="nil"/>
              <w:right w:val="nil"/>
            </w:tcBorders>
            <w:shd w:val="clear" w:color="000000" w:fill="FFFFFF"/>
            <w:noWrap/>
            <w:vAlign w:val="bottom"/>
            <w:hideMark/>
          </w:tcPr>
          <w:p w14:paraId="2EA2EAC9" w14:textId="77777777" w:rsidR="002A66B3" w:rsidRPr="00F51774" w:rsidRDefault="002A66B3" w:rsidP="002A66B3">
            <w:pPr>
              <w:jc w:val="right"/>
              <w:rPr>
                <w:rFonts w:cstheme="minorHAnsi"/>
              </w:rPr>
            </w:pPr>
            <w:r w:rsidRPr="00F51774">
              <w:rPr>
                <w:rFonts w:cstheme="minorHAnsi"/>
              </w:rPr>
              <w:t xml:space="preserve">- </w:t>
            </w:r>
          </w:p>
        </w:tc>
        <w:tc>
          <w:tcPr>
            <w:tcW w:w="1147" w:type="dxa"/>
            <w:tcBorders>
              <w:top w:val="nil"/>
              <w:left w:val="nil"/>
              <w:bottom w:val="nil"/>
            </w:tcBorders>
            <w:shd w:val="clear" w:color="000000" w:fill="FFFFFF"/>
            <w:noWrap/>
            <w:vAlign w:val="bottom"/>
            <w:hideMark/>
          </w:tcPr>
          <w:p w14:paraId="3B16002E" w14:textId="77777777" w:rsidR="002A66B3" w:rsidRPr="00F51774" w:rsidRDefault="002A66B3" w:rsidP="002A66B3">
            <w:pPr>
              <w:jc w:val="right"/>
              <w:rPr>
                <w:rFonts w:cstheme="minorHAnsi"/>
              </w:rPr>
            </w:pPr>
            <w:r w:rsidRPr="00F51774">
              <w:rPr>
                <w:rFonts w:cstheme="minorHAnsi"/>
              </w:rPr>
              <w:t xml:space="preserve">1,503 </w:t>
            </w:r>
          </w:p>
        </w:tc>
      </w:tr>
      <w:tr w:rsidR="008B3EFA" w:rsidRPr="002A66B3" w14:paraId="1570D5AC" w14:textId="77777777" w:rsidTr="00954223">
        <w:trPr>
          <w:trHeight w:val="80"/>
          <w:jc w:val="center"/>
        </w:trPr>
        <w:tc>
          <w:tcPr>
            <w:tcW w:w="4050" w:type="dxa"/>
            <w:tcBorders>
              <w:top w:val="nil"/>
              <w:left w:val="nil"/>
              <w:bottom w:val="nil"/>
              <w:right w:val="nil"/>
            </w:tcBorders>
            <w:shd w:val="clear" w:color="000000" w:fill="FFFFFF"/>
            <w:noWrap/>
            <w:vAlign w:val="bottom"/>
            <w:hideMark/>
          </w:tcPr>
          <w:p w14:paraId="34077561" w14:textId="77777777" w:rsidR="002A66B3" w:rsidRPr="00F51774" w:rsidRDefault="002A66B3" w:rsidP="00F51774">
            <w:pPr>
              <w:ind w:left="255"/>
              <w:rPr>
                <w:rFonts w:cstheme="minorHAnsi"/>
              </w:rPr>
            </w:pPr>
            <w:r w:rsidRPr="00F51774">
              <w:rPr>
                <w:rFonts w:cstheme="minorHAnsi"/>
              </w:rPr>
              <w:t>Donations and sponsorships</w:t>
            </w:r>
          </w:p>
        </w:tc>
        <w:tc>
          <w:tcPr>
            <w:tcW w:w="1170" w:type="dxa"/>
            <w:tcBorders>
              <w:top w:val="nil"/>
              <w:left w:val="nil"/>
              <w:bottom w:val="nil"/>
              <w:right w:val="nil"/>
            </w:tcBorders>
            <w:shd w:val="clear" w:color="000000" w:fill="FFFFFF"/>
            <w:noWrap/>
            <w:vAlign w:val="bottom"/>
            <w:hideMark/>
          </w:tcPr>
          <w:p w14:paraId="1D2EC8A8" w14:textId="77777777" w:rsidR="002A66B3" w:rsidRPr="00F51774" w:rsidRDefault="002A66B3" w:rsidP="002A66B3">
            <w:pPr>
              <w:jc w:val="right"/>
              <w:rPr>
                <w:rFonts w:cstheme="minorHAnsi"/>
              </w:rPr>
            </w:pPr>
            <w:r w:rsidRPr="00F51774">
              <w:rPr>
                <w:rFonts w:cstheme="minorHAnsi"/>
              </w:rPr>
              <w:t>-</w:t>
            </w:r>
          </w:p>
        </w:tc>
        <w:tc>
          <w:tcPr>
            <w:tcW w:w="1260" w:type="dxa"/>
            <w:tcBorders>
              <w:top w:val="nil"/>
              <w:left w:val="nil"/>
              <w:bottom w:val="nil"/>
              <w:right w:val="nil"/>
            </w:tcBorders>
            <w:shd w:val="clear" w:color="000000" w:fill="FFFFFF"/>
            <w:noWrap/>
            <w:vAlign w:val="bottom"/>
            <w:hideMark/>
          </w:tcPr>
          <w:p w14:paraId="26D49446" w14:textId="77777777" w:rsidR="002A66B3" w:rsidRPr="00F51774" w:rsidRDefault="002A66B3" w:rsidP="002A66B3">
            <w:pPr>
              <w:jc w:val="right"/>
              <w:rPr>
                <w:rFonts w:cstheme="minorHAnsi"/>
              </w:rPr>
            </w:pPr>
            <w:r w:rsidRPr="00F51774">
              <w:rPr>
                <w:rFonts w:cstheme="minorHAnsi"/>
              </w:rPr>
              <w:t xml:space="preserve">- </w:t>
            </w:r>
          </w:p>
        </w:tc>
        <w:tc>
          <w:tcPr>
            <w:tcW w:w="1068" w:type="dxa"/>
            <w:tcBorders>
              <w:top w:val="nil"/>
              <w:left w:val="nil"/>
              <w:bottom w:val="nil"/>
              <w:right w:val="single" w:sz="8" w:space="0" w:color="000000"/>
            </w:tcBorders>
            <w:shd w:val="clear" w:color="000000" w:fill="FFFFFF"/>
            <w:noWrap/>
            <w:vAlign w:val="bottom"/>
            <w:hideMark/>
          </w:tcPr>
          <w:p w14:paraId="44490098" w14:textId="77777777" w:rsidR="002A66B3" w:rsidRPr="00F51774" w:rsidRDefault="002A66B3" w:rsidP="002A66B3">
            <w:pPr>
              <w:jc w:val="right"/>
              <w:rPr>
                <w:rFonts w:cstheme="minorHAnsi"/>
              </w:rPr>
            </w:pPr>
            <w:r w:rsidRPr="00F51774">
              <w:rPr>
                <w:rFonts w:cstheme="minorHAnsi"/>
              </w:rPr>
              <w:t>157</w:t>
            </w:r>
          </w:p>
        </w:tc>
        <w:tc>
          <w:tcPr>
            <w:tcW w:w="1119" w:type="dxa"/>
            <w:tcBorders>
              <w:top w:val="nil"/>
              <w:left w:val="nil"/>
              <w:bottom w:val="nil"/>
              <w:right w:val="nil"/>
            </w:tcBorders>
            <w:shd w:val="clear" w:color="000000" w:fill="FFFFFF"/>
            <w:noWrap/>
            <w:vAlign w:val="bottom"/>
            <w:hideMark/>
          </w:tcPr>
          <w:p w14:paraId="3FA8A5C7" w14:textId="77777777" w:rsidR="002A66B3" w:rsidRPr="00F51774" w:rsidRDefault="002A66B3" w:rsidP="002A66B3">
            <w:pPr>
              <w:jc w:val="right"/>
              <w:rPr>
                <w:rFonts w:cstheme="minorHAnsi"/>
              </w:rPr>
            </w:pPr>
            <w:r w:rsidRPr="00F51774">
              <w:rPr>
                <w:rFonts w:cstheme="minorHAnsi"/>
              </w:rPr>
              <w:t xml:space="preserve">- </w:t>
            </w:r>
          </w:p>
        </w:tc>
        <w:tc>
          <w:tcPr>
            <w:tcW w:w="1256" w:type="dxa"/>
            <w:tcBorders>
              <w:top w:val="nil"/>
              <w:left w:val="nil"/>
              <w:bottom w:val="nil"/>
              <w:right w:val="nil"/>
            </w:tcBorders>
            <w:shd w:val="clear" w:color="000000" w:fill="FFFFFF"/>
            <w:noWrap/>
            <w:vAlign w:val="bottom"/>
            <w:hideMark/>
          </w:tcPr>
          <w:p w14:paraId="43ECA5F9" w14:textId="77777777" w:rsidR="002A66B3" w:rsidRPr="00F51774" w:rsidRDefault="002A66B3" w:rsidP="002A66B3">
            <w:pPr>
              <w:jc w:val="right"/>
              <w:rPr>
                <w:rFonts w:cstheme="minorHAnsi"/>
              </w:rPr>
            </w:pPr>
            <w:r w:rsidRPr="00F51774">
              <w:rPr>
                <w:rFonts w:cstheme="minorHAnsi"/>
              </w:rPr>
              <w:t xml:space="preserve">- </w:t>
            </w:r>
          </w:p>
        </w:tc>
        <w:tc>
          <w:tcPr>
            <w:tcW w:w="1147" w:type="dxa"/>
            <w:tcBorders>
              <w:top w:val="nil"/>
              <w:left w:val="nil"/>
              <w:bottom w:val="nil"/>
            </w:tcBorders>
            <w:shd w:val="clear" w:color="000000" w:fill="FFFFFF"/>
            <w:noWrap/>
            <w:vAlign w:val="bottom"/>
            <w:hideMark/>
          </w:tcPr>
          <w:p w14:paraId="68A823C3" w14:textId="77777777" w:rsidR="002A66B3" w:rsidRPr="00F51774" w:rsidRDefault="002A66B3" w:rsidP="002A66B3">
            <w:pPr>
              <w:jc w:val="right"/>
              <w:rPr>
                <w:rFonts w:cstheme="minorHAnsi"/>
              </w:rPr>
            </w:pPr>
            <w:r w:rsidRPr="00F51774">
              <w:rPr>
                <w:rFonts w:cstheme="minorHAnsi"/>
              </w:rPr>
              <w:t xml:space="preserve">1,120 </w:t>
            </w:r>
          </w:p>
        </w:tc>
      </w:tr>
      <w:tr w:rsidR="008B3EFA" w:rsidRPr="002A66B3" w14:paraId="7DB20A81" w14:textId="77777777" w:rsidTr="00954223">
        <w:trPr>
          <w:trHeight w:val="300"/>
          <w:jc w:val="center"/>
        </w:trPr>
        <w:tc>
          <w:tcPr>
            <w:tcW w:w="4050" w:type="dxa"/>
            <w:tcBorders>
              <w:top w:val="nil"/>
              <w:left w:val="nil"/>
              <w:bottom w:val="nil"/>
              <w:right w:val="nil"/>
            </w:tcBorders>
            <w:shd w:val="clear" w:color="000000" w:fill="FFFFFF"/>
            <w:noWrap/>
            <w:vAlign w:val="bottom"/>
            <w:hideMark/>
          </w:tcPr>
          <w:p w14:paraId="24C1D531" w14:textId="77777777" w:rsidR="002A66B3" w:rsidRPr="00F51774" w:rsidRDefault="002A66B3" w:rsidP="00F51774">
            <w:pPr>
              <w:ind w:left="255"/>
              <w:rPr>
                <w:rFonts w:cstheme="minorHAnsi"/>
              </w:rPr>
            </w:pPr>
            <w:r w:rsidRPr="00F51774">
              <w:rPr>
                <w:rFonts w:cstheme="minorHAnsi"/>
              </w:rPr>
              <w:t>Purchases by student and other groups</w:t>
            </w:r>
          </w:p>
        </w:tc>
        <w:tc>
          <w:tcPr>
            <w:tcW w:w="1170" w:type="dxa"/>
            <w:tcBorders>
              <w:top w:val="nil"/>
              <w:left w:val="nil"/>
              <w:bottom w:val="nil"/>
              <w:right w:val="nil"/>
            </w:tcBorders>
            <w:shd w:val="clear" w:color="000000" w:fill="FFFFFF"/>
            <w:noWrap/>
            <w:vAlign w:val="bottom"/>
            <w:hideMark/>
          </w:tcPr>
          <w:p w14:paraId="3B1C8AFF" w14:textId="77777777" w:rsidR="002A66B3" w:rsidRPr="00F51774" w:rsidRDefault="002A66B3" w:rsidP="002A66B3">
            <w:pPr>
              <w:jc w:val="right"/>
              <w:rPr>
                <w:rFonts w:cstheme="minorHAnsi"/>
              </w:rPr>
            </w:pPr>
            <w:r w:rsidRPr="00F51774">
              <w:rPr>
                <w:rFonts w:cstheme="minorHAnsi"/>
              </w:rPr>
              <w:t>-</w:t>
            </w:r>
          </w:p>
        </w:tc>
        <w:tc>
          <w:tcPr>
            <w:tcW w:w="1260" w:type="dxa"/>
            <w:tcBorders>
              <w:top w:val="nil"/>
              <w:left w:val="nil"/>
              <w:bottom w:val="nil"/>
              <w:right w:val="nil"/>
            </w:tcBorders>
            <w:shd w:val="clear" w:color="000000" w:fill="FFFFFF"/>
            <w:noWrap/>
            <w:vAlign w:val="bottom"/>
            <w:hideMark/>
          </w:tcPr>
          <w:p w14:paraId="510D3C71" w14:textId="77777777" w:rsidR="002A66B3" w:rsidRPr="00F51774" w:rsidRDefault="002A66B3" w:rsidP="002A66B3">
            <w:pPr>
              <w:jc w:val="right"/>
              <w:rPr>
                <w:rFonts w:cstheme="minorHAnsi"/>
              </w:rPr>
            </w:pPr>
            <w:r w:rsidRPr="00F51774">
              <w:rPr>
                <w:rFonts w:cstheme="minorHAnsi"/>
              </w:rPr>
              <w:t xml:space="preserve">- </w:t>
            </w:r>
          </w:p>
        </w:tc>
        <w:tc>
          <w:tcPr>
            <w:tcW w:w="1068" w:type="dxa"/>
            <w:tcBorders>
              <w:top w:val="nil"/>
              <w:left w:val="nil"/>
              <w:bottom w:val="nil"/>
              <w:right w:val="single" w:sz="8" w:space="0" w:color="000000"/>
            </w:tcBorders>
            <w:shd w:val="clear" w:color="000000" w:fill="FFFFFF"/>
            <w:noWrap/>
            <w:vAlign w:val="bottom"/>
            <w:hideMark/>
          </w:tcPr>
          <w:p w14:paraId="03D492CC" w14:textId="77777777" w:rsidR="002A66B3" w:rsidRPr="00F51774" w:rsidRDefault="002A66B3" w:rsidP="002A66B3">
            <w:pPr>
              <w:jc w:val="right"/>
              <w:rPr>
                <w:rFonts w:cstheme="minorHAnsi"/>
              </w:rPr>
            </w:pPr>
            <w:r w:rsidRPr="00F51774">
              <w:rPr>
                <w:rFonts w:cstheme="minorHAnsi"/>
              </w:rPr>
              <w:t>1,223</w:t>
            </w:r>
          </w:p>
        </w:tc>
        <w:tc>
          <w:tcPr>
            <w:tcW w:w="1119" w:type="dxa"/>
            <w:tcBorders>
              <w:top w:val="nil"/>
              <w:left w:val="nil"/>
              <w:bottom w:val="nil"/>
              <w:right w:val="nil"/>
            </w:tcBorders>
            <w:shd w:val="clear" w:color="000000" w:fill="FFFFFF"/>
            <w:noWrap/>
            <w:vAlign w:val="bottom"/>
            <w:hideMark/>
          </w:tcPr>
          <w:p w14:paraId="0D104420" w14:textId="77777777" w:rsidR="002A66B3" w:rsidRPr="00F51774" w:rsidRDefault="002A66B3" w:rsidP="002A66B3">
            <w:pPr>
              <w:jc w:val="right"/>
              <w:rPr>
                <w:rFonts w:cstheme="minorHAnsi"/>
              </w:rPr>
            </w:pPr>
            <w:r w:rsidRPr="00F51774">
              <w:rPr>
                <w:rFonts w:cstheme="minorHAnsi"/>
              </w:rPr>
              <w:t xml:space="preserve">- </w:t>
            </w:r>
          </w:p>
        </w:tc>
        <w:tc>
          <w:tcPr>
            <w:tcW w:w="1256" w:type="dxa"/>
            <w:tcBorders>
              <w:top w:val="nil"/>
              <w:left w:val="nil"/>
              <w:bottom w:val="nil"/>
              <w:right w:val="nil"/>
            </w:tcBorders>
            <w:shd w:val="clear" w:color="000000" w:fill="FFFFFF"/>
            <w:noWrap/>
            <w:vAlign w:val="bottom"/>
            <w:hideMark/>
          </w:tcPr>
          <w:p w14:paraId="441232F3" w14:textId="77777777" w:rsidR="002A66B3" w:rsidRPr="00F51774" w:rsidRDefault="002A66B3" w:rsidP="002A66B3">
            <w:pPr>
              <w:jc w:val="right"/>
              <w:rPr>
                <w:rFonts w:cstheme="minorHAnsi"/>
              </w:rPr>
            </w:pPr>
            <w:r w:rsidRPr="00F51774">
              <w:rPr>
                <w:rFonts w:cstheme="minorHAnsi"/>
              </w:rPr>
              <w:t xml:space="preserve">- </w:t>
            </w:r>
          </w:p>
        </w:tc>
        <w:tc>
          <w:tcPr>
            <w:tcW w:w="1147" w:type="dxa"/>
            <w:tcBorders>
              <w:top w:val="nil"/>
              <w:left w:val="nil"/>
              <w:bottom w:val="nil"/>
            </w:tcBorders>
            <w:shd w:val="clear" w:color="000000" w:fill="FFFFFF"/>
            <w:noWrap/>
            <w:vAlign w:val="bottom"/>
            <w:hideMark/>
          </w:tcPr>
          <w:p w14:paraId="09397E61" w14:textId="77777777" w:rsidR="002A66B3" w:rsidRPr="00F51774" w:rsidRDefault="002A66B3" w:rsidP="002A66B3">
            <w:pPr>
              <w:jc w:val="right"/>
              <w:rPr>
                <w:rFonts w:cstheme="minorHAnsi"/>
              </w:rPr>
            </w:pPr>
            <w:r w:rsidRPr="00F51774">
              <w:rPr>
                <w:rFonts w:cstheme="minorHAnsi"/>
              </w:rPr>
              <w:t xml:space="preserve">1,113 </w:t>
            </w:r>
          </w:p>
        </w:tc>
      </w:tr>
      <w:tr w:rsidR="008B3EFA" w:rsidRPr="002A66B3" w14:paraId="23CEBCCD" w14:textId="77777777" w:rsidTr="00954223">
        <w:trPr>
          <w:trHeight w:val="80"/>
          <w:jc w:val="center"/>
        </w:trPr>
        <w:tc>
          <w:tcPr>
            <w:tcW w:w="4050" w:type="dxa"/>
            <w:tcBorders>
              <w:top w:val="nil"/>
              <w:left w:val="nil"/>
              <w:bottom w:val="single" w:sz="4" w:space="0" w:color="000000"/>
              <w:right w:val="nil"/>
            </w:tcBorders>
            <w:shd w:val="clear" w:color="000000" w:fill="FFFFFF"/>
            <w:noWrap/>
            <w:vAlign w:val="bottom"/>
            <w:hideMark/>
          </w:tcPr>
          <w:p w14:paraId="3249EAB4" w14:textId="77777777" w:rsidR="002A66B3" w:rsidRPr="00F51774" w:rsidRDefault="002A66B3" w:rsidP="00F51774">
            <w:pPr>
              <w:ind w:left="255"/>
              <w:rPr>
                <w:rFonts w:cstheme="minorHAnsi"/>
              </w:rPr>
            </w:pPr>
            <w:r w:rsidRPr="00F51774">
              <w:rPr>
                <w:rFonts w:cstheme="minorHAnsi"/>
              </w:rPr>
              <w:t>Administrative costs</w:t>
            </w:r>
          </w:p>
        </w:tc>
        <w:tc>
          <w:tcPr>
            <w:tcW w:w="1170" w:type="dxa"/>
            <w:tcBorders>
              <w:top w:val="nil"/>
              <w:left w:val="nil"/>
              <w:bottom w:val="single" w:sz="4" w:space="0" w:color="000000"/>
              <w:right w:val="nil"/>
            </w:tcBorders>
            <w:shd w:val="clear" w:color="000000" w:fill="FFFFFF"/>
            <w:noWrap/>
            <w:vAlign w:val="bottom"/>
            <w:hideMark/>
          </w:tcPr>
          <w:p w14:paraId="58BDCE56" w14:textId="7122E67F" w:rsidR="002A66B3" w:rsidRPr="00F51774" w:rsidRDefault="002A66B3" w:rsidP="002A66B3">
            <w:pPr>
              <w:jc w:val="right"/>
              <w:rPr>
                <w:rFonts w:cstheme="minorHAnsi"/>
              </w:rPr>
            </w:pPr>
            <w:r w:rsidRPr="00F51774">
              <w:rPr>
                <w:rFonts w:cstheme="minorHAnsi"/>
              </w:rPr>
              <w:t>1</w:t>
            </w:r>
            <w:r w:rsidR="00AF6690">
              <w:rPr>
                <w:rFonts w:cstheme="minorHAnsi"/>
              </w:rPr>
              <w:t>6</w:t>
            </w:r>
          </w:p>
        </w:tc>
        <w:tc>
          <w:tcPr>
            <w:tcW w:w="1260" w:type="dxa"/>
            <w:tcBorders>
              <w:top w:val="nil"/>
              <w:left w:val="nil"/>
              <w:bottom w:val="single" w:sz="4" w:space="0" w:color="000000"/>
              <w:right w:val="nil"/>
            </w:tcBorders>
            <w:shd w:val="clear" w:color="000000" w:fill="FFFFFF"/>
            <w:noWrap/>
            <w:vAlign w:val="bottom"/>
            <w:hideMark/>
          </w:tcPr>
          <w:p w14:paraId="04A19602" w14:textId="77777777" w:rsidR="002A66B3" w:rsidRPr="00F51774" w:rsidRDefault="002A66B3" w:rsidP="002A66B3">
            <w:pPr>
              <w:jc w:val="right"/>
              <w:rPr>
                <w:rFonts w:cstheme="minorHAnsi"/>
              </w:rPr>
            </w:pPr>
            <w:r w:rsidRPr="00F51774">
              <w:rPr>
                <w:rFonts w:cstheme="minorHAnsi"/>
              </w:rPr>
              <w:t xml:space="preserve">- </w:t>
            </w:r>
          </w:p>
        </w:tc>
        <w:tc>
          <w:tcPr>
            <w:tcW w:w="1068" w:type="dxa"/>
            <w:tcBorders>
              <w:top w:val="nil"/>
              <w:left w:val="nil"/>
              <w:bottom w:val="single" w:sz="4" w:space="0" w:color="000000"/>
              <w:right w:val="single" w:sz="8" w:space="0" w:color="000000"/>
            </w:tcBorders>
            <w:shd w:val="clear" w:color="000000" w:fill="FFFFFF"/>
            <w:noWrap/>
            <w:vAlign w:val="bottom"/>
            <w:hideMark/>
          </w:tcPr>
          <w:p w14:paraId="46047942" w14:textId="77777777" w:rsidR="002A66B3" w:rsidRPr="00F51774" w:rsidRDefault="002A66B3" w:rsidP="002A66B3">
            <w:pPr>
              <w:jc w:val="right"/>
              <w:rPr>
                <w:rFonts w:cstheme="minorHAnsi"/>
              </w:rPr>
            </w:pPr>
            <w:r w:rsidRPr="00F51774">
              <w:rPr>
                <w:rFonts w:cstheme="minorHAnsi"/>
              </w:rPr>
              <w:t xml:space="preserve">- </w:t>
            </w:r>
          </w:p>
        </w:tc>
        <w:tc>
          <w:tcPr>
            <w:tcW w:w="1119" w:type="dxa"/>
            <w:tcBorders>
              <w:top w:val="nil"/>
              <w:left w:val="nil"/>
              <w:bottom w:val="single" w:sz="4" w:space="0" w:color="000000"/>
              <w:right w:val="nil"/>
            </w:tcBorders>
            <w:shd w:val="clear" w:color="000000" w:fill="FFFFFF"/>
            <w:noWrap/>
            <w:vAlign w:val="bottom"/>
            <w:hideMark/>
          </w:tcPr>
          <w:p w14:paraId="34ACAB19" w14:textId="77777777" w:rsidR="002A66B3" w:rsidRPr="00F51774" w:rsidRDefault="002A66B3" w:rsidP="002A66B3">
            <w:pPr>
              <w:jc w:val="right"/>
              <w:rPr>
                <w:rFonts w:cstheme="minorHAnsi"/>
              </w:rPr>
            </w:pPr>
            <w:r w:rsidRPr="00F51774">
              <w:rPr>
                <w:rFonts w:cstheme="minorHAnsi"/>
              </w:rPr>
              <w:t xml:space="preserve">17 </w:t>
            </w:r>
          </w:p>
        </w:tc>
        <w:tc>
          <w:tcPr>
            <w:tcW w:w="1256" w:type="dxa"/>
            <w:tcBorders>
              <w:top w:val="nil"/>
              <w:left w:val="nil"/>
              <w:bottom w:val="single" w:sz="4" w:space="0" w:color="000000"/>
              <w:right w:val="nil"/>
            </w:tcBorders>
            <w:shd w:val="clear" w:color="000000" w:fill="FFFFFF"/>
            <w:noWrap/>
            <w:vAlign w:val="bottom"/>
            <w:hideMark/>
          </w:tcPr>
          <w:p w14:paraId="5F2CBAEB" w14:textId="77777777" w:rsidR="002A66B3" w:rsidRPr="00F51774" w:rsidRDefault="002A66B3" w:rsidP="002A66B3">
            <w:pPr>
              <w:jc w:val="right"/>
              <w:rPr>
                <w:rFonts w:cstheme="minorHAnsi"/>
              </w:rPr>
            </w:pPr>
            <w:r w:rsidRPr="00F51774">
              <w:rPr>
                <w:rFonts w:cstheme="minorHAnsi"/>
              </w:rPr>
              <w:t xml:space="preserve">- </w:t>
            </w:r>
          </w:p>
        </w:tc>
        <w:tc>
          <w:tcPr>
            <w:tcW w:w="1147" w:type="dxa"/>
            <w:tcBorders>
              <w:top w:val="nil"/>
              <w:left w:val="nil"/>
              <w:bottom w:val="single" w:sz="4" w:space="0" w:color="000000"/>
            </w:tcBorders>
            <w:shd w:val="clear" w:color="000000" w:fill="FFFFFF"/>
            <w:noWrap/>
            <w:vAlign w:val="bottom"/>
            <w:hideMark/>
          </w:tcPr>
          <w:p w14:paraId="520BA53B" w14:textId="77777777" w:rsidR="002A66B3" w:rsidRPr="00F51774" w:rsidRDefault="002A66B3" w:rsidP="002A66B3">
            <w:pPr>
              <w:jc w:val="right"/>
              <w:rPr>
                <w:rFonts w:cstheme="minorHAnsi"/>
              </w:rPr>
            </w:pPr>
            <w:r w:rsidRPr="00F51774">
              <w:rPr>
                <w:rFonts w:cstheme="minorHAnsi"/>
              </w:rPr>
              <w:t xml:space="preserve">- </w:t>
            </w:r>
          </w:p>
        </w:tc>
      </w:tr>
      <w:tr w:rsidR="008B3EFA" w:rsidRPr="002A66B3" w14:paraId="6DFA357C" w14:textId="77777777" w:rsidTr="00954223">
        <w:trPr>
          <w:trHeight w:val="70"/>
          <w:jc w:val="center"/>
        </w:trPr>
        <w:tc>
          <w:tcPr>
            <w:tcW w:w="4050" w:type="dxa"/>
            <w:tcBorders>
              <w:top w:val="nil"/>
              <w:left w:val="nil"/>
              <w:bottom w:val="single" w:sz="4" w:space="0" w:color="000000"/>
              <w:right w:val="nil"/>
            </w:tcBorders>
            <w:shd w:val="clear" w:color="000000" w:fill="FFFFFF"/>
            <w:noWrap/>
            <w:vAlign w:val="bottom"/>
            <w:hideMark/>
          </w:tcPr>
          <w:p w14:paraId="4D2DBB52" w14:textId="77777777" w:rsidR="002A66B3" w:rsidRPr="00F51774" w:rsidRDefault="002A66B3" w:rsidP="00F51774">
            <w:pPr>
              <w:ind w:left="525"/>
              <w:rPr>
                <w:rFonts w:cstheme="minorHAnsi"/>
                <w:b/>
                <w:bCs/>
                <w:color w:val="000000"/>
              </w:rPr>
            </w:pPr>
            <w:r w:rsidRPr="00F51774">
              <w:rPr>
                <w:rFonts w:cstheme="minorHAnsi"/>
                <w:b/>
                <w:bCs/>
                <w:color w:val="000000"/>
              </w:rPr>
              <w:t>Total deductions</w:t>
            </w:r>
          </w:p>
        </w:tc>
        <w:tc>
          <w:tcPr>
            <w:tcW w:w="1170" w:type="dxa"/>
            <w:tcBorders>
              <w:top w:val="nil"/>
              <w:left w:val="nil"/>
              <w:bottom w:val="single" w:sz="4" w:space="0" w:color="000000"/>
              <w:right w:val="nil"/>
            </w:tcBorders>
            <w:shd w:val="clear" w:color="000000" w:fill="FFFFFF"/>
            <w:noWrap/>
            <w:vAlign w:val="bottom"/>
            <w:hideMark/>
          </w:tcPr>
          <w:p w14:paraId="6E781121" w14:textId="10A0972D" w:rsidR="002A66B3" w:rsidRPr="00F51774" w:rsidRDefault="002A66B3" w:rsidP="002A66B3">
            <w:pPr>
              <w:jc w:val="right"/>
              <w:rPr>
                <w:rFonts w:cstheme="minorHAnsi"/>
              </w:rPr>
            </w:pPr>
            <w:r w:rsidRPr="00F51774">
              <w:rPr>
                <w:rFonts w:cstheme="minorHAnsi"/>
              </w:rPr>
              <w:t>12,</w:t>
            </w:r>
            <w:r w:rsidR="00B30043" w:rsidRPr="00F51774">
              <w:rPr>
                <w:rFonts w:cstheme="minorHAnsi"/>
              </w:rPr>
              <w:t>95</w:t>
            </w:r>
            <w:r w:rsidR="00B30043">
              <w:rPr>
                <w:rFonts w:cstheme="minorHAnsi"/>
              </w:rPr>
              <w:t>0</w:t>
            </w:r>
          </w:p>
        </w:tc>
        <w:tc>
          <w:tcPr>
            <w:tcW w:w="1260" w:type="dxa"/>
            <w:tcBorders>
              <w:top w:val="nil"/>
              <w:left w:val="nil"/>
              <w:bottom w:val="single" w:sz="4" w:space="0" w:color="000000"/>
              <w:right w:val="nil"/>
            </w:tcBorders>
            <w:shd w:val="clear" w:color="000000" w:fill="FFFFFF"/>
            <w:noWrap/>
            <w:vAlign w:val="bottom"/>
            <w:hideMark/>
          </w:tcPr>
          <w:p w14:paraId="0F35FEC0" w14:textId="77777777" w:rsidR="002A66B3" w:rsidRPr="00F51774" w:rsidRDefault="002A66B3" w:rsidP="002A66B3">
            <w:pPr>
              <w:jc w:val="right"/>
              <w:rPr>
                <w:rFonts w:cstheme="minorHAnsi"/>
              </w:rPr>
            </w:pPr>
            <w:r w:rsidRPr="00F51774">
              <w:rPr>
                <w:rFonts w:cstheme="minorHAnsi"/>
              </w:rPr>
              <w:t>432</w:t>
            </w:r>
          </w:p>
        </w:tc>
        <w:tc>
          <w:tcPr>
            <w:tcW w:w="1068" w:type="dxa"/>
            <w:tcBorders>
              <w:top w:val="nil"/>
              <w:left w:val="nil"/>
              <w:bottom w:val="single" w:sz="4" w:space="0" w:color="000000"/>
              <w:right w:val="single" w:sz="8" w:space="0" w:color="000000"/>
            </w:tcBorders>
            <w:shd w:val="clear" w:color="000000" w:fill="FFFFFF"/>
            <w:noWrap/>
            <w:vAlign w:val="bottom"/>
            <w:hideMark/>
          </w:tcPr>
          <w:p w14:paraId="257AC49F" w14:textId="77777777" w:rsidR="002A66B3" w:rsidRPr="00F51774" w:rsidRDefault="002A66B3" w:rsidP="002A66B3">
            <w:pPr>
              <w:jc w:val="right"/>
              <w:rPr>
                <w:rFonts w:cstheme="minorHAnsi"/>
              </w:rPr>
            </w:pPr>
            <w:r w:rsidRPr="00F51774">
              <w:rPr>
                <w:rFonts w:cstheme="minorHAnsi"/>
              </w:rPr>
              <w:t>2,896</w:t>
            </w:r>
          </w:p>
        </w:tc>
        <w:tc>
          <w:tcPr>
            <w:tcW w:w="1119" w:type="dxa"/>
            <w:tcBorders>
              <w:top w:val="nil"/>
              <w:left w:val="nil"/>
              <w:bottom w:val="single" w:sz="4" w:space="0" w:color="000000"/>
              <w:right w:val="nil"/>
            </w:tcBorders>
            <w:shd w:val="clear" w:color="000000" w:fill="FFFFFF"/>
            <w:noWrap/>
            <w:vAlign w:val="bottom"/>
            <w:hideMark/>
          </w:tcPr>
          <w:p w14:paraId="71D5DC6E" w14:textId="77777777" w:rsidR="002A66B3" w:rsidRPr="00F51774" w:rsidRDefault="002A66B3" w:rsidP="002A66B3">
            <w:pPr>
              <w:jc w:val="right"/>
              <w:rPr>
                <w:rFonts w:cstheme="minorHAnsi"/>
              </w:rPr>
            </w:pPr>
            <w:r w:rsidRPr="00F51774">
              <w:rPr>
                <w:rFonts w:cstheme="minorHAnsi"/>
              </w:rPr>
              <w:t xml:space="preserve">14,045 </w:t>
            </w:r>
          </w:p>
        </w:tc>
        <w:tc>
          <w:tcPr>
            <w:tcW w:w="1256" w:type="dxa"/>
            <w:tcBorders>
              <w:top w:val="nil"/>
              <w:left w:val="nil"/>
              <w:bottom w:val="single" w:sz="4" w:space="0" w:color="000000"/>
              <w:right w:val="nil"/>
            </w:tcBorders>
            <w:shd w:val="clear" w:color="000000" w:fill="FFFFFF"/>
            <w:noWrap/>
            <w:vAlign w:val="bottom"/>
            <w:hideMark/>
          </w:tcPr>
          <w:p w14:paraId="34764B8B" w14:textId="77777777" w:rsidR="002A66B3" w:rsidRPr="00F51774" w:rsidRDefault="002A66B3" w:rsidP="002A66B3">
            <w:pPr>
              <w:jc w:val="right"/>
              <w:rPr>
                <w:rFonts w:cstheme="minorHAnsi"/>
              </w:rPr>
            </w:pPr>
            <w:r w:rsidRPr="00F51774">
              <w:rPr>
                <w:rFonts w:cstheme="minorHAnsi"/>
              </w:rPr>
              <w:t xml:space="preserve">35,663 </w:t>
            </w:r>
          </w:p>
        </w:tc>
        <w:tc>
          <w:tcPr>
            <w:tcW w:w="1147" w:type="dxa"/>
            <w:tcBorders>
              <w:top w:val="nil"/>
              <w:left w:val="nil"/>
              <w:bottom w:val="single" w:sz="4" w:space="0" w:color="000000"/>
            </w:tcBorders>
            <w:shd w:val="clear" w:color="000000" w:fill="FFFFFF"/>
            <w:noWrap/>
            <w:vAlign w:val="bottom"/>
            <w:hideMark/>
          </w:tcPr>
          <w:p w14:paraId="393CD668" w14:textId="77777777" w:rsidR="002A66B3" w:rsidRPr="00F51774" w:rsidRDefault="002A66B3" w:rsidP="002A66B3">
            <w:pPr>
              <w:jc w:val="right"/>
              <w:rPr>
                <w:rFonts w:cstheme="minorHAnsi"/>
              </w:rPr>
            </w:pPr>
            <w:r w:rsidRPr="00F51774">
              <w:rPr>
                <w:rFonts w:cstheme="minorHAnsi"/>
              </w:rPr>
              <w:t xml:space="preserve">3,736 </w:t>
            </w:r>
          </w:p>
        </w:tc>
      </w:tr>
      <w:tr w:rsidR="008B3EFA" w:rsidRPr="002A66B3" w14:paraId="45587E38" w14:textId="77777777" w:rsidTr="00954223">
        <w:trPr>
          <w:trHeight w:val="70"/>
          <w:jc w:val="center"/>
        </w:trPr>
        <w:tc>
          <w:tcPr>
            <w:tcW w:w="4050" w:type="dxa"/>
            <w:tcBorders>
              <w:top w:val="nil"/>
              <w:left w:val="nil"/>
              <w:bottom w:val="nil"/>
              <w:right w:val="nil"/>
            </w:tcBorders>
            <w:shd w:val="clear" w:color="000000" w:fill="FFFFFF"/>
            <w:noWrap/>
            <w:vAlign w:val="bottom"/>
            <w:hideMark/>
          </w:tcPr>
          <w:p w14:paraId="32E2D0DB" w14:textId="77777777" w:rsidR="002A66B3" w:rsidRPr="00F51774" w:rsidRDefault="002A66B3" w:rsidP="002A66B3">
            <w:pPr>
              <w:rPr>
                <w:rFonts w:cstheme="minorHAnsi"/>
                <w:b/>
                <w:bCs/>
                <w:color w:val="000000"/>
              </w:rPr>
            </w:pPr>
            <w:r w:rsidRPr="00F51774">
              <w:rPr>
                <w:rFonts w:cstheme="minorHAnsi"/>
                <w:b/>
                <w:bCs/>
                <w:color w:val="000000"/>
              </w:rPr>
              <w:t>Change in Fiduciary Net Position</w:t>
            </w:r>
          </w:p>
        </w:tc>
        <w:tc>
          <w:tcPr>
            <w:tcW w:w="1170" w:type="dxa"/>
            <w:tcBorders>
              <w:top w:val="nil"/>
              <w:left w:val="nil"/>
              <w:bottom w:val="nil"/>
              <w:right w:val="nil"/>
            </w:tcBorders>
            <w:shd w:val="clear" w:color="000000" w:fill="FFFFFF"/>
            <w:noWrap/>
            <w:vAlign w:val="bottom"/>
            <w:hideMark/>
          </w:tcPr>
          <w:p w14:paraId="4273304F" w14:textId="77777777" w:rsidR="002A66B3" w:rsidRPr="00F51774" w:rsidRDefault="002A66B3" w:rsidP="002A66B3">
            <w:pPr>
              <w:jc w:val="right"/>
              <w:rPr>
                <w:rFonts w:cstheme="minorHAnsi"/>
              </w:rPr>
            </w:pPr>
            <w:r w:rsidRPr="00F51774">
              <w:rPr>
                <w:rFonts w:cstheme="minorHAnsi"/>
              </w:rPr>
              <w:t>17,737</w:t>
            </w:r>
          </w:p>
        </w:tc>
        <w:tc>
          <w:tcPr>
            <w:tcW w:w="1260" w:type="dxa"/>
            <w:tcBorders>
              <w:top w:val="nil"/>
              <w:left w:val="nil"/>
              <w:bottom w:val="nil"/>
              <w:right w:val="nil"/>
            </w:tcBorders>
            <w:shd w:val="clear" w:color="000000" w:fill="FFFFFF"/>
            <w:noWrap/>
            <w:vAlign w:val="bottom"/>
            <w:hideMark/>
          </w:tcPr>
          <w:p w14:paraId="58111CDE" w14:textId="77777777" w:rsidR="002A66B3" w:rsidRPr="00F51774" w:rsidRDefault="002A66B3" w:rsidP="002A66B3">
            <w:pPr>
              <w:jc w:val="right"/>
              <w:rPr>
                <w:rFonts w:cstheme="minorHAnsi"/>
              </w:rPr>
            </w:pPr>
            <w:r w:rsidRPr="00F51774">
              <w:rPr>
                <w:rFonts w:cstheme="minorHAnsi"/>
              </w:rPr>
              <w:t>765</w:t>
            </w:r>
          </w:p>
        </w:tc>
        <w:tc>
          <w:tcPr>
            <w:tcW w:w="1068" w:type="dxa"/>
            <w:tcBorders>
              <w:top w:val="nil"/>
              <w:left w:val="nil"/>
              <w:bottom w:val="nil"/>
              <w:right w:val="single" w:sz="8" w:space="0" w:color="000000"/>
            </w:tcBorders>
            <w:shd w:val="clear" w:color="000000" w:fill="FFFFFF"/>
            <w:noWrap/>
            <w:vAlign w:val="bottom"/>
            <w:hideMark/>
          </w:tcPr>
          <w:p w14:paraId="238D4625" w14:textId="77777777" w:rsidR="002A66B3" w:rsidRPr="00F51774" w:rsidRDefault="002A66B3" w:rsidP="002A66B3">
            <w:pPr>
              <w:jc w:val="right"/>
              <w:rPr>
                <w:rFonts w:cstheme="minorHAnsi"/>
              </w:rPr>
            </w:pPr>
            <w:r w:rsidRPr="00F51774">
              <w:rPr>
                <w:rFonts w:cstheme="minorHAnsi"/>
              </w:rPr>
              <w:t>(97)</w:t>
            </w:r>
          </w:p>
        </w:tc>
        <w:tc>
          <w:tcPr>
            <w:tcW w:w="1119" w:type="dxa"/>
            <w:tcBorders>
              <w:top w:val="nil"/>
              <w:left w:val="nil"/>
              <w:bottom w:val="nil"/>
              <w:right w:val="nil"/>
            </w:tcBorders>
            <w:shd w:val="clear" w:color="000000" w:fill="FFFFFF"/>
            <w:noWrap/>
            <w:vAlign w:val="bottom"/>
            <w:hideMark/>
          </w:tcPr>
          <w:p w14:paraId="7DC8B694" w14:textId="77777777" w:rsidR="002A66B3" w:rsidRPr="00F51774" w:rsidRDefault="002A66B3" w:rsidP="002A66B3">
            <w:pPr>
              <w:jc w:val="right"/>
              <w:rPr>
                <w:rFonts w:cstheme="minorHAnsi"/>
              </w:rPr>
            </w:pPr>
            <w:r w:rsidRPr="00F51774">
              <w:rPr>
                <w:rFonts w:cstheme="minorHAnsi"/>
              </w:rPr>
              <w:t>20,170</w:t>
            </w:r>
          </w:p>
        </w:tc>
        <w:tc>
          <w:tcPr>
            <w:tcW w:w="1256" w:type="dxa"/>
            <w:tcBorders>
              <w:top w:val="nil"/>
              <w:left w:val="nil"/>
              <w:bottom w:val="nil"/>
              <w:right w:val="nil"/>
            </w:tcBorders>
            <w:shd w:val="clear" w:color="000000" w:fill="FFFFFF"/>
            <w:noWrap/>
            <w:vAlign w:val="bottom"/>
            <w:hideMark/>
          </w:tcPr>
          <w:p w14:paraId="1811545D" w14:textId="4167935D" w:rsidR="002A66B3" w:rsidRPr="00F51774" w:rsidRDefault="002A66B3" w:rsidP="002A66B3">
            <w:pPr>
              <w:jc w:val="right"/>
              <w:rPr>
                <w:rFonts w:cstheme="minorHAnsi"/>
              </w:rPr>
            </w:pPr>
            <w:r w:rsidRPr="00F51774">
              <w:rPr>
                <w:rFonts w:cstheme="minorHAnsi"/>
              </w:rPr>
              <w:t>(29,399)</w:t>
            </w:r>
          </w:p>
        </w:tc>
        <w:tc>
          <w:tcPr>
            <w:tcW w:w="1147" w:type="dxa"/>
            <w:tcBorders>
              <w:top w:val="nil"/>
              <w:left w:val="nil"/>
              <w:bottom w:val="nil"/>
            </w:tcBorders>
            <w:shd w:val="clear" w:color="000000" w:fill="FFFFFF"/>
            <w:noWrap/>
            <w:vAlign w:val="bottom"/>
            <w:hideMark/>
          </w:tcPr>
          <w:p w14:paraId="6BDE2C5B" w14:textId="4C0012D6" w:rsidR="002A66B3" w:rsidRPr="00F51774" w:rsidRDefault="002A66B3" w:rsidP="002A66B3">
            <w:pPr>
              <w:jc w:val="right"/>
              <w:rPr>
                <w:rFonts w:cstheme="minorHAnsi"/>
              </w:rPr>
            </w:pPr>
            <w:r w:rsidRPr="00F51774">
              <w:rPr>
                <w:rFonts w:cstheme="minorHAnsi"/>
              </w:rPr>
              <w:t>(125)</w:t>
            </w:r>
          </w:p>
        </w:tc>
      </w:tr>
      <w:tr w:rsidR="008B3EFA" w:rsidRPr="002A66B3" w14:paraId="7B567860" w14:textId="77777777" w:rsidTr="00954223">
        <w:trPr>
          <w:trHeight w:val="80"/>
          <w:jc w:val="center"/>
        </w:trPr>
        <w:tc>
          <w:tcPr>
            <w:tcW w:w="4050" w:type="dxa"/>
            <w:tcBorders>
              <w:top w:val="nil"/>
              <w:left w:val="nil"/>
              <w:bottom w:val="single" w:sz="4" w:space="0" w:color="000000"/>
              <w:right w:val="nil"/>
            </w:tcBorders>
            <w:shd w:val="clear" w:color="000000" w:fill="FFFFFF"/>
            <w:noWrap/>
            <w:vAlign w:val="bottom"/>
            <w:hideMark/>
          </w:tcPr>
          <w:p w14:paraId="6EEEF831" w14:textId="77777777" w:rsidR="002A66B3" w:rsidRPr="00F51774" w:rsidRDefault="002A66B3" w:rsidP="002A66B3">
            <w:pPr>
              <w:rPr>
                <w:rFonts w:cstheme="minorHAnsi"/>
                <w:b/>
                <w:bCs/>
                <w:color w:val="000000"/>
              </w:rPr>
            </w:pPr>
            <w:r w:rsidRPr="00F51774">
              <w:rPr>
                <w:rFonts w:cstheme="minorHAnsi"/>
                <w:b/>
                <w:bCs/>
                <w:color w:val="000000"/>
              </w:rPr>
              <w:t>Net Position - Beginning of the Year</w:t>
            </w:r>
          </w:p>
        </w:tc>
        <w:tc>
          <w:tcPr>
            <w:tcW w:w="1170" w:type="dxa"/>
            <w:tcBorders>
              <w:top w:val="nil"/>
              <w:left w:val="nil"/>
              <w:bottom w:val="single" w:sz="4" w:space="0" w:color="000000"/>
              <w:right w:val="nil"/>
            </w:tcBorders>
            <w:shd w:val="clear" w:color="000000" w:fill="FFFFFF"/>
            <w:noWrap/>
            <w:vAlign w:val="bottom"/>
            <w:hideMark/>
          </w:tcPr>
          <w:p w14:paraId="60B46570" w14:textId="77777777" w:rsidR="002A66B3" w:rsidRPr="00F51774" w:rsidRDefault="002A66B3" w:rsidP="002A66B3">
            <w:pPr>
              <w:jc w:val="right"/>
              <w:rPr>
                <w:rFonts w:cstheme="minorHAnsi"/>
              </w:rPr>
            </w:pPr>
            <w:r w:rsidRPr="00F51774">
              <w:rPr>
                <w:rFonts w:cstheme="minorHAnsi"/>
              </w:rPr>
              <w:t>213,584</w:t>
            </w:r>
          </w:p>
        </w:tc>
        <w:tc>
          <w:tcPr>
            <w:tcW w:w="1260" w:type="dxa"/>
            <w:tcBorders>
              <w:top w:val="nil"/>
              <w:left w:val="nil"/>
              <w:bottom w:val="single" w:sz="4" w:space="0" w:color="000000"/>
              <w:right w:val="nil"/>
            </w:tcBorders>
            <w:shd w:val="clear" w:color="000000" w:fill="FFFFFF"/>
            <w:noWrap/>
            <w:vAlign w:val="bottom"/>
            <w:hideMark/>
          </w:tcPr>
          <w:p w14:paraId="03A45A6D" w14:textId="77777777" w:rsidR="002A66B3" w:rsidRPr="00F51774" w:rsidRDefault="002A66B3" w:rsidP="002A66B3">
            <w:pPr>
              <w:jc w:val="right"/>
              <w:rPr>
                <w:rFonts w:cstheme="minorHAnsi"/>
              </w:rPr>
            </w:pPr>
            <w:r w:rsidRPr="00F51774">
              <w:rPr>
                <w:rFonts w:cstheme="minorHAnsi"/>
              </w:rPr>
              <w:t>9,586</w:t>
            </w:r>
          </w:p>
        </w:tc>
        <w:tc>
          <w:tcPr>
            <w:tcW w:w="1068" w:type="dxa"/>
            <w:tcBorders>
              <w:top w:val="nil"/>
              <w:left w:val="nil"/>
              <w:bottom w:val="single" w:sz="4" w:space="0" w:color="000000"/>
              <w:right w:val="single" w:sz="8" w:space="0" w:color="000000"/>
            </w:tcBorders>
            <w:shd w:val="clear" w:color="000000" w:fill="FFFFFF"/>
            <w:noWrap/>
            <w:vAlign w:val="bottom"/>
            <w:hideMark/>
          </w:tcPr>
          <w:p w14:paraId="532DA7D1" w14:textId="77777777" w:rsidR="002A66B3" w:rsidRPr="00F51774" w:rsidRDefault="002A66B3" w:rsidP="002A66B3">
            <w:pPr>
              <w:jc w:val="right"/>
              <w:rPr>
                <w:rFonts w:cstheme="minorHAnsi"/>
              </w:rPr>
            </w:pPr>
            <w:r w:rsidRPr="00F51774">
              <w:rPr>
                <w:rFonts w:cstheme="minorHAnsi"/>
              </w:rPr>
              <w:t>2,481</w:t>
            </w:r>
          </w:p>
        </w:tc>
        <w:tc>
          <w:tcPr>
            <w:tcW w:w="1119" w:type="dxa"/>
            <w:tcBorders>
              <w:top w:val="nil"/>
              <w:left w:val="nil"/>
              <w:bottom w:val="single" w:sz="4" w:space="0" w:color="000000"/>
              <w:right w:val="nil"/>
            </w:tcBorders>
            <w:shd w:val="clear" w:color="000000" w:fill="FFFFFF"/>
            <w:noWrap/>
            <w:vAlign w:val="bottom"/>
            <w:hideMark/>
          </w:tcPr>
          <w:p w14:paraId="198BDAD0" w14:textId="77777777" w:rsidR="002A66B3" w:rsidRPr="00F51774" w:rsidRDefault="002A66B3" w:rsidP="002A66B3">
            <w:pPr>
              <w:jc w:val="right"/>
              <w:rPr>
                <w:rFonts w:cstheme="minorHAnsi"/>
              </w:rPr>
            </w:pPr>
            <w:r w:rsidRPr="00F51774">
              <w:rPr>
                <w:rFonts w:cstheme="minorHAnsi"/>
              </w:rPr>
              <w:t xml:space="preserve">193,414 </w:t>
            </w:r>
          </w:p>
        </w:tc>
        <w:tc>
          <w:tcPr>
            <w:tcW w:w="1256" w:type="dxa"/>
            <w:tcBorders>
              <w:top w:val="nil"/>
              <w:left w:val="nil"/>
              <w:bottom w:val="single" w:sz="4" w:space="0" w:color="000000"/>
              <w:right w:val="nil"/>
            </w:tcBorders>
            <w:shd w:val="clear" w:color="000000" w:fill="FFFFFF"/>
            <w:noWrap/>
            <w:vAlign w:val="bottom"/>
            <w:hideMark/>
          </w:tcPr>
          <w:p w14:paraId="255627E5" w14:textId="77777777" w:rsidR="002A66B3" w:rsidRPr="00F51774" w:rsidRDefault="002A66B3" w:rsidP="002A66B3">
            <w:pPr>
              <w:jc w:val="right"/>
              <w:rPr>
                <w:rFonts w:cstheme="minorHAnsi"/>
              </w:rPr>
            </w:pPr>
            <w:r w:rsidRPr="00F51774">
              <w:rPr>
                <w:rFonts w:cstheme="minorHAnsi"/>
              </w:rPr>
              <w:t xml:space="preserve">38,985 </w:t>
            </w:r>
          </w:p>
        </w:tc>
        <w:tc>
          <w:tcPr>
            <w:tcW w:w="1147" w:type="dxa"/>
            <w:tcBorders>
              <w:top w:val="nil"/>
              <w:left w:val="nil"/>
              <w:bottom w:val="single" w:sz="4" w:space="0" w:color="000000"/>
            </w:tcBorders>
            <w:shd w:val="clear" w:color="000000" w:fill="FFFFFF"/>
            <w:noWrap/>
            <w:vAlign w:val="bottom"/>
            <w:hideMark/>
          </w:tcPr>
          <w:p w14:paraId="754536DB" w14:textId="77777777" w:rsidR="002A66B3" w:rsidRPr="00F51774" w:rsidRDefault="002A66B3" w:rsidP="002A66B3">
            <w:pPr>
              <w:jc w:val="right"/>
              <w:rPr>
                <w:rFonts w:cstheme="minorHAnsi"/>
              </w:rPr>
            </w:pPr>
            <w:r w:rsidRPr="00F51774">
              <w:rPr>
                <w:rFonts w:cstheme="minorHAnsi"/>
              </w:rPr>
              <w:t xml:space="preserve">2,606 </w:t>
            </w:r>
          </w:p>
        </w:tc>
      </w:tr>
      <w:tr w:rsidR="008B3EFA" w:rsidRPr="002A66B3" w14:paraId="686DEACF" w14:textId="77777777" w:rsidTr="00954223">
        <w:trPr>
          <w:trHeight w:val="288"/>
          <w:jc w:val="center"/>
        </w:trPr>
        <w:tc>
          <w:tcPr>
            <w:tcW w:w="4050" w:type="dxa"/>
            <w:tcBorders>
              <w:top w:val="single" w:sz="4" w:space="0" w:color="000000"/>
              <w:left w:val="nil"/>
              <w:bottom w:val="double" w:sz="4" w:space="0" w:color="000000"/>
              <w:right w:val="nil"/>
            </w:tcBorders>
            <w:shd w:val="clear" w:color="000000" w:fill="FFFFFF"/>
            <w:noWrap/>
            <w:vAlign w:val="bottom"/>
            <w:hideMark/>
          </w:tcPr>
          <w:p w14:paraId="3F54EECA" w14:textId="77777777" w:rsidR="002A66B3" w:rsidRPr="00F51774" w:rsidRDefault="002A66B3" w:rsidP="002A66B3">
            <w:pPr>
              <w:rPr>
                <w:rFonts w:cstheme="minorHAnsi"/>
                <w:b/>
                <w:bCs/>
                <w:color w:val="000000"/>
              </w:rPr>
            </w:pPr>
            <w:r w:rsidRPr="00F51774">
              <w:rPr>
                <w:rFonts w:cstheme="minorHAnsi"/>
                <w:b/>
                <w:bCs/>
                <w:color w:val="000000"/>
              </w:rPr>
              <w:t>Net Position - End of Year</w:t>
            </w:r>
          </w:p>
        </w:tc>
        <w:tc>
          <w:tcPr>
            <w:tcW w:w="1170" w:type="dxa"/>
            <w:tcBorders>
              <w:top w:val="single" w:sz="4" w:space="0" w:color="000000"/>
              <w:left w:val="nil"/>
              <w:bottom w:val="double" w:sz="4" w:space="0" w:color="000000"/>
              <w:right w:val="nil"/>
            </w:tcBorders>
            <w:shd w:val="clear" w:color="000000" w:fill="FFFFFF"/>
            <w:noWrap/>
            <w:vAlign w:val="bottom"/>
            <w:hideMark/>
          </w:tcPr>
          <w:p w14:paraId="38599539" w14:textId="77777777" w:rsidR="002A66B3" w:rsidRPr="00F51774" w:rsidRDefault="002A66B3" w:rsidP="002A66B3">
            <w:pPr>
              <w:jc w:val="right"/>
              <w:rPr>
                <w:rFonts w:cstheme="minorHAnsi"/>
              </w:rPr>
            </w:pPr>
            <w:r w:rsidRPr="00F51774">
              <w:rPr>
                <w:rFonts w:cstheme="minorHAnsi"/>
              </w:rPr>
              <w:t>$ 231,321</w:t>
            </w:r>
          </w:p>
        </w:tc>
        <w:tc>
          <w:tcPr>
            <w:tcW w:w="1260" w:type="dxa"/>
            <w:tcBorders>
              <w:top w:val="single" w:sz="4" w:space="0" w:color="000000"/>
              <w:left w:val="nil"/>
              <w:bottom w:val="double" w:sz="4" w:space="0" w:color="000000"/>
              <w:right w:val="nil"/>
            </w:tcBorders>
            <w:shd w:val="clear" w:color="000000" w:fill="FFFFFF"/>
            <w:noWrap/>
            <w:vAlign w:val="bottom"/>
            <w:hideMark/>
          </w:tcPr>
          <w:p w14:paraId="5FBE7D61" w14:textId="77777777" w:rsidR="002A66B3" w:rsidRPr="00F51774" w:rsidRDefault="002A66B3" w:rsidP="002A66B3">
            <w:pPr>
              <w:jc w:val="right"/>
              <w:rPr>
                <w:rFonts w:cstheme="minorHAnsi"/>
              </w:rPr>
            </w:pPr>
            <w:r w:rsidRPr="00F51774">
              <w:rPr>
                <w:rFonts w:cstheme="minorHAnsi"/>
              </w:rPr>
              <w:t>$ 10,351</w:t>
            </w:r>
          </w:p>
        </w:tc>
        <w:tc>
          <w:tcPr>
            <w:tcW w:w="1068" w:type="dxa"/>
            <w:tcBorders>
              <w:top w:val="single" w:sz="4" w:space="0" w:color="000000"/>
              <w:left w:val="nil"/>
              <w:bottom w:val="double" w:sz="4" w:space="0" w:color="000000"/>
              <w:right w:val="single" w:sz="8" w:space="0" w:color="000000"/>
            </w:tcBorders>
            <w:shd w:val="clear" w:color="000000" w:fill="FFFFFF"/>
            <w:noWrap/>
            <w:vAlign w:val="bottom"/>
            <w:hideMark/>
          </w:tcPr>
          <w:p w14:paraId="29DCCBA1" w14:textId="6DDDF520" w:rsidR="002A66B3" w:rsidRPr="00F51774" w:rsidRDefault="002A66B3" w:rsidP="002A66B3">
            <w:pPr>
              <w:jc w:val="right"/>
              <w:rPr>
                <w:rFonts w:cstheme="minorHAnsi"/>
              </w:rPr>
            </w:pPr>
            <w:r w:rsidRPr="00F51774">
              <w:rPr>
                <w:rFonts w:cstheme="minorHAnsi"/>
              </w:rPr>
              <w:t>$   2,384</w:t>
            </w:r>
          </w:p>
        </w:tc>
        <w:tc>
          <w:tcPr>
            <w:tcW w:w="1119" w:type="dxa"/>
            <w:tcBorders>
              <w:top w:val="single" w:sz="4" w:space="0" w:color="000000"/>
              <w:left w:val="nil"/>
              <w:bottom w:val="double" w:sz="4" w:space="0" w:color="000000"/>
              <w:right w:val="nil"/>
            </w:tcBorders>
            <w:shd w:val="clear" w:color="000000" w:fill="FFFFFF"/>
            <w:noWrap/>
            <w:vAlign w:val="bottom"/>
            <w:hideMark/>
          </w:tcPr>
          <w:p w14:paraId="167CADB7" w14:textId="77777777" w:rsidR="002A66B3" w:rsidRPr="00F51774" w:rsidRDefault="002A66B3" w:rsidP="002A66B3">
            <w:pPr>
              <w:jc w:val="right"/>
              <w:rPr>
                <w:rFonts w:cstheme="minorHAnsi"/>
              </w:rPr>
            </w:pPr>
            <w:r w:rsidRPr="00F51774">
              <w:rPr>
                <w:rFonts w:cstheme="minorHAnsi"/>
              </w:rPr>
              <w:t xml:space="preserve">$ 213,584 </w:t>
            </w:r>
          </w:p>
        </w:tc>
        <w:tc>
          <w:tcPr>
            <w:tcW w:w="1256" w:type="dxa"/>
            <w:tcBorders>
              <w:top w:val="single" w:sz="4" w:space="0" w:color="000000"/>
              <w:left w:val="nil"/>
              <w:bottom w:val="double" w:sz="4" w:space="0" w:color="000000"/>
              <w:right w:val="nil"/>
            </w:tcBorders>
            <w:shd w:val="clear" w:color="000000" w:fill="FFFFFF"/>
            <w:noWrap/>
            <w:vAlign w:val="bottom"/>
            <w:hideMark/>
          </w:tcPr>
          <w:p w14:paraId="4821113C" w14:textId="77777777" w:rsidR="002A66B3" w:rsidRPr="00F51774" w:rsidRDefault="002A66B3" w:rsidP="002A66B3">
            <w:pPr>
              <w:jc w:val="right"/>
              <w:rPr>
                <w:rFonts w:cstheme="minorHAnsi"/>
              </w:rPr>
            </w:pPr>
            <w:r w:rsidRPr="00F51774">
              <w:rPr>
                <w:rFonts w:cstheme="minorHAnsi"/>
              </w:rPr>
              <w:t xml:space="preserve">$        9,586 </w:t>
            </w:r>
          </w:p>
        </w:tc>
        <w:tc>
          <w:tcPr>
            <w:tcW w:w="1147" w:type="dxa"/>
            <w:tcBorders>
              <w:top w:val="single" w:sz="4" w:space="0" w:color="000000"/>
              <w:left w:val="nil"/>
              <w:bottom w:val="double" w:sz="4" w:space="0" w:color="000000"/>
            </w:tcBorders>
            <w:shd w:val="clear" w:color="000000" w:fill="FFFFFF"/>
            <w:noWrap/>
            <w:vAlign w:val="bottom"/>
            <w:hideMark/>
          </w:tcPr>
          <w:p w14:paraId="379EF6C6" w14:textId="7A0DFFFE" w:rsidR="002A66B3" w:rsidRPr="00F51774" w:rsidRDefault="002A66B3" w:rsidP="002A66B3">
            <w:pPr>
              <w:jc w:val="right"/>
              <w:rPr>
                <w:rFonts w:cstheme="minorHAnsi"/>
              </w:rPr>
            </w:pPr>
            <w:r w:rsidRPr="00F51774">
              <w:rPr>
                <w:rFonts w:cstheme="minorHAnsi"/>
              </w:rPr>
              <w:t xml:space="preserve">$   2,481 </w:t>
            </w:r>
          </w:p>
        </w:tc>
      </w:tr>
    </w:tbl>
    <w:p w14:paraId="5BD60215" w14:textId="77777777" w:rsidR="002A66B3" w:rsidRPr="002A66B3" w:rsidRDefault="002A66B3" w:rsidP="00F51774">
      <w:pPr>
        <w:spacing w:before="120"/>
        <w:jc w:val="center"/>
        <w:rPr>
          <w:rFonts w:cstheme="minorHAnsi"/>
          <w:sz w:val="20"/>
        </w:rPr>
      </w:pPr>
      <w:r w:rsidRPr="002A66B3">
        <w:rPr>
          <w:rFonts w:cstheme="minorHAnsi"/>
          <w:sz w:val="20"/>
        </w:rPr>
        <w:t>See accompanying notes to the basic financial statements.</w:t>
      </w:r>
    </w:p>
    <w:p w14:paraId="616496C8" w14:textId="77777777" w:rsidR="001B6918" w:rsidRDefault="001B6918" w:rsidP="002A66B3">
      <w:pPr>
        <w:pStyle w:val="NormalWeb"/>
        <w:shd w:val="clear" w:color="auto" w:fill="FFFFFF"/>
        <w:spacing w:before="0" w:beforeAutospacing="0" w:after="0" w:afterAutospacing="0" w:line="259" w:lineRule="auto"/>
        <w:rPr>
          <w:rFonts w:asciiTheme="minorHAnsi" w:hAnsiTheme="minorHAnsi" w:cstheme="minorHAnsi"/>
        </w:rPr>
        <w:sectPr w:rsidR="001B6918" w:rsidSect="00DC059D">
          <w:headerReference w:type="default" r:id="rId39"/>
          <w:type w:val="continuous"/>
          <w:pgSz w:w="12240" w:h="15840"/>
          <w:pgMar w:top="634" w:right="965" w:bottom="1123" w:left="965" w:header="720" w:footer="720" w:gutter="0"/>
          <w:cols w:space="720"/>
          <w:docGrid w:linePitch="299"/>
        </w:sectPr>
      </w:pPr>
    </w:p>
    <w:p w14:paraId="66BC660F" w14:textId="77777777" w:rsidR="001B6918" w:rsidRPr="004E6649" w:rsidRDefault="001B6918" w:rsidP="001B6918">
      <w:pPr>
        <w:rPr>
          <w:rFonts w:cstheme="minorHAnsi"/>
          <w:b/>
          <w:i/>
          <w:smallCaps/>
          <w:sz w:val="24"/>
          <w:szCs w:val="24"/>
        </w:rPr>
      </w:pPr>
      <w:r w:rsidRPr="004E6649">
        <w:rPr>
          <w:rFonts w:cstheme="minorHAnsi"/>
          <w:b/>
          <w:i/>
          <w:smallCaps/>
          <w:sz w:val="24"/>
          <w:szCs w:val="24"/>
        </w:rPr>
        <w:lastRenderedPageBreak/>
        <w:t>UNIVERSITY OF MAINE SYSTEM</w:t>
      </w:r>
    </w:p>
    <w:p w14:paraId="64A429FC" w14:textId="77777777" w:rsidR="001B6918" w:rsidRPr="004E6649" w:rsidRDefault="001B6918" w:rsidP="001B6918">
      <w:pPr>
        <w:pStyle w:val="AFR1"/>
        <w:pBdr>
          <w:bottom w:val="none" w:sz="0" w:space="0" w:color="auto"/>
        </w:pBdr>
        <w:spacing w:after="0"/>
        <w:rPr>
          <w:rFonts w:asciiTheme="minorHAnsi" w:hAnsiTheme="minorHAnsi" w:cstheme="minorHAnsi"/>
          <w:smallCaps/>
          <w:sz w:val="24"/>
          <w:szCs w:val="32"/>
        </w:rPr>
      </w:pPr>
      <w:bookmarkStart w:id="13" w:name="Notes"/>
      <w:r w:rsidRPr="004E6649">
        <w:rPr>
          <w:rFonts w:asciiTheme="minorHAnsi" w:hAnsiTheme="minorHAnsi" w:cstheme="minorHAnsi"/>
          <w:caps w:val="0"/>
          <w:smallCaps/>
          <w:sz w:val="24"/>
          <w:szCs w:val="32"/>
        </w:rPr>
        <w:t>NOTES TO FINANCIAL STATEMENTS</w:t>
      </w:r>
    </w:p>
    <w:bookmarkEnd w:id="13"/>
    <w:p w14:paraId="08EB8EE7" w14:textId="77777777" w:rsidR="001B6918" w:rsidRPr="00BB3273" w:rsidRDefault="001B6918" w:rsidP="001B6918">
      <w:pPr>
        <w:pStyle w:val="AFR1"/>
        <w:pBdr>
          <w:bottom w:val="single" w:sz="18" w:space="1" w:color="000000" w:themeColor="text1"/>
        </w:pBdr>
        <w:rPr>
          <w:rFonts w:asciiTheme="minorHAnsi" w:hAnsiTheme="minorHAnsi" w:cstheme="minorHAnsi"/>
          <w:caps w:val="0"/>
          <w:smallCaps/>
          <w:sz w:val="24"/>
          <w:szCs w:val="24"/>
        </w:rPr>
      </w:pPr>
      <w:r w:rsidRPr="004E6649">
        <w:rPr>
          <w:rFonts w:asciiTheme="minorHAnsi" w:hAnsiTheme="minorHAnsi" w:cstheme="minorHAnsi"/>
          <w:caps w:val="0"/>
          <w:smallCaps/>
          <w:sz w:val="24"/>
          <w:szCs w:val="24"/>
        </w:rPr>
        <w:t>YEARS ENDED JUNE 30, 202</w:t>
      </w:r>
      <w:r>
        <w:rPr>
          <w:rFonts w:asciiTheme="minorHAnsi" w:hAnsiTheme="minorHAnsi" w:cstheme="minorHAnsi"/>
          <w:caps w:val="0"/>
          <w:smallCaps/>
          <w:sz w:val="24"/>
          <w:szCs w:val="24"/>
        </w:rPr>
        <w:t>5</w:t>
      </w:r>
      <w:r w:rsidRPr="004E6649">
        <w:rPr>
          <w:rFonts w:asciiTheme="minorHAnsi" w:hAnsiTheme="minorHAnsi" w:cstheme="minorHAnsi"/>
          <w:caps w:val="0"/>
          <w:smallCaps/>
          <w:sz w:val="24"/>
          <w:szCs w:val="24"/>
        </w:rPr>
        <w:t xml:space="preserve"> AND 202</w:t>
      </w:r>
      <w:r>
        <w:rPr>
          <w:rFonts w:asciiTheme="minorHAnsi" w:hAnsiTheme="minorHAnsi" w:cstheme="minorHAnsi"/>
          <w:caps w:val="0"/>
          <w:smallCaps/>
          <w:sz w:val="24"/>
          <w:szCs w:val="24"/>
        </w:rPr>
        <w:t>4</w:t>
      </w:r>
      <w:r w:rsidRPr="00BB3273">
        <w:rPr>
          <w:rFonts w:asciiTheme="minorHAnsi" w:hAnsiTheme="minorHAnsi" w:cstheme="minorHAnsi"/>
          <w:caps w:val="0"/>
          <w:smallCaps/>
          <w:sz w:val="24"/>
          <w:szCs w:val="24"/>
        </w:rPr>
        <w:t xml:space="preserve"> (IN THOUSANDS)</w:t>
      </w:r>
    </w:p>
    <w:p w14:paraId="4FD5EC0A" w14:textId="77777777" w:rsidR="001B6918" w:rsidRPr="00643226" w:rsidRDefault="001B6918" w:rsidP="001B6918">
      <w:pPr>
        <w:pStyle w:val="AFR2"/>
        <w:pBdr>
          <w:bottom w:val="single" w:sz="8" w:space="1" w:color="0D0D0D" w:themeColor="text1" w:themeTint="F2"/>
        </w:pBdr>
        <w:rPr>
          <w:rFonts w:cstheme="minorHAnsi"/>
          <w:sz w:val="26"/>
          <w:szCs w:val="26"/>
        </w:rPr>
      </w:pPr>
      <w:r w:rsidRPr="00643226">
        <w:rPr>
          <w:rFonts w:cstheme="minorHAnsi"/>
          <w:sz w:val="26"/>
          <w:szCs w:val="26"/>
        </w:rPr>
        <w:t>1. SIGNIFICANT ACCOUNTING POLICIES</w:t>
      </w:r>
    </w:p>
    <w:p w14:paraId="5CCD1758" w14:textId="77777777" w:rsidR="001B6918" w:rsidRPr="00A02D27" w:rsidRDefault="001B6918" w:rsidP="001B6918">
      <w:pPr>
        <w:pStyle w:val="AFR3"/>
        <w:spacing w:after="0"/>
        <w:rPr>
          <w:rFonts w:cstheme="minorHAnsi"/>
          <w:sz w:val="24"/>
          <w:szCs w:val="24"/>
        </w:rPr>
      </w:pPr>
      <w:r w:rsidRPr="00A02D27">
        <w:rPr>
          <w:rFonts w:cstheme="minorHAnsi"/>
          <w:sz w:val="24"/>
          <w:szCs w:val="24"/>
        </w:rPr>
        <w:t>a. Organization</w:t>
      </w:r>
    </w:p>
    <w:p w14:paraId="43057165" w14:textId="77777777" w:rsidR="001B6918" w:rsidRPr="004E6649" w:rsidRDefault="001B6918" w:rsidP="001B6918">
      <w:pPr>
        <w:tabs>
          <w:tab w:val="left" w:pos="5040"/>
        </w:tabs>
        <w:suppressAutoHyphens/>
        <w:rPr>
          <w:rFonts w:eastAsia="Times New Roman" w:cstheme="minorHAnsi"/>
          <w:bCs/>
          <w:sz w:val="24"/>
          <w:szCs w:val="20"/>
        </w:rPr>
      </w:pPr>
      <w:r w:rsidRPr="004E6649">
        <w:rPr>
          <w:rFonts w:eastAsia="Times New Roman" w:cstheme="minorHAnsi"/>
          <w:bCs/>
          <w:sz w:val="24"/>
          <w:szCs w:val="20"/>
        </w:rPr>
        <w:t>The University of Maine System ("the System"), a discretely presented component unit of the State of Maine, consists of seven universities, eight centers, and a central administrative office. All activities of the System are included in the accompanying financial statements, including those of its discretely presented component unit, the University of Maine Foundation, which is a not-for-profit entity controlled by a separate governing board whose goal is to support the System (see Note 1</w:t>
      </w:r>
      <w:r>
        <w:rPr>
          <w:rFonts w:eastAsia="Times New Roman" w:cstheme="minorHAnsi"/>
          <w:bCs/>
          <w:sz w:val="24"/>
          <w:szCs w:val="20"/>
        </w:rPr>
        <w:t>7</w:t>
      </w:r>
      <w:r w:rsidRPr="004E6649">
        <w:rPr>
          <w:rFonts w:eastAsia="Times New Roman" w:cstheme="minorHAnsi"/>
          <w:bCs/>
          <w:sz w:val="24"/>
          <w:szCs w:val="20"/>
        </w:rPr>
        <w:t>). The component unit receives funds primarily through donations and contributes funds to the System for student scholarships, institutional support and capital construction support.</w:t>
      </w:r>
    </w:p>
    <w:p w14:paraId="42DC1525" w14:textId="77777777" w:rsidR="001B6918" w:rsidRPr="00A02D27" w:rsidRDefault="001B6918" w:rsidP="001B6918">
      <w:pPr>
        <w:pStyle w:val="AFR3"/>
        <w:spacing w:after="0"/>
        <w:rPr>
          <w:rFonts w:cstheme="minorHAnsi"/>
          <w:sz w:val="24"/>
          <w:szCs w:val="24"/>
        </w:rPr>
      </w:pPr>
      <w:r w:rsidRPr="00A02D27">
        <w:rPr>
          <w:rFonts w:cstheme="minorHAnsi"/>
          <w:sz w:val="24"/>
          <w:szCs w:val="24"/>
        </w:rPr>
        <w:t>b. Basis of Presentation</w:t>
      </w:r>
    </w:p>
    <w:p w14:paraId="10240409" w14:textId="77777777" w:rsidR="001B6918" w:rsidRPr="004E6649" w:rsidRDefault="001B6918" w:rsidP="001B6918">
      <w:pPr>
        <w:tabs>
          <w:tab w:val="left" w:pos="0"/>
          <w:tab w:val="left" w:pos="5040"/>
        </w:tabs>
        <w:suppressAutoHyphens/>
        <w:rPr>
          <w:rFonts w:cstheme="minorHAnsi"/>
          <w:bCs/>
          <w:sz w:val="24"/>
        </w:rPr>
      </w:pPr>
      <w:r w:rsidRPr="004E6649">
        <w:rPr>
          <w:rFonts w:cstheme="minorHAnsi"/>
          <w:spacing w:val="-3"/>
          <w:sz w:val="24"/>
        </w:rPr>
        <w:t>The accompanying financial statements of the System have been prepared using the economic resources measurement focus and the accrual basis of accounting in accordance with U.S. generally accepted accounting principles (</w:t>
      </w:r>
      <w:r w:rsidRPr="004E6649">
        <w:rPr>
          <w:rFonts w:cstheme="minorHAnsi"/>
          <w:sz w:val="24"/>
        </w:rPr>
        <w:t>GAAP)</w:t>
      </w:r>
      <w:r w:rsidRPr="004E6649">
        <w:rPr>
          <w:rFonts w:cstheme="minorHAnsi"/>
          <w:spacing w:val="-3"/>
          <w:sz w:val="24"/>
        </w:rPr>
        <w:t>, as prescribed by the Governmental Accounting Standards Board (GASB).</w:t>
      </w:r>
    </w:p>
    <w:p w14:paraId="50BB8DB5" w14:textId="77777777" w:rsidR="001B6918" w:rsidRPr="004E6649" w:rsidRDefault="001B6918" w:rsidP="001B6918">
      <w:pPr>
        <w:tabs>
          <w:tab w:val="left" w:pos="0"/>
        </w:tabs>
        <w:rPr>
          <w:rFonts w:eastAsia="Times New Roman" w:cstheme="minorHAnsi"/>
          <w:bCs/>
          <w:sz w:val="20"/>
          <w:szCs w:val="20"/>
        </w:rPr>
      </w:pPr>
    </w:p>
    <w:p w14:paraId="46383AAF" w14:textId="3012D578" w:rsidR="001B6918" w:rsidRPr="00BB6E99" w:rsidRDefault="001B6918" w:rsidP="001B6918">
      <w:pPr>
        <w:spacing w:after="160"/>
        <w:rPr>
          <w:rFonts w:eastAsia="Times New Roman" w:cstheme="minorHAnsi"/>
          <w:bCs/>
          <w:sz w:val="24"/>
          <w:szCs w:val="24"/>
        </w:rPr>
      </w:pPr>
      <w:r w:rsidRPr="00BB6E99">
        <w:rPr>
          <w:rFonts w:eastAsia="Times New Roman" w:cstheme="minorHAnsi"/>
          <w:bCs/>
          <w:sz w:val="24"/>
          <w:szCs w:val="24"/>
        </w:rPr>
        <w:t xml:space="preserve">Under the System’s policy, operating activities in the Statements of Revenues, Expenses, and Changes in Net Position are those that generally result from exchange transactions such as payments received for services and payments made for the purchase of goods and services and certain grants. Certain other transactions are reported as nonoperating activities in accordance with GASB Statement No. 35, </w:t>
      </w:r>
      <w:r w:rsidRPr="00BB6E99">
        <w:rPr>
          <w:rFonts w:eastAsia="Times New Roman" w:cstheme="minorHAnsi"/>
          <w:bCs/>
          <w:i/>
          <w:sz w:val="24"/>
          <w:szCs w:val="24"/>
        </w:rPr>
        <w:t>Basic Financial Statements – and Management’s Discussion and Analysis – for Public Colleges and Universities.</w:t>
      </w:r>
      <w:r w:rsidRPr="00BB6E99">
        <w:rPr>
          <w:rFonts w:eastAsia="Times New Roman" w:cstheme="minorHAnsi"/>
          <w:bCs/>
          <w:sz w:val="24"/>
          <w:szCs w:val="24"/>
        </w:rPr>
        <w:t xml:space="preserve"> These nonoperating activities include the System’s noncapital appropriations from the State of Maine, federal </w:t>
      </w:r>
      <w:r w:rsidR="00F50F46">
        <w:rPr>
          <w:rFonts w:eastAsia="Times New Roman" w:cstheme="minorHAnsi"/>
          <w:bCs/>
          <w:sz w:val="24"/>
          <w:szCs w:val="24"/>
        </w:rPr>
        <w:t>P</w:t>
      </w:r>
      <w:r w:rsidRPr="00BB6E99">
        <w:rPr>
          <w:rFonts w:eastAsia="Times New Roman" w:cstheme="minorHAnsi"/>
          <w:bCs/>
          <w:sz w:val="24"/>
          <w:szCs w:val="24"/>
        </w:rPr>
        <w:t>ell grants, coronavirus relief funding, gifts currently expendable, endowment return used for operations, net investment income, income from public-private partnerships and interest expense.</w:t>
      </w:r>
    </w:p>
    <w:p w14:paraId="763034EC" w14:textId="77777777" w:rsidR="001B6918" w:rsidRPr="00BB6E99" w:rsidRDefault="001B6918" w:rsidP="001B6918">
      <w:pPr>
        <w:tabs>
          <w:tab w:val="left" w:pos="0"/>
        </w:tabs>
        <w:rPr>
          <w:rFonts w:eastAsia="Times New Roman" w:cstheme="minorHAnsi"/>
          <w:bCs/>
          <w:color w:val="000000" w:themeColor="text1"/>
          <w:sz w:val="24"/>
          <w:szCs w:val="24"/>
        </w:rPr>
      </w:pPr>
      <w:r w:rsidRPr="00BB6E99">
        <w:rPr>
          <w:rFonts w:eastAsia="Times New Roman" w:cstheme="minorHAnsi"/>
          <w:bCs/>
          <w:color w:val="000000" w:themeColor="text1"/>
          <w:sz w:val="24"/>
          <w:szCs w:val="24"/>
        </w:rPr>
        <w:t xml:space="preserve">In FY25, the System adopted GASB Statement No. 101, </w:t>
      </w:r>
      <w:r w:rsidRPr="00BB6E99">
        <w:rPr>
          <w:rFonts w:eastAsia="Times New Roman" w:cstheme="minorHAnsi"/>
          <w:bCs/>
          <w:i/>
          <w:color w:val="000000" w:themeColor="text1"/>
          <w:sz w:val="24"/>
          <w:szCs w:val="24"/>
        </w:rPr>
        <w:t>Compensated Absences</w:t>
      </w:r>
      <w:r w:rsidRPr="00BB6E99">
        <w:rPr>
          <w:rFonts w:eastAsia="Times New Roman" w:cstheme="minorHAnsi"/>
          <w:bCs/>
          <w:color w:val="000000" w:themeColor="text1"/>
          <w:sz w:val="24"/>
          <w:szCs w:val="24"/>
        </w:rPr>
        <w:t xml:space="preserve"> (GASB No. 101). This statement requires that liabilities for compensated absences be recognized for 1) leave that has not been used and 2) leave that has been used but not yet paid in cash or settled through noncash means. GASB No. 101 provides a unified recognition and measurement model for compensated absences that will result in a liability that more appropriately reflects when a government incurs an obligation for the absences.  </w:t>
      </w:r>
    </w:p>
    <w:p w14:paraId="326B2A69" w14:textId="77777777" w:rsidR="001B6918" w:rsidRPr="00BB6E99" w:rsidRDefault="001B6918" w:rsidP="001B6918">
      <w:pPr>
        <w:tabs>
          <w:tab w:val="left" w:pos="0"/>
        </w:tabs>
        <w:rPr>
          <w:rFonts w:eastAsia="Times New Roman" w:cstheme="minorHAnsi"/>
          <w:bCs/>
          <w:color w:val="000000" w:themeColor="text1"/>
          <w:sz w:val="24"/>
          <w:szCs w:val="24"/>
        </w:rPr>
      </w:pPr>
    </w:p>
    <w:p w14:paraId="79695B57" w14:textId="77777777" w:rsidR="00A64558" w:rsidRDefault="001B6918" w:rsidP="001B6918">
      <w:pPr>
        <w:spacing w:after="160"/>
        <w:rPr>
          <w:rFonts w:eastAsia="Times New Roman" w:cstheme="minorHAnsi"/>
          <w:bCs/>
          <w:color w:val="000000" w:themeColor="text1"/>
          <w:sz w:val="24"/>
          <w:szCs w:val="24"/>
        </w:rPr>
        <w:sectPr w:rsidR="00A64558" w:rsidSect="00DC059D">
          <w:headerReference w:type="default" r:id="rId40"/>
          <w:headerReference w:type="first" r:id="rId41"/>
          <w:pgSz w:w="12240" w:h="15840" w:code="1"/>
          <w:pgMar w:top="1440" w:right="1152" w:bottom="1440" w:left="1152" w:header="720" w:footer="720" w:gutter="0"/>
          <w:cols w:space="0"/>
          <w:titlePg/>
          <w:docGrid w:linePitch="360"/>
        </w:sectPr>
      </w:pPr>
      <w:r w:rsidRPr="00BB6E99">
        <w:rPr>
          <w:rFonts w:eastAsia="Times New Roman" w:cstheme="minorHAnsi"/>
          <w:bCs/>
          <w:color w:val="000000" w:themeColor="text1"/>
          <w:sz w:val="24"/>
          <w:szCs w:val="24"/>
        </w:rPr>
        <w:t>The System adopted the provisions of GASB No. 101 retroactive to July 1, 2023 and has restated its FY24 financial statements in accordance with the provisions of GASB No. 101. The adoption of GASB No. 101 is described further in Note 18.</w:t>
      </w:r>
    </w:p>
    <w:p w14:paraId="74E86BDF" w14:textId="77777777" w:rsidR="008C2FDA" w:rsidRDefault="008C2FDA">
      <w:pPr>
        <w:spacing w:after="160" w:line="259" w:lineRule="auto"/>
        <w:rPr>
          <w:rFonts w:eastAsiaTheme="majorEastAsia" w:cstheme="minorHAnsi"/>
          <w:b/>
          <w:i/>
          <w:iCs/>
          <w:smallCaps/>
          <w:noProof/>
          <w:color w:val="000000" w:themeColor="text1"/>
          <w:sz w:val="24"/>
          <w:szCs w:val="24"/>
          <w:u w:color="000000" w:themeColor="text1"/>
        </w:rPr>
      </w:pPr>
      <w:r>
        <w:rPr>
          <w:rFonts w:eastAsiaTheme="majorEastAsia" w:cstheme="minorHAnsi"/>
          <w:iCs/>
          <w:smallCaps/>
          <w:noProof/>
          <w:color w:val="000000" w:themeColor="text1"/>
          <w:sz w:val="24"/>
          <w:szCs w:val="24"/>
        </w:rPr>
        <w:br w:type="page"/>
      </w:r>
    </w:p>
    <w:p w14:paraId="0970D9FA" w14:textId="0A9AEFA6" w:rsidR="001B6918" w:rsidRPr="00042A13" w:rsidRDefault="001B6918" w:rsidP="001B6918">
      <w:pPr>
        <w:pStyle w:val="AFR3"/>
        <w:spacing w:after="240"/>
        <w:rPr>
          <w:rFonts w:cstheme="minorHAnsi"/>
          <w:iCs/>
          <w:sz w:val="24"/>
          <w:szCs w:val="24"/>
          <w:u w:val="none"/>
        </w:rPr>
      </w:pPr>
      <w:r w:rsidRPr="00A02D27" w:rsidDel="00BB7F53">
        <w:rPr>
          <w:rFonts w:eastAsiaTheme="majorEastAsia" w:cstheme="minorHAnsi"/>
          <w:iCs/>
          <w:smallCaps/>
          <w:noProof/>
          <w:color w:val="000000" w:themeColor="text1"/>
          <w:sz w:val="24"/>
          <w:szCs w:val="24"/>
          <w:u w:val="none"/>
        </w:rPr>
        <w:lastRenderedPageBreak/>
        <w:t xml:space="preserve">1. </w:t>
      </w:r>
      <w:r w:rsidRPr="00A02D27">
        <w:rPr>
          <w:rFonts w:eastAsiaTheme="majorEastAsia" w:cstheme="minorHAnsi"/>
          <w:iCs/>
          <w:smallCaps/>
          <w:noProof/>
          <w:color w:val="000000" w:themeColor="text1"/>
          <w:sz w:val="24"/>
          <w:szCs w:val="24"/>
          <w:u w:val="none"/>
        </w:rPr>
        <w:t>SIGNIFICANT ACCOUNTING POLICIES</w:t>
      </w:r>
      <w:r w:rsidRPr="00A02D27" w:rsidDel="00BB7F53">
        <w:rPr>
          <w:rFonts w:eastAsiaTheme="majorEastAsia" w:cstheme="minorHAnsi"/>
          <w:iCs/>
          <w:smallCaps/>
          <w:noProof/>
          <w:color w:val="000000" w:themeColor="text1"/>
          <w:sz w:val="24"/>
          <w:szCs w:val="24"/>
          <w:u w:val="none"/>
        </w:rPr>
        <w:t xml:space="preserve"> - CONTINUED</w:t>
      </w:r>
    </w:p>
    <w:p w14:paraId="496706F0" w14:textId="77777777" w:rsidR="001B6918" w:rsidRPr="00A02D27" w:rsidRDefault="001B6918" w:rsidP="001B6918">
      <w:pPr>
        <w:pStyle w:val="AFR3"/>
        <w:spacing w:after="0"/>
        <w:rPr>
          <w:rFonts w:cstheme="minorHAnsi"/>
          <w:sz w:val="20"/>
          <w:szCs w:val="16"/>
        </w:rPr>
      </w:pPr>
      <w:r w:rsidRPr="00A02D27">
        <w:rPr>
          <w:rFonts w:cstheme="minorHAnsi"/>
          <w:sz w:val="24"/>
          <w:szCs w:val="24"/>
        </w:rPr>
        <w:t>c. Fiduciary Funds</w:t>
      </w:r>
    </w:p>
    <w:p w14:paraId="10820B18" w14:textId="77777777" w:rsidR="001B6918" w:rsidRPr="004E6649" w:rsidRDefault="001B6918" w:rsidP="001B6918">
      <w:pPr>
        <w:rPr>
          <w:rFonts w:cstheme="minorHAnsi"/>
          <w:sz w:val="24"/>
          <w:szCs w:val="24"/>
        </w:rPr>
      </w:pPr>
      <w:r w:rsidRPr="004E6649">
        <w:rPr>
          <w:rFonts w:cstheme="minorHAnsi"/>
          <w:sz w:val="24"/>
          <w:szCs w:val="24"/>
        </w:rPr>
        <w:t xml:space="preserve">The System holds these funds on behalf of other entities as a trustee or fiduciary. The System is responsible for ensuring such assets are used only for their intended purposes and by those to whom the assets belong. </w:t>
      </w:r>
    </w:p>
    <w:p w14:paraId="67F04C64" w14:textId="77777777" w:rsidR="001B6918" w:rsidRPr="004E6649" w:rsidRDefault="001B6918" w:rsidP="001B6918">
      <w:pPr>
        <w:tabs>
          <w:tab w:val="left" w:pos="0"/>
        </w:tabs>
        <w:rPr>
          <w:rFonts w:eastAsia="Times New Roman" w:cstheme="minorHAnsi"/>
          <w:bCs/>
          <w:sz w:val="20"/>
          <w:szCs w:val="20"/>
        </w:rPr>
      </w:pPr>
    </w:p>
    <w:p w14:paraId="08AF8CC5" w14:textId="77777777" w:rsidR="001B6918" w:rsidRPr="004E6649" w:rsidRDefault="001B6918" w:rsidP="001B6918">
      <w:pPr>
        <w:spacing w:after="120"/>
        <w:rPr>
          <w:rFonts w:cstheme="minorHAnsi"/>
          <w:sz w:val="24"/>
          <w:szCs w:val="24"/>
        </w:rPr>
      </w:pPr>
      <w:r w:rsidRPr="004E6649">
        <w:rPr>
          <w:rFonts w:cstheme="minorHAnsi"/>
          <w:sz w:val="24"/>
          <w:szCs w:val="24"/>
        </w:rPr>
        <w:t>The System reports its fiduciary funds in the following financial statements that accompany these notes.</w:t>
      </w:r>
    </w:p>
    <w:p w14:paraId="51B81F62" w14:textId="77777777" w:rsidR="001B6918" w:rsidRPr="004E6649" w:rsidRDefault="001B6918" w:rsidP="001B6918">
      <w:pPr>
        <w:spacing w:after="120"/>
        <w:ind w:left="360"/>
        <w:rPr>
          <w:rFonts w:cstheme="minorHAnsi"/>
          <w:sz w:val="24"/>
          <w:szCs w:val="24"/>
        </w:rPr>
      </w:pPr>
      <w:r w:rsidRPr="004E6649">
        <w:rPr>
          <w:rFonts w:cstheme="minorHAnsi"/>
          <w:b/>
          <w:sz w:val="24"/>
          <w:szCs w:val="24"/>
        </w:rPr>
        <w:t>Statements of Fiduciary Net Position</w:t>
      </w:r>
      <w:r w:rsidRPr="004E6649">
        <w:rPr>
          <w:rFonts w:cstheme="minorHAnsi"/>
          <w:sz w:val="24"/>
          <w:szCs w:val="24"/>
        </w:rPr>
        <w:t xml:space="preserve"> – Presents the assets held by the System in a fiduciary capacity as of June 30 along with the related liabilities and net position.</w:t>
      </w:r>
    </w:p>
    <w:p w14:paraId="1F98C6D3" w14:textId="77777777" w:rsidR="001B6918" w:rsidRDefault="001B6918" w:rsidP="001B6918">
      <w:pPr>
        <w:ind w:left="360"/>
        <w:rPr>
          <w:rFonts w:cstheme="minorHAnsi"/>
          <w:sz w:val="24"/>
          <w:szCs w:val="24"/>
        </w:rPr>
      </w:pPr>
      <w:r w:rsidRPr="004E6649">
        <w:rPr>
          <w:rFonts w:cstheme="minorHAnsi"/>
          <w:b/>
          <w:sz w:val="24"/>
          <w:szCs w:val="24"/>
        </w:rPr>
        <w:t>Statements of Changes in Fiduciary Net Position</w:t>
      </w:r>
      <w:r w:rsidRPr="004E6649">
        <w:rPr>
          <w:rFonts w:cstheme="minorHAnsi"/>
          <w:sz w:val="24"/>
          <w:szCs w:val="24"/>
        </w:rPr>
        <w:t xml:space="preserve"> – Presents the components of the fiscal year change in net position of the fiduciary funds.</w:t>
      </w:r>
    </w:p>
    <w:p w14:paraId="3345FD80" w14:textId="77777777" w:rsidR="00A159FD" w:rsidRPr="00F51774" w:rsidRDefault="00A159FD" w:rsidP="00F51774">
      <w:pPr>
        <w:rPr>
          <w:rFonts w:cstheme="minorHAnsi"/>
          <w:sz w:val="16"/>
          <w:szCs w:val="16"/>
        </w:rPr>
      </w:pPr>
    </w:p>
    <w:p w14:paraId="4310466C" w14:textId="58FB1448" w:rsidR="001B6918" w:rsidRPr="004E6649" w:rsidRDefault="001B6918" w:rsidP="001B6918">
      <w:pPr>
        <w:spacing w:after="120"/>
        <w:rPr>
          <w:rFonts w:cstheme="minorHAnsi"/>
          <w:sz w:val="24"/>
          <w:szCs w:val="24"/>
        </w:rPr>
      </w:pPr>
      <w:r w:rsidRPr="004E6649">
        <w:rPr>
          <w:rFonts w:cstheme="minorHAnsi"/>
          <w:sz w:val="24"/>
          <w:szCs w:val="24"/>
        </w:rPr>
        <w:t>The System’s fiduciary financial statements include the following types of fiduciary funds:</w:t>
      </w:r>
    </w:p>
    <w:p w14:paraId="626A78CC" w14:textId="77777777" w:rsidR="001B6918" w:rsidRPr="004E6649" w:rsidRDefault="001B6918" w:rsidP="001B6918">
      <w:pPr>
        <w:spacing w:after="120"/>
        <w:ind w:left="360"/>
        <w:rPr>
          <w:rFonts w:cstheme="minorHAnsi"/>
          <w:sz w:val="24"/>
          <w:szCs w:val="24"/>
        </w:rPr>
      </w:pPr>
      <w:r w:rsidRPr="004E6649">
        <w:rPr>
          <w:rFonts w:cstheme="minorHAnsi"/>
          <w:b/>
          <w:sz w:val="24"/>
          <w:szCs w:val="24"/>
        </w:rPr>
        <w:t>Pension and Other Employee Benefit Trusts</w:t>
      </w:r>
      <w:r w:rsidRPr="004E6649">
        <w:rPr>
          <w:rFonts w:cstheme="minorHAnsi"/>
          <w:sz w:val="24"/>
          <w:szCs w:val="24"/>
        </w:rPr>
        <w:t xml:space="preserve"> – The respective Trust includes assets of the System’s Defined Benefit Pension Plan for classified employees and its OPEB health plan.</w:t>
      </w:r>
    </w:p>
    <w:p w14:paraId="29A9029A" w14:textId="77777777" w:rsidR="001B6918" w:rsidRPr="004E6649" w:rsidRDefault="001B6918" w:rsidP="001B6918">
      <w:pPr>
        <w:spacing w:after="120"/>
        <w:ind w:left="360"/>
        <w:rPr>
          <w:rFonts w:cstheme="minorHAnsi"/>
          <w:sz w:val="24"/>
          <w:szCs w:val="24"/>
        </w:rPr>
      </w:pPr>
      <w:r w:rsidRPr="004E6649">
        <w:rPr>
          <w:rFonts w:cstheme="minorHAnsi"/>
          <w:b/>
          <w:sz w:val="24"/>
          <w:szCs w:val="24"/>
        </w:rPr>
        <w:t xml:space="preserve">External Investment Pools </w:t>
      </w:r>
      <w:r w:rsidRPr="004E6649">
        <w:rPr>
          <w:rFonts w:cstheme="minorHAnsi"/>
          <w:sz w:val="24"/>
          <w:szCs w:val="24"/>
        </w:rPr>
        <w:t>– These are a type of custodial fund and represent amounts invested by external parties in the System’s managed investment and endowment pools.</w:t>
      </w:r>
    </w:p>
    <w:p w14:paraId="53D59547" w14:textId="77777777" w:rsidR="001B6918" w:rsidRPr="004E6649" w:rsidRDefault="001B6918" w:rsidP="001B6918">
      <w:pPr>
        <w:ind w:left="360"/>
        <w:rPr>
          <w:rFonts w:cstheme="minorHAnsi"/>
        </w:rPr>
      </w:pPr>
      <w:r w:rsidRPr="004E6649">
        <w:rPr>
          <w:rFonts w:cstheme="minorHAnsi"/>
          <w:b/>
          <w:sz w:val="24"/>
          <w:szCs w:val="24"/>
        </w:rPr>
        <w:t xml:space="preserve">Other Custodial Funds </w:t>
      </w:r>
      <w:r w:rsidRPr="004E6649">
        <w:rPr>
          <w:rFonts w:cstheme="minorHAnsi"/>
          <w:sz w:val="24"/>
          <w:szCs w:val="24"/>
        </w:rPr>
        <w:t>– These custodial funds are held on behalf of various student government groups.</w:t>
      </w:r>
    </w:p>
    <w:p w14:paraId="43CC9BA3" w14:textId="77777777" w:rsidR="001B6918" w:rsidRPr="00A02D27" w:rsidRDefault="001B6918" w:rsidP="001B6918">
      <w:pPr>
        <w:pStyle w:val="AFR3"/>
        <w:spacing w:after="0"/>
        <w:rPr>
          <w:rFonts w:cstheme="minorHAnsi"/>
          <w:sz w:val="24"/>
          <w:szCs w:val="20"/>
        </w:rPr>
      </w:pPr>
      <w:r w:rsidRPr="00A02D27">
        <w:rPr>
          <w:rFonts w:cstheme="minorHAnsi"/>
          <w:sz w:val="24"/>
          <w:szCs w:val="20"/>
        </w:rPr>
        <w:t>d. Net Position</w:t>
      </w:r>
    </w:p>
    <w:p w14:paraId="1B7B83B3" w14:textId="77777777" w:rsidR="001B6918" w:rsidRPr="004E6649" w:rsidRDefault="001B6918" w:rsidP="001B6918">
      <w:pPr>
        <w:spacing w:after="160"/>
        <w:rPr>
          <w:rFonts w:eastAsia="Times New Roman" w:cstheme="minorHAnsi"/>
          <w:sz w:val="24"/>
          <w:szCs w:val="20"/>
        </w:rPr>
      </w:pPr>
      <w:r w:rsidRPr="004E6649">
        <w:rPr>
          <w:rFonts w:eastAsia="Times New Roman" w:cstheme="minorHAnsi"/>
          <w:sz w:val="24"/>
          <w:szCs w:val="20"/>
        </w:rPr>
        <w:t>The accompanying Statements of Net Position present the System’s net position (assets plus deferred outflows of resources less liabilities and deferred inflows of resources) in the following four categories:</w:t>
      </w:r>
    </w:p>
    <w:p w14:paraId="6C782871" w14:textId="77777777" w:rsidR="001B6918" w:rsidRDefault="001B6918" w:rsidP="001B6918">
      <w:pPr>
        <w:suppressAutoHyphens/>
        <w:spacing w:after="160"/>
        <w:ind w:left="360"/>
        <w:rPr>
          <w:rFonts w:eastAsia="Times New Roman" w:cstheme="minorHAnsi"/>
          <w:sz w:val="24"/>
          <w:szCs w:val="20"/>
        </w:rPr>
      </w:pPr>
      <w:r w:rsidRPr="004E6649">
        <w:rPr>
          <w:rFonts w:eastAsia="Times New Roman" w:cstheme="minorHAnsi"/>
          <w:b/>
          <w:sz w:val="24"/>
          <w:szCs w:val="20"/>
        </w:rPr>
        <w:t>Net investment in capital assets:</w:t>
      </w:r>
      <w:r w:rsidRPr="004E6649">
        <w:rPr>
          <w:rFonts w:eastAsia="Times New Roman" w:cstheme="minorHAnsi"/>
          <w:sz w:val="24"/>
          <w:szCs w:val="20"/>
        </w:rPr>
        <w:t xml:space="preserve"> Capital assets, net of accumulated depreciation and amortizat</w:t>
      </w:r>
      <w:r>
        <w:rPr>
          <w:rFonts w:eastAsia="Times New Roman" w:cstheme="minorHAnsi"/>
          <w:sz w:val="24"/>
          <w:szCs w:val="20"/>
        </w:rPr>
        <w:t>i</w:t>
      </w:r>
      <w:r w:rsidRPr="004E6649">
        <w:rPr>
          <w:rFonts w:eastAsia="Times New Roman" w:cstheme="minorHAnsi"/>
          <w:sz w:val="24"/>
          <w:szCs w:val="20"/>
        </w:rPr>
        <w:t xml:space="preserve">on and outstanding principal balances of debt, leases and SBITAs attributable to the acquisition, construction, repair or improvement of those assets. It also includes the </w:t>
      </w:r>
      <w:r>
        <w:rPr>
          <w:rFonts w:eastAsia="Times New Roman" w:cstheme="minorHAnsi"/>
          <w:sz w:val="24"/>
          <w:szCs w:val="20"/>
        </w:rPr>
        <w:t xml:space="preserve">premiums/ </w:t>
      </w:r>
      <w:r w:rsidRPr="004E6649">
        <w:rPr>
          <w:rFonts w:eastAsia="Times New Roman" w:cstheme="minorHAnsi"/>
          <w:sz w:val="24"/>
          <w:szCs w:val="20"/>
        </w:rPr>
        <w:t>discounts related to the outstanding debt. This category excludes the portion of debt attributable to unspent bond proceeds.</w:t>
      </w:r>
    </w:p>
    <w:p w14:paraId="58B45CA7" w14:textId="77777777" w:rsidR="001B6918" w:rsidRPr="004E6649" w:rsidRDefault="001B6918" w:rsidP="001B6918">
      <w:pPr>
        <w:suppressAutoHyphens/>
        <w:spacing w:after="160"/>
        <w:ind w:left="360"/>
        <w:rPr>
          <w:rFonts w:eastAsia="Times New Roman" w:cstheme="minorHAnsi"/>
          <w:sz w:val="24"/>
          <w:szCs w:val="20"/>
        </w:rPr>
      </w:pPr>
      <w:r w:rsidRPr="004E6649">
        <w:rPr>
          <w:rFonts w:eastAsia="Times New Roman" w:cstheme="minorHAnsi"/>
          <w:b/>
          <w:sz w:val="24"/>
          <w:szCs w:val="20"/>
        </w:rPr>
        <w:t>Restricted – nonexpendable:</w:t>
      </w:r>
      <w:r w:rsidRPr="004E6649">
        <w:rPr>
          <w:rFonts w:eastAsia="Times New Roman" w:cstheme="minorHAnsi"/>
          <w:sz w:val="24"/>
          <w:szCs w:val="20"/>
        </w:rPr>
        <w:t xml:space="preserve"> Net position subject to externally imposed conditions that the System maintain them in perpetuity. </w:t>
      </w:r>
      <w:r w:rsidRPr="004E6649">
        <w:rPr>
          <w:rFonts w:eastAsia="Times New Roman" w:cstheme="minorHAnsi"/>
          <w:bCs/>
          <w:spacing w:val="-3"/>
          <w:sz w:val="24"/>
          <w:szCs w:val="20"/>
        </w:rPr>
        <w:t xml:space="preserve">Such net position includes the historical gift value of restricted true endowment funds. </w:t>
      </w:r>
      <w:r w:rsidRPr="004E6649">
        <w:rPr>
          <w:rFonts w:eastAsia="Times New Roman" w:cstheme="minorHAnsi"/>
          <w:sz w:val="24"/>
          <w:szCs w:val="20"/>
        </w:rPr>
        <w:t>In the event that market fluctuations have caused the fair value of an endowment to fall below corpus, the related net position is valued at the lower fair value amount.</w:t>
      </w:r>
    </w:p>
    <w:p w14:paraId="10A0196C" w14:textId="137F4F89" w:rsidR="00A159FD" w:rsidRDefault="001B6918" w:rsidP="00F51774">
      <w:pPr>
        <w:spacing w:after="160"/>
        <w:ind w:left="360"/>
        <w:rPr>
          <w:rFonts w:eastAsiaTheme="majorEastAsia" w:cstheme="minorHAnsi"/>
          <w:b/>
          <w:i/>
          <w:iCs/>
          <w:smallCaps/>
          <w:noProof/>
          <w:color w:val="000000" w:themeColor="text1"/>
          <w:sz w:val="24"/>
          <w:szCs w:val="24"/>
        </w:rPr>
      </w:pPr>
      <w:r w:rsidRPr="004E6649">
        <w:rPr>
          <w:rFonts w:eastAsia="Times New Roman" w:cstheme="minorHAnsi"/>
          <w:b/>
          <w:sz w:val="24"/>
          <w:szCs w:val="20"/>
        </w:rPr>
        <w:t>Restricted – expendable:</w:t>
      </w:r>
      <w:r w:rsidRPr="004E6649">
        <w:rPr>
          <w:rFonts w:eastAsia="Times New Roman" w:cstheme="minorHAnsi"/>
          <w:sz w:val="24"/>
          <w:szCs w:val="20"/>
        </w:rPr>
        <w:t xml:space="preserve"> Net position subject to externally imposed conditions that can be fulfilled by the actions of the System or by the passage of time. </w:t>
      </w:r>
      <w:r w:rsidRPr="004E6649">
        <w:rPr>
          <w:rFonts w:eastAsia="Times New Roman" w:cstheme="minorHAnsi"/>
          <w:bCs/>
          <w:spacing w:val="-3"/>
          <w:sz w:val="24"/>
          <w:szCs w:val="20"/>
        </w:rPr>
        <w:t>Such net position includes the accumulated net gains on true endowment funds, restricted gifts and income, and other similarly restricted funds.</w:t>
      </w:r>
      <w:r w:rsidR="00A159FD">
        <w:rPr>
          <w:rFonts w:eastAsiaTheme="majorEastAsia" w:cstheme="minorHAnsi"/>
          <w:b/>
          <w:i/>
          <w:iCs/>
          <w:smallCaps/>
          <w:noProof/>
          <w:color w:val="000000" w:themeColor="text1"/>
          <w:sz w:val="24"/>
          <w:szCs w:val="24"/>
        </w:rPr>
        <w:br w:type="page"/>
      </w:r>
    </w:p>
    <w:p w14:paraId="2AA8188A" w14:textId="0369E5C3" w:rsidR="00A159FD" w:rsidRPr="00D125CA" w:rsidRDefault="00A159FD" w:rsidP="008A47DF">
      <w:pPr>
        <w:spacing w:after="240"/>
        <w:rPr>
          <w:rFonts w:cstheme="minorHAnsi"/>
          <w:b/>
          <w:i/>
          <w:iCs/>
          <w:sz w:val="24"/>
          <w:szCs w:val="24"/>
        </w:rPr>
      </w:pPr>
      <w:r w:rsidRPr="00D125CA" w:rsidDel="00BB7F53">
        <w:rPr>
          <w:rFonts w:eastAsiaTheme="majorEastAsia" w:cstheme="minorHAnsi"/>
          <w:b/>
          <w:i/>
          <w:iCs/>
          <w:smallCaps/>
          <w:noProof/>
          <w:color w:val="000000" w:themeColor="text1"/>
          <w:sz w:val="24"/>
          <w:szCs w:val="24"/>
        </w:rPr>
        <w:lastRenderedPageBreak/>
        <w:t xml:space="preserve">1. </w:t>
      </w:r>
      <w:r w:rsidRPr="00D125CA">
        <w:rPr>
          <w:rFonts w:eastAsiaTheme="majorEastAsia" w:cstheme="minorHAnsi"/>
          <w:b/>
          <w:i/>
          <w:iCs/>
          <w:smallCaps/>
          <w:noProof/>
          <w:color w:val="000000" w:themeColor="text1"/>
          <w:sz w:val="24"/>
          <w:szCs w:val="24"/>
        </w:rPr>
        <w:t>SIGNIFICANT ACCOUNTING POLICIES</w:t>
      </w:r>
      <w:r w:rsidRPr="00D125CA" w:rsidDel="00BB7F53">
        <w:rPr>
          <w:rFonts w:eastAsiaTheme="majorEastAsia" w:cstheme="minorHAnsi"/>
          <w:b/>
          <w:i/>
          <w:iCs/>
          <w:smallCaps/>
          <w:noProof/>
          <w:color w:val="000000" w:themeColor="text1"/>
          <w:sz w:val="24"/>
          <w:szCs w:val="24"/>
        </w:rPr>
        <w:t xml:space="preserve"> - CONTINUED</w:t>
      </w:r>
    </w:p>
    <w:p w14:paraId="0A6B54BA" w14:textId="77777777" w:rsidR="001B6918" w:rsidRPr="004E6649" w:rsidRDefault="001B6918" w:rsidP="001B6918">
      <w:pPr>
        <w:spacing w:after="160"/>
        <w:ind w:left="360"/>
        <w:rPr>
          <w:rFonts w:eastAsia="Times New Roman" w:cstheme="minorHAnsi"/>
          <w:sz w:val="24"/>
          <w:szCs w:val="20"/>
        </w:rPr>
      </w:pPr>
      <w:r w:rsidRPr="004E6649">
        <w:rPr>
          <w:rFonts w:eastAsia="Times New Roman" w:cstheme="minorHAnsi"/>
          <w:b/>
          <w:sz w:val="24"/>
          <w:szCs w:val="20"/>
        </w:rPr>
        <w:t>Unrestricted:</w:t>
      </w:r>
      <w:r w:rsidRPr="004E6649">
        <w:rPr>
          <w:rFonts w:eastAsia="Times New Roman" w:cstheme="minorHAnsi"/>
          <w:sz w:val="24"/>
          <w:szCs w:val="20"/>
        </w:rPr>
        <w:t xml:space="preserve"> All other categories of net position. Unrestricted net position may be committed by actions of the System’s Board of Trustees.</w:t>
      </w:r>
    </w:p>
    <w:p w14:paraId="173A29C6" w14:textId="77777777" w:rsidR="001B6918" w:rsidRPr="004E6649" w:rsidRDefault="001B6918" w:rsidP="001B6918">
      <w:pPr>
        <w:rPr>
          <w:rFonts w:eastAsia="Times New Roman" w:cstheme="minorHAnsi"/>
          <w:sz w:val="24"/>
          <w:szCs w:val="20"/>
        </w:rPr>
      </w:pPr>
      <w:r w:rsidRPr="004E6649">
        <w:rPr>
          <w:rFonts w:eastAsia="Times New Roman" w:cstheme="minorHAnsi"/>
          <w:sz w:val="24"/>
          <w:szCs w:val="20"/>
        </w:rPr>
        <w:t>The System has adopted a policy of generally utilizing restricted – expendable resources, when available, prior to unrestricted resources.</w:t>
      </w:r>
    </w:p>
    <w:p w14:paraId="2D615065" w14:textId="77777777" w:rsidR="001B6918" w:rsidRPr="00A02D27" w:rsidRDefault="001B6918" w:rsidP="001B6918">
      <w:pPr>
        <w:pStyle w:val="AFR3"/>
        <w:spacing w:after="0"/>
        <w:rPr>
          <w:rFonts w:cstheme="minorHAnsi"/>
          <w:sz w:val="24"/>
          <w:szCs w:val="20"/>
        </w:rPr>
      </w:pPr>
      <w:r w:rsidRPr="00A02D27">
        <w:rPr>
          <w:rFonts w:cstheme="minorHAnsi"/>
          <w:sz w:val="24"/>
          <w:szCs w:val="20"/>
        </w:rPr>
        <w:t>e. Cash and Cash Equivalents</w:t>
      </w:r>
    </w:p>
    <w:p w14:paraId="095606C4" w14:textId="77777777" w:rsidR="001B6918" w:rsidRPr="004E6649" w:rsidRDefault="001B6918" w:rsidP="001B6918">
      <w:pPr>
        <w:tabs>
          <w:tab w:val="left" w:pos="1858"/>
          <w:tab w:val="left" w:pos="2570"/>
          <w:tab w:val="left" w:pos="3283"/>
          <w:tab w:val="left" w:pos="3996"/>
          <w:tab w:val="left" w:pos="4709"/>
          <w:tab w:val="left" w:pos="5472"/>
        </w:tabs>
        <w:suppressAutoHyphens/>
        <w:rPr>
          <w:rFonts w:eastAsia="Times New Roman" w:cstheme="minorHAnsi"/>
          <w:spacing w:val="-3"/>
          <w:sz w:val="24"/>
          <w:szCs w:val="24"/>
        </w:rPr>
      </w:pPr>
      <w:r w:rsidRPr="004E6649">
        <w:rPr>
          <w:rFonts w:eastAsia="Times New Roman" w:cstheme="minorHAnsi"/>
          <w:spacing w:val="-3"/>
          <w:sz w:val="24"/>
          <w:szCs w:val="24"/>
        </w:rPr>
        <w:t>The System considers all highly liquid investments (including restricted assets) with a maturity of three months or less when purchased to be cash equivalents.</w:t>
      </w:r>
    </w:p>
    <w:p w14:paraId="444E3909" w14:textId="77777777" w:rsidR="001B6918" w:rsidRPr="00A02D27" w:rsidRDefault="001B6918" w:rsidP="001B6918">
      <w:pPr>
        <w:pStyle w:val="AFR3"/>
        <w:spacing w:after="0"/>
        <w:rPr>
          <w:rFonts w:cstheme="minorHAnsi"/>
          <w:sz w:val="24"/>
          <w:szCs w:val="20"/>
        </w:rPr>
      </w:pPr>
      <w:r w:rsidRPr="00A02D27">
        <w:rPr>
          <w:rFonts w:cstheme="minorHAnsi"/>
          <w:sz w:val="24"/>
          <w:szCs w:val="20"/>
        </w:rPr>
        <w:t>f. Investments</w:t>
      </w:r>
    </w:p>
    <w:p w14:paraId="07EEF214" w14:textId="77777777" w:rsidR="001B6918" w:rsidRDefault="001B6918" w:rsidP="001B6918">
      <w:pPr>
        <w:tabs>
          <w:tab w:val="left" w:pos="0"/>
          <w:tab w:val="left" w:pos="450"/>
          <w:tab w:val="left" w:pos="5040"/>
        </w:tabs>
        <w:suppressAutoHyphens/>
        <w:rPr>
          <w:rFonts w:cstheme="minorHAnsi"/>
          <w:spacing w:val="-3"/>
          <w:sz w:val="24"/>
        </w:rPr>
      </w:pPr>
      <w:r w:rsidRPr="004E6649">
        <w:rPr>
          <w:rFonts w:cstheme="minorHAnsi"/>
          <w:spacing w:val="-3"/>
          <w:sz w:val="24"/>
        </w:rPr>
        <w:t xml:space="preserve">All investments are reported at fair value except for the state pool, which is reported at amortized cost. System management is responsible for the measurement of investments reported in the financial statements. The System has implemented policies and procedures to assess the reasonableness of the </w:t>
      </w:r>
    </w:p>
    <w:p w14:paraId="74C99AA4" w14:textId="4A743C35" w:rsidR="001B6918" w:rsidRPr="004E6649" w:rsidRDefault="001B6918" w:rsidP="001B6918">
      <w:pPr>
        <w:tabs>
          <w:tab w:val="left" w:pos="0"/>
          <w:tab w:val="left" w:pos="450"/>
          <w:tab w:val="left" w:pos="5040"/>
        </w:tabs>
        <w:suppressAutoHyphens/>
        <w:rPr>
          <w:rFonts w:cstheme="minorHAnsi"/>
          <w:spacing w:val="-3"/>
          <w:sz w:val="24"/>
        </w:rPr>
      </w:pPr>
      <w:r w:rsidRPr="004E6649">
        <w:rPr>
          <w:rFonts w:cstheme="minorHAnsi"/>
          <w:spacing w:val="-3"/>
          <w:sz w:val="24"/>
        </w:rPr>
        <w:t>fair values provided and believes that</w:t>
      </w:r>
      <w:r w:rsidR="00F50F46">
        <w:rPr>
          <w:rFonts w:cstheme="minorHAnsi"/>
          <w:spacing w:val="-3"/>
          <w:sz w:val="24"/>
        </w:rPr>
        <w:t xml:space="preserve"> the</w:t>
      </w:r>
      <w:r w:rsidRPr="004E6649">
        <w:rPr>
          <w:rFonts w:cstheme="minorHAnsi"/>
          <w:spacing w:val="-3"/>
          <w:sz w:val="24"/>
        </w:rPr>
        <w:t xml:space="preserve"> reported fair values at the </w:t>
      </w:r>
      <w:r w:rsidRPr="004E6649">
        <w:rPr>
          <w:rFonts w:cstheme="minorHAnsi"/>
          <w:bCs/>
          <w:sz w:val="24"/>
        </w:rPr>
        <w:t xml:space="preserve">Statements of Net Position </w:t>
      </w:r>
      <w:r w:rsidRPr="004E6649">
        <w:rPr>
          <w:rFonts w:cstheme="minorHAnsi"/>
          <w:spacing w:val="-3"/>
          <w:sz w:val="24"/>
        </w:rPr>
        <w:t>dates are reasonable.</w:t>
      </w:r>
    </w:p>
    <w:p w14:paraId="753E7A50" w14:textId="77777777" w:rsidR="001B6918" w:rsidRPr="004E6649" w:rsidRDefault="001B6918" w:rsidP="001B6918">
      <w:pPr>
        <w:tabs>
          <w:tab w:val="left" w:pos="0"/>
          <w:tab w:val="center" w:pos="720"/>
        </w:tabs>
        <w:suppressAutoHyphens/>
        <w:rPr>
          <w:rFonts w:eastAsia="Times New Roman" w:cstheme="minorHAnsi"/>
          <w:spacing w:val="-3"/>
          <w:sz w:val="18"/>
          <w:szCs w:val="18"/>
        </w:rPr>
      </w:pPr>
    </w:p>
    <w:p w14:paraId="78E74F43" w14:textId="4CA3C512" w:rsidR="001B6918" w:rsidRPr="004E6649" w:rsidRDefault="001B6918" w:rsidP="001B6918">
      <w:pPr>
        <w:spacing w:after="160"/>
        <w:rPr>
          <w:rFonts w:eastAsia="Times New Roman" w:cstheme="minorHAnsi"/>
          <w:spacing w:val="-3"/>
          <w:sz w:val="24"/>
          <w:szCs w:val="20"/>
        </w:rPr>
      </w:pPr>
      <w:r w:rsidRPr="0060047B">
        <w:rPr>
          <w:rFonts w:eastAsia="Times New Roman" w:cstheme="minorHAnsi"/>
          <w:b/>
          <w:spacing w:val="-3"/>
          <w:sz w:val="24"/>
          <w:szCs w:val="20"/>
        </w:rPr>
        <w:t>Pooled Third party investments</w:t>
      </w:r>
      <w:r w:rsidRPr="004E6649">
        <w:rPr>
          <w:rFonts w:eastAsia="Times New Roman" w:cstheme="minorHAnsi"/>
          <w:b/>
          <w:spacing w:val="-3"/>
          <w:sz w:val="24"/>
          <w:szCs w:val="20"/>
        </w:rPr>
        <w:t xml:space="preserve">: </w:t>
      </w:r>
      <w:r w:rsidR="000E3ECD">
        <w:rPr>
          <w:rFonts w:eastAsia="Times New Roman" w:cstheme="minorHAnsi"/>
          <w:spacing w:val="-3"/>
          <w:sz w:val="24"/>
          <w:szCs w:val="20"/>
        </w:rPr>
        <w:t xml:space="preserve">During FY25, </w:t>
      </w:r>
      <w:r w:rsidR="000E3ECD" w:rsidRPr="004E6649">
        <w:rPr>
          <w:rFonts w:eastAsia="Times New Roman" w:cstheme="minorHAnsi"/>
          <w:spacing w:val="-3"/>
          <w:sz w:val="24"/>
          <w:szCs w:val="20"/>
        </w:rPr>
        <w:t>the System’s endowment pool</w:t>
      </w:r>
      <w:r w:rsidR="000E3ECD">
        <w:rPr>
          <w:rFonts w:eastAsia="Times New Roman" w:cstheme="minorHAnsi"/>
          <w:spacing w:val="-3"/>
          <w:sz w:val="24"/>
          <w:szCs w:val="20"/>
        </w:rPr>
        <w:t xml:space="preserve"> included monies of t</w:t>
      </w:r>
      <w:r>
        <w:rPr>
          <w:rFonts w:eastAsia="Times New Roman" w:cstheme="minorHAnsi"/>
          <w:spacing w:val="-3"/>
          <w:sz w:val="24"/>
          <w:szCs w:val="20"/>
        </w:rPr>
        <w:t xml:space="preserve">wo </w:t>
      </w:r>
      <w:r w:rsidRPr="004E6649">
        <w:rPr>
          <w:rFonts w:eastAsia="Times New Roman" w:cstheme="minorHAnsi"/>
          <w:spacing w:val="-3"/>
          <w:sz w:val="24"/>
          <w:szCs w:val="20"/>
        </w:rPr>
        <w:t xml:space="preserve">outside entities, the UMS Other Postemployment Benefit (OPEB) Trust and the University of Maine School of Law Foundation. Investment performance results of these pooled monies are allocated on a pro rata basis based on the number of pool shares held by each entity. </w:t>
      </w:r>
    </w:p>
    <w:p w14:paraId="5CD8B573" w14:textId="77777777" w:rsidR="001B6918" w:rsidRPr="004E6649" w:rsidRDefault="001B6918" w:rsidP="001B6918">
      <w:pPr>
        <w:tabs>
          <w:tab w:val="left" w:pos="0"/>
          <w:tab w:val="center" w:pos="720"/>
        </w:tabs>
        <w:suppressAutoHyphens/>
        <w:rPr>
          <w:rFonts w:eastAsia="Times New Roman" w:cstheme="minorHAnsi"/>
          <w:spacing w:val="-3"/>
          <w:sz w:val="20"/>
          <w:szCs w:val="20"/>
        </w:rPr>
      </w:pPr>
      <w:r w:rsidRPr="004E6649">
        <w:rPr>
          <w:rFonts w:eastAsia="Times New Roman" w:cstheme="minorHAnsi"/>
          <w:spacing w:val="-3"/>
          <w:sz w:val="24"/>
          <w:szCs w:val="20"/>
        </w:rPr>
        <w:t>Contributions to and withdrawals from the pool are allowed only on the first business day of a calendar quarter.  Investment of these monies follows guidelines approved by the System’s Board of Trustees Investment Committee. These guidelines are further disclosed in the remainder of this Note and Note 3 to these financial statements as part of the discussion of endowments.</w:t>
      </w:r>
    </w:p>
    <w:p w14:paraId="00B5DD37" w14:textId="77777777" w:rsidR="001B6918" w:rsidRPr="004E6649" w:rsidRDefault="001B6918" w:rsidP="001B6918">
      <w:pPr>
        <w:tabs>
          <w:tab w:val="left" w:pos="0"/>
          <w:tab w:val="center" w:pos="720"/>
        </w:tabs>
        <w:suppressAutoHyphens/>
        <w:rPr>
          <w:rFonts w:eastAsia="Times New Roman" w:cstheme="minorHAnsi"/>
          <w:spacing w:val="-3"/>
          <w:sz w:val="20"/>
          <w:szCs w:val="16"/>
        </w:rPr>
      </w:pPr>
    </w:p>
    <w:p w14:paraId="5BF431B0" w14:textId="77777777" w:rsidR="001B6918" w:rsidRDefault="001B6918" w:rsidP="001B6918">
      <w:pPr>
        <w:tabs>
          <w:tab w:val="left" w:pos="0"/>
          <w:tab w:val="center" w:pos="720"/>
        </w:tabs>
        <w:suppressAutoHyphens/>
        <w:rPr>
          <w:rFonts w:eastAsiaTheme="majorEastAsia" w:cstheme="minorHAnsi"/>
          <w:b/>
          <w:i/>
          <w:iCs/>
          <w:smallCaps/>
          <w:noProof/>
          <w:color w:val="000000" w:themeColor="text1"/>
          <w:szCs w:val="24"/>
          <w:u w:color="5B9BD5"/>
        </w:rPr>
      </w:pPr>
      <w:r w:rsidRPr="004E6649">
        <w:rPr>
          <w:rFonts w:eastAsia="Times New Roman" w:cstheme="minorHAnsi"/>
          <w:b/>
          <w:spacing w:val="-3"/>
          <w:sz w:val="24"/>
          <w:szCs w:val="20"/>
        </w:rPr>
        <w:t>Endowment</w:t>
      </w:r>
      <w:r w:rsidRPr="004E6649">
        <w:rPr>
          <w:rFonts w:eastAsia="Times New Roman" w:cstheme="minorHAnsi"/>
          <w:bCs/>
          <w:spacing w:val="-3"/>
          <w:sz w:val="24"/>
          <w:szCs w:val="20"/>
        </w:rPr>
        <w:t>: The System follows the pooled investment concept for its endowed funds, whereby all invested funds are included in one pool, except for funds that are separately invested as directed by the donor. Investment income is allocated to each endowed fund in the pool based on its pro rata share of the pool.</w:t>
      </w:r>
    </w:p>
    <w:p w14:paraId="42231B4F" w14:textId="77777777" w:rsidR="001B6918" w:rsidRPr="00155FD9" w:rsidRDefault="001B6918" w:rsidP="001B6918">
      <w:pPr>
        <w:tabs>
          <w:tab w:val="left" w:pos="0"/>
          <w:tab w:val="center" w:pos="720"/>
        </w:tabs>
        <w:suppressAutoHyphens/>
        <w:rPr>
          <w:rFonts w:eastAsia="Times New Roman" w:cstheme="minorHAnsi"/>
          <w:bCs/>
          <w:spacing w:val="-3"/>
          <w:sz w:val="20"/>
          <w:szCs w:val="20"/>
        </w:rPr>
      </w:pPr>
    </w:p>
    <w:p w14:paraId="57DB79FE" w14:textId="2972E964" w:rsidR="001B6918" w:rsidRPr="004E6649" w:rsidRDefault="001B6918" w:rsidP="001B6918">
      <w:pPr>
        <w:tabs>
          <w:tab w:val="left" w:pos="0"/>
          <w:tab w:val="center" w:pos="720"/>
        </w:tabs>
        <w:suppressAutoHyphens/>
        <w:rPr>
          <w:rFonts w:eastAsia="Times New Roman" w:cstheme="minorHAnsi"/>
          <w:color w:val="000000" w:themeColor="text1"/>
          <w:sz w:val="24"/>
        </w:rPr>
      </w:pPr>
      <w:r w:rsidRPr="004E6649">
        <w:rPr>
          <w:rFonts w:eastAsia="Times New Roman" w:cstheme="minorHAnsi"/>
          <w:bCs/>
          <w:spacing w:val="-3"/>
          <w:sz w:val="24"/>
          <w:szCs w:val="20"/>
        </w:rPr>
        <w:t xml:space="preserve">The income produced by the fund, including realized and unrealized gains, can be used to meet the </w:t>
      </w:r>
      <w:r w:rsidR="000E3ECD">
        <w:rPr>
          <w:rFonts w:eastAsia="Times New Roman" w:cstheme="minorHAnsi"/>
          <w:bCs/>
          <w:spacing w:val="-3"/>
          <w:sz w:val="24"/>
          <w:szCs w:val="20"/>
        </w:rPr>
        <w:t xml:space="preserve">endowment </w:t>
      </w:r>
      <w:r w:rsidRPr="004E6649">
        <w:rPr>
          <w:rFonts w:eastAsia="Times New Roman" w:cstheme="minorHAnsi"/>
          <w:bCs/>
          <w:spacing w:val="-3"/>
          <w:sz w:val="24"/>
          <w:szCs w:val="20"/>
        </w:rPr>
        <w:t xml:space="preserve">spending objective. As determined by policy, the expendable income objective was </w:t>
      </w:r>
      <w:r w:rsidRPr="00A468E3">
        <w:rPr>
          <w:rFonts w:eastAsia="Times New Roman" w:cstheme="minorHAnsi"/>
          <w:bCs/>
          <w:spacing w:val="-3"/>
          <w:sz w:val="24"/>
          <w:szCs w:val="20"/>
        </w:rPr>
        <w:t>4.5</w:t>
      </w:r>
      <w:r w:rsidRPr="00C510B1">
        <w:rPr>
          <w:rFonts w:eastAsia="Times New Roman" w:cstheme="minorHAnsi"/>
          <w:bCs/>
          <w:spacing w:val="-3"/>
          <w:sz w:val="24"/>
          <w:szCs w:val="20"/>
        </w:rPr>
        <w:t xml:space="preserve">% </w:t>
      </w:r>
      <w:r w:rsidRPr="004E6649">
        <w:rPr>
          <w:rFonts w:eastAsia="Times New Roman" w:cstheme="minorHAnsi"/>
          <w:bCs/>
          <w:color w:val="000000" w:themeColor="text1"/>
          <w:spacing w:val="-3"/>
          <w:sz w:val="24"/>
          <w:szCs w:val="20"/>
        </w:rPr>
        <w:t>for FY2</w:t>
      </w:r>
      <w:r>
        <w:rPr>
          <w:rFonts w:eastAsia="Times New Roman" w:cstheme="minorHAnsi"/>
          <w:bCs/>
          <w:color w:val="000000" w:themeColor="text1"/>
          <w:spacing w:val="-3"/>
          <w:sz w:val="24"/>
          <w:szCs w:val="20"/>
        </w:rPr>
        <w:t>5</w:t>
      </w:r>
      <w:r w:rsidRPr="004E6649">
        <w:rPr>
          <w:rFonts w:eastAsia="Times New Roman" w:cstheme="minorHAnsi"/>
          <w:bCs/>
          <w:color w:val="000000" w:themeColor="text1"/>
          <w:spacing w:val="-3"/>
          <w:sz w:val="24"/>
          <w:szCs w:val="20"/>
        </w:rPr>
        <w:t xml:space="preserve"> and FY2</w:t>
      </w:r>
      <w:r>
        <w:rPr>
          <w:rFonts w:eastAsia="Times New Roman" w:cstheme="minorHAnsi"/>
          <w:bCs/>
          <w:color w:val="000000" w:themeColor="text1"/>
          <w:spacing w:val="-3"/>
          <w:sz w:val="24"/>
          <w:szCs w:val="20"/>
        </w:rPr>
        <w:t>4</w:t>
      </w:r>
      <w:r w:rsidRPr="004E6649">
        <w:rPr>
          <w:rFonts w:eastAsia="Times New Roman" w:cstheme="minorHAnsi"/>
          <w:bCs/>
          <w:color w:val="000000" w:themeColor="text1"/>
          <w:spacing w:val="-3"/>
          <w:sz w:val="24"/>
          <w:szCs w:val="20"/>
        </w:rPr>
        <w:t xml:space="preserve">. The </w:t>
      </w:r>
      <w:r w:rsidRPr="004E6649">
        <w:rPr>
          <w:rFonts w:eastAsia="Times New Roman" w:cstheme="minorHAnsi"/>
          <w:color w:val="000000" w:themeColor="text1"/>
          <w:sz w:val="24"/>
        </w:rPr>
        <w:t>percentage was applied to a twelve-quarter market value average to determine expendable income.</w:t>
      </w:r>
    </w:p>
    <w:p w14:paraId="19E3EC61" w14:textId="77777777" w:rsidR="001B6918" w:rsidRPr="004E6649" w:rsidRDefault="001B6918" w:rsidP="001B6918">
      <w:pPr>
        <w:tabs>
          <w:tab w:val="left" w:pos="0"/>
          <w:tab w:val="center" w:pos="720"/>
        </w:tabs>
        <w:suppressAutoHyphens/>
        <w:rPr>
          <w:rFonts w:eastAsia="Times New Roman" w:cstheme="minorHAnsi"/>
          <w:spacing w:val="-3"/>
          <w:sz w:val="20"/>
          <w:szCs w:val="16"/>
        </w:rPr>
      </w:pPr>
    </w:p>
    <w:p w14:paraId="15AEC866" w14:textId="6D4AB2EA" w:rsidR="008C2FDA" w:rsidRDefault="001B6918" w:rsidP="00F51774">
      <w:pPr>
        <w:tabs>
          <w:tab w:val="left" w:pos="0"/>
          <w:tab w:val="center" w:pos="720"/>
        </w:tabs>
        <w:suppressAutoHyphens/>
        <w:rPr>
          <w:rFonts w:eastAsia="Times New Roman" w:cstheme="minorHAnsi"/>
          <w:bCs/>
          <w:sz w:val="24"/>
          <w:szCs w:val="20"/>
        </w:rPr>
      </w:pPr>
      <w:r w:rsidRPr="004E6649">
        <w:rPr>
          <w:rFonts w:eastAsia="Times New Roman" w:cstheme="minorHAnsi"/>
          <w:bCs/>
          <w:sz w:val="24"/>
          <w:szCs w:val="20"/>
        </w:rPr>
        <w:t>Under State of Maine law, s</w:t>
      </w:r>
      <w:r w:rsidRPr="004E6649">
        <w:rPr>
          <w:rFonts w:eastAsia="Times New Roman" w:cstheme="minorHAnsi"/>
          <w:spacing w:val="-3"/>
          <w:sz w:val="24"/>
          <w:szCs w:val="20"/>
        </w:rPr>
        <w:t>ubject to the intent of a donor expressed in the gift instrument, an institution may appropriate for expenditure or accumulate so much of an endowment fund as the institution determines is prudent for the uses, benefits, purposes and duration for which the endowment fund is established. T</w:t>
      </w:r>
      <w:r w:rsidRPr="004E6649">
        <w:rPr>
          <w:rFonts w:eastAsia="Times New Roman" w:cstheme="minorHAnsi"/>
          <w:bCs/>
          <w:sz w:val="24"/>
          <w:szCs w:val="20"/>
        </w:rPr>
        <w:t>he System’s policy is to spend endowment appreciation to the extent of the approved annual spending rate while not invading corpus. The return (loss) net of the amount used for operations is presented as Other Changes in Net Position in the Statements of Revenues, Expenses and Changes in Net Position.</w:t>
      </w:r>
      <w:r w:rsidR="008C2FDA">
        <w:rPr>
          <w:rFonts w:eastAsia="Times New Roman" w:cstheme="minorHAnsi"/>
          <w:bCs/>
          <w:sz w:val="24"/>
          <w:szCs w:val="20"/>
        </w:rPr>
        <w:br w:type="page"/>
      </w:r>
    </w:p>
    <w:p w14:paraId="317708B0" w14:textId="77777777" w:rsidR="001B6918" w:rsidRPr="00A02D27" w:rsidRDefault="001B6918" w:rsidP="001B6918">
      <w:pPr>
        <w:tabs>
          <w:tab w:val="left" w:pos="0"/>
        </w:tabs>
        <w:suppressAutoHyphens/>
        <w:spacing w:after="240"/>
        <w:rPr>
          <w:rFonts w:eastAsiaTheme="majorEastAsia" w:cstheme="minorHAnsi"/>
          <w:iCs/>
          <w:smallCaps/>
          <w:noProof/>
          <w:color w:val="000000" w:themeColor="text1"/>
          <w:sz w:val="20"/>
          <w:szCs w:val="24"/>
        </w:rPr>
      </w:pPr>
      <w:r w:rsidRPr="00A02D27" w:rsidDel="00BB7F53">
        <w:rPr>
          <w:rFonts w:eastAsiaTheme="majorEastAsia" w:cstheme="minorHAnsi"/>
          <w:b/>
          <w:i/>
          <w:iCs/>
          <w:smallCaps/>
          <w:noProof/>
          <w:color w:val="000000" w:themeColor="text1"/>
          <w:sz w:val="24"/>
          <w:szCs w:val="24"/>
        </w:rPr>
        <w:lastRenderedPageBreak/>
        <w:t xml:space="preserve">1. </w:t>
      </w:r>
      <w:r w:rsidRPr="00A02D27">
        <w:rPr>
          <w:rFonts w:eastAsiaTheme="majorEastAsia" w:cstheme="minorHAnsi"/>
          <w:b/>
          <w:i/>
          <w:iCs/>
          <w:smallCaps/>
          <w:noProof/>
          <w:color w:val="000000" w:themeColor="text1"/>
          <w:sz w:val="24"/>
          <w:szCs w:val="24"/>
        </w:rPr>
        <w:t>SIGNIFICANT ACCOUNTING POLICIES</w:t>
      </w:r>
      <w:r w:rsidRPr="00A02D27" w:rsidDel="00BB7F53">
        <w:rPr>
          <w:rFonts w:eastAsiaTheme="majorEastAsia" w:cstheme="minorHAnsi"/>
          <w:b/>
          <w:i/>
          <w:iCs/>
          <w:smallCaps/>
          <w:noProof/>
          <w:color w:val="000000" w:themeColor="text1"/>
          <w:sz w:val="24"/>
          <w:szCs w:val="24"/>
        </w:rPr>
        <w:t xml:space="preserve"> - CONTINUED</w:t>
      </w:r>
    </w:p>
    <w:p w14:paraId="3E95114B" w14:textId="77777777" w:rsidR="001B6918" w:rsidRPr="004E6649" w:rsidRDefault="001B6918" w:rsidP="001B6918">
      <w:pPr>
        <w:tabs>
          <w:tab w:val="left" w:pos="0"/>
          <w:tab w:val="center" w:pos="720"/>
          <w:tab w:val="left" w:pos="1710"/>
        </w:tabs>
        <w:suppressAutoHyphens/>
        <w:spacing w:after="160"/>
        <w:rPr>
          <w:rFonts w:eastAsia="Times New Roman" w:cstheme="minorHAnsi"/>
          <w:bCs/>
          <w:spacing w:val="-3"/>
          <w:sz w:val="24"/>
          <w:szCs w:val="20"/>
        </w:rPr>
      </w:pPr>
      <w:r w:rsidRPr="00C510B1">
        <w:rPr>
          <w:rFonts w:eastAsia="Times New Roman" w:cstheme="minorHAnsi"/>
          <w:b/>
          <w:color w:val="000000" w:themeColor="text1"/>
          <w:spacing w:val="-3"/>
          <w:sz w:val="24"/>
          <w:szCs w:val="20"/>
        </w:rPr>
        <w:t>Authorized Investment Vehicles - Operating Investments</w:t>
      </w:r>
      <w:r w:rsidRPr="004E6649">
        <w:rPr>
          <w:rFonts w:eastAsia="Times New Roman" w:cstheme="minorHAnsi"/>
          <w:b/>
          <w:color w:val="000000" w:themeColor="text1"/>
          <w:spacing w:val="-3"/>
          <w:sz w:val="24"/>
          <w:szCs w:val="20"/>
        </w:rPr>
        <w:t xml:space="preserve">: </w:t>
      </w:r>
      <w:r w:rsidRPr="004E6649">
        <w:rPr>
          <w:rFonts w:eastAsia="Times New Roman" w:cstheme="minorHAnsi"/>
          <w:bCs/>
          <w:spacing w:val="-3"/>
          <w:sz w:val="24"/>
          <w:szCs w:val="20"/>
        </w:rPr>
        <w:t>The System has a three-tiered approach regarding its operating investments:</w:t>
      </w:r>
    </w:p>
    <w:p w14:paraId="77C53D6A" w14:textId="77777777" w:rsidR="001B6918" w:rsidRDefault="001B6918" w:rsidP="001B6918">
      <w:pPr>
        <w:numPr>
          <w:ilvl w:val="0"/>
          <w:numId w:val="4"/>
        </w:numPr>
        <w:tabs>
          <w:tab w:val="left" w:pos="0"/>
        </w:tabs>
        <w:suppressAutoHyphens/>
        <w:rPr>
          <w:rFonts w:eastAsia="Times New Roman" w:cstheme="minorHAnsi"/>
          <w:bCs/>
          <w:spacing w:val="-3"/>
          <w:sz w:val="24"/>
          <w:szCs w:val="20"/>
        </w:rPr>
      </w:pPr>
      <w:r w:rsidRPr="004E6649">
        <w:rPr>
          <w:rFonts w:eastAsia="Times New Roman" w:cstheme="minorHAnsi"/>
          <w:b/>
          <w:bCs/>
          <w:spacing w:val="-3"/>
          <w:sz w:val="24"/>
          <w:szCs w:val="20"/>
        </w:rPr>
        <w:t>Liquidity Pool</w:t>
      </w:r>
      <w:r w:rsidRPr="004E6649">
        <w:rPr>
          <w:rFonts w:eastAsia="Times New Roman" w:cstheme="minorHAnsi"/>
          <w:bCs/>
          <w:spacing w:val="-3"/>
          <w:sz w:val="24"/>
          <w:szCs w:val="20"/>
        </w:rPr>
        <w:t xml:space="preserve"> – The purpose of this pool is to meet the day-to-day obligations of the System. It consists of funds that are invested in a portfolio of highest quality short-term fixed-income securities (e.g., Treasury obligations, agency securities, repurchase agreements, money market funds, commercial paper, and/or short-term bond mutual funds) with adequate liquidity. The average quality of the pool will be rated at least “A-1” by Standard and Poor’s (or equivalent).</w:t>
      </w:r>
    </w:p>
    <w:p w14:paraId="64D1FD2C" w14:textId="77777777" w:rsidR="001B6918" w:rsidRPr="00CA2A80" w:rsidRDefault="001B6918" w:rsidP="001B6918">
      <w:pPr>
        <w:numPr>
          <w:ilvl w:val="0"/>
          <w:numId w:val="4"/>
        </w:numPr>
        <w:tabs>
          <w:tab w:val="left" w:pos="0"/>
        </w:tabs>
        <w:suppressAutoHyphens/>
        <w:rPr>
          <w:rFonts w:eastAsia="Times New Roman" w:cstheme="minorHAnsi"/>
          <w:bCs/>
          <w:spacing w:val="-3"/>
          <w:sz w:val="24"/>
          <w:szCs w:val="20"/>
        </w:rPr>
      </w:pPr>
      <w:r w:rsidRPr="00CA2A80">
        <w:rPr>
          <w:rFonts w:eastAsia="Times New Roman" w:cstheme="minorHAnsi"/>
          <w:b/>
          <w:bCs/>
          <w:spacing w:val="-3"/>
          <w:sz w:val="24"/>
          <w:szCs w:val="20"/>
        </w:rPr>
        <w:t>Income Pool</w:t>
      </w:r>
      <w:r w:rsidRPr="00CA2A80">
        <w:rPr>
          <w:rFonts w:eastAsia="Times New Roman" w:cstheme="minorHAnsi"/>
          <w:bCs/>
          <w:spacing w:val="-3"/>
          <w:sz w:val="24"/>
          <w:szCs w:val="20"/>
        </w:rPr>
        <w:t xml:space="preserve"> – The purpose of this pool is to provide sufficient income to meet budgetary goals and provide additional diversification to minimize downside risk. This pool invests in a diversified </w:t>
      </w:r>
    </w:p>
    <w:p w14:paraId="66EA6FF3" w14:textId="77777777" w:rsidR="001B6918" w:rsidRPr="0064559A" w:rsidRDefault="001B6918" w:rsidP="001B6918">
      <w:pPr>
        <w:tabs>
          <w:tab w:val="left" w:pos="0"/>
        </w:tabs>
        <w:suppressAutoHyphens/>
        <w:ind w:left="720"/>
        <w:rPr>
          <w:rFonts w:eastAsia="Times New Roman" w:cstheme="minorHAnsi"/>
          <w:bCs/>
          <w:spacing w:val="-3"/>
          <w:sz w:val="24"/>
          <w:szCs w:val="20"/>
        </w:rPr>
      </w:pPr>
      <w:r w:rsidRPr="0064559A">
        <w:rPr>
          <w:rFonts w:eastAsia="Times New Roman" w:cstheme="minorHAnsi"/>
          <w:bCs/>
          <w:spacing w:val="-3"/>
          <w:sz w:val="24"/>
          <w:szCs w:val="20"/>
        </w:rPr>
        <w:t xml:space="preserve">portfolio which may include items such as, but not limited to, fixed income securities, Federal Deposit Insurance Corporation insured or adequately collateralized certificates of deposit (CDs), </w:t>
      </w:r>
    </w:p>
    <w:p w14:paraId="4AD5BDDB" w14:textId="77777777" w:rsidR="001B6918" w:rsidRPr="004E6649" w:rsidRDefault="001B6918" w:rsidP="001B6918">
      <w:pPr>
        <w:tabs>
          <w:tab w:val="left" w:pos="0"/>
        </w:tabs>
        <w:suppressAutoHyphens/>
        <w:ind w:left="720"/>
        <w:rPr>
          <w:rFonts w:eastAsia="Times New Roman" w:cstheme="minorHAnsi"/>
          <w:bCs/>
          <w:spacing w:val="-3"/>
          <w:sz w:val="24"/>
          <w:szCs w:val="20"/>
        </w:rPr>
      </w:pPr>
      <w:r w:rsidRPr="004E6649">
        <w:rPr>
          <w:rFonts w:eastAsia="Times New Roman" w:cstheme="minorHAnsi"/>
          <w:bCs/>
          <w:spacing w:val="-3"/>
          <w:sz w:val="24"/>
          <w:szCs w:val="20"/>
        </w:rPr>
        <w:t>or unconstrained, short or intermediate term bond funds with a normal average duration of -2 to 7 years. The pool may invest in funds rated from BB to AAA quality. The overall average quality rating of this pool will be at least “A-” by Standard and Poor’s (or equivalent).</w:t>
      </w:r>
    </w:p>
    <w:p w14:paraId="04E148B6" w14:textId="77777777" w:rsidR="001B6918" w:rsidRPr="004E6649" w:rsidRDefault="001B6918" w:rsidP="001B6918">
      <w:pPr>
        <w:numPr>
          <w:ilvl w:val="0"/>
          <w:numId w:val="4"/>
        </w:numPr>
        <w:tabs>
          <w:tab w:val="left" w:pos="0"/>
          <w:tab w:val="left" w:pos="1440"/>
          <w:tab w:val="left" w:pos="1710"/>
        </w:tabs>
        <w:suppressAutoHyphens/>
        <w:spacing w:after="160"/>
        <w:rPr>
          <w:rFonts w:eastAsia="Times New Roman" w:cstheme="minorHAnsi"/>
          <w:spacing w:val="-3"/>
          <w:sz w:val="16"/>
          <w:szCs w:val="20"/>
        </w:rPr>
      </w:pPr>
      <w:r w:rsidRPr="004E6649">
        <w:rPr>
          <w:rFonts w:eastAsia="Times New Roman" w:cstheme="minorHAnsi"/>
          <w:b/>
          <w:bCs/>
          <w:spacing w:val="-3"/>
          <w:sz w:val="24"/>
          <w:szCs w:val="20"/>
        </w:rPr>
        <w:t>Total Return Pool</w:t>
      </w:r>
      <w:r w:rsidRPr="004E6649">
        <w:rPr>
          <w:rFonts w:eastAsia="Times New Roman" w:cstheme="minorHAnsi"/>
          <w:bCs/>
          <w:spacing w:val="-3"/>
          <w:sz w:val="24"/>
          <w:szCs w:val="20"/>
        </w:rPr>
        <w:t xml:space="preserve"> – This pool is expected to add diversification and growth to the portfolio and may invest in diversified assets made up of, but not limited to, equities, hedge funds, and global asset allocation mandates.</w:t>
      </w:r>
    </w:p>
    <w:p w14:paraId="51AF32E7" w14:textId="77777777" w:rsidR="001B6918" w:rsidRDefault="001B6918" w:rsidP="001B6918">
      <w:pPr>
        <w:spacing w:after="160" w:line="259" w:lineRule="auto"/>
        <w:rPr>
          <w:rFonts w:eastAsia="Times New Roman" w:cstheme="minorHAnsi"/>
          <w:bCs/>
          <w:spacing w:val="-3"/>
          <w:sz w:val="24"/>
          <w:szCs w:val="20"/>
        </w:rPr>
      </w:pPr>
      <w:r w:rsidRPr="004E6649">
        <w:rPr>
          <w:rFonts w:eastAsia="Times New Roman" w:cstheme="minorHAnsi"/>
          <w:b/>
          <w:spacing w:val="-3"/>
          <w:sz w:val="24"/>
          <w:szCs w:val="20"/>
        </w:rPr>
        <w:t xml:space="preserve">Authorized Investment Vehicles - </w:t>
      </w:r>
      <w:r w:rsidRPr="00C510B1">
        <w:rPr>
          <w:rFonts w:eastAsia="Times New Roman" w:cstheme="minorHAnsi"/>
          <w:b/>
          <w:spacing w:val="-3"/>
          <w:sz w:val="24"/>
          <w:szCs w:val="20"/>
        </w:rPr>
        <w:t>Endowment Investments</w:t>
      </w:r>
      <w:r w:rsidRPr="004E6649">
        <w:rPr>
          <w:rFonts w:eastAsia="Times New Roman" w:cstheme="minorHAnsi"/>
          <w:b/>
          <w:spacing w:val="-3"/>
          <w:sz w:val="24"/>
          <w:szCs w:val="20"/>
        </w:rPr>
        <w:t>:</w:t>
      </w:r>
      <w:r w:rsidRPr="004E6649">
        <w:rPr>
          <w:rFonts w:eastAsia="Times New Roman" w:cstheme="minorHAnsi"/>
          <w:bCs/>
          <w:spacing w:val="-3"/>
          <w:sz w:val="24"/>
          <w:szCs w:val="20"/>
        </w:rPr>
        <w:t xml:space="preserve"> The fund is diversified both by asset class and within asset classes. To have a reasonable probability of consistently achieving the Fund’s return objectives, the following asset allocation policy ranges were applicable as of June 30</w:t>
      </w:r>
      <w:r>
        <w:rPr>
          <w:rFonts w:eastAsia="Times New Roman" w:cstheme="minorHAnsi"/>
          <w:bCs/>
          <w:spacing w:val="-3"/>
          <w:sz w:val="24"/>
          <w:szCs w:val="20"/>
        </w:rPr>
        <w:t>:</w:t>
      </w: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hows the System's asset allocation policy ranges applicable at June 30, 2018 and 2019.  Equity securities increased from 35-55% in FY18 to 45-65% in FY19; Fixed income securities increased from 13-29% in FY18 to 15-35% in FY19, other decreased from 24-44% in FY18 to 10-30% in FY19; cash remained at 0-10%."/>
      </w:tblPr>
      <w:tblGrid>
        <w:gridCol w:w="2610"/>
        <w:gridCol w:w="1190"/>
        <w:gridCol w:w="1170"/>
      </w:tblGrid>
      <w:tr w:rsidR="001B6918" w:rsidRPr="004E6649" w14:paraId="00F53A09" w14:textId="77777777" w:rsidTr="00730ECF">
        <w:trPr>
          <w:trHeight w:val="234"/>
          <w:tblHeader/>
          <w:jc w:val="center"/>
        </w:trPr>
        <w:tc>
          <w:tcPr>
            <w:tcW w:w="2610" w:type="dxa"/>
          </w:tcPr>
          <w:p w14:paraId="49409804" w14:textId="77777777" w:rsidR="001B6918" w:rsidRPr="004E6649" w:rsidRDefault="001B6918" w:rsidP="00730ECF">
            <w:pPr>
              <w:pStyle w:val="Heading4"/>
              <w:pBdr>
                <w:bottom w:val="none" w:sz="0" w:space="0" w:color="auto"/>
              </w:pBdr>
              <w:spacing w:after="0"/>
              <w:rPr>
                <w:rFonts w:cstheme="minorHAnsi"/>
                <w:i w:val="0"/>
                <w:sz w:val="24"/>
              </w:rPr>
            </w:pPr>
            <w:r w:rsidRPr="004E6649">
              <w:rPr>
                <w:rFonts w:cstheme="minorHAnsi"/>
                <w:i w:val="0"/>
                <w:sz w:val="24"/>
              </w:rPr>
              <w:t xml:space="preserve"> </w:t>
            </w:r>
          </w:p>
        </w:tc>
        <w:tc>
          <w:tcPr>
            <w:tcW w:w="1190" w:type="dxa"/>
          </w:tcPr>
          <w:p w14:paraId="4E14B1F6" w14:textId="77777777" w:rsidR="001B6918" w:rsidRPr="00992740" w:rsidRDefault="001B6918" w:rsidP="00730ECF">
            <w:pPr>
              <w:pStyle w:val="Heading4"/>
              <w:pBdr>
                <w:bottom w:val="none" w:sz="0" w:space="0" w:color="auto"/>
              </w:pBdr>
              <w:spacing w:after="0"/>
              <w:jc w:val="center"/>
              <w:rPr>
                <w:b/>
                <w:i w:val="0"/>
              </w:rPr>
            </w:pPr>
            <w:r w:rsidRPr="00992740">
              <w:rPr>
                <w:b/>
                <w:i w:val="0"/>
              </w:rPr>
              <w:t>2025</w:t>
            </w:r>
          </w:p>
        </w:tc>
        <w:tc>
          <w:tcPr>
            <w:tcW w:w="1170" w:type="dxa"/>
            <w:shd w:val="clear" w:color="auto" w:fill="F2F2F2" w:themeFill="background1" w:themeFillShade="F2"/>
          </w:tcPr>
          <w:p w14:paraId="0AFC0269" w14:textId="77777777" w:rsidR="001B6918" w:rsidRPr="00094548" w:rsidDel="001F34D3" w:rsidRDefault="001B6918" w:rsidP="00730ECF">
            <w:pPr>
              <w:pStyle w:val="Heading4"/>
              <w:pBdr>
                <w:bottom w:val="none" w:sz="0" w:space="0" w:color="auto"/>
              </w:pBdr>
              <w:spacing w:after="0"/>
              <w:jc w:val="center"/>
              <w:rPr>
                <w:rFonts w:cstheme="minorHAnsi"/>
                <w:b/>
                <w:i w:val="0"/>
                <w:sz w:val="24"/>
              </w:rPr>
            </w:pPr>
            <w:r w:rsidRPr="00992740">
              <w:rPr>
                <w:b/>
                <w:i w:val="0"/>
              </w:rPr>
              <w:t>2024</w:t>
            </w:r>
          </w:p>
        </w:tc>
      </w:tr>
      <w:tr w:rsidR="001B6918" w:rsidRPr="004E6649" w14:paraId="24EA4C88" w14:textId="77777777" w:rsidTr="00730ECF">
        <w:trPr>
          <w:jc w:val="center"/>
        </w:trPr>
        <w:tc>
          <w:tcPr>
            <w:tcW w:w="2610" w:type="dxa"/>
          </w:tcPr>
          <w:p w14:paraId="5AC00E1C" w14:textId="77777777" w:rsidR="001B6918" w:rsidRPr="004E6649" w:rsidRDefault="001B6918" w:rsidP="00730ECF">
            <w:pPr>
              <w:tabs>
                <w:tab w:val="left" w:pos="0"/>
                <w:tab w:val="left" w:pos="1440"/>
                <w:tab w:val="left" w:pos="1710"/>
              </w:tabs>
              <w:suppressAutoHyphens/>
              <w:rPr>
                <w:rFonts w:eastAsia="Times New Roman" w:cstheme="minorHAnsi"/>
                <w:bCs/>
                <w:spacing w:val="-3"/>
                <w:sz w:val="24"/>
                <w:szCs w:val="20"/>
              </w:rPr>
            </w:pPr>
            <w:r w:rsidRPr="004E6649">
              <w:rPr>
                <w:rFonts w:eastAsia="Times New Roman" w:cstheme="minorHAnsi"/>
                <w:bCs/>
                <w:spacing w:val="-3"/>
                <w:sz w:val="24"/>
                <w:szCs w:val="20"/>
              </w:rPr>
              <w:t>Equity securities</w:t>
            </w:r>
          </w:p>
        </w:tc>
        <w:tc>
          <w:tcPr>
            <w:tcW w:w="1190" w:type="dxa"/>
          </w:tcPr>
          <w:p w14:paraId="14EA33C6" w14:textId="77777777" w:rsidR="001B6918" w:rsidRPr="00FC780A" w:rsidRDefault="001B6918" w:rsidP="00730ECF">
            <w:pPr>
              <w:pStyle w:val="Heading4"/>
              <w:pBdr>
                <w:bottom w:val="none" w:sz="0" w:space="0" w:color="auto"/>
              </w:pBdr>
              <w:spacing w:after="0"/>
              <w:jc w:val="center"/>
              <w:rPr>
                <w:color w:val="auto"/>
                <w:sz w:val="22"/>
                <w:szCs w:val="22"/>
              </w:rPr>
            </w:pPr>
            <w:r w:rsidRPr="00FC780A">
              <w:rPr>
                <w:i w:val="0"/>
                <w:color w:val="auto"/>
                <w:sz w:val="22"/>
                <w:szCs w:val="22"/>
              </w:rPr>
              <w:t>49-69%</w:t>
            </w:r>
          </w:p>
        </w:tc>
        <w:tc>
          <w:tcPr>
            <w:tcW w:w="1170" w:type="dxa"/>
            <w:shd w:val="clear" w:color="auto" w:fill="F2F2F2" w:themeFill="background1" w:themeFillShade="F2"/>
          </w:tcPr>
          <w:p w14:paraId="77D0EB93" w14:textId="77777777" w:rsidR="001B6918" w:rsidRPr="004E6649" w:rsidDel="001F34D3" w:rsidRDefault="001B6918" w:rsidP="00730ECF">
            <w:pPr>
              <w:tabs>
                <w:tab w:val="left" w:pos="0"/>
                <w:tab w:val="left" w:pos="1440"/>
                <w:tab w:val="left" w:pos="1710"/>
              </w:tabs>
              <w:suppressAutoHyphens/>
              <w:jc w:val="right"/>
              <w:rPr>
                <w:rFonts w:eastAsia="Times New Roman" w:cstheme="minorHAnsi"/>
                <w:bCs/>
                <w:spacing w:val="-3"/>
                <w:sz w:val="24"/>
                <w:szCs w:val="20"/>
              </w:rPr>
            </w:pPr>
            <w:r w:rsidRPr="00C36045">
              <w:t>49-69%</w:t>
            </w:r>
          </w:p>
        </w:tc>
      </w:tr>
      <w:tr w:rsidR="001B6918" w:rsidRPr="004E6649" w14:paraId="3C81FC09" w14:textId="77777777" w:rsidTr="00730ECF">
        <w:trPr>
          <w:jc w:val="center"/>
        </w:trPr>
        <w:tc>
          <w:tcPr>
            <w:tcW w:w="2610" w:type="dxa"/>
          </w:tcPr>
          <w:p w14:paraId="4B86C70F" w14:textId="77777777" w:rsidR="001B6918" w:rsidRPr="004E6649" w:rsidRDefault="001B6918" w:rsidP="00730ECF">
            <w:pPr>
              <w:tabs>
                <w:tab w:val="left" w:pos="0"/>
                <w:tab w:val="left" w:pos="1440"/>
                <w:tab w:val="left" w:pos="1710"/>
              </w:tabs>
              <w:suppressAutoHyphens/>
              <w:rPr>
                <w:rFonts w:eastAsia="Times New Roman" w:cstheme="minorHAnsi"/>
                <w:bCs/>
                <w:spacing w:val="-3"/>
                <w:sz w:val="24"/>
                <w:szCs w:val="20"/>
              </w:rPr>
            </w:pPr>
            <w:r w:rsidRPr="004E6649">
              <w:rPr>
                <w:rFonts w:eastAsia="Times New Roman" w:cstheme="minorHAnsi"/>
                <w:bCs/>
                <w:spacing w:val="-3"/>
                <w:sz w:val="24"/>
                <w:szCs w:val="20"/>
              </w:rPr>
              <w:t>Fixed income securities</w:t>
            </w:r>
          </w:p>
        </w:tc>
        <w:tc>
          <w:tcPr>
            <w:tcW w:w="1190" w:type="dxa"/>
          </w:tcPr>
          <w:p w14:paraId="0C8F797F" w14:textId="77777777" w:rsidR="001B6918" w:rsidRPr="00FC780A" w:rsidRDefault="001B6918" w:rsidP="00730ECF">
            <w:pPr>
              <w:pStyle w:val="Heading4"/>
              <w:pBdr>
                <w:bottom w:val="none" w:sz="0" w:space="0" w:color="auto"/>
              </w:pBdr>
              <w:spacing w:after="0"/>
              <w:jc w:val="center"/>
              <w:rPr>
                <w:color w:val="auto"/>
                <w:sz w:val="22"/>
                <w:szCs w:val="22"/>
              </w:rPr>
            </w:pPr>
            <w:r w:rsidRPr="00FC780A">
              <w:rPr>
                <w:i w:val="0"/>
                <w:color w:val="auto"/>
                <w:sz w:val="22"/>
                <w:szCs w:val="22"/>
              </w:rPr>
              <w:t>16-36%</w:t>
            </w:r>
          </w:p>
        </w:tc>
        <w:tc>
          <w:tcPr>
            <w:tcW w:w="1170" w:type="dxa"/>
            <w:shd w:val="clear" w:color="auto" w:fill="F2F2F2" w:themeFill="background1" w:themeFillShade="F2"/>
          </w:tcPr>
          <w:p w14:paraId="7734B7F4" w14:textId="77777777" w:rsidR="001B6918" w:rsidRPr="004E6649" w:rsidDel="001F34D3" w:rsidRDefault="001B6918" w:rsidP="00730ECF">
            <w:pPr>
              <w:tabs>
                <w:tab w:val="left" w:pos="0"/>
                <w:tab w:val="left" w:pos="1440"/>
                <w:tab w:val="left" w:pos="1710"/>
              </w:tabs>
              <w:suppressAutoHyphens/>
              <w:jc w:val="right"/>
              <w:rPr>
                <w:rFonts w:eastAsia="Times New Roman" w:cstheme="minorHAnsi"/>
                <w:bCs/>
                <w:spacing w:val="-3"/>
                <w:sz w:val="24"/>
                <w:szCs w:val="20"/>
              </w:rPr>
            </w:pPr>
            <w:r w:rsidRPr="00C36045">
              <w:t>16-36%</w:t>
            </w:r>
          </w:p>
        </w:tc>
      </w:tr>
      <w:tr w:rsidR="001B6918" w:rsidRPr="004E6649" w14:paraId="09B25F30" w14:textId="77777777" w:rsidTr="00730ECF">
        <w:trPr>
          <w:jc w:val="center"/>
        </w:trPr>
        <w:tc>
          <w:tcPr>
            <w:tcW w:w="2610" w:type="dxa"/>
          </w:tcPr>
          <w:p w14:paraId="61AEAA6D" w14:textId="77777777" w:rsidR="001B6918" w:rsidRPr="004E6649" w:rsidRDefault="001B6918" w:rsidP="00730ECF">
            <w:pPr>
              <w:tabs>
                <w:tab w:val="left" w:pos="0"/>
                <w:tab w:val="left" w:pos="1440"/>
                <w:tab w:val="left" w:pos="1710"/>
              </w:tabs>
              <w:suppressAutoHyphens/>
              <w:rPr>
                <w:rFonts w:eastAsia="Times New Roman" w:cstheme="minorHAnsi"/>
                <w:bCs/>
                <w:spacing w:val="-3"/>
                <w:sz w:val="24"/>
                <w:szCs w:val="20"/>
              </w:rPr>
            </w:pPr>
            <w:r w:rsidRPr="004E6649">
              <w:rPr>
                <w:rFonts w:eastAsia="Times New Roman" w:cstheme="minorHAnsi"/>
                <w:bCs/>
                <w:spacing w:val="-3"/>
                <w:sz w:val="24"/>
                <w:szCs w:val="20"/>
              </w:rPr>
              <w:t>Other</w:t>
            </w:r>
          </w:p>
        </w:tc>
        <w:tc>
          <w:tcPr>
            <w:tcW w:w="1190" w:type="dxa"/>
          </w:tcPr>
          <w:p w14:paraId="04CD0A8B" w14:textId="77777777" w:rsidR="001B6918" w:rsidRPr="00FC780A" w:rsidRDefault="001B6918" w:rsidP="00730ECF">
            <w:pPr>
              <w:pStyle w:val="Heading4"/>
              <w:pBdr>
                <w:bottom w:val="none" w:sz="0" w:space="0" w:color="auto"/>
              </w:pBdr>
              <w:spacing w:after="0"/>
              <w:jc w:val="center"/>
              <w:rPr>
                <w:color w:val="auto"/>
                <w:sz w:val="22"/>
                <w:szCs w:val="22"/>
              </w:rPr>
            </w:pPr>
            <w:r w:rsidRPr="00FC780A">
              <w:rPr>
                <w:i w:val="0"/>
                <w:color w:val="auto"/>
                <w:sz w:val="22"/>
                <w:szCs w:val="22"/>
              </w:rPr>
              <w:t>5-25%</w:t>
            </w:r>
          </w:p>
        </w:tc>
        <w:tc>
          <w:tcPr>
            <w:tcW w:w="1170" w:type="dxa"/>
            <w:shd w:val="clear" w:color="auto" w:fill="F2F2F2" w:themeFill="background1" w:themeFillShade="F2"/>
          </w:tcPr>
          <w:p w14:paraId="491A1C09" w14:textId="77777777" w:rsidR="001B6918" w:rsidRPr="004E6649" w:rsidDel="001F34D3" w:rsidRDefault="001B6918" w:rsidP="00730ECF">
            <w:pPr>
              <w:tabs>
                <w:tab w:val="left" w:pos="0"/>
                <w:tab w:val="left" w:pos="1440"/>
                <w:tab w:val="left" w:pos="1710"/>
              </w:tabs>
              <w:suppressAutoHyphens/>
              <w:jc w:val="right"/>
              <w:rPr>
                <w:rFonts w:eastAsia="Times New Roman" w:cstheme="minorHAnsi"/>
                <w:bCs/>
                <w:spacing w:val="-3"/>
                <w:sz w:val="24"/>
                <w:szCs w:val="20"/>
              </w:rPr>
            </w:pPr>
            <w:r w:rsidRPr="00C36045">
              <w:t>5-25%</w:t>
            </w:r>
          </w:p>
        </w:tc>
      </w:tr>
      <w:tr w:rsidR="001B6918" w:rsidRPr="004E6649" w14:paraId="67590FED" w14:textId="77777777" w:rsidTr="00730ECF">
        <w:trPr>
          <w:jc w:val="center"/>
        </w:trPr>
        <w:tc>
          <w:tcPr>
            <w:tcW w:w="2610" w:type="dxa"/>
          </w:tcPr>
          <w:p w14:paraId="1AFA66B8" w14:textId="77777777" w:rsidR="001B6918" w:rsidRPr="004E6649" w:rsidRDefault="001B6918" w:rsidP="00730ECF">
            <w:pPr>
              <w:tabs>
                <w:tab w:val="left" w:pos="0"/>
                <w:tab w:val="left" w:pos="1440"/>
                <w:tab w:val="left" w:pos="1710"/>
              </w:tabs>
              <w:suppressAutoHyphens/>
              <w:rPr>
                <w:rFonts w:eastAsia="Times New Roman" w:cstheme="minorHAnsi"/>
                <w:bCs/>
                <w:spacing w:val="-3"/>
                <w:sz w:val="24"/>
                <w:szCs w:val="20"/>
              </w:rPr>
            </w:pPr>
            <w:r w:rsidRPr="004E6649">
              <w:rPr>
                <w:rFonts w:eastAsia="Times New Roman" w:cstheme="minorHAnsi"/>
                <w:bCs/>
                <w:spacing w:val="-3"/>
                <w:sz w:val="24"/>
                <w:szCs w:val="20"/>
              </w:rPr>
              <w:t>Cash</w:t>
            </w:r>
          </w:p>
        </w:tc>
        <w:tc>
          <w:tcPr>
            <w:tcW w:w="1190" w:type="dxa"/>
          </w:tcPr>
          <w:p w14:paraId="13434FC0" w14:textId="77777777" w:rsidR="001B6918" w:rsidRPr="00FC780A" w:rsidRDefault="001B6918" w:rsidP="00730ECF">
            <w:pPr>
              <w:pStyle w:val="Heading4"/>
              <w:pBdr>
                <w:bottom w:val="none" w:sz="0" w:space="0" w:color="auto"/>
              </w:pBdr>
              <w:spacing w:after="0"/>
              <w:jc w:val="center"/>
              <w:rPr>
                <w:color w:val="auto"/>
                <w:sz w:val="22"/>
                <w:szCs w:val="22"/>
              </w:rPr>
            </w:pPr>
            <w:r w:rsidRPr="00FC780A">
              <w:rPr>
                <w:i w:val="0"/>
                <w:color w:val="auto"/>
                <w:sz w:val="22"/>
                <w:szCs w:val="22"/>
              </w:rPr>
              <w:t>0-10%</w:t>
            </w:r>
          </w:p>
        </w:tc>
        <w:tc>
          <w:tcPr>
            <w:tcW w:w="1170" w:type="dxa"/>
            <w:shd w:val="clear" w:color="auto" w:fill="F2F2F2" w:themeFill="background1" w:themeFillShade="F2"/>
          </w:tcPr>
          <w:p w14:paraId="1857475A" w14:textId="77777777" w:rsidR="001B6918" w:rsidRPr="004E6649" w:rsidDel="001F34D3" w:rsidRDefault="001B6918" w:rsidP="00730ECF">
            <w:pPr>
              <w:tabs>
                <w:tab w:val="left" w:pos="0"/>
                <w:tab w:val="left" w:pos="1440"/>
                <w:tab w:val="left" w:pos="1710"/>
              </w:tabs>
              <w:suppressAutoHyphens/>
              <w:jc w:val="right"/>
              <w:rPr>
                <w:rFonts w:eastAsia="Times New Roman" w:cstheme="minorHAnsi"/>
                <w:bCs/>
                <w:spacing w:val="-3"/>
                <w:sz w:val="24"/>
                <w:szCs w:val="20"/>
              </w:rPr>
            </w:pPr>
            <w:r w:rsidRPr="00C36045">
              <w:t>0-10%</w:t>
            </w:r>
          </w:p>
        </w:tc>
      </w:tr>
    </w:tbl>
    <w:p w14:paraId="5EC4D4D5" w14:textId="77777777" w:rsidR="001B6918" w:rsidRPr="004E6649" w:rsidRDefault="001B6918" w:rsidP="001B6918">
      <w:pPr>
        <w:tabs>
          <w:tab w:val="left" w:pos="0"/>
          <w:tab w:val="left" w:pos="1440"/>
          <w:tab w:val="left" w:pos="1710"/>
        </w:tabs>
        <w:suppressAutoHyphens/>
        <w:rPr>
          <w:rFonts w:eastAsia="Times New Roman" w:cstheme="minorHAnsi"/>
          <w:bCs/>
          <w:spacing w:val="-3"/>
          <w:sz w:val="16"/>
          <w:szCs w:val="20"/>
          <w:highlight w:val="yellow"/>
        </w:rPr>
      </w:pPr>
    </w:p>
    <w:p w14:paraId="4025D222" w14:textId="77777777" w:rsidR="001B6918" w:rsidRPr="004E6649" w:rsidRDefault="001B6918" w:rsidP="001B6918">
      <w:pPr>
        <w:tabs>
          <w:tab w:val="left" w:pos="0"/>
          <w:tab w:val="center" w:pos="720"/>
          <w:tab w:val="left" w:pos="1800"/>
        </w:tabs>
        <w:suppressAutoHyphens/>
        <w:rPr>
          <w:rFonts w:eastAsia="Times New Roman" w:cstheme="minorHAnsi"/>
          <w:bCs/>
          <w:spacing w:val="-3"/>
          <w:sz w:val="24"/>
          <w:szCs w:val="20"/>
        </w:rPr>
      </w:pPr>
      <w:r w:rsidRPr="004E6649">
        <w:rPr>
          <w:rFonts w:eastAsia="Times New Roman" w:cstheme="minorHAnsi"/>
          <w:b/>
          <w:spacing w:val="-3"/>
          <w:sz w:val="24"/>
          <w:szCs w:val="20"/>
        </w:rPr>
        <w:t>Authorized Investment Vehicles - Deposits with Trustees</w:t>
      </w:r>
      <w:r w:rsidRPr="004E6649">
        <w:rPr>
          <w:rFonts w:eastAsia="Times New Roman" w:cstheme="minorHAnsi"/>
          <w:bCs/>
          <w:spacing w:val="-3"/>
          <w:sz w:val="24"/>
          <w:szCs w:val="20"/>
        </w:rPr>
        <w:t>: These monies are invested in accordance with the governing bond resolutions and arbitrage certificates.</w:t>
      </w:r>
    </w:p>
    <w:p w14:paraId="05FB4BA1" w14:textId="77777777" w:rsidR="001B6918" w:rsidRPr="00A02D27" w:rsidRDefault="001B6918" w:rsidP="001B6918">
      <w:pPr>
        <w:pStyle w:val="AFR3"/>
        <w:spacing w:after="0"/>
        <w:rPr>
          <w:rFonts w:cstheme="minorHAnsi"/>
          <w:sz w:val="24"/>
          <w:szCs w:val="20"/>
        </w:rPr>
      </w:pPr>
      <w:r w:rsidRPr="00A02D27">
        <w:rPr>
          <w:rFonts w:cstheme="minorHAnsi"/>
          <w:sz w:val="24"/>
          <w:szCs w:val="20"/>
        </w:rPr>
        <w:t>g. Gifts and Pledges</w:t>
      </w:r>
    </w:p>
    <w:p w14:paraId="14911AD6" w14:textId="77777777" w:rsidR="001B6918" w:rsidRDefault="001B6918" w:rsidP="001B6918">
      <w:pPr>
        <w:tabs>
          <w:tab w:val="left" w:pos="720"/>
          <w:tab w:val="left" w:pos="1080"/>
          <w:tab w:val="left" w:pos="5040"/>
        </w:tabs>
        <w:suppressAutoHyphens/>
        <w:rPr>
          <w:rFonts w:cstheme="minorHAnsi"/>
          <w:spacing w:val="-3"/>
          <w:sz w:val="24"/>
        </w:rPr>
      </w:pPr>
      <w:r w:rsidRPr="004E6649">
        <w:rPr>
          <w:rFonts w:cstheme="minorHAnsi"/>
          <w:spacing w:val="-3"/>
          <w:sz w:val="24"/>
        </w:rPr>
        <w:t xml:space="preserve">Gifts are recorded at their fair value at the date of gift. </w:t>
      </w:r>
      <w:r>
        <w:rPr>
          <w:rFonts w:cstheme="minorHAnsi"/>
          <w:spacing w:val="-3"/>
          <w:sz w:val="24"/>
        </w:rPr>
        <w:t>Unconditional pledges of non-endowment gifts are presented net of estimated amounts deemed uncollectible after discounting to the present value of expected future cash flows. Because of uncertainties regarding their realization and valuation, bequest intentions and other conditional promises are not recognized as assets until the specified conditions are met. In accordance with GASB requirements, endowment pledges have not been reported in the accompanying financial statements.</w:t>
      </w:r>
    </w:p>
    <w:p w14:paraId="1DBF31D3" w14:textId="77777777" w:rsidR="001B6918" w:rsidRPr="00A02D27" w:rsidRDefault="001B6918" w:rsidP="001B6918">
      <w:pPr>
        <w:pStyle w:val="AFR3"/>
        <w:spacing w:after="0"/>
        <w:rPr>
          <w:rFonts w:cstheme="minorHAnsi"/>
          <w:sz w:val="24"/>
          <w:szCs w:val="20"/>
        </w:rPr>
      </w:pPr>
      <w:r w:rsidRPr="00A02D27">
        <w:rPr>
          <w:rFonts w:cstheme="minorHAnsi"/>
          <w:sz w:val="24"/>
          <w:szCs w:val="20"/>
        </w:rPr>
        <w:t>h. Grants and Contracts and Capital Appropriations</w:t>
      </w:r>
    </w:p>
    <w:p w14:paraId="5F2F8ED0" w14:textId="3E8698EE" w:rsidR="008C2FDA" w:rsidRDefault="001B6918" w:rsidP="00F51774">
      <w:pPr>
        <w:tabs>
          <w:tab w:val="left" w:pos="720"/>
          <w:tab w:val="left" w:pos="1080"/>
          <w:tab w:val="left" w:pos="5040"/>
        </w:tabs>
        <w:suppressAutoHyphens/>
        <w:rPr>
          <w:rFonts w:eastAsiaTheme="majorEastAsia" w:cstheme="minorHAnsi"/>
          <w:b/>
          <w:i/>
          <w:iCs/>
          <w:smallCaps/>
          <w:noProof/>
          <w:color w:val="000000" w:themeColor="text1"/>
          <w:sz w:val="24"/>
          <w:szCs w:val="24"/>
          <w:u w:color="000000" w:themeColor="text1"/>
        </w:rPr>
      </w:pPr>
      <w:r w:rsidRPr="004E6649">
        <w:rPr>
          <w:rFonts w:cstheme="minorHAnsi"/>
          <w:spacing w:val="-3"/>
          <w:sz w:val="24"/>
        </w:rPr>
        <w:t>The System records a receivable and corresponding revenue for grants and contracts and capital appropriations at the point all eligibility requirements (e.g., allowable costs are incurred) are met.</w:t>
      </w:r>
      <w:r w:rsidR="008C2FDA">
        <w:rPr>
          <w:rFonts w:eastAsiaTheme="majorEastAsia" w:cstheme="minorHAnsi"/>
          <w:iCs/>
          <w:smallCaps/>
          <w:noProof/>
          <w:color w:val="000000" w:themeColor="text1"/>
          <w:sz w:val="24"/>
          <w:szCs w:val="24"/>
        </w:rPr>
        <w:br w:type="page"/>
      </w:r>
    </w:p>
    <w:p w14:paraId="03BE8119" w14:textId="65BEAE3F" w:rsidR="001B6918" w:rsidRPr="00042A13" w:rsidRDefault="001B6918" w:rsidP="00F51774">
      <w:pPr>
        <w:pStyle w:val="AFR3"/>
        <w:spacing w:before="0" w:after="240"/>
        <w:rPr>
          <w:rFonts w:cstheme="minorHAnsi"/>
          <w:iCs/>
          <w:sz w:val="24"/>
          <w:szCs w:val="24"/>
          <w:u w:val="none"/>
        </w:rPr>
      </w:pPr>
      <w:r w:rsidRPr="00A02D27" w:rsidDel="00BB7F53">
        <w:rPr>
          <w:rFonts w:eastAsiaTheme="majorEastAsia" w:cstheme="minorHAnsi"/>
          <w:iCs/>
          <w:smallCaps/>
          <w:noProof/>
          <w:color w:val="000000" w:themeColor="text1"/>
          <w:sz w:val="24"/>
          <w:szCs w:val="24"/>
          <w:u w:val="none"/>
        </w:rPr>
        <w:lastRenderedPageBreak/>
        <w:t xml:space="preserve">1. </w:t>
      </w:r>
      <w:r w:rsidRPr="00A02D27">
        <w:rPr>
          <w:rFonts w:eastAsiaTheme="majorEastAsia" w:cstheme="minorHAnsi"/>
          <w:iCs/>
          <w:smallCaps/>
          <w:noProof/>
          <w:color w:val="000000" w:themeColor="text1"/>
          <w:sz w:val="24"/>
          <w:szCs w:val="24"/>
          <w:u w:val="none"/>
        </w:rPr>
        <w:t>SIGNIFICANT ACCOUNTING POLICIES</w:t>
      </w:r>
      <w:r w:rsidRPr="00A02D27" w:rsidDel="00BB7F53">
        <w:rPr>
          <w:rFonts w:eastAsiaTheme="majorEastAsia" w:cstheme="minorHAnsi"/>
          <w:iCs/>
          <w:smallCaps/>
          <w:noProof/>
          <w:color w:val="000000" w:themeColor="text1"/>
          <w:sz w:val="24"/>
          <w:szCs w:val="24"/>
          <w:u w:val="none"/>
        </w:rPr>
        <w:t xml:space="preserve"> - CONTINUED</w:t>
      </w:r>
    </w:p>
    <w:p w14:paraId="3E6B58D9" w14:textId="77777777" w:rsidR="001B6918" w:rsidRPr="00A02D27" w:rsidRDefault="001B6918" w:rsidP="001B6918">
      <w:pPr>
        <w:pStyle w:val="AFR3"/>
        <w:spacing w:after="0"/>
        <w:rPr>
          <w:rFonts w:cstheme="minorHAnsi"/>
          <w:sz w:val="24"/>
          <w:szCs w:val="20"/>
        </w:rPr>
      </w:pPr>
      <w:proofErr w:type="spellStart"/>
      <w:r w:rsidRPr="00A02D27">
        <w:rPr>
          <w:rFonts w:cstheme="minorHAnsi"/>
          <w:sz w:val="24"/>
          <w:szCs w:val="20"/>
        </w:rPr>
        <w:t>i</w:t>
      </w:r>
      <w:proofErr w:type="spellEnd"/>
      <w:r w:rsidRPr="00A02D27">
        <w:rPr>
          <w:rFonts w:cstheme="minorHAnsi"/>
          <w:sz w:val="24"/>
          <w:szCs w:val="20"/>
        </w:rPr>
        <w:t>. Inventories</w:t>
      </w:r>
    </w:p>
    <w:p w14:paraId="373C6296" w14:textId="77777777" w:rsidR="001B6918" w:rsidRPr="004E6649" w:rsidRDefault="001B6918" w:rsidP="001B6918">
      <w:pPr>
        <w:tabs>
          <w:tab w:val="left" w:pos="720"/>
          <w:tab w:val="left" w:pos="1080"/>
          <w:tab w:val="left" w:pos="5040"/>
        </w:tabs>
        <w:suppressAutoHyphens/>
        <w:rPr>
          <w:rFonts w:eastAsia="Times New Roman" w:cstheme="minorHAnsi"/>
          <w:bCs/>
          <w:spacing w:val="-3"/>
          <w:sz w:val="24"/>
          <w:szCs w:val="20"/>
        </w:rPr>
      </w:pPr>
      <w:r w:rsidRPr="004E6649">
        <w:rPr>
          <w:rFonts w:eastAsia="Times New Roman" w:cstheme="minorHAnsi"/>
          <w:bCs/>
          <w:spacing w:val="-3"/>
          <w:sz w:val="24"/>
          <w:szCs w:val="20"/>
        </w:rPr>
        <w:t>Inventories are stated at cost. Cost is determined using the first-in, first-out method or the average-cost method.</w:t>
      </w:r>
    </w:p>
    <w:p w14:paraId="229EE198" w14:textId="77777777" w:rsidR="001B6918" w:rsidRPr="00A02D27" w:rsidRDefault="001B6918" w:rsidP="001B6918">
      <w:pPr>
        <w:pStyle w:val="AFR3"/>
        <w:spacing w:after="0"/>
        <w:rPr>
          <w:rFonts w:cstheme="minorHAnsi"/>
          <w:sz w:val="24"/>
          <w:szCs w:val="20"/>
        </w:rPr>
      </w:pPr>
      <w:r w:rsidRPr="00A02D27">
        <w:rPr>
          <w:rFonts w:cstheme="minorHAnsi"/>
          <w:sz w:val="24"/>
          <w:szCs w:val="20"/>
        </w:rPr>
        <w:t>j. Capital Assets</w:t>
      </w:r>
    </w:p>
    <w:p w14:paraId="44415A89" w14:textId="77777777" w:rsidR="001B6918" w:rsidRDefault="001B6918" w:rsidP="001B6918">
      <w:pPr>
        <w:spacing w:after="160"/>
        <w:rPr>
          <w:rFonts w:eastAsiaTheme="majorEastAsia" w:cstheme="minorHAnsi"/>
          <w:b/>
          <w:i/>
          <w:iCs/>
          <w:smallCaps/>
          <w:noProof/>
          <w:color w:val="000000" w:themeColor="text1"/>
          <w:sz w:val="26"/>
          <w:szCs w:val="26"/>
          <w:u w:color="000000" w:themeColor="text1"/>
        </w:rPr>
      </w:pPr>
      <w:r w:rsidRPr="004E6649">
        <w:rPr>
          <w:rFonts w:cstheme="minorHAnsi"/>
          <w:spacing w:val="-3"/>
          <w:sz w:val="24"/>
        </w:rPr>
        <w:t xml:space="preserve">Capital assets which include property, plant, equipment, intangible assets and library holdings are recorded at cost when purchased or constructed, at net present value of lease and SBITA agreements and at acquisition value at date of donation. </w:t>
      </w:r>
      <w:r w:rsidRPr="004E6649">
        <w:rPr>
          <w:rFonts w:cstheme="minorHAnsi"/>
          <w:bCs/>
          <w:spacing w:val="-3"/>
          <w:sz w:val="24"/>
        </w:rPr>
        <w:t>Costs for maintenance, repairs and minor renewals and replacements are expensed as incurred; major renewals and replacements are capitalized.</w:t>
      </w:r>
    </w:p>
    <w:p w14:paraId="1A3B1D34" w14:textId="77777777" w:rsidR="001B6918" w:rsidRPr="004E6649" w:rsidRDefault="001B6918" w:rsidP="001B6918">
      <w:pPr>
        <w:pStyle w:val="ListParagraph"/>
        <w:spacing w:after="160"/>
        <w:ind w:left="0"/>
        <w:rPr>
          <w:rFonts w:asciiTheme="minorHAnsi" w:eastAsiaTheme="majorEastAsia" w:hAnsiTheme="minorHAnsi" w:cstheme="minorHAnsi"/>
          <w:b/>
          <w:i/>
          <w:iCs/>
          <w:smallCaps/>
          <w:noProof/>
          <w:color w:val="000000" w:themeColor="text1"/>
          <w:sz w:val="26"/>
          <w:szCs w:val="26"/>
          <w:u w:color="5B9BD5"/>
        </w:rPr>
      </w:pPr>
      <w:r w:rsidRPr="004E6649">
        <w:rPr>
          <w:rFonts w:asciiTheme="minorHAnsi" w:hAnsiTheme="minorHAnsi" w:cstheme="minorHAnsi"/>
          <w:bCs/>
          <w:spacing w:val="-3"/>
          <w:szCs w:val="22"/>
        </w:rPr>
        <w:t xml:space="preserve">Prior to July </w:t>
      </w:r>
      <w:r w:rsidRPr="004E6649">
        <w:rPr>
          <w:rFonts w:asciiTheme="minorHAnsi" w:hAnsiTheme="minorHAnsi" w:cstheme="minorHAnsi"/>
          <w:spacing w:val="-3"/>
          <w:szCs w:val="20"/>
        </w:rPr>
        <w:t>1, 2003, library materials were generally capitalized and depreciated over a ten-year period. Effective July 1, 2003, the System began to expense library materials as incurred. The System will retain the undepreciated library materials balance as a core non-depreciating asset.</w:t>
      </w:r>
    </w:p>
    <w:p w14:paraId="68DC08CA" w14:textId="77777777" w:rsidR="001B6918" w:rsidRPr="004E6649" w:rsidRDefault="001B6918" w:rsidP="001B6918">
      <w:pPr>
        <w:tabs>
          <w:tab w:val="left" w:pos="1440"/>
          <w:tab w:val="left" w:pos="1848"/>
          <w:tab w:val="left" w:pos="5040"/>
          <w:tab w:val="right" w:pos="7260"/>
        </w:tabs>
        <w:suppressAutoHyphens/>
        <w:spacing w:after="160"/>
        <w:rPr>
          <w:rFonts w:eastAsia="Times New Roman" w:cstheme="minorHAnsi"/>
          <w:bCs/>
          <w:spacing w:val="-3"/>
          <w:sz w:val="24"/>
          <w:szCs w:val="20"/>
        </w:rPr>
      </w:pPr>
      <w:r w:rsidRPr="004E6649">
        <w:rPr>
          <w:rFonts w:eastAsia="Times New Roman" w:cstheme="minorHAnsi"/>
          <w:bCs/>
          <w:spacing w:val="-3"/>
          <w:sz w:val="24"/>
          <w:szCs w:val="20"/>
        </w:rPr>
        <w:t>The System does not capitalize and depreciate its collections of historical treasures and works of art because it is the System’s policy that:</w:t>
      </w:r>
    </w:p>
    <w:p w14:paraId="5C4A105D" w14:textId="77777777" w:rsidR="001B6918" w:rsidRPr="004E6649" w:rsidRDefault="001B6918" w:rsidP="001B6918">
      <w:pPr>
        <w:numPr>
          <w:ilvl w:val="0"/>
          <w:numId w:val="5"/>
        </w:numPr>
        <w:tabs>
          <w:tab w:val="left" w:pos="1848"/>
          <w:tab w:val="left" w:pos="2520"/>
          <w:tab w:val="left" w:pos="5040"/>
          <w:tab w:val="right" w:pos="7260"/>
        </w:tabs>
        <w:suppressAutoHyphens/>
        <w:ind w:hanging="446"/>
        <w:rPr>
          <w:rFonts w:eastAsia="Times New Roman" w:cstheme="minorHAnsi"/>
          <w:bCs/>
          <w:spacing w:val="-3"/>
          <w:sz w:val="24"/>
          <w:szCs w:val="20"/>
        </w:rPr>
      </w:pPr>
      <w:r w:rsidRPr="004E6649">
        <w:rPr>
          <w:rFonts w:eastAsia="Times New Roman" w:cstheme="minorHAnsi"/>
          <w:bCs/>
          <w:spacing w:val="-3"/>
          <w:sz w:val="24"/>
          <w:szCs w:val="20"/>
        </w:rPr>
        <w:t>Works of art and historical treasures are to be held for public exhibition, education, or research in furtherance of public service, rather than for financial gain.</w:t>
      </w:r>
    </w:p>
    <w:p w14:paraId="2062979A" w14:textId="77777777" w:rsidR="001B6918" w:rsidRPr="004E6649" w:rsidRDefault="001B6918" w:rsidP="001B6918">
      <w:pPr>
        <w:numPr>
          <w:ilvl w:val="0"/>
          <w:numId w:val="5"/>
        </w:numPr>
        <w:tabs>
          <w:tab w:val="left" w:pos="1440"/>
          <w:tab w:val="left" w:pos="1848"/>
          <w:tab w:val="left" w:pos="5040"/>
          <w:tab w:val="right" w:pos="7260"/>
        </w:tabs>
        <w:suppressAutoHyphens/>
        <w:ind w:hanging="446"/>
        <w:rPr>
          <w:rFonts w:eastAsia="Times New Roman" w:cstheme="minorHAnsi"/>
          <w:bCs/>
          <w:spacing w:val="-3"/>
          <w:sz w:val="24"/>
          <w:szCs w:val="20"/>
        </w:rPr>
      </w:pPr>
      <w:r w:rsidRPr="004E6649">
        <w:rPr>
          <w:rFonts w:eastAsia="Times New Roman" w:cstheme="minorHAnsi"/>
          <w:bCs/>
          <w:spacing w:val="-3"/>
          <w:sz w:val="24"/>
          <w:szCs w:val="20"/>
        </w:rPr>
        <w:t>Works of art and historical treasures are to be protected, kept unencumbered, cared for, and preserved.</w:t>
      </w:r>
    </w:p>
    <w:p w14:paraId="015EC44B" w14:textId="77777777" w:rsidR="001B6918" w:rsidRPr="004E6649" w:rsidRDefault="001B6918" w:rsidP="001B6918">
      <w:pPr>
        <w:numPr>
          <w:ilvl w:val="0"/>
          <w:numId w:val="5"/>
        </w:numPr>
        <w:tabs>
          <w:tab w:val="left" w:pos="1440"/>
          <w:tab w:val="left" w:pos="1848"/>
          <w:tab w:val="left" w:pos="5040"/>
          <w:tab w:val="right" w:pos="7260"/>
        </w:tabs>
        <w:suppressAutoHyphens/>
        <w:ind w:hanging="446"/>
        <w:rPr>
          <w:rFonts w:eastAsia="Times New Roman" w:cstheme="minorHAnsi"/>
          <w:bCs/>
          <w:spacing w:val="-3"/>
          <w:sz w:val="24"/>
          <w:szCs w:val="20"/>
        </w:rPr>
      </w:pPr>
      <w:r w:rsidRPr="004E6649">
        <w:rPr>
          <w:rFonts w:eastAsia="Times New Roman" w:cstheme="minorHAnsi"/>
          <w:bCs/>
          <w:spacing w:val="-3"/>
          <w:sz w:val="24"/>
          <w:szCs w:val="20"/>
        </w:rPr>
        <w:t>Proceeds from sale of works of art and historical treasures are to be used to acquire other items for the collections.</w:t>
      </w:r>
    </w:p>
    <w:p w14:paraId="2B9D2074" w14:textId="77777777" w:rsidR="001B6918" w:rsidRPr="004E6649" w:rsidRDefault="001B6918" w:rsidP="001B6918">
      <w:pPr>
        <w:tabs>
          <w:tab w:val="left" w:pos="1440"/>
          <w:tab w:val="left" w:pos="5040"/>
        </w:tabs>
        <w:suppressAutoHyphens/>
        <w:rPr>
          <w:rFonts w:eastAsia="Times New Roman" w:cstheme="minorHAnsi"/>
          <w:spacing w:val="-3"/>
          <w:sz w:val="20"/>
          <w:szCs w:val="16"/>
        </w:rPr>
      </w:pPr>
    </w:p>
    <w:p w14:paraId="45F2C640" w14:textId="6FBBA9DD" w:rsidR="001B6918" w:rsidRPr="00085472" w:rsidRDefault="001B6918" w:rsidP="001B6918">
      <w:pPr>
        <w:tabs>
          <w:tab w:val="left" w:pos="1440"/>
          <w:tab w:val="left" w:pos="5040"/>
        </w:tabs>
        <w:suppressAutoHyphens/>
        <w:rPr>
          <w:sz w:val="18"/>
          <w:szCs w:val="14"/>
        </w:rPr>
      </w:pPr>
      <w:r>
        <w:rPr>
          <w:rFonts w:eastAsia="Times New Roman" w:cstheme="minorHAnsi"/>
          <w:spacing w:val="-3"/>
          <w:sz w:val="24"/>
          <w:szCs w:val="20"/>
        </w:rPr>
        <w:t xml:space="preserve">For FY25 and FY24 </w:t>
      </w:r>
      <w:r w:rsidRPr="004E6649">
        <w:rPr>
          <w:rFonts w:eastAsia="Times New Roman" w:cstheme="minorHAnsi"/>
          <w:spacing w:val="-3"/>
          <w:sz w:val="24"/>
          <w:szCs w:val="20"/>
        </w:rPr>
        <w:t>capitalization threshold</w:t>
      </w:r>
      <w:r>
        <w:rPr>
          <w:rFonts w:eastAsia="Times New Roman" w:cstheme="minorHAnsi"/>
          <w:spacing w:val="-3"/>
          <w:sz w:val="24"/>
          <w:szCs w:val="20"/>
        </w:rPr>
        <w:t>s</w:t>
      </w:r>
      <w:r w:rsidRPr="004E6649">
        <w:rPr>
          <w:rFonts w:eastAsia="Times New Roman" w:cstheme="minorHAnsi"/>
          <w:spacing w:val="-3"/>
          <w:sz w:val="24"/>
          <w:szCs w:val="20"/>
        </w:rPr>
        <w:t xml:space="preserve"> of $</w:t>
      </w:r>
      <w:r>
        <w:rPr>
          <w:rFonts w:eastAsia="Times New Roman" w:cstheme="minorHAnsi"/>
          <w:spacing w:val="-3"/>
          <w:sz w:val="24"/>
          <w:szCs w:val="20"/>
        </w:rPr>
        <w:t>10</w:t>
      </w:r>
      <w:r w:rsidRPr="004E6649">
        <w:rPr>
          <w:rFonts w:eastAsia="Times New Roman" w:cstheme="minorHAnsi"/>
          <w:spacing w:val="-3"/>
          <w:sz w:val="24"/>
          <w:szCs w:val="20"/>
        </w:rPr>
        <w:t>0</w:t>
      </w:r>
      <w:r>
        <w:rPr>
          <w:rFonts w:eastAsia="Times New Roman" w:cstheme="minorHAnsi"/>
          <w:spacing w:val="-3"/>
          <w:sz w:val="24"/>
          <w:szCs w:val="20"/>
        </w:rPr>
        <w:t xml:space="preserve"> and $50, respectively,</w:t>
      </w:r>
      <w:r w:rsidRPr="004E6649">
        <w:rPr>
          <w:rFonts w:eastAsia="Times New Roman" w:cstheme="minorHAnsi"/>
          <w:spacing w:val="-3"/>
          <w:sz w:val="24"/>
          <w:szCs w:val="20"/>
        </w:rPr>
        <w:t xml:space="preserve"> </w:t>
      </w:r>
      <w:r>
        <w:rPr>
          <w:rFonts w:eastAsia="Times New Roman" w:cstheme="minorHAnsi"/>
          <w:spacing w:val="-3"/>
          <w:sz w:val="24"/>
          <w:szCs w:val="20"/>
        </w:rPr>
        <w:t>are</w:t>
      </w:r>
      <w:r w:rsidRPr="004E6649">
        <w:rPr>
          <w:rFonts w:eastAsia="Times New Roman" w:cstheme="minorHAnsi"/>
          <w:spacing w:val="-3"/>
          <w:sz w:val="24"/>
          <w:szCs w:val="20"/>
        </w:rPr>
        <w:t xml:space="preserve"> used for buildings, building additions and improvements, land improvements, internally generated intangibles </w:t>
      </w:r>
      <w:r w:rsidRPr="0035434B">
        <w:rPr>
          <w:rFonts w:eastAsia="Times New Roman" w:cstheme="minorHAnsi"/>
          <w:spacing w:val="-3"/>
          <w:sz w:val="24"/>
          <w:szCs w:val="20"/>
        </w:rPr>
        <w:t>and SBITA agreements</w:t>
      </w:r>
      <w:r>
        <w:rPr>
          <w:rFonts w:eastAsia="Times New Roman" w:cstheme="minorHAnsi"/>
          <w:spacing w:val="-3"/>
          <w:sz w:val="24"/>
          <w:szCs w:val="20"/>
        </w:rPr>
        <w:t>.</w:t>
      </w:r>
      <w:r w:rsidRPr="004E6649">
        <w:rPr>
          <w:rFonts w:eastAsia="Times New Roman" w:cstheme="minorHAnsi"/>
          <w:spacing w:val="-3"/>
          <w:sz w:val="24"/>
          <w:szCs w:val="20"/>
        </w:rPr>
        <w:t xml:space="preserve"> Equipment (including equipment acquired under leases) and purchased software are capitalized with a unit cost of $5 or more. </w:t>
      </w:r>
      <w:r w:rsidRPr="004E6649">
        <w:rPr>
          <w:rFonts w:eastAsia="Times New Roman" w:cstheme="minorHAnsi"/>
          <w:bCs/>
          <w:spacing w:val="-3"/>
          <w:sz w:val="24"/>
          <w:szCs w:val="20"/>
        </w:rPr>
        <w:t xml:space="preserve">These assets, with the exception of land, are depreciated and amortized using the straight-line basis over the estimated useful lives of the related assets, which range from </w:t>
      </w:r>
      <w:r w:rsidRPr="0035434B">
        <w:rPr>
          <w:rFonts w:eastAsia="Times New Roman" w:cstheme="minorHAnsi"/>
          <w:bCs/>
          <w:spacing w:val="-3"/>
          <w:sz w:val="24"/>
          <w:szCs w:val="20"/>
        </w:rPr>
        <w:t xml:space="preserve">4 to 60 </w:t>
      </w:r>
      <w:r w:rsidRPr="004E6649">
        <w:rPr>
          <w:rFonts w:eastAsia="Times New Roman" w:cstheme="minorHAnsi"/>
          <w:bCs/>
          <w:spacing w:val="-3"/>
          <w:sz w:val="24"/>
          <w:szCs w:val="20"/>
        </w:rPr>
        <w:t>years</w:t>
      </w:r>
      <w:r w:rsidR="00DB1A45">
        <w:rPr>
          <w:rFonts w:eastAsia="Times New Roman" w:cstheme="minorHAnsi"/>
          <w:bCs/>
          <w:spacing w:val="-3"/>
          <w:sz w:val="24"/>
          <w:szCs w:val="20"/>
        </w:rPr>
        <w:t>.</w:t>
      </w:r>
    </w:p>
    <w:p w14:paraId="0DAC6EDD" w14:textId="77777777" w:rsidR="001B6918" w:rsidRPr="00A02D27" w:rsidRDefault="001B6918" w:rsidP="001B6918">
      <w:pPr>
        <w:pStyle w:val="AFR3"/>
        <w:spacing w:after="0"/>
        <w:rPr>
          <w:rFonts w:cstheme="minorHAnsi"/>
          <w:sz w:val="24"/>
          <w:szCs w:val="24"/>
        </w:rPr>
      </w:pPr>
      <w:r w:rsidRPr="00A02D27">
        <w:rPr>
          <w:rFonts w:cstheme="minorHAnsi"/>
          <w:sz w:val="24"/>
          <w:szCs w:val="24"/>
        </w:rPr>
        <w:t>k. Obligations for Right</w:t>
      </w:r>
      <w:r>
        <w:rPr>
          <w:rFonts w:cstheme="minorHAnsi"/>
          <w:sz w:val="24"/>
          <w:szCs w:val="24"/>
        </w:rPr>
        <w:t>-to-</w:t>
      </w:r>
      <w:r w:rsidRPr="00A02D27">
        <w:rPr>
          <w:rFonts w:cstheme="minorHAnsi"/>
          <w:sz w:val="24"/>
          <w:szCs w:val="24"/>
        </w:rPr>
        <w:t>Use Assets and Subscription Based Information Technology Arrangements</w:t>
      </w:r>
      <w:r>
        <w:rPr>
          <w:rFonts w:cstheme="minorHAnsi"/>
          <w:sz w:val="24"/>
          <w:szCs w:val="24"/>
        </w:rPr>
        <w:t xml:space="preserve"> (SBITAs)</w:t>
      </w:r>
    </w:p>
    <w:p w14:paraId="2B25DBC5" w14:textId="77777777" w:rsidR="001B6918" w:rsidRPr="004E6649" w:rsidRDefault="001B6918" w:rsidP="001B6918">
      <w:pPr>
        <w:tabs>
          <w:tab w:val="left" w:pos="1440"/>
          <w:tab w:val="left" w:pos="5040"/>
        </w:tabs>
        <w:suppressAutoHyphens/>
        <w:rPr>
          <w:rFonts w:eastAsia="Times New Roman" w:cstheme="minorHAnsi"/>
          <w:bCs/>
          <w:spacing w:val="-3"/>
          <w:sz w:val="24"/>
          <w:szCs w:val="24"/>
        </w:rPr>
      </w:pPr>
      <w:r w:rsidRPr="004E6649">
        <w:rPr>
          <w:rFonts w:eastAsia="Times New Roman" w:cstheme="minorHAnsi"/>
          <w:bCs/>
          <w:spacing w:val="-3"/>
          <w:sz w:val="24"/>
          <w:szCs w:val="24"/>
        </w:rPr>
        <w:t xml:space="preserve">The System is a lessee and a lessor for various noncancelable leases of buildings and has noncancelable SBITAs or the right to use information technology hardware and software. </w:t>
      </w:r>
    </w:p>
    <w:p w14:paraId="666CD2FB" w14:textId="77777777" w:rsidR="001B6918" w:rsidRPr="004E6649" w:rsidRDefault="001B6918" w:rsidP="001B6918">
      <w:pPr>
        <w:tabs>
          <w:tab w:val="left" w:pos="1440"/>
          <w:tab w:val="left" w:pos="5040"/>
        </w:tabs>
        <w:suppressAutoHyphens/>
        <w:rPr>
          <w:rFonts w:eastAsia="Times New Roman" w:cstheme="minorHAnsi"/>
          <w:bCs/>
          <w:spacing w:val="-3"/>
          <w:sz w:val="24"/>
          <w:szCs w:val="24"/>
        </w:rPr>
      </w:pPr>
    </w:p>
    <w:p w14:paraId="77E6CCC9" w14:textId="77777777" w:rsidR="001B6918" w:rsidRPr="004E6649" w:rsidRDefault="001B6918" w:rsidP="001B6918">
      <w:pPr>
        <w:tabs>
          <w:tab w:val="left" w:pos="1440"/>
          <w:tab w:val="left" w:pos="5040"/>
        </w:tabs>
        <w:suppressAutoHyphens/>
        <w:spacing w:after="160"/>
        <w:rPr>
          <w:rFonts w:eastAsia="Times New Roman" w:cstheme="minorHAnsi"/>
          <w:bCs/>
          <w:spacing w:val="-3"/>
          <w:sz w:val="24"/>
          <w:szCs w:val="24"/>
        </w:rPr>
      </w:pPr>
      <w:r w:rsidRPr="004E6649">
        <w:rPr>
          <w:rFonts w:eastAsia="Times New Roman" w:cstheme="minorHAnsi"/>
          <w:b/>
          <w:spacing w:val="-3"/>
          <w:sz w:val="24"/>
          <w:szCs w:val="24"/>
        </w:rPr>
        <w:t xml:space="preserve">Short-term Leases and SBITAs: </w:t>
      </w:r>
      <w:r w:rsidRPr="004E6649">
        <w:rPr>
          <w:rFonts w:eastAsia="Times New Roman" w:cstheme="minorHAnsi"/>
          <w:bCs/>
          <w:spacing w:val="-3"/>
          <w:sz w:val="24"/>
          <w:szCs w:val="24"/>
        </w:rPr>
        <w:t>For leases and SBITAs with a maximum possible term of 12 months or less at commencement, the System recognizes expense based on the provisions of the contract.</w:t>
      </w:r>
    </w:p>
    <w:p w14:paraId="3BCFC2C5" w14:textId="2C6FC5DA" w:rsidR="008C2FDA" w:rsidRDefault="001B6918">
      <w:pPr>
        <w:spacing w:after="160" w:line="259" w:lineRule="auto"/>
        <w:rPr>
          <w:rFonts w:eastAsiaTheme="majorEastAsia" w:cstheme="minorHAnsi"/>
          <w:b/>
          <w:i/>
          <w:iCs/>
          <w:smallCaps/>
          <w:noProof/>
          <w:color w:val="000000" w:themeColor="text1"/>
          <w:sz w:val="24"/>
          <w:szCs w:val="24"/>
          <w:u w:color="000000" w:themeColor="text1"/>
        </w:rPr>
      </w:pPr>
      <w:r w:rsidRPr="004E6649">
        <w:rPr>
          <w:rFonts w:eastAsia="Times New Roman" w:cstheme="minorHAnsi"/>
          <w:b/>
          <w:spacing w:val="-3"/>
          <w:sz w:val="24"/>
          <w:szCs w:val="24"/>
        </w:rPr>
        <w:t xml:space="preserve">Leases and SBITAs Other Than Short-term: </w:t>
      </w:r>
      <w:r w:rsidRPr="004E6649">
        <w:rPr>
          <w:rFonts w:eastAsia="Times New Roman" w:cstheme="minorHAnsi"/>
          <w:bCs/>
          <w:spacing w:val="-3"/>
          <w:sz w:val="24"/>
          <w:szCs w:val="24"/>
        </w:rPr>
        <w:t>For all other leases and SBITAs (i.e. those that are not short-term), the System recognizes an obligation for right</w:t>
      </w:r>
      <w:r>
        <w:rPr>
          <w:rFonts w:eastAsia="Times New Roman" w:cstheme="minorHAnsi"/>
          <w:bCs/>
          <w:spacing w:val="-3"/>
          <w:sz w:val="24"/>
          <w:szCs w:val="24"/>
        </w:rPr>
        <w:t>-to-</w:t>
      </w:r>
      <w:r w:rsidRPr="004E6649">
        <w:rPr>
          <w:rFonts w:eastAsia="Times New Roman" w:cstheme="minorHAnsi"/>
          <w:bCs/>
          <w:spacing w:val="-3"/>
          <w:sz w:val="24"/>
          <w:szCs w:val="24"/>
        </w:rPr>
        <w:t>use assets and an intangible right</w:t>
      </w:r>
      <w:r>
        <w:rPr>
          <w:rFonts w:eastAsia="Times New Roman" w:cstheme="minorHAnsi"/>
          <w:bCs/>
          <w:spacing w:val="-3"/>
          <w:sz w:val="24"/>
          <w:szCs w:val="24"/>
        </w:rPr>
        <w:t>-to-use</w:t>
      </w:r>
      <w:r w:rsidRPr="004E6649">
        <w:rPr>
          <w:rFonts w:eastAsia="Times New Roman" w:cstheme="minorHAnsi"/>
          <w:bCs/>
          <w:spacing w:val="-3"/>
          <w:sz w:val="24"/>
          <w:szCs w:val="24"/>
        </w:rPr>
        <w:t xml:space="preserve"> asset as a lessee or a lease receivable and deferred inflow of resources as a lessor.</w:t>
      </w:r>
      <w:r w:rsidR="008C2FDA">
        <w:rPr>
          <w:rFonts w:eastAsiaTheme="majorEastAsia" w:cstheme="minorHAnsi"/>
          <w:iCs/>
          <w:smallCaps/>
          <w:noProof/>
          <w:color w:val="000000" w:themeColor="text1"/>
          <w:sz w:val="24"/>
          <w:szCs w:val="24"/>
        </w:rPr>
        <w:br w:type="page"/>
      </w:r>
    </w:p>
    <w:p w14:paraId="0E0EAD4B" w14:textId="1FE553E2" w:rsidR="001B6918" w:rsidRPr="00042A13" w:rsidRDefault="001B6918" w:rsidP="00F51774">
      <w:pPr>
        <w:pStyle w:val="AFR3"/>
        <w:spacing w:before="0" w:after="240"/>
        <w:rPr>
          <w:rFonts w:cstheme="minorHAnsi"/>
          <w:iCs/>
          <w:sz w:val="24"/>
          <w:szCs w:val="24"/>
          <w:u w:val="none"/>
        </w:rPr>
      </w:pPr>
      <w:r w:rsidRPr="00A02D27" w:rsidDel="00BB7F53">
        <w:rPr>
          <w:rFonts w:eastAsiaTheme="majorEastAsia" w:cstheme="minorHAnsi"/>
          <w:iCs/>
          <w:smallCaps/>
          <w:noProof/>
          <w:color w:val="000000" w:themeColor="text1"/>
          <w:sz w:val="24"/>
          <w:szCs w:val="24"/>
          <w:u w:val="none"/>
        </w:rPr>
        <w:lastRenderedPageBreak/>
        <w:t xml:space="preserve">1. </w:t>
      </w:r>
      <w:r w:rsidRPr="00A02D27">
        <w:rPr>
          <w:rFonts w:eastAsiaTheme="majorEastAsia" w:cstheme="minorHAnsi"/>
          <w:iCs/>
          <w:smallCaps/>
          <w:noProof/>
          <w:color w:val="000000" w:themeColor="text1"/>
          <w:sz w:val="24"/>
          <w:szCs w:val="24"/>
          <w:u w:val="none"/>
        </w:rPr>
        <w:t>SIGNIFICANT ACCOUNTING POLICIES</w:t>
      </w:r>
      <w:r w:rsidRPr="00A02D27" w:rsidDel="00BB7F53">
        <w:rPr>
          <w:rFonts w:eastAsiaTheme="majorEastAsia" w:cstheme="minorHAnsi"/>
          <w:iCs/>
          <w:smallCaps/>
          <w:noProof/>
          <w:color w:val="000000" w:themeColor="text1"/>
          <w:sz w:val="24"/>
          <w:szCs w:val="24"/>
          <w:u w:val="none"/>
        </w:rPr>
        <w:t xml:space="preserve"> - CONTINUED</w:t>
      </w:r>
    </w:p>
    <w:p w14:paraId="641AD1F6" w14:textId="77777777" w:rsidR="001B6918" w:rsidRPr="004E6649" w:rsidRDefault="001B6918" w:rsidP="001B6918">
      <w:pPr>
        <w:tabs>
          <w:tab w:val="left" w:pos="1440"/>
          <w:tab w:val="left" w:pos="5040"/>
        </w:tabs>
        <w:suppressAutoHyphens/>
        <w:spacing w:after="160"/>
        <w:rPr>
          <w:rFonts w:eastAsia="Times New Roman" w:cstheme="minorHAnsi"/>
          <w:bCs/>
          <w:spacing w:val="-3"/>
          <w:sz w:val="24"/>
          <w:szCs w:val="24"/>
        </w:rPr>
      </w:pPr>
      <w:r w:rsidRPr="004E6649">
        <w:rPr>
          <w:rFonts w:eastAsia="Times New Roman" w:cstheme="minorHAnsi"/>
          <w:b/>
          <w:spacing w:val="-3"/>
          <w:sz w:val="24"/>
          <w:szCs w:val="24"/>
        </w:rPr>
        <w:t xml:space="preserve">Measurement of Lease and SBITA Amounts: </w:t>
      </w:r>
      <w:r w:rsidRPr="004E6649">
        <w:rPr>
          <w:rFonts w:eastAsia="Times New Roman" w:cstheme="minorHAnsi"/>
          <w:bCs/>
          <w:spacing w:val="-3"/>
          <w:sz w:val="24"/>
          <w:szCs w:val="24"/>
        </w:rPr>
        <w:t xml:space="preserve">At lease or SBITA commencement, the System initially measures the liability or receivable at the present value of payments expected to be made during the term. Subsequently, the lease or SBITA liability is reduced by the principal portion of payments made and the underlying asset is amortized on a straight-line basis over the shorter of the lease or SBITA term or the useful life of the underlying asset. The lease receivable is reduced by the principal portion of payments received and the related deferred inflows are amortized under the interest method to recognize rental revenue. </w:t>
      </w:r>
    </w:p>
    <w:p w14:paraId="73F5C1A6" w14:textId="77777777" w:rsidR="001B6918" w:rsidRDefault="001B6918" w:rsidP="001B6918">
      <w:pPr>
        <w:tabs>
          <w:tab w:val="left" w:pos="1440"/>
          <w:tab w:val="left" w:pos="5040"/>
        </w:tabs>
        <w:suppressAutoHyphens/>
        <w:spacing w:after="120"/>
        <w:rPr>
          <w:rFonts w:cstheme="minorHAnsi"/>
          <w:bCs/>
          <w:spacing w:val="-3"/>
          <w:sz w:val="24"/>
          <w:szCs w:val="24"/>
        </w:rPr>
      </w:pPr>
      <w:r w:rsidRPr="004E6649">
        <w:rPr>
          <w:rFonts w:eastAsia="Times New Roman" w:cstheme="minorHAnsi"/>
          <w:b/>
          <w:spacing w:val="-3"/>
          <w:sz w:val="24"/>
          <w:szCs w:val="24"/>
        </w:rPr>
        <w:t xml:space="preserve">Key Estimates and Judgments: </w:t>
      </w:r>
      <w:r w:rsidRPr="004E6649">
        <w:rPr>
          <w:rFonts w:eastAsia="Times New Roman" w:cstheme="minorHAnsi"/>
          <w:bCs/>
          <w:spacing w:val="-3"/>
          <w:sz w:val="24"/>
          <w:szCs w:val="24"/>
        </w:rPr>
        <w:t xml:space="preserve">Key estimates and judgments include </w:t>
      </w:r>
      <w:r>
        <w:rPr>
          <w:rFonts w:eastAsia="Times New Roman" w:cstheme="minorHAnsi"/>
          <w:bCs/>
          <w:spacing w:val="-3"/>
          <w:sz w:val="24"/>
          <w:szCs w:val="24"/>
        </w:rPr>
        <w:t xml:space="preserve">the following: </w:t>
      </w:r>
    </w:p>
    <w:p w14:paraId="3613041A" w14:textId="77777777" w:rsidR="001B6918" w:rsidRPr="002024DE" w:rsidRDefault="001B6918" w:rsidP="001B6918">
      <w:pPr>
        <w:pStyle w:val="ListParagraph"/>
        <w:numPr>
          <w:ilvl w:val="0"/>
          <w:numId w:val="45"/>
        </w:numPr>
        <w:tabs>
          <w:tab w:val="left" w:pos="1440"/>
          <w:tab w:val="left" w:pos="5040"/>
        </w:tabs>
        <w:suppressAutoHyphens/>
        <w:spacing w:after="120"/>
        <w:rPr>
          <w:rFonts w:cstheme="minorHAnsi"/>
          <w:bCs/>
          <w:spacing w:val="-3"/>
        </w:rPr>
      </w:pPr>
      <w:r w:rsidRPr="002024DE">
        <w:rPr>
          <w:rFonts w:asciiTheme="minorHAnsi" w:hAnsiTheme="minorHAnsi" w:cstheme="minorHAnsi"/>
          <w:bCs/>
          <w:spacing w:val="-3"/>
        </w:rPr>
        <w:t xml:space="preserve">The System generally uses its estimated incremental borrowing rate as the discount rate for lease and SBITA arrangements unless the rate that the lessor/vendor charges is known. </w:t>
      </w:r>
    </w:p>
    <w:p w14:paraId="12912A99" w14:textId="77777777" w:rsidR="001B6918" w:rsidRPr="00453556" w:rsidRDefault="001B6918" w:rsidP="001B6918">
      <w:pPr>
        <w:pStyle w:val="ListParagraph"/>
        <w:numPr>
          <w:ilvl w:val="0"/>
          <w:numId w:val="26"/>
        </w:numPr>
        <w:tabs>
          <w:tab w:val="left" w:pos="1440"/>
          <w:tab w:val="left" w:pos="5040"/>
        </w:tabs>
        <w:suppressAutoHyphens/>
        <w:contextualSpacing w:val="0"/>
        <w:rPr>
          <w:rFonts w:asciiTheme="minorHAnsi" w:hAnsiTheme="minorHAnsi" w:cstheme="minorHAnsi"/>
          <w:bCs/>
          <w:spacing w:val="-3"/>
        </w:rPr>
      </w:pPr>
      <w:r w:rsidRPr="00453556">
        <w:rPr>
          <w:rFonts w:asciiTheme="minorHAnsi" w:hAnsiTheme="minorHAnsi" w:cstheme="minorHAnsi"/>
          <w:bCs/>
          <w:spacing w:val="-3"/>
        </w:rPr>
        <w:t>The lease or SBITA term includes the noncancelable period of the lease or SBITA arrangement plus any additional periods covered by either the System or lessor/vendor option to (1) extend for which it is reasonably certain to be exercised, or (2) terminate for which it is reasonably certain not to be exercised. Periods in which both the System and the lessor/vendor have a unilateral option to terminate (or if both parties have to agree to extend) are excluded from the lease or SBITA term.</w:t>
      </w:r>
    </w:p>
    <w:p w14:paraId="661BD831" w14:textId="77777777" w:rsidR="001B6918" w:rsidRPr="004E6649" w:rsidRDefault="001B6918" w:rsidP="001B6918">
      <w:pPr>
        <w:pStyle w:val="ListParagraph"/>
        <w:numPr>
          <w:ilvl w:val="0"/>
          <w:numId w:val="25"/>
        </w:numPr>
        <w:tabs>
          <w:tab w:val="left" w:pos="1440"/>
          <w:tab w:val="left" w:pos="5040"/>
        </w:tabs>
        <w:suppressAutoHyphens/>
        <w:rPr>
          <w:rFonts w:asciiTheme="minorHAnsi" w:hAnsiTheme="minorHAnsi" w:cstheme="minorHAnsi"/>
          <w:bCs/>
          <w:spacing w:val="-3"/>
        </w:rPr>
      </w:pPr>
      <w:r w:rsidRPr="004E6649">
        <w:rPr>
          <w:rFonts w:asciiTheme="minorHAnsi" w:hAnsiTheme="minorHAnsi" w:cstheme="minorHAnsi"/>
          <w:bCs/>
          <w:spacing w:val="-3"/>
        </w:rPr>
        <w:t>Payments are evaluated by the System to determine if they should be included in the measurement of the lease or SBITA liabilities, including those payments that require a determination of whether they are reasonably certain of being made, such as residual value guarantees, purchase options, payments for termination penalties, and other payments.</w:t>
      </w:r>
    </w:p>
    <w:p w14:paraId="5541BADF" w14:textId="77777777" w:rsidR="001B6918" w:rsidRDefault="001B6918" w:rsidP="001B6918">
      <w:pPr>
        <w:tabs>
          <w:tab w:val="left" w:pos="1440"/>
          <w:tab w:val="left" w:pos="5040"/>
        </w:tabs>
        <w:suppressAutoHyphens/>
        <w:spacing w:before="120" w:after="120"/>
        <w:rPr>
          <w:rFonts w:eastAsia="Times New Roman" w:cstheme="minorHAnsi"/>
          <w:bCs/>
          <w:spacing w:val="-3"/>
          <w:sz w:val="24"/>
          <w:szCs w:val="24"/>
        </w:rPr>
      </w:pPr>
      <w:r w:rsidRPr="004E6649">
        <w:rPr>
          <w:rFonts w:eastAsia="Times New Roman" w:cstheme="minorHAnsi"/>
          <w:b/>
          <w:spacing w:val="-3"/>
          <w:sz w:val="24"/>
          <w:szCs w:val="24"/>
        </w:rPr>
        <w:t xml:space="preserve">Remeasurement of Lease and SBITA Amounts: </w:t>
      </w:r>
      <w:r w:rsidRPr="004E6649">
        <w:rPr>
          <w:rFonts w:eastAsia="Times New Roman" w:cstheme="minorHAnsi"/>
          <w:bCs/>
          <w:spacing w:val="-3"/>
          <w:sz w:val="24"/>
          <w:szCs w:val="24"/>
        </w:rPr>
        <w:t>The System monitors changes in circumstances that may require remeasurement of a lease or SBITA arrangement. When certain changes occur that are expected to significantly affect the amount of the lease or SBITA liability, the liability is remeasured and a corresponding adjustment is made to the right</w:t>
      </w:r>
      <w:r>
        <w:rPr>
          <w:rFonts w:eastAsia="Times New Roman" w:cstheme="minorHAnsi"/>
          <w:bCs/>
          <w:spacing w:val="-3"/>
          <w:sz w:val="24"/>
          <w:szCs w:val="24"/>
        </w:rPr>
        <w:t xml:space="preserve">-to-use </w:t>
      </w:r>
      <w:r w:rsidRPr="004E6649">
        <w:rPr>
          <w:rFonts w:eastAsia="Times New Roman" w:cstheme="minorHAnsi"/>
          <w:bCs/>
          <w:spacing w:val="-3"/>
          <w:sz w:val="24"/>
          <w:szCs w:val="24"/>
        </w:rPr>
        <w:t>asset.</w:t>
      </w:r>
    </w:p>
    <w:p w14:paraId="55AAEC81" w14:textId="77777777" w:rsidR="001B6918" w:rsidRPr="00A02D27" w:rsidRDefault="001B6918" w:rsidP="001B6918">
      <w:pPr>
        <w:pStyle w:val="AFR3"/>
        <w:spacing w:after="0"/>
        <w:rPr>
          <w:rFonts w:cstheme="minorHAnsi"/>
          <w:sz w:val="24"/>
          <w:szCs w:val="24"/>
        </w:rPr>
      </w:pPr>
      <w:r w:rsidRPr="00A02D27">
        <w:rPr>
          <w:rFonts w:cstheme="minorHAnsi"/>
          <w:sz w:val="24"/>
          <w:szCs w:val="24"/>
        </w:rPr>
        <w:t>l. Public-Private and Public-Public Partnership</w:t>
      </w:r>
    </w:p>
    <w:p w14:paraId="193FF57F" w14:textId="77777777" w:rsidR="001B6918" w:rsidRDefault="001B6918" w:rsidP="001B6918">
      <w:pPr>
        <w:tabs>
          <w:tab w:val="left" w:pos="1440"/>
          <w:tab w:val="left" w:pos="5040"/>
        </w:tabs>
        <w:suppressAutoHyphens/>
        <w:rPr>
          <w:rFonts w:eastAsia="Times New Roman" w:cstheme="minorHAnsi"/>
          <w:bCs/>
          <w:spacing w:val="-3"/>
          <w:sz w:val="24"/>
          <w:szCs w:val="24"/>
        </w:rPr>
      </w:pPr>
      <w:r w:rsidRPr="004E6649">
        <w:rPr>
          <w:rFonts w:eastAsia="Times New Roman" w:cstheme="minorHAnsi"/>
          <w:bCs/>
          <w:spacing w:val="-3"/>
          <w:sz w:val="24"/>
          <w:szCs w:val="24"/>
        </w:rPr>
        <w:t xml:space="preserve">The System </w:t>
      </w:r>
      <w:r>
        <w:rPr>
          <w:rFonts w:eastAsia="Times New Roman" w:cstheme="minorHAnsi"/>
          <w:bCs/>
          <w:spacing w:val="-3"/>
          <w:sz w:val="24"/>
          <w:szCs w:val="24"/>
        </w:rPr>
        <w:t xml:space="preserve">is a transferor in a public-private partnership (PPP) with a third-party operator. In relation to its PPP arrangement the System recognizes underlying PPP assets, a receivable for installment payments and a corresponding deferred inflow of resources. </w:t>
      </w:r>
    </w:p>
    <w:p w14:paraId="45B9BA71" w14:textId="77777777" w:rsidR="001B6918" w:rsidRPr="00A02D27" w:rsidRDefault="001B6918" w:rsidP="001B6918">
      <w:pPr>
        <w:tabs>
          <w:tab w:val="left" w:pos="1440"/>
          <w:tab w:val="left" w:pos="5040"/>
        </w:tabs>
        <w:suppressAutoHyphens/>
        <w:rPr>
          <w:rFonts w:eastAsia="Times New Roman" w:cstheme="minorHAnsi"/>
          <w:bCs/>
          <w:spacing w:val="-3"/>
          <w:sz w:val="24"/>
          <w:szCs w:val="24"/>
        </w:rPr>
      </w:pPr>
    </w:p>
    <w:p w14:paraId="01324876" w14:textId="77777777" w:rsidR="001B6918" w:rsidRDefault="001B6918" w:rsidP="001B6918">
      <w:pPr>
        <w:tabs>
          <w:tab w:val="left" w:pos="1440"/>
          <w:tab w:val="left" w:pos="5040"/>
        </w:tabs>
        <w:suppressAutoHyphens/>
        <w:rPr>
          <w:rFonts w:eastAsia="Times New Roman" w:cstheme="minorHAnsi"/>
          <w:spacing w:val="-3"/>
          <w:sz w:val="24"/>
          <w:szCs w:val="24"/>
        </w:rPr>
      </w:pPr>
      <w:r>
        <w:rPr>
          <w:rFonts w:eastAsia="Times New Roman" w:cstheme="minorHAnsi"/>
          <w:b/>
          <w:spacing w:val="-3"/>
          <w:sz w:val="24"/>
          <w:szCs w:val="24"/>
        </w:rPr>
        <w:t xml:space="preserve">Measurement: </w:t>
      </w:r>
      <w:r>
        <w:rPr>
          <w:rFonts w:eastAsia="Times New Roman" w:cstheme="minorHAnsi"/>
          <w:spacing w:val="-3"/>
          <w:sz w:val="24"/>
          <w:szCs w:val="24"/>
        </w:rPr>
        <w:t xml:space="preserve">At commencement of the PPP term, an underlying PPP asset that is an existing asset of the System will be measured at </w:t>
      </w:r>
      <w:proofErr w:type="gramStart"/>
      <w:r>
        <w:rPr>
          <w:rFonts w:eastAsia="Times New Roman" w:cstheme="minorHAnsi"/>
          <w:spacing w:val="-3"/>
          <w:sz w:val="24"/>
          <w:szCs w:val="24"/>
        </w:rPr>
        <w:t>its</w:t>
      </w:r>
      <w:proofErr w:type="gramEnd"/>
      <w:r>
        <w:rPr>
          <w:rFonts w:eastAsia="Times New Roman" w:cstheme="minorHAnsi"/>
          <w:spacing w:val="-3"/>
          <w:sz w:val="24"/>
          <w:szCs w:val="24"/>
        </w:rPr>
        <w:t xml:space="preserve"> carrying value. Underlying PPP assets that are improvements made by the operator, and any assets newly purchased/constructed by the operator, are initially measured at acquisition value when placed into service. The underlying PPP assets are depreciated on a straight-line basis over their estimated useful lives. The System also recognizes a receivable for installment payments to be received from the operator in relation to the PPP; initially measured at the present value of the payments expected to be received. The receivable is subsequently reduced by the principal portion of payments received. In conjunction with these assets, the System also recognizes an offsetting deferred inflow of resources which is amortized on a straight-line basis over the PPP term.</w:t>
      </w:r>
      <w:r w:rsidRPr="00351CCE">
        <w:rPr>
          <w:rFonts w:eastAsia="Times New Roman" w:cstheme="minorHAnsi"/>
          <w:spacing w:val="-3"/>
          <w:sz w:val="24"/>
          <w:szCs w:val="24"/>
        </w:rPr>
        <w:t xml:space="preserve"> </w:t>
      </w:r>
      <w:r w:rsidRPr="0047568D">
        <w:rPr>
          <w:rFonts w:eastAsia="Times New Roman" w:cstheme="minorHAnsi"/>
          <w:spacing w:val="-3"/>
          <w:sz w:val="24"/>
          <w:szCs w:val="24"/>
        </w:rPr>
        <w:t xml:space="preserve">The discount rate used to calculate the present value of future PPP payments to be received is generally the rate the System charges the operator. </w:t>
      </w:r>
    </w:p>
    <w:p w14:paraId="01128E51" w14:textId="77777777" w:rsidR="001B6918" w:rsidRPr="00042A13" w:rsidRDefault="001B6918" w:rsidP="001B6918">
      <w:pPr>
        <w:pStyle w:val="AFR3"/>
        <w:spacing w:before="0" w:after="240"/>
        <w:rPr>
          <w:rFonts w:eastAsiaTheme="majorEastAsia" w:cstheme="minorHAnsi"/>
          <w:iCs/>
          <w:smallCaps/>
          <w:noProof/>
          <w:color w:val="000000" w:themeColor="text1"/>
          <w:sz w:val="24"/>
          <w:szCs w:val="24"/>
          <w:u w:val="none"/>
        </w:rPr>
      </w:pPr>
      <w:r w:rsidRPr="00A02D27" w:rsidDel="00BB7F53">
        <w:rPr>
          <w:rFonts w:eastAsiaTheme="majorEastAsia" w:cstheme="minorHAnsi"/>
          <w:iCs/>
          <w:smallCaps/>
          <w:noProof/>
          <w:color w:val="000000" w:themeColor="text1"/>
          <w:sz w:val="24"/>
          <w:szCs w:val="24"/>
          <w:u w:val="none"/>
        </w:rPr>
        <w:lastRenderedPageBreak/>
        <w:t xml:space="preserve">1. </w:t>
      </w:r>
      <w:r w:rsidRPr="00A02D27">
        <w:rPr>
          <w:rFonts w:eastAsiaTheme="majorEastAsia" w:cstheme="minorHAnsi"/>
          <w:iCs/>
          <w:smallCaps/>
          <w:noProof/>
          <w:color w:val="000000" w:themeColor="text1"/>
          <w:sz w:val="24"/>
          <w:szCs w:val="24"/>
          <w:u w:val="none"/>
        </w:rPr>
        <w:t>SIGNIFICANT ACCOUNTING POLICIES</w:t>
      </w:r>
      <w:r w:rsidRPr="00A02D27" w:rsidDel="00BB7F53">
        <w:rPr>
          <w:rFonts w:eastAsiaTheme="majorEastAsia" w:cstheme="minorHAnsi"/>
          <w:iCs/>
          <w:smallCaps/>
          <w:noProof/>
          <w:color w:val="000000" w:themeColor="text1"/>
          <w:sz w:val="24"/>
          <w:szCs w:val="24"/>
          <w:u w:val="none"/>
        </w:rPr>
        <w:t xml:space="preserve"> </w:t>
      </w:r>
      <w:r w:rsidRPr="00A02D27">
        <w:rPr>
          <w:rFonts w:eastAsiaTheme="majorEastAsia" w:cstheme="minorHAnsi"/>
          <w:iCs/>
          <w:smallCaps/>
          <w:noProof/>
          <w:color w:val="000000" w:themeColor="text1"/>
          <w:sz w:val="24"/>
          <w:szCs w:val="24"/>
          <w:u w:val="none"/>
        </w:rPr>
        <w:t>–</w:t>
      </w:r>
      <w:r w:rsidRPr="00A02D27" w:rsidDel="00BB7F53">
        <w:rPr>
          <w:rFonts w:eastAsiaTheme="majorEastAsia" w:cstheme="minorHAnsi"/>
          <w:iCs/>
          <w:smallCaps/>
          <w:noProof/>
          <w:color w:val="000000" w:themeColor="text1"/>
          <w:sz w:val="24"/>
          <w:szCs w:val="24"/>
          <w:u w:val="none"/>
        </w:rPr>
        <w:t xml:space="preserve"> CONTINUED</w:t>
      </w:r>
    </w:p>
    <w:p w14:paraId="3FEA7CCA" w14:textId="77777777" w:rsidR="001B6918" w:rsidRPr="00A02D27" w:rsidRDefault="001B6918" w:rsidP="001B6918">
      <w:pPr>
        <w:pStyle w:val="AFR3"/>
        <w:spacing w:after="0"/>
        <w:rPr>
          <w:rFonts w:cstheme="minorHAnsi"/>
          <w:sz w:val="24"/>
          <w:szCs w:val="24"/>
        </w:rPr>
      </w:pPr>
      <w:r w:rsidRPr="00A02D27">
        <w:rPr>
          <w:rFonts w:cstheme="minorHAnsi"/>
          <w:sz w:val="24"/>
          <w:szCs w:val="24"/>
        </w:rPr>
        <w:t>m. Irrevocable Split-Interest Agreements</w:t>
      </w:r>
    </w:p>
    <w:p w14:paraId="21C21BAD" w14:textId="77777777" w:rsidR="001B6918" w:rsidRDefault="001B6918" w:rsidP="001B6918">
      <w:pPr>
        <w:pStyle w:val="AFR3"/>
        <w:spacing w:before="0" w:after="0"/>
        <w:rPr>
          <w:rFonts w:eastAsia="Times New Roman" w:cstheme="minorHAnsi"/>
          <w:b w:val="0"/>
          <w:i w:val="0"/>
          <w:color w:val="000000"/>
          <w:sz w:val="24"/>
          <w:szCs w:val="20"/>
          <w:u w:val="none"/>
        </w:rPr>
      </w:pPr>
      <w:r w:rsidRPr="004E6649">
        <w:rPr>
          <w:rFonts w:eastAsia="Times New Roman" w:cstheme="minorHAnsi"/>
          <w:b w:val="0"/>
          <w:i w:val="0"/>
          <w:color w:val="000000"/>
          <w:sz w:val="24"/>
          <w:szCs w:val="20"/>
          <w:u w:val="none"/>
        </w:rPr>
        <w:t xml:space="preserve">The System’s irrevocable split-interest agreements consist of the System’s remainder interest in trusts held by third parties. The System reports these irrevocable split-interest agreements as assets and deferred inflows of resources when it becomes aware of the agreement and has sufficient </w:t>
      </w:r>
    </w:p>
    <w:p w14:paraId="2EAC6F40" w14:textId="77777777" w:rsidR="001B6918" w:rsidRDefault="001B6918" w:rsidP="001B6918">
      <w:pPr>
        <w:pStyle w:val="AFR3"/>
        <w:spacing w:before="0" w:after="0"/>
        <w:rPr>
          <w:rFonts w:eastAsia="Times New Roman" w:cstheme="minorHAnsi"/>
          <w:b w:val="0"/>
          <w:i w:val="0"/>
          <w:color w:val="000000"/>
          <w:sz w:val="24"/>
          <w:szCs w:val="20"/>
          <w:u w:val="none"/>
        </w:rPr>
      </w:pPr>
      <w:r w:rsidRPr="004E6649">
        <w:rPr>
          <w:rFonts w:eastAsia="Times New Roman" w:cstheme="minorHAnsi"/>
          <w:b w:val="0"/>
          <w:i w:val="0"/>
          <w:color w:val="000000"/>
          <w:sz w:val="24"/>
          <w:szCs w:val="20"/>
          <w:u w:val="none"/>
        </w:rPr>
        <w:t xml:space="preserve">information to measure its beneficial interest. </w:t>
      </w:r>
    </w:p>
    <w:p w14:paraId="090ED228" w14:textId="77777777" w:rsidR="001B6918" w:rsidRDefault="001B6918" w:rsidP="008A47DF">
      <w:pPr>
        <w:pStyle w:val="AFR3"/>
        <w:spacing w:after="0"/>
        <w:rPr>
          <w:rFonts w:eastAsiaTheme="majorEastAsia" w:cstheme="minorHAnsi"/>
          <w:iCs/>
          <w:smallCaps/>
          <w:noProof/>
          <w:color w:val="000000" w:themeColor="text1"/>
          <w:sz w:val="24"/>
          <w:szCs w:val="24"/>
          <w:u w:val="none"/>
        </w:rPr>
      </w:pPr>
      <w:r w:rsidRPr="004E6649">
        <w:rPr>
          <w:rFonts w:eastAsia="Times New Roman" w:cstheme="minorHAnsi"/>
          <w:b w:val="0"/>
          <w:i w:val="0"/>
          <w:color w:val="000000"/>
          <w:sz w:val="24"/>
          <w:szCs w:val="20"/>
          <w:u w:val="none"/>
        </w:rPr>
        <w:t>The System recognizes the annual change in the fair values of the split interest agreements as an increase or decrease in the asset and the related deferred inflows of resources. The System will recognize revenue at the termination of the agreement, as stipulated in the irrevocable split-interest agreement. Also, at the termination of the agreement, the split-interest asset and the related deferred inflow of resources will be eliminated.</w:t>
      </w:r>
    </w:p>
    <w:p w14:paraId="18A0F005" w14:textId="77777777" w:rsidR="001B6918" w:rsidRPr="00A02D27" w:rsidRDefault="001B6918" w:rsidP="001B6918">
      <w:pPr>
        <w:pStyle w:val="AFR3"/>
        <w:spacing w:after="0"/>
        <w:rPr>
          <w:rFonts w:cstheme="minorHAnsi"/>
          <w:sz w:val="24"/>
          <w:szCs w:val="24"/>
        </w:rPr>
      </w:pPr>
      <w:r w:rsidRPr="00A02D27">
        <w:rPr>
          <w:rFonts w:cstheme="minorHAnsi"/>
          <w:sz w:val="24"/>
          <w:szCs w:val="24"/>
        </w:rPr>
        <w:t>n. Unearned Revenue and Deposits</w:t>
      </w:r>
    </w:p>
    <w:p w14:paraId="7124BF16" w14:textId="77777777" w:rsidR="001B6918" w:rsidRPr="004E6649" w:rsidRDefault="001B6918" w:rsidP="001B6918">
      <w:pPr>
        <w:tabs>
          <w:tab w:val="left" w:pos="0"/>
        </w:tabs>
        <w:spacing w:after="120"/>
        <w:rPr>
          <w:rFonts w:cstheme="minorHAnsi"/>
          <w:spacing w:val="-3"/>
          <w:sz w:val="24"/>
        </w:rPr>
      </w:pPr>
      <w:r w:rsidRPr="004E6649">
        <w:rPr>
          <w:rFonts w:cstheme="minorHAnsi"/>
          <w:spacing w:val="-3"/>
          <w:sz w:val="24"/>
        </w:rPr>
        <w:t>Unearned revenue and deposits in the Statements of Net Position consists primarily of grant and contract advances and deposits and advance payments received for tuition and fees related to certain summer programs and tuition received for the following academic year. Unearned revenue for summer programs is presented net of waivers. Other expenses related to unearned revenue for summer programs are presented as prepaids in the Statements of Net Position (e.g., scholarships, supplies).</w:t>
      </w:r>
    </w:p>
    <w:p w14:paraId="29C3B5F1" w14:textId="77777777" w:rsidR="001B6918" w:rsidRPr="00A02D27" w:rsidRDefault="001B6918" w:rsidP="001B6918">
      <w:pPr>
        <w:pStyle w:val="AFR3"/>
        <w:spacing w:after="0"/>
        <w:rPr>
          <w:rFonts w:cstheme="minorHAnsi"/>
          <w:sz w:val="24"/>
          <w:szCs w:val="24"/>
        </w:rPr>
      </w:pPr>
      <w:r w:rsidRPr="00A02D27">
        <w:rPr>
          <w:rFonts w:cstheme="minorHAnsi"/>
          <w:sz w:val="24"/>
          <w:szCs w:val="24"/>
        </w:rPr>
        <w:t>o. Compensated Absences</w:t>
      </w:r>
    </w:p>
    <w:p w14:paraId="54279745" w14:textId="71610761" w:rsidR="001B6918" w:rsidRDefault="001B6918" w:rsidP="001B6918">
      <w:pPr>
        <w:tabs>
          <w:tab w:val="left" w:pos="720"/>
          <w:tab w:val="left" w:pos="1080"/>
          <w:tab w:val="left" w:pos="5040"/>
        </w:tabs>
        <w:suppressAutoHyphens/>
        <w:rPr>
          <w:rFonts w:cstheme="minorHAnsi"/>
          <w:bCs/>
          <w:spacing w:val="-3"/>
          <w:sz w:val="24"/>
        </w:rPr>
      </w:pPr>
      <w:r w:rsidRPr="004E6649">
        <w:rPr>
          <w:rFonts w:cstheme="minorHAnsi"/>
          <w:bCs/>
          <w:spacing w:val="-3"/>
          <w:sz w:val="24"/>
        </w:rPr>
        <w:t xml:space="preserve">Employees earn the right to be compensated during absences for </w:t>
      </w:r>
      <w:r>
        <w:rPr>
          <w:rFonts w:cstheme="minorHAnsi"/>
          <w:bCs/>
          <w:spacing w:val="-3"/>
          <w:sz w:val="24"/>
        </w:rPr>
        <w:t xml:space="preserve">various types of leave. </w:t>
      </w:r>
      <w:r w:rsidR="005222DA" w:rsidRPr="005222DA">
        <w:rPr>
          <w:rFonts w:cstheme="minorHAnsi"/>
          <w:bCs/>
          <w:spacing w:val="-3"/>
          <w:sz w:val="24"/>
        </w:rPr>
        <w:t xml:space="preserve">The liability for compensated absences reported in the </w:t>
      </w:r>
      <w:r w:rsidR="005222DA">
        <w:rPr>
          <w:rFonts w:cstheme="minorHAnsi"/>
          <w:bCs/>
          <w:spacing w:val="-3"/>
          <w:sz w:val="24"/>
        </w:rPr>
        <w:t>S</w:t>
      </w:r>
      <w:r w:rsidR="005222DA" w:rsidRPr="005222DA">
        <w:rPr>
          <w:rFonts w:cstheme="minorHAnsi"/>
          <w:bCs/>
          <w:spacing w:val="-3"/>
          <w:sz w:val="24"/>
        </w:rPr>
        <w:t xml:space="preserve">tatement of </w:t>
      </w:r>
      <w:r w:rsidR="005222DA">
        <w:rPr>
          <w:rFonts w:cstheme="minorHAnsi"/>
          <w:bCs/>
          <w:spacing w:val="-3"/>
          <w:sz w:val="24"/>
        </w:rPr>
        <w:t>N</w:t>
      </w:r>
      <w:r w:rsidR="005222DA" w:rsidRPr="005222DA">
        <w:rPr>
          <w:rFonts w:cstheme="minorHAnsi"/>
          <w:bCs/>
          <w:spacing w:val="-3"/>
          <w:sz w:val="24"/>
        </w:rPr>
        <w:t xml:space="preserve">et </w:t>
      </w:r>
      <w:r w:rsidR="005222DA">
        <w:rPr>
          <w:rFonts w:cstheme="minorHAnsi"/>
          <w:bCs/>
          <w:spacing w:val="-3"/>
          <w:sz w:val="24"/>
        </w:rPr>
        <w:t>P</w:t>
      </w:r>
      <w:r w:rsidR="005222DA" w:rsidRPr="005222DA">
        <w:rPr>
          <w:rFonts w:cstheme="minorHAnsi"/>
          <w:bCs/>
          <w:spacing w:val="-3"/>
          <w:sz w:val="24"/>
        </w:rPr>
        <w:t>osition consists of leave that has not been used that is attributable to services already rendered, accumulates and is more likely than not to be used for time off or otherwise paid in cash or settled through noncash means. The liability also includes amounts for leave that has been used for time off but has not yet been paid in cash or settled through noncash means and certain other types of leave.</w:t>
      </w:r>
      <w:r w:rsidR="005222DA">
        <w:rPr>
          <w:rFonts w:cstheme="minorHAnsi"/>
          <w:bCs/>
          <w:spacing w:val="-3"/>
          <w:sz w:val="24"/>
        </w:rPr>
        <w:t xml:space="preserve"> </w:t>
      </w:r>
      <w:r>
        <w:rPr>
          <w:rFonts w:cstheme="minorHAnsi"/>
          <w:bCs/>
          <w:spacing w:val="-3"/>
          <w:sz w:val="24"/>
        </w:rPr>
        <w:t xml:space="preserve">The System has determined that its material leave types include </w:t>
      </w:r>
      <w:r w:rsidRPr="004E6649">
        <w:rPr>
          <w:rFonts w:cstheme="minorHAnsi"/>
          <w:bCs/>
          <w:spacing w:val="-3"/>
          <w:sz w:val="24"/>
        </w:rPr>
        <w:t>annual vacation leave</w:t>
      </w:r>
      <w:r>
        <w:rPr>
          <w:rFonts w:cstheme="minorHAnsi"/>
          <w:bCs/>
          <w:spacing w:val="-3"/>
          <w:sz w:val="24"/>
        </w:rPr>
        <w:t xml:space="preserve">, sick leave, and compensatory time and should be accrued as a </w:t>
      </w:r>
      <w:r w:rsidRPr="00574967">
        <w:rPr>
          <w:rFonts w:cstheme="minorHAnsi"/>
          <w:bCs/>
          <w:spacing w:val="-3"/>
          <w:sz w:val="24"/>
        </w:rPr>
        <w:t>liability</w:t>
      </w:r>
      <w:r>
        <w:rPr>
          <w:rFonts w:cstheme="minorHAnsi"/>
          <w:bCs/>
          <w:spacing w:val="-3"/>
          <w:sz w:val="24"/>
        </w:rPr>
        <w:t xml:space="preserve"> in the accompanying Statements of Net Position along with related </w:t>
      </w:r>
      <w:r w:rsidR="00D27C6D">
        <w:rPr>
          <w:rFonts w:cstheme="minorHAnsi"/>
          <w:bCs/>
          <w:spacing w:val="-3"/>
          <w:sz w:val="24"/>
        </w:rPr>
        <w:t>S</w:t>
      </w:r>
      <w:r w:rsidR="005222DA">
        <w:rPr>
          <w:rFonts w:cstheme="minorHAnsi"/>
          <w:bCs/>
          <w:spacing w:val="-3"/>
          <w:sz w:val="24"/>
        </w:rPr>
        <w:t xml:space="preserve">ocial </w:t>
      </w:r>
      <w:r w:rsidR="00D27C6D">
        <w:rPr>
          <w:rFonts w:cstheme="minorHAnsi"/>
          <w:bCs/>
          <w:spacing w:val="-3"/>
          <w:sz w:val="24"/>
        </w:rPr>
        <w:t>S</w:t>
      </w:r>
      <w:r w:rsidR="005222DA">
        <w:rPr>
          <w:rFonts w:cstheme="minorHAnsi"/>
          <w:bCs/>
          <w:spacing w:val="-3"/>
          <w:sz w:val="24"/>
        </w:rPr>
        <w:t xml:space="preserve">ecurity </w:t>
      </w:r>
      <w:r w:rsidR="006E3E66">
        <w:rPr>
          <w:rFonts w:cstheme="minorHAnsi"/>
          <w:bCs/>
          <w:spacing w:val="-3"/>
          <w:sz w:val="24"/>
        </w:rPr>
        <w:t xml:space="preserve">and </w:t>
      </w:r>
      <w:r w:rsidR="00D27C6D">
        <w:rPr>
          <w:rFonts w:cstheme="minorHAnsi"/>
          <w:bCs/>
          <w:spacing w:val="-3"/>
          <w:sz w:val="24"/>
        </w:rPr>
        <w:t>M</w:t>
      </w:r>
      <w:r w:rsidR="006E3E66">
        <w:rPr>
          <w:rFonts w:cstheme="minorHAnsi"/>
          <w:bCs/>
          <w:spacing w:val="-3"/>
          <w:sz w:val="24"/>
        </w:rPr>
        <w:t xml:space="preserve">edicare payroll taxes </w:t>
      </w:r>
      <w:r w:rsidR="005222DA">
        <w:rPr>
          <w:rFonts w:cstheme="minorHAnsi"/>
          <w:bCs/>
          <w:spacing w:val="-3"/>
          <w:sz w:val="24"/>
        </w:rPr>
        <w:t xml:space="preserve">and retirement </w:t>
      </w:r>
      <w:r>
        <w:rPr>
          <w:rFonts w:cstheme="minorHAnsi"/>
          <w:bCs/>
          <w:spacing w:val="-3"/>
          <w:sz w:val="24"/>
        </w:rPr>
        <w:t xml:space="preserve">benefits. </w:t>
      </w:r>
    </w:p>
    <w:p w14:paraId="7A6C068F" w14:textId="4A9A193E" w:rsidR="00C370E9" w:rsidRDefault="001B6918" w:rsidP="00E33BDA">
      <w:pPr>
        <w:tabs>
          <w:tab w:val="left" w:pos="720"/>
          <w:tab w:val="left" w:pos="1080"/>
          <w:tab w:val="left" w:pos="5040"/>
        </w:tabs>
        <w:suppressAutoHyphens/>
        <w:spacing w:before="240"/>
        <w:rPr>
          <w:rFonts w:cstheme="minorHAnsi"/>
          <w:bCs/>
          <w:spacing w:val="-3"/>
          <w:sz w:val="24"/>
        </w:rPr>
      </w:pPr>
      <w:r>
        <w:rPr>
          <w:rFonts w:cstheme="minorHAnsi"/>
          <w:bCs/>
          <w:spacing w:val="-3"/>
          <w:sz w:val="24"/>
        </w:rPr>
        <w:t>A</w:t>
      </w:r>
      <w:r w:rsidRPr="004E6649">
        <w:rPr>
          <w:rFonts w:cstheme="minorHAnsi"/>
          <w:bCs/>
          <w:spacing w:val="-3"/>
          <w:sz w:val="24"/>
        </w:rPr>
        <w:t xml:space="preserve"> portion of </w:t>
      </w:r>
      <w:r>
        <w:rPr>
          <w:rFonts w:cstheme="minorHAnsi"/>
          <w:bCs/>
          <w:spacing w:val="-3"/>
          <w:sz w:val="24"/>
        </w:rPr>
        <w:t xml:space="preserve">the </w:t>
      </w:r>
      <w:r w:rsidRPr="004E6649">
        <w:rPr>
          <w:rFonts w:cstheme="minorHAnsi"/>
          <w:bCs/>
          <w:spacing w:val="-3"/>
          <w:sz w:val="24"/>
        </w:rPr>
        <w:t>liability</w:t>
      </w:r>
      <w:r>
        <w:rPr>
          <w:rFonts w:cstheme="minorHAnsi"/>
          <w:bCs/>
          <w:spacing w:val="-3"/>
          <w:sz w:val="24"/>
        </w:rPr>
        <w:t xml:space="preserve"> for each leave type</w:t>
      </w:r>
      <w:r w:rsidRPr="004E6649">
        <w:rPr>
          <w:rFonts w:cstheme="minorHAnsi"/>
          <w:bCs/>
          <w:spacing w:val="-3"/>
          <w:sz w:val="24"/>
        </w:rPr>
        <w:t xml:space="preserve"> is classified as current and represents the System’s estimate of vacation</w:t>
      </w:r>
      <w:r>
        <w:rPr>
          <w:rFonts w:cstheme="minorHAnsi"/>
          <w:bCs/>
          <w:spacing w:val="-3"/>
          <w:sz w:val="24"/>
        </w:rPr>
        <w:t xml:space="preserve"> and compensatory</w:t>
      </w:r>
      <w:r w:rsidRPr="004E6649">
        <w:rPr>
          <w:rFonts w:cstheme="minorHAnsi"/>
          <w:bCs/>
          <w:spacing w:val="-3"/>
          <w:sz w:val="24"/>
        </w:rPr>
        <w:t xml:space="preserve"> time that will be paid during the next fiscal year</w:t>
      </w:r>
      <w:r>
        <w:rPr>
          <w:rFonts w:cstheme="minorHAnsi"/>
          <w:bCs/>
          <w:spacing w:val="-3"/>
          <w:sz w:val="24"/>
        </w:rPr>
        <w:t xml:space="preserve"> to employees leaving the System, and sick time that will be utilized during the next fiscal year. </w:t>
      </w:r>
    </w:p>
    <w:p w14:paraId="70DD978D" w14:textId="77777777" w:rsidR="00C370E9" w:rsidRPr="004E6649" w:rsidRDefault="00C370E9" w:rsidP="001B6918">
      <w:pPr>
        <w:tabs>
          <w:tab w:val="left" w:pos="720"/>
          <w:tab w:val="left" w:pos="1080"/>
          <w:tab w:val="left" w:pos="5040"/>
        </w:tabs>
        <w:suppressAutoHyphens/>
        <w:rPr>
          <w:rFonts w:cstheme="minorHAnsi"/>
          <w:bCs/>
          <w:spacing w:val="-3"/>
          <w:sz w:val="24"/>
        </w:rPr>
      </w:pPr>
    </w:p>
    <w:p w14:paraId="28F39503" w14:textId="77777777" w:rsidR="001B6918" w:rsidRPr="00BD3C7C" w:rsidRDefault="001B6918" w:rsidP="00E33BDA">
      <w:pPr>
        <w:tabs>
          <w:tab w:val="left" w:pos="720"/>
          <w:tab w:val="left" w:pos="1080"/>
          <w:tab w:val="left" w:pos="5040"/>
        </w:tabs>
        <w:suppressAutoHyphens/>
        <w:rPr>
          <w:rFonts w:cstheme="minorHAnsi"/>
          <w:bCs/>
          <w:sz w:val="24"/>
          <w:szCs w:val="24"/>
        </w:rPr>
      </w:pPr>
      <w:r w:rsidRPr="00E33BDA">
        <w:rPr>
          <w:rFonts w:cstheme="minorHAnsi"/>
          <w:b/>
          <w:bCs/>
          <w:sz w:val="24"/>
          <w:szCs w:val="24"/>
          <w:u w:val="single"/>
        </w:rPr>
        <w:t>p. Deferred Outflows and Deferred Inflows of Resources</w:t>
      </w:r>
    </w:p>
    <w:p w14:paraId="02C9A827" w14:textId="77777777" w:rsidR="00C370E9" w:rsidRDefault="00C370E9" w:rsidP="00F51774">
      <w:pPr>
        <w:tabs>
          <w:tab w:val="left" w:pos="1080"/>
          <w:tab w:val="left" w:pos="5040"/>
        </w:tabs>
        <w:suppressAutoHyphens/>
        <w:rPr>
          <w:rFonts w:cstheme="minorHAnsi"/>
          <w:bCs/>
          <w:spacing w:val="-3"/>
          <w:sz w:val="24"/>
        </w:rPr>
      </w:pPr>
    </w:p>
    <w:p w14:paraId="1BF61212" w14:textId="45810C82" w:rsidR="008C2FDA" w:rsidRDefault="001B6918" w:rsidP="00F51774">
      <w:pPr>
        <w:tabs>
          <w:tab w:val="left" w:pos="1080"/>
          <w:tab w:val="left" w:pos="5040"/>
        </w:tabs>
        <w:suppressAutoHyphens/>
        <w:rPr>
          <w:rFonts w:eastAsiaTheme="majorEastAsia" w:cstheme="minorHAnsi"/>
          <w:b/>
          <w:i/>
          <w:iCs/>
          <w:smallCaps/>
          <w:noProof/>
          <w:color w:val="000000" w:themeColor="text1"/>
          <w:sz w:val="24"/>
          <w:szCs w:val="24"/>
          <w:u w:color="000000" w:themeColor="text1"/>
        </w:rPr>
      </w:pPr>
      <w:r w:rsidRPr="004E6649">
        <w:rPr>
          <w:rFonts w:cstheme="minorHAnsi"/>
          <w:bCs/>
          <w:spacing w:val="-3"/>
          <w:sz w:val="24"/>
        </w:rPr>
        <w:t>Deferred outflows of resources are the consumption of assets or increase in liabilities that is applicable to future reporting periods. Deferred outflows of resources are presented separately after Total Assets in the Statements of Net Position.</w:t>
      </w:r>
      <w:r w:rsidR="008C2FDA">
        <w:rPr>
          <w:rFonts w:eastAsiaTheme="majorEastAsia" w:cstheme="minorHAnsi"/>
          <w:iCs/>
          <w:smallCaps/>
          <w:noProof/>
          <w:color w:val="000000" w:themeColor="text1"/>
          <w:sz w:val="24"/>
          <w:szCs w:val="24"/>
        </w:rPr>
        <w:br w:type="page"/>
      </w:r>
    </w:p>
    <w:p w14:paraId="2CB44590" w14:textId="5705FE35" w:rsidR="001B6918" w:rsidRPr="00042A13" w:rsidRDefault="001B6918" w:rsidP="001B6918">
      <w:pPr>
        <w:pStyle w:val="AFR3"/>
        <w:spacing w:before="0" w:after="240"/>
        <w:rPr>
          <w:rFonts w:eastAsiaTheme="majorEastAsia" w:cstheme="minorHAnsi"/>
          <w:iCs/>
          <w:smallCaps/>
          <w:noProof/>
          <w:color w:val="000000" w:themeColor="text1"/>
          <w:sz w:val="24"/>
          <w:szCs w:val="24"/>
        </w:rPr>
      </w:pPr>
      <w:r w:rsidRPr="00A02D27" w:rsidDel="00BB7F53">
        <w:rPr>
          <w:rFonts w:eastAsiaTheme="majorEastAsia" w:cstheme="minorHAnsi"/>
          <w:iCs/>
          <w:smallCaps/>
          <w:noProof/>
          <w:color w:val="000000" w:themeColor="text1"/>
          <w:sz w:val="24"/>
          <w:szCs w:val="24"/>
          <w:u w:val="none"/>
        </w:rPr>
        <w:lastRenderedPageBreak/>
        <w:t xml:space="preserve">1. </w:t>
      </w:r>
      <w:r w:rsidRPr="00A02D27">
        <w:rPr>
          <w:rFonts w:eastAsiaTheme="majorEastAsia" w:cstheme="minorHAnsi"/>
          <w:iCs/>
          <w:smallCaps/>
          <w:noProof/>
          <w:color w:val="000000" w:themeColor="text1"/>
          <w:sz w:val="24"/>
          <w:szCs w:val="24"/>
          <w:u w:val="none"/>
        </w:rPr>
        <w:t>SIGNIFICANT ACCOUNTING POLICIES</w:t>
      </w:r>
      <w:r w:rsidRPr="00A02D27" w:rsidDel="00BB7F53">
        <w:rPr>
          <w:rFonts w:eastAsiaTheme="majorEastAsia" w:cstheme="minorHAnsi"/>
          <w:iCs/>
          <w:smallCaps/>
          <w:noProof/>
          <w:color w:val="000000" w:themeColor="text1"/>
          <w:sz w:val="24"/>
          <w:szCs w:val="24"/>
          <w:u w:val="none"/>
        </w:rPr>
        <w:t xml:space="preserve"> - CONTINUED</w:t>
      </w:r>
    </w:p>
    <w:p w14:paraId="1ADD8273" w14:textId="77777777" w:rsidR="001B6918" w:rsidRDefault="001B6918" w:rsidP="008A47DF">
      <w:pPr>
        <w:autoSpaceDE w:val="0"/>
        <w:autoSpaceDN w:val="0"/>
        <w:adjustRightInd w:val="0"/>
        <w:spacing w:after="120"/>
        <w:rPr>
          <w:rFonts w:eastAsia="Calibri" w:cstheme="minorHAnsi"/>
          <w:bCs/>
          <w:color w:val="000000"/>
          <w:spacing w:val="-3"/>
          <w:sz w:val="24"/>
          <w:szCs w:val="24"/>
        </w:rPr>
      </w:pPr>
      <w:r w:rsidRPr="004E6649">
        <w:rPr>
          <w:rFonts w:eastAsia="Calibri" w:cstheme="minorHAnsi"/>
          <w:bCs/>
          <w:color w:val="000000"/>
          <w:spacing w:val="-3"/>
          <w:sz w:val="24"/>
          <w:szCs w:val="24"/>
        </w:rPr>
        <w:t xml:space="preserve">The System’s deferred outflows consist of: </w:t>
      </w:r>
    </w:p>
    <w:p w14:paraId="3EE24726" w14:textId="77777777" w:rsidR="001B6918" w:rsidRDefault="001B6918" w:rsidP="008A47DF">
      <w:pPr>
        <w:numPr>
          <w:ilvl w:val="0"/>
          <w:numId w:val="6"/>
        </w:numPr>
        <w:autoSpaceDE w:val="0"/>
        <w:autoSpaceDN w:val="0"/>
        <w:adjustRightInd w:val="0"/>
        <w:spacing w:after="120"/>
        <w:ind w:hanging="446"/>
        <w:rPr>
          <w:rFonts w:eastAsia="Calibri" w:cstheme="minorHAnsi"/>
          <w:bCs/>
          <w:color w:val="000000"/>
          <w:spacing w:val="-3"/>
          <w:sz w:val="24"/>
        </w:rPr>
      </w:pPr>
      <w:r w:rsidRPr="004E6649">
        <w:rPr>
          <w:rFonts w:eastAsia="Calibri" w:cstheme="minorHAnsi"/>
          <w:bCs/>
          <w:color w:val="000000"/>
          <w:spacing w:val="-3"/>
          <w:sz w:val="24"/>
          <w:szCs w:val="24"/>
        </w:rPr>
        <w:t xml:space="preserve">The difference between the reacquisition price and the carrying value of refunded revenue bonds. These amounts are to be recognized as a component of interest expense over the shorter of the remaining life of the refunded bonds or the life of the </w:t>
      </w:r>
      <w:r w:rsidRPr="004E6649">
        <w:rPr>
          <w:rFonts w:eastAsia="Calibri" w:cstheme="minorHAnsi"/>
          <w:bCs/>
          <w:color w:val="000000"/>
          <w:spacing w:val="-3"/>
          <w:sz w:val="24"/>
        </w:rPr>
        <w:t>new bonds.</w:t>
      </w:r>
    </w:p>
    <w:p w14:paraId="09D060B0" w14:textId="77777777" w:rsidR="001B6918" w:rsidRPr="004E6649" w:rsidRDefault="001B6918" w:rsidP="001B6918">
      <w:pPr>
        <w:numPr>
          <w:ilvl w:val="0"/>
          <w:numId w:val="6"/>
        </w:numPr>
        <w:autoSpaceDE w:val="0"/>
        <w:autoSpaceDN w:val="0"/>
        <w:adjustRightInd w:val="0"/>
        <w:ind w:hanging="446"/>
        <w:rPr>
          <w:rFonts w:eastAsia="Times New Roman" w:cstheme="minorHAnsi"/>
          <w:color w:val="000000"/>
          <w:sz w:val="24"/>
        </w:rPr>
      </w:pPr>
      <w:r w:rsidRPr="004E6649">
        <w:rPr>
          <w:rFonts w:eastAsia="Times New Roman" w:cstheme="minorHAnsi"/>
          <w:color w:val="000000"/>
          <w:sz w:val="24"/>
        </w:rPr>
        <w:t>Assumption and experience changes and net investment losses that increase the pension and OPEB liabilities. These amounts are to be recognized as components of pension and postemployment health expense in future reporting periods.</w:t>
      </w:r>
    </w:p>
    <w:p w14:paraId="1A19F849" w14:textId="77777777" w:rsidR="001B6918" w:rsidRDefault="001B6918" w:rsidP="001B6918">
      <w:pPr>
        <w:pStyle w:val="AFR3"/>
        <w:spacing w:after="0"/>
        <w:rPr>
          <w:rFonts w:cstheme="minorHAnsi"/>
          <w:b w:val="0"/>
          <w:bCs/>
          <w:i w:val="0"/>
          <w:spacing w:val="-3"/>
          <w:sz w:val="24"/>
        </w:rPr>
      </w:pPr>
      <w:r w:rsidRPr="002024DE">
        <w:rPr>
          <w:rFonts w:cstheme="minorHAnsi"/>
          <w:b w:val="0"/>
          <w:bCs/>
          <w:i w:val="0"/>
          <w:spacing w:val="-3"/>
          <w:sz w:val="24"/>
          <w:u w:val="none"/>
        </w:rPr>
        <w:t>Deferred inflows of resources are the acquisition of assets or reduction of liabilities that is applicable to future reporting periods. Deferred inflows of resources are presented separately after Total Liabilities in the Statements of Net Position.</w:t>
      </w:r>
    </w:p>
    <w:p w14:paraId="7156D2C5" w14:textId="77777777" w:rsidR="001B6918" w:rsidRPr="004E6649" w:rsidRDefault="001B6918" w:rsidP="001B6918">
      <w:pPr>
        <w:spacing w:before="240"/>
        <w:rPr>
          <w:rFonts w:cstheme="minorHAnsi"/>
          <w:sz w:val="24"/>
          <w:szCs w:val="24"/>
        </w:rPr>
      </w:pPr>
      <w:r w:rsidRPr="004E6649">
        <w:rPr>
          <w:rFonts w:cstheme="minorHAnsi"/>
          <w:sz w:val="24"/>
          <w:szCs w:val="24"/>
        </w:rPr>
        <w:t>The System’s deferred inflows of resources consist of:</w:t>
      </w:r>
    </w:p>
    <w:p w14:paraId="2AE0CFFF" w14:textId="77777777" w:rsidR="001B6918" w:rsidRPr="00085472" w:rsidRDefault="001B6918" w:rsidP="008A47DF">
      <w:pPr>
        <w:numPr>
          <w:ilvl w:val="0"/>
          <w:numId w:val="11"/>
        </w:numPr>
        <w:spacing w:before="120" w:line="259" w:lineRule="auto"/>
        <w:rPr>
          <w:rFonts w:eastAsiaTheme="majorEastAsia" w:cstheme="minorHAnsi"/>
          <w:b/>
          <w:i/>
          <w:iCs/>
          <w:smallCaps/>
          <w:noProof/>
          <w:color w:val="000000" w:themeColor="text1"/>
          <w:szCs w:val="24"/>
          <w:u w:color="5B9BD5"/>
        </w:rPr>
      </w:pPr>
      <w:r w:rsidRPr="00085472">
        <w:rPr>
          <w:rFonts w:eastAsia="Times New Roman" w:cstheme="minorHAnsi"/>
          <w:color w:val="000000"/>
          <w:sz w:val="24"/>
        </w:rPr>
        <w:t>Assumption and experience changes</w:t>
      </w:r>
      <w:r w:rsidRPr="00085472">
        <w:rPr>
          <w:rFonts w:eastAsia="Times New Roman" w:cstheme="minorHAnsi"/>
          <w:sz w:val="24"/>
          <w:szCs w:val="24"/>
        </w:rPr>
        <w:t xml:space="preserve"> and net investment gains that reduce the pension </w:t>
      </w:r>
      <w:r w:rsidRPr="00085472">
        <w:rPr>
          <w:rFonts w:eastAsia="Times New Roman" w:cstheme="minorHAnsi"/>
          <w:color w:val="000000"/>
          <w:sz w:val="24"/>
        </w:rPr>
        <w:t>and OPEB liabilities. These amounts are</w:t>
      </w:r>
      <w:r w:rsidRPr="00085472" w:rsidDel="00D436FC">
        <w:rPr>
          <w:rFonts w:eastAsia="Times New Roman" w:cstheme="minorHAnsi"/>
          <w:sz w:val="24"/>
          <w:szCs w:val="24"/>
        </w:rPr>
        <w:t xml:space="preserve"> </w:t>
      </w:r>
      <w:r w:rsidRPr="00085472">
        <w:rPr>
          <w:rFonts w:eastAsia="Times New Roman" w:cstheme="minorHAnsi"/>
          <w:sz w:val="24"/>
          <w:szCs w:val="24"/>
        </w:rPr>
        <w:t>to be recognized as components</w:t>
      </w:r>
      <w:r w:rsidRPr="00085472">
        <w:rPr>
          <w:rFonts w:eastAsia="Times New Roman" w:cstheme="minorHAnsi"/>
          <w:color w:val="000000"/>
          <w:sz w:val="24"/>
        </w:rPr>
        <w:t xml:space="preserve"> of pension and postemployment health expense in future reporting periods.</w:t>
      </w:r>
    </w:p>
    <w:p w14:paraId="0D982A01" w14:textId="77777777" w:rsidR="001B6918" w:rsidRPr="004E6649" w:rsidRDefault="001B6918" w:rsidP="008A47DF">
      <w:pPr>
        <w:numPr>
          <w:ilvl w:val="0"/>
          <w:numId w:val="11"/>
        </w:numPr>
        <w:spacing w:before="120"/>
        <w:rPr>
          <w:rFonts w:eastAsia="Times New Roman" w:cstheme="minorHAnsi"/>
          <w:sz w:val="24"/>
          <w:szCs w:val="24"/>
        </w:rPr>
      </w:pPr>
      <w:r w:rsidRPr="004E6649">
        <w:rPr>
          <w:rFonts w:eastAsia="Times New Roman" w:cstheme="minorHAnsi"/>
          <w:sz w:val="24"/>
          <w:szCs w:val="24"/>
        </w:rPr>
        <w:t>An offsetting credit to the fair value of the System’s remainder interest in irrevocable split-interest agreements. These deferrals will be recognized as gift income at the termination of the split-interest agreement.</w:t>
      </w:r>
    </w:p>
    <w:p w14:paraId="21901CF7" w14:textId="39F63633" w:rsidR="001B6918" w:rsidRPr="004E6649" w:rsidRDefault="00C650A0" w:rsidP="008A47DF">
      <w:pPr>
        <w:numPr>
          <w:ilvl w:val="0"/>
          <w:numId w:val="11"/>
        </w:numPr>
        <w:spacing w:before="120" w:after="160" w:line="259" w:lineRule="auto"/>
        <w:rPr>
          <w:rFonts w:eastAsiaTheme="majorEastAsia" w:cstheme="minorHAnsi"/>
          <w:b/>
          <w:i/>
          <w:iCs/>
          <w:smallCaps/>
          <w:noProof/>
          <w:color w:val="000000" w:themeColor="text1"/>
          <w:sz w:val="26"/>
          <w:szCs w:val="26"/>
          <w:u w:color="5B9BD5"/>
        </w:rPr>
      </w:pPr>
      <w:r>
        <w:rPr>
          <w:rFonts w:eastAsia="Times New Roman" w:cstheme="minorHAnsi"/>
          <w:sz w:val="24"/>
          <w:szCs w:val="24"/>
        </w:rPr>
        <w:t>O</w:t>
      </w:r>
      <w:r w:rsidR="001B6918" w:rsidRPr="004E6649">
        <w:rPr>
          <w:rFonts w:eastAsia="Times New Roman" w:cstheme="minorHAnsi"/>
          <w:sz w:val="24"/>
          <w:szCs w:val="24"/>
        </w:rPr>
        <w:t>ffsetting credit</w:t>
      </w:r>
      <w:r>
        <w:rPr>
          <w:rFonts w:eastAsia="Times New Roman" w:cstheme="minorHAnsi"/>
          <w:sz w:val="24"/>
          <w:szCs w:val="24"/>
        </w:rPr>
        <w:t>s</w:t>
      </w:r>
      <w:r w:rsidR="001B6918" w:rsidRPr="004E6649">
        <w:rPr>
          <w:rFonts w:eastAsia="Times New Roman" w:cstheme="minorHAnsi"/>
          <w:sz w:val="24"/>
          <w:szCs w:val="24"/>
        </w:rPr>
        <w:t xml:space="preserve"> to the net present value of the System’s lease receivables</w:t>
      </w:r>
      <w:r>
        <w:rPr>
          <w:rFonts w:eastAsia="Times New Roman" w:cstheme="minorHAnsi"/>
          <w:sz w:val="24"/>
          <w:szCs w:val="24"/>
        </w:rPr>
        <w:t xml:space="preserve"> and PPP </w:t>
      </w:r>
      <w:r w:rsidRPr="004E6649">
        <w:rPr>
          <w:rFonts w:eastAsia="Times New Roman" w:cstheme="minorHAnsi"/>
          <w:sz w:val="24"/>
          <w:szCs w:val="24"/>
        </w:rPr>
        <w:t>receivables</w:t>
      </w:r>
      <w:r w:rsidR="001B6918" w:rsidRPr="004E6649">
        <w:rPr>
          <w:rFonts w:eastAsia="Times New Roman" w:cstheme="minorHAnsi"/>
          <w:sz w:val="24"/>
          <w:szCs w:val="24"/>
        </w:rPr>
        <w:t xml:space="preserve">. These amounts will be recognized as rental income over the </w:t>
      </w:r>
      <w:r w:rsidRPr="004E6649">
        <w:rPr>
          <w:rFonts w:eastAsia="Times New Roman" w:cstheme="minorHAnsi"/>
          <w:sz w:val="24"/>
          <w:szCs w:val="24"/>
        </w:rPr>
        <w:t>li</w:t>
      </w:r>
      <w:r>
        <w:rPr>
          <w:rFonts w:eastAsia="Times New Roman" w:cstheme="minorHAnsi"/>
          <w:sz w:val="24"/>
          <w:szCs w:val="24"/>
        </w:rPr>
        <w:t>ves</w:t>
      </w:r>
      <w:r w:rsidRPr="004E6649">
        <w:rPr>
          <w:rFonts w:eastAsia="Times New Roman" w:cstheme="minorHAnsi"/>
          <w:sz w:val="24"/>
          <w:szCs w:val="24"/>
        </w:rPr>
        <w:t xml:space="preserve"> </w:t>
      </w:r>
      <w:r w:rsidR="001B6918" w:rsidRPr="004E6649">
        <w:rPr>
          <w:rFonts w:eastAsia="Times New Roman" w:cstheme="minorHAnsi"/>
          <w:sz w:val="24"/>
          <w:szCs w:val="24"/>
        </w:rPr>
        <w:t>of the agreement</w:t>
      </w:r>
      <w:r>
        <w:rPr>
          <w:rFonts w:eastAsia="Times New Roman" w:cstheme="minorHAnsi"/>
          <w:sz w:val="24"/>
          <w:szCs w:val="24"/>
        </w:rPr>
        <w:t>s</w:t>
      </w:r>
      <w:r w:rsidR="001B6918" w:rsidRPr="004E6649">
        <w:rPr>
          <w:rFonts w:eastAsia="Times New Roman" w:cstheme="minorHAnsi"/>
          <w:sz w:val="24"/>
          <w:szCs w:val="24"/>
        </w:rPr>
        <w:t>.</w:t>
      </w:r>
    </w:p>
    <w:p w14:paraId="30B3F6D7" w14:textId="77777777" w:rsidR="001B6918" w:rsidRPr="00A02D27" w:rsidRDefault="001B6918" w:rsidP="001B6918">
      <w:pPr>
        <w:pStyle w:val="AFR3"/>
        <w:spacing w:after="0"/>
        <w:rPr>
          <w:rFonts w:cstheme="minorHAnsi"/>
          <w:sz w:val="24"/>
          <w:szCs w:val="24"/>
        </w:rPr>
      </w:pPr>
      <w:r w:rsidRPr="00A02D27">
        <w:rPr>
          <w:rFonts w:cstheme="minorHAnsi"/>
          <w:sz w:val="24"/>
          <w:szCs w:val="24"/>
        </w:rPr>
        <w:t>q. Net Student Fees</w:t>
      </w:r>
    </w:p>
    <w:p w14:paraId="0311580C" w14:textId="77777777" w:rsidR="001B6918" w:rsidRDefault="001B6918" w:rsidP="001B6918">
      <w:pPr>
        <w:tabs>
          <w:tab w:val="left" w:pos="900"/>
          <w:tab w:val="left" w:pos="1440"/>
          <w:tab w:val="left" w:pos="5040"/>
        </w:tabs>
        <w:suppressAutoHyphens/>
        <w:rPr>
          <w:rFonts w:eastAsia="Times New Roman" w:cstheme="minorHAnsi"/>
          <w:spacing w:val="-3"/>
          <w:sz w:val="24"/>
          <w:szCs w:val="24"/>
        </w:rPr>
      </w:pPr>
      <w:r w:rsidRPr="004E6649">
        <w:rPr>
          <w:rFonts w:eastAsia="Times New Roman" w:cstheme="minorHAnsi"/>
          <w:spacing w:val="-3"/>
          <w:sz w:val="24"/>
          <w:szCs w:val="24"/>
        </w:rPr>
        <w:t>Student tuition</w:t>
      </w:r>
      <w:r>
        <w:rPr>
          <w:rFonts w:eastAsia="Times New Roman" w:cstheme="minorHAnsi"/>
          <w:spacing w:val="-3"/>
          <w:sz w:val="24"/>
          <w:szCs w:val="24"/>
        </w:rPr>
        <w:t xml:space="preserve"> and fees and residence and </w:t>
      </w:r>
      <w:r w:rsidRPr="004E6649">
        <w:rPr>
          <w:rFonts w:eastAsia="Times New Roman" w:cstheme="minorHAnsi"/>
          <w:spacing w:val="-3"/>
          <w:sz w:val="24"/>
          <w:szCs w:val="24"/>
        </w:rPr>
        <w:t>dining</w:t>
      </w:r>
      <w:r>
        <w:rPr>
          <w:rFonts w:eastAsia="Times New Roman" w:cstheme="minorHAnsi"/>
          <w:spacing w:val="-3"/>
          <w:sz w:val="24"/>
          <w:szCs w:val="24"/>
        </w:rPr>
        <w:t xml:space="preserve"> </w:t>
      </w:r>
      <w:r w:rsidRPr="004E6649">
        <w:rPr>
          <w:rFonts w:eastAsia="Times New Roman" w:cstheme="minorHAnsi"/>
          <w:spacing w:val="-3"/>
          <w:sz w:val="24"/>
          <w:szCs w:val="24"/>
        </w:rPr>
        <w:t>fees are presented net of scholarships and fellowships</w:t>
      </w:r>
      <w:r>
        <w:rPr>
          <w:rFonts w:eastAsia="Times New Roman" w:cstheme="minorHAnsi"/>
          <w:spacing w:val="-3"/>
          <w:sz w:val="24"/>
          <w:szCs w:val="24"/>
        </w:rPr>
        <w:t xml:space="preserve"> </w:t>
      </w:r>
      <w:r w:rsidRPr="004E6649">
        <w:rPr>
          <w:rFonts w:eastAsia="Times New Roman" w:cstheme="minorHAnsi"/>
          <w:spacing w:val="-3"/>
          <w:sz w:val="24"/>
          <w:szCs w:val="24"/>
        </w:rPr>
        <w:t>applied to students’ accounts</w:t>
      </w:r>
      <w:r>
        <w:rPr>
          <w:rFonts w:eastAsia="Times New Roman" w:cstheme="minorHAnsi"/>
          <w:spacing w:val="-3"/>
          <w:sz w:val="24"/>
          <w:szCs w:val="24"/>
        </w:rPr>
        <w:t xml:space="preserve"> (“scholarship allowance”)</w:t>
      </w:r>
      <w:r w:rsidRPr="004E6649">
        <w:rPr>
          <w:rFonts w:eastAsia="Times New Roman" w:cstheme="minorHAnsi"/>
          <w:spacing w:val="-3"/>
          <w:sz w:val="24"/>
          <w:szCs w:val="24"/>
        </w:rPr>
        <w:t>. Certain other scholarship amounts are paid directly to, or refunded to, the student and are generally reflected as student aid expense.</w:t>
      </w:r>
    </w:p>
    <w:p w14:paraId="4B6B71D7" w14:textId="77777777" w:rsidR="001B6918" w:rsidRDefault="001B6918" w:rsidP="001B6918">
      <w:pPr>
        <w:tabs>
          <w:tab w:val="left" w:pos="900"/>
          <w:tab w:val="left" w:pos="1440"/>
          <w:tab w:val="left" w:pos="5040"/>
        </w:tabs>
        <w:suppressAutoHyphens/>
        <w:rPr>
          <w:rFonts w:eastAsia="Times New Roman" w:cstheme="minorHAnsi"/>
          <w:spacing w:val="-3"/>
          <w:sz w:val="24"/>
          <w:szCs w:val="24"/>
        </w:rPr>
      </w:pPr>
    </w:p>
    <w:p w14:paraId="73FB28C2" w14:textId="32F89EED" w:rsidR="001B6918" w:rsidRPr="004E6649" w:rsidRDefault="001B6918" w:rsidP="001B6918">
      <w:pPr>
        <w:tabs>
          <w:tab w:val="left" w:pos="900"/>
          <w:tab w:val="left" w:pos="1440"/>
          <w:tab w:val="left" w:pos="5040"/>
        </w:tabs>
        <w:suppressAutoHyphens/>
        <w:rPr>
          <w:rFonts w:eastAsia="Times New Roman" w:cstheme="minorHAnsi"/>
          <w:spacing w:val="-3"/>
          <w:sz w:val="24"/>
          <w:szCs w:val="24"/>
        </w:rPr>
      </w:pPr>
      <w:r>
        <w:rPr>
          <w:rFonts w:eastAsia="Times New Roman" w:cstheme="minorHAnsi"/>
          <w:spacing w:val="-3"/>
          <w:sz w:val="24"/>
          <w:szCs w:val="24"/>
        </w:rPr>
        <w:t>During FY25, the System adopted NACUBO Advisory Report 2023-01 for the estimation and allocation of scholarship allowance</w:t>
      </w:r>
      <w:r w:rsidR="0044369D">
        <w:rPr>
          <w:rFonts w:eastAsia="Times New Roman" w:cstheme="minorHAnsi"/>
          <w:spacing w:val="-3"/>
          <w:sz w:val="24"/>
          <w:szCs w:val="24"/>
        </w:rPr>
        <w:t>s</w:t>
      </w:r>
      <w:r>
        <w:rPr>
          <w:rFonts w:eastAsia="Times New Roman" w:cstheme="minorHAnsi"/>
          <w:spacing w:val="-3"/>
          <w:sz w:val="24"/>
          <w:szCs w:val="24"/>
        </w:rPr>
        <w:t xml:space="preserve">. </w:t>
      </w:r>
      <w:r w:rsidR="00CD10C1">
        <w:rPr>
          <w:rFonts w:eastAsia="Times New Roman" w:cstheme="minorHAnsi"/>
          <w:spacing w:val="-3"/>
          <w:sz w:val="24"/>
          <w:szCs w:val="24"/>
        </w:rPr>
        <w:t>The revised methodology is considered to be a more accurate estimate as it calculates the scholarship allowance</w:t>
      </w:r>
      <w:r w:rsidR="0044369D">
        <w:rPr>
          <w:rFonts w:eastAsia="Times New Roman" w:cstheme="minorHAnsi"/>
          <w:spacing w:val="-3"/>
          <w:sz w:val="24"/>
          <w:szCs w:val="24"/>
        </w:rPr>
        <w:t>s</w:t>
      </w:r>
      <w:r w:rsidR="00CD10C1">
        <w:rPr>
          <w:rFonts w:eastAsia="Times New Roman" w:cstheme="minorHAnsi"/>
          <w:spacing w:val="-3"/>
          <w:sz w:val="24"/>
          <w:szCs w:val="24"/>
        </w:rPr>
        <w:t xml:space="preserve"> at the student level, generally resulting in more financial aid being reported as scholarship allowance</w:t>
      </w:r>
      <w:r w:rsidR="0044369D">
        <w:rPr>
          <w:rFonts w:eastAsia="Times New Roman" w:cstheme="minorHAnsi"/>
          <w:spacing w:val="-3"/>
          <w:sz w:val="24"/>
          <w:szCs w:val="24"/>
        </w:rPr>
        <w:t>s</w:t>
      </w:r>
      <w:r w:rsidR="00CD10C1">
        <w:rPr>
          <w:rFonts w:eastAsia="Times New Roman" w:cstheme="minorHAnsi"/>
          <w:spacing w:val="-3"/>
          <w:sz w:val="24"/>
          <w:szCs w:val="24"/>
        </w:rPr>
        <w:t xml:space="preserve"> rather than </w:t>
      </w:r>
      <w:r w:rsidR="002940B6">
        <w:rPr>
          <w:rFonts w:eastAsia="Times New Roman" w:cstheme="minorHAnsi"/>
          <w:spacing w:val="-3"/>
          <w:sz w:val="24"/>
          <w:szCs w:val="24"/>
        </w:rPr>
        <w:t>student aid expense in the accompanying Statements of Revenues, Expenses and Changes in Net Position.</w:t>
      </w:r>
      <w:r w:rsidR="00CD10C1">
        <w:rPr>
          <w:rFonts w:eastAsia="Times New Roman" w:cstheme="minorHAnsi"/>
          <w:spacing w:val="-3"/>
          <w:sz w:val="24"/>
          <w:szCs w:val="24"/>
        </w:rPr>
        <w:t xml:space="preserve"> </w:t>
      </w:r>
      <w:r w:rsidR="002940B6">
        <w:rPr>
          <w:rFonts w:eastAsia="Times New Roman" w:cstheme="minorHAnsi"/>
          <w:spacing w:val="-3"/>
          <w:sz w:val="24"/>
          <w:szCs w:val="24"/>
        </w:rPr>
        <w:t xml:space="preserve">The change is being applied prospectively, beginning July 1, 2024. </w:t>
      </w:r>
      <w:r w:rsidR="007859A9">
        <w:rPr>
          <w:rFonts w:eastAsia="Times New Roman" w:cstheme="minorHAnsi"/>
          <w:spacing w:val="-3"/>
          <w:sz w:val="24"/>
          <w:szCs w:val="24"/>
        </w:rPr>
        <w:t xml:space="preserve">The effect of this change in the current period is an increase of $15,267 in the </w:t>
      </w:r>
      <w:r w:rsidR="0044369D">
        <w:rPr>
          <w:rFonts w:eastAsia="Times New Roman" w:cstheme="minorHAnsi"/>
          <w:spacing w:val="-3"/>
          <w:sz w:val="24"/>
          <w:szCs w:val="24"/>
        </w:rPr>
        <w:t xml:space="preserve">reported </w:t>
      </w:r>
      <w:r w:rsidR="007859A9">
        <w:rPr>
          <w:rFonts w:eastAsia="Times New Roman" w:cstheme="minorHAnsi"/>
          <w:spacing w:val="-3"/>
          <w:sz w:val="24"/>
          <w:szCs w:val="24"/>
        </w:rPr>
        <w:t>scholarship allowance</w:t>
      </w:r>
      <w:r w:rsidR="0044369D">
        <w:rPr>
          <w:rFonts w:eastAsia="Times New Roman" w:cstheme="minorHAnsi"/>
          <w:spacing w:val="-3"/>
          <w:sz w:val="24"/>
          <w:szCs w:val="24"/>
        </w:rPr>
        <w:t>s</w:t>
      </w:r>
      <w:r w:rsidR="007859A9">
        <w:rPr>
          <w:rFonts w:eastAsia="Times New Roman" w:cstheme="minorHAnsi"/>
          <w:spacing w:val="-3"/>
          <w:sz w:val="24"/>
          <w:szCs w:val="24"/>
        </w:rPr>
        <w:t xml:space="preserve">. </w:t>
      </w:r>
      <w:r>
        <w:rPr>
          <w:rFonts w:eastAsia="Times New Roman" w:cstheme="minorHAnsi"/>
          <w:spacing w:val="-3"/>
          <w:sz w:val="24"/>
          <w:szCs w:val="24"/>
        </w:rPr>
        <w:t xml:space="preserve"> </w:t>
      </w:r>
    </w:p>
    <w:p w14:paraId="0557A1A7" w14:textId="77777777" w:rsidR="001B6918" w:rsidRPr="00A02D27" w:rsidRDefault="001B6918" w:rsidP="001B6918">
      <w:pPr>
        <w:pStyle w:val="AFR3"/>
        <w:spacing w:after="0"/>
        <w:rPr>
          <w:rFonts w:cstheme="minorHAnsi"/>
          <w:sz w:val="24"/>
          <w:szCs w:val="24"/>
        </w:rPr>
      </w:pPr>
      <w:r w:rsidRPr="00A02D27">
        <w:rPr>
          <w:rFonts w:cstheme="minorHAnsi"/>
          <w:sz w:val="24"/>
          <w:szCs w:val="24"/>
        </w:rPr>
        <w:t>r. Tax Status</w:t>
      </w:r>
    </w:p>
    <w:p w14:paraId="00FE63B6" w14:textId="3A43DB17" w:rsidR="008C2FDA" w:rsidRDefault="001B6918" w:rsidP="00F51774">
      <w:pPr>
        <w:rPr>
          <w:rFonts w:eastAsiaTheme="majorEastAsia" w:cstheme="minorHAnsi"/>
          <w:b/>
          <w:i/>
          <w:iCs/>
          <w:smallCaps/>
          <w:noProof/>
          <w:color w:val="000000" w:themeColor="text1"/>
          <w:sz w:val="24"/>
          <w:szCs w:val="24"/>
          <w:u w:color="000000" w:themeColor="text1"/>
        </w:rPr>
      </w:pPr>
      <w:r w:rsidRPr="004E6649">
        <w:rPr>
          <w:rFonts w:cstheme="minorHAnsi"/>
          <w:sz w:val="24"/>
        </w:rPr>
        <w:t>The System is exempt from income taxes under Section 115 of the Internal Revenue Code (“the Code”) as a governmental entity. It is also recognized by the Internal Revenue Service as an organization described in Section 501(c)(3) of the Code.</w:t>
      </w:r>
      <w:r w:rsidR="008C2FDA">
        <w:rPr>
          <w:rFonts w:eastAsiaTheme="majorEastAsia" w:cstheme="minorHAnsi"/>
          <w:iCs/>
          <w:smallCaps/>
          <w:noProof/>
          <w:color w:val="000000" w:themeColor="text1"/>
          <w:sz w:val="24"/>
          <w:szCs w:val="24"/>
        </w:rPr>
        <w:br w:type="page"/>
      </w:r>
    </w:p>
    <w:p w14:paraId="2143D612" w14:textId="4722114C" w:rsidR="001B6918" w:rsidRDefault="001B6918" w:rsidP="001B6918">
      <w:pPr>
        <w:pStyle w:val="AFR3"/>
        <w:spacing w:before="0" w:after="240"/>
        <w:rPr>
          <w:rFonts w:cstheme="minorHAnsi"/>
          <w:sz w:val="24"/>
          <w:szCs w:val="24"/>
        </w:rPr>
      </w:pPr>
      <w:r w:rsidRPr="00A02D27" w:rsidDel="00BB7F53">
        <w:rPr>
          <w:rFonts w:eastAsiaTheme="majorEastAsia" w:cstheme="minorHAnsi"/>
          <w:iCs/>
          <w:smallCaps/>
          <w:noProof/>
          <w:color w:val="000000" w:themeColor="text1"/>
          <w:sz w:val="24"/>
          <w:szCs w:val="24"/>
          <w:u w:val="none"/>
        </w:rPr>
        <w:lastRenderedPageBreak/>
        <w:t xml:space="preserve">1. </w:t>
      </w:r>
      <w:r w:rsidRPr="00A02D27">
        <w:rPr>
          <w:rFonts w:eastAsiaTheme="majorEastAsia" w:cstheme="minorHAnsi"/>
          <w:iCs/>
          <w:smallCaps/>
          <w:noProof/>
          <w:color w:val="000000" w:themeColor="text1"/>
          <w:sz w:val="24"/>
          <w:szCs w:val="24"/>
          <w:u w:val="none"/>
        </w:rPr>
        <w:t>SIGNIFICANT ACCOUNTING POLICIES</w:t>
      </w:r>
      <w:r w:rsidRPr="00A02D27" w:rsidDel="00BB7F53">
        <w:rPr>
          <w:rFonts w:eastAsiaTheme="majorEastAsia" w:cstheme="minorHAnsi"/>
          <w:iCs/>
          <w:smallCaps/>
          <w:noProof/>
          <w:color w:val="000000" w:themeColor="text1"/>
          <w:sz w:val="24"/>
          <w:szCs w:val="24"/>
          <w:u w:val="none"/>
        </w:rPr>
        <w:t xml:space="preserve"> - CONTINUED</w:t>
      </w:r>
    </w:p>
    <w:p w14:paraId="42783E64" w14:textId="77777777" w:rsidR="001B6918" w:rsidRPr="00A02D27" w:rsidRDefault="001B6918" w:rsidP="001B6918">
      <w:pPr>
        <w:pStyle w:val="AFR3"/>
        <w:spacing w:after="0"/>
        <w:rPr>
          <w:rFonts w:cstheme="minorHAnsi"/>
          <w:sz w:val="24"/>
          <w:szCs w:val="24"/>
        </w:rPr>
      </w:pPr>
      <w:r w:rsidRPr="00A02D27">
        <w:rPr>
          <w:rFonts w:cstheme="minorHAnsi"/>
          <w:sz w:val="24"/>
          <w:szCs w:val="24"/>
        </w:rPr>
        <w:t>s. Use of Estimates</w:t>
      </w:r>
    </w:p>
    <w:p w14:paraId="19FE519B" w14:textId="66BE3C0B" w:rsidR="001B6918" w:rsidRDefault="001B6918" w:rsidP="001B6918">
      <w:pPr>
        <w:tabs>
          <w:tab w:val="left" w:pos="1440"/>
          <w:tab w:val="left" w:pos="1848"/>
          <w:tab w:val="left" w:pos="5040"/>
          <w:tab w:val="right" w:pos="7260"/>
        </w:tabs>
        <w:suppressAutoHyphens/>
        <w:rPr>
          <w:rFonts w:cstheme="minorHAnsi"/>
          <w:spacing w:val="-3"/>
          <w:sz w:val="24"/>
        </w:rPr>
      </w:pPr>
      <w:r w:rsidRPr="004E6649">
        <w:rPr>
          <w:rFonts w:cstheme="minorHAnsi"/>
          <w:spacing w:val="-3"/>
          <w:sz w:val="24"/>
        </w:rPr>
        <w:t xml:space="preserve">The preparation of financial statements in conformity with U.S. </w:t>
      </w:r>
      <w:r w:rsidRPr="004E6649">
        <w:rPr>
          <w:rFonts w:cstheme="minorHAnsi"/>
          <w:sz w:val="24"/>
        </w:rPr>
        <w:t>GAAP</w:t>
      </w:r>
      <w:r w:rsidRPr="004E6649">
        <w:rPr>
          <w:rFonts w:cstheme="minorHAnsi"/>
          <w:spacing w:val="-3"/>
          <w:sz w:val="24"/>
        </w:rPr>
        <w:t xml:space="preserve"> requires management to make estimates and assumptions that affect the reported amounts of assets and liabilities and disclosures of contingent assets and liabilities at the dates of the financial statements and the reported amounts of revenues and expenses during the reporting periods. The most significant estimates in the financial statements include liabilities for self-insured plans, pension and other retirement benefit obligations, as well as allowances for uncollectible receivables</w:t>
      </w:r>
      <w:r w:rsidR="00047AD9">
        <w:rPr>
          <w:rFonts w:cstheme="minorHAnsi"/>
          <w:spacing w:val="-3"/>
          <w:sz w:val="24"/>
        </w:rPr>
        <w:t xml:space="preserve"> and compensated absences</w:t>
      </w:r>
      <w:r w:rsidRPr="004E6649">
        <w:rPr>
          <w:rFonts w:cstheme="minorHAnsi"/>
          <w:spacing w:val="-3"/>
          <w:sz w:val="24"/>
        </w:rPr>
        <w:t>. Actual results could differ from those estimates.</w:t>
      </w:r>
    </w:p>
    <w:p w14:paraId="3A8F73DA" w14:textId="77777777" w:rsidR="001B6918" w:rsidRPr="004E6649" w:rsidRDefault="001B6918" w:rsidP="001B6918">
      <w:pPr>
        <w:pStyle w:val="AFR2"/>
        <w:pBdr>
          <w:bottom w:val="single" w:sz="8" w:space="1" w:color="0D0D0D" w:themeColor="text1" w:themeTint="F2"/>
        </w:pBdr>
        <w:rPr>
          <w:rFonts w:cstheme="minorHAnsi"/>
          <w:sz w:val="24"/>
          <w:szCs w:val="24"/>
        </w:rPr>
      </w:pPr>
      <w:r w:rsidRPr="004E6649">
        <w:rPr>
          <w:rFonts w:cstheme="minorHAnsi"/>
          <w:sz w:val="24"/>
          <w:szCs w:val="24"/>
        </w:rPr>
        <w:t>2. CASH AND CASH EQUIVALENTS</w:t>
      </w:r>
    </w:p>
    <w:p w14:paraId="2C5C3BC7" w14:textId="459695D2" w:rsidR="001B6918" w:rsidRDefault="001B6918" w:rsidP="001B6918">
      <w:pPr>
        <w:tabs>
          <w:tab w:val="left" w:pos="720"/>
          <w:tab w:val="left" w:pos="1440"/>
          <w:tab w:val="left" w:pos="5040"/>
        </w:tabs>
        <w:suppressAutoHyphens/>
        <w:rPr>
          <w:rFonts w:eastAsiaTheme="majorEastAsia" w:cstheme="minorHAnsi"/>
          <w:b/>
          <w:i/>
          <w:iCs/>
          <w:smallCaps/>
          <w:noProof/>
          <w:color w:val="000000" w:themeColor="text1"/>
          <w:sz w:val="24"/>
          <w:szCs w:val="24"/>
          <w:u w:color="5B9BD5"/>
        </w:rPr>
      </w:pPr>
      <w:r w:rsidRPr="004E6649">
        <w:rPr>
          <w:rFonts w:cstheme="minorHAnsi"/>
          <w:sz w:val="24"/>
        </w:rPr>
        <w:t xml:space="preserve">Custodial credit risk is the risk that in the event of bank failure, the System’s deposits, including those held in a fiduciary capacity, may not be returned. Deposits are considered uninsured if they are not covered by depository insurance and are (a) uncollateralized, (b) collateralized with securities held by the pledging financial institution, or (c) collateralized with securities held by the pledging financial institution’s trust department or agent but not in the System’s name. The System’s policy is that </w:t>
      </w:r>
      <w:r w:rsidR="00D27C6D" w:rsidRPr="004E6649">
        <w:rPr>
          <w:rFonts w:cstheme="minorHAnsi"/>
          <w:sz w:val="24"/>
        </w:rPr>
        <w:t>except for</w:t>
      </w:r>
      <w:r w:rsidRPr="004E6649">
        <w:rPr>
          <w:rFonts w:cstheme="minorHAnsi"/>
          <w:sz w:val="24"/>
        </w:rPr>
        <w:t xml:space="preserve"> daily operating cash, it will carry no deposits that are uncollateralized or uninsured. As of June 30, 202</w:t>
      </w:r>
      <w:r>
        <w:rPr>
          <w:rFonts w:cstheme="minorHAnsi"/>
          <w:sz w:val="24"/>
        </w:rPr>
        <w:t>5</w:t>
      </w:r>
      <w:r w:rsidRPr="004E6649">
        <w:rPr>
          <w:rFonts w:cstheme="minorHAnsi"/>
          <w:b/>
          <w:sz w:val="24"/>
        </w:rPr>
        <w:t xml:space="preserve"> </w:t>
      </w:r>
      <w:r w:rsidRPr="004E6649">
        <w:rPr>
          <w:rFonts w:cstheme="minorHAnsi"/>
          <w:sz w:val="24"/>
        </w:rPr>
        <w:t>and 202</w:t>
      </w:r>
      <w:r>
        <w:rPr>
          <w:rFonts w:cstheme="minorHAnsi"/>
          <w:sz w:val="24"/>
        </w:rPr>
        <w:t>4</w:t>
      </w:r>
      <w:r w:rsidRPr="004E6649">
        <w:rPr>
          <w:rFonts w:cstheme="minorHAnsi"/>
          <w:sz w:val="24"/>
        </w:rPr>
        <w:t>, bank balances with uninsured or uncollateralized operating cash deposits were $</w:t>
      </w:r>
      <w:r w:rsidRPr="00741E61">
        <w:rPr>
          <w:rFonts w:cstheme="minorHAnsi"/>
          <w:sz w:val="24"/>
        </w:rPr>
        <w:t>4,463</w:t>
      </w:r>
      <w:r w:rsidRPr="00992740">
        <w:rPr>
          <w:rFonts w:cstheme="minorHAnsi"/>
          <w:color w:val="FF0000"/>
          <w:sz w:val="24"/>
        </w:rPr>
        <w:t xml:space="preserve"> </w:t>
      </w:r>
      <w:r w:rsidRPr="004E6649">
        <w:rPr>
          <w:rFonts w:cstheme="minorHAnsi"/>
          <w:sz w:val="24"/>
        </w:rPr>
        <w:t>and $</w:t>
      </w:r>
      <w:r w:rsidRPr="0005788F">
        <w:rPr>
          <w:rFonts w:cstheme="minorHAnsi"/>
          <w:sz w:val="24"/>
        </w:rPr>
        <w:t>5,050</w:t>
      </w:r>
      <w:r w:rsidRPr="004E6649">
        <w:rPr>
          <w:rFonts w:cstheme="minorHAnsi"/>
          <w:sz w:val="24"/>
        </w:rPr>
        <w:t>, respectively.</w:t>
      </w:r>
    </w:p>
    <w:p w14:paraId="3C7622AB" w14:textId="77777777" w:rsidR="001B6918" w:rsidRPr="00A02D27" w:rsidRDefault="001B6918" w:rsidP="001B6918">
      <w:pPr>
        <w:pStyle w:val="AFR2"/>
        <w:pBdr>
          <w:bottom w:val="single" w:sz="8" w:space="1" w:color="0D0D0D" w:themeColor="text1" w:themeTint="F2"/>
        </w:pBdr>
        <w:rPr>
          <w:rFonts w:cstheme="minorHAnsi"/>
          <w:sz w:val="26"/>
          <w:szCs w:val="26"/>
        </w:rPr>
      </w:pPr>
      <w:r w:rsidRPr="00A02D27">
        <w:rPr>
          <w:rFonts w:cstheme="minorHAnsi"/>
          <w:sz w:val="26"/>
          <w:szCs w:val="26"/>
        </w:rPr>
        <w:t>3. INVESTMENTS</w:t>
      </w:r>
    </w:p>
    <w:p w14:paraId="1B1CC3C7" w14:textId="77777777" w:rsidR="001B6918" w:rsidRPr="00A02D27" w:rsidRDefault="001B6918" w:rsidP="001B6918">
      <w:pPr>
        <w:pStyle w:val="AFR3"/>
        <w:spacing w:after="0"/>
        <w:rPr>
          <w:rFonts w:cstheme="minorHAnsi"/>
          <w:sz w:val="24"/>
          <w:szCs w:val="24"/>
        </w:rPr>
      </w:pPr>
      <w:r w:rsidRPr="00A02D27">
        <w:rPr>
          <w:rFonts w:cstheme="minorHAnsi"/>
          <w:sz w:val="24"/>
          <w:szCs w:val="24"/>
        </w:rPr>
        <w:t>a. Composition and Fair Value Measurements</w:t>
      </w:r>
    </w:p>
    <w:p w14:paraId="398F71F9" w14:textId="77777777" w:rsidR="001B6918" w:rsidRPr="004E6649" w:rsidRDefault="001B6918" w:rsidP="001B6918">
      <w:pPr>
        <w:pStyle w:val="AFR5"/>
        <w:spacing w:before="240" w:after="120"/>
        <w:ind w:left="0"/>
        <w:jc w:val="left"/>
        <w:rPr>
          <w:rFonts w:asciiTheme="minorHAnsi" w:hAnsiTheme="minorHAnsi" w:cstheme="minorHAnsi"/>
          <w:u w:val="single"/>
        </w:rPr>
      </w:pPr>
      <w:r w:rsidRPr="004E6649">
        <w:rPr>
          <w:rFonts w:asciiTheme="minorHAnsi" w:hAnsiTheme="minorHAnsi" w:cstheme="minorHAnsi"/>
          <w:u w:val="single"/>
        </w:rPr>
        <w:t>Composition and Purpose of Investments:</w:t>
      </w:r>
    </w:p>
    <w:p w14:paraId="4F143EA3" w14:textId="77777777" w:rsidR="001B6918" w:rsidRPr="004E6649" w:rsidRDefault="001B6918" w:rsidP="001B6918">
      <w:pPr>
        <w:spacing w:after="160"/>
        <w:rPr>
          <w:rFonts w:cstheme="minorHAnsi"/>
          <w:sz w:val="24"/>
        </w:rPr>
      </w:pPr>
      <w:r w:rsidRPr="004E6649">
        <w:rPr>
          <w:rFonts w:cstheme="minorHAnsi"/>
          <w:sz w:val="24"/>
        </w:rPr>
        <w:t xml:space="preserve">The System uses a pooled investment approach for its endowments (including Affiliates’ endowments invested with the System) unless otherwise required by the donor. As previously noted, </w:t>
      </w:r>
      <w:r>
        <w:rPr>
          <w:rFonts w:cstheme="minorHAnsi"/>
          <w:spacing w:val="-3"/>
          <w:sz w:val="24"/>
        </w:rPr>
        <w:t>two</w:t>
      </w:r>
      <w:r w:rsidRPr="004E6649">
        <w:rPr>
          <w:rFonts w:cstheme="minorHAnsi"/>
          <w:spacing w:val="-3"/>
          <w:sz w:val="24"/>
        </w:rPr>
        <w:t xml:space="preserve"> outside entities - the UMS OPEB Trust</w:t>
      </w:r>
      <w:r>
        <w:rPr>
          <w:rFonts w:cstheme="minorHAnsi"/>
          <w:spacing w:val="-3"/>
          <w:sz w:val="24"/>
        </w:rPr>
        <w:t xml:space="preserve"> and </w:t>
      </w:r>
      <w:r w:rsidRPr="004E6649">
        <w:rPr>
          <w:rFonts w:cstheme="minorHAnsi"/>
          <w:spacing w:val="-3"/>
          <w:sz w:val="24"/>
        </w:rPr>
        <w:t>the University of Maine School of Law Foundation-</w:t>
      </w:r>
      <w:r w:rsidRPr="004E6649">
        <w:rPr>
          <w:rFonts w:cstheme="minorHAnsi"/>
          <w:sz w:val="24"/>
        </w:rPr>
        <w:t xml:space="preserve"> pool monies for investment purposes with the System’s endowment. Investment policies and strategies are determined for this combined Managed Investment Pool (MIP). Fair values, credit ratings, and interest rate risk for the entire investment pool are presented below under “DB Plan and MIP investments”. The amount held for the outside entities are shown as “MIP held on behalf of outside entities”.</w:t>
      </w:r>
    </w:p>
    <w:p w14:paraId="56B3E39B" w14:textId="77777777" w:rsidR="001B6918" w:rsidRPr="004E6649" w:rsidRDefault="001B6918" w:rsidP="001B6918">
      <w:pPr>
        <w:tabs>
          <w:tab w:val="left" w:pos="0"/>
          <w:tab w:val="left" w:pos="1080"/>
          <w:tab w:val="decimal" w:pos="6786"/>
          <w:tab w:val="decimal" w:pos="9187"/>
        </w:tabs>
        <w:suppressAutoHyphens/>
        <w:spacing w:after="160"/>
        <w:rPr>
          <w:rFonts w:eastAsia="Times New Roman" w:cstheme="minorHAnsi"/>
          <w:bCs/>
          <w:spacing w:val="-3"/>
          <w:sz w:val="24"/>
          <w:szCs w:val="20"/>
        </w:rPr>
      </w:pPr>
      <w:r w:rsidRPr="004E6649">
        <w:rPr>
          <w:rFonts w:eastAsia="Times New Roman" w:cstheme="minorHAnsi"/>
          <w:b/>
          <w:i/>
          <w:spacing w:val="-3"/>
          <w:sz w:val="24"/>
          <w:szCs w:val="20"/>
        </w:rPr>
        <w:t>Operating Investments:</w:t>
      </w:r>
      <w:r w:rsidRPr="004E6649">
        <w:rPr>
          <w:rFonts w:eastAsia="Times New Roman" w:cstheme="minorHAnsi"/>
          <w:bCs/>
          <w:spacing w:val="-3"/>
          <w:sz w:val="24"/>
          <w:szCs w:val="20"/>
        </w:rPr>
        <w:t xml:space="preserve"> The System’s operating investments are available to fund operations or other purposes as determined by System management.</w:t>
      </w:r>
    </w:p>
    <w:p w14:paraId="4E2F9CD5" w14:textId="77777777" w:rsidR="001B6918" w:rsidRPr="004E6649" w:rsidRDefault="001B6918" w:rsidP="001B6918">
      <w:pPr>
        <w:tabs>
          <w:tab w:val="left" w:pos="0"/>
          <w:tab w:val="left" w:pos="1080"/>
          <w:tab w:val="decimal" w:pos="6786"/>
          <w:tab w:val="decimal" w:pos="9187"/>
        </w:tabs>
        <w:suppressAutoHyphens/>
        <w:spacing w:after="160"/>
        <w:rPr>
          <w:rFonts w:cstheme="minorHAnsi"/>
          <w:bCs/>
          <w:spacing w:val="-3"/>
          <w:sz w:val="24"/>
          <w:szCs w:val="24"/>
        </w:rPr>
      </w:pPr>
      <w:r w:rsidRPr="004E6649">
        <w:rPr>
          <w:rFonts w:cstheme="minorHAnsi"/>
          <w:b/>
          <w:i/>
          <w:spacing w:val="-3"/>
          <w:sz w:val="24"/>
          <w:szCs w:val="24"/>
        </w:rPr>
        <w:t>Deposits with Trustees</w:t>
      </w:r>
      <w:r w:rsidRPr="004E6649">
        <w:rPr>
          <w:rFonts w:cstheme="minorHAnsi"/>
          <w:bCs/>
          <w:spacing w:val="-3"/>
          <w:sz w:val="24"/>
          <w:szCs w:val="24"/>
        </w:rPr>
        <w:t>: Deposits with trustees are composed of unexpended bond proceeds from bond issuances, bond anticipation notes and escrow accounts associated with the System’s lease-purchase program.</w:t>
      </w:r>
    </w:p>
    <w:p w14:paraId="73524CB5" w14:textId="77777777" w:rsidR="00047AD9" w:rsidRDefault="00047AD9" w:rsidP="001B6918">
      <w:pPr>
        <w:tabs>
          <w:tab w:val="left" w:pos="0"/>
          <w:tab w:val="left" w:pos="1080"/>
          <w:tab w:val="decimal" w:pos="6786"/>
          <w:tab w:val="decimal" w:pos="9079"/>
        </w:tabs>
        <w:suppressAutoHyphens/>
        <w:rPr>
          <w:rFonts w:eastAsia="Times New Roman" w:cstheme="minorHAnsi"/>
          <w:b/>
          <w:i/>
          <w:spacing w:val="-3"/>
          <w:sz w:val="24"/>
          <w:szCs w:val="20"/>
        </w:rPr>
      </w:pPr>
    </w:p>
    <w:p w14:paraId="4AECC3F1" w14:textId="77777777" w:rsidR="00047AD9" w:rsidRDefault="00047AD9" w:rsidP="001B6918">
      <w:pPr>
        <w:tabs>
          <w:tab w:val="left" w:pos="0"/>
          <w:tab w:val="left" w:pos="1080"/>
          <w:tab w:val="decimal" w:pos="6786"/>
          <w:tab w:val="decimal" w:pos="9079"/>
        </w:tabs>
        <w:suppressAutoHyphens/>
        <w:rPr>
          <w:rFonts w:eastAsia="Times New Roman" w:cstheme="minorHAnsi"/>
          <w:b/>
          <w:i/>
          <w:spacing w:val="-3"/>
          <w:sz w:val="24"/>
          <w:szCs w:val="20"/>
        </w:rPr>
      </w:pPr>
    </w:p>
    <w:p w14:paraId="60267BD1" w14:textId="77777777" w:rsidR="00047AD9" w:rsidRPr="00F51774" w:rsidRDefault="00047AD9" w:rsidP="00047AD9">
      <w:pPr>
        <w:pStyle w:val="AFR4"/>
        <w:spacing w:before="240"/>
        <w:rPr>
          <w:rFonts w:cstheme="minorHAnsi"/>
          <w:i/>
          <w:u w:val="none"/>
        </w:rPr>
      </w:pPr>
      <w:r w:rsidRPr="00F51774">
        <w:rPr>
          <w:rFonts w:eastAsiaTheme="majorEastAsia" w:cstheme="minorHAnsi"/>
          <w:i/>
          <w:iCs/>
          <w:smallCaps/>
          <w:noProof/>
          <w:color w:val="000000" w:themeColor="text1"/>
          <w:u w:val="none" w:color="5B9BD5"/>
        </w:rPr>
        <w:lastRenderedPageBreak/>
        <w:t>3. INVESTMENTS - CONTINUED</w:t>
      </w:r>
    </w:p>
    <w:p w14:paraId="13A063F5" w14:textId="391AF7FD" w:rsidR="001B6918" w:rsidRPr="004E6649" w:rsidRDefault="001B6918" w:rsidP="001B6918">
      <w:pPr>
        <w:tabs>
          <w:tab w:val="left" w:pos="0"/>
          <w:tab w:val="left" w:pos="1080"/>
          <w:tab w:val="decimal" w:pos="6786"/>
          <w:tab w:val="decimal" w:pos="9079"/>
        </w:tabs>
        <w:suppressAutoHyphens/>
        <w:rPr>
          <w:rFonts w:eastAsia="Times New Roman" w:cstheme="minorHAnsi"/>
          <w:sz w:val="24"/>
        </w:rPr>
      </w:pPr>
      <w:r w:rsidRPr="00853B66">
        <w:rPr>
          <w:rFonts w:eastAsia="Times New Roman" w:cstheme="minorHAnsi"/>
          <w:b/>
          <w:i/>
          <w:spacing w:val="-3"/>
          <w:sz w:val="24"/>
          <w:szCs w:val="20"/>
        </w:rPr>
        <w:t>Endowment Investments</w:t>
      </w:r>
      <w:r w:rsidRPr="004E6649">
        <w:rPr>
          <w:rFonts w:eastAsia="Times New Roman" w:cstheme="minorHAnsi"/>
          <w:b/>
          <w:i/>
          <w:spacing w:val="-3"/>
          <w:sz w:val="24"/>
          <w:szCs w:val="20"/>
        </w:rPr>
        <w:t>:</w:t>
      </w:r>
      <w:r w:rsidRPr="004E6649">
        <w:rPr>
          <w:rFonts w:eastAsia="Times New Roman" w:cstheme="minorHAnsi"/>
          <w:sz w:val="24"/>
        </w:rPr>
        <w:t xml:space="preserve"> Except for certain gifts invested separately at the request of the donors </w:t>
      </w:r>
      <w:r w:rsidRPr="004E6649">
        <w:rPr>
          <w:rFonts w:eastAsia="Times New Roman" w:cstheme="minorHAnsi"/>
          <w:color w:val="000000" w:themeColor="text1"/>
          <w:sz w:val="24"/>
        </w:rPr>
        <w:t>($</w:t>
      </w:r>
      <w:r w:rsidRPr="00853B66">
        <w:rPr>
          <w:rFonts w:eastAsia="Times New Roman" w:cstheme="minorHAnsi"/>
          <w:sz w:val="24"/>
        </w:rPr>
        <w:t>2</w:t>
      </w:r>
      <w:r>
        <w:rPr>
          <w:rFonts w:eastAsia="Times New Roman" w:cstheme="minorHAnsi"/>
          <w:sz w:val="24"/>
        </w:rPr>
        <w:t>,</w:t>
      </w:r>
      <w:r w:rsidRPr="00853B66">
        <w:rPr>
          <w:rFonts w:eastAsia="Times New Roman" w:cstheme="minorHAnsi"/>
          <w:sz w:val="24"/>
        </w:rPr>
        <w:t xml:space="preserve">504 </w:t>
      </w:r>
      <w:r w:rsidRPr="004E6649">
        <w:rPr>
          <w:rFonts w:eastAsia="Times New Roman" w:cstheme="minorHAnsi"/>
          <w:sz w:val="24"/>
        </w:rPr>
        <w:t>and $</w:t>
      </w:r>
      <w:r w:rsidRPr="00FF179F">
        <w:rPr>
          <w:rFonts w:eastAsia="Times New Roman" w:cstheme="minorHAnsi"/>
          <w:sz w:val="24"/>
        </w:rPr>
        <w:t>2,211</w:t>
      </w:r>
      <w:r w:rsidRPr="004E6649">
        <w:rPr>
          <w:rFonts w:eastAsia="Times New Roman" w:cstheme="minorHAnsi"/>
          <w:sz w:val="24"/>
        </w:rPr>
        <w:t xml:space="preserve"> at June 30, 202</w:t>
      </w:r>
      <w:r>
        <w:rPr>
          <w:rFonts w:eastAsia="Times New Roman" w:cstheme="minorHAnsi"/>
          <w:sz w:val="24"/>
        </w:rPr>
        <w:t>5</w:t>
      </w:r>
      <w:r w:rsidRPr="004E6649">
        <w:rPr>
          <w:rFonts w:eastAsia="Times New Roman" w:cstheme="minorHAnsi"/>
          <w:sz w:val="24"/>
        </w:rPr>
        <w:t xml:space="preserve"> and 202</w:t>
      </w:r>
      <w:r>
        <w:rPr>
          <w:rFonts w:eastAsia="Times New Roman" w:cstheme="minorHAnsi"/>
          <w:sz w:val="24"/>
        </w:rPr>
        <w:t>4</w:t>
      </w:r>
      <w:r w:rsidRPr="004E6649">
        <w:rPr>
          <w:rFonts w:eastAsia="Times New Roman" w:cstheme="minorHAnsi"/>
          <w:sz w:val="24"/>
        </w:rPr>
        <w:t>, respectively), the System's endowment is managed as a pooled investment fund using external investment managers. The University of Maine at Fort Kent Foundation, the University of Southern Maine Foundation</w:t>
      </w:r>
      <w:r w:rsidR="00D27C6D">
        <w:rPr>
          <w:rFonts w:eastAsia="Times New Roman" w:cstheme="minorHAnsi"/>
          <w:sz w:val="24"/>
        </w:rPr>
        <w:t xml:space="preserve"> </w:t>
      </w:r>
      <w:r w:rsidR="00D27C6D" w:rsidRPr="00D27C6D">
        <w:rPr>
          <w:rFonts w:eastAsia="Times New Roman" w:cstheme="minorHAnsi"/>
          <w:sz w:val="24"/>
        </w:rPr>
        <w:t>(withdrew July 1, 2024)</w:t>
      </w:r>
      <w:r w:rsidRPr="004E6649">
        <w:rPr>
          <w:rFonts w:eastAsia="Times New Roman" w:cstheme="minorHAnsi"/>
          <w:sz w:val="24"/>
        </w:rPr>
        <w:t>, and the John L. Martin Scholarship Fund, Inc. participate in the System’s endowment pool through a management agreement. The fair values of the investments held for these affiliated organizations at June 30, 202</w:t>
      </w:r>
      <w:r>
        <w:rPr>
          <w:rFonts w:eastAsia="Times New Roman" w:cstheme="minorHAnsi"/>
          <w:sz w:val="24"/>
        </w:rPr>
        <w:t>5</w:t>
      </w:r>
      <w:r w:rsidRPr="004E6649">
        <w:rPr>
          <w:rFonts w:eastAsia="Times New Roman" w:cstheme="minorHAnsi"/>
          <w:sz w:val="24"/>
        </w:rPr>
        <w:t xml:space="preserve"> and 202</w:t>
      </w:r>
      <w:r>
        <w:rPr>
          <w:rFonts w:eastAsia="Times New Roman" w:cstheme="minorHAnsi"/>
          <w:sz w:val="24"/>
        </w:rPr>
        <w:t>4</w:t>
      </w:r>
      <w:r w:rsidRPr="004E6649">
        <w:rPr>
          <w:rFonts w:eastAsia="Times New Roman" w:cstheme="minorHAnsi"/>
          <w:sz w:val="24"/>
        </w:rPr>
        <w:t xml:space="preserve">, respectively </w:t>
      </w:r>
      <w:r w:rsidR="00D27C6D">
        <w:rPr>
          <w:rFonts w:eastAsia="Times New Roman" w:cstheme="minorHAnsi"/>
          <w:sz w:val="24"/>
        </w:rPr>
        <w:t>we</w:t>
      </w:r>
      <w:r w:rsidRPr="004E6649">
        <w:rPr>
          <w:rFonts w:eastAsia="Times New Roman" w:cstheme="minorHAnsi"/>
          <w:sz w:val="24"/>
        </w:rPr>
        <w:t>re $</w:t>
      </w:r>
      <w:r w:rsidRPr="005C1BEA">
        <w:rPr>
          <w:rFonts w:eastAsia="Times New Roman" w:cstheme="minorHAnsi"/>
          <w:sz w:val="24"/>
        </w:rPr>
        <w:t xml:space="preserve">4,336 </w:t>
      </w:r>
      <w:r w:rsidRPr="004E6649">
        <w:rPr>
          <w:rFonts w:eastAsia="Times New Roman" w:cstheme="minorHAnsi"/>
          <w:sz w:val="24"/>
        </w:rPr>
        <w:t>and $</w:t>
      </w:r>
      <w:r w:rsidRPr="00FF179F">
        <w:rPr>
          <w:rFonts w:eastAsia="Times New Roman" w:cstheme="minorHAnsi"/>
          <w:sz w:val="24"/>
        </w:rPr>
        <w:t>38,165</w:t>
      </w:r>
      <w:r w:rsidRPr="004E6649">
        <w:rPr>
          <w:rFonts w:eastAsia="Times New Roman" w:cstheme="minorHAnsi"/>
          <w:sz w:val="24"/>
        </w:rPr>
        <w:t>, and are reported as</w:t>
      </w:r>
      <w:r w:rsidR="00D27C6D">
        <w:rPr>
          <w:rFonts w:eastAsia="Times New Roman" w:cstheme="minorHAnsi"/>
          <w:sz w:val="24"/>
        </w:rPr>
        <w:t xml:space="preserve"> an</w:t>
      </w:r>
      <w:r w:rsidRPr="004E6649">
        <w:rPr>
          <w:rFonts w:eastAsia="Times New Roman" w:cstheme="minorHAnsi"/>
          <w:sz w:val="24"/>
        </w:rPr>
        <w:t xml:space="preserve"> investment in the UMS endowment pool in the accompanying Statements of Fiduciary Net Position.</w:t>
      </w:r>
    </w:p>
    <w:p w14:paraId="0B2779E9" w14:textId="77777777" w:rsidR="001B6918" w:rsidRPr="004E6649" w:rsidRDefault="001B6918" w:rsidP="001B6918">
      <w:pPr>
        <w:tabs>
          <w:tab w:val="left" w:pos="0"/>
          <w:tab w:val="left" w:pos="1080"/>
          <w:tab w:val="decimal" w:pos="6786"/>
          <w:tab w:val="decimal" w:pos="9079"/>
        </w:tabs>
        <w:suppressAutoHyphens/>
        <w:rPr>
          <w:rFonts w:eastAsia="Times New Roman" w:cstheme="minorHAnsi"/>
          <w:sz w:val="24"/>
        </w:rPr>
      </w:pPr>
    </w:p>
    <w:p w14:paraId="047C9333" w14:textId="1E78960B" w:rsidR="001B6918" w:rsidRDefault="001B6918" w:rsidP="001B6918">
      <w:pPr>
        <w:tabs>
          <w:tab w:val="left" w:pos="0"/>
          <w:tab w:val="left" w:pos="1080"/>
          <w:tab w:val="decimal" w:pos="6786"/>
          <w:tab w:val="decimal" w:pos="9079"/>
        </w:tabs>
        <w:suppressAutoHyphens/>
        <w:spacing w:after="60"/>
        <w:rPr>
          <w:rFonts w:eastAsia="Times New Roman" w:cstheme="minorHAnsi"/>
          <w:bCs/>
          <w:spacing w:val="-3"/>
          <w:sz w:val="24"/>
          <w:szCs w:val="20"/>
        </w:rPr>
      </w:pPr>
      <w:r w:rsidRPr="004E6649">
        <w:rPr>
          <w:rFonts w:eastAsia="Times New Roman" w:cstheme="minorHAnsi"/>
          <w:bCs/>
          <w:spacing w:val="-3"/>
          <w:sz w:val="24"/>
          <w:szCs w:val="20"/>
        </w:rPr>
        <w:t>Endowed gifts are invested to generate income to fund various activities such as scholarships and research as specified by the donors. The total endowment accumulated net income and appreciation available to the System for spending at June 30</w:t>
      </w:r>
      <w:r>
        <w:rPr>
          <w:rFonts w:eastAsia="Times New Roman" w:cstheme="minorHAnsi"/>
          <w:bCs/>
          <w:spacing w:val="-3"/>
          <w:sz w:val="24"/>
          <w:szCs w:val="20"/>
        </w:rPr>
        <w:t xml:space="preserve"> was:</w:t>
      </w:r>
    </w:p>
    <w:p w14:paraId="3A27BDCE" w14:textId="77777777" w:rsidR="001B6918" w:rsidRPr="00F51774" w:rsidRDefault="001B6918" w:rsidP="00F51774">
      <w:pPr>
        <w:tabs>
          <w:tab w:val="left" w:pos="0"/>
          <w:tab w:val="left" w:pos="1080"/>
          <w:tab w:val="decimal" w:pos="6786"/>
          <w:tab w:val="decimal" w:pos="9079"/>
        </w:tabs>
        <w:suppressAutoHyphens/>
        <w:rPr>
          <w:rFonts w:eastAsiaTheme="majorEastAsia" w:cstheme="minorHAnsi"/>
          <w:b/>
          <w:i/>
          <w:iCs/>
          <w:smallCaps/>
          <w:noProof/>
          <w:color w:val="000000" w:themeColor="text1"/>
          <w:sz w:val="16"/>
          <w:szCs w:val="16"/>
          <w:u w:color="5B9BD5"/>
        </w:rPr>
      </w:pP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otal endowment accumulated net income and appreciation available for spending as of June 30, 2018 and 2019.  In thousands, restricted - expendable decreased from $55,678 in FY18 to $54,432 in FY19; unrestricted increased from $16,012 in FY18 to $17,165 in FY19; and total available for spending which decreased from $71,690 in FY18 to $71,597 in FY19."/>
      </w:tblPr>
      <w:tblGrid>
        <w:gridCol w:w="3330"/>
        <w:gridCol w:w="1080"/>
        <w:gridCol w:w="1260"/>
      </w:tblGrid>
      <w:tr w:rsidR="001B6918" w:rsidRPr="004E6649" w14:paraId="27332F9D" w14:textId="77777777" w:rsidTr="00730ECF">
        <w:trPr>
          <w:trHeight w:val="323"/>
          <w:tblHeader/>
          <w:jc w:val="center"/>
        </w:trPr>
        <w:tc>
          <w:tcPr>
            <w:tcW w:w="3330" w:type="dxa"/>
          </w:tcPr>
          <w:p w14:paraId="21A95D1B" w14:textId="77777777" w:rsidR="001B6918" w:rsidRPr="004E6649" w:rsidRDefault="001B6918" w:rsidP="00730ECF">
            <w:pPr>
              <w:tabs>
                <w:tab w:val="left" w:pos="720"/>
                <w:tab w:val="left" w:pos="1440"/>
                <w:tab w:val="decimal" w:pos="6786"/>
                <w:tab w:val="decimal" w:pos="8100"/>
              </w:tabs>
              <w:suppressAutoHyphens/>
              <w:rPr>
                <w:rFonts w:eastAsia="Times New Roman" w:cstheme="minorHAnsi"/>
                <w:bCs/>
                <w:spacing w:val="-3"/>
                <w:sz w:val="24"/>
                <w:szCs w:val="24"/>
              </w:rPr>
            </w:pPr>
          </w:p>
        </w:tc>
        <w:tc>
          <w:tcPr>
            <w:tcW w:w="1080" w:type="dxa"/>
          </w:tcPr>
          <w:p w14:paraId="7965A368" w14:textId="77777777" w:rsidR="001B6918" w:rsidRPr="004E6649" w:rsidRDefault="001B6918" w:rsidP="00730ECF">
            <w:pPr>
              <w:tabs>
                <w:tab w:val="left" w:pos="1440"/>
                <w:tab w:val="decimal" w:pos="6786"/>
                <w:tab w:val="decimal" w:pos="8100"/>
              </w:tabs>
              <w:suppressAutoHyphens/>
              <w:jc w:val="center"/>
              <w:rPr>
                <w:rFonts w:eastAsia="Times New Roman" w:cstheme="minorHAnsi"/>
                <w:b/>
                <w:bCs/>
                <w:spacing w:val="-3"/>
                <w:sz w:val="24"/>
                <w:szCs w:val="24"/>
              </w:rPr>
            </w:pPr>
            <w:r w:rsidRPr="004E6649">
              <w:rPr>
                <w:rFonts w:eastAsia="Times New Roman" w:cstheme="minorHAnsi"/>
                <w:b/>
                <w:bCs/>
                <w:spacing w:val="-3"/>
                <w:sz w:val="24"/>
                <w:szCs w:val="24"/>
              </w:rPr>
              <w:t>202</w:t>
            </w:r>
            <w:r>
              <w:rPr>
                <w:rFonts w:eastAsia="Times New Roman" w:cstheme="minorHAnsi"/>
                <w:b/>
                <w:bCs/>
                <w:spacing w:val="-3"/>
                <w:sz w:val="24"/>
                <w:szCs w:val="24"/>
              </w:rPr>
              <w:t>5</w:t>
            </w:r>
          </w:p>
        </w:tc>
        <w:tc>
          <w:tcPr>
            <w:tcW w:w="1260" w:type="dxa"/>
            <w:shd w:val="clear" w:color="auto" w:fill="F2F2F2" w:themeFill="background1" w:themeFillShade="F2"/>
          </w:tcPr>
          <w:p w14:paraId="4B3ABB60" w14:textId="77777777" w:rsidR="001B6918" w:rsidRPr="004E6649" w:rsidRDefault="001B6918" w:rsidP="00730ECF">
            <w:pPr>
              <w:tabs>
                <w:tab w:val="left" w:pos="720"/>
                <w:tab w:val="left" w:pos="1440"/>
                <w:tab w:val="decimal" w:pos="6786"/>
                <w:tab w:val="decimal" w:pos="8100"/>
              </w:tabs>
              <w:suppressAutoHyphens/>
              <w:jc w:val="center"/>
              <w:rPr>
                <w:rFonts w:eastAsia="Times New Roman" w:cstheme="minorHAnsi"/>
                <w:b/>
                <w:bCs/>
                <w:spacing w:val="-3"/>
                <w:sz w:val="24"/>
                <w:szCs w:val="24"/>
              </w:rPr>
            </w:pPr>
            <w:r w:rsidRPr="004E6649">
              <w:rPr>
                <w:rFonts w:eastAsia="Times New Roman" w:cstheme="minorHAnsi"/>
                <w:b/>
                <w:bCs/>
                <w:spacing w:val="-3"/>
                <w:sz w:val="24"/>
                <w:szCs w:val="24"/>
              </w:rPr>
              <w:t>202</w:t>
            </w:r>
            <w:r>
              <w:rPr>
                <w:rFonts w:eastAsia="Times New Roman" w:cstheme="minorHAnsi"/>
                <w:b/>
                <w:bCs/>
                <w:spacing w:val="-3"/>
                <w:sz w:val="24"/>
                <w:szCs w:val="24"/>
              </w:rPr>
              <w:t>4</w:t>
            </w:r>
          </w:p>
        </w:tc>
      </w:tr>
      <w:tr w:rsidR="001B6918" w:rsidRPr="004E6649" w14:paraId="0AC03F3D" w14:textId="77777777" w:rsidTr="00730ECF">
        <w:trPr>
          <w:trHeight w:val="323"/>
          <w:jc w:val="center"/>
        </w:trPr>
        <w:tc>
          <w:tcPr>
            <w:tcW w:w="3330" w:type="dxa"/>
          </w:tcPr>
          <w:p w14:paraId="71B6566D" w14:textId="77777777" w:rsidR="001B6918" w:rsidRPr="004E6649" w:rsidRDefault="001B6918" w:rsidP="00730ECF">
            <w:pPr>
              <w:tabs>
                <w:tab w:val="left" w:pos="720"/>
                <w:tab w:val="left" w:pos="1440"/>
                <w:tab w:val="decimal" w:pos="6786"/>
                <w:tab w:val="decimal" w:pos="8100"/>
              </w:tabs>
              <w:suppressAutoHyphens/>
              <w:rPr>
                <w:rFonts w:eastAsia="Times New Roman" w:cstheme="minorHAnsi"/>
                <w:bCs/>
                <w:spacing w:val="-3"/>
                <w:sz w:val="24"/>
                <w:szCs w:val="24"/>
              </w:rPr>
            </w:pPr>
            <w:r w:rsidRPr="004E6649">
              <w:rPr>
                <w:rFonts w:eastAsia="Times New Roman" w:cstheme="minorHAnsi"/>
                <w:bCs/>
                <w:spacing w:val="-3"/>
                <w:sz w:val="24"/>
                <w:szCs w:val="24"/>
              </w:rPr>
              <w:t>Restricted - expendable</w:t>
            </w:r>
          </w:p>
        </w:tc>
        <w:tc>
          <w:tcPr>
            <w:tcW w:w="1080" w:type="dxa"/>
          </w:tcPr>
          <w:p w14:paraId="7B1E7CDE" w14:textId="77777777" w:rsidR="001B6918" w:rsidRPr="00853B66" w:rsidRDefault="001B6918" w:rsidP="00730ECF">
            <w:pPr>
              <w:tabs>
                <w:tab w:val="left" w:pos="720"/>
                <w:tab w:val="left" w:pos="1440"/>
                <w:tab w:val="decimal" w:pos="6786"/>
                <w:tab w:val="decimal" w:pos="8100"/>
              </w:tabs>
              <w:suppressAutoHyphens/>
              <w:jc w:val="right"/>
              <w:rPr>
                <w:rFonts w:eastAsia="Times New Roman" w:cstheme="minorHAnsi"/>
                <w:bCs/>
                <w:spacing w:val="-3"/>
                <w:sz w:val="24"/>
                <w:szCs w:val="24"/>
              </w:rPr>
            </w:pPr>
            <w:r w:rsidRPr="00853B66">
              <w:rPr>
                <w:rFonts w:eastAsia="Times New Roman" w:cstheme="minorHAnsi"/>
                <w:bCs/>
                <w:spacing w:val="-3"/>
                <w:sz w:val="24"/>
                <w:szCs w:val="24"/>
              </w:rPr>
              <w:t>$76,817</w:t>
            </w:r>
          </w:p>
        </w:tc>
        <w:tc>
          <w:tcPr>
            <w:tcW w:w="1260" w:type="dxa"/>
            <w:shd w:val="clear" w:color="auto" w:fill="F2F2F2" w:themeFill="background1" w:themeFillShade="F2"/>
          </w:tcPr>
          <w:p w14:paraId="5BA958CB" w14:textId="77777777" w:rsidR="001B6918" w:rsidRPr="004E6649" w:rsidRDefault="001B6918" w:rsidP="00730ECF">
            <w:pPr>
              <w:tabs>
                <w:tab w:val="left" w:pos="720"/>
                <w:tab w:val="left" w:pos="1440"/>
                <w:tab w:val="decimal" w:pos="6786"/>
                <w:tab w:val="decimal" w:pos="8100"/>
              </w:tabs>
              <w:suppressAutoHyphens/>
              <w:jc w:val="right"/>
              <w:rPr>
                <w:rFonts w:eastAsia="Times New Roman" w:cstheme="minorHAnsi"/>
                <w:bCs/>
                <w:spacing w:val="-3"/>
                <w:sz w:val="24"/>
                <w:szCs w:val="24"/>
              </w:rPr>
            </w:pPr>
            <w:r w:rsidRPr="005240F7">
              <w:rPr>
                <w:rFonts w:eastAsia="Times New Roman" w:cstheme="minorHAnsi"/>
                <w:bCs/>
                <w:spacing w:val="-3"/>
                <w:sz w:val="24"/>
                <w:szCs w:val="24"/>
              </w:rPr>
              <w:t>$68,642</w:t>
            </w:r>
          </w:p>
        </w:tc>
      </w:tr>
      <w:tr w:rsidR="001B6918" w:rsidRPr="004E6649" w14:paraId="5FA07246" w14:textId="77777777" w:rsidTr="00730ECF">
        <w:trPr>
          <w:trHeight w:val="323"/>
          <w:jc w:val="center"/>
        </w:trPr>
        <w:tc>
          <w:tcPr>
            <w:tcW w:w="3330" w:type="dxa"/>
            <w:tcBorders>
              <w:bottom w:val="single" w:sz="8" w:space="0" w:color="000000" w:themeColor="text1"/>
            </w:tcBorders>
          </w:tcPr>
          <w:p w14:paraId="0C46B253" w14:textId="77777777" w:rsidR="001B6918" w:rsidRPr="004E6649" w:rsidRDefault="001B6918" w:rsidP="00730ECF">
            <w:pPr>
              <w:tabs>
                <w:tab w:val="left" w:pos="720"/>
                <w:tab w:val="left" w:pos="1440"/>
                <w:tab w:val="decimal" w:pos="6786"/>
                <w:tab w:val="decimal" w:pos="8100"/>
              </w:tabs>
              <w:suppressAutoHyphens/>
              <w:rPr>
                <w:rFonts w:eastAsia="Times New Roman" w:cstheme="minorHAnsi"/>
                <w:bCs/>
                <w:spacing w:val="-3"/>
                <w:sz w:val="24"/>
                <w:szCs w:val="24"/>
              </w:rPr>
            </w:pPr>
            <w:r w:rsidRPr="004E6649">
              <w:rPr>
                <w:rFonts w:eastAsia="Times New Roman" w:cstheme="minorHAnsi"/>
                <w:bCs/>
                <w:spacing w:val="-3"/>
                <w:sz w:val="24"/>
                <w:szCs w:val="24"/>
              </w:rPr>
              <w:t>Unrestricted</w:t>
            </w:r>
          </w:p>
        </w:tc>
        <w:tc>
          <w:tcPr>
            <w:tcW w:w="1080" w:type="dxa"/>
            <w:tcBorders>
              <w:bottom w:val="single" w:sz="8" w:space="0" w:color="000000" w:themeColor="text1"/>
            </w:tcBorders>
          </w:tcPr>
          <w:p w14:paraId="0F33BF3F" w14:textId="77777777" w:rsidR="001B6918" w:rsidRPr="00853B66" w:rsidRDefault="001B6918" w:rsidP="00730ECF">
            <w:pPr>
              <w:tabs>
                <w:tab w:val="left" w:pos="720"/>
                <w:tab w:val="left" w:pos="1440"/>
                <w:tab w:val="decimal" w:pos="6786"/>
                <w:tab w:val="decimal" w:pos="8100"/>
              </w:tabs>
              <w:suppressAutoHyphens/>
              <w:jc w:val="right"/>
              <w:rPr>
                <w:rFonts w:eastAsia="Times New Roman" w:cstheme="minorHAnsi"/>
                <w:bCs/>
                <w:spacing w:val="-3"/>
                <w:sz w:val="24"/>
                <w:szCs w:val="24"/>
              </w:rPr>
            </w:pPr>
            <w:r w:rsidRPr="00853B66">
              <w:rPr>
                <w:rFonts w:eastAsia="Times New Roman" w:cstheme="minorHAnsi"/>
                <w:bCs/>
                <w:spacing w:val="-3"/>
                <w:sz w:val="24"/>
                <w:szCs w:val="24"/>
              </w:rPr>
              <w:t>21,207</w:t>
            </w:r>
          </w:p>
        </w:tc>
        <w:tc>
          <w:tcPr>
            <w:tcW w:w="1260" w:type="dxa"/>
            <w:tcBorders>
              <w:bottom w:val="single" w:sz="8" w:space="0" w:color="000000" w:themeColor="text1"/>
            </w:tcBorders>
            <w:shd w:val="clear" w:color="auto" w:fill="F2F2F2" w:themeFill="background1" w:themeFillShade="F2"/>
          </w:tcPr>
          <w:p w14:paraId="4F3C83FD" w14:textId="77777777" w:rsidR="001B6918" w:rsidRPr="004E6649" w:rsidRDefault="001B6918" w:rsidP="00730ECF">
            <w:pPr>
              <w:tabs>
                <w:tab w:val="left" w:pos="720"/>
                <w:tab w:val="left" w:pos="1440"/>
                <w:tab w:val="decimal" w:pos="6786"/>
                <w:tab w:val="decimal" w:pos="8100"/>
              </w:tabs>
              <w:suppressAutoHyphens/>
              <w:jc w:val="right"/>
              <w:rPr>
                <w:rFonts w:eastAsia="Times New Roman" w:cstheme="minorHAnsi"/>
                <w:bCs/>
                <w:spacing w:val="-3"/>
                <w:sz w:val="24"/>
                <w:szCs w:val="24"/>
              </w:rPr>
            </w:pPr>
            <w:r w:rsidRPr="005240F7">
              <w:rPr>
                <w:rFonts w:eastAsia="Times New Roman" w:cstheme="minorHAnsi"/>
                <w:bCs/>
                <w:spacing w:val="-3"/>
                <w:sz w:val="24"/>
                <w:szCs w:val="24"/>
              </w:rPr>
              <w:t>19,821</w:t>
            </w:r>
          </w:p>
        </w:tc>
      </w:tr>
      <w:tr w:rsidR="001B6918" w:rsidRPr="004E6649" w14:paraId="1009CF51" w14:textId="77777777" w:rsidTr="00730ECF">
        <w:trPr>
          <w:trHeight w:val="334"/>
          <w:jc w:val="center"/>
        </w:trPr>
        <w:tc>
          <w:tcPr>
            <w:tcW w:w="3330" w:type="dxa"/>
            <w:tcBorders>
              <w:top w:val="single" w:sz="8" w:space="0" w:color="000000" w:themeColor="text1"/>
              <w:bottom w:val="double" w:sz="4" w:space="0" w:color="000000" w:themeColor="text1"/>
            </w:tcBorders>
          </w:tcPr>
          <w:p w14:paraId="294CE0D1" w14:textId="77777777" w:rsidR="001B6918" w:rsidRPr="004E6649" w:rsidRDefault="001B6918" w:rsidP="00730ECF">
            <w:pPr>
              <w:pStyle w:val="ReportTotal"/>
              <w:jc w:val="left"/>
              <w:rPr>
                <w:rFonts w:asciiTheme="minorHAnsi" w:hAnsiTheme="minorHAnsi" w:cstheme="minorHAnsi"/>
              </w:rPr>
            </w:pPr>
            <w:r w:rsidRPr="004E6649">
              <w:rPr>
                <w:rFonts w:asciiTheme="minorHAnsi" w:hAnsiTheme="minorHAnsi" w:cstheme="minorHAnsi"/>
              </w:rPr>
              <w:t>Total available for spending</w:t>
            </w:r>
          </w:p>
        </w:tc>
        <w:tc>
          <w:tcPr>
            <w:tcW w:w="1080" w:type="dxa"/>
            <w:tcBorders>
              <w:top w:val="single" w:sz="8" w:space="0" w:color="000000" w:themeColor="text1"/>
              <w:bottom w:val="double" w:sz="4" w:space="0" w:color="000000" w:themeColor="text1"/>
            </w:tcBorders>
          </w:tcPr>
          <w:p w14:paraId="05596F4C" w14:textId="77777777" w:rsidR="001B6918" w:rsidRPr="00853B66" w:rsidRDefault="001B6918" w:rsidP="00730ECF">
            <w:pPr>
              <w:pStyle w:val="ReportTotal"/>
              <w:jc w:val="right"/>
              <w:rPr>
                <w:rFonts w:asciiTheme="minorHAnsi" w:hAnsiTheme="minorHAnsi" w:cstheme="minorHAnsi"/>
              </w:rPr>
            </w:pPr>
            <w:r w:rsidRPr="00853B66">
              <w:rPr>
                <w:rFonts w:asciiTheme="minorHAnsi" w:hAnsiTheme="minorHAnsi" w:cstheme="minorHAnsi"/>
              </w:rPr>
              <w:t>$98,024</w:t>
            </w:r>
          </w:p>
        </w:tc>
        <w:tc>
          <w:tcPr>
            <w:tcW w:w="1260" w:type="dxa"/>
            <w:tcBorders>
              <w:top w:val="single" w:sz="8" w:space="0" w:color="000000" w:themeColor="text1"/>
              <w:bottom w:val="double" w:sz="4" w:space="0" w:color="000000" w:themeColor="text1"/>
            </w:tcBorders>
            <w:shd w:val="clear" w:color="auto" w:fill="F2F2F2" w:themeFill="background1" w:themeFillShade="F2"/>
          </w:tcPr>
          <w:p w14:paraId="530F6105" w14:textId="77777777" w:rsidR="001B6918" w:rsidRPr="004E6649" w:rsidRDefault="001B6918" w:rsidP="00730ECF">
            <w:pPr>
              <w:pStyle w:val="ReportTotal"/>
              <w:jc w:val="right"/>
              <w:rPr>
                <w:rFonts w:asciiTheme="minorHAnsi" w:hAnsiTheme="minorHAnsi" w:cstheme="minorHAnsi"/>
              </w:rPr>
            </w:pPr>
            <w:r w:rsidRPr="005240F7">
              <w:rPr>
                <w:rFonts w:asciiTheme="minorHAnsi" w:hAnsiTheme="minorHAnsi" w:cstheme="minorHAnsi"/>
              </w:rPr>
              <w:t>$88,463</w:t>
            </w:r>
          </w:p>
        </w:tc>
      </w:tr>
    </w:tbl>
    <w:p w14:paraId="63630960" w14:textId="77777777" w:rsidR="001B6918" w:rsidRPr="004E6649" w:rsidRDefault="001B6918" w:rsidP="001B6918">
      <w:pPr>
        <w:pStyle w:val="ReportHeading3"/>
        <w:spacing w:before="0" w:after="0"/>
        <w:rPr>
          <w:rFonts w:cstheme="minorHAnsi"/>
          <w:b w:val="0"/>
          <w:i w:val="0"/>
          <w:sz w:val="16"/>
          <w:szCs w:val="20"/>
          <w:u w:val="none"/>
        </w:rPr>
      </w:pPr>
    </w:p>
    <w:p w14:paraId="696B957E" w14:textId="77777777" w:rsidR="001B6918" w:rsidRDefault="001B6918" w:rsidP="001B6918">
      <w:pPr>
        <w:spacing w:after="160" w:line="259" w:lineRule="auto"/>
        <w:rPr>
          <w:rFonts w:cstheme="minorHAnsi"/>
          <w:spacing w:val="-3"/>
          <w:sz w:val="24"/>
          <w:szCs w:val="24"/>
          <w:shd w:val="clear" w:color="auto" w:fill="FFFFFF"/>
        </w:rPr>
      </w:pPr>
      <w:r w:rsidRPr="004E6649">
        <w:rPr>
          <w:rFonts w:cstheme="minorHAnsi"/>
          <w:b/>
          <w:i/>
          <w:spacing w:val="-3"/>
          <w:sz w:val="24"/>
          <w:szCs w:val="24"/>
        </w:rPr>
        <w:t xml:space="preserve">Investments for the Defined Benefit Plan – Classified Employees: </w:t>
      </w:r>
      <w:r w:rsidRPr="004E6649">
        <w:rPr>
          <w:rFonts w:cstheme="minorHAnsi"/>
          <w:spacing w:val="-3"/>
          <w:sz w:val="24"/>
          <w:szCs w:val="24"/>
          <w:shd w:val="clear" w:color="auto" w:fill="FFFFFF"/>
        </w:rPr>
        <w:t>These pension plan investments offset the Total Pension Liability of the System’s Defined Benefit Plan – Classified Employees (DB Plan) described in Note 13d. They are managed by the System and their </w:t>
      </w:r>
      <w:r w:rsidRPr="004E6649">
        <w:rPr>
          <w:rFonts w:cstheme="minorHAnsi"/>
          <w:sz w:val="24"/>
          <w:szCs w:val="24"/>
          <w:shd w:val="clear" w:color="auto" w:fill="FFFFFF"/>
        </w:rPr>
        <w:t>fair values, credit ratings, and interest rate risk </w:t>
      </w:r>
      <w:r w:rsidRPr="004E6649">
        <w:rPr>
          <w:rFonts w:cstheme="minorHAnsi"/>
          <w:spacing w:val="-3"/>
          <w:sz w:val="24"/>
          <w:szCs w:val="24"/>
          <w:shd w:val="clear" w:color="auto" w:fill="FFFFFF"/>
        </w:rPr>
        <w:t>are presented below in the </w:t>
      </w:r>
      <w:r w:rsidRPr="004E6649">
        <w:rPr>
          <w:rFonts w:eastAsia="Times New Roman" w:cstheme="minorHAnsi"/>
          <w:sz w:val="24"/>
          <w:szCs w:val="20"/>
        </w:rPr>
        <w:t>“</w:t>
      </w:r>
      <w:r w:rsidRPr="004E6649">
        <w:rPr>
          <w:rFonts w:cstheme="minorHAnsi"/>
          <w:sz w:val="24"/>
          <w:szCs w:val="24"/>
          <w:shd w:val="clear" w:color="auto" w:fill="FFFFFF"/>
        </w:rPr>
        <w:t>DB Plan and MIP investments”</w:t>
      </w:r>
      <w:r w:rsidRPr="004E6649">
        <w:rPr>
          <w:rFonts w:cstheme="minorHAnsi"/>
          <w:spacing w:val="-3"/>
          <w:sz w:val="24"/>
          <w:szCs w:val="24"/>
          <w:shd w:val="clear" w:color="auto" w:fill="FFFFFF"/>
        </w:rPr>
        <w:t>. </w:t>
      </w:r>
    </w:p>
    <w:p w14:paraId="0D27B3B2" w14:textId="77777777" w:rsidR="001B6918" w:rsidRPr="004E6649" w:rsidRDefault="001B6918" w:rsidP="001B6918">
      <w:pPr>
        <w:pStyle w:val="AFR4"/>
        <w:spacing w:before="240"/>
        <w:rPr>
          <w:rFonts w:cstheme="minorHAnsi"/>
          <w:i/>
        </w:rPr>
      </w:pPr>
      <w:r w:rsidRPr="004E6649">
        <w:rPr>
          <w:rFonts w:cstheme="minorHAnsi"/>
          <w:i/>
        </w:rPr>
        <w:t>Fair Value Measurements:</w:t>
      </w:r>
    </w:p>
    <w:p w14:paraId="472571B4" w14:textId="77777777" w:rsidR="001B6918" w:rsidRPr="004E6649" w:rsidRDefault="001B6918" w:rsidP="001B6918">
      <w:pPr>
        <w:tabs>
          <w:tab w:val="left" w:pos="1022"/>
          <w:tab w:val="left" w:pos="1440"/>
          <w:tab w:val="right" w:pos="4262"/>
          <w:tab w:val="right" w:pos="5220"/>
          <w:tab w:val="right" w:pos="6691"/>
          <w:tab w:val="right" w:pos="7621"/>
          <w:tab w:val="right" w:pos="9187"/>
        </w:tabs>
        <w:suppressAutoHyphens/>
        <w:spacing w:after="160"/>
        <w:rPr>
          <w:rFonts w:cstheme="minorHAnsi"/>
          <w:noProof/>
          <w:sz w:val="24"/>
        </w:rPr>
      </w:pPr>
      <w:r w:rsidRPr="004E6649">
        <w:rPr>
          <w:rFonts w:cstheme="minorHAnsi"/>
          <w:noProof/>
          <w:sz w:val="24"/>
        </w:rPr>
        <w:t xml:space="preserve">GASB Statement No. 72, </w:t>
      </w:r>
      <w:r w:rsidRPr="004E6649">
        <w:rPr>
          <w:rFonts w:cstheme="minorHAnsi"/>
          <w:i/>
          <w:noProof/>
          <w:sz w:val="24"/>
        </w:rPr>
        <w:t>Fair Value Measurement and Application</w:t>
      </w:r>
      <w:r w:rsidRPr="004E6649">
        <w:rPr>
          <w:rFonts w:cstheme="minorHAnsi"/>
          <w:noProof/>
          <w:sz w:val="24"/>
        </w:rPr>
        <w:t xml:space="preserve"> (GASB No. 72), defines fair value as the exchange price that would be received for an asset or paid to transfer a liability (an exit price) in the entity’s principal or most advantageous market for the asset or liability in an orderly transaction between market participants on the measurement date. GASB No. 72 also establishes a fair value hierarchy which requires an entity to maximize the use of observable inputs and minimize the use of unobservable inputs when measuring fair value, and describes three levels of inputs that may be used to measure fair value:</w:t>
      </w:r>
    </w:p>
    <w:p w14:paraId="0287EF85" w14:textId="77777777" w:rsidR="001B6918" w:rsidRDefault="001B6918" w:rsidP="001B6918">
      <w:pPr>
        <w:numPr>
          <w:ilvl w:val="0"/>
          <w:numId w:val="7"/>
        </w:numPr>
        <w:spacing w:after="160"/>
        <w:ind w:left="1350" w:hanging="1080"/>
        <w:rPr>
          <w:rFonts w:eastAsia="Times New Roman" w:cstheme="minorHAnsi"/>
          <w:noProof/>
          <w:sz w:val="24"/>
          <w:szCs w:val="24"/>
        </w:rPr>
      </w:pPr>
      <w:r w:rsidRPr="004E6649">
        <w:rPr>
          <w:rFonts w:eastAsia="Times New Roman" w:cstheme="minorHAnsi"/>
          <w:noProof/>
          <w:sz w:val="24"/>
          <w:szCs w:val="24"/>
        </w:rPr>
        <w:t>Valuations based on unadjusted quoted prices in active markets for identical assets or liabilities that the entity has the ability to access as of the measurement date. Since valuations are based on quoted prices that are readily and regularly available in an active market, valuation of these securities does not entail a significant degree of judgement.</w:t>
      </w:r>
    </w:p>
    <w:p w14:paraId="472B1887" w14:textId="77777777" w:rsidR="00A159FD" w:rsidRDefault="00A159FD">
      <w:pPr>
        <w:spacing w:after="160" w:line="259" w:lineRule="auto"/>
        <w:rPr>
          <w:rFonts w:eastAsiaTheme="majorEastAsia" w:cstheme="minorHAnsi"/>
          <w:b/>
          <w:i/>
          <w:iCs/>
          <w:smallCaps/>
          <w:noProof/>
          <w:color w:val="000000" w:themeColor="text1"/>
          <w:sz w:val="24"/>
          <w:szCs w:val="24"/>
          <w:u w:color="5B9BD5"/>
        </w:rPr>
      </w:pPr>
      <w:r>
        <w:rPr>
          <w:rFonts w:eastAsiaTheme="majorEastAsia" w:cstheme="minorHAnsi"/>
          <w:b/>
          <w:i/>
          <w:iCs/>
          <w:smallCaps/>
          <w:noProof/>
          <w:color w:val="000000" w:themeColor="text1"/>
          <w:sz w:val="24"/>
          <w:szCs w:val="24"/>
          <w:u w:color="5B9BD5"/>
        </w:rPr>
        <w:br w:type="page"/>
      </w:r>
    </w:p>
    <w:p w14:paraId="175D26F4" w14:textId="0FBC558F" w:rsidR="00A159FD" w:rsidRPr="00A02D27" w:rsidRDefault="00A159FD" w:rsidP="00A159FD">
      <w:pPr>
        <w:spacing w:after="160"/>
        <w:rPr>
          <w:rFonts w:eastAsiaTheme="majorEastAsia" w:cstheme="minorHAnsi"/>
          <w:b/>
          <w:i/>
          <w:iCs/>
          <w:smallCaps/>
          <w:noProof/>
          <w:color w:val="000000" w:themeColor="text1"/>
          <w:sz w:val="24"/>
          <w:szCs w:val="24"/>
          <w:u w:color="5B9BD5"/>
        </w:rPr>
      </w:pPr>
      <w:r w:rsidRPr="00A02D27">
        <w:rPr>
          <w:rFonts w:eastAsiaTheme="majorEastAsia" w:cstheme="minorHAnsi"/>
          <w:b/>
          <w:i/>
          <w:iCs/>
          <w:smallCaps/>
          <w:noProof/>
          <w:color w:val="000000" w:themeColor="text1"/>
          <w:sz w:val="24"/>
          <w:szCs w:val="24"/>
          <w:u w:color="5B9BD5"/>
        </w:rPr>
        <w:lastRenderedPageBreak/>
        <w:t>3. INVESTMENTS - CONTINUED</w:t>
      </w:r>
      <w:r w:rsidRPr="00A02D27" w:rsidDel="00453556">
        <w:rPr>
          <w:rFonts w:eastAsiaTheme="majorEastAsia" w:cstheme="minorHAnsi"/>
          <w:b/>
          <w:i/>
          <w:iCs/>
          <w:smallCaps/>
          <w:noProof/>
          <w:color w:val="000000" w:themeColor="text1"/>
          <w:sz w:val="24"/>
          <w:szCs w:val="24"/>
          <w:u w:color="5B9BD5"/>
        </w:rPr>
        <w:t xml:space="preserve"> </w:t>
      </w:r>
    </w:p>
    <w:p w14:paraId="33FC6EB9" w14:textId="77777777" w:rsidR="001B6918" w:rsidRPr="004E6649" w:rsidRDefault="001B6918" w:rsidP="001B6918">
      <w:pPr>
        <w:numPr>
          <w:ilvl w:val="0"/>
          <w:numId w:val="7"/>
        </w:numPr>
        <w:spacing w:before="120" w:after="160"/>
        <w:ind w:left="1350" w:hanging="1080"/>
        <w:rPr>
          <w:rFonts w:eastAsia="Times New Roman" w:cstheme="minorHAnsi"/>
          <w:noProof/>
          <w:sz w:val="24"/>
          <w:szCs w:val="24"/>
        </w:rPr>
      </w:pPr>
      <w:r w:rsidRPr="004E6649">
        <w:rPr>
          <w:rFonts w:eastAsia="Times New Roman" w:cstheme="minorHAnsi"/>
          <w:noProof/>
          <w:sz w:val="24"/>
          <w:szCs w:val="24"/>
        </w:rPr>
        <w:t xml:space="preserve">Valuations based on significant other observable inputs other than Level 1 prices, such as quoted prices for similar assets or liabilites, quoted prices in markets that are not active, and other inputs that are observable or can be corroborated by observable market data. </w:t>
      </w:r>
    </w:p>
    <w:p w14:paraId="76308BE5" w14:textId="77777777" w:rsidR="001B6918" w:rsidRPr="004E6649" w:rsidRDefault="001B6918" w:rsidP="001B6918">
      <w:pPr>
        <w:numPr>
          <w:ilvl w:val="0"/>
          <w:numId w:val="7"/>
        </w:numPr>
        <w:ind w:left="1350" w:hanging="1080"/>
        <w:contextualSpacing/>
        <w:rPr>
          <w:rFonts w:eastAsia="Times New Roman" w:cstheme="minorHAnsi"/>
          <w:noProof/>
          <w:sz w:val="24"/>
          <w:szCs w:val="24"/>
        </w:rPr>
      </w:pPr>
      <w:r w:rsidRPr="004E6649">
        <w:rPr>
          <w:rFonts w:eastAsia="Times New Roman" w:cstheme="minorHAnsi"/>
          <w:noProof/>
          <w:sz w:val="24"/>
          <w:szCs w:val="24"/>
        </w:rPr>
        <w:t xml:space="preserve">Valuations based on inputs that are unobservable and significant to the overall fair value measurement. They reflect an entity’s own assumptions about the assumptions that market participants would use in pricing an asset or liability. </w:t>
      </w:r>
    </w:p>
    <w:p w14:paraId="3F73B51F" w14:textId="77777777" w:rsidR="001B6918" w:rsidRPr="004E6649" w:rsidRDefault="001B6918" w:rsidP="001B6918">
      <w:pPr>
        <w:pStyle w:val="ListParagraph"/>
        <w:rPr>
          <w:rFonts w:asciiTheme="minorHAnsi" w:hAnsiTheme="minorHAnsi" w:cstheme="minorHAnsi"/>
          <w:noProof/>
          <w:sz w:val="20"/>
        </w:rPr>
      </w:pPr>
    </w:p>
    <w:p w14:paraId="54F83383" w14:textId="77777777" w:rsidR="001B6918" w:rsidRDefault="001B6918" w:rsidP="001B6918">
      <w:pPr>
        <w:contextualSpacing/>
        <w:rPr>
          <w:rFonts w:eastAsia="Times New Roman" w:cstheme="minorHAnsi"/>
          <w:noProof/>
          <w:sz w:val="24"/>
          <w:szCs w:val="24"/>
        </w:rPr>
      </w:pPr>
      <w:r w:rsidRPr="004E6649">
        <w:rPr>
          <w:rFonts w:eastAsia="Times New Roman" w:cstheme="minorHAnsi"/>
          <w:noProof/>
          <w:sz w:val="24"/>
          <w:szCs w:val="24"/>
        </w:rPr>
        <w:t>The above hierarchy is based on the valuation inputs used to measure the fair value of the asset and gives the highest priority to level 1 measurements and the lowest priority to level 3 measurements. Investments that are measured at fair value using net asset value (NAV) per share (or its equivalent) as a practical expedient are not classified in the fair value hierarchy.</w:t>
      </w:r>
    </w:p>
    <w:p w14:paraId="50DD0CD8" w14:textId="77777777" w:rsidR="001B6918" w:rsidRPr="004E6649" w:rsidRDefault="001B6918" w:rsidP="001B6918">
      <w:pPr>
        <w:contextualSpacing/>
        <w:rPr>
          <w:rFonts w:eastAsia="Times New Roman" w:cstheme="minorHAnsi"/>
          <w:noProof/>
          <w:sz w:val="24"/>
          <w:szCs w:val="24"/>
        </w:rPr>
      </w:pPr>
    </w:p>
    <w:p w14:paraId="4B4295A8" w14:textId="77777777" w:rsidR="001B6918" w:rsidRPr="004E6649" w:rsidRDefault="001B6918" w:rsidP="001B6918">
      <w:pPr>
        <w:autoSpaceDE w:val="0"/>
        <w:autoSpaceDN w:val="0"/>
        <w:adjustRightInd w:val="0"/>
        <w:rPr>
          <w:rFonts w:eastAsia="Times New Roman" w:cstheme="minorHAnsi"/>
          <w:noProof/>
          <w:sz w:val="24"/>
          <w:szCs w:val="24"/>
        </w:rPr>
        <w:sectPr w:rsidR="001B6918" w:rsidRPr="004E6649" w:rsidSect="00DC059D">
          <w:headerReference w:type="default" r:id="rId42"/>
          <w:footerReference w:type="default" r:id="rId43"/>
          <w:type w:val="continuous"/>
          <w:pgSz w:w="12240" w:h="15840" w:code="1"/>
          <w:pgMar w:top="1440" w:right="1152" w:bottom="1440" w:left="1152" w:header="720" w:footer="720" w:gutter="0"/>
          <w:cols w:space="0"/>
          <w:titlePg/>
          <w:docGrid w:linePitch="360"/>
        </w:sectPr>
      </w:pPr>
      <w:r w:rsidRPr="004E6649">
        <w:rPr>
          <w:rFonts w:eastAsia="Times New Roman" w:cstheme="minorHAnsi"/>
          <w:noProof/>
          <w:sz w:val="24"/>
          <w:szCs w:val="24"/>
        </w:rPr>
        <w:t>The System measures the fair value of investments in certain entities that do not have a quoted market price at the calculated NAV per share or its equivalent. As these investments are not readily marketable the estimated value is subject to uncertainty, and therefore, may differ from the value that would have been used had a ready market for the investments existed.</w:t>
      </w:r>
    </w:p>
    <w:p w14:paraId="54742A0B" w14:textId="77777777" w:rsidR="001B6918" w:rsidRPr="00A02D27" w:rsidRDefault="001B6918" w:rsidP="001B6918">
      <w:pPr>
        <w:spacing w:after="160"/>
        <w:rPr>
          <w:rFonts w:eastAsiaTheme="majorEastAsia" w:cstheme="minorHAnsi"/>
          <w:b/>
          <w:i/>
          <w:iCs/>
          <w:smallCaps/>
          <w:noProof/>
          <w:color w:val="000000" w:themeColor="text1"/>
          <w:sz w:val="24"/>
          <w:szCs w:val="24"/>
          <w:u w:color="5B9BD5"/>
        </w:rPr>
      </w:pPr>
      <w:r w:rsidRPr="00A02D27">
        <w:rPr>
          <w:rFonts w:eastAsiaTheme="majorEastAsia" w:cstheme="minorHAnsi"/>
          <w:b/>
          <w:i/>
          <w:iCs/>
          <w:smallCaps/>
          <w:noProof/>
          <w:color w:val="000000" w:themeColor="text1"/>
          <w:sz w:val="24"/>
          <w:szCs w:val="24"/>
          <w:u w:color="5B9BD5"/>
        </w:rPr>
        <w:lastRenderedPageBreak/>
        <w:t>3. INVESTMENTS - CONTINUED</w:t>
      </w:r>
      <w:r w:rsidRPr="00A02D27" w:rsidDel="00453556">
        <w:rPr>
          <w:rFonts w:eastAsiaTheme="majorEastAsia" w:cstheme="minorHAnsi"/>
          <w:b/>
          <w:i/>
          <w:iCs/>
          <w:smallCaps/>
          <w:noProof/>
          <w:color w:val="000000" w:themeColor="text1"/>
          <w:sz w:val="24"/>
          <w:szCs w:val="24"/>
          <w:u w:color="5B9BD5"/>
        </w:rPr>
        <w:t xml:space="preserve"> </w:t>
      </w:r>
    </w:p>
    <w:p w14:paraId="077DC3F0" w14:textId="77777777" w:rsidR="001B6918" w:rsidRPr="004E6649" w:rsidRDefault="001B6918" w:rsidP="001B6918">
      <w:pPr>
        <w:tabs>
          <w:tab w:val="left" w:pos="720"/>
          <w:tab w:val="left" w:pos="1080"/>
          <w:tab w:val="decimal" w:pos="6786"/>
          <w:tab w:val="decimal" w:pos="9187"/>
        </w:tabs>
        <w:suppressAutoHyphens/>
        <w:spacing w:after="240"/>
        <w:rPr>
          <w:rFonts w:eastAsia="Times New Roman" w:cstheme="minorHAnsi"/>
          <w:spacing w:val="-3"/>
          <w:sz w:val="24"/>
          <w:szCs w:val="20"/>
        </w:rPr>
      </w:pPr>
      <w:r w:rsidRPr="004E6649">
        <w:rPr>
          <w:rFonts w:eastAsia="Times New Roman" w:cstheme="minorHAnsi"/>
          <w:color w:val="000000"/>
          <w:spacing w:val="-3"/>
          <w:sz w:val="24"/>
          <w:szCs w:val="20"/>
        </w:rPr>
        <w:t xml:space="preserve">The </w:t>
      </w:r>
      <w:r w:rsidRPr="004E6649">
        <w:rPr>
          <w:rFonts w:eastAsia="Times New Roman" w:cstheme="minorHAnsi"/>
          <w:b/>
          <w:color w:val="000000"/>
          <w:spacing w:val="-3"/>
          <w:sz w:val="24"/>
          <w:szCs w:val="20"/>
        </w:rPr>
        <w:t xml:space="preserve">System’s operating investments and deposits with trustees </w:t>
      </w:r>
      <w:r w:rsidRPr="004E6649">
        <w:rPr>
          <w:rFonts w:eastAsia="Times New Roman" w:cstheme="minorHAnsi"/>
          <w:color w:val="000000"/>
          <w:spacing w:val="-3"/>
          <w:sz w:val="24"/>
          <w:szCs w:val="20"/>
        </w:rPr>
        <w:t>were composed of the following at June 30</w:t>
      </w:r>
      <w:r w:rsidRPr="004E6649">
        <w:rPr>
          <w:rFonts w:eastAsia="Times New Roman" w:cstheme="minorHAnsi"/>
          <w:spacing w:val="-3"/>
          <w:sz w:val="24"/>
          <w:szCs w:val="20"/>
        </w:rPr>
        <w:t>, 202</w:t>
      </w:r>
      <w:r>
        <w:rPr>
          <w:rFonts w:eastAsia="Times New Roman" w:cstheme="minorHAnsi"/>
          <w:spacing w:val="-3"/>
          <w:sz w:val="24"/>
          <w:szCs w:val="20"/>
        </w:rPr>
        <w:t>5</w:t>
      </w:r>
      <w:r w:rsidRPr="004E6649">
        <w:rPr>
          <w:rFonts w:eastAsia="Times New Roman" w:cstheme="minorHAnsi"/>
          <w:spacing w:val="-3"/>
          <w:sz w:val="24"/>
          <w:szCs w:val="20"/>
        </w:rPr>
        <w:t>:</w:t>
      </w:r>
    </w:p>
    <w:tbl>
      <w:tblPr>
        <w:tblW w:w="14124" w:type="dxa"/>
        <w:jc w:val="center"/>
        <w:tblLook w:val="04A0" w:firstRow="1" w:lastRow="0" w:firstColumn="1" w:lastColumn="0" w:noHBand="0" w:noVBand="1"/>
      </w:tblPr>
      <w:tblGrid>
        <w:gridCol w:w="4320"/>
        <w:gridCol w:w="1260"/>
        <w:gridCol w:w="1080"/>
        <w:gridCol w:w="1260"/>
        <w:gridCol w:w="1113"/>
        <w:gridCol w:w="1102"/>
        <w:gridCol w:w="1509"/>
        <w:gridCol w:w="2480"/>
      </w:tblGrid>
      <w:tr w:rsidR="00CE2413" w:rsidRPr="00B03F0B" w14:paraId="36B62F61" w14:textId="77777777" w:rsidTr="00CE2413">
        <w:trPr>
          <w:trHeight w:val="216"/>
          <w:jc w:val="center"/>
        </w:trPr>
        <w:tc>
          <w:tcPr>
            <w:tcW w:w="4320" w:type="dxa"/>
            <w:tcBorders>
              <w:top w:val="nil"/>
              <w:left w:val="nil"/>
              <w:bottom w:val="nil"/>
              <w:right w:val="nil"/>
            </w:tcBorders>
            <w:shd w:val="clear" w:color="000000" w:fill="FFFFFF"/>
            <w:noWrap/>
            <w:vAlign w:val="center"/>
            <w:hideMark/>
          </w:tcPr>
          <w:p w14:paraId="7ED27CCA" w14:textId="77777777" w:rsidR="001B6918" w:rsidRPr="00B03F0B" w:rsidRDefault="001B6918" w:rsidP="00730ECF">
            <w:pPr>
              <w:rPr>
                <w:rFonts w:ascii="Calibri" w:eastAsia="Times New Roman" w:hAnsi="Calibri" w:cs="Calibri"/>
                <w:b/>
                <w:bCs/>
                <w:color w:val="0D0D0D"/>
                <w:sz w:val="20"/>
                <w:szCs w:val="20"/>
              </w:rPr>
            </w:pPr>
            <w:r w:rsidRPr="00B03F0B">
              <w:rPr>
                <w:rFonts w:ascii="Calibri" w:eastAsia="Times New Roman" w:hAnsi="Calibri" w:cs="Calibri"/>
                <w:b/>
                <w:bCs/>
                <w:color w:val="0D0D0D"/>
                <w:sz w:val="20"/>
                <w:szCs w:val="20"/>
              </w:rPr>
              <w:t> </w:t>
            </w:r>
          </w:p>
        </w:tc>
        <w:tc>
          <w:tcPr>
            <w:tcW w:w="1260" w:type="dxa"/>
            <w:tcBorders>
              <w:top w:val="nil"/>
              <w:left w:val="nil"/>
              <w:bottom w:val="nil"/>
              <w:right w:val="nil"/>
            </w:tcBorders>
            <w:shd w:val="clear" w:color="000000" w:fill="FFFFFF"/>
            <w:noWrap/>
            <w:vAlign w:val="center"/>
            <w:hideMark/>
          </w:tcPr>
          <w:p w14:paraId="6C0A50D5" w14:textId="77777777" w:rsidR="001B6918" w:rsidRPr="00B03F0B" w:rsidRDefault="001B6918" w:rsidP="00730ECF">
            <w:pPr>
              <w:rPr>
                <w:rFonts w:ascii="Calibri" w:eastAsia="Times New Roman" w:hAnsi="Calibri" w:cs="Calibri"/>
                <w:b/>
                <w:bCs/>
                <w:color w:val="0D0D0D"/>
                <w:sz w:val="20"/>
                <w:szCs w:val="20"/>
              </w:rPr>
            </w:pPr>
            <w:r w:rsidRPr="00B03F0B">
              <w:rPr>
                <w:rFonts w:ascii="Calibri" w:eastAsia="Times New Roman" w:hAnsi="Calibri" w:cs="Calibri"/>
                <w:b/>
                <w:bCs/>
                <w:color w:val="0D0D0D"/>
                <w:sz w:val="20"/>
                <w:szCs w:val="20"/>
              </w:rPr>
              <w:t> </w:t>
            </w:r>
          </w:p>
        </w:tc>
        <w:tc>
          <w:tcPr>
            <w:tcW w:w="3448" w:type="dxa"/>
            <w:gridSpan w:val="3"/>
            <w:tcBorders>
              <w:top w:val="nil"/>
              <w:left w:val="nil"/>
              <w:bottom w:val="single" w:sz="12" w:space="0" w:color="000000"/>
              <w:right w:val="nil"/>
            </w:tcBorders>
            <w:shd w:val="clear" w:color="000000" w:fill="FFFFFF"/>
            <w:noWrap/>
            <w:vAlign w:val="center"/>
            <w:hideMark/>
          </w:tcPr>
          <w:p w14:paraId="62CBFA88" w14:textId="77777777" w:rsidR="001B6918" w:rsidRPr="00B03F0B" w:rsidRDefault="001B6918" w:rsidP="00730ECF">
            <w:pPr>
              <w:jc w:val="center"/>
              <w:rPr>
                <w:rFonts w:ascii="Calibri" w:eastAsia="Times New Roman" w:hAnsi="Calibri" w:cs="Calibri"/>
                <w:b/>
                <w:bCs/>
                <w:color w:val="0D0D0D"/>
                <w:sz w:val="20"/>
                <w:szCs w:val="20"/>
              </w:rPr>
            </w:pPr>
            <w:r w:rsidRPr="00B03F0B">
              <w:rPr>
                <w:rFonts w:ascii="Calibri" w:eastAsia="Times New Roman" w:hAnsi="Calibri" w:cs="Calibri"/>
                <w:b/>
                <w:bCs/>
                <w:color w:val="0D0D0D"/>
                <w:sz w:val="20"/>
                <w:szCs w:val="20"/>
              </w:rPr>
              <w:t>Fair Value Measurements Using:</w:t>
            </w:r>
          </w:p>
        </w:tc>
        <w:tc>
          <w:tcPr>
            <w:tcW w:w="1102" w:type="dxa"/>
            <w:tcBorders>
              <w:top w:val="nil"/>
              <w:left w:val="nil"/>
              <w:right w:val="nil"/>
            </w:tcBorders>
            <w:shd w:val="clear" w:color="000000" w:fill="FFFFFF"/>
            <w:vAlign w:val="center"/>
            <w:hideMark/>
          </w:tcPr>
          <w:p w14:paraId="465716B0" w14:textId="77777777" w:rsidR="001B6918" w:rsidRPr="00B03F0B" w:rsidRDefault="001B6918" w:rsidP="00730ECF">
            <w:pPr>
              <w:jc w:val="center"/>
              <w:rPr>
                <w:rFonts w:ascii="Calibri" w:eastAsia="Times New Roman" w:hAnsi="Calibri" w:cs="Calibri"/>
                <w:b/>
                <w:bCs/>
                <w:color w:val="0D0D0D"/>
                <w:sz w:val="20"/>
                <w:szCs w:val="20"/>
              </w:rPr>
            </w:pPr>
            <w:r w:rsidRPr="00B03F0B">
              <w:rPr>
                <w:rFonts w:ascii="Calibri" w:eastAsia="Times New Roman" w:hAnsi="Calibri" w:cs="Calibri"/>
                <w:b/>
                <w:bCs/>
                <w:color w:val="0D0D0D"/>
                <w:sz w:val="20"/>
                <w:szCs w:val="20"/>
              </w:rPr>
              <w:t xml:space="preserve">Credit Rating </w:t>
            </w:r>
          </w:p>
        </w:tc>
        <w:tc>
          <w:tcPr>
            <w:tcW w:w="1509" w:type="dxa"/>
            <w:tcBorders>
              <w:top w:val="nil"/>
              <w:left w:val="nil"/>
              <w:bottom w:val="nil"/>
              <w:right w:val="nil"/>
            </w:tcBorders>
            <w:shd w:val="clear" w:color="000000" w:fill="FFFFFF"/>
            <w:noWrap/>
            <w:vAlign w:val="center"/>
            <w:hideMark/>
          </w:tcPr>
          <w:p w14:paraId="160E2B44" w14:textId="77777777" w:rsidR="001B6918" w:rsidRPr="00B03F0B" w:rsidRDefault="001B6918" w:rsidP="00730ECF">
            <w:pPr>
              <w:rPr>
                <w:rFonts w:ascii="Calibri" w:eastAsia="Times New Roman" w:hAnsi="Calibri" w:cs="Calibri"/>
                <w:color w:val="0D0D0D"/>
                <w:sz w:val="20"/>
                <w:szCs w:val="20"/>
              </w:rPr>
            </w:pPr>
            <w:r w:rsidRPr="00B03F0B">
              <w:rPr>
                <w:rFonts w:ascii="Calibri" w:eastAsia="Times New Roman" w:hAnsi="Calibri" w:cs="Calibri"/>
                <w:color w:val="0D0D0D"/>
                <w:sz w:val="20"/>
                <w:szCs w:val="20"/>
              </w:rPr>
              <w:t> </w:t>
            </w:r>
          </w:p>
        </w:tc>
        <w:tc>
          <w:tcPr>
            <w:tcW w:w="2480" w:type="dxa"/>
            <w:tcBorders>
              <w:top w:val="nil"/>
              <w:left w:val="nil"/>
              <w:bottom w:val="nil"/>
              <w:right w:val="nil"/>
            </w:tcBorders>
            <w:shd w:val="clear" w:color="000000" w:fill="FFFFFF"/>
            <w:noWrap/>
            <w:vAlign w:val="center"/>
            <w:hideMark/>
          </w:tcPr>
          <w:p w14:paraId="389E9490" w14:textId="77777777" w:rsidR="001B6918" w:rsidRPr="00B03F0B" w:rsidRDefault="001B6918" w:rsidP="00730ECF">
            <w:pPr>
              <w:rPr>
                <w:rFonts w:ascii="Calibri" w:eastAsia="Times New Roman" w:hAnsi="Calibri" w:cs="Calibri"/>
                <w:color w:val="0D0D0D"/>
                <w:sz w:val="20"/>
                <w:szCs w:val="20"/>
              </w:rPr>
            </w:pPr>
            <w:r w:rsidRPr="00B03F0B">
              <w:rPr>
                <w:rFonts w:ascii="Calibri" w:eastAsia="Times New Roman" w:hAnsi="Calibri" w:cs="Calibri"/>
                <w:color w:val="0D0D0D"/>
                <w:sz w:val="20"/>
                <w:szCs w:val="20"/>
              </w:rPr>
              <w:t> </w:t>
            </w:r>
          </w:p>
        </w:tc>
      </w:tr>
      <w:tr w:rsidR="00CE2413" w:rsidRPr="00B03F0B" w14:paraId="3AABA0D7" w14:textId="77777777" w:rsidTr="00CE2413">
        <w:trPr>
          <w:trHeight w:val="105"/>
          <w:jc w:val="center"/>
        </w:trPr>
        <w:tc>
          <w:tcPr>
            <w:tcW w:w="4320" w:type="dxa"/>
            <w:tcBorders>
              <w:top w:val="nil"/>
              <w:left w:val="nil"/>
              <w:bottom w:val="single" w:sz="12" w:space="0" w:color="000000"/>
              <w:right w:val="nil"/>
            </w:tcBorders>
            <w:shd w:val="clear" w:color="000000" w:fill="FFFFFF"/>
            <w:noWrap/>
            <w:vAlign w:val="center"/>
            <w:hideMark/>
          </w:tcPr>
          <w:p w14:paraId="064478A1" w14:textId="77777777" w:rsidR="001B6918" w:rsidRPr="00B03F0B" w:rsidRDefault="001B6918" w:rsidP="00730ECF">
            <w:pPr>
              <w:rPr>
                <w:rFonts w:ascii="Calibri" w:eastAsia="Times New Roman" w:hAnsi="Calibri" w:cs="Calibri"/>
                <w:b/>
                <w:bCs/>
                <w:color w:val="0D0D0D"/>
                <w:sz w:val="20"/>
                <w:szCs w:val="20"/>
              </w:rPr>
            </w:pPr>
            <w:r w:rsidRPr="00B03F0B">
              <w:rPr>
                <w:rFonts w:ascii="Calibri" w:eastAsia="Times New Roman" w:hAnsi="Calibri" w:cs="Calibri"/>
                <w:b/>
                <w:bCs/>
                <w:color w:val="0D0D0D"/>
                <w:sz w:val="20"/>
                <w:szCs w:val="20"/>
              </w:rPr>
              <w:t> </w:t>
            </w:r>
          </w:p>
        </w:tc>
        <w:tc>
          <w:tcPr>
            <w:tcW w:w="1260" w:type="dxa"/>
            <w:tcBorders>
              <w:top w:val="nil"/>
              <w:left w:val="nil"/>
              <w:bottom w:val="single" w:sz="12" w:space="0" w:color="000000"/>
              <w:right w:val="nil"/>
            </w:tcBorders>
            <w:shd w:val="clear" w:color="000000" w:fill="FFFFFF"/>
            <w:noWrap/>
            <w:vAlign w:val="center"/>
            <w:hideMark/>
          </w:tcPr>
          <w:p w14:paraId="0BD46A8B" w14:textId="77777777" w:rsidR="001B6918" w:rsidRPr="00B03F0B" w:rsidRDefault="001B6918" w:rsidP="00730ECF">
            <w:pPr>
              <w:jc w:val="center"/>
              <w:rPr>
                <w:rFonts w:ascii="Calibri" w:eastAsia="Times New Roman" w:hAnsi="Calibri" w:cs="Calibri"/>
                <w:b/>
                <w:bCs/>
                <w:color w:val="0D0D0D"/>
                <w:sz w:val="20"/>
                <w:szCs w:val="20"/>
              </w:rPr>
            </w:pPr>
            <w:r w:rsidRPr="00B03F0B">
              <w:rPr>
                <w:rFonts w:ascii="Calibri" w:eastAsia="Times New Roman" w:hAnsi="Calibri" w:cs="Calibri"/>
                <w:b/>
                <w:bCs/>
                <w:color w:val="0D0D0D"/>
                <w:sz w:val="20"/>
                <w:szCs w:val="20"/>
              </w:rPr>
              <w:t xml:space="preserve">Total </w:t>
            </w:r>
          </w:p>
        </w:tc>
        <w:tc>
          <w:tcPr>
            <w:tcW w:w="1080" w:type="dxa"/>
            <w:tcBorders>
              <w:top w:val="nil"/>
              <w:left w:val="nil"/>
              <w:bottom w:val="single" w:sz="12" w:space="0" w:color="000000"/>
              <w:right w:val="nil"/>
            </w:tcBorders>
            <w:shd w:val="clear" w:color="000000" w:fill="FFFFFF"/>
            <w:noWrap/>
            <w:vAlign w:val="center"/>
            <w:hideMark/>
          </w:tcPr>
          <w:p w14:paraId="6F0816DB" w14:textId="77777777" w:rsidR="001B6918" w:rsidRPr="00B03F0B" w:rsidRDefault="001B6918" w:rsidP="00730ECF">
            <w:pPr>
              <w:jc w:val="center"/>
              <w:rPr>
                <w:rFonts w:ascii="Calibri" w:eastAsia="Times New Roman" w:hAnsi="Calibri" w:cs="Calibri"/>
                <w:b/>
                <w:bCs/>
                <w:color w:val="0D0D0D"/>
                <w:sz w:val="20"/>
                <w:szCs w:val="20"/>
              </w:rPr>
            </w:pPr>
            <w:r w:rsidRPr="00B03F0B">
              <w:rPr>
                <w:rFonts w:ascii="Calibri" w:eastAsia="Times New Roman" w:hAnsi="Calibri" w:cs="Calibri"/>
                <w:b/>
                <w:bCs/>
                <w:color w:val="0D0D0D"/>
                <w:sz w:val="20"/>
                <w:szCs w:val="20"/>
              </w:rPr>
              <w:t>Level 1</w:t>
            </w:r>
          </w:p>
        </w:tc>
        <w:tc>
          <w:tcPr>
            <w:tcW w:w="1260" w:type="dxa"/>
            <w:tcBorders>
              <w:top w:val="nil"/>
              <w:left w:val="nil"/>
              <w:bottom w:val="single" w:sz="12" w:space="0" w:color="000000"/>
              <w:right w:val="nil"/>
            </w:tcBorders>
            <w:shd w:val="clear" w:color="000000" w:fill="FFFFFF"/>
            <w:noWrap/>
            <w:vAlign w:val="center"/>
            <w:hideMark/>
          </w:tcPr>
          <w:p w14:paraId="2461D0E3" w14:textId="77777777" w:rsidR="001B6918" w:rsidRPr="00B03F0B" w:rsidRDefault="001B6918" w:rsidP="00730ECF">
            <w:pPr>
              <w:jc w:val="center"/>
              <w:rPr>
                <w:rFonts w:ascii="Calibri" w:eastAsia="Times New Roman" w:hAnsi="Calibri" w:cs="Calibri"/>
                <w:b/>
                <w:bCs/>
                <w:color w:val="0D0D0D"/>
                <w:sz w:val="20"/>
                <w:szCs w:val="20"/>
              </w:rPr>
            </w:pPr>
            <w:r w:rsidRPr="00B03F0B">
              <w:rPr>
                <w:rFonts w:ascii="Calibri" w:eastAsia="Times New Roman" w:hAnsi="Calibri" w:cs="Calibri"/>
                <w:b/>
                <w:bCs/>
                <w:color w:val="0D0D0D"/>
                <w:sz w:val="20"/>
                <w:szCs w:val="20"/>
              </w:rPr>
              <w:t>Level 2</w:t>
            </w:r>
          </w:p>
        </w:tc>
        <w:tc>
          <w:tcPr>
            <w:tcW w:w="1113" w:type="dxa"/>
            <w:tcBorders>
              <w:top w:val="nil"/>
              <w:left w:val="nil"/>
              <w:bottom w:val="single" w:sz="12" w:space="0" w:color="000000"/>
              <w:right w:val="nil"/>
            </w:tcBorders>
            <w:shd w:val="clear" w:color="000000" w:fill="FFFFFF"/>
            <w:noWrap/>
            <w:vAlign w:val="center"/>
            <w:hideMark/>
          </w:tcPr>
          <w:p w14:paraId="57975BB8" w14:textId="77777777" w:rsidR="001B6918" w:rsidRPr="00B03F0B" w:rsidRDefault="001B6918" w:rsidP="00730ECF">
            <w:pPr>
              <w:jc w:val="center"/>
              <w:rPr>
                <w:rFonts w:ascii="Calibri" w:eastAsia="Times New Roman" w:hAnsi="Calibri" w:cs="Calibri"/>
                <w:b/>
                <w:bCs/>
                <w:color w:val="0D0D0D"/>
                <w:sz w:val="20"/>
                <w:szCs w:val="20"/>
              </w:rPr>
            </w:pPr>
            <w:r w:rsidRPr="00B03F0B">
              <w:rPr>
                <w:rFonts w:ascii="Calibri" w:eastAsia="Times New Roman" w:hAnsi="Calibri" w:cs="Calibri"/>
                <w:b/>
                <w:bCs/>
                <w:color w:val="0D0D0D"/>
                <w:sz w:val="20"/>
                <w:szCs w:val="20"/>
              </w:rPr>
              <w:t>Level 3</w:t>
            </w:r>
          </w:p>
        </w:tc>
        <w:tc>
          <w:tcPr>
            <w:tcW w:w="1102" w:type="dxa"/>
            <w:tcBorders>
              <w:left w:val="nil"/>
              <w:bottom w:val="single" w:sz="12" w:space="0" w:color="000000"/>
              <w:right w:val="nil"/>
            </w:tcBorders>
            <w:shd w:val="clear" w:color="000000" w:fill="FFFFFF"/>
            <w:vAlign w:val="center"/>
            <w:hideMark/>
          </w:tcPr>
          <w:p w14:paraId="64A69814" w14:textId="77777777" w:rsidR="001B6918" w:rsidRPr="00B03F0B" w:rsidRDefault="001B6918" w:rsidP="00730ECF">
            <w:pPr>
              <w:jc w:val="center"/>
              <w:rPr>
                <w:rFonts w:ascii="Calibri" w:eastAsia="Times New Roman" w:hAnsi="Calibri" w:cs="Calibri"/>
                <w:b/>
                <w:bCs/>
                <w:color w:val="0D0D0D"/>
                <w:sz w:val="20"/>
                <w:szCs w:val="20"/>
              </w:rPr>
            </w:pPr>
          </w:p>
        </w:tc>
        <w:tc>
          <w:tcPr>
            <w:tcW w:w="3989" w:type="dxa"/>
            <w:gridSpan w:val="2"/>
            <w:tcBorders>
              <w:top w:val="nil"/>
              <w:left w:val="nil"/>
              <w:bottom w:val="single" w:sz="12" w:space="0" w:color="000000"/>
              <w:right w:val="nil"/>
            </w:tcBorders>
            <w:shd w:val="clear" w:color="000000" w:fill="FFFFFF"/>
            <w:noWrap/>
            <w:vAlign w:val="center"/>
            <w:hideMark/>
          </w:tcPr>
          <w:p w14:paraId="6625293B" w14:textId="77777777" w:rsidR="001B6918" w:rsidRPr="00B03F0B" w:rsidRDefault="001B6918" w:rsidP="00730ECF">
            <w:pPr>
              <w:jc w:val="center"/>
              <w:rPr>
                <w:rFonts w:ascii="Calibri" w:eastAsia="Times New Roman" w:hAnsi="Calibri" w:cs="Calibri"/>
                <w:b/>
                <w:bCs/>
                <w:color w:val="0D0D0D"/>
                <w:sz w:val="20"/>
                <w:szCs w:val="20"/>
              </w:rPr>
            </w:pPr>
            <w:r w:rsidRPr="00B03F0B">
              <w:rPr>
                <w:rFonts w:ascii="Calibri" w:eastAsia="Times New Roman" w:hAnsi="Calibri" w:cs="Calibri"/>
                <w:b/>
                <w:bCs/>
                <w:color w:val="0D0D0D"/>
                <w:sz w:val="20"/>
                <w:szCs w:val="20"/>
              </w:rPr>
              <w:t>Interest Rate Risk</w:t>
            </w:r>
          </w:p>
        </w:tc>
      </w:tr>
      <w:tr w:rsidR="00CE2413" w:rsidRPr="00B03F0B" w14:paraId="1141978B" w14:textId="77777777" w:rsidTr="00CE2413">
        <w:trPr>
          <w:trHeight w:val="168"/>
          <w:jc w:val="center"/>
        </w:trPr>
        <w:tc>
          <w:tcPr>
            <w:tcW w:w="4320" w:type="dxa"/>
            <w:tcBorders>
              <w:top w:val="nil"/>
              <w:left w:val="nil"/>
              <w:bottom w:val="nil"/>
              <w:right w:val="nil"/>
            </w:tcBorders>
            <w:shd w:val="clear" w:color="000000" w:fill="FFFFFF"/>
            <w:noWrap/>
            <w:vAlign w:val="bottom"/>
            <w:hideMark/>
          </w:tcPr>
          <w:p w14:paraId="65461ADD" w14:textId="77777777" w:rsidR="001B6918" w:rsidRPr="00B03F0B" w:rsidRDefault="001B6918" w:rsidP="00730ECF">
            <w:pPr>
              <w:rPr>
                <w:rFonts w:ascii="Calibri" w:eastAsia="Times New Roman" w:hAnsi="Calibri" w:cs="Calibri"/>
                <w:b/>
                <w:bCs/>
                <w:color w:val="0D0D0D"/>
                <w:sz w:val="20"/>
                <w:szCs w:val="20"/>
              </w:rPr>
            </w:pPr>
            <w:r w:rsidRPr="00B03F0B">
              <w:rPr>
                <w:rFonts w:ascii="Calibri" w:eastAsia="Times New Roman" w:hAnsi="Calibri" w:cs="Calibri"/>
                <w:b/>
                <w:bCs/>
                <w:color w:val="0D0D0D"/>
                <w:sz w:val="20"/>
                <w:szCs w:val="20"/>
              </w:rPr>
              <w:t>Operating Investments measured at fair value:</w:t>
            </w:r>
          </w:p>
        </w:tc>
        <w:tc>
          <w:tcPr>
            <w:tcW w:w="1260" w:type="dxa"/>
            <w:tcBorders>
              <w:top w:val="nil"/>
              <w:left w:val="nil"/>
              <w:bottom w:val="nil"/>
              <w:right w:val="nil"/>
            </w:tcBorders>
            <w:shd w:val="clear" w:color="000000" w:fill="FFFFFF"/>
            <w:noWrap/>
            <w:vAlign w:val="bottom"/>
            <w:hideMark/>
          </w:tcPr>
          <w:p w14:paraId="4D818A6B" w14:textId="77777777" w:rsidR="001B6918" w:rsidRPr="00B03F0B" w:rsidRDefault="001B6918" w:rsidP="00730ECF">
            <w:pPr>
              <w:jc w:val="right"/>
              <w:rPr>
                <w:rFonts w:ascii="Calibri" w:eastAsia="Times New Roman" w:hAnsi="Calibri" w:cs="Calibri"/>
                <w:color w:val="0D0D0D"/>
                <w:sz w:val="20"/>
                <w:szCs w:val="20"/>
              </w:rPr>
            </w:pPr>
            <w:r w:rsidRPr="00B03F0B">
              <w:rPr>
                <w:rFonts w:ascii="Calibri" w:eastAsia="Times New Roman" w:hAnsi="Calibri" w:cs="Calibri"/>
                <w:color w:val="0D0D0D"/>
                <w:sz w:val="20"/>
                <w:szCs w:val="20"/>
              </w:rPr>
              <w:t> </w:t>
            </w:r>
          </w:p>
        </w:tc>
        <w:tc>
          <w:tcPr>
            <w:tcW w:w="1080" w:type="dxa"/>
            <w:tcBorders>
              <w:top w:val="nil"/>
              <w:left w:val="nil"/>
              <w:bottom w:val="nil"/>
              <w:right w:val="nil"/>
            </w:tcBorders>
            <w:shd w:val="clear" w:color="000000" w:fill="FFFFFF"/>
            <w:noWrap/>
            <w:vAlign w:val="bottom"/>
            <w:hideMark/>
          </w:tcPr>
          <w:p w14:paraId="7DA8078E" w14:textId="77777777" w:rsidR="001B6918" w:rsidRPr="00B03F0B" w:rsidRDefault="001B6918" w:rsidP="00730ECF">
            <w:pPr>
              <w:jc w:val="right"/>
              <w:rPr>
                <w:rFonts w:ascii="Calibri" w:eastAsia="Times New Roman" w:hAnsi="Calibri" w:cs="Calibri"/>
                <w:color w:val="0D0D0D"/>
                <w:sz w:val="20"/>
                <w:szCs w:val="20"/>
              </w:rPr>
            </w:pPr>
            <w:r w:rsidRPr="00B03F0B">
              <w:rPr>
                <w:rFonts w:ascii="Calibri" w:eastAsia="Times New Roman" w:hAnsi="Calibri" w:cs="Calibri"/>
                <w:color w:val="0D0D0D"/>
                <w:sz w:val="20"/>
                <w:szCs w:val="20"/>
              </w:rPr>
              <w:t> </w:t>
            </w:r>
          </w:p>
        </w:tc>
        <w:tc>
          <w:tcPr>
            <w:tcW w:w="1260" w:type="dxa"/>
            <w:tcBorders>
              <w:top w:val="nil"/>
              <w:left w:val="nil"/>
              <w:bottom w:val="nil"/>
              <w:right w:val="nil"/>
            </w:tcBorders>
            <w:shd w:val="clear" w:color="000000" w:fill="FFFFFF"/>
            <w:noWrap/>
            <w:vAlign w:val="bottom"/>
            <w:hideMark/>
          </w:tcPr>
          <w:p w14:paraId="3236C6E0" w14:textId="77777777" w:rsidR="001B6918" w:rsidRPr="00B03F0B" w:rsidRDefault="001B6918" w:rsidP="00730ECF">
            <w:pPr>
              <w:jc w:val="right"/>
              <w:rPr>
                <w:rFonts w:ascii="Calibri" w:eastAsia="Times New Roman" w:hAnsi="Calibri" w:cs="Calibri"/>
                <w:color w:val="0D0D0D"/>
                <w:sz w:val="20"/>
                <w:szCs w:val="20"/>
              </w:rPr>
            </w:pPr>
            <w:r w:rsidRPr="00B03F0B">
              <w:rPr>
                <w:rFonts w:ascii="Calibri" w:eastAsia="Times New Roman" w:hAnsi="Calibri" w:cs="Calibri"/>
                <w:color w:val="0D0D0D"/>
                <w:sz w:val="20"/>
                <w:szCs w:val="20"/>
              </w:rPr>
              <w:t> </w:t>
            </w:r>
          </w:p>
        </w:tc>
        <w:tc>
          <w:tcPr>
            <w:tcW w:w="1113" w:type="dxa"/>
            <w:tcBorders>
              <w:top w:val="nil"/>
              <w:left w:val="nil"/>
              <w:bottom w:val="nil"/>
              <w:right w:val="nil"/>
            </w:tcBorders>
            <w:shd w:val="clear" w:color="000000" w:fill="FFFFFF"/>
            <w:noWrap/>
            <w:vAlign w:val="bottom"/>
            <w:hideMark/>
          </w:tcPr>
          <w:p w14:paraId="7A78559D" w14:textId="77777777" w:rsidR="001B6918" w:rsidRPr="00B03F0B" w:rsidRDefault="001B6918" w:rsidP="00730ECF">
            <w:pPr>
              <w:jc w:val="right"/>
              <w:rPr>
                <w:rFonts w:ascii="Calibri" w:eastAsia="Times New Roman" w:hAnsi="Calibri" w:cs="Calibri"/>
                <w:color w:val="0D0D0D"/>
                <w:sz w:val="20"/>
                <w:szCs w:val="20"/>
              </w:rPr>
            </w:pPr>
            <w:r w:rsidRPr="00B03F0B">
              <w:rPr>
                <w:rFonts w:ascii="Calibri" w:eastAsia="Times New Roman" w:hAnsi="Calibri" w:cs="Calibri"/>
                <w:color w:val="0D0D0D"/>
                <w:sz w:val="20"/>
                <w:szCs w:val="20"/>
              </w:rPr>
              <w:t> </w:t>
            </w:r>
          </w:p>
        </w:tc>
        <w:tc>
          <w:tcPr>
            <w:tcW w:w="1102" w:type="dxa"/>
            <w:tcBorders>
              <w:top w:val="nil"/>
              <w:left w:val="nil"/>
              <w:bottom w:val="nil"/>
              <w:right w:val="nil"/>
            </w:tcBorders>
            <w:shd w:val="clear" w:color="000000" w:fill="FFFFFF"/>
            <w:noWrap/>
            <w:vAlign w:val="bottom"/>
            <w:hideMark/>
          </w:tcPr>
          <w:p w14:paraId="75796ADB" w14:textId="77777777" w:rsidR="001B6918" w:rsidRPr="00B03F0B" w:rsidRDefault="001B6918" w:rsidP="00730ECF">
            <w:pPr>
              <w:jc w:val="center"/>
              <w:rPr>
                <w:rFonts w:ascii="Calibri" w:eastAsia="Times New Roman" w:hAnsi="Calibri" w:cs="Calibri"/>
                <w:color w:val="0D0D0D"/>
                <w:sz w:val="20"/>
                <w:szCs w:val="20"/>
              </w:rPr>
            </w:pPr>
          </w:p>
        </w:tc>
        <w:tc>
          <w:tcPr>
            <w:tcW w:w="1509" w:type="dxa"/>
            <w:tcBorders>
              <w:top w:val="nil"/>
              <w:left w:val="nil"/>
              <w:bottom w:val="nil"/>
              <w:right w:val="nil"/>
            </w:tcBorders>
            <w:shd w:val="clear" w:color="000000" w:fill="FFFFFF"/>
            <w:noWrap/>
            <w:vAlign w:val="bottom"/>
            <w:hideMark/>
          </w:tcPr>
          <w:p w14:paraId="4E055974" w14:textId="77777777" w:rsidR="001B6918" w:rsidRPr="00B03F0B" w:rsidRDefault="001B6918" w:rsidP="00730ECF">
            <w:pPr>
              <w:jc w:val="center"/>
              <w:rPr>
                <w:rFonts w:ascii="Calibri" w:eastAsia="Times New Roman" w:hAnsi="Calibri" w:cs="Calibri"/>
                <w:color w:val="0D0D0D"/>
                <w:sz w:val="20"/>
                <w:szCs w:val="20"/>
              </w:rPr>
            </w:pPr>
          </w:p>
        </w:tc>
        <w:tc>
          <w:tcPr>
            <w:tcW w:w="2480" w:type="dxa"/>
            <w:tcBorders>
              <w:top w:val="nil"/>
              <w:left w:val="nil"/>
              <w:bottom w:val="nil"/>
              <w:right w:val="nil"/>
            </w:tcBorders>
            <w:shd w:val="clear" w:color="000000" w:fill="FFFFFF"/>
            <w:noWrap/>
            <w:vAlign w:val="bottom"/>
            <w:hideMark/>
          </w:tcPr>
          <w:p w14:paraId="3E45A7C2" w14:textId="77777777" w:rsidR="001B6918" w:rsidRPr="00B03F0B" w:rsidRDefault="001B6918" w:rsidP="00730ECF">
            <w:pPr>
              <w:rPr>
                <w:rFonts w:ascii="Calibri" w:eastAsia="Times New Roman" w:hAnsi="Calibri" w:cs="Calibri"/>
                <w:color w:val="0D0D0D"/>
                <w:sz w:val="20"/>
                <w:szCs w:val="20"/>
              </w:rPr>
            </w:pPr>
            <w:r w:rsidRPr="00B03F0B">
              <w:rPr>
                <w:rFonts w:ascii="Calibri" w:eastAsia="Times New Roman" w:hAnsi="Calibri" w:cs="Calibri"/>
                <w:color w:val="0D0D0D"/>
                <w:sz w:val="20"/>
                <w:szCs w:val="20"/>
              </w:rPr>
              <w:t> </w:t>
            </w:r>
          </w:p>
        </w:tc>
      </w:tr>
      <w:tr w:rsidR="00CE2413" w:rsidRPr="00B03F0B" w14:paraId="0C0D6365" w14:textId="77777777" w:rsidTr="00CE2413">
        <w:trPr>
          <w:trHeight w:val="153"/>
          <w:jc w:val="center"/>
        </w:trPr>
        <w:tc>
          <w:tcPr>
            <w:tcW w:w="4320" w:type="dxa"/>
            <w:tcBorders>
              <w:top w:val="nil"/>
              <w:left w:val="nil"/>
              <w:bottom w:val="nil"/>
              <w:right w:val="nil"/>
            </w:tcBorders>
            <w:shd w:val="clear" w:color="000000" w:fill="FFFFFF"/>
            <w:noWrap/>
            <w:vAlign w:val="bottom"/>
            <w:hideMark/>
          </w:tcPr>
          <w:p w14:paraId="1C5F6FB6" w14:textId="77777777" w:rsidR="001B6918" w:rsidRPr="00B03F0B" w:rsidRDefault="001B6918" w:rsidP="00730ECF">
            <w:pPr>
              <w:ind w:firstLineChars="100" w:firstLine="200"/>
              <w:rPr>
                <w:rFonts w:ascii="Calibri" w:eastAsia="Times New Roman" w:hAnsi="Calibri" w:cs="Calibri"/>
                <w:color w:val="0D0D0D"/>
                <w:sz w:val="20"/>
                <w:szCs w:val="20"/>
              </w:rPr>
            </w:pPr>
            <w:r w:rsidRPr="00B03F0B">
              <w:rPr>
                <w:rFonts w:ascii="Calibri" w:eastAsia="Times New Roman" w:hAnsi="Calibri" w:cs="Calibri"/>
                <w:color w:val="0D0D0D"/>
                <w:sz w:val="20"/>
                <w:szCs w:val="20"/>
              </w:rPr>
              <w:t>Equities:</w:t>
            </w:r>
          </w:p>
        </w:tc>
        <w:tc>
          <w:tcPr>
            <w:tcW w:w="1260" w:type="dxa"/>
            <w:tcBorders>
              <w:top w:val="nil"/>
              <w:left w:val="nil"/>
              <w:bottom w:val="nil"/>
              <w:right w:val="nil"/>
            </w:tcBorders>
            <w:shd w:val="clear" w:color="000000" w:fill="FFFFFF"/>
            <w:noWrap/>
            <w:vAlign w:val="bottom"/>
            <w:hideMark/>
          </w:tcPr>
          <w:p w14:paraId="144D6625" w14:textId="77777777" w:rsidR="001B6918" w:rsidRPr="00B03F0B" w:rsidRDefault="001B6918" w:rsidP="00730ECF">
            <w:pPr>
              <w:jc w:val="right"/>
              <w:rPr>
                <w:rFonts w:ascii="Calibri" w:eastAsia="Times New Roman" w:hAnsi="Calibri" w:cs="Calibri"/>
                <w:color w:val="0D0D0D"/>
                <w:sz w:val="20"/>
                <w:szCs w:val="20"/>
              </w:rPr>
            </w:pPr>
            <w:r w:rsidRPr="00B03F0B">
              <w:rPr>
                <w:rFonts w:ascii="Calibri" w:eastAsia="Times New Roman" w:hAnsi="Calibri" w:cs="Calibri"/>
                <w:color w:val="0D0D0D"/>
                <w:sz w:val="20"/>
                <w:szCs w:val="20"/>
              </w:rPr>
              <w:t> </w:t>
            </w:r>
          </w:p>
        </w:tc>
        <w:tc>
          <w:tcPr>
            <w:tcW w:w="1080" w:type="dxa"/>
            <w:tcBorders>
              <w:top w:val="nil"/>
              <w:left w:val="nil"/>
              <w:bottom w:val="nil"/>
              <w:right w:val="nil"/>
            </w:tcBorders>
            <w:shd w:val="clear" w:color="000000" w:fill="FFFFFF"/>
            <w:noWrap/>
            <w:vAlign w:val="bottom"/>
            <w:hideMark/>
          </w:tcPr>
          <w:p w14:paraId="785468CA" w14:textId="77777777" w:rsidR="001B6918" w:rsidRPr="00B03F0B" w:rsidRDefault="001B6918" w:rsidP="00730ECF">
            <w:pPr>
              <w:jc w:val="right"/>
              <w:rPr>
                <w:rFonts w:ascii="Calibri" w:eastAsia="Times New Roman" w:hAnsi="Calibri" w:cs="Calibri"/>
                <w:color w:val="0D0D0D"/>
                <w:sz w:val="20"/>
                <w:szCs w:val="20"/>
              </w:rPr>
            </w:pPr>
            <w:r w:rsidRPr="00B03F0B">
              <w:rPr>
                <w:rFonts w:ascii="Calibri" w:eastAsia="Times New Roman" w:hAnsi="Calibri" w:cs="Calibri"/>
                <w:color w:val="0D0D0D"/>
                <w:sz w:val="20"/>
                <w:szCs w:val="20"/>
              </w:rPr>
              <w:t> </w:t>
            </w:r>
          </w:p>
        </w:tc>
        <w:tc>
          <w:tcPr>
            <w:tcW w:w="1260" w:type="dxa"/>
            <w:tcBorders>
              <w:top w:val="nil"/>
              <w:left w:val="nil"/>
              <w:bottom w:val="nil"/>
              <w:right w:val="nil"/>
            </w:tcBorders>
            <w:shd w:val="clear" w:color="000000" w:fill="FFFFFF"/>
            <w:noWrap/>
            <w:vAlign w:val="bottom"/>
            <w:hideMark/>
          </w:tcPr>
          <w:p w14:paraId="5944F4EF" w14:textId="77777777" w:rsidR="001B6918" w:rsidRPr="00B03F0B" w:rsidRDefault="001B6918" w:rsidP="00730ECF">
            <w:pPr>
              <w:jc w:val="right"/>
              <w:rPr>
                <w:rFonts w:ascii="Calibri" w:eastAsia="Times New Roman" w:hAnsi="Calibri" w:cs="Calibri"/>
                <w:color w:val="0D0D0D"/>
                <w:sz w:val="20"/>
                <w:szCs w:val="20"/>
              </w:rPr>
            </w:pPr>
            <w:r w:rsidRPr="00B03F0B">
              <w:rPr>
                <w:rFonts w:ascii="Calibri" w:eastAsia="Times New Roman" w:hAnsi="Calibri" w:cs="Calibri"/>
                <w:color w:val="0D0D0D"/>
                <w:sz w:val="20"/>
                <w:szCs w:val="20"/>
              </w:rPr>
              <w:t> </w:t>
            </w:r>
          </w:p>
        </w:tc>
        <w:tc>
          <w:tcPr>
            <w:tcW w:w="1113" w:type="dxa"/>
            <w:tcBorders>
              <w:top w:val="nil"/>
              <w:left w:val="nil"/>
              <w:bottom w:val="nil"/>
              <w:right w:val="nil"/>
            </w:tcBorders>
            <w:shd w:val="clear" w:color="000000" w:fill="FFFFFF"/>
            <w:noWrap/>
            <w:vAlign w:val="bottom"/>
            <w:hideMark/>
          </w:tcPr>
          <w:p w14:paraId="45754FDD" w14:textId="77777777" w:rsidR="001B6918" w:rsidRPr="00B03F0B" w:rsidRDefault="001B6918" w:rsidP="00730ECF">
            <w:pPr>
              <w:jc w:val="right"/>
              <w:rPr>
                <w:rFonts w:ascii="Calibri" w:eastAsia="Times New Roman" w:hAnsi="Calibri" w:cs="Calibri"/>
                <w:color w:val="0D0D0D"/>
                <w:sz w:val="20"/>
                <w:szCs w:val="20"/>
              </w:rPr>
            </w:pPr>
            <w:r w:rsidRPr="00B03F0B">
              <w:rPr>
                <w:rFonts w:ascii="Calibri" w:eastAsia="Times New Roman" w:hAnsi="Calibri" w:cs="Calibri"/>
                <w:color w:val="0D0D0D"/>
                <w:sz w:val="20"/>
                <w:szCs w:val="20"/>
              </w:rPr>
              <w:t> </w:t>
            </w:r>
          </w:p>
        </w:tc>
        <w:tc>
          <w:tcPr>
            <w:tcW w:w="1102" w:type="dxa"/>
            <w:tcBorders>
              <w:top w:val="nil"/>
              <w:left w:val="nil"/>
              <w:bottom w:val="nil"/>
              <w:right w:val="nil"/>
            </w:tcBorders>
            <w:shd w:val="clear" w:color="000000" w:fill="FFFFFF"/>
            <w:noWrap/>
            <w:vAlign w:val="bottom"/>
            <w:hideMark/>
          </w:tcPr>
          <w:p w14:paraId="40859F5C" w14:textId="77777777" w:rsidR="001B6918" w:rsidRPr="00B03F0B" w:rsidRDefault="001B6918" w:rsidP="00730ECF">
            <w:pPr>
              <w:jc w:val="center"/>
              <w:rPr>
                <w:rFonts w:ascii="Calibri" w:eastAsia="Times New Roman" w:hAnsi="Calibri" w:cs="Calibri"/>
                <w:color w:val="0D0D0D"/>
                <w:sz w:val="20"/>
                <w:szCs w:val="20"/>
              </w:rPr>
            </w:pPr>
          </w:p>
        </w:tc>
        <w:tc>
          <w:tcPr>
            <w:tcW w:w="1509" w:type="dxa"/>
            <w:tcBorders>
              <w:top w:val="nil"/>
              <w:left w:val="nil"/>
              <w:bottom w:val="nil"/>
              <w:right w:val="nil"/>
            </w:tcBorders>
            <w:shd w:val="clear" w:color="000000" w:fill="FFFFFF"/>
            <w:noWrap/>
            <w:vAlign w:val="bottom"/>
            <w:hideMark/>
          </w:tcPr>
          <w:p w14:paraId="613F7099" w14:textId="77777777" w:rsidR="001B6918" w:rsidRPr="00B03F0B" w:rsidRDefault="001B6918" w:rsidP="00730ECF">
            <w:pPr>
              <w:jc w:val="center"/>
              <w:rPr>
                <w:rFonts w:ascii="Calibri" w:eastAsia="Times New Roman" w:hAnsi="Calibri" w:cs="Calibri"/>
                <w:color w:val="0D0D0D"/>
                <w:sz w:val="20"/>
                <w:szCs w:val="20"/>
              </w:rPr>
            </w:pPr>
          </w:p>
        </w:tc>
        <w:tc>
          <w:tcPr>
            <w:tcW w:w="2480" w:type="dxa"/>
            <w:tcBorders>
              <w:top w:val="nil"/>
              <w:left w:val="nil"/>
              <w:bottom w:val="nil"/>
              <w:right w:val="nil"/>
            </w:tcBorders>
            <w:shd w:val="clear" w:color="000000" w:fill="FFFFFF"/>
            <w:noWrap/>
            <w:vAlign w:val="bottom"/>
            <w:hideMark/>
          </w:tcPr>
          <w:p w14:paraId="59CF982A" w14:textId="77777777" w:rsidR="001B6918" w:rsidRPr="00B03F0B" w:rsidRDefault="001B6918" w:rsidP="00730ECF">
            <w:pPr>
              <w:rPr>
                <w:rFonts w:ascii="Calibri" w:eastAsia="Times New Roman" w:hAnsi="Calibri" w:cs="Calibri"/>
                <w:color w:val="0D0D0D"/>
                <w:sz w:val="20"/>
                <w:szCs w:val="20"/>
              </w:rPr>
            </w:pPr>
            <w:r w:rsidRPr="00B03F0B">
              <w:rPr>
                <w:rFonts w:ascii="Calibri" w:eastAsia="Times New Roman" w:hAnsi="Calibri" w:cs="Calibri"/>
                <w:color w:val="0D0D0D"/>
                <w:sz w:val="20"/>
                <w:szCs w:val="20"/>
              </w:rPr>
              <w:t> </w:t>
            </w:r>
          </w:p>
        </w:tc>
      </w:tr>
      <w:tr w:rsidR="00CE2413" w:rsidRPr="00B03F0B" w14:paraId="22F279F9" w14:textId="77777777" w:rsidTr="00CE2413">
        <w:trPr>
          <w:trHeight w:val="180"/>
          <w:jc w:val="center"/>
        </w:trPr>
        <w:tc>
          <w:tcPr>
            <w:tcW w:w="4320" w:type="dxa"/>
            <w:tcBorders>
              <w:top w:val="nil"/>
              <w:left w:val="nil"/>
              <w:bottom w:val="nil"/>
              <w:right w:val="nil"/>
            </w:tcBorders>
            <w:shd w:val="clear" w:color="000000" w:fill="FFFFFF"/>
            <w:noWrap/>
            <w:vAlign w:val="bottom"/>
            <w:hideMark/>
          </w:tcPr>
          <w:p w14:paraId="78AACEE3" w14:textId="77777777" w:rsidR="001B6918" w:rsidRPr="00B03F0B" w:rsidRDefault="001B6918" w:rsidP="00730ECF">
            <w:pPr>
              <w:ind w:firstLineChars="200" w:firstLine="400"/>
              <w:rPr>
                <w:rFonts w:ascii="Calibri" w:eastAsia="Times New Roman" w:hAnsi="Calibri" w:cs="Calibri"/>
                <w:color w:val="0D0D0D"/>
                <w:sz w:val="20"/>
                <w:szCs w:val="20"/>
              </w:rPr>
            </w:pPr>
            <w:r w:rsidRPr="00B03F0B">
              <w:rPr>
                <w:rFonts w:ascii="Calibri" w:eastAsia="Times New Roman" w:hAnsi="Calibri" w:cs="Calibri"/>
                <w:color w:val="0D0D0D"/>
                <w:sz w:val="20"/>
                <w:szCs w:val="20"/>
              </w:rPr>
              <w:t>Multi-strategy funds</w:t>
            </w:r>
          </w:p>
        </w:tc>
        <w:tc>
          <w:tcPr>
            <w:tcW w:w="1260" w:type="dxa"/>
            <w:tcBorders>
              <w:top w:val="nil"/>
              <w:left w:val="nil"/>
              <w:bottom w:val="nil"/>
              <w:right w:val="nil"/>
            </w:tcBorders>
            <w:shd w:val="clear" w:color="000000" w:fill="FFFFFF"/>
            <w:noWrap/>
            <w:hideMark/>
          </w:tcPr>
          <w:p w14:paraId="4BCFD951" w14:textId="77777777" w:rsidR="001B6918" w:rsidRPr="00CD23C6" w:rsidRDefault="001B6918" w:rsidP="00730ECF">
            <w:pPr>
              <w:jc w:val="right"/>
              <w:rPr>
                <w:rFonts w:eastAsia="Times New Roman" w:cstheme="minorHAnsi"/>
                <w:color w:val="FF0000"/>
                <w:sz w:val="20"/>
                <w:szCs w:val="20"/>
              </w:rPr>
            </w:pPr>
            <w:r w:rsidRPr="00CD23C6">
              <w:rPr>
                <w:rFonts w:cstheme="minorHAnsi"/>
                <w:sz w:val="20"/>
                <w:szCs w:val="20"/>
              </w:rPr>
              <w:t xml:space="preserve"> $</w:t>
            </w:r>
            <w:r>
              <w:rPr>
                <w:rFonts w:cstheme="minorHAnsi"/>
                <w:sz w:val="20"/>
                <w:szCs w:val="20"/>
              </w:rPr>
              <w:t xml:space="preserve"> </w:t>
            </w:r>
            <w:r w:rsidRPr="00CD23C6">
              <w:rPr>
                <w:rFonts w:cstheme="minorHAnsi"/>
                <w:sz w:val="20"/>
                <w:szCs w:val="20"/>
              </w:rPr>
              <w:t xml:space="preserve">48,861 </w:t>
            </w:r>
          </w:p>
        </w:tc>
        <w:tc>
          <w:tcPr>
            <w:tcW w:w="1080" w:type="dxa"/>
            <w:tcBorders>
              <w:top w:val="nil"/>
              <w:left w:val="nil"/>
              <w:bottom w:val="nil"/>
              <w:right w:val="nil"/>
            </w:tcBorders>
            <w:shd w:val="clear" w:color="000000" w:fill="FFFFFF"/>
            <w:noWrap/>
            <w:hideMark/>
          </w:tcPr>
          <w:p w14:paraId="7FD0E631" w14:textId="77777777" w:rsidR="001B6918" w:rsidRPr="00CD23C6" w:rsidRDefault="001B6918" w:rsidP="00730ECF">
            <w:pPr>
              <w:jc w:val="right"/>
              <w:rPr>
                <w:rFonts w:eastAsia="Times New Roman" w:cstheme="minorHAnsi"/>
                <w:color w:val="FF0000"/>
                <w:sz w:val="20"/>
                <w:szCs w:val="20"/>
              </w:rPr>
            </w:pPr>
            <w:r w:rsidRPr="00CD23C6">
              <w:rPr>
                <w:rFonts w:cstheme="minorHAnsi"/>
                <w:sz w:val="20"/>
                <w:szCs w:val="20"/>
              </w:rPr>
              <w:t xml:space="preserve"> $</w:t>
            </w:r>
            <w:r>
              <w:rPr>
                <w:rFonts w:cstheme="minorHAnsi"/>
                <w:sz w:val="20"/>
                <w:szCs w:val="20"/>
              </w:rPr>
              <w:t xml:space="preserve"> </w:t>
            </w:r>
            <w:r w:rsidRPr="00CD23C6">
              <w:rPr>
                <w:rFonts w:cstheme="minorHAnsi"/>
                <w:sz w:val="20"/>
                <w:szCs w:val="20"/>
              </w:rPr>
              <w:t xml:space="preserve">20,547 </w:t>
            </w:r>
          </w:p>
        </w:tc>
        <w:tc>
          <w:tcPr>
            <w:tcW w:w="1260" w:type="dxa"/>
            <w:tcBorders>
              <w:top w:val="nil"/>
              <w:left w:val="nil"/>
              <w:bottom w:val="nil"/>
              <w:right w:val="nil"/>
            </w:tcBorders>
            <w:shd w:val="clear" w:color="000000" w:fill="FFFFFF"/>
            <w:noWrap/>
            <w:hideMark/>
          </w:tcPr>
          <w:p w14:paraId="0C1BE9FA" w14:textId="77777777" w:rsidR="001B6918" w:rsidRPr="00CD23C6" w:rsidRDefault="001B6918" w:rsidP="00730ECF">
            <w:pPr>
              <w:jc w:val="right"/>
              <w:rPr>
                <w:rFonts w:eastAsia="Times New Roman" w:cstheme="minorHAnsi"/>
                <w:color w:val="FF0000"/>
                <w:sz w:val="20"/>
                <w:szCs w:val="20"/>
              </w:rPr>
            </w:pPr>
            <w:r w:rsidRPr="00CD23C6">
              <w:rPr>
                <w:rFonts w:cstheme="minorHAnsi"/>
                <w:sz w:val="20"/>
                <w:szCs w:val="20"/>
              </w:rPr>
              <w:t xml:space="preserve"> $28,314 </w:t>
            </w:r>
          </w:p>
        </w:tc>
        <w:tc>
          <w:tcPr>
            <w:tcW w:w="1113" w:type="dxa"/>
            <w:tcBorders>
              <w:top w:val="nil"/>
              <w:left w:val="nil"/>
              <w:bottom w:val="nil"/>
              <w:right w:val="nil"/>
            </w:tcBorders>
            <w:shd w:val="clear" w:color="000000" w:fill="FFFFFF"/>
            <w:noWrap/>
            <w:hideMark/>
          </w:tcPr>
          <w:p w14:paraId="25EBDF2F" w14:textId="77777777" w:rsidR="001B6918" w:rsidRPr="00CD23C6" w:rsidRDefault="001B6918" w:rsidP="00730ECF">
            <w:pPr>
              <w:jc w:val="right"/>
              <w:rPr>
                <w:rFonts w:eastAsia="Times New Roman" w:cstheme="minorHAnsi"/>
                <w:color w:val="FF0000"/>
                <w:sz w:val="20"/>
                <w:szCs w:val="20"/>
              </w:rPr>
            </w:pPr>
            <w:r w:rsidRPr="00CD23C6">
              <w:rPr>
                <w:rFonts w:cstheme="minorHAnsi"/>
                <w:sz w:val="20"/>
                <w:szCs w:val="20"/>
              </w:rPr>
              <w:t xml:space="preserve"> $</w:t>
            </w:r>
            <w:r>
              <w:rPr>
                <w:rFonts w:cstheme="minorHAnsi"/>
                <w:sz w:val="20"/>
                <w:szCs w:val="20"/>
              </w:rPr>
              <w:t xml:space="preserve">       </w:t>
            </w:r>
            <w:r w:rsidRPr="00CD23C6">
              <w:rPr>
                <w:rFonts w:cstheme="minorHAnsi"/>
                <w:sz w:val="20"/>
                <w:szCs w:val="20"/>
              </w:rPr>
              <w:t xml:space="preserve">- </w:t>
            </w:r>
          </w:p>
        </w:tc>
        <w:tc>
          <w:tcPr>
            <w:tcW w:w="1102" w:type="dxa"/>
            <w:tcBorders>
              <w:top w:val="nil"/>
              <w:left w:val="nil"/>
              <w:bottom w:val="nil"/>
              <w:right w:val="nil"/>
            </w:tcBorders>
            <w:shd w:val="clear" w:color="000000" w:fill="FFFFFF"/>
            <w:noWrap/>
            <w:vAlign w:val="bottom"/>
            <w:hideMark/>
          </w:tcPr>
          <w:p w14:paraId="64DDCCDD" w14:textId="77777777" w:rsidR="001B6918" w:rsidRPr="00CE5579" w:rsidRDefault="001B6918" w:rsidP="00730ECF">
            <w:pPr>
              <w:jc w:val="center"/>
              <w:rPr>
                <w:rFonts w:ascii="Calibri" w:eastAsia="Times New Roman" w:hAnsi="Calibri" w:cs="Calibri"/>
                <w:color w:val="FF0000"/>
                <w:sz w:val="20"/>
                <w:szCs w:val="20"/>
              </w:rPr>
            </w:pPr>
          </w:p>
        </w:tc>
        <w:tc>
          <w:tcPr>
            <w:tcW w:w="1509" w:type="dxa"/>
            <w:tcBorders>
              <w:top w:val="nil"/>
              <w:left w:val="nil"/>
              <w:bottom w:val="nil"/>
              <w:right w:val="nil"/>
            </w:tcBorders>
            <w:shd w:val="clear" w:color="000000" w:fill="FFFFFF"/>
            <w:noWrap/>
            <w:vAlign w:val="bottom"/>
            <w:hideMark/>
          </w:tcPr>
          <w:p w14:paraId="2C091C5E" w14:textId="77777777" w:rsidR="001B6918" w:rsidRPr="005D19AA" w:rsidRDefault="001B6918" w:rsidP="00730ECF">
            <w:pPr>
              <w:jc w:val="center"/>
              <w:rPr>
                <w:rFonts w:ascii="Calibri" w:eastAsia="Times New Roman" w:hAnsi="Calibri" w:cs="Calibri"/>
                <w:color w:val="FF0000"/>
                <w:sz w:val="20"/>
                <w:szCs w:val="20"/>
              </w:rPr>
            </w:pPr>
          </w:p>
        </w:tc>
        <w:tc>
          <w:tcPr>
            <w:tcW w:w="2480" w:type="dxa"/>
            <w:tcBorders>
              <w:top w:val="nil"/>
              <w:left w:val="nil"/>
              <w:bottom w:val="nil"/>
              <w:right w:val="nil"/>
            </w:tcBorders>
            <w:shd w:val="clear" w:color="000000" w:fill="FFFFFF"/>
            <w:noWrap/>
            <w:vAlign w:val="bottom"/>
            <w:hideMark/>
          </w:tcPr>
          <w:p w14:paraId="74921311" w14:textId="77777777" w:rsidR="001B6918" w:rsidRPr="00E21531" w:rsidRDefault="001B6918" w:rsidP="00730ECF">
            <w:pPr>
              <w:rPr>
                <w:rFonts w:ascii="Calibri" w:eastAsia="Times New Roman" w:hAnsi="Calibri" w:cs="Calibri"/>
                <w:color w:val="FF0000"/>
                <w:sz w:val="20"/>
                <w:szCs w:val="20"/>
              </w:rPr>
            </w:pPr>
            <w:r w:rsidRPr="00E21531">
              <w:rPr>
                <w:rFonts w:ascii="Calibri" w:eastAsia="Times New Roman" w:hAnsi="Calibri" w:cs="Calibri"/>
                <w:color w:val="FF0000"/>
                <w:sz w:val="20"/>
                <w:szCs w:val="20"/>
              </w:rPr>
              <w:t> </w:t>
            </w:r>
          </w:p>
        </w:tc>
      </w:tr>
      <w:tr w:rsidR="00CE2413" w:rsidRPr="00B03F0B" w14:paraId="35D872AD" w14:textId="77777777" w:rsidTr="00CE2413">
        <w:trPr>
          <w:trHeight w:val="117"/>
          <w:jc w:val="center"/>
        </w:trPr>
        <w:tc>
          <w:tcPr>
            <w:tcW w:w="4320" w:type="dxa"/>
            <w:tcBorders>
              <w:top w:val="nil"/>
              <w:left w:val="nil"/>
              <w:bottom w:val="nil"/>
              <w:right w:val="nil"/>
            </w:tcBorders>
            <w:shd w:val="clear" w:color="000000" w:fill="FFFFFF"/>
            <w:noWrap/>
            <w:vAlign w:val="bottom"/>
          </w:tcPr>
          <w:p w14:paraId="4B3E169B" w14:textId="77777777" w:rsidR="001B6918" w:rsidRPr="00B03F0B" w:rsidRDefault="001B6918" w:rsidP="00730ECF">
            <w:pPr>
              <w:ind w:firstLineChars="123" w:firstLine="246"/>
              <w:rPr>
                <w:rFonts w:ascii="Calibri" w:eastAsia="Times New Roman" w:hAnsi="Calibri" w:cs="Calibri"/>
                <w:color w:val="0D0D0D"/>
                <w:sz w:val="20"/>
                <w:szCs w:val="20"/>
              </w:rPr>
            </w:pPr>
            <w:r>
              <w:rPr>
                <w:rFonts w:ascii="Calibri" w:eastAsia="Times New Roman" w:hAnsi="Calibri" w:cs="Calibri"/>
                <w:color w:val="0D0D0D"/>
                <w:sz w:val="20"/>
                <w:szCs w:val="20"/>
              </w:rPr>
              <w:t xml:space="preserve">    Equity securities</w:t>
            </w:r>
          </w:p>
        </w:tc>
        <w:tc>
          <w:tcPr>
            <w:tcW w:w="1260" w:type="dxa"/>
            <w:tcBorders>
              <w:top w:val="nil"/>
              <w:left w:val="nil"/>
              <w:bottom w:val="nil"/>
              <w:right w:val="nil"/>
            </w:tcBorders>
            <w:shd w:val="clear" w:color="000000" w:fill="FFFFFF"/>
            <w:noWrap/>
          </w:tcPr>
          <w:p w14:paraId="27F60749" w14:textId="77777777" w:rsidR="001B6918" w:rsidRPr="00CD23C6" w:rsidRDefault="001B6918" w:rsidP="00730ECF">
            <w:pPr>
              <w:jc w:val="right"/>
              <w:rPr>
                <w:rFonts w:eastAsia="Times New Roman" w:cstheme="minorHAnsi"/>
                <w:color w:val="FF0000"/>
                <w:sz w:val="20"/>
                <w:szCs w:val="20"/>
              </w:rPr>
            </w:pPr>
            <w:r w:rsidRPr="00CD23C6">
              <w:rPr>
                <w:rFonts w:cstheme="minorHAnsi"/>
                <w:sz w:val="20"/>
                <w:szCs w:val="20"/>
              </w:rPr>
              <w:t xml:space="preserve"> 4,374 </w:t>
            </w:r>
          </w:p>
        </w:tc>
        <w:tc>
          <w:tcPr>
            <w:tcW w:w="1080" w:type="dxa"/>
            <w:tcBorders>
              <w:top w:val="nil"/>
              <w:left w:val="nil"/>
              <w:bottom w:val="nil"/>
              <w:right w:val="nil"/>
            </w:tcBorders>
            <w:shd w:val="clear" w:color="000000" w:fill="FFFFFF"/>
            <w:noWrap/>
          </w:tcPr>
          <w:p w14:paraId="2482403B" w14:textId="77777777" w:rsidR="001B6918" w:rsidRPr="00CD23C6" w:rsidRDefault="001B6918" w:rsidP="00730ECF">
            <w:pPr>
              <w:jc w:val="right"/>
              <w:rPr>
                <w:rFonts w:eastAsia="Times New Roman" w:cstheme="minorHAnsi"/>
                <w:color w:val="FF0000"/>
                <w:sz w:val="20"/>
                <w:szCs w:val="20"/>
              </w:rPr>
            </w:pPr>
            <w:r w:rsidRPr="00CD23C6">
              <w:rPr>
                <w:rFonts w:cstheme="minorHAnsi"/>
                <w:sz w:val="20"/>
                <w:szCs w:val="20"/>
              </w:rPr>
              <w:t xml:space="preserve"> 4,374 </w:t>
            </w:r>
          </w:p>
        </w:tc>
        <w:tc>
          <w:tcPr>
            <w:tcW w:w="1260" w:type="dxa"/>
            <w:tcBorders>
              <w:top w:val="nil"/>
              <w:left w:val="nil"/>
              <w:bottom w:val="nil"/>
              <w:right w:val="nil"/>
            </w:tcBorders>
            <w:shd w:val="clear" w:color="000000" w:fill="FFFFFF"/>
            <w:noWrap/>
          </w:tcPr>
          <w:p w14:paraId="33E6E091" w14:textId="77777777" w:rsidR="001B6918" w:rsidRPr="00CD23C6" w:rsidRDefault="001B6918" w:rsidP="00730ECF">
            <w:pPr>
              <w:jc w:val="right"/>
              <w:rPr>
                <w:rFonts w:eastAsia="Times New Roman" w:cstheme="minorHAnsi"/>
                <w:color w:val="FF0000"/>
                <w:sz w:val="20"/>
                <w:szCs w:val="20"/>
              </w:rPr>
            </w:pPr>
            <w:r w:rsidRPr="00CD23C6">
              <w:rPr>
                <w:rFonts w:cstheme="minorHAnsi"/>
                <w:sz w:val="20"/>
                <w:szCs w:val="20"/>
              </w:rPr>
              <w:t xml:space="preserve"> - </w:t>
            </w:r>
          </w:p>
        </w:tc>
        <w:tc>
          <w:tcPr>
            <w:tcW w:w="1113" w:type="dxa"/>
            <w:tcBorders>
              <w:top w:val="nil"/>
              <w:left w:val="nil"/>
              <w:bottom w:val="nil"/>
              <w:right w:val="nil"/>
            </w:tcBorders>
            <w:shd w:val="clear" w:color="000000" w:fill="FFFFFF"/>
            <w:noWrap/>
          </w:tcPr>
          <w:p w14:paraId="3B41D8F1" w14:textId="77777777" w:rsidR="001B6918" w:rsidRPr="00CD23C6" w:rsidRDefault="001B6918" w:rsidP="00730ECF">
            <w:pPr>
              <w:jc w:val="right"/>
              <w:rPr>
                <w:rFonts w:eastAsia="Times New Roman" w:cstheme="minorHAnsi"/>
                <w:color w:val="FF0000"/>
                <w:sz w:val="20"/>
                <w:szCs w:val="20"/>
              </w:rPr>
            </w:pPr>
            <w:r w:rsidRPr="00CD23C6">
              <w:rPr>
                <w:rFonts w:cstheme="minorHAnsi"/>
                <w:sz w:val="20"/>
                <w:szCs w:val="20"/>
              </w:rPr>
              <w:t xml:space="preserve"> - </w:t>
            </w:r>
          </w:p>
        </w:tc>
        <w:tc>
          <w:tcPr>
            <w:tcW w:w="1102" w:type="dxa"/>
            <w:tcBorders>
              <w:top w:val="nil"/>
              <w:left w:val="nil"/>
              <w:bottom w:val="nil"/>
              <w:right w:val="nil"/>
            </w:tcBorders>
            <w:shd w:val="clear" w:color="000000" w:fill="FFFFFF"/>
            <w:noWrap/>
            <w:vAlign w:val="bottom"/>
          </w:tcPr>
          <w:p w14:paraId="682C6D37" w14:textId="77777777" w:rsidR="001B6918" w:rsidRPr="00CE5579" w:rsidRDefault="001B6918" w:rsidP="00730ECF">
            <w:pPr>
              <w:jc w:val="center"/>
              <w:rPr>
                <w:rFonts w:ascii="Calibri" w:eastAsia="Times New Roman" w:hAnsi="Calibri" w:cs="Calibri"/>
                <w:color w:val="FF0000"/>
                <w:sz w:val="20"/>
                <w:szCs w:val="20"/>
              </w:rPr>
            </w:pPr>
          </w:p>
        </w:tc>
        <w:tc>
          <w:tcPr>
            <w:tcW w:w="1509" w:type="dxa"/>
            <w:tcBorders>
              <w:top w:val="nil"/>
              <w:left w:val="nil"/>
              <w:bottom w:val="nil"/>
              <w:right w:val="nil"/>
            </w:tcBorders>
            <w:shd w:val="clear" w:color="000000" w:fill="FFFFFF"/>
            <w:noWrap/>
            <w:vAlign w:val="bottom"/>
          </w:tcPr>
          <w:p w14:paraId="0B66C4C1" w14:textId="77777777" w:rsidR="001B6918" w:rsidRPr="005D19AA" w:rsidRDefault="001B6918" w:rsidP="00730ECF">
            <w:pPr>
              <w:jc w:val="center"/>
              <w:rPr>
                <w:rFonts w:ascii="Calibri" w:eastAsia="Times New Roman" w:hAnsi="Calibri" w:cs="Calibri"/>
                <w:color w:val="FF0000"/>
                <w:sz w:val="20"/>
                <w:szCs w:val="20"/>
              </w:rPr>
            </w:pPr>
          </w:p>
        </w:tc>
        <w:tc>
          <w:tcPr>
            <w:tcW w:w="2480" w:type="dxa"/>
            <w:tcBorders>
              <w:top w:val="nil"/>
              <w:left w:val="nil"/>
              <w:bottom w:val="nil"/>
              <w:right w:val="nil"/>
            </w:tcBorders>
            <w:shd w:val="clear" w:color="000000" w:fill="FFFFFF"/>
            <w:noWrap/>
            <w:vAlign w:val="bottom"/>
          </w:tcPr>
          <w:p w14:paraId="0096D790" w14:textId="77777777" w:rsidR="001B6918" w:rsidRPr="00E21531" w:rsidRDefault="001B6918" w:rsidP="00730ECF">
            <w:pPr>
              <w:rPr>
                <w:rFonts w:ascii="Calibri" w:eastAsia="Times New Roman" w:hAnsi="Calibri" w:cs="Calibri"/>
                <w:color w:val="FF0000"/>
                <w:sz w:val="20"/>
                <w:szCs w:val="20"/>
              </w:rPr>
            </w:pPr>
          </w:p>
        </w:tc>
      </w:tr>
      <w:tr w:rsidR="00CE2413" w:rsidRPr="00B03F0B" w14:paraId="2E8FE2FC" w14:textId="77777777" w:rsidTr="00CE2413">
        <w:trPr>
          <w:trHeight w:val="117"/>
          <w:jc w:val="center"/>
        </w:trPr>
        <w:tc>
          <w:tcPr>
            <w:tcW w:w="4320" w:type="dxa"/>
            <w:tcBorders>
              <w:top w:val="nil"/>
              <w:left w:val="nil"/>
              <w:bottom w:val="nil"/>
              <w:right w:val="nil"/>
            </w:tcBorders>
            <w:shd w:val="clear" w:color="000000" w:fill="FFFFFF"/>
            <w:noWrap/>
            <w:vAlign w:val="bottom"/>
            <w:hideMark/>
          </w:tcPr>
          <w:p w14:paraId="4BB415A3" w14:textId="77777777" w:rsidR="001B6918" w:rsidRPr="00B03F0B" w:rsidRDefault="001B6918" w:rsidP="00730ECF">
            <w:pPr>
              <w:ind w:firstLineChars="100" w:firstLine="200"/>
              <w:rPr>
                <w:rFonts w:ascii="Calibri" w:eastAsia="Times New Roman" w:hAnsi="Calibri" w:cs="Calibri"/>
                <w:color w:val="0D0D0D"/>
                <w:sz w:val="20"/>
                <w:szCs w:val="20"/>
              </w:rPr>
            </w:pPr>
            <w:r w:rsidRPr="00B03F0B">
              <w:rPr>
                <w:rFonts w:ascii="Calibri" w:eastAsia="Times New Roman" w:hAnsi="Calibri" w:cs="Calibri"/>
                <w:color w:val="0D0D0D"/>
                <w:sz w:val="20"/>
                <w:szCs w:val="20"/>
              </w:rPr>
              <w:t>Fixed income funds:</w:t>
            </w:r>
          </w:p>
        </w:tc>
        <w:tc>
          <w:tcPr>
            <w:tcW w:w="1260" w:type="dxa"/>
            <w:tcBorders>
              <w:top w:val="nil"/>
              <w:left w:val="nil"/>
              <w:bottom w:val="nil"/>
              <w:right w:val="nil"/>
            </w:tcBorders>
            <w:shd w:val="clear" w:color="000000" w:fill="FFFFFF"/>
            <w:noWrap/>
            <w:hideMark/>
          </w:tcPr>
          <w:p w14:paraId="56AEFBC2" w14:textId="77777777" w:rsidR="001B6918" w:rsidRPr="00CD23C6" w:rsidRDefault="001B6918" w:rsidP="00730ECF">
            <w:pPr>
              <w:jc w:val="right"/>
              <w:rPr>
                <w:rFonts w:eastAsia="Times New Roman" w:cstheme="minorHAnsi"/>
                <w:color w:val="FF0000"/>
                <w:sz w:val="20"/>
                <w:szCs w:val="20"/>
              </w:rPr>
            </w:pPr>
          </w:p>
        </w:tc>
        <w:tc>
          <w:tcPr>
            <w:tcW w:w="1080" w:type="dxa"/>
            <w:tcBorders>
              <w:top w:val="nil"/>
              <w:left w:val="nil"/>
              <w:bottom w:val="nil"/>
              <w:right w:val="nil"/>
            </w:tcBorders>
            <w:shd w:val="clear" w:color="000000" w:fill="FFFFFF"/>
            <w:noWrap/>
            <w:hideMark/>
          </w:tcPr>
          <w:p w14:paraId="11FD30C0" w14:textId="77777777" w:rsidR="001B6918" w:rsidRPr="00CD23C6" w:rsidRDefault="001B6918" w:rsidP="00730ECF">
            <w:pPr>
              <w:jc w:val="right"/>
              <w:rPr>
                <w:rFonts w:eastAsia="Times New Roman" w:cstheme="minorHAnsi"/>
                <w:color w:val="FF0000"/>
                <w:sz w:val="20"/>
                <w:szCs w:val="20"/>
              </w:rPr>
            </w:pPr>
          </w:p>
        </w:tc>
        <w:tc>
          <w:tcPr>
            <w:tcW w:w="1260" w:type="dxa"/>
            <w:tcBorders>
              <w:top w:val="nil"/>
              <w:left w:val="nil"/>
              <w:bottom w:val="nil"/>
              <w:right w:val="nil"/>
            </w:tcBorders>
            <w:shd w:val="clear" w:color="000000" w:fill="FFFFFF"/>
            <w:noWrap/>
            <w:hideMark/>
          </w:tcPr>
          <w:p w14:paraId="3943DF1C" w14:textId="77777777" w:rsidR="001B6918" w:rsidRPr="00CD23C6" w:rsidRDefault="001B6918" w:rsidP="00730ECF">
            <w:pPr>
              <w:jc w:val="right"/>
              <w:rPr>
                <w:rFonts w:eastAsia="Times New Roman" w:cstheme="minorHAnsi"/>
                <w:color w:val="FF0000"/>
                <w:sz w:val="20"/>
                <w:szCs w:val="20"/>
              </w:rPr>
            </w:pPr>
          </w:p>
        </w:tc>
        <w:tc>
          <w:tcPr>
            <w:tcW w:w="1113" w:type="dxa"/>
            <w:tcBorders>
              <w:top w:val="nil"/>
              <w:left w:val="nil"/>
              <w:bottom w:val="nil"/>
              <w:right w:val="nil"/>
            </w:tcBorders>
            <w:shd w:val="clear" w:color="000000" w:fill="FFFFFF"/>
            <w:noWrap/>
            <w:hideMark/>
          </w:tcPr>
          <w:p w14:paraId="7BD31933" w14:textId="77777777" w:rsidR="001B6918" w:rsidRPr="00CD23C6" w:rsidRDefault="001B6918" w:rsidP="00730ECF">
            <w:pPr>
              <w:jc w:val="right"/>
              <w:rPr>
                <w:rFonts w:eastAsia="Times New Roman" w:cstheme="minorHAnsi"/>
                <w:color w:val="FF0000"/>
                <w:sz w:val="20"/>
                <w:szCs w:val="20"/>
              </w:rPr>
            </w:pPr>
          </w:p>
        </w:tc>
        <w:tc>
          <w:tcPr>
            <w:tcW w:w="1102" w:type="dxa"/>
            <w:tcBorders>
              <w:top w:val="nil"/>
              <w:left w:val="nil"/>
              <w:bottom w:val="nil"/>
              <w:right w:val="nil"/>
            </w:tcBorders>
            <w:shd w:val="clear" w:color="000000" w:fill="FFFFFF"/>
            <w:noWrap/>
            <w:vAlign w:val="bottom"/>
            <w:hideMark/>
          </w:tcPr>
          <w:p w14:paraId="6C7AA62C" w14:textId="77777777" w:rsidR="001B6918" w:rsidRPr="00CE5579" w:rsidRDefault="001B6918" w:rsidP="00730ECF">
            <w:pPr>
              <w:jc w:val="center"/>
              <w:rPr>
                <w:rFonts w:ascii="Calibri" w:eastAsia="Times New Roman" w:hAnsi="Calibri" w:cs="Calibri"/>
                <w:color w:val="FF0000"/>
                <w:sz w:val="20"/>
                <w:szCs w:val="20"/>
              </w:rPr>
            </w:pPr>
          </w:p>
        </w:tc>
        <w:tc>
          <w:tcPr>
            <w:tcW w:w="1509" w:type="dxa"/>
            <w:tcBorders>
              <w:top w:val="nil"/>
              <w:left w:val="nil"/>
              <w:bottom w:val="nil"/>
              <w:right w:val="nil"/>
            </w:tcBorders>
            <w:shd w:val="clear" w:color="000000" w:fill="FFFFFF"/>
            <w:noWrap/>
            <w:vAlign w:val="bottom"/>
            <w:hideMark/>
          </w:tcPr>
          <w:p w14:paraId="3845CE83" w14:textId="77777777" w:rsidR="001B6918" w:rsidRPr="005D19AA" w:rsidRDefault="001B6918" w:rsidP="00730ECF">
            <w:pPr>
              <w:jc w:val="center"/>
              <w:rPr>
                <w:rFonts w:ascii="Calibri" w:eastAsia="Times New Roman" w:hAnsi="Calibri" w:cs="Calibri"/>
                <w:color w:val="FF0000"/>
                <w:sz w:val="20"/>
                <w:szCs w:val="20"/>
              </w:rPr>
            </w:pPr>
          </w:p>
        </w:tc>
        <w:tc>
          <w:tcPr>
            <w:tcW w:w="2480" w:type="dxa"/>
            <w:tcBorders>
              <w:top w:val="nil"/>
              <w:left w:val="nil"/>
              <w:bottom w:val="nil"/>
              <w:right w:val="nil"/>
            </w:tcBorders>
            <w:shd w:val="clear" w:color="000000" w:fill="FFFFFF"/>
            <w:noWrap/>
            <w:vAlign w:val="bottom"/>
            <w:hideMark/>
          </w:tcPr>
          <w:p w14:paraId="69103A0D" w14:textId="77777777" w:rsidR="001B6918" w:rsidRPr="00E21531" w:rsidRDefault="001B6918" w:rsidP="00730ECF">
            <w:pPr>
              <w:rPr>
                <w:rFonts w:ascii="Calibri" w:eastAsia="Times New Roman" w:hAnsi="Calibri" w:cs="Calibri"/>
                <w:color w:val="FF0000"/>
                <w:sz w:val="20"/>
                <w:szCs w:val="20"/>
              </w:rPr>
            </w:pPr>
            <w:r w:rsidRPr="00E21531">
              <w:rPr>
                <w:rFonts w:ascii="Calibri" w:eastAsia="Times New Roman" w:hAnsi="Calibri" w:cs="Calibri"/>
                <w:color w:val="FF0000"/>
                <w:sz w:val="20"/>
                <w:szCs w:val="20"/>
              </w:rPr>
              <w:t> </w:t>
            </w:r>
          </w:p>
        </w:tc>
      </w:tr>
      <w:tr w:rsidR="00CE2413" w:rsidRPr="00B03F0B" w14:paraId="265BA10A" w14:textId="77777777" w:rsidTr="00CE2413">
        <w:trPr>
          <w:trHeight w:val="126"/>
          <w:jc w:val="center"/>
        </w:trPr>
        <w:tc>
          <w:tcPr>
            <w:tcW w:w="4320" w:type="dxa"/>
            <w:tcBorders>
              <w:top w:val="nil"/>
              <w:left w:val="nil"/>
              <w:bottom w:val="nil"/>
              <w:right w:val="nil"/>
            </w:tcBorders>
            <w:shd w:val="clear" w:color="000000" w:fill="FFFFFF"/>
            <w:noWrap/>
            <w:vAlign w:val="bottom"/>
            <w:hideMark/>
          </w:tcPr>
          <w:p w14:paraId="6103A45A" w14:textId="77777777" w:rsidR="001B6918" w:rsidRPr="00B03F0B" w:rsidRDefault="001B6918" w:rsidP="00730ECF">
            <w:pPr>
              <w:ind w:firstLineChars="200" w:firstLine="400"/>
              <w:rPr>
                <w:rFonts w:ascii="Calibri" w:eastAsia="Times New Roman" w:hAnsi="Calibri" w:cs="Calibri"/>
                <w:color w:val="0D0D0D"/>
                <w:sz w:val="20"/>
                <w:szCs w:val="20"/>
              </w:rPr>
            </w:pPr>
            <w:r w:rsidRPr="00B03F0B">
              <w:rPr>
                <w:rFonts w:ascii="Calibri" w:eastAsia="Times New Roman" w:hAnsi="Calibri" w:cs="Calibri"/>
                <w:color w:val="0D0D0D"/>
                <w:sz w:val="20"/>
                <w:szCs w:val="20"/>
              </w:rPr>
              <w:t>Bonds</w:t>
            </w:r>
          </w:p>
        </w:tc>
        <w:tc>
          <w:tcPr>
            <w:tcW w:w="1260" w:type="dxa"/>
            <w:tcBorders>
              <w:top w:val="nil"/>
              <w:left w:val="nil"/>
              <w:bottom w:val="nil"/>
              <w:right w:val="nil"/>
            </w:tcBorders>
            <w:shd w:val="clear" w:color="000000" w:fill="FFFFFF"/>
            <w:noWrap/>
            <w:hideMark/>
          </w:tcPr>
          <w:p w14:paraId="63C5037C" w14:textId="77777777" w:rsidR="001B6918" w:rsidRPr="00CD23C6" w:rsidRDefault="001B6918" w:rsidP="00730ECF">
            <w:pPr>
              <w:jc w:val="right"/>
              <w:rPr>
                <w:rFonts w:eastAsia="Times New Roman" w:cstheme="minorHAnsi"/>
                <w:color w:val="FF0000"/>
                <w:sz w:val="20"/>
                <w:szCs w:val="20"/>
              </w:rPr>
            </w:pPr>
            <w:r w:rsidRPr="00CD23C6">
              <w:rPr>
                <w:rFonts w:cstheme="minorHAnsi"/>
                <w:sz w:val="20"/>
                <w:szCs w:val="20"/>
              </w:rPr>
              <w:t xml:space="preserve"> 107,839 </w:t>
            </w:r>
          </w:p>
        </w:tc>
        <w:tc>
          <w:tcPr>
            <w:tcW w:w="1080" w:type="dxa"/>
            <w:tcBorders>
              <w:top w:val="nil"/>
              <w:left w:val="nil"/>
              <w:bottom w:val="nil"/>
              <w:right w:val="nil"/>
            </w:tcBorders>
            <w:shd w:val="clear" w:color="000000" w:fill="FFFFFF"/>
            <w:noWrap/>
            <w:hideMark/>
          </w:tcPr>
          <w:p w14:paraId="18239061" w14:textId="77777777" w:rsidR="001B6918" w:rsidRPr="00CD23C6" w:rsidRDefault="001B6918" w:rsidP="00730ECF">
            <w:pPr>
              <w:jc w:val="right"/>
              <w:rPr>
                <w:rFonts w:eastAsia="Times New Roman" w:cstheme="minorHAnsi"/>
                <w:color w:val="FF0000"/>
                <w:sz w:val="20"/>
                <w:szCs w:val="20"/>
              </w:rPr>
            </w:pPr>
            <w:r w:rsidRPr="00CD23C6">
              <w:rPr>
                <w:rFonts w:cstheme="minorHAnsi"/>
                <w:sz w:val="20"/>
                <w:szCs w:val="20"/>
              </w:rPr>
              <w:t xml:space="preserve"> 38,395 </w:t>
            </w:r>
          </w:p>
        </w:tc>
        <w:tc>
          <w:tcPr>
            <w:tcW w:w="1260" w:type="dxa"/>
            <w:tcBorders>
              <w:top w:val="nil"/>
              <w:left w:val="nil"/>
              <w:bottom w:val="nil"/>
              <w:right w:val="nil"/>
            </w:tcBorders>
            <w:shd w:val="clear" w:color="000000" w:fill="FFFFFF"/>
            <w:noWrap/>
            <w:hideMark/>
          </w:tcPr>
          <w:p w14:paraId="27669508" w14:textId="77777777" w:rsidR="001B6918" w:rsidRPr="00CD23C6" w:rsidRDefault="001B6918" w:rsidP="00730ECF">
            <w:pPr>
              <w:jc w:val="right"/>
              <w:rPr>
                <w:rFonts w:eastAsia="Times New Roman" w:cstheme="minorHAnsi"/>
                <w:color w:val="FF0000"/>
                <w:sz w:val="20"/>
                <w:szCs w:val="20"/>
              </w:rPr>
            </w:pPr>
            <w:r w:rsidRPr="00CD23C6">
              <w:rPr>
                <w:rFonts w:cstheme="minorHAnsi"/>
                <w:sz w:val="20"/>
                <w:szCs w:val="20"/>
              </w:rPr>
              <w:t xml:space="preserve"> 69,444 </w:t>
            </w:r>
          </w:p>
        </w:tc>
        <w:tc>
          <w:tcPr>
            <w:tcW w:w="1113" w:type="dxa"/>
            <w:tcBorders>
              <w:top w:val="nil"/>
              <w:left w:val="nil"/>
              <w:bottom w:val="nil"/>
              <w:right w:val="nil"/>
            </w:tcBorders>
            <w:shd w:val="clear" w:color="000000" w:fill="FFFFFF"/>
            <w:noWrap/>
            <w:hideMark/>
          </w:tcPr>
          <w:p w14:paraId="25702BCD" w14:textId="77777777" w:rsidR="001B6918" w:rsidRPr="00CD23C6" w:rsidRDefault="001B6918" w:rsidP="00730ECF">
            <w:pPr>
              <w:jc w:val="right"/>
              <w:rPr>
                <w:rFonts w:eastAsia="Times New Roman" w:cstheme="minorHAnsi"/>
                <w:color w:val="FF0000"/>
                <w:sz w:val="20"/>
                <w:szCs w:val="20"/>
              </w:rPr>
            </w:pPr>
            <w:r w:rsidRPr="00CD23C6">
              <w:rPr>
                <w:rFonts w:cstheme="minorHAnsi"/>
                <w:sz w:val="20"/>
                <w:szCs w:val="20"/>
              </w:rPr>
              <w:t xml:space="preserve"> - </w:t>
            </w:r>
          </w:p>
        </w:tc>
        <w:tc>
          <w:tcPr>
            <w:tcW w:w="1102" w:type="dxa"/>
            <w:tcBorders>
              <w:top w:val="nil"/>
              <w:left w:val="nil"/>
              <w:bottom w:val="nil"/>
              <w:right w:val="nil"/>
            </w:tcBorders>
            <w:shd w:val="clear" w:color="000000" w:fill="FFFFFF"/>
            <w:noWrap/>
            <w:vAlign w:val="bottom"/>
            <w:hideMark/>
          </w:tcPr>
          <w:p w14:paraId="5B4D0D6B" w14:textId="77777777" w:rsidR="001B6918" w:rsidRPr="00CD23C6" w:rsidRDefault="001B6918" w:rsidP="00730ECF">
            <w:pPr>
              <w:jc w:val="center"/>
              <w:rPr>
                <w:rFonts w:ascii="Calibri" w:eastAsia="Times New Roman" w:hAnsi="Calibri" w:cs="Calibri"/>
                <w:sz w:val="20"/>
                <w:szCs w:val="20"/>
              </w:rPr>
            </w:pPr>
            <w:r w:rsidRPr="00CD23C6">
              <w:rPr>
                <w:rFonts w:ascii="Calibri" w:eastAsia="Times New Roman" w:hAnsi="Calibri" w:cs="Calibri"/>
                <w:sz w:val="20"/>
                <w:szCs w:val="20"/>
              </w:rPr>
              <w:t>Not rated</w:t>
            </w:r>
          </w:p>
        </w:tc>
        <w:tc>
          <w:tcPr>
            <w:tcW w:w="1509" w:type="dxa"/>
            <w:tcBorders>
              <w:top w:val="nil"/>
              <w:left w:val="nil"/>
              <w:bottom w:val="nil"/>
              <w:right w:val="nil"/>
            </w:tcBorders>
            <w:shd w:val="clear" w:color="000000" w:fill="FFFFFF"/>
            <w:noWrap/>
            <w:vAlign w:val="bottom"/>
            <w:hideMark/>
          </w:tcPr>
          <w:p w14:paraId="3608B9AF" w14:textId="77777777" w:rsidR="001B6918" w:rsidRPr="00CD23C6" w:rsidRDefault="001B6918" w:rsidP="00730ECF">
            <w:pPr>
              <w:jc w:val="center"/>
              <w:rPr>
                <w:rFonts w:ascii="Calibri" w:eastAsia="Times New Roman" w:hAnsi="Calibri" w:cs="Calibri"/>
                <w:sz w:val="20"/>
                <w:szCs w:val="20"/>
              </w:rPr>
            </w:pPr>
            <w:r w:rsidRPr="00CD23C6">
              <w:rPr>
                <w:rFonts w:ascii="Calibri" w:eastAsia="Times New Roman" w:hAnsi="Calibri" w:cs="Calibri"/>
                <w:sz w:val="20"/>
                <w:szCs w:val="20"/>
              </w:rPr>
              <w:t>1.9-6.1 years</w:t>
            </w:r>
          </w:p>
        </w:tc>
        <w:tc>
          <w:tcPr>
            <w:tcW w:w="2480" w:type="dxa"/>
            <w:tcBorders>
              <w:top w:val="nil"/>
              <w:left w:val="nil"/>
              <w:bottom w:val="nil"/>
              <w:right w:val="nil"/>
            </w:tcBorders>
            <w:shd w:val="clear" w:color="000000" w:fill="FFFFFF"/>
            <w:noWrap/>
            <w:vAlign w:val="bottom"/>
            <w:hideMark/>
          </w:tcPr>
          <w:p w14:paraId="07C83310" w14:textId="77777777" w:rsidR="001B6918" w:rsidRPr="00CD23C6" w:rsidRDefault="001B6918" w:rsidP="00730ECF">
            <w:pPr>
              <w:rPr>
                <w:rFonts w:ascii="Calibri" w:eastAsia="Times New Roman" w:hAnsi="Calibri" w:cs="Calibri"/>
                <w:sz w:val="20"/>
                <w:szCs w:val="20"/>
              </w:rPr>
            </w:pPr>
            <w:r w:rsidRPr="00CD23C6">
              <w:rPr>
                <w:rFonts w:ascii="Calibri" w:eastAsia="Times New Roman" w:hAnsi="Calibri" w:cs="Calibri"/>
                <w:sz w:val="20"/>
                <w:szCs w:val="20"/>
              </w:rPr>
              <w:t>Duration</w:t>
            </w:r>
          </w:p>
        </w:tc>
      </w:tr>
      <w:tr w:rsidR="00CE2413" w:rsidRPr="00B03F0B" w14:paraId="5C180B60" w14:textId="77777777" w:rsidTr="00CE2413">
        <w:trPr>
          <w:trHeight w:val="95"/>
          <w:jc w:val="center"/>
        </w:trPr>
        <w:tc>
          <w:tcPr>
            <w:tcW w:w="4320" w:type="dxa"/>
            <w:tcBorders>
              <w:top w:val="nil"/>
              <w:left w:val="nil"/>
              <w:bottom w:val="single" w:sz="4" w:space="0" w:color="000000"/>
              <w:right w:val="nil"/>
            </w:tcBorders>
            <w:shd w:val="clear" w:color="000000" w:fill="FFFFFF"/>
            <w:noWrap/>
            <w:vAlign w:val="bottom"/>
            <w:hideMark/>
          </w:tcPr>
          <w:p w14:paraId="243DC743" w14:textId="77777777" w:rsidR="001B6918" w:rsidRPr="00B03F0B" w:rsidRDefault="001B6918" w:rsidP="00730ECF">
            <w:pPr>
              <w:rPr>
                <w:rFonts w:ascii="Calibri" w:eastAsia="Times New Roman" w:hAnsi="Calibri" w:cs="Calibri"/>
                <w:color w:val="0D0D0D"/>
                <w:sz w:val="20"/>
                <w:szCs w:val="20"/>
              </w:rPr>
            </w:pPr>
            <w:r w:rsidRPr="00B03F0B">
              <w:rPr>
                <w:rFonts w:ascii="Calibri" w:eastAsia="Times New Roman" w:hAnsi="Calibri" w:cs="Calibri"/>
                <w:color w:val="0D0D0D"/>
                <w:sz w:val="20"/>
                <w:szCs w:val="20"/>
              </w:rPr>
              <w:t>Money markets</w:t>
            </w:r>
          </w:p>
        </w:tc>
        <w:tc>
          <w:tcPr>
            <w:tcW w:w="1260" w:type="dxa"/>
            <w:tcBorders>
              <w:top w:val="nil"/>
              <w:left w:val="nil"/>
              <w:bottom w:val="single" w:sz="4" w:space="0" w:color="000000"/>
              <w:right w:val="nil"/>
            </w:tcBorders>
            <w:shd w:val="clear" w:color="000000" w:fill="FFFFFF"/>
            <w:noWrap/>
            <w:hideMark/>
          </w:tcPr>
          <w:p w14:paraId="71122BE1" w14:textId="77777777" w:rsidR="001B6918" w:rsidRPr="00CD23C6" w:rsidRDefault="001B6918" w:rsidP="00730ECF">
            <w:pPr>
              <w:jc w:val="right"/>
              <w:rPr>
                <w:rFonts w:eastAsia="Times New Roman" w:cstheme="minorHAnsi"/>
                <w:color w:val="FF0000"/>
                <w:sz w:val="20"/>
                <w:szCs w:val="20"/>
              </w:rPr>
            </w:pPr>
            <w:r w:rsidRPr="00CD23C6">
              <w:rPr>
                <w:rFonts w:cstheme="minorHAnsi"/>
                <w:sz w:val="20"/>
                <w:szCs w:val="20"/>
              </w:rPr>
              <w:t xml:space="preserve"> 37,991 </w:t>
            </w:r>
          </w:p>
        </w:tc>
        <w:tc>
          <w:tcPr>
            <w:tcW w:w="1080" w:type="dxa"/>
            <w:tcBorders>
              <w:top w:val="nil"/>
              <w:left w:val="nil"/>
              <w:bottom w:val="single" w:sz="4" w:space="0" w:color="000000"/>
              <w:right w:val="nil"/>
            </w:tcBorders>
            <w:shd w:val="clear" w:color="000000" w:fill="FFFFFF"/>
            <w:noWrap/>
            <w:hideMark/>
          </w:tcPr>
          <w:p w14:paraId="612A4F12" w14:textId="77777777" w:rsidR="001B6918" w:rsidRPr="00CD23C6" w:rsidRDefault="001B6918" w:rsidP="00730ECF">
            <w:pPr>
              <w:jc w:val="right"/>
              <w:rPr>
                <w:rFonts w:eastAsia="Times New Roman" w:cstheme="minorHAnsi"/>
                <w:color w:val="FF0000"/>
                <w:sz w:val="20"/>
                <w:szCs w:val="20"/>
              </w:rPr>
            </w:pPr>
            <w:r w:rsidRPr="00CD23C6">
              <w:rPr>
                <w:rFonts w:cstheme="minorHAnsi"/>
                <w:sz w:val="20"/>
                <w:szCs w:val="20"/>
              </w:rPr>
              <w:t xml:space="preserve"> 37,991 </w:t>
            </w:r>
          </w:p>
        </w:tc>
        <w:tc>
          <w:tcPr>
            <w:tcW w:w="1260" w:type="dxa"/>
            <w:tcBorders>
              <w:top w:val="nil"/>
              <w:left w:val="nil"/>
              <w:bottom w:val="single" w:sz="4" w:space="0" w:color="000000"/>
              <w:right w:val="nil"/>
            </w:tcBorders>
            <w:shd w:val="clear" w:color="000000" w:fill="FFFFFF"/>
            <w:noWrap/>
            <w:hideMark/>
          </w:tcPr>
          <w:p w14:paraId="2F285AF4" w14:textId="77777777" w:rsidR="001B6918" w:rsidRPr="00CD23C6" w:rsidRDefault="001B6918" w:rsidP="00730ECF">
            <w:pPr>
              <w:jc w:val="right"/>
              <w:rPr>
                <w:rFonts w:eastAsia="Times New Roman" w:cstheme="minorHAnsi"/>
                <w:color w:val="FF0000"/>
                <w:sz w:val="20"/>
                <w:szCs w:val="20"/>
              </w:rPr>
            </w:pPr>
            <w:r w:rsidRPr="00CD23C6">
              <w:rPr>
                <w:rFonts w:cstheme="minorHAnsi"/>
                <w:sz w:val="20"/>
                <w:szCs w:val="20"/>
              </w:rPr>
              <w:t xml:space="preserve"> - </w:t>
            </w:r>
          </w:p>
        </w:tc>
        <w:tc>
          <w:tcPr>
            <w:tcW w:w="1113" w:type="dxa"/>
            <w:tcBorders>
              <w:top w:val="nil"/>
              <w:left w:val="nil"/>
              <w:bottom w:val="single" w:sz="4" w:space="0" w:color="000000"/>
              <w:right w:val="nil"/>
            </w:tcBorders>
            <w:shd w:val="clear" w:color="000000" w:fill="FFFFFF"/>
            <w:noWrap/>
            <w:hideMark/>
          </w:tcPr>
          <w:p w14:paraId="3A360E52" w14:textId="77777777" w:rsidR="001B6918" w:rsidRPr="00CD23C6" w:rsidRDefault="001B6918" w:rsidP="00730ECF">
            <w:pPr>
              <w:jc w:val="right"/>
              <w:rPr>
                <w:rFonts w:eastAsia="Times New Roman" w:cstheme="minorHAnsi"/>
                <w:color w:val="FF0000"/>
                <w:sz w:val="20"/>
                <w:szCs w:val="20"/>
              </w:rPr>
            </w:pPr>
            <w:r w:rsidRPr="00CD23C6">
              <w:rPr>
                <w:rFonts w:cstheme="minorHAnsi"/>
                <w:sz w:val="20"/>
                <w:szCs w:val="20"/>
              </w:rPr>
              <w:t xml:space="preserve"> - </w:t>
            </w:r>
          </w:p>
        </w:tc>
        <w:tc>
          <w:tcPr>
            <w:tcW w:w="1102" w:type="dxa"/>
            <w:tcBorders>
              <w:top w:val="nil"/>
              <w:left w:val="nil"/>
              <w:bottom w:val="nil"/>
              <w:right w:val="nil"/>
            </w:tcBorders>
            <w:shd w:val="clear" w:color="000000" w:fill="FFFFFF"/>
            <w:noWrap/>
            <w:vAlign w:val="bottom"/>
            <w:hideMark/>
          </w:tcPr>
          <w:p w14:paraId="46D024CC" w14:textId="77777777" w:rsidR="001B6918" w:rsidRPr="00CD23C6" w:rsidRDefault="001B6918" w:rsidP="00730ECF">
            <w:pPr>
              <w:jc w:val="center"/>
              <w:rPr>
                <w:rFonts w:ascii="Calibri" w:eastAsia="Times New Roman" w:hAnsi="Calibri" w:cs="Calibri"/>
                <w:sz w:val="20"/>
                <w:szCs w:val="20"/>
              </w:rPr>
            </w:pPr>
            <w:r w:rsidRPr="00CD23C6">
              <w:rPr>
                <w:rFonts w:ascii="Calibri" w:eastAsia="Times New Roman" w:hAnsi="Calibri" w:cs="Calibri"/>
                <w:sz w:val="20"/>
                <w:szCs w:val="20"/>
              </w:rPr>
              <w:t>Not rated</w:t>
            </w:r>
          </w:p>
        </w:tc>
        <w:tc>
          <w:tcPr>
            <w:tcW w:w="1509" w:type="dxa"/>
            <w:tcBorders>
              <w:top w:val="nil"/>
              <w:left w:val="nil"/>
              <w:bottom w:val="nil"/>
              <w:right w:val="nil"/>
            </w:tcBorders>
            <w:shd w:val="clear" w:color="000000" w:fill="FFFFFF"/>
            <w:noWrap/>
            <w:vAlign w:val="bottom"/>
            <w:hideMark/>
          </w:tcPr>
          <w:p w14:paraId="3A208B1D" w14:textId="77777777" w:rsidR="001B6918" w:rsidRPr="00CD23C6" w:rsidRDefault="001B6918" w:rsidP="00730ECF">
            <w:pPr>
              <w:jc w:val="center"/>
              <w:rPr>
                <w:rFonts w:ascii="Calibri" w:eastAsia="Times New Roman" w:hAnsi="Calibri" w:cs="Calibri"/>
                <w:sz w:val="20"/>
                <w:szCs w:val="20"/>
              </w:rPr>
            </w:pPr>
            <w:r w:rsidRPr="00CD23C6">
              <w:rPr>
                <w:rFonts w:ascii="Calibri" w:eastAsia="Times New Roman" w:hAnsi="Calibri" w:cs="Calibri"/>
                <w:sz w:val="20"/>
                <w:szCs w:val="20"/>
              </w:rPr>
              <w:t>37-50 days</w:t>
            </w:r>
          </w:p>
        </w:tc>
        <w:tc>
          <w:tcPr>
            <w:tcW w:w="2480" w:type="dxa"/>
            <w:tcBorders>
              <w:top w:val="nil"/>
              <w:left w:val="nil"/>
              <w:bottom w:val="nil"/>
              <w:right w:val="nil"/>
            </w:tcBorders>
            <w:shd w:val="clear" w:color="000000" w:fill="FFFFFF"/>
            <w:vAlign w:val="bottom"/>
            <w:hideMark/>
          </w:tcPr>
          <w:p w14:paraId="0D85ABAF" w14:textId="77777777" w:rsidR="001B6918" w:rsidRPr="00CD23C6" w:rsidRDefault="001B6918" w:rsidP="00730ECF">
            <w:pPr>
              <w:rPr>
                <w:rFonts w:ascii="Calibri" w:eastAsia="Times New Roman" w:hAnsi="Calibri" w:cs="Calibri"/>
                <w:sz w:val="20"/>
                <w:szCs w:val="20"/>
              </w:rPr>
            </w:pPr>
            <w:r w:rsidRPr="00CD23C6">
              <w:rPr>
                <w:rFonts w:ascii="Calibri" w:eastAsia="Times New Roman" w:hAnsi="Calibri" w:cs="Calibri"/>
                <w:sz w:val="20"/>
                <w:szCs w:val="20"/>
              </w:rPr>
              <w:t>Weighted Average Maturity</w:t>
            </w:r>
          </w:p>
        </w:tc>
      </w:tr>
      <w:tr w:rsidR="00CE2413" w:rsidRPr="00B03F0B" w14:paraId="05AE0805" w14:textId="77777777" w:rsidTr="00CE2413">
        <w:trPr>
          <w:trHeight w:val="260"/>
          <w:jc w:val="center"/>
        </w:trPr>
        <w:tc>
          <w:tcPr>
            <w:tcW w:w="4320" w:type="dxa"/>
            <w:tcBorders>
              <w:top w:val="nil"/>
              <w:left w:val="nil"/>
              <w:bottom w:val="single" w:sz="4" w:space="0" w:color="000000"/>
              <w:right w:val="nil"/>
            </w:tcBorders>
            <w:shd w:val="clear" w:color="000000" w:fill="FFFFFF"/>
            <w:noWrap/>
            <w:vAlign w:val="bottom"/>
            <w:hideMark/>
          </w:tcPr>
          <w:p w14:paraId="21794190" w14:textId="77777777" w:rsidR="001B6918" w:rsidRPr="00B03F0B" w:rsidRDefault="001B6918" w:rsidP="00730ECF">
            <w:pPr>
              <w:ind w:firstLineChars="100" w:firstLine="201"/>
              <w:rPr>
                <w:rFonts w:ascii="Calibri" w:eastAsia="Times New Roman" w:hAnsi="Calibri" w:cs="Calibri"/>
                <w:b/>
                <w:bCs/>
                <w:color w:val="0D0D0D"/>
                <w:sz w:val="20"/>
                <w:szCs w:val="20"/>
              </w:rPr>
            </w:pPr>
            <w:r w:rsidRPr="00B03F0B">
              <w:rPr>
                <w:rFonts w:ascii="Calibri" w:eastAsia="Times New Roman" w:hAnsi="Calibri" w:cs="Calibri"/>
                <w:b/>
                <w:bCs/>
                <w:color w:val="0D0D0D"/>
                <w:sz w:val="20"/>
                <w:szCs w:val="20"/>
              </w:rPr>
              <w:t>Total operating investments at fair value level</w:t>
            </w:r>
          </w:p>
        </w:tc>
        <w:tc>
          <w:tcPr>
            <w:tcW w:w="1260" w:type="dxa"/>
            <w:tcBorders>
              <w:top w:val="nil"/>
              <w:left w:val="nil"/>
              <w:bottom w:val="single" w:sz="4" w:space="0" w:color="000000"/>
              <w:right w:val="nil"/>
            </w:tcBorders>
            <w:shd w:val="clear" w:color="000000" w:fill="FFFFFF"/>
            <w:noWrap/>
            <w:hideMark/>
          </w:tcPr>
          <w:p w14:paraId="43D4E311" w14:textId="77777777" w:rsidR="001B6918" w:rsidRPr="00CD23C6" w:rsidRDefault="001B6918" w:rsidP="00730ECF">
            <w:pPr>
              <w:jc w:val="right"/>
              <w:rPr>
                <w:rFonts w:eastAsia="Times New Roman" w:cstheme="minorHAnsi"/>
                <w:b/>
                <w:bCs/>
                <w:color w:val="FF0000"/>
                <w:sz w:val="20"/>
                <w:szCs w:val="20"/>
              </w:rPr>
            </w:pPr>
            <w:r w:rsidRPr="00CD23C6">
              <w:rPr>
                <w:rFonts w:cstheme="minorHAnsi"/>
                <w:sz w:val="20"/>
                <w:szCs w:val="20"/>
              </w:rPr>
              <w:t xml:space="preserve"> $199,065 </w:t>
            </w:r>
          </w:p>
        </w:tc>
        <w:tc>
          <w:tcPr>
            <w:tcW w:w="1080" w:type="dxa"/>
            <w:tcBorders>
              <w:top w:val="nil"/>
              <w:left w:val="nil"/>
              <w:bottom w:val="double" w:sz="6" w:space="0" w:color="000000"/>
              <w:right w:val="nil"/>
            </w:tcBorders>
            <w:shd w:val="clear" w:color="000000" w:fill="FFFFFF"/>
            <w:noWrap/>
            <w:hideMark/>
          </w:tcPr>
          <w:p w14:paraId="5917CE07" w14:textId="77777777" w:rsidR="001B6918" w:rsidRPr="00CD23C6" w:rsidRDefault="001B6918" w:rsidP="00730ECF">
            <w:pPr>
              <w:jc w:val="right"/>
              <w:rPr>
                <w:rFonts w:eastAsia="Times New Roman" w:cstheme="minorHAnsi"/>
                <w:b/>
                <w:bCs/>
                <w:color w:val="FF0000"/>
                <w:sz w:val="20"/>
                <w:szCs w:val="20"/>
              </w:rPr>
            </w:pPr>
            <w:r w:rsidRPr="00CD23C6">
              <w:rPr>
                <w:rFonts w:cstheme="minorHAnsi"/>
                <w:sz w:val="20"/>
                <w:szCs w:val="20"/>
              </w:rPr>
              <w:t xml:space="preserve"> $101,307 </w:t>
            </w:r>
          </w:p>
        </w:tc>
        <w:tc>
          <w:tcPr>
            <w:tcW w:w="1260" w:type="dxa"/>
            <w:tcBorders>
              <w:top w:val="nil"/>
              <w:left w:val="nil"/>
              <w:bottom w:val="double" w:sz="6" w:space="0" w:color="000000"/>
              <w:right w:val="nil"/>
            </w:tcBorders>
            <w:shd w:val="clear" w:color="000000" w:fill="FFFFFF"/>
            <w:noWrap/>
            <w:hideMark/>
          </w:tcPr>
          <w:p w14:paraId="0147CDFF" w14:textId="77777777" w:rsidR="001B6918" w:rsidRPr="00CD23C6" w:rsidRDefault="001B6918" w:rsidP="00730ECF">
            <w:pPr>
              <w:jc w:val="right"/>
              <w:rPr>
                <w:rFonts w:eastAsia="Times New Roman" w:cstheme="minorHAnsi"/>
                <w:b/>
                <w:bCs/>
                <w:color w:val="FF0000"/>
                <w:sz w:val="20"/>
                <w:szCs w:val="20"/>
              </w:rPr>
            </w:pPr>
            <w:r w:rsidRPr="00CD23C6">
              <w:rPr>
                <w:rFonts w:cstheme="minorHAnsi"/>
                <w:sz w:val="20"/>
                <w:szCs w:val="20"/>
              </w:rPr>
              <w:t xml:space="preserve"> $97,758 </w:t>
            </w:r>
          </w:p>
        </w:tc>
        <w:tc>
          <w:tcPr>
            <w:tcW w:w="1113" w:type="dxa"/>
            <w:tcBorders>
              <w:top w:val="nil"/>
              <w:left w:val="nil"/>
              <w:bottom w:val="double" w:sz="6" w:space="0" w:color="000000"/>
              <w:right w:val="nil"/>
            </w:tcBorders>
            <w:shd w:val="clear" w:color="000000" w:fill="FFFFFF"/>
            <w:noWrap/>
            <w:hideMark/>
          </w:tcPr>
          <w:p w14:paraId="3AB64EE2" w14:textId="77777777" w:rsidR="001B6918" w:rsidRPr="00CD23C6" w:rsidRDefault="001B6918" w:rsidP="00730ECF">
            <w:pPr>
              <w:jc w:val="right"/>
              <w:rPr>
                <w:rFonts w:eastAsia="Times New Roman" w:cstheme="minorHAnsi"/>
                <w:b/>
                <w:bCs/>
                <w:color w:val="FF0000"/>
                <w:sz w:val="20"/>
                <w:szCs w:val="20"/>
              </w:rPr>
            </w:pPr>
            <w:r w:rsidRPr="00CD23C6">
              <w:rPr>
                <w:rFonts w:cstheme="minorHAnsi"/>
                <w:sz w:val="20"/>
                <w:szCs w:val="20"/>
              </w:rPr>
              <w:t xml:space="preserve"> $</w:t>
            </w:r>
            <w:r>
              <w:rPr>
                <w:rFonts w:cstheme="minorHAnsi"/>
                <w:sz w:val="20"/>
                <w:szCs w:val="20"/>
              </w:rPr>
              <w:t xml:space="preserve">       </w:t>
            </w:r>
            <w:r w:rsidRPr="00CD23C6">
              <w:rPr>
                <w:rFonts w:cstheme="minorHAnsi"/>
                <w:sz w:val="20"/>
                <w:szCs w:val="20"/>
              </w:rPr>
              <w:t xml:space="preserve">- </w:t>
            </w:r>
          </w:p>
        </w:tc>
        <w:tc>
          <w:tcPr>
            <w:tcW w:w="1102" w:type="dxa"/>
            <w:tcBorders>
              <w:top w:val="nil"/>
              <w:left w:val="nil"/>
              <w:bottom w:val="nil"/>
              <w:right w:val="nil"/>
            </w:tcBorders>
            <w:shd w:val="clear" w:color="000000" w:fill="FFFFFF"/>
            <w:noWrap/>
            <w:vAlign w:val="bottom"/>
            <w:hideMark/>
          </w:tcPr>
          <w:p w14:paraId="7EFD041F" w14:textId="77777777" w:rsidR="001B6918" w:rsidRPr="00CD23C6" w:rsidRDefault="001B6918" w:rsidP="00730ECF">
            <w:pPr>
              <w:jc w:val="center"/>
              <w:rPr>
                <w:rFonts w:ascii="Calibri" w:eastAsia="Times New Roman" w:hAnsi="Calibri" w:cs="Calibri"/>
                <w:sz w:val="20"/>
                <w:szCs w:val="20"/>
              </w:rPr>
            </w:pPr>
          </w:p>
        </w:tc>
        <w:tc>
          <w:tcPr>
            <w:tcW w:w="1509" w:type="dxa"/>
            <w:tcBorders>
              <w:top w:val="nil"/>
              <w:left w:val="nil"/>
              <w:bottom w:val="nil"/>
              <w:right w:val="nil"/>
            </w:tcBorders>
            <w:shd w:val="clear" w:color="000000" w:fill="FFFFFF"/>
            <w:noWrap/>
            <w:vAlign w:val="bottom"/>
            <w:hideMark/>
          </w:tcPr>
          <w:p w14:paraId="4B9424A1" w14:textId="77777777" w:rsidR="001B6918" w:rsidRPr="005D19AA" w:rsidRDefault="001B6918" w:rsidP="00730ECF">
            <w:pPr>
              <w:jc w:val="center"/>
              <w:rPr>
                <w:rFonts w:ascii="Calibri" w:eastAsia="Times New Roman" w:hAnsi="Calibri" w:cs="Calibri"/>
                <w:color w:val="FF0000"/>
                <w:sz w:val="20"/>
                <w:szCs w:val="20"/>
              </w:rPr>
            </w:pPr>
          </w:p>
        </w:tc>
        <w:tc>
          <w:tcPr>
            <w:tcW w:w="2480" w:type="dxa"/>
            <w:tcBorders>
              <w:top w:val="nil"/>
              <w:left w:val="nil"/>
              <w:bottom w:val="nil"/>
              <w:right w:val="nil"/>
            </w:tcBorders>
            <w:shd w:val="clear" w:color="000000" w:fill="FFFFFF"/>
            <w:noWrap/>
            <w:vAlign w:val="bottom"/>
            <w:hideMark/>
          </w:tcPr>
          <w:p w14:paraId="0D4E08A3" w14:textId="77777777" w:rsidR="001B6918" w:rsidRPr="00E21531" w:rsidRDefault="001B6918" w:rsidP="00730ECF">
            <w:pPr>
              <w:rPr>
                <w:rFonts w:ascii="Calibri" w:eastAsia="Times New Roman" w:hAnsi="Calibri" w:cs="Calibri"/>
                <w:color w:val="FF0000"/>
                <w:sz w:val="20"/>
                <w:szCs w:val="20"/>
              </w:rPr>
            </w:pPr>
            <w:r w:rsidRPr="00E21531">
              <w:rPr>
                <w:rFonts w:ascii="Calibri" w:eastAsia="Times New Roman" w:hAnsi="Calibri" w:cs="Calibri"/>
                <w:color w:val="FF0000"/>
                <w:sz w:val="20"/>
                <w:szCs w:val="20"/>
              </w:rPr>
              <w:t> </w:t>
            </w:r>
          </w:p>
        </w:tc>
      </w:tr>
      <w:tr w:rsidR="00CE2413" w:rsidRPr="00B03F0B" w14:paraId="19007783" w14:textId="77777777" w:rsidTr="00CE2413">
        <w:trPr>
          <w:trHeight w:val="99"/>
          <w:jc w:val="center"/>
        </w:trPr>
        <w:tc>
          <w:tcPr>
            <w:tcW w:w="4320" w:type="dxa"/>
            <w:tcBorders>
              <w:top w:val="nil"/>
              <w:left w:val="nil"/>
              <w:bottom w:val="nil"/>
              <w:right w:val="nil"/>
            </w:tcBorders>
            <w:shd w:val="clear" w:color="000000" w:fill="FFFFFF"/>
            <w:noWrap/>
            <w:vAlign w:val="bottom"/>
            <w:hideMark/>
          </w:tcPr>
          <w:p w14:paraId="00766124" w14:textId="77777777" w:rsidR="001B6918" w:rsidRPr="00B03F0B" w:rsidRDefault="001B6918" w:rsidP="00730ECF">
            <w:pPr>
              <w:rPr>
                <w:rFonts w:ascii="Calibri" w:eastAsia="Times New Roman" w:hAnsi="Calibri" w:cs="Calibri"/>
                <w:color w:val="0D0D0D"/>
                <w:sz w:val="20"/>
                <w:szCs w:val="20"/>
              </w:rPr>
            </w:pPr>
            <w:r w:rsidRPr="00B03F0B">
              <w:rPr>
                <w:rFonts w:ascii="Calibri" w:eastAsia="Times New Roman" w:hAnsi="Calibri" w:cs="Calibri"/>
                <w:color w:val="0D0D0D"/>
                <w:sz w:val="20"/>
                <w:szCs w:val="20"/>
              </w:rPr>
              <w:t>Operating investments measured at NAV</w:t>
            </w:r>
          </w:p>
        </w:tc>
        <w:tc>
          <w:tcPr>
            <w:tcW w:w="1260" w:type="dxa"/>
            <w:tcBorders>
              <w:top w:val="nil"/>
              <w:left w:val="nil"/>
              <w:bottom w:val="nil"/>
              <w:right w:val="nil"/>
            </w:tcBorders>
            <w:shd w:val="clear" w:color="000000" w:fill="FFFFFF"/>
            <w:noWrap/>
            <w:vAlign w:val="bottom"/>
            <w:hideMark/>
          </w:tcPr>
          <w:p w14:paraId="587953D4" w14:textId="77777777" w:rsidR="001B6918" w:rsidRPr="00CD23C6" w:rsidRDefault="001B6918" w:rsidP="00730ECF">
            <w:pPr>
              <w:jc w:val="right"/>
              <w:rPr>
                <w:rFonts w:eastAsia="Times New Roman" w:cstheme="minorHAnsi"/>
                <w:color w:val="FF0000"/>
                <w:sz w:val="20"/>
                <w:szCs w:val="20"/>
              </w:rPr>
            </w:pPr>
            <w:r w:rsidRPr="00CD23C6">
              <w:rPr>
                <w:rFonts w:eastAsia="Times New Roman" w:cstheme="minorHAnsi"/>
                <w:color w:val="FF0000"/>
                <w:sz w:val="20"/>
                <w:szCs w:val="20"/>
              </w:rPr>
              <w:t> </w:t>
            </w:r>
          </w:p>
        </w:tc>
        <w:tc>
          <w:tcPr>
            <w:tcW w:w="1080" w:type="dxa"/>
            <w:tcBorders>
              <w:top w:val="nil"/>
              <w:left w:val="nil"/>
              <w:bottom w:val="nil"/>
              <w:right w:val="nil"/>
            </w:tcBorders>
            <w:shd w:val="clear" w:color="000000" w:fill="FFFFFF"/>
            <w:noWrap/>
            <w:vAlign w:val="bottom"/>
            <w:hideMark/>
          </w:tcPr>
          <w:p w14:paraId="4191DD3C" w14:textId="77777777" w:rsidR="001B6918" w:rsidRPr="00CD23C6" w:rsidRDefault="001B6918" w:rsidP="00730ECF">
            <w:pPr>
              <w:jc w:val="right"/>
              <w:rPr>
                <w:rFonts w:eastAsia="Times New Roman" w:cstheme="minorHAnsi"/>
                <w:color w:val="FF0000"/>
                <w:sz w:val="20"/>
                <w:szCs w:val="20"/>
              </w:rPr>
            </w:pPr>
            <w:r w:rsidRPr="00CD23C6">
              <w:rPr>
                <w:rFonts w:eastAsia="Times New Roman" w:cstheme="minorHAnsi"/>
                <w:color w:val="FF0000"/>
                <w:sz w:val="20"/>
                <w:szCs w:val="20"/>
              </w:rPr>
              <w:t> </w:t>
            </w:r>
          </w:p>
        </w:tc>
        <w:tc>
          <w:tcPr>
            <w:tcW w:w="1260" w:type="dxa"/>
            <w:tcBorders>
              <w:top w:val="nil"/>
              <w:left w:val="nil"/>
              <w:bottom w:val="nil"/>
              <w:right w:val="nil"/>
            </w:tcBorders>
            <w:shd w:val="clear" w:color="000000" w:fill="FFFFFF"/>
            <w:noWrap/>
            <w:vAlign w:val="bottom"/>
            <w:hideMark/>
          </w:tcPr>
          <w:p w14:paraId="13E11759" w14:textId="77777777" w:rsidR="001B6918" w:rsidRPr="00CD23C6" w:rsidRDefault="001B6918" w:rsidP="00730ECF">
            <w:pPr>
              <w:jc w:val="right"/>
              <w:rPr>
                <w:rFonts w:eastAsia="Times New Roman" w:cstheme="minorHAnsi"/>
                <w:color w:val="FF0000"/>
                <w:sz w:val="20"/>
                <w:szCs w:val="20"/>
              </w:rPr>
            </w:pPr>
            <w:r w:rsidRPr="00CD23C6">
              <w:rPr>
                <w:rFonts w:eastAsia="Times New Roman" w:cstheme="minorHAnsi"/>
                <w:color w:val="FF0000"/>
                <w:sz w:val="20"/>
                <w:szCs w:val="20"/>
              </w:rPr>
              <w:t> </w:t>
            </w:r>
          </w:p>
        </w:tc>
        <w:tc>
          <w:tcPr>
            <w:tcW w:w="1113" w:type="dxa"/>
            <w:tcBorders>
              <w:top w:val="nil"/>
              <w:left w:val="nil"/>
              <w:bottom w:val="nil"/>
              <w:right w:val="nil"/>
            </w:tcBorders>
            <w:shd w:val="clear" w:color="000000" w:fill="FFFFFF"/>
            <w:noWrap/>
            <w:vAlign w:val="bottom"/>
            <w:hideMark/>
          </w:tcPr>
          <w:p w14:paraId="3D496EEC" w14:textId="77777777" w:rsidR="001B6918" w:rsidRPr="00CD23C6" w:rsidRDefault="001B6918" w:rsidP="00730ECF">
            <w:pPr>
              <w:jc w:val="right"/>
              <w:rPr>
                <w:rFonts w:eastAsia="Times New Roman" w:cstheme="minorHAnsi"/>
                <w:color w:val="FF0000"/>
                <w:sz w:val="20"/>
                <w:szCs w:val="20"/>
              </w:rPr>
            </w:pPr>
            <w:r w:rsidRPr="00CD23C6">
              <w:rPr>
                <w:rFonts w:eastAsia="Times New Roman" w:cstheme="minorHAnsi"/>
                <w:color w:val="FF0000"/>
                <w:sz w:val="20"/>
                <w:szCs w:val="20"/>
              </w:rPr>
              <w:t> </w:t>
            </w:r>
          </w:p>
        </w:tc>
        <w:tc>
          <w:tcPr>
            <w:tcW w:w="1102" w:type="dxa"/>
            <w:tcBorders>
              <w:top w:val="nil"/>
              <w:left w:val="nil"/>
              <w:bottom w:val="nil"/>
              <w:right w:val="nil"/>
            </w:tcBorders>
            <w:shd w:val="clear" w:color="000000" w:fill="FFFFFF"/>
            <w:noWrap/>
            <w:vAlign w:val="bottom"/>
            <w:hideMark/>
          </w:tcPr>
          <w:p w14:paraId="45313969" w14:textId="77777777" w:rsidR="001B6918" w:rsidRPr="00CD23C6" w:rsidRDefault="001B6918" w:rsidP="00730ECF">
            <w:pPr>
              <w:jc w:val="center"/>
              <w:rPr>
                <w:rFonts w:ascii="Calibri" w:eastAsia="Times New Roman" w:hAnsi="Calibri" w:cs="Calibri"/>
                <w:sz w:val="20"/>
                <w:szCs w:val="20"/>
              </w:rPr>
            </w:pPr>
          </w:p>
        </w:tc>
        <w:tc>
          <w:tcPr>
            <w:tcW w:w="1509" w:type="dxa"/>
            <w:tcBorders>
              <w:top w:val="nil"/>
              <w:left w:val="nil"/>
              <w:bottom w:val="nil"/>
              <w:right w:val="nil"/>
            </w:tcBorders>
            <w:shd w:val="clear" w:color="000000" w:fill="FFFFFF"/>
            <w:noWrap/>
            <w:vAlign w:val="bottom"/>
            <w:hideMark/>
          </w:tcPr>
          <w:p w14:paraId="0C745DA5" w14:textId="77777777" w:rsidR="001B6918" w:rsidRPr="00AE7758" w:rsidRDefault="001B6918" w:rsidP="00730ECF">
            <w:pPr>
              <w:jc w:val="center"/>
              <w:rPr>
                <w:rFonts w:ascii="Calibri" w:eastAsia="Times New Roman" w:hAnsi="Calibri" w:cs="Calibri"/>
                <w:color w:val="FF0000"/>
                <w:sz w:val="20"/>
                <w:szCs w:val="20"/>
              </w:rPr>
            </w:pPr>
          </w:p>
        </w:tc>
        <w:tc>
          <w:tcPr>
            <w:tcW w:w="2480" w:type="dxa"/>
            <w:tcBorders>
              <w:top w:val="nil"/>
              <w:left w:val="nil"/>
              <w:bottom w:val="nil"/>
              <w:right w:val="nil"/>
            </w:tcBorders>
            <w:shd w:val="clear" w:color="000000" w:fill="FFFFFF"/>
            <w:noWrap/>
            <w:vAlign w:val="bottom"/>
            <w:hideMark/>
          </w:tcPr>
          <w:p w14:paraId="67393704" w14:textId="77777777" w:rsidR="001B6918" w:rsidRPr="00AE7758" w:rsidRDefault="001B6918" w:rsidP="00730ECF">
            <w:pPr>
              <w:rPr>
                <w:rFonts w:ascii="Calibri" w:eastAsia="Times New Roman" w:hAnsi="Calibri" w:cs="Calibri"/>
                <w:color w:val="FF0000"/>
                <w:sz w:val="20"/>
                <w:szCs w:val="20"/>
              </w:rPr>
            </w:pPr>
            <w:r w:rsidRPr="00AE7758">
              <w:rPr>
                <w:rFonts w:ascii="Calibri" w:eastAsia="Times New Roman" w:hAnsi="Calibri" w:cs="Calibri"/>
                <w:color w:val="FF0000"/>
                <w:sz w:val="20"/>
                <w:szCs w:val="20"/>
              </w:rPr>
              <w:t> </w:t>
            </w:r>
          </w:p>
        </w:tc>
      </w:tr>
      <w:tr w:rsidR="00CE2413" w:rsidRPr="00B03F0B" w14:paraId="07E4F5C7" w14:textId="77777777" w:rsidTr="00CE2413">
        <w:trPr>
          <w:trHeight w:val="95"/>
          <w:jc w:val="center"/>
        </w:trPr>
        <w:tc>
          <w:tcPr>
            <w:tcW w:w="4320" w:type="dxa"/>
            <w:tcBorders>
              <w:top w:val="nil"/>
              <w:left w:val="nil"/>
              <w:bottom w:val="nil"/>
              <w:right w:val="nil"/>
            </w:tcBorders>
            <w:shd w:val="clear" w:color="000000" w:fill="FFFFFF"/>
            <w:noWrap/>
            <w:vAlign w:val="bottom"/>
            <w:hideMark/>
          </w:tcPr>
          <w:p w14:paraId="41F59503" w14:textId="77777777" w:rsidR="001B6918" w:rsidRPr="00B03F0B" w:rsidRDefault="001B6918" w:rsidP="00730ECF">
            <w:pPr>
              <w:ind w:firstLineChars="100" w:firstLine="200"/>
              <w:rPr>
                <w:rFonts w:ascii="Calibri" w:eastAsia="Times New Roman" w:hAnsi="Calibri" w:cs="Calibri"/>
                <w:color w:val="0D0D0D"/>
                <w:sz w:val="20"/>
                <w:szCs w:val="20"/>
              </w:rPr>
            </w:pPr>
            <w:r w:rsidRPr="00B03F0B">
              <w:rPr>
                <w:rFonts w:ascii="Calibri" w:eastAsia="Times New Roman" w:hAnsi="Calibri" w:cs="Calibri"/>
                <w:color w:val="0D0D0D"/>
                <w:sz w:val="20"/>
                <w:szCs w:val="20"/>
              </w:rPr>
              <w:t>Equities:  Multi-Strategy</w:t>
            </w:r>
          </w:p>
        </w:tc>
        <w:tc>
          <w:tcPr>
            <w:tcW w:w="1260" w:type="dxa"/>
            <w:tcBorders>
              <w:top w:val="nil"/>
              <w:left w:val="nil"/>
              <w:bottom w:val="nil"/>
              <w:right w:val="nil"/>
            </w:tcBorders>
            <w:shd w:val="clear" w:color="000000" w:fill="FFFFFF"/>
            <w:noWrap/>
            <w:hideMark/>
          </w:tcPr>
          <w:p w14:paraId="05626551" w14:textId="77777777" w:rsidR="001B6918" w:rsidRPr="00CD23C6" w:rsidRDefault="001B6918" w:rsidP="00730ECF">
            <w:pPr>
              <w:jc w:val="right"/>
              <w:rPr>
                <w:rFonts w:eastAsia="Times New Roman" w:cstheme="minorHAnsi"/>
                <w:color w:val="FF0000"/>
                <w:sz w:val="20"/>
                <w:szCs w:val="20"/>
              </w:rPr>
            </w:pPr>
            <w:r w:rsidRPr="00CD23C6">
              <w:rPr>
                <w:rFonts w:cstheme="minorHAnsi"/>
                <w:sz w:val="20"/>
                <w:szCs w:val="20"/>
              </w:rPr>
              <w:t xml:space="preserve"> 15,068 </w:t>
            </w:r>
          </w:p>
        </w:tc>
        <w:tc>
          <w:tcPr>
            <w:tcW w:w="1080" w:type="dxa"/>
            <w:tcBorders>
              <w:top w:val="nil"/>
              <w:left w:val="nil"/>
              <w:bottom w:val="nil"/>
              <w:right w:val="nil"/>
            </w:tcBorders>
            <w:shd w:val="clear" w:color="000000" w:fill="FFFFFF"/>
            <w:noWrap/>
            <w:vAlign w:val="bottom"/>
            <w:hideMark/>
          </w:tcPr>
          <w:p w14:paraId="2AD58402" w14:textId="77777777" w:rsidR="001B6918" w:rsidRPr="00CD23C6" w:rsidRDefault="001B6918" w:rsidP="00730ECF">
            <w:pPr>
              <w:jc w:val="right"/>
              <w:rPr>
                <w:rFonts w:eastAsia="Times New Roman" w:cstheme="minorHAnsi"/>
                <w:color w:val="FF0000"/>
                <w:sz w:val="20"/>
                <w:szCs w:val="20"/>
              </w:rPr>
            </w:pPr>
            <w:r w:rsidRPr="00CD23C6">
              <w:rPr>
                <w:rFonts w:eastAsia="Times New Roman" w:cstheme="minorHAnsi"/>
                <w:color w:val="FF0000"/>
                <w:sz w:val="20"/>
                <w:szCs w:val="20"/>
              </w:rPr>
              <w:t> </w:t>
            </w:r>
          </w:p>
        </w:tc>
        <w:tc>
          <w:tcPr>
            <w:tcW w:w="1260" w:type="dxa"/>
            <w:tcBorders>
              <w:top w:val="nil"/>
              <w:left w:val="nil"/>
              <w:bottom w:val="nil"/>
              <w:right w:val="nil"/>
            </w:tcBorders>
            <w:shd w:val="clear" w:color="000000" w:fill="FFFFFF"/>
            <w:noWrap/>
            <w:vAlign w:val="bottom"/>
            <w:hideMark/>
          </w:tcPr>
          <w:p w14:paraId="5C360150" w14:textId="77777777" w:rsidR="001B6918" w:rsidRPr="00CD23C6" w:rsidRDefault="001B6918" w:rsidP="00730ECF">
            <w:pPr>
              <w:jc w:val="right"/>
              <w:rPr>
                <w:rFonts w:eastAsia="Times New Roman" w:cstheme="minorHAnsi"/>
                <w:color w:val="FF0000"/>
                <w:sz w:val="20"/>
                <w:szCs w:val="20"/>
              </w:rPr>
            </w:pPr>
            <w:r w:rsidRPr="00CD23C6">
              <w:rPr>
                <w:rFonts w:eastAsia="Times New Roman" w:cstheme="minorHAnsi"/>
                <w:color w:val="FF0000"/>
                <w:sz w:val="20"/>
                <w:szCs w:val="20"/>
              </w:rPr>
              <w:t> </w:t>
            </w:r>
          </w:p>
        </w:tc>
        <w:tc>
          <w:tcPr>
            <w:tcW w:w="1113" w:type="dxa"/>
            <w:tcBorders>
              <w:top w:val="nil"/>
              <w:left w:val="nil"/>
              <w:bottom w:val="nil"/>
              <w:right w:val="nil"/>
            </w:tcBorders>
            <w:shd w:val="clear" w:color="000000" w:fill="FFFFFF"/>
            <w:noWrap/>
            <w:vAlign w:val="bottom"/>
            <w:hideMark/>
          </w:tcPr>
          <w:p w14:paraId="1EDD49EF" w14:textId="77777777" w:rsidR="001B6918" w:rsidRPr="00CD23C6" w:rsidRDefault="001B6918" w:rsidP="00730ECF">
            <w:pPr>
              <w:jc w:val="right"/>
              <w:rPr>
                <w:rFonts w:eastAsia="Times New Roman" w:cstheme="minorHAnsi"/>
                <w:color w:val="FF0000"/>
                <w:sz w:val="20"/>
                <w:szCs w:val="20"/>
              </w:rPr>
            </w:pPr>
            <w:r w:rsidRPr="00CD23C6">
              <w:rPr>
                <w:rFonts w:eastAsia="Times New Roman" w:cstheme="minorHAnsi"/>
                <w:color w:val="FF0000"/>
                <w:sz w:val="20"/>
                <w:szCs w:val="20"/>
              </w:rPr>
              <w:t> </w:t>
            </w:r>
          </w:p>
        </w:tc>
        <w:tc>
          <w:tcPr>
            <w:tcW w:w="1102" w:type="dxa"/>
            <w:tcBorders>
              <w:top w:val="nil"/>
              <w:left w:val="nil"/>
              <w:bottom w:val="nil"/>
              <w:right w:val="nil"/>
            </w:tcBorders>
            <w:shd w:val="clear" w:color="000000" w:fill="FFFFFF"/>
            <w:noWrap/>
            <w:vAlign w:val="bottom"/>
            <w:hideMark/>
          </w:tcPr>
          <w:p w14:paraId="2A6A1092" w14:textId="77777777" w:rsidR="001B6918" w:rsidRPr="00CD23C6" w:rsidRDefault="001B6918" w:rsidP="00730ECF">
            <w:pPr>
              <w:jc w:val="center"/>
              <w:rPr>
                <w:rFonts w:ascii="Calibri" w:eastAsia="Times New Roman" w:hAnsi="Calibri" w:cs="Calibri"/>
                <w:sz w:val="20"/>
                <w:szCs w:val="20"/>
              </w:rPr>
            </w:pPr>
          </w:p>
        </w:tc>
        <w:tc>
          <w:tcPr>
            <w:tcW w:w="1509" w:type="dxa"/>
            <w:tcBorders>
              <w:top w:val="nil"/>
              <w:left w:val="nil"/>
              <w:bottom w:val="nil"/>
              <w:right w:val="nil"/>
            </w:tcBorders>
            <w:shd w:val="clear" w:color="000000" w:fill="FFFFFF"/>
            <w:noWrap/>
            <w:vAlign w:val="bottom"/>
            <w:hideMark/>
          </w:tcPr>
          <w:p w14:paraId="420A741A" w14:textId="77777777" w:rsidR="001B6918" w:rsidRPr="00983460" w:rsidRDefault="001B6918" w:rsidP="00730ECF">
            <w:pPr>
              <w:jc w:val="center"/>
              <w:rPr>
                <w:rFonts w:ascii="Calibri" w:eastAsia="Times New Roman" w:hAnsi="Calibri" w:cs="Calibri"/>
                <w:color w:val="FF0000"/>
                <w:sz w:val="20"/>
                <w:szCs w:val="20"/>
              </w:rPr>
            </w:pPr>
          </w:p>
        </w:tc>
        <w:tc>
          <w:tcPr>
            <w:tcW w:w="2480" w:type="dxa"/>
            <w:tcBorders>
              <w:top w:val="nil"/>
              <w:left w:val="nil"/>
              <w:bottom w:val="nil"/>
              <w:right w:val="nil"/>
            </w:tcBorders>
            <w:shd w:val="clear" w:color="000000" w:fill="FFFFFF"/>
            <w:noWrap/>
            <w:vAlign w:val="bottom"/>
            <w:hideMark/>
          </w:tcPr>
          <w:p w14:paraId="2614D2BA" w14:textId="77777777" w:rsidR="001B6918" w:rsidRPr="00983460" w:rsidRDefault="001B6918" w:rsidP="00730ECF">
            <w:pPr>
              <w:rPr>
                <w:rFonts w:ascii="Calibri" w:eastAsia="Times New Roman" w:hAnsi="Calibri" w:cs="Calibri"/>
                <w:color w:val="FF0000"/>
                <w:sz w:val="20"/>
                <w:szCs w:val="20"/>
              </w:rPr>
            </w:pPr>
            <w:r w:rsidRPr="00983460">
              <w:rPr>
                <w:rFonts w:ascii="Calibri" w:eastAsia="Times New Roman" w:hAnsi="Calibri" w:cs="Calibri"/>
                <w:color w:val="FF0000"/>
                <w:sz w:val="20"/>
                <w:szCs w:val="20"/>
              </w:rPr>
              <w:t> </w:t>
            </w:r>
          </w:p>
        </w:tc>
      </w:tr>
      <w:tr w:rsidR="00CE2413" w:rsidRPr="00B03F0B" w14:paraId="185808C8" w14:textId="77777777" w:rsidTr="00CE2413">
        <w:trPr>
          <w:trHeight w:val="171"/>
          <w:jc w:val="center"/>
        </w:trPr>
        <w:tc>
          <w:tcPr>
            <w:tcW w:w="4320" w:type="dxa"/>
            <w:tcBorders>
              <w:top w:val="nil"/>
              <w:left w:val="nil"/>
              <w:bottom w:val="nil"/>
              <w:right w:val="nil"/>
            </w:tcBorders>
            <w:shd w:val="clear" w:color="000000" w:fill="FFFFFF"/>
            <w:noWrap/>
            <w:vAlign w:val="bottom"/>
            <w:hideMark/>
          </w:tcPr>
          <w:p w14:paraId="75B57C5A" w14:textId="77777777" w:rsidR="001B6918" w:rsidRPr="00B03F0B" w:rsidRDefault="001B6918" w:rsidP="00730ECF">
            <w:pPr>
              <w:ind w:firstLineChars="100" w:firstLine="200"/>
              <w:rPr>
                <w:rFonts w:ascii="Calibri" w:eastAsia="Times New Roman" w:hAnsi="Calibri" w:cs="Calibri"/>
                <w:color w:val="0D0D0D"/>
                <w:sz w:val="20"/>
                <w:szCs w:val="20"/>
              </w:rPr>
            </w:pPr>
            <w:r w:rsidRPr="00B03F0B">
              <w:rPr>
                <w:rFonts w:ascii="Calibri" w:eastAsia="Times New Roman" w:hAnsi="Calibri" w:cs="Calibri"/>
                <w:color w:val="0D0D0D"/>
                <w:sz w:val="20"/>
                <w:szCs w:val="20"/>
              </w:rPr>
              <w:t>Bank loans</w:t>
            </w:r>
          </w:p>
        </w:tc>
        <w:tc>
          <w:tcPr>
            <w:tcW w:w="1260" w:type="dxa"/>
            <w:tcBorders>
              <w:top w:val="nil"/>
              <w:left w:val="nil"/>
              <w:bottom w:val="single" w:sz="4" w:space="0" w:color="000000"/>
              <w:right w:val="nil"/>
            </w:tcBorders>
            <w:shd w:val="clear" w:color="000000" w:fill="FFFFFF"/>
            <w:noWrap/>
            <w:hideMark/>
          </w:tcPr>
          <w:p w14:paraId="4E707737" w14:textId="77777777" w:rsidR="001B6918" w:rsidRPr="00CD23C6" w:rsidRDefault="001B6918" w:rsidP="00730ECF">
            <w:pPr>
              <w:jc w:val="right"/>
              <w:rPr>
                <w:rFonts w:eastAsia="Times New Roman" w:cstheme="minorHAnsi"/>
                <w:color w:val="FF0000"/>
                <w:sz w:val="20"/>
                <w:szCs w:val="20"/>
              </w:rPr>
            </w:pPr>
            <w:r w:rsidRPr="00CD23C6">
              <w:rPr>
                <w:rFonts w:cstheme="minorHAnsi"/>
                <w:sz w:val="20"/>
                <w:szCs w:val="20"/>
              </w:rPr>
              <w:t xml:space="preserve"> 21,489 </w:t>
            </w:r>
          </w:p>
        </w:tc>
        <w:tc>
          <w:tcPr>
            <w:tcW w:w="1080" w:type="dxa"/>
            <w:tcBorders>
              <w:top w:val="nil"/>
              <w:left w:val="nil"/>
              <w:bottom w:val="nil"/>
              <w:right w:val="nil"/>
            </w:tcBorders>
            <w:shd w:val="clear" w:color="000000" w:fill="FFFFFF"/>
            <w:noWrap/>
            <w:vAlign w:val="bottom"/>
            <w:hideMark/>
          </w:tcPr>
          <w:p w14:paraId="4B9A4FD2" w14:textId="77777777" w:rsidR="001B6918" w:rsidRPr="00CD23C6" w:rsidRDefault="001B6918" w:rsidP="00730ECF">
            <w:pPr>
              <w:jc w:val="right"/>
              <w:rPr>
                <w:rFonts w:eastAsia="Times New Roman" w:cstheme="minorHAnsi"/>
                <w:color w:val="FF0000"/>
                <w:sz w:val="20"/>
                <w:szCs w:val="20"/>
              </w:rPr>
            </w:pPr>
            <w:r w:rsidRPr="00CD23C6">
              <w:rPr>
                <w:rFonts w:eastAsia="Times New Roman" w:cstheme="minorHAnsi"/>
                <w:color w:val="FF0000"/>
                <w:sz w:val="20"/>
                <w:szCs w:val="20"/>
              </w:rPr>
              <w:t> </w:t>
            </w:r>
          </w:p>
        </w:tc>
        <w:tc>
          <w:tcPr>
            <w:tcW w:w="1260" w:type="dxa"/>
            <w:tcBorders>
              <w:top w:val="nil"/>
              <w:left w:val="nil"/>
              <w:bottom w:val="nil"/>
              <w:right w:val="nil"/>
            </w:tcBorders>
            <w:shd w:val="clear" w:color="000000" w:fill="FFFFFF"/>
            <w:noWrap/>
            <w:vAlign w:val="bottom"/>
            <w:hideMark/>
          </w:tcPr>
          <w:p w14:paraId="79F51921" w14:textId="77777777" w:rsidR="001B6918" w:rsidRPr="00CD23C6" w:rsidRDefault="001B6918" w:rsidP="00730ECF">
            <w:pPr>
              <w:jc w:val="right"/>
              <w:rPr>
                <w:rFonts w:eastAsia="Times New Roman" w:cstheme="minorHAnsi"/>
                <w:color w:val="FF0000"/>
                <w:sz w:val="20"/>
                <w:szCs w:val="20"/>
              </w:rPr>
            </w:pPr>
            <w:r w:rsidRPr="00CD23C6">
              <w:rPr>
                <w:rFonts w:eastAsia="Times New Roman" w:cstheme="minorHAnsi"/>
                <w:color w:val="FF0000"/>
                <w:sz w:val="20"/>
                <w:szCs w:val="20"/>
              </w:rPr>
              <w:t> </w:t>
            </w:r>
          </w:p>
        </w:tc>
        <w:tc>
          <w:tcPr>
            <w:tcW w:w="1113" w:type="dxa"/>
            <w:tcBorders>
              <w:top w:val="nil"/>
              <w:left w:val="nil"/>
              <w:bottom w:val="nil"/>
              <w:right w:val="nil"/>
            </w:tcBorders>
            <w:shd w:val="clear" w:color="000000" w:fill="FFFFFF"/>
            <w:noWrap/>
            <w:vAlign w:val="bottom"/>
            <w:hideMark/>
          </w:tcPr>
          <w:p w14:paraId="4AD21221" w14:textId="77777777" w:rsidR="001B6918" w:rsidRPr="00CD23C6" w:rsidRDefault="001B6918" w:rsidP="00730ECF">
            <w:pPr>
              <w:jc w:val="right"/>
              <w:rPr>
                <w:rFonts w:eastAsia="Times New Roman" w:cstheme="minorHAnsi"/>
                <w:color w:val="FF0000"/>
                <w:sz w:val="20"/>
                <w:szCs w:val="20"/>
              </w:rPr>
            </w:pPr>
            <w:r w:rsidRPr="00CD23C6">
              <w:rPr>
                <w:rFonts w:eastAsia="Times New Roman" w:cstheme="minorHAnsi"/>
                <w:color w:val="FF0000"/>
                <w:sz w:val="20"/>
                <w:szCs w:val="20"/>
              </w:rPr>
              <w:t> </w:t>
            </w:r>
          </w:p>
        </w:tc>
        <w:tc>
          <w:tcPr>
            <w:tcW w:w="1102" w:type="dxa"/>
            <w:tcBorders>
              <w:top w:val="nil"/>
              <w:left w:val="nil"/>
              <w:bottom w:val="nil"/>
              <w:right w:val="nil"/>
            </w:tcBorders>
            <w:shd w:val="clear" w:color="000000" w:fill="FFFFFF"/>
            <w:noWrap/>
            <w:vAlign w:val="bottom"/>
            <w:hideMark/>
          </w:tcPr>
          <w:p w14:paraId="780E61AA" w14:textId="77777777" w:rsidR="001B6918" w:rsidRPr="00CD23C6" w:rsidRDefault="001B6918" w:rsidP="00730ECF">
            <w:pPr>
              <w:jc w:val="center"/>
              <w:rPr>
                <w:rFonts w:ascii="Calibri" w:eastAsia="Times New Roman" w:hAnsi="Calibri" w:cs="Calibri"/>
                <w:sz w:val="20"/>
                <w:szCs w:val="20"/>
              </w:rPr>
            </w:pPr>
            <w:r w:rsidRPr="00CD23C6">
              <w:rPr>
                <w:rFonts w:ascii="Calibri" w:eastAsia="Times New Roman" w:hAnsi="Calibri" w:cs="Calibri"/>
                <w:sz w:val="20"/>
                <w:szCs w:val="20"/>
              </w:rPr>
              <w:t>Not rated</w:t>
            </w:r>
          </w:p>
        </w:tc>
        <w:tc>
          <w:tcPr>
            <w:tcW w:w="1509" w:type="dxa"/>
            <w:tcBorders>
              <w:top w:val="nil"/>
              <w:left w:val="nil"/>
              <w:bottom w:val="nil"/>
              <w:right w:val="nil"/>
            </w:tcBorders>
            <w:noWrap/>
            <w:vAlign w:val="bottom"/>
            <w:hideMark/>
          </w:tcPr>
          <w:p w14:paraId="5AC5A341" w14:textId="77777777" w:rsidR="001B6918" w:rsidRPr="00CD23C6" w:rsidRDefault="001B6918" w:rsidP="00730ECF">
            <w:pPr>
              <w:jc w:val="center"/>
              <w:rPr>
                <w:rFonts w:ascii="Calibri" w:eastAsia="Times New Roman" w:hAnsi="Calibri" w:cs="Calibri"/>
                <w:sz w:val="20"/>
                <w:szCs w:val="20"/>
              </w:rPr>
            </w:pPr>
            <w:r w:rsidRPr="00CD23C6">
              <w:rPr>
                <w:rFonts w:ascii="Calibri" w:eastAsia="Times New Roman" w:hAnsi="Calibri" w:cs="Calibri"/>
                <w:sz w:val="20"/>
                <w:szCs w:val="20"/>
              </w:rPr>
              <w:t>.1 year</w:t>
            </w:r>
          </w:p>
        </w:tc>
        <w:tc>
          <w:tcPr>
            <w:tcW w:w="2480" w:type="dxa"/>
            <w:tcBorders>
              <w:top w:val="nil"/>
              <w:left w:val="nil"/>
              <w:bottom w:val="nil"/>
              <w:right w:val="nil"/>
            </w:tcBorders>
            <w:shd w:val="clear" w:color="000000" w:fill="FFFFFF"/>
            <w:noWrap/>
            <w:vAlign w:val="bottom"/>
            <w:hideMark/>
          </w:tcPr>
          <w:p w14:paraId="6B14CF0D" w14:textId="77777777" w:rsidR="001B6918" w:rsidRPr="00CD23C6" w:rsidRDefault="001B6918" w:rsidP="00730ECF">
            <w:pPr>
              <w:rPr>
                <w:rFonts w:ascii="Calibri" w:eastAsia="Times New Roman" w:hAnsi="Calibri" w:cs="Calibri"/>
                <w:sz w:val="20"/>
                <w:szCs w:val="20"/>
              </w:rPr>
            </w:pPr>
            <w:r w:rsidRPr="00CD23C6">
              <w:rPr>
                <w:rFonts w:ascii="Calibri" w:eastAsia="Times New Roman" w:hAnsi="Calibri" w:cs="Calibri"/>
                <w:sz w:val="20"/>
                <w:szCs w:val="20"/>
              </w:rPr>
              <w:t>Duration</w:t>
            </w:r>
          </w:p>
        </w:tc>
      </w:tr>
      <w:tr w:rsidR="00CE2413" w:rsidRPr="00B03F0B" w14:paraId="7358A80F" w14:textId="77777777" w:rsidTr="00CE2413">
        <w:trPr>
          <w:trHeight w:val="116"/>
          <w:jc w:val="center"/>
        </w:trPr>
        <w:tc>
          <w:tcPr>
            <w:tcW w:w="4320" w:type="dxa"/>
            <w:tcBorders>
              <w:top w:val="nil"/>
              <w:left w:val="nil"/>
              <w:bottom w:val="nil"/>
              <w:right w:val="nil"/>
            </w:tcBorders>
            <w:shd w:val="clear" w:color="000000" w:fill="FFFFFF"/>
            <w:noWrap/>
            <w:vAlign w:val="bottom"/>
            <w:hideMark/>
          </w:tcPr>
          <w:p w14:paraId="0455993B" w14:textId="77777777" w:rsidR="001B6918" w:rsidRPr="00B03F0B" w:rsidRDefault="001B6918" w:rsidP="00730ECF">
            <w:pPr>
              <w:ind w:firstLineChars="100" w:firstLine="200"/>
              <w:rPr>
                <w:rFonts w:ascii="Calibri" w:eastAsia="Times New Roman" w:hAnsi="Calibri" w:cs="Calibri"/>
                <w:color w:val="0D0D0D"/>
                <w:sz w:val="20"/>
                <w:szCs w:val="20"/>
              </w:rPr>
            </w:pPr>
            <w:r w:rsidRPr="00B03F0B">
              <w:rPr>
                <w:rFonts w:ascii="Calibri" w:eastAsia="Times New Roman" w:hAnsi="Calibri" w:cs="Calibri"/>
                <w:color w:val="0D0D0D"/>
                <w:sz w:val="20"/>
                <w:szCs w:val="20"/>
              </w:rPr>
              <w:t>Total operating investments measured at NAV</w:t>
            </w:r>
          </w:p>
        </w:tc>
        <w:tc>
          <w:tcPr>
            <w:tcW w:w="1260" w:type="dxa"/>
            <w:tcBorders>
              <w:top w:val="nil"/>
              <w:left w:val="nil"/>
              <w:bottom w:val="single" w:sz="4" w:space="0" w:color="000000"/>
              <w:right w:val="nil"/>
            </w:tcBorders>
            <w:shd w:val="clear" w:color="000000" w:fill="FFFFFF"/>
            <w:noWrap/>
            <w:hideMark/>
          </w:tcPr>
          <w:p w14:paraId="62E4253A" w14:textId="77777777" w:rsidR="001B6918" w:rsidRPr="00CD23C6" w:rsidRDefault="001B6918" w:rsidP="00730ECF">
            <w:pPr>
              <w:jc w:val="right"/>
              <w:rPr>
                <w:rFonts w:eastAsia="Times New Roman" w:cstheme="minorHAnsi"/>
                <w:color w:val="FF0000"/>
                <w:sz w:val="20"/>
                <w:szCs w:val="20"/>
              </w:rPr>
            </w:pPr>
            <w:r w:rsidRPr="00CD23C6">
              <w:rPr>
                <w:rFonts w:cstheme="minorHAnsi"/>
                <w:sz w:val="20"/>
                <w:szCs w:val="20"/>
              </w:rPr>
              <w:t xml:space="preserve"> 36,557 </w:t>
            </w:r>
          </w:p>
        </w:tc>
        <w:tc>
          <w:tcPr>
            <w:tcW w:w="1080" w:type="dxa"/>
            <w:tcBorders>
              <w:top w:val="nil"/>
              <w:left w:val="nil"/>
              <w:bottom w:val="nil"/>
              <w:right w:val="nil"/>
            </w:tcBorders>
            <w:shd w:val="clear" w:color="000000" w:fill="FFFFFF"/>
            <w:noWrap/>
            <w:vAlign w:val="bottom"/>
            <w:hideMark/>
          </w:tcPr>
          <w:p w14:paraId="65751622" w14:textId="77777777" w:rsidR="001B6918" w:rsidRPr="00CD23C6" w:rsidRDefault="001B6918" w:rsidP="00730ECF">
            <w:pPr>
              <w:jc w:val="right"/>
              <w:rPr>
                <w:rFonts w:eastAsia="Times New Roman" w:cstheme="minorHAnsi"/>
                <w:color w:val="FF0000"/>
                <w:sz w:val="20"/>
                <w:szCs w:val="20"/>
              </w:rPr>
            </w:pPr>
            <w:r w:rsidRPr="00CD23C6">
              <w:rPr>
                <w:rFonts w:eastAsia="Times New Roman" w:cstheme="minorHAnsi"/>
                <w:color w:val="FF0000"/>
                <w:sz w:val="20"/>
                <w:szCs w:val="20"/>
              </w:rPr>
              <w:t> </w:t>
            </w:r>
          </w:p>
        </w:tc>
        <w:tc>
          <w:tcPr>
            <w:tcW w:w="1260" w:type="dxa"/>
            <w:tcBorders>
              <w:top w:val="nil"/>
              <w:left w:val="nil"/>
              <w:bottom w:val="nil"/>
              <w:right w:val="nil"/>
            </w:tcBorders>
            <w:shd w:val="clear" w:color="000000" w:fill="FFFFFF"/>
            <w:noWrap/>
            <w:vAlign w:val="bottom"/>
            <w:hideMark/>
          </w:tcPr>
          <w:p w14:paraId="57DEFE0D" w14:textId="77777777" w:rsidR="001B6918" w:rsidRPr="00CD23C6" w:rsidRDefault="001B6918" w:rsidP="00730ECF">
            <w:pPr>
              <w:jc w:val="right"/>
              <w:rPr>
                <w:rFonts w:eastAsia="Times New Roman" w:cstheme="minorHAnsi"/>
                <w:color w:val="FF0000"/>
                <w:sz w:val="20"/>
                <w:szCs w:val="20"/>
              </w:rPr>
            </w:pPr>
            <w:r w:rsidRPr="00CD23C6">
              <w:rPr>
                <w:rFonts w:eastAsia="Times New Roman" w:cstheme="minorHAnsi"/>
                <w:color w:val="FF0000"/>
                <w:sz w:val="20"/>
                <w:szCs w:val="20"/>
              </w:rPr>
              <w:t> </w:t>
            </w:r>
          </w:p>
        </w:tc>
        <w:tc>
          <w:tcPr>
            <w:tcW w:w="1113" w:type="dxa"/>
            <w:tcBorders>
              <w:top w:val="nil"/>
              <w:left w:val="nil"/>
              <w:bottom w:val="nil"/>
              <w:right w:val="nil"/>
            </w:tcBorders>
            <w:shd w:val="clear" w:color="000000" w:fill="FFFFFF"/>
            <w:noWrap/>
            <w:vAlign w:val="bottom"/>
            <w:hideMark/>
          </w:tcPr>
          <w:p w14:paraId="20C5218D" w14:textId="77777777" w:rsidR="001B6918" w:rsidRPr="00CD23C6" w:rsidRDefault="001B6918" w:rsidP="00730ECF">
            <w:pPr>
              <w:jc w:val="right"/>
              <w:rPr>
                <w:rFonts w:eastAsia="Times New Roman" w:cstheme="minorHAnsi"/>
                <w:color w:val="FF0000"/>
                <w:sz w:val="20"/>
                <w:szCs w:val="20"/>
              </w:rPr>
            </w:pPr>
            <w:r w:rsidRPr="00CD23C6">
              <w:rPr>
                <w:rFonts w:eastAsia="Times New Roman" w:cstheme="minorHAnsi"/>
                <w:color w:val="FF0000"/>
                <w:sz w:val="20"/>
                <w:szCs w:val="20"/>
              </w:rPr>
              <w:t> </w:t>
            </w:r>
          </w:p>
        </w:tc>
        <w:tc>
          <w:tcPr>
            <w:tcW w:w="1102" w:type="dxa"/>
            <w:tcBorders>
              <w:top w:val="nil"/>
              <w:left w:val="nil"/>
              <w:bottom w:val="nil"/>
              <w:right w:val="nil"/>
            </w:tcBorders>
            <w:shd w:val="clear" w:color="000000" w:fill="FFFFFF"/>
            <w:noWrap/>
            <w:vAlign w:val="bottom"/>
            <w:hideMark/>
          </w:tcPr>
          <w:p w14:paraId="45A4D61F" w14:textId="77777777" w:rsidR="001B6918" w:rsidRPr="00CD23C6" w:rsidRDefault="001B6918" w:rsidP="00730ECF">
            <w:pPr>
              <w:jc w:val="center"/>
              <w:rPr>
                <w:rFonts w:ascii="Calibri" w:eastAsia="Times New Roman" w:hAnsi="Calibri" w:cs="Calibri"/>
                <w:sz w:val="20"/>
                <w:szCs w:val="20"/>
              </w:rPr>
            </w:pPr>
          </w:p>
        </w:tc>
        <w:tc>
          <w:tcPr>
            <w:tcW w:w="1509" w:type="dxa"/>
            <w:tcBorders>
              <w:top w:val="nil"/>
              <w:left w:val="nil"/>
              <w:bottom w:val="nil"/>
              <w:right w:val="nil"/>
            </w:tcBorders>
            <w:shd w:val="clear" w:color="000000" w:fill="FFFFFF"/>
            <w:noWrap/>
            <w:vAlign w:val="bottom"/>
            <w:hideMark/>
          </w:tcPr>
          <w:p w14:paraId="5FB72A11" w14:textId="77777777" w:rsidR="001B6918" w:rsidRPr="00CD23C6" w:rsidRDefault="001B6918" w:rsidP="00730ECF">
            <w:pPr>
              <w:jc w:val="center"/>
              <w:rPr>
                <w:rFonts w:ascii="Calibri" w:eastAsia="Times New Roman" w:hAnsi="Calibri" w:cs="Calibri"/>
                <w:sz w:val="20"/>
                <w:szCs w:val="20"/>
              </w:rPr>
            </w:pPr>
          </w:p>
        </w:tc>
        <w:tc>
          <w:tcPr>
            <w:tcW w:w="2480" w:type="dxa"/>
            <w:tcBorders>
              <w:top w:val="nil"/>
              <w:left w:val="nil"/>
              <w:bottom w:val="nil"/>
              <w:right w:val="nil"/>
            </w:tcBorders>
            <w:shd w:val="clear" w:color="000000" w:fill="FFFFFF"/>
            <w:noWrap/>
            <w:vAlign w:val="bottom"/>
            <w:hideMark/>
          </w:tcPr>
          <w:p w14:paraId="10D5C0F8" w14:textId="77777777" w:rsidR="001B6918" w:rsidRPr="00CD23C6" w:rsidRDefault="001B6918" w:rsidP="00730ECF">
            <w:pPr>
              <w:rPr>
                <w:rFonts w:ascii="Calibri" w:eastAsia="Times New Roman" w:hAnsi="Calibri" w:cs="Calibri"/>
                <w:sz w:val="20"/>
                <w:szCs w:val="20"/>
              </w:rPr>
            </w:pPr>
            <w:r w:rsidRPr="00CD23C6">
              <w:rPr>
                <w:rFonts w:ascii="Calibri" w:eastAsia="Times New Roman" w:hAnsi="Calibri" w:cs="Calibri"/>
                <w:sz w:val="20"/>
                <w:szCs w:val="20"/>
              </w:rPr>
              <w:t> </w:t>
            </w:r>
          </w:p>
        </w:tc>
      </w:tr>
      <w:tr w:rsidR="00CE2413" w:rsidRPr="00B03F0B" w14:paraId="58C98634" w14:textId="77777777" w:rsidTr="00F51774">
        <w:trPr>
          <w:trHeight w:val="341"/>
          <w:jc w:val="center"/>
        </w:trPr>
        <w:tc>
          <w:tcPr>
            <w:tcW w:w="4320" w:type="dxa"/>
            <w:tcBorders>
              <w:top w:val="nil"/>
              <w:left w:val="nil"/>
              <w:bottom w:val="nil"/>
              <w:right w:val="nil"/>
            </w:tcBorders>
            <w:shd w:val="clear" w:color="000000" w:fill="FFFFFF"/>
            <w:noWrap/>
            <w:vAlign w:val="bottom"/>
            <w:hideMark/>
          </w:tcPr>
          <w:p w14:paraId="2B34299B" w14:textId="77777777" w:rsidR="001B6918" w:rsidRPr="00B03F0B" w:rsidRDefault="001B6918" w:rsidP="00730ECF">
            <w:pPr>
              <w:ind w:leftChars="75" w:left="345" w:hangingChars="90" w:hanging="180"/>
              <w:rPr>
                <w:rFonts w:ascii="Calibri" w:eastAsia="Times New Roman" w:hAnsi="Calibri" w:cs="Calibri"/>
                <w:color w:val="0D0D0D"/>
                <w:sz w:val="20"/>
                <w:szCs w:val="20"/>
              </w:rPr>
            </w:pPr>
            <w:r w:rsidRPr="00B03F0B">
              <w:rPr>
                <w:rFonts w:ascii="Calibri" w:eastAsia="Times New Roman" w:hAnsi="Calibri" w:cs="Calibri"/>
                <w:color w:val="0D0D0D"/>
                <w:sz w:val="20"/>
                <w:szCs w:val="20"/>
              </w:rPr>
              <w:t>Total operating investments measured at fair value plus NAV</w:t>
            </w:r>
          </w:p>
        </w:tc>
        <w:tc>
          <w:tcPr>
            <w:tcW w:w="1260" w:type="dxa"/>
            <w:tcBorders>
              <w:top w:val="nil"/>
              <w:left w:val="nil"/>
              <w:bottom w:val="nil"/>
              <w:right w:val="nil"/>
            </w:tcBorders>
            <w:shd w:val="clear" w:color="000000" w:fill="FFFFFF"/>
            <w:noWrap/>
            <w:vAlign w:val="bottom"/>
            <w:hideMark/>
          </w:tcPr>
          <w:p w14:paraId="5719FB94" w14:textId="77777777" w:rsidR="001B6918" w:rsidRPr="00CD23C6" w:rsidRDefault="001B6918">
            <w:pPr>
              <w:jc w:val="right"/>
              <w:rPr>
                <w:rFonts w:eastAsia="Times New Roman" w:cstheme="minorHAnsi"/>
                <w:color w:val="FF0000"/>
                <w:sz w:val="20"/>
                <w:szCs w:val="20"/>
              </w:rPr>
            </w:pPr>
            <w:r w:rsidRPr="00CD23C6">
              <w:rPr>
                <w:rFonts w:cstheme="minorHAnsi"/>
                <w:sz w:val="20"/>
                <w:szCs w:val="20"/>
              </w:rPr>
              <w:t xml:space="preserve">235,622 </w:t>
            </w:r>
          </w:p>
        </w:tc>
        <w:tc>
          <w:tcPr>
            <w:tcW w:w="1080" w:type="dxa"/>
            <w:tcBorders>
              <w:top w:val="nil"/>
              <w:left w:val="nil"/>
              <w:bottom w:val="nil"/>
              <w:right w:val="nil"/>
            </w:tcBorders>
            <w:shd w:val="clear" w:color="000000" w:fill="FFFFFF"/>
            <w:noWrap/>
            <w:vAlign w:val="bottom"/>
            <w:hideMark/>
          </w:tcPr>
          <w:p w14:paraId="1AD54C56" w14:textId="77777777" w:rsidR="001B6918" w:rsidRPr="00CD23C6" w:rsidRDefault="001B6918" w:rsidP="00730ECF">
            <w:pPr>
              <w:jc w:val="right"/>
              <w:rPr>
                <w:rFonts w:eastAsia="Times New Roman" w:cstheme="minorHAnsi"/>
                <w:color w:val="FF0000"/>
                <w:sz w:val="20"/>
                <w:szCs w:val="20"/>
              </w:rPr>
            </w:pPr>
            <w:r w:rsidRPr="00CD23C6">
              <w:rPr>
                <w:rFonts w:eastAsia="Times New Roman" w:cstheme="minorHAnsi"/>
                <w:color w:val="FF0000"/>
                <w:sz w:val="20"/>
                <w:szCs w:val="20"/>
              </w:rPr>
              <w:t> </w:t>
            </w:r>
          </w:p>
        </w:tc>
        <w:tc>
          <w:tcPr>
            <w:tcW w:w="1260" w:type="dxa"/>
            <w:tcBorders>
              <w:top w:val="nil"/>
              <w:left w:val="nil"/>
              <w:bottom w:val="nil"/>
              <w:right w:val="nil"/>
            </w:tcBorders>
            <w:shd w:val="clear" w:color="000000" w:fill="FFFFFF"/>
            <w:noWrap/>
            <w:vAlign w:val="bottom"/>
            <w:hideMark/>
          </w:tcPr>
          <w:p w14:paraId="03DE447B" w14:textId="77777777" w:rsidR="001B6918" w:rsidRPr="00CD23C6" w:rsidRDefault="001B6918" w:rsidP="00730ECF">
            <w:pPr>
              <w:jc w:val="right"/>
              <w:rPr>
                <w:rFonts w:eastAsia="Times New Roman" w:cstheme="minorHAnsi"/>
                <w:color w:val="FF0000"/>
                <w:sz w:val="20"/>
                <w:szCs w:val="20"/>
              </w:rPr>
            </w:pPr>
            <w:r w:rsidRPr="00CD23C6">
              <w:rPr>
                <w:rFonts w:eastAsia="Times New Roman" w:cstheme="minorHAnsi"/>
                <w:color w:val="FF0000"/>
                <w:sz w:val="20"/>
                <w:szCs w:val="20"/>
              </w:rPr>
              <w:t> </w:t>
            </w:r>
          </w:p>
        </w:tc>
        <w:tc>
          <w:tcPr>
            <w:tcW w:w="1113" w:type="dxa"/>
            <w:tcBorders>
              <w:top w:val="nil"/>
              <w:left w:val="nil"/>
              <w:bottom w:val="nil"/>
              <w:right w:val="nil"/>
            </w:tcBorders>
            <w:shd w:val="clear" w:color="000000" w:fill="FFFFFF"/>
            <w:noWrap/>
            <w:vAlign w:val="bottom"/>
            <w:hideMark/>
          </w:tcPr>
          <w:p w14:paraId="00F5CFDF" w14:textId="77777777" w:rsidR="001B6918" w:rsidRPr="00CD23C6" w:rsidRDefault="001B6918" w:rsidP="00730ECF">
            <w:pPr>
              <w:jc w:val="right"/>
              <w:rPr>
                <w:rFonts w:eastAsia="Times New Roman" w:cstheme="minorHAnsi"/>
                <w:color w:val="FF0000"/>
                <w:sz w:val="20"/>
                <w:szCs w:val="20"/>
              </w:rPr>
            </w:pPr>
            <w:r w:rsidRPr="00CD23C6">
              <w:rPr>
                <w:rFonts w:eastAsia="Times New Roman" w:cstheme="minorHAnsi"/>
                <w:color w:val="FF0000"/>
                <w:sz w:val="20"/>
                <w:szCs w:val="20"/>
              </w:rPr>
              <w:t> </w:t>
            </w:r>
          </w:p>
        </w:tc>
        <w:tc>
          <w:tcPr>
            <w:tcW w:w="1102" w:type="dxa"/>
            <w:tcBorders>
              <w:top w:val="nil"/>
              <w:left w:val="nil"/>
              <w:bottom w:val="nil"/>
              <w:right w:val="nil"/>
            </w:tcBorders>
            <w:shd w:val="clear" w:color="000000" w:fill="FFFFFF"/>
            <w:noWrap/>
            <w:vAlign w:val="bottom"/>
            <w:hideMark/>
          </w:tcPr>
          <w:p w14:paraId="71343F6D" w14:textId="77777777" w:rsidR="001B6918" w:rsidRPr="00CD23C6" w:rsidRDefault="001B6918" w:rsidP="00730ECF">
            <w:pPr>
              <w:jc w:val="center"/>
              <w:rPr>
                <w:rFonts w:ascii="Calibri" w:eastAsia="Times New Roman" w:hAnsi="Calibri" w:cs="Calibri"/>
                <w:sz w:val="20"/>
                <w:szCs w:val="20"/>
              </w:rPr>
            </w:pPr>
          </w:p>
        </w:tc>
        <w:tc>
          <w:tcPr>
            <w:tcW w:w="1509" w:type="dxa"/>
            <w:tcBorders>
              <w:top w:val="nil"/>
              <w:left w:val="nil"/>
              <w:bottom w:val="nil"/>
              <w:right w:val="nil"/>
            </w:tcBorders>
            <w:shd w:val="clear" w:color="000000" w:fill="FFFFFF"/>
            <w:noWrap/>
            <w:vAlign w:val="bottom"/>
            <w:hideMark/>
          </w:tcPr>
          <w:p w14:paraId="7C72393F" w14:textId="77777777" w:rsidR="001B6918" w:rsidRPr="00CD23C6" w:rsidRDefault="001B6918" w:rsidP="00730ECF">
            <w:pPr>
              <w:jc w:val="center"/>
              <w:rPr>
                <w:rFonts w:ascii="Calibri" w:eastAsia="Times New Roman" w:hAnsi="Calibri" w:cs="Calibri"/>
                <w:sz w:val="20"/>
                <w:szCs w:val="20"/>
              </w:rPr>
            </w:pPr>
          </w:p>
        </w:tc>
        <w:tc>
          <w:tcPr>
            <w:tcW w:w="2480" w:type="dxa"/>
            <w:tcBorders>
              <w:top w:val="nil"/>
              <w:left w:val="nil"/>
              <w:bottom w:val="nil"/>
              <w:right w:val="nil"/>
            </w:tcBorders>
            <w:shd w:val="clear" w:color="000000" w:fill="FFFFFF"/>
            <w:noWrap/>
            <w:vAlign w:val="bottom"/>
            <w:hideMark/>
          </w:tcPr>
          <w:p w14:paraId="450B2CFC" w14:textId="77777777" w:rsidR="001B6918" w:rsidRPr="00CD23C6" w:rsidRDefault="001B6918" w:rsidP="00730ECF">
            <w:pPr>
              <w:rPr>
                <w:rFonts w:ascii="Calibri" w:eastAsia="Times New Roman" w:hAnsi="Calibri" w:cs="Calibri"/>
                <w:sz w:val="20"/>
                <w:szCs w:val="20"/>
              </w:rPr>
            </w:pPr>
            <w:r w:rsidRPr="00CD23C6">
              <w:rPr>
                <w:rFonts w:ascii="Calibri" w:eastAsia="Times New Roman" w:hAnsi="Calibri" w:cs="Calibri"/>
                <w:sz w:val="20"/>
                <w:szCs w:val="20"/>
              </w:rPr>
              <w:t> </w:t>
            </w:r>
          </w:p>
        </w:tc>
      </w:tr>
      <w:tr w:rsidR="00CE2413" w:rsidRPr="00B03F0B" w14:paraId="0C558850" w14:textId="77777777" w:rsidTr="00CE2413">
        <w:trPr>
          <w:trHeight w:val="108"/>
          <w:jc w:val="center"/>
        </w:trPr>
        <w:tc>
          <w:tcPr>
            <w:tcW w:w="4320" w:type="dxa"/>
            <w:tcBorders>
              <w:top w:val="nil"/>
              <w:left w:val="nil"/>
              <w:bottom w:val="single" w:sz="4" w:space="0" w:color="000000"/>
              <w:right w:val="nil"/>
            </w:tcBorders>
            <w:shd w:val="clear" w:color="000000" w:fill="FFFFFF"/>
            <w:noWrap/>
            <w:vAlign w:val="bottom"/>
            <w:hideMark/>
          </w:tcPr>
          <w:p w14:paraId="462E5DBE" w14:textId="77777777" w:rsidR="001B6918" w:rsidRPr="00B03F0B" w:rsidRDefault="001B6918" w:rsidP="00730ECF">
            <w:pPr>
              <w:ind w:firstLineChars="100" w:firstLine="200"/>
              <w:rPr>
                <w:rFonts w:ascii="Calibri" w:eastAsia="Times New Roman" w:hAnsi="Calibri" w:cs="Calibri"/>
                <w:color w:val="0D0D0D"/>
                <w:sz w:val="20"/>
                <w:szCs w:val="20"/>
              </w:rPr>
            </w:pPr>
            <w:r w:rsidRPr="00B03F0B">
              <w:rPr>
                <w:rFonts w:ascii="Calibri" w:eastAsia="Times New Roman" w:hAnsi="Calibri" w:cs="Calibri"/>
                <w:color w:val="0D0D0D"/>
                <w:sz w:val="20"/>
                <w:szCs w:val="20"/>
              </w:rPr>
              <w:t>State pool measured at amortized cost</w:t>
            </w:r>
          </w:p>
        </w:tc>
        <w:tc>
          <w:tcPr>
            <w:tcW w:w="1260" w:type="dxa"/>
            <w:tcBorders>
              <w:top w:val="nil"/>
              <w:left w:val="nil"/>
              <w:bottom w:val="single" w:sz="4" w:space="0" w:color="000000"/>
              <w:right w:val="nil"/>
            </w:tcBorders>
            <w:shd w:val="clear" w:color="000000" w:fill="FFFFFF"/>
            <w:noWrap/>
            <w:hideMark/>
          </w:tcPr>
          <w:p w14:paraId="7BCF2E97" w14:textId="77777777" w:rsidR="001B6918" w:rsidRPr="00CD23C6" w:rsidRDefault="001B6918" w:rsidP="00730ECF">
            <w:pPr>
              <w:jc w:val="right"/>
              <w:rPr>
                <w:rFonts w:eastAsia="Times New Roman" w:cstheme="minorHAnsi"/>
                <w:color w:val="FF0000"/>
                <w:sz w:val="20"/>
                <w:szCs w:val="20"/>
              </w:rPr>
            </w:pPr>
            <w:r w:rsidRPr="00CD23C6">
              <w:rPr>
                <w:rFonts w:cstheme="minorHAnsi"/>
                <w:sz w:val="20"/>
                <w:szCs w:val="20"/>
              </w:rPr>
              <w:t xml:space="preserve"> 15,016 </w:t>
            </w:r>
          </w:p>
        </w:tc>
        <w:tc>
          <w:tcPr>
            <w:tcW w:w="1080" w:type="dxa"/>
            <w:tcBorders>
              <w:top w:val="nil"/>
              <w:left w:val="nil"/>
              <w:bottom w:val="nil"/>
              <w:right w:val="nil"/>
            </w:tcBorders>
            <w:shd w:val="clear" w:color="000000" w:fill="FFFFFF"/>
            <w:noWrap/>
            <w:vAlign w:val="bottom"/>
            <w:hideMark/>
          </w:tcPr>
          <w:p w14:paraId="563B5EA0" w14:textId="77777777" w:rsidR="001B6918" w:rsidRPr="00CD23C6" w:rsidRDefault="001B6918" w:rsidP="00730ECF">
            <w:pPr>
              <w:jc w:val="right"/>
              <w:rPr>
                <w:rFonts w:eastAsia="Times New Roman" w:cstheme="minorHAnsi"/>
                <w:color w:val="FF0000"/>
                <w:sz w:val="20"/>
                <w:szCs w:val="20"/>
              </w:rPr>
            </w:pPr>
            <w:r w:rsidRPr="00CD23C6">
              <w:rPr>
                <w:rFonts w:eastAsia="Times New Roman" w:cstheme="minorHAnsi"/>
                <w:color w:val="FF0000"/>
                <w:sz w:val="20"/>
                <w:szCs w:val="20"/>
              </w:rPr>
              <w:t> </w:t>
            </w:r>
          </w:p>
        </w:tc>
        <w:tc>
          <w:tcPr>
            <w:tcW w:w="1260" w:type="dxa"/>
            <w:tcBorders>
              <w:top w:val="nil"/>
              <w:left w:val="nil"/>
              <w:bottom w:val="nil"/>
              <w:right w:val="nil"/>
            </w:tcBorders>
            <w:shd w:val="clear" w:color="000000" w:fill="FFFFFF"/>
            <w:noWrap/>
            <w:vAlign w:val="bottom"/>
            <w:hideMark/>
          </w:tcPr>
          <w:p w14:paraId="3EA9FF0F" w14:textId="77777777" w:rsidR="001B6918" w:rsidRPr="00CD23C6" w:rsidRDefault="001B6918" w:rsidP="00730ECF">
            <w:pPr>
              <w:jc w:val="right"/>
              <w:rPr>
                <w:rFonts w:eastAsia="Times New Roman" w:cstheme="minorHAnsi"/>
                <w:color w:val="FF0000"/>
                <w:sz w:val="20"/>
                <w:szCs w:val="20"/>
              </w:rPr>
            </w:pPr>
            <w:r w:rsidRPr="00CD23C6">
              <w:rPr>
                <w:rFonts w:eastAsia="Times New Roman" w:cstheme="minorHAnsi"/>
                <w:color w:val="FF0000"/>
                <w:sz w:val="20"/>
                <w:szCs w:val="20"/>
              </w:rPr>
              <w:t> </w:t>
            </w:r>
          </w:p>
        </w:tc>
        <w:tc>
          <w:tcPr>
            <w:tcW w:w="1113" w:type="dxa"/>
            <w:tcBorders>
              <w:top w:val="nil"/>
              <w:left w:val="nil"/>
              <w:bottom w:val="nil"/>
              <w:right w:val="nil"/>
            </w:tcBorders>
            <w:shd w:val="clear" w:color="000000" w:fill="FFFFFF"/>
            <w:noWrap/>
            <w:vAlign w:val="bottom"/>
            <w:hideMark/>
          </w:tcPr>
          <w:p w14:paraId="1AAAC19C" w14:textId="77777777" w:rsidR="001B6918" w:rsidRPr="00CD23C6" w:rsidRDefault="001B6918" w:rsidP="00730ECF">
            <w:pPr>
              <w:jc w:val="right"/>
              <w:rPr>
                <w:rFonts w:eastAsia="Times New Roman" w:cstheme="minorHAnsi"/>
                <w:color w:val="FF0000"/>
                <w:sz w:val="20"/>
                <w:szCs w:val="20"/>
              </w:rPr>
            </w:pPr>
            <w:r w:rsidRPr="00CD23C6">
              <w:rPr>
                <w:rFonts w:eastAsia="Times New Roman" w:cstheme="minorHAnsi"/>
                <w:color w:val="FF0000"/>
                <w:sz w:val="20"/>
                <w:szCs w:val="20"/>
              </w:rPr>
              <w:t> </w:t>
            </w:r>
          </w:p>
        </w:tc>
        <w:tc>
          <w:tcPr>
            <w:tcW w:w="1102" w:type="dxa"/>
            <w:tcBorders>
              <w:top w:val="nil"/>
              <w:left w:val="nil"/>
              <w:bottom w:val="nil"/>
              <w:right w:val="nil"/>
            </w:tcBorders>
            <w:shd w:val="clear" w:color="000000" w:fill="FFFFFF"/>
            <w:noWrap/>
            <w:vAlign w:val="bottom"/>
            <w:hideMark/>
          </w:tcPr>
          <w:p w14:paraId="23D24B60" w14:textId="77777777" w:rsidR="001B6918" w:rsidRPr="00CD23C6" w:rsidRDefault="001B6918" w:rsidP="00730ECF">
            <w:pPr>
              <w:jc w:val="center"/>
              <w:rPr>
                <w:rFonts w:ascii="Calibri" w:eastAsia="Times New Roman" w:hAnsi="Calibri" w:cs="Calibri"/>
                <w:sz w:val="20"/>
                <w:szCs w:val="20"/>
              </w:rPr>
            </w:pPr>
            <w:r w:rsidRPr="00CD23C6">
              <w:rPr>
                <w:rFonts w:ascii="Calibri" w:eastAsia="Times New Roman" w:hAnsi="Calibri" w:cs="Calibri"/>
                <w:sz w:val="20"/>
                <w:szCs w:val="20"/>
              </w:rPr>
              <w:t>Not rated</w:t>
            </w:r>
          </w:p>
        </w:tc>
        <w:tc>
          <w:tcPr>
            <w:tcW w:w="1509" w:type="dxa"/>
            <w:tcBorders>
              <w:top w:val="nil"/>
              <w:left w:val="nil"/>
              <w:bottom w:val="nil"/>
              <w:right w:val="nil"/>
            </w:tcBorders>
            <w:shd w:val="clear" w:color="000000" w:fill="FFFFFF"/>
            <w:noWrap/>
            <w:vAlign w:val="bottom"/>
            <w:hideMark/>
          </w:tcPr>
          <w:p w14:paraId="55A26336" w14:textId="77777777" w:rsidR="001B6918" w:rsidRPr="00CD23C6" w:rsidRDefault="001B6918" w:rsidP="00730ECF">
            <w:pPr>
              <w:jc w:val="center"/>
              <w:rPr>
                <w:rFonts w:ascii="Calibri" w:eastAsia="Times New Roman" w:hAnsi="Calibri" w:cs="Calibri"/>
                <w:sz w:val="20"/>
                <w:szCs w:val="20"/>
              </w:rPr>
            </w:pPr>
            <w:r w:rsidRPr="00CD23C6">
              <w:rPr>
                <w:rFonts w:ascii="Calibri" w:eastAsia="Times New Roman" w:hAnsi="Calibri" w:cs="Calibri"/>
                <w:sz w:val="20"/>
                <w:szCs w:val="20"/>
              </w:rPr>
              <w:t xml:space="preserve"> .91 years</w:t>
            </w:r>
          </w:p>
        </w:tc>
        <w:tc>
          <w:tcPr>
            <w:tcW w:w="2480" w:type="dxa"/>
            <w:tcBorders>
              <w:top w:val="nil"/>
              <w:left w:val="nil"/>
              <w:bottom w:val="nil"/>
              <w:right w:val="nil"/>
            </w:tcBorders>
            <w:shd w:val="clear" w:color="000000" w:fill="FFFFFF"/>
            <w:noWrap/>
            <w:vAlign w:val="bottom"/>
            <w:hideMark/>
          </w:tcPr>
          <w:p w14:paraId="51C4F771" w14:textId="77777777" w:rsidR="001B6918" w:rsidRPr="00CD23C6" w:rsidRDefault="001B6918" w:rsidP="00730ECF">
            <w:pPr>
              <w:rPr>
                <w:rFonts w:ascii="Calibri" w:eastAsia="Times New Roman" w:hAnsi="Calibri" w:cs="Calibri"/>
                <w:sz w:val="20"/>
                <w:szCs w:val="20"/>
              </w:rPr>
            </w:pPr>
            <w:r w:rsidRPr="00CD23C6">
              <w:rPr>
                <w:rFonts w:ascii="Calibri" w:eastAsia="Times New Roman" w:hAnsi="Calibri" w:cs="Calibri"/>
                <w:sz w:val="20"/>
                <w:szCs w:val="20"/>
              </w:rPr>
              <w:t>Duration</w:t>
            </w:r>
          </w:p>
        </w:tc>
      </w:tr>
      <w:tr w:rsidR="00CE2413" w:rsidRPr="00B03F0B" w14:paraId="66A21E5D" w14:textId="77777777" w:rsidTr="00CE2413">
        <w:trPr>
          <w:trHeight w:val="143"/>
          <w:jc w:val="center"/>
        </w:trPr>
        <w:tc>
          <w:tcPr>
            <w:tcW w:w="4320" w:type="dxa"/>
            <w:tcBorders>
              <w:top w:val="nil"/>
              <w:left w:val="nil"/>
              <w:bottom w:val="double" w:sz="6" w:space="0" w:color="000000"/>
              <w:right w:val="nil"/>
            </w:tcBorders>
            <w:shd w:val="clear" w:color="000000" w:fill="FFFFFF"/>
            <w:noWrap/>
            <w:vAlign w:val="bottom"/>
            <w:hideMark/>
          </w:tcPr>
          <w:p w14:paraId="485B2BDF" w14:textId="77777777" w:rsidR="001B6918" w:rsidRPr="00B03F0B" w:rsidRDefault="001B6918" w:rsidP="00730ECF">
            <w:pPr>
              <w:ind w:firstLineChars="100" w:firstLine="201"/>
              <w:rPr>
                <w:rFonts w:ascii="Calibri" w:eastAsia="Times New Roman" w:hAnsi="Calibri" w:cs="Calibri"/>
                <w:b/>
                <w:bCs/>
                <w:color w:val="0D0D0D"/>
                <w:sz w:val="20"/>
                <w:szCs w:val="20"/>
              </w:rPr>
            </w:pPr>
            <w:r w:rsidRPr="00B03F0B">
              <w:rPr>
                <w:rFonts w:ascii="Calibri" w:eastAsia="Times New Roman" w:hAnsi="Calibri" w:cs="Calibri"/>
                <w:b/>
                <w:bCs/>
                <w:color w:val="0D0D0D"/>
                <w:sz w:val="20"/>
                <w:szCs w:val="20"/>
              </w:rPr>
              <w:t>Total operating investments</w:t>
            </w:r>
          </w:p>
        </w:tc>
        <w:tc>
          <w:tcPr>
            <w:tcW w:w="1260" w:type="dxa"/>
            <w:tcBorders>
              <w:top w:val="nil"/>
              <w:left w:val="nil"/>
              <w:bottom w:val="double" w:sz="6" w:space="0" w:color="000000"/>
              <w:right w:val="nil"/>
            </w:tcBorders>
            <w:shd w:val="clear" w:color="000000" w:fill="FFFFFF"/>
            <w:noWrap/>
            <w:hideMark/>
          </w:tcPr>
          <w:p w14:paraId="6CAED670" w14:textId="77777777" w:rsidR="001B6918" w:rsidRPr="00CD23C6" w:rsidRDefault="001B6918" w:rsidP="00730ECF">
            <w:pPr>
              <w:jc w:val="right"/>
              <w:rPr>
                <w:rFonts w:eastAsia="Times New Roman" w:cstheme="minorHAnsi"/>
                <w:b/>
                <w:bCs/>
                <w:color w:val="FF0000"/>
                <w:sz w:val="20"/>
                <w:szCs w:val="20"/>
              </w:rPr>
            </w:pPr>
            <w:r w:rsidRPr="00CD23C6">
              <w:rPr>
                <w:rFonts w:cstheme="minorHAnsi"/>
                <w:sz w:val="20"/>
                <w:szCs w:val="20"/>
              </w:rPr>
              <w:t xml:space="preserve"> $250,638 </w:t>
            </w:r>
          </w:p>
        </w:tc>
        <w:tc>
          <w:tcPr>
            <w:tcW w:w="1080" w:type="dxa"/>
            <w:tcBorders>
              <w:top w:val="nil"/>
              <w:left w:val="nil"/>
              <w:bottom w:val="nil"/>
              <w:right w:val="nil"/>
            </w:tcBorders>
            <w:shd w:val="clear" w:color="000000" w:fill="FFFFFF"/>
            <w:noWrap/>
            <w:vAlign w:val="bottom"/>
            <w:hideMark/>
          </w:tcPr>
          <w:p w14:paraId="0A656B05" w14:textId="77777777" w:rsidR="001B6918" w:rsidRPr="00CD23C6" w:rsidRDefault="001B6918" w:rsidP="00730ECF">
            <w:pPr>
              <w:jc w:val="right"/>
              <w:rPr>
                <w:rFonts w:eastAsia="Times New Roman" w:cstheme="minorHAnsi"/>
                <w:b/>
                <w:bCs/>
                <w:color w:val="FF0000"/>
                <w:sz w:val="20"/>
                <w:szCs w:val="20"/>
              </w:rPr>
            </w:pPr>
            <w:r w:rsidRPr="00CD23C6">
              <w:rPr>
                <w:rFonts w:eastAsia="Times New Roman" w:cstheme="minorHAnsi"/>
                <w:b/>
                <w:bCs/>
                <w:color w:val="FF0000"/>
                <w:sz w:val="20"/>
                <w:szCs w:val="20"/>
              </w:rPr>
              <w:t> </w:t>
            </w:r>
          </w:p>
        </w:tc>
        <w:tc>
          <w:tcPr>
            <w:tcW w:w="1260" w:type="dxa"/>
            <w:tcBorders>
              <w:top w:val="nil"/>
              <w:left w:val="nil"/>
              <w:bottom w:val="nil"/>
              <w:right w:val="nil"/>
            </w:tcBorders>
            <w:shd w:val="clear" w:color="000000" w:fill="FFFFFF"/>
            <w:noWrap/>
            <w:vAlign w:val="bottom"/>
            <w:hideMark/>
          </w:tcPr>
          <w:p w14:paraId="6FC75AAE" w14:textId="77777777" w:rsidR="001B6918" w:rsidRPr="00CD23C6" w:rsidRDefault="001B6918" w:rsidP="00730ECF">
            <w:pPr>
              <w:jc w:val="right"/>
              <w:rPr>
                <w:rFonts w:eastAsia="Times New Roman" w:cstheme="minorHAnsi"/>
                <w:b/>
                <w:bCs/>
                <w:color w:val="FF0000"/>
                <w:sz w:val="20"/>
                <w:szCs w:val="20"/>
              </w:rPr>
            </w:pPr>
            <w:r w:rsidRPr="00CD23C6">
              <w:rPr>
                <w:rFonts w:eastAsia="Times New Roman" w:cstheme="minorHAnsi"/>
                <w:b/>
                <w:bCs/>
                <w:color w:val="FF0000"/>
                <w:sz w:val="20"/>
                <w:szCs w:val="20"/>
              </w:rPr>
              <w:t> </w:t>
            </w:r>
          </w:p>
        </w:tc>
        <w:tc>
          <w:tcPr>
            <w:tcW w:w="1113" w:type="dxa"/>
            <w:tcBorders>
              <w:top w:val="nil"/>
              <w:left w:val="nil"/>
              <w:bottom w:val="nil"/>
              <w:right w:val="nil"/>
            </w:tcBorders>
            <w:shd w:val="clear" w:color="000000" w:fill="FFFFFF"/>
            <w:noWrap/>
            <w:vAlign w:val="bottom"/>
            <w:hideMark/>
          </w:tcPr>
          <w:p w14:paraId="4DEECA6F" w14:textId="77777777" w:rsidR="001B6918" w:rsidRPr="00CD23C6" w:rsidRDefault="001B6918" w:rsidP="00730ECF">
            <w:pPr>
              <w:jc w:val="right"/>
              <w:rPr>
                <w:rFonts w:eastAsia="Times New Roman" w:cstheme="minorHAnsi"/>
                <w:b/>
                <w:bCs/>
                <w:color w:val="FF0000"/>
                <w:sz w:val="20"/>
                <w:szCs w:val="20"/>
              </w:rPr>
            </w:pPr>
            <w:r w:rsidRPr="00CD23C6">
              <w:rPr>
                <w:rFonts w:eastAsia="Times New Roman" w:cstheme="minorHAnsi"/>
                <w:b/>
                <w:bCs/>
                <w:color w:val="FF0000"/>
                <w:sz w:val="20"/>
                <w:szCs w:val="20"/>
              </w:rPr>
              <w:t> </w:t>
            </w:r>
          </w:p>
        </w:tc>
        <w:tc>
          <w:tcPr>
            <w:tcW w:w="1102" w:type="dxa"/>
            <w:tcBorders>
              <w:top w:val="nil"/>
              <w:left w:val="nil"/>
              <w:bottom w:val="nil"/>
              <w:right w:val="nil"/>
            </w:tcBorders>
            <w:shd w:val="clear" w:color="000000" w:fill="FFFFFF"/>
            <w:noWrap/>
            <w:vAlign w:val="bottom"/>
            <w:hideMark/>
          </w:tcPr>
          <w:p w14:paraId="5CD8DCAA" w14:textId="77777777" w:rsidR="001B6918" w:rsidRPr="00CD23C6" w:rsidRDefault="001B6918" w:rsidP="00730ECF">
            <w:pPr>
              <w:jc w:val="center"/>
              <w:rPr>
                <w:rFonts w:ascii="Calibri" w:eastAsia="Times New Roman" w:hAnsi="Calibri" w:cs="Calibri"/>
                <w:b/>
                <w:bCs/>
                <w:sz w:val="20"/>
                <w:szCs w:val="20"/>
              </w:rPr>
            </w:pPr>
          </w:p>
        </w:tc>
        <w:tc>
          <w:tcPr>
            <w:tcW w:w="1509" w:type="dxa"/>
            <w:tcBorders>
              <w:top w:val="nil"/>
              <w:left w:val="nil"/>
              <w:bottom w:val="nil"/>
              <w:right w:val="nil"/>
            </w:tcBorders>
            <w:shd w:val="clear" w:color="000000" w:fill="FFFFFF"/>
            <w:noWrap/>
            <w:vAlign w:val="bottom"/>
            <w:hideMark/>
          </w:tcPr>
          <w:p w14:paraId="06964585" w14:textId="77777777" w:rsidR="001B6918" w:rsidRPr="00CD23C6" w:rsidRDefault="001B6918" w:rsidP="00730ECF">
            <w:pPr>
              <w:jc w:val="center"/>
              <w:rPr>
                <w:rFonts w:ascii="Calibri" w:eastAsia="Times New Roman" w:hAnsi="Calibri" w:cs="Calibri"/>
                <w:b/>
                <w:bCs/>
                <w:sz w:val="20"/>
                <w:szCs w:val="20"/>
              </w:rPr>
            </w:pPr>
          </w:p>
        </w:tc>
        <w:tc>
          <w:tcPr>
            <w:tcW w:w="2480" w:type="dxa"/>
            <w:tcBorders>
              <w:top w:val="nil"/>
              <w:left w:val="nil"/>
              <w:bottom w:val="nil"/>
              <w:right w:val="nil"/>
            </w:tcBorders>
            <w:shd w:val="clear" w:color="000000" w:fill="FFFFFF"/>
            <w:noWrap/>
            <w:vAlign w:val="bottom"/>
            <w:hideMark/>
          </w:tcPr>
          <w:p w14:paraId="4DF5B809" w14:textId="77777777" w:rsidR="001B6918" w:rsidRPr="00CD23C6" w:rsidRDefault="001B6918" w:rsidP="00730ECF">
            <w:pPr>
              <w:rPr>
                <w:rFonts w:ascii="Calibri" w:eastAsia="Times New Roman" w:hAnsi="Calibri" w:cs="Calibri"/>
                <w:b/>
                <w:bCs/>
                <w:sz w:val="20"/>
                <w:szCs w:val="20"/>
              </w:rPr>
            </w:pPr>
            <w:r w:rsidRPr="00CD23C6">
              <w:rPr>
                <w:rFonts w:ascii="Calibri" w:eastAsia="Times New Roman" w:hAnsi="Calibri" w:cs="Calibri"/>
                <w:b/>
                <w:bCs/>
                <w:sz w:val="20"/>
                <w:szCs w:val="20"/>
              </w:rPr>
              <w:t> </w:t>
            </w:r>
          </w:p>
        </w:tc>
      </w:tr>
      <w:tr w:rsidR="00CE2413" w:rsidRPr="00B03F0B" w14:paraId="02DC27D7" w14:textId="77777777" w:rsidTr="00CE2413">
        <w:trPr>
          <w:trHeight w:val="50"/>
          <w:jc w:val="center"/>
        </w:trPr>
        <w:tc>
          <w:tcPr>
            <w:tcW w:w="4320" w:type="dxa"/>
            <w:tcBorders>
              <w:top w:val="nil"/>
              <w:left w:val="nil"/>
              <w:bottom w:val="nil"/>
              <w:right w:val="nil"/>
            </w:tcBorders>
            <w:shd w:val="clear" w:color="000000" w:fill="FFFFFF"/>
            <w:noWrap/>
            <w:vAlign w:val="bottom"/>
            <w:hideMark/>
          </w:tcPr>
          <w:p w14:paraId="7473C19B" w14:textId="77777777" w:rsidR="001B6918" w:rsidRPr="00B03F0B" w:rsidRDefault="001B6918" w:rsidP="00730ECF">
            <w:pPr>
              <w:ind w:firstLineChars="100" w:firstLine="201"/>
              <w:rPr>
                <w:rFonts w:ascii="Calibri" w:eastAsia="Times New Roman" w:hAnsi="Calibri" w:cs="Calibri"/>
                <w:b/>
                <w:bCs/>
                <w:color w:val="0D0D0D"/>
                <w:sz w:val="20"/>
                <w:szCs w:val="20"/>
              </w:rPr>
            </w:pPr>
            <w:r w:rsidRPr="00B03F0B">
              <w:rPr>
                <w:rFonts w:ascii="Calibri" w:eastAsia="Times New Roman" w:hAnsi="Calibri" w:cs="Calibri"/>
                <w:b/>
                <w:bCs/>
                <w:color w:val="0D0D0D"/>
                <w:sz w:val="20"/>
                <w:szCs w:val="20"/>
              </w:rPr>
              <w:t> </w:t>
            </w:r>
          </w:p>
        </w:tc>
        <w:tc>
          <w:tcPr>
            <w:tcW w:w="1260" w:type="dxa"/>
            <w:tcBorders>
              <w:top w:val="nil"/>
              <w:left w:val="nil"/>
              <w:bottom w:val="nil"/>
              <w:right w:val="nil"/>
            </w:tcBorders>
            <w:shd w:val="clear" w:color="000000" w:fill="FFFFFF"/>
            <w:noWrap/>
            <w:vAlign w:val="bottom"/>
            <w:hideMark/>
          </w:tcPr>
          <w:p w14:paraId="17D73FC3" w14:textId="77777777" w:rsidR="001B6918" w:rsidRPr="00CD23C6" w:rsidRDefault="001B6918" w:rsidP="00730ECF">
            <w:pPr>
              <w:jc w:val="right"/>
              <w:rPr>
                <w:rFonts w:eastAsia="Times New Roman" w:cstheme="minorHAnsi"/>
                <w:b/>
                <w:bCs/>
                <w:color w:val="FF0000"/>
                <w:sz w:val="20"/>
                <w:szCs w:val="20"/>
              </w:rPr>
            </w:pPr>
            <w:r w:rsidRPr="00CD23C6">
              <w:rPr>
                <w:rFonts w:eastAsia="Times New Roman" w:cstheme="minorHAnsi"/>
                <w:b/>
                <w:bCs/>
                <w:color w:val="FF0000"/>
                <w:sz w:val="20"/>
                <w:szCs w:val="20"/>
              </w:rPr>
              <w:t> </w:t>
            </w:r>
          </w:p>
        </w:tc>
        <w:tc>
          <w:tcPr>
            <w:tcW w:w="1080" w:type="dxa"/>
            <w:tcBorders>
              <w:top w:val="nil"/>
              <w:left w:val="nil"/>
              <w:bottom w:val="nil"/>
              <w:right w:val="nil"/>
            </w:tcBorders>
            <w:shd w:val="clear" w:color="000000" w:fill="FFFFFF"/>
            <w:noWrap/>
            <w:vAlign w:val="bottom"/>
            <w:hideMark/>
          </w:tcPr>
          <w:p w14:paraId="37B5D769" w14:textId="77777777" w:rsidR="001B6918" w:rsidRPr="00CD23C6" w:rsidRDefault="001B6918" w:rsidP="00730ECF">
            <w:pPr>
              <w:jc w:val="right"/>
              <w:rPr>
                <w:rFonts w:eastAsia="Times New Roman" w:cstheme="minorHAnsi"/>
                <w:b/>
                <w:bCs/>
                <w:color w:val="FF0000"/>
                <w:sz w:val="20"/>
                <w:szCs w:val="20"/>
              </w:rPr>
            </w:pPr>
            <w:r w:rsidRPr="00CD23C6">
              <w:rPr>
                <w:rFonts w:eastAsia="Times New Roman" w:cstheme="minorHAnsi"/>
                <w:b/>
                <w:bCs/>
                <w:color w:val="FF0000"/>
                <w:sz w:val="20"/>
                <w:szCs w:val="20"/>
              </w:rPr>
              <w:t> </w:t>
            </w:r>
          </w:p>
        </w:tc>
        <w:tc>
          <w:tcPr>
            <w:tcW w:w="1260" w:type="dxa"/>
            <w:tcBorders>
              <w:top w:val="nil"/>
              <w:left w:val="nil"/>
              <w:bottom w:val="nil"/>
              <w:right w:val="nil"/>
            </w:tcBorders>
            <w:shd w:val="clear" w:color="000000" w:fill="FFFFFF"/>
            <w:noWrap/>
            <w:vAlign w:val="bottom"/>
            <w:hideMark/>
          </w:tcPr>
          <w:p w14:paraId="56159A21" w14:textId="77777777" w:rsidR="001B6918" w:rsidRPr="00CD23C6" w:rsidRDefault="001B6918" w:rsidP="00730ECF">
            <w:pPr>
              <w:jc w:val="right"/>
              <w:rPr>
                <w:rFonts w:eastAsia="Times New Roman" w:cstheme="minorHAnsi"/>
                <w:b/>
                <w:bCs/>
                <w:color w:val="FF0000"/>
                <w:sz w:val="20"/>
                <w:szCs w:val="20"/>
              </w:rPr>
            </w:pPr>
            <w:r w:rsidRPr="00CD23C6">
              <w:rPr>
                <w:rFonts w:eastAsia="Times New Roman" w:cstheme="minorHAnsi"/>
                <w:b/>
                <w:bCs/>
                <w:color w:val="FF0000"/>
                <w:sz w:val="20"/>
                <w:szCs w:val="20"/>
              </w:rPr>
              <w:t> </w:t>
            </w:r>
          </w:p>
        </w:tc>
        <w:tc>
          <w:tcPr>
            <w:tcW w:w="1113" w:type="dxa"/>
            <w:tcBorders>
              <w:top w:val="nil"/>
              <w:left w:val="nil"/>
              <w:bottom w:val="nil"/>
              <w:right w:val="nil"/>
            </w:tcBorders>
            <w:shd w:val="clear" w:color="000000" w:fill="FFFFFF"/>
            <w:noWrap/>
            <w:vAlign w:val="bottom"/>
            <w:hideMark/>
          </w:tcPr>
          <w:p w14:paraId="15C6CCAA" w14:textId="77777777" w:rsidR="001B6918" w:rsidRPr="00CD23C6" w:rsidRDefault="001B6918" w:rsidP="00730ECF">
            <w:pPr>
              <w:jc w:val="right"/>
              <w:rPr>
                <w:rFonts w:eastAsia="Times New Roman" w:cstheme="minorHAnsi"/>
                <w:b/>
                <w:bCs/>
                <w:color w:val="FF0000"/>
                <w:sz w:val="20"/>
                <w:szCs w:val="20"/>
              </w:rPr>
            </w:pPr>
            <w:r w:rsidRPr="00CD23C6">
              <w:rPr>
                <w:rFonts w:eastAsia="Times New Roman" w:cstheme="minorHAnsi"/>
                <w:b/>
                <w:bCs/>
                <w:color w:val="FF0000"/>
                <w:sz w:val="20"/>
                <w:szCs w:val="20"/>
              </w:rPr>
              <w:t> </w:t>
            </w:r>
          </w:p>
        </w:tc>
        <w:tc>
          <w:tcPr>
            <w:tcW w:w="1102" w:type="dxa"/>
            <w:tcBorders>
              <w:top w:val="nil"/>
              <w:left w:val="nil"/>
              <w:bottom w:val="nil"/>
              <w:right w:val="nil"/>
            </w:tcBorders>
            <w:shd w:val="clear" w:color="000000" w:fill="FFFFFF"/>
            <w:noWrap/>
            <w:vAlign w:val="bottom"/>
            <w:hideMark/>
          </w:tcPr>
          <w:p w14:paraId="06A66616" w14:textId="77777777" w:rsidR="001B6918" w:rsidRPr="00CD23C6" w:rsidRDefault="001B6918" w:rsidP="00730ECF">
            <w:pPr>
              <w:jc w:val="center"/>
              <w:rPr>
                <w:rFonts w:ascii="Calibri" w:eastAsia="Times New Roman" w:hAnsi="Calibri" w:cs="Calibri"/>
                <w:b/>
                <w:bCs/>
                <w:sz w:val="20"/>
                <w:szCs w:val="20"/>
              </w:rPr>
            </w:pPr>
          </w:p>
        </w:tc>
        <w:tc>
          <w:tcPr>
            <w:tcW w:w="1509" w:type="dxa"/>
            <w:tcBorders>
              <w:top w:val="nil"/>
              <w:left w:val="nil"/>
              <w:bottom w:val="nil"/>
              <w:right w:val="nil"/>
            </w:tcBorders>
            <w:shd w:val="clear" w:color="000000" w:fill="FFFFFF"/>
            <w:noWrap/>
            <w:vAlign w:val="bottom"/>
            <w:hideMark/>
          </w:tcPr>
          <w:p w14:paraId="38A702AE" w14:textId="77777777" w:rsidR="001B6918" w:rsidRPr="00CD23C6" w:rsidRDefault="001B6918" w:rsidP="00730ECF">
            <w:pPr>
              <w:jc w:val="center"/>
              <w:rPr>
                <w:rFonts w:ascii="Calibri" w:eastAsia="Times New Roman" w:hAnsi="Calibri" w:cs="Calibri"/>
                <w:b/>
                <w:bCs/>
                <w:sz w:val="20"/>
                <w:szCs w:val="20"/>
              </w:rPr>
            </w:pPr>
          </w:p>
        </w:tc>
        <w:tc>
          <w:tcPr>
            <w:tcW w:w="2480" w:type="dxa"/>
            <w:tcBorders>
              <w:top w:val="nil"/>
              <w:left w:val="nil"/>
              <w:bottom w:val="nil"/>
              <w:right w:val="nil"/>
            </w:tcBorders>
            <w:shd w:val="clear" w:color="000000" w:fill="FFFFFF"/>
            <w:noWrap/>
            <w:vAlign w:val="bottom"/>
            <w:hideMark/>
          </w:tcPr>
          <w:p w14:paraId="7A1E98E3" w14:textId="77777777" w:rsidR="001B6918" w:rsidRPr="00CD23C6" w:rsidRDefault="001B6918" w:rsidP="00730ECF">
            <w:pPr>
              <w:rPr>
                <w:rFonts w:ascii="Calibri" w:eastAsia="Times New Roman" w:hAnsi="Calibri" w:cs="Calibri"/>
                <w:b/>
                <w:bCs/>
                <w:sz w:val="20"/>
                <w:szCs w:val="20"/>
              </w:rPr>
            </w:pPr>
            <w:r w:rsidRPr="00CD23C6">
              <w:rPr>
                <w:rFonts w:ascii="Calibri" w:eastAsia="Times New Roman" w:hAnsi="Calibri" w:cs="Calibri"/>
                <w:b/>
                <w:bCs/>
                <w:sz w:val="20"/>
                <w:szCs w:val="20"/>
              </w:rPr>
              <w:t> </w:t>
            </w:r>
          </w:p>
        </w:tc>
      </w:tr>
      <w:tr w:rsidR="00CE2413" w:rsidRPr="00B03F0B" w14:paraId="47D5C539" w14:textId="77777777" w:rsidTr="00CE2413">
        <w:trPr>
          <w:trHeight w:val="162"/>
          <w:jc w:val="center"/>
        </w:trPr>
        <w:tc>
          <w:tcPr>
            <w:tcW w:w="4320" w:type="dxa"/>
            <w:tcBorders>
              <w:top w:val="nil"/>
              <w:left w:val="nil"/>
              <w:bottom w:val="nil"/>
              <w:right w:val="nil"/>
            </w:tcBorders>
            <w:shd w:val="clear" w:color="000000" w:fill="FFFFFF"/>
            <w:noWrap/>
            <w:vAlign w:val="bottom"/>
            <w:hideMark/>
          </w:tcPr>
          <w:p w14:paraId="52F121D2" w14:textId="77777777" w:rsidR="001B6918" w:rsidRPr="00B03F0B" w:rsidRDefault="001B6918" w:rsidP="00730ECF">
            <w:pPr>
              <w:rPr>
                <w:rFonts w:ascii="Calibri" w:eastAsia="Times New Roman" w:hAnsi="Calibri" w:cs="Calibri"/>
                <w:b/>
                <w:bCs/>
                <w:color w:val="0D0D0D"/>
                <w:sz w:val="20"/>
                <w:szCs w:val="20"/>
              </w:rPr>
            </w:pPr>
            <w:r w:rsidRPr="00B03F0B">
              <w:rPr>
                <w:rFonts w:ascii="Calibri" w:eastAsia="Times New Roman" w:hAnsi="Calibri" w:cs="Calibri"/>
                <w:b/>
                <w:bCs/>
                <w:color w:val="0D0D0D"/>
                <w:sz w:val="20"/>
                <w:szCs w:val="20"/>
              </w:rPr>
              <w:t>Deposits with Trustees:</w:t>
            </w:r>
          </w:p>
        </w:tc>
        <w:tc>
          <w:tcPr>
            <w:tcW w:w="1260" w:type="dxa"/>
            <w:tcBorders>
              <w:top w:val="nil"/>
              <w:left w:val="nil"/>
              <w:bottom w:val="nil"/>
              <w:right w:val="nil"/>
            </w:tcBorders>
            <w:shd w:val="clear" w:color="000000" w:fill="FFFFFF"/>
            <w:noWrap/>
            <w:vAlign w:val="bottom"/>
            <w:hideMark/>
          </w:tcPr>
          <w:p w14:paraId="07AB5068" w14:textId="77777777" w:rsidR="001B6918" w:rsidRPr="00CD23C6" w:rsidRDefault="001B6918" w:rsidP="00730ECF">
            <w:pPr>
              <w:jc w:val="right"/>
              <w:rPr>
                <w:rFonts w:eastAsia="Times New Roman" w:cstheme="minorHAnsi"/>
                <w:color w:val="FF0000"/>
                <w:sz w:val="20"/>
                <w:szCs w:val="20"/>
              </w:rPr>
            </w:pPr>
            <w:r w:rsidRPr="00CD23C6">
              <w:rPr>
                <w:rFonts w:eastAsia="Times New Roman" w:cstheme="minorHAnsi"/>
                <w:color w:val="FF0000"/>
                <w:sz w:val="20"/>
                <w:szCs w:val="20"/>
              </w:rPr>
              <w:t> </w:t>
            </w:r>
          </w:p>
        </w:tc>
        <w:tc>
          <w:tcPr>
            <w:tcW w:w="1080" w:type="dxa"/>
            <w:tcBorders>
              <w:top w:val="nil"/>
              <w:left w:val="nil"/>
              <w:bottom w:val="nil"/>
              <w:right w:val="nil"/>
            </w:tcBorders>
            <w:shd w:val="clear" w:color="000000" w:fill="FFFFFF"/>
            <w:noWrap/>
            <w:vAlign w:val="bottom"/>
            <w:hideMark/>
          </w:tcPr>
          <w:p w14:paraId="52386B77" w14:textId="77777777" w:rsidR="001B6918" w:rsidRPr="00CD23C6" w:rsidRDefault="001B6918" w:rsidP="00730ECF">
            <w:pPr>
              <w:jc w:val="right"/>
              <w:rPr>
                <w:rFonts w:eastAsia="Times New Roman" w:cstheme="minorHAnsi"/>
                <w:color w:val="FF0000"/>
                <w:sz w:val="20"/>
                <w:szCs w:val="20"/>
              </w:rPr>
            </w:pPr>
            <w:r w:rsidRPr="00CD23C6">
              <w:rPr>
                <w:rFonts w:eastAsia="Times New Roman" w:cstheme="minorHAnsi"/>
                <w:color w:val="FF0000"/>
                <w:sz w:val="20"/>
                <w:szCs w:val="20"/>
              </w:rPr>
              <w:t> </w:t>
            </w:r>
          </w:p>
        </w:tc>
        <w:tc>
          <w:tcPr>
            <w:tcW w:w="1260" w:type="dxa"/>
            <w:tcBorders>
              <w:top w:val="nil"/>
              <w:left w:val="nil"/>
              <w:bottom w:val="nil"/>
              <w:right w:val="nil"/>
            </w:tcBorders>
            <w:shd w:val="clear" w:color="000000" w:fill="FFFFFF"/>
            <w:noWrap/>
            <w:vAlign w:val="bottom"/>
            <w:hideMark/>
          </w:tcPr>
          <w:p w14:paraId="597F8B39" w14:textId="77777777" w:rsidR="001B6918" w:rsidRPr="00CD23C6" w:rsidRDefault="001B6918" w:rsidP="00730ECF">
            <w:pPr>
              <w:jc w:val="right"/>
              <w:rPr>
                <w:rFonts w:eastAsia="Times New Roman" w:cstheme="minorHAnsi"/>
                <w:color w:val="FF0000"/>
                <w:sz w:val="20"/>
                <w:szCs w:val="20"/>
              </w:rPr>
            </w:pPr>
            <w:r w:rsidRPr="00CD23C6">
              <w:rPr>
                <w:rFonts w:eastAsia="Times New Roman" w:cstheme="minorHAnsi"/>
                <w:color w:val="FF0000"/>
                <w:sz w:val="20"/>
                <w:szCs w:val="20"/>
              </w:rPr>
              <w:t> </w:t>
            </w:r>
          </w:p>
        </w:tc>
        <w:tc>
          <w:tcPr>
            <w:tcW w:w="1113" w:type="dxa"/>
            <w:tcBorders>
              <w:top w:val="nil"/>
              <w:left w:val="nil"/>
              <w:bottom w:val="nil"/>
              <w:right w:val="nil"/>
            </w:tcBorders>
            <w:shd w:val="clear" w:color="000000" w:fill="FFFFFF"/>
            <w:noWrap/>
            <w:vAlign w:val="bottom"/>
            <w:hideMark/>
          </w:tcPr>
          <w:p w14:paraId="0D0CDF21" w14:textId="77777777" w:rsidR="001B6918" w:rsidRPr="00CD23C6" w:rsidRDefault="001B6918" w:rsidP="00730ECF">
            <w:pPr>
              <w:jc w:val="right"/>
              <w:rPr>
                <w:rFonts w:eastAsia="Times New Roman" w:cstheme="minorHAnsi"/>
                <w:color w:val="FF0000"/>
                <w:sz w:val="20"/>
                <w:szCs w:val="20"/>
              </w:rPr>
            </w:pPr>
            <w:r w:rsidRPr="00CD23C6">
              <w:rPr>
                <w:rFonts w:eastAsia="Times New Roman" w:cstheme="minorHAnsi"/>
                <w:color w:val="FF0000"/>
                <w:sz w:val="20"/>
                <w:szCs w:val="20"/>
              </w:rPr>
              <w:t> </w:t>
            </w:r>
          </w:p>
        </w:tc>
        <w:tc>
          <w:tcPr>
            <w:tcW w:w="1102" w:type="dxa"/>
            <w:tcBorders>
              <w:top w:val="nil"/>
              <w:left w:val="nil"/>
              <w:bottom w:val="nil"/>
              <w:right w:val="nil"/>
            </w:tcBorders>
            <w:shd w:val="clear" w:color="000000" w:fill="FFFFFF"/>
            <w:noWrap/>
            <w:vAlign w:val="bottom"/>
            <w:hideMark/>
          </w:tcPr>
          <w:p w14:paraId="41D8AB29" w14:textId="77777777" w:rsidR="001B6918" w:rsidRPr="00CD23C6" w:rsidRDefault="001B6918" w:rsidP="00730ECF">
            <w:pPr>
              <w:jc w:val="center"/>
              <w:rPr>
                <w:rFonts w:ascii="Calibri" w:eastAsia="Times New Roman" w:hAnsi="Calibri" w:cs="Calibri"/>
                <w:sz w:val="20"/>
                <w:szCs w:val="20"/>
              </w:rPr>
            </w:pPr>
          </w:p>
        </w:tc>
        <w:tc>
          <w:tcPr>
            <w:tcW w:w="1509" w:type="dxa"/>
            <w:tcBorders>
              <w:top w:val="nil"/>
              <w:left w:val="nil"/>
              <w:bottom w:val="nil"/>
              <w:right w:val="nil"/>
            </w:tcBorders>
            <w:shd w:val="clear" w:color="000000" w:fill="FFFFFF"/>
            <w:noWrap/>
            <w:vAlign w:val="bottom"/>
            <w:hideMark/>
          </w:tcPr>
          <w:p w14:paraId="302B2A3F" w14:textId="77777777" w:rsidR="001B6918" w:rsidRPr="00CD23C6" w:rsidRDefault="001B6918" w:rsidP="00730ECF">
            <w:pPr>
              <w:jc w:val="center"/>
              <w:rPr>
                <w:rFonts w:ascii="Calibri" w:eastAsia="Times New Roman" w:hAnsi="Calibri" w:cs="Calibri"/>
                <w:sz w:val="20"/>
                <w:szCs w:val="20"/>
              </w:rPr>
            </w:pPr>
          </w:p>
        </w:tc>
        <w:tc>
          <w:tcPr>
            <w:tcW w:w="2480" w:type="dxa"/>
            <w:tcBorders>
              <w:top w:val="nil"/>
              <w:left w:val="nil"/>
              <w:bottom w:val="nil"/>
              <w:right w:val="nil"/>
            </w:tcBorders>
            <w:shd w:val="clear" w:color="000000" w:fill="FFFFFF"/>
            <w:noWrap/>
            <w:vAlign w:val="bottom"/>
            <w:hideMark/>
          </w:tcPr>
          <w:p w14:paraId="03009160" w14:textId="77777777" w:rsidR="001B6918" w:rsidRPr="00CD23C6" w:rsidRDefault="001B6918" w:rsidP="00730ECF">
            <w:pPr>
              <w:rPr>
                <w:rFonts w:ascii="Calibri" w:eastAsia="Times New Roman" w:hAnsi="Calibri" w:cs="Calibri"/>
                <w:sz w:val="20"/>
                <w:szCs w:val="20"/>
              </w:rPr>
            </w:pPr>
            <w:r w:rsidRPr="00CD23C6">
              <w:rPr>
                <w:rFonts w:ascii="Calibri" w:eastAsia="Times New Roman" w:hAnsi="Calibri" w:cs="Calibri"/>
                <w:sz w:val="20"/>
                <w:szCs w:val="20"/>
              </w:rPr>
              <w:t> </w:t>
            </w:r>
          </w:p>
        </w:tc>
      </w:tr>
      <w:tr w:rsidR="00CE2413" w:rsidRPr="00B03F0B" w14:paraId="7BBF12FB" w14:textId="77777777" w:rsidTr="00CE2413">
        <w:trPr>
          <w:trHeight w:val="207"/>
          <w:jc w:val="center"/>
        </w:trPr>
        <w:tc>
          <w:tcPr>
            <w:tcW w:w="4320" w:type="dxa"/>
            <w:tcBorders>
              <w:top w:val="nil"/>
              <w:left w:val="nil"/>
              <w:bottom w:val="double" w:sz="6" w:space="0" w:color="000000"/>
              <w:right w:val="nil"/>
            </w:tcBorders>
            <w:shd w:val="clear" w:color="000000" w:fill="FFFFFF"/>
            <w:noWrap/>
            <w:vAlign w:val="bottom"/>
            <w:hideMark/>
          </w:tcPr>
          <w:p w14:paraId="6EFC0222" w14:textId="77777777" w:rsidR="001B6918" w:rsidRPr="00B03F0B" w:rsidRDefault="001B6918" w:rsidP="00730ECF">
            <w:pPr>
              <w:rPr>
                <w:rFonts w:ascii="Calibri" w:eastAsia="Times New Roman" w:hAnsi="Calibri" w:cs="Calibri"/>
                <w:color w:val="0D0D0D"/>
                <w:sz w:val="20"/>
                <w:szCs w:val="20"/>
              </w:rPr>
            </w:pPr>
            <w:r w:rsidRPr="00B03F0B">
              <w:rPr>
                <w:rFonts w:ascii="Calibri" w:eastAsia="Times New Roman" w:hAnsi="Calibri" w:cs="Calibri"/>
                <w:color w:val="0D0D0D"/>
                <w:sz w:val="20"/>
                <w:szCs w:val="20"/>
              </w:rPr>
              <w:t>Bonds and money markets</w:t>
            </w:r>
          </w:p>
        </w:tc>
        <w:tc>
          <w:tcPr>
            <w:tcW w:w="1260" w:type="dxa"/>
            <w:tcBorders>
              <w:top w:val="nil"/>
              <w:left w:val="nil"/>
              <w:bottom w:val="double" w:sz="6" w:space="0" w:color="000000"/>
              <w:right w:val="nil"/>
            </w:tcBorders>
            <w:shd w:val="clear" w:color="000000" w:fill="FFFFFF"/>
            <w:noWrap/>
            <w:hideMark/>
          </w:tcPr>
          <w:p w14:paraId="54EACECE" w14:textId="77777777" w:rsidR="001B6918" w:rsidRPr="00CD23C6" w:rsidRDefault="001B6918" w:rsidP="00730ECF">
            <w:pPr>
              <w:jc w:val="right"/>
              <w:rPr>
                <w:rFonts w:eastAsia="Times New Roman" w:cstheme="minorHAnsi"/>
                <w:b/>
                <w:bCs/>
                <w:color w:val="FF0000"/>
                <w:sz w:val="20"/>
                <w:szCs w:val="20"/>
              </w:rPr>
            </w:pPr>
            <w:r w:rsidRPr="00CD23C6">
              <w:rPr>
                <w:rFonts w:cstheme="minorHAnsi"/>
                <w:sz w:val="20"/>
                <w:szCs w:val="20"/>
              </w:rPr>
              <w:t xml:space="preserve"> $</w:t>
            </w:r>
            <w:r>
              <w:rPr>
                <w:rFonts w:cstheme="minorHAnsi"/>
                <w:sz w:val="20"/>
                <w:szCs w:val="20"/>
              </w:rPr>
              <w:t xml:space="preserve">  </w:t>
            </w:r>
            <w:r w:rsidRPr="00CD23C6">
              <w:rPr>
                <w:rFonts w:cstheme="minorHAnsi"/>
                <w:sz w:val="20"/>
                <w:szCs w:val="20"/>
              </w:rPr>
              <w:t xml:space="preserve">2,583 </w:t>
            </w:r>
          </w:p>
        </w:tc>
        <w:tc>
          <w:tcPr>
            <w:tcW w:w="1080" w:type="dxa"/>
            <w:tcBorders>
              <w:top w:val="nil"/>
              <w:left w:val="nil"/>
              <w:bottom w:val="double" w:sz="6" w:space="0" w:color="000000"/>
              <w:right w:val="nil"/>
            </w:tcBorders>
            <w:shd w:val="clear" w:color="000000" w:fill="FFFFFF"/>
            <w:noWrap/>
            <w:hideMark/>
          </w:tcPr>
          <w:p w14:paraId="4F0CA9CC" w14:textId="77777777" w:rsidR="001B6918" w:rsidRPr="00CD23C6" w:rsidRDefault="001B6918" w:rsidP="00730ECF">
            <w:pPr>
              <w:jc w:val="right"/>
              <w:rPr>
                <w:rFonts w:eastAsia="Times New Roman" w:cstheme="minorHAnsi"/>
                <w:b/>
                <w:bCs/>
                <w:color w:val="FF0000"/>
                <w:sz w:val="20"/>
                <w:szCs w:val="20"/>
              </w:rPr>
            </w:pPr>
            <w:r w:rsidRPr="00CD23C6">
              <w:rPr>
                <w:rFonts w:cstheme="minorHAnsi"/>
                <w:sz w:val="20"/>
                <w:szCs w:val="20"/>
              </w:rPr>
              <w:t xml:space="preserve"> $</w:t>
            </w:r>
            <w:r>
              <w:rPr>
                <w:rFonts w:cstheme="minorHAnsi"/>
                <w:sz w:val="20"/>
                <w:szCs w:val="20"/>
              </w:rPr>
              <w:t xml:space="preserve">  </w:t>
            </w:r>
            <w:r w:rsidRPr="00CD23C6">
              <w:rPr>
                <w:rFonts w:cstheme="minorHAnsi"/>
                <w:sz w:val="20"/>
                <w:szCs w:val="20"/>
              </w:rPr>
              <w:t xml:space="preserve">2,583 </w:t>
            </w:r>
          </w:p>
        </w:tc>
        <w:tc>
          <w:tcPr>
            <w:tcW w:w="1260" w:type="dxa"/>
            <w:tcBorders>
              <w:top w:val="nil"/>
              <w:left w:val="nil"/>
              <w:bottom w:val="double" w:sz="6" w:space="0" w:color="000000"/>
              <w:right w:val="nil"/>
            </w:tcBorders>
            <w:shd w:val="clear" w:color="000000" w:fill="FFFFFF"/>
            <w:noWrap/>
            <w:hideMark/>
          </w:tcPr>
          <w:p w14:paraId="33DAE5B4" w14:textId="77777777" w:rsidR="001B6918" w:rsidRPr="00CD23C6" w:rsidRDefault="001B6918" w:rsidP="00730ECF">
            <w:pPr>
              <w:jc w:val="right"/>
              <w:rPr>
                <w:rFonts w:eastAsia="Times New Roman" w:cstheme="minorHAnsi"/>
                <w:b/>
                <w:bCs/>
                <w:color w:val="FF0000"/>
                <w:sz w:val="20"/>
                <w:szCs w:val="20"/>
              </w:rPr>
            </w:pPr>
            <w:r w:rsidRPr="00CD23C6">
              <w:rPr>
                <w:rFonts w:cstheme="minorHAnsi"/>
                <w:sz w:val="20"/>
                <w:szCs w:val="20"/>
              </w:rPr>
              <w:t xml:space="preserve"> $</w:t>
            </w:r>
            <w:r>
              <w:rPr>
                <w:rFonts w:cstheme="minorHAnsi"/>
                <w:sz w:val="20"/>
                <w:szCs w:val="20"/>
              </w:rPr>
              <w:t xml:space="preserve">       </w:t>
            </w:r>
            <w:r w:rsidRPr="00CD23C6">
              <w:rPr>
                <w:rFonts w:cstheme="minorHAnsi"/>
                <w:sz w:val="20"/>
                <w:szCs w:val="20"/>
              </w:rPr>
              <w:t xml:space="preserve">- </w:t>
            </w:r>
          </w:p>
        </w:tc>
        <w:tc>
          <w:tcPr>
            <w:tcW w:w="1113" w:type="dxa"/>
            <w:tcBorders>
              <w:top w:val="nil"/>
              <w:left w:val="nil"/>
              <w:bottom w:val="double" w:sz="6" w:space="0" w:color="000000"/>
              <w:right w:val="nil"/>
            </w:tcBorders>
            <w:shd w:val="clear" w:color="000000" w:fill="FFFFFF"/>
            <w:noWrap/>
            <w:hideMark/>
          </w:tcPr>
          <w:p w14:paraId="6FAB0820" w14:textId="77777777" w:rsidR="001B6918" w:rsidRPr="00CD23C6" w:rsidRDefault="001B6918" w:rsidP="00730ECF">
            <w:pPr>
              <w:jc w:val="right"/>
              <w:rPr>
                <w:rFonts w:eastAsia="Times New Roman" w:cstheme="minorHAnsi"/>
                <w:b/>
                <w:bCs/>
                <w:color w:val="FF0000"/>
                <w:sz w:val="20"/>
                <w:szCs w:val="20"/>
              </w:rPr>
            </w:pPr>
            <w:r w:rsidRPr="00CD23C6">
              <w:rPr>
                <w:rFonts w:cstheme="minorHAnsi"/>
                <w:sz w:val="20"/>
                <w:szCs w:val="20"/>
              </w:rPr>
              <w:t xml:space="preserve"> $</w:t>
            </w:r>
            <w:r>
              <w:rPr>
                <w:rFonts w:cstheme="minorHAnsi"/>
                <w:sz w:val="20"/>
                <w:szCs w:val="20"/>
              </w:rPr>
              <w:t xml:space="preserve">       </w:t>
            </w:r>
            <w:r w:rsidRPr="00CD23C6">
              <w:rPr>
                <w:rFonts w:cstheme="minorHAnsi"/>
                <w:sz w:val="20"/>
                <w:szCs w:val="20"/>
              </w:rPr>
              <w:t xml:space="preserve">- </w:t>
            </w:r>
          </w:p>
        </w:tc>
        <w:tc>
          <w:tcPr>
            <w:tcW w:w="1102" w:type="dxa"/>
            <w:tcBorders>
              <w:top w:val="nil"/>
              <w:left w:val="nil"/>
              <w:bottom w:val="nil"/>
              <w:right w:val="nil"/>
            </w:tcBorders>
            <w:shd w:val="clear" w:color="000000" w:fill="FFFFFF"/>
            <w:noWrap/>
            <w:vAlign w:val="bottom"/>
            <w:hideMark/>
          </w:tcPr>
          <w:p w14:paraId="0F639662" w14:textId="77777777" w:rsidR="001B6918" w:rsidRPr="00CD23C6" w:rsidRDefault="001B6918" w:rsidP="00730ECF">
            <w:pPr>
              <w:jc w:val="center"/>
              <w:rPr>
                <w:rFonts w:ascii="Calibri" w:eastAsia="Times New Roman" w:hAnsi="Calibri" w:cs="Calibri"/>
                <w:sz w:val="20"/>
                <w:szCs w:val="20"/>
              </w:rPr>
            </w:pPr>
            <w:r w:rsidRPr="00CD23C6">
              <w:rPr>
                <w:rFonts w:ascii="Calibri" w:eastAsia="Times New Roman" w:hAnsi="Calibri" w:cs="Calibri"/>
                <w:sz w:val="20"/>
                <w:szCs w:val="20"/>
              </w:rPr>
              <w:t>Not rated</w:t>
            </w:r>
          </w:p>
        </w:tc>
        <w:tc>
          <w:tcPr>
            <w:tcW w:w="1509" w:type="dxa"/>
            <w:tcBorders>
              <w:top w:val="nil"/>
              <w:left w:val="nil"/>
              <w:bottom w:val="nil"/>
              <w:right w:val="nil"/>
            </w:tcBorders>
            <w:shd w:val="clear" w:color="000000" w:fill="FFFFFF"/>
            <w:noWrap/>
            <w:vAlign w:val="bottom"/>
            <w:hideMark/>
          </w:tcPr>
          <w:p w14:paraId="7A8CF0A9" w14:textId="77777777" w:rsidR="001B6918" w:rsidRPr="00CD23C6" w:rsidRDefault="001B6918" w:rsidP="00730ECF">
            <w:pPr>
              <w:jc w:val="center"/>
              <w:rPr>
                <w:rFonts w:ascii="Calibri" w:eastAsia="Times New Roman" w:hAnsi="Calibri" w:cs="Calibri"/>
                <w:sz w:val="20"/>
                <w:szCs w:val="20"/>
              </w:rPr>
            </w:pPr>
            <w:r w:rsidRPr="00CD23C6">
              <w:rPr>
                <w:rFonts w:ascii="Calibri" w:eastAsia="Times New Roman" w:hAnsi="Calibri" w:cs="Calibri"/>
                <w:sz w:val="20"/>
                <w:szCs w:val="20"/>
              </w:rPr>
              <w:t>37-50 days</w:t>
            </w:r>
          </w:p>
        </w:tc>
        <w:tc>
          <w:tcPr>
            <w:tcW w:w="2480" w:type="dxa"/>
            <w:tcBorders>
              <w:top w:val="nil"/>
              <w:left w:val="nil"/>
              <w:bottom w:val="nil"/>
              <w:right w:val="nil"/>
            </w:tcBorders>
            <w:shd w:val="clear" w:color="000000" w:fill="FFFFFF"/>
            <w:vAlign w:val="bottom"/>
            <w:hideMark/>
          </w:tcPr>
          <w:p w14:paraId="0BF9730B" w14:textId="77777777" w:rsidR="001B6918" w:rsidRPr="00CD23C6" w:rsidRDefault="001B6918" w:rsidP="00730ECF">
            <w:pPr>
              <w:rPr>
                <w:rFonts w:ascii="Calibri" w:eastAsia="Times New Roman" w:hAnsi="Calibri" w:cs="Calibri"/>
                <w:sz w:val="20"/>
                <w:szCs w:val="20"/>
              </w:rPr>
            </w:pPr>
            <w:r w:rsidRPr="00CD23C6">
              <w:rPr>
                <w:rFonts w:ascii="Calibri" w:eastAsia="Times New Roman" w:hAnsi="Calibri" w:cs="Calibri"/>
                <w:sz w:val="20"/>
                <w:szCs w:val="20"/>
              </w:rPr>
              <w:t>Weighted Average Maturity</w:t>
            </w:r>
          </w:p>
        </w:tc>
      </w:tr>
    </w:tbl>
    <w:p w14:paraId="6C482AE8" w14:textId="77777777" w:rsidR="001B6918" w:rsidRPr="004E6649" w:rsidRDefault="001B6918" w:rsidP="001B6918">
      <w:pPr>
        <w:tabs>
          <w:tab w:val="left" w:pos="720"/>
          <w:tab w:val="left" w:pos="1080"/>
          <w:tab w:val="decimal" w:pos="6786"/>
          <w:tab w:val="decimal" w:pos="9187"/>
        </w:tabs>
        <w:suppressAutoHyphens/>
        <w:spacing w:before="160" w:after="160"/>
        <w:rPr>
          <w:rFonts w:eastAsia="Times New Roman" w:cstheme="minorHAnsi"/>
          <w:color w:val="000000"/>
          <w:spacing w:val="-3"/>
          <w:sz w:val="24"/>
          <w:szCs w:val="20"/>
        </w:rPr>
        <w:sectPr w:rsidR="001B6918" w:rsidRPr="004E6649" w:rsidSect="00DC059D">
          <w:headerReference w:type="default" r:id="rId44"/>
          <w:footerReference w:type="default" r:id="rId45"/>
          <w:type w:val="nextColumn"/>
          <w:pgSz w:w="15840" w:h="12240" w:orient="landscape" w:code="1"/>
          <w:pgMar w:top="1440" w:right="1152" w:bottom="1440" w:left="1152" w:header="720" w:footer="720" w:gutter="0"/>
          <w:cols w:space="0"/>
          <w:docGrid w:linePitch="360"/>
        </w:sectPr>
      </w:pPr>
    </w:p>
    <w:p w14:paraId="27A2ECB6" w14:textId="77777777" w:rsidR="001B6918" w:rsidRPr="00A02D27" w:rsidRDefault="001B6918" w:rsidP="001B6918">
      <w:pPr>
        <w:spacing w:after="160"/>
        <w:rPr>
          <w:rFonts w:eastAsiaTheme="majorEastAsia" w:cstheme="minorHAnsi"/>
          <w:b/>
          <w:i/>
          <w:iCs/>
          <w:smallCaps/>
          <w:noProof/>
          <w:color w:val="000000" w:themeColor="text1"/>
          <w:sz w:val="24"/>
          <w:szCs w:val="24"/>
          <w:u w:color="5B9BD5"/>
        </w:rPr>
      </w:pPr>
      <w:r w:rsidRPr="00A02D27">
        <w:rPr>
          <w:rFonts w:eastAsiaTheme="majorEastAsia" w:cstheme="minorHAnsi"/>
          <w:b/>
          <w:i/>
          <w:iCs/>
          <w:smallCaps/>
          <w:noProof/>
          <w:color w:val="000000" w:themeColor="text1"/>
          <w:sz w:val="24"/>
          <w:szCs w:val="24"/>
          <w:u w:color="5B9BD5"/>
        </w:rPr>
        <w:lastRenderedPageBreak/>
        <w:t>3. INVESTMENTS - CONTINUED</w:t>
      </w:r>
      <w:r w:rsidRPr="00A02D27" w:rsidDel="00453556">
        <w:rPr>
          <w:rFonts w:eastAsiaTheme="majorEastAsia" w:cstheme="minorHAnsi"/>
          <w:b/>
          <w:i/>
          <w:iCs/>
          <w:smallCaps/>
          <w:noProof/>
          <w:color w:val="000000" w:themeColor="text1"/>
          <w:sz w:val="24"/>
          <w:szCs w:val="24"/>
          <w:u w:color="5B9BD5"/>
        </w:rPr>
        <w:t xml:space="preserve"> </w:t>
      </w:r>
    </w:p>
    <w:p w14:paraId="305FC148" w14:textId="77777777" w:rsidR="001B6918" w:rsidRPr="004E6649" w:rsidRDefault="001B6918" w:rsidP="001B6918">
      <w:pPr>
        <w:spacing w:after="160" w:line="259" w:lineRule="auto"/>
        <w:rPr>
          <w:rFonts w:cstheme="minorHAnsi"/>
          <w:noProof/>
        </w:rPr>
      </w:pPr>
      <w:r w:rsidRPr="004E6649">
        <w:rPr>
          <w:rFonts w:eastAsia="Times New Roman" w:cstheme="minorHAnsi"/>
          <w:color w:val="000000"/>
          <w:spacing w:val="-3"/>
          <w:sz w:val="24"/>
          <w:szCs w:val="20"/>
        </w:rPr>
        <w:t xml:space="preserve">The </w:t>
      </w:r>
      <w:r w:rsidRPr="004E6649">
        <w:rPr>
          <w:rFonts w:eastAsia="Times New Roman" w:cstheme="minorHAnsi"/>
          <w:b/>
          <w:color w:val="000000"/>
          <w:spacing w:val="-3"/>
          <w:sz w:val="24"/>
          <w:szCs w:val="20"/>
        </w:rPr>
        <w:t>System’s DB Plan, MIP and separately invested</w:t>
      </w:r>
      <w:r w:rsidRPr="004E6649">
        <w:rPr>
          <w:rFonts w:eastAsia="Times New Roman" w:cstheme="minorHAnsi"/>
          <w:color w:val="000000"/>
          <w:spacing w:val="-3"/>
          <w:sz w:val="24"/>
          <w:szCs w:val="20"/>
        </w:rPr>
        <w:t xml:space="preserve"> </w:t>
      </w:r>
      <w:r w:rsidRPr="004E6649">
        <w:rPr>
          <w:rFonts w:eastAsia="Times New Roman" w:cstheme="minorHAnsi"/>
          <w:b/>
          <w:color w:val="000000"/>
          <w:spacing w:val="-3"/>
          <w:sz w:val="24"/>
          <w:szCs w:val="20"/>
        </w:rPr>
        <w:t xml:space="preserve">endowments </w:t>
      </w:r>
      <w:r w:rsidRPr="004E6649">
        <w:rPr>
          <w:rFonts w:eastAsia="Times New Roman" w:cstheme="minorHAnsi"/>
          <w:color w:val="000000"/>
          <w:spacing w:val="-3"/>
          <w:sz w:val="24"/>
          <w:szCs w:val="20"/>
        </w:rPr>
        <w:t>were composed of the following at June 30</w:t>
      </w:r>
      <w:r w:rsidRPr="004E6649">
        <w:rPr>
          <w:rFonts w:eastAsia="Times New Roman" w:cstheme="minorHAnsi"/>
          <w:spacing w:val="-3"/>
          <w:sz w:val="24"/>
          <w:szCs w:val="20"/>
        </w:rPr>
        <w:t>, 202</w:t>
      </w:r>
      <w:r>
        <w:rPr>
          <w:rFonts w:eastAsia="Times New Roman" w:cstheme="minorHAnsi"/>
          <w:spacing w:val="-3"/>
          <w:sz w:val="24"/>
          <w:szCs w:val="20"/>
        </w:rPr>
        <w:t>5</w:t>
      </w:r>
      <w:r w:rsidRPr="004E6649">
        <w:rPr>
          <w:rFonts w:eastAsia="Times New Roman" w:cstheme="minorHAnsi"/>
          <w:spacing w:val="-3"/>
          <w:sz w:val="24"/>
          <w:szCs w:val="20"/>
        </w:rPr>
        <w:t>:</w:t>
      </w:r>
      <w:r w:rsidRPr="004E6649">
        <w:rPr>
          <w:rFonts w:cstheme="minorHAnsi"/>
          <w:noProof/>
        </w:rPr>
        <w:t xml:space="preserve"> </w:t>
      </w:r>
    </w:p>
    <w:tbl>
      <w:tblPr>
        <w:tblW w:w="14550" w:type="dxa"/>
        <w:jc w:val="center"/>
        <w:tblLayout w:type="fixed"/>
        <w:tblLook w:val="04A0" w:firstRow="1" w:lastRow="0" w:firstColumn="1" w:lastColumn="0" w:noHBand="0" w:noVBand="1"/>
      </w:tblPr>
      <w:tblGrid>
        <w:gridCol w:w="5130"/>
        <w:gridCol w:w="1170"/>
        <w:gridCol w:w="1170"/>
        <w:gridCol w:w="1105"/>
        <w:gridCol w:w="900"/>
        <w:gridCol w:w="1055"/>
        <w:gridCol w:w="1440"/>
        <w:gridCol w:w="2580"/>
      </w:tblGrid>
      <w:tr w:rsidR="001B6918" w:rsidRPr="00D92E4F" w14:paraId="3C615AE1" w14:textId="77777777" w:rsidTr="00730ECF">
        <w:trPr>
          <w:trHeight w:val="330"/>
          <w:jc w:val="center"/>
        </w:trPr>
        <w:tc>
          <w:tcPr>
            <w:tcW w:w="5130" w:type="dxa"/>
            <w:tcBorders>
              <w:top w:val="nil"/>
              <w:left w:val="nil"/>
              <w:bottom w:val="nil"/>
              <w:right w:val="nil"/>
            </w:tcBorders>
            <w:shd w:val="clear" w:color="000000" w:fill="FFFFFF"/>
            <w:noWrap/>
            <w:vAlign w:val="center"/>
            <w:hideMark/>
          </w:tcPr>
          <w:p w14:paraId="6486C5B7" w14:textId="77777777" w:rsidR="001B6918" w:rsidRPr="00D92E4F" w:rsidRDefault="001B6918" w:rsidP="00730ECF">
            <w:pPr>
              <w:rPr>
                <w:rFonts w:ascii="Calibri" w:eastAsia="Times New Roman" w:hAnsi="Calibri" w:cs="Calibri"/>
                <w:b/>
                <w:bCs/>
                <w:color w:val="000000"/>
                <w:sz w:val="20"/>
                <w:szCs w:val="20"/>
              </w:rPr>
            </w:pPr>
            <w:bookmarkStart w:id="14" w:name="_Hlk206515162"/>
            <w:r w:rsidRPr="00D92E4F">
              <w:rPr>
                <w:rFonts w:ascii="Calibri" w:eastAsia="Times New Roman" w:hAnsi="Calibri" w:cs="Calibri"/>
                <w:b/>
                <w:bCs/>
                <w:color w:val="000000"/>
                <w:sz w:val="20"/>
                <w:szCs w:val="20"/>
              </w:rPr>
              <w:t> </w:t>
            </w:r>
          </w:p>
        </w:tc>
        <w:tc>
          <w:tcPr>
            <w:tcW w:w="1170" w:type="dxa"/>
            <w:tcBorders>
              <w:top w:val="nil"/>
              <w:left w:val="nil"/>
              <w:bottom w:val="nil"/>
              <w:right w:val="nil"/>
            </w:tcBorders>
            <w:shd w:val="clear" w:color="000000" w:fill="FFFFFF"/>
            <w:noWrap/>
            <w:vAlign w:val="center"/>
            <w:hideMark/>
          </w:tcPr>
          <w:p w14:paraId="215BE02A" w14:textId="77777777" w:rsidR="001B6918" w:rsidRPr="00D92E4F" w:rsidRDefault="001B6918" w:rsidP="00730ECF">
            <w:pPr>
              <w:rPr>
                <w:rFonts w:ascii="Calibri" w:eastAsia="Times New Roman" w:hAnsi="Calibri" w:cs="Calibri"/>
                <w:b/>
                <w:bCs/>
                <w:color w:val="000000"/>
                <w:sz w:val="20"/>
                <w:szCs w:val="20"/>
              </w:rPr>
            </w:pPr>
            <w:r w:rsidRPr="00D92E4F">
              <w:rPr>
                <w:rFonts w:ascii="Calibri" w:eastAsia="Times New Roman" w:hAnsi="Calibri" w:cs="Calibri"/>
                <w:b/>
                <w:bCs/>
                <w:color w:val="000000"/>
                <w:sz w:val="20"/>
                <w:szCs w:val="20"/>
              </w:rPr>
              <w:t> </w:t>
            </w:r>
          </w:p>
        </w:tc>
        <w:tc>
          <w:tcPr>
            <w:tcW w:w="3175" w:type="dxa"/>
            <w:gridSpan w:val="3"/>
            <w:tcBorders>
              <w:top w:val="nil"/>
              <w:left w:val="nil"/>
              <w:bottom w:val="single" w:sz="12" w:space="0" w:color="000000"/>
              <w:right w:val="nil"/>
            </w:tcBorders>
            <w:shd w:val="clear" w:color="000000" w:fill="FFFFFF"/>
            <w:noWrap/>
            <w:vAlign w:val="center"/>
            <w:hideMark/>
          </w:tcPr>
          <w:p w14:paraId="5CB36733" w14:textId="77777777" w:rsidR="001B6918" w:rsidRPr="00D92E4F" w:rsidRDefault="001B6918" w:rsidP="00730ECF">
            <w:pPr>
              <w:jc w:val="center"/>
              <w:rPr>
                <w:rFonts w:ascii="Calibri" w:eastAsia="Times New Roman" w:hAnsi="Calibri" w:cs="Calibri"/>
                <w:b/>
                <w:bCs/>
                <w:color w:val="000000"/>
                <w:sz w:val="20"/>
                <w:szCs w:val="20"/>
              </w:rPr>
            </w:pPr>
            <w:r w:rsidRPr="00D92E4F">
              <w:rPr>
                <w:rFonts w:ascii="Calibri" w:eastAsia="Times New Roman" w:hAnsi="Calibri" w:cs="Calibri"/>
                <w:b/>
                <w:bCs/>
                <w:color w:val="000000"/>
                <w:sz w:val="20"/>
                <w:szCs w:val="20"/>
              </w:rPr>
              <w:t>Fair Value Measurements Using:</w:t>
            </w:r>
          </w:p>
        </w:tc>
        <w:tc>
          <w:tcPr>
            <w:tcW w:w="1055" w:type="dxa"/>
            <w:tcBorders>
              <w:top w:val="nil"/>
              <w:left w:val="nil"/>
              <w:right w:val="nil"/>
            </w:tcBorders>
            <w:shd w:val="clear" w:color="000000" w:fill="FFFFFF"/>
            <w:vAlign w:val="center"/>
            <w:hideMark/>
          </w:tcPr>
          <w:p w14:paraId="698AF55A" w14:textId="77777777" w:rsidR="001B6918" w:rsidRPr="00D92E4F" w:rsidRDefault="001B6918" w:rsidP="00730ECF">
            <w:pPr>
              <w:jc w:val="center"/>
              <w:rPr>
                <w:rFonts w:ascii="Calibri" w:eastAsia="Times New Roman" w:hAnsi="Calibri" w:cs="Calibri"/>
                <w:b/>
                <w:bCs/>
                <w:color w:val="000000"/>
                <w:sz w:val="20"/>
                <w:szCs w:val="20"/>
              </w:rPr>
            </w:pPr>
            <w:r w:rsidRPr="00D92E4F">
              <w:rPr>
                <w:rFonts w:ascii="Calibri" w:eastAsia="Times New Roman" w:hAnsi="Calibri" w:cs="Calibri"/>
                <w:b/>
                <w:bCs/>
                <w:color w:val="000000"/>
                <w:sz w:val="20"/>
                <w:szCs w:val="20"/>
              </w:rPr>
              <w:t xml:space="preserve">Credit Rating </w:t>
            </w:r>
          </w:p>
        </w:tc>
        <w:tc>
          <w:tcPr>
            <w:tcW w:w="1440" w:type="dxa"/>
            <w:tcBorders>
              <w:top w:val="nil"/>
              <w:left w:val="nil"/>
              <w:bottom w:val="nil"/>
              <w:right w:val="nil"/>
            </w:tcBorders>
            <w:shd w:val="clear" w:color="000000" w:fill="FFFFFF"/>
            <w:noWrap/>
            <w:vAlign w:val="center"/>
            <w:hideMark/>
          </w:tcPr>
          <w:p w14:paraId="12F37822" w14:textId="77777777" w:rsidR="001B6918" w:rsidRPr="00D92E4F" w:rsidRDefault="001B6918" w:rsidP="00730ECF">
            <w:pPr>
              <w:rPr>
                <w:rFonts w:ascii="Calibri" w:eastAsia="Times New Roman" w:hAnsi="Calibri" w:cs="Calibri"/>
                <w:color w:val="000000"/>
                <w:sz w:val="20"/>
                <w:szCs w:val="20"/>
              </w:rPr>
            </w:pPr>
            <w:r w:rsidRPr="00D92E4F">
              <w:rPr>
                <w:rFonts w:ascii="Calibri" w:eastAsia="Times New Roman" w:hAnsi="Calibri" w:cs="Calibri"/>
                <w:color w:val="000000"/>
                <w:sz w:val="20"/>
                <w:szCs w:val="20"/>
              </w:rPr>
              <w:t> </w:t>
            </w:r>
          </w:p>
        </w:tc>
        <w:tc>
          <w:tcPr>
            <w:tcW w:w="2580" w:type="dxa"/>
            <w:tcBorders>
              <w:top w:val="nil"/>
              <w:left w:val="nil"/>
              <w:bottom w:val="nil"/>
              <w:right w:val="nil"/>
            </w:tcBorders>
            <w:shd w:val="clear" w:color="000000" w:fill="FFFFFF"/>
            <w:noWrap/>
            <w:vAlign w:val="center"/>
            <w:hideMark/>
          </w:tcPr>
          <w:p w14:paraId="21545C30" w14:textId="77777777" w:rsidR="001B6918" w:rsidRPr="00D92E4F" w:rsidRDefault="001B6918" w:rsidP="00730ECF">
            <w:pPr>
              <w:rPr>
                <w:rFonts w:ascii="Calibri" w:eastAsia="Times New Roman" w:hAnsi="Calibri" w:cs="Calibri"/>
                <w:color w:val="000000"/>
                <w:sz w:val="20"/>
                <w:szCs w:val="20"/>
              </w:rPr>
            </w:pPr>
            <w:r w:rsidRPr="00D92E4F">
              <w:rPr>
                <w:rFonts w:ascii="Calibri" w:eastAsia="Times New Roman" w:hAnsi="Calibri" w:cs="Calibri"/>
                <w:color w:val="000000"/>
                <w:sz w:val="20"/>
                <w:szCs w:val="20"/>
              </w:rPr>
              <w:t> </w:t>
            </w:r>
          </w:p>
        </w:tc>
      </w:tr>
      <w:tr w:rsidR="001B6918" w:rsidRPr="00D92E4F" w14:paraId="3A86A0EB" w14:textId="77777777" w:rsidTr="00730ECF">
        <w:trPr>
          <w:trHeight w:val="345"/>
          <w:jc w:val="center"/>
        </w:trPr>
        <w:tc>
          <w:tcPr>
            <w:tcW w:w="5130" w:type="dxa"/>
            <w:tcBorders>
              <w:top w:val="nil"/>
              <w:left w:val="nil"/>
              <w:bottom w:val="single" w:sz="12" w:space="0" w:color="000000"/>
              <w:right w:val="nil"/>
            </w:tcBorders>
            <w:shd w:val="clear" w:color="000000" w:fill="FFFFFF"/>
            <w:noWrap/>
            <w:vAlign w:val="center"/>
            <w:hideMark/>
          </w:tcPr>
          <w:p w14:paraId="7DE8417A" w14:textId="77777777" w:rsidR="001B6918" w:rsidRPr="00D92E4F" w:rsidRDefault="001B6918" w:rsidP="00730ECF">
            <w:pPr>
              <w:rPr>
                <w:rFonts w:ascii="Calibri" w:eastAsia="Times New Roman" w:hAnsi="Calibri" w:cs="Calibri"/>
                <w:b/>
                <w:bCs/>
                <w:color w:val="000000"/>
                <w:sz w:val="20"/>
                <w:szCs w:val="20"/>
              </w:rPr>
            </w:pPr>
            <w:r w:rsidRPr="00D92E4F">
              <w:rPr>
                <w:rFonts w:ascii="Calibri" w:eastAsia="Times New Roman" w:hAnsi="Calibri" w:cs="Calibri"/>
                <w:b/>
                <w:bCs/>
                <w:color w:val="000000"/>
                <w:sz w:val="20"/>
                <w:szCs w:val="20"/>
              </w:rPr>
              <w:t> </w:t>
            </w:r>
          </w:p>
        </w:tc>
        <w:tc>
          <w:tcPr>
            <w:tcW w:w="1170" w:type="dxa"/>
            <w:tcBorders>
              <w:top w:val="nil"/>
              <w:left w:val="nil"/>
              <w:bottom w:val="single" w:sz="12" w:space="0" w:color="000000"/>
              <w:right w:val="nil"/>
            </w:tcBorders>
            <w:shd w:val="clear" w:color="000000" w:fill="FFFFFF"/>
            <w:noWrap/>
            <w:vAlign w:val="center"/>
            <w:hideMark/>
          </w:tcPr>
          <w:p w14:paraId="5224DA0F" w14:textId="77777777" w:rsidR="001B6918" w:rsidRPr="00D92E4F" w:rsidRDefault="001B6918" w:rsidP="00730ECF">
            <w:pPr>
              <w:jc w:val="center"/>
              <w:rPr>
                <w:rFonts w:ascii="Calibri" w:eastAsia="Times New Roman" w:hAnsi="Calibri" w:cs="Calibri"/>
                <w:b/>
                <w:bCs/>
                <w:color w:val="000000"/>
                <w:sz w:val="20"/>
                <w:szCs w:val="20"/>
              </w:rPr>
            </w:pPr>
            <w:r w:rsidRPr="00D92E4F">
              <w:rPr>
                <w:rFonts w:ascii="Calibri" w:eastAsia="Times New Roman" w:hAnsi="Calibri" w:cs="Calibri"/>
                <w:b/>
                <w:bCs/>
                <w:color w:val="000000"/>
                <w:sz w:val="20"/>
                <w:szCs w:val="20"/>
              </w:rPr>
              <w:t>Total</w:t>
            </w:r>
          </w:p>
        </w:tc>
        <w:tc>
          <w:tcPr>
            <w:tcW w:w="1170" w:type="dxa"/>
            <w:tcBorders>
              <w:top w:val="nil"/>
              <w:left w:val="nil"/>
              <w:bottom w:val="single" w:sz="12" w:space="0" w:color="000000"/>
              <w:right w:val="nil"/>
            </w:tcBorders>
            <w:shd w:val="clear" w:color="000000" w:fill="FFFFFF"/>
            <w:noWrap/>
            <w:vAlign w:val="center"/>
            <w:hideMark/>
          </w:tcPr>
          <w:p w14:paraId="6ACE4B49" w14:textId="77777777" w:rsidR="001B6918" w:rsidRPr="00D92E4F" w:rsidRDefault="001B6918" w:rsidP="00730ECF">
            <w:pPr>
              <w:jc w:val="center"/>
              <w:rPr>
                <w:rFonts w:ascii="Calibri" w:eastAsia="Times New Roman" w:hAnsi="Calibri" w:cs="Calibri"/>
                <w:b/>
                <w:bCs/>
                <w:color w:val="000000"/>
                <w:sz w:val="20"/>
                <w:szCs w:val="20"/>
              </w:rPr>
            </w:pPr>
            <w:r w:rsidRPr="00D92E4F">
              <w:rPr>
                <w:rFonts w:ascii="Calibri" w:eastAsia="Times New Roman" w:hAnsi="Calibri" w:cs="Calibri"/>
                <w:b/>
                <w:bCs/>
                <w:color w:val="000000"/>
                <w:sz w:val="20"/>
                <w:szCs w:val="20"/>
              </w:rPr>
              <w:t>Level 1</w:t>
            </w:r>
          </w:p>
        </w:tc>
        <w:tc>
          <w:tcPr>
            <w:tcW w:w="1105" w:type="dxa"/>
            <w:tcBorders>
              <w:top w:val="nil"/>
              <w:left w:val="nil"/>
              <w:bottom w:val="single" w:sz="12" w:space="0" w:color="000000"/>
              <w:right w:val="nil"/>
            </w:tcBorders>
            <w:shd w:val="clear" w:color="000000" w:fill="FFFFFF"/>
            <w:noWrap/>
            <w:vAlign w:val="center"/>
            <w:hideMark/>
          </w:tcPr>
          <w:p w14:paraId="072B278F" w14:textId="77777777" w:rsidR="001B6918" w:rsidRPr="00D92E4F" w:rsidRDefault="001B6918" w:rsidP="00730ECF">
            <w:pPr>
              <w:jc w:val="center"/>
              <w:rPr>
                <w:rFonts w:ascii="Calibri" w:eastAsia="Times New Roman" w:hAnsi="Calibri" w:cs="Calibri"/>
                <w:b/>
                <w:bCs/>
                <w:color w:val="000000"/>
                <w:sz w:val="20"/>
                <w:szCs w:val="20"/>
              </w:rPr>
            </w:pPr>
            <w:r w:rsidRPr="00D92E4F">
              <w:rPr>
                <w:rFonts w:ascii="Calibri" w:eastAsia="Times New Roman" w:hAnsi="Calibri" w:cs="Calibri"/>
                <w:b/>
                <w:bCs/>
                <w:color w:val="000000"/>
                <w:sz w:val="20"/>
                <w:szCs w:val="20"/>
              </w:rPr>
              <w:t>Level 2</w:t>
            </w:r>
          </w:p>
        </w:tc>
        <w:tc>
          <w:tcPr>
            <w:tcW w:w="900" w:type="dxa"/>
            <w:tcBorders>
              <w:top w:val="nil"/>
              <w:left w:val="nil"/>
              <w:bottom w:val="single" w:sz="12" w:space="0" w:color="000000"/>
              <w:right w:val="nil"/>
            </w:tcBorders>
            <w:shd w:val="clear" w:color="000000" w:fill="FFFFFF"/>
            <w:noWrap/>
            <w:vAlign w:val="center"/>
            <w:hideMark/>
          </w:tcPr>
          <w:p w14:paraId="1D994C21" w14:textId="77777777" w:rsidR="001B6918" w:rsidRPr="00D92E4F" w:rsidRDefault="001B6918" w:rsidP="00730ECF">
            <w:pPr>
              <w:jc w:val="center"/>
              <w:rPr>
                <w:rFonts w:ascii="Calibri" w:eastAsia="Times New Roman" w:hAnsi="Calibri" w:cs="Calibri"/>
                <w:b/>
                <w:bCs/>
                <w:color w:val="000000"/>
                <w:sz w:val="20"/>
                <w:szCs w:val="20"/>
              </w:rPr>
            </w:pPr>
            <w:r w:rsidRPr="00D92E4F">
              <w:rPr>
                <w:rFonts w:ascii="Calibri" w:eastAsia="Times New Roman" w:hAnsi="Calibri" w:cs="Calibri"/>
                <w:b/>
                <w:bCs/>
                <w:color w:val="000000"/>
                <w:sz w:val="20"/>
                <w:szCs w:val="20"/>
              </w:rPr>
              <w:t>Level 3</w:t>
            </w:r>
          </w:p>
        </w:tc>
        <w:tc>
          <w:tcPr>
            <w:tcW w:w="1055" w:type="dxa"/>
            <w:tcBorders>
              <w:left w:val="nil"/>
              <w:bottom w:val="single" w:sz="12" w:space="0" w:color="000000"/>
              <w:right w:val="nil"/>
            </w:tcBorders>
            <w:shd w:val="clear" w:color="000000" w:fill="FFFFFF"/>
            <w:vAlign w:val="center"/>
            <w:hideMark/>
          </w:tcPr>
          <w:p w14:paraId="1D0A43CA" w14:textId="77777777" w:rsidR="001B6918" w:rsidRPr="00D92E4F" w:rsidRDefault="001B6918" w:rsidP="00730ECF">
            <w:pPr>
              <w:jc w:val="center"/>
              <w:rPr>
                <w:rFonts w:ascii="Calibri" w:eastAsia="Times New Roman" w:hAnsi="Calibri" w:cs="Calibri"/>
                <w:b/>
                <w:bCs/>
                <w:color w:val="000000"/>
                <w:sz w:val="20"/>
                <w:szCs w:val="20"/>
              </w:rPr>
            </w:pPr>
          </w:p>
        </w:tc>
        <w:tc>
          <w:tcPr>
            <w:tcW w:w="4020" w:type="dxa"/>
            <w:gridSpan w:val="2"/>
            <w:tcBorders>
              <w:top w:val="nil"/>
              <w:left w:val="nil"/>
              <w:bottom w:val="single" w:sz="12" w:space="0" w:color="000000"/>
              <w:right w:val="nil"/>
            </w:tcBorders>
            <w:shd w:val="clear" w:color="000000" w:fill="FFFFFF"/>
            <w:noWrap/>
            <w:vAlign w:val="center"/>
            <w:hideMark/>
          </w:tcPr>
          <w:p w14:paraId="2DD75FE5" w14:textId="77777777" w:rsidR="001B6918" w:rsidRPr="00D92E4F" w:rsidRDefault="001B6918" w:rsidP="00730ECF">
            <w:pPr>
              <w:jc w:val="center"/>
              <w:rPr>
                <w:rFonts w:ascii="Calibri" w:eastAsia="Times New Roman" w:hAnsi="Calibri" w:cs="Calibri"/>
                <w:b/>
                <w:bCs/>
                <w:color w:val="000000"/>
                <w:sz w:val="20"/>
                <w:szCs w:val="20"/>
              </w:rPr>
            </w:pPr>
            <w:r w:rsidRPr="00D92E4F">
              <w:rPr>
                <w:rFonts w:ascii="Calibri" w:eastAsia="Times New Roman" w:hAnsi="Calibri" w:cs="Calibri"/>
                <w:b/>
                <w:bCs/>
                <w:color w:val="000000"/>
                <w:sz w:val="20"/>
                <w:szCs w:val="20"/>
              </w:rPr>
              <w:t>Interest Rate Risk</w:t>
            </w:r>
          </w:p>
        </w:tc>
      </w:tr>
      <w:tr w:rsidR="001B6918" w:rsidRPr="00D92E4F" w14:paraId="7E502741" w14:textId="77777777" w:rsidTr="00730ECF">
        <w:trPr>
          <w:trHeight w:val="78"/>
          <w:jc w:val="center"/>
        </w:trPr>
        <w:tc>
          <w:tcPr>
            <w:tcW w:w="5130" w:type="dxa"/>
            <w:tcBorders>
              <w:top w:val="nil"/>
              <w:left w:val="nil"/>
              <w:bottom w:val="nil"/>
              <w:right w:val="nil"/>
            </w:tcBorders>
            <w:shd w:val="clear" w:color="000000" w:fill="FFFFFF"/>
            <w:noWrap/>
            <w:vAlign w:val="bottom"/>
            <w:hideMark/>
          </w:tcPr>
          <w:p w14:paraId="59D83135" w14:textId="77777777" w:rsidR="001B6918" w:rsidRPr="00D92E4F" w:rsidRDefault="001B6918" w:rsidP="00730ECF">
            <w:pPr>
              <w:ind w:left="522"/>
              <w:rPr>
                <w:rFonts w:ascii="Calibri" w:eastAsia="Times New Roman" w:hAnsi="Calibri" w:cs="Calibri"/>
                <w:b/>
                <w:bCs/>
                <w:color w:val="000000"/>
                <w:sz w:val="20"/>
                <w:szCs w:val="20"/>
              </w:rPr>
            </w:pPr>
            <w:r w:rsidRPr="00D92E4F">
              <w:rPr>
                <w:rFonts w:ascii="Calibri" w:eastAsia="Times New Roman" w:hAnsi="Calibri" w:cs="Calibri"/>
                <w:b/>
                <w:bCs/>
                <w:color w:val="000000"/>
                <w:sz w:val="20"/>
                <w:szCs w:val="20"/>
              </w:rPr>
              <w:t>Investments measured at fair value:</w:t>
            </w:r>
          </w:p>
        </w:tc>
        <w:tc>
          <w:tcPr>
            <w:tcW w:w="1170" w:type="dxa"/>
            <w:tcBorders>
              <w:top w:val="nil"/>
              <w:left w:val="nil"/>
              <w:bottom w:val="nil"/>
              <w:right w:val="nil"/>
            </w:tcBorders>
            <w:shd w:val="clear" w:color="000000" w:fill="FFFFFF"/>
            <w:noWrap/>
            <w:vAlign w:val="bottom"/>
            <w:hideMark/>
          </w:tcPr>
          <w:p w14:paraId="55E4B64A" w14:textId="77777777" w:rsidR="001B6918" w:rsidRPr="00D92E4F" w:rsidRDefault="001B6918" w:rsidP="00730ECF">
            <w:pPr>
              <w:jc w:val="right"/>
              <w:rPr>
                <w:rFonts w:ascii="Calibri" w:eastAsia="Times New Roman" w:hAnsi="Calibri" w:cs="Calibri"/>
                <w:color w:val="FF0000"/>
                <w:sz w:val="20"/>
                <w:szCs w:val="20"/>
              </w:rPr>
            </w:pPr>
            <w:r w:rsidRPr="00D92E4F">
              <w:rPr>
                <w:rFonts w:ascii="Calibri" w:eastAsia="Times New Roman" w:hAnsi="Calibri" w:cs="Calibri"/>
                <w:color w:val="FF0000"/>
                <w:sz w:val="20"/>
                <w:szCs w:val="20"/>
              </w:rPr>
              <w:t> </w:t>
            </w:r>
          </w:p>
        </w:tc>
        <w:tc>
          <w:tcPr>
            <w:tcW w:w="1170" w:type="dxa"/>
            <w:tcBorders>
              <w:top w:val="nil"/>
              <w:left w:val="nil"/>
              <w:bottom w:val="nil"/>
              <w:right w:val="nil"/>
            </w:tcBorders>
            <w:shd w:val="clear" w:color="000000" w:fill="FFFFFF"/>
            <w:noWrap/>
            <w:vAlign w:val="bottom"/>
            <w:hideMark/>
          </w:tcPr>
          <w:p w14:paraId="42320E46" w14:textId="77777777" w:rsidR="001B6918" w:rsidRPr="00D92E4F" w:rsidRDefault="001B6918" w:rsidP="00730ECF">
            <w:pPr>
              <w:jc w:val="right"/>
              <w:rPr>
                <w:rFonts w:ascii="Calibri" w:eastAsia="Times New Roman" w:hAnsi="Calibri" w:cs="Calibri"/>
                <w:color w:val="FF0000"/>
                <w:sz w:val="20"/>
                <w:szCs w:val="20"/>
              </w:rPr>
            </w:pPr>
            <w:r w:rsidRPr="00D92E4F">
              <w:rPr>
                <w:rFonts w:ascii="Calibri" w:eastAsia="Times New Roman" w:hAnsi="Calibri" w:cs="Calibri"/>
                <w:color w:val="FF0000"/>
                <w:sz w:val="20"/>
                <w:szCs w:val="20"/>
              </w:rPr>
              <w:t> </w:t>
            </w:r>
          </w:p>
        </w:tc>
        <w:tc>
          <w:tcPr>
            <w:tcW w:w="1105" w:type="dxa"/>
            <w:tcBorders>
              <w:top w:val="nil"/>
              <w:left w:val="nil"/>
              <w:bottom w:val="nil"/>
              <w:right w:val="nil"/>
            </w:tcBorders>
            <w:shd w:val="clear" w:color="000000" w:fill="FFFFFF"/>
            <w:noWrap/>
            <w:vAlign w:val="bottom"/>
            <w:hideMark/>
          </w:tcPr>
          <w:p w14:paraId="155A61A8" w14:textId="77777777" w:rsidR="001B6918" w:rsidRPr="00D92E4F" w:rsidRDefault="001B6918" w:rsidP="00730ECF">
            <w:pPr>
              <w:jc w:val="right"/>
              <w:rPr>
                <w:rFonts w:ascii="Calibri" w:eastAsia="Times New Roman" w:hAnsi="Calibri" w:cs="Calibri"/>
                <w:color w:val="FF0000"/>
                <w:sz w:val="20"/>
                <w:szCs w:val="20"/>
              </w:rPr>
            </w:pPr>
            <w:r w:rsidRPr="00D92E4F">
              <w:rPr>
                <w:rFonts w:ascii="Calibri" w:eastAsia="Times New Roman" w:hAnsi="Calibri" w:cs="Calibri"/>
                <w:color w:val="FF0000"/>
                <w:sz w:val="20"/>
                <w:szCs w:val="20"/>
              </w:rPr>
              <w:t> </w:t>
            </w:r>
          </w:p>
        </w:tc>
        <w:tc>
          <w:tcPr>
            <w:tcW w:w="900" w:type="dxa"/>
            <w:tcBorders>
              <w:top w:val="nil"/>
              <w:left w:val="nil"/>
              <w:bottom w:val="nil"/>
              <w:right w:val="nil"/>
            </w:tcBorders>
            <w:shd w:val="clear" w:color="000000" w:fill="FFFFFF"/>
            <w:noWrap/>
            <w:vAlign w:val="bottom"/>
            <w:hideMark/>
          </w:tcPr>
          <w:p w14:paraId="476135C9" w14:textId="77777777" w:rsidR="001B6918" w:rsidRPr="00D92E4F" w:rsidRDefault="001B6918" w:rsidP="00730ECF">
            <w:pPr>
              <w:jc w:val="right"/>
              <w:rPr>
                <w:rFonts w:ascii="Calibri" w:eastAsia="Times New Roman" w:hAnsi="Calibri" w:cs="Calibri"/>
                <w:color w:val="FF0000"/>
                <w:sz w:val="20"/>
                <w:szCs w:val="20"/>
              </w:rPr>
            </w:pPr>
            <w:r w:rsidRPr="00D92E4F">
              <w:rPr>
                <w:rFonts w:ascii="Calibri" w:eastAsia="Times New Roman" w:hAnsi="Calibri" w:cs="Calibri"/>
                <w:color w:val="FF0000"/>
                <w:sz w:val="20"/>
                <w:szCs w:val="20"/>
              </w:rPr>
              <w:t> </w:t>
            </w:r>
          </w:p>
        </w:tc>
        <w:tc>
          <w:tcPr>
            <w:tcW w:w="1055" w:type="dxa"/>
            <w:tcBorders>
              <w:top w:val="nil"/>
              <w:left w:val="nil"/>
              <w:bottom w:val="nil"/>
              <w:right w:val="nil"/>
            </w:tcBorders>
            <w:shd w:val="clear" w:color="000000" w:fill="FFFFFF"/>
            <w:noWrap/>
            <w:vAlign w:val="bottom"/>
            <w:hideMark/>
          </w:tcPr>
          <w:p w14:paraId="77592BFE" w14:textId="77777777" w:rsidR="001B6918" w:rsidRPr="00D92E4F" w:rsidRDefault="001B6918" w:rsidP="00730ECF">
            <w:pPr>
              <w:rPr>
                <w:rFonts w:ascii="Calibri" w:eastAsia="Times New Roman" w:hAnsi="Calibri" w:cs="Calibri"/>
                <w:sz w:val="20"/>
                <w:szCs w:val="20"/>
              </w:rPr>
            </w:pPr>
            <w:r w:rsidRPr="00D92E4F">
              <w:rPr>
                <w:rFonts w:ascii="Calibri" w:eastAsia="Times New Roman" w:hAnsi="Calibri" w:cs="Calibri"/>
                <w:sz w:val="20"/>
                <w:szCs w:val="20"/>
              </w:rPr>
              <w:t> </w:t>
            </w:r>
          </w:p>
        </w:tc>
        <w:tc>
          <w:tcPr>
            <w:tcW w:w="1440" w:type="dxa"/>
            <w:tcBorders>
              <w:top w:val="nil"/>
              <w:left w:val="nil"/>
              <w:bottom w:val="nil"/>
              <w:right w:val="nil"/>
            </w:tcBorders>
            <w:shd w:val="clear" w:color="000000" w:fill="FFFFFF"/>
            <w:noWrap/>
            <w:vAlign w:val="bottom"/>
            <w:hideMark/>
          </w:tcPr>
          <w:p w14:paraId="32F9B685" w14:textId="77777777" w:rsidR="001B6918" w:rsidRPr="00D92E4F" w:rsidRDefault="001B6918" w:rsidP="00730ECF">
            <w:pPr>
              <w:rPr>
                <w:rFonts w:ascii="Calibri" w:eastAsia="Times New Roman" w:hAnsi="Calibri" w:cs="Calibri"/>
                <w:sz w:val="20"/>
                <w:szCs w:val="20"/>
              </w:rPr>
            </w:pPr>
            <w:r w:rsidRPr="00D92E4F">
              <w:rPr>
                <w:rFonts w:ascii="Calibri" w:eastAsia="Times New Roman" w:hAnsi="Calibri" w:cs="Calibri"/>
                <w:sz w:val="20"/>
                <w:szCs w:val="20"/>
              </w:rPr>
              <w:t> </w:t>
            </w:r>
          </w:p>
        </w:tc>
        <w:tc>
          <w:tcPr>
            <w:tcW w:w="2580" w:type="dxa"/>
            <w:tcBorders>
              <w:top w:val="nil"/>
              <w:left w:val="nil"/>
              <w:bottom w:val="nil"/>
              <w:right w:val="nil"/>
            </w:tcBorders>
            <w:shd w:val="clear" w:color="000000" w:fill="FFFFFF"/>
            <w:noWrap/>
            <w:vAlign w:val="bottom"/>
            <w:hideMark/>
          </w:tcPr>
          <w:p w14:paraId="30DBE0E9" w14:textId="77777777" w:rsidR="001B6918" w:rsidRPr="00D92E4F" w:rsidRDefault="001B6918" w:rsidP="00730ECF">
            <w:pPr>
              <w:rPr>
                <w:rFonts w:ascii="Calibri" w:eastAsia="Times New Roman" w:hAnsi="Calibri" w:cs="Calibri"/>
                <w:sz w:val="20"/>
                <w:szCs w:val="20"/>
              </w:rPr>
            </w:pPr>
            <w:r w:rsidRPr="00D92E4F">
              <w:rPr>
                <w:rFonts w:ascii="Calibri" w:eastAsia="Times New Roman" w:hAnsi="Calibri" w:cs="Calibri"/>
                <w:sz w:val="20"/>
                <w:szCs w:val="20"/>
              </w:rPr>
              <w:t> </w:t>
            </w:r>
          </w:p>
        </w:tc>
      </w:tr>
      <w:tr w:rsidR="001B6918" w:rsidRPr="00D92E4F" w14:paraId="7511FFBC" w14:textId="77777777" w:rsidTr="00730ECF">
        <w:trPr>
          <w:trHeight w:val="80"/>
          <w:jc w:val="center"/>
        </w:trPr>
        <w:tc>
          <w:tcPr>
            <w:tcW w:w="5130" w:type="dxa"/>
            <w:tcBorders>
              <w:top w:val="nil"/>
              <w:left w:val="nil"/>
              <w:bottom w:val="nil"/>
              <w:right w:val="nil"/>
            </w:tcBorders>
            <w:shd w:val="clear" w:color="000000" w:fill="FFFFFF"/>
            <w:noWrap/>
            <w:vAlign w:val="bottom"/>
            <w:hideMark/>
          </w:tcPr>
          <w:p w14:paraId="63FED5EF" w14:textId="77777777" w:rsidR="001B6918" w:rsidRPr="00D92E4F" w:rsidRDefault="001B6918" w:rsidP="00730ECF">
            <w:pPr>
              <w:ind w:firstLineChars="200" w:firstLine="400"/>
              <w:rPr>
                <w:rFonts w:ascii="Calibri" w:eastAsia="Times New Roman" w:hAnsi="Calibri" w:cs="Calibri"/>
                <w:color w:val="000000"/>
                <w:sz w:val="20"/>
                <w:szCs w:val="20"/>
              </w:rPr>
            </w:pPr>
            <w:r w:rsidRPr="00D92E4F">
              <w:rPr>
                <w:rFonts w:ascii="Calibri" w:eastAsia="Times New Roman" w:hAnsi="Calibri" w:cs="Calibri"/>
                <w:color w:val="000000"/>
                <w:sz w:val="20"/>
                <w:szCs w:val="20"/>
              </w:rPr>
              <w:t>Equities:</w:t>
            </w:r>
          </w:p>
        </w:tc>
        <w:tc>
          <w:tcPr>
            <w:tcW w:w="1170" w:type="dxa"/>
            <w:tcBorders>
              <w:top w:val="nil"/>
              <w:left w:val="nil"/>
              <w:bottom w:val="nil"/>
              <w:right w:val="nil"/>
            </w:tcBorders>
            <w:shd w:val="clear" w:color="000000" w:fill="FFFFFF"/>
            <w:noWrap/>
            <w:vAlign w:val="bottom"/>
            <w:hideMark/>
          </w:tcPr>
          <w:p w14:paraId="42620C43" w14:textId="77777777" w:rsidR="001B6918" w:rsidRPr="00D92E4F" w:rsidRDefault="001B6918" w:rsidP="00730ECF">
            <w:pPr>
              <w:jc w:val="right"/>
              <w:rPr>
                <w:rFonts w:ascii="Calibri" w:eastAsia="Times New Roman" w:hAnsi="Calibri" w:cs="Calibri"/>
                <w:color w:val="FF0000"/>
                <w:sz w:val="20"/>
                <w:szCs w:val="20"/>
              </w:rPr>
            </w:pPr>
            <w:r w:rsidRPr="00D92E4F">
              <w:rPr>
                <w:rFonts w:ascii="Calibri" w:eastAsia="Times New Roman" w:hAnsi="Calibri" w:cs="Calibri"/>
                <w:color w:val="FF0000"/>
                <w:sz w:val="20"/>
                <w:szCs w:val="20"/>
              </w:rPr>
              <w:t> </w:t>
            </w:r>
          </w:p>
        </w:tc>
        <w:tc>
          <w:tcPr>
            <w:tcW w:w="1170" w:type="dxa"/>
            <w:tcBorders>
              <w:top w:val="nil"/>
              <w:left w:val="nil"/>
              <w:bottom w:val="nil"/>
              <w:right w:val="nil"/>
            </w:tcBorders>
            <w:shd w:val="clear" w:color="000000" w:fill="FFFFFF"/>
            <w:noWrap/>
            <w:vAlign w:val="bottom"/>
            <w:hideMark/>
          </w:tcPr>
          <w:p w14:paraId="467D4965" w14:textId="77777777" w:rsidR="001B6918" w:rsidRPr="00D92E4F" w:rsidRDefault="001B6918" w:rsidP="00730ECF">
            <w:pPr>
              <w:jc w:val="right"/>
              <w:rPr>
                <w:rFonts w:ascii="Calibri" w:eastAsia="Times New Roman" w:hAnsi="Calibri" w:cs="Calibri"/>
                <w:color w:val="FF0000"/>
                <w:sz w:val="20"/>
                <w:szCs w:val="20"/>
              </w:rPr>
            </w:pPr>
            <w:r w:rsidRPr="00D92E4F">
              <w:rPr>
                <w:rFonts w:ascii="Calibri" w:eastAsia="Times New Roman" w:hAnsi="Calibri" w:cs="Calibri"/>
                <w:color w:val="FF0000"/>
                <w:sz w:val="20"/>
                <w:szCs w:val="20"/>
              </w:rPr>
              <w:t> </w:t>
            </w:r>
          </w:p>
        </w:tc>
        <w:tc>
          <w:tcPr>
            <w:tcW w:w="1105" w:type="dxa"/>
            <w:tcBorders>
              <w:top w:val="nil"/>
              <w:left w:val="nil"/>
              <w:bottom w:val="nil"/>
              <w:right w:val="nil"/>
            </w:tcBorders>
            <w:shd w:val="clear" w:color="000000" w:fill="FFFFFF"/>
            <w:noWrap/>
            <w:vAlign w:val="bottom"/>
            <w:hideMark/>
          </w:tcPr>
          <w:p w14:paraId="4F75867A" w14:textId="77777777" w:rsidR="001B6918" w:rsidRPr="00D92E4F" w:rsidRDefault="001B6918" w:rsidP="00730ECF">
            <w:pPr>
              <w:jc w:val="right"/>
              <w:rPr>
                <w:rFonts w:ascii="Calibri" w:eastAsia="Times New Roman" w:hAnsi="Calibri" w:cs="Calibri"/>
                <w:color w:val="FF0000"/>
                <w:sz w:val="20"/>
                <w:szCs w:val="20"/>
              </w:rPr>
            </w:pPr>
            <w:r w:rsidRPr="00D92E4F">
              <w:rPr>
                <w:rFonts w:ascii="Calibri" w:eastAsia="Times New Roman" w:hAnsi="Calibri" w:cs="Calibri"/>
                <w:color w:val="FF0000"/>
                <w:sz w:val="20"/>
                <w:szCs w:val="20"/>
              </w:rPr>
              <w:t> </w:t>
            </w:r>
          </w:p>
        </w:tc>
        <w:tc>
          <w:tcPr>
            <w:tcW w:w="900" w:type="dxa"/>
            <w:tcBorders>
              <w:top w:val="nil"/>
              <w:left w:val="nil"/>
              <w:bottom w:val="nil"/>
              <w:right w:val="nil"/>
            </w:tcBorders>
            <w:shd w:val="clear" w:color="000000" w:fill="FFFFFF"/>
            <w:noWrap/>
            <w:vAlign w:val="bottom"/>
            <w:hideMark/>
          </w:tcPr>
          <w:p w14:paraId="6AB4C78A" w14:textId="77777777" w:rsidR="001B6918" w:rsidRPr="00D92E4F" w:rsidRDefault="001B6918" w:rsidP="00730ECF">
            <w:pPr>
              <w:jc w:val="right"/>
              <w:rPr>
                <w:rFonts w:ascii="Calibri" w:eastAsia="Times New Roman" w:hAnsi="Calibri" w:cs="Calibri"/>
                <w:color w:val="FF0000"/>
                <w:sz w:val="20"/>
                <w:szCs w:val="20"/>
              </w:rPr>
            </w:pPr>
            <w:r w:rsidRPr="00D92E4F">
              <w:rPr>
                <w:rFonts w:ascii="Calibri" w:eastAsia="Times New Roman" w:hAnsi="Calibri" w:cs="Calibri"/>
                <w:color w:val="FF0000"/>
                <w:sz w:val="20"/>
                <w:szCs w:val="20"/>
              </w:rPr>
              <w:t> </w:t>
            </w:r>
          </w:p>
        </w:tc>
        <w:tc>
          <w:tcPr>
            <w:tcW w:w="1055" w:type="dxa"/>
            <w:tcBorders>
              <w:top w:val="nil"/>
              <w:left w:val="nil"/>
              <w:bottom w:val="nil"/>
              <w:right w:val="nil"/>
            </w:tcBorders>
            <w:shd w:val="clear" w:color="000000" w:fill="FFFFFF"/>
            <w:noWrap/>
            <w:vAlign w:val="bottom"/>
            <w:hideMark/>
          </w:tcPr>
          <w:p w14:paraId="3457F571" w14:textId="77777777" w:rsidR="001B6918" w:rsidRPr="00D92E4F" w:rsidRDefault="001B6918" w:rsidP="00730ECF">
            <w:pPr>
              <w:rPr>
                <w:rFonts w:ascii="Calibri" w:eastAsia="Times New Roman" w:hAnsi="Calibri" w:cs="Calibri"/>
                <w:sz w:val="20"/>
                <w:szCs w:val="20"/>
              </w:rPr>
            </w:pPr>
            <w:r w:rsidRPr="00D92E4F">
              <w:rPr>
                <w:rFonts w:ascii="Calibri" w:eastAsia="Times New Roman" w:hAnsi="Calibri" w:cs="Calibri"/>
                <w:sz w:val="20"/>
                <w:szCs w:val="20"/>
              </w:rPr>
              <w:t> </w:t>
            </w:r>
          </w:p>
        </w:tc>
        <w:tc>
          <w:tcPr>
            <w:tcW w:w="1440" w:type="dxa"/>
            <w:tcBorders>
              <w:top w:val="nil"/>
              <w:left w:val="nil"/>
              <w:bottom w:val="nil"/>
              <w:right w:val="nil"/>
            </w:tcBorders>
            <w:shd w:val="clear" w:color="000000" w:fill="FFFFFF"/>
            <w:noWrap/>
            <w:vAlign w:val="bottom"/>
            <w:hideMark/>
          </w:tcPr>
          <w:p w14:paraId="2D6FB0A4" w14:textId="77777777" w:rsidR="001B6918" w:rsidRPr="00D92E4F" w:rsidRDefault="001B6918" w:rsidP="00730ECF">
            <w:pPr>
              <w:rPr>
                <w:rFonts w:ascii="Calibri" w:eastAsia="Times New Roman" w:hAnsi="Calibri" w:cs="Calibri"/>
                <w:sz w:val="20"/>
                <w:szCs w:val="20"/>
              </w:rPr>
            </w:pPr>
            <w:r w:rsidRPr="00D92E4F">
              <w:rPr>
                <w:rFonts w:ascii="Calibri" w:eastAsia="Times New Roman" w:hAnsi="Calibri" w:cs="Calibri"/>
                <w:sz w:val="20"/>
                <w:szCs w:val="20"/>
              </w:rPr>
              <w:t> </w:t>
            </w:r>
          </w:p>
        </w:tc>
        <w:tc>
          <w:tcPr>
            <w:tcW w:w="2580" w:type="dxa"/>
            <w:tcBorders>
              <w:top w:val="nil"/>
              <w:left w:val="nil"/>
              <w:bottom w:val="nil"/>
              <w:right w:val="nil"/>
            </w:tcBorders>
            <w:shd w:val="clear" w:color="000000" w:fill="FFFFFF"/>
            <w:noWrap/>
            <w:vAlign w:val="bottom"/>
            <w:hideMark/>
          </w:tcPr>
          <w:p w14:paraId="30D84D16" w14:textId="77777777" w:rsidR="001B6918" w:rsidRPr="00D92E4F" w:rsidRDefault="001B6918" w:rsidP="00730ECF">
            <w:pPr>
              <w:rPr>
                <w:rFonts w:ascii="Calibri" w:eastAsia="Times New Roman" w:hAnsi="Calibri" w:cs="Calibri"/>
                <w:sz w:val="20"/>
                <w:szCs w:val="20"/>
              </w:rPr>
            </w:pPr>
            <w:r w:rsidRPr="00D92E4F">
              <w:rPr>
                <w:rFonts w:ascii="Calibri" w:eastAsia="Times New Roman" w:hAnsi="Calibri" w:cs="Calibri"/>
                <w:sz w:val="20"/>
                <w:szCs w:val="20"/>
              </w:rPr>
              <w:t> </w:t>
            </w:r>
          </w:p>
        </w:tc>
      </w:tr>
      <w:tr w:rsidR="00B66B2E" w:rsidRPr="00D92E4F" w14:paraId="23EC0E4F" w14:textId="77777777" w:rsidTr="00730ECF">
        <w:trPr>
          <w:trHeight w:val="80"/>
          <w:jc w:val="center"/>
        </w:trPr>
        <w:tc>
          <w:tcPr>
            <w:tcW w:w="5130" w:type="dxa"/>
            <w:tcBorders>
              <w:top w:val="nil"/>
              <w:left w:val="nil"/>
              <w:bottom w:val="nil"/>
              <w:right w:val="nil"/>
            </w:tcBorders>
            <w:shd w:val="clear" w:color="000000" w:fill="FFFFFF"/>
            <w:noWrap/>
            <w:vAlign w:val="bottom"/>
            <w:hideMark/>
          </w:tcPr>
          <w:p w14:paraId="4E8CB8B8" w14:textId="77777777" w:rsidR="00B66B2E" w:rsidRPr="00D92E4F" w:rsidRDefault="00B66B2E" w:rsidP="00B66B2E">
            <w:pPr>
              <w:ind w:firstLineChars="300" w:firstLine="600"/>
              <w:rPr>
                <w:rFonts w:ascii="Calibri" w:eastAsia="Times New Roman" w:hAnsi="Calibri" w:cs="Calibri"/>
                <w:color w:val="000000"/>
                <w:sz w:val="20"/>
                <w:szCs w:val="20"/>
              </w:rPr>
            </w:pPr>
            <w:r w:rsidRPr="00D92E4F">
              <w:rPr>
                <w:rFonts w:ascii="Calibri" w:eastAsia="Times New Roman" w:hAnsi="Calibri" w:cs="Calibri"/>
                <w:color w:val="000000"/>
                <w:sz w:val="20"/>
                <w:szCs w:val="20"/>
              </w:rPr>
              <w:t>Equity securities</w:t>
            </w:r>
          </w:p>
        </w:tc>
        <w:tc>
          <w:tcPr>
            <w:tcW w:w="1170" w:type="dxa"/>
            <w:tcBorders>
              <w:top w:val="nil"/>
              <w:left w:val="nil"/>
              <w:bottom w:val="nil"/>
              <w:right w:val="nil"/>
            </w:tcBorders>
            <w:shd w:val="clear" w:color="000000" w:fill="FFFFFF"/>
            <w:noWrap/>
          </w:tcPr>
          <w:p w14:paraId="07975A91" w14:textId="7FF33C03" w:rsidR="00B66B2E" w:rsidRPr="00FE041A" w:rsidRDefault="00B66B2E" w:rsidP="00B66B2E">
            <w:pPr>
              <w:jc w:val="right"/>
              <w:rPr>
                <w:rFonts w:eastAsia="Times New Roman" w:cstheme="minorHAnsi"/>
                <w:color w:val="FF0000"/>
                <w:sz w:val="20"/>
                <w:szCs w:val="20"/>
              </w:rPr>
            </w:pPr>
            <w:r w:rsidRPr="00FE041A">
              <w:rPr>
                <w:sz w:val="20"/>
                <w:szCs w:val="20"/>
              </w:rPr>
              <w:t xml:space="preserve"> $6</w:t>
            </w:r>
            <w:r w:rsidR="00AF6690">
              <w:rPr>
                <w:sz w:val="20"/>
                <w:szCs w:val="20"/>
              </w:rPr>
              <w:t>7,137</w:t>
            </w:r>
            <w:r w:rsidRPr="00FE041A">
              <w:rPr>
                <w:sz w:val="20"/>
                <w:szCs w:val="20"/>
              </w:rPr>
              <w:t xml:space="preserve"> </w:t>
            </w:r>
          </w:p>
        </w:tc>
        <w:tc>
          <w:tcPr>
            <w:tcW w:w="1170" w:type="dxa"/>
            <w:tcBorders>
              <w:top w:val="nil"/>
              <w:left w:val="nil"/>
              <w:bottom w:val="nil"/>
              <w:right w:val="nil"/>
            </w:tcBorders>
            <w:shd w:val="clear" w:color="000000" w:fill="FFFFFF"/>
            <w:noWrap/>
          </w:tcPr>
          <w:p w14:paraId="547A197B" w14:textId="315243F0" w:rsidR="00B66B2E" w:rsidRPr="00FE041A" w:rsidRDefault="00B66B2E" w:rsidP="00B66B2E">
            <w:pPr>
              <w:jc w:val="right"/>
              <w:rPr>
                <w:rFonts w:eastAsia="Times New Roman" w:cstheme="minorHAnsi"/>
                <w:color w:val="FF0000"/>
                <w:sz w:val="20"/>
                <w:szCs w:val="20"/>
              </w:rPr>
            </w:pPr>
            <w:r w:rsidRPr="00FE041A">
              <w:rPr>
                <w:sz w:val="20"/>
                <w:szCs w:val="20"/>
              </w:rPr>
              <w:t xml:space="preserve"> $6</w:t>
            </w:r>
            <w:r w:rsidR="00AF6690">
              <w:rPr>
                <w:sz w:val="20"/>
                <w:szCs w:val="20"/>
              </w:rPr>
              <w:t>7,137</w:t>
            </w:r>
            <w:r w:rsidRPr="00FE041A">
              <w:rPr>
                <w:sz w:val="20"/>
                <w:szCs w:val="20"/>
              </w:rPr>
              <w:t xml:space="preserve"> </w:t>
            </w:r>
          </w:p>
        </w:tc>
        <w:tc>
          <w:tcPr>
            <w:tcW w:w="1105" w:type="dxa"/>
            <w:tcBorders>
              <w:top w:val="nil"/>
              <w:left w:val="nil"/>
              <w:bottom w:val="nil"/>
              <w:right w:val="nil"/>
            </w:tcBorders>
            <w:shd w:val="clear" w:color="000000" w:fill="FFFFFF"/>
            <w:noWrap/>
          </w:tcPr>
          <w:p w14:paraId="6B307559" w14:textId="0EF4A6AE" w:rsidR="00B66B2E" w:rsidRPr="00FE041A" w:rsidRDefault="00B66B2E" w:rsidP="00B66B2E">
            <w:pPr>
              <w:jc w:val="right"/>
              <w:rPr>
                <w:rFonts w:eastAsia="Times New Roman" w:cstheme="minorHAnsi"/>
                <w:color w:val="FF0000"/>
                <w:sz w:val="20"/>
                <w:szCs w:val="20"/>
              </w:rPr>
            </w:pPr>
            <w:r w:rsidRPr="00FE041A">
              <w:rPr>
                <w:sz w:val="20"/>
                <w:szCs w:val="20"/>
              </w:rPr>
              <w:t xml:space="preserve"> $          - </w:t>
            </w:r>
          </w:p>
        </w:tc>
        <w:tc>
          <w:tcPr>
            <w:tcW w:w="900" w:type="dxa"/>
            <w:tcBorders>
              <w:top w:val="nil"/>
              <w:left w:val="nil"/>
              <w:bottom w:val="nil"/>
              <w:right w:val="nil"/>
            </w:tcBorders>
            <w:shd w:val="clear" w:color="000000" w:fill="FFFFFF"/>
            <w:noWrap/>
          </w:tcPr>
          <w:p w14:paraId="3D12C63A" w14:textId="139E9DBC" w:rsidR="00B66B2E" w:rsidRPr="00FE041A" w:rsidRDefault="00B66B2E" w:rsidP="00B66B2E">
            <w:pPr>
              <w:jc w:val="right"/>
              <w:rPr>
                <w:rFonts w:eastAsia="Times New Roman" w:cstheme="minorHAnsi"/>
                <w:color w:val="FF0000"/>
                <w:sz w:val="20"/>
                <w:szCs w:val="20"/>
              </w:rPr>
            </w:pPr>
            <w:r w:rsidRPr="00FE041A">
              <w:rPr>
                <w:sz w:val="20"/>
                <w:szCs w:val="20"/>
              </w:rPr>
              <w:t xml:space="preserve"> $     - </w:t>
            </w:r>
          </w:p>
        </w:tc>
        <w:tc>
          <w:tcPr>
            <w:tcW w:w="1055" w:type="dxa"/>
            <w:tcBorders>
              <w:top w:val="nil"/>
              <w:left w:val="nil"/>
              <w:bottom w:val="nil"/>
              <w:right w:val="nil"/>
            </w:tcBorders>
            <w:shd w:val="clear" w:color="000000" w:fill="FFFFFF"/>
            <w:noWrap/>
            <w:vAlign w:val="bottom"/>
            <w:hideMark/>
          </w:tcPr>
          <w:p w14:paraId="144B7252" w14:textId="77777777" w:rsidR="00B66B2E" w:rsidRPr="00E41A37" w:rsidRDefault="00B66B2E" w:rsidP="00B66B2E">
            <w:pPr>
              <w:rPr>
                <w:rFonts w:ascii="Calibri" w:eastAsia="Times New Roman" w:hAnsi="Calibri" w:cs="Calibri"/>
                <w:color w:val="FF0000"/>
                <w:sz w:val="20"/>
                <w:szCs w:val="20"/>
              </w:rPr>
            </w:pPr>
            <w:r w:rsidRPr="00E41A37">
              <w:rPr>
                <w:rFonts w:ascii="Calibri" w:eastAsia="Times New Roman" w:hAnsi="Calibri" w:cs="Calibri"/>
                <w:color w:val="FF0000"/>
                <w:sz w:val="20"/>
                <w:szCs w:val="20"/>
              </w:rPr>
              <w:t> </w:t>
            </w:r>
          </w:p>
        </w:tc>
        <w:tc>
          <w:tcPr>
            <w:tcW w:w="1440" w:type="dxa"/>
            <w:tcBorders>
              <w:top w:val="nil"/>
              <w:left w:val="nil"/>
              <w:bottom w:val="nil"/>
              <w:right w:val="nil"/>
            </w:tcBorders>
            <w:shd w:val="clear" w:color="000000" w:fill="FFFFFF"/>
            <w:noWrap/>
            <w:vAlign w:val="bottom"/>
            <w:hideMark/>
          </w:tcPr>
          <w:p w14:paraId="2D6D5FB3" w14:textId="77777777" w:rsidR="00B66B2E" w:rsidRPr="00E41A37" w:rsidRDefault="00B66B2E" w:rsidP="00B66B2E">
            <w:pPr>
              <w:rPr>
                <w:rFonts w:ascii="Calibri" w:eastAsia="Times New Roman" w:hAnsi="Calibri" w:cs="Calibri"/>
                <w:color w:val="FF0000"/>
                <w:sz w:val="20"/>
                <w:szCs w:val="20"/>
              </w:rPr>
            </w:pPr>
            <w:r w:rsidRPr="00E41A37">
              <w:rPr>
                <w:rFonts w:ascii="Calibri" w:eastAsia="Times New Roman" w:hAnsi="Calibri" w:cs="Calibri"/>
                <w:color w:val="FF0000"/>
                <w:sz w:val="20"/>
                <w:szCs w:val="20"/>
              </w:rPr>
              <w:t> </w:t>
            </w:r>
          </w:p>
        </w:tc>
        <w:tc>
          <w:tcPr>
            <w:tcW w:w="2580" w:type="dxa"/>
            <w:tcBorders>
              <w:top w:val="nil"/>
              <w:left w:val="nil"/>
              <w:bottom w:val="nil"/>
              <w:right w:val="nil"/>
            </w:tcBorders>
            <w:shd w:val="clear" w:color="000000" w:fill="FFFFFF"/>
            <w:noWrap/>
            <w:vAlign w:val="bottom"/>
            <w:hideMark/>
          </w:tcPr>
          <w:p w14:paraId="57FD1A70" w14:textId="77777777" w:rsidR="00B66B2E" w:rsidRPr="00E41A37" w:rsidRDefault="00B66B2E" w:rsidP="00B66B2E">
            <w:pPr>
              <w:rPr>
                <w:rFonts w:ascii="Calibri" w:eastAsia="Times New Roman" w:hAnsi="Calibri" w:cs="Calibri"/>
                <w:color w:val="FF0000"/>
                <w:sz w:val="20"/>
                <w:szCs w:val="20"/>
              </w:rPr>
            </w:pPr>
            <w:r w:rsidRPr="00E41A37">
              <w:rPr>
                <w:rFonts w:ascii="Calibri" w:eastAsia="Times New Roman" w:hAnsi="Calibri" w:cs="Calibri"/>
                <w:color w:val="FF0000"/>
                <w:sz w:val="20"/>
                <w:szCs w:val="20"/>
              </w:rPr>
              <w:t> </w:t>
            </w:r>
          </w:p>
        </w:tc>
      </w:tr>
      <w:tr w:rsidR="00B66B2E" w:rsidRPr="00D92E4F" w14:paraId="1A5E3723" w14:textId="77777777" w:rsidTr="00730ECF">
        <w:trPr>
          <w:trHeight w:val="80"/>
          <w:jc w:val="center"/>
        </w:trPr>
        <w:tc>
          <w:tcPr>
            <w:tcW w:w="5130" w:type="dxa"/>
            <w:tcBorders>
              <w:top w:val="nil"/>
              <w:left w:val="nil"/>
              <w:bottom w:val="nil"/>
              <w:right w:val="nil"/>
            </w:tcBorders>
            <w:shd w:val="clear" w:color="000000" w:fill="FFFFFF"/>
            <w:noWrap/>
            <w:vAlign w:val="bottom"/>
            <w:hideMark/>
          </w:tcPr>
          <w:p w14:paraId="31EDBB73" w14:textId="77777777" w:rsidR="00B66B2E" w:rsidRPr="00D92E4F" w:rsidRDefault="00B66B2E" w:rsidP="00B66B2E">
            <w:pPr>
              <w:ind w:firstLineChars="300" w:firstLine="600"/>
              <w:rPr>
                <w:rFonts w:ascii="Calibri" w:eastAsia="Times New Roman" w:hAnsi="Calibri" w:cs="Calibri"/>
                <w:color w:val="000000"/>
                <w:sz w:val="20"/>
                <w:szCs w:val="20"/>
              </w:rPr>
            </w:pPr>
            <w:r w:rsidRPr="00D92E4F">
              <w:rPr>
                <w:rFonts w:ascii="Calibri" w:eastAsia="Times New Roman" w:hAnsi="Calibri" w:cs="Calibri"/>
                <w:color w:val="000000"/>
                <w:sz w:val="20"/>
                <w:szCs w:val="20"/>
              </w:rPr>
              <w:t>Equity funds</w:t>
            </w:r>
          </w:p>
        </w:tc>
        <w:tc>
          <w:tcPr>
            <w:tcW w:w="1170" w:type="dxa"/>
            <w:tcBorders>
              <w:top w:val="nil"/>
              <w:left w:val="nil"/>
              <w:bottom w:val="nil"/>
              <w:right w:val="nil"/>
            </w:tcBorders>
            <w:shd w:val="clear" w:color="000000" w:fill="FFFFFF"/>
            <w:noWrap/>
          </w:tcPr>
          <w:p w14:paraId="083D00F3" w14:textId="3C0529FA" w:rsidR="00B66B2E" w:rsidRPr="00FE041A" w:rsidRDefault="00B66B2E" w:rsidP="00B66B2E">
            <w:pPr>
              <w:jc w:val="right"/>
              <w:rPr>
                <w:rFonts w:eastAsia="Times New Roman" w:cstheme="minorHAnsi"/>
                <w:color w:val="FF0000"/>
                <w:sz w:val="20"/>
                <w:szCs w:val="20"/>
              </w:rPr>
            </w:pPr>
            <w:r w:rsidRPr="00FE041A">
              <w:rPr>
                <w:sz w:val="20"/>
                <w:szCs w:val="20"/>
              </w:rPr>
              <w:t xml:space="preserve"> 90,</w:t>
            </w:r>
            <w:r w:rsidR="00AF6690">
              <w:rPr>
                <w:sz w:val="20"/>
                <w:szCs w:val="20"/>
              </w:rPr>
              <w:t>961</w:t>
            </w:r>
            <w:r w:rsidR="00AF6690" w:rsidRPr="00FE041A">
              <w:rPr>
                <w:sz w:val="20"/>
                <w:szCs w:val="20"/>
              </w:rPr>
              <w:t xml:space="preserve"> </w:t>
            </w:r>
          </w:p>
        </w:tc>
        <w:tc>
          <w:tcPr>
            <w:tcW w:w="1170" w:type="dxa"/>
            <w:tcBorders>
              <w:top w:val="nil"/>
              <w:left w:val="nil"/>
              <w:bottom w:val="nil"/>
              <w:right w:val="nil"/>
            </w:tcBorders>
            <w:shd w:val="clear" w:color="000000" w:fill="FFFFFF"/>
            <w:noWrap/>
          </w:tcPr>
          <w:p w14:paraId="275A1969" w14:textId="2D2822DB" w:rsidR="00B66B2E" w:rsidRPr="00FE041A" w:rsidRDefault="00AF6690" w:rsidP="00B66B2E">
            <w:pPr>
              <w:jc w:val="right"/>
              <w:rPr>
                <w:rFonts w:eastAsia="Times New Roman" w:cstheme="minorHAnsi"/>
                <w:color w:val="FF0000"/>
                <w:sz w:val="20"/>
                <w:szCs w:val="20"/>
              </w:rPr>
            </w:pPr>
            <w:r>
              <w:rPr>
                <w:sz w:val="20"/>
                <w:szCs w:val="20"/>
              </w:rPr>
              <w:t>439</w:t>
            </w:r>
            <w:r w:rsidR="00B66B2E" w:rsidRPr="00FE041A">
              <w:rPr>
                <w:sz w:val="20"/>
                <w:szCs w:val="20"/>
              </w:rPr>
              <w:t xml:space="preserve"> </w:t>
            </w:r>
          </w:p>
        </w:tc>
        <w:tc>
          <w:tcPr>
            <w:tcW w:w="1105" w:type="dxa"/>
            <w:tcBorders>
              <w:top w:val="nil"/>
              <w:left w:val="nil"/>
              <w:bottom w:val="nil"/>
              <w:right w:val="nil"/>
            </w:tcBorders>
            <w:shd w:val="clear" w:color="000000" w:fill="FFFFFF"/>
            <w:noWrap/>
          </w:tcPr>
          <w:p w14:paraId="468D8E49" w14:textId="5D2B5DF5" w:rsidR="00B66B2E" w:rsidRPr="00FE041A" w:rsidRDefault="00B66B2E" w:rsidP="00B66B2E">
            <w:pPr>
              <w:jc w:val="right"/>
              <w:rPr>
                <w:rFonts w:eastAsia="Times New Roman" w:cstheme="minorHAnsi"/>
                <w:color w:val="FF0000"/>
                <w:sz w:val="20"/>
                <w:szCs w:val="20"/>
              </w:rPr>
            </w:pPr>
            <w:r w:rsidRPr="00FE041A">
              <w:rPr>
                <w:sz w:val="20"/>
                <w:szCs w:val="20"/>
              </w:rPr>
              <w:t xml:space="preserve"> 90,522 </w:t>
            </w:r>
          </w:p>
        </w:tc>
        <w:tc>
          <w:tcPr>
            <w:tcW w:w="900" w:type="dxa"/>
            <w:tcBorders>
              <w:top w:val="nil"/>
              <w:left w:val="nil"/>
              <w:bottom w:val="nil"/>
              <w:right w:val="nil"/>
            </w:tcBorders>
            <w:shd w:val="clear" w:color="000000" w:fill="FFFFFF"/>
            <w:noWrap/>
          </w:tcPr>
          <w:p w14:paraId="3F9868C0" w14:textId="532D10E8" w:rsidR="00B66B2E" w:rsidRPr="00FE041A" w:rsidRDefault="00B66B2E" w:rsidP="00B66B2E">
            <w:pPr>
              <w:jc w:val="right"/>
              <w:rPr>
                <w:rFonts w:eastAsia="Times New Roman" w:cstheme="minorHAnsi"/>
                <w:color w:val="FF0000"/>
                <w:sz w:val="20"/>
                <w:szCs w:val="20"/>
              </w:rPr>
            </w:pPr>
            <w:r w:rsidRPr="00FE041A">
              <w:rPr>
                <w:sz w:val="20"/>
                <w:szCs w:val="20"/>
              </w:rPr>
              <w:t xml:space="preserve"> - </w:t>
            </w:r>
          </w:p>
        </w:tc>
        <w:tc>
          <w:tcPr>
            <w:tcW w:w="1055" w:type="dxa"/>
            <w:tcBorders>
              <w:top w:val="nil"/>
              <w:left w:val="nil"/>
              <w:bottom w:val="nil"/>
              <w:right w:val="nil"/>
            </w:tcBorders>
            <w:shd w:val="clear" w:color="000000" w:fill="FFFFFF"/>
            <w:noWrap/>
            <w:vAlign w:val="bottom"/>
            <w:hideMark/>
          </w:tcPr>
          <w:p w14:paraId="54F76C9C" w14:textId="77777777" w:rsidR="00B66B2E" w:rsidRPr="00E41A37" w:rsidRDefault="00B66B2E" w:rsidP="00B66B2E">
            <w:pPr>
              <w:rPr>
                <w:rFonts w:ascii="Calibri" w:eastAsia="Times New Roman" w:hAnsi="Calibri" w:cs="Calibri"/>
                <w:color w:val="FF0000"/>
                <w:sz w:val="20"/>
                <w:szCs w:val="20"/>
              </w:rPr>
            </w:pPr>
            <w:r w:rsidRPr="00E41A37">
              <w:rPr>
                <w:rFonts w:ascii="Calibri" w:eastAsia="Times New Roman" w:hAnsi="Calibri" w:cs="Calibri"/>
                <w:color w:val="FF0000"/>
                <w:sz w:val="20"/>
                <w:szCs w:val="20"/>
              </w:rPr>
              <w:t> </w:t>
            </w:r>
          </w:p>
        </w:tc>
        <w:tc>
          <w:tcPr>
            <w:tcW w:w="1440" w:type="dxa"/>
            <w:tcBorders>
              <w:top w:val="nil"/>
              <w:left w:val="nil"/>
              <w:bottom w:val="nil"/>
              <w:right w:val="nil"/>
            </w:tcBorders>
            <w:shd w:val="clear" w:color="000000" w:fill="FFFFFF"/>
            <w:noWrap/>
            <w:vAlign w:val="bottom"/>
            <w:hideMark/>
          </w:tcPr>
          <w:p w14:paraId="330E74DD" w14:textId="77777777" w:rsidR="00B66B2E" w:rsidRPr="00E41A37" w:rsidRDefault="00B66B2E" w:rsidP="00B66B2E">
            <w:pPr>
              <w:rPr>
                <w:rFonts w:ascii="Calibri" w:eastAsia="Times New Roman" w:hAnsi="Calibri" w:cs="Calibri"/>
                <w:color w:val="FF0000"/>
                <w:sz w:val="20"/>
                <w:szCs w:val="20"/>
              </w:rPr>
            </w:pPr>
            <w:r w:rsidRPr="00E41A37">
              <w:rPr>
                <w:rFonts w:ascii="Calibri" w:eastAsia="Times New Roman" w:hAnsi="Calibri" w:cs="Calibri"/>
                <w:color w:val="FF0000"/>
                <w:sz w:val="20"/>
                <w:szCs w:val="20"/>
              </w:rPr>
              <w:t> </w:t>
            </w:r>
          </w:p>
        </w:tc>
        <w:tc>
          <w:tcPr>
            <w:tcW w:w="2580" w:type="dxa"/>
            <w:tcBorders>
              <w:top w:val="nil"/>
              <w:left w:val="nil"/>
              <w:bottom w:val="nil"/>
              <w:right w:val="nil"/>
            </w:tcBorders>
            <w:shd w:val="clear" w:color="000000" w:fill="FFFFFF"/>
            <w:noWrap/>
            <w:vAlign w:val="bottom"/>
            <w:hideMark/>
          </w:tcPr>
          <w:p w14:paraId="4CA6141B" w14:textId="77777777" w:rsidR="00B66B2E" w:rsidRPr="00E41A37" w:rsidRDefault="00B66B2E" w:rsidP="00B66B2E">
            <w:pPr>
              <w:rPr>
                <w:rFonts w:ascii="Calibri" w:eastAsia="Times New Roman" w:hAnsi="Calibri" w:cs="Calibri"/>
                <w:color w:val="FF0000"/>
                <w:sz w:val="20"/>
                <w:szCs w:val="20"/>
              </w:rPr>
            </w:pPr>
            <w:r w:rsidRPr="00E41A37">
              <w:rPr>
                <w:rFonts w:ascii="Calibri" w:eastAsia="Times New Roman" w:hAnsi="Calibri" w:cs="Calibri"/>
                <w:color w:val="FF0000"/>
                <w:sz w:val="20"/>
                <w:szCs w:val="20"/>
              </w:rPr>
              <w:t> </w:t>
            </w:r>
          </w:p>
        </w:tc>
      </w:tr>
      <w:tr w:rsidR="00B66B2E" w:rsidRPr="00D92E4F" w14:paraId="2A01004E" w14:textId="77777777" w:rsidTr="00730ECF">
        <w:trPr>
          <w:trHeight w:val="153"/>
          <w:jc w:val="center"/>
        </w:trPr>
        <w:tc>
          <w:tcPr>
            <w:tcW w:w="5130" w:type="dxa"/>
            <w:tcBorders>
              <w:top w:val="nil"/>
              <w:left w:val="nil"/>
              <w:bottom w:val="nil"/>
              <w:right w:val="nil"/>
            </w:tcBorders>
            <w:shd w:val="clear" w:color="000000" w:fill="FFFFFF"/>
            <w:noWrap/>
            <w:vAlign w:val="bottom"/>
            <w:hideMark/>
          </w:tcPr>
          <w:p w14:paraId="2B75FFB3" w14:textId="77777777" w:rsidR="00B66B2E" w:rsidRPr="00D92E4F" w:rsidRDefault="00B66B2E" w:rsidP="00B66B2E">
            <w:pPr>
              <w:ind w:firstLineChars="300" w:firstLine="600"/>
              <w:rPr>
                <w:rFonts w:ascii="Calibri" w:eastAsia="Times New Roman" w:hAnsi="Calibri" w:cs="Calibri"/>
                <w:color w:val="000000"/>
                <w:sz w:val="20"/>
                <w:szCs w:val="20"/>
              </w:rPr>
            </w:pPr>
            <w:r w:rsidRPr="00D92E4F">
              <w:rPr>
                <w:rFonts w:ascii="Calibri" w:eastAsia="Times New Roman" w:hAnsi="Calibri" w:cs="Calibri"/>
                <w:color w:val="000000"/>
                <w:sz w:val="20"/>
                <w:szCs w:val="20"/>
              </w:rPr>
              <w:t>Multi-strategy funds</w:t>
            </w:r>
          </w:p>
        </w:tc>
        <w:tc>
          <w:tcPr>
            <w:tcW w:w="1170" w:type="dxa"/>
            <w:tcBorders>
              <w:top w:val="nil"/>
              <w:left w:val="nil"/>
              <w:bottom w:val="nil"/>
              <w:right w:val="nil"/>
            </w:tcBorders>
            <w:shd w:val="clear" w:color="000000" w:fill="FFFFFF"/>
            <w:noWrap/>
          </w:tcPr>
          <w:p w14:paraId="68DF4287" w14:textId="63C06202" w:rsidR="00B66B2E" w:rsidRPr="00FE041A" w:rsidRDefault="00B66B2E" w:rsidP="00B66B2E">
            <w:pPr>
              <w:jc w:val="right"/>
              <w:rPr>
                <w:rFonts w:eastAsia="Times New Roman" w:cstheme="minorHAnsi"/>
                <w:color w:val="FF0000"/>
                <w:sz w:val="20"/>
                <w:szCs w:val="20"/>
              </w:rPr>
            </w:pPr>
            <w:r w:rsidRPr="00FE041A">
              <w:rPr>
                <w:sz w:val="20"/>
                <w:szCs w:val="20"/>
              </w:rPr>
              <w:t xml:space="preserve"> 30,206 </w:t>
            </w:r>
          </w:p>
        </w:tc>
        <w:tc>
          <w:tcPr>
            <w:tcW w:w="1170" w:type="dxa"/>
            <w:tcBorders>
              <w:top w:val="nil"/>
              <w:left w:val="nil"/>
              <w:bottom w:val="nil"/>
              <w:right w:val="nil"/>
            </w:tcBorders>
            <w:shd w:val="clear" w:color="000000" w:fill="FFFFFF"/>
            <w:noWrap/>
          </w:tcPr>
          <w:p w14:paraId="58082057" w14:textId="667CD70B" w:rsidR="00B66B2E" w:rsidRPr="00FE041A" w:rsidRDefault="00B66B2E" w:rsidP="00B66B2E">
            <w:pPr>
              <w:jc w:val="right"/>
              <w:rPr>
                <w:rFonts w:eastAsia="Times New Roman" w:cstheme="minorHAnsi"/>
                <w:color w:val="FF0000"/>
                <w:sz w:val="20"/>
                <w:szCs w:val="20"/>
              </w:rPr>
            </w:pPr>
            <w:r w:rsidRPr="00FE041A">
              <w:rPr>
                <w:sz w:val="20"/>
                <w:szCs w:val="20"/>
              </w:rPr>
              <w:t xml:space="preserve"> 30,206 </w:t>
            </w:r>
          </w:p>
        </w:tc>
        <w:tc>
          <w:tcPr>
            <w:tcW w:w="1105" w:type="dxa"/>
            <w:tcBorders>
              <w:top w:val="nil"/>
              <w:left w:val="nil"/>
              <w:bottom w:val="nil"/>
              <w:right w:val="nil"/>
            </w:tcBorders>
            <w:shd w:val="clear" w:color="000000" w:fill="FFFFFF"/>
            <w:noWrap/>
          </w:tcPr>
          <w:p w14:paraId="4ACD87A4" w14:textId="5E52A58C" w:rsidR="00B66B2E" w:rsidRPr="00FE041A" w:rsidRDefault="00B66B2E" w:rsidP="00B66B2E">
            <w:pPr>
              <w:jc w:val="right"/>
              <w:rPr>
                <w:rFonts w:eastAsia="Times New Roman" w:cstheme="minorHAnsi"/>
                <w:color w:val="FF0000"/>
                <w:sz w:val="20"/>
                <w:szCs w:val="20"/>
              </w:rPr>
            </w:pPr>
            <w:r w:rsidRPr="00FE041A">
              <w:rPr>
                <w:sz w:val="20"/>
                <w:szCs w:val="20"/>
              </w:rPr>
              <w:t xml:space="preserve"> - </w:t>
            </w:r>
          </w:p>
        </w:tc>
        <w:tc>
          <w:tcPr>
            <w:tcW w:w="900" w:type="dxa"/>
            <w:tcBorders>
              <w:top w:val="nil"/>
              <w:left w:val="nil"/>
              <w:bottom w:val="nil"/>
              <w:right w:val="nil"/>
            </w:tcBorders>
            <w:shd w:val="clear" w:color="000000" w:fill="FFFFFF"/>
            <w:noWrap/>
          </w:tcPr>
          <w:p w14:paraId="49D976D8" w14:textId="5424696A" w:rsidR="00B66B2E" w:rsidRPr="00FE041A" w:rsidRDefault="00B66B2E" w:rsidP="00B66B2E">
            <w:pPr>
              <w:jc w:val="right"/>
              <w:rPr>
                <w:rFonts w:eastAsia="Times New Roman" w:cstheme="minorHAnsi"/>
                <w:color w:val="FF0000"/>
                <w:sz w:val="20"/>
                <w:szCs w:val="20"/>
              </w:rPr>
            </w:pPr>
            <w:r w:rsidRPr="00FE041A">
              <w:rPr>
                <w:sz w:val="20"/>
                <w:szCs w:val="20"/>
              </w:rPr>
              <w:t xml:space="preserve"> - </w:t>
            </w:r>
          </w:p>
        </w:tc>
        <w:tc>
          <w:tcPr>
            <w:tcW w:w="1055" w:type="dxa"/>
            <w:tcBorders>
              <w:top w:val="nil"/>
              <w:left w:val="nil"/>
              <w:bottom w:val="nil"/>
              <w:right w:val="nil"/>
            </w:tcBorders>
            <w:shd w:val="clear" w:color="000000" w:fill="FFFFFF"/>
            <w:noWrap/>
            <w:vAlign w:val="bottom"/>
            <w:hideMark/>
          </w:tcPr>
          <w:p w14:paraId="36B11542" w14:textId="77777777" w:rsidR="00B66B2E" w:rsidRPr="00880C3F" w:rsidRDefault="00B66B2E" w:rsidP="00B66B2E">
            <w:pPr>
              <w:jc w:val="center"/>
              <w:rPr>
                <w:rFonts w:ascii="Calibri" w:eastAsia="Times New Roman" w:hAnsi="Calibri" w:cs="Calibri"/>
                <w:sz w:val="20"/>
                <w:szCs w:val="20"/>
              </w:rPr>
            </w:pPr>
            <w:r w:rsidRPr="00880C3F">
              <w:rPr>
                <w:rFonts w:ascii="Calibri" w:eastAsia="Times New Roman" w:hAnsi="Calibri" w:cs="Calibri"/>
                <w:sz w:val="20"/>
                <w:szCs w:val="20"/>
              </w:rPr>
              <w:t xml:space="preserve">Not rated </w:t>
            </w:r>
          </w:p>
        </w:tc>
        <w:tc>
          <w:tcPr>
            <w:tcW w:w="1440" w:type="dxa"/>
            <w:tcBorders>
              <w:top w:val="nil"/>
              <w:left w:val="nil"/>
              <w:bottom w:val="nil"/>
              <w:right w:val="nil"/>
            </w:tcBorders>
            <w:shd w:val="clear" w:color="000000" w:fill="FFFFFF"/>
            <w:noWrap/>
            <w:vAlign w:val="bottom"/>
            <w:hideMark/>
          </w:tcPr>
          <w:p w14:paraId="4289682F" w14:textId="77777777" w:rsidR="00B66B2E" w:rsidRPr="00880C3F" w:rsidRDefault="00B66B2E" w:rsidP="00B66B2E">
            <w:pPr>
              <w:jc w:val="center"/>
              <w:rPr>
                <w:rFonts w:ascii="Calibri" w:eastAsia="Times New Roman" w:hAnsi="Calibri" w:cs="Calibri"/>
                <w:sz w:val="20"/>
                <w:szCs w:val="20"/>
              </w:rPr>
            </w:pPr>
            <w:r w:rsidRPr="00880C3F">
              <w:rPr>
                <w:rFonts w:ascii="Calibri" w:eastAsia="Times New Roman" w:hAnsi="Calibri" w:cs="Calibri"/>
                <w:sz w:val="20"/>
                <w:szCs w:val="20"/>
              </w:rPr>
              <w:t xml:space="preserve">Not rated </w:t>
            </w:r>
          </w:p>
        </w:tc>
        <w:tc>
          <w:tcPr>
            <w:tcW w:w="2580" w:type="dxa"/>
            <w:tcBorders>
              <w:top w:val="nil"/>
              <w:left w:val="nil"/>
              <w:bottom w:val="nil"/>
              <w:right w:val="nil"/>
            </w:tcBorders>
            <w:shd w:val="clear" w:color="000000" w:fill="FFFFFF"/>
            <w:noWrap/>
            <w:vAlign w:val="bottom"/>
            <w:hideMark/>
          </w:tcPr>
          <w:p w14:paraId="2C6E996F" w14:textId="77777777" w:rsidR="00B66B2E" w:rsidRPr="00880C3F" w:rsidRDefault="00B66B2E" w:rsidP="00B66B2E">
            <w:pPr>
              <w:rPr>
                <w:rFonts w:ascii="Calibri" w:eastAsia="Times New Roman" w:hAnsi="Calibri" w:cs="Calibri"/>
                <w:sz w:val="20"/>
                <w:szCs w:val="20"/>
              </w:rPr>
            </w:pPr>
            <w:r w:rsidRPr="00880C3F">
              <w:rPr>
                <w:rFonts w:ascii="Calibri" w:eastAsia="Times New Roman" w:hAnsi="Calibri" w:cs="Calibri"/>
                <w:sz w:val="20"/>
                <w:szCs w:val="20"/>
              </w:rPr>
              <w:t> </w:t>
            </w:r>
          </w:p>
        </w:tc>
      </w:tr>
      <w:tr w:rsidR="00A51543" w:rsidRPr="00D92E4F" w14:paraId="44F3EF5E" w14:textId="77777777" w:rsidTr="00730ECF">
        <w:trPr>
          <w:trHeight w:val="90"/>
          <w:jc w:val="center"/>
        </w:trPr>
        <w:tc>
          <w:tcPr>
            <w:tcW w:w="5130" w:type="dxa"/>
            <w:tcBorders>
              <w:top w:val="nil"/>
              <w:left w:val="nil"/>
              <w:bottom w:val="nil"/>
              <w:right w:val="nil"/>
            </w:tcBorders>
            <w:shd w:val="clear" w:color="000000" w:fill="FFFFFF"/>
            <w:noWrap/>
            <w:vAlign w:val="bottom"/>
            <w:hideMark/>
          </w:tcPr>
          <w:p w14:paraId="03758708" w14:textId="77777777" w:rsidR="00A51543" w:rsidRPr="00D92E4F" w:rsidRDefault="00A51543" w:rsidP="00A51543">
            <w:pPr>
              <w:ind w:firstLineChars="200" w:firstLine="400"/>
              <w:rPr>
                <w:rFonts w:ascii="Calibri" w:eastAsia="Times New Roman" w:hAnsi="Calibri" w:cs="Calibri"/>
                <w:color w:val="000000"/>
                <w:sz w:val="20"/>
                <w:szCs w:val="20"/>
              </w:rPr>
            </w:pPr>
            <w:r w:rsidRPr="00D92E4F">
              <w:rPr>
                <w:rFonts w:ascii="Calibri" w:eastAsia="Times New Roman" w:hAnsi="Calibri" w:cs="Calibri"/>
                <w:color w:val="000000"/>
                <w:sz w:val="20"/>
                <w:szCs w:val="20"/>
              </w:rPr>
              <w:t>Fixed income funds:</w:t>
            </w:r>
          </w:p>
        </w:tc>
        <w:tc>
          <w:tcPr>
            <w:tcW w:w="1170" w:type="dxa"/>
            <w:tcBorders>
              <w:top w:val="nil"/>
              <w:left w:val="nil"/>
              <w:bottom w:val="nil"/>
              <w:right w:val="nil"/>
            </w:tcBorders>
            <w:shd w:val="clear" w:color="000000" w:fill="FFFFFF"/>
            <w:noWrap/>
          </w:tcPr>
          <w:p w14:paraId="4EC9F773" w14:textId="77777777" w:rsidR="00A51543" w:rsidRPr="00FE041A" w:rsidRDefault="00A51543" w:rsidP="00A51543">
            <w:pPr>
              <w:jc w:val="right"/>
              <w:rPr>
                <w:rFonts w:eastAsia="Times New Roman" w:cstheme="minorHAnsi"/>
                <w:color w:val="FF0000"/>
                <w:sz w:val="20"/>
                <w:szCs w:val="20"/>
              </w:rPr>
            </w:pPr>
          </w:p>
        </w:tc>
        <w:tc>
          <w:tcPr>
            <w:tcW w:w="1170" w:type="dxa"/>
            <w:tcBorders>
              <w:top w:val="nil"/>
              <w:left w:val="nil"/>
              <w:bottom w:val="nil"/>
              <w:right w:val="nil"/>
            </w:tcBorders>
            <w:shd w:val="clear" w:color="000000" w:fill="FFFFFF"/>
            <w:noWrap/>
          </w:tcPr>
          <w:p w14:paraId="3526E3CD" w14:textId="77777777" w:rsidR="00A51543" w:rsidRPr="00FE041A" w:rsidRDefault="00A51543" w:rsidP="00A51543">
            <w:pPr>
              <w:jc w:val="right"/>
              <w:rPr>
                <w:rFonts w:eastAsia="Times New Roman" w:cstheme="minorHAnsi"/>
                <w:color w:val="FF0000"/>
                <w:sz w:val="20"/>
                <w:szCs w:val="20"/>
              </w:rPr>
            </w:pPr>
          </w:p>
        </w:tc>
        <w:tc>
          <w:tcPr>
            <w:tcW w:w="1105" w:type="dxa"/>
            <w:tcBorders>
              <w:top w:val="nil"/>
              <w:left w:val="nil"/>
              <w:bottom w:val="nil"/>
              <w:right w:val="nil"/>
            </w:tcBorders>
            <w:shd w:val="clear" w:color="000000" w:fill="FFFFFF"/>
            <w:noWrap/>
          </w:tcPr>
          <w:p w14:paraId="2FFDEDF7" w14:textId="77777777" w:rsidR="00A51543" w:rsidRPr="00FE041A" w:rsidRDefault="00A51543" w:rsidP="00A51543">
            <w:pPr>
              <w:jc w:val="right"/>
              <w:rPr>
                <w:rFonts w:eastAsia="Times New Roman" w:cstheme="minorHAnsi"/>
                <w:color w:val="FF0000"/>
                <w:sz w:val="20"/>
                <w:szCs w:val="20"/>
              </w:rPr>
            </w:pPr>
          </w:p>
        </w:tc>
        <w:tc>
          <w:tcPr>
            <w:tcW w:w="900" w:type="dxa"/>
            <w:tcBorders>
              <w:top w:val="nil"/>
              <w:left w:val="nil"/>
              <w:bottom w:val="nil"/>
              <w:right w:val="nil"/>
            </w:tcBorders>
            <w:shd w:val="clear" w:color="000000" w:fill="FFFFFF"/>
            <w:noWrap/>
          </w:tcPr>
          <w:p w14:paraId="3B9EE2F0" w14:textId="77777777" w:rsidR="00A51543" w:rsidRPr="00FE041A" w:rsidRDefault="00A51543" w:rsidP="00A51543">
            <w:pPr>
              <w:jc w:val="right"/>
              <w:rPr>
                <w:rFonts w:eastAsia="Times New Roman" w:cstheme="minorHAnsi"/>
                <w:color w:val="FF0000"/>
                <w:sz w:val="20"/>
                <w:szCs w:val="20"/>
              </w:rPr>
            </w:pPr>
          </w:p>
        </w:tc>
        <w:tc>
          <w:tcPr>
            <w:tcW w:w="1055" w:type="dxa"/>
            <w:tcBorders>
              <w:top w:val="nil"/>
              <w:left w:val="nil"/>
              <w:bottom w:val="nil"/>
              <w:right w:val="nil"/>
            </w:tcBorders>
            <w:shd w:val="clear" w:color="000000" w:fill="FFFFFF"/>
            <w:noWrap/>
            <w:vAlign w:val="bottom"/>
            <w:hideMark/>
          </w:tcPr>
          <w:p w14:paraId="5974F298" w14:textId="77777777" w:rsidR="00A51543" w:rsidRPr="00880C3F" w:rsidRDefault="00A51543" w:rsidP="00A51543">
            <w:pPr>
              <w:rPr>
                <w:rFonts w:ascii="Calibri" w:eastAsia="Times New Roman" w:hAnsi="Calibri" w:cs="Calibri"/>
                <w:sz w:val="20"/>
                <w:szCs w:val="20"/>
              </w:rPr>
            </w:pPr>
            <w:r w:rsidRPr="00880C3F">
              <w:rPr>
                <w:rFonts w:ascii="Calibri" w:eastAsia="Times New Roman" w:hAnsi="Calibri" w:cs="Calibri"/>
                <w:sz w:val="20"/>
                <w:szCs w:val="20"/>
              </w:rPr>
              <w:t> </w:t>
            </w:r>
          </w:p>
        </w:tc>
        <w:tc>
          <w:tcPr>
            <w:tcW w:w="1440" w:type="dxa"/>
            <w:tcBorders>
              <w:top w:val="nil"/>
              <w:left w:val="nil"/>
              <w:bottom w:val="nil"/>
              <w:right w:val="nil"/>
            </w:tcBorders>
            <w:shd w:val="clear" w:color="000000" w:fill="FFFFFF"/>
            <w:noWrap/>
            <w:vAlign w:val="bottom"/>
            <w:hideMark/>
          </w:tcPr>
          <w:p w14:paraId="768B9026" w14:textId="77777777" w:rsidR="00A51543" w:rsidRPr="00880C3F" w:rsidRDefault="00A51543" w:rsidP="00A51543">
            <w:pPr>
              <w:rPr>
                <w:rFonts w:ascii="Calibri" w:eastAsia="Times New Roman" w:hAnsi="Calibri" w:cs="Calibri"/>
                <w:sz w:val="20"/>
                <w:szCs w:val="20"/>
              </w:rPr>
            </w:pPr>
            <w:r w:rsidRPr="00880C3F">
              <w:rPr>
                <w:rFonts w:ascii="Calibri" w:eastAsia="Times New Roman" w:hAnsi="Calibri" w:cs="Calibri"/>
                <w:sz w:val="20"/>
                <w:szCs w:val="20"/>
              </w:rPr>
              <w:t> </w:t>
            </w:r>
          </w:p>
        </w:tc>
        <w:tc>
          <w:tcPr>
            <w:tcW w:w="2580" w:type="dxa"/>
            <w:tcBorders>
              <w:top w:val="nil"/>
              <w:left w:val="nil"/>
              <w:bottom w:val="nil"/>
              <w:right w:val="nil"/>
            </w:tcBorders>
            <w:shd w:val="clear" w:color="000000" w:fill="FFFFFF"/>
            <w:noWrap/>
            <w:vAlign w:val="bottom"/>
            <w:hideMark/>
          </w:tcPr>
          <w:p w14:paraId="63260753" w14:textId="77777777" w:rsidR="00A51543" w:rsidRPr="00880C3F" w:rsidRDefault="00A51543" w:rsidP="00A51543">
            <w:pPr>
              <w:rPr>
                <w:rFonts w:ascii="Calibri" w:eastAsia="Times New Roman" w:hAnsi="Calibri" w:cs="Calibri"/>
                <w:sz w:val="20"/>
                <w:szCs w:val="20"/>
              </w:rPr>
            </w:pPr>
            <w:r w:rsidRPr="00880C3F">
              <w:rPr>
                <w:rFonts w:ascii="Calibri" w:eastAsia="Times New Roman" w:hAnsi="Calibri" w:cs="Calibri"/>
                <w:sz w:val="20"/>
                <w:szCs w:val="20"/>
              </w:rPr>
              <w:t> </w:t>
            </w:r>
          </w:p>
        </w:tc>
      </w:tr>
      <w:tr w:rsidR="00B66B2E" w:rsidRPr="00D92E4F" w14:paraId="61474C0B" w14:textId="77777777" w:rsidTr="00730ECF">
        <w:trPr>
          <w:trHeight w:val="117"/>
          <w:jc w:val="center"/>
        </w:trPr>
        <w:tc>
          <w:tcPr>
            <w:tcW w:w="5130" w:type="dxa"/>
            <w:tcBorders>
              <w:top w:val="nil"/>
              <w:left w:val="nil"/>
              <w:bottom w:val="nil"/>
              <w:right w:val="nil"/>
            </w:tcBorders>
            <w:shd w:val="clear" w:color="000000" w:fill="FFFFFF"/>
            <w:noWrap/>
            <w:vAlign w:val="bottom"/>
            <w:hideMark/>
          </w:tcPr>
          <w:p w14:paraId="5D32B86C" w14:textId="77777777" w:rsidR="00B66B2E" w:rsidRPr="00D92E4F" w:rsidRDefault="00B66B2E" w:rsidP="00B66B2E">
            <w:pPr>
              <w:ind w:firstLineChars="300" w:firstLine="600"/>
              <w:rPr>
                <w:rFonts w:ascii="Calibri" w:eastAsia="Times New Roman" w:hAnsi="Calibri" w:cs="Calibri"/>
                <w:color w:val="000000"/>
                <w:sz w:val="20"/>
                <w:szCs w:val="20"/>
              </w:rPr>
            </w:pPr>
            <w:r w:rsidRPr="00D92E4F">
              <w:rPr>
                <w:rFonts w:ascii="Calibri" w:eastAsia="Times New Roman" w:hAnsi="Calibri" w:cs="Calibri"/>
                <w:color w:val="000000"/>
                <w:sz w:val="20"/>
                <w:szCs w:val="20"/>
              </w:rPr>
              <w:t>Money markets</w:t>
            </w:r>
          </w:p>
        </w:tc>
        <w:tc>
          <w:tcPr>
            <w:tcW w:w="1170" w:type="dxa"/>
            <w:tcBorders>
              <w:top w:val="nil"/>
              <w:left w:val="nil"/>
              <w:bottom w:val="nil"/>
              <w:right w:val="nil"/>
            </w:tcBorders>
            <w:shd w:val="clear" w:color="000000" w:fill="FFFFFF"/>
            <w:noWrap/>
          </w:tcPr>
          <w:p w14:paraId="7DD9E7D0" w14:textId="77CDE686" w:rsidR="00B66B2E" w:rsidRPr="00FE041A" w:rsidRDefault="008E0946" w:rsidP="00B66B2E">
            <w:pPr>
              <w:jc w:val="right"/>
              <w:rPr>
                <w:rFonts w:eastAsia="Times New Roman" w:cstheme="minorHAnsi"/>
                <w:color w:val="FF0000"/>
                <w:sz w:val="20"/>
                <w:szCs w:val="20"/>
              </w:rPr>
            </w:pPr>
            <w:r>
              <w:rPr>
                <w:sz w:val="20"/>
                <w:szCs w:val="20"/>
              </w:rPr>
              <w:t>2,770</w:t>
            </w:r>
            <w:r w:rsidR="00B66B2E" w:rsidRPr="00FE041A">
              <w:rPr>
                <w:sz w:val="20"/>
                <w:szCs w:val="20"/>
              </w:rPr>
              <w:t xml:space="preserve"> </w:t>
            </w:r>
          </w:p>
        </w:tc>
        <w:tc>
          <w:tcPr>
            <w:tcW w:w="1170" w:type="dxa"/>
            <w:tcBorders>
              <w:top w:val="nil"/>
              <w:left w:val="nil"/>
              <w:bottom w:val="nil"/>
              <w:right w:val="nil"/>
            </w:tcBorders>
            <w:shd w:val="clear" w:color="000000" w:fill="FFFFFF"/>
            <w:noWrap/>
          </w:tcPr>
          <w:p w14:paraId="2B9F1BF0" w14:textId="3111A103" w:rsidR="00B66B2E" w:rsidRPr="00FE041A" w:rsidRDefault="008E0946" w:rsidP="00B66B2E">
            <w:pPr>
              <w:jc w:val="right"/>
              <w:rPr>
                <w:rFonts w:eastAsia="Times New Roman" w:cstheme="minorHAnsi"/>
                <w:color w:val="FF0000"/>
                <w:sz w:val="20"/>
                <w:szCs w:val="20"/>
              </w:rPr>
            </w:pPr>
            <w:r>
              <w:rPr>
                <w:sz w:val="20"/>
                <w:szCs w:val="20"/>
              </w:rPr>
              <w:t>2,770</w:t>
            </w:r>
            <w:r w:rsidR="00B66B2E" w:rsidRPr="00FE041A">
              <w:rPr>
                <w:sz w:val="20"/>
                <w:szCs w:val="20"/>
              </w:rPr>
              <w:t xml:space="preserve"> </w:t>
            </w:r>
          </w:p>
        </w:tc>
        <w:tc>
          <w:tcPr>
            <w:tcW w:w="1105" w:type="dxa"/>
            <w:tcBorders>
              <w:top w:val="nil"/>
              <w:left w:val="nil"/>
              <w:bottom w:val="nil"/>
              <w:right w:val="nil"/>
            </w:tcBorders>
            <w:shd w:val="clear" w:color="000000" w:fill="FFFFFF"/>
            <w:noWrap/>
          </w:tcPr>
          <w:p w14:paraId="11FF85F4" w14:textId="34C43EC7" w:rsidR="00B66B2E" w:rsidRPr="00FE041A" w:rsidRDefault="00B66B2E" w:rsidP="00B66B2E">
            <w:pPr>
              <w:jc w:val="right"/>
              <w:rPr>
                <w:rFonts w:eastAsia="Times New Roman" w:cstheme="minorHAnsi"/>
                <w:color w:val="FF0000"/>
                <w:sz w:val="20"/>
                <w:szCs w:val="20"/>
              </w:rPr>
            </w:pPr>
            <w:r w:rsidRPr="00FE041A">
              <w:rPr>
                <w:sz w:val="20"/>
                <w:szCs w:val="20"/>
              </w:rPr>
              <w:t xml:space="preserve"> - </w:t>
            </w:r>
          </w:p>
        </w:tc>
        <w:tc>
          <w:tcPr>
            <w:tcW w:w="900" w:type="dxa"/>
            <w:tcBorders>
              <w:top w:val="nil"/>
              <w:left w:val="nil"/>
              <w:bottom w:val="nil"/>
              <w:right w:val="nil"/>
            </w:tcBorders>
            <w:shd w:val="clear" w:color="000000" w:fill="FFFFFF"/>
            <w:noWrap/>
          </w:tcPr>
          <w:p w14:paraId="12C2AB39" w14:textId="67A91F2C" w:rsidR="00B66B2E" w:rsidRPr="00FE041A" w:rsidRDefault="00B66B2E" w:rsidP="00B66B2E">
            <w:pPr>
              <w:jc w:val="right"/>
              <w:rPr>
                <w:rFonts w:eastAsia="Times New Roman" w:cstheme="minorHAnsi"/>
                <w:color w:val="FF0000"/>
                <w:sz w:val="20"/>
                <w:szCs w:val="20"/>
              </w:rPr>
            </w:pPr>
            <w:r w:rsidRPr="00FE041A">
              <w:rPr>
                <w:sz w:val="20"/>
                <w:szCs w:val="20"/>
              </w:rPr>
              <w:t xml:space="preserve"> - </w:t>
            </w:r>
          </w:p>
        </w:tc>
        <w:tc>
          <w:tcPr>
            <w:tcW w:w="1055" w:type="dxa"/>
            <w:tcBorders>
              <w:top w:val="nil"/>
              <w:left w:val="nil"/>
              <w:bottom w:val="nil"/>
              <w:right w:val="nil"/>
            </w:tcBorders>
            <w:shd w:val="clear" w:color="000000" w:fill="FFFFFF"/>
            <w:noWrap/>
            <w:vAlign w:val="bottom"/>
            <w:hideMark/>
          </w:tcPr>
          <w:p w14:paraId="512F6B6B" w14:textId="77777777" w:rsidR="00B66B2E" w:rsidRPr="00880C3F" w:rsidRDefault="00B66B2E" w:rsidP="00B66B2E">
            <w:pPr>
              <w:jc w:val="center"/>
              <w:rPr>
                <w:rFonts w:ascii="Calibri" w:eastAsia="Times New Roman" w:hAnsi="Calibri" w:cs="Calibri"/>
                <w:sz w:val="20"/>
                <w:szCs w:val="20"/>
              </w:rPr>
            </w:pPr>
            <w:r w:rsidRPr="00880C3F">
              <w:rPr>
                <w:rFonts w:ascii="Calibri" w:eastAsia="Times New Roman" w:hAnsi="Calibri" w:cs="Calibri"/>
                <w:sz w:val="20"/>
                <w:szCs w:val="20"/>
              </w:rPr>
              <w:t xml:space="preserve">Not rated </w:t>
            </w:r>
          </w:p>
        </w:tc>
        <w:tc>
          <w:tcPr>
            <w:tcW w:w="1440" w:type="dxa"/>
            <w:tcBorders>
              <w:top w:val="nil"/>
              <w:left w:val="nil"/>
              <w:bottom w:val="nil"/>
              <w:right w:val="nil"/>
            </w:tcBorders>
            <w:shd w:val="clear" w:color="000000" w:fill="FFFFFF"/>
            <w:noWrap/>
            <w:vAlign w:val="bottom"/>
            <w:hideMark/>
          </w:tcPr>
          <w:p w14:paraId="2338CD2D" w14:textId="77777777" w:rsidR="00B66B2E" w:rsidRPr="00880C3F" w:rsidRDefault="00B66B2E" w:rsidP="00B66B2E">
            <w:pPr>
              <w:jc w:val="center"/>
              <w:rPr>
                <w:rFonts w:ascii="Calibri" w:eastAsia="Times New Roman" w:hAnsi="Calibri" w:cs="Calibri"/>
                <w:sz w:val="20"/>
                <w:szCs w:val="20"/>
              </w:rPr>
            </w:pPr>
            <w:r w:rsidRPr="00880C3F">
              <w:rPr>
                <w:rFonts w:ascii="Calibri" w:eastAsia="Times New Roman" w:hAnsi="Calibri" w:cs="Calibri"/>
                <w:sz w:val="20"/>
                <w:szCs w:val="20"/>
              </w:rPr>
              <w:t>4.39 years</w:t>
            </w:r>
          </w:p>
        </w:tc>
        <w:tc>
          <w:tcPr>
            <w:tcW w:w="2580" w:type="dxa"/>
            <w:tcBorders>
              <w:top w:val="nil"/>
              <w:left w:val="nil"/>
              <w:bottom w:val="nil"/>
              <w:right w:val="nil"/>
            </w:tcBorders>
            <w:shd w:val="clear" w:color="000000" w:fill="FFFFFF"/>
            <w:noWrap/>
            <w:vAlign w:val="bottom"/>
            <w:hideMark/>
          </w:tcPr>
          <w:p w14:paraId="55240100" w14:textId="77777777" w:rsidR="00B66B2E" w:rsidRPr="00880C3F" w:rsidRDefault="00B66B2E" w:rsidP="00B66B2E">
            <w:pPr>
              <w:rPr>
                <w:rFonts w:ascii="Calibri" w:eastAsia="Times New Roman" w:hAnsi="Calibri" w:cs="Calibri"/>
                <w:sz w:val="20"/>
                <w:szCs w:val="20"/>
              </w:rPr>
            </w:pPr>
            <w:r w:rsidRPr="00880C3F">
              <w:rPr>
                <w:rFonts w:ascii="Calibri" w:eastAsia="Times New Roman" w:hAnsi="Calibri" w:cs="Calibri"/>
                <w:sz w:val="20"/>
                <w:szCs w:val="20"/>
              </w:rPr>
              <w:t>Weighted Average Maturity</w:t>
            </w:r>
          </w:p>
        </w:tc>
      </w:tr>
      <w:tr w:rsidR="00B66B2E" w:rsidRPr="00D92E4F" w14:paraId="79381E66" w14:textId="77777777" w:rsidTr="00730ECF">
        <w:trPr>
          <w:trHeight w:val="80"/>
          <w:jc w:val="center"/>
        </w:trPr>
        <w:tc>
          <w:tcPr>
            <w:tcW w:w="5130" w:type="dxa"/>
            <w:tcBorders>
              <w:top w:val="nil"/>
              <w:left w:val="nil"/>
              <w:bottom w:val="nil"/>
              <w:right w:val="nil"/>
            </w:tcBorders>
            <w:shd w:val="clear" w:color="000000" w:fill="FFFFFF"/>
            <w:noWrap/>
            <w:vAlign w:val="bottom"/>
            <w:hideMark/>
          </w:tcPr>
          <w:p w14:paraId="073D232F" w14:textId="77777777" w:rsidR="00B66B2E" w:rsidRPr="00D92E4F" w:rsidRDefault="00B66B2E" w:rsidP="00B66B2E">
            <w:pPr>
              <w:ind w:firstLineChars="300" w:firstLine="600"/>
              <w:rPr>
                <w:rFonts w:ascii="Calibri" w:eastAsia="Times New Roman" w:hAnsi="Calibri" w:cs="Calibri"/>
                <w:color w:val="000000"/>
                <w:sz w:val="20"/>
                <w:szCs w:val="20"/>
              </w:rPr>
            </w:pPr>
            <w:r w:rsidRPr="00D92E4F">
              <w:rPr>
                <w:rFonts w:ascii="Calibri" w:eastAsia="Times New Roman" w:hAnsi="Calibri" w:cs="Calibri"/>
                <w:color w:val="000000"/>
                <w:sz w:val="20"/>
                <w:szCs w:val="20"/>
              </w:rPr>
              <w:t>Bonds</w:t>
            </w:r>
          </w:p>
        </w:tc>
        <w:tc>
          <w:tcPr>
            <w:tcW w:w="1170" w:type="dxa"/>
            <w:tcBorders>
              <w:top w:val="nil"/>
              <w:left w:val="nil"/>
              <w:bottom w:val="nil"/>
              <w:right w:val="nil"/>
            </w:tcBorders>
            <w:shd w:val="clear" w:color="000000" w:fill="FFFFFF"/>
            <w:noWrap/>
          </w:tcPr>
          <w:p w14:paraId="4F7B65BD" w14:textId="0C5AAD29" w:rsidR="00B66B2E" w:rsidRPr="00FE041A" w:rsidRDefault="00B66B2E" w:rsidP="00B66B2E">
            <w:pPr>
              <w:jc w:val="right"/>
              <w:rPr>
                <w:rFonts w:eastAsia="Times New Roman" w:cstheme="minorHAnsi"/>
                <w:color w:val="FF0000"/>
                <w:sz w:val="20"/>
                <w:szCs w:val="20"/>
              </w:rPr>
            </w:pPr>
            <w:r w:rsidRPr="00FE041A">
              <w:rPr>
                <w:sz w:val="20"/>
                <w:szCs w:val="20"/>
              </w:rPr>
              <w:t xml:space="preserve"> 6</w:t>
            </w:r>
            <w:r w:rsidR="008E0946">
              <w:rPr>
                <w:sz w:val="20"/>
                <w:szCs w:val="20"/>
              </w:rPr>
              <w:t>3,803</w:t>
            </w:r>
            <w:r w:rsidRPr="00FE041A">
              <w:rPr>
                <w:sz w:val="20"/>
                <w:szCs w:val="20"/>
              </w:rPr>
              <w:t xml:space="preserve"> </w:t>
            </w:r>
          </w:p>
        </w:tc>
        <w:tc>
          <w:tcPr>
            <w:tcW w:w="1170" w:type="dxa"/>
            <w:tcBorders>
              <w:top w:val="nil"/>
              <w:left w:val="nil"/>
              <w:bottom w:val="nil"/>
              <w:right w:val="nil"/>
            </w:tcBorders>
            <w:shd w:val="clear" w:color="000000" w:fill="FFFFFF"/>
            <w:noWrap/>
          </w:tcPr>
          <w:p w14:paraId="4BFAEF2F" w14:textId="0DB1B2CC" w:rsidR="00B66B2E" w:rsidRPr="00FE041A" w:rsidRDefault="00B66B2E" w:rsidP="00B66B2E">
            <w:pPr>
              <w:jc w:val="right"/>
              <w:rPr>
                <w:rFonts w:eastAsia="Times New Roman" w:cstheme="minorHAnsi"/>
                <w:color w:val="FF0000"/>
                <w:sz w:val="20"/>
                <w:szCs w:val="20"/>
              </w:rPr>
            </w:pPr>
            <w:r w:rsidRPr="00FE041A">
              <w:rPr>
                <w:sz w:val="20"/>
                <w:szCs w:val="20"/>
              </w:rPr>
              <w:t xml:space="preserve"> 6</w:t>
            </w:r>
            <w:r w:rsidR="008E0946">
              <w:rPr>
                <w:sz w:val="20"/>
                <w:szCs w:val="20"/>
              </w:rPr>
              <w:t>3,803</w:t>
            </w:r>
            <w:r w:rsidRPr="00FE041A">
              <w:rPr>
                <w:sz w:val="20"/>
                <w:szCs w:val="20"/>
              </w:rPr>
              <w:t xml:space="preserve"> </w:t>
            </w:r>
          </w:p>
        </w:tc>
        <w:tc>
          <w:tcPr>
            <w:tcW w:w="1105" w:type="dxa"/>
            <w:tcBorders>
              <w:top w:val="nil"/>
              <w:left w:val="nil"/>
              <w:bottom w:val="nil"/>
              <w:right w:val="nil"/>
            </w:tcBorders>
            <w:shd w:val="clear" w:color="000000" w:fill="FFFFFF"/>
            <w:noWrap/>
          </w:tcPr>
          <w:p w14:paraId="74B6AAA6" w14:textId="334082F7" w:rsidR="00B66B2E" w:rsidRPr="00FE041A" w:rsidRDefault="00B66B2E" w:rsidP="00B66B2E">
            <w:pPr>
              <w:jc w:val="right"/>
              <w:rPr>
                <w:rFonts w:eastAsia="Times New Roman" w:cstheme="minorHAnsi"/>
                <w:color w:val="FF0000"/>
                <w:sz w:val="20"/>
                <w:szCs w:val="20"/>
              </w:rPr>
            </w:pPr>
            <w:r w:rsidRPr="00FE041A">
              <w:rPr>
                <w:sz w:val="20"/>
                <w:szCs w:val="20"/>
              </w:rPr>
              <w:t xml:space="preserve"> - </w:t>
            </w:r>
          </w:p>
        </w:tc>
        <w:tc>
          <w:tcPr>
            <w:tcW w:w="900" w:type="dxa"/>
            <w:tcBorders>
              <w:top w:val="nil"/>
              <w:left w:val="nil"/>
              <w:bottom w:val="nil"/>
              <w:right w:val="nil"/>
            </w:tcBorders>
            <w:shd w:val="clear" w:color="000000" w:fill="FFFFFF"/>
            <w:noWrap/>
          </w:tcPr>
          <w:p w14:paraId="1EBD9493" w14:textId="4CED1219" w:rsidR="00B66B2E" w:rsidRPr="00FE041A" w:rsidRDefault="00B66B2E" w:rsidP="00B66B2E">
            <w:pPr>
              <w:jc w:val="right"/>
              <w:rPr>
                <w:rFonts w:eastAsia="Times New Roman" w:cstheme="minorHAnsi"/>
                <w:color w:val="FF0000"/>
                <w:sz w:val="20"/>
                <w:szCs w:val="20"/>
              </w:rPr>
            </w:pPr>
            <w:r w:rsidRPr="00FE041A">
              <w:rPr>
                <w:sz w:val="20"/>
                <w:szCs w:val="20"/>
              </w:rPr>
              <w:t xml:space="preserve"> - </w:t>
            </w:r>
          </w:p>
        </w:tc>
        <w:tc>
          <w:tcPr>
            <w:tcW w:w="1055" w:type="dxa"/>
            <w:tcBorders>
              <w:top w:val="nil"/>
              <w:left w:val="nil"/>
              <w:bottom w:val="nil"/>
              <w:right w:val="nil"/>
            </w:tcBorders>
            <w:shd w:val="clear" w:color="000000" w:fill="FFFFFF"/>
            <w:noWrap/>
            <w:vAlign w:val="bottom"/>
            <w:hideMark/>
          </w:tcPr>
          <w:p w14:paraId="69F97F07" w14:textId="77777777" w:rsidR="00B66B2E" w:rsidRPr="00880C3F" w:rsidRDefault="00B66B2E" w:rsidP="00B66B2E">
            <w:pPr>
              <w:jc w:val="center"/>
              <w:rPr>
                <w:rFonts w:ascii="Calibri" w:eastAsia="Times New Roman" w:hAnsi="Calibri" w:cs="Calibri"/>
                <w:sz w:val="20"/>
                <w:szCs w:val="20"/>
              </w:rPr>
            </w:pPr>
            <w:r w:rsidRPr="00880C3F">
              <w:rPr>
                <w:rFonts w:ascii="Calibri" w:eastAsia="Times New Roman" w:hAnsi="Calibri" w:cs="Calibri"/>
                <w:sz w:val="20"/>
                <w:szCs w:val="20"/>
              </w:rPr>
              <w:t xml:space="preserve">Not rated </w:t>
            </w:r>
          </w:p>
        </w:tc>
        <w:tc>
          <w:tcPr>
            <w:tcW w:w="1440" w:type="dxa"/>
            <w:tcBorders>
              <w:top w:val="nil"/>
              <w:left w:val="nil"/>
              <w:bottom w:val="nil"/>
              <w:right w:val="nil"/>
            </w:tcBorders>
            <w:shd w:val="clear" w:color="000000" w:fill="FFFFFF"/>
            <w:noWrap/>
            <w:vAlign w:val="bottom"/>
            <w:hideMark/>
          </w:tcPr>
          <w:p w14:paraId="238B0F27" w14:textId="77777777" w:rsidR="00B66B2E" w:rsidRPr="00880C3F" w:rsidRDefault="00B66B2E" w:rsidP="00B66B2E">
            <w:pPr>
              <w:jc w:val="center"/>
              <w:rPr>
                <w:rFonts w:ascii="Calibri" w:eastAsia="Times New Roman" w:hAnsi="Calibri" w:cs="Calibri"/>
                <w:sz w:val="20"/>
                <w:szCs w:val="20"/>
              </w:rPr>
            </w:pPr>
            <w:r w:rsidRPr="00880C3F">
              <w:rPr>
                <w:rFonts w:ascii="Calibri" w:eastAsia="Times New Roman" w:hAnsi="Calibri" w:cs="Calibri"/>
                <w:sz w:val="20"/>
                <w:szCs w:val="20"/>
              </w:rPr>
              <w:t>3.9-6.4 years</w:t>
            </w:r>
          </w:p>
        </w:tc>
        <w:tc>
          <w:tcPr>
            <w:tcW w:w="2580" w:type="dxa"/>
            <w:tcBorders>
              <w:top w:val="nil"/>
              <w:left w:val="nil"/>
              <w:bottom w:val="nil"/>
              <w:right w:val="nil"/>
            </w:tcBorders>
            <w:shd w:val="clear" w:color="000000" w:fill="FFFFFF"/>
            <w:noWrap/>
            <w:vAlign w:val="bottom"/>
            <w:hideMark/>
          </w:tcPr>
          <w:p w14:paraId="28D11C51" w14:textId="77777777" w:rsidR="00B66B2E" w:rsidRPr="00880C3F" w:rsidRDefault="00B66B2E" w:rsidP="00B66B2E">
            <w:pPr>
              <w:rPr>
                <w:rFonts w:ascii="Calibri" w:eastAsia="Times New Roman" w:hAnsi="Calibri" w:cs="Calibri"/>
                <w:sz w:val="20"/>
                <w:szCs w:val="20"/>
              </w:rPr>
            </w:pPr>
            <w:r w:rsidRPr="00880C3F">
              <w:rPr>
                <w:rFonts w:ascii="Calibri" w:eastAsia="Times New Roman" w:hAnsi="Calibri" w:cs="Calibri"/>
                <w:sz w:val="20"/>
                <w:szCs w:val="20"/>
              </w:rPr>
              <w:t>Duration</w:t>
            </w:r>
          </w:p>
        </w:tc>
      </w:tr>
      <w:tr w:rsidR="00B66B2E" w:rsidRPr="00D92E4F" w14:paraId="0A9C7707" w14:textId="77777777" w:rsidTr="00730ECF">
        <w:trPr>
          <w:trHeight w:val="80"/>
          <w:jc w:val="center"/>
        </w:trPr>
        <w:tc>
          <w:tcPr>
            <w:tcW w:w="5130" w:type="dxa"/>
            <w:tcBorders>
              <w:top w:val="nil"/>
              <w:left w:val="nil"/>
              <w:bottom w:val="nil"/>
              <w:right w:val="nil"/>
            </w:tcBorders>
            <w:shd w:val="clear" w:color="000000" w:fill="FFFFFF"/>
            <w:noWrap/>
            <w:vAlign w:val="bottom"/>
            <w:hideMark/>
          </w:tcPr>
          <w:p w14:paraId="78F31A20" w14:textId="77777777" w:rsidR="00B66B2E" w:rsidRPr="00D92E4F" w:rsidRDefault="00B66B2E" w:rsidP="00B66B2E">
            <w:pPr>
              <w:ind w:firstLineChars="200" w:firstLine="400"/>
              <w:rPr>
                <w:rFonts w:ascii="Calibri" w:eastAsia="Times New Roman" w:hAnsi="Calibri" w:cs="Calibri"/>
                <w:color w:val="000000"/>
                <w:sz w:val="20"/>
                <w:szCs w:val="20"/>
              </w:rPr>
            </w:pPr>
            <w:r w:rsidRPr="00D92E4F">
              <w:rPr>
                <w:rFonts w:ascii="Calibri" w:eastAsia="Times New Roman" w:hAnsi="Calibri" w:cs="Calibri"/>
                <w:color w:val="000000"/>
                <w:sz w:val="20"/>
                <w:szCs w:val="20"/>
              </w:rPr>
              <w:t>Real assets</w:t>
            </w:r>
          </w:p>
        </w:tc>
        <w:tc>
          <w:tcPr>
            <w:tcW w:w="1170" w:type="dxa"/>
            <w:tcBorders>
              <w:top w:val="nil"/>
              <w:left w:val="nil"/>
              <w:bottom w:val="single" w:sz="4" w:space="0" w:color="000000"/>
              <w:right w:val="nil"/>
            </w:tcBorders>
            <w:shd w:val="clear" w:color="000000" w:fill="FFFFFF"/>
            <w:noWrap/>
          </w:tcPr>
          <w:p w14:paraId="213E2D32" w14:textId="3DDC3727" w:rsidR="00B66B2E" w:rsidRPr="00FE041A" w:rsidRDefault="00B66B2E" w:rsidP="00B66B2E">
            <w:pPr>
              <w:jc w:val="right"/>
              <w:rPr>
                <w:rFonts w:eastAsia="Times New Roman" w:cstheme="minorHAnsi"/>
                <w:color w:val="FF0000"/>
                <w:sz w:val="20"/>
                <w:szCs w:val="20"/>
              </w:rPr>
            </w:pPr>
            <w:r w:rsidRPr="00FE041A">
              <w:rPr>
                <w:sz w:val="20"/>
                <w:szCs w:val="20"/>
              </w:rPr>
              <w:t xml:space="preserve"> 514 </w:t>
            </w:r>
          </w:p>
        </w:tc>
        <w:tc>
          <w:tcPr>
            <w:tcW w:w="1170" w:type="dxa"/>
            <w:tcBorders>
              <w:top w:val="nil"/>
              <w:left w:val="nil"/>
              <w:bottom w:val="single" w:sz="4" w:space="0" w:color="000000"/>
              <w:right w:val="nil"/>
            </w:tcBorders>
            <w:shd w:val="clear" w:color="000000" w:fill="FFFFFF"/>
            <w:noWrap/>
          </w:tcPr>
          <w:p w14:paraId="69589C78" w14:textId="443CA67D" w:rsidR="00B66B2E" w:rsidRPr="00FE041A" w:rsidRDefault="00B66B2E" w:rsidP="00B66B2E">
            <w:pPr>
              <w:jc w:val="right"/>
              <w:rPr>
                <w:rFonts w:eastAsia="Times New Roman" w:cstheme="minorHAnsi"/>
                <w:color w:val="FF0000"/>
                <w:sz w:val="20"/>
                <w:szCs w:val="20"/>
              </w:rPr>
            </w:pPr>
            <w:r w:rsidRPr="00FE041A">
              <w:rPr>
                <w:sz w:val="20"/>
                <w:szCs w:val="20"/>
              </w:rPr>
              <w:t xml:space="preserve"> - </w:t>
            </w:r>
          </w:p>
        </w:tc>
        <w:tc>
          <w:tcPr>
            <w:tcW w:w="1105" w:type="dxa"/>
            <w:tcBorders>
              <w:top w:val="nil"/>
              <w:left w:val="nil"/>
              <w:bottom w:val="single" w:sz="4" w:space="0" w:color="000000"/>
              <w:right w:val="nil"/>
            </w:tcBorders>
            <w:shd w:val="clear" w:color="000000" w:fill="FFFFFF"/>
            <w:noWrap/>
          </w:tcPr>
          <w:p w14:paraId="0777A879" w14:textId="65CBE2A6" w:rsidR="00B66B2E" w:rsidRPr="00FE041A" w:rsidRDefault="00B66B2E" w:rsidP="00B66B2E">
            <w:pPr>
              <w:jc w:val="right"/>
              <w:rPr>
                <w:rFonts w:eastAsia="Times New Roman" w:cstheme="minorHAnsi"/>
                <w:color w:val="FF0000"/>
                <w:sz w:val="20"/>
                <w:szCs w:val="20"/>
              </w:rPr>
            </w:pPr>
            <w:r w:rsidRPr="00FE041A">
              <w:rPr>
                <w:sz w:val="20"/>
                <w:szCs w:val="20"/>
              </w:rPr>
              <w:t xml:space="preserve"> - </w:t>
            </w:r>
          </w:p>
        </w:tc>
        <w:tc>
          <w:tcPr>
            <w:tcW w:w="900" w:type="dxa"/>
            <w:tcBorders>
              <w:top w:val="nil"/>
              <w:left w:val="nil"/>
              <w:bottom w:val="single" w:sz="4" w:space="0" w:color="000000"/>
              <w:right w:val="nil"/>
            </w:tcBorders>
            <w:shd w:val="clear" w:color="000000" w:fill="FFFFFF"/>
            <w:noWrap/>
          </w:tcPr>
          <w:p w14:paraId="1486ED9F" w14:textId="59C2E0F5" w:rsidR="00B66B2E" w:rsidRPr="00FE041A" w:rsidRDefault="00B66B2E" w:rsidP="00B66B2E">
            <w:pPr>
              <w:jc w:val="right"/>
              <w:rPr>
                <w:rFonts w:eastAsia="Times New Roman" w:cstheme="minorHAnsi"/>
                <w:color w:val="FF0000"/>
                <w:sz w:val="20"/>
                <w:szCs w:val="20"/>
              </w:rPr>
            </w:pPr>
            <w:r w:rsidRPr="00FE041A">
              <w:rPr>
                <w:sz w:val="20"/>
                <w:szCs w:val="20"/>
              </w:rPr>
              <w:t xml:space="preserve"> 514 </w:t>
            </w:r>
          </w:p>
        </w:tc>
        <w:tc>
          <w:tcPr>
            <w:tcW w:w="1055" w:type="dxa"/>
            <w:tcBorders>
              <w:top w:val="nil"/>
              <w:left w:val="nil"/>
              <w:bottom w:val="nil"/>
              <w:right w:val="nil"/>
            </w:tcBorders>
            <w:shd w:val="clear" w:color="000000" w:fill="FFFFFF"/>
            <w:noWrap/>
            <w:vAlign w:val="bottom"/>
            <w:hideMark/>
          </w:tcPr>
          <w:p w14:paraId="1756A111" w14:textId="77777777" w:rsidR="00B66B2E" w:rsidRPr="00880C3F" w:rsidRDefault="00B66B2E" w:rsidP="00B66B2E">
            <w:pPr>
              <w:jc w:val="center"/>
              <w:rPr>
                <w:rFonts w:ascii="Calibri" w:eastAsia="Times New Roman" w:hAnsi="Calibri" w:cs="Calibri"/>
                <w:sz w:val="20"/>
                <w:szCs w:val="20"/>
              </w:rPr>
            </w:pPr>
            <w:r w:rsidRPr="00880C3F">
              <w:rPr>
                <w:rFonts w:ascii="Calibri" w:eastAsia="Times New Roman" w:hAnsi="Calibri" w:cs="Calibri"/>
                <w:sz w:val="20"/>
                <w:szCs w:val="20"/>
              </w:rPr>
              <w:t xml:space="preserve">Not rated </w:t>
            </w:r>
          </w:p>
        </w:tc>
        <w:tc>
          <w:tcPr>
            <w:tcW w:w="1440" w:type="dxa"/>
            <w:tcBorders>
              <w:top w:val="nil"/>
              <w:left w:val="nil"/>
              <w:bottom w:val="nil"/>
              <w:right w:val="nil"/>
            </w:tcBorders>
            <w:shd w:val="clear" w:color="000000" w:fill="FFFFFF"/>
            <w:noWrap/>
            <w:vAlign w:val="bottom"/>
            <w:hideMark/>
          </w:tcPr>
          <w:p w14:paraId="716DB468" w14:textId="77777777" w:rsidR="00B66B2E" w:rsidRPr="00880C3F" w:rsidRDefault="00B66B2E" w:rsidP="00B66B2E">
            <w:pPr>
              <w:jc w:val="center"/>
              <w:rPr>
                <w:rFonts w:ascii="Calibri" w:eastAsia="Times New Roman" w:hAnsi="Calibri" w:cs="Calibri"/>
                <w:sz w:val="20"/>
                <w:szCs w:val="20"/>
              </w:rPr>
            </w:pPr>
            <w:r w:rsidRPr="00880C3F">
              <w:rPr>
                <w:rFonts w:ascii="Calibri" w:eastAsia="Times New Roman" w:hAnsi="Calibri" w:cs="Calibri"/>
                <w:sz w:val="20"/>
                <w:szCs w:val="20"/>
              </w:rPr>
              <w:t xml:space="preserve">Not rated </w:t>
            </w:r>
          </w:p>
        </w:tc>
        <w:tc>
          <w:tcPr>
            <w:tcW w:w="2580" w:type="dxa"/>
            <w:tcBorders>
              <w:top w:val="nil"/>
              <w:left w:val="nil"/>
              <w:bottom w:val="nil"/>
              <w:right w:val="nil"/>
            </w:tcBorders>
            <w:shd w:val="clear" w:color="000000" w:fill="FFFFFF"/>
            <w:noWrap/>
            <w:vAlign w:val="bottom"/>
            <w:hideMark/>
          </w:tcPr>
          <w:p w14:paraId="18AEF292" w14:textId="77777777" w:rsidR="00B66B2E" w:rsidRPr="00880C3F" w:rsidRDefault="00B66B2E" w:rsidP="00B66B2E">
            <w:pPr>
              <w:rPr>
                <w:rFonts w:ascii="Calibri" w:eastAsia="Times New Roman" w:hAnsi="Calibri" w:cs="Calibri"/>
                <w:sz w:val="20"/>
                <w:szCs w:val="20"/>
              </w:rPr>
            </w:pPr>
            <w:r w:rsidRPr="00880C3F">
              <w:rPr>
                <w:rFonts w:ascii="Calibri" w:eastAsia="Times New Roman" w:hAnsi="Calibri" w:cs="Calibri"/>
                <w:sz w:val="20"/>
                <w:szCs w:val="20"/>
              </w:rPr>
              <w:t> </w:t>
            </w:r>
          </w:p>
        </w:tc>
      </w:tr>
      <w:tr w:rsidR="00B66B2E" w:rsidRPr="00D92E4F" w14:paraId="031772F6" w14:textId="77777777" w:rsidTr="00730ECF">
        <w:trPr>
          <w:trHeight w:val="70"/>
          <w:jc w:val="center"/>
        </w:trPr>
        <w:tc>
          <w:tcPr>
            <w:tcW w:w="5130" w:type="dxa"/>
            <w:tcBorders>
              <w:top w:val="nil"/>
              <w:left w:val="nil"/>
              <w:bottom w:val="nil"/>
              <w:right w:val="nil"/>
            </w:tcBorders>
            <w:shd w:val="clear" w:color="000000" w:fill="FFFFFF"/>
            <w:noWrap/>
            <w:vAlign w:val="bottom"/>
            <w:hideMark/>
          </w:tcPr>
          <w:p w14:paraId="2F8EEC8F" w14:textId="77777777" w:rsidR="00B66B2E" w:rsidRPr="00D92E4F" w:rsidRDefault="00B66B2E" w:rsidP="00B66B2E">
            <w:pPr>
              <w:ind w:firstLineChars="100" w:firstLine="200"/>
              <w:rPr>
                <w:rFonts w:ascii="Calibri" w:eastAsia="Times New Roman" w:hAnsi="Calibri" w:cs="Calibri"/>
                <w:color w:val="000000"/>
                <w:sz w:val="20"/>
                <w:szCs w:val="20"/>
              </w:rPr>
            </w:pPr>
            <w:r w:rsidRPr="00D92E4F">
              <w:rPr>
                <w:rFonts w:ascii="Calibri" w:eastAsia="Times New Roman" w:hAnsi="Calibri" w:cs="Calibri"/>
                <w:color w:val="000000"/>
                <w:sz w:val="20"/>
                <w:szCs w:val="20"/>
              </w:rPr>
              <w:t>Total DB Plan, MIP and separately held at fair value level</w:t>
            </w:r>
          </w:p>
        </w:tc>
        <w:tc>
          <w:tcPr>
            <w:tcW w:w="1170" w:type="dxa"/>
            <w:tcBorders>
              <w:top w:val="nil"/>
              <w:left w:val="nil"/>
              <w:bottom w:val="single" w:sz="4" w:space="0" w:color="000000"/>
              <w:right w:val="nil"/>
            </w:tcBorders>
            <w:shd w:val="clear" w:color="000000" w:fill="FFFFFF"/>
            <w:noWrap/>
          </w:tcPr>
          <w:p w14:paraId="1915F973" w14:textId="512EDE4F" w:rsidR="00B66B2E" w:rsidRPr="00FE041A" w:rsidRDefault="005E4F69" w:rsidP="00B66B2E">
            <w:pPr>
              <w:jc w:val="right"/>
              <w:rPr>
                <w:rFonts w:eastAsia="Times New Roman" w:cstheme="minorHAnsi"/>
                <w:color w:val="FF0000"/>
                <w:sz w:val="20"/>
                <w:szCs w:val="20"/>
              </w:rPr>
            </w:pPr>
            <w:r w:rsidRPr="005E4F69">
              <w:rPr>
                <w:sz w:val="20"/>
                <w:szCs w:val="20"/>
              </w:rPr>
              <w:t>255,391</w:t>
            </w:r>
          </w:p>
        </w:tc>
        <w:tc>
          <w:tcPr>
            <w:tcW w:w="1170" w:type="dxa"/>
            <w:tcBorders>
              <w:top w:val="nil"/>
              <w:left w:val="nil"/>
              <w:bottom w:val="double" w:sz="6" w:space="0" w:color="000000"/>
              <w:right w:val="nil"/>
            </w:tcBorders>
            <w:shd w:val="clear" w:color="000000" w:fill="FFFFFF"/>
            <w:noWrap/>
          </w:tcPr>
          <w:p w14:paraId="7B0F7FE6" w14:textId="1647E52E" w:rsidR="00B66B2E" w:rsidRPr="00FE041A" w:rsidRDefault="00B66B2E" w:rsidP="00B66B2E">
            <w:pPr>
              <w:jc w:val="right"/>
              <w:rPr>
                <w:rFonts w:eastAsia="Times New Roman" w:cstheme="minorHAnsi"/>
                <w:color w:val="FF0000"/>
                <w:sz w:val="20"/>
                <w:szCs w:val="20"/>
              </w:rPr>
            </w:pPr>
            <w:r w:rsidRPr="00FE041A">
              <w:rPr>
                <w:sz w:val="20"/>
                <w:szCs w:val="20"/>
              </w:rPr>
              <w:t xml:space="preserve"> $16</w:t>
            </w:r>
            <w:r w:rsidR="008E0946">
              <w:rPr>
                <w:sz w:val="20"/>
                <w:szCs w:val="20"/>
              </w:rPr>
              <w:t>4</w:t>
            </w:r>
            <w:r w:rsidRPr="00FE041A">
              <w:rPr>
                <w:sz w:val="20"/>
                <w:szCs w:val="20"/>
              </w:rPr>
              <w:t>,</w:t>
            </w:r>
            <w:r w:rsidR="008E0946">
              <w:rPr>
                <w:sz w:val="20"/>
                <w:szCs w:val="20"/>
              </w:rPr>
              <w:t>355</w:t>
            </w:r>
            <w:r w:rsidR="008E0946" w:rsidRPr="00FE041A">
              <w:rPr>
                <w:sz w:val="20"/>
                <w:szCs w:val="20"/>
              </w:rPr>
              <w:t xml:space="preserve"> </w:t>
            </w:r>
          </w:p>
        </w:tc>
        <w:tc>
          <w:tcPr>
            <w:tcW w:w="1105" w:type="dxa"/>
            <w:tcBorders>
              <w:top w:val="nil"/>
              <w:left w:val="nil"/>
              <w:bottom w:val="double" w:sz="6" w:space="0" w:color="000000"/>
              <w:right w:val="nil"/>
            </w:tcBorders>
            <w:shd w:val="clear" w:color="000000" w:fill="FFFFFF"/>
            <w:noWrap/>
          </w:tcPr>
          <w:p w14:paraId="1CAA9391" w14:textId="484E4001" w:rsidR="00B66B2E" w:rsidRPr="00FE041A" w:rsidRDefault="00B66B2E" w:rsidP="00B66B2E">
            <w:pPr>
              <w:jc w:val="right"/>
              <w:rPr>
                <w:rFonts w:eastAsia="Times New Roman" w:cstheme="minorHAnsi"/>
                <w:color w:val="FF0000"/>
                <w:sz w:val="20"/>
                <w:szCs w:val="20"/>
              </w:rPr>
            </w:pPr>
            <w:r w:rsidRPr="00FE041A">
              <w:rPr>
                <w:sz w:val="20"/>
                <w:szCs w:val="20"/>
              </w:rPr>
              <w:t xml:space="preserve"> $90,522 </w:t>
            </w:r>
          </w:p>
        </w:tc>
        <w:tc>
          <w:tcPr>
            <w:tcW w:w="900" w:type="dxa"/>
            <w:tcBorders>
              <w:top w:val="nil"/>
              <w:left w:val="nil"/>
              <w:bottom w:val="double" w:sz="6" w:space="0" w:color="000000"/>
              <w:right w:val="nil"/>
            </w:tcBorders>
            <w:shd w:val="clear" w:color="000000" w:fill="FFFFFF"/>
            <w:noWrap/>
          </w:tcPr>
          <w:p w14:paraId="56EBE2A3" w14:textId="7CFA3842" w:rsidR="00B66B2E" w:rsidRPr="00FE041A" w:rsidRDefault="00B66B2E" w:rsidP="00B66B2E">
            <w:pPr>
              <w:jc w:val="right"/>
              <w:rPr>
                <w:rFonts w:eastAsia="Times New Roman" w:cstheme="minorHAnsi"/>
                <w:color w:val="FF0000"/>
                <w:sz w:val="20"/>
                <w:szCs w:val="20"/>
              </w:rPr>
            </w:pPr>
            <w:r w:rsidRPr="00FE041A">
              <w:rPr>
                <w:sz w:val="20"/>
                <w:szCs w:val="20"/>
              </w:rPr>
              <w:t xml:space="preserve"> $514 </w:t>
            </w:r>
          </w:p>
        </w:tc>
        <w:tc>
          <w:tcPr>
            <w:tcW w:w="1055" w:type="dxa"/>
            <w:tcBorders>
              <w:top w:val="nil"/>
              <w:left w:val="nil"/>
              <w:bottom w:val="nil"/>
              <w:right w:val="nil"/>
            </w:tcBorders>
            <w:shd w:val="clear" w:color="000000" w:fill="FFFFFF"/>
            <w:noWrap/>
            <w:vAlign w:val="bottom"/>
            <w:hideMark/>
          </w:tcPr>
          <w:p w14:paraId="32627390" w14:textId="77777777" w:rsidR="00B66B2E" w:rsidRPr="00E41A37" w:rsidRDefault="00B66B2E" w:rsidP="00B66B2E">
            <w:pPr>
              <w:rPr>
                <w:rFonts w:ascii="Calibri" w:eastAsia="Times New Roman" w:hAnsi="Calibri" w:cs="Calibri"/>
                <w:color w:val="FF0000"/>
                <w:sz w:val="20"/>
                <w:szCs w:val="20"/>
              </w:rPr>
            </w:pPr>
            <w:r w:rsidRPr="00E41A37">
              <w:rPr>
                <w:rFonts w:ascii="Calibri" w:eastAsia="Times New Roman" w:hAnsi="Calibri" w:cs="Calibri"/>
                <w:color w:val="FF0000"/>
                <w:sz w:val="20"/>
                <w:szCs w:val="20"/>
              </w:rPr>
              <w:t> </w:t>
            </w:r>
          </w:p>
        </w:tc>
        <w:tc>
          <w:tcPr>
            <w:tcW w:w="1440" w:type="dxa"/>
            <w:tcBorders>
              <w:top w:val="nil"/>
              <w:left w:val="nil"/>
              <w:bottom w:val="nil"/>
              <w:right w:val="nil"/>
            </w:tcBorders>
            <w:shd w:val="clear" w:color="000000" w:fill="FFFFFF"/>
            <w:noWrap/>
            <w:vAlign w:val="bottom"/>
            <w:hideMark/>
          </w:tcPr>
          <w:p w14:paraId="05F827D1" w14:textId="77777777" w:rsidR="00B66B2E" w:rsidRPr="00E41A37" w:rsidRDefault="00B66B2E" w:rsidP="00B66B2E">
            <w:pPr>
              <w:rPr>
                <w:rFonts w:ascii="Calibri" w:eastAsia="Times New Roman" w:hAnsi="Calibri" w:cs="Calibri"/>
                <w:color w:val="FF0000"/>
                <w:sz w:val="20"/>
                <w:szCs w:val="20"/>
              </w:rPr>
            </w:pPr>
            <w:r w:rsidRPr="00E41A37">
              <w:rPr>
                <w:rFonts w:ascii="Calibri" w:eastAsia="Times New Roman" w:hAnsi="Calibri" w:cs="Calibri"/>
                <w:color w:val="FF0000"/>
                <w:sz w:val="20"/>
                <w:szCs w:val="20"/>
              </w:rPr>
              <w:t> </w:t>
            </w:r>
          </w:p>
        </w:tc>
        <w:tc>
          <w:tcPr>
            <w:tcW w:w="2580" w:type="dxa"/>
            <w:tcBorders>
              <w:top w:val="nil"/>
              <w:left w:val="nil"/>
              <w:bottom w:val="nil"/>
              <w:right w:val="nil"/>
            </w:tcBorders>
            <w:shd w:val="clear" w:color="000000" w:fill="FFFFFF"/>
            <w:noWrap/>
            <w:vAlign w:val="bottom"/>
            <w:hideMark/>
          </w:tcPr>
          <w:p w14:paraId="1C1C41DD" w14:textId="77777777" w:rsidR="00B66B2E" w:rsidRPr="00E41A37" w:rsidRDefault="00B66B2E" w:rsidP="00B66B2E">
            <w:pPr>
              <w:rPr>
                <w:rFonts w:ascii="Calibri" w:eastAsia="Times New Roman" w:hAnsi="Calibri" w:cs="Calibri"/>
                <w:color w:val="FF0000"/>
                <w:sz w:val="20"/>
                <w:szCs w:val="20"/>
              </w:rPr>
            </w:pPr>
            <w:r w:rsidRPr="00E41A37">
              <w:rPr>
                <w:rFonts w:ascii="Calibri" w:eastAsia="Times New Roman" w:hAnsi="Calibri" w:cs="Calibri"/>
                <w:color w:val="FF0000"/>
                <w:sz w:val="20"/>
                <w:szCs w:val="20"/>
              </w:rPr>
              <w:t> </w:t>
            </w:r>
          </w:p>
        </w:tc>
      </w:tr>
      <w:tr w:rsidR="00A51543" w:rsidRPr="00D92E4F" w14:paraId="4BEB5BEE" w14:textId="77777777" w:rsidTr="00730ECF">
        <w:trPr>
          <w:trHeight w:val="35"/>
          <w:jc w:val="center"/>
        </w:trPr>
        <w:tc>
          <w:tcPr>
            <w:tcW w:w="5130" w:type="dxa"/>
            <w:tcBorders>
              <w:top w:val="nil"/>
              <w:left w:val="nil"/>
              <w:bottom w:val="nil"/>
              <w:right w:val="nil"/>
            </w:tcBorders>
            <w:shd w:val="clear" w:color="000000" w:fill="FFFFFF"/>
            <w:noWrap/>
            <w:vAlign w:val="bottom"/>
            <w:hideMark/>
          </w:tcPr>
          <w:p w14:paraId="35A1F945" w14:textId="77777777" w:rsidR="00A51543" w:rsidRPr="00D92E4F" w:rsidRDefault="00A51543" w:rsidP="00A51543">
            <w:pPr>
              <w:rPr>
                <w:rFonts w:ascii="Calibri" w:eastAsia="Times New Roman" w:hAnsi="Calibri" w:cs="Calibri"/>
                <w:b/>
                <w:bCs/>
                <w:color w:val="000000"/>
                <w:sz w:val="20"/>
                <w:szCs w:val="20"/>
              </w:rPr>
            </w:pPr>
            <w:r w:rsidRPr="00D92E4F">
              <w:rPr>
                <w:rFonts w:ascii="Calibri" w:eastAsia="Times New Roman" w:hAnsi="Calibri" w:cs="Calibri"/>
                <w:b/>
                <w:bCs/>
                <w:color w:val="000000"/>
                <w:sz w:val="20"/>
                <w:szCs w:val="20"/>
              </w:rPr>
              <w:t>Investments measured at NAV:</w:t>
            </w:r>
          </w:p>
        </w:tc>
        <w:tc>
          <w:tcPr>
            <w:tcW w:w="1170" w:type="dxa"/>
            <w:tcBorders>
              <w:top w:val="nil"/>
              <w:left w:val="nil"/>
              <w:bottom w:val="nil"/>
              <w:right w:val="nil"/>
            </w:tcBorders>
            <w:shd w:val="clear" w:color="000000" w:fill="FFFFFF"/>
            <w:noWrap/>
          </w:tcPr>
          <w:p w14:paraId="21E4A4DC" w14:textId="77777777" w:rsidR="00A51543" w:rsidRPr="00A51543" w:rsidRDefault="00A51543" w:rsidP="00A51543">
            <w:pPr>
              <w:jc w:val="right"/>
              <w:rPr>
                <w:rFonts w:eastAsia="Times New Roman" w:cstheme="minorHAnsi"/>
                <w:color w:val="FF0000"/>
                <w:sz w:val="20"/>
                <w:szCs w:val="20"/>
              </w:rPr>
            </w:pPr>
          </w:p>
        </w:tc>
        <w:tc>
          <w:tcPr>
            <w:tcW w:w="1170" w:type="dxa"/>
            <w:tcBorders>
              <w:top w:val="nil"/>
              <w:left w:val="nil"/>
              <w:bottom w:val="nil"/>
              <w:right w:val="nil"/>
            </w:tcBorders>
            <w:shd w:val="clear" w:color="000000" w:fill="FFFFFF"/>
            <w:noWrap/>
          </w:tcPr>
          <w:p w14:paraId="5B955FC4" w14:textId="77777777" w:rsidR="00A51543" w:rsidRPr="00A51543" w:rsidRDefault="00A51543" w:rsidP="00A51543">
            <w:pPr>
              <w:jc w:val="right"/>
              <w:rPr>
                <w:rFonts w:eastAsia="Times New Roman" w:cstheme="minorHAnsi"/>
                <w:color w:val="FF0000"/>
                <w:sz w:val="20"/>
                <w:szCs w:val="20"/>
              </w:rPr>
            </w:pPr>
          </w:p>
        </w:tc>
        <w:tc>
          <w:tcPr>
            <w:tcW w:w="1105" w:type="dxa"/>
            <w:tcBorders>
              <w:top w:val="nil"/>
              <w:left w:val="nil"/>
              <w:bottom w:val="nil"/>
              <w:right w:val="nil"/>
            </w:tcBorders>
            <w:shd w:val="clear" w:color="000000" w:fill="FFFFFF"/>
            <w:noWrap/>
          </w:tcPr>
          <w:p w14:paraId="0C87C5DC" w14:textId="77777777" w:rsidR="00A51543" w:rsidRPr="00A51543" w:rsidRDefault="00A51543" w:rsidP="00A51543">
            <w:pPr>
              <w:jc w:val="right"/>
              <w:rPr>
                <w:rFonts w:eastAsia="Times New Roman" w:cstheme="minorHAnsi"/>
                <w:color w:val="FF0000"/>
                <w:sz w:val="20"/>
                <w:szCs w:val="20"/>
              </w:rPr>
            </w:pPr>
          </w:p>
        </w:tc>
        <w:tc>
          <w:tcPr>
            <w:tcW w:w="900" w:type="dxa"/>
            <w:tcBorders>
              <w:top w:val="nil"/>
              <w:left w:val="nil"/>
              <w:bottom w:val="nil"/>
              <w:right w:val="nil"/>
            </w:tcBorders>
            <w:shd w:val="clear" w:color="000000" w:fill="FFFFFF"/>
            <w:noWrap/>
          </w:tcPr>
          <w:p w14:paraId="4FBE52BA" w14:textId="77777777" w:rsidR="00A51543" w:rsidRPr="00A51543" w:rsidRDefault="00A51543" w:rsidP="00A51543">
            <w:pPr>
              <w:jc w:val="right"/>
              <w:rPr>
                <w:rFonts w:eastAsia="Times New Roman" w:cstheme="minorHAnsi"/>
                <w:color w:val="FF0000"/>
                <w:sz w:val="20"/>
                <w:szCs w:val="20"/>
              </w:rPr>
            </w:pPr>
          </w:p>
        </w:tc>
        <w:tc>
          <w:tcPr>
            <w:tcW w:w="1055" w:type="dxa"/>
            <w:tcBorders>
              <w:top w:val="nil"/>
              <w:left w:val="nil"/>
              <w:bottom w:val="nil"/>
              <w:right w:val="nil"/>
            </w:tcBorders>
            <w:shd w:val="clear" w:color="000000" w:fill="FFFFFF"/>
            <w:noWrap/>
            <w:vAlign w:val="bottom"/>
            <w:hideMark/>
          </w:tcPr>
          <w:p w14:paraId="53788030" w14:textId="77777777" w:rsidR="00A51543" w:rsidRPr="00E41A37" w:rsidRDefault="00A51543" w:rsidP="00A51543">
            <w:pPr>
              <w:rPr>
                <w:rFonts w:ascii="Calibri" w:eastAsia="Times New Roman" w:hAnsi="Calibri" w:cs="Calibri"/>
                <w:color w:val="FF0000"/>
                <w:sz w:val="20"/>
                <w:szCs w:val="20"/>
              </w:rPr>
            </w:pPr>
            <w:r w:rsidRPr="00E41A37">
              <w:rPr>
                <w:rFonts w:ascii="Calibri" w:eastAsia="Times New Roman" w:hAnsi="Calibri" w:cs="Calibri"/>
                <w:color w:val="FF0000"/>
                <w:sz w:val="20"/>
                <w:szCs w:val="20"/>
              </w:rPr>
              <w:t> </w:t>
            </w:r>
          </w:p>
        </w:tc>
        <w:tc>
          <w:tcPr>
            <w:tcW w:w="1440" w:type="dxa"/>
            <w:tcBorders>
              <w:top w:val="nil"/>
              <w:left w:val="nil"/>
              <w:bottom w:val="nil"/>
              <w:right w:val="nil"/>
            </w:tcBorders>
            <w:shd w:val="clear" w:color="000000" w:fill="FFFFFF"/>
            <w:noWrap/>
            <w:vAlign w:val="bottom"/>
            <w:hideMark/>
          </w:tcPr>
          <w:p w14:paraId="50DA8A60" w14:textId="77777777" w:rsidR="00A51543" w:rsidRPr="00E41A37" w:rsidRDefault="00A51543" w:rsidP="00A51543">
            <w:pPr>
              <w:rPr>
                <w:rFonts w:ascii="Calibri" w:eastAsia="Times New Roman" w:hAnsi="Calibri" w:cs="Calibri"/>
                <w:color w:val="FF0000"/>
                <w:sz w:val="20"/>
                <w:szCs w:val="20"/>
              </w:rPr>
            </w:pPr>
            <w:r w:rsidRPr="00E41A37">
              <w:rPr>
                <w:rFonts w:ascii="Calibri" w:eastAsia="Times New Roman" w:hAnsi="Calibri" w:cs="Calibri"/>
                <w:color w:val="FF0000"/>
                <w:sz w:val="20"/>
                <w:szCs w:val="20"/>
              </w:rPr>
              <w:t> </w:t>
            </w:r>
          </w:p>
        </w:tc>
        <w:tc>
          <w:tcPr>
            <w:tcW w:w="2580" w:type="dxa"/>
            <w:tcBorders>
              <w:top w:val="nil"/>
              <w:left w:val="nil"/>
              <w:bottom w:val="nil"/>
              <w:right w:val="nil"/>
            </w:tcBorders>
            <w:shd w:val="clear" w:color="000000" w:fill="FFFFFF"/>
            <w:noWrap/>
            <w:vAlign w:val="bottom"/>
            <w:hideMark/>
          </w:tcPr>
          <w:p w14:paraId="6AFB7604" w14:textId="77777777" w:rsidR="00A51543" w:rsidRPr="00E41A37" w:rsidRDefault="00A51543" w:rsidP="00A51543">
            <w:pPr>
              <w:rPr>
                <w:rFonts w:ascii="Calibri" w:eastAsia="Times New Roman" w:hAnsi="Calibri" w:cs="Calibri"/>
                <w:color w:val="FF0000"/>
                <w:sz w:val="20"/>
                <w:szCs w:val="20"/>
              </w:rPr>
            </w:pPr>
            <w:r w:rsidRPr="00E41A37">
              <w:rPr>
                <w:rFonts w:ascii="Calibri" w:eastAsia="Times New Roman" w:hAnsi="Calibri" w:cs="Calibri"/>
                <w:color w:val="FF0000"/>
                <w:sz w:val="20"/>
                <w:szCs w:val="20"/>
              </w:rPr>
              <w:t> </w:t>
            </w:r>
          </w:p>
        </w:tc>
      </w:tr>
      <w:tr w:rsidR="00B66B2E" w:rsidRPr="00D92E4F" w14:paraId="499ECDA9" w14:textId="77777777" w:rsidTr="00730ECF">
        <w:trPr>
          <w:trHeight w:val="135"/>
          <w:jc w:val="center"/>
        </w:trPr>
        <w:tc>
          <w:tcPr>
            <w:tcW w:w="5130" w:type="dxa"/>
            <w:tcBorders>
              <w:top w:val="nil"/>
              <w:left w:val="nil"/>
              <w:bottom w:val="nil"/>
              <w:right w:val="nil"/>
            </w:tcBorders>
            <w:shd w:val="clear" w:color="000000" w:fill="FFFFFF"/>
            <w:noWrap/>
            <w:vAlign w:val="bottom"/>
            <w:hideMark/>
          </w:tcPr>
          <w:p w14:paraId="1F32A9A2" w14:textId="77777777" w:rsidR="00B66B2E" w:rsidRPr="00D92E4F" w:rsidRDefault="00B66B2E" w:rsidP="00B66B2E">
            <w:pPr>
              <w:ind w:firstLineChars="100" w:firstLine="200"/>
              <w:rPr>
                <w:rFonts w:ascii="Calibri" w:eastAsia="Times New Roman" w:hAnsi="Calibri" w:cs="Calibri"/>
                <w:color w:val="000000"/>
                <w:sz w:val="20"/>
                <w:szCs w:val="20"/>
              </w:rPr>
            </w:pPr>
            <w:r w:rsidRPr="00D92E4F">
              <w:rPr>
                <w:rFonts w:ascii="Calibri" w:eastAsia="Times New Roman" w:hAnsi="Calibri" w:cs="Calibri"/>
                <w:color w:val="000000"/>
                <w:sz w:val="20"/>
                <w:szCs w:val="20"/>
              </w:rPr>
              <w:t>Equity securities</w:t>
            </w:r>
          </w:p>
        </w:tc>
        <w:tc>
          <w:tcPr>
            <w:tcW w:w="1170" w:type="dxa"/>
            <w:tcBorders>
              <w:top w:val="nil"/>
              <w:left w:val="nil"/>
              <w:bottom w:val="nil"/>
              <w:right w:val="nil"/>
            </w:tcBorders>
            <w:shd w:val="clear" w:color="000000" w:fill="FFFFFF"/>
            <w:noWrap/>
          </w:tcPr>
          <w:p w14:paraId="75A25C1A" w14:textId="795B814A" w:rsidR="00B66B2E" w:rsidRPr="00FE041A" w:rsidRDefault="00B66B2E" w:rsidP="00B66B2E">
            <w:pPr>
              <w:jc w:val="right"/>
              <w:rPr>
                <w:rFonts w:eastAsia="Times New Roman" w:cstheme="minorHAnsi"/>
                <w:color w:val="FF0000"/>
                <w:sz w:val="20"/>
                <w:szCs w:val="20"/>
              </w:rPr>
            </w:pPr>
            <w:r w:rsidRPr="00FE041A">
              <w:rPr>
                <w:sz w:val="20"/>
                <w:szCs w:val="20"/>
              </w:rPr>
              <w:t xml:space="preserve"> 83,939 </w:t>
            </w:r>
          </w:p>
        </w:tc>
        <w:tc>
          <w:tcPr>
            <w:tcW w:w="1170" w:type="dxa"/>
            <w:tcBorders>
              <w:top w:val="nil"/>
              <w:left w:val="nil"/>
              <w:bottom w:val="nil"/>
              <w:right w:val="nil"/>
            </w:tcBorders>
            <w:shd w:val="clear" w:color="000000" w:fill="FFFFFF"/>
            <w:noWrap/>
          </w:tcPr>
          <w:p w14:paraId="70B450BF" w14:textId="77777777" w:rsidR="00B66B2E" w:rsidRPr="00A51543" w:rsidRDefault="00B66B2E" w:rsidP="00B66B2E">
            <w:pPr>
              <w:jc w:val="right"/>
              <w:rPr>
                <w:rFonts w:eastAsia="Times New Roman" w:cstheme="minorHAnsi"/>
                <w:color w:val="FF0000"/>
                <w:sz w:val="20"/>
                <w:szCs w:val="20"/>
              </w:rPr>
            </w:pPr>
          </w:p>
        </w:tc>
        <w:tc>
          <w:tcPr>
            <w:tcW w:w="1105" w:type="dxa"/>
            <w:tcBorders>
              <w:top w:val="nil"/>
              <w:left w:val="nil"/>
              <w:bottom w:val="nil"/>
              <w:right w:val="nil"/>
            </w:tcBorders>
            <w:shd w:val="clear" w:color="000000" w:fill="FFFFFF"/>
            <w:noWrap/>
          </w:tcPr>
          <w:p w14:paraId="508AA09A" w14:textId="77777777" w:rsidR="00B66B2E" w:rsidRPr="00A51543" w:rsidRDefault="00B66B2E" w:rsidP="00B66B2E">
            <w:pPr>
              <w:jc w:val="right"/>
              <w:rPr>
                <w:rFonts w:eastAsia="Times New Roman" w:cstheme="minorHAnsi"/>
                <w:color w:val="FF0000"/>
                <w:sz w:val="20"/>
                <w:szCs w:val="20"/>
              </w:rPr>
            </w:pPr>
          </w:p>
        </w:tc>
        <w:tc>
          <w:tcPr>
            <w:tcW w:w="900" w:type="dxa"/>
            <w:tcBorders>
              <w:top w:val="nil"/>
              <w:left w:val="nil"/>
              <w:bottom w:val="nil"/>
              <w:right w:val="nil"/>
            </w:tcBorders>
            <w:shd w:val="clear" w:color="000000" w:fill="FFFFFF"/>
            <w:noWrap/>
          </w:tcPr>
          <w:p w14:paraId="71401F77" w14:textId="77777777" w:rsidR="00B66B2E" w:rsidRPr="00A51543" w:rsidRDefault="00B66B2E" w:rsidP="00B66B2E">
            <w:pPr>
              <w:jc w:val="right"/>
              <w:rPr>
                <w:rFonts w:eastAsia="Times New Roman" w:cstheme="minorHAnsi"/>
                <w:color w:val="FF0000"/>
                <w:sz w:val="20"/>
                <w:szCs w:val="20"/>
              </w:rPr>
            </w:pPr>
          </w:p>
        </w:tc>
        <w:tc>
          <w:tcPr>
            <w:tcW w:w="1055" w:type="dxa"/>
            <w:tcBorders>
              <w:top w:val="nil"/>
              <w:left w:val="nil"/>
              <w:bottom w:val="nil"/>
              <w:right w:val="nil"/>
            </w:tcBorders>
            <w:shd w:val="clear" w:color="000000" w:fill="FFFFFF"/>
            <w:noWrap/>
            <w:vAlign w:val="bottom"/>
            <w:hideMark/>
          </w:tcPr>
          <w:p w14:paraId="44040B2C" w14:textId="77777777" w:rsidR="00B66B2E" w:rsidRPr="00E41A37" w:rsidRDefault="00B66B2E" w:rsidP="00B66B2E">
            <w:pPr>
              <w:rPr>
                <w:rFonts w:ascii="Calibri" w:eastAsia="Times New Roman" w:hAnsi="Calibri" w:cs="Calibri"/>
                <w:color w:val="FF0000"/>
                <w:sz w:val="20"/>
                <w:szCs w:val="20"/>
              </w:rPr>
            </w:pPr>
            <w:r w:rsidRPr="00E41A37">
              <w:rPr>
                <w:rFonts w:ascii="Calibri" w:eastAsia="Times New Roman" w:hAnsi="Calibri" w:cs="Calibri"/>
                <w:color w:val="FF0000"/>
                <w:sz w:val="20"/>
                <w:szCs w:val="20"/>
              </w:rPr>
              <w:t> </w:t>
            </w:r>
          </w:p>
        </w:tc>
        <w:tc>
          <w:tcPr>
            <w:tcW w:w="1440" w:type="dxa"/>
            <w:tcBorders>
              <w:top w:val="nil"/>
              <w:left w:val="nil"/>
              <w:bottom w:val="nil"/>
              <w:right w:val="nil"/>
            </w:tcBorders>
            <w:shd w:val="clear" w:color="000000" w:fill="FFFFFF"/>
            <w:noWrap/>
            <w:vAlign w:val="bottom"/>
            <w:hideMark/>
          </w:tcPr>
          <w:p w14:paraId="6A2D6309" w14:textId="77777777" w:rsidR="00B66B2E" w:rsidRPr="00E41A37" w:rsidRDefault="00B66B2E" w:rsidP="00B66B2E">
            <w:pPr>
              <w:rPr>
                <w:rFonts w:ascii="Calibri" w:eastAsia="Times New Roman" w:hAnsi="Calibri" w:cs="Calibri"/>
                <w:color w:val="FF0000"/>
                <w:sz w:val="20"/>
                <w:szCs w:val="20"/>
              </w:rPr>
            </w:pPr>
            <w:r w:rsidRPr="00E41A37">
              <w:rPr>
                <w:rFonts w:ascii="Calibri" w:eastAsia="Times New Roman" w:hAnsi="Calibri" w:cs="Calibri"/>
                <w:color w:val="FF0000"/>
                <w:sz w:val="20"/>
                <w:szCs w:val="20"/>
              </w:rPr>
              <w:t> </w:t>
            </w:r>
          </w:p>
        </w:tc>
        <w:tc>
          <w:tcPr>
            <w:tcW w:w="2580" w:type="dxa"/>
            <w:tcBorders>
              <w:top w:val="nil"/>
              <w:left w:val="nil"/>
              <w:bottom w:val="nil"/>
              <w:right w:val="nil"/>
            </w:tcBorders>
            <w:shd w:val="clear" w:color="000000" w:fill="FFFFFF"/>
            <w:noWrap/>
            <w:vAlign w:val="bottom"/>
            <w:hideMark/>
          </w:tcPr>
          <w:p w14:paraId="6A3D381E" w14:textId="77777777" w:rsidR="00B66B2E" w:rsidRPr="00E41A37" w:rsidRDefault="00B66B2E" w:rsidP="00B66B2E">
            <w:pPr>
              <w:rPr>
                <w:rFonts w:ascii="Calibri" w:eastAsia="Times New Roman" w:hAnsi="Calibri" w:cs="Calibri"/>
                <w:color w:val="FF0000"/>
                <w:sz w:val="20"/>
                <w:szCs w:val="20"/>
              </w:rPr>
            </w:pPr>
            <w:r w:rsidRPr="00E41A37">
              <w:rPr>
                <w:rFonts w:ascii="Calibri" w:eastAsia="Times New Roman" w:hAnsi="Calibri" w:cs="Calibri"/>
                <w:color w:val="FF0000"/>
                <w:sz w:val="20"/>
                <w:szCs w:val="20"/>
              </w:rPr>
              <w:t> </w:t>
            </w:r>
          </w:p>
        </w:tc>
      </w:tr>
      <w:tr w:rsidR="00B66B2E" w:rsidRPr="00D92E4F" w14:paraId="20E8E8A0" w14:textId="77777777" w:rsidTr="00730ECF">
        <w:trPr>
          <w:trHeight w:val="90"/>
          <w:jc w:val="center"/>
        </w:trPr>
        <w:tc>
          <w:tcPr>
            <w:tcW w:w="5130" w:type="dxa"/>
            <w:tcBorders>
              <w:top w:val="nil"/>
              <w:left w:val="nil"/>
              <w:bottom w:val="nil"/>
              <w:right w:val="nil"/>
            </w:tcBorders>
            <w:shd w:val="clear" w:color="000000" w:fill="FFFFFF"/>
            <w:noWrap/>
            <w:vAlign w:val="bottom"/>
            <w:hideMark/>
          </w:tcPr>
          <w:p w14:paraId="6C44A269" w14:textId="77777777" w:rsidR="00B66B2E" w:rsidRPr="00D92E4F" w:rsidRDefault="00B66B2E" w:rsidP="00B66B2E">
            <w:pPr>
              <w:ind w:firstLineChars="100" w:firstLine="200"/>
              <w:rPr>
                <w:rFonts w:ascii="Calibri" w:eastAsia="Times New Roman" w:hAnsi="Calibri" w:cs="Calibri"/>
                <w:color w:val="000000"/>
                <w:sz w:val="20"/>
                <w:szCs w:val="20"/>
              </w:rPr>
            </w:pPr>
            <w:r w:rsidRPr="00D92E4F">
              <w:rPr>
                <w:rFonts w:ascii="Calibri" w:eastAsia="Times New Roman" w:hAnsi="Calibri" w:cs="Calibri"/>
                <w:color w:val="000000"/>
                <w:sz w:val="20"/>
                <w:szCs w:val="20"/>
              </w:rPr>
              <w:t>Multi-strategy funds</w:t>
            </w:r>
          </w:p>
        </w:tc>
        <w:tc>
          <w:tcPr>
            <w:tcW w:w="1170" w:type="dxa"/>
            <w:tcBorders>
              <w:top w:val="nil"/>
              <w:left w:val="nil"/>
              <w:bottom w:val="nil"/>
              <w:right w:val="nil"/>
            </w:tcBorders>
            <w:shd w:val="clear" w:color="000000" w:fill="FFFFFF"/>
            <w:noWrap/>
          </w:tcPr>
          <w:p w14:paraId="20178411" w14:textId="467BE71F" w:rsidR="00B66B2E" w:rsidRPr="00FE041A" w:rsidRDefault="00B66B2E" w:rsidP="00B66B2E">
            <w:pPr>
              <w:jc w:val="right"/>
              <w:rPr>
                <w:rFonts w:eastAsia="Times New Roman" w:cstheme="minorHAnsi"/>
                <w:color w:val="FF0000"/>
                <w:sz w:val="20"/>
                <w:szCs w:val="20"/>
              </w:rPr>
            </w:pPr>
            <w:r w:rsidRPr="00FE041A">
              <w:rPr>
                <w:sz w:val="20"/>
                <w:szCs w:val="20"/>
              </w:rPr>
              <w:t xml:space="preserve"> 28,877 </w:t>
            </w:r>
          </w:p>
        </w:tc>
        <w:tc>
          <w:tcPr>
            <w:tcW w:w="1170" w:type="dxa"/>
            <w:tcBorders>
              <w:top w:val="nil"/>
              <w:left w:val="nil"/>
              <w:bottom w:val="nil"/>
              <w:right w:val="nil"/>
            </w:tcBorders>
            <w:shd w:val="clear" w:color="000000" w:fill="FFFFFF"/>
            <w:noWrap/>
          </w:tcPr>
          <w:p w14:paraId="413245A2" w14:textId="77777777" w:rsidR="00B66B2E" w:rsidRPr="00A51543" w:rsidRDefault="00B66B2E" w:rsidP="00B66B2E">
            <w:pPr>
              <w:jc w:val="right"/>
              <w:rPr>
                <w:rFonts w:eastAsia="Times New Roman" w:cstheme="minorHAnsi"/>
                <w:color w:val="FF0000"/>
                <w:sz w:val="20"/>
                <w:szCs w:val="20"/>
              </w:rPr>
            </w:pPr>
          </w:p>
        </w:tc>
        <w:tc>
          <w:tcPr>
            <w:tcW w:w="1105" w:type="dxa"/>
            <w:tcBorders>
              <w:top w:val="nil"/>
              <w:left w:val="nil"/>
              <w:bottom w:val="nil"/>
              <w:right w:val="nil"/>
            </w:tcBorders>
            <w:shd w:val="clear" w:color="000000" w:fill="FFFFFF"/>
            <w:noWrap/>
          </w:tcPr>
          <w:p w14:paraId="40A6404D" w14:textId="77777777" w:rsidR="00B66B2E" w:rsidRPr="00A51543" w:rsidRDefault="00B66B2E" w:rsidP="00B66B2E">
            <w:pPr>
              <w:jc w:val="right"/>
              <w:rPr>
                <w:rFonts w:eastAsia="Times New Roman" w:cstheme="minorHAnsi"/>
                <w:color w:val="FF0000"/>
                <w:sz w:val="20"/>
                <w:szCs w:val="20"/>
              </w:rPr>
            </w:pPr>
          </w:p>
        </w:tc>
        <w:tc>
          <w:tcPr>
            <w:tcW w:w="900" w:type="dxa"/>
            <w:tcBorders>
              <w:top w:val="nil"/>
              <w:left w:val="nil"/>
              <w:bottom w:val="nil"/>
              <w:right w:val="nil"/>
            </w:tcBorders>
            <w:shd w:val="clear" w:color="000000" w:fill="FFFFFF"/>
            <w:noWrap/>
          </w:tcPr>
          <w:p w14:paraId="44FDABC1" w14:textId="77777777" w:rsidR="00B66B2E" w:rsidRPr="00A51543" w:rsidRDefault="00B66B2E" w:rsidP="00B66B2E">
            <w:pPr>
              <w:jc w:val="right"/>
              <w:rPr>
                <w:rFonts w:eastAsia="Times New Roman" w:cstheme="minorHAnsi"/>
                <w:color w:val="FF0000"/>
                <w:sz w:val="20"/>
                <w:szCs w:val="20"/>
              </w:rPr>
            </w:pPr>
          </w:p>
        </w:tc>
        <w:tc>
          <w:tcPr>
            <w:tcW w:w="1055" w:type="dxa"/>
            <w:tcBorders>
              <w:top w:val="nil"/>
              <w:left w:val="nil"/>
              <w:bottom w:val="nil"/>
              <w:right w:val="nil"/>
            </w:tcBorders>
            <w:shd w:val="clear" w:color="000000" w:fill="FFFFFF"/>
            <w:noWrap/>
            <w:vAlign w:val="bottom"/>
            <w:hideMark/>
          </w:tcPr>
          <w:p w14:paraId="52B2E686" w14:textId="77777777" w:rsidR="00B66B2E" w:rsidRPr="00E41A37" w:rsidRDefault="00B66B2E" w:rsidP="00B66B2E">
            <w:pPr>
              <w:rPr>
                <w:rFonts w:ascii="Calibri" w:eastAsia="Times New Roman" w:hAnsi="Calibri" w:cs="Calibri"/>
                <w:color w:val="FF0000"/>
                <w:sz w:val="20"/>
                <w:szCs w:val="20"/>
              </w:rPr>
            </w:pPr>
            <w:r w:rsidRPr="00E41A37">
              <w:rPr>
                <w:rFonts w:ascii="Calibri" w:eastAsia="Times New Roman" w:hAnsi="Calibri" w:cs="Calibri"/>
                <w:color w:val="FF0000"/>
                <w:sz w:val="20"/>
                <w:szCs w:val="20"/>
              </w:rPr>
              <w:t> </w:t>
            </w:r>
          </w:p>
        </w:tc>
        <w:tc>
          <w:tcPr>
            <w:tcW w:w="1440" w:type="dxa"/>
            <w:tcBorders>
              <w:top w:val="nil"/>
              <w:left w:val="nil"/>
              <w:bottom w:val="nil"/>
              <w:right w:val="nil"/>
            </w:tcBorders>
            <w:shd w:val="clear" w:color="000000" w:fill="FFFFFF"/>
            <w:noWrap/>
            <w:vAlign w:val="bottom"/>
            <w:hideMark/>
          </w:tcPr>
          <w:p w14:paraId="34429399" w14:textId="77777777" w:rsidR="00B66B2E" w:rsidRPr="00E41A37" w:rsidRDefault="00B66B2E" w:rsidP="00B66B2E">
            <w:pPr>
              <w:rPr>
                <w:rFonts w:ascii="Calibri" w:eastAsia="Times New Roman" w:hAnsi="Calibri" w:cs="Calibri"/>
                <w:color w:val="FF0000"/>
                <w:sz w:val="20"/>
                <w:szCs w:val="20"/>
              </w:rPr>
            </w:pPr>
            <w:r w:rsidRPr="00E41A37">
              <w:rPr>
                <w:rFonts w:ascii="Calibri" w:eastAsia="Times New Roman" w:hAnsi="Calibri" w:cs="Calibri"/>
                <w:color w:val="FF0000"/>
                <w:sz w:val="20"/>
                <w:szCs w:val="20"/>
              </w:rPr>
              <w:t> </w:t>
            </w:r>
          </w:p>
        </w:tc>
        <w:tc>
          <w:tcPr>
            <w:tcW w:w="2580" w:type="dxa"/>
            <w:tcBorders>
              <w:top w:val="nil"/>
              <w:left w:val="nil"/>
              <w:bottom w:val="nil"/>
              <w:right w:val="nil"/>
            </w:tcBorders>
            <w:shd w:val="clear" w:color="000000" w:fill="FFFFFF"/>
            <w:noWrap/>
            <w:vAlign w:val="bottom"/>
            <w:hideMark/>
          </w:tcPr>
          <w:p w14:paraId="79252427" w14:textId="77777777" w:rsidR="00B66B2E" w:rsidRPr="00E41A37" w:rsidRDefault="00B66B2E" w:rsidP="00B66B2E">
            <w:pPr>
              <w:rPr>
                <w:rFonts w:ascii="Calibri" w:eastAsia="Times New Roman" w:hAnsi="Calibri" w:cs="Calibri"/>
                <w:color w:val="FF0000"/>
                <w:sz w:val="20"/>
                <w:szCs w:val="20"/>
              </w:rPr>
            </w:pPr>
            <w:r w:rsidRPr="00E41A37">
              <w:rPr>
                <w:rFonts w:ascii="Calibri" w:eastAsia="Times New Roman" w:hAnsi="Calibri" w:cs="Calibri"/>
                <w:color w:val="FF0000"/>
                <w:sz w:val="20"/>
                <w:szCs w:val="20"/>
              </w:rPr>
              <w:t> </w:t>
            </w:r>
          </w:p>
        </w:tc>
      </w:tr>
      <w:tr w:rsidR="00B66B2E" w:rsidRPr="00D92E4F" w14:paraId="2E7A4B57" w14:textId="77777777" w:rsidTr="00730ECF">
        <w:trPr>
          <w:trHeight w:val="117"/>
          <w:jc w:val="center"/>
        </w:trPr>
        <w:tc>
          <w:tcPr>
            <w:tcW w:w="5130" w:type="dxa"/>
            <w:tcBorders>
              <w:top w:val="nil"/>
              <w:left w:val="nil"/>
              <w:bottom w:val="nil"/>
              <w:right w:val="nil"/>
            </w:tcBorders>
            <w:shd w:val="clear" w:color="000000" w:fill="FFFFFF"/>
            <w:noWrap/>
            <w:vAlign w:val="bottom"/>
            <w:hideMark/>
          </w:tcPr>
          <w:p w14:paraId="223110BA" w14:textId="77777777" w:rsidR="00B66B2E" w:rsidRPr="00D92E4F" w:rsidRDefault="00B66B2E" w:rsidP="00B66B2E">
            <w:pPr>
              <w:ind w:firstLineChars="100" w:firstLine="200"/>
              <w:rPr>
                <w:rFonts w:ascii="Calibri" w:eastAsia="Times New Roman" w:hAnsi="Calibri" w:cs="Calibri"/>
                <w:color w:val="000000"/>
                <w:sz w:val="20"/>
                <w:szCs w:val="20"/>
              </w:rPr>
            </w:pPr>
            <w:r w:rsidRPr="00D92E4F">
              <w:rPr>
                <w:rFonts w:ascii="Calibri" w:eastAsia="Times New Roman" w:hAnsi="Calibri" w:cs="Calibri"/>
                <w:color w:val="000000"/>
                <w:sz w:val="20"/>
                <w:szCs w:val="20"/>
              </w:rPr>
              <w:t>Fixed income funds - bonds</w:t>
            </w:r>
          </w:p>
        </w:tc>
        <w:tc>
          <w:tcPr>
            <w:tcW w:w="1170" w:type="dxa"/>
            <w:tcBorders>
              <w:top w:val="nil"/>
              <w:left w:val="nil"/>
              <w:bottom w:val="nil"/>
              <w:right w:val="nil"/>
            </w:tcBorders>
            <w:shd w:val="clear" w:color="000000" w:fill="FFFFFF"/>
            <w:noWrap/>
          </w:tcPr>
          <w:p w14:paraId="4F5B77CD" w14:textId="6566D0BB" w:rsidR="00B66B2E" w:rsidRPr="00FE041A" w:rsidRDefault="00B66B2E" w:rsidP="00B66B2E">
            <w:pPr>
              <w:jc w:val="right"/>
              <w:rPr>
                <w:rFonts w:eastAsia="Times New Roman" w:cstheme="minorHAnsi"/>
                <w:color w:val="FF0000"/>
                <w:sz w:val="20"/>
                <w:szCs w:val="20"/>
              </w:rPr>
            </w:pPr>
            <w:r w:rsidRPr="00FE041A">
              <w:rPr>
                <w:sz w:val="20"/>
                <w:szCs w:val="20"/>
              </w:rPr>
              <w:t xml:space="preserve"> 25,399 </w:t>
            </w:r>
          </w:p>
        </w:tc>
        <w:tc>
          <w:tcPr>
            <w:tcW w:w="1170" w:type="dxa"/>
            <w:tcBorders>
              <w:top w:val="nil"/>
              <w:left w:val="nil"/>
              <w:bottom w:val="nil"/>
              <w:right w:val="nil"/>
            </w:tcBorders>
            <w:shd w:val="clear" w:color="000000" w:fill="FFFFFF"/>
            <w:noWrap/>
          </w:tcPr>
          <w:p w14:paraId="030FD136" w14:textId="77777777" w:rsidR="00B66B2E" w:rsidRPr="00A51543" w:rsidRDefault="00B66B2E" w:rsidP="00B66B2E">
            <w:pPr>
              <w:jc w:val="right"/>
              <w:rPr>
                <w:rFonts w:eastAsia="Times New Roman" w:cstheme="minorHAnsi"/>
                <w:color w:val="FF0000"/>
                <w:sz w:val="20"/>
                <w:szCs w:val="20"/>
              </w:rPr>
            </w:pPr>
          </w:p>
        </w:tc>
        <w:tc>
          <w:tcPr>
            <w:tcW w:w="1105" w:type="dxa"/>
            <w:tcBorders>
              <w:top w:val="nil"/>
              <w:left w:val="nil"/>
              <w:bottom w:val="nil"/>
              <w:right w:val="nil"/>
            </w:tcBorders>
            <w:shd w:val="clear" w:color="000000" w:fill="FFFFFF"/>
            <w:noWrap/>
          </w:tcPr>
          <w:p w14:paraId="10D9C103" w14:textId="77777777" w:rsidR="00B66B2E" w:rsidRPr="00A51543" w:rsidRDefault="00B66B2E" w:rsidP="00B66B2E">
            <w:pPr>
              <w:jc w:val="right"/>
              <w:rPr>
                <w:rFonts w:eastAsia="Times New Roman" w:cstheme="minorHAnsi"/>
                <w:color w:val="FF0000"/>
                <w:sz w:val="20"/>
                <w:szCs w:val="20"/>
              </w:rPr>
            </w:pPr>
          </w:p>
        </w:tc>
        <w:tc>
          <w:tcPr>
            <w:tcW w:w="900" w:type="dxa"/>
            <w:tcBorders>
              <w:top w:val="nil"/>
              <w:left w:val="nil"/>
              <w:bottom w:val="nil"/>
              <w:right w:val="nil"/>
            </w:tcBorders>
            <w:shd w:val="clear" w:color="000000" w:fill="FFFFFF"/>
            <w:noWrap/>
          </w:tcPr>
          <w:p w14:paraId="0CCE5302" w14:textId="77777777" w:rsidR="00B66B2E" w:rsidRPr="00A51543" w:rsidRDefault="00B66B2E" w:rsidP="00B66B2E">
            <w:pPr>
              <w:jc w:val="right"/>
              <w:rPr>
                <w:rFonts w:eastAsia="Times New Roman" w:cstheme="minorHAnsi"/>
                <w:color w:val="FF0000"/>
                <w:sz w:val="20"/>
                <w:szCs w:val="20"/>
              </w:rPr>
            </w:pPr>
          </w:p>
        </w:tc>
        <w:tc>
          <w:tcPr>
            <w:tcW w:w="1055" w:type="dxa"/>
            <w:tcBorders>
              <w:top w:val="nil"/>
              <w:left w:val="nil"/>
              <w:bottom w:val="nil"/>
              <w:right w:val="nil"/>
            </w:tcBorders>
            <w:shd w:val="clear" w:color="000000" w:fill="FFFFFF"/>
            <w:noWrap/>
            <w:vAlign w:val="bottom"/>
            <w:hideMark/>
          </w:tcPr>
          <w:p w14:paraId="62531FB5" w14:textId="77777777" w:rsidR="00B66B2E" w:rsidRPr="00E41A37" w:rsidRDefault="00B66B2E" w:rsidP="00B66B2E">
            <w:pPr>
              <w:rPr>
                <w:rFonts w:ascii="Calibri" w:eastAsia="Times New Roman" w:hAnsi="Calibri" w:cs="Calibri"/>
                <w:color w:val="FF0000"/>
                <w:sz w:val="20"/>
                <w:szCs w:val="20"/>
              </w:rPr>
            </w:pPr>
            <w:r w:rsidRPr="00E41A37">
              <w:rPr>
                <w:rFonts w:ascii="Calibri" w:eastAsia="Times New Roman" w:hAnsi="Calibri" w:cs="Calibri"/>
                <w:color w:val="FF0000"/>
                <w:sz w:val="20"/>
                <w:szCs w:val="20"/>
              </w:rPr>
              <w:t> </w:t>
            </w:r>
          </w:p>
        </w:tc>
        <w:tc>
          <w:tcPr>
            <w:tcW w:w="1440" w:type="dxa"/>
            <w:tcBorders>
              <w:top w:val="nil"/>
              <w:left w:val="nil"/>
              <w:bottom w:val="nil"/>
              <w:right w:val="nil"/>
            </w:tcBorders>
            <w:shd w:val="clear" w:color="000000" w:fill="FFFFFF"/>
            <w:noWrap/>
            <w:vAlign w:val="bottom"/>
            <w:hideMark/>
          </w:tcPr>
          <w:p w14:paraId="29F4547F" w14:textId="77777777" w:rsidR="00B66B2E" w:rsidRPr="00E41A37" w:rsidRDefault="00B66B2E" w:rsidP="00B66B2E">
            <w:pPr>
              <w:rPr>
                <w:rFonts w:ascii="Calibri" w:eastAsia="Times New Roman" w:hAnsi="Calibri" w:cs="Calibri"/>
                <w:color w:val="FF0000"/>
                <w:sz w:val="20"/>
                <w:szCs w:val="20"/>
              </w:rPr>
            </w:pPr>
            <w:r w:rsidRPr="00E41A37">
              <w:rPr>
                <w:rFonts w:ascii="Calibri" w:eastAsia="Times New Roman" w:hAnsi="Calibri" w:cs="Calibri"/>
                <w:color w:val="FF0000"/>
                <w:sz w:val="20"/>
                <w:szCs w:val="20"/>
              </w:rPr>
              <w:t> </w:t>
            </w:r>
          </w:p>
        </w:tc>
        <w:tc>
          <w:tcPr>
            <w:tcW w:w="2580" w:type="dxa"/>
            <w:tcBorders>
              <w:top w:val="nil"/>
              <w:left w:val="nil"/>
              <w:bottom w:val="nil"/>
              <w:right w:val="nil"/>
            </w:tcBorders>
            <w:shd w:val="clear" w:color="000000" w:fill="FFFFFF"/>
            <w:noWrap/>
            <w:vAlign w:val="bottom"/>
            <w:hideMark/>
          </w:tcPr>
          <w:p w14:paraId="1D5A5BA3" w14:textId="77777777" w:rsidR="00B66B2E" w:rsidRPr="00E41A37" w:rsidRDefault="00B66B2E" w:rsidP="00B66B2E">
            <w:pPr>
              <w:rPr>
                <w:rFonts w:ascii="Calibri" w:eastAsia="Times New Roman" w:hAnsi="Calibri" w:cs="Calibri"/>
                <w:color w:val="FF0000"/>
                <w:sz w:val="20"/>
                <w:szCs w:val="20"/>
              </w:rPr>
            </w:pPr>
            <w:r w:rsidRPr="00E41A37">
              <w:rPr>
                <w:rFonts w:ascii="Calibri" w:eastAsia="Times New Roman" w:hAnsi="Calibri" w:cs="Calibri"/>
                <w:color w:val="FF0000"/>
                <w:sz w:val="20"/>
                <w:szCs w:val="20"/>
              </w:rPr>
              <w:t> </w:t>
            </w:r>
          </w:p>
        </w:tc>
      </w:tr>
      <w:tr w:rsidR="00B66B2E" w:rsidRPr="00D92E4F" w14:paraId="56457187" w14:textId="77777777" w:rsidTr="00730ECF">
        <w:trPr>
          <w:trHeight w:val="80"/>
          <w:jc w:val="center"/>
        </w:trPr>
        <w:tc>
          <w:tcPr>
            <w:tcW w:w="5130" w:type="dxa"/>
            <w:tcBorders>
              <w:top w:val="nil"/>
              <w:left w:val="nil"/>
              <w:bottom w:val="nil"/>
              <w:right w:val="nil"/>
            </w:tcBorders>
            <w:shd w:val="clear" w:color="000000" w:fill="FFFFFF"/>
            <w:noWrap/>
            <w:vAlign w:val="bottom"/>
            <w:hideMark/>
          </w:tcPr>
          <w:p w14:paraId="24A91B41" w14:textId="77777777" w:rsidR="00B66B2E" w:rsidRPr="00D92E4F" w:rsidRDefault="00B66B2E" w:rsidP="00B66B2E">
            <w:pPr>
              <w:ind w:firstLineChars="100" w:firstLine="200"/>
              <w:rPr>
                <w:rFonts w:ascii="Calibri" w:eastAsia="Times New Roman" w:hAnsi="Calibri" w:cs="Calibri"/>
                <w:color w:val="000000"/>
                <w:sz w:val="20"/>
                <w:szCs w:val="20"/>
              </w:rPr>
            </w:pPr>
            <w:r w:rsidRPr="00D92E4F">
              <w:rPr>
                <w:rFonts w:ascii="Calibri" w:eastAsia="Times New Roman" w:hAnsi="Calibri" w:cs="Calibri"/>
                <w:color w:val="000000"/>
                <w:sz w:val="20"/>
                <w:szCs w:val="20"/>
              </w:rPr>
              <w:t>Bank loans</w:t>
            </w:r>
          </w:p>
        </w:tc>
        <w:tc>
          <w:tcPr>
            <w:tcW w:w="1170" w:type="dxa"/>
            <w:tcBorders>
              <w:top w:val="nil"/>
              <w:left w:val="nil"/>
              <w:bottom w:val="single" w:sz="4" w:space="0" w:color="000000"/>
              <w:right w:val="nil"/>
            </w:tcBorders>
            <w:shd w:val="clear" w:color="000000" w:fill="FFFFFF"/>
            <w:noWrap/>
          </w:tcPr>
          <w:p w14:paraId="06874D81" w14:textId="3462843B" w:rsidR="00B66B2E" w:rsidRPr="00FE041A" w:rsidRDefault="00B66B2E" w:rsidP="00B66B2E">
            <w:pPr>
              <w:jc w:val="right"/>
              <w:rPr>
                <w:rFonts w:eastAsia="Times New Roman" w:cstheme="minorHAnsi"/>
                <w:color w:val="FF0000"/>
                <w:sz w:val="20"/>
                <w:szCs w:val="20"/>
              </w:rPr>
            </w:pPr>
            <w:r w:rsidRPr="00FE041A">
              <w:rPr>
                <w:sz w:val="20"/>
                <w:szCs w:val="20"/>
              </w:rPr>
              <w:t xml:space="preserve"> 20,080 </w:t>
            </w:r>
          </w:p>
        </w:tc>
        <w:tc>
          <w:tcPr>
            <w:tcW w:w="1170" w:type="dxa"/>
            <w:tcBorders>
              <w:top w:val="nil"/>
              <w:left w:val="nil"/>
              <w:bottom w:val="nil"/>
              <w:right w:val="nil"/>
            </w:tcBorders>
            <w:shd w:val="clear" w:color="000000" w:fill="FFFFFF"/>
            <w:noWrap/>
          </w:tcPr>
          <w:p w14:paraId="0FB50CE2" w14:textId="77777777" w:rsidR="00B66B2E" w:rsidRPr="00A51543" w:rsidRDefault="00B66B2E" w:rsidP="00B66B2E">
            <w:pPr>
              <w:jc w:val="right"/>
              <w:rPr>
                <w:rFonts w:eastAsia="Times New Roman" w:cstheme="minorHAnsi"/>
                <w:color w:val="FF0000"/>
                <w:sz w:val="20"/>
                <w:szCs w:val="20"/>
              </w:rPr>
            </w:pPr>
          </w:p>
        </w:tc>
        <w:tc>
          <w:tcPr>
            <w:tcW w:w="1105" w:type="dxa"/>
            <w:tcBorders>
              <w:top w:val="nil"/>
              <w:left w:val="nil"/>
              <w:bottom w:val="nil"/>
              <w:right w:val="nil"/>
            </w:tcBorders>
            <w:shd w:val="clear" w:color="000000" w:fill="FFFFFF"/>
            <w:noWrap/>
          </w:tcPr>
          <w:p w14:paraId="2FBBE45D" w14:textId="77777777" w:rsidR="00B66B2E" w:rsidRPr="00A51543" w:rsidRDefault="00B66B2E" w:rsidP="00B66B2E">
            <w:pPr>
              <w:jc w:val="right"/>
              <w:rPr>
                <w:rFonts w:eastAsia="Times New Roman" w:cstheme="minorHAnsi"/>
                <w:color w:val="FF0000"/>
                <w:sz w:val="20"/>
                <w:szCs w:val="20"/>
              </w:rPr>
            </w:pPr>
          </w:p>
        </w:tc>
        <w:tc>
          <w:tcPr>
            <w:tcW w:w="900" w:type="dxa"/>
            <w:tcBorders>
              <w:top w:val="nil"/>
              <w:left w:val="nil"/>
              <w:bottom w:val="nil"/>
              <w:right w:val="nil"/>
            </w:tcBorders>
            <w:shd w:val="clear" w:color="000000" w:fill="FFFFFF"/>
            <w:noWrap/>
          </w:tcPr>
          <w:p w14:paraId="56348858" w14:textId="77777777" w:rsidR="00B66B2E" w:rsidRPr="00A51543" w:rsidRDefault="00B66B2E" w:rsidP="00B66B2E">
            <w:pPr>
              <w:jc w:val="right"/>
              <w:rPr>
                <w:rFonts w:eastAsia="Times New Roman" w:cstheme="minorHAnsi"/>
                <w:color w:val="FF0000"/>
                <w:sz w:val="20"/>
                <w:szCs w:val="20"/>
              </w:rPr>
            </w:pPr>
          </w:p>
        </w:tc>
        <w:tc>
          <w:tcPr>
            <w:tcW w:w="1055" w:type="dxa"/>
            <w:tcBorders>
              <w:top w:val="nil"/>
              <w:left w:val="nil"/>
              <w:bottom w:val="nil"/>
              <w:right w:val="nil"/>
            </w:tcBorders>
            <w:shd w:val="clear" w:color="000000" w:fill="FFFFFF"/>
            <w:noWrap/>
            <w:vAlign w:val="bottom"/>
            <w:hideMark/>
          </w:tcPr>
          <w:p w14:paraId="385F7987" w14:textId="77777777" w:rsidR="00B66B2E" w:rsidRPr="00880C3F" w:rsidRDefault="00B66B2E" w:rsidP="00B66B2E">
            <w:pPr>
              <w:jc w:val="center"/>
              <w:rPr>
                <w:rFonts w:ascii="Calibri" w:eastAsia="Times New Roman" w:hAnsi="Calibri" w:cs="Calibri"/>
                <w:sz w:val="20"/>
                <w:szCs w:val="20"/>
              </w:rPr>
            </w:pPr>
            <w:r w:rsidRPr="00880C3F">
              <w:rPr>
                <w:rFonts w:ascii="Calibri" w:eastAsia="Times New Roman" w:hAnsi="Calibri" w:cs="Calibri"/>
                <w:sz w:val="20"/>
                <w:szCs w:val="20"/>
              </w:rPr>
              <w:t xml:space="preserve">Not rated </w:t>
            </w:r>
          </w:p>
        </w:tc>
        <w:tc>
          <w:tcPr>
            <w:tcW w:w="1440" w:type="dxa"/>
            <w:tcBorders>
              <w:top w:val="nil"/>
              <w:left w:val="nil"/>
              <w:bottom w:val="nil"/>
              <w:right w:val="nil"/>
            </w:tcBorders>
            <w:shd w:val="clear" w:color="000000" w:fill="FFFFFF"/>
            <w:noWrap/>
            <w:vAlign w:val="bottom"/>
            <w:hideMark/>
          </w:tcPr>
          <w:p w14:paraId="41C5F68D" w14:textId="77777777" w:rsidR="00B66B2E" w:rsidRPr="00880C3F" w:rsidRDefault="00B66B2E" w:rsidP="00B66B2E">
            <w:pPr>
              <w:jc w:val="center"/>
              <w:rPr>
                <w:rFonts w:ascii="Calibri" w:eastAsia="Times New Roman" w:hAnsi="Calibri" w:cs="Calibri"/>
                <w:sz w:val="20"/>
                <w:szCs w:val="20"/>
              </w:rPr>
            </w:pPr>
            <w:r w:rsidRPr="00880C3F">
              <w:rPr>
                <w:rFonts w:ascii="Calibri" w:eastAsia="Times New Roman" w:hAnsi="Calibri" w:cs="Calibri"/>
                <w:sz w:val="20"/>
                <w:szCs w:val="20"/>
              </w:rPr>
              <w:t>0.1 years</w:t>
            </w:r>
          </w:p>
        </w:tc>
        <w:tc>
          <w:tcPr>
            <w:tcW w:w="2580" w:type="dxa"/>
            <w:tcBorders>
              <w:top w:val="nil"/>
              <w:left w:val="nil"/>
              <w:bottom w:val="nil"/>
              <w:right w:val="nil"/>
            </w:tcBorders>
            <w:shd w:val="clear" w:color="000000" w:fill="FFFFFF"/>
            <w:noWrap/>
            <w:vAlign w:val="bottom"/>
            <w:hideMark/>
          </w:tcPr>
          <w:p w14:paraId="62905623" w14:textId="77777777" w:rsidR="00B66B2E" w:rsidRPr="00880C3F" w:rsidRDefault="00B66B2E" w:rsidP="00B66B2E">
            <w:pPr>
              <w:rPr>
                <w:rFonts w:ascii="Calibri" w:eastAsia="Times New Roman" w:hAnsi="Calibri" w:cs="Calibri"/>
                <w:sz w:val="20"/>
                <w:szCs w:val="20"/>
              </w:rPr>
            </w:pPr>
            <w:r w:rsidRPr="00880C3F">
              <w:rPr>
                <w:rFonts w:ascii="Calibri" w:eastAsia="Times New Roman" w:hAnsi="Calibri" w:cs="Calibri"/>
                <w:sz w:val="20"/>
                <w:szCs w:val="20"/>
              </w:rPr>
              <w:t>Duration</w:t>
            </w:r>
          </w:p>
        </w:tc>
      </w:tr>
      <w:tr w:rsidR="00B66B2E" w:rsidRPr="00D92E4F" w14:paraId="270F7329" w14:textId="77777777" w:rsidTr="00730ECF">
        <w:trPr>
          <w:trHeight w:val="70"/>
          <w:jc w:val="center"/>
        </w:trPr>
        <w:tc>
          <w:tcPr>
            <w:tcW w:w="5130" w:type="dxa"/>
            <w:tcBorders>
              <w:top w:val="nil"/>
              <w:left w:val="nil"/>
              <w:bottom w:val="nil"/>
              <w:right w:val="nil"/>
            </w:tcBorders>
            <w:shd w:val="clear" w:color="000000" w:fill="FFFFFF"/>
            <w:noWrap/>
            <w:vAlign w:val="bottom"/>
            <w:hideMark/>
          </w:tcPr>
          <w:p w14:paraId="412128B3" w14:textId="77777777" w:rsidR="00B66B2E" w:rsidRPr="00D92E4F" w:rsidRDefault="00B66B2E" w:rsidP="00B66B2E">
            <w:pPr>
              <w:ind w:firstLineChars="100" w:firstLine="200"/>
              <w:rPr>
                <w:rFonts w:ascii="Calibri" w:eastAsia="Times New Roman" w:hAnsi="Calibri" w:cs="Calibri"/>
                <w:color w:val="000000"/>
                <w:sz w:val="20"/>
                <w:szCs w:val="20"/>
              </w:rPr>
            </w:pPr>
            <w:r w:rsidRPr="00D92E4F">
              <w:rPr>
                <w:rFonts w:ascii="Calibri" w:eastAsia="Times New Roman" w:hAnsi="Calibri" w:cs="Calibri"/>
                <w:color w:val="000000"/>
                <w:sz w:val="20"/>
                <w:szCs w:val="20"/>
              </w:rPr>
              <w:t>Total DB Plan and MIP investments measured at NAV</w:t>
            </w:r>
          </w:p>
        </w:tc>
        <w:tc>
          <w:tcPr>
            <w:tcW w:w="1170" w:type="dxa"/>
            <w:tcBorders>
              <w:top w:val="nil"/>
              <w:left w:val="nil"/>
              <w:bottom w:val="single" w:sz="4" w:space="0" w:color="000000"/>
              <w:right w:val="nil"/>
            </w:tcBorders>
            <w:shd w:val="clear" w:color="000000" w:fill="FFFFFF"/>
            <w:noWrap/>
          </w:tcPr>
          <w:p w14:paraId="30234102" w14:textId="7F74697B" w:rsidR="00B66B2E" w:rsidRPr="00FE041A" w:rsidRDefault="00B66B2E" w:rsidP="00B66B2E">
            <w:pPr>
              <w:jc w:val="right"/>
              <w:rPr>
                <w:rFonts w:eastAsia="Times New Roman" w:cstheme="minorHAnsi"/>
                <w:color w:val="FF0000"/>
                <w:sz w:val="20"/>
                <w:szCs w:val="20"/>
              </w:rPr>
            </w:pPr>
            <w:r w:rsidRPr="00FE041A">
              <w:rPr>
                <w:sz w:val="20"/>
                <w:szCs w:val="20"/>
              </w:rPr>
              <w:t xml:space="preserve"> 158,295 </w:t>
            </w:r>
          </w:p>
        </w:tc>
        <w:tc>
          <w:tcPr>
            <w:tcW w:w="1170" w:type="dxa"/>
            <w:tcBorders>
              <w:top w:val="nil"/>
              <w:left w:val="nil"/>
              <w:bottom w:val="nil"/>
              <w:right w:val="nil"/>
            </w:tcBorders>
            <w:shd w:val="clear" w:color="000000" w:fill="FFFFFF"/>
            <w:noWrap/>
          </w:tcPr>
          <w:p w14:paraId="5381A55E" w14:textId="77777777" w:rsidR="00B66B2E" w:rsidRPr="00A51543" w:rsidRDefault="00B66B2E" w:rsidP="00B66B2E">
            <w:pPr>
              <w:jc w:val="right"/>
              <w:rPr>
                <w:rFonts w:eastAsia="Times New Roman" w:cstheme="minorHAnsi"/>
                <w:color w:val="FF0000"/>
                <w:sz w:val="20"/>
                <w:szCs w:val="20"/>
              </w:rPr>
            </w:pPr>
          </w:p>
        </w:tc>
        <w:tc>
          <w:tcPr>
            <w:tcW w:w="1105" w:type="dxa"/>
            <w:tcBorders>
              <w:top w:val="nil"/>
              <w:left w:val="nil"/>
              <w:bottom w:val="nil"/>
              <w:right w:val="nil"/>
            </w:tcBorders>
            <w:shd w:val="clear" w:color="000000" w:fill="FFFFFF"/>
            <w:noWrap/>
          </w:tcPr>
          <w:p w14:paraId="2FB1F778" w14:textId="77777777" w:rsidR="00B66B2E" w:rsidRPr="00A51543" w:rsidRDefault="00B66B2E" w:rsidP="00B66B2E">
            <w:pPr>
              <w:jc w:val="right"/>
              <w:rPr>
                <w:rFonts w:eastAsia="Times New Roman" w:cstheme="minorHAnsi"/>
                <w:color w:val="FF0000"/>
                <w:sz w:val="20"/>
                <w:szCs w:val="20"/>
              </w:rPr>
            </w:pPr>
          </w:p>
        </w:tc>
        <w:tc>
          <w:tcPr>
            <w:tcW w:w="900" w:type="dxa"/>
            <w:tcBorders>
              <w:top w:val="nil"/>
              <w:left w:val="nil"/>
              <w:bottom w:val="nil"/>
              <w:right w:val="nil"/>
            </w:tcBorders>
            <w:shd w:val="clear" w:color="000000" w:fill="FFFFFF"/>
            <w:noWrap/>
          </w:tcPr>
          <w:p w14:paraId="596F74C8" w14:textId="77777777" w:rsidR="00B66B2E" w:rsidRPr="00A51543" w:rsidRDefault="00B66B2E" w:rsidP="00B66B2E">
            <w:pPr>
              <w:jc w:val="right"/>
              <w:rPr>
                <w:rFonts w:eastAsia="Times New Roman" w:cstheme="minorHAnsi"/>
                <w:color w:val="FF0000"/>
                <w:sz w:val="20"/>
                <w:szCs w:val="20"/>
              </w:rPr>
            </w:pPr>
          </w:p>
        </w:tc>
        <w:tc>
          <w:tcPr>
            <w:tcW w:w="1055" w:type="dxa"/>
            <w:tcBorders>
              <w:top w:val="nil"/>
              <w:left w:val="nil"/>
              <w:bottom w:val="nil"/>
              <w:right w:val="nil"/>
            </w:tcBorders>
            <w:shd w:val="clear" w:color="000000" w:fill="FFFFFF"/>
            <w:noWrap/>
            <w:vAlign w:val="bottom"/>
            <w:hideMark/>
          </w:tcPr>
          <w:p w14:paraId="23E013B8" w14:textId="77777777" w:rsidR="00B66B2E" w:rsidRPr="00E41A37" w:rsidRDefault="00B66B2E" w:rsidP="00B66B2E">
            <w:pPr>
              <w:rPr>
                <w:rFonts w:ascii="Calibri" w:eastAsia="Times New Roman" w:hAnsi="Calibri" w:cs="Calibri"/>
                <w:color w:val="FF0000"/>
                <w:sz w:val="20"/>
                <w:szCs w:val="20"/>
              </w:rPr>
            </w:pPr>
            <w:r w:rsidRPr="00E41A37">
              <w:rPr>
                <w:rFonts w:ascii="Calibri" w:eastAsia="Times New Roman" w:hAnsi="Calibri" w:cs="Calibri"/>
                <w:color w:val="FF0000"/>
                <w:sz w:val="20"/>
                <w:szCs w:val="20"/>
              </w:rPr>
              <w:t> </w:t>
            </w:r>
          </w:p>
        </w:tc>
        <w:tc>
          <w:tcPr>
            <w:tcW w:w="1440" w:type="dxa"/>
            <w:tcBorders>
              <w:top w:val="nil"/>
              <w:left w:val="nil"/>
              <w:bottom w:val="nil"/>
              <w:right w:val="nil"/>
            </w:tcBorders>
            <w:shd w:val="clear" w:color="000000" w:fill="FFFFFF"/>
            <w:noWrap/>
            <w:vAlign w:val="bottom"/>
            <w:hideMark/>
          </w:tcPr>
          <w:p w14:paraId="6661455F" w14:textId="77777777" w:rsidR="00B66B2E" w:rsidRPr="00E41A37" w:rsidRDefault="00B66B2E" w:rsidP="00B66B2E">
            <w:pPr>
              <w:rPr>
                <w:rFonts w:ascii="Calibri" w:eastAsia="Times New Roman" w:hAnsi="Calibri" w:cs="Calibri"/>
                <w:color w:val="FF0000"/>
                <w:sz w:val="20"/>
                <w:szCs w:val="20"/>
              </w:rPr>
            </w:pPr>
            <w:r w:rsidRPr="00E41A37">
              <w:rPr>
                <w:rFonts w:ascii="Calibri" w:eastAsia="Times New Roman" w:hAnsi="Calibri" w:cs="Calibri"/>
                <w:color w:val="FF0000"/>
                <w:sz w:val="20"/>
                <w:szCs w:val="20"/>
              </w:rPr>
              <w:t> </w:t>
            </w:r>
          </w:p>
        </w:tc>
        <w:tc>
          <w:tcPr>
            <w:tcW w:w="2580" w:type="dxa"/>
            <w:tcBorders>
              <w:top w:val="nil"/>
              <w:left w:val="nil"/>
              <w:bottom w:val="nil"/>
              <w:right w:val="nil"/>
            </w:tcBorders>
            <w:shd w:val="clear" w:color="000000" w:fill="FFFFFF"/>
            <w:noWrap/>
            <w:vAlign w:val="bottom"/>
            <w:hideMark/>
          </w:tcPr>
          <w:p w14:paraId="3CAF2AF3" w14:textId="77777777" w:rsidR="00B66B2E" w:rsidRPr="00E41A37" w:rsidRDefault="00B66B2E" w:rsidP="00B66B2E">
            <w:pPr>
              <w:rPr>
                <w:rFonts w:ascii="Calibri" w:eastAsia="Times New Roman" w:hAnsi="Calibri" w:cs="Calibri"/>
                <w:color w:val="FF0000"/>
                <w:sz w:val="20"/>
                <w:szCs w:val="20"/>
              </w:rPr>
            </w:pPr>
            <w:r w:rsidRPr="00E41A37">
              <w:rPr>
                <w:rFonts w:ascii="Calibri" w:eastAsia="Times New Roman" w:hAnsi="Calibri" w:cs="Calibri"/>
                <w:color w:val="FF0000"/>
                <w:sz w:val="20"/>
                <w:szCs w:val="20"/>
              </w:rPr>
              <w:t> </w:t>
            </w:r>
          </w:p>
        </w:tc>
      </w:tr>
      <w:tr w:rsidR="00B66B2E" w:rsidRPr="00D92E4F" w14:paraId="0FE58D0C" w14:textId="77777777" w:rsidTr="00730ECF">
        <w:trPr>
          <w:trHeight w:val="98"/>
          <w:jc w:val="center"/>
        </w:trPr>
        <w:tc>
          <w:tcPr>
            <w:tcW w:w="5130" w:type="dxa"/>
            <w:tcBorders>
              <w:top w:val="nil"/>
              <w:left w:val="nil"/>
              <w:bottom w:val="nil"/>
              <w:right w:val="nil"/>
            </w:tcBorders>
            <w:shd w:val="clear" w:color="000000" w:fill="FFFFFF"/>
            <w:noWrap/>
            <w:vAlign w:val="bottom"/>
            <w:hideMark/>
          </w:tcPr>
          <w:p w14:paraId="16C1BF4B" w14:textId="77777777" w:rsidR="00B66B2E" w:rsidRPr="00D92E4F" w:rsidRDefault="00B66B2E" w:rsidP="00B66B2E">
            <w:pPr>
              <w:rPr>
                <w:rFonts w:ascii="Calibri" w:eastAsia="Times New Roman" w:hAnsi="Calibri" w:cs="Calibri"/>
                <w:b/>
                <w:bCs/>
                <w:color w:val="000000"/>
                <w:sz w:val="20"/>
                <w:szCs w:val="20"/>
              </w:rPr>
            </w:pPr>
            <w:r w:rsidRPr="00D92E4F">
              <w:rPr>
                <w:rFonts w:ascii="Calibri" w:eastAsia="Times New Roman" w:hAnsi="Calibri" w:cs="Calibri"/>
                <w:b/>
                <w:bCs/>
                <w:color w:val="000000"/>
                <w:sz w:val="20"/>
                <w:szCs w:val="20"/>
              </w:rPr>
              <w:t>Total DB Plan, MIP and separately held investments</w:t>
            </w:r>
          </w:p>
        </w:tc>
        <w:tc>
          <w:tcPr>
            <w:tcW w:w="1170" w:type="dxa"/>
            <w:tcBorders>
              <w:top w:val="nil"/>
              <w:left w:val="nil"/>
              <w:bottom w:val="double" w:sz="6" w:space="0" w:color="000000"/>
              <w:right w:val="nil"/>
            </w:tcBorders>
            <w:shd w:val="clear" w:color="000000" w:fill="FFFFFF"/>
            <w:noWrap/>
          </w:tcPr>
          <w:p w14:paraId="21D45A18" w14:textId="47E9E0BD" w:rsidR="00B66B2E" w:rsidRPr="00FE041A" w:rsidRDefault="00B66B2E" w:rsidP="00B66B2E">
            <w:pPr>
              <w:jc w:val="right"/>
              <w:rPr>
                <w:rFonts w:eastAsia="Times New Roman" w:cstheme="minorHAnsi"/>
                <w:color w:val="FF0000"/>
                <w:sz w:val="20"/>
                <w:szCs w:val="20"/>
              </w:rPr>
            </w:pPr>
            <w:r w:rsidRPr="00FE041A">
              <w:rPr>
                <w:sz w:val="20"/>
                <w:szCs w:val="20"/>
              </w:rPr>
              <w:t xml:space="preserve"> $41</w:t>
            </w:r>
            <w:r w:rsidR="00AF6690">
              <w:rPr>
                <w:sz w:val="20"/>
                <w:szCs w:val="20"/>
              </w:rPr>
              <w:t>3</w:t>
            </w:r>
            <w:r w:rsidRPr="00FE041A">
              <w:rPr>
                <w:sz w:val="20"/>
                <w:szCs w:val="20"/>
              </w:rPr>
              <w:t>,</w:t>
            </w:r>
            <w:r w:rsidR="00AF6690">
              <w:rPr>
                <w:sz w:val="20"/>
                <w:szCs w:val="20"/>
              </w:rPr>
              <w:t>686</w:t>
            </w:r>
            <w:r w:rsidR="00AF6690" w:rsidRPr="00FE041A">
              <w:rPr>
                <w:sz w:val="20"/>
                <w:szCs w:val="20"/>
              </w:rPr>
              <w:t xml:space="preserve"> </w:t>
            </w:r>
          </w:p>
        </w:tc>
        <w:tc>
          <w:tcPr>
            <w:tcW w:w="1170" w:type="dxa"/>
            <w:tcBorders>
              <w:top w:val="nil"/>
              <w:left w:val="nil"/>
              <w:bottom w:val="nil"/>
              <w:right w:val="nil"/>
            </w:tcBorders>
            <w:shd w:val="clear" w:color="000000" w:fill="FFFFFF"/>
            <w:noWrap/>
          </w:tcPr>
          <w:p w14:paraId="6A9106E2" w14:textId="77777777" w:rsidR="00B66B2E" w:rsidRPr="00A51543" w:rsidRDefault="00B66B2E" w:rsidP="00B66B2E">
            <w:pPr>
              <w:jc w:val="right"/>
              <w:rPr>
                <w:rFonts w:eastAsia="Times New Roman" w:cstheme="minorHAnsi"/>
                <w:color w:val="FF0000"/>
                <w:sz w:val="20"/>
                <w:szCs w:val="20"/>
              </w:rPr>
            </w:pPr>
          </w:p>
        </w:tc>
        <w:tc>
          <w:tcPr>
            <w:tcW w:w="1105" w:type="dxa"/>
            <w:tcBorders>
              <w:top w:val="nil"/>
              <w:left w:val="nil"/>
              <w:bottom w:val="nil"/>
              <w:right w:val="nil"/>
            </w:tcBorders>
            <w:shd w:val="clear" w:color="000000" w:fill="FFFFFF"/>
            <w:noWrap/>
          </w:tcPr>
          <w:p w14:paraId="58C206D5" w14:textId="77777777" w:rsidR="00B66B2E" w:rsidRPr="00A51543" w:rsidRDefault="00B66B2E" w:rsidP="00B66B2E">
            <w:pPr>
              <w:jc w:val="right"/>
              <w:rPr>
                <w:rFonts w:eastAsia="Times New Roman" w:cstheme="minorHAnsi"/>
                <w:color w:val="FF0000"/>
                <w:sz w:val="20"/>
                <w:szCs w:val="20"/>
              </w:rPr>
            </w:pPr>
          </w:p>
        </w:tc>
        <w:tc>
          <w:tcPr>
            <w:tcW w:w="900" w:type="dxa"/>
            <w:tcBorders>
              <w:top w:val="nil"/>
              <w:left w:val="nil"/>
              <w:bottom w:val="nil"/>
              <w:right w:val="nil"/>
            </w:tcBorders>
            <w:shd w:val="clear" w:color="000000" w:fill="FFFFFF"/>
            <w:noWrap/>
          </w:tcPr>
          <w:p w14:paraId="268D0773" w14:textId="77777777" w:rsidR="00B66B2E" w:rsidRPr="00A51543" w:rsidRDefault="00B66B2E" w:rsidP="00B66B2E">
            <w:pPr>
              <w:jc w:val="right"/>
              <w:rPr>
                <w:rFonts w:eastAsia="Times New Roman" w:cstheme="minorHAnsi"/>
                <w:color w:val="FF0000"/>
                <w:sz w:val="20"/>
                <w:szCs w:val="20"/>
              </w:rPr>
            </w:pPr>
          </w:p>
        </w:tc>
        <w:tc>
          <w:tcPr>
            <w:tcW w:w="1055" w:type="dxa"/>
            <w:tcBorders>
              <w:top w:val="nil"/>
              <w:left w:val="nil"/>
              <w:bottom w:val="nil"/>
              <w:right w:val="nil"/>
            </w:tcBorders>
            <w:shd w:val="clear" w:color="000000" w:fill="FFFFFF"/>
            <w:noWrap/>
            <w:vAlign w:val="bottom"/>
            <w:hideMark/>
          </w:tcPr>
          <w:p w14:paraId="0B639A1A" w14:textId="77777777" w:rsidR="00B66B2E" w:rsidRPr="00E41A37" w:rsidRDefault="00B66B2E" w:rsidP="00B66B2E">
            <w:pPr>
              <w:rPr>
                <w:rFonts w:ascii="Calibri" w:eastAsia="Times New Roman" w:hAnsi="Calibri" w:cs="Calibri"/>
                <w:color w:val="FF0000"/>
                <w:sz w:val="20"/>
                <w:szCs w:val="20"/>
              </w:rPr>
            </w:pPr>
            <w:r w:rsidRPr="00E41A37">
              <w:rPr>
                <w:rFonts w:ascii="Calibri" w:eastAsia="Times New Roman" w:hAnsi="Calibri" w:cs="Calibri"/>
                <w:color w:val="FF0000"/>
                <w:sz w:val="20"/>
                <w:szCs w:val="20"/>
              </w:rPr>
              <w:t> </w:t>
            </w:r>
          </w:p>
        </w:tc>
        <w:tc>
          <w:tcPr>
            <w:tcW w:w="1440" w:type="dxa"/>
            <w:tcBorders>
              <w:top w:val="nil"/>
              <w:left w:val="nil"/>
              <w:bottom w:val="nil"/>
              <w:right w:val="nil"/>
            </w:tcBorders>
            <w:shd w:val="clear" w:color="000000" w:fill="FFFFFF"/>
            <w:noWrap/>
            <w:vAlign w:val="bottom"/>
            <w:hideMark/>
          </w:tcPr>
          <w:p w14:paraId="071B8A53" w14:textId="77777777" w:rsidR="00B66B2E" w:rsidRPr="00E41A37" w:rsidRDefault="00B66B2E" w:rsidP="00B66B2E">
            <w:pPr>
              <w:rPr>
                <w:rFonts w:ascii="Calibri" w:eastAsia="Times New Roman" w:hAnsi="Calibri" w:cs="Calibri"/>
                <w:color w:val="FF0000"/>
                <w:sz w:val="20"/>
                <w:szCs w:val="20"/>
              </w:rPr>
            </w:pPr>
            <w:r w:rsidRPr="00E41A37">
              <w:rPr>
                <w:rFonts w:ascii="Calibri" w:eastAsia="Times New Roman" w:hAnsi="Calibri" w:cs="Calibri"/>
                <w:color w:val="FF0000"/>
                <w:sz w:val="20"/>
                <w:szCs w:val="20"/>
              </w:rPr>
              <w:t> </w:t>
            </w:r>
          </w:p>
        </w:tc>
        <w:tc>
          <w:tcPr>
            <w:tcW w:w="2580" w:type="dxa"/>
            <w:tcBorders>
              <w:top w:val="nil"/>
              <w:left w:val="nil"/>
              <w:bottom w:val="nil"/>
              <w:right w:val="nil"/>
            </w:tcBorders>
            <w:shd w:val="clear" w:color="000000" w:fill="FFFFFF"/>
            <w:noWrap/>
            <w:vAlign w:val="bottom"/>
            <w:hideMark/>
          </w:tcPr>
          <w:p w14:paraId="46965271" w14:textId="77777777" w:rsidR="00B66B2E" w:rsidRPr="00E41A37" w:rsidRDefault="00B66B2E" w:rsidP="00B66B2E">
            <w:pPr>
              <w:rPr>
                <w:rFonts w:ascii="Calibri" w:eastAsia="Times New Roman" w:hAnsi="Calibri" w:cs="Calibri"/>
                <w:color w:val="FF0000"/>
                <w:sz w:val="20"/>
                <w:szCs w:val="20"/>
              </w:rPr>
            </w:pPr>
            <w:r w:rsidRPr="00E41A37">
              <w:rPr>
                <w:rFonts w:ascii="Calibri" w:eastAsia="Times New Roman" w:hAnsi="Calibri" w:cs="Calibri"/>
                <w:color w:val="FF0000"/>
                <w:sz w:val="20"/>
                <w:szCs w:val="20"/>
              </w:rPr>
              <w:t> </w:t>
            </w:r>
          </w:p>
        </w:tc>
      </w:tr>
      <w:bookmarkEnd w:id="14"/>
    </w:tbl>
    <w:p w14:paraId="7460D096" w14:textId="77777777" w:rsidR="001B6918" w:rsidRPr="004E6649" w:rsidRDefault="001B6918" w:rsidP="001B6918">
      <w:pPr>
        <w:spacing w:after="160" w:line="259" w:lineRule="auto"/>
        <w:rPr>
          <w:rFonts w:cstheme="minorHAnsi"/>
          <w:b/>
          <w:i/>
          <w:noProof/>
          <w:sz w:val="26"/>
          <w:szCs w:val="26"/>
        </w:rPr>
      </w:pPr>
      <w:r w:rsidRPr="004E6649">
        <w:rPr>
          <w:rFonts w:cstheme="minorHAnsi"/>
          <w:b/>
          <w:i/>
          <w:noProof/>
          <w:sz w:val="26"/>
          <w:szCs w:val="26"/>
        </w:rPr>
        <w:br w:type="page"/>
      </w:r>
    </w:p>
    <w:p w14:paraId="412EF26B" w14:textId="77777777" w:rsidR="001B6918" w:rsidRPr="00A02D27" w:rsidRDefault="001B6918" w:rsidP="001B6918">
      <w:pPr>
        <w:spacing w:after="160"/>
        <w:rPr>
          <w:rFonts w:eastAsiaTheme="majorEastAsia" w:cstheme="minorHAnsi"/>
          <w:b/>
          <w:i/>
          <w:iCs/>
          <w:smallCaps/>
          <w:noProof/>
          <w:color w:val="000000" w:themeColor="text1"/>
          <w:sz w:val="24"/>
          <w:szCs w:val="24"/>
          <w:u w:color="5B9BD5"/>
        </w:rPr>
      </w:pPr>
      <w:r w:rsidRPr="00A02D27">
        <w:rPr>
          <w:rFonts w:eastAsiaTheme="majorEastAsia" w:cstheme="minorHAnsi"/>
          <w:b/>
          <w:i/>
          <w:iCs/>
          <w:smallCaps/>
          <w:noProof/>
          <w:color w:val="000000" w:themeColor="text1"/>
          <w:sz w:val="24"/>
          <w:szCs w:val="24"/>
          <w:u w:color="5B9BD5"/>
        </w:rPr>
        <w:lastRenderedPageBreak/>
        <w:t>3. INVESTMENTS - CONTINUED</w:t>
      </w:r>
      <w:r w:rsidRPr="00A02D27" w:rsidDel="00453556">
        <w:rPr>
          <w:rFonts w:eastAsiaTheme="majorEastAsia" w:cstheme="minorHAnsi"/>
          <w:b/>
          <w:i/>
          <w:iCs/>
          <w:smallCaps/>
          <w:noProof/>
          <w:color w:val="000000" w:themeColor="text1"/>
          <w:sz w:val="24"/>
          <w:szCs w:val="24"/>
          <w:u w:color="5B9BD5"/>
        </w:rPr>
        <w:t xml:space="preserve"> </w:t>
      </w:r>
    </w:p>
    <w:p w14:paraId="4116CA50" w14:textId="77777777" w:rsidR="001B6918" w:rsidRPr="004E6649" w:rsidRDefault="001B6918" w:rsidP="001B6918">
      <w:pPr>
        <w:spacing w:after="160" w:line="259" w:lineRule="auto"/>
        <w:rPr>
          <w:rFonts w:eastAsia="Times New Roman" w:cstheme="minorHAnsi"/>
          <w:color w:val="000000"/>
          <w:spacing w:val="-3"/>
          <w:sz w:val="24"/>
          <w:szCs w:val="20"/>
        </w:rPr>
      </w:pPr>
      <w:r w:rsidRPr="004E6649">
        <w:rPr>
          <w:rFonts w:eastAsia="Times New Roman" w:cstheme="minorHAnsi"/>
          <w:color w:val="000000"/>
          <w:spacing w:val="-3"/>
          <w:sz w:val="24"/>
          <w:szCs w:val="20"/>
        </w:rPr>
        <w:t>Breakdown of investments by portfolio at June 30</w:t>
      </w:r>
      <w:r w:rsidRPr="004E6649">
        <w:rPr>
          <w:rFonts w:eastAsia="Times New Roman" w:cstheme="minorHAnsi"/>
          <w:spacing w:val="-3"/>
          <w:sz w:val="24"/>
          <w:szCs w:val="20"/>
        </w:rPr>
        <w:t>, 202</w:t>
      </w:r>
      <w:r>
        <w:rPr>
          <w:rFonts w:eastAsia="Times New Roman" w:cstheme="minorHAnsi"/>
          <w:spacing w:val="-3"/>
          <w:sz w:val="24"/>
          <w:szCs w:val="20"/>
        </w:rPr>
        <w:t>5</w:t>
      </w:r>
      <w:r w:rsidRPr="004E6649">
        <w:rPr>
          <w:rFonts w:eastAsia="Times New Roman" w:cstheme="minorHAnsi"/>
          <w:spacing w:val="-3"/>
          <w:sz w:val="24"/>
          <w:szCs w:val="20"/>
        </w:rPr>
        <w:t>:</w:t>
      </w:r>
    </w:p>
    <w:tbl>
      <w:tblPr>
        <w:tblW w:w="10662" w:type="dxa"/>
        <w:jc w:val="center"/>
        <w:tblLook w:val="04A0" w:firstRow="1" w:lastRow="0" w:firstColumn="1" w:lastColumn="0" w:noHBand="0" w:noVBand="1"/>
      </w:tblPr>
      <w:tblGrid>
        <w:gridCol w:w="6030"/>
        <w:gridCol w:w="1327"/>
        <w:gridCol w:w="1117"/>
        <w:gridCol w:w="1094"/>
        <w:gridCol w:w="1094"/>
      </w:tblGrid>
      <w:tr w:rsidR="001B6918" w:rsidRPr="00D92E4F" w14:paraId="1DF3BD7A" w14:textId="77777777" w:rsidTr="00730ECF">
        <w:trPr>
          <w:trHeight w:val="330"/>
          <w:jc w:val="center"/>
        </w:trPr>
        <w:tc>
          <w:tcPr>
            <w:tcW w:w="6030" w:type="dxa"/>
            <w:tcBorders>
              <w:top w:val="nil"/>
              <w:left w:val="nil"/>
              <w:bottom w:val="nil"/>
              <w:right w:val="nil"/>
            </w:tcBorders>
            <w:shd w:val="clear" w:color="000000" w:fill="FFFFFF"/>
            <w:noWrap/>
            <w:vAlign w:val="center"/>
            <w:hideMark/>
          </w:tcPr>
          <w:p w14:paraId="225C37EE" w14:textId="77777777" w:rsidR="001B6918" w:rsidRPr="00D92E4F" w:rsidRDefault="001B6918" w:rsidP="00730ECF">
            <w:pPr>
              <w:rPr>
                <w:rFonts w:ascii="Calibri" w:eastAsia="Times New Roman" w:hAnsi="Calibri" w:cs="Calibri"/>
                <w:b/>
                <w:bCs/>
                <w:color w:val="000000"/>
              </w:rPr>
            </w:pPr>
            <w:r w:rsidRPr="004E6649">
              <w:rPr>
                <w:rFonts w:eastAsia="Times New Roman" w:cstheme="minorHAnsi"/>
                <w:spacing w:val="-3"/>
                <w:sz w:val="24"/>
                <w:szCs w:val="20"/>
              </w:rPr>
              <w:fldChar w:fldCharType="begin"/>
            </w:r>
            <w:r w:rsidRPr="004E6649">
              <w:rPr>
                <w:rFonts w:eastAsia="Times New Roman" w:cstheme="minorHAnsi"/>
                <w:spacing w:val="-3"/>
                <w:sz w:val="24"/>
                <w:szCs w:val="20"/>
              </w:rPr>
              <w:fldChar w:fldCharType="end"/>
            </w:r>
            <w:r w:rsidRPr="00D92E4F">
              <w:rPr>
                <w:rFonts w:ascii="Calibri" w:eastAsia="Times New Roman" w:hAnsi="Calibri" w:cs="Calibri"/>
                <w:b/>
                <w:bCs/>
                <w:color w:val="000000"/>
              </w:rPr>
              <w:t> </w:t>
            </w:r>
          </w:p>
        </w:tc>
        <w:tc>
          <w:tcPr>
            <w:tcW w:w="1327" w:type="dxa"/>
            <w:tcBorders>
              <w:top w:val="nil"/>
              <w:left w:val="nil"/>
              <w:bottom w:val="nil"/>
              <w:right w:val="nil"/>
            </w:tcBorders>
            <w:shd w:val="clear" w:color="000000" w:fill="FFFFFF"/>
            <w:noWrap/>
            <w:vAlign w:val="center"/>
            <w:hideMark/>
          </w:tcPr>
          <w:p w14:paraId="46DA6945" w14:textId="77777777" w:rsidR="001B6918" w:rsidRPr="00D92E4F" w:rsidRDefault="001B6918" w:rsidP="00730ECF">
            <w:pPr>
              <w:rPr>
                <w:rFonts w:ascii="Calibri" w:eastAsia="Times New Roman" w:hAnsi="Calibri" w:cs="Calibri"/>
                <w:b/>
                <w:bCs/>
                <w:color w:val="000000"/>
              </w:rPr>
            </w:pPr>
            <w:r w:rsidRPr="00D92E4F">
              <w:rPr>
                <w:rFonts w:ascii="Calibri" w:eastAsia="Times New Roman" w:hAnsi="Calibri" w:cs="Calibri"/>
                <w:b/>
                <w:bCs/>
                <w:color w:val="000000"/>
              </w:rPr>
              <w:t> </w:t>
            </w:r>
          </w:p>
        </w:tc>
        <w:tc>
          <w:tcPr>
            <w:tcW w:w="3305" w:type="dxa"/>
            <w:gridSpan w:val="3"/>
            <w:tcBorders>
              <w:top w:val="nil"/>
              <w:left w:val="nil"/>
              <w:bottom w:val="single" w:sz="12" w:space="0" w:color="000000"/>
              <w:right w:val="nil"/>
            </w:tcBorders>
            <w:shd w:val="clear" w:color="000000" w:fill="FFFFFF"/>
            <w:noWrap/>
            <w:vAlign w:val="center"/>
            <w:hideMark/>
          </w:tcPr>
          <w:p w14:paraId="440564AB" w14:textId="77777777" w:rsidR="001B6918" w:rsidRPr="00D92E4F" w:rsidRDefault="001B6918" w:rsidP="00730ECF">
            <w:pPr>
              <w:jc w:val="center"/>
              <w:rPr>
                <w:rFonts w:ascii="Calibri" w:eastAsia="Times New Roman" w:hAnsi="Calibri" w:cs="Calibri"/>
                <w:b/>
                <w:bCs/>
                <w:color w:val="000000"/>
              </w:rPr>
            </w:pPr>
            <w:r w:rsidRPr="00D92E4F">
              <w:rPr>
                <w:rFonts w:ascii="Calibri" w:eastAsia="Times New Roman" w:hAnsi="Calibri" w:cs="Calibri"/>
                <w:b/>
                <w:bCs/>
                <w:color w:val="000000"/>
              </w:rPr>
              <w:t xml:space="preserve"> Fair Value Measurements Using: </w:t>
            </w:r>
          </w:p>
        </w:tc>
      </w:tr>
      <w:tr w:rsidR="001B6918" w:rsidRPr="00D92E4F" w14:paraId="72F2E349" w14:textId="77777777" w:rsidTr="00730ECF">
        <w:trPr>
          <w:trHeight w:val="345"/>
          <w:jc w:val="center"/>
        </w:trPr>
        <w:tc>
          <w:tcPr>
            <w:tcW w:w="6030" w:type="dxa"/>
            <w:tcBorders>
              <w:top w:val="nil"/>
              <w:left w:val="nil"/>
              <w:bottom w:val="single" w:sz="12" w:space="0" w:color="000000"/>
              <w:right w:val="nil"/>
            </w:tcBorders>
            <w:shd w:val="clear" w:color="000000" w:fill="FFFFFF"/>
            <w:noWrap/>
            <w:vAlign w:val="center"/>
            <w:hideMark/>
          </w:tcPr>
          <w:p w14:paraId="2AB8C47E" w14:textId="77777777" w:rsidR="001B6918" w:rsidRPr="00D92E4F" w:rsidRDefault="001B6918" w:rsidP="00730ECF">
            <w:pPr>
              <w:rPr>
                <w:rFonts w:ascii="Calibri" w:eastAsia="Times New Roman" w:hAnsi="Calibri" w:cs="Calibri"/>
                <w:b/>
                <w:bCs/>
                <w:color w:val="000000"/>
              </w:rPr>
            </w:pPr>
            <w:r w:rsidRPr="00D92E4F">
              <w:rPr>
                <w:rFonts w:ascii="Calibri" w:eastAsia="Times New Roman" w:hAnsi="Calibri" w:cs="Calibri"/>
                <w:b/>
                <w:bCs/>
                <w:color w:val="000000"/>
              </w:rPr>
              <w:t> </w:t>
            </w:r>
          </w:p>
        </w:tc>
        <w:tc>
          <w:tcPr>
            <w:tcW w:w="1327" w:type="dxa"/>
            <w:tcBorders>
              <w:top w:val="nil"/>
              <w:left w:val="nil"/>
              <w:bottom w:val="single" w:sz="12" w:space="0" w:color="000000"/>
              <w:right w:val="nil"/>
            </w:tcBorders>
            <w:shd w:val="clear" w:color="000000" w:fill="FFFFFF"/>
            <w:noWrap/>
            <w:vAlign w:val="center"/>
            <w:hideMark/>
          </w:tcPr>
          <w:p w14:paraId="0D56E114" w14:textId="77777777" w:rsidR="001B6918" w:rsidRPr="00D92E4F" w:rsidRDefault="001B6918" w:rsidP="00730ECF">
            <w:pPr>
              <w:jc w:val="center"/>
              <w:rPr>
                <w:rFonts w:ascii="Calibri" w:eastAsia="Times New Roman" w:hAnsi="Calibri" w:cs="Calibri"/>
                <w:b/>
                <w:bCs/>
                <w:color w:val="000000"/>
              </w:rPr>
            </w:pPr>
            <w:r w:rsidRPr="00D92E4F">
              <w:rPr>
                <w:rFonts w:ascii="Calibri" w:eastAsia="Times New Roman" w:hAnsi="Calibri" w:cs="Calibri"/>
                <w:b/>
                <w:bCs/>
                <w:color w:val="000000"/>
              </w:rPr>
              <w:t xml:space="preserve"> Total </w:t>
            </w:r>
          </w:p>
        </w:tc>
        <w:tc>
          <w:tcPr>
            <w:tcW w:w="1117" w:type="dxa"/>
            <w:tcBorders>
              <w:top w:val="nil"/>
              <w:left w:val="nil"/>
              <w:bottom w:val="single" w:sz="12" w:space="0" w:color="000000"/>
              <w:right w:val="nil"/>
            </w:tcBorders>
            <w:shd w:val="clear" w:color="000000" w:fill="FFFFFF"/>
            <w:noWrap/>
            <w:vAlign w:val="center"/>
            <w:hideMark/>
          </w:tcPr>
          <w:p w14:paraId="590584CC" w14:textId="77777777" w:rsidR="001B6918" w:rsidRPr="00D92E4F" w:rsidRDefault="001B6918" w:rsidP="00730ECF">
            <w:pPr>
              <w:jc w:val="center"/>
              <w:rPr>
                <w:rFonts w:ascii="Calibri" w:eastAsia="Times New Roman" w:hAnsi="Calibri" w:cs="Calibri"/>
                <w:b/>
                <w:bCs/>
                <w:color w:val="000000"/>
              </w:rPr>
            </w:pPr>
            <w:r w:rsidRPr="00D92E4F">
              <w:rPr>
                <w:rFonts w:ascii="Calibri" w:eastAsia="Times New Roman" w:hAnsi="Calibri" w:cs="Calibri"/>
                <w:b/>
                <w:bCs/>
                <w:color w:val="000000"/>
              </w:rPr>
              <w:t xml:space="preserve"> Level 1 </w:t>
            </w:r>
          </w:p>
        </w:tc>
        <w:tc>
          <w:tcPr>
            <w:tcW w:w="1094" w:type="dxa"/>
            <w:tcBorders>
              <w:top w:val="nil"/>
              <w:left w:val="nil"/>
              <w:bottom w:val="single" w:sz="12" w:space="0" w:color="000000"/>
              <w:right w:val="nil"/>
            </w:tcBorders>
            <w:shd w:val="clear" w:color="000000" w:fill="FFFFFF"/>
            <w:noWrap/>
            <w:vAlign w:val="center"/>
            <w:hideMark/>
          </w:tcPr>
          <w:p w14:paraId="43C4595B" w14:textId="77777777" w:rsidR="001B6918" w:rsidRPr="00D92E4F" w:rsidRDefault="001B6918" w:rsidP="00730ECF">
            <w:pPr>
              <w:jc w:val="center"/>
              <w:rPr>
                <w:rFonts w:ascii="Calibri" w:eastAsia="Times New Roman" w:hAnsi="Calibri" w:cs="Calibri"/>
                <w:b/>
                <w:bCs/>
                <w:color w:val="000000"/>
              </w:rPr>
            </w:pPr>
            <w:r w:rsidRPr="00D92E4F">
              <w:rPr>
                <w:rFonts w:ascii="Calibri" w:eastAsia="Times New Roman" w:hAnsi="Calibri" w:cs="Calibri"/>
                <w:b/>
                <w:bCs/>
                <w:color w:val="000000"/>
              </w:rPr>
              <w:t xml:space="preserve"> Level 2 </w:t>
            </w:r>
          </w:p>
        </w:tc>
        <w:tc>
          <w:tcPr>
            <w:tcW w:w="1094" w:type="dxa"/>
            <w:tcBorders>
              <w:top w:val="nil"/>
              <w:left w:val="nil"/>
              <w:bottom w:val="single" w:sz="12" w:space="0" w:color="000000"/>
              <w:right w:val="nil"/>
            </w:tcBorders>
            <w:shd w:val="clear" w:color="000000" w:fill="FFFFFF"/>
            <w:noWrap/>
            <w:vAlign w:val="center"/>
            <w:hideMark/>
          </w:tcPr>
          <w:p w14:paraId="5EA4CA54" w14:textId="77777777" w:rsidR="001B6918" w:rsidRPr="00D92E4F" w:rsidRDefault="001B6918" w:rsidP="00730ECF">
            <w:pPr>
              <w:jc w:val="center"/>
              <w:rPr>
                <w:rFonts w:ascii="Calibri" w:eastAsia="Times New Roman" w:hAnsi="Calibri" w:cs="Calibri"/>
                <w:b/>
                <w:bCs/>
                <w:color w:val="000000"/>
              </w:rPr>
            </w:pPr>
            <w:r w:rsidRPr="00D92E4F">
              <w:rPr>
                <w:rFonts w:ascii="Calibri" w:eastAsia="Times New Roman" w:hAnsi="Calibri" w:cs="Calibri"/>
                <w:b/>
                <w:bCs/>
                <w:color w:val="000000"/>
              </w:rPr>
              <w:t xml:space="preserve"> Level 3 </w:t>
            </w:r>
          </w:p>
        </w:tc>
      </w:tr>
      <w:tr w:rsidR="001B6918" w:rsidRPr="00D92E4F" w14:paraId="0615A955" w14:textId="77777777" w:rsidTr="00730ECF">
        <w:trPr>
          <w:trHeight w:val="50"/>
          <w:jc w:val="center"/>
        </w:trPr>
        <w:tc>
          <w:tcPr>
            <w:tcW w:w="8474" w:type="dxa"/>
            <w:gridSpan w:val="3"/>
            <w:tcBorders>
              <w:top w:val="nil"/>
              <w:left w:val="nil"/>
              <w:bottom w:val="nil"/>
              <w:right w:val="nil"/>
            </w:tcBorders>
            <w:shd w:val="clear" w:color="000000" w:fill="FFFFFF"/>
            <w:noWrap/>
            <w:vAlign w:val="bottom"/>
            <w:hideMark/>
          </w:tcPr>
          <w:p w14:paraId="6B066180" w14:textId="77777777" w:rsidR="001B6918" w:rsidRPr="00D92E4F" w:rsidRDefault="001B6918" w:rsidP="00730ECF">
            <w:pPr>
              <w:rPr>
                <w:rFonts w:ascii="Calibri" w:eastAsia="Times New Roman" w:hAnsi="Calibri" w:cs="Calibri"/>
                <w:b/>
                <w:bCs/>
                <w:color w:val="000000"/>
              </w:rPr>
            </w:pPr>
            <w:r w:rsidRPr="00D92E4F">
              <w:rPr>
                <w:rFonts w:ascii="Calibri" w:eastAsia="Times New Roman" w:hAnsi="Calibri" w:cs="Calibri"/>
                <w:b/>
                <w:bCs/>
                <w:color w:val="000000"/>
              </w:rPr>
              <w:t>Breakdown of above investments by portfolio plus separately invested endowments:</w:t>
            </w:r>
          </w:p>
        </w:tc>
        <w:tc>
          <w:tcPr>
            <w:tcW w:w="1094" w:type="dxa"/>
            <w:tcBorders>
              <w:top w:val="nil"/>
              <w:left w:val="nil"/>
              <w:bottom w:val="nil"/>
              <w:right w:val="nil"/>
            </w:tcBorders>
            <w:shd w:val="clear" w:color="000000" w:fill="FFFFFF"/>
            <w:noWrap/>
            <w:vAlign w:val="bottom"/>
            <w:hideMark/>
          </w:tcPr>
          <w:p w14:paraId="6ED7609C" w14:textId="77777777" w:rsidR="001B6918" w:rsidRPr="00D92E4F" w:rsidRDefault="001B6918" w:rsidP="00730ECF">
            <w:pPr>
              <w:rPr>
                <w:rFonts w:ascii="Calibri" w:eastAsia="Times New Roman" w:hAnsi="Calibri" w:cs="Calibri"/>
                <w:color w:val="FF0000"/>
              </w:rPr>
            </w:pPr>
            <w:r w:rsidRPr="00D92E4F">
              <w:rPr>
                <w:rFonts w:ascii="Calibri" w:eastAsia="Times New Roman" w:hAnsi="Calibri" w:cs="Calibri"/>
                <w:color w:val="FF0000"/>
              </w:rPr>
              <w:t> </w:t>
            </w:r>
          </w:p>
        </w:tc>
        <w:tc>
          <w:tcPr>
            <w:tcW w:w="1094" w:type="dxa"/>
            <w:tcBorders>
              <w:top w:val="nil"/>
              <w:left w:val="nil"/>
              <w:bottom w:val="nil"/>
              <w:right w:val="nil"/>
            </w:tcBorders>
            <w:shd w:val="clear" w:color="000000" w:fill="FFFFFF"/>
            <w:noWrap/>
            <w:vAlign w:val="bottom"/>
            <w:hideMark/>
          </w:tcPr>
          <w:p w14:paraId="57A23D47" w14:textId="77777777" w:rsidR="001B6918" w:rsidRPr="00D92E4F" w:rsidRDefault="001B6918" w:rsidP="00730ECF">
            <w:pPr>
              <w:rPr>
                <w:rFonts w:ascii="Calibri" w:eastAsia="Times New Roman" w:hAnsi="Calibri" w:cs="Calibri"/>
                <w:color w:val="FF0000"/>
              </w:rPr>
            </w:pPr>
            <w:r w:rsidRPr="00D92E4F">
              <w:rPr>
                <w:rFonts w:ascii="Calibri" w:eastAsia="Times New Roman" w:hAnsi="Calibri" w:cs="Calibri"/>
                <w:color w:val="FF0000"/>
              </w:rPr>
              <w:t> </w:t>
            </w:r>
          </w:p>
        </w:tc>
      </w:tr>
      <w:tr w:rsidR="00FE041A" w:rsidRPr="00D92E4F" w14:paraId="5468F3A0" w14:textId="77777777" w:rsidTr="00730ECF">
        <w:trPr>
          <w:trHeight w:val="80"/>
          <w:jc w:val="center"/>
        </w:trPr>
        <w:tc>
          <w:tcPr>
            <w:tcW w:w="6030" w:type="dxa"/>
            <w:tcBorders>
              <w:top w:val="nil"/>
              <w:left w:val="nil"/>
              <w:bottom w:val="nil"/>
              <w:right w:val="nil"/>
            </w:tcBorders>
            <w:shd w:val="clear" w:color="000000" w:fill="FFFFFF"/>
            <w:noWrap/>
            <w:vAlign w:val="bottom"/>
            <w:hideMark/>
          </w:tcPr>
          <w:p w14:paraId="080DE1DF" w14:textId="77777777" w:rsidR="00FE041A" w:rsidRPr="00D92E4F" w:rsidRDefault="00FE041A" w:rsidP="00FE041A">
            <w:pPr>
              <w:ind w:firstLineChars="100" w:firstLine="220"/>
              <w:rPr>
                <w:rFonts w:ascii="Calibri" w:eastAsia="Times New Roman" w:hAnsi="Calibri" w:cs="Calibri"/>
                <w:color w:val="000000"/>
              </w:rPr>
            </w:pPr>
            <w:r w:rsidRPr="00D92E4F">
              <w:rPr>
                <w:rFonts w:ascii="Calibri" w:eastAsia="Times New Roman" w:hAnsi="Calibri" w:cs="Calibri"/>
                <w:color w:val="000000"/>
              </w:rPr>
              <w:t>DB Plan at fair value level</w:t>
            </w:r>
          </w:p>
        </w:tc>
        <w:tc>
          <w:tcPr>
            <w:tcW w:w="1327" w:type="dxa"/>
            <w:tcBorders>
              <w:top w:val="nil"/>
              <w:left w:val="nil"/>
              <w:bottom w:val="nil"/>
              <w:right w:val="nil"/>
            </w:tcBorders>
            <w:shd w:val="clear" w:color="000000" w:fill="FFFFFF"/>
            <w:noWrap/>
            <w:hideMark/>
          </w:tcPr>
          <w:p w14:paraId="179EE023" w14:textId="7EF1B11C" w:rsidR="00FE041A" w:rsidRPr="003C38E3" w:rsidRDefault="00FE041A" w:rsidP="00FE041A">
            <w:pPr>
              <w:jc w:val="right"/>
              <w:rPr>
                <w:rFonts w:ascii="Calibri" w:eastAsia="Times New Roman" w:hAnsi="Calibri" w:cs="Calibri"/>
                <w:color w:val="FF0000"/>
              </w:rPr>
            </w:pPr>
            <w:r w:rsidRPr="00B14167">
              <w:t xml:space="preserve"> $10,901 </w:t>
            </w:r>
          </w:p>
        </w:tc>
        <w:tc>
          <w:tcPr>
            <w:tcW w:w="1117" w:type="dxa"/>
            <w:tcBorders>
              <w:top w:val="nil"/>
              <w:left w:val="nil"/>
              <w:bottom w:val="double" w:sz="6" w:space="0" w:color="000000"/>
              <w:right w:val="nil"/>
            </w:tcBorders>
            <w:shd w:val="clear" w:color="000000" w:fill="FFFFFF"/>
            <w:noWrap/>
            <w:hideMark/>
          </w:tcPr>
          <w:p w14:paraId="45095410" w14:textId="192486DF" w:rsidR="00FE041A" w:rsidRPr="003C38E3" w:rsidRDefault="00FE041A" w:rsidP="00FE041A">
            <w:pPr>
              <w:jc w:val="right"/>
              <w:rPr>
                <w:rFonts w:ascii="Calibri" w:eastAsia="Times New Roman" w:hAnsi="Calibri" w:cs="Calibri"/>
                <w:color w:val="FF0000"/>
              </w:rPr>
            </w:pPr>
            <w:r w:rsidRPr="00BF73EE">
              <w:t xml:space="preserve"> $10,387 </w:t>
            </w:r>
          </w:p>
        </w:tc>
        <w:tc>
          <w:tcPr>
            <w:tcW w:w="1094" w:type="dxa"/>
            <w:tcBorders>
              <w:top w:val="nil"/>
              <w:left w:val="nil"/>
              <w:bottom w:val="double" w:sz="6" w:space="0" w:color="000000"/>
              <w:right w:val="nil"/>
            </w:tcBorders>
            <w:shd w:val="clear" w:color="000000" w:fill="FFFFFF"/>
            <w:noWrap/>
            <w:hideMark/>
          </w:tcPr>
          <w:p w14:paraId="11EAD03E" w14:textId="2956CAB1" w:rsidR="00FE041A" w:rsidRPr="003C38E3" w:rsidRDefault="00FE041A" w:rsidP="00FE041A">
            <w:pPr>
              <w:jc w:val="right"/>
              <w:rPr>
                <w:rFonts w:ascii="Calibri" w:eastAsia="Times New Roman" w:hAnsi="Calibri" w:cs="Calibri"/>
                <w:color w:val="FF0000"/>
              </w:rPr>
            </w:pPr>
            <w:r w:rsidRPr="00BF2FB0">
              <w:t xml:space="preserve"> $</w:t>
            </w:r>
            <w:r>
              <w:t xml:space="preserve">           </w:t>
            </w:r>
            <w:r w:rsidRPr="00BF2FB0">
              <w:t xml:space="preserve">- </w:t>
            </w:r>
          </w:p>
        </w:tc>
        <w:tc>
          <w:tcPr>
            <w:tcW w:w="1094" w:type="dxa"/>
            <w:tcBorders>
              <w:top w:val="nil"/>
              <w:left w:val="nil"/>
              <w:bottom w:val="double" w:sz="6" w:space="0" w:color="000000"/>
              <w:right w:val="nil"/>
            </w:tcBorders>
            <w:shd w:val="clear" w:color="000000" w:fill="FFFFFF"/>
            <w:noWrap/>
            <w:hideMark/>
          </w:tcPr>
          <w:p w14:paraId="7843999C" w14:textId="3A9197E7" w:rsidR="00FE041A" w:rsidRPr="003C38E3" w:rsidRDefault="00FE041A" w:rsidP="00FE041A">
            <w:pPr>
              <w:jc w:val="right"/>
              <w:rPr>
                <w:rFonts w:ascii="Calibri" w:eastAsia="Times New Roman" w:hAnsi="Calibri" w:cs="Calibri"/>
                <w:color w:val="FF0000"/>
              </w:rPr>
            </w:pPr>
            <w:r w:rsidRPr="000677F8">
              <w:t xml:space="preserve"> $514 </w:t>
            </w:r>
          </w:p>
        </w:tc>
      </w:tr>
      <w:tr w:rsidR="00FE041A" w:rsidRPr="00D92E4F" w14:paraId="39773349" w14:textId="77777777" w:rsidTr="00730ECF">
        <w:trPr>
          <w:trHeight w:val="35"/>
          <w:jc w:val="center"/>
        </w:trPr>
        <w:tc>
          <w:tcPr>
            <w:tcW w:w="6030" w:type="dxa"/>
            <w:tcBorders>
              <w:top w:val="nil"/>
              <w:left w:val="nil"/>
              <w:bottom w:val="nil"/>
              <w:right w:val="nil"/>
            </w:tcBorders>
            <w:shd w:val="clear" w:color="000000" w:fill="FFFFFF"/>
            <w:noWrap/>
            <w:vAlign w:val="bottom"/>
            <w:hideMark/>
          </w:tcPr>
          <w:p w14:paraId="59572800" w14:textId="77777777" w:rsidR="00FE041A" w:rsidRPr="00D92E4F" w:rsidRDefault="00FE041A" w:rsidP="00FE041A">
            <w:pPr>
              <w:ind w:firstLineChars="100" w:firstLine="220"/>
              <w:rPr>
                <w:rFonts w:ascii="Calibri" w:eastAsia="Times New Roman" w:hAnsi="Calibri" w:cs="Calibri"/>
                <w:color w:val="000000"/>
              </w:rPr>
            </w:pPr>
            <w:r w:rsidRPr="00D92E4F">
              <w:rPr>
                <w:rFonts w:ascii="Calibri" w:eastAsia="Times New Roman" w:hAnsi="Calibri" w:cs="Calibri"/>
                <w:color w:val="000000"/>
              </w:rPr>
              <w:t>DB Plan at NAV</w:t>
            </w:r>
          </w:p>
        </w:tc>
        <w:tc>
          <w:tcPr>
            <w:tcW w:w="1327" w:type="dxa"/>
            <w:tcBorders>
              <w:top w:val="nil"/>
              <w:left w:val="nil"/>
              <w:bottom w:val="single" w:sz="4" w:space="0" w:color="000000"/>
              <w:right w:val="nil"/>
            </w:tcBorders>
            <w:shd w:val="clear" w:color="000000" w:fill="FFFFFF"/>
            <w:noWrap/>
            <w:hideMark/>
          </w:tcPr>
          <w:p w14:paraId="7FA670E5" w14:textId="01AAAC31" w:rsidR="00FE041A" w:rsidRPr="003C38E3" w:rsidRDefault="00FE041A" w:rsidP="00FE041A">
            <w:pPr>
              <w:jc w:val="right"/>
              <w:rPr>
                <w:rFonts w:ascii="Calibri" w:eastAsia="Times New Roman" w:hAnsi="Calibri" w:cs="Calibri"/>
                <w:color w:val="FF0000"/>
              </w:rPr>
            </w:pPr>
            <w:r w:rsidRPr="00B14167">
              <w:t xml:space="preserve"> 5,329 </w:t>
            </w:r>
          </w:p>
        </w:tc>
        <w:tc>
          <w:tcPr>
            <w:tcW w:w="1117" w:type="dxa"/>
            <w:tcBorders>
              <w:top w:val="nil"/>
              <w:left w:val="nil"/>
              <w:bottom w:val="nil"/>
              <w:right w:val="nil"/>
            </w:tcBorders>
            <w:shd w:val="clear" w:color="000000" w:fill="FFFFFF"/>
            <w:noWrap/>
            <w:hideMark/>
          </w:tcPr>
          <w:p w14:paraId="2F460CC9" w14:textId="77777777" w:rsidR="00FE041A" w:rsidRPr="0089439C" w:rsidRDefault="00FE041A" w:rsidP="00FE041A">
            <w:pPr>
              <w:jc w:val="right"/>
            </w:pPr>
          </w:p>
        </w:tc>
        <w:tc>
          <w:tcPr>
            <w:tcW w:w="1094" w:type="dxa"/>
            <w:tcBorders>
              <w:top w:val="nil"/>
              <w:left w:val="nil"/>
              <w:bottom w:val="nil"/>
              <w:right w:val="nil"/>
            </w:tcBorders>
            <w:shd w:val="clear" w:color="000000" w:fill="FFFFFF"/>
            <w:noWrap/>
            <w:hideMark/>
          </w:tcPr>
          <w:p w14:paraId="2D653DC8" w14:textId="77777777" w:rsidR="00FE041A" w:rsidRPr="003C38E3" w:rsidRDefault="00FE041A" w:rsidP="00FE041A">
            <w:pPr>
              <w:jc w:val="right"/>
              <w:rPr>
                <w:rFonts w:ascii="Calibri" w:eastAsia="Times New Roman" w:hAnsi="Calibri" w:cs="Calibri"/>
                <w:color w:val="FF0000"/>
              </w:rPr>
            </w:pPr>
          </w:p>
        </w:tc>
        <w:tc>
          <w:tcPr>
            <w:tcW w:w="1094" w:type="dxa"/>
            <w:tcBorders>
              <w:top w:val="nil"/>
              <w:left w:val="nil"/>
              <w:bottom w:val="nil"/>
              <w:right w:val="nil"/>
            </w:tcBorders>
            <w:shd w:val="clear" w:color="000000" w:fill="FFFFFF"/>
            <w:noWrap/>
            <w:hideMark/>
          </w:tcPr>
          <w:p w14:paraId="1FFFF56E" w14:textId="77777777" w:rsidR="00FE041A" w:rsidRPr="003C38E3" w:rsidRDefault="00FE041A" w:rsidP="00FE041A">
            <w:pPr>
              <w:jc w:val="right"/>
              <w:rPr>
                <w:rFonts w:ascii="Calibri" w:eastAsia="Times New Roman" w:hAnsi="Calibri" w:cs="Calibri"/>
                <w:color w:val="FF0000"/>
              </w:rPr>
            </w:pPr>
          </w:p>
        </w:tc>
      </w:tr>
      <w:tr w:rsidR="00FE041A" w:rsidRPr="00D92E4F" w14:paraId="4F16490D" w14:textId="77777777" w:rsidTr="00730ECF">
        <w:trPr>
          <w:trHeight w:val="70"/>
          <w:jc w:val="center"/>
        </w:trPr>
        <w:tc>
          <w:tcPr>
            <w:tcW w:w="6030" w:type="dxa"/>
            <w:tcBorders>
              <w:top w:val="nil"/>
              <w:left w:val="nil"/>
              <w:bottom w:val="double" w:sz="6" w:space="0" w:color="000000"/>
              <w:right w:val="nil"/>
            </w:tcBorders>
            <w:shd w:val="clear" w:color="000000" w:fill="F2F2F2"/>
            <w:noWrap/>
            <w:vAlign w:val="bottom"/>
            <w:hideMark/>
          </w:tcPr>
          <w:p w14:paraId="2CF74572" w14:textId="77777777" w:rsidR="00FE041A" w:rsidRPr="00D92E4F" w:rsidRDefault="00FE041A" w:rsidP="00FE041A">
            <w:pPr>
              <w:ind w:firstLineChars="100" w:firstLine="221"/>
              <w:rPr>
                <w:rFonts w:ascii="Calibri" w:eastAsia="Times New Roman" w:hAnsi="Calibri" w:cs="Calibri"/>
                <w:b/>
                <w:bCs/>
                <w:color w:val="000000"/>
              </w:rPr>
            </w:pPr>
            <w:r w:rsidRPr="00D92E4F">
              <w:rPr>
                <w:rFonts w:ascii="Calibri" w:eastAsia="Times New Roman" w:hAnsi="Calibri" w:cs="Calibri"/>
                <w:b/>
                <w:bCs/>
                <w:color w:val="000000"/>
              </w:rPr>
              <w:t>Total DB Plan Investments</w:t>
            </w:r>
          </w:p>
        </w:tc>
        <w:tc>
          <w:tcPr>
            <w:tcW w:w="1327" w:type="dxa"/>
            <w:tcBorders>
              <w:top w:val="nil"/>
              <w:left w:val="nil"/>
              <w:bottom w:val="double" w:sz="6" w:space="0" w:color="000000"/>
              <w:right w:val="nil"/>
            </w:tcBorders>
            <w:shd w:val="clear" w:color="000000" w:fill="F2F2F2"/>
            <w:noWrap/>
            <w:hideMark/>
          </w:tcPr>
          <w:p w14:paraId="252FFCA9" w14:textId="0B9C76A5" w:rsidR="00FE041A" w:rsidRPr="003C38E3" w:rsidRDefault="00FE041A" w:rsidP="00FE041A">
            <w:pPr>
              <w:jc w:val="right"/>
              <w:rPr>
                <w:rFonts w:ascii="Calibri" w:eastAsia="Times New Roman" w:hAnsi="Calibri" w:cs="Calibri"/>
                <w:b/>
                <w:bCs/>
                <w:color w:val="FF0000"/>
              </w:rPr>
            </w:pPr>
            <w:r w:rsidRPr="00B14167">
              <w:t xml:space="preserve"> $16,230 </w:t>
            </w:r>
          </w:p>
        </w:tc>
        <w:tc>
          <w:tcPr>
            <w:tcW w:w="1117" w:type="dxa"/>
            <w:tcBorders>
              <w:top w:val="nil"/>
              <w:left w:val="nil"/>
              <w:bottom w:val="nil"/>
              <w:right w:val="nil"/>
            </w:tcBorders>
            <w:shd w:val="clear" w:color="000000" w:fill="FFFFFF"/>
            <w:noWrap/>
            <w:hideMark/>
          </w:tcPr>
          <w:p w14:paraId="3CFC957E" w14:textId="77777777" w:rsidR="00FE041A" w:rsidRPr="003C38E3" w:rsidRDefault="00FE041A" w:rsidP="00FE041A">
            <w:pPr>
              <w:jc w:val="right"/>
              <w:rPr>
                <w:rFonts w:ascii="Calibri" w:eastAsia="Times New Roman" w:hAnsi="Calibri" w:cs="Calibri"/>
                <w:color w:val="FF0000"/>
              </w:rPr>
            </w:pPr>
          </w:p>
        </w:tc>
        <w:tc>
          <w:tcPr>
            <w:tcW w:w="1094" w:type="dxa"/>
            <w:tcBorders>
              <w:top w:val="nil"/>
              <w:left w:val="nil"/>
              <w:bottom w:val="nil"/>
              <w:right w:val="nil"/>
            </w:tcBorders>
            <w:shd w:val="clear" w:color="000000" w:fill="FFFFFF"/>
            <w:noWrap/>
            <w:hideMark/>
          </w:tcPr>
          <w:p w14:paraId="40FFE228" w14:textId="77777777" w:rsidR="00FE041A" w:rsidRPr="003C38E3" w:rsidRDefault="00FE041A" w:rsidP="00FE041A">
            <w:pPr>
              <w:jc w:val="right"/>
              <w:rPr>
                <w:rFonts w:ascii="Calibri" w:eastAsia="Times New Roman" w:hAnsi="Calibri" w:cs="Calibri"/>
                <w:color w:val="FF0000"/>
              </w:rPr>
            </w:pPr>
          </w:p>
        </w:tc>
        <w:tc>
          <w:tcPr>
            <w:tcW w:w="1094" w:type="dxa"/>
            <w:tcBorders>
              <w:top w:val="nil"/>
              <w:left w:val="nil"/>
              <w:bottom w:val="nil"/>
              <w:right w:val="nil"/>
            </w:tcBorders>
            <w:shd w:val="clear" w:color="000000" w:fill="FFFFFF"/>
            <w:noWrap/>
            <w:hideMark/>
          </w:tcPr>
          <w:p w14:paraId="3393FB23" w14:textId="77777777" w:rsidR="00FE041A" w:rsidRPr="003C38E3" w:rsidRDefault="00FE041A" w:rsidP="00FE041A">
            <w:pPr>
              <w:jc w:val="right"/>
              <w:rPr>
                <w:rFonts w:ascii="Calibri" w:eastAsia="Times New Roman" w:hAnsi="Calibri" w:cs="Calibri"/>
                <w:color w:val="FF0000"/>
              </w:rPr>
            </w:pPr>
          </w:p>
        </w:tc>
      </w:tr>
      <w:tr w:rsidR="00FE041A" w:rsidRPr="00D92E4F" w14:paraId="71886833" w14:textId="77777777" w:rsidTr="00730ECF">
        <w:trPr>
          <w:trHeight w:val="35"/>
          <w:jc w:val="center"/>
        </w:trPr>
        <w:tc>
          <w:tcPr>
            <w:tcW w:w="6030" w:type="dxa"/>
            <w:tcBorders>
              <w:top w:val="nil"/>
              <w:left w:val="nil"/>
              <w:bottom w:val="nil"/>
              <w:right w:val="nil"/>
            </w:tcBorders>
            <w:shd w:val="clear" w:color="000000" w:fill="FFFFFF"/>
            <w:noWrap/>
            <w:vAlign w:val="bottom"/>
            <w:hideMark/>
          </w:tcPr>
          <w:p w14:paraId="24FD61AC" w14:textId="77777777" w:rsidR="00FE041A" w:rsidRPr="00D92E4F" w:rsidRDefault="00FE041A" w:rsidP="00FE041A">
            <w:pPr>
              <w:ind w:firstLineChars="100" w:firstLine="220"/>
              <w:rPr>
                <w:rFonts w:ascii="Calibri" w:eastAsia="Times New Roman" w:hAnsi="Calibri" w:cs="Calibri"/>
                <w:color w:val="000000"/>
              </w:rPr>
            </w:pPr>
            <w:r w:rsidRPr="00D92E4F">
              <w:rPr>
                <w:rFonts w:ascii="Calibri" w:eastAsia="Times New Roman" w:hAnsi="Calibri" w:cs="Calibri"/>
                <w:color w:val="000000"/>
              </w:rPr>
              <w:t>MIP held on behalf of outside entities at fair level</w:t>
            </w:r>
          </w:p>
        </w:tc>
        <w:tc>
          <w:tcPr>
            <w:tcW w:w="1327" w:type="dxa"/>
            <w:tcBorders>
              <w:top w:val="nil"/>
              <w:left w:val="nil"/>
              <w:bottom w:val="nil"/>
              <w:right w:val="nil"/>
            </w:tcBorders>
            <w:shd w:val="clear" w:color="000000" w:fill="FFFFFF"/>
            <w:noWrap/>
            <w:hideMark/>
          </w:tcPr>
          <w:p w14:paraId="2798D72E" w14:textId="0C805D2E" w:rsidR="00FE041A" w:rsidRPr="003C38E3" w:rsidRDefault="00FE041A" w:rsidP="00FE041A">
            <w:pPr>
              <w:jc w:val="right"/>
              <w:rPr>
                <w:rFonts w:ascii="Calibri" w:eastAsia="Times New Roman" w:hAnsi="Calibri" w:cs="Calibri"/>
                <w:color w:val="FF0000"/>
              </w:rPr>
            </w:pPr>
            <w:r w:rsidRPr="00A36640">
              <w:t xml:space="preserve"> $135,677 </w:t>
            </w:r>
          </w:p>
        </w:tc>
        <w:tc>
          <w:tcPr>
            <w:tcW w:w="1117" w:type="dxa"/>
            <w:tcBorders>
              <w:top w:val="nil"/>
              <w:left w:val="nil"/>
              <w:bottom w:val="double" w:sz="6" w:space="0" w:color="000000"/>
              <w:right w:val="nil"/>
            </w:tcBorders>
            <w:shd w:val="clear" w:color="000000" w:fill="FFFFFF"/>
            <w:noWrap/>
            <w:hideMark/>
          </w:tcPr>
          <w:p w14:paraId="2D83D56E" w14:textId="338371E3" w:rsidR="00FE041A" w:rsidRPr="003C38E3" w:rsidRDefault="00FE041A" w:rsidP="00FE041A">
            <w:pPr>
              <w:jc w:val="right"/>
              <w:rPr>
                <w:rFonts w:ascii="Calibri" w:eastAsia="Times New Roman" w:hAnsi="Calibri" w:cs="Calibri"/>
                <w:color w:val="FF0000"/>
              </w:rPr>
            </w:pPr>
            <w:r w:rsidRPr="00BF73EE">
              <w:t xml:space="preserve"> $85,122 </w:t>
            </w:r>
          </w:p>
        </w:tc>
        <w:tc>
          <w:tcPr>
            <w:tcW w:w="1094" w:type="dxa"/>
            <w:tcBorders>
              <w:top w:val="nil"/>
              <w:left w:val="nil"/>
              <w:bottom w:val="double" w:sz="6" w:space="0" w:color="000000"/>
              <w:right w:val="nil"/>
            </w:tcBorders>
            <w:shd w:val="clear" w:color="000000" w:fill="FFFFFF"/>
            <w:noWrap/>
            <w:hideMark/>
          </w:tcPr>
          <w:p w14:paraId="359FAF02" w14:textId="54B4E749" w:rsidR="00FE041A" w:rsidRPr="003C38E3" w:rsidRDefault="00FE041A" w:rsidP="00FE041A">
            <w:pPr>
              <w:jc w:val="right"/>
              <w:rPr>
                <w:rFonts w:ascii="Calibri" w:eastAsia="Times New Roman" w:hAnsi="Calibri" w:cs="Calibri"/>
                <w:color w:val="FF0000"/>
              </w:rPr>
            </w:pPr>
            <w:r w:rsidRPr="00BF2FB0">
              <w:t xml:space="preserve"> $50,555 </w:t>
            </w:r>
          </w:p>
        </w:tc>
        <w:tc>
          <w:tcPr>
            <w:tcW w:w="1094" w:type="dxa"/>
            <w:tcBorders>
              <w:top w:val="nil"/>
              <w:left w:val="nil"/>
              <w:bottom w:val="double" w:sz="6" w:space="0" w:color="000000"/>
              <w:right w:val="nil"/>
            </w:tcBorders>
            <w:shd w:val="clear" w:color="000000" w:fill="FFFFFF"/>
            <w:noWrap/>
            <w:hideMark/>
          </w:tcPr>
          <w:p w14:paraId="4A09B598" w14:textId="41559635" w:rsidR="00FE041A" w:rsidRPr="003C38E3" w:rsidRDefault="00FE041A" w:rsidP="00FE041A">
            <w:pPr>
              <w:jc w:val="right"/>
              <w:rPr>
                <w:rFonts w:ascii="Calibri" w:eastAsia="Times New Roman" w:hAnsi="Calibri" w:cs="Calibri"/>
                <w:color w:val="FF0000"/>
              </w:rPr>
            </w:pPr>
            <w:r w:rsidRPr="00321411">
              <w:t xml:space="preserve"> $</w:t>
            </w:r>
            <w:r>
              <w:t xml:space="preserve">     </w:t>
            </w:r>
            <w:r w:rsidRPr="00321411">
              <w:t xml:space="preserve">- </w:t>
            </w:r>
          </w:p>
        </w:tc>
      </w:tr>
      <w:tr w:rsidR="00FE041A" w:rsidRPr="00D92E4F" w14:paraId="40CE2C29" w14:textId="77777777" w:rsidTr="00730ECF">
        <w:trPr>
          <w:trHeight w:val="35"/>
          <w:jc w:val="center"/>
        </w:trPr>
        <w:tc>
          <w:tcPr>
            <w:tcW w:w="6030" w:type="dxa"/>
            <w:tcBorders>
              <w:top w:val="nil"/>
              <w:left w:val="nil"/>
              <w:bottom w:val="nil"/>
              <w:right w:val="nil"/>
            </w:tcBorders>
            <w:shd w:val="clear" w:color="000000" w:fill="FFFFFF"/>
            <w:noWrap/>
            <w:vAlign w:val="bottom"/>
            <w:hideMark/>
          </w:tcPr>
          <w:p w14:paraId="19126085" w14:textId="77777777" w:rsidR="00FE041A" w:rsidRPr="00D92E4F" w:rsidRDefault="00FE041A" w:rsidP="00FE041A">
            <w:pPr>
              <w:ind w:firstLineChars="100" w:firstLine="220"/>
              <w:rPr>
                <w:rFonts w:ascii="Calibri" w:eastAsia="Times New Roman" w:hAnsi="Calibri" w:cs="Calibri"/>
                <w:color w:val="000000"/>
              </w:rPr>
            </w:pPr>
            <w:r w:rsidRPr="00D92E4F">
              <w:rPr>
                <w:rFonts w:ascii="Calibri" w:eastAsia="Times New Roman" w:hAnsi="Calibri" w:cs="Calibri"/>
                <w:color w:val="000000"/>
              </w:rPr>
              <w:t>MIP held on behalf of outside entities at NAV</w:t>
            </w:r>
          </w:p>
        </w:tc>
        <w:tc>
          <w:tcPr>
            <w:tcW w:w="1327" w:type="dxa"/>
            <w:tcBorders>
              <w:top w:val="nil"/>
              <w:left w:val="nil"/>
              <w:bottom w:val="single" w:sz="4" w:space="0" w:color="000000"/>
              <w:right w:val="nil"/>
            </w:tcBorders>
            <w:shd w:val="clear" w:color="000000" w:fill="FFFFFF"/>
            <w:noWrap/>
            <w:hideMark/>
          </w:tcPr>
          <w:p w14:paraId="710D88AF" w14:textId="3B19BBF4" w:rsidR="00FE041A" w:rsidRPr="003C38E3" w:rsidRDefault="00FE041A" w:rsidP="00FE041A">
            <w:pPr>
              <w:jc w:val="right"/>
              <w:rPr>
                <w:rFonts w:ascii="Calibri" w:eastAsia="Times New Roman" w:hAnsi="Calibri" w:cs="Calibri"/>
                <w:color w:val="FF0000"/>
              </w:rPr>
            </w:pPr>
            <w:r w:rsidRPr="00A36640">
              <w:t xml:space="preserve"> 85,429 </w:t>
            </w:r>
          </w:p>
        </w:tc>
        <w:tc>
          <w:tcPr>
            <w:tcW w:w="1117" w:type="dxa"/>
            <w:tcBorders>
              <w:top w:val="nil"/>
              <w:left w:val="nil"/>
              <w:bottom w:val="nil"/>
              <w:right w:val="nil"/>
            </w:tcBorders>
            <w:shd w:val="clear" w:color="000000" w:fill="FFFFFF"/>
            <w:noWrap/>
            <w:hideMark/>
          </w:tcPr>
          <w:p w14:paraId="2F418E85" w14:textId="77777777" w:rsidR="00FE041A" w:rsidRPr="003C38E3" w:rsidRDefault="00FE041A" w:rsidP="00FE041A">
            <w:pPr>
              <w:jc w:val="right"/>
              <w:rPr>
                <w:rFonts w:ascii="Calibri" w:eastAsia="Times New Roman" w:hAnsi="Calibri" w:cs="Calibri"/>
                <w:color w:val="FF0000"/>
              </w:rPr>
            </w:pPr>
          </w:p>
        </w:tc>
        <w:tc>
          <w:tcPr>
            <w:tcW w:w="1094" w:type="dxa"/>
            <w:tcBorders>
              <w:top w:val="nil"/>
              <w:left w:val="nil"/>
              <w:bottom w:val="nil"/>
              <w:right w:val="nil"/>
            </w:tcBorders>
            <w:shd w:val="clear" w:color="000000" w:fill="FFFFFF"/>
            <w:noWrap/>
            <w:hideMark/>
          </w:tcPr>
          <w:p w14:paraId="0105625B" w14:textId="77777777" w:rsidR="00FE041A" w:rsidRPr="003C38E3" w:rsidRDefault="00FE041A" w:rsidP="00FE041A">
            <w:pPr>
              <w:jc w:val="right"/>
              <w:rPr>
                <w:rFonts w:ascii="Calibri" w:eastAsia="Times New Roman" w:hAnsi="Calibri" w:cs="Calibri"/>
                <w:color w:val="FF0000"/>
              </w:rPr>
            </w:pPr>
          </w:p>
        </w:tc>
        <w:tc>
          <w:tcPr>
            <w:tcW w:w="1094" w:type="dxa"/>
            <w:tcBorders>
              <w:top w:val="nil"/>
              <w:left w:val="nil"/>
              <w:bottom w:val="nil"/>
              <w:right w:val="nil"/>
            </w:tcBorders>
            <w:shd w:val="clear" w:color="000000" w:fill="FFFFFF"/>
            <w:noWrap/>
            <w:hideMark/>
          </w:tcPr>
          <w:p w14:paraId="469AEEF6" w14:textId="77777777" w:rsidR="00FE041A" w:rsidRPr="003C38E3" w:rsidRDefault="00FE041A" w:rsidP="00FE041A">
            <w:pPr>
              <w:jc w:val="right"/>
              <w:rPr>
                <w:rFonts w:ascii="Calibri" w:eastAsia="Times New Roman" w:hAnsi="Calibri" w:cs="Calibri"/>
                <w:color w:val="FF0000"/>
              </w:rPr>
            </w:pPr>
          </w:p>
        </w:tc>
      </w:tr>
      <w:tr w:rsidR="00FE041A" w:rsidRPr="00D92E4F" w14:paraId="4734FCF2" w14:textId="77777777" w:rsidTr="00730ECF">
        <w:trPr>
          <w:trHeight w:val="70"/>
          <w:jc w:val="center"/>
        </w:trPr>
        <w:tc>
          <w:tcPr>
            <w:tcW w:w="6030" w:type="dxa"/>
            <w:tcBorders>
              <w:top w:val="nil"/>
              <w:left w:val="nil"/>
              <w:bottom w:val="double" w:sz="6" w:space="0" w:color="000000"/>
              <w:right w:val="nil"/>
            </w:tcBorders>
            <w:shd w:val="clear" w:color="000000" w:fill="F2F2F2"/>
            <w:noWrap/>
            <w:vAlign w:val="bottom"/>
            <w:hideMark/>
          </w:tcPr>
          <w:p w14:paraId="4080E933" w14:textId="77777777" w:rsidR="00FE041A" w:rsidRPr="00D92E4F" w:rsidRDefault="00FE041A" w:rsidP="00FE041A">
            <w:pPr>
              <w:ind w:firstLineChars="100" w:firstLine="221"/>
              <w:rPr>
                <w:rFonts w:ascii="Calibri" w:eastAsia="Times New Roman" w:hAnsi="Calibri" w:cs="Calibri"/>
                <w:b/>
                <w:bCs/>
                <w:color w:val="000000"/>
              </w:rPr>
            </w:pPr>
            <w:r w:rsidRPr="00D92E4F">
              <w:rPr>
                <w:rFonts w:ascii="Calibri" w:eastAsia="Times New Roman" w:hAnsi="Calibri" w:cs="Calibri"/>
                <w:b/>
                <w:bCs/>
                <w:color w:val="000000"/>
              </w:rPr>
              <w:t>Total MIP held on behalf of outside entities</w:t>
            </w:r>
          </w:p>
        </w:tc>
        <w:tc>
          <w:tcPr>
            <w:tcW w:w="1327" w:type="dxa"/>
            <w:tcBorders>
              <w:top w:val="nil"/>
              <w:left w:val="nil"/>
              <w:bottom w:val="double" w:sz="6" w:space="0" w:color="000000"/>
              <w:right w:val="nil"/>
            </w:tcBorders>
            <w:shd w:val="clear" w:color="000000" w:fill="F2F2F2"/>
            <w:noWrap/>
            <w:hideMark/>
          </w:tcPr>
          <w:p w14:paraId="2C7F2E3C" w14:textId="654C50B6" w:rsidR="00FE041A" w:rsidRPr="003C38E3" w:rsidRDefault="00FE041A" w:rsidP="00FE041A">
            <w:pPr>
              <w:jc w:val="right"/>
              <w:rPr>
                <w:rFonts w:ascii="Calibri" w:eastAsia="Times New Roman" w:hAnsi="Calibri" w:cs="Calibri"/>
                <w:b/>
                <w:bCs/>
                <w:color w:val="FF0000"/>
              </w:rPr>
            </w:pPr>
            <w:r w:rsidRPr="00A36640">
              <w:t xml:space="preserve"> $221,106 </w:t>
            </w:r>
          </w:p>
        </w:tc>
        <w:tc>
          <w:tcPr>
            <w:tcW w:w="1117" w:type="dxa"/>
            <w:tcBorders>
              <w:top w:val="nil"/>
              <w:left w:val="nil"/>
              <w:bottom w:val="nil"/>
              <w:right w:val="nil"/>
            </w:tcBorders>
            <w:shd w:val="clear" w:color="000000" w:fill="FFFFFF"/>
            <w:noWrap/>
            <w:hideMark/>
          </w:tcPr>
          <w:p w14:paraId="261D6C12" w14:textId="77777777" w:rsidR="00FE041A" w:rsidRPr="003C38E3" w:rsidRDefault="00FE041A" w:rsidP="00FE041A">
            <w:pPr>
              <w:jc w:val="right"/>
              <w:rPr>
                <w:rFonts w:ascii="Calibri" w:eastAsia="Times New Roman" w:hAnsi="Calibri" w:cs="Calibri"/>
                <w:color w:val="FF0000"/>
              </w:rPr>
            </w:pPr>
          </w:p>
        </w:tc>
        <w:tc>
          <w:tcPr>
            <w:tcW w:w="1094" w:type="dxa"/>
            <w:tcBorders>
              <w:top w:val="nil"/>
              <w:left w:val="nil"/>
              <w:bottom w:val="nil"/>
              <w:right w:val="nil"/>
            </w:tcBorders>
            <w:shd w:val="clear" w:color="000000" w:fill="FFFFFF"/>
            <w:noWrap/>
            <w:hideMark/>
          </w:tcPr>
          <w:p w14:paraId="51C7B1D3" w14:textId="77777777" w:rsidR="00FE041A" w:rsidRPr="003C38E3" w:rsidRDefault="00FE041A" w:rsidP="00FE041A">
            <w:pPr>
              <w:jc w:val="right"/>
              <w:rPr>
                <w:rFonts w:ascii="Calibri" w:eastAsia="Times New Roman" w:hAnsi="Calibri" w:cs="Calibri"/>
                <w:color w:val="FF0000"/>
              </w:rPr>
            </w:pPr>
          </w:p>
        </w:tc>
        <w:tc>
          <w:tcPr>
            <w:tcW w:w="1094" w:type="dxa"/>
            <w:tcBorders>
              <w:top w:val="nil"/>
              <w:left w:val="nil"/>
              <w:bottom w:val="nil"/>
              <w:right w:val="nil"/>
            </w:tcBorders>
            <w:shd w:val="clear" w:color="000000" w:fill="FFFFFF"/>
            <w:noWrap/>
            <w:hideMark/>
          </w:tcPr>
          <w:p w14:paraId="74FDC9D6" w14:textId="77777777" w:rsidR="00FE041A" w:rsidRPr="003C38E3" w:rsidRDefault="00FE041A" w:rsidP="00FE041A">
            <w:pPr>
              <w:jc w:val="right"/>
              <w:rPr>
                <w:rFonts w:ascii="Calibri" w:eastAsia="Times New Roman" w:hAnsi="Calibri" w:cs="Calibri"/>
                <w:color w:val="FF0000"/>
              </w:rPr>
            </w:pPr>
          </w:p>
        </w:tc>
      </w:tr>
      <w:tr w:rsidR="00FE041A" w:rsidRPr="00D92E4F" w14:paraId="31407048" w14:textId="77777777" w:rsidTr="00730ECF">
        <w:trPr>
          <w:trHeight w:val="198"/>
          <w:jc w:val="center"/>
        </w:trPr>
        <w:tc>
          <w:tcPr>
            <w:tcW w:w="6030" w:type="dxa"/>
            <w:tcBorders>
              <w:top w:val="nil"/>
              <w:left w:val="nil"/>
              <w:bottom w:val="nil"/>
              <w:right w:val="nil"/>
            </w:tcBorders>
            <w:shd w:val="clear" w:color="000000" w:fill="FFFFFF"/>
            <w:noWrap/>
            <w:vAlign w:val="bottom"/>
            <w:hideMark/>
          </w:tcPr>
          <w:p w14:paraId="56D8A076" w14:textId="77777777" w:rsidR="00FE041A" w:rsidRPr="00D92E4F" w:rsidRDefault="00FE041A" w:rsidP="00FE041A">
            <w:pPr>
              <w:ind w:firstLineChars="100" w:firstLine="220"/>
              <w:rPr>
                <w:rFonts w:ascii="Calibri" w:eastAsia="Times New Roman" w:hAnsi="Calibri" w:cs="Calibri"/>
                <w:color w:val="000000"/>
              </w:rPr>
            </w:pPr>
            <w:r w:rsidRPr="00D92E4F">
              <w:rPr>
                <w:rFonts w:ascii="Calibri" w:eastAsia="Times New Roman" w:hAnsi="Calibri" w:cs="Calibri"/>
                <w:color w:val="000000"/>
              </w:rPr>
              <w:t>Fiduciary Funds held in Endowment Pool at fair value level</w:t>
            </w:r>
          </w:p>
        </w:tc>
        <w:tc>
          <w:tcPr>
            <w:tcW w:w="1327" w:type="dxa"/>
            <w:tcBorders>
              <w:top w:val="nil"/>
              <w:left w:val="nil"/>
              <w:bottom w:val="nil"/>
              <w:right w:val="nil"/>
            </w:tcBorders>
            <w:shd w:val="clear" w:color="000000" w:fill="FFFFFF"/>
            <w:noWrap/>
            <w:hideMark/>
          </w:tcPr>
          <w:p w14:paraId="4F90B2D2" w14:textId="3BC1447D" w:rsidR="00FE041A" w:rsidRPr="003C38E3" w:rsidRDefault="00FE041A" w:rsidP="00FE041A">
            <w:pPr>
              <w:jc w:val="right"/>
              <w:rPr>
                <w:rFonts w:ascii="Calibri" w:eastAsia="Times New Roman" w:hAnsi="Calibri" w:cs="Calibri"/>
                <w:color w:val="FF0000"/>
              </w:rPr>
            </w:pPr>
            <w:r w:rsidRPr="00A81F1C">
              <w:t xml:space="preserve"> $2,661 </w:t>
            </w:r>
          </w:p>
        </w:tc>
        <w:tc>
          <w:tcPr>
            <w:tcW w:w="1117" w:type="dxa"/>
            <w:tcBorders>
              <w:top w:val="nil"/>
              <w:left w:val="nil"/>
              <w:bottom w:val="double" w:sz="6" w:space="0" w:color="000000"/>
              <w:right w:val="nil"/>
            </w:tcBorders>
            <w:shd w:val="clear" w:color="000000" w:fill="FFFFFF"/>
            <w:noWrap/>
            <w:hideMark/>
          </w:tcPr>
          <w:p w14:paraId="7D2907F7" w14:textId="006D383F" w:rsidR="00FE041A" w:rsidRPr="003C38E3" w:rsidRDefault="00FE041A" w:rsidP="00FE041A">
            <w:pPr>
              <w:jc w:val="right"/>
              <w:rPr>
                <w:rFonts w:ascii="Calibri" w:eastAsia="Times New Roman" w:hAnsi="Calibri" w:cs="Calibri"/>
                <w:color w:val="FF0000"/>
              </w:rPr>
            </w:pPr>
            <w:r w:rsidRPr="00BF73EE">
              <w:t xml:space="preserve"> $</w:t>
            </w:r>
            <w:r>
              <w:t xml:space="preserve">  </w:t>
            </w:r>
            <w:r w:rsidRPr="00BF73EE">
              <w:t xml:space="preserve">1,670 </w:t>
            </w:r>
          </w:p>
        </w:tc>
        <w:tc>
          <w:tcPr>
            <w:tcW w:w="1094" w:type="dxa"/>
            <w:tcBorders>
              <w:top w:val="nil"/>
              <w:left w:val="nil"/>
              <w:bottom w:val="double" w:sz="6" w:space="0" w:color="000000"/>
              <w:right w:val="nil"/>
            </w:tcBorders>
            <w:shd w:val="clear" w:color="000000" w:fill="FFFFFF"/>
            <w:noWrap/>
            <w:hideMark/>
          </w:tcPr>
          <w:p w14:paraId="2A237B3A" w14:textId="79136B47" w:rsidR="00FE041A" w:rsidRPr="003C38E3" w:rsidRDefault="00FE041A" w:rsidP="00FE041A">
            <w:pPr>
              <w:jc w:val="right"/>
              <w:rPr>
                <w:rFonts w:ascii="Calibri" w:eastAsia="Times New Roman" w:hAnsi="Calibri" w:cs="Calibri"/>
                <w:color w:val="FF0000"/>
              </w:rPr>
            </w:pPr>
            <w:r w:rsidRPr="00BF2FB0">
              <w:t xml:space="preserve"> $</w:t>
            </w:r>
            <w:r>
              <w:t xml:space="preserve">      </w:t>
            </w:r>
            <w:r w:rsidRPr="00BF2FB0">
              <w:t xml:space="preserve">991 </w:t>
            </w:r>
          </w:p>
        </w:tc>
        <w:tc>
          <w:tcPr>
            <w:tcW w:w="1094" w:type="dxa"/>
            <w:tcBorders>
              <w:top w:val="nil"/>
              <w:left w:val="nil"/>
              <w:bottom w:val="double" w:sz="6" w:space="0" w:color="000000"/>
              <w:right w:val="nil"/>
            </w:tcBorders>
            <w:shd w:val="clear" w:color="000000" w:fill="FFFFFF"/>
            <w:noWrap/>
            <w:hideMark/>
          </w:tcPr>
          <w:p w14:paraId="2E3B3A83" w14:textId="61A33975" w:rsidR="00FE041A" w:rsidRPr="003C38E3" w:rsidRDefault="00FE041A" w:rsidP="00FE041A">
            <w:pPr>
              <w:jc w:val="right"/>
              <w:rPr>
                <w:rFonts w:ascii="Calibri" w:eastAsia="Times New Roman" w:hAnsi="Calibri" w:cs="Calibri"/>
                <w:color w:val="FF0000"/>
              </w:rPr>
            </w:pPr>
            <w:r w:rsidRPr="00321411">
              <w:t xml:space="preserve"> $</w:t>
            </w:r>
            <w:r>
              <w:t xml:space="preserve">     </w:t>
            </w:r>
            <w:r w:rsidRPr="00321411">
              <w:t xml:space="preserve">- </w:t>
            </w:r>
          </w:p>
        </w:tc>
      </w:tr>
      <w:tr w:rsidR="00FE041A" w:rsidRPr="00D92E4F" w14:paraId="09ADFBB9" w14:textId="77777777" w:rsidTr="00730ECF">
        <w:trPr>
          <w:trHeight w:val="63"/>
          <w:jc w:val="center"/>
        </w:trPr>
        <w:tc>
          <w:tcPr>
            <w:tcW w:w="6030" w:type="dxa"/>
            <w:tcBorders>
              <w:top w:val="nil"/>
              <w:left w:val="nil"/>
              <w:bottom w:val="nil"/>
              <w:right w:val="nil"/>
            </w:tcBorders>
            <w:shd w:val="clear" w:color="000000" w:fill="FFFFFF"/>
            <w:noWrap/>
            <w:vAlign w:val="bottom"/>
            <w:hideMark/>
          </w:tcPr>
          <w:p w14:paraId="102058F2" w14:textId="77777777" w:rsidR="00FE041A" w:rsidRPr="00D92E4F" w:rsidRDefault="00FE041A" w:rsidP="00FE041A">
            <w:pPr>
              <w:ind w:firstLineChars="100" w:firstLine="220"/>
              <w:rPr>
                <w:rFonts w:ascii="Calibri" w:eastAsia="Times New Roman" w:hAnsi="Calibri" w:cs="Calibri"/>
                <w:color w:val="000000"/>
              </w:rPr>
            </w:pPr>
            <w:r w:rsidRPr="00D92E4F">
              <w:rPr>
                <w:rFonts w:ascii="Calibri" w:eastAsia="Times New Roman" w:hAnsi="Calibri" w:cs="Calibri"/>
                <w:color w:val="000000"/>
              </w:rPr>
              <w:t>Fiduciary Funds held in Endowment Pool at NAV</w:t>
            </w:r>
          </w:p>
        </w:tc>
        <w:tc>
          <w:tcPr>
            <w:tcW w:w="1327" w:type="dxa"/>
            <w:tcBorders>
              <w:top w:val="nil"/>
              <w:left w:val="nil"/>
              <w:bottom w:val="single" w:sz="4" w:space="0" w:color="000000"/>
              <w:right w:val="nil"/>
            </w:tcBorders>
            <w:shd w:val="clear" w:color="000000" w:fill="FFFFFF"/>
            <w:noWrap/>
            <w:hideMark/>
          </w:tcPr>
          <w:p w14:paraId="4400E6C6" w14:textId="79076AF1" w:rsidR="00FE041A" w:rsidRPr="003C38E3" w:rsidRDefault="00FE041A" w:rsidP="00FE041A">
            <w:pPr>
              <w:jc w:val="right"/>
              <w:rPr>
                <w:rFonts w:ascii="Calibri" w:eastAsia="Times New Roman" w:hAnsi="Calibri" w:cs="Calibri"/>
                <w:color w:val="FF0000"/>
              </w:rPr>
            </w:pPr>
            <w:r w:rsidRPr="00A81F1C">
              <w:t xml:space="preserve"> 1,675 </w:t>
            </w:r>
          </w:p>
        </w:tc>
        <w:tc>
          <w:tcPr>
            <w:tcW w:w="1117" w:type="dxa"/>
            <w:tcBorders>
              <w:top w:val="nil"/>
              <w:left w:val="nil"/>
              <w:bottom w:val="nil"/>
              <w:right w:val="nil"/>
            </w:tcBorders>
            <w:shd w:val="clear" w:color="000000" w:fill="FFFFFF"/>
            <w:noWrap/>
            <w:hideMark/>
          </w:tcPr>
          <w:p w14:paraId="71A20FDF" w14:textId="77777777" w:rsidR="00FE041A" w:rsidRPr="003C38E3" w:rsidRDefault="00FE041A" w:rsidP="00FE041A">
            <w:pPr>
              <w:jc w:val="right"/>
              <w:rPr>
                <w:rFonts w:ascii="Calibri" w:eastAsia="Times New Roman" w:hAnsi="Calibri" w:cs="Calibri"/>
                <w:color w:val="FF0000"/>
              </w:rPr>
            </w:pPr>
          </w:p>
        </w:tc>
        <w:tc>
          <w:tcPr>
            <w:tcW w:w="1094" w:type="dxa"/>
            <w:tcBorders>
              <w:top w:val="nil"/>
              <w:left w:val="nil"/>
              <w:bottom w:val="nil"/>
              <w:right w:val="nil"/>
            </w:tcBorders>
            <w:shd w:val="clear" w:color="000000" w:fill="FFFFFF"/>
            <w:noWrap/>
            <w:hideMark/>
          </w:tcPr>
          <w:p w14:paraId="7147C4F6" w14:textId="77777777" w:rsidR="00FE041A" w:rsidRPr="003C38E3" w:rsidRDefault="00FE041A" w:rsidP="00FE041A">
            <w:pPr>
              <w:jc w:val="right"/>
              <w:rPr>
                <w:rFonts w:ascii="Calibri" w:eastAsia="Times New Roman" w:hAnsi="Calibri" w:cs="Calibri"/>
                <w:color w:val="FF0000"/>
              </w:rPr>
            </w:pPr>
          </w:p>
        </w:tc>
        <w:tc>
          <w:tcPr>
            <w:tcW w:w="1094" w:type="dxa"/>
            <w:tcBorders>
              <w:top w:val="nil"/>
              <w:left w:val="nil"/>
              <w:bottom w:val="nil"/>
              <w:right w:val="nil"/>
            </w:tcBorders>
            <w:shd w:val="clear" w:color="000000" w:fill="FFFFFF"/>
            <w:noWrap/>
            <w:hideMark/>
          </w:tcPr>
          <w:p w14:paraId="695C0162" w14:textId="77777777" w:rsidR="00FE041A" w:rsidRPr="003C38E3" w:rsidRDefault="00FE041A" w:rsidP="00FE041A">
            <w:pPr>
              <w:jc w:val="right"/>
              <w:rPr>
                <w:rFonts w:ascii="Calibri" w:eastAsia="Times New Roman" w:hAnsi="Calibri" w:cs="Calibri"/>
                <w:color w:val="FF0000"/>
              </w:rPr>
            </w:pPr>
          </w:p>
        </w:tc>
      </w:tr>
      <w:tr w:rsidR="00FE041A" w:rsidRPr="00D92E4F" w14:paraId="3C10D56D" w14:textId="77777777" w:rsidTr="00730ECF">
        <w:trPr>
          <w:trHeight w:val="70"/>
          <w:jc w:val="center"/>
        </w:trPr>
        <w:tc>
          <w:tcPr>
            <w:tcW w:w="6030" w:type="dxa"/>
            <w:tcBorders>
              <w:top w:val="nil"/>
              <w:left w:val="nil"/>
              <w:bottom w:val="double" w:sz="6" w:space="0" w:color="000000"/>
              <w:right w:val="nil"/>
            </w:tcBorders>
            <w:shd w:val="clear" w:color="000000" w:fill="F2F2F2"/>
            <w:noWrap/>
            <w:vAlign w:val="bottom"/>
            <w:hideMark/>
          </w:tcPr>
          <w:p w14:paraId="729EA9FE" w14:textId="77777777" w:rsidR="00FE041A" w:rsidRPr="00D92E4F" w:rsidRDefault="00FE041A" w:rsidP="00FE041A">
            <w:pPr>
              <w:ind w:firstLineChars="100" w:firstLine="221"/>
              <w:rPr>
                <w:rFonts w:ascii="Calibri" w:eastAsia="Times New Roman" w:hAnsi="Calibri" w:cs="Calibri"/>
                <w:b/>
                <w:bCs/>
                <w:color w:val="000000"/>
              </w:rPr>
            </w:pPr>
            <w:r w:rsidRPr="00D92E4F">
              <w:rPr>
                <w:rFonts w:ascii="Calibri" w:eastAsia="Times New Roman" w:hAnsi="Calibri" w:cs="Calibri"/>
                <w:b/>
                <w:bCs/>
                <w:color w:val="000000"/>
              </w:rPr>
              <w:t>Total Fiduciary Funds held in Endowment Pool</w:t>
            </w:r>
          </w:p>
        </w:tc>
        <w:tc>
          <w:tcPr>
            <w:tcW w:w="1327" w:type="dxa"/>
            <w:tcBorders>
              <w:top w:val="nil"/>
              <w:left w:val="nil"/>
              <w:bottom w:val="double" w:sz="6" w:space="0" w:color="000000"/>
              <w:right w:val="nil"/>
            </w:tcBorders>
            <w:shd w:val="clear" w:color="000000" w:fill="F2F2F2"/>
            <w:noWrap/>
            <w:hideMark/>
          </w:tcPr>
          <w:p w14:paraId="4BEC618B" w14:textId="2C9E975D" w:rsidR="00FE041A" w:rsidRPr="003C38E3" w:rsidRDefault="00FE041A" w:rsidP="00FE041A">
            <w:pPr>
              <w:jc w:val="right"/>
              <w:rPr>
                <w:rFonts w:ascii="Calibri" w:eastAsia="Times New Roman" w:hAnsi="Calibri" w:cs="Calibri"/>
                <w:b/>
                <w:bCs/>
                <w:color w:val="FF0000"/>
              </w:rPr>
            </w:pPr>
            <w:r w:rsidRPr="00A81F1C">
              <w:t xml:space="preserve"> $4,336 </w:t>
            </w:r>
          </w:p>
        </w:tc>
        <w:tc>
          <w:tcPr>
            <w:tcW w:w="1117" w:type="dxa"/>
            <w:tcBorders>
              <w:top w:val="nil"/>
              <w:left w:val="nil"/>
              <w:bottom w:val="nil"/>
              <w:right w:val="nil"/>
            </w:tcBorders>
            <w:shd w:val="clear" w:color="000000" w:fill="FFFFFF"/>
            <w:noWrap/>
            <w:hideMark/>
          </w:tcPr>
          <w:p w14:paraId="4666FD78" w14:textId="77777777" w:rsidR="00FE041A" w:rsidRPr="003C38E3" w:rsidRDefault="00FE041A" w:rsidP="00FE041A">
            <w:pPr>
              <w:jc w:val="right"/>
              <w:rPr>
                <w:rFonts w:ascii="Calibri" w:eastAsia="Times New Roman" w:hAnsi="Calibri" w:cs="Calibri"/>
                <w:color w:val="FF0000"/>
              </w:rPr>
            </w:pPr>
          </w:p>
        </w:tc>
        <w:tc>
          <w:tcPr>
            <w:tcW w:w="1094" w:type="dxa"/>
            <w:tcBorders>
              <w:top w:val="nil"/>
              <w:left w:val="nil"/>
              <w:bottom w:val="nil"/>
              <w:right w:val="nil"/>
            </w:tcBorders>
            <w:shd w:val="clear" w:color="000000" w:fill="FFFFFF"/>
            <w:noWrap/>
            <w:hideMark/>
          </w:tcPr>
          <w:p w14:paraId="7816B49D" w14:textId="77777777" w:rsidR="00FE041A" w:rsidRPr="003C38E3" w:rsidRDefault="00FE041A" w:rsidP="00FE041A">
            <w:pPr>
              <w:jc w:val="right"/>
              <w:rPr>
                <w:rFonts w:ascii="Calibri" w:eastAsia="Times New Roman" w:hAnsi="Calibri" w:cs="Calibri"/>
                <w:color w:val="FF0000"/>
              </w:rPr>
            </w:pPr>
          </w:p>
        </w:tc>
        <w:tc>
          <w:tcPr>
            <w:tcW w:w="1094" w:type="dxa"/>
            <w:tcBorders>
              <w:top w:val="nil"/>
              <w:left w:val="nil"/>
              <w:bottom w:val="nil"/>
              <w:right w:val="nil"/>
            </w:tcBorders>
            <w:shd w:val="clear" w:color="000000" w:fill="FFFFFF"/>
            <w:noWrap/>
            <w:hideMark/>
          </w:tcPr>
          <w:p w14:paraId="1A1BEAF1" w14:textId="77777777" w:rsidR="00FE041A" w:rsidRPr="003C38E3" w:rsidRDefault="00FE041A" w:rsidP="00FE041A">
            <w:pPr>
              <w:jc w:val="right"/>
              <w:rPr>
                <w:rFonts w:ascii="Calibri" w:eastAsia="Times New Roman" w:hAnsi="Calibri" w:cs="Calibri"/>
                <w:color w:val="FF0000"/>
              </w:rPr>
            </w:pPr>
          </w:p>
        </w:tc>
      </w:tr>
      <w:tr w:rsidR="00FE041A" w:rsidRPr="00D92E4F" w14:paraId="5174A913" w14:textId="77777777" w:rsidTr="00730ECF">
        <w:trPr>
          <w:trHeight w:val="108"/>
          <w:jc w:val="center"/>
        </w:trPr>
        <w:tc>
          <w:tcPr>
            <w:tcW w:w="6030" w:type="dxa"/>
            <w:tcBorders>
              <w:top w:val="nil"/>
              <w:left w:val="nil"/>
              <w:bottom w:val="nil"/>
              <w:right w:val="nil"/>
            </w:tcBorders>
            <w:noWrap/>
            <w:vAlign w:val="bottom"/>
            <w:hideMark/>
          </w:tcPr>
          <w:p w14:paraId="6CD88113" w14:textId="77777777" w:rsidR="00FE041A" w:rsidRPr="00D92E4F" w:rsidRDefault="00FE041A" w:rsidP="00FE041A">
            <w:pPr>
              <w:ind w:firstLineChars="100" w:firstLine="220"/>
              <w:rPr>
                <w:rFonts w:ascii="Calibri" w:eastAsia="Times New Roman" w:hAnsi="Calibri" w:cs="Calibri"/>
                <w:color w:val="000000"/>
              </w:rPr>
            </w:pPr>
            <w:r w:rsidRPr="00D92E4F">
              <w:rPr>
                <w:rFonts w:ascii="Calibri" w:eastAsia="Times New Roman" w:hAnsi="Calibri" w:cs="Calibri"/>
                <w:color w:val="000000"/>
              </w:rPr>
              <w:t>Endowment pool investments included in the MIP at fair value</w:t>
            </w:r>
          </w:p>
        </w:tc>
        <w:tc>
          <w:tcPr>
            <w:tcW w:w="1327" w:type="dxa"/>
            <w:tcBorders>
              <w:top w:val="nil"/>
              <w:left w:val="nil"/>
              <w:bottom w:val="nil"/>
              <w:right w:val="nil"/>
            </w:tcBorders>
            <w:noWrap/>
            <w:hideMark/>
          </w:tcPr>
          <w:p w14:paraId="48DCA4DF" w14:textId="31850487" w:rsidR="00FE041A" w:rsidRPr="003C38E3" w:rsidRDefault="00FE041A" w:rsidP="00FE041A">
            <w:pPr>
              <w:jc w:val="right"/>
              <w:rPr>
                <w:rFonts w:ascii="Calibri" w:eastAsia="Times New Roman" w:hAnsi="Calibri" w:cs="Calibri"/>
                <w:color w:val="FF0000"/>
              </w:rPr>
            </w:pPr>
            <w:r w:rsidRPr="00776872">
              <w:t xml:space="preserve"> $104,601 </w:t>
            </w:r>
          </w:p>
        </w:tc>
        <w:tc>
          <w:tcPr>
            <w:tcW w:w="1117" w:type="dxa"/>
            <w:tcBorders>
              <w:top w:val="nil"/>
              <w:left w:val="nil"/>
              <w:bottom w:val="double" w:sz="6" w:space="0" w:color="000000"/>
              <w:right w:val="nil"/>
            </w:tcBorders>
            <w:noWrap/>
            <w:hideMark/>
          </w:tcPr>
          <w:p w14:paraId="53ADD94D" w14:textId="570B758D" w:rsidR="00FE041A" w:rsidRPr="003C38E3" w:rsidRDefault="00FE041A" w:rsidP="00FE041A">
            <w:pPr>
              <w:jc w:val="right"/>
              <w:rPr>
                <w:rFonts w:ascii="Calibri" w:eastAsia="Times New Roman" w:hAnsi="Calibri" w:cs="Calibri"/>
                <w:color w:val="FF0000"/>
              </w:rPr>
            </w:pPr>
            <w:r w:rsidRPr="00BF73EE">
              <w:t xml:space="preserve"> $65,625 </w:t>
            </w:r>
          </w:p>
        </w:tc>
        <w:tc>
          <w:tcPr>
            <w:tcW w:w="1094" w:type="dxa"/>
            <w:tcBorders>
              <w:top w:val="nil"/>
              <w:left w:val="nil"/>
              <w:bottom w:val="double" w:sz="6" w:space="0" w:color="000000"/>
              <w:right w:val="nil"/>
            </w:tcBorders>
            <w:noWrap/>
            <w:hideMark/>
          </w:tcPr>
          <w:p w14:paraId="4F763417" w14:textId="6DA97923" w:rsidR="00FE041A" w:rsidRPr="003C38E3" w:rsidRDefault="00FE041A" w:rsidP="00FE041A">
            <w:pPr>
              <w:jc w:val="right"/>
              <w:rPr>
                <w:rFonts w:ascii="Calibri" w:eastAsia="Times New Roman" w:hAnsi="Calibri" w:cs="Calibri"/>
                <w:color w:val="FF0000"/>
              </w:rPr>
            </w:pPr>
            <w:r w:rsidRPr="00BF2FB0">
              <w:t xml:space="preserve"> $38,976 </w:t>
            </w:r>
          </w:p>
        </w:tc>
        <w:tc>
          <w:tcPr>
            <w:tcW w:w="1094" w:type="dxa"/>
            <w:tcBorders>
              <w:top w:val="nil"/>
              <w:left w:val="nil"/>
              <w:bottom w:val="double" w:sz="6" w:space="0" w:color="000000"/>
              <w:right w:val="nil"/>
            </w:tcBorders>
            <w:noWrap/>
            <w:hideMark/>
          </w:tcPr>
          <w:p w14:paraId="04B93D63" w14:textId="4FC3E370" w:rsidR="00FE041A" w:rsidRPr="003C38E3" w:rsidRDefault="00FE041A" w:rsidP="00FE041A">
            <w:pPr>
              <w:jc w:val="right"/>
              <w:rPr>
                <w:rFonts w:ascii="Calibri" w:eastAsia="Times New Roman" w:hAnsi="Calibri" w:cs="Calibri"/>
                <w:color w:val="FF0000"/>
              </w:rPr>
            </w:pPr>
            <w:r w:rsidRPr="00321411">
              <w:t xml:space="preserve"> $</w:t>
            </w:r>
            <w:r>
              <w:t xml:space="preserve">     </w:t>
            </w:r>
            <w:r w:rsidRPr="00321411">
              <w:t xml:space="preserve">- </w:t>
            </w:r>
          </w:p>
        </w:tc>
      </w:tr>
      <w:tr w:rsidR="00FE041A" w:rsidRPr="00D92E4F" w14:paraId="070DDC05" w14:textId="77777777" w:rsidTr="00145BF9">
        <w:trPr>
          <w:trHeight w:val="63"/>
          <w:jc w:val="center"/>
        </w:trPr>
        <w:tc>
          <w:tcPr>
            <w:tcW w:w="6030" w:type="dxa"/>
            <w:tcBorders>
              <w:top w:val="nil"/>
              <w:left w:val="nil"/>
              <w:bottom w:val="nil"/>
              <w:right w:val="nil"/>
            </w:tcBorders>
            <w:noWrap/>
            <w:vAlign w:val="bottom"/>
            <w:hideMark/>
          </w:tcPr>
          <w:p w14:paraId="03871AE4" w14:textId="77777777" w:rsidR="00FE041A" w:rsidRPr="00D92E4F" w:rsidRDefault="00FE041A" w:rsidP="00FE041A">
            <w:pPr>
              <w:ind w:firstLineChars="100" w:firstLine="220"/>
              <w:rPr>
                <w:rFonts w:ascii="Calibri" w:eastAsia="Times New Roman" w:hAnsi="Calibri" w:cs="Calibri"/>
                <w:color w:val="000000"/>
              </w:rPr>
            </w:pPr>
            <w:r w:rsidRPr="00D92E4F">
              <w:rPr>
                <w:rFonts w:ascii="Calibri" w:eastAsia="Times New Roman" w:hAnsi="Calibri" w:cs="Calibri"/>
                <w:color w:val="000000"/>
              </w:rPr>
              <w:t>Endowment pool investments included in the MIP at NAV</w:t>
            </w:r>
          </w:p>
        </w:tc>
        <w:tc>
          <w:tcPr>
            <w:tcW w:w="1327" w:type="dxa"/>
            <w:tcBorders>
              <w:top w:val="nil"/>
              <w:left w:val="nil"/>
              <w:bottom w:val="single" w:sz="4" w:space="0" w:color="000000"/>
              <w:right w:val="nil"/>
            </w:tcBorders>
            <w:noWrap/>
            <w:hideMark/>
          </w:tcPr>
          <w:p w14:paraId="711F6043" w14:textId="19992888" w:rsidR="00FE041A" w:rsidRPr="003C38E3" w:rsidRDefault="00FE041A" w:rsidP="00FE041A">
            <w:pPr>
              <w:jc w:val="right"/>
              <w:rPr>
                <w:rFonts w:ascii="Calibri" w:eastAsia="Times New Roman" w:hAnsi="Calibri" w:cs="Calibri"/>
                <w:color w:val="FF0000"/>
              </w:rPr>
            </w:pPr>
            <w:r w:rsidRPr="00776872">
              <w:t xml:space="preserve"> 65,862 </w:t>
            </w:r>
          </w:p>
        </w:tc>
        <w:tc>
          <w:tcPr>
            <w:tcW w:w="1117" w:type="dxa"/>
            <w:tcBorders>
              <w:top w:val="nil"/>
              <w:left w:val="nil"/>
              <w:bottom w:val="nil"/>
              <w:right w:val="nil"/>
            </w:tcBorders>
            <w:noWrap/>
            <w:hideMark/>
          </w:tcPr>
          <w:p w14:paraId="5BBCD676" w14:textId="77777777" w:rsidR="00FE041A" w:rsidRPr="003C38E3" w:rsidRDefault="00FE041A" w:rsidP="00FE041A">
            <w:pPr>
              <w:jc w:val="right"/>
              <w:rPr>
                <w:rFonts w:ascii="Calibri" w:eastAsia="Times New Roman" w:hAnsi="Calibri" w:cs="Calibri"/>
                <w:color w:val="FF0000"/>
              </w:rPr>
            </w:pPr>
          </w:p>
        </w:tc>
        <w:tc>
          <w:tcPr>
            <w:tcW w:w="1094" w:type="dxa"/>
            <w:tcBorders>
              <w:top w:val="nil"/>
              <w:left w:val="nil"/>
              <w:bottom w:val="nil"/>
              <w:right w:val="nil"/>
            </w:tcBorders>
            <w:noWrap/>
            <w:hideMark/>
          </w:tcPr>
          <w:p w14:paraId="767C4AE6" w14:textId="77777777" w:rsidR="00FE041A" w:rsidRPr="003C38E3" w:rsidRDefault="00FE041A" w:rsidP="00FE041A">
            <w:pPr>
              <w:jc w:val="right"/>
              <w:rPr>
                <w:rFonts w:ascii="Times New Roman" w:eastAsia="Times New Roman" w:hAnsi="Times New Roman" w:cs="Times New Roman"/>
                <w:color w:val="FF0000"/>
                <w:sz w:val="20"/>
                <w:szCs w:val="20"/>
              </w:rPr>
            </w:pPr>
          </w:p>
        </w:tc>
        <w:tc>
          <w:tcPr>
            <w:tcW w:w="1094" w:type="dxa"/>
            <w:tcBorders>
              <w:top w:val="nil"/>
              <w:left w:val="nil"/>
              <w:bottom w:val="nil"/>
              <w:right w:val="nil"/>
            </w:tcBorders>
            <w:noWrap/>
            <w:hideMark/>
          </w:tcPr>
          <w:p w14:paraId="19525830" w14:textId="77777777" w:rsidR="00FE041A" w:rsidRPr="003C38E3" w:rsidRDefault="00FE041A" w:rsidP="00FE041A">
            <w:pPr>
              <w:jc w:val="right"/>
              <w:rPr>
                <w:rFonts w:ascii="Times New Roman" w:eastAsia="Times New Roman" w:hAnsi="Times New Roman" w:cs="Times New Roman"/>
                <w:color w:val="FF0000"/>
                <w:sz w:val="20"/>
                <w:szCs w:val="20"/>
              </w:rPr>
            </w:pPr>
          </w:p>
        </w:tc>
      </w:tr>
      <w:tr w:rsidR="00FE041A" w:rsidRPr="00D92E4F" w14:paraId="1844B93F" w14:textId="77777777" w:rsidTr="00145BF9">
        <w:trPr>
          <w:trHeight w:val="70"/>
          <w:jc w:val="center"/>
        </w:trPr>
        <w:tc>
          <w:tcPr>
            <w:tcW w:w="6030" w:type="dxa"/>
            <w:tcBorders>
              <w:top w:val="nil"/>
              <w:left w:val="nil"/>
              <w:bottom w:val="nil"/>
              <w:right w:val="nil"/>
            </w:tcBorders>
            <w:noWrap/>
            <w:vAlign w:val="bottom"/>
            <w:hideMark/>
          </w:tcPr>
          <w:p w14:paraId="39BE503B" w14:textId="77777777" w:rsidR="00FE041A" w:rsidRPr="00D92E4F" w:rsidRDefault="00FE041A" w:rsidP="00FE041A">
            <w:pPr>
              <w:ind w:firstLineChars="100" w:firstLine="220"/>
              <w:rPr>
                <w:rFonts w:ascii="Calibri" w:eastAsia="Times New Roman" w:hAnsi="Calibri" w:cs="Calibri"/>
                <w:color w:val="000000"/>
              </w:rPr>
            </w:pPr>
            <w:r w:rsidRPr="00D92E4F">
              <w:rPr>
                <w:rFonts w:ascii="Calibri" w:eastAsia="Times New Roman" w:hAnsi="Calibri" w:cs="Calibri"/>
                <w:color w:val="000000"/>
              </w:rPr>
              <w:t>Total endowment pool investments included in the MIP</w:t>
            </w:r>
          </w:p>
        </w:tc>
        <w:tc>
          <w:tcPr>
            <w:tcW w:w="1327" w:type="dxa"/>
            <w:tcBorders>
              <w:top w:val="nil"/>
              <w:left w:val="nil"/>
              <w:bottom w:val="nil"/>
              <w:right w:val="nil"/>
            </w:tcBorders>
            <w:noWrap/>
            <w:hideMark/>
          </w:tcPr>
          <w:p w14:paraId="5518CBE9" w14:textId="23B4A3C7" w:rsidR="00FE041A" w:rsidRPr="003C38E3" w:rsidRDefault="00FE041A" w:rsidP="00FE041A">
            <w:pPr>
              <w:jc w:val="right"/>
              <w:rPr>
                <w:rFonts w:ascii="Calibri" w:eastAsia="Times New Roman" w:hAnsi="Calibri" w:cs="Calibri"/>
                <w:color w:val="FF0000"/>
              </w:rPr>
            </w:pPr>
            <w:r w:rsidRPr="00776872">
              <w:t xml:space="preserve"> 170,463 </w:t>
            </w:r>
          </w:p>
        </w:tc>
        <w:tc>
          <w:tcPr>
            <w:tcW w:w="1117" w:type="dxa"/>
            <w:tcBorders>
              <w:top w:val="nil"/>
              <w:left w:val="nil"/>
              <w:bottom w:val="nil"/>
              <w:right w:val="nil"/>
            </w:tcBorders>
            <w:noWrap/>
            <w:hideMark/>
          </w:tcPr>
          <w:p w14:paraId="335399BD" w14:textId="77777777" w:rsidR="00FE041A" w:rsidRPr="003C38E3" w:rsidRDefault="00FE041A" w:rsidP="00FE041A">
            <w:pPr>
              <w:jc w:val="right"/>
              <w:rPr>
                <w:rFonts w:ascii="Calibri" w:eastAsia="Times New Roman" w:hAnsi="Calibri" w:cs="Calibri"/>
                <w:color w:val="FF0000"/>
              </w:rPr>
            </w:pPr>
          </w:p>
        </w:tc>
        <w:tc>
          <w:tcPr>
            <w:tcW w:w="1094" w:type="dxa"/>
            <w:tcBorders>
              <w:top w:val="nil"/>
              <w:left w:val="nil"/>
              <w:bottom w:val="nil"/>
              <w:right w:val="nil"/>
            </w:tcBorders>
            <w:noWrap/>
            <w:hideMark/>
          </w:tcPr>
          <w:p w14:paraId="293DB750" w14:textId="77777777" w:rsidR="00FE041A" w:rsidRPr="003C38E3" w:rsidRDefault="00FE041A" w:rsidP="00FE041A">
            <w:pPr>
              <w:jc w:val="right"/>
              <w:rPr>
                <w:rFonts w:ascii="Times New Roman" w:eastAsia="Times New Roman" w:hAnsi="Times New Roman" w:cs="Times New Roman"/>
                <w:color w:val="FF0000"/>
                <w:sz w:val="20"/>
                <w:szCs w:val="20"/>
              </w:rPr>
            </w:pPr>
          </w:p>
        </w:tc>
        <w:tc>
          <w:tcPr>
            <w:tcW w:w="1094" w:type="dxa"/>
            <w:tcBorders>
              <w:top w:val="nil"/>
              <w:left w:val="nil"/>
              <w:bottom w:val="nil"/>
              <w:right w:val="nil"/>
            </w:tcBorders>
            <w:noWrap/>
            <w:hideMark/>
          </w:tcPr>
          <w:p w14:paraId="3FAE2EC3" w14:textId="77777777" w:rsidR="00FE041A" w:rsidRPr="003C38E3" w:rsidRDefault="00FE041A" w:rsidP="00FE041A">
            <w:pPr>
              <w:jc w:val="right"/>
              <w:rPr>
                <w:rFonts w:ascii="Times New Roman" w:eastAsia="Times New Roman" w:hAnsi="Times New Roman" w:cs="Times New Roman"/>
                <w:color w:val="FF0000"/>
                <w:sz w:val="20"/>
                <w:szCs w:val="20"/>
              </w:rPr>
            </w:pPr>
          </w:p>
        </w:tc>
      </w:tr>
      <w:tr w:rsidR="00FE041A" w:rsidRPr="00D92E4F" w14:paraId="4D4E414A" w14:textId="77777777" w:rsidTr="00730ECF">
        <w:trPr>
          <w:trHeight w:val="80"/>
          <w:jc w:val="center"/>
        </w:trPr>
        <w:tc>
          <w:tcPr>
            <w:tcW w:w="6030" w:type="dxa"/>
            <w:tcBorders>
              <w:top w:val="nil"/>
              <w:left w:val="nil"/>
              <w:bottom w:val="single" w:sz="4" w:space="0" w:color="000000"/>
              <w:right w:val="nil"/>
            </w:tcBorders>
            <w:noWrap/>
            <w:vAlign w:val="bottom"/>
            <w:hideMark/>
          </w:tcPr>
          <w:p w14:paraId="1F836787" w14:textId="77777777" w:rsidR="00FE041A" w:rsidRPr="00D92E4F" w:rsidRDefault="00FE041A" w:rsidP="00FE041A">
            <w:pPr>
              <w:ind w:firstLineChars="100" w:firstLine="220"/>
              <w:rPr>
                <w:rFonts w:ascii="Calibri" w:eastAsia="Times New Roman" w:hAnsi="Calibri" w:cs="Calibri"/>
                <w:color w:val="000000"/>
              </w:rPr>
            </w:pPr>
            <w:r w:rsidRPr="00D92E4F">
              <w:rPr>
                <w:rFonts w:ascii="Calibri" w:eastAsia="Times New Roman" w:hAnsi="Calibri" w:cs="Calibri"/>
                <w:color w:val="000000"/>
              </w:rPr>
              <w:t>Endowment investments - separately invested</w:t>
            </w:r>
          </w:p>
        </w:tc>
        <w:tc>
          <w:tcPr>
            <w:tcW w:w="1327" w:type="dxa"/>
            <w:tcBorders>
              <w:top w:val="nil"/>
              <w:left w:val="nil"/>
              <w:bottom w:val="single" w:sz="4" w:space="0" w:color="000000"/>
              <w:right w:val="nil"/>
            </w:tcBorders>
            <w:noWrap/>
            <w:hideMark/>
          </w:tcPr>
          <w:p w14:paraId="0F275E05" w14:textId="63FBCFE0" w:rsidR="00FE041A" w:rsidRPr="003C38E3" w:rsidRDefault="00FE041A" w:rsidP="00FE041A">
            <w:pPr>
              <w:jc w:val="right"/>
              <w:rPr>
                <w:rFonts w:ascii="Calibri" w:eastAsia="Times New Roman" w:hAnsi="Calibri" w:cs="Calibri"/>
                <w:color w:val="FF0000"/>
              </w:rPr>
            </w:pPr>
            <w:r w:rsidRPr="00776872">
              <w:t xml:space="preserve"> 1,551 </w:t>
            </w:r>
          </w:p>
        </w:tc>
        <w:tc>
          <w:tcPr>
            <w:tcW w:w="1117" w:type="dxa"/>
            <w:tcBorders>
              <w:top w:val="nil"/>
              <w:left w:val="nil"/>
              <w:bottom w:val="double" w:sz="6" w:space="0" w:color="000000"/>
              <w:right w:val="nil"/>
            </w:tcBorders>
            <w:noWrap/>
            <w:hideMark/>
          </w:tcPr>
          <w:p w14:paraId="744E8D3A" w14:textId="4E62A242" w:rsidR="00FE041A" w:rsidRPr="003C38E3" w:rsidRDefault="00FE041A" w:rsidP="00FE041A">
            <w:pPr>
              <w:jc w:val="right"/>
              <w:rPr>
                <w:rFonts w:ascii="Calibri" w:eastAsia="Times New Roman" w:hAnsi="Calibri" w:cs="Calibri"/>
                <w:color w:val="FF0000"/>
              </w:rPr>
            </w:pPr>
            <w:r w:rsidRPr="00BF73EE">
              <w:t xml:space="preserve"> $</w:t>
            </w:r>
            <w:r>
              <w:t xml:space="preserve">  </w:t>
            </w:r>
            <w:r w:rsidRPr="00BF73EE">
              <w:t xml:space="preserve">1,551 </w:t>
            </w:r>
          </w:p>
        </w:tc>
        <w:tc>
          <w:tcPr>
            <w:tcW w:w="1094" w:type="dxa"/>
            <w:tcBorders>
              <w:top w:val="nil"/>
              <w:left w:val="nil"/>
              <w:bottom w:val="double" w:sz="6" w:space="0" w:color="000000"/>
              <w:right w:val="nil"/>
            </w:tcBorders>
            <w:noWrap/>
            <w:hideMark/>
          </w:tcPr>
          <w:p w14:paraId="048CD8BE" w14:textId="38F7AEAB" w:rsidR="00FE041A" w:rsidRPr="003C38E3" w:rsidRDefault="00FE041A" w:rsidP="00FE041A">
            <w:pPr>
              <w:jc w:val="right"/>
              <w:rPr>
                <w:rFonts w:ascii="Calibri" w:eastAsia="Times New Roman" w:hAnsi="Calibri" w:cs="Calibri"/>
                <w:color w:val="FF0000"/>
              </w:rPr>
            </w:pPr>
            <w:r w:rsidRPr="00BF2FB0">
              <w:t xml:space="preserve"> $</w:t>
            </w:r>
            <w:r>
              <w:t xml:space="preserve">           </w:t>
            </w:r>
            <w:r w:rsidRPr="00BF2FB0">
              <w:t xml:space="preserve">- </w:t>
            </w:r>
          </w:p>
        </w:tc>
        <w:tc>
          <w:tcPr>
            <w:tcW w:w="1094" w:type="dxa"/>
            <w:tcBorders>
              <w:top w:val="nil"/>
              <w:left w:val="nil"/>
              <w:bottom w:val="double" w:sz="6" w:space="0" w:color="000000"/>
              <w:right w:val="nil"/>
            </w:tcBorders>
            <w:noWrap/>
            <w:hideMark/>
          </w:tcPr>
          <w:p w14:paraId="2A63AF71" w14:textId="54BA2EF7" w:rsidR="00FE041A" w:rsidRPr="003C38E3" w:rsidRDefault="00FE041A" w:rsidP="00FE041A">
            <w:pPr>
              <w:jc w:val="right"/>
              <w:rPr>
                <w:rFonts w:ascii="Calibri" w:eastAsia="Times New Roman" w:hAnsi="Calibri" w:cs="Calibri"/>
                <w:color w:val="FF0000"/>
              </w:rPr>
            </w:pPr>
            <w:r w:rsidRPr="00321411">
              <w:t xml:space="preserve"> $</w:t>
            </w:r>
            <w:r>
              <w:t xml:space="preserve">     </w:t>
            </w:r>
            <w:r w:rsidRPr="00321411">
              <w:t xml:space="preserve">- </w:t>
            </w:r>
          </w:p>
        </w:tc>
      </w:tr>
      <w:tr w:rsidR="001B6918" w:rsidRPr="00D92E4F" w14:paraId="11173493" w14:textId="77777777" w:rsidTr="00730ECF">
        <w:trPr>
          <w:trHeight w:val="35"/>
          <w:jc w:val="center"/>
        </w:trPr>
        <w:tc>
          <w:tcPr>
            <w:tcW w:w="6030" w:type="dxa"/>
            <w:tcBorders>
              <w:top w:val="nil"/>
              <w:left w:val="nil"/>
              <w:bottom w:val="double" w:sz="6" w:space="0" w:color="000000"/>
              <w:right w:val="nil"/>
            </w:tcBorders>
            <w:shd w:val="clear" w:color="000000" w:fill="F2F2F2"/>
            <w:noWrap/>
            <w:vAlign w:val="bottom"/>
            <w:hideMark/>
          </w:tcPr>
          <w:p w14:paraId="4E2B9969" w14:textId="77777777" w:rsidR="001B6918" w:rsidRPr="00D92E4F" w:rsidRDefault="001B6918" w:rsidP="00730ECF">
            <w:pPr>
              <w:ind w:firstLineChars="100" w:firstLine="221"/>
              <w:rPr>
                <w:rFonts w:ascii="Calibri" w:eastAsia="Times New Roman" w:hAnsi="Calibri" w:cs="Calibri"/>
                <w:b/>
                <w:bCs/>
                <w:color w:val="000000"/>
              </w:rPr>
            </w:pPr>
            <w:r w:rsidRPr="00D92E4F">
              <w:rPr>
                <w:rFonts w:ascii="Calibri" w:eastAsia="Times New Roman" w:hAnsi="Calibri" w:cs="Calibri"/>
                <w:b/>
                <w:bCs/>
                <w:color w:val="000000"/>
              </w:rPr>
              <w:t>Total endowment investments</w:t>
            </w:r>
          </w:p>
        </w:tc>
        <w:tc>
          <w:tcPr>
            <w:tcW w:w="1327" w:type="dxa"/>
            <w:tcBorders>
              <w:top w:val="nil"/>
              <w:left w:val="nil"/>
              <w:bottom w:val="double" w:sz="6" w:space="0" w:color="000000"/>
              <w:right w:val="nil"/>
            </w:tcBorders>
            <w:shd w:val="clear" w:color="000000" w:fill="F2F2F2"/>
            <w:noWrap/>
            <w:hideMark/>
          </w:tcPr>
          <w:p w14:paraId="79A92FB3" w14:textId="77777777" w:rsidR="001B6918" w:rsidRPr="003C38E3" w:rsidRDefault="001B6918" w:rsidP="00730ECF">
            <w:pPr>
              <w:jc w:val="right"/>
              <w:rPr>
                <w:rFonts w:ascii="Calibri" w:eastAsia="Times New Roman" w:hAnsi="Calibri" w:cs="Calibri"/>
                <w:b/>
                <w:bCs/>
                <w:color w:val="FF0000"/>
              </w:rPr>
            </w:pPr>
            <w:r w:rsidRPr="003C38E3">
              <w:rPr>
                <w:rFonts w:cstheme="minorHAnsi"/>
              </w:rPr>
              <w:t xml:space="preserve">  $172,014</w:t>
            </w:r>
          </w:p>
        </w:tc>
        <w:tc>
          <w:tcPr>
            <w:tcW w:w="1117" w:type="dxa"/>
            <w:tcBorders>
              <w:top w:val="nil"/>
              <w:left w:val="nil"/>
              <w:bottom w:val="nil"/>
              <w:right w:val="nil"/>
            </w:tcBorders>
            <w:noWrap/>
            <w:vAlign w:val="bottom"/>
            <w:hideMark/>
          </w:tcPr>
          <w:p w14:paraId="6A97EF12" w14:textId="77777777" w:rsidR="001B6918" w:rsidRPr="003C38E3" w:rsidRDefault="001B6918" w:rsidP="00730ECF">
            <w:pPr>
              <w:jc w:val="right"/>
              <w:rPr>
                <w:rFonts w:ascii="Calibri" w:eastAsia="Times New Roman" w:hAnsi="Calibri" w:cs="Calibri"/>
                <w:b/>
                <w:bCs/>
                <w:color w:val="FF0000"/>
              </w:rPr>
            </w:pPr>
          </w:p>
        </w:tc>
        <w:tc>
          <w:tcPr>
            <w:tcW w:w="1094" w:type="dxa"/>
            <w:tcBorders>
              <w:top w:val="nil"/>
              <w:left w:val="nil"/>
              <w:bottom w:val="nil"/>
              <w:right w:val="nil"/>
            </w:tcBorders>
            <w:noWrap/>
            <w:vAlign w:val="bottom"/>
            <w:hideMark/>
          </w:tcPr>
          <w:p w14:paraId="61BB67EB" w14:textId="77777777" w:rsidR="001B6918" w:rsidRPr="003C38E3" w:rsidRDefault="001B6918" w:rsidP="00730ECF">
            <w:pPr>
              <w:jc w:val="right"/>
              <w:rPr>
                <w:rFonts w:ascii="Times New Roman" w:eastAsia="Times New Roman" w:hAnsi="Times New Roman" w:cs="Times New Roman"/>
                <w:color w:val="FF0000"/>
                <w:sz w:val="20"/>
                <w:szCs w:val="20"/>
              </w:rPr>
            </w:pPr>
          </w:p>
        </w:tc>
        <w:tc>
          <w:tcPr>
            <w:tcW w:w="1094" w:type="dxa"/>
            <w:tcBorders>
              <w:top w:val="nil"/>
              <w:left w:val="nil"/>
              <w:bottom w:val="nil"/>
              <w:right w:val="nil"/>
            </w:tcBorders>
            <w:noWrap/>
            <w:vAlign w:val="bottom"/>
            <w:hideMark/>
          </w:tcPr>
          <w:p w14:paraId="6D8E8F2A" w14:textId="77777777" w:rsidR="001B6918" w:rsidRPr="003C38E3" w:rsidRDefault="001B6918" w:rsidP="00730ECF">
            <w:pPr>
              <w:jc w:val="right"/>
              <w:rPr>
                <w:rFonts w:ascii="Times New Roman" w:eastAsia="Times New Roman" w:hAnsi="Times New Roman" w:cs="Times New Roman"/>
                <w:color w:val="FF0000"/>
                <w:sz w:val="20"/>
                <w:szCs w:val="20"/>
              </w:rPr>
            </w:pPr>
          </w:p>
        </w:tc>
      </w:tr>
    </w:tbl>
    <w:p w14:paraId="424897AF" w14:textId="77777777" w:rsidR="001B6918" w:rsidRPr="004E6649" w:rsidRDefault="001B6918" w:rsidP="001B6918">
      <w:pPr>
        <w:spacing w:after="160" w:line="259" w:lineRule="auto"/>
        <w:rPr>
          <w:rFonts w:eastAsia="Times New Roman" w:cstheme="minorHAnsi"/>
          <w:spacing w:val="-3"/>
          <w:sz w:val="24"/>
          <w:szCs w:val="20"/>
        </w:rPr>
        <w:sectPr w:rsidR="001B6918" w:rsidRPr="004E6649" w:rsidSect="00DC059D">
          <w:footerReference w:type="default" r:id="rId46"/>
          <w:type w:val="nextColumn"/>
          <w:pgSz w:w="15840" w:h="12240" w:orient="landscape" w:code="1"/>
          <w:pgMar w:top="1440" w:right="1152" w:bottom="1440" w:left="1152" w:header="720" w:footer="720" w:gutter="0"/>
          <w:cols w:space="0"/>
          <w:docGrid w:linePitch="360"/>
        </w:sectPr>
      </w:pPr>
    </w:p>
    <w:p w14:paraId="75EFFBD3" w14:textId="77777777" w:rsidR="001B6918" w:rsidRPr="00A02D27" w:rsidRDefault="001B6918" w:rsidP="001B6918">
      <w:pPr>
        <w:spacing w:after="160"/>
        <w:rPr>
          <w:rFonts w:eastAsiaTheme="majorEastAsia" w:cstheme="minorHAnsi"/>
          <w:b/>
          <w:i/>
          <w:iCs/>
          <w:smallCaps/>
          <w:noProof/>
          <w:color w:val="000000" w:themeColor="text1"/>
          <w:sz w:val="24"/>
          <w:szCs w:val="24"/>
          <w:u w:color="5B9BD5"/>
        </w:rPr>
      </w:pPr>
      <w:r w:rsidRPr="00A02D27">
        <w:rPr>
          <w:rFonts w:eastAsiaTheme="majorEastAsia" w:cstheme="minorHAnsi"/>
          <w:b/>
          <w:i/>
          <w:iCs/>
          <w:smallCaps/>
          <w:noProof/>
          <w:color w:val="000000" w:themeColor="text1"/>
          <w:sz w:val="24"/>
          <w:szCs w:val="24"/>
          <w:u w:color="5B9BD5"/>
        </w:rPr>
        <w:lastRenderedPageBreak/>
        <w:t>3. INVESTMENTS - CONTINUED</w:t>
      </w:r>
      <w:r w:rsidRPr="00A02D27" w:rsidDel="00453556">
        <w:rPr>
          <w:rFonts w:eastAsiaTheme="majorEastAsia" w:cstheme="minorHAnsi"/>
          <w:b/>
          <w:i/>
          <w:iCs/>
          <w:smallCaps/>
          <w:noProof/>
          <w:color w:val="000000" w:themeColor="text1"/>
          <w:sz w:val="24"/>
          <w:szCs w:val="24"/>
          <w:u w:color="5B9BD5"/>
        </w:rPr>
        <w:t xml:space="preserve"> </w:t>
      </w:r>
    </w:p>
    <w:p w14:paraId="129CB309" w14:textId="77777777" w:rsidR="001B6918" w:rsidRPr="004E6649" w:rsidRDefault="001B6918" w:rsidP="001B6918">
      <w:pPr>
        <w:rPr>
          <w:rFonts w:eastAsia="Times New Roman" w:cstheme="minorHAnsi"/>
          <w:color w:val="FF0000"/>
          <w:spacing w:val="-3"/>
          <w:sz w:val="24"/>
          <w:szCs w:val="20"/>
        </w:rPr>
      </w:pPr>
      <w:r w:rsidRPr="004E6649">
        <w:rPr>
          <w:rFonts w:cstheme="minorHAnsi"/>
          <w:sz w:val="24"/>
        </w:rPr>
        <w:t xml:space="preserve">Additional disclosures for </w:t>
      </w:r>
      <w:r w:rsidRPr="004E6649">
        <w:rPr>
          <w:rFonts w:cstheme="minorHAnsi"/>
          <w:b/>
          <w:sz w:val="24"/>
        </w:rPr>
        <w:t xml:space="preserve">System investments, </w:t>
      </w:r>
      <w:r w:rsidRPr="004E6649">
        <w:rPr>
          <w:rFonts w:cstheme="minorHAnsi"/>
          <w:sz w:val="24"/>
        </w:rPr>
        <w:t>including the DB Plan and MIP, measured at NAV at June 30, 202</w:t>
      </w:r>
      <w:r>
        <w:rPr>
          <w:rFonts w:cstheme="minorHAnsi"/>
          <w:sz w:val="24"/>
        </w:rPr>
        <w:t>5</w:t>
      </w:r>
      <w:r w:rsidRPr="004E6649">
        <w:rPr>
          <w:rFonts w:cstheme="minorHAnsi"/>
          <w:sz w:val="24"/>
        </w:rPr>
        <w:t>:</w:t>
      </w:r>
      <w:r w:rsidRPr="004E6649">
        <w:rPr>
          <w:rFonts w:eastAsia="Times New Roman" w:cstheme="minorHAnsi"/>
          <w:color w:val="FF0000"/>
          <w:spacing w:val="-3"/>
          <w:sz w:val="24"/>
          <w:szCs w:val="20"/>
        </w:rPr>
        <w:t xml:space="preserve"> </w:t>
      </w:r>
    </w:p>
    <w:tbl>
      <w:tblPr>
        <w:tblW w:w="10081" w:type="dxa"/>
        <w:tblLook w:val="04A0" w:firstRow="1" w:lastRow="0" w:firstColumn="1" w:lastColumn="0" w:noHBand="0" w:noVBand="1"/>
      </w:tblPr>
      <w:tblGrid>
        <w:gridCol w:w="5270"/>
        <w:gridCol w:w="1300"/>
        <w:gridCol w:w="1782"/>
        <w:gridCol w:w="1729"/>
      </w:tblGrid>
      <w:tr w:rsidR="000B66F9" w:rsidRPr="004E6649" w14:paraId="0D2CA3C4" w14:textId="77777777" w:rsidTr="000B66F9">
        <w:trPr>
          <w:trHeight w:val="513"/>
        </w:trPr>
        <w:tc>
          <w:tcPr>
            <w:tcW w:w="5270" w:type="dxa"/>
            <w:tcBorders>
              <w:top w:val="nil"/>
              <w:left w:val="nil"/>
              <w:bottom w:val="single" w:sz="12" w:space="0" w:color="000000"/>
              <w:right w:val="nil"/>
            </w:tcBorders>
            <w:shd w:val="clear" w:color="000000" w:fill="FFFFFF"/>
            <w:noWrap/>
            <w:vAlign w:val="bottom"/>
            <w:hideMark/>
          </w:tcPr>
          <w:p w14:paraId="208D0A9B" w14:textId="77777777" w:rsidR="001B6918" w:rsidRPr="004E6649" w:rsidRDefault="001B6918" w:rsidP="00730ECF">
            <w:pPr>
              <w:rPr>
                <w:rFonts w:eastAsia="Times New Roman" w:cstheme="minorHAnsi"/>
                <w:b/>
                <w:bCs/>
                <w:color w:val="0D0D0D"/>
                <w:sz w:val="18"/>
                <w:szCs w:val="20"/>
              </w:rPr>
            </w:pPr>
            <w:r>
              <w:rPr>
                <w:rFonts w:ascii="Calibri" w:hAnsi="Calibri" w:cs="Calibri"/>
                <w:b/>
                <w:bCs/>
                <w:color w:val="0D0D0D"/>
                <w:sz w:val="20"/>
                <w:szCs w:val="20"/>
              </w:rPr>
              <w:t> </w:t>
            </w:r>
          </w:p>
        </w:tc>
        <w:tc>
          <w:tcPr>
            <w:tcW w:w="1300" w:type="dxa"/>
            <w:tcBorders>
              <w:top w:val="nil"/>
              <w:left w:val="nil"/>
              <w:bottom w:val="single" w:sz="12" w:space="0" w:color="000000"/>
              <w:right w:val="nil"/>
            </w:tcBorders>
            <w:shd w:val="clear" w:color="000000" w:fill="FFFFFF"/>
            <w:vAlign w:val="bottom"/>
            <w:hideMark/>
          </w:tcPr>
          <w:p w14:paraId="5DDCA7D6" w14:textId="77777777" w:rsidR="001B6918" w:rsidRPr="004E6649" w:rsidRDefault="001B6918" w:rsidP="00702A68">
            <w:pPr>
              <w:ind w:right="76"/>
              <w:jc w:val="center"/>
              <w:rPr>
                <w:rFonts w:eastAsia="Times New Roman" w:cstheme="minorHAnsi"/>
                <w:b/>
                <w:bCs/>
                <w:color w:val="0D0D0D"/>
                <w:sz w:val="18"/>
                <w:szCs w:val="20"/>
              </w:rPr>
            </w:pPr>
            <w:r>
              <w:rPr>
                <w:rFonts w:ascii="Calibri" w:hAnsi="Calibri" w:cs="Calibri"/>
                <w:b/>
                <w:bCs/>
                <w:color w:val="0D0D0D"/>
                <w:sz w:val="20"/>
                <w:szCs w:val="20"/>
              </w:rPr>
              <w:t xml:space="preserve">Fair Value </w:t>
            </w:r>
          </w:p>
        </w:tc>
        <w:tc>
          <w:tcPr>
            <w:tcW w:w="1782" w:type="dxa"/>
            <w:tcBorders>
              <w:top w:val="nil"/>
              <w:left w:val="nil"/>
              <w:bottom w:val="single" w:sz="12" w:space="0" w:color="000000"/>
              <w:right w:val="nil"/>
            </w:tcBorders>
            <w:shd w:val="clear" w:color="000000" w:fill="FFFFFF"/>
            <w:vAlign w:val="bottom"/>
            <w:hideMark/>
          </w:tcPr>
          <w:p w14:paraId="751F9A2D" w14:textId="77777777" w:rsidR="001B6918" w:rsidRPr="004E6649" w:rsidRDefault="001B6918" w:rsidP="00730ECF">
            <w:pPr>
              <w:jc w:val="center"/>
              <w:rPr>
                <w:rFonts w:eastAsia="Times New Roman" w:cstheme="minorHAnsi"/>
                <w:b/>
                <w:bCs/>
                <w:color w:val="0D0D0D"/>
                <w:sz w:val="18"/>
                <w:szCs w:val="20"/>
              </w:rPr>
            </w:pPr>
            <w:r>
              <w:rPr>
                <w:rFonts w:ascii="Calibri" w:hAnsi="Calibri" w:cs="Calibri"/>
                <w:b/>
                <w:bCs/>
                <w:color w:val="0D0D0D"/>
                <w:sz w:val="20"/>
                <w:szCs w:val="20"/>
              </w:rPr>
              <w:t>Redemption Frequency (If Currently Eligible)</w:t>
            </w:r>
          </w:p>
        </w:tc>
        <w:tc>
          <w:tcPr>
            <w:tcW w:w="1729" w:type="dxa"/>
            <w:tcBorders>
              <w:top w:val="nil"/>
              <w:left w:val="nil"/>
              <w:bottom w:val="single" w:sz="12" w:space="0" w:color="000000"/>
              <w:right w:val="nil"/>
            </w:tcBorders>
            <w:shd w:val="clear" w:color="000000" w:fill="FFFFFF"/>
            <w:vAlign w:val="bottom"/>
            <w:hideMark/>
          </w:tcPr>
          <w:p w14:paraId="586A9D98" w14:textId="77777777" w:rsidR="001B6918" w:rsidRPr="004E6649" w:rsidRDefault="001B6918" w:rsidP="00730ECF">
            <w:pPr>
              <w:jc w:val="center"/>
              <w:rPr>
                <w:rFonts w:eastAsia="Times New Roman" w:cstheme="minorHAnsi"/>
                <w:b/>
                <w:bCs/>
                <w:color w:val="0D0D0D"/>
                <w:sz w:val="18"/>
                <w:szCs w:val="20"/>
              </w:rPr>
            </w:pPr>
            <w:r>
              <w:rPr>
                <w:rFonts w:ascii="Calibri" w:hAnsi="Calibri" w:cs="Calibri"/>
                <w:b/>
                <w:bCs/>
                <w:color w:val="0D0D0D"/>
                <w:sz w:val="20"/>
                <w:szCs w:val="20"/>
              </w:rPr>
              <w:t>Redemption Period Notice</w:t>
            </w:r>
          </w:p>
        </w:tc>
      </w:tr>
      <w:tr w:rsidR="000B66F9" w:rsidRPr="004E6649" w14:paraId="003C74C1" w14:textId="77777777" w:rsidTr="000B66F9">
        <w:trPr>
          <w:trHeight w:val="50"/>
        </w:trPr>
        <w:tc>
          <w:tcPr>
            <w:tcW w:w="5270" w:type="dxa"/>
            <w:tcBorders>
              <w:top w:val="nil"/>
              <w:left w:val="nil"/>
              <w:bottom w:val="nil"/>
              <w:right w:val="nil"/>
            </w:tcBorders>
            <w:shd w:val="clear" w:color="000000" w:fill="FFFFFF"/>
            <w:noWrap/>
            <w:vAlign w:val="bottom"/>
            <w:hideMark/>
          </w:tcPr>
          <w:p w14:paraId="04935DFD" w14:textId="77777777" w:rsidR="001B6918" w:rsidRPr="004E6649" w:rsidRDefault="001B6918" w:rsidP="00730ECF">
            <w:pPr>
              <w:rPr>
                <w:rFonts w:eastAsia="Times New Roman" w:cstheme="minorHAnsi"/>
                <w:b/>
                <w:bCs/>
                <w:color w:val="0D0D0D"/>
                <w:sz w:val="18"/>
                <w:szCs w:val="20"/>
              </w:rPr>
            </w:pPr>
            <w:r>
              <w:rPr>
                <w:rFonts w:ascii="Calibri" w:hAnsi="Calibri" w:cs="Calibri"/>
                <w:b/>
                <w:bCs/>
                <w:color w:val="0D0D0D"/>
                <w:sz w:val="20"/>
                <w:szCs w:val="20"/>
              </w:rPr>
              <w:t>Operating Investments measured at NAV:</w:t>
            </w:r>
          </w:p>
        </w:tc>
        <w:tc>
          <w:tcPr>
            <w:tcW w:w="1300" w:type="dxa"/>
            <w:tcBorders>
              <w:top w:val="nil"/>
              <w:left w:val="nil"/>
              <w:bottom w:val="nil"/>
              <w:right w:val="nil"/>
            </w:tcBorders>
            <w:shd w:val="clear" w:color="000000" w:fill="FFFFFF"/>
            <w:noWrap/>
            <w:vAlign w:val="bottom"/>
            <w:hideMark/>
          </w:tcPr>
          <w:p w14:paraId="248966D6" w14:textId="77777777" w:rsidR="001B6918" w:rsidRPr="004E6649" w:rsidRDefault="001B6918" w:rsidP="00702A68">
            <w:pPr>
              <w:ind w:right="76"/>
              <w:jc w:val="center"/>
              <w:rPr>
                <w:rFonts w:eastAsia="Times New Roman" w:cstheme="minorHAnsi"/>
                <w:b/>
                <w:bCs/>
                <w:color w:val="0D0D0D"/>
                <w:sz w:val="18"/>
                <w:szCs w:val="20"/>
              </w:rPr>
            </w:pPr>
            <w:r>
              <w:rPr>
                <w:rFonts w:ascii="Calibri" w:hAnsi="Calibri" w:cs="Calibri"/>
                <w:color w:val="0D0D0D"/>
                <w:sz w:val="20"/>
                <w:szCs w:val="20"/>
              </w:rPr>
              <w:t> </w:t>
            </w:r>
          </w:p>
        </w:tc>
        <w:tc>
          <w:tcPr>
            <w:tcW w:w="1782" w:type="dxa"/>
            <w:tcBorders>
              <w:top w:val="nil"/>
              <w:left w:val="nil"/>
              <w:bottom w:val="nil"/>
              <w:right w:val="nil"/>
            </w:tcBorders>
            <w:shd w:val="clear" w:color="000000" w:fill="FFFFFF"/>
            <w:noWrap/>
            <w:vAlign w:val="bottom"/>
            <w:hideMark/>
          </w:tcPr>
          <w:p w14:paraId="463AF4DC" w14:textId="77777777" w:rsidR="001B6918" w:rsidRPr="004E6649" w:rsidRDefault="001B6918" w:rsidP="00730ECF">
            <w:pPr>
              <w:rPr>
                <w:rFonts w:eastAsia="Times New Roman" w:cstheme="minorHAnsi"/>
                <w:b/>
                <w:bCs/>
                <w:color w:val="0D0D0D"/>
                <w:sz w:val="18"/>
                <w:szCs w:val="20"/>
              </w:rPr>
            </w:pPr>
            <w:r>
              <w:rPr>
                <w:rFonts w:ascii="Calibri" w:hAnsi="Calibri" w:cs="Calibri"/>
                <w:color w:val="0D0D0D"/>
                <w:sz w:val="20"/>
                <w:szCs w:val="20"/>
              </w:rPr>
              <w:t> </w:t>
            </w:r>
          </w:p>
        </w:tc>
        <w:tc>
          <w:tcPr>
            <w:tcW w:w="1729" w:type="dxa"/>
            <w:tcBorders>
              <w:top w:val="nil"/>
              <w:left w:val="nil"/>
              <w:bottom w:val="nil"/>
              <w:right w:val="nil"/>
            </w:tcBorders>
            <w:shd w:val="clear" w:color="000000" w:fill="FFFFFF"/>
            <w:noWrap/>
            <w:vAlign w:val="bottom"/>
            <w:hideMark/>
          </w:tcPr>
          <w:p w14:paraId="5ED082F2" w14:textId="77777777" w:rsidR="001B6918" w:rsidRPr="004E6649" w:rsidRDefault="001B6918" w:rsidP="00730ECF">
            <w:pPr>
              <w:rPr>
                <w:rFonts w:eastAsia="Times New Roman" w:cstheme="minorHAnsi"/>
                <w:b/>
                <w:bCs/>
                <w:color w:val="0D0D0D"/>
                <w:sz w:val="18"/>
                <w:szCs w:val="20"/>
              </w:rPr>
            </w:pPr>
            <w:r>
              <w:rPr>
                <w:rFonts w:ascii="Calibri" w:hAnsi="Calibri" w:cs="Calibri"/>
                <w:color w:val="0D0D0D"/>
                <w:sz w:val="20"/>
                <w:szCs w:val="20"/>
              </w:rPr>
              <w:t> </w:t>
            </w:r>
          </w:p>
        </w:tc>
      </w:tr>
      <w:tr w:rsidR="000B66F9" w:rsidRPr="004E6649" w14:paraId="333F7E7B" w14:textId="77777777" w:rsidTr="000B66F9">
        <w:trPr>
          <w:trHeight w:val="135"/>
        </w:trPr>
        <w:tc>
          <w:tcPr>
            <w:tcW w:w="5270" w:type="dxa"/>
            <w:tcBorders>
              <w:top w:val="nil"/>
              <w:left w:val="nil"/>
              <w:bottom w:val="nil"/>
              <w:right w:val="nil"/>
            </w:tcBorders>
            <w:shd w:val="clear" w:color="000000" w:fill="FFFFFF"/>
            <w:noWrap/>
            <w:vAlign w:val="bottom"/>
            <w:hideMark/>
          </w:tcPr>
          <w:p w14:paraId="2A57C6BD" w14:textId="77777777" w:rsidR="001B6918" w:rsidRPr="004E6649" w:rsidRDefault="001B6918" w:rsidP="00730ECF">
            <w:pPr>
              <w:rPr>
                <w:rFonts w:eastAsia="Times New Roman" w:cstheme="minorHAnsi"/>
                <w:color w:val="0D0D0D"/>
                <w:sz w:val="18"/>
                <w:szCs w:val="20"/>
              </w:rPr>
            </w:pPr>
            <w:r>
              <w:rPr>
                <w:rFonts w:ascii="Calibri" w:hAnsi="Calibri" w:cs="Calibri"/>
                <w:color w:val="0D0D0D"/>
                <w:sz w:val="20"/>
                <w:szCs w:val="20"/>
              </w:rPr>
              <w:t>Equities:  Multi-strategy</w:t>
            </w:r>
            <w:r>
              <w:rPr>
                <w:rFonts w:ascii="Calibri" w:hAnsi="Calibri" w:cs="Calibri"/>
                <w:color w:val="0D0D0D"/>
                <w:sz w:val="20"/>
                <w:szCs w:val="20"/>
                <w:vertAlign w:val="superscript"/>
              </w:rPr>
              <w:t xml:space="preserve"> ₁</w:t>
            </w:r>
          </w:p>
        </w:tc>
        <w:tc>
          <w:tcPr>
            <w:tcW w:w="1300" w:type="dxa"/>
            <w:tcBorders>
              <w:top w:val="nil"/>
              <w:left w:val="nil"/>
              <w:bottom w:val="nil"/>
              <w:right w:val="nil"/>
            </w:tcBorders>
            <w:shd w:val="clear" w:color="000000" w:fill="FFFFFF"/>
            <w:noWrap/>
            <w:hideMark/>
          </w:tcPr>
          <w:p w14:paraId="0470041A" w14:textId="77777777" w:rsidR="001B6918" w:rsidRPr="006D1B34" w:rsidRDefault="001B6918" w:rsidP="00702A68">
            <w:pPr>
              <w:ind w:right="76"/>
              <w:jc w:val="right"/>
              <w:rPr>
                <w:rFonts w:eastAsia="Times New Roman" w:cstheme="minorHAnsi"/>
                <w:color w:val="FF0000"/>
                <w:sz w:val="20"/>
                <w:szCs w:val="20"/>
              </w:rPr>
            </w:pPr>
            <w:r w:rsidRPr="00736EFA">
              <w:rPr>
                <w:sz w:val="20"/>
                <w:szCs w:val="20"/>
              </w:rPr>
              <w:t xml:space="preserve"> $</w:t>
            </w:r>
            <w:r w:rsidRPr="006D1B34">
              <w:rPr>
                <w:sz w:val="20"/>
                <w:szCs w:val="20"/>
              </w:rPr>
              <w:t xml:space="preserve">  </w:t>
            </w:r>
            <w:r w:rsidRPr="00736EFA">
              <w:rPr>
                <w:sz w:val="20"/>
                <w:szCs w:val="20"/>
              </w:rPr>
              <w:t xml:space="preserve">15,068 </w:t>
            </w:r>
          </w:p>
        </w:tc>
        <w:tc>
          <w:tcPr>
            <w:tcW w:w="1782" w:type="dxa"/>
            <w:tcBorders>
              <w:top w:val="nil"/>
              <w:left w:val="nil"/>
              <w:bottom w:val="nil"/>
              <w:right w:val="nil"/>
            </w:tcBorders>
            <w:shd w:val="clear" w:color="000000" w:fill="FFFFFF"/>
            <w:noWrap/>
            <w:vAlign w:val="bottom"/>
            <w:hideMark/>
          </w:tcPr>
          <w:p w14:paraId="585A073A" w14:textId="77777777" w:rsidR="001B6918" w:rsidRPr="00150AA1" w:rsidRDefault="001B6918" w:rsidP="00730ECF">
            <w:pPr>
              <w:rPr>
                <w:rFonts w:eastAsia="Times New Roman" w:cstheme="minorHAnsi"/>
                <w:sz w:val="18"/>
                <w:szCs w:val="20"/>
              </w:rPr>
            </w:pPr>
            <w:r w:rsidRPr="00150AA1">
              <w:rPr>
                <w:rFonts w:ascii="Calibri" w:hAnsi="Calibri" w:cs="Calibri"/>
                <w:sz w:val="20"/>
                <w:szCs w:val="20"/>
              </w:rPr>
              <w:t>Quarterly, Monthly</w:t>
            </w:r>
          </w:p>
        </w:tc>
        <w:tc>
          <w:tcPr>
            <w:tcW w:w="1729" w:type="dxa"/>
            <w:tcBorders>
              <w:top w:val="nil"/>
              <w:left w:val="nil"/>
              <w:bottom w:val="nil"/>
              <w:right w:val="nil"/>
            </w:tcBorders>
            <w:shd w:val="clear" w:color="000000" w:fill="FFFFFF"/>
            <w:noWrap/>
            <w:vAlign w:val="bottom"/>
            <w:hideMark/>
          </w:tcPr>
          <w:p w14:paraId="10D4153D" w14:textId="77777777" w:rsidR="001B6918" w:rsidRPr="00150AA1" w:rsidRDefault="001B6918" w:rsidP="00730ECF">
            <w:pPr>
              <w:rPr>
                <w:rFonts w:eastAsia="Times New Roman" w:cstheme="minorHAnsi"/>
                <w:sz w:val="18"/>
                <w:szCs w:val="20"/>
              </w:rPr>
            </w:pPr>
            <w:r w:rsidRPr="00150AA1">
              <w:rPr>
                <w:rFonts w:ascii="Calibri" w:hAnsi="Calibri" w:cs="Calibri"/>
                <w:sz w:val="20"/>
                <w:szCs w:val="20"/>
              </w:rPr>
              <w:t>60, 90 days</w:t>
            </w:r>
          </w:p>
        </w:tc>
      </w:tr>
      <w:tr w:rsidR="000B66F9" w:rsidRPr="004E6649" w14:paraId="5CA8BA9C" w14:textId="77777777" w:rsidTr="000B66F9">
        <w:trPr>
          <w:trHeight w:val="80"/>
        </w:trPr>
        <w:tc>
          <w:tcPr>
            <w:tcW w:w="5270" w:type="dxa"/>
            <w:tcBorders>
              <w:top w:val="nil"/>
              <w:left w:val="nil"/>
              <w:bottom w:val="single" w:sz="4" w:space="0" w:color="000000"/>
              <w:right w:val="nil"/>
            </w:tcBorders>
            <w:shd w:val="clear" w:color="000000" w:fill="FFFFFF"/>
            <w:noWrap/>
            <w:vAlign w:val="bottom"/>
            <w:hideMark/>
          </w:tcPr>
          <w:p w14:paraId="25E40CCD" w14:textId="77777777" w:rsidR="001B6918" w:rsidRPr="004E6649" w:rsidRDefault="001B6918" w:rsidP="00730ECF">
            <w:pPr>
              <w:rPr>
                <w:rFonts w:eastAsia="Times New Roman" w:cstheme="minorHAnsi"/>
                <w:color w:val="0D0D0D"/>
                <w:sz w:val="18"/>
                <w:szCs w:val="20"/>
              </w:rPr>
            </w:pPr>
            <w:r>
              <w:rPr>
                <w:rFonts w:ascii="Calibri" w:hAnsi="Calibri" w:cs="Calibri"/>
                <w:color w:val="0D0D0D"/>
                <w:sz w:val="20"/>
                <w:szCs w:val="20"/>
              </w:rPr>
              <w:t xml:space="preserve">Bank loans </w:t>
            </w:r>
            <w:r>
              <w:rPr>
                <w:rFonts w:ascii="Calibri" w:hAnsi="Calibri" w:cs="Calibri"/>
                <w:color w:val="0D0D0D"/>
                <w:sz w:val="20"/>
                <w:szCs w:val="20"/>
                <w:vertAlign w:val="superscript"/>
              </w:rPr>
              <w:t>₂</w:t>
            </w:r>
          </w:p>
        </w:tc>
        <w:tc>
          <w:tcPr>
            <w:tcW w:w="1300" w:type="dxa"/>
            <w:tcBorders>
              <w:top w:val="nil"/>
              <w:left w:val="nil"/>
              <w:bottom w:val="single" w:sz="4" w:space="0" w:color="000000"/>
              <w:right w:val="nil"/>
            </w:tcBorders>
            <w:shd w:val="clear" w:color="000000" w:fill="FFFFFF"/>
            <w:noWrap/>
            <w:hideMark/>
          </w:tcPr>
          <w:p w14:paraId="38CBDF54" w14:textId="77777777" w:rsidR="001B6918" w:rsidRPr="006D1B34" w:rsidRDefault="001B6918" w:rsidP="00702A68">
            <w:pPr>
              <w:ind w:right="76"/>
              <w:jc w:val="right"/>
              <w:rPr>
                <w:rFonts w:eastAsia="Times New Roman" w:cstheme="minorHAnsi"/>
                <w:color w:val="FF0000"/>
                <w:sz w:val="20"/>
                <w:szCs w:val="20"/>
              </w:rPr>
            </w:pPr>
            <w:r w:rsidRPr="00736EFA">
              <w:rPr>
                <w:sz w:val="20"/>
                <w:szCs w:val="20"/>
              </w:rPr>
              <w:t xml:space="preserve"> 21,489 </w:t>
            </w:r>
          </w:p>
        </w:tc>
        <w:tc>
          <w:tcPr>
            <w:tcW w:w="1782" w:type="dxa"/>
            <w:tcBorders>
              <w:top w:val="nil"/>
              <w:left w:val="nil"/>
              <w:bottom w:val="nil"/>
              <w:right w:val="nil"/>
            </w:tcBorders>
            <w:shd w:val="clear" w:color="000000" w:fill="FFFFFF"/>
            <w:noWrap/>
            <w:vAlign w:val="bottom"/>
            <w:hideMark/>
          </w:tcPr>
          <w:p w14:paraId="00435E9B" w14:textId="77777777" w:rsidR="001B6918" w:rsidRPr="00150AA1" w:rsidRDefault="001B6918" w:rsidP="00730ECF">
            <w:pPr>
              <w:rPr>
                <w:rFonts w:eastAsia="Times New Roman" w:cstheme="minorHAnsi"/>
                <w:sz w:val="18"/>
                <w:szCs w:val="20"/>
              </w:rPr>
            </w:pPr>
            <w:r>
              <w:rPr>
                <w:rFonts w:ascii="Calibri" w:hAnsi="Calibri" w:cs="Calibri"/>
                <w:sz w:val="20"/>
                <w:szCs w:val="20"/>
              </w:rPr>
              <w:t>M</w:t>
            </w:r>
            <w:r w:rsidRPr="00150AA1">
              <w:rPr>
                <w:rFonts w:ascii="Calibri" w:hAnsi="Calibri" w:cs="Calibri"/>
                <w:sz w:val="20"/>
                <w:szCs w:val="20"/>
              </w:rPr>
              <w:t>onthly</w:t>
            </w:r>
          </w:p>
        </w:tc>
        <w:tc>
          <w:tcPr>
            <w:tcW w:w="1729" w:type="dxa"/>
            <w:tcBorders>
              <w:top w:val="nil"/>
              <w:left w:val="nil"/>
              <w:bottom w:val="nil"/>
              <w:right w:val="nil"/>
            </w:tcBorders>
            <w:shd w:val="clear" w:color="000000" w:fill="FFFFFF"/>
            <w:noWrap/>
            <w:vAlign w:val="bottom"/>
            <w:hideMark/>
          </w:tcPr>
          <w:p w14:paraId="3390FF8E" w14:textId="77777777" w:rsidR="001B6918" w:rsidRPr="00150AA1" w:rsidRDefault="001B6918" w:rsidP="00730ECF">
            <w:pPr>
              <w:rPr>
                <w:rFonts w:eastAsia="Times New Roman" w:cstheme="minorHAnsi"/>
                <w:sz w:val="18"/>
                <w:szCs w:val="20"/>
              </w:rPr>
            </w:pPr>
            <w:r>
              <w:rPr>
                <w:rFonts w:ascii="Calibri" w:hAnsi="Calibri" w:cs="Calibri"/>
                <w:sz w:val="20"/>
                <w:szCs w:val="20"/>
              </w:rPr>
              <w:t>30</w:t>
            </w:r>
            <w:r w:rsidRPr="00150AA1">
              <w:rPr>
                <w:rFonts w:ascii="Calibri" w:hAnsi="Calibri" w:cs="Calibri"/>
                <w:sz w:val="20"/>
                <w:szCs w:val="20"/>
              </w:rPr>
              <w:t xml:space="preserve"> days</w:t>
            </w:r>
          </w:p>
        </w:tc>
      </w:tr>
      <w:tr w:rsidR="000B66F9" w:rsidRPr="004E6649" w14:paraId="314003E4" w14:textId="77777777" w:rsidTr="000B66F9">
        <w:trPr>
          <w:trHeight w:val="170"/>
        </w:trPr>
        <w:tc>
          <w:tcPr>
            <w:tcW w:w="5270" w:type="dxa"/>
            <w:tcBorders>
              <w:top w:val="nil"/>
              <w:left w:val="nil"/>
              <w:bottom w:val="double" w:sz="6" w:space="0" w:color="000000"/>
              <w:right w:val="nil"/>
            </w:tcBorders>
            <w:shd w:val="clear" w:color="000000" w:fill="FFFFFF"/>
            <w:noWrap/>
            <w:vAlign w:val="bottom"/>
            <w:hideMark/>
          </w:tcPr>
          <w:p w14:paraId="500BDA99" w14:textId="77777777" w:rsidR="001B6918" w:rsidRPr="004E6649" w:rsidRDefault="001B6918" w:rsidP="00730ECF">
            <w:pPr>
              <w:rPr>
                <w:rFonts w:eastAsia="Times New Roman" w:cstheme="minorHAnsi"/>
                <w:b/>
                <w:bCs/>
                <w:color w:val="0D0D0D"/>
                <w:sz w:val="18"/>
                <w:szCs w:val="20"/>
              </w:rPr>
            </w:pPr>
            <w:r>
              <w:rPr>
                <w:rFonts w:ascii="Calibri" w:hAnsi="Calibri" w:cs="Calibri"/>
                <w:b/>
                <w:bCs/>
                <w:color w:val="0D0D0D"/>
                <w:sz w:val="20"/>
                <w:szCs w:val="20"/>
              </w:rPr>
              <w:t>Total operating investments measured at NAV</w:t>
            </w:r>
          </w:p>
        </w:tc>
        <w:tc>
          <w:tcPr>
            <w:tcW w:w="1300" w:type="dxa"/>
            <w:tcBorders>
              <w:top w:val="nil"/>
              <w:left w:val="nil"/>
              <w:bottom w:val="double" w:sz="6" w:space="0" w:color="000000"/>
              <w:right w:val="nil"/>
            </w:tcBorders>
            <w:shd w:val="clear" w:color="000000" w:fill="FFFFFF"/>
            <w:noWrap/>
            <w:hideMark/>
          </w:tcPr>
          <w:p w14:paraId="71CDF6F2" w14:textId="77777777" w:rsidR="001B6918" w:rsidRPr="006D1B34" w:rsidRDefault="001B6918" w:rsidP="00702A68">
            <w:pPr>
              <w:ind w:right="76"/>
              <w:jc w:val="right"/>
              <w:rPr>
                <w:rFonts w:eastAsia="Times New Roman" w:cstheme="minorHAnsi"/>
                <w:b/>
                <w:bCs/>
                <w:color w:val="FF0000"/>
                <w:sz w:val="20"/>
                <w:szCs w:val="20"/>
              </w:rPr>
            </w:pPr>
            <w:r w:rsidRPr="00736EFA">
              <w:rPr>
                <w:sz w:val="20"/>
                <w:szCs w:val="20"/>
              </w:rPr>
              <w:t xml:space="preserve"> $</w:t>
            </w:r>
            <w:r w:rsidRPr="006D1B34">
              <w:rPr>
                <w:sz w:val="20"/>
                <w:szCs w:val="20"/>
              </w:rPr>
              <w:t xml:space="preserve">  </w:t>
            </w:r>
            <w:r w:rsidRPr="00736EFA">
              <w:rPr>
                <w:sz w:val="20"/>
                <w:szCs w:val="20"/>
              </w:rPr>
              <w:t xml:space="preserve">36,557 </w:t>
            </w:r>
          </w:p>
        </w:tc>
        <w:tc>
          <w:tcPr>
            <w:tcW w:w="1782" w:type="dxa"/>
            <w:tcBorders>
              <w:top w:val="nil"/>
              <w:left w:val="nil"/>
              <w:bottom w:val="nil"/>
              <w:right w:val="nil"/>
            </w:tcBorders>
            <w:shd w:val="clear" w:color="000000" w:fill="FFFFFF"/>
            <w:noWrap/>
            <w:vAlign w:val="bottom"/>
            <w:hideMark/>
          </w:tcPr>
          <w:p w14:paraId="05879A2E" w14:textId="77777777" w:rsidR="001B6918" w:rsidRPr="00150AA1" w:rsidRDefault="001B6918" w:rsidP="00730ECF">
            <w:pPr>
              <w:rPr>
                <w:rFonts w:eastAsia="Times New Roman" w:cstheme="minorHAnsi"/>
                <w:b/>
                <w:bCs/>
                <w:sz w:val="18"/>
                <w:szCs w:val="20"/>
              </w:rPr>
            </w:pPr>
            <w:r w:rsidRPr="00150AA1">
              <w:rPr>
                <w:rFonts w:ascii="Calibri" w:hAnsi="Calibri" w:cs="Calibri"/>
                <w:sz w:val="20"/>
                <w:szCs w:val="20"/>
              </w:rPr>
              <w:t> </w:t>
            </w:r>
          </w:p>
        </w:tc>
        <w:tc>
          <w:tcPr>
            <w:tcW w:w="1729" w:type="dxa"/>
            <w:tcBorders>
              <w:top w:val="nil"/>
              <w:left w:val="nil"/>
              <w:bottom w:val="nil"/>
              <w:right w:val="nil"/>
            </w:tcBorders>
            <w:shd w:val="clear" w:color="000000" w:fill="FFFFFF"/>
            <w:noWrap/>
            <w:vAlign w:val="bottom"/>
            <w:hideMark/>
          </w:tcPr>
          <w:p w14:paraId="3E32785B" w14:textId="77777777" w:rsidR="001B6918" w:rsidRPr="00150AA1" w:rsidRDefault="001B6918" w:rsidP="00730ECF">
            <w:pPr>
              <w:rPr>
                <w:rFonts w:eastAsia="Times New Roman" w:cstheme="minorHAnsi"/>
                <w:b/>
                <w:bCs/>
                <w:sz w:val="18"/>
                <w:szCs w:val="20"/>
              </w:rPr>
            </w:pPr>
            <w:r w:rsidRPr="00150AA1">
              <w:rPr>
                <w:rFonts w:ascii="Calibri" w:hAnsi="Calibri" w:cs="Calibri"/>
                <w:sz w:val="20"/>
                <w:szCs w:val="20"/>
              </w:rPr>
              <w:t> </w:t>
            </w:r>
          </w:p>
        </w:tc>
      </w:tr>
      <w:tr w:rsidR="000B66F9" w:rsidRPr="004E6649" w14:paraId="493BB61A" w14:textId="77777777" w:rsidTr="000B66F9">
        <w:trPr>
          <w:trHeight w:val="63"/>
        </w:trPr>
        <w:tc>
          <w:tcPr>
            <w:tcW w:w="5270" w:type="dxa"/>
            <w:tcBorders>
              <w:top w:val="nil"/>
              <w:left w:val="nil"/>
              <w:bottom w:val="nil"/>
              <w:right w:val="nil"/>
            </w:tcBorders>
            <w:shd w:val="clear" w:color="000000" w:fill="FFFFFF"/>
            <w:noWrap/>
            <w:vAlign w:val="bottom"/>
            <w:hideMark/>
          </w:tcPr>
          <w:p w14:paraId="7FE20A94" w14:textId="77777777" w:rsidR="001B6918" w:rsidRPr="004E6649" w:rsidRDefault="001B6918" w:rsidP="00730ECF">
            <w:pPr>
              <w:rPr>
                <w:rFonts w:eastAsia="Times New Roman" w:cstheme="minorHAnsi"/>
                <w:b/>
                <w:bCs/>
                <w:color w:val="0D0D0D"/>
                <w:sz w:val="18"/>
                <w:szCs w:val="20"/>
              </w:rPr>
            </w:pPr>
            <w:r>
              <w:rPr>
                <w:rFonts w:ascii="Calibri" w:hAnsi="Calibri" w:cs="Calibri"/>
                <w:b/>
                <w:bCs/>
                <w:color w:val="0D0D0D"/>
                <w:sz w:val="20"/>
                <w:szCs w:val="20"/>
              </w:rPr>
              <w:t>Investments measured at NAV:</w:t>
            </w:r>
          </w:p>
        </w:tc>
        <w:tc>
          <w:tcPr>
            <w:tcW w:w="1300" w:type="dxa"/>
            <w:tcBorders>
              <w:top w:val="nil"/>
              <w:left w:val="nil"/>
              <w:bottom w:val="nil"/>
              <w:right w:val="nil"/>
            </w:tcBorders>
            <w:shd w:val="clear" w:color="000000" w:fill="FFFFFF"/>
            <w:noWrap/>
            <w:hideMark/>
          </w:tcPr>
          <w:p w14:paraId="1DBCDE48" w14:textId="77777777" w:rsidR="001B6918" w:rsidRPr="006D1B34" w:rsidRDefault="001B6918" w:rsidP="00702A68">
            <w:pPr>
              <w:ind w:right="76"/>
              <w:jc w:val="right"/>
              <w:rPr>
                <w:rFonts w:eastAsia="Times New Roman" w:cstheme="minorHAnsi"/>
                <w:b/>
                <w:bCs/>
                <w:color w:val="FF0000"/>
                <w:sz w:val="20"/>
                <w:szCs w:val="20"/>
              </w:rPr>
            </w:pPr>
          </w:p>
        </w:tc>
        <w:tc>
          <w:tcPr>
            <w:tcW w:w="1782" w:type="dxa"/>
            <w:tcBorders>
              <w:top w:val="nil"/>
              <w:left w:val="nil"/>
              <w:bottom w:val="nil"/>
              <w:right w:val="nil"/>
            </w:tcBorders>
            <w:shd w:val="clear" w:color="000000" w:fill="FFFFFF"/>
            <w:noWrap/>
            <w:vAlign w:val="bottom"/>
            <w:hideMark/>
          </w:tcPr>
          <w:p w14:paraId="71A83636" w14:textId="77777777" w:rsidR="001B6918" w:rsidRPr="00150AA1" w:rsidRDefault="001B6918" w:rsidP="00730ECF">
            <w:pPr>
              <w:rPr>
                <w:rFonts w:eastAsia="Times New Roman" w:cstheme="minorHAnsi"/>
                <w:b/>
                <w:bCs/>
                <w:sz w:val="18"/>
                <w:szCs w:val="20"/>
              </w:rPr>
            </w:pPr>
            <w:r w:rsidRPr="00150AA1">
              <w:rPr>
                <w:rFonts w:ascii="Calibri" w:hAnsi="Calibri" w:cs="Calibri"/>
                <w:sz w:val="20"/>
                <w:szCs w:val="20"/>
              </w:rPr>
              <w:t> </w:t>
            </w:r>
          </w:p>
        </w:tc>
        <w:tc>
          <w:tcPr>
            <w:tcW w:w="1729" w:type="dxa"/>
            <w:tcBorders>
              <w:top w:val="nil"/>
              <w:left w:val="nil"/>
              <w:bottom w:val="nil"/>
              <w:right w:val="nil"/>
            </w:tcBorders>
            <w:shd w:val="clear" w:color="000000" w:fill="FFFFFF"/>
            <w:noWrap/>
            <w:vAlign w:val="bottom"/>
            <w:hideMark/>
          </w:tcPr>
          <w:p w14:paraId="5D34AF73" w14:textId="77777777" w:rsidR="001B6918" w:rsidRPr="00150AA1" w:rsidRDefault="001B6918" w:rsidP="00730ECF">
            <w:pPr>
              <w:rPr>
                <w:rFonts w:eastAsia="Times New Roman" w:cstheme="minorHAnsi"/>
                <w:b/>
                <w:bCs/>
                <w:sz w:val="18"/>
                <w:szCs w:val="20"/>
              </w:rPr>
            </w:pPr>
            <w:r w:rsidRPr="00150AA1">
              <w:rPr>
                <w:rFonts w:ascii="Calibri" w:hAnsi="Calibri" w:cs="Calibri"/>
                <w:sz w:val="20"/>
                <w:szCs w:val="20"/>
              </w:rPr>
              <w:t> </w:t>
            </w:r>
          </w:p>
        </w:tc>
      </w:tr>
      <w:tr w:rsidR="000B66F9" w:rsidRPr="004E6649" w14:paraId="1AB62271" w14:textId="77777777" w:rsidTr="000B66F9">
        <w:trPr>
          <w:trHeight w:val="90"/>
        </w:trPr>
        <w:tc>
          <w:tcPr>
            <w:tcW w:w="5270" w:type="dxa"/>
            <w:tcBorders>
              <w:top w:val="nil"/>
              <w:left w:val="nil"/>
              <w:bottom w:val="nil"/>
              <w:right w:val="nil"/>
            </w:tcBorders>
            <w:shd w:val="clear" w:color="000000" w:fill="FFFFFF"/>
            <w:noWrap/>
            <w:vAlign w:val="bottom"/>
            <w:hideMark/>
          </w:tcPr>
          <w:p w14:paraId="12C5EFCB" w14:textId="3F304B6F" w:rsidR="00EB2C1C" w:rsidRPr="004E6649" w:rsidRDefault="00EB2C1C" w:rsidP="00EB2C1C">
            <w:pPr>
              <w:rPr>
                <w:rFonts w:eastAsia="Times New Roman" w:cstheme="minorHAnsi"/>
                <w:color w:val="0D0D0D"/>
                <w:sz w:val="18"/>
                <w:szCs w:val="20"/>
              </w:rPr>
            </w:pPr>
            <w:r>
              <w:rPr>
                <w:rFonts w:ascii="Calibri" w:hAnsi="Calibri" w:cs="Calibri"/>
                <w:color w:val="0D0D0D"/>
                <w:sz w:val="20"/>
                <w:szCs w:val="20"/>
              </w:rPr>
              <w:t>Equity securities</w:t>
            </w:r>
          </w:p>
        </w:tc>
        <w:tc>
          <w:tcPr>
            <w:tcW w:w="1300" w:type="dxa"/>
            <w:tcBorders>
              <w:top w:val="nil"/>
              <w:left w:val="nil"/>
              <w:bottom w:val="nil"/>
              <w:right w:val="nil"/>
            </w:tcBorders>
            <w:shd w:val="clear" w:color="000000" w:fill="FFFFFF"/>
            <w:noWrap/>
            <w:hideMark/>
          </w:tcPr>
          <w:p w14:paraId="4E8D0B3F" w14:textId="13911841" w:rsidR="00EB2C1C" w:rsidRPr="00EB2C1C" w:rsidRDefault="003540D1" w:rsidP="00702A68">
            <w:pPr>
              <w:ind w:right="76"/>
              <w:jc w:val="right"/>
              <w:rPr>
                <w:rFonts w:eastAsia="Times New Roman" w:cstheme="minorHAnsi"/>
                <w:sz w:val="20"/>
                <w:szCs w:val="20"/>
              </w:rPr>
            </w:pPr>
            <w:r w:rsidRPr="003540D1">
              <w:rPr>
                <w:sz w:val="20"/>
                <w:szCs w:val="20"/>
              </w:rPr>
              <w:t>$</w:t>
            </w:r>
            <w:r w:rsidR="00687A93">
              <w:rPr>
                <w:sz w:val="20"/>
                <w:szCs w:val="20"/>
              </w:rPr>
              <w:t xml:space="preserve">  </w:t>
            </w:r>
            <w:r w:rsidRPr="003540D1">
              <w:rPr>
                <w:sz w:val="20"/>
                <w:szCs w:val="20"/>
              </w:rPr>
              <w:t>83,939</w:t>
            </w:r>
          </w:p>
        </w:tc>
        <w:tc>
          <w:tcPr>
            <w:tcW w:w="1782" w:type="dxa"/>
            <w:tcBorders>
              <w:top w:val="nil"/>
              <w:left w:val="nil"/>
              <w:bottom w:val="nil"/>
              <w:right w:val="nil"/>
            </w:tcBorders>
            <w:shd w:val="clear" w:color="000000" w:fill="FFFFFF"/>
            <w:noWrap/>
            <w:vAlign w:val="bottom"/>
            <w:hideMark/>
          </w:tcPr>
          <w:p w14:paraId="13F55B30" w14:textId="77777777" w:rsidR="00EB2C1C" w:rsidRPr="00150AA1" w:rsidRDefault="00EB2C1C" w:rsidP="00EB2C1C">
            <w:pPr>
              <w:rPr>
                <w:rFonts w:eastAsia="Times New Roman" w:cstheme="minorHAnsi"/>
                <w:sz w:val="18"/>
                <w:szCs w:val="20"/>
              </w:rPr>
            </w:pPr>
            <w:r w:rsidRPr="00150AA1">
              <w:rPr>
                <w:rFonts w:ascii="Calibri" w:hAnsi="Calibri" w:cs="Calibri"/>
                <w:sz w:val="20"/>
                <w:szCs w:val="20"/>
              </w:rPr>
              <w:t>Monthly</w:t>
            </w:r>
          </w:p>
        </w:tc>
        <w:tc>
          <w:tcPr>
            <w:tcW w:w="1729" w:type="dxa"/>
            <w:tcBorders>
              <w:top w:val="nil"/>
              <w:left w:val="nil"/>
              <w:bottom w:val="nil"/>
              <w:right w:val="nil"/>
            </w:tcBorders>
            <w:shd w:val="clear" w:color="000000" w:fill="FFFFFF"/>
            <w:noWrap/>
            <w:vAlign w:val="bottom"/>
            <w:hideMark/>
          </w:tcPr>
          <w:p w14:paraId="46B7F81C" w14:textId="77777777" w:rsidR="00EB2C1C" w:rsidRPr="00150AA1" w:rsidRDefault="00EB2C1C" w:rsidP="00EB2C1C">
            <w:pPr>
              <w:rPr>
                <w:rFonts w:eastAsia="Times New Roman" w:cstheme="minorHAnsi"/>
                <w:sz w:val="18"/>
                <w:szCs w:val="20"/>
              </w:rPr>
            </w:pPr>
            <w:r w:rsidRPr="00150AA1">
              <w:rPr>
                <w:rFonts w:ascii="Calibri" w:hAnsi="Calibri" w:cs="Calibri"/>
                <w:sz w:val="20"/>
                <w:szCs w:val="20"/>
              </w:rPr>
              <w:t>30 days</w:t>
            </w:r>
          </w:p>
        </w:tc>
      </w:tr>
      <w:tr w:rsidR="000B66F9" w:rsidRPr="004E6649" w14:paraId="271402C0" w14:textId="77777777" w:rsidTr="000B66F9">
        <w:trPr>
          <w:trHeight w:val="80"/>
        </w:trPr>
        <w:tc>
          <w:tcPr>
            <w:tcW w:w="5270" w:type="dxa"/>
            <w:tcBorders>
              <w:top w:val="nil"/>
              <w:left w:val="nil"/>
              <w:bottom w:val="nil"/>
              <w:right w:val="nil"/>
            </w:tcBorders>
            <w:shd w:val="clear" w:color="000000" w:fill="FFFFFF"/>
            <w:noWrap/>
            <w:vAlign w:val="bottom"/>
            <w:hideMark/>
          </w:tcPr>
          <w:p w14:paraId="5853FB7A" w14:textId="77777777" w:rsidR="00EB2C1C" w:rsidRPr="004E6649" w:rsidRDefault="00EB2C1C" w:rsidP="00EB2C1C">
            <w:pPr>
              <w:rPr>
                <w:rFonts w:eastAsia="Times New Roman" w:cstheme="minorHAnsi"/>
                <w:color w:val="0D0D0D"/>
                <w:sz w:val="18"/>
                <w:szCs w:val="20"/>
              </w:rPr>
            </w:pPr>
            <w:r>
              <w:rPr>
                <w:rFonts w:ascii="Calibri" w:hAnsi="Calibri" w:cs="Calibri"/>
                <w:color w:val="0D0D0D"/>
                <w:sz w:val="20"/>
                <w:szCs w:val="20"/>
              </w:rPr>
              <w:t>Multi-strategy funds</w:t>
            </w:r>
            <w:r>
              <w:rPr>
                <w:rFonts w:ascii="Calibri" w:hAnsi="Calibri" w:cs="Calibri"/>
                <w:color w:val="0D0D0D"/>
                <w:sz w:val="20"/>
                <w:szCs w:val="20"/>
                <w:vertAlign w:val="superscript"/>
              </w:rPr>
              <w:t xml:space="preserve"> ₁</w:t>
            </w:r>
          </w:p>
        </w:tc>
        <w:tc>
          <w:tcPr>
            <w:tcW w:w="1300" w:type="dxa"/>
            <w:tcBorders>
              <w:top w:val="nil"/>
              <w:left w:val="nil"/>
              <w:bottom w:val="nil"/>
              <w:right w:val="nil"/>
            </w:tcBorders>
            <w:shd w:val="clear" w:color="000000" w:fill="FFFFFF"/>
            <w:noWrap/>
            <w:hideMark/>
          </w:tcPr>
          <w:p w14:paraId="28E35A87" w14:textId="5DC8CA23" w:rsidR="00EB2C1C" w:rsidRPr="003540D1" w:rsidRDefault="003540D1" w:rsidP="00702A68">
            <w:pPr>
              <w:ind w:right="76"/>
              <w:jc w:val="right"/>
              <w:rPr>
                <w:rFonts w:eastAsia="Times New Roman" w:cstheme="minorHAnsi"/>
                <w:sz w:val="20"/>
                <w:szCs w:val="20"/>
              </w:rPr>
            </w:pPr>
            <w:r w:rsidRPr="003540D1">
              <w:rPr>
                <w:sz w:val="20"/>
                <w:szCs w:val="20"/>
              </w:rPr>
              <w:t>28,877</w:t>
            </w:r>
          </w:p>
        </w:tc>
        <w:tc>
          <w:tcPr>
            <w:tcW w:w="1782" w:type="dxa"/>
            <w:tcBorders>
              <w:top w:val="nil"/>
              <w:left w:val="nil"/>
              <w:bottom w:val="nil"/>
              <w:right w:val="nil"/>
            </w:tcBorders>
            <w:shd w:val="clear" w:color="000000" w:fill="FFFFFF"/>
            <w:noWrap/>
            <w:vAlign w:val="bottom"/>
            <w:hideMark/>
          </w:tcPr>
          <w:p w14:paraId="3514B367" w14:textId="77777777" w:rsidR="00EB2C1C" w:rsidRPr="00150AA1" w:rsidRDefault="00EB2C1C" w:rsidP="00EB2C1C">
            <w:pPr>
              <w:rPr>
                <w:rFonts w:eastAsia="Times New Roman" w:cstheme="minorHAnsi"/>
                <w:sz w:val="18"/>
                <w:szCs w:val="20"/>
              </w:rPr>
            </w:pPr>
            <w:r w:rsidRPr="00150AA1">
              <w:rPr>
                <w:rFonts w:ascii="Calibri" w:hAnsi="Calibri" w:cs="Calibri"/>
                <w:sz w:val="20"/>
                <w:szCs w:val="20"/>
              </w:rPr>
              <w:t>Quarterly, Monthly</w:t>
            </w:r>
          </w:p>
        </w:tc>
        <w:tc>
          <w:tcPr>
            <w:tcW w:w="1729" w:type="dxa"/>
            <w:tcBorders>
              <w:top w:val="nil"/>
              <w:left w:val="nil"/>
              <w:bottom w:val="nil"/>
              <w:right w:val="nil"/>
            </w:tcBorders>
            <w:shd w:val="clear" w:color="000000" w:fill="FFFFFF"/>
            <w:noWrap/>
            <w:vAlign w:val="bottom"/>
            <w:hideMark/>
          </w:tcPr>
          <w:p w14:paraId="76333F65" w14:textId="77777777" w:rsidR="00EB2C1C" w:rsidRPr="00150AA1" w:rsidRDefault="00EB2C1C" w:rsidP="00EB2C1C">
            <w:pPr>
              <w:rPr>
                <w:rFonts w:eastAsia="Times New Roman" w:cstheme="minorHAnsi"/>
                <w:sz w:val="18"/>
                <w:szCs w:val="20"/>
              </w:rPr>
            </w:pPr>
            <w:r w:rsidRPr="00150AA1">
              <w:rPr>
                <w:rFonts w:ascii="Calibri" w:hAnsi="Calibri" w:cs="Calibri"/>
                <w:sz w:val="20"/>
                <w:szCs w:val="20"/>
              </w:rPr>
              <w:t>30, 45, 60, 90 days</w:t>
            </w:r>
          </w:p>
        </w:tc>
      </w:tr>
      <w:tr w:rsidR="000B66F9" w:rsidRPr="004E6649" w14:paraId="0BB9734F" w14:textId="77777777" w:rsidTr="000B66F9">
        <w:trPr>
          <w:trHeight w:val="80"/>
        </w:trPr>
        <w:tc>
          <w:tcPr>
            <w:tcW w:w="5270" w:type="dxa"/>
            <w:tcBorders>
              <w:top w:val="nil"/>
              <w:left w:val="nil"/>
              <w:bottom w:val="nil"/>
              <w:right w:val="nil"/>
            </w:tcBorders>
            <w:shd w:val="clear" w:color="000000" w:fill="FFFFFF"/>
            <w:noWrap/>
            <w:vAlign w:val="bottom"/>
            <w:hideMark/>
          </w:tcPr>
          <w:p w14:paraId="45BA395F" w14:textId="77777777" w:rsidR="00EB2C1C" w:rsidRPr="004E6649" w:rsidRDefault="00EB2C1C" w:rsidP="00EB2C1C">
            <w:pPr>
              <w:rPr>
                <w:rFonts w:eastAsia="Times New Roman" w:cstheme="minorHAnsi"/>
                <w:color w:val="0D0D0D"/>
                <w:sz w:val="18"/>
                <w:szCs w:val="20"/>
              </w:rPr>
            </w:pPr>
            <w:r>
              <w:rPr>
                <w:rFonts w:ascii="Calibri" w:hAnsi="Calibri" w:cs="Calibri"/>
                <w:color w:val="0D0D0D"/>
                <w:sz w:val="20"/>
                <w:szCs w:val="20"/>
              </w:rPr>
              <w:t>Fixed income funds - bonds</w:t>
            </w:r>
          </w:p>
        </w:tc>
        <w:tc>
          <w:tcPr>
            <w:tcW w:w="1300" w:type="dxa"/>
            <w:tcBorders>
              <w:top w:val="nil"/>
              <w:left w:val="nil"/>
              <w:bottom w:val="nil"/>
              <w:right w:val="nil"/>
            </w:tcBorders>
            <w:shd w:val="clear" w:color="000000" w:fill="FFFFFF"/>
            <w:noWrap/>
            <w:hideMark/>
          </w:tcPr>
          <w:p w14:paraId="1437BF24" w14:textId="7AFF8A5C" w:rsidR="00EB2C1C" w:rsidRPr="00EB2C1C" w:rsidRDefault="00EB2C1C" w:rsidP="00702A68">
            <w:pPr>
              <w:ind w:right="76"/>
              <w:jc w:val="right"/>
              <w:rPr>
                <w:rFonts w:eastAsia="Times New Roman" w:cstheme="minorHAnsi"/>
                <w:sz w:val="20"/>
                <w:szCs w:val="20"/>
              </w:rPr>
            </w:pPr>
            <w:r w:rsidRPr="00EB2C1C">
              <w:rPr>
                <w:sz w:val="20"/>
                <w:szCs w:val="20"/>
              </w:rPr>
              <w:t xml:space="preserve"> 25,39</w:t>
            </w:r>
            <w:r w:rsidR="003540D1">
              <w:rPr>
                <w:sz w:val="20"/>
                <w:szCs w:val="20"/>
              </w:rPr>
              <w:t>9</w:t>
            </w:r>
            <w:r w:rsidRPr="00EB2C1C">
              <w:rPr>
                <w:sz w:val="20"/>
                <w:szCs w:val="20"/>
              </w:rPr>
              <w:t xml:space="preserve"> </w:t>
            </w:r>
          </w:p>
        </w:tc>
        <w:tc>
          <w:tcPr>
            <w:tcW w:w="1782" w:type="dxa"/>
            <w:tcBorders>
              <w:top w:val="nil"/>
              <w:left w:val="nil"/>
              <w:bottom w:val="nil"/>
              <w:right w:val="nil"/>
            </w:tcBorders>
            <w:shd w:val="clear" w:color="000000" w:fill="FFFFFF"/>
            <w:noWrap/>
            <w:vAlign w:val="bottom"/>
            <w:hideMark/>
          </w:tcPr>
          <w:p w14:paraId="39AC8273" w14:textId="77777777" w:rsidR="00EB2C1C" w:rsidRPr="00150AA1" w:rsidRDefault="00EB2C1C" w:rsidP="00EB2C1C">
            <w:pPr>
              <w:rPr>
                <w:rFonts w:eastAsia="Times New Roman" w:cstheme="minorHAnsi"/>
                <w:sz w:val="18"/>
                <w:szCs w:val="20"/>
              </w:rPr>
            </w:pPr>
            <w:r w:rsidRPr="00150AA1">
              <w:rPr>
                <w:rFonts w:ascii="Calibri" w:hAnsi="Calibri" w:cs="Calibri"/>
                <w:sz w:val="20"/>
                <w:szCs w:val="20"/>
              </w:rPr>
              <w:t>Monthly</w:t>
            </w:r>
          </w:p>
        </w:tc>
        <w:tc>
          <w:tcPr>
            <w:tcW w:w="1729" w:type="dxa"/>
            <w:tcBorders>
              <w:top w:val="nil"/>
              <w:left w:val="nil"/>
              <w:bottom w:val="nil"/>
              <w:right w:val="nil"/>
            </w:tcBorders>
            <w:shd w:val="clear" w:color="000000" w:fill="FFFFFF"/>
            <w:noWrap/>
            <w:vAlign w:val="bottom"/>
            <w:hideMark/>
          </w:tcPr>
          <w:p w14:paraId="2A153C5D" w14:textId="77777777" w:rsidR="00EB2C1C" w:rsidRPr="00150AA1" w:rsidRDefault="00EB2C1C" w:rsidP="00EB2C1C">
            <w:pPr>
              <w:rPr>
                <w:rFonts w:eastAsia="Times New Roman" w:cstheme="minorHAnsi"/>
                <w:sz w:val="18"/>
                <w:szCs w:val="20"/>
              </w:rPr>
            </w:pPr>
            <w:r w:rsidRPr="00150AA1">
              <w:rPr>
                <w:rFonts w:ascii="Calibri" w:hAnsi="Calibri" w:cs="Calibri"/>
                <w:sz w:val="20"/>
                <w:szCs w:val="20"/>
              </w:rPr>
              <w:t>5 days</w:t>
            </w:r>
          </w:p>
        </w:tc>
      </w:tr>
      <w:tr w:rsidR="000B66F9" w:rsidRPr="004E6649" w14:paraId="4DD9470E" w14:textId="77777777" w:rsidTr="000B66F9">
        <w:trPr>
          <w:trHeight w:val="80"/>
        </w:trPr>
        <w:tc>
          <w:tcPr>
            <w:tcW w:w="5270" w:type="dxa"/>
            <w:tcBorders>
              <w:top w:val="nil"/>
              <w:left w:val="nil"/>
              <w:bottom w:val="single" w:sz="4" w:space="0" w:color="000000"/>
              <w:right w:val="nil"/>
            </w:tcBorders>
            <w:shd w:val="clear" w:color="000000" w:fill="FFFFFF"/>
            <w:noWrap/>
            <w:vAlign w:val="bottom"/>
            <w:hideMark/>
          </w:tcPr>
          <w:p w14:paraId="64896807" w14:textId="77777777" w:rsidR="00EB2C1C" w:rsidRPr="004E6649" w:rsidRDefault="00EB2C1C" w:rsidP="00EB2C1C">
            <w:pPr>
              <w:rPr>
                <w:rFonts w:eastAsia="Times New Roman" w:cstheme="minorHAnsi"/>
                <w:color w:val="0D0D0D"/>
                <w:sz w:val="18"/>
                <w:szCs w:val="20"/>
              </w:rPr>
            </w:pPr>
            <w:r>
              <w:rPr>
                <w:rFonts w:ascii="Calibri" w:hAnsi="Calibri" w:cs="Calibri"/>
                <w:color w:val="0D0D0D"/>
                <w:sz w:val="20"/>
                <w:szCs w:val="20"/>
              </w:rPr>
              <w:t xml:space="preserve">Bank loans </w:t>
            </w:r>
            <w:r>
              <w:rPr>
                <w:rFonts w:ascii="Calibri" w:hAnsi="Calibri" w:cs="Calibri"/>
                <w:color w:val="0D0D0D"/>
                <w:sz w:val="20"/>
                <w:szCs w:val="20"/>
                <w:vertAlign w:val="superscript"/>
              </w:rPr>
              <w:t>₂</w:t>
            </w:r>
          </w:p>
        </w:tc>
        <w:tc>
          <w:tcPr>
            <w:tcW w:w="1300" w:type="dxa"/>
            <w:tcBorders>
              <w:top w:val="nil"/>
              <w:left w:val="nil"/>
              <w:bottom w:val="single" w:sz="4" w:space="0" w:color="000000"/>
              <w:right w:val="nil"/>
            </w:tcBorders>
            <w:shd w:val="clear" w:color="000000" w:fill="FFFFFF"/>
            <w:noWrap/>
            <w:hideMark/>
          </w:tcPr>
          <w:p w14:paraId="0668B594" w14:textId="0717C02D" w:rsidR="00EB2C1C" w:rsidRPr="00EB2C1C" w:rsidRDefault="00EB2C1C" w:rsidP="00702A68">
            <w:pPr>
              <w:ind w:right="76"/>
              <w:jc w:val="right"/>
              <w:rPr>
                <w:rFonts w:eastAsia="Times New Roman" w:cstheme="minorHAnsi"/>
                <w:sz w:val="20"/>
                <w:szCs w:val="20"/>
              </w:rPr>
            </w:pPr>
            <w:r w:rsidRPr="00EB2C1C">
              <w:rPr>
                <w:sz w:val="20"/>
                <w:szCs w:val="20"/>
              </w:rPr>
              <w:t xml:space="preserve"> 20,080 </w:t>
            </w:r>
          </w:p>
        </w:tc>
        <w:tc>
          <w:tcPr>
            <w:tcW w:w="1782" w:type="dxa"/>
            <w:tcBorders>
              <w:top w:val="nil"/>
              <w:left w:val="nil"/>
              <w:bottom w:val="nil"/>
              <w:right w:val="nil"/>
            </w:tcBorders>
            <w:shd w:val="clear" w:color="000000" w:fill="FFFFFF"/>
            <w:noWrap/>
            <w:vAlign w:val="bottom"/>
            <w:hideMark/>
          </w:tcPr>
          <w:p w14:paraId="7A0AAADB" w14:textId="77777777" w:rsidR="00EB2C1C" w:rsidRPr="00150AA1" w:rsidRDefault="00EB2C1C" w:rsidP="00EB2C1C">
            <w:pPr>
              <w:rPr>
                <w:rFonts w:eastAsia="Times New Roman" w:cstheme="minorHAnsi"/>
                <w:sz w:val="18"/>
                <w:szCs w:val="20"/>
              </w:rPr>
            </w:pPr>
            <w:r w:rsidRPr="00150AA1">
              <w:rPr>
                <w:rFonts w:ascii="Calibri" w:hAnsi="Calibri" w:cs="Calibri"/>
                <w:sz w:val="20"/>
                <w:szCs w:val="20"/>
              </w:rPr>
              <w:t>Monthly</w:t>
            </w:r>
          </w:p>
        </w:tc>
        <w:tc>
          <w:tcPr>
            <w:tcW w:w="1729" w:type="dxa"/>
            <w:tcBorders>
              <w:top w:val="nil"/>
              <w:left w:val="nil"/>
              <w:bottom w:val="nil"/>
              <w:right w:val="nil"/>
            </w:tcBorders>
            <w:shd w:val="clear" w:color="000000" w:fill="FFFFFF"/>
            <w:noWrap/>
            <w:vAlign w:val="bottom"/>
            <w:hideMark/>
          </w:tcPr>
          <w:p w14:paraId="06498754" w14:textId="77777777" w:rsidR="00EB2C1C" w:rsidRPr="00150AA1" w:rsidRDefault="00EB2C1C" w:rsidP="00EB2C1C">
            <w:pPr>
              <w:rPr>
                <w:rFonts w:eastAsia="Times New Roman" w:cstheme="minorHAnsi"/>
                <w:sz w:val="18"/>
                <w:szCs w:val="20"/>
              </w:rPr>
            </w:pPr>
            <w:r w:rsidRPr="00150AA1">
              <w:rPr>
                <w:rFonts w:ascii="Calibri" w:hAnsi="Calibri" w:cs="Calibri"/>
                <w:sz w:val="20"/>
                <w:szCs w:val="20"/>
              </w:rPr>
              <w:t>30 days</w:t>
            </w:r>
          </w:p>
        </w:tc>
      </w:tr>
      <w:tr w:rsidR="000B66F9" w:rsidRPr="004E6649" w14:paraId="32518F8E" w14:textId="77777777" w:rsidTr="000B66F9">
        <w:trPr>
          <w:trHeight w:val="70"/>
        </w:trPr>
        <w:tc>
          <w:tcPr>
            <w:tcW w:w="5270" w:type="dxa"/>
            <w:tcBorders>
              <w:top w:val="nil"/>
              <w:left w:val="nil"/>
              <w:bottom w:val="double" w:sz="6" w:space="0" w:color="000000"/>
              <w:right w:val="nil"/>
            </w:tcBorders>
            <w:shd w:val="clear" w:color="000000" w:fill="FFFFFF"/>
            <w:noWrap/>
            <w:vAlign w:val="bottom"/>
            <w:hideMark/>
          </w:tcPr>
          <w:p w14:paraId="2387BE00" w14:textId="77777777" w:rsidR="001B6918" w:rsidRPr="004E6649" w:rsidRDefault="001B6918" w:rsidP="00730ECF">
            <w:pPr>
              <w:rPr>
                <w:rFonts w:eastAsia="Times New Roman" w:cstheme="minorHAnsi"/>
                <w:b/>
                <w:bCs/>
                <w:color w:val="0D0D0D"/>
                <w:sz w:val="18"/>
                <w:szCs w:val="20"/>
              </w:rPr>
            </w:pPr>
            <w:r>
              <w:rPr>
                <w:rFonts w:ascii="Calibri" w:hAnsi="Calibri" w:cs="Calibri"/>
                <w:b/>
                <w:bCs/>
                <w:color w:val="0D0D0D"/>
                <w:sz w:val="20"/>
                <w:szCs w:val="20"/>
              </w:rPr>
              <w:t>Total DB Plan and MIP investments measured at NAV</w:t>
            </w:r>
          </w:p>
        </w:tc>
        <w:tc>
          <w:tcPr>
            <w:tcW w:w="1300" w:type="dxa"/>
            <w:tcBorders>
              <w:top w:val="nil"/>
              <w:left w:val="nil"/>
              <w:bottom w:val="double" w:sz="6" w:space="0" w:color="000000"/>
              <w:right w:val="nil"/>
            </w:tcBorders>
            <w:shd w:val="clear" w:color="000000" w:fill="FFFFFF"/>
            <w:noWrap/>
            <w:hideMark/>
          </w:tcPr>
          <w:p w14:paraId="2990DEA4" w14:textId="2C54302F" w:rsidR="001B6918" w:rsidRPr="00051D86" w:rsidRDefault="00EB2C1C" w:rsidP="00702A68">
            <w:pPr>
              <w:ind w:right="76"/>
              <w:jc w:val="right"/>
              <w:rPr>
                <w:sz w:val="20"/>
                <w:szCs w:val="20"/>
              </w:rPr>
            </w:pPr>
            <w:r w:rsidRPr="00EB2C1C">
              <w:rPr>
                <w:sz w:val="20"/>
                <w:szCs w:val="20"/>
              </w:rPr>
              <w:t>$</w:t>
            </w:r>
            <w:r w:rsidR="00687A93">
              <w:rPr>
                <w:sz w:val="20"/>
                <w:szCs w:val="20"/>
              </w:rPr>
              <w:t>158,295</w:t>
            </w:r>
          </w:p>
        </w:tc>
        <w:tc>
          <w:tcPr>
            <w:tcW w:w="1782" w:type="dxa"/>
            <w:tcBorders>
              <w:top w:val="nil"/>
              <w:left w:val="nil"/>
              <w:bottom w:val="nil"/>
              <w:right w:val="nil"/>
            </w:tcBorders>
            <w:shd w:val="clear" w:color="000000" w:fill="FFFFFF"/>
            <w:noWrap/>
            <w:vAlign w:val="bottom"/>
            <w:hideMark/>
          </w:tcPr>
          <w:p w14:paraId="35BA0ED9" w14:textId="77777777" w:rsidR="001B6918" w:rsidRPr="00150AA1" w:rsidRDefault="001B6918" w:rsidP="00730ECF">
            <w:pPr>
              <w:rPr>
                <w:rFonts w:eastAsia="Times New Roman" w:cstheme="minorHAnsi"/>
                <w:b/>
                <w:bCs/>
                <w:sz w:val="18"/>
                <w:szCs w:val="20"/>
              </w:rPr>
            </w:pPr>
            <w:r w:rsidRPr="00150AA1">
              <w:rPr>
                <w:rFonts w:ascii="Calibri" w:hAnsi="Calibri" w:cs="Calibri"/>
                <w:sz w:val="20"/>
                <w:szCs w:val="20"/>
              </w:rPr>
              <w:t> </w:t>
            </w:r>
          </w:p>
        </w:tc>
        <w:tc>
          <w:tcPr>
            <w:tcW w:w="1729" w:type="dxa"/>
            <w:tcBorders>
              <w:top w:val="nil"/>
              <w:left w:val="nil"/>
              <w:bottom w:val="nil"/>
              <w:right w:val="nil"/>
            </w:tcBorders>
            <w:shd w:val="clear" w:color="000000" w:fill="FFFFFF"/>
            <w:noWrap/>
            <w:vAlign w:val="bottom"/>
            <w:hideMark/>
          </w:tcPr>
          <w:p w14:paraId="3DD8696F" w14:textId="77777777" w:rsidR="001B6918" w:rsidRPr="00150AA1" w:rsidRDefault="001B6918" w:rsidP="00730ECF">
            <w:pPr>
              <w:rPr>
                <w:rFonts w:eastAsia="Times New Roman" w:cstheme="minorHAnsi"/>
                <w:b/>
                <w:bCs/>
                <w:sz w:val="18"/>
                <w:szCs w:val="20"/>
              </w:rPr>
            </w:pPr>
            <w:r w:rsidRPr="00150AA1">
              <w:rPr>
                <w:rFonts w:ascii="Calibri" w:hAnsi="Calibri" w:cs="Calibri"/>
                <w:sz w:val="20"/>
                <w:szCs w:val="20"/>
              </w:rPr>
              <w:t> </w:t>
            </w:r>
          </w:p>
        </w:tc>
      </w:tr>
      <w:tr w:rsidR="000B66F9" w:rsidRPr="004E6649" w14:paraId="00854988" w14:textId="77777777" w:rsidTr="000B66F9">
        <w:trPr>
          <w:trHeight w:val="108"/>
        </w:trPr>
        <w:tc>
          <w:tcPr>
            <w:tcW w:w="5270" w:type="dxa"/>
            <w:tcBorders>
              <w:top w:val="nil"/>
              <w:left w:val="nil"/>
              <w:bottom w:val="nil"/>
              <w:right w:val="nil"/>
            </w:tcBorders>
            <w:shd w:val="clear" w:color="000000" w:fill="FFFFFF"/>
            <w:noWrap/>
            <w:vAlign w:val="bottom"/>
            <w:hideMark/>
          </w:tcPr>
          <w:p w14:paraId="7DFD1851" w14:textId="578447FF" w:rsidR="001B6918" w:rsidRPr="004E6649" w:rsidRDefault="001B6918" w:rsidP="00730ECF">
            <w:pPr>
              <w:rPr>
                <w:rFonts w:eastAsia="Times New Roman" w:cstheme="minorHAnsi"/>
                <w:b/>
                <w:bCs/>
                <w:color w:val="0D0D0D"/>
                <w:sz w:val="18"/>
                <w:szCs w:val="20"/>
              </w:rPr>
            </w:pPr>
            <w:r>
              <w:rPr>
                <w:rFonts w:ascii="Calibri" w:hAnsi="Calibri" w:cs="Calibri"/>
                <w:b/>
                <w:bCs/>
                <w:color w:val="0D0D0D"/>
                <w:sz w:val="20"/>
                <w:szCs w:val="20"/>
              </w:rPr>
              <w:t>Further breakdown of above DB Plan and MIP investments:</w:t>
            </w:r>
          </w:p>
        </w:tc>
        <w:tc>
          <w:tcPr>
            <w:tcW w:w="1300" w:type="dxa"/>
            <w:tcBorders>
              <w:top w:val="nil"/>
              <w:left w:val="nil"/>
              <w:bottom w:val="nil"/>
              <w:right w:val="nil"/>
            </w:tcBorders>
            <w:shd w:val="clear" w:color="000000" w:fill="FFFFFF"/>
            <w:noWrap/>
            <w:hideMark/>
          </w:tcPr>
          <w:p w14:paraId="719AE48B" w14:textId="77777777" w:rsidR="001B6918" w:rsidRPr="00F56821" w:rsidRDefault="001B6918" w:rsidP="00702A68">
            <w:pPr>
              <w:ind w:right="76"/>
              <w:jc w:val="right"/>
              <w:rPr>
                <w:rFonts w:eastAsia="Times New Roman" w:cstheme="minorHAnsi"/>
                <w:b/>
                <w:bCs/>
                <w:sz w:val="20"/>
                <w:szCs w:val="20"/>
              </w:rPr>
            </w:pPr>
          </w:p>
        </w:tc>
        <w:tc>
          <w:tcPr>
            <w:tcW w:w="1782" w:type="dxa"/>
            <w:tcBorders>
              <w:top w:val="nil"/>
              <w:left w:val="nil"/>
              <w:bottom w:val="nil"/>
              <w:right w:val="nil"/>
            </w:tcBorders>
            <w:shd w:val="clear" w:color="000000" w:fill="FFFFFF"/>
            <w:noWrap/>
            <w:vAlign w:val="bottom"/>
            <w:hideMark/>
          </w:tcPr>
          <w:p w14:paraId="5E3E91EB" w14:textId="77777777" w:rsidR="001B6918" w:rsidRPr="00150AA1" w:rsidRDefault="001B6918" w:rsidP="00730ECF">
            <w:pPr>
              <w:rPr>
                <w:rFonts w:eastAsia="Times New Roman" w:cstheme="minorHAnsi"/>
                <w:b/>
                <w:bCs/>
                <w:sz w:val="18"/>
                <w:szCs w:val="20"/>
              </w:rPr>
            </w:pPr>
            <w:r w:rsidRPr="00150AA1">
              <w:rPr>
                <w:rFonts w:ascii="Calibri" w:hAnsi="Calibri" w:cs="Calibri"/>
                <w:sz w:val="20"/>
                <w:szCs w:val="20"/>
              </w:rPr>
              <w:t> </w:t>
            </w:r>
          </w:p>
        </w:tc>
        <w:tc>
          <w:tcPr>
            <w:tcW w:w="1729" w:type="dxa"/>
            <w:tcBorders>
              <w:top w:val="nil"/>
              <w:left w:val="nil"/>
              <w:bottom w:val="nil"/>
              <w:right w:val="nil"/>
            </w:tcBorders>
            <w:shd w:val="clear" w:color="000000" w:fill="FFFFFF"/>
            <w:noWrap/>
            <w:vAlign w:val="bottom"/>
            <w:hideMark/>
          </w:tcPr>
          <w:p w14:paraId="2170D417" w14:textId="77777777" w:rsidR="001B6918" w:rsidRPr="00150AA1" w:rsidRDefault="001B6918" w:rsidP="00730ECF">
            <w:pPr>
              <w:rPr>
                <w:rFonts w:eastAsia="Times New Roman" w:cstheme="minorHAnsi"/>
                <w:b/>
                <w:bCs/>
                <w:sz w:val="18"/>
                <w:szCs w:val="20"/>
              </w:rPr>
            </w:pPr>
            <w:r w:rsidRPr="00150AA1">
              <w:rPr>
                <w:rFonts w:ascii="Calibri" w:hAnsi="Calibri" w:cs="Calibri"/>
                <w:sz w:val="20"/>
                <w:szCs w:val="20"/>
              </w:rPr>
              <w:t> </w:t>
            </w:r>
          </w:p>
        </w:tc>
      </w:tr>
      <w:tr w:rsidR="000B66F9" w:rsidRPr="004E6649" w14:paraId="675326CC" w14:textId="77777777" w:rsidTr="000B66F9">
        <w:trPr>
          <w:trHeight w:val="135"/>
        </w:trPr>
        <w:tc>
          <w:tcPr>
            <w:tcW w:w="5270" w:type="dxa"/>
            <w:tcBorders>
              <w:top w:val="nil"/>
              <w:left w:val="nil"/>
              <w:bottom w:val="nil"/>
              <w:right w:val="nil"/>
            </w:tcBorders>
            <w:shd w:val="clear" w:color="000000" w:fill="FFFFFF"/>
            <w:noWrap/>
            <w:vAlign w:val="bottom"/>
            <w:hideMark/>
          </w:tcPr>
          <w:p w14:paraId="14628B59" w14:textId="77777777" w:rsidR="00687A93" w:rsidRPr="004E6649" w:rsidRDefault="00687A93" w:rsidP="00687A93">
            <w:pPr>
              <w:rPr>
                <w:rFonts w:eastAsia="Times New Roman" w:cstheme="minorHAnsi"/>
                <w:color w:val="0D0D0D"/>
                <w:sz w:val="18"/>
                <w:szCs w:val="20"/>
              </w:rPr>
            </w:pPr>
            <w:r>
              <w:rPr>
                <w:rFonts w:ascii="Calibri" w:hAnsi="Calibri" w:cs="Calibri"/>
                <w:color w:val="0D0D0D"/>
                <w:sz w:val="20"/>
                <w:szCs w:val="20"/>
              </w:rPr>
              <w:t>DB Plan at NAV</w:t>
            </w:r>
          </w:p>
        </w:tc>
        <w:tc>
          <w:tcPr>
            <w:tcW w:w="1300" w:type="dxa"/>
            <w:tcBorders>
              <w:top w:val="nil"/>
              <w:left w:val="nil"/>
              <w:bottom w:val="nil"/>
              <w:right w:val="nil"/>
            </w:tcBorders>
            <w:shd w:val="clear" w:color="000000" w:fill="FFFFFF"/>
            <w:noWrap/>
            <w:hideMark/>
          </w:tcPr>
          <w:p w14:paraId="23889DDE" w14:textId="0AF63C5D" w:rsidR="00687A93" w:rsidRPr="00687A93" w:rsidRDefault="00687A93" w:rsidP="00702A68">
            <w:pPr>
              <w:ind w:right="76"/>
              <w:jc w:val="right"/>
              <w:rPr>
                <w:rFonts w:eastAsia="Times New Roman" w:cstheme="minorHAnsi"/>
                <w:sz w:val="20"/>
                <w:szCs w:val="20"/>
              </w:rPr>
            </w:pPr>
            <w:r w:rsidRPr="00687A93">
              <w:rPr>
                <w:sz w:val="20"/>
                <w:szCs w:val="20"/>
              </w:rPr>
              <w:t xml:space="preserve"> $</w:t>
            </w:r>
            <w:r>
              <w:rPr>
                <w:sz w:val="20"/>
                <w:szCs w:val="20"/>
              </w:rPr>
              <w:t xml:space="preserve">    </w:t>
            </w:r>
            <w:r w:rsidRPr="00687A93">
              <w:rPr>
                <w:sz w:val="20"/>
                <w:szCs w:val="20"/>
              </w:rPr>
              <w:t xml:space="preserve">5,329 </w:t>
            </w:r>
          </w:p>
        </w:tc>
        <w:tc>
          <w:tcPr>
            <w:tcW w:w="1782" w:type="dxa"/>
            <w:tcBorders>
              <w:top w:val="nil"/>
              <w:left w:val="nil"/>
              <w:bottom w:val="nil"/>
              <w:right w:val="nil"/>
            </w:tcBorders>
            <w:shd w:val="clear" w:color="000000" w:fill="FFFFFF"/>
            <w:noWrap/>
            <w:vAlign w:val="bottom"/>
            <w:hideMark/>
          </w:tcPr>
          <w:p w14:paraId="4B1D0608" w14:textId="77777777" w:rsidR="00687A93" w:rsidRPr="00150AA1" w:rsidRDefault="00687A93" w:rsidP="00687A93">
            <w:pPr>
              <w:rPr>
                <w:rFonts w:eastAsia="Times New Roman" w:cstheme="minorHAnsi"/>
                <w:b/>
                <w:bCs/>
                <w:sz w:val="18"/>
                <w:szCs w:val="20"/>
              </w:rPr>
            </w:pPr>
            <w:r w:rsidRPr="00150AA1">
              <w:rPr>
                <w:rFonts w:ascii="Calibri" w:hAnsi="Calibri" w:cs="Calibri"/>
                <w:sz w:val="20"/>
                <w:szCs w:val="20"/>
              </w:rPr>
              <w:t> </w:t>
            </w:r>
          </w:p>
        </w:tc>
        <w:tc>
          <w:tcPr>
            <w:tcW w:w="1729" w:type="dxa"/>
            <w:tcBorders>
              <w:top w:val="nil"/>
              <w:left w:val="nil"/>
              <w:bottom w:val="nil"/>
              <w:right w:val="nil"/>
            </w:tcBorders>
            <w:shd w:val="clear" w:color="000000" w:fill="FFFFFF"/>
            <w:noWrap/>
            <w:vAlign w:val="bottom"/>
            <w:hideMark/>
          </w:tcPr>
          <w:p w14:paraId="337D41D4" w14:textId="77777777" w:rsidR="00687A93" w:rsidRPr="00150AA1" w:rsidRDefault="00687A93" w:rsidP="00687A93">
            <w:pPr>
              <w:rPr>
                <w:rFonts w:eastAsia="Times New Roman" w:cstheme="minorHAnsi"/>
                <w:b/>
                <w:bCs/>
                <w:sz w:val="18"/>
                <w:szCs w:val="20"/>
              </w:rPr>
            </w:pPr>
            <w:r w:rsidRPr="00150AA1">
              <w:rPr>
                <w:rFonts w:ascii="Calibri" w:hAnsi="Calibri" w:cs="Calibri"/>
                <w:sz w:val="20"/>
                <w:szCs w:val="20"/>
              </w:rPr>
              <w:t> </w:t>
            </w:r>
          </w:p>
        </w:tc>
      </w:tr>
      <w:tr w:rsidR="000B66F9" w:rsidRPr="004E6649" w14:paraId="76F9C20A" w14:textId="77777777" w:rsidTr="000B66F9">
        <w:trPr>
          <w:trHeight w:val="80"/>
        </w:trPr>
        <w:tc>
          <w:tcPr>
            <w:tcW w:w="5270" w:type="dxa"/>
            <w:tcBorders>
              <w:top w:val="nil"/>
              <w:left w:val="nil"/>
              <w:bottom w:val="nil"/>
              <w:right w:val="nil"/>
            </w:tcBorders>
            <w:shd w:val="clear" w:color="000000" w:fill="FFFFFF"/>
            <w:noWrap/>
            <w:vAlign w:val="bottom"/>
            <w:hideMark/>
          </w:tcPr>
          <w:p w14:paraId="7C045691" w14:textId="77777777" w:rsidR="00687A93" w:rsidRPr="004E6649" w:rsidRDefault="00687A93" w:rsidP="00687A93">
            <w:pPr>
              <w:rPr>
                <w:rFonts w:eastAsia="Times New Roman" w:cstheme="minorHAnsi"/>
                <w:color w:val="0D0D0D"/>
                <w:sz w:val="18"/>
                <w:szCs w:val="20"/>
              </w:rPr>
            </w:pPr>
            <w:r>
              <w:rPr>
                <w:rFonts w:ascii="Calibri" w:hAnsi="Calibri" w:cs="Calibri"/>
                <w:color w:val="0D0D0D"/>
                <w:sz w:val="20"/>
                <w:szCs w:val="20"/>
              </w:rPr>
              <w:t>MIP held on behalf of outside entities at NAV</w:t>
            </w:r>
          </w:p>
        </w:tc>
        <w:tc>
          <w:tcPr>
            <w:tcW w:w="1300" w:type="dxa"/>
            <w:tcBorders>
              <w:top w:val="nil"/>
              <w:left w:val="nil"/>
              <w:bottom w:val="nil"/>
              <w:right w:val="nil"/>
            </w:tcBorders>
            <w:shd w:val="clear" w:color="000000" w:fill="FFFFFF"/>
            <w:noWrap/>
            <w:hideMark/>
          </w:tcPr>
          <w:p w14:paraId="4D79FF8C" w14:textId="68F4F435" w:rsidR="00687A93" w:rsidRPr="00687A93" w:rsidRDefault="00687A93" w:rsidP="00702A68">
            <w:pPr>
              <w:ind w:right="76"/>
              <w:jc w:val="right"/>
              <w:rPr>
                <w:rFonts w:eastAsia="Times New Roman" w:cstheme="minorHAnsi"/>
                <w:sz w:val="20"/>
                <w:szCs w:val="20"/>
              </w:rPr>
            </w:pPr>
            <w:r w:rsidRPr="00687A93">
              <w:rPr>
                <w:sz w:val="20"/>
                <w:szCs w:val="20"/>
              </w:rPr>
              <w:t xml:space="preserve"> 85,429 </w:t>
            </w:r>
          </w:p>
        </w:tc>
        <w:tc>
          <w:tcPr>
            <w:tcW w:w="1782" w:type="dxa"/>
            <w:tcBorders>
              <w:top w:val="nil"/>
              <w:left w:val="nil"/>
              <w:bottom w:val="nil"/>
              <w:right w:val="nil"/>
            </w:tcBorders>
            <w:shd w:val="clear" w:color="000000" w:fill="FFFFFF"/>
            <w:noWrap/>
            <w:vAlign w:val="bottom"/>
            <w:hideMark/>
          </w:tcPr>
          <w:p w14:paraId="5C4D75E6" w14:textId="77777777" w:rsidR="00687A93" w:rsidRPr="00150AA1" w:rsidRDefault="00687A93" w:rsidP="00687A93">
            <w:pPr>
              <w:rPr>
                <w:rFonts w:eastAsia="Times New Roman" w:cstheme="minorHAnsi"/>
                <w:b/>
                <w:bCs/>
                <w:sz w:val="18"/>
                <w:szCs w:val="20"/>
              </w:rPr>
            </w:pPr>
            <w:r w:rsidRPr="00150AA1">
              <w:rPr>
                <w:rFonts w:ascii="Calibri" w:hAnsi="Calibri" w:cs="Calibri"/>
                <w:sz w:val="20"/>
                <w:szCs w:val="20"/>
              </w:rPr>
              <w:t> </w:t>
            </w:r>
          </w:p>
        </w:tc>
        <w:tc>
          <w:tcPr>
            <w:tcW w:w="1729" w:type="dxa"/>
            <w:tcBorders>
              <w:top w:val="nil"/>
              <w:left w:val="nil"/>
              <w:bottom w:val="nil"/>
              <w:right w:val="nil"/>
            </w:tcBorders>
            <w:shd w:val="clear" w:color="000000" w:fill="FFFFFF"/>
            <w:noWrap/>
            <w:vAlign w:val="bottom"/>
            <w:hideMark/>
          </w:tcPr>
          <w:p w14:paraId="22B0E2CE" w14:textId="77777777" w:rsidR="00687A93" w:rsidRPr="00150AA1" w:rsidRDefault="00687A93" w:rsidP="00687A93">
            <w:pPr>
              <w:rPr>
                <w:rFonts w:eastAsia="Times New Roman" w:cstheme="minorHAnsi"/>
                <w:b/>
                <w:bCs/>
                <w:sz w:val="18"/>
                <w:szCs w:val="20"/>
              </w:rPr>
            </w:pPr>
            <w:r w:rsidRPr="00150AA1">
              <w:rPr>
                <w:rFonts w:ascii="Calibri" w:hAnsi="Calibri" w:cs="Calibri"/>
                <w:sz w:val="20"/>
                <w:szCs w:val="20"/>
              </w:rPr>
              <w:t> </w:t>
            </w:r>
          </w:p>
        </w:tc>
      </w:tr>
      <w:tr w:rsidR="000B66F9" w:rsidRPr="004E6649" w14:paraId="4F4305EF" w14:textId="77777777" w:rsidTr="000B66F9">
        <w:trPr>
          <w:trHeight w:val="80"/>
        </w:trPr>
        <w:tc>
          <w:tcPr>
            <w:tcW w:w="5270" w:type="dxa"/>
            <w:tcBorders>
              <w:top w:val="nil"/>
              <w:left w:val="nil"/>
              <w:bottom w:val="nil"/>
              <w:right w:val="nil"/>
            </w:tcBorders>
            <w:shd w:val="clear" w:color="000000" w:fill="FFFFFF"/>
            <w:noWrap/>
            <w:vAlign w:val="bottom"/>
            <w:hideMark/>
          </w:tcPr>
          <w:p w14:paraId="6695E53A" w14:textId="77777777" w:rsidR="00687A93" w:rsidRPr="004E6649" w:rsidRDefault="00687A93" w:rsidP="00687A93">
            <w:pPr>
              <w:rPr>
                <w:rFonts w:eastAsia="Times New Roman" w:cstheme="minorHAnsi"/>
                <w:color w:val="0D0D0D"/>
                <w:sz w:val="18"/>
                <w:szCs w:val="20"/>
              </w:rPr>
            </w:pPr>
            <w:r>
              <w:rPr>
                <w:rFonts w:ascii="Calibri" w:hAnsi="Calibri" w:cs="Calibri"/>
                <w:color w:val="0D0D0D"/>
                <w:sz w:val="20"/>
                <w:szCs w:val="20"/>
              </w:rPr>
              <w:t>Fiduciary funds held in the Endowment Pool for others</w:t>
            </w:r>
          </w:p>
        </w:tc>
        <w:tc>
          <w:tcPr>
            <w:tcW w:w="1300" w:type="dxa"/>
            <w:tcBorders>
              <w:top w:val="nil"/>
              <w:left w:val="nil"/>
              <w:bottom w:val="nil"/>
              <w:right w:val="nil"/>
            </w:tcBorders>
            <w:shd w:val="clear" w:color="000000" w:fill="FFFFFF"/>
            <w:noWrap/>
            <w:hideMark/>
          </w:tcPr>
          <w:p w14:paraId="1F87DBFB" w14:textId="59848059" w:rsidR="00687A93" w:rsidRPr="00687A93" w:rsidRDefault="00687A93" w:rsidP="00702A68">
            <w:pPr>
              <w:ind w:right="76"/>
              <w:jc w:val="right"/>
              <w:rPr>
                <w:rFonts w:eastAsia="Times New Roman" w:cstheme="minorHAnsi"/>
                <w:sz w:val="20"/>
                <w:szCs w:val="20"/>
              </w:rPr>
            </w:pPr>
            <w:r w:rsidRPr="00687A93">
              <w:rPr>
                <w:sz w:val="20"/>
                <w:szCs w:val="20"/>
              </w:rPr>
              <w:t xml:space="preserve"> 1,675 </w:t>
            </w:r>
          </w:p>
        </w:tc>
        <w:tc>
          <w:tcPr>
            <w:tcW w:w="1782" w:type="dxa"/>
            <w:tcBorders>
              <w:top w:val="nil"/>
              <w:left w:val="nil"/>
              <w:bottom w:val="nil"/>
              <w:right w:val="nil"/>
            </w:tcBorders>
            <w:shd w:val="clear" w:color="000000" w:fill="FFFFFF"/>
            <w:noWrap/>
            <w:vAlign w:val="bottom"/>
            <w:hideMark/>
          </w:tcPr>
          <w:p w14:paraId="3A0EF3F7" w14:textId="77777777" w:rsidR="00687A93" w:rsidRPr="00150AA1" w:rsidRDefault="00687A93" w:rsidP="00687A93">
            <w:pPr>
              <w:rPr>
                <w:rFonts w:eastAsia="Times New Roman" w:cstheme="minorHAnsi"/>
                <w:b/>
                <w:bCs/>
                <w:sz w:val="18"/>
                <w:szCs w:val="20"/>
              </w:rPr>
            </w:pPr>
            <w:r w:rsidRPr="00150AA1">
              <w:rPr>
                <w:rFonts w:ascii="Calibri" w:hAnsi="Calibri" w:cs="Calibri"/>
                <w:sz w:val="20"/>
                <w:szCs w:val="20"/>
              </w:rPr>
              <w:t> </w:t>
            </w:r>
          </w:p>
        </w:tc>
        <w:tc>
          <w:tcPr>
            <w:tcW w:w="1729" w:type="dxa"/>
            <w:tcBorders>
              <w:top w:val="nil"/>
              <w:left w:val="nil"/>
              <w:bottom w:val="nil"/>
              <w:right w:val="nil"/>
            </w:tcBorders>
            <w:shd w:val="clear" w:color="000000" w:fill="FFFFFF"/>
            <w:noWrap/>
            <w:vAlign w:val="bottom"/>
            <w:hideMark/>
          </w:tcPr>
          <w:p w14:paraId="6AB22504" w14:textId="77777777" w:rsidR="00687A93" w:rsidRPr="00150AA1" w:rsidRDefault="00687A93" w:rsidP="00687A93">
            <w:pPr>
              <w:rPr>
                <w:rFonts w:eastAsia="Times New Roman" w:cstheme="minorHAnsi"/>
                <w:b/>
                <w:bCs/>
                <w:sz w:val="18"/>
                <w:szCs w:val="20"/>
              </w:rPr>
            </w:pPr>
            <w:r w:rsidRPr="00150AA1">
              <w:rPr>
                <w:rFonts w:ascii="Calibri" w:hAnsi="Calibri" w:cs="Calibri"/>
                <w:sz w:val="20"/>
                <w:szCs w:val="20"/>
              </w:rPr>
              <w:t> </w:t>
            </w:r>
          </w:p>
        </w:tc>
      </w:tr>
      <w:tr w:rsidR="000B66F9" w:rsidRPr="004E6649" w14:paraId="0F45BB6F" w14:textId="77777777" w:rsidTr="000B66F9">
        <w:trPr>
          <w:trHeight w:val="80"/>
        </w:trPr>
        <w:tc>
          <w:tcPr>
            <w:tcW w:w="5270" w:type="dxa"/>
            <w:tcBorders>
              <w:top w:val="nil"/>
              <w:left w:val="nil"/>
              <w:bottom w:val="single" w:sz="4" w:space="0" w:color="000000"/>
              <w:right w:val="nil"/>
            </w:tcBorders>
            <w:shd w:val="clear" w:color="000000" w:fill="FFFFFF"/>
            <w:noWrap/>
            <w:vAlign w:val="bottom"/>
            <w:hideMark/>
          </w:tcPr>
          <w:p w14:paraId="594788D9" w14:textId="77777777" w:rsidR="00687A93" w:rsidRPr="004E6649" w:rsidRDefault="00687A93" w:rsidP="00687A93">
            <w:pPr>
              <w:rPr>
                <w:rFonts w:eastAsia="Times New Roman" w:cstheme="minorHAnsi"/>
                <w:color w:val="0D0D0D"/>
                <w:sz w:val="18"/>
                <w:szCs w:val="20"/>
              </w:rPr>
            </w:pPr>
            <w:r>
              <w:rPr>
                <w:rFonts w:ascii="Calibri" w:hAnsi="Calibri" w:cs="Calibri"/>
                <w:color w:val="0D0D0D"/>
                <w:sz w:val="20"/>
                <w:szCs w:val="20"/>
              </w:rPr>
              <w:t>Endowment pool investments included in the MIP at NAV</w:t>
            </w:r>
          </w:p>
        </w:tc>
        <w:tc>
          <w:tcPr>
            <w:tcW w:w="1300" w:type="dxa"/>
            <w:tcBorders>
              <w:top w:val="nil"/>
              <w:left w:val="nil"/>
              <w:bottom w:val="single" w:sz="4" w:space="0" w:color="000000"/>
              <w:right w:val="nil"/>
            </w:tcBorders>
            <w:noWrap/>
            <w:hideMark/>
          </w:tcPr>
          <w:p w14:paraId="2859E3AC" w14:textId="4B3CBB1C" w:rsidR="00687A93" w:rsidRPr="00687A93" w:rsidRDefault="00687A93" w:rsidP="00702A68">
            <w:pPr>
              <w:ind w:right="76"/>
              <w:jc w:val="right"/>
              <w:rPr>
                <w:rFonts w:eastAsia="Times New Roman" w:cstheme="minorHAnsi"/>
                <w:sz w:val="20"/>
                <w:szCs w:val="20"/>
              </w:rPr>
            </w:pPr>
            <w:r w:rsidRPr="00687A93">
              <w:rPr>
                <w:sz w:val="20"/>
                <w:szCs w:val="20"/>
              </w:rPr>
              <w:t xml:space="preserve"> 65,862 </w:t>
            </w:r>
          </w:p>
        </w:tc>
        <w:tc>
          <w:tcPr>
            <w:tcW w:w="1782" w:type="dxa"/>
            <w:tcBorders>
              <w:top w:val="nil"/>
              <w:left w:val="nil"/>
              <w:bottom w:val="nil"/>
              <w:right w:val="nil"/>
            </w:tcBorders>
            <w:shd w:val="clear" w:color="000000" w:fill="FFFFFF"/>
            <w:noWrap/>
            <w:vAlign w:val="bottom"/>
            <w:hideMark/>
          </w:tcPr>
          <w:p w14:paraId="1B7FF41C" w14:textId="77777777" w:rsidR="00687A93" w:rsidRPr="00150AA1" w:rsidRDefault="00687A93" w:rsidP="00687A93">
            <w:pPr>
              <w:rPr>
                <w:rFonts w:eastAsia="Times New Roman" w:cstheme="minorHAnsi"/>
                <w:b/>
                <w:bCs/>
                <w:sz w:val="18"/>
                <w:szCs w:val="20"/>
              </w:rPr>
            </w:pPr>
            <w:r w:rsidRPr="00150AA1">
              <w:rPr>
                <w:rFonts w:ascii="Calibri" w:hAnsi="Calibri" w:cs="Calibri"/>
                <w:sz w:val="20"/>
                <w:szCs w:val="20"/>
              </w:rPr>
              <w:t> </w:t>
            </w:r>
          </w:p>
        </w:tc>
        <w:tc>
          <w:tcPr>
            <w:tcW w:w="1729" w:type="dxa"/>
            <w:tcBorders>
              <w:top w:val="nil"/>
              <w:left w:val="nil"/>
              <w:bottom w:val="nil"/>
              <w:right w:val="nil"/>
            </w:tcBorders>
            <w:shd w:val="clear" w:color="000000" w:fill="FFFFFF"/>
            <w:noWrap/>
            <w:vAlign w:val="bottom"/>
            <w:hideMark/>
          </w:tcPr>
          <w:p w14:paraId="16C4999C" w14:textId="77777777" w:rsidR="00687A93" w:rsidRPr="00150AA1" w:rsidRDefault="00687A93" w:rsidP="00687A93">
            <w:pPr>
              <w:rPr>
                <w:rFonts w:eastAsia="Times New Roman" w:cstheme="minorHAnsi"/>
                <w:b/>
                <w:bCs/>
                <w:sz w:val="18"/>
                <w:szCs w:val="20"/>
              </w:rPr>
            </w:pPr>
            <w:r w:rsidRPr="00150AA1">
              <w:rPr>
                <w:rFonts w:ascii="Calibri" w:hAnsi="Calibri" w:cs="Calibri"/>
                <w:sz w:val="20"/>
                <w:szCs w:val="20"/>
              </w:rPr>
              <w:t> </w:t>
            </w:r>
          </w:p>
        </w:tc>
      </w:tr>
      <w:tr w:rsidR="000B66F9" w:rsidRPr="004E6649" w14:paraId="4A150692" w14:textId="77777777" w:rsidTr="000B66F9">
        <w:trPr>
          <w:trHeight w:val="70"/>
        </w:trPr>
        <w:tc>
          <w:tcPr>
            <w:tcW w:w="5270" w:type="dxa"/>
            <w:tcBorders>
              <w:top w:val="nil"/>
              <w:left w:val="nil"/>
              <w:bottom w:val="double" w:sz="6" w:space="0" w:color="000000"/>
              <w:right w:val="nil"/>
            </w:tcBorders>
            <w:shd w:val="clear" w:color="000000" w:fill="FFFFFF"/>
            <w:noWrap/>
            <w:vAlign w:val="bottom"/>
            <w:hideMark/>
          </w:tcPr>
          <w:p w14:paraId="013448ED" w14:textId="77777777" w:rsidR="001B6918" w:rsidRPr="004E6649" w:rsidRDefault="001B6918" w:rsidP="00730ECF">
            <w:pPr>
              <w:rPr>
                <w:rFonts w:eastAsia="Times New Roman" w:cstheme="minorHAnsi"/>
                <w:b/>
                <w:bCs/>
                <w:color w:val="0D0D0D"/>
                <w:sz w:val="18"/>
                <w:szCs w:val="20"/>
              </w:rPr>
            </w:pPr>
            <w:r>
              <w:rPr>
                <w:rFonts w:ascii="Calibri" w:hAnsi="Calibri" w:cs="Calibri"/>
                <w:b/>
                <w:bCs/>
                <w:color w:val="0D0D0D"/>
                <w:sz w:val="20"/>
                <w:szCs w:val="20"/>
              </w:rPr>
              <w:t>Total investments measured at NAV by portfolio</w:t>
            </w:r>
          </w:p>
        </w:tc>
        <w:tc>
          <w:tcPr>
            <w:tcW w:w="1300" w:type="dxa"/>
            <w:tcBorders>
              <w:top w:val="nil"/>
              <w:left w:val="nil"/>
              <w:bottom w:val="double" w:sz="6" w:space="0" w:color="000000"/>
              <w:right w:val="nil"/>
            </w:tcBorders>
            <w:shd w:val="clear" w:color="000000" w:fill="FFFFFF"/>
            <w:noWrap/>
            <w:hideMark/>
          </w:tcPr>
          <w:p w14:paraId="4DDE5708" w14:textId="156E2DEC" w:rsidR="001B6918" w:rsidRPr="00F56821" w:rsidRDefault="001B6918" w:rsidP="00702A68">
            <w:pPr>
              <w:ind w:right="76"/>
              <w:jc w:val="right"/>
              <w:rPr>
                <w:rFonts w:eastAsia="Times New Roman" w:cstheme="minorHAnsi"/>
                <w:bCs/>
                <w:sz w:val="20"/>
                <w:szCs w:val="20"/>
              </w:rPr>
            </w:pPr>
            <w:r w:rsidRPr="00F56821">
              <w:rPr>
                <w:sz w:val="20"/>
                <w:szCs w:val="20"/>
              </w:rPr>
              <w:t>$1</w:t>
            </w:r>
            <w:r w:rsidR="00687A93">
              <w:rPr>
                <w:sz w:val="20"/>
                <w:szCs w:val="20"/>
              </w:rPr>
              <w:t>58</w:t>
            </w:r>
            <w:r w:rsidRPr="00F56821">
              <w:rPr>
                <w:sz w:val="20"/>
                <w:szCs w:val="20"/>
              </w:rPr>
              <w:t>,</w:t>
            </w:r>
            <w:r w:rsidR="000B66F9">
              <w:rPr>
                <w:sz w:val="20"/>
                <w:szCs w:val="20"/>
              </w:rPr>
              <w:t>295</w:t>
            </w:r>
          </w:p>
        </w:tc>
        <w:tc>
          <w:tcPr>
            <w:tcW w:w="1782" w:type="dxa"/>
            <w:tcBorders>
              <w:top w:val="nil"/>
              <w:left w:val="nil"/>
              <w:bottom w:val="nil"/>
              <w:right w:val="nil"/>
            </w:tcBorders>
            <w:shd w:val="clear" w:color="000000" w:fill="FFFFFF"/>
            <w:noWrap/>
            <w:vAlign w:val="bottom"/>
            <w:hideMark/>
          </w:tcPr>
          <w:p w14:paraId="65BDAAD1" w14:textId="77777777" w:rsidR="001B6918" w:rsidRPr="00150AA1" w:rsidRDefault="001B6918" w:rsidP="00730ECF">
            <w:pPr>
              <w:rPr>
                <w:rFonts w:eastAsia="Times New Roman" w:cstheme="minorHAnsi"/>
                <w:b/>
                <w:bCs/>
                <w:sz w:val="18"/>
                <w:szCs w:val="20"/>
              </w:rPr>
            </w:pPr>
            <w:r w:rsidRPr="00150AA1">
              <w:rPr>
                <w:rFonts w:ascii="Calibri" w:hAnsi="Calibri" w:cs="Calibri"/>
                <w:sz w:val="20"/>
                <w:szCs w:val="20"/>
              </w:rPr>
              <w:t> </w:t>
            </w:r>
          </w:p>
        </w:tc>
        <w:tc>
          <w:tcPr>
            <w:tcW w:w="1729" w:type="dxa"/>
            <w:tcBorders>
              <w:top w:val="nil"/>
              <w:left w:val="nil"/>
              <w:bottom w:val="nil"/>
              <w:right w:val="nil"/>
            </w:tcBorders>
            <w:shd w:val="clear" w:color="000000" w:fill="FFFFFF"/>
            <w:noWrap/>
            <w:vAlign w:val="bottom"/>
            <w:hideMark/>
          </w:tcPr>
          <w:p w14:paraId="384F0239" w14:textId="77777777" w:rsidR="001B6918" w:rsidRPr="00150AA1" w:rsidRDefault="001B6918" w:rsidP="00730ECF">
            <w:pPr>
              <w:rPr>
                <w:rFonts w:eastAsia="Times New Roman" w:cstheme="minorHAnsi"/>
                <w:b/>
                <w:bCs/>
                <w:sz w:val="18"/>
                <w:szCs w:val="20"/>
              </w:rPr>
            </w:pPr>
            <w:r w:rsidRPr="00150AA1">
              <w:rPr>
                <w:rFonts w:ascii="Calibri" w:hAnsi="Calibri" w:cs="Calibri"/>
                <w:sz w:val="20"/>
                <w:szCs w:val="20"/>
              </w:rPr>
              <w:t> </w:t>
            </w:r>
          </w:p>
        </w:tc>
      </w:tr>
    </w:tbl>
    <w:p w14:paraId="23A9DBEB" w14:textId="77777777" w:rsidR="001B6918" w:rsidRPr="004E6649" w:rsidRDefault="001B6918" w:rsidP="001B6918">
      <w:pPr>
        <w:rPr>
          <w:rFonts w:eastAsia="Times New Roman" w:cstheme="minorHAnsi"/>
          <w:color w:val="000000"/>
          <w:spacing w:val="-3"/>
          <w:sz w:val="24"/>
          <w:szCs w:val="20"/>
        </w:rPr>
      </w:pPr>
      <w:r w:rsidRPr="004E6649">
        <w:rPr>
          <w:rFonts w:eastAsia="Times New Roman" w:cstheme="minorHAnsi"/>
          <w:color w:val="000000"/>
          <w:spacing w:val="-3"/>
          <w:sz w:val="24"/>
          <w:szCs w:val="20"/>
        </w:rPr>
        <w:fldChar w:fldCharType="begin"/>
      </w:r>
      <w:r w:rsidRPr="004E6649">
        <w:rPr>
          <w:rFonts w:eastAsia="Times New Roman" w:cstheme="minorHAnsi"/>
          <w:color w:val="000000"/>
          <w:spacing w:val="-3"/>
          <w:sz w:val="24"/>
          <w:szCs w:val="20"/>
        </w:rPr>
        <w:fldChar w:fldCharType="end"/>
      </w:r>
    </w:p>
    <w:p w14:paraId="466687C9" w14:textId="77777777" w:rsidR="001B6918" w:rsidRPr="004E6649" w:rsidRDefault="001B6918" w:rsidP="001B6918">
      <w:pPr>
        <w:tabs>
          <w:tab w:val="left" w:pos="720"/>
          <w:tab w:val="left" w:pos="1080"/>
          <w:tab w:val="decimal" w:pos="6786"/>
          <w:tab w:val="decimal" w:pos="9187"/>
        </w:tabs>
        <w:suppressAutoHyphens/>
        <w:rPr>
          <w:rFonts w:eastAsia="Times New Roman" w:cstheme="minorHAnsi"/>
          <w:color w:val="000000"/>
          <w:spacing w:val="-3"/>
          <w:sz w:val="24"/>
          <w:szCs w:val="20"/>
        </w:rPr>
        <w:sectPr w:rsidR="001B6918" w:rsidRPr="004E6649" w:rsidSect="00DC059D">
          <w:footerReference w:type="default" r:id="rId47"/>
          <w:type w:val="nextColumn"/>
          <w:pgSz w:w="12240" w:h="15840" w:code="1"/>
          <w:pgMar w:top="1440" w:right="1152" w:bottom="1440" w:left="1152" w:header="720" w:footer="720" w:gutter="0"/>
          <w:cols w:space="0"/>
          <w:docGrid w:linePitch="360"/>
        </w:sectPr>
      </w:pPr>
    </w:p>
    <w:p w14:paraId="6673F372" w14:textId="77777777" w:rsidR="001B6918" w:rsidRPr="00A02D27" w:rsidRDefault="001B6918" w:rsidP="001B6918">
      <w:pPr>
        <w:spacing w:after="160"/>
        <w:rPr>
          <w:rFonts w:eastAsiaTheme="majorEastAsia" w:cstheme="minorHAnsi"/>
          <w:b/>
          <w:i/>
          <w:iCs/>
          <w:smallCaps/>
          <w:noProof/>
          <w:color w:val="000000" w:themeColor="text1"/>
          <w:sz w:val="24"/>
          <w:szCs w:val="24"/>
          <w:u w:color="5B9BD5"/>
        </w:rPr>
      </w:pPr>
      <w:r w:rsidRPr="00A02D27">
        <w:rPr>
          <w:rFonts w:eastAsiaTheme="majorEastAsia" w:cstheme="minorHAnsi"/>
          <w:b/>
          <w:i/>
          <w:iCs/>
          <w:smallCaps/>
          <w:noProof/>
          <w:color w:val="000000" w:themeColor="text1"/>
          <w:sz w:val="24"/>
          <w:szCs w:val="24"/>
          <w:u w:color="5B9BD5"/>
        </w:rPr>
        <w:lastRenderedPageBreak/>
        <w:t>3. INVESTMENTS - CONTINUED</w:t>
      </w:r>
    </w:p>
    <w:p w14:paraId="094F5CEB" w14:textId="77777777" w:rsidR="001B6918" w:rsidRDefault="001B6918" w:rsidP="001B6918">
      <w:pPr>
        <w:tabs>
          <w:tab w:val="left" w:pos="720"/>
          <w:tab w:val="left" w:pos="1080"/>
          <w:tab w:val="decimal" w:pos="6786"/>
          <w:tab w:val="decimal" w:pos="9187"/>
        </w:tabs>
        <w:suppressAutoHyphens/>
        <w:spacing w:after="240"/>
        <w:rPr>
          <w:rFonts w:eastAsia="Times New Roman" w:cstheme="minorHAnsi"/>
          <w:color w:val="FF0000"/>
          <w:spacing w:val="-3"/>
          <w:sz w:val="24"/>
          <w:szCs w:val="20"/>
        </w:rPr>
      </w:pPr>
      <w:r w:rsidRPr="004E6649">
        <w:rPr>
          <w:rFonts w:eastAsia="Times New Roman" w:cstheme="minorHAnsi"/>
          <w:color w:val="000000"/>
          <w:spacing w:val="-3"/>
          <w:sz w:val="24"/>
          <w:szCs w:val="20"/>
        </w:rPr>
        <w:t xml:space="preserve">The </w:t>
      </w:r>
      <w:r w:rsidRPr="004E6649">
        <w:rPr>
          <w:rFonts w:eastAsia="Times New Roman" w:cstheme="minorHAnsi"/>
          <w:b/>
          <w:color w:val="000000"/>
          <w:spacing w:val="-3"/>
          <w:sz w:val="24"/>
          <w:szCs w:val="20"/>
        </w:rPr>
        <w:t xml:space="preserve">System’s operating investments and deposits with trustees </w:t>
      </w:r>
      <w:r w:rsidRPr="004E6649">
        <w:rPr>
          <w:rFonts w:eastAsia="Times New Roman" w:cstheme="minorHAnsi"/>
          <w:color w:val="000000"/>
          <w:spacing w:val="-3"/>
          <w:sz w:val="24"/>
          <w:szCs w:val="20"/>
        </w:rPr>
        <w:t>were composed of the following at June 30</w:t>
      </w:r>
      <w:r w:rsidRPr="004E6649">
        <w:rPr>
          <w:rFonts w:eastAsia="Times New Roman" w:cstheme="minorHAnsi"/>
          <w:spacing w:val="-3"/>
          <w:sz w:val="24"/>
          <w:szCs w:val="20"/>
        </w:rPr>
        <w:t>, 202</w:t>
      </w:r>
      <w:r>
        <w:rPr>
          <w:rFonts w:eastAsia="Times New Roman" w:cstheme="minorHAnsi"/>
          <w:spacing w:val="-3"/>
          <w:sz w:val="24"/>
          <w:szCs w:val="20"/>
        </w:rPr>
        <w:t>4</w:t>
      </w:r>
      <w:r w:rsidRPr="004E6649">
        <w:rPr>
          <w:rFonts w:eastAsia="Times New Roman" w:cstheme="minorHAnsi"/>
          <w:spacing w:val="-3"/>
          <w:sz w:val="24"/>
          <w:szCs w:val="20"/>
        </w:rPr>
        <w:t>:</w:t>
      </w:r>
    </w:p>
    <w:tbl>
      <w:tblPr>
        <w:tblW w:w="14031" w:type="dxa"/>
        <w:jc w:val="center"/>
        <w:tblLook w:val="04A0" w:firstRow="1" w:lastRow="0" w:firstColumn="1" w:lastColumn="0" w:noHBand="0" w:noVBand="1"/>
      </w:tblPr>
      <w:tblGrid>
        <w:gridCol w:w="4320"/>
        <w:gridCol w:w="1320"/>
        <w:gridCol w:w="1074"/>
        <w:gridCol w:w="1113"/>
        <w:gridCol w:w="1113"/>
        <w:gridCol w:w="1102"/>
        <w:gridCol w:w="1509"/>
        <w:gridCol w:w="2480"/>
      </w:tblGrid>
      <w:tr w:rsidR="001B6918" w:rsidRPr="00B03F0B" w14:paraId="644BFBE0" w14:textId="77777777" w:rsidTr="00730ECF">
        <w:trPr>
          <w:trHeight w:val="216"/>
          <w:jc w:val="center"/>
        </w:trPr>
        <w:tc>
          <w:tcPr>
            <w:tcW w:w="4320" w:type="dxa"/>
            <w:tcBorders>
              <w:top w:val="nil"/>
              <w:left w:val="nil"/>
              <w:bottom w:val="nil"/>
              <w:right w:val="nil"/>
            </w:tcBorders>
            <w:shd w:val="clear" w:color="000000" w:fill="FFFFFF"/>
            <w:noWrap/>
            <w:vAlign w:val="center"/>
            <w:hideMark/>
          </w:tcPr>
          <w:p w14:paraId="44AC6A8E" w14:textId="77777777" w:rsidR="001B6918" w:rsidRPr="00B03F0B" w:rsidRDefault="001B6918" w:rsidP="00730ECF">
            <w:pPr>
              <w:rPr>
                <w:rFonts w:ascii="Calibri" w:eastAsia="Times New Roman" w:hAnsi="Calibri" w:cs="Calibri"/>
                <w:b/>
                <w:bCs/>
                <w:color w:val="0D0D0D"/>
                <w:sz w:val="20"/>
                <w:szCs w:val="20"/>
              </w:rPr>
            </w:pPr>
            <w:r w:rsidRPr="00B03F0B">
              <w:rPr>
                <w:rFonts w:ascii="Calibri" w:eastAsia="Times New Roman" w:hAnsi="Calibri" w:cs="Calibri"/>
                <w:b/>
                <w:bCs/>
                <w:color w:val="0D0D0D"/>
                <w:sz w:val="20"/>
                <w:szCs w:val="20"/>
              </w:rPr>
              <w:t> </w:t>
            </w:r>
          </w:p>
        </w:tc>
        <w:tc>
          <w:tcPr>
            <w:tcW w:w="1320" w:type="dxa"/>
            <w:tcBorders>
              <w:top w:val="nil"/>
              <w:left w:val="nil"/>
              <w:bottom w:val="nil"/>
              <w:right w:val="nil"/>
            </w:tcBorders>
            <w:shd w:val="clear" w:color="000000" w:fill="FFFFFF"/>
            <w:noWrap/>
            <w:vAlign w:val="center"/>
            <w:hideMark/>
          </w:tcPr>
          <w:p w14:paraId="2580927E" w14:textId="77777777" w:rsidR="001B6918" w:rsidRPr="00B03F0B" w:rsidRDefault="001B6918" w:rsidP="00730ECF">
            <w:pPr>
              <w:rPr>
                <w:rFonts w:ascii="Calibri" w:eastAsia="Times New Roman" w:hAnsi="Calibri" w:cs="Calibri"/>
                <w:b/>
                <w:bCs/>
                <w:color w:val="0D0D0D"/>
                <w:sz w:val="20"/>
                <w:szCs w:val="20"/>
              </w:rPr>
            </w:pPr>
            <w:r w:rsidRPr="00B03F0B">
              <w:rPr>
                <w:rFonts w:ascii="Calibri" w:eastAsia="Times New Roman" w:hAnsi="Calibri" w:cs="Calibri"/>
                <w:b/>
                <w:bCs/>
                <w:color w:val="0D0D0D"/>
                <w:sz w:val="20"/>
                <w:szCs w:val="20"/>
              </w:rPr>
              <w:t> </w:t>
            </w:r>
          </w:p>
        </w:tc>
        <w:tc>
          <w:tcPr>
            <w:tcW w:w="3300" w:type="dxa"/>
            <w:gridSpan w:val="3"/>
            <w:tcBorders>
              <w:top w:val="nil"/>
              <w:left w:val="nil"/>
              <w:bottom w:val="single" w:sz="12" w:space="0" w:color="000000"/>
              <w:right w:val="nil"/>
            </w:tcBorders>
            <w:shd w:val="clear" w:color="000000" w:fill="FFFFFF"/>
            <w:noWrap/>
            <w:vAlign w:val="center"/>
            <w:hideMark/>
          </w:tcPr>
          <w:p w14:paraId="5080BB7F" w14:textId="77777777" w:rsidR="001B6918" w:rsidRPr="00B03F0B" w:rsidRDefault="001B6918" w:rsidP="00730ECF">
            <w:pPr>
              <w:jc w:val="center"/>
              <w:rPr>
                <w:rFonts w:ascii="Calibri" w:eastAsia="Times New Roman" w:hAnsi="Calibri" w:cs="Calibri"/>
                <w:b/>
                <w:bCs/>
                <w:color w:val="0D0D0D"/>
                <w:sz w:val="20"/>
                <w:szCs w:val="20"/>
              </w:rPr>
            </w:pPr>
            <w:r w:rsidRPr="00B03F0B">
              <w:rPr>
                <w:rFonts w:ascii="Calibri" w:eastAsia="Times New Roman" w:hAnsi="Calibri" w:cs="Calibri"/>
                <w:b/>
                <w:bCs/>
                <w:color w:val="0D0D0D"/>
                <w:sz w:val="20"/>
                <w:szCs w:val="20"/>
              </w:rPr>
              <w:t>Fair Value Measurements Using:</w:t>
            </w:r>
          </w:p>
        </w:tc>
        <w:tc>
          <w:tcPr>
            <w:tcW w:w="1102" w:type="dxa"/>
            <w:vMerge w:val="restart"/>
            <w:tcBorders>
              <w:top w:val="nil"/>
              <w:left w:val="nil"/>
              <w:right w:val="nil"/>
            </w:tcBorders>
            <w:shd w:val="clear" w:color="000000" w:fill="FFFFFF"/>
            <w:vAlign w:val="center"/>
            <w:hideMark/>
          </w:tcPr>
          <w:p w14:paraId="75A5DB2A" w14:textId="77777777" w:rsidR="001B6918" w:rsidRPr="00B03F0B" w:rsidRDefault="001B6918" w:rsidP="00730ECF">
            <w:pPr>
              <w:jc w:val="center"/>
              <w:rPr>
                <w:rFonts w:ascii="Calibri" w:eastAsia="Times New Roman" w:hAnsi="Calibri" w:cs="Calibri"/>
                <w:b/>
                <w:bCs/>
                <w:color w:val="0D0D0D"/>
                <w:sz w:val="20"/>
                <w:szCs w:val="20"/>
              </w:rPr>
            </w:pPr>
            <w:r w:rsidRPr="00B03F0B">
              <w:rPr>
                <w:rFonts w:ascii="Calibri" w:eastAsia="Times New Roman" w:hAnsi="Calibri" w:cs="Calibri"/>
                <w:b/>
                <w:bCs/>
                <w:color w:val="0D0D0D"/>
                <w:sz w:val="20"/>
                <w:szCs w:val="20"/>
              </w:rPr>
              <w:t xml:space="preserve">Credit Rating </w:t>
            </w:r>
          </w:p>
        </w:tc>
        <w:tc>
          <w:tcPr>
            <w:tcW w:w="1509" w:type="dxa"/>
            <w:tcBorders>
              <w:top w:val="nil"/>
              <w:left w:val="nil"/>
              <w:bottom w:val="nil"/>
              <w:right w:val="nil"/>
            </w:tcBorders>
            <w:shd w:val="clear" w:color="000000" w:fill="FFFFFF"/>
            <w:noWrap/>
            <w:vAlign w:val="center"/>
            <w:hideMark/>
          </w:tcPr>
          <w:p w14:paraId="76D5C6E7" w14:textId="77777777" w:rsidR="001B6918" w:rsidRPr="00B03F0B" w:rsidRDefault="001B6918" w:rsidP="00730ECF">
            <w:pPr>
              <w:rPr>
                <w:rFonts w:ascii="Calibri" w:eastAsia="Times New Roman" w:hAnsi="Calibri" w:cs="Calibri"/>
                <w:color w:val="0D0D0D"/>
                <w:sz w:val="20"/>
                <w:szCs w:val="20"/>
              </w:rPr>
            </w:pPr>
            <w:r w:rsidRPr="00B03F0B">
              <w:rPr>
                <w:rFonts w:ascii="Calibri" w:eastAsia="Times New Roman" w:hAnsi="Calibri" w:cs="Calibri"/>
                <w:color w:val="0D0D0D"/>
                <w:sz w:val="20"/>
                <w:szCs w:val="20"/>
              </w:rPr>
              <w:t> </w:t>
            </w:r>
          </w:p>
        </w:tc>
        <w:tc>
          <w:tcPr>
            <w:tcW w:w="2480" w:type="dxa"/>
            <w:tcBorders>
              <w:top w:val="nil"/>
              <w:left w:val="nil"/>
              <w:bottom w:val="nil"/>
              <w:right w:val="nil"/>
            </w:tcBorders>
            <w:shd w:val="clear" w:color="000000" w:fill="FFFFFF"/>
            <w:noWrap/>
            <w:vAlign w:val="center"/>
            <w:hideMark/>
          </w:tcPr>
          <w:p w14:paraId="023C7472" w14:textId="77777777" w:rsidR="001B6918" w:rsidRPr="00B03F0B" w:rsidRDefault="001B6918" w:rsidP="00730ECF">
            <w:pPr>
              <w:rPr>
                <w:rFonts w:ascii="Calibri" w:eastAsia="Times New Roman" w:hAnsi="Calibri" w:cs="Calibri"/>
                <w:color w:val="0D0D0D"/>
                <w:sz w:val="20"/>
                <w:szCs w:val="20"/>
              </w:rPr>
            </w:pPr>
            <w:r w:rsidRPr="00B03F0B">
              <w:rPr>
                <w:rFonts w:ascii="Calibri" w:eastAsia="Times New Roman" w:hAnsi="Calibri" w:cs="Calibri"/>
                <w:color w:val="0D0D0D"/>
                <w:sz w:val="20"/>
                <w:szCs w:val="20"/>
              </w:rPr>
              <w:t> </w:t>
            </w:r>
          </w:p>
        </w:tc>
      </w:tr>
      <w:tr w:rsidR="001B6918" w:rsidRPr="00B03F0B" w14:paraId="3205EE2B" w14:textId="77777777" w:rsidTr="00730ECF">
        <w:trPr>
          <w:trHeight w:val="105"/>
          <w:jc w:val="center"/>
        </w:trPr>
        <w:tc>
          <w:tcPr>
            <w:tcW w:w="4320" w:type="dxa"/>
            <w:tcBorders>
              <w:top w:val="nil"/>
              <w:left w:val="nil"/>
              <w:bottom w:val="single" w:sz="12" w:space="0" w:color="000000"/>
              <w:right w:val="nil"/>
            </w:tcBorders>
            <w:shd w:val="clear" w:color="000000" w:fill="FFFFFF"/>
            <w:noWrap/>
            <w:vAlign w:val="center"/>
            <w:hideMark/>
          </w:tcPr>
          <w:p w14:paraId="520A9EA3" w14:textId="77777777" w:rsidR="001B6918" w:rsidRPr="00B03F0B" w:rsidRDefault="001B6918" w:rsidP="00730ECF">
            <w:pPr>
              <w:rPr>
                <w:rFonts w:ascii="Calibri" w:eastAsia="Times New Roman" w:hAnsi="Calibri" w:cs="Calibri"/>
                <w:b/>
                <w:bCs/>
                <w:color w:val="0D0D0D"/>
                <w:sz w:val="20"/>
                <w:szCs w:val="20"/>
              </w:rPr>
            </w:pPr>
            <w:r w:rsidRPr="00B03F0B">
              <w:rPr>
                <w:rFonts w:ascii="Calibri" w:eastAsia="Times New Roman" w:hAnsi="Calibri" w:cs="Calibri"/>
                <w:b/>
                <w:bCs/>
                <w:color w:val="0D0D0D"/>
                <w:sz w:val="20"/>
                <w:szCs w:val="20"/>
              </w:rPr>
              <w:t> </w:t>
            </w:r>
          </w:p>
        </w:tc>
        <w:tc>
          <w:tcPr>
            <w:tcW w:w="1320" w:type="dxa"/>
            <w:tcBorders>
              <w:top w:val="nil"/>
              <w:left w:val="nil"/>
              <w:bottom w:val="single" w:sz="12" w:space="0" w:color="000000"/>
              <w:right w:val="nil"/>
            </w:tcBorders>
            <w:shd w:val="clear" w:color="000000" w:fill="FFFFFF"/>
            <w:noWrap/>
            <w:vAlign w:val="center"/>
            <w:hideMark/>
          </w:tcPr>
          <w:p w14:paraId="7C74B106" w14:textId="77777777" w:rsidR="001B6918" w:rsidRPr="00B03F0B" w:rsidRDefault="001B6918" w:rsidP="00730ECF">
            <w:pPr>
              <w:jc w:val="center"/>
              <w:rPr>
                <w:rFonts w:ascii="Calibri" w:eastAsia="Times New Roman" w:hAnsi="Calibri" w:cs="Calibri"/>
                <w:b/>
                <w:bCs/>
                <w:color w:val="0D0D0D"/>
                <w:sz w:val="20"/>
                <w:szCs w:val="20"/>
              </w:rPr>
            </w:pPr>
            <w:r w:rsidRPr="00B03F0B">
              <w:rPr>
                <w:rFonts w:ascii="Calibri" w:eastAsia="Times New Roman" w:hAnsi="Calibri" w:cs="Calibri"/>
                <w:b/>
                <w:bCs/>
                <w:color w:val="0D0D0D"/>
                <w:sz w:val="20"/>
                <w:szCs w:val="20"/>
              </w:rPr>
              <w:t xml:space="preserve">Total </w:t>
            </w:r>
          </w:p>
        </w:tc>
        <w:tc>
          <w:tcPr>
            <w:tcW w:w="1074" w:type="dxa"/>
            <w:tcBorders>
              <w:top w:val="nil"/>
              <w:left w:val="nil"/>
              <w:bottom w:val="single" w:sz="12" w:space="0" w:color="000000"/>
              <w:right w:val="nil"/>
            </w:tcBorders>
            <w:shd w:val="clear" w:color="000000" w:fill="FFFFFF"/>
            <w:noWrap/>
            <w:vAlign w:val="center"/>
            <w:hideMark/>
          </w:tcPr>
          <w:p w14:paraId="23B81CE8" w14:textId="77777777" w:rsidR="001B6918" w:rsidRPr="00B03F0B" w:rsidRDefault="001B6918" w:rsidP="00730ECF">
            <w:pPr>
              <w:jc w:val="center"/>
              <w:rPr>
                <w:rFonts w:ascii="Calibri" w:eastAsia="Times New Roman" w:hAnsi="Calibri" w:cs="Calibri"/>
                <w:b/>
                <w:bCs/>
                <w:color w:val="0D0D0D"/>
                <w:sz w:val="20"/>
                <w:szCs w:val="20"/>
              </w:rPr>
            </w:pPr>
            <w:r w:rsidRPr="00B03F0B">
              <w:rPr>
                <w:rFonts w:ascii="Calibri" w:eastAsia="Times New Roman" w:hAnsi="Calibri" w:cs="Calibri"/>
                <w:b/>
                <w:bCs/>
                <w:color w:val="0D0D0D"/>
                <w:sz w:val="20"/>
                <w:szCs w:val="20"/>
              </w:rPr>
              <w:t>Level 1</w:t>
            </w:r>
          </w:p>
        </w:tc>
        <w:tc>
          <w:tcPr>
            <w:tcW w:w="1113" w:type="dxa"/>
            <w:tcBorders>
              <w:top w:val="nil"/>
              <w:left w:val="nil"/>
              <w:bottom w:val="single" w:sz="12" w:space="0" w:color="000000"/>
              <w:right w:val="nil"/>
            </w:tcBorders>
            <w:shd w:val="clear" w:color="000000" w:fill="FFFFFF"/>
            <w:noWrap/>
            <w:vAlign w:val="center"/>
            <w:hideMark/>
          </w:tcPr>
          <w:p w14:paraId="6939AF25" w14:textId="77777777" w:rsidR="001B6918" w:rsidRPr="00B03F0B" w:rsidRDefault="001B6918" w:rsidP="00730ECF">
            <w:pPr>
              <w:jc w:val="center"/>
              <w:rPr>
                <w:rFonts w:ascii="Calibri" w:eastAsia="Times New Roman" w:hAnsi="Calibri" w:cs="Calibri"/>
                <w:b/>
                <w:bCs/>
                <w:color w:val="0D0D0D"/>
                <w:sz w:val="20"/>
                <w:szCs w:val="20"/>
              </w:rPr>
            </w:pPr>
            <w:r w:rsidRPr="00B03F0B">
              <w:rPr>
                <w:rFonts w:ascii="Calibri" w:eastAsia="Times New Roman" w:hAnsi="Calibri" w:cs="Calibri"/>
                <w:b/>
                <w:bCs/>
                <w:color w:val="0D0D0D"/>
                <w:sz w:val="20"/>
                <w:szCs w:val="20"/>
              </w:rPr>
              <w:t>Level 2</w:t>
            </w:r>
          </w:p>
        </w:tc>
        <w:tc>
          <w:tcPr>
            <w:tcW w:w="1113" w:type="dxa"/>
            <w:tcBorders>
              <w:top w:val="nil"/>
              <w:left w:val="nil"/>
              <w:bottom w:val="single" w:sz="12" w:space="0" w:color="000000"/>
              <w:right w:val="nil"/>
            </w:tcBorders>
            <w:shd w:val="clear" w:color="000000" w:fill="FFFFFF"/>
            <w:noWrap/>
            <w:vAlign w:val="center"/>
            <w:hideMark/>
          </w:tcPr>
          <w:p w14:paraId="6501077D" w14:textId="77777777" w:rsidR="001B6918" w:rsidRPr="00B03F0B" w:rsidRDefault="001B6918" w:rsidP="00730ECF">
            <w:pPr>
              <w:jc w:val="center"/>
              <w:rPr>
                <w:rFonts w:ascii="Calibri" w:eastAsia="Times New Roman" w:hAnsi="Calibri" w:cs="Calibri"/>
                <w:b/>
                <w:bCs/>
                <w:color w:val="0D0D0D"/>
                <w:sz w:val="20"/>
                <w:szCs w:val="20"/>
              </w:rPr>
            </w:pPr>
            <w:r w:rsidRPr="00B03F0B">
              <w:rPr>
                <w:rFonts w:ascii="Calibri" w:eastAsia="Times New Roman" w:hAnsi="Calibri" w:cs="Calibri"/>
                <w:b/>
                <w:bCs/>
                <w:color w:val="0D0D0D"/>
                <w:sz w:val="20"/>
                <w:szCs w:val="20"/>
              </w:rPr>
              <w:t>Level 3</w:t>
            </w:r>
          </w:p>
        </w:tc>
        <w:tc>
          <w:tcPr>
            <w:tcW w:w="1102" w:type="dxa"/>
            <w:vMerge/>
            <w:tcBorders>
              <w:left w:val="nil"/>
              <w:bottom w:val="single" w:sz="12" w:space="0" w:color="000000"/>
              <w:right w:val="nil"/>
            </w:tcBorders>
            <w:shd w:val="clear" w:color="000000" w:fill="FFFFFF"/>
            <w:vAlign w:val="center"/>
            <w:hideMark/>
          </w:tcPr>
          <w:p w14:paraId="73893992" w14:textId="77777777" w:rsidR="001B6918" w:rsidRPr="00B03F0B" w:rsidRDefault="001B6918" w:rsidP="00730ECF">
            <w:pPr>
              <w:jc w:val="center"/>
              <w:rPr>
                <w:rFonts w:ascii="Calibri" w:eastAsia="Times New Roman" w:hAnsi="Calibri" w:cs="Calibri"/>
                <w:b/>
                <w:bCs/>
                <w:color w:val="0D0D0D"/>
                <w:sz w:val="20"/>
                <w:szCs w:val="20"/>
              </w:rPr>
            </w:pPr>
          </w:p>
        </w:tc>
        <w:tc>
          <w:tcPr>
            <w:tcW w:w="3989" w:type="dxa"/>
            <w:gridSpan w:val="2"/>
            <w:tcBorders>
              <w:top w:val="nil"/>
              <w:left w:val="nil"/>
              <w:bottom w:val="single" w:sz="12" w:space="0" w:color="000000"/>
              <w:right w:val="nil"/>
            </w:tcBorders>
            <w:shd w:val="clear" w:color="000000" w:fill="FFFFFF"/>
            <w:noWrap/>
            <w:vAlign w:val="center"/>
            <w:hideMark/>
          </w:tcPr>
          <w:p w14:paraId="72729D35" w14:textId="77777777" w:rsidR="001B6918" w:rsidRPr="00B03F0B" w:rsidRDefault="001B6918" w:rsidP="00730ECF">
            <w:pPr>
              <w:jc w:val="center"/>
              <w:rPr>
                <w:rFonts w:ascii="Calibri" w:eastAsia="Times New Roman" w:hAnsi="Calibri" w:cs="Calibri"/>
                <w:b/>
                <w:bCs/>
                <w:color w:val="0D0D0D"/>
                <w:sz w:val="20"/>
                <w:szCs w:val="20"/>
              </w:rPr>
            </w:pPr>
            <w:r w:rsidRPr="00B03F0B">
              <w:rPr>
                <w:rFonts w:ascii="Calibri" w:eastAsia="Times New Roman" w:hAnsi="Calibri" w:cs="Calibri"/>
                <w:b/>
                <w:bCs/>
                <w:color w:val="0D0D0D"/>
                <w:sz w:val="20"/>
                <w:szCs w:val="20"/>
              </w:rPr>
              <w:t>Interest Rate Risk</w:t>
            </w:r>
          </w:p>
        </w:tc>
      </w:tr>
      <w:tr w:rsidR="001B6918" w:rsidRPr="00B03F0B" w14:paraId="6F13FFA2" w14:textId="77777777" w:rsidTr="00730ECF">
        <w:trPr>
          <w:trHeight w:val="168"/>
          <w:jc w:val="center"/>
        </w:trPr>
        <w:tc>
          <w:tcPr>
            <w:tcW w:w="4320" w:type="dxa"/>
            <w:tcBorders>
              <w:top w:val="nil"/>
              <w:left w:val="nil"/>
              <w:bottom w:val="nil"/>
              <w:right w:val="nil"/>
            </w:tcBorders>
            <w:shd w:val="clear" w:color="000000" w:fill="FFFFFF"/>
            <w:noWrap/>
            <w:vAlign w:val="bottom"/>
            <w:hideMark/>
          </w:tcPr>
          <w:p w14:paraId="288EC176" w14:textId="77777777" w:rsidR="001B6918" w:rsidRPr="00B03F0B" w:rsidRDefault="001B6918" w:rsidP="00730ECF">
            <w:pPr>
              <w:rPr>
                <w:rFonts w:ascii="Calibri" w:eastAsia="Times New Roman" w:hAnsi="Calibri" w:cs="Calibri"/>
                <w:b/>
                <w:bCs/>
                <w:color w:val="0D0D0D"/>
                <w:sz w:val="20"/>
                <w:szCs w:val="20"/>
              </w:rPr>
            </w:pPr>
            <w:r w:rsidRPr="00B03F0B">
              <w:rPr>
                <w:rFonts w:ascii="Calibri" w:eastAsia="Times New Roman" w:hAnsi="Calibri" w:cs="Calibri"/>
                <w:b/>
                <w:bCs/>
                <w:color w:val="0D0D0D"/>
                <w:sz w:val="20"/>
                <w:szCs w:val="20"/>
              </w:rPr>
              <w:t>Operating Investments measured at fair value:</w:t>
            </w:r>
          </w:p>
        </w:tc>
        <w:tc>
          <w:tcPr>
            <w:tcW w:w="1320" w:type="dxa"/>
            <w:tcBorders>
              <w:top w:val="nil"/>
              <w:left w:val="nil"/>
              <w:bottom w:val="nil"/>
              <w:right w:val="nil"/>
            </w:tcBorders>
            <w:shd w:val="clear" w:color="000000" w:fill="FFFFFF"/>
            <w:noWrap/>
            <w:vAlign w:val="bottom"/>
            <w:hideMark/>
          </w:tcPr>
          <w:p w14:paraId="07A09D8B" w14:textId="77777777" w:rsidR="001B6918" w:rsidRPr="00B03F0B" w:rsidRDefault="001B6918" w:rsidP="00730ECF">
            <w:pPr>
              <w:jc w:val="right"/>
              <w:rPr>
                <w:rFonts w:ascii="Calibri" w:eastAsia="Times New Roman" w:hAnsi="Calibri" w:cs="Calibri"/>
                <w:color w:val="0D0D0D"/>
                <w:sz w:val="20"/>
                <w:szCs w:val="20"/>
              </w:rPr>
            </w:pPr>
            <w:r w:rsidRPr="00B03F0B">
              <w:rPr>
                <w:rFonts w:ascii="Calibri" w:eastAsia="Times New Roman" w:hAnsi="Calibri" w:cs="Calibri"/>
                <w:color w:val="0D0D0D"/>
                <w:sz w:val="20"/>
                <w:szCs w:val="20"/>
              </w:rPr>
              <w:t> </w:t>
            </w:r>
          </w:p>
        </w:tc>
        <w:tc>
          <w:tcPr>
            <w:tcW w:w="1074" w:type="dxa"/>
            <w:tcBorders>
              <w:top w:val="nil"/>
              <w:left w:val="nil"/>
              <w:bottom w:val="nil"/>
              <w:right w:val="nil"/>
            </w:tcBorders>
            <w:shd w:val="clear" w:color="000000" w:fill="FFFFFF"/>
            <w:noWrap/>
            <w:vAlign w:val="bottom"/>
            <w:hideMark/>
          </w:tcPr>
          <w:p w14:paraId="37C89086" w14:textId="77777777" w:rsidR="001B6918" w:rsidRPr="00B03F0B" w:rsidRDefault="001B6918" w:rsidP="00730ECF">
            <w:pPr>
              <w:jc w:val="right"/>
              <w:rPr>
                <w:rFonts w:ascii="Calibri" w:eastAsia="Times New Roman" w:hAnsi="Calibri" w:cs="Calibri"/>
                <w:color w:val="0D0D0D"/>
                <w:sz w:val="20"/>
                <w:szCs w:val="20"/>
              </w:rPr>
            </w:pPr>
            <w:r w:rsidRPr="00B03F0B">
              <w:rPr>
                <w:rFonts w:ascii="Calibri" w:eastAsia="Times New Roman" w:hAnsi="Calibri" w:cs="Calibri"/>
                <w:color w:val="0D0D0D"/>
                <w:sz w:val="20"/>
                <w:szCs w:val="20"/>
              </w:rPr>
              <w:t> </w:t>
            </w:r>
          </w:p>
        </w:tc>
        <w:tc>
          <w:tcPr>
            <w:tcW w:w="1113" w:type="dxa"/>
            <w:tcBorders>
              <w:top w:val="nil"/>
              <w:left w:val="nil"/>
              <w:bottom w:val="nil"/>
              <w:right w:val="nil"/>
            </w:tcBorders>
            <w:shd w:val="clear" w:color="000000" w:fill="FFFFFF"/>
            <w:noWrap/>
            <w:vAlign w:val="bottom"/>
            <w:hideMark/>
          </w:tcPr>
          <w:p w14:paraId="245D32E8" w14:textId="77777777" w:rsidR="001B6918" w:rsidRPr="00B03F0B" w:rsidRDefault="001B6918" w:rsidP="00730ECF">
            <w:pPr>
              <w:jc w:val="right"/>
              <w:rPr>
                <w:rFonts w:ascii="Calibri" w:eastAsia="Times New Roman" w:hAnsi="Calibri" w:cs="Calibri"/>
                <w:color w:val="0D0D0D"/>
                <w:sz w:val="20"/>
                <w:szCs w:val="20"/>
              </w:rPr>
            </w:pPr>
            <w:r w:rsidRPr="00B03F0B">
              <w:rPr>
                <w:rFonts w:ascii="Calibri" w:eastAsia="Times New Roman" w:hAnsi="Calibri" w:cs="Calibri"/>
                <w:color w:val="0D0D0D"/>
                <w:sz w:val="20"/>
                <w:szCs w:val="20"/>
              </w:rPr>
              <w:t> </w:t>
            </w:r>
          </w:p>
        </w:tc>
        <w:tc>
          <w:tcPr>
            <w:tcW w:w="1113" w:type="dxa"/>
            <w:tcBorders>
              <w:top w:val="nil"/>
              <w:left w:val="nil"/>
              <w:bottom w:val="nil"/>
              <w:right w:val="nil"/>
            </w:tcBorders>
            <w:shd w:val="clear" w:color="000000" w:fill="FFFFFF"/>
            <w:noWrap/>
            <w:vAlign w:val="bottom"/>
            <w:hideMark/>
          </w:tcPr>
          <w:p w14:paraId="2676BA09" w14:textId="77777777" w:rsidR="001B6918" w:rsidRPr="00B03F0B" w:rsidRDefault="001B6918" w:rsidP="00730ECF">
            <w:pPr>
              <w:jc w:val="right"/>
              <w:rPr>
                <w:rFonts w:ascii="Calibri" w:eastAsia="Times New Roman" w:hAnsi="Calibri" w:cs="Calibri"/>
                <w:color w:val="0D0D0D"/>
                <w:sz w:val="20"/>
                <w:szCs w:val="20"/>
              </w:rPr>
            </w:pPr>
            <w:r w:rsidRPr="00B03F0B">
              <w:rPr>
                <w:rFonts w:ascii="Calibri" w:eastAsia="Times New Roman" w:hAnsi="Calibri" w:cs="Calibri"/>
                <w:color w:val="0D0D0D"/>
                <w:sz w:val="20"/>
                <w:szCs w:val="20"/>
              </w:rPr>
              <w:t> </w:t>
            </w:r>
          </w:p>
        </w:tc>
        <w:tc>
          <w:tcPr>
            <w:tcW w:w="1102" w:type="dxa"/>
            <w:tcBorders>
              <w:top w:val="nil"/>
              <w:left w:val="nil"/>
              <w:bottom w:val="nil"/>
              <w:right w:val="nil"/>
            </w:tcBorders>
            <w:shd w:val="clear" w:color="000000" w:fill="FFFFFF"/>
            <w:noWrap/>
            <w:vAlign w:val="bottom"/>
            <w:hideMark/>
          </w:tcPr>
          <w:p w14:paraId="33CBB73F" w14:textId="77777777" w:rsidR="001B6918" w:rsidRPr="00B03F0B" w:rsidRDefault="001B6918" w:rsidP="00730ECF">
            <w:pPr>
              <w:jc w:val="center"/>
              <w:rPr>
                <w:rFonts w:ascii="Calibri" w:eastAsia="Times New Roman" w:hAnsi="Calibri" w:cs="Calibri"/>
                <w:color w:val="0D0D0D"/>
                <w:sz w:val="20"/>
                <w:szCs w:val="20"/>
              </w:rPr>
            </w:pPr>
          </w:p>
        </w:tc>
        <w:tc>
          <w:tcPr>
            <w:tcW w:w="1509" w:type="dxa"/>
            <w:tcBorders>
              <w:top w:val="nil"/>
              <w:left w:val="nil"/>
              <w:bottom w:val="nil"/>
              <w:right w:val="nil"/>
            </w:tcBorders>
            <w:shd w:val="clear" w:color="000000" w:fill="FFFFFF"/>
            <w:noWrap/>
            <w:vAlign w:val="bottom"/>
            <w:hideMark/>
          </w:tcPr>
          <w:p w14:paraId="2941CCC5" w14:textId="77777777" w:rsidR="001B6918" w:rsidRPr="00B03F0B" w:rsidRDefault="001B6918" w:rsidP="00730ECF">
            <w:pPr>
              <w:jc w:val="center"/>
              <w:rPr>
                <w:rFonts w:ascii="Calibri" w:eastAsia="Times New Roman" w:hAnsi="Calibri" w:cs="Calibri"/>
                <w:color w:val="0D0D0D"/>
                <w:sz w:val="20"/>
                <w:szCs w:val="20"/>
              </w:rPr>
            </w:pPr>
          </w:p>
        </w:tc>
        <w:tc>
          <w:tcPr>
            <w:tcW w:w="2480" w:type="dxa"/>
            <w:tcBorders>
              <w:top w:val="nil"/>
              <w:left w:val="nil"/>
              <w:bottom w:val="nil"/>
              <w:right w:val="nil"/>
            </w:tcBorders>
            <w:shd w:val="clear" w:color="000000" w:fill="FFFFFF"/>
            <w:noWrap/>
            <w:vAlign w:val="bottom"/>
            <w:hideMark/>
          </w:tcPr>
          <w:p w14:paraId="5C597616" w14:textId="77777777" w:rsidR="001B6918" w:rsidRPr="00B03F0B" w:rsidRDefault="001B6918" w:rsidP="00730ECF">
            <w:pPr>
              <w:rPr>
                <w:rFonts w:ascii="Calibri" w:eastAsia="Times New Roman" w:hAnsi="Calibri" w:cs="Calibri"/>
                <w:color w:val="0D0D0D"/>
                <w:sz w:val="20"/>
                <w:szCs w:val="20"/>
              </w:rPr>
            </w:pPr>
            <w:r w:rsidRPr="00B03F0B">
              <w:rPr>
                <w:rFonts w:ascii="Calibri" w:eastAsia="Times New Roman" w:hAnsi="Calibri" w:cs="Calibri"/>
                <w:color w:val="0D0D0D"/>
                <w:sz w:val="20"/>
                <w:szCs w:val="20"/>
              </w:rPr>
              <w:t> </w:t>
            </w:r>
          </w:p>
        </w:tc>
      </w:tr>
      <w:tr w:rsidR="001B6918" w:rsidRPr="00B03F0B" w14:paraId="7D310B0E" w14:textId="77777777" w:rsidTr="00730ECF">
        <w:trPr>
          <w:trHeight w:val="387"/>
          <w:jc w:val="center"/>
        </w:trPr>
        <w:tc>
          <w:tcPr>
            <w:tcW w:w="4320" w:type="dxa"/>
            <w:tcBorders>
              <w:top w:val="nil"/>
              <w:left w:val="nil"/>
              <w:bottom w:val="nil"/>
              <w:right w:val="nil"/>
            </w:tcBorders>
            <w:shd w:val="clear" w:color="000000" w:fill="FFFFFF"/>
            <w:noWrap/>
            <w:vAlign w:val="bottom"/>
            <w:hideMark/>
          </w:tcPr>
          <w:p w14:paraId="6D42DB4A" w14:textId="77777777" w:rsidR="001B6918" w:rsidRPr="00B03F0B" w:rsidRDefault="001B6918" w:rsidP="00730ECF">
            <w:pPr>
              <w:ind w:firstLineChars="100" w:firstLine="200"/>
              <w:rPr>
                <w:rFonts w:ascii="Calibri" w:eastAsia="Times New Roman" w:hAnsi="Calibri" w:cs="Calibri"/>
                <w:color w:val="0D0D0D"/>
                <w:sz w:val="20"/>
                <w:szCs w:val="20"/>
              </w:rPr>
            </w:pPr>
            <w:r w:rsidRPr="00B03F0B">
              <w:rPr>
                <w:rFonts w:ascii="Calibri" w:eastAsia="Times New Roman" w:hAnsi="Calibri" w:cs="Calibri"/>
                <w:color w:val="0D0D0D"/>
                <w:sz w:val="20"/>
                <w:szCs w:val="20"/>
              </w:rPr>
              <w:t>Equities:</w:t>
            </w:r>
          </w:p>
        </w:tc>
        <w:tc>
          <w:tcPr>
            <w:tcW w:w="1320" w:type="dxa"/>
            <w:tcBorders>
              <w:top w:val="nil"/>
              <w:left w:val="nil"/>
              <w:bottom w:val="nil"/>
              <w:right w:val="nil"/>
            </w:tcBorders>
            <w:shd w:val="clear" w:color="000000" w:fill="FFFFFF"/>
            <w:noWrap/>
            <w:vAlign w:val="bottom"/>
            <w:hideMark/>
          </w:tcPr>
          <w:p w14:paraId="38E3A663" w14:textId="77777777" w:rsidR="001B6918" w:rsidRPr="00B03F0B" w:rsidRDefault="001B6918" w:rsidP="00730ECF">
            <w:pPr>
              <w:jc w:val="right"/>
              <w:rPr>
                <w:rFonts w:ascii="Calibri" w:eastAsia="Times New Roman" w:hAnsi="Calibri" w:cs="Calibri"/>
                <w:color w:val="0D0D0D"/>
                <w:sz w:val="20"/>
                <w:szCs w:val="20"/>
              </w:rPr>
            </w:pPr>
            <w:r w:rsidRPr="00B03F0B">
              <w:rPr>
                <w:rFonts w:ascii="Calibri" w:eastAsia="Times New Roman" w:hAnsi="Calibri" w:cs="Calibri"/>
                <w:color w:val="0D0D0D"/>
                <w:sz w:val="20"/>
                <w:szCs w:val="20"/>
              </w:rPr>
              <w:t> </w:t>
            </w:r>
          </w:p>
        </w:tc>
        <w:tc>
          <w:tcPr>
            <w:tcW w:w="1074" w:type="dxa"/>
            <w:tcBorders>
              <w:top w:val="nil"/>
              <w:left w:val="nil"/>
              <w:bottom w:val="nil"/>
              <w:right w:val="nil"/>
            </w:tcBorders>
            <w:shd w:val="clear" w:color="000000" w:fill="FFFFFF"/>
            <w:noWrap/>
            <w:vAlign w:val="bottom"/>
            <w:hideMark/>
          </w:tcPr>
          <w:p w14:paraId="1072EB3A" w14:textId="77777777" w:rsidR="001B6918" w:rsidRPr="00B03F0B" w:rsidRDefault="001B6918" w:rsidP="00730ECF">
            <w:pPr>
              <w:jc w:val="right"/>
              <w:rPr>
                <w:rFonts w:ascii="Calibri" w:eastAsia="Times New Roman" w:hAnsi="Calibri" w:cs="Calibri"/>
                <w:color w:val="0D0D0D"/>
                <w:sz w:val="20"/>
                <w:szCs w:val="20"/>
              </w:rPr>
            </w:pPr>
            <w:r w:rsidRPr="00B03F0B">
              <w:rPr>
                <w:rFonts w:ascii="Calibri" w:eastAsia="Times New Roman" w:hAnsi="Calibri" w:cs="Calibri"/>
                <w:color w:val="0D0D0D"/>
                <w:sz w:val="20"/>
                <w:szCs w:val="20"/>
              </w:rPr>
              <w:t> </w:t>
            </w:r>
          </w:p>
        </w:tc>
        <w:tc>
          <w:tcPr>
            <w:tcW w:w="1113" w:type="dxa"/>
            <w:tcBorders>
              <w:top w:val="nil"/>
              <w:left w:val="nil"/>
              <w:bottom w:val="nil"/>
              <w:right w:val="nil"/>
            </w:tcBorders>
            <w:shd w:val="clear" w:color="000000" w:fill="FFFFFF"/>
            <w:noWrap/>
            <w:vAlign w:val="bottom"/>
            <w:hideMark/>
          </w:tcPr>
          <w:p w14:paraId="23B6B995" w14:textId="77777777" w:rsidR="001B6918" w:rsidRPr="00B03F0B" w:rsidRDefault="001B6918" w:rsidP="00730ECF">
            <w:pPr>
              <w:jc w:val="right"/>
              <w:rPr>
                <w:rFonts w:ascii="Calibri" w:eastAsia="Times New Roman" w:hAnsi="Calibri" w:cs="Calibri"/>
                <w:color w:val="0D0D0D"/>
                <w:sz w:val="20"/>
                <w:szCs w:val="20"/>
              </w:rPr>
            </w:pPr>
            <w:r w:rsidRPr="00B03F0B">
              <w:rPr>
                <w:rFonts w:ascii="Calibri" w:eastAsia="Times New Roman" w:hAnsi="Calibri" w:cs="Calibri"/>
                <w:color w:val="0D0D0D"/>
                <w:sz w:val="20"/>
                <w:szCs w:val="20"/>
              </w:rPr>
              <w:t> </w:t>
            </w:r>
          </w:p>
        </w:tc>
        <w:tc>
          <w:tcPr>
            <w:tcW w:w="1113" w:type="dxa"/>
            <w:tcBorders>
              <w:top w:val="nil"/>
              <w:left w:val="nil"/>
              <w:bottom w:val="nil"/>
              <w:right w:val="nil"/>
            </w:tcBorders>
            <w:shd w:val="clear" w:color="000000" w:fill="FFFFFF"/>
            <w:noWrap/>
            <w:vAlign w:val="bottom"/>
            <w:hideMark/>
          </w:tcPr>
          <w:p w14:paraId="33FA54BC" w14:textId="77777777" w:rsidR="001B6918" w:rsidRPr="00B03F0B" w:rsidRDefault="001B6918" w:rsidP="00730ECF">
            <w:pPr>
              <w:jc w:val="right"/>
              <w:rPr>
                <w:rFonts w:ascii="Calibri" w:eastAsia="Times New Roman" w:hAnsi="Calibri" w:cs="Calibri"/>
                <w:color w:val="0D0D0D"/>
                <w:sz w:val="20"/>
                <w:szCs w:val="20"/>
              </w:rPr>
            </w:pPr>
            <w:r w:rsidRPr="00B03F0B">
              <w:rPr>
                <w:rFonts w:ascii="Calibri" w:eastAsia="Times New Roman" w:hAnsi="Calibri" w:cs="Calibri"/>
                <w:color w:val="0D0D0D"/>
                <w:sz w:val="20"/>
                <w:szCs w:val="20"/>
              </w:rPr>
              <w:t> </w:t>
            </w:r>
          </w:p>
        </w:tc>
        <w:tc>
          <w:tcPr>
            <w:tcW w:w="1102" w:type="dxa"/>
            <w:tcBorders>
              <w:top w:val="nil"/>
              <w:left w:val="nil"/>
              <w:bottom w:val="nil"/>
              <w:right w:val="nil"/>
            </w:tcBorders>
            <w:shd w:val="clear" w:color="000000" w:fill="FFFFFF"/>
            <w:noWrap/>
            <w:vAlign w:val="bottom"/>
            <w:hideMark/>
          </w:tcPr>
          <w:p w14:paraId="25916E57" w14:textId="77777777" w:rsidR="001B6918" w:rsidRPr="00B03F0B" w:rsidRDefault="001B6918" w:rsidP="00730ECF">
            <w:pPr>
              <w:jc w:val="center"/>
              <w:rPr>
                <w:rFonts w:ascii="Calibri" w:eastAsia="Times New Roman" w:hAnsi="Calibri" w:cs="Calibri"/>
                <w:color w:val="0D0D0D"/>
                <w:sz w:val="20"/>
                <w:szCs w:val="20"/>
              </w:rPr>
            </w:pPr>
          </w:p>
        </w:tc>
        <w:tc>
          <w:tcPr>
            <w:tcW w:w="1509" w:type="dxa"/>
            <w:tcBorders>
              <w:top w:val="nil"/>
              <w:left w:val="nil"/>
              <w:bottom w:val="nil"/>
              <w:right w:val="nil"/>
            </w:tcBorders>
            <w:shd w:val="clear" w:color="000000" w:fill="FFFFFF"/>
            <w:noWrap/>
            <w:vAlign w:val="bottom"/>
            <w:hideMark/>
          </w:tcPr>
          <w:p w14:paraId="5742C25E" w14:textId="77777777" w:rsidR="001B6918" w:rsidRPr="00B03F0B" w:rsidRDefault="001B6918" w:rsidP="00730ECF">
            <w:pPr>
              <w:jc w:val="center"/>
              <w:rPr>
                <w:rFonts w:ascii="Calibri" w:eastAsia="Times New Roman" w:hAnsi="Calibri" w:cs="Calibri"/>
                <w:color w:val="0D0D0D"/>
                <w:sz w:val="20"/>
                <w:szCs w:val="20"/>
              </w:rPr>
            </w:pPr>
          </w:p>
        </w:tc>
        <w:tc>
          <w:tcPr>
            <w:tcW w:w="2480" w:type="dxa"/>
            <w:tcBorders>
              <w:top w:val="nil"/>
              <w:left w:val="nil"/>
              <w:bottom w:val="nil"/>
              <w:right w:val="nil"/>
            </w:tcBorders>
            <w:shd w:val="clear" w:color="000000" w:fill="FFFFFF"/>
            <w:noWrap/>
            <w:vAlign w:val="bottom"/>
            <w:hideMark/>
          </w:tcPr>
          <w:p w14:paraId="372763EB" w14:textId="77777777" w:rsidR="001B6918" w:rsidRPr="00B03F0B" w:rsidRDefault="001B6918" w:rsidP="00730ECF">
            <w:pPr>
              <w:rPr>
                <w:rFonts w:ascii="Calibri" w:eastAsia="Times New Roman" w:hAnsi="Calibri" w:cs="Calibri"/>
                <w:color w:val="0D0D0D"/>
                <w:sz w:val="20"/>
                <w:szCs w:val="20"/>
              </w:rPr>
            </w:pPr>
            <w:r w:rsidRPr="00B03F0B">
              <w:rPr>
                <w:rFonts w:ascii="Calibri" w:eastAsia="Times New Roman" w:hAnsi="Calibri" w:cs="Calibri"/>
                <w:color w:val="0D0D0D"/>
                <w:sz w:val="20"/>
                <w:szCs w:val="20"/>
              </w:rPr>
              <w:t> </w:t>
            </w:r>
          </w:p>
        </w:tc>
      </w:tr>
      <w:tr w:rsidR="001B6918" w:rsidRPr="00B03F0B" w14:paraId="4761C11C" w14:textId="77777777" w:rsidTr="00730ECF">
        <w:trPr>
          <w:trHeight w:val="180"/>
          <w:jc w:val="center"/>
        </w:trPr>
        <w:tc>
          <w:tcPr>
            <w:tcW w:w="4320" w:type="dxa"/>
            <w:tcBorders>
              <w:top w:val="nil"/>
              <w:left w:val="nil"/>
              <w:bottom w:val="nil"/>
              <w:right w:val="nil"/>
            </w:tcBorders>
            <w:shd w:val="clear" w:color="000000" w:fill="FFFFFF"/>
            <w:noWrap/>
            <w:vAlign w:val="bottom"/>
            <w:hideMark/>
          </w:tcPr>
          <w:p w14:paraId="5D820C60" w14:textId="77777777" w:rsidR="001B6918" w:rsidRPr="00B03F0B" w:rsidRDefault="001B6918" w:rsidP="00730ECF">
            <w:pPr>
              <w:ind w:firstLineChars="171" w:firstLine="342"/>
              <w:rPr>
                <w:rFonts w:ascii="Calibri" w:eastAsia="Times New Roman" w:hAnsi="Calibri" w:cs="Calibri"/>
                <w:color w:val="0D0D0D"/>
                <w:sz w:val="20"/>
                <w:szCs w:val="20"/>
              </w:rPr>
            </w:pPr>
            <w:r w:rsidRPr="00B03F0B">
              <w:rPr>
                <w:rFonts w:ascii="Calibri" w:eastAsia="Times New Roman" w:hAnsi="Calibri" w:cs="Calibri"/>
                <w:color w:val="0D0D0D"/>
                <w:sz w:val="20"/>
                <w:szCs w:val="20"/>
              </w:rPr>
              <w:t>Multi-strategy funds</w:t>
            </w:r>
          </w:p>
        </w:tc>
        <w:tc>
          <w:tcPr>
            <w:tcW w:w="1320" w:type="dxa"/>
            <w:tcBorders>
              <w:top w:val="nil"/>
              <w:left w:val="nil"/>
              <w:bottom w:val="nil"/>
              <w:right w:val="nil"/>
            </w:tcBorders>
            <w:shd w:val="clear" w:color="000000" w:fill="FFFFFF"/>
            <w:noWrap/>
            <w:hideMark/>
          </w:tcPr>
          <w:p w14:paraId="6121951E" w14:textId="77777777" w:rsidR="001B6918" w:rsidRPr="00B03F0B" w:rsidRDefault="001B6918" w:rsidP="00730ECF">
            <w:pPr>
              <w:jc w:val="right"/>
              <w:rPr>
                <w:rFonts w:ascii="Calibri" w:eastAsia="Times New Roman" w:hAnsi="Calibri" w:cs="Calibri"/>
                <w:color w:val="0D0D0D"/>
                <w:sz w:val="20"/>
                <w:szCs w:val="20"/>
              </w:rPr>
            </w:pPr>
            <w:r w:rsidRPr="00D846C8">
              <w:rPr>
                <w:sz w:val="20"/>
                <w:szCs w:val="20"/>
              </w:rPr>
              <w:t xml:space="preserve"> $</w:t>
            </w:r>
            <w:r>
              <w:rPr>
                <w:sz w:val="20"/>
                <w:szCs w:val="20"/>
              </w:rPr>
              <w:t xml:space="preserve">   </w:t>
            </w:r>
            <w:r w:rsidRPr="00D846C8">
              <w:rPr>
                <w:sz w:val="20"/>
                <w:szCs w:val="20"/>
              </w:rPr>
              <w:t xml:space="preserve">48,487 </w:t>
            </w:r>
          </w:p>
        </w:tc>
        <w:tc>
          <w:tcPr>
            <w:tcW w:w="1074" w:type="dxa"/>
            <w:tcBorders>
              <w:top w:val="nil"/>
              <w:left w:val="nil"/>
              <w:bottom w:val="nil"/>
              <w:right w:val="nil"/>
            </w:tcBorders>
            <w:shd w:val="clear" w:color="000000" w:fill="FFFFFF"/>
            <w:noWrap/>
            <w:hideMark/>
          </w:tcPr>
          <w:p w14:paraId="60627C5C" w14:textId="77777777" w:rsidR="001B6918" w:rsidRPr="00B03F0B" w:rsidRDefault="001B6918" w:rsidP="00730ECF">
            <w:pPr>
              <w:jc w:val="right"/>
              <w:rPr>
                <w:rFonts w:ascii="Calibri" w:eastAsia="Times New Roman" w:hAnsi="Calibri" w:cs="Calibri"/>
                <w:sz w:val="20"/>
                <w:szCs w:val="20"/>
              </w:rPr>
            </w:pPr>
            <w:r w:rsidRPr="00D846C8">
              <w:rPr>
                <w:sz w:val="20"/>
                <w:szCs w:val="20"/>
              </w:rPr>
              <w:t xml:space="preserve"> $</w:t>
            </w:r>
            <w:r>
              <w:rPr>
                <w:sz w:val="20"/>
                <w:szCs w:val="20"/>
              </w:rPr>
              <w:t xml:space="preserve">   </w:t>
            </w:r>
            <w:r w:rsidRPr="00D846C8">
              <w:rPr>
                <w:sz w:val="20"/>
                <w:szCs w:val="20"/>
              </w:rPr>
              <w:t xml:space="preserve">24,037 </w:t>
            </w:r>
          </w:p>
        </w:tc>
        <w:tc>
          <w:tcPr>
            <w:tcW w:w="1113" w:type="dxa"/>
            <w:tcBorders>
              <w:top w:val="nil"/>
              <w:left w:val="nil"/>
              <w:bottom w:val="nil"/>
              <w:right w:val="nil"/>
            </w:tcBorders>
            <w:shd w:val="clear" w:color="000000" w:fill="FFFFFF"/>
            <w:noWrap/>
            <w:hideMark/>
          </w:tcPr>
          <w:p w14:paraId="3D49B4CE" w14:textId="77777777" w:rsidR="001B6918" w:rsidRPr="00B03F0B" w:rsidRDefault="001B6918" w:rsidP="00730ECF">
            <w:pPr>
              <w:jc w:val="right"/>
              <w:rPr>
                <w:rFonts w:ascii="Calibri" w:eastAsia="Times New Roman" w:hAnsi="Calibri" w:cs="Calibri"/>
                <w:sz w:val="20"/>
                <w:szCs w:val="20"/>
              </w:rPr>
            </w:pPr>
            <w:r w:rsidRPr="00D846C8">
              <w:rPr>
                <w:sz w:val="20"/>
                <w:szCs w:val="20"/>
              </w:rPr>
              <w:t xml:space="preserve"> $</w:t>
            </w:r>
            <w:r>
              <w:rPr>
                <w:sz w:val="20"/>
                <w:szCs w:val="20"/>
              </w:rPr>
              <w:t xml:space="preserve">  </w:t>
            </w:r>
            <w:r w:rsidRPr="00D846C8">
              <w:rPr>
                <w:sz w:val="20"/>
                <w:szCs w:val="20"/>
              </w:rPr>
              <w:t xml:space="preserve">24,450 </w:t>
            </w:r>
          </w:p>
        </w:tc>
        <w:tc>
          <w:tcPr>
            <w:tcW w:w="1113" w:type="dxa"/>
            <w:tcBorders>
              <w:top w:val="nil"/>
              <w:left w:val="nil"/>
              <w:bottom w:val="nil"/>
              <w:right w:val="nil"/>
            </w:tcBorders>
            <w:shd w:val="clear" w:color="000000" w:fill="FFFFFF"/>
            <w:noWrap/>
            <w:vAlign w:val="bottom"/>
            <w:hideMark/>
          </w:tcPr>
          <w:p w14:paraId="4FAA2571" w14:textId="77777777" w:rsidR="001B6918" w:rsidRPr="00B03F0B" w:rsidRDefault="001B6918" w:rsidP="00730ECF">
            <w:pPr>
              <w:jc w:val="right"/>
              <w:rPr>
                <w:rFonts w:ascii="Calibri" w:eastAsia="Times New Roman" w:hAnsi="Calibri" w:cs="Calibri"/>
                <w:sz w:val="20"/>
                <w:szCs w:val="20"/>
              </w:rPr>
            </w:pPr>
            <w:r w:rsidRPr="00D846C8">
              <w:rPr>
                <w:rFonts w:ascii="Calibri" w:eastAsia="Times New Roman" w:hAnsi="Calibri" w:cs="Calibri"/>
                <w:sz w:val="20"/>
                <w:szCs w:val="20"/>
              </w:rPr>
              <w:t>$         -</w:t>
            </w:r>
          </w:p>
        </w:tc>
        <w:tc>
          <w:tcPr>
            <w:tcW w:w="1102" w:type="dxa"/>
            <w:tcBorders>
              <w:top w:val="nil"/>
              <w:left w:val="nil"/>
              <w:bottom w:val="nil"/>
              <w:right w:val="nil"/>
            </w:tcBorders>
            <w:shd w:val="clear" w:color="000000" w:fill="FFFFFF"/>
            <w:noWrap/>
            <w:vAlign w:val="bottom"/>
            <w:hideMark/>
          </w:tcPr>
          <w:p w14:paraId="4D6B3B63" w14:textId="77777777" w:rsidR="001B6918" w:rsidRPr="00B03F0B" w:rsidRDefault="001B6918" w:rsidP="00730ECF">
            <w:pPr>
              <w:jc w:val="center"/>
              <w:rPr>
                <w:rFonts w:ascii="Calibri" w:eastAsia="Times New Roman" w:hAnsi="Calibri" w:cs="Calibri"/>
                <w:color w:val="0D0D0D"/>
                <w:sz w:val="20"/>
                <w:szCs w:val="20"/>
              </w:rPr>
            </w:pPr>
          </w:p>
        </w:tc>
        <w:tc>
          <w:tcPr>
            <w:tcW w:w="1509" w:type="dxa"/>
            <w:tcBorders>
              <w:top w:val="nil"/>
              <w:left w:val="nil"/>
              <w:bottom w:val="nil"/>
              <w:right w:val="nil"/>
            </w:tcBorders>
            <w:shd w:val="clear" w:color="000000" w:fill="FFFFFF"/>
            <w:noWrap/>
            <w:vAlign w:val="bottom"/>
            <w:hideMark/>
          </w:tcPr>
          <w:p w14:paraId="25D22EEA" w14:textId="77777777" w:rsidR="001B6918" w:rsidRPr="00B03F0B" w:rsidRDefault="001B6918" w:rsidP="00730ECF">
            <w:pPr>
              <w:jc w:val="center"/>
              <w:rPr>
                <w:rFonts w:ascii="Calibri" w:eastAsia="Times New Roman" w:hAnsi="Calibri" w:cs="Calibri"/>
                <w:color w:val="0D0D0D"/>
                <w:sz w:val="20"/>
                <w:szCs w:val="20"/>
              </w:rPr>
            </w:pPr>
          </w:p>
        </w:tc>
        <w:tc>
          <w:tcPr>
            <w:tcW w:w="2480" w:type="dxa"/>
            <w:tcBorders>
              <w:top w:val="nil"/>
              <w:left w:val="nil"/>
              <w:bottom w:val="nil"/>
              <w:right w:val="nil"/>
            </w:tcBorders>
            <w:shd w:val="clear" w:color="000000" w:fill="FFFFFF"/>
            <w:noWrap/>
            <w:vAlign w:val="bottom"/>
            <w:hideMark/>
          </w:tcPr>
          <w:p w14:paraId="0B5E9AB5" w14:textId="77777777" w:rsidR="001B6918" w:rsidRPr="00B03F0B" w:rsidRDefault="001B6918" w:rsidP="00730ECF">
            <w:pPr>
              <w:rPr>
                <w:rFonts w:ascii="Calibri" w:eastAsia="Times New Roman" w:hAnsi="Calibri" w:cs="Calibri"/>
                <w:color w:val="0D0D0D"/>
                <w:sz w:val="20"/>
                <w:szCs w:val="20"/>
              </w:rPr>
            </w:pPr>
            <w:r w:rsidRPr="00D012D8">
              <w:rPr>
                <w:rFonts w:ascii="Calibri" w:eastAsia="Times New Roman" w:hAnsi="Calibri" w:cs="Calibri"/>
                <w:color w:val="FF0000"/>
                <w:sz w:val="20"/>
                <w:szCs w:val="20"/>
              </w:rPr>
              <w:t> </w:t>
            </w:r>
          </w:p>
        </w:tc>
      </w:tr>
      <w:tr w:rsidR="001B6918" w:rsidRPr="00B03F0B" w14:paraId="6A86BC56" w14:textId="77777777" w:rsidTr="00730ECF">
        <w:trPr>
          <w:trHeight w:val="117"/>
          <w:jc w:val="center"/>
        </w:trPr>
        <w:tc>
          <w:tcPr>
            <w:tcW w:w="4320" w:type="dxa"/>
            <w:tcBorders>
              <w:top w:val="nil"/>
              <w:left w:val="nil"/>
              <w:bottom w:val="nil"/>
              <w:right w:val="nil"/>
            </w:tcBorders>
            <w:shd w:val="clear" w:color="000000" w:fill="FFFFFF"/>
            <w:noWrap/>
            <w:vAlign w:val="bottom"/>
            <w:hideMark/>
          </w:tcPr>
          <w:p w14:paraId="0C3A2139" w14:textId="77777777" w:rsidR="001B6918" w:rsidRPr="00B03F0B" w:rsidRDefault="001B6918" w:rsidP="00730ECF">
            <w:pPr>
              <w:ind w:firstLineChars="171" w:firstLine="342"/>
              <w:rPr>
                <w:rFonts w:ascii="Calibri" w:eastAsia="Times New Roman" w:hAnsi="Calibri" w:cs="Calibri"/>
                <w:color w:val="0D0D0D"/>
                <w:sz w:val="20"/>
                <w:szCs w:val="20"/>
              </w:rPr>
            </w:pPr>
            <w:r>
              <w:rPr>
                <w:rFonts w:ascii="Calibri" w:eastAsia="Times New Roman" w:hAnsi="Calibri" w:cs="Calibri"/>
                <w:color w:val="0D0D0D"/>
                <w:sz w:val="20"/>
                <w:szCs w:val="20"/>
              </w:rPr>
              <w:t>Equity securities</w:t>
            </w:r>
          </w:p>
        </w:tc>
        <w:tc>
          <w:tcPr>
            <w:tcW w:w="1320" w:type="dxa"/>
            <w:tcBorders>
              <w:top w:val="nil"/>
              <w:left w:val="nil"/>
              <w:bottom w:val="nil"/>
              <w:right w:val="nil"/>
            </w:tcBorders>
            <w:shd w:val="clear" w:color="000000" w:fill="FFFFFF"/>
            <w:noWrap/>
            <w:vAlign w:val="bottom"/>
            <w:hideMark/>
          </w:tcPr>
          <w:p w14:paraId="2D193737" w14:textId="77777777" w:rsidR="001B6918" w:rsidRPr="00B03F0B" w:rsidRDefault="001B6918" w:rsidP="00730ECF">
            <w:pPr>
              <w:jc w:val="right"/>
              <w:rPr>
                <w:rFonts w:ascii="Calibri" w:eastAsia="Times New Roman" w:hAnsi="Calibri" w:cs="Calibri"/>
                <w:color w:val="0D0D0D"/>
                <w:sz w:val="20"/>
                <w:szCs w:val="20"/>
              </w:rPr>
            </w:pPr>
            <w:r w:rsidRPr="00D846C8">
              <w:rPr>
                <w:rFonts w:ascii="Calibri" w:eastAsia="Times New Roman" w:hAnsi="Calibri" w:cs="Calibri"/>
                <w:sz w:val="20"/>
                <w:szCs w:val="20"/>
              </w:rPr>
              <w:t>149</w:t>
            </w:r>
          </w:p>
        </w:tc>
        <w:tc>
          <w:tcPr>
            <w:tcW w:w="1074" w:type="dxa"/>
            <w:tcBorders>
              <w:top w:val="nil"/>
              <w:left w:val="nil"/>
              <w:bottom w:val="nil"/>
              <w:right w:val="nil"/>
            </w:tcBorders>
            <w:shd w:val="clear" w:color="000000" w:fill="FFFFFF"/>
            <w:noWrap/>
            <w:vAlign w:val="bottom"/>
            <w:hideMark/>
          </w:tcPr>
          <w:p w14:paraId="3B67F29A" w14:textId="77777777" w:rsidR="001B6918" w:rsidRPr="00B03F0B" w:rsidRDefault="001B6918" w:rsidP="00730ECF">
            <w:pPr>
              <w:jc w:val="right"/>
              <w:rPr>
                <w:rFonts w:ascii="Calibri" w:eastAsia="Times New Roman" w:hAnsi="Calibri" w:cs="Calibri"/>
                <w:color w:val="FF0000"/>
                <w:sz w:val="20"/>
                <w:szCs w:val="20"/>
              </w:rPr>
            </w:pPr>
            <w:r w:rsidRPr="00D846C8">
              <w:rPr>
                <w:rFonts w:ascii="Calibri" w:eastAsia="Times New Roman" w:hAnsi="Calibri" w:cs="Calibri"/>
                <w:sz w:val="20"/>
                <w:szCs w:val="20"/>
              </w:rPr>
              <w:t>149</w:t>
            </w:r>
          </w:p>
        </w:tc>
        <w:tc>
          <w:tcPr>
            <w:tcW w:w="1113" w:type="dxa"/>
            <w:tcBorders>
              <w:top w:val="nil"/>
              <w:left w:val="nil"/>
              <w:bottom w:val="nil"/>
              <w:right w:val="nil"/>
            </w:tcBorders>
            <w:shd w:val="clear" w:color="000000" w:fill="FFFFFF"/>
            <w:noWrap/>
            <w:vAlign w:val="bottom"/>
            <w:hideMark/>
          </w:tcPr>
          <w:p w14:paraId="1DD2CB93" w14:textId="77777777" w:rsidR="001B6918" w:rsidRPr="00B03F0B" w:rsidRDefault="001B6918" w:rsidP="00730ECF">
            <w:pPr>
              <w:jc w:val="right"/>
              <w:rPr>
                <w:rFonts w:ascii="Calibri" w:eastAsia="Times New Roman" w:hAnsi="Calibri" w:cs="Calibri"/>
                <w:sz w:val="20"/>
                <w:szCs w:val="20"/>
              </w:rPr>
            </w:pPr>
          </w:p>
        </w:tc>
        <w:tc>
          <w:tcPr>
            <w:tcW w:w="1113" w:type="dxa"/>
            <w:tcBorders>
              <w:top w:val="nil"/>
              <w:left w:val="nil"/>
              <w:bottom w:val="nil"/>
              <w:right w:val="nil"/>
            </w:tcBorders>
            <w:shd w:val="clear" w:color="000000" w:fill="FFFFFF"/>
            <w:noWrap/>
            <w:vAlign w:val="bottom"/>
            <w:hideMark/>
          </w:tcPr>
          <w:p w14:paraId="3AD880C6" w14:textId="77777777" w:rsidR="001B6918" w:rsidRPr="00B03F0B" w:rsidRDefault="001B6918" w:rsidP="00730ECF">
            <w:pPr>
              <w:jc w:val="right"/>
              <w:rPr>
                <w:rFonts w:ascii="Calibri" w:eastAsia="Times New Roman" w:hAnsi="Calibri" w:cs="Calibri"/>
                <w:sz w:val="20"/>
                <w:szCs w:val="20"/>
              </w:rPr>
            </w:pPr>
          </w:p>
        </w:tc>
        <w:tc>
          <w:tcPr>
            <w:tcW w:w="1102" w:type="dxa"/>
            <w:tcBorders>
              <w:top w:val="nil"/>
              <w:left w:val="nil"/>
              <w:bottom w:val="nil"/>
              <w:right w:val="nil"/>
            </w:tcBorders>
            <w:shd w:val="clear" w:color="000000" w:fill="FFFFFF"/>
            <w:noWrap/>
            <w:vAlign w:val="bottom"/>
            <w:hideMark/>
          </w:tcPr>
          <w:p w14:paraId="1ED0F284" w14:textId="77777777" w:rsidR="001B6918" w:rsidRPr="00B03F0B" w:rsidRDefault="001B6918" w:rsidP="00730ECF">
            <w:pPr>
              <w:jc w:val="center"/>
              <w:rPr>
                <w:rFonts w:ascii="Calibri" w:eastAsia="Times New Roman" w:hAnsi="Calibri" w:cs="Calibri"/>
                <w:color w:val="0D0D0D"/>
                <w:sz w:val="20"/>
                <w:szCs w:val="20"/>
              </w:rPr>
            </w:pPr>
          </w:p>
        </w:tc>
        <w:tc>
          <w:tcPr>
            <w:tcW w:w="1509" w:type="dxa"/>
            <w:tcBorders>
              <w:top w:val="nil"/>
              <w:left w:val="nil"/>
              <w:bottom w:val="nil"/>
              <w:right w:val="nil"/>
            </w:tcBorders>
            <w:shd w:val="clear" w:color="000000" w:fill="FFFFFF"/>
            <w:noWrap/>
            <w:vAlign w:val="bottom"/>
            <w:hideMark/>
          </w:tcPr>
          <w:p w14:paraId="50F46979" w14:textId="77777777" w:rsidR="001B6918" w:rsidRPr="00B03F0B" w:rsidRDefault="001B6918" w:rsidP="00730ECF">
            <w:pPr>
              <w:jc w:val="center"/>
              <w:rPr>
                <w:rFonts w:ascii="Calibri" w:eastAsia="Times New Roman" w:hAnsi="Calibri" w:cs="Calibri"/>
                <w:color w:val="0D0D0D"/>
                <w:sz w:val="20"/>
                <w:szCs w:val="20"/>
              </w:rPr>
            </w:pPr>
          </w:p>
        </w:tc>
        <w:tc>
          <w:tcPr>
            <w:tcW w:w="2480" w:type="dxa"/>
            <w:tcBorders>
              <w:top w:val="nil"/>
              <w:left w:val="nil"/>
              <w:bottom w:val="nil"/>
              <w:right w:val="nil"/>
            </w:tcBorders>
            <w:shd w:val="clear" w:color="000000" w:fill="FFFFFF"/>
            <w:noWrap/>
            <w:vAlign w:val="bottom"/>
            <w:hideMark/>
          </w:tcPr>
          <w:p w14:paraId="4B7F37A6" w14:textId="77777777" w:rsidR="001B6918" w:rsidRPr="00B03F0B" w:rsidRDefault="001B6918" w:rsidP="00730ECF">
            <w:pPr>
              <w:rPr>
                <w:rFonts w:ascii="Calibri" w:eastAsia="Times New Roman" w:hAnsi="Calibri" w:cs="Calibri"/>
                <w:color w:val="0D0D0D"/>
                <w:sz w:val="20"/>
                <w:szCs w:val="20"/>
              </w:rPr>
            </w:pPr>
          </w:p>
        </w:tc>
      </w:tr>
      <w:tr w:rsidR="001B6918" w:rsidRPr="00B03F0B" w14:paraId="0B2394F5" w14:textId="77777777" w:rsidTr="00730ECF">
        <w:trPr>
          <w:trHeight w:val="126"/>
          <w:jc w:val="center"/>
        </w:trPr>
        <w:tc>
          <w:tcPr>
            <w:tcW w:w="4320" w:type="dxa"/>
            <w:tcBorders>
              <w:top w:val="nil"/>
              <w:left w:val="nil"/>
              <w:right w:val="nil"/>
            </w:tcBorders>
            <w:shd w:val="clear" w:color="000000" w:fill="FFFFFF"/>
            <w:noWrap/>
            <w:vAlign w:val="bottom"/>
            <w:hideMark/>
          </w:tcPr>
          <w:p w14:paraId="4DF411B3" w14:textId="77777777" w:rsidR="001B6918" w:rsidRPr="00B03F0B" w:rsidRDefault="001B6918" w:rsidP="00730ECF">
            <w:pPr>
              <w:ind w:firstLine="163"/>
              <w:rPr>
                <w:rFonts w:ascii="Calibri" w:eastAsia="Times New Roman" w:hAnsi="Calibri" w:cs="Calibri"/>
                <w:color w:val="0D0D0D"/>
                <w:sz w:val="20"/>
                <w:szCs w:val="20"/>
              </w:rPr>
            </w:pPr>
            <w:r w:rsidRPr="00B03F0B">
              <w:rPr>
                <w:rFonts w:ascii="Calibri" w:eastAsia="Times New Roman" w:hAnsi="Calibri" w:cs="Calibri"/>
                <w:color w:val="0D0D0D"/>
                <w:sz w:val="20"/>
                <w:szCs w:val="20"/>
              </w:rPr>
              <w:t>Fixed income funds:</w:t>
            </w:r>
          </w:p>
        </w:tc>
        <w:tc>
          <w:tcPr>
            <w:tcW w:w="1320" w:type="dxa"/>
            <w:tcBorders>
              <w:top w:val="nil"/>
              <w:left w:val="nil"/>
              <w:right w:val="nil"/>
            </w:tcBorders>
            <w:shd w:val="clear" w:color="000000" w:fill="FFFFFF"/>
            <w:noWrap/>
            <w:vAlign w:val="bottom"/>
            <w:hideMark/>
          </w:tcPr>
          <w:p w14:paraId="2757CD6E" w14:textId="77777777" w:rsidR="001B6918" w:rsidRPr="00B03F0B" w:rsidRDefault="001B6918" w:rsidP="00730ECF">
            <w:pPr>
              <w:jc w:val="right"/>
              <w:rPr>
                <w:rFonts w:ascii="Calibri" w:eastAsia="Times New Roman" w:hAnsi="Calibri" w:cs="Calibri"/>
                <w:color w:val="0D0D0D"/>
                <w:sz w:val="20"/>
                <w:szCs w:val="20"/>
              </w:rPr>
            </w:pPr>
            <w:r w:rsidRPr="00D846C8">
              <w:rPr>
                <w:rFonts w:ascii="Calibri" w:eastAsia="Times New Roman" w:hAnsi="Calibri" w:cs="Calibri"/>
                <w:sz w:val="20"/>
                <w:szCs w:val="20"/>
              </w:rPr>
              <w:t> </w:t>
            </w:r>
          </w:p>
        </w:tc>
        <w:tc>
          <w:tcPr>
            <w:tcW w:w="1074" w:type="dxa"/>
            <w:tcBorders>
              <w:top w:val="nil"/>
              <w:left w:val="nil"/>
              <w:right w:val="nil"/>
            </w:tcBorders>
            <w:shd w:val="clear" w:color="000000" w:fill="FFFFFF"/>
            <w:noWrap/>
            <w:vAlign w:val="bottom"/>
            <w:hideMark/>
          </w:tcPr>
          <w:p w14:paraId="6E70C0C9" w14:textId="77777777" w:rsidR="001B6918" w:rsidRPr="00B03F0B" w:rsidRDefault="001B6918" w:rsidP="00730ECF">
            <w:pPr>
              <w:jc w:val="right"/>
              <w:rPr>
                <w:rFonts w:ascii="Calibri" w:eastAsia="Times New Roman" w:hAnsi="Calibri" w:cs="Calibri"/>
                <w:sz w:val="20"/>
                <w:szCs w:val="20"/>
              </w:rPr>
            </w:pPr>
            <w:r w:rsidRPr="00D846C8">
              <w:rPr>
                <w:rFonts w:ascii="Calibri" w:eastAsia="Times New Roman" w:hAnsi="Calibri" w:cs="Calibri"/>
                <w:sz w:val="20"/>
                <w:szCs w:val="20"/>
              </w:rPr>
              <w:t> </w:t>
            </w:r>
          </w:p>
        </w:tc>
        <w:tc>
          <w:tcPr>
            <w:tcW w:w="1113" w:type="dxa"/>
            <w:tcBorders>
              <w:top w:val="nil"/>
              <w:left w:val="nil"/>
              <w:right w:val="nil"/>
            </w:tcBorders>
            <w:shd w:val="clear" w:color="000000" w:fill="FFFFFF"/>
            <w:noWrap/>
            <w:vAlign w:val="bottom"/>
            <w:hideMark/>
          </w:tcPr>
          <w:p w14:paraId="76A0D853" w14:textId="77777777" w:rsidR="001B6918" w:rsidRPr="00B03F0B" w:rsidRDefault="001B6918" w:rsidP="00730ECF">
            <w:pPr>
              <w:jc w:val="right"/>
              <w:rPr>
                <w:rFonts w:ascii="Calibri" w:eastAsia="Times New Roman" w:hAnsi="Calibri" w:cs="Calibri"/>
                <w:sz w:val="20"/>
                <w:szCs w:val="20"/>
              </w:rPr>
            </w:pPr>
            <w:r w:rsidRPr="00D846C8">
              <w:rPr>
                <w:rFonts w:ascii="Calibri" w:eastAsia="Times New Roman" w:hAnsi="Calibri" w:cs="Calibri"/>
                <w:sz w:val="20"/>
                <w:szCs w:val="20"/>
              </w:rPr>
              <w:t> </w:t>
            </w:r>
          </w:p>
        </w:tc>
        <w:tc>
          <w:tcPr>
            <w:tcW w:w="1113" w:type="dxa"/>
            <w:tcBorders>
              <w:top w:val="nil"/>
              <w:left w:val="nil"/>
              <w:right w:val="nil"/>
            </w:tcBorders>
            <w:shd w:val="clear" w:color="000000" w:fill="FFFFFF"/>
            <w:noWrap/>
            <w:vAlign w:val="bottom"/>
            <w:hideMark/>
          </w:tcPr>
          <w:p w14:paraId="1397EB5B" w14:textId="77777777" w:rsidR="001B6918" w:rsidRPr="00B03F0B" w:rsidRDefault="001B6918" w:rsidP="00730ECF">
            <w:pPr>
              <w:jc w:val="right"/>
              <w:rPr>
                <w:rFonts w:ascii="Calibri" w:eastAsia="Times New Roman" w:hAnsi="Calibri" w:cs="Calibri"/>
                <w:sz w:val="20"/>
                <w:szCs w:val="20"/>
              </w:rPr>
            </w:pPr>
            <w:r w:rsidRPr="00D846C8">
              <w:rPr>
                <w:rFonts w:ascii="Calibri" w:eastAsia="Times New Roman" w:hAnsi="Calibri" w:cs="Calibri"/>
                <w:sz w:val="20"/>
                <w:szCs w:val="20"/>
              </w:rPr>
              <w:t> </w:t>
            </w:r>
          </w:p>
        </w:tc>
        <w:tc>
          <w:tcPr>
            <w:tcW w:w="1102" w:type="dxa"/>
            <w:tcBorders>
              <w:top w:val="nil"/>
              <w:left w:val="nil"/>
              <w:bottom w:val="nil"/>
              <w:right w:val="nil"/>
            </w:tcBorders>
            <w:shd w:val="clear" w:color="000000" w:fill="FFFFFF"/>
            <w:noWrap/>
            <w:vAlign w:val="bottom"/>
            <w:hideMark/>
          </w:tcPr>
          <w:p w14:paraId="462CB7A2" w14:textId="77777777" w:rsidR="001B6918" w:rsidRPr="00B03F0B" w:rsidRDefault="001B6918" w:rsidP="00730ECF">
            <w:pPr>
              <w:jc w:val="center"/>
              <w:rPr>
                <w:rFonts w:ascii="Calibri" w:eastAsia="Times New Roman" w:hAnsi="Calibri" w:cs="Calibri"/>
                <w:sz w:val="20"/>
                <w:szCs w:val="20"/>
              </w:rPr>
            </w:pPr>
          </w:p>
        </w:tc>
        <w:tc>
          <w:tcPr>
            <w:tcW w:w="1509" w:type="dxa"/>
            <w:tcBorders>
              <w:top w:val="nil"/>
              <w:left w:val="nil"/>
              <w:bottom w:val="nil"/>
              <w:right w:val="nil"/>
            </w:tcBorders>
            <w:shd w:val="clear" w:color="000000" w:fill="FFFFFF"/>
            <w:noWrap/>
            <w:vAlign w:val="bottom"/>
            <w:hideMark/>
          </w:tcPr>
          <w:p w14:paraId="3C8D96D2" w14:textId="77777777" w:rsidR="001B6918" w:rsidRPr="00B03F0B" w:rsidRDefault="001B6918" w:rsidP="00730ECF">
            <w:pPr>
              <w:jc w:val="center"/>
              <w:rPr>
                <w:rFonts w:ascii="Calibri" w:eastAsia="Times New Roman" w:hAnsi="Calibri" w:cs="Calibri"/>
                <w:sz w:val="20"/>
                <w:szCs w:val="20"/>
              </w:rPr>
            </w:pPr>
          </w:p>
        </w:tc>
        <w:tc>
          <w:tcPr>
            <w:tcW w:w="2480" w:type="dxa"/>
            <w:tcBorders>
              <w:top w:val="nil"/>
              <w:left w:val="nil"/>
              <w:bottom w:val="nil"/>
              <w:right w:val="nil"/>
            </w:tcBorders>
            <w:shd w:val="clear" w:color="000000" w:fill="FFFFFF"/>
            <w:noWrap/>
            <w:vAlign w:val="bottom"/>
            <w:hideMark/>
          </w:tcPr>
          <w:p w14:paraId="1EDFCF62" w14:textId="77777777" w:rsidR="001B6918" w:rsidRPr="00B03F0B" w:rsidRDefault="001B6918" w:rsidP="00730ECF">
            <w:pPr>
              <w:rPr>
                <w:rFonts w:ascii="Calibri" w:eastAsia="Times New Roman" w:hAnsi="Calibri" w:cs="Calibri"/>
                <w:sz w:val="20"/>
                <w:szCs w:val="20"/>
              </w:rPr>
            </w:pPr>
            <w:r w:rsidRPr="00D012D8">
              <w:rPr>
                <w:rFonts w:ascii="Calibri" w:eastAsia="Times New Roman" w:hAnsi="Calibri" w:cs="Calibri"/>
                <w:color w:val="FF0000"/>
                <w:sz w:val="20"/>
                <w:szCs w:val="20"/>
              </w:rPr>
              <w:t> </w:t>
            </w:r>
          </w:p>
        </w:tc>
      </w:tr>
      <w:tr w:rsidR="001B6918" w:rsidRPr="00B03F0B" w14:paraId="11BF019F" w14:textId="77777777" w:rsidTr="00730ECF">
        <w:trPr>
          <w:trHeight w:val="95"/>
          <w:jc w:val="center"/>
        </w:trPr>
        <w:tc>
          <w:tcPr>
            <w:tcW w:w="4320" w:type="dxa"/>
            <w:tcBorders>
              <w:top w:val="nil"/>
              <w:left w:val="nil"/>
              <w:right w:val="nil"/>
            </w:tcBorders>
            <w:shd w:val="clear" w:color="000000" w:fill="FFFFFF"/>
            <w:noWrap/>
            <w:vAlign w:val="bottom"/>
            <w:hideMark/>
          </w:tcPr>
          <w:p w14:paraId="6F1630E0" w14:textId="77777777" w:rsidR="001B6918" w:rsidRPr="00B03F0B" w:rsidRDefault="001B6918" w:rsidP="00730ECF">
            <w:pPr>
              <w:ind w:firstLine="343"/>
              <w:rPr>
                <w:rFonts w:ascii="Calibri" w:eastAsia="Times New Roman" w:hAnsi="Calibri" w:cs="Calibri"/>
                <w:color w:val="0D0D0D"/>
                <w:sz w:val="20"/>
                <w:szCs w:val="20"/>
              </w:rPr>
            </w:pPr>
            <w:r w:rsidRPr="00B03F0B">
              <w:rPr>
                <w:rFonts w:ascii="Calibri" w:eastAsia="Times New Roman" w:hAnsi="Calibri" w:cs="Calibri"/>
                <w:color w:val="0D0D0D"/>
                <w:sz w:val="20"/>
                <w:szCs w:val="20"/>
              </w:rPr>
              <w:t>Bonds</w:t>
            </w:r>
          </w:p>
        </w:tc>
        <w:tc>
          <w:tcPr>
            <w:tcW w:w="1320" w:type="dxa"/>
            <w:tcBorders>
              <w:top w:val="nil"/>
              <w:left w:val="nil"/>
              <w:right w:val="nil"/>
            </w:tcBorders>
            <w:shd w:val="clear" w:color="000000" w:fill="FFFFFF"/>
            <w:noWrap/>
            <w:hideMark/>
          </w:tcPr>
          <w:p w14:paraId="415DF238" w14:textId="77777777" w:rsidR="001B6918" w:rsidRPr="00B03F0B" w:rsidRDefault="001B6918" w:rsidP="00730ECF">
            <w:pPr>
              <w:jc w:val="right"/>
              <w:rPr>
                <w:rFonts w:ascii="Calibri" w:eastAsia="Times New Roman" w:hAnsi="Calibri" w:cs="Calibri"/>
                <w:color w:val="0D0D0D"/>
                <w:sz w:val="20"/>
                <w:szCs w:val="20"/>
              </w:rPr>
            </w:pPr>
            <w:r w:rsidRPr="00D846C8">
              <w:rPr>
                <w:sz w:val="20"/>
                <w:szCs w:val="20"/>
              </w:rPr>
              <w:t xml:space="preserve"> 108,464 </w:t>
            </w:r>
          </w:p>
        </w:tc>
        <w:tc>
          <w:tcPr>
            <w:tcW w:w="1074" w:type="dxa"/>
            <w:tcBorders>
              <w:top w:val="nil"/>
              <w:left w:val="nil"/>
              <w:right w:val="nil"/>
            </w:tcBorders>
            <w:shd w:val="clear" w:color="000000" w:fill="FFFFFF"/>
            <w:noWrap/>
            <w:hideMark/>
          </w:tcPr>
          <w:p w14:paraId="4C221719" w14:textId="77777777" w:rsidR="001B6918" w:rsidRPr="00B03F0B" w:rsidRDefault="001B6918" w:rsidP="00730ECF">
            <w:pPr>
              <w:jc w:val="right"/>
              <w:rPr>
                <w:rFonts w:ascii="Calibri" w:eastAsia="Times New Roman" w:hAnsi="Calibri" w:cs="Calibri"/>
                <w:sz w:val="20"/>
                <w:szCs w:val="20"/>
              </w:rPr>
            </w:pPr>
            <w:r w:rsidRPr="00D846C8">
              <w:rPr>
                <w:sz w:val="20"/>
                <w:szCs w:val="20"/>
              </w:rPr>
              <w:t xml:space="preserve"> 35,774 </w:t>
            </w:r>
          </w:p>
        </w:tc>
        <w:tc>
          <w:tcPr>
            <w:tcW w:w="1113" w:type="dxa"/>
            <w:tcBorders>
              <w:top w:val="nil"/>
              <w:left w:val="nil"/>
              <w:right w:val="nil"/>
            </w:tcBorders>
            <w:shd w:val="clear" w:color="000000" w:fill="FFFFFF"/>
            <w:noWrap/>
            <w:hideMark/>
          </w:tcPr>
          <w:p w14:paraId="52DD023B" w14:textId="77777777" w:rsidR="001B6918" w:rsidRPr="00B03F0B" w:rsidRDefault="001B6918" w:rsidP="00730ECF">
            <w:pPr>
              <w:jc w:val="right"/>
              <w:rPr>
                <w:rFonts w:ascii="Calibri" w:eastAsia="Times New Roman" w:hAnsi="Calibri" w:cs="Calibri"/>
                <w:sz w:val="20"/>
                <w:szCs w:val="20"/>
              </w:rPr>
            </w:pPr>
            <w:r w:rsidRPr="00D846C8">
              <w:rPr>
                <w:sz w:val="20"/>
                <w:szCs w:val="20"/>
              </w:rPr>
              <w:t xml:space="preserve"> 72,690 </w:t>
            </w:r>
          </w:p>
        </w:tc>
        <w:tc>
          <w:tcPr>
            <w:tcW w:w="1113" w:type="dxa"/>
            <w:tcBorders>
              <w:top w:val="nil"/>
              <w:left w:val="nil"/>
              <w:right w:val="nil"/>
            </w:tcBorders>
            <w:shd w:val="clear" w:color="000000" w:fill="FFFFFF"/>
            <w:noWrap/>
            <w:vAlign w:val="bottom"/>
            <w:hideMark/>
          </w:tcPr>
          <w:p w14:paraId="03AB7DB5" w14:textId="77777777" w:rsidR="001B6918" w:rsidRPr="00B03F0B" w:rsidRDefault="001B6918" w:rsidP="00730ECF">
            <w:pPr>
              <w:jc w:val="right"/>
              <w:rPr>
                <w:rFonts w:ascii="Calibri" w:eastAsia="Times New Roman" w:hAnsi="Calibri" w:cs="Calibri"/>
                <w:sz w:val="20"/>
                <w:szCs w:val="20"/>
              </w:rPr>
            </w:pPr>
            <w:r w:rsidRPr="00D846C8">
              <w:rPr>
                <w:rFonts w:ascii="Calibri" w:eastAsia="Times New Roman" w:hAnsi="Calibri" w:cs="Calibri"/>
                <w:sz w:val="20"/>
                <w:szCs w:val="20"/>
              </w:rPr>
              <w:t>-</w:t>
            </w:r>
          </w:p>
        </w:tc>
        <w:tc>
          <w:tcPr>
            <w:tcW w:w="1102" w:type="dxa"/>
            <w:tcBorders>
              <w:top w:val="nil"/>
              <w:left w:val="nil"/>
              <w:bottom w:val="nil"/>
              <w:right w:val="nil"/>
            </w:tcBorders>
            <w:shd w:val="clear" w:color="000000" w:fill="FFFFFF"/>
            <w:noWrap/>
            <w:vAlign w:val="bottom"/>
            <w:hideMark/>
          </w:tcPr>
          <w:p w14:paraId="65024E49" w14:textId="77777777" w:rsidR="001B6918" w:rsidRPr="00B03F0B" w:rsidRDefault="001B6918" w:rsidP="00730ECF">
            <w:pPr>
              <w:jc w:val="center"/>
              <w:rPr>
                <w:rFonts w:ascii="Calibri" w:eastAsia="Times New Roman" w:hAnsi="Calibri" w:cs="Calibri"/>
                <w:sz w:val="20"/>
                <w:szCs w:val="20"/>
              </w:rPr>
            </w:pPr>
            <w:r w:rsidRPr="00D846C8">
              <w:rPr>
                <w:rFonts w:ascii="Calibri" w:eastAsia="Times New Roman" w:hAnsi="Calibri" w:cs="Calibri"/>
                <w:sz w:val="20"/>
                <w:szCs w:val="20"/>
              </w:rPr>
              <w:t>Not rated</w:t>
            </w:r>
          </w:p>
        </w:tc>
        <w:tc>
          <w:tcPr>
            <w:tcW w:w="1509" w:type="dxa"/>
            <w:tcBorders>
              <w:top w:val="nil"/>
              <w:left w:val="nil"/>
              <w:bottom w:val="nil"/>
              <w:right w:val="nil"/>
            </w:tcBorders>
            <w:shd w:val="clear" w:color="000000" w:fill="FFFFFF"/>
            <w:noWrap/>
            <w:vAlign w:val="bottom"/>
            <w:hideMark/>
          </w:tcPr>
          <w:p w14:paraId="248235F1" w14:textId="77777777" w:rsidR="001B6918" w:rsidRPr="00B03F0B" w:rsidRDefault="001B6918" w:rsidP="00730ECF">
            <w:pPr>
              <w:jc w:val="center"/>
              <w:rPr>
                <w:rFonts w:ascii="Calibri" w:eastAsia="Times New Roman" w:hAnsi="Calibri" w:cs="Calibri"/>
                <w:sz w:val="20"/>
                <w:szCs w:val="20"/>
              </w:rPr>
            </w:pPr>
            <w:r w:rsidRPr="00D846C8">
              <w:rPr>
                <w:rFonts w:ascii="Calibri" w:eastAsia="Times New Roman" w:hAnsi="Calibri" w:cs="Calibri"/>
                <w:sz w:val="20"/>
                <w:szCs w:val="20"/>
              </w:rPr>
              <w:t>1.86-6.31 years</w:t>
            </w:r>
          </w:p>
        </w:tc>
        <w:tc>
          <w:tcPr>
            <w:tcW w:w="2480" w:type="dxa"/>
            <w:tcBorders>
              <w:top w:val="nil"/>
              <w:left w:val="nil"/>
              <w:bottom w:val="nil"/>
              <w:right w:val="nil"/>
            </w:tcBorders>
            <w:shd w:val="clear" w:color="000000" w:fill="FFFFFF"/>
            <w:vAlign w:val="bottom"/>
            <w:hideMark/>
          </w:tcPr>
          <w:p w14:paraId="325C15D9" w14:textId="77777777" w:rsidR="001B6918" w:rsidRPr="00B03F0B" w:rsidRDefault="001B6918" w:rsidP="00730ECF">
            <w:pPr>
              <w:rPr>
                <w:rFonts w:ascii="Calibri" w:eastAsia="Times New Roman" w:hAnsi="Calibri" w:cs="Calibri"/>
                <w:sz w:val="20"/>
                <w:szCs w:val="20"/>
              </w:rPr>
            </w:pPr>
            <w:r w:rsidRPr="00D846C8">
              <w:rPr>
                <w:rFonts w:ascii="Calibri" w:eastAsia="Times New Roman" w:hAnsi="Calibri" w:cs="Calibri"/>
                <w:sz w:val="20"/>
                <w:szCs w:val="20"/>
              </w:rPr>
              <w:t>Duration</w:t>
            </w:r>
          </w:p>
        </w:tc>
      </w:tr>
      <w:tr w:rsidR="001B6918" w:rsidRPr="00B03F0B" w14:paraId="6DEBCFC2" w14:textId="77777777" w:rsidTr="00F41400">
        <w:trPr>
          <w:trHeight w:val="260"/>
          <w:jc w:val="center"/>
        </w:trPr>
        <w:tc>
          <w:tcPr>
            <w:tcW w:w="4320" w:type="dxa"/>
            <w:tcBorders>
              <w:left w:val="nil"/>
              <w:bottom w:val="single" w:sz="4" w:space="0" w:color="auto"/>
              <w:right w:val="nil"/>
            </w:tcBorders>
            <w:shd w:val="clear" w:color="000000" w:fill="FFFFFF"/>
            <w:noWrap/>
            <w:vAlign w:val="bottom"/>
            <w:hideMark/>
          </w:tcPr>
          <w:p w14:paraId="67ADF7CB" w14:textId="77777777" w:rsidR="001B6918" w:rsidRPr="00B03F0B" w:rsidRDefault="001B6918" w:rsidP="00730ECF">
            <w:pPr>
              <w:ind w:firstLineChars="81" w:firstLine="162"/>
              <w:rPr>
                <w:rFonts w:ascii="Calibri" w:eastAsia="Times New Roman" w:hAnsi="Calibri" w:cs="Calibri"/>
                <w:b/>
                <w:bCs/>
                <w:color w:val="0D0D0D"/>
                <w:sz w:val="20"/>
                <w:szCs w:val="20"/>
              </w:rPr>
            </w:pPr>
            <w:r w:rsidRPr="00B03F0B">
              <w:rPr>
                <w:rFonts w:ascii="Calibri" w:eastAsia="Times New Roman" w:hAnsi="Calibri" w:cs="Calibri"/>
                <w:color w:val="0D0D0D"/>
                <w:sz w:val="20"/>
                <w:szCs w:val="20"/>
              </w:rPr>
              <w:t>Money markets</w:t>
            </w:r>
          </w:p>
        </w:tc>
        <w:tc>
          <w:tcPr>
            <w:tcW w:w="1320" w:type="dxa"/>
            <w:tcBorders>
              <w:left w:val="nil"/>
              <w:bottom w:val="single" w:sz="4" w:space="0" w:color="auto"/>
              <w:right w:val="nil"/>
            </w:tcBorders>
            <w:shd w:val="clear" w:color="000000" w:fill="FFFFFF"/>
            <w:noWrap/>
            <w:hideMark/>
          </w:tcPr>
          <w:p w14:paraId="18080815" w14:textId="77777777" w:rsidR="001B6918" w:rsidRPr="00B03F0B" w:rsidRDefault="001B6918" w:rsidP="00730ECF">
            <w:pPr>
              <w:jc w:val="right"/>
              <w:rPr>
                <w:rFonts w:ascii="Calibri" w:eastAsia="Times New Roman" w:hAnsi="Calibri" w:cs="Calibri"/>
                <w:b/>
                <w:bCs/>
                <w:color w:val="0D0D0D"/>
                <w:sz w:val="20"/>
                <w:szCs w:val="20"/>
              </w:rPr>
            </w:pPr>
            <w:r w:rsidRPr="00D846C8">
              <w:rPr>
                <w:sz w:val="20"/>
                <w:szCs w:val="20"/>
              </w:rPr>
              <w:t xml:space="preserve"> 47,055 </w:t>
            </w:r>
          </w:p>
        </w:tc>
        <w:tc>
          <w:tcPr>
            <w:tcW w:w="1074" w:type="dxa"/>
            <w:tcBorders>
              <w:left w:val="nil"/>
              <w:bottom w:val="single" w:sz="4" w:space="0" w:color="auto"/>
              <w:right w:val="nil"/>
            </w:tcBorders>
            <w:shd w:val="clear" w:color="000000" w:fill="FFFFFF"/>
            <w:noWrap/>
            <w:hideMark/>
          </w:tcPr>
          <w:p w14:paraId="072ABF3C" w14:textId="77777777" w:rsidR="001B6918" w:rsidRPr="00B03F0B" w:rsidRDefault="001B6918" w:rsidP="00730ECF">
            <w:pPr>
              <w:jc w:val="right"/>
              <w:rPr>
                <w:rFonts w:ascii="Calibri" w:eastAsia="Times New Roman" w:hAnsi="Calibri" w:cs="Calibri"/>
                <w:b/>
                <w:bCs/>
                <w:color w:val="0D0D0D"/>
                <w:sz w:val="20"/>
                <w:szCs w:val="20"/>
              </w:rPr>
            </w:pPr>
            <w:r w:rsidRPr="00D846C8">
              <w:rPr>
                <w:sz w:val="20"/>
                <w:szCs w:val="20"/>
              </w:rPr>
              <w:t xml:space="preserve"> 47,055 </w:t>
            </w:r>
          </w:p>
        </w:tc>
        <w:tc>
          <w:tcPr>
            <w:tcW w:w="1113" w:type="dxa"/>
            <w:tcBorders>
              <w:left w:val="nil"/>
              <w:bottom w:val="single" w:sz="4" w:space="0" w:color="auto"/>
              <w:right w:val="nil"/>
            </w:tcBorders>
            <w:shd w:val="clear" w:color="000000" w:fill="FFFFFF"/>
            <w:noWrap/>
            <w:vAlign w:val="bottom"/>
            <w:hideMark/>
          </w:tcPr>
          <w:p w14:paraId="0DF71DB8" w14:textId="77777777" w:rsidR="001B6918" w:rsidRPr="00B03F0B" w:rsidRDefault="001B6918" w:rsidP="00730ECF">
            <w:pPr>
              <w:jc w:val="right"/>
              <w:rPr>
                <w:rFonts w:ascii="Calibri" w:eastAsia="Times New Roman" w:hAnsi="Calibri" w:cs="Calibri"/>
                <w:b/>
                <w:bCs/>
                <w:color w:val="0D0D0D"/>
                <w:sz w:val="20"/>
                <w:szCs w:val="20"/>
              </w:rPr>
            </w:pPr>
            <w:r w:rsidRPr="00D846C8">
              <w:rPr>
                <w:rFonts w:ascii="Calibri" w:eastAsia="Times New Roman" w:hAnsi="Calibri" w:cs="Calibri"/>
                <w:sz w:val="20"/>
                <w:szCs w:val="20"/>
              </w:rPr>
              <w:t>-</w:t>
            </w:r>
          </w:p>
        </w:tc>
        <w:tc>
          <w:tcPr>
            <w:tcW w:w="1113" w:type="dxa"/>
            <w:tcBorders>
              <w:left w:val="nil"/>
              <w:bottom w:val="single" w:sz="4" w:space="0" w:color="auto"/>
              <w:right w:val="nil"/>
            </w:tcBorders>
            <w:shd w:val="clear" w:color="000000" w:fill="FFFFFF"/>
            <w:noWrap/>
            <w:vAlign w:val="bottom"/>
            <w:hideMark/>
          </w:tcPr>
          <w:p w14:paraId="5C3BC2CE" w14:textId="77777777" w:rsidR="001B6918" w:rsidRPr="00B03F0B" w:rsidRDefault="001B6918" w:rsidP="00730ECF">
            <w:pPr>
              <w:jc w:val="right"/>
              <w:rPr>
                <w:rFonts w:ascii="Calibri" w:eastAsia="Times New Roman" w:hAnsi="Calibri" w:cs="Calibri"/>
                <w:b/>
                <w:bCs/>
                <w:color w:val="0D0D0D"/>
                <w:sz w:val="20"/>
                <w:szCs w:val="20"/>
              </w:rPr>
            </w:pPr>
            <w:r w:rsidRPr="00D846C8">
              <w:rPr>
                <w:rFonts w:ascii="Calibri" w:eastAsia="Times New Roman" w:hAnsi="Calibri" w:cs="Calibri"/>
                <w:sz w:val="20"/>
                <w:szCs w:val="20"/>
              </w:rPr>
              <w:t>-</w:t>
            </w:r>
          </w:p>
        </w:tc>
        <w:tc>
          <w:tcPr>
            <w:tcW w:w="1102" w:type="dxa"/>
            <w:tcBorders>
              <w:top w:val="nil"/>
              <w:left w:val="nil"/>
              <w:bottom w:val="nil"/>
              <w:right w:val="nil"/>
            </w:tcBorders>
            <w:shd w:val="clear" w:color="000000" w:fill="FFFFFF"/>
            <w:noWrap/>
            <w:vAlign w:val="bottom"/>
            <w:hideMark/>
          </w:tcPr>
          <w:p w14:paraId="7BAD440E" w14:textId="77777777" w:rsidR="001B6918" w:rsidRPr="00B03F0B" w:rsidRDefault="001B6918" w:rsidP="00730ECF">
            <w:pPr>
              <w:jc w:val="center"/>
              <w:rPr>
                <w:rFonts w:ascii="Calibri" w:eastAsia="Times New Roman" w:hAnsi="Calibri" w:cs="Calibri"/>
                <w:color w:val="FF0000"/>
                <w:sz w:val="20"/>
                <w:szCs w:val="20"/>
              </w:rPr>
            </w:pPr>
            <w:r w:rsidRPr="00D846C8">
              <w:rPr>
                <w:rFonts w:ascii="Calibri" w:eastAsia="Times New Roman" w:hAnsi="Calibri" w:cs="Calibri"/>
                <w:sz w:val="20"/>
                <w:szCs w:val="20"/>
              </w:rPr>
              <w:t>Not rated</w:t>
            </w:r>
          </w:p>
        </w:tc>
        <w:tc>
          <w:tcPr>
            <w:tcW w:w="1509" w:type="dxa"/>
            <w:tcBorders>
              <w:top w:val="nil"/>
              <w:left w:val="nil"/>
              <w:bottom w:val="nil"/>
              <w:right w:val="nil"/>
            </w:tcBorders>
            <w:shd w:val="clear" w:color="000000" w:fill="FFFFFF"/>
            <w:noWrap/>
            <w:vAlign w:val="bottom"/>
            <w:hideMark/>
          </w:tcPr>
          <w:p w14:paraId="4118CA84" w14:textId="77777777" w:rsidR="001B6918" w:rsidRPr="00B03F0B" w:rsidRDefault="001B6918" w:rsidP="00730ECF">
            <w:pPr>
              <w:jc w:val="center"/>
              <w:rPr>
                <w:rFonts w:ascii="Calibri" w:eastAsia="Times New Roman" w:hAnsi="Calibri" w:cs="Calibri"/>
                <w:color w:val="FF0000"/>
                <w:sz w:val="20"/>
                <w:szCs w:val="20"/>
              </w:rPr>
            </w:pPr>
            <w:r w:rsidRPr="00D846C8">
              <w:rPr>
                <w:rFonts w:ascii="Calibri" w:eastAsia="Times New Roman" w:hAnsi="Calibri" w:cs="Calibri"/>
                <w:sz w:val="20"/>
                <w:szCs w:val="20"/>
              </w:rPr>
              <w:t>34-42 days</w:t>
            </w:r>
          </w:p>
        </w:tc>
        <w:tc>
          <w:tcPr>
            <w:tcW w:w="2480" w:type="dxa"/>
            <w:tcBorders>
              <w:top w:val="nil"/>
              <w:left w:val="nil"/>
              <w:bottom w:val="nil"/>
              <w:right w:val="nil"/>
            </w:tcBorders>
            <w:shd w:val="clear" w:color="000000" w:fill="FFFFFF"/>
            <w:noWrap/>
            <w:vAlign w:val="bottom"/>
            <w:hideMark/>
          </w:tcPr>
          <w:p w14:paraId="6F1E067D" w14:textId="77777777" w:rsidR="001B6918" w:rsidRPr="00B03F0B" w:rsidRDefault="001B6918" w:rsidP="00730ECF">
            <w:pPr>
              <w:rPr>
                <w:rFonts w:ascii="Calibri" w:eastAsia="Times New Roman" w:hAnsi="Calibri" w:cs="Calibri"/>
                <w:color w:val="FF0000"/>
                <w:sz w:val="20"/>
                <w:szCs w:val="20"/>
              </w:rPr>
            </w:pPr>
            <w:r w:rsidRPr="00D846C8">
              <w:rPr>
                <w:rFonts w:ascii="Calibri" w:eastAsia="Times New Roman" w:hAnsi="Calibri" w:cs="Calibri"/>
                <w:sz w:val="20"/>
                <w:szCs w:val="20"/>
              </w:rPr>
              <w:t>Weighted Average Maturity</w:t>
            </w:r>
          </w:p>
        </w:tc>
      </w:tr>
      <w:tr w:rsidR="001B6918" w:rsidRPr="00B03F0B" w14:paraId="4A1686D6" w14:textId="77777777" w:rsidTr="00F41400">
        <w:trPr>
          <w:trHeight w:val="99"/>
          <w:jc w:val="center"/>
        </w:trPr>
        <w:tc>
          <w:tcPr>
            <w:tcW w:w="4320" w:type="dxa"/>
            <w:tcBorders>
              <w:top w:val="single" w:sz="4" w:space="0" w:color="auto"/>
              <w:left w:val="nil"/>
              <w:bottom w:val="single" w:sz="4" w:space="0" w:color="auto"/>
              <w:right w:val="nil"/>
            </w:tcBorders>
            <w:shd w:val="clear" w:color="000000" w:fill="FFFFFF"/>
            <w:noWrap/>
            <w:vAlign w:val="bottom"/>
            <w:hideMark/>
          </w:tcPr>
          <w:p w14:paraId="0A8E4A7A" w14:textId="77777777" w:rsidR="001B6918" w:rsidRPr="00B03F0B" w:rsidRDefault="001B6918" w:rsidP="00730ECF">
            <w:pPr>
              <w:rPr>
                <w:rFonts w:ascii="Calibri" w:eastAsia="Times New Roman" w:hAnsi="Calibri" w:cs="Calibri"/>
                <w:color w:val="0D0D0D"/>
                <w:sz w:val="20"/>
                <w:szCs w:val="20"/>
              </w:rPr>
            </w:pPr>
            <w:r w:rsidRPr="00B03F0B">
              <w:rPr>
                <w:rFonts w:ascii="Calibri" w:eastAsia="Times New Roman" w:hAnsi="Calibri" w:cs="Calibri"/>
                <w:b/>
                <w:bCs/>
                <w:color w:val="0D0D0D"/>
                <w:sz w:val="20"/>
                <w:szCs w:val="20"/>
              </w:rPr>
              <w:t>Total operating investments at fair value level</w:t>
            </w:r>
          </w:p>
        </w:tc>
        <w:tc>
          <w:tcPr>
            <w:tcW w:w="1320" w:type="dxa"/>
            <w:tcBorders>
              <w:top w:val="single" w:sz="4" w:space="0" w:color="auto"/>
              <w:left w:val="nil"/>
              <w:bottom w:val="single" w:sz="4" w:space="0" w:color="auto"/>
              <w:right w:val="nil"/>
            </w:tcBorders>
            <w:shd w:val="clear" w:color="000000" w:fill="FFFFFF"/>
            <w:noWrap/>
            <w:vAlign w:val="bottom"/>
            <w:hideMark/>
          </w:tcPr>
          <w:p w14:paraId="0FCBEDAF" w14:textId="77777777" w:rsidR="001B6918" w:rsidRPr="00B03F0B" w:rsidRDefault="001B6918" w:rsidP="00730ECF">
            <w:pPr>
              <w:jc w:val="right"/>
              <w:rPr>
                <w:rFonts w:ascii="Calibri" w:eastAsia="Times New Roman" w:hAnsi="Calibri" w:cs="Calibri"/>
                <w:color w:val="0D0D0D"/>
                <w:sz w:val="20"/>
                <w:szCs w:val="20"/>
              </w:rPr>
            </w:pPr>
            <w:r w:rsidRPr="00D846C8">
              <w:rPr>
                <w:rFonts w:ascii="Calibri" w:eastAsia="Times New Roman" w:hAnsi="Calibri" w:cs="Calibri"/>
                <w:b/>
                <w:bCs/>
                <w:sz w:val="20"/>
                <w:szCs w:val="20"/>
              </w:rPr>
              <w:t>$ 204,155</w:t>
            </w:r>
          </w:p>
        </w:tc>
        <w:tc>
          <w:tcPr>
            <w:tcW w:w="1074" w:type="dxa"/>
            <w:tcBorders>
              <w:top w:val="single" w:sz="4" w:space="0" w:color="auto"/>
              <w:left w:val="nil"/>
              <w:bottom w:val="double" w:sz="6" w:space="0" w:color="auto"/>
              <w:right w:val="nil"/>
            </w:tcBorders>
            <w:shd w:val="clear" w:color="000000" w:fill="FFFFFF"/>
            <w:noWrap/>
            <w:vAlign w:val="bottom"/>
            <w:hideMark/>
          </w:tcPr>
          <w:p w14:paraId="1D6A115E" w14:textId="77777777" w:rsidR="001B6918" w:rsidRPr="00B03F0B" w:rsidRDefault="001B6918" w:rsidP="00730ECF">
            <w:pPr>
              <w:jc w:val="right"/>
              <w:rPr>
                <w:rFonts w:ascii="Calibri" w:eastAsia="Times New Roman" w:hAnsi="Calibri" w:cs="Calibri"/>
                <w:color w:val="0D0D0D"/>
                <w:sz w:val="20"/>
                <w:szCs w:val="20"/>
              </w:rPr>
            </w:pPr>
            <w:r w:rsidRPr="00D846C8">
              <w:rPr>
                <w:rFonts w:ascii="Calibri" w:eastAsia="Times New Roman" w:hAnsi="Calibri" w:cs="Calibri"/>
                <w:b/>
                <w:bCs/>
                <w:sz w:val="20"/>
                <w:szCs w:val="20"/>
              </w:rPr>
              <w:t>$ 107,015</w:t>
            </w:r>
          </w:p>
        </w:tc>
        <w:tc>
          <w:tcPr>
            <w:tcW w:w="1113" w:type="dxa"/>
            <w:tcBorders>
              <w:top w:val="single" w:sz="4" w:space="0" w:color="auto"/>
              <w:left w:val="nil"/>
              <w:bottom w:val="double" w:sz="6" w:space="0" w:color="auto"/>
              <w:right w:val="nil"/>
            </w:tcBorders>
            <w:shd w:val="clear" w:color="000000" w:fill="FFFFFF"/>
            <w:noWrap/>
            <w:vAlign w:val="bottom"/>
            <w:hideMark/>
          </w:tcPr>
          <w:p w14:paraId="0928FEDF" w14:textId="77777777" w:rsidR="001B6918" w:rsidRPr="00B03F0B" w:rsidRDefault="001B6918" w:rsidP="00730ECF">
            <w:pPr>
              <w:jc w:val="right"/>
              <w:rPr>
                <w:rFonts w:ascii="Calibri" w:eastAsia="Times New Roman" w:hAnsi="Calibri" w:cs="Calibri"/>
                <w:color w:val="0D0D0D"/>
                <w:sz w:val="20"/>
                <w:szCs w:val="20"/>
              </w:rPr>
            </w:pPr>
            <w:r w:rsidRPr="00D846C8">
              <w:rPr>
                <w:rFonts w:ascii="Calibri" w:eastAsia="Times New Roman" w:hAnsi="Calibri" w:cs="Calibri"/>
                <w:b/>
                <w:bCs/>
                <w:sz w:val="20"/>
                <w:szCs w:val="20"/>
              </w:rPr>
              <w:t>$  97,140</w:t>
            </w:r>
          </w:p>
        </w:tc>
        <w:tc>
          <w:tcPr>
            <w:tcW w:w="1113" w:type="dxa"/>
            <w:tcBorders>
              <w:top w:val="single" w:sz="4" w:space="0" w:color="auto"/>
              <w:left w:val="nil"/>
              <w:bottom w:val="double" w:sz="6" w:space="0" w:color="auto"/>
              <w:right w:val="nil"/>
            </w:tcBorders>
            <w:shd w:val="clear" w:color="000000" w:fill="FFFFFF"/>
            <w:noWrap/>
            <w:vAlign w:val="bottom"/>
            <w:hideMark/>
          </w:tcPr>
          <w:p w14:paraId="04C65B93" w14:textId="77777777" w:rsidR="001B6918" w:rsidRPr="00B03F0B" w:rsidRDefault="001B6918" w:rsidP="00730ECF">
            <w:pPr>
              <w:jc w:val="right"/>
              <w:rPr>
                <w:rFonts w:ascii="Calibri" w:eastAsia="Times New Roman" w:hAnsi="Calibri" w:cs="Calibri"/>
                <w:color w:val="0D0D0D"/>
                <w:sz w:val="20"/>
                <w:szCs w:val="20"/>
              </w:rPr>
            </w:pPr>
            <w:r w:rsidRPr="00D846C8">
              <w:rPr>
                <w:rFonts w:ascii="Calibri" w:eastAsia="Times New Roman" w:hAnsi="Calibri" w:cs="Calibri"/>
                <w:b/>
                <w:bCs/>
                <w:sz w:val="20"/>
                <w:szCs w:val="20"/>
              </w:rPr>
              <w:t>$          -</w:t>
            </w:r>
          </w:p>
        </w:tc>
        <w:tc>
          <w:tcPr>
            <w:tcW w:w="1102" w:type="dxa"/>
            <w:tcBorders>
              <w:top w:val="nil"/>
              <w:left w:val="nil"/>
              <w:bottom w:val="nil"/>
              <w:right w:val="nil"/>
            </w:tcBorders>
            <w:shd w:val="clear" w:color="000000" w:fill="FFFFFF"/>
            <w:noWrap/>
            <w:vAlign w:val="bottom"/>
            <w:hideMark/>
          </w:tcPr>
          <w:p w14:paraId="48B3D079" w14:textId="77777777" w:rsidR="001B6918" w:rsidRPr="00B03F0B" w:rsidRDefault="001B6918" w:rsidP="00730ECF">
            <w:pPr>
              <w:jc w:val="center"/>
              <w:rPr>
                <w:rFonts w:ascii="Calibri" w:eastAsia="Times New Roman" w:hAnsi="Calibri" w:cs="Calibri"/>
                <w:color w:val="FF0000"/>
                <w:sz w:val="20"/>
                <w:szCs w:val="20"/>
              </w:rPr>
            </w:pPr>
          </w:p>
        </w:tc>
        <w:tc>
          <w:tcPr>
            <w:tcW w:w="1509" w:type="dxa"/>
            <w:tcBorders>
              <w:top w:val="nil"/>
              <w:left w:val="nil"/>
              <w:bottom w:val="nil"/>
              <w:right w:val="nil"/>
            </w:tcBorders>
            <w:shd w:val="clear" w:color="000000" w:fill="FFFFFF"/>
            <w:noWrap/>
            <w:vAlign w:val="bottom"/>
            <w:hideMark/>
          </w:tcPr>
          <w:p w14:paraId="35518308" w14:textId="77777777" w:rsidR="001B6918" w:rsidRPr="00B03F0B" w:rsidRDefault="001B6918" w:rsidP="00730ECF">
            <w:pPr>
              <w:jc w:val="center"/>
              <w:rPr>
                <w:rFonts w:ascii="Calibri" w:eastAsia="Times New Roman" w:hAnsi="Calibri" w:cs="Calibri"/>
                <w:color w:val="FF0000"/>
                <w:sz w:val="20"/>
                <w:szCs w:val="20"/>
              </w:rPr>
            </w:pPr>
          </w:p>
        </w:tc>
        <w:tc>
          <w:tcPr>
            <w:tcW w:w="2480" w:type="dxa"/>
            <w:tcBorders>
              <w:top w:val="nil"/>
              <w:left w:val="nil"/>
              <w:bottom w:val="nil"/>
              <w:right w:val="nil"/>
            </w:tcBorders>
            <w:shd w:val="clear" w:color="000000" w:fill="FFFFFF"/>
            <w:noWrap/>
            <w:vAlign w:val="bottom"/>
            <w:hideMark/>
          </w:tcPr>
          <w:p w14:paraId="131C91EA" w14:textId="77777777" w:rsidR="001B6918" w:rsidRPr="00B03F0B" w:rsidRDefault="001B6918" w:rsidP="00730ECF">
            <w:pPr>
              <w:rPr>
                <w:rFonts w:ascii="Calibri" w:eastAsia="Times New Roman" w:hAnsi="Calibri" w:cs="Calibri"/>
                <w:color w:val="FF0000"/>
                <w:sz w:val="20"/>
                <w:szCs w:val="20"/>
              </w:rPr>
            </w:pPr>
            <w:r w:rsidRPr="00FF5FB6">
              <w:rPr>
                <w:rFonts w:ascii="Calibri" w:eastAsia="Times New Roman" w:hAnsi="Calibri" w:cs="Calibri"/>
                <w:color w:val="FF0000"/>
                <w:sz w:val="20"/>
                <w:szCs w:val="20"/>
              </w:rPr>
              <w:t> </w:t>
            </w:r>
          </w:p>
        </w:tc>
      </w:tr>
      <w:tr w:rsidR="001B6918" w:rsidRPr="00B03F0B" w14:paraId="7BE2449E" w14:textId="77777777" w:rsidTr="00730ECF">
        <w:trPr>
          <w:trHeight w:val="95"/>
          <w:jc w:val="center"/>
        </w:trPr>
        <w:tc>
          <w:tcPr>
            <w:tcW w:w="4320" w:type="dxa"/>
            <w:tcBorders>
              <w:top w:val="single" w:sz="4" w:space="0" w:color="auto"/>
              <w:left w:val="nil"/>
              <w:bottom w:val="nil"/>
              <w:right w:val="nil"/>
            </w:tcBorders>
            <w:shd w:val="clear" w:color="000000" w:fill="FFFFFF"/>
            <w:noWrap/>
            <w:vAlign w:val="bottom"/>
            <w:hideMark/>
          </w:tcPr>
          <w:p w14:paraId="5D3FAEDC" w14:textId="77777777" w:rsidR="001B6918" w:rsidRPr="00B03F0B" w:rsidRDefault="001B6918" w:rsidP="00730ECF">
            <w:pPr>
              <w:ind w:firstLineChars="100" w:firstLine="200"/>
              <w:rPr>
                <w:rFonts w:ascii="Calibri" w:eastAsia="Times New Roman" w:hAnsi="Calibri" w:cs="Calibri"/>
                <w:color w:val="0D0D0D"/>
                <w:sz w:val="20"/>
                <w:szCs w:val="20"/>
              </w:rPr>
            </w:pPr>
            <w:r w:rsidRPr="00B03F0B">
              <w:rPr>
                <w:rFonts w:ascii="Calibri" w:eastAsia="Times New Roman" w:hAnsi="Calibri" w:cs="Calibri"/>
                <w:color w:val="0D0D0D"/>
                <w:sz w:val="20"/>
                <w:szCs w:val="20"/>
              </w:rPr>
              <w:t>Operating investments measured at NAV</w:t>
            </w:r>
          </w:p>
        </w:tc>
        <w:tc>
          <w:tcPr>
            <w:tcW w:w="1320" w:type="dxa"/>
            <w:tcBorders>
              <w:top w:val="single" w:sz="4" w:space="0" w:color="auto"/>
              <w:left w:val="nil"/>
              <w:right w:val="nil"/>
            </w:tcBorders>
            <w:shd w:val="clear" w:color="000000" w:fill="FFFFFF"/>
            <w:noWrap/>
            <w:vAlign w:val="bottom"/>
            <w:hideMark/>
          </w:tcPr>
          <w:p w14:paraId="6F241612" w14:textId="77777777" w:rsidR="001B6918" w:rsidRPr="00B03F0B" w:rsidRDefault="001B6918" w:rsidP="00730ECF">
            <w:pPr>
              <w:jc w:val="right"/>
              <w:rPr>
                <w:rFonts w:ascii="Calibri" w:eastAsia="Times New Roman" w:hAnsi="Calibri" w:cs="Calibri"/>
                <w:sz w:val="20"/>
                <w:szCs w:val="20"/>
              </w:rPr>
            </w:pPr>
            <w:r w:rsidRPr="00D012D8">
              <w:rPr>
                <w:rFonts w:ascii="Calibri" w:eastAsia="Times New Roman" w:hAnsi="Calibri" w:cs="Calibri"/>
                <w:color w:val="FF0000"/>
                <w:sz w:val="20"/>
                <w:szCs w:val="20"/>
              </w:rPr>
              <w:t> </w:t>
            </w:r>
          </w:p>
        </w:tc>
        <w:tc>
          <w:tcPr>
            <w:tcW w:w="1074" w:type="dxa"/>
            <w:tcBorders>
              <w:top w:val="double" w:sz="6" w:space="0" w:color="auto"/>
              <w:left w:val="nil"/>
              <w:bottom w:val="nil"/>
              <w:right w:val="nil"/>
            </w:tcBorders>
            <w:shd w:val="clear" w:color="000000" w:fill="FFFFFF"/>
            <w:noWrap/>
            <w:vAlign w:val="bottom"/>
            <w:hideMark/>
          </w:tcPr>
          <w:p w14:paraId="566F9CCF" w14:textId="77777777" w:rsidR="001B6918" w:rsidRPr="00B03F0B" w:rsidRDefault="001B6918" w:rsidP="00730ECF">
            <w:pPr>
              <w:jc w:val="right"/>
              <w:rPr>
                <w:rFonts w:ascii="Calibri" w:eastAsia="Times New Roman" w:hAnsi="Calibri" w:cs="Calibri"/>
                <w:color w:val="0D0D0D"/>
                <w:sz w:val="20"/>
                <w:szCs w:val="20"/>
              </w:rPr>
            </w:pPr>
            <w:r w:rsidRPr="00D012D8">
              <w:rPr>
                <w:rFonts w:ascii="Calibri" w:eastAsia="Times New Roman" w:hAnsi="Calibri" w:cs="Calibri"/>
                <w:color w:val="FF0000"/>
                <w:sz w:val="20"/>
                <w:szCs w:val="20"/>
              </w:rPr>
              <w:t> </w:t>
            </w:r>
          </w:p>
        </w:tc>
        <w:tc>
          <w:tcPr>
            <w:tcW w:w="1113" w:type="dxa"/>
            <w:tcBorders>
              <w:top w:val="double" w:sz="6" w:space="0" w:color="auto"/>
              <w:left w:val="nil"/>
              <w:bottom w:val="nil"/>
              <w:right w:val="nil"/>
            </w:tcBorders>
            <w:shd w:val="clear" w:color="000000" w:fill="FFFFFF"/>
            <w:noWrap/>
            <w:vAlign w:val="bottom"/>
            <w:hideMark/>
          </w:tcPr>
          <w:p w14:paraId="12DF9D2D" w14:textId="77777777" w:rsidR="001B6918" w:rsidRPr="00B03F0B" w:rsidRDefault="001B6918" w:rsidP="00730ECF">
            <w:pPr>
              <w:jc w:val="right"/>
              <w:rPr>
                <w:rFonts w:ascii="Calibri" w:eastAsia="Times New Roman" w:hAnsi="Calibri" w:cs="Calibri"/>
                <w:color w:val="0D0D0D"/>
                <w:sz w:val="20"/>
                <w:szCs w:val="20"/>
              </w:rPr>
            </w:pPr>
            <w:r w:rsidRPr="00D012D8">
              <w:rPr>
                <w:rFonts w:ascii="Calibri" w:eastAsia="Times New Roman" w:hAnsi="Calibri" w:cs="Calibri"/>
                <w:color w:val="FF0000"/>
                <w:sz w:val="20"/>
                <w:szCs w:val="20"/>
              </w:rPr>
              <w:t> </w:t>
            </w:r>
          </w:p>
        </w:tc>
        <w:tc>
          <w:tcPr>
            <w:tcW w:w="1113" w:type="dxa"/>
            <w:tcBorders>
              <w:top w:val="double" w:sz="6" w:space="0" w:color="auto"/>
              <w:left w:val="nil"/>
              <w:bottom w:val="nil"/>
              <w:right w:val="nil"/>
            </w:tcBorders>
            <w:shd w:val="clear" w:color="000000" w:fill="FFFFFF"/>
            <w:noWrap/>
            <w:vAlign w:val="bottom"/>
            <w:hideMark/>
          </w:tcPr>
          <w:p w14:paraId="279D7102" w14:textId="77777777" w:rsidR="001B6918" w:rsidRPr="00B03F0B" w:rsidRDefault="001B6918" w:rsidP="00730ECF">
            <w:pPr>
              <w:jc w:val="right"/>
              <w:rPr>
                <w:rFonts w:ascii="Calibri" w:eastAsia="Times New Roman" w:hAnsi="Calibri" w:cs="Calibri"/>
                <w:color w:val="0D0D0D"/>
                <w:sz w:val="20"/>
                <w:szCs w:val="20"/>
              </w:rPr>
            </w:pPr>
            <w:r w:rsidRPr="00D012D8">
              <w:rPr>
                <w:rFonts w:ascii="Calibri" w:eastAsia="Times New Roman" w:hAnsi="Calibri" w:cs="Calibri"/>
                <w:color w:val="FF0000"/>
                <w:sz w:val="20"/>
                <w:szCs w:val="20"/>
              </w:rPr>
              <w:t> </w:t>
            </w:r>
          </w:p>
        </w:tc>
        <w:tc>
          <w:tcPr>
            <w:tcW w:w="1102" w:type="dxa"/>
            <w:tcBorders>
              <w:top w:val="nil"/>
              <w:left w:val="nil"/>
              <w:bottom w:val="nil"/>
              <w:right w:val="nil"/>
            </w:tcBorders>
            <w:shd w:val="clear" w:color="000000" w:fill="FFFFFF"/>
            <w:noWrap/>
            <w:vAlign w:val="bottom"/>
            <w:hideMark/>
          </w:tcPr>
          <w:p w14:paraId="5E053344" w14:textId="77777777" w:rsidR="001B6918" w:rsidRPr="00B03F0B" w:rsidRDefault="001B6918" w:rsidP="00730ECF">
            <w:pPr>
              <w:jc w:val="center"/>
              <w:rPr>
                <w:rFonts w:ascii="Calibri" w:eastAsia="Times New Roman" w:hAnsi="Calibri" w:cs="Calibri"/>
                <w:color w:val="FF0000"/>
                <w:sz w:val="20"/>
                <w:szCs w:val="20"/>
              </w:rPr>
            </w:pPr>
          </w:p>
        </w:tc>
        <w:tc>
          <w:tcPr>
            <w:tcW w:w="1509" w:type="dxa"/>
            <w:tcBorders>
              <w:top w:val="nil"/>
              <w:left w:val="nil"/>
              <w:bottom w:val="nil"/>
              <w:right w:val="nil"/>
            </w:tcBorders>
            <w:shd w:val="clear" w:color="000000" w:fill="FFFFFF"/>
            <w:noWrap/>
            <w:vAlign w:val="bottom"/>
            <w:hideMark/>
          </w:tcPr>
          <w:p w14:paraId="088C93DE" w14:textId="77777777" w:rsidR="001B6918" w:rsidRPr="00B03F0B" w:rsidRDefault="001B6918" w:rsidP="00730ECF">
            <w:pPr>
              <w:jc w:val="center"/>
              <w:rPr>
                <w:rFonts w:ascii="Calibri" w:eastAsia="Times New Roman" w:hAnsi="Calibri" w:cs="Calibri"/>
                <w:color w:val="FF0000"/>
                <w:sz w:val="20"/>
                <w:szCs w:val="20"/>
              </w:rPr>
            </w:pPr>
          </w:p>
        </w:tc>
        <w:tc>
          <w:tcPr>
            <w:tcW w:w="2480" w:type="dxa"/>
            <w:tcBorders>
              <w:top w:val="nil"/>
              <w:left w:val="nil"/>
              <w:bottom w:val="nil"/>
              <w:right w:val="nil"/>
            </w:tcBorders>
            <w:shd w:val="clear" w:color="000000" w:fill="FFFFFF"/>
            <w:noWrap/>
            <w:vAlign w:val="bottom"/>
            <w:hideMark/>
          </w:tcPr>
          <w:p w14:paraId="14116F29" w14:textId="77777777" w:rsidR="001B6918" w:rsidRPr="00B03F0B" w:rsidRDefault="001B6918" w:rsidP="00730ECF">
            <w:pPr>
              <w:rPr>
                <w:rFonts w:ascii="Calibri" w:eastAsia="Times New Roman" w:hAnsi="Calibri" w:cs="Calibri"/>
                <w:color w:val="FF0000"/>
                <w:sz w:val="20"/>
                <w:szCs w:val="20"/>
              </w:rPr>
            </w:pPr>
            <w:r w:rsidRPr="00FF5FB6">
              <w:rPr>
                <w:rFonts w:ascii="Calibri" w:eastAsia="Times New Roman" w:hAnsi="Calibri" w:cs="Calibri"/>
                <w:color w:val="FF0000"/>
                <w:sz w:val="20"/>
                <w:szCs w:val="20"/>
              </w:rPr>
              <w:t> </w:t>
            </w:r>
          </w:p>
        </w:tc>
      </w:tr>
      <w:tr w:rsidR="001B6918" w:rsidRPr="00B03F0B" w14:paraId="1AC47096" w14:textId="77777777" w:rsidTr="00730ECF">
        <w:trPr>
          <w:trHeight w:val="171"/>
          <w:jc w:val="center"/>
        </w:trPr>
        <w:tc>
          <w:tcPr>
            <w:tcW w:w="4320" w:type="dxa"/>
            <w:tcBorders>
              <w:top w:val="nil"/>
              <w:left w:val="nil"/>
              <w:bottom w:val="nil"/>
              <w:right w:val="nil"/>
            </w:tcBorders>
            <w:shd w:val="clear" w:color="000000" w:fill="FFFFFF"/>
            <w:noWrap/>
            <w:vAlign w:val="bottom"/>
            <w:hideMark/>
          </w:tcPr>
          <w:p w14:paraId="326F619A" w14:textId="77777777" w:rsidR="001B6918" w:rsidRPr="00B03F0B" w:rsidRDefault="001B6918" w:rsidP="00730ECF">
            <w:pPr>
              <w:ind w:firstLineChars="100" w:firstLine="200"/>
              <w:rPr>
                <w:rFonts w:ascii="Calibri" w:eastAsia="Times New Roman" w:hAnsi="Calibri" w:cs="Calibri"/>
                <w:color w:val="0D0D0D"/>
                <w:sz w:val="20"/>
                <w:szCs w:val="20"/>
              </w:rPr>
            </w:pPr>
            <w:r w:rsidRPr="00B03F0B">
              <w:rPr>
                <w:rFonts w:ascii="Calibri" w:eastAsia="Times New Roman" w:hAnsi="Calibri" w:cs="Calibri"/>
                <w:color w:val="0D0D0D"/>
                <w:sz w:val="20"/>
                <w:szCs w:val="20"/>
              </w:rPr>
              <w:t>Equities:  Multi-Strategy</w:t>
            </w:r>
          </w:p>
        </w:tc>
        <w:tc>
          <w:tcPr>
            <w:tcW w:w="1320" w:type="dxa"/>
            <w:tcBorders>
              <w:top w:val="nil"/>
              <w:left w:val="nil"/>
              <w:right w:val="nil"/>
            </w:tcBorders>
            <w:shd w:val="clear" w:color="000000" w:fill="FFFFFF"/>
            <w:noWrap/>
            <w:hideMark/>
          </w:tcPr>
          <w:p w14:paraId="760022B0" w14:textId="77777777" w:rsidR="001B6918" w:rsidRPr="00B03F0B" w:rsidRDefault="001B6918" w:rsidP="00730ECF">
            <w:pPr>
              <w:jc w:val="right"/>
              <w:rPr>
                <w:rFonts w:ascii="Calibri" w:eastAsia="Times New Roman" w:hAnsi="Calibri" w:cs="Calibri"/>
                <w:sz w:val="20"/>
                <w:szCs w:val="20"/>
              </w:rPr>
            </w:pPr>
            <w:r w:rsidRPr="00D846C8">
              <w:rPr>
                <w:sz w:val="20"/>
                <w:szCs w:val="20"/>
              </w:rPr>
              <w:t xml:space="preserve"> 14,002 </w:t>
            </w:r>
          </w:p>
        </w:tc>
        <w:tc>
          <w:tcPr>
            <w:tcW w:w="1074" w:type="dxa"/>
            <w:tcBorders>
              <w:top w:val="nil"/>
              <w:left w:val="nil"/>
              <w:bottom w:val="nil"/>
              <w:right w:val="nil"/>
            </w:tcBorders>
            <w:shd w:val="clear" w:color="000000" w:fill="FFFFFF"/>
            <w:noWrap/>
            <w:vAlign w:val="bottom"/>
            <w:hideMark/>
          </w:tcPr>
          <w:p w14:paraId="7E3FC0A8" w14:textId="77777777" w:rsidR="001B6918" w:rsidRPr="00B03F0B" w:rsidRDefault="001B6918" w:rsidP="00730ECF">
            <w:pPr>
              <w:jc w:val="right"/>
              <w:rPr>
                <w:rFonts w:ascii="Calibri" w:eastAsia="Times New Roman" w:hAnsi="Calibri" w:cs="Calibri"/>
                <w:color w:val="0D0D0D"/>
                <w:sz w:val="20"/>
                <w:szCs w:val="20"/>
              </w:rPr>
            </w:pPr>
            <w:r w:rsidRPr="00D846C8">
              <w:rPr>
                <w:rFonts w:ascii="Calibri" w:eastAsia="Times New Roman" w:hAnsi="Calibri" w:cs="Calibri"/>
                <w:sz w:val="20"/>
                <w:szCs w:val="20"/>
              </w:rPr>
              <w:t> </w:t>
            </w:r>
          </w:p>
        </w:tc>
        <w:tc>
          <w:tcPr>
            <w:tcW w:w="1113" w:type="dxa"/>
            <w:tcBorders>
              <w:top w:val="nil"/>
              <w:left w:val="nil"/>
              <w:bottom w:val="nil"/>
              <w:right w:val="nil"/>
            </w:tcBorders>
            <w:shd w:val="clear" w:color="000000" w:fill="FFFFFF"/>
            <w:noWrap/>
            <w:vAlign w:val="bottom"/>
            <w:hideMark/>
          </w:tcPr>
          <w:p w14:paraId="6ECEDDA5" w14:textId="77777777" w:rsidR="001B6918" w:rsidRPr="00B03F0B" w:rsidRDefault="001B6918" w:rsidP="00730ECF">
            <w:pPr>
              <w:jc w:val="right"/>
              <w:rPr>
                <w:rFonts w:ascii="Calibri" w:eastAsia="Times New Roman" w:hAnsi="Calibri" w:cs="Calibri"/>
                <w:color w:val="0D0D0D"/>
                <w:sz w:val="20"/>
                <w:szCs w:val="20"/>
              </w:rPr>
            </w:pPr>
            <w:r w:rsidRPr="00D846C8">
              <w:rPr>
                <w:rFonts w:ascii="Calibri" w:eastAsia="Times New Roman" w:hAnsi="Calibri" w:cs="Calibri"/>
                <w:sz w:val="20"/>
                <w:szCs w:val="20"/>
              </w:rPr>
              <w:t> </w:t>
            </w:r>
          </w:p>
        </w:tc>
        <w:tc>
          <w:tcPr>
            <w:tcW w:w="1113" w:type="dxa"/>
            <w:tcBorders>
              <w:top w:val="nil"/>
              <w:left w:val="nil"/>
              <w:bottom w:val="nil"/>
              <w:right w:val="nil"/>
            </w:tcBorders>
            <w:shd w:val="clear" w:color="000000" w:fill="FFFFFF"/>
            <w:noWrap/>
            <w:vAlign w:val="bottom"/>
            <w:hideMark/>
          </w:tcPr>
          <w:p w14:paraId="111A0372" w14:textId="77777777" w:rsidR="001B6918" w:rsidRPr="00B03F0B" w:rsidRDefault="001B6918" w:rsidP="00730ECF">
            <w:pPr>
              <w:jc w:val="right"/>
              <w:rPr>
                <w:rFonts w:ascii="Calibri" w:eastAsia="Times New Roman" w:hAnsi="Calibri" w:cs="Calibri"/>
                <w:color w:val="0D0D0D"/>
                <w:sz w:val="20"/>
                <w:szCs w:val="20"/>
              </w:rPr>
            </w:pPr>
            <w:r w:rsidRPr="00D846C8">
              <w:rPr>
                <w:rFonts w:ascii="Calibri" w:eastAsia="Times New Roman" w:hAnsi="Calibri" w:cs="Calibri"/>
                <w:sz w:val="20"/>
                <w:szCs w:val="20"/>
              </w:rPr>
              <w:t> </w:t>
            </w:r>
          </w:p>
        </w:tc>
        <w:tc>
          <w:tcPr>
            <w:tcW w:w="1102" w:type="dxa"/>
            <w:tcBorders>
              <w:top w:val="nil"/>
              <w:left w:val="nil"/>
              <w:bottom w:val="nil"/>
              <w:right w:val="nil"/>
            </w:tcBorders>
            <w:shd w:val="clear" w:color="000000" w:fill="FFFFFF"/>
            <w:noWrap/>
            <w:vAlign w:val="bottom"/>
            <w:hideMark/>
          </w:tcPr>
          <w:p w14:paraId="2E02F3AC" w14:textId="77777777" w:rsidR="001B6918" w:rsidRPr="00B03F0B" w:rsidRDefault="001B6918" w:rsidP="00730ECF">
            <w:pPr>
              <w:jc w:val="center"/>
              <w:rPr>
                <w:rFonts w:ascii="Calibri" w:eastAsia="Times New Roman" w:hAnsi="Calibri" w:cs="Calibri"/>
                <w:sz w:val="20"/>
                <w:szCs w:val="20"/>
              </w:rPr>
            </w:pPr>
          </w:p>
        </w:tc>
        <w:tc>
          <w:tcPr>
            <w:tcW w:w="1509" w:type="dxa"/>
            <w:tcBorders>
              <w:top w:val="nil"/>
              <w:left w:val="nil"/>
              <w:bottom w:val="nil"/>
              <w:right w:val="nil"/>
            </w:tcBorders>
            <w:noWrap/>
            <w:vAlign w:val="bottom"/>
            <w:hideMark/>
          </w:tcPr>
          <w:p w14:paraId="424ADD5C" w14:textId="77777777" w:rsidR="001B6918" w:rsidRPr="00B03F0B" w:rsidRDefault="001B6918" w:rsidP="00730ECF">
            <w:pPr>
              <w:jc w:val="center"/>
              <w:rPr>
                <w:rFonts w:ascii="Calibri" w:eastAsia="Times New Roman" w:hAnsi="Calibri" w:cs="Calibri"/>
                <w:sz w:val="20"/>
                <w:szCs w:val="20"/>
              </w:rPr>
            </w:pPr>
          </w:p>
        </w:tc>
        <w:tc>
          <w:tcPr>
            <w:tcW w:w="2480" w:type="dxa"/>
            <w:tcBorders>
              <w:top w:val="nil"/>
              <w:left w:val="nil"/>
              <w:bottom w:val="nil"/>
              <w:right w:val="nil"/>
            </w:tcBorders>
            <w:shd w:val="clear" w:color="000000" w:fill="FFFFFF"/>
            <w:noWrap/>
            <w:vAlign w:val="bottom"/>
            <w:hideMark/>
          </w:tcPr>
          <w:p w14:paraId="4D1ADE06" w14:textId="77777777" w:rsidR="001B6918" w:rsidRPr="00B03F0B" w:rsidRDefault="001B6918" w:rsidP="00730ECF">
            <w:pPr>
              <w:rPr>
                <w:rFonts w:ascii="Calibri" w:eastAsia="Times New Roman" w:hAnsi="Calibri" w:cs="Calibri"/>
                <w:sz w:val="20"/>
                <w:szCs w:val="20"/>
              </w:rPr>
            </w:pPr>
            <w:r w:rsidRPr="00D846C8">
              <w:rPr>
                <w:rFonts w:ascii="Calibri" w:eastAsia="Times New Roman" w:hAnsi="Calibri" w:cs="Calibri"/>
                <w:sz w:val="20"/>
                <w:szCs w:val="20"/>
              </w:rPr>
              <w:t> </w:t>
            </w:r>
          </w:p>
        </w:tc>
      </w:tr>
      <w:tr w:rsidR="001B6918" w:rsidRPr="00B03F0B" w14:paraId="2308EB33" w14:textId="77777777" w:rsidTr="00730ECF">
        <w:trPr>
          <w:trHeight w:val="116"/>
          <w:jc w:val="center"/>
        </w:trPr>
        <w:tc>
          <w:tcPr>
            <w:tcW w:w="4320" w:type="dxa"/>
            <w:tcBorders>
              <w:top w:val="nil"/>
              <w:left w:val="nil"/>
              <w:bottom w:val="nil"/>
              <w:right w:val="nil"/>
            </w:tcBorders>
            <w:shd w:val="clear" w:color="000000" w:fill="FFFFFF"/>
            <w:noWrap/>
            <w:vAlign w:val="bottom"/>
            <w:hideMark/>
          </w:tcPr>
          <w:p w14:paraId="7D1FED40" w14:textId="77777777" w:rsidR="001B6918" w:rsidRPr="00B03F0B" w:rsidRDefault="001B6918" w:rsidP="00730ECF">
            <w:pPr>
              <w:ind w:firstLineChars="100" w:firstLine="200"/>
              <w:rPr>
                <w:rFonts w:ascii="Calibri" w:eastAsia="Times New Roman" w:hAnsi="Calibri" w:cs="Calibri"/>
                <w:color w:val="0D0D0D"/>
                <w:sz w:val="20"/>
                <w:szCs w:val="20"/>
              </w:rPr>
            </w:pPr>
            <w:r w:rsidRPr="00B03F0B">
              <w:rPr>
                <w:rFonts w:ascii="Calibri" w:eastAsia="Times New Roman" w:hAnsi="Calibri" w:cs="Calibri"/>
                <w:color w:val="0D0D0D"/>
                <w:sz w:val="20"/>
                <w:szCs w:val="20"/>
              </w:rPr>
              <w:t>Bank loans</w:t>
            </w:r>
          </w:p>
        </w:tc>
        <w:tc>
          <w:tcPr>
            <w:tcW w:w="1320" w:type="dxa"/>
            <w:tcBorders>
              <w:left w:val="nil"/>
              <w:bottom w:val="single" w:sz="4" w:space="0" w:color="000000"/>
              <w:right w:val="nil"/>
            </w:tcBorders>
            <w:shd w:val="clear" w:color="000000" w:fill="FFFFFF"/>
            <w:noWrap/>
            <w:hideMark/>
          </w:tcPr>
          <w:p w14:paraId="4CDDAA62" w14:textId="77777777" w:rsidR="001B6918" w:rsidRPr="00B03F0B" w:rsidRDefault="001B6918" w:rsidP="00730ECF">
            <w:pPr>
              <w:jc w:val="right"/>
              <w:rPr>
                <w:rFonts w:ascii="Calibri" w:eastAsia="Times New Roman" w:hAnsi="Calibri" w:cs="Calibri"/>
                <w:color w:val="0D0D0D"/>
                <w:sz w:val="20"/>
                <w:szCs w:val="20"/>
              </w:rPr>
            </w:pPr>
            <w:r w:rsidRPr="00D846C8">
              <w:rPr>
                <w:sz w:val="20"/>
                <w:szCs w:val="20"/>
              </w:rPr>
              <w:t xml:space="preserve"> 20,131 </w:t>
            </w:r>
          </w:p>
        </w:tc>
        <w:tc>
          <w:tcPr>
            <w:tcW w:w="1074" w:type="dxa"/>
            <w:tcBorders>
              <w:top w:val="nil"/>
              <w:left w:val="nil"/>
              <w:bottom w:val="nil"/>
              <w:right w:val="nil"/>
            </w:tcBorders>
            <w:shd w:val="clear" w:color="000000" w:fill="FFFFFF"/>
            <w:noWrap/>
            <w:vAlign w:val="bottom"/>
            <w:hideMark/>
          </w:tcPr>
          <w:p w14:paraId="6EDE4E6F" w14:textId="77777777" w:rsidR="001B6918" w:rsidRPr="00B03F0B" w:rsidRDefault="001B6918" w:rsidP="00730ECF">
            <w:pPr>
              <w:jc w:val="right"/>
              <w:rPr>
                <w:rFonts w:ascii="Calibri" w:eastAsia="Times New Roman" w:hAnsi="Calibri" w:cs="Calibri"/>
                <w:color w:val="0D0D0D"/>
                <w:sz w:val="20"/>
                <w:szCs w:val="20"/>
              </w:rPr>
            </w:pPr>
            <w:r w:rsidRPr="00D846C8">
              <w:rPr>
                <w:rFonts w:ascii="Calibri" w:eastAsia="Times New Roman" w:hAnsi="Calibri" w:cs="Calibri"/>
                <w:sz w:val="20"/>
                <w:szCs w:val="20"/>
              </w:rPr>
              <w:t> </w:t>
            </w:r>
          </w:p>
        </w:tc>
        <w:tc>
          <w:tcPr>
            <w:tcW w:w="1113" w:type="dxa"/>
            <w:tcBorders>
              <w:top w:val="nil"/>
              <w:left w:val="nil"/>
              <w:bottom w:val="nil"/>
              <w:right w:val="nil"/>
            </w:tcBorders>
            <w:shd w:val="clear" w:color="000000" w:fill="FFFFFF"/>
            <w:noWrap/>
            <w:vAlign w:val="bottom"/>
            <w:hideMark/>
          </w:tcPr>
          <w:p w14:paraId="6173FA8C" w14:textId="77777777" w:rsidR="001B6918" w:rsidRPr="00B03F0B" w:rsidRDefault="001B6918" w:rsidP="00730ECF">
            <w:pPr>
              <w:jc w:val="right"/>
              <w:rPr>
                <w:rFonts w:ascii="Calibri" w:eastAsia="Times New Roman" w:hAnsi="Calibri" w:cs="Calibri"/>
                <w:color w:val="0D0D0D"/>
                <w:sz w:val="20"/>
                <w:szCs w:val="20"/>
              </w:rPr>
            </w:pPr>
            <w:r w:rsidRPr="00D846C8">
              <w:rPr>
                <w:rFonts w:ascii="Calibri" w:eastAsia="Times New Roman" w:hAnsi="Calibri" w:cs="Calibri"/>
                <w:sz w:val="20"/>
                <w:szCs w:val="20"/>
              </w:rPr>
              <w:t> </w:t>
            </w:r>
          </w:p>
        </w:tc>
        <w:tc>
          <w:tcPr>
            <w:tcW w:w="1113" w:type="dxa"/>
            <w:tcBorders>
              <w:top w:val="nil"/>
              <w:left w:val="nil"/>
              <w:bottom w:val="nil"/>
              <w:right w:val="nil"/>
            </w:tcBorders>
            <w:shd w:val="clear" w:color="000000" w:fill="FFFFFF"/>
            <w:noWrap/>
            <w:vAlign w:val="bottom"/>
            <w:hideMark/>
          </w:tcPr>
          <w:p w14:paraId="395FC160" w14:textId="77777777" w:rsidR="001B6918" w:rsidRPr="00B03F0B" w:rsidRDefault="001B6918" w:rsidP="00730ECF">
            <w:pPr>
              <w:jc w:val="right"/>
              <w:rPr>
                <w:rFonts w:ascii="Calibri" w:eastAsia="Times New Roman" w:hAnsi="Calibri" w:cs="Calibri"/>
                <w:color w:val="0D0D0D"/>
                <w:sz w:val="20"/>
                <w:szCs w:val="20"/>
              </w:rPr>
            </w:pPr>
            <w:r w:rsidRPr="00D846C8">
              <w:rPr>
                <w:rFonts w:ascii="Calibri" w:eastAsia="Times New Roman" w:hAnsi="Calibri" w:cs="Calibri"/>
                <w:sz w:val="20"/>
                <w:szCs w:val="20"/>
              </w:rPr>
              <w:t> </w:t>
            </w:r>
          </w:p>
        </w:tc>
        <w:tc>
          <w:tcPr>
            <w:tcW w:w="1102" w:type="dxa"/>
            <w:tcBorders>
              <w:top w:val="nil"/>
              <w:left w:val="nil"/>
              <w:bottom w:val="nil"/>
              <w:right w:val="nil"/>
            </w:tcBorders>
            <w:shd w:val="clear" w:color="000000" w:fill="FFFFFF"/>
            <w:noWrap/>
            <w:vAlign w:val="bottom"/>
            <w:hideMark/>
          </w:tcPr>
          <w:p w14:paraId="298A44A9" w14:textId="77777777" w:rsidR="001B6918" w:rsidRPr="00B03F0B" w:rsidRDefault="001B6918" w:rsidP="00730ECF">
            <w:pPr>
              <w:jc w:val="center"/>
              <w:rPr>
                <w:rFonts w:ascii="Calibri" w:eastAsia="Times New Roman" w:hAnsi="Calibri" w:cs="Calibri"/>
                <w:color w:val="FF0000"/>
                <w:sz w:val="20"/>
                <w:szCs w:val="20"/>
              </w:rPr>
            </w:pPr>
            <w:r w:rsidRPr="00D846C8">
              <w:rPr>
                <w:rFonts w:ascii="Calibri" w:eastAsia="Times New Roman" w:hAnsi="Calibri" w:cs="Calibri"/>
                <w:sz w:val="20"/>
                <w:szCs w:val="20"/>
              </w:rPr>
              <w:t>Not rated</w:t>
            </w:r>
          </w:p>
        </w:tc>
        <w:tc>
          <w:tcPr>
            <w:tcW w:w="1509" w:type="dxa"/>
            <w:tcBorders>
              <w:top w:val="nil"/>
              <w:left w:val="nil"/>
              <w:bottom w:val="nil"/>
              <w:right w:val="nil"/>
            </w:tcBorders>
            <w:shd w:val="clear" w:color="000000" w:fill="FFFFFF"/>
            <w:noWrap/>
            <w:vAlign w:val="bottom"/>
            <w:hideMark/>
          </w:tcPr>
          <w:p w14:paraId="3878D77E" w14:textId="77777777" w:rsidR="001B6918" w:rsidRPr="00B03F0B" w:rsidRDefault="001B6918" w:rsidP="00730ECF">
            <w:pPr>
              <w:jc w:val="center"/>
              <w:rPr>
                <w:rFonts w:ascii="Calibri" w:eastAsia="Times New Roman" w:hAnsi="Calibri" w:cs="Calibri"/>
                <w:color w:val="FF0000"/>
                <w:sz w:val="20"/>
                <w:szCs w:val="20"/>
              </w:rPr>
            </w:pPr>
            <w:r w:rsidRPr="00D846C8">
              <w:rPr>
                <w:rFonts w:ascii="Calibri" w:eastAsia="Times New Roman" w:hAnsi="Calibri" w:cs="Calibri"/>
                <w:sz w:val="20"/>
                <w:szCs w:val="20"/>
              </w:rPr>
              <w:t>.08 years</w:t>
            </w:r>
          </w:p>
        </w:tc>
        <w:tc>
          <w:tcPr>
            <w:tcW w:w="2480" w:type="dxa"/>
            <w:tcBorders>
              <w:top w:val="nil"/>
              <w:left w:val="nil"/>
              <w:bottom w:val="nil"/>
              <w:right w:val="nil"/>
            </w:tcBorders>
            <w:shd w:val="clear" w:color="000000" w:fill="FFFFFF"/>
            <w:noWrap/>
            <w:vAlign w:val="bottom"/>
            <w:hideMark/>
          </w:tcPr>
          <w:p w14:paraId="0EEFDD49" w14:textId="77777777" w:rsidR="001B6918" w:rsidRPr="00B03F0B" w:rsidRDefault="001B6918" w:rsidP="00730ECF">
            <w:pPr>
              <w:rPr>
                <w:rFonts w:ascii="Calibri" w:eastAsia="Times New Roman" w:hAnsi="Calibri" w:cs="Calibri"/>
                <w:color w:val="FF0000"/>
                <w:sz w:val="20"/>
                <w:szCs w:val="20"/>
              </w:rPr>
            </w:pPr>
            <w:r w:rsidRPr="00D846C8">
              <w:rPr>
                <w:rFonts w:ascii="Calibri" w:eastAsia="Times New Roman" w:hAnsi="Calibri" w:cs="Calibri"/>
                <w:sz w:val="20"/>
                <w:szCs w:val="20"/>
              </w:rPr>
              <w:t>Duration</w:t>
            </w:r>
          </w:p>
        </w:tc>
      </w:tr>
      <w:tr w:rsidR="001B6918" w:rsidRPr="00B03F0B" w14:paraId="756C2125" w14:textId="77777777" w:rsidTr="00730ECF">
        <w:trPr>
          <w:trHeight w:val="233"/>
          <w:jc w:val="center"/>
        </w:trPr>
        <w:tc>
          <w:tcPr>
            <w:tcW w:w="4320" w:type="dxa"/>
            <w:tcBorders>
              <w:top w:val="nil"/>
              <w:left w:val="nil"/>
              <w:bottom w:val="nil"/>
              <w:right w:val="nil"/>
            </w:tcBorders>
            <w:shd w:val="clear" w:color="000000" w:fill="FFFFFF"/>
            <w:noWrap/>
            <w:vAlign w:val="bottom"/>
            <w:hideMark/>
          </w:tcPr>
          <w:p w14:paraId="2833C76A" w14:textId="77777777" w:rsidR="001B6918" w:rsidRPr="00B03F0B" w:rsidRDefault="001B6918" w:rsidP="00730ECF">
            <w:pPr>
              <w:ind w:leftChars="75" w:left="345" w:hangingChars="90" w:hanging="180"/>
              <w:rPr>
                <w:rFonts w:ascii="Calibri" w:eastAsia="Times New Roman" w:hAnsi="Calibri" w:cs="Calibri"/>
                <w:color w:val="0D0D0D"/>
                <w:sz w:val="20"/>
                <w:szCs w:val="20"/>
              </w:rPr>
            </w:pPr>
            <w:r w:rsidRPr="00B03F0B">
              <w:rPr>
                <w:rFonts w:ascii="Calibri" w:eastAsia="Times New Roman" w:hAnsi="Calibri" w:cs="Calibri"/>
                <w:color w:val="0D0D0D"/>
                <w:sz w:val="20"/>
                <w:szCs w:val="20"/>
              </w:rPr>
              <w:t>Total operating investments measured at NAV</w:t>
            </w:r>
          </w:p>
        </w:tc>
        <w:tc>
          <w:tcPr>
            <w:tcW w:w="1320" w:type="dxa"/>
            <w:tcBorders>
              <w:top w:val="single" w:sz="4" w:space="0" w:color="000000"/>
              <w:left w:val="nil"/>
              <w:bottom w:val="single" w:sz="4" w:space="0" w:color="auto"/>
              <w:right w:val="nil"/>
            </w:tcBorders>
            <w:shd w:val="clear" w:color="000000" w:fill="FFFFFF"/>
            <w:noWrap/>
            <w:vAlign w:val="bottom"/>
            <w:hideMark/>
          </w:tcPr>
          <w:p w14:paraId="6575F6B6" w14:textId="77777777" w:rsidR="001B6918" w:rsidRPr="00B03F0B" w:rsidRDefault="001B6918" w:rsidP="00730ECF">
            <w:pPr>
              <w:jc w:val="right"/>
              <w:rPr>
                <w:rFonts w:ascii="Calibri" w:eastAsia="Times New Roman" w:hAnsi="Calibri" w:cs="Calibri"/>
                <w:color w:val="0D0D0D"/>
                <w:sz w:val="20"/>
                <w:szCs w:val="20"/>
              </w:rPr>
            </w:pPr>
            <w:r w:rsidRPr="00CE5579">
              <w:rPr>
                <w:sz w:val="20"/>
                <w:szCs w:val="20"/>
              </w:rPr>
              <w:t xml:space="preserve"> 34,133</w:t>
            </w:r>
            <w:r w:rsidRPr="00D846C8">
              <w:rPr>
                <w:sz w:val="20"/>
                <w:szCs w:val="20"/>
              </w:rPr>
              <w:t xml:space="preserve"> </w:t>
            </w:r>
          </w:p>
        </w:tc>
        <w:tc>
          <w:tcPr>
            <w:tcW w:w="1074" w:type="dxa"/>
            <w:tcBorders>
              <w:top w:val="nil"/>
              <w:left w:val="nil"/>
              <w:bottom w:val="nil"/>
              <w:right w:val="nil"/>
            </w:tcBorders>
            <w:shd w:val="clear" w:color="000000" w:fill="FFFFFF"/>
            <w:noWrap/>
            <w:vAlign w:val="bottom"/>
            <w:hideMark/>
          </w:tcPr>
          <w:p w14:paraId="79868FB6" w14:textId="77777777" w:rsidR="001B6918" w:rsidRPr="00B03F0B" w:rsidRDefault="001B6918" w:rsidP="00730ECF">
            <w:pPr>
              <w:jc w:val="right"/>
              <w:rPr>
                <w:rFonts w:ascii="Calibri" w:eastAsia="Times New Roman" w:hAnsi="Calibri" w:cs="Calibri"/>
                <w:color w:val="0D0D0D"/>
                <w:sz w:val="20"/>
                <w:szCs w:val="20"/>
              </w:rPr>
            </w:pPr>
            <w:r w:rsidRPr="00D846C8">
              <w:rPr>
                <w:rFonts w:ascii="Calibri" w:eastAsia="Times New Roman" w:hAnsi="Calibri" w:cs="Calibri"/>
                <w:sz w:val="20"/>
                <w:szCs w:val="20"/>
              </w:rPr>
              <w:t> </w:t>
            </w:r>
          </w:p>
        </w:tc>
        <w:tc>
          <w:tcPr>
            <w:tcW w:w="1113" w:type="dxa"/>
            <w:tcBorders>
              <w:top w:val="nil"/>
              <w:left w:val="nil"/>
              <w:bottom w:val="nil"/>
              <w:right w:val="nil"/>
            </w:tcBorders>
            <w:shd w:val="clear" w:color="000000" w:fill="FFFFFF"/>
            <w:noWrap/>
            <w:vAlign w:val="bottom"/>
            <w:hideMark/>
          </w:tcPr>
          <w:p w14:paraId="3A443307" w14:textId="77777777" w:rsidR="001B6918" w:rsidRPr="00B03F0B" w:rsidRDefault="001B6918" w:rsidP="00730ECF">
            <w:pPr>
              <w:jc w:val="right"/>
              <w:rPr>
                <w:rFonts w:ascii="Calibri" w:eastAsia="Times New Roman" w:hAnsi="Calibri" w:cs="Calibri"/>
                <w:color w:val="0D0D0D"/>
                <w:sz w:val="20"/>
                <w:szCs w:val="20"/>
              </w:rPr>
            </w:pPr>
            <w:r w:rsidRPr="00D846C8">
              <w:rPr>
                <w:rFonts w:ascii="Calibri" w:eastAsia="Times New Roman" w:hAnsi="Calibri" w:cs="Calibri"/>
                <w:sz w:val="20"/>
                <w:szCs w:val="20"/>
              </w:rPr>
              <w:t> </w:t>
            </w:r>
          </w:p>
        </w:tc>
        <w:tc>
          <w:tcPr>
            <w:tcW w:w="1113" w:type="dxa"/>
            <w:tcBorders>
              <w:top w:val="nil"/>
              <w:left w:val="nil"/>
              <w:bottom w:val="nil"/>
              <w:right w:val="nil"/>
            </w:tcBorders>
            <w:shd w:val="clear" w:color="000000" w:fill="FFFFFF"/>
            <w:noWrap/>
            <w:vAlign w:val="bottom"/>
            <w:hideMark/>
          </w:tcPr>
          <w:p w14:paraId="65665B66" w14:textId="77777777" w:rsidR="001B6918" w:rsidRPr="00B03F0B" w:rsidRDefault="001B6918" w:rsidP="00730ECF">
            <w:pPr>
              <w:jc w:val="right"/>
              <w:rPr>
                <w:rFonts w:ascii="Calibri" w:eastAsia="Times New Roman" w:hAnsi="Calibri" w:cs="Calibri"/>
                <w:color w:val="0D0D0D"/>
                <w:sz w:val="20"/>
                <w:szCs w:val="20"/>
              </w:rPr>
            </w:pPr>
            <w:r w:rsidRPr="00D846C8">
              <w:rPr>
                <w:rFonts w:ascii="Calibri" w:eastAsia="Times New Roman" w:hAnsi="Calibri" w:cs="Calibri"/>
                <w:sz w:val="20"/>
                <w:szCs w:val="20"/>
              </w:rPr>
              <w:t> </w:t>
            </w:r>
          </w:p>
        </w:tc>
        <w:tc>
          <w:tcPr>
            <w:tcW w:w="1102" w:type="dxa"/>
            <w:tcBorders>
              <w:top w:val="nil"/>
              <w:left w:val="nil"/>
              <w:bottom w:val="nil"/>
              <w:right w:val="nil"/>
            </w:tcBorders>
            <w:shd w:val="clear" w:color="000000" w:fill="FFFFFF"/>
            <w:noWrap/>
            <w:vAlign w:val="bottom"/>
            <w:hideMark/>
          </w:tcPr>
          <w:p w14:paraId="22CD3950" w14:textId="77777777" w:rsidR="001B6918" w:rsidRPr="00B03F0B" w:rsidRDefault="001B6918" w:rsidP="00730ECF">
            <w:pPr>
              <w:jc w:val="center"/>
              <w:rPr>
                <w:rFonts w:ascii="Calibri" w:eastAsia="Times New Roman" w:hAnsi="Calibri" w:cs="Calibri"/>
                <w:color w:val="FF0000"/>
                <w:sz w:val="20"/>
                <w:szCs w:val="20"/>
              </w:rPr>
            </w:pPr>
          </w:p>
        </w:tc>
        <w:tc>
          <w:tcPr>
            <w:tcW w:w="1509" w:type="dxa"/>
            <w:tcBorders>
              <w:top w:val="nil"/>
              <w:left w:val="nil"/>
              <w:bottom w:val="nil"/>
              <w:right w:val="nil"/>
            </w:tcBorders>
            <w:shd w:val="clear" w:color="000000" w:fill="FFFFFF"/>
            <w:noWrap/>
            <w:vAlign w:val="bottom"/>
            <w:hideMark/>
          </w:tcPr>
          <w:p w14:paraId="361C8310" w14:textId="77777777" w:rsidR="001B6918" w:rsidRPr="00B03F0B" w:rsidRDefault="001B6918" w:rsidP="00730ECF">
            <w:pPr>
              <w:jc w:val="center"/>
              <w:rPr>
                <w:rFonts w:ascii="Calibri" w:eastAsia="Times New Roman" w:hAnsi="Calibri" w:cs="Calibri"/>
                <w:color w:val="FF0000"/>
                <w:sz w:val="20"/>
                <w:szCs w:val="20"/>
              </w:rPr>
            </w:pPr>
          </w:p>
        </w:tc>
        <w:tc>
          <w:tcPr>
            <w:tcW w:w="2480" w:type="dxa"/>
            <w:tcBorders>
              <w:top w:val="nil"/>
              <w:left w:val="nil"/>
              <w:bottom w:val="nil"/>
              <w:right w:val="nil"/>
            </w:tcBorders>
            <w:shd w:val="clear" w:color="000000" w:fill="FFFFFF"/>
            <w:noWrap/>
            <w:vAlign w:val="bottom"/>
            <w:hideMark/>
          </w:tcPr>
          <w:p w14:paraId="7EDCBDD9" w14:textId="77777777" w:rsidR="001B6918" w:rsidRPr="00B03F0B" w:rsidRDefault="001B6918" w:rsidP="00730ECF">
            <w:pPr>
              <w:rPr>
                <w:rFonts w:ascii="Calibri" w:eastAsia="Times New Roman" w:hAnsi="Calibri" w:cs="Calibri"/>
                <w:color w:val="FF0000"/>
                <w:sz w:val="20"/>
                <w:szCs w:val="20"/>
              </w:rPr>
            </w:pPr>
            <w:r w:rsidRPr="00D846C8">
              <w:rPr>
                <w:rFonts w:ascii="Calibri" w:eastAsia="Times New Roman" w:hAnsi="Calibri" w:cs="Calibri"/>
                <w:sz w:val="20"/>
                <w:szCs w:val="20"/>
              </w:rPr>
              <w:t> </w:t>
            </w:r>
          </w:p>
        </w:tc>
      </w:tr>
      <w:tr w:rsidR="001B6918" w:rsidRPr="00B03F0B" w14:paraId="6311ECF2" w14:textId="77777777" w:rsidTr="00F41400">
        <w:trPr>
          <w:trHeight w:val="108"/>
          <w:jc w:val="center"/>
        </w:trPr>
        <w:tc>
          <w:tcPr>
            <w:tcW w:w="4320" w:type="dxa"/>
            <w:tcBorders>
              <w:top w:val="nil"/>
              <w:left w:val="nil"/>
              <w:right w:val="nil"/>
            </w:tcBorders>
            <w:shd w:val="clear" w:color="000000" w:fill="FFFFFF"/>
            <w:noWrap/>
            <w:vAlign w:val="bottom"/>
            <w:hideMark/>
          </w:tcPr>
          <w:p w14:paraId="50407742" w14:textId="77777777" w:rsidR="001B6918" w:rsidRPr="00B03F0B" w:rsidRDefault="001B6918" w:rsidP="00730ECF">
            <w:pPr>
              <w:ind w:left="343" w:hanging="180"/>
              <w:rPr>
                <w:rFonts w:ascii="Calibri" w:eastAsia="Times New Roman" w:hAnsi="Calibri" w:cs="Calibri"/>
                <w:color w:val="0D0D0D"/>
                <w:sz w:val="20"/>
                <w:szCs w:val="20"/>
              </w:rPr>
            </w:pPr>
            <w:r w:rsidRPr="00B03F0B">
              <w:rPr>
                <w:rFonts w:ascii="Calibri" w:eastAsia="Times New Roman" w:hAnsi="Calibri" w:cs="Calibri"/>
                <w:color w:val="0D0D0D"/>
                <w:sz w:val="20"/>
                <w:szCs w:val="20"/>
              </w:rPr>
              <w:t xml:space="preserve">Total operating investments measured at fair </w:t>
            </w:r>
            <w:r>
              <w:rPr>
                <w:rFonts w:ascii="Calibri" w:eastAsia="Times New Roman" w:hAnsi="Calibri" w:cs="Calibri"/>
                <w:color w:val="0D0D0D"/>
                <w:sz w:val="20"/>
                <w:szCs w:val="20"/>
              </w:rPr>
              <w:t xml:space="preserve">  </w:t>
            </w:r>
            <w:r w:rsidRPr="00B03F0B">
              <w:rPr>
                <w:rFonts w:ascii="Calibri" w:eastAsia="Times New Roman" w:hAnsi="Calibri" w:cs="Calibri"/>
                <w:color w:val="0D0D0D"/>
                <w:sz w:val="20"/>
                <w:szCs w:val="20"/>
              </w:rPr>
              <w:t>value plus NAV</w:t>
            </w:r>
          </w:p>
        </w:tc>
        <w:tc>
          <w:tcPr>
            <w:tcW w:w="1320" w:type="dxa"/>
            <w:tcBorders>
              <w:top w:val="single" w:sz="4" w:space="0" w:color="auto"/>
              <w:left w:val="nil"/>
              <w:right w:val="nil"/>
            </w:tcBorders>
            <w:shd w:val="clear" w:color="000000" w:fill="FFFFFF"/>
            <w:noWrap/>
            <w:hideMark/>
          </w:tcPr>
          <w:p w14:paraId="542C11B1" w14:textId="77777777" w:rsidR="001B6918" w:rsidRPr="00D846C8" w:rsidRDefault="001B6918" w:rsidP="00730ECF">
            <w:pPr>
              <w:jc w:val="right"/>
              <w:rPr>
                <w:sz w:val="20"/>
                <w:szCs w:val="20"/>
              </w:rPr>
            </w:pPr>
          </w:p>
          <w:p w14:paraId="39AF90AA" w14:textId="77777777" w:rsidR="001B6918" w:rsidRPr="00B03F0B" w:rsidRDefault="001B6918" w:rsidP="00730ECF">
            <w:pPr>
              <w:jc w:val="right"/>
              <w:rPr>
                <w:rFonts w:ascii="Calibri" w:eastAsia="Times New Roman" w:hAnsi="Calibri" w:cs="Calibri"/>
                <w:sz w:val="20"/>
                <w:szCs w:val="20"/>
              </w:rPr>
            </w:pPr>
            <w:r w:rsidRPr="00D846C8">
              <w:rPr>
                <w:sz w:val="20"/>
                <w:szCs w:val="20"/>
              </w:rPr>
              <w:t xml:space="preserve"> 238,288 </w:t>
            </w:r>
          </w:p>
        </w:tc>
        <w:tc>
          <w:tcPr>
            <w:tcW w:w="1074" w:type="dxa"/>
            <w:tcBorders>
              <w:top w:val="nil"/>
              <w:left w:val="nil"/>
              <w:bottom w:val="nil"/>
              <w:right w:val="nil"/>
            </w:tcBorders>
            <w:shd w:val="clear" w:color="000000" w:fill="FFFFFF"/>
            <w:noWrap/>
            <w:vAlign w:val="bottom"/>
            <w:hideMark/>
          </w:tcPr>
          <w:p w14:paraId="1F4D89AD" w14:textId="77777777" w:rsidR="001B6918" w:rsidRPr="00B03F0B" w:rsidRDefault="001B6918" w:rsidP="00730ECF">
            <w:pPr>
              <w:jc w:val="right"/>
              <w:rPr>
                <w:rFonts w:ascii="Calibri" w:eastAsia="Times New Roman" w:hAnsi="Calibri" w:cs="Calibri"/>
                <w:color w:val="0D0D0D"/>
                <w:sz w:val="20"/>
                <w:szCs w:val="20"/>
              </w:rPr>
            </w:pPr>
            <w:r w:rsidRPr="00D846C8">
              <w:rPr>
                <w:rFonts w:ascii="Calibri" w:eastAsia="Times New Roman" w:hAnsi="Calibri" w:cs="Calibri"/>
                <w:sz w:val="20"/>
                <w:szCs w:val="20"/>
              </w:rPr>
              <w:t> </w:t>
            </w:r>
          </w:p>
        </w:tc>
        <w:tc>
          <w:tcPr>
            <w:tcW w:w="1113" w:type="dxa"/>
            <w:tcBorders>
              <w:top w:val="nil"/>
              <w:left w:val="nil"/>
              <w:bottom w:val="nil"/>
              <w:right w:val="nil"/>
            </w:tcBorders>
            <w:shd w:val="clear" w:color="000000" w:fill="FFFFFF"/>
            <w:noWrap/>
            <w:vAlign w:val="bottom"/>
            <w:hideMark/>
          </w:tcPr>
          <w:p w14:paraId="7CA762FF" w14:textId="77777777" w:rsidR="001B6918" w:rsidRPr="00B03F0B" w:rsidRDefault="001B6918" w:rsidP="00730ECF">
            <w:pPr>
              <w:jc w:val="right"/>
              <w:rPr>
                <w:rFonts w:ascii="Calibri" w:eastAsia="Times New Roman" w:hAnsi="Calibri" w:cs="Calibri"/>
                <w:color w:val="0D0D0D"/>
                <w:sz w:val="20"/>
                <w:szCs w:val="20"/>
              </w:rPr>
            </w:pPr>
            <w:r w:rsidRPr="00D846C8">
              <w:rPr>
                <w:rFonts w:ascii="Calibri" w:eastAsia="Times New Roman" w:hAnsi="Calibri" w:cs="Calibri"/>
                <w:sz w:val="20"/>
                <w:szCs w:val="20"/>
              </w:rPr>
              <w:t> </w:t>
            </w:r>
          </w:p>
        </w:tc>
        <w:tc>
          <w:tcPr>
            <w:tcW w:w="1113" w:type="dxa"/>
            <w:tcBorders>
              <w:top w:val="nil"/>
              <w:left w:val="nil"/>
              <w:bottom w:val="nil"/>
              <w:right w:val="nil"/>
            </w:tcBorders>
            <w:shd w:val="clear" w:color="000000" w:fill="FFFFFF"/>
            <w:noWrap/>
            <w:vAlign w:val="bottom"/>
            <w:hideMark/>
          </w:tcPr>
          <w:p w14:paraId="3C8DD6D5" w14:textId="77777777" w:rsidR="001B6918" w:rsidRPr="00B03F0B" w:rsidRDefault="001B6918" w:rsidP="00730ECF">
            <w:pPr>
              <w:jc w:val="right"/>
              <w:rPr>
                <w:rFonts w:ascii="Calibri" w:eastAsia="Times New Roman" w:hAnsi="Calibri" w:cs="Calibri"/>
                <w:color w:val="0D0D0D"/>
                <w:sz w:val="20"/>
                <w:szCs w:val="20"/>
              </w:rPr>
            </w:pPr>
            <w:r w:rsidRPr="00D846C8">
              <w:rPr>
                <w:rFonts w:ascii="Calibri" w:eastAsia="Times New Roman" w:hAnsi="Calibri" w:cs="Calibri"/>
                <w:sz w:val="20"/>
                <w:szCs w:val="20"/>
              </w:rPr>
              <w:t> </w:t>
            </w:r>
          </w:p>
        </w:tc>
        <w:tc>
          <w:tcPr>
            <w:tcW w:w="1102" w:type="dxa"/>
            <w:tcBorders>
              <w:top w:val="nil"/>
              <w:left w:val="nil"/>
              <w:bottom w:val="nil"/>
              <w:right w:val="nil"/>
            </w:tcBorders>
            <w:shd w:val="clear" w:color="000000" w:fill="FFFFFF"/>
            <w:noWrap/>
            <w:vAlign w:val="bottom"/>
            <w:hideMark/>
          </w:tcPr>
          <w:p w14:paraId="28778F82" w14:textId="77777777" w:rsidR="001B6918" w:rsidRPr="00B03F0B" w:rsidRDefault="001B6918" w:rsidP="00730ECF">
            <w:pPr>
              <w:jc w:val="center"/>
              <w:rPr>
                <w:rFonts w:ascii="Calibri" w:eastAsia="Times New Roman" w:hAnsi="Calibri" w:cs="Calibri"/>
                <w:sz w:val="20"/>
                <w:szCs w:val="20"/>
              </w:rPr>
            </w:pPr>
          </w:p>
        </w:tc>
        <w:tc>
          <w:tcPr>
            <w:tcW w:w="1509" w:type="dxa"/>
            <w:tcBorders>
              <w:top w:val="nil"/>
              <w:left w:val="nil"/>
              <w:bottom w:val="nil"/>
              <w:right w:val="nil"/>
            </w:tcBorders>
            <w:shd w:val="clear" w:color="000000" w:fill="FFFFFF"/>
            <w:noWrap/>
            <w:vAlign w:val="bottom"/>
            <w:hideMark/>
          </w:tcPr>
          <w:p w14:paraId="0DC937CF" w14:textId="77777777" w:rsidR="001B6918" w:rsidRPr="00B03F0B" w:rsidRDefault="001B6918" w:rsidP="00730ECF">
            <w:pPr>
              <w:jc w:val="center"/>
              <w:rPr>
                <w:rFonts w:ascii="Calibri" w:eastAsia="Times New Roman" w:hAnsi="Calibri" w:cs="Calibri"/>
                <w:sz w:val="20"/>
                <w:szCs w:val="20"/>
              </w:rPr>
            </w:pPr>
          </w:p>
        </w:tc>
        <w:tc>
          <w:tcPr>
            <w:tcW w:w="2480" w:type="dxa"/>
            <w:tcBorders>
              <w:top w:val="nil"/>
              <w:left w:val="nil"/>
              <w:bottom w:val="nil"/>
              <w:right w:val="nil"/>
            </w:tcBorders>
            <w:shd w:val="clear" w:color="000000" w:fill="FFFFFF"/>
            <w:noWrap/>
            <w:vAlign w:val="bottom"/>
            <w:hideMark/>
          </w:tcPr>
          <w:p w14:paraId="7B6EC1E8" w14:textId="77777777" w:rsidR="001B6918" w:rsidRPr="00B03F0B" w:rsidRDefault="001B6918" w:rsidP="00730ECF">
            <w:pPr>
              <w:rPr>
                <w:rFonts w:ascii="Calibri" w:eastAsia="Times New Roman" w:hAnsi="Calibri" w:cs="Calibri"/>
                <w:sz w:val="20"/>
                <w:szCs w:val="20"/>
              </w:rPr>
            </w:pPr>
            <w:r w:rsidRPr="00D846C8">
              <w:rPr>
                <w:rFonts w:ascii="Calibri" w:eastAsia="Times New Roman" w:hAnsi="Calibri" w:cs="Calibri"/>
                <w:sz w:val="20"/>
                <w:szCs w:val="20"/>
              </w:rPr>
              <w:t> </w:t>
            </w:r>
          </w:p>
        </w:tc>
      </w:tr>
      <w:tr w:rsidR="001B6918" w:rsidRPr="00B03F0B" w14:paraId="036C42F7" w14:textId="77777777" w:rsidTr="00F41400">
        <w:trPr>
          <w:trHeight w:val="143"/>
          <w:jc w:val="center"/>
        </w:trPr>
        <w:tc>
          <w:tcPr>
            <w:tcW w:w="4320" w:type="dxa"/>
            <w:tcBorders>
              <w:top w:val="nil"/>
              <w:left w:val="nil"/>
              <w:bottom w:val="single" w:sz="4" w:space="0" w:color="000000"/>
              <w:right w:val="nil"/>
            </w:tcBorders>
            <w:shd w:val="clear" w:color="000000" w:fill="FFFFFF"/>
            <w:noWrap/>
            <w:vAlign w:val="bottom"/>
            <w:hideMark/>
          </w:tcPr>
          <w:p w14:paraId="41BBEFEF" w14:textId="77777777" w:rsidR="001B6918" w:rsidRPr="00B03F0B" w:rsidRDefault="001B6918" w:rsidP="00730ECF">
            <w:pPr>
              <w:ind w:firstLineChars="100" w:firstLine="200"/>
              <w:rPr>
                <w:rFonts w:ascii="Calibri" w:eastAsia="Times New Roman" w:hAnsi="Calibri" w:cs="Calibri"/>
                <w:b/>
                <w:bCs/>
                <w:color w:val="0D0D0D"/>
                <w:sz w:val="20"/>
                <w:szCs w:val="20"/>
              </w:rPr>
            </w:pPr>
            <w:r w:rsidRPr="00B03F0B">
              <w:rPr>
                <w:rFonts w:ascii="Calibri" w:eastAsia="Times New Roman" w:hAnsi="Calibri" w:cs="Calibri"/>
                <w:color w:val="0D0D0D"/>
                <w:sz w:val="20"/>
                <w:szCs w:val="20"/>
              </w:rPr>
              <w:t>State pool measured at amortized cost</w:t>
            </w:r>
          </w:p>
        </w:tc>
        <w:tc>
          <w:tcPr>
            <w:tcW w:w="1320" w:type="dxa"/>
            <w:tcBorders>
              <w:top w:val="nil"/>
              <w:left w:val="nil"/>
              <w:bottom w:val="single" w:sz="4" w:space="0" w:color="000000"/>
              <w:right w:val="nil"/>
            </w:tcBorders>
            <w:shd w:val="clear" w:color="000000" w:fill="FFFFFF"/>
            <w:noWrap/>
            <w:vAlign w:val="bottom"/>
            <w:hideMark/>
          </w:tcPr>
          <w:p w14:paraId="61F06C81" w14:textId="77777777" w:rsidR="001B6918" w:rsidRPr="005D19AA" w:rsidRDefault="001B6918" w:rsidP="00730ECF">
            <w:pPr>
              <w:jc w:val="right"/>
              <w:rPr>
                <w:rFonts w:ascii="Calibri" w:eastAsia="Times New Roman" w:hAnsi="Calibri" w:cs="Calibri"/>
                <w:b/>
                <w:bCs/>
                <w:color w:val="0D0D0D"/>
                <w:sz w:val="20"/>
                <w:szCs w:val="20"/>
              </w:rPr>
            </w:pPr>
            <w:r w:rsidRPr="00CE5579">
              <w:rPr>
                <w:rFonts w:ascii="Calibri" w:eastAsia="Times New Roman" w:hAnsi="Calibri" w:cs="Calibri"/>
                <w:sz w:val="20"/>
                <w:szCs w:val="20"/>
              </w:rPr>
              <w:t xml:space="preserve">20,051 </w:t>
            </w:r>
          </w:p>
        </w:tc>
        <w:tc>
          <w:tcPr>
            <w:tcW w:w="1074" w:type="dxa"/>
            <w:tcBorders>
              <w:top w:val="nil"/>
              <w:left w:val="nil"/>
              <w:bottom w:val="nil"/>
              <w:right w:val="nil"/>
            </w:tcBorders>
            <w:shd w:val="clear" w:color="000000" w:fill="FFFFFF"/>
            <w:noWrap/>
            <w:vAlign w:val="bottom"/>
            <w:hideMark/>
          </w:tcPr>
          <w:p w14:paraId="5F7F720B" w14:textId="77777777" w:rsidR="001B6918" w:rsidRPr="00B03F0B" w:rsidRDefault="001B6918" w:rsidP="00730ECF">
            <w:pPr>
              <w:jc w:val="right"/>
              <w:rPr>
                <w:rFonts w:ascii="Calibri" w:eastAsia="Times New Roman" w:hAnsi="Calibri" w:cs="Calibri"/>
                <w:b/>
                <w:bCs/>
                <w:color w:val="0D0D0D"/>
                <w:sz w:val="20"/>
                <w:szCs w:val="20"/>
              </w:rPr>
            </w:pPr>
            <w:r w:rsidRPr="00D846C8">
              <w:rPr>
                <w:rFonts w:ascii="Calibri" w:eastAsia="Times New Roman" w:hAnsi="Calibri" w:cs="Calibri"/>
                <w:sz w:val="20"/>
                <w:szCs w:val="20"/>
              </w:rPr>
              <w:t> </w:t>
            </w:r>
          </w:p>
        </w:tc>
        <w:tc>
          <w:tcPr>
            <w:tcW w:w="1113" w:type="dxa"/>
            <w:tcBorders>
              <w:top w:val="nil"/>
              <w:left w:val="nil"/>
              <w:bottom w:val="nil"/>
              <w:right w:val="nil"/>
            </w:tcBorders>
            <w:shd w:val="clear" w:color="000000" w:fill="FFFFFF"/>
            <w:noWrap/>
            <w:vAlign w:val="bottom"/>
            <w:hideMark/>
          </w:tcPr>
          <w:p w14:paraId="37470064" w14:textId="77777777" w:rsidR="001B6918" w:rsidRPr="00B03F0B" w:rsidRDefault="001B6918" w:rsidP="00730ECF">
            <w:pPr>
              <w:jc w:val="right"/>
              <w:rPr>
                <w:rFonts w:ascii="Calibri" w:eastAsia="Times New Roman" w:hAnsi="Calibri" w:cs="Calibri"/>
                <w:b/>
                <w:bCs/>
                <w:color w:val="0D0D0D"/>
                <w:sz w:val="20"/>
                <w:szCs w:val="20"/>
              </w:rPr>
            </w:pPr>
            <w:r w:rsidRPr="00D846C8">
              <w:rPr>
                <w:rFonts w:ascii="Calibri" w:eastAsia="Times New Roman" w:hAnsi="Calibri" w:cs="Calibri"/>
                <w:sz w:val="20"/>
                <w:szCs w:val="20"/>
              </w:rPr>
              <w:t> </w:t>
            </w:r>
          </w:p>
        </w:tc>
        <w:tc>
          <w:tcPr>
            <w:tcW w:w="1113" w:type="dxa"/>
            <w:tcBorders>
              <w:top w:val="nil"/>
              <w:left w:val="nil"/>
              <w:bottom w:val="nil"/>
              <w:right w:val="nil"/>
            </w:tcBorders>
            <w:shd w:val="clear" w:color="000000" w:fill="FFFFFF"/>
            <w:noWrap/>
            <w:vAlign w:val="bottom"/>
            <w:hideMark/>
          </w:tcPr>
          <w:p w14:paraId="39E6C17D" w14:textId="77777777" w:rsidR="001B6918" w:rsidRPr="00B03F0B" w:rsidRDefault="001B6918" w:rsidP="00730ECF">
            <w:pPr>
              <w:jc w:val="right"/>
              <w:rPr>
                <w:rFonts w:ascii="Calibri" w:eastAsia="Times New Roman" w:hAnsi="Calibri" w:cs="Calibri"/>
                <w:b/>
                <w:bCs/>
                <w:color w:val="0D0D0D"/>
                <w:sz w:val="20"/>
                <w:szCs w:val="20"/>
              </w:rPr>
            </w:pPr>
            <w:r w:rsidRPr="00D846C8">
              <w:rPr>
                <w:rFonts w:ascii="Calibri" w:eastAsia="Times New Roman" w:hAnsi="Calibri" w:cs="Calibri"/>
                <w:sz w:val="20"/>
                <w:szCs w:val="20"/>
              </w:rPr>
              <w:t> </w:t>
            </w:r>
          </w:p>
        </w:tc>
        <w:tc>
          <w:tcPr>
            <w:tcW w:w="1102" w:type="dxa"/>
            <w:tcBorders>
              <w:top w:val="nil"/>
              <w:left w:val="nil"/>
              <w:bottom w:val="nil"/>
              <w:right w:val="nil"/>
            </w:tcBorders>
            <w:shd w:val="clear" w:color="000000" w:fill="FFFFFF"/>
            <w:noWrap/>
            <w:vAlign w:val="bottom"/>
            <w:hideMark/>
          </w:tcPr>
          <w:p w14:paraId="6499A4FC" w14:textId="77777777" w:rsidR="001B6918" w:rsidRPr="00B03F0B" w:rsidRDefault="001B6918" w:rsidP="00730ECF">
            <w:pPr>
              <w:jc w:val="center"/>
              <w:rPr>
                <w:rFonts w:ascii="Calibri" w:eastAsia="Times New Roman" w:hAnsi="Calibri" w:cs="Calibri"/>
                <w:b/>
                <w:bCs/>
                <w:color w:val="FF0000"/>
                <w:sz w:val="20"/>
                <w:szCs w:val="20"/>
              </w:rPr>
            </w:pPr>
            <w:r w:rsidRPr="00D846C8">
              <w:rPr>
                <w:rFonts w:ascii="Calibri" w:eastAsia="Times New Roman" w:hAnsi="Calibri" w:cs="Calibri"/>
                <w:sz w:val="20"/>
                <w:szCs w:val="20"/>
              </w:rPr>
              <w:t>Not rated</w:t>
            </w:r>
          </w:p>
        </w:tc>
        <w:tc>
          <w:tcPr>
            <w:tcW w:w="1509" w:type="dxa"/>
            <w:tcBorders>
              <w:top w:val="nil"/>
              <w:left w:val="nil"/>
              <w:bottom w:val="nil"/>
              <w:right w:val="nil"/>
            </w:tcBorders>
            <w:shd w:val="clear" w:color="000000" w:fill="FFFFFF"/>
            <w:noWrap/>
            <w:vAlign w:val="bottom"/>
            <w:hideMark/>
          </w:tcPr>
          <w:p w14:paraId="755B49CF" w14:textId="77777777" w:rsidR="001B6918" w:rsidRPr="00B03F0B" w:rsidRDefault="001B6918" w:rsidP="00730ECF">
            <w:pPr>
              <w:jc w:val="center"/>
              <w:rPr>
                <w:rFonts w:ascii="Calibri" w:eastAsia="Times New Roman" w:hAnsi="Calibri" w:cs="Calibri"/>
                <w:b/>
                <w:bCs/>
                <w:color w:val="FF0000"/>
                <w:sz w:val="20"/>
                <w:szCs w:val="20"/>
              </w:rPr>
            </w:pPr>
            <w:r w:rsidRPr="00D846C8">
              <w:rPr>
                <w:rFonts w:ascii="Calibri" w:eastAsia="Times New Roman" w:hAnsi="Calibri" w:cs="Calibri"/>
                <w:sz w:val="20"/>
                <w:szCs w:val="20"/>
              </w:rPr>
              <w:t>1.02 years</w:t>
            </w:r>
          </w:p>
        </w:tc>
        <w:tc>
          <w:tcPr>
            <w:tcW w:w="2480" w:type="dxa"/>
            <w:tcBorders>
              <w:top w:val="nil"/>
              <w:left w:val="nil"/>
              <w:bottom w:val="nil"/>
              <w:right w:val="nil"/>
            </w:tcBorders>
            <w:shd w:val="clear" w:color="000000" w:fill="FFFFFF"/>
            <w:noWrap/>
            <w:vAlign w:val="bottom"/>
            <w:hideMark/>
          </w:tcPr>
          <w:p w14:paraId="4A2B8A7A" w14:textId="77777777" w:rsidR="001B6918" w:rsidRPr="00B03F0B" w:rsidRDefault="001B6918" w:rsidP="00730ECF">
            <w:pPr>
              <w:rPr>
                <w:rFonts w:ascii="Calibri" w:eastAsia="Times New Roman" w:hAnsi="Calibri" w:cs="Calibri"/>
                <w:b/>
                <w:bCs/>
                <w:color w:val="FF0000"/>
                <w:sz w:val="20"/>
                <w:szCs w:val="20"/>
              </w:rPr>
            </w:pPr>
            <w:r w:rsidRPr="00D846C8">
              <w:rPr>
                <w:rFonts w:ascii="Calibri" w:eastAsia="Times New Roman" w:hAnsi="Calibri" w:cs="Calibri"/>
                <w:sz w:val="20"/>
                <w:szCs w:val="20"/>
              </w:rPr>
              <w:t>Duration</w:t>
            </w:r>
          </w:p>
        </w:tc>
      </w:tr>
      <w:tr w:rsidR="001B6918" w:rsidRPr="00B03F0B" w14:paraId="4BBFE9AD" w14:textId="77777777" w:rsidTr="00F41400">
        <w:trPr>
          <w:trHeight w:val="50"/>
          <w:jc w:val="center"/>
        </w:trPr>
        <w:tc>
          <w:tcPr>
            <w:tcW w:w="4320" w:type="dxa"/>
            <w:tcBorders>
              <w:top w:val="single" w:sz="4" w:space="0" w:color="000000"/>
              <w:left w:val="nil"/>
              <w:bottom w:val="double" w:sz="4" w:space="0" w:color="000000"/>
              <w:right w:val="nil"/>
            </w:tcBorders>
            <w:shd w:val="clear" w:color="000000" w:fill="FFFFFF"/>
            <w:noWrap/>
            <w:vAlign w:val="bottom"/>
            <w:hideMark/>
          </w:tcPr>
          <w:p w14:paraId="6B51ACA2" w14:textId="77777777" w:rsidR="001B6918" w:rsidRPr="00B03F0B" w:rsidRDefault="001B6918" w:rsidP="00730ECF">
            <w:pPr>
              <w:ind w:firstLineChars="100" w:firstLine="201"/>
              <w:rPr>
                <w:rFonts w:ascii="Calibri" w:eastAsia="Times New Roman" w:hAnsi="Calibri" w:cs="Calibri"/>
                <w:b/>
                <w:bCs/>
                <w:color w:val="0D0D0D"/>
                <w:sz w:val="20"/>
                <w:szCs w:val="20"/>
              </w:rPr>
            </w:pPr>
            <w:r w:rsidRPr="00B03F0B">
              <w:rPr>
                <w:rFonts w:ascii="Calibri" w:eastAsia="Times New Roman" w:hAnsi="Calibri" w:cs="Calibri"/>
                <w:b/>
                <w:bCs/>
                <w:color w:val="0D0D0D"/>
                <w:sz w:val="20"/>
                <w:szCs w:val="20"/>
              </w:rPr>
              <w:t>Total operating investments</w:t>
            </w:r>
          </w:p>
        </w:tc>
        <w:tc>
          <w:tcPr>
            <w:tcW w:w="1320" w:type="dxa"/>
            <w:tcBorders>
              <w:top w:val="single" w:sz="4" w:space="0" w:color="000000"/>
              <w:left w:val="nil"/>
              <w:bottom w:val="double" w:sz="4" w:space="0" w:color="000000"/>
              <w:right w:val="nil"/>
            </w:tcBorders>
            <w:shd w:val="clear" w:color="000000" w:fill="FFFFFF"/>
            <w:noWrap/>
            <w:vAlign w:val="bottom"/>
            <w:hideMark/>
          </w:tcPr>
          <w:p w14:paraId="3758B7D1" w14:textId="77777777" w:rsidR="001B6918" w:rsidRPr="00B03F0B" w:rsidRDefault="001B6918" w:rsidP="00730ECF">
            <w:pPr>
              <w:jc w:val="right"/>
              <w:rPr>
                <w:rFonts w:ascii="Calibri" w:eastAsia="Times New Roman" w:hAnsi="Calibri" w:cs="Calibri"/>
                <w:b/>
                <w:bCs/>
                <w:color w:val="0D0D0D"/>
                <w:sz w:val="20"/>
                <w:szCs w:val="20"/>
              </w:rPr>
            </w:pPr>
            <w:r w:rsidRPr="00D846C8">
              <w:rPr>
                <w:rFonts w:ascii="Calibri" w:eastAsia="Times New Roman" w:hAnsi="Calibri" w:cs="Calibri"/>
                <w:b/>
                <w:bCs/>
                <w:sz w:val="20"/>
                <w:szCs w:val="20"/>
              </w:rPr>
              <w:t>$ 258,339</w:t>
            </w:r>
          </w:p>
        </w:tc>
        <w:tc>
          <w:tcPr>
            <w:tcW w:w="1074" w:type="dxa"/>
            <w:tcBorders>
              <w:top w:val="nil"/>
              <w:left w:val="nil"/>
              <w:bottom w:val="nil"/>
              <w:right w:val="nil"/>
            </w:tcBorders>
            <w:shd w:val="clear" w:color="000000" w:fill="FFFFFF"/>
            <w:noWrap/>
            <w:vAlign w:val="bottom"/>
            <w:hideMark/>
          </w:tcPr>
          <w:p w14:paraId="6190953B" w14:textId="77777777" w:rsidR="001B6918" w:rsidRPr="00B03F0B" w:rsidRDefault="001B6918" w:rsidP="00730ECF">
            <w:pPr>
              <w:jc w:val="right"/>
              <w:rPr>
                <w:rFonts w:ascii="Calibri" w:eastAsia="Times New Roman" w:hAnsi="Calibri" w:cs="Calibri"/>
                <w:b/>
                <w:bCs/>
                <w:color w:val="0D0D0D"/>
                <w:sz w:val="20"/>
                <w:szCs w:val="20"/>
              </w:rPr>
            </w:pPr>
            <w:r w:rsidRPr="00D846C8">
              <w:rPr>
                <w:rFonts w:ascii="Calibri" w:eastAsia="Times New Roman" w:hAnsi="Calibri" w:cs="Calibri"/>
                <w:b/>
                <w:bCs/>
                <w:sz w:val="20"/>
                <w:szCs w:val="20"/>
              </w:rPr>
              <w:t> </w:t>
            </w:r>
          </w:p>
        </w:tc>
        <w:tc>
          <w:tcPr>
            <w:tcW w:w="1113" w:type="dxa"/>
            <w:tcBorders>
              <w:top w:val="nil"/>
              <w:left w:val="nil"/>
              <w:bottom w:val="nil"/>
              <w:right w:val="nil"/>
            </w:tcBorders>
            <w:shd w:val="clear" w:color="000000" w:fill="FFFFFF"/>
            <w:noWrap/>
            <w:vAlign w:val="bottom"/>
            <w:hideMark/>
          </w:tcPr>
          <w:p w14:paraId="02B9DD24" w14:textId="77777777" w:rsidR="001B6918" w:rsidRPr="00B03F0B" w:rsidRDefault="001B6918" w:rsidP="00730ECF">
            <w:pPr>
              <w:jc w:val="right"/>
              <w:rPr>
                <w:rFonts w:ascii="Calibri" w:eastAsia="Times New Roman" w:hAnsi="Calibri" w:cs="Calibri"/>
                <w:b/>
                <w:bCs/>
                <w:color w:val="0D0D0D"/>
                <w:sz w:val="20"/>
                <w:szCs w:val="20"/>
              </w:rPr>
            </w:pPr>
            <w:r w:rsidRPr="00D846C8">
              <w:rPr>
                <w:rFonts w:ascii="Calibri" w:eastAsia="Times New Roman" w:hAnsi="Calibri" w:cs="Calibri"/>
                <w:b/>
                <w:bCs/>
                <w:sz w:val="20"/>
                <w:szCs w:val="20"/>
              </w:rPr>
              <w:t> </w:t>
            </w:r>
          </w:p>
        </w:tc>
        <w:tc>
          <w:tcPr>
            <w:tcW w:w="1113" w:type="dxa"/>
            <w:tcBorders>
              <w:top w:val="nil"/>
              <w:left w:val="nil"/>
              <w:bottom w:val="nil"/>
              <w:right w:val="nil"/>
            </w:tcBorders>
            <w:shd w:val="clear" w:color="000000" w:fill="FFFFFF"/>
            <w:noWrap/>
            <w:vAlign w:val="bottom"/>
            <w:hideMark/>
          </w:tcPr>
          <w:p w14:paraId="2F65665A" w14:textId="77777777" w:rsidR="001B6918" w:rsidRPr="00B03F0B" w:rsidRDefault="001B6918" w:rsidP="00730ECF">
            <w:pPr>
              <w:jc w:val="right"/>
              <w:rPr>
                <w:rFonts w:ascii="Calibri" w:eastAsia="Times New Roman" w:hAnsi="Calibri" w:cs="Calibri"/>
                <w:b/>
                <w:bCs/>
                <w:color w:val="0D0D0D"/>
                <w:sz w:val="20"/>
                <w:szCs w:val="20"/>
              </w:rPr>
            </w:pPr>
            <w:r w:rsidRPr="00D846C8">
              <w:rPr>
                <w:rFonts w:ascii="Calibri" w:eastAsia="Times New Roman" w:hAnsi="Calibri" w:cs="Calibri"/>
                <w:b/>
                <w:bCs/>
                <w:sz w:val="20"/>
                <w:szCs w:val="20"/>
              </w:rPr>
              <w:t> </w:t>
            </w:r>
          </w:p>
        </w:tc>
        <w:tc>
          <w:tcPr>
            <w:tcW w:w="1102" w:type="dxa"/>
            <w:tcBorders>
              <w:top w:val="nil"/>
              <w:left w:val="nil"/>
              <w:bottom w:val="nil"/>
              <w:right w:val="nil"/>
            </w:tcBorders>
            <w:shd w:val="clear" w:color="000000" w:fill="FFFFFF"/>
            <w:noWrap/>
            <w:vAlign w:val="bottom"/>
            <w:hideMark/>
          </w:tcPr>
          <w:p w14:paraId="60144DFB" w14:textId="77777777" w:rsidR="001B6918" w:rsidRPr="00B03F0B" w:rsidRDefault="001B6918" w:rsidP="00730ECF">
            <w:pPr>
              <w:jc w:val="center"/>
              <w:rPr>
                <w:rFonts w:ascii="Calibri" w:eastAsia="Times New Roman" w:hAnsi="Calibri" w:cs="Calibri"/>
                <w:b/>
                <w:bCs/>
                <w:color w:val="FF0000"/>
                <w:sz w:val="20"/>
                <w:szCs w:val="20"/>
              </w:rPr>
            </w:pPr>
          </w:p>
        </w:tc>
        <w:tc>
          <w:tcPr>
            <w:tcW w:w="1509" w:type="dxa"/>
            <w:tcBorders>
              <w:top w:val="nil"/>
              <w:left w:val="nil"/>
              <w:bottom w:val="nil"/>
              <w:right w:val="nil"/>
            </w:tcBorders>
            <w:shd w:val="clear" w:color="000000" w:fill="FFFFFF"/>
            <w:noWrap/>
            <w:vAlign w:val="bottom"/>
            <w:hideMark/>
          </w:tcPr>
          <w:p w14:paraId="06008B60" w14:textId="77777777" w:rsidR="001B6918" w:rsidRPr="00B03F0B" w:rsidRDefault="001B6918" w:rsidP="00730ECF">
            <w:pPr>
              <w:jc w:val="center"/>
              <w:rPr>
                <w:rFonts w:ascii="Calibri" w:eastAsia="Times New Roman" w:hAnsi="Calibri" w:cs="Calibri"/>
                <w:b/>
                <w:bCs/>
                <w:color w:val="FF0000"/>
                <w:sz w:val="20"/>
                <w:szCs w:val="20"/>
              </w:rPr>
            </w:pPr>
          </w:p>
        </w:tc>
        <w:tc>
          <w:tcPr>
            <w:tcW w:w="2480" w:type="dxa"/>
            <w:tcBorders>
              <w:top w:val="nil"/>
              <w:left w:val="nil"/>
              <w:bottom w:val="nil"/>
              <w:right w:val="nil"/>
            </w:tcBorders>
            <w:shd w:val="clear" w:color="000000" w:fill="FFFFFF"/>
            <w:noWrap/>
            <w:vAlign w:val="bottom"/>
            <w:hideMark/>
          </w:tcPr>
          <w:p w14:paraId="5DEF98A5" w14:textId="77777777" w:rsidR="001B6918" w:rsidRPr="00B03F0B" w:rsidRDefault="001B6918" w:rsidP="00730ECF">
            <w:pPr>
              <w:rPr>
                <w:rFonts w:ascii="Calibri" w:eastAsia="Times New Roman" w:hAnsi="Calibri" w:cs="Calibri"/>
                <w:b/>
                <w:bCs/>
                <w:color w:val="FF0000"/>
                <w:sz w:val="20"/>
                <w:szCs w:val="20"/>
              </w:rPr>
            </w:pPr>
            <w:r w:rsidRPr="00D846C8">
              <w:rPr>
                <w:rFonts w:ascii="Calibri" w:eastAsia="Times New Roman" w:hAnsi="Calibri" w:cs="Calibri"/>
                <w:b/>
                <w:bCs/>
                <w:sz w:val="20"/>
                <w:szCs w:val="20"/>
              </w:rPr>
              <w:t> </w:t>
            </w:r>
          </w:p>
        </w:tc>
      </w:tr>
      <w:tr w:rsidR="001B6918" w:rsidRPr="00B03F0B" w14:paraId="0EF226E5" w14:textId="77777777" w:rsidTr="00F41400">
        <w:trPr>
          <w:trHeight w:val="162"/>
          <w:jc w:val="center"/>
        </w:trPr>
        <w:tc>
          <w:tcPr>
            <w:tcW w:w="4320" w:type="dxa"/>
            <w:tcBorders>
              <w:top w:val="double" w:sz="4" w:space="0" w:color="000000"/>
              <w:left w:val="nil"/>
              <w:right w:val="nil"/>
            </w:tcBorders>
            <w:shd w:val="clear" w:color="000000" w:fill="FFFFFF"/>
            <w:noWrap/>
            <w:vAlign w:val="bottom"/>
            <w:hideMark/>
          </w:tcPr>
          <w:p w14:paraId="1C7475BB" w14:textId="77777777" w:rsidR="001B6918" w:rsidRPr="00B03F0B" w:rsidRDefault="001B6918" w:rsidP="00730ECF">
            <w:pPr>
              <w:rPr>
                <w:rFonts w:ascii="Calibri" w:eastAsia="Times New Roman" w:hAnsi="Calibri" w:cs="Calibri"/>
                <w:b/>
                <w:bCs/>
                <w:color w:val="0D0D0D"/>
                <w:sz w:val="20"/>
                <w:szCs w:val="20"/>
              </w:rPr>
            </w:pPr>
            <w:r w:rsidRPr="00B03F0B">
              <w:rPr>
                <w:rFonts w:ascii="Calibri" w:eastAsia="Times New Roman" w:hAnsi="Calibri" w:cs="Calibri"/>
                <w:b/>
                <w:bCs/>
                <w:color w:val="0D0D0D"/>
                <w:sz w:val="20"/>
                <w:szCs w:val="20"/>
              </w:rPr>
              <w:t> </w:t>
            </w:r>
          </w:p>
        </w:tc>
        <w:tc>
          <w:tcPr>
            <w:tcW w:w="1320" w:type="dxa"/>
            <w:tcBorders>
              <w:top w:val="double" w:sz="4" w:space="0" w:color="000000"/>
              <w:left w:val="nil"/>
              <w:right w:val="nil"/>
            </w:tcBorders>
            <w:shd w:val="clear" w:color="000000" w:fill="FFFFFF"/>
            <w:noWrap/>
            <w:vAlign w:val="bottom"/>
            <w:hideMark/>
          </w:tcPr>
          <w:p w14:paraId="3AD53F48" w14:textId="77777777" w:rsidR="001B6918" w:rsidRPr="00B03F0B" w:rsidRDefault="001B6918" w:rsidP="00730ECF">
            <w:pPr>
              <w:jc w:val="right"/>
              <w:rPr>
                <w:rFonts w:ascii="Calibri" w:eastAsia="Times New Roman" w:hAnsi="Calibri" w:cs="Calibri"/>
                <w:color w:val="0D0D0D"/>
                <w:sz w:val="20"/>
                <w:szCs w:val="20"/>
              </w:rPr>
            </w:pPr>
            <w:r w:rsidRPr="00D846C8">
              <w:rPr>
                <w:rFonts w:ascii="Calibri" w:eastAsia="Times New Roman" w:hAnsi="Calibri" w:cs="Calibri"/>
                <w:b/>
                <w:bCs/>
                <w:sz w:val="20"/>
                <w:szCs w:val="20"/>
              </w:rPr>
              <w:t> </w:t>
            </w:r>
          </w:p>
        </w:tc>
        <w:tc>
          <w:tcPr>
            <w:tcW w:w="1074" w:type="dxa"/>
            <w:tcBorders>
              <w:top w:val="nil"/>
              <w:left w:val="nil"/>
              <w:right w:val="nil"/>
            </w:tcBorders>
            <w:shd w:val="clear" w:color="000000" w:fill="FFFFFF"/>
            <w:noWrap/>
            <w:vAlign w:val="bottom"/>
            <w:hideMark/>
          </w:tcPr>
          <w:p w14:paraId="21E9776A" w14:textId="77777777" w:rsidR="001B6918" w:rsidRPr="00B03F0B" w:rsidRDefault="001B6918" w:rsidP="00730ECF">
            <w:pPr>
              <w:jc w:val="right"/>
              <w:rPr>
                <w:rFonts w:ascii="Calibri" w:eastAsia="Times New Roman" w:hAnsi="Calibri" w:cs="Calibri"/>
                <w:color w:val="0D0D0D"/>
                <w:sz w:val="20"/>
                <w:szCs w:val="20"/>
              </w:rPr>
            </w:pPr>
            <w:r w:rsidRPr="00D846C8">
              <w:rPr>
                <w:rFonts w:ascii="Calibri" w:eastAsia="Times New Roman" w:hAnsi="Calibri" w:cs="Calibri"/>
                <w:b/>
                <w:bCs/>
                <w:sz w:val="20"/>
                <w:szCs w:val="20"/>
              </w:rPr>
              <w:t> </w:t>
            </w:r>
          </w:p>
        </w:tc>
        <w:tc>
          <w:tcPr>
            <w:tcW w:w="1113" w:type="dxa"/>
            <w:tcBorders>
              <w:top w:val="nil"/>
              <w:left w:val="nil"/>
              <w:right w:val="nil"/>
            </w:tcBorders>
            <w:shd w:val="clear" w:color="000000" w:fill="FFFFFF"/>
            <w:noWrap/>
            <w:vAlign w:val="bottom"/>
            <w:hideMark/>
          </w:tcPr>
          <w:p w14:paraId="1496D136" w14:textId="77777777" w:rsidR="001B6918" w:rsidRPr="00B03F0B" w:rsidRDefault="001B6918" w:rsidP="00730ECF">
            <w:pPr>
              <w:jc w:val="right"/>
              <w:rPr>
                <w:rFonts w:ascii="Calibri" w:eastAsia="Times New Roman" w:hAnsi="Calibri" w:cs="Calibri"/>
                <w:color w:val="0D0D0D"/>
                <w:sz w:val="20"/>
                <w:szCs w:val="20"/>
              </w:rPr>
            </w:pPr>
            <w:r w:rsidRPr="00D846C8">
              <w:rPr>
                <w:rFonts w:ascii="Calibri" w:eastAsia="Times New Roman" w:hAnsi="Calibri" w:cs="Calibri"/>
                <w:b/>
                <w:bCs/>
                <w:sz w:val="20"/>
                <w:szCs w:val="20"/>
              </w:rPr>
              <w:t> </w:t>
            </w:r>
          </w:p>
        </w:tc>
        <w:tc>
          <w:tcPr>
            <w:tcW w:w="1113" w:type="dxa"/>
            <w:tcBorders>
              <w:top w:val="nil"/>
              <w:left w:val="nil"/>
              <w:right w:val="nil"/>
            </w:tcBorders>
            <w:shd w:val="clear" w:color="000000" w:fill="FFFFFF"/>
            <w:noWrap/>
            <w:vAlign w:val="bottom"/>
            <w:hideMark/>
          </w:tcPr>
          <w:p w14:paraId="78E4C4D4" w14:textId="77777777" w:rsidR="001B6918" w:rsidRPr="00B03F0B" w:rsidRDefault="001B6918" w:rsidP="00730ECF">
            <w:pPr>
              <w:jc w:val="right"/>
              <w:rPr>
                <w:rFonts w:ascii="Calibri" w:eastAsia="Times New Roman" w:hAnsi="Calibri" w:cs="Calibri"/>
                <w:color w:val="0D0D0D"/>
                <w:sz w:val="20"/>
                <w:szCs w:val="20"/>
              </w:rPr>
            </w:pPr>
            <w:r w:rsidRPr="00D846C8">
              <w:rPr>
                <w:rFonts w:ascii="Calibri" w:eastAsia="Times New Roman" w:hAnsi="Calibri" w:cs="Calibri"/>
                <w:b/>
                <w:bCs/>
                <w:sz w:val="20"/>
                <w:szCs w:val="20"/>
              </w:rPr>
              <w:t> </w:t>
            </w:r>
          </w:p>
        </w:tc>
        <w:tc>
          <w:tcPr>
            <w:tcW w:w="1102" w:type="dxa"/>
            <w:tcBorders>
              <w:top w:val="nil"/>
              <w:left w:val="nil"/>
              <w:bottom w:val="nil"/>
              <w:right w:val="nil"/>
            </w:tcBorders>
            <w:shd w:val="clear" w:color="000000" w:fill="FFFFFF"/>
            <w:noWrap/>
            <w:vAlign w:val="bottom"/>
            <w:hideMark/>
          </w:tcPr>
          <w:p w14:paraId="7B5FEC67" w14:textId="77777777" w:rsidR="001B6918" w:rsidRPr="00B03F0B" w:rsidRDefault="001B6918" w:rsidP="00730ECF">
            <w:pPr>
              <w:jc w:val="center"/>
              <w:rPr>
                <w:rFonts w:ascii="Calibri" w:eastAsia="Times New Roman" w:hAnsi="Calibri" w:cs="Calibri"/>
                <w:color w:val="FF0000"/>
                <w:sz w:val="20"/>
                <w:szCs w:val="20"/>
              </w:rPr>
            </w:pPr>
          </w:p>
        </w:tc>
        <w:tc>
          <w:tcPr>
            <w:tcW w:w="1509" w:type="dxa"/>
            <w:tcBorders>
              <w:top w:val="nil"/>
              <w:left w:val="nil"/>
              <w:bottom w:val="nil"/>
              <w:right w:val="nil"/>
            </w:tcBorders>
            <w:shd w:val="clear" w:color="000000" w:fill="FFFFFF"/>
            <w:noWrap/>
            <w:vAlign w:val="bottom"/>
            <w:hideMark/>
          </w:tcPr>
          <w:p w14:paraId="29FD2122" w14:textId="77777777" w:rsidR="001B6918" w:rsidRPr="00B03F0B" w:rsidRDefault="001B6918" w:rsidP="00730ECF">
            <w:pPr>
              <w:jc w:val="center"/>
              <w:rPr>
                <w:rFonts w:ascii="Calibri" w:eastAsia="Times New Roman" w:hAnsi="Calibri" w:cs="Calibri"/>
                <w:color w:val="FF0000"/>
                <w:sz w:val="20"/>
                <w:szCs w:val="20"/>
              </w:rPr>
            </w:pPr>
          </w:p>
        </w:tc>
        <w:tc>
          <w:tcPr>
            <w:tcW w:w="2480" w:type="dxa"/>
            <w:tcBorders>
              <w:top w:val="nil"/>
              <w:left w:val="nil"/>
              <w:bottom w:val="nil"/>
              <w:right w:val="nil"/>
            </w:tcBorders>
            <w:shd w:val="clear" w:color="000000" w:fill="FFFFFF"/>
            <w:noWrap/>
            <w:vAlign w:val="bottom"/>
            <w:hideMark/>
          </w:tcPr>
          <w:p w14:paraId="6EECD69D" w14:textId="77777777" w:rsidR="001B6918" w:rsidRPr="00B03F0B" w:rsidRDefault="001B6918" w:rsidP="00730ECF">
            <w:pPr>
              <w:rPr>
                <w:rFonts w:ascii="Calibri" w:eastAsia="Times New Roman" w:hAnsi="Calibri" w:cs="Calibri"/>
                <w:color w:val="FF0000"/>
                <w:sz w:val="20"/>
                <w:szCs w:val="20"/>
              </w:rPr>
            </w:pPr>
            <w:r w:rsidRPr="00D846C8">
              <w:rPr>
                <w:rFonts w:ascii="Calibri" w:eastAsia="Times New Roman" w:hAnsi="Calibri" w:cs="Calibri"/>
                <w:b/>
                <w:bCs/>
                <w:sz w:val="20"/>
                <w:szCs w:val="20"/>
              </w:rPr>
              <w:t> </w:t>
            </w:r>
          </w:p>
        </w:tc>
      </w:tr>
      <w:tr w:rsidR="001B6918" w:rsidRPr="00B03F0B" w14:paraId="4952B96F" w14:textId="77777777" w:rsidTr="00730ECF">
        <w:trPr>
          <w:trHeight w:val="207"/>
          <w:jc w:val="center"/>
        </w:trPr>
        <w:tc>
          <w:tcPr>
            <w:tcW w:w="4320" w:type="dxa"/>
            <w:tcBorders>
              <w:top w:val="nil"/>
              <w:left w:val="nil"/>
              <w:right w:val="nil"/>
            </w:tcBorders>
            <w:shd w:val="clear" w:color="000000" w:fill="FFFFFF"/>
            <w:noWrap/>
            <w:vAlign w:val="bottom"/>
            <w:hideMark/>
          </w:tcPr>
          <w:p w14:paraId="7ACADB5B" w14:textId="77777777" w:rsidR="001B6918" w:rsidRPr="00B03F0B" w:rsidRDefault="001B6918" w:rsidP="00730ECF">
            <w:pPr>
              <w:rPr>
                <w:rFonts w:ascii="Calibri" w:eastAsia="Times New Roman" w:hAnsi="Calibri" w:cs="Calibri"/>
                <w:color w:val="0D0D0D"/>
                <w:sz w:val="20"/>
                <w:szCs w:val="20"/>
              </w:rPr>
            </w:pPr>
            <w:r w:rsidRPr="00B03F0B">
              <w:rPr>
                <w:rFonts w:ascii="Calibri" w:eastAsia="Times New Roman" w:hAnsi="Calibri" w:cs="Calibri"/>
                <w:b/>
                <w:bCs/>
                <w:color w:val="0D0D0D"/>
                <w:sz w:val="20"/>
                <w:szCs w:val="20"/>
              </w:rPr>
              <w:t>Deposits with Trustees:</w:t>
            </w:r>
          </w:p>
        </w:tc>
        <w:tc>
          <w:tcPr>
            <w:tcW w:w="1320" w:type="dxa"/>
            <w:tcBorders>
              <w:top w:val="nil"/>
              <w:left w:val="nil"/>
              <w:right w:val="nil"/>
            </w:tcBorders>
            <w:shd w:val="clear" w:color="000000" w:fill="FFFFFF"/>
            <w:noWrap/>
            <w:vAlign w:val="bottom"/>
            <w:hideMark/>
          </w:tcPr>
          <w:p w14:paraId="534E2CCA" w14:textId="77777777" w:rsidR="001B6918" w:rsidRPr="00B03F0B" w:rsidRDefault="001B6918" w:rsidP="00730ECF">
            <w:pPr>
              <w:jc w:val="right"/>
              <w:rPr>
                <w:rFonts w:ascii="Calibri" w:eastAsia="Times New Roman" w:hAnsi="Calibri" w:cs="Calibri"/>
                <w:b/>
                <w:bCs/>
                <w:color w:val="000000"/>
                <w:sz w:val="20"/>
                <w:szCs w:val="20"/>
              </w:rPr>
            </w:pPr>
            <w:r w:rsidRPr="00D846C8">
              <w:rPr>
                <w:rFonts w:ascii="Calibri" w:eastAsia="Times New Roman" w:hAnsi="Calibri" w:cs="Calibri"/>
                <w:sz w:val="20"/>
                <w:szCs w:val="20"/>
              </w:rPr>
              <w:t> </w:t>
            </w:r>
          </w:p>
        </w:tc>
        <w:tc>
          <w:tcPr>
            <w:tcW w:w="1074" w:type="dxa"/>
            <w:tcBorders>
              <w:top w:val="nil"/>
              <w:left w:val="nil"/>
              <w:right w:val="nil"/>
            </w:tcBorders>
            <w:shd w:val="clear" w:color="000000" w:fill="FFFFFF"/>
            <w:noWrap/>
            <w:vAlign w:val="bottom"/>
            <w:hideMark/>
          </w:tcPr>
          <w:p w14:paraId="79192F99" w14:textId="77777777" w:rsidR="001B6918" w:rsidRPr="00B03F0B" w:rsidRDefault="001B6918" w:rsidP="00730ECF">
            <w:pPr>
              <w:jc w:val="right"/>
              <w:rPr>
                <w:rFonts w:ascii="Calibri" w:eastAsia="Times New Roman" w:hAnsi="Calibri" w:cs="Calibri"/>
                <w:b/>
                <w:bCs/>
                <w:color w:val="000000"/>
                <w:sz w:val="20"/>
                <w:szCs w:val="20"/>
              </w:rPr>
            </w:pPr>
            <w:r w:rsidRPr="00D846C8">
              <w:rPr>
                <w:rFonts w:ascii="Calibri" w:eastAsia="Times New Roman" w:hAnsi="Calibri" w:cs="Calibri"/>
                <w:sz w:val="20"/>
                <w:szCs w:val="20"/>
              </w:rPr>
              <w:t> </w:t>
            </w:r>
          </w:p>
        </w:tc>
        <w:tc>
          <w:tcPr>
            <w:tcW w:w="1113" w:type="dxa"/>
            <w:tcBorders>
              <w:top w:val="nil"/>
              <w:left w:val="nil"/>
              <w:right w:val="nil"/>
            </w:tcBorders>
            <w:shd w:val="clear" w:color="000000" w:fill="FFFFFF"/>
            <w:noWrap/>
            <w:vAlign w:val="bottom"/>
            <w:hideMark/>
          </w:tcPr>
          <w:p w14:paraId="56440834" w14:textId="77777777" w:rsidR="001B6918" w:rsidRPr="00B03F0B" w:rsidRDefault="001B6918" w:rsidP="00730ECF">
            <w:pPr>
              <w:jc w:val="right"/>
              <w:rPr>
                <w:rFonts w:ascii="Calibri" w:eastAsia="Times New Roman" w:hAnsi="Calibri" w:cs="Calibri"/>
                <w:b/>
                <w:bCs/>
                <w:color w:val="000000"/>
                <w:sz w:val="20"/>
                <w:szCs w:val="20"/>
              </w:rPr>
            </w:pPr>
            <w:r w:rsidRPr="00D846C8">
              <w:rPr>
                <w:rFonts w:ascii="Calibri" w:eastAsia="Times New Roman" w:hAnsi="Calibri" w:cs="Calibri"/>
                <w:sz w:val="20"/>
                <w:szCs w:val="20"/>
              </w:rPr>
              <w:t> </w:t>
            </w:r>
          </w:p>
        </w:tc>
        <w:tc>
          <w:tcPr>
            <w:tcW w:w="1113" w:type="dxa"/>
            <w:tcBorders>
              <w:top w:val="nil"/>
              <w:left w:val="nil"/>
              <w:right w:val="nil"/>
            </w:tcBorders>
            <w:shd w:val="clear" w:color="000000" w:fill="FFFFFF"/>
            <w:noWrap/>
            <w:vAlign w:val="bottom"/>
            <w:hideMark/>
          </w:tcPr>
          <w:p w14:paraId="0AFB840B" w14:textId="77777777" w:rsidR="001B6918" w:rsidRPr="00B03F0B" w:rsidRDefault="001B6918" w:rsidP="00730ECF">
            <w:pPr>
              <w:jc w:val="right"/>
              <w:rPr>
                <w:rFonts w:ascii="Calibri" w:eastAsia="Times New Roman" w:hAnsi="Calibri" w:cs="Calibri"/>
                <w:b/>
                <w:bCs/>
                <w:color w:val="000000"/>
                <w:sz w:val="20"/>
                <w:szCs w:val="20"/>
              </w:rPr>
            </w:pPr>
            <w:r w:rsidRPr="00D846C8">
              <w:rPr>
                <w:rFonts w:ascii="Calibri" w:eastAsia="Times New Roman" w:hAnsi="Calibri" w:cs="Calibri"/>
                <w:sz w:val="20"/>
                <w:szCs w:val="20"/>
              </w:rPr>
              <w:t> </w:t>
            </w:r>
          </w:p>
        </w:tc>
        <w:tc>
          <w:tcPr>
            <w:tcW w:w="1102" w:type="dxa"/>
            <w:tcBorders>
              <w:top w:val="nil"/>
              <w:left w:val="nil"/>
              <w:bottom w:val="nil"/>
              <w:right w:val="nil"/>
            </w:tcBorders>
            <w:shd w:val="clear" w:color="000000" w:fill="FFFFFF"/>
            <w:noWrap/>
            <w:vAlign w:val="bottom"/>
            <w:hideMark/>
          </w:tcPr>
          <w:p w14:paraId="6E05429B" w14:textId="77777777" w:rsidR="001B6918" w:rsidRPr="00B03F0B" w:rsidRDefault="001B6918" w:rsidP="00730ECF">
            <w:pPr>
              <w:jc w:val="center"/>
              <w:rPr>
                <w:rFonts w:ascii="Calibri" w:eastAsia="Times New Roman" w:hAnsi="Calibri" w:cs="Calibri"/>
                <w:sz w:val="20"/>
                <w:szCs w:val="20"/>
              </w:rPr>
            </w:pPr>
          </w:p>
        </w:tc>
        <w:tc>
          <w:tcPr>
            <w:tcW w:w="1509" w:type="dxa"/>
            <w:tcBorders>
              <w:top w:val="nil"/>
              <w:left w:val="nil"/>
              <w:bottom w:val="nil"/>
              <w:right w:val="nil"/>
            </w:tcBorders>
            <w:shd w:val="clear" w:color="000000" w:fill="FFFFFF"/>
            <w:noWrap/>
            <w:vAlign w:val="bottom"/>
            <w:hideMark/>
          </w:tcPr>
          <w:p w14:paraId="5AD91F61" w14:textId="77777777" w:rsidR="001B6918" w:rsidRPr="00B03F0B" w:rsidRDefault="001B6918" w:rsidP="00730ECF">
            <w:pPr>
              <w:jc w:val="center"/>
              <w:rPr>
                <w:rFonts w:ascii="Calibri" w:eastAsia="Times New Roman" w:hAnsi="Calibri" w:cs="Calibri"/>
                <w:sz w:val="20"/>
                <w:szCs w:val="20"/>
              </w:rPr>
            </w:pPr>
          </w:p>
        </w:tc>
        <w:tc>
          <w:tcPr>
            <w:tcW w:w="2480" w:type="dxa"/>
            <w:tcBorders>
              <w:top w:val="nil"/>
              <w:left w:val="nil"/>
              <w:bottom w:val="nil"/>
              <w:right w:val="nil"/>
            </w:tcBorders>
            <w:shd w:val="clear" w:color="000000" w:fill="FFFFFF"/>
            <w:vAlign w:val="bottom"/>
            <w:hideMark/>
          </w:tcPr>
          <w:p w14:paraId="5695BBCE" w14:textId="77777777" w:rsidR="001B6918" w:rsidRPr="00B03F0B" w:rsidRDefault="001B6918" w:rsidP="00730ECF">
            <w:pPr>
              <w:rPr>
                <w:rFonts w:ascii="Calibri" w:eastAsia="Times New Roman" w:hAnsi="Calibri" w:cs="Calibri"/>
                <w:sz w:val="20"/>
                <w:szCs w:val="20"/>
              </w:rPr>
            </w:pPr>
            <w:r w:rsidRPr="00D846C8">
              <w:rPr>
                <w:rFonts w:ascii="Calibri" w:eastAsia="Times New Roman" w:hAnsi="Calibri" w:cs="Calibri"/>
                <w:sz w:val="20"/>
                <w:szCs w:val="20"/>
              </w:rPr>
              <w:t> </w:t>
            </w:r>
          </w:p>
        </w:tc>
      </w:tr>
      <w:tr w:rsidR="001B6918" w:rsidRPr="00B03F0B" w14:paraId="051A7BCE" w14:textId="77777777" w:rsidTr="00730ECF">
        <w:trPr>
          <w:trHeight w:val="207"/>
          <w:jc w:val="center"/>
        </w:trPr>
        <w:tc>
          <w:tcPr>
            <w:tcW w:w="4320" w:type="dxa"/>
            <w:tcBorders>
              <w:left w:val="nil"/>
              <w:bottom w:val="double" w:sz="6" w:space="0" w:color="000000"/>
              <w:right w:val="nil"/>
            </w:tcBorders>
            <w:shd w:val="clear" w:color="000000" w:fill="FFFFFF"/>
            <w:noWrap/>
            <w:vAlign w:val="bottom"/>
          </w:tcPr>
          <w:p w14:paraId="05A0AAE0" w14:textId="77777777" w:rsidR="001B6918" w:rsidRPr="00B03F0B" w:rsidRDefault="001B6918" w:rsidP="00730ECF">
            <w:pPr>
              <w:rPr>
                <w:rFonts w:ascii="Calibri" w:eastAsia="Times New Roman" w:hAnsi="Calibri" w:cs="Calibri"/>
                <w:b/>
                <w:bCs/>
                <w:color w:val="0D0D0D"/>
                <w:sz w:val="20"/>
                <w:szCs w:val="20"/>
              </w:rPr>
            </w:pPr>
            <w:r w:rsidRPr="00B03F0B">
              <w:rPr>
                <w:rFonts w:ascii="Calibri" w:eastAsia="Times New Roman" w:hAnsi="Calibri" w:cs="Calibri"/>
                <w:color w:val="0D0D0D"/>
                <w:sz w:val="20"/>
                <w:szCs w:val="20"/>
              </w:rPr>
              <w:t>Bonds and money markets</w:t>
            </w:r>
          </w:p>
        </w:tc>
        <w:tc>
          <w:tcPr>
            <w:tcW w:w="1320" w:type="dxa"/>
            <w:tcBorders>
              <w:left w:val="nil"/>
              <w:bottom w:val="double" w:sz="6" w:space="0" w:color="000000"/>
              <w:right w:val="nil"/>
            </w:tcBorders>
            <w:shd w:val="clear" w:color="000000" w:fill="FFFFFF"/>
            <w:noWrap/>
            <w:vAlign w:val="bottom"/>
          </w:tcPr>
          <w:p w14:paraId="7FC7F4CA" w14:textId="77777777" w:rsidR="001B6918" w:rsidRPr="00D846C8" w:rsidRDefault="001B6918" w:rsidP="00730ECF">
            <w:pPr>
              <w:jc w:val="right"/>
              <w:rPr>
                <w:rFonts w:ascii="Calibri" w:eastAsia="Times New Roman" w:hAnsi="Calibri" w:cs="Calibri"/>
                <w:sz w:val="20"/>
                <w:szCs w:val="20"/>
              </w:rPr>
            </w:pPr>
            <w:r w:rsidRPr="00D846C8">
              <w:rPr>
                <w:rFonts w:ascii="Calibri" w:eastAsia="Times New Roman" w:hAnsi="Calibri" w:cs="Calibri"/>
                <w:b/>
                <w:bCs/>
                <w:sz w:val="20"/>
                <w:szCs w:val="20"/>
              </w:rPr>
              <w:t>$    4,650</w:t>
            </w:r>
          </w:p>
        </w:tc>
        <w:tc>
          <w:tcPr>
            <w:tcW w:w="1074" w:type="dxa"/>
            <w:tcBorders>
              <w:left w:val="nil"/>
              <w:bottom w:val="double" w:sz="6" w:space="0" w:color="000000"/>
              <w:right w:val="nil"/>
            </w:tcBorders>
            <w:shd w:val="clear" w:color="000000" w:fill="FFFFFF"/>
            <w:noWrap/>
            <w:vAlign w:val="bottom"/>
          </w:tcPr>
          <w:p w14:paraId="3506EA09" w14:textId="77777777" w:rsidR="001B6918" w:rsidRPr="00D846C8" w:rsidRDefault="001B6918" w:rsidP="00730ECF">
            <w:pPr>
              <w:jc w:val="right"/>
              <w:rPr>
                <w:rFonts w:ascii="Calibri" w:eastAsia="Times New Roman" w:hAnsi="Calibri" w:cs="Calibri"/>
                <w:sz w:val="20"/>
                <w:szCs w:val="20"/>
              </w:rPr>
            </w:pPr>
            <w:r w:rsidRPr="00D846C8">
              <w:rPr>
                <w:rFonts w:ascii="Calibri" w:eastAsia="Times New Roman" w:hAnsi="Calibri" w:cs="Calibri"/>
                <w:b/>
                <w:bCs/>
                <w:sz w:val="20"/>
                <w:szCs w:val="20"/>
              </w:rPr>
              <w:t>$    4,650</w:t>
            </w:r>
          </w:p>
        </w:tc>
        <w:tc>
          <w:tcPr>
            <w:tcW w:w="1113" w:type="dxa"/>
            <w:tcBorders>
              <w:left w:val="nil"/>
              <w:bottom w:val="double" w:sz="6" w:space="0" w:color="000000"/>
              <w:right w:val="nil"/>
            </w:tcBorders>
            <w:shd w:val="clear" w:color="000000" w:fill="FFFFFF"/>
            <w:noWrap/>
            <w:vAlign w:val="bottom"/>
          </w:tcPr>
          <w:p w14:paraId="654D3076" w14:textId="77777777" w:rsidR="001B6918" w:rsidRPr="00D846C8" w:rsidRDefault="001B6918" w:rsidP="00730ECF">
            <w:pPr>
              <w:jc w:val="right"/>
              <w:rPr>
                <w:rFonts w:ascii="Calibri" w:eastAsia="Times New Roman" w:hAnsi="Calibri" w:cs="Calibri"/>
                <w:sz w:val="20"/>
                <w:szCs w:val="20"/>
              </w:rPr>
            </w:pPr>
            <w:r w:rsidRPr="00D846C8">
              <w:rPr>
                <w:rFonts w:ascii="Calibri" w:eastAsia="Times New Roman" w:hAnsi="Calibri" w:cs="Calibri"/>
                <w:b/>
                <w:bCs/>
                <w:sz w:val="20"/>
                <w:szCs w:val="20"/>
              </w:rPr>
              <w:t>$             -</w:t>
            </w:r>
          </w:p>
        </w:tc>
        <w:tc>
          <w:tcPr>
            <w:tcW w:w="1113" w:type="dxa"/>
            <w:tcBorders>
              <w:left w:val="nil"/>
              <w:bottom w:val="double" w:sz="6" w:space="0" w:color="000000"/>
              <w:right w:val="nil"/>
            </w:tcBorders>
            <w:shd w:val="clear" w:color="000000" w:fill="FFFFFF"/>
            <w:noWrap/>
            <w:vAlign w:val="bottom"/>
          </w:tcPr>
          <w:p w14:paraId="5D490CDC" w14:textId="77777777" w:rsidR="001B6918" w:rsidRPr="00D846C8" w:rsidRDefault="001B6918" w:rsidP="00730ECF">
            <w:pPr>
              <w:jc w:val="right"/>
              <w:rPr>
                <w:rFonts w:ascii="Calibri" w:eastAsia="Times New Roman" w:hAnsi="Calibri" w:cs="Calibri"/>
                <w:sz w:val="20"/>
                <w:szCs w:val="20"/>
              </w:rPr>
            </w:pPr>
            <w:r w:rsidRPr="00D846C8">
              <w:rPr>
                <w:rFonts w:ascii="Calibri" w:eastAsia="Times New Roman" w:hAnsi="Calibri" w:cs="Calibri"/>
                <w:b/>
                <w:bCs/>
                <w:sz w:val="20"/>
                <w:szCs w:val="20"/>
              </w:rPr>
              <w:t>$          -</w:t>
            </w:r>
          </w:p>
        </w:tc>
        <w:tc>
          <w:tcPr>
            <w:tcW w:w="1102" w:type="dxa"/>
            <w:tcBorders>
              <w:top w:val="nil"/>
              <w:left w:val="nil"/>
              <w:bottom w:val="nil"/>
              <w:right w:val="nil"/>
            </w:tcBorders>
            <w:shd w:val="clear" w:color="000000" w:fill="FFFFFF"/>
            <w:noWrap/>
            <w:vAlign w:val="bottom"/>
          </w:tcPr>
          <w:p w14:paraId="567F46A3" w14:textId="77777777" w:rsidR="001B6918" w:rsidRPr="00B03F0B" w:rsidDel="00E63D95" w:rsidRDefault="001B6918" w:rsidP="00730ECF">
            <w:pPr>
              <w:jc w:val="center"/>
              <w:rPr>
                <w:rFonts w:ascii="Calibri" w:eastAsia="Times New Roman" w:hAnsi="Calibri" w:cs="Calibri"/>
                <w:sz w:val="20"/>
                <w:szCs w:val="20"/>
              </w:rPr>
            </w:pPr>
            <w:r w:rsidRPr="00D846C8">
              <w:rPr>
                <w:rFonts w:ascii="Calibri" w:eastAsia="Times New Roman" w:hAnsi="Calibri" w:cs="Calibri"/>
                <w:sz w:val="20"/>
                <w:szCs w:val="20"/>
              </w:rPr>
              <w:t>Not rated</w:t>
            </w:r>
          </w:p>
        </w:tc>
        <w:tc>
          <w:tcPr>
            <w:tcW w:w="1509" w:type="dxa"/>
            <w:tcBorders>
              <w:top w:val="nil"/>
              <w:left w:val="nil"/>
              <w:bottom w:val="nil"/>
              <w:right w:val="nil"/>
            </w:tcBorders>
            <w:shd w:val="clear" w:color="000000" w:fill="FFFFFF"/>
            <w:noWrap/>
            <w:vAlign w:val="bottom"/>
          </w:tcPr>
          <w:p w14:paraId="6BC5B893" w14:textId="77777777" w:rsidR="001B6918" w:rsidRPr="00B03F0B" w:rsidDel="00E63D95" w:rsidRDefault="001B6918" w:rsidP="00730ECF">
            <w:pPr>
              <w:jc w:val="center"/>
              <w:rPr>
                <w:rFonts w:ascii="Calibri" w:eastAsia="Times New Roman" w:hAnsi="Calibri" w:cs="Calibri"/>
                <w:sz w:val="20"/>
                <w:szCs w:val="20"/>
              </w:rPr>
            </w:pPr>
            <w:r w:rsidRPr="00D846C8">
              <w:rPr>
                <w:rFonts w:ascii="Calibri" w:eastAsia="Times New Roman" w:hAnsi="Calibri" w:cs="Calibri"/>
                <w:sz w:val="20"/>
                <w:szCs w:val="20"/>
              </w:rPr>
              <w:t>34-42 days</w:t>
            </w:r>
          </w:p>
        </w:tc>
        <w:tc>
          <w:tcPr>
            <w:tcW w:w="2480" w:type="dxa"/>
            <w:tcBorders>
              <w:top w:val="nil"/>
              <w:left w:val="nil"/>
              <w:bottom w:val="nil"/>
              <w:right w:val="nil"/>
            </w:tcBorders>
            <w:shd w:val="clear" w:color="000000" w:fill="FFFFFF"/>
            <w:vAlign w:val="bottom"/>
          </w:tcPr>
          <w:p w14:paraId="1B46C5AF" w14:textId="77777777" w:rsidR="001B6918" w:rsidRPr="00D846C8" w:rsidRDefault="001B6918" w:rsidP="00730ECF">
            <w:pPr>
              <w:rPr>
                <w:rFonts w:ascii="Calibri" w:eastAsia="Times New Roman" w:hAnsi="Calibri" w:cs="Calibri"/>
                <w:sz w:val="20"/>
                <w:szCs w:val="20"/>
              </w:rPr>
            </w:pPr>
            <w:r w:rsidRPr="00D846C8">
              <w:rPr>
                <w:rFonts w:ascii="Calibri" w:eastAsia="Times New Roman" w:hAnsi="Calibri" w:cs="Calibri"/>
                <w:sz w:val="20"/>
                <w:szCs w:val="20"/>
              </w:rPr>
              <w:t>Weighted Average Maturity</w:t>
            </w:r>
          </w:p>
        </w:tc>
      </w:tr>
    </w:tbl>
    <w:p w14:paraId="640C4E46" w14:textId="77777777" w:rsidR="001B6918" w:rsidRPr="004E6649" w:rsidRDefault="001B6918" w:rsidP="001B6918">
      <w:pPr>
        <w:tabs>
          <w:tab w:val="left" w:pos="720"/>
          <w:tab w:val="left" w:pos="1080"/>
          <w:tab w:val="decimal" w:pos="6786"/>
          <w:tab w:val="decimal" w:pos="9187"/>
        </w:tabs>
        <w:suppressAutoHyphens/>
        <w:spacing w:after="240"/>
        <w:rPr>
          <w:rFonts w:eastAsia="Times New Roman" w:cstheme="minorHAnsi"/>
          <w:color w:val="FF0000"/>
          <w:spacing w:val="-3"/>
          <w:sz w:val="24"/>
          <w:szCs w:val="20"/>
        </w:rPr>
        <w:sectPr w:rsidR="001B6918" w:rsidRPr="004E6649" w:rsidSect="00DC059D">
          <w:footerReference w:type="default" r:id="rId48"/>
          <w:type w:val="nextColumn"/>
          <w:pgSz w:w="15840" w:h="12240" w:orient="landscape" w:code="1"/>
          <w:pgMar w:top="1440" w:right="1152" w:bottom="1440" w:left="1152" w:header="720" w:footer="720" w:gutter="0"/>
          <w:cols w:space="0"/>
          <w:docGrid w:linePitch="360"/>
        </w:sectPr>
      </w:pPr>
    </w:p>
    <w:p w14:paraId="4723B55C" w14:textId="77777777" w:rsidR="001B6918" w:rsidRPr="00A02D27" w:rsidRDefault="001B6918" w:rsidP="001B6918">
      <w:pPr>
        <w:spacing w:after="160"/>
        <w:rPr>
          <w:rFonts w:eastAsiaTheme="majorEastAsia" w:cstheme="minorHAnsi"/>
          <w:b/>
          <w:i/>
          <w:iCs/>
          <w:smallCaps/>
          <w:noProof/>
          <w:color w:val="000000" w:themeColor="text1"/>
          <w:sz w:val="24"/>
          <w:szCs w:val="24"/>
          <w:u w:color="5B9BD5"/>
        </w:rPr>
      </w:pPr>
      <w:r w:rsidRPr="00A02D27">
        <w:rPr>
          <w:rFonts w:eastAsiaTheme="majorEastAsia" w:cstheme="minorHAnsi"/>
          <w:b/>
          <w:i/>
          <w:iCs/>
          <w:smallCaps/>
          <w:noProof/>
          <w:color w:val="000000" w:themeColor="text1"/>
          <w:sz w:val="24"/>
          <w:szCs w:val="24"/>
          <w:u w:color="5B9BD5"/>
        </w:rPr>
        <w:lastRenderedPageBreak/>
        <w:t>3. INVESTMENTS - CONTINUED</w:t>
      </w:r>
      <w:r w:rsidRPr="00A02D27" w:rsidDel="00453556">
        <w:rPr>
          <w:rFonts w:eastAsiaTheme="majorEastAsia" w:cstheme="minorHAnsi"/>
          <w:b/>
          <w:i/>
          <w:iCs/>
          <w:smallCaps/>
          <w:noProof/>
          <w:color w:val="000000" w:themeColor="text1"/>
          <w:sz w:val="24"/>
          <w:szCs w:val="24"/>
          <w:u w:color="5B9BD5"/>
        </w:rPr>
        <w:t xml:space="preserve"> </w:t>
      </w:r>
    </w:p>
    <w:p w14:paraId="3FF173C5" w14:textId="77777777" w:rsidR="001B6918" w:rsidRPr="004E6649" w:rsidRDefault="001B6918" w:rsidP="001B6918">
      <w:pPr>
        <w:spacing w:after="160" w:line="259" w:lineRule="auto"/>
        <w:rPr>
          <w:rFonts w:eastAsia="Times New Roman" w:cstheme="minorHAnsi"/>
          <w:color w:val="000000"/>
          <w:spacing w:val="-3"/>
          <w:sz w:val="24"/>
          <w:szCs w:val="20"/>
        </w:rPr>
      </w:pPr>
      <w:r w:rsidRPr="004E6649">
        <w:rPr>
          <w:rFonts w:eastAsia="Times New Roman" w:cstheme="minorHAnsi"/>
          <w:color w:val="000000"/>
          <w:spacing w:val="-3"/>
          <w:sz w:val="24"/>
          <w:szCs w:val="20"/>
        </w:rPr>
        <w:t xml:space="preserve">The </w:t>
      </w:r>
      <w:r w:rsidRPr="004E6649">
        <w:rPr>
          <w:rFonts w:eastAsia="Times New Roman" w:cstheme="minorHAnsi"/>
          <w:b/>
          <w:color w:val="000000"/>
          <w:spacing w:val="-3"/>
          <w:sz w:val="24"/>
          <w:szCs w:val="20"/>
        </w:rPr>
        <w:t>System’s DB Plan, MIP and separately invested</w:t>
      </w:r>
      <w:r w:rsidRPr="004E6649">
        <w:rPr>
          <w:rFonts w:eastAsia="Times New Roman" w:cstheme="minorHAnsi"/>
          <w:color w:val="000000"/>
          <w:spacing w:val="-3"/>
          <w:sz w:val="24"/>
          <w:szCs w:val="20"/>
        </w:rPr>
        <w:t xml:space="preserve"> </w:t>
      </w:r>
      <w:r w:rsidRPr="004E6649">
        <w:rPr>
          <w:rFonts w:eastAsia="Times New Roman" w:cstheme="minorHAnsi"/>
          <w:b/>
          <w:color w:val="000000"/>
          <w:spacing w:val="-3"/>
          <w:sz w:val="24"/>
          <w:szCs w:val="20"/>
        </w:rPr>
        <w:t xml:space="preserve">endowments </w:t>
      </w:r>
      <w:r w:rsidRPr="004E6649">
        <w:rPr>
          <w:rFonts w:eastAsia="Times New Roman" w:cstheme="minorHAnsi"/>
          <w:color w:val="000000"/>
          <w:spacing w:val="-3"/>
          <w:sz w:val="24"/>
          <w:szCs w:val="20"/>
        </w:rPr>
        <w:t>were composed of the following at June 30</w:t>
      </w:r>
      <w:r w:rsidRPr="004E6649">
        <w:rPr>
          <w:rFonts w:eastAsia="Times New Roman" w:cstheme="minorHAnsi"/>
          <w:spacing w:val="-3"/>
          <w:sz w:val="24"/>
          <w:szCs w:val="20"/>
        </w:rPr>
        <w:t>, 202</w:t>
      </w:r>
      <w:r>
        <w:rPr>
          <w:rFonts w:eastAsia="Times New Roman" w:cstheme="minorHAnsi"/>
          <w:spacing w:val="-3"/>
          <w:sz w:val="24"/>
          <w:szCs w:val="20"/>
        </w:rPr>
        <w:t>4</w:t>
      </w:r>
      <w:r w:rsidRPr="004E6649">
        <w:rPr>
          <w:rFonts w:eastAsia="Times New Roman" w:cstheme="minorHAnsi"/>
          <w:spacing w:val="-3"/>
          <w:sz w:val="24"/>
          <w:szCs w:val="20"/>
        </w:rPr>
        <w:t>:</w:t>
      </w:r>
    </w:p>
    <w:tbl>
      <w:tblPr>
        <w:tblW w:w="13867" w:type="dxa"/>
        <w:jc w:val="center"/>
        <w:tblLook w:val="04A0" w:firstRow="1" w:lastRow="0" w:firstColumn="1" w:lastColumn="0" w:noHBand="0" w:noVBand="1"/>
      </w:tblPr>
      <w:tblGrid>
        <w:gridCol w:w="4890"/>
        <w:gridCol w:w="1115"/>
        <w:gridCol w:w="1115"/>
        <w:gridCol w:w="1053"/>
        <w:gridCol w:w="858"/>
        <w:gridCol w:w="1005"/>
        <w:gridCol w:w="1372"/>
        <w:gridCol w:w="2459"/>
      </w:tblGrid>
      <w:tr w:rsidR="001B6918" w:rsidRPr="00E21531" w14:paraId="24DAE6FC" w14:textId="77777777" w:rsidTr="00730ECF">
        <w:trPr>
          <w:trHeight w:val="338"/>
          <w:jc w:val="center"/>
        </w:trPr>
        <w:tc>
          <w:tcPr>
            <w:tcW w:w="4890" w:type="dxa"/>
            <w:tcBorders>
              <w:top w:val="nil"/>
              <w:left w:val="nil"/>
              <w:bottom w:val="nil"/>
              <w:right w:val="nil"/>
            </w:tcBorders>
            <w:shd w:val="clear" w:color="000000" w:fill="FFFFFF"/>
            <w:noWrap/>
            <w:vAlign w:val="center"/>
            <w:hideMark/>
          </w:tcPr>
          <w:p w14:paraId="2CF3353E" w14:textId="77777777" w:rsidR="001B6918" w:rsidRPr="00E21531" w:rsidRDefault="001B6918" w:rsidP="00730ECF">
            <w:pPr>
              <w:rPr>
                <w:rFonts w:ascii="Calibri" w:eastAsia="Times New Roman" w:hAnsi="Calibri" w:cs="Calibri"/>
                <w:b/>
                <w:bCs/>
                <w:color w:val="000000"/>
                <w:sz w:val="20"/>
                <w:szCs w:val="20"/>
              </w:rPr>
            </w:pPr>
            <w:r w:rsidRPr="00E21531">
              <w:rPr>
                <w:rFonts w:ascii="Calibri" w:eastAsia="Times New Roman" w:hAnsi="Calibri" w:cs="Calibri"/>
                <w:b/>
                <w:bCs/>
                <w:color w:val="000000"/>
                <w:sz w:val="20"/>
                <w:szCs w:val="20"/>
              </w:rPr>
              <w:t> </w:t>
            </w:r>
          </w:p>
        </w:tc>
        <w:tc>
          <w:tcPr>
            <w:tcW w:w="1115" w:type="dxa"/>
            <w:tcBorders>
              <w:top w:val="nil"/>
              <w:left w:val="nil"/>
              <w:bottom w:val="nil"/>
              <w:right w:val="nil"/>
            </w:tcBorders>
            <w:shd w:val="clear" w:color="000000" w:fill="FFFFFF"/>
            <w:noWrap/>
            <w:vAlign w:val="center"/>
            <w:hideMark/>
          </w:tcPr>
          <w:p w14:paraId="094E5BDA" w14:textId="77777777" w:rsidR="001B6918" w:rsidRPr="00E21531" w:rsidRDefault="001B6918" w:rsidP="00730ECF">
            <w:pPr>
              <w:rPr>
                <w:rFonts w:ascii="Calibri" w:eastAsia="Times New Roman" w:hAnsi="Calibri" w:cs="Calibri"/>
                <w:b/>
                <w:bCs/>
                <w:color w:val="000000"/>
                <w:sz w:val="20"/>
                <w:szCs w:val="20"/>
              </w:rPr>
            </w:pPr>
            <w:r w:rsidRPr="00E21531">
              <w:rPr>
                <w:rFonts w:ascii="Calibri" w:eastAsia="Times New Roman" w:hAnsi="Calibri" w:cs="Calibri"/>
                <w:b/>
                <w:bCs/>
                <w:color w:val="000000"/>
                <w:sz w:val="20"/>
                <w:szCs w:val="20"/>
              </w:rPr>
              <w:t> </w:t>
            </w:r>
          </w:p>
        </w:tc>
        <w:tc>
          <w:tcPr>
            <w:tcW w:w="3026" w:type="dxa"/>
            <w:gridSpan w:val="3"/>
            <w:tcBorders>
              <w:top w:val="nil"/>
              <w:left w:val="nil"/>
              <w:bottom w:val="single" w:sz="12" w:space="0" w:color="000000"/>
              <w:right w:val="nil"/>
            </w:tcBorders>
            <w:shd w:val="clear" w:color="000000" w:fill="FFFFFF"/>
            <w:noWrap/>
            <w:vAlign w:val="center"/>
            <w:hideMark/>
          </w:tcPr>
          <w:p w14:paraId="1E2662E2" w14:textId="77777777" w:rsidR="001B6918" w:rsidRPr="00E21531" w:rsidRDefault="001B6918" w:rsidP="00730ECF">
            <w:pPr>
              <w:jc w:val="center"/>
              <w:rPr>
                <w:rFonts w:ascii="Calibri" w:eastAsia="Times New Roman" w:hAnsi="Calibri" w:cs="Calibri"/>
                <w:b/>
                <w:bCs/>
                <w:color w:val="000000"/>
                <w:sz w:val="20"/>
                <w:szCs w:val="20"/>
              </w:rPr>
            </w:pPr>
            <w:r w:rsidRPr="00E21531">
              <w:rPr>
                <w:rFonts w:ascii="Calibri" w:eastAsia="Times New Roman" w:hAnsi="Calibri" w:cs="Calibri"/>
                <w:b/>
                <w:bCs/>
                <w:color w:val="000000"/>
                <w:sz w:val="20"/>
                <w:szCs w:val="20"/>
              </w:rPr>
              <w:t>Fair Value Measurements Using:</w:t>
            </w:r>
          </w:p>
        </w:tc>
        <w:tc>
          <w:tcPr>
            <w:tcW w:w="1005" w:type="dxa"/>
            <w:tcBorders>
              <w:top w:val="nil"/>
              <w:left w:val="nil"/>
              <w:right w:val="nil"/>
            </w:tcBorders>
            <w:shd w:val="clear" w:color="000000" w:fill="FFFFFF"/>
            <w:vAlign w:val="center"/>
            <w:hideMark/>
          </w:tcPr>
          <w:p w14:paraId="41AC43C8" w14:textId="77777777" w:rsidR="001B6918" w:rsidRPr="00E21531" w:rsidRDefault="001B6918" w:rsidP="00730ECF">
            <w:pPr>
              <w:jc w:val="center"/>
              <w:rPr>
                <w:rFonts w:ascii="Calibri" w:eastAsia="Times New Roman" w:hAnsi="Calibri" w:cs="Calibri"/>
                <w:b/>
                <w:bCs/>
                <w:color w:val="000000"/>
                <w:sz w:val="20"/>
                <w:szCs w:val="20"/>
              </w:rPr>
            </w:pPr>
            <w:r w:rsidRPr="00E21531">
              <w:rPr>
                <w:rFonts w:ascii="Calibri" w:eastAsia="Times New Roman" w:hAnsi="Calibri" w:cs="Calibri"/>
                <w:b/>
                <w:bCs/>
                <w:color w:val="000000"/>
                <w:sz w:val="20"/>
                <w:szCs w:val="20"/>
              </w:rPr>
              <w:t xml:space="preserve">Credit Rating </w:t>
            </w:r>
          </w:p>
        </w:tc>
        <w:tc>
          <w:tcPr>
            <w:tcW w:w="1372" w:type="dxa"/>
            <w:tcBorders>
              <w:top w:val="nil"/>
              <w:left w:val="nil"/>
              <w:bottom w:val="nil"/>
              <w:right w:val="nil"/>
            </w:tcBorders>
            <w:shd w:val="clear" w:color="000000" w:fill="FFFFFF"/>
            <w:noWrap/>
            <w:vAlign w:val="center"/>
            <w:hideMark/>
          </w:tcPr>
          <w:p w14:paraId="08B114AB" w14:textId="77777777" w:rsidR="001B6918" w:rsidRPr="00E21531" w:rsidRDefault="001B6918" w:rsidP="00730ECF">
            <w:pPr>
              <w:rPr>
                <w:rFonts w:ascii="Calibri" w:eastAsia="Times New Roman" w:hAnsi="Calibri" w:cs="Calibri"/>
                <w:color w:val="000000"/>
                <w:sz w:val="20"/>
                <w:szCs w:val="20"/>
              </w:rPr>
            </w:pPr>
            <w:r w:rsidRPr="00E21531">
              <w:rPr>
                <w:rFonts w:ascii="Calibri" w:eastAsia="Times New Roman" w:hAnsi="Calibri" w:cs="Calibri"/>
                <w:color w:val="000000"/>
                <w:sz w:val="20"/>
                <w:szCs w:val="20"/>
              </w:rPr>
              <w:t> </w:t>
            </w:r>
          </w:p>
        </w:tc>
        <w:tc>
          <w:tcPr>
            <w:tcW w:w="2459" w:type="dxa"/>
            <w:tcBorders>
              <w:top w:val="nil"/>
              <w:left w:val="nil"/>
              <w:bottom w:val="nil"/>
              <w:right w:val="nil"/>
            </w:tcBorders>
            <w:shd w:val="clear" w:color="000000" w:fill="FFFFFF"/>
            <w:noWrap/>
            <w:vAlign w:val="center"/>
            <w:hideMark/>
          </w:tcPr>
          <w:p w14:paraId="0C72A2C4" w14:textId="77777777" w:rsidR="001B6918" w:rsidRPr="00E21531" w:rsidRDefault="001B6918" w:rsidP="00730ECF">
            <w:pPr>
              <w:rPr>
                <w:rFonts w:ascii="Calibri" w:eastAsia="Times New Roman" w:hAnsi="Calibri" w:cs="Calibri"/>
                <w:color w:val="000000"/>
                <w:sz w:val="20"/>
                <w:szCs w:val="20"/>
              </w:rPr>
            </w:pPr>
            <w:r w:rsidRPr="00E21531">
              <w:rPr>
                <w:rFonts w:ascii="Calibri" w:eastAsia="Times New Roman" w:hAnsi="Calibri" w:cs="Calibri"/>
                <w:color w:val="000000"/>
                <w:sz w:val="20"/>
                <w:szCs w:val="20"/>
              </w:rPr>
              <w:t> </w:t>
            </w:r>
          </w:p>
        </w:tc>
      </w:tr>
      <w:tr w:rsidR="001B6918" w:rsidRPr="00E21531" w14:paraId="3ABC7820" w14:textId="77777777" w:rsidTr="00730ECF">
        <w:trPr>
          <w:trHeight w:val="354"/>
          <w:jc w:val="center"/>
        </w:trPr>
        <w:tc>
          <w:tcPr>
            <w:tcW w:w="4890" w:type="dxa"/>
            <w:tcBorders>
              <w:top w:val="nil"/>
              <w:left w:val="nil"/>
              <w:bottom w:val="single" w:sz="12" w:space="0" w:color="000000"/>
              <w:right w:val="nil"/>
            </w:tcBorders>
            <w:shd w:val="clear" w:color="000000" w:fill="FFFFFF"/>
            <w:noWrap/>
            <w:vAlign w:val="center"/>
            <w:hideMark/>
          </w:tcPr>
          <w:p w14:paraId="7CDC2AB5" w14:textId="77777777" w:rsidR="001B6918" w:rsidRPr="00E21531" w:rsidRDefault="001B6918" w:rsidP="00730ECF">
            <w:pPr>
              <w:rPr>
                <w:rFonts w:ascii="Calibri" w:eastAsia="Times New Roman" w:hAnsi="Calibri" w:cs="Calibri"/>
                <w:b/>
                <w:bCs/>
                <w:color w:val="000000"/>
                <w:sz w:val="20"/>
                <w:szCs w:val="20"/>
              </w:rPr>
            </w:pPr>
            <w:r w:rsidRPr="00E21531">
              <w:rPr>
                <w:rFonts w:ascii="Calibri" w:eastAsia="Times New Roman" w:hAnsi="Calibri" w:cs="Calibri"/>
                <w:b/>
                <w:bCs/>
                <w:color w:val="000000"/>
                <w:sz w:val="20"/>
                <w:szCs w:val="20"/>
              </w:rPr>
              <w:t> </w:t>
            </w:r>
          </w:p>
        </w:tc>
        <w:tc>
          <w:tcPr>
            <w:tcW w:w="1115" w:type="dxa"/>
            <w:tcBorders>
              <w:top w:val="nil"/>
              <w:left w:val="nil"/>
              <w:bottom w:val="single" w:sz="12" w:space="0" w:color="000000"/>
              <w:right w:val="nil"/>
            </w:tcBorders>
            <w:shd w:val="clear" w:color="000000" w:fill="FFFFFF"/>
            <w:noWrap/>
            <w:vAlign w:val="center"/>
            <w:hideMark/>
          </w:tcPr>
          <w:p w14:paraId="255F67CD" w14:textId="77777777" w:rsidR="001B6918" w:rsidRPr="00E21531" w:rsidRDefault="001B6918" w:rsidP="00730ECF">
            <w:pPr>
              <w:jc w:val="center"/>
              <w:rPr>
                <w:rFonts w:ascii="Calibri" w:eastAsia="Times New Roman" w:hAnsi="Calibri" w:cs="Calibri"/>
                <w:b/>
                <w:bCs/>
                <w:color w:val="000000"/>
                <w:sz w:val="20"/>
                <w:szCs w:val="20"/>
              </w:rPr>
            </w:pPr>
            <w:r w:rsidRPr="00E21531">
              <w:rPr>
                <w:rFonts w:ascii="Calibri" w:eastAsia="Times New Roman" w:hAnsi="Calibri" w:cs="Calibri"/>
                <w:b/>
                <w:bCs/>
                <w:color w:val="000000"/>
                <w:sz w:val="20"/>
                <w:szCs w:val="20"/>
              </w:rPr>
              <w:t>Total</w:t>
            </w:r>
          </w:p>
        </w:tc>
        <w:tc>
          <w:tcPr>
            <w:tcW w:w="1115" w:type="dxa"/>
            <w:tcBorders>
              <w:top w:val="nil"/>
              <w:left w:val="nil"/>
              <w:bottom w:val="single" w:sz="12" w:space="0" w:color="000000"/>
              <w:right w:val="nil"/>
            </w:tcBorders>
            <w:shd w:val="clear" w:color="000000" w:fill="FFFFFF"/>
            <w:noWrap/>
            <w:vAlign w:val="center"/>
            <w:hideMark/>
          </w:tcPr>
          <w:p w14:paraId="581DFBAA" w14:textId="77777777" w:rsidR="001B6918" w:rsidRPr="00E21531" w:rsidRDefault="001B6918" w:rsidP="00730ECF">
            <w:pPr>
              <w:jc w:val="center"/>
              <w:rPr>
                <w:rFonts w:ascii="Calibri" w:eastAsia="Times New Roman" w:hAnsi="Calibri" w:cs="Calibri"/>
                <w:b/>
                <w:bCs/>
                <w:color w:val="000000"/>
                <w:sz w:val="20"/>
                <w:szCs w:val="20"/>
              </w:rPr>
            </w:pPr>
            <w:r w:rsidRPr="00E21531">
              <w:rPr>
                <w:rFonts w:ascii="Calibri" w:eastAsia="Times New Roman" w:hAnsi="Calibri" w:cs="Calibri"/>
                <w:b/>
                <w:bCs/>
                <w:color w:val="000000"/>
                <w:sz w:val="20"/>
                <w:szCs w:val="20"/>
              </w:rPr>
              <w:t>Level 1</w:t>
            </w:r>
          </w:p>
        </w:tc>
        <w:tc>
          <w:tcPr>
            <w:tcW w:w="1053" w:type="dxa"/>
            <w:tcBorders>
              <w:top w:val="nil"/>
              <w:left w:val="nil"/>
              <w:bottom w:val="single" w:sz="12" w:space="0" w:color="000000"/>
              <w:right w:val="nil"/>
            </w:tcBorders>
            <w:shd w:val="clear" w:color="000000" w:fill="FFFFFF"/>
            <w:noWrap/>
            <w:vAlign w:val="center"/>
            <w:hideMark/>
          </w:tcPr>
          <w:p w14:paraId="114C7A95" w14:textId="77777777" w:rsidR="001B6918" w:rsidRPr="00E21531" w:rsidRDefault="001B6918" w:rsidP="00730ECF">
            <w:pPr>
              <w:jc w:val="center"/>
              <w:rPr>
                <w:rFonts w:ascii="Calibri" w:eastAsia="Times New Roman" w:hAnsi="Calibri" w:cs="Calibri"/>
                <w:b/>
                <w:bCs/>
                <w:color w:val="000000"/>
                <w:sz w:val="20"/>
                <w:szCs w:val="20"/>
              </w:rPr>
            </w:pPr>
            <w:r w:rsidRPr="00E21531">
              <w:rPr>
                <w:rFonts w:ascii="Calibri" w:eastAsia="Times New Roman" w:hAnsi="Calibri" w:cs="Calibri"/>
                <w:b/>
                <w:bCs/>
                <w:color w:val="000000"/>
                <w:sz w:val="20"/>
                <w:szCs w:val="20"/>
              </w:rPr>
              <w:t>Level 2</w:t>
            </w:r>
          </w:p>
        </w:tc>
        <w:tc>
          <w:tcPr>
            <w:tcW w:w="857" w:type="dxa"/>
            <w:tcBorders>
              <w:top w:val="nil"/>
              <w:left w:val="nil"/>
              <w:bottom w:val="single" w:sz="12" w:space="0" w:color="000000"/>
              <w:right w:val="nil"/>
            </w:tcBorders>
            <w:shd w:val="clear" w:color="000000" w:fill="FFFFFF"/>
            <w:noWrap/>
            <w:vAlign w:val="center"/>
            <w:hideMark/>
          </w:tcPr>
          <w:p w14:paraId="3E076718" w14:textId="77777777" w:rsidR="001B6918" w:rsidRPr="00E21531" w:rsidRDefault="001B6918" w:rsidP="00730ECF">
            <w:pPr>
              <w:jc w:val="center"/>
              <w:rPr>
                <w:rFonts w:ascii="Calibri" w:eastAsia="Times New Roman" w:hAnsi="Calibri" w:cs="Calibri"/>
                <w:b/>
                <w:bCs/>
                <w:color w:val="000000"/>
                <w:sz w:val="20"/>
                <w:szCs w:val="20"/>
              </w:rPr>
            </w:pPr>
            <w:r w:rsidRPr="00E21531">
              <w:rPr>
                <w:rFonts w:ascii="Calibri" w:eastAsia="Times New Roman" w:hAnsi="Calibri" w:cs="Calibri"/>
                <w:b/>
                <w:bCs/>
                <w:color w:val="000000"/>
                <w:sz w:val="20"/>
                <w:szCs w:val="20"/>
              </w:rPr>
              <w:t>Level 3</w:t>
            </w:r>
          </w:p>
        </w:tc>
        <w:tc>
          <w:tcPr>
            <w:tcW w:w="1005" w:type="dxa"/>
            <w:tcBorders>
              <w:left w:val="nil"/>
              <w:bottom w:val="single" w:sz="12" w:space="0" w:color="000000"/>
              <w:right w:val="nil"/>
            </w:tcBorders>
            <w:shd w:val="clear" w:color="000000" w:fill="FFFFFF"/>
            <w:vAlign w:val="center"/>
            <w:hideMark/>
          </w:tcPr>
          <w:p w14:paraId="3D0AC9B4" w14:textId="77777777" w:rsidR="001B6918" w:rsidRPr="00E21531" w:rsidRDefault="001B6918" w:rsidP="00730ECF">
            <w:pPr>
              <w:jc w:val="center"/>
              <w:rPr>
                <w:rFonts w:ascii="Calibri" w:eastAsia="Times New Roman" w:hAnsi="Calibri" w:cs="Calibri"/>
                <w:b/>
                <w:bCs/>
                <w:color w:val="000000"/>
                <w:sz w:val="20"/>
                <w:szCs w:val="20"/>
              </w:rPr>
            </w:pPr>
          </w:p>
        </w:tc>
        <w:tc>
          <w:tcPr>
            <w:tcW w:w="3831" w:type="dxa"/>
            <w:gridSpan w:val="2"/>
            <w:tcBorders>
              <w:top w:val="nil"/>
              <w:left w:val="nil"/>
              <w:bottom w:val="single" w:sz="12" w:space="0" w:color="000000"/>
              <w:right w:val="nil"/>
            </w:tcBorders>
            <w:shd w:val="clear" w:color="000000" w:fill="FFFFFF"/>
            <w:noWrap/>
            <w:vAlign w:val="center"/>
            <w:hideMark/>
          </w:tcPr>
          <w:p w14:paraId="61E8CAE4" w14:textId="77777777" w:rsidR="001B6918" w:rsidRPr="00E21531" w:rsidRDefault="001B6918" w:rsidP="00730ECF">
            <w:pPr>
              <w:jc w:val="center"/>
              <w:rPr>
                <w:rFonts w:ascii="Calibri" w:eastAsia="Times New Roman" w:hAnsi="Calibri" w:cs="Calibri"/>
                <w:b/>
                <w:bCs/>
                <w:color w:val="000000"/>
                <w:sz w:val="20"/>
                <w:szCs w:val="20"/>
              </w:rPr>
            </w:pPr>
            <w:r w:rsidRPr="00E21531">
              <w:rPr>
                <w:rFonts w:ascii="Calibri" w:eastAsia="Times New Roman" w:hAnsi="Calibri" w:cs="Calibri"/>
                <w:b/>
                <w:bCs/>
                <w:color w:val="000000"/>
                <w:sz w:val="20"/>
                <w:szCs w:val="20"/>
              </w:rPr>
              <w:t>Interest Rate Risk</w:t>
            </w:r>
          </w:p>
        </w:tc>
      </w:tr>
      <w:tr w:rsidR="001B6918" w:rsidRPr="00E21531" w14:paraId="4EE19940" w14:textId="77777777" w:rsidTr="00730ECF">
        <w:trPr>
          <w:trHeight w:val="80"/>
          <w:jc w:val="center"/>
        </w:trPr>
        <w:tc>
          <w:tcPr>
            <w:tcW w:w="4890" w:type="dxa"/>
            <w:tcBorders>
              <w:top w:val="nil"/>
              <w:left w:val="nil"/>
              <w:bottom w:val="nil"/>
              <w:right w:val="nil"/>
            </w:tcBorders>
            <w:shd w:val="clear" w:color="000000" w:fill="FFFFFF"/>
            <w:noWrap/>
            <w:vAlign w:val="bottom"/>
            <w:hideMark/>
          </w:tcPr>
          <w:p w14:paraId="6B5941A8" w14:textId="77777777" w:rsidR="001B6918" w:rsidRPr="00E21531" w:rsidRDefault="001B6918" w:rsidP="00730ECF">
            <w:pPr>
              <w:rPr>
                <w:rFonts w:ascii="Calibri" w:eastAsia="Times New Roman" w:hAnsi="Calibri" w:cs="Calibri"/>
                <w:b/>
                <w:bCs/>
                <w:color w:val="000000"/>
                <w:sz w:val="20"/>
                <w:szCs w:val="20"/>
              </w:rPr>
            </w:pPr>
            <w:r w:rsidRPr="00E21531">
              <w:rPr>
                <w:rFonts w:ascii="Calibri" w:eastAsia="Times New Roman" w:hAnsi="Calibri" w:cs="Calibri"/>
                <w:b/>
                <w:bCs/>
                <w:color w:val="000000"/>
                <w:sz w:val="20"/>
                <w:szCs w:val="20"/>
              </w:rPr>
              <w:t>Investments measured at fair value:</w:t>
            </w:r>
          </w:p>
        </w:tc>
        <w:tc>
          <w:tcPr>
            <w:tcW w:w="1115" w:type="dxa"/>
            <w:tcBorders>
              <w:top w:val="nil"/>
              <w:left w:val="nil"/>
              <w:bottom w:val="nil"/>
              <w:right w:val="nil"/>
            </w:tcBorders>
            <w:shd w:val="clear" w:color="000000" w:fill="FFFFFF"/>
            <w:noWrap/>
            <w:vAlign w:val="bottom"/>
            <w:hideMark/>
          </w:tcPr>
          <w:p w14:paraId="5A38C8A9" w14:textId="77777777" w:rsidR="001B6918" w:rsidRPr="00E21531" w:rsidRDefault="001B6918" w:rsidP="00730ECF">
            <w:pPr>
              <w:jc w:val="right"/>
              <w:rPr>
                <w:rFonts w:ascii="Calibri" w:eastAsia="Times New Roman" w:hAnsi="Calibri" w:cs="Calibri"/>
                <w:color w:val="FF0000"/>
                <w:sz w:val="20"/>
                <w:szCs w:val="20"/>
              </w:rPr>
            </w:pPr>
            <w:r w:rsidRPr="00E21531">
              <w:rPr>
                <w:rFonts w:ascii="Calibri" w:eastAsia="Times New Roman" w:hAnsi="Calibri" w:cs="Calibri"/>
                <w:color w:val="FF0000"/>
                <w:sz w:val="20"/>
                <w:szCs w:val="20"/>
              </w:rPr>
              <w:t> </w:t>
            </w:r>
          </w:p>
        </w:tc>
        <w:tc>
          <w:tcPr>
            <w:tcW w:w="1115" w:type="dxa"/>
            <w:tcBorders>
              <w:top w:val="nil"/>
              <w:left w:val="nil"/>
              <w:bottom w:val="nil"/>
              <w:right w:val="nil"/>
            </w:tcBorders>
            <w:shd w:val="clear" w:color="000000" w:fill="FFFFFF"/>
            <w:noWrap/>
            <w:vAlign w:val="bottom"/>
            <w:hideMark/>
          </w:tcPr>
          <w:p w14:paraId="4F76D455" w14:textId="77777777" w:rsidR="001B6918" w:rsidRPr="00E21531" w:rsidRDefault="001B6918" w:rsidP="00730ECF">
            <w:pPr>
              <w:jc w:val="right"/>
              <w:rPr>
                <w:rFonts w:ascii="Calibri" w:eastAsia="Times New Roman" w:hAnsi="Calibri" w:cs="Calibri"/>
                <w:color w:val="FF0000"/>
                <w:sz w:val="20"/>
                <w:szCs w:val="20"/>
              </w:rPr>
            </w:pPr>
            <w:r w:rsidRPr="00E21531">
              <w:rPr>
                <w:rFonts w:ascii="Calibri" w:eastAsia="Times New Roman" w:hAnsi="Calibri" w:cs="Calibri"/>
                <w:color w:val="FF0000"/>
                <w:sz w:val="20"/>
                <w:szCs w:val="20"/>
              </w:rPr>
              <w:t> </w:t>
            </w:r>
          </w:p>
        </w:tc>
        <w:tc>
          <w:tcPr>
            <w:tcW w:w="1053" w:type="dxa"/>
            <w:tcBorders>
              <w:top w:val="nil"/>
              <w:left w:val="nil"/>
              <w:bottom w:val="nil"/>
              <w:right w:val="nil"/>
            </w:tcBorders>
            <w:shd w:val="clear" w:color="000000" w:fill="FFFFFF"/>
            <w:noWrap/>
            <w:vAlign w:val="bottom"/>
            <w:hideMark/>
          </w:tcPr>
          <w:p w14:paraId="1CBCB206" w14:textId="77777777" w:rsidR="001B6918" w:rsidRPr="00E21531" w:rsidRDefault="001B6918" w:rsidP="00730ECF">
            <w:pPr>
              <w:jc w:val="right"/>
              <w:rPr>
                <w:rFonts w:ascii="Calibri" w:eastAsia="Times New Roman" w:hAnsi="Calibri" w:cs="Calibri"/>
                <w:color w:val="FF0000"/>
                <w:sz w:val="20"/>
                <w:szCs w:val="20"/>
              </w:rPr>
            </w:pPr>
            <w:r w:rsidRPr="00E21531">
              <w:rPr>
                <w:rFonts w:ascii="Calibri" w:eastAsia="Times New Roman" w:hAnsi="Calibri" w:cs="Calibri"/>
                <w:color w:val="FF0000"/>
                <w:sz w:val="20"/>
                <w:szCs w:val="20"/>
              </w:rPr>
              <w:t> </w:t>
            </w:r>
          </w:p>
        </w:tc>
        <w:tc>
          <w:tcPr>
            <w:tcW w:w="857" w:type="dxa"/>
            <w:tcBorders>
              <w:top w:val="nil"/>
              <w:left w:val="nil"/>
              <w:bottom w:val="nil"/>
              <w:right w:val="nil"/>
            </w:tcBorders>
            <w:shd w:val="clear" w:color="000000" w:fill="FFFFFF"/>
            <w:noWrap/>
            <w:vAlign w:val="bottom"/>
            <w:hideMark/>
          </w:tcPr>
          <w:p w14:paraId="0E064E4C" w14:textId="77777777" w:rsidR="001B6918" w:rsidRPr="00E21531" w:rsidRDefault="001B6918" w:rsidP="00730ECF">
            <w:pPr>
              <w:jc w:val="right"/>
              <w:rPr>
                <w:rFonts w:ascii="Calibri" w:eastAsia="Times New Roman" w:hAnsi="Calibri" w:cs="Calibri"/>
                <w:color w:val="FF0000"/>
                <w:sz w:val="20"/>
                <w:szCs w:val="20"/>
              </w:rPr>
            </w:pPr>
            <w:r w:rsidRPr="00E21531">
              <w:rPr>
                <w:rFonts w:ascii="Calibri" w:eastAsia="Times New Roman" w:hAnsi="Calibri" w:cs="Calibri"/>
                <w:color w:val="FF0000"/>
                <w:sz w:val="20"/>
                <w:szCs w:val="20"/>
              </w:rPr>
              <w:t> </w:t>
            </w:r>
          </w:p>
        </w:tc>
        <w:tc>
          <w:tcPr>
            <w:tcW w:w="1005" w:type="dxa"/>
            <w:tcBorders>
              <w:top w:val="nil"/>
              <w:left w:val="nil"/>
              <w:bottom w:val="nil"/>
              <w:right w:val="nil"/>
            </w:tcBorders>
            <w:shd w:val="clear" w:color="000000" w:fill="FFFFFF"/>
            <w:noWrap/>
            <w:vAlign w:val="bottom"/>
            <w:hideMark/>
          </w:tcPr>
          <w:p w14:paraId="22F68357" w14:textId="77777777" w:rsidR="001B6918" w:rsidRPr="00E21531" w:rsidRDefault="001B6918" w:rsidP="00730ECF">
            <w:pPr>
              <w:rPr>
                <w:rFonts w:ascii="Calibri" w:eastAsia="Times New Roman" w:hAnsi="Calibri" w:cs="Calibri"/>
                <w:sz w:val="20"/>
                <w:szCs w:val="20"/>
              </w:rPr>
            </w:pPr>
            <w:r w:rsidRPr="00E21531">
              <w:rPr>
                <w:rFonts w:ascii="Calibri" w:eastAsia="Times New Roman" w:hAnsi="Calibri" w:cs="Calibri"/>
                <w:sz w:val="20"/>
                <w:szCs w:val="20"/>
              </w:rPr>
              <w:t> </w:t>
            </w:r>
          </w:p>
        </w:tc>
        <w:tc>
          <w:tcPr>
            <w:tcW w:w="1372" w:type="dxa"/>
            <w:tcBorders>
              <w:top w:val="nil"/>
              <w:left w:val="nil"/>
              <w:bottom w:val="nil"/>
              <w:right w:val="nil"/>
            </w:tcBorders>
            <w:shd w:val="clear" w:color="000000" w:fill="FFFFFF"/>
            <w:noWrap/>
            <w:vAlign w:val="bottom"/>
            <w:hideMark/>
          </w:tcPr>
          <w:p w14:paraId="66197041" w14:textId="77777777" w:rsidR="001B6918" w:rsidRPr="00E21531" w:rsidRDefault="001B6918" w:rsidP="00730ECF">
            <w:pPr>
              <w:rPr>
                <w:rFonts w:ascii="Calibri" w:eastAsia="Times New Roman" w:hAnsi="Calibri" w:cs="Calibri"/>
                <w:sz w:val="20"/>
                <w:szCs w:val="20"/>
              </w:rPr>
            </w:pPr>
            <w:r w:rsidRPr="00E21531">
              <w:rPr>
                <w:rFonts w:ascii="Calibri" w:eastAsia="Times New Roman" w:hAnsi="Calibri" w:cs="Calibri"/>
                <w:sz w:val="20"/>
                <w:szCs w:val="20"/>
              </w:rPr>
              <w:t> </w:t>
            </w:r>
          </w:p>
        </w:tc>
        <w:tc>
          <w:tcPr>
            <w:tcW w:w="2459" w:type="dxa"/>
            <w:tcBorders>
              <w:top w:val="nil"/>
              <w:left w:val="nil"/>
              <w:bottom w:val="nil"/>
              <w:right w:val="nil"/>
            </w:tcBorders>
            <w:shd w:val="clear" w:color="000000" w:fill="FFFFFF"/>
            <w:noWrap/>
            <w:vAlign w:val="bottom"/>
            <w:hideMark/>
          </w:tcPr>
          <w:p w14:paraId="78F44AAC" w14:textId="77777777" w:rsidR="001B6918" w:rsidRPr="00E21531" w:rsidRDefault="001B6918" w:rsidP="00730ECF">
            <w:pPr>
              <w:rPr>
                <w:rFonts w:ascii="Calibri" w:eastAsia="Times New Roman" w:hAnsi="Calibri" w:cs="Calibri"/>
                <w:sz w:val="20"/>
                <w:szCs w:val="20"/>
              </w:rPr>
            </w:pPr>
            <w:r w:rsidRPr="00E21531">
              <w:rPr>
                <w:rFonts w:ascii="Calibri" w:eastAsia="Times New Roman" w:hAnsi="Calibri" w:cs="Calibri"/>
                <w:sz w:val="20"/>
                <w:szCs w:val="20"/>
              </w:rPr>
              <w:t> </w:t>
            </w:r>
          </w:p>
        </w:tc>
      </w:tr>
      <w:tr w:rsidR="001B6918" w:rsidRPr="00E21531" w14:paraId="2E8371CA" w14:textId="77777777" w:rsidTr="00730ECF">
        <w:trPr>
          <w:trHeight w:val="82"/>
          <w:jc w:val="center"/>
        </w:trPr>
        <w:tc>
          <w:tcPr>
            <w:tcW w:w="4890" w:type="dxa"/>
            <w:tcBorders>
              <w:top w:val="nil"/>
              <w:left w:val="nil"/>
              <w:bottom w:val="nil"/>
              <w:right w:val="nil"/>
            </w:tcBorders>
            <w:shd w:val="clear" w:color="000000" w:fill="FFFFFF"/>
            <w:noWrap/>
            <w:vAlign w:val="bottom"/>
            <w:hideMark/>
          </w:tcPr>
          <w:p w14:paraId="3FC11453" w14:textId="77777777" w:rsidR="001B6918" w:rsidRPr="00E21531" w:rsidRDefault="001B6918" w:rsidP="00730ECF">
            <w:pPr>
              <w:ind w:firstLineChars="200" w:firstLine="400"/>
              <w:rPr>
                <w:rFonts w:ascii="Calibri" w:eastAsia="Times New Roman" w:hAnsi="Calibri" w:cs="Calibri"/>
                <w:color w:val="000000"/>
                <w:sz w:val="20"/>
                <w:szCs w:val="20"/>
              </w:rPr>
            </w:pPr>
            <w:r w:rsidRPr="00E21531">
              <w:rPr>
                <w:rFonts w:ascii="Calibri" w:eastAsia="Times New Roman" w:hAnsi="Calibri" w:cs="Calibri"/>
                <w:color w:val="000000"/>
                <w:sz w:val="20"/>
                <w:szCs w:val="20"/>
              </w:rPr>
              <w:t>Equities:</w:t>
            </w:r>
          </w:p>
        </w:tc>
        <w:tc>
          <w:tcPr>
            <w:tcW w:w="1115" w:type="dxa"/>
            <w:tcBorders>
              <w:top w:val="nil"/>
              <w:left w:val="nil"/>
              <w:bottom w:val="nil"/>
              <w:right w:val="nil"/>
            </w:tcBorders>
            <w:shd w:val="clear" w:color="000000" w:fill="FFFFFF"/>
            <w:noWrap/>
            <w:vAlign w:val="bottom"/>
            <w:hideMark/>
          </w:tcPr>
          <w:p w14:paraId="6D359974" w14:textId="77777777" w:rsidR="001B6918" w:rsidRPr="00E21531" w:rsidRDefault="001B6918" w:rsidP="00730ECF">
            <w:pPr>
              <w:jc w:val="right"/>
              <w:rPr>
                <w:rFonts w:ascii="Calibri" w:eastAsia="Times New Roman" w:hAnsi="Calibri" w:cs="Calibri"/>
                <w:color w:val="FF0000"/>
                <w:sz w:val="20"/>
                <w:szCs w:val="20"/>
              </w:rPr>
            </w:pPr>
            <w:r w:rsidRPr="00E21531">
              <w:rPr>
                <w:rFonts w:ascii="Calibri" w:eastAsia="Times New Roman" w:hAnsi="Calibri" w:cs="Calibri"/>
                <w:color w:val="FF0000"/>
                <w:sz w:val="20"/>
                <w:szCs w:val="20"/>
              </w:rPr>
              <w:t> </w:t>
            </w:r>
          </w:p>
        </w:tc>
        <w:tc>
          <w:tcPr>
            <w:tcW w:w="1115" w:type="dxa"/>
            <w:tcBorders>
              <w:top w:val="nil"/>
              <w:left w:val="nil"/>
              <w:bottom w:val="nil"/>
              <w:right w:val="nil"/>
            </w:tcBorders>
            <w:shd w:val="clear" w:color="000000" w:fill="FFFFFF"/>
            <w:noWrap/>
            <w:vAlign w:val="bottom"/>
            <w:hideMark/>
          </w:tcPr>
          <w:p w14:paraId="3C4CE729" w14:textId="77777777" w:rsidR="001B6918" w:rsidRPr="00E21531" w:rsidRDefault="001B6918" w:rsidP="00730ECF">
            <w:pPr>
              <w:jc w:val="right"/>
              <w:rPr>
                <w:rFonts w:ascii="Calibri" w:eastAsia="Times New Roman" w:hAnsi="Calibri" w:cs="Calibri"/>
                <w:color w:val="FF0000"/>
                <w:sz w:val="20"/>
                <w:szCs w:val="20"/>
              </w:rPr>
            </w:pPr>
            <w:r w:rsidRPr="00E21531">
              <w:rPr>
                <w:rFonts w:ascii="Calibri" w:eastAsia="Times New Roman" w:hAnsi="Calibri" w:cs="Calibri"/>
                <w:color w:val="FF0000"/>
                <w:sz w:val="20"/>
                <w:szCs w:val="20"/>
              </w:rPr>
              <w:t> </w:t>
            </w:r>
          </w:p>
        </w:tc>
        <w:tc>
          <w:tcPr>
            <w:tcW w:w="1053" w:type="dxa"/>
            <w:tcBorders>
              <w:top w:val="nil"/>
              <w:left w:val="nil"/>
              <w:bottom w:val="nil"/>
              <w:right w:val="nil"/>
            </w:tcBorders>
            <w:shd w:val="clear" w:color="000000" w:fill="FFFFFF"/>
            <w:noWrap/>
            <w:vAlign w:val="bottom"/>
            <w:hideMark/>
          </w:tcPr>
          <w:p w14:paraId="6D4CD8A6" w14:textId="77777777" w:rsidR="001B6918" w:rsidRPr="00E21531" w:rsidRDefault="001B6918" w:rsidP="00730ECF">
            <w:pPr>
              <w:jc w:val="right"/>
              <w:rPr>
                <w:rFonts w:ascii="Calibri" w:eastAsia="Times New Roman" w:hAnsi="Calibri" w:cs="Calibri"/>
                <w:color w:val="FF0000"/>
                <w:sz w:val="20"/>
                <w:szCs w:val="20"/>
              </w:rPr>
            </w:pPr>
            <w:r w:rsidRPr="00E21531">
              <w:rPr>
                <w:rFonts w:ascii="Calibri" w:eastAsia="Times New Roman" w:hAnsi="Calibri" w:cs="Calibri"/>
                <w:color w:val="FF0000"/>
                <w:sz w:val="20"/>
                <w:szCs w:val="20"/>
              </w:rPr>
              <w:t> </w:t>
            </w:r>
          </w:p>
        </w:tc>
        <w:tc>
          <w:tcPr>
            <w:tcW w:w="857" w:type="dxa"/>
            <w:tcBorders>
              <w:top w:val="nil"/>
              <w:left w:val="nil"/>
              <w:bottom w:val="nil"/>
              <w:right w:val="nil"/>
            </w:tcBorders>
            <w:shd w:val="clear" w:color="000000" w:fill="FFFFFF"/>
            <w:noWrap/>
            <w:vAlign w:val="bottom"/>
            <w:hideMark/>
          </w:tcPr>
          <w:p w14:paraId="38204075" w14:textId="77777777" w:rsidR="001B6918" w:rsidRPr="00E21531" w:rsidRDefault="001B6918" w:rsidP="00730ECF">
            <w:pPr>
              <w:jc w:val="right"/>
              <w:rPr>
                <w:rFonts w:ascii="Calibri" w:eastAsia="Times New Roman" w:hAnsi="Calibri" w:cs="Calibri"/>
                <w:color w:val="FF0000"/>
                <w:sz w:val="20"/>
                <w:szCs w:val="20"/>
              </w:rPr>
            </w:pPr>
            <w:r w:rsidRPr="00E21531">
              <w:rPr>
                <w:rFonts w:ascii="Calibri" w:eastAsia="Times New Roman" w:hAnsi="Calibri" w:cs="Calibri"/>
                <w:color w:val="FF0000"/>
                <w:sz w:val="20"/>
                <w:szCs w:val="20"/>
              </w:rPr>
              <w:t> </w:t>
            </w:r>
          </w:p>
        </w:tc>
        <w:tc>
          <w:tcPr>
            <w:tcW w:w="1005" w:type="dxa"/>
            <w:tcBorders>
              <w:top w:val="nil"/>
              <w:left w:val="nil"/>
              <w:bottom w:val="nil"/>
              <w:right w:val="nil"/>
            </w:tcBorders>
            <w:shd w:val="clear" w:color="000000" w:fill="FFFFFF"/>
            <w:noWrap/>
            <w:vAlign w:val="bottom"/>
            <w:hideMark/>
          </w:tcPr>
          <w:p w14:paraId="48558E90" w14:textId="77777777" w:rsidR="001B6918" w:rsidRPr="00E21531" w:rsidRDefault="001B6918" w:rsidP="00730ECF">
            <w:pPr>
              <w:rPr>
                <w:rFonts w:ascii="Calibri" w:eastAsia="Times New Roman" w:hAnsi="Calibri" w:cs="Calibri"/>
                <w:sz w:val="20"/>
                <w:szCs w:val="20"/>
              </w:rPr>
            </w:pPr>
            <w:r w:rsidRPr="00E21531">
              <w:rPr>
                <w:rFonts w:ascii="Calibri" w:eastAsia="Times New Roman" w:hAnsi="Calibri" w:cs="Calibri"/>
                <w:sz w:val="20"/>
                <w:szCs w:val="20"/>
              </w:rPr>
              <w:t> </w:t>
            </w:r>
          </w:p>
        </w:tc>
        <w:tc>
          <w:tcPr>
            <w:tcW w:w="1372" w:type="dxa"/>
            <w:tcBorders>
              <w:top w:val="nil"/>
              <w:left w:val="nil"/>
              <w:bottom w:val="nil"/>
              <w:right w:val="nil"/>
            </w:tcBorders>
            <w:shd w:val="clear" w:color="000000" w:fill="FFFFFF"/>
            <w:noWrap/>
            <w:vAlign w:val="bottom"/>
            <w:hideMark/>
          </w:tcPr>
          <w:p w14:paraId="154AFDC9" w14:textId="77777777" w:rsidR="001B6918" w:rsidRPr="00E21531" w:rsidRDefault="001B6918" w:rsidP="00730ECF">
            <w:pPr>
              <w:rPr>
                <w:rFonts w:ascii="Calibri" w:eastAsia="Times New Roman" w:hAnsi="Calibri" w:cs="Calibri"/>
                <w:sz w:val="20"/>
                <w:szCs w:val="20"/>
              </w:rPr>
            </w:pPr>
            <w:r w:rsidRPr="00E21531">
              <w:rPr>
                <w:rFonts w:ascii="Calibri" w:eastAsia="Times New Roman" w:hAnsi="Calibri" w:cs="Calibri"/>
                <w:sz w:val="20"/>
                <w:szCs w:val="20"/>
              </w:rPr>
              <w:t> </w:t>
            </w:r>
          </w:p>
        </w:tc>
        <w:tc>
          <w:tcPr>
            <w:tcW w:w="2459" w:type="dxa"/>
            <w:tcBorders>
              <w:top w:val="nil"/>
              <w:left w:val="nil"/>
              <w:bottom w:val="nil"/>
              <w:right w:val="nil"/>
            </w:tcBorders>
            <w:shd w:val="clear" w:color="000000" w:fill="FFFFFF"/>
            <w:noWrap/>
            <w:vAlign w:val="bottom"/>
            <w:hideMark/>
          </w:tcPr>
          <w:p w14:paraId="78F6C8D4" w14:textId="77777777" w:rsidR="001B6918" w:rsidRPr="00E21531" w:rsidRDefault="001B6918" w:rsidP="00730ECF">
            <w:pPr>
              <w:rPr>
                <w:rFonts w:ascii="Calibri" w:eastAsia="Times New Roman" w:hAnsi="Calibri" w:cs="Calibri"/>
                <w:sz w:val="20"/>
                <w:szCs w:val="20"/>
              </w:rPr>
            </w:pPr>
            <w:r w:rsidRPr="00E21531">
              <w:rPr>
                <w:rFonts w:ascii="Calibri" w:eastAsia="Times New Roman" w:hAnsi="Calibri" w:cs="Calibri"/>
                <w:sz w:val="20"/>
                <w:szCs w:val="20"/>
              </w:rPr>
              <w:t> </w:t>
            </w:r>
          </w:p>
        </w:tc>
      </w:tr>
      <w:tr w:rsidR="001B6918" w:rsidRPr="00E21531" w14:paraId="0BEBA206" w14:textId="77777777" w:rsidTr="00730ECF">
        <w:trPr>
          <w:trHeight w:val="82"/>
          <w:jc w:val="center"/>
        </w:trPr>
        <w:tc>
          <w:tcPr>
            <w:tcW w:w="4890" w:type="dxa"/>
            <w:tcBorders>
              <w:top w:val="nil"/>
              <w:left w:val="nil"/>
              <w:bottom w:val="nil"/>
              <w:right w:val="nil"/>
            </w:tcBorders>
            <w:shd w:val="clear" w:color="000000" w:fill="FFFFFF"/>
            <w:noWrap/>
            <w:vAlign w:val="bottom"/>
            <w:hideMark/>
          </w:tcPr>
          <w:p w14:paraId="03B12721" w14:textId="77777777" w:rsidR="001B6918" w:rsidRPr="00E21531" w:rsidRDefault="001B6918" w:rsidP="00730ECF">
            <w:pPr>
              <w:ind w:firstLineChars="300" w:firstLine="600"/>
              <w:rPr>
                <w:rFonts w:ascii="Calibri" w:eastAsia="Times New Roman" w:hAnsi="Calibri" w:cs="Calibri"/>
                <w:color w:val="000000"/>
                <w:sz w:val="20"/>
                <w:szCs w:val="20"/>
              </w:rPr>
            </w:pPr>
            <w:r w:rsidRPr="00E21531">
              <w:rPr>
                <w:rFonts w:ascii="Calibri" w:eastAsia="Times New Roman" w:hAnsi="Calibri" w:cs="Calibri"/>
                <w:color w:val="000000"/>
                <w:sz w:val="20"/>
                <w:szCs w:val="20"/>
              </w:rPr>
              <w:t>Equity securities</w:t>
            </w:r>
          </w:p>
        </w:tc>
        <w:tc>
          <w:tcPr>
            <w:tcW w:w="1115" w:type="dxa"/>
            <w:tcBorders>
              <w:top w:val="nil"/>
              <w:left w:val="nil"/>
              <w:bottom w:val="nil"/>
              <w:right w:val="nil"/>
            </w:tcBorders>
            <w:shd w:val="clear" w:color="000000" w:fill="FFFFFF"/>
            <w:noWrap/>
            <w:vAlign w:val="bottom"/>
          </w:tcPr>
          <w:p w14:paraId="3E36E12C"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   10,013</w:t>
            </w:r>
          </w:p>
        </w:tc>
        <w:tc>
          <w:tcPr>
            <w:tcW w:w="1115" w:type="dxa"/>
            <w:tcBorders>
              <w:top w:val="nil"/>
              <w:left w:val="nil"/>
              <w:bottom w:val="nil"/>
              <w:right w:val="nil"/>
            </w:tcBorders>
            <w:shd w:val="clear" w:color="000000" w:fill="FFFFFF"/>
            <w:noWrap/>
            <w:vAlign w:val="bottom"/>
          </w:tcPr>
          <w:p w14:paraId="5A693A10"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   10,013</w:t>
            </w:r>
          </w:p>
        </w:tc>
        <w:tc>
          <w:tcPr>
            <w:tcW w:w="1053" w:type="dxa"/>
            <w:tcBorders>
              <w:top w:val="nil"/>
              <w:left w:val="nil"/>
              <w:bottom w:val="nil"/>
              <w:right w:val="nil"/>
            </w:tcBorders>
            <w:shd w:val="clear" w:color="000000" w:fill="FFFFFF"/>
            <w:noWrap/>
            <w:vAlign w:val="bottom"/>
          </w:tcPr>
          <w:p w14:paraId="11E552EE"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              -</w:t>
            </w:r>
          </w:p>
        </w:tc>
        <w:tc>
          <w:tcPr>
            <w:tcW w:w="857" w:type="dxa"/>
            <w:tcBorders>
              <w:top w:val="nil"/>
              <w:left w:val="nil"/>
              <w:bottom w:val="nil"/>
              <w:right w:val="nil"/>
            </w:tcBorders>
            <w:shd w:val="clear" w:color="000000" w:fill="FFFFFF"/>
            <w:noWrap/>
            <w:vAlign w:val="bottom"/>
          </w:tcPr>
          <w:p w14:paraId="25AB2325"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          -</w:t>
            </w:r>
          </w:p>
        </w:tc>
        <w:tc>
          <w:tcPr>
            <w:tcW w:w="1005" w:type="dxa"/>
            <w:tcBorders>
              <w:top w:val="nil"/>
              <w:left w:val="nil"/>
              <w:bottom w:val="nil"/>
              <w:right w:val="nil"/>
            </w:tcBorders>
            <w:shd w:val="clear" w:color="000000" w:fill="FFFFFF"/>
            <w:noWrap/>
            <w:vAlign w:val="bottom"/>
            <w:hideMark/>
          </w:tcPr>
          <w:p w14:paraId="316FFC23" w14:textId="77777777" w:rsidR="001B6918" w:rsidRPr="00983460" w:rsidRDefault="001B6918" w:rsidP="00730ECF">
            <w:pPr>
              <w:rPr>
                <w:rFonts w:ascii="Calibri" w:eastAsia="Times New Roman" w:hAnsi="Calibri" w:cs="Calibri"/>
                <w:sz w:val="20"/>
                <w:szCs w:val="20"/>
              </w:rPr>
            </w:pPr>
            <w:r w:rsidRPr="00983460">
              <w:rPr>
                <w:rFonts w:ascii="Calibri" w:eastAsia="Times New Roman" w:hAnsi="Calibri" w:cs="Calibri"/>
                <w:sz w:val="20"/>
                <w:szCs w:val="20"/>
              </w:rPr>
              <w:t> </w:t>
            </w:r>
          </w:p>
        </w:tc>
        <w:tc>
          <w:tcPr>
            <w:tcW w:w="1372" w:type="dxa"/>
            <w:tcBorders>
              <w:top w:val="nil"/>
              <w:left w:val="nil"/>
              <w:bottom w:val="nil"/>
              <w:right w:val="nil"/>
            </w:tcBorders>
            <w:shd w:val="clear" w:color="000000" w:fill="FFFFFF"/>
            <w:noWrap/>
            <w:vAlign w:val="bottom"/>
            <w:hideMark/>
          </w:tcPr>
          <w:p w14:paraId="30289F4F" w14:textId="77777777" w:rsidR="001B6918" w:rsidRPr="00983460" w:rsidRDefault="001B6918" w:rsidP="00730ECF">
            <w:pPr>
              <w:rPr>
                <w:rFonts w:ascii="Calibri" w:eastAsia="Times New Roman" w:hAnsi="Calibri" w:cs="Calibri"/>
                <w:sz w:val="20"/>
                <w:szCs w:val="20"/>
              </w:rPr>
            </w:pPr>
            <w:r w:rsidRPr="00983460">
              <w:rPr>
                <w:rFonts w:ascii="Calibri" w:eastAsia="Times New Roman" w:hAnsi="Calibri" w:cs="Calibri"/>
                <w:sz w:val="20"/>
                <w:szCs w:val="20"/>
              </w:rPr>
              <w:t> </w:t>
            </w:r>
          </w:p>
        </w:tc>
        <w:tc>
          <w:tcPr>
            <w:tcW w:w="2459" w:type="dxa"/>
            <w:tcBorders>
              <w:top w:val="nil"/>
              <w:left w:val="nil"/>
              <w:bottom w:val="nil"/>
              <w:right w:val="nil"/>
            </w:tcBorders>
            <w:shd w:val="clear" w:color="000000" w:fill="FFFFFF"/>
            <w:noWrap/>
            <w:vAlign w:val="bottom"/>
            <w:hideMark/>
          </w:tcPr>
          <w:p w14:paraId="21747650" w14:textId="77777777" w:rsidR="001B6918" w:rsidRPr="00983460" w:rsidRDefault="001B6918" w:rsidP="00730ECF">
            <w:pPr>
              <w:rPr>
                <w:rFonts w:ascii="Calibri" w:eastAsia="Times New Roman" w:hAnsi="Calibri" w:cs="Calibri"/>
                <w:sz w:val="20"/>
                <w:szCs w:val="20"/>
              </w:rPr>
            </w:pPr>
            <w:r w:rsidRPr="00983460">
              <w:rPr>
                <w:rFonts w:ascii="Calibri" w:eastAsia="Times New Roman" w:hAnsi="Calibri" w:cs="Calibri"/>
                <w:sz w:val="20"/>
                <w:szCs w:val="20"/>
              </w:rPr>
              <w:t> </w:t>
            </w:r>
          </w:p>
        </w:tc>
      </w:tr>
      <w:tr w:rsidR="001B6918" w:rsidRPr="00E21531" w14:paraId="096E89AB" w14:textId="77777777" w:rsidTr="00730ECF">
        <w:trPr>
          <w:trHeight w:val="82"/>
          <w:jc w:val="center"/>
        </w:trPr>
        <w:tc>
          <w:tcPr>
            <w:tcW w:w="4890" w:type="dxa"/>
            <w:tcBorders>
              <w:top w:val="nil"/>
              <w:left w:val="nil"/>
              <w:bottom w:val="nil"/>
              <w:right w:val="nil"/>
            </w:tcBorders>
            <w:shd w:val="clear" w:color="000000" w:fill="FFFFFF"/>
            <w:noWrap/>
            <w:vAlign w:val="bottom"/>
            <w:hideMark/>
          </w:tcPr>
          <w:p w14:paraId="69B3742D" w14:textId="77777777" w:rsidR="001B6918" w:rsidRPr="00E21531" w:rsidRDefault="001B6918" w:rsidP="00730ECF">
            <w:pPr>
              <w:ind w:firstLineChars="300" w:firstLine="600"/>
              <w:rPr>
                <w:rFonts w:ascii="Calibri" w:eastAsia="Times New Roman" w:hAnsi="Calibri" w:cs="Calibri"/>
                <w:color w:val="000000"/>
                <w:sz w:val="20"/>
                <w:szCs w:val="20"/>
              </w:rPr>
            </w:pPr>
            <w:r w:rsidRPr="00E21531">
              <w:rPr>
                <w:rFonts w:ascii="Calibri" w:eastAsia="Times New Roman" w:hAnsi="Calibri" w:cs="Calibri"/>
                <w:color w:val="000000"/>
                <w:sz w:val="20"/>
                <w:szCs w:val="20"/>
              </w:rPr>
              <w:t>Equity funds</w:t>
            </w:r>
          </w:p>
        </w:tc>
        <w:tc>
          <w:tcPr>
            <w:tcW w:w="1115" w:type="dxa"/>
            <w:tcBorders>
              <w:top w:val="nil"/>
              <w:left w:val="nil"/>
              <w:bottom w:val="nil"/>
              <w:right w:val="nil"/>
            </w:tcBorders>
            <w:shd w:val="clear" w:color="000000" w:fill="FFFFFF"/>
            <w:noWrap/>
            <w:vAlign w:val="bottom"/>
          </w:tcPr>
          <w:p w14:paraId="247CE4CD"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130,575</w:t>
            </w:r>
          </w:p>
        </w:tc>
        <w:tc>
          <w:tcPr>
            <w:tcW w:w="1115" w:type="dxa"/>
            <w:tcBorders>
              <w:top w:val="nil"/>
              <w:left w:val="nil"/>
              <w:bottom w:val="nil"/>
              <w:right w:val="nil"/>
            </w:tcBorders>
            <w:shd w:val="clear" w:color="000000" w:fill="FFFFFF"/>
            <w:noWrap/>
            <w:vAlign w:val="bottom"/>
          </w:tcPr>
          <w:p w14:paraId="66624903"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11,978</w:t>
            </w:r>
          </w:p>
        </w:tc>
        <w:tc>
          <w:tcPr>
            <w:tcW w:w="1053" w:type="dxa"/>
            <w:tcBorders>
              <w:top w:val="nil"/>
              <w:left w:val="nil"/>
              <w:bottom w:val="nil"/>
              <w:right w:val="nil"/>
            </w:tcBorders>
            <w:shd w:val="clear" w:color="000000" w:fill="FFFFFF"/>
            <w:noWrap/>
            <w:vAlign w:val="bottom"/>
          </w:tcPr>
          <w:p w14:paraId="6397EF4D"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118,597</w:t>
            </w:r>
          </w:p>
        </w:tc>
        <w:tc>
          <w:tcPr>
            <w:tcW w:w="857" w:type="dxa"/>
            <w:tcBorders>
              <w:top w:val="nil"/>
              <w:left w:val="nil"/>
              <w:bottom w:val="nil"/>
              <w:right w:val="nil"/>
            </w:tcBorders>
            <w:shd w:val="clear" w:color="000000" w:fill="FFFFFF"/>
            <w:noWrap/>
            <w:vAlign w:val="bottom"/>
          </w:tcPr>
          <w:p w14:paraId="56C43670"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w:t>
            </w:r>
          </w:p>
        </w:tc>
        <w:tc>
          <w:tcPr>
            <w:tcW w:w="1005" w:type="dxa"/>
            <w:tcBorders>
              <w:top w:val="nil"/>
              <w:left w:val="nil"/>
              <w:bottom w:val="nil"/>
              <w:right w:val="nil"/>
            </w:tcBorders>
            <w:shd w:val="clear" w:color="000000" w:fill="FFFFFF"/>
            <w:noWrap/>
            <w:vAlign w:val="bottom"/>
            <w:hideMark/>
          </w:tcPr>
          <w:p w14:paraId="40693BE2" w14:textId="77777777" w:rsidR="001B6918" w:rsidRPr="00983460" w:rsidRDefault="001B6918" w:rsidP="00730ECF">
            <w:pPr>
              <w:rPr>
                <w:rFonts w:ascii="Calibri" w:eastAsia="Times New Roman" w:hAnsi="Calibri" w:cs="Calibri"/>
                <w:sz w:val="20"/>
                <w:szCs w:val="20"/>
              </w:rPr>
            </w:pPr>
            <w:r w:rsidRPr="00983460">
              <w:rPr>
                <w:rFonts w:ascii="Calibri" w:eastAsia="Times New Roman" w:hAnsi="Calibri" w:cs="Calibri"/>
                <w:sz w:val="20"/>
                <w:szCs w:val="20"/>
              </w:rPr>
              <w:t> </w:t>
            </w:r>
          </w:p>
        </w:tc>
        <w:tc>
          <w:tcPr>
            <w:tcW w:w="1372" w:type="dxa"/>
            <w:tcBorders>
              <w:top w:val="nil"/>
              <w:left w:val="nil"/>
              <w:bottom w:val="nil"/>
              <w:right w:val="nil"/>
            </w:tcBorders>
            <w:shd w:val="clear" w:color="000000" w:fill="FFFFFF"/>
            <w:noWrap/>
            <w:vAlign w:val="bottom"/>
            <w:hideMark/>
          </w:tcPr>
          <w:p w14:paraId="202B14BC" w14:textId="77777777" w:rsidR="001B6918" w:rsidRPr="00983460" w:rsidRDefault="001B6918" w:rsidP="00730ECF">
            <w:pPr>
              <w:rPr>
                <w:rFonts w:ascii="Calibri" w:eastAsia="Times New Roman" w:hAnsi="Calibri" w:cs="Calibri"/>
                <w:sz w:val="20"/>
                <w:szCs w:val="20"/>
              </w:rPr>
            </w:pPr>
            <w:r w:rsidRPr="00983460">
              <w:rPr>
                <w:rFonts w:ascii="Calibri" w:eastAsia="Times New Roman" w:hAnsi="Calibri" w:cs="Calibri"/>
                <w:sz w:val="20"/>
                <w:szCs w:val="20"/>
              </w:rPr>
              <w:t> </w:t>
            </w:r>
          </w:p>
        </w:tc>
        <w:tc>
          <w:tcPr>
            <w:tcW w:w="2459" w:type="dxa"/>
            <w:tcBorders>
              <w:top w:val="nil"/>
              <w:left w:val="nil"/>
              <w:bottom w:val="nil"/>
              <w:right w:val="nil"/>
            </w:tcBorders>
            <w:shd w:val="clear" w:color="000000" w:fill="FFFFFF"/>
            <w:noWrap/>
            <w:vAlign w:val="bottom"/>
            <w:hideMark/>
          </w:tcPr>
          <w:p w14:paraId="2FC73CA6" w14:textId="77777777" w:rsidR="001B6918" w:rsidRPr="00983460" w:rsidRDefault="001B6918" w:rsidP="00730ECF">
            <w:pPr>
              <w:rPr>
                <w:rFonts w:ascii="Calibri" w:eastAsia="Times New Roman" w:hAnsi="Calibri" w:cs="Calibri"/>
                <w:sz w:val="20"/>
                <w:szCs w:val="20"/>
              </w:rPr>
            </w:pPr>
            <w:r w:rsidRPr="00983460">
              <w:rPr>
                <w:rFonts w:ascii="Calibri" w:eastAsia="Times New Roman" w:hAnsi="Calibri" w:cs="Calibri"/>
                <w:sz w:val="20"/>
                <w:szCs w:val="20"/>
              </w:rPr>
              <w:t> </w:t>
            </w:r>
          </w:p>
        </w:tc>
      </w:tr>
      <w:tr w:rsidR="001B6918" w:rsidRPr="00E21531" w14:paraId="1A6D5717" w14:textId="77777777" w:rsidTr="00730ECF">
        <w:trPr>
          <w:trHeight w:val="157"/>
          <w:jc w:val="center"/>
        </w:trPr>
        <w:tc>
          <w:tcPr>
            <w:tcW w:w="4890" w:type="dxa"/>
            <w:tcBorders>
              <w:top w:val="nil"/>
              <w:left w:val="nil"/>
              <w:bottom w:val="nil"/>
              <w:right w:val="nil"/>
            </w:tcBorders>
            <w:shd w:val="clear" w:color="000000" w:fill="FFFFFF"/>
            <w:noWrap/>
            <w:vAlign w:val="bottom"/>
            <w:hideMark/>
          </w:tcPr>
          <w:p w14:paraId="70A42508" w14:textId="77777777" w:rsidR="001B6918" w:rsidRPr="00E21531" w:rsidRDefault="001B6918" w:rsidP="00730ECF">
            <w:pPr>
              <w:ind w:firstLineChars="300" w:firstLine="600"/>
              <w:rPr>
                <w:rFonts w:ascii="Calibri" w:eastAsia="Times New Roman" w:hAnsi="Calibri" w:cs="Calibri"/>
                <w:color w:val="000000"/>
                <w:sz w:val="20"/>
                <w:szCs w:val="20"/>
              </w:rPr>
            </w:pPr>
            <w:r w:rsidRPr="00E21531">
              <w:rPr>
                <w:rFonts w:ascii="Calibri" w:eastAsia="Times New Roman" w:hAnsi="Calibri" w:cs="Calibri"/>
                <w:color w:val="000000"/>
                <w:sz w:val="20"/>
                <w:szCs w:val="20"/>
              </w:rPr>
              <w:t>Multi-strategy funds</w:t>
            </w:r>
          </w:p>
        </w:tc>
        <w:tc>
          <w:tcPr>
            <w:tcW w:w="1115" w:type="dxa"/>
            <w:tcBorders>
              <w:top w:val="nil"/>
              <w:left w:val="nil"/>
              <w:bottom w:val="nil"/>
              <w:right w:val="nil"/>
            </w:tcBorders>
            <w:shd w:val="clear" w:color="000000" w:fill="FFFFFF"/>
            <w:noWrap/>
            <w:vAlign w:val="bottom"/>
          </w:tcPr>
          <w:p w14:paraId="642DA1C9"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31,469</w:t>
            </w:r>
          </w:p>
        </w:tc>
        <w:tc>
          <w:tcPr>
            <w:tcW w:w="1115" w:type="dxa"/>
            <w:tcBorders>
              <w:top w:val="nil"/>
              <w:left w:val="nil"/>
              <w:bottom w:val="nil"/>
              <w:right w:val="nil"/>
            </w:tcBorders>
            <w:shd w:val="clear" w:color="000000" w:fill="FFFFFF"/>
            <w:noWrap/>
            <w:vAlign w:val="bottom"/>
          </w:tcPr>
          <w:p w14:paraId="45A47BDA"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31,469</w:t>
            </w:r>
          </w:p>
        </w:tc>
        <w:tc>
          <w:tcPr>
            <w:tcW w:w="1053" w:type="dxa"/>
            <w:tcBorders>
              <w:top w:val="nil"/>
              <w:left w:val="nil"/>
              <w:bottom w:val="nil"/>
              <w:right w:val="nil"/>
            </w:tcBorders>
            <w:shd w:val="clear" w:color="000000" w:fill="FFFFFF"/>
            <w:noWrap/>
            <w:vAlign w:val="bottom"/>
          </w:tcPr>
          <w:p w14:paraId="5230403F"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w:t>
            </w:r>
          </w:p>
        </w:tc>
        <w:tc>
          <w:tcPr>
            <w:tcW w:w="857" w:type="dxa"/>
            <w:tcBorders>
              <w:top w:val="nil"/>
              <w:left w:val="nil"/>
              <w:bottom w:val="nil"/>
              <w:right w:val="nil"/>
            </w:tcBorders>
            <w:shd w:val="clear" w:color="000000" w:fill="FFFFFF"/>
            <w:noWrap/>
            <w:vAlign w:val="bottom"/>
          </w:tcPr>
          <w:p w14:paraId="201D99DD"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w:t>
            </w:r>
          </w:p>
        </w:tc>
        <w:tc>
          <w:tcPr>
            <w:tcW w:w="1005" w:type="dxa"/>
            <w:tcBorders>
              <w:top w:val="nil"/>
              <w:left w:val="nil"/>
              <w:bottom w:val="nil"/>
              <w:right w:val="nil"/>
            </w:tcBorders>
            <w:shd w:val="clear" w:color="000000" w:fill="FFFFFF"/>
            <w:noWrap/>
            <w:vAlign w:val="bottom"/>
            <w:hideMark/>
          </w:tcPr>
          <w:p w14:paraId="2AA4791F" w14:textId="77777777" w:rsidR="001B6918" w:rsidRPr="00983460" w:rsidRDefault="001B6918" w:rsidP="00730ECF">
            <w:pPr>
              <w:jc w:val="center"/>
              <w:rPr>
                <w:rFonts w:ascii="Calibri" w:eastAsia="Times New Roman" w:hAnsi="Calibri" w:cs="Calibri"/>
                <w:sz w:val="20"/>
                <w:szCs w:val="20"/>
              </w:rPr>
            </w:pPr>
            <w:r w:rsidRPr="00983460">
              <w:rPr>
                <w:rFonts w:ascii="Calibri" w:eastAsia="Times New Roman" w:hAnsi="Calibri" w:cs="Calibri"/>
                <w:sz w:val="20"/>
                <w:szCs w:val="20"/>
              </w:rPr>
              <w:t xml:space="preserve">Not rated </w:t>
            </w:r>
          </w:p>
        </w:tc>
        <w:tc>
          <w:tcPr>
            <w:tcW w:w="1372" w:type="dxa"/>
            <w:tcBorders>
              <w:top w:val="nil"/>
              <w:left w:val="nil"/>
              <w:bottom w:val="nil"/>
              <w:right w:val="nil"/>
            </w:tcBorders>
            <w:shd w:val="clear" w:color="000000" w:fill="FFFFFF"/>
            <w:noWrap/>
            <w:vAlign w:val="bottom"/>
            <w:hideMark/>
          </w:tcPr>
          <w:p w14:paraId="02C758D5" w14:textId="77777777" w:rsidR="001B6918" w:rsidRPr="00983460" w:rsidRDefault="001B6918" w:rsidP="00730ECF">
            <w:pPr>
              <w:jc w:val="center"/>
              <w:rPr>
                <w:rFonts w:ascii="Calibri" w:eastAsia="Times New Roman" w:hAnsi="Calibri" w:cs="Calibri"/>
                <w:sz w:val="20"/>
                <w:szCs w:val="20"/>
              </w:rPr>
            </w:pPr>
            <w:r w:rsidRPr="00983460">
              <w:rPr>
                <w:rFonts w:ascii="Calibri" w:eastAsia="Times New Roman" w:hAnsi="Calibri" w:cs="Calibri"/>
                <w:sz w:val="20"/>
                <w:szCs w:val="20"/>
              </w:rPr>
              <w:t xml:space="preserve">Not rated </w:t>
            </w:r>
          </w:p>
        </w:tc>
        <w:tc>
          <w:tcPr>
            <w:tcW w:w="2459" w:type="dxa"/>
            <w:tcBorders>
              <w:top w:val="nil"/>
              <w:left w:val="nil"/>
              <w:bottom w:val="nil"/>
              <w:right w:val="nil"/>
            </w:tcBorders>
            <w:shd w:val="clear" w:color="000000" w:fill="FFFFFF"/>
            <w:noWrap/>
            <w:vAlign w:val="bottom"/>
            <w:hideMark/>
          </w:tcPr>
          <w:p w14:paraId="34A78A31" w14:textId="77777777" w:rsidR="001B6918" w:rsidRPr="00983460" w:rsidRDefault="001B6918" w:rsidP="00730ECF">
            <w:pPr>
              <w:rPr>
                <w:rFonts w:ascii="Calibri" w:eastAsia="Times New Roman" w:hAnsi="Calibri" w:cs="Calibri"/>
                <w:sz w:val="20"/>
                <w:szCs w:val="20"/>
              </w:rPr>
            </w:pPr>
            <w:r w:rsidRPr="00983460">
              <w:rPr>
                <w:rFonts w:ascii="Calibri" w:eastAsia="Times New Roman" w:hAnsi="Calibri" w:cs="Calibri"/>
                <w:sz w:val="20"/>
                <w:szCs w:val="20"/>
              </w:rPr>
              <w:t> </w:t>
            </w:r>
          </w:p>
        </w:tc>
      </w:tr>
      <w:tr w:rsidR="001B6918" w:rsidRPr="00E21531" w14:paraId="66D817F5" w14:textId="77777777" w:rsidTr="00730ECF">
        <w:trPr>
          <w:trHeight w:val="92"/>
          <w:jc w:val="center"/>
        </w:trPr>
        <w:tc>
          <w:tcPr>
            <w:tcW w:w="4890" w:type="dxa"/>
            <w:tcBorders>
              <w:top w:val="nil"/>
              <w:left w:val="nil"/>
              <w:bottom w:val="nil"/>
              <w:right w:val="nil"/>
            </w:tcBorders>
            <w:shd w:val="clear" w:color="000000" w:fill="FFFFFF"/>
            <w:noWrap/>
            <w:vAlign w:val="bottom"/>
            <w:hideMark/>
          </w:tcPr>
          <w:p w14:paraId="6FB2DD4D" w14:textId="77777777" w:rsidR="001B6918" w:rsidRPr="00E21531" w:rsidRDefault="001B6918" w:rsidP="00730ECF">
            <w:pPr>
              <w:ind w:firstLineChars="200" w:firstLine="400"/>
              <w:rPr>
                <w:rFonts w:ascii="Calibri" w:eastAsia="Times New Roman" w:hAnsi="Calibri" w:cs="Calibri"/>
                <w:color w:val="000000"/>
                <w:sz w:val="20"/>
                <w:szCs w:val="20"/>
              </w:rPr>
            </w:pPr>
            <w:r w:rsidRPr="00E21531">
              <w:rPr>
                <w:rFonts w:ascii="Calibri" w:eastAsia="Times New Roman" w:hAnsi="Calibri" w:cs="Calibri"/>
                <w:color w:val="000000"/>
                <w:sz w:val="20"/>
                <w:szCs w:val="20"/>
              </w:rPr>
              <w:t>Fixed income funds:</w:t>
            </w:r>
          </w:p>
        </w:tc>
        <w:tc>
          <w:tcPr>
            <w:tcW w:w="1115" w:type="dxa"/>
            <w:tcBorders>
              <w:top w:val="nil"/>
              <w:left w:val="nil"/>
              <w:bottom w:val="nil"/>
              <w:right w:val="nil"/>
            </w:tcBorders>
            <w:shd w:val="clear" w:color="000000" w:fill="FFFFFF"/>
            <w:noWrap/>
            <w:vAlign w:val="bottom"/>
          </w:tcPr>
          <w:p w14:paraId="3BE0CBE8" w14:textId="77777777" w:rsidR="001B6918" w:rsidRPr="00983460" w:rsidRDefault="001B6918" w:rsidP="00730ECF">
            <w:pPr>
              <w:jc w:val="right"/>
              <w:rPr>
                <w:rFonts w:ascii="Calibri" w:eastAsia="Times New Roman" w:hAnsi="Calibri" w:cs="Calibri"/>
                <w:sz w:val="20"/>
                <w:szCs w:val="20"/>
              </w:rPr>
            </w:pPr>
          </w:p>
        </w:tc>
        <w:tc>
          <w:tcPr>
            <w:tcW w:w="1115" w:type="dxa"/>
            <w:tcBorders>
              <w:top w:val="nil"/>
              <w:left w:val="nil"/>
              <w:bottom w:val="nil"/>
              <w:right w:val="nil"/>
            </w:tcBorders>
            <w:shd w:val="clear" w:color="000000" w:fill="FFFFFF"/>
            <w:noWrap/>
            <w:vAlign w:val="bottom"/>
          </w:tcPr>
          <w:p w14:paraId="39FB63B7" w14:textId="77777777" w:rsidR="001B6918" w:rsidRPr="00983460" w:rsidRDefault="001B6918" w:rsidP="00730ECF">
            <w:pPr>
              <w:jc w:val="right"/>
              <w:rPr>
                <w:rFonts w:ascii="Calibri" w:eastAsia="Times New Roman" w:hAnsi="Calibri" w:cs="Calibri"/>
                <w:sz w:val="20"/>
                <w:szCs w:val="20"/>
              </w:rPr>
            </w:pPr>
          </w:p>
        </w:tc>
        <w:tc>
          <w:tcPr>
            <w:tcW w:w="1053" w:type="dxa"/>
            <w:tcBorders>
              <w:top w:val="nil"/>
              <w:left w:val="nil"/>
              <w:bottom w:val="nil"/>
              <w:right w:val="nil"/>
            </w:tcBorders>
            <w:shd w:val="clear" w:color="000000" w:fill="FFFFFF"/>
            <w:noWrap/>
            <w:vAlign w:val="bottom"/>
          </w:tcPr>
          <w:p w14:paraId="7C2D348D" w14:textId="77777777" w:rsidR="001B6918" w:rsidRPr="00983460" w:rsidRDefault="001B6918" w:rsidP="00730ECF">
            <w:pPr>
              <w:jc w:val="right"/>
              <w:rPr>
                <w:rFonts w:ascii="Calibri" w:eastAsia="Times New Roman" w:hAnsi="Calibri" w:cs="Calibri"/>
                <w:sz w:val="20"/>
                <w:szCs w:val="20"/>
              </w:rPr>
            </w:pPr>
          </w:p>
        </w:tc>
        <w:tc>
          <w:tcPr>
            <w:tcW w:w="857" w:type="dxa"/>
            <w:tcBorders>
              <w:top w:val="nil"/>
              <w:left w:val="nil"/>
              <w:bottom w:val="nil"/>
              <w:right w:val="nil"/>
            </w:tcBorders>
            <w:shd w:val="clear" w:color="000000" w:fill="FFFFFF"/>
            <w:noWrap/>
            <w:vAlign w:val="bottom"/>
          </w:tcPr>
          <w:p w14:paraId="6D45F397" w14:textId="77777777" w:rsidR="001B6918" w:rsidRPr="00983460" w:rsidRDefault="001B6918" w:rsidP="00730ECF">
            <w:pPr>
              <w:jc w:val="right"/>
              <w:rPr>
                <w:rFonts w:ascii="Calibri" w:eastAsia="Times New Roman" w:hAnsi="Calibri" w:cs="Calibri"/>
                <w:sz w:val="20"/>
                <w:szCs w:val="20"/>
              </w:rPr>
            </w:pPr>
          </w:p>
        </w:tc>
        <w:tc>
          <w:tcPr>
            <w:tcW w:w="1005" w:type="dxa"/>
            <w:tcBorders>
              <w:top w:val="nil"/>
              <w:left w:val="nil"/>
              <w:bottom w:val="nil"/>
              <w:right w:val="nil"/>
            </w:tcBorders>
            <w:shd w:val="clear" w:color="000000" w:fill="FFFFFF"/>
            <w:noWrap/>
            <w:vAlign w:val="bottom"/>
            <w:hideMark/>
          </w:tcPr>
          <w:p w14:paraId="2F9ED720" w14:textId="77777777" w:rsidR="001B6918" w:rsidRPr="00983460" w:rsidRDefault="001B6918" w:rsidP="00730ECF">
            <w:pPr>
              <w:rPr>
                <w:rFonts w:ascii="Calibri" w:eastAsia="Times New Roman" w:hAnsi="Calibri" w:cs="Calibri"/>
                <w:sz w:val="20"/>
                <w:szCs w:val="20"/>
              </w:rPr>
            </w:pPr>
            <w:r w:rsidRPr="00983460">
              <w:rPr>
                <w:rFonts w:ascii="Calibri" w:eastAsia="Times New Roman" w:hAnsi="Calibri" w:cs="Calibri"/>
                <w:sz w:val="20"/>
                <w:szCs w:val="20"/>
              </w:rPr>
              <w:t> </w:t>
            </w:r>
          </w:p>
        </w:tc>
        <w:tc>
          <w:tcPr>
            <w:tcW w:w="1372" w:type="dxa"/>
            <w:tcBorders>
              <w:top w:val="nil"/>
              <w:left w:val="nil"/>
              <w:bottom w:val="nil"/>
              <w:right w:val="nil"/>
            </w:tcBorders>
            <w:shd w:val="clear" w:color="000000" w:fill="FFFFFF"/>
            <w:noWrap/>
            <w:vAlign w:val="bottom"/>
            <w:hideMark/>
          </w:tcPr>
          <w:p w14:paraId="7BAFB66C" w14:textId="77777777" w:rsidR="001B6918" w:rsidRPr="00983460" w:rsidRDefault="001B6918" w:rsidP="00730ECF">
            <w:pPr>
              <w:rPr>
                <w:rFonts w:ascii="Calibri" w:eastAsia="Times New Roman" w:hAnsi="Calibri" w:cs="Calibri"/>
                <w:sz w:val="20"/>
                <w:szCs w:val="20"/>
              </w:rPr>
            </w:pPr>
            <w:r w:rsidRPr="00983460">
              <w:rPr>
                <w:rFonts w:ascii="Calibri" w:eastAsia="Times New Roman" w:hAnsi="Calibri" w:cs="Calibri"/>
                <w:sz w:val="20"/>
                <w:szCs w:val="20"/>
              </w:rPr>
              <w:t> </w:t>
            </w:r>
          </w:p>
        </w:tc>
        <w:tc>
          <w:tcPr>
            <w:tcW w:w="2459" w:type="dxa"/>
            <w:tcBorders>
              <w:top w:val="nil"/>
              <w:left w:val="nil"/>
              <w:bottom w:val="nil"/>
              <w:right w:val="nil"/>
            </w:tcBorders>
            <w:shd w:val="clear" w:color="000000" w:fill="FFFFFF"/>
            <w:noWrap/>
            <w:vAlign w:val="bottom"/>
            <w:hideMark/>
          </w:tcPr>
          <w:p w14:paraId="1EF6383C" w14:textId="77777777" w:rsidR="001B6918" w:rsidRPr="00983460" w:rsidRDefault="001B6918" w:rsidP="00730ECF">
            <w:pPr>
              <w:rPr>
                <w:rFonts w:ascii="Calibri" w:eastAsia="Times New Roman" w:hAnsi="Calibri" w:cs="Calibri"/>
                <w:sz w:val="20"/>
                <w:szCs w:val="20"/>
              </w:rPr>
            </w:pPr>
            <w:r w:rsidRPr="00983460">
              <w:rPr>
                <w:rFonts w:ascii="Calibri" w:eastAsia="Times New Roman" w:hAnsi="Calibri" w:cs="Calibri"/>
                <w:sz w:val="20"/>
                <w:szCs w:val="20"/>
              </w:rPr>
              <w:t> </w:t>
            </w:r>
          </w:p>
        </w:tc>
      </w:tr>
      <w:tr w:rsidR="001B6918" w:rsidRPr="00E21531" w14:paraId="167F9972" w14:textId="77777777" w:rsidTr="00730ECF">
        <w:trPr>
          <w:trHeight w:val="120"/>
          <w:jc w:val="center"/>
        </w:trPr>
        <w:tc>
          <w:tcPr>
            <w:tcW w:w="4890" w:type="dxa"/>
            <w:tcBorders>
              <w:top w:val="nil"/>
              <w:left w:val="nil"/>
              <w:bottom w:val="nil"/>
              <w:right w:val="nil"/>
            </w:tcBorders>
            <w:shd w:val="clear" w:color="000000" w:fill="FFFFFF"/>
            <w:noWrap/>
            <w:vAlign w:val="bottom"/>
            <w:hideMark/>
          </w:tcPr>
          <w:p w14:paraId="0B1BFAC2" w14:textId="77777777" w:rsidR="001B6918" w:rsidRPr="00E21531" w:rsidRDefault="001B6918" w:rsidP="00730ECF">
            <w:pPr>
              <w:ind w:firstLineChars="300" w:firstLine="600"/>
              <w:rPr>
                <w:rFonts w:ascii="Calibri" w:eastAsia="Times New Roman" w:hAnsi="Calibri" w:cs="Calibri"/>
                <w:color w:val="000000"/>
                <w:sz w:val="20"/>
                <w:szCs w:val="20"/>
              </w:rPr>
            </w:pPr>
            <w:r w:rsidRPr="00E21531">
              <w:rPr>
                <w:rFonts w:ascii="Calibri" w:eastAsia="Times New Roman" w:hAnsi="Calibri" w:cs="Calibri"/>
                <w:color w:val="000000"/>
                <w:sz w:val="20"/>
                <w:szCs w:val="20"/>
              </w:rPr>
              <w:t>Money markets</w:t>
            </w:r>
          </w:p>
        </w:tc>
        <w:tc>
          <w:tcPr>
            <w:tcW w:w="1115" w:type="dxa"/>
            <w:tcBorders>
              <w:top w:val="nil"/>
              <w:left w:val="nil"/>
              <w:bottom w:val="nil"/>
              <w:right w:val="nil"/>
            </w:tcBorders>
            <w:shd w:val="clear" w:color="000000" w:fill="FFFFFF"/>
            <w:noWrap/>
            <w:vAlign w:val="bottom"/>
          </w:tcPr>
          <w:p w14:paraId="4B6F9568"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33,399</w:t>
            </w:r>
          </w:p>
        </w:tc>
        <w:tc>
          <w:tcPr>
            <w:tcW w:w="1115" w:type="dxa"/>
            <w:tcBorders>
              <w:top w:val="nil"/>
              <w:left w:val="nil"/>
              <w:bottom w:val="nil"/>
              <w:right w:val="nil"/>
            </w:tcBorders>
            <w:shd w:val="clear" w:color="000000" w:fill="FFFFFF"/>
            <w:noWrap/>
            <w:vAlign w:val="bottom"/>
          </w:tcPr>
          <w:p w14:paraId="12C381B6"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33,399</w:t>
            </w:r>
          </w:p>
        </w:tc>
        <w:tc>
          <w:tcPr>
            <w:tcW w:w="1053" w:type="dxa"/>
            <w:tcBorders>
              <w:top w:val="nil"/>
              <w:left w:val="nil"/>
              <w:bottom w:val="nil"/>
              <w:right w:val="nil"/>
            </w:tcBorders>
            <w:shd w:val="clear" w:color="000000" w:fill="FFFFFF"/>
            <w:noWrap/>
            <w:vAlign w:val="bottom"/>
          </w:tcPr>
          <w:p w14:paraId="7153EF2B"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w:t>
            </w:r>
          </w:p>
        </w:tc>
        <w:tc>
          <w:tcPr>
            <w:tcW w:w="857" w:type="dxa"/>
            <w:tcBorders>
              <w:top w:val="nil"/>
              <w:left w:val="nil"/>
              <w:bottom w:val="nil"/>
              <w:right w:val="nil"/>
            </w:tcBorders>
            <w:shd w:val="clear" w:color="000000" w:fill="FFFFFF"/>
            <w:noWrap/>
            <w:vAlign w:val="bottom"/>
          </w:tcPr>
          <w:p w14:paraId="3C0B2C79"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w:t>
            </w:r>
          </w:p>
        </w:tc>
        <w:tc>
          <w:tcPr>
            <w:tcW w:w="1005" w:type="dxa"/>
            <w:tcBorders>
              <w:top w:val="nil"/>
              <w:left w:val="nil"/>
              <w:bottom w:val="nil"/>
              <w:right w:val="nil"/>
            </w:tcBorders>
            <w:shd w:val="clear" w:color="000000" w:fill="FFFFFF"/>
            <w:noWrap/>
            <w:vAlign w:val="bottom"/>
            <w:hideMark/>
          </w:tcPr>
          <w:p w14:paraId="13B5EE82" w14:textId="77777777" w:rsidR="001B6918" w:rsidRPr="00983460" w:rsidRDefault="001B6918" w:rsidP="00730ECF">
            <w:pPr>
              <w:jc w:val="center"/>
              <w:rPr>
                <w:rFonts w:ascii="Calibri" w:eastAsia="Times New Roman" w:hAnsi="Calibri" w:cs="Calibri"/>
                <w:sz w:val="20"/>
                <w:szCs w:val="20"/>
              </w:rPr>
            </w:pPr>
            <w:r w:rsidRPr="00983460">
              <w:rPr>
                <w:rFonts w:ascii="Calibri" w:eastAsia="Times New Roman" w:hAnsi="Calibri" w:cs="Calibri"/>
                <w:sz w:val="20"/>
                <w:szCs w:val="20"/>
              </w:rPr>
              <w:t xml:space="preserve">Not rated </w:t>
            </w:r>
          </w:p>
        </w:tc>
        <w:tc>
          <w:tcPr>
            <w:tcW w:w="1372" w:type="dxa"/>
            <w:tcBorders>
              <w:top w:val="nil"/>
              <w:left w:val="nil"/>
              <w:bottom w:val="nil"/>
              <w:right w:val="nil"/>
            </w:tcBorders>
            <w:shd w:val="clear" w:color="000000" w:fill="FFFFFF"/>
            <w:noWrap/>
            <w:vAlign w:val="bottom"/>
            <w:hideMark/>
          </w:tcPr>
          <w:p w14:paraId="458BAED1" w14:textId="77777777" w:rsidR="001B6918" w:rsidRPr="00983460" w:rsidRDefault="001B6918" w:rsidP="00730ECF">
            <w:pPr>
              <w:jc w:val="center"/>
              <w:rPr>
                <w:rFonts w:ascii="Calibri" w:eastAsia="Times New Roman" w:hAnsi="Calibri" w:cs="Calibri"/>
                <w:sz w:val="20"/>
                <w:szCs w:val="20"/>
              </w:rPr>
            </w:pPr>
            <w:r w:rsidRPr="00983460">
              <w:rPr>
                <w:rFonts w:ascii="Calibri" w:eastAsia="Times New Roman" w:hAnsi="Calibri" w:cs="Calibri"/>
                <w:sz w:val="20"/>
                <w:szCs w:val="20"/>
              </w:rPr>
              <w:t xml:space="preserve">2.1 years </w:t>
            </w:r>
          </w:p>
        </w:tc>
        <w:tc>
          <w:tcPr>
            <w:tcW w:w="2459" w:type="dxa"/>
            <w:tcBorders>
              <w:top w:val="nil"/>
              <w:left w:val="nil"/>
              <w:bottom w:val="nil"/>
              <w:right w:val="nil"/>
            </w:tcBorders>
            <w:shd w:val="clear" w:color="000000" w:fill="FFFFFF"/>
            <w:noWrap/>
            <w:vAlign w:val="bottom"/>
            <w:hideMark/>
          </w:tcPr>
          <w:p w14:paraId="1ABE6D9B" w14:textId="77777777" w:rsidR="001B6918" w:rsidRPr="00983460" w:rsidRDefault="001B6918" w:rsidP="00730ECF">
            <w:pPr>
              <w:rPr>
                <w:rFonts w:ascii="Calibri" w:eastAsia="Times New Roman" w:hAnsi="Calibri" w:cs="Calibri"/>
                <w:sz w:val="20"/>
                <w:szCs w:val="20"/>
              </w:rPr>
            </w:pPr>
            <w:r w:rsidRPr="00983460">
              <w:rPr>
                <w:rFonts w:ascii="Calibri" w:eastAsia="Times New Roman" w:hAnsi="Calibri" w:cs="Calibri"/>
                <w:sz w:val="20"/>
                <w:szCs w:val="20"/>
              </w:rPr>
              <w:t>Weighted Average Maturity</w:t>
            </w:r>
          </w:p>
        </w:tc>
      </w:tr>
      <w:tr w:rsidR="001B6918" w:rsidRPr="00E21531" w14:paraId="65975F32" w14:textId="77777777" w:rsidTr="00730ECF">
        <w:trPr>
          <w:trHeight w:val="82"/>
          <w:jc w:val="center"/>
        </w:trPr>
        <w:tc>
          <w:tcPr>
            <w:tcW w:w="4890" w:type="dxa"/>
            <w:tcBorders>
              <w:top w:val="nil"/>
              <w:left w:val="nil"/>
              <w:bottom w:val="nil"/>
              <w:right w:val="nil"/>
            </w:tcBorders>
            <w:shd w:val="clear" w:color="000000" w:fill="FFFFFF"/>
            <w:noWrap/>
            <w:vAlign w:val="bottom"/>
            <w:hideMark/>
          </w:tcPr>
          <w:p w14:paraId="382E5E7D" w14:textId="77777777" w:rsidR="001B6918" w:rsidRPr="00E21531" w:rsidRDefault="001B6918" w:rsidP="00730ECF">
            <w:pPr>
              <w:ind w:firstLineChars="300" w:firstLine="600"/>
              <w:rPr>
                <w:rFonts w:ascii="Calibri" w:eastAsia="Times New Roman" w:hAnsi="Calibri" w:cs="Calibri"/>
                <w:color w:val="000000"/>
                <w:sz w:val="20"/>
                <w:szCs w:val="20"/>
              </w:rPr>
            </w:pPr>
            <w:r w:rsidRPr="00E21531">
              <w:rPr>
                <w:rFonts w:ascii="Calibri" w:eastAsia="Times New Roman" w:hAnsi="Calibri" w:cs="Calibri"/>
                <w:color w:val="000000"/>
                <w:sz w:val="20"/>
                <w:szCs w:val="20"/>
              </w:rPr>
              <w:t>Bonds</w:t>
            </w:r>
          </w:p>
        </w:tc>
        <w:tc>
          <w:tcPr>
            <w:tcW w:w="1115" w:type="dxa"/>
            <w:tcBorders>
              <w:top w:val="nil"/>
              <w:left w:val="nil"/>
              <w:bottom w:val="nil"/>
              <w:right w:val="nil"/>
            </w:tcBorders>
            <w:shd w:val="clear" w:color="000000" w:fill="FFFFFF"/>
            <w:noWrap/>
            <w:vAlign w:val="bottom"/>
          </w:tcPr>
          <w:p w14:paraId="65EBC477"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61,748</w:t>
            </w:r>
          </w:p>
        </w:tc>
        <w:tc>
          <w:tcPr>
            <w:tcW w:w="1115" w:type="dxa"/>
            <w:tcBorders>
              <w:top w:val="nil"/>
              <w:left w:val="nil"/>
              <w:bottom w:val="nil"/>
              <w:right w:val="nil"/>
            </w:tcBorders>
            <w:shd w:val="clear" w:color="000000" w:fill="FFFFFF"/>
            <w:noWrap/>
            <w:vAlign w:val="bottom"/>
          </w:tcPr>
          <w:p w14:paraId="20DCE804"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61,748</w:t>
            </w:r>
          </w:p>
        </w:tc>
        <w:tc>
          <w:tcPr>
            <w:tcW w:w="1053" w:type="dxa"/>
            <w:tcBorders>
              <w:top w:val="nil"/>
              <w:left w:val="nil"/>
              <w:bottom w:val="nil"/>
              <w:right w:val="nil"/>
            </w:tcBorders>
            <w:shd w:val="clear" w:color="000000" w:fill="FFFFFF"/>
            <w:noWrap/>
            <w:vAlign w:val="bottom"/>
          </w:tcPr>
          <w:p w14:paraId="55BDB2AD"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w:t>
            </w:r>
          </w:p>
        </w:tc>
        <w:tc>
          <w:tcPr>
            <w:tcW w:w="857" w:type="dxa"/>
            <w:tcBorders>
              <w:top w:val="nil"/>
              <w:left w:val="nil"/>
              <w:bottom w:val="nil"/>
              <w:right w:val="nil"/>
            </w:tcBorders>
            <w:shd w:val="clear" w:color="000000" w:fill="FFFFFF"/>
            <w:noWrap/>
            <w:vAlign w:val="bottom"/>
          </w:tcPr>
          <w:p w14:paraId="697C6CCA"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w:t>
            </w:r>
          </w:p>
        </w:tc>
        <w:tc>
          <w:tcPr>
            <w:tcW w:w="1005" w:type="dxa"/>
            <w:tcBorders>
              <w:top w:val="nil"/>
              <w:left w:val="nil"/>
              <w:bottom w:val="nil"/>
              <w:right w:val="nil"/>
            </w:tcBorders>
            <w:shd w:val="clear" w:color="000000" w:fill="FFFFFF"/>
            <w:noWrap/>
            <w:vAlign w:val="bottom"/>
            <w:hideMark/>
          </w:tcPr>
          <w:p w14:paraId="65666855" w14:textId="77777777" w:rsidR="001B6918" w:rsidRPr="00983460" w:rsidRDefault="001B6918" w:rsidP="00730ECF">
            <w:pPr>
              <w:jc w:val="center"/>
              <w:rPr>
                <w:rFonts w:ascii="Calibri" w:eastAsia="Times New Roman" w:hAnsi="Calibri" w:cs="Calibri"/>
                <w:sz w:val="20"/>
                <w:szCs w:val="20"/>
              </w:rPr>
            </w:pPr>
            <w:r w:rsidRPr="00983460">
              <w:rPr>
                <w:rFonts w:ascii="Calibri" w:eastAsia="Times New Roman" w:hAnsi="Calibri" w:cs="Calibri"/>
                <w:sz w:val="20"/>
                <w:szCs w:val="20"/>
              </w:rPr>
              <w:t xml:space="preserve">Not rated </w:t>
            </w:r>
          </w:p>
        </w:tc>
        <w:tc>
          <w:tcPr>
            <w:tcW w:w="1372" w:type="dxa"/>
            <w:tcBorders>
              <w:top w:val="nil"/>
              <w:left w:val="nil"/>
              <w:bottom w:val="nil"/>
              <w:right w:val="nil"/>
            </w:tcBorders>
            <w:shd w:val="clear" w:color="000000" w:fill="FFFFFF"/>
            <w:noWrap/>
            <w:vAlign w:val="bottom"/>
            <w:hideMark/>
          </w:tcPr>
          <w:p w14:paraId="24BD74C0" w14:textId="77777777" w:rsidR="001B6918" w:rsidRPr="00983460" w:rsidRDefault="001B6918" w:rsidP="00730ECF">
            <w:pPr>
              <w:jc w:val="center"/>
              <w:rPr>
                <w:rFonts w:ascii="Calibri" w:eastAsia="Times New Roman" w:hAnsi="Calibri" w:cs="Calibri"/>
                <w:sz w:val="20"/>
                <w:szCs w:val="20"/>
              </w:rPr>
            </w:pPr>
            <w:r w:rsidRPr="00983460">
              <w:rPr>
                <w:rFonts w:ascii="Calibri" w:eastAsia="Times New Roman" w:hAnsi="Calibri" w:cs="Calibri"/>
                <w:sz w:val="20"/>
                <w:szCs w:val="20"/>
              </w:rPr>
              <w:t>3.68-6.5 years</w:t>
            </w:r>
          </w:p>
        </w:tc>
        <w:tc>
          <w:tcPr>
            <w:tcW w:w="2459" w:type="dxa"/>
            <w:tcBorders>
              <w:top w:val="nil"/>
              <w:left w:val="nil"/>
              <w:bottom w:val="nil"/>
              <w:right w:val="nil"/>
            </w:tcBorders>
            <w:shd w:val="clear" w:color="000000" w:fill="FFFFFF"/>
            <w:noWrap/>
            <w:vAlign w:val="bottom"/>
            <w:hideMark/>
          </w:tcPr>
          <w:p w14:paraId="1334A47F" w14:textId="77777777" w:rsidR="001B6918" w:rsidRPr="00983460" w:rsidRDefault="001B6918" w:rsidP="00730ECF">
            <w:pPr>
              <w:rPr>
                <w:rFonts w:ascii="Calibri" w:eastAsia="Times New Roman" w:hAnsi="Calibri" w:cs="Calibri"/>
                <w:sz w:val="20"/>
                <w:szCs w:val="20"/>
              </w:rPr>
            </w:pPr>
            <w:r w:rsidRPr="00983460">
              <w:rPr>
                <w:rFonts w:ascii="Calibri" w:eastAsia="Times New Roman" w:hAnsi="Calibri" w:cs="Calibri"/>
                <w:sz w:val="20"/>
                <w:szCs w:val="20"/>
              </w:rPr>
              <w:t>Duration</w:t>
            </w:r>
          </w:p>
        </w:tc>
      </w:tr>
      <w:tr w:rsidR="001B6918" w:rsidRPr="00E21531" w14:paraId="546F4F60" w14:textId="77777777" w:rsidTr="00730ECF">
        <w:trPr>
          <w:trHeight w:val="82"/>
          <w:jc w:val="center"/>
        </w:trPr>
        <w:tc>
          <w:tcPr>
            <w:tcW w:w="4890" w:type="dxa"/>
            <w:tcBorders>
              <w:top w:val="nil"/>
              <w:left w:val="nil"/>
              <w:bottom w:val="nil"/>
              <w:right w:val="nil"/>
            </w:tcBorders>
            <w:shd w:val="clear" w:color="000000" w:fill="FFFFFF"/>
            <w:noWrap/>
            <w:vAlign w:val="bottom"/>
            <w:hideMark/>
          </w:tcPr>
          <w:p w14:paraId="7B2BF0CE" w14:textId="77777777" w:rsidR="001B6918" w:rsidRPr="00E21531" w:rsidRDefault="001B6918" w:rsidP="00730ECF">
            <w:pPr>
              <w:ind w:firstLineChars="200" w:firstLine="400"/>
              <w:rPr>
                <w:rFonts w:ascii="Calibri" w:eastAsia="Times New Roman" w:hAnsi="Calibri" w:cs="Calibri"/>
                <w:color w:val="000000"/>
                <w:sz w:val="20"/>
                <w:szCs w:val="20"/>
              </w:rPr>
            </w:pPr>
            <w:r w:rsidRPr="00E21531">
              <w:rPr>
                <w:rFonts w:ascii="Calibri" w:eastAsia="Times New Roman" w:hAnsi="Calibri" w:cs="Calibri"/>
                <w:color w:val="000000"/>
                <w:sz w:val="20"/>
                <w:szCs w:val="20"/>
              </w:rPr>
              <w:t>Real assets</w:t>
            </w:r>
          </w:p>
        </w:tc>
        <w:tc>
          <w:tcPr>
            <w:tcW w:w="1115" w:type="dxa"/>
            <w:tcBorders>
              <w:top w:val="nil"/>
              <w:left w:val="nil"/>
              <w:bottom w:val="single" w:sz="4" w:space="0" w:color="000000"/>
              <w:right w:val="nil"/>
            </w:tcBorders>
            <w:shd w:val="clear" w:color="000000" w:fill="FFFFFF"/>
            <w:noWrap/>
            <w:vAlign w:val="bottom"/>
          </w:tcPr>
          <w:p w14:paraId="5FC20166"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1,209</w:t>
            </w:r>
          </w:p>
        </w:tc>
        <w:tc>
          <w:tcPr>
            <w:tcW w:w="1115" w:type="dxa"/>
            <w:tcBorders>
              <w:top w:val="nil"/>
              <w:left w:val="nil"/>
              <w:bottom w:val="single" w:sz="4" w:space="0" w:color="000000"/>
              <w:right w:val="nil"/>
            </w:tcBorders>
            <w:shd w:val="clear" w:color="000000" w:fill="FFFFFF"/>
            <w:noWrap/>
            <w:vAlign w:val="bottom"/>
          </w:tcPr>
          <w:p w14:paraId="30BC9BEB"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w:t>
            </w:r>
          </w:p>
        </w:tc>
        <w:tc>
          <w:tcPr>
            <w:tcW w:w="1053" w:type="dxa"/>
            <w:tcBorders>
              <w:top w:val="nil"/>
              <w:left w:val="nil"/>
              <w:bottom w:val="single" w:sz="4" w:space="0" w:color="000000"/>
              <w:right w:val="nil"/>
            </w:tcBorders>
            <w:shd w:val="clear" w:color="000000" w:fill="FFFFFF"/>
            <w:noWrap/>
            <w:vAlign w:val="bottom"/>
          </w:tcPr>
          <w:p w14:paraId="4EB6557F"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w:t>
            </w:r>
          </w:p>
        </w:tc>
        <w:tc>
          <w:tcPr>
            <w:tcW w:w="857" w:type="dxa"/>
            <w:tcBorders>
              <w:top w:val="nil"/>
              <w:left w:val="nil"/>
              <w:bottom w:val="single" w:sz="4" w:space="0" w:color="000000"/>
              <w:right w:val="nil"/>
            </w:tcBorders>
            <w:shd w:val="clear" w:color="000000" w:fill="FFFFFF"/>
            <w:noWrap/>
            <w:vAlign w:val="bottom"/>
          </w:tcPr>
          <w:p w14:paraId="43FABBC8"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1,209</w:t>
            </w:r>
          </w:p>
        </w:tc>
        <w:tc>
          <w:tcPr>
            <w:tcW w:w="1005" w:type="dxa"/>
            <w:tcBorders>
              <w:top w:val="nil"/>
              <w:left w:val="nil"/>
              <w:bottom w:val="nil"/>
              <w:right w:val="nil"/>
            </w:tcBorders>
            <w:shd w:val="clear" w:color="000000" w:fill="FFFFFF"/>
            <w:noWrap/>
            <w:vAlign w:val="bottom"/>
            <w:hideMark/>
          </w:tcPr>
          <w:p w14:paraId="0502CEE9" w14:textId="77777777" w:rsidR="001B6918" w:rsidRPr="00983460" w:rsidRDefault="001B6918" w:rsidP="00730ECF">
            <w:pPr>
              <w:jc w:val="center"/>
              <w:rPr>
                <w:rFonts w:ascii="Calibri" w:eastAsia="Times New Roman" w:hAnsi="Calibri" w:cs="Calibri"/>
                <w:sz w:val="20"/>
                <w:szCs w:val="20"/>
              </w:rPr>
            </w:pPr>
            <w:r w:rsidRPr="00983460">
              <w:rPr>
                <w:rFonts w:ascii="Calibri" w:eastAsia="Times New Roman" w:hAnsi="Calibri" w:cs="Calibri"/>
                <w:sz w:val="20"/>
                <w:szCs w:val="20"/>
              </w:rPr>
              <w:t xml:space="preserve">Not rated </w:t>
            </w:r>
          </w:p>
        </w:tc>
        <w:tc>
          <w:tcPr>
            <w:tcW w:w="1372" w:type="dxa"/>
            <w:tcBorders>
              <w:top w:val="nil"/>
              <w:left w:val="nil"/>
              <w:bottom w:val="nil"/>
              <w:right w:val="nil"/>
            </w:tcBorders>
            <w:shd w:val="clear" w:color="000000" w:fill="FFFFFF"/>
            <w:noWrap/>
            <w:vAlign w:val="bottom"/>
            <w:hideMark/>
          </w:tcPr>
          <w:p w14:paraId="57C87FA8" w14:textId="77777777" w:rsidR="001B6918" w:rsidRPr="00983460" w:rsidRDefault="001B6918" w:rsidP="00730ECF">
            <w:pPr>
              <w:jc w:val="center"/>
              <w:rPr>
                <w:rFonts w:ascii="Calibri" w:eastAsia="Times New Roman" w:hAnsi="Calibri" w:cs="Calibri"/>
                <w:sz w:val="20"/>
                <w:szCs w:val="20"/>
              </w:rPr>
            </w:pPr>
            <w:r w:rsidRPr="00983460">
              <w:rPr>
                <w:rFonts w:ascii="Calibri" w:eastAsia="Times New Roman" w:hAnsi="Calibri" w:cs="Calibri"/>
                <w:sz w:val="20"/>
                <w:szCs w:val="20"/>
              </w:rPr>
              <w:t xml:space="preserve">Not rated </w:t>
            </w:r>
          </w:p>
        </w:tc>
        <w:tc>
          <w:tcPr>
            <w:tcW w:w="2459" w:type="dxa"/>
            <w:tcBorders>
              <w:top w:val="nil"/>
              <w:left w:val="nil"/>
              <w:bottom w:val="nil"/>
              <w:right w:val="nil"/>
            </w:tcBorders>
            <w:shd w:val="clear" w:color="000000" w:fill="FFFFFF"/>
            <w:noWrap/>
            <w:vAlign w:val="bottom"/>
            <w:hideMark/>
          </w:tcPr>
          <w:p w14:paraId="41D64705" w14:textId="77777777" w:rsidR="001B6918" w:rsidRPr="00983460" w:rsidRDefault="001B6918" w:rsidP="00730ECF">
            <w:pPr>
              <w:rPr>
                <w:rFonts w:ascii="Calibri" w:eastAsia="Times New Roman" w:hAnsi="Calibri" w:cs="Calibri"/>
                <w:sz w:val="20"/>
                <w:szCs w:val="20"/>
              </w:rPr>
            </w:pPr>
            <w:r w:rsidRPr="00983460">
              <w:rPr>
                <w:rFonts w:ascii="Calibri" w:eastAsia="Times New Roman" w:hAnsi="Calibri" w:cs="Calibri"/>
                <w:sz w:val="20"/>
                <w:szCs w:val="20"/>
              </w:rPr>
              <w:t> </w:t>
            </w:r>
          </w:p>
        </w:tc>
      </w:tr>
      <w:tr w:rsidR="001B6918" w:rsidRPr="00E21531" w14:paraId="7DA763B0" w14:textId="77777777" w:rsidTr="00730ECF">
        <w:trPr>
          <w:trHeight w:val="71"/>
          <w:jc w:val="center"/>
        </w:trPr>
        <w:tc>
          <w:tcPr>
            <w:tcW w:w="4890" w:type="dxa"/>
            <w:tcBorders>
              <w:top w:val="nil"/>
              <w:left w:val="nil"/>
              <w:bottom w:val="nil"/>
              <w:right w:val="nil"/>
            </w:tcBorders>
            <w:shd w:val="clear" w:color="000000" w:fill="FFFFFF"/>
            <w:noWrap/>
            <w:vAlign w:val="bottom"/>
            <w:hideMark/>
          </w:tcPr>
          <w:p w14:paraId="4D44F76E" w14:textId="77777777" w:rsidR="001B6918" w:rsidRPr="00E21531" w:rsidRDefault="001B6918" w:rsidP="00730ECF">
            <w:pPr>
              <w:ind w:firstLineChars="100" w:firstLine="200"/>
              <w:rPr>
                <w:rFonts w:ascii="Calibri" w:eastAsia="Times New Roman" w:hAnsi="Calibri" w:cs="Calibri"/>
                <w:color w:val="000000"/>
                <w:sz w:val="20"/>
                <w:szCs w:val="20"/>
              </w:rPr>
            </w:pPr>
            <w:r w:rsidRPr="00E21531">
              <w:rPr>
                <w:rFonts w:ascii="Calibri" w:eastAsia="Times New Roman" w:hAnsi="Calibri" w:cs="Calibri"/>
                <w:color w:val="000000"/>
                <w:sz w:val="20"/>
                <w:szCs w:val="20"/>
              </w:rPr>
              <w:t>Total DB Plan, MIP and separately held at fair value level</w:t>
            </w:r>
          </w:p>
        </w:tc>
        <w:tc>
          <w:tcPr>
            <w:tcW w:w="1115" w:type="dxa"/>
            <w:tcBorders>
              <w:top w:val="nil"/>
              <w:left w:val="nil"/>
              <w:bottom w:val="single" w:sz="4" w:space="0" w:color="000000"/>
              <w:right w:val="nil"/>
            </w:tcBorders>
            <w:shd w:val="clear" w:color="000000" w:fill="FFFFFF"/>
            <w:noWrap/>
            <w:vAlign w:val="bottom"/>
          </w:tcPr>
          <w:p w14:paraId="69D523D4"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$268,413</w:t>
            </w:r>
          </w:p>
        </w:tc>
        <w:tc>
          <w:tcPr>
            <w:tcW w:w="1115" w:type="dxa"/>
            <w:tcBorders>
              <w:top w:val="nil"/>
              <w:left w:val="nil"/>
              <w:bottom w:val="double" w:sz="6" w:space="0" w:color="000000"/>
              <w:right w:val="nil"/>
            </w:tcBorders>
            <w:shd w:val="clear" w:color="000000" w:fill="FFFFFF"/>
            <w:noWrap/>
            <w:vAlign w:val="bottom"/>
          </w:tcPr>
          <w:p w14:paraId="30CC794C"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$148,607</w:t>
            </w:r>
          </w:p>
        </w:tc>
        <w:tc>
          <w:tcPr>
            <w:tcW w:w="1053" w:type="dxa"/>
            <w:tcBorders>
              <w:top w:val="nil"/>
              <w:left w:val="nil"/>
              <w:bottom w:val="double" w:sz="6" w:space="0" w:color="000000"/>
              <w:right w:val="nil"/>
            </w:tcBorders>
            <w:shd w:val="clear" w:color="000000" w:fill="FFFFFF"/>
            <w:noWrap/>
            <w:vAlign w:val="bottom"/>
          </w:tcPr>
          <w:p w14:paraId="2F562710"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$118,597</w:t>
            </w:r>
          </w:p>
        </w:tc>
        <w:tc>
          <w:tcPr>
            <w:tcW w:w="857" w:type="dxa"/>
            <w:tcBorders>
              <w:top w:val="nil"/>
              <w:left w:val="nil"/>
              <w:bottom w:val="double" w:sz="6" w:space="0" w:color="000000"/>
              <w:right w:val="nil"/>
            </w:tcBorders>
            <w:shd w:val="clear" w:color="000000" w:fill="FFFFFF"/>
            <w:noWrap/>
            <w:vAlign w:val="bottom"/>
          </w:tcPr>
          <w:p w14:paraId="17254B1C"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$ 1,209</w:t>
            </w:r>
          </w:p>
        </w:tc>
        <w:tc>
          <w:tcPr>
            <w:tcW w:w="1005" w:type="dxa"/>
            <w:tcBorders>
              <w:top w:val="nil"/>
              <w:left w:val="nil"/>
              <w:bottom w:val="nil"/>
              <w:right w:val="nil"/>
            </w:tcBorders>
            <w:shd w:val="clear" w:color="000000" w:fill="FFFFFF"/>
            <w:noWrap/>
            <w:vAlign w:val="bottom"/>
            <w:hideMark/>
          </w:tcPr>
          <w:p w14:paraId="0CBF30CA" w14:textId="77777777" w:rsidR="001B6918" w:rsidRPr="00983460" w:rsidRDefault="001B6918" w:rsidP="00730ECF">
            <w:pPr>
              <w:rPr>
                <w:rFonts w:ascii="Calibri" w:eastAsia="Times New Roman" w:hAnsi="Calibri" w:cs="Calibri"/>
                <w:sz w:val="20"/>
                <w:szCs w:val="20"/>
              </w:rPr>
            </w:pPr>
            <w:r w:rsidRPr="00983460">
              <w:rPr>
                <w:rFonts w:ascii="Calibri" w:eastAsia="Times New Roman" w:hAnsi="Calibri" w:cs="Calibri"/>
                <w:sz w:val="20"/>
                <w:szCs w:val="20"/>
              </w:rPr>
              <w:t> </w:t>
            </w:r>
          </w:p>
        </w:tc>
        <w:tc>
          <w:tcPr>
            <w:tcW w:w="1372" w:type="dxa"/>
            <w:tcBorders>
              <w:top w:val="nil"/>
              <w:left w:val="nil"/>
              <w:bottom w:val="nil"/>
              <w:right w:val="nil"/>
            </w:tcBorders>
            <w:shd w:val="clear" w:color="000000" w:fill="FFFFFF"/>
            <w:noWrap/>
            <w:vAlign w:val="bottom"/>
            <w:hideMark/>
          </w:tcPr>
          <w:p w14:paraId="1DBF7107" w14:textId="77777777" w:rsidR="001B6918" w:rsidRPr="00983460" w:rsidRDefault="001B6918" w:rsidP="00730ECF">
            <w:pPr>
              <w:rPr>
                <w:rFonts w:ascii="Calibri" w:eastAsia="Times New Roman" w:hAnsi="Calibri" w:cs="Calibri"/>
                <w:sz w:val="20"/>
                <w:szCs w:val="20"/>
              </w:rPr>
            </w:pPr>
            <w:r w:rsidRPr="00983460">
              <w:rPr>
                <w:rFonts w:ascii="Calibri" w:eastAsia="Times New Roman" w:hAnsi="Calibri" w:cs="Calibri"/>
                <w:sz w:val="20"/>
                <w:szCs w:val="20"/>
              </w:rPr>
              <w:t> </w:t>
            </w:r>
          </w:p>
        </w:tc>
        <w:tc>
          <w:tcPr>
            <w:tcW w:w="2459" w:type="dxa"/>
            <w:tcBorders>
              <w:top w:val="nil"/>
              <w:left w:val="nil"/>
              <w:bottom w:val="nil"/>
              <w:right w:val="nil"/>
            </w:tcBorders>
            <w:shd w:val="clear" w:color="000000" w:fill="FFFFFF"/>
            <w:noWrap/>
            <w:vAlign w:val="bottom"/>
            <w:hideMark/>
          </w:tcPr>
          <w:p w14:paraId="545FE37F" w14:textId="77777777" w:rsidR="001B6918" w:rsidRPr="00983460" w:rsidRDefault="001B6918" w:rsidP="00730ECF">
            <w:pPr>
              <w:rPr>
                <w:rFonts w:ascii="Calibri" w:eastAsia="Times New Roman" w:hAnsi="Calibri" w:cs="Calibri"/>
                <w:sz w:val="20"/>
                <w:szCs w:val="20"/>
              </w:rPr>
            </w:pPr>
            <w:r w:rsidRPr="00983460">
              <w:rPr>
                <w:rFonts w:ascii="Calibri" w:eastAsia="Times New Roman" w:hAnsi="Calibri" w:cs="Calibri"/>
                <w:sz w:val="20"/>
                <w:szCs w:val="20"/>
              </w:rPr>
              <w:t> </w:t>
            </w:r>
          </w:p>
        </w:tc>
      </w:tr>
      <w:tr w:rsidR="001B6918" w:rsidRPr="00E21531" w14:paraId="53EBC6F4" w14:textId="77777777" w:rsidTr="00730ECF">
        <w:trPr>
          <w:trHeight w:val="35"/>
          <w:jc w:val="center"/>
        </w:trPr>
        <w:tc>
          <w:tcPr>
            <w:tcW w:w="4890" w:type="dxa"/>
            <w:tcBorders>
              <w:top w:val="nil"/>
              <w:left w:val="nil"/>
              <w:bottom w:val="nil"/>
              <w:right w:val="nil"/>
            </w:tcBorders>
            <w:shd w:val="clear" w:color="000000" w:fill="FFFFFF"/>
            <w:noWrap/>
            <w:vAlign w:val="bottom"/>
            <w:hideMark/>
          </w:tcPr>
          <w:p w14:paraId="19A84E00" w14:textId="77777777" w:rsidR="001B6918" w:rsidRPr="00E21531" w:rsidRDefault="001B6918" w:rsidP="00730ECF">
            <w:pPr>
              <w:rPr>
                <w:rFonts w:ascii="Calibri" w:eastAsia="Times New Roman" w:hAnsi="Calibri" w:cs="Calibri"/>
                <w:b/>
                <w:bCs/>
                <w:color w:val="000000"/>
                <w:sz w:val="20"/>
                <w:szCs w:val="20"/>
              </w:rPr>
            </w:pPr>
            <w:r w:rsidRPr="00E21531">
              <w:rPr>
                <w:rFonts w:ascii="Calibri" w:eastAsia="Times New Roman" w:hAnsi="Calibri" w:cs="Calibri"/>
                <w:b/>
                <w:bCs/>
                <w:color w:val="000000"/>
                <w:sz w:val="20"/>
                <w:szCs w:val="20"/>
              </w:rPr>
              <w:t>Investments measured at NAV:</w:t>
            </w:r>
          </w:p>
        </w:tc>
        <w:tc>
          <w:tcPr>
            <w:tcW w:w="1115" w:type="dxa"/>
            <w:tcBorders>
              <w:top w:val="nil"/>
              <w:left w:val="nil"/>
              <w:bottom w:val="nil"/>
              <w:right w:val="nil"/>
            </w:tcBorders>
            <w:shd w:val="clear" w:color="000000" w:fill="FFFFFF"/>
            <w:noWrap/>
            <w:vAlign w:val="bottom"/>
          </w:tcPr>
          <w:p w14:paraId="68C5219A"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 </w:t>
            </w:r>
          </w:p>
        </w:tc>
        <w:tc>
          <w:tcPr>
            <w:tcW w:w="1115" w:type="dxa"/>
            <w:tcBorders>
              <w:top w:val="nil"/>
              <w:left w:val="nil"/>
              <w:bottom w:val="nil"/>
              <w:right w:val="nil"/>
            </w:tcBorders>
            <w:shd w:val="clear" w:color="000000" w:fill="FFFFFF"/>
            <w:noWrap/>
            <w:vAlign w:val="bottom"/>
          </w:tcPr>
          <w:p w14:paraId="6DA6F559"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 </w:t>
            </w:r>
          </w:p>
        </w:tc>
        <w:tc>
          <w:tcPr>
            <w:tcW w:w="1053" w:type="dxa"/>
            <w:tcBorders>
              <w:top w:val="nil"/>
              <w:left w:val="nil"/>
              <w:bottom w:val="nil"/>
              <w:right w:val="nil"/>
            </w:tcBorders>
            <w:shd w:val="clear" w:color="000000" w:fill="FFFFFF"/>
            <w:noWrap/>
            <w:vAlign w:val="bottom"/>
          </w:tcPr>
          <w:p w14:paraId="391F4075"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 </w:t>
            </w:r>
          </w:p>
        </w:tc>
        <w:tc>
          <w:tcPr>
            <w:tcW w:w="857" w:type="dxa"/>
            <w:tcBorders>
              <w:top w:val="nil"/>
              <w:left w:val="nil"/>
              <w:bottom w:val="nil"/>
              <w:right w:val="nil"/>
            </w:tcBorders>
            <w:shd w:val="clear" w:color="000000" w:fill="FFFFFF"/>
            <w:noWrap/>
            <w:vAlign w:val="bottom"/>
          </w:tcPr>
          <w:p w14:paraId="7EF89C58"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 </w:t>
            </w:r>
          </w:p>
        </w:tc>
        <w:tc>
          <w:tcPr>
            <w:tcW w:w="1005" w:type="dxa"/>
            <w:tcBorders>
              <w:top w:val="nil"/>
              <w:left w:val="nil"/>
              <w:bottom w:val="nil"/>
              <w:right w:val="nil"/>
            </w:tcBorders>
            <w:shd w:val="clear" w:color="000000" w:fill="FFFFFF"/>
            <w:noWrap/>
            <w:vAlign w:val="bottom"/>
            <w:hideMark/>
          </w:tcPr>
          <w:p w14:paraId="2292E5FD" w14:textId="77777777" w:rsidR="001B6918" w:rsidRPr="00983460" w:rsidRDefault="001B6918" w:rsidP="00730ECF">
            <w:pPr>
              <w:rPr>
                <w:rFonts w:ascii="Calibri" w:eastAsia="Times New Roman" w:hAnsi="Calibri" w:cs="Calibri"/>
                <w:sz w:val="20"/>
                <w:szCs w:val="20"/>
              </w:rPr>
            </w:pPr>
            <w:r w:rsidRPr="00983460">
              <w:rPr>
                <w:rFonts w:ascii="Calibri" w:eastAsia="Times New Roman" w:hAnsi="Calibri" w:cs="Calibri"/>
                <w:sz w:val="20"/>
                <w:szCs w:val="20"/>
              </w:rPr>
              <w:t> </w:t>
            </w:r>
          </w:p>
        </w:tc>
        <w:tc>
          <w:tcPr>
            <w:tcW w:w="1372" w:type="dxa"/>
            <w:tcBorders>
              <w:top w:val="nil"/>
              <w:left w:val="nil"/>
              <w:bottom w:val="nil"/>
              <w:right w:val="nil"/>
            </w:tcBorders>
            <w:shd w:val="clear" w:color="000000" w:fill="FFFFFF"/>
            <w:noWrap/>
            <w:vAlign w:val="bottom"/>
            <w:hideMark/>
          </w:tcPr>
          <w:p w14:paraId="788DE4DC" w14:textId="77777777" w:rsidR="001B6918" w:rsidRPr="00983460" w:rsidRDefault="001B6918" w:rsidP="00730ECF">
            <w:pPr>
              <w:rPr>
                <w:rFonts w:ascii="Calibri" w:eastAsia="Times New Roman" w:hAnsi="Calibri" w:cs="Calibri"/>
                <w:sz w:val="20"/>
                <w:szCs w:val="20"/>
              </w:rPr>
            </w:pPr>
            <w:r w:rsidRPr="00983460">
              <w:rPr>
                <w:rFonts w:ascii="Calibri" w:eastAsia="Times New Roman" w:hAnsi="Calibri" w:cs="Calibri"/>
                <w:sz w:val="20"/>
                <w:szCs w:val="20"/>
              </w:rPr>
              <w:t> </w:t>
            </w:r>
          </w:p>
        </w:tc>
        <w:tc>
          <w:tcPr>
            <w:tcW w:w="2459" w:type="dxa"/>
            <w:tcBorders>
              <w:top w:val="nil"/>
              <w:left w:val="nil"/>
              <w:bottom w:val="nil"/>
              <w:right w:val="nil"/>
            </w:tcBorders>
            <w:shd w:val="clear" w:color="000000" w:fill="FFFFFF"/>
            <w:noWrap/>
            <w:vAlign w:val="bottom"/>
            <w:hideMark/>
          </w:tcPr>
          <w:p w14:paraId="7691D6D6" w14:textId="77777777" w:rsidR="001B6918" w:rsidRPr="00983460" w:rsidRDefault="001B6918" w:rsidP="00730ECF">
            <w:pPr>
              <w:rPr>
                <w:rFonts w:ascii="Calibri" w:eastAsia="Times New Roman" w:hAnsi="Calibri" w:cs="Calibri"/>
                <w:sz w:val="20"/>
                <w:szCs w:val="20"/>
              </w:rPr>
            </w:pPr>
            <w:r w:rsidRPr="00983460">
              <w:rPr>
                <w:rFonts w:ascii="Calibri" w:eastAsia="Times New Roman" w:hAnsi="Calibri" w:cs="Calibri"/>
                <w:sz w:val="20"/>
                <w:szCs w:val="20"/>
              </w:rPr>
              <w:t> </w:t>
            </w:r>
          </w:p>
        </w:tc>
      </w:tr>
      <w:tr w:rsidR="001B6918" w:rsidRPr="00E21531" w14:paraId="321C11DD" w14:textId="77777777" w:rsidTr="00730ECF">
        <w:trPr>
          <w:trHeight w:val="138"/>
          <w:jc w:val="center"/>
        </w:trPr>
        <w:tc>
          <w:tcPr>
            <w:tcW w:w="4890" w:type="dxa"/>
            <w:tcBorders>
              <w:top w:val="nil"/>
              <w:left w:val="nil"/>
              <w:bottom w:val="nil"/>
              <w:right w:val="nil"/>
            </w:tcBorders>
            <w:shd w:val="clear" w:color="000000" w:fill="FFFFFF"/>
            <w:noWrap/>
            <w:vAlign w:val="bottom"/>
            <w:hideMark/>
          </w:tcPr>
          <w:p w14:paraId="173C582F" w14:textId="77777777" w:rsidR="001B6918" w:rsidRPr="00E21531" w:rsidRDefault="001B6918" w:rsidP="00730ECF">
            <w:pPr>
              <w:ind w:firstLineChars="100" w:firstLine="200"/>
              <w:rPr>
                <w:rFonts w:ascii="Calibri" w:eastAsia="Times New Roman" w:hAnsi="Calibri" w:cs="Calibri"/>
                <w:color w:val="000000"/>
                <w:sz w:val="20"/>
                <w:szCs w:val="20"/>
              </w:rPr>
            </w:pPr>
            <w:r w:rsidRPr="00E21531">
              <w:rPr>
                <w:rFonts w:ascii="Calibri" w:eastAsia="Times New Roman" w:hAnsi="Calibri" w:cs="Calibri"/>
                <w:color w:val="000000"/>
                <w:sz w:val="20"/>
                <w:szCs w:val="20"/>
              </w:rPr>
              <w:t>Equity securities</w:t>
            </w:r>
          </w:p>
        </w:tc>
        <w:tc>
          <w:tcPr>
            <w:tcW w:w="1115" w:type="dxa"/>
            <w:tcBorders>
              <w:top w:val="nil"/>
              <w:left w:val="nil"/>
              <w:bottom w:val="nil"/>
              <w:right w:val="nil"/>
            </w:tcBorders>
            <w:shd w:val="clear" w:color="000000" w:fill="FFFFFF"/>
            <w:noWrap/>
            <w:vAlign w:val="bottom"/>
          </w:tcPr>
          <w:p w14:paraId="010FB8E0"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66,305</w:t>
            </w:r>
          </w:p>
        </w:tc>
        <w:tc>
          <w:tcPr>
            <w:tcW w:w="1115" w:type="dxa"/>
            <w:tcBorders>
              <w:top w:val="nil"/>
              <w:left w:val="nil"/>
              <w:bottom w:val="nil"/>
              <w:right w:val="nil"/>
            </w:tcBorders>
            <w:shd w:val="clear" w:color="000000" w:fill="FFFFFF"/>
            <w:noWrap/>
            <w:vAlign w:val="bottom"/>
          </w:tcPr>
          <w:p w14:paraId="53342CE2"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 </w:t>
            </w:r>
          </w:p>
        </w:tc>
        <w:tc>
          <w:tcPr>
            <w:tcW w:w="1053" w:type="dxa"/>
            <w:tcBorders>
              <w:top w:val="nil"/>
              <w:left w:val="nil"/>
              <w:bottom w:val="nil"/>
              <w:right w:val="nil"/>
            </w:tcBorders>
            <w:shd w:val="clear" w:color="000000" w:fill="FFFFFF"/>
            <w:noWrap/>
            <w:vAlign w:val="bottom"/>
          </w:tcPr>
          <w:p w14:paraId="13AACD32"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 </w:t>
            </w:r>
          </w:p>
        </w:tc>
        <w:tc>
          <w:tcPr>
            <w:tcW w:w="857" w:type="dxa"/>
            <w:tcBorders>
              <w:top w:val="nil"/>
              <w:left w:val="nil"/>
              <w:bottom w:val="nil"/>
              <w:right w:val="nil"/>
            </w:tcBorders>
            <w:shd w:val="clear" w:color="000000" w:fill="FFFFFF"/>
            <w:noWrap/>
            <w:vAlign w:val="bottom"/>
          </w:tcPr>
          <w:p w14:paraId="1A8EB61B"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 </w:t>
            </w:r>
          </w:p>
        </w:tc>
        <w:tc>
          <w:tcPr>
            <w:tcW w:w="1005" w:type="dxa"/>
            <w:tcBorders>
              <w:top w:val="nil"/>
              <w:left w:val="nil"/>
              <w:bottom w:val="nil"/>
              <w:right w:val="nil"/>
            </w:tcBorders>
            <w:shd w:val="clear" w:color="000000" w:fill="FFFFFF"/>
            <w:noWrap/>
            <w:vAlign w:val="bottom"/>
            <w:hideMark/>
          </w:tcPr>
          <w:p w14:paraId="6FECF376" w14:textId="77777777" w:rsidR="001B6918" w:rsidRPr="00983460" w:rsidRDefault="001B6918" w:rsidP="00730ECF">
            <w:pPr>
              <w:rPr>
                <w:rFonts w:ascii="Calibri" w:eastAsia="Times New Roman" w:hAnsi="Calibri" w:cs="Calibri"/>
                <w:sz w:val="20"/>
                <w:szCs w:val="20"/>
              </w:rPr>
            </w:pPr>
            <w:r w:rsidRPr="00983460">
              <w:rPr>
                <w:rFonts w:ascii="Calibri" w:eastAsia="Times New Roman" w:hAnsi="Calibri" w:cs="Calibri"/>
                <w:sz w:val="20"/>
                <w:szCs w:val="20"/>
              </w:rPr>
              <w:t> </w:t>
            </w:r>
          </w:p>
        </w:tc>
        <w:tc>
          <w:tcPr>
            <w:tcW w:w="1372" w:type="dxa"/>
            <w:tcBorders>
              <w:top w:val="nil"/>
              <w:left w:val="nil"/>
              <w:bottom w:val="nil"/>
              <w:right w:val="nil"/>
            </w:tcBorders>
            <w:shd w:val="clear" w:color="000000" w:fill="FFFFFF"/>
            <w:noWrap/>
            <w:vAlign w:val="bottom"/>
            <w:hideMark/>
          </w:tcPr>
          <w:p w14:paraId="7044E4E9" w14:textId="77777777" w:rsidR="001B6918" w:rsidRPr="00983460" w:rsidRDefault="001B6918" w:rsidP="00730ECF">
            <w:pPr>
              <w:rPr>
                <w:rFonts w:ascii="Calibri" w:eastAsia="Times New Roman" w:hAnsi="Calibri" w:cs="Calibri"/>
                <w:sz w:val="20"/>
                <w:szCs w:val="20"/>
              </w:rPr>
            </w:pPr>
            <w:r w:rsidRPr="00983460">
              <w:rPr>
                <w:rFonts w:ascii="Calibri" w:eastAsia="Times New Roman" w:hAnsi="Calibri" w:cs="Calibri"/>
                <w:sz w:val="20"/>
                <w:szCs w:val="20"/>
              </w:rPr>
              <w:t> </w:t>
            </w:r>
          </w:p>
        </w:tc>
        <w:tc>
          <w:tcPr>
            <w:tcW w:w="2459" w:type="dxa"/>
            <w:tcBorders>
              <w:top w:val="nil"/>
              <w:left w:val="nil"/>
              <w:bottom w:val="nil"/>
              <w:right w:val="nil"/>
            </w:tcBorders>
            <w:shd w:val="clear" w:color="000000" w:fill="FFFFFF"/>
            <w:noWrap/>
            <w:vAlign w:val="bottom"/>
            <w:hideMark/>
          </w:tcPr>
          <w:p w14:paraId="1E0E9FFB" w14:textId="77777777" w:rsidR="001B6918" w:rsidRPr="00983460" w:rsidRDefault="001B6918" w:rsidP="00730ECF">
            <w:pPr>
              <w:rPr>
                <w:rFonts w:ascii="Calibri" w:eastAsia="Times New Roman" w:hAnsi="Calibri" w:cs="Calibri"/>
                <w:sz w:val="20"/>
                <w:szCs w:val="20"/>
              </w:rPr>
            </w:pPr>
            <w:r w:rsidRPr="00983460">
              <w:rPr>
                <w:rFonts w:ascii="Calibri" w:eastAsia="Times New Roman" w:hAnsi="Calibri" w:cs="Calibri"/>
                <w:sz w:val="20"/>
                <w:szCs w:val="20"/>
              </w:rPr>
              <w:t> </w:t>
            </w:r>
          </w:p>
        </w:tc>
      </w:tr>
      <w:tr w:rsidR="001B6918" w:rsidRPr="00E21531" w14:paraId="27FCDAF2" w14:textId="77777777" w:rsidTr="00730ECF">
        <w:trPr>
          <w:trHeight w:val="166"/>
          <w:jc w:val="center"/>
        </w:trPr>
        <w:tc>
          <w:tcPr>
            <w:tcW w:w="4890" w:type="dxa"/>
            <w:tcBorders>
              <w:top w:val="nil"/>
              <w:left w:val="nil"/>
              <w:bottom w:val="nil"/>
              <w:right w:val="nil"/>
            </w:tcBorders>
            <w:shd w:val="clear" w:color="000000" w:fill="FFFFFF"/>
            <w:noWrap/>
            <w:vAlign w:val="bottom"/>
            <w:hideMark/>
          </w:tcPr>
          <w:p w14:paraId="79E60F2B" w14:textId="77777777" w:rsidR="001B6918" w:rsidRPr="00E21531" w:rsidRDefault="001B6918" w:rsidP="00730ECF">
            <w:pPr>
              <w:ind w:firstLineChars="100" w:firstLine="200"/>
              <w:rPr>
                <w:rFonts w:ascii="Calibri" w:eastAsia="Times New Roman" w:hAnsi="Calibri" w:cs="Calibri"/>
                <w:color w:val="000000"/>
                <w:sz w:val="20"/>
                <w:szCs w:val="20"/>
              </w:rPr>
            </w:pPr>
            <w:r w:rsidRPr="00E21531">
              <w:rPr>
                <w:rFonts w:ascii="Calibri" w:eastAsia="Times New Roman" w:hAnsi="Calibri" w:cs="Calibri"/>
                <w:color w:val="000000"/>
                <w:sz w:val="20"/>
                <w:szCs w:val="20"/>
              </w:rPr>
              <w:t>Equity funds</w:t>
            </w:r>
          </w:p>
        </w:tc>
        <w:tc>
          <w:tcPr>
            <w:tcW w:w="1115" w:type="dxa"/>
            <w:tcBorders>
              <w:top w:val="nil"/>
              <w:left w:val="nil"/>
              <w:bottom w:val="nil"/>
              <w:right w:val="nil"/>
            </w:tcBorders>
            <w:shd w:val="clear" w:color="000000" w:fill="FFFFFF"/>
            <w:noWrap/>
            <w:vAlign w:val="bottom"/>
          </w:tcPr>
          <w:p w14:paraId="09E0D431"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7,660</w:t>
            </w:r>
          </w:p>
        </w:tc>
        <w:tc>
          <w:tcPr>
            <w:tcW w:w="1115" w:type="dxa"/>
            <w:tcBorders>
              <w:top w:val="nil"/>
              <w:left w:val="nil"/>
              <w:bottom w:val="nil"/>
              <w:right w:val="nil"/>
            </w:tcBorders>
            <w:shd w:val="clear" w:color="000000" w:fill="FFFFFF"/>
            <w:noWrap/>
            <w:vAlign w:val="bottom"/>
          </w:tcPr>
          <w:p w14:paraId="1139211D"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 </w:t>
            </w:r>
          </w:p>
        </w:tc>
        <w:tc>
          <w:tcPr>
            <w:tcW w:w="1053" w:type="dxa"/>
            <w:tcBorders>
              <w:top w:val="nil"/>
              <w:left w:val="nil"/>
              <w:bottom w:val="nil"/>
              <w:right w:val="nil"/>
            </w:tcBorders>
            <w:shd w:val="clear" w:color="000000" w:fill="FFFFFF"/>
            <w:noWrap/>
            <w:vAlign w:val="bottom"/>
          </w:tcPr>
          <w:p w14:paraId="57B809AF"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 </w:t>
            </w:r>
          </w:p>
        </w:tc>
        <w:tc>
          <w:tcPr>
            <w:tcW w:w="857" w:type="dxa"/>
            <w:tcBorders>
              <w:top w:val="nil"/>
              <w:left w:val="nil"/>
              <w:bottom w:val="nil"/>
              <w:right w:val="nil"/>
            </w:tcBorders>
            <w:shd w:val="clear" w:color="000000" w:fill="FFFFFF"/>
            <w:noWrap/>
            <w:vAlign w:val="bottom"/>
          </w:tcPr>
          <w:p w14:paraId="4A586899"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 </w:t>
            </w:r>
          </w:p>
        </w:tc>
        <w:tc>
          <w:tcPr>
            <w:tcW w:w="1005" w:type="dxa"/>
            <w:tcBorders>
              <w:top w:val="nil"/>
              <w:left w:val="nil"/>
              <w:bottom w:val="nil"/>
              <w:right w:val="nil"/>
            </w:tcBorders>
            <w:shd w:val="clear" w:color="000000" w:fill="FFFFFF"/>
            <w:noWrap/>
            <w:vAlign w:val="bottom"/>
            <w:hideMark/>
          </w:tcPr>
          <w:p w14:paraId="3CB1903F" w14:textId="77777777" w:rsidR="001B6918" w:rsidRPr="00983460" w:rsidRDefault="001B6918" w:rsidP="00730ECF">
            <w:pPr>
              <w:rPr>
                <w:rFonts w:ascii="Calibri" w:eastAsia="Times New Roman" w:hAnsi="Calibri" w:cs="Calibri"/>
                <w:sz w:val="20"/>
                <w:szCs w:val="20"/>
              </w:rPr>
            </w:pPr>
            <w:r w:rsidRPr="00983460">
              <w:rPr>
                <w:rFonts w:ascii="Calibri" w:eastAsia="Times New Roman" w:hAnsi="Calibri" w:cs="Calibri"/>
                <w:sz w:val="20"/>
                <w:szCs w:val="20"/>
              </w:rPr>
              <w:t> </w:t>
            </w:r>
          </w:p>
        </w:tc>
        <w:tc>
          <w:tcPr>
            <w:tcW w:w="1372" w:type="dxa"/>
            <w:tcBorders>
              <w:top w:val="nil"/>
              <w:left w:val="nil"/>
              <w:bottom w:val="nil"/>
              <w:right w:val="nil"/>
            </w:tcBorders>
            <w:shd w:val="clear" w:color="000000" w:fill="FFFFFF"/>
            <w:noWrap/>
            <w:vAlign w:val="bottom"/>
            <w:hideMark/>
          </w:tcPr>
          <w:p w14:paraId="02F7927D" w14:textId="77777777" w:rsidR="001B6918" w:rsidRPr="00983460" w:rsidRDefault="001B6918" w:rsidP="00730ECF">
            <w:pPr>
              <w:rPr>
                <w:rFonts w:ascii="Calibri" w:eastAsia="Times New Roman" w:hAnsi="Calibri" w:cs="Calibri"/>
                <w:sz w:val="20"/>
                <w:szCs w:val="20"/>
              </w:rPr>
            </w:pPr>
            <w:r w:rsidRPr="00983460">
              <w:rPr>
                <w:rFonts w:ascii="Calibri" w:eastAsia="Times New Roman" w:hAnsi="Calibri" w:cs="Calibri"/>
                <w:sz w:val="20"/>
                <w:szCs w:val="20"/>
              </w:rPr>
              <w:t> </w:t>
            </w:r>
          </w:p>
        </w:tc>
        <w:tc>
          <w:tcPr>
            <w:tcW w:w="2459" w:type="dxa"/>
            <w:tcBorders>
              <w:top w:val="nil"/>
              <w:left w:val="nil"/>
              <w:bottom w:val="nil"/>
              <w:right w:val="nil"/>
            </w:tcBorders>
            <w:shd w:val="clear" w:color="000000" w:fill="FFFFFF"/>
            <w:noWrap/>
            <w:vAlign w:val="bottom"/>
            <w:hideMark/>
          </w:tcPr>
          <w:p w14:paraId="6EBB7177" w14:textId="77777777" w:rsidR="001B6918" w:rsidRPr="00983460" w:rsidRDefault="001B6918" w:rsidP="00730ECF">
            <w:pPr>
              <w:rPr>
                <w:rFonts w:ascii="Calibri" w:eastAsia="Times New Roman" w:hAnsi="Calibri" w:cs="Calibri"/>
                <w:sz w:val="20"/>
                <w:szCs w:val="20"/>
              </w:rPr>
            </w:pPr>
            <w:r w:rsidRPr="00983460">
              <w:rPr>
                <w:rFonts w:ascii="Calibri" w:eastAsia="Times New Roman" w:hAnsi="Calibri" w:cs="Calibri"/>
                <w:sz w:val="20"/>
                <w:szCs w:val="20"/>
              </w:rPr>
              <w:t> </w:t>
            </w:r>
          </w:p>
        </w:tc>
      </w:tr>
      <w:tr w:rsidR="001B6918" w:rsidRPr="00E21531" w14:paraId="24A29B8B" w14:textId="77777777" w:rsidTr="00730ECF">
        <w:trPr>
          <w:trHeight w:val="92"/>
          <w:jc w:val="center"/>
        </w:trPr>
        <w:tc>
          <w:tcPr>
            <w:tcW w:w="4890" w:type="dxa"/>
            <w:tcBorders>
              <w:top w:val="nil"/>
              <w:left w:val="nil"/>
              <w:bottom w:val="nil"/>
              <w:right w:val="nil"/>
            </w:tcBorders>
            <w:shd w:val="clear" w:color="000000" w:fill="FFFFFF"/>
            <w:noWrap/>
            <w:vAlign w:val="bottom"/>
            <w:hideMark/>
          </w:tcPr>
          <w:p w14:paraId="2A6831EF" w14:textId="77777777" w:rsidR="001B6918" w:rsidRPr="00E21531" w:rsidRDefault="001B6918" w:rsidP="00730ECF">
            <w:pPr>
              <w:ind w:firstLineChars="100" w:firstLine="200"/>
              <w:rPr>
                <w:rFonts w:ascii="Calibri" w:eastAsia="Times New Roman" w:hAnsi="Calibri" w:cs="Calibri"/>
                <w:color w:val="000000"/>
                <w:sz w:val="20"/>
                <w:szCs w:val="20"/>
              </w:rPr>
            </w:pPr>
            <w:r w:rsidRPr="00E21531">
              <w:rPr>
                <w:rFonts w:ascii="Calibri" w:eastAsia="Times New Roman" w:hAnsi="Calibri" w:cs="Calibri"/>
                <w:color w:val="000000"/>
                <w:sz w:val="20"/>
                <w:szCs w:val="20"/>
              </w:rPr>
              <w:t>Multi-strategy funds</w:t>
            </w:r>
          </w:p>
        </w:tc>
        <w:tc>
          <w:tcPr>
            <w:tcW w:w="1115" w:type="dxa"/>
            <w:tcBorders>
              <w:top w:val="nil"/>
              <w:left w:val="nil"/>
              <w:bottom w:val="nil"/>
              <w:right w:val="nil"/>
            </w:tcBorders>
            <w:shd w:val="clear" w:color="000000" w:fill="FFFFFF"/>
            <w:noWrap/>
            <w:vAlign w:val="bottom"/>
          </w:tcPr>
          <w:p w14:paraId="7A506441"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30,049</w:t>
            </w:r>
          </w:p>
        </w:tc>
        <w:tc>
          <w:tcPr>
            <w:tcW w:w="1115" w:type="dxa"/>
            <w:tcBorders>
              <w:top w:val="nil"/>
              <w:left w:val="nil"/>
              <w:bottom w:val="nil"/>
              <w:right w:val="nil"/>
            </w:tcBorders>
            <w:shd w:val="clear" w:color="000000" w:fill="FFFFFF"/>
            <w:noWrap/>
            <w:vAlign w:val="bottom"/>
          </w:tcPr>
          <w:p w14:paraId="792307EC"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 </w:t>
            </w:r>
          </w:p>
        </w:tc>
        <w:tc>
          <w:tcPr>
            <w:tcW w:w="1053" w:type="dxa"/>
            <w:tcBorders>
              <w:top w:val="nil"/>
              <w:left w:val="nil"/>
              <w:bottom w:val="nil"/>
              <w:right w:val="nil"/>
            </w:tcBorders>
            <w:shd w:val="clear" w:color="000000" w:fill="FFFFFF"/>
            <w:noWrap/>
            <w:vAlign w:val="bottom"/>
          </w:tcPr>
          <w:p w14:paraId="4FF3E1BE"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 </w:t>
            </w:r>
          </w:p>
        </w:tc>
        <w:tc>
          <w:tcPr>
            <w:tcW w:w="857" w:type="dxa"/>
            <w:tcBorders>
              <w:top w:val="nil"/>
              <w:left w:val="nil"/>
              <w:bottom w:val="nil"/>
              <w:right w:val="nil"/>
            </w:tcBorders>
            <w:shd w:val="clear" w:color="000000" w:fill="FFFFFF"/>
            <w:noWrap/>
            <w:vAlign w:val="bottom"/>
          </w:tcPr>
          <w:p w14:paraId="5A281D59"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 </w:t>
            </w:r>
          </w:p>
        </w:tc>
        <w:tc>
          <w:tcPr>
            <w:tcW w:w="1005" w:type="dxa"/>
            <w:tcBorders>
              <w:top w:val="nil"/>
              <w:left w:val="nil"/>
              <w:bottom w:val="nil"/>
              <w:right w:val="nil"/>
            </w:tcBorders>
            <w:shd w:val="clear" w:color="000000" w:fill="FFFFFF"/>
            <w:noWrap/>
            <w:vAlign w:val="bottom"/>
            <w:hideMark/>
          </w:tcPr>
          <w:p w14:paraId="4FFACBAD" w14:textId="77777777" w:rsidR="001B6918" w:rsidRPr="00983460" w:rsidRDefault="001B6918" w:rsidP="00730ECF">
            <w:pPr>
              <w:rPr>
                <w:rFonts w:ascii="Calibri" w:eastAsia="Times New Roman" w:hAnsi="Calibri" w:cs="Calibri"/>
                <w:sz w:val="20"/>
                <w:szCs w:val="20"/>
              </w:rPr>
            </w:pPr>
            <w:r w:rsidRPr="00983460">
              <w:rPr>
                <w:rFonts w:ascii="Calibri" w:eastAsia="Times New Roman" w:hAnsi="Calibri" w:cs="Calibri"/>
                <w:sz w:val="20"/>
                <w:szCs w:val="20"/>
              </w:rPr>
              <w:t> </w:t>
            </w:r>
          </w:p>
        </w:tc>
        <w:tc>
          <w:tcPr>
            <w:tcW w:w="1372" w:type="dxa"/>
            <w:tcBorders>
              <w:top w:val="nil"/>
              <w:left w:val="nil"/>
              <w:bottom w:val="nil"/>
              <w:right w:val="nil"/>
            </w:tcBorders>
            <w:shd w:val="clear" w:color="000000" w:fill="FFFFFF"/>
            <w:noWrap/>
            <w:vAlign w:val="bottom"/>
            <w:hideMark/>
          </w:tcPr>
          <w:p w14:paraId="63649EB6" w14:textId="77777777" w:rsidR="001B6918" w:rsidRPr="00983460" w:rsidRDefault="001B6918" w:rsidP="00730ECF">
            <w:pPr>
              <w:rPr>
                <w:rFonts w:ascii="Calibri" w:eastAsia="Times New Roman" w:hAnsi="Calibri" w:cs="Calibri"/>
                <w:sz w:val="20"/>
                <w:szCs w:val="20"/>
              </w:rPr>
            </w:pPr>
            <w:r w:rsidRPr="00983460">
              <w:rPr>
                <w:rFonts w:ascii="Calibri" w:eastAsia="Times New Roman" w:hAnsi="Calibri" w:cs="Calibri"/>
                <w:sz w:val="20"/>
                <w:szCs w:val="20"/>
              </w:rPr>
              <w:t> </w:t>
            </w:r>
          </w:p>
        </w:tc>
        <w:tc>
          <w:tcPr>
            <w:tcW w:w="2459" w:type="dxa"/>
            <w:tcBorders>
              <w:top w:val="nil"/>
              <w:left w:val="nil"/>
              <w:bottom w:val="nil"/>
              <w:right w:val="nil"/>
            </w:tcBorders>
            <w:shd w:val="clear" w:color="000000" w:fill="FFFFFF"/>
            <w:noWrap/>
            <w:vAlign w:val="bottom"/>
            <w:hideMark/>
          </w:tcPr>
          <w:p w14:paraId="2629976B" w14:textId="77777777" w:rsidR="001B6918" w:rsidRPr="00983460" w:rsidRDefault="001B6918" w:rsidP="00730ECF">
            <w:pPr>
              <w:rPr>
                <w:rFonts w:ascii="Calibri" w:eastAsia="Times New Roman" w:hAnsi="Calibri" w:cs="Calibri"/>
                <w:sz w:val="20"/>
                <w:szCs w:val="20"/>
              </w:rPr>
            </w:pPr>
            <w:r w:rsidRPr="00983460">
              <w:rPr>
                <w:rFonts w:ascii="Calibri" w:eastAsia="Times New Roman" w:hAnsi="Calibri" w:cs="Calibri"/>
                <w:sz w:val="20"/>
                <w:szCs w:val="20"/>
              </w:rPr>
              <w:t> </w:t>
            </w:r>
          </w:p>
        </w:tc>
      </w:tr>
      <w:tr w:rsidR="001B6918" w:rsidRPr="00E21531" w14:paraId="364D37A6" w14:textId="77777777" w:rsidTr="00730ECF">
        <w:trPr>
          <w:trHeight w:val="120"/>
          <w:jc w:val="center"/>
        </w:trPr>
        <w:tc>
          <w:tcPr>
            <w:tcW w:w="4890" w:type="dxa"/>
            <w:tcBorders>
              <w:top w:val="nil"/>
              <w:left w:val="nil"/>
              <w:bottom w:val="nil"/>
              <w:right w:val="nil"/>
            </w:tcBorders>
            <w:shd w:val="clear" w:color="000000" w:fill="FFFFFF"/>
            <w:noWrap/>
            <w:vAlign w:val="bottom"/>
            <w:hideMark/>
          </w:tcPr>
          <w:p w14:paraId="0D35FBC4" w14:textId="77777777" w:rsidR="001B6918" w:rsidRPr="00E21531" w:rsidRDefault="001B6918" w:rsidP="00730ECF">
            <w:pPr>
              <w:ind w:firstLineChars="100" w:firstLine="200"/>
              <w:rPr>
                <w:rFonts w:ascii="Calibri" w:eastAsia="Times New Roman" w:hAnsi="Calibri" w:cs="Calibri"/>
                <w:color w:val="000000"/>
                <w:sz w:val="20"/>
                <w:szCs w:val="20"/>
              </w:rPr>
            </w:pPr>
            <w:r w:rsidRPr="00E21531">
              <w:rPr>
                <w:rFonts w:ascii="Calibri" w:eastAsia="Times New Roman" w:hAnsi="Calibri" w:cs="Calibri"/>
                <w:color w:val="000000"/>
                <w:sz w:val="20"/>
                <w:szCs w:val="20"/>
              </w:rPr>
              <w:t>Fixed income funds - bonds</w:t>
            </w:r>
          </w:p>
        </w:tc>
        <w:tc>
          <w:tcPr>
            <w:tcW w:w="1115" w:type="dxa"/>
            <w:tcBorders>
              <w:top w:val="nil"/>
              <w:left w:val="nil"/>
              <w:bottom w:val="nil"/>
              <w:right w:val="nil"/>
            </w:tcBorders>
            <w:shd w:val="clear" w:color="000000" w:fill="FFFFFF"/>
            <w:noWrap/>
            <w:vAlign w:val="bottom"/>
          </w:tcPr>
          <w:p w14:paraId="6B0840A1"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25,869</w:t>
            </w:r>
          </w:p>
        </w:tc>
        <w:tc>
          <w:tcPr>
            <w:tcW w:w="1115" w:type="dxa"/>
            <w:tcBorders>
              <w:top w:val="nil"/>
              <w:left w:val="nil"/>
              <w:bottom w:val="nil"/>
              <w:right w:val="nil"/>
            </w:tcBorders>
            <w:shd w:val="clear" w:color="000000" w:fill="FFFFFF"/>
            <w:noWrap/>
            <w:vAlign w:val="bottom"/>
          </w:tcPr>
          <w:p w14:paraId="36A443B2"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 </w:t>
            </w:r>
          </w:p>
        </w:tc>
        <w:tc>
          <w:tcPr>
            <w:tcW w:w="1053" w:type="dxa"/>
            <w:tcBorders>
              <w:top w:val="nil"/>
              <w:left w:val="nil"/>
              <w:bottom w:val="nil"/>
              <w:right w:val="nil"/>
            </w:tcBorders>
            <w:shd w:val="clear" w:color="000000" w:fill="FFFFFF"/>
            <w:noWrap/>
            <w:vAlign w:val="bottom"/>
          </w:tcPr>
          <w:p w14:paraId="56C5CA05"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 </w:t>
            </w:r>
          </w:p>
        </w:tc>
        <w:tc>
          <w:tcPr>
            <w:tcW w:w="857" w:type="dxa"/>
            <w:tcBorders>
              <w:top w:val="nil"/>
              <w:left w:val="nil"/>
              <w:bottom w:val="nil"/>
              <w:right w:val="nil"/>
            </w:tcBorders>
            <w:shd w:val="clear" w:color="000000" w:fill="FFFFFF"/>
            <w:noWrap/>
            <w:vAlign w:val="bottom"/>
          </w:tcPr>
          <w:p w14:paraId="7CE41128"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 </w:t>
            </w:r>
          </w:p>
        </w:tc>
        <w:tc>
          <w:tcPr>
            <w:tcW w:w="1005" w:type="dxa"/>
            <w:tcBorders>
              <w:top w:val="nil"/>
              <w:left w:val="nil"/>
              <w:bottom w:val="nil"/>
              <w:right w:val="nil"/>
            </w:tcBorders>
            <w:shd w:val="clear" w:color="000000" w:fill="FFFFFF"/>
            <w:noWrap/>
            <w:vAlign w:val="bottom"/>
            <w:hideMark/>
          </w:tcPr>
          <w:p w14:paraId="54732896" w14:textId="77777777" w:rsidR="001B6918" w:rsidRPr="00983460" w:rsidRDefault="001B6918" w:rsidP="00730ECF">
            <w:pPr>
              <w:rPr>
                <w:rFonts w:ascii="Calibri" w:eastAsia="Times New Roman" w:hAnsi="Calibri" w:cs="Calibri"/>
                <w:sz w:val="20"/>
                <w:szCs w:val="20"/>
              </w:rPr>
            </w:pPr>
            <w:r w:rsidRPr="00983460">
              <w:rPr>
                <w:rFonts w:ascii="Calibri" w:eastAsia="Times New Roman" w:hAnsi="Calibri" w:cs="Calibri"/>
                <w:sz w:val="20"/>
                <w:szCs w:val="20"/>
              </w:rPr>
              <w:t> </w:t>
            </w:r>
          </w:p>
        </w:tc>
        <w:tc>
          <w:tcPr>
            <w:tcW w:w="1372" w:type="dxa"/>
            <w:tcBorders>
              <w:top w:val="nil"/>
              <w:left w:val="nil"/>
              <w:bottom w:val="nil"/>
              <w:right w:val="nil"/>
            </w:tcBorders>
            <w:shd w:val="clear" w:color="000000" w:fill="FFFFFF"/>
            <w:noWrap/>
            <w:vAlign w:val="bottom"/>
            <w:hideMark/>
          </w:tcPr>
          <w:p w14:paraId="60E8E279" w14:textId="77777777" w:rsidR="001B6918" w:rsidRPr="00983460" w:rsidRDefault="001B6918" w:rsidP="00730ECF">
            <w:pPr>
              <w:rPr>
                <w:rFonts w:ascii="Calibri" w:eastAsia="Times New Roman" w:hAnsi="Calibri" w:cs="Calibri"/>
                <w:sz w:val="20"/>
                <w:szCs w:val="20"/>
              </w:rPr>
            </w:pPr>
            <w:r w:rsidRPr="00983460">
              <w:rPr>
                <w:rFonts w:ascii="Calibri" w:eastAsia="Times New Roman" w:hAnsi="Calibri" w:cs="Calibri"/>
                <w:sz w:val="20"/>
                <w:szCs w:val="20"/>
              </w:rPr>
              <w:t> </w:t>
            </w:r>
          </w:p>
        </w:tc>
        <w:tc>
          <w:tcPr>
            <w:tcW w:w="2459" w:type="dxa"/>
            <w:tcBorders>
              <w:top w:val="nil"/>
              <w:left w:val="nil"/>
              <w:bottom w:val="nil"/>
              <w:right w:val="nil"/>
            </w:tcBorders>
            <w:shd w:val="clear" w:color="000000" w:fill="FFFFFF"/>
            <w:noWrap/>
            <w:vAlign w:val="bottom"/>
            <w:hideMark/>
          </w:tcPr>
          <w:p w14:paraId="61452FF2" w14:textId="77777777" w:rsidR="001B6918" w:rsidRPr="00983460" w:rsidRDefault="001B6918" w:rsidP="00730ECF">
            <w:pPr>
              <w:rPr>
                <w:rFonts w:ascii="Calibri" w:eastAsia="Times New Roman" w:hAnsi="Calibri" w:cs="Calibri"/>
                <w:sz w:val="20"/>
                <w:szCs w:val="20"/>
              </w:rPr>
            </w:pPr>
            <w:r w:rsidRPr="00983460">
              <w:rPr>
                <w:rFonts w:ascii="Calibri" w:eastAsia="Times New Roman" w:hAnsi="Calibri" w:cs="Calibri"/>
                <w:sz w:val="20"/>
                <w:szCs w:val="20"/>
              </w:rPr>
              <w:t> </w:t>
            </w:r>
          </w:p>
        </w:tc>
      </w:tr>
      <w:tr w:rsidR="001B6918" w:rsidRPr="00E21531" w14:paraId="00A940F4" w14:textId="77777777" w:rsidTr="00730ECF">
        <w:trPr>
          <w:trHeight w:val="82"/>
          <w:jc w:val="center"/>
        </w:trPr>
        <w:tc>
          <w:tcPr>
            <w:tcW w:w="4890" w:type="dxa"/>
            <w:tcBorders>
              <w:top w:val="nil"/>
              <w:left w:val="nil"/>
              <w:bottom w:val="nil"/>
              <w:right w:val="nil"/>
            </w:tcBorders>
            <w:shd w:val="clear" w:color="000000" w:fill="FFFFFF"/>
            <w:noWrap/>
            <w:vAlign w:val="bottom"/>
            <w:hideMark/>
          </w:tcPr>
          <w:p w14:paraId="4B5CA1E3" w14:textId="77777777" w:rsidR="001B6918" w:rsidRPr="00E21531" w:rsidRDefault="001B6918" w:rsidP="00730ECF">
            <w:pPr>
              <w:ind w:firstLineChars="100" w:firstLine="200"/>
              <w:rPr>
                <w:rFonts w:ascii="Calibri" w:eastAsia="Times New Roman" w:hAnsi="Calibri" w:cs="Calibri"/>
                <w:color w:val="000000"/>
                <w:sz w:val="20"/>
                <w:szCs w:val="20"/>
              </w:rPr>
            </w:pPr>
            <w:r w:rsidRPr="00E21531">
              <w:rPr>
                <w:rFonts w:ascii="Calibri" w:eastAsia="Times New Roman" w:hAnsi="Calibri" w:cs="Calibri"/>
                <w:color w:val="000000"/>
                <w:sz w:val="20"/>
                <w:szCs w:val="20"/>
              </w:rPr>
              <w:t>Bank loans</w:t>
            </w:r>
          </w:p>
        </w:tc>
        <w:tc>
          <w:tcPr>
            <w:tcW w:w="1115" w:type="dxa"/>
            <w:tcBorders>
              <w:top w:val="nil"/>
              <w:left w:val="nil"/>
              <w:bottom w:val="single" w:sz="4" w:space="0" w:color="000000"/>
              <w:right w:val="nil"/>
            </w:tcBorders>
            <w:shd w:val="clear" w:color="000000" w:fill="FFFFFF"/>
            <w:noWrap/>
            <w:vAlign w:val="bottom"/>
          </w:tcPr>
          <w:p w14:paraId="3BBB5F5A"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21,069</w:t>
            </w:r>
          </w:p>
        </w:tc>
        <w:tc>
          <w:tcPr>
            <w:tcW w:w="1115" w:type="dxa"/>
            <w:tcBorders>
              <w:top w:val="nil"/>
              <w:left w:val="nil"/>
              <w:bottom w:val="nil"/>
              <w:right w:val="nil"/>
            </w:tcBorders>
            <w:shd w:val="clear" w:color="000000" w:fill="FFFFFF"/>
            <w:noWrap/>
            <w:vAlign w:val="bottom"/>
          </w:tcPr>
          <w:p w14:paraId="1E45CA07"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 </w:t>
            </w:r>
          </w:p>
        </w:tc>
        <w:tc>
          <w:tcPr>
            <w:tcW w:w="1053" w:type="dxa"/>
            <w:tcBorders>
              <w:top w:val="nil"/>
              <w:left w:val="nil"/>
              <w:bottom w:val="nil"/>
              <w:right w:val="nil"/>
            </w:tcBorders>
            <w:shd w:val="clear" w:color="000000" w:fill="FFFFFF"/>
            <w:noWrap/>
            <w:vAlign w:val="bottom"/>
          </w:tcPr>
          <w:p w14:paraId="76642935"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 </w:t>
            </w:r>
          </w:p>
        </w:tc>
        <w:tc>
          <w:tcPr>
            <w:tcW w:w="857" w:type="dxa"/>
            <w:tcBorders>
              <w:top w:val="nil"/>
              <w:left w:val="nil"/>
              <w:bottom w:val="nil"/>
              <w:right w:val="nil"/>
            </w:tcBorders>
            <w:shd w:val="clear" w:color="000000" w:fill="FFFFFF"/>
            <w:noWrap/>
            <w:vAlign w:val="bottom"/>
          </w:tcPr>
          <w:p w14:paraId="7B8DDF12"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 </w:t>
            </w:r>
          </w:p>
        </w:tc>
        <w:tc>
          <w:tcPr>
            <w:tcW w:w="1005" w:type="dxa"/>
            <w:tcBorders>
              <w:top w:val="nil"/>
              <w:left w:val="nil"/>
              <w:bottom w:val="nil"/>
              <w:right w:val="nil"/>
            </w:tcBorders>
            <w:shd w:val="clear" w:color="000000" w:fill="FFFFFF"/>
            <w:noWrap/>
            <w:vAlign w:val="bottom"/>
            <w:hideMark/>
          </w:tcPr>
          <w:p w14:paraId="0CB3A975" w14:textId="77777777" w:rsidR="001B6918" w:rsidRPr="00983460" w:rsidRDefault="001B6918" w:rsidP="00730ECF">
            <w:pPr>
              <w:jc w:val="center"/>
              <w:rPr>
                <w:rFonts w:ascii="Calibri" w:eastAsia="Times New Roman" w:hAnsi="Calibri" w:cs="Calibri"/>
                <w:sz w:val="20"/>
                <w:szCs w:val="20"/>
              </w:rPr>
            </w:pPr>
            <w:r w:rsidRPr="00983460">
              <w:rPr>
                <w:rFonts w:ascii="Calibri" w:eastAsia="Times New Roman" w:hAnsi="Calibri" w:cs="Calibri"/>
                <w:sz w:val="20"/>
                <w:szCs w:val="20"/>
              </w:rPr>
              <w:t xml:space="preserve">Not rated </w:t>
            </w:r>
          </w:p>
        </w:tc>
        <w:tc>
          <w:tcPr>
            <w:tcW w:w="1372" w:type="dxa"/>
            <w:tcBorders>
              <w:top w:val="nil"/>
              <w:left w:val="nil"/>
              <w:bottom w:val="nil"/>
              <w:right w:val="nil"/>
            </w:tcBorders>
            <w:shd w:val="clear" w:color="000000" w:fill="FFFFFF"/>
            <w:noWrap/>
            <w:vAlign w:val="bottom"/>
            <w:hideMark/>
          </w:tcPr>
          <w:p w14:paraId="6378A0FA" w14:textId="77777777" w:rsidR="001B6918" w:rsidRPr="00983460" w:rsidRDefault="001B6918" w:rsidP="00730ECF">
            <w:pPr>
              <w:jc w:val="center"/>
              <w:rPr>
                <w:rFonts w:ascii="Calibri" w:eastAsia="Times New Roman" w:hAnsi="Calibri" w:cs="Calibri"/>
                <w:sz w:val="20"/>
                <w:szCs w:val="20"/>
              </w:rPr>
            </w:pPr>
            <w:r w:rsidRPr="00983460">
              <w:rPr>
                <w:rFonts w:ascii="Calibri" w:eastAsia="Times New Roman" w:hAnsi="Calibri" w:cs="Calibri"/>
                <w:sz w:val="20"/>
                <w:szCs w:val="20"/>
              </w:rPr>
              <w:t>0.08 years</w:t>
            </w:r>
          </w:p>
        </w:tc>
        <w:tc>
          <w:tcPr>
            <w:tcW w:w="2459" w:type="dxa"/>
            <w:tcBorders>
              <w:top w:val="nil"/>
              <w:left w:val="nil"/>
              <w:bottom w:val="nil"/>
              <w:right w:val="nil"/>
            </w:tcBorders>
            <w:shd w:val="clear" w:color="000000" w:fill="FFFFFF"/>
            <w:noWrap/>
            <w:vAlign w:val="bottom"/>
            <w:hideMark/>
          </w:tcPr>
          <w:p w14:paraId="25C48EDB" w14:textId="77777777" w:rsidR="001B6918" w:rsidRPr="00983460" w:rsidRDefault="001B6918" w:rsidP="00730ECF">
            <w:pPr>
              <w:rPr>
                <w:rFonts w:ascii="Calibri" w:eastAsia="Times New Roman" w:hAnsi="Calibri" w:cs="Calibri"/>
                <w:sz w:val="20"/>
                <w:szCs w:val="20"/>
              </w:rPr>
            </w:pPr>
            <w:r w:rsidRPr="00983460">
              <w:rPr>
                <w:rFonts w:ascii="Calibri" w:eastAsia="Times New Roman" w:hAnsi="Calibri" w:cs="Calibri"/>
                <w:sz w:val="20"/>
                <w:szCs w:val="20"/>
              </w:rPr>
              <w:t>Duration</w:t>
            </w:r>
          </w:p>
        </w:tc>
      </w:tr>
      <w:tr w:rsidR="001B6918" w:rsidRPr="00E21531" w14:paraId="3FE36092" w14:textId="77777777" w:rsidTr="00730ECF">
        <w:trPr>
          <w:trHeight w:val="71"/>
          <w:jc w:val="center"/>
        </w:trPr>
        <w:tc>
          <w:tcPr>
            <w:tcW w:w="4890" w:type="dxa"/>
            <w:tcBorders>
              <w:top w:val="nil"/>
              <w:left w:val="nil"/>
              <w:bottom w:val="nil"/>
              <w:right w:val="nil"/>
            </w:tcBorders>
            <w:shd w:val="clear" w:color="000000" w:fill="FFFFFF"/>
            <w:noWrap/>
            <w:vAlign w:val="bottom"/>
            <w:hideMark/>
          </w:tcPr>
          <w:p w14:paraId="782D7880" w14:textId="77777777" w:rsidR="001B6918" w:rsidRPr="00E21531" w:rsidRDefault="001B6918" w:rsidP="00730ECF">
            <w:pPr>
              <w:ind w:firstLineChars="100" w:firstLine="200"/>
              <w:rPr>
                <w:rFonts w:ascii="Calibri" w:eastAsia="Times New Roman" w:hAnsi="Calibri" w:cs="Calibri"/>
                <w:color w:val="000000"/>
                <w:sz w:val="20"/>
                <w:szCs w:val="20"/>
              </w:rPr>
            </w:pPr>
            <w:r w:rsidRPr="00E21531">
              <w:rPr>
                <w:rFonts w:ascii="Calibri" w:eastAsia="Times New Roman" w:hAnsi="Calibri" w:cs="Calibri"/>
                <w:color w:val="000000"/>
                <w:sz w:val="20"/>
                <w:szCs w:val="20"/>
              </w:rPr>
              <w:t>Total DB Plan and MIP investments measured at NAV</w:t>
            </w:r>
          </w:p>
        </w:tc>
        <w:tc>
          <w:tcPr>
            <w:tcW w:w="1115" w:type="dxa"/>
            <w:tcBorders>
              <w:top w:val="nil"/>
              <w:left w:val="nil"/>
              <w:bottom w:val="single" w:sz="4" w:space="0" w:color="000000"/>
              <w:right w:val="nil"/>
            </w:tcBorders>
            <w:shd w:val="clear" w:color="000000" w:fill="FFFFFF"/>
            <w:noWrap/>
            <w:vAlign w:val="bottom"/>
          </w:tcPr>
          <w:p w14:paraId="0374B89F"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150,952</w:t>
            </w:r>
          </w:p>
        </w:tc>
        <w:tc>
          <w:tcPr>
            <w:tcW w:w="1115" w:type="dxa"/>
            <w:tcBorders>
              <w:top w:val="nil"/>
              <w:left w:val="nil"/>
              <w:bottom w:val="nil"/>
              <w:right w:val="nil"/>
            </w:tcBorders>
            <w:shd w:val="clear" w:color="000000" w:fill="FFFFFF"/>
            <w:noWrap/>
            <w:vAlign w:val="bottom"/>
          </w:tcPr>
          <w:p w14:paraId="2FDB5CFE"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 </w:t>
            </w:r>
          </w:p>
        </w:tc>
        <w:tc>
          <w:tcPr>
            <w:tcW w:w="1053" w:type="dxa"/>
            <w:tcBorders>
              <w:top w:val="nil"/>
              <w:left w:val="nil"/>
              <w:bottom w:val="nil"/>
              <w:right w:val="nil"/>
            </w:tcBorders>
            <w:shd w:val="clear" w:color="000000" w:fill="FFFFFF"/>
            <w:noWrap/>
            <w:vAlign w:val="bottom"/>
          </w:tcPr>
          <w:p w14:paraId="0D8B3CB7"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 </w:t>
            </w:r>
          </w:p>
        </w:tc>
        <w:tc>
          <w:tcPr>
            <w:tcW w:w="857" w:type="dxa"/>
            <w:tcBorders>
              <w:top w:val="nil"/>
              <w:left w:val="nil"/>
              <w:bottom w:val="nil"/>
              <w:right w:val="nil"/>
            </w:tcBorders>
            <w:shd w:val="clear" w:color="000000" w:fill="FFFFFF"/>
            <w:noWrap/>
            <w:vAlign w:val="bottom"/>
          </w:tcPr>
          <w:p w14:paraId="31A4F40D"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 </w:t>
            </w:r>
          </w:p>
        </w:tc>
        <w:tc>
          <w:tcPr>
            <w:tcW w:w="1005" w:type="dxa"/>
            <w:tcBorders>
              <w:top w:val="nil"/>
              <w:left w:val="nil"/>
              <w:bottom w:val="nil"/>
              <w:right w:val="nil"/>
            </w:tcBorders>
            <w:shd w:val="clear" w:color="000000" w:fill="FFFFFF"/>
            <w:noWrap/>
            <w:vAlign w:val="bottom"/>
            <w:hideMark/>
          </w:tcPr>
          <w:p w14:paraId="203359B6" w14:textId="77777777" w:rsidR="001B6918" w:rsidRPr="00983460" w:rsidRDefault="001B6918" w:rsidP="00730ECF">
            <w:pPr>
              <w:rPr>
                <w:rFonts w:ascii="Calibri" w:eastAsia="Times New Roman" w:hAnsi="Calibri" w:cs="Calibri"/>
                <w:sz w:val="20"/>
                <w:szCs w:val="20"/>
              </w:rPr>
            </w:pPr>
            <w:r w:rsidRPr="00983460">
              <w:rPr>
                <w:rFonts w:ascii="Calibri" w:eastAsia="Times New Roman" w:hAnsi="Calibri" w:cs="Calibri"/>
                <w:sz w:val="20"/>
                <w:szCs w:val="20"/>
              </w:rPr>
              <w:t> </w:t>
            </w:r>
          </w:p>
        </w:tc>
        <w:tc>
          <w:tcPr>
            <w:tcW w:w="1372" w:type="dxa"/>
            <w:tcBorders>
              <w:top w:val="nil"/>
              <w:left w:val="nil"/>
              <w:bottom w:val="nil"/>
              <w:right w:val="nil"/>
            </w:tcBorders>
            <w:shd w:val="clear" w:color="000000" w:fill="FFFFFF"/>
            <w:noWrap/>
            <w:vAlign w:val="bottom"/>
            <w:hideMark/>
          </w:tcPr>
          <w:p w14:paraId="6D055D6D" w14:textId="77777777" w:rsidR="001B6918" w:rsidRPr="00983460" w:rsidRDefault="001B6918" w:rsidP="00730ECF">
            <w:pPr>
              <w:rPr>
                <w:rFonts w:ascii="Calibri" w:eastAsia="Times New Roman" w:hAnsi="Calibri" w:cs="Calibri"/>
                <w:sz w:val="20"/>
                <w:szCs w:val="20"/>
              </w:rPr>
            </w:pPr>
            <w:r w:rsidRPr="00983460">
              <w:rPr>
                <w:rFonts w:ascii="Calibri" w:eastAsia="Times New Roman" w:hAnsi="Calibri" w:cs="Calibri"/>
                <w:sz w:val="20"/>
                <w:szCs w:val="20"/>
              </w:rPr>
              <w:t> </w:t>
            </w:r>
          </w:p>
        </w:tc>
        <w:tc>
          <w:tcPr>
            <w:tcW w:w="2459" w:type="dxa"/>
            <w:tcBorders>
              <w:top w:val="nil"/>
              <w:left w:val="nil"/>
              <w:bottom w:val="nil"/>
              <w:right w:val="nil"/>
            </w:tcBorders>
            <w:shd w:val="clear" w:color="000000" w:fill="FFFFFF"/>
            <w:noWrap/>
            <w:vAlign w:val="bottom"/>
            <w:hideMark/>
          </w:tcPr>
          <w:p w14:paraId="01DE154A" w14:textId="77777777" w:rsidR="001B6918" w:rsidRPr="00983460" w:rsidRDefault="001B6918" w:rsidP="00730ECF">
            <w:pPr>
              <w:rPr>
                <w:rFonts w:ascii="Calibri" w:eastAsia="Times New Roman" w:hAnsi="Calibri" w:cs="Calibri"/>
                <w:sz w:val="20"/>
                <w:szCs w:val="20"/>
              </w:rPr>
            </w:pPr>
            <w:r w:rsidRPr="00983460">
              <w:rPr>
                <w:rFonts w:ascii="Calibri" w:eastAsia="Times New Roman" w:hAnsi="Calibri" w:cs="Calibri"/>
                <w:sz w:val="20"/>
                <w:szCs w:val="20"/>
              </w:rPr>
              <w:t> </w:t>
            </w:r>
          </w:p>
        </w:tc>
      </w:tr>
      <w:tr w:rsidR="001B6918" w:rsidRPr="00E21531" w14:paraId="5E089B67" w14:textId="77777777" w:rsidTr="00730ECF">
        <w:trPr>
          <w:trHeight w:val="100"/>
          <w:jc w:val="center"/>
        </w:trPr>
        <w:tc>
          <w:tcPr>
            <w:tcW w:w="4890" w:type="dxa"/>
            <w:tcBorders>
              <w:top w:val="nil"/>
              <w:left w:val="nil"/>
              <w:bottom w:val="nil"/>
              <w:right w:val="nil"/>
            </w:tcBorders>
            <w:shd w:val="clear" w:color="000000" w:fill="FFFFFF"/>
            <w:noWrap/>
            <w:vAlign w:val="bottom"/>
            <w:hideMark/>
          </w:tcPr>
          <w:p w14:paraId="10FC8CB9" w14:textId="77777777" w:rsidR="001B6918" w:rsidRPr="00E21531" w:rsidRDefault="001B6918" w:rsidP="00730ECF">
            <w:pPr>
              <w:rPr>
                <w:rFonts w:ascii="Calibri" w:eastAsia="Times New Roman" w:hAnsi="Calibri" w:cs="Calibri"/>
                <w:b/>
                <w:bCs/>
                <w:color w:val="000000"/>
                <w:sz w:val="20"/>
                <w:szCs w:val="20"/>
              </w:rPr>
            </w:pPr>
            <w:r w:rsidRPr="00E21531">
              <w:rPr>
                <w:rFonts w:ascii="Calibri" w:eastAsia="Times New Roman" w:hAnsi="Calibri" w:cs="Calibri"/>
                <w:b/>
                <w:bCs/>
                <w:color w:val="000000"/>
                <w:sz w:val="20"/>
                <w:szCs w:val="20"/>
              </w:rPr>
              <w:t>Total DB Plan, MIP and separately held investments</w:t>
            </w:r>
          </w:p>
        </w:tc>
        <w:tc>
          <w:tcPr>
            <w:tcW w:w="1115" w:type="dxa"/>
            <w:tcBorders>
              <w:top w:val="nil"/>
              <w:left w:val="nil"/>
              <w:bottom w:val="double" w:sz="6" w:space="0" w:color="000000"/>
              <w:right w:val="nil"/>
            </w:tcBorders>
            <w:shd w:val="clear" w:color="000000" w:fill="FFFFFF"/>
            <w:noWrap/>
            <w:vAlign w:val="bottom"/>
          </w:tcPr>
          <w:p w14:paraId="43AF4ADB"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$419,365</w:t>
            </w:r>
          </w:p>
        </w:tc>
        <w:tc>
          <w:tcPr>
            <w:tcW w:w="1115" w:type="dxa"/>
            <w:tcBorders>
              <w:top w:val="nil"/>
              <w:left w:val="nil"/>
              <w:bottom w:val="nil"/>
              <w:right w:val="nil"/>
            </w:tcBorders>
            <w:shd w:val="clear" w:color="000000" w:fill="FFFFFF"/>
            <w:noWrap/>
            <w:vAlign w:val="bottom"/>
          </w:tcPr>
          <w:p w14:paraId="36D78F7F"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 </w:t>
            </w:r>
          </w:p>
        </w:tc>
        <w:tc>
          <w:tcPr>
            <w:tcW w:w="1053" w:type="dxa"/>
            <w:tcBorders>
              <w:top w:val="nil"/>
              <w:left w:val="nil"/>
              <w:bottom w:val="nil"/>
              <w:right w:val="nil"/>
            </w:tcBorders>
            <w:shd w:val="clear" w:color="000000" w:fill="FFFFFF"/>
            <w:noWrap/>
            <w:vAlign w:val="bottom"/>
          </w:tcPr>
          <w:p w14:paraId="06A8D01C"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 </w:t>
            </w:r>
          </w:p>
        </w:tc>
        <w:tc>
          <w:tcPr>
            <w:tcW w:w="857" w:type="dxa"/>
            <w:tcBorders>
              <w:top w:val="nil"/>
              <w:left w:val="nil"/>
              <w:bottom w:val="nil"/>
              <w:right w:val="nil"/>
            </w:tcBorders>
            <w:shd w:val="clear" w:color="000000" w:fill="FFFFFF"/>
            <w:noWrap/>
            <w:vAlign w:val="bottom"/>
          </w:tcPr>
          <w:p w14:paraId="154474E7" w14:textId="77777777" w:rsidR="001B6918" w:rsidRPr="00983460" w:rsidRDefault="001B6918" w:rsidP="00730ECF">
            <w:pPr>
              <w:jc w:val="right"/>
              <w:rPr>
                <w:rFonts w:ascii="Calibri" w:eastAsia="Times New Roman" w:hAnsi="Calibri" w:cs="Calibri"/>
                <w:sz w:val="20"/>
                <w:szCs w:val="20"/>
              </w:rPr>
            </w:pPr>
            <w:r w:rsidRPr="00983460">
              <w:rPr>
                <w:rFonts w:ascii="Calibri" w:hAnsi="Calibri" w:cs="Calibri"/>
                <w:sz w:val="20"/>
                <w:szCs w:val="20"/>
              </w:rPr>
              <w:t> </w:t>
            </w:r>
          </w:p>
        </w:tc>
        <w:tc>
          <w:tcPr>
            <w:tcW w:w="1005" w:type="dxa"/>
            <w:tcBorders>
              <w:top w:val="nil"/>
              <w:left w:val="nil"/>
              <w:bottom w:val="nil"/>
              <w:right w:val="nil"/>
            </w:tcBorders>
            <w:shd w:val="clear" w:color="000000" w:fill="FFFFFF"/>
            <w:noWrap/>
            <w:vAlign w:val="bottom"/>
            <w:hideMark/>
          </w:tcPr>
          <w:p w14:paraId="7E457444" w14:textId="77777777" w:rsidR="001B6918" w:rsidRPr="00983460" w:rsidRDefault="001B6918" w:rsidP="00730ECF">
            <w:pPr>
              <w:rPr>
                <w:rFonts w:ascii="Calibri" w:eastAsia="Times New Roman" w:hAnsi="Calibri" w:cs="Calibri"/>
                <w:sz w:val="20"/>
                <w:szCs w:val="20"/>
              </w:rPr>
            </w:pPr>
            <w:r w:rsidRPr="00983460">
              <w:rPr>
                <w:rFonts w:ascii="Calibri" w:eastAsia="Times New Roman" w:hAnsi="Calibri" w:cs="Calibri"/>
                <w:sz w:val="20"/>
                <w:szCs w:val="20"/>
              </w:rPr>
              <w:t> </w:t>
            </w:r>
          </w:p>
        </w:tc>
        <w:tc>
          <w:tcPr>
            <w:tcW w:w="1372" w:type="dxa"/>
            <w:tcBorders>
              <w:top w:val="nil"/>
              <w:left w:val="nil"/>
              <w:bottom w:val="nil"/>
              <w:right w:val="nil"/>
            </w:tcBorders>
            <w:shd w:val="clear" w:color="000000" w:fill="FFFFFF"/>
            <w:noWrap/>
            <w:vAlign w:val="bottom"/>
            <w:hideMark/>
          </w:tcPr>
          <w:p w14:paraId="498A574E" w14:textId="77777777" w:rsidR="001B6918" w:rsidRPr="00983460" w:rsidRDefault="001B6918" w:rsidP="00730ECF">
            <w:pPr>
              <w:rPr>
                <w:rFonts w:ascii="Calibri" w:eastAsia="Times New Roman" w:hAnsi="Calibri" w:cs="Calibri"/>
                <w:sz w:val="20"/>
                <w:szCs w:val="20"/>
              </w:rPr>
            </w:pPr>
            <w:r w:rsidRPr="00983460">
              <w:rPr>
                <w:rFonts w:ascii="Calibri" w:eastAsia="Times New Roman" w:hAnsi="Calibri" w:cs="Calibri"/>
                <w:sz w:val="20"/>
                <w:szCs w:val="20"/>
              </w:rPr>
              <w:t> </w:t>
            </w:r>
          </w:p>
        </w:tc>
        <w:tc>
          <w:tcPr>
            <w:tcW w:w="2459" w:type="dxa"/>
            <w:tcBorders>
              <w:top w:val="nil"/>
              <w:left w:val="nil"/>
              <w:bottom w:val="nil"/>
              <w:right w:val="nil"/>
            </w:tcBorders>
            <w:shd w:val="clear" w:color="000000" w:fill="FFFFFF"/>
            <w:noWrap/>
            <w:vAlign w:val="bottom"/>
            <w:hideMark/>
          </w:tcPr>
          <w:p w14:paraId="5B4415E3" w14:textId="77777777" w:rsidR="001B6918" w:rsidRPr="00983460" w:rsidRDefault="001B6918" w:rsidP="00730ECF">
            <w:pPr>
              <w:rPr>
                <w:rFonts w:ascii="Calibri" w:eastAsia="Times New Roman" w:hAnsi="Calibri" w:cs="Calibri"/>
                <w:sz w:val="20"/>
                <w:szCs w:val="20"/>
              </w:rPr>
            </w:pPr>
            <w:r w:rsidRPr="00983460">
              <w:rPr>
                <w:rFonts w:ascii="Calibri" w:eastAsia="Times New Roman" w:hAnsi="Calibri" w:cs="Calibri"/>
                <w:sz w:val="20"/>
                <w:szCs w:val="20"/>
              </w:rPr>
              <w:t> </w:t>
            </w:r>
          </w:p>
        </w:tc>
      </w:tr>
    </w:tbl>
    <w:p w14:paraId="0B3E9484" w14:textId="77777777" w:rsidR="001B6918" w:rsidRDefault="001B6918" w:rsidP="001B6918">
      <w:pPr>
        <w:spacing w:after="160" w:line="259" w:lineRule="auto"/>
        <w:rPr>
          <w:rFonts w:cstheme="minorHAnsi"/>
          <w:b/>
          <w:noProof/>
          <w:sz w:val="26"/>
          <w:szCs w:val="26"/>
        </w:rPr>
      </w:pPr>
      <w:r w:rsidRPr="004E6649">
        <w:rPr>
          <w:rFonts w:cstheme="minorHAnsi"/>
          <w:b/>
          <w:i/>
          <w:noProof/>
          <w:sz w:val="26"/>
          <w:szCs w:val="26"/>
        </w:rPr>
        <w:br w:type="page"/>
      </w:r>
    </w:p>
    <w:p w14:paraId="39E02429" w14:textId="77777777" w:rsidR="001B6918" w:rsidRPr="00A02D27" w:rsidRDefault="001B6918" w:rsidP="001B6918">
      <w:pPr>
        <w:spacing w:after="160"/>
        <w:rPr>
          <w:rFonts w:eastAsiaTheme="majorEastAsia" w:cstheme="minorHAnsi"/>
          <w:b/>
          <w:i/>
          <w:iCs/>
          <w:smallCaps/>
          <w:noProof/>
          <w:color w:val="000000" w:themeColor="text1"/>
          <w:sz w:val="24"/>
          <w:szCs w:val="24"/>
          <w:u w:color="5B9BD5"/>
        </w:rPr>
      </w:pPr>
      <w:r w:rsidRPr="00A02D27">
        <w:rPr>
          <w:rFonts w:eastAsiaTheme="majorEastAsia" w:cstheme="minorHAnsi"/>
          <w:b/>
          <w:i/>
          <w:iCs/>
          <w:smallCaps/>
          <w:noProof/>
          <w:color w:val="000000" w:themeColor="text1"/>
          <w:sz w:val="24"/>
          <w:szCs w:val="24"/>
          <w:u w:color="5B9BD5"/>
        </w:rPr>
        <w:lastRenderedPageBreak/>
        <w:t>3. INVESTMENTS - CONTINUED</w:t>
      </w:r>
      <w:r w:rsidRPr="00A02D27" w:rsidDel="00453556">
        <w:rPr>
          <w:rFonts w:eastAsiaTheme="majorEastAsia" w:cstheme="minorHAnsi"/>
          <w:b/>
          <w:i/>
          <w:iCs/>
          <w:smallCaps/>
          <w:noProof/>
          <w:color w:val="000000" w:themeColor="text1"/>
          <w:sz w:val="24"/>
          <w:szCs w:val="24"/>
          <w:u w:color="5B9BD5"/>
        </w:rPr>
        <w:t xml:space="preserve"> </w:t>
      </w:r>
    </w:p>
    <w:p w14:paraId="66D81AD3" w14:textId="77777777" w:rsidR="001B6918" w:rsidRDefault="001B6918" w:rsidP="001B6918">
      <w:pPr>
        <w:spacing w:after="160" w:line="259" w:lineRule="auto"/>
        <w:rPr>
          <w:rFonts w:eastAsia="Times New Roman" w:cstheme="minorHAnsi"/>
          <w:spacing w:val="-3"/>
          <w:sz w:val="24"/>
          <w:szCs w:val="20"/>
        </w:rPr>
      </w:pPr>
      <w:r w:rsidRPr="004E6649">
        <w:rPr>
          <w:rFonts w:eastAsia="Times New Roman" w:cstheme="minorHAnsi"/>
          <w:color w:val="000000"/>
          <w:spacing w:val="-3"/>
          <w:sz w:val="24"/>
          <w:szCs w:val="20"/>
        </w:rPr>
        <w:t>Breakdown of investments by portfolio at June 30</w:t>
      </w:r>
      <w:r w:rsidRPr="004E6649">
        <w:rPr>
          <w:rFonts w:eastAsia="Times New Roman" w:cstheme="minorHAnsi"/>
          <w:spacing w:val="-3"/>
          <w:sz w:val="24"/>
          <w:szCs w:val="20"/>
        </w:rPr>
        <w:t>, 202</w:t>
      </w:r>
      <w:r>
        <w:rPr>
          <w:rFonts w:eastAsia="Times New Roman" w:cstheme="minorHAnsi"/>
          <w:spacing w:val="-3"/>
          <w:sz w:val="24"/>
          <w:szCs w:val="20"/>
        </w:rPr>
        <w:t>4</w:t>
      </w:r>
      <w:r w:rsidRPr="004E6649">
        <w:rPr>
          <w:rFonts w:eastAsia="Times New Roman" w:cstheme="minorHAnsi"/>
          <w:spacing w:val="-3"/>
          <w:sz w:val="24"/>
          <w:szCs w:val="20"/>
        </w:rPr>
        <w:t>:</w:t>
      </w:r>
    </w:p>
    <w:tbl>
      <w:tblPr>
        <w:tblW w:w="10662" w:type="dxa"/>
        <w:jc w:val="center"/>
        <w:tblLook w:val="04A0" w:firstRow="1" w:lastRow="0" w:firstColumn="1" w:lastColumn="0" w:noHBand="0" w:noVBand="1"/>
      </w:tblPr>
      <w:tblGrid>
        <w:gridCol w:w="6030"/>
        <w:gridCol w:w="1327"/>
        <w:gridCol w:w="1117"/>
        <w:gridCol w:w="1094"/>
        <w:gridCol w:w="1094"/>
      </w:tblGrid>
      <w:tr w:rsidR="001B6918" w:rsidRPr="00D92E4F" w14:paraId="27A01A09" w14:textId="77777777" w:rsidTr="00730ECF">
        <w:trPr>
          <w:trHeight w:val="180"/>
          <w:jc w:val="center"/>
        </w:trPr>
        <w:tc>
          <w:tcPr>
            <w:tcW w:w="6030" w:type="dxa"/>
            <w:tcBorders>
              <w:top w:val="nil"/>
              <w:left w:val="nil"/>
              <w:bottom w:val="nil"/>
              <w:right w:val="nil"/>
            </w:tcBorders>
            <w:shd w:val="clear" w:color="000000" w:fill="FFFFFF"/>
            <w:noWrap/>
            <w:vAlign w:val="center"/>
            <w:hideMark/>
          </w:tcPr>
          <w:p w14:paraId="0B89FA01" w14:textId="77777777" w:rsidR="001B6918" w:rsidRPr="00D92E4F" w:rsidRDefault="001B6918" w:rsidP="00730ECF">
            <w:pPr>
              <w:rPr>
                <w:rFonts w:ascii="Calibri" w:eastAsia="Times New Roman" w:hAnsi="Calibri" w:cs="Calibri"/>
                <w:b/>
                <w:bCs/>
                <w:color w:val="000000"/>
              </w:rPr>
            </w:pPr>
            <w:r w:rsidRPr="00484AEB">
              <w:rPr>
                <w:rFonts w:ascii="Calibri" w:eastAsia="Times New Roman" w:hAnsi="Calibri" w:cs="Calibri"/>
                <w:b/>
                <w:bCs/>
                <w:color w:val="000000"/>
              </w:rPr>
              <w:fldChar w:fldCharType="begin"/>
            </w:r>
            <w:r w:rsidRPr="00484AEB">
              <w:rPr>
                <w:rFonts w:ascii="Calibri" w:eastAsia="Times New Roman" w:hAnsi="Calibri" w:cs="Calibri"/>
                <w:b/>
                <w:bCs/>
                <w:color w:val="000000"/>
              </w:rPr>
              <w:fldChar w:fldCharType="end"/>
            </w:r>
            <w:r w:rsidRPr="00D92E4F">
              <w:rPr>
                <w:rFonts w:ascii="Calibri" w:eastAsia="Times New Roman" w:hAnsi="Calibri" w:cs="Calibri"/>
                <w:b/>
                <w:bCs/>
                <w:color w:val="000000"/>
              </w:rPr>
              <w:t> </w:t>
            </w:r>
          </w:p>
        </w:tc>
        <w:tc>
          <w:tcPr>
            <w:tcW w:w="1327" w:type="dxa"/>
            <w:tcBorders>
              <w:top w:val="nil"/>
              <w:left w:val="nil"/>
              <w:bottom w:val="nil"/>
              <w:right w:val="nil"/>
            </w:tcBorders>
            <w:shd w:val="clear" w:color="000000" w:fill="FFFFFF"/>
            <w:noWrap/>
            <w:vAlign w:val="center"/>
            <w:hideMark/>
          </w:tcPr>
          <w:p w14:paraId="4748BAAD" w14:textId="77777777" w:rsidR="001B6918" w:rsidRPr="00D92E4F" w:rsidRDefault="001B6918" w:rsidP="00730ECF">
            <w:pPr>
              <w:rPr>
                <w:rFonts w:ascii="Calibri" w:eastAsia="Times New Roman" w:hAnsi="Calibri" w:cs="Calibri"/>
                <w:b/>
                <w:bCs/>
                <w:color w:val="000000"/>
              </w:rPr>
            </w:pPr>
            <w:r w:rsidRPr="00D92E4F">
              <w:rPr>
                <w:rFonts w:ascii="Calibri" w:eastAsia="Times New Roman" w:hAnsi="Calibri" w:cs="Calibri"/>
                <w:b/>
                <w:bCs/>
                <w:color w:val="000000"/>
              </w:rPr>
              <w:t> </w:t>
            </w:r>
          </w:p>
        </w:tc>
        <w:tc>
          <w:tcPr>
            <w:tcW w:w="3305" w:type="dxa"/>
            <w:gridSpan w:val="3"/>
            <w:tcBorders>
              <w:top w:val="nil"/>
              <w:left w:val="nil"/>
              <w:bottom w:val="single" w:sz="12" w:space="0" w:color="000000"/>
              <w:right w:val="nil"/>
            </w:tcBorders>
            <w:shd w:val="clear" w:color="000000" w:fill="FFFFFF"/>
            <w:noWrap/>
            <w:vAlign w:val="center"/>
            <w:hideMark/>
          </w:tcPr>
          <w:p w14:paraId="4C2E4F2C" w14:textId="77777777" w:rsidR="001B6918" w:rsidRPr="00D92E4F" w:rsidRDefault="001B6918" w:rsidP="00730ECF">
            <w:pPr>
              <w:jc w:val="center"/>
              <w:rPr>
                <w:rFonts w:ascii="Calibri" w:eastAsia="Times New Roman" w:hAnsi="Calibri" w:cs="Calibri"/>
                <w:b/>
                <w:bCs/>
                <w:color w:val="000000"/>
              </w:rPr>
            </w:pPr>
            <w:r w:rsidRPr="00D92E4F">
              <w:rPr>
                <w:rFonts w:ascii="Calibri" w:eastAsia="Times New Roman" w:hAnsi="Calibri" w:cs="Calibri"/>
                <w:b/>
                <w:bCs/>
                <w:color w:val="000000"/>
              </w:rPr>
              <w:t xml:space="preserve"> Fair Value Measurements Using: </w:t>
            </w:r>
          </w:p>
        </w:tc>
      </w:tr>
      <w:tr w:rsidR="001B6918" w:rsidRPr="00D92E4F" w14:paraId="3254FAC3" w14:textId="77777777" w:rsidTr="00730ECF">
        <w:trPr>
          <w:trHeight w:val="345"/>
          <w:jc w:val="center"/>
        </w:trPr>
        <w:tc>
          <w:tcPr>
            <w:tcW w:w="6030" w:type="dxa"/>
            <w:tcBorders>
              <w:top w:val="nil"/>
              <w:left w:val="nil"/>
              <w:bottom w:val="single" w:sz="12" w:space="0" w:color="000000"/>
              <w:right w:val="nil"/>
            </w:tcBorders>
            <w:shd w:val="clear" w:color="000000" w:fill="FFFFFF"/>
            <w:noWrap/>
            <w:vAlign w:val="center"/>
            <w:hideMark/>
          </w:tcPr>
          <w:p w14:paraId="441396F2" w14:textId="77777777" w:rsidR="001B6918" w:rsidRPr="00D92E4F" w:rsidRDefault="001B6918" w:rsidP="00730ECF">
            <w:pPr>
              <w:rPr>
                <w:rFonts w:ascii="Calibri" w:eastAsia="Times New Roman" w:hAnsi="Calibri" w:cs="Calibri"/>
                <w:b/>
                <w:bCs/>
                <w:color w:val="000000"/>
              </w:rPr>
            </w:pPr>
            <w:r w:rsidRPr="00D92E4F">
              <w:rPr>
                <w:rFonts w:ascii="Calibri" w:eastAsia="Times New Roman" w:hAnsi="Calibri" w:cs="Calibri"/>
                <w:b/>
                <w:bCs/>
                <w:color w:val="000000"/>
              </w:rPr>
              <w:t> </w:t>
            </w:r>
          </w:p>
        </w:tc>
        <w:tc>
          <w:tcPr>
            <w:tcW w:w="1327" w:type="dxa"/>
            <w:tcBorders>
              <w:top w:val="nil"/>
              <w:left w:val="nil"/>
              <w:bottom w:val="single" w:sz="12" w:space="0" w:color="000000"/>
              <w:right w:val="nil"/>
            </w:tcBorders>
            <w:shd w:val="clear" w:color="000000" w:fill="FFFFFF"/>
            <w:noWrap/>
            <w:vAlign w:val="center"/>
            <w:hideMark/>
          </w:tcPr>
          <w:p w14:paraId="3E92AD49" w14:textId="77777777" w:rsidR="001B6918" w:rsidRPr="00D92E4F" w:rsidRDefault="001B6918" w:rsidP="00730ECF">
            <w:pPr>
              <w:jc w:val="center"/>
              <w:rPr>
                <w:rFonts w:ascii="Calibri" w:eastAsia="Times New Roman" w:hAnsi="Calibri" w:cs="Calibri"/>
                <w:b/>
                <w:bCs/>
                <w:color w:val="000000"/>
              </w:rPr>
            </w:pPr>
            <w:r w:rsidRPr="00D92E4F">
              <w:rPr>
                <w:rFonts w:ascii="Calibri" w:eastAsia="Times New Roman" w:hAnsi="Calibri" w:cs="Calibri"/>
                <w:b/>
                <w:bCs/>
                <w:color w:val="000000"/>
              </w:rPr>
              <w:t xml:space="preserve"> Total </w:t>
            </w:r>
          </w:p>
        </w:tc>
        <w:tc>
          <w:tcPr>
            <w:tcW w:w="1117" w:type="dxa"/>
            <w:tcBorders>
              <w:top w:val="nil"/>
              <w:left w:val="nil"/>
              <w:bottom w:val="single" w:sz="12" w:space="0" w:color="000000"/>
              <w:right w:val="nil"/>
            </w:tcBorders>
            <w:shd w:val="clear" w:color="000000" w:fill="FFFFFF"/>
            <w:noWrap/>
            <w:vAlign w:val="center"/>
            <w:hideMark/>
          </w:tcPr>
          <w:p w14:paraId="1C0EAE86" w14:textId="77777777" w:rsidR="001B6918" w:rsidRPr="00D92E4F" w:rsidRDefault="001B6918" w:rsidP="00730ECF">
            <w:pPr>
              <w:jc w:val="center"/>
              <w:rPr>
                <w:rFonts w:ascii="Calibri" w:eastAsia="Times New Roman" w:hAnsi="Calibri" w:cs="Calibri"/>
                <w:b/>
                <w:bCs/>
                <w:color w:val="000000"/>
              </w:rPr>
            </w:pPr>
            <w:r w:rsidRPr="00D92E4F">
              <w:rPr>
                <w:rFonts w:ascii="Calibri" w:eastAsia="Times New Roman" w:hAnsi="Calibri" w:cs="Calibri"/>
                <w:b/>
                <w:bCs/>
                <w:color w:val="000000"/>
              </w:rPr>
              <w:t xml:space="preserve"> Level 1 </w:t>
            </w:r>
          </w:p>
        </w:tc>
        <w:tc>
          <w:tcPr>
            <w:tcW w:w="1094" w:type="dxa"/>
            <w:tcBorders>
              <w:top w:val="nil"/>
              <w:left w:val="nil"/>
              <w:bottom w:val="single" w:sz="12" w:space="0" w:color="000000"/>
              <w:right w:val="nil"/>
            </w:tcBorders>
            <w:shd w:val="clear" w:color="000000" w:fill="FFFFFF"/>
            <w:noWrap/>
            <w:vAlign w:val="center"/>
            <w:hideMark/>
          </w:tcPr>
          <w:p w14:paraId="7A4A1ED2" w14:textId="77777777" w:rsidR="001B6918" w:rsidRPr="00D92E4F" w:rsidRDefault="001B6918" w:rsidP="00730ECF">
            <w:pPr>
              <w:jc w:val="center"/>
              <w:rPr>
                <w:rFonts w:ascii="Calibri" w:eastAsia="Times New Roman" w:hAnsi="Calibri" w:cs="Calibri"/>
                <w:b/>
                <w:bCs/>
                <w:color w:val="000000"/>
              </w:rPr>
            </w:pPr>
            <w:r w:rsidRPr="00D92E4F">
              <w:rPr>
                <w:rFonts w:ascii="Calibri" w:eastAsia="Times New Roman" w:hAnsi="Calibri" w:cs="Calibri"/>
                <w:b/>
                <w:bCs/>
                <w:color w:val="000000"/>
              </w:rPr>
              <w:t xml:space="preserve"> Level 2 </w:t>
            </w:r>
          </w:p>
        </w:tc>
        <w:tc>
          <w:tcPr>
            <w:tcW w:w="1094" w:type="dxa"/>
            <w:tcBorders>
              <w:top w:val="nil"/>
              <w:left w:val="nil"/>
              <w:bottom w:val="single" w:sz="12" w:space="0" w:color="000000"/>
              <w:right w:val="nil"/>
            </w:tcBorders>
            <w:shd w:val="clear" w:color="000000" w:fill="FFFFFF"/>
            <w:noWrap/>
            <w:vAlign w:val="center"/>
            <w:hideMark/>
          </w:tcPr>
          <w:p w14:paraId="088D5DD2" w14:textId="77777777" w:rsidR="001B6918" w:rsidRPr="00D92E4F" w:rsidRDefault="001B6918" w:rsidP="00730ECF">
            <w:pPr>
              <w:jc w:val="center"/>
              <w:rPr>
                <w:rFonts w:ascii="Calibri" w:eastAsia="Times New Roman" w:hAnsi="Calibri" w:cs="Calibri"/>
                <w:b/>
                <w:bCs/>
                <w:color w:val="000000"/>
              </w:rPr>
            </w:pPr>
            <w:r w:rsidRPr="00D92E4F">
              <w:rPr>
                <w:rFonts w:ascii="Calibri" w:eastAsia="Times New Roman" w:hAnsi="Calibri" w:cs="Calibri"/>
                <w:b/>
                <w:bCs/>
                <w:color w:val="000000"/>
              </w:rPr>
              <w:t xml:space="preserve"> Level 3 </w:t>
            </w:r>
          </w:p>
        </w:tc>
      </w:tr>
      <w:tr w:rsidR="001B6918" w:rsidRPr="00D92E4F" w14:paraId="52EE57C5" w14:textId="77777777" w:rsidTr="00730ECF">
        <w:trPr>
          <w:trHeight w:val="50"/>
          <w:jc w:val="center"/>
        </w:trPr>
        <w:tc>
          <w:tcPr>
            <w:tcW w:w="8474" w:type="dxa"/>
            <w:gridSpan w:val="3"/>
            <w:tcBorders>
              <w:top w:val="nil"/>
              <w:left w:val="nil"/>
              <w:bottom w:val="nil"/>
              <w:right w:val="nil"/>
            </w:tcBorders>
            <w:shd w:val="clear" w:color="000000" w:fill="FFFFFF"/>
            <w:noWrap/>
            <w:vAlign w:val="bottom"/>
            <w:hideMark/>
          </w:tcPr>
          <w:p w14:paraId="0124CA88" w14:textId="77777777" w:rsidR="001B6918" w:rsidRPr="00D92E4F" w:rsidRDefault="001B6918" w:rsidP="00730ECF">
            <w:pPr>
              <w:rPr>
                <w:rFonts w:ascii="Calibri" w:eastAsia="Times New Roman" w:hAnsi="Calibri" w:cs="Calibri"/>
                <w:b/>
                <w:bCs/>
                <w:color w:val="000000"/>
              </w:rPr>
            </w:pPr>
            <w:r w:rsidRPr="00D92E4F">
              <w:rPr>
                <w:rFonts w:ascii="Calibri" w:eastAsia="Times New Roman" w:hAnsi="Calibri" w:cs="Calibri"/>
                <w:b/>
                <w:bCs/>
                <w:color w:val="000000"/>
              </w:rPr>
              <w:t>Breakdown of above investments by portfolio plus separately invested endowments:</w:t>
            </w:r>
          </w:p>
        </w:tc>
        <w:tc>
          <w:tcPr>
            <w:tcW w:w="1094" w:type="dxa"/>
            <w:tcBorders>
              <w:top w:val="nil"/>
              <w:left w:val="nil"/>
              <w:bottom w:val="nil"/>
              <w:right w:val="nil"/>
            </w:tcBorders>
            <w:shd w:val="clear" w:color="000000" w:fill="FFFFFF"/>
            <w:noWrap/>
            <w:vAlign w:val="bottom"/>
            <w:hideMark/>
          </w:tcPr>
          <w:p w14:paraId="7B7A8604" w14:textId="77777777" w:rsidR="001B6918" w:rsidRPr="00D92E4F" w:rsidRDefault="001B6918" w:rsidP="00730ECF">
            <w:pPr>
              <w:rPr>
                <w:rFonts w:ascii="Calibri" w:eastAsia="Times New Roman" w:hAnsi="Calibri" w:cs="Calibri"/>
                <w:color w:val="FF0000"/>
              </w:rPr>
            </w:pPr>
            <w:r w:rsidRPr="00D92E4F">
              <w:rPr>
                <w:rFonts w:ascii="Calibri" w:eastAsia="Times New Roman" w:hAnsi="Calibri" w:cs="Calibri"/>
                <w:color w:val="FF0000"/>
              </w:rPr>
              <w:t> </w:t>
            </w:r>
          </w:p>
        </w:tc>
        <w:tc>
          <w:tcPr>
            <w:tcW w:w="1094" w:type="dxa"/>
            <w:tcBorders>
              <w:top w:val="nil"/>
              <w:left w:val="nil"/>
              <w:bottom w:val="nil"/>
              <w:right w:val="nil"/>
            </w:tcBorders>
            <w:shd w:val="clear" w:color="000000" w:fill="FFFFFF"/>
            <w:noWrap/>
            <w:vAlign w:val="bottom"/>
            <w:hideMark/>
          </w:tcPr>
          <w:p w14:paraId="267433A7" w14:textId="77777777" w:rsidR="001B6918" w:rsidRPr="00D92E4F" w:rsidRDefault="001B6918" w:rsidP="00730ECF">
            <w:pPr>
              <w:rPr>
                <w:rFonts w:ascii="Calibri" w:eastAsia="Times New Roman" w:hAnsi="Calibri" w:cs="Calibri"/>
                <w:color w:val="FF0000"/>
              </w:rPr>
            </w:pPr>
            <w:r w:rsidRPr="00D92E4F">
              <w:rPr>
                <w:rFonts w:ascii="Calibri" w:eastAsia="Times New Roman" w:hAnsi="Calibri" w:cs="Calibri"/>
                <w:color w:val="FF0000"/>
              </w:rPr>
              <w:t> </w:t>
            </w:r>
          </w:p>
        </w:tc>
      </w:tr>
      <w:tr w:rsidR="001B6918" w:rsidRPr="00D92E4F" w14:paraId="60B92381" w14:textId="77777777" w:rsidTr="00730ECF">
        <w:trPr>
          <w:trHeight w:val="80"/>
          <w:jc w:val="center"/>
        </w:trPr>
        <w:tc>
          <w:tcPr>
            <w:tcW w:w="6030" w:type="dxa"/>
            <w:tcBorders>
              <w:top w:val="nil"/>
              <w:left w:val="nil"/>
              <w:bottom w:val="nil"/>
              <w:right w:val="nil"/>
            </w:tcBorders>
            <w:shd w:val="clear" w:color="000000" w:fill="FFFFFF"/>
            <w:noWrap/>
            <w:vAlign w:val="bottom"/>
            <w:hideMark/>
          </w:tcPr>
          <w:p w14:paraId="1CAA130F" w14:textId="77777777" w:rsidR="001B6918" w:rsidRPr="00D92E4F" w:rsidRDefault="001B6918" w:rsidP="00730ECF">
            <w:pPr>
              <w:ind w:firstLineChars="100" w:firstLine="220"/>
              <w:rPr>
                <w:rFonts w:ascii="Calibri" w:eastAsia="Times New Roman" w:hAnsi="Calibri" w:cs="Calibri"/>
                <w:color w:val="000000"/>
              </w:rPr>
            </w:pPr>
            <w:r w:rsidRPr="00D92E4F">
              <w:rPr>
                <w:rFonts w:ascii="Calibri" w:eastAsia="Times New Roman" w:hAnsi="Calibri" w:cs="Calibri"/>
                <w:color w:val="000000"/>
              </w:rPr>
              <w:t>DB Plan at fair value level</w:t>
            </w:r>
          </w:p>
        </w:tc>
        <w:tc>
          <w:tcPr>
            <w:tcW w:w="1327" w:type="dxa"/>
            <w:tcBorders>
              <w:top w:val="nil"/>
              <w:left w:val="nil"/>
              <w:bottom w:val="nil"/>
              <w:right w:val="nil"/>
            </w:tcBorders>
            <w:shd w:val="clear" w:color="000000" w:fill="FFFFFF"/>
            <w:noWrap/>
            <w:hideMark/>
          </w:tcPr>
          <w:p w14:paraId="43A9EEE8" w14:textId="77777777" w:rsidR="001B6918" w:rsidRPr="00D92E4F" w:rsidRDefault="001B6918" w:rsidP="00730ECF">
            <w:pPr>
              <w:jc w:val="right"/>
              <w:rPr>
                <w:rFonts w:ascii="Calibri" w:eastAsia="Times New Roman" w:hAnsi="Calibri" w:cs="Calibri"/>
                <w:color w:val="000000"/>
              </w:rPr>
            </w:pPr>
            <w:r w:rsidRPr="000804D5">
              <w:t xml:space="preserve"> $</w:t>
            </w:r>
            <w:r>
              <w:t xml:space="preserve">    </w:t>
            </w:r>
            <w:r w:rsidRPr="000804D5">
              <w:t xml:space="preserve">9,995 </w:t>
            </w:r>
          </w:p>
        </w:tc>
        <w:tc>
          <w:tcPr>
            <w:tcW w:w="1117" w:type="dxa"/>
            <w:tcBorders>
              <w:top w:val="nil"/>
              <w:left w:val="nil"/>
              <w:bottom w:val="double" w:sz="6" w:space="0" w:color="000000"/>
              <w:right w:val="nil"/>
            </w:tcBorders>
            <w:shd w:val="clear" w:color="000000" w:fill="FFFFFF"/>
            <w:noWrap/>
            <w:vAlign w:val="bottom"/>
            <w:hideMark/>
          </w:tcPr>
          <w:p w14:paraId="693F068E" w14:textId="196F2B61" w:rsidR="001B6918" w:rsidRPr="00D92E4F" w:rsidRDefault="001B6918" w:rsidP="00730ECF">
            <w:pPr>
              <w:jc w:val="right"/>
              <w:rPr>
                <w:rFonts w:ascii="Calibri" w:eastAsia="Times New Roman" w:hAnsi="Calibri" w:cs="Calibri"/>
              </w:rPr>
            </w:pPr>
            <w:r w:rsidRPr="00D92E4F">
              <w:rPr>
                <w:rFonts w:ascii="Calibri" w:eastAsia="Times New Roman" w:hAnsi="Calibri" w:cs="Calibri"/>
              </w:rPr>
              <w:t>$    8,</w:t>
            </w:r>
            <w:r>
              <w:rPr>
                <w:rFonts w:ascii="Calibri" w:eastAsia="Times New Roman" w:hAnsi="Calibri" w:cs="Calibri"/>
              </w:rPr>
              <w:t>7</w:t>
            </w:r>
            <w:r w:rsidR="008E0946">
              <w:rPr>
                <w:rFonts w:ascii="Calibri" w:eastAsia="Times New Roman" w:hAnsi="Calibri" w:cs="Calibri"/>
              </w:rPr>
              <w:t>8</w:t>
            </w:r>
            <w:r w:rsidRPr="00D92E4F">
              <w:rPr>
                <w:rFonts w:ascii="Calibri" w:eastAsia="Times New Roman" w:hAnsi="Calibri" w:cs="Calibri"/>
              </w:rPr>
              <w:t>6</w:t>
            </w:r>
          </w:p>
        </w:tc>
        <w:tc>
          <w:tcPr>
            <w:tcW w:w="1094" w:type="dxa"/>
            <w:tcBorders>
              <w:top w:val="nil"/>
              <w:left w:val="nil"/>
              <w:bottom w:val="double" w:sz="6" w:space="0" w:color="000000"/>
              <w:right w:val="nil"/>
            </w:tcBorders>
            <w:shd w:val="clear" w:color="000000" w:fill="FFFFFF"/>
            <w:noWrap/>
            <w:vAlign w:val="bottom"/>
            <w:hideMark/>
          </w:tcPr>
          <w:p w14:paraId="31EB7258" w14:textId="77777777" w:rsidR="001B6918" w:rsidRPr="00D92E4F" w:rsidRDefault="001B6918" w:rsidP="00730ECF">
            <w:pPr>
              <w:jc w:val="right"/>
              <w:rPr>
                <w:rFonts w:ascii="Calibri" w:eastAsia="Times New Roman" w:hAnsi="Calibri" w:cs="Calibri"/>
              </w:rPr>
            </w:pPr>
            <w:r w:rsidRPr="00D92E4F">
              <w:rPr>
                <w:rFonts w:ascii="Calibri" w:eastAsia="Times New Roman" w:hAnsi="Calibri" w:cs="Calibri"/>
              </w:rPr>
              <w:t>$           -</w:t>
            </w:r>
          </w:p>
        </w:tc>
        <w:tc>
          <w:tcPr>
            <w:tcW w:w="1094" w:type="dxa"/>
            <w:tcBorders>
              <w:top w:val="nil"/>
              <w:left w:val="nil"/>
              <w:bottom w:val="double" w:sz="6" w:space="0" w:color="000000"/>
              <w:right w:val="nil"/>
            </w:tcBorders>
            <w:shd w:val="clear" w:color="000000" w:fill="FFFFFF"/>
            <w:noWrap/>
            <w:vAlign w:val="bottom"/>
            <w:hideMark/>
          </w:tcPr>
          <w:p w14:paraId="308E5E01" w14:textId="77777777" w:rsidR="001B6918" w:rsidRPr="00D92E4F" w:rsidRDefault="001B6918" w:rsidP="00730ECF">
            <w:pPr>
              <w:jc w:val="right"/>
              <w:rPr>
                <w:rFonts w:ascii="Calibri" w:eastAsia="Times New Roman" w:hAnsi="Calibri" w:cs="Calibri"/>
              </w:rPr>
            </w:pPr>
            <w:r w:rsidRPr="00D92E4F">
              <w:rPr>
                <w:rFonts w:ascii="Calibri" w:eastAsia="Times New Roman" w:hAnsi="Calibri" w:cs="Calibri"/>
              </w:rPr>
              <w:t>$     1,</w:t>
            </w:r>
            <w:r>
              <w:rPr>
                <w:rFonts w:ascii="Calibri" w:eastAsia="Times New Roman" w:hAnsi="Calibri" w:cs="Calibri"/>
              </w:rPr>
              <w:t>20</w:t>
            </w:r>
            <w:r w:rsidRPr="00D92E4F">
              <w:rPr>
                <w:rFonts w:ascii="Calibri" w:eastAsia="Times New Roman" w:hAnsi="Calibri" w:cs="Calibri"/>
              </w:rPr>
              <w:t>9</w:t>
            </w:r>
          </w:p>
        </w:tc>
      </w:tr>
      <w:tr w:rsidR="001B6918" w:rsidRPr="00D92E4F" w14:paraId="070AFDC4" w14:textId="77777777" w:rsidTr="00730ECF">
        <w:trPr>
          <w:trHeight w:val="35"/>
          <w:jc w:val="center"/>
        </w:trPr>
        <w:tc>
          <w:tcPr>
            <w:tcW w:w="6030" w:type="dxa"/>
            <w:tcBorders>
              <w:top w:val="nil"/>
              <w:left w:val="nil"/>
              <w:bottom w:val="nil"/>
              <w:right w:val="nil"/>
            </w:tcBorders>
            <w:shd w:val="clear" w:color="000000" w:fill="FFFFFF"/>
            <w:noWrap/>
            <w:vAlign w:val="bottom"/>
            <w:hideMark/>
          </w:tcPr>
          <w:p w14:paraId="3993EF38" w14:textId="77777777" w:rsidR="001B6918" w:rsidRPr="00D92E4F" w:rsidRDefault="001B6918" w:rsidP="00730ECF">
            <w:pPr>
              <w:ind w:firstLineChars="100" w:firstLine="220"/>
              <w:rPr>
                <w:rFonts w:ascii="Calibri" w:eastAsia="Times New Roman" w:hAnsi="Calibri" w:cs="Calibri"/>
                <w:color w:val="000000"/>
              </w:rPr>
            </w:pPr>
            <w:r w:rsidRPr="00D92E4F">
              <w:rPr>
                <w:rFonts w:ascii="Calibri" w:eastAsia="Times New Roman" w:hAnsi="Calibri" w:cs="Calibri"/>
                <w:color w:val="000000"/>
              </w:rPr>
              <w:t>DB Plan at NAV</w:t>
            </w:r>
          </w:p>
        </w:tc>
        <w:tc>
          <w:tcPr>
            <w:tcW w:w="1327" w:type="dxa"/>
            <w:tcBorders>
              <w:top w:val="nil"/>
              <w:left w:val="nil"/>
              <w:bottom w:val="single" w:sz="4" w:space="0" w:color="000000"/>
              <w:right w:val="nil"/>
            </w:tcBorders>
            <w:shd w:val="clear" w:color="000000" w:fill="FFFFFF"/>
            <w:noWrap/>
            <w:hideMark/>
          </w:tcPr>
          <w:p w14:paraId="7B4D0BA3" w14:textId="77777777" w:rsidR="001B6918" w:rsidRPr="00D92E4F" w:rsidRDefault="001B6918" w:rsidP="00730ECF">
            <w:pPr>
              <w:jc w:val="right"/>
              <w:rPr>
                <w:rFonts w:ascii="Calibri" w:eastAsia="Times New Roman" w:hAnsi="Calibri" w:cs="Calibri"/>
              </w:rPr>
            </w:pPr>
            <w:r w:rsidRPr="000804D5">
              <w:t xml:space="preserve"> 7,598 </w:t>
            </w:r>
          </w:p>
        </w:tc>
        <w:tc>
          <w:tcPr>
            <w:tcW w:w="1117" w:type="dxa"/>
            <w:tcBorders>
              <w:top w:val="nil"/>
              <w:left w:val="nil"/>
              <w:right w:val="nil"/>
            </w:tcBorders>
            <w:shd w:val="clear" w:color="000000" w:fill="FFFFFF"/>
            <w:noWrap/>
            <w:vAlign w:val="bottom"/>
            <w:hideMark/>
          </w:tcPr>
          <w:p w14:paraId="55C45351" w14:textId="77777777" w:rsidR="001B6918" w:rsidRPr="00D92E4F" w:rsidRDefault="001B6918" w:rsidP="00730ECF">
            <w:pPr>
              <w:jc w:val="right"/>
              <w:rPr>
                <w:rFonts w:ascii="Calibri" w:eastAsia="Times New Roman" w:hAnsi="Calibri" w:cs="Calibri"/>
                <w:color w:val="000000"/>
              </w:rPr>
            </w:pPr>
            <w:r w:rsidRPr="00D92E4F">
              <w:rPr>
                <w:rFonts w:ascii="Calibri" w:eastAsia="Times New Roman" w:hAnsi="Calibri" w:cs="Calibri"/>
                <w:color w:val="000000"/>
              </w:rPr>
              <w:t> </w:t>
            </w:r>
          </w:p>
        </w:tc>
        <w:tc>
          <w:tcPr>
            <w:tcW w:w="1094" w:type="dxa"/>
            <w:tcBorders>
              <w:top w:val="nil"/>
              <w:left w:val="nil"/>
              <w:right w:val="nil"/>
            </w:tcBorders>
            <w:shd w:val="clear" w:color="000000" w:fill="FFFFFF"/>
            <w:noWrap/>
            <w:vAlign w:val="bottom"/>
            <w:hideMark/>
          </w:tcPr>
          <w:p w14:paraId="67BD21DD" w14:textId="77777777" w:rsidR="001B6918" w:rsidRPr="00D92E4F" w:rsidRDefault="001B6918" w:rsidP="00730ECF">
            <w:pPr>
              <w:jc w:val="right"/>
              <w:rPr>
                <w:rFonts w:ascii="Calibri" w:eastAsia="Times New Roman" w:hAnsi="Calibri" w:cs="Calibri"/>
                <w:color w:val="000000"/>
              </w:rPr>
            </w:pPr>
            <w:r w:rsidRPr="00D92E4F">
              <w:rPr>
                <w:rFonts w:ascii="Calibri" w:eastAsia="Times New Roman" w:hAnsi="Calibri" w:cs="Calibri"/>
                <w:color w:val="000000"/>
              </w:rPr>
              <w:t> </w:t>
            </w:r>
          </w:p>
        </w:tc>
        <w:tc>
          <w:tcPr>
            <w:tcW w:w="1094" w:type="dxa"/>
            <w:tcBorders>
              <w:top w:val="nil"/>
              <w:left w:val="nil"/>
              <w:right w:val="nil"/>
            </w:tcBorders>
            <w:shd w:val="clear" w:color="000000" w:fill="FFFFFF"/>
            <w:noWrap/>
            <w:vAlign w:val="bottom"/>
            <w:hideMark/>
          </w:tcPr>
          <w:p w14:paraId="5DC91A83" w14:textId="77777777" w:rsidR="001B6918" w:rsidRPr="00D92E4F" w:rsidRDefault="001B6918" w:rsidP="00730ECF">
            <w:pPr>
              <w:jc w:val="right"/>
              <w:rPr>
                <w:rFonts w:ascii="Calibri" w:eastAsia="Times New Roman" w:hAnsi="Calibri" w:cs="Calibri"/>
                <w:color w:val="000000"/>
              </w:rPr>
            </w:pPr>
            <w:r w:rsidRPr="00D92E4F">
              <w:rPr>
                <w:rFonts w:ascii="Calibri" w:eastAsia="Times New Roman" w:hAnsi="Calibri" w:cs="Calibri"/>
                <w:color w:val="000000"/>
              </w:rPr>
              <w:t> </w:t>
            </w:r>
          </w:p>
        </w:tc>
      </w:tr>
      <w:tr w:rsidR="001B6918" w:rsidRPr="00D92E4F" w14:paraId="0E9F39AA" w14:textId="77777777" w:rsidTr="00730ECF">
        <w:trPr>
          <w:trHeight w:val="70"/>
          <w:jc w:val="center"/>
        </w:trPr>
        <w:tc>
          <w:tcPr>
            <w:tcW w:w="6030" w:type="dxa"/>
            <w:tcBorders>
              <w:top w:val="nil"/>
              <w:left w:val="nil"/>
              <w:bottom w:val="double" w:sz="6" w:space="0" w:color="000000"/>
              <w:right w:val="nil"/>
            </w:tcBorders>
            <w:shd w:val="clear" w:color="000000" w:fill="F2F2F2"/>
            <w:noWrap/>
            <w:vAlign w:val="bottom"/>
            <w:hideMark/>
          </w:tcPr>
          <w:p w14:paraId="4BB60A70" w14:textId="77777777" w:rsidR="001B6918" w:rsidRPr="00D92E4F" w:rsidRDefault="001B6918" w:rsidP="00730ECF">
            <w:pPr>
              <w:ind w:firstLineChars="100" w:firstLine="221"/>
              <w:rPr>
                <w:rFonts w:ascii="Calibri" w:eastAsia="Times New Roman" w:hAnsi="Calibri" w:cs="Calibri"/>
                <w:b/>
                <w:bCs/>
                <w:color w:val="000000"/>
              </w:rPr>
            </w:pPr>
            <w:r w:rsidRPr="00D92E4F">
              <w:rPr>
                <w:rFonts w:ascii="Calibri" w:eastAsia="Times New Roman" w:hAnsi="Calibri" w:cs="Calibri"/>
                <w:b/>
                <w:bCs/>
                <w:color w:val="000000"/>
              </w:rPr>
              <w:t>Total DB Plan Investments</w:t>
            </w:r>
          </w:p>
        </w:tc>
        <w:tc>
          <w:tcPr>
            <w:tcW w:w="1327" w:type="dxa"/>
            <w:tcBorders>
              <w:top w:val="nil"/>
              <w:left w:val="nil"/>
              <w:bottom w:val="double" w:sz="6" w:space="0" w:color="000000"/>
              <w:right w:val="nil"/>
            </w:tcBorders>
            <w:shd w:val="clear" w:color="000000" w:fill="F2F2F2"/>
            <w:noWrap/>
            <w:hideMark/>
          </w:tcPr>
          <w:p w14:paraId="21BB5A68" w14:textId="77777777" w:rsidR="001B6918" w:rsidRPr="00D92E4F" w:rsidRDefault="001B6918" w:rsidP="00730ECF">
            <w:pPr>
              <w:jc w:val="right"/>
              <w:rPr>
                <w:rFonts w:ascii="Calibri" w:eastAsia="Times New Roman" w:hAnsi="Calibri" w:cs="Calibri"/>
                <w:b/>
                <w:bCs/>
                <w:color w:val="000000"/>
              </w:rPr>
            </w:pPr>
            <w:r w:rsidRPr="000804D5">
              <w:t xml:space="preserve"> $</w:t>
            </w:r>
            <w:r>
              <w:t xml:space="preserve">  </w:t>
            </w:r>
            <w:r w:rsidRPr="000804D5">
              <w:t xml:space="preserve">17,593 </w:t>
            </w:r>
          </w:p>
        </w:tc>
        <w:tc>
          <w:tcPr>
            <w:tcW w:w="1117" w:type="dxa"/>
            <w:tcBorders>
              <w:top w:val="nil"/>
              <w:left w:val="nil"/>
              <w:bottom w:val="nil"/>
              <w:right w:val="nil"/>
            </w:tcBorders>
            <w:shd w:val="clear" w:color="000000" w:fill="FFFFFF"/>
            <w:noWrap/>
            <w:vAlign w:val="bottom"/>
            <w:hideMark/>
          </w:tcPr>
          <w:p w14:paraId="2B881AF4" w14:textId="77777777" w:rsidR="001B6918" w:rsidRPr="00D92E4F" w:rsidRDefault="001B6918" w:rsidP="00730ECF">
            <w:pPr>
              <w:jc w:val="right"/>
              <w:rPr>
                <w:rFonts w:ascii="Calibri" w:eastAsia="Times New Roman" w:hAnsi="Calibri" w:cs="Calibri"/>
                <w:color w:val="000000"/>
              </w:rPr>
            </w:pPr>
            <w:r w:rsidRPr="00D92E4F">
              <w:rPr>
                <w:rFonts w:ascii="Calibri" w:eastAsia="Times New Roman" w:hAnsi="Calibri" w:cs="Calibri"/>
                <w:color w:val="000000"/>
              </w:rPr>
              <w:t> </w:t>
            </w:r>
          </w:p>
        </w:tc>
        <w:tc>
          <w:tcPr>
            <w:tcW w:w="1094" w:type="dxa"/>
            <w:tcBorders>
              <w:top w:val="nil"/>
              <w:left w:val="nil"/>
              <w:bottom w:val="nil"/>
              <w:right w:val="nil"/>
            </w:tcBorders>
            <w:shd w:val="clear" w:color="000000" w:fill="FFFFFF"/>
            <w:noWrap/>
            <w:vAlign w:val="bottom"/>
            <w:hideMark/>
          </w:tcPr>
          <w:p w14:paraId="1F7ECDF2" w14:textId="77777777" w:rsidR="001B6918" w:rsidRPr="00D92E4F" w:rsidRDefault="001B6918" w:rsidP="00730ECF">
            <w:pPr>
              <w:jc w:val="right"/>
              <w:rPr>
                <w:rFonts w:ascii="Calibri" w:eastAsia="Times New Roman" w:hAnsi="Calibri" w:cs="Calibri"/>
                <w:color w:val="000000"/>
              </w:rPr>
            </w:pPr>
            <w:r w:rsidRPr="00D92E4F">
              <w:rPr>
                <w:rFonts w:ascii="Calibri" w:eastAsia="Times New Roman" w:hAnsi="Calibri" w:cs="Calibri"/>
                <w:color w:val="000000"/>
              </w:rPr>
              <w:t> </w:t>
            </w:r>
          </w:p>
        </w:tc>
        <w:tc>
          <w:tcPr>
            <w:tcW w:w="1094" w:type="dxa"/>
            <w:tcBorders>
              <w:top w:val="nil"/>
              <w:left w:val="nil"/>
              <w:bottom w:val="nil"/>
              <w:right w:val="nil"/>
            </w:tcBorders>
            <w:shd w:val="clear" w:color="000000" w:fill="FFFFFF"/>
            <w:noWrap/>
            <w:vAlign w:val="bottom"/>
            <w:hideMark/>
          </w:tcPr>
          <w:p w14:paraId="5EAF8571" w14:textId="77777777" w:rsidR="001B6918" w:rsidRPr="00D92E4F" w:rsidRDefault="001B6918" w:rsidP="00730ECF">
            <w:pPr>
              <w:jc w:val="right"/>
              <w:rPr>
                <w:rFonts w:ascii="Calibri" w:eastAsia="Times New Roman" w:hAnsi="Calibri" w:cs="Calibri"/>
                <w:color w:val="000000"/>
              </w:rPr>
            </w:pPr>
            <w:r w:rsidRPr="00D92E4F">
              <w:rPr>
                <w:rFonts w:ascii="Calibri" w:eastAsia="Times New Roman" w:hAnsi="Calibri" w:cs="Calibri"/>
                <w:color w:val="000000"/>
              </w:rPr>
              <w:t> </w:t>
            </w:r>
          </w:p>
        </w:tc>
      </w:tr>
      <w:tr w:rsidR="001B6918" w:rsidRPr="00D92E4F" w14:paraId="5C381100" w14:textId="77777777" w:rsidTr="00730ECF">
        <w:trPr>
          <w:trHeight w:val="35"/>
          <w:jc w:val="center"/>
        </w:trPr>
        <w:tc>
          <w:tcPr>
            <w:tcW w:w="6030" w:type="dxa"/>
            <w:tcBorders>
              <w:top w:val="nil"/>
              <w:left w:val="nil"/>
              <w:bottom w:val="nil"/>
              <w:right w:val="nil"/>
            </w:tcBorders>
            <w:shd w:val="clear" w:color="000000" w:fill="FFFFFF"/>
            <w:noWrap/>
            <w:vAlign w:val="bottom"/>
            <w:hideMark/>
          </w:tcPr>
          <w:p w14:paraId="0D73DAAB" w14:textId="77777777" w:rsidR="001B6918" w:rsidRPr="00D92E4F" w:rsidRDefault="001B6918" w:rsidP="00730ECF">
            <w:pPr>
              <w:ind w:firstLineChars="100" w:firstLine="220"/>
              <w:rPr>
                <w:rFonts w:ascii="Calibri" w:eastAsia="Times New Roman" w:hAnsi="Calibri" w:cs="Calibri"/>
                <w:color w:val="000000"/>
              </w:rPr>
            </w:pPr>
            <w:r w:rsidRPr="00D92E4F">
              <w:rPr>
                <w:rFonts w:ascii="Calibri" w:eastAsia="Times New Roman" w:hAnsi="Calibri" w:cs="Calibri"/>
                <w:color w:val="000000"/>
              </w:rPr>
              <w:t>MIP held on behalf of outside entities at fair level</w:t>
            </w:r>
          </w:p>
        </w:tc>
        <w:tc>
          <w:tcPr>
            <w:tcW w:w="1327" w:type="dxa"/>
            <w:tcBorders>
              <w:top w:val="nil"/>
              <w:left w:val="nil"/>
              <w:bottom w:val="nil"/>
              <w:right w:val="nil"/>
            </w:tcBorders>
            <w:shd w:val="clear" w:color="000000" w:fill="FFFFFF"/>
            <w:noWrap/>
            <w:hideMark/>
          </w:tcPr>
          <w:p w14:paraId="30989688" w14:textId="77777777" w:rsidR="001B6918" w:rsidRPr="00D92E4F" w:rsidRDefault="001B6918" w:rsidP="00730ECF">
            <w:pPr>
              <w:jc w:val="right"/>
              <w:rPr>
                <w:rFonts w:ascii="Calibri" w:eastAsia="Times New Roman" w:hAnsi="Calibri" w:cs="Calibri"/>
              </w:rPr>
            </w:pPr>
            <w:r w:rsidRPr="000804D5">
              <w:t xml:space="preserve"> $129,127 </w:t>
            </w:r>
          </w:p>
        </w:tc>
        <w:tc>
          <w:tcPr>
            <w:tcW w:w="1117" w:type="dxa"/>
            <w:tcBorders>
              <w:top w:val="nil"/>
              <w:left w:val="nil"/>
              <w:bottom w:val="double" w:sz="6" w:space="0" w:color="000000"/>
              <w:right w:val="nil"/>
            </w:tcBorders>
            <w:shd w:val="clear" w:color="000000" w:fill="FFFFFF"/>
            <w:noWrap/>
            <w:hideMark/>
          </w:tcPr>
          <w:p w14:paraId="68D3B306" w14:textId="77777777" w:rsidR="001B6918" w:rsidRPr="00D92E4F" w:rsidRDefault="001B6918" w:rsidP="00730ECF">
            <w:pPr>
              <w:rPr>
                <w:rFonts w:ascii="Calibri" w:eastAsia="Times New Roman" w:hAnsi="Calibri" w:cs="Calibri"/>
              </w:rPr>
            </w:pPr>
            <w:r w:rsidRPr="00A018B8">
              <w:t xml:space="preserve"> $</w:t>
            </w:r>
            <w:r>
              <w:t xml:space="preserve"> </w:t>
            </w:r>
            <w:r w:rsidRPr="00A018B8">
              <w:t xml:space="preserve">69,203 </w:t>
            </w:r>
          </w:p>
        </w:tc>
        <w:tc>
          <w:tcPr>
            <w:tcW w:w="1094" w:type="dxa"/>
            <w:tcBorders>
              <w:top w:val="nil"/>
              <w:left w:val="nil"/>
              <w:bottom w:val="double" w:sz="6" w:space="0" w:color="000000"/>
              <w:right w:val="nil"/>
            </w:tcBorders>
            <w:shd w:val="clear" w:color="000000" w:fill="FFFFFF"/>
            <w:noWrap/>
            <w:hideMark/>
          </w:tcPr>
          <w:p w14:paraId="1C87E24C" w14:textId="77777777" w:rsidR="001B6918" w:rsidRPr="00D92E4F" w:rsidRDefault="001B6918" w:rsidP="00730ECF">
            <w:pPr>
              <w:jc w:val="right"/>
              <w:rPr>
                <w:rFonts w:ascii="Calibri" w:eastAsia="Times New Roman" w:hAnsi="Calibri" w:cs="Calibri"/>
                <w:color w:val="000000"/>
              </w:rPr>
            </w:pPr>
            <w:r w:rsidRPr="00A018B8">
              <w:t xml:space="preserve"> $59,924 </w:t>
            </w:r>
          </w:p>
        </w:tc>
        <w:tc>
          <w:tcPr>
            <w:tcW w:w="1094" w:type="dxa"/>
            <w:tcBorders>
              <w:top w:val="nil"/>
              <w:left w:val="nil"/>
              <w:bottom w:val="double" w:sz="6" w:space="0" w:color="000000"/>
              <w:right w:val="nil"/>
            </w:tcBorders>
            <w:shd w:val="clear" w:color="000000" w:fill="FFFFFF"/>
            <w:noWrap/>
            <w:hideMark/>
          </w:tcPr>
          <w:p w14:paraId="24012D6A" w14:textId="77777777" w:rsidR="001B6918" w:rsidRPr="00D92E4F" w:rsidRDefault="001B6918" w:rsidP="00730ECF">
            <w:pPr>
              <w:jc w:val="right"/>
              <w:rPr>
                <w:rFonts w:ascii="Calibri" w:eastAsia="Times New Roman" w:hAnsi="Calibri" w:cs="Calibri"/>
                <w:color w:val="000000"/>
              </w:rPr>
            </w:pPr>
            <w:r w:rsidRPr="00A018B8">
              <w:t xml:space="preserve"> $</w:t>
            </w:r>
            <w:r>
              <w:t xml:space="preserve">            </w:t>
            </w:r>
            <w:r w:rsidRPr="00A018B8">
              <w:t xml:space="preserve">- </w:t>
            </w:r>
          </w:p>
        </w:tc>
      </w:tr>
      <w:tr w:rsidR="001B6918" w:rsidRPr="00D92E4F" w14:paraId="6280F4EC" w14:textId="77777777" w:rsidTr="00730ECF">
        <w:trPr>
          <w:trHeight w:val="35"/>
          <w:jc w:val="center"/>
        </w:trPr>
        <w:tc>
          <w:tcPr>
            <w:tcW w:w="6030" w:type="dxa"/>
            <w:tcBorders>
              <w:top w:val="nil"/>
              <w:left w:val="nil"/>
              <w:bottom w:val="nil"/>
              <w:right w:val="nil"/>
            </w:tcBorders>
            <w:shd w:val="clear" w:color="000000" w:fill="FFFFFF"/>
            <w:noWrap/>
            <w:vAlign w:val="bottom"/>
            <w:hideMark/>
          </w:tcPr>
          <w:p w14:paraId="6DF11081" w14:textId="77777777" w:rsidR="001B6918" w:rsidRPr="00D92E4F" w:rsidRDefault="001B6918" w:rsidP="00730ECF">
            <w:pPr>
              <w:ind w:firstLineChars="100" w:firstLine="220"/>
              <w:rPr>
                <w:rFonts w:ascii="Calibri" w:eastAsia="Times New Roman" w:hAnsi="Calibri" w:cs="Calibri"/>
                <w:color w:val="000000"/>
              </w:rPr>
            </w:pPr>
            <w:r w:rsidRPr="00D92E4F">
              <w:rPr>
                <w:rFonts w:ascii="Calibri" w:eastAsia="Times New Roman" w:hAnsi="Calibri" w:cs="Calibri"/>
                <w:color w:val="000000"/>
              </w:rPr>
              <w:t>MIP held on behalf of outside entities at NAV</w:t>
            </w:r>
          </w:p>
        </w:tc>
        <w:tc>
          <w:tcPr>
            <w:tcW w:w="1327" w:type="dxa"/>
            <w:tcBorders>
              <w:top w:val="nil"/>
              <w:left w:val="nil"/>
              <w:bottom w:val="single" w:sz="4" w:space="0" w:color="000000"/>
              <w:right w:val="nil"/>
            </w:tcBorders>
            <w:shd w:val="clear" w:color="000000" w:fill="FFFFFF"/>
            <w:noWrap/>
            <w:hideMark/>
          </w:tcPr>
          <w:p w14:paraId="54130718" w14:textId="77777777" w:rsidR="001B6918" w:rsidRPr="00D92E4F" w:rsidRDefault="001B6918" w:rsidP="00730ECF">
            <w:pPr>
              <w:jc w:val="right"/>
              <w:rPr>
                <w:rFonts w:ascii="Calibri" w:eastAsia="Times New Roman" w:hAnsi="Calibri" w:cs="Calibri"/>
              </w:rPr>
            </w:pPr>
            <w:r w:rsidRPr="000804D5">
              <w:t xml:space="preserve"> 72,433 </w:t>
            </w:r>
          </w:p>
        </w:tc>
        <w:tc>
          <w:tcPr>
            <w:tcW w:w="1117" w:type="dxa"/>
            <w:tcBorders>
              <w:top w:val="nil"/>
              <w:left w:val="nil"/>
              <w:bottom w:val="nil"/>
              <w:right w:val="nil"/>
            </w:tcBorders>
            <w:shd w:val="clear" w:color="000000" w:fill="FFFFFF"/>
            <w:noWrap/>
            <w:hideMark/>
          </w:tcPr>
          <w:p w14:paraId="790402A6" w14:textId="77777777" w:rsidR="001B6918" w:rsidRPr="00D92E4F" w:rsidRDefault="001B6918" w:rsidP="00730ECF">
            <w:pPr>
              <w:jc w:val="right"/>
              <w:rPr>
                <w:rFonts w:ascii="Calibri" w:eastAsia="Times New Roman" w:hAnsi="Calibri" w:cs="Calibri"/>
              </w:rPr>
            </w:pPr>
          </w:p>
        </w:tc>
        <w:tc>
          <w:tcPr>
            <w:tcW w:w="1094" w:type="dxa"/>
            <w:tcBorders>
              <w:top w:val="nil"/>
              <w:left w:val="nil"/>
              <w:bottom w:val="nil"/>
              <w:right w:val="nil"/>
            </w:tcBorders>
            <w:shd w:val="clear" w:color="000000" w:fill="FFFFFF"/>
            <w:noWrap/>
            <w:hideMark/>
          </w:tcPr>
          <w:p w14:paraId="29E69FD4" w14:textId="77777777" w:rsidR="001B6918" w:rsidRPr="00D92E4F" w:rsidRDefault="001B6918" w:rsidP="00730ECF">
            <w:pPr>
              <w:jc w:val="right"/>
              <w:rPr>
                <w:rFonts w:ascii="Calibri" w:eastAsia="Times New Roman" w:hAnsi="Calibri" w:cs="Calibri"/>
                <w:color w:val="000000"/>
              </w:rPr>
            </w:pPr>
          </w:p>
        </w:tc>
        <w:tc>
          <w:tcPr>
            <w:tcW w:w="1094" w:type="dxa"/>
            <w:tcBorders>
              <w:top w:val="nil"/>
              <w:left w:val="nil"/>
              <w:bottom w:val="nil"/>
              <w:right w:val="nil"/>
            </w:tcBorders>
            <w:shd w:val="clear" w:color="000000" w:fill="FFFFFF"/>
            <w:noWrap/>
            <w:hideMark/>
          </w:tcPr>
          <w:p w14:paraId="0F8E55DF" w14:textId="77777777" w:rsidR="001B6918" w:rsidRPr="00D92E4F" w:rsidRDefault="001B6918" w:rsidP="00730ECF">
            <w:pPr>
              <w:jc w:val="right"/>
              <w:rPr>
                <w:rFonts w:ascii="Calibri" w:eastAsia="Times New Roman" w:hAnsi="Calibri" w:cs="Calibri"/>
                <w:color w:val="000000"/>
              </w:rPr>
            </w:pPr>
          </w:p>
        </w:tc>
      </w:tr>
      <w:tr w:rsidR="001B6918" w:rsidRPr="00D92E4F" w14:paraId="2784B5AD" w14:textId="77777777" w:rsidTr="00730ECF">
        <w:trPr>
          <w:trHeight w:val="70"/>
          <w:jc w:val="center"/>
        </w:trPr>
        <w:tc>
          <w:tcPr>
            <w:tcW w:w="6030" w:type="dxa"/>
            <w:tcBorders>
              <w:top w:val="nil"/>
              <w:left w:val="nil"/>
              <w:bottom w:val="double" w:sz="6" w:space="0" w:color="000000"/>
              <w:right w:val="nil"/>
            </w:tcBorders>
            <w:shd w:val="clear" w:color="000000" w:fill="F2F2F2"/>
            <w:noWrap/>
            <w:vAlign w:val="bottom"/>
            <w:hideMark/>
          </w:tcPr>
          <w:p w14:paraId="0840E252" w14:textId="77777777" w:rsidR="001B6918" w:rsidRPr="00D92E4F" w:rsidRDefault="001B6918" w:rsidP="00730ECF">
            <w:pPr>
              <w:ind w:firstLineChars="100" w:firstLine="221"/>
              <w:rPr>
                <w:rFonts w:ascii="Calibri" w:eastAsia="Times New Roman" w:hAnsi="Calibri" w:cs="Calibri"/>
                <w:b/>
                <w:bCs/>
                <w:color w:val="000000"/>
              </w:rPr>
            </w:pPr>
            <w:r w:rsidRPr="00D92E4F">
              <w:rPr>
                <w:rFonts w:ascii="Calibri" w:eastAsia="Times New Roman" w:hAnsi="Calibri" w:cs="Calibri"/>
                <w:b/>
                <w:bCs/>
                <w:color w:val="000000"/>
              </w:rPr>
              <w:t>Total MIP held on behalf of outside entities</w:t>
            </w:r>
          </w:p>
        </w:tc>
        <w:tc>
          <w:tcPr>
            <w:tcW w:w="1327" w:type="dxa"/>
            <w:tcBorders>
              <w:top w:val="nil"/>
              <w:left w:val="nil"/>
              <w:bottom w:val="double" w:sz="6" w:space="0" w:color="000000"/>
              <w:right w:val="nil"/>
            </w:tcBorders>
            <w:shd w:val="clear" w:color="000000" w:fill="F2F2F2"/>
            <w:noWrap/>
            <w:hideMark/>
          </w:tcPr>
          <w:p w14:paraId="3C371C6F" w14:textId="77777777" w:rsidR="001B6918" w:rsidRPr="00D92E4F" w:rsidRDefault="001B6918" w:rsidP="00730ECF">
            <w:pPr>
              <w:jc w:val="right"/>
              <w:rPr>
                <w:rFonts w:ascii="Calibri" w:eastAsia="Times New Roman" w:hAnsi="Calibri" w:cs="Calibri"/>
                <w:b/>
                <w:bCs/>
                <w:color w:val="000000"/>
              </w:rPr>
            </w:pPr>
            <w:r w:rsidRPr="000804D5">
              <w:t xml:space="preserve"> $201,560 </w:t>
            </w:r>
          </w:p>
        </w:tc>
        <w:tc>
          <w:tcPr>
            <w:tcW w:w="1117" w:type="dxa"/>
            <w:tcBorders>
              <w:top w:val="nil"/>
              <w:left w:val="nil"/>
              <w:bottom w:val="nil"/>
              <w:right w:val="nil"/>
            </w:tcBorders>
            <w:shd w:val="clear" w:color="000000" w:fill="FFFFFF"/>
            <w:noWrap/>
            <w:hideMark/>
          </w:tcPr>
          <w:p w14:paraId="294AB474" w14:textId="77777777" w:rsidR="001B6918" w:rsidRPr="00D92E4F" w:rsidRDefault="001B6918" w:rsidP="00730ECF">
            <w:pPr>
              <w:jc w:val="right"/>
              <w:rPr>
                <w:rFonts w:ascii="Calibri" w:eastAsia="Times New Roman" w:hAnsi="Calibri" w:cs="Calibri"/>
                <w:color w:val="000000"/>
              </w:rPr>
            </w:pPr>
          </w:p>
        </w:tc>
        <w:tc>
          <w:tcPr>
            <w:tcW w:w="1094" w:type="dxa"/>
            <w:tcBorders>
              <w:top w:val="nil"/>
              <w:left w:val="nil"/>
              <w:bottom w:val="nil"/>
              <w:right w:val="nil"/>
            </w:tcBorders>
            <w:shd w:val="clear" w:color="000000" w:fill="FFFFFF"/>
            <w:noWrap/>
            <w:hideMark/>
          </w:tcPr>
          <w:p w14:paraId="31F98FB9" w14:textId="77777777" w:rsidR="001B6918" w:rsidRPr="00D92E4F" w:rsidRDefault="001B6918" w:rsidP="00730ECF">
            <w:pPr>
              <w:jc w:val="right"/>
              <w:rPr>
                <w:rFonts w:ascii="Calibri" w:eastAsia="Times New Roman" w:hAnsi="Calibri" w:cs="Calibri"/>
                <w:color w:val="000000"/>
              </w:rPr>
            </w:pPr>
          </w:p>
        </w:tc>
        <w:tc>
          <w:tcPr>
            <w:tcW w:w="1094" w:type="dxa"/>
            <w:tcBorders>
              <w:top w:val="nil"/>
              <w:left w:val="nil"/>
              <w:bottom w:val="nil"/>
              <w:right w:val="nil"/>
            </w:tcBorders>
            <w:shd w:val="clear" w:color="000000" w:fill="FFFFFF"/>
            <w:noWrap/>
            <w:hideMark/>
          </w:tcPr>
          <w:p w14:paraId="4E0B6DEB" w14:textId="77777777" w:rsidR="001B6918" w:rsidRPr="00D92E4F" w:rsidRDefault="001B6918" w:rsidP="00730ECF">
            <w:pPr>
              <w:jc w:val="right"/>
              <w:rPr>
                <w:rFonts w:ascii="Calibri" w:eastAsia="Times New Roman" w:hAnsi="Calibri" w:cs="Calibri"/>
                <w:color w:val="000000"/>
              </w:rPr>
            </w:pPr>
          </w:p>
        </w:tc>
      </w:tr>
      <w:tr w:rsidR="001B6918" w:rsidRPr="00D92E4F" w14:paraId="57885F26" w14:textId="77777777" w:rsidTr="00730ECF">
        <w:trPr>
          <w:trHeight w:val="198"/>
          <w:jc w:val="center"/>
        </w:trPr>
        <w:tc>
          <w:tcPr>
            <w:tcW w:w="6030" w:type="dxa"/>
            <w:tcBorders>
              <w:top w:val="nil"/>
              <w:left w:val="nil"/>
              <w:bottom w:val="nil"/>
              <w:right w:val="nil"/>
            </w:tcBorders>
            <w:shd w:val="clear" w:color="000000" w:fill="FFFFFF"/>
            <w:noWrap/>
            <w:vAlign w:val="bottom"/>
            <w:hideMark/>
          </w:tcPr>
          <w:p w14:paraId="293A7781" w14:textId="77777777" w:rsidR="001B6918" w:rsidRPr="00D92E4F" w:rsidRDefault="001B6918" w:rsidP="00730ECF">
            <w:pPr>
              <w:ind w:firstLineChars="100" w:firstLine="220"/>
              <w:rPr>
                <w:rFonts w:ascii="Calibri" w:eastAsia="Times New Roman" w:hAnsi="Calibri" w:cs="Calibri"/>
                <w:color w:val="000000"/>
              </w:rPr>
            </w:pPr>
            <w:r w:rsidRPr="00D92E4F">
              <w:rPr>
                <w:rFonts w:ascii="Calibri" w:eastAsia="Times New Roman" w:hAnsi="Calibri" w:cs="Calibri"/>
                <w:color w:val="000000"/>
              </w:rPr>
              <w:t>Fiduciary Funds held in Endowment Pool at fair value level</w:t>
            </w:r>
          </w:p>
        </w:tc>
        <w:tc>
          <w:tcPr>
            <w:tcW w:w="1327" w:type="dxa"/>
            <w:tcBorders>
              <w:top w:val="nil"/>
              <w:left w:val="nil"/>
              <w:bottom w:val="nil"/>
              <w:right w:val="nil"/>
            </w:tcBorders>
            <w:shd w:val="clear" w:color="000000" w:fill="FFFFFF"/>
            <w:noWrap/>
            <w:hideMark/>
          </w:tcPr>
          <w:p w14:paraId="4307588B" w14:textId="77777777" w:rsidR="001B6918" w:rsidRPr="00D92E4F" w:rsidRDefault="001B6918" w:rsidP="00730ECF">
            <w:pPr>
              <w:jc w:val="right"/>
              <w:rPr>
                <w:rFonts w:ascii="Calibri" w:eastAsia="Times New Roman" w:hAnsi="Calibri" w:cs="Calibri"/>
                <w:color w:val="000000"/>
              </w:rPr>
            </w:pPr>
            <w:r w:rsidRPr="000804D5">
              <w:t xml:space="preserve"> $</w:t>
            </w:r>
            <w:r>
              <w:t xml:space="preserve">  </w:t>
            </w:r>
            <w:r w:rsidRPr="000804D5">
              <w:t xml:space="preserve">24,450 </w:t>
            </w:r>
          </w:p>
        </w:tc>
        <w:tc>
          <w:tcPr>
            <w:tcW w:w="1117" w:type="dxa"/>
            <w:tcBorders>
              <w:top w:val="nil"/>
              <w:left w:val="nil"/>
              <w:bottom w:val="double" w:sz="6" w:space="0" w:color="000000"/>
              <w:right w:val="nil"/>
            </w:tcBorders>
            <w:shd w:val="clear" w:color="000000" w:fill="FFFFFF"/>
            <w:noWrap/>
            <w:hideMark/>
          </w:tcPr>
          <w:p w14:paraId="0BDCADAE" w14:textId="77777777" w:rsidR="001B6918" w:rsidRPr="00D92E4F" w:rsidRDefault="001B6918" w:rsidP="00730ECF">
            <w:pPr>
              <w:jc w:val="right"/>
              <w:rPr>
                <w:rFonts w:ascii="Calibri" w:eastAsia="Times New Roman" w:hAnsi="Calibri" w:cs="Calibri"/>
              </w:rPr>
            </w:pPr>
            <w:r w:rsidRPr="00A018B8">
              <w:t xml:space="preserve"> $</w:t>
            </w:r>
            <w:r>
              <w:t xml:space="preserve"> </w:t>
            </w:r>
            <w:r w:rsidRPr="00A018B8">
              <w:t xml:space="preserve">13,104 </w:t>
            </w:r>
          </w:p>
        </w:tc>
        <w:tc>
          <w:tcPr>
            <w:tcW w:w="1094" w:type="dxa"/>
            <w:tcBorders>
              <w:top w:val="nil"/>
              <w:left w:val="nil"/>
              <w:bottom w:val="double" w:sz="6" w:space="0" w:color="000000"/>
              <w:right w:val="nil"/>
            </w:tcBorders>
            <w:shd w:val="clear" w:color="000000" w:fill="FFFFFF"/>
            <w:noWrap/>
            <w:hideMark/>
          </w:tcPr>
          <w:p w14:paraId="2BFFB63E" w14:textId="77777777" w:rsidR="001B6918" w:rsidRPr="00D92E4F" w:rsidRDefault="001B6918" w:rsidP="00730ECF">
            <w:pPr>
              <w:jc w:val="right"/>
              <w:rPr>
                <w:rFonts w:ascii="Calibri" w:eastAsia="Times New Roman" w:hAnsi="Calibri" w:cs="Calibri"/>
                <w:color w:val="000000"/>
              </w:rPr>
            </w:pPr>
            <w:r w:rsidRPr="00A018B8">
              <w:t xml:space="preserve"> $11,346 </w:t>
            </w:r>
          </w:p>
        </w:tc>
        <w:tc>
          <w:tcPr>
            <w:tcW w:w="1094" w:type="dxa"/>
            <w:tcBorders>
              <w:top w:val="nil"/>
              <w:left w:val="nil"/>
              <w:bottom w:val="double" w:sz="6" w:space="0" w:color="000000"/>
              <w:right w:val="nil"/>
            </w:tcBorders>
            <w:shd w:val="clear" w:color="000000" w:fill="FFFFFF"/>
            <w:noWrap/>
            <w:hideMark/>
          </w:tcPr>
          <w:p w14:paraId="0BFF2DB0" w14:textId="77777777" w:rsidR="001B6918" w:rsidRPr="00D92E4F" w:rsidRDefault="001B6918" w:rsidP="00730ECF">
            <w:pPr>
              <w:jc w:val="right"/>
              <w:rPr>
                <w:rFonts w:ascii="Calibri" w:eastAsia="Times New Roman" w:hAnsi="Calibri" w:cs="Calibri"/>
                <w:color w:val="000000"/>
              </w:rPr>
            </w:pPr>
            <w:r w:rsidRPr="00A018B8">
              <w:t>$</w:t>
            </w:r>
            <w:r>
              <w:t xml:space="preserve">            </w:t>
            </w:r>
            <w:r w:rsidRPr="00A018B8">
              <w:t>-</w:t>
            </w:r>
          </w:p>
        </w:tc>
      </w:tr>
      <w:tr w:rsidR="001B6918" w:rsidRPr="00D92E4F" w14:paraId="303B4D26" w14:textId="77777777" w:rsidTr="00730ECF">
        <w:trPr>
          <w:trHeight w:val="63"/>
          <w:jc w:val="center"/>
        </w:trPr>
        <w:tc>
          <w:tcPr>
            <w:tcW w:w="6030" w:type="dxa"/>
            <w:tcBorders>
              <w:top w:val="nil"/>
              <w:left w:val="nil"/>
              <w:bottom w:val="nil"/>
              <w:right w:val="nil"/>
            </w:tcBorders>
            <w:shd w:val="clear" w:color="000000" w:fill="FFFFFF"/>
            <w:noWrap/>
            <w:vAlign w:val="bottom"/>
            <w:hideMark/>
          </w:tcPr>
          <w:p w14:paraId="25B72712" w14:textId="77777777" w:rsidR="001B6918" w:rsidRPr="00D92E4F" w:rsidRDefault="001B6918" w:rsidP="00730ECF">
            <w:pPr>
              <w:ind w:firstLineChars="100" w:firstLine="220"/>
              <w:rPr>
                <w:rFonts w:ascii="Calibri" w:eastAsia="Times New Roman" w:hAnsi="Calibri" w:cs="Calibri"/>
                <w:color w:val="000000"/>
              </w:rPr>
            </w:pPr>
            <w:r w:rsidRPr="00D92E4F">
              <w:rPr>
                <w:rFonts w:ascii="Calibri" w:eastAsia="Times New Roman" w:hAnsi="Calibri" w:cs="Calibri"/>
                <w:color w:val="000000"/>
              </w:rPr>
              <w:t>Fiduciary Funds held in Endowment Pool at NAV</w:t>
            </w:r>
          </w:p>
        </w:tc>
        <w:tc>
          <w:tcPr>
            <w:tcW w:w="1327" w:type="dxa"/>
            <w:tcBorders>
              <w:top w:val="nil"/>
              <w:left w:val="nil"/>
              <w:bottom w:val="single" w:sz="4" w:space="0" w:color="000000"/>
              <w:right w:val="nil"/>
            </w:tcBorders>
            <w:shd w:val="clear" w:color="000000" w:fill="FFFFFF"/>
            <w:noWrap/>
            <w:hideMark/>
          </w:tcPr>
          <w:p w14:paraId="7E62B773" w14:textId="77777777" w:rsidR="001B6918" w:rsidRPr="00D92E4F" w:rsidRDefault="001B6918" w:rsidP="00730ECF">
            <w:pPr>
              <w:jc w:val="right"/>
              <w:rPr>
                <w:rFonts w:ascii="Calibri" w:eastAsia="Times New Roman" w:hAnsi="Calibri" w:cs="Calibri"/>
              </w:rPr>
            </w:pPr>
            <w:r w:rsidRPr="000804D5">
              <w:t xml:space="preserve"> 13,715 </w:t>
            </w:r>
          </w:p>
        </w:tc>
        <w:tc>
          <w:tcPr>
            <w:tcW w:w="1117" w:type="dxa"/>
            <w:tcBorders>
              <w:top w:val="nil"/>
              <w:left w:val="nil"/>
              <w:bottom w:val="nil"/>
              <w:right w:val="nil"/>
            </w:tcBorders>
            <w:shd w:val="clear" w:color="000000" w:fill="FFFFFF"/>
            <w:noWrap/>
            <w:hideMark/>
          </w:tcPr>
          <w:p w14:paraId="2C24B5C8" w14:textId="77777777" w:rsidR="001B6918" w:rsidRPr="00D92E4F" w:rsidRDefault="001B6918" w:rsidP="00730ECF">
            <w:pPr>
              <w:jc w:val="right"/>
              <w:rPr>
                <w:rFonts w:ascii="Calibri" w:eastAsia="Times New Roman" w:hAnsi="Calibri" w:cs="Calibri"/>
                <w:color w:val="000000"/>
              </w:rPr>
            </w:pPr>
          </w:p>
        </w:tc>
        <w:tc>
          <w:tcPr>
            <w:tcW w:w="1094" w:type="dxa"/>
            <w:tcBorders>
              <w:top w:val="nil"/>
              <w:left w:val="nil"/>
              <w:bottom w:val="nil"/>
              <w:right w:val="nil"/>
            </w:tcBorders>
            <w:shd w:val="clear" w:color="000000" w:fill="FFFFFF"/>
            <w:noWrap/>
            <w:hideMark/>
          </w:tcPr>
          <w:p w14:paraId="175E8F01" w14:textId="77777777" w:rsidR="001B6918" w:rsidRPr="00D92E4F" w:rsidRDefault="001B6918" w:rsidP="00730ECF">
            <w:pPr>
              <w:jc w:val="right"/>
              <w:rPr>
                <w:rFonts w:ascii="Calibri" w:eastAsia="Times New Roman" w:hAnsi="Calibri" w:cs="Calibri"/>
                <w:color w:val="000000"/>
              </w:rPr>
            </w:pPr>
          </w:p>
        </w:tc>
        <w:tc>
          <w:tcPr>
            <w:tcW w:w="1094" w:type="dxa"/>
            <w:tcBorders>
              <w:top w:val="nil"/>
              <w:left w:val="nil"/>
              <w:bottom w:val="nil"/>
              <w:right w:val="nil"/>
            </w:tcBorders>
            <w:shd w:val="clear" w:color="000000" w:fill="FFFFFF"/>
            <w:noWrap/>
            <w:hideMark/>
          </w:tcPr>
          <w:p w14:paraId="21A0C892" w14:textId="77777777" w:rsidR="001B6918" w:rsidRPr="00D92E4F" w:rsidRDefault="001B6918" w:rsidP="00730ECF">
            <w:pPr>
              <w:jc w:val="right"/>
              <w:rPr>
                <w:rFonts w:ascii="Calibri" w:eastAsia="Times New Roman" w:hAnsi="Calibri" w:cs="Calibri"/>
                <w:color w:val="000000"/>
              </w:rPr>
            </w:pPr>
          </w:p>
        </w:tc>
      </w:tr>
      <w:tr w:rsidR="001B6918" w:rsidRPr="00D92E4F" w14:paraId="62ABE35E" w14:textId="77777777" w:rsidTr="00730ECF">
        <w:trPr>
          <w:trHeight w:val="70"/>
          <w:jc w:val="center"/>
        </w:trPr>
        <w:tc>
          <w:tcPr>
            <w:tcW w:w="6030" w:type="dxa"/>
            <w:tcBorders>
              <w:top w:val="nil"/>
              <w:left w:val="nil"/>
              <w:bottom w:val="double" w:sz="6" w:space="0" w:color="000000"/>
              <w:right w:val="nil"/>
            </w:tcBorders>
            <w:shd w:val="clear" w:color="000000" w:fill="F2F2F2"/>
            <w:noWrap/>
            <w:vAlign w:val="bottom"/>
            <w:hideMark/>
          </w:tcPr>
          <w:p w14:paraId="6E0B88EA" w14:textId="77777777" w:rsidR="001B6918" w:rsidRPr="00D92E4F" w:rsidRDefault="001B6918" w:rsidP="00730ECF">
            <w:pPr>
              <w:ind w:firstLineChars="100" w:firstLine="221"/>
              <w:rPr>
                <w:rFonts w:ascii="Calibri" w:eastAsia="Times New Roman" w:hAnsi="Calibri" w:cs="Calibri"/>
                <w:b/>
                <w:bCs/>
                <w:color w:val="000000"/>
              </w:rPr>
            </w:pPr>
            <w:r w:rsidRPr="00D92E4F">
              <w:rPr>
                <w:rFonts w:ascii="Calibri" w:eastAsia="Times New Roman" w:hAnsi="Calibri" w:cs="Calibri"/>
                <w:b/>
                <w:bCs/>
                <w:color w:val="000000"/>
              </w:rPr>
              <w:t>Total Fiduciary Funds held in Endowment Pool</w:t>
            </w:r>
          </w:p>
        </w:tc>
        <w:tc>
          <w:tcPr>
            <w:tcW w:w="1327" w:type="dxa"/>
            <w:tcBorders>
              <w:top w:val="nil"/>
              <w:left w:val="nil"/>
              <w:bottom w:val="double" w:sz="6" w:space="0" w:color="000000"/>
              <w:right w:val="nil"/>
            </w:tcBorders>
            <w:shd w:val="clear" w:color="000000" w:fill="F2F2F2"/>
            <w:noWrap/>
            <w:hideMark/>
          </w:tcPr>
          <w:p w14:paraId="4B90583E" w14:textId="77777777" w:rsidR="001B6918" w:rsidRPr="00D92E4F" w:rsidRDefault="001B6918" w:rsidP="00730ECF">
            <w:pPr>
              <w:jc w:val="right"/>
              <w:rPr>
                <w:rFonts w:ascii="Calibri" w:eastAsia="Times New Roman" w:hAnsi="Calibri" w:cs="Calibri"/>
                <w:b/>
                <w:bCs/>
                <w:color w:val="000000"/>
              </w:rPr>
            </w:pPr>
            <w:r w:rsidRPr="000804D5">
              <w:t xml:space="preserve"> $</w:t>
            </w:r>
            <w:r>
              <w:t xml:space="preserve">  </w:t>
            </w:r>
            <w:r w:rsidRPr="000804D5">
              <w:t xml:space="preserve">38,165 </w:t>
            </w:r>
          </w:p>
        </w:tc>
        <w:tc>
          <w:tcPr>
            <w:tcW w:w="1117" w:type="dxa"/>
            <w:tcBorders>
              <w:top w:val="nil"/>
              <w:left w:val="nil"/>
              <w:bottom w:val="nil"/>
              <w:right w:val="nil"/>
            </w:tcBorders>
            <w:shd w:val="clear" w:color="000000" w:fill="FFFFFF"/>
            <w:noWrap/>
            <w:hideMark/>
          </w:tcPr>
          <w:p w14:paraId="7B961744" w14:textId="77777777" w:rsidR="001B6918" w:rsidRPr="00D92E4F" w:rsidRDefault="001B6918" w:rsidP="00730ECF">
            <w:pPr>
              <w:jc w:val="right"/>
              <w:rPr>
                <w:rFonts w:ascii="Calibri" w:eastAsia="Times New Roman" w:hAnsi="Calibri" w:cs="Calibri"/>
                <w:color w:val="000000"/>
              </w:rPr>
            </w:pPr>
          </w:p>
        </w:tc>
        <w:tc>
          <w:tcPr>
            <w:tcW w:w="1094" w:type="dxa"/>
            <w:tcBorders>
              <w:top w:val="nil"/>
              <w:left w:val="nil"/>
              <w:bottom w:val="nil"/>
              <w:right w:val="nil"/>
            </w:tcBorders>
            <w:shd w:val="clear" w:color="000000" w:fill="FFFFFF"/>
            <w:noWrap/>
            <w:hideMark/>
          </w:tcPr>
          <w:p w14:paraId="48077640" w14:textId="77777777" w:rsidR="001B6918" w:rsidRPr="00D92E4F" w:rsidRDefault="001B6918" w:rsidP="00730ECF">
            <w:pPr>
              <w:jc w:val="right"/>
              <w:rPr>
                <w:rFonts w:ascii="Calibri" w:eastAsia="Times New Roman" w:hAnsi="Calibri" w:cs="Calibri"/>
                <w:color w:val="000000"/>
              </w:rPr>
            </w:pPr>
          </w:p>
        </w:tc>
        <w:tc>
          <w:tcPr>
            <w:tcW w:w="1094" w:type="dxa"/>
            <w:tcBorders>
              <w:top w:val="nil"/>
              <w:left w:val="nil"/>
              <w:bottom w:val="nil"/>
              <w:right w:val="nil"/>
            </w:tcBorders>
            <w:shd w:val="clear" w:color="000000" w:fill="FFFFFF"/>
            <w:noWrap/>
            <w:hideMark/>
          </w:tcPr>
          <w:p w14:paraId="61505A7A" w14:textId="77777777" w:rsidR="001B6918" w:rsidRPr="00D92E4F" w:rsidRDefault="001B6918" w:rsidP="00730ECF">
            <w:pPr>
              <w:jc w:val="right"/>
              <w:rPr>
                <w:rFonts w:ascii="Calibri" w:eastAsia="Times New Roman" w:hAnsi="Calibri" w:cs="Calibri"/>
                <w:color w:val="000000"/>
              </w:rPr>
            </w:pPr>
          </w:p>
        </w:tc>
      </w:tr>
      <w:tr w:rsidR="001B6918" w:rsidRPr="00D92E4F" w14:paraId="69BD6F9A" w14:textId="77777777" w:rsidTr="00730ECF">
        <w:trPr>
          <w:trHeight w:val="108"/>
          <w:jc w:val="center"/>
        </w:trPr>
        <w:tc>
          <w:tcPr>
            <w:tcW w:w="6030" w:type="dxa"/>
            <w:tcBorders>
              <w:top w:val="nil"/>
              <w:left w:val="nil"/>
              <w:bottom w:val="nil"/>
              <w:right w:val="nil"/>
            </w:tcBorders>
            <w:noWrap/>
            <w:vAlign w:val="bottom"/>
            <w:hideMark/>
          </w:tcPr>
          <w:p w14:paraId="773E804F" w14:textId="77777777" w:rsidR="001B6918" w:rsidRPr="00D92E4F" w:rsidRDefault="001B6918" w:rsidP="00730ECF">
            <w:pPr>
              <w:ind w:firstLineChars="100" w:firstLine="220"/>
              <w:rPr>
                <w:rFonts w:ascii="Calibri" w:eastAsia="Times New Roman" w:hAnsi="Calibri" w:cs="Calibri"/>
                <w:color w:val="000000"/>
              </w:rPr>
            </w:pPr>
            <w:r w:rsidRPr="00D92E4F">
              <w:rPr>
                <w:rFonts w:ascii="Calibri" w:eastAsia="Times New Roman" w:hAnsi="Calibri" w:cs="Calibri"/>
                <w:color w:val="000000"/>
              </w:rPr>
              <w:t>Endowment pool investments included in the MIP at fair value</w:t>
            </w:r>
          </w:p>
        </w:tc>
        <w:tc>
          <w:tcPr>
            <w:tcW w:w="1327" w:type="dxa"/>
            <w:tcBorders>
              <w:top w:val="nil"/>
              <w:left w:val="nil"/>
              <w:bottom w:val="nil"/>
              <w:right w:val="nil"/>
            </w:tcBorders>
            <w:noWrap/>
            <w:hideMark/>
          </w:tcPr>
          <w:p w14:paraId="33CD5DDF" w14:textId="77777777" w:rsidR="001B6918" w:rsidRPr="00D92E4F" w:rsidRDefault="001B6918" w:rsidP="00730ECF">
            <w:pPr>
              <w:jc w:val="right"/>
              <w:rPr>
                <w:rFonts w:ascii="Calibri" w:eastAsia="Times New Roman" w:hAnsi="Calibri" w:cs="Calibri"/>
              </w:rPr>
            </w:pPr>
            <w:r w:rsidRPr="000804D5">
              <w:t xml:space="preserve"> $101,982 </w:t>
            </w:r>
          </w:p>
        </w:tc>
        <w:tc>
          <w:tcPr>
            <w:tcW w:w="1117" w:type="dxa"/>
            <w:tcBorders>
              <w:top w:val="nil"/>
              <w:left w:val="nil"/>
              <w:bottom w:val="double" w:sz="6" w:space="0" w:color="000000"/>
              <w:right w:val="nil"/>
            </w:tcBorders>
            <w:noWrap/>
            <w:hideMark/>
          </w:tcPr>
          <w:p w14:paraId="6897018F" w14:textId="77777777" w:rsidR="001B6918" w:rsidRPr="00D92E4F" w:rsidRDefault="001B6918" w:rsidP="00730ECF">
            <w:pPr>
              <w:jc w:val="center"/>
              <w:rPr>
                <w:rFonts w:ascii="Calibri" w:eastAsia="Times New Roman" w:hAnsi="Calibri" w:cs="Calibri"/>
              </w:rPr>
            </w:pPr>
            <w:r w:rsidRPr="00A018B8">
              <w:t xml:space="preserve"> $</w:t>
            </w:r>
            <w:r>
              <w:t xml:space="preserve"> </w:t>
            </w:r>
            <w:r w:rsidRPr="00A018B8">
              <w:t xml:space="preserve">54,655 </w:t>
            </w:r>
          </w:p>
        </w:tc>
        <w:tc>
          <w:tcPr>
            <w:tcW w:w="1094" w:type="dxa"/>
            <w:tcBorders>
              <w:top w:val="nil"/>
              <w:left w:val="nil"/>
              <w:bottom w:val="double" w:sz="6" w:space="0" w:color="000000"/>
              <w:right w:val="nil"/>
            </w:tcBorders>
            <w:noWrap/>
            <w:hideMark/>
          </w:tcPr>
          <w:p w14:paraId="0423CB15" w14:textId="77777777" w:rsidR="001B6918" w:rsidRPr="00D92E4F" w:rsidRDefault="001B6918" w:rsidP="00730ECF">
            <w:pPr>
              <w:jc w:val="center"/>
              <w:rPr>
                <w:rFonts w:ascii="Calibri" w:eastAsia="Times New Roman" w:hAnsi="Calibri" w:cs="Calibri"/>
                <w:color w:val="000000"/>
              </w:rPr>
            </w:pPr>
            <w:r w:rsidRPr="00A018B8">
              <w:t xml:space="preserve"> $47,327 </w:t>
            </w:r>
          </w:p>
        </w:tc>
        <w:tc>
          <w:tcPr>
            <w:tcW w:w="1094" w:type="dxa"/>
            <w:tcBorders>
              <w:top w:val="nil"/>
              <w:left w:val="nil"/>
              <w:bottom w:val="double" w:sz="6" w:space="0" w:color="000000"/>
              <w:right w:val="nil"/>
            </w:tcBorders>
            <w:noWrap/>
            <w:hideMark/>
          </w:tcPr>
          <w:p w14:paraId="6C3288F7" w14:textId="77777777" w:rsidR="001B6918" w:rsidRPr="00D92E4F" w:rsidRDefault="001B6918" w:rsidP="00730ECF">
            <w:pPr>
              <w:jc w:val="right"/>
              <w:rPr>
                <w:rFonts w:ascii="Calibri" w:eastAsia="Times New Roman" w:hAnsi="Calibri" w:cs="Calibri"/>
                <w:color w:val="000000"/>
              </w:rPr>
            </w:pPr>
            <w:r w:rsidRPr="00A018B8">
              <w:t xml:space="preserve"> $</w:t>
            </w:r>
            <w:r>
              <w:t xml:space="preserve">            </w:t>
            </w:r>
            <w:r w:rsidRPr="00A018B8">
              <w:t>-</w:t>
            </w:r>
          </w:p>
        </w:tc>
      </w:tr>
      <w:tr w:rsidR="001B6918" w:rsidRPr="00D92E4F" w14:paraId="009B0274" w14:textId="77777777" w:rsidTr="00730ECF">
        <w:trPr>
          <w:trHeight w:val="63"/>
          <w:jc w:val="center"/>
        </w:trPr>
        <w:tc>
          <w:tcPr>
            <w:tcW w:w="6030" w:type="dxa"/>
            <w:tcBorders>
              <w:top w:val="nil"/>
              <w:left w:val="nil"/>
              <w:bottom w:val="nil"/>
              <w:right w:val="nil"/>
            </w:tcBorders>
            <w:noWrap/>
            <w:vAlign w:val="bottom"/>
            <w:hideMark/>
          </w:tcPr>
          <w:p w14:paraId="236F5B29" w14:textId="77777777" w:rsidR="001B6918" w:rsidRPr="00D92E4F" w:rsidRDefault="001B6918" w:rsidP="00730ECF">
            <w:pPr>
              <w:ind w:firstLineChars="100" w:firstLine="220"/>
              <w:rPr>
                <w:rFonts w:ascii="Calibri" w:eastAsia="Times New Roman" w:hAnsi="Calibri" w:cs="Calibri"/>
                <w:color w:val="000000"/>
              </w:rPr>
            </w:pPr>
            <w:r w:rsidRPr="00D92E4F">
              <w:rPr>
                <w:rFonts w:ascii="Calibri" w:eastAsia="Times New Roman" w:hAnsi="Calibri" w:cs="Calibri"/>
                <w:color w:val="000000"/>
              </w:rPr>
              <w:t>Endowment pool investments included in the MIP at NAV</w:t>
            </w:r>
          </w:p>
        </w:tc>
        <w:tc>
          <w:tcPr>
            <w:tcW w:w="1327" w:type="dxa"/>
            <w:tcBorders>
              <w:top w:val="nil"/>
              <w:left w:val="nil"/>
              <w:bottom w:val="single" w:sz="4" w:space="0" w:color="000000"/>
              <w:right w:val="nil"/>
            </w:tcBorders>
            <w:noWrap/>
            <w:hideMark/>
          </w:tcPr>
          <w:p w14:paraId="0209032C" w14:textId="77777777" w:rsidR="001B6918" w:rsidRPr="00D92E4F" w:rsidRDefault="001B6918" w:rsidP="00730ECF">
            <w:pPr>
              <w:jc w:val="right"/>
              <w:rPr>
                <w:rFonts w:ascii="Calibri" w:eastAsia="Times New Roman" w:hAnsi="Calibri" w:cs="Calibri"/>
              </w:rPr>
            </w:pPr>
            <w:r w:rsidRPr="000804D5">
              <w:t xml:space="preserve"> 57,206 </w:t>
            </w:r>
          </w:p>
        </w:tc>
        <w:tc>
          <w:tcPr>
            <w:tcW w:w="1117" w:type="dxa"/>
            <w:tcBorders>
              <w:top w:val="nil"/>
              <w:left w:val="nil"/>
              <w:bottom w:val="nil"/>
              <w:right w:val="nil"/>
            </w:tcBorders>
            <w:noWrap/>
            <w:vAlign w:val="bottom"/>
            <w:hideMark/>
          </w:tcPr>
          <w:p w14:paraId="2ECB6934" w14:textId="77777777" w:rsidR="001B6918" w:rsidRPr="00D92E4F" w:rsidRDefault="001B6918" w:rsidP="00730ECF">
            <w:pPr>
              <w:jc w:val="right"/>
              <w:rPr>
                <w:rFonts w:ascii="Calibri" w:eastAsia="Times New Roman" w:hAnsi="Calibri" w:cs="Calibri"/>
              </w:rPr>
            </w:pPr>
          </w:p>
        </w:tc>
        <w:tc>
          <w:tcPr>
            <w:tcW w:w="1094" w:type="dxa"/>
            <w:tcBorders>
              <w:top w:val="nil"/>
              <w:left w:val="nil"/>
              <w:bottom w:val="nil"/>
              <w:right w:val="nil"/>
            </w:tcBorders>
            <w:noWrap/>
            <w:vAlign w:val="bottom"/>
            <w:hideMark/>
          </w:tcPr>
          <w:p w14:paraId="4C8FCEE7" w14:textId="77777777" w:rsidR="001B6918" w:rsidRPr="00D92E4F" w:rsidRDefault="001B6918" w:rsidP="00730ECF">
            <w:pPr>
              <w:jc w:val="right"/>
              <w:rPr>
                <w:rFonts w:ascii="Times New Roman" w:eastAsia="Times New Roman" w:hAnsi="Times New Roman" w:cs="Times New Roman"/>
                <w:sz w:val="20"/>
                <w:szCs w:val="20"/>
              </w:rPr>
            </w:pPr>
          </w:p>
        </w:tc>
        <w:tc>
          <w:tcPr>
            <w:tcW w:w="1094" w:type="dxa"/>
            <w:tcBorders>
              <w:top w:val="nil"/>
              <w:left w:val="nil"/>
              <w:bottom w:val="nil"/>
              <w:right w:val="nil"/>
            </w:tcBorders>
            <w:noWrap/>
            <w:vAlign w:val="bottom"/>
            <w:hideMark/>
          </w:tcPr>
          <w:p w14:paraId="44014AAF" w14:textId="77777777" w:rsidR="001B6918" w:rsidRPr="00D92E4F" w:rsidRDefault="001B6918" w:rsidP="00730ECF">
            <w:pPr>
              <w:jc w:val="right"/>
              <w:rPr>
                <w:rFonts w:ascii="Times New Roman" w:eastAsia="Times New Roman" w:hAnsi="Times New Roman" w:cs="Times New Roman"/>
                <w:sz w:val="20"/>
                <w:szCs w:val="20"/>
              </w:rPr>
            </w:pPr>
          </w:p>
        </w:tc>
      </w:tr>
      <w:tr w:rsidR="001B6918" w:rsidRPr="00D92E4F" w14:paraId="3B23A97F" w14:textId="77777777" w:rsidTr="00730ECF">
        <w:trPr>
          <w:trHeight w:val="70"/>
          <w:jc w:val="center"/>
        </w:trPr>
        <w:tc>
          <w:tcPr>
            <w:tcW w:w="6030" w:type="dxa"/>
            <w:tcBorders>
              <w:top w:val="nil"/>
              <w:left w:val="nil"/>
              <w:bottom w:val="nil"/>
              <w:right w:val="nil"/>
            </w:tcBorders>
            <w:noWrap/>
            <w:vAlign w:val="bottom"/>
            <w:hideMark/>
          </w:tcPr>
          <w:p w14:paraId="55B9DEAD" w14:textId="77777777" w:rsidR="001B6918" w:rsidRPr="00D92E4F" w:rsidRDefault="001B6918" w:rsidP="00730ECF">
            <w:pPr>
              <w:ind w:firstLineChars="100" w:firstLine="220"/>
              <w:rPr>
                <w:rFonts w:ascii="Calibri" w:eastAsia="Times New Roman" w:hAnsi="Calibri" w:cs="Calibri"/>
                <w:color w:val="000000"/>
              </w:rPr>
            </w:pPr>
            <w:r w:rsidRPr="00D92E4F">
              <w:rPr>
                <w:rFonts w:ascii="Calibri" w:eastAsia="Times New Roman" w:hAnsi="Calibri" w:cs="Calibri"/>
                <w:color w:val="000000"/>
              </w:rPr>
              <w:t>Total endowment pool investments included in the MIP</w:t>
            </w:r>
          </w:p>
        </w:tc>
        <w:tc>
          <w:tcPr>
            <w:tcW w:w="1327" w:type="dxa"/>
            <w:tcBorders>
              <w:top w:val="nil"/>
              <w:left w:val="nil"/>
              <w:bottom w:val="nil"/>
              <w:right w:val="nil"/>
            </w:tcBorders>
            <w:noWrap/>
            <w:hideMark/>
          </w:tcPr>
          <w:p w14:paraId="56A07813" w14:textId="77777777" w:rsidR="001B6918" w:rsidRPr="00D92E4F" w:rsidRDefault="001B6918" w:rsidP="00730ECF">
            <w:pPr>
              <w:jc w:val="right"/>
              <w:rPr>
                <w:rFonts w:ascii="Calibri" w:eastAsia="Times New Roman" w:hAnsi="Calibri" w:cs="Calibri"/>
                <w:color w:val="000000"/>
              </w:rPr>
            </w:pPr>
            <w:r w:rsidRPr="000804D5">
              <w:t xml:space="preserve"> 159,188 </w:t>
            </w:r>
          </w:p>
        </w:tc>
        <w:tc>
          <w:tcPr>
            <w:tcW w:w="1117" w:type="dxa"/>
            <w:tcBorders>
              <w:top w:val="nil"/>
              <w:left w:val="nil"/>
              <w:bottom w:val="nil"/>
              <w:right w:val="nil"/>
            </w:tcBorders>
            <w:noWrap/>
            <w:vAlign w:val="bottom"/>
            <w:hideMark/>
          </w:tcPr>
          <w:p w14:paraId="652B656A" w14:textId="77777777" w:rsidR="001B6918" w:rsidRPr="00D92E4F" w:rsidRDefault="001B6918" w:rsidP="00730ECF">
            <w:pPr>
              <w:jc w:val="right"/>
              <w:rPr>
                <w:rFonts w:ascii="Calibri" w:eastAsia="Times New Roman" w:hAnsi="Calibri" w:cs="Calibri"/>
                <w:color w:val="000000"/>
              </w:rPr>
            </w:pPr>
          </w:p>
        </w:tc>
        <w:tc>
          <w:tcPr>
            <w:tcW w:w="1094" w:type="dxa"/>
            <w:tcBorders>
              <w:top w:val="nil"/>
              <w:left w:val="nil"/>
              <w:bottom w:val="nil"/>
              <w:right w:val="nil"/>
            </w:tcBorders>
            <w:noWrap/>
            <w:vAlign w:val="bottom"/>
            <w:hideMark/>
          </w:tcPr>
          <w:p w14:paraId="4CDE7EA8" w14:textId="77777777" w:rsidR="001B6918" w:rsidRPr="00D92E4F" w:rsidRDefault="001B6918" w:rsidP="00730ECF">
            <w:pPr>
              <w:jc w:val="right"/>
              <w:rPr>
                <w:rFonts w:ascii="Times New Roman" w:eastAsia="Times New Roman" w:hAnsi="Times New Roman" w:cs="Times New Roman"/>
                <w:sz w:val="20"/>
                <w:szCs w:val="20"/>
              </w:rPr>
            </w:pPr>
          </w:p>
        </w:tc>
        <w:tc>
          <w:tcPr>
            <w:tcW w:w="1094" w:type="dxa"/>
            <w:tcBorders>
              <w:top w:val="nil"/>
              <w:left w:val="nil"/>
              <w:bottom w:val="nil"/>
              <w:right w:val="nil"/>
            </w:tcBorders>
            <w:noWrap/>
            <w:vAlign w:val="bottom"/>
            <w:hideMark/>
          </w:tcPr>
          <w:p w14:paraId="0EADC322" w14:textId="77777777" w:rsidR="001B6918" w:rsidRPr="00D92E4F" w:rsidRDefault="001B6918" w:rsidP="00730ECF">
            <w:pPr>
              <w:jc w:val="right"/>
              <w:rPr>
                <w:rFonts w:ascii="Times New Roman" w:eastAsia="Times New Roman" w:hAnsi="Times New Roman" w:cs="Times New Roman"/>
                <w:sz w:val="20"/>
                <w:szCs w:val="20"/>
              </w:rPr>
            </w:pPr>
          </w:p>
        </w:tc>
      </w:tr>
      <w:tr w:rsidR="001B6918" w:rsidRPr="00D92E4F" w14:paraId="38F4FCB2" w14:textId="77777777" w:rsidTr="00730ECF">
        <w:trPr>
          <w:trHeight w:val="80"/>
          <w:jc w:val="center"/>
        </w:trPr>
        <w:tc>
          <w:tcPr>
            <w:tcW w:w="6030" w:type="dxa"/>
            <w:tcBorders>
              <w:top w:val="nil"/>
              <w:left w:val="nil"/>
              <w:bottom w:val="single" w:sz="4" w:space="0" w:color="000000"/>
              <w:right w:val="nil"/>
            </w:tcBorders>
            <w:noWrap/>
            <w:vAlign w:val="bottom"/>
            <w:hideMark/>
          </w:tcPr>
          <w:p w14:paraId="622A452D" w14:textId="77777777" w:rsidR="001B6918" w:rsidRPr="00D92E4F" w:rsidRDefault="001B6918" w:rsidP="00730ECF">
            <w:pPr>
              <w:ind w:firstLineChars="100" w:firstLine="220"/>
              <w:rPr>
                <w:rFonts w:ascii="Calibri" w:eastAsia="Times New Roman" w:hAnsi="Calibri" w:cs="Calibri"/>
                <w:color w:val="000000"/>
              </w:rPr>
            </w:pPr>
            <w:r w:rsidRPr="00D92E4F">
              <w:rPr>
                <w:rFonts w:ascii="Calibri" w:eastAsia="Times New Roman" w:hAnsi="Calibri" w:cs="Calibri"/>
                <w:color w:val="000000"/>
              </w:rPr>
              <w:t>Endowment investments - separately invested</w:t>
            </w:r>
          </w:p>
        </w:tc>
        <w:tc>
          <w:tcPr>
            <w:tcW w:w="1327" w:type="dxa"/>
            <w:tcBorders>
              <w:top w:val="nil"/>
              <w:left w:val="nil"/>
              <w:bottom w:val="single" w:sz="4" w:space="0" w:color="000000"/>
              <w:right w:val="nil"/>
            </w:tcBorders>
            <w:noWrap/>
            <w:hideMark/>
          </w:tcPr>
          <w:p w14:paraId="0AACB999" w14:textId="77777777" w:rsidR="001B6918" w:rsidRPr="00D92E4F" w:rsidRDefault="001B6918" w:rsidP="00730ECF">
            <w:pPr>
              <w:jc w:val="right"/>
              <w:rPr>
                <w:rFonts w:ascii="Calibri" w:eastAsia="Times New Roman" w:hAnsi="Calibri" w:cs="Calibri"/>
                <w:color w:val="000000"/>
              </w:rPr>
            </w:pPr>
            <w:r w:rsidRPr="000804D5">
              <w:t xml:space="preserve"> 2,859 </w:t>
            </w:r>
          </w:p>
        </w:tc>
        <w:tc>
          <w:tcPr>
            <w:tcW w:w="1117" w:type="dxa"/>
            <w:tcBorders>
              <w:top w:val="nil"/>
              <w:left w:val="nil"/>
              <w:bottom w:val="double" w:sz="6" w:space="0" w:color="000000"/>
              <w:right w:val="nil"/>
            </w:tcBorders>
            <w:noWrap/>
            <w:vAlign w:val="bottom"/>
            <w:hideMark/>
          </w:tcPr>
          <w:p w14:paraId="1F58EBCA" w14:textId="77777777" w:rsidR="001B6918" w:rsidRPr="00D92E4F" w:rsidRDefault="001B6918" w:rsidP="00730ECF">
            <w:pPr>
              <w:jc w:val="right"/>
              <w:rPr>
                <w:rFonts w:ascii="Calibri" w:eastAsia="Times New Roman" w:hAnsi="Calibri" w:cs="Calibri"/>
              </w:rPr>
            </w:pPr>
            <w:r w:rsidRPr="00902EA4">
              <w:rPr>
                <w:rFonts w:ascii="Calibri" w:eastAsia="Times New Roman" w:hAnsi="Calibri" w:cs="Calibri"/>
              </w:rPr>
              <w:t>$   2,859</w:t>
            </w:r>
          </w:p>
        </w:tc>
        <w:tc>
          <w:tcPr>
            <w:tcW w:w="1094" w:type="dxa"/>
            <w:tcBorders>
              <w:top w:val="nil"/>
              <w:left w:val="nil"/>
              <w:bottom w:val="double" w:sz="6" w:space="0" w:color="000000"/>
              <w:right w:val="nil"/>
            </w:tcBorders>
            <w:noWrap/>
            <w:vAlign w:val="bottom"/>
            <w:hideMark/>
          </w:tcPr>
          <w:p w14:paraId="315A699E" w14:textId="77777777" w:rsidR="001B6918" w:rsidRPr="00D92E4F" w:rsidRDefault="001B6918" w:rsidP="00730ECF">
            <w:pPr>
              <w:jc w:val="right"/>
              <w:rPr>
                <w:rFonts w:ascii="Calibri" w:eastAsia="Times New Roman" w:hAnsi="Calibri" w:cs="Calibri"/>
                <w:color w:val="000000"/>
              </w:rPr>
            </w:pPr>
            <w:r w:rsidRPr="00902EA4">
              <w:rPr>
                <w:rFonts w:ascii="Calibri" w:eastAsia="Times New Roman" w:hAnsi="Calibri" w:cs="Calibri"/>
              </w:rPr>
              <w:t>$           -</w:t>
            </w:r>
          </w:p>
        </w:tc>
        <w:tc>
          <w:tcPr>
            <w:tcW w:w="1094" w:type="dxa"/>
            <w:tcBorders>
              <w:top w:val="nil"/>
              <w:left w:val="nil"/>
              <w:bottom w:val="double" w:sz="6" w:space="0" w:color="000000"/>
              <w:right w:val="nil"/>
            </w:tcBorders>
            <w:noWrap/>
            <w:vAlign w:val="bottom"/>
            <w:hideMark/>
          </w:tcPr>
          <w:p w14:paraId="7492A5F1" w14:textId="77777777" w:rsidR="001B6918" w:rsidRPr="00D92E4F" w:rsidRDefault="001B6918" w:rsidP="00730ECF">
            <w:pPr>
              <w:jc w:val="right"/>
              <w:rPr>
                <w:rFonts w:ascii="Calibri" w:eastAsia="Times New Roman" w:hAnsi="Calibri" w:cs="Calibri"/>
                <w:color w:val="000000"/>
              </w:rPr>
            </w:pPr>
            <w:r w:rsidRPr="00A018B8">
              <w:t>$</w:t>
            </w:r>
            <w:r>
              <w:t xml:space="preserve">            </w:t>
            </w:r>
            <w:r w:rsidRPr="00A018B8">
              <w:t>-</w:t>
            </w:r>
          </w:p>
        </w:tc>
      </w:tr>
      <w:tr w:rsidR="001B6918" w:rsidRPr="00D92E4F" w14:paraId="6E8D5392" w14:textId="77777777" w:rsidTr="00730ECF">
        <w:trPr>
          <w:trHeight w:val="35"/>
          <w:jc w:val="center"/>
        </w:trPr>
        <w:tc>
          <w:tcPr>
            <w:tcW w:w="6030" w:type="dxa"/>
            <w:tcBorders>
              <w:top w:val="nil"/>
              <w:left w:val="nil"/>
              <w:bottom w:val="double" w:sz="6" w:space="0" w:color="000000"/>
              <w:right w:val="nil"/>
            </w:tcBorders>
            <w:shd w:val="clear" w:color="000000" w:fill="F2F2F2"/>
            <w:noWrap/>
            <w:vAlign w:val="bottom"/>
            <w:hideMark/>
          </w:tcPr>
          <w:p w14:paraId="298F131B" w14:textId="77777777" w:rsidR="001B6918" w:rsidRPr="00D92E4F" w:rsidRDefault="001B6918" w:rsidP="00730ECF">
            <w:pPr>
              <w:ind w:firstLineChars="100" w:firstLine="221"/>
              <w:rPr>
                <w:rFonts w:ascii="Calibri" w:eastAsia="Times New Roman" w:hAnsi="Calibri" w:cs="Calibri"/>
                <w:b/>
                <w:bCs/>
                <w:color w:val="000000"/>
              </w:rPr>
            </w:pPr>
            <w:r w:rsidRPr="00D92E4F">
              <w:rPr>
                <w:rFonts w:ascii="Calibri" w:eastAsia="Times New Roman" w:hAnsi="Calibri" w:cs="Calibri"/>
                <w:b/>
                <w:bCs/>
                <w:color w:val="000000"/>
              </w:rPr>
              <w:t>Total endowment investments</w:t>
            </w:r>
          </w:p>
        </w:tc>
        <w:tc>
          <w:tcPr>
            <w:tcW w:w="1327" w:type="dxa"/>
            <w:tcBorders>
              <w:top w:val="nil"/>
              <w:left w:val="nil"/>
              <w:bottom w:val="double" w:sz="6" w:space="0" w:color="000000"/>
              <w:right w:val="nil"/>
            </w:tcBorders>
            <w:shd w:val="clear" w:color="000000" w:fill="F2F2F2"/>
            <w:noWrap/>
            <w:vAlign w:val="bottom"/>
            <w:hideMark/>
          </w:tcPr>
          <w:p w14:paraId="70DCAF7F" w14:textId="77777777" w:rsidR="001B6918" w:rsidRPr="00D92E4F" w:rsidRDefault="001B6918" w:rsidP="00730ECF">
            <w:pPr>
              <w:jc w:val="right"/>
              <w:rPr>
                <w:rFonts w:ascii="Calibri" w:eastAsia="Times New Roman" w:hAnsi="Calibri" w:cs="Calibri"/>
                <w:b/>
                <w:bCs/>
                <w:color w:val="000000"/>
              </w:rPr>
            </w:pPr>
            <w:r w:rsidRPr="00D92E4F">
              <w:rPr>
                <w:rFonts w:ascii="Calibri" w:eastAsia="Times New Roman" w:hAnsi="Calibri" w:cs="Calibri"/>
                <w:b/>
                <w:bCs/>
                <w:color w:val="000000"/>
              </w:rPr>
              <w:t xml:space="preserve">$  </w:t>
            </w:r>
            <w:r>
              <w:rPr>
                <w:rFonts w:ascii="Calibri" w:eastAsia="Times New Roman" w:hAnsi="Calibri" w:cs="Calibri"/>
                <w:b/>
                <w:bCs/>
                <w:color w:val="000000"/>
              </w:rPr>
              <w:t>162,047</w:t>
            </w:r>
          </w:p>
        </w:tc>
        <w:tc>
          <w:tcPr>
            <w:tcW w:w="1117" w:type="dxa"/>
            <w:tcBorders>
              <w:top w:val="nil"/>
              <w:left w:val="nil"/>
              <w:bottom w:val="nil"/>
              <w:right w:val="nil"/>
            </w:tcBorders>
            <w:noWrap/>
            <w:vAlign w:val="bottom"/>
            <w:hideMark/>
          </w:tcPr>
          <w:p w14:paraId="5D45A048" w14:textId="77777777" w:rsidR="001B6918" w:rsidRPr="00D92E4F" w:rsidRDefault="001B6918" w:rsidP="00730ECF">
            <w:pPr>
              <w:jc w:val="right"/>
              <w:rPr>
                <w:rFonts w:ascii="Calibri" w:eastAsia="Times New Roman" w:hAnsi="Calibri" w:cs="Calibri"/>
                <w:b/>
                <w:bCs/>
                <w:color w:val="000000"/>
              </w:rPr>
            </w:pPr>
          </w:p>
        </w:tc>
        <w:tc>
          <w:tcPr>
            <w:tcW w:w="1094" w:type="dxa"/>
            <w:tcBorders>
              <w:top w:val="nil"/>
              <w:left w:val="nil"/>
              <w:bottom w:val="nil"/>
              <w:right w:val="nil"/>
            </w:tcBorders>
            <w:noWrap/>
            <w:vAlign w:val="bottom"/>
            <w:hideMark/>
          </w:tcPr>
          <w:p w14:paraId="5322E1D1" w14:textId="77777777" w:rsidR="001B6918" w:rsidRPr="00D92E4F" w:rsidRDefault="001B6918" w:rsidP="00730ECF">
            <w:pPr>
              <w:jc w:val="right"/>
              <w:rPr>
                <w:rFonts w:ascii="Times New Roman" w:eastAsia="Times New Roman" w:hAnsi="Times New Roman" w:cs="Times New Roman"/>
                <w:sz w:val="20"/>
                <w:szCs w:val="20"/>
              </w:rPr>
            </w:pPr>
          </w:p>
        </w:tc>
        <w:tc>
          <w:tcPr>
            <w:tcW w:w="1094" w:type="dxa"/>
            <w:tcBorders>
              <w:top w:val="nil"/>
              <w:left w:val="nil"/>
              <w:bottom w:val="nil"/>
              <w:right w:val="nil"/>
            </w:tcBorders>
            <w:noWrap/>
            <w:vAlign w:val="bottom"/>
            <w:hideMark/>
          </w:tcPr>
          <w:p w14:paraId="7C3DEBD5" w14:textId="77777777" w:rsidR="001B6918" w:rsidRPr="00D92E4F" w:rsidRDefault="001B6918" w:rsidP="00730ECF">
            <w:pPr>
              <w:jc w:val="right"/>
              <w:rPr>
                <w:rFonts w:ascii="Times New Roman" w:eastAsia="Times New Roman" w:hAnsi="Times New Roman" w:cs="Times New Roman"/>
                <w:sz w:val="20"/>
                <w:szCs w:val="20"/>
              </w:rPr>
            </w:pPr>
          </w:p>
        </w:tc>
      </w:tr>
    </w:tbl>
    <w:p w14:paraId="3ECBF85B" w14:textId="77777777" w:rsidR="001B6918" w:rsidRPr="004E6649" w:rsidRDefault="001B6918" w:rsidP="001B6918">
      <w:pPr>
        <w:spacing w:after="160" w:line="259" w:lineRule="auto"/>
        <w:rPr>
          <w:rFonts w:eastAsiaTheme="majorEastAsia" w:cstheme="minorHAnsi"/>
          <w:b/>
          <w:i/>
          <w:iCs/>
          <w:smallCaps/>
          <w:noProof/>
          <w:color w:val="000000" w:themeColor="text1"/>
          <w:sz w:val="26"/>
          <w:szCs w:val="26"/>
          <w:u w:color="5B9BD5"/>
        </w:rPr>
        <w:sectPr w:rsidR="001B6918" w:rsidRPr="004E6649" w:rsidSect="00DC059D">
          <w:type w:val="nextColumn"/>
          <w:pgSz w:w="15840" w:h="12240" w:orient="landscape" w:code="1"/>
          <w:pgMar w:top="1440" w:right="1152" w:bottom="1440" w:left="1152" w:header="720" w:footer="720" w:gutter="0"/>
          <w:cols w:space="0"/>
          <w:docGrid w:linePitch="360"/>
        </w:sectPr>
      </w:pPr>
    </w:p>
    <w:p w14:paraId="32039FB0" w14:textId="77777777" w:rsidR="001B6918" w:rsidRPr="00A02D27" w:rsidRDefault="001B6918" w:rsidP="001B6918">
      <w:pPr>
        <w:spacing w:after="160"/>
        <w:rPr>
          <w:rFonts w:eastAsiaTheme="majorEastAsia" w:cstheme="minorHAnsi"/>
          <w:b/>
          <w:i/>
          <w:iCs/>
          <w:smallCaps/>
          <w:noProof/>
          <w:color w:val="000000" w:themeColor="text1"/>
          <w:sz w:val="24"/>
          <w:szCs w:val="24"/>
          <w:u w:color="5B9BD5"/>
        </w:rPr>
      </w:pPr>
      <w:r w:rsidRPr="00A02D27">
        <w:rPr>
          <w:rFonts w:eastAsiaTheme="majorEastAsia" w:cstheme="minorHAnsi"/>
          <w:b/>
          <w:i/>
          <w:iCs/>
          <w:smallCaps/>
          <w:noProof/>
          <w:color w:val="000000" w:themeColor="text1"/>
          <w:sz w:val="24"/>
          <w:szCs w:val="24"/>
          <w:u w:color="5B9BD5"/>
        </w:rPr>
        <w:lastRenderedPageBreak/>
        <w:t>3. INVESTMENTS - CONTINUED</w:t>
      </w:r>
      <w:r w:rsidRPr="00A02D27" w:rsidDel="00453556">
        <w:rPr>
          <w:rFonts w:eastAsiaTheme="majorEastAsia" w:cstheme="minorHAnsi"/>
          <w:b/>
          <w:i/>
          <w:iCs/>
          <w:smallCaps/>
          <w:noProof/>
          <w:color w:val="000000" w:themeColor="text1"/>
          <w:sz w:val="24"/>
          <w:szCs w:val="24"/>
          <w:u w:color="5B9BD5"/>
        </w:rPr>
        <w:t xml:space="preserve"> </w:t>
      </w:r>
    </w:p>
    <w:p w14:paraId="5011FA9A" w14:textId="77777777" w:rsidR="001B6918" w:rsidRDefault="001B6918" w:rsidP="001B6918">
      <w:pPr>
        <w:tabs>
          <w:tab w:val="left" w:pos="720"/>
          <w:tab w:val="left" w:pos="1080"/>
          <w:tab w:val="decimal" w:pos="6786"/>
          <w:tab w:val="decimal" w:pos="9187"/>
        </w:tabs>
        <w:suppressAutoHyphens/>
        <w:spacing w:after="120"/>
        <w:rPr>
          <w:rFonts w:cstheme="minorHAnsi"/>
          <w:sz w:val="24"/>
        </w:rPr>
      </w:pPr>
      <w:r w:rsidRPr="004E6649">
        <w:rPr>
          <w:rFonts w:cstheme="minorHAnsi"/>
          <w:sz w:val="24"/>
        </w:rPr>
        <w:t xml:space="preserve">Additional disclosures for </w:t>
      </w:r>
      <w:r w:rsidRPr="004E6649">
        <w:rPr>
          <w:rFonts w:cstheme="minorHAnsi"/>
          <w:b/>
          <w:sz w:val="24"/>
        </w:rPr>
        <w:t xml:space="preserve">System investments, </w:t>
      </w:r>
      <w:r w:rsidRPr="004E6649">
        <w:rPr>
          <w:rFonts w:cstheme="minorHAnsi"/>
          <w:sz w:val="24"/>
        </w:rPr>
        <w:t>including the DB Plan and MIP, measured at NAV at June 30, 202</w:t>
      </w:r>
      <w:r>
        <w:rPr>
          <w:rFonts w:cstheme="minorHAnsi"/>
          <w:sz w:val="24"/>
        </w:rPr>
        <w:t>4</w:t>
      </w:r>
      <w:r w:rsidRPr="004E6649">
        <w:rPr>
          <w:rFonts w:cstheme="minorHAnsi"/>
          <w:sz w:val="24"/>
        </w:rPr>
        <w:t>:</w:t>
      </w:r>
    </w:p>
    <w:tbl>
      <w:tblPr>
        <w:tblW w:w="9880" w:type="dxa"/>
        <w:tblLook w:val="04A0" w:firstRow="1" w:lastRow="0" w:firstColumn="1" w:lastColumn="0" w:noHBand="0" w:noVBand="1"/>
      </w:tblPr>
      <w:tblGrid>
        <w:gridCol w:w="5220"/>
        <w:gridCol w:w="1040"/>
        <w:gridCol w:w="1840"/>
        <w:gridCol w:w="1780"/>
      </w:tblGrid>
      <w:tr w:rsidR="001B6918" w:rsidRPr="004E6649" w14:paraId="565468D1" w14:textId="77777777" w:rsidTr="00730ECF">
        <w:trPr>
          <w:trHeight w:val="513"/>
        </w:trPr>
        <w:tc>
          <w:tcPr>
            <w:tcW w:w="5220" w:type="dxa"/>
            <w:tcBorders>
              <w:top w:val="nil"/>
              <w:left w:val="nil"/>
              <w:bottom w:val="single" w:sz="12" w:space="0" w:color="000000"/>
              <w:right w:val="nil"/>
            </w:tcBorders>
            <w:shd w:val="clear" w:color="000000" w:fill="FFFFFF"/>
            <w:noWrap/>
            <w:vAlign w:val="bottom"/>
            <w:hideMark/>
          </w:tcPr>
          <w:p w14:paraId="5CC7D3B7" w14:textId="77777777" w:rsidR="001B6918" w:rsidRPr="004E6649" w:rsidRDefault="001B6918" w:rsidP="00730ECF">
            <w:pPr>
              <w:rPr>
                <w:rFonts w:eastAsia="Times New Roman" w:cstheme="minorHAnsi"/>
                <w:b/>
                <w:bCs/>
                <w:color w:val="0D0D0D"/>
                <w:sz w:val="18"/>
                <w:szCs w:val="20"/>
              </w:rPr>
            </w:pPr>
            <w:r>
              <w:rPr>
                <w:rFonts w:ascii="Calibri" w:hAnsi="Calibri" w:cs="Calibri"/>
                <w:b/>
                <w:bCs/>
                <w:color w:val="0D0D0D"/>
                <w:sz w:val="20"/>
                <w:szCs w:val="20"/>
              </w:rPr>
              <w:t> </w:t>
            </w:r>
          </w:p>
        </w:tc>
        <w:tc>
          <w:tcPr>
            <w:tcW w:w="1040" w:type="dxa"/>
            <w:tcBorders>
              <w:top w:val="nil"/>
              <w:left w:val="nil"/>
              <w:bottom w:val="single" w:sz="12" w:space="0" w:color="000000"/>
              <w:right w:val="nil"/>
            </w:tcBorders>
            <w:shd w:val="clear" w:color="000000" w:fill="FFFFFF"/>
            <w:vAlign w:val="bottom"/>
            <w:hideMark/>
          </w:tcPr>
          <w:p w14:paraId="7911F14A" w14:textId="77777777" w:rsidR="001B6918" w:rsidRPr="004E6649" w:rsidRDefault="001B6918" w:rsidP="00730ECF">
            <w:pPr>
              <w:jc w:val="center"/>
              <w:rPr>
                <w:rFonts w:eastAsia="Times New Roman" w:cstheme="minorHAnsi"/>
                <w:b/>
                <w:bCs/>
                <w:color w:val="0D0D0D"/>
                <w:sz w:val="18"/>
                <w:szCs w:val="20"/>
              </w:rPr>
            </w:pPr>
            <w:r>
              <w:rPr>
                <w:rFonts w:ascii="Calibri" w:hAnsi="Calibri" w:cs="Calibri"/>
                <w:b/>
                <w:bCs/>
                <w:color w:val="0D0D0D"/>
                <w:sz w:val="20"/>
                <w:szCs w:val="20"/>
              </w:rPr>
              <w:t xml:space="preserve">Fair Value </w:t>
            </w:r>
          </w:p>
        </w:tc>
        <w:tc>
          <w:tcPr>
            <w:tcW w:w="1840" w:type="dxa"/>
            <w:tcBorders>
              <w:top w:val="nil"/>
              <w:left w:val="nil"/>
              <w:bottom w:val="single" w:sz="12" w:space="0" w:color="000000"/>
              <w:right w:val="nil"/>
            </w:tcBorders>
            <w:shd w:val="clear" w:color="000000" w:fill="FFFFFF"/>
            <w:vAlign w:val="bottom"/>
            <w:hideMark/>
          </w:tcPr>
          <w:p w14:paraId="40628D9B" w14:textId="77777777" w:rsidR="001B6918" w:rsidRPr="004E6649" w:rsidRDefault="001B6918" w:rsidP="00730ECF">
            <w:pPr>
              <w:jc w:val="center"/>
              <w:rPr>
                <w:rFonts w:eastAsia="Times New Roman" w:cstheme="minorHAnsi"/>
                <w:b/>
                <w:bCs/>
                <w:color w:val="0D0D0D"/>
                <w:sz w:val="18"/>
                <w:szCs w:val="20"/>
              </w:rPr>
            </w:pPr>
            <w:r>
              <w:rPr>
                <w:rFonts w:ascii="Calibri" w:hAnsi="Calibri" w:cs="Calibri"/>
                <w:b/>
                <w:bCs/>
                <w:color w:val="0D0D0D"/>
                <w:sz w:val="20"/>
                <w:szCs w:val="20"/>
              </w:rPr>
              <w:t>Redemption Frequency (If Currently Eligible)</w:t>
            </w:r>
          </w:p>
        </w:tc>
        <w:tc>
          <w:tcPr>
            <w:tcW w:w="1780" w:type="dxa"/>
            <w:tcBorders>
              <w:top w:val="nil"/>
              <w:left w:val="nil"/>
              <w:bottom w:val="single" w:sz="12" w:space="0" w:color="000000"/>
              <w:right w:val="nil"/>
            </w:tcBorders>
            <w:shd w:val="clear" w:color="000000" w:fill="FFFFFF"/>
            <w:vAlign w:val="bottom"/>
            <w:hideMark/>
          </w:tcPr>
          <w:p w14:paraId="1FDF588A" w14:textId="77777777" w:rsidR="001B6918" w:rsidRPr="004E6649" w:rsidRDefault="001B6918" w:rsidP="00730ECF">
            <w:pPr>
              <w:jc w:val="center"/>
              <w:rPr>
                <w:rFonts w:eastAsia="Times New Roman" w:cstheme="minorHAnsi"/>
                <w:b/>
                <w:bCs/>
                <w:color w:val="0D0D0D"/>
                <w:sz w:val="18"/>
                <w:szCs w:val="20"/>
              </w:rPr>
            </w:pPr>
            <w:r>
              <w:rPr>
                <w:rFonts w:ascii="Calibri" w:hAnsi="Calibri" w:cs="Calibri"/>
                <w:b/>
                <w:bCs/>
                <w:color w:val="0D0D0D"/>
                <w:sz w:val="20"/>
                <w:szCs w:val="20"/>
              </w:rPr>
              <w:t>Redemption Period Notice</w:t>
            </w:r>
          </w:p>
        </w:tc>
      </w:tr>
      <w:tr w:rsidR="001B6918" w:rsidRPr="004E6649" w14:paraId="28608870" w14:textId="77777777" w:rsidTr="00730ECF">
        <w:trPr>
          <w:trHeight w:val="50"/>
        </w:trPr>
        <w:tc>
          <w:tcPr>
            <w:tcW w:w="5220" w:type="dxa"/>
            <w:tcBorders>
              <w:top w:val="nil"/>
              <w:left w:val="nil"/>
              <w:bottom w:val="nil"/>
              <w:right w:val="nil"/>
            </w:tcBorders>
            <w:shd w:val="clear" w:color="000000" w:fill="FFFFFF"/>
            <w:noWrap/>
            <w:vAlign w:val="bottom"/>
            <w:hideMark/>
          </w:tcPr>
          <w:p w14:paraId="7F460D16" w14:textId="77777777" w:rsidR="001B6918" w:rsidRPr="004E6649" w:rsidRDefault="001B6918" w:rsidP="00730ECF">
            <w:pPr>
              <w:rPr>
                <w:rFonts w:eastAsia="Times New Roman" w:cstheme="minorHAnsi"/>
                <w:b/>
                <w:bCs/>
                <w:color w:val="0D0D0D"/>
                <w:sz w:val="18"/>
                <w:szCs w:val="20"/>
              </w:rPr>
            </w:pPr>
            <w:r>
              <w:rPr>
                <w:rFonts w:ascii="Calibri" w:hAnsi="Calibri" w:cs="Calibri"/>
                <w:b/>
                <w:bCs/>
                <w:color w:val="0D0D0D"/>
                <w:sz w:val="20"/>
                <w:szCs w:val="20"/>
              </w:rPr>
              <w:t>Operating Investments measured at NAV:</w:t>
            </w:r>
          </w:p>
        </w:tc>
        <w:tc>
          <w:tcPr>
            <w:tcW w:w="1040" w:type="dxa"/>
            <w:tcBorders>
              <w:top w:val="nil"/>
              <w:left w:val="nil"/>
              <w:bottom w:val="nil"/>
              <w:right w:val="nil"/>
            </w:tcBorders>
            <w:shd w:val="clear" w:color="000000" w:fill="FFFFFF"/>
            <w:noWrap/>
            <w:vAlign w:val="bottom"/>
            <w:hideMark/>
          </w:tcPr>
          <w:p w14:paraId="3D710C2A" w14:textId="77777777" w:rsidR="001B6918" w:rsidRPr="004E6649" w:rsidRDefault="001B6918" w:rsidP="00730ECF">
            <w:pPr>
              <w:jc w:val="center"/>
              <w:rPr>
                <w:rFonts w:eastAsia="Times New Roman" w:cstheme="minorHAnsi"/>
                <w:b/>
                <w:bCs/>
                <w:color w:val="0D0D0D"/>
                <w:sz w:val="18"/>
                <w:szCs w:val="20"/>
              </w:rPr>
            </w:pPr>
            <w:r>
              <w:rPr>
                <w:rFonts w:ascii="Calibri" w:hAnsi="Calibri" w:cs="Calibri"/>
                <w:color w:val="0D0D0D"/>
                <w:sz w:val="20"/>
                <w:szCs w:val="20"/>
              </w:rPr>
              <w:t> </w:t>
            </w:r>
          </w:p>
        </w:tc>
        <w:tc>
          <w:tcPr>
            <w:tcW w:w="1840" w:type="dxa"/>
            <w:tcBorders>
              <w:top w:val="nil"/>
              <w:left w:val="nil"/>
              <w:bottom w:val="nil"/>
              <w:right w:val="nil"/>
            </w:tcBorders>
            <w:shd w:val="clear" w:color="000000" w:fill="FFFFFF"/>
            <w:noWrap/>
            <w:vAlign w:val="bottom"/>
            <w:hideMark/>
          </w:tcPr>
          <w:p w14:paraId="34EC74CF" w14:textId="77777777" w:rsidR="001B6918" w:rsidRPr="004E6649" w:rsidRDefault="001B6918" w:rsidP="00730ECF">
            <w:pPr>
              <w:rPr>
                <w:rFonts w:eastAsia="Times New Roman" w:cstheme="minorHAnsi"/>
                <w:b/>
                <w:bCs/>
                <w:color w:val="0D0D0D"/>
                <w:sz w:val="18"/>
                <w:szCs w:val="20"/>
              </w:rPr>
            </w:pPr>
            <w:r>
              <w:rPr>
                <w:rFonts w:ascii="Calibri" w:hAnsi="Calibri" w:cs="Calibri"/>
                <w:color w:val="0D0D0D"/>
                <w:sz w:val="20"/>
                <w:szCs w:val="20"/>
              </w:rPr>
              <w:t> </w:t>
            </w:r>
          </w:p>
        </w:tc>
        <w:tc>
          <w:tcPr>
            <w:tcW w:w="1780" w:type="dxa"/>
            <w:tcBorders>
              <w:top w:val="nil"/>
              <w:left w:val="nil"/>
              <w:bottom w:val="nil"/>
              <w:right w:val="nil"/>
            </w:tcBorders>
            <w:shd w:val="clear" w:color="000000" w:fill="FFFFFF"/>
            <w:noWrap/>
            <w:vAlign w:val="bottom"/>
            <w:hideMark/>
          </w:tcPr>
          <w:p w14:paraId="6E4A02F6" w14:textId="77777777" w:rsidR="001B6918" w:rsidRPr="004E6649" w:rsidRDefault="001B6918" w:rsidP="00730ECF">
            <w:pPr>
              <w:rPr>
                <w:rFonts w:eastAsia="Times New Roman" w:cstheme="minorHAnsi"/>
                <w:b/>
                <w:bCs/>
                <w:color w:val="0D0D0D"/>
                <w:sz w:val="18"/>
                <w:szCs w:val="20"/>
              </w:rPr>
            </w:pPr>
            <w:r>
              <w:rPr>
                <w:rFonts w:ascii="Calibri" w:hAnsi="Calibri" w:cs="Calibri"/>
                <w:color w:val="0D0D0D"/>
                <w:sz w:val="20"/>
                <w:szCs w:val="20"/>
              </w:rPr>
              <w:t> </w:t>
            </w:r>
          </w:p>
        </w:tc>
      </w:tr>
      <w:tr w:rsidR="001B6918" w:rsidRPr="004E6649" w14:paraId="2B438B70" w14:textId="77777777" w:rsidTr="00730ECF">
        <w:trPr>
          <w:trHeight w:val="135"/>
        </w:trPr>
        <w:tc>
          <w:tcPr>
            <w:tcW w:w="5220" w:type="dxa"/>
            <w:tcBorders>
              <w:top w:val="nil"/>
              <w:left w:val="nil"/>
              <w:bottom w:val="nil"/>
              <w:right w:val="nil"/>
            </w:tcBorders>
            <w:shd w:val="clear" w:color="000000" w:fill="FFFFFF"/>
            <w:noWrap/>
            <w:vAlign w:val="bottom"/>
            <w:hideMark/>
          </w:tcPr>
          <w:p w14:paraId="1A5EE7EA" w14:textId="77777777" w:rsidR="001B6918" w:rsidRPr="004E6649" w:rsidRDefault="001B6918" w:rsidP="00730ECF">
            <w:pPr>
              <w:rPr>
                <w:rFonts w:eastAsia="Times New Roman" w:cstheme="minorHAnsi"/>
                <w:color w:val="0D0D0D"/>
                <w:sz w:val="18"/>
                <w:szCs w:val="20"/>
              </w:rPr>
            </w:pPr>
            <w:r>
              <w:rPr>
                <w:rFonts w:ascii="Calibri" w:hAnsi="Calibri" w:cs="Calibri"/>
                <w:color w:val="0D0D0D"/>
                <w:sz w:val="20"/>
                <w:szCs w:val="20"/>
              </w:rPr>
              <w:t>Equities:  Multi-strategy</w:t>
            </w:r>
            <w:r>
              <w:rPr>
                <w:rFonts w:ascii="Calibri" w:hAnsi="Calibri" w:cs="Calibri"/>
                <w:color w:val="0D0D0D"/>
                <w:sz w:val="20"/>
                <w:szCs w:val="20"/>
                <w:vertAlign w:val="superscript"/>
              </w:rPr>
              <w:t xml:space="preserve"> ₁</w:t>
            </w:r>
          </w:p>
        </w:tc>
        <w:tc>
          <w:tcPr>
            <w:tcW w:w="1040" w:type="dxa"/>
            <w:tcBorders>
              <w:top w:val="nil"/>
              <w:left w:val="nil"/>
              <w:bottom w:val="nil"/>
              <w:right w:val="nil"/>
            </w:tcBorders>
            <w:shd w:val="clear" w:color="000000" w:fill="FFFFFF"/>
            <w:noWrap/>
            <w:hideMark/>
          </w:tcPr>
          <w:p w14:paraId="45F3AA77" w14:textId="77777777" w:rsidR="001B6918" w:rsidRPr="004E6649" w:rsidRDefault="001B6918" w:rsidP="00730ECF">
            <w:pPr>
              <w:jc w:val="right"/>
              <w:rPr>
                <w:rFonts w:eastAsia="Times New Roman" w:cstheme="minorHAnsi"/>
                <w:color w:val="0D0D0D"/>
                <w:sz w:val="18"/>
                <w:szCs w:val="18"/>
              </w:rPr>
            </w:pPr>
            <w:r w:rsidRPr="00150AA1">
              <w:rPr>
                <w:sz w:val="20"/>
                <w:szCs w:val="20"/>
              </w:rPr>
              <w:t xml:space="preserve"> $</w:t>
            </w:r>
            <w:r>
              <w:rPr>
                <w:sz w:val="20"/>
                <w:szCs w:val="20"/>
              </w:rPr>
              <w:t xml:space="preserve"> </w:t>
            </w:r>
            <w:r w:rsidRPr="00150AA1">
              <w:rPr>
                <w:sz w:val="20"/>
                <w:szCs w:val="20"/>
              </w:rPr>
              <w:t xml:space="preserve">14,002 </w:t>
            </w:r>
          </w:p>
        </w:tc>
        <w:tc>
          <w:tcPr>
            <w:tcW w:w="1840" w:type="dxa"/>
            <w:tcBorders>
              <w:top w:val="nil"/>
              <w:left w:val="nil"/>
              <w:bottom w:val="nil"/>
              <w:right w:val="nil"/>
            </w:tcBorders>
            <w:shd w:val="clear" w:color="000000" w:fill="FFFFFF"/>
            <w:noWrap/>
            <w:vAlign w:val="bottom"/>
            <w:hideMark/>
          </w:tcPr>
          <w:p w14:paraId="2FDF6263" w14:textId="77777777" w:rsidR="001B6918" w:rsidRPr="004E6649" w:rsidRDefault="001B6918" w:rsidP="00730ECF">
            <w:pPr>
              <w:rPr>
                <w:rFonts w:eastAsia="Times New Roman" w:cstheme="minorHAnsi"/>
                <w:color w:val="0D0D0D"/>
                <w:sz w:val="18"/>
                <w:szCs w:val="20"/>
              </w:rPr>
            </w:pPr>
            <w:r w:rsidRPr="00150AA1">
              <w:rPr>
                <w:rFonts w:ascii="Calibri" w:hAnsi="Calibri" w:cs="Calibri"/>
                <w:sz w:val="20"/>
                <w:szCs w:val="20"/>
              </w:rPr>
              <w:t>Quarterly, Monthly</w:t>
            </w:r>
          </w:p>
        </w:tc>
        <w:tc>
          <w:tcPr>
            <w:tcW w:w="1780" w:type="dxa"/>
            <w:tcBorders>
              <w:top w:val="nil"/>
              <w:left w:val="nil"/>
              <w:bottom w:val="nil"/>
              <w:right w:val="nil"/>
            </w:tcBorders>
            <w:shd w:val="clear" w:color="000000" w:fill="FFFFFF"/>
            <w:noWrap/>
            <w:vAlign w:val="bottom"/>
            <w:hideMark/>
          </w:tcPr>
          <w:p w14:paraId="27CE2A90" w14:textId="77777777" w:rsidR="001B6918" w:rsidRPr="004E6649" w:rsidRDefault="001B6918" w:rsidP="00730ECF">
            <w:pPr>
              <w:rPr>
                <w:rFonts w:eastAsia="Times New Roman" w:cstheme="minorHAnsi"/>
                <w:color w:val="0D0D0D"/>
                <w:sz w:val="18"/>
                <w:szCs w:val="20"/>
              </w:rPr>
            </w:pPr>
            <w:r w:rsidRPr="00150AA1">
              <w:rPr>
                <w:rFonts w:ascii="Calibri" w:hAnsi="Calibri" w:cs="Calibri"/>
                <w:sz w:val="20"/>
                <w:szCs w:val="20"/>
              </w:rPr>
              <w:t>60, 90 days</w:t>
            </w:r>
          </w:p>
        </w:tc>
      </w:tr>
      <w:tr w:rsidR="001B6918" w:rsidRPr="004E6649" w14:paraId="2E289CF5" w14:textId="77777777" w:rsidTr="00730ECF">
        <w:trPr>
          <w:trHeight w:val="80"/>
        </w:trPr>
        <w:tc>
          <w:tcPr>
            <w:tcW w:w="5220" w:type="dxa"/>
            <w:tcBorders>
              <w:top w:val="nil"/>
              <w:left w:val="nil"/>
              <w:bottom w:val="single" w:sz="4" w:space="0" w:color="000000"/>
              <w:right w:val="nil"/>
            </w:tcBorders>
            <w:shd w:val="clear" w:color="000000" w:fill="FFFFFF"/>
            <w:noWrap/>
            <w:vAlign w:val="bottom"/>
            <w:hideMark/>
          </w:tcPr>
          <w:p w14:paraId="59491935" w14:textId="77777777" w:rsidR="001B6918" w:rsidRPr="004E6649" w:rsidRDefault="001B6918" w:rsidP="00730ECF">
            <w:pPr>
              <w:rPr>
                <w:rFonts w:eastAsia="Times New Roman" w:cstheme="minorHAnsi"/>
                <w:color w:val="0D0D0D"/>
                <w:sz w:val="18"/>
                <w:szCs w:val="20"/>
              </w:rPr>
            </w:pPr>
            <w:r>
              <w:rPr>
                <w:rFonts w:ascii="Calibri" w:hAnsi="Calibri" w:cs="Calibri"/>
                <w:color w:val="0D0D0D"/>
                <w:sz w:val="20"/>
                <w:szCs w:val="20"/>
              </w:rPr>
              <w:t xml:space="preserve">Bank loans </w:t>
            </w:r>
            <w:r>
              <w:rPr>
                <w:rFonts w:ascii="Calibri" w:hAnsi="Calibri" w:cs="Calibri"/>
                <w:color w:val="0D0D0D"/>
                <w:sz w:val="20"/>
                <w:szCs w:val="20"/>
                <w:vertAlign w:val="superscript"/>
              </w:rPr>
              <w:t>₂</w:t>
            </w:r>
          </w:p>
        </w:tc>
        <w:tc>
          <w:tcPr>
            <w:tcW w:w="1040" w:type="dxa"/>
            <w:tcBorders>
              <w:top w:val="nil"/>
              <w:left w:val="nil"/>
              <w:bottom w:val="single" w:sz="4" w:space="0" w:color="000000"/>
              <w:right w:val="nil"/>
            </w:tcBorders>
            <w:shd w:val="clear" w:color="000000" w:fill="FFFFFF"/>
            <w:noWrap/>
            <w:hideMark/>
          </w:tcPr>
          <w:p w14:paraId="6458F811" w14:textId="77777777" w:rsidR="001B6918" w:rsidRPr="004E6649" w:rsidRDefault="001B6918" w:rsidP="00730ECF">
            <w:pPr>
              <w:jc w:val="right"/>
              <w:rPr>
                <w:rFonts w:eastAsia="Times New Roman" w:cstheme="minorHAnsi"/>
                <w:color w:val="0D0D0D"/>
                <w:sz w:val="18"/>
                <w:szCs w:val="18"/>
              </w:rPr>
            </w:pPr>
            <w:r w:rsidRPr="00150AA1">
              <w:rPr>
                <w:sz w:val="20"/>
                <w:szCs w:val="20"/>
              </w:rPr>
              <w:t xml:space="preserve"> 20,131 </w:t>
            </w:r>
          </w:p>
        </w:tc>
        <w:tc>
          <w:tcPr>
            <w:tcW w:w="1840" w:type="dxa"/>
            <w:tcBorders>
              <w:top w:val="nil"/>
              <w:left w:val="nil"/>
              <w:bottom w:val="nil"/>
              <w:right w:val="nil"/>
            </w:tcBorders>
            <w:shd w:val="clear" w:color="000000" w:fill="FFFFFF"/>
            <w:noWrap/>
            <w:vAlign w:val="bottom"/>
            <w:hideMark/>
          </w:tcPr>
          <w:p w14:paraId="4431A102" w14:textId="77777777" w:rsidR="001B6918" w:rsidRPr="004E6649" w:rsidRDefault="001B6918" w:rsidP="00730ECF">
            <w:pPr>
              <w:rPr>
                <w:rFonts w:eastAsia="Times New Roman" w:cstheme="minorHAnsi"/>
                <w:color w:val="0D0D0D"/>
                <w:sz w:val="18"/>
                <w:szCs w:val="20"/>
              </w:rPr>
            </w:pPr>
            <w:r w:rsidRPr="00150AA1">
              <w:rPr>
                <w:rFonts w:ascii="Calibri" w:hAnsi="Calibri" w:cs="Calibri"/>
                <w:sz w:val="20"/>
                <w:szCs w:val="20"/>
              </w:rPr>
              <w:t>Bi-monthly</w:t>
            </w:r>
          </w:p>
        </w:tc>
        <w:tc>
          <w:tcPr>
            <w:tcW w:w="1780" w:type="dxa"/>
            <w:tcBorders>
              <w:top w:val="nil"/>
              <w:left w:val="nil"/>
              <w:bottom w:val="nil"/>
              <w:right w:val="nil"/>
            </w:tcBorders>
            <w:shd w:val="clear" w:color="000000" w:fill="FFFFFF"/>
            <w:noWrap/>
            <w:vAlign w:val="bottom"/>
            <w:hideMark/>
          </w:tcPr>
          <w:p w14:paraId="3EFA94BB" w14:textId="77777777" w:rsidR="001B6918" w:rsidRPr="004E6649" w:rsidRDefault="001B6918" w:rsidP="00730ECF">
            <w:pPr>
              <w:rPr>
                <w:rFonts w:eastAsia="Times New Roman" w:cstheme="minorHAnsi"/>
                <w:color w:val="0D0D0D"/>
                <w:sz w:val="18"/>
                <w:szCs w:val="20"/>
              </w:rPr>
            </w:pPr>
            <w:r w:rsidRPr="00150AA1">
              <w:rPr>
                <w:rFonts w:ascii="Calibri" w:hAnsi="Calibri" w:cs="Calibri"/>
                <w:sz w:val="20"/>
                <w:szCs w:val="20"/>
              </w:rPr>
              <w:t>15 days</w:t>
            </w:r>
          </w:p>
        </w:tc>
      </w:tr>
      <w:tr w:rsidR="001B6918" w:rsidRPr="004E6649" w14:paraId="4B7E12B2" w14:textId="77777777" w:rsidTr="00730ECF">
        <w:trPr>
          <w:trHeight w:val="170"/>
        </w:trPr>
        <w:tc>
          <w:tcPr>
            <w:tcW w:w="5220" w:type="dxa"/>
            <w:tcBorders>
              <w:top w:val="nil"/>
              <w:left w:val="nil"/>
              <w:bottom w:val="double" w:sz="6" w:space="0" w:color="000000"/>
              <w:right w:val="nil"/>
            </w:tcBorders>
            <w:shd w:val="clear" w:color="000000" w:fill="FFFFFF"/>
            <w:noWrap/>
            <w:vAlign w:val="bottom"/>
            <w:hideMark/>
          </w:tcPr>
          <w:p w14:paraId="671A205E" w14:textId="77777777" w:rsidR="001B6918" w:rsidRPr="004E6649" w:rsidRDefault="001B6918" w:rsidP="00730ECF">
            <w:pPr>
              <w:rPr>
                <w:rFonts w:eastAsia="Times New Roman" w:cstheme="minorHAnsi"/>
                <w:b/>
                <w:bCs/>
                <w:color w:val="0D0D0D"/>
                <w:sz w:val="18"/>
                <w:szCs w:val="20"/>
              </w:rPr>
            </w:pPr>
            <w:r>
              <w:rPr>
                <w:rFonts w:ascii="Calibri" w:hAnsi="Calibri" w:cs="Calibri"/>
                <w:b/>
                <w:bCs/>
                <w:color w:val="0D0D0D"/>
                <w:sz w:val="20"/>
                <w:szCs w:val="20"/>
              </w:rPr>
              <w:t>Total operating investments measured at NAV</w:t>
            </w:r>
          </w:p>
        </w:tc>
        <w:tc>
          <w:tcPr>
            <w:tcW w:w="1040" w:type="dxa"/>
            <w:tcBorders>
              <w:top w:val="nil"/>
              <w:left w:val="nil"/>
              <w:bottom w:val="double" w:sz="6" w:space="0" w:color="000000"/>
              <w:right w:val="nil"/>
            </w:tcBorders>
            <w:shd w:val="clear" w:color="000000" w:fill="FFFFFF"/>
            <w:noWrap/>
            <w:hideMark/>
          </w:tcPr>
          <w:p w14:paraId="7058AD48" w14:textId="77777777" w:rsidR="001B6918" w:rsidRPr="004E6649" w:rsidRDefault="001B6918" w:rsidP="00730ECF">
            <w:pPr>
              <w:jc w:val="right"/>
              <w:rPr>
                <w:rFonts w:eastAsia="Times New Roman" w:cstheme="minorHAnsi"/>
                <w:b/>
                <w:bCs/>
                <w:color w:val="0D0D0D"/>
                <w:sz w:val="18"/>
                <w:szCs w:val="18"/>
              </w:rPr>
            </w:pPr>
            <w:r w:rsidRPr="00150AA1">
              <w:rPr>
                <w:sz w:val="20"/>
                <w:szCs w:val="20"/>
              </w:rPr>
              <w:t xml:space="preserve"> $</w:t>
            </w:r>
            <w:r>
              <w:rPr>
                <w:sz w:val="20"/>
                <w:szCs w:val="20"/>
              </w:rPr>
              <w:t xml:space="preserve"> </w:t>
            </w:r>
            <w:r w:rsidRPr="00150AA1">
              <w:rPr>
                <w:sz w:val="20"/>
                <w:szCs w:val="20"/>
              </w:rPr>
              <w:t xml:space="preserve">34,133 </w:t>
            </w:r>
          </w:p>
        </w:tc>
        <w:tc>
          <w:tcPr>
            <w:tcW w:w="1840" w:type="dxa"/>
            <w:tcBorders>
              <w:top w:val="nil"/>
              <w:left w:val="nil"/>
              <w:bottom w:val="nil"/>
              <w:right w:val="nil"/>
            </w:tcBorders>
            <w:shd w:val="clear" w:color="000000" w:fill="FFFFFF"/>
            <w:noWrap/>
            <w:vAlign w:val="bottom"/>
            <w:hideMark/>
          </w:tcPr>
          <w:p w14:paraId="14FC9C05" w14:textId="77777777" w:rsidR="001B6918" w:rsidRPr="004E6649" w:rsidRDefault="001B6918" w:rsidP="00730ECF">
            <w:pPr>
              <w:rPr>
                <w:rFonts w:eastAsia="Times New Roman" w:cstheme="minorHAnsi"/>
                <w:b/>
                <w:bCs/>
                <w:color w:val="0D0D0D"/>
                <w:sz w:val="18"/>
                <w:szCs w:val="20"/>
              </w:rPr>
            </w:pPr>
            <w:r w:rsidRPr="00150AA1">
              <w:rPr>
                <w:rFonts w:ascii="Calibri" w:hAnsi="Calibri" w:cs="Calibri"/>
                <w:sz w:val="20"/>
                <w:szCs w:val="20"/>
              </w:rPr>
              <w:t> </w:t>
            </w:r>
          </w:p>
        </w:tc>
        <w:tc>
          <w:tcPr>
            <w:tcW w:w="1780" w:type="dxa"/>
            <w:tcBorders>
              <w:top w:val="nil"/>
              <w:left w:val="nil"/>
              <w:bottom w:val="nil"/>
              <w:right w:val="nil"/>
            </w:tcBorders>
            <w:shd w:val="clear" w:color="000000" w:fill="FFFFFF"/>
            <w:noWrap/>
            <w:vAlign w:val="bottom"/>
            <w:hideMark/>
          </w:tcPr>
          <w:p w14:paraId="39FA1ED8" w14:textId="77777777" w:rsidR="001B6918" w:rsidRPr="004E6649" w:rsidRDefault="001B6918" w:rsidP="00730ECF">
            <w:pPr>
              <w:rPr>
                <w:rFonts w:eastAsia="Times New Roman" w:cstheme="minorHAnsi"/>
                <w:b/>
                <w:bCs/>
                <w:color w:val="0D0D0D"/>
                <w:sz w:val="18"/>
                <w:szCs w:val="20"/>
              </w:rPr>
            </w:pPr>
            <w:r w:rsidRPr="00150AA1">
              <w:rPr>
                <w:rFonts w:ascii="Calibri" w:hAnsi="Calibri" w:cs="Calibri"/>
                <w:sz w:val="20"/>
                <w:szCs w:val="20"/>
              </w:rPr>
              <w:t> </w:t>
            </w:r>
          </w:p>
        </w:tc>
      </w:tr>
      <w:tr w:rsidR="001B6918" w:rsidRPr="004E6649" w14:paraId="322785A5" w14:textId="77777777" w:rsidTr="00730ECF">
        <w:trPr>
          <w:trHeight w:val="63"/>
        </w:trPr>
        <w:tc>
          <w:tcPr>
            <w:tcW w:w="5220" w:type="dxa"/>
            <w:tcBorders>
              <w:top w:val="nil"/>
              <w:left w:val="nil"/>
              <w:bottom w:val="nil"/>
              <w:right w:val="nil"/>
            </w:tcBorders>
            <w:shd w:val="clear" w:color="000000" w:fill="FFFFFF"/>
            <w:noWrap/>
            <w:vAlign w:val="bottom"/>
            <w:hideMark/>
          </w:tcPr>
          <w:p w14:paraId="3EA0026B" w14:textId="77777777" w:rsidR="001B6918" w:rsidRPr="004E6649" w:rsidRDefault="001B6918" w:rsidP="00730ECF">
            <w:pPr>
              <w:rPr>
                <w:rFonts w:eastAsia="Times New Roman" w:cstheme="minorHAnsi"/>
                <w:b/>
                <w:bCs/>
                <w:color w:val="0D0D0D"/>
                <w:sz w:val="18"/>
                <w:szCs w:val="20"/>
              </w:rPr>
            </w:pPr>
            <w:r>
              <w:rPr>
                <w:rFonts w:ascii="Calibri" w:hAnsi="Calibri" w:cs="Calibri"/>
                <w:b/>
                <w:bCs/>
                <w:color w:val="0D0D0D"/>
                <w:sz w:val="20"/>
                <w:szCs w:val="20"/>
              </w:rPr>
              <w:t>Investments measured at NAV:</w:t>
            </w:r>
          </w:p>
        </w:tc>
        <w:tc>
          <w:tcPr>
            <w:tcW w:w="1040" w:type="dxa"/>
            <w:tcBorders>
              <w:top w:val="nil"/>
              <w:left w:val="nil"/>
              <w:bottom w:val="nil"/>
              <w:right w:val="nil"/>
            </w:tcBorders>
            <w:shd w:val="clear" w:color="000000" w:fill="FFFFFF"/>
            <w:noWrap/>
            <w:hideMark/>
          </w:tcPr>
          <w:p w14:paraId="1B898EDA" w14:textId="77777777" w:rsidR="001B6918" w:rsidRPr="004E6649" w:rsidRDefault="001B6918" w:rsidP="00730ECF">
            <w:pPr>
              <w:jc w:val="right"/>
              <w:rPr>
                <w:rFonts w:eastAsia="Times New Roman" w:cstheme="minorHAnsi"/>
                <w:b/>
                <w:bCs/>
                <w:color w:val="0D0D0D"/>
                <w:sz w:val="18"/>
                <w:szCs w:val="18"/>
              </w:rPr>
            </w:pPr>
          </w:p>
        </w:tc>
        <w:tc>
          <w:tcPr>
            <w:tcW w:w="1840" w:type="dxa"/>
            <w:tcBorders>
              <w:top w:val="nil"/>
              <w:left w:val="nil"/>
              <w:bottom w:val="nil"/>
              <w:right w:val="nil"/>
            </w:tcBorders>
            <w:shd w:val="clear" w:color="000000" w:fill="FFFFFF"/>
            <w:noWrap/>
            <w:vAlign w:val="bottom"/>
            <w:hideMark/>
          </w:tcPr>
          <w:p w14:paraId="0739FBB8" w14:textId="77777777" w:rsidR="001B6918" w:rsidRPr="004E6649" w:rsidRDefault="001B6918" w:rsidP="00730ECF">
            <w:pPr>
              <w:rPr>
                <w:rFonts w:eastAsia="Times New Roman" w:cstheme="minorHAnsi"/>
                <w:b/>
                <w:bCs/>
                <w:color w:val="0D0D0D"/>
                <w:sz w:val="18"/>
                <w:szCs w:val="20"/>
              </w:rPr>
            </w:pPr>
            <w:r w:rsidRPr="00150AA1">
              <w:rPr>
                <w:rFonts w:ascii="Calibri" w:hAnsi="Calibri" w:cs="Calibri"/>
                <w:sz w:val="20"/>
                <w:szCs w:val="20"/>
              </w:rPr>
              <w:t> </w:t>
            </w:r>
          </w:p>
        </w:tc>
        <w:tc>
          <w:tcPr>
            <w:tcW w:w="1780" w:type="dxa"/>
            <w:tcBorders>
              <w:top w:val="nil"/>
              <w:left w:val="nil"/>
              <w:bottom w:val="nil"/>
              <w:right w:val="nil"/>
            </w:tcBorders>
            <w:shd w:val="clear" w:color="000000" w:fill="FFFFFF"/>
            <w:noWrap/>
            <w:vAlign w:val="bottom"/>
            <w:hideMark/>
          </w:tcPr>
          <w:p w14:paraId="567A7000" w14:textId="77777777" w:rsidR="001B6918" w:rsidRPr="004E6649" w:rsidRDefault="001B6918" w:rsidP="00730ECF">
            <w:pPr>
              <w:rPr>
                <w:rFonts w:eastAsia="Times New Roman" w:cstheme="minorHAnsi"/>
                <w:b/>
                <w:bCs/>
                <w:color w:val="0D0D0D"/>
                <w:sz w:val="18"/>
                <w:szCs w:val="20"/>
              </w:rPr>
            </w:pPr>
            <w:r w:rsidRPr="00150AA1">
              <w:rPr>
                <w:rFonts w:ascii="Calibri" w:hAnsi="Calibri" w:cs="Calibri"/>
                <w:sz w:val="20"/>
                <w:szCs w:val="20"/>
              </w:rPr>
              <w:t> </w:t>
            </w:r>
          </w:p>
        </w:tc>
      </w:tr>
      <w:tr w:rsidR="001B6918" w:rsidRPr="004E6649" w14:paraId="45F3D249" w14:textId="77777777" w:rsidTr="00730ECF">
        <w:trPr>
          <w:trHeight w:val="90"/>
        </w:trPr>
        <w:tc>
          <w:tcPr>
            <w:tcW w:w="5220" w:type="dxa"/>
            <w:tcBorders>
              <w:top w:val="nil"/>
              <w:left w:val="nil"/>
              <w:bottom w:val="nil"/>
              <w:right w:val="nil"/>
            </w:tcBorders>
            <w:shd w:val="clear" w:color="000000" w:fill="FFFFFF"/>
            <w:noWrap/>
            <w:vAlign w:val="bottom"/>
            <w:hideMark/>
          </w:tcPr>
          <w:p w14:paraId="313ED605" w14:textId="77777777" w:rsidR="001B6918" w:rsidRPr="004E6649" w:rsidRDefault="001B6918" w:rsidP="00730ECF">
            <w:pPr>
              <w:rPr>
                <w:rFonts w:eastAsia="Times New Roman" w:cstheme="minorHAnsi"/>
                <w:color w:val="0D0D0D"/>
                <w:sz w:val="18"/>
                <w:szCs w:val="20"/>
              </w:rPr>
            </w:pPr>
            <w:r>
              <w:rPr>
                <w:rFonts w:ascii="Calibri" w:hAnsi="Calibri" w:cs="Calibri"/>
                <w:color w:val="0D0D0D"/>
                <w:sz w:val="20"/>
                <w:szCs w:val="20"/>
              </w:rPr>
              <w:t>Equity securities</w:t>
            </w:r>
          </w:p>
        </w:tc>
        <w:tc>
          <w:tcPr>
            <w:tcW w:w="1040" w:type="dxa"/>
            <w:tcBorders>
              <w:top w:val="nil"/>
              <w:left w:val="nil"/>
              <w:bottom w:val="nil"/>
              <w:right w:val="nil"/>
            </w:tcBorders>
            <w:shd w:val="clear" w:color="000000" w:fill="FFFFFF"/>
            <w:noWrap/>
            <w:hideMark/>
          </w:tcPr>
          <w:p w14:paraId="52A557CE" w14:textId="77777777" w:rsidR="001B6918" w:rsidRPr="004E6649" w:rsidRDefault="001B6918" w:rsidP="00730ECF">
            <w:pPr>
              <w:jc w:val="right"/>
              <w:rPr>
                <w:rFonts w:eastAsia="Times New Roman" w:cstheme="minorHAnsi"/>
                <w:color w:val="0D0D0D"/>
                <w:sz w:val="18"/>
                <w:szCs w:val="18"/>
              </w:rPr>
            </w:pPr>
            <w:r w:rsidRPr="00150AA1">
              <w:rPr>
                <w:sz w:val="20"/>
                <w:szCs w:val="20"/>
              </w:rPr>
              <w:t xml:space="preserve"> $</w:t>
            </w:r>
            <w:r>
              <w:rPr>
                <w:sz w:val="20"/>
                <w:szCs w:val="20"/>
              </w:rPr>
              <w:t xml:space="preserve"> </w:t>
            </w:r>
            <w:r w:rsidRPr="00150AA1">
              <w:rPr>
                <w:sz w:val="20"/>
                <w:szCs w:val="20"/>
              </w:rPr>
              <w:t xml:space="preserve">66,305 </w:t>
            </w:r>
          </w:p>
        </w:tc>
        <w:tc>
          <w:tcPr>
            <w:tcW w:w="1840" w:type="dxa"/>
            <w:tcBorders>
              <w:top w:val="nil"/>
              <w:left w:val="nil"/>
              <w:bottom w:val="nil"/>
              <w:right w:val="nil"/>
            </w:tcBorders>
            <w:shd w:val="clear" w:color="000000" w:fill="FFFFFF"/>
            <w:noWrap/>
            <w:vAlign w:val="bottom"/>
            <w:hideMark/>
          </w:tcPr>
          <w:p w14:paraId="2C265972" w14:textId="77777777" w:rsidR="001B6918" w:rsidRPr="004E6649" w:rsidRDefault="001B6918" w:rsidP="00730ECF">
            <w:pPr>
              <w:rPr>
                <w:rFonts w:eastAsia="Times New Roman" w:cstheme="minorHAnsi"/>
                <w:color w:val="0D0D0D"/>
                <w:sz w:val="18"/>
                <w:szCs w:val="20"/>
              </w:rPr>
            </w:pPr>
            <w:r w:rsidRPr="00150AA1">
              <w:rPr>
                <w:rFonts w:ascii="Calibri" w:hAnsi="Calibri" w:cs="Calibri"/>
                <w:sz w:val="20"/>
                <w:szCs w:val="20"/>
              </w:rPr>
              <w:t>Monthly</w:t>
            </w:r>
          </w:p>
        </w:tc>
        <w:tc>
          <w:tcPr>
            <w:tcW w:w="1780" w:type="dxa"/>
            <w:tcBorders>
              <w:top w:val="nil"/>
              <w:left w:val="nil"/>
              <w:bottom w:val="nil"/>
              <w:right w:val="nil"/>
            </w:tcBorders>
            <w:shd w:val="clear" w:color="000000" w:fill="FFFFFF"/>
            <w:noWrap/>
            <w:vAlign w:val="bottom"/>
            <w:hideMark/>
          </w:tcPr>
          <w:p w14:paraId="56423B8F" w14:textId="77777777" w:rsidR="001B6918" w:rsidRPr="004E6649" w:rsidRDefault="001B6918" w:rsidP="00730ECF">
            <w:pPr>
              <w:rPr>
                <w:rFonts w:eastAsia="Times New Roman" w:cstheme="minorHAnsi"/>
                <w:color w:val="0D0D0D"/>
                <w:sz w:val="18"/>
                <w:szCs w:val="20"/>
              </w:rPr>
            </w:pPr>
            <w:r w:rsidRPr="00150AA1">
              <w:rPr>
                <w:rFonts w:ascii="Calibri" w:hAnsi="Calibri" w:cs="Calibri"/>
                <w:sz w:val="20"/>
                <w:szCs w:val="20"/>
              </w:rPr>
              <w:t>30 days</w:t>
            </w:r>
          </w:p>
        </w:tc>
      </w:tr>
      <w:tr w:rsidR="001B6918" w:rsidRPr="004E6649" w14:paraId="6C1E70D3" w14:textId="77777777" w:rsidTr="00730ECF">
        <w:trPr>
          <w:trHeight w:val="117"/>
        </w:trPr>
        <w:tc>
          <w:tcPr>
            <w:tcW w:w="5220" w:type="dxa"/>
            <w:tcBorders>
              <w:top w:val="nil"/>
              <w:left w:val="nil"/>
              <w:bottom w:val="nil"/>
              <w:right w:val="nil"/>
            </w:tcBorders>
            <w:shd w:val="clear" w:color="000000" w:fill="FFFFFF"/>
            <w:noWrap/>
            <w:vAlign w:val="bottom"/>
            <w:hideMark/>
          </w:tcPr>
          <w:p w14:paraId="35D72598" w14:textId="77777777" w:rsidR="001B6918" w:rsidRPr="004E6649" w:rsidRDefault="001B6918" w:rsidP="00730ECF">
            <w:pPr>
              <w:rPr>
                <w:rFonts w:eastAsia="Times New Roman" w:cstheme="minorHAnsi"/>
                <w:color w:val="0D0D0D"/>
                <w:sz w:val="18"/>
                <w:szCs w:val="20"/>
              </w:rPr>
            </w:pPr>
            <w:r>
              <w:rPr>
                <w:rFonts w:ascii="Calibri" w:hAnsi="Calibri" w:cs="Calibri"/>
                <w:color w:val="0D0D0D"/>
                <w:sz w:val="20"/>
                <w:szCs w:val="20"/>
              </w:rPr>
              <w:t>Equity funds</w:t>
            </w:r>
          </w:p>
        </w:tc>
        <w:tc>
          <w:tcPr>
            <w:tcW w:w="1040" w:type="dxa"/>
            <w:tcBorders>
              <w:top w:val="nil"/>
              <w:left w:val="nil"/>
              <w:bottom w:val="nil"/>
              <w:right w:val="nil"/>
            </w:tcBorders>
            <w:shd w:val="clear" w:color="000000" w:fill="FFFFFF"/>
            <w:noWrap/>
            <w:hideMark/>
          </w:tcPr>
          <w:p w14:paraId="19CA015A" w14:textId="77777777" w:rsidR="001B6918" w:rsidRPr="004E6649" w:rsidRDefault="001B6918" w:rsidP="00730ECF">
            <w:pPr>
              <w:jc w:val="right"/>
              <w:rPr>
                <w:rFonts w:eastAsia="Times New Roman" w:cstheme="minorHAnsi"/>
                <w:color w:val="0D0D0D"/>
                <w:sz w:val="18"/>
                <w:szCs w:val="18"/>
              </w:rPr>
            </w:pPr>
            <w:r w:rsidRPr="00150AA1">
              <w:rPr>
                <w:sz w:val="20"/>
                <w:szCs w:val="20"/>
              </w:rPr>
              <w:t xml:space="preserve"> 7,660 </w:t>
            </w:r>
          </w:p>
        </w:tc>
        <w:tc>
          <w:tcPr>
            <w:tcW w:w="1840" w:type="dxa"/>
            <w:tcBorders>
              <w:top w:val="nil"/>
              <w:left w:val="nil"/>
              <w:bottom w:val="nil"/>
              <w:right w:val="nil"/>
            </w:tcBorders>
            <w:shd w:val="clear" w:color="000000" w:fill="FFFFFF"/>
            <w:noWrap/>
            <w:vAlign w:val="bottom"/>
            <w:hideMark/>
          </w:tcPr>
          <w:p w14:paraId="75A297F5" w14:textId="77777777" w:rsidR="001B6918" w:rsidRPr="004E6649" w:rsidRDefault="001B6918" w:rsidP="00730ECF">
            <w:pPr>
              <w:rPr>
                <w:rFonts w:eastAsia="Times New Roman" w:cstheme="minorHAnsi"/>
                <w:color w:val="0D0D0D"/>
                <w:sz w:val="18"/>
                <w:szCs w:val="20"/>
              </w:rPr>
            </w:pPr>
            <w:r w:rsidRPr="00150AA1">
              <w:rPr>
                <w:rFonts w:ascii="Calibri" w:hAnsi="Calibri" w:cs="Calibri"/>
                <w:sz w:val="20"/>
                <w:szCs w:val="20"/>
              </w:rPr>
              <w:t>Monthly</w:t>
            </w:r>
          </w:p>
        </w:tc>
        <w:tc>
          <w:tcPr>
            <w:tcW w:w="1780" w:type="dxa"/>
            <w:tcBorders>
              <w:top w:val="nil"/>
              <w:left w:val="nil"/>
              <w:bottom w:val="nil"/>
              <w:right w:val="nil"/>
            </w:tcBorders>
            <w:shd w:val="clear" w:color="000000" w:fill="FFFFFF"/>
            <w:noWrap/>
            <w:vAlign w:val="bottom"/>
            <w:hideMark/>
          </w:tcPr>
          <w:p w14:paraId="79AC9008" w14:textId="77777777" w:rsidR="001B6918" w:rsidRPr="004E6649" w:rsidRDefault="001B6918" w:rsidP="00730ECF">
            <w:pPr>
              <w:rPr>
                <w:rFonts w:eastAsia="Times New Roman" w:cstheme="minorHAnsi"/>
                <w:color w:val="0D0D0D"/>
                <w:sz w:val="18"/>
                <w:szCs w:val="20"/>
              </w:rPr>
            </w:pPr>
            <w:r w:rsidRPr="00150AA1">
              <w:rPr>
                <w:rFonts w:ascii="Calibri" w:hAnsi="Calibri" w:cs="Calibri"/>
                <w:sz w:val="20"/>
                <w:szCs w:val="20"/>
              </w:rPr>
              <w:t>30 days</w:t>
            </w:r>
          </w:p>
        </w:tc>
      </w:tr>
      <w:tr w:rsidR="001B6918" w:rsidRPr="004E6649" w14:paraId="1F614867" w14:textId="77777777" w:rsidTr="00730ECF">
        <w:trPr>
          <w:trHeight w:val="80"/>
        </w:trPr>
        <w:tc>
          <w:tcPr>
            <w:tcW w:w="5220" w:type="dxa"/>
            <w:tcBorders>
              <w:top w:val="nil"/>
              <w:left w:val="nil"/>
              <w:bottom w:val="nil"/>
              <w:right w:val="nil"/>
            </w:tcBorders>
            <w:shd w:val="clear" w:color="000000" w:fill="FFFFFF"/>
            <w:noWrap/>
            <w:vAlign w:val="bottom"/>
            <w:hideMark/>
          </w:tcPr>
          <w:p w14:paraId="66DB3A79" w14:textId="77777777" w:rsidR="001B6918" w:rsidRPr="004E6649" w:rsidRDefault="001B6918" w:rsidP="00730ECF">
            <w:pPr>
              <w:rPr>
                <w:rFonts w:eastAsia="Times New Roman" w:cstheme="minorHAnsi"/>
                <w:color w:val="0D0D0D"/>
                <w:sz w:val="18"/>
                <w:szCs w:val="20"/>
              </w:rPr>
            </w:pPr>
            <w:r>
              <w:rPr>
                <w:rFonts w:ascii="Calibri" w:hAnsi="Calibri" w:cs="Calibri"/>
                <w:color w:val="0D0D0D"/>
                <w:sz w:val="20"/>
                <w:szCs w:val="20"/>
              </w:rPr>
              <w:t>Multi-strategy funds</w:t>
            </w:r>
            <w:r>
              <w:rPr>
                <w:rFonts w:ascii="Calibri" w:hAnsi="Calibri" w:cs="Calibri"/>
                <w:color w:val="0D0D0D"/>
                <w:sz w:val="20"/>
                <w:szCs w:val="20"/>
                <w:vertAlign w:val="superscript"/>
              </w:rPr>
              <w:t xml:space="preserve"> ₁</w:t>
            </w:r>
          </w:p>
        </w:tc>
        <w:tc>
          <w:tcPr>
            <w:tcW w:w="1040" w:type="dxa"/>
            <w:tcBorders>
              <w:top w:val="nil"/>
              <w:left w:val="nil"/>
              <w:bottom w:val="nil"/>
              <w:right w:val="nil"/>
            </w:tcBorders>
            <w:shd w:val="clear" w:color="000000" w:fill="FFFFFF"/>
            <w:noWrap/>
            <w:hideMark/>
          </w:tcPr>
          <w:p w14:paraId="035F1C7C" w14:textId="77777777" w:rsidR="001B6918" w:rsidRPr="004E6649" w:rsidRDefault="001B6918" w:rsidP="00730ECF">
            <w:pPr>
              <w:jc w:val="right"/>
              <w:rPr>
                <w:rFonts w:eastAsia="Times New Roman" w:cstheme="minorHAnsi"/>
                <w:color w:val="0D0D0D"/>
                <w:sz w:val="18"/>
                <w:szCs w:val="18"/>
              </w:rPr>
            </w:pPr>
            <w:r w:rsidRPr="00150AA1">
              <w:rPr>
                <w:sz w:val="20"/>
                <w:szCs w:val="20"/>
              </w:rPr>
              <w:t xml:space="preserve"> 30,049 </w:t>
            </w:r>
          </w:p>
        </w:tc>
        <w:tc>
          <w:tcPr>
            <w:tcW w:w="1840" w:type="dxa"/>
            <w:tcBorders>
              <w:top w:val="nil"/>
              <w:left w:val="nil"/>
              <w:bottom w:val="nil"/>
              <w:right w:val="nil"/>
            </w:tcBorders>
            <w:shd w:val="clear" w:color="000000" w:fill="FFFFFF"/>
            <w:noWrap/>
            <w:vAlign w:val="bottom"/>
            <w:hideMark/>
          </w:tcPr>
          <w:p w14:paraId="72D4836E" w14:textId="77777777" w:rsidR="001B6918" w:rsidRPr="004E6649" w:rsidRDefault="001B6918" w:rsidP="00730ECF">
            <w:pPr>
              <w:rPr>
                <w:rFonts w:eastAsia="Times New Roman" w:cstheme="minorHAnsi"/>
                <w:color w:val="0D0D0D"/>
                <w:sz w:val="18"/>
                <w:szCs w:val="20"/>
              </w:rPr>
            </w:pPr>
            <w:r w:rsidRPr="00150AA1">
              <w:rPr>
                <w:rFonts w:ascii="Calibri" w:hAnsi="Calibri" w:cs="Calibri"/>
                <w:sz w:val="20"/>
                <w:szCs w:val="20"/>
              </w:rPr>
              <w:t>Quarterly, Monthly</w:t>
            </w:r>
          </w:p>
        </w:tc>
        <w:tc>
          <w:tcPr>
            <w:tcW w:w="1780" w:type="dxa"/>
            <w:tcBorders>
              <w:top w:val="nil"/>
              <w:left w:val="nil"/>
              <w:bottom w:val="nil"/>
              <w:right w:val="nil"/>
            </w:tcBorders>
            <w:shd w:val="clear" w:color="000000" w:fill="FFFFFF"/>
            <w:noWrap/>
            <w:vAlign w:val="bottom"/>
            <w:hideMark/>
          </w:tcPr>
          <w:p w14:paraId="5DC3109D" w14:textId="77777777" w:rsidR="001B6918" w:rsidRPr="004E6649" w:rsidRDefault="001B6918" w:rsidP="00730ECF">
            <w:pPr>
              <w:rPr>
                <w:rFonts w:eastAsia="Times New Roman" w:cstheme="minorHAnsi"/>
                <w:color w:val="0D0D0D"/>
                <w:sz w:val="18"/>
                <w:szCs w:val="20"/>
              </w:rPr>
            </w:pPr>
            <w:r w:rsidRPr="00150AA1">
              <w:rPr>
                <w:rFonts w:ascii="Calibri" w:hAnsi="Calibri" w:cs="Calibri"/>
                <w:sz w:val="20"/>
                <w:szCs w:val="20"/>
              </w:rPr>
              <w:t>30, 45, 60, 90 days</w:t>
            </w:r>
          </w:p>
        </w:tc>
      </w:tr>
      <w:tr w:rsidR="001B6918" w:rsidRPr="004E6649" w14:paraId="1E2F2EE5" w14:textId="77777777" w:rsidTr="00730ECF">
        <w:trPr>
          <w:trHeight w:val="80"/>
        </w:trPr>
        <w:tc>
          <w:tcPr>
            <w:tcW w:w="5220" w:type="dxa"/>
            <w:tcBorders>
              <w:top w:val="nil"/>
              <w:left w:val="nil"/>
              <w:bottom w:val="nil"/>
              <w:right w:val="nil"/>
            </w:tcBorders>
            <w:shd w:val="clear" w:color="000000" w:fill="FFFFFF"/>
            <w:noWrap/>
            <w:vAlign w:val="bottom"/>
            <w:hideMark/>
          </w:tcPr>
          <w:p w14:paraId="72236A70" w14:textId="77777777" w:rsidR="001B6918" w:rsidRPr="004E6649" w:rsidRDefault="001B6918" w:rsidP="00730ECF">
            <w:pPr>
              <w:rPr>
                <w:rFonts w:eastAsia="Times New Roman" w:cstheme="minorHAnsi"/>
                <w:color w:val="0D0D0D"/>
                <w:sz w:val="18"/>
                <w:szCs w:val="20"/>
              </w:rPr>
            </w:pPr>
            <w:r>
              <w:rPr>
                <w:rFonts w:ascii="Calibri" w:hAnsi="Calibri" w:cs="Calibri"/>
                <w:color w:val="0D0D0D"/>
                <w:sz w:val="20"/>
                <w:szCs w:val="20"/>
              </w:rPr>
              <w:t>Fixed income funds - bonds</w:t>
            </w:r>
          </w:p>
        </w:tc>
        <w:tc>
          <w:tcPr>
            <w:tcW w:w="1040" w:type="dxa"/>
            <w:tcBorders>
              <w:top w:val="nil"/>
              <w:left w:val="nil"/>
              <w:bottom w:val="nil"/>
              <w:right w:val="nil"/>
            </w:tcBorders>
            <w:shd w:val="clear" w:color="000000" w:fill="FFFFFF"/>
            <w:noWrap/>
            <w:hideMark/>
          </w:tcPr>
          <w:p w14:paraId="53B72E6B" w14:textId="77777777" w:rsidR="001B6918" w:rsidRPr="004E6649" w:rsidRDefault="001B6918" w:rsidP="00730ECF">
            <w:pPr>
              <w:jc w:val="right"/>
              <w:rPr>
                <w:rFonts w:eastAsia="Times New Roman" w:cstheme="minorHAnsi"/>
                <w:color w:val="0D0D0D"/>
                <w:sz w:val="18"/>
                <w:szCs w:val="18"/>
              </w:rPr>
            </w:pPr>
            <w:r w:rsidRPr="00150AA1">
              <w:rPr>
                <w:sz w:val="20"/>
                <w:szCs w:val="20"/>
              </w:rPr>
              <w:t xml:space="preserve"> 25,869 </w:t>
            </w:r>
          </w:p>
        </w:tc>
        <w:tc>
          <w:tcPr>
            <w:tcW w:w="1840" w:type="dxa"/>
            <w:tcBorders>
              <w:top w:val="nil"/>
              <w:left w:val="nil"/>
              <w:bottom w:val="nil"/>
              <w:right w:val="nil"/>
            </w:tcBorders>
            <w:shd w:val="clear" w:color="000000" w:fill="FFFFFF"/>
            <w:noWrap/>
            <w:vAlign w:val="bottom"/>
            <w:hideMark/>
          </w:tcPr>
          <w:p w14:paraId="357C8FB8" w14:textId="77777777" w:rsidR="001B6918" w:rsidRPr="004E6649" w:rsidRDefault="001B6918" w:rsidP="00730ECF">
            <w:pPr>
              <w:rPr>
                <w:rFonts w:eastAsia="Times New Roman" w:cstheme="minorHAnsi"/>
                <w:color w:val="0D0D0D"/>
                <w:sz w:val="18"/>
                <w:szCs w:val="20"/>
              </w:rPr>
            </w:pPr>
            <w:r w:rsidRPr="00150AA1">
              <w:rPr>
                <w:rFonts w:ascii="Calibri" w:hAnsi="Calibri" w:cs="Calibri"/>
                <w:sz w:val="20"/>
                <w:szCs w:val="20"/>
              </w:rPr>
              <w:t>Monthly</w:t>
            </w:r>
          </w:p>
        </w:tc>
        <w:tc>
          <w:tcPr>
            <w:tcW w:w="1780" w:type="dxa"/>
            <w:tcBorders>
              <w:top w:val="nil"/>
              <w:left w:val="nil"/>
              <w:bottom w:val="nil"/>
              <w:right w:val="nil"/>
            </w:tcBorders>
            <w:shd w:val="clear" w:color="000000" w:fill="FFFFFF"/>
            <w:noWrap/>
            <w:vAlign w:val="bottom"/>
            <w:hideMark/>
          </w:tcPr>
          <w:p w14:paraId="06A25F50" w14:textId="77777777" w:rsidR="001B6918" w:rsidRPr="004E6649" w:rsidRDefault="001B6918" w:rsidP="00730ECF">
            <w:pPr>
              <w:rPr>
                <w:rFonts w:eastAsia="Times New Roman" w:cstheme="minorHAnsi"/>
                <w:color w:val="0D0D0D"/>
                <w:sz w:val="18"/>
                <w:szCs w:val="20"/>
              </w:rPr>
            </w:pPr>
            <w:r w:rsidRPr="00150AA1">
              <w:rPr>
                <w:rFonts w:ascii="Calibri" w:hAnsi="Calibri" w:cs="Calibri"/>
                <w:sz w:val="20"/>
                <w:szCs w:val="20"/>
              </w:rPr>
              <w:t>5 days</w:t>
            </w:r>
          </w:p>
        </w:tc>
      </w:tr>
      <w:tr w:rsidR="001B6918" w:rsidRPr="004E6649" w14:paraId="01EFCFA4" w14:textId="77777777" w:rsidTr="00730ECF">
        <w:trPr>
          <w:trHeight w:val="80"/>
        </w:trPr>
        <w:tc>
          <w:tcPr>
            <w:tcW w:w="5220" w:type="dxa"/>
            <w:tcBorders>
              <w:top w:val="nil"/>
              <w:left w:val="nil"/>
              <w:bottom w:val="single" w:sz="4" w:space="0" w:color="000000"/>
              <w:right w:val="nil"/>
            </w:tcBorders>
            <w:shd w:val="clear" w:color="000000" w:fill="FFFFFF"/>
            <w:noWrap/>
            <w:vAlign w:val="bottom"/>
            <w:hideMark/>
          </w:tcPr>
          <w:p w14:paraId="1326CED3" w14:textId="77777777" w:rsidR="001B6918" w:rsidRPr="004E6649" w:rsidRDefault="001B6918" w:rsidP="00730ECF">
            <w:pPr>
              <w:rPr>
                <w:rFonts w:eastAsia="Times New Roman" w:cstheme="minorHAnsi"/>
                <w:color w:val="0D0D0D"/>
                <w:sz w:val="18"/>
                <w:szCs w:val="20"/>
              </w:rPr>
            </w:pPr>
            <w:r>
              <w:rPr>
                <w:rFonts w:ascii="Calibri" w:hAnsi="Calibri" w:cs="Calibri"/>
                <w:color w:val="0D0D0D"/>
                <w:sz w:val="20"/>
                <w:szCs w:val="20"/>
              </w:rPr>
              <w:t xml:space="preserve">Bank loans </w:t>
            </w:r>
            <w:r>
              <w:rPr>
                <w:rFonts w:ascii="Calibri" w:hAnsi="Calibri" w:cs="Calibri"/>
                <w:color w:val="0D0D0D"/>
                <w:sz w:val="20"/>
                <w:szCs w:val="20"/>
                <w:vertAlign w:val="superscript"/>
              </w:rPr>
              <w:t>₂</w:t>
            </w:r>
          </w:p>
        </w:tc>
        <w:tc>
          <w:tcPr>
            <w:tcW w:w="1040" w:type="dxa"/>
            <w:tcBorders>
              <w:top w:val="nil"/>
              <w:left w:val="nil"/>
              <w:bottom w:val="single" w:sz="4" w:space="0" w:color="000000"/>
              <w:right w:val="nil"/>
            </w:tcBorders>
            <w:shd w:val="clear" w:color="000000" w:fill="FFFFFF"/>
            <w:noWrap/>
            <w:hideMark/>
          </w:tcPr>
          <w:p w14:paraId="52D94101" w14:textId="77777777" w:rsidR="001B6918" w:rsidRPr="004E6649" w:rsidRDefault="001B6918" w:rsidP="00730ECF">
            <w:pPr>
              <w:jc w:val="right"/>
              <w:rPr>
                <w:rFonts w:eastAsia="Times New Roman" w:cstheme="minorHAnsi"/>
                <w:color w:val="0D0D0D"/>
                <w:sz w:val="18"/>
                <w:szCs w:val="18"/>
              </w:rPr>
            </w:pPr>
            <w:r w:rsidRPr="00150AA1">
              <w:rPr>
                <w:sz w:val="20"/>
                <w:szCs w:val="20"/>
              </w:rPr>
              <w:t xml:space="preserve"> 21,069 </w:t>
            </w:r>
          </w:p>
        </w:tc>
        <w:tc>
          <w:tcPr>
            <w:tcW w:w="1840" w:type="dxa"/>
            <w:tcBorders>
              <w:top w:val="nil"/>
              <w:left w:val="nil"/>
              <w:bottom w:val="nil"/>
              <w:right w:val="nil"/>
            </w:tcBorders>
            <w:shd w:val="clear" w:color="000000" w:fill="FFFFFF"/>
            <w:noWrap/>
            <w:vAlign w:val="bottom"/>
            <w:hideMark/>
          </w:tcPr>
          <w:p w14:paraId="739FA0B9" w14:textId="77777777" w:rsidR="001B6918" w:rsidRPr="004E6649" w:rsidRDefault="001B6918" w:rsidP="00730ECF">
            <w:pPr>
              <w:rPr>
                <w:rFonts w:eastAsia="Times New Roman" w:cstheme="minorHAnsi"/>
                <w:color w:val="0D0D0D"/>
                <w:sz w:val="18"/>
                <w:szCs w:val="20"/>
              </w:rPr>
            </w:pPr>
            <w:r w:rsidRPr="00150AA1">
              <w:rPr>
                <w:rFonts w:ascii="Calibri" w:hAnsi="Calibri" w:cs="Calibri"/>
                <w:sz w:val="20"/>
                <w:szCs w:val="20"/>
              </w:rPr>
              <w:t>Monthly</w:t>
            </w:r>
          </w:p>
        </w:tc>
        <w:tc>
          <w:tcPr>
            <w:tcW w:w="1780" w:type="dxa"/>
            <w:tcBorders>
              <w:top w:val="nil"/>
              <w:left w:val="nil"/>
              <w:bottom w:val="nil"/>
              <w:right w:val="nil"/>
            </w:tcBorders>
            <w:shd w:val="clear" w:color="000000" w:fill="FFFFFF"/>
            <w:noWrap/>
            <w:vAlign w:val="bottom"/>
            <w:hideMark/>
          </w:tcPr>
          <w:p w14:paraId="4DE5BF7C" w14:textId="77777777" w:rsidR="001B6918" w:rsidRPr="004E6649" w:rsidRDefault="001B6918" w:rsidP="00730ECF">
            <w:pPr>
              <w:rPr>
                <w:rFonts w:eastAsia="Times New Roman" w:cstheme="minorHAnsi"/>
                <w:color w:val="0D0D0D"/>
                <w:sz w:val="18"/>
                <w:szCs w:val="20"/>
              </w:rPr>
            </w:pPr>
            <w:r w:rsidRPr="00150AA1">
              <w:rPr>
                <w:rFonts w:ascii="Calibri" w:hAnsi="Calibri" w:cs="Calibri"/>
                <w:sz w:val="20"/>
                <w:szCs w:val="20"/>
              </w:rPr>
              <w:t>30 days</w:t>
            </w:r>
          </w:p>
        </w:tc>
      </w:tr>
      <w:tr w:rsidR="001B6918" w:rsidRPr="004E6649" w14:paraId="54431D65" w14:textId="77777777" w:rsidTr="00730ECF">
        <w:trPr>
          <w:trHeight w:val="70"/>
        </w:trPr>
        <w:tc>
          <w:tcPr>
            <w:tcW w:w="5220" w:type="dxa"/>
            <w:tcBorders>
              <w:top w:val="nil"/>
              <w:left w:val="nil"/>
              <w:bottom w:val="double" w:sz="6" w:space="0" w:color="000000"/>
              <w:right w:val="nil"/>
            </w:tcBorders>
            <w:shd w:val="clear" w:color="000000" w:fill="FFFFFF"/>
            <w:noWrap/>
            <w:vAlign w:val="bottom"/>
            <w:hideMark/>
          </w:tcPr>
          <w:p w14:paraId="67FD8704" w14:textId="77777777" w:rsidR="001B6918" w:rsidRPr="004E6649" w:rsidRDefault="001B6918" w:rsidP="00730ECF">
            <w:pPr>
              <w:rPr>
                <w:rFonts w:eastAsia="Times New Roman" w:cstheme="minorHAnsi"/>
                <w:b/>
                <w:bCs/>
                <w:color w:val="0D0D0D"/>
                <w:sz w:val="18"/>
                <w:szCs w:val="20"/>
              </w:rPr>
            </w:pPr>
            <w:r>
              <w:rPr>
                <w:rFonts w:ascii="Calibri" w:hAnsi="Calibri" w:cs="Calibri"/>
                <w:b/>
                <w:bCs/>
                <w:color w:val="0D0D0D"/>
                <w:sz w:val="20"/>
                <w:szCs w:val="20"/>
              </w:rPr>
              <w:t>Total DB Plan and MIP investments measured at NAV</w:t>
            </w:r>
          </w:p>
        </w:tc>
        <w:tc>
          <w:tcPr>
            <w:tcW w:w="1040" w:type="dxa"/>
            <w:tcBorders>
              <w:top w:val="nil"/>
              <w:left w:val="nil"/>
              <w:bottom w:val="double" w:sz="6" w:space="0" w:color="000000"/>
              <w:right w:val="nil"/>
            </w:tcBorders>
            <w:shd w:val="clear" w:color="000000" w:fill="FFFFFF"/>
            <w:noWrap/>
            <w:hideMark/>
          </w:tcPr>
          <w:p w14:paraId="04318664" w14:textId="77777777" w:rsidR="001B6918" w:rsidRPr="004E6649" w:rsidRDefault="001B6918" w:rsidP="00730ECF">
            <w:pPr>
              <w:jc w:val="right"/>
              <w:rPr>
                <w:rFonts w:eastAsia="Times New Roman" w:cstheme="minorHAnsi"/>
                <w:b/>
                <w:bCs/>
                <w:color w:val="0D0D0D"/>
                <w:sz w:val="18"/>
                <w:szCs w:val="18"/>
              </w:rPr>
            </w:pPr>
            <w:r w:rsidRPr="00150AA1">
              <w:rPr>
                <w:sz w:val="20"/>
                <w:szCs w:val="20"/>
              </w:rPr>
              <w:t xml:space="preserve"> $150,952 </w:t>
            </w:r>
          </w:p>
        </w:tc>
        <w:tc>
          <w:tcPr>
            <w:tcW w:w="1840" w:type="dxa"/>
            <w:tcBorders>
              <w:top w:val="nil"/>
              <w:left w:val="nil"/>
              <w:bottom w:val="nil"/>
              <w:right w:val="nil"/>
            </w:tcBorders>
            <w:shd w:val="clear" w:color="000000" w:fill="FFFFFF"/>
            <w:noWrap/>
            <w:vAlign w:val="bottom"/>
            <w:hideMark/>
          </w:tcPr>
          <w:p w14:paraId="7AFD5DF3" w14:textId="77777777" w:rsidR="001B6918" w:rsidRPr="004E6649" w:rsidRDefault="001B6918" w:rsidP="00730ECF">
            <w:pPr>
              <w:rPr>
                <w:rFonts w:eastAsia="Times New Roman" w:cstheme="minorHAnsi"/>
                <w:b/>
                <w:bCs/>
                <w:color w:val="0D0D0D"/>
                <w:sz w:val="18"/>
                <w:szCs w:val="20"/>
              </w:rPr>
            </w:pPr>
            <w:r w:rsidRPr="00150AA1">
              <w:rPr>
                <w:rFonts w:ascii="Calibri" w:hAnsi="Calibri" w:cs="Calibri"/>
                <w:sz w:val="20"/>
                <w:szCs w:val="20"/>
              </w:rPr>
              <w:t> </w:t>
            </w:r>
          </w:p>
        </w:tc>
        <w:tc>
          <w:tcPr>
            <w:tcW w:w="1780" w:type="dxa"/>
            <w:tcBorders>
              <w:top w:val="nil"/>
              <w:left w:val="nil"/>
              <w:bottom w:val="nil"/>
              <w:right w:val="nil"/>
            </w:tcBorders>
            <w:shd w:val="clear" w:color="000000" w:fill="FFFFFF"/>
            <w:noWrap/>
            <w:vAlign w:val="bottom"/>
            <w:hideMark/>
          </w:tcPr>
          <w:p w14:paraId="650A393F" w14:textId="77777777" w:rsidR="001B6918" w:rsidRPr="004E6649" w:rsidRDefault="001B6918" w:rsidP="00730ECF">
            <w:pPr>
              <w:rPr>
                <w:rFonts w:eastAsia="Times New Roman" w:cstheme="minorHAnsi"/>
                <w:b/>
                <w:bCs/>
                <w:color w:val="0D0D0D"/>
                <w:sz w:val="18"/>
                <w:szCs w:val="20"/>
              </w:rPr>
            </w:pPr>
            <w:r w:rsidRPr="00150AA1">
              <w:rPr>
                <w:rFonts w:ascii="Calibri" w:hAnsi="Calibri" w:cs="Calibri"/>
                <w:sz w:val="20"/>
                <w:szCs w:val="20"/>
              </w:rPr>
              <w:t> </w:t>
            </w:r>
          </w:p>
        </w:tc>
      </w:tr>
      <w:tr w:rsidR="001B6918" w:rsidRPr="004E6649" w14:paraId="1BCACB3A" w14:textId="77777777" w:rsidTr="00730ECF">
        <w:trPr>
          <w:trHeight w:val="108"/>
        </w:trPr>
        <w:tc>
          <w:tcPr>
            <w:tcW w:w="5220" w:type="dxa"/>
            <w:tcBorders>
              <w:top w:val="nil"/>
              <w:left w:val="nil"/>
              <w:bottom w:val="nil"/>
              <w:right w:val="nil"/>
            </w:tcBorders>
            <w:shd w:val="clear" w:color="000000" w:fill="FFFFFF"/>
            <w:noWrap/>
            <w:vAlign w:val="bottom"/>
            <w:hideMark/>
          </w:tcPr>
          <w:p w14:paraId="2DCBA108" w14:textId="77777777" w:rsidR="001B6918" w:rsidRPr="004E6649" w:rsidRDefault="001B6918" w:rsidP="00730ECF">
            <w:pPr>
              <w:rPr>
                <w:rFonts w:eastAsia="Times New Roman" w:cstheme="minorHAnsi"/>
                <w:b/>
                <w:bCs/>
                <w:color w:val="0D0D0D"/>
                <w:sz w:val="18"/>
                <w:szCs w:val="20"/>
              </w:rPr>
            </w:pPr>
            <w:r>
              <w:rPr>
                <w:rFonts w:ascii="Calibri" w:hAnsi="Calibri" w:cs="Calibri"/>
                <w:b/>
                <w:bCs/>
                <w:color w:val="0D0D0D"/>
                <w:sz w:val="20"/>
                <w:szCs w:val="20"/>
              </w:rPr>
              <w:t>Further breakdown of above DB Plan and MIP investments:</w:t>
            </w:r>
          </w:p>
        </w:tc>
        <w:tc>
          <w:tcPr>
            <w:tcW w:w="1040" w:type="dxa"/>
            <w:tcBorders>
              <w:top w:val="nil"/>
              <w:left w:val="nil"/>
              <w:bottom w:val="nil"/>
              <w:right w:val="nil"/>
            </w:tcBorders>
            <w:shd w:val="clear" w:color="000000" w:fill="FFFFFF"/>
            <w:noWrap/>
            <w:hideMark/>
          </w:tcPr>
          <w:p w14:paraId="77ED749D" w14:textId="77777777" w:rsidR="001B6918" w:rsidRPr="004E6649" w:rsidRDefault="001B6918" w:rsidP="00730ECF">
            <w:pPr>
              <w:jc w:val="right"/>
              <w:rPr>
                <w:rFonts w:eastAsia="Times New Roman" w:cstheme="minorHAnsi"/>
                <w:b/>
                <w:bCs/>
                <w:color w:val="0D0D0D"/>
                <w:sz w:val="18"/>
                <w:szCs w:val="18"/>
              </w:rPr>
            </w:pPr>
          </w:p>
        </w:tc>
        <w:tc>
          <w:tcPr>
            <w:tcW w:w="1840" w:type="dxa"/>
            <w:tcBorders>
              <w:top w:val="nil"/>
              <w:left w:val="nil"/>
              <w:bottom w:val="nil"/>
              <w:right w:val="nil"/>
            </w:tcBorders>
            <w:shd w:val="clear" w:color="000000" w:fill="FFFFFF"/>
            <w:noWrap/>
            <w:vAlign w:val="bottom"/>
            <w:hideMark/>
          </w:tcPr>
          <w:p w14:paraId="6B9F9A87" w14:textId="77777777" w:rsidR="001B6918" w:rsidRPr="004E6649" w:rsidRDefault="001B6918" w:rsidP="00730ECF">
            <w:pPr>
              <w:rPr>
                <w:rFonts w:eastAsia="Times New Roman" w:cstheme="minorHAnsi"/>
                <w:b/>
                <w:bCs/>
                <w:color w:val="0D0D0D"/>
                <w:sz w:val="18"/>
                <w:szCs w:val="20"/>
              </w:rPr>
            </w:pPr>
            <w:r w:rsidRPr="00150AA1">
              <w:rPr>
                <w:rFonts w:ascii="Calibri" w:hAnsi="Calibri" w:cs="Calibri"/>
                <w:sz w:val="20"/>
                <w:szCs w:val="20"/>
              </w:rPr>
              <w:t> </w:t>
            </w:r>
          </w:p>
        </w:tc>
        <w:tc>
          <w:tcPr>
            <w:tcW w:w="1780" w:type="dxa"/>
            <w:tcBorders>
              <w:top w:val="nil"/>
              <w:left w:val="nil"/>
              <w:bottom w:val="nil"/>
              <w:right w:val="nil"/>
            </w:tcBorders>
            <w:shd w:val="clear" w:color="000000" w:fill="FFFFFF"/>
            <w:noWrap/>
            <w:vAlign w:val="bottom"/>
            <w:hideMark/>
          </w:tcPr>
          <w:p w14:paraId="64F811AB" w14:textId="77777777" w:rsidR="001B6918" w:rsidRPr="004E6649" w:rsidRDefault="001B6918" w:rsidP="00730ECF">
            <w:pPr>
              <w:rPr>
                <w:rFonts w:eastAsia="Times New Roman" w:cstheme="minorHAnsi"/>
                <w:b/>
                <w:bCs/>
                <w:color w:val="0D0D0D"/>
                <w:sz w:val="18"/>
                <w:szCs w:val="20"/>
              </w:rPr>
            </w:pPr>
            <w:r w:rsidRPr="00150AA1">
              <w:rPr>
                <w:rFonts w:ascii="Calibri" w:hAnsi="Calibri" w:cs="Calibri"/>
                <w:sz w:val="20"/>
                <w:szCs w:val="20"/>
              </w:rPr>
              <w:t> </w:t>
            </w:r>
          </w:p>
        </w:tc>
      </w:tr>
      <w:tr w:rsidR="001B6918" w:rsidRPr="004E6649" w14:paraId="3D1FAD77" w14:textId="77777777" w:rsidTr="00730ECF">
        <w:trPr>
          <w:trHeight w:val="135"/>
        </w:trPr>
        <w:tc>
          <w:tcPr>
            <w:tcW w:w="5220" w:type="dxa"/>
            <w:tcBorders>
              <w:top w:val="nil"/>
              <w:left w:val="nil"/>
              <w:bottom w:val="nil"/>
              <w:right w:val="nil"/>
            </w:tcBorders>
            <w:shd w:val="clear" w:color="000000" w:fill="FFFFFF"/>
            <w:noWrap/>
            <w:vAlign w:val="bottom"/>
            <w:hideMark/>
          </w:tcPr>
          <w:p w14:paraId="4DE33E72" w14:textId="77777777" w:rsidR="001B6918" w:rsidRPr="004E6649" w:rsidRDefault="001B6918" w:rsidP="00730ECF">
            <w:pPr>
              <w:rPr>
                <w:rFonts w:eastAsia="Times New Roman" w:cstheme="minorHAnsi"/>
                <w:color w:val="0D0D0D"/>
                <w:sz w:val="18"/>
                <w:szCs w:val="20"/>
              </w:rPr>
            </w:pPr>
            <w:r>
              <w:rPr>
                <w:rFonts w:ascii="Calibri" w:hAnsi="Calibri" w:cs="Calibri"/>
                <w:color w:val="0D0D0D"/>
                <w:sz w:val="20"/>
                <w:szCs w:val="20"/>
              </w:rPr>
              <w:t>DB Plan at NAV</w:t>
            </w:r>
          </w:p>
        </w:tc>
        <w:tc>
          <w:tcPr>
            <w:tcW w:w="1040" w:type="dxa"/>
            <w:tcBorders>
              <w:top w:val="nil"/>
              <w:left w:val="nil"/>
              <w:bottom w:val="nil"/>
              <w:right w:val="nil"/>
            </w:tcBorders>
            <w:shd w:val="clear" w:color="000000" w:fill="FFFFFF"/>
            <w:noWrap/>
            <w:hideMark/>
          </w:tcPr>
          <w:p w14:paraId="21DF751B" w14:textId="77777777" w:rsidR="001B6918" w:rsidRPr="004E6649" w:rsidRDefault="001B6918" w:rsidP="00730ECF">
            <w:pPr>
              <w:jc w:val="right"/>
              <w:rPr>
                <w:rFonts w:eastAsia="Times New Roman" w:cstheme="minorHAnsi"/>
                <w:color w:val="0D0D0D"/>
                <w:sz w:val="18"/>
                <w:szCs w:val="18"/>
              </w:rPr>
            </w:pPr>
            <w:r w:rsidRPr="00150AA1">
              <w:rPr>
                <w:sz w:val="20"/>
                <w:szCs w:val="20"/>
              </w:rPr>
              <w:t xml:space="preserve"> $</w:t>
            </w:r>
            <w:r>
              <w:rPr>
                <w:sz w:val="20"/>
                <w:szCs w:val="20"/>
              </w:rPr>
              <w:t xml:space="preserve">    </w:t>
            </w:r>
            <w:r w:rsidRPr="00150AA1">
              <w:rPr>
                <w:sz w:val="20"/>
                <w:szCs w:val="20"/>
              </w:rPr>
              <w:t xml:space="preserve">7,598 </w:t>
            </w:r>
          </w:p>
        </w:tc>
        <w:tc>
          <w:tcPr>
            <w:tcW w:w="1840" w:type="dxa"/>
            <w:tcBorders>
              <w:top w:val="nil"/>
              <w:left w:val="nil"/>
              <w:bottom w:val="nil"/>
              <w:right w:val="nil"/>
            </w:tcBorders>
            <w:shd w:val="clear" w:color="000000" w:fill="FFFFFF"/>
            <w:noWrap/>
            <w:vAlign w:val="bottom"/>
            <w:hideMark/>
          </w:tcPr>
          <w:p w14:paraId="149C508C" w14:textId="77777777" w:rsidR="001B6918" w:rsidRPr="004E6649" w:rsidRDefault="001B6918" w:rsidP="00730ECF">
            <w:pPr>
              <w:rPr>
                <w:rFonts w:eastAsia="Times New Roman" w:cstheme="minorHAnsi"/>
                <w:b/>
                <w:bCs/>
                <w:color w:val="0D0D0D"/>
                <w:sz w:val="18"/>
                <w:szCs w:val="20"/>
              </w:rPr>
            </w:pPr>
            <w:r w:rsidRPr="00150AA1">
              <w:rPr>
                <w:rFonts w:ascii="Calibri" w:hAnsi="Calibri" w:cs="Calibri"/>
                <w:sz w:val="20"/>
                <w:szCs w:val="20"/>
              </w:rPr>
              <w:t> </w:t>
            </w:r>
          </w:p>
        </w:tc>
        <w:tc>
          <w:tcPr>
            <w:tcW w:w="1780" w:type="dxa"/>
            <w:tcBorders>
              <w:top w:val="nil"/>
              <w:left w:val="nil"/>
              <w:bottom w:val="nil"/>
              <w:right w:val="nil"/>
            </w:tcBorders>
            <w:shd w:val="clear" w:color="000000" w:fill="FFFFFF"/>
            <w:noWrap/>
            <w:vAlign w:val="bottom"/>
            <w:hideMark/>
          </w:tcPr>
          <w:p w14:paraId="4BCAC621" w14:textId="77777777" w:rsidR="001B6918" w:rsidRPr="004E6649" w:rsidRDefault="001B6918" w:rsidP="00730ECF">
            <w:pPr>
              <w:rPr>
                <w:rFonts w:eastAsia="Times New Roman" w:cstheme="minorHAnsi"/>
                <w:b/>
                <w:bCs/>
                <w:color w:val="0D0D0D"/>
                <w:sz w:val="18"/>
                <w:szCs w:val="20"/>
              </w:rPr>
            </w:pPr>
            <w:r w:rsidRPr="00150AA1">
              <w:rPr>
                <w:rFonts w:ascii="Calibri" w:hAnsi="Calibri" w:cs="Calibri"/>
                <w:sz w:val="20"/>
                <w:szCs w:val="20"/>
              </w:rPr>
              <w:t> </w:t>
            </w:r>
          </w:p>
        </w:tc>
      </w:tr>
      <w:tr w:rsidR="001B6918" w:rsidRPr="004E6649" w14:paraId="3BD40701" w14:textId="77777777" w:rsidTr="00730ECF">
        <w:trPr>
          <w:trHeight w:val="80"/>
        </w:trPr>
        <w:tc>
          <w:tcPr>
            <w:tcW w:w="5220" w:type="dxa"/>
            <w:tcBorders>
              <w:top w:val="nil"/>
              <w:left w:val="nil"/>
              <w:bottom w:val="nil"/>
              <w:right w:val="nil"/>
            </w:tcBorders>
            <w:shd w:val="clear" w:color="000000" w:fill="FFFFFF"/>
            <w:noWrap/>
            <w:vAlign w:val="bottom"/>
            <w:hideMark/>
          </w:tcPr>
          <w:p w14:paraId="034E8108" w14:textId="77777777" w:rsidR="001B6918" w:rsidRPr="004E6649" w:rsidRDefault="001B6918" w:rsidP="00730ECF">
            <w:pPr>
              <w:rPr>
                <w:rFonts w:eastAsia="Times New Roman" w:cstheme="minorHAnsi"/>
                <w:color w:val="0D0D0D"/>
                <w:sz w:val="18"/>
                <w:szCs w:val="20"/>
              </w:rPr>
            </w:pPr>
            <w:r>
              <w:rPr>
                <w:rFonts w:ascii="Calibri" w:hAnsi="Calibri" w:cs="Calibri"/>
                <w:color w:val="0D0D0D"/>
                <w:sz w:val="20"/>
                <w:szCs w:val="20"/>
              </w:rPr>
              <w:t>MIP held on behalf of outside entities at NAV</w:t>
            </w:r>
          </w:p>
        </w:tc>
        <w:tc>
          <w:tcPr>
            <w:tcW w:w="1040" w:type="dxa"/>
            <w:tcBorders>
              <w:top w:val="nil"/>
              <w:left w:val="nil"/>
              <w:bottom w:val="nil"/>
              <w:right w:val="nil"/>
            </w:tcBorders>
            <w:shd w:val="clear" w:color="000000" w:fill="FFFFFF"/>
            <w:noWrap/>
            <w:hideMark/>
          </w:tcPr>
          <w:p w14:paraId="75B8B85D" w14:textId="77777777" w:rsidR="001B6918" w:rsidRPr="004E6649" w:rsidRDefault="001B6918" w:rsidP="00730ECF">
            <w:pPr>
              <w:jc w:val="right"/>
              <w:rPr>
                <w:rFonts w:eastAsia="Times New Roman" w:cstheme="minorHAnsi"/>
                <w:color w:val="0D0D0D"/>
                <w:sz w:val="18"/>
                <w:szCs w:val="18"/>
              </w:rPr>
            </w:pPr>
            <w:r w:rsidRPr="00150AA1">
              <w:rPr>
                <w:sz w:val="20"/>
                <w:szCs w:val="20"/>
              </w:rPr>
              <w:t xml:space="preserve"> 72,433 </w:t>
            </w:r>
          </w:p>
        </w:tc>
        <w:tc>
          <w:tcPr>
            <w:tcW w:w="1840" w:type="dxa"/>
            <w:tcBorders>
              <w:top w:val="nil"/>
              <w:left w:val="nil"/>
              <w:bottom w:val="nil"/>
              <w:right w:val="nil"/>
            </w:tcBorders>
            <w:shd w:val="clear" w:color="000000" w:fill="FFFFFF"/>
            <w:noWrap/>
            <w:vAlign w:val="bottom"/>
            <w:hideMark/>
          </w:tcPr>
          <w:p w14:paraId="4A85CB49" w14:textId="77777777" w:rsidR="001B6918" w:rsidRPr="004E6649" w:rsidRDefault="001B6918" w:rsidP="00730ECF">
            <w:pPr>
              <w:rPr>
                <w:rFonts w:eastAsia="Times New Roman" w:cstheme="minorHAnsi"/>
                <w:b/>
                <w:bCs/>
                <w:color w:val="0D0D0D"/>
                <w:sz w:val="18"/>
                <w:szCs w:val="20"/>
              </w:rPr>
            </w:pPr>
            <w:r w:rsidRPr="00150AA1">
              <w:rPr>
                <w:rFonts w:ascii="Calibri" w:hAnsi="Calibri" w:cs="Calibri"/>
                <w:sz w:val="20"/>
                <w:szCs w:val="20"/>
              </w:rPr>
              <w:t> </w:t>
            </w:r>
          </w:p>
        </w:tc>
        <w:tc>
          <w:tcPr>
            <w:tcW w:w="1780" w:type="dxa"/>
            <w:tcBorders>
              <w:top w:val="nil"/>
              <w:left w:val="nil"/>
              <w:bottom w:val="nil"/>
              <w:right w:val="nil"/>
            </w:tcBorders>
            <w:shd w:val="clear" w:color="000000" w:fill="FFFFFF"/>
            <w:noWrap/>
            <w:vAlign w:val="bottom"/>
            <w:hideMark/>
          </w:tcPr>
          <w:p w14:paraId="09D497E6" w14:textId="77777777" w:rsidR="001B6918" w:rsidRPr="004E6649" w:rsidRDefault="001B6918" w:rsidP="00730ECF">
            <w:pPr>
              <w:rPr>
                <w:rFonts w:eastAsia="Times New Roman" w:cstheme="minorHAnsi"/>
                <w:b/>
                <w:bCs/>
                <w:color w:val="0D0D0D"/>
                <w:sz w:val="18"/>
                <w:szCs w:val="20"/>
              </w:rPr>
            </w:pPr>
            <w:r w:rsidRPr="00150AA1">
              <w:rPr>
                <w:rFonts w:ascii="Calibri" w:hAnsi="Calibri" w:cs="Calibri"/>
                <w:sz w:val="20"/>
                <w:szCs w:val="20"/>
              </w:rPr>
              <w:t> </w:t>
            </w:r>
          </w:p>
        </w:tc>
      </w:tr>
      <w:tr w:rsidR="001B6918" w:rsidRPr="004E6649" w14:paraId="43B4D032" w14:textId="77777777" w:rsidTr="00730ECF">
        <w:trPr>
          <w:trHeight w:val="80"/>
        </w:trPr>
        <w:tc>
          <w:tcPr>
            <w:tcW w:w="5220" w:type="dxa"/>
            <w:tcBorders>
              <w:top w:val="nil"/>
              <w:left w:val="nil"/>
              <w:bottom w:val="nil"/>
              <w:right w:val="nil"/>
            </w:tcBorders>
            <w:shd w:val="clear" w:color="000000" w:fill="FFFFFF"/>
            <w:noWrap/>
            <w:vAlign w:val="bottom"/>
            <w:hideMark/>
          </w:tcPr>
          <w:p w14:paraId="501D90E5" w14:textId="77777777" w:rsidR="001B6918" w:rsidRPr="004E6649" w:rsidRDefault="001B6918" w:rsidP="00730ECF">
            <w:pPr>
              <w:rPr>
                <w:rFonts w:eastAsia="Times New Roman" w:cstheme="minorHAnsi"/>
                <w:color w:val="0D0D0D"/>
                <w:sz w:val="18"/>
                <w:szCs w:val="20"/>
              </w:rPr>
            </w:pPr>
            <w:r>
              <w:rPr>
                <w:rFonts w:ascii="Calibri" w:hAnsi="Calibri" w:cs="Calibri"/>
                <w:color w:val="0D0D0D"/>
                <w:sz w:val="20"/>
                <w:szCs w:val="20"/>
              </w:rPr>
              <w:t>Fiduciary funds held in the Endowment Pool for others</w:t>
            </w:r>
          </w:p>
        </w:tc>
        <w:tc>
          <w:tcPr>
            <w:tcW w:w="1040" w:type="dxa"/>
            <w:tcBorders>
              <w:top w:val="nil"/>
              <w:left w:val="nil"/>
              <w:bottom w:val="nil"/>
              <w:right w:val="nil"/>
            </w:tcBorders>
            <w:shd w:val="clear" w:color="000000" w:fill="FFFFFF"/>
            <w:noWrap/>
            <w:hideMark/>
          </w:tcPr>
          <w:p w14:paraId="194C91BD" w14:textId="77777777" w:rsidR="001B6918" w:rsidRPr="004E6649" w:rsidRDefault="001B6918" w:rsidP="00730ECF">
            <w:pPr>
              <w:jc w:val="right"/>
              <w:rPr>
                <w:rFonts w:eastAsia="Times New Roman" w:cstheme="minorHAnsi"/>
                <w:color w:val="0D0D0D"/>
                <w:sz w:val="18"/>
                <w:szCs w:val="18"/>
              </w:rPr>
            </w:pPr>
            <w:r w:rsidRPr="00150AA1">
              <w:rPr>
                <w:sz w:val="20"/>
                <w:szCs w:val="20"/>
              </w:rPr>
              <w:t xml:space="preserve"> 13,715 </w:t>
            </w:r>
          </w:p>
        </w:tc>
        <w:tc>
          <w:tcPr>
            <w:tcW w:w="1840" w:type="dxa"/>
            <w:tcBorders>
              <w:top w:val="nil"/>
              <w:left w:val="nil"/>
              <w:bottom w:val="nil"/>
              <w:right w:val="nil"/>
            </w:tcBorders>
            <w:shd w:val="clear" w:color="000000" w:fill="FFFFFF"/>
            <w:noWrap/>
            <w:vAlign w:val="bottom"/>
            <w:hideMark/>
          </w:tcPr>
          <w:p w14:paraId="297FAC65" w14:textId="77777777" w:rsidR="001B6918" w:rsidRPr="004E6649" w:rsidRDefault="001B6918" w:rsidP="00730ECF">
            <w:pPr>
              <w:rPr>
                <w:rFonts w:eastAsia="Times New Roman" w:cstheme="minorHAnsi"/>
                <w:b/>
                <w:bCs/>
                <w:color w:val="0D0D0D"/>
                <w:sz w:val="18"/>
                <w:szCs w:val="20"/>
              </w:rPr>
            </w:pPr>
            <w:r w:rsidRPr="00150AA1">
              <w:rPr>
                <w:rFonts w:ascii="Calibri" w:hAnsi="Calibri" w:cs="Calibri"/>
                <w:sz w:val="20"/>
                <w:szCs w:val="20"/>
              </w:rPr>
              <w:t> </w:t>
            </w:r>
          </w:p>
        </w:tc>
        <w:tc>
          <w:tcPr>
            <w:tcW w:w="1780" w:type="dxa"/>
            <w:tcBorders>
              <w:top w:val="nil"/>
              <w:left w:val="nil"/>
              <w:bottom w:val="nil"/>
              <w:right w:val="nil"/>
            </w:tcBorders>
            <w:shd w:val="clear" w:color="000000" w:fill="FFFFFF"/>
            <w:noWrap/>
            <w:vAlign w:val="bottom"/>
            <w:hideMark/>
          </w:tcPr>
          <w:p w14:paraId="22056307" w14:textId="77777777" w:rsidR="001B6918" w:rsidRPr="004E6649" w:rsidRDefault="001B6918" w:rsidP="00730ECF">
            <w:pPr>
              <w:rPr>
                <w:rFonts w:eastAsia="Times New Roman" w:cstheme="minorHAnsi"/>
                <w:b/>
                <w:bCs/>
                <w:color w:val="0D0D0D"/>
                <w:sz w:val="18"/>
                <w:szCs w:val="20"/>
              </w:rPr>
            </w:pPr>
            <w:r w:rsidRPr="00150AA1">
              <w:rPr>
                <w:rFonts w:ascii="Calibri" w:hAnsi="Calibri" w:cs="Calibri"/>
                <w:sz w:val="20"/>
                <w:szCs w:val="20"/>
              </w:rPr>
              <w:t> </w:t>
            </w:r>
          </w:p>
        </w:tc>
      </w:tr>
      <w:tr w:rsidR="001B6918" w:rsidRPr="004E6649" w14:paraId="72AEE132" w14:textId="77777777" w:rsidTr="00730ECF">
        <w:trPr>
          <w:trHeight w:val="80"/>
        </w:trPr>
        <w:tc>
          <w:tcPr>
            <w:tcW w:w="5220" w:type="dxa"/>
            <w:tcBorders>
              <w:top w:val="nil"/>
              <w:left w:val="nil"/>
              <w:bottom w:val="single" w:sz="4" w:space="0" w:color="000000"/>
              <w:right w:val="nil"/>
            </w:tcBorders>
            <w:shd w:val="clear" w:color="000000" w:fill="FFFFFF"/>
            <w:noWrap/>
            <w:vAlign w:val="bottom"/>
            <w:hideMark/>
          </w:tcPr>
          <w:p w14:paraId="0AA3E10A" w14:textId="77777777" w:rsidR="001B6918" w:rsidRPr="004E6649" w:rsidRDefault="001B6918" w:rsidP="00730ECF">
            <w:pPr>
              <w:rPr>
                <w:rFonts w:eastAsia="Times New Roman" w:cstheme="minorHAnsi"/>
                <w:color w:val="0D0D0D"/>
                <w:sz w:val="18"/>
                <w:szCs w:val="20"/>
              </w:rPr>
            </w:pPr>
            <w:r>
              <w:rPr>
                <w:rFonts w:ascii="Calibri" w:hAnsi="Calibri" w:cs="Calibri"/>
                <w:color w:val="0D0D0D"/>
                <w:sz w:val="20"/>
                <w:szCs w:val="20"/>
              </w:rPr>
              <w:t>Endowment pool investments included in the MIP at NAV</w:t>
            </w:r>
          </w:p>
        </w:tc>
        <w:tc>
          <w:tcPr>
            <w:tcW w:w="1040" w:type="dxa"/>
            <w:tcBorders>
              <w:top w:val="nil"/>
              <w:left w:val="nil"/>
              <w:bottom w:val="single" w:sz="4" w:space="0" w:color="000000"/>
              <w:right w:val="nil"/>
            </w:tcBorders>
            <w:noWrap/>
            <w:hideMark/>
          </w:tcPr>
          <w:p w14:paraId="4BFCEC10" w14:textId="77777777" w:rsidR="001B6918" w:rsidRPr="004E6649" w:rsidRDefault="001B6918" w:rsidP="00730ECF">
            <w:pPr>
              <w:jc w:val="right"/>
              <w:rPr>
                <w:rFonts w:eastAsia="Times New Roman" w:cstheme="minorHAnsi"/>
                <w:color w:val="0D0D0D"/>
                <w:sz w:val="18"/>
                <w:szCs w:val="18"/>
              </w:rPr>
            </w:pPr>
            <w:r w:rsidRPr="00150AA1">
              <w:rPr>
                <w:sz w:val="20"/>
                <w:szCs w:val="20"/>
              </w:rPr>
              <w:t xml:space="preserve"> 57,206 </w:t>
            </w:r>
          </w:p>
        </w:tc>
        <w:tc>
          <w:tcPr>
            <w:tcW w:w="1840" w:type="dxa"/>
            <w:tcBorders>
              <w:top w:val="nil"/>
              <w:left w:val="nil"/>
              <w:bottom w:val="nil"/>
              <w:right w:val="nil"/>
            </w:tcBorders>
            <w:shd w:val="clear" w:color="000000" w:fill="FFFFFF"/>
            <w:noWrap/>
            <w:vAlign w:val="bottom"/>
            <w:hideMark/>
          </w:tcPr>
          <w:p w14:paraId="40F8FAD4" w14:textId="77777777" w:rsidR="001B6918" w:rsidRPr="004E6649" w:rsidRDefault="001B6918" w:rsidP="00730ECF">
            <w:pPr>
              <w:rPr>
                <w:rFonts w:eastAsia="Times New Roman" w:cstheme="minorHAnsi"/>
                <w:b/>
                <w:bCs/>
                <w:color w:val="0D0D0D"/>
                <w:sz w:val="18"/>
                <w:szCs w:val="20"/>
              </w:rPr>
            </w:pPr>
            <w:r w:rsidRPr="00150AA1">
              <w:rPr>
                <w:rFonts w:ascii="Calibri" w:hAnsi="Calibri" w:cs="Calibri"/>
                <w:sz w:val="20"/>
                <w:szCs w:val="20"/>
              </w:rPr>
              <w:t> </w:t>
            </w:r>
          </w:p>
        </w:tc>
        <w:tc>
          <w:tcPr>
            <w:tcW w:w="1780" w:type="dxa"/>
            <w:tcBorders>
              <w:top w:val="nil"/>
              <w:left w:val="nil"/>
              <w:bottom w:val="nil"/>
              <w:right w:val="nil"/>
            </w:tcBorders>
            <w:shd w:val="clear" w:color="000000" w:fill="FFFFFF"/>
            <w:noWrap/>
            <w:vAlign w:val="bottom"/>
            <w:hideMark/>
          </w:tcPr>
          <w:p w14:paraId="2ABB68C4" w14:textId="77777777" w:rsidR="001B6918" w:rsidRPr="004E6649" w:rsidRDefault="001B6918" w:rsidP="00730ECF">
            <w:pPr>
              <w:rPr>
                <w:rFonts w:eastAsia="Times New Roman" w:cstheme="minorHAnsi"/>
                <w:b/>
                <w:bCs/>
                <w:color w:val="0D0D0D"/>
                <w:sz w:val="18"/>
                <w:szCs w:val="20"/>
              </w:rPr>
            </w:pPr>
            <w:r w:rsidRPr="00150AA1">
              <w:rPr>
                <w:rFonts w:ascii="Calibri" w:hAnsi="Calibri" w:cs="Calibri"/>
                <w:sz w:val="20"/>
                <w:szCs w:val="20"/>
              </w:rPr>
              <w:t> </w:t>
            </w:r>
          </w:p>
        </w:tc>
      </w:tr>
      <w:tr w:rsidR="001B6918" w:rsidRPr="004E6649" w14:paraId="60254B8A" w14:textId="77777777" w:rsidTr="00730ECF">
        <w:trPr>
          <w:trHeight w:val="70"/>
        </w:trPr>
        <w:tc>
          <w:tcPr>
            <w:tcW w:w="5220" w:type="dxa"/>
            <w:tcBorders>
              <w:top w:val="nil"/>
              <w:left w:val="nil"/>
              <w:bottom w:val="double" w:sz="6" w:space="0" w:color="000000"/>
              <w:right w:val="nil"/>
            </w:tcBorders>
            <w:shd w:val="clear" w:color="000000" w:fill="FFFFFF"/>
            <w:noWrap/>
            <w:vAlign w:val="bottom"/>
            <w:hideMark/>
          </w:tcPr>
          <w:p w14:paraId="3A022BA2" w14:textId="77777777" w:rsidR="001B6918" w:rsidRPr="004E6649" w:rsidRDefault="001B6918" w:rsidP="00730ECF">
            <w:pPr>
              <w:rPr>
                <w:rFonts w:eastAsia="Times New Roman" w:cstheme="minorHAnsi"/>
                <w:b/>
                <w:bCs/>
                <w:color w:val="0D0D0D"/>
                <w:sz w:val="18"/>
                <w:szCs w:val="20"/>
              </w:rPr>
            </w:pPr>
            <w:r>
              <w:rPr>
                <w:rFonts w:ascii="Calibri" w:hAnsi="Calibri" w:cs="Calibri"/>
                <w:b/>
                <w:bCs/>
                <w:color w:val="0D0D0D"/>
                <w:sz w:val="20"/>
                <w:szCs w:val="20"/>
              </w:rPr>
              <w:t>Total investments measured at NAV by portfolio</w:t>
            </w:r>
          </w:p>
        </w:tc>
        <w:tc>
          <w:tcPr>
            <w:tcW w:w="1040" w:type="dxa"/>
            <w:tcBorders>
              <w:top w:val="nil"/>
              <w:left w:val="nil"/>
              <w:bottom w:val="double" w:sz="6" w:space="0" w:color="000000"/>
              <w:right w:val="nil"/>
            </w:tcBorders>
            <w:shd w:val="clear" w:color="000000" w:fill="FFFFFF"/>
            <w:noWrap/>
            <w:hideMark/>
          </w:tcPr>
          <w:p w14:paraId="0050B20F" w14:textId="77777777" w:rsidR="001B6918" w:rsidRPr="004E6649" w:rsidRDefault="001B6918" w:rsidP="00730ECF">
            <w:pPr>
              <w:jc w:val="right"/>
              <w:rPr>
                <w:rFonts w:eastAsia="Times New Roman" w:cstheme="minorHAnsi"/>
                <w:b/>
                <w:bCs/>
                <w:color w:val="0D0D0D"/>
                <w:sz w:val="18"/>
                <w:szCs w:val="18"/>
              </w:rPr>
            </w:pPr>
            <w:r w:rsidRPr="00150AA1">
              <w:rPr>
                <w:sz w:val="20"/>
                <w:szCs w:val="20"/>
              </w:rPr>
              <w:t xml:space="preserve"> $150,952 </w:t>
            </w:r>
          </w:p>
        </w:tc>
        <w:tc>
          <w:tcPr>
            <w:tcW w:w="1840" w:type="dxa"/>
            <w:tcBorders>
              <w:top w:val="nil"/>
              <w:left w:val="nil"/>
              <w:bottom w:val="nil"/>
              <w:right w:val="nil"/>
            </w:tcBorders>
            <w:shd w:val="clear" w:color="000000" w:fill="FFFFFF"/>
            <w:noWrap/>
            <w:vAlign w:val="bottom"/>
            <w:hideMark/>
          </w:tcPr>
          <w:p w14:paraId="32CB9283" w14:textId="77777777" w:rsidR="001B6918" w:rsidRPr="004E6649" w:rsidRDefault="001B6918" w:rsidP="00730ECF">
            <w:pPr>
              <w:rPr>
                <w:rFonts w:eastAsia="Times New Roman" w:cstheme="minorHAnsi"/>
                <w:b/>
                <w:bCs/>
                <w:color w:val="0D0D0D"/>
                <w:sz w:val="18"/>
                <w:szCs w:val="20"/>
              </w:rPr>
            </w:pPr>
            <w:r w:rsidRPr="00150AA1">
              <w:rPr>
                <w:rFonts w:ascii="Calibri" w:hAnsi="Calibri" w:cs="Calibri"/>
                <w:sz w:val="20"/>
                <w:szCs w:val="20"/>
              </w:rPr>
              <w:t> </w:t>
            </w:r>
          </w:p>
        </w:tc>
        <w:tc>
          <w:tcPr>
            <w:tcW w:w="1780" w:type="dxa"/>
            <w:tcBorders>
              <w:top w:val="nil"/>
              <w:left w:val="nil"/>
              <w:bottom w:val="nil"/>
              <w:right w:val="nil"/>
            </w:tcBorders>
            <w:shd w:val="clear" w:color="000000" w:fill="FFFFFF"/>
            <w:noWrap/>
            <w:vAlign w:val="bottom"/>
            <w:hideMark/>
          </w:tcPr>
          <w:p w14:paraId="46C073BF" w14:textId="77777777" w:rsidR="001B6918" w:rsidRPr="004E6649" w:rsidRDefault="001B6918" w:rsidP="00730ECF">
            <w:pPr>
              <w:rPr>
                <w:rFonts w:eastAsia="Times New Roman" w:cstheme="minorHAnsi"/>
                <w:b/>
                <w:bCs/>
                <w:color w:val="0D0D0D"/>
                <w:sz w:val="18"/>
                <w:szCs w:val="20"/>
              </w:rPr>
            </w:pPr>
            <w:r w:rsidRPr="00150AA1">
              <w:rPr>
                <w:rFonts w:ascii="Calibri" w:hAnsi="Calibri" w:cs="Calibri"/>
                <w:sz w:val="20"/>
                <w:szCs w:val="20"/>
              </w:rPr>
              <w:t> </w:t>
            </w:r>
          </w:p>
        </w:tc>
      </w:tr>
    </w:tbl>
    <w:p w14:paraId="11CFCF38" w14:textId="77777777" w:rsidR="001B6918" w:rsidRPr="00F51774" w:rsidRDefault="001B6918" w:rsidP="00F51774">
      <w:pPr>
        <w:tabs>
          <w:tab w:val="left" w:pos="720"/>
          <w:tab w:val="left" w:pos="1080"/>
          <w:tab w:val="decimal" w:pos="6786"/>
          <w:tab w:val="decimal" w:pos="9187"/>
        </w:tabs>
        <w:suppressAutoHyphens/>
        <w:rPr>
          <w:rFonts w:cstheme="minorHAnsi"/>
          <w:sz w:val="16"/>
          <w:szCs w:val="16"/>
        </w:rPr>
      </w:pPr>
    </w:p>
    <w:p w14:paraId="6C4D41E7" w14:textId="77777777" w:rsidR="001B6918" w:rsidRPr="004E6649" w:rsidRDefault="001B6918" w:rsidP="001B6918">
      <w:pPr>
        <w:spacing w:after="160"/>
        <w:rPr>
          <w:rFonts w:cstheme="minorHAnsi"/>
          <w:sz w:val="24"/>
          <w:szCs w:val="24"/>
        </w:rPr>
      </w:pPr>
      <w:r w:rsidRPr="004E6649">
        <w:rPr>
          <w:rFonts w:cstheme="minorHAnsi"/>
          <w:sz w:val="24"/>
          <w:szCs w:val="24"/>
        </w:rPr>
        <w:t>Additional information for investments measured at NAV at June 30, 202</w:t>
      </w:r>
      <w:r>
        <w:rPr>
          <w:rFonts w:cstheme="minorHAnsi"/>
          <w:sz w:val="24"/>
          <w:szCs w:val="24"/>
        </w:rPr>
        <w:t>5</w:t>
      </w:r>
      <w:r w:rsidRPr="004E6649">
        <w:rPr>
          <w:rFonts w:cstheme="minorHAnsi"/>
          <w:sz w:val="24"/>
          <w:szCs w:val="24"/>
        </w:rPr>
        <w:t xml:space="preserve"> and 202</w:t>
      </w:r>
      <w:r>
        <w:rPr>
          <w:rFonts w:cstheme="minorHAnsi"/>
          <w:sz w:val="24"/>
          <w:szCs w:val="24"/>
        </w:rPr>
        <w:t>4</w:t>
      </w:r>
      <w:r w:rsidRPr="004E6649">
        <w:rPr>
          <w:rFonts w:cstheme="minorHAnsi"/>
          <w:sz w:val="24"/>
          <w:szCs w:val="24"/>
        </w:rPr>
        <w:t xml:space="preserve"> is as follows:</w:t>
      </w:r>
    </w:p>
    <w:p w14:paraId="6AE61B59" w14:textId="77777777" w:rsidR="001B6918" w:rsidRPr="004E6649" w:rsidRDefault="001B6918" w:rsidP="001B6918">
      <w:pPr>
        <w:tabs>
          <w:tab w:val="left" w:pos="1170"/>
        </w:tabs>
        <w:ind w:left="461" w:hanging="187"/>
        <w:rPr>
          <w:rFonts w:cstheme="minorHAnsi"/>
        </w:rPr>
      </w:pPr>
      <w:r w:rsidRPr="004E6649">
        <w:rPr>
          <w:rFonts w:cstheme="minorHAnsi"/>
          <w:sz w:val="24"/>
          <w:szCs w:val="24"/>
          <w:vertAlign w:val="superscript"/>
        </w:rPr>
        <w:t>1</w:t>
      </w:r>
      <w:r w:rsidRPr="004E6649">
        <w:rPr>
          <w:rFonts w:cstheme="minorHAnsi"/>
          <w:sz w:val="24"/>
          <w:szCs w:val="24"/>
          <w:vertAlign w:val="subscript"/>
        </w:rPr>
        <w:t xml:space="preserve"> </w:t>
      </w:r>
      <w:r w:rsidRPr="004E6649">
        <w:rPr>
          <w:rFonts w:cstheme="minorHAnsi"/>
        </w:rPr>
        <w:t>Multi-strategy funds: Includes investments in equities and limited partnerships. Limited partnerships may invest in pooled vehicles in global equities, fixed income instruments, currencies, commodities; long and short positions with respect to bonds, leveraged loans, trade claims and other investments; or other hedge funds with objectives to outperform certain benchmarks. Fair values of these investments are completed on a monthly or quarterly basis using other significant direct or indirect observable inputs or recent observable transaction information for similar investments. Includes investments in liquidation status awaiting final distributions.</w:t>
      </w:r>
    </w:p>
    <w:p w14:paraId="18B41CD8" w14:textId="77777777" w:rsidR="001B6918" w:rsidRPr="004E6649" w:rsidRDefault="001B6918" w:rsidP="001B6918">
      <w:pPr>
        <w:tabs>
          <w:tab w:val="left" w:pos="1170"/>
        </w:tabs>
        <w:ind w:left="450" w:hanging="180"/>
        <w:rPr>
          <w:rFonts w:cstheme="minorHAnsi"/>
          <w:b/>
          <w:i/>
          <w:noProof/>
          <w:sz w:val="26"/>
          <w:szCs w:val="26"/>
        </w:rPr>
      </w:pPr>
      <w:r w:rsidRPr="004E6649">
        <w:rPr>
          <w:rFonts w:cstheme="minorHAnsi"/>
          <w:sz w:val="24"/>
          <w:szCs w:val="24"/>
          <w:vertAlign w:val="superscript"/>
        </w:rPr>
        <w:t>2</w:t>
      </w:r>
      <w:r w:rsidRPr="004E6649">
        <w:rPr>
          <w:rFonts w:cstheme="minorHAnsi"/>
          <w:sz w:val="24"/>
          <w:szCs w:val="24"/>
          <w:vertAlign w:val="subscript"/>
        </w:rPr>
        <w:t xml:space="preserve"> </w:t>
      </w:r>
      <w:r w:rsidRPr="004E6649">
        <w:rPr>
          <w:rFonts w:cstheme="minorHAnsi"/>
        </w:rPr>
        <w:t>Bank loans: Investments in these funds include floating rate loans in a diverse set of industries and are traditionally rated below investment grade. Other observable inputs determine fair value of this investment.</w:t>
      </w:r>
    </w:p>
    <w:p w14:paraId="50C35984" w14:textId="77777777" w:rsidR="001B6918" w:rsidRPr="00A02D27" w:rsidRDefault="001B6918" w:rsidP="001B6918">
      <w:pPr>
        <w:pStyle w:val="AFR3"/>
        <w:spacing w:after="0"/>
        <w:rPr>
          <w:rFonts w:cstheme="minorHAnsi"/>
          <w:sz w:val="24"/>
          <w:szCs w:val="20"/>
        </w:rPr>
      </w:pPr>
      <w:r w:rsidRPr="00A02D27">
        <w:rPr>
          <w:rFonts w:cstheme="minorHAnsi"/>
          <w:sz w:val="24"/>
          <w:szCs w:val="20"/>
        </w:rPr>
        <w:t>b. Interest Rate Risk</w:t>
      </w:r>
    </w:p>
    <w:p w14:paraId="714E0EFE" w14:textId="77777777" w:rsidR="001B6918" w:rsidRPr="004E6649" w:rsidRDefault="001B6918" w:rsidP="001B6918">
      <w:pPr>
        <w:rPr>
          <w:rFonts w:cstheme="minorHAnsi"/>
          <w:sz w:val="24"/>
        </w:rPr>
      </w:pPr>
      <w:r w:rsidRPr="004E6649">
        <w:rPr>
          <w:rFonts w:cstheme="minorHAnsi"/>
          <w:sz w:val="24"/>
        </w:rPr>
        <w:t>Interest rate risk is the risk that changes in interest rates will adversely affect the fair value of an investment. The System’s policy for managing interest rate risk is as follows:</w:t>
      </w:r>
    </w:p>
    <w:p w14:paraId="5AA211A5" w14:textId="77777777" w:rsidR="001B6918" w:rsidRPr="004E6649" w:rsidRDefault="001B6918" w:rsidP="001B6918">
      <w:pPr>
        <w:spacing w:before="120"/>
        <w:rPr>
          <w:rFonts w:cstheme="minorHAnsi"/>
          <w:sz w:val="24"/>
        </w:rPr>
      </w:pPr>
      <w:r w:rsidRPr="004E6649">
        <w:rPr>
          <w:rStyle w:val="AFR5Char"/>
          <w:rFonts w:asciiTheme="minorHAnsi" w:hAnsiTheme="minorHAnsi" w:cstheme="minorHAnsi"/>
        </w:rPr>
        <w:t>Operating Investments:</w:t>
      </w:r>
      <w:r w:rsidRPr="004E6649">
        <w:rPr>
          <w:rFonts w:cstheme="minorHAnsi"/>
          <w:sz w:val="24"/>
        </w:rPr>
        <w:t xml:space="preserve"> To limit interest rate exposure, the System diversifies its investments as specified in Note 1.f.</w:t>
      </w:r>
    </w:p>
    <w:p w14:paraId="168BCC06" w14:textId="77777777" w:rsidR="001B6918" w:rsidRPr="004E6649" w:rsidRDefault="001B6918" w:rsidP="001B6918">
      <w:pPr>
        <w:spacing w:before="120"/>
        <w:rPr>
          <w:rFonts w:cstheme="minorHAnsi"/>
          <w:spacing w:val="-3"/>
          <w:sz w:val="24"/>
          <w:szCs w:val="20"/>
        </w:rPr>
      </w:pPr>
      <w:r w:rsidRPr="004E6649">
        <w:rPr>
          <w:rStyle w:val="AFR5Char"/>
          <w:rFonts w:asciiTheme="minorHAnsi" w:hAnsiTheme="minorHAnsi" w:cstheme="minorHAnsi"/>
        </w:rPr>
        <w:t>Endowment Investments:</w:t>
      </w:r>
      <w:r w:rsidRPr="004E6649">
        <w:rPr>
          <w:rFonts w:cstheme="minorHAnsi"/>
          <w:sz w:val="24"/>
        </w:rPr>
        <w:t xml:space="preserve"> To limit interest rate exposure, the endowment investment policy restricts t</w:t>
      </w:r>
      <w:r w:rsidRPr="004E6649">
        <w:rPr>
          <w:rFonts w:cstheme="minorHAnsi"/>
          <w:spacing w:val="-3"/>
          <w:sz w:val="24"/>
          <w:szCs w:val="20"/>
        </w:rPr>
        <w:t xml:space="preserve">he average effective duration of the fixed income portfolio to no more than 1 year from the duration of the applicable benchmark (e.g., the Barclays Capital Aggregate Bond Index was </w:t>
      </w:r>
      <w:r w:rsidRPr="00741E61">
        <w:rPr>
          <w:rFonts w:cstheme="minorHAnsi"/>
          <w:spacing w:val="-3"/>
          <w:sz w:val="24"/>
          <w:szCs w:val="20"/>
        </w:rPr>
        <w:t xml:space="preserve">6.04 </w:t>
      </w:r>
      <w:r w:rsidRPr="004E6649">
        <w:rPr>
          <w:rFonts w:cstheme="minorHAnsi"/>
          <w:spacing w:val="-3"/>
          <w:sz w:val="24"/>
          <w:szCs w:val="20"/>
        </w:rPr>
        <w:t xml:space="preserve">years and </w:t>
      </w:r>
      <w:r w:rsidRPr="00846FB4">
        <w:rPr>
          <w:rFonts w:cstheme="minorHAnsi"/>
          <w:spacing w:val="-3"/>
          <w:sz w:val="24"/>
          <w:szCs w:val="20"/>
        </w:rPr>
        <w:t xml:space="preserve">6.16 </w:t>
      </w:r>
      <w:r w:rsidRPr="004E6649">
        <w:rPr>
          <w:rFonts w:cstheme="minorHAnsi"/>
          <w:spacing w:val="-3"/>
          <w:sz w:val="24"/>
          <w:szCs w:val="20"/>
        </w:rPr>
        <w:t>years at June 30, 202</w:t>
      </w:r>
      <w:r>
        <w:rPr>
          <w:rFonts w:cstheme="minorHAnsi"/>
          <w:spacing w:val="-3"/>
          <w:sz w:val="24"/>
          <w:szCs w:val="20"/>
        </w:rPr>
        <w:t>5</w:t>
      </w:r>
      <w:r w:rsidRPr="004E6649">
        <w:rPr>
          <w:rFonts w:cstheme="minorHAnsi"/>
          <w:spacing w:val="-3"/>
          <w:sz w:val="24"/>
          <w:szCs w:val="20"/>
        </w:rPr>
        <w:t xml:space="preserve"> and 202</w:t>
      </w:r>
      <w:r>
        <w:rPr>
          <w:rFonts w:cstheme="minorHAnsi"/>
          <w:spacing w:val="-3"/>
          <w:sz w:val="24"/>
          <w:szCs w:val="20"/>
        </w:rPr>
        <w:t>4</w:t>
      </w:r>
      <w:r w:rsidRPr="004E6649">
        <w:rPr>
          <w:rFonts w:cstheme="minorHAnsi"/>
          <w:spacing w:val="-3"/>
          <w:sz w:val="24"/>
          <w:szCs w:val="20"/>
        </w:rPr>
        <w:t>, respectively).</w:t>
      </w:r>
    </w:p>
    <w:p w14:paraId="0C1EB6EF" w14:textId="77777777" w:rsidR="001B6918" w:rsidRPr="00A02D27" w:rsidRDefault="001B6918" w:rsidP="001B6918">
      <w:pPr>
        <w:spacing w:after="160"/>
        <w:rPr>
          <w:rFonts w:eastAsiaTheme="majorEastAsia" w:cstheme="minorHAnsi"/>
          <w:b/>
          <w:i/>
          <w:iCs/>
          <w:smallCaps/>
          <w:noProof/>
          <w:color w:val="000000" w:themeColor="text1"/>
          <w:sz w:val="24"/>
          <w:szCs w:val="24"/>
          <w:u w:color="5B9BD5"/>
        </w:rPr>
      </w:pPr>
      <w:r w:rsidRPr="00A02D27">
        <w:rPr>
          <w:rFonts w:eastAsiaTheme="majorEastAsia" w:cstheme="minorHAnsi"/>
          <w:b/>
          <w:i/>
          <w:iCs/>
          <w:smallCaps/>
          <w:noProof/>
          <w:color w:val="000000" w:themeColor="text1"/>
          <w:sz w:val="24"/>
          <w:szCs w:val="24"/>
          <w:u w:color="5B9BD5"/>
        </w:rPr>
        <w:lastRenderedPageBreak/>
        <w:t>3. INVESTMENTS - CONTINUED</w:t>
      </w:r>
      <w:r w:rsidRPr="00A02D27" w:rsidDel="00453556">
        <w:rPr>
          <w:rFonts w:eastAsiaTheme="majorEastAsia" w:cstheme="minorHAnsi"/>
          <w:b/>
          <w:i/>
          <w:iCs/>
          <w:smallCaps/>
          <w:noProof/>
          <w:color w:val="000000" w:themeColor="text1"/>
          <w:sz w:val="24"/>
          <w:szCs w:val="24"/>
          <w:u w:color="5B9BD5"/>
        </w:rPr>
        <w:t xml:space="preserve"> </w:t>
      </w:r>
    </w:p>
    <w:p w14:paraId="115C9D82" w14:textId="77777777" w:rsidR="001B6918" w:rsidRPr="004E6649" w:rsidRDefault="001B6918" w:rsidP="001B6918">
      <w:pPr>
        <w:spacing w:before="120"/>
        <w:rPr>
          <w:rFonts w:cstheme="minorHAnsi"/>
          <w:spacing w:val="-3"/>
          <w:sz w:val="24"/>
          <w:szCs w:val="20"/>
        </w:rPr>
      </w:pPr>
      <w:r w:rsidRPr="004E6649">
        <w:rPr>
          <w:rFonts w:cstheme="minorHAnsi"/>
          <w:b/>
          <w:i/>
          <w:spacing w:val="-3"/>
          <w:sz w:val="24"/>
          <w:szCs w:val="24"/>
        </w:rPr>
        <w:t xml:space="preserve">Investments for the Defined Benefit Plan – Classified Employees: </w:t>
      </w:r>
      <w:r w:rsidRPr="004E6649">
        <w:rPr>
          <w:rFonts w:cstheme="minorHAnsi"/>
          <w:sz w:val="24"/>
        </w:rPr>
        <w:t>To limit interest rate exposure, the defined benefit plan investment policy restricts t</w:t>
      </w:r>
      <w:r w:rsidRPr="004E6649">
        <w:rPr>
          <w:rFonts w:cstheme="minorHAnsi"/>
          <w:spacing w:val="-3"/>
          <w:sz w:val="24"/>
          <w:szCs w:val="20"/>
        </w:rPr>
        <w:t xml:space="preserve">he average effective duration of the fixed income portfolio to no more than 1 year from the duration of the applicable benchmark (e.g., the Barclays Capital Aggregate Bond Index </w:t>
      </w:r>
      <w:r w:rsidRPr="00741E61">
        <w:rPr>
          <w:rFonts w:cstheme="minorHAnsi"/>
          <w:spacing w:val="-3"/>
          <w:sz w:val="24"/>
          <w:szCs w:val="20"/>
        </w:rPr>
        <w:t xml:space="preserve">was 6.04 </w:t>
      </w:r>
      <w:r w:rsidRPr="004E6649">
        <w:rPr>
          <w:rFonts w:cstheme="minorHAnsi"/>
          <w:spacing w:val="-3"/>
          <w:sz w:val="24"/>
          <w:szCs w:val="20"/>
        </w:rPr>
        <w:t xml:space="preserve">years and </w:t>
      </w:r>
      <w:r w:rsidRPr="002E02C1">
        <w:rPr>
          <w:rFonts w:cstheme="minorHAnsi"/>
          <w:spacing w:val="-3"/>
          <w:sz w:val="24"/>
          <w:szCs w:val="20"/>
        </w:rPr>
        <w:t xml:space="preserve">6.16 </w:t>
      </w:r>
      <w:r w:rsidRPr="004E6649">
        <w:rPr>
          <w:rFonts w:cstheme="minorHAnsi"/>
          <w:spacing w:val="-3"/>
          <w:sz w:val="24"/>
          <w:szCs w:val="20"/>
        </w:rPr>
        <w:t>years at June 30, 202</w:t>
      </w:r>
      <w:r>
        <w:rPr>
          <w:rFonts w:cstheme="minorHAnsi"/>
          <w:spacing w:val="-3"/>
          <w:sz w:val="24"/>
          <w:szCs w:val="20"/>
        </w:rPr>
        <w:t>5</w:t>
      </w:r>
      <w:r w:rsidRPr="004E6649">
        <w:rPr>
          <w:rFonts w:cstheme="minorHAnsi"/>
          <w:spacing w:val="-3"/>
          <w:sz w:val="24"/>
          <w:szCs w:val="20"/>
        </w:rPr>
        <w:t xml:space="preserve"> and 202</w:t>
      </w:r>
      <w:r>
        <w:rPr>
          <w:rFonts w:cstheme="minorHAnsi"/>
          <w:spacing w:val="-3"/>
          <w:sz w:val="24"/>
          <w:szCs w:val="20"/>
        </w:rPr>
        <w:t>4</w:t>
      </w:r>
      <w:r w:rsidRPr="004E6649">
        <w:rPr>
          <w:rFonts w:cstheme="minorHAnsi"/>
          <w:spacing w:val="-3"/>
          <w:sz w:val="24"/>
          <w:szCs w:val="20"/>
        </w:rPr>
        <w:t>, respectively).</w:t>
      </w:r>
    </w:p>
    <w:p w14:paraId="29133DEC" w14:textId="77777777" w:rsidR="001B6918" w:rsidRPr="00A02D27" w:rsidRDefault="001B6918" w:rsidP="001B6918">
      <w:pPr>
        <w:pStyle w:val="AFR3"/>
        <w:spacing w:after="0"/>
        <w:rPr>
          <w:rFonts w:cstheme="minorHAnsi"/>
          <w:sz w:val="24"/>
          <w:szCs w:val="20"/>
        </w:rPr>
      </w:pPr>
      <w:r w:rsidRPr="00A02D27">
        <w:rPr>
          <w:rFonts w:cstheme="minorHAnsi"/>
          <w:sz w:val="24"/>
          <w:szCs w:val="20"/>
        </w:rPr>
        <w:t>c. Foreign Currency Risk</w:t>
      </w:r>
    </w:p>
    <w:p w14:paraId="623B5B54" w14:textId="77777777" w:rsidR="001B6918" w:rsidRPr="004E6649" w:rsidRDefault="001B6918" w:rsidP="001B6918">
      <w:pPr>
        <w:tabs>
          <w:tab w:val="left" w:pos="0"/>
          <w:tab w:val="left" w:pos="1080"/>
          <w:tab w:val="decimal" w:pos="6786"/>
          <w:tab w:val="decimal" w:pos="9187"/>
        </w:tabs>
        <w:suppressAutoHyphens/>
        <w:spacing w:before="120"/>
        <w:rPr>
          <w:rFonts w:eastAsia="Times New Roman" w:cstheme="minorHAnsi"/>
          <w:spacing w:val="-3"/>
          <w:sz w:val="24"/>
          <w:szCs w:val="20"/>
        </w:rPr>
      </w:pPr>
      <w:r w:rsidRPr="004E6649">
        <w:rPr>
          <w:rFonts w:eastAsia="Times New Roman" w:cstheme="minorHAnsi"/>
          <w:b/>
          <w:i/>
          <w:color w:val="000000"/>
          <w:spacing w:val="-3"/>
          <w:sz w:val="24"/>
        </w:rPr>
        <w:t xml:space="preserve">Operating </w:t>
      </w:r>
      <w:r w:rsidRPr="004E6649">
        <w:rPr>
          <w:rFonts w:eastAsia="Times New Roman" w:cstheme="minorHAnsi"/>
          <w:b/>
          <w:i/>
          <w:spacing w:val="-3"/>
          <w:sz w:val="24"/>
        </w:rPr>
        <w:t>Investments:</w:t>
      </w:r>
      <w:r w:rsidRPr="004E6649">
        <w:rPr>
          <w:rFonts w:eastAsia="Times New Roman" w:cstheme="minorHAnsi"/>
          <w:bCs/>
          <w:iCs/>
          <w:spacing w:val="-3"/>
          <w:sz w:val="24"/>
        </w:rPr>
        <w:t xml:space="preserve"> </w:t>
      </w:r>
      <w:r w:rsidRPr="004E6649">
        <w:rPr>
          <w:rFonts w:eastAsia="Times New Roman" w:cstheme="minorHAnsi"/>
          <w:spacing w:val="-3"/>
          <w:sz w:val="24"/>
          <w:szCs w:val="20"/>
        </w:rPr>
        <w:t>The System’s operating investments include various fixed income, equity, and hedge fund holdings that have foreign currency exposure, with some funds hedging against foreign currency risk. Portfolio foreign currency exposure was $</w:t>
      </w:r>
      <w:r w:rsidRPr="008E1ADE">
        <w:rPr>
          <w:rFonts w:eastAsia="Times New Roman" w:cstheme="minorHAnsi"/>
          <w:spacing w:val="-3"/>
          <w:sz w:val="24"/>
          <w:szCs w:val="20"/>
        </w:rPr>
        <w:t xml:space="preserve">18,406 </w:t>
      </w:r>
      <w:r w:rsidRPr="004E6649">
        <w:rPr>
          <w:rFonts w:eastAsia="Times New Roman" w:cstheme="minorHAnsi"/>
          <w:spacing w:val="-3"/>
          <w:sz w:val="24"/>
          <w:szCs w:val="20"/>
        </w:rPr>
        <w:t>and $</w:t>
      </w:r>
      <w:r w:rsidRPr="00A02D27">
        <w:rPr>
          <w:rFonts w:eastAsia="Times New Roman" w:cstheme="minorHAnsi"/>
          <w:spacing w:val="-3"/>
          <w:sz w:val="24"/>
          <w:szCs w:val="20"/>
        </w:rPr>
        <w:t xml:space="preserve">12,405 </w:t>
      </w:r>
      <w:r w:rsidRPr="004E6649">
        <w:rPr>
          <w:rFonts w:eastAsia="Times New Roman" w:cstheme="minorHAnsi"/>
          <w:spacing w:val="-3"/>
          <w:sz w:val="24"/>
          <w:szCs w:val="20"/>
        </w:rPr>
        <w:t>at June 30, 202</w:t>
      </w:r>
      <w:r>
        <w:rPr>
          <w:rFonts w:eastAsia="Times New Roman" w:cstheme="minorHAnsi"/>
          <w:spacing w:val="-3"/>
          <w:sz w:val="24"/>
          <w:szCs w:val="20"/>
        </w:rPr>
        <w:t>5</w:t>
      </w:r>
      <w:r w:rsidRPr="004E6649">
        <w:rPr>
          <w:rFonts w:eastAsia="Times New Roman" w:cstheme="minorHAnsi"/>
          <w:spacing w:val="-3"/>
          <w:sz w:val="24"/>
          <w:szCs w:val="20"/>
        </w:rPr>
        <w:t xml:space="preserve"> and 202</w:t>
      </w:r>
      <w:r>
        <w:rPr>
          <w:rFonts w:eastAsia="Times New Roman" w:cstheme="minorHAnsi"/>
          <w:spacing w:val="-3"/>
          <w:sz w:val="24"/>
          <w:szCs w:val="20"/>
        </w:rPr>
        <w:t>4</w:t>
      </w:r>
      <w:r w:rsidRPr="004E6649">
        <w:rPr>
          <w:rFonts w:eastAsia="Times New Roman" w:cstheme="minorHAnsi"/>
          <w:spacing w:val="-3"/>
          <w:sz w:val="24"/>
          <w:szCs w:val="20"/>
        </w:rPr>
        <w:t>, respectively.</w:t>
      </w:r>
    </w:p>
    <w:p w14:paraId="1A2B8221" w14:textId="77777777" w:rsidR="001B6918" w:rsidRPr="004E6649" w:rsidRDefault="001B6918" w:rsidP="001B6918">
      <w:pPr>
        <w:tabs>
          <w:tab w:val="left" w:pos="0"/>
          <w:tab w:val="left" w:pos="1080"/>
          <w:tab w:val="decimal" w:pos="6786"/>
          <w:tab w:val="decimal" w:pos="9187"/>
        </w:tabs>
        <w:suppressAutoHyphens/>
        <w:spacing w:before="120"/>
        <w:rPr>
          <w:rFonts w:eastAsia="Times New Roman" w:cstheme="minorHAnsi"/>
          <w:spacing w:val="-3"/>
          <w:sz w:val="24"/>
          <w:szCs w:val="20"/>
        </w:rPr>
      </w:pPr>
      <w:r w:rsidRPr="004E6649">
        <w:rPr>
          <w:rStyle w:val="AFR5Char"/>
          <w:rFonts w:asciiTheme="minorHAnsi" w:hAnsiTheme="minorHAnsi" w:cstheme="minorHAnsi"/>
        </w:rPr>
        <w:t>Endowment Investments:</w:t>
      </w:r>
      <w:r w:rsidRPr="004E6649">
        <w:rPr>
          <w:rFonts w:eastAsia="Times New Roman" w:cstheme="minorHAnsi"/>
          <w:bCs/>
          <w:iCs/>
          <w:spacing w:val="-3"/>
          <w:sz w:val="24"/>
        </w:rPr>
        <w:t xml:space="preserve"> </w:t>
      </w:r>
      <w:r w:rsidRPr="004E6649">
        <w:rPr>
          <w:rFonts w:eastAsia="Times New Roman" w:cstheme="minorHAnsi"/>
          <w:spacing w:val="-3"/>
          <w:sz w:val="24"/>
          <w:szCs w:val="20"/>
        </w:rPr>
        <w:t>The System’s endowments are invested in the System MIP. The MIP invests in various fixed income, equity, and hedge funds which have foreign currency exposure, with some funds hedging against foreign currency risk. The endowment investments</w:t>
      </w:r>
      <w:r>
        <w:rPr>
          <w:rFonts w:eastAsia="Times New Roman" w:cstheme="minorHAnsi"/>
          <w:spacing w:val="-3"/>
          <w:sz w:val="24"/>
          <w:szCs w:val="20"/>
        </w:rPr>
        <w:t>’</w:t>
      </w:r>
      <w:r w:rsidRPr="004E6649">
        <w:rPr>
          <w:rFonts w:eastAsia="Times New Roman" w:cstheme="minorHAnsi"/>
          <w:spacing w:val="-3"/>
          <w:sz w:val="24"/>
          <w:szCs w:val="20"/>
        </w:rPr>
        <w:t xml:space="preserve"> share of the foreign currency exposure in the MIP was $</w:t>
      </w:r>
      <w:r w:rsidRPr="008E1ADE">
        <w:rPr>
          <w:rFonts w:eastAsia="Times New Roman" w:cstheme="minorHAnsi"/>
          <w:spacing w:val="-3"/>
          <w:sz w:val="24"/>
          <w:szCs w:val="20"/>
        </w:rPr>
        <w:t xml:space="preserve">41,367 </w:t>
      </w:r>
      <w:r w:rsidRPr="004E6649">
        <w:rPr>
          <w:rFonts w:eastAsia="Times New Roman" w:cstheme="minorHAnsi"/>
          <w:color w:val="000000" w:themeColor="text1"/>
          <w:spacing w:val="-3"/>
          <w:sz w:val="24"/>
          <w:szCs w:val="20"/>
        </w:rPr>
        <w:t>and $</w:t>
      </w:r>
      <w:r>
        <w:rPr>
          <w:rFonts w:eastAsia="Times New Roman" w:cstheme="minorHAnsi"/>
          <w:spacing w:val="-3"/>
          <w:sz w:val="24"/>
          <w:szCs w:val="20"/>
        </w:rPr>
        <w:t>33</w:t>
      </w:r>
      <w:r w:rsidRPr="00A02D27">
        <w:rPr>
          <w:rFonts w:eastAsia="Times New Roman" w:cstheme="minorHAnsi"/>
          <w:spacing w:val="-3"/>
          <w:sz w:val="24"/>
          <w:szCs w:val="20"/>
        </w:rPr>
        <w:t>,</w:t>
      </w:r>
      <w:r>
        <w:rPr>
          <w:rFonts w:eastAsia="Times New Roman" w:cstheme="minorHAnsi"/>
          <w:spacing w:val="-3"/>
          <w:sz w:val="24"/>
          <w:szCs w:val="20"/>
        </w:rPr>
        <w:t>545</w:t>
      </w:r>
      <w:r w:rsidRPr="00A02D27">
        <w:rPr>
          <w:rFonts w:eastAsia="Times New Roman" w:cstheme="minorHAnsi"/>
          <w:spacing w:val="-3"/>
          <w:sz w:val="24"/>
          <w:szCs w:val="20"/>
        </w:rPr>
        <w:t xml:space="preserve"> </w:t>
      </w:r>
      <w:r w:rsidRPr="004E6649">
        <w:rPr>
          <w:rFonts w:eastAsia="Times New Roman" w:cstheme="minorHAnsi"/>
          <w:color w:val="000000" w:themeColor="text1"/>
          <w:spacing w:val="-3"/>
          <w:sz w:val="24"/>
          <w:szCs w:val="20"/>
        </w:rPr>
        <w:t>at June 30, 202</w:t>
      </w:r>
      <w:r>
        <w:rPr>
          <w:rFonts w:eastAsia="Times New Roman" w:cstheme="minorHAnsi"/>
          <w:color w:val="000000" w:themeColor="text1"/>
          <w:spacing w:val="-3"/>
          <w:sz w:val="24"/>
          <w:szCs w:val="20"/>
        </w:rPr>
        <w:t>5</w:t>
      </w:r>
      <w:r w:rsidRPr="004E6649">
        <w:rPr>
          <w:rFonts w:eastAsia="Times New Roman" w:cstheme="minorHAnsi"/>
          <w:color w:val="000000" w:themeColor="text1"/>
          <w:spacing w:val="-3"/>
          <w:sz w:val="24"/>
          <w:szCs w:val="20"/>
        </w:rPr>
        <w:t xml:space="preserve"> and 202</w:t>
      </w:r>
      <w:r>
        <w:rPr>
          <w:rFonts w:eastAsia="Times New Roman" w:cstheme="minorHAnsi"/>
          <w:color w:val="000000" w:themeColor="text1"/>
          <w:spacing w:val="-3"/>
          <w:sz w:val="24"/>
          <w:szCs w:val="20"/>
        </w:rPr>
        <w:t>4</w:t>
      </w:r>
      <w:r w:rsidRPr="004E6649">
        <w:rPr>
          <w:rFonts w:eastAsia="Times New Roman" w:cstheme="minorHAnsi"/>
          <w:color w:val="000000" w:themeColor="text1"/>
          <w:spacing w:val="-3"/>
          <w:sz w:val="24"/>
          <w:szCs w:val="20"/>
        </w:rPr>
        <w:t>, respectively. This includes $</w:t>
      </w:r>
      <w:r w:rsidRPr="008E1ADE">
        <w:rPr>
          <w:rFonts w:eastAsia="Times New Roman" w:cstheme="minorHAnsi"/>
          <w:spacing w:val="-3"/>
          <w:sz w:val="24"/>
          <w:szCs w:val="20"/>
        </w:rPr>
        <w:t xml:space="preserve">1,052 </w:t>
      </w:r>
      <w:r w:rsidRPr="004E6649">
        <w:rPr>
          <w:rFonts w:eastAsia="Times New Roman" w:cstheme="minorHAnsi"/>
          <w:color w:val="000000" w:themeColor="text1"/>
          <w:spacing w:val="-3"/>
          <w:sz w:val="24"/>
          <w:szCs w:val="20"/>
        </w:rPr>
        <w:t>and $</w:t>
      </w:r>
      <w:r>
        <w:rPr>
          <w:rFonts w:eastAsia="Times New Roman" w:cstheme="minorHAnsi"/>
          <w:spacing w:val="-3"/>
          <w:sz w:val="24"/>
          <w:szCs w:val="20"/>
        </w:rPr>
        <w:t>8,042</w:t>
      </w:r>
      <w:r w:rsidRPr="004E6649">
        <w:rPr>
          <w:rFonts w:eastAsia="Times New Roman" w:cstheme="minorHAnsi"/>
          <w:color w:val="000000" w:themeColor="text1"/>
          <w:spacing w:val="-3"/>
          <w:sz w:val="24"/>
          <w:szCs w:val="20"/>
        </w:rPr>
        <w:t xml:space="preserve"> </w:t>
      </w:r>
      <w:r w:rsidRPr="004E6649">
        <w:rPr>
          <w:rFonts w:eastAsia="Times New Roman" w:cstheme="minorHAnsi"/>
          <w:spacing w:val="-3"/>
          <w:sz w:val="24"/>
          <w:szCs w:val="20"/>
        </w:rPr>
        <w:t>at June 30, 202</w:t>
      </w:r>
      <w:r>
        <w:rPr>
          <w:rFonts w:eastAsia="Times New Roman" w:cstheme="minorHAnsi"/>
          <w:spacing w:val="-3"/>
          <w:sz w:val="24"/>
          <w:szCs w:val="20"/>
        </w:rPr>
        <w:t>5</w:t>
      </w:r>
      <w:r w:rsidRPr="004E6649">
        <w:rPr>
          <w:rFonts w:eastAsia="Times New Roman" w:cstheme="minorHAnsi"/>
          <w:spacing w:val="-3"/>
          <w:sz w:val="24"/>
          <w:szCs w:val="20"/>
        </w:rPr>
        <w:t xml:space="preserve"> and 202</w:t>
      </w:r>
      <w:r>
        <w:rPr>
          <w:rFonts w:eastAsia="Times New Roman" w:cstheme="minorHAnsi"/>
          <w:spacing w:val="-3"/>
          <w:sz w:val="24"/>
          <w:szCs w:val="20"/>
        </w:rPr>
        <w:t>4</w:t>
      </w:r>
      <w:r w:rsidRPr="004E6649">
        <w:rPr>
          <w:rFonts w:eastAsia="Times New Roman" w:cstheme="minorHAnsi"/>
          <w:spacing w:val="-3"/>
          <w:sz w:val="24"/>
          <w:szCs w:val="20"/>
        </w:rPr>
        <w:t xml:space="preserve">, respectively, for investments held for affiliated organizations. </w:t>
      </w:r>
    </w:p>
    <w:p w14:paraId="122BF2F3" w14:textId="77777777" w:rsidR="001B6918" w:rsidRPr="004E6649" w:rsidRDefault="001B6918" w:rsidP="001B6918">
      <w:pPr>
        <w:tabs>
          <w:tab w:val="left" w:pos="0"/>
          <w:tab w:val="left" w:pos="1080"/>
          <w:tab w:val="decimal" w:pos="6786"/>
          <w:tab w:val="decimal" w:pos="9187"/>
        </w:tabs>
        <w:suppressAutoHyphens/>
        <w:spacing w:before="120"/>
        <w:rPr>
          <w:rFonts w:cstheme="minorHAnsi"/>
        </w:rPr>
      </w:pPr>
      <w:r w:rsidRPr="004E6649">
        <w:rPr>
          <w:rStyle w:val="AFR5Char"/>
          <w:rFonts w:asciiTheme="minorHAnsi" w:hAnsiTheme="minorHAnsi" w:cstheme="minorHAnsi"/>
        </w:rPr>
        <w:t>Investments for the Defined Benefit Plan – Classified Employees:</w:t>
      </w:r>
      <w:r w:rsidRPr="004E6649">
        <w:rPr>
          <w:rFonts w:cstheme="minorHAnsi"/>
          <w:sz w:val="20"/>
          <w:szCs w:val="20"/>
        </w:rPr>
        <w:t xml:space="preserve"> </w:t>
      </w:r>
      <w:r w:rsidRPr="004E6649">
        <w:rPr>
          <w:rFonts w:cstheme="minorHAnsi"/>
          <w:sz w:val="24"/>
          <w:szCs w:val="24"/>
        </w:rPr>
        <w:t xml:space="preserve">Pension investments include various fixed income, equity, and hedge fund holdings that have </w:t>
      </w:r>
      <w:r w:rsidRPr="004E6649">
        <w:rPr>
          <w:rFonts w:eastAsia="Times New Roman" w:cstheme="minorHAnsi"/>
          <w:spacing w:val="-3"/>
          <w:sz w:val="24"/>
          <w:szCs w:val="20"/>
        </w:rPr>
        <w:t>foreign currency exposure, with some funds hedging against foreign currency risk. Portfolio foreign currency exposure was $</w:t>
      </w:r>
      <w:r w:rsidRPr="008E1ADE">
        <w:rPr>
          <w:rFonts w:eastAsia="Times New Roman" w:cstheme="minorHAnsi"/>
          <w:spacing w:val="-3"/>
          <w:sz w:val="24"/>
          <w:szCs w:val="20"/>
        </w:rPr>
        <w:t xml:space="preserve">2,460 </w:t>
      </w:r>
      <w:r w:rsidRPr="004E6649">
        <w:rPr>
          <w:rFonts w:eastAsia="Times New Roman" w:cstheme="minorHAnsi"/>
          <w:spacing w:val="-3"/>
          <w:sz w:val="24"/>
          <w:szCs w:val="20"/>
        </w:rPr>
        <w:t>and $</w:t>
      </w:r>
      <w:r w:rsidRPr="00A02D27">
        <w:rPr>
          <w:rFonts w:eastAsia="Times New Roman" w:cstheme="minorHAnsi"/>
          <w:spacing w:val="-3"/>
          <w:sz w:val="24"/>
          <w:szCs w:val="20"/>
        </w:rPr>
        <w:t xml:space="preserve">2,396 </w:t>
      </w:r>
      <w:r w:rsidRPr="004E6649">
        <w:rPr>
          <w:rFonts w:eastAsia="Times New Roman" w:cstheme="minorHAnsi"/>
          <w:spacing w:val="-3"/>
          <w:sz w:val="24"/>
          <w:szCs w:val="20"/>
        </w:rPr>
        <w:t>at June 30, 202</w:t>
      </w:r>
      <w:r>
        <w:rPr>
          <w:rFonts w:eastAsia="Times New Roman" w:cstheme="minorHAnsi"/>
          <w:spacing w:val="-3"/>
          <w:sz w:val="24"/>
          <w:szCs w:val="20"/>
        </w:rPr>
        <w:t>5</w:t>
      </w:r>
      <w:r w:rsidRPr="004E6649">
        <w:rPr>
          <w:rFonts w:eastAsia="Times New Roman" w:cstheme="minorHAnsi"/>
          <w:spacing w:val="-3"/>
          <w:sz w:val="24"/>
          <w:szCs w:val="20"/>
        </w:rPr>
        <w:t xml:space="preserve"> and 202</w:t>
      </w:r>
      <w:r>
        <w:rPr>
          <w:rFonts w:eastAsia="Times New Roman" w:cstheme="minorHAnsi"/>
          <w:spacing w:val="-3"/>
          <w:sz w:val="24"/>
          <w:szCs w:val="20"/>
        </w:rPr>
        <w:t>4</w:t>
      </w:r>
      <w:r w:rsidRPr="004E6649">
        <w:rPr>
          <w:rFonts w:eastAsia="Times New Roman" w:cstheme="minorHAnsi"/>
          <w:spacing w:val="-3"/>
          <w:sz w:val="24"/>
          <w:szCs w:val="20"/>
        </w:rPr>
        <w:t>, respectively.</w:t>
      </w:r>
    </w:p>
    <w:p w14:paraId="3B140847" w14:textId="77777777" w:rsidR="001B6918" w:rsidRPr="00A02D27" w:rsidRDefault="001B6918" w:rsidP="001B6918">
      <w:pPr>
        <w:pStyle w:val="AFR3"/>
        <w:spacing w:after="0"/>
        <w:rPr>
          <w:rFonts w:cstheme="minorHAnsi"/>
          <w:sz w:val="24"/>
          <w:szCs w:val="20"/>
        </w:rPr>
      </w:pPr>
      <w:r w:rsidRPr="00A02D27">
        <w:rPr>
          <w:rFonts w:cstheme="minorHAnsi"/>
          <w:sz w:val="24"/>
          <w:szCs w:val="20"/>
        </w:rPr>
        <w:t>d. Investment Income</w:t>
      </w:r>
    </w:p>
    <w:p w14:paraId="0A8E67E2" w14:textId="77777777" w:rsidR="001B6918" w:rsidRPr="004E6649" w:rsidRDefault="001B6918" w:rsidP="001B6918">
      <w:pPr>
        <w:tabs>
          <w:tab w:val="left" w:pos="720"/>
          <w:tab w:val="decimal" w:pos="6786"/>
          <w:tab w:val="decimal" w:pos="9187"/>
        </w:tabs>
        <w:suppressAutoHyphens/>
        <w:spacing w:after="120"/>
        <w:rPr>
          <w:rFonts w:eastAsia="Times New Roman" w:cstheme="minorHAnsi"/>
          <w:spacing w:val="-3"/>
          <w:sz w:val="24"/>
          <w:szCs w:val="20"/>
        </w:rPr>
      </w:pPr>
      <w:r w:rsidRPr="004E6649">
        <w:rPr>
          <w:rFonts w:eastAsia="Times New Roman" w:cstheme="minorHAnsi"/>
          <w:spacing w:val="-3"/>
          <w:sz w:val="24"/>
          <w:szCs w:val="20"/>
        </w:rPr>
        <w:t xml:space="preserve">Income related to the </w:t>
      </w:r>
      <w:r w:rsidRPr="004E6649">
        <w:rPr>
          <w:rFonts w:eastAsia="Times New Roman" w:cstheme="minorHAnsi"/>
          <w:b/>
          <w:spacing w:val="-3"/>
          <w:sz w:val="24"/>
          <w:szCs w:val="20"/>
        </w:rPr>
        <w:t xml:space="preserve">System’s investments </w:t>
      </w:r>
      <w:r w:rsidRPr="004E6649">
        <w:rPr>
          <w:rFonts w:eastAsia="Times New Roman" w:cstheme="minorHAnsi"/>
          <w:spacing w:val="-3"/>
          <w:sz w:val="24"/>
          <w:szCs w:val="20"/>
        </w:rPr>
        <w:t>and reported in the accompanying Statements of Revenues, Expenses and Changes in Net Position is as follows:</w:t>
      </w:r>
    </w:p>
    <w:tbl>
      <w:tblPr>
        <w:tblW w:w="9936" w:type="dxa"/>
        <w:tblLook w:val="04A0" w:firstRow="1" w:lastRow="0" w:firstColumn="1" w:lastColumn="0" w:noHBand="0" w:noVBand="1"/>
      </w:tblPr>
      <w:tblGrid>
        <w:gridCol w:w="4034"/>
        <w:gridCol w:w="376"/>
        <w:gridCol w:w="1007"/>
        <w:gridCol w:w="1480"/>
        <w:gridCol w:w="1375"/>
        <w:gridCol w:w="1664"/>
      </w:tblGrid>
      <w:tr w:rsidR="001B6918" w:rsidRPr="00BC0847" w14:paraId="2AC95BCA" w14:textId="77777777" w:rsidTr="00730ECF">
        <w:trPr>
          <w:trHeight w:val="198"/>
        </w:trPr>
        <w:tc>
          <w:tcPr>
            <w:tcW w:w="9936" w:type="dxa"/>
            <w:gridSpan w:val="6"/>
            <w:tcBorders>
              <w:top w:val="nil"/>
              <w:left w:val="nil"/>
              <w:bottom w:val="single" w:sz="12" w:space="0" w:color="000000"/>
              <w:right w:val="nil"/>
            </w:tcBorders>
            <w:shd w:val="clear" w:color="000000" w:fill="FFFFFF"/>
            <w:noWrap/>
            <w:vAlign w:val="bottom"/>
            <w:hideMark/>
          </w:tcPr>
          <w:p w14:paraId="143405A6" w14:textId="77777777" w:rsidR="001B6918" w:rsidRPr="00BC0847" w:rsidRDefault="001B6918" w:rsidP="00730ECF">
            <w:pPr>
              <w:jc w:val="center"/>
              <w:rPr>
                <w:rFonts w:ascii="Calibri" w:eastAsia="Times New Roman" w:hAnsi="Calibri" w:cs="Calibri"/>
                <w:b/>
                <w:bCs/>
                <w:color w:val="0D0D0D"/>
              </w:rPr>
            </w:pPr>
            <w:r w:rsidRPr="00BC0847">
              <w:rPr>
                <w:rFonts w:ascii="Calibri" w:eastAsia="Times New Roman" w:hAnsi="Calibri" w:cs="Calibri"/>
                <w:b/>
                <w:bCs/>
                <w:color w:val="0D0D0D"/>
              </w:rPr>
              <w:t>202</w:t>
            </w:r>
            <w:r>
              <w:rPr>
                <w:rFonts w:ascii="Calibri" w:eastAsia="Times New Roman" w:hAnsi="Calibri" w:cs="Calibri"/>
                <w:b/>
                <w:bCs/>
                <w:color w:val="0D0D0D"/>
              </w:rPr>
              <w:t>5</w:t>
            </w:r>
          </w:p>
        </w:tc>
      </w:tr>
      <w:tr w:rsidR="001B6918" w:rsidRPr="00BC0847" w14:paraId="058E4D3F" w14:textId="77777777" w:rsidTr="00730ECF">
        <w:trPr>
          <w:trHeight w:val="393"/>
        </w:trPr>
        <w:tc>
          <w:tcPr>
            <w:tcW w:w="4034" w:type="dxa"/>
            <w:tcBorders>
              <w:top w:val="nil"/>
              <w:left w:val="nil"/>
              <w:bottom w:val="single" w:sz="12" w:space="0" w:color="000000"/>
              <w:right w:val="nil"/>
            </w:tcBorders>
            <w:shd w:val="clear" w:color="000000" w:fill="FFFFFF"/>
            <w:noWrap/>
            <w:vAlign w:val="bottom"/>
            <w:hideMark/>
          </w:tcPr>
          <w:p w14:paraId="09D32DDA" w14:textId="77777777" w:rsidR="001B6918" w:rsidRPr="00BC0847" w:rsidRDefault="001B6918" w:rsidP="00730ECF">
            <w:pPr>
              <w:jc w:val="center"/>
              <w:rPr>
                <w:rFonts w:ascii="Calibri" w:eastAsia="Times New Roman" w:hAnsi="Calibri" w:cs="Calibri"/>
                <w:b/>
                <w:bCs/>
                <w:color w:val="0D0D0D"/>
              </w:rPr>
            </w:pPr>
            <w:r w:rsidRPr="00BC0847">
              <w:rPr>
                <w:rFonts w:ascii="Calibri" w:eastAsia="Times New Roman" w:hAnsi="Calibri" w:cs="Calibri"/>
                <w:b/>
                <w:bCs/>
                <w:color w:val="0D0D0D"/>
              </w:rPr>
              <w:t> </w:t>
            </w:r>
          </w:p>
        </w:tc>
        <w:tc>
          <w:tcPr>
            <w:tcW w:w="1383" w:type="dxa"/>
            <w:gridSpan w:val="2"/>
            <w:tcBorders>
              <w:top w:val="nil"/>
              <w:left w:val="nil"/>
              <w:bottom w:val="single" w:sz="12" w:space="0" w:color="000000"/>
              <w:right w:val="nil"/>
            </w:tcBorders>
            <w:shd w:val="clear" w:color="000000" w:fill="FFFFFF"/>
            <w:vAlign w:val="bottom"/>
            <w:hideMark/>
          </w:tcPr>
          <w:p w14:paraId="0592B308" w14:textId="77777777" w:rsidR="001B6918" w:rsidRPr="00BC0847" w:rsidRDefault="001B6918" w:rsidP="00730ECF">
            <w:pPr>
              <w:jc w:val="center"/>
              <w:rPr>
                <w:rFonts w:ascii="Calibri" w:eastAsia="Times New Roman" w:hAnsi="Calibri" w:cs="Calibri"/>
                <w:b/>
                <w:bCs/>
                <w:color w:val="0D0D0D"/>
              </w:rPr>
            </w:pPr>
            <w:r w:rsidRPr="00BC0847">
              <w:rPr>
                <w:rFonts w:ascii="Calibri" w:eastAsia="Times New Roman" w:hAnsi="Calibri" w:cs="Calibri"/>
                <w:b/>
                <w:bCs/>
                <w:color w:val="0D0D0D"/>
              </w:rPr>
              <w:t>Net</w:t>
            </w:r>
            <w:r>
              <w:rPr>
                <w:rFonts w:ascii="Calibri" w:eastAsia="Times New Roman" w:hAnsi="Calibri" w:cs="Calibri"/>
                <w:b/>
                <w:bCs/>
                <w:color w:val="0D0D0D"/>
              </w:rPr>
              <w:t xml:space="preserve"> </w:t>
            </w:r>
            <w:r w:rsidRPr="00BC0847">
              <w:rPr>
                <w:rFonts w:ascii="Calibri" w:eastAsia="Times New Roman" w:hAnsi="Calibri" w:cs="Calibri"/>
                <w:b/>
                <w:bCs/>
                <w:color w:val="0D0D0D"/>
              </w:rPr>
              <w:t>Gains</w:t>
            </w:r>
          </w:p>
        </w:tc>
        <w:tc>
          <w:tcPr>
            <w:tcW w:w="1480" w:type="dxa"/>
            <w:tcBorders>
              <w:top w:val="nil"/>
              <w:left w:val="nil"/>
              <w:bottom w:val="single" w:sz="12" w:space="0" w:color="000000"/>
              <w:right w:val="nil"/>
            </w:tcBorders>
            <w:shd w:val="clear" w:color="000000" w:fill="FFFFFF"/>
            <w:vAlign w:val="bottom"/>
            <w:hideMark/>
          </w:tcPr>
          <w:p w14:paraId="67EADB2C" w14:textId="77777777" w:rsidR="001B6918" w:rsidRPr="00BC0847" w:rsidRDefault="001B6918" w:rsidP="00730ECF">
            <w:pPr>
              <w:jc w:val="center"/>
              <w:rPr>
                <w:rFonts w:ascii="Calibri" w:eastAsia="Times New Roman" w:hAnsi="Calibri" w:cs="Calibri"/>
                <w:b/>
                <w:bCs/>
                <w:color w:val="0D0D0D"/>
              </w:rPr>
            </w:pPr>
            <w:r w:rsidRPr="00BC0847">
              <w:rPr>
                <w:rFonts w:ascii="Calibri" w:eastAsia="Times New Roman" w:hAnsi="Calibri" w:cs="Calibri"/>
                <w:b/>
                <w:bCs/>
                <w:color w:val="0D0D0D"/>
              </w:rPr>
              <w:t>Interest</w:t>
            </w:r>
            <w:r>
              <w:rPr>
                <w:rFonts w:ascii="Calibri" w:eastAsia="Times New Roman" w:hAnsi="Calibri" w:cs="Calibri"/>
                <w:b/>
                <w:bCs/>
                <w:color w:val="0D0D0D"/>
              </w:rPr>
              <w:t xml:space="preserve"> </w:t>
            </w:r>
            <w:r w:rsidRPr="00BC0847">
              <w:rPr>
                <w:rFonts w:ascii="Calibri" w:eastAsia="Times New Roman" w:hAnsi="Calibri" w:cs="Calibri"/>
                <w:b/>
                <w:bCs/>
                <w:color w:val="0D0D0D"/>
              </w:rPr>
              <w:t>and</w:t>
            </w:r>
            <w:r>
              <w:rPr>
                <w:rFonts w:ascii="Calibri" w:eastAsia="Times New Roman" w:hAnsi="Calibri" w:cs="Calibri"/>
                <w:b/>
                <w:bCs/>
                <w:color w:val="0D0D0D"/>
              </w:rPr>
              <w:t xml:space="preserve"> </w:t>
            </w:r>
            <w:r w:rsidRPr="00BC0847">
              <w:rPr>
                <w:rFonts w:ascii="Calibri" w:eastAsia="Times New Roman" w:hAnsi="Calibri" w:cs="Calibri"/>
                <w:b/>
                <w:bCs/>
                <w:color w:val="0D0D0D"/>
              </w:rPr>
              <w:t>Dividends</w:t>
            </w:r>
          </w:p>
        </w:tc>
        <w:tc>
          <w:tcPr>
            <w:tcW w:w="1375" w:type="dxa"/>
            <w:tcBorders>
              <w:top w:val="nil"/>
              <w:left w:val="nil"/>
              <w:bottom w:val="single" w:sz="12" w:space="0" w:color="000000"/>
              <w:right w:val="nil"/>
            </w:tcBorders>
            <w:shd w:val="clear" w:color="000000" w:fill="FFFFFF"/>
            <w:vAlign w:val="bottom"/>
            <w:hideMark/>
          </w:tcPr>
          <w:p w14:paraId="37E719B3" w14:textId="77777777" w:rsidR="001B6918" w:rsidRPr="00BC0847" w:rsidRDefault="001B6918" w:rsidP="00730ECF">
            <w:pPr>
              <w:jc w:val="center"/>
              <w:rPr>
                <w:rFonts w:ascii="Calibri" w:eastAsia="Times New Roman" w:hAnsi="Calibri" w:cs="Calibri"/>
                <w:b/>
                <w:bCs/>
                <w:color w:val="0D0D0D"/>
              </w:rPr>
            </w:pPr>
            <w:r w:rsidRPr="00BC0847">
              <w:rPr>
                <w:rFonts w:ascii="Calibri" w:eastAsia="Times New Roman" w:hAnsi="Calibri" w:cs="Calibri"/>
                <w:b/>
                <w:bCs/>
                <w:color w:val="0D0D0D"/>
              </w:rPr>
              <w:t>Investment</w:t>
            </w:r>
            <w:r>
              <w:rPr>
                <w:rFonts w:ascii="Calibri" w:eastAsia="Times New Roman" w:hAnsi="Calibri" w:cs="Calibri"/>
                <w:b/>
                <w:bCs/>
                <w:color w:val="0D0D0D"/>
              </w:rPr>
              <w:t xml:space="preserve"> </w:t>
            </w:r>
            <w:r w:rsidRPr="00BC0847">
              <w:rPr>
                <w:rFonts w:ascii="Calibri" w:eastAsia="Times New Roman" w:hAnsi="Calibri" w:cs="Calibri"/>
                <w:b/>
                <w:bCs/>
                <w:color w:val="0D0D0D"/>
              </w:rPr>
              <w:t>Fees</w:t>
            </w:r>
          </w:p>
        </w:tc>
        <w:tc>
          <w:tcPr>
            <w:tcW w:w="1664" w:type="dxa"/>
            <w:tcBorders>
              <w:top w:val="nil"/>
              <w:left w:val="nil"/>
              <w:bottom w:val="single" w:sz="12" w:space="0" w:color="000000"/>
              <w:right w:val="nil"/>
            </w:tcBorders>
            <w:shd w:val="clear" w:color="000000" w:fill="FFFFFF"/>
            <w:vAlign w:val="bottom"/>
            <w:hideMark/>
          </w:tcPr>
          <w:p w14:paraId="37D1C564" w14:textId="77777777" w:rsidR="001B6918" w:rsidRPr="00BC0847" w:rsidRDefault="001B6918" w:rsidP="00730ECF">
            <w:pPr>
              <w:jc w:val="center"/>
              <w:rPr>
                <w:rFonts w:ascii="Calibri" w:eastAsia="Times New Roman" w:hAnsi="Calibri" w:cs="Calibri"/>
                <w:b/>
                <w:bCs/>
                <w:color w:val="0D0D0D"/>
              </w:rPr>
            </w:pPr>
            <w:r w:rsidRPr="00BC0847">
              <w:rPr>
                <w:rFonts w:ascii="Calibri" w:eastAsia="Times New Roman" w:hAnsi="Calibri" w:cs="Calibri"/>
                <w:b/>
                <w:bCs/>
                <w:color w:val="0D0D0D"/>
              </w:rPr>
              <w:t>Net</w:t>
            </w:r>
            <w:r>
              <w:rPr>
                <w:rFonts w:ascii="Calibri" w:eastAsia="Times New Roman" w:hAnsi="Calibri" w:cs="Calibri"/>
                <w:b/>
                <w:bCs/>
                <w:color w:val="0D0D0D"/>
              </w:rPr>
              <w:t xml:space="preserve"> </w:t>
            </w:r>
            <w:r w:rsidRPr="00BC0847">
              <w:rPr>
                <w:rFonts w:ascii="Calibri" w:eastAsia="Times New Roman" w:hAnsi="Calibri" w:cs="Calibri"/>
                <w:b/>
                <w:bCs/>
                <w:color w:val="0D0D0D"/>
              </w:rPr>
              <w:t>Income</w:t>
            </w:r>
            <w:r>
              <w:rPr>
                <w:rFonts w:ascii="Calibri" w:eastAsia="Times New Roman" w:hAnsi="Calibri" w:cs="Calibri"/>
                <w:b/>
                <w:bCs/>
                <w:color w:val="0D0D0D"/>
              </w:rPr>
              <w:t xml:space="preserve"> </w:t>
            </w:r>
            <w:r w:rsidRPr="00BC0847">
              <w:rPr>
                <w:rFonts w:ascii="Calibri" w:eastAsia="Times New Roman" w:hAnsi="Calibri" w:cs="Calibri"/>
                <w:b/>
                <w:bCs/>
                <w:color w:val="0D0D0D"/>
              </w:rPr>
              <w:t>(Loss)</w:t>
            </w:r>
          </w:p>
        </w:tc>
      </w:tr>
      <w:tr w:rsidR="001B6918" w:rsidRPr="00BC0847" w14:paraId="6DD95601" w14:textId="77777777" w:rsidTr="00730ECF">
        <w:trPr>
          <w:trHeight w:val="50"/>
        </w:trPr>
        <w:tc>
          <w:tcPr>
            <w:tcW w:w="4410" w:type="dxa"/>
            <w:gridSpan w:val="2"/>
            <w:tcBorders>
              <w:top w:val="nil"/>
              <w:left w:val="nil"/>
              <w:bottom w:val="nil"/>
              <w:right w:val="nil"/>
            </w:tcBorders>
            <w:shd w:val="clear" w:color="000000" w:fill="FFFFFF"/>
            <w:noWrap/>
            <w:vAlign w:val="bottom"/>
            <w:hideMark/>
          </w:tcPr>
          <w:p w14:paraId="3F361B0A" w14:textId="77777777" w:rsidR="001B6918" w:rsidRPr="00BC0847" w:rsidRDefault="001B6918" w:rsidP="00730ECF">
            <w:pPr>
              <w:rPr>
                <w:rFonts w:ascii="Calibri" w:eastAsia="Times New Roman" w:hAnsi="Calibri" w:cs="Calibri"/>
                <w:color w:val="0D0D0D"/>
              </w:rPr>
            </w:pPr>
            <w:r w:rsidRPr="00BC0847">
              <w:rPr>
                <w:rFonts w:ascii="Calibri" w:eastAsia="Times New Roman" w:hAnsi="Calibri" w:cs="Calibri"/>
                <w:color w:val="0D0D0D"/>
              </w:rPr>
              <w:t>Endowment investment income and fees</w:t>
            </w:r>
          </w:p>
        </w:tc>
        <w:tc>
          <w:tcPr>
            <w:tcW w:w="1007" w:type="dxa"/>
            <w:tcBorders>
              <w:top w:val="nil"/>
              <w:left w:val="nil"/>
              <w:bottom w:val="double" w:sz="6" w:space="0" w:color="000000"/>
              <w:right w:val="nil"/>
            </w:tcBorders>
            <w:shd w:val="clear" w:color="000000" w:fill="FFFFFF"/>
            <w:noWrap/>
            <w:hideMark/>
          </w:tcPr>
          <w:p w14:paraId="19B82E78" w14:textId="77777777" w:rsidR="001B6918" w:rsidRPr="00BC21C4" w:rsidRDefault="001B6918" w:rsidP="00730ECF">
            <w:pPr>
              <w:jc w:val="right"/>
              <w:rPr>
                <w:rFonts w:ascii="Calibri" w:eastAsia="Times New Roman" w:hAnsi="Calibri" w:cs="Calibri"/>
              </w:rPr>
            </w:pPr>
            <w:r w:rsidRPr="00BC21C4">
              <w:t xml:space="preserve"> $12,221 </w:t>
            </w:r>
          </w:p>
        </w:tc>
        <w:tc>
          <w:tcPr>
            <w:tcW w:w="1480" w:type="dxa"/>
            <w:tcBorders>
              <w:top w:val="nil"/>
              <w:left w:val="nil"/>
              <w:bottom w:val="double" w:sz="6" w:space="0" w:color="000000"/>
              <w:right w:val="nil"/>
            </w:tcBorders>
            <w:shd w:val="clear" w:color="000000" w:fill="FFFFFF"/>
            <w:noWrap/>
            <w:hideMark/>
          </w:tcPr>
          <w:p w14:paraId="49DB7148" w14:textId="77777777" w:rsidR="001B6918" w:rsidRPr="00BC21C4" w:rsidRDefault="001B6918" w:rsidP="00730ECF">
            <w:pPr>
              <w:jc w:val="right"/>
              <w:rPr>
                <w:rFonts w:ascii="Calibri" w:eastAsia="Times New Roman" w:hAnsi="Calibri" w:cs="Calibri"/>
              </w:rPr>
            </w:pPr>
            <w:r w:rsidRPr="00BC21C4">
              <w:t xml:space="preserve"> $4,03</w:t>
            </w:r>
            <w:r>
              <w:t>5</w:t>
            </w:r>
            <w:r w:rsidRPr="00BC21C4">
              <w:t xml:space="preserve"> </w:t>
            </w:r>
          </w:p>
        </w:tc>
        <w:tc>
          <w:tcPr>
            <w:tcW w:w="1375" w:type="dxa"/>
            <w:tcBorders>
              <w:top w:val="nil"/>
              <w:left w:val="nil"/>
              <w:bottom w:val="double" w:sz="6" w:space="0" w:color="000000"/>
              <w:right w:val="nil"/>
            </w:tcBorders>
            <w:shd w:val="clear" w:color="000000" w:fill="FFFFFF"/>
            <w:noWrap/>
            <w:hideMark/>
          </w:tcPr>
          <w:p w14:paraId="0295C023" w14:textId="77777777" w:rsidR="001B6918" w:rsidRPr="00BC21C4" w:rsidRDefault="001B6918" w:rsidP="00730ECF">
            <w:pPr>
              <w:jc w:val="right"/>
              <w:rPr>
                <w:rFonts w:ascii="Calibri" w:eastAsia="Times New Roman" w:hAnsi="Calibri" w:cs="Calibri"/>
              </w:rPr>
            </w:pPr>
            <w:r w:rsidRPr="00BC21C4">
              <w:t xml:space="preserve"> $(700)</w:t>
            </w:r>
          </w:p>
        </w:tc>
        <w:tc>
          <w:tcPr>
            <w:tcW w:w="1664" w:type="dxa"/>
            <w:tcBorders>
              <w:top w:val="nil"/>
              <w:left w:val="nil"/>
              <w:bottom w:val="nil"/>
              <w:right w:val="nil"/>
            </w:tcBorders>
            <w:shd w:val="clear" w:color="000000" w:fill="FFFFFF"/>
            <w:noWrap/>
            <w:hideMark/>
          </w:tcPr>
          <w:p w14:paraId="45F89E2F" w14:textId="77777777" w:rsidR="001B6918" w:rsidRPr="00BC21C4" w:rsidRDefault="001B6918" w:rsidP="00730ECF">
            <w:pPr>
              <w:jc w:val="right"/>
              <w:rPr>
                <w:rFonts w:ascii="Calibri" w:eastAsia="Times New Roman" w:hAnsi="Calibri" w:cs="Calibri"/>
              </w:rPr>
            </w:pPr>
            <w:r w:rsidRPr="00BC21C4">
              <w:t xml:space="preserve"> $15,5</w:t>
            </w:r>
            <w:r>
              <w:t>56</w:t>
            </w:r>
            <w:r w:rsidRPr="00BC21C4">
              <w:t xml:space="preserve"> </w:t>
            </w:r>
          </w:p>
        </w:tc>
      </w:tr>
      <w:tr w:rsidR="001B6918" w:rsidRPr="00BC0847" w14:paraId="48E36C46" w14:textId="77777777" w:rsidTr="00730ECF">
        <w:trPr>
          <w:trHeight w:val="90"/>
        </w:trPr>
        <w:tc>
          <w:tcPr>
            <w:tcW w:w="5417" w:type="dxa"/>
            <w:gridSpan w:val="3"/>
            <w:tcBorders>
              <w:top w:val="nil"/>
              <w:left w:val="nil"/>
              <w:bottom w:val="nil"/>
              <w:right w:val="nil"/>
            </w:tcBorders>
            <w:shd w:val="clear" w:color="000000" w:fill="FFFFFF"/>
            <w:noWrap/>
            <w:vAlign w:val="bottom"/>
            <w:hideMark/>
          </w:tcPr>
          <w:p w14:paraId="45C5488B" w14:textId="77777777" w:rsidR="001B6918" w:rsidRPr="00BC21C4" w:rsidRDefault="001B6918" w:rsidP="00730ECF">
            <w:pPr>
              <w:rPr>
                <w:rFonts w:ascii="Calibri" w:eastAsia="Times New Roman" w:hAnsi="Calibri" w:cs="Calibri"/>
              </w:rPr>
            </w:pPr>
            <w:r w:rsidRPr="00BC21C4">
              <w:rPr>
                <w:rFonts w:ascii="Calibri" w:eastAsia="Times New Roman" w:hAnsi="Calibri" w:cs="Calibri"/>
              </w:rPr>
              <w:t>Net income allocated to annuities payable to others</w:t>
            </w:r>
          </w:p>
        </w:tc>
        <w:tc>
          <w:tcPr>
            <w:tcW w:w="1480" w:type="dxa"/>
            <w:tcBorders>
              <w:top w:val="nil"/>
              <w:left w:val="nil"/>
              <w:bottom w:val="nil"/>
              <w:right w:val="nil"/>
            </w:tcBorders>
            <w:shd w:val="clear" w:color="000000" w:fill="FFFFFF"/>
            <w:noWrap/>
            <w:vAlign w:val="bottom"/>
            <w:hideMark/>
          </w:tcPr>
          <w:p w14:paraId="3C7CD0CA" w14:textId="77777777" w:rsidR="001B6918" w:rsidRPr="00BC21C4" w:rsidRDefault="001B6918" w:rsidP="00730ECF">
            <w:pPr>
              <w:rPr>
                <w:rFonts w:ascii="Calibri" w:eastAsia="Times New Roman" w:hAnsi="Calibri" w:cs="Calibri"/>
              </w:rPr>
            </w:pPr>
            <w:r w:rsidRPr="00BC21C4">
              <w:rPr>
                <w:rFonts w:ascii="Calibri" w:eastAsia="Times New Roman" w:hAnsi="Calibri" w:cs="Calibri"/>
              </w:rPr>
              <w:t> </w:t>
            </w:r>
          </w:p>
        </w:tc>
        <w:tc>
          <w:tcPr>
            <w:tcW w:w="1375" w:type="dxa"/>
            <w:tcBorders>
              <w:top w:val="nil"/>
              <w:left w:val="nil"/>
              <w:bottom w:val="nil"/>
              <w:right w:val="nil"/>
            </w:tcBorders>
            <w:shd w:val="clear" w:color="000000" w:fill="FFFFFF"/>
            <w:noWrap/>
            <w:vAlign w:val="bottom"/>
            <w:hideMark/>
          </w:tcPr>
          <w:p w14:paraId="1B62BC7D" w14:textId="77777777" w:rsidR="001B6918" w:rsidRPr="00BC21C4" w:rsidRDefault="001B6918" w:rsidP="00730ECF">
            <w:pPr>
              <w:rPr>
                <w:rFonts w:ascii="Calibri" w:eastAsia="Times New Roman" w:hAnsi="Calibri" w:cs="Calibri"/>
              </w:rPr>
            </w:pPr>
            <w:r w:rsidRPr="00BC21C4">
              <w:rPr>
                <w:rFonts w:ascii="Calibri" w:eastAsia="Times New Roman" w:hAnsi="Calibri" w:cs="Calibri"/>
              </w:rPr>
              <w:t> </w:t>
            </w:r>
          </w:p>
        </w:tc>
        <w:tc>
          <w:tcPr>
            <w:tcW w:w="1664" w:type="dxa"/>
            <w:tcBorders>
              <w:top w:val="nil"/>
              <w:left w:val="nil"/>
              <w:bottom w:val="single" w:sz="4" w:space="0" w:color="000000"/>
              <w:right w:val="nil"/>
            </w:tcBorders>
            <w:shd w:val="clear" w:color="000000" w:fill="FFFFFF"/>
            <w:noWrap/>
            <w:vAlign w:val="bottom"/>
            <w:hideMark/>
          </w:tcPr>
          <w:p w14:paraId="35E5B87D" w14:textId="77777777" w:rsidR="001B6918" w:rsidRPr="00BC21C4" w:rsidRDefault="001B6918" w:rsidP="00730ECF">
            <w:pPr>
              <w:jc w:val="right"/>
              <w:rPr>
                <w:rFonts w:ascii="Calibri" w:eastAsia="Times New Roman" w:hAnsi="Calibri" w:cs="Calibri"/>
              </w:rPr>
            </w:pPr>
            <w:r w:rsidRPr="00BC21C4">
              <w:rPr>
                <w:rFonts w:ascii="Calibri" w:eastAsia="Times New Roman" w:hAnsi="Calibri" w:cs="Calibri"/>
              </w:rPr>
              <w:t>(21)</w:t>
            </w:r>
          </w:p>
        </w:tc>
      </w:tr>
      <w:tr w:rsidR="001B6918" w:rsidRPr="00BC0847" w14:paraId="14FEF17E" w14:textId="77777777" w:rsidTr="00730ECF">
        <w:trPr>
          <w:trHeight w:val="80"/>
        </w:trPr>
        <w:tc>
          <w:tcPr>
            <w:tcW w:w="4410" w:type="dxa"/>
            <w:gridSpan w:val="2"/>
            <w:tcBorders>
              <w:top w:val="nil"/>
              <w:left w:val="nil"/>
              <w:bottom w:val="nil"/>
              <w:right w:val="nil"/>
            </w:tcBorders>
            <w:shd w:val="clear" w:color="000000" w:fill="FFFFFF"/>
            <w:noWrap/>
            <w:vAlign w:val="bottom"/>
            <w:hideMark/>
          </w:tcPr>
          <w:p w14:paraId="57BDA39A" w14:textId="77777777" w:rsidR="001B6918" w:rsidRPr="00DF6043" w:rsidRDefault="001B6918" w:rsidP="00730ECF">
            <w:pPr>
              <w:rPr>
                <w:rFonts w:ascii="Calibri" w:eastAsia="Times New Roman" w:hAnsi="Calibri" w:cs="Calibri"/>
              </w:rPr>
            </w:pPr>
            <w:r w:rsidRPr="00DF6043">
              <w:rPr>
                <w:rFonts w:ascii="Calibri" w:eastAsia="Times New Roman" w:hAnsi="Calibri" w:cs="Calibri"/>
              </w:rPr>
              <w:t>System endowment net income</w:t>
            </w:r>
          </w:p>
        </w:tc>
        <w:tc>
          <w:tcPr>
            <w:tcW w:w="1007" w:type="dxa"/>
            <w:tcBorders>
              <w:top w:val="nil"/>
              <w:left w:val="nil"/>
              <w:bottom w:val="nil"/>
              <w:right w:val="nil"/>
            </w:tcBorders>
            <w:shd w:val="clear" w:color="000000" w:fill="FFFFFF"/>
            <w:noWrap/>
            <w:vAlign w:val="bottom"/>
            <w:hideMark/>
          </w:tcPr>
          <w:p w14:paraId="213A338C" w14:textId="77777777" w:rsidR="001B6918" w:rsidRPr="00BC21C4" w:rsidRDefault="001B6918" w:rsidP="00730ECF">
            <w:pPr>
              <w:rPr>
                <w:rFonts w:ascii="Calibri" w:eastAsia="Times New Roman" w:hAnsi="Calibri" w:cs="Calibri"/>
              </w:rPr>
            </w:pPr>
            <w:r w:rsidRPr="00BC21C4">
              <w:rPr>
                <w:rFonts w:ascii="Calibri" w:eastAsia="Times New Roman" w:hAnsi="Calibri" w:cs="Calibri"/>
              </w:rPr>
              <w:t> </w:t>
            </w:r>
          </w:p>
        </w:tc>
        <w:tc>
          <w:tcPr>
            <w:tcW w:w="1480" w:type="dxa"/>
            <w:tcBorders>
              <w:top w:val="nil"/>
              <w:left w:val="nil"/>
              <w:bottom w:val="nil"/>
              <w:right w:val="nil"/>
            </w:tcBorders>
            <w:shd w:val="clear" w:color="000000" w:fill="FFFFFF"/>
            <w:noWrap/>
            <w:vAlign w:val="bottom"/>
            <w:hideMark/>
          </w:tcPr>
          <w:p w14:paraId="50D84B37" w14:textId="77777777" w:rsidR="001B6918" w:rsidRPr="00BC21C4" w:rsidRDefault="001B6918" w:rsidP="00730ECF">
            <w:pPr>
              <w:rPr>
                <w:rFonts w:ascii="Calibri" w:eastAsia="Times New Roman" w:hAnsi="Calibri" w:cs="Calibri"/>
              </w:rPr>
            </w:pPr>
            <w:r w:rsidRPr="00BC21C4">
              <w:rPr>
                <w:rFonts w:ascii="Calibri" w:eastAsia="Times New Roman" w:hAnsi="Calibri" w:cs="Calibri"/>
              </w:rPr>
              <w:t> </w:t>
            </w:r>
          </w:p>
        </w:tc>
        <w:tc>
          <w:tcPr>
            <w:tcW w:w="1375" w:type="dxa"/>
            <w:tcBorders>
              <w:top w:val="nil"/>
              <w:left w:val="nil"/>
              <w:bottom w:val="nil"/>
              <w:right w:val="nil"/>
            </w:tcBorders>
            <w:shd w:val="clear" w:color="000000" w:fill="FFFFFF"/>
            <w:noWrap/>
            <w:vAlign w:val="bottom"/>
            <w:hideMark/>
          </w:tcPr>
          <w:p w14:paraId="14CA5027" w14:textId="77777777" w:rsidR="001B6918" w:rsidRPr="00BC21C4" w:rsidRDefault="001B6918" w:rsidP="00730ECF">
            <w:pPr>
              <w:rPr>
                <w:rFonts w:ascii="Calibri" w:eastAsia="Times New Roman" w:hAnsi="Calibri" w:cs="Calibri"/>
              </w:rPr>
            </w:pPr>
            <w:r w:rsidRPr="00BC21C4">
              <w:rPr>
                <w:rFonts w:ascii="Calibri" w:eastAsia="Times New Roman" w:hAnsi="Calibri" w:cs="Calibri"/>
              </w:rPr>
              <w:t> </w:t>
            </w:r>
          </w:p>
        </w:tc>
        <w:tc>
          <w:tcPr>
            <w:tcW w:w="1664" w:type="dxa"/>
            <w:tcBorders>
              <w:top w:val="nil"/>
              <w:left w:val="nil"/>
              <w:bottom w:val="double" w:sz="6" w:space="0" w:color="000000"/>
              <w:right w:val="nil"/>
            </w:tcBorders>
            <w:shd w:val="clear" w:color="000000" w:fill="FFFFFF"/>
            <w:noWrap/>
            <w:vAlign w:val="bottom"/>
            <w:hideMark/>
          </w:tcPr>
          <w:p w14:paraId="3071B379" w14:textId="77777777" w:rsidR="001B6918" w:rsidRPr="00BC21C4" w:rsidRDefault="001B6918" w:rsidP="00730ECF">
            <w:pPr>
              <w:jc w:val="right"/>
              <w:rPr>
                <w:rFonts w:ascii="Calibri" w:eastAsia="Times New Roman" w:hAnsi="Calibri" w:cs="Calibri"/>
              </w:rPr>
            </w:pPr>
            <w:r w:rsidRPr="00BC21C4">
              <w:rPr>
                <w:rFonts w:ascii="Calibri" w:eastAsia="Times New Roman" w:hAnsi="Calibri" w:cs="Calibri"/>
              </w:rPr>
              <w:t>$15,5</w:t>
            </w:r>
            <w:r>
              <w:rPr>
                <w:rFonts w:ascii="Calibri" w:eastAsia="Times New Roman" w:hAnsi="Calibri" w:cs="Calibri"/>
              </w:rPr>
              <w:t>35</w:t>
            </w:r>
          </w:p>
        </w:tc>
      </w:tr>
      <w:tr w:rsidR="001B6918" w:rsidRPr="00BC0847" w14:paraId="71E0FC79" w14:textId="77777777" w:rsidTr="00730ECF">
        <w:trPr>
          <w:trHeight w:val="35"/>
        </w:trPr>
        <w:tc>
          <w:tcPr>
            <w:tcW w:w="5417" w:type="dxa"/>
            <w:gridSpan w:val="3"/>
            <w:tcBorders>
              <w:top w:val="nil"/>
              <w:left w:val="nil"/>
              <w:bottom w:val="nil"/>
              <w:right w:val="nil"/>
            </w:tcBorders>
            <w:shd w:val="clear" w:color="000000" w:fill="FFFFFF"/>
            <w:noWrap/>
            <w:vAlign w:val="bottom"/>
            <w:hideMark/>
          </w:tcPr>
          <w:p w14:paraId="13831BA9" w14:textId="77777777" w:rsidR="001B6918" w:rsidRPr="00BC21C4" w:rsidRDefault="001B6918" w:rsidP="00730ECF">
            <w:pPr>
              <w:ind w:firstLineChars="100" w:firstLine="220"/>
              <w:rPr>
                <w:rFonts w:ascii="Calibri" w:eastAsia="Times New Roman" w:hAnsi="Calibri" w:cs="Calibri"/>
              </w:rPr>
            </w:pPr>
            <w:r w:rsidRPr="00BC21C4">
              <w:rPr>
                <w:rFonts w:ascii="Calibri" w:eastAsia="Times New Roman" w:hAnsi="Calibri" w:cs="Calibri"/>
              </w:rPr>
              <w:t>Reported as endowment return used for operations</w:t>
            </w:r>
          </w:p>
        </w:tc>
        <w:tc>
          <w:tcPr>
            <w:tcW w:w="1480" w:type="dxa"/>
            <w:tcBorders>
              <w:top w:val="nil"/>
              <w:left w:val="nil"/>
              <w:bottom w:val="nil"/>
              <w:right w:val="nil"/>
            </w:tcBorders>
            <w:shd w:val="clear" w:color="000000" w:fill="FFFFFF"/>
            <w:noWrap/>
            <w:vAlign w:val="bottom"/>
            <w:hideMark/>
          </w:tcPr>
          <w:p w14:paraId="27C8CE4E" w14:textId="77777777" w:rsidR="001B6918" w:rsidRPr="00BC21C4" w:rsidRDefault="001B6918" w:rsidP="00730ECF">
            <w:pPr>
              <w:rPr>
                <w:rFonts w:ascii="Calibri" w:eastAsia="Times New Roman" w:hAnsi="Calibri" w:cs="Calibri"/>
              </w:rPr>
            </w:pPr>
            <w:r w:rsidRPr="00BC21C4">
              <w:rPr>
                <w:rFonts w:ascii="Calibri" w:eastAsia="Times New Roman" w:hAnsi="Calibri" w:cs="Calibri"/>
              </w:rPr>
              <w:t> </w:t>
            </w:r>
          </w:p>
        </w:tc>
        <w:tc>
          <w:tcPr>
            <w:tcW w:w="1375" w:type="dxa"/>
            <w:tcBorders>
              <w:top w:val="nil"/>
              <w:left w:val="nil"/>
              <w:bottom w:val="nil"/>
              <w:right w:val="nil"/>
            </w:tcBorders>
            <w:shd w:val="clear" w:color="000000" w:fill="FFFFFF"/>
            <w:noWrap/>
            <w:vAlign w:val="bottom"/>
            <w:hideMark/>
          </w:tcPr>
          <w:p w14:paraId="5D9F4ABE" w14:textId="77777777" w:rsidR="001B6918" w:rsidRPr="00BC21C4" w:rsidRDefault="001B6918" w:rsidP="00730ECF">
            <w:pPr>
              <w:jc w:val="center"/>
              <w:rPr>
                <w:rFonts w:ascii="Calibri" w:eastAsia="Times New Roman" w:hAnsi="Calibri" w:cs="Calibri"/>
              </w:rPr>
            </w:pPr>
            <w:r w:rsidRPr="00BC21C4">
              <w:rPr>
                <w:rFonts w:ascii="Calibri" w:eastAsia="Times New Roman" w:hAnsi="Calibri" w:cs="Calibri"/>
              </w:rPr>
              <w:t> </w:t>
            </w:r>
          </w:p>
        </w:tc>
        <w:tc>
          <w:tcPr>
            <w:tcW w:w="1664" w:type="dxa"/>
            <w:tcBorders>
              <w:top w:val="nil"/>
              <w:left w:val="nil"/>
              <w:bottom w:val="nil"/>
              <w:right w:val="nil"/>
            </w:tcBorders>
            <w:shd w:val="clear" w:color="000000" w:fill="FFFFFF"/>
            <w:noWrap/>
            <w:vAlign w:val="bottom"/>
            <w:hideMark/>
          </w:tcPr>
          <w:p w14:paraId="43035502" w14:textId="77777777" w:rsidR="001B6918" w:rsidRPr="00BC21C4" w:rsidRDefault="001B6918" w:rsidP="00730ECF">
            <w:pPr>
              <w:jc w:val="right"/>
              <w:rPr>
                <w:rFonts w:ascii="Calibri" w:eastAsia="Times New Roman" w:hAnsi="Calibri" w:cs="Calibri"/>
              </w:rPr>
            </w:pPr>
            <w:r w:rsidRPr="00BC21C4">
              <w:rPr>
                <w:rFonts w:ascii="Calibri" w:eastAsia="Times New Roman" w:hAnsi="Calibri" w:cs="Calibri"/>
              </w:rPr>
              <w:t>$6,772</w:t>
            </w:r>
          </w:p>
        </w:tc>
      </w:tr>
      <w:tr w:rsidR="001B6918" w:rsidRPr="00BC0847" w14:paraId="7D47243E" w14:textId="77777777" w:rsidTr="00730ECF">
        <w:trPr>
          <w:trHeight w:val="80"/>
        </w:trPr>
        <w:tc>
          <w:tcPr>
            <w:tcW w:w="6897" w:type="dxa"/>
            <w:gridSpan w:val="4"/>
            <w:tcBorders>
              <w:top w:val="nil"/>
              <w:left w:val="nil"/>
              <w:bottom w:val="nil"/>
              <w:right w:val="nil"/>
            </w:tcBorders>
            <w:shd w:val="clear" w:color="000000" w:fill="FFFFFF"/>
            <w:noWrap/>
            <w:vAlign w:val="bottom"/>
            <w:hideMark/>
          </w:tcPr>
          <w:p w14:paraId="5F42AA7C" w14:textId="77777777" w:rsidR="001B6918" w:rsidRPr="00BC21C4" w:rsidRDefault="001B6918" w:rsidP="00730ECF">
            <w:pPr>
              <w:ind w:firstLineChars="100" w:firstLine="220"/>
              <w:rPr>
                <w:rFonts w:ascii="Calibri" w:eastAsia="Times New Roman" w:hAnsi="Calibri" w:cs="Calibri"/>
              </w:rPr>
            </w:pPr>
            <w:r w:rsidRPr="00BC21C4">
              <w:rPr>
                <w:rFonts w:ascii="Calibri" w:eastAsia="Times New Roman" w:hAnsi="Calibri" w:cs="Calibri"/>
              </w:rPr>
              <w:t>Reported as endowment return, net of amount used for operations</w:t>
            </w:r>
          </w:p>
        </w:tc>
        <w:tc>
          <w:tcPr>
            <w:tcW w:w="1375" w:type="dxa"/>
            <w:tcBorders>
              <w:top w:val="nil"/>
              <w:left w:val="nil"/>
              <w:bottom w:val="nil"/>
              <w:right w:val="nil"/>
            </w:tcBorders>
            <w:shd w:val="clear" w:color="000000" w:fill="FFFFFF"/>
            <w:noWrap/>
            <w:vAlign w:val="bottom"/>
            <w:hideMark/>
          </w:tcPr>
          <w:p w14:paraId="1B93530E" w14:textId="77777777" w:rsidR="001B6918" w:rsidRPr="00BC21C4" w:rsidRDefault="001B6918" w:rsidP="00730ECF">
            <w:pPr>
              <w:jc w:val="center"/>
              <w:rPr>
                <w:rFonts w:ascii="Calibri" w:eastAsia="Times New Roman" w:hAnsi="Calibri" w:cs="Calibri"/>
              </w:rPr>
            </w:pPr>
            <w:r w:rsidRPr="00BC21C4">
              <w:rPr>
                <w:rFonts w:ascii="Calibri" w:eastAsia="Times New Roman" w:hAnsi="Calibri" w:cs="Calibri"/>
              </w:rPr>
              <w:t> </w:t>
            </w:r>
          </w:p>
        </w:tc>
        <w:tc>
          <w:tcPr>
            <w:tcW w:w="1664" w:type="dxa"/>
            <w:tcBorders>
              <w:top w:val="nil"/>
              <w:left w:val="nil"/>
              <w:bottom w:val="single" w:sz="4" w:space="0" w:color="000000"/>
              <w:right w:val="nil"/>
            </w:tcBorders>
            <w:shd w:val="clear" w:color="000000" w:fill="FFFFFF"/>
            <w:noWrap/>
            <w:vAlign w:val="bottom"/>
            <w:hideMark/>
          </w:tcPr>
          <w:p w14:paraId="7DE60B29" w14:textId="77777777" w:rsidR="001B6918" w:rsidRPr="00BC21C4" w:rsidRDefault="001B6918" w:rsidP="00730ECF">
            <w:pPr>
              <w:jc w:val="right"/>
              <w:rPr>
                <w:rFonts w:ascii="Calibri" w:eastAsia="Times New Roman" w:hAnsi="Calibri" w:cs="Calibri"/>
              </w:rPr>
            </w:pPr>
            <w:r w:rsidRPr="00BC21C4">
              <w:rPr>
                <w:rFonts w:ascii="Calibri" w:eastAsia="Times New Roman" w:hAnsi="Calibri" w:cs="Calibri"/>
              </w:rPr>
              <w:t>8,763</w:t>
            </w:r>
          </w:p>
        </w:tc>
      </w:tr>
      <w:tr w:rsidR="001B6918" w:rsidRPr="00BC0847" w14:paraId="28FF4590" w14:textId="77777777" w:rsidTr="00730ECF">
        <w:trPr>
          <w:trHeight w:val="70"/>
        </w:trPr>
        <w:tc>
          <w:tcPr>
            <w:tcW w:w="4410" w:type="dxa"/>
            <w:gridSpan w:val="2"/>
            <w:tcBorders>
              <w:top w:val="nil"/>
              <w:left w:val="nil"/>
              <w:bottom w:val="nil"/>
              <w:right w:val="nil"/>
            </w:tcBorders>
            <w:shd w:val="clear" w:color="000000" w:fill="FFFFFF"/>
            <w:noWrap/>
            <w:vAlign w:val="bottom"/>
            <w:hideMark/>
          </w:tcPr>
          <w:p w14:paraId="2D466492" w14:textId="77777777" w:rsidR="001B6918" w:rsidRPr="00BC0847" w:rsidRDefault="001B6918" w:rsidP="00730ECF">
            <w:pPr>
              <w:ind w:firstLineChars="100" w:firstLine="220"/>
              <w:rPr>
                <w:rFonts w:ascii="Calibri" w:eastAsia="Times New Roman" w:hAnsi="Calibri" w:cs="Calibri"/>
                <w:color w:val="0D0D0D"/>
              </w:rPr>
            </w:pPr>
            <w:r w:rsidRPr="00BC0847">
              <w:rPr>
                <w:rFonts w:ascii="Calibri" w:eastAsia="Times New Roman" w:hAnsi="Calibri" w:cs="Calibri"/>
                <w:color w:val="0D0D0D"/>
              </w:rPr>
              <w:t>System endowment income</w:t>
            </w:r>
          </w:p>
        </w:tc>
        <w:tc>
          <w:tcPr>
            <w:tcW w:w="1007" w:type="dxa"/>
            <w:tcBorders>
              <w:top w:val="nil"/>
              <w:left w:val="nil"/>
              <w:bottom w:val="nil"/>
              <w:right w:val="nil"/>
            </w:tcBorders>
            <w:shd w:val="clear" w:color="000000" w:fill="FFFFFF"/>
            <w:noWrap/>
            <w:vAlign w:val="bottom"/>
            <w:hideMark/>
          </w:tcPr>
          <w:p w14:paraId="008D0D3C" w14:textId="77777777" w:rsidR="001B6918" w:rsidRPr="00BC21C4" w:rsidRDefault="001B6918" w:rsidP="00730ECF">
            <w:pPr>
              <w:jc w:val="center"/>
              <w:rPr>
                <w:rFonts w:ascii="Calibri" w:eastAsia="Times New Roman" w:hAnsi="Calibri" w:cs="Calibri"/>
              </w:rPr>
            </w:pPr>
            <w:r w:rsidRPr="00BC21C4">
              <w:rPr>
                <w:rFonts w:ascii="Calibri" w:eastAsia="Times New Roman" w:hAnsi="Calibri" w:cs="Calibri"/>
              </w:rPr>
              <w:t> </w:t>
            </w:r>
          </w:p>
        </w:tc>
        <w:tc>
          <w:tcPr>
            <w:tcW w:w="1480" w:type="dxa"/>
            <w:tcBorders>
              <w:top w:val="nil"/>
              <w:left w:val="nil"/>
              <w:bottom w:val="nil"/>
              <w:right w:val="nil"/>
            </w:tcBorders>
            <w:shd w:val="clear" w:color="000000" w:fill="FFFFFF"/>
            <w:noWrap/>
            <w:vAlign w:val="bottom"/>
            <w:hideMark/>
          </w:tcPr>
          <w:p w14:paraId="3E416241" w14:textId="77777777" w:rsidR="001B6918" w:rsidRPr="00BC21C4" w:rsidRDefault="001B6918" w:rsidP="00730ECF">
            <w:pPr>
              <w:rPr>
                <w:rFonts w:ascii="Calibri" w:eastAsia="Times New Roman" w:hAnsi="Calibri" w:cs="Calibri"/>
              </w:rPr>
            </w:pPr>
            <w:r w:rsidRPr="00BC21C4">
              <w:rPr>
                <w:rFonts w:ascii="Calibri" w:eastAsia="Times New Roman" w:hAnsi="Calibri" w:cs="Calibri"/>
              </w:rPr>
              <w:t> </w:t>
            </w:r>
          </w:p>
        </w:tc>
        <w:tc>
          <w:tcPr>
            <w:tcW w:w="1375" w:type="dxa"/>
            <w:tcBorders>
              <w:top w:val="nil"/>
              <w:left w:val="nil"/>
              <w:bottom w:val="nil"/>
              <w:right w:val="nil"/>
            </w:tcBorders>
            <w:shd w:val="clear" w:color="000000" w:fill="FFFFFF"/>
            <w:noWrap/>
            <w:vAlign w:val="bottom"/>
            <w:hideMark/>
          </w:tcPr>
          <w:p w14:paraId="6D633EF0" w14:textId="77777777" w:rsidR="001B6918" w:rsidRPr="00BC21C4" w:rsidRDefault="001B6918" w:rsidP="00730ECF">
            <w:pPr>
              <w:jc w:val="center"/>
              <w:rPr>
                <w:rFonts w:ascii="Calibri" w:eastAsia="Times New Roman" w:hAnsi="Calibri" w:cs="Calibri"/>
              </w:rPr>
            </w:pPr>
            <w:r w:rsidRPr="00BC21C4">
              <w:rPr>
                <w:rFonts w:ascii="Calibri" w:eastAsia="Times New Roman" w:hAnsi="Calibri" w:cs="Calibri"/>
              </w:rPr>
              <w:t> </w:t>
            </w:r>
          </w:p>
        </w:tc>
        <w:tc>
          <w:tcPr>
            <w:tcW w:w="1664" w:type="dxa"/>
            <w:tcBorders>
              <w:top w:val="nil"/>
              <w:left w:val="nil"/>
              <w:bottom w:val="double" w:sz="6" w:space="0" w:color="000000"/>
              <w:right w:val="nil"/>
            </w:tcBorders>
            <w:shd w:val="clear" w:color="000000" w:fill="FFFFFF"/>
            <w:noWrap/>
            <w:vAlign w:val="bottom"/>
            <w:hideMark/>
          </w:tcPr>
          <w:p w14:paraId="13727500" w14:textId="77777777" w:rsidR="001B6918" w:rsidRPr="00BC21C4" w:rsidRDefault="001B6918" w:rsidP="00730ECF">
            <w:pPr>
              <w:jc w:val="right"/>
              <w:rPr>
                <w:rFonts w:ascii="Calibri" w:eastAsia="Times New Roman" w:hAnsi="Calibri" w:cs="Calibri"/>
              </w:rPr>
            </w:pPr>
            <w:r w:rsidRPr="00BC21C4">
              <w:rPr>
                <w:rFonts w:ascii="Calibri" w:eastAsia="Times New Roman" w:hAnsi="Calibri" w:cs="Calibri"/>
              </w:rPr>
              <w:t>$15,535</w:t>
            </w:r>
          </w:p>
        </w:tc>
      </w:tr>
      <w:tr w:rsidR="001B6918" w:rsidRPr="00BC0847" w14:paraId="21424B40" w14:textId="77777777" w:rsidTr="00730ECF">
        <w:trPr>
          <w:trHeight w:val="35"/>
        </w:trPr>
        <w:tc>
          <w:tcPr>
            <w:tcW w:w="4410" w:type="dxa"/>
            <w:gridSpan w:val="2"/>
            <w:tcBorders>
              <w:top w:val="nil"/>
              <w:left w:val="nil"/>
              <w:bottom w:val="nil"/>
              <w:right w:val="nil"/>
            </w:tcBorders>
            <w:shd w:val="clear" w:color="000000" w:fill="FFFFFF"/>
            <w:noWrap/>
            <w:vAlign w:val="bottom"/>
            <w:hideMark/>
          </w:tcPr>
          <w:p w14:paraId="641C6081" w14:textId="77777777" w:rsidR="001B6918" w:rsidRPr="00BC0847" w:rsidRDefault="001B6918" w:rsidP="00730ECF">
            <w:pPr>
              <w:rPr>
                <w:rFonts w:ascii="Calibri" w:eastAsia="Times New Roman" w:hAnsi="Calibri" w:cs="Calibri"/>
                <w:color w:val="0D0D0D"/>
              </w:rPr>
            </w:pPr>
            <w:r w:rsidRPr="00BC0847">
              <w:rPr>
                <w:rFonts w:ascii="Calibri" w:eastAsia="Times New Roman" w:hAnsi="Calibri" w:cs="Calibri"/>
                <w:color w:val="0D0D0D"/>
              </w:rPr>
              <w:t>Operating investments</w:t>
            </w:r>
          </w:p>
        </w:tc>
        <w:tc>
          <w:tcPr>
            <w:tcW w:w="1007" w:type="dxa"/>
            <w:tcBorders>
              <w:top w:val="nil"/>
              <w:left w:val="nil"/>
              <w:bottom w:val="nil"/>
              <w:right w:val="nil"/>
            </w:tcBorders>
            <w:shd w:val="clear" w:color="000000" w:fill="FFFFFF"/>
            <w:noWrap/>
            <w:hideMark/>
          </w:tcPr>
          <w:p w14:paraId="2FAF21BC" w14:textId="77777777" w:rsidR="001B6918" w:rsidRPr="00BC21C4" w:rsidRDefault="001B6918" w:rsidP="00730ECF">
            <w:pPr>
              <w:jc w:val="right"/>
              <w:rPr>
                <w:rFonts w:ascii="Calibri" w:eastAsia="Times New Roman" w:hAnsi="Calibri" w:cs="Calibri"/>
              </w:rPr>
            </w:pPr>
            <w:r w:rsidRPr="00BC21C4">
              <w:t xml:space="preserve"> $6,869 </w:t>
            </w:r>
          </w:p>
        </w:tc>
        <w:tc>
          <w:tcPr>
            <w:tcW w:w="1480" w:type="dxa"/>
            <w:tcBorders>
              <w:top w:val="nil"/>
              <w:left w:val="nil"/>
              <w:bottom w:val="nil"/>
              <w:right w:val="nil"/>
            </w:tcBorders>
            <w:shd w:val="clear" w:color="000000" w:fill="FFFFFF"/>
            <w:noWrap/>
            <w:hideMark/>
          </w:tcPr>
          <w:p w14:paraId="6CAE0036" w14:textId="77777777" w:rsidR="001B6918" w:rsidRPr="00BC21C4" w:rsidRDefault="001B6918" w:rsidP="00730ECF">
            <w:pPr>
              <w:jc w:val="right"/>
              <w:rPr>
                <w:rFonts w:ascii="Calibri" w:eastAsia="Times New Roman" w:hAnsi="Calibri" w:cs="Calibri"/>
              </w:rPr>
            </w:pPr>
            <w:r w:rsidRPr="00BC21C4">
              <w:t xml:space="preserve"> $13,150 </w:t>
            </w:r>
          </w:p>
        </w:tc>
        <w:tc>
          <w:tcPr>
            <w:tcW w:w="1375" w:type="dxa"/>
            <w:tcBorders>
              <w:top w:val="nil"/>
              <w:left w:val="nil"/>
              <w:bottom w:val="nil"/>
              <w:right w:val="nil"/>
            </w:tcBorders>
            <w:shd w:val="clear" w:color="000000" w:fill="FFFFFF"/>
            <w:noWrap/>
            <w:hideMark/>
          </w:tcPr>
          <w:p w14:paraId="6A4B0C6E" w14:textId="77777777" w:rsidR="001B6918" w:rsidRPr="00BC21C4" w:rsidRDefault="001B6918" w:rsidP="00730ECF">
            <w:pPr>
              <w:jc w:val="right"/>
              <w:rPr>
                <w:rFonts w:ascii="Calibri" w:eastAsia="Times New Roman" w:hAnsi="Calibri" w:cs="Calibri"/>
              </w:rPr>
            </w:pPr>
            <w:r w:rsidRPr="00BC21C4">
              <w:t xml:space="preserve"> $(548)</w:t>
            </w:r>
          </w:p>
        </w:tc>
        <w:tc>
          <w:tcPr>
            <w:tcW w:w="1664" w:type="dxa"/>
            <w:tcBorders>
              <w:top w:val="nil"/>
              <w:left w:val="nil"/>
              <w:bottom w:val="nil"/>
              <w:right w:val="nil"/>
            </w:tcBorders>
            <w:shd w:val="clear" w:color="000000" w:fill="FFFFFF"/>
            <w:noWrap/>
            <w:hideMark/>
          </w:tcPr>
          <w:p w14:paraId="5C28B8B1" w14:textId="77777777" w:rsidR="001B6918" w:rsidRPr="00BC21C4" w:rsidRDefault="001B6918" w:rsidP="00730ECF">
            <w:pPr>
              <w:jc w:val="right"/>
              <w:rPr>
                <w:rFonts w:ascii="Calibri" w:eastAsia="Times New Roman" w:hAnsi="Calibri" w:cs="Calibri"/>
              </w:rPr>
            </w:pPr>
            <w:r w:rsidRPr="00BC21C4">
              <w:t xml:space="preserve"> $19,471 </w:t>
            </w:r>
          </w:p>
        </w:tc>
      </w:tr>
      <w:tr w:rsidR="001B6918" w:rsidRPr="00BC0847" w14:paraId="2D4CEAF7" w14:textId="77777777" w:rsidTr="00730ECF">
        <w:trPr>
          <w:trHeight w:val="90"/>
        </w:trPr>
        <w:tc>
          <w:tcPr>
            <w:tcW w:w="4410" w:type="dxa"/>
            <w:gridSpan w:val="2"/>
            <w:tcBorders>
              <w:top w:val="nil"/>
              <w:left w:val="nil"/>
              <w:bottom w:val="nil"/>
              <w:right w:val="nil"/>
            </w:tcBorders>
            <w:shd w:val="clear" w:color="000000" w:fill="FFFFFF"/>
            <w:noWrap/>
            <w:vAlign w:val="bottom"/>
          </w:tcPr>
          <w:p w14:paraId="074D8DC7" w14:textId="77777777" w:rsidR="001B6918" w:rsidRPr="00BC21C4" w:rsidRDefault="001B6918" w:rsidP="00730ECF">
            <w:pPr>
              <w:rPr>
                <w:rFonts w:ascii="Calibri" w:hAnsi="Calibri" w:cs="Calibri"/>
                <w:color w:val="0D0D0D"/>
              </w:rPr>
            </w:pPr>
            <w:r>
              <w:rPr>
                <w:rFonts w:ascii="Calibri" w:hAnsi="Calibri" w:cs="Calibri"/>
                <w:color w:val="0D0D0D"/>
              </w:rPr>
              <w:t>Perkins savings account</w:t>
            </w:r>
          </w:p>
        </w:tc>
        <w:tc>
          <w:tcPr>
            <w:tcW w:w="1007" w:type="dxa"/>
            <w:tcBorders>
              <w:top w:val="nil"/>
              <w:left w:val="nil"/>
              <w:bottom w:val="nil"/>
              <w:right w:val="nil"/>
            </w:tcBorders>
            <w:shd w:val="clear" w:color="000000" w:fill="FFFFFF"/>
            <w:noWrap/>
          </w:tcPr>
          <w:p w14:paraId="4544AF42" w14:textId="77777777" w:rsidR="001B6918" w:rsidRPr="00BC21C4" w:rsidRDefault="001B6918" w:rsidP="00730ECF">
            <w:pPr>
              <w:jc w:val="right"/>
            </w:pPr>
            <w:r w:rsidRPr="00BC21C4">
              <w:t xml:space="preserve"> - </w:t>
            </w:r>
          </w:p>
        </w:tc>
        <w:tc>
          <w:tcPr>
            <w:tcW w:w="1480" w:type="dxa"/>
            <w:tcBorders>
              <w:top w:val="nil"/>
              <w:left w:val="nil"/>
              <w:bottom w:val="nil"/>
              <w:right w:val="nil"/>
            </w:tcBorders>
            <w:shd w:val="clear" w:color="000000" w:fill="FFFFFF"/>
            <w:noWrap/>
          </w:tcPr>
          <w:p w14:paraId="77045801" w14:textId="77777777" w:rsidR="001B6918" w:rsidRPr="00BC21C4" w:rsidRDefault="001B6918" w:rsidP="00730ECF">
            <w:pPr>
              <w:jc w:val="right"/>
            </w:pPr>
            <w:r w:rsidRPr="00BC21C4">
              <w:t xml:space="preserve"> 71 </w:t>
            </w:r>
          </w:p>
        </w:tc>
        <w:tc>
          <w:tcPr>
            <w:tcW w:w="1375" w:type="dxa"/>
            <w:tcBorders>
              <w:top w:val="nil"/>
              <w:left w:val="nil"/>
              <w:bottom w:val="nil"/>
              <w:right w:val="nil"/>
            </w:tcBorders>
            <w:shd w:val="clear" w:color="000000" w:fill="FFFFFF"/>
            <w:noWrap/>
          </w:tcPr>
          <w:p w14:paraId="7CB1272E" w14:textId="77777777" w:rsidR="001B6918" w:rsidRPr="00BC21C4" w:rsidRDefault="001B6918" w:rsidP="00730ECF">
            <w:pPr>
              <w:jc w:val="right"/>
            </w:pPr>
            <w:r w:rsidRPr="00BC21C4">
              <w:t xml:space="preserve"> - </w:t>
            </w:r>
          </w:p>
        </w:tc>
        <w:tc>
          <w:tcPr>
            <w:tcW w:w="1664" w:type="dxa"/>
            <w:tcBorders>
              <w:top w:val="nil"/>
              <w:left w:val="nil"/>
              <w:bottom w:val="nil"/>
              <w:right w:val="nil"/>
            </w:tcBorders>
            <w:shd w:val="clear" w:color="000000" w:fill="FFFFFF"/>
            <w:noWrap/>
          </w:tcPr>
          <w:p w14:paraId="333903A0" w14:textId="77777777" w:rsidR="001B6918" w:rsidRPr="00BC21C4" w:rsidRDefault="001B6918" w:rsidP="00730ECF">
            <w:pPr>
              <w:jc w:val="right"/>
            </w:pPr>
            <w:r w:rsidRPr="00BC21C4">
              <w:t xml:space="preserve"> 71 </w:t>
            </w:r>
          </w:p>
        </w:tc>
      </w:tr>
      <w:tr w:rsidR="001B6918" w:rsidRPr="00BC0847" w14:paraId="00DDFA93" w14:textId="77777777" w:rsidTr="00730ECF">
        <w:trPr>
          <w:trHeight w:val="90"/>
        </w:trPr>
        <w:tc>
          <w:tcPr>
            <w:tcW w:w="4410" w:type="dxa"/>
            <w:gridSpan w:val="2"/>
            <w:tcBorders>
              <w:top w:val="nil"/>
              <w:left w:val="nil"/>
              <w:bottom w:val="nil"/>
              <w:right w:val="nil"/>
            </w:tcBorders>
            <w:shd w:val="clear" w:color="000000" w:fill="FFFFFF"/>
            <w:noWrap/>
            <w:vAlign w:val="bottom"/>
            <w:hideMark/>
          </w:tcPr>
          <w:p w14:paraId="7ADED766" w14:textId="77777777" w:rsidR="001B6918" w:rsidRPr="00BC0847" w:rsidRDefault="001B6918" w:rsidP="00730ECF">
            <w:pPr>
              <w:rPr>
                <w:rFonts w:ascii="Calibri" w:eastAsia="Times New Roman" w:hAnsi="Calibri" w:cs="Calibri"/>
                <w:color w:val="0D0D0D"/>
              </w:rPr>
            </w:pPr>
            <w:r w:rsidRPr="00DF6043">
              <w:rPr>
                <w:rFonts w:ascii="Calibri" w:eastAsia="Times New Roman" w:hAnsi="Calibri" w:cs="Calibri"/>
                <w:color w:val="0D0D0D"/>
              </w:rPr>
              <w:t>Lease Receivables</w:t>
            </w:r>
          </w:p>
        </w:tc>
        <w:tc>
          <w:tcPr>
            <w:tcW w:w="1007" w:type="dxa"/>
            <w:tcBorders>
              <w:top w:val="nil"/>
              <w:left w:val="nil"/>
              <w:bottom w:val="nil"/>
              <w:right w:val="nil"/>
            </w:tcBorders>
            <w:shd w:val="clear" w:color="000000" w:fill="FFFFFF"/>
            <w:noWrap/>
            <w:hideMark/>
          </w:tcPr>
          <w:p w14:paraId="51FA63CF" w14:textId="77777777" w:rsidR="001B6918" w:rsidRPr="00BC21C4" w:rsidRDefault="001B6918" w:rsidP="00730ECF">
            <w:pPr>
              <w:jc w:val="right"/>
              <w:rPr>
                <w:rFonts w:ascii="Calibri" w:eastAsia="Times New Roman" w:hAnsi="Calibri" w:cs="Calibri"/>
              </w:rPr>
            </w:pPr>
            <w:r w:rsidRPr="00BC21C4">
              <w:t xml:space="preserve"> - </w:t>
            </w:r>
          </w:p>
        </w:tc>
        <w:tc>
          <w:tcPr>
            <w:tcW w:w="1480" w:type="dxa"/>
            <w:tcBorders>
              <w:top w:val="nil"/>
              <w:left w:val="nil"/>
              <w:bottom w:val="nil"/>
              <w:right w:val="nil"/>
            </w:tcBorders>
            <w:shd w:val="clear" w:color="000000" w:fill="FFFFFF"/>
            <w:noWrap/>
            <w:hideMark/>
          </w:tcPr>
          <w:p w14:paraId="0DD3CA81" w14:textId="77777777" w:rsidR="001B6918" w:rsidRPr="00BC21C4" w:rsidRDefault="001B6918" w:rsidP="00730ECF">
            <w:pPr>
              <w:jc w:val="right"/>
              <w:rPr>
                <w:rFonts w:ascii="Calibri" w:eastAsia="Times New Roman" w:hAnsi="Calibri" w:cs="Calibri"/>
              </w:rPr>
            </w:pPr>
            <w:r w:rsidRPr="00BC21C4">
              <w:t xml:space="preserve"> 47 </w:t>
            </w:r>
          </w:p>
        </w:tc>
        <w:tc>
          <w:tcPr>
            <w:tcW w:w="1375" w:type="dxa"/>
            <w:tcBorders>
              <w:top w:val="nil"/>
              <w:left w:val="nil"/>
              <w:bottom w:val="nil"/>
              <w:right w:val="nil"/>
            </w:tcBorders>
            <w:shd w:val="clear" w:color="000000" w:fill="FFFFFF"/>
            <w:noWrap/>
            <w:hideMark/>
          </w:tcPr>
          <w:p w14:paraId="110C6339" w14:textId="77777777" w:rsidR="001B6918" w:rsidRPr="00BC21C4" w:rsidRDefault="001B6918" w:rsidP="00730ECF">
            <w:pPr>
              <w:jc w:val="right"/>
              <w:rPr>
                <w:rFonts w:ascii="Calibri" w:eastAsia="Times New Roman" w:hAnsi="Calibri" w:cs="Calibri"/>
              </w:rPr>
            </w:pPr>
            <w:r w:rsidRPr="00BC21C4">
              <w:t xml:space="preserve"> - </w:t>
            </w:r>
          </w:p>
        </w:tc>
        <w:tc>
          <w:tcPr>
            <w:tcW w:w="1664" w:type="dxa"/>
            <w:tcBorders>
              <w:top w:val="nil"/>
              <w:left w:val="nil"/>
              <w:bottom w:val="nil"/>
              <w:right w:val="nil"/>
            </w:tcBorders>
            <w:shd w:val="clear" w:color="000000" w:fill="FFFFFF"/>
            <w:noWrap/>
            <w:hideMark/>
          </w:tcPr>
          <w:p w14:paraId="23474991" w14:textId="77777777" w:rsidR="001B6918" w:rsidRPr="00BC21C4" w:rsidRDefault="001B6918" w:rsidP="00730ECF">
            <w:pPr>
              <w:jc w:val="right"/>
              <w:rPr>
                <w:rFonts w:ascii="Calibri" w:eastAsia="Times New Roman" w:hAnsi="Calibri" w:cs="Calibri"/>
              </w:rPr>
            </w:pPr>
            <w:r w:rsidRPr="00BC21C4">
              <w:t xml:space="preserve"> 47 </w:t>
            </w:r>
          </w:p>
        </w:tc>
      </w:tr>
      <w:tr w:rsidR="001B6918" w:rsidRPr="00BC0847" w14:paraId="0FF4B55F" w14:textId="77777777" w:rsidTr="00730ECF">
        <w:trPr>
          <w:trHeight w:val="90"/>
        </w:trPr>
        <w:tc>
          <w:tcPr>
            <w:tcW w:w="4410" w:type="dxa"/>
            <w:gridSpan w:val="2"/>
            <w:tcBorders>
              <w:top w:val="nil"/>
              <w:left w:val="nil"/>
              <w:bottom w:val="nil"/>
              <w:right w:val="nil"/>
            </w:tcBorders>
            <w:shd w:val="clear" w:color="000000" w:fill="FFFFFF"/>
            <w:noWrap/>
            <w:vAlign w:val="bottom"/>
            <w:hideMark/>
          </w:tcPr>
          <w:p w14:paraId="5EE28409" w14:textId="77777777" w:rsidR="001B6918" w:rsidRPr="00BC0847" w:rsidRDefault="001B6918" w:rsidP="00730ECF">
            <w:pPr>
              <w:rPr>
                <w:rFonts w:ascii="Calibri" w:eastAsia="Times New Roman" w:hAnsi="Calibri" w:cs="Calibri"/>
                <w:color w:val="0D0D0D"/>
              </w:rPr>
            </w:pPr>
            <w:r w:rsidRPr="00BC0847">
              <w:rPr>
                <w:rFonts w:ascii="Calibri" w:eastAsia="Times New Roman" w:hAnsi="Calibri" w:cs="Calibri"/>
                <w:color w:val="0D0D0D"/>
              </w:rPr>
              <w:t>Deposits with trustees</w:t>
            </w:r>
          </w:p>
        </w:tc>
        <w:tc>
          <w:tcPr>
            <w:tcW w:w="1007" w:type="dxa"/>
            <w:tcBorders>
              <w:top w:val="nil"/>
              <w:left w:val="nil"/>
              <w:bottom w:val="single" w:sz="4" w:space="0" w:color="000000"/>
              <w:right w:val="nil"/>
            </w:tcBorders>
            <w:shd w:val="clear" w:color="000000" w:fill="FFFFFF"/>
            <w:noWrap/>
            <w:hideMark/>
          </w:tcPr>
          <w:p w14:paraId="32F034AC" w14:textId="77777777" w:rsidR="001B6918" w:rsidRPr="00BC21C4" w:rsidRDefault="001B6918" w:rsidP="00730ECF">
            <w:pPr>
              <w:jc w:val="right"/>
              <w:rPr>
                <w:rFonts w:ascii="Calibri" w:eastAsia="Times New Roman" w:hAnsi="Calibri" w:cs="Calibri"/>
              </w:rPr>
            </w:pPr>
            <w:r w:rsidRPr="00BC21C4">
              <w:t xml:space="preserve"> - </w:t>
            </w:r>
          </w:p>
        </w:tc>
        <w:tc>
          <w:tcPr>
            <w:tcW w:w="1480" w:type="dxa"/>
            <w:tcBorders>
              <w:top w:val="nil"/>
              <w:left w:val="nil"/>
              <w:bottom w:val="single" w:sz="4" w:space="0" w:color="000000"/>
              <w:right w:val="nil"/>
            </w:tcBorders>
            <w:shd w:val="clear" w:color="000000" w:fill="FFFFFF"/>
            <w:noWrap/>
            <w:hideMark/>
          </w:tcPr>
          <w:p w14:paraId="442182E6" w14:textId="77777777" w:rsidR="001B6918" w:rsidRPr="00BC21C4" w:rsidRDefault="001B6918" w:rsidP="00730ECF">
            <w:pPr>
              <w:jc w:val="right"/>
              <w:rPr>
                <w:rFonts w:ascii="Calibri" w:eastAsia="Times New Roman" w:hAnsi="Calibri" w:cs="Calibri"/>
              </w:rPr>
            </w:pPr>
            <w:r w:rsidRPr="00BC21C4">
              <w:t xml:space="preserve"> 145 </w:t>
            </w:r>
          </w:p>
        </w:tc>
        <w:tc>
          <w:tcPr>
            <w:tcW w:w="1375" w:type="dxa"/>
            <w:tcBorders>
              <w:top w:val="nil"/>
              <w:left w:val="nil"/>
              <w:bottom w:val="single" w:sz="4" w:space="0" w:color="000000"/>
              <w:right w:val="nil"/>
            </w:tcBorders>
            <w:shd w:val="clear" w:color="000000" w:fill="FFFFFF"/>
            <w:noWrap/>
            <w:hideMark/>
          </w:tcPr>
          <w:p w14:paraId="54A79848" w14:textId="3673094A" w:rsidR="001B6918" w:rsidRPr="00BC21C4" w:rsidRDefault="008E0946" w:rsidP="00730ECF">
            <w:pPr>
              <w:jc w:val="right"/>
              <w:rPr>
                <w:rFonts w:ascii="Calibri" w:eastAsia="Times New Roman" w:hAnsi="Calibri" w:cs="Calibri"/>
              </w:rPr>
            </w:pPr>
            <w:r>
              <w:t>-</w:t>
            </w:r>
          </w:p>
        </w:tc>
        <w:tc>
          <w:tcPr>
            <w:tcW w:w="1664" w:type="dxa"/>
            <w:tcBorders>
              <w:top w:val="nil"/>
              <w:left w:val="nil"/>
              <w:bottom w:val="single" w:sz="4" w:space="0" w:color="000000"/>
              <w:right w:val="nil"/>
            </w:tcBorders>
            <w:shd w:val="clear" w:color="000000" w:fill="FFFFFF"/>
            <w:noWrap/>
            <w:hideMark/>
          </w:tcPr>
          <w:p w14:paraId="3C89DD1F" w14:textId="77777777" w:rsidR="001B6918" w:rsidRPr="00BC21C4" w:rsidRDefault="001B6918" w:rsidP="00730ECF">
            <w:pPr>
              <w:jc w:val="right"/>
              <w:rPr>
                <w:rFonts w:ascii="Calibri" w:eastAsia="Times New Roman" w:hAnsi="Calibri" w:cs="Calibri"/>
              </w:rPr>
            </w:pPr>
            <w:r w:rsidRPr="00BC21C4">
              <w:t xml:space="preserve"> 145 </w:t>
            </w:r>
          </w:p>
        </w:tc>
      </w:tr>
      <w:tr w:rsidR="001B6918" w:rsidRPr="00BC0847" w14:paraId="188E0C2C" w14:textId="77777777" w:rsidTr="00730ECF">
        <w:trPr>
          <w:trHeight w:val="80"/>
        </w:trPr>
        <w:tc>
          <w:tcPr>
            <w:tcW w:w="4410" w:type="dxa"/>
            <w:gridSpan w:val="2"/>
            <w:tcBorders>
              <w:top w:val="nil"/>
              <w:left w:val="nil"/>
              <w:bottom w:val="nil"/>
              <w:right w:val="nil"/>
            </w:tcBorders>
            <w:shd w:val="clear" w:color="000000" w:fill="FFFFFF"/>
            <w:noWrap/>
            <w:vAlign w:val="bottom"/>
            <w:hideMark/>
          </w:tcPr>
          <w:p w14:paraId="39DEBF73" w14:textId="77777777" w:rsidR="001B6918" w:rsidRPr="00BC0847" w:rsidRDefault="001B6918" w:rsidP="00730ECF">
            <w:pPr>
              <w:rPr>
                <w:rFonts w:ascii="Calibri" w:eastAsia="Times New Roman" w:hAnsi="Calibri" w:cs="Calibri"/>
                <w:color w:val="0D0D0D"/>
              </w:rPr>
            </w:pPr>
            <w:r w:rsidRPr="00BC0847">
              <w:rPr>
                <w:rFonts w:ascii="Calibri" w:eastAsia="Times New Roman" w:hAnsi="Calibri" w:cs="Calibri"/>
                <w:color w:val="0D0D0D"/>
              </w:rPr>
              <w:t>Total other investment income (loss)</w:t>
            </w:r>
          </w:p>
        </w:tc>
        <w:tc>
          <w:tcPr>
            <w:tcW w:w="1007" w:type="dxa"/>
            <w:tcBorders>
              <w:top w:val="nil"/>
              <w:left w:val="nil"/>
              <w:bottom w:val="double" w:sz="6" w:space="0" w:color="000000"/>
              <w:right w:val="nil"/>
            </w:tcBorders>
            <w:shd w:val="clear" w:color="000000" w:fill="FFFFFF"/>
            <w:noWrap/>
            <w:hideMark/>
          </w:tcPr>
          <w:p w14:paraId="316372A0" w14:textId="77777777" w:rsidR="001B6918" w:rsidRPr="00983460" w:rsidRDefault="001B6918" w:rsidP="00730ECF">
            <w:pPr>
              <w:jc w:val="right"/>
              <w:rPr>
                <w:rFonts w:ascii="Calibri" w:eastAsia="Times New Roman" w:hAnsi="Calibri" w:cs="Calibri"/>
                <w:color w:val="FF0000"/>
              </w:rPr>
            </w:pPr>
            <w:r w:rsidRPr="005527DA">
              <w:t xml:space="preserve"> $6,869 </w:t>
            </w:r>
          </w:p>
        </w:tc>
        <w:tc>
          <w:tcPr>
            <w:tcW w:w="1480" w:type="dxa"/>
            <w:tcBorders>
              <w:top w:val="nil"/>
              <w:left w:val="nil"/>
              <w:bottom w:val="double" w:sz="6" w:space="0" w:color="000000"/>
              <w:right w:val="nil"/>
            </w:tcBorders>
            <w:noWrap/>
            <w:hideMark/>
          </w:tcPr>
          <w:p w14:paraId="4F31216A" w14:textId="77777777" w:rsidR="001B6918" w:rsidRPr="00983460" w:rsidRDefault="001B6918" w:rsidP="00730ECF">
            <w:pPr>
              <w:jc w:val="right"/>
              <w:rPr>
                <w:rFonts w:ascii="Calibri" w:eastAsia="Times New Roman" w:hAnsi="Calibri" w:cs="Calibri"/>
                <w:color w:val="FF0000"/>
              </w:rPr>
            </w:pPr>
            <w:r w:rsidRPr="005527DA">
              <w:t xml:space="preserve"> $13,413 </w:t>
            </w:r>
          </w:p>
        </w:tc>
        <w:tc>
          <w:tcPr>
            <w:tcW w:w="1375" w:type="dxa"/>
            <w:tcBorders>
              <w:top w:val="nil"/>
              <w:left w:val="nil"/>
              <w:bottom w:val="double" w:sz="6" w:space="0" w:color="000000"/>
              <w:right w:val="nil"/>
            </w:tcBorders>
            <w:shd w:val="clear" w:color="000000" w:fill="FFFFFF"/>
            <w:noWrap/>
            <w:hideMark/>
          </w:tcPr>
          <w:p w14:paraId="2ADBCFAD" w14:textId="58B7CBA4" w:rsidR="001B6918" w:rsidRPr="00983460" w:rsidRDefault="001B6918" w:rsidP="00730ECF">
            <w:pPr>
              <w:jc w:val="right"/>
              <w:rPr>
                <w:rFonts w:ascii="Calibri" w:eastAsia="Times New Roman" w:hAnsi="Calibri" w:cs="Calibri"/>
                <w:color w:val="FF0000"/>
              </w:rPr>
            </w:pPr>
            <w:r w:rsidRPr="005527DA">
              <w:t xml:space="preserve"> $(</w:t>
            </w:r>
            <w:r w:rsidR="008E0946" w:rsidRPr="005527DA">
              <w:t>54</w:t>
            </w:r>
            <w:r w:rsidR="008E0946">
              <w:t>8</w:t>
            </w:r>
            <w:r w:rsidRPr="005527DA">
              <w:t>)</w:t>
            </w:r>
          </w:p>
        </w:tc>
        <w:tc>
          <w:tcPr>
            <w:tcW w:w="1664" w:type="dxa"/>
            <w:tcBorders>
              <w:top w:val="nil"/>
              <w:left w:val="nil"/>
              <w:bottom w:val="double" w:sz="6" w:space="0" w:color="000000"/>
              <w:right w:val="nil"/>
            </w:tcBorders>
            <w:shd w:val="clear" w:color="000000" w:fill="FFFFFF"/>
            <w:noWrap/>
            <w:hideMark/>
          </w:tcPr>
          <w:p w14:paraId="4DBAF677" w14:textId="77777777" w:rsidR="001B6918" w:rsidRPr="00983460" w:rsidRDefault="001B6918" w:rsidP="00730ECF">
            <w:pPr>
              <w:jc w:val="right"/>
              <w:rPr>
                <w:rFonts w:ascii="Calibri" w:eastAsia="Times New Roman" w:hAnsi="Calibri" w:cs="Calibri"/>
                <w:color w:val="FF0000"/>
              </w:rPr>
            </w:pPr>
            <w:r w:rsidRPr="005527DA">
              <w:t xml:space="preserve"> $19,734 </w:t>
            </w:r>
          </w:p>
        </w:tc>
      </w:tr>
    </w:tbl>
    <w:p w14:paraId="1C75BEC4" w14:textId="77777777" w:rsidR="001B6918" w:rsidRDefault="001B6918" w:rsidP="001B6918">
      <w:pPr>
        <w:spacing w:after="160" w:line="259" w:lineRule="auto"/>
      </w:pPr>
      <w:r>
        <w:br w:type="page"/>
      </w:r>
    </w:p>
    <w:p w14:paraId="6C242351" w14:textId="77777777" w:rsidR="001B6918" w:rsidRPr="00A02D27" w:rsidRDefault="001B6918" w:rsidP="001B6918">
      <w:pPr>
        <w:spacing w:after="160"/>
        <w:rPr>
          <w:rFonts w:eastAsiaTheme="majorEastAsia" w:cstheme="minorHAnsi"/>
          <w:b/>
          <w:i/>
          <w:iCs/>
          <w:smallCaps/>
          <w:noProof/>
          <w:color w:val="000000" w:themeColor="text1"/>
          <w:sz w:val="24"/>
          <w:szCs w:val="24"/>
          <w:u w:color="5B9BD5"/>
        </w:rPr>
      </w:pPr>
      <w:r w:rsidRPr="00A02D27">
        <w:rPr>
          <w:rFonts w:eastAsiaTheme="majorEastAsia" w:cstheme="minorHAnsi"/>
          <w:b/>
          <w:i/>
          <w:iCs/>
          <w:smallCaps/>
          <w:noProof/>
          <w:color w:val="000000" w:themeColor="text1"/>
          <w:sz w:val="24"/>
          <w:szCs w:val="24"/>
          <w:u w:color="5B9BD5"/>
        </w:rPr>
        <w:lastRenderedPageBreak/>
        <w:t>3. INVESTMENTS - CONTINUED</w:t>
      </w:r>
      <w:r w:rsidRPr="00A02D27" w:rsidDel="00453556">
        <w:rPr>
          <w:rFonts w:eastAsiaTheme="majorEastAsia" w:cstheme="minorHAnsi"/>
          <w:b/>
          <w:i/>
          <w:iCs/>
          <w:smallCaps/>
          <w:noProof/>
          <w:color w:val="000000" w:themeColor="text1"/>
          <w:sz w:val="24"/>
          <w:szCs w:val="24"/>
          <w:u w:color="5B9BD5"/>
        </w:rPr>
        <w:t xml:space="preserve"> </w:t>
      </w:r>
    </w:p>
    <w:tbl>
      <w:tblPr>
        <w:tblW w:w="9810" w:type="dxa"/>
        <w:tblLook w:val="04A0" w:firstRow="1" w:lastRow="0" w:firstColumn="1" w:lastColumn="0" w:noHBand="0" w:noVBand="1"/>
      </w:tblPr>
      <w:tblGrid>
        <w:gridCol w:w="4590"/>
        <w:gridCol w:w="1074"/>
        <w:gridCol w:w="1356"/>
        <w:gridCol w:w="1339"/>
        <w:gridCol w:w="1451"/>
      </w:tblGrid>
      <w:tr w:rsidR="001B6918" w:rsidRPr="00BC0847" w14:paraId="5F451FF7" w14:textId="77777777" w:rsidTr="00730ECF">
        <w:trPr>
          <w:trHeight w:val="198"/>
        </w:trPr>
        <w:tc>
          <w:tcPr>
            <w:tcW w:w="9810" w:type="dxa"/>
            <w:gridSpan w:val="5"/>
            <w:tcBorders>
              <w:top w:val="nil"/>
              <w:left w:val="nil"/>
              <w:bottom w:val="single" w:sz="12" w:space="0" w:color="000000"/>
              <w:right w:val="nil"/>
            </w:tcBorders>
            <w:shd w:val="clear" w:color="000000" w:fill="FFFFFF"/>
            <w:noWrap/>
            <w:vAlign w:val="bottom"/>
            <w:hideMark/>
          </w:tcPr>
          <w:p w14:paraId="416BCA85" w14:textId="77777777" w:rsidR="001B6918" w:rsidRPr="00BC0847" w:rsidRDefault="001B6918" w:rsidP="00730ECF">
            <w:pPr>
              <w:jc w:val="center"/>
              <w:rPr>
                <w:rFonts w:ascii="Calibri" w:eastAsia="Times New Roman" w:hAnsi="Calibri" w:cs="Calibri"/>
                <w:b/>
                <w:bCs/>
                <w:color w:val="0D0D0D"/>
              </w:rPr>
            </w:pPr>
            <w:r w:rsidRPr="00BC0847">
              <w:rPr>
                <w:rFonts w:ascii="Calibri" w:eastAsia="Times New Roman" w:hAnsi="Calibri" w:cs="Calibri"/>
                <w:b/>
                <w:bCs/>
                <w:color w:val="0D0D0D"/>
              </w:rPr>
              <w:t>202</w:t>
            </w:r>
            <w:r>
              <w:rPr>
                <w:rFonts w:ascii="Calibri" w:eastAsia="Times New Roman" w:hAnsi="Calibri" w:cs="Calibri"/>
                <w:b/>
                <w:bCs/>
                <w:color w:val="0D0D0D"/>
              </w:rPr>
              <w:t>4</w:t>
            </w:r>
          </w:p>
        </w:tc>
      </w:tr>
      <w:tr w:rsidR="001B6918" w:rsidRPr="00BC0847" w14:paraId="12E2E15A" w14:textId="77777777" w:rsidTr="00730ECF">
        <w:trPr>
          <w:trHeight w:val="393"/>
        </w:trPr>
        <w:tc>
          <w:tcPr>
            <w:tcW w:w="4590" w:type="dxa"/>
            <w:tcBorders>
              <w:top w:val="nil"/>
              <w:left w:val="nil"/>
              <w:bottom w:val="single" w:sz="12" w:space="0" w:color="000000"/>
              <w:right w:val="nil"/>
            </w:tcBorders>
            <w:shd w:val="clear" w:color="000000" w:fill="FFFFFF"/>
            <w:noWrap/>
            <w:vAlign w:val="bottom"/>
            <w:hideMark/>
          </w:tcPr>
          <w:p w14:paraId="79E823CA" w14:textId="77777777" w:rsidR="001B6918" w:rsidRPr="00BC0847" w:rsidRDefault="001B6918" w:rsidP="00730ECF">
            <w:pPr>
              <w:jc w:val="center"/>
              <w:rPr>
                <w:rFonts w:ascii="Calibri" w:eastAsia="Times New Roman" w:hAnsi="Calibri" w:cs="Calibri"/>
                <w:b/>
                <w:bCs/>
                <w:color w:val="0D0D0D"/>
              </w:rPr>
            </w:pPr>
            <w:r w:rsidRPr="00BC0847">
              <w:rPr>
                <w:rFonts w:ascii="Calibri" w:eastAsia="Times New Roman" w:hAnsi="Calibri" w:cs="Calibri"/>
                <w:b/>
                <w:bCs/>
                <w:color w:val="0D0D0D"/>
              </w:rPr>
              <w:t> </w:t>
            </w:r>
          </w:p>
        </w:tc>
        <w:tc>
          <w:tcPr>
            <w:tcW w:w="1074" w:type="dxa"/>
            <w:tcBorders>
              <w:top w:val="nil"/>
              <w:left w:val="nil"/>
              <w:bottom w:val="single" w:sz="12" w:space="0" w:color="000000"/>
              <w:right w:val="nil"/>
            </w:tcBorders>
            <w:shd w:val="clear" w:color="000000" w:fill="FFFFFF"/>
            <w:vAlign w:val="bottom"/>
            <w:hideMark/>
          </w:tcPr>
          <w:p w14:paraId="59B1ED26" w14:textId="77777777" w:rsidR="001B6918" w:rsidRPr="00BC0847" w:rsidRDefault="001B6918" w:rsidP="00730ECF">
            <w:pPr>
              <w:jc w:val="center"/>
              <w:rPr>
                <w:rFonts w:ascii="Calibri" w:eastAsia="Times New Roman" w:hAnsi="Calibri" w:cs="Calibri"/>
                <w:b/>
                <w:bCs/>
                <w:color w:val="0D0D0D"/>
              </w:rPr>
            </w:pPr>
            <w:r w:rsidRPr="00BC0847">
              <w:rPr>
                <w:rFonts w:ascii="Calibri" w:eastAsia="Times New Roman" w:hAnsi="Calibri" w:cs="Calibri"/>
                <w:b/>
                <w:bCs/>
                <w:color w:val="0D0D0D"/>
              </w:rPr>
              <w:t>Net</w:t>
            </w:r>
            <w:r>
              <w:rPr>
                <w:rFonts w:ascii="Calibri" w:eastAsia="Times New Roman" w:hAnsi="Calibri" w:cs="Calibri"/>
                <w:b/>
                <w:bCs/>
                <w:color w:val="0D0D0D"/>
              </w:rPr>
              <w:t xml:space="preserve"> </w:t>
            </w:r>
            <w:r w:rsidRPr="00BC0847">
              <w:rPr>
                <w:rFonts w:ascii="Calibri" w:eastAsia="Times New Roman" w:hAnsi="Calibri" w:cs="Calibri"/>
                <w:b/>
                <w:bCs/>
                <w:color w:val="0D0D0D"/>
              </w:rPr>
              <w:t>Gains</w:t>
            </w:r>
          </w:p>
        </w:tc>
        <w:tc>
          <w:tcPr>
            <w:tcW w:w="1356" w:type="dxa"/>
            <w:tcBorders>
              <w:top w:val="nil"/>
              <w:left w:val="nil"/>
              <w:bottom w:val="single" w:sz="12" w:space="0" w:color="000000"/>
              <w:right w:val="nil"/>
            </w:tcBorders>
            <w:shd w:val="clear" w:color="000000" w:fill="FFFFFF"/>
            <w:vAlign w:val="bottom"/>
            <w:hideMark/>
          </w:tcPr>
          <w:p w14:paraId="19E3B2E2" w14:textId="77777777" w:rsidR="001B6918" w:rsidRPr="00BC0847" w:rsidRDefault="001B6918" w:rsidP="00730ECF">
            <w:pPr>
              <w:jc w:val="center"/>
              <w:rPr>
                <w:rFonts w:ascii="Calibri" w:eastAsia="Times New Roman" w:hAnsi="Calibri" w:cs="Calibri"/>
                <w:b/>
                <w:bCs/>
                <w:color w:val="0D0D0D"/>
              </w:rPr>
            </w:pPr>
            <w:r w:rsidRPr="00BC0847">
              <w:rPr>
                <w:rFonts w:ascii="Calibri" w:eastAsia="Times New Roman" w:hAnsi="Calibri" w:cs="Calibri"/>
                <w:b/>
                <w:bCs/>
                <w:color w:val="0D0D0D"/>
              </w:rPr>
              <w:t>Interest</w:t>
            </w:r>
            <w:r>
              <w:rPr>
                <w:rFonts w:ascii="Calibri" w:eastAsia="Times New Roman" w:hAnsi="Calibri" w:cs="Calibri"/>
                <w:b/>
                <w:bCs/>
                <w:color w:val="0D0D0D"/>
              </w:rPr>
              <w:t xml:space="preserve"> </w:t>
            </w:r>
            <w:r w:rsidRPr="00BC0847">
              <w:rPr>
                <w:rFonts w:ascii="Calibri" w:eastAsia="Times New Roman" w:hAnsi="Calibri" w:cs="Calibri"/>
                <w:b/>
                <w:bCs/>
                <w:color w:val="0D0D0D"/>
              </w:rPr>
              <w:t>and</w:t>
            </w:r>
            <w:r>
              <w:rPr>
                <w:rFonts w:ascii="Calibri" w:eastAsia="Times New Roman" w:hAnsi="Calibri" w:cs="Calibri"/>
                <w:b/>
                <w:bCs/>
                <w:color w:val="0D0D0D"/>
              </w:rPr>
              <w:t xml:space="preserve"> </w:t>
            </w:r>
            <w:r w:rsidRPr="00BC0847">
              <w:rPr>
                <w:rFonts w:ascii="Calibri" w:eastAsia="Times New Roman" w:hAnsi="Calibri" w:cs="Calibri"/>
                <w:b/>
                <w:bCs/>
                <w:color w:val="0D0D0D"/>
              </w:rPr>
              <w:t>Dividends</w:t>
            </w:r>
          </w:p>
        </w:tc>
        <w:tc>
          <w:tcPr>
            <w:tcW w:w="1339" w:type="dxa"/>
            <w:tcBorders>
              <w:top w:val="nil"/>
              <w:left w:val="nil"/>
              <w:bottom w:val="single" w:sz="12" w:space="0" w:color="000000"/>
              <w:right w:val="nil"/>
            </w:tcBorders>
            <w:shd w:val="clear" w:color="000000" w:fill="FFFFFF"/>
            <w:vAlign w:val="bottom"/>
            <w:hideMark/>
          </w:tcPr>
          <w:p w14:paraId="4F52470A" w14:textId="77777777" w:rsidR="001B6918" w:rsidRPr="00BC0847" w:rsidRDefault="001B6918" w:rsidP="00730ECF">
            <w:pPr>
              <w:jc w:val="center"/>
              <w:rPr>
                <w:rFonts w:ascii="Calibri" w:eastAsia="Times New Roman" w:hAnsi="Calibri" w:cs="Calibri"/>
                <w:b/>
                <w:bCs/>
                <w:color w:val="0D0D0D"/>
              </w:rPr>
            </w:pPr>
            <w:r w:rsidRPr="00BC0847">
              <w:rPr>
                <w:rFonts w:ascii="Calibri" w:eastAsia="Times New Roman" w:hAnsi="Calibri" w:cs="Calibri"/>
                <w:b/>
                <w:bCs/>
                <w:color w:val="0D0D0D"/>
              </w:rPr>
              <w:t>Investment</w:t>
            </w:r>
            <w:r>
              <w:rPr>
                <w:rFonts w:ascii="Calibri" w:eastAsia="Times New Roman" w:hAnsi="Calibri" w:cs="Calibri"/>
                <w:b/>
                <w:bCs/>
                <w:color w:val="0D0D0D"/>
              </w:rPr>
              <w:t xml:space="preserve"> </w:t>
            </w:r>
            <w:r w:rsidRPr="00BC0847">
              <w:rPr>
                <w:rFonts w:ascii="Calibri" w:eastAsia="Times New Roman" w:hAnsi="Calibri" w:cs="Calibri"/>
                <w:b/>
                <w:bCs/>
                <w:color w:val="0D0D0D"/>
              </w:rPr>
              <w:t>Fees</w:t>
            </w:r>
          </w:p>
        </w:tc>
        <w:tc>
          <w:tcPr>
            <w:tcW w:w="1451" w:type="dxa"/>
            <w:tcBorders>
              <w:top w:val="nil"/>
              <w:left w:val="nil"/>
              <w:bottom w:val="single" w:sz="12" w:space="0" w:color="000000"/>
              <w:right w:val="nil"/>
            </w:tcBorders>
            <w:shd w:val="clear" w:color="000000" w:fill="FFFFFF"/>
            <w:vAlign w:val="bottom"/>
            <w:hideMark/>
          </w:tcPr>
          <w:p w14:paraId="227C3AA7" w14:textId="77777777" w:rsidR="001B6918" w:rsidRPr="00BC0847" w:rsidRDefault="001B6918" w:rsidP="00730ECF">
            <w:pPr>
              <w:jc w:val="center"/>
              <w:rPr>
                <w:rFonts w:ascii="Calibri" w:eastAsia="Times New Roman" w:hAnsi="Calibri" w:cs="Calibri"/>
                <w:b/>
                <w:bCs/>
                <w:color w:val="0D0D0D"/>
              </w:rPr>
            </w:pPr>
            <w:r w:rsidRPr="00BC0847">
              <w:rPr>
                <w:rFonts w:ascii="Calibri" w:eastAsia="Times New Roman" w:hAnsi="Calibri" w:cs="Calibri"/>
                <w:b/>
                <w:bCs/>
                <w:color w:val="0D0D0D"/>
              </w:rPr>
              <w:t>Net</w:t>
            </w:r>
            <w:r>
              <w:rPr>
                <w:rFonts w:ascii="Calibri" w:eastAsia="Times New Roman" w:hAnsi="Calibri" w:cs="Calibri"/>
                <w:b/>
                <w:bCs/>
                <w:color w:val="0D0D0D"/>
              </w:rPr>
              <w:t xml:space="preserve"> </w:t>
            </w:r>
            <w:r w:rsidRPr="00BC0847">
              <w:rPr>
                <w:rFonts w:ascii="Calibri" w:eastAsia="Times New Roman" w:hAnsi="Calibri" w:cs="Calibri"/>
                <w:b/>
                <w:bCs/>
                <w:color w:val="0D0D0D"/>
              </w:rPr>
              <w:t>Income</w:t>
            </w:r>
            <w:r>
              <w:rPr>
                <w:rFonts w:ascii="Calibri" w:eastAsia="Times New Roman" w:hAnsi="Calibri" w:cs="Calibri"/>
                <w:b/>
                <w:bCs/>
                <w:color w:val="0D0D0D"/>
              </w:rPr>
              <w:t xml:space="preserve"> </w:t>
            </w:r>
            <w:r w:rsidRPr="00BC0847">
              <w:rPr>
                <w:rFonts w:ascii="Calibri" w:eastAsia="Times New Roman" w:hAnsi="Calibri" w:cs="Calibri"/>
                <w:b/>
                <w:bCs/>
                <w:color w:val="0D0D0D"/>
              </w:rPr>
              <w:t>(Loss)</w:t>
            </w:r>
          </w:p>
        </w:tc>
      </w:tr>
      <w:tr w:rsidR="001B6918" w:rsidRPr="00BC0847" w14:paraId="65007391" w14:textId="77777777" w:rsidTr="00730ECF">
        <w:trPr>
          <w:trHeight w:val="50"/>
        </w:trPr>
        <w:tc>
          <w:tcPr>
            <w:tcW w:w="4590" w:type="dxa"/>
            <w:tcBorders>
              <w:top w:val="nil"/>
              <w:left w:val="nil"/>
              <w:bottom w:val="nil"/>
              <w:right w:val="nil"/>
            </w:tcBorders>
            <w:shd w:val="clear" w:color="000000" w:fill="FFFFFF"/>
            <w:noWrap/>
            <w:vAlign w:val="bottom"/>
            <w:hideMark/>
          </w:tcPr>
          <w:p w14:paraId="24EBF484" w14:textId="77777777" w:rsidR="001B6918" w:rsidRPr="00BC0847" w:rsidRDefault="001B6918" w:rsidP="00730ECF">
            <w:pPr>
              <w:rPr>
                <w:rFonts w:ascii="Calibri" w:eastAsia="Times New Roman" w:hAnsi="Calibri" w:cs="Calibri"/>
                <w:color w:val="0D0D0D"/>
              </w:rPr>
            </w:pPr>
            <w:r w:rsidRPr="00BC0847">
              <w:rPr>
                <w:rFonts w:ascii="Calibri" w:eastAsia="Times New Roman" w:hAnsi="Calibri" w:cs="Calibri"/>
                <w:color w:val="0D0D0D"/>
              </w:rPr>
              <w:t>Endowment investment income and fees</w:t>
            </w:r>
          </w:p>
        </w:tc>
        <w:tc>
          <w:tcPr>
            <w:tcW w:w="1074" w:type="dxa"/>
            <w:tcBorders>
              <w:top w:val="nil"/>
              <w:left w:val="nil"/>
              <w:bottom w:val="double" w:sz="6" w:space="0" w:color="000000"/>
              <w:right w:val="nil"/>
            </w:tcBorders>
            <w:shd w:val="clear" w:color="000000" w:fill="FFFFFF"/>
            <w:noWrap/>
            <w:vAlign w:val="bottom"/>
            <w:hideMark/>
          </w:tcPr>
          <w:p w14:paraId="0B1035FC" w14:textId="77777777" w:rsidR="001B6918" w:rsidRPr="00BC0847" w:rsidRDefault="001B6918" w:rsidP="00730ECF">
            <w:pPr>
              <w:jc w:val="right"/>
              <w:rPr>
                <w:rFonts w:ascii="Calibri" w:eastAsia="Times New Roman" w:hAnsi="Calibri" w:cs="Calibri"/>
              </w:rPr>
            </w:pPr>
            <w:r w:rsidRPr="00DF6043">
              <w:rPr>
                <w:rFonts w:ascii="Calibri" w:eastAsia="Times New Roman" w:hAnsi="Calibri" w:cs="Calibri"/>
              </w:rPr>
              <w:t>$15,217</w:t>
            </w:r>
          </w:p>
        </w:tc>
        <w:tc>
          <w:tcPr>
            <w:tcW w:w="1356" w:type="dxa"/>
            <w:tcBorders>
              <w:top w:val="nil"/>
              <w:left w:val="nil"/>
              <w:bottom w:val="double" w:sz="6" w:space="0" w:color="000000"/>
              <w:right w:val="nil"/>
            </w:tcBorders>
            <w:shd w:val="clear" w:color="000000" w:fill="FFFFFF"/>
            <w:noWrap/>
            <w:vAlign w:val="bottom"/>
            <w:hideMark/>
          </w:tcPr>
          <w:p w14:paraId="07F3C9B6" w14:textId="77777777" w:rsidR="001B6918" w:rsidRPr="00BC0847" w:rsidRDefault="001B6918" w:rsidP="00730ECF">
            <w:pPr>
              <w:jc w:val="right"/>
              <w:rPr>
                <w:rFonts w:ascii="Calibri" w:eastAsia="Times New Roman" w:hAnsi="Calibri" w:cs="Calibri"/>
              </w:rPr>
            </w:pPr>
            <w:r w:rsidRPr="00DF6043">
              <w:rPr>
                <w:rFonts w:ascii="Calibri" w:eastAsia="Times New Roman" w:hAnsi="Calibri" w:cs="Calibri"/>
              </w:rPr>
              <w:t>$  2,580</w:t>
            </w:r>
          </w:p>
        </w:tc>
        <w:tc>
          <w:tcPr>
            <w:tcW w:w="1339" w:type="dxa"/>
            <w:tcBorders>
              <w:top w:val="nil"/>
              <w:left w:val="nil"/>
              <w:bottom w:val="double" w:sz="6" w:space="0" w:color="000000"/>
              <w:right w:val="nil"/>
            </w:tcBorders>
            <w:shd w:val="clear" w:color="000000" w:fill="FFFFFF"/>
            <w:noWrap/>
            <w:vAlign w:val="bottom"/>
            <w:hideMark/>
          </w:tcPr>
          <w:p w14:paraId="2E8DF155" w14:textId="77777777" w:rsidR="001B6918" w:rsidRPr="00BC0847" w:rsidRDefault="001B6918" w:rsidP="00730ECF">
            <w:pPr>
              <w:jc w:val="right"/>
              <w:rPr>
                <w:rFonts w:ascii="Calibri" w:eastAsia="Times New Roman" w:hAnsi="Calibri" w:cs="Calibri"/>
              </w:rPr>
            </w:pPr>
            <w:r w:rsidRPr="00DF6043">
              <w:rPr>
                <w:rFonts w:ascii="Calibri" w:eastAsia="Times New Roman" w:hAnsi="Calibri" w:cs="Calibri"/>
              </w:rPr>
              <w:t>$(532)</w:t>
            </w:r>
          </w:p>
        </w:tc>
        <w:tc>
          <w:tcPr>
            <w:tcW w:w="1451" w:type="dxa"/>
            <w:tcBorders>
              <w:top w:val="nil"/>
              <w:left w:val="nil"/>
              <w:bottom w:val="nil"/>
              <w:right w:val="nil"/>
            </w:tcBorders>
            <w:shd w:val="clear" w:color="000000" w:fill="FFFFFF"/>
            <w:noWrap/>
            <w:vAlign w:val="bottom"/>
            <w:hideMark/>
          </w:tcPr>
          <w:p w14:paraId="167015C9" w14:textId="77777777" w:rsidR="001B6918" w:rsidRPr="00BC0847" w:rsidRDefault="001B6918" w:rsidP="00730ECF">
            <w:pPr>
              <w:jc w:val="center"/>
              <w:rPr>
                <w:rFonts w:ascii="Calibri" w:eastAsia="Times New Roman" w:hAnsi="Calibri" w:cs="Calibri"/>
                <w:color w:val="0D0D0D"/>
              </w:rPr>
            </w:pPr>
            <w:r>
              <w:rPr>
                <w:rFonts w:ascii="Calibri" w:eastAsia="Times New Roman" w:hAnsi="Calibri" w:cs="Calibri"/>
              </w:rPr>
              <w:t xml:space="preserve">       </w:t>
            </w:r>
            <w:r w:rsidRPr="00DF6043">
              <w:rPr>
                <w:rFonts w:ascii="Calibri" w:eastAsia="Times New Roman" w:hAnsi="Calibri" w:cs="Calibri"/>
              </w:rPr>
              <w:t>$17,265</w:t>
            </w:r>
          </w:p>
        </w:tc>
      </w:tr>
      <w:tr w:rsidR="001B6918" w:rsidRPr="00BC0847" w14:paraId="3B50687C" w14:textId="77777777" w:rsidTr="00730ECF">
        <w:trPr>
          <w:trHeight w:val="90"/>
        </w:trPr>
        <w:tc>
          <w:tcPr>
            <w:tcW w:w="5664" w:type="dxa"/>
            <w:gridSpan w:val="2"/>
            <w:tcBorders>
              <w:top w:val="nil"/>
              <w:left w:val="nil"/>
              <w:bottom w:val="nil"/>
              <w:right w:val="nil"/>
            </w:tcBorders>
            <w:shd w:val="clear" w:color="000000" w:fill="FFFFFF"/>
            <w:noWrap/>
            <w:vAlign w:val="bottom"/>
            <w:hideMark/>
          </w:tcPr>
          <w:p w14:paraId="5D5E80AE" w14:textId="77777777" w:rsidR="001B6918" w:rsidRPr="00BC0847" w:rsidRDefault="001B6918" w:rsidP="00730ECF">
            <w:pPr>
              <w:rPr>
                <w:rFonts w:ascii="Calibri" w:eastAsia="Times New Roman" w:hAnsi="Calibri" w:cs="Calibri"/>
                <w:color w:val="0D0D0D"/>
              </w:rPr>
            </w:pPr>
            <w:r w:rsidRPr="00BC0847">
              <w:rPr>
                <w:rFonts w:ascii="Calibri" w:eastAsia="Times New Roman" w:hAnsi="Calibri" w:cs="Calibri"/>
                <w:color w:val="0D0D0D"/>
              </w:rPr>
              <w:t>Net income allocated to annuities payable to others</w:t>
            </w:r>
          </w:p>
        </w:tc>
        <w:tc>
          <w:tcPr>
            <w:tcW w:w="1356" w:type="dxa"/>
            <w:tcBorders>
              <w:top w:val="nil"/>
              <w:left w:val="nil"/>
              <w:bottom w:val="nil"/>
              <w:right w:val="nil"/>
            </w:tcBorders>
            <w:shd w:val="clear" w:color="000000" w:fill="FFFFFF"/>
            <w:noWrap/>
            <w:vAlign w:val="bottom"/>
            <w:hideMark/>
          </w:tcPr>
          <w:p w14:paraId="0D7B687C" w14:textId="77777777" w:rsidR="001B6918" w:rsidRPr="00BC0847" w:rsidRDefault="001B6918" w:rsidP="00730ECF">
            <w:pPr>
              <w:rPr>
                <w:rFonts w:ascii="Calibri" w:eastAsia="Times New Roman" w:hAnsi="Calibri" w:cs="Calibri"/>
                <w:color w:val="FF0000"/>
              </w:rPr>
            </w:pPr>
            <w:r w:rsidRPr="00BC0847">
              <w:rPr>
                <w:rFonts w:ascii="Calibri" w:eastAsia="Times New Roman" w:hAnsi="Calibri" w:cs="Calibri"/>
                <w:color w:val="FF0000"/>
              </w:rPr>
              <w:t> </w:t>
            </w:r>
          </w:p>
        </w:tc>
        <w:tc>
          <w:tcPr>
            <w:tcW w:w="1339" w:type="dxa"/>
            <w:tcBorders>
              <w:top w:val="nil"/>
              <w:left w:val="nil"/>
              <w:bottom w:val="nil"/>
              <w:right w:val="nil"/>
            </w:tcBorders>
            <w:shd w:val="clear" w:color="000000" w:fill="FFFFFF"/>
            <w:noWrap/>
            <w:vAlign w:val="bottom"/>
            <w:hideMark/>
          </w:tcPr>
          <w:p w14:paraId="52640548" w14:textId="77777777" w:rsidR="001B6918" w:rsidRPr="00BC0847" w:rsidRDefault="001B6918" w:rsidP="00730ECF">
            <w:pPr>
              <w:rPr>
                <w:rFonts w:ascii="Calibri" w:eastAsia="Times New Roman" w:hAnsi="Calibri" w:cs="Calibri"/>
                <w:color w:val="FF0000"/>
              </w:rPr>
            </w:pPr>
            <w:r w:rsidRPr="00BC0847">
              <w:rPr>
                <w:rFonts w:ascii="Calibri" w:eastAsia="Times New Roman" w:hAnsi="Calibri" w:cs="Calibri"/>
                <w:color w:val="FF0000"/>
              </w:rPr>
              <w:t> </w:t>
            </w:r>
          </w:p>
        </w:tc>
        <w:tc>
          <w:tcPr>
            <w:tcW w:w="1451" w:type="dxa"/>
            <w:tcBorders>
              <w:top w:val="nil"/>
              <w:left w:val="nil"/>
              <w:bottom w:val="single" w:sz="4" w:space="0" w:color="000000"/>
              <w:right w:val="nil"/>
            </w:tcBorders>
            <w:shd w:val="clear" w:color="000000" w:fill="FFFFFF"/>
            <w:noWrap/>
            <w:vAlign w:val="bottom"/>
            <w:hideMark/>
          </w:tcPr>
          <w:p w14:paraId="622B89C0" w14:textId="77777777" w:rsidR="001B6918" w:rsidRPr="00BC0847" w:rsidRDefault="001B6918" w:rsidP="00730ECF">
            <w:pPr>
              <w:jc w:val="right"/>
              <w:rPr>
                <w:rFonts w:ascii="Calibri" w:eastAsia="Times New Roman" w:hAnsi="Calibri" w:cs="Calibri"/>
                <w:color w:val="0D0D0D"/>
              </w:rPr>
            </w:pPr>
            <w:r w:rsidRPr="00BC0847">
              <w:rPr>
                <w:rFonts w:ascii="Calibri" w:eastAsia="Times New Roman" w:hAnsi="Calibri" w:cs="Calibri"/>
                <w:color w:val="0D0D0D"/>
              </w:rPr>
              <w:t>(</w:t>
            </w:r>
            <w:r>
              <w:rPr>
                <w:rFonts w:ascii="Calibri" w:eastAsia="Times New Roman" w:hAnsi="Calibri" w:cs="Calibri"/>
                <w:color w:val="0D0D0D"/>
              </w:rPr>
              <w:t>25</w:t>
            </w:r>
            <w:r w:rsidRPr="00BC0847">
              <w:rPr>
                <w:rFonts w:ascii="Calibri" w:eastAsia="Times New Roman" w:hAnsi="Calibri" w:cs="Calibri"/>
                <w:color w:val="0D0D0D"/>
              </w:rPr>
              <w:t>)</w:t>
            </w:r>
          </w:p>
        </w:tc>
      </w:tr>
      <w:tr w:rsidR="001B6918" w:rsidRPr="00BC0847" w14:paraId="5F1472E4" w14:textId="77777777" w:rsidTr="00730ECF">
        <w:trPr>
          <w:trHeight w:val="80"/>
        </w:trPr>
        <w:tc>
          <w:tcPr>
            <w:tcW w:w="4590" w:type="dxa"/>
            <w:tcBorders>
              <w:top w:val="nil"/>
              <w:left w:val="nil"/>
              <w:bottom w:val="nil"/>
              <w:right w:val="nil"/>
            </w:tcBorders>
            <w:shd w:val="clear" w:color="000000" w:fill="FFFFFF"/>
            <w:noWrap/>
            <w:vAlign w:val="bottom"/>
            <w:hideMark/>
          </w:tcPr>
          <w:p w14:paraId="16C53FCE" w14:textId="77777777" w:rsidR="001B6918" w:rsidRPr="00BC0847" w:rsidRDefault="001B6918" w:rsidP="00730ECF">
            <w:pPr>
              <w:rPr>
                <w:rFonts w:ascii="Calibri" w:eastAsia="Times New Roman" w:hAnsi="Calibri" w:cs="Calibri"/>
                <w:color w:val="0D0D0D"/>
              </w:rPr>
            </w:pPr>
            <w:r w:rsidRPr="00BC0847">
              <w:rPr>
                <w:rFonts w:ascii="Calibri" w:eastAsia="Times New Roman" w:hAnsi="Calibri" w:cs="Calibri"/>
                <w:color w:val="0D0D0D"/>
              </w:rPr>
              <w:t>System endowment net income</w:t>
            </w:r>
          </w:p>
        </w:tc>
        <w:tc>
          <w:tcPr>
            <w:tcW w:w="1074" w:type="dxa"/>
            <w:tcBorders>
              <w:top w:val="nil"/>
              <w:left w:val="nil"/>
              <w:bottom w:val="nil"/>
              <w:right w:val="nil"/>
            </w:tcBorders>
            <w:shd w:val="clear" w:color="000000" w:fill="FFFFFF"/>
            <w:noWrap/>
            <w:vAlign w:val="bottom"/>
            <w:hideMark/>
          </w:tcPr>
          <w:p w14:paraId="282D84C0" w14:textId="77777777" w:rsidR="001B6918" w:rsidRPr="00BC0847" w:rsidRDefault="001B6918" w:rsidP="00730ECF">
            <w:pPr>
              <w:rPr>
                <w:rFonts w:ascii="Calibri" w:eastAsia="Times New Roman" w:hAnsi="Calibri" w:cs="Calibri"/>
                <w:color w:val="FF0000"/>
              </w:rPr>
            </w:pPr>
            <w:r w:rsidRPr="00BC0847">
              <w:rPr>
                <w:rFonts w:ascii="Calibri" w:eastAsia="Times New Roman" w:hAnsi="Calibri" w:cs="Calibri"/>
                <w:color w:val="FF0000"/>
              </w:rPr>
              <w:t> </w:t>
            </w:r>
          </w:p>
        </w:tc>
        <w:tc>
          <w:tcPr>
            <w:tcW w:w="1356" w:type="dxa"/>
            <w:tcBorders>
              <w:top w:val="nil"/>
              <w:left w:val="nil"/>
              <w:bottom w:val="nil"/>
              <w:right w:val="nil"/>
            </w:tcBorders>
            <w:shd w:val="clear" w:color="000000" w:fill="FFFFFF"/>
            <w:noWrap/>
            <w:vAlign w:val="bottom"/>
            <w:hideMark/>
          </w:tcPr>
          <w:p w14:paraId="754A7517" w14:textId="77777777" w:rsidR="001B6918" w:rsidRPr="00BC0847" w:rsidRDefault="001B6918" w:rsidP="00730ECF">
            <w:pPr>
              <w:rPr>
                <w:rFonts w:ascii="Calibri" w:eastAsia="Times New Roman" w:hAnsi="Calibri" w:cs="Calibri"/>
                <w:color w:val="FF0000"/>
              </w:rPr>
            </w:pPr>
            <w:r w:rsidRPr="00BC0847">
              <w:rPr>
                <w:rFonts w:ascii="Calibri" w:eastAsia="Times New Roman" w:hAnsi="Calibri" w:cs="Calibri"/>
                <w:color w:val="FF0000"/>
              </w:rPr>
              <w:t> </w:t>
            </w:r>
          </w:p>
        </w:tc>
        <w:tc>
          <w:tcPr>
            <w:tcW w:w="1339" w:type="dxa"/>
            <w:tcBorders>
              <w:top w:val="nil"/>
              <w:left w:val="nil"/>
              <w:bottom w:val="nil"/>
              <w:right w:val="nil"/>
            </w:tcBorders>
            <w:shd w:val="clear" w:color="000000" w:fill="FFFFFF"/>
            <w:noWrap/>
            <w:vAlign w:val="bottom"/>
            <w:hideMark/>
          </w:tcPr>
          <w:p w14:paraId="447AEE2A" w14:textId="77777777" w:rsidR="001B6918" w:rsidRPr="00BC0847" w:rsidRDefault="001B6918" w:rsidP="00730ECF">
            <w:pPr>
              <w:rPr>
                <w:rFonts w:ascii="Calibri" w:eastAsia="Times New Roman" w:hAnsi="Calibri" w:cs="Calibri"/>
                <w:color w:val="FF0000"/>
              </w:rPr>
            </w:pPr>
            <w:r w:rsidRPr="00BC0847">
              <w:rPr>
                <w:rFonts w:ascii="Calibri" w:eastAsia="Times New Roman" w:hAnsi="Calibri" w:cs="Calibri"/>
                <w:color w:val="FF0000"/>
              </w:rPr>
              <w:t> </w:t>
            </w:r>
          </w:p>
        </w:tc>
        <w:tc>
          <w:tcPr>
            <w:tcW w:w="1451" w:type="dxa"/>
            <w:tcBorders>
              <w:top w:val="nil"/>
              <w:left w:val="nil"/>
              <w:bottom w:val="double" w:sz="6" w:space="0" w:color="000000"/>
              <w:right w:val="nil"/>
            </w:tcBorders>
            <w:shd w:val="clear" w:color="000000" w:fill="FFFFFF"/>
            <w:noWrap/>
            <w:vAlign w:val="bottom"/>
            <w:hideMark/>
          </w:tcPr>
          <w:p w14:paraId="3B0F9002" w14:textId="77777777" w:rsidR="001B6918" w:rsidRPr="00BC0847" w:rsidRDefault="001B6918" w:rsidP="00730ECF">
            <w:pPr>
              <w:jc w:val="right"/>
              <w:rPr>
                <w:rFonts w:ascii="Calibri" w:eastAsia="Times New Roman" w:hAnsi="Calibri" w:cs="Calibri"/>
                <w:color w:val="0D0D0D"/>
              </w:rPr>
            </w:pPr>
            <w:r w:rsidRPr="00BC0847">
              <w:rPr>
                <w:rFonts w:ascii="Calibri" w:eastAsia="Times New Roman" w:hAnsi="Calibri" w:cs="Calibri"/>
                <w:color w:val="0D0D0D"/>
              </w:rPr>
              <w:t>$</w:t>
            </w:r>
            <w:r>
              <w:rPr>
                <w:rFonts w:ascii="Calibri" w:eastAsia="Times New Roman" w:hAnsi="Calibri" w:cs="Calibri"/>
                <w:color w:val="0D0D0D"/>
              </w:rPr>
              <w:t xml:space="preserve"> 17,240</w:t>
            </w:r>
          </w:p>
        </w:tc>
      </w:tr>
      <w:tr w:rsidR="001B6918" w:rsidRPr="00BC0847" w14:paraId="765B66D3" w14:textId="77777777" w:rsidTr="00730ECF">
        <w:trPr>
          <w:trHeight w:val="35"/>
        </w:trPr>
        <w:tc>
          <w:tcPr>
            <w:tcW w:w="5664" w:type="dxa"/>
            <w:gridSpan w:val="2"/>
            <w:tcBorders>
              <w:top w:val="nil"/>
              <w:left w:val="nil"/>
              <w:bottom w:val="nil"/>
              <w:right w:val="nil"/>
            </w:tcBorders>
            <w:shd w:val="clear" w:color="000000" w:fill="FFFFFF"/>
            <w:noWrap/>
            <w:vAlign w:val="bottom"/>
            <w:hideMark/>
          </w:tcPr>
          <w:p w14:paraId="2E8890B0" w14:textId="77777777" w:rsidR="001B6918" w:rsidRPr="00BC0847" w:rsidRDefault="001B6918" w:rsidP="00730ECF">
            <w:pPr>
              <w:ind w:firstLineChars="100" w:firstLine="220"/>
              <w:rPr>
                <w:rFonts w:ascii="Calibri" w:eastAsia="Times New Roman" w:hAnsi="Calibri" w:cs="Calibri"/>
                <w:color w:val="0D0D0D"/>
              </w:rPr>
            </w:pPr>
            <w:r w:rsidRPr="00BC0847">
              <w:rPr>
                <w:rFonts w:ascii="Calibri" w:eastAsia="Times New Roman" w:hAnsi="Calibri" w:cs="Calibri"/>
                <w:color w:val="0D0D0D"/>
              </w:rPr>
              <w:t>Reported as endowment return used for operations</w:t>
            </w:r>
          </w:p>
        </w:tc>
        <w:tc>
          <w:tcPr>
            <w:tcW w:w="1356" w:type="dxa"/>
            <w:tcBorders>
              <w:top w:val="nil"/>
              <w:left w:val="nil"/>
              <w:bottom w:val="nil"/>
              <w:right w:val="nil"/>
            </w:tcBorders>
            <w:shd w:val="clear" w:color="000000" w:fill="FFFFFF"/>
            <w:noWrap/>
            <w:vAlign w:val="bottom"/>
            <w:hideMark/>
          </w:tcPr>
          <w:p w14:paraId="48236D14" w14:textId="77777777" w:rsidR="001B6918" w:rsidRPr="00BC0847" w:rsidRDefault="001B6918" w:rsidP="00730ECF">
            <w:pPr>
              <w:rPr>
                <w:rFonts w:ascii="Calibri" w:eastAsia="Times New Roman" w:hAnsi="Calibri" w:cs="Calibri"/>
                <w:color w:val="FF0000"/>
              </w:rPr>
            </w:pPr>
            <w:r w:rsidRPr="00BC0847">
              <w:rPr>
                <w:rFonts w:ascii="Calibri" w:eastAsia="Times New Roman" w:hAnsi="Calibri" w:cs="Calibri"/>
                <w:color w:val="FF0000"/>
              </w:rPr>
              <w:t> </w:t>
            </w:r>
          </w:p>
        </w:tc>
        <w:tc>
          <w:tcPr>
            <w:tcW w:w="1339" w:type="dxa"/>
            <w:tcBorders>
              <w:top w:val="nil"/>
              <w:left w:val="nil"/>
              <w:bottom w:val="nil"/>
              <w:right w:val="nil"/>
            </w:tcBorders>
            <w:shd w:val="clear" w:color="000000" w:fill="FFFFFF"/>
            <w:noWrap/>
            <w:vAlign w:val="bottom"/>
            <w:hideMark/>
          </w:tcPr>
          <w:p w14:paraId="121C7A80" w14:textId="77777777" w:rsidR="001B6918" w:rsidRPr="00BC0847" w:rsidRDefault="001B6918" w:rsidP="00730ECF">
            <w:pPr>
              <w:jc w:val="center"/>
              <w:rPr>
                <w:rFonts w:ascii="Calibri" w:eastAsia="Times New Roman" w:hAnsi="Calibri" w:cs="Calibri"/>
                <w:color w:val="FF0000"/>
              </w:rPr>
            </w:pPr>
            <w:r w:rsidRPr="00BC0847">
              <w:rPr>
                <w:rFonts w:ascii="Calibri" w:eastAsia="Times New Roman" w:hAnsi="Calibri" w:cs="Calibri"/>
                <w:color w:val="FF0000"/>
              </w:rPr>
              <w:t> </w:t>
            </w:r>
          </w:p>
        </w:tc>
        <w:tc>
          <w:tcPr>
            <w:tcW w:w="1451" w:type="dxa"/>
            <w:tcBorders>
              <w:top w:val="nil"/>
              <w:left w:val="nil"/>
              <w:bottom w:val="nil"/>
              <w:right w:val="nil"/>
            </w:tcBorders>
            <w:shd w:val="clear" w:color="000000" w:fill="FFFFFF"/>
            <w:noWrap/>
            <w:vAlign w:val="bottom"/>
            <w:hideMark/>
          </w:tcPr>
          <w:p w14:paraId="699438FE" w14:textId="77777777" w:rsidR="001B6918" w:rsidRPr="00BC0847" w:rsidRDefault="001B6918" w:rsidP="00730ECF">
            <w:pPr>
              <w:jc w:val="right"/>
              <w:rPr>
                <w:rFonts w:ascii="Calibri" w:eastAsia="Times New Roman" w:hAnsi="Calibri" w:cs="Calibri"/>
                <w:color w:val="0D0D0D"/>
              </w:rPr>
            </w:pPr>
            <w:r w:rsidRPr="00BC0847">
              <w:rPr>
                <w:rFonts w:ascii="Calibri" w:eastAsia="Times New Roman" w:hAnsi="Calibri" w:cs="Calibri"/>
                <w:color w:val="0D0D0D"/>
              </w:rPr>
              <w:t>$</w:t>
            </w:r>
            <w:r>
              <w:rPr>
                <w:rFonts w:ascii="Calibri" w:eastAsia="Times New Roman" w:hAnsi="Calibri" w:cs="Calibri"/>
                <w:color w:val="0D0D0D"/>
              </w:rPr>
              <w:t xml:space="preserve">   </w:t>
            </w:r>
            <w:r w:rsidRPr="00BC0847">
              <w:rPr>
                <w:rFonts w:ascii="Calibri" w:eastAsia="Times New Roman" w:hAnsi="Calibri" w:cs="Calibri"/>
                <w:color w:val="0D0D0D"/>
              </w:rPr>
              <w:t>6,</w:t>
            </w:r>
            <w:r>
              <w:rPr>
                <w:rFonts w:ascii="Calibri" w:eastAsia="Times New Roman" w:hAnsi="Calibri" w:cs="Calibri"/>
                <w:color w:val="0D0D0D"/>
              </w:rPr>
              <w:t>627</w:t>
            </w:r>
          </w:p>
        </w:tc>
      </w:tr>
      <w:tr w:rsidR="001B6918" w:rsidRPr="00BC0847" w14:paraId="326B2E2F" w14:textId="77777777" w:rsidTr="00730ECF">
        <w:trPr>
          <w:trHeight w:val="80"/>
        </w:trPr>
        <w:tc>
          <w:tcPr>
            <w:tcW w:w="7020" w:type="dxa"/>
            <w:gridSpan w:val="3"/>
            <w:tcBorders>
              <w:top w:val="nil"/>
              <w:left w:val="nil"/>
              <w:bottom w:val="nil"/>
              <w:right w:val="nil"/>
            </w:tcBorders>
            <w:shd w:val="clear" w:color="000000" w:fill="FFFFFF"/>
            <w:noWrap/>
            <w:vAlign w:val="bottom"/>
            <w:hideMark/>
          </w:tcPr>
          <w:p w14:paraId="2B84A4D7" w14:textId="77777777" w:rsidR="001B6918" w:rsidRPr="00BC0847" w:rsidRDefault="001B6918" w:rsidP="00730ECF">
            <w:pPr>
              <w:ind w:firstLineChars="100" w:firstLine="220"/>
              <w:rPr>
                <w:rFonts w:ascii="Calibri" w:eastAsia="Times New Roman" w:hAnsi="Calibri" w:cs="Calibri"/>
                <w:color w:val="0D0D0D"/>
              </w:rPr>
            </w:pPr>
            <w:r w:rsidRPr="00BC0847">
              <w:rPr>
                <w:rFonts w:ascii="Calibri" w:eastAsia="Times New Roman" w:hAnsi="Calibri" w:cs="Calibri"/>
                <w:color w:val="0D0D0D"/>
              </w:rPr>
              <w:t>Reported as endowment return, net of amount used for operations</w:t>
            </w:r>
          </w:p>
        </w:tc>
        <w:tc>
          <w:tcPr>
            <w:tcW w:w="1339" w:type="dxa"/>
            <w:tcBorders>
              <w:top w:val="nil"/>
              <w:left w:val="nil"/>
              <w:bottom w:val="nil"/>
              <w:right w:val="nil"/>
            </w:tcBorders>
            <w:shd w:val="clear" w:color="000000" w:fill="FFFFFF"/>
            <w:noWrap/>
            <w:vAlign w:val="bottom"/>
            <w:hideMark/>
          </w:tcPr>
          <w:p w14:paraId="1AB48D12" w14:textId="77777777" w:rsidR="001B6918" w:rsidRPr="00BC0847" w:rsidRDefault="001B6918" w:rsidP="00730ECF">
            <w:pPr>
              <w:jc w:val="center"/>
              <w:rPr>
                <w:rFonts w:ascii="Calibri" w:eastAsia="Times New Roman" w:hAnsi="Calibri" w:cs="Calibri"/>
                <w:color w:val="FF0000"/>
              </w:rPr>
            </w:pPr>
            <w:r w:rsidRPr="00BC0847">
              <w:rPr>
                <w:rFonts w:ascii="Calibri" w:eastAsia="Times New Roman" w:hAnsi="Calibri" w:cs="Calibri"/>
                <w:color w:val="FF0000"/>
              </w:rPr>
              <w:t> </w:t>
            </w:r>
          </w:p>
        </w:tc>
        <w:tc>
          <w:tcPr>
            <w:tcW w:w="1451" w:type="dxa"/>
            <w:tcBorders>
              <w:top w:val="nil"/>
              <w:left w:val="nil"/>
              <w:bottom w:val="single" w:sz="4" w:space="0" w:color="000000"/>
              <w:right w:val="nil"/>
            </w:tcBorders>
            <w:shd w:val="clear" w:color="000000" w:fill="FFFFFF"/>
            <w:noWrap/>
            <w:vAlign w:val="bottom"/>
            <w:hideMark/>
          </w:tcPr>
          <w:p w14:paraId="1B94B186" w14:textId="77777777" w:rsidR="001B6918" w:rsidRPr="00BC0847" w:rsidRDefault="001B6918" w:rsidP="00730ECF">
            <w:pPr>
              <w:jc w:val="center"/>
              <w:rPr>
                <w:rFonts w:ascii="Calibri" w:eastAsia="Times New Roman" w:hAnsi="Calibri" w:cs="Calibri"/>
                <w:color w:val="0D0D0D"/>
              </w:rPr>
            </w:pPr>
            <w:r>
              <w:rPr>
                <w:rFonts w:ascii="Calibri" w:eastAsia="Times New Roman" w:hAnsi="Calibri" w:cs="Calibri"/>
                <w:color w:val="0D0D0D"/>
              </w:rPr>
              <w:t xml:space="preserve">            10,613</w:t>
            </w:r>
          </w:p>
        </w:tc>
      </w:tr>
      <w:tr w:rsidR="001B6918" w:rsidRPr="00BC0847" w14:paraId="68E020AB" w14:textId="77777777" w:rsidTr="00730ECF">
        <w:trPr>
          <w:trHeight w:val="70"/>
        </w:trPr>
        <w:tc>
          <w:tcPr>
            <w:tcW w:w="4590" w:type="dxa"/>
            <w:tcBorders>
              <w:top w:val="nil"/>
              <w:left w:val="nil"/>
              <w:bottom w:val="nil"/>
              <w:right w:val="nil"/>
            </w:tcBorders>
            <w:shd w:val="clear" w:color="000000" w:fill="FFFFFF"/>
            <w:noWrap/>
            <w:vAlign w:val="bottom"/>
            <w:hideMark/>
          </w:tcPr>
          <w:p w14:paraId="54D78602" w14:textId="77777777" w:rsidR="001B6918" w:rsidRPr="00BC0847" w:rsidRDefault="001B6918" w:rsidP="00730ECF">
            <w:pPr>
              <w:ind w:firstLineChars="100" w:firstLine="220"/>
              <w:rPr>
                <w:rFonts w:ascii="Calibri" w:eastAsia="Times New Roman" w:hAnsi="Calibri" w:cs="Calibri"/>
                <w:color w:val="0D0D0D"/>
              </w:rPr>
            </w:pPr>
            <w:r w:rsidRPr="00BC0847">
              <w:rPr>
                <w:rFonts w:ascii="Calibri" w:eastAsia="Times New Roman" w:hAnsi="Calibri" w:cs="Calibri"/>
                <w:color w:val="0D0D0D"/>
              </w:rPr>
              <w:t>System endowment income</w:t>
            </w:r>
          </w:p>
        </w:tc>
        <w:tc>
          <w:tcPr>
            <w:tcW w:w="1074" w:type="dxa"/>
            <w:tcBorders>
              <w:top w:val="nil"/>
              <w:left w:val="nil"/>
              <w:bottom w:val="nil"/>
              <w:right w:val="nil"/>
            </w:tcBorders>
            <w:shd w:val="clear" w:color="000000" w:fill="FFFFFF"/>
            <w:noWrap/>
            <w:vAlign w:val="bottom"/>
            <w:hideMark/>
          </w:tcPr>
          <w:p w14:paraId="6B3CD8C2" w14:textId="77777777" w:rsidR="001B6918" w:rsidRPr="00BC0847" w:rsidRDefault="001B6918" w:rsidP="00730ECF">
            <w:pPr>
              <w:jc w:val="center"/>
              <w:rPr>
                <w:rFonts w:ascii="Calibri" w:eastAsia="Times New Roman" w:hAnsi="Calibri" w:cs="Calibri"/>
                <w:color w:val="FF0000"/>
              </w:rPr>
            </w:pPr>
            <w:r w:rsidRPr="00BC0847">
              <w:rPr>
                <w:rFonts w:ascii="Calibri" w:eastAsia="Times New Roman" w:hAnsi="Calibri" w:cs="Calibri"/>
                <w:color w:val="FF0000"/>
              </w:rPr>
              <w:t> </w:t>
            </w:r>
          </w:p>
        </w:tc>
        <w:tc>
          <w:tcPr>
            <w:tcW w:w="1356" w:type="dxa"/>
            <w:tcBorders>
              <w:top w:val="nil"/>
              <w:left w:val="nil"/>
              <w:bottom w:val="nil"/>
              <w:right w:val="nil"/>
            </w:tcBorders>
            <w:shd w:val="clear" w:color="000000" w:fill="FFFFFF"/>
            <w:noWrap/>
            <w:vAlign w:val="bottom"/>
            <w:hideMark/>
          </w:tcPr>
          <w:p w14:paraId="1854891C" w14:textId="77777777" w:rsidR="001B6918" w:rsidRPr="00BC0847" w:rsidRDefault="001B6918" w:rsidP="00730ECF">
            <w:pPr>
              <w:rPr>
                <w:rFonts w:ascii="Calibri" w:eastAsia="Times New Roman" w:hAnsi="Calibri" w:cs="Calibri"/>
                <w:color w:val="FF0000"/>
              </w:rPr>
            </w:pPr>
            <w:r w:rsidRPr="00BC0847">
              <w:rPr>
                <w:rFonts w:ascii="Calibri" w:eastAsia="Times New Roman" w:hAnsi="Calibri" w:cs="Calibri"/>
                <w:color w:val="FF0000"/>
              </w:rPr>
              <w:t> </w:t>
            </w:r>
          </w:p>
        </w:tc>
        <w:tc>
          <w:tcPr>
            <w:tcW w:w="1339" w:type="dxa"/>
            <w:tcBorders>
              <w:top w:val="nil"/>
              <w:left w:val="nil"/>
              <w:bottom w:val="nil"/>
              <w:right w:val="nil"/>
            </w:tcBorders>
            <w:shd w:val="clear" w:color="000000" w:fill="FFFFFF"/>
            <w:noWrap/>
            <w:vAlign w:val="bottom"/>
            <w:hideMark/>
          </w:tcPr>
          <w:p w14:paraId="7E1CA9BF" w14:textId="77777777" w:rsidR="001B6918" w:rsidRPr="00BC0847" w:rsidRDefault="001B6918" w:rsidP="00730ECF">
            <w:pPr>
              <w:jc w:val="center"/>
              <w:rPr>
                <w:rFonts w:ascii="Calibri" w:eastAsia="Times New Roman" w:hAnsi="Calibri" w:cs="Calibri"/>
                <w:color w:val="FF0000"/>
              </w:rPr>
            </w:pPr>
            <w:r w:rsidRPr="00BC0847">
              <w:rPr>
                <w:rFonts w:ascii="Calibri" w:eastAsia="Times New Roman" w:hAnsi="Calibri" w:cs="Calibri"/>
                <w:color w:val="FF0000"/>
              </w:rPr>
              <w:t> </w:t>
            </w:r>
          </w:p>
        </w:tc>
        <w:tc>
          <w:tcPr>
            <w:tcW w:w="1451" w:type="dxa"/>
            <w:tcBorders>
              <w:top w:val="nil"/>
              <w:left w:val="nil"/>
              <w:bottom w:val="double" w:sz="6" w:space="0" w:color="000000"/>
              <w:right w:val="nil"/>
            </w:tcBorders>
            <w:shd w:val="clear" w:color="000000" w:fill="FFFFFF"/>
            <w:noWrap/>
            <w:vAlign w:val="bottom"/>
            <w:hideMark/>
          </w:tcPr>
          <w:p w14:paraId="2CA8F588" w14:textId="77777777" w:rsidR="001B6918" w:rsidRPr="00BC0847" w:rsidRDefault="001B6918" w:rsidP="00730ECF">
            <w:pPr>
              <w:jc w:val="right"/>
              <w:rPr>
                <w:rFonts w:ascii="Calibri" w:eastAsia="Times New Roman" w:hAnsi="Calibri" w:cs="Calibri"/>
                <w:color w:val="0D0D0D"/>
              </w:rPr>
            </w:pPr>
            <w:r w:rsidRPr="00BC0847">
              <w:rPr>
                <w:rFonts w:ascii="Calibri" w:eastAsia="Times New Roman" w:hAnsi="Calibri" w:cs="Calibri"/>
                <w:color w:val="0D0D0D"/>
              </w:rPr>
              <w:t>$</w:t>
            </w:r>
            <w:r>
              <w:rPr>
                <w:rFonts w:ascii="Calibri" w:eastAsia="Times New Roman" w:hAnsi="Calibri" w:cs="Calibri"/>
                <w:color w:val="0D0D0D"/>
              </w:rPr>
              <w:t xml:space="preserve"> </w:t>
            </w:r>
            <w:r w:rsidRPr="00BC0847">
              <w:rPr>
                <w:rFonts w:ascii="Calibri" w:eastAsia="Times New Roman" w:hAnsi="Calibri" w:cs="Calibri"/>
                <w:color w:val="0D0D0D"/>
              </w:rPr>
              <w:t>1</w:t>
            </w:r>
            <w:r>
              <w:rPr>
                <w:rFonts w:ascii="Calibri" w:eastAsia="Times New Roman" w:hAnsi="Calibri" w:cs="Calibri"/>
                <w:color w:val="0D0D0D"/>
              </w:rPr>
              <w:t>7</w:t>
            </w:r>
            <w:r w:rsidRPr="00BC0847">
              <w:rPr>
                <w:rFonts w:ascii="Calibri" w:eastAsia="Times New Roman" w:hAnsi="Calibri" w:cs="Calibri"/>
                <w:color w:val="0D0D0D"/>
              </w:rPr>
              <w:t>,</w:t>
            </w:r>
            <w:r>
              <w:rPr>
                <w:rFonts w:ascii="Calibri" w:eastAsia="Times New Roman" w:hAnsi="Calibri" w:cs="Calibri"/>
                <w:color w:val="0D0D0D"/>
              </w:rPr>
              <w:t>240</w:t>
            </w:r>
          </w:p>
        </w:tc>
      </w:tr>
      <w:tr w:rsidR="001B6918" w:rsidRPr="00BC0847" w14:paraId="30DF31D6" w14:textId="77777777" w:rsidTr="00730ECF">
        <w:trPr>
          <w:trHeight w:val="35"/>
        </w:trPr>
        <w:tc>
          <w:tcPr>
            <w:tcW w:w="4590" w:type="dxa"/>
            <w:tcBorders>
              <w:top w:val="nil"/>
              <w:left w:val="nil"/>
              <w:bottom w:val="nil"/>
              <w:right w:val="nil"/>
            </w:tcBorders>
            <w:shd w:val="clear" w:color="000000" w:fill="FFFFFF"/>
            <w:noWrap/>
            <w:vAlign w:val="bottom"/>
            <w:hideMark/>
          </w:tcPr>
          <w:p w14:paraId="79523E26" w14:textId="77777777" w:rsidR="001B6918" w:rsidRPr="00BC0847" w:rsidRDefault="001B6918" w:rsidP="00730ECF">
            <w:pPr>
              <w:rPr>
                <w:rFonts w:ascii="Calibri" w:eastAsia="Times New Roman" w:hAnsi="Calibri" w:cs="Calibri"/>
                <w:color w:val="0D0D0D"/>
              </w:rPr>
            </w:pPr>
            <w:r w:rsidRPr="00BC0847">
              <w:rPr>
                <w:rFonts w:ascii="Calibri" w:eastAsia="Times New Roman" w:hAnsi="Calibri" w:cs="Calibri"/>
                <w:color w:val="0D0D0D"/>
              </w:rPr>
              <w:t>Operating investments</w:t>
            </w:r>
          </w:p>
        </w:tc>
        <w:tc>
          <w:tcPr>
            <w:tcW w:w="1074" w:type="dxa"/>
            <w:tcBorders>
              <w:top w:val="nil"/>
              <w:left w:val="nil"/>
              <w:bottom w:val="nil"/>
              <w:right w:val="nil"/>
            </w:tcBorders>
            <w:shd w:val="clear" w:color="000000" w:fill="FFFFFF"/>
            <w:noWrap/>
            <w:vAlign w:val="bottom"/>
            <w:hideMark/>
          </w:tcPr>
          <w:p w14:paraId="63272593" w14:textId="77777777" w:rsidR="001B6918" w:rsidRPr="00BC0847" w:rsidRDefault="001B6918" w:rsidP="00730ECF">
            <w:pPr>
              <w:jc w:val="right"/>
              <w:rPr>
                <w:rFonts w:ascii="Calibri" w:eastAsia="Times New Roman" w:hAnsi="Calibri" w:cs="Calibri"/>
              </w:rPr>
            </w:pPr>
            <w:r w:rsidRPr="00BC0847">
              <w:rPr>
                <w:rFonts w:ascii="Calibri" w:eastAsia="Times New Roman" w:hAnsi="Calibri" w:cs="Calibri"/>
              </w:rPr>
              <w:t xml:space="preserve">$  </w:t>
            </w:r>
            <w:r>
              <w:rPr>
                <w:rFonts w:ascii="Calibri" w:eastAsia="Times New Roman" w:hAnsi="Calibri" w:cs="Calibri"/>
              </w:rPr>
              <w:t>8</w:t>
            </w:r>
            <w:r w:rsidRPr="00BC0847">
              <w:rPr>
                <w:rFonts w:ascii="Calibri" w:eastAsia="Times New Roman" w:hAnsi="Calibri" w:cs="Calibri"/>
              </w:rPr>
              <w:t>,</w:t>
            </w:r>
            <w:r>
              <w:rPr>
                <w:rFonts w:ascii="Calibri" w:eastAsia="Times New Roman" w:hAnsi="Calibri" w:cs="Calibri"/>
              </w:rPr>
              <w:t>991</w:t>
            </w:r>
          </w:p>
        </w:tc>
        <w:tc>
          <w:tcPr>
            <w:tcW w:w="1356" w:type="dxa"/>
            <w:tcBorders>
              <w:top w:val="nil"/>
              <w:left w:val="nil"/>
              <w:bottom w:val="nil"/>
              <w:right w:val="nil"/>
            </w:tcBorders>
            <w:shd w:val="clear" w:color="000000" w:fill="FFFFFF"/>
            <w:noWrap/>
            <w:vAlign w:val="bottom"/>
            <w:hideMark/>
          </w:tcPr>
          <w:p w14:paraId="6FD95649" w14:textId="77777777" w:rsidR="001B6918" w:rsidRPr="00BC0847" w:rsidRDefault="001B6918" w:rsidP="00730ECF">
            <w:pPr>
              <w:jc w:val="right"/>
              <w:rPr>
                <w:rFonts w:ascii="Calibri" w:eastAsia="Times New Roman" w:hAnsi="Calibri" w:cs="Calibri"/>
              </w:rPr>
            </w:pPr>
            <w:r w:rsidRPr="00BC0847">
              <w:rPr>
                <w:rFonts w:ascii="Calibri" w:eastAsia="Times New Roman" w:hAnsi="Calibri" w:cs="Calibri"/>
              </w:rPr>
              <w:t>$1</w:t>
            </w:r>
            <w:r>
              <w:rPr>
                <w:rFonts w:ascii="Calibri" w:eastAsia="Times New Roman" w:hAnsi="Calibri" w:cs="Calibri"/>
              </w:rPr>
              <w:t>1</w:t>
            </w:r>
            <w:r w:rsidRPr="00BC0847">
              <w:rPr>
                <w:rFonts w:ascii="Calibri" w:eastAsia="Times New Roman" w:hAnsi="Calibri" w:cs="Calibri"/>
              </w:rPr>
              <w:t>,</w:t>
            </w:r>
            <w:r>
              <w:rPr>
                <w:rFonts w:ascii="Calibri" w:eastAsia="Times New Roman" w:hAnsi="Calibri" w:cs="Calibri"/>
              </w:rPr>
              <w:t>921</w:t>
            </w:r>
          </w:p>
        </w:tc>
        <w:tc>
          <w:tcPr>
            <w:tcW w:w="1339" w:type="dxa"/>
            <w:tcBorders>
              <w:top w:val="nil"/>
              <w:left w:val="nil"/>
              <w:bottom w:val="nil"/>
              <w:right w:val="nil"/>
            </w:tcBorders>
            <w:shd w:val="clear" w:color="000000" w:fill="FFFFFF"/>
            <w:noWrap/>
            <w:vAlign w:val="bottom"/>
            <w:hideMark/>
          </w:tcPr>
          <w:p w14:paraId="7FD01F35" w14:textId="77777777" w:rsidR="001B6918" w:rsidRPr="00BC0847" w:rsidRDefault="001B6918" w:rsidP="00730ECF">
            <w:pPr>
              <w:jc w:val="right"/>
              <w:rPr>
                <w:rFonts w:ascii="Calibri" w:eastAsia="Times New Roman" w:hAnsi="Calibri" w:cs="Calibri"/>
              </w:rPr>
            </w:pPr>
            <w:r w:rsidRPr="00BC0847">
              <w:rPr>
                <w:rFonts w:ascii="Calibri" w:eastAsia="Times New Roman" w:hAnsi="Calibri" w:cs="Calibri"/>
              </w:rPr>
              <w:t>$(</w:t>
            </w:r>
            <w:r>
              <w:rPr>
                <w:rFonts w:ascii="Calibri" w:eastAsia="Times New Roman" w:hAnsi="Calibri" w:cs="Calibri"/>
              </w:rPr>
              <w:t>534</w:t>
            </w:r>
            <w:r w:rsidRPr="00BC0847">
              <w:rPr>
                <w:rFonts w:ascii="Calibri" w:eastAsia="Times New Roman" w:hAnsi="Calibri" w:cs="Calibri"/>
              </w:rPr>
              <w:t>)</w:t>
            </w:r>
          </w:p>
        </w:tc>
        <w:tc>
          <w:tcPr>
            <w:tcW w:w="1451" w:type="dxa"/>
            <w:tcBorders>
              <w:top w:val="nil"/>
              <w:left w:val="nil"/>
              <w:bottom w:val="nil"/>
              <w:right w:val="nil"/>
            </w:tcBorders>
            <w:shd w:val="clear" w:color="000000" w:fill="FFFFFF"/>
            <w:noWrap/>
            <w:vAlign w:val="bottom"/>
            <w:hideMark/>
          </w:tcPr>
          <w:p w14:paraId="6E4A3BA6" w14:textId="77777777" w:rsidR="001B6918" w:rsidRPr="00BC0847" w:rsidRDefault="001B6918" w:rsidP="00730ECF">
            <w:pPr>
              <w:jc w:val="right"/>
              <w:rPr>
                <w:rFonts w:ascii="Calibri" w:eastAsia="Times New Roman" w:hAnsi="Calibri" w:cs="Calibri"/>
                <w:color w:val="000000"/>
              </w:rPr>
            </w:pPr>
            <w:r w:rsidRPr="00BC0847">
              <w:rPr>
                <w:rFonts w:ascii="Calibri" w:eastAsia="Times New Roman" w:hAnsi="Calibri" w:cs="Calibri"/>
                <w:color w:val="000000"/>
              </w:rPr>
              <w:t>$</w:t>
            </w:r>
            <w:r>
              <w:rPr>
                <w:rFonts w:ascii="Calibri" w:eastAsia="Times New Roman" w:hAnsi="Calibri" w:cs="Calibri"/>
                <w:color w:val="000000"/>
              </w:rPr>
              <w:t xml:space="preserve"> 20</w:t>
            </w:r>
            <w:r w:rsidRPr="00BC0847">
              <w:rPr>
                <w:rFonts w:ascii="Calibri" w:eastAsia="Times New Roman" w:hAnsi="Calibri" w:cs="Calibri"/>
                <w:color w:val="000000"/>
              </w:rPr>
              <w:t>,</w:t>
            </w:r>
            <w:r>
              <w:rPr>
                <w:rFonts w:ascii="Calibri" w:eastAsia="Times New Roman" w:hAnsi="Calibri" w:cs="Calibri"/>
                <w:color w:val="000000"/>
              </w:rPr>
              <w:t>378</w:t>
            </w:r>
          </w:p>
        </w:tc>
      </w:tr>
      <w:tr w:rsidR="001B6918" w:rsidRPr="00BC0847" w14:paraId="33AB1217" w14:textId="77777777" w:rsidTr="00730ECF">
        <w:trPr>
          <w:trHeight w:val="90"/>
        </w:trPr>
        <w:tc>
          <w:tcPr>
            <w:tcW w:w="4590" w:type="dxa"/>
            <w:tcBorders>
              <w:top w:val="nil"/>
              <w:left w:val="nil"/>
              <w:bottom w:val="nil"/>
              <w:right w:val="nil"/>
            </w:tcBorders>
            <w:shd w:val="clear" w:color="000000" w:fill="FFFFFF"/>
            <w:noWrap/>
            <w:vAlign w:val="bottom"/>
            <w:hideMark/>
          </w:tcPr>
          <w:p w14:paraId="7D87B32F" w14:textId="77777777" w:rsidR="001B6918" w:rsidRPr="00BC0847" w:rsidRDefault="001B6918" w:rsidP="00730ECF">
            <w:pPr>
              <w:rPr>
                <w:rFonts w:ascii="Calibri" w:eastAsia="Times New Roman" w:hAnsi="Calibri" w:cs="Calibri"/>
                <w:color w:val="0D0D0D"/>
              </w:rPr>
            </w:pPr>
            <w:r w:rsidRPr="00DF6043">
              <w:rPr>
                <w:rFonts w:ascii="Calibri" w:eastAsia="Times New Roman" w:hAnsi="Calibri" w:cs="Calibri"/>
                <w:color w:val="0D0D0D"/>
              </w:rPr>
              <w:t>Lease Receivables</w:t>
            </w:r>
          </w:p>
        </w:tc>
        <w:tc>
          <w:tcPr>
            <w:tcW w:w="1074" w:type="dxa"/>
            <w:tcBorders>
              <w:top w:val="nil"/>
              <w:left w:val="nil"/>
              <w:bottom w:val="nil"/>
              <w:right w:val="nil"/>
            </w:tcBorders>
            <w:shd w:val="clear" w:color="000000" w:fill="FFFFFF"/>
            <w:noWrap/>
            <w:vAlign w:val="bottom"/>
            <w:hideMark/>
          </w:tcPr>
          <w:p w14:paraId="59F2071C" w14:textId="77777777" w:rsidR="001B6918" w:rsidRPr="00BC0847" w:rsidRDefault="001B6918" w:rsidP="00730ECF">
            <w:pPr>
              <w:jc w:val="right"/>
              <w:rPr>
                <w:rFonts w:ascii="Calibri" w:eastAsia="Times New Roman" w:hAnsi="Calibri" w:cs="Calibri"/>
                <w:color w:val="0D0D0D"/>
              </w:rPr>
            </w:pPr>
            <w:r w:rsidRPr="00BC0847">
              <w:rPr>
                <w:rFonts w:ascii="Calibri" w:eastAsia="Times New Roman" w:hAnsi="Calibri" w:cs="Calibri"/>
                <w:color w:val="0D0D0D"/>
              </w:rPr>
              <w:t>-</w:t>
            </w:r>
          </w:p>
        </w:tc>
        <w:tc>
          <w:tcPr>
            <w:tcW w:w="1356" w:type="dxa"/>
            <w:tcBorders>
              <w:top w:val="nil"/>
              <w:left w:val="nil"/>
              <w:bottom w:val="nil"/>
              <w:right w:val="nil"/>
            </w:tcBorders>
            <w:shd w:val="clear" w:color="000000" w:fill="FFFFFF"/>
            <w:noWrap/>
            <w:vAlign w:val="bottom"/>
            <w:hideMark/>
          </w:tcPr>
          <w:p w14:paraId="3507B2E3" w14:textId="77777777" w:rsidR="001B6918" w:rsidRPr="00BC0847" w:rsidRDefault="001B6918" w:rsidP="00730ECF">
            <w:pPr>
              <w:jc w:val="right"/>
              <w:rPr>
                <w:rFonts w:ascii="Calibri" w:eastAsia="Times New Roman" w:hAnsi="Calibri" w:cs="Calibri"/>
                <w:color w:val="0D0D0D"/>
              </w:rPr>
            </w:pPr>
            <w:r>
              <w:rPr>
                <w:rFonts w:ascii="Calibri" w:eastAsia="Times New Roman" w:hAnsi="Calibri" w:cs="Calibri"/>
                <w:color w:val="0D0D0D"/>
              </w:rPr>
              <w:t>51</w:t>
            </w:r>
          </w:p>
        </w:tc>
        <w:tc>
          <w:tcPr>
            <w:tcW w:w="1339" w:type="dxa"/>
            <w:tcBorders>
              <w:top w:val="nil"/>
              <w:left w:val="nil"/>
              <w:bottom w:val="nil"/>
              <w:right w:val="nil"/>
            </w:tcBorders>
            <w:shd w:val="clear" w:color="000000" w:fill="FFFFFF"/>
            <w:noWrap/>
            <w:vAlign w:val="bottom"/>
            <w:hideMark/>
          </w:tcPr>
          <w:p w14:paraId="03666FA8" w14:textId="77777777" w:rsidR="001B6918" w:rsidRPr="00BC0847" w:rsidRDefault="001B6918" w:rsidP="00730ECF">
            <w:pPr>
              <w:jc w:val="right"/>
              <w:rPr>
                <w:rFonts w:ascii="Calibri" w:eastAsia="Times New Roman" w:hAnsi="Calibri" w:cs="Calibri"/>
                <w:color w:val="0D0D0D"/>
              </w:rPr>
            </w:pPr>
            <w:r w:rsidRPr="00BC0847">
              <w:rPr>
                <w:rFonts w:ascii="Calibri" w:eastAsia="Times New Roman" w:hAnsi="Calibri" w:cs="Calibri"/>
                <w:color w:val="0D0D0D"/>
              </w:rPr>
              <w:t>-</w:t>
            </w:r>
          </w:p>
        </w:tc>
        <w:tc>
          <w:tcPr>
            <w:tcW w:w="1451" w:type="dxa"/>
            <w:tcBorders>
              <w:top w:val="nil"/>
              <w:left w:val="nil"/>
              <w:bottom w:val="nil"/>
              <w:right w:val="nil"/>
            </w:tcBorders>
            <w:shd w:val="clear" w:color="000000" w:fill="FFFFFF"/>
            <w:noWrap/>
            <w:vAlign w:val="bottom"/>
            <w:hideMark/>
          </w:tcPr>
          <w:p w14:paraId="0BD6348F" w14:textId="77777777" w:rsidR="001B6918" w:rsidRPr="00BC0847" w:rsidRDefault="001B6918" w:rsidP="00730ECF">
            <w:pPr>
              <w:jc w:val="right"/>
              <w:rPr>
                <w:rFonts w:ascii="Calibri" w:eastAsia="Times New Roman" w:hAnsi="Calibri" w:cs="Calibri"/>
              </w:rPr>
            </w:pPr>
            <w:r>
              <w:rPr>
                <w:rFonts w:ascii="Calibri" w:eastAsia="Times New Roman" w:hAnsi="Calibri" w:cs="Calibri"/>
              </w:rPr>
              <w:t>51</w:t>
            </w:r>
          </w:p>
        </w:tc>
      </w:tr>
      <w:tr w:rsidR="001B6918" w:rsidRPr="00BC0847" w14:paraId="1A42F9FF" w14:textId="77777777" w:rsidTr="00730ECF">
        <w:trPr>
          <w:trHeight w:val="90"/>
        </w:trPr>
        <w:tc>
          <w:tcPr>
            <w:tcW w:w="4590" w:type="dxa"/>
            <w:tcBorders>
              <w:top w:val="nil"/>
              <w:left w:val="nil"/>
              <w:bottom w:val="nil"/>
              <w:right w:val="nil"/>
            </w:tcBorders>
            <w:shd w:val="clear" w:color="000000" w:fill="FFFFFF"/>
            <w:noWrap/>
            <w:vAlign w:val="bottom"/>
            <w:hideMark/>
          </w:tcPr>
          <w:p w14:paraId="44E1C26A" w14:textId="77777777" w:rsidR="001B6918" w:rsidRPr="00BC0847" w:rsidRDefault="001B6918" w:rsidP="00730ECF">
            <w:pPr>
              <w:rPr>
                <w:rFonts w:ascii="Calibri" w:eastAsia="Times New Roman" w:hAnsi="Calibri" w:cs="Calibri"/>
                <w:color w:val="0D0D0D"/>
              </w:rPr>
            </w:pPr>
            <w:r w:rsidRPr="00BC0847">
              <w:rPr>
                <w:rFonts w:ascii="Calibri" w:eastAsia="Times New Roman" w:hAnsi="Calibri" w:cs="Calibri"/>
                <w:color w:val="0D0D0D"/>
              </w:rPr>
              <w:t>Deposits with trustees</w:t>
            </w:r>
          </w:p>
        </w:tc>
        <w:tc>
          <w:tcPr>
            <w:tcW w:w="1074" w:type="dxa"/>
            <w:tcBorders>
              <w:top w:val="nil"/>
              <w:left w:val="nil"/>
              <w:bottom w:val="single" w:sz="4" w:space="0" w:color="000000"/>
              <w:right w:val="nil"/>
            </w:tcBorders>
            <w:shd w:val="clear" w:color="000000" w:fill="FFFFFF"/>
            <w:noWrap/>
            <w:vAlign w:val="bottom"/>
            <w:hideMark/>
          </w:tcPr>
          <w:p w14:paraId="23EC2FFB" w14:textId="77777777" w:rsidR="001B6918" w:rsidRPr="00BC0847" w:rsidRDefault="001B6918" w:rsidP="00730ECF">
            <w:pPr>
              <w:jc w:val="right"/>
              <w:rPr>
                <w:rFonts w:ascii="Calibri" w:eastAsia="Times New Roman" w:hAnsi="Calibri" w:cs="Calibri"/>
              </w:rPr>
            </w:pPr>
            <w:r w:rsidRPr="00BC0847">
              <w:rPr>
                <w:rFonts w:ascii="Calibri" w:eastAsia="Times New Roman" w:hAnsi="Calibri" w:cs="Calibri"/>
              </w:rPr>
              <w:t>-</w:t>
            </w:r>
          </w:p>
        </w:tc>
        <w:tc>
          <w:tcPr>
            <w:tcW w:w="1356" w:type="dxa"/>
            <w:tcBorders>
              <w:top w:val="nil"/>
              <w:left w:val="nil"/>
              <w:bottom w:val="single" w:sz="4" w:space="0" w:color="000000"/>
              <w:right w:val="nil"/>
            </w:tcBorders>
            <w:shd w:val="clear" w:color="000000" w:fill="FFFFFF"/>
            <w:noWrap/>
            <w:vAlign w:val="bottom"/>
            <w:hideMark/>
          </w:tcPr>
          <w:p w14:paraId="36F970FF" w14:textId="77777777" w:rsidR="001B6918" w:rsidRPr="00BC0847" w:rsidRDefault="001B6918" w:rsidP="00730ECF">
            <w:pPr>
              <w:jc w:val="right"/>
              <w:rPr>
                <w:rFonts w:ascii="Calibri" w:eastAsia="Times New Roman" w:hAnsi="Calibri" w:cs="Calibri"/>
              </w:rPr>
            </w:pPr>
            <w:r>
              <w:rPr>
                <w:rFonts w:ascii="Calibri" w:eastAsia="Times New Roman" w:hAnsi="Calibri" w:cs="Calibri"/>
              </w:rPr>
              <w:t xml:space="preserve">  719</w:t>
            </w:r>
          </w:p>
        </w:tc>
        <w:tc>
          <w:tcPr>
            <w:tcW w:w="1339" w:type="dxa"/>
            <w:tcBorders>
              <w:top w:val="nil"/>
              <w:left w:val="nil"/>
              <w:bottom w:val="single" w:sz="4" w:space="0" w:color="000000"/>
              <w:right w:val="nil"/>
            </w:tcBorders>
            <w:shd w:val="clear" w:color="000000" w:fill="FFFFFF"/>
            <w:noWrap/>
            <w:vAlign w:val="bottom"/>
            <w:hideMark/>
          </w:tcPr>
          <w:p w14:paraId="1A70C50D" w14:textId="77777777" w:rsidR="001B6918" w:rsidRPr="00BC0847" w:rsidRDefault="001B6918" w:rsidP="00730ECF">
            <w:pPr>
              <w:jc w:val="right"/>
              <w:rPr>
                <w:rFonts w:ascii="Calibri" w:eastAsia="Times New Roman" w:hAnsi="Calibri" w:cs="Calibri"/>
              </w:rPr>
            </w:pPr>
            <w:r w:rsidRPr="00BC0847">
              <w:rPr>
                <w:rFonts w:ascii="Calibri" w:eastAsia="Times New Roman" w:hAnsi="Calibri" w:cs="Calibri"/>
              </w:rPr>
              <w:t>-</w:t>
            </w:r>
          </w:p>
        </w:tc>
        <w:tc>
          <w:tcPr>
            <w:tcW w:w="1451" w:type="dxa"/>
            <w:tcBorders>
              <w:top w:val="nil"/>
              <w:left w:val="nil"/>
              <w:bottom w:val="single" w:sz="4" w:space="0" w:color="000000"/>
              <w:right w:val="nil"/>
            </w:tcBorders>
            <w:shd w:val="clear" w:color="000000" w:fill="FFFFFF"/>
            <w:noWrap/>
            <w:vAlign w:val="bottom"/>
            <w:hideMark/>
          </w:tcPr>
          <w:p w14:paraId="7344321A" w14:textId="77777777" w:rsidR="001B6918" w:rsidRPr="00BC0847" w:rsidRDefault="001B6918" w:rsidP="00730ECF">
            <w:pPr>
              <w:jc w:val="right"/>
              <w:rPr>
                <w:rFonts w:ascii="Calibri" w:eastAsia="Times New Roman" w:hAnsi="Calibri" w:cs="Calibri"/>
              </w:rPr>
            </w:pPr>
            <w:r>
              <w:rPr>
                <w:rFonts w:ascii="Calibri" w:eastAsia="Times New Roman" w:hAnsi="Calibri" w:cs="Calibri"/>
              </w:rPr>
              <w:t xml:space="preserve"> 719</w:t>
            </w:r>
          </w:p>
        </w:tc>
      </w:tr>
      <w:tr w:rsidR="001B6918" w:rsidRPr="00BC0847" w14:paraId="40B408B5" w14:textId="77777777" w:rsidTr="00730ECF">
        <w:trPr>
          <w:trHeight w:val="80"/>
        </w:trPr>
        <w:tc>
          <w:tcPr>
            <w:tcW w:w="4590" w:type="dxa"/>
            <w:tcBorders>
              <w:top w:val="nil"/>
              <w:left w:val="nil"/>
              <w:bottom w:val="nil"/>
              <w:right w:val="nil"/>
            </w:tcBorders>
            <w:shd w:val="clear" w:color="000000" w:fill="FFFFFF"/>
            <w:noWrap/>
            <w:vAlign w:val="bottom"/>
            <w:hideMark/>
          </w:tcPr>
          <w:p w14:paraId="167D6A81" w14:textId="77777777" w:rsidR="001B6918" w:rsidRPr="00BC0847" w:rsidRDefault="001B6918" w:rsidP="00730ECF">
            <w:pPr>
              <w:rPr>
                <w:rFonts w:ascii="Calibri" w:eastAsia="Times New Roman" w:hAnsi="Calibri" w:cs="Calibri"/>
                <w:color w:val="0D0D0D"/>
              </w:rPr>
            </w:pPr>
            <w:r w:rsidRPr="00BC0847">
              <w:rPr>
                <w:rFonts w:ascii="Calibri" w:eastAsia="Times New Roman" w:hAnsi="Calibri" w:cs="Calibri"/>
                <w:color w:val="0D0D0D"/>
              </w:rPr>
              <w:t>Total other investment income (loss)</w:t>
            </w:r>
          </w:p>
        </w:tc>
        <w:tc>
          <w:tcPr>
            <w:tcW w:w="1074" w:type="dxa"/>
            <w:tcBorders>
              <w:top w:val="nil"/>
              <w:left w:val="nil"/>
              <w:bottom w:val="double" w:sz="6" w:space="0" w:color="000000"/>
              <w:right w:val="nil"/>
            </w:tcBorders>
            <w:shd w:val="clear" w:color="000000" w:fill="FFFFFF"/>
            <w:noWrap/>
            <w:vAlign w:val="bottom"/>
            <w:hideMark/>
          </w:tcPr>
          <w:p w14:paraId="646B998C" w14:textId="77777777" w:rsidR="001B6918" w:rsidRPr="00BC0847" w:rsidRDefault="001B6918" w:rsidP="00730ECF">
            <w:pPr>
              <w:jc w:val="right"/>
              <w:rPr>
                <w:rFonts w:ascii="Calibri" w:eastAsia="Times New Roman" w:hAnsi="Calibri" w:cs="Calibri"/>
              </w:rPr>
            </w:pPr>
            <w:r w:rsidRPr="00BC0847">
              <w:rPr>
                <w:rFonts w:ascii="Calibri" w:eastAsia="Times New Roman" w:hAnsi="Calibri" w:cs="Calibri"/>
              </w:rPr>
              <w:t xml:space="preserve">$  </w:t>
            </w:r>
            <w:r>
              <w:rPr>
                <w:rFonts w:ascii="Calibri" w:eastAsia="Times New Roman" w:hAnsi="Calibri" w:cs="Calibri"/>
              </w:rPr>
              <w:t>8</w:t>
            </w:r>
            <w:r w:rsidRPr="00BC0847">
              <w:rPr>
                <w:rFonts w:ascii="Calibri" w:eastAsia="Times New Roman" w:hAnsi="Calibri" w:cs="Calibri"/>
              </w:rPr>
              <w:t>,</w:t>
            </w:r>
            <w:r>
              <w:rPr>
                <w:rFonts w:ascii="Calibri" w:eastAsia="Times New Roman" w:hAnsi="Calibri" w:cs="Calibri"/>
              </w:rPr>
              <w:t>991</w:t>
            </w:r>
          </w:p>
        </w:tc>
        <w:tc>
          <w:tcPr>
            <w:tcW w:w="1356" w:type="dxa"/>
            <w:tcBorders>
              <w:top w:val="nil"/>
              <w:left w:val="nil"/>
              <w:bottom w:val="double" w:sz="6" w:space="0" w:color="000000"/>
              <w:right w:val="nil"/>
            </w:tcBorders>
            <w:noWrap/>
            <w:vAlign w:val="bottom"/>
            <w:hideMark/>
          </w:tcPr>
          <w:p w14:paraId="0EEE8307" w14:textId="77777777" w:rsidR="001B6918" w:rsidRPr="00BC0847" w:rsidRDefault="001B6918" w:rsidP="00730ECF">
            <w:pPr>
              <w:jc w:val="right"/>
              <w:rPr>
                <w:rFonts w:ascii="Calibri" w:eastAsia="Times New Roman" w:hAnsi="Calibri" w:cs="Calibri"/>
              </w:rPr>
            </w:pPr>
            <w:r w:rsidRPr="00BC0847">
              <w:rPr>
                <w:rFonts w:ascii="Calibri" w:eastAsia="Times New Roman" w:hAnsi="Calibri" w:cs="Calibri"/>
              </w:rPr>
              <w:t>$12,</w:t>
            </w:r>
            <w:r>
              <w:rPr>
                <w:rFonts w:ascii="Calibri" w:eastAsia="Times New Roman" w:hAnsi="Calibri" w:cs="Calibri"/>
              </w:rPr>
              <w:t>691</w:t>
            </w:r>
          </w:p>
        </w:tc>
        <w:tc>
          <w:tcPr>
            <w:tcW w:w="1339" w:type="dxa"/>
            <w:tcBorders>
              <w:top w:val="nil"/>
              <w:left w:val="nil"/>
              <w:bottom w:val="double" w:sz="6" w:space="0" w:color="000000"/>
              <w:right w:val="nil"/>
            </w:tcBorders>
            <w:shd w:val="clear" w:color="000000" w:fill="FFFFFF"/>
            <w:noWrap/>
            <w:vAlign w:val="bottom"/>
            <w:hideMark/>
          </w:tcPr>
          <w:p w14:paraId="6F255DFC" w14:textId="77777777" w:rsidR="001B6918" w:rsidRPr="00BC0847" w:rsidRDefault="001B6918" w:rsidP="00730ECF">
            <w:pPr>
              <w:jc w:val="right"/>
              <w:rPr>
                <w:rFonts w:ascii="Calibri" w:eastAsia="Times New Roman" w:hAnsi="Calibri" w:cs="Calibri"/>
              </w:rPr>
            </w:pPr>
            <w:r w:rsidRPr="00BC0847">
              <w:rPr>
                <w:rFonts w:ascii="Calibri" w:eastAsia="Times New Roman" w:hAnsi="Calibri" w:cs="Calibri"/>
              </w:rPr>
              <w:t>$(</w:t>
            </w:r>
            <w:r>
              <w:rPr>
                <w:rFonts w:ascii="Calibri" w:eastAsia="Times New Roman" w:hAnsi="Calibri" w:cs="Calibri"/>
              </w:rPr>
              <w:t>5</w:t>
            </w:r>
            <w:r w:rsidRPr="00BC0847">
              <w:rPr>
                <w:rFonts w:ascii="Calibri" w:eastAsia="Times New Roman" w:hAnsi="Calibri" w:cs="Calibri"/>
              </w:rPr>
              <w:t>34)</w:t>
            </w:r>
          </w:p>
        </w:tc>
        <w:tc>
          <w:tcPr>
            <w:tcW w:w="1451" w:type="dxa"/>
            <w:tcBorders>
              <w:top w:val="nil"/>
              <w:left w:val="nil"/>
              <w:bottom w:val="double" w:sz="6" w:space="0" w:color="000000"/>
              <w:right w:val="nil"/>
            </w:tcBorders>
            <w:shd w:val="clear" w:color="000000" w:fill="FFFFFF"/>
            <w:noWrap/>
            <w:vAlign w:val="bottom"/>
            <w:hideMark/>
          </w:tcPr>
          <w:p w14:paraId="07938077" w14:textId="77777777" w:rsidR="001B6918" w:rsidRPr="00BC0847" w:rsidRDefault="001B6918" w:rsidP="00730ECF">
            <w:pPr>
              <w:jc w:val="right"/>
              <w:rPr>
                <w:rFonts w:ascii="Calibri" w:eastAsia="Times New Roman" w:hAnsi="Calibri" w:cs="Calibri"/>
                <w:color w:val="0D0D0D"/>
              </w:rPr>
            </w:pPr>
            <w:r w:rsidRPr="00BC0847">
              <w:rPr>
                <w:rFonts w:ascii="Calibri" w:eastAsia="Times New Roman" w:hAnsi="Calibri" w:cs="Calibri"/>
                <w:color w:val="0D0D0D"/>
              </w:rPr>
              <w:t>$</w:t>
            </w:r>
            <w:r>
              <w:rPr>
                <w:rFonts w:ascii="Calibri" w:eastAsia="Times New Roman" w:hAnsi="Calibri" w:cs="Calibri"/>
                <w:color w:val="0D0D0D"/>
              </w:rPr>
              <w:t xml:space="preserve"> 21</w:t>
            </w:r>
            <w:r w:rsidRPr="00BC0847">
              <w:rPr>
                <w:rFonts w:ascii="Calibri" w:eastAsia="Times New Roman" w:hAnsi="Calibri" w:cs="Calibri"/>
                <w:color w:val="0D0D0D"/>
              </w:rPr>
              <w:t>,</w:t>
            </w:r>
            <w:r>
              <w:rPr>
                <w:rFonts w:ascii="Calibri" w:eastAsia="Times New Roman" w:hAnsi="Calibri" w:cs="Calibri"/>
                <w:color w:val="0D0D0D"/>
              </w:rPr>
              <w:t>148</w:t>
            </w:r>
          </w:p>
        </w:tc>
      </w:tr>
    </w:tbl>
    <w:p w14:paraId="55BED96D" w14:textId="77777777" w:rsidR="001B6918" w:rsidRPr="004E6649" w:rsidRDefault="001B6918" w:rsidP="001B6918">
      <w:pPr>
        <w:tabs>
          <w:tab w:val="left" w:pos="720"/>
          <w:tab w:val="decimal" w:pos="6786"/>
          <w:tab w:val="decimal" w:pos="9187"/>
        </w:tabs>
        <w:suppressAutoHyphens/>
        <w:rPr>
          <w:rFonts w:eastAsia="Times New Roman" w:cstheme="minorHAnsi"/>
          <w:spacing w:val="-3"/>
          <w:sz w:val="24"/>
          <w:szCs w:val="20"/>
        </w:rPr>
      </w:pPr>
      <w:r w:rsidRPr="004E6649">
        <w:rPr>
          <w:rFonts w:eastAsia="Times New Roman" w:cstheme="minorHAnsi"/>
          <w:spacing w:val="-3"/>
          <w:sz w:val="24"/>
          <w:szCs w:val="20"/>
        </w:rPr>
        <w:fldChar w:fldCharType="begin"/>
      </w:r>
      <w:r w:rsidRPr="004E6649">
        <w:rPr>
          <w:rFonts w:eastAsia="Times New Roman" w:cstheme="minorHAnsi"/>
          <w:spacing w:val="-3"/>
          <w:sz w:val="24"/>
          <w:szCs w:val="20"/>
        </w:rPr>
        <w:fldChar w:fldCharType="end"/>
      </w:r>
    </w:p>
    <w:p w14:paraId="15A803FD" w14:textId="77777777" w:rsidR="001B6918" w:rsidRPr="004E6649" w:rsidRDefault="001B6918" w:rsidP="001B6918">
      <w:pPr>
        <w:spacing w:after="160" w:line="259" w:lineRule="auto"/>
        <w:rPr>
          <w:rFonts w:eastAsiaTheme="majorEastAsia" w:cstheme="minorHAnsi"/>
          <w:b/>
          <w:i/>
          <w:iCs/>
          <w:smallCaps/>
          <w:noProof/>
          <w:color w:val="000000" w:themeColor="text1"/>
          <w:sz w:val="24"/>
          <w:szCs w:val="24"/>
          <w:u w:color="5B9BD5"/>
        </w:rPr>
      </w:pPr>
      <w:r w:rsidRPr="004E6649">
        <w:rPr>
          <w:rFonts w:cstheme="minorHAnsi"/>
          <w:sz w:val="24"/>
          <w:szCs w:val="24"/>
        </w:rPr>
        <w:t xml:space="preserve">See Note 13d for investment returns related to </w:t>
      </w:r>
      <w:r w:rsidRPr="004E6649">
        <w:rPr>
          <w:rFonts w:cstheme="minorHAnsi"/>
          <w:spacing w:val="-3"/>
          <w:sz w:val="24"/>
          <w:szCs w:val="24"/>
        </w:rPr>
        <w:t xml:space="preserve">the </w:t>
      </w:r>
      <w:r w:rsidRPr="004E6649">
        <w:rPr>
          <w:rFonts w:cstheme="minorHAnsi"/>
          <w:b/>
          <w:spacing w:val="-3"/>
          <w:sz w:val="24"/>
          <w:szCs w:val="24"/>
        </w:rPr>
        <w:t>Defined Benefit Plan – Classified Employees</w:t>
      </w:r>
      <w:r w:rsidRPr="004E6649">
        <w:rPr>
          <w:rFonts w:cstheme="minorHAnsi"/>
          <w:sz w:val="24"/>
          <w:szCs w:val="24"/>
        </w:rPr>
        <w:t>.</w:t>
      </w:r>
    </w:p>
    <w:p w14:paraId="69ADCF22" w14:textId="77777777" w:rsidR="001B6918" w:rsidRPr="00643226" w:rsidRDefault="001B6918" w:rsidP="001B6918">
      <w:pPr>
        <w:pStyle w:val="AFR2"/>
        <w:pBdr>
          <w:bottom w:val="single" w:sz="8" w:space="1" w:color="0D0D0D" w:themeColor="text1" w:themeTint="F2"/>
        </w:pBdr>
        <w:rPr>
          <w:rFonts w:cstheme="minorHAnsi"/>
          <w:sz w:val="26"/>
          <w:szCs w:val="26"/>
        </w:rPr>
      </w:pPr>
      <w:r w:rsidRPr="00643226">
        <w:rPr>
          <w:rFonts w:cstheme="minorHAnsi"/>
          <w:sz w:val="26"/>
          <w:szCs w:val="26"/>
        </w:rPr>
        <w:t>4. ACCOUNTS, GRANTS, AND PLEDGES RECEIVABLE</w:t>
      </w:r>
    </w:p>
    <w:p w14:paraId="4BF03D78" w14:textId="77777777" w:rsidR="001B6918" w:rsidRPr="004E6649" w:rsidRDefault="001B6918" w:rsidP="001B6918">
      <w:pPr>
        <w:tabs>
          <w:tab w:val="left" w:pos="720"/>
          <w:tab w:val="left" w:pos="1440"/>
          <w:tab w:val="decimal" w:pos="6786"/>
          <w:tab w:val="decimal" w:pos="9079"/>
        </w:tabs>
        <w:suppressAutoHyphens/>
        <w:spacing w:after="240"/>
        <w:rPr>
          <w:rFonts w:eastAsia="Times New Roman" w:cstheme="minorHAnsi"/>
          <w:bCs/>
          <w:spacing w:val="-3"/>
          <w:sz w:val="24"/>
        </w:rPr>
      </w:pPr>
      <w:r w:rsidRPr="004E6649">
        <w:rPr>
          <w:rFonts w:eastAsia="Times New Roman" w:cstheme="minorHAnsi"/>
          <w:bCs/>
          <w:spacing w:val="-3"/>
          <w:sz w:val="24"/>
        </w:rPr>
        <w:t>Accounts, grants, and pledges receivable include the following at June 30:</w:t>
      </w:r>
    </w:p>
    <w:tbl>
      <w:tblPr>
        <w:tblW w:w="9630" w:type="dxa"/>
        <w:jc w:val="center"/>
        <w:tblLayout w:type="fixed"/>
        <w:tblLook w:val="04A0" w:firstRow="1" w:lastRow="0" w:firstColumn="1" w:lastColumn="0" w:noHBand="0" w:noVBand="1"/>
      </w:tblPr>
      <w:tblGrid>
        <w:gridCol w:w="2915"/>
        <w:gridCol w:w="1045"/>
        <w:gridCol w:w="900"/>
        <w:gridCol w:w="90"/>
        <w:gridCol w:w="1170"/>
        <w:gridCol w:w="1080"/>
        <w:gridCol w:w="1080"/>
        <w:gridCol w:w="1350"/>
      </w:tblGrid>
      <w:tr w:rsidR="001B6918" w:rsidRPr="004E6649" w14:paraId="7889F641" w14:textId="77777777" w:rsidTr="00D920DB">
        <w:trPr>
          <w:trHeight w:val="300"/>
          <w:jc w:val="center"/>
        </w:trPr>
        <w:tc>
          <w:tcPr>
            <w:tcW w:w="2915" w:type="dxa"/>
            <w:tcBorders>
              <w:top w:val="nil"/>
              <w:left w:val="nil"/>
              <w:bottom w:val="single" w:sz="12" w:space="0" w:color="000000" w:themeColor="text1"/>
              <w:right w:val="nil"/>
            </w:tcBorders>
            <w:shd w:val="clear" w:color="000000" w:fill="FFFFFF"/>
            <w:noWrap/>
            <w:vAlign w:val="bottom"/>
            <w:hideMark/>
          </w:tcPr>
          <w:p w14:paraId="5A72F092" w14:textId="77777777" w:rsidR="001B6918" w:rsidRPr="004E6649" w:rsidRDefault="001B6918" w:rsidP="00730ECF">
            <w:pPr>
              <w:rPr>
                <w:rFonts w:eastAsia="Times New Roman" w:cstheme="minorHAnsi"/>
                <w:b/>
                <w:bCs/>
                <w:color w:val="0D0D0D"/>
                <w:sz w:val="20"/>
                <w:szCs w:val="20"/>
              </w:rPr>
            </w:pPr>
            <w:r w:rsidRPr="004E6649">
              <w:rPr>
                <w:rFonts w:eastAsia="Times New Roman" w:cstheme="minorHAnsi"/>
                <w:b/>
                <w:bCs/>
                <w:color w:val="0D0D0D"/>
                <w:sz w:val="20"/>
                <w:szCs w:val="20"/>
              </w:rPr>
              <w:t> </w:t>
            </w:r>
          </w:p>
        </w:tc>
        <w:tc>
          <w:tcPr>
            <w:tcW w:w="3205" w:type="dxa"/>
            <w:gridSpan w:val="4"/>
            <w:tcBorders>
              <w:top w:val="nil"/>
              <w:left w:val="nil"/>
              <w:bottom w:val="single" w:sz="12" w:space="0" w:color="000000" w:themeColor="text1"/>
              <w:right w:val="nil"/>
            </w:tcBorders>
            <w:shd w:val="clear" w:color="000000" w:fill="FFFFFF"/>
            <w:noWrap/>
            <w:vAlign w:val="bottom"/>
            <w:hideMark/>
          </w:tcPr>
          <w:p w14:paraId="0683F1ED" w14:textId="77777777" w:rsidR="001B6918" w:rsidRPr="004E6649" w:rsidRDefault="001B6918" w:rsidP="00730ECF">
            <w:pPr>
              <w:jc w:val="center"/>
              <w:rPr>
                <w:rFonts w:eastAsia="Times New Roman" w:cstheme="minorHAnsi"/>
                <w:b/>
                <w:bCs/>
                <w:color w:val="0D0D0D"/>
                <w:sz w:val="20"/>
                <w:szCs w:val="20"/>
              </w:rPr>
            </w:pPr>
            <w:r w:rsidRPr="004E6649">
              <w:rPr>
                <w:rFonts w:eastAsia="Times New Roman" w:cstheme="minorHAnsi"/>
                <w:b/>
                <w:bCs/>
                <w:color w:val="0D0D0D"/>
                <w:sz w:val="20"/>
                <w:szCs w:val="20"/>
              </w:rPr>
              <w:t>202</w:t>
            </w:r>
            <w:r>
              <w:rPr>
                <w:rFonts w:eastAsia="Times New Roman" w:cstheme="minorHAnsi"/>
                <w:b/>
                <w:bCs/>
                <w:color w:val="0D0D0D"/>
                <w:sz w:val="20"/>
                <w:szCs w:val="20"/>
              </w:rPr>
              <w:t>5</w:t>
            </w:r>
          </w:p>
        </w:tc>
        <w:tc>
          <w:tcPr>
            <w:tcW w:w="3510" w:type="dxa"/>
            <w:gridSpan w:val="3"/>
            <w:tcBorders>
              <w:top w:val="nil"/>
              <w:left w:val="nil"/>
              <w:bottom w:val="single" w:sz="12" w:space="0" w:color="000000" w:themeColor="text1"/>
              <w:right w:val="nil"/>
            </w:tcBorders>
            <w:shd w:val="clear" w:color="auto" w:fill="F2F2F2" w:themeFill="background1" w:themeFillShade="F2"/>
            <w:noWrap/>
            <w:vAlign w:val="bottom"/>
            <w:hideMark/>
          </w:tcPr>
          <w:p w14:paraId="0EE4BF42" w14:textId="77777777" w:rsidR="001B6918" w:rsidRPr="004E6649" w:rsidRDefault="001B6918" w:rsidP="00730ECF">
            <w:pPr>
              <w:jc w:val="center"/>
              <w:rPr>
                <w:rFonts w:eastAsia="Times New Roman" w:cstheme="minorHAnsi"/>
                <w:b/>
                <w:bCs/>
                <w:color w:val="0D0D0D"/>
                <w:sz w:val="20"/>
                <w:szCs w:val="20"/>
              </w:rPr>
            </w:pPr>
            <w:r w:rsidRPr="004E6649">
              <w:rPr>
                <w:rFonts w:eastAsia="Times New Roman" w:cstheme="minorHAnsi"/>
                <w:b/>
                <w:bCs/>
                <w:color w:val="0D0D0D"/>
                <w:sz w:val="20"/>
                <w:szCs w:val="20"/>
              </w:rPr>
              <w:t>202</w:t>
            </w:r>
            <w:r>
              <w:rPr>
                <w:rFonts w:eastAsia="Times New Roman" w:cstheme="minorHAnsi"/>
                <w:b/>
                <w:bCs/>
                <w:color w:val="0D0D0D"/>
                <w:sz w:val="20"/>
                <w:szCs w:val="20"/>
              </w:rPr>
              <w:t>4</w:t>
            </w:r>
          </w:p>
        </w:tc>
      </w:tr>
      <w:tr w:rsidR="001B6918" w:rsidRPr="004E6649" w14:paraId="684E6301" w14:textId="77777777" w:rsidTr="00D920DB">
        <w:trPr>
          <w:trHeight w:val="510"/>
          <w:jc w:val="center"/>
        </w:trPr>
        <w:tc>
          <w:tcPr>
            <w:tcW w:w="2915" w:type="dxa"/>
            <w:tcBorders>
              <w:top w:val="single" w:sz="12" w:space="0" w:color="000000" w:themeColor="text1"/>
              <w:left w:val="nil"/>
              <w:bottom w:val="single" w:sz="12" w:space="0" w:color="000000" w:themeColor="text1"/>
              <w:right w:val="nil"/>
            </w:tcBorders>
            <w:shd w:val="clear" w:color="000000" w:fill="FFFFFF"/>
            <w:noWrap/>
            <w:vAlign w:val="bottom"/>
            <w:hideMark/>
          </w:tcPr>
          <w:p w14:paraId="5FB90D0E" w14:textId="77777777" w:rsidR="001B6918" w:rsidRPr="004E6649" w:rsidRDefault="001B6918" w:rsidP="00730ECF">
            <w:pPr>
              <w:rPr>
                <w:rFonts w:eastAsia="Times New Roman" w:cstheme="minorHAnsi"/>
                <w:b/>
                <w:bCs/>
                <w:color w:val="0D0D0D"/>
                <w:sz w:val="20"/>
                <w:szCs w:val="20"/>
              </w:rPr>
            </w:pPr>
            <w:r w:rsidRPr="004E6649">
              <w:rPr>
                <w:rFonts w:eastAsia="Times New Roman" w:cstheme="minorHAnsi"/>
                <w:b/>
                <w:bCs/>
                <w:color w:val="0D0D0D"/>
                <w:sz w:val="20"/>
                <w:szCs w:val="20"/>
              </w:rPr>
              <w:t> </w:t>
            </w:r>
          </w:p>
        </w:tc>
        <w:tc>
          <w:tcPr>
            <w:tcW w:w="1045" w:type="dxa"/>
            <w:tcBorders>
              <w:top w:val="single" w:sz="12" w:space="0" w:color="000000" w:themeColor="text1"/>
              <w:left w:val="nil"/>
              <w:bottom w:val="single" w:sz="12" w:space="0" w:color="000000" w:themeColor="text1"/>
              <w:right w:val="nil"/>
            </w:tcBorders>
            <w:shd w:val="clear" w:color="000000" w:fill="FFFFFF"/>
            <w:noWrap/>
            <w:vAlign w:val="bottom"/>
            <w:hideMark/>
          </w:tcPr>
          <w:p w14:paraId="5936AC39" w14:textId="77777777" w:rsidR="001B6918" w:rsidRPr="004E6649" w:rsidRDefault="001B6918" w:rsidP="00730ECF">
            <w:pPr>
              <w:jc w:val="center"/>
              <w:rPr>
                <w:rFonts w:eastAsia="Times New Roman" w:cstheme="minorHAnsi"/>
                <w:b/>
                <w:bCs/>
                <w:color w:val="0D0D0D"/>
                <w:sz w:val="20"/>
                <w:szCs w:val="20"/>
              </w:rPr>
            </w:pPr>
            <w:r w:rsidRPr="004E6649">
              <w:rPr>
                <w:rFonts w:eastAsia="Times New Roman" w:cstheme="minorHAnsi"/>
                <w:b/>
                <w:bCs/>
                <w:color w:val="0D0D0D"/>
                <w:sz w:val="20"/>
                <w:szCs w:val="20"/>
              </w:rPr>
              <w:t>Total</w:t>
            </w:r>
          </w:p>
        </w:tc>
        <w:tc>
          <w:tcPr>
            <w:tcW w:w="900" w:type="dxa"/>
            <w:tcBorders>
              <w:top w:val="single" w:sz="12" w:space="0" w:color="000000" w:themeColor="text1"/>
              <w:left w:val="nil"/>
              <w:bottom w:val="single" w:sz="12" w:space="0" w:color="000000" w:themeColor="text1"/>
              <w:right w:val="nil"/>
            </w:tcBorders>
            <w:shd w:val="clear" w:color="000000" w:fill="FFFFFF"/>
            <w:vAlign w:val="bottom"/>
            <w:hideMark/>
          </w:tcPr>
          <w:p w14:paraId="2179F441" w14:textId="77777777" w:rsidR="001B6918" w:rsidRPr="004E6649" w:rsidRDefault="001B6918" w:rsidP="00730ECF">
            <w:pPr>
              <w:jc w:val="center"/>
              <w:rPr>
                <w:rFonts w:eastAsia="Times New Roman" w:cstheme="minorHAnsi"/>
                <w:b/>
                <w:bCs/>
                <w:color w:val="0D0D0D"/>
                <w:sz w:val="20"/>
                <w:szCs w:val="20"/>
              </w:rPr>
            </w:pPr>
            <w:r w:rsidRPr="004E6649">
              <w:rPr>
                <w:rFonts w:eastAsia="Times New Roman" w:cstheme="minorHAnsi"/>
                <w:b/>
                <w:bCs/>
                <w:color w:val="0D0D0D"/>
                <w:sz w:val="20"/>
                <w:szCs w:val="20"/>
              </w:rPr>
              <w:t>Current</w:t>
            </w:r>
            <w:r>
              <w:rPr>
                <w:rFonts w:eastAsia="Times New Roman" w:cstheme="minorHAnsi"/>
                <w:b/>
                <w:bCs/>
                <w:color w:val="0D0D0D"/>
                <w:sz w:val="20"/>
                <w:szCs w:val="20"/>
              </w:rPr>
              <w:t xml:space="preserve"> </w:t>
            </w:r>
            <w:r w:rsidRPr="004E6649">
              <w:rPr>
                <w:rFonts w:eastAsia="Times New Roman" w:cstheme="minorHAnsi"/>
                <w:b/>
                <w:bCs/>
                <w:color w:val="0D0D0D"/>
                <w:sz w:val="20"/>
                <w:szCs w:val="20"/>
              </w:rPr>
              <w:t>Portion</w:t>
            </w:r>
          </w:p>
        </w:tc>
        <w:tc>
          <w:tcPr>
            <w:tcW w:w="1260" w:type="dxa"/>
            <w:gridSpan w:val="2"/>
            <w:tcBorders>
              <w:top w:val="single" w:sz="12" w:space="0" w:color="000000" w:themeColor="text1"/>
              <w:left w:val="nil"/>
              <w:bottom w:val="single" w:sz="12" w:space="0" w:color="000000" w:themeColor="text1"/>
              <w:right w:val="nil"/>
            </w:tcBorders>
            <w:shd w:val="clear" w:color="000000" w:fill="FFFFFF"/>
            <w:vAlign w:val="bottom"/>
            <w:hideMark/>
          </w:tcPr>
          <w:p w14:paraId="5E9C2A84" w14:textId="77777777" w:rsidR="001B6918" w:rsidRPr="004E6649" w:rsidRDefault="001B6918" w:rsidP="00730ECF">
            <w:pPr>
              <w:jc w:val="center"/>
              <w:rPr>
                <w:rFonts w:eastAsia="Times New Roman" w:cstheme="minorHAnsi"/>
                <w:b/>
                <w:bCs/>
                <w:color w:val="0D0D0D"/>
                <w:sz w:val="20"/>
                <w:szCs w:val="20"/>
              </w:rPr>
            </w:pPr>
            <w:r w:rsidRPr="004E6649">
              <w:rPr>
                <w:rFonts w:eastAsia="Times New Roman" w:cstheme="minorHAnsi"/>
                <w:b/>
                <w:bCs/>
                <w:color w:val="0D0D0D"/>
                <w:sz w:val="20"/>
                <w:szCs w:val="20"/>
              </w:rPr>
              <w:t>Noncurrent Portion</w:t>
            </w:r>
          </w:p>
        </w:tc>
        <w:tc>
          <w:tcPr>
            <w:tcW w:w="1080" w:type="dxa"/>
            <w:tcBorders>
              <w:top w:val="single" w:sz="12" w:space="0" w:color="000000" w:themeColor="text1"/>
              <w:left w:val="nil"/>
              <w:bottom w:val="single" w:sz="12" w:space="0" w:color="000000" w:themeColor="text1"/>
              <w:right w:val="nil"/>
            </w:tcBorders>
            <w:shd w:val="clear" w:color="auto" w:fill="F2F2F2" w:themeFill="background1" w:themeFillShade="F2"/>
            <w:noWrap/>
            <w:vAlign w:val="bottom"/>
            <w:hideMark/>
          </w:tcPr>
          <w:p w14:paraId="2818000B" w14:textId="77777777" w:rsidR="001B6918" w:rsidRPr="004E6649" w:rsidRDefault="001B6918" w:rsidP="00730ECF">
            <w:pPr>
              <w:jc w:val="center"/>
              <w:rPr>
                <w:rFonts w:eastAsia="Times New Roman" w:cstheme="minorHAnsi"/>
                <w:b/>
                <w:bCs/>
                <w:color w:val="0D0D0D"/>
                <w:sz w:val="20"/>
                <w:szCs w:val="20"/>
              </w:rPr>
            </w:pPr>
            <w:r w:rsidRPr="004E6649">
              <w:rPr>
                <w:rFonts w:eastAsia="Times New Roman" w:cstheme="minorHAnsi"/>
                <w:b/>
                <w:bCs/>
                <w:color w:val="0D0D0D"/>
                <w:sz w:val="20"/>
                <w:szCs w:val="20"/>
              </w:rPr>
              <w:t>Total</w:t>
            </w:r>
          </w:p>
        </w:tc>
        <w:tc>
          <w:tcPr>
            <w:tcW w:w="1080" w:type="dxa"/>
            <w:tcBorders>
              <w:top w:val="single" w:sz="12" w:space="0" w:color="000000" w:themeColor="text1"/>
              <w:left w:val="nil"/>
              <w:bottom w:val="single" w:sz="12" w:space="0" w:color="000000" w:themeColor="text1"/>
              <w:right w:val="nil"/>
            </w:tcBorders>
            <w:shd w:val="clear" w:color="auto" w:fill="F2F2F2" w:themeFill="background1" w:themeFillShade="F2"/>
            <w:vAlign w:val="bottom"/>
            <w:hideMark/>
          </w:tcPr>
          <w:p w14:paraId="3BC663AA" w14:textId="77777777" w:rsidR="001B6918" w:rsidRPr="004E6649" w:rsidRDefault="001B6918" w:rsidP="00730ECF">
            <w:pPr>
              <w:jc w:val="center"/>
              <w:rPr>
                <w:rFonts w:eastAsia="Times New Roman" w:cstheme="minorHAnsi"/>
                <w:b/>
                <w:bCs/>
                <w:color w:val="0D0D0D"/>
                <w:sz w:val="20"/>
                <w:szCs w:val="20"/>
              </w:rPr>
            </w:pPr>
            <w:r w:rsidRPr="004E6649">
              <w:rPr>
                <w:rFonts w:eastAsia="Times New Roman" w:cstheme="minorHAnsi"/>
                <w:b/>
                <w:bCs/>
                <w:color w:val="0D0D0D"/>
                <w:sz w:val="20"/>
                <w:szCs w:val="20"/>
              </w:rPr>
              <w:t>Current</w:t>
            </w:r>
            <w:r>
              <w:rPr>
                <w:rFonts w:eastAsia="Times New Roman" w:cstheme="minorHAnsi"/>
                <w:b/>
                <w:bCs/>
                <w:color w:val="0D0D0D"/>
                <w:sz w:val="20"/>
                <w:szCs w:val="20"/>
              </w:rPr>
              <w:t xml:space="preserve"> </w:t>
            </w:r>
            <w:r w:rsidRPr="004E6649">
              <w:rPr>
                <w:rFonts w:eastAsia="Times New Roman" w:cstheme="minorHAnsi"/>
                <w:b/>
                <w:bCs/>
                <w:color w:val="0D0D0D"/>
                <w:sz w:val="20"/>
                <w:szCs w:val="20"/>
              </w:rPr>
              <w:t>Portion</w:t>
            </w:r>
          </w:p>
        </w:tc>
        <w:tc>
          <w:tcPr>
            <w:tcW w:w="1350" w:type="dxa"/>
            <w:tcBorders>
              <w:top w:val="single" w:sz="12" w:space="0" w:color="000000" w:themeColor="text1"/>
              <w:left w:val="nil"/>
              <w:bottom w:val="single" w:sz="12" w:space="0" w:color="000000" w:themeColor="text1"/>
              <w:right w:val="nil"/>
            </w:tcBorders>
            <w:shd w:val="clear" w:color="auto" w:fill="F2F2F2" w:themeFill="background1" w:themeFillShade="F2"/>
            <w:vAlign w:val="bottom"/>
            <w:hideMark/>
          </w:tcPr>
          <w:p w14:paraId="44EA370A" w14:textId="77777777" w:rsidR="001B6918" w:rsidRPr="004E6649" w:rsidRDefault="001B6918" w:rsidP="00730ECF">
            <w:pPr>
              <w:jc w:val="center"/>
              <w:rPr>
                <w:rFonts w:eastAsia="Times New Roman" w:cstheme="minorHAnsi"/>
                <w:b/>
                <w:bCs/>
                <w:color w:val="0D0D0D"/>
                <w:sz w:val="20"/>
                <w:szCs w:val="20"/>
              </w:rPr>
            </w:pPr>
            <w:r w:rsidRPr="004E6649">
              <w:rPr>
                <w:rFonts w:eastAsia="Times New Roman" w:cstheme="minorHAnsi"/>
                <w:b/>
                <w:bCs/>
                <w:color w:val="0D0D0D"/>
                <w:sz w:val="20"/>
                <w:szCs w:val="20"/>
              </w:rPr>
              <w:t>Noncurrent Portion</w:t>
            </w:r>
          </w:p>
        </w:tc>
      </w:tr>
      <w:tr w:rsidR="001B6918" w:rsidRPr="004E6649" w14:paraId="6D2E2298" w14:textId="77777777" w:rsidTr="00D920DB">
        <w:trPr>
          <w:trHeight w:val="150"/>
          <w:jc w:val="center"/>
        </w:trPr>
        <w:tc>
          <w:tcPr>
            <w:tcW w:w="2915" w:type="dxa"/>
            <w:tcBorders>
              <w:top w:val="single" w:sz="12" w:space="0" w:color="000000" w:themeColor="text1"/>
              <w:left w:val="nil"/>
              <w:bottom w:val="nil"/>
              <w:right w:val="nil"/>
            </w:tcBorders>
            <w:shd w:val="clear" w:color="000000" w:fill="FFFFFF"/>
            <w:noWrap/>
            <w:vAlign w:val="bottom"/>
            <w:hideMark/>
          </w:tcPr>
          <w:p w14:paraId="22391E8B" w14:textId="77777777" w:rsidR="001B6918" w:rsidRPr="004E6649" w:rsidRDefault="001B6918" w:rsidP="00730ECF">
            <w:pPr>
              <w:rPr>
                <w:rFonts w:eastAsia="Times New Roman" w:cstheme="minorHAnsi"/>
                <w:color w:val="0D0D0D"/>
                <w:sz w:val="20"/>
                <w:szCs w:val="20"/>
              </w:rPr>
            </w:pPr>
            <w:r w:rsidRPr="004E6649">
              <w:rPr>
                <w:rFonts w:eastAsia="Times New Roman" w:cstheme="minorHAnsi"/>
                <w:color w:val="0D0D0D"/>
                <w:sz w:val="20"/>
                <w:szCs w:val="20"/>
              </w:rPr>
              <w:t>Student and other accounts receivable</w:t>
            </w:r>
          </w:p>
        </w:tc>
        <w:tc>
          <w:tcPr>
            <w:tcW w:w="1045" w:type="dxa"/>
            <w:tcBorders>
              <w:top w:val="single" w:sz="12" w:space="0" w:color="000000" w:themeColor="text1"/>
              <w:left w:val="nil"/>
              <w:bottom w:val="nil"/>
              <w:right w:val="nil"/>
            </w:tcBorders>
            <w:shd w:val="clear" w:color="000000" w:fill="FFFFFF"/>
            <w:noWrap/>
            <w:hideMark/>
          </w:tcPr>
          <w:p w14:paraId="045573AC" w14:textId="77777777" w:rsidR="001B6918" w:rsidRDefault="001B6918" w:rsidP="00730ECF">
            <w:pPr>
              <w:jc w:val="right"/>
              <w:rPr>
                <w:sz w:val="20"/>
                <w:szCs w:val="20"/>
              </w:rPr>
            </w:pPr>
          </w:p>
          <w:p w14:paraId="5D43314C" w14:textId="717062A6" w:rsidR="001B6918" w:rsidRPr="00B157CC" w:rsidRDefault="001B6918" w:rsidP="00730ECF">
            <w:pPr>
              <w:jc w:val="right"/>
              <w:rPr>
                <w:sz w:val="20"/>
                <w:szCs w:val="20"/>
              </w:rPr>
            </w:pPr>
            <w:r>
              <w:rPr>
                <w:sz w:val="20"/>
                <w:szCs w:val="20"/>
              </w:rPr>
              <w:t xml:space="preserve"> </w:t>
            </w:r>
            <w:r w:rsidRPr="00B157CC">
              <w:rPr>
                <w:sz w:val="20"/>
                <w:szCs w:val="20"/>
              </w:rPr>
              <w:t xml:space="preserve"> </w:t>
            </w:r>
            <w:r w:rsidR="001F4002" w:rsidRPr="001F4002">
              <w:rPr>
                <w:sz w:val="20"/>
                <w:szCs w:val="20"/>
              </w:rPr>
              <w:t xml:space="preserve"> $73,498 </w:t>
            </w:r>
            <w:r w:rsidRPr="00B157CC">
              <w:rPr>
                <w:sz w:val="20"/>
                <w:szCs w:val="20"/>
              </w:rPr>
              <w:t xml:space="preserve"> </w:t>
            </w:r>
          </w:p>
        </w:tc>
        <w:tc>
          <w:tcPr>
            <w:tcW w:w="990" w:type="dxa"/>
            <w:gridSpan w:val="2"/>
            <w:tcBorders>
              <w:top w:val="single" w:sz="12" w:space="0" w:color="000000" w:themeColor="text1"/>
              <w:left w:val="nil"/>
              <w:bottom w:val="nil"/>
              <w:right w:val="nil"/>
            </w:tcBorders>
            <w:shd w:val="clear" w:color="000000" w:fill="FFFFFF"/>
            <w:noWrap/>
            <w:hideMark/>
          </w:tcPr>
          <w:p w14:paraId="75C72A11" w14:textId="77777777" w:rsidR="001B6918" w:rsidRDefault="001B6918" w:rsidP="00730ECF">
            <w:pPr>
              <w:jc w:val="right"/>
              <w:rPr>
                <w:sz w:val="20"/>
                <w:szCs w:val="20"/>
              </w:rPr>
            </w:pPr>
          </w:p>
          <w:p w14:paraId="74A5B8DF" w14:textId="7F8565AC" w:rsidR="001B6918" w:rsidRPr="00B157CC" w:rsidRDefault="001F4002" w:rsidP="00730ECF">
            <w:pPr>
              <w:jc w:val="right"/>
              <w:rPr>
                <w:sz w:val="20"/>
                <w:szCs w:val="20"/>
              </w:rPr>
            </w:pPr>
            <w:r w:rsidRPr="001F4002">
              <w:rPr>
                <w:sz w:val="20"/>
                <w:szCs w:val="20"/>
              </w:rPr>
              <w:t>$72,622</w:t>
            </w:r>
          </w:p>
        </w:tc>
        <w:tc>
          <w:tcPr>
            <w:tcW w:w="1170" w:type="dxa"/>
            <w:tcBorders>
              <w:top w:val="single" w:sz="12" w:space="0" w:color="000000" w:themeColor="text1"/>
              <w:left w:val="nil"/>
              <w:bottom w:val="nil"/>
              <w:right w:val="nil"/>
            </w:tcBorders>
            <w:shd w:val="clear" w:color="000000" w:fill="FFFFFF"/>
            <w:noWrap/>
            <w:hideMark/>
          </w:tcPr>
          <w:p w14:paraId="14B23608" w14:textId="77777777" w:rsidR="001B6918" w:rsidRDefault="001B6918" w:rsidP="00730ECF">
            <w:pPr>
              <w:jc w:val="right"/>
              <w:rPr>
                <w:sz w:val="20"/>
                <w:szCs w:val="20"/>
              </w:rPr>
            </w:pPr>
            <w:r w:rsidRPr="00B157CC">
              <w:rPr>
                <w:sz w:val="20"/>
                <w:szCs w:val="20"/>
              </w:rPr>
              <w:t xml:space="preserve"> </w:t>
            </w:r>
          </w:p>
          <w:p w14:paraId="13CF7D7E" w14:textId="77777777" w:rsidR="001B6918" w:rsidRPr="00B157CC" w:rsidRDefault="001B6918" w:rsidP="00730ECF">
            <w:pPr>
              <w:jc w:val="right"/>
              <w:rPr>
                <w:sz w:val="20"/>
                <w:szCs w:val="20"/>
              </w:rPr>
            </w:pPr>
            <w:r w:rsidRPr="00B157CC">
              <w:rPr>
                <w:sz w:val="20"/>
                <w:szCs w:val="20"/>
              </w:rPr>
              <w:t xml:space="preserve">$876 </w:t>
            </w:r>
          </w:p>
        </w:tc>
        <w:tc>
          <w:tcPr>
            <w:tcW w:w="1080" w:type="dxa"/>
            <w:tcBorders>
              <w:top w:val="single" w:sz="12" w:space="0" w:color="000000" w:themeColor="text1"/>
              <w:left w:val="nil"/>
              <w:bottom w:val="nil"/>
              <w:right w:val="nil"/>
            </w:tcBorders>
            <w:shd w:val="clear" w:color="auto" w:fill="F2F2F2" w:themeFill="background1" w:themeFillShade="F2"/>
            <w:noWrap/>
            <w:hideMark/>
          </w:tcPr>
          <w:p w14:paraId="1A0E012D" w14:textId="77777777" w:rsidR="001B6918" w:rsidRDefault="001B6918" w:rsidP="00730ECF">
            <w:pPr>
              <w:jc w:val="right"/>
              <w:rPr>
                <w:sz w:val="20"/>
                <w:szCs w:val="20"/>
              </w:rPr>
            </w:pPr>
            <w:r w:rsidRPr="00534CED">
              <w:rPr>
                <w:sz w:val="20"/>
                <w:szCs w:val="20"/>
              </w:rPr>
              <w:t xml:space="preserve"> </w:t>
            </w:r>
          </w:p>
          <w:p w14:paraId="264FC9E1" w14:textId="77777777" w:rsidR="001B6918" w:rsidRPr="004E6649" w:rsidRDefault="001B6918" w:rsidP="00730ECF">
            <w:pPr>
              <w:jc w:val="right"/>
              <w:rPr>
                <w:rFonts w:eastAsia="Times New Roman" w:cstheme="minorHAnsi"/>
                <w:sz w:val="20"/>
                <w:szCs w:val="20"/>
              </w:rPr>
            </w:pPr>
            <w:r w:rsidRPr="00534CED">
              <w:rPr>
                <w:sz w:val="20"/>
                <w:szCs w:val="20"/>
              </w:rPr>
              <w:t xml:space="preserve">$70,037 </w:t>
            </w:r>
          </w:p>
        </w:tc>
        <w:tc>
          <w:tcPr>
            <w:tcW w:w="1080" w:type="dxa"/>
            <w:tcBorders>
              <w:top w:val="single" w:sz="12" w:space="0" w:color="000000" w:themeColor="text1"/>
              <w:left w:val="nil"/>
              <w:bottom w:val="nil"/>
              <w:right w:val="nil"/>
            </w:tcBorders>
            <w:shd w:val="clear" w:color="auto" w:fill="F2F2F2" w:themeFill="background1" w:themeFillShade="F2"/>
            <w:noWrap/>
            <w:hideMark/>
          </w:tcPr>
          <w:p w14:paraId="5E008EDC" w14:textId="77777777" w:rsidR="001B6918" w:rsidRDefault="001B6918" w:rsidP="00730ECF">
            <w:pPr>
              <w:jc w:val="right"/>
              <w:rPr>
                <w:sz w:val="20"/>
                <w:szCs w:val="20"/>
              </w:rPr>
            </w:pPr>
            <w:r w:rsidRPr="00534CED">
              <w:rPr>
                <w:sz w:val="20"/>
                <w:szCs w:val="20"/>
              </w:rPr>
              <w:t xml:space="preserve"> </w:t>
            </w:r>
          </w:p>
          <w:p w14:paraId="56756AC2" w14:textId="77777777" w:rsidR="001B6918" w:rsidRPr="004E6649" w:rsidRDefault="001B6918" w:rsidP="00730ECF">
            <w:pPr>
              <w:jc w:val="right"/>
              <w:rPr>
                <w:rFonts w:eastAsia="Times New Roman" w:cstheme="minorHAnsi"/>
                <w:sz w:val="20"/>
                <w:szCs w:val="20"/>
              </w:rPr>
            </w:pPr>
            <w:r w:rsidRPr="00534CED">
              <w:rPr>
                <w:sz w:val="20"/>
                <w:szCs w:val="20"/>
              </w:rPr>
              <w:t xml:space="preserve">$69,191 </w:t>
            </w:r>
          </w:p>
        </w:tc>
        <w:tc>
          <w:tcPr>
            <w:tcW w:w="1350" w:type="dxa"/>
            <w:tcBorders>
              <w:top w:val="single" w:sz="12" w:space="0" w:color="000000" w:themeColor="text1"/>
              <w:left w:val="nil"/>
              <w:bottom w:val="nil"/>
              <w:right w:val="nil"/>
            </w:tcBorders>
            <w:shd w:val="clear" w:color="auto" w:fill="F2F2F2" w:themeFill="background1" w:themeFillShade="F2"/>
            <w:noWrap/>
            <w:hideMark/>
          </w:tcPr>
          <w:p w14:paraId="718D7056" w14:textId="77777777" w:rsidR="001B6918" w:rsidRDefault="001B6918" w:rsidP="00730ECF">
            <w:pPr>
              <w:jc w:val="right"/>
              <w:rPr>
                <w:sz w:val="20"/>
                <w:szCs w:val="20"/>
              </w:rPr>
            </w:pPr>
            <w:r w:rsidRPr="00534CED">
              <w:rPr>
                <w:sz w:val="20"/>
                <w:szCs w:val="20"/>
              </w:rPr>
              <w:t xml:space="preserve"> </w:t>
            </w:r>
          </w:p>
          <w:p w14:paraId="5A1B879B" w14:textId="77777777" w:rsidR="001B6918" w:rsidRPr="004E6649" w:rsidRDefault="001B6918" w:rsidP="00730ECF">
            <w:pPr>
              <w:jc w:val="right"/>
              <w:rPr>
                <w:rFonts w:eastAsia="Times New Roman" w:cstheme="minorHAnsi"/>
                <w:sz w:val="20"/>
                <w:szCs w:val="20"/>
              </w:rPr>
            </w:pPr>
            <w:r w:rsidRPr="00534CED">
              <w:rPr>
                <w:sz w:val="20"/>
                <w:szCs w:val="20"/>
              </w:rPr>
              <w:t>$</w:t>
            </w:r>
            <w:r>
              <w:rPr>
                <w:sz w:val="20"/>
                <w:szCs w:val="20"/>
              </w:rPr>
              <w:t xml:space="preserve">  </w:t>
            </w:r>
            <w:r w:rsidRPr="00534CED">
              <w:rPr>
                <w:sz w:val="20"/>
                <w:szCs w:val="20"/>
              </w:rPr>
              <w:t xml:space="preserve">846 </w:t>
            </w:r>
          </w:p>
        </w:tc>
      </w:tr>
      <w:tr w:rsidR="001B6918" w:rsidRPr="004E6649" w14:paraId="513BB606" w14:textId="77777777" w:rsidTr="00D920DB">
        <w:trPr>
          <w:trHeight w:val="180"/>
          <w:jc w:val="center"/>
        </w:trPr>
        <w:tc>
          <w:tcPr>
            <w:tcW w:w="2915" w:type="dxa"/>
            <w:tcBorders>
              <w:top w:val="nil"/>
              <w:left w:val="nil"/>
              <w:right w:val="nil"/>
            </w:tcBorders>
            <w:shd w:val="clear" w:color="000000" w:fill="FFFFFF"/>
            <w:noWrap/>
            <w:vAlign w:val="bottom"/>
            <w:hideMark/>
          </w:tcPr>
          <w:p w14:paraId="1DF20088" w14:textId="77777777" w:rsidR="001B6918" w:rsidRPr="004E6649" w:rsidRDefault="001B6918" w:rsidP="00730ECF">
            <w:pPr>
              <w:rPr>
                <w:rFonts w:eastAsia="Times New Roman" w:cstheme="minorHAnsi"/>
                <w:color w:val="0D0D0D"/>
                <w:sz w:val="20"/>
                <w:szCs w:val="20"/>
              </w:rPr>
            </w:pPr>
            <w:r w:rsidRPr="004E6649">
              <w:rPr>
                <w:rFonts w:eastAsia="Times New Roman" w:cstheme="minorHAnsi"/>
                <w:color w:val="0D0D0D"/>
                <w:sz w:val="20"/>
                <w:szCs w:val="20"/>
              </w:rPr>
              <w:t>Grants receivable</w:t>
            </w:r>
          </w:p>
        </w:tc>
        <w:tc>
          <w:tcPr>
            <w:tcW w:w="1045" w:type="dxa"/>
            <w:tcBorders>
              <w:top w:val="nil"/>
              <w:left w:val="nil"/>
              <w:right w:val="nil"/>
            </w:tcBorders>
            <w:shd w:val="clear" w:color="000000" w:fill="FFFFFF"/>
            <w:noWrap/>
            <w:hideMark/>
          </w:tcPr>
          <w:p w14:paraId="680B16AE" w14:textId="77777777" w:rsidR="001B6918" w:rsidRPr="00B157CC" w:rsidRDefault="001B6918" w:rsidP="00730ECF">
            <w:pPr>
              <w:jc w:val="right"/>
              <w:rPr>
                <w:sz w:val="20"/>
                <w:szCs w:val="20"/>
              </w:rPr>
            </w:pPr>
            <w:r w:rsidRPr="00B157CC">
              <w:rPr>
                <w:sz w:val="20"/>
                <w:szCs w:val="20"/>
              </w:rPr>
              <w:t xml:space="preserve"> 52,196 </w:t>
            </w:r>
          </w:p>
        </w:tc>
        <w:tc>
          <w:tcPr>
            <w:tcW w:w="990" w:type="dxa"/>
            <w:gridSpan w:val="2"/>
            <w:tcBorders>
              <w:top w:val="nil"/>
              <w:left w:val="nil"/>
              <w:right w:val="nil"/>
            </w:tcBorders>
            <w:shd w:val="clear" w:color="000000" w:fill="FFFFFF"/>
            <w:noWrap/>
            <w:hideMark/>
          </w:tcPr>
          <w:p w14:paraId="0C71F0AC" w14:textId="77777777" w:rsidR="001B6918" w:rsidRPr="00B157CC" w:rsidRDefault="001B6918" w:rsidP="00730ECF">
            <w:pPr>
              <w:jc w:val="right"/>
              <w:rPr>
                <w:sz w:val="20"/>
                <w:szCs w:val="20"/>
              </w:rPr>
            </w:pPr>
            <w:r w:rsidRPr="00B157CC">
              <w:rPr>
                <w:sz w:val="20"/>
                <w:szCs w:val="20"/>
              </w:rPr>
              <w:t xml:space="preserve"> 52,097 </w:t>
            </w:r>
          </w:p>
        </w:tc>
        <w:tc>
          <w:tcPr>
            <w:tcW w:w="1170" w:type="dxa"/>
            <w:tcBorders>
              <w:top w:val="nil"/>
              <w:left w:val="nil"/>
              <w:right w:val="nil"/>
            </w:tcBorders>
            <w:shd w:val="clear" w:color="000000" w:fill="FFFFFF"/>
            <w:noWrap/>
            <w:hideMark/>
          </w:tcPr>
          <w:p w14:paraId="0A2AB9B3" w14:textId="77777777" w:rsidR="001B6918" w:rsidRPr="00B157CC" w:rsidRDefault="001B6918" w:rsidP="00730ECF">
            <w:pPr>
              <w:jc w:val="right"/>
              <w:rPr>
                <w:sz w:val="20"/>
                <w:szCs w:val="20"/>
              </w:rPr>
            </w:pPr>
            <w:r w:rsidRPr="00B157CC">
              <w:rPr>
                <w:sz w:val="20"/>
                <w:szCs w:val="20"/>
              </w:rPr>
              <w:t xml:space="preserve"> 99 </w:t>
            </w:r>
          </w:p>
        </w:tc>
        <w:tc>
          <w:tcPr>
            <w:tcW w:w="1080" w:type="dxa"/>
            <w:tcBorders>
              <w:top w:val="nil"/>
              <w:left w:val="nil"/>
              <w:right w:val="nil"/>
            </w:tcBorders>
            <w:shd w:val="clear" w:color="auto" w:fill="F2F2F2" w:themeFill="background1" w:themeFillShade="F2"/>
            <w:noWrap/>
            <w:hideMark/>
          </w:tcPr>
          <w:p w14:paraId="2422B8E2" w14:textId="77777777" w:rsidR="001B6918" w:rsidRPr="004E6649" w:rsidRDefault="001B6918" w:rsidP="00730ECF">
            <w:pPr>
              <w:jc w:val="right"/>
              <w:rPr>
                <w:rFonts w:eastAsia="Times New Roman" w:cstheme="minorHAnsi"/>
                <w:sz w:val="20"/>
                <w:szCs w:val="20"/>
              </w:rPr>
            </w:pPr>
            <w:r w:rsidRPr="00534CED">
              <w:rPr>
                <w:sz w:val="20"/>
                <w:szCs w:val="20"/>
              </w:rPr>
              <w:t xml:space="preserve"> 40,680 </w:t>
            </w:r>
          </w:p>
        </w:tc>
        <w:tc>
          <w:tcPr>
            <w:tcW w:w="1080" w:type="dxa"/>
            <w:tcBorders>
              <w:top w:val="nil"/>
              <w:left w:val="nil"/>
              <w:right w:val="nil"/>
            </w:tcBorders>
            <w:shd w:val="clear" w:color="auto" w:fill="F2F2F2" w:themeFill="background1" w:themeFillShade="F2"/>
            <w:noWrap/>
            <w:hideMark/>
          </w:tcPr>
          <w:p w14:paraId="631B7A0F" w14:textId="77777777" w:rsidR="001B6918" w:rsidRPr="004E6649" w:rsidRDefault="001B6918" w:rsidP="00730ECF">
            <w:pPr>
              <w:jc w:val="right"/>
              <w:rPr>
                <w:rFonts w:eastAsia="Times New Roman" w:cstheme="minorHAnsi"/>
                <w:sz w:val="20"/>
                <w:szCs w:val="20"/>
              </w:rPr>
            </w:pPr>
            <w:r w:rsidRPr="00534CED">
              <w:rPr>
                <w:sz w:val="20"/>
                <w:szCs w:val="20"/>
              </w:rPr>
              <w:t xml:space="preserve"> 40,059 </w:t>
            </w:r>
          </w:p>
        </w:tc>
        <w:tc>
          <w:tcPr>
            <w:tcW w:w="1350" w:type="dxa"/>
            <w:tcBorders>
              <w:top w:val="nil"/>
              <w:left w:val="nil"/>
              <w:right w:val="nil"/>
            </w:tcBorders>
            <w:shd w:val="clear" w:color="auto" w:fill="F2F2F2" w:themeFill="background1" w:themeFillShade="F2"/>
            <w:noWrap/>
            <w:hideMark/>
          </w:tcPr>
          <w:p w14:paraId="302687FD" w14:textId="77777777" w:rsidR="001B6918" w:rsidRPr="004E6649" w:rsidRDefault="001B6918" w:rsidP="00730ECF">
            <w:pPr>
              <w:jc w:val="right"/>
              <w:rPr>
                <w:rFonts w:eastAsia="Times New Roman" w:cstheme="minorHAnsi"/>
                <w:sz w:val="20"/>
                <w:szCs w:val="20"/>
              </w:rPr>
            </w:pPr>
            <w:r w:rsidRPr="00534CED">
              <w:rPr>
                <w:sz w:val="20"/>
                <w:szCs w:val="20"/>
              </w:rPr>
              <w:t xml:space="preserve"> 621 </w:t>
            </w:r>
          </w:p>
        </w:tc>
      </w:tr>
      <w:tr w:rsidR="001B6918" w:rsidRPr="004E6649" w14:paraId="7C7FD4DE" w14:textId="77777777" w:rsidTr="00D920DB">
        <w:trPr>
          <w:trHeight w:val="80"/>
          <w:jc w:val="center"/>
        </w:trPr>
        <w:tc>
          <w:tcPr>
            <w:tcW w:w="2915" w:type="dxa"/>
            <w:tcBorders>
              <w:top w:val="nil"/>
              <w:left w:val="nil"/>
              <w:bottom w:val="single" w:sz="8" w:space="0" w:color="000000" w:themeColor="text1"/>
              <w:right w:val="nil"/>
            </w:tcBorders>
            <w:shd w:val="clear" w:color="000000" w:fill="FFFFFF"/>
            <w:noWrap/>
            <w:vAlign w:val="bottom"/>
            <w:hideMark/>
          </w:tcPr>
          <w:p w14:paraId="7AC2D819" w14:textId="77777777" w:rsidR="001B6918" w:rsidRPr="004E6649" w:rsidRDefault="001B6918" w:rsidP="00730ECF">
            <w:pPr>
              <w:rPr>
                <w:rFonts w:eastAsia="Times New Roman" w:cstheme="minorHAnsi"/>
                <w:color w:val="0D0D0D"/>
                <w:sz w:val="20"/>
                <w:szCs w:val="20"/>
              </w:rPr>
            </w:pPr>
            <w:r w:rsidRPr="004E6649">
              <w:rPr>
                <w:rFonts w:eastAsia="Times New Roman" w:cstheme="minorHAnsi"/>
                <w:color w:val="0D0D0D"/>
                <w:sz w:val="20"/>
                <w:szCs w:val="20"/>
              </w:rPr>
              <w:t>Pledges receivable</w:t>
            </w:r>
          </w:p>
        </w:tc>
        <w:tc>
          <w:tcPr>
            <w:tcW w:w="1045" w:type="dxa"/>
            <w:tcBorders>
              <w:top w:val="nil"/>
              <w:left w:val="nil"/>
              <w:bottom w:val="single" w:sz="8" w:space="0" w:color="000000" w:themeColor="text1"/>
              <w:right w:val="nil"/>
            </w:tcBorders>
            <w:shd w:val="clear" w:color="000000" w:fill="FFFFFF"/>
            <w:noWrap/>
            <w:hideMark/>
          </w:tcPr>
          <w:p w14:paraId="1FE921B5" w14:textId="77777777" w:rsidR="001B6918" w:rsidRPr="00B157CC" w:rsidRDefault="001B6918" w:rsidP="00730ECF">
            <w:pPr>
              <w:jc w:val="right"/>
              <w:rPr>
                <w:sz w:val="20"/>
                <w:szCs w:val="20"/>
              </w:rPr>
            </w:pPr>
            <w:r w:rsidRPr="00B157CC">
              <w:rPr>
                <w:sz w:val="20"/>
                <w:szCs w:val="20"/>
              </w:rPr>
              <w:t xml:space="preserve"> 10,675 </w:t>
            </w:r>
          </w:p>
        </w:tc>
        <w:tc>
          <w:tcPr>
            <w:tcW w:w="990" w:type="dxa"/>
            <w:gridSpan w:val="2"/>
            <w:tcBorders>
              <w:top w:val="nil"/>
              <w:left w:val="nil"/>
              <w:bottom w:val="single" w:sz="8" w:space="0" w:color="000000" w:themeColor="text1"/>
              <w:right w:val="nil"/>
            </w:tcBorders>
            <w:shd w:val="clear" w:color="000000" w:fill="FFFFFF"/>
            <w:noWrap/>
            <w:hideMark/>
          </w:tcPr>
          <w:p w14:paraId="4DBEE283" w14:textId="77777777" w:rsidR="001B6918" w:rsidRPr="00B157CC" w:rsidRDefault="001B6918" w:rsidP="00730ECF">
            <w:pPr>
              <w:jc w:val="right"/>
              <w:rPr>
                <w:sz w:val="20"/>
                <w:szCs w:val="20"/>
              </w:rPr>
            </w:pPr>
            <w:r w:rsidRPr="00B157CC">
              <w:rPr>
                <w:sz w:val="20"/>
                <w:szCs w:val="20"/>
              </w:rPr>
              <w:t xml:space="preserve"> 3,066 </w:t>
            </w:r>
          </w:p>
        </w:tc>
        <w:tc>
          <w:tcPr>
            <w:tcW w:w="1170" w:type="dxa"/>
            <w:tcBorders>
              <w:top w:val="nil"/>
              <w:left w:val="nil"/>
              <w:bottom w:val="single" w:sz="8" w:space="0" w:color="000000" w:themeColor="text1"/>
              <w:right w:val="nil"/>
            </w:tcBorders>
            <w:shd w:val="clear" w:color="000000" w:fill="FFFFFF"/>
            <w:noWrap/>
            <w:hideMark/>
          </w:tcPr>
          <w:p w14:paraId="2F04998D" w14:textId="77777777" w:rsidR="001B6918" w:rsidRPr="00B157CC" w:rsidRDefault="001B6918" w:rsidP="00730ECF">
            <w:pPr>
              <w:jc w:val="right"/>
              <w:rPr>
                <w:sz w:val="20"/>
                <w:szCs w:val="20"/>
              </w:rPr>
            </w:pPr>
            <w:r w:rsidRPr="00B157CC">
              <w:rPr>
                <w:sz w:val="20"/>
                <w:szCs w:val="20"/>
              </w:rPr>
              <w:t xml:space="preserve"> 7,609 </w:t>
            </w:r>
          </w:p>
        </w:tc>
        <w:tc>
          <w:tcPr>
            <w:tcW w:w="1080" w:type="dxa"/>
            <w:tcBorders>
              <w:top w:val="nil"/>
              <w:left w:val="nil"/>
              <w:bottom w:val="single" w:sz="8" w:space="0" w:color="000000" w:themeColor="text1"/>
              <w:right w:val="nil"/>
            </w:tcBorders>
            <w:shd w:val="clear" w:color="auto" w:fill="F2F2F2" w:themeFill="background1" w:themeFillShade="F2"/>
            <w:noWrap/>
            <w:hideMark/>
          </w:tcPr>
          <w:p w14:paraId="5E838785" w14:textId="77777777" w:rsidR="001B6918" w:rsidRPr="004E6649" w:rsidRDefault="001B6918" w:rsidP="00730ECF">
            <w:pPr>
              <w:jc w:val="right"/>
              <w:rPr>
                <w:rFonts w:eastAsia="Times New Roman" w:cstheme="minorHAnsi"/>
                <w:sz w:val="20"/>
                <w:szCs w:val="20"/>
              </w:rPr>
            </w:pPr>
            <w:r w:rsidRPr="00534CED">
              <w:rPr>
                <w:sz w:val="20"/>
                <w:szCs w:val="20"/>
              </w:rPr>
              <w:t xml:space="preserve"> 8,805 </w:t>
            </w:r>
          </w:p>
        </w:tc>
        <w:tc>
          <w:tcPr>
            <w:tcW w:w="1080" w:type="dxa"/>
            <w:tcBorders>
              <w:top w:val="nil"/>
              <w:left w:val="nil"/>
              <w:bottom w:val="single" w:sz="8" w:space="0" w:color="000000" w:themeColor="text1"/>
              <w:right w:val="nil"/>
            </w:tcBorders>
            <w:shd w:val="clear" w:color="auto" w:fill="F2F2F2" w:themeFill="background1" w:themeFillShade="F2"/>
            <w:noWrap/>
            <w:hideMark/>
          </w:tcPr>
          <w:p w14:paraId="76F2D639" w14:textId="77777777" w:rsidR="001B6918" w:rsidRPr="004E6649" w:rsidRDefault="001B6918" w:rsidP="00730ECF">
            <w:pPr>
              <w:jc w:val="right"/>
              <w:rPr>
                <w:rFonts w:eastAsia="Times New Roman" w:cstheme="minorHAnsi"/>
                <w:color w:val="0D0D0D"/>
                <w:sz w:val="20"/>
                <w:szCs w:val="20"/>
              </w:rPr>
            </w:pPr>
            <w:r w:rsidRPr="00534CED">
              <w:rPr>
                <w:sz w:val="20"/>
                <w:szCs w:val="20"/>
              </w:rPr>
              <w:t xml:space="preserve"> 2,237 </w:t>
            </w:r>
          </w:p>
        </w:tc>
        <w:tc>
          <w:tcPr>
            <w:tcW w:w="1350" w:type="dxa"/>
            <w:tcBorders>
              <w:top w:val="nil"/>
              <w:left w:val="nil"/>
              <w:bottom w:val="single" w:sz="8" w:space="0" w:color="000000" w:themeColor="text1"/>
              <w:right w:val="nil"/>
            </w:tcBorders>
            <w:shd w:val="clear" w:color="auto" w:fill="F2F2F2" w:themeFill="background1" w:themeFillShade="F2"/>
            <w:noWrap/>
            <w:hideMark/>
          </w:tcPr>
          <w:p w14:paraId="5D1151E6" w14:textId="77777777" w:rsidR="001B6918" w:rsidRPr="004E6649" w:rsidRDefault="001B6918" w:rsidP="00730ECF">
            <w:pPr>
              <w:jc w:val="right"/>
              <w:rPr>
                <w:rFonts w:eastAsia="Times New Roman" w:cstheme="minorHAnsi"/>
                <w:color w:val="0D0D0D"/>
                <w:sz w:val="20"/>
                <w:szCs w:val="20"/>
              </w:rPr>
            </w:pPr>
            <w:r w:rsidRPr="00534CED">
              <w:rPr>
                <w:sz w:val="20"/>
                <w:szCs w:val="20"/>
              </w:rPr>
              <w:t xml:space="preserve"> 6,568 </w:t>
            </w:r>
          </w:p>
        </w:tc>
      </w:tr>
      <w:tr w:rsidR="001B6918" w:rsidRPr="004E6649" w14:paraId="722A8599" w14:textId="77777777" w:rsidTr="00D920DB">
        <w:trPr>
          <w:trHeight w:val="70"/>
          <w:jc w:val="center"/>
        </w:trPr>
        <w:tc>
          <w:tcPr>
            <w:tcW w:w="2915" w:type="dxa"/>
            <w:tcBorders>
              <w:top w:val="single" w:sz="8" w:space="0" w:color="000000" w:themeColor="text1"/>
              <w:left w:val="nil"/>
              <w:bottom w:val="nil"/>
              <w:right w:val="nil"/>
            </w:tcBorders>
            <w:shd w:val="clear" w:color="000000" w:fill="FFFFFF"/>
            <w:noWrap/>
            <w:hideMark/>
          </w:tcPr>
          <w:p w14:paraId="4F165391" w14:textId="77777777" w:rsidR="001B6918" w:rsidRPr="004E6649" w:rsidRDefault="001B6918" w:rsidP="00730ECF">
            <w:pPr>
              <w:rPr>
                <w:rFonts w:eastAsia="Times New Roman" w:cstheme="minorHAnsi"/>
                <w:color w:val="0D0D0D"/>
                <w:sz w:val="20"/>
                <w:szCs w:val="20"/>
              </w:rPr>
            </w:pPr>
            <w:r w:rsidRPr="004E6649">
              <w:rPr>
                <w:rFonts w:eastAsia="Times New Roman" w:cstheme="minorHAnsi"/>
                <w:color w:val="0D0D0D"/>
                <w:sz w:val="20"/>
                <w:szCs w:val="20"/>
              </w:rPr>
              <w:t>Total gross receivables</w:t>
            </w:r>
          </w:p>
        </w:tc>
        <w:tc>
          <w:tcPr>
            <w:tcW w:w="1045" w:type="dxa"/>
            <w:tcBorders>
              <w:top w:val="single" w:sz="8" w:space="0" w:color="000000" w:themeColor="text1"/>
              <w:left w:val="nil"/>
              <w:bottom w:val="nil"/>
              <w:right w:val="nil"/>
            </w:tcBorders>
            <w:shd w:val="clear" w:color="000000" w:fill="FFFFFF"/>
            <w:noWrap/>
            <w:hideMark/>
          </w:tcPr>
          <w:p w14:paraId="2690B286" w14:textId="3B9A82ED" w:rsidR="001B6918" w:rsidRPr="00B157CC" w:rsidRDefault="001B6918" w:rsidP="00730ECF">
            <w:pPr>
              <w:jc w:val="right"/>
              <w:rPr>
                <w:sz w:val="20"/>
                <w:szCs w:val="20"/>
              </w:rPr>
            </w:pPr>
            <w:r w:rsidRPr="00B157CC">
              <w:rPr>
                <w:sz w:val="20"/>
                <w:szCs w:val="20"/>
              </w:rPr>
              <w:t xml:space="preserve"> </w:t>
            </w:r>
            <w:r w:rsidR="001F4002" w:rsidRPr="001F4002">
              <w:rPr>
                <w:sz w:val="20"/>
                <w:szCs w:val="20"/>
              </w:rPr>
              <w:t xml:space="preserve"> 136,369</w:t>
            </w:r>
          </w:p>
        </w:tc>
        <w:tc>
          <w:tcPr>
            <w:tcW w:w="990" w:type="dxa"/>
            <w:gridSpan w:val="2"/>
            <w:tcBorders>
              <w:top w:val="single" w:sz="8" w:space="0" w:color="000000" w:themeColor="text1"/>
              <w:left w:val="nil"/>
              <w:bottom w:val="nil"/>
              <w:right w:val="nil"/>
            </w:tcBorders>
            <w:shd w:val="clear" w:color="000000" w:fill="FFFFFF"/>
            <w:noWrap/>
            <w:hideMark/>
          </w:tcPr>
          <w:p w14:paraId="181D9826" w14:textId="319D9949" w:rsidR="001B6918" w:rsidRPr="00B157CC" w:rsidRDefault="001F4002" w:rsidP="00730ECF">
            <w:pPr>
              <w:jc w:val="right"/>
              <w:rPr>
                <w:sz w:val="20"/>
                <w:szCs w:val="20"/>
              </w:rPr>
            </w:pPr>
            <w:r w:rsidRPr="001F4002">
              <w:rPr>
                <w:sz w:val="20"/>
                <w:szCs w:val="20"/>
              </w:rPr>
              <w:t>127,785</w:t>
            </w:r>
          </w:p>
        </w:tc>
        <w:tc>
          <w:tcPr>
            <w:tcW w:w="1170" w:type="dxa"/>
            <w:tcBorders>
              <w:top w:val="single" w:sz="8" w:space="0" w:color="000000" w:themeColor="text1"/>
              <w:left w:val="nil"/>
              <w:bottom w:val="nil"/>
              <w:right w:val="nil"/>
            </w:tcBorders>
            <w:shd w:val="clear" w:color="000000" w:fill="FFFFFF"/>
            <w:noWrap/>
            <w:hideMark/>
          </w:tcPr>
          <w:p w14:paraId="426298A3" w14:textId="77777777" w:rsidR="001B6918" w:rsidRPr="00B157CC" w:rsidRDefault="001B6918" w:rsidP="00730ECF">
            <w:pPr>
              <w:jc w:val="right"/>
              <w:rPr>
                <w:sz w:val="20"/>
                <w:szCs w:val="20"/>
              </w:rPr>
            </w:pPr>
            <w:r w:rsidRPr="00B157CC">
              <w:rPr>
                <w:sz w:val="20"/>
                <w:szCs w:val="20"/>
              </w:rPr>
              <w:t xml:space="preserve"> 8,584 </w:t>
            </w:r>
          </w:p>
        </w:tc>
        <w:tc>
          <w:tcPr>
            <w:tcW w:w="1080" w:type="dxa"/>
            <w:tcBorders>
              <w:top w:val="single" w:sz="8" w:space="0" w:color="000000" w:themeColor="text1"/>
              <w:left w:val="nil"/>
              <w:bottom w:val="nil"/>
              <w:right w:val="nil"/>
            </w:tcBorders>
            <w:shd w:val="clear" w:color="auto" w:fill="F2F2F2" w:themeFill="background1" w:themeFillShade="F2"/>
            <w:noWrap/>
            <w:hideMark/>
          </w:tcPr>
          <w:p w14:paraId="5B866CD8" w14:textId="77777777" w:rsidR="001B6918" w:rsidRPr="004E6649" w:rsidRDefault="001B6918" w:rsidP="00730ECF">
            <w:pPr>
              <w:jc w:val="right"/>
              <w:rPr>
                <w:rFonts w:eastAsia="Times New Roman" w:cstheme="minorHAnsi"/>
                <w:sz w:val="20"/>
                <w:szCs w:val="20"/>
              </w:rPr>
            </w:pPr>
            <w:r w:rsidRPr="00534CED">
              <w:rPr>
                <w:sz w:val="20"/>
                <w:szCs w:val="20"/>
              </w:rPr>
              <w:t xml:space="preserve"> 119,522 </w:t>
            </w:r>
          </w:p>
        </w:tc>
        <w:tc>
          <w:tcPr>
            <w:tcW w:w="1080" w:type="dxa"/>
            <w:tcBorders>
              <w:top w:val="single" w:sz="8" w:space="0" w:color="000000" w:themeColor="text1"/>
              <w:left w:val="nil"/>
              <w:bottom w:val="nil"/>
              <w:right w:val="nil"/>
            </w:tcBorders>
            <w:shd w:val="clear" w:color="auto" w:fill="F2F2F2" w:themeFill="background1" w:themeFillShade="F2"/>
            <w:noWrap/>
            <w:hideMark/>
          </w:tcPr>
          <w:p w14:paraId="4F0A8D2F" w14:textId="77777777" w:rsidR="001B6918" w:rsidRPr="004E6649" w:rsidRDefault="001B6918" w:rsidP="00730ECF">
            <w:pPr>
              <w:jc w:val="right"/>
              <w:rPr>
                <w:rFonts w:eastAsia="Times New Roman" w:cstheme="minorHAnsi"/>
                <w:sz w:val="20"/>
                <w:szCs w:val="20"/>
              </w:rPr>
            </w:pPr>
            <w:r w:rsidRPr="00534CED">
              <w:rPr>
                <w:sz w:val="20"/>
                <w:szCs w:val="20"/>
              </w:rPr>
              <w:t xml:space="preserve">111,487 </w:t>
            </w:r>
          </w:p>
        </w:tc>
        <w:tc>
          <w:tcPr>
            <w:tcW w:w="1350" w:type="dxa"/>
            <w:tcBorders>
              <w:top w:val="single" w:sz="8" w:space="0" w:color="000000" w:themeColor="text1"/>
              <w:left w:val="nil"/>
              <w:bottom w:val="nil"/>
              <w:right w:val="nil"/>
            </w:tcBorders>
            <w:shd w:val="clear" w:color="auto" w:fill="F2F2F2" w:themeFill="background1" w:themeFillShade="F2"/>
            <w:noWrap/>
            <w:hideMark/>
          </w:tcPr>
          <w:p w14:paraId="62D7216F" w14:textId="77777777" w:rsidR="001B6918" w:rsidRPr="004E6649" w:rsidRDefault="001B6918" w:rsidP="00730ECF">
            <w:pPr>
              <w:jc w:val="right"/>
              <w:rPr>
                <w:rFonts w:eastAsia="Times New Roman" w:cstheme="minorHAnsi"/>
                <w:sz w:val="20"/>
                <w:szCs w:val="20"/>
              </w:rPr>
            </w:pPr>
            <w:r w:rsidRPr="00534CED">
              <w:rPr>
                <w:sz w:val="20"/>
                <w:szCs w:val="20"/>
              </w:rPr>
              <w:t xml:space="preserve"> 8,035 </w:t>
            </w:r>
          </w:p>
        </w:tc>
      </w:tr>
      <w:tr w:rsidR="001B6918" w:rsidRPr="004E6649" w14:paraId="0C68AA28" w14:textId="77777777" w:rsidTr="00D920DB">
        <w:trPr>
          <w:trHeight w:val="153"/>
          <w:jc w:val="center"/>
        </w:trPr>
        <w:tc>
          <w:tcPr>
            <w:tcW w:w="2915" w:type="dxa"/>
            <w:tcBorders>
              <w:top w:val="nil"/>
              <w:left w:val="nil"/>
              <w:bottom w:val="nil"/>
              <w:right w:val="nil"/>
            </w:tcBorders>
            <w:shd w:val="clear" w:color="000000" w:fill="FFFFFF"/>
            <w:noWrap/>
            <w:vAlign w:val="bottom"/>
            <w:hideMark/>
          </w:tcPr>
          <w:p w14:paraId="64543C76" w14:textId="77777777" w:rsidR="001B6918" w:rsidRPr="004E6649" w:rsidRDefault="001B6918" w:rsidP="00730ECF">
            <w:pPr>
              <w:rPr>
                <w:rFonts w:eastAsia="Times New Roman" w:cstheme="minorHAnsi"/>
                <w:color w:val="0D0D0D"/>
                <w:sz w:val="20"/>
                <w:szCs w:val="20"/>
              </w:rPr>
            </w:pPr>
            <w:r w:rsidRPr="004E6649">
              <w:rPr>
                <w:rFonts w:eastAsia="Times New Roman" w:cstheme="minorHAnsi"/>
                <w:color w:val="0D0D0D"/>
                <w:sz w:val="20"/>
                <w:szCs w:val="20"/>
              </w:rPr>
              <w:t>Less allowance for doubtful accounts</w:t>
            </w:r>
          </w:p>
        </w:tc>
        <w:tc>
          <w:tcPr>
            <w:tcW w:w="1045" w:type="dxa"/>
            <w:tcBorders>
              <w:top w:val="nil"/>
              <w:left w:val="nil"/>
              <w:bottom w:val="nil"/>
              <w:right w:val="nil"/>
            </w:tcBorders>
            <w:shd w:val="clear" w:color="000000" w:fill="FFFFFF"/>
            <w:noWrap/>
            <w:hideMark/>
          </w:tcPr>
          <w:p w14:paraId="0EA05AB4" w14:textId="77777777" w:rsidR="001B6918" w:rsidRDefault="001B6918" w:rsidP="00730ECF">
            <w:pPr>
              <w:jc w:val="right"/>
              <w:rPr>
                <w:sz w:val="20"/>
                <w:szCs w:val="20"/>
              </w:rPr>
            </w:pPr>
            <w:r w:rsidRPr="00B157CC">
              <w:rPr>
                <w:sz w:val="20"/>
                <w:szCs w:val="20"/>
              </w:rPr>
              <w:t xml:space="preserve"> </w:t>
            </w:r>
          </w:p>
          <w:p w14:paraId="38C46B15" w14:textId="6D2861FF" w:rsidR="001B6918" w:rsidRPr="00B157CC" w:rsidRDefault="001B6918" w:rsidP="00730ECF">
            <w:pPr>
              <w:jc w:val="right"/>
              <w:rPr>
                <w:sz w:val="20"/>
                <w:szCs w:val="20"/>
              </w:rPr>
            </w:pPr>
            <w:r w:rsidRPr="00B157CC">
              <w:rPr>
                <w:sz w:val="20"/>
                <w:szCs w:val="20"/>
              </w:rPr>
              <w:t>(23,81</w:t>
            </w:r>
            <w:r w:rsidR="008E0946">
              <w:rPr>
                <w:sz w:val="20"/>
                <w:szCs w:val="20"/>
              </w:rPr>
              <w:t>3</w:t>
            </w:r>
            <w:r w:rsidRPr="00B157CC">
              <w:rPr>
                <w:sz w:val="20"/>
                <w:szCs w:val="20"/>
              </w:rPr>
              <w:t>)</w:t>
            </w:r>
          </w:p>
        </w:tc>
        <w:tc>
          <w:tcPr>
            <w:tcW w:w="990" w:type="dxa"/>
            <w:gridSpan w:val="2"/>
            <w:tcBorders>
              <w:top w:val="nil"/>
              <w:left w:val="nil"/>
              <w:bottom w:val="nil"/>
              <w:right w:val="nil"/>
            </w:tcBorders>
            <w:shd w:val="clear" w:color="000000" w:fill="FFFFFF"/>
            <w:noWrap/>
            <w:hideMark/>
          </w:tcPr>
          <w:p w14:paraId="624CC73D" w14:textId="77777777" w:rsidR="001B6918" w:rsidRDefault="001B6918" w:rsidP="00730ECF">
            <w:pPr>
              <w:jc w:val="right"/>
              <w:rPr>
                <w:sz w:val="20"/>
                <w:szCs w:val="20"/>
              </w:rPr>
            </w:pPr>
          </w:p>
          <w:p w14:paraId="36845B5C" w14:textId="41445E43" w:rsidR="001B6918" w:rsidRPr="00B157CC" w:rsidRDefault="001B6918" w:rsidP="00730ECF">
            <w:pPr>
              <w:jc w:val="right"/>
              <w:rPr>
                <w:sz w:val="20"/>
                <w:szCs w:val="20"/>
              </w:rPr>
            </w:pPr>
            <w:r w:rsidRPr="00B157CC">
              <w:rPr>
                <w:sz w:val="20"/>
                <w:szCs w:val="20"/>
              </w:rPr>
              <w:t>(23,69</w:t>
            </w:r>
            <w:r w:rsidR="008E0946">
              <w:rPr>
                <w:sz w:val="20"/>
                <w:szCs w:val="20"/>
              </w:rPr>
              <w:t>1</w:t>
            </w:r>
            <w:r w:rsidRPr="00B157CC">
              <w:rPr>
                <w:sz w:val="20"/>
                <w:szCs w:val="20"/>
              </w:rPr>
              <w:t>)</w:t>
            </w:r>
          </w:p>
        </w:tc>
        <w:tc>
          <w:tcPr>
            <w:tcW w:w="1170" w:type="dxa"/>
            <w:tcBorders>
              <w:top w:val="nil"/>
              <w:left w:val="nil"/>
              <w:bottom w:val="nil"/>
              <w:right w:val="nil"/>
            </w:tcBorders>
            <w:shd w:val="clear" w:color="000000" w:fill="FFFFFF"/>
            <w:noWrap/>
            <w:hideMark/>
          </w:tcPr>
          <w:p w14:paraId="0EB196FE" w14:textId="77777777" w:rsidR="001B6918" w:rsidRDefault="001B6918" w:rsidP="00730ECF">
            <w:pPr>
              <w:jc w:val="right"/>
              <w:rPr>
                <w:sz w:val="20"/>
                <w:szCs w:val="20"/>
              </w:rPr>
            </w:pPr>
            <w:r w:rsidRPr="00B157CC">
              <w:rPr>
                <w:sz w:val="20"/>
                <w:szCs w:val="20"/>
              </w:rPr>
              <w:t xml:space="preserve"> </w:t>
            </w:r>
          </w:p>
          <w:p w14:paraId="4DFA3516" w14:textId="77777777" w:rsidR="001B6918" w:rsidRPr="00B157CC" w:rsidRDefault="001B6918" w:rsidP="00730ECF">
            <w:pPr>
              <w:jc w:val="right"/>
              <w:rPr>
                <w:sz w:val="20"/>
                <w:szCs w:val="20"/>
              </w:rPr>
            </w:pPr>
            <w:r w:rsidRPr="00B157CC">
              <w:rPr>
                <w:sz w:val="20"/>
                <w:szCs w:val="20"/>
              </w:rPr>
              <w:t>(122)</w:t>
            </w:r>
          </w:p>
        </w:tc>
        <w:tc>
          <w:tcPr>
            <w:tcW w:w="1080" w:type="dxa"/>
            <w:tcBorders>
              <w:top w:val="nil"/>
              <w:left w:val="nil"/>
              <w:bottom w:val="nil"/>
              <w:right w:val="nil"/>
            </w:tcBorders>
            <w:shd w:val="clear" w:color="auto" w:fill="F2F2F2" w:themeFill="background1" w:themeFillShade="F2"/>
            <w:noWrap/>
            <w:hideMark/>
          </w:tcPr>
          <w:p w14:paraId="12D36A48" w14:textId="77777777" w:rsidR="001B6918" w:rsidRPr="006F0416" w:rsidRDefault="001B6918" w:rsidP="00730ECF">
            <w:pPr>
              <w:jc w:val="right"/>
              <w:rPr>
                <w:rFonts w:cstheme="minorHAnsi"/>
                <w:sz w:val="20"/>
                <w:szCs w:val="20"/>
              </w:rPr>
            </w:pPr>
          </w:p>
          <w:p w14:paraId="53A1051A" w14:textId="77777777" w:rsidR="001B6918" w:rsidRPr="004E6649" w:rsidRDefault="001B6918" w:rsidP="00730ECF">
            <w:pPr>
              <w:jc w:val="right"/>
              <w:rPr>
                <w:rFonts w:eastAsia="Times New Roman" w:cstheme="minorHAnsi"/>
                <w:sz w:val="20"/>
                <w:szCs w:val="20"/>
              </w:rPr>
            </w:pPr>
            <w:r w:rsidRPr="00534CED">
              <w:rPr>
                <w:rFonts w:cstheme="minorHAnsi"/>
                <w:sz w:val="20"/>
                <w:szCs w:val="20"/>
              </w:rPr>
              <w:t>(</w:t>
            </w:r>
            <w:r>
              <w:rPr>
                <w:rFonts w:cstheme="minorHAnsi"/>
                <w:sz w:val="20"/>
                <w:szCs w:val="20"/>
              </w:rPr>
              <w:t>22,025</w:t>
            </w:r>
            <w:r w:rsidRPr="00534CED">
              <w:rPr>
                <w:rFonts w:cstheme="minorHAnsi"/>
                <w:sz w:val="20"/>
                <w:szCs w:val="20"/>
              </w:rPr>
              <w:t>)</w:t>
            </w:r>
          </w:p>
        </w:tc>
        <w:tc>
          <w:tcPr>
            <w:tcW w:w="1080" w:type="dxa"/>
            <w:tcBorders>
              <w:top w:val="nil"/>
              <w:left w:val="nil"/>
              <w:bottom w:val="nil"/>
              <w:right w:val="nil"/>
            </w:tcBorders>
            <w:shd w:val="clear" w:color="auto" w:fill="F2F2F2" w:themeFill="background1" w:themeFillShade="F2"/>
            <w:noWrap/>
            <w:hideMark/>
          </w:tcPr>
          <w:p w14:paraId="634D9215" w14:textId="77777777" w:rsidR="001B6918" w:rsidRPr="006F0416" w:rsidRDefault="001B6918" w:rsidP="00730ECF">
            <w:pPr>
              <w:jc w:val="right"/>
              <w:rPr>
                <w:rFonts w:cstheme="minorHAnsi"/>
                <w:sz w:val="20"/>
                <w:szCs w:val="20"/>
              </w:rPr>
            </w:pPr>
          </w:p>
          <w:p w14:paraId="31EA0F17" w14:textId="77777777" w:rsidR="001B6918" w:rsidRPr="004E6649" w:rsidRDefault="001B6918" w:rsidP="00730ECF">
            <w:pPr>
              <w:jc w:val="right"/>
              <w:rPr>
                <w:rFonts w:eastAsia="Times New Roman" w:cstheme="minorHAnsi"/>
                <w:sz w:val="20"/>
                <w:szCs w:val="20"/>
              </w:rPr>
            </w:pPr>
            <w:r w:rsidRPr="00534CED">
              <w:rPr>
                <w:rFonts w:cstheme="minorHAnsi"/>
                <w:sz w:val="20"/>
                <w:szCs w:val="20"/>
              </w:rPr>
              <w:t>(</w:t>
            </w:r>
            <w:r>
              <w:rPr>
                <w:rFonts w:cstheme="minorHAnsi"/>
                <w:sz w:val="20"/>
                <w:szCs w:val="20"/>
              </w:rPr>
              <w:t>21,908</w:t>
            </w:r>
            <w:r w:rsidRPr="00534CED">
              <w:rPr>
                <w:rFonts w:cstheme="minorHAnsi"/>
                <w:sz w:val="20"/>
                <w:szCs w:val="20"/>
              </w:rPr>
              <w:t>)</w:t>
            </w:r>
          </w:p>
        </w:tc>
        <w:tc>
          <w:tcPr>
            <w:tcW w:w="1350" w:type="dxa"/>
            <w:tcBorders>
              <w:top w:val="nil"/>
              <w:left w:val="nil"/>
              <w:bottom w:val="nil"/>
              <w:right w:val="nil"/>
            </w:tcBorders>
            <w:shd w:val="clear" w:color="auto" w:fill="F2F2F2" w:themeFill="background1" w:themeFillShade="F2"/>
            <w:noWrap/>
            <w:hideMark/>
          </w:tcPr>
          <w:p w14:paraId="7B51A890" w14:textId="77777777" w:rsidR="001B6918" w:rsidRPr="006F0416" w:rsidRDefault="001B6918" w:rsidP="00730ECF">
            <w:pPr>
              <w:jc w:val="right"/>
              <w:rPr>
                <w:rFonts w:cstheme="minorHAnsi"/>
                <w:sz w:val="20"/>
                <w:szCs w:val="20"/>
              </w:rPr>
            </w:pPr>
          </w:p>
          <w:p w14:paraId="06BC99E5" w14:textId="77777777" w:rsidR="001B6918" w:rsidRPr="004E6649" w:rsidRDefault="001B6918" w:rsidP="00730ECF">
            <w:pPr>
              <w:jc w:val="right"/>
              <w:rPr>
                <w:rFonts w:eastAsia="Times New Roman" w:cstheme="minorHAnsi"/>
                <w:sz w:val="20"/>
                <w:szCs w:val="20"/>
              </w:rPr>
            </w:pPr>
            <w:r w:rsidRPr="00534CED">
              <w:rPr>
                <w:rFonts w:cstheme="minorHAnsi"/>
                <w:sz w:val="20"/>
                <w:szCs w:val="20"/>
              </w:rPr>
              <w:t>(</w:t>
            </w:r>
            <w:r>
              <w:rPr>
                <w:rFonts w:cstheme="minorHAnsi"/>
                <w:sz w:val="20"/>
                <w:szCs w:val="20"/>
              </w:rPr>
              <w:t>117</w:t>
            </w:r>
            <w:r w:rsidRPr="00534CED">
              <w:rPr>
                <w:rFonts w:cstheme="minorHAnsi"/>
                <w:sz w:val="20"/>
                <w:szCs w:val="20"/>
              </w:rPr>
              <w:t>)</w:t>
            </w:r>
          </w:p>
        </w:tc>
      </w:tr>
      <w:tr w:rsidR="001B6918" w:rsidRPr="004E6649" w14:paraId="4DB4EBDD" w14:textId="77777777" w:rsidTr="00D920DB">
        <w:trPr>
          <w:trHeight w:val="90"/>
          <w:jc w:val="center"/>
        </w:trPr>
        <w:tc>
          <w:tcPr>
            <w:tcW w:w="2915" w:type="dxa"/>
            <w:tcBorders>
              <w:top w:val="nil"/>
              <w:left w:val="nil"/>
              <w:bottom w:val="single" w:sz="8" w:space="0" w:color="000000" w:themeColor="text1"/>
              <w:right w:val="nil"/>
            </w:tcBorders>
            <w:shd w:val="clear" w:color="000000" w:fill="FFFFFF"/>
            <w:noWrap/>
            <w:vAlign w:val="bottom"/>
            <w:hideMark/>
          </w:tcPr>
          <w:p w14:paraId="26546A58" w14:textId="77777777" w:rsidR="001B6918" w:rsidRPr="004E6649" w:rsidRDefault="001B6918" w:rsidP="00730ECF">
            <w:pPr>
              <w:rPr>
                <w:rFonts w:eastAsia="Times New Roman" w:cstheme="minorHAnsi"/>
                <w:color w:val="0D0D0D"/>
                <w:sz w:val="20"/>
                <w:szCs w:val="20"/>
              </w:rPr>
            </w:pPr>
            <w:r w:rsidRPr="004E6649">
              <w:rPr>
                <w:rFonts w:eastAsia="Times New Roman" w:cstheme="minorHAnsi"/>
                <w:color w:val="0D0D0D"/>
                <w:sz w:val="20"/>
                <w:szCs w:val="20"/>
              </w:rPr>
              <w:t>Less discount on pledges receivable</w:t>
            </w:r>
          </w:p>
        </w:tc>
        <w:tc>
          <w:tcPr>
            <w:tcW w:w="1045" w:type="dxa"/>
            <w:tcBorders>
              <w:top w:val="nil"/>
              <w:left w:val="nil"/>
              <w:bottom w:val="single" w:sz="8" w:space="0" w:color="000000" w:themeColor="text1"/>
              <w:right w:val="nil"/>
            </w:tcBorders>
            <w:shd w:val="clear" w:color="000000" w:fill="FFFFFF"/>
            <w:noWrap/>
            <w:hideMark/>
          </w:tcPr>
          <w:p w14:paraId="0F807316" w14:textId="77777777" w:rsidR="001B6918" w:rsidRDefault="001B6918" w:rsidP="00730ECF">
            <w:pPr>
              <w:jc w:val="right"/>
              <w:rPr>
                <w:sz w:val="20"/>
                <w:szCs w:val="20"/>
              </w:rPr>
            </w:pPr>
            <w:r w:rsidRPr="00B157CC">
              <w:rPr>
                <w:sz w:val="20"/>
                <w:szCs w:val="20"/>
              </w:rPr>
              <w:t xml:space="preserve"> </w:t>
            </w:r>
          </w:p>
          <w:p w14:paraId="4DCBC08C" w14:textId="77777777" w:rsidR="001B6918" w:rsidRPr="00B157CC" w:rsidRDefault="001B6918" w:rsidP="00730ECF">
            <w:pPr>
              <w:jc w:val="right"/>
              <w:rPr>
                <w:sz w:val="20"/>
                <w:szCs w:val="20"/>
              </w:rPr>
            </w:pPr>
            <w:r w:rsidRPr="00B157CC">
              <w:rPr>
                <w:sz w:val="20"/>
                <w:szCs w:val="20"/>
              </w:rPr>
              <w:t>(739)</w:t>
            </w:r>
          </w:p>
        </w:tc>
        <w:tc>
          <w:tcPr>
            <w:tcW w:w="990" w:type="dxa"/>
            <w:gridSpan w:val="2"/>
            <w:tcBorders>
              <w:top w:val="nil"/>
              <w:left w:val="nil"/>
              <w:bottom w:val="single" w:sz="8" w:space="0" w:color="000000" w:themeColor="text1"/>
              <w:right w:val="nil"/>
            </w:tcBorders>
            <w:shd w:val="clear" w:color="000000" w:fill="FFFFFF"/>
            <w:noWrap/>
            <w:hideMark/>
          </w:tcPr>
          <w:p w14:paraId="1CA6A57C" w14:textId="77777777" w:rsidR="001B6918" w:rsidRDefault="001B6918" w:rsidP="00730ECF">
            <w:pPr>
              <w:jc w:val="right"/>
              <w:rPr>
                <w:sz w:val="20"/>
                <w:szCs w:val="20"/>
              </w:rPr>
            </w:pPr>
          </w:p>
          <w:p w14:paraId="40274BBB" w14:textId="77777777" w:rsidR="001B6918" w:rsidRPr="00B157CC" w:rsidRDefault="001B6918" w:rsidP="00730ECF">
            <w:pPr>
              <w:jc w:val="right"/>
              <w:rPr>
                <w:sz w:val="20"/>
                <w:szCs w:val="20"/>
              </w:rPr>
            </w:pPr>
            <w:r w:rsidRPr="00B157CC">
              <w:rPr>
                <w:sz w:val="20"/>
                <w:szCs w:val="20"/>
              </w:rPr>
              <w:t xml:space="preserve"> - </w:t>
            </w:r>
          </w:p>
        </w:tc>
        <w:tc>
          <w:tcPr>
            <w:tcW w:w="1170" w:type="dxa"/>
            <w:tcBorders>
              <w:top w:val="nil"/>
              <w:left w:val="nil"/>
              <w:bottom w:val="single" w:sz="8" w:space="0" w:color="000000" w:themeColor="text1"/>
              <w:right w:val="nil"/>
            </w:tcBorders>
            <w:shd w:val="clear" w:color="000000" w:fill="FFFFFF"/>
            <w:noWrap/>
            <w:hideMark/>
          </w:tcPr>
          <w:p w14:paraId="3E911BED" w14:textId="77777777" w:rsidR="001B6918" w:rsidRDefault="001B6918" w:rsidP="00730ECF">
            <w:pPr>
              <w:jc w:val="right"/>
              <w:rPr>
                <w:sz w:val="20"/>
                <w:szCs w:val="20"/>
              </w:rPr>
            </w:pPr>
          </w:p>
          <w:p w14:paraId="5FE92884" w14:textId="77777777" w:rsidR="001B6918" w:rsidRPr="00B157CC" w:rsidRDefault="001B6918" w:rsidP="00730ECF">
            <w:pPr>
              <w:jc w:val="right"/>
              <w:rPr>
                <w:sz w:val="20"/>
                <w:szCs w:val="20"/>
              </w:rPr>
            </w:pPr>
            <w:r w:rsidRPr="00B157CC">
              <w:rPr>
                <w:sz w:val="20"/>
                <w:szCs w:val="20"/>
              </w:rPr>
              <w:t xml:space="preserve"> (739)</w:t>
            </w:r>
          </w:p>
        </w:tc>
        <w:tc>
          <w:tcPr>
            <w:tcW w:w="1080" w:type="dxa"/>
            <w:tcBorders>
              <w:top w:val="nil"/>
              <w:left w:val="nil"/>
              <w:bottom w:val="single" w:sz="8" w:space="0" w:color="000000" w:themeColor="text1"/>
              <w:right w:val="nil"/>
            </w:tcBorders>
            <w:shd w:val="clear" w:color="auto" w:fill="F2F2F2" w:themeFill="background1" w:themeFillShade="F2"/>
            <w:noWrap/>
            <w:vAlign w:val="bottom"/>
            <w:hideMark/>
          </w:tcPr>
          <w:p w14:paraId="0EC42C7E" w14:textId="77777777" w:rsidR="001B6918" w:rsidRPr="004E6649" w:rsidRDefault="001B6918" w:rsidP="00730ECF">
            <w:pPr>
              <w:jc w:val="right"/>
              <w:rPr>
                <w:rFonts w:eastAsia="Times New Roman" w:cstheme="minorHAnsi"/>
                <w:sz w:val="20"/>
                <w:szCs w:val="20"/>
              </w:rPr>
            </w:pPr>
            <w:r w:rsidRPr="00534CED">
              <w:rPr>
                <w:rFonts w:cstheme="minorHAnsi"/>
                <w:sz w:val="20"/>
                <w:szCs w:val="20"/>
              </w:rPr>
              <w:t xml:space="preserve">         (737)</w:t>
            </w:r>
          </w:p>
        </w:tc>
        <w:tc>
          <w:tcPr>
            <w:tcW w:w="1080" w:type="dxa"/>
            <w:tcBorders>
              <w:top w:val="nil"/>
              <w:left w:val="nil"/>
              <w:bottom w:val="single" w:sz="8" w:space="0" w:color="000000" w:themeColor="text1"/>
              <w:right w:val="nil"/>
            </w:tcBorders>
            <w:shd w:val="clear" w:color="auto" w:fill="F2F2F2" w:themeFill="background1" w:themeFillShade="F2"/>
            <w:noWrap/>
            <w:vAlign w:val="bottom"/>
            <w:hideMark/>
          </w:tcPr>
          <w:p w14:paraId="16EB9DC4" w14:textId="77777777" w:rsidR="001B6918" w:rsidRPr="004E6649" w:rsidRDefault="001B6918" w:rsidP="00730ECF">
            <w:pPr>
              <w:jc w:val="right"/>
              <w:rPr>
                <w:rFonts w:eastAsia="Times New Roman" w:cstheme="minorHAnsi"/>
                <w:sz w:val="20"/>
                <w:szCs w:val="20"/>
              </w:rPr>
            </w:pPr>
            <w:r w:rsidRPr="00534CED">
              <w:rPr>
                <w:rFonts w:cstheme="minorHAnsi"/>
                <w:color w:val="000000"/>
                <w:sz w:val="20"/>
                <w:szCs w:val="20"/>
              </w:rPr>
              <w:t xml:space="preserve">                - </w:t>
            </w:r>
          </w:p>
        </w:tc>
        <w:tc>
          <w:tcPr>
            <w:tcW w:w="1350" w:type="dxa"/>
            <w:tcBorders>
              <w:top w:val="nil"/>
              <w:left w:val="nil"/>
              <w:bottom w:val="single" w:sz="8" w:space="0" w:color="000000" w:themeColor="text1"/>
              <w:right w:val="nil"/>
            </w:tcBorders>
            <w:shd w:val="clear" w:color="auto" w:fill="F2F2F2" w:themeFill="background1" w:themeFillShade="F2"/>
            <w:noWrap/>
            <w:vAlign w:val="bottom"/>
            <w:hideMark/>
          </w:tcPr>
          <w:p w14:paraId="68102053" w14:textId="77777777" w:rsidR="001B6918" w:rsidRPr="004E6649" w:rsidRDefault="001B6918" w:rsidP="00730ECF">
            <w:pPr>
              <w:jc w:val="right"/>
              <w:rPr>
                <w:rFonts w:eastAsia="Times New Roman" w:cstheme="minorHAnsi"/>
                <w:sz w:val="20"/>
                <w:szCs w:val="20"/>
              </w:rPr>
            </w:pPr>
            <w:r w:rsidRPr="00534CED">
              <w:rPr>
                <w:rFonts w:cstheme="minorHAnsi"/>
                <w:color w:val="000000"/>
                <w:sz w:val="20"/>
                <w:szCs w:val="20"/>
              </w:rPr>
              <w:t xml:space="preserve">             (737)</w:t>
            </w:r>
          </w:p>
        </w:tc>
      </w:tr>
      <w:tr w:rsidR="001B6918" w:rsidRPr="004E6649" w14:paraId="6EA0AE1C" w14:textId="77777777" w:rsidTr="00D920DB">
        <w:trPr>
          <w:trHeight w:val="70"/>
          <w:jc w:val="center"/>
        </w:trPr>
        <w:tc>
          <w:tcPr>
            <w:tcW w:w="2915" w:type="dxa"/>
            <w:tcBorders>
              <w:top w:val="single" w:sz="8" w:space="0" w:color="000000" w:themeColor="text1"/>
              <w:left w:val="nil"/>
              <w:bottom w:val="double" w:sz="4" w:space="0" w:color="000000" w:themeColor="text1"/>
              <w:right w:val="nil"/>
            </w:tcBorders>
            <w:shd w:val="clear" w:color="000000" w:fill="FFFFFF"/>
            <w:noWrap/>
            <w:vAlign w:val="bottom"/>
            <w:hideMark/>
          </w:tcPr>
          <w:p w14:paraId="30C963B7" w14:textId="77777777" w:rsidR="001B6918" w:rsidRPr="005770B5" w:rsidRDefault="001B6918" w:rsidP="00730ECF">
            <w:pPr>
              <w:rPr>
                <w:rFonts w:eastAsia="Times New Roman" w:cstheme="minorHAnsi"/>
                <w:color w:val="0D0D0D"/>
                <w:sz w:val="20"/>
                <w:szCs w:val="20"/>
              </w:rPr>
            </w:pPr>
            <w:r w:rsidRPr="005770B5">
              <w:rPr>
                <w:rFonts w:eastAsia="Times New Roman" w:cstheme="minorHAnsi"/>
                <w:color w:val="0D0D0D"/>
                <w:sz w:val="20"/>
                <w:szCs w:val="20"/>
              </w:rPr>
              <w:t>Total receivables, net</w:t>
            </w:r>
          </w:p>
        </w:tc>
        <w:tc>
          <w:tcPr>
            <w:tcW w:w="1045" w:type="dxa"/>
            <w:tcBorders>
              <w:top w:val="single" w:sz="8" w:space="0" w:color="000000" w:themeColor="text1"/>
              <w:left w:val="nil"/>
              <w:bottom w:val="double" w:sz="4" w:space="0" w:color="000000" w:themeColor="text1"/>
              <w:right w:val="nil"/>
            </w:tcBorders>
            <w:shd w:val="clear" w:color="000000" w:fill="FFFFFF"/>
            <w:noWrap/>
            <w:hideMark/>
          </w:tcPr>
          <w:p w14:paraId="39032292" w14:textId="76E0F618" w:rsidR="001B6918" w:rsidRPr="00B157CC" w:rsidRDefault="001F4002" w:rsidP="00730ECF">
            <w:pPr>
              <w:jc w:val="right"/>
              <w:rPr>
                <w:sz w:val="20"/>
                <w:szCs w:val="20"/>
              </w:rPr>
            </w:pPr>
            <w:r w:rsidRPr="001F4002">
              <w:rPr>
                <w:sz w:val="20"/>
                <w:szCs w:val="20"/>
              </w:rPr>
              <w:t xml:space="preserve"> $111,81</w:t>
            </w:r>
            <w:r w:rsidR="008E0946">
              <w:rPr>
                <w:sz w:val="20"/>
                <w:szCs w:val="20"/>
              </w:rPr>
              <w:t>7</w:t>
            </w:r>
          </w:p>
        </w:tc>
        <w:tc>
          <w:tcPr>
            <w:tcW w:w="990" w:type="dxa"/>
            <w:gridSpan w:val="2"/>
            <w:tcBorders>
              <w:top w:val="single" w:sz="8" w:space="0" w:color="000000" w:themeColor="text1"/>
              <w:left w:val="nil"/>
              <w:bottom w:val="double" w:sz="4" w:space="0" w:color="000000" w:themeColor="text1"/>
              <w:right w:val="nil"/>
            </w:tcBorders>
            <w:shd w:val="clear" w:color="000000" w:fill="FFFFFF"/>
            <w:noWrap/>
            <w:hideMark/>
          </w:tcPr>
          <w:p w14:paraId="485212A1" w14:textId="2F4DFB0B" w:rsidR="001B6918" w:rsidRPr="00B157CC" w:rsidRDefault="001F4002" w:rsidP="00730ECF">
            <w:pPr>
              <w:jc w:val="right"/>
              <w:rPr>
                <w:sz w:val="20"/>
                <w:szCs w:val="20"/>
              </w:rPr>
            </w:pPr>
            <w:r w:rsidRPr="001F4002">
              <w:rPr>
                <w:sz w:val="20"/>
                <w:szCs w:val="20"/>
              </w:rPr>
              <w:t>$104,09</w:t>
            </w:r>
            <w:r w:rsidR="008E0946">
              <w:rPr>
                <w:sz w:val="20"/>
                <w:szCs w:val="20"/>
              </w:rPr>
              <w:t>4</w:t>
            </w:r>
          </w:p>
        </w:tc>
        <w:tc>
          <w:tcPr>
            <w:tcW w:w="1170" w:type="dxa"/>
            <w:tcBorders>
              <w:top w:val="single" w:sz="8" w:space="0" w:color="000000" w:themeColor="text1"/>
              <w:left w:val="nil"/>
              <w:bottom w:val="double" w:sz="4" w:space="0" w:color="000000" w:themeColor="text1"/>
              <w:right w:val="nil"/>
            </w:tcBorders>
            <w:shd w:val="clear" w:color="000000" w:fill="FFFFFF"/>
            <w:noWrap/>
            <w:hideMark/>
          </w:tcPr>
          <w:p w14:paraId="0FA1914B" w14:textId="77777777" w:rsidR="001B6918" w:rsidRPr="00B157CC" w:rsidRDefault="001B6918" w:rsidP="00730ECF">
            <w:pPr>
              <w:jc w:val="right"/>
              <w:rPr>
                <w:sz w:val="20"/>
                <w:szCs w:val="20"/>
              </w:rPr>
            </w:pPr>
            <w:r w:rsidRPr="00B157CC">
              <w:rPr>
                <w:sz w:val="20"/>
                <w:szCs w:val="20"/>
              </w:rPr>
              <w:t xml:space="preserve"> $7,723 </w:t>
            </w:r>
          </w:p>
        </w:tc>
        <w:tc>
          <w:tcPr>
            <w:tcW w:w="1080" w:type="dxa"/>
            <w:tcBorders>
              <w:top w:val="single" w:sz="8" w:space="0" w:color="000000" w:themeColor="text1"/>
              <w:left w:val="nil"/>
              <w:bottom w:val="double" w:sz="4" w:space="0" w:color="000000" w:themeColor="text1"/>
              <w:right w:val="nil"/>
            </w:tcBorders>
            <w:shd w:val="clear" w:color="auto" w:fill="F2F2F2" w:themeFill="background1" w:themeFillShade="F2"/>
            <w:noWrap/>
            <w:hideMark/>
          </w:tcPr>
          <w:p w14:paraId="444FA5D0" w14:textId="77777777" w:rsidR="001B6918" w:rsidRPr="004E6649" w:rsidRDefault="001B6918" w:rsidP="00730ECF">
            <w:pPr>
              <w:jc w:val="right"/>
              <w:rPr>
                <w:rFonts w:eastAsia="Times New Roman" w:cstheme="minorHAnsi"/>
                <w:color w:val="0D0D0D"/>
                <w:sz w:val="20"/>
                <w:szCs w:val="20"/>
              </w:rPr>
            </w:pPr>
            <w:r w:rsidRPr="00534CED">
              <w:rPr>
                <w:sz w:val="20"/>
                <w:szCs w:val="20"/>
              </w:rPr>
              <w:t xml:space="preserve">$96,760 </w:t>
            </w:r>
          </w:p>
        </w:tc>
        <w:tc>
          <w:tcPr>
            <w:tcW w:w="1080" w:type="dxa"/>
            <w:tcBorders>
              <w:top w:val="single" w:sz="8" w:space="0" w:color="000000" w:themeColor="text1"/>
              <w:left w:val="nil"/>
              <w:bottom w:val="double" w:sz="4" w:space="0" w:color="000000" w:themeColor="text1"/>
              <w:right w:val="nil"/>
            </w:tcBorders>
            <w:shd w:val="clear" w:color="auto" w:fill="F2F2F2" w:themeFill="background1" w:themeFillShade="F2"/>
            <w:noWrap/>
            <w:hideMark/>
          </w:tcPr>
          <w:p w14:paraId="3E9905E9" w14:textId="77777777" w:rsidR="001B6918" w:rsidRPr="004E6649" w:rsidRDefault="001B6918" w:rsidP="00730ECF">
            <w:pPr>
              <w:jc w:val="right"/>
              <w:rPr>
                <w:rFonts w:eastAsia="Times New Roman" w:cstheme="minorHAnsi"/>
                <w:color w:val="0D0D0D"/>
                <w:sz w:val="20"/>
                <w:szCs w:val="20"/>
              </w:rPr>
            </w:pPr>
            <w:r w:rsidRPr="00534CED">
              <w:rPr>
                <w:sz w:val="20"/>
                <w:szCs w:val="20"/>
              </w:rPr>
              <w:t xml:space="preserve">$89,579 </w:t>
            </w:r>
          </w:p>
        </w:tc>
        <w:tc>
          <w:tcPr>
            <w:tcW w:w="1350" w:type="dxa"/>
            <w:tcBorders>
              <w:top w:val="single" w:sz="8" w:space="0" w:color="000000" w:themeColor="text1"/>
              <w:left w:val="nil"/>
              <w:bottom w:val="double" w:sz="4" w:space="0" w:color="000000" w:themeColor="text1"/>
              <w:right w:val="nil"/>
            </w:tcBorders>
            <w:shd w:val="clear" w:color="auto" w:fill="F2F2F2" w:themeFill="background1" w:themeFillShade="F2"/>
            <w:noWrap/>
            <w:hideMark/>
          </w:tcPr>
          <w:p w14:paraId="0F84A453" w14:textId="77777777" w:rsidR="001B6918" w:rsidRPr="004E6649" w:rsidRDefault="001B6918" w:rsidP="00730ECF">
            <w:pPr>
              <w:jc w:val="right"/>
              <w:rPr>
                <w:rFonts w:eastAsia="Times New Roman" w:cstheme="minorHAnsi"/>
                <w:color w:val="0D0D0D"/>
                <w:sz w:val="20"/>
                <w:szCs w:val="20"/>
              </w:rPr>
            </w:pPr>
            <w:r w:rsidRPr="00534CED">
              <w:rPr>
                <w:sz w:val="20"/>
                <w:szCs w:val="20"/>
              </w:rPr>
              <w:t xml:space="preserve">$7,181 </w:t>
            </w:r>
          </w:p>
        </w:tc>
      </w:tr>
    </w:tbl>
    <w:p w14:paraId="25445D96" w14:textId="77777777" w:rsidR="001B6918" w:rsidRDefault="001B6918" w:rsidP="001B6918">
      <w:pPr>
        <w:tabs>
          <w:tab w:val="left" w:pos="0"/>
          <w:tab w:val="left" w:pos="90"/>
          <w:tab w:val="decimal" w:pos="6786"/>
          <w:tab w:val="decimal" w:pos="9079"/>
        </w:tabs>
        <w:suppressAutoHyphens/>
        <w:spacing w:before="120"/>
        <w:rPr>
          <w:rFonts w:eastAsiaTheme="majorEastAsia" w:cstheme="minorHAnsi"/>
          <w:b/>
          <w:i/>
          <w:iCs/>
          <w:smallCaps/>
          <w:noProof/>
          <w:color w:val="000000" w:themeColor="text1"/>
          <w:sz w:val="24"/>
          <w:szCs w:val="24"/>
          <w:u w:color="5B9BD5"/>
        </w:rPr>
      </w:pPr>
      <w:r w:rsidRPr="004E6649">
        <w:rPr>
          <w:rFonts w:eastAsia="Times New Roman" w:cstheme="minorHAnsi"/>
          <w:bCs/>
          <w:spacing w:val="-3"/>
          <w:sz w:val="24"/>
        </w:rPr>
        <w:t xml:space="preserve">In accordance with GASB Statement No. 35, grants receivable related to the acquisition of capital assets </w:t>
      </w:r>
      <w:proofErr w:type="gramStart"/>
      <w:r w:rsidRPr="004E6649">
        <w:rPr>
          <w:rFonts w:eastAsia="Times New Roman" w:cstheme="minorHAnsi"/>
          <w:bCs/>
          <w:spacing w:val="-3"/>
          <w:sz w:val="24"/>
        </w:rPr>
        <w:t>is</w:t>
      </w:r>
      <w:proofErr w:type="gramEnd"/>
      <w:r w:rsidRPr="004E6649">
        <w:rPr>
          <w:rFonts w:eastAsia="Times New Roman" w:cstheme="minorHAnsi"/>
          <w:bCs/>
          <w:spacing w:val="-3"/>
          <w:sz w:val="24"/>
        </w:rPr>
        <w:t xml:space="preserve"> reported as a noncurrent receivable even though collection is expected within the next twelve months.</w:t>
      </w:r>
      <w:r>
        <w:rPr>
          <w:rFonts w:cstheme="minorHAnsi"/>
          <w:sz w:val="24"/>
          <w:szCs w:val="24"/>
        </w:rPr>
        <w:br w:type="page"/>
      </w:r>
    </w:p>
    <w:p w14:paraId="4AC70F3F" w14:textId="77777777" w:rsidR="001B6918" w:rsidRPr="00643226" w:rsidRDefault="001B6918" w:rsidP="001B6918">
      <w:pPr>
        <w:pStyle w:val="AFR2"/>
        <w:pBdr>
          <w:bottom w:val="single" w:sz="8" w:space="1" w:color="0D0D0D" w:themeColor="text1" w:themeTint="F2"/>
        </w:pBdr>
        <w:rPr>
          <w:rFonts w:cstheme="minorHAnsi"/>
          <w:sz w:val="26"/>
          <w:szCs w:val="26"/>
        </w:rPr>
      </w:pPr>
      <w:r w:rsidRPr="00643226">
        <w:rPr>
          <w:rFonts w:cstheme="minorHAnsi"/>
          <w:sz w:val="26"/>
          <w:szCs w:val="26"/>
        </w:rPr>
        <w:lastRenderedPageBreak/>
        <w:t xml:space="preserve">5. NOTES, LEASES AND PPP RECEIVABLES </w:t>
      </w:r>
    </w:p>
    <w:p w14:paraId="51A0AFDD" w14:textId="77777777" w:rsidR="001B6918" w:rsidRPr="004E6649" w:rsidRDefault="001B6918" w:rsidP="001B6918">
      <w:pPr>
        <w:tabs>
          <w:tab w:val="left" w:pos="720"/>
          <w:tab w:val="left" w:pos="1022"/>
          <w:tab w:val="left" w:pos="1440"/>
        </w:tabs>
        <w:suppressAutoHyphens/>
        <w:spacing w:after="120"/>
        <w:rPr>
          <w:rFonts w:cstheme="minorHAnsi"/>
          <w:sz w:val="16"/>
          <w:szCs w:val="12"/>
        </w:rPr>
      </w:pPr>
      <w:r w:rsidRPr="004E6649">
        <w:rPr>
          <w:rFonts w:cstheme="minorHAnsi"/>
          <w:bCs/>
          <w:spacing w:val="-3"/>
          <w:sz w:val="24"/>
        </w:rPr>
        <w:t>Notes</w:t>
      </w:r>
      <w:r>
        <w:rPr>
          <w:rFonts w:cstheme="minorHAnsi"/>
          <w:bCs/>
          <w:spacing w:val="-3"/>
          <w:sz w:val="24"/>
        </w:rPr>
        <w:t xml:space="preserve">, </w:t>
      </w:r>
      <w:r w:rsidRPr="004E6649">
        <w:rPr>
          <w:rFonts w:cstheme="minorHAnsi"/>
          <w:bCs/>
          <w:spacing w:val="-3"/>
          <w:sz w:val="24"/>
        </w:rPr>
        <w:t xml:space="preserve">leases </w:t>
      </w:r>
      <w:r>
        <w:rPr>
          <w:rFonts w:cstheme="minorHAnsi"/>
          <w:bCs/>
          <w:spacing w:val="-3"/>
          <w:sz w:val="24"/>
        </w:rPr>
        <w:t xml:space="preserve">and PPP </w:t>
      </w:r>
      <w:r w:rsidRPr="004E6649">
        <w:rPr>
          <w:rFonts w:cstheme="minorHAnsi"/>
          <w:bCs/>
          <w:spacing w:val="-3"/>
          <w:sz w:val="24"/>
        </w:rPr>
        <w:t>receivable</w:t>
      </w:r>
      <w:r>
        <w:rPr>
          <w:rFonts w:cstheme="minorHAnsi"/>
          <w:bCs/>
          <w:spacing w:val="-3"/>
          <w:sz w:val="24"/>
        </w:rPr>
        <w:t>s</w:t>
      </w:r>
      <w:r w:rsidRPr="004E6649">
        <w:rPr>
          <w:rFonts w:cstheme="minorHAnsi"/>
          <w:bCs/>
          <w:spacing w:val="-3"/>
          <w:sz w:val="24"/>
        </w:rPr>
        <w:t xml:space="preserve"> include the following at June 30:</w:t>
      </w:r>
    </w:p>
    <w:tbl>
      <w:tblPr>
        <w:tblW w:w="10636" w:type="dxa"/>
        <w:jc w:val="center"/>
        <w:tblLook w:val="04A0" w:firstRow="1" w:lastRow="0" w:firstColumn="1" w:lastColumn="0" w:noHBand="0" w:noVBand="1"/>
      </w:tblPr>
      <w:tblGrid>
        <w:gridCol w:w="3690"/>
        <w:gridCol w:w="932"/>
        <w:gridCol w:w="981"/>
        <w:gridCol w:w="1237"/>
        <w:gridCol w:w="1080"/>
        <w:gridCol w:w="1080"/>
        <w:gridCol w:w="1636"/>
      </w:tblGrid>
      <w:tr w:rsidR="001B6918" w:rsidRPr="004E6649" w14:paraId="2AE96649" w14:textId="77777777" w:rsidTr="00730ECF">
        <w:trPr>
          <w:trHeight w:val="180"/>
          <w:jc w:val="center"/>
        </w:trPr>
        <w:tc>
          <w:tcPr>
            <w:tcW w:w="3690" w:type="dxa"/>
            <w:tcBorders>
              <w:top w:val="nil"/>
              <w:left w:val="nil"/>
              <w:bottom w:val="single" w:sz="12" w:space="0" w:color="000000" w:themeColor="text1"/>
              <w:right w:val="nil"/>
            </w:tcBorders>
            <w:noWrap/>
            <w:vAlign w:val="bottom"/>
            <w:hideMark/>
          </w:tcPr>
          <w:p w14:paraId="1C87922C" w14:textId="77777777" w:rsidR="001B6918" w:rsidRPr="004E6649" w:rsidRDefault="001B6918" w:rsidP="00730ECF">
            <w:pPr>
              <w:rPr>
                <w:rFonts w:eastAsia="Times New Roman" w:cstheme="minorHAnsi"/>
                <w:b/>
                <w:bCs/>
                <w:color w:val="0D0D0D"/>
                <w:sz w:val="20"/>
                <w:szCs w:val="20"/>
              </w:rPr>
            </w:pPr>
            <w:r w:rsidRPr="004E6649">
              <w:rPr>
                <w:rFonts w:eastAsia="Times New Roman" w:cstheme="minorHAnsi"/>
                <w:b/>
                <w:bCs/>
                <w:color w:val="0D0D0D"/>
                <w:sz w:val="20"/>
                <w:szCs w:val="20"/>
              </w:rPr>
              <w:t> </w:t>
            </w:r>
          </w:p>
        </w:tc>
        <w:tc>
          <w:tcPr>
            <w:tcW w:w="3150" w:type="dxa"/>
            <w:gridSpan w:val="3"/>
            <w:tcBorders>
              <w:top w:val="nil"/>
              <w:left w:val="nil"/>
              <w:bottom w:val="single" w:sz="12" w:space="0" w:color="000000" w:themeColor="text1"/>
              <w:right w:val="nil"/>
            </w:tcBorders>
            <w:noWrap/>
            <w:vAlign w:val="bottom"/>
            <w:hideMark/>
          </w:tcPr>
          <w:p w14:paraId="17FF5025" w14:textId="77777777" w:rsidR="001B6918" w:rsidRPr="004E6649" w:rsidRDefault="001B6918" w:rsidP="00730ECF">
            <w:pPr>
              <w:jc w:val="center"/>
              <w:rPr>
                <w:rFonts w:eastAsia="Times New Roman" w:cstheme="minorHAnsi"/>
                <w:b/>
                <w:bCs/>
                <w:color w:val="0D0D0D"/>
                <w:sz w:val="20"/>
                <w:szCs w:val="20"/>
              </w:rPr>
            </w:pPr>
            <w:r w:rsidRPr="004E6649">
              <w:rPr>
                <w:rFonts w:eastAsia="Times New Roman" w:cstheme="minorHAnsi"/>
                <w:b/>
                <w:bCs/>
                <w:color w:val="0D0D0D"/>
                <w:sz w:val="20"/>
                <w:szCs w:val="20"/>
              </w:rPr>
              <w:t>202</w:t>
            </w:r>
            <w:r>
              <w:rPr>
                <w:rFonts w:eastAsia="Times New Roman" w:cstheme="minorHAnsi"/>
                <w:b/>
                <w:bCs/>
                <w:color w:val="0D0D0D"/>
                <w:sz w:val="20"/>
                <w:szCs w:val="20"/>
              </w:rPr>
              <w:t>5</w:t>
            </w:r>
          </w:p>
        </w:tc>
        <w:tc>
          <w:tcPr>
            <w:tcW w:w="3796" w:type="dxa"/>
            <w:gridSpan w:val="3"/>
            <w:tcBorders>
              <w:top w:val="nil"/>
              <w:left w:val="nil"/>
              <w:bottom w:val="single" w:sz="12" w:space="0" w:color="000000" w:themeColor="text1"/>
              <w:right w:val="nil"/>
            </w:tcBorders>
            <w:shd w:val="clear" w:color="auto" w:fill="F2F2F2" w:themeFill="background1" w:themeFillShade="F2"/>
            <w:noWrap/>
            <w:vAlign w:val="bottom"/>
            <w:hideMark/>
          </w:tcPr>
          <w:p w14:paraId="38B24AB9" w14:textId="77777777" w:rsidR="001B6918" w:rsidRPr="004E6649" w:rsidRDefault="001B6918" w:rsidP="00730ECF">
            <w:pPr>
              <w:jc w:val="center"/>
              <w:rPr>
                <w:rFonts w:eastAsia="Times New Roman" w:cstheme="minorHAnsi"/>
                <w:b/>
                <w:bCs/>
                <w:color w:val="0D0D0D"/>
                <w:sz w:val="20"/>
                <w:szCs w:val="20"/>
              </w:rPr>
            </w:pPr>
            <w:r w:rsidRPr="004E6649">
              <w:rPr>
                <w:rFonts w:eastAsia="Times New Roman" w:cstheme="minorHAnsi"/>
                <w:b/>
                <w:bCs/>
                <w:color w:val="0D0D0D"/>
                <w:sz w:val="20"/>
                <w:szCs w:val="20"/>
              </w:rPr>
              <w:t>202</w:t>
            </w:r>
            <w:r>
              <w:rPr>
                <w:rFonts w:eastAsia="Times New Roman" w:cstheme="minorHAnsi"/>
                <w:b/>
                <w:bCs/>
                <w:color w:val="0D0D0D"/>
                <w:sz w:val="20"/>
                <w:szCs w:val="20"/>
              </w:rPr>
              <w:t>4</w:t>
            </w:r>
          </w:p>
        </w:tc>
      </w:tr>
      <w:tr w:rsidR="001B6918" w:rsidRPr="004E6649" w14:paraId="4B4EAACC" w14:textId="77777777" w:rsidTr="00730ECF">
        <w:trPr>
          <w:trHeight w:val="447"/>
          <w:jc w:val="center"/>
        </w:trPr>
        <w:tc>
          <w:tcPr>
            <w:tcW w:w="3690" w:type="dxa"/>
            <w:tcBorders>
              <w:top w:val="single" w:sz="12" w:space="0" w:color="000000" w:themeColor="text1"/>
              <w:left w:val="nil"/>
              <w:bottom w:val="single" w:sz="12" w:space="0" w:color="000000" w:themeColor="text1"/>
              <w:right w:val="nil"/>
            </w:tcBorders>
            <w:noWrap/>
            <w:vAlign w:val="bottom"/>
            <w:hideMark/>
          </w:tcPr>
          <w:p w14:paraId="5705D882" w14:textId="77777777" w:rsidR="001B6918" w:rsidRPr="004E6649" w:rsidRDefault="001B6918" w:rsidP="00730ECF">
            <w:pPr>
              <w:rPr>
                <w:rFonts w:eastAsia="Times New Roman" w:cstheme="minorHAnsi"/>
                <w:b/>
                <w:bCs/>
                <w:color w:val="0D0D0D"/>
                <w:sz w:val="20"/>
                <w:szCs w:val="20"/>
              </w:rPr>
            </w:pPr>
            <w:r w:rsidRPr="004E6649">
              <w:rPr>
                <w:rFonts w:eastAsia="Times New Roman" w:cstheme="minorHAnsi"/>
                <w:b/>
                <w:bCs/>
                <w:color w:val="0D0D0D"/>
                <w:sz w:val="20"/>
                <w:szCs w:val="20"/>
              </w:rPr>
              <w:t> </w:t>
            </w:r>
          </w:p>
        </w:tc>
        <w:tc>
          <w:tcPr>
            <w:tcW w:w="932" w:type="dxa"/>
            <w:tcBorders>
              <w:top w:val="single" w:sz="12" w:space="0" w:color="000000" w:themeColor="text1"/>
              <w:left w:val="nil"/>
              <w:bottom w:val="single" w:sz="12" w:space="0" w:color="000000" w:themeColor="text1"/>
              <w:right w:val="nil"/>
            </w:tcBorders>
            <w:noWrap/>
            <w:vAlign w:val="bottom"/>
            <w:hideMark/>
          </w:tcPr>
          <w:p w14:paraId="164FD2D7" w14:textId="77777777" w:rsidR="001B6918" w:rsidRPr="004E6649" w:rsidRDefault="001B6918" w:rsidP="00730ECF">
            <w:pPr>
              <w:jc w:val="center"/>
              <w:rPr>
                <w:rFonts w:eastAsia="Times New Roman" w:cstheme="minorHAnsi"/>
                <w:b/>
                <w:bCs/>
                <w:color w:val="0D0D0D"/>
                <w:sz w:val="20"/>
                <w:szCs w:val="20"/>
              </w:rPr>
            </w:pPr>
            <w:r w:rsidRPr="004E6649">
              <w:rPr>
                <w:rFonts w:eastAsia="Times New Roman" w:cstheme="minorHAnsi"/>
                <w:b/>
                <w:bCs/>
                <w:color w:val="0D0D0D"/>
                <w:sz w:val="20"/>
                <w:szCs w:val="20"/>
              </w:rPr>
              <w:t>Total</w:t>
            </w:r>
          </w:p>
        </w:tc>
        <w:tc>
          <w:tcPr>
            <w:tcW w:w="981" w:type="dxa"/>
            <w:tcBorders>
              <w:top w:val="single" w:sz="12" w:space="0" w:color="000000" w:themeColor="text1"/>
              <w:left w:val="nil"/>
              <w:bottom w:val="single" w:sz="12" w:space="0" w:color="000000" w:themeColor="text1"/>
              <w:right w:val="nil"/>
            </w:tcBorders>
            <w:vAlign w:val="bottom"/>
            <w:hideMark/>
          </w:tcPr>
          <w:p w14:paraId="0F582CE5" w14:textId="77777777" w:rsidR="001B6918" w:rsidRPr="004E6649" w:rsidRDefault="001B6918" w:rsidP="00730ECF">
            <w:pPr>
              <w:jc w:val="center"/>
              <w:rPr>
                <w:rFonts w:eastAsia="Times New Roman" w:cstheme="minorHAnsi"/>
                <w:b/>
                <w:bCs/>
                <w:color w:val="0D0D0D"/>
                <w:sz w:val="20"/>
                <w:szCs w:val="20"/>
              </w:rPr>
            </w:pPr>
            <w:r w:rsidRPr="004E6649">
              <w:rPr>
                <w:rFonts w:eastAsia="Times New Roman" w:cstheme="minorHAnsi"/>
                <w:b/>
                <w:bCs/>
                <w:color w:val="0D0D0D"/>
                <w:sz w:val="20"/>
                <w:szCs w:val="20"/>
              </w:rPr>
              <w:t>Current</w:t>
            </w:r>
            <w:r>
              <w:rPr>
                <w:rFonts w:eastAsia="Times New Roman" w:cstheme="minorHAnsi"/>
                <w:b/>
                <w:bCs/>
                <w:color w:val="0D0D0D"/>
                <w:sz w:val="20"/>
                <w:szCs w:val="20"/>
              </w:rPr>
              <w:t xml:space="preserve"> </w:t>
            </w:r>
            <w:r w:rsidRPr="004E6649">
              <w:rPr>
                <w:rFonts w:eastAsia="Times New Roman" w:cstheme="minorHAnsi"/>
                <w:b/>
                <w:bCs/>
                <w:color w:val="0D0D0D"/>
                <w:sz w:val="20"/>
                <w:szCs w:val="20"/>
              </w:rPr>
              <w:t>Portion</w:t>
            </w:r>
          </w:p>
        </w:tc>
        <w:tc>
          <w:tcPr>
            <w:tcW w:w="1237" w:type="dxa"/>
            <w:tcBorders>
              <w:top w:val="single" w:sz="12" w:space="0" w:color="000000" w:themeColor="text1"/>
              <w:left w:val="nil"/>
              <w:bottom w:val="single" w:sz="12" w:space="0" w:color="000000" w:themeColor="text1"/>
              <w:right w:val="nil"/>
            </w:tcBorders>
            <w:vAlign w:val="bottom"/>
            <w:hideMark/>
          </w:tcPr>
          <w:p w14:paraId="44BEF5CD" w14:textId="77777777" w:rsidR="001B6918" w:rsidRPr="004E6649" w:rsidRDefault="001B6918" w:rsidP="00730ECF">
            <w:pPr>
              <w:jc w:val="center"/>
              <w:rPr>
                <w:rFonts w:eastAsia="Times New Roman" w:cstheme="minorHAnsi"/>
                <w:b/>
                <w:bCs/>
                <w:color w:val="0D0D0D"/>
                <w:sz w:val="20"/>
                <w:szCs w:val="20"/>
              </w:rPr>
            </w:pPr>
            <w:r w:rsidRPr="004E6649">
              <w:rPr>
                <w:rFonts w:eastAsia="Times New Roman" w:cstheme="minorHAnsi"/>
                <w:b/>
                <w:bCs/>
                <w:color w:val="0D0D0D"/>
                <w:sz w:val="20"/>
                <w:szCs w:val="20"/>
              </w:rPr>
              <w:t>Noncurrent Portion</w:t>
            </w:r>
          </w:p>
        </w:tc>
        <w:tc>
          <w:tcPr>
            <w:tcW w:w="1080" w:type="dxa"/>
            <w:tcBorders>
              <w:top w:val="single" w:sz="12" w:space="0" w:color="000000" w:themeColor="text1"/>
              <w:left w:val="nil"/>
              <w:bottom w:val="single" w:sz="12" w:space="0" w:color="000000" w:themeColor="text1"/>
              <w:right w:val="nil"/>
            </w:tcBorders>
            <w:shd w:val="clear" w:color="auto" w:fill="F2F2F2" w:themeFill="background1" w:themeFillShade="F2"/>
            <w:noWrap/>
            <w:vAlign w:val="bottom"/>
            <w:hideMark/>
          </w:tcPr>
          <w:p w14:paraId="6CE8A48B" w14:textId="77777777" w:rsidR="001B6918" w:rsidRPr="004E6649" w:rsidRDefault="001B6918" w:rsidP="00730ECF">
            <w:pPr>
              <w:jc w:val="center"/>
              <w:rPr>
                <w:rFonts w:eastAsia="Times New Roman" w:cstheme="minorHAnsi"/>
                <w:b/>
                <w:bCs/>
                <w:color w:val="0D0D0D"/>
                <w:sz w:val="20"/>
                <w:szCs w:val="20"/>
              </w:rPr>
            </w:pPr>
            <w:r w:rsidRPr="004E6649">
              <w:rPr>
                <w:rFonts w:eastAsia="Times New Roman" w:cstheme="minorHAnsi"/>
                <w:b/>
                <w:bCs/>
                <w:color w:val="0D0D0D"/>
                <w:sz w:val="20"/>
                <w:szCs w:val="20"/>
              </w:rPr>
              <w:t>Total</w:t>
            </w:r>
          </w:p>
        </w:tc>
        <w:tc>
          <w:tcPr>
            <w:tcW w:w="1080" w:type="dxa"/>
            <w:tcBorders>
              <w:top w:val="single" w:sz="12" w:space="0" w:color="000000" w:themeColor="text1"/>
              <w:left w:val="nil"/>
              <w:bottom w:val="single" w:sz="12" w:space="0" w:color="000000" w:themeColor="text1"/>
              <w:right w:val="nil"/>
            </w:tcBorders>
            <w:shd w:val="clear" w:color="auto" w:fill="F2F2F2" w:themeFill="background1" w:themeFillShade="F2"/>
            <w:vAlign w:val="bottom"/>
            <w:hideMark/>
          </w:tcPr>
          <w:p w14:paraId="33FD57FE" w14:textId="77777777" w:rsidR="001B6918" w:rsidRPr="004E6649" w:rsidRDefault="001B6918" w:rsidP="00730ECF">
            <w:pPr>
              <w:jc w:val="center"/>
              <w:rPr>
                <w:rFonts w:eastAsia="Times New Roman" w:cstheme="minorHAnsi"/>
                <w:b/>
                <w:bCs/>
                <w:color w:val="0D0D0D"/>
                <w:sz w:val="20"/>
                <w:szCs w:val="20"/>
              </w:rPr>
            </w:pPr>
            <w:r w:rsidRPr="004E6649">
              <w:rPr>
                <w:rFonts w:eastAsia="Times New Roman" w:cstheme="minorHAnsi"/>
                <w:b/>
                <w:bCs/>
                <w:color w:val="0D0D0D"/>
                <w:sz w:val="20"/>
                <w:szCs w:val="20"/>
              </w:rPr>
              <w:t>Current</w:t>
            </w:r>
            <w:r>
              <w:rPr>
                <w:rFonts w:eastAsia="Times New Roman" w:cstheme="minorHAnsi"/>
                <w:b/>
                <w:bCs/>
                <w:color w:val="0D0D0D"/>
                <w:sz w:val="20"/>
                <w:szCs w:val="20"/>
              </w:rPr>
              <w:t xml:space="preserve"> </w:t>
            </w:r>
            <w:r w:rsidRPr="004E6649">
              <w:rPr>
                <w:rFonts w:eastAsia="Times New Roman" w:cstheme="minorHAnsi"/>
                <w:b/>
                <w:bCs/>
                <w:color w:val="0D0D0D"/>
                <w:sz w:val="20"/>
                <w:szCs w:val="20"/>
              </w:rPr>
              <w:t>Portion</w:t>
            </w:r>
          </w:p>
        </w:tc>
        <w:tc>
          <w:tcPr>
            <w:tcW w:w="1636" w:type="dxa"/>
            <w:tcBorders>
              <w:top w:val="single" w:sz="12" w:space="0" w:color="000000" w:themeColor="text1"/>
              <w:left w:val="nil"/>
              <w:bottom w:val="single" w:sz="12" w:space="0" w:color="000000" w:themeColor="text1"/>
              <w:right w:val="nil"/>
            </w:tcBorders>
            <w:shd w:val="clear" w:color="auto" w:fill="F2F2F2" w:themeFill="background1" w:themeFillShade="F2"/>
            <w:vAlign w:val="bottom"/>
            <w:hideMark/>
          </w:tcPr>
          <w:p w14:paraId="1925698B" w14:textId="77777777" w:rsidR="001B6918" w:rsidRPr="004E6649" w:rsidRDefault="001B6918" w:rsidP="00730ECF">
            <w:pPr>
              <w:jc w:val="center"/>
              <w:rPr>
                <w:rFonts w:eastAsia="Times New Roman" w:cstheme="minorHAnsi"/>
                <w:b/>
                <w:bCs/>
                <w:color w:val="0D0D0D"/>
                <w:sz w:val="20"/>
                <w:szCs w:val="20"/>
              </w:rPr>
            </w:pPr>
            <w:r w:rsidRPr="004E6649">
              <w:rPr>
                <w:rFonts w:eastAsia="Times New Roman" w:cstheme="minorHAnsi"/>
                <w:b/>
                <w:bCs/>
                <w:color w:val="0D0D0D"/>
                <w:sz w:val="20"/>
                <w:szCs w:val="20"/>
              </w:rPr>
              <w:t>Noncurrent Portion</w:t>
            </w:r>
          </w:p>
        </w:tc>
      </w:tr>
      <w:tr w:rsidR="001B6918" w:rsidRPr="004E6649" w14:paraId="16B327E9" w14:textId="77777777" w:rsidTr="00730ECF">
        <w:trPr>
          <w:trHeight w:val="105"/>
          <w:jc w:val="center"/>
        </w:trPr>
        <w:tc>
          <w:tcPr>
            <w:tcW w:w="3690" w:type="dxa"/>
            <w:tcBorders>
              <w:top w:val="single" w:sz="12" w:space="0" w:color="000000" w:themeColor="text1"/>
              <w:left w:val="nil"/>
              <w:bottom w:val="nil"/>
              <w:right w:val="nil"/>
            </w:tcBorders>
            <w:noWrap/>
            <w:vAlign w:val="bottom"/>
            <w:hideMark/>
          </w:tcPr>
          <w:p w14:paraId="23FB41E2" w14:textId="77777777" w:rsidR="001B6918" w:rsidRPr="004E6649" w:rsidRDefault="001B6918" w:rsidP="00730ECF">
            <w:pPr>
              <w:rPr>
                <w:rFonts w:eastAsia="Times New Roman" w:cstheme="minorHAnsi"/>
                <w:color w:val="0D0D0D"/>
                <w:sz w:val="20"/>
                <w:szCs w:val="20"/>
              </w:rPr>
            </w:pPr>
            <w:r w:rsidRPr="004E6649">
              <w:rPr>
                <w:rFonts w:eastAsia="Times New Roman" w:cstheme="minorHAnsi"/>
                <w:color w:val="0D0D0D"/>
                <w:sz w:val="20"/>
                <w:szCs w:val="20"/>
              </w:rPr>
              <w:t>Perkins loans</w:t>
            </w:r>
          </w:p>
        </w:tc>
        <w:tc>
          <w:tcPr>
            <w:tcW w:w="932" w:type="dxa"/>
            <w:tcBorders>
              <w:top w:val="single" w:sz="12" w:space="0" w:color="000000" w:themeColor="text1"/>
              <w:left w:val="nil"/>
              <w:bottom w:val="nil"/>
              <w:right w:val="nil"/>
            </w:tcBorders>
            <w:noWrap/>
            <w:hideMark/>
          </w:tcPr>
          <w:p w14:paraId="791B328C" w14:textId="77777777" w:rsidR="001B6918" w:rsidRPr="00161813" w:rsidRDefault="001B6918" w:rsidP="00730ECF">
            <w:pPr>
              <w:jc w:val="right"/>
              <w:rPr>
                <w:rFonts w:eastAsia="Times New Roman" w:cstheme="minorHAnsi"/>
                <w:sz w:val="20"/>
                <w:szCs w:val="20"/>
              </w:rPr>
            </w:pPr>
            <w:r w:rsidRPr="00161813">
              <w:rPr>
                <w:rFonts w:eastAsia="Times New Roman" w:cstheme="minorHAnsi"/>
                <w:sz w:val="20"/>
                <w:szCs w:val="20"/>
              </w:rPr>
              <w:t xml:space="preserve"> $</w:t>
            </w:r>
            <w:r>
              <w:rPr>
                <w:rFonts w:eastAsia="Times New Roman" w:cstheme="minorHAnsi"/>
                <w:sz w:val="20"/>
                <w:szCs w:val="20"/>
              </w:rPr>
              <w:t xml:space="preserve">  </w:t>
            </w:r>
            <w:r w:rsidRPr="00161813">
              <w:rPr>
                <w:rFonts w:eastAsia="Times New Roman" w:cstheme="minorHAnsi"/>
                <w:sz w:val="20"/>
                <w:szCs w:val="20"/>
              </w:rPr>
              <w:t xml:space="preserve">1,924 </w:t>
            </w:r>
          </w:p>
        </w:tc>
        <w:tc>
          <w:tcPr>
            <w:tcW w:w="981" w:type="dxa"/>
            <w:tcBorders>
              <w:top w:val="single" w:sz="12" w:space="0" w:color="000000" w:themeColor="text1"/>
              <w:left w:val="nil"/>
              <w:bottom w:val="nil"/>
              <w:right w:val="nil"/>
            </w:tcBorders>
            <w:noWrap/>
            <w:hideMark/>
          </w:tcPr>
          <w:p w14:paraId="236F0E96" w14:textId="77777777" w:rsidR="001B6918" w:rsidRPr="00161813" w:rsidRDefault="001B6918" w:rsidP="00730ECF">
            <w:pPr>
              <w:jc w:val="right"/>
              <w:rPr>
                <w:rFonts w:eastAsia="Times New Roman" w:cstheme="minorHAnsi"/>
                <w:sz w:val="20"/>
                <w:szCs w:val="20"/>
              </w:rPr>
            </w:pPr>
            <w:r w:rsidRPr="00161813">
              <w:rPr>
                <w:rFonts w:eastAsia="Times New Roman" w:cstheme="minorHAnsi"/>
                <w:sz w:val="20"/>
                <w:szCs w:val="20"/>
              </w:rPr>
              <w:t xml:space="preserve"> $</w:t>
            </w:r>
            <w:r>
              <w:rPr>
                <w:rFonts w:eastAsia="Times New Roman" w:cstheme="minorHAnsi"/>
                <w:sz w:val="20"/>
                <w:szCs w:val="20"/>
              </w:rPr>
              <w:t xml:space="preserve">    </w:t>
            </w:r>
            <w:r w:rsidRPr="00161813">
              <w:rPr>
                <w:rFonts w:eastAsia="Times New Roman" w:cstheme="minorHAnsi"/>
                <w:sz w:val="20"/>
                <w:szCs w:val="20"/>
              </w:rPr>
              <w:t xml:space="preserve">- </w:t>
            </w:r>
          </w:p>
        </w:tc>
        <w:tc>
          <w:tcPr>
            <w:tcW w:w="1237" w:type="dxa"/>
            <w:tcBorders>
              <w:top w:val="single" w:sz="12" w:space="0" w:color="000000" w:themeColor="text1"/>
              <w:left w:val="nil"/>
              <w:bottom w:val="nil"/>
              <w:right w:val="nil"/>
            </w:tcBorders>
            <w:noWrap/>
            <w:hideMark/>
          </w:tcPr>
          <w:p w14:paraId="768F4F5B" w14:textId="77777777" w:rsidR="001B6918" w:rsidRPr="00161813" w:rsidRDefault="001B6918" w:rsidP="00730ECF">
            <w:pPr>
              <w:jc w:val="right"/>
              <w:rPr>
                <w:rFonts w:eastAsia="Times New Roman" w:cstheme="minorHAnsi"/>
                <w:sz w:val="20"/>
                <w:szCs w:val="20"/>
              </w:rPr>
            </w:pPr>
            <w:r w:rsidRPr="00161813">
              <w:rPr>
                <w:rFonts w:eastAsia="Times New Roman" w:cstheme="minorHAnsi"/>
                <w:sz w:val="20"/>
                <w:szCs w:val="20"/>
              </w:rPr>
              <w:t xml:space="preserve"> $</w:t>
            </w:r>
            <w:r>
              <w:rPr>
                <w:rFonts w:eastAsia="Times New Roman" w:cstheme="minorHAnsi"/>
                <w:sz w:val="20"/>
                <w:szCs w:val="20"/>
              </w:rPr>
              <w:t xml:space="preserve">  </w:t>
            </w:r>
            <w:r w:rsidRPr="00161813">
              <w:rPr>
                <w:rFonts w:eastAsia="Times New Roman" w:cstheme="minorHAnsi"/>
                <w:sz w:val="20"/>
                <w:szCs w:val="20"/>
              </w:rPr>
              <w:t xml:space="preserve">1,924 </w:t>
            </w:r>
          </w:p>
        </w:tc>
        <w:tc>
          <w:tcPr>
            <w:tcW w:w="1080" w:type="dxa"/>
            <w:tcBorders>
              <w:top w:val="single" w:sz="12" w:space="0" w:color="000000" w:themeColor="text1"/>
              <w:left w:val="nil"/>
              <w:bottom w:val="nil"/>
              <w:right w:val="nil"/>
            </w:tcBorders>
            <w:shd w:val="clear" w:color="auto" w:fill="F2F2F2" w:themeFill="background1" w:themeFillShade="F2"/>
            <w:noWrap/>
            <w:vAlign w:val="bottom"/>
            <w:hideMark/>
          </w:tcPr>
          <w:p w14:paraId="72E43F1B" w14:textId="77777777" w:rsidR="001B6918" w:rsidRPr="004E6649" w:rsidRDefault="001B6918" w:rsidP="00730ECF">
            <w:pPr>
              <w:jc w:val="right"/>
              <w:rPr>
                <w:rFonts w:eastAsia="Times New Roman" w:cstheme="minorHAnsi"/>
                <w:color w:val="0D0D0D"/>
                <w:sz w:val="20"/>
                <w:szCs w:val="20"/>
              </w:rPr>
            </w:pPr>
            <w:r w:rsidRPr="00935FD2">
              <w:rPr>
                <w:rFonts w:eastAsia="Times New Roman" w:cstheme="minorHAnsi"/>
                <w:sz w:val="20"/>
                <w:szCs w:val="20"/>
              </w:rPr>
              <w:t>$ 3,487</w:t>
            </w:r>
          </w:p>
        </w:tc>
        <w:tc>
          <w:tcPr>
            <w:tcW w:w="1080" w:type="dxa"/>
            <w:tcBorders>
              <w:top w:val="single" w:sz="12" w:space="0" w:color="000000" w:themeColor="text1"/>
              <w:left w:val="nil"/>
              <w:bottom w:val="nil"/>
              <w:right w:val="nil"/>
            </w:tcBorders>
            <w:shd w:val="clear" w:color="auto" w:fill="F2F2F2" w:themeFill="background1" w:themeFillShade="F2"/>
            <w:noWrap/>
            <w:vAlign w:val="bottom"/>
            <w:hideMark/>
          </w:tcPr>
          <w:p w14:paraId="3955E220" w14:textId="77777777" w:rsidR="001B6918" w:rsidRPr="004E6649" w:rsidRDefault="001B6918" w:rsidP="00730ECF">
            <w:pPr>
              <w:jc w:val="right"/>
              <w:rPr>
                <w:rFonts w:eastAsia="Times New Roman" w:cstheme="minorHAnsi"/>
                <w:color w:val="0D0D0D"/>
                <w:sz w:val="20"/>
                <w:szCs w:val="20"/>
              </w:rPr>
            </w:pPr>
            <w:r w:rsidRPr="00935FD2">
              <w:rPr>
                <w:rFonts w:eastAsia="Times New Roman" w:cstheme="minorHAnsi"/>
                <w:sz w:val="20"/>
                <w:szCs w:val="20"/>
              </w:rPr>
              <w:t>$     -</w:t>
            </w:r>
          </w:p>
        </w:tc>
        <w:tc>
          <w:tcPr>
            <w:tcW w:w="1636" w:type="dxa"/>
            <w:tcBorders>
              <w:top w:val="single" w:sz="12" w:space="0" w:color="000000" w:themeColor="text1"/>
              <w:left w:val="nil"/>
              <w:bottom w:val="nil"/>
              <w:right w:val="nil"/>
            </w:tcBorders>
            <w:shd w:val="clear" w:color="auto" w:fill="F2F2F2" w:themeFill="background1" w:themeFillShade="F2"/>
            <w:noWrap/>
            <w:vAlign w:val="bottom"/>
            <w:hideMark/>
          </w:tcPr>
          <w:p w14:paraId="2ED0AE15" w14:textId="77777777" w:rsidR="001B6918" w:rsidRPr="004E6649" w:rsidRDefault="001B6918" w:rsidP="00730ECF">
            <w:pPr>
              <w:jc w:val="right"/>
              <w:rPr>
                <w:rFonts w:eastAsia="Times New Roman" w:cstheme="minorHAnsi"/>
                <w:color w:val="0D0D0D"/>
                <w:sz w:val="20"/>
                <w:szCs w:val="20"/>
              </w:rPr>
            </w:pPr>
            <w:r w:rsidRPr="00935FD2">
              <w:rPr>
                <w:rFonts w:eastAsia="Times New Roman" w:cstheme="minorHAnsi"/>
                <w:sz w:val="20"/>
                <w:szCs w:val="20"/>
              </w:rPr>
              <w:t>$  3,487</w:t>
            </w:r>
          </w:p>
        </w:tc>
      </w:tr>
      <w:tr w:rsidR="001B6918" w:rsidRPr="004E6649" w14:paraId="4EE62B7C" w14:textId="77777777" w:rsidTr="00730ECF">
        <w:trPr>
          <w:trHeight w:val="80"/>
          <w:jc w:val="center"/>
        </w:trPr>
        <w:tc>
          <w:tcPr>
            <w:tcW w:w="3690" w:type="dxa"/>
            <w:tcBorders>
              <w:top w:val="nil"/>
              <w:left w:val="nil"/>
              <w:bottom w:val="nil"/>
              <w:right w:val="nil"/>
            </w:tcBorders>
            <w:noWrap/>
            <w:vAlign w:val="bottom"/>
            <w:hideMark/>
          </w:tcPr>
          <w:p w14:paraId="720EC5AC" w14:textId="77777777" w:rsidR="001B6918" w:rsidRPr="004E6649" w:rsidRDefault="001B6918" w:rsidP="00730ECF">
            <w:pPr>
              <w:rPr>
                <w:rFonts w:eastAsia="Times New Roman" w:cstheme="minorHAnsi"/>
                <w:color w:val="0D0D0D"/>
                <w:sz w:val="20"/>
                <w:szCs w:val="20"/>
              </w:rPr>
            </w:pPr>
            <w:r w:rsidRPr="004E6649">
              <w:rPr>
                <w:rFonts w:eastAsia="Times New Roman" w:cstheme="minorHAnsi"/>
                <w:color w:val="0D0D0D"/>
                <w:sz w:val="20"/>
                <w:szCs w:val="20"/>
              </w:rPr>
              <w:t>Nursing loans</w:t>
            </w:r>
          </w:p>
        </w:tc>
        <w:tc>
          <w:tcPr>
            <w:tcW w:w="932" w:type="dxa"/>
            <w:tcBorders>
              <w:top w:val="nil"/>
              <w:left w:val="nil"/>
              <w:bottom w:val="nil"/>
              <w:right w:val="nil"/>
            </w:tcBorders>
            <w:noWrap/>
            <w:hideMark/>
          </w:tcPr>
          <w:p w14:paraId="3BC241E2" w14:textId="77777777" w:rsidR="001B6918" w:rsidRPr="00161813" w:rsidRDefault="001B6918" w:rsidP="00730ECF">
            <w:pPr>
              <w:jc w:val="right"/>
              <w:rPr>
                <w:rFonts w:eastAsia="Times New Roman" w:cstheme="minorHAnsi"/>
                <w:sz w:val="20"/>
                <w:szCs w:val="20"/>
              </w:rPr>
            </w:pPr>
            <w:r w:rsidRPr="00161813">
              <w:rPr>
                <w:rFonts w:eastAsia="Times New Roman" w:cstheme="minorHAnsi"/>
                <w:sz w:val="20"/>
                <w:szCs w:val="20"/>
              </w:rPr>
              <w:t xml:space="preserve"> 1,737 </w:t>
            </w:r>
          </w:p>
        </w:tc>
        <w:tc>
          <w:tcPr>
            <w:tcW w:w="981" w:type="dxa"/>
            <w:tcBorders>
              <w:top w:val="nil"/>
              <w:left w:val="nil"/>
              <w:bottom w:val="nil"/>
              <w:right w:val="nil"/>
            </w:tcBorders>
            <w:noWrap/>
            <w:hideMark/>
          </w:tcPr>
          <w:p w14:paraId="2666523F" w14:textId="77777777" w:rsidR="001B6918" w:rsidRPr="00161813" w:rsidRDefault="001B6918" w:rsidP="00730ECF">
            <w:pPr>
              <w:jc w:val="right"/>
              <w:rPr>
                <w:rFonts w:eastAsia="Times New Roman" w:cstheme="minorHAnsi"/>
                <w:sz w:val="20"/>
                <w:szCs w:val="20"/>
              </w:rPr>
            </w:pPr>
            <w:r w:rsidRPr="00161813">
              <w:rPr>
                <w:rFonts w:eastAsia="Times New Roman" w:cstheme="minorHAnsi"/>
                <w:sz w:val="20"/>
                <w:szCs w:val="20"/>
              </w:rPr>
              <w:t xml:space="preserve"> - </w:t>
            </w:r>
          </w:p>
        </w:tc>
        <w:tc>
          <w:tcPr>
            <w:tcW w:w="1237" w:type="dxa"/>
            <w:tcBorders>
              <w:top w:val="nil"/>
              <w:left w:val="nil"/>
              <w:bottom w:val="nil"/>
              <w:right w:val="nil"/>
            </w:tcBorders>
            <w:noWrap/>
            <w:hideMark/>
          </w:tcPr>
          <w:p w14:paraId="3E6DF7E1" w14:textId="77777777" w:rsidR="001B6918" w:rsidRPr="00161813" w:rsidRDefault="001B6918" w:rsidP="00730ECF">
            <w:pPr>
              <w:jc w:val="right"/>
              <w:rPr>
                <w:rFonts w:eastAsia="Times New Roman" w:cstheme="minorHAnsi"/>
                <w:sz w:val="20"/>
                <w:szCs w:val="20"/>
              </w:rPr>
            </w:pPr>
            <w:r w:rsidRPr="00161813">
              <w:rPr>
                <w:rFonts w:eastAsia="Times New Roman" w:cstheme="minorHAnsi"/>
                <w:sz w:val="20"/>
                <w:szCs w:val="20"/>
              </w:rPr>
              <w:t xml:space="preserve"> 1,737 </w:t>
            </w:r>
          </w:p>
        </w:tc>
        <w:tc>
          <w:tcPr>
            <w:tcW w:w="1080" w:type="dxa"/>
            <w:tcBorders>
              <w:top w:val="nil"/>
              <w:left w:val="nil"/>
              <w:bottom w:val="nil"/>
              <w:right w:val="nil"/>
            </w:tcBorders>
            <w:shd w:val="clear" w:color="auto" w:fill="F2F2F2" w:themeFill="background1" w:themeFillShade="F2"/>
            <w:noWrap/>
            <w:vAlign w:val="bottom"/>
            <w:hideMark/>
          </w:tcPr>
          <w:p w14:paraId="1BCB4709" w14:textId="77777777" w:rsidR="001B6918" w:rsidRPr="004E6649" w:rsidRDefault="001B6918" w:rsidP="00730ECF">
            <w:pPr>
              <w:jc w:val="right"/>
              <w:rPr>
                <w:rFonts w:eastAsia="Times New Roman" w:cstheme="minorHAnsi"/>
                <w:color w:val="0D0D0D"/>
                <w:sz w:val="20"/>
                <w:szCs w:val="20"/>
              </w:rPr>
            </w:pPr>
            <w:r>
              <w:rPr>
                <w:rFonts w:eastAsia="Times New Roman" w:cstheme="minorHAnsi"/>
                <w:color w:val="0D0D0D"/>
                <w:sz w:val="20"/>
                <w:szCs w:val="20"/>
              </w:rPr>
              <w:t>1,930</w:t>
            </w:r>
          </w:p>
        </w:tc>
        <w:tc>
          <w:tcPr>
            <w:tcW w:w="1080" w:type="dxa"/>
            <w:tcBorders>
              <w:top w:val="nil"/>
              <w:left w:val="nil"/>
              <w:bottom w:val="nil"/>
              <w:right w:val="nil"/>
            </w:tcBorders>
            <w:shd w:val="clear" w:color="auto" w:fill="F2F2F2" w:themeFill="background1" w:themeFillShade="F2"/>
            <w:noWrap/>
            <w:vAlign w:val="bottom"/>
            <w:hideMark/>
          </w:tcPr>
          <w:p w14:paraId="6070E502" w14:textId="77777777" w:rsidR="001B6918" w:rsidRPr="004E6649" w:rsidRDefault="001B6918" w:rsidP="00730ECF">
            <w:pPr>
              <w:jc w:val="right"/>
              <w:rPr>
                <w:rFonts w:eastAsia="Times New Roman" w:cstheme="minorHAnsi"/>
                <w:color w:val="0D0D0D"/>
                <w:sz w:val="20"/>
                <w:szCs w:val="20"/>
              </w:rPr>
            </w:pPr>
            <w:r w:rsidRPr="004E6649">
              <w:rPr>
                <w:rFonts w:eastAsia="Times New Roman" w:cstheme="minorHAnsi"/>
                <w:color w:val="000000" w:themeColor="text1"/>
                <w:sz w:val="20"/>
                <w:szCs w:val="20"/>
              </w:rPr>
              <w:t>-</w:t>
            </w:r>
          </w:p>
        </w:tc>
        <w:tc>
          <w:tcPr>
            <w:tcW w:w="1636" w:type="dxa"/>
            <w:tcBorders>
              <w:top w:val="nil"/>
              <w:left w:val="nil"/>
              <w:bottom w:val="nil"/>
              <w:right w:val="nil"/>
            </w:tcBorders>
            <w:shd w:val="clear" w:color="auto" w:fill="F2F2F2" w:themeFill="background1" w:themeFillShade="F2"/>
            <w:noWrap/>
            <w:vAlign w:val="bottom"/>
            <w:hideMark/>
          </w:tcPr>
          <w:p w14:paraId="660E552A" w14:textId="77777777" w:rsidR="001B6918" w:rsidRPr="004E6649" w:rsidRDefault="001B6918" w:rsidP="00730ECF">
            <w:pPr>
              <w:jc w:val="right"/>
              <w:rPr>
                <w:rFonts w:eastAsia="Times New Roman" w:cstheme="minorHAnsi"/>
                <w:color w:val="0D0D0D"/>
                <w:sz w:val="20"/>
                <w:szCs w:val="20"/>
              </w:rPr>
            </w:pPr>
            <w:r>
              <w:rPr>
                <w:rFonts w:eastAsia="Times New Roman" w:cstheme="minorHAnsi"/>
                <w:color w:val="0D0D0D"/>
                <w:sz w:val="20"/>
                <w:szCs w:val="20"/>
              </w:rPr>
              <w:t>1,930</w:t>
            </w:r>
          </w:p>
        </w:tc>
      </w:tr>
      <w:tr w:rsidR="001B6918" w:rsidRPr="004E6649" w14:paraId="449E9F43" w14:textId="77777777" w:rsidTr="00730ECF">
        <w:trPr>
          <w:trHeight w:val="162"/>
          <w:jc w:val="center"/>
        </w:trPr>
        <w:tc>
          <w:tcPr>
            <w:tcW w:w="3690" w:type="dxa"/>
            <w:tcBorders>
              <w:top w:val="nil"/>
              <w:left w:val="nil"/>
              <w:right w:val="nil"/>
            </w:tcBorders>
            <w:noWrap/>
            <w:vAlign w:val="bottom"/>
            <w:hideMark/>
          </w:tcPr>
          <w:p w14:paraId="6F1F1E38" w14:textId="77777777" w:rsidR="001B6918" w:rsidRPr="004E6649" w:rsidRDefault="001B6918" w:rsidP="00730ECF">
            <w:pPr>
              <w:rPr>
                <w:rFonts w:eastAsia="Times New Roman" w:cstheme="minorHAnsi"/>
                <w:color w:val="0D0D0D"/>
                <w:sz w:val="20"/>
                <w:szCs w:val="20"/>
              </w:rPr>
            </w:pPr>
            <w:r w:rsidRPr="004E6649">
              <w:rPr>
                <w:rFonts w:eastAsia="Times New Roman" w:cstheme="minorHAnsi"/>
                <w:color w:val="0D0D0D"/>
                <w:sz w:val="20"/>
                <w:szCs w:val="20"/>
              </w:rPr>
              <w:t>Institutional loans</w:t>
            </w:r>
          </w:p>
        </w:tc>
        <w:tc>
          <w:tcPr>
            <w:tcW w:w="932" w:type="dxa"/>
            <w:tcBorders>
              <w:top w:val="nil"/>
              <w:left w:val="nil"/>
              <w:right w:val="nil"/>
            </w:tcBorders>
            <w:noWrap/>
            <w:hideMark/>
          </w:tcPr>
          <w:p w14:paraId="17D732F2" w14:textId="77777777" w:rsidR="001B6918" w:rsidRPr="00161813" w:rsidRDefault="001B6918" w:rsidP="00730ECF">
            <w:pPr>
              <w:jc w:val="right"/>
              <w:rPr>
                <w:rFonts w:eastAsia="Times New Roman" w:cstheme="minorHAnsi"/>
                <w:sz w:val="20"/>
                <w:szCs w:val="20"/>
              </w:rPr>
            </w:pPr>
            <w:r w:rsidRPr="00161813">
              <w:rPr>
                <w:rFonts w:eastAsia="Times New Roman" w:cstheme="minorHAnsi"/>
                <w:sz w:val="20"/>
                <w:szCs w:val="20"/>
              </w:rPr>
              <w:t xml:space="preserve"> 12,694 </w:t>
            </w:r>
          </w:p>
        </w:tc>
        <w:tc>
          <w:tcPr>
            <w:tcW w:w="981" w:type="dxa"/>
            <w:tcBorders>
              <w:top w:val="nil"/>
              <w:left w:val="nil"/>
              <w:right w:val="nil"/>
            </w:tcBorders>
            <w:noWrap/>
            <w:hideMark/>
          </w:tcPr>
          <w:p w14:paraId="35CA3745" w14:textId="77777777" w:rsidR="001B6918" w:rsidRPr="00161813" w:rsidRDefault="001B6918" w:rsidP="00730ECF">
            <w:pPr>
              <w:jc w:val="right"/>
              <w:rPr>
                <w:rFonts w:eastAsia="Times New Roman" w:cstheme="minorHAnsi"/>
                <w:sz w:val="20"/>
                <w:szCs w:val="20"/>
              </w:rPr>
            </w:pPr>
            <w:r w:rsidRPr="00161813">
              <w:rPr>
                <w:rFonts w:eastAsia="Times New Roman" w:cstheme="minorHAnsi"/>
                <w:sz w:val="20"/>
                <w:szCs w:val="20"/>
              </w:rPr>
              <w:t xml:space="preserve"> - </w:t>
            </w:r>
          </w:p>
        </w:tc>
        <w:tc>
          <w:tcPr>
            <w:tcW w:w="1237" w:type="dxa"/>
            <w:tcBorders>
              <w:top w:val="nil"/>
              <w:left w:val="nil"/>
              <w:right w:val="nil"/>
            </w:tcBorders>
            <w:noWrap/>
            <w:hideMark/>
          </w:tcPr>
          <w:p w14:paraId="29B7253D" w14:textId="77777777" w:rsidR="001B6918" w:rsidRPr="00161813" w:rsidRDefault="001B6918" w:rsidP="00730ECF">
            <w:pPr>
              <w:jc w:val="right"/>
              <w:rPr>
                <w:rFonts w:eastAsia="Times New Roman" w:cstheme="minorHAnsi"/>
                <w:sz w:val="20"/>
                <w:szCs w:val="20"/>
              </w:rPr>
            </w:pPr>
            <w:r w:rsidRPr="00161813">
              <w:rPr>
                <w:rFonts w:eastAsia="Times New Roman" w:cstheme="minorHAnsi"/>
                <w:sz w:val="20"/>
                <w:szCs w:val="20"/>
              </w:rPr>
              <w:t xml:space="preserve"> 12,694 </w:t>
            </w:r>
          </w:p>
        </w:tc>
        <w:tc>
          <w:tcPr>
            <w:tcW w:w="1080" w:type="dxa"/>
            <w:tcBorders>
              <w:top w:val="nil"/>
              <w:left w:val="nil"/>
              <w:right w:val="nil"/>
            </w:tcBorders>
            <w:shd w:val="clear" w:color="auto" w:fill="F2F2F2" w:themeFill="background1" w:themeFillShade="F2"/>
            <w:noWrap/>
            <w:vAlign w:val="bottom"/>
            <w:hideMark/>
          </w:tcPr>
          <w:p w14:paraId="721C6076" w14:textId="77777777" w:rsidR="001B6918" w:rsidRPr="004E6649" w:rsidRDefault="001B6918" w:rsidP="00730ECF">
            <w:pPr>
              <w:jc w:val="right"/>
              <w:rPr>
                <w:rFonts w:eastAsia="Times New Roman" w:cstheme="minorHAnsi"/>
                <w:color w:val="0D0D0D"/>
                <w:sz w:val="20"/>
                <w:szCs w:val="20"/>
              </w:rPr>
            </w:pPr>
            <w:r w:rsidRPr="004E6649">
              <w:rPr>
                <w:rFonts w:eastAsia="Times New Roman" w:cstheme="minorHAnsi"/>
                <w:color w:val="0D0D0D"/>
                <w:sz w:val="20"/>
                <w:szCs w:val="20"/>
              </w:rPr>
              <w:t>11,</w:t>
            </w:r>
            <w:r>
              <w:rPr>
                <w:rFonts w:eastAsia="Times New Roman" w:cstheme="minorHAnsi"/>
                <w:color w:val="0D0D0D"/>
                <w:sz w:val="20"/>
                <w:szCs w:val="20"/>
              </w:rPr>
              <w:t>936</w:t>
            </w:r>
          </w:p>
        </w:tc>
        <w:tc>
          <w:tcPr>
            <w:tcW w:w="1080" w:type="dxa"/>
            <w:tcBorders>
              <w:top w:val="nil"/>
              <w:left w:val="nil"/>
              <w:right w:val="nil"/>
            </w:tcBorders>
            <w:shd w:val="clear" w:color="auto" w:fill="F2F2F2" w:themeFill="background1" w:themeFillShade="F2"/>
            <w:noWrap/>
            <w:vAlign w:val="bottom"/>
            <w:hideMark/>
          </w:tcPr>
          <w:p w14:paraId="45AD7DC3" w14:textId="77777777" w:rsidR="001B6918" w:rsidRPr="004E6649" w:rsidRDefault="001B6918" w:rsidP="00730ECF">
            <w:pPr>
              <w:jc w:val="right"/>
              <w:rPr>
                <w:rFonts w:eastAsia="Times New Roman" w:cstheme="minorHAnsi"/>
                <w:color w:val="0D0D0D"/>
                <w:sz w:val="20"/>
                <w:szCs w:val="20"/>
              </w:rPr>
            </w:pPr>
            <w:r w:rsidRPr="004E6649">
              <w:rPr>
                <w:rFonts w:eastAsia="Times New Roman" w:cstheme="minorHAnsi"/>
                <w:color w:val="000000" w:themeColor="text1"/>
                <w:sz w:val="20"/>
                <w:szCs w:val="20"/>
              </w:rPr>
              <w:t>-</w:t>
            </w:r>
          </w:p>
        </w:tc>
        <w:tc>
          <w:tcPr>
            <w:tcW w:w="1636" w:type="dxa"/>
            <w:tcBorders>
              <w:top w:val="nil"/>
              <w:left w:val="nil"/>
              <w:right w:val="nil"/>
            </w:tcBorders>
            <w:shd w:val="clear" w:color="auto" w:fill="F2F2F2" w:themeFill="background1" w:themeFillShade="F2"/>
            <w:noWrap/>
            <w:vAlign w:val="bottom"/>
            <w:hideMark/>
          </w:tcPr>
          <w:p w14:paraId="2BBE7516" w14:textId="77777777" w:rsidR="001B6918" w:rsidRPr="004E6649" w:rsidRDefault="001B6918" w:rsidP="00730ECF">
            <w:pPr>
              <w:jc w:val="right"/>
              <w:rPr>
                <w:rFonts w:eastAsia="Times New Roman" w:cstheme="minorHAnsi"/>
                <w:color w:val="0D0D0D"/>
                <w:sz w:val="20"/>
                <w:szCs w:val="20"/>
              </w:rPr>
            </w:pPr>
            <w:r w:rsidRPr="004E6649">
              <w:rPr>
                <w:rFonts w:eastAsia="Times New Roman" w:cstheme="minorHAnsi"/>
                <w:color w:val="000000"/>
                <w:sz w:val="20"/>
                <w:szCs w:val="20"/>
              </w:rPr>
              <w:t>11,</w:t>
            </w:r>
            <w:r>
              <w:rPr>
                <w:rFonts w:eastAsia="Times New Roman" w:cstheme="minorHAnsi"/>
                <w:color w:val="000000"/>
                <w:sz w:val="20"/>
                <w:szCs w:val="20"/>
              </w:rPr>
              <w:t>936</w:t>
            </w:r>
          </w:p>
        </w:tc>
      </w:tr>
      <w:tr w:rsidR="001B6918" w:rsidRPr="004E6649" w14:paraId="279C962C" w14:textId="77777777" w:rsidTr="00730ECF">
        <w:trPr>
          <w:trHeight w:val="90"/>
          <w:jc w:val="center"/>
        </w:trPr>
        <w:tc>
          <w:tcPr>
            <w:tcW w:w="3690" w:type="dxa"/>
            <w:tcBorders>
              <w:top w:val="nil"/>
              <w:left w:val="nil"/>
              <w:right w:val="nil"/>
            </w:tcBorders>
            <w:noWrap/>
            <w:vAlign w:val="bottom"/>
            <w:hideMark/>
          </w:tcPr>
          <w:p w14:paraId="1450B81E" w14:textId="77777777" w:rsidR="001B6918" w:rsidRPr="00935FD2" w:rsidRDefault="001B6918" w:rsidP="00730ECF">
            <w:pPr>
              <w:rPr>
                <w:rFonts w:eastAsia="Times New Roman" w:cstheme="minorHAnsi"/>
                <w:color w:val="0D0D0D"/>
                <w:sz w:val="20"/>
                <w:szCs w:val="20"/>
              </w:rPr>
            </w:pPr>
            <w:r w:rsidRPr="00935FD2">
              <w:rPr>
                <w:rFonts w:eastAsia="Times New Roman" w:cstheme="minorHAnsi"/>
                <w:color w:val="0D0D0D"/>
                <w:sz w:val="20"/>
                <w:szCs w:val="20"/>
              </w:rPr>
              <w:t xml:space="preserve">Leases receivable </w:t>
            </w:r>
            <w:r w:rsidRPr="00935FD2">
              <w:rPr>
                <w:rFonts w:eastAsia="Times New Roman" w:cstheme="minorHAnsi"/>
                <w:b/>
                <w:bCs/>
                <w:color w:val="0D0D0D"/>
                <w:sz w:val="20"/>
                <w:szCs w:val="20"/>
              </w:rPr>
              <w:t>(a)</w:t>
            </w:r>
          </w:p>
        </w:tc>
        <w:tc>
          <w:tcPr>
            <w:tcW w:w="932" w:type="dxa"/>
            <w:tcBorders>
              <w:top w:val="nil"/>
              <w:left w:val="nil"/>
              <w:right w:val="nil"/>
            </w:tcBorders>
            <w:noWrap/>
            <w:hideMark/>
          </w:tcPr>
          <w:p w14:paraId="77B40427" w14:textId="77777777" w:rsidR="001B6918" w:rsidRPr="00161813" w:rsidRDefault="001B6918" w:rsidP="00730ECF">
            <w:pPr>
              <w:jc w:val="right"/>
              <w:rPr>
                <w:rFonts w:eastAsia="Times New Roman" w:cstheme="minorHAnsi"/>
                <w:sz w:val="20"/>
                <w:szCs w:val="20"/>
              </w:rPr>
            </w:pPr>
            <w:r w:rsidRPr="00161813">
              <w:rPr>
                <w:rFonts w:eastAsia="Times New Roman" w:cstheme="minorHAnsi"/>
                <w:sz w:val="20"/>
                <w:szCs w:val="20"/>
              </w:rPr>
              <w:t xml:space="preserve"> 3,148 </w:t>
            </w:r>
          </w:p>
        </w:tc>
        <w:tc>
          <w:tcPr>
            <w:tcW w:w="981" w:type="dxa"/>
            <w:tcBorders>
              <w:top w:val="nil"/>
              <w:left w:val="nil"/>
              <w:right w:val="nil"/>
            </w:tcBorders>
            <w:noWrap/>
            <w:hideMark/>
          </w:tcPr>
          <w:p w14:paraId="50104148" w14:textId="77777777" w:rsidR="001B6918" w:rsidRPr="00161813" w:rsidRDefault="001B6918" w:rsidP="00730ECF">
            <w:pPr>
              <w:jc w:val="right"/>
              <w:rPr>
                <w:rFonts w:eastAsia="Times New Roman" w:cstheme="minorHAnsi"/>
                <w:sz w:val="20"/>
                <w:szCs w:val="20"/>
              </w:rPr>
            </w:pPr>
            <w:r w:rsidRPr="00161813">
              <w:rPr>
                <w:rFonts w:eastAsia="Times New Roman" w:cstheme="minorHAnsi"/>
                <w:sz w:val="20"/>
                <w:szCs w:val="20"/>
              </w:rPr>
              <w:t xml:space="preserve"> 288 </w:t>
            </w:r>
          </w:p>
        </w:tc>
        <w:tc>
          <w:tcPr>
            <w:tcW w:w="1237" w:type="dxa"/>
            <w:tcBorders>
              <w:top w:val="nil"/>
              <w:left w:val="nil"/>
              <w:right w:val="nil"/>
            </w:tcBorders>
            <w:noWrap/>
            <w:hideMark/>
          </w:tcPr>
          <w:p w14:paraId="1AA53D67" w14:textId="77777777" w:rsidR="001B6918" w:rsidRPr="00161813" w:rsidRDefault="001B6918" w:rsidP="00730ECF">
            <w:pPr>
              <w:jc w:val="right"/>
              <w:rPr>
                <w:rFonts w:eastAsia="Times New Roman" w:cstheme="minorHAnsi"/>
                <w:sz w:val="20"/>
                <w:szCs w:val="20"/>
              </w:rPr>
            </w:pPr>
            <w:r w:rsidRPr="00161813">
              <w:rPr>
                <w:rFonts w:eastAsia="Times New Roman" w:cstheme="minorHAnsi"/>
                <w:sz w:val="20"/>
                <w:szCs w:val="20"/>
              </w:rPr>
              <w:t xml:space="preserve"> 2,860 </w:t>
            </w:r>
          </w:p>
        </w:tc>
        <w:tc>
          <w:tcPr>
            <w:tcW w:w="1080" w:type="dxa"/>
            <w:tcBorders>
              <w:top w:val="nil"/>
              <w:left w:val="nil"/>
              <w:right w:val="nil"/>
            </w:tcBorders>
            <w:shd w:val="clear" w:color="auto" w:fill="F2F2F2" w:themeFill="background1" w:themeFillShade="F2"/>
            <w:noWrap/>
            <w:vAlign w:val="bottom"/>
            <w:hideMark/>
          </w:tcPr>
          <w:p w14:paraId="50314E84" w14:textId="77777777" w:rsidR="001B6918" w:rsidRPr="004E6649" w:rsidRDefault="001B6918" w:rsidP="00730ECF">
            <w:pPr>
              <w:jc w:val="right"/>
              <w:rPr>
                <w:rFonts w:eastAsia="Times New Roman" w:cstheme="minorHAnsi"/>
                <w:color w:val="0D0D0D"/>
                <w:sz w:val="20"/>
                <w:szCs w:val="20"/>
              </w:rPr>
            </w:pPr>
            <w:r w:rsidRPr="004E6649">
              <w:rPr>
                <w:rFonts w:eastAsia="Times New Roman" w:cstheme="minorHAnsi"/>
                <w:sz w:val="20"/>
                <w:szCs w:val="20"/>
              </w:rPr>
              <w:t>3,</w:t>
            </w:r>
            <w:r>
              <w:rPr>
                <w:rFonts w:eastAsia="Times New Roman" w:cstheme="minorHAnsi"/>
                <w:sz w:val="20"/>
                <w:szCs w:val="20"/>
              </w:rPr>
              <w:t>442</w:t>
            </w:r>
          </w:p>
        </w:tc>
        <w:tc>
          <w:tcPr>
            <w:tcW w:w="1080" w:type="dxa"/>
            <w:tcBorders>
              <w:top w:val="nil"/>
              <w:left w:val="nil"/>
              <w:right w:val="nil"/>
            </w:tcBorders>
            <w:shd w:val="clear" w:color="auto" w:fill="F2F2F2" w:themeFill="background1" w:themeFillShade="F2"/>
            <w:noWrap/>
            <w:vAlign w:val="bottom"/>
            <w:hideMark/>
          </w:tcPr>
          <w:p w14:paraId="0E9DFD57" w14:textId="77777777" w:rsidR="001B6918" w:rsidRPr="004E6649" w:rsidRDefault="001B6918" w:rsidP="00730ECF">
            <w:pPr>
              <w:jc w:val="right"/>
              <w:rPr>
                <w:rFonts w:eastAsia="Times New Roman" w:cstheme="minorHAnsi"/>
                <w:color w:val="0D0D0D"/>
                <w:sz w:val="20"/>
                <w:szCs w:val="20"/>
              </w:rPr>
            </w:pPr>
            <w:r>
              <w:rPr>
                <w:rFonts w:eastAsia="Times New Roman" w:cstheme="minorHAnsi"/>
                <w:color w:val="000000" w:themeColor="text1"/>
                <w:sz w:val="20"/>
                <w:szCs w:val="20"/>
              </w:rPr>
              <w:t>294</w:t>
            </w:r>
          </w:p>
        </w:tc>
        <w:tc>
          <w:tcPr>
            <w:tcW w:w="1636" w:type="dxa"/>
            <w:tcBorders>
              <w:top w:val="nil"/>
              <w:left w:val="nil"/>
              <w:right w:val="nil"/>
            </w:tcBorders>
            <w:shd w:val="clear" w:color="auto" w:fill="F2F2F2" w:themeFill="background1" w:themeFillShade="F2"/>
            <w:noWrap/>
            <w:vAlign w:val="bottom"/>
            <w:hideMark/>
          </w:tcPr>
          <w:p w14:paraId="5E0CAED9" w14:textId="77777777" w:rsidR="001B6918" w:rsidRPr="004E6649" w:rsidRDefault="001B6918" w:rsidP="00730ECF">
            <w:pPr>
              <w:jc w:val="right"/>
              <w:rPr>
                <w:rFonts w:eastAsia="Times New Roman" w:cstheme="minorHAnsi"/>
                <w:color w:val="0D0D0D"/>
                <w:sz w:val="20"/>
                <w:szCs w:val="20"/>
              </w:rPr>
            </w:pPr>
            <w:r w:rsidRPr="004E6649">
              <w:rPr>
                <w:rFonts w:eastAsia="Times New Roman" w:cstheme="minorHAnsi"/>
                <w:color w:val="000000"/>
                <w:sz w:val="20"/>
                <w:szCs w:val="20"/>
              </w:rPr>
              <w:t>3,</w:t>
            </w:r>
            <w:r>
              <w:rPr>
                <w:rFonts w:eastAsia="Times New Roman" w:cstheme="minorHAnsi"/>
                <w:color w:val="000000"/>
                <w:sz w:val="20"/>
                <w:szCs w:val="20"/>
              </w:rPr>
              <w:t>148</w:t>
            </w:r>
          </w:p>
        </w:tc>
      </w:tr>
      <w:tr w:rsidR="001B6918" w:rsidRPr="004E6649" w14:paraId="6003588D" w14:textId="77777777" w:rsidTr="00730ECF">
        <w:trPr>
          <w:trHeight w:val="90"/>
          <w:jc w:val="center"/>
        </w:trPr>
        <w:tc>
          <w:tcPr>
            <w:tcW w:w="3690" w:type="dxa"/>
            <w:tcBorders>
              <w:left w:val="nil"/>
              <w:bottom w:val="single" w:sz="8" w:space="0" w:color="000000" w:themeColor="text1"/>
              <w:right w:val="nil"/>
            </w:tcBorders>
            <w:noWrap/>
            <w:vAlign w:val="bottom"/>
          </w:tcPr>
          <w:p w14:paraId="3D39D992" w14:textId="77777777" w:rsidR="001B6918" w:rsidRPr="00935FD2" w:rsidRDefault="001B6918" w:rsidP="00730ECF">
            <w:pPr>
              <w:rPr>
                <w:rFonts w:eastAsia="Times New Roman" w:cstheme="minorHAnsi"/>
                <w:color w:val="0D0D0D"/>
                <w:sz w:val="20"/>
                <w:szCs w:val="20"/>
              </w:rPr>
            </w:pPr>
            <w:r w:rsidRPr="00935FD2">
              <w:rPr>
                <w:rFonts w:eastAsia="Times New Roman" w:cstheme="minorHAnsi"/>
                <w:color w:val="0D0D0D"/>
                <w:sz w:val="20"/>
                <w:szCs w:val="20"/>
              </w:rPr>
              <w:t xml:space="preserve">PPP installment payment receivable </w:t>
            </w:r>
            <w:r w:rsidRPr="00935FD2">
              <w:rPr>
                <w:rFonts w:eastAsia="Times New Roman" w:cstheme="minorHAnsi"/>
                <w:b/>
                <w:color w:val="0D0D0D"/>
                <w:sz w:val="20"/>
                <w:szCs w:val="20"/>
              </w:rPr>
              <w:t>(b)</w:t>
            </w:r>
          </w:p>
        </w:tc>
        <w:tc>
          <w:tcPr>
            <w:tcW w:w="932" w:type="dxa"/>
            <w:tcBorders>
              <w:left w:val="nil"/>
              <w:bottom w:val="single" w:sz="8" w:space="0" w:color="000000" w:themeColor="text1"/>
              <w:right w:val="nil"/>
            </w:tcBorders>
            <w:noWrap/>
          </w:tcPr>
          <w:p w14:paraId="6F5C89BB" w14:textId="77777777" w:rsidR="001B6918" w:rsidRPr="00161813" w:rsidRDefault="001B6918" w:rsidP="00730ECF">
            <w:pPr>
              <w:jc w:val="right"/>
              <w:rPr>
                <w:rFonts w:eastAsia="Times New Roman" w:cstheme="minorHAnsi"/>
                <w:sz w:val="20"/>
                <w:szCs w:val="20"/>
              </w:rPr>
            </w:pPr>
            <w:r w:rsidRPr="00161813">
              <w:rPr>
                <w:rFonts w:eastAsia="Times New Roman" w:cstheme="minorHAnsi"/>
                <w:sz w:val="20"/>
                <w:szCs w:val="20"/>
              </w:rPr>
              <w:t xml:space="preserve"> 5,856 </w:t>
            </w:r>
          </w:p>
        </w:tc>
        <w:tc>
          <w:tcPr>
            <w:tcW w:w="981" w:type="dxa"/>
            <w:tcBorders>
              <w:left w:val="nil"/>
              <w:bottom w:val="single" w:sz="8" w:space="0" w:color="000000" w:themeColor="text1"/>
              <w:right w:val="nil"/>
            </w:tcBorders>
            <w:noWrap/>
          </w:tcPr>
          <w:p w14:paraId="4C1CC704" w14:textId="77777777" w:rsidR="001B6918" w:rsidRPr="00161813" w:rsidRDefault="001B6918" w:rsidP="00730ECF">
            <w:pPr>
              <w:jc w:val="right"/>
              <w:rPr>
                <w:rFonts w:eastAsia="Times New Roman" w:cstheme="minorHAnsi"/>
                <w:sz w:val="20"/>
                <w:szCs w:val="20"/>
              </w:rPr>
            </w:pPr>
            <w:r w:rsidRPr="00161813">
              <w:rPr>
                <w:rFonts w:eastAsia="Times New Roman" w:cstheme="minorHAnsi"/>
                <w:sz w:val="20"/>
                <w:szCs w:val="20"/>
              </w:rPr>
              <w:t xml:space="preserve"> 6 </w:t>
            </w:r>
          </w:p>
        </w:tc>
        <w:tc>
          <w:tcPr>
            <w:tcW w:w="1237" w:type="dxa"/>
            <w:tcBorders>
              <w:left w:val="nil"/>
              <w:bottom w:val="single" w:sz="8" w:space="0" w:color="000000" w:themeColor="text1"/>
              <w:right w:val="nil"/>
            </w:tcBorders>
            <w:noWrap/>
          </w:tcPr>
          <w:p w14:paraId="070BB681" w14:textId="77777777" w:rsidR="001B6918" w:rsidRPr="00161813" w:rsidRDefault="001B6918" w:rsidP="00730ECF">
            <w:pPr>
              <w:jc w:val="right"/>
              <w:rPr>
                <w:rFonts w:eastAsia="Times New Roman" w:cstheme="minorHAnsi"/>
                <w:sz w:val="20"/>
                <w:szCs w:val="20"/>
              </w:rPr>
            </w:pPr>
            <w:r w:rsidRPr="00161813">
              <w:rPr>
                <w:rFonts w:eastAsia="Times New Roman" w:cstheme="minorHAnsi"/>
                <w:sz w:val="20"/>
                <w:szCs w:val="20"/>
              </w:rPr>
              <w:t xml:space="preserve"> 5,850 </w:t>
            </w:r>
          </w:p>
        </w:tc>
        <w:tc>
          <w:tcPr>
            <w:tcW w:w="1080" w:type="dxa"/>
            <w:tcBorders>
              <w:left w:val="nil"/>
              <w:bottom w:val="single" w:sz="8" w:space="0" w:color="000000" w:themeColor="text1"/>
              <w:right w:val="nil"/>
            </w:tcBorders>
            <w:shd w:val="clear" w:color="auto" w:fill="F2F2F2" w:themeFill="background1" w:themeFillShade="F2"/>
            <w:noWrap/>
            <w:vAlign w:val="bottom"/>
          </w:tcPr>
          <w:p w14:paraId="6765225E" w14:textId="77777777" w:rsidR="001B6918" w:rsidRPr="004E6649" w:rsidRDefault="001B6918" w:rsidP="00730ECF">
            <w:pPr>
              <w:jc w:val="right"/>
              <w:rPr>
                <w:rFonts w:eastAsia="Times New Roman" w:cstheme="minorHAnsi"/>
                <w:sz w:val="20"/>
                <w:szCs w:val="20"/>
              </w:rPr>
            </w:pPr>
            <w:r w:rsidRPr="00935FD2">
              <w:rPr>
                <w:rFonts w:eastAsia="Times New Roman" w:cstheme="minorHAnsi"/>
                <w:sz w:val="20"/>
                <w:szCs w:val="20"/>
              </w:rPr>
              <w:t>5,856</w:t>
            </w:r>
          </w:p>
        </w:tc>
        <w:tc>
          <w:tcPr>
            <w:tcW w:w="1080" w:type="dxa"/>
            <w:tcBorders>
              <w:left w:val="nil"/>
              <w:bottom w:val="single" w:sz="8" w:space="0" w:color="000000" w:themeColor="text1"/>
              <w:right w:val="nil"/>
            </w:tcBorders>
            <w:shd w:val="clear" w:color="auto" w:fill="F2F2F2" w:themeFill="background1" w:themeFillShade="F2"/>
            <w:noWrap/>
            <w:vAlign w:val="bottom"/>
          </w:tcPr>
          <w:p w14:paraId="2DE45022" w14:textId="77777777" w:rsidR="001B6918" w:rsidRPr="004E6649" w:rsidRDefault="001B6918" w:rsidP="00730ECF">
            <w:pPr>
              <w:jc w:val="right"/>
              <w:rPr>
                <w:rFonts w:eastAsia="Times New Roman" w:cstheme="minorHAnsi"/>
                <w:color w:val="000000" w:themeColor="text1"/>
                <w:sz w:val="20"/>
                <w:szCs w:val="20"/>
              </w:rPr>
            </w:pPr>
            <w:r>
              <w:rPr>
                <w:rFonts w:eastAsia="Times New Roman" w:cstheme="minorHAnsi"/>
                <w:color w:val="000000" w:themeColor="text1"/>
                <w:sz w:val="20"/>
                <w:szCs w:val="20"/>
              </w:rPr>
              <w:t>-</w:t>
            </w:r>
          </w:p>
        </w:tc>
        <w:tc>
          <w:tcPr>
            <w:tcW w:w="1636" w:type="dxa"/>
            <w:tcBorders>
              <w:left w:val="nil"/>
              <w:bottom w:val="single" w:sz="8" w:space="0" w:color="000000" w:themeColor="text1"/>
              <w:right w:val="nil"/>
            </w:tcBorders>
            <w:shd w:val="clear" w:color="auto" w:fill="F2F2F2" w:themeFill="background1" w:themeFillShade="F2"/>
            <w:noWrap/>
            <w:vAlign w:val="bottom"/>
          </w:tcPr>
          <w:p w14:paraId="2AE2F5FB" w14:textId="77777777" w:rsidR="001B6918" w:rsidRPr="004E6649" w:rsidRDefault="001B6918" w:rsidP="00730ECF">
            <w:pPr>
              <w:jc w:val="right"/>
              <w:rPr>
                <w:rFonts w:eastAsia="Times New Roman" w:cstheme="minorHAnsi"/>
                <w:color w:val="000000"/>
                <w:sz w:val="20"/>
                <w:szCs w:val="20"/>
              </w:rPr>
            </w:pPr>
            <w:r w:rsidRPr="00935FD2">
              <w:rPr>
                <w:rFonts w:eastAsia="Times New Roman" w:cstheme="minorHAnsi"/>
                <w:sz w:val="20"/>
                <w:szCs w:val="20"/>
              </w:rPr>
              <w:t>5,856</w:t>
            </w:r>
          </w:p>
        </w:tc>
      </w:tr>
      <w:tr w:rsidR="001B6918" w:rsidRPr="004E6649" w14:paraId="01919005" w14:textId="77777777" w:rsidTr="00730ECF">
        <w:trPr>
          <w:trHeight w:val="107"/>
          <w:jc w:val="center"/>
        </w:trPr>
        <w:tc>
          <w:tcPr>
            <w:tcW w:w="3690" w:type="dxa"/>
            <w:tcBorders>
              <w:top w:val="single" w:sz="8" w:space="0" w:color="000000" w:themeColor="text1"/>
              <w:left w:val="nil"/>
              <w:bottom w:val="nil"/>
              <w:right w:val="nil"/>
            </w:tcBorders>
            <w:noWrap/>
            <w:vAlign w:val="bottom"/>
            <w:hideMark/>
          </w:tcPr>
          <w:p w14:paraId="7B69062A" w14:textId="77777777" w:rsidR="001B6918" w:rsidRPr="004E6649" w:rsidRDefault="001B6918" w:rsidP="00730ECF">
            <w:pPr>
              <w:rPr>
                <w:rFonts w:eastAsia="Times New Roman" w:cstheme="minorHAnsi"/>
                <w:color w:val="0D0D0D"/>
                <w:sz w:val="20"/>
                <w:szCs w:val="20"/>
              </w:rPr>
            </w:pPr>
            <w:r w:rsidRPr="004E6649">
              <w:rPr>
                <w:rFonts w:eastAsia="Times New Roman" w:cstheme="minorHAnsi"/>
                <w:color w:val="0D0D0D"/>
                <w:sz w:val="20"/>
                <w:szCs w:val="20"/>
              </w:rPr>
              <w:t>Total notes and leases receivable</w:t>
            </w:r>
          </w:p>
        </w:tc>
        <w:tc>
          <w:tcPr>
            <w:tcW w:w="932" w:type="dxa"/>
            <w:tcBorders>
              <w:top w:val="single" w:sz="8" w:space="0" w:color="000000" w:themeColor="text1"/>
              <w:left w:val="nil"/>
              <w:bottom w:val="nil"/>
              <w:right w:val="nil"/>
            </w:tcBorders>
            <w:noWrap/>
            <w:hideMark/>
          </w:tcPr>
          <w:p w14:paraId="071E7D83" w14:textId="77777777" w:rsidR="001B6918" w:rsidRPr="00161813" w:rsidRDefault="001B6918" w:rsidP="00730ECF">
            <w:pPr>
              <w:jc w:val="right"/>
              <w:rPr>
                <w:rFonts w:eastAsia="Times New Roman" w:cstheme="minorHAnsi"/>
                <w:sz w:val="20"/>
                <w:szCs w:val="20"/>
              </w:rPr>
            </w:pPr>
            <w:r w:rsidRPr="00161813">
              <w:rPr>
                <w:rFonts w:eastAsia="Times New Roman" w:cstheme="minorHAnsi"/>
                <w:sz w:val="20"/>
                <w:szCs w:val="20"/>
              </w:rPr>
              <w:t xml:space="preserve"> 25,359 </w:t>
            </w:r>
          </w:p>
        </w:tc>
        <w:tc>
          <w:tcPr>
            <w:tcW w:w="981" w:type="dxa"/>
            <w:tcBorders>
              <w:top w:val="single" w:sz="8" w:space="0" w:color="000000" w:themeColor="text1"/>
              <w:left w:val="nil"/>
              <w:bottom w:val="nil"/>
              <w:right w:val="nil"/>
            </w:tcBorders>
            <w:noWrap/>
            <w:hideMark/>
          </w:tcPr>
          <w:p w14:paraId="37C1AEA2" w14:textId="77777777" w:rsidR="001B6918" w:rsidRPr="00161813" w:rsidRDefault="001B6918" w:rsidP="00730ECF">
            <w:pPr>
              <w:jc w:val="right"/>
              <w:rPr>
                <w:rFonts w:eastAsia="Times New Roman" w:cstheme="minorHAnsi"/>
                <w:sz w:val="20"/>
                <w:szCs w:val="20"/>
              </w:rPr>
            </w:pPr>
            <w:r w:rsidRPr="00161813">
              <w:rPr>
                <w:rFonts w:eastAsia="Times New Roman" w:cstheme="minorHAnsi"/>
                <w:sz w:val="20"/>
                <w:szCs w:val="20"/>
              </w:rPr>
              <w:t xml:space="preserve"> 294 </w:t>
            </w:r>
          </w:p>
        </w:tc>
        <w:tc>
          <w:tcPr>
            <w:tcW w:w="1237" w:type="dxa"/>
            <w:tcBorders>
              <w:top w:val="single" w:sz="8" w:space="0" w:color="000000" w:themeColor="text1"/>
              <w:left w:val="nil"/>
              <w:bottom w:val="nil"/>
              <w:right w:val="nil"/>
            </w:tcBorders>
            <w:noWrap/>
            <w:hideMark/>
          </w:tcPr>
          <w:p w14:paraId="1C553E7E" w14:textId="77777777" w:rsidR="001B6918" w:rsidRPr="00161813" w:rsidRDefault="001B6918" w:rsidP="00730ECF">
            <w:pPr>
              <w:jc w:val="right"/>
              <w:rPr>
                <w:rFonts w:eastAsia="Times New Roman" w:cstheme="minorHAnsi"/>
                <w:sz w:val="20"/>
                <w:szCs w:val="20"/>
              </w:rPr>
            </w:pPr>
            <w:r w:rsidRPr="00161813">
              <w:rPr>
                <w:rFonts w:eastAsia="Times New Roman" w:cstheme="minorHAnsi"/>
                <w:sz w:val="20"/>
                <w:szCs w:val="20"/>
              </w:rPr>
              <w:t xml:space="preserve"> 25,065 </w:t>
            </w:r>
          </w:p>
        </w:tc>
        <w:tc>
          <w:tcPr>
            <w:tcW w:w="1080" w:type="dxa"/>
            <w:tcBorders>
              <w:top w:val="single" w:sz="8" w:space="0" w:color="000000" w:themeColor="text1"/>
              <w:left w:val="nil"/>
              <w:bottom w:val="nil"/>
              <w:right w:val="nil"/>
            </w:tcBorders>
            <w:shd w:val="clear" w:color="auto" w:fill="F2F2F2" w:themeFill="background1" w:themeFillShade="F2"/>
            <w:noWrap/>
            <w:vAlign w:val="bottom"/>
            <w:hideMark/>
          </w:tcPr>
          <w:p w14:paraId="0D4B1FC0" w14:textId="77777777" w:rsidR="001B6918" w:rsidRPr="004E6649" w:rsidRDefault="001B6918" w:rsidP="00730ECF">
            <w:pPr>
              <w:jc w:val="right"/>
              <w:rPr>
                <w:rFonts w:eastAsia="Times New Roman" w:cstheme="minorHAnsi"/>
                <w:color w:val="0D0D0D"/>
                <w:sz w:val="20"/>
                <w:szCs w:val="20"/>
              </w:rPr>
            </w:pPr>
            <w:r>
              <w:rPr>
                <w:rFonts w:eastAsia="Times New Roman" w:cstheme="minorHAnsi"/>
                <w:color w:val="0D0D0D"/>
                <w:sz w:val="20"/>
                <w:szCs w:val="20"/>
              </w:rPr>
              <w:t>26,651</w:t>
            </w:r>
          </w:p>
        </w:tc>
        <w:tc>
          <w:tcPr>
            <w:tcW w:w="1080" w:type="dxa"/>
            <w:tcBorders>
              <w:top w:val="single" w:sz="8" w:space="0" w:color="000000" w:themeColor="text1"/>
              <w:left w:val="nil"/>
              <w:bottom w:val="nil"/>
              <w:right w:val="nil"/>
            </w:tcBorders>
            <w:shd w:val="clear" w:color="auto" w:fill="F2F2F2" w:themeFill="background1" w:themeFillShade="F2"/>
            <w:noWrap/>
            <w:vAlign w:val="bottom"/>
            <w:hideMark/>
          </w:tcPr>
          <w:p w14:paraId="160DB02A" w14:textId="77777777" w:rsidR="001B6918" w:rsidRPr="004E6649" w:rsidRDefault="001B6918" w:rsidP="00730ECF">
            <w:pPr>
              <w:jc w:val="right"/>
              <w:rPr>
                <w:rFonts w:eastAsia="Times New Roman" w:cstheme="minorHAnsi"/>
                <w:color w:val="0D0D0D"/>
                <w:sz w:val="20"/>
                <w:szCs w:val="20"/>
              </w:rPr>
            </w:pPr>
            <w:r>
              <w:rPr>
                <w:rFonts w:eastAsia="Times New Roman" w:cstheme="minorHAnsi"/>
                <w:color w:val="000000" w:themeColor="text1"/>
                <w:sz w:val="20"/>
                <w:szCs w:val="20"/>
              </w:rPr>
              <w:t>294</w:t>
            </w:r>
          </w:p>
        </w:tc>
        <w:tc>
          <w:tcPr>
            <w:tcW w:w="1636" w:type="dxa"/>
            <w:tcBorders>
              <w:top w:val="single" w:sz="8" w:space="0" w:color="000000" w:themeColor="text1"/>
              <w:left w:val="nil"/>
              <w:bottom w:val="nil"/>
              <w:right w:val="nil"/>
            </w:tcBorders>
            <w:shd w:val="clear" w:color="auto" w:fill="F2F2F2" w:themeFill="background1" w:themeFillShade="F2"/>
            <w:noWrap/>
            <w:vAlign w:val="bottom"/>
            <w:hideMark/>
          </w:tcPr>
          <w:p w14:paraId="262C0391" w14:textId="77777777" w:rsidR="001B6918" w:rsidRPr="004E6649" w:rsidRDefault="001B6918" w:rsidP="00730ECF">
            <w:pPr>
              <w:jc w:val="right"/>
              <w:rPr>
                <w:rFonts w:eastAsia="Times New Roman" w:cstheme="minorHAnsi"/>
                <w:color w:val="0D0D0D"/>
                <w:sz w:val="20"/>
                <w:szCs w:val="20"/>
              </w:rPr>
            </w:pPr>
            <w:r>
              <w:rPr>
                <w:rFonts w:eastAsia="Times New Roman" w:cstheme="minorHAnsi"/>
                <w:color w:val="0D0D0D"/>
                <w:sz w:val="20"/>
                <w:szCs w:val="20"/>
              </w:rPr>
              <w:t>26,357</w:t>
            </w:r>
          </w:p>
        </w:tc>
      </w:tr>
      <w:tr w:rsidR="001B6918" w:rsidRPr="004E6649" w14:paraId="4B7FEDFC" w14:textId="77777777" w:rsidTr="00730ECF">
        <w:trPr>
          <w:trHeight w:val="135"/>
          <w:jc w:val="center"/>
        </w:trPr>
        <w:tc>
          <w:tcPr>
            <w:tcW w:w="3690" w:type="dxa"/>
            <w:tcBorders>
              <w:top w:val="nil"/>
              <w:left w:val="nil"/>
              <w:bottom w:val="single" w:sz="8" w:space="0" w:color="000000" w:themeColor="text1"/>
              <w:right w:val="nil"/>
            </w:tcBorders>
            <w:noWrap/>
            <w:vAlign w:val="bottom"/>
            <w:hideMark/>
          </w:tcPr>
          <w:p w14:paraId="484EC816" w14:textId="77777777" w:rsidR="001B6918" w:rsidRPr="004E6649" w:rsidRDefault="001B6918" w:rsidP="00730ECF">
            <w:pPr>
              <w:rPr>
                <w:rFonts w:eastAsia="Times New Roman" w:cstheme="minorHAnsi"/>
                <w:color w:val="0D0D0D"/>
                <w:sz w:val="20"/>
                <w:szCs w:val="20"/>
              </w:rPr>
            </w:pPr>
            <w:r w:rsidRPr="004E6649">
              <w:rPr>
                <w:rFonts w:eastAsia="Times New Roman" w:cstheme="minorHAnsi"/>
                <w:color w:val="0D0D0D"/>
                <w:sz w:val="20"/>
                <w:szCs w:val="20"/>
              </w:rPr>
              <w:t>Less allowance for doubtful accounts</w:t>
            </w:r>
          </w:p>
        </w:tc>
        <w:tc>
          <w:tcPr>
            <w:tcW w:w="932" w:type="dxa"/>
            <w:tcBorders>
              <w:top w:val="nil"/>
              <w:left w:val="nil"/>
              <w:bottom w:val="single" w:sz="8" w:space="0" w:color="000000" w:themeColor="text1"/>
              <w:right w:val="nil"/>
            </w:tcBorders>
            <w:noWrap/>
            <w:hideMark/>
          </w:tcPr>
          <w:p w14:paraId="115EDDA5" w14:textId="77777777" w:rsidR="001B6918" w:rsidRPr="00161813" w:rsidRDefault="001B6918" w:rsidP="00730ECF">
            <w:pPr>
              <w:jc w:val="right"/>
              <w:rPr>
                <w:rFonts w:eastAsia="Times New Roman" w:cstheme="minorHAnsi"/>
                <w:sz w:val="20"/>
                <w:szCs w:val="20"/>
              </w:rPr>
            </w:pPr>
            <w:r w:rsidRPr="00161813">
              <w:rPr>
                <w:rFonts w:eastAsia="Times New Roman" w:cstheme="minorHAnsi"/>
                <w:sz w:val="20"/>
                <w:szCs w:val="20"/>
              </w:rPr>
              <w:t xml:space="preserve"> (1,100)</w:t>
            </w:r>
          </w:p>
        </w:tc>
        <w:tc>
          <w:tcPr>
            <w:tcW w:w="981" w:type="dxa"/>
            <w:tcBorders>
              <w:top w:val="nil"/>
              <w:left w:val="nil"/>
              <w:bottom w:val="single" w:sz="8" w:space="0" w:color="000000" w:themeColor="text1"/>
              <w:right w:val="nil"/>
            </w:tcBorders>
            <w:noWrap/>
            <w:hideMark/>
          </w:tcPr>
          <w:p w14:paraId="7F69C639" w14:textId="77777777" w:rsidR="001B6918" w:rsidRPr="00161813" w:rsidRDefault="001B6918" w:rsidP="00730ECF">
            <w:pPr>
              <w:jc w:val="right"/>
              <w:rPr>
                <w:rFonts w:eastAsia="Times New Roman" w:cstheme="minorHAnsi"/>
                <w:sz w:val="20"/>
                <w:szCs w:val="20"/>
              </w:rPr>
            </w:pPr>
            <w:r w:rsidRPr="00161813">
              <w:rPr>
                <w:rFonts w:eastAsia="Times New Roman" w:cstheme="minorHAnsi"/>
                <w:sz w:val="20"/>
                <w:szCs w:val="20"/>
              </w:rPr>
              <w:t xml:space="preserve"> - </w:t>
            </w:r>
          </w:p>
        </w:tc>
        <w:tc>
          <w:tcPr>
            <w:tcW w:w="1237" w:type="dxa"/>
            <w:tcBorders>
              <w:top w:val="nil"/>
              <w:left w:val="nil"/>
              <w:bottom w:val="single" w:sz="8" w:space="0" w:color="000000" w:themeColor="text1"/>
              <w:right w:val="nil"/>
            </w:tcBorders>
            <w:noWrap/>
            <w:hideMark/>
          </w:tcPr>
          <w:p w14:paraId="17E67D42" w14:textId="77777777" w:rsidR="001B6918" w:rsidRPr="00161813" w:rsidRDefault="001B6918" w:rsidP="00730ECF">
            <w:pPr>
              <w:jc w:val="right"/>
              <w:rPr>
                <w:rFonts w:eastAsia="Times New Roman" w:cstheme="minorHAnsi"/>
                <w:sz w:val="20"/>
                <w:szCs w:val="20"/>
              </w:rPr>
            </w:pPr>
            <w:r w:rsidRPr="00161813">
              <w:rPr>
                <w:rFonts w:eastAsia="Times New Roman" w:cstheme="minorHAnsi"/>
                <w:sz w:val="20"/>
                <w:szCs w:val="20"/>
              </w:rPr>
              <w:t xml:space="preserve"> (1,100)</w:t>
            </w:r>
          </w:p>
        </w:tc>
        <w:tc>
          <w:tcPr>
            <w:tcW w:w="1080" w:type="dxa"/>
            <w:tcBorders>
              <w:top w:val="nil"/>
              <w:left w:val="nil"/>
              <w:bottom w:val="single" w:sz="8" w:space="0" w:color="000000" w:themeColor="text1"/>
              <w:right w:val="nil"/>
            </w:tcBorders>
            <w:shd w:val="clear" w:color="auto" w:fill="F2F2F2" w:themeFill="background1" w:themeFillShade="F2"/>
            <w:noWrap/>
            <w:vAlign w:val="bottom"/>
            <w:hideMark/>
          </w:tcPr>
          <w:p w14:paraId="00600CE5" w14:textId="77777777" w:rsidR="001B6918" w:rsidRPr="004E6649" w:rsidRDefault="001B6918" w:rsidP="00730ECF">
            <w:pPr>
              <w:jc w:val="right"/>
              <w:rPr>
                <w:rFonts w:eastAsia="Times New Roman" w:cstheme="minorHAnsi"/>
                <w:color w:val="0D0D0D"/>
                <w:sz w:val="20"/>
                <w:szCs w:val="20"/>
              </w:rPr>
            </w:pPr>
            <w:r w:rsidRPr="004E6649">
              <w:rPr>
                <w:rFonts w:eastAsia="Times New Roman" w:cstheme="minorHAnsi"/>
                <w:color w:val="0D0D0D"/>
                <w:sz w:val="20"/>
                <w:szCs w:val="20"/>
              </w:rPr>
              <w:t>(</w:t>
            </w:r>
            <w:r>
              <w:rPr>
                <w:rFonts w:eastAsia="Times New Roman" w:cstheme="minorHAnsi"/>
                <w:color w:val="0D0D0D"/>
                <w:sz w:val="20"/>
                <w:szCs w:val="20"/>
              </w:rPr>
              <w:t>957</w:t>
            </w:r>
            <w:r w:rsidRPr="004E6649">
              <w:rPr>
                <w:rFonts w:eastAsia="Times New Roman" w:cstheme="minorHAnsi"/>
                <w:color w:val="0D0D0D"/>
                <w:sz w:val="20"/>
                <w:szCs w:val="20"/>
              </w:rPr>
              <w:t>)</w:t>
            </w:r>
          </w:p>
        </w:tc>
        <w:tc>
          <w:tcPr>
            <w:tcW w:w="1080" w:type="dxa"/>
            <w:tcBorders>
              <w:top w:val="nil"/>
              <w:left w:val="nil"/>
              <w:bottom w:val="single" w:sz="8" w:space="0" w:color="000000" w:themeColor="text1"/>
              <w:right w:val="nil"/>
            </w:tcBorders>
            <w:shd w:val="clear" w:color="auto" w:fill="F2F2F2" w:themeFill="background1" w:themeFillShade="F2"/>
            <w:noWrap/>
            <w:vAlign w:val="bottom"/>
            <w:hideMark/>
          </w:tcPr>
          <w:p w14:paraId="7FDB5E57" w14:textId="77777777" w:rsidR="001B6918" w:rsidRPr="004E6649" w:rsidRDefault="001B6918" w:rsidP="00730ECF">
            <w:pPr>
              <w:jc w:val="right"/>
              <w:rPr>
                <w:rFonts w:eastAsia="Times New Roman" w:cstheme="minorHAnsi"/>
                <w:color w:val="0D0D0D"/>
                <w:sz w:val="20"/>
                <w:szCs w:val="20"/>
              </w:rPr>
            </w:pPr>
            <w:r w:rsidRPr="004E6649">
              <w:rPr>
                <w:rFonts w:eastAsia="Times New Roman" w:cstheme="minorHAnsi"/>
                <w:color w:val="000000" w:themeColor="text1"/>
                <w:sz w:val="20"/>
                <w:szCs w:val="20"/>
              </w:rPr>
              <w:t>-</w:t>
            </w:r>
          </w:p>
        </w:tc>
        <w:tc>
          <w:tcPr>
            <w:tcW w:w="1636" w:type="dxa"/>
            <w:tcBorders>
              <w:top w:val="nil"/>
              <w:left w:val="nil"/>
              <w:bottom w:val="single" w:sz="8" w:space="0" w:color="000000" w:themeColor="text1"/>
              <w:right w:val="nil"/>
            </w:tcBorders>
            <w:shd w:val="clear" w:color="auto" w:fill="F2F2F2" w:themeFill="background1" w:themeFillShade="F2"/>
            <w:noWrap/>
            <w:vAlign w:val="bottom"/>
            <w:hideMark/>
          </w:tcPr>
          <w:p w14:paraId="1DBF35CE" w14:textId="77777777" w:rsidR="001B6918" w:rsidRPr="004E6649" w:rsidRDefault="001B6918" w:rsidP="00730ECF">
            <w:pPr>
              <w:jc w:val="right"/>
              <w:rPr>
                <w:rFonts w:eastAsia="Times New Roman" w:cstheme="minorHAnsi"/>
                <w:color w:val="0D0D0D"/>
                <w:sz w:val="20"/>
                <w:szCs w:val="20"/>
              </w:rPr>
            </w:pPr>
            <w:r w:rsidRPr="004E6649">
              <w:rPr>
                <w:rFonts w:eastAsia="Times New Roman" w:cstheme="minorHAnsi"/>
                <w:color w:val="000000"/>
                <w:sz w:val="20"/>
                <w:szCs w:val="20"/>
              </w:rPr>
              <w:t>(</w:t>
            </w:r>
            <w:r>
              <w:rPr>
                <w:rFonts w:eastAsia="Times New Roman" w:cstheme="minorHAnsi"/>
                <w:color w:val="000000"/>
                <w:sz w:val="20"/>
                <w:szCs w:val="20"/>
              </w:rPr>
              <w:t>957</w:t>
            </w:r>
            <w:r w:rsidRPr="004E6649">
              <w:rPr>
                <w:rFonts w:eastAsia="Times New Roman" w:cstheme="minorHAnsi"/>
                <w:color w:val="000000"/>
                <w:sz w:val="20"/>
                <w:szCs w:val="20"/>
              </w:rPr>
              <w:t>)</w:t>
            </w:r>
          </w:p>
        </w:tc>
      </w:tr>
      <w:tr w:rsidR="001B6918" w:rsidRPr="004E6649" w14:paraId="28468D8C" w14:textId="77777777" w:rsidTr="00730ECF">
        <w:trPr>
          <w:trHeight w:val="70"/>
          <w:jc w:val="center"/>
        </w:trPr>
        <w:tc>
          <w:tcPr>
            <w:tcW w:w="3690" w:type="dxa"/>
            <w:tcBorders>
              <w:top w:val="single" w:sz="8" w:space="0" w:color="000000" w:themeColor="text1"/>
              <w:left w:val="nil"/>
              <w:bottom w:val="double" w:sz="4" w:space="0" w:color="000000" w:themeColor="text1"/>
              <w:right w:val="nil"/>
            </w:tcBorders>
            <w:noWrap/>
            <w:vAlign w:val="bottom"/>
            <w:hideMark/>
          </w:tcPr>
          <w:p w14:paraId="05D9C7B3" w14:textId="77777777" w:rsidR="001B6918" w:rsidRPr="004E6649" w:rsidRDefault="001B6918" w:rsidP="00730ECF">
            <w:pPr>
              <w:rPr>
                <w:rFonts w:eastAsia="Times New Roman" w:cstheme="minorHAnsi"/>
                <w:color w:val="0D0D0D"/>
                <w:sz w:val="20"/>
                <w:szCs w:val="20"/>
              </w:rPr>
            </w:pPr>
            <w:r w:rsidRPr="004E6649">
              <w:rPr>
                <w:rFonts w:eastAsia="Times New Roman" w:cstheme="minorHAnsi"/>
                <w:color w:val="0D0D0D"/>
                <w:sz w:val="20"/>
                <w:szCs w:val="20"/>
              </w:rPr>
              <w:t>Total notes and leases receivable, net</w:t>
            </w:r>
          </w:p>
        </w:tc>
        <w:tc>
          <w:tcPr>
            <w:tcW w:w="932" w:type="dxa"/>
            <w:tcBorders>
              <w:top w:val="single" w:sz="8" w:space="0" w:color="000000" w:themeColor="text1"/>
              <w:left w:val="nil"/>
              <w:bottom w:val="double" w:sz="4" w:space="0" w:color="000000" w:themeColor="text1"/>
              <w:right w:val="nil"/>
            </w:tcBorders>
            <w:noWrap/>
            <w:hideMark/>
          </w:tcPr>
          <w:p w14:paraId="0ECEC7C4" w14:textId="77777777" w:rsidR="001B6918" w:rsidRPr="00161813" w:rsidRDefault="001B6918" w:rsidP="00730ECF">
            <w:pPr>
              <w:jc w:val="right"/>
              <w:rPr>
                <w:rFonts w:eastAsia="Times New Roman" w:cstheme="minorHAnsi"/>
                <w:sz w:val="20"/>
                <w:szCs w:val="20"/>
              </w:rPr>
            </w:pPr>
            <w:r w:rsidRPr="00161813">
              <w:rPr>
                <w:rFonts w:eastAsia="Times New Roman" w:cstheme="minorHAnsi"/>
                <w:sz w:val="20"/>
                <w:szCs w:val="20"/>
              </w:rPr>
              <w:t xml:space="preserve"> $24,259 </w:t>
            </w:r>
          </w:p>
        </w:tc>
        <w:tc>
          <w:tcPr>
            <w:tcW w:w="981" w:type="dxa"/>
            <w:tcBorders>
              <w:top w:val="single" w:sz="8" w:space="0" w:color="000000" w:themeColor="text1"/>
              <w:left w:val="nil"/>
              <w:bottom w:val="double" w:sz="4" w:space="0" w:color="000000" w:themeColor="text1"/>
              <w:right w:val="nil"/>
            </w:tcBorders>
            <w:noWrap/>
            <w:hideMark/>
          </w:tcPr>
          <w:p w14:paraId="2DD26459" w14:textId="77777777" w:rsidR="001B6918" w:rsidRPr="00161813" w:rsidRDefault="001B6918" w:rsidP="00730ECF">
            <w:pPr>
              <w:jc w:val="right"/>
              <w:rPr>
                <w:rFonts w:eastAsia="Times New Roman" w:cstheme="minorHAnsi"/>
                <w:sz w:val="20"/>
                <w:szCs w:val="20"/>
              </w:rPr>
            </w:pPr>
            <w:r w:rsidRPr="00161813">
              <w:rPr>
                <w:rFonts w:eastAsia="Times New Roman" w:cstheme="minorHAnsi"/>
                <w:sz w:val="20"/>
                <w:szCs w:val="20"/>
              </w:rPr>
              <w:t xml:space="preserve"> $294 </w:t>
            </w:r>
          </w:p>
        </w:tc>
        <w:tc>
          <w:tcPr>
            <w:tcW w:w="1237" w:type="dxa"/>
            <w:tcBorders>
              <w:top w:val="single" w:sz="8" w:space="0" w:color="000000" w:themeColor="text1"/>
              <w:left w:val="nil"/>
              <w:bottom w:val="double" w:sz="4" w:space="0" w:color="000000" w:themeColor="text1"/>
              <w:right w:val="nil"/>
            </w:tcBorders>
            <w:noWrap/>
            <w:hideMark/>
          </w:tcPr>
          <w:p w14:paraId="7B60825F" w14:textId="77777777" w:rsidR="001B6918" w:rsidRPr="00161813" w:rsidRDefault="001B6918" w:rsidP="00730ECF">
            <w:pPr>
              <w:jc w:val="right"/>
              <w:rPr>
                <w:rFonts w:eastAsia="Times New Roman" w:cstheme="minorHAnsi"/>
                <w:sz w:val="20"/>
                <w:szCs w:val="20"/>
              </w:rPr>
            </w:pPr>
            <w:r w:rsidRPr="00161813">
              <w:rPr>
                <w:rFonts w:eastAsia="Times New Roman" w:cstheme="minorHAnsi"/>
                <w:sz w:val="20"/>
                <w:szCs w:val="20"/>
              </w:rPr>
              <w:t xml:space="preserve"> $23,965 </w:t>
            </w:r>
          </w:p>
        </w:tc>
        <w:tc>
          <w:tcPr>
            <w:tcW w:w="1080" w:type="dxa"/>
            <w:tcBorders>
              <w:top w:val="single" w:sz="8" w:space="0" w:color="000000" w:themeColor="text1"/>
              <w:left w:val="nil"/>
              <w:bottom w:val="double" w:sz="4" w:space="0" w:color="000000" w:themeColor="text1"/>
              <w:right w:val="nil"/>
            </w:tcBorders>
            <w:shd w:val="clear" w:color="auto" w:fill="F2F2F2" w:themeFill="background1" w:themeFillShade="F2"/>
            <w:noWrap/>
            <w:vAlign w:val="bottom"/>
            <w:hideMark/>
          </w:tcPr>
          <w:p w14:paraId="407660C3" w14:textId="77777777" w:rsidR="001B6918" w:rsidRPr="004E6649" w:rsidRDefault="001B6918" w:rsidP="00730ECF">
            <w:pPr>
              <w:jc w:val="right"/>
              <w:rPr>
                <w:rFonts w:eastAsia="Times New Roman" w:cstheme="minorHAnsi"/>
                <w:color w:val="0D0D0D"/>
                <w:sz w:val="20"/>
                <w:szCs w:val="20"/>
              </w:rPr>
            </w:pPr>
            <w:r w:rsidRPr="004E6649">
              <w:rPr>
                <w:rFonts w:eastAsia="Times New Roman" w:cstheme="minorHAnsi"/>
                <w:color w:val="0D0D0D"/>
                <w:sz w:val="20"/>
                <w:szCs w:val="20"/>
              </w:rPr>
              <w:t>$</w:t>
            </w:r>
            <w:r>
              <w:rPr>
                <w:rFonts w:eastAsia="Times New Roman" w:cstheme="minorHAnsi"/>
                <w:color w:val="0D0D0D"/>
                <w:sz w:val="20"/>
                <w:szCs w:val="20"/>
              </w:rPr>
              <w:t>25,694</w:t>
            </w:r>
          </w:p>
        </w:tc>
        <w:tc>
          <w:tcPr>
            <w:tcW w:w="1080" w:type="dxa"/>
            <w:tcBorders>
              <w:top w:val="single" w:sz="8" w:space="0" w:color="000000" w:themeColor="text1"/>
              <w:left w:val="nil"/>
              <w:bottom w:val="double" w:sz="4" w:space="0" w:color="000000" w:themeColor="text1"/>
              <w:right w:val="nil"/>
            </w:tcBorders>
            <w:shd w:val="clear" w:color="auto" w:fill="F2F2F2" w:themeFill="background1" w:themeFillShade="F2"/>
            <w:noWrap/>
            <w:vAlign w:val="bottom"/>
            <w:hideMark/>
          </w:tcPr>
          <w:p w14:paraId="186AE233" w14:textId="77777777" w:rsidR="001B6918" w:rsidRPr="004E6649" w:rsidRDefault="001B6918" w:rsidP="00730ECF">
            <w:pPr>
              <w:jc w:val="right"/>
              <w:rPr>
                <w:rFonts w:eastAsia="Times New Roman" w:cstheme="minorHAnsi"/>
                <w:color w:val="0D0D0D"/>
                <w:sz w:val="20"/>
                <w:szCs w:val="20"/>
              </w:rPr>
            </w:pPr>
            <w:r w:rsidRPr="004E6649">
              <w:rPr>
                <w:rFonts w:eastAsia="Times New Roman" w:cstheme="minorHAnsi"/>
                <w:color w:val="0D0D0D"/>
                <w:sz w:val="20"/>
                <w:szCs w:val="20"/>
              </w:rPr>
              <w:t>$</w:t>
            </w:r>
            <w:r>
              <w:rPr>
                <w:rFonts w:eastAsia="Times New Roman" w:cstheme="minorHAnsi"/>
                <w:color w:val="0D0D0D"/>
                <w:sz w:val="20"/>
                <w:szCs w:val="20"/>
              </w:rPr>
              <w:t>294</w:t>
            </w:r>
          </w:p>
        </w:tc>
        <w:tc>
          <w:tcPr>
            <w:tcW w:w="1636" w:type="dxa"/>
            <w:tcBorders>
              <w:top w:val="single" w:sz="8" w:space="0" w:color="000000" w:themeColor="text1"/>
              <w:left w:val="nil"/>
              <w:bottom w:val="double" w:sz="4" w:space="0" w:color="000000" w:themeColor="text1"/>
              <w:right w:val="nil"/>
            </w:tcBorders>
            <w:shd w:val="clear" w:color="auto" w:fill="F2F2F2" w:themeFill="background1" w:themeFillShade="F2"/>
            <w:noWrap/>
            <w:vAlign w:val="bottom"/>
            <w:hideMark/>
          </w:tcPr>
          <w:p w14:paraId="57746B55" w14:textId="77777777" w:rsidR="001B6918" w:rsidRPr="004E6649" w:rsidRDefault="001B6918" w:rsidP="00730ECF">
            <w:pPr>
              <w:jc w:val="right"/>
              <w:rPr>
                <w:rFonts w:eastAsia="Times New Roman" w:cstheme="minorHAnsi"/>
                <w:color w:val="0D0D0D"/>
                <w:sz w:val="20"/>
                <w:szCs w:val="20"/>
              </w:rPr>
            </w:pPr>
            <w:r w:rsidRPr="004E6649">
              <w:rPr>
                <w:rFonts w:eastAsia="Times New Roman" w:cstheme="minorHAnsi"/>
                <w:color w:val="0D0D0D"/>
                <w:sz w:val="20"/>
                <w:szCs w:val="20"/>
              </w:rPr>
              <w:t>$</w:t>
            </w:r>
            <w:r>
              <w:rPr>
                <w:rFonts w:eastAsia="Times New Roman" w:cstheme="minorHAnsi"/>
                <w:color w:val="0D0D0D"/>
                <w:sz w:val="20"/>
                <w:szCs w:val="20"/>
              </w:rPr>
              <w:t>25,400</w:t>
            </w:r>
          </w:p>
        </w:tc>
      </w:tr>
    </w:tbl>
    <w:p w14:paraId="35B0FC64" w14:textId="77777777" w:rsidR="001B6918" w:rsidRPr="004E6649" w:rsidRDefault="001B6918" w:rsidP="001B6918">
      <w:pPr>
        <w:tabs>
          <w:tab w:val="left" w:pos="540"/>
          <w:tab w:val="left" w:pos="1800"/>
        </w:tabs>
        <w:suppressAutoHyphens/>
        <w:spacing w:before="120"/>
        <w:rPr>
          <w:rFonts w:cstheme="minorHAnsi"/>
          <w:bCs/>
          <w:spacing w:val="-3"/>
          <w:sz w:val="20"/>
        </w:rPr>
      </w:pPr>
      <w:r w:rsidRPr="004E6649">
        <w:rPr>
          <w:rFonts w:cstheme="minorHAnsi"/>
          <w:bCs/>
          <w:spacing w:val="-3"/>
          <w:sz w:val="24"/>
        </w:rPr>
        <w:t xml:space="preserve">Collections of the </w:t>
      </w:r>
      <w:proofErr w:type="gramStart"/>
      <w:r w:rsidRPr="004E6649">
        <w:rPr>
          <w:rFonts w:cstheme="minorHAnsi"/>
          <w:bCs/>
          <w:spacing w:val="-3"/>
          <w:sz w:val="24"/>
        </w:rPr>
        <w:t>notes</w:t>
      </w:r>
      <w:proofErr w:type="gramEnd"/>
      <w:r w:rsidRPr="004E6649">
        <w:rPr>
          <w:rFonts w:cstheme="minorHAnsi"/>
          <w:bCs/>
          <w:spacing w:val="-3"/>
          <w:sz w:val="24"/>
        </w:rPr>
        <w:t xml:space="preserve"> receivable for Perkins, Nursing, and Institutional loans may not be used to pay current liabilities, as the proceeds are restricted for making new loans. Accordingly, these notes receivable are recorded in the accompanying Statements of Net Position as noncurrent assets.</w:t>
      </w:r>
    </w:p>
    <w:p w14:paraId="61CF5B92" w14:textId="5E691663" w:rsidR="001B6918" w:rsidRPr="004E6649" w:rsidRDefault="001B6918" w:rsidP="001B6918">
      <w:pPr>
        <w:numPr>
          <w:ilvl w:val="0"/>
          <w:numId w:val="10"/>
        </w:numPr>
        <w:tabs>
          <w:tab w:val="left" w:pos="720"/>
          <w:tab w:val="left" w:pos="1440"/>
        </w:tabs>
        <w:suppressAutoHyphens/>
        <w:spacing w:before="120"/>
        <w:ind w:right="360"/>
        <w:rPr>
          <w:rFonts w:eastAsia="Times New Roman" w:cstheme="minorHAnsi"/>
          <w:bCs/>
          <w:spacing w:val="-3"/>
          <w:sz w:val="24"/>
          <w:szCs w:val="24"/>
        </w:rPr>
      </w:pPr>
      <w:r w:rsidRPr="004E6649">
        <w:rPr>
          <w:rFonts w:eastAsia="Times New Roman" w:cstheme="minorHAnsi"/>
          <w:bCs/>
          <w:spacing w:val="-3"/>
          <w:sz w:val="24"/>
          <w:szCs w:val="24"/>
        </w:rPr>
        <w:t xml:space="preserve">The System, acting as lessor, leases building space for various terms under long-term noncancelable lease agreements. The original lease terms expire at various dates through </w:t>
      </w:r>
      <w:r w:rsidRPr="005926E5">
        <w:rPr>
          <w:rFonts w:eastAsia="Times New Roman" w:cstheme="minorHAnsi"/>
          <w:bCs/>
          <w:spacing w:val="-3"/>
          <w:sz w:val="24"/>
          <w:szCs w:val="24"/>
        </w:rPr>
        <w:t>202</w:t>
      </w:r>
      <w:r w:rsidR="00302CF4">
        <w:rPr>
          <w:rFonts w:eastAsia="Times New Roman" w:cstheme="minorHAnsi"/>
          <w:bCs/>
          <w:spacing w:val="-3"/>
          <w:sz w:val="24"/>
          <w:szCs w:val="24"/>
        </w:rPr>
        <w:t>8</w:t>
      </w:r>
      <w:r w:rsidRPr="006113BD">
        <w:rPr>
          <w:rFonts w:eastAsia="Times New Roman" w:cstheme="minorHAnsi"/>
          <w:bCs/>
          <w:spacing w:val="-3"/>
          <w:sz w:val="24"/>
          <w:szCs w:val="24"/>
        </w:rPr>
        <w:t xml:space="preserve"> </w:t>
      </w:r>
      <w:r w:rsidRPr="004E6649">
        <w:rPr>
          <w:rFonts w:eastAsia="Times New Roman" w:cstheme="minorHAnsi"/>
          <w:bCs/>
          <w:spacing w:val="-3"/>
          <w:sz w:val="24"/>
          <w:szCs w:val="24"/>
        </w:rPr>
        <w:t xml:space="preserve">and provide for renewal options (ranging from 1-20 years) which extend them to </w:t>
      </w:r>
      <w:r w:rsidRPr="005926E5">
        <w:rPr>
          <w:rFonts w:eastAsia="Times New Roman" w:cstheme="minorHAnsi"/>
          <w:bCs/>
          <w:spacing w:val="-3"/>
          <w:sz w:val="24"/>
          <w:szCs w:val="24"/>
        </w:rPr>
        <w:t>FY4</w:t>
      </w:r>
      <w:r w:rsidR="00302CF4">
        <w:rPr>
          <w:rFonts w:eastAsia="Times New Roman" w:cstheme="minorHAnsi"/>
          <w:bCs/>
          <w:spacing w:val="-3"/>
          <w:sz w:val="24"/>
          <w:szCs w:val="24"/>
        </w:rPr>
        <w:t>7</w:t>
      </w:r>
      <w:r w:rsidRPr="004E6649">
        <w:rPr>
          <w:rFonts w:eastAsia="Times New Roman" w:cstheme="minorHAnsi"/>
          <w:bCs/>
          <w:spacing w:val="-3"/>
          <w:sz w:val="24"/>
          <w:szCs w:val="24"/>
        </w:rPr>
        <w:t>. During the years ended June 30, 202</w:t>
      </w:r>
      <w:r>
        <w:rPr>
          <w:rFonts w:eastAsia="Times New Roman" w:cstheme="minorHAnsi"/>
          <w:bCs/>
          <w:spacing w:val="-3"/>
          <w:sz w:val="24"/>
          <w:szCs w:val="24"/>
        </w:rPr>
        <w:t>5</w:t>
      </w:r>
      <w:r w:rsidRPr="004E6649">
        <w:rPr>
          <w:rFonts w:eastAsia="Times New Roman" w:cstheme="minorHAnsi"/>
          <w:bCs/>
          <w:spacing w:val="-3"/>
          <w:sz w:val="24"/>
          <w:szCs w:val="24"/>
        </w:rPr>
        <w:t xml:space="preserve"> and 202</w:t>
      </w:r>
      <w:r>
        <w:rPr>
          <w:rFonts w:eastAsia="Times New Roman" w:cstheme="minorHAnsi"/>
          <w:bCs/>
          <w:spacing w:val="-3"/>
          <w:sz w:val="24"/>
          <w:szCs w:val="24"/>
        </w:rPr>
        <w:t>4</w:t>
      </w:r>
      <w:r w:rsidRPr="004E6649">
        <w:rPr>
          <w:rFonts w:eastAsia="Times New Roman" w:cstheme="minorHAnsi"/>
          <w:bCs/>
          <w:spacing w:val="-3"/>
          <w:sz w:val="24"/>
          <w:szCs w:val="24"/>
        </w:rPr>
        <w:t>, the System recognized $</w:t>
      </w:r>
      <w:r w:rsidRPr="005926E5">
        <w:rPr>
          <w:rFonts w:eastAsia="Times New Roman" w:cstheme="minorHAnsi"/>
          <w:bCs/>
          <w:spacing w:val="-3"/>
          <w:sz w:val="24"/>
          <w:szCs w:val="24"/>
        </w:rPr>
        <w:t>294</w:t>
      </w:r>
      <w:r w:rsidRPr="00096FE6">
        <w:rPr>
          <w:rFonts w:eastAsia="Times New Roman" w:cstheme="minorHAnsi"/>
          <w:bCs/>
          <w:spacing w:val="-3"/>
          <w:sz w:val="24"/>
          <w:szCs w:val="24"/>
        </w:rPr>
        <w:t xml:space="preserve"> and $341 in lease revenue and $</w:t>
      </w:r>
      <w:r w:rsidRPr="005926E5">
        <w:rPr>
          <w:rFonts w:eastAsia="Times New Roman" w:cstheme="minorHAnsi"/>
          <w:bCs/>
          <w:spacing w:val="-3"/>
          <w:sz w:val="24"/>
          <w:szCs w:val="24"/>
        </w:rPr>
        <w:t xml:space="preserve">47 </w:t>
      </w:r>
      <w:r w:rsidRPr="00096FE6">
        <w:rPr>
          <w:rFonts w:eastAsia="Times New Roman" w:cstheme="minorHAnsi"/>
          <w:bCs/>
          <w:spacing w:val="-3"/>
          <w:sz w:val="24"/>
          <w:szCs w:val="24"/>
        </w:rPr>
        <w:t>a</w:t>
      </w:r>
      <w:r w:rsidRPr="004E6649">
        <w:rPr>
          <w:rFonts w:eastAsia="Times New Roman" w:cstheme="minorHAnsi"/>
          <w:bCs/>
          <w:spacing w:val="-3"/>
          <w:sz w:val="24"/>
          <w:szCs w:val="24"/>
        </w:rPr>
        <w:t>nd $</w:t>
      </w:r>
      <w:r w:rsidRPr="00096FE6">
        <w:rPr>
          <w:rFonts w:eastAsia="Times New Roman" w:cstheme="minorHAnsi"/>
          <w:bCs/>
          <w:spacing w:val="-3"/>
          <w:sz w:val="24"/>
          <w:szCs w:val="24"/>
        </w:rPr>
        <w:t>51</w:t>
      </w:r>
      <w:r w:rsidRPr="004E6649">
        <w:rPr>
          <w:rFonts w:eastAsia="Times New Roman" w:cstheme="minorHAnsi"/>
          <w:bCs/>
          <w:spacing w:val="-3"/>
          <w:sz w:val="24"/>
          <w:szCs w:val="24"/>
        </w:rPr>
        <w:t xml:space="preserve"> in lease interest, respectively, pursuant to these contracts. </w:t>
      </w:r>
    </w:p>
    <w:p w14:paraId="6AF8E8AC" w14:textId="77777777" w:rsidR="001B6918" w:rsidRPr="00710223" w:rsidRDefault="001B6918" w:rsidP="001B6918">
      <w:pPr>
        <w:tabs>
          <w:tab w:val="left" w:pos="720"/>
          <w:tab w:val="left" w:pos="1440"/>
        </w:tabs>
        <w:suppressAutoHyphens/>
        <w:ind w:right="360"/>
        <w:rPr>
          <w:rFonts w:eastAsia="Times New Roman" w:cstheme="minorHAnsi"/>
          <w:bCs/>
          <w:spacing w:val="-3"/>
          <w:sz w:val="20"/>
          <w:szCs w:val="20"/>
        </w:rPr>
      </w:pPr>
    </w:p>
    <w:p w14:paraId="6A02F941" w14:textId="77777777" w:rsidR="001B6918" w:rsidRPr="004E6649" w:rsidRDefault="001B6918" w:rsidP="001B6918">
      <w:pPr>
        <w:tabs>
          <w:tab w:val="left" w:pos="720"/>
          <w:tab w:val="left" w:pos="1440"/>
        </w:tabs>
        <w:suppressAutoHyphens/>
        <w:ind w:left="720" w:right="360"/>
        <w:rPr>
          <w:rFonts w:eastAsia="Times New Roman" w:cstheme="minorHAnsi"/>
          <w:bCs/>
          <w:spacing w:val="-3"/>
          <w:sz w:val="24"/>
          <w:szCs w:val="24"/>
        </w:rPr>
      </w:pPr>
      <w:r w:rsidRPr="004E6649">
        <w:rPr>
          <w:rFonts w:eastAsia="Times New Roman" w:cstheme="minorHAnsi"/>
          <w:bCs/>
          <w:spacing w:val="-3"/>
          <w:sz w:val="24"/>
          <w:szCs w:val="24"/>
        </w:rPr>
        <w:t>Certain leases provide for increases in future minimum annual rental payments based</w:t>
      </w:r>
      <w:r>
        <w:rPr>
          <w:rFonts w:eastAsia="Times New Roman" w:cstheme="minorHAnsi"/>
          <w:bCs/>
          <w:spacing w:val="-3"/>
          <w:sz w:val="24"/>
          <w:szCs w:val="24"/>
        </w:rPr>
        <w:t xml:space="preserve"> </w:t>
      </w:r>
      <w:r w:rsidRPr="004E6649">
        <w:rPr>
          <w:rFonts w:eastAsia="Times New Roman" w:cstheme="minorHAnsi"/>
          <w:bCs/>
          <w:spacing w:val="-3"/>
          <w:sz w:val="24"/>
          <w:szCs w:val="24"/>
        </w:rPr>
        <w:t>on defined increases in the Consumer Price Index, subject to certain minimum</w:t>
      </w:r>
      <w:r>
        <w:rPr>
          <w:rFonts w:eastAsia="Times New Roman" w:cstheme="minorHAnsi"/>
          <w:bCs/>
          <w:spacing w:val="-3"/>
          <w:sz w:val="24"/>
          <w:szCs w:val="24"/>
        </w:rPr>
        <w:t xml:space="preserve"> </w:t>
      </w:r>
      <w:r w:rsidRPr="004E6649">
        <w:rPr>
          <w:rFonts w:eastAsia="Times New Roman" w:cstheme="minorHAnsi"/>
          <w:bCs/>
          <w:spacing w:val="-3"/>
          <w:sz w:val="24"/>
          <w:szCs w:val="24"/>
        </w:rPr>
        <w:t>increases.</w:t>
      </w:r>
    </w:p>
    <w:p w14:paraId="0F212CAD" w14:textId="77777777" w:rsidR="001B6918" w:rsidRPr="00710223" w:rsidRDefault="001B6918" w:rsidP="001B6918">
      <w:pPr>
        <w:tabs>
          <w:tab w:val="left" w:pos="720"/>
          <w:tab w:val="left" w:pos="1440"/>
        </w:tabs>
        <w:suppressAutoHyphens/>
        <w:ind w:right="360"/>
        <w:rPr>
          <w:rFonts w:eastAsia="Times New Roman" w:cstheme="minorHAnsi"/>
          <w:bCs/>
          <w:spacing w:val="-3"/>
          <w:sz w:val="20"/>
          <w:szCs w:val="20"/>
        </w:rPr>
      </w:pPr>
    </w:p>
    <w:p w14:paraId="06BB9835" w14:textId="77777777" w:rsidR="001B6918" w:rsidRPr="004E6649" w:rsidRDefault="001B6918" w:rsidP="001B6918">
      <w:pPr>
        <w:tabs>
          <w:tab w:val="left" w:pos="720"/>
          <w:tab w:val="left" w:pos="1440"/>
        </w:tabs>
        <w:suppressAutoHyphens/>
        <w:ind w:left="720" w:right="360"/>
        <w:rPr>
          <w:rFonts w:eastAsia="Times New Roman" w:cstheme="minorHAnsi"/>
          <w:bCs/>
          <w:spacing w:val="-3"/>
          <w:sz w:val="24"/>
          <w:szCs w:val="24"/>
        </w:rPr>
      </w:pPr>
      <w:r w:rsidRPr="004E6649">
        <w:rPr>
          <w:rFonts w:eastAsia="Times New Roman" w:cstheme="minorHAnsi"/>
          <w:bCs/>
          <w:spacing w:val="-3"/>
          <w:sz w:val="24"/>
          <w:szCs w:val="24"/>
        </w:rPr>
        <w:t xml:space="preserve">The System </w:t>
      </w:r>
      <w:r>
        <w:rPr>
          <w:rFonts w:eastAsia="Times New Roman" w:cstheme="minorHAnsi"/>
          <w:bCs/>
          <w:spacing w:val="-3"/>
          <w:sz w:val="24"/>
          <w:szCs w:val="24"/>
        </w:rPr>
        <w:t xml:space="preserve">also </w:t>
      </w:r>
      <w:r w:rsidRPr="004E6649">
        <w:rPr>
          <w:rFonts w:eastAsia="Times New Roman" w:cstheme="minorHAnsi"/>
          <w:bCs/>
          <w:spacing w:val="-3"/>
          <w:sz w:val="24"/>
          <w:szCs w:val="24"/>
        </w:rPr>
        <w:t>leases office space to a related party, and a related lease receivable and</w:t>
      </w:r>
      <w:r>
        <w:rPr>
          <w:rFonts w:eastAsia="Times New Roman" w:cstheme="minorHAnsi"/>
          <w:bCs/>
          <w:spacing w:val="-3"/>
          <w:sz w:val="24"/>
          <w:szCs w:val="24"/>
        </w:rPr>
        <w:t xml:space="preserve"> </w:t>
      </w:r>
      <w:r w:rsidRPr="004E6649">
        <w:rPr>
          <w:rFonts w:eastAsia="Times New Roman" w:cstheme="minorHAnsi"/>
          <w:bCs/>
          <w:spacing w:val="-3"/>
          <w:sz w:val="24"/>
          <w:szCs w:val="24"/>
        </w:rPr>
        <w:t>deferred inflow of resources have been recorded. The lease provides for minimum semi</w:t>
      </w:r>
      <w:r>
        <w:rPr>
          <w:rFonts w:eastAsia="Times New Roman" w:cstheme="minorHAnsi"/>
          <w:bCs/>
          <w:spacing w:val="-3"/>
          <w:sz w:val="24"/>
          <w:szCs w:val="24"/>
        </w:rPr>
        <w:t>-</w:t>
      </w:r>
      <w:r w:rsidRPr="004E6649">
        <w:rPr>
          <w:rFonts w:eastAsia="Times New Roman" w:cstheme="minorHAnsi"/>
          <w:bCs/>
          <w:spacing w:val="-3"/>
          <w:sz w:val="24"/>
          <w:szCs w:val="24"/>
        </w:rPr>
        <w:t>annual lease payments of $</w:t>
      </w:r>
      <w:r w:rsidRPr="0035434B">
        <w:rPr>
          <w:rFonts w:eastAsia="Times New Roman" w:cstheme="minorHAnsi"/>
          <w:bCs/>
          <w:spacing w:val="-3"/>
          <w:sz w:val="24"/>
          <w:szCs w:val="24"/>
        </w:rPr>
        <w:t>13</w:t>
      </w:r>
      <w:r w:rsidRPr="00BF4A29">
        <w:rPr>
          <w:rFonts w:eastAsia="Times New Roman" w:cstheme="minorHAnsi"/>
          <w:bCs/>
          <w:spacing w:val="-3"/>
          <w:sz w:val="24"/>
          <w:szCs w:val="24"/>
        </w:rPr>
        <w:t xml:space="preserve"> through January </w:t>
      </w:r>
      <w:r w:rsidRPr="00096FE6">
        <w:rPr>
          <w:rFonts w:eastAsia="Times New Roman" w:cstheme="minorHAnsi"/>
          <w:bCs/>
          <w:spacing w:val="-3"/>
          <w:sz w:val="24"/>
          <w:szCs w:val="24"/>
        </w:rPr>
        <w:t>2030</w:t>
      </w:r>
      <w:r w:rsidRPr="004E6649">
        <w:rPr>
          <w:rFonts w:eastAsia="Times New Roman" w:cstheme="minorHAnsi"/>
          <w:bCs/>
          <w:spacing w:val="-3"/>
          <w:sz w:val="24"/>
          <w:szCs w:val="24"/>
        </w:rPr>
        <w:t>.</w:t>
      </w:r>
    </w:p>
    <w:p w14:paraId="65CAD4EF" w14:textId="77777777" w:rsidR="001B6918" w:rsidRPr="00710223" w:rsidRDefault="001B6918" w:rsidP="001B6918">
      <w:pPr>
        <w:tabs>
          <w:tab w:val="left" w:pos="720"/>
          <w:tab w:val="left" w:pos="1440"/>
        </w:tabs>
        <w:suppressAutoHyphens/>
        <w:ind w:right="360"/>
        <w:rPr>
          <w:rFonts w:eastAsia="Times New Roman" w:cstheme="minorHAnsi"/>
          <w:bCs/>
          <w:spacing w:val="-3"/>
          <w:sz w:val="20"/>
          <w:szCs w:val="20"/>
        </w:rPr>
      </w:pPr>
    </w:p>
    <w:p w14:paraId="3157D10E" w14:textId="77777777" w:rsidR="001B6918" w:rsidRPr="004E6649" w:rsidRDefault="001B6918" w:rsidP="001B6918">
      <w:pPr>
        <w:tabs>
          <w:tab w:val="left" w:pos="720"/>
          <w:tab w:val="left" w:pos="1440"/>
        </w:tabs>
        <w:suppressAutoHyphens/>
        <w:spacing w:after="120"/>
        <w:ind w:left="720" w:right="360"/>
        <w:rPr>
          <w:rFonts w:eastAsia="Times New Roman" w:cstheme="minorHAnsi"/>
          <w:bCs/>
          <w:spacing w:val="-3"/>
          <w:sz w:val="24"/>
          <w:szCs w:val="24"/>
        </w:rPr>
      </w:pPr>
      <w:r w:rsidRPr="004E6649">
        <w:rPr>
          <w:rFonts w:eastAsia="Times New Roman" w:cstheme="minorHAnsi"/>
          <w:bCs/>
          <w:spacing w:val="-3"/>
          <w:sz w:val="24"/>
          <w:szCs w:val="24"/>
        </w:rPr>
        <w:t xml:space="preserve">Total future minimum </w:t>
      </w:r>
      <w:r w:rsidRPr="005B1F0D">
        <w:rPr>
          <w:rFonts w:eastAsia="Times New Roman" w:cstheme="minorHAnsi"/>
          <w:bCs/>
          <w:spacing w:val="-3"/>
          <w:sz w:val="24"/>
          <w:szCs w:val="24"/>
        </w:rPr>
        <w:t>lease payments</w:t>
      </w:r>
      <w:r w:rsidRPr="004E6649">
        <w:rPr>
          <w:rFonts w:eastAsia="Times New Roman" w:cstheme="minorHAnsi"/>
          <w:bCs/>
          <w:spacing w:val="-3"/>
          <w:sz w:val="24"/>
          <w:szCs w:val="24"/>
        </w:rPr>
        <w:t xml:space="preserve"> to be received under lease agreements are as</w:t>
      </w:r>
      <w:r>
        <w:rPr>
          <w:rFonts w:eastAsia="Times New Roman" w:cstheme="minorHAnsi"/>
          <w:bCs/>
          <w:spacing w:val="-3"/>
          <w:sz w:val="24"/>
          <w:szCs w:val="24"/>
        </w:rPr>
        <w:t xml:space="preserve"> </w:t>
      </w:r>
      <w:r w:rsidRPr="004E6649">
        <w:rPr>
          <w:rFonts w:eastAsia="Times New Roman" w:cstheme="minorHAnsi"/>
          <w:bCs/>
          <w:spacing w:val="-3"/>
          <w:sz w:val="24"/>
          <w:szCs w:val="24"/>
        </w:rPr>
        <w:t>follows:</w:t>
      </w:r>
    </w:p>
    <w:tbl>
      <w:tblPr>
        <w:tblW w:w="4654" w:type="dxa"/>
        <w:jc w:val="center"/>
        <w:tblLayout w:type="fixed"/>
        <w:tblLook w:val="04A0" w:firstRow="1" w:lastRow="0" w:firstColumn="1" w:lastColumn="0" w:noHBand="0" w:noVBand="1"/>
      </w:tblPr>
      <w:tblGrid>
        <w:gridCol w:w="1980"/>
        <w:gridCol w:w="1337"/>
        <w:gridCol w:w="1337"/>
      </w:tblGrid>
      <w:tr w:rsidR="001B6918" w:rsidRPr="004E6649" w14:paraId="20B37672" w14:textId="77777777" w:rsidTr="00730ECF">
        <w:trPr>
          <w:trHeight w:val="588"/>
          <w:tblHeader/>
          <w:jc w:val="center"/>
        </w:trPr>
        <w:tc>
          <w:tcPr>
            <w:tcW w:w="1980" w:type="dxa"/>
            <w:tcBorders>
              <w:top w:val="nil"/>
              <w:left w:val="nil"/>
              <w:bottom w:val="nil"/>
              <w:right w:val="nil"/>
            </w:tcBorders>
            <w:shd w:val="clear" w:color="000000" w:fill="FFFFFF"/>
            <w:vAlign w:val="bottom"/>
            <w:hideMark/>
          </w:tcPr>
          <w:p w14:paraId="10FBE613"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 xml:space="preserve">Year Ending </w:t>
            </w:r>
          </w:p>
          <w:p w14:paraId="2AB60E2B"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June 30:</w:t>
            </w:r>
          </w:p>
        </w:tc>
        <w:tc>
          <w:tcPr>
            <w:tcW w:w="1337" w:type="dxa"/>
            <w:tcBorders>
              <w:top w:val="nil"/>
              <w:left w:val="nil"/>
              <w:bottom w:val="single" w:sz="12" w:space="0" w:color="000000" w:themeColor="text1"/>
              <w:right w:val="nil"/>
            </w:tcBorders>
            <w:shd w:val="clear" w:color="000000" w:fill="FFFFFF"/>
            <w:noWrap/>
            <w:vAlign w:val="bottom"/>
            <w:hideMark/>
          </w:tcPr>
          <w:p w14:paraId="254A41FE"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Principal</w:t>
            </w:r>
          </w:p>
        </w:tc>
        <w:tc>
          <w:tcPr>
            <w:tcW w:w="1337" w:type="dxa"/>
            <w:tcBorders>
              <w:top w:val="nil"/>
              <w:left w:val="nil"/>
              <w:bottom w:val="single" w:sz="12" w:space="0" w:color="000000" w:themeColor="text1"/>
              <w:right w:val="nil"/>
            </w:tcBorders>
            <w:noWrap/>
            <w:vAlign w:val="bottom"/>
            <w:hideMark/>
          </w:tcPr>
          <w:p w14:paraId="2CD273DB"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Interest</w:t>
            </w:r>
          </w:p>
        </w:tc>
      </w:tr>
      <w:tr w:rsidR="001B6918" w:rsidRPr="004E6649" w14:paraId="7B892BE5" w14:textId="77777777" w:rsidTr="00730ECF">
        <w:trPr>
          <w:trHeight w:val="300"/>
          <w:jc w:val="center"/>
        </w:trPr>
        <w:tc>
          <w:tcPr>
            <w:tcW w:w="1980" w:type="dxa"/>
            <w:tcBorders>
              <w:top w:val="nil"/>
              <w:left w:val="nil"/>
              <w:bottom w:val="nil"/>
              <w:right w:val="nil"/>
            </w:tcBorders>
            <w:shd w:val="clear" w:color="000000" w:fill="FFFFFF"/>
            <w:noWrap/>
            <w:vAlign w:val="bottom"/>
            <w:hideMark/>
          </w:tcPr>
          <w:p w14:paraId="1FD3BDBF" w14:textId="77777777" w:rsidR="001B6918" w:rsidRPr="004E6649" w:rsidRDefault="001B6918" w:rsidP="00730ECF">
            <w:pPr>
              <w:jc w:val="center"/>
              <w:rPr>
                <w:rFonts w:eastAsia="Times New Roman" w:cstheme="minorHAnsi"/>
                <w:color w:val="0D0D0D"/>
              </w:rPr>
            </w:pPr>
            <w:r w:rsidRPr="004E6649">
              <w:rPr>
                <w:rFonts w:eastAsia="Times New Roman" w:cstheme="minorHAnsi"/>
                <w:color w:val="0D0D0D"/>
              </w:rPr>
              <w:t>202</w:t>
            </w:r>
            <w:r>
              <w:rPr>
                <w:rFonts w:eastAsia="Times New Roman" w:cstheme="minorHAnsi"/>
                <w:color w:val="0D0D0D"/>
              </w:rPr>
              <w:t>6</w:t>
            </w:r>
          </w:p>
        </w:tc>
        <w:tc>
          <w:tcPr>
            <w:tcW w:w="1337" w:type="dxa"/>
            <w:tcBorders>
              <w:top w:val="single" w:sz="12" w:space="0" w:color="000000" w:themeColor="text1"/>
              <w:left w:val="nil"/>
              <w:bottom w:val="nil"/>
              <w:right w:val="nil"/>
            </w:tcBorders>
            <w:noWrap/>
            <w:vAlign w:val="bottom"/>
            <w:hideMark/>
          </w:tcPr>
          <w:p w14:paraId="1923030F" w14:textId="77777777" w:rsidR="001B6918" w:rsidRPr="008B7CEE" w:rsidRDefault="001B6918" w:rsidP="00730ECF">
            <w:pPr>
              <w:jc w:val="right"/>
              <w:rPr>
                <w:rFonts w:eastAsia="Times New Roman" w:cstheme="minorHAnsi"/>
                <w:color w:val="FF0000"/>
              </w:rPr>
            </w:pPr>
            <w:r>
              <w:rPr>
                <w:rFonts w:ascii="Calibri" w:hAnsi="Calibri" w:cs="Calibri"/>
                <w:color w:val="000000"/>
              </w:rPr>
              <w:t xml:space="preserve"> $    288 </w:t>
            </w:r>
          </w:p>
        </w:tc>
        <w:tc>
          <w:tcPr>
            <w:tcW w:w="1337" w:type="dxa"/>
            <w:tcBorders>
              <w:top w:val="single" w:sz="12" w:space="0" w:color="000000" w:themeColor="text1"/>
              <w:left w:val="nil"/>
              <w:bottom w:val="nil"/>
              <w:right w:val="nil"/>
            </w:tcBorders>
            <w:noWrap/>
            <w:vAlign w:val="bottom"/>
            <w:hideMark/>
          </w:tcPr>
          <w:p w14:paraId="6F39128A" w14:textId="77777777" w:rsidR="001B6918" w:rsidRPr="008B7CEE" w:rsidRDefault="001B6918" w:rsidP="00730ECF">
            <w:pPr>
              <w:jc w:val="right"/>
              <w:rPr>
                <w:rFonts w:eastAsia="Times New Roman" w:cstheme="minorHAnsi"/>
                <w:color w:val="FF0000"/>
              </w:rPr>
            </w:pPr>
            <w:r>
              <w:rPr>
                <w:rFonts w:ascii="Calibri" w:hAnsi="Calibri" w:cs="Calibri"/>
                <w:color w:val="000000"/>
              </w:rPr>
              <w:t xml:space="preserve"> $   44 </w:t>
            </w:r>
          </w:p>
        </w:tc>
      </w:tr>
      <w:tr w:rsidR="001B6918" w:rsidRPr="004E6649" w14:paraId="1C0CF9C0" w14:textId="77777777" w:rsidTr="00730ECF">
        <w:trPr>
          <w:trHeight w:val="288"/>
          <w:jc w:val="center"/>
        </w:trPr>
        <w:tc>
          <w:tcPr>
            <w:tcW w:w="1980" w:type="dxa"/>
            <w:tcBorders>
              <w:top w:val="nil"/>
              <w:left w:val="nil"/>
              <w:bottom w:val="nil"/>
              <w:right w:val="nil"/>
            </w:tcBorders>
            <w:shd w:val="clear" w:color="000000" w:fill="FFFFFF"/>
            <w:noWrap/>
            <w:vAlign w:val="bottom"/>
            <w:hideMark/>
          </w:tcPr>
          <w:p w14:paraId="5865E275" w14:textId="77777777" w:rsidR="001B6918" w:rsidRPr="004E6649" w:rsidRDefault="001B6918" w:rsidP="00730ECF">
            <w:pPr>
              <w:jc w:val="center"/>
              <w:rPr>
                <w:rFonts w:eastAsia="Times New Roman" w:cstheme="minorHAnsi"/>
                <w:color w:val="0D0D0D"/>
              </w:rPr>
            </w:pPr>
            <w:r w:rsidRPr="004E6649">
              <w:rPr>
                <w:rFonts w:eastAsia="Times New Roman" w:cstheme="minorHAnsi"/>
                <w:color w:val="0D0D0D"/>
              </w:rPr>
              <w:t>202</w:t>
            </w:r>
            <w:r>
              <w:rPr>
                <w:rFonts w:eastAsia="Times New Roman" w:cstheme="minorHAnsi"/>
                <w:color w:val="0D0D0D"/>
              </w:rPr>
              <w:t>7</w:t>
            </w:r>
          </w:p>
        </w:tc>
        <w:tc>
          <w:tcPr>
            <w:tcW w:w="1337" w:type="dxa"/>
            <w:tcBorders>
              <w:top w:val="nil"/>
              <w:left w:val="nil"/>
              <w:bottom w:val="nil"/>
              <w:right w:val="nil"/>
            </w:tcBorders>
            <w:noWrap/>
            <w:vAlign w:val="bottom"/>
            <w:hideMark/>
          </w:tcPr>
          <w:p w14:paraId="57AD7C7E" w14:textId="77777777" w:rsidR="001B6918" w:rsidRPr="008B7CEE" w:rsidRDefault="001B6918" w:rsidP="00730ECF">
            <w:pPr>
              <w:jc w:val="right"/>
              <w:rPr>
                <w:rFonts w:eastAsia="Times New Roman" w:cstheme="minorHAnsi"/>
                <w:color w:val="FF0000"/>
              </w:rPr>
            </w:pPr>
            <w:r>
              <w:rPr>
                <w:rFonts w:ascii="Calibri" w:hAnsi="Calibri" w:cs="Calibri"/>
                <w:color w:val="000000"/>
              </w:rPr>
              <w:t>276</w:t>
            </w:r>
          </w:p>
        </w:tc>
        <w:tc>
          <w:tcPr>
            <w:tcW w:w="1337" w:type="dxa"/>
            <w:tcBorders>
              <w:top w:val="nil"/>
              <w:left w:val="nil"/>
              <w:bottom w:val="nil"/>
              <w:right w:val="nil"/>
            </w:tcBorders>
            <w:noWrap/>
            <w:vAlign w:val="bottom"/>
            <w:hideMark/>
          </w:tcPr>
          <w:p w14:paraId="358DCD62" w14:textId="77777777" w:rsidR="001B6918" w:rsidRPr="008B7CEE" w:rsidRDefault="001B6918" w:rsidP="00730ECF">
            <w:pPr>
              <w:jc w:val="right"/>
              <w:rPr>
                <w:rFonts w:eastAsia="Times New Roman" w:cstheme="minorHAnsi"/>
                <w:color w:val="FF0000"/>
              </w:rPr>
            </w:pPr>
            <w:r>
              <w:rPr>
                <w:rFonts w:ascii="Calibri" w:hAnsi="Calibri" w:cs="Calibri"/>
                <w:color w:val="000000"/>
              </w:rPr>
              <w:t>41</w:t>
            </w:r>
          </w:p>
        </w:tc>
      </w:tr>
      <w:tr w:rsidR="001B6918" w:rsidRPr="004E6649" w14:paraId="60AD2D26" w14:textId="77777777" w:rsidTr="00730ECF">
        <w:trPr>
          <w:trHeight w:val="288"/>
          <w:jc w:val="center"/>
        </w:trPr>
        <w:tc>
          <w:tcPr>
            <w:tcW w:w="1980" w:type="dxa"/>
            <w:tcBorders>
              <w:top w:val="nil"/>
              <w:left w:val="nil"/>
              <w:bottom w:val="nil"/>
              <w:right w:val="nil"/>
            </w:tcBorders>
            <w:shd w:val="clear" w:color="000000" w:fill="FFFFFF"/>
            <w:noWrap/>
            <w:vAlign w:val="bottom"/>
            <w:hideMark/>
          </w:tcPr>
          <w:p w14:paraId="38D609BA" w14:textId="77777777" w:rsidR="001B6918" w:rsidRPr="004E6649" w:rsidRDefault="001B6918" w:rsidP="00730ECF">
            <w:pPr>
              <w:jc w:val="center"/>
              <w:rPr>
                <w:rFonts w:eastAsia="Times New Roman" w:cstheme="minorHAnsi"/>
                <w:color w:val="0D0D0D"/>
              </w:rPr>
            </w:pPr>
            <w:r w:rsidRPr="004E6649">
              <w:rPr>
                <w:rFonts w:eastAsia="Times New Roman" w:cstheme="minorHAnsi"/>
                <w:color w:val="0D0D0D"/>
              </w:rPr>
              <w:t>202</w:t>
            </w:r>
            <w:r>
              <w:rPr>
                <w:rFonts w:eastAsia="Times New Roman" w:cstheme="minorHAnsi"/>
                <w:color w:val="0D0D0D"/>
              </w:rPr>
              <w:t>8</w:t>
            </w:r>
          </w:p>
        </w:tc>
        <w:tc>
          <w:tcPr>
            <w:tcW w:w="1337" w:type="dxa"/>
            <w:tcBorders>
              <w:top w:val="nil"/>
              <w:left w:val="nil"/>
              <w:bottom w:val="nil"/>
              <w:right w:val="nil"/>
            </w:tcBorders>
            <w:noWrap/>
            <w:vAlign w:val="bottom"/>
            <w:hideMark/>
          </w:tcPr>
          <w:p w14:paraId="063FE949" w14:textId="77777777" w:rsidR="001B6918" w:rsidRPr="008B7CEE" w:rsidRDefault="001B6918" w:rsidP="00730ECF">
            <w:pPr>
              <w:jc w:val="right"/>
              <w:rPr>
                <w:rFonts w:eastAsia="Times New Roman" w:cstheme="minorHAnsi"/>
                <w:color w:val="FF0000"/>
              </w:rPr>
            </w:pPr>
            <w:r>
              <w:rPr>
                <w:rFonts w:ascii="Calibri" w:hAnsi="Calibri" w:cs="Calibri"/>
                <w:color w:val="000000"/>
              </w:rPr>
              <w:t>281</w:t>
            </w:r>
          </w:p>
        </w:tc>
        <w:tc>
          <w:tcPr>
            <w:tcW w:w="1337" w:type="dxa"/>
            <w:tcBorders>
              <w:top w:val="nil"/>
              <w:left w:val="nil"/>
              <w:bottom w:val="nil"/>
              <w:right w:val="nil"/>
            </w:tcBorders>
            <w:noWrap/>
            <w:vAlign w:val="bottom"/>
            <w:hideMark/>
          </w:tcPr>
          <w:p w14:paraId="5CE53849" w14:textId="77777777" w:rsidR="001B6918" w:rsidRPr="008B7CEE" w:rsidRDefault="001B6918" w:rsidP="00730ECF">
            <w:pPr>
              <w:jc w:val="right"/>
              <w:rPr>
                <w:rFonts w:eastAsia="Times New Roman" w:cstheme="minorHAnsi"/>
                <w:color w:val="FF0000"/>
              </w:rPr>
            </w:pPr>
            <w:r>
              <w:rPr>
                <w:rFonts w:ascii="Calibri" w:hAnsi="Calibri" w:cs="Calibri"/>
                <w:color w:val="000000"/>
              </w:rPr>
              <w:t>38</w:t>
            </w:r>
          </w:p>
        </w:tc>
      </w:tr>
      <w:tr w:rsidR="001B6918" w:rsidRPr="004E6649" w14:paraId="0A7C64D1" w14:textId="77777777" w:rsidTr="00730ECF">
        <w:trPr>
          <w:trHeight w:val="288"/>
          <w:jc w:val="center"/>
        </w:trPr>
        <w:tc>
          <w:tcPr>
            <w:tcW w:w="1980" w:type="dxa"/>
            <w:tcBorders>
              <w:top w:val="nil"/>
              <w:left w:val="nil"/>
              <w:bottom w:val="nil"/>
              <w:right w:val="nil"/>
            </w:tcBorders>
            <w:shd w:val="clear" w:color="000000" w:fill="FFFFFF"/>
            <w:noWrap/>
            <w:vAlign w:val="bottom"/>
            <w:hideMark/>
          </w:tcPr>
          <w:p w14:paraId="6EA9E278" w14:textId="77777777" w:rsidR="001B6918" w:rsidRPr="004E6649" w:rsidRDefault="001B6918" w:rsidP="00730ECF">
            <w:pPr>
              <w:jc w:val="center"/>
              <w:rPr>
                <w:rFonts w:eastAsia="Times New Roman" w:cstheme="minorHAnsi"/>
                <w:color w:val="0D0D0D"/>
              </w:rPr>
            </w:pPr>
            <w:r w:rsidRPr="004E6649">
              <w:rPr>
                <w:rFonts w:eastAsia="Times New Roman" w:cstheme="minorHAnsi"/>
                <w:color w:val="0D0D0D"/>
              </w:rPr>
              <w:t>202</w:t>
            </w:r>
            <w:r>
              <w:rPr>
                <w:rFonts w:eastAsia="Times New Roman" w:cstheme="minorHAnsi"/>
                <w:color w:val="0D0D0D"/>
              </w:rPr>
              <w:t>9</w:t>
            </w:r>
          </w:p>
        </w:tc>
        <w:tc>
          <w:tcPr>
            <w:tcW w:w="1337" w:type="dxa"/>
            <w:tcBorders>
              <w:top w:val="nil"/>
              <w:left w:val="nil"/>
              <w:bottom w:val="nil"/>
              <w:right w:val="nil"/>
            </w:tcBorders>
            <w:noWrap/>
            <w:vAlign w:val="bottom"/>
            <w:hideMark/>
          </w:tcPr>
          <w:p w14:paraId="0662035E" w14:textId="77777777" w:rsidR="001B6918" w:rsidRPr="008B7CEE" w:rsidRDefault="001B6918" w:rsidP="00730ECF">
            <w:pPr>
              <w:jc w:val="right"/>
              <w:rPr>
                <w:rFonts w:eastAsia="Times New Roman" w:cstheme="minorHAnsi"/>
                <w:color w:val="FF0000"/>
              </w:rPr>
            </w:pPr>
            <w:r>
              <w:rPr>
                <w:rFonts w:ascii="Calibri" w:hAnsi="Calibri" w:cs="Calibri"/>
                <w:color w:val="000000"/>
              </w:rPr>
              <w:t>226</w:t>
            </w:r>
          </w:p>
        </w:tc>
        <w:tc>
          <w:tcPr>
            <w:tcW w:w="1337" w:type="dxa"/>
            <w:tcBorders>
              <w:top w:val="nil"/>
              <w:left w:val="nil"/>
              <w:bottom w:val="nil"/>
              <w:right w:val="nil"/>
            </w:tcBorders>
            <w:noWrap/>
            <w:vAlign w:val="bottom"/>
            <w:hideMark/>
          </w:tcPr>
          <w:p w14:paraId="7927E4AB" w14:textId="77777777" w:rsidR="001B6918" w:rsidRPr="008B7CEE" w:rsidRDefault="001B6918" w:rsidP="00730ECF">
            <w:pPr>
              <w:jc w:val="right"/>
              <w:rPr>
                <w:rFonts w:eastAsia="Times New Roman" w:cstheme="minorHAnsi"/>
                <w:color w:val="FF0000"/>
              </w:rPr>
            </w:pPr>
            <w:r>
              <w:rPr>
                <w:rFonts w:ascii="Calibri" w:hAnsi="Calibri" w:cs="Calibri"/>
                <w:color w:val="000000"/>
              </w:rPr>
              <w:t>34</w:t>
            </w:r>
          </w:p>
        </w:tc>
      </w:tr>
      <w:tr w:rsidR="001B6918" w:rsidRPr="004E6649" w14:paraId="628E8613" w14:textId="77777777" w:rsidTr="00730ECF">
        <w:trPr>
          <w:trHeight w:val="288"/>
          <w:jc w:val="center"/>
        </w:trPr>
        <w:tc>
          <w:tcPr>
            <w:tcW w:w="1980" w:type="dxa"/>
            <w:tcBorders>
              <w:top w:val="nil"/>
              <w:left w:val="nil"/>
              <w:bottom w:val="nil"/>
              <w:right w:val="nil"/>
            </w:tcBorders>
            <w:shd w:val="clear" w:color="000000" w:fill="FFFFFF"/>
            <w:noWrap/>
            <w:vAlign w:val="bottom"/>
            <w:hideMark/>
          </w:tcPr>
          <w:p w14:paraId="61346098" w14:textId="77777777" w:rsidR="001B6918" w:rsidRPr="004E6649" w:rsidRDefault="001B6918" w:rsidP="00730ECF">
            <w:pPr>
              <w:jc w:val="center"/>
              <w:rPr>
                <w:rFonts w:eastAsia="Times New Roman" w:cstheme="minorHAnsi"/>
                <w:color w:val="0D0D0D"/>
              </w:rPr>
            </w:pPr>
            <w:r w:rsidRPr="004E6649">
              <w:rPr>
                <w:rFonts w:eastAsia="Times New Roman" w:cstheme="minorHAnsi"/>
                <w:color w:val="0D0D0D"/>
              </w:rPr>
              <w:t>20</w:t>
            </w:r>
            <w:r>
              <w:rPr>
                <w:rFonts w:eastAsia="Times New Roman" w:cstheme="minorHAnsi"/>
                <w:color w:val="0D0D0D"/>
              </w:rPr>
              <w:t>30</w:t>
            </w:r>
          </w:p>
        </w:tc>
        <w:tc>
          <w:tcPr>
            <w:tcW w:w="1337" w:type="dxa"/>
            <w:tcBorders>
              <w:top w:val="nil"/>
              <w:left w:val="nil"/>
              <w:bottom w:val="nil"/>
              <w:right w:val="nil"/>
            </w:tcBorders>
            <w:noWrap/>
            <w:vAlign w:val="bottom"/>
            <w:hideMark/>
          </w:tcPr>
          <w:p w14:paraId="316A89AD" w14:textId="77777777" w:rsidR="001B6918" w:rsidRPr="008B7CEE" w:rsidRDefault="001B6918" w:rsidP="00730ECF">
            <w:pPr>
              <w:jc w:val="right"/>
              <w:rPr>
                <w:rFonts w:eastAsia="Times New Roman" w:cstheme="minorHAnsi"/>
                <w:color w:val="FF0000"/>
              </w:rPr>
            </w:pPr>
            <w:r>
              <w:rPr>
                <w:rFonts w:ascii="Calibri" w:hAnsi="Calibri" w:cs="Calibri"/>
                <w:color w:val="000000"/>
              </w:rPr>
              <w:t>185</w:t>
            </w:r>
          </w:p>
        </w:tc>
        <w:tc>
          <w:tcPr>
            <w:tcW w:w="1337" w:type="dxa"/>
            <w:tcBorders>
              <w:top w:val="nil"/>
              <w:left w:val="nil"/>
              <w:bottom w:val="nil"/>
              <w:right w:val="nil"/>
            </w:tcBorders>
            <w:noWrap/>
            <w:vAlign w:val="bottom"/>
            <w:hideMark/>
          </w:tcPr>
          <w:p w14:paraId="5F307F3F" w14:textId="77777777" w:rsidR="001B6918" w:rsidRPr="008B7CEE" w:rsidRDefault="001B6918" w:rsidP="00730ECF">
            <w:pPr>
              <w:jc w:val="right"/>
              <w:rPr>
                <w:rFonts w:eastAsia="Times New Roman" w:cstheme="minorHAnsi"/>
                <w:color w:val="FF0000"/>
              </w:rPr>
            </w:pPr>
            <w:r>
              <w:rPr>
                <w:rFonts w:ascii="Calibri" w:hAnsi="Calibri" w:cs="Calibri"/>
                <w:color w:val="000000"/>
              </w:rPr>
              <w:t>32</w:t>
            </w:r>
          </w:p>
        </w:tc>
      </w:tr>
      <w:tr w:rsidR="001B6918" w:rsidRPr="004E6649" w14:paraId="53332479" w14:textId="77777777" w:rsidTr="00730ECF">
        <w:trPr>
          <w:trHeight w:val="288"/>
          <w:jc w:val="center"/>
        </w:trPr>
        <w:tc>
          <w:tcPr>
            <w:tcW w:w="1980" w:type="dxa"/>
            <w:tcBorders>
              <w:top w:val="nil"/>
              <w:left w:val="nil"/>
              <w:bottom w:val="nil"/>
              <w:right w:val="nil"/>
            </w:tcBorders>
            <w:shd w:val="clear" w:color="000000" w:fill="FFFFFF"/>
            <w:noWrap/>
            <w:vAlign w:val="bottom"/>
            <w:hideMark/>
          </w:tcPr>
          <w:p w14:paraId="10BA8037" w14:textId="77777777" w:rsidR="001B6918" w:rsidRPr="004E6649" w:rsidRDefault="001B6918" w:rsidP="00730ECF">
            <w:pPr>
              <w:jc w:val="center"/>
              <w:rPr>
                <w:rFonts w:eastAsia="Times New Roman" w:cstheme="minorHAnsi"/>
                <w:color w:val="0D0D0D"/>
              </w:rPr>
            </w:pPr>
            <w:r w:rsidRPr="004E6649">
              <w:rPr>
                <w:rFonts w:eastAsia="Times New Roman" w:cstheme="minorHAnsi"/>
                <w:color w:val="0D0D0D"/>
              </w:rPr>
              <w:t>20</w:t>
            </w:r>
            <w:r>
              <w:rPr>
                <w:rFonts w:eastAsia="Times New Roman" w:cstheme="minorHAnsi"/>
                <w:color w:val="0D0D0D"/>
              </w:rPr>
              <w:t>31</w:t>
            </w:r>
            <w:r w:rsidRPr="004E6649">
              <w:rPr>
                <w:rFonts w:eastAsia="Times New Roman" w:cstheme="minorHAnsi"/>
                <w:color w:val="0D0D0D"/>
              </w:rPr>
              <w:t>-203</w:t>
            </w:r>
            <w:r>
              <w:rPr>
                <w:rFonts w:eastAsia="Times New Roman" w:cstheme="minorHAnsi"/>
                <w:color w:val="0D0D0D"/>
              </w:rPr>
              <w:t>5</w:t>
            </w:r>
          </w:p>
        </w:tc>
        <w:tc>
          <w:tcPr>
            <w:tcW w:w="1337" w:type="dxa"/>
            <w:tcBorders>
              <w:top w:val="nil"/>
              <w:left w:val="nil"/>
              <w:bottom w:val="nil"/>
              <w:right w:val="nil"/>
            </w:tcBorders>
            <w:shd w:val="clear" w:color="000000" w:fill="FFFFFF"/>
            <w:noWrap/>
            <w:vAlign w:val="bottom"/>
            <w:hideMark/>
          </w:tcPr>
          <w:p w14:paraId="5DD57460" w14:textId="77777777" w:rsidR="001B6918" w:rsidRPr="008B7CEE" w:rsidRDefault="001B6918" w:rsidP="00730ECF">
            <w:pPr>
              <w:jc w:val="right"/>
              <w:rPr>
                <w:rFonts w:eastAsia="Times New Roman" w:cstheme="minorHAnsi"/>
                <w:color w:val="FF0000"/>
              </w:rPr>
            </w:pPr>
            <w:r>
              <w:rPr>
                <w:rFonts w:ascii="Calibri" w:hAnsi="Calibri" w:cs="Calibri"/>
                <w:color w:val="000000"/>
              </w:rPr>
              <w:t>772</w:t>
            </w:r>
          </w:p>
        </w:tc>
        <w:tc>
          <w:tcPr>
            <w:tcW w:w="1337" w:type="dxa"/>
            <w:tcBorders>
              <w:top w:val="nil"/>
              <w:left w:val="nil"/>
              <w:bottom w:val="nil"/>
              <w:right w:val="nil"/>
            </w:tcBorders>
            <w:noWrap/>
            <w:vAlign w:val="bottom"/>
            <w:hideMark/>
          </w:tcPr>
          <w:p w14:paraId="60DE8221" w14:textId="77777777" w:rsidR="001B6918" w:rsidRPr="008B7CEE" w:rsidRDefault="001B6918" w:rsidP="00730ECF">
            <w:pPr>
              <w:jc w:val="right"/>
              <w:rPr>
                <w:rFonts w:eastAsia="Times New Roman" w:cstheme="minorHAnsi"/>
                <w:color w:val="FF0000"/>
              </w:rPr>
            </w:pPr>
            <w:r>
              <w:rPr>
                <w:rFonts w:ascii="Calibri" w:hAnsi="Calibri" w:cs="Calibri"/>
                <w:color w:val="000000"/>
              </w:rPr>
              <w:t>118</w:t>
            </w:r>
          </w:p>
        </w:tc>
      </w:tr>
      <w:tr w:rsidR="001B6918" w:rsidRPr="004E6649" w14:paraId="2FD23283" w14:textId="77777777" w:rsidTr="00730ECF">
        <w:trPr>
          <w:trHeight w:val="288"/>
          <w:jc w:val="center"/>
        </w:trPr>
        <w:tc>
          <w:tcPr>
            <w:tcW w:w="1980" w:type="dxa"/>
            <w:tcBorders>
              <w:top w:val="nil"/>
              <w:left w:val="nil"/>
              <w:bottom w:val="nil"/>
              <w:right w:val="nil"/>
            </w:tcBorders>
            <w:shd w:val="clear" w:color="000000" w:fill="FFFFFF"/>
            <w:noWrap/>
            <w:vAlign w:val="bottom"/>
            <w:hideMark/>
          </w:tcPr>
          <w:p w14:paraId="6C0B12CA" w14:textId="77777777" w:rsidR="001B6918" w:rsidRPr="004E6649" w:rsidRDefault="001B6918" w:rsidP="00730ECF">
            <w:pPr>
              <w:jc w:val="center"/>
              <w:rPr>
                <w:rFonts w:eastAsia="Times New Roman" w:cstheme="minorHAnsi"/>
                <w:color w:val="0D0D0D"/>
              </w:rPr>
            </w:pPr>
            <w:r w:rsidRPr="004E6649">
              <w:rPr>
                <w:rFonts w:eastAsia="Times New Roman" w:cstheme="minorHAnsi"/>
                <w:color w:val="0D0D0D"/>
              </w:rPr>
              <w:t>203</w:t>
            </w:r>
            <w:r>
              <w:rPr>
                <w:rFonts w:eastAsia="Times New Roman" w:cstheme="minorHAnsi"/>
                <w:color w:val="0D0D0D"/>
              </w:rPr>
              <w:t>6</w:t>
            </w:r>
            <w:r w:rsidRPr="004E6649">
              <w:rPr>
                <w:rFonts w:eastAsia="Times New Roman" w:cstheme="minorHAnsi"/>
                <w:color w:val="0D0D0D"/>
              </w:rPr>
              <w:t>-20</w:t>
            </w:r>
            <w:r>
              <w:rPr>
                <w:rFonts w:eastAsia="Times New Roman" w:cstheme="minorHAnsi"/>
                <w:color w:val="0D0D0D"/>
              </w:rPr>
              <w:t>40</w:t>
            </w:r>
          </w:p>
        </w:tc>
        <w:tc>
          <w:tcPr>
            <w:tcW w:w="1337" w:type="dxa"/>
            <w:tcBorders>
              <w:top w:val="nil"/>
              <w:left w:val="nil"/>
              <w:bottom w:val="nil"/>
              <w:right w:val="nil"/>
            </w:tcBorders>
            <w:shd w:val="clear" w:color="000000" w:fill="FFFFFF"/>
            <w:noWrap/>
            <w:vAlign w:val="bottom"/>
            <w:hideMark/>
          </w:tcPr>
          <w:p w14:paraId="7FDCD19B" w14:textId="77777777" w:rsidR="001B6918" w:rsidRPr="008B7CEE" w:rsidRDefault="001B6918" w:rsidP="00730ECF">
            <w:pPr>
              <w:jc w:val="right"/>
              <w:rPr>
                <w:rFonts w:eastAsia="Times New Roman" w:cstheme="minorHAnsi"/>
                <w:color w:val="FF0000"/>
              </w:rPr>
            </w:pPr>
            <w:r>
              <w:rPr>
                <w:rFonts w:ascii="Calibri" w:hAnsi="Calibri" w:cs="Calibri"/>
                <w:color w:val="000000"/>
              </w:rPr>
              <w:t>726</w:t>
            </w:r>
          </w:p>
        </w:tc>
        <w:tc>
          <w:tcPr>
            <w:tcW w:w="1337" w:type="dxa"/>
            <w:tcBorders>
              <w:top w:val="nil"/>
              <w:left w:val="nil"/>
              <w:bottom w:val="nil"/>
              <w:right w:val="nil"/>
            </w:tcBorders>
            <w:noWrap/>
            <w:vAlign w:val="bottom"/>
            <w:hideMark/>
          </w:tcPr>
          <w:p w14:paraId="55621BD2" w14:textId="77777777" w:rsidR="001B6918" w:rsidRPr="008B7CEE" w:rsidRDefault="001B6918" w:rsidP="00730ECF">
            <w:pPr>
              <w:jc w:val="right"/>
              <w:rPr>
                <w:rFonts w:eastAsia="Times New Roman" w:cstheme="minorHAnsi"/>
                <w:color w:val="FF0000"/>
              </w:rPr>
            </w:pPr>
            <w:r>
              <w:rPr>
                <w:rFonts w:ascii="Calibri" w:hAnsi="Calibri" w:cs="Calibri"/>
                <w:color w:val="000000"/>
              </w:rPr>
              <w:t>49</w:t>
            </w:r>
          </w:p>
        </w:tc>
      </w:tr>
      <w:tr w:rsidR="001B6918" w:rsidRPr="004E6649" w14:paraId="0498CF40" w14:textId="77777777" w:rsidTr="00730ECF">
        <w:trPr>
          <w:trHeight w:val="288"/>
          <w:jc w:val="center"/>
        </w:trPr>
        <w:tc>
          <w:tcPr>
            <w:tcW w:w="1980" w:type="dxa"/>
            <w:tcBorders>
              <w:top w:val="nil"/>
              <w:left w:val="nil"/>
              <w:bottom w:val="nil"/>
              <w:right w:val="nil"/>
            </w:tcBorders>
            <w:shd w:val="clear" w:color="000000" w:fill="FFFFFF"/>
            <w:noWrap/>
            <w:vAlign w:val="bottom"/>
          </w:tcPr>
          <w:p w14:paraId="2DE8A2A8" w14:textId="77777777" w:rsidR="001B6918" w:rsidRPr="004E6649" w:rsidRDefault="001B6918" w:rsidP="00730ECF">
            <w:pPr>
              <w:jc w:val="center"/>
              <w:rPr>
                <w:rFonts w:eastAsia="Times New Roman" w:cstheme="minorHAnsi"/>
                <w:color w:val="0D0D0D"/>
              </w:rPr>
            </w:pPr>
            <w:r w:rsidRPr="004E6649">
              <w:rPr>
                <w:rFonts w:eastAsia="Times New Roman" w:cstheme="minorHAnsi"/>
                <w:color w:val="0D0D0D"/>
              </w:rPr>
              <w:t>20</w:t>
            </w:r>
            <w:r>
              <w:rPr>
                <w:rFonts w:eastAsia="Times New Roman" w:cstheme="minorHAnsi"/>
                <w:color w:val="0D0D0D"/>
              </w:rPr>
              <w:t>41</w:t>
            </w:r>
            <w:r w:rsidRPr="004E6649">
              <w:rPr>
                <w:rFonts w:eastAsia="Times New Roman" w:cstheme="minorHAnsi"/>
                <w:color w:val="0D0D0D"/>
              </w:rPr>
              <w:t>-204</w:t>
            </w:r>
            <w:r>
              <w:rPr>
                <w:rFonts w:eastAsia="Times New Roman" w:cstheme="minorHAnsi"/>
                <w:color w:val="0D0D0D"/>
              </w:rPr>
              <w:t>5</w:t>
            </w:r>
          </w:p>
        </w:tc>
        <w:tc>
          <w:tcPr>
            <w:tcW w:w="1337" w:type="dxa"/>
            <w:tcBorders>
              <w:top w:val="nil"/>
              <w:left w:val="nil"/>
              <w:bottom w:val="nil"/>
              <w:right w:val="nil"/>
            </w:tcBorders>
            <w:shd w:val="clear" w:color="000000" w:fill="FFFFFF"/>
            <w:noWrap/>
            <w:vAlign w:val="bottom"/>
          </w:tcPr>
          <w:p w14:paraId="50B4E36B" w14:textId="77777777" w:rsidR="001B6918" w:rsidRPr="008B7CEE" w:rsidRDefault="001B6918" w:rsidP="00730ECF">
            <w:pPr>
              <w:jc w:val="right"/>
              <w:rPr>
                <w:rFonts w:cstheme="minorHAnsi"/>
                <w:color w:val="FF0000"/>
              </w:rPr>
            </w:pPr>
            <w:r>
              <w:rPr>
                <w:rFonts w:ascii="Calibri" w:hAnsi="Calibri" w:cs="Calibri"/>
                <w:color w:val="000000"/>
              </w:rPr>
              <w:t>327</w:t>
            </w:r>
          </w:p>
        </w:tc>
        <w:tc>
          <w:tcPr>
            <w:tcW w:w="1337" w:type="dxa"/>
            <w:tcBorders>
              <w:top w:val="nil"/>
              <w:left w:val="nil"/>
              <w:bottom w:val="nil"/>
              <w:right w:val="nil"/>
            </w:tcBorders>
            <w:noWrap/>
            <w:vAlign w:val="bottom"/>
          </w:tcPr>
          <w:p w14:paraId="46855849" w14:textId="77777777" w:rsidR="001B6918" w:rsidRPr="008B7CEE" w:rsidRDefault="001B6918" w:rsidP="00730ECF">
            <w:pPr>
              <w:jc w:val="right"/>
              <w:rPr>
                <w:rFonts w:cstheme="minorHAnsi"/>
                <w:color w:val="FF0000"/>
              </w:rPr>
            </w:pPr>
            <w:r>
              <w:rPr>
                <w:rFonts w:ascii="Calibri" w:hAnsi="Calibri" w:cs="Calibri"/>
                <w:color w:val="000000"/>
              </w:rPr>
              <w:t>11</w:t>
            </w:r>
          </w:p>
        </w:tc>
      </w:tr>
      <w:tr w:rsidR="001B6918" w:rsidRPr="004E6649" w14:paraId="64D19325" w14:textId="77777777" w:rsidTr="00730ECF">
        <w:trPr>
          <w:trHeight w:val="288"/>
          <w:jc w:val="center"/>
        </w:trPr>
        <w:tc>
          <w:tcPr>
            <w:tcW w:w="1980" w:type="dxa"/>
            <w:tcBorders>
              <w:top w:val="nil"/>
              <w:left w:val="nil"/>
              <w:bottom w:val="single" w:sz="4" w:space="0" w:color="000000" w:themeColor="text1"/>
              <w:right w:val="nil"/>
            </w:tcBorders>
            <w:shd w:val="clear" w:color="000000" w:fill="FFFFFF"/>
            <w:noWrap/>
            <w:vAlign w:val="bottom"/>
          </w:tcPr>
          <w:p w14:paraId="75537ED9" w14:textId="77777777" w:rsidR="001B6918" w:rsidRPr="004E6649" w:rsidRDefault="001B6918" w:rsidP="00730ECF">
            <w:pPr>
              <w:jc w:val="center"/>
              <w:rPr>
                <w:rFonts w:eastAsia="Times New Roman" w:cstheme="minorHAnsi"/>
                <w:color w:val="0D0D0D"/>
              </w:rPr>
            </w:pPr>
            <w:r w:rsidRPr="004E6649">
              <w:rPr>
                <w:rFonts w:eastAsia="Times New Roman" w:cstheme="minorHAnsi"/>
                <w:color w:val="0D0D0D"/>
              </w:rPr>
              <w:t>204</w:t>
            </w:r>
            <w:r>
              <w:rPr>
                <w:rFonts w:eastAsia="Times New Roman" w:cstheme="minorHAnsi"/>
                <w:color w:val="0D0D0D"/>
              </w:rPr>
              <w:t>6</w:t>
            </w:r>
            <w:r w:rsidRPr="004E6649">
              <w:rPr>
                <w:rFonts w:eastAsia="Times New Roman" w:cstheme="minorHAnsi"/>
                <w:color w:val="0D0D0D"/>
              </w:rPr>
              <w:t>-204</w:t>
            </w:r>
            <w:r>
              <w:rPr>
                <w:rFonts w:eastAsia="Times New Roman" w:cstheme="minorHAnsi"/>
                <w:color w:val="0D0D0D"/>
              </w:rPr>
              <w:t>7</w:t>
            </w:r>
          </w:p>
        </w:tc>
        <w:tc>
          <w:tcPr>
            <w:tcW w:w="1337" w:type="dxa"/>
            <w:tcBorders>
              <w:top w:val="nil"/>
              <w:left w:val="nil"/>
              <w:bottom w:val="single" w:sz="4" w:space="0" w:color="000000" w:themeColor="text1"/>
              <w:right w:val="nil"/>
            </w:tcBorders>
            <w:shd w:val="clear" w:color="000000" w:fill="FFFFFF"/>
            <w:noWrap/>
            <w:vAlign w:val="bottom"/>
          </w:tcPr>
          <w:p w14:paraId="1F36384E" w14:textId="77777777" w:rsidR="001B6918" w:rsidRPr="008B7CEE" w:rsidRDefault="001B6918" w:rsidP="00730ECF">
            <w:pPr>
              <w:jc w:val="right"/>
              <w:rPr>
                <w:rFonts w:cstheme="minorHAnsi"/>
                <w:color w:val="FF0000"/>
              </w:rPr>
            </w:pPr>
            <w:r>
              <w:rPr>
                <w:rFonts w:ascii="Calibri" w:hAnsi="Calibri" w:cs="Calibri"/>
                <w:color w:val="000000"/>
              </w:rPr>
              <w:t>67</w:t>
            </w:r>
          </w:p>
        </w:tc>
        <w:tc>
          <w:tcPr>
            <w:tcW w:w="1337" w:type="dxa"/>
            <w:tcBorders>
              <w:top w:val="nil"/>
              <w:left w:val="nil"/>
              <w:bottom w:val="single" w:sz="4" w:space="0" w:color="000000" w:themeColor="text1"/>
              <w:right w:val="nil"/>
            </w:tcBorders>
            <w:noWrap/>
            <w:vAlign w:val="bottom"/>
          </w:tcPr>
          <w:p w14:paraId="7E1ACA58" w14:textId="77777777" w:rsidR="001B6918" w:rsidRPr="008B7CEE" w:rsidRDefault="001B6918" w:rsidP="00730ECF">
            <w:pPr>
              <w:jc w:val="right"/>
              <w:rPr>
                <w:rFonts w:cstheme="minorHAnsi"/>
                <w:color w:val="FF0000"/>
              </w:rPr>
            </w:pPr>
            <w:r>
              <w:rPr>
                <w:rFonts w:ascii="Calibri" w:hAnsi="Calibri" w:cs="Calibri"/>
                <w:color w:val="000000"/>
              </w:rPr>
              <w:t>-</w:t>
            </w:r>
          </w:p>
        </w:tc>
      </w:tr>
      <w:tr w:rsidR="001B6918" w:rsidRPr="004E6649" w14:paraId="12E7486B" w14:textId="77777777" w:rsidTr="00730ECF">
        <w:trPr>
          <w:trHeight w:val="300"/>
          <w:jc w:val="center"/>
        </w:trPr>
        <w:tc>
          <w:tcPr>
            <w:tcW w:w="1980" w:type="dxa"/>
            <w:tcBorders>
              <w:top w:val="single" w:sz="4" w:space="0" w:color="000000" w:themeColor="text1"/>
              <w:left w:val="nil"/>
              <w:bottom w:val="double" w:sz="4" w:space="0" w:color="000000" w:themeColor="text1"/>
              <w:right w:val="nil"/>
            </w:tcBorders>
            <w:shd w:val="clear" w:color="000000" w:fill="FFFFFF"/>
            <w:noWrap/>
            <w:vAlign w:val="bottom"/>
            <w:hideMark/>
          </w:tcPr>
          <w:p w14:paraId="5706D1F9" w14:textId="77777777" w:rsidR="001B6918" w:rsidRPr="004E6649" w:rsidRDefault="001B6918" w:rsidP="00730ECF">
            <w:pPr>
              <w:rPr>
                <w:rFonts w:eastAsia="Times New Roman" w:cstheme="minorHAnsi"/>
                <w:b/>
                <w:bCs/>
                <w:color w:val="0D0D0D"/>
              </w:rPr>
            </w:pPr>
            <w:r w:rsidRPr="004E6649">
              <w:rPr>
                <w:rFonts w:eastAsia="Times New Roman" w:cstheme="minorHAnsi"/>
                <w:b/>
                <w:bCs/>
                <w:color w:val="0D0D0D"/>
              </w:rPr>
              <w:t>Total Payments</w:t>
            </w:r>
          </w:p>
        </w:tc>
        <w:tc>
          <w:tcPr>
            <w:tcW w:w="1337" w:type="dxa"/>
            <w:tcBorders>
              <w:top w:val="single" w:sz="4" w:space="0" w:color="000000" w:themeColor="text1"/>
              <w:left w:val="nil"/>
              <w:bottom w:val="double" w:sz="4" w:space="0" w:color="000000" w:themeColor="text1"/>
              <w:right w:val="nil"/>
            </w:tcBorders>
            <w:shd w:val="clear" w:color="000000" w:fill="FFFFFF"/>
            <w:noWrap/>
            <w:hideMark/>
          </w:tcPr>
          <w:p w14:paraId="3BB22E00" w14:textId="77777777" w:rsidR="001B6918" w:rsidRPr="00CF0143" w:rsidRDefault="001B6918" w:rsidP="00730ECF">
            <w:pPr>
              <w:jc w:val="right"/>
              <w:rPr>
                <w:rFonts w:eastAsia="Times New Roman" w:cstheme="minorHAnsi"/>
              </w:rPr>
            </w:pPr>
            <w:r w:rsidRPr="00CF0143">
              <w:t xml:space="preserve">  $3,148</w:t>
            </w:r>
          </w:p>
        </w:tc>
        <w:tc>
          <w:tcPr>
            <w:tcW w:w="1337" w:type="dxa"/>
            <w:tcBorders>
              <w:top w:val="single" w:sz="4" w:space="0" w:color="000000" w:themeColor="text1"/>
              <w:left w:val="nil"/>
              <w:bottom w:val="double" w:sz="4" w:space="0" w:color="000000" w:themeColor="text1"/>
              <w:right w:val="nil"/>
            </w:tcBorders>
            <w:noWrap/>
            <w:hideMark/>
          </w:tcPr>
          <w:p w14:paraId="3D9B8919" w14:textId="77777777" w:rsidR="001B6918" w:rsidRPr="00CF0143" w:rsidRDefault="001B6918" w:rsidP="00730ECF">
            <w:pPr>
              <w:jc w:val="right"/>
              <w:rPr>
                <w:rFonts w:eastAsia="Times New Roman" w:cstheme="minorHAnsi"/>
              </w:rPr>
            </w:pPr>
            <w:r w:rsidRPr="00CF0143">
              <w:t xml:space="preserve"> $367 </w:t>
            </w:r>
          </w:p>
        </w:tc>
      </w:tr>
    </w:tbl>
    <w:p w14:paraId="4DD1FD86" w14:textId="77777777" w:rsidR="001B6918" w:rsidRDefault="001B6918" w:rsidP="001B6918">
      <w:pPr>
        <w:spacing w:after="160"/>
        <w:rPr>
          <w:rFonts w:eastAsiaTheme="majorEastAsia" w:cstheme="minorHAnsi"/>
          <w:b/>
          <w:i/>
          <w:iCs/>
          <w:smallCaps/>
          <w:noProof/>
          <w:color w:val="000000" w:themeColor="text1"/>
          <w:sz w:val="24"/>
          <w:szCs w:val="24"/>
          <w:u w:color="5B9BD5"/>
        </w:rPr>
      </w:pPr>
    </w:p>
    <w:p w14:paraId="0BF7D08E" w14:textId="77777777" w:rsidR="001B6918" w:rsidRPr="00A02D27" w:rsidRDefault="001B6918" w:rsidP="001B6918">
      <w:pPr>
        <w:spacing w:after="160" w:line="259" w:lineRule="auto"/>
        <w:rPr>
          <w:rFonts w:eastAsiaTheme="majorEastAsia" w:cstheme="minorHAnsi"/>
          <w:b/>
          <w:i/>
          <w:iCs/>
          <w:smallCaps/>
          <w:noProof/>
          <w:color w:val="000000" w:themeColor="text1"/>
          <w:sz w:val="24"/>
          <w:szCs w:val="24"/>
          <w:u w:color="5B9BD5"/>
        </w:rPr>
      </w:pPr>
      <w:r w:rsidRPr="00A02D27">
        <w:rPr>
          <w:rFonts w:eastAsiaTheme="majorEastAsia" w:cstheme="minorHAnsi"/>
          <w:b/>
          <w:i/>
          <w:iCs/>
          <w:smallCaps/>
          <w:noProof/>
          <w:color w:val="000000" w:themeColor="text1"/>
          <w:sz w:val="24"/>
          <w:szCs w:val="24"/>
          <w:u w:color="5B9BD5"/>
        </w:rPr>
        <w:lastRenderedPageBreak/>
        <w:t>5. NOTES, LEASES AND PPP  RECEIVABLES</w:t>
      </w:r>
      <w:r w:rsidRPr="00A02D27" w:rsidDel="00C079BF">
        <w:rPr>
          <w:rFonts w:eastAsiaTheme="majorEastAsia" w:cstheme="minorHAnsi"/>
          <w:b/>
          <w:i/>
          <w:iCs/>
          <w:smallCaps/>
          <w:noProof/>
          <w:color w:val="000000" w:themeColor="text1"/>
          <w:sz w:val="24"/>
          <w:szCs w:val="24"/>
          <w:u w:color="5B9BD5"/>
        </w:rPr>
        <w:t xml:space="preserve"> </w:t>
      </w:r>
      <w:r w:rsidRPr="00A02D27">
        <w:rPr>
          <w:rFonts w:eastAsiaTheme="majorEastAsia" w:cstheme="minorHAnsi"/>
          <w:b/>
          <w:i/>
          <w:iCs/>
          <w:smallCaps/>
          <w:noProof/>
          <w:color w:val="000000" w:themeColor="text1"/>
          <w:sz w:val="24"/>
          <w:szCs w:val="24"/>
          <w:u w:color="5B9BD5"/>
        </w:rPr>
        <w:t>- CONTINUED</w:t>
      </w:r>
    </w:p>
    <w:p w14:paraId="3D088704" w14:textId="77777777" w:rsidR="001B6918" w:rsidRDefault="001B6918" w:rsidP="001B6918">
      <w:pPr>
        <w:numPr>
          <w:ilvl w:val="0"/>
          <w:numId w:val="10"/>
        </w:numPr>
        <w:tabs>
          <w:tab w:val="left" w:pos="720"/>
          <w:tab w:val="left" w:pos="1440"/>
        </w:tabs>
        <w:suppressAutoHyphens/>
        <w:spacing w:before="120"/>
        <w:ind w:right="360"/>
        <w:rPr>
          <w:rFonts w:eastAsia="Times New Roman" w:cstheme="minorHAnsi"/>
          <w:bCs/>
          <w:spacing w:val="-3"/>
          <w:sz w:val="24"/>
          <w:szCs w:val="24"/>
        </w:rPr>
      </w:pPr>
      <w:r>
        <w:rPr>
          <w:rFonts w:eastAsia="Times New Roman" w:cstheme="minorHAnsi"/>
          <w:bCs/>
          <w:spacing w:val="-3"/>
          <w:sz w:val="24"/>
          <w:szCs w:val="24"/>
        </w:rPr>
        <w:t>The System, acting as transferor in a PPP arrangement,</w:t>
      </w:r>
      <w:r w:rsidRPr="00DC2160">
        <w:rPr>
          <w:rFonts w:eastAsia="Times New Roman" w:cstheme="minorHAnsi"/>
          <w:bCs/>
          <w:spacing w:val="-3"/>
          <w:sz w:val="24"/>
          <w:szCs w:val="24"/>
        </w:rPr>
        <w:t xml:space="preserve"> leases land and building assets to the operato</w:t>
      </w:r>
      <w:r>
        <w:rPr>
          <w:rFonts w:eastAsia="Times New Roman" w:cstheme="minorHAnsi"/>
          <w:bCs/>
          <w:spacing w:val="-3"/>
          <w:sz w:val="24"/>
          <w:szCs w:val="24"/>
        </w:rPr>
        <w:t>r</w:t>
      </w:r>
      <w:r w:rsidRPr="00DC2160">
        <w:rPr>
          <w:rFonts w:eastAsia="Times New Roman" w:cstheme="minorHAnsi"/>
          <w:bCs/>
          <w:spacing w:val="-3"/>
          <w:sz w:val="24"/>
          <w:szCs w:val="24"/>
        </w:rPr>
        <w:t xml:space="preserve">. </w:t>
      </w:r>
      <w:r>
        <w:rPr>
          <w:rFonts w:eastAsia="Times New Roman" w:cstheme="minorHAnsi"/>
          <w:bCs/>
          <w:spacing w:val="-3"/>
          <w:sz w:val="24"/>
          <w:szCs w:val="24"/>
        </w:rPr>
        <w:t xml:space="preserve">A net present value receivable of $5,856 has been reported for installment payments, recognizing the expected future rental revenue under the lease; measured using a discount rate of 0%. </w:t>
      </w:r>
      <w:r w:rsidRPr="00DC2160">
        <w:rPr>
          <w:rFonts w:eastAsia="Times New Roman" w:cstheme="minorHAnsi"/>
          <w:bCs/>
          <w:spacing w:val="-3"/>
          <w:sz w:val="24"/>
          <w:szCs w:val="24"/>
        </w:rPr>
        <w:t xml:space="preserve">The lease provides for scheduled increases to base rent each fifth year. </w:t>
      </w:r>
      <w:r>
        <w:rPr>
          <w:rFonts w:eastAsia="Times New Roman" w:cstheme="minorHAnsi"/>
          <w:bCs/>
          <w:spacing w:val="-3"/>
          <w:sz w:val="24"/>
          <w:szCs w:val="24"/>
        </w:rPr>
        <w:t xml:space="preserve">Payments are due in arrears on the first day of the next succeeding quarter; the lease term expires June 30, 2121 and the final payment is due July 1, 2121. </w:t>
      </w:r>
      <w:r w:rsidRPr="00DC2160">
        <w:rPr>
          <w:rFonts w:eastAsia="Times New Roman" w:cstheme="minorHAnsi"/>
          <w:bCs/>
          <w:spacing w:val="-3"/>
          <w:sz w:val="24"/>
          <w:szCs w:val="24"/>
        </w:rPr>
        <w:t xml:space="preserve">A related PPP installment payment receivable and deferred inflow of resources have been recorded. As of June 30, </w:t>
      </w:r>
      <w:r>
        <w:rPr>
          <w:rFonts w:eastAsia="Times New Roman" w:cstheme="minorHAnsi"/>
          <w:bCs/>
          <w:spacing w:val="-3"/>
          <w:sz w:val="24"/>
          <w:szCs w:val="24"/>
        </w:rPr>
        <w:t>2</w:t>
      </w:r>
      <w:r w:rsidRPr="00DC2160">
        <w:rPr>
          <w:rFonts w:eastAsia="Times New Roman" w:cstheme="minorHAnsi"/>
          <w:bCs/>
          <w:spacing w:val="-3"/>
          <w:sz w:val="24"/>
          <w:szCs w:val="24"/>
        </w:rPr>
        <w:t>02</w:t>
      </w:r>
      <w:r>
        <w:rPr>
          <w:rFonts w:eastAsia="Times New Roman" w:cstheme="minorHAnsi"/>
          <w:bCs/>
          <w:spacing w:val="-3"/>
          <w:sz w:val="24"/>
          <w:szCs w:val="24"/>
        </w:rPr>
        <w:t>5</w:t>
      </w:r>
      <w:r w:rsidRPr="00DC2160">
        <w:rPr>
          <w:rFonts w:eastAsia="Times New Roman" w:cstheme="minorHAnsi"/>
          <w:bCs/>
          <w:spacing w:val="-3"/>
          <w:sz w:val="24"/>
          <w:szCs w:val="24"/>
        </w:rPr>
        <w:t xml:space="preserve"> the System anticipates lease payments to commence in fiscal year 2026.</w:t>
      </w:r>
    </w:p>
    <w:p w14:paraId="0B307D79" w14:textId="77777777" w:rsidR="001B6918" w:rsidRPr="00DC2160" w:rsidRDefault="001B6918" w:rsidP="001B6918">
      <w:pPr>
        <w:tabs>
          <w:tab w:val="left" w:pos="720"/>
          <w:tab w:val="left" w:pos="1440"/>
        </w:tabs>
        <w:suppressAutoHyphens/>
        <w:spacing w:before="120"/>
        <w:ind w:left="720" w:right="360"/>
        <w:rPr>
          <w:rFonts w:eastAsia="Times New Roman" w:cstheme="minorHAnsi"/>
          <w:bCs/>
          <w:spacing w:val="-3"/>
          <w:sz w:val="24"/>
          <w:szCs w:val="24"/>
        </w:rPr>
      </w:pPr>
    </w:p>
    <w:p w14:paraId="5E4A3657" w14:textId="77777777" w:rsidR="001B6918" w:rsidRPr="004E6649" w:rsidRDefault="001B6918" w:rsidP="001B6918">
      <w:pPr>
        <w:tabs>
          <w:tab w:val="left" w:pos="720"/>
          <w:tab w:val="left" w:pos="1440"/>
        </w:tabs>
        <w:suppressAutoHyphens/>
        <w:spacing w:after="120"/>
        <w:ind w:left="720" w:right="360"/>
        <w:rPr>
          <w:rFonts w:eastAsia="Times New Roman" w:cstheme="minorHAnsi"/>
          <w:bCs/>
          <w:spacing w:val="-3"/>
          <w:sz w:val="24"/>
          <w:szCs w:val="24"/>
        </w:rPr>
      </w:pPr>
      <w:r w:rsidRPr="004E6649">
        <w:rPr>
          <w:rFonts w:eastAsia="Times New Roman" w:cstheme="minorHAnsi"/>
          <w:bCs/>
          <w:spacing w:val="-3"/>
          <w:sz w:val="24"/>
          <w:szCs w:val="24"/>
        </w:rPr>
        <w:t xml:space="preserve">Total future </w:t>
      </w:r>
      <w:r w:rsidRPr="00495E89">
        <w:rPr>
          <w:rFonts w:eastAsia="Times New Roman" w:cstheme="minorHAnsi"/>
          <w:bCs/>
          <w:spacing w:val="-3"/>
          <w:sz w:val="24"/>
          <w:szCs w:val="24"/>
        </w:rPr>
        <w:t>minimum payments to</w:t>
      </w:r>
      <w:r w:rsidRPr="004E6649">
        <w:rPr>
          <w:rFonts w:eastAsia="Times New Roman" w:cstheme="minorHAnsi"/>
          <w:bCs/>
          <w:spacing w:val="-3"/>
          <w:sz w:val="24"/>
          <w:szCs w:val="24"/>
        </w:rPr>
        <w:t xml:space="preserve"> be received under </w:t>
      </w:r>
      <w:r>
        <w:rPr>
          <w:rFonts w:eastAsia="Times New Roman" w:cstheme="minorHAnsi"/>
          <w:bCs/>
          <w:spacing w:val="-3"/>
          <w:sz w:val="24"/>
          <w:szCs w:val="24"/>
        </w:rPr>
        <w:t>PPP installment payments receivable a</w:t>
      </w:r>
      <w:r w:rsidRPr="004E6649">
        <w:rPr>
          <w:rFonts w:eastAsia="Times New Roman" w:cstheme="minorHAnsi"/>
          <w:bCs/>
          <w:spacing w:val="-3"/>
          <w:sz w:val="24"/>
          <w:szCs w:val="24"/>
        </w:rPr>
        <w:t>re as</w:t>
      </w:r>
      <w:r>
        <w:rPr>
          <w:rFonts w:eastAsia="Times New Roman" w:cstheme="minorHAnsi"/>
          <w:bCs/>
          <w:spacing w:val="-3"/>
          <w:sz w:val="24"/>
          <w:szCs w:val="24"/>
        </w:rPr>
        <w:t xml:space="preserve"> </w:t>
      </w:r>
      <w:r w:rsidRPr="004E6649">
        <w:rPr>
          <w:rFonts w:eastAsia="Times New Roman" w:cstheme="minorHAnsi"/>
          <w:bCs/>
          <w:spacing w:val="-3"/>
          <w:sz w:val="24"/>
          <w:szCs w:val="24"/>
        </w:rPr>
        <w:t>follows:</w:t>
      </w:r>
    </w:p>
    <w:tbl>
      <w:tblPr>
        <w:tblW w:w="4654" w:type="dxa"/>
        <w:jc w:val="center"/>
        <w:tblLayout w:type="fixed"/>
        <w:tblLook w:val="04A0" w:firstRow="1" w:lastRow="0" w:firstColumn="1" w:lastColumn="0" w:noHBand="0" w:noVBand="1"/>
      </w:tblPr>
      <w:tblGrid>
        <w:gridCol w:w="1980"/>
        <w:gridCol w:w="1337"/>
        <w:gridCol w:w="1337"/>
      </w:tblGrid>
      <w:tr w:rsidR="001B6918" w:rsidRPr="004E6649" w14:paraId="413F0BF2" w14:textId="77777777" w:rsidTr="00730ECF">
        <w:trPr>
          <w:trHeight w:val="588"/>
          <w:tblHeader/>
          <w:jc w:val="center"/>
        </w:trPr>
        <w:tc>
          <w:tcPr>
            <w:tcW w:w="1980" w:type="dxa"/>
            <w:tcBorders>
              <w:top w:val="nil"/>
              <w:left w:val="nil"/>
              <w:bottom w:val="nil"/>
              <w:right w:val="nil"/>
            </w:tcBorders>
            <w:shd w:val="clear" w:color="000000" w:fill="FFFFFF"/>
            <w:vAlign w:val="bottom"/>
            <w:hideMark/>
          </w:tcPr>
          <w:p w14:paraId="601387F6"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 xml:space="preserve">Year Ending </w:t>
            </w:r>
          </w:p>
          <w:p w14:paraId="6853D8D5"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June 30:</w:t>
            </w:r>
          </w:p>
        </w:tc>
        <w:tc>
          <w:tcPr>
            <w:tcW w:w="1337" w:type="dxa"/>
            <w:tcBorders>
              <w:top w:val="nil"/>
              <w:left w:val="nil"/>
              <w:bottom w:val="single" w:sz="12" w:space="0" w:color="000000" w:themeColor="text1"/>
              <w:right w:val="nil"/>
            </w:tcBorders>
            <w:shd w:val="clear" w:color="000000" w:fill="FFFFFF"/>
            <w:noWrap/>
            <w:vAlign w:val="bottom"/>
            <w:hideMark/>
          </w:tcPr>
          <w:p w14:paraId="73B255DE"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Principal</w:t>
            </w:r>
          </w:p>
        </w:tc>
        <w:tc>
          <w:tcPr>
            <w:tcW w:w="1337" w:type="dxa"/>
            <w:tcBorders>
              <w:top w:val="nil"/>
              <w:left w:val="nil"/>
              <w:bottom w:val="single" w:sz="12" w:space="0" w:color="000000" w:themeColor="text1"/>
              <w:right w:val="nil"/>
            </w:tcBorders>
            <w:noWrap/>
            <w:vAlign w:val="bottom"/>
            <w:hideMark/>
          </w:tcPr>
          <w:p w14:paraId="1B951478"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Interest</w:t>
            </w:r>
          </w:p>
        </w:tc>
      </w:tr>
      <w:tr w:rsidR="001B6918" w:rsidRPr="004D1E16" w14:paraId="6C5C4CE6" w14:textId="77777777" w:rsidTr="00730ECF">
        <w:trPr>
          <w:trHeight w:val="288"/>
          <w:jc w:val="center"/>
        </w:trPr>
        <w:tc>
          <w:tcPr>
            <w:tcW w:w="1980" w:type="dxa"/>
            <w:tcBorders>
              <w:top w:val="nil"/>
              <w:left w:val="nil"/>
              <w:bottom w:val="nil"/>
              <w:right w:val="nil"/>
            </w:tcBorders>
            <w:shd w:val="clear" w:color="000000" w:fill="FFFFFF"/>
            <w:noWrap/>
            <w:hideMark/>
          </w:tcPr>
          <w:p w14:paraId="2ABA2047" w14:textId="77777777" w:rsidR="001B6918" w:rsidRPr="004E6649" w:rsidRDefault="001B6918" w:rsidP="00730ECF">
            <w:pPr>
              <w:jc w:val="center"/>
              <w:rPr>
                <w:rFonts w:eastAsia="Times New Roman" w:cstheme="minorHAnsi"/>
                <w:color w:val="0D0D0D"/>
              </w:rPr>
            </w:pPr>
            <w:r w:rsidRPr="008C570C">
              <w:t>2026</w:t>
            </w:r>
          </w:p>
        </w:tc>
        <w:tc>
          <w:tcPr>
            <w:tcW w:w="1337" w:type="dxa"/>
            <w:tcBorders>
              <w:top w:val="nil"/>
              <w:left w:val="nil"/>
              <w:bottom w:val="nil"/>
              <w:right w:val="nil"/>
            </w:tcBorders>
            <w:noWrap/>
            <w:hideMark/>
          </w:tcPr>
          <w:p w14:paraId="417503B5" w14:textId="073FAA67" w:rsidR="001B6918" w:rsidRPr="004D1E16" w:rsidRDefault="008E0946" w:rsidP="00730ECF">
            <w:pPr>
              <w:jc w:val="right"/>
              <w:rPr>
                <w:rFonts w:eastAsia="Times New Roman" w:cstheme="minorHAnsi"/>
              </w:rPr>
            </w:pPr>
            <w:r>
              <w:t xml:space="preserve">$          </w:t>
            </w:r>
            <w:r w:rsidR="001B6918" w:rsidRPr="00565420">
              <w:t>6</w:t>
            </w:r>
          </w:p>
        </w:tc>
        <w:tc>
          <w:tcPr>
            <w:tcW w:w="1337" w:type="dxa"/>
            <w:tcBorders>
              <w:top w:val="nil"/>
              <w:left w:val="nil"/>
              <w:bottom w:val="nil"/>
              <w:right w:val="nil"/>
            </w:tcBorders>
            <w:noWrap/>
            <w:vAlign w:val="bottom"/>
            <w:hideMark/>
          </w:tcPr>
          <w:p w14:paraId="411C0E45" w14:textId="77777777" w:rsidR="001B6918" w:rsidRPr="004D1E16" w:rsidRDefault="001B6918" w:rsidP="00730ECF">
            <w:pPr>
              <w:jc w:val="right"/>
              <w:rPr>
                <w:rFonts w:eastAsia="Times New Roman" w:cstheme="minorHAnsi"/>
              </w:rPr>
            </w:pPr>
            <w:r w:rsidRPr="00BD4E47">
              <w:rPr>
                <w:rFonts w:cstheme="minorHAnsi"/>
              </w:rPr>
              <w:t>$     -</w:t>
            </w:r>
          </w:p>
        </w:tc>
      </w:tr>
      <w:tr w:rsidR="001B6918" w:rsidRPr="004D1E16" w14:paraId="3801AB8E" w14:textId="77777777" w:rsidTr="00730ECF">
        <w:trPr>
          <w:trHeight w:val="288"/>
          <w:jc w:val="center"/>
        </w:trPr>
        <w:tc>
          <w:tcPr>
            <w:tcW w:w="1980" w:type="dxa"/>
            <w:tcBorders>
              <w:top w:val="nil"/>
              <w:left w:val="nil"/>
              <w:bottom w:val="nil"/>
              <w:right w:val="nil"/>
            </w:tcBorders>
            <w:shd w:val="clear" w:color="000000" w:fill="FFFFFF"/>
            <w:noWrap/>
            <w:hideMark/>
          </w:tcPr>
          <w:p w14:paraId="2BFEF99C" w14:textId="77777777" w:rsidR="001B6918" w:rsidRPr="004E6649" w:rsidRDefault="001B6918" w:rsidP="00730ECF">
            <w:pPr>
              <w:jc w:val="center"/>
              <w:rPr>
                <w:rFonts w:eastAsia="Times New Roman" w:cstheme="minorHAnsi"/>
                <w:color w:val="0D0D0D"/>
              </w:rPr>
            </w:pPr>
            <w:r w:rsidRPr="008C570C">
              <w:t>2027</w:t>
            </w:r>
          </w:p>
        </w:tc>
        <w:tc>
          <w:tcPr>
            <w:tcW w:w="1337" w:type="dxa"/>
            <w:tcBorders>
              <w:top w:val="nil"/>
              <w:left w:val="nil"/>
              <w:bottom w:val="nil"/>
              <w:right w:val="nil"/>
            </w:tcBorders>
            <w:noWrap/>
            <w:hideMark/>
          </w:tcPr>
          <w:p w14:paraId="6FBA986E" w14:textId="77777777" w:rsidR="001B6918" w:rsidRPr="004D1E16" w:rsidRDefault="001B6918" w:rsidP="00730ECF">
            <w:pPr>
              <w:jc w:val="right"/>
              <w:rPr>
                <w:rFonts w:eastAsia="Times New Roman" w:cstheme="minorHAnsi"/>
              </w:rPr>
            </w:pPr>
            <w:r w:rsidRPr="00565420">
              <w:t>38</w:t>
            </w:r>
          </w:p>
        </w:tc>
        <w:tc>
          <w:tcPr>
            <w:tcW w:w="1337" w:type="dxa"/>
            <w:tcBorders>
              <w:top w:val="nil"/>
              <w:left w:val="nil"/>
              <w:bottom w:val="nil"/>
              <w:right w:val="nil"/>
            </w:tcBorders>
            <w:noWrap/>
            <w:vAlign w:val="bottom"/>
            <w:hideMark/>
          </w:tcPr>
          <w:p w14:paraId="6476AE18" w14:textId="77777777" w:rsidR="001B6918" w:rsidRPr="004D1E16" w:rsidRDefault="001B6918" w:rsidP="00730ECF">
            <w:pPr>
              <w:jc w:val="right"/>
              <w:rPr>
                <w:rFonts w:eastAsia="Times New Roman" w:cstheme="minorHAnsi"/>
              </w:rPr>
            </w:pPr>
            <w:r w:rsidRPr="004D1E16">
              <w:rPr>
                <w:rFonts w:cstheme="minorHAnsi"/>
              </w:rPr>
              <w:t>-</w:t>
            </w:r>
          </w:p>
        </w:tc>
      </w:tr>
      <w:tr w:rsidR="001B6918" w:rsidRPr="004D1E16" w14:paraId="4F021B34" w14:textId="77777777" w:rsidTr="00730ECF">
        <w:trPr>
          <w:trHeight w:val="288"/>
          <w:jc w:val="center"/>
        </w:trPr>
        <w:tc>
          <w:tcPr>
            <w:tcW w:w="1980" w:type="dxa"/>
            <w:tcBorders>
              <w:top w:val="nil"/>
              <w:left w:val="nil"/>
              <w:bottom w:val="nil"/>
              <w:right w:val="nil"/>
            </w:tcBorders>
            <w:shd w:val="clear" w:color="000000" w:fill="FFFFFF"/>
            <w:noWrap/>
            <w:hideMark/>
          </w:tcPr>
          <w:p w14:paraId="331F4273" w14:textId="77777777" w:rsidR="001B6918" w:rsidRPr="004E6649" w:rsidRDefault="001B6918" w:rsidP="00730ECF">
            <w:pPr>
              <w:jc w:val="center"/>
              <w:rPr>
                <w:rFonts w:eastAsia="Times New Roman" w:cstheme="minorHAnsi"/>
                <w:color w:val="0D0D0D"/>
              </w:rPr>
            </w:pPr>
            <w:r w:rsidRPr="008C570C">
              <w:t>2028</w:t>
            </w:r>
          </w:p>
        </w:tc>
        <w:tc>
          <w:tcPr>
            <w:tcW w:w="1337" w:type="dxa"/>
            <w:tcBorders>
              <w:top w:val="nil"/>
              <w:left w:val="nil"/>
              <w:bottom w:val="nil"/>
              <w:right w:val="nil"/>
            </w:tcBorders>
            <w:noWrap/>
            <w:hideMark/>
          </w:tcPr>
          <w:p w14:paraId="514503C7" w14:textId="77777777" w:rsidR="001B6918" w:rsidRPr="004D1E16" w:rsidRDefault="001B6918" w:rsidP="00730ECF">
            <w:pPr>
              <w:jc w:val="right"/>
              <w:rPr>
                <w:rFonts w:eastAsia="Times New Roman" w:cstheme="minorHAnsi"/>
              </w:rPr>
            </w:pPr>
            <w:r w:rsidRPr="00565420">
              <w:t>38</w:t>
            </w:r>
          </w:p>
        </w:tc>
        <w:tc>
          <w:tcPr>
            <w:tcW w:w="1337" w:type="dxa"/>
            <w:tcBorders>
              <w:top w:val="nil"/>
              <w:left w:val="nil"/>
              <w:bottom w:val="nil"/>
              <w:right w:val="nil"/>
            </w:tcBorders>
            <w:noWrap/>
            <w:vAlign w:val="bottom"/>
            <w:hideMark/>
          </w:tcPr>
          <w:p w14:paraId="5FAEC681" w14:textId="77777777" w:rsidR="001B6918" w:rsidRPr="004D1E16" w:rsidRDefault="001B6918" w:rsidP="00730ECF">
            <w:pPr>
              <w:jc w:val="right"/>
              <w:rPr>
                <w:rFonts w:eastAsia="Times New Roman" w:cstheme="minorHAnsi"/>
              </w:rPr>
            </w:pPr>
            <w:r w:rsidRPr="004D1E16">
              <w:rPr>
                <w:rFonts w:cstheme="minorHAnsi"/>
              </w:rPr>
              <w:t>-</w:t>
            </w:r>
          </w:p>
        </w:tc>
      </w:tr>
      <w:tr w:rsidR="001B6918" w:rsidRPr="004D1E16" w14:paraId="46895645" w14:textId="77777777" w:rsidTr="00730ECF">
        <w:trPr>
          <w:trHeight w:val="288"/>
          <w:jc w:val="center"/>
        </w:trPr>
        <w:tc>
          <w:tcPr>
            <w:tcW w:w="1980" w:type="dxa"/>
            <w:tcBorders>
              <w:top w:val="nil"/>
              <w:left w:val="nil"/>
              <w:bottom w:val="nil"/>
              <w:right w:val="nil"/>
            </w:tcBorders>
            <w:shd w:val="clear" w:color="000000" w:fill="FFFFFF"/>
            <w:noWrap/>
            <w:hideMark/>
          </w:tcPr>
          <w:p w14:paraId="1EDA79A7" w14:textId="77777777" w:rsidR="001B6918" w:rsidRPr="004E6649" w:rsidRDefault="001B6918" w:rsidP="00730ECF">
            <w:pPr>
              <w:jc w:val="center"/>
              <w:rPr>
                <w:rFonts w:eastAsia="Times New Roman" w:cstheme="minorHAnsi"/>
                <w:color w:val="0D0D0D"/>
              </w:rPr>
            </w:pPr>
            <w:r w:rsidRPr="008C570C">
              <w:t>2029</w:t>
            </w:r>
          </w:p>
        </w:tc>
        <w:tc>
          <w:tcPr>
            <w:tcW w:w="1337" w:type="dxa"/>
            <w:tcBorders>
              <w:top w:val="nil"/>
              <w:left w:val="nil"/>
              <w:bottom w:val="nil"/>
              <w:right w:val="nil"/>
            </w:tcBorders>
            <w:noWrap/>
            <w:hideMark/>
          </w:tcPr>
          <w:p w14:paraId="3E79B464" w14:textId="77777777" w:rsidR="001B6918" w:rsidRPr="004D1E16" w:rsidRDefault="001B6918" w:rsidP="00730ECF">
            <w:pPr>
              <w:jc w:val="right"/>
              <w:rPr>
                <w:rFonts w:eastAsia="Times New Roman" w:cstheme="minorHAnsi"/>
              </w:rPr>
            </w:pPr>
            <w:r w:rsidRPr="00565420">
              <w:t>38</w:t>
            </w:r>
          </w:p>
        </w:tc>
        <w:tc>
          <w:tcPr>
            <w:tcW w:w="1337" w:type="dxa"/>
            <w:tcBorders>
              <w:top w:val="nil"/>
              <w:left w:val="nil"/>
              <w:bottom w:val="nil"/>
              <w:right w:val="nil"/>
            </w:tcBorders>
            <w:noWrap/>
            <w:vAlign w:val="bottom"/>
            <w:hideMark/>
          </w:tcPr>
          <w:p w14:paraId="5E0A270F" w14:textId="77777777" w:rsidR="001B6918" w:rsidRPr="004D1E16" w:rsidRDefault="001B6918" w:rsidP="00730ECF">
            <w:pPr>
              <w:jc w:val="right"/>
              <w:rPr>
                <w:rFonts w:eastAsia="Times New Roman" w:cstheme="minorHAnsi"/>
              </w:rPr>
            </w:pPr>
            <w:r w:rsidRPr="004D1E16">
              <w:rPr>
                <w:rFonts w:cstheme="minorHAnsi"/>
              </w:rPr>
              <w:t>-</w:t>
            </w:r>
          </w:p>
        </w:tc>
      </w:tr>
      <w:tr w:rsidR="001B6918" w:rsidRPr="004D1E16" w14:paraId="45E8BDAC" w14:textId="77777777" w:rsidTr="00730ECF">
        <w:trPr>
          <w:trHeight w:val="288"/>
          <w:jc w:val="center"/>
        </w:trPr>
        <w:tc>
          <w:tcPr>
            <w:tcW w:w="1980" w:type="dxa"/>
            <w:tcBorders>
              <w:top w:val="nil"/>
              <w:left w:val="nil"/>
              <w:bottom w:val="nil"/>
              <w:right w:val="nil"/>
            </w:tcBorders>
            <w:shd w:val="clear" w:color="000000" w:fill="FFFFFF"/>
            <w:noWrap/>
            <w:hideMark/>
          </w:tcPr>
          <w:p w14:paraId="1DBF7D85" w14:textId="77777777" w:rsidR="001B6918" w:rsidRPr="004E6649" w:rsidRDefault="001B6918" w:rsidP="00730ECF">
            <w:pPr>
              <w:jc w:val="center"/>
              <w:rPr>
                <w:rFonts w:eastAsia="Times New Roman" w:cstheme="minorHAnsi"/>
                <w:color w:val="0D0D0D"/>
              </w:rPr>
            </w:pPr>
            <w:r w:rsidRPr="008C570C">
              <w:t>2030</w:t>
            </w:r>
          </w:p>
        </w:tc>
        <w:tc>
          <w:tcPr>
            <w:tcW w:w="1337" w:type="dxa"/>
            <w:tcBorders>
              <w:top w:val="nil"/>
              <w:left w:val="nil"/>
              <w:bottom w:val="nil"/>
              <w:right w:val="nil"/>
            </w:tcBorders>
            <w:shd w:val="clear" w:color="000000" w:fill="FFFFFF"/>
            <w:noWrap/>
            <w:hideMark/>
          </w:tcPr>
          <w:p w14:paraId="563F12BC" w14:textId="77777777" w:rsidR="001B6918" w:rsidRPr="004D1E16" w:rsidRDefault="001B6918" w:rsidP="00730ECF">
            <w:pPr>
              <w:jc w:val="right"/>
              <w:rPr>
                <w:rFonts w:eastAsia="Times New Roman" w:cstheme="minorHAnsi"/>
              </w:rPr>
            </w:pPr>
            <w:r w:rsidRPr="00565420">
              <w:t>39</w:t>
            </w:r>
          </w:p>
        </w:tc>
        <w:tc>
          <w:tcPr>
            <w:tcW w:w="1337" w:type="dxa"/>
            <w:tcBorders>
              <w:top w:val="nil"/>
              <w:left w:val="nil"/>
              <w:bottom w:val="nil"/>
              <w:right w:val="nil"/>
            </w:tcBorders>
            <w:noWrap/>
            <w:vAlign w:val="bottom"/>
            <w:hideMark/>
          </w:tcPr>
          <w:p w14:paraId="4CBE91B5" w14:textId="77777777" w:rsidR="001B6918" w:rsidRPr="004D1E16" w:rsidRDefault="001B6918" w:rsidP="00730ECF">
            <w:pPr>
              <w:jc w:val="right"/>
              <w:rPr>
                <w:rFonts w:eastAsia="Times New Roman" w:cstheme="minorHAnsi"/>
              </w:rPr>
            </w:pPr>
            <w:r w:rsidRPr="004D1E16">
              <w:rPr>
                <w:rFonts w:cstheme="minorHAnsi"/>
              </w:rPr>
              <w:t>-</w:t>
            </w:r>
          </w:p>
        </w:tc>
      </w:tr>
      <w:tr w:rsidR="001B6918" w:rsidRPr="004D1E16" w14:paraId="26CE9672" w14:textId="77777777" w:rsidTr="00730ECF">
        <w:trPr>
          <w:trHeight w:val="288"/>
          <w:jc w:val="center"/>
        </w:trPr>
        <w:tc>
          <w:tcPr>
            <w:tcW w:w="1980" w:type="dxa"/>
            <w:tcBorders>
              <w:top w:val="nil"/>
              <w:left w:val="nil"/>
              <w:bottom w:val="nil"/>
              <w:right w:val="nil"/>
            </w:tcBorders>
            <w:shd w:val="clear" w:color="000000" w:fill="FFFFFF"/>
            <w:noWrap/>
            <w:hideMark/>
          </w:tcPr>
          <w:p w14:paraId="0CC13F10" w14:textId="77777777" w:rsidR="001B6918" w:rsidRPr="004E6649" w:rsidRDefault="001B6918" w:rsidP="00730ECF">
            <w:pPr>
              <w:jc w:val="center"/>
              <w:rPr>
                <w:rFonts w:eastAsia="Times New Roman" w:cstheme="minorHAnsi"/>
                <w:color w:val="0D0D0D"/>
              </w:rPr>
            </w:pPr>
            <w:r w:rsidRPr="008C570C">
              <w:t>2031-2035</w:t>
            </w:r>
          </w:p>
        </w:tc>
        <w:tc>
          <w:tcPr>
            <w:tcW w:w="1337" w:type="dxa"/>
            <w:tcBorders>
              <w:top w:val="nil"/>
              <w:left w:val="nil"/>
              <w:bottom w:val="nil"/>
              <w:right w:val="nil"/>
            </w:tcBorders>
            <w:shd w:val="clear" w:color="000000" w:fill="FFFFFF"/>
            <w:noWrap/>
            <w:hideMark/>
          </w:tcPr>
          <w:p w14:paraId="6C9CF88A" w14:textId="77777777" w:rsidR="001B6918" w:rsidRPr="004D1E16" w:rsidRDefault="001B6918" w:rsidP="00730ECF">
            <w:pPr>
              <w:jc w:val="right"/>
              <w:rPr>
                <w:rFonts w:eastAsia="Times New Roman" w:cstheme="minorHAnsi"/>
              </w:rPr>
            </w:pPr>
            <w:r w:rsidRPr="00565420">
              <w:t>198</w:t>
            </w:r>
          </w:p>
        </w:tc>
        <w:tc>
          <w:tcPr>
            <w:tcW w:w="1337" w:type="dxa"/>
            <w:tcBorders>
              <w:top w:val="nil"/>
              <w:left w:val="nil"/>
              <w:bottom w:val="nil"/>
              <w:right w:val="nil"/>
            </w:tcBorders>
            <w:noWrap/>
            <w:vAlign w:val="bottom"/>
            <w:hideMark/>
          </w:tcPr>
          <w:p w14:paraId="5CF7BB05" w14:textId="77777777" w:rsidR="001B6918" w:rsidRPr="004D1E16" w:rsidRDefault="001B6918" w:rsidP="00730ECF">
            <w:pPr>
              <w:jc w:val="right"/>
              <w:rPr>
                <w:rFonts w:eastAsia="Times New Roman" w:cstheme="minorHAnsi"/>
              </w:rPr>
            </w:pPr>
            <w:r w:rsidRPr="004D1E16">
              <w:rPr>
                <w:rFonts w:cstheme="minorHAnsi"/>
              </w:rPr>
              <w:t>-</w:t>
            </w:r>
          </w:p>
        </w:tc>
      </w:tr>
      <w:tr w:rsidR="001B6918" w:rsidRPr="004D1E16" w14:paraId="548843C0" w14:textId="77777777" w:rsidTr="00730ECF">
        <w:trPr>
          <w:trHeight w:val="288"/>
          <w:jc w:val="center"/>
        </w:trPr>
        <w:tc>
          <w:tcPr>
            <w:tcW w:w="1980" w:type="dxa"/>
            <w:tcBorders>
              <w:top w:val="nil"/>
              <w:left w:val="nil"/>
              <w:bottom w:val="nil"/>
              <w:right w:val="nil"/>
            </w:tcBorders>
            <w:shd w:val="clear" w:color="000000" w:fill="FFFFFF"/>
            <w:noWrap/>
          </w:tcPr>
          <w:p w14:paraId="5E6E4EE8" w14:textId="77777777" w:rsidR="001B6918" w:rsidRPr="004E6649" w:rsidRDefault="001B6918" w:rsidP="00730ECF">
            <w:pPr>
              <w:jc w:val="center"/>
              <w:rPr>
                <w:rFonts w:eastAsia="Times New Roman" w:cstheme="minorHAnsi"/>
                <w:color w:val="0D0D0D"/>
              </w:rPr>
            </w:pPr>
            <w:r w:rsidRPr="008C570C">
              <w:t>2036-2040</w:t>
            </w:r>
          </w:p>
        </w:tc>
        <w:tc>
          <w:tcPr>
            <w:tcW w:w="1337" w:type="dxa"/>
            <w:tcBorders>
              <w:top w:val="nil"/>
              <w:left w:val="nil"/>
              <w:bottom w:val="nil"/>
              <w:right w:val="nil"/>
            </w:tcBorders>
            <w:shd w:val="clear" w:color="000000" w:fill="FFFFFF"/>
            <w:noWrap/>
          </w:tcPr>
          <w:p w14:paraId="48D5FCA9" w14:textId="77777777" w:rsidR="001B6918" w:rsidRPr="004D1E16" w:rsidRDefault="001B6918" w:rsidP="00730ECF">
            <w:pPr>
              <w:jc w:val="right"/>
              <w:rPr>
                <w:rFonts w:cstheme="minorHAnsi"/>
              </w:rPr>
            </w:pPr>
            <w:r w:rsidRPr="00565420">
              <w:t>208</w:t>
            </w:r>
          </w:p>
        </w:tc>
        <w:tc>
          <w:tcPr>
            <w:tcW w:w="1337" w:type="dxa"/>
            <w:tcBorders>
              <w:top w:val="nil"/>
              <w:left w:val="nil"/>
              <w:bottom w:val="nil"/>
              <w:right w:val="nil"/>
            </w:tcBorders>
            <w:noWrap/>
            <w:vAlign w:val="bottom"/>
          </w:tcPr>
          <w:p w14:paraId="544ACC31" w14:textId="77777777" w:rsidR="001B6918" w:rsidRPr="004D1E16" w:rsidRDefault="001B6918" w:rsidP="00730ECF">
            <w:pPr>
              <w:jc w:val="right"/>
              <w:rPr>
                <w:rFonts w:cstheme="minorHAnsi"/>
              </w:rPr>
            </w:pPr>
            <w:r w:rsidRPr="004D1E16">
              <w:rPr>
                <w:rFonts w:cstheme="minorHAnsi"/>
              </w:rPr>
              <w:t>-</w:t>
            </w:r>
          </w:p>
        </w:tc>
      </w:tr>
      <w:tr w:rsidR="001B6918" w:rsidRPr="004D1E16" w14:paraId="7669A0E1" w14:textId="77777777" w:rsidTr="00730ECF">
        <w:trPr>
          <w:trHeight w:val="288"/>
          <w:jc w:val="center"/>
        </w:trPr>
        <w:tc>
          <w:tcPr>
            <w:tcW w:w="1980" w:type="dxa"/>
            <w:tcBorders>
              <w:top w:val="nil"/>
              <w:left w:val="nil"/>
              <w:right w:val="nil"/>
            </w:tcBorders>
            <w:shd w:val="clear" w:color="000000" w:fill="FFFFFF"/>
            <w:noWrap/>
          </w:tcPr>
          <w:p w14:paraId="0A9BEF53" w14:textId="77777777" w:rsidR="001B6918" w:rsidRPr="004E6649" w:rsidRDefault="001B6918" w:rsidP="00730ECF">
            <w:pPr>
              <w:jc w:val="center"/>
              <w:rPr>
                <w:rFonts w:eastAsia="Times New Roman" w:cstheme="minorHAnsi"/>
                <w:color w:val="0D0D0D"/>
              </w:rPr>
            </w:pPr>
            <w:r w:rsidRPr="008C570C">
              <w:t>2041-2045</w:t>
            </w:r>
          </w:p>
        </w:tc>
        <w:tc>
          <w:tcPr>
            <w:tcW w:w="1337" w:type="dxa"/>
            <w:tcBorders>
              <w:top w:val="nil"/>
              <w:left w:val="nil"/>
              <w:right w:val="nil"/>
            </w:tcBorders>
            <w:shd w:val="clear" w:color="000000" w:fill="FFFFFF"/>
            <w:noWrap/>
          </w:tcPr>
          <w:p w14:paraId="1B38FD13" w14:textId="77777777" w:rsidR="001B6918" w:rsidRPr="004D1E16" w:rsidRDefault="001B6918" w:rsidP="00730ECF">
            <w:pPr>
              <w:jc w:val="right"/>
              <w:rPr>
                <w:rFonts w:cstheme="minorHAnsi"/>
              </w:rPr>
            </w:pPr>
            <w:r w:rsidRPr="00565420">
              <w:t>219</w:t>
            </w:r>
          </w:p>
        </w:tc>
        <w:tc>
          <w:tcPr>
            <w:tcW w:w="1337" w:type="dxa"/>
            <w:tcBorders>
              <w:top w:val="nil"/>
              <w:left w:val="nil"/>
              <w:right w:val="nil"/>
            </w:tcBorders>
            <w:noWrap/>
            <w:vAlign w:val="bottom"/>
          </w:tcPr>
          <w:p w14:paraId="74518509" w14:textId="77777777" w:rsidR="001B6918" w:rsidRPr="004D1E16" w:rsidRDefault="001B6918" w:rsidP="00730ECF">
            <w:pPr>
              <w:jc w:val="right"/>
              <w:rPr>
                <w:rFonts w:cstheme="minorHAnsi"/>
              </w:rPr>
            </w:pPr>
            <w:r w:rsidRPr="004D1E16">
              <w:rPr>
                <w:rFonts w:cstheme="minorHAnsi"/>
              </w:rPr>
              <w:t>-</w:t>
            </w:r>
          </w:p>
        </w:tc>
      </w:tr>
      <w:tr w:rsidR="001B6918" w:rsidRPr="004D1E16" w14:paraId="54F63558" w14:textId="77777777" w:rsidTr="00730ECF">
        <w:trPr>
          <w:trHeight w:val="288"/>
          <w:jc w:val="center"/>
        </w:trPr>
        <w:tc>
          <w:tcPr>
            <w:tcW w:w="1980" w:type="dxa"/>
            <w:tcBorders>
              <w:top w:val="nil"/>
              <w:left w:val="nil"/>
              <w:right w:val="nil"/>
            </w:tcBorders>
            <w:shd w:val="clear" w:color="000000" w:fill="FFFFFF"/>
            <w:noWrap/>
          </w:tcPr>
          <w:p w14:paraId="4D4DC642" w14:textId="77777777" w:rsidR="001B6918" w:rsidRPr="004E6649" w:rsidRDefault="001B6918" w:rsidP="00730ECF">
            <w:pPr>
              <w:jc w:val="center"/>
              <w:rPr>
                <w:rFonts w:eastAsia="Times New Roman" w:cstheme="minorHAnsi"/>
                <w:color w:val="0D0D0D"/>
              </w:rPr>
            </w:pPr>
            <w:r w:rsidRPr="008C570C">
              <w:t>2046-2050</w:t>
            </w:r>
          </w:p>
        </w:tc>
        <w:tc>
          <w:tcPr>
            <w:tcW w:w="1337" w:type="dxa"/>
            <w:tcBorders>
              <w:top w:val="nil"/>
              <w:left w:val="nil"/>
              <w:right w:val="nil"/>
            </w:tcBorders>
            <w:shd w:val="clear" w:color="000000" w:fill="FFFFFF"/>
            <w:noWrap/>
          </w:tcPr>
          <w:p w14:paraId="3BBBA8D2" w14:textId="77777777" w:rsidR="001B6918" w:rsidRPr="004D1E16" w:rsidRDefault="001B6918" w:rsidP="00730ECF">
            <w:pPr>
              <w:jc w:val="right"/>
              <w:rPr>
                <w:rFonts w:cstheme="minorHAnsi"/>
              </w:rPr>
            </w:pPr>
            <w:r w:rsidRPr="00565420">
              <w:t>230</w:t>
            </w:r>
          </w:p>
        </w:tc>
        <w:tc>
          <w:tcPr>
            <w:tcW w:w="1337" w:type="dxa"/>
            <w:tcBorders>
              <w:top w:val="nil"/>
              <w:left w:val="nil"/>
              <w:right w:val="nil"/>
            </w:tcBorders>
            <w:noWrap/>
            <w:vAlign w:val="bottom"/>
          </w:tcPr>
          <w:p w14:paraId="294847C6" w14:textId="77777777" w:rsidR="001B6918" w:rsidRPr="004D1E16" w:rsidRDefault="001B6918" w:rsidP="00730ECF">
            <w:pPr>
              <w:jc w:val="right"/>
              <w:rPr>
                <w:rFonts w:eastAsia="Times New Roman" w:cstheme="minorHAnsi"/>
              </w:rPr>
            </w:pPr>
            <w:r w:rsidRPr="004D1E16">
              <w:rPr>
                <w:rFonts w:cstheme="minorHAnsi"/>
              </w:rPr>
              <w:t>-</w:t>
            </w:r>
          </w:p>
        </w:tc>
      </w:tr>
      <w:tr w:rsidR="001B6918" w:rsidRPr="004D1E16" w14:paraId="1117997B" w14:textId="77777777" w:rsidTr="00730ECF">
        <w:trPr>
          <w:trHeight w:val="288"/>
          <w:jc w:val="center"/>
        </w:trPr>
        <w:tc>
          <w:tcPr>
            <w:tcW w:w="1980" w:type="dxa"/>
            <w:tcBorders>
              <w:top w:val="nil"/>
              <w:left w:val="nil"/>
              <w:right w:val="nil"/>
            </w:tcBorders>
            <w:shd w:val="clear" w:color="000000" w:fill="FFFFFF"/>
            <w:noWrap/>
          </w:tcPr>
          <w:p w14:paraId="04695693" w14:textId="77777777" w:rsidR="001B6918" w:rsidRPr="004E6649" w:rsidRDefault="001B6918" w:rsidP="00730ECF">
            <w:pPr>
              <w:jc w:val="center"/>
              <w:rPr>
                <w:rFonts w:eastAsia="Times New Roman" w:cstheme="minorHAnsi"/>
                <w:color w:val="0D0D0D"/>
              </w:rPr>
            </w:pPr>
            <w:r w:rsidRPr="008C570C">
              <w:t>2051-2055</w:t>
            </w:r>
          </w:p>
        </w:tc>
        <w:tc>
          <w:tcPr>
            <w:tcW w:w="1337" w:type="dxa"/>
            <w:tcBorders>
              <w:top w:val="nil"/>
              <w:left w:val="nil"/>
              <w:right w:val="nil"/>
            </w:tcBorders>
            <w:shd w:val="clear" w:color="000000" w:fill="FFFFFF"/>
            <w:noWrap/>
          </w:tcPr>
          <w:p w14:paraId="582B0491" w14:textId="77777777" w:rsidR="001B6918" w:rsidRPr="004D1E16" w:rsidRDefault="001B6918" w:rsidP="00730ECF">
            <w:pPr>
              <w:jc w:val="right"/>
              <w:rPr>
                <w:rFonts w:cstheme="minorHAnsi"/>
              </w:rPr>
            </w:pPr>
            <w:r w:rsidRPr="00565420">
              <w:t>241</w:t>
            </w:r>
          </w:p>
        </w:tc>
        <w:tc>
          <w:tcPr>
            <w:tcW w:w="1337" w:type="dxa"/>
            <w:tcBorders>
              <w:top w:val="nil"/>
              <w:left w:val="nil"/>
              <w:right w:val="nil"/>
            </w:tcBorders>
            <w:noWrap/>
            <w:vAlign w:val="bottom"/>
          </w:tcPr>
          <w:p w14:paraId="055B0D3D" w14:textId="77777777" w:rsidR="001B6918" w:rsidRPr="004D1E16" w:rsidRDefault="001B6918" w:rsidP="00730ECF">
            <w:pPr>
              <w:jc w:val="right"/>
              <w:rPr>
                <w:rFonts w:eastAsia="Times New Roman" w:cstheme="minorHAnsi"/>
              </w:rPr>
            </w:pPr>
            <w:r w:rsidRPr="004D1E16">
              <w:rPr>
                <w:rFonts w:cstheme="minorHAnsi"/>
              </w:rPr>
              <w:t>-</w:t>
            </w:r>
          </w:p>
        </w:tc>
      </w:tr>
      <w:tr w:rsidR="001B6918" w:rsidRPr="004D1E16" w14:paraId="4BC63E50" w14:textId="77777777" w:rsidTr="00730ECF">
        <w:trPr>
          <w:trHeight w:val="288"/>
          <w:jc w:val="center"/>
        </w:trPr>
        <w:tc>
          <w:tcPr>
            <w:tcW w:w="1980" w:type="dxa"/>
            <w:tcBorders>
              <w:top w:val="nil"/>
              <w:left w:val="nil"/>
              <w:right w:val="nil"/>
            </w:tcBorders>
            <w:shd w:val="clear" w:color="000000" w:fill="FFFFFF"/>
            <w:noWrap/>
          </w:tcPr>
          <w:p w14:paraId="5167BFA0" w14:textId="77777777" w:rsidR="001B6918" w:rsidRPr="004E6649" w:rsidRDefault="001B6918" w:rsidP="00730ECF">
            <w:pPr>
              <w:jc w:val="center"/>
              <w:rPr>
                <w:rFonts w:eastAsia="Times New Roman" w:cstheme="minorHAnsi"/>
                <w:color w:val="0D0D0D"/>
              </w:rPr>
            </w:pPr>
            <w:r w:rsidRPr="008C570C">
              <w:t>2056-2060</w:t>
            </w:r>
          </w:p>
        </w:tc>
        <w:tc>
          <w:tcPr>
            <w:tcW w:w="1337" w:type="dxa"/>
            <w:tcBorders>
              <w:top w:val="nil"/>
              <w:left w:val="nil"/>
              <w:right w:val="nil"/>
            </w:tcBorders>
            <w:shd w:val="clear" w:color="000000" w:fill="FFFFFF"/>
            <w:noWrap/>
          </w:tcPr>
          <w:p w14:paraId="142F42F5" w14:textId="77777777" w:rsidR="001B6918" w:rsidRPr="004D1E16" w:rsidRDefault="001B6918" w:rsidP="00730ECF">
            <w:pPr>
              <w:jc w:val="right"/>
              <w:rPr>
                <w:rFonts w:cstheme="minorHAnsi"/>
              </w:rPr>
            </w:pPr>
            <w:r w:rsidRPr="00565420">
              <w:t>253</w:t>
            </w:r>
          </w:p>
        </w:tc>
        <w:tc>
          <w:tcPr>
            <w:tcW w:w="1337" w:type="dxa"/>
            <w:tcBorders>
              <w:top w:val="nil"/>
              <w:left w:val="nil"/>
              <w:right w:val="nil"/>
            </w:tcBorders>
            <w:noWrap/>
            <w:vAlign w:val="bottom"/>
          </w:tcPr>
          <w:p w14:paraId="74285EB5" w14:textId="77777777" w:rsidR="001B6918" w:rsidRPr="004D1E16" w:rsidRDefault="001B6918" w:rsidP="00730ECF">
            <w:pPr>
              <w:jc w:val="right"/>
              <w:rPr>
                <w:rFonts w:cstheme="minorHAnsi"/>
              </w:rPr>
            </w:pPr>
            <w:r w:rsidRPr="004D1E16">
              <w:rPr>
                <w:rFonts w:cstheme="minorHAnsi"/>
              </w:rPr>
              <w:t>-</w:t>
            </w:r>
          </w:p>
        </w:tc>
      </w:tr>
      <w:tr w:rsidR="001B6918" w:rsidRPr="004D1E16" w14:paraId="53AF7F48" w14:textId="77777777" w:rsidTr="00730ECF">
        <w:trPr>
          <w:trHeight w:val="288"/>
          <w:jc w:val="center"/>
        </w:trPr>
        <w:tc>
          <w:tcPr>
            <w:tcW w:w="1980" w:type="dxa"/>
            <w:tcBorders>
              <w:top w:val="nil"/>
              <w:left w:val="nil"/>
              <w:right w:val="nil"/>
            </w:tcBorders>
            <w:shd w:val="clear" w:color="000000" w:fill="FFFFFF"/>
            <w:noWrap/>
          </w:tcPr>
          <w:p w14:paraId="0F5166F2" w14:textId="77777777" w:rsidR="001B6918" w:rsidRPr="004E6649" w:rsidRDefault="001B6918" w:rsidP="00730ECF">
            <w:pPr>
              <w:jc w:val="center"/>
              <w:rPr>
                <w:rFonts w:eastAsia="Times New Roman" w:cstheme="minorHAnsi"/>
                <w:color w:val="0D0D0D"/>
              </w:rPr>
            </w:pPr>
            <w:r w:rsidRPr="008C570C">
              <w:t>2061-2065</w:t>
            </w:r>
          </w:p>
        </w:tc>
        <w:tc>
          <w:tcPr>
            <w:tcW w:w="1337" w:type="dxa"/>
            <w:tcBorders>
              <w:top w:val="nil"/>
              <w:left w:val="nil"/>
              <w:right w:val="nil"/>
            </w:tcBorders>
            <w:shd w:val="clear" w:color="000000" w:fill="FFFFFF"/>
            <w:noWrap/>
          </w:tcPr>
          <w:p w14:paraId="40E70A43" w14:textId="77777777" w:rsidR="001B6918" w:rsidRPr="004D1E16" w:rsidRDefault="001B6918" w:rsidP="00730ECF">
            <w:pPr>
              <w:jc w:val="right"/>
              <w:rPr>
                <w:rFonts w:cstheme="minorHAnsi"/>
              </w:rPr>
            </w:pPr>
            <w:r w:rsidRPr="00565420">
              <w:t>266</w:t>
            </w:r>
          </w:p>
        </w:tc>
        <w:tc>
          <w:tcPr>
            <w:tcW w:w="1337" w:type="dxa"/>
            <w:tcBorders>
              <w:top w:val="nil"/>
              <w:left w:val="nil"/>
              <w:right w:val="nil"/>
            </w:tcBorders>
            <w:noWrap/>
            <w:vAlign w:val="bottom"/>
          </w:tcPr>
          <w:p w14:paraId="7A817697" w14:textId="77777777" w:rsidR="001B6918" w:rsidRPr="004D1E16" w:rsidRDefault="001B6918" w:rsidP="00730ECF">
            <w:pPr>
              <w:jc w:val="right"/>
              <w:rPr>
                <w:rFonts w:cstheme="minorHAnsi"/>
              </w:rPr>
            </w:pPr>
            <w:r w:rsidRPr="004D1E16">
              <w:rPr>
                <w:rFonts w:cstheme="minorHAnsi"/>
              </w:rPr>
              <w:t>-</w:t>
            </w:r>
          </w:p>
        </w:tc>
      </w:tr>
      <w:tr w:rsidR="001B6918" w:rsidRPr="004D1E16" w14:paraId="7A953987" w14:textId="77777777" w:rsidTr="00730ECF">
        <w:trPr>
          <w:trHeight w:val="288"/>
          <w:jc w:val="center"/>
        </w:trPr>
        <w:tc>
          <w:tcPr>
            <w:tcW w:w="1980" w:type="dxa"/>
            <w:tcBorders>
              <w:top w:val="nil"/>
              <w:left w:val="nil"/>
              <w:right w:val="nil"/>
            </w:tcBorders>
            <w:shd w:val="clear" w:color="000000" w:fill="FFFFFF"/>
            <w:noWrap/>
          </w:tcPr>
          <w:p w14:paraId="0EB2D3E3" w14:textId="77777777" w:rsidR="001B6918" w:rsidRPr="004E6649" w:rsidRDefault="001B6918" w:rsidP="00730ECF">
            <w:pPr>
              <w:jc w:val="center"/>
              <w:rPr>
                <w:rFonts w:eastAsia="Times New Roman" w:cstheme="minorHAnsi"/>
                <w:color w:val="0D0D0D"/>
              </w:rPr>
            </w:pPr>
            <w:r w:rsidRPr="008C570C">
              <w:t>2066-2070</w:t>
            </w:r>
          </w:p>
        </w:tc>
        <w:tc>
          <w:tcPr>
            <w:tcW w:w="1337" w:type="dxa"/>
            <w:tcBorders>
              <w:top w:val="nil"/>
              <w:left w:val="nil"/>
              <w:right w:val="nil"/>
            </w:tcBorders>
            <w:shd w:val="clear" w:color="000000" w:fill="FFFFFF"/>
            <w:noWrap/>
          </w:tcPr>
          <w:p w14:paraId="7D776010" w14:textId="77777777" w:rsidR="001B6918" w:rsidRPr="004D1E16" w:rsidRDefault="001B6918" w:rsidP="00730ECF">
            <w:pPr>
              <w:jc w:val="right"/>
              <w:rPr>
                <w:rFonts w:cstheme="minorHAnsi"/>
              </w:rPr>
            </w:pPr>
            <w:r w:rsidRPr="00565420">
              <w:t>279</w:t>
            </w:r>
          </w:p>
        </w:tc>
        <w:tc>
          <w:tcPr>
            <w:tcW w:w="1337" w:type="dxa"/>
            <w:tcBorders>
              <w:top w:val="nil"/>
              <w:left w:val="nil"/>
              <w:right w:val="nil"/>
            </w:tcBorders>
            <w:noWrap/>
            <w:vAlign w:val="bottom"/>
          </w:tcPr>
          <w:p w14:paraId="67AD3348" w14:textId="77777777" w:rsidR="001B6918" w:rsidRPr="004D1E16" w:rsidRDefault="001B6918" w:rsidP="00730ECF">
            <w:pPr>
              <w:jc w:val="right"/>
              <w:rPr>
                <w:rFonts w:eastAsia="Times New Roman" w:cstheme="minorHAnsi"/>
              </w:rPr>
            </w:pPr>
            <w:r w:rsidRPr="004D1E16">
              <w:rPr>
                <w:rFonts w:cstheme="minorHAnsi"/>
              </w:rPr>
              <w:t>-</w:t>
            </w:r>
          </w:p>
        </w:tc>
      </w:tr>
      <w:tr w:rsidR="001B6918" w:rsidRPr="004D1E16" w14:paraId="05AC3778" w14:textId="77777777" w:rsidTr="00730ECF">
        <w:trPr>
          <w:trHeight w:val="288"/>
          <w:jc w:val="center"/>
        </w:trPr>
        <w:tc>
          <w:tcPr>
            <w:tcW w:w="1980" w:type="dxa"/>
            <w:tcBorders>
              <w:top w:val="nil"/>
              <w:left w:val="nil"/>
              <w:right w:val="nil"/>
            </w:tcBorders>
            <w:shd w:val="clear" w:color="000000" w:fill="FFFFFF"/>
            <w:noWrap/>
          </w:tcPr>
          <w:p w14:paraId="49CCF138" w14:textId="77777777" w:rsidR="001B6918" w:rsidRPr="004E6649" w:rsidRDefault="001B6918" w:rsidP="00730ECF">
            <w:pPr>
              <w:jc w:val="center"/>
              <w:rPr>
                <w:rFonts w:eastAsia="Times New Roman" w:cstheme="minorHAnsi"/>
                <w:color w:val="0D0D0D"/>
              </w:rPr>
            </w:pPr>
            <w:r w:rsidRPr="008C570C">
              <w:t>2071-2075</w:t>
            </w:r>
          </w:p>
        </w:tc>
        <w:tc>
          <w:tcPr>
            <w:tcW w:w="1337" w:type="dxa"/>
            <w:tcBorders>
              <w:top w:val="nil"/>
              <w:left w:val="nil"/>
              <w:right w:val="nil"/>
            </w:tcBorders>
            <w:shd w:val="clear" w:color="000000" w:fill="FFFFFF"/>
            <w:noWrap/>
          </w:tcPr>
          <w:p w14:paraId="564ED0E0" w14:textId="77777777" w:rsidR="001B6918" w:rsidRPr="004D1E16" w:rsidRDefault="001B6918" w:rsidP="00730ECF">
            <w:pPr>
              <w:jc w:val="right"/>
              <w:rPr>
                <w:rFonts w:cstheme="minorHAnsi"/>
              </w:rPr>
            </w:pPr>
            <w:r w:rsidRPr="00565420">
              <w:t>293</w:t>
            </w:r>
          </w:p>
        </w:tc>
        <w:tc>
          <w:tcPr>
            <w:tcW w:w="1337" w:type="dxa"/>
            <w:tcBorders>
              <w:top w:val="nil"/>
              <w:left w:val="nil"/>
              <w:right w:val="nil"/>
            </w:tcBorders>
            <w:noWrap/>
            <w:vAlign w:val="bottom"/>
          </w:tcPr>
          <w:p w14:paraId="28B011EB" w14:textId="77777777" w:rsidR="001B6918" w:rsidRPr="004D1E16" w:rsidRDefault="001B6918" w:rsidP="00730ECF">
            <w:pPr>
              <w:jc w:val="right"/>
              <w:rPr>
                <w:rFonts w:eastAsia="Times New Roman" w:cstheme="minorHAnsi"/>
              </w:rPr>
            </w:pPr>
            <w:r w:rsidRPr="004D1E16">
              <w:rPr>
                <w:rFonts w:cstheme="minorHAnsi"/>
              </w:rPr>
              <w:t>-</w:t>
            </w:r>
          </w:p>
        </w:tc>
      </w:tr>
      <w:tr w:rsidR="001B6918" w:rsidRPr="004D1E16" w14:paraId="2C2F1B93" w14:textId="77777777" w:rsidTr="00730ECF">
        <w:trPr>
          <w:trHeight w:val="288"/>
          <w:jc w:val="center"/>
        </w:trPr>
        <w:tc>
          <w:tcPr>
            <w:tcW w:w="1980" w:type="dxa"/>
            <w:tcBorders>
              <w:top w:val="nil"/>
              <w:left w:val="nil"/>
              <w:right w:val="nil"/>
            </w:tcBorders>
            <w:shd w:val="clear" w:color="000000" w:fill="FFFFFF"/>
            <w:noWrap/>
          </w:tcPr>
          <w:p w14:paraId="3AD8BAEE" w14:textId="77777777" w:rsidR="001B6918" w:rsidRPr="004E6649" w:rsidDel="00137190" w:rsidRDefault="001B6918" w:rsidP="00730ECF">
            <w:pPr>
              <w:jc w:val="center"/>
              <w:rPr>
                <w:rFonts w:eastAsia="Times New Roman" w:cstheme="minorHAnsi"/>
                <w:color w:val="0D0D0D"/>
              </w:rPr>
            </w:pPr>
            <w:r w:rsidRPr="008C570C">
              <w:t>2076-2080</w:t>
            </w:r>
          </w:p>
        </w:tc>
        <w:tc>
          <w:tcPr>
            <w:tcW w:w="1337" w:type="dxa"/>
            <w:tcBorders>
              <w:top w:val="nil"/>
              <w:left w:val="nil"/>
              <w:right w:val="nil"/>
            </w:tcBorders>
            <w:shd w:val="clear" w:color="000000" w:fill="FFFFFF"/>
            <w:noWrap/>
          </w:tcPr>
          <w:p w14:paraId="2788091D" w14:textId="77777777" w:rsidR="001B6918" w:rsidRPr="00EC032C" w:rsidRDefault="001B6918" w:rsidP="00730ECF">
            <w:pPr>
              <w:jc w:val="right"/>
            </w:pPr>
            <w:r w:rsidRPr="00565420">
              <w:t>308</w:t>
            </w:r>
          </w:p>
        </w:tc>
        <w:tc>
          <w:tcPr>
            <w:tcW w:w="1337" w:type="dxa"/>
            <w:tcBorders>
              <w:top w:val="nil"/>
              <w:left w:val="nil"/>
              <w:right w:val="nil"/>
            </w:tcBorders>
            <w:noWrap/>
            <w:vAlign w:val="bottom"/>
          </w:tcPr>
          <w:p w14:paraId="28D27068" w14:textId="77777777" w:rsidR="001B6918" w:rsidRPr="004D1E16" w:rsidRDefault="001B6918" w:rsidP="00730ECF">
            <w:pPr>
              <w:jc w:val="right"/>
              <w:rPr>
                <w:rFonts w:cstheme="minorHAnsi"/>
              </w:rPr>
            </w:pPr>
          </w:p>
        </w:tc>
      </w:tr>
      <w:tr w:rsidR="001B6918" w:rsidRPr="004D1E16" w14:paraId="6DF8AA94" w14:textId="77777777" w:rsidTr="00730ECF">
        <w:trPr>
          <w:trHeight w:val="288"/>
          <w:jc w:val="center"/>
        </w:trPr>
        <w:tc>
          <w:tcPr>
            <w:tcW w:w="1980" w:type="dxa"/>
            <w:tcBorders>
              <w:top w:val="nil"/>
              <w:left w:val="nil"/>
              <w:right w:val="nil"/>
            </w:tcBorders>
            <w:shd w:val="clear" w:color="000000" w:fill="FFFFFF"/>
            <w:noWrap/>
          </w:tcPr>
          <w:p w14:paraId="2641AF6B" w14:textId="77777777" w:rsidR="001B6918" w:rsidRPr="004E6649" w:rsidRDefault="001B6918" w:rsidP="00730ECF">
            <w:pPr>
              <w:jc w:val="center"/>
              <w:rPr>
                <w:rFonts w:eastAsia="Times New Roman" w:cstheme="minorHAnsi"/>
                <w:color w:val="0D0D0D"/>
              </w:rPr>
            </w:pPr>
            <w:r w:rsidRPr="008C570C">
              <w:t>2081-2085</w:t>
            </w:r>
          </w:p>
        </w:tc>
        <w:tc>
          <w:tcPr>
            <w:tcW w:w="1337" w:type="dxa"/>
            <w:tcBorders>
              <w:top w:val="nil"/>
              <w:left w:val="nil"/>
              <w:right w:val="nil"/>
            </w:tcBorders>
            <w:shd w:val="clear" w:color="000000" w:fill="FFFFFF"/>
            <w:noWrap/>
          </w:tcPr>
          <w:p w14:paraId="40F36D9E" w14:textId="77777777" w:rsidR="001B6918" w:rsidRPr="004D1E16" w:rsidRDefault="001B6918" w:rsidP="00730ECF">
            <w:pPr>
              <w:jc w:val="right"/>
              <w:rPr>
                <w:rFonts w:cstheme="minorHAnsi"/>
              </w:rPr>
            </w:pPr>
            <w:r w:rsidRPr="00565420">
              <w:t>323</w:t>
            </w:r>
          </w:p>
        </w:tc>
        <w:tc>
          <w:tcPr>
            <w:tcW w:w="1337" w:type="dxa"/>
            <w:tcBorders>
              <w:top w:val="nil"/>
              <w:left w:val="nil"/>
              <w:right w:val="nil"/>
            </w:tcBorders>
            <w:noWrap/>
            <w:vAlign w:val="bottom"/>
          </w:tcPr>
          <w:p w14:paraId="55C126C1" w14:textId="77777777" w:rsidR="001B6918" w:rsidRPr="004D1E16" w:rsidRDefault="001B6918" w:rsidP="00730ECF">
            <w:pPr>
              <w:jc w:val="right"/>
              <w:rPr>
                <w:rFonts w:cstheme="minorHAnsi"/>
              </w:rPr>
            </w:pPr>
            <w:r w:rsidRPr="004D1E16">
              <w:rPr>
                <w:rFonts w:cstheme="minorHAnsi"/>
              </w:rPr>
              <w:t>-</w:t>
            </w:r>
          </w:p>
        </w:tc>
      </w:tr>
      <w:tr w:rsidR="001B6918" w:rsidRPr="004D1E16" w14:paraId="160D3649" w14:textId="77777777" w:rsidTr="00730ECF">
        <w:trPr>
          <w:trHeight w:val="288"/>
          <w:jc w:val="center"/>
        </w:trPr>
        <w:tc>
          <w:tcPr>
            <w:tcW w:w="1980" w:type="dxa"/>
            <w:tcBorders>
              <w:top w:val="nil"/>
              <w:left w:val="nil"/>
              <w:right w:val="nil"/>
            </w:tcBorders>
            <w:shd w:val="clear" w:color="000000" w:fill="FFFFFF"/>
            <w:noWrap/>
          </w:tcPr>
          <w:p w14:paraId="77B4E241" w14:textId="77777777" w:rsidR="001B6918" w:rsidRPr="004E6649" w:rsidRDefault="001B6918" w:rsidP="00730ECF">
            <w:pPr>
              <w:jc w:val="center"/>
              <w:rPr>
                <w:rFonts w:eastAsia="Times New Roman" w:cstheme="minorHAnsi"/>
                <w:color w:val="0D0D0D"/>
              </w:rPr>
            </w:pPr>
            <w:r w:rsidRPr="008C570C">
              <w:t>2086-2090</w:t>
            </w:r>
          </w:p>
        </w:tc>
        <w:tc>
          <w:tcPr>
            <w:tcW w:w="1337" w:type="dxa"/>
            <w:tcBorders>
              <w:top w:val="nil"/>
              <w:left w:val="nil"/>
              <w:right w:val="nil"/>
            </w:tcBorders>
            <w:shd w:val="clear" w:color="000000" w:fill="FFFFFF"/>
            <w:noWrap/>
          </w:tcPr>
          <w:p w14:paraId="7158C66E" w14:textId="77777777" w:rsidR="001B6918" w:rsidRPr="004D1E16" w:rsidRDefault="001B6918" w:rsidP="00730ECF">
            <w:pPr>
              <w:jc w:val="right"/>
              <w:rPr>
                <w:rFonts w:cstheme="minorHAnsi"/>
              </w:rPr>
            </w:pPr>
            <w:r w:rsidRPr="00565420">
              <w:t>339</w:t>
            </w:r>
          </w:p>
        </w:tc>
        <w:tc>
          <w:tcPr>
            <w:tcW w:w="1337" w:type="dxa"/>
            <w:tcBorders>
              <w:top w:val="nil"/>
              <w:left w:val="nil"/>
              <w:right w:val="nil"/>
            </w:tcBorders>
            <w:noWrap/>
            <w:vAlign w:val="bottom"/>
          </w:tcPr>
          <w:p w14:paraId="75C15CAC" w14:textId="77777777" w:rsidR="001B6918" w:rsidRPr="004D1E16" w:rsidRDefault="001B6918" w:rsidP="00730ECF">
            <w:pPr>
              <w:jc w:val="right"/>
              <w:rPr>
                <w:rFonts w:cstheme="minorHAnsi"/>
              </w:rPr>
            </w:pPr>
            <w:r w:rsidRPr="004D1E16">
              <w:rPr>
                <w:rFonts w:cstheme="minorHAnsi"/>
              </w:rPr>
              <w:t>-</w:t>
            </w:r>
          </w:p>
        </w:tc>
      </w:tr>
      <w:tr w:rsidR="001B6918" w:rsidRPr="004D1E16" w14:paraId="5FF4324C" w14:textId="77777777" w:rsidTr="00730ECF">
        <w:trPr>
          <w:trHeight w:val="288"/>
          <w:jc w:val="center"/>
        </w:trPr>
        <w:tc>
          <w:tcPr>
            <w:tcW w:w="1980" w:type="dxa"/>
            <w:tcBorders>
              <w:top w:val="nil"/>
              <w:left w:val="nil"/>
              <w:right w:val="nil"/>
            </w:tcBorders>
            <w:shd w:val="clear" w:color="000000" w:fill="FFFFFF"/>
            <w:noWrap/>
          </w:tcPr>
          <w:p w14:paraId="13E8557B" w14:textId="77777777" w:rsidR="001B6918" w:rsidRPr="004E6649" w:rsidRDefault="001B6918" w:rsidP="00730ECF">
            <w:pPr>
              <w:jc w:val="center"/>
              <w:rPr>
                <w:rFonts w:eastAsia="Times New Roman" w:cstheme="minorHAnsi"/>
                <w:color w:val="0D0D0D"/>
              </w:rPr>
            </w:pPr>
            <w:r w:rsidRPr="008C570C">
              <w:t>2091-2095</w:t>
            </w:r>
          </w:p>
        </w:tc>
        <w:tc>
          <w:tcPr>
            <w:tcW w:w="1337" w:type="dxa"/>
            <w:tcBorders>
              <w:top w:val="nil"/>
              <w:left w:val="nil"/>
              <w:right w:val="nil"/>
            </w:tcBorders>
            <w:shd w:val="clear" w:color="000000" w:fill="FFFFFF"/>
            <w:noWrap/>
          </w:tcPr>
          <w:p w14:paraId="532403AF" w14:textId="77777777" w:rsidR="001B6918" w:rsidRPr="004D1E16" w:rsidRDefault="001B6918" w:rsidP="00730ECF">
            <w:pPr>
              <w:jc w:val="right"/>
              <w:rPr>
                <w:rFonts w:cstheme="minorHAnsi"/>
              </w:rPr>
            </w:pPr>
            <w:r w:rsidRPr="00565420">
              <w:t>356</w:t>
            </w:r>
          </w:p>
        </w:tc>
        <w:tc>
          <w:tcPr>
            <w:tcW w:w="1337" w:type="dxa"/>
            <w:tcBorders>
              <w:top w:val="nil"/>
              <w:left w:val="nil"/>
              <w:right w:val="nil"/>
            </w:tcBorders>
            <w:noWrap/>
            <w:vAlign w:val="bottom"/>
          </w:tcPr>
          <w:p w14:paraId="27AE2CAA" w14:textId="77777777" w:rsidR="001B6918" w:rsidRPr="004D1E16" w:rsidRDefault="001B6918" w:rsidP="00730ECF">
            <w:pPr>
              <w:jc w:val="right"/>
              <w:rPr>
                <w:rFonts w:eastAsia="Times New Roman" w:cstheme="minorHAnsi"/>
              </w:rPr>
            </w:pPr>
            <w:r w:rsidRPr="004D1E16">
              <w:rPr>
                <w:rFonts w:cstheme="minorHAnsi"/>
              </w:rPr>
              <w:t>-</w:t>
            </w:r>
          </w:p>
        </w:tc>
      </w:tr>
      <w:tr w:rsidR="001B6918" w:rsidRPr="004D1E16" w14:paraId="3AC6E868" w14:textId="77777777" w:rsidTr="00730ECF">
        <w:trPr>
          <w:trHeight w:val="288"/>
          <w:jc w:val="center"/>
        </w:trPr>
        <w:tc>
          <w:tcPr>
            <w:tcW w:w="1980" w:type="dxa"/>
            <w:tcBorders>
              <w:top w:val="nil"/>
              <w:left w:val="nil"/>
              <w:right w:val="nil"/>
            </w:tcBorders>
            <w:shd w:val="clear" w:color="000000" w:fill="FFFFFF"/>
            <w:noWrap/>
          </w:tcPr>
          <w:p w14:paraId="363A84D2" w14:textId="77777777" w:rsidR="001B6918" w:rsidRPr="004E6649" w:rsidRDefault="001B6918" w:rsidP="00730ECF">
            <w:pPr>
              <w:jc w:val="center"/>
              <w:rPr>
                <w:rFonts w:eastAsia="Times New Roman" w:cstheme="minorHAnsi"/>
                <w:color w:val="0D0D0D"/>
              </w:rPr>
            </w:pPr>
            <w:r w:rsidRPr="008C570C">
              <w:t>2096-2100</w:t>
            </w:r>
          </w:p>
        </w:tc>
        <w:tc>
          <w:tcPr>
            <w:tcW w:w="1337" w:type="dxa"/>
            <w:tcBorders>
              <w:top w:val="nil"/>
              <w:left w:val="nil"/>
              <w:right w:val="nil"/>
            </w:tcBorders>
            <w:shd w:val="clear" w:color="000000" w:fill="FFFFFF"/>
            <w:noWrap/>
          </w:tcPr>
          <w:p w14:paraId="7E0645C0" w14:textId="77777777" w:rsidR="001B6918" w:rsidRPr="004D1E16" w:rsidRDefault="001B6918" w:rsidP="00730ECF">
            <w:pPr>
              <w:jc w:val="right"/>
              <w:rPr>
                <w:rFonts w:cstheme="minorHAnsi"/>
              </w:rPr>
            </w:pPr>
            <w:r w:rsidRPr="00565420">
              <w:t>374</w:t>
            </w:r>
          </w:p>
        </w:tc>
        <w:tc>
          <w:tcPr>
            <w:tcW w:w="1337" w:type="dxa"/>
            <w:tcBorders>
              <w:top w:val="nil"/>
              <w:left w:val="nil"/>
              <w:right w:val="nil"/>
            </w:tcBorders>
            <w:noWrap/>
            <w:vAlign w:val="bottom"/>
          </w:tcPr>
          <w:p w14:paraId="51AED24E" w14:textId="77777777" w:rsidR="001B6918" w:rsidRPr="004D1E16" w:rsidRDefault="001B6918" w:rsidP="00730ECF">
            <w:pPr>
              <w:jc w:val="right"/>
              <w:rPr>
                <w:rFonts w:eastAsia="Times New Roman" w:cstheme="minorHAnsi"/>
              </w:rPr>
            </w:pPr>
            <w:r w:rsidRPr="004D1E16">
              <w:rPr>
                <w:rFonts w:cstheme="minorHAnsi"/>
              </w:rPr>
              <w:t>-</w:t>
            </w:r>
          </w:p>
        </w:tc>
      </w:tr>
      <w:tr w:rsidR="001B6918" w:rsidRPr="004D1E16" w14:paraId="6DCBA7EF" w14:textId="77777777" w:rsidTr="00730ECF">
        <w:trPr>
          <w:trHeight w:val="288"/>
          <w:jc w:val="center"/>
        </w:trPr>
        <w:tc>
          <w:tcPr>
            <w:tcW w:w="1980" w:type="dxa"/>
            <w:tcBorders>
              <w:top w:val="nil"/>
              <w:left w:val="nil"/>
              <w:right w:val="nil"/>
            </w:tcBorders>
            <w:shd w:val="clear" w:color="000000" w:fill="FFFFFF"/>
            <w:noWrap/>
          </w:tcPr>
          <w:p w14:paraId="7BCEB119" w14:textId="77777777" w:rsidR="001B6918" w:rsidRPr="004E6649" w:rsidRDefault="001B6918" w:rsidP="00730ECF">
            <w:pPr>
              <w:jc w:val="center"/>
              <w:rPr>
                <w:rFonts w:eastAsia="Times New Roman" w:cstheme="minorHAnsi"/>
                <w:color w:val="0D0D0D"/>
              </w:rPr>
            </w:pPr>
            <w:r w:rsidRPr="008C570C">
              <w:t>2101-2105</w:t>
            </w:r>
          </w:p>
        </w:tc>
        <w:tc>
          <w:tcPr>
            <w:tcW w:w="1337" w:type="dxa"/>
            <w:tcBorders>
              <w:top w:val="nil"/>
              <w:left w:val="nil"/>
              <w:right w:val="nil"/>
            </w:tcBorders>
            <w:shd w:val="clear" w:color="000000" w:fill="FFFFFF"/>
            <w:noWrap/>
          </w:tcPr>
          <w:p w14:paraId="436D0BAF" w14:textId="77777777" w:rsidR="001B6918" w:rsidRPr="004D1E16" w:rsidRDefault="001B6918" w:rsidP="00730ECF">
            <w:pPr>
              <w:jc w:val="right"/>
              <w:rPr>
                <w:rFonts w:cstheme="minorHAnsi"/>
              </w:rPr>
            </w:pPr>
            <w:r w:rsidRPr="00565420">
              <w:t>393</w:t>
            </w:r>
          </w:p>
        </w:tc>
        <w:tc>
          <w:tcPr>
            <w:tcW w:w="1337" w:type="dxa"/>
            <w:tcBorders>
              <w:top w:val="nil"/>
              <w:left w:val="nil"/>
              <w:right w:val="nil"/>
            </w:tcBorders>
            <w:noWrap/>
            <w:vAlign w:val="bottom"/>
          </w:tcPr>
          <w:p w14:paraId="49661F4D" w14:textId="77777777" w:rsidR="001B6918" w:rsidRPr="004D1E16" w:rsidRDefault="001B6918" w:rsidP="00730ECF">
            <w:pPr>
              <w:jc w:val="right"/>
              <w:rPr>
                <w:rFonts w:cstheme="minorHAnsi"/>
              </w:rPr>
            </w:pPr>
            <w:r w:rsidRPr="004D1E16">
              <w:rPr>
                <w:rFonts w:cstheme="minorHAnsi"/>
              </w:rPr>
              <w:t>-</w:t>
            </w:r>
          </w:p>
        </w:tc>
      </w:tr>
      <w:tr w:rsidR="001B6918" w:rsidRPr="004D1E16" w14:paraId="476836F0" w14:textId="77777777" w:rsidTr="00730ECF">
        <w:trPr>
          <w:trHeight w:val="288"/>
          <w:jc w:val="center"/>
        </w:trPr>
        <w:tc>
          <w:tcPr>
            <w:tcW w:w="1980" w:type="dxa"/>
            <w:tcBorders>
              <w:top w:val="nil"/>
              <w:left w:val="nil"/>
              <w:right w:val="nil"/>
            </w:tcBorders>
            <w:shd w:val="clear" w:color="000000" w:fill="FFFFFF"/>
            <w:noWrap/>
          </w:tcPr>
          <w:p w14:paraId="38F6694C" w14:textId="77777777" w:rsidR="001B6918" w:rsidRPr="004E6649" w:rsidRDefault="001B6918" w:rsidP="00730ECF">
            <w:pPr>
              <w:jc w:val="center"/>
              <w:rPr>
                <w:rFonts w:eastAsia="Times New Roman" w:cstheme="minorHAnsi"/>
                <w:color w:val="0D0D0D"/>
              </w:rPr>
            </w:pPr>
            <w:r w:rsidRPr="008C570C">
              <w:t>2106-2110</w:t>
            </w:r>
          </w:p>
        </w:tc>
        <w:tc>
          <w:tcPr>
            <w:tcW w:w="1337" w:type="dxa"/>
            <w:tcBorders>
              <w:top w:val="nil"/>
              <w:left w:val="nil"/>
              <w:right w:val="nil"/>
            </w:tcBorders>
            <w:shd w:val="clear" w:color="000000" w:fill="FFFFFF"/>
            <w:noWrap/>
          </w:tcPr>
          <w:p w14:paraId="60324A9F" w14:textId="77777777" w:rsidR="001B6918" w:rsidRPr="004D1E16" w:rsidRDefault="001B6918" w:rsidP="00730ECF">
            <w:pPr>
              <w:jc w:val="right"/>
              <w:rPr>
                <w:rFonts w:cstheme="minorHAnsi"/>
              </w:rPr>
            </w:pPr>
            <w:r w:rsidRPr="00565420">
              <w:t>412</w:t>
            </w:r>
          </w:p>
        </w:tc>
        <w:tc>
          <w:tcPr>
            <w:tcW w:w="1337" w:type="dxa"/>
            <w:tcBorders>
              <w:top w:val="nil"/>
              <w:left w:val="nil"/>
              <w:right w:val="nil"/>
            </w:tcBorders>
            <w:noWrap/>
            <w:vAlign w:val="bottom"/>
          </w:tcPr>
          <w:p w14:paraId="04659094" w14:textId="77777777" w:rsidR="001B6918" w:rsidRPr="004D1E16" w:rsidRDefault="001B6918" w:rsidP="00730ECF">
            <w:pPr>
              <w:jc w:val="right"/>
              <w:rPr>
                <w:rFonts w:cstheme="minorHAnsi"/>
              </w:rPr>
            </w:pPr>
            <w:r w:rsidRPr="004D1E16">
              <w:rPr>
                <w:rFonts w:cstheme="minorHAnsi"/>
              </w:rPr>
              <w:t>-</w:t>
            </w:r>
          </w:p>
        </w:tc>
      </w:tr>
      <w:tr w:rsidR="001B6918" w:rsidRPr="004D1E16" w14:paraId="66B4645C" w14:textId="77777777" w:rsidTr="00730ECF">
        <w:trPr>
          <w:trHeight w:val="288"/>
          <w:jc w:val="center"/>
        </w:trPr>
        <w:tc>
          <w:tcPr>
            <w:tcW w:w="1980" w:type="dxa"/>
            <w:tcBorders>
              <w:top w:val="nil"/>
              <w:left w:val="nil"/>
              <w:right w:val="nil"/>
            </w:tcBorders>
            <w:shd w:val="clear" w:color="000000" w:fill="FFFFFF"/>
            <w:noWrap/>
          </w:tcPr>
          <w:p w14:paraId="04105F5F" w14:textId="77777777" w:rsidR="001B6918" w:rsidRPr="004E6649" w:rsidRDefault="001B6918" w:rsidP="00730ECF">
            <w:pPr>
              <w:jc w:val="center"/>
              <w:rPr>
                <w:rFonts w:eastAsia="Times New Roman" w:cstheme="minorHAnsi"/>
                <w:color w:val="0D0D0D"/>
              </w:rPr>
            </w:pPr>
            <w:r w:rsidRPr="008C570C">
              <w:t>2111-2115</w:t>
            </w:r>
          </w:p>
        </w:tc>
        <w:tc>
          <w:tcPr>
            <w:tcW w:w="1337" w:type="dxa"/>
            <w:tcBorders>
              <w:top w:val="nil"/>
              <w:left w:val="nil"/>
              <w:right w:val="nil"/>
            </w:tcBorders>
            <w:shd w:val="clear" w:color="000000" w:fill="FFFFFF"/>
            <w:noWrap/>
          </w:tcPr>
          <w:p w14:paraId="03276C3F" w14:textId="77777777" w:rsidR="001B6918" w:rsidRPr="004D1E16" w:rsidRDefault="001B6918" w:rsidP="00730ECF">
            <w:pPr>
              <w:jc w:val="right"/>
              <w:rPr>
                <w:rFonts w:cstheme="minorHAnsi"/>
              </w:rPr>
            </w:pPr>
            <w:r w:rsidRPr="00565420">
              <w:t>433</w:t>
            </w:r>
          </w:p>
        </w:tc>
        <w:tc>
          <w:tcPr>
            <w:tcW w:w="1337" w:type="dxa"/>
            <w:tcBorders>
              <w:top w:val="nil"/>
              <w:left w:val="nil"/>
              <w:right w:val="nil"/>
            </w:tcBorders>
            <w:noWrap/>
            <w:vAlign w:val="bottom"/>
          </w:tcPr>
          <w:p w14:paraId="1A707139" w14:textId="77777777" w:rsidR="001B6918" w:rsidRPr="004D1E16" w:rsidRDefault="001B6918" w:rsidP="00730ECF">
            <w:pPr>
              <w:jc w:val="right"/>
              <w:rPr>
                <w:rFonts w:eastAsia="Times New Roman" w:cstheme="minorHAnsi"/>
              </w:rPr>
            </w:pPr>
            <w:r w:rsidRPr="004D1E16">
              <w:rPr>
                <w:rFonts w:cstheme="minorHAnsi"/>
              </w:rPr>
              <w:t>-</w:t>
            </w:r>
          </w:p>
        </w:tc>
      </w:tr>
      <w:tr w:rsidR="001B6918" w:rsidRPr="004D1E16" w14:paraId="10C4734E" w14:textId="77777777" w:rsidTr="00730ECF">
        <w:trPr>
          <w:trHeight w:val="288"/>
          <w:jc w:val="center"/>
        </w:trPr>
        <w:tc>
          <w:tcPr>
            <w:tcW w:w="1980" w:type="dxa"/>
            <w:tcBorders>
              <w:top w:val="nil"/>
              <w:left w:val="nil"/>
              <w:right w:val="nil"/>
            </w:tcBorders>
            <w:shd w:val="clear" w:color="000000" w:fill="FFFFFF"/>
            <w:noWrap/>
          </w:tcPr>
          <w:p w14:paraId="317B074C" w14:textId="77777777" w:rsidR="001B6918" w:rsidRPr="004E6649" w:rsidRDefault="001B6918" w:rsidP="00730ECF">
            <w:pPr>
              <w:jc w:val="center"/>
              <w:rPr>
                <w:rFonts w:eastAsia="Times New Roman" w:cstheme="minorHAnsi"/>
                <w:color w:val="0D0D0D"/>
              </w:rPr>
            </w:pPr>
            <w:r w:rsidRPr="008C570C">
              <w:t>2116-2120</w:t>
            </w:r>
          </w:p>
        </w:tc>
        <w:tc>
          <w:tcPr>
            <w:tcW w:w="1337" w:type="dxa"/>
            <w:tcBorders>
              <w:top w:val="nil"/>
              <w:left w:val="nil"/>
              <w:right w:val="nil"/>
            </w:tcBorders>
            <w:shd w:val="clear" w:color="000000" w:fill="FFFFFF"/>
            <w:noWrap/>
          </w:tcPr>
          <w:p w14:paraId="57D3BB56" w14:textId="77777777" w:rsidR="001B6918" w:rsidRPr="004D1E16" w:rsidRDefault="001B6918" w:rsidP="00730ECF">
            <w:pPr>
              <w:jc w:val="right"/>
              <w:rPr>
                <w:rFonts w:cstheme="minorHAnsi"/>
              </w:rPr>
            </w:pPr>
            <w:r w:rsidRPr="00565420">
              <w:t>455</w:t>
            </w:r>
          </w:p>
        </w:tc>
        <w:tc>
          <w:tcPr>
            <w:tcW w:w="1337" w:type="dxa"/>
            <w:tcBorders>
              <w:top w:val="nil"/>
              <w:left w:val="nil"/>
              <w:right w:val="nil"/>
            </w:tcBorders>
            <w:noWrap/>
            <w:vAlign w:val="bottom"/>
          </w:tcPr>
          <w:p w14:paraId="70C6AC14" w14:textId="77777777" w:rsidR="001B6918" w:rsidRPr="004D1E16" w:rsidRDefault="001B6918" w:rsidP="00730ECF">
            <w:pPr>
              <w:jc w:val="right"/>
              <w:rPr>
                <w:rFonts w:eastAsia="Times New Roman" w:cstheme="minorHAnsi"/>
              </w:rPr>
            </w:pPr>
            <w:r w:rsidRPr="004D1E16">
              <w:rPr>
                <w:rFonts w:cstheme="minorHAnsi"/>
              </w:rPr>
              <w:t>-</w:t>
            </w:r>
          </w:p>
        </w:tc>
      </w:tr>
      <w:tr w:rsidR="001B6918" w:rsidRPr="004D1E16" w14:paraId="7D8750D9" w14:textId="77777777" w:rsidTr="00730ECF">
        <w:trPr>
          <w:trHeight w:val="288"/>
          <w:jc w:val="center"/>
        </w:trPr>
        <w:tc>
          <w:tcPr>
            <w:tcW w:w="1980" w:type="dxa"/>
            <w:tcBorders>
              <w:left w:val="nil"/>
              <w:bottom w:val="single" w:sz="4" w:space="0" w:color="000000" w:themeColor="text1"/>
              <w:right w:val="nil"/>
            </w:tcBorders>
            <w:shd w:val="clear" w:color="000000" w:fill="FFFFFF"/>
            <w:noWrap/>
          </w:tcPr>
          <w:p w14:paraId="5B882A83" w14:textId="77777777" w:rsidR="001B6918" w:rsidRPr="004E6649" w:rsidRDefault="001B6918" w:rsidP="00730ECF">
            <w:pPr>
              <w:jc w:val="center"/>
              <w:rPr>
                <w:rFonts w:eastAsia="Times New Roman" w:cstheme="minorHAnsi"/>
                <w:color w:val="0D0D0D"/>
              </w:rPr>
            </w:pPr>
            <w:r w:rsidRPr="008C570C">
              <w:t>2121-2122</w:t>
            </w:r>
          </w:p>
        </w:tc>
        <w:tc>
          <w:tcPr>
            <w:tcW w:w="1337" w:type="dxa"/>
            <w:tcBorders>
              <w:left w:val="nil"/>
              <w:bottom w:val="single" w:sz="4" w:space="0" w:color="000000" w:themeColor="text1"/>
              <w:right w:val="nil"/>
            </w:tcBorders>
            <w:shd w:val="clear" w:color="000000" w:fill="FFFFFF"/>
            <w:noWrap/>
          </w:tcPr>
          <w:p w14:paraId="11D3BFC1" w14:textId="77777777" w:rsidR="001B6918" w:rsidRPr="004D1E16" w:rsidRDefault="001B6918" w:rsidP="00730ECF">
            <w:pPr>
              <w:jc w:val="right"/>
              <w:rPr>
                <w:rFonts w:cstheme="minorHAnsi"/>
              </w:rPr>
            </w:pPr>
            <w:r w:rsidRPr="00565420">
              <w:t>11</w:t>
            </w:r>
            <w:r>
              <w:t>7</w:t>
            </w:r>
          </w:p>
        </w:tc>
        <w:tc>
          <w:tcPr>
            <w:tcW w:w="1337" w:type="dxa"/>
            <w:tcBorders>
              <w:left w:val="nil"/>
              <w:bottom w:val="single" w:sz="4" w:space="0" w:color="000000" w:themeColor="text1"/>
              <w:right w:val="nil"/>
            </w:tcBorders>
            <w:noWrap/>
            <w:vAlign w:val="bottom"/>
          </w:tcPr>
          <w:p w14:paraId="037012A1" w14:textId="77777777" w:rsidR="001B6918" w:rsidRPr="004D1E16" w:rsidRDefault="001B6918" w:rsidP="00730ECF">
            <w:pPr>
              <w:jc w:val="right"/>
              <w:rPr>
                <w:rFonts w:cstheme="minorHAnsi"/>
              </w:rPr>
            </w:pPr>
            <w:r w:rsidRPr="004D1E16">
              <w:rPr>
                <w:rFonts w:cstheme="minorHAnsi"/>
              </w:rPr>
              <w:t>-</w:t>
            </w:r>
          </w:p>
        </w:tc>
      </w:tr>
      <w:tr w:rsidR="001B6918" w:rsidRPr="004D1E16" w14:paraId="5B5996AA" w14:textId="77777777" w:rsidTr="00730ECF">
        <w:trPr>
          <w:trHeight w:val="300"/>
          <w:jc w:val="center"/>
        </w:trPr>
        <w:tc>
          <w:tcPr>
            <w:tcW w:w="1980" w:type="dxa"/>
            <w:tcBorders>
              <w:top w:val="single" w:sz="4" w:space="0" w:color="000000" w:themeColor="text1"/>
              <w:left w:val="nil"/>
              <w:bottom w:val="double" w:sz="4" w:space="0" w:color="000000" w:themeColor="text1"/>
              <w:right w:val="nil"/>
            </w:tcBorders>
            <w:shd w:val="clear" w:color="000000" w:fill="FFFFFF"/>
            <w:noWrap/>
            <w:vAlign w:val="bottom"/>
            <w:hideMark/>
          </w:tcPr>
          <w:p w14:paraId="4B359509" w14:textId="77777777" w:rsidR="001B6918" w:rsidRPr="004E6649" w:rsidRDefault="001B6918" w:rsidP="00730ECF">
            <w:pPr>
              <w:rPr>
                <w:rFonts w:eastAsia="Times New Roman" w:cstheme="minorHAnsi"/>
                <w:b/>
                <w:bCs/>
                <w:color w:val="0D0D0D"/>
              </w:rPr>
            </w:pPr>
            <w:r w:rsidRPr="004E6649">
              <w:rPr>
                <w:rFonts w:eastAsia="Times New Roman" w:cstheme="minorHAnsi"/>
                <w:b/>
                <w:bCs/>
                <w:color w:val="0D0D0D"/>
              </w:rPr>
              <w:t>Total Payments</w:t>
            </w:r>
          </w:p>
        </w:tc>
        <w:tc>
          <w:tcPr>
            <w:tcW w:w="1337" w:type="dxa"/>
            <w:tcBorders>
              <w:top w:val="single" w:sz="4" w:space="0" w:color="000000" w:themeColor="text1"/>
              <w:left w:val="nil"/>
              <w:bottom w:val="double" w:sz="4" w:space="0" w:color="000000" w:themeColor="text1"/>
              <w:right w:val="nil"/>
            </w:tcBorders>
            <w:shd w:val="clear" w:color="000000" w:fill="FFFFFF"/>
            <w:noWrap/>
            <w:vAlign w:val="bottom"/>
            <w:hideMark/>
          </w:tcPr>
          <w:p w14:paraId="61A34C04" w14:textId="77777777" w:rsidR="001B6918" w:rsidRPr="004D1E16" w:rsidRDefault="001B6918" w:rsidP="00730ECF">
            <w:pPr>
              <w:jc w:val="right"/>
              <w:rPr>
                <w:rFonts w:eastAsia="Times New Roman" w:cstheme="minorHAnsi"/>
              </w:rPr>
            </w:pPr>
            <w:r w:rsidRPr="004D1E16">
              <w:rPr>
                <w:rFonts w:cstheme="minorHAnsi"/>
              </w:rPr>
              <w:t xml:space="preserve"> $ 5,85</w:t>
            </w:r>
            <w:r>
              <w:rPr>
                <w:rFonts w:cstheme="minorHAnsi"/>
              </w:rPr>
              <w:t>6</w:t>
            </w:r>
            <w:r w:rsidRPr="004D1E16">
              <w:rPr>
                <w:rFonts w:cstheme="minorHAnsi"/>
              </w:rPr>
              <w:t xml:space="preserve"> </w:t>
            </w:r>
          </w:p>
        </w:tc>
        <w:tc>
          <w:tcPr>
            <w:tcW w:w="1337" w:type="dxa"/>
            <w:tcBorders>
              <w:top w:val="single" w:sz="4" w:space="0" w:color="000000" w:themeColor="text1"/>
              <w:left w:val="nil"/>
              <w:bottom w:val="double" w:sz="4" w:space="0" w:color="000000" w:themeColor="text1"/>
              <w:right w:val="nil"/>
            </w:tcBorders>
            <w:noWrap/>
            <w:vAlign w:val="bottom"/>
            <w:hideMark/>
          </w:tcPr>
          <w:p w14:paraId="50A815CF" w14:textId="77777777" w:rsidR="001B6918" w:rsidRPr="004D1E16" w:rsidRDefault="001B6918" w:rsidP="00730ECF">
            <w:pPr>
              <w:jc w:val="right"/>
              <w:rPr>
                <w:rFonts w:eastAsia="Times New Roman" w:cstheme="minorHAnsi"/>
              </w:rPr>
            </w:pPr>
            <w:r w:rsidRPr="004D1E16">
              <w:rPr>
                <w:rFonts w:cstheme="minorHAnsi"/>
              </w:rPr>
              <w:t xml:space="preserve">  $     - </w:t>
            </w:r>
          </w:p>
        </w:tc>
      </w:tr>
    </w:tbl>
    <w:p w14:paraId="16F5EA40" w14:textId="77777777" w:rsidR="001B6918" w:rsidRDefault="001B6918" w:rsidP="001B6918">
      <w:pPr>
        <w:spacing w:after="160" w:line="259" w:lineRule="auto"/>
        <w:rPr>
          <w:rFonts w:eastAsiaTheme="majorEastAsia" w:cstheme="minorHAnsi"/>
          <w:b/>
          <w:i/>
          <w:iCs/>
          <w:smallCaps/>
          <w:noProof/>
          <w:color w:val="000000" w:themeColor="text1"/>
          <w:sz w:val="24"/>
          <w:szCs w:val="24"/>
          <w:u w:color="5B9BD5"/>
        </w:rPr>
      </w:pPr>
      <w:r>
        <w:rPr>
          <w:rFonts w:cstheme="minorHAnsi"/>
          <w:sz w:val="24"/>
          <w:szCs w:val="24"/>
        </w:rPr>
        <w:br w:type="page"/>
      </w:r>
    </w:p>
    <w:p w14:paraId="732861B4" w14:textId="77777777" w:rsidR="001B6918" w:rsidRPr="004E6649" w:rsidRDefault="001B6918" w:rsidP="001B6918">
      <w:pPr>
        <w:pStyle w:val="AFR2"/>
        <w:pBdr>
          <w:bottom w:val="single" w:sz="8" w:space="1" w:color="0D0D0D" w:themeColor="text1" w:themeTint="F2"/>
        </w:pBdr>
        <w:rPr>
          <w:rFonts w:cstheme="minorHAnsi"/>
          <w:sz w:val="24"/>
          <w:szCs w:val="24"/>
        </w:rPr>
      </w:pPr>
      <w:r w:rsidRPr="004E6649">
        <w:rPr>
          <w:rFonts w:cstheme="minorHAnsi"/>
          <w:sz w:val="24"/>
          <w:szCs w:val="24"/>
        </w:rPr>
        <w:lastRenderedPageBreak/>
        <w:t>6. CAPITAL ASSETS</w:t>
      </w:r>
    </w:p>
    <w:p w14:paraId="6F392907" w14:textId="77777777" w:rsidR="001B6918" w:rsidRDefault="001B6918" w:rsidP="001B6918">
      <w:pPr>
        <w:tabs>
          <w:tab w:val="left" w:pos="720"/>
          <w:tab w:val="left" w:pos="1440"/>
          <w:tab w:val="right" w:pos="4262"/>
          <w:tab w:val="right" w:pos="5220"/>
          <w:tab w:val="right" w:pos="6691"/>
          <w:tab w:val="right" w:pos="7621"/>
          <w:tab w:val="right" w:pos="9187"/>
        </w:tabs>
        <w:suppressAutoHyphens/>
        <w:spacing w:after="120"/>
        <w:rPr>
          <w:rFonts w:cstheme="minorHAnsi"/>
          <w:bCs/>
          <w:color w:val="000000" w:themeColor="text1"/>
          <w:spacing w:val="-3"/>
          <w:sz w:val="24"/>
        </w:rPr>
      </w:pPr>
      <w:r w:rsidRPr="004E6649">
        <w:rPr>
          <w:rFonts w:cstheme="minorHAnsi"/>
          <w:bCs/>
          <w:color w:val="000000" w:themeColor="text1"/>
          <w:spacing w:val="-3"/>
          <w:sz w:val="24"/>
        </w:rPr>
        <w:t>Capital asset activity for the year ended June 30 is as follows:</w:t>
      </w:r>
    </w:p>
    <w:tbl>
      <w:tblPr>
        <w:tblW w:w="10553" w:type="dxa"/>
        <w:jc w:val="center"/>
        <w:tblLook w:val="04A0" w:firstRow="1" w:lastRow="0" w:firstColumn="1" w:lastColumn="0" w:noHBand="0" w:noVBand="1"/>
      </w:tblPr>
      <w:tblGrid>
        <w:gridCol w:w="3960"/>
        <w:gridCol w:w="1218"/>
        <w:gridCol w:w="1094"/>
        <w:gridCol w:w="1820"/>
        <w:gridCol w:w="1342"/>
        <w:gridCol w:w="1218"/>
      </w:tblGrid>
      <w:tr w:rsidR="001B6918" w:rsidRPr="005D0729" w14:paraId="22B383D3" w14:textId="77777777" w:rsidTr="00730ECF">
        <w:trPr>
          <w:trHeight w:val="180"/>
          <w:jc w:val="center"/>
        </w:trPr>
        <w:tc>
          <w:tcPr>
            <w:tcW w:w="10553" w:type="dxa"/>
            <w:gridSpan w:val="6"/>
            <w:tcBorders>
              <w:top w:val="nil"/>
              <w:left w:val="nil"/>
              <w:bottom w:val="single" w:sz="12" w:space="0" w:color="000000"/>
              <w:right w:val="nil"/>
            </w:tcBorders>
            <w:shd w:val="clear" w:color="000000" w:fill="FFFFFF"/>
            <w:noWrap/>
            <w:vAlign w:val="bottom"/>
            <w:hideMark/>
          </w:tcPr>
          <w:p w14:paraId="7EE7EE72" w14:textId="77777777" w:rsidR="001B6918" w:rsidRPr="005D0729" w:rsidRDefault="001B6918" w:rsidP="00730ECF">
            <w:pPr>
              <w:jc w:val="center"/>
              <w:rPr>
                <w:rFonts w:ascii="Calibri" w:eastAsia="Times New Roman" w:hAnsi="Calibri" w:cs="Calibri"/>
                <w:b/>
                <w:bCs/>
                <w:color w:val="0D0D0D"/>
              </w:rPr>
            </w:pPr>
            <w:r w:rsidRPr="005D0729">
              <w:rPr>
                <w:rFonts w:ascii="Calibri" w:eastAsia="Times New Roman" w:hAnsi="Calibri" w:cs="Calibri"/>
                <w:b/>
                <w:bCs/>
                <w:color w:val="0D0D0D"/>
              </w:rPr>
              <w:t>202</w:t>
            </w:r>
            <w:r>
              <w:rPr>
                <w:rFonts w:ascii="Calibri" w:eastAsia="Times New Roman" w:hAnsi="Calibri" w:cs="Calibri"/>
                <w:b/>
                <w:bCs/>
                <w:color w:val="0D0D0D"/>
              </w:rPr>
              <w:t>5</w:t>
            </w:r>
          </w:p>
        </w:tc>
      </w:tr>
      <w:tr w:rsidR="001B6918" w:rsidRPr="005D0729" w14:paraId="3476E3AB" w14:textId="77777777" w:rsidTr="00730ECF">
        <w:trPr>
          <w:trHeight w:val="420"/>
          <w:jc w:val="center"/>
        </w:trPr>
        <w:tc>
          <w:tcPr>
            <w:tcW w:w="3960" w:type="dxa"/>
            <w:tcBorders>
              <w:top w:val="nil"/>
              <w:left w:val="nil"/>
              <w:bottom w:val="single" w:sz="12" w:space="0" w:color="000000"/>
              <w:right w:val="nil"/>
            </w:tcBorders>
            <w:shd w:val="clear" w:color="000000" w:fill="FFFFFF"/>
            <w:noWrap/>
            <w:vAlign w:val="bottom"/>
            <w:hideMark/>
          </w:tcPr>
          <w:p w14:paraId="5BD50B98" w14:textId="77777777" w:rsidR="001B6918" w:rsidRPr="005D0729" w:rsidRDefault="001B6918" w:rsidP="00730ECF">
            <w:pPr>
              <w:jc w:val="center"/>
              <w:rPr>
                <w:rFonts w:ascii="Calibri" w:eastAsia="Times New Roman" w:hAnsi="Calibri" w:cs="Calibri"/>
                <w:b/>
                <w:bCs/>
                <w:color w:val="0D0D0D"/>
              </w:rPr>
            </w:pPr>
            <w:r w:rsidRPr="005D0729">
              <w:rPr>
                <w:rFonts w:ascii="Calibri" w:eastAsia="Times New Roman" w:hAnsi="Calibri" w:cs="Calibri"/>
                <w:b/>
                <w:bCs/>
                <w:color w:val="0D0D0D"/>
              </w:rPr>
              <w:t> </w:t>
            </w:r>
          </w:p>
        </w:tc>
        <w:tc>
          <w:tcPr>
            <w:tcW w:w="1218" w:type="dxa"/>
            <w:tcBorders>
              <w:top w:val="nil"/>
              <w:left w:val="nil"/>
              <w:bottom w:val="single" w:sz="12" w:space="0" w:color="000000"/>
              <w:right w:val="nil"/>
            </w:tcBorders>
            <w:shd w:val="clear" w:color="000000" w:fill="FFFFFF"/>
            <w:vAlign w:val="bottom"/>
            <w:hideMark/>
          </w:tcPr>
          <w:p w14:paraId="172AAD2C" w14:textId="77777777" w:rsidR="001B6918" w:rsidRPr="005D0729" w:rsidRDefault="001B6918" w:rsidP="00730ECF">
            <w:pPr>
              <w:jc w:val="center"/>
              <w:rPr>
                <w:rFonts w:ascii="Calibri" w:eastAsia="Times New Roman" w:hAnsi="Calibri" w:cs="Calibri"/>
                <w:b/>
                <w:bCs/>
                <w:color w:val="0D0D0D"/>
              </w:rPr>
            </w:pPr>
            <w:r w:rsidRPr="005D0729">
              <w:rPr>
                <w:rFonts w:ascii="Calibri" w:eastAsia="Times New Roman" w:hAnsi="Calibri" w:cs="Calibri"/>
                <w:b/>
                <w:bCs/>
                <w:color w:val="0D0D0D"/>
              </w:rPr>
              <w:t>Beginning</w:t>
            </w:r>
            <w:r>
              <w:rPr>
                <w:rFonts w:ascii="Calibri" w:eastAsia="Times New Roman" w:hAnsi="Calibri" w:cs="Calibri"/>
                <w:b/>
                <w:bCs/>
                <w:color w:val="0D0D0D"/>
              </w:rPr>
              <w:t xml:space="preserve"> </w:t>
            </w:r>
            <w:r w:rsidRPr="005D0729">
              <w:rPr>
                <w:rFonts w:ascii="Calibri" w:eastAsia="Times New Roman" w:hAnsi="Calibri" w:cs="Calibri"/>
                <w:b/>
                <w:bCs/>
                <w:color w:val="0D0D0D"/>
              </w:rPr>
              <w:t>Balance</w:t>
            </w:r>
          </w:p>
        </w:tc>
        <w:tc>
          <w:tcPr>
            <w:tcW w:w="1094" w:type="dxa"/>
            <w:tcBorders>
              <w:top w:val="nil"/>
              <w:left w:val="nil"/>
              <w:bottom w:val="single" w:sz="12" w:space="0" w:color="000000"/>
              <w:right w:val="nil"/>
            </w:tcBorders>
            <w:shd w:val="clear" w:color="000000" w:fill="FFFFFF"/>
            <w:noWrap/>
            <w:vAlign w:val="bottom"/>
            <w:hideMark/>
          </w:tcPr>
          <w:p w14:paraId="5B423A7D" w14:textId="77777777" w:rsidR="001B6918" w:rsidRPr="005D0729" w:rsidRDefault="001B6918" w:rsidP="00730ECF">
            <w:pPr>
              <w:jc w:val="center"/>
              <w:rPr>
                <w:rFonts w:ascii="Calibri" w:eastAsia="Times New Roman" w:hAnsi="Calibri" w:cs="Calibri"/>
                <w:b/>
                <w:bCs/>
                <w:color w:val="0D0D0D"/>
              </w:rPr>
            </w:pPr>
            <w:r w:rsidRPr="005D0729">
              <w:rPr>
                <w:rFonts w:ascii="Calibri" w:eastAsia="Times New Roman" w:hAnsi="Calibri" w:cs="Calibri"/>
                <w:b/>
                <w:bCs/>
                <w:color w:val="0D0D0D"/>
              </w:rPr>
              <w:t>Additions</w:t>
            </w:r>
          </w:p>
        </w:tc>
        <w:tc>
          <w:tcPr>
            <w:tcW w:w="1820" w:type="dxa"/>
            <w:tcBorders>
              <w:top w:val="nil"/>
              <w:left w:val="nil"/>
              <w:bottom w:val="single" w:sz="12" w:space="0" w:color="000000"/>
              <w:right w:val="nil"/>
            </w:tcBorders>
            <w:shd w:val="clear" w:color="000000" w:fill="FFFFFF"/>
            <w:noWrap/>
            <w:vAlign w:val="bottom"/>
            <w:hideMark/>
          </w:tcPr>
          <w:p w14:paraId="16CAAE85" w14:textId="77777777" w:rsidR="001B6918" w:rsidRPr="005D0729" w:rsidRDefault="001B6918" w:rsidP="00730ECF">
            <w:pPr>
              <w:jc w:val="center"/>
              <w:rPr>
                <w:rFonts w:ascii="Calibri" w:eastAsia="Times New Roman" w:hAnsi="Calibri" w:cs="Calibri"/>
                <w:b/>
                <w:bCs/>
                <w:color w:val="0D0D0D"/>
              </w:rPr>
            </w:pPr>
            <w:r w:rsidRPr="005D0729">
              <w:rPr>
                <w:rFonts w:ascii="Calibri" w:eastAsia="Times New Roman" w:hAnsi="Calibri" w:cs="Calibri"/>
                <w:b/>
                <w:bCs/>
                <w:color w:val="0D0D0D"/>
              </w:rPr>
              <w:t>Reclassifications</w:t>
            </w:r>
          </w:p>
        </w:tc>
        <w:tc>
          <w:tcPr>
            <w:tcW w:w="1342" w:type="dxa"/>
            <w:tcBorders>
              <w:top w:val="nil"/>
              <w:left w:val="nil"/>
              <w:bottom w:val="single" w:sz="12" w:space="0" w:color="000000"/>
              <w:right w:val="nil"/>
            </w:tcBorders>
            <w:shd w:val="clear" w:color="000000" w:fill="FFFFFF"/>
            <w:noWrap/>
            <w:vAlign w:val="bottom"/>
            <w:hideMark/>
          </w:tcPr>
          <w:p w14:paraId="7895E760" w14:textId="77777777" w:rsidR="001B6918" w:rsidRPr="005D0729" w:rsidRDefault="001B6918" w:rsidP="00730ECF">
            <w:pPr>
              <w:jc w:val="center"/>
              <w:rPr>
                <w:rFonts w:ascii="Calibri" w:eastAsia="Times New Roman" w:hAnsi="Calibri" w:cs="Calibri"/>
                <w:b/>
                <w:bCs/>
                <w:color w:val="0D0D0D"/>
              </w:rPr>
            </w:pPr>
            <w:r w:rsidRPr="005D0729">
              <w:rPr>
                <w:rFonts w:ascii="Calibri" w:eastAsia="Times New Roman" w:hAnsi="Calibri" w:cs="Calibri"/>
                <w:b/>
                <w:bCs/>
                <w:color w:val="0D0D0D"/>
              </w:rPr>
              <w:t>Retirements</w:t>
            </w:r>
          </w:p>
        </w:tc>
        <w:tc>
          <w:tcPr>
            <w:tcW w:w="1119" w:type="dxa"/>
            <w:tcBorders>
              <w:top w:val="nil"/>
              <w:left w:val="nil"/>
              <w:bottom w:val="single" w:sz="12" w:space="0" w:color="000000"/>
              <w:right w:val="nil"/>
            </w:tcBorders>
            <w:shd w:val="clear" w:color="000000" w:fill="FFFFFF"/>
            <w:vAlign w:val="bottom"/>
            <w:hideMark/>
          </w:tcPr>
          <w:p w14:paraId="29DA3D85" w14:textId="77777777" w:rsidR="001B6918" w:rsidRPr="005D0729" w:rsidRDefault="001B6918" w:rsidP="00730ECF">
            <w:pPr>
              <w:jc w:val="center"/>
              <w:rPr>
                <w:rFonts w:ascii="Calibri" w:eastAsia="Times New Roman" w:hAnsi="Calibri" w:cs="Calibri"/>
                <w:b/>
                <w:bCs/>
                <w:color w:val="0D0D0D"/>
              </w:rPr>
            </w:pPr>
            <w:r w:rsidRPr="005D0729">
              <w:rPr>
                <w:rFonts w:ascii="Calibri" w:eastAsia="Times New Roman" w:hAnsi="Calibri" w:cs="Calibri"/>
                <w:b/>
                <w:bCs/>
                <w:color w:val="0D0D0D"/>
              </w:rPr>
              <w:t>Ending</w:t>
            </w:r>
            <w:r>
              <w:rPr>
                <w:rFonts w:ascii="Calibri" w:eastAsia="Times New Roman" w:hAnsi="Calibri" w:cs="Calibri"/>
                <w:b/>
                <w:bCs/>
                <w:color w:val="0D0D0D"/>
              </w:rPr>
              <w:t xml:space="preserve"> </w:t>
            </w:r>
            <w:r w:rsidRPr="005D0729">
              <w:rPr>
                <w:rFonts w:ascii="Calibri" w:eastAsia="Times New Roman" w:hAnsi="Calibri" w:cs="Calibri"/>
                <w:b/>
                <w:bCs/>
                <w:color w:val="0D0D0D"/>
              </w:rPr>
              <w:t>Balance</w:t>
            </w:r>
          </w:p>
        </w:tc>
      </w:tr>
      <w:tr w:rsidR="001B6918" w:rsidRPr="005D0729" w14:paraId="4F88B3F6" w14:textId="77777777" w:rsidTr="00730ECF">
        <w:trPr>
          <w:trHeight w:val="123"/>
          <w:jc w:val="center"/>
        </w:trPr>
        <w:tc>
          <w:tcPr>
            <w:tcW w:w="3960" w:type="dxa"/>
            <w:tcBorders>
              <w:top w:val="nil"/>
              <w:left w:val="nil"/>
              <w:bottom w:val="nil"/>
              <w:right w:val="nil"/>
            </w:tcBorders>
            <w:shd w:val="clear" w:color="000000" w:fill="FFFFFF"/>
            <w:noWrap/>
            <w:vAlign w:val="bottom"/>
            <w:hideMark/>
          </w:tcPr>
          <w:p w14:paraId="5008F47B" w14:textId="77777777" w:rsidR="001B6918" w:rsidRPr="005D0729" w:rsidRDefault="001B6918" w:rsidP="00730ECF">
            <w:pPr>
              <w:rPr>
                <w:rFonts w:ascii="Calibri" w:eastAsia="Times New Roman" w:hAnsi="Calibri" w:cs="Calibri"/>
                <w:color w:val="0D0D0D"/>
              </w:rPr>
            </w:pPr>
            <w:r w:rsidRPr="005D0729">
              <w:rPr>
                <w:rFonts w:ascii="Calibri" w:eastAsia="Times New Roman" w:hAnsi="Calibri" w:cs="Calibri"/>
                <w:color w:val="0D0D0D"/>
              </w:rPr>
              <w:t>Land</w:t>
            </w:r>
          </w:p>
        </w:tc>
        <w:tc>
          <w:tcPr>
            <w:tcW w:w="1218" w:type="dxa"/>
            <w:tcBorders>
              <w:top w:val="nil"/>
              <w:left w:val="nil"/>
              <w:bottom w:val="nil"/>
              <w:right w:val="nil"/>
            </w:tcBorders>
            <w:shd w:val="clear" w:color="000000" w:fill="FFFFFF"/>
            <w:noWrap/>
            <w:vAlign w:val="bottom"/>
            <w:hideMark/>
          </w:tcPr>
          <w:p w14:paraId="0297F8F7" w14:textId="77777777" w:rsidR="001B6918" w:rsidRPr="005D0729" w:rsidRDefault="001B6918" w:rsidP="00730ECF">
            <w:pPr>
              <w:jc w:val="right"/>
              <w:rPr>
                <w:rFonts w:ascii="Calibri" w:eastAsia="Times New Roman" w:hAnsi="Calibri" w:cs="Calibri"/>
                <w:color w:val="0D0D0D"/>
              </w:rPr>
            </w:pPr>
            <w:r w:rsidRPr="009655BC">
              <w:rPr>
                <w:rFonts w:ascii="Calibri" w:eastAsia="Times New Roman" w:hAnsi="Calibri" w:cs="Calibri"/>
              </w:rPr>
              <w:t xml:space="preserve">$ </w:t>
            </w:r>
            <w:r>
              <w:rPr>
                <w:rFonts w:ascii="Calibri" w:eastAsia="Times New Roman" w:hAnsi="Calibri" w:cs="Calibri"/>
              </w:rPr>
              <w:t xml:space="preserve">  </w:t>
            </w:r>
            <w:r w:rsidRPr="009655BC">
              <w:rPr>
                <w:rFonts w:ascii="Calibri" w:eastAsia="Times New Roman" w:hAnsi="Calibri" w:cs="Calibri"/>
              </w:rPr>
              <w:t xml:space="preserve">  18,376</w:t>
            </w:r>
          </w:p>
        </w:tc>
        <w:tc>
          <w:tcPr>
            <w:tcW w:w="1094" w:type="dxa"/>
            <w:tcBorders>
              <w:top w:val="nil"/>
              <w:left w:val="nil"/>
              <w:bottom w:val="nil"/>
              <w:right w:val="nil"/>
            </w:tcBorders>
            <w:shd w:val="clear" w:color="000000" w:fill="FFFFFF"/>
            <w:noWrap/>
            <w:vAlign w:val="bottom"/>
            <w:hideMark/>
          </w:tcPr>
          <w:p w14:paraId="1B36CCE3" w14:textId="77777777" w:rsidR="001B6918" w:rsidRPr="005D0729" w:rsidRDefault="001B6918" w:rsidP="00730ECF">
            <w:pPr>
              <w:jc w:val="right"/>
              <w:rPr>
                <w:rFonts w:ascii="Calibri" w:eastAsia="Times New Roman" w:hAnsi="Calibri" w:cs="Calibri"/>
              </w:rPr>
            </w:pPr>
            <w:r>
              <w:rPr>
                <w:rFonts w:ascii="Calibri" w:hAnsi="Calibri" w:cs="Calibri"/>
              </w:rPr>
              <w:t xml:space="preserve"> $             - </w:t>
            </w:r>
          </w:p>
        </w:tc>
        <w:tc>
          <w:tcPr>
            <w:tcW w:w="1820" w:type="dxa"/>
            <w:tcBorders>
              <w:top w:val="nil"/>
              <w:left w:val="nil"/>
              <w:bottom w:val="nil"/>
              <w:right w:val="nil"/>
            </w:tcBorders>
            <w:shd w:val="clear" w:color="000000" w:fill="FFFFFF"/>
            <w:noWrap/>
            <w:vAlign w:val="bottom"/>
            <w:hideMark/>
          </w:tcPr>
          <w:p w14:paraId="205ED9F0" w14:textId="77777777" w:rsidR="001B6918" w:rsidRPr="005D0729" w:rsidRDefault="001B6918" w:rsidP="00730ECF">
            <w:pPr>
              <w:jc w:val="right"/>
              <w:rPr>
                <w:rFonts w:ascii="Calibri" w:eastAsia="Times New Roman" w:hAnsi="Calibri" w:cs="Calibri"/>
              </w:rPr>
            </w:pPr>
            <w:r>
              <w:rPr>
                <w:rFonts w:ascii="Calibri" w:hAnsi="Calibri" w:cs="Calibri"/>
              </w:rPr>
              <w:t xml:space="preserve"> $         300 </w:t>
            </w:r>
          </w:p>
        </w:tc>
        <w:tc>
          <w:tcPr>
            <w:tcW w:w="1342" w:type="dxa"/>
            <w:tcBorders>
              <w:top w:val="nil"/>
              <w:left w:val="nil"/>
              <w:bottom w:val="nil"/>
              <w:right w:val="nil"/>
            </w:tcBorders>
            <w:shd w:val="clear" w:color="000000" w:fill="FFFFFF"/>
            <w:noWrap/>
            <w:vAlign w:val="bottom"/>
            <w:hideMark/>
          </w:tcPr>
          <w:p w14:paraId="71DBA2E0" w14:textId="77777777" w:rsidR="001B6918" w:rsidRPr="005D0729" w:rsidRDefault="001B6918" w:rsidP="00730ECF">
            <w:pPr>
              <w:jc w:val="right"/>
              <w:rPr>
                <w:rFonts w:ascii="Calibri" w:eastAsia="Times New Roman" w:hAnsi="Calibri" w:cs="Calibri"/>
              </w:rPr>
            </w:pPr>
            <w:r>
              <w:rPr>
                <w:rFonts w:ascii="Calibri" w:hAnsi="Calibri" w:cs="Calibri"/>
              </w:rPr>
              <w:t xml:space="preserve"> $              - </w:t>
            </w:r>
          </w:p>
        </w:tc>
        <w:tc>
          <w:tcPr>
            <w:tcW w:w="1119" w:type="dxa"/>
            <w:tcBorders>
              <w:top w:val="nil"/>
              <w:left w:val="nil"/>
              <w:bottom w:val="nil"/>
              <w:right w:val="nil"/>
            </w:tcBorders>
            <w:shd w:val="clear" w:color="000000" w:fill="FFFFFF"/>
            <w:noWrap/>
            <w:vAlign w:val="bottom"/>
            <w:hideMark/>
          </w:tcPr>
          <w:p w14:paraId="120471A6" w14:textId="77777777" w:rsidR="001B6918" w:rsidRPr="005D0729" w:rsidRDefault="001B6918" w:rsidP="00730ECF">
            <w:pPr>
              <w:jc w:val="right"/>
              <w:rPr>
                <w:rFonts w:ascii="Calibri" w:eastAsia="Times New Roman" w:hAnsi="Calibri" w:cs="Calibri"/>
                <w:color w:val="0D0D0D"/>
              </w:rPr>
            </w:pPr>
            <w:r>
              <w:rPr>
                <w:rFonts w:ascii="Calibri" w:hAnsi="Calibri" w:cs="Calibri"/>
              </w:rPr>
              <w:t xml:space="preserve"> $   18,676 </w:t>
            </w:r>
          </w:p>
        </w:tc>
      </w:tr>
      <w:tr w:rsidR="001B6918" w:rsidRPr="005D0729" w14:paraId="05700221" w14:textId="77777777" w:rsidTr="00730ECF">
        <w:trPr>
          <w:trHeight w:val="117"/>
          <w:jc w:val="center"/>
        </w:trPr>
        <w:tc>
          <w:tcPr>
            <w:tcW w:w="3960" w:type="dxa"/>
            <w:tcBorders>
              <w:top w:val="nil"/>
              <w:left w:val="nil"/>
              <w:bottom w:val="nil"/>
              <w:right w:val="nil"/>
            </w:tcBorders>
            <w:shd w:val="clear" w:color="000000" w:fill="FFFFFF"/>
            <w:noWrap/>
            <w:vAlign w:val="bottom"/>
            <w:hideMark/>
          </w:tcPr>
          <w:p w14:paraId="4A6CC938" w14:textId="77777777" w:rsidR="001B6918" w:rsidRPr="005D0729" w:rsidRDefault="001B6918" w:rsidP="00730ECF">
            <w:pPr>
              <w:rPr>
                <w:rFonts w:ascii="Calibri" w:eastAsia="Times New Roman" w:hAnsi="Calibri" w:cs="Calibri"/>
                <w:color w:val="0D0D0D"/>
              </w:rPr>
            </w:pPr>
            <w:r w:rsidRPr="005D0729">
              <w:rPr>
                <w:rFonts w:ascii="Calibri" w:eastAsia="Times New Roman" w:hAnsi="Calibri" w:cs="Calibri"/>
                <w:color w:val="0D0D0D"/>
              </w:rPr>
              <w:t>Library materials</w:t>
            </w:r>
          </w:p>
        </w:tc>
        <w:tc>
          <w:tcPr>
            <w:tcW w:w="1218" w:type="dxa"/>
            <w:tcBorders>
              <w:top w:val="nil"/>
              <w:left w:val="nil"/>
              <w:bottom w:val="nil"/>
              <w:right w:val="nil"/>
            </w:tcBorders>
            <w:shd w:val="clear" w:color="000000" w:fill="FFFFFF"/>
            <w:noWrap/>
            <w:vAlign w:val="bottom"/>
            <w:hideMark/>
          </w:tcPr>
          <w:p w14:paraId="4A7055EA" w14:textId="77777777" w:rsidR="001B6918" w:rsidRPr="005D0729" w:rsidRDefault="001B6918" w:rsidP="00730ECF">
            <w:pPr>
              <w:jc w:val="right"/>
              <w:rPr>
                <w:rFonts w:ascii="Calibri" w:eastAsia="Times New Roman" w:hAnsi="Calibri" w:cs="Calibri"/>
                <w:color w:val="0D0D0D"/>
              </w:rPr>
            </w:pPr>
            <w:r w:rsidRPr="009655BC">
              <w:rPr>
                <w:rFonts w:ascii="Calibri" w:eastAsia="Times New Roman" w:hAnsi="Calibri" w:cs="Calibri"/>
              </w:rPr>
              <w:t>25,687</w:t>
            </w:r>
          </w:p>
        </w:tc>
        <w:tc>
          <w:tcPr>
            <w:tcW w:w="1094" w:type="dxa"/>
            <w:tcBorders>
              <w:top w:val="nil"/>
              <w:left w:val="nil"/>
              <w:bottom w:val="nil"/>
              <w:right w:val="nil"/>
            </w:tcBorders>
            <w:shd w:val="clear" w:color="000000" w:fill="FFFFFF"/>
            <w:noWrap/>
            <w:vAlign w:val="bottom"/>
            <w:hideMark/>
          </w:tcPr>
          <w:p w14:paraId="529CD36A" w14:textId="77777777" w:rsidR="001B6918" w:rsidRPr="005D0729" w:rsidRDefault="001B6918" w:rsidP="00730ECF">
            <w:pPr>
              <w:jc w:val="right"/>
              <w:rPr>
                <w:rFonts w:ascii="Calibri" w:eastAsia="Times New Roman" w:hAnsi="Calibri" w:cs="Calibri"/>
              </w:rPr>
            </w:pPr>
            <w:r>
              <w:rPr>
                <w:rFonts w:ascii="Calibri" w:hAnsi="Calibri" w:cs="Calibri"/>
              </w:rPr>
              <w:t xml:space="preserve">                - </w:t>
            </w:r>
          </w:p>
        </w:tc>
        <w:tc>
          <w:tcPr>
            <w:tcW w:w="1820" w:type="dxa"/>
            <w:tcBorders>
              <w:top w:val="nil"/>
              <w:left w:val="nil"/>
              <w:bottom w:val="nil"/>
              <w:right w:val="nil"/>
            </w:tcBorders>
            <w:shd w:val="clear" w:color="000000" w:fill="FFFFFF"/>
            <w:noWrap/>
            <w:vAlign w:val="bottom"/>
            <w:hideMark/>
          </w:tcPr>
          <w:p w14:paraId="65676871" w14:textId="77777777" w:rsidR="001B6918" w:rsidRPr="005D0729" w:rsidRDefault="001B6918" w:rsidP="00730ECF">
            <w:pPr>
              <w:jc w:val="right"/>
              <w:rPr>
                <w:rFonts w:ascii="Calibri" w:eastAsia="Times New Roman" w:hAnsi="Calibri" w:cs="Calibri"/>
              </w:rPr>
            </w:pPr>
            <w:r>
              <w:rPr>
                <w:rFonts w:ascii="Calibri" w:hAnsi="Calibri" w:cs="Calibri"/>
              </w:rPr>
              <w:t xml:space="preserve">                       - </w:t>
            </w:r>
          </w:p>
        </w:tc>
        <w:tc>
          <w:tcPr>
            <w:tcW w:w="1342" w:type="dxa"/>
            <w:tcBorders>
              <w:top w:val="nil"/>
              <w:left w:val="nil"/>
              <w:bottom w:val="nil"/>
              <w:right w:val="nil"/>
            </w:tcBorders>
            <w:shd w:val="clear" w:color="000000" w:fill="FFFFFF"/>
            <w:noWrap/>
            <w:vAlign w:val="bottom"/>
            <w:hideMark/>
          </w:tcPr>
          <w:p w14:paraId="4B1E9636" w14:textId="77777777" w:rsidR="001B6918" w:rsidRPr="005D0729" w:rsidRDefault="001B6918" w:rsidP="00730ECF">
            <w:pPr>
              <w:jc w:val="right"/>
              <w:rPr>
                <w:rFonts w:ascii="Calibri" w:eastAsia="Times New Roman" w:hAnsi="Calibri" w:cs="Calibri"/>
              </w:rPr>
            </w:pPr>
            <w:r>
              <w:rPr>
                <w:rFonts w:ascii="Calibri" w:hAnsi="Calibri" w:cs="Calibri"/>
              </w:rPr>
              <w:t xml:space="preserve">                 - </w:t>
            </w:r>
          </w:p>
        </w:tc>
        <w:tc>
          <w:tcPr>
            <w:tcW w:w="1119" w:type="dxa"/>
            <w:tcBorders>
              <w:top w:val="nil"/>
              <w:left w:val="nil"/>
              <w:bottom w:val="nil"/>
              <w:right w:val="nil"/>
            </w:tcBorders>
            <w:shd w:val="clear" w:color="000000" w:fill="FFFFFF"/>
            <w:noWrap/>
            <w:vAlign w:val="bottom"/>
            <w:hideMark/>
          </w:tcPr>
          <w:p w14:paraId="6F756351" w14:textId="77777777" w:rsidR="001B6918" w:rsidRPr="005D0729" w:rsidRDefault="001B6918" w:rsidP="00730ECF">
            <w:pPr>
              <w:jc w:val="right"/>
              <w:rPr>
                <w:rFonts w:ascii="Calibri" w:eastAsia="Times New Roman" w:hAnsi="Calibri" w:cs="Calibri"/>
                <w:color w:val="0D0D0D"/>
              </w:rPr>
            </w:pPr>
            <w:r>
              <w:rPr>
                <w:rFonts w:ascii="Calibri" w:hAnsi="Calibri" w:cs="Calibri"/>
              </w:rPr>
              <w:t xml:space="preserve"> 25,687 </w:t>
            </w:r>
          </w:p>
        </w:tc>
      </w:tr>
      <w:tr w:rsidR="001B6918" w:rsidRPr="005D0729" w14:paraId="1CD709A2" w14:textId="77777777" w:rsidTr="00730ECF">
        <w:trPr>
          <w:trHeight w:val="117"/>
          <w:jc w:val="center"/>
        </w:trPr>
        <w:tc>
          <w:tcPr>
            <w:tcW w:w="3960" w:type="dxa"/>
            <w:tcBorders>
              <w:top w:val="nil"/>
              <w:left w:val="nil"/>
              <w:bottom w:val="nil"/>
              <w:right w:val="nil"/>
            </w:tcBorders>
            <w:shd w:val="clear" w:color="000000" w:fill="FFFFFF"/>
            <w:noWrap/>
            <w:vAlign w:val="bottom"/>
            <w:hideMark/>
          </w:tcPr>
          <w:p w14:paraId="350E6E73" w14:textId="77777777" w:rsidR="001B6918" w:rsidRPr="005D0729" w:rsidRDefault="001B6918" w:rsidP="00730ECF">
            <w:pPr>
              <w:rPr>
                <w:rFonts w:ascii="Calibri" w:eastAsia="Times New Roman" w:hAnsi="Calibri" w:cs="Calibri"/>
                <w:color w:val="0D0D0D"/>
              </w:rPr>
            </w:pPr>
            <w:r w:rsidRPr="005D0729">
              <w:rPr>
                <w:rFonts w:ascii="Calibri" w:eastAsia="Times New Roman" w:hAnsi="Calibri" w:cs="Calibri"/>
                <w:color w:val="0D0D0D"/>
              </w:rPr>
              <w:t>Construction in progress</w:t>
            </w:r>
          </w:p>
        </w:tc>
        <w:tc>
          <w:tcPr>
            <w:tcW w:w="1218" w:type="dxa"/>
            <w:tcBorders>
              <w:top w:val="nil"/>
              <w:left w:val="nil"/>
              <w:bottom w:val="nil"/>
              <w:right w:val="nil"/>
            </w:tcBorders>
            <w:shd w:val="clear" w:color="000000" w:fill="FFFFFF"/>
            <w:noWrap/>
            <w:vAlign w:val="bottom"/>
            <w:hideMark/>
          </w:tcPr>
          <w:p w14:paraId="05B0100B" w14:textId="77777777" w:rsidR="001B6918" w:rsidRPr="005D0729" w:rsidRDefault="001B6918" w:rsidP="00730ECF">
            <w:pPr>
              <w:jc w:val="right"/>
              <w:rPr>
                <w:rFonts w:ascii="Calibri" w:eastAsia="Times New Roman" w:hAnsi="Calibri" w:cs="Calibri"/>
                <w:color w:val="0D0D0D"/>
              </w:rPr>
            </w:pPr>
            <w:r w:rsidRPr="009655BC">
              <w:rPr>
                <w:rFonts w:ascii="Calibri" w:eastAsia="Times New Roman" w:hAnsi="Calibri" w:cs="Calibri"/>
              </w:rPr>
              <w:t>93,370</w:t>
            </w:r>
          </w:p>
        </w:tc>
        <w:tc>
          <w:tcPr>
            <w:tcW w:w="1094" w:type="dxa"/>
            <w:tcBorders>
              <w:top w:val="nil"/>
              <w:left w:val="nil"/>
              <w:bottom w:val="single" w:sz="4" w:space="0" w:color="00688D"/>
              <w:right w:val="nil"/>
            </w:tcBorders>
            <w:shd w:val="clear" w:color="000000" w:fill="FFFFFF"/>
            <w:noWrap/>
            <w:vAlign w:val="bottom"/>
            <w:hideMark/>
          </w:tcPr>
          <w:p w14:paraId="4E641671" w14:textId="77777777" w:rsidR="001B6918" w:rsidRPr="00992740" w:rsidRDefault="001B6918" w:rsidP="00730ECF">
            <w:pPr>
              <w:jc w:val="right"/>
              <w:rPr>
                <w:rFonts w:ascii="Calibri" w:eastAsia="Times New Roman" w:hAnsi="Calibri" w:cs="Calibri"/>
                <w:color w:val="FF0000"/>
              </w:rPr>
            </w:pPr>
            <w:r>
              <w:rPr>
                <w:rFonts w:ascii="Calibri" w:hAnsi="Calibri" w:cs="Calibri"/>
              </w:rPr>
              <w:t xml:space="preserve"> 140,782 </w:t>
            </w:r>
          </w:p>
        </w:tc>
        <w:tc>
          <w:tcPr>
            <w:tcW w:w="1820" w:type="dxa"/>
            <w:tcBorders>
              <w:top w:val="nil"/>
              <w:left w:val="nil"/>
              <w:bottom w:val="single" w:sz="4" w:space="0" w:color="00688D"/>
              <w:right w:val="nil"/>
            </w:tcBorders>
            <w:shd w:val="clear" w:color="000000" w:fill="FFFFFF"/>
            <w:noWrap/>
            <w:vAlign w:val="bottom"/>
            <w:hideMark/>
          </w:tcPr>
          <w:p w14:paraId="70BDB97A" w14:textId="77777777" w:rsidR="001B6918" w:rsidRPr="00992740" w:rsidRDefault="001B6918" w:rsidP="00730ECF">
            <w:pPr>
              <w:jc w:val="right"/>
              <w:rPr>
                <w:rFonts w:ascii="Calibri" w:eastAsia="Times New Roman" w:hAnsi="Calibri" w:cs="Calibri"/>
                <w:color w:val="FF0000"/>
              </w:rPr>
            </w:pPr>
            <w:r>
              <w:rPr>
                <w:rFonts w:ascii="Calibri" w:hAnsi="Calibri" w:cs="Calibri"/>
              </w:rPr>
              <w:t xml:space="preserve">        (51,484)</w:t>
            </w:r>
          </w:p>
        </w:tc>
        <w:tc>
          <w:tcPr>
            <w:tcW w:w="1342" w:type="dxa"/>
            <w:tcBorders>
              <w:top w:val="nil"/>
              <w:left w:val="nil"/>
              <w:bottom w:val="single" w:sz="4" w:space="0" w:color="00688D"/>
              <w:right w:val="nil"/>
            </w:tcBorders>
            <w:shd w:val="clear" w:color="000000" w:fill="FFFFFF"/>
            <w:noWrap/>
            <w:vAlign w:val="bottom"/>
            <w:hideMark/>
          </w:tcPr>
          <w:p w14:paraId="398161A6" w14:textId="77777777" w:rsidR="001B6918" w:rsidRPr="00992740" w:rsidRDefault="001B6918" w:rsidP="00730ECF">
            <w:pPr>
              <w:jc w:val="right"/>
              <w:rPr>
                <w:rFonts w:ascii="Calibri" w:eastAsia="Times New Roman" w:hAnsi="Calibri" w:cs="Calibri"/>
                <w:color w:val="FF0000"/>
              </w:rPr>
            </w:pPr>
            <w:r>
              <w:rPr>
                <w:rFonts w:ascii="Calibri" w:hAnsi="Calibri" w:cs="Calibri"/>
              </w:rPr>
              <w:t xml:space="preserve">    (6,081)</w:t>
            </w:r>
          </w:p>
        </w:tc>
        <w:tc>
          <w:tcPr>
            <w:tcW w:w="1119" w:type="dxa"/>
            <w:tcBorders>
              <w:top w:val="nil"/>
              <w:left w:val="nil"/>
              <w:bottom w:val="single" w:sz="4" w:space="0" w:color="00688D"/>
              <w:right w:val="nil"/>
            </w:tcBorders>
            <w:shd w:val="clear" w:color="000000" w:fill="FFFFFF"/>
            <w:noWrap/>
            <w:vAlign w:val="bottom"/>
            <w:hideMark/>
          </w:tcPr>
          <w:p w14:paraId="338BFF89" w14:textId="77777777" w:rsidR="001B6918" w:rsidRPr="005D0729" w:rsidRDefault="001B6918" w:rsidP="00730ECF">
            <w:pPr>
              <w:jc w:val="right"/>
              <w:rPr>
                <w:rFonts w:ascii="Calibri" w:eastAsia="Times New Roman" w:hAnsi="Calibri" w:cs="Calibri"/>
                <w:color w:val="0D0D0D"/>
              </w:rPr>
            </w:pPr>
            <w:r>
              <w:rPr>
                <w:rFonts w:ascii="Calibri" w:hAnsi="Calibri" w:cs="Calibri"/>
              </w:rPr>
              <w:t xml:space="preserve">   176,587 </w:t>
            </w:r>
          </w:p>
        </w:tc>
      </w:tr>
      <w:tr w:rsidR="001B6918" w:rsidRPr="005D0729" w14:paraId="5E6D29C6" w14:textId="77777777" w:rsidTr="00730ECF">
        <w:trPr>
          <w:trHeight w:val="125"/>
          <w:jc w:val="center"/>
        </w:trPr>
        <w:tc>
          <w:tcPr>
            <w:tcW w:w="3960" w:type="dxa"/>
            <w:tcBorders>
              <w:top w:val="single" w:sz="4" w:space="0" w:color="000000"/>
              <w:left w:val="nil"/>
              <w:bottom w:val="single" w:sz="4" w:space="0" w:color="000000"/>
              <w:right w:val="nil"/>
            </w:tcBorders>
            <w:shd w:val="clear" w:color="000000" w:fill="FFFFFF"/>
            <w:noWrap/>
            <w:vAlign w:val="bottom"/>
            <w:hideMark/>
          </w:tcPr>
          <w:p w14:paraId="00993DAF" w14:textId="77777777" w:rsidR="001B6918" w:rsidRPr="005D0729" w:rsidRDefault="001B6918" w:rsidP="00730ECF">
            <w:pPr>
              <w:rPr>
                <w:rFonts w:ascii="Calibri" w:eastAsia="Times New Roman" w:hAnsi="Calibri" w:cs="Calibri"/>
                <w:color w:val="0D0D0D"/>
              </w:rPr>
            </w:pPr>
            <w:r w:rsidRPr="005D0729">
              <w:rPr>
                <w:rFonts w:ascii="Calibri" w:eastAsia="Times New Roman" w:hAnsi="Calibri" w:cs="Calibri"/>
                <w:color w:val="0D0D0D"/>
              </w:rPr>
              <w:t xml:space="preserve">Total </w:t>
            </w:r>
            <w:proofErr w:type="spellStart"/>
            <w:r w:rsidRPr="005D0729">
              <w:rPr>
                <w:rFonts w:ascii="Calibri" w:eastAsia="Times New Roman" w:hAnsi="Calibri" w:cs="Calibri"/>
                <w:color w:val="0D0D0D"/>
              </w:rPr>
              <w:t>nondepreciable</w:t>
            </w:r>
            <w:proofErr w:type="spellEnd"/>
            <w:r w:rsidRPr="005D0729">
              <w:rPr>
                <w:rFonts w:ascii="Calibri" w:eastAsia="Times New Roman" w:hAnsi="Calibri" w:cs="Calibri"/>
                <w:color w:val="0D0D0D"/>
              </w:rPr>
              <w:t xml:space="preserve"> </w:t>
            </w:r>
            <w:r>
              <w:rPr>
                <w:rFonts w:ascii="Calibri" w:eastAsia="Times New Roman" w:hAnsi="Calibri" w:cs="Calibri"/>
                <w:color w:val="0D0D0D"/>
              </w:rPr>
              <w:t xml:space="preserve">and nonamortizable </w:t>
            </w:r>
            <w:r w:rsidRPr="005D0729">
              <w:rPr>
                <w:rFonts w:ascii="Calibri" w:eastAsia="Times New Roman" w:hAnsi="Calibri" w:cs="Calibri"/>
                <w:color w:val="0D0D0D"/>
              </w:rPr>
              <w:t>assets</w:t>
            </w:r>
          </w:p>
        </w:tc>
        <w:tc>
          <w:tcPr>
            <w:tcW w:w="1218" w:type="dxa"/>
            <w:tcBorders>
              <w:top w:val="single" w:sz="4" w:space="0" w:color="000000"/>
              <w:left w:val="nil"/>
              <w:bottom w:val="single" w:sz="4" w:space="0" w:color="000000"/>
              <w:right w:val="nil"/>
            </w:tcBorders>
            <w:shd w:val="clear" w:color="000000" w:fill="FFFFFF"/>
            <w:noWrap/>
            <w:vAlign w:val="bottom"/>
            <w:hideMark/>
          </w:tcPr>
          <w:p w14:paraId="11E00E09" w14:textId="77777777" w:rsidR="001B6918" w:rsidRPr="005D0729" w:rsidRDefault="001B6918" w:rsidP="00730ECF">
            <w:pPr>
              <w:jc w:val="right"/>
              <w:rPr>
                <w:rFonts w:ascii="Calibri" w:eastAsia="Times New Roman" w:hAnsi="Calibri" w:cs="Calibri"/>
                <w:color w:val="0D0D0D"/>
              </w:rPr>
            </w:pPr>
            <w:r w:rsidRPr="009655BC">
              <w:rPr>
                <w:rFonts w:ascii="Calibri" w:eastAsia="Times New Roman" w:hAnsi="Calibri" w:cs="Calibri"/>
              </w:rPr>
              <w:t xml:space="preserve">137,433 </w:t>
            </w:r>
          </w:p>
        </w:tc>
        <w:tc>
          <w:tcPr>
            <w:tcW w:w="1094" w:type="dxa"/>
            <w:tcBorders>
              <w:top w:val="single" w:sz="4" w:space="0" w:color="000000"/>
              <w:left w:val="nil"/>
              <w:bottom w:val="single" w:sz="4" w:space="0" w:color="000000"/>
              <w:right w:val="nil"/>
            </w:tcBorders>
            <w:shd w:val="clear" w:color="000000" w:fill="FFFFFF"/>
            <w:noWrap/>
            <w:hideMark/>
          </w:tcPr>
          <w:p w14:paraId="5B87303B" w14:textId="77777777" w:rsidR="001B6918" w:rsidRDefault="001B6918" w:rsidP="00730ECF">
            <w:pPr>
              <w:jc w:val="right"/>
            </w:pPr>
          </w:p>
          <w:p w14:paraId="6C523F47" w14:textId="77777777" w:rsidR="001B6918" w:rsidRPr="00992740" w:rsidRDefault="001B6918" w:rsidP="00730ECF">
            <w:pPr>
              <w:jc w:val="right"/>
              <w:rPr>
                <w:rFonts w:ascii="Calibri" w:eastAsia="Times New Roman" w:hAnsi="Calibri" w:cs="Calibri"/>
                <w:color w:val="FF0000"/>
              </w:rPr>
            </w:pPr>
            <w:r w:rsidRPr="002B35E1">
              <w:t xml:space="preserve"> 140,782 </w:t>
            </w:r>
          </w:p>
        </w:tc>
        <w:tc>
          <w:tcPr>
            <w:tcW w:w="1820" w:type="dxa"/>
            <w:tcBorders>
              <w:top w:val="single" w:sz="4" w:space="0" w:color="000000"/>
              <w:left w:val="nil"/>
              <w:bottom w:val="single" w:sz="4" w:space="0" w:color="000000"/>
              <w:right w:val="nil"/>
            </w:tcBorders>
            <w:shd w:val="clear" w:color="000000" w:fill="FFFFFF"/>
            <w:noWrap/>
            <w:hideMark/>
          </w:tcPr>
          <w:p w14:paraId="2A528845" w14:textId="77777777" w:rsidR="001B6918" w:rsidRDefault="001B6918" w:rsidP="00730ECF">
            <w:pPr>
              <w:jc w:val="right"/>
            </w:pPr>
            <w:r w:rsidRPr="002B35E1">
              <w:t xml:space="preserve"> </w:t>
            </w:r>
          </w:p>
          <w:p w14:paraId="3B42941C" w14:textId="77777777" w:rsidR="001B6918" w:rsidRPr="00992740" w:rsidRDefault="001B6918" w:rsidP="00730ECF">
            <w:pPr>
              <w:jc w:val="right"/>
              <w:rPr>
                <w:rFonts w:ascii="Calibri" w:eastAsia="Times New Roman" w:hAnsi="Calibri" w:cs="Calibri"/>
                <w:color w:val="FF0000"/>
              </w:rPr>
            </w:pPr>
            <w:r w:rsidRPr="002B35E1">
              <w:t>(51,184)</w:t>
            </w:r>
          </w:p>
        </w:tc>
        <w:tc>
          <w:tcPr>
            <w:tcW w:w="1342" w:type="dxa"/>
            <w:tcBorders>
              <w:top w:val="single" w:sz="4" w:space="0" w:color="000000"/>
              <w:left w:val="nil"/>
              <w:bottom w:val="single" w:sz="4" w:space="0" w:color="000000"/>
              <w:right w:val="nil"/>
            </w:tcBorders>
            <w:shd w:val="clear" w:color="000000" w:fill="FFFFFF"/>
            <w:noWrap/>
            <w:hideMark/>
          </w:tcPr>
          <w:p w14:paraId="0438D63C" w14:textId="77777777" w:rsidR="001B6918" w:rsidRDefault="001B6918" w:rsidP="00730ECF">
            <w:pPr>
              <w:jc w:val="right"/>
            </w:pPr>
            <w:r w:rsidRPr="002B35E1">
              <w:t xml:space="preserve"> </w:t>
            </w:r>
          </w:p>
          <w:p w14:paraId="137F6A08" w14:textId="77777777" w:rsidR="001B6918" w:rsidRPr="00992740" w:rsidRDefault="001B6918" w:rsidP="00730ECF">
            <w:pPr>
              <w:jc w:val="right"/>
              <w:rPr>
                <w:rFonts w:ascii="Calibri" w:eastAsia="Times New Roman" w:hAnsi="Calibri" w:cs="Calibri"/>
                <w:color w:val="FF0000"/>
              </w:rPr>
            </w:pPr>
            <w:r w:rsidRPr="002B35E1">
              <w:t>(6,081)</w:t>
            </w:r>
          </w:p>
        </w:tc>
        <w:tc>
          <w:tcPr>
            <w:tcW w:w="1119" w:type="dxa"/>
            <w:tcBorders>
              <w:top w:val="single" w:sz="4" w:space="0" w:color="000000"/>
              <w:left w:val="nil"/>
              <w:bottom w:val="single" w:sz="4" w:space="0" w:color="000000"/>
              <w:right w:val="nil"/>
            </w:tcBorders>
            <w:shd w:val="clear" w:color="000000" w:fill="FFFFFF"/>
            <w:noWrap/>
            <w:hideMark/>
          </w:tcPr>
          <w:p w14:paraId="1A136B28" w14:textId="77777777" w:rsidR="001B6918" w:rsidRDefault="001B6918" w:rsidP="00730ECF">
            <w:pPr>
              <w:jc w:val="right"/>
            </w:pPr>
            <w:r w:rsidRPr="002B35E1">
              <w:t xml:space="preserve"> </w:t>
            </w:r>
          </w:p>
          <w:p w14:paraId="7602A47C" w14:textId="77777777" w:rsidR="001B6918" w:rsidRPr="005D0729" w:rsidRDefault="001B6918" w:rsidP="00730ECF">
            <w:pPr>
              <w:jc w:val="right"/>
              <w:rPr>
                <w:rFonts w:ascii="Calibri" w:eastAsia="Times New Roman" w:hAnsi="Calibri" w:cs="Calibri"/>
                <w:color w:val="0D0D0D"/>
              </w:rPr>
            </w:pPr>
            <w:r w:rsidRPr="002B35E1">
              <w:t xml:space="preserve">220,950 </w:t>
            </w:r>
          </w:p>
        </w:tc>
      </w:tr>
      <w:tr w:rsidR="001B6918" w:rsidRPr="005D0729" w14:paraId="2C368A6E" w14:textId="77777777" w:rsidTr="00730ECF">
        <w:trPr>
          <w:trHeight w:val="107"/>
          <w:jc w:val="center"/>
        </w:trPr>
        <w:tc>
          <w:tcPr>
            <w:tcW w:w="3960" w:type="dxa"/>
            <w:tcBorders>
              <w:top w:val="nil"/>
              <w:left w:val="nil"/>
              <w:bottom w:val="nil"/>
              <w:right w:val="nil"/>
            </w:tcBorders>
            <w:shd w:val="clear" w:color="000000" w:fill="FFFFFF"/>
            <w:noWrap/>
            <w:vAlign w:val="bottom"/>
            <w:hideMark/>
          </w:tcPr>
          <w:p w14:paraId="1CE86D2B" w14:textId="77777777" w:rsidR="001B6918" w:rsidRPr="005D0729" w:rsidRDefault="001B6918" w:rsidP="00730ECF">
            <w:pPr>
              <w:rPr>
                <w:rFonts w:ascii="Calibri" w:eastAsia="Times New Roman" w:hAnsi="Calibri" w:cs="Calibri"/>
                <w:color w:val="0D0D0D"/>
              </w:rPr>
            </w:pPr>
            <w:r w:rsidRPr="005D0729">
              <w:rPr>
                <w:rFonts w:ascii="Calibri" w:eastAsia="Times New Roman" w:hAnsi="Calibri" w:cs="Calibri"/>
                <w:color w:val="0D0D0D"/>
              </w:rPr>
              <w:t>Land improvements</w:t>
            </w:r>
          </w:p>
        </w:tc>
        <w:tc>
          <w:tcPr>
            <w:tcW w:w="1218" w:type="dxa"/>
            <w:tcBorders>
              <w:top w:val="nil"/>
              <w:left w:val="nil"/>
              <w:bottom w:val="nil"/>
              <w:right w:val="nil"/>
            </w:tcBorders>
            <w:shd w:val="clear" w:color="000000" w:fill="FFFFFF"/>
            <w:noWrap/>
            <w:hideMark/>
          </w:tcPr>
          <w:p w14:paraId="1BB0D51A" w14:textId="77777777" w:rsidR="001B6918" w:rsidRPr="005D0729" w:rsidRDefault="001B6918" w:rsidP="00730ECF">
            <w:pPr>
              <w:jc w:val="right"/>
              <w:rPr>
                <w:rFonts w:ascii="Calibri" w:eastAsia="Times New Roman" w:hAnsi="Calibri" w:cs="Calibri"/>
                <w:color w:val="0D0D0D"/>
              </w:rPr>
            </w:pPr>
            <w:r w:rsidRPr="0070408A">
              <w:t xml:space="preserve"> 76,204 </w:t>
            </w:r>
          </w:p>
        </w:tc>
        <w:tc>
          <w:tcPr>
            <w:tcW w:w="1094" w:type="dxa"/>
            <w:tcBorders>
              <w:top w:val="nil"/>
              <w:left w:val="nil"/>
              <w:bottom w:val="nil"/>
              <w:right w:val="nil"/>
            </w:tcBorders>
            <w:shd w:val="clear" w:color="000000" w:fill="FFFFFF"/>
            <w:noWrap/>
            <w:hideMark/>
          </w:tcPr>
          <w:p w14:paraId="69EC0F0C" w14:textId="77777777" w:rsidR="001B6918" w:rsidRPr="00992740" w:rsidRDefault="001B6918" w:rsidP="00730ECF">
            <w:pPr>
              <w:jc w:val="right"/>
              <w:rPr>
                <w:rFonts w:ascii="Calibri" w:eastAsia="Times New Roman" w:hAnsi="Calibri" w:cs="Calibri"/>
                <w:color w:val="FF0000"/>
              </w:rPr>
            </w:pPr>
          </w:p>
        </w:tc>
        <w:tc>
          <w:tcPr>
            <w:tcW w:w="1820" w:type="dxa"/>
            <w:tcBorders>
              <w:top w:val="nil"/>
              <w:left w:val="nil"/>
              <w:bottom w:val="nil"/>
              <w:right w:val="nil"/>
            </w:tcBorders>
            <w:shd w:val="clear" w:color="000000" w:fill="FFFFFF"/>
            <w:noWrap/>
            <w:hideMark/>
          </w:tcPr>
          <w:p w14:paraId="200A3FF0" w14:textId="77777777" w:rsidR="001B6918" w:rsidRPr="00992740" w:rsidRDefault="001B6918" w:rsidP="00730ECF">
            <w:pPr>
              <w:jc w:val="right"/>
              <w:rPr>
                <w:rFonts w:ascii="Calibri" w:eastAsia="Times New Roman" w:hAnsi="Calibri" w:cs="Calibri"/>
                <w:color w:val="FF0000"/>
              </w:rPr>
            </w:pPr>
            <w:r w:rsidRPr="00997750">
              <w:t xml:space="preserve"> 30,753 </w:t>
            </w:r>
          </w:p>
        </w:tc>
        <w:tc>
          <w:tcPr>
            <w:tcW w:w="1342" w:type="dxa"/>
            <w:tcBorders>
              <w:top w:val="nil"/>
              <w:left w:val="nil"/>
              <w:bottom w:val="nil"/>
              <w:right w:val="nil"/>
            </w:tcBorders>
            <w:shd w:val="clear" w:color="000000" w:fill="FFFFFF"/>
            <w:noWrap/>
            <w:hideMark/>
          </w:tcPr>
          <w:p w14:paraId="4443A856" w14:textId="77777777" w:rsidR="001B6918" w:rsidRPr="00992740" w:rsidRDefault="001B6918" w:rsidP="00730ECF">
            <w:pPr>
              <w:jc w:val="right"/>
              <w:rPr>
                <w:rFonts w:ascii="Calibri" w:eastAsia="Times New Roman" w:hAnsi="Calibri" w:cs="Calibri"/>
                <w:color w:val="FF0000"/>
              </w:rPr>
            </w:pPr>
            <w:r w:rsidRPr="00997750">
              <w:t xml:space="preserve"> - </w:t>
            </w:r>
          </w:p>
        </w:tc>
        <w:tc>
          <w:tcPr>
            <w:tcW w:w="1119" w:type="dxa"/>
            <w:tcBorders>
              <w:top w:val="nil"/>
              <w:left w:val="nil"/>
              <w:bottom w:val="nil"/>
              <w:right w:val="nil"/>
            </w:tcBorders>
            <w:shd w:val="clear" w:color="000000" w:fill="FFFFFF"/>
            <w:noWrap/>
            <w:hideMark/>
          </w:tcPr>
          <w:p w14:paraId="729DD663" w14:textId="77777777" w:rsidR="001B6918" w:rsidRPr="005D0729" w:rsidRDefault="001B6918" w:rsidP="00730ECF">
            <w:pPr>
              <w:jc w:val="right"/>
              <w:rPr>
                <w:rFonts w:ascii="Calibri" w:eastAsia="Times New Roman" w:hAnsi="Calibri" w:cs="Calibri"/>
                <w:color w:val="0D0D0D"/>
              </w:rPr>
            </w:pPr>
            <w:r w:rsidRPr="00997750">
              <w:t xml:space="preserve"> 106,957 </w:t>
            </w:r>
          </w:p>
        </w:tc>
      </w:tr>
      <w:tr w:rsidR="001B6918" w:rsidRPr="005D0729" w14:paraId="27C569F5" w14:textId="77777777" w:rsidTr="00730ECF">
        <w:trPr>
          <w:trHeight w:val="108"/>
          <w:jc w:val="center"/>
        </w:trPr>
        <w:tc>
          <w:tcPr>
            <w:tcW w:w="3960" w:type="dxa"/>
            <w:tcBorders>
              <w:top w:val="nil"/>
              <w:left w:val="nil"/>
              <w:bottom w:val="nil"/>
              <w:right w:val="nil"/>
            </w:tcBorders>
            <w:shd w:val="clear" w:color="000000" w:fill="FFFFFF"/>
            <w:noWrap/>
            <w:vAlign w:val="bottom"/>
            <w:hideMark/>
          </w:tcPr>
          <w:p w14:paraId="4369582E" w14:textId="77777777" w:rsidR="001B6918" w:rsidRPr="005D0729" w:rsidRDefault="001B6918" w:rsidP="00730ECF">
            <w:pPr>
              <w:rPr>
                <w:rFonts w:ascii="Calibri" w:eastAsia="Times New Roman" w:hAnsi="Calibri" w:cs="Calibri"/>
                <w:color w:val="0D0D0D"/>
              </w:rPr>
            </w:pPr>
            <w:r w:rsidRPr="005D0729">
              <w:rPr>
                <w:rFonts w:ascii="Calibri" w:eastAsia="Times New Roman" w:hAnsi="Calibri" w:cs="Calibri"/>
                <w:color w:val="0D0D0D"/>
              </w:rPr>
              <w:t>Buildings &amp; improvements</w:t>
            </w:r>
          </w:p>
        </w:tc>
        <w:tc>
          <w:tcPr>
            <w:tcW w:w="1218" w:type="dxa"/>
            <w:tcBorders>
              <w:top w:val="nil"/>
              <w:left w:val="nil"/>
              <w:bottom w:val="nil"/>
              <w:right w:val="nil"/>
            </w:tcBorders>
            <w:shd w:val="clear" w:color="000000" w:fill="FFFFFF"/>
            <w:noWrap/>
            <w:hideMark/>
          </w:tcPr>
          <w:p w14:paraId="3B68BBB8" w14:textId="77777777" w:rsidR="001B6918" w:rsidRPr="005D0729" w:rsidRDefault="001B6918" w:rsidP="00730ECF">
            <w:pPr>
              <w:jc w:val="right"/>
              <w:rPr>
                <w:rFonts w:ascii="Calibri" w:eastAsia="Times New Roman" w:hAnsi="Calibri" w:cs="Calibri"/>
                <w:color w:val="0D0D0D"/>
              </w:rPr>
            </w:pPr>
            <w:r w:rsidRPr="0070408A">
              <w:t xml:space="preserve"> 1,257,3</w:t>
            </w:r>
            <w:r>
              <w:t>50</w:t>
            </w:r>
            <w:r w:rsidRPr="0070408A">
              <w:t xml:space="preserve"> </w:t>
            </w:r>
          </w:p>
        </w:tc>
        <w:tc>
          <w:tcPr>
            <w:tcW w:w="1094" w:type="dxa"/>
            <w:tcBorders>
              <w:top w:val="nil"/>
              <w:left w:val="nil"/>
              <w:bottom w:val="nil"/>
              <w:right w:val="nil"/>
            </w:tcBorders>
            <w:shd w:val="clear" w:color="000000" w:fill="FFFFFF"/>
            <w:noWrap/>
            <w:hideMark/>
          </w:tcPr>
          <w:p w14:paraId="3BF667F9" w14:textId="77777777" w:rsidR="001B6918" w:rsidRPr="00992740" w:rsidRDefault="001B6918" w:rsidP="00730ECF">
            <w:pPr>
              <w:jc w:val="right"/>
              <w:rPr>
                <w:rFonts w:ascii="Calibri" w:eastAsia="Times New Roman" w:hAnsi="Calibri" w:cs="Calibri"/>
                <w:color w:val="FF0000"/>
              </w:rPr>
            </w:pPr>
          </w:p>
        </w:tc>
        <w:tc>
          <w:tcPr>
            <w:tcW w:w="1820" w:type="dxa"/>
            <w:tcBorders>
              <w:top w:val="nil"/>
              <w:left w:val="nil"/>
              <w:bottom w:val="nil"/>
              <w:right w:val="nil"/>
            </w:tcBorders>
            <w:shd w:val="clear" w:color="000000" w:fill="FFFFFF"/>
            <w:noWrap/>
            <w:hideMark/>
          </w:tcPr>
          <w:p w14:paraId="76FF8509" w14:textId="77777777" w:rsidR="001B6918" w:rsidRPr="00992740" w:rsidRDefault="001B6918" w:rsidP="00730ECF">
            <w:pPr>
              <w:jc w:val="right"/>
              <w:rPr>
                <w:rFonts w:ascii="Calibri" w:eastAsia="Times New Roman" w:hAnsi="Calibri" w:cs="Calibri"/>
                <w:color w:val="FF0000"/>
              </w:rPr>
            </w:pPr>
            <w:r w:rsidRPr="00997750">
              <w:t xml:space="preserve"> 1,704 </w:t>
            </w:r>
          </w:p>
        </w:tc>
        <w:tc>
          <w:tcPr>
            <w:tcW w:w="1342" w:type="dxa"/>
            <w:tcBorders>
              <w:top w:val="nil"/>
              <w:left w:val="nil"/>
              <w:bottom w:val="nil"/>
              <w:right w:val="nil"/>
            </w:tcBorders>
            <w:shd w:val="clear" w:color="000000" w:fill="FFFFFF"/>
            <w:noWrap/>
            <w:hideMark/>
          </w:tcPr>
          <w:p w14:paraId="439F9258" w14:textId="77777777" w:rsidR="001B6918" w:rsidRPr="00992740" w:rsidRDefault="001B6918" w:rsidP="00730ECF">
            <w:pPr>
              <w:jc w:val="right"/>
              <w:rPr>
                <w:rFonts w:ascii="Calibri" w:eastAsia="Times New Roman" w:hAnsi="Calibri" w:cs="Calibri"/>
                <w:color w:val="FF0000"/>
              </w:rPr>
            </w:pPr>
            <w:r w:rsidRPr="00997750">
              <w:t xml:space="preserve"> (2,392)</w:t>
            </w:r>
          </w:p>
        </w:tc>
        <w:tc>
          <w:tcPr>
            <w:tcW w:w="1119" w:type="dxa"/>
            <w:tcBorders>
              <w:top w:val="nil"/>
              <w:left w:val="nil"/>
              <w:bottom w:val="nil"/>
              <w:right w:val="nil"/>
            </w:tcBorders>
            <w:shd w:val="clear" w:color="000000" w:fill="FFFFFF"/>
            <w:noWrap/>
            <w:hideMark/>
          </w:tcPr>
          <w:p w14:paraId="5BBE1F58" w14:textId="77777777" w:rsidR="001B6918" w:rsidRPr="005D0729" w:rsidRDefault="001B6918" w:rsidP="00730ECF">
            <w:pPr>
              <w:jc w:val="right"/>
              <w:rPr>
                <w:rFonts w:ascii="Calibri" w:eastAsia="Times New Roman" w:hAnsi="Calibri" w:cs="Calibri"/>
                <w:color w:val="0D0D0D"/>
              </w:rPr>
            </w:pPr>
            <w:r w:rsidRPr="00997750">
              <w:t xml:space="preserve">1,256,662 </w:t>
            </w:r>
          </w:p>
        </w:tc>
      </w:tr>
      <w:tr w:rsidR="001B6918" w:rsidRPr="005D0729" w14:paraId="1D27FE59" w14:textId="77777777" w:rsidTr="00730ECF">
        <w:trPr>
          <w:trHeight w:val="117"/>
          <w:jc w:val="center"/>
        </w:trPr>
        <w:tc>
          <w:tcPr>
            <w:tcW w:w="3960" w:type="dxa"/>
            <w:tcBorders>
              <w:top w:val="nil"/>
              <w:left w:val="nil"/>
              <w:bottom w:val="nil"/>
              <w:right w:val="nil"/>
            </w:tcBorders>
            <w:shd w:val="clear" w:color="000000" w:fill="FFFFFF"/>
            <w:noWrap/>
            <w:vAlign w:val="bottom"/>
            <w:hideMark/>
          </w:tcPr>
          <w:p w14:paraId="5B7EA090" w14:textId="77777777" w:rsidR="001B6918" w:rsidRPr="005D0729" w:rsidRDefault="001B6918" w:rsidP="00730ECF">
            <w:pPr>
              <w:rPr>
                <w:rFonts w:ascii="Calibri" w:eastAsia="Times New Roman" w:hAnsi="Calibri" w:cs="Calibri"/>
                <w:color w:val="0D0D0D"/>
              </w:rPr>
            </w:pPr>
            <w:r w:rsidRPr="005D0729">
              <w:rPr>
                <w:rFonts w:ascii="Calibri" w:eastAsia="Times New Roman" w:hAnsi="Calibri" w:cs="Calibri"/>
                <w:color w:val="0D0D0D"/>
              </w:rPr>
              <w:t>Equipment</w:t>
            </w:r>
          </w:p>
        </w:tc>
        <w:tc>
          <w:tcPr>
            <w:tcW w:w="1218" w:type="dxa"/>
            <w:tcBorders>
              <w:top w:val="nil"/>
              <w:left w:val="nil"/>
              <w:bottom w:val="nil"/>
              <w:right w:val="nil"/>
            </w:tcBorders>
            <w:shd w:val="clear" w:color="000000" w:fill="FFFFFF"/>
            <w:noWrap/>
            <w:hideMark/>
          </w:tcPr>
          <w:p w14:paraId="23E295DF" w14:textId="77777777" w:rsidR="001B6918" w:rsidRPr="005D0729" w:rsidRDefault="001B6918" w:rsidP="00730ECF">
            <w:pPr>
              <w:jc w:val="right"/>
              <w:rPr>
                <w:rFonts w:ascii="Calibri" w:eastAsia="Times New Roman" w:hAnsi="Calibri" w:cs="Calibri"/>
                <w:color w:val="000000"/>
              </w:rPr>
            </w:pPr>
            <w:r w:rsidRPr="0070408A">
              <w:t xml:space="preserve"> 196,493 </w:t>
            </w:r>
          </w:p>
        </w:tc>
        <w:tc>
          <w:tcPr>
            <w:tcW w:w="1094" w:type="dxa"/>
            <w:tcBorders>
              <w:top w:val="nil"/>
              <w:left w:val="nil"/>
              <w:bottom w:val="nil"/>
              <w:right w:val="nil"/>
            </w:tcBorders>
            <w:shd w:val="clear" w:color="000000" w:fill="FFFFFF"/>
            <w:noWrap/>
            <w:hideMark/>
          </w:tcPr>
          <w:p w14:paraId="469C5285" w14:textId="77777777" w:rsidR="001B6918" w:rsidRPr="00992740" w:rsidRDefault="001B6918" w:rsidP="00730ECF">
            <w:pPr>
              <w:jc w:val="right"/>
              <w:rPr>
                <w:rFonts w:ascii="Calibri" w:eastAsia="Times New Roman" w:hAnsi="Calibri" w:cs="Calibri"/>
                <w:color w:val="FF0000"/>
              </w:rPr>
            </w:pPr>
            <w:r w:rsidRPr="00997750">
              <w:t xml:space="preserve"> 9,331 </w:t>
            </w:r>
          </w:p>
        </w:tc>
        <w:tc>
          <w:tcPr>
            <w:tcW w:w="1820" w:type="dxa"/>
            <w:tcBorders>
              <w:top w:val="nil"/>
              <w:left w:val="nil"/>
              <w:bottom w:val="nil"/>
              <w:right w:val="nil"/>
            </w:tcBorders>
            <w:shd w:val="clear" w:color="000000" w:fill="FFFFFF"/>
            <w:noWrap/>
            <w:hideMark/>
          </w:tcPr>
          <w:p w14:paraId="76168F3B" w14:textId="77777777" w:rsidR="001B6918" w:rsidRPr="00992740" w:rsidRDefault="001B6918" w:rsidP="00730ECF">
            <w:pPr>
              <w:jc w:val="right"/>
              <w:rPr>
                <w:rFonts w:ascii="Calibri" w:eastAsia="Times New Roman" w:hAnsi="Calibri" w:cs="Calibri"/>
                <w:color w:val="FF0000"/>
              </w:rPr>
            </w:pPr>
            <w:r w:rsidRPr="00997750">
              <w:t xml:space="preserve"> 18,727 </w:t>
            </w:r>
          </w:p>
        </w:tc>
        <w:tc>
          <w:tcPr>
            <w:tcW w:w="1342" w:type="dxa"/>
            <w:tcBorders>
              <w:top w:val="nil"/>
              <w:left w:val="nil"/>
              <w:bottom w:val="nil"/>
              <w:right w:val="nil"/>
            </w:tcBorders>
            <w:shd w:val="clear" w:color="000000" w:fill="FFFFFF"/>
            <w:noWrap/>
            <w:hideMark/>
          </w:tcPr>
          <w:p w14:paraId="5A81BF3F" w14:textId="77777777" w:rsidR="001B6918" w:rsidRPr="00992740" w:rsidRDefault="001B6918" w:rsidP="00730ECF">
            <w:pPr>
              <w:jc w:val="right"/>
              <w:rPr>
                <w:rFonts w:ascii="Calibri" w:eastAsia="Times New Roman" w:hAnsi="Calibri" w:cs="Calibri"/>
                <w:color w:val="FF0000"/>
              </w:rPr>
            </w:pPr>
            <w:r w:rsidRPr="00997750">
              <w:t xml:space="preserve"> (10,736)</w:t>
            </w:r>
          </w:p>
        </w:tc>
        <w:tc>
          <w:tcPr>
            <w:tcW w:w="1119" w:type="dxa"/>
            <w:tcBorders>
              <w:top w:val="nil"/>
              <w:left w:val="nil"/>
              <w:bottom w:val="nil"/>
              <w:right w:val="nil"/>
            </w:tcBorders>
            <w:shd w:val="clear" w:color="000000" w:fill="FFFFFF"/>
            <w:noWrap/>
            <w:hideMark/>
          </w:tcPr>
          <w:p w14:paraId="3E92B49F" w14:textId="77777777" w:rsidR="001B6918" w:rsidRPr="005D0729" w:rsidRDefault="001B6918" w:rsidP="00730ECF">
            <w:pPr>
              <w:jc w:val="right"/>
              <w:rPr>
                <w:rFonts w:ascii="Calibri" w:eastAsia="Times New Roman" w:hAnsi="Calibri" w:cs="Calibri"/>
                <w:color w:val="0D0D0D"/>
              </w:rPr>
            </w:pPr>
            <w:r w:rsidRPr="00997750">
              <w:t xml:space="preserve"> 213,815 </w:t>
            </w:r>
          </w:p>
        </w:tc>
      </w:tr>
      <w:tr w:rsidR="001B6918" w:rsidRPr="005D0729" w14:paraId="37EB8BCD" w14:textId="77777777" w:rsidTr="00730ECF">
        <w:trPr>
          <w:trHeight w:val="117"/>
          <w:jc w:val="center"/>
        </w:trPr>
        <w:tc>
          <w:tcPr>
            <w:tcW w:w="3960" w:type="dxa"/>
            <w:tcBorders>
              <w:top w:val="nil"/>
              <w:left w:val="nil"/>
              <w:bottom w:val="nil"/>
              <w:right w:val="nil"/>
            </w:tcBorders>
            <w:shd w:val="clear" w:color="000000" w:fill="FFFFFF"/>
            <w:noWrap/>
            <w:vAlign w:val="bottom"/>
            <w:hideMark/>
          </w:tcPr>
          <w:p w14:paraId="225553DB" w14:textId="77777777" w:rsidR="001B6918" w:rsidRPr="005D0729" w:rsidRDefault="001B6918" w:rsidP="00730ECF">
            <w:pPr>
              <w:rPr>
                <w:rFonts w:ascii="Calibri" w:eastAsia="Times New Roman" w:hAnsi="Calibri" w:cs="Calibri"/>
                <w:color w:val="0D0D0D"/>
              </w:rPr>
            </w:pPr>
            <w:r w:rsidRPr="005D0729">
              <w:rPr>
                <w:rFonts w:ascii="Calibri" w:eastAsia="Times New Roman" w:hAnsi="Calibri" w:cs="Calibri"/>
                <w:color w:val="0D0D0D"/>
              </w:rPr>
              <w:t>Software</w:t>
            </w:r>
          </w:p>
        </w:tc>
        <w:tc>
          <w:tcPr>
            <w:tcW w:w="1218" w:type="dxa"/>
            <w:tcBorders>
              <w:top w:val="nil"/>
              <w:left w:val="nil"/>
              <w:bottom w:val="nil"/>
              <w:right w:val="nil"/>
            </w:tcBorders>
            <w:shd w:val="clear" w:color="000000" w:fill="FFFFFF"/>
            <w:noWrap/>
            <w:hideMark/>
          </w:tcPr>
          <w:p w14:paraId="3E7EC2E3" w14:textId="77777777" w:rsidR="001B6918" w:rsidRPr="005D0729" w:rsidRDefault="001B6918" w:rsidP="00730ECF">
            <w:pPr>
              <w:jc w:val="right"/>
              <w:rPr>
                <w:rFonts w:ascii="Calibri" w:eastAsia="Times New Roman" w:hAnsi="Calibri" w:cs="Calibri"/>
                <w:color w:val="000000"/>
              </w:rPr>
            </w:pPr>
            <w:r w:rsidRPr="0070408A">
              <w:t xml:space="preserve"> 31,092 </w:t>
            </w:r>
          </w:p>
        </w:tc>
        <w:tc>
          <w:tcPr>
            <w:tcW w:w="1094" w:type="dxa"/>
            <w:tcBorders>
              <w:top w:val="nil"/>
              <w:left w:val="nil"/>
              <w:bottom w:val="nil"/>
              <w:right w:val="nil"/>
            </w:tcBorders>
            <w:shd w:val="clear" w:color="000000" w:fill="FFFFFF"/>
            <w:noWrap/>
            <w:hideMark/>
          </w:tcPr>
          <w:p w14:paraId="20075F80" w14:textId="77777777" w:rsidR="001B6918" w:rsidRPr="00992740" w:rsidRDefault="001B6918" w:rsidP="00730ECF">
            <w:pPr>
              <w:jc w:val="right"/>
              <w:rPr>
                <w:rFonts w:ascii="Calibri" w:eastAsia="Times New Roman" w:hAnsi="Calibri" w:cs="Calibri"/>
                <w:color w:val="FF0000"/>
              </w:rPr>
            </w:pPr>
            <w:r w:rsidRPr="00997750">
              <w:t xml:space="preserve"> 33 </w:t>
            </w:r>
          </w:p>
        </w:tc>
        <w:tc>
          <w:tcPr>
            <w:tcW w:w="1820" w:type="dxa"/>
            <w:tcBorders>
              <w:top w:val="nil"/>
              <w:left w:val="nil"/>
              <w:bottom w:val="nil"/>
              <w:right w:val="nil"/>
            </w:tcBorders>
            <w:shd w:val="clear" w:color="000000" w:fill="FFFFFF"/>
            <w:noWrap/>
            <w:hideMark/>
          </w:tcPr>
          <w:p w14:paraId="55E76D97" w14:textId="77777777" w:rsidR="001B6918" w:rsidRPr="00992740" w:rsidRDefault="001B6918" w:rsidP="00730ECF">
            <w:pPr>
              <w:jc w:val="right"/>
              <w:rPr>
                <w:rFonts w:ascii="Calibri" w:eastAsia="Times New Roman" w:hAnsi="Calibri" w:cs="Calibri"/>
                <w:color w:val="FF0000"/>
              </w:rPr>
            </w:pPr>
          </w:p>
        </w:tc>
        <w:tc>
          <w:tcPr>
            <w:tcW w:w="1342" w:type="dxa"/>
            <w:tcBorders>
              <w:top w:val="nil"/>
              <w:left w:val="nil"/>
              <w:bottom w:val="nil"/>
              <w:right w:val="nil"/>
            </w:tcBorders>
            <w:shd w:val="clear" w:color="000000" w:fill="FFFFFF"/>
            <w:noWrap/>
            <w:hideMark/>
          </w:tcPr>
          <w:p w14:paraId="2A642D9F" w14:textId="77777777" w:rsidR="001B6918" w:rsidRPr="00992740" w:rsidRDefault="001B6918" w:rsidP="00730ECF">
            <w:pPr>
              <w:jc w:val="right"/>
              <w:rPr>
                <w:rFonts w:ascii="Calibri" w:eastAsia="Times New Roman" w:hAnsi="Calibri" w:cs="Calibri"/>
                <w:color w:val="FF0000"/>
              </w:rPr>
            </w:pPr>
            <w:r w:rsidRPr="00997750">
              <w:t xml:space="preserve"> (964)</w:t>
            </w:r>
          </w:p>
        </w:tc>
        <w:tc>
          <w:tcPr>
            <w:tcW w:w="1119" w:type="dxa"/>
            <w:tcBorders>
              <w:top w:val="nil"/>
              <w:left w:val="nil"/>
              <w:bottom w:val="nil"/>
              <w:right w:val="nil"/>
            </w:tcBorders>
            <w:shd w:val="clear" w:color="000000" w:fill="FFFFFF"/>
            <w:noWrap/>
            <w:hideMark/>
          </w:tcPr>
          <w:p w14:paraId="6036F896" w14:textId="77777777" w:rsidR="001B6918" w:rsidRPr="005D0729" w:rsidRDefault="001B6918" w:rsidP="00730ECF">
            <w:pPr>
              <w:jc w:val="right"/>
              <w:rPr>
                <w:rFonts w:ascii="Calibri" w:eastAsia="Times New Roman" w:hAnsi="Calibri" w:cs="Calibri"/>
                <w:color w:val="0D0D0D"/>
              </w:rPr>
            </w:pPr>
            <w:r w:rsidRPr="00997750">
              <w:t xml:space="preserve"> 30,161 </w:t>
            </w:r>
          </w:p>
        </w:tc>
      </w:tr>
      <w:tr w:rsidR="001B6918" w:rsidRPr="005D0729" w14:paraId="03E5FF16" w14:textId="77777777" w:rsidTr="00730ECF">
        <w:trPr>
          <w:trHeight w:val="207"/>
          <w:jc w:val="center"/>
        </w:trPr>
        <w:tc>
          <w:tcPr>
            <w:tcW w:w="3960" w:type="dxa"/>
            <w:tcBorders>
              <w:top w:val="nil"/>
              <w:left w:val="nil"/>
              <w:bottom w:val="nil"/>
              <w:right w:val="nil"/>
            </w:tcBorders>
            <w:shd w:val="clear" w:color="000000" w:fill="FFFFFF"/>
            <w:noWrap/>
            <w:vAlign w:val="bottom"/>
            <w:hideMark/>
          </w:tcPr>
          <w:p w14:paraId="625F143B" w14:textId="77777777" w:rsidR="001B6918" w:rsidRPr="005D0729" w:rsidRDefault="001B6918" w:rsidP="00730ECF">
            <w:pPr>
              <w:rPr>
                <w:rFonts w:ascii="Calibri" w:eastAsia="Times New Roman" w:hAnsi="Calibri" w:cs="Calibri"/>
                <w:color w:val="0D0D0D"/>
              </w:rPr>
            </w:pPr>
            <w:r w:rsidRPr="005D0729">
              <w:rPr>
                <w:rFonts w:ascii="Calibri" w:eastAsia="Times New Roman" w:hAnsi="Calibri" w:cs="Calibri"/>
                <w:color w:val="0D0D0D"/>
              </w:rPr>
              <w:t>Right-to-use assets, buildings (Note 7)</w:t>
            </w:r>
          </w:p>
        </w:tc>
        <w:tc>
          <w:tcPr>
            <w:tcW w:w="1218" w:type="dxa"/>
            <w:tcBorders>
              <w:top w:val="nil"/>
              <w:left w:val="nil"/>
              <w:bottom w:val="nil"/>
              <w:right w:val="nil"/>
            </w:tcBorders>
            <w:shd w:val="clear" w:color="000000" w:fill="FFFFFF"/>
            <w:noWrap/>
            <w:hideMark/>
          </w:tcPr>
          <w:p w14:paraId="749816B0" w14:textId="77777777" w:rsidR="001B6918" w:rsidRPr="005D0729" w:rsidRDefault="001B6918" w:rsidP="00730ECF">
            <w:pPr>
              <w:jc w:val="right"/>
              <w:rPr>
                <w:rFonts w:ascii="Calibri" w:eastAsia="Times New Roman" w:hAnsi="Calibri" w:cs="Calibri"/>
                <w:color w:val="000000"/>
              </w:rPr>
            </w:pPr>
            <w:r w:rsidRPr="0070408A">
              <w:t xml:space="preserve"> 71,204 </w:t>
            </w:r>
          </w:p>
        </w:tc>
        <w:tc>
          <w:tcPr>
            <w:tcW w:w="1094" w:type="dxa"/>
            <w:tcBorders>
              <w:top w:val="nil"/>
              <w:left w:val="nil"/>
              <w:bottom w:val="nil"/>
              <w:right w:val="nil"/>
            </w:tcBorders>
            <w:shd w:val="clear" w:color="000000" w:fill="FFFFFF"/>
            <w:noWrap/>
            <w:hideMark/>
          </w:tcPr>
          <w:p w14:paraId="09AB566D" w14:textId="77777777" w:rsidR="001B6918" w:rsidRPr="00992740" w:rsidRDefault="001B6918" w:rsidP="00730ECF">
            <w:pPr>
              <w:jc w:val="right"/>
              <w:rPr>
                <w:rFonts w:ascii="Calibri" w:eastAsia="Times New Roman" w:hAnsi="Calibri" w:cs="Calibri"/>
                <w:color w:val="FF0000"/>
              </w:rPr>
            </w:pPr>
            <w:r w:rsidRPr="00997750">
              <w:t xml:space="preserve"> - </w:t>
            </w:r>
          </w:p>
        </w:tc>
        <w:tc>
          <w:tcPr>
            <w:tcW w:w="1820" w:type="dxa"/>
            <w:tcBorders>
              <w:top w:val="nil"/>
              <w:left w:val="nil"/>
              <w:bottom w:val="nil"/>
              <w:right w:val="nil"/>
            </w:tcBorders>
            <w:shd w:val="clear" w:color="000000" w:fill="FFFFFF"/>
            <w:noWrap/>
            <w:hideMark/>
          </w:tcPr>
          <w:p w14:paraId="0D1F4A13" w14:textId="77777777" w:rsidR="001B6918" w:rsidRPr="00992740" w:rsidRDefault="001B6918" w:rsidP="00730ECF">
            <w:pPr>
              <w:jc w:val="right"/>
              <w:rPr>
                <w:rFonts w:ascii="Calibri" w:eastAsia="Times New Roman" w:hAnsi="Calibri" w:cs="Calibri"/>
                <w:color w:val="FF0000"/>
              </w:rPr>
            </w:pPr>
            <w:r w:rsidRPr="00997750">
              <w:t xml:space="preserve"> - </w:t>
            </w:r>
          </w:p>
        </w:tc>
        <w:tc>
          <w:tcPr>
            <w:tcW w:w="1342" w:type="dxa"/>
            <w:tcBorders>
              <w:top w:val="nil"/>
              <w:left w:val="nil"/>
              <w:bottom w:val="nil"/>
              <w:right w:val="nil"/>
            </w:tcBorders>
            <w:shd w:val="clear" w:color="000000" w:fill="FFFFFF"/>
            <w:noWrap/>
            <w:hideMark/>
          </w:tcPr>
          <w:p w14:paraId="04697068" w14:textId="77777777" w:rsidR="001B6918" w:rsidRPr="00992740" w:rsidRDefault="001B6918" w:rsidP="00730ECF">
            <w:pPr>
              <w:jc w:val="right"/>
              <w:rPr>
                <w:rFonts w:ascii="Calibri" w:eastAsia="Times New Roman" w:hAnsi="Calibri" w:cs="Calibri"/>
                <w:color w:val="FF0000"/>
              </w:rPr>
            </w:pPr>
            <w:r w:rsidRPr="00997750">
              <w:t xml:space="preserve"> - </w:t>
            </w:r>
          </w:p>
        </w:tc>
        <w:tc>
          <w:tcPr>
            <w:tcW w:w="1119" w:type="dxa"/>
            <w:tcBorders>
              <w:top w:val="nil"/>
              <w:left w:val="nil"/>
              <w:bottom w:val="nil"/>
              <w:right w:val="nil"/>
            </w:tcBorders>
            <w:shd w:val="clear" w:color="000000" w:fill="FFFFFF"/>
            <w:noWrap/>
            <w:hideMark/>
          </w:tcPr>
          <w:p w14:paraId="5C09ED6B" w14:textId="77777777" w:rsidR="001B6918" w:rsidRPr="005D0729" w:rsidRDefault="001B6918" w:rsidP="00730ECF">
            <w:pPr>
              <w:jc w:val="right"/>
              <w:rPr>
                <w:rFonts w:ascii="Calibri" w:eastAsia="Times New Roman" w:hAnsi="Calibri" w:cs="Calibri"/>
                <w:color w:val="0D0D0D"/>
              </w:rPr>
            </w:pPr>
            <w:r w:rsidRPr="00997750">
              <w:t xml:space="preserve"> 71,204 </w:t>
            </w:r>
          </w:p>
        </w:tc>
      </w:tr>
      <w:tr w:rsidR="001B6918" w:rsidRPr="005D0729" w14:paraId="5A88B314" w14:textId="77777777" w:rsidTr="00730ECF">
        <w:trPr>
          <w:trHeight w:val="117"/>
          <w:jc w:val="center"/>
        </w:trPr>
        <w:tc>
          <w:tcPr>
            <w:tcW w:w="3960" w:type="dxa"/>
            <w:tcBorders>
              <w:top w:val="nil"/>
              <w:left w:val="nil"/>
              <w:bottom w:val="nil"/>
              <w:right w:val="nil"/>
            </w:tcBorders>
            <w:shd w:val="clear" w:color="000000" w:fill="FFFFFF"/>
            <w:noWrap/>
            <w:vAlign w:val="bottom"/>
            <w:hideMark/>
          </w:tcPr>
          <w:p w14:paraId="2977A0F9" w14:textId="77777777" w:rsidR="001B6918" w:rsidRPr="005D0729" w:rsidRDefault="001B6918" w:rsidP="00730ECF">
            <w:pPr>
              <w:rPr>
                <w:rFonts w:ascii="Calibri" w:eastAsia="Times New Roman" w:hAnsi="Calibri" w:cs="Calibri"/>
                <w:color w:val="0D0D0D"/>
              </w:rPr>
            </w:pPr>
            <w:r w:rsidRPr="005D0729">
              <w:rPr>
                <w:rFonts w:ascii="Calibri" w:eastAsia="Times New Roman" w:hAnsi="Calibri" w:cs="Calibri"/>
                <w:color w:val="0D0D0D"/>
              </w:rPr>
              <w:t>Subscription based IT arrangements</w:t>
            </w:r>
          </w:p>
        </w:tc>
        <w:tc>
          <w:tcPr>
            <w:tcW w:w="1218" w:type="dxa"/>
            <w:tcBorders>
              <w:top w:val="nil"/>
              <w:left w:val="nil"/>
              <w:bottom w:val="nil"/>
              <w:right w:val="nil"/>
            </w:tcBorders>
            <w:shd w:val="clear" w:color="000000" w:fill="FFFFFF"/>
            <w:noWrap/>
            <w:hideMark/>
          </w:tcPr>
          <w:p w14:paraId="6D6729DA" w14:textId="77777777" w:rsidR="001B6918" w:rsidRPr="005D0729" w:rsidRDefault="001B6918" w:rsidP="00730ECF">
            <w:pPr>
              <w:jc w:val="right"/>
              <w:rPr>
                <w:rFonts w:ascii="Calibri" w:eastAsia="Times New Roman" w:hAnsi="Calibri" w:cs="Calibri"/>
                <w:color w:val="000000"/>
              </w:rPr>
            </w:pPr>
            <w:r w:rsidRPr="0070408A">
              <w:t xml:space="preserve"> 25,530 </w:t>
            </w:r>
          </w:p>
        </w:tc>
        <w:tc>
          <w:tcPr>
            <w:tcW w:w="1094" w:type="dxa"/>
            <w:tcBorders>
              <w:top w:val="nil"/>
              <w:left w:val="nil"/>
              <w:bottom w:val="nil"/>
              <w:right w:val="nil"/>
            </w:tcBorders>
            <w:shd w:val="clear" w:color="000000" w:fill="FFFFFF"/>
            <w:noWrap/>
            <w:hideMark/>
          </w:tcPr>
          <w:p w14:paraId="29BD6F48" w14:textId="77777777" w:rsidR="001B6918" w:rsidRPr="00992740" w:rsidRDefault="001B6918" w:rsidP="00730ECF">
            <w:pPr>
              <w:jc w:val="right"/>
              <w:rPr>
                <w:rFonts w:ascii="Calibri" w:eastAsia="Times New Roman" w:hAnsi="Calibri" w:cs="Calibri"/>
                <w:color w:val="FF0000"/>
              </w:rPr>
            </w:pPr>
            <w:r w:rsidRPr="00997750">
              <w:t xml:space="preserve"> 10,283 </w:t>
            </w:r>
          </w:p>
        </w:tc>
        <w:tc>
          <w:tcPr>
            <w:tcW w:w="1820" w:type="dxa"/>
            <w:tcBorders>
              <w:top w:val="nil"/>
              <w:left w:val="nil"/>
              <w:bottom w:val="nil"/>
              <w:right w:val="nil"/>
            </w:tcBorders>
            <w:shd w:val="clear" w:color="000000" w:fill="FFFFFF"/>
            <w:noWrap/>
            <w:hideMark/>
          </w:tcPr>
          <w:p w14:paraId="6362E3F6" w14:textId="77777777" w:rsidR="001B6918" w:rsidRPr="00992740" w:rsidRDefault="001B6918" w:rsidP="00730ECF">
            <w:pPr>
              <w:jc w:val="right"/>
              <w:rPr>
                <w:rFonts w:ascii="Calibri" w:eastAsia="Times New Roman" w:hAnsi="Calibri" w:cs="Calibri"/>
                <w:color w:val="FF0000"/>
              </w:rPr>
            </w:pPr>
            <w:r w:rsidRPr="00997750">
              <w:t xml:space="preserve"> - </w:t>
            </w:r>
          </w:p>
        </w:tc>
        <w:tc>
          <w:tcPr>
            <w:tcW w:w="1342" w:type="dxa"/>
            <w:tcBorders>
              <w:top w:val="nil"/>
              <w:left w:val="nil"/>
              <w:bottom w:val="nil"/>
              <w:right w:val="nil"/>
            </w:tcBorders>
            <w:shd w:val="clear" w:color="000000" w:fill="FFFFFF"/>
            <w:noWrap/>
            <w:hideMark/>
          </w:tcPr>
          <w:p w14:paraId="63D04728" w14:textId="77777777" w:rsidR="001B6918" w:rsidRPr="00992740" w:rsidRDefault="001B6918" w:rsidP="00730ECF">
            <w:pPr>
              <w:jc w:val="right"/>
              <w:rPr>
                <w:rFonts w:ascii="Calibri" w:eastAsia="Times New Roman" w:hAnsi="Calibri" w:cs="Calibri"/>
                <w:color w:val="FF0000"/>
              </w:rPr>
            </w:pPr>
            <w:r w:rsidRPr="00997750">
              <w:t xml:space="preserve"> - </w:t>
            </w:r>
          </w:p>
        </w:tc>
        <w:tc>
          <w:tcPr>
            <w:tcW w:w="1119" w:type="dxa"/>
            <w:tcBorders>
              <w:top w:val="nil"/>
              <w:left w:val="nil"/>
              <w:bottom w:val="nil"/>
              <w:right w:val="nil"/>
            </w:tcBorders>
            <w:shd w:val="clear" w:color="000000" w:fill="FFFFFF"/>
            <w:noWrap/>
            <w:hideMark/>
          </w:tcPr>
          <w:p w14:paraId="4846ADDC" w14:textId="77777777" w:rsidR="001B6918" w:rsidRPr="005D0729" w:rsidRDefault="001B6918" w:rsidP="00730ECF">
            <w:pPr>
              <w:jc w:val="right"/>
              <w:rPr>
                <w:rFonts w:ascii="Calibri" w:eastAsia="Times New Roman" w:hAnsi="Calibri" w:cs="Calibri"/>
                <w:color w:val="0D0D0D"/>
              </w:rPr>
            </w:pPr>
            <w:r w:rsidRPr="00997750">
              <w:t xml:space="preserve"> 35,813 </w:t>
            </w:r>
          </w:p>
        </w:tc>
      </w:tr>
      <w:tr w:rsidR="001B6918" w:rsidRPr="005D0729" w14:paraId="1C2456DF" w14:textId="77777777" w:rsidTr="00730ECF">
        <w:trPr>
          <w:trHeight w:val="197"/>
          <w:jc w:val="center"/>
        </w:trPr>
        <w:tc>
          <w:tcPr>
            <w:tcW w:w="3960" w:type="dxa"/>
            <w:tcBorders>
              <w:top w:val="single" w:sz="4" w:space="0" w:color="000000"/>
              <w:left w:val="nil"/>
              <w:bottom w:val="single" w:sz="4" w:space="0" w:color="000000"/>
              <w:right w:val="nil"/>
            </w:tcBorders>
            <w:shd w:val="clear" w:color="000000" w:fill="FFFFFF"/>
            <w:noWrap/>
            <w:vAlign w:val="bottom"/>
            <w:hideMark/>
          </w:tcPr>
          <w:p w14:paraId="494ADE28" w14:textId="77777777" w:rsidR="001B6918" w:rsidRPr="005D0729" w:rsidRDefault="001B6918" w:rsidP="00730ECF">
            <w:pPr>
              <w:rPr>
                <w:rFonts w:ascii="Calibri" w:eastAsia="Times New Roman" w:hAnsi="Calibri" w:cs="Calibri"/>
                <w:color w:val="0D0D0D"/>
              </w:rPr>
            </w:pPr>
            <w:r w:rsidRPr="005D0729">
              <w:rPr>
                <w:rFonts w:ascii="Calibri" w:eastAsia="Times New Roman" w:hAnsi="Calibri" w:cs="Calibri"/>
                <w:color w:val="0D0D0D"/>
              </w:rPr>
              <w:t xml:space="preserve">Total depreciable </w:t>
            </w:r>
            <w:r>
              <w:rPr>
                <w:rFonts w:ascii="Calibri" w:eastAsia="Times New Roman" w:hAnsi="Calibri" w:cs="Calibri"/>
                <w:color w:val="0D0D0D"/>
              </w:rPr>
              <w:t xml:space="preserve">and amortizable </w:t>
            </w:r>
            <w:r w:rsidRPr="005D0729">
              <w:rPr>
                <w:rFonts w:ascii="Calibri" w:eastAsia="Times New Roman" w:hAnsi="Calibri" w:cs="Calibri"/>
                <w:color w:val="0D0D0D"/>
              </w:rPr>
              <w:t>assets</w:t>
            </w:r>
          </w:p>
        </w:tc>
        <w:tc>
          <w:tcPr>
            <w:tcW w:w="1218" w:type="dxa"/>
            <w:tcBorders>
              <w:top w:val="single" w:sz="4" w:space="0" w:color="000000"/>
              <w:left w:val="nil"/>
              <w:bottom w:val="single" w:sz="4" w:space="0" w:color="000000"/>
              <w:right w:val="nil"/>
            </w:tcBorders>
            <w:shd w:val="clear" w:color="000000" w:fill="FFFFFF"/>
            <w:noWrap/>
            <w:vAlign w:val="bottom"/>
            <w:hideMark/>
          </w:tcPr>
          <w:p w14:paraId="583980D7" w14:textId="77777777" w:rsidR="001B6918" w:rsidRPr="005D0729" w:rsidRDefault="001B6918" w:rsidP="00730ECF">
            <w:pPr>
              <w:jc w:val="right"/>
              <w:rPr>
                <w:rFonts w:ascii="Calibri" w:eastAsia="Times New Roman" w:hAnsi="Calibri" w:cs="Calibri"/>
                <w:color w:val="0D0D0D"/>
              </w:rPr>
            </w:pPr>
            <w:r w:rsidRPr="009655BC">
              <w:rPr>
                <w:rFonts w:ascii="Calibri" w:eastAsia="Times New Roman" w:hAnsi="Calibri" w:cs="Calibri"/>
              </w:rPr>
              <w:t>1,657,87</w:t>
            </w:r>
            <w:r>
              <w:rPr>
                <w:rFonts w:ascii="Calibri" w:eastAsia="Times New Roman" w:hAnsi="Calibri" w:cs="Calibri"/>
              </w:rPr>
              <w:t>3</w:t>
            </w:r>
            <w:r w:rsidRPr="009655BC">
              <w:rPr>
                <w:rFonts w:ascii="Calibri" w:eastAsia="Times New Roman" w:hAnsi="Calibri" w:cs="Calibri"/>
              </w:rPr>
              <w:t xml:space="preserve"> </w:t>
            </w:r>
          </w:p>
        </w:tc>
        <w:tc>
          <w:tcPr>
            <w:tcW w:w="1094" w:type="dxa"/>
            <w:tcBorders>
              <w:top w:val="single" w:sz="4" w:space="0" w:color="000000"/>
              <w:left w:val="nil"/>
              <w:bottom w:val="single" w:sz="4" w:space="0" w:color="000000"/>
              <w:right w:val="nil"/>
            </w:tcBorders>
            <w:shd w:val="clear" w:color="000000" w:fill="FFFFFF"/>
            <w:noWrap/>
            <w:hideMark/>
          </w:tcPr>
          <w:p w14:paraId="3110AFEB" w14:textId="77777777" w:rsidR="001B6918" w:rsidRPr="00992740" w:rsidRDefault="001B6918" w:rsidP="00730ECF">
            <w:pPr>
              <w:jc w:val="right"/>
              <w:rPr>
                <w:rFonts w:ascii="Calibri" w:eastAsia="Times New Roman" w:hAnsi="Calibri" w:cs="Calibri"/>
                <w:color w:val="FF0000"/>
              </w:rPr>
            </w:pPr>
            <w:r w:rsidRPr="00BA7E66">
              <w:t xml:space="preserve"> 19,647 </w:t>
            </w:r>
          </w:p>
        </w:tc>
        <w:tc>
          <w:tcPr>
            <w:tcW w:w="1820" w:type="dxa"/>
            <w:tcBorders>
              <w:top w:val="single" w:sz="4" w:space="0" w:color="000000"/>
              <w:left w:val="nil"/>
              <w:bottom w:val="single" w:sz="4" w:space="0" w:color="000000"/>
              <w:right w:val="nil"/>
            </w:tcBorders>
            <w:shd w:val="clear" w:color="000000" w:fill="FFFFFF"/>
            <w:noWrap/>
            <w:hideMark/>
          </w:tcPr>
          <w:p w14:paraId="68398EDA" w14:textId="77777777" w:rsidR="001B6918" w:rsidRPr="00992740" w:rsidRDefault="001B6918" w:rsidP="00730ECF">
            <w:pPr>
              <w:jc w:val="right"/>
              <w:rPr>
                <w:rFonts w:ascii="Calibri" w:eastAsia="Times New Roman" w:hAnsi="Calibri" w:cs="Calibri"/>
                <w:color w:val="FF0000"/>
              </w:rPr>
            </w:pPr>
            <w:r w:rsidRPr="00BA7E66">
              <w:t xml:space="preserve"> 51,184 </w:t>
            </w:r>
          </w:p>
        </w:tc>
        <w:tc>
          <w:tcPr>
            <w:tcW w:w="1342" w:type="dxa"/>
            <w:tcBorders>
              <w:top w:val="single" w:sz="4" w:space="0" w:color="000000"/>
              <w:left w:val="nil"/>
              <w:bottom w:val="single" w:sz="4" w:space="0" w:color="000000"/>
              <w:right w:val="nil"/>
            </w:tcBorders>
            <w:shd w:val="clear" w:color="000000" w:fill="FFFFFF"/>
            <w:noWrap/>
            <w:hideMark/>
          </w:tcPr>
          <w:p w14:paraId="032A4227" w14:textId="77777777" w:rsidR="001B6918" w:rsidRPr="00992740" w:rsidRDefault="001B6918" w:rsidP="00730ECF">
            <w:pPr>
              <w:jc w:val="right"/>
              <w:rPr>
                <w:rFonts w:ascii="Calibri" w:eastAsia="Times New Roman" w:hAnsi="Calibri" w:cs="Calibri"/>
                <w:color w:val="FF0000"/>
              </w:rPr>
            </w:pPr>
            <w:r w:rsidRPr="00BA7E66">
              <w:t xml:space="preserve"> (14,092)</w:t>
            </w:r>
          </w:p>
        </w:tc>
        <w:tc>
          <w:tcPr>
            <w:tcW w:w="1119" w:type="dxa"/>
            <w:tcBorders>
              <w:top w:val="single" w:sz="4" w:space="0" w:color="000000"/>
              <w:left w:val="nil"/>
              <w:bottom w:val="single" w:sz="4" w:space="0" w:color="000000"/>
              <w:right w:val="nil"/>
            </w:tcBorders>
            <w:shd w:val="clear" w:color="000000" w:fill="FFFFFF"/>
            <w:noWrap/>
            <w:hideMark/>
          </w:tcPr>
          <w:p w14:paraId="07387670" w14:textId="77777777" w:rsidR="001B6918" w:rsidRPr="005D0729" w:rsidRDefault="001B6918" w:rsidP="00730ECF">
            <w:pPr>
              <w:jc w:val="right"/>
              <w:rPr>
                <w:rFonts w:ascii="Calibri" w:eastAsia="Times New Roman" w:hAnsi="Calibri" w:cs="Calibri"/>
                <w:color w:val="0D0D0D"/>
              </w:rPr>
            </w:pPr>
            <w:r w:rsidRPr="00BA7E66">
              <w:t xml:space="preserve">1,714,612 </w:t>
            </w:r>
          </w:p>
        </w:tc>
      </w:tr>
      <w:tr w:rsidR="001B6918" w:rsidRPr="005D0729" w14:paraId="46827C16" w14:textId="77777777" w:rsidTr="00730ECF">
        <w:trPr>
          <w:trHeight w:val="188"/>
          <w:jc w:val="center"/>
        </w:trPr>
        <w:tc>
          <w:tcPr>
            <w:tcW w:w="3960" w:type="dxa"/>
            <w:tcBorders>
              <w:top w:val="nil"/>
              <w:left w:val="nil"/>
              <w:bottom w:val="nil"/>
              <w:right w:val="nil"/>
            </w:tcBorders>
            <w:shd w:val="clear" w:color="000000" w:fill="FFFFFF"/>
            <w:noWrap/>
            <w:vAlign w:val="bottom"/>
            <w:hideMark/>
          </w:tcPr>
          <w:p w14:paraId="39256B9D" w14:textId="77777777" w:rsidR="001B6918" w:rsidRPr="005D0729" w:rsidRDefault="001B6918" w:rsidP="00730ECF">
            <w:pPr>
              <w:rPr>
                <w:rFonts w:ascii="Calibri" w:eastAsia="Times New Roman" w:hAnsi="Calibri" w:cs="Calibri"/>
                <w:color w:val="0D0D0D"/>
              </w:rPr>
            </w:pPr>
            <w:r w:rsidRPr="005D0729">
              <w:rPr>
                <w:rFonts w:ascii="Calibri" w:eastAsia="Times New Roman" w:hAnsi="Calibri" w:cs="Calibri"/>
                <w:color w:val="0D0D0D"/>
              </w:rPr>
              <w:t>Less accumulated depreciation</w:t>
            </w:r>
            <w:r>
              <w:rPr>
                <w:rFonts w:ascii="Calibri" w:eastAsia="Times New Roman" w:hAnsi="Calibri" w:cs="Calibri"/>
                <w:color w:val="0D0D0D"/>
              </w:rPr>
              <w:t xml:space="preserve"> and amortization</w:t>
            </w:r>
            <w:r w:rsidRPr="005D0729">
              <w:rPr>
                <w:rFonts w:ascii="Calibri" w:eastAsia="Times New Roman" w:hAnsi="Calibri" w:cs="Calibri"/>
                <w:color w:val="0D0D0D"/>
              </w:rPr>
              <w:t>:</w:t>
            </w:r>
          </w:p>
        </w:tc>
        <w:tc>
          <w:tcPr>
            <w:tcW w:w="1218" w:type="dxa"/>
            <w:tcBorders>
              <w:top w:val="nil"/>
              <w:left w:val="nil"/>
              <w:bottom w:val="nil"/>
              <w:right w:val="nil"/>
            </w:tcBorders>
            <w:shd w:val="clear" w:color="000000" w:fill="FFFFFF"/>
            <w:noWrap/>
            <w:vAlign w:val="bottom"/>
            <w:hideMark/>
          </w:tcPr>
          <w:p w14:paraId="6B9E42FB" w14:textId="77777777" w:rsidR="001B6918" w:rsidRPr="005D0729" w:rsidRDefault="001B6918" w:rsidP="00730ECF">
            <w:pPr>
              <w:jc w:val="right"/>
              <w:rPr>
                <w:rFonts w:ascii="Calibri" w:eastAsia="Times New Roman" w:hAnsi="Calibri" w:cs="Calibri"/>
                <w:color w:val="0D0D0D"/>
              </w:rPr>
            </w:pPr>
            <w:r w:rsidRPr="00D012D8">
              <w:rPr>
                <w:rFonts w:ascii="Calibri" w:eastAsia="Times New Roman" w:hAnsi="Calibri" w:cs="Calibri"/>
                <w:color w:val="FF0000"/>
              </w:rPr>
              <w:t> </w:t>
            </w:r>
          </w:p>
        </w:tc>
        <w:tc>
          <w:tcPr>
            <w:tcW w:w="1094" w:type="dxa"/>
            <w:tcBorders>
              <w:top w:val="nil"/>
              <w:left w:val="nil"/>
              <w:bottom w:val="nil"/>
              <w:right w:val="nil"/>
            </w:tcBorders>
            <w:shd w:val="clear" w:color="000000" w:fill="FFFFFF"/>
            <w:noWrap/>
            <w:vAlign w:val="bottom"/>
            <w:hideMark/>
          </w:tcPr>
          <w:p w14:paraId="317C90B8" w14:textId="77777777" w:rsidR="001B6918" w:rsidRPr="008B7CEE" w:rsidRDefault="001B6918" w:rsidP="00730ECF">
            <w:pPr>
              <w:jc w:val="right"/>
              <w:rPr>
                <w:rFonts w:ascii="Calibri" w:eastAsia="Times New Roman" w:hAnsi="Calibri" w:cs="Calibri"/>
                <w:color w:val="FF0000"/>
              </w:rPr>
            </w:pPr>
            <w:r w:rsidRPr="008B7CEE">
              <w:rPr>
                <w:rFonts w:ascii="Calibri" w:eastAsia="Times New Roman" w:hAnsi="Calibri" w:cs="Calibri"/>
                <w:color w:val="FF0000"/>
              </w:rPr>
              <w:t> </w:t>
            </w:r>
          </w:p>
        </w:tc>
        <w:tc>
          <w:tcPr>
            <w:tcW w:w="1820" w:type="dxa"/>
            <w:tcBorders>
              <w:top w:val="nil"/>
              <w:left w:val="nil"/>
              <w:bottom w:val="nil"/>
              <w:right w:val="nil"/>
            </w:tcBorders>
            <w:shd w:val="clear" w:color="000000" w:fill="FFFFFF"/>
            <w:noWrap/>
            <w:vAlign w:val="bottom"/>
            <w:hideMark/>
          </w:tcPr>
          <w:p w14:paraId="12C8AE4D" w14:textId="77777777" w:rsidR="001B6918" w:rsidRPr="008B7CEE" w:rsidRDefault="001B6918" w:rsidP="00730ECF">
            <w:pPr>
              <w:jc w:val="right"/>
              <w:rPr>
                <w:rFonts w:ascii="Calibri" w:eastAsia="Times New Roman" w:hAnsi="Calibri" w:cs="Calibri"/>
                <w:color w:val="FF0000"/>
              </w:rPr>
            </w:pPr>
            <w:r w:rsidRPr="008B7CEE">
              <w:rPr>
                <w:rFonts w:ascii="Calibri" w:eastAsia="Times New Roman" w:hAnsi="Calibri" w:cs="Calibri"/>
                <w:color w:val="FF0000"/>
              </w:rPr>
              <w:t> </w:t>
            </w:r>
          </w:p>
        </w:tc>
        <w:tc>
          <w:tcPr>
            <w:tcW w:w="1342" w:type="dxa"/>
            <w:tcBorders>
              <w:top w:val="nil"/>
              <w:left w:val="nil"/>
              <w:bottom w:val="nil"/>
              <w:right w:val="nil"/>
            </w:tcBorders>
            <w:shd w:val="clear" w:color="000000" w:fill="FFFFFF"/>
            <w:noWrap/>
            <w:vAlign w:val="bottom"/>
            <w:hideMark/>
          </w:tcPr>
          <w:p w14:paraId="37D37014" w14:textId="77777777" w:rsidR="001B6918" w:rsidRPr="008B7CEE" w:rsidRDefault="001B6918" w:rsidP="00730ECF">
            <w:pPr>
              <w:jc w:val="right"/>
              <w:rPr>
                <w:rFonts w:ascii="Calibri" w:eastAsia="Times New Roman" w:hAnsi="Calibri" w:cs="Calibri"/>
                <w:color w:val="FF0000"/>
              </w:rPr>
            </w:pPr>
            <w:r w:rsidRPr="008B7CEE">
              <w:rPr>
                <w:rFonts w:ascii="Calibri" w:eastAsia="Times New Roman" w:hAnsi="Calibri" w:cs="Calibri"/>
                <w:color w:val="FF0000"/>
              </w:rPr>
              <w:t> </w:t>
            </w:r>
          </w:p>
        </w:tc>
        <w:tc>
          <w:tcPr>
            <w:tcW w:w="1119" w:type="dxa"/>
            <w:tcBorders>
              <w:top w:val="nil"/>
              <w:left w:val="nil"/>
              <w:bottom w:val="nil"/>
              <w:right w:val="nil"/>
            </w:tcBorders>
            <w:shd w:val="clear" w:color="000000" w:fill="FFFFFF"/>
            <w:noWrap/>
            <w:vAlign w:val="bottom"/>
            <w:hideMark/>
          </w:tcPr>
          <w:p w14:paraId="457F7A45" w14:textId="77777777" w:rsidR="001B6918" w:rsidRPr="005D0729" w:rsidRDefault="001B6918" w:rsidP="00730ECF">
            <w:pPr>
              <w:jc w:val="right"/>
              <w:rPr>
                <w:rFonts w:ascii="Calibri" w:eastAsia="Times New Roman" w:hAnsi="Calibri" w:cs="Calibri"/>
                <w:color w:val="0D0D0D"/>
              </w:rPr>
            </w:pPr>
            <w:r w:rsidRPr="005D0729">
              <w:rPr>
                <w:rFonts w:ascii="Calibri" w:eastAsia="Times New Roman" w:hAnsi="Calibri" w:cs="Calibri"/>
                <w:color w:val="0D0D0D"/>
              </w:rPr>
              <w:t> </w:t>
            </w:r>
          </w:p>
        </w:tc>
      </w:tr>
      <w:tr w:rsidR="001B6918" w:rsidRPr="005D0729" w14:paraId="56780A6F" w14:textId="77777777" w:rsidTr="00730ECF">
        <w:trPr>
          <w:trHeight w:val="198"/>
          <w:jc w:val="center"/>
        </w:trPr>
        <w:tc>
          <w:tcPr>
            <w:tcW w:w="3960" w:type="dxa"/>
            <w:tcBorders>
              <w:top w:val="nil"/>
              <w:left w:val="nil"/>
              <w:bottom w:val="nil"/>
              <w:right w:val="nil"/>
            </w:tcBorders>
            <w:shd w:val="clear" w:color="000000" w:fill="FFFFFF"/>
            <w:noWrap/>
            <w:vAlign w:val="bottom"/>
            <w:hideMark/>
          </w:tcPr>
          <w:p w14:paraId="16DF3BB9" w14:textId="77777777" w:rsidR="001B6918" w:rsidRPr="005D0729" w:rsidRDefault="001B6918" w:rsidP="00730ECF">
            <w:pPr>
              <w:ind w:firstLineChars="100" w:firstLine="220"/>
              <w:rPr>
                <w:rFonts w:ascii="Calibri" w:eastAsia="Times New Roman" w:hAnsi="Calibri" w:cs="Calibri"/>
                <w:color w:val="0D0D0D"/>
              </w:rPr>
            </w:pPr>
            <w:r w:rsidRPr="005D0729">
              <w:rPr>
                <w:rFonts w:ascii="Calibri" w:eastAsia="Times New Roman" w:hAnsi="Calibri" w:cs="Calibri"/>
                <w:color w:val="0D0D0D"/>
              </w:rPr>
              <w:t>Land improvements</w:t>
            </w:r>
          </w:p>
        </w:tc>
        <w:tc>
          <w:tcPr>
            <w:tcW w:w="1218" w:type="dxa"/>
            <w:tcBorders>
              <w:top w:val="nil"/>
              <w:left w:val="nil"/>
              <w:bottom w:val="nil"/>
              <w:right w:val="nil"/>
            </w:tcBorders>
            <w:shd w:val="clear" w:color="000000" w:fill="FFFFFF"/>
            <w:noWrap/>
            <w:hideMark/>
          </w:tcPr>
          <w:p w14:paraId="0D02F8FC" w14:textId="77777777" w:rsidR="001B6918" w:rsidRPr="005D0729" w:rsidRDefault="001B6918" w:rsidP="00730ECF">
            <w:pPr>
              <w:jc w:val="right"/>
              <w:rPr>
                <w:rFonts w:ascii="Calibri" w:eastAsia="Times New Roman" w:hAnsi="Calibri" w:cs="Calibri"/>
                <w:color w:val="0D0D0D"/>
              </w:rPr>
            </w:pPr>
            <w:r w:rsidRPr="00C52817">
              <w:t xml:space="preserve"> 51,925 </w:t>
            </w:r>
          </w:p>
        </w:tc>
        <w:tc>
          <w:tcPr>
            <w:tcW w:w="1094" w:type="dxa"/>
            <w:tcBorders>
              <w:top w:val="nil"/>
              <w:left w:val="nil"/>
              <w:bottom w:val="nil"/>
              <w:right w:val="nil"/>
            </w:tcBorders>
            <w:shd w:val="clear" w:color="000000" w:fill="FFFFFF"/>
            <w:noWrap/>
            <w:hideMark/>
          </w:tcPr>
          <w:p w14:paraId="461687AE" w14:textId="77777777" w:rsidR="001B6918" w:rsidRPr="00992740" w:rsidRDefault="001B6918" w:rsidP="00730ECF">
            <w:pPr>
              <w:jc w:val="right"/>
              <w:rPr>
                <w:rFonts w:ascii="Calibri" w:eastAsia="Times New Roman" w:hAnsi="Calibri" w:cs="Calibri"/>
                <w:color w:val="FF0000"/>
              </w:rPr>
            </w:pPr>
            <w:r w:rsidRPr="00940E74">
              <w:t xml:space="preserve"> 2,703 </w:t>
            </w:r>
          </w:p>
        </w:tc>
        <w:tc>
          <w:tcPr>
            <w:tcW w:w="1820" w:type="dxa"/>
            <w:tcBorders>
              <w:top w:val="nil"/>
              <w:left w:val="nil"/>
              <w:bottom w:val="nil"/>
              <w:right w:val="nil"/>
            </w:tcBorders>
            <w:shd w:val="clear" w:color="000000" w:fill="FFFFFF"/>
            <w:noWrap/>
            <w:hideMark/>
          </w:tcPr>
          <w:p w14:paraId="695FF786" w14:textId="77777777" w:rsidR="001B6918" w:rsidRPr="00992740" w:rsidRDefault="001B6918" w:rsidP="00730ECF">
            <w:pPr>
              <w:jc w:val="right"/>
              <w:rPr>
                <w:rFonts w:ascii="Calibri" w:eastAsia="Times New Roman" w:hAnsi="Calibri" w:cs="Calibri"/>
                <w:color w:val="FF0000"/>
              </w:rPr>
            </w:pPr>
            <w:r w:rsidRPr="00940E74">
              <w:t xml:space="preserve"> - </w:t>
            </w:r>
          </w:p>
        </w:tc>
        <w:tc>
          <w:tcPr>
            <w:tcW w:w="1342" w:type="dxa"/>
            <w:tcBorders>
              <w:top w:val="nil"/>
              <w:left w:val="nil"/>
              <w:bottom w:val="nil"/>
              <w:right w:val="nil"/>
            </w:tcBorders>
            <w:shd w:val="clear" w:color="000000" w:fill="FFFFFF"/>
            <w:noWrap/>
            <w:hideMark/>
          </w:tcPr>
          <w:p w14:paraId="21A7BD4D" w14:textId="77777777" w:rsidR="001B6918" w:rsidRPr="00992740" w:rsidRDefault="001B6918" w:rsidP="00730ECF">
            <w:pPr>
              <w:jc w:val="right"/>
              <w:rPr>
                <w:rFonts w:ascii="Calibri" w:eastAsia="Times New Roman" w:hAnsi="Calibri" w:cs="Calibri"/>
                <w:color w:val="FF0000"/>
              </w:rPr>
            </w:pPr>
            <w:r w:rsidRPr="00940E74">
              <w:t xml:space="preserve"> - </w:t>
            </w:r>
          </w:p>
        </w:tc>
        <w:tc>
          <w:tcPr>
            <w:tcW w:w="1119" w:type="dxa"/>
            <w:tcBorders>
              <w:top w:val="nil"/>
              <w:left w:val="nil"/>
              <w:bottom w:val="nil"/>
              <w:right w:val="nil"/>
            </w:tcBorders>
            <w:shd w:val="clear" w:color="000000" w:fill="FFFFFF"/>
            <w:noWrap/>
            <w:hideMark/>
          </w:tcPr>
          <w:p w14:paraId="3B1602D9" w14:textId="77777777" w:rsidR="001B6918" w:rsidRPr="005D0729" w:rsidRDefault="001B6918" w:rsidP="00730ECF">
            <w:pPr>
              <w:jc w:val="right"/>
              <w:rPr>
                <w:rFonts w:ascii="Calibri" w:eastAsia="Times New Roman" w:hAnsi="Calibri" w:cs="Calibri"/>
                <w:color w:val="0D0D0D"/>
              </w:rPr>
            </w:pPr>
            <w:r w:rsidRPr="00940E74">
              <w:t xml:space="preserve"> 54,628 </w:t>
            </w:r>
          </w:p>
        </w:tc>
      </w:tr>
      <w:tr w:rsidR="001B6918" w:rsidRPr="005D0729" w14:paraId="2DC4F021" w14:textId="77777777" w:rsidTr="00730ECF">
        <w:trPr>
          <w:trHeight w:val="198"/>
          <w:jc w:val="center"/>
        </w:trPr>
        <w:tc>
          <w:tcPr>
            <w:tcW w:w="3960" w:type="dxa"/>
            <w:tcBorders>
              <w:top w:val="nil"/>
              <w:left w:val="nil"/>
              <w:bottom w:val="nil"/>
              <w:right w:val="nil"/>
            </w:tcBorders>
            <w:shd w:val="clear" w:color="000000" w:fill="FFFFFF"/>
            <w:noWrap/>
            <w:vAlign w:val="bottom"/>
            <w:hideMark/>
          </w:tcPr>
          <w:p w14:paraId="563528BA" w14:textId="77777777" w:rsidR="001B6918" w:rsidRPr="005D0729" w:rsidRDefault="001B6918" w:rsidP="00730ECF">
            <w:pPr>
              <w:ind w:firstLineChars="100" w:firstLine="220"/>
              <w:rPr>
                <w:rFonts w:ascii="Calibri" w:eastAsia="Times New Roman" w:hAnsi="Calibri" w:cs="Calibri"/>
                <w:color w:val="0D0D0D"/>
              </w:rPr>
            </w:pPr>
            <w:r w:rsidRPr="005D0729">
              <w:rPr>
                <w:rFonts w:ascii="Calibri" w:eastAsia="Times New Roman" w:hAnsi="Calibri" w:cs="Calibri"/>
                <w:color w:val="0D0D0D"/>
              </w:rPr>
              <w:t>Buildings &amp; improvements</w:t>
            </w:r>
          </w:p>
        </w:tc>
        <w:tc>
          <w:tcPr>
            <w:tcW w:w="1218" w:type="dxa"/>
            <w:tcBorders>
              <w:top w:val="nil"/>
              <w:left w:val="nil"/>
              <w:bottom w:val="nil"/>
              <w:right w:val="nil"/>
            </w:tcBorders>
            <w:noWrap/>
            <w:hideMark/>
          </w:tcPr>
          <w:p w14:paraId="506850B2" w14:textId="77777777" w:rsidR="001B6918" w:rsidRPr="005D0729" w:rsidRDefault="001B6918" w:rsidP="00730ECF">
            <w:pPr>
              <w:jc w:val="right"/>
              <w:rPr>
                <w:rFonts w:ascii="Calibri" w:eastAsia="Times New Roman" w:hAnsi="Calibri" w:cs="Calibri"/>
                <w:color w:val="0D0D0D"/>
              </w:rPr>
            </w:pPr>
            <w:r w:rsidRPr="00C52817">
              <w:t xml:space="preserve"> 528,481 </w:t>
            </w:r>
          </w:p>
        </w:tc>
        <w:tc>
          <w:tcPr>
            <w:tcW w:w="1094" w:type="dxa"/>
            <w:tcBorders>
              <w:top w:val="nil"/>
              <w:left w:val="nil"/>
              <w:bottom w:val="nil"/>
              <w:right w:val="nil"/>
            </w:tcBorders>
            <w:shd w:val="clear" w:color="000000" w:fill="FFFFFF"/>
            <w:noWrap/>
            <w:hideMark/>
          </w:tcPr>
          <w:p w14:paraId="4CEC906F" w14:textId="77777777" w:rsidR="001B6918" w:rsidRPr="00992740" w:rsidRDefault="001B6918" w:rsidP="00730ECF">
            <w:pPr>
              <w:jc w:val="right"/>
              <w:rPr>
                <w:rFonts w:ascii="Calibri" w:eastAsia="Times New Roman" w:hAnsi="Calibri" w:cs="Calibri"/>
                <w:color w:val="FF0000"/>
              </w:rPr>
            </w:pPr>
            <w:r w:rsidRPr="00940E74">
              <w:t xml:space="preserve"> 39,273 </w:t>
            </w:r>
          </w:p>
        </w:tc>
        <w:tc>
          <w:tcPr>
            <w:tcW w:w="1820" w:type="dxa"/>
            <w:tcBorders>
              <w:top w:val="nil"/>
              <w:left w:val="nil"/>
              <w:bottom w:val="nil"/>
              <w:right w:val="nil"/>
            </w:tcBorders>
            <w:shd w:val="clear" w:color="000000" w:fill="FFFFFF"/>
            <w:noWrap/>
            <w:hideMark/>
          </w:tcPr>
          <w:p w14:paraId="2A6DCF03" w14:textId="77777777" w:rsidR="001B6918" w:rsidRPr="00992740" w:rsidRDefault="001B6918" w:rsidP="00730ECF">
            <w:pPr>
              <w:jc w:val="right"/>
              <w:rPr>
                <w:rFonts w:ascii="Calibri" w:eastAsia="Times New Roman" w:hAnsi="Calibri" w:cs="Calibri"/>
                <w:color w:val="FF0000"/>
              </w:rPr>
            </w:pPr>
            <w:r w:rsidRPr="00940E74">
              <w:t xml:space="preserve"> - </w:t>
            </w:r>
          </w:p>
        </w:tc>
        <w:tc>
          <w:tcPr>
            <w:tcW w:w="1342" w:type="dxa"/>
            <w:tcBorders>
              <w:top w:val="nil"/>
              <w:left w:val="nil"/>
              <w:bottom w:val="nil"/>
              <w:right w:val="nil"/>
            </w:tcBorders>
            <w:shd w:val="clear" w:color="000000" w:fill="FFFFFF"/>
            <w:noWrap/>
            <w:hideMark/>
          </w:tcPr>
          <w:p w14:paraId="51AB7404" w14:textId="77777777" w:rsidR="001B6918" w:rsidRPr="00992740" w:rsidRDefault="001B6918" w:rsidP="00730ECF">
            <w:pPr>
              <w:jc w:val="right"/>
              <w:rPr>
                <w:rFonts w:ascii="Calibri" w:eastAsia="Times New Roman" w:hAnsi="Calibri" w:cs="Calibri"/>
                <w:color w:val="FF0000"/>
              </w:rPr>
            </w:pPr>
            <w:r w:rsidRPr="00940E74">
              <w:t xml:space="preserve"> (1,849)</w:t>
            </w:r>
          </w:p>
        </w:tc>
        <w:tc>
          <w:tcPr>
            <w:tcW w:w="1119" w:type="dxa"/>
            <w:tcBorders>
              <w:top w:val="nil"/>
              <w:left w:val="nil"/>
              <w:bottom w:val="nil"/>
              <w:right w:val="nil"/>
            </w:tcBorders>
            <w:noWrap/>
            <w:hideMark/>
          </w:tcPr>
          <w:p w14:paraId="398E93B2" w14:textId="77777777" w:rsidR="001B6918" w:rsidRPr="005D0729" w:rsidRDefault="001B6918" w:rsidP="00730ECF">
            <w:pPr>
              <w:jc w:val="right"/>
              <w:rPr>
                <w:rFonts w:ascii="Calibri" w:eastAsia="Times New Roman" w:hAnsi="Calibri" w:cs="Calibri"/>
                <w:color w:val="0D0D0D"/>
              </w:rPr>
            </w:pPr>
            <w:r w:rsidRPr="00940E74">
              <w:t xml:space="preserve"> 565,905 </w:t>
            </w:r>
          </w:p>
        </w:tc>
      </w:tr>
      <w:tr w:rsidR="001B6918" w:rsidRPr="005D0729" w14:paraId="10536C94" w14:textId="77777777" w:rsidTr="00730ECF">
        <w:trPr>
          <w:trHeight w:val="198"/>
          <w:jc w:val="center"/>
        </w:trPr>
        <w:tc>
          <w:tcPr>
            <w:tcW w:w="3960" w:type="dxa"/>
            <w:tcBorders>
              <w:top w:val="nil"/>
              <w:left w:val="nil"/>
              <w:bottom w:val="nil"/>
              <w:right w:val="nil"/>
            </w:tcBorders>
            <w:shd w:val="clear" w:color="000000" w:fill="FFFFFF"/>
            <w:noWrap/>
            <w:vAlign w:val="bottom"/>
            <w:hideMark/>
          </w:tcPr>
          <w:p w14:paraId="773CDB01" w14:textId="77777777" w:rsidR="001B6918" w:rsidRPr="005D0729" w:rsidRDefault="001B6918" w:rsidP="00730ECF">
            <w:pPr>
              <w:ind w:firstLineChars="100" w:firstLine="220"/>
              <w:rPr>
                <w:rFonts w:ascii="Calibri" w:eastAsia="Times New Roman" w:hAnsi="Calibri" w:cs="Calibri"/>
                <w:color w:val="0D0D0D"/>
              </w:rPr>
            </w:pPr>
            <w:r w:rsidRPr="005D0729">
              <w:rPr>
                <w:rFonts w:ascii="Calibri" w:eastAsia="Times New Roman" w:hAnsi="Calibri" w:cs="Calibri"/>
                <w:color w:val="0D0D0D"/>
              </w:rPr>
              <w:t>Equipment</w:t>
            </w:r>
          </w:p>
        </w:tc>
        <w:tc>
          <w:tcPr>
            <w:tcW w:w="1218" w:type="dxa"/>
            <w:tcBorders>
              <w:top w:val="nil"/>
              <w:left w:val="nil"/>
              <w:bottom w:val="nil"/>
              <w:right w:val="nil"/>
            </w:tcBorders>
            <w:shd w:val="clear" w:color="000000" w:fill="FFFFFF"/>
            <w:noWrap/>
            <w:hideMark/>
          </w:tcPr>
          <w:p w14:paraId="74AABE54" w14:textId="77777777" w:rsidR="001B6918" w:rsidRPr="005D0729" w:rsidRDefault="001B6918" w:rsidP="00730ECF">
            <w:pPr>
              <w:jc w:val="right"/>
              <w:rPr>
                <w:rFonts w:ascii="Calibri" w:eastAsia="Times New Roman" w:hAnsi="Calibri" w:cs="Calibri"/>
              </w:rPr>
            </w:pPr>
            <w:r w:rsidRPr="00C52817">
              <w:t xml:space="preserve"> 147,043 </w:t>
            </w:r>
          </w:p>
        </w:tc>
        <w:tc>
          <w:tcPr>
            <w:tcW w:w="1094" w:type="dxa"/>
            <w:tcBorders>
              <w:top w:val="nil"/>
              <w:left w:val="nil"/>
              <w:bottom w:val="nil"/>
              <w:right w:val="nil"/>
            </w:tcBorders>
            <w:shd w:val="clear" w:color="000000" w:fill="FFFFFF"/>
            <w:noWrap/>
            <w:hideMark/>
          </w:tcPr>
          <w:p w14:paraId="55549E37" w14:textId="77777777" w:rsidR="001B6918" w:rsidRPr="00992740" w:rsidRDefault="001B6918" w:rsidP="00730ECF">
            <w:pPr>
              <w:jc w:val="right"/>
              <w:rPr>
                <w:rFonts w:ascii="Calibri" w:eastAsia="Times New Roman" w:hAnsi="Calibri" w:cs="Calibri"/>
                <w:color w:val="FF0000"/>
              </w:rPr>
            </w:pPr>
            <w:r w:rsidRPr="00940E74">
              <w:t xml:space="preserve"> 12,405 </w:t>
            </w:r>
          </w:p>
        </w:tc>
        <w:tc>
          <w:tcPr>
            <w:tcW w:w="1820" w:type="dxa"/>
            <w:tcBorders>
              <w:top w:val="nil"/>
              <w:left w:val="nil"/>
              <w:bottom w:val="nil"/>
              <w:right w:val="nil"/>
            </w:tcBorders>
            <w:shd w:val="clear" w:color="000000" w:fill="FFFFFF"/>
            <w:noWrap/>
            <w:hideMark/>
          </w:tcPr>
          <w:p w14:paraId="2A468E01" w14:textId="77777777" w:rsidR="001B6918" w:rsidRPr="00992740" w:rsidRDefault="001B6918" w:rsidP="00730ECF">
            <w:pPr>
              <w:jc w:val="right"/>
              <w:rPr>
                <w:rFonts w:ascii="Calibri" w:eastAsia="Times New Roman" w:hAnsi="Calibri" w:cs="Calibri"/>
                <w:color w:val="FF0000"/>
              </w:rPr>
            </w:pPr>
            <w:r w:rsidRPr="00940E74">
              <w:t xml:space="preserve"> - </w:t>
            </w:r>
          </w:p>
        </w:tc>
        <w:tc>
          <w:tcPr>
            <w:tcW w:w="1342" w:type="dxa"/>
            <w:tcBorders>
              <w:top w:val="nil"/>
              <w:left w:val="nil"/>
              <w:bottom w:val="nil"/>
              <w:right w:val="nil"/>
            </w:tcBorders>
            <w:shd w:val="clear" w:color="000000" w:fill="FFFFFF"/>
            <w:noWrap/>
            <w:hideMark/>
          </w:tcPr>
          <w:p w14:paraId="6FC29706" w14:textId="77777777" w:rsidR="001B6918" w:rsidRPr="00992740" w:rsidRDefault="001B6918" w:rsidP="00730ECF">
            <w:pPr>
              <w:jc w:val="right"/>
              <w:rPr>
                <w:rFonts w:ascii="Calibri" w:eastAsia="Times New Roman" w:hAnsi="Calibri" w:cs="Calibri"/>
                <w:color w:val="FF0000"/>
              </w:rPr>
            </w:pPr>
            <w:r w:rsidRPr="00940E74">
              <w:t xml:space="preserve"> (10,555)</w:t>
            </w:r>
          </w:p>
        </w:tc>
        <w:tc>
          <w:tcPr>
            <w:tcW w:w="1119" w:type="dxa"/>
            <w:tcBorders>
              <w:top w:val="nil"/>
              <w:left w:val="nil"/>
              <w:bottom w:val="nil"/>
              <w:right w:val="nil"/>
            </w:tcBorders>
            <w:shd w:val="clear" w:color="000000" w:fill="FFFFFF"/>
            <w:noWrap/>
            <w:hideMark/>
          </w:tcPr>
          <w:p w14:paraId="1728B925" w14:textId="77777777" w:rsidR="001B6918" w:rsidRPr="005D0729" w:rsidRDefault="001B6918" w:rsidP="00730ECF">
            <w:pPr>
              <w:jc w:val="right"/>
              <w:rPr>
                <w:rFonts w:ascii="Calibri" w:eastAsia="Times New Roman" w:hAnsi="Calibri" w:cs="Calibri"/>
                <w:color w:val="0D0D0D"/>
              </w:rPr>
            </w:pPr>
            <w:r w:rsidRPr="00940E74">
              <w:t xml:space="preserve"> 148,893 </w:t>
            </w:r>
          </w:p>
        </w:tc>
      </w:tr>
      <w:tr w:rsidR="001B6918" w:rsidRPr="005D0729" w14:paraId="54B1B988" w14:textId="77777777" w:rsidTr="00730ECF">
        <w:trPr>
          <w:trHeight w:val="198"/>
          <w:jc w:val="center"/>
        </w:trPr>
        <w:tc>
          <w:tcPr>
            <w:tcW w:w="3960" w:type="dxa"/>
            <w:tcBorders>
              <w:top w:val="nil"/>
              <w:left w:val="nil"/>
              <w:bottom w:val="nil"/>
              <w:right w:val="nil"/>
            </w:tcBorders>
            <w:shd w:val="clear" w:color="000000" w:fill="FFFFFF"/>
            <w:noWrap/>
            <w:vAlign w:val="bottom"/>
            <w:hideMark/>
          </w:tcPr>
          <w:p w14:paraId="6B791CB7" w14:textId="77777777" w:rsidR="001B6918" w:rsidRPr="005D0729" w:rsidRDefault="001B6918" w:rsidP="00730ECF">
            <w:pPr>
              <w:ind w:firstLineChars="100" w:firstLine="220"/>
              <w:rPr>
                <w:rFonts w:ascii="Calibri" w:eastAsia="Times New Roman" w:hAnsi="Calibri" w:cs="Calibri"/>
                <w:color w:val="0D0D0D"/>
              </w:rPr>
            </w:pPr>
            <w:r w:rsidRPr="005D0729">
              <w:rPr>
                <w:rFonts w:ascii="Calibri" w:eastAsia="Times New Roman" w:hAnsi="Calibri" w:cs="Calibri"/>
                <w:color w:val="0D0D0D"/>
              </w:rPr>
              <w:t>Software</w:t>
            </w:r>
          </w:p>
        </w:tc>
        <w:tc>
          <w:tcPr>
            <w:tcW w:w="1218" w:type="dxa"/>
            <w:tcBorders>
              <w:top w:val="nil"/>
              <w:left w:val="nil"/>
              <w:bottom w:val="nil"/>
              <w:right w:val="nil"/>
            </w:tcBorders>
            <w:shd w:val="clear" w:color="000000" w:fill="FFFFFF"/>
            <w:noWrap/>
            <w:hideMark/>
          </w:tcPr>
          <w:p w14:paraId="204F861A" w14:textId="77777777" w:rsidR="001B6918" w:rsidRPr="005D0729" w:rsidRDefault="001B6918" w:rsidP="00730ECF">
            <w:pPr>
              <w:jc w:val="right"/>
              <w:rPr>
                <w:rFonts w:ascii="Calibri" w:eastAsia="Times New Roman" w:hAnsi="Calibri" w:cs="Calibri"/>
                <w:color w:val="000000"/>
              </w:rPr>
            </w:pPr>
            <w:r w:rsidRPr="00C52817">
              <w:t xml:space="preserve"> 30,740 </w:t>
            </w:r>
          </w:p>
        </w:tc>
        <w:tc>
          <w:tcPr>
            <w:tcW w:w="1094" w:type="dxa"/>
            <w:tcBorders>
              <w:top w:val="nil"/>
              <w:left w:val="nil"/>
              <w:bottom w:val="nil"/>
              <w:right w:val="nil"/>
            </w:tcBorders>
            <w:shd w:val="clear" w:color="000000" w:fill="FFFFFF"/>
            <w:noWrap/>
            <w:hideMark/>
          </w:tcPr>
          <w:p w14:paraId="25D86365" w14:textId="77777777" w:rsidR="001B6918" w:rsidRPr="00992740" w:rsidRDefault="001B6918" w:rsidP="00730ECF">
            <w:pPr>
              <w:jc w:val="right"/>
              <w:rPr>
                <w:rFonts w:ascii="Calibri" w:eastAsia="Times New Roman" w:hAnsi="Calibri" w:cs="Calibri"/>
                <w:color w:val="FF0000"/>
              </w:rPr>
            </w:pPr>
            <w:r w:rsidRPr="00940E74">
              <w:t xml:space="preserve"> 97 </w:t>
            </w:r>
          </w:p>
        </w:tc>
        <w:tc>
          <w:tcPr>
            <w:tcW w:w="1820" w:type="dxa"/>
            <w:tcBorders>
              <w:top w:val="nil"/>
              <w:left w:val="nil"/>
              <w:bottom w:val="nil"/>
              <w:right w:val="nil"/>
            </w:tcBorders>
            <w:shd w:val="clear" w:color="000000" w:fill="FFFFFF"/>
            <w:noWrap/>
            <w:hideMark/>
          </w:tcPr>
          <w:p w14:paraId="7969EC42" w14:textId="77777777" w:rsidR="001B6918" w:rsidRPr="00992740" w:rsidRDefault="001B6918" w:rsidP="00730ECF">
            <w:pPr>
              <w:jc w:val="right"/>
              <w:rPr>
                <w:rFonts w:ascii="Calibri" w:eastAsia="Times New Roman" w:hAnsi="Calibri" w:cs="Calibri"/>
                <w:color w:val="FF0000"/>
              </w:rPr>
            </w:pPr>
            <w:r w:rsidRPr="00940E74">
              <w:t xml:space="preserve"> - </w:t>
            </w:r>
          </w:p>
        </w:tc>
        <w:tc>
          <w:tcPr>
            <w:tcW w:w="1342" w:type="dxa"/>
            <w:tcBorders>
              <w:top w:val="nil"/>
              <w:left w:val="nil"/>
              <w:bottom w:val="nil"/>
              <w:right w:val="nil"/>
            </w:tcBorders>
            <w:shd w:val="clear" w:color="000000" w:fill="FFFFFF"/>
            <w:noWrap/>
            <w:hideMark/>
          </w:tcPr>
          <w:p w14:paraId="6F99A69F" w14:textId="77777777" w:rsidR="001B6918" w:rsidRPr="00992740" w:rsidRDefault="001B6918" w:rsidP="00730ECF">
            <w:pPr>
              <w:jc w:val="right"/>
              <w:rPr>
                <w:rFonts w:ascii="Calibri" w:eastAsia="Times New Roman" w:hAnsi="Calibri" w:cs="Calibri"/>
                <w:color w:val="FF0000"/>
              </w:rPr>
            </w:pPr>
            <w:r w:rsidRPr="00940E74">
              <w:t xml:space="preserve"> (962)</w:t>
            </w:r>
          </w:p>
        </w:tc>
        <w:tc>
          <w:tcPr>
            <w:tcW w:w="1119" w:type="dxa"/>
            <w:tcBorders>
              <w:top w:val="nil"/>
              <w:left w:val="nil"/>
              <w:bottom w:val="nil"/>
              <w:right w:val="nil"/>
            </w:tcBorders>
            <w:shd w:val="clear" w:color="000000" w:fill="FFFFFF"/>
            <w:noWrap/>
            <w:hideMark/>
          </w:tcPr>
          <w:p w14:paraId="749A0B55" w14:textId="77777777" w:rsidR="001B6918" w:rsidRPr="005D0729" w:rsidRDefault="001B6918" w:rsidP="00730ECF">
            <w:pPr>
              <w:jc w:val="right"/>
              <w:rPr>
                <w:rFonts w:ascii="Calibri" w:eastAsia="Times New Roman" w:hAnsi="Calibri" w:cs="Calibri"/>
                <w:color w:val="0D0D0D"/>
              </w:rPr>
            </w:pPr>
            <w:r w:rsidRPr="00940E74">
              <w:t xml:space="preserve"> 29,875 </w:t>
            </w:r>
          </w:p>
        </w:tc>
      </w:tr>
      <w:tr w:rsidR="001B6918" w:rsidRPr="005D0729" w14:paraId="1011BEC5" w14:textId="77777777" w:rsidTr="00730ECF">
        <w:trPr>
          <w:trHeight w:val="153"/>
          <w:jc w:val="center"/>
        </w:trPr>
        <w:tc>
          <w:tcPr>
            <w:tcW w:w="3960" w:type="dxa"/>
            <w:tcBorders>
              <w:top w:val="nil"/>
              <w:left w:val="nil"/>
              <w:bottom w:val="nil"/>
              <w:right w:val="nil"/>
            </w:tcBorders>
            <w:shd w:val="clear" w:color="000000" w:fill="FFFFFF"/>
            <w:noWrap/>
            <w:vAlign w:val="bottom"/>
            <w:hideMark/>
          </w:tcPr>
          <w:p w14:paraId="412787C6" w14:textId="77777777" w:rsidR="001B6918" w:rsidRPr="005D0729" w:rsidRDefault="001B6918" w:rsidP="00730ECF">
            <w:pPr>
              <w:ind w:firstLineChars="100" w:firstLine="220"/>
              <w:rPr>
                <w:rFonts w:ascii="Calibri" w:eastAsia="Times New Roman" w:hAnsi="Calibri" w:cs="Calibri"/>
                <w:color w:val="0D0D0D"/>
              </w:rPr>
            </w:pPr>
            <w:r w:rsidRPr="005D0729">
              <w:rPr>
                <w:rFonts w:ascii="Calibri" w:eastAsia="Times New Roman" w:hAnsi="Calibri" w:cs="Calibri"/>
                <w:color w:val="0D0D0D"/>
              </w:rPr>
              <w:t>Right-to-use assets, buildings (Note 7)</w:t>
            </w:r>
          </w:p>
        </w:tc>
        <w:tc>
          <w:tcPr>
            <w:tcW w:w="1218" w:type="dxa"/>
            <w:tcBorders>
              <w:top w:val="nil"/>
              <w:left w:val="nil"/>
              <w:bottom w:val="nil"/>
              <w:right w:val="nil"/>
            </w:tcBorders>
            <w:shd w:val="clear" w:color="000000" w:fill="FFFFFF"/>
            <w:noWrap/>
            <w:hideMark/>
          </w:tcPr>
          <w:p w14:paraId="249089F4" w14:textId="77777777" w:rsidR="001B6918" w:rsidRPr="005D0729" w:rsidRDefault="001B6918" w:rsidP="00730ECF">
            <w:pPr>
              <w:jc w:val="right"/>
              <w:rPr>
                <w:rFonts w:ascii="Calibri" w:eastAsia="Times New Roman" w:hAnsi="Calibri" w:cs="Calibri"/>
                <w:color w:val="000000"/>
              </w:rPr>
            </w:pPr>
            <w:r w:rsidRPr="00C52817">
              <w:t xml:space="preserve"> 9,838 </w:t>
            </w:r>
          </w:p>
        </w:tc>
        <w:tc>
          <w:tcPr>
            <w:tcW w:w="1094" w:type="dxa"/>
            <w:tcBorders>
              <w:top w:val="nil"/>
              <w:left w:val="nil"/>
              <w:bottom w:val="nil"/>
              <w:right w:val="nil"/>
            </w:tcBorders>
            <w:shd w:val="clear" w:color="000000" w:fill="FFFFFF"/>
            <w:noWrap/>
            <w:hideMark/>
          </w:tcPr>
          <w:p w14:paraId="58091301" w14:textId="77777777" w:rsidR="001B6918" w:rsidRPr="00992740" w:rsidRDefault="001B6918" w:rsidP="00730ECF">
            <w:pPr>
              <w:jc w:val="right"/>
              <w:rPr>
                <w:rFonts w:ascii="Calibri" w:eastAsia="Times New Roman" w:hAnsi="Calibri" w:cs="Calibri"/>
                <w:color w:val="FF0000"/>
              </w:rPr>
            </w:pPr>
            <w:r w:rsidRPr="00940E74">
              <w:t xml:space="preserve"> 3,618 </w:t>
            </w:r>
          </w:p>
        </w:tc>
        <w:tc>
          <w:tcPr>
            <w:tcW w:w="1820" w:type="dxa"/>
            <w:tcBorders>
              <w:top w:val="nil"/>
              <w:left w:val="nil"/>
              <w:bottom w:val="nil"/>
              <w:right w:val="nil"/>
            </w:tcBorders>
            <w:shd w:val="clear" w:color="000000" w:fill="FFFFFF"/>
            <w:noWrap/>
            <w:hideMark/>
          </w:tcPr>
          <w:p w14:paraId="6F2B047F" w14:textId="77777777" w:rsidR="001B6918" w:rsidRPr="00992740" w:rsidRDefault="001B6918" w:rsidP="00730ECF">
            <w:pPr>
              <w:jc w:val="right"/>
              <w:rPr>
                <w:rFonts w:ascii="Calibri" w:eastAsia="Times New Roman" w:hAnsi="Calibri" w:cs="Calibri"/>
                <w:color w:val="FF0000"/>
              </w:rPr>
            </w:pPr>
            <w:r w:rsidRPr="00940E74">
              <w:t xml:space="preserve"> - </w:t>
            </w:r>
          </w:p>
        </w:tc>
        <w:tc>
          <w:tcPr>
            <w:tcW w:w="1342" w:type="dxa"/>
            <w:tcBorders>
              <w:top w:val="nil"/>
              <w:left w:val="nil"/>
              <w:bottom w:val="nil"/>
              <w:right w:val="nil"/>
            </w:tcBorders>
            <w:shd w:val="clear" w:color="000000" w:fill="FFFFFF"/>
            <w:noWrap/>
            <w:hideMark/>
          </w:tcPr>
          <w:p w14:paraId="605874FF" w14:textId="77777777" w:rsidR="001B6918" w:rsidRPr="00992740" w:rsidRDefault="001B6918" w:rsidP="00730ECF">
            <w:pPr>
              <w:jc w:val="right"/>
              <w:rPr>
                <w:rFonts w:ascii="Calibri" w:eastAsia="Times New Roman" w:hAnsi="Calibri" w:cs="Calibri"/>
                <w:color w:val="FF0000"/>
              </w:rPr>
            </w:pPr>
            <w:r w:rsidRPr="00940E74">
              <w:t xml:space="preserve"> - </w:t>
            </w:r>
          </w:p>
        </w:tc>
        <w:tc>
          <w:tcPr>
            <w:tcW w:w="1119" w:type="dxa"/>
            <w:tcBorders>
              <w:top w:val="nil"/>
              <w:left w:val="nil"/>
              <w:bottom w:val="nil"/>
              <w:right w:val="nil"/>
            </w:tcBorders>
            <w:shd w:val="clear" w:color="000000" w:fill="FFFFFF"/>
            <w:noWrap/>
            <w:hideMark/>
          </w:tcPr>
          <w:p w14:paraId="3C8D3407" w14:textId="77777777" w:rsidR="001B6918" w:rsidRPr="005D0729" w:rsidRDefault="001B6918" w:rsidP="00730ECF">
            <w:pPr>
              <w:jc w:val="right"/>
              <w:rPr>
                <w:rFonts w:ascii="Calibri" w:eastAsia="Times New Roman" w:hAnsi="Calibri" w:cs="Calibri"/>
                <w:color w:val="0D0D0D"/>
              </w:rPr>
            </w:pPr>
            <w:r w:rsidRPr="00940E74">
              <w:t xml:space="preserve"> 13,456 </w:t>
            </w:r>
          </w:p>
        </w:tc>
      </w:tr>
      <w:tr w:rsidR="001B6918" w:rsidRPr="005D0729" w14:paraId="195C525E" w14:textId="77777777" w:rsidTr="00730ECF">
        <w:trPr>
          <w:trHeight w:val="80"/>
          <w:jc w:val="center"/>
        </w:trPr>
        <w:tc>
          <w:tcPr>
            <w:tcW w:w="3960" w:type="dxa"/>
            <w:tcBorders>
              <w:top w:val="nil"/>
              <w:left w:val="nil"/>
              <w:bottom w:val="nil"/>
              <w:right w:val="nil"/>
            </w:tcBorders>
            <w:shd w:val="clear" w:color="000000" w:fill="FFFFFF"/>
            <w:noWrap/>
            <w:vAlign w:val="bottom"/>
            <w:hideMark/>
          </w:tcPr>
          <w:p w14:paraId="13D05752" w14:textId="77777777" w:rsidR="001B6918" w:rsidRPr="005D0729" w:rsidRDefault="001B6918" w:rsidP="00730ECF">
            <w:pPr>
              <w:ind w:firstLineChars="100" w:firstLine="220"/>
              <w:rPr>
                <w:rFonts w:ascii="Calibri" w:eastAsia="Times New Roman" w:hAnsi="Calibri" w:cs="Calibri"/>
                <w:color w:val="0D0D0D"/>
              </w:rPr>
            </w:pPr>
            <w:r w:rsidRPr="005D0729">
              <w:rPr>
                <w:rFonts w:ascii="Calibri" w:eastAsia="Times New Roman" w:hAnsi="Calibri" w:cs="Calibri"/>
                <w:color w:val="0D0D0D"/>
              </w:rPr>
              <w:t>Subscription based IT arrangements</w:t>
            </w:r>
          </w:p>
        </w:tc>
        <w:tc>
          <w:tcPr>
            <w:tcW w:w="1218" w:type="dxa"/>
            <w:tcBorders>
              <w:top w:val="nil"/>
              <w:left w:val="nil"/>
              <w:bottom w:val="nil"/>
              <w:right w:val="nil"/>
            </w:tcBorders>
            <w:shd w:val="clear" w:color="000000" w:fill="FFFFFF"/>
            <w:noWrap/>
            <w:hideMark/>
          </w:tcPr>
          <w:p w14:paraId="3AB2B0C4" w14:textId="77777777" w:rsidR="001B6918" w:rsidRPr="005D0729" w:rsidRDefault="001B6918" w:rsidP="00730ECF">
            <w:pPr>
              <w:jc w:val="right"/>
              <w:rPr>
                <w:rFonts w:ascii="Calibri" w:eastAsia="Times New Roman" w:hAnsi="Calibri" w:cs="Calibri"/>
                <w:color w:val="000000"/>
              </w:rPr>
            </w:pPr>
            <w:r w:rsidRPr="00C52817">
              <w:t xml:space="preserve"> 11,035 </w:t>
            </w:r>
          </w:p>
        </w:tc>
        <w:tc>
          <w:tcPr>
            <w:tcW w:w="1094" w:type="dxa"/>
            <w:tcBorders>
              <w:top w:val="nil"/>
              <w:left w:val="nil"/>
              <w:bottom w:val="nil"/>
              <w:right w:val="nil"/>
            </w:tcBorders>
            <w:shd w:val="clear" w:color="000000" w:fill="FFFFFF"/>
            <w:noWrap/>
            <w:hideMark/>
          </w:tcPr>
          <w:p w14:paraId="74343015" w14:textId="77777777" w:rsidR="001B6918" w:rsidRPr="00992740" w:rsidRDefault="001B6918" w:rsidP="00730ECF">
            <w:pPr>
              <w:jc w:val="right"/>
              <w:rPr>
                <w:rFonts w:ascii="Calibri" w:eastAsia="Times New Roman" w:hAnsi="Calibri" w:cs="Calibri"/>
                <w:color w:val="FF0000"/>
              </w:rPr>
            </w:pPr>
            <w:r w:rsidRPr="00940E74">
              <w:t xml:space="preserve"> 5,385 </w:t>
            </w:r>
          </w:p>
        </w:tc>
        <w:tc>
          <w:tcPr>
            <w:tcW w:w="1820" w:type="dxa"/>
            <w:tcBorders>
              <w:top w:val="nil"/>
              <w:left w:val="nil"/>
              <w:bottom w:val="nil"/>
              <w:right w:val="nil"/>
            </w:tcBorders>
            <w:shd w:val="clear" w:color="000000" w:fill="FFFFFF"/>
            <w:noWrap/>
            <w:hideMark/>
          </w:tcPr>
          <w:p w14:paraId="11259084" w14:textId="77777777" w:rsidR="001B6918" w:rsidRPr="00992740" w:rsidRDefault="001B6918" w:rsidP="00730ECF">
            <w:pPr>
              <w:jc w:val="right"/>
              <w:rPr>
                <w:rFonts w:ascii="Calibri" w:eastAsia="Times New Roman" w:hAnsi="Calibri" w:cs="Calibri"/>
                <w:color w:val="FF0000"/>
              </w:rPr>
            </w:pPr>
            <w:r w:rsidRPr="00940E74">
              <w:t xml:space="preserve"> - </w:t>
            </w:r>
          </w:p>
        </w:tc>
        <w:tc>
          <w:tcPr>
            <w:tcW w:w="1342" w:type="dxa"/>
            <w:tcBorders>
              <w:top w:val="nil"/>
              <w:left w:val="nil"/>
              <w:bottom w:val="nil"/>
              <w:right w:val="nil"/>
            </w:tcBorders>
            <w:shd w:val="clear" w:color="000000" w:fill="FFFFFF"/>
            <w:noWrap/>
            <w:hideMark/>
          </w:tcPr>
          <w:p w14:paraId="6925C73B" w14:textId="77777777" w:rsidR="001B6918" w:rsidRPr="00992740" w:rsidRDefault="001B6918" w:rsidP="00730ECF">
            <w:pPr>
              <w:jc w:val="right"/>
              <w:rPr>
                <w:rFonts w:ascii="Calibri" w:eastAsia="Times New Roman" w:hAnsi="Calibri" w:cs="Calibri"/>
                <w:color w:val="FF0000"/>
              </w:rPr>
            </w:pPr>
            <w:r w:rsidRPr="00940E74">
              <w:t xml:space="preserve"> - </w:t>
            </w:r>
          </w:p>
        </w:tc>
        <w:tc>
          <w:tcPr>
            <w:tcW w:w="1119" w:type="dxa"/>
            <w:tcBorders>
              <w:top w:val="nil"/>
              <w:left w:val="nil"/>
              <w:bottom w:val="nil"/>
              <w:right w:val="nil"/>
            </w:tcBorders>
            <w:shd w:val="clear" w:color="000000" w:fill="FFFFFF"/>
            <w:noWrap/>
            <w:hideMark/>
          </w:tcPr>
          <w:p w14:paraId="695913DF" w14:textId="77777777" w:rsidR="001B6918" w:rsidRPr="005D0729" w:rsidRDefault="001B6918" w:rsidP="00730ECF">
            <w:pPr>
              <w:jc w:val="right"/>
              <w:rPr>
                <w:rFonts w:ascii="Calibri" w:eastAsia="Times New Roman" w:hAnsi="Calibri" w:cs="Calibri"/>
                <w:color w:val="0D0D0D"/>
              </w:rPr>
            </w:pPr>
            <w:r w:rsidRPr="00940E74">
              <w:t xml:space="preserve"> 16,420 </w:t>
            </w:r>
          </w:p>
        </w:tc>
      </w:tr>
      <w:tr w:rsidR="001B6918" w:rsidRPr="005D0729" w14:paraId="7B08E6D2" w14:textId="77777777" w:rsidTr="00730ECF">
        <w:trPr>
          <w:trHeight w:val="188"/>
          <w:jc w:val="center"/>
        </w:trPr>
        <w:tc>
          <w:tcPr>
            <w:tcW w:w="3960" w:type="dxa"/>
            <w:tcBorders>
              <w:top w:val="single" w:sz="4" w:space="0" w:color="000000"/>
              <w:left w:val="nil"/>
              <w:bottom w:val="single" w:sz="4" w:space="0" w:color="000000"/>
              <w:right w:val="nil"/>
            </w:tcBorders>
            <w:shd w:val="clear" w:color="000000" w:fill="FFFFFF"/>
            <w:noWrap/>
            <w:vAlign w:val="bottom"/>
            <w:hideMark/>
          </w:tcPr>
          <w:p w14:paraId="05D09966" w14:textId="77777777" w:rsidR="001B6918" w:rsidRPr="005D0729" w:rsidRDefault="001B6918" w:rsidP="00730ECF">
            <w:pPr>
              <w:rPr>
                <w:rFonts w:ascii="Calibri" w:eastAsia="Times New Roman" w:hAnsi="Calibri" w:cs="Calibri"/>
                <w:color w:val="0D0D0D"/>
              </w:rPr>
            </w:pPr>
            <w:r w:rsidRPr="005D0729">
              <w:rPr>
                <w:rFonts w:ascii="Calibri" w:eastAsia="Times New Roman" w:hAnsi="Calibri" w:cs="Calibri"/>
                <w:color w:val="0D0D0D"/>
              </w:rPr>
              <w:t>Total accumulated depreciation</w:t>
            </w:r>
            <w:r>
              <w:rPr>
                <w:rFonts w:ascii="Calibri" w:eastAsia="Times New Roman" w:hAnsi="Calibri" w:cs="Calibri"/>
                <w:color w:val="0D0D0D"/>
              </w:rPr>
              <w:t xml:space="preserve"> and amortization</w:t>
            </w:r>
          </w:p>
        </w:tc>
        <w:tc>
          <w:tcPr>
            <w:tcW w:w="1218" w:type="dxa"/>
            <w:tcBorders>
              <w:top w:val="single" w:sz="4" w:space="0" w:color="000000"/>
              <w:left w:val="nil"/>
              <w:bottom w:val="single" w:sz="4" w:space="0" w:color="000000"/>
              <w:right w:val="nil"/>
            </w:tcBorders>
            <w:shd w:val="clear" w:color="000000" w:fill="FFFFFF"/>
            <w:noWrap/>
            <w:vAlign w:val="bottom"/>
            <w:hideMark/>
          </w:tcPr>
          <w:p w14:paraId="2E9988D7" w14:textId="77777777" w:rsidR="001B6918" w:rsidRPr="005D0729" w:rsidRDefault="001B6918" w:rsidP="00730ECF">
            <w:pPr>
              <w:jc w:val="right"/>
              <w:rPr>
                <w:rFonts w:ascii="Calibri" w:eastAsia="Times New Roman" w:hAnsi="Calibri" w:cs="Calibri"/>
                <w:color w:val="0D0D0D"/>
              </w:rPr>
            </w:pPr>
            <w:r w:rsidRPr="009655BC">
              <w:rPr>
                <w:rFonts w:ascii="Calibri" w:eastAsia="Times New Roman" w:hAnsi="Calibri" w:cs="Calibri"/>
              </w:rPr>
              <w:t xml:space="preserve">779,062 </w:t>
            </w:r>
          </w:p>
        </w:tc>
        <w:tc>
          <w:tcPr>
            <w:tcW w:w="1094" w:type="dxa"/>
            <w:tcBorders>
              <w:top w:val="single" w:sz="4" w:space="0" w:color="000000"/>
              <w:left w:val="nil"/>
              <w:bottom w:val="single" w:sz="4" w:space="0" w:color="000000"/>
              <w:right w:val="nil"/>
            </w:tcBorders>
            <w:shd w:val="clear" w:color="000000" w:fill="FFFFFF"/>
            <w:noWrap/>
            <w:hideMark/>
          </w:tcPr>
          <w:p w14:paraId="53236F14" w14:textId="77777777" w:rsidR="001B6918" w:rsidRDefault="001B6918" w:rsidP="00730ECF">
            <w:pPr>
              <w:jc w:val="right"/>
            </w:pPr>
            <w:r w:rsidRPr="001C5BB5">
              <w:t xml:space="preserve"> </w:t>
            </w:r>
          </w:p>
          <w:p w14:paraId="11693D57" w14:textId="77777777" w:rsidR="001B6918" w:rsidRPr="00992740" w:rsidRDefault="001B6918" w:rsidP="00730ECF">
            <w:pPr>
              <w:jc w:val="right"/>
              <w:rPr>
                <w:rFonts w:ascii="Calibri" w:eastAsia="Times New Roman" w:hAnsi="Calibri" w:cs="Calibri"/>
                <w:color w:val="FF0000"/>
              </w:rPr>
            </w:pPr>
            <w:r w:rsidRPr="001C5BB5">
              <w:t xml:space="preserve">63,481 </w:t>
            </w:r>
          </w:p>
        </w:tc>
        <w:tc>
          <w:tcPr>
            <w:tcW w:w="1820" w:type="dxa"/>
            <w:tcBorders>
              <w:top w:val="single" w:sz="4" w:space="0" w:color="000000"/>
              <w:left w:val="nil"/>
              <w:bottom w:val="single" w:sz="4" w:space="0" w:color="000000"/>
              <w:right w:val="nil"/>
            </w:tcBorders>
            <w:shd w:val="clear" w:color="000000" w:fill="FFFFFF"/>
            <w:noWrap/>
            <w:hideMark/>
          </w:tcPr>
          <w:p w14:paraId="0D62FBBD" w14:textId="77777777" w:rsidR="001B6918" w:rsidRDefault="001B6918" w:rsidP="00730ECF">
            <w:pPr>
              <w:jc w:val="right"/>
            </w:pPr>
          </w:p>
          <w:p w14:paraId="29603FED" w14:textId="77777777" w:rsidR="001B6918" w:rsidRPr="00992740" w:rsidRDefault="001B6918" w:rsidP="00730ECF">
            <w:pPr>
              <w:jc w:val="right"/>
              <w:rPr>
                <w:rFonts w:ascii="Calibri" w:eastAsia="Times New Roman" w:hAnsi="Calibri" w:cs="Calibri"/>
                <w:color w:val="FF0000"/>
              </w:rPr>
            </w:pPr>
            <w:r w:rsidRPr="001C5BB5">
              <w:t xml:space="preserve"> - </w:t>
            </w:r>
          </w:p>
        </w:tc>
        <w:tc>
          <w:tcPr>
            <w:tcW w:w="1342" w:type="dxa"/>
            <w:tcBorders>
              <w:top w:val="single" w:sz="4" w:space="0" w:color="000000"/>
              <w:left w:val="nil"/>
              <w:bottom w:val="single" w:sz="4" w:space="0" w:color="000000"/>
              <w:right w:val="nil"/>
            </w:tcBorders>
            <w:shd w:val="clear" w:color="000000" w:fill="FFFFFF"/>
            <w:noWrap/>
            <w:hideMark/>
          </w:tcPr>
          <w:p w14:paraId="6C813EC3" w14:textId="77777777" w:rsidR="001B6918" w:rsidRDefault="001B6918" w:rsidP="00730ECF">
            <w:pPr>
              <w:jc w:val="right"/>
            </w:pPr>
            <w:r w:rsidRPr="001C5BB5">
              <w:t xml:space="preserve"> </w:t>
            </w:r>
          </w:p>
          <w:p w14:paraId="3551AC9C" w14:textId="77777777" w:rsidR="001B6918" w:rsidRPr="00992740" w:rsidRDefault="001B6918" w:rsidP="00730ECF">
            <w:pPr>
              <w:jc w:val="right"/>
              <w:rPr>
                <w:rFonts w:ascii="Calibri" w:eastAsia="Times New Roman" w:hAnsi="Calibri" w:cs="Calibri"/>
                <w:color w:val="FF0000"/>
              </w:rPr>
            </w:pPr>
            <w:r w:rsidRPr="001C5BB5">
              <w:t>(13,366)</w:t>
            </w:r>
          </w:p>
        </w:tc>
        <w:tc>
          <w:tcPr>
            <w:tcW w:w="1119" w:type="dxa"/>
            <w:tcBorders>
              <w:top w:val="single" w:sz="4" w:space="0" w:color="000000"/>
              <w:left w:val="nil"/>
              <w:bottom w:val="single" w:sz="4" w:space="0" w:color="000000"/>
              <w:right w:val="nil"/>
            </w:tcBorders>
            <w:shd w:val="clear" w:color="000000" w:fill="FFFFFF"/>
            <w:noWrap/>
            <w:hideMark/>
          </w:tcPr>
          <w:p w14:paraId="1957BA8F" w14:textId="77777777" w:rsidR="001B6918" w:rsidRDefault="001B6918" w:rsidP="00730ECF">
            <w:pPr>
              <w:jc w:val="right"/>
            </w:pPr>
          </w:p>
          <w:p w14:paraId="559CCA47" w14:textId="77777777" w:rsidR="001B6918" w:rsidRPr="005D0729" w:rsidRDefault="001B6918" w:rsidP="00730ECF">
            <w:pPr>
              <w:jc w:val="right"/>
              <w:rPr>
                <w:rFonts w:ascii="Calibri" w:eastAsia="Times New Roman" w:hAnsi="Calibri" w:cs="Calibri"/>
                <w:color w:val="0D0D0D"/>
              </w:rPr>
            </w:pPr>
            <w:r w:rsidRPr="001C5BB5">
              <w:t xml:space="preserve"> 829,177 </w:t>
            </w:r>
          </w:p>
        </w:tc>
      </w:tr>
      <w:tr w:rsidR="001B6918" w:rsidRPr="005D0729" w14:paraId="285AE221" w14:textId="77777777" w:rsidTr="00730ECF">
        <w:trPr>
          <w:trHeight w:val="98"/>
          <w:jc w:val="center"/>
        </w:trPr>
        <w:tc>
          <w:tcPr>
            <w:tcW w:w="3960" w:type="dxa"/>
            <w:tcBorders>
              <w:top w:val="nil"/>
              <w:left w:val="nil"/>
              <w:bottom w:val="single" w:sz="4" w:space="0" w:color="000000"/>
              <w:right w:val="nil"/>
            </w:tcBorders>
            <w:shd w:val="clear" w:color="000000" w:fill="FFFFFF"/>
            <w:noWrap/>
            <w:vAlign w:val="bottom"/>
            <w:hideMark/>
          </w:tcPr>
          <w:p w14:paraId="1F8C0F1C" w14:textId="77777777" w:rsidR="001B6918" w:rsidRPr="005D0729" w:rsidRDefault="001B6918" w:rsidP="00730ECF">
            <w:pPr>
              <w:rPr>
                <w:rFonts w:ascii="Calibri" w:eastAsia="Times New Roman" w:hAnsi="Calibri" w:cs="Calibri"/>
                <w:color w:val="0D0D0D"/>
              </w:rPr>
            </w:pPr>
            <w:r w:rsidRPr="005D0729">
              <w:rPr>
                <w:rFonts w:ascii="Calibri" w:eastAsia="Times New Roman" w:hAnsi="Calibri" w:cs="Calibri"/>
                <w:color w:val="0D0D0D"/>
              </w:rPr>
              <w:t xml:space="preserve">Net depreciable </w:t>
            </w:r>
            <w:r>
              <w:rPr>
                <w:rFonts w:ascii="Calibri" w:eastAsia="Times New Roman" w:hAnsi="Calibri" w:cs="Calibri"/>
                <w:color w:val="0D0D0D"/>
              </w:rPr>
              <w:t xml:space="preserve">and amortizable </w:t>
            </w:r>
            <w:r w:rsidRPr="005D0729">
              <w:rPr>
                <w:rFonts w:ascii="Calibri" w:eastAsia="Times New Roman" w:hAnsi="Calibri" w:cs="Calibri"/>
                <w:color w:val="0D0D0D"/>
              </w:rPr>
              <w:t>assets</w:t>
            </w:r>
          </w:p>
        </w:tc>
        <w:tc>
          <w:tcPr>
            <w:tcW w:w="1218" w:type="dxa"/>
            <w:tcBorders>
              <w:top w:val="nil"/>
              <w:left w:val="nil"/>
              <w:bottom w:val="single" w:sz="4" w:space="0" w:color="000000"/>
              <w:right w:val="nil"/>
            </w:tcBorders>
            <w:shd w:val="clear" w:color="000000" w:fill="FFFFFF"/>
            <w:noWrap/>
            <w:vAlign w:val="bottom"/>
            <w:hideMark/>
          </w:tcPr>
          <w:p w14:paraId="5B2C72B9" w14:textId="77777777" w:rsidR="001B6918" w:rsidRPr="005D0729" w:rsidRDefault="001B6918" w:rsidP="00730ECF">
            <w:pPr>
              <w:jc w:val="right"/>
              <w:rPr>
                <w:rFonts w:ascii="Calibri" w:eastAsia="Times New Roman" w:hAnsi="Calibri" w:cs="Calibri"/>
                <w:color w:val="0D0D0D"/>
              </w:rPr>
            </w:pPr>
            <w:r w:rsidRPr="009655BC">
              <w:rPr>
                <w:rFonts w:ascii="Calibri" w:eastAsia="Times New Roman" w:hAnsi="Calibri" w:cs="Calibri"/>
              </w:rPr>
              <w:t>878,81</w:t>
            </w:r>
            <w:r>
              <w:rPr>
                <w:rFonts w:ascii="Calibri" w:eastAsia="Times New Roman" w:hAnsi="Calibri" w:cs="Calibri"/>
              </w:rPr>
              <w:t>1</w:t>
            </w:r>
            <w:r w:rsidRPr="009655BC">
              <w:rPr>
                <w:rFonts w:ascii="Calibri" w:eastAsia="Times New Roman" w:hAnsi="Calibri" w:cs="Calibri"/>
              </w:rPr>
              <w:t xml:space="preserve"> </w:t>
            </w:r>
          </w:p>
        </w:tc>
        <w:tc>
          <w:tcPr>
            <w:tcW w:w="1094" w:type="dxa"/>
            <w:tcBorders>
              <w:top w:val="nil"/>
              <w:left w:val="nil"/>
              <w:bottom w:val="single" w:sz="4" w:space="0" w:color="000000"/>
              <w:right w:val="nil"/>
            </w:tcBorders>
            <w:shd w:val="clear" w:color="000000" w:fill="FFFFFF"/>
            <w:noWrap/>
            <w:hideMark/>
          </w:tcPr>
          <w:p w14:paraId="5339FCF8" w14:textId="77777777" w:rsidR="001B6918" w:rsidRPr="00992740" w:rsidRDefault="001B6918" w:rsidP="00730ECF">
            <w:pPr>
              <w:jc w:val="right"/>
              <w:rPr>
                <w:rFonts w:ascii="Calibri" w:eastAsia="Times New Roman" w:hAnsi="Calibri" w:cs="Calibri"/>
                <w:color w:val="FF0000"/>
              </w:rPr>
            </w:pPr>
            <w:r w:rsidRPr="001C5BB5">
              <w:t xml:space="preserve"> (43,834)</w:t>
            </w:r>
          </w:p>
        </w:tc>
        <w:tc>
          <w:tcPr>
            <w:tcW w:w="1820" w:type="dxa"/>
            <w:tcBorders>
              <w:top w:val="nil"/>
              <w:left w:val="nil"/>
              <w:bottom w:val="single" w:sz="4" w:space="0" w:color="000000"/>
              <w:right w:val="nil"/>
            </w:tcBorders>
            <w:shd w:val="clear" w:color="000000" w:fill="FFFFFF"/>
            <w:noWrap/>
            <w:hideMark/>
          </w:tcPr>
          <w:p w14:paraId="72AAA728" w14:textId="77777777" w:rsidR="001B6918" w:rsidRPr="00992740" w:rsidRDefault="001B6918" w:rsidP="00730ECF">
            <w:pPr>
              <w:jc w:val="right"/>
              <w:rPr>
                <w:rFonts w:ascii="Calibri" w:eastAsia="Times New Roman" w:hAnsi="Calibri" w:cs="Calibri"/>
                <w:color w:val="FF0000"/>
              </w:rPr>
            </w:pPr>
            <w:r w:rsidRPr="001C5BB5">
              <w:t xml:space="preserve"> 51,184 </w:t>
            </w:r>
          </w:p>
        </w:tc>
        <w:tc>
          <w:tcPr>
            <w:tcW w:w="1342" w:type="dxa"/>
            <w:tcBorders>
              <w:top w:val="nil"/>
              <w:left w:val="nil"/>
              <w:bottom w:val="single" w:sz="4" w:space="0" w:color="000000"/>
              <w:right w:val="nil"/>
            </w:tcBorders>
            <w:shd w:val="clear" w:color="000000" w:fill="FFFFFF"/>
            <w:noWrap/>
            <w:hideMark/>
          </w:tcPr>
          <w:p w14:paraId="17DBAD68" w14:textId="77777777" w:rsidR="001B6918" w:rsidRPr="00992740" w:rsidRDefault="001B6918" w:rsidP="00730ECF">
            <w:pPr>
              <w:jc w:val="right"/>
              <w:rPr>
                <w:rFonts w:ascii="Calibri" w:eastAsia="Times New Roman" w:hAnsi="Calibri" w:cs="Calibri"/>
                <w:color w:val="FF0000"/>
              </w:rPr>
            </w:pPr>
            <w:r w:rsidRPr="001C5BB5">
              <w:t xml:space="preserve"> (726)</w:t>
            </w:r>
          </w:p>
        </w:tc>
        <w:tc>
          <w:tcPr>
            <w:tcW w:w="1119" w:type="dxa"/>
            <w:tcBorders>
              <w:top w:val="nil"/>
              <w:left w:val="nil"/>
              <w:bottom w:val="single" w:sz="4" w:space="0" w:color="000000"/>
              <w:right w:val="nil"/>
            </w:tcBorders>
            <w:shd w:val="clear" w:color="000000" w:fill="FFFFFF"/>
            <w:noWrap/>
            <w:hideMark/>
          </w:tcPr>
          <w:p w14:paraId="61983CA1" w14:textId="77777777" w:rsidR="001B6918" w:rsidRPr="005D0729" w:rsidRDefault="001B6918" w:rsidP="00730ECF">
            <w:pPr>
              <w:jc w:val="right"/>
              <w:rPr>
                <w:rFonts w:ascii="Calibri" w:eastAsia="Times New Roman" w:hAnsi="Calibri" w:cs="Calibri"/>
                <w:color w:val="0D0D0D"/>
              </w:rPr>
            </w:pPr>
            <w:r w:rsidRPr="001C5BB5">
              <w:t xml:space="preserve"> 885,435 </w:t>
            </w:r>
          </w:p>
        </w:tc>
      </w:tr>
      <w:tr w:rsidR="001B6918" w:rsidRPr="005D0729" w14:paraId="159A490C" w14:textId="77777777" w:rsidTr="00730ECF">
        <w:trPr>
          <w:trHeight w:val="80"/>
          <w:jc w:val="center"/>
        </w:trPr>
        <w:tc>
          <w:tcPr>
            <w:tcW w:w="3960" w:type="dxa"/>
            <w:tcBorders>
              <w:top w:val="nil"/>
              <w:left w:val="nil"/>
              <w:bottom w:val="double" w:sz="6" w:space="0" w:color="000000"/>
              <w:right w:val="nil"/>
            </w:tcBorders>
            <w:shd w:val="clear" w:color="000000" w:fill="FFFFFF"/>
            <w:vAlign w:val="bottom"/>
            <w:hideMark/>
          </w:tcPr>
          <w:p w14:paraId="41A1C635" w14:textId="77777777" w:rsidR="001B6918" w:rsidRPr="005D0729" w:rsidRDefault="001B6918" w:rsidP="00730ECF">
            <w:pPr>
              <w:rPr>
                <w:rFonts w:ascii="Calibri" w:eastAsia="Times New Roman" w:hAnsi="Calibri" w:cs="Calibri"/>
                <w:color w:val="0D0D0D"/>
              </w:rPr>
            </w:pPr>
            <w:r w:rsidRPr="005D0729">
              <w:rPr>
                <w:rFonts w:ascii="Calibri" w:eastAsia="Times New Roman" w:hAnsi="Calibri" w:cs="Calibri"/>
                <w:color w:val="0D0D0D"/>
              </w:rPr>
              <w:t>Total capital assets, net</w:t>
            </w:r>
          </w:p>
        </w:tc>
        <w:tc>
          <w:tcPr>
            <w:tcW w:w="1218" w:type="dxa"/>
            <w:tcBorders>
              <w:top w:val="nil"/>
              <w:left w:val="nil"/>
              <w:bottom w:val="double" w:sz="6" w:space="0" w:color="000000"/>
              <w:right w:val="nil"/>
            </w:tcBorders>
            <w:shd w:val="clear" w:color="000000" w:fill="FFFFFF"/>
            <w:noWrap/>
            <w:vAlign w:val="bottom"/>
            <w:hideMark/>
          </w:tcPr>
          <w:p w14:paraId="763DBE43" w14:textId="77777777" w:rsidR="001B6918" w:rsidRPr="005D0729" w:rsidRDefault="001B6918" w:rsidP="00730ECF">
            <w:pPr>
              <w:jc w:val="right"/>
              <w:rPr>
                <w:rFonts w:ascii="Calibri" w:eastAsia="Times New Roman" w:hAnsi="Calibri" w:cs="Calibri"/>
              </w:rPr>
            </w:pPr>
            <w:r w:rsidRPr="009655BC">
              <w:rPr>
                <w:rFonts w:ascii="Calibri" w:eastAsia="Times New Roman" w:hAnsi="Calibri" w:cs="Calibri"/>
              </w:rPr>
              <w:t>$1,016,24</w:t>
            </w:r>
            <w:r>
              <w:rPr>
                <w:rFonts w:ascii="Calibri" w:eastAsia="Times New Roman" w:hAnsi="Calibri" w:cs="Calibri"/>
              </w:rPr>
              <w:t>4</w:t>
            </w:r>
          </w:p>
        </w:tc>
        <w:tc>
          <w:tcPr>
            <w:tcW w:w="1094" w:type="dxa"/>
            <w:tcBorders>
              <w:top w:val="nil"/>
              <w:left w:val="nil"/>
              <w:bottom w:val="double" w:sz="6" w:space="0" w:color="000000"/>
              <w:right w:val="nil"/>
            </w:tcBorders>
            <w:shd w:val="clear" w:color="000000" w:fill="FFFFFF"/>
            <w:noWrap/>
            <w:hideMark/>
          </w:tcPr>
          <w:p w14:paraId="39B8F678" w14:textId="77777777" w:rsidR="001B6918" w:rsidRPr="00992740" w:rsidRDefault="001B6918" w:rsidP="00730ECF">
            <w:pPr>
              <w:rPr>
                <w:rFonts w:ascii="Calibri" w:eastAsia="Times New Roman" w:hAnsi="Calibri" w:cs="Calibri"/>
                <w:color w:val="FF0000"/>
              </w:rPr>
            </w:pPr>
            <w:r w:rsidRPr="001C5BB5">
              <w:t xml:space="preserve"> $</w:t>
            </w:r>
            <w:r>
              <w:t xml:space="preserve"> </w:t>
            </w:r>
            <w:r w:rsidRPr="001C5BB5">
              <w:t xml:space="preserve">96,948 </w:t>
            </w:r>
          </w:p>
        </w:tc>
        <w:tc>
          <w:tcPr>
            <w:tcW w:w="1820" w:type="dxa"/>
            <w:tcBorders>
              <w:top w:val="nil"/>
              <w:left w:val="nil"/>
              <w:bottom w:val="double" w:sz="6" w:space="0" w:color="000000"/>
              <w:right w:val="nil"/>
            </w:tcBorders>
            <w:shd w:val="clear" w:color="000000" w:fill="FFFFFF"/>
            <w:noWrap/>
            <w:hideMark/>
          </w:tcPr>
          <w:p w14:paraId="07D42341" w14:textId="77777777" w:rsidR="001B6918" w:rsidRPr="00C52F23" w:rsidRDefault="001B6918" w:rsidP="00730ECF">
            <w:pPr>
              <w:jc w:val="right"/>
            </w:pPr>
            <w:r w:rsidRPr="001C5BB5">
              <w:t xml:space="preserve"> </w:t>
            </w:r>
            <w:r>
              <w:t xml:space="preserve">               </w:t>
            </w:r>
            <w:r w:rsidRPr="001C5BB5">
              <w:t>$</w:t>
            </w:r>
            <w:r>
              <w:t xml:space="preserve">            </w:t>
            </w:r>
            <w:r w:rsidRPr="001C5BB5">
              <w:t xml:space="preserve">- </w:t>
            </w:r>
          </w:p>
        </w:tc>
        <w:tc>
          <w:tcPr>
            <w:tcW w:w="1342" w:type="dxa"/>
            <w:tcBorders>
              <w:top w:val="nil"/>
              <w:left w:val="nil"/>
              <w:bottom w:val="double" w:sz="6" w:space="0" w:color="000000"/>
              <w:right w:val="nil"/>
            </w:tcBorders>
            <w:shd w:val="clear" w:color="000000" w:fill="FFFFFF"/>
            <w:noWrap/>
            <w:hideMark/>
          </w:tcPr>
          <w:p w14:paraId="705916EE" w14:textId="77777777" w:rsidR="001B6918" w:rsidRPr="00992740" w:rsidRDefault="001B6918" w:rsidP="00730ECF">
            <w:pPr>
              <w:jc w:val="right"/>
              <w:rPr>
                <w:rFonts w:ascii="Calibri" w:eastAsia="Times New Roman" w:hAnsi="Calibri" w:cs="Calibri"/>
                <w:color w:val="FF0000"/>
              </w:rPr>
            </w:pPr>
            <w:r w:rsidRPr="001C5BB5">
              <w:t>$</w:t>
            </w:r>
            <w:r>
              <w:t xml:space="preserve">     </w:t>
            </w:r>
            <w:r w:rsidRPr="001C5BB5">
              <w:t>(6,807)</w:t>
            </w:r>
          </w:p>
        </w:tc>
        <w:tc>
          <w:tcPr>
            <w:tcW w:w="1119" w:type="dxa"/>
            <w:tcBorders>
              <w:top w:val="nil"/>
              <w:left w:val="nil"/>
              <w:bottom w:val="double" w:sz="6" w:space="0" w:color="000000"/>
              <w:right w:val="nil"/>
            </w:tcBorders>
            <w:shd w:val="clear" w:color="000000" w:fill="FFFFFF"/>
            <w:noWrap/>
            <w:hideMark/>
          </w:tcPr>
          <w:p w14:paraId="24D189A5" w14:textId="77777777" w:rsidR="001B6918" w:rsidRPr="005D0729" w:rsidRDefault="001B6918" w:rsidP="00730ECF">
            <w:pPr>
              <w:jc w:val="right"/>
              <w:rPr>
                <w:rFonts w:ascii="Calibri" w:eastAsia="Times New Roman" w:hAnsi="Calibri" w:cs="Calibri"/>
              </w:rPr>
            </w:pPr>
            <w:r w:rsidRPr="001C5BB5">
              <w:t xml:space="preserve">$1,106,385 </w:t>
            </w:r>
          </w:p>
        </w:tc>
      </w:tr>
    </w:tbl>
    <w:p w14:paraId="43523EFE" w14:textId="77777777" w:rsidR="0018429E" w:rsidRDefault="0018429E" w:rsidP="001B6918">
      <w:pPr>
        <w:spacing w:after="160"/>
        <w:rPr>
          <w:rFonts w:eastAsiaTheme="majorEastAsia" w:cstheme="minorHAnsi"/>
          <w:b/>
          <w:i/>
          <w:iCs/>
          <w:smallCaps/>
          <w:noProof/>
          <w:color w:val="000000" w:themeColor="text1"/>
          <w:sz w:val="24"/>
          <w:szCs w:val="24"/>
          <w:u w:color="5B9BD5"/>
        </w:rPr>
      </w:pPr>
      <w:r>
        <w:rPr>
          <w:rFonts w:eastAsiaTheme="majorEastAsia" w:cstheme="minorHAnsi"/>
          <w:b/>
          <w:i/>
          <w:iCs/>
          <w:smallCaps/>
          <w:noProof/>
          <w:color w:val="000000" w:themeColor="text1"/>
          <w:sz w:val="24"/>
          <w:szCs w:val="24"/>
          <w:u w:color="5B9BD5"/>
        </w:rPr>
        <w:br w:type="page"/>
      </w:r>
    </w:p>
    <w:p w14:paraId="6A0AD829" w14:textId="04CCE3F7" w:rsidR="001B6918" w:rsidRPr="00A02D27" w:rsidRDefault="001B6918" w:rsidP="001B6918">
      <w:pPr>
        <w:spacing w:after="160"/>
        <w:rPr>
          <w:rFonts w:eastAsiaTheme="majorEastAsia" w:cstheme="minorHAnsi"/>
          <w:b/>
          <w:i/>
          <w:iCs/>
          <w:smallCaps/>
          <w:noProof/>
          <w:color w:val="000000" w:themeColor="text1"/>
          <w:sz w:val="24"/>
          <w:szCs w:val="24"/>
          <w:u w:color="5B9BD5"/>
        </w:rPr>
      </w:pPr>
      <w:r w:rsidRPr="00A02D27">
        <w:rPr>
          <w:rFonts w:eastAsiaTheme="majorEastAsia" w:cstheme="minorHAnsi"/>
          <w:b/>
          <w:i/>
          <w:iCs/>
          <w:smallCaps/>
          <w:noProof/>
          <w:color w:val="000000" w:themeColor="text1"/>
          <w:sz w:val="24"/>
          <w:szCs w:val="24"/>
          <w:u w:color="5B9BD5"/>
        </w:rPr>
        <w:lastRenderedPageBreak/>
        <w:t>6. CAPITAL ASSETS - CONTINUED</w:t>
      </w:r>
    </w:p>
    <w:p w14:paraId="3D139A1A" w14:textId="77777777" w:rsidR="001B6918" w:rsidRDefault="001B6918" w:rsidP="001B6918">
      <w:pPr>
        <w:tabs>
          <w:tab w:val="left" w:pos="720"/>
          <w:tab w:val="left" w:pos="1440"/>
          <w:tab w:val="right" w:pos="4262"/>
          <w:tab w:val="right" w:pos="5220"/>
          <w:tab w:val="right" w:pos="6691"/>
          <w:tab w:val="right" w:pos="7621"/>
          <w:tab w:val="right" w:pos="9187"/>
        </w:tabs>
        <w:suppressAutoHyphens/>
        <w:spacing w:after="240"/>
        <w:rPr>
          <w:rFonts w:cstheme="minorHAnsi"/>
          <w:bCs/>
          <w:spacing w:val="-3"/>
          <w:sz w:val="24"/>
        </w:rPr>
      </w:pPr>
      <w:r w:rsidRPr="004E6649">
        <w:rPr>
          <w:rFonts w:cstheme="minorHAnsi"/>
          <w:bCs/>
          <w:spacing w:val="-3"/>
          <w:sz w:val="24"/>
        </w:rPr>
        <w:t xml:space="preserve">Capital asset activity for the year ended June 30 is as follows: </w:t>
      </w:r>
    </w:p>
    <w:tbl>
      <w:tblPr>
        <w:tblW w:w="10512" w:type="dxa"/>
        <w:tblLayout w:type="fixed"/>
        <w:tblLook w:val="04A0" w:firstRow="1" w:lastRow="0" w:firstColumn="1" w:lastColumn="0" w:noHBand="0" w:noVBand="1"/>
      </w:tblPr>
      <w:tblGrid>
        <w:gridCol w:w="3960"/>
        <w:gridCol w:w="1121"/>
        <w:gridCol w:w="1094"/>
        <w:gridCol w:w="1728"/>
        <w:gridCol w:w="1368"/>
        <w:gridCol w:w="1224"/>
        <w:gridCol w:w="17"/>
      </w:tblGrid>
      <w:tr w:rsidR="001B6918" w:rsidRPr="005D0729" w14:paraId="3CDCCEE0" w14:textId="77777777" w:rsidTr="00730ECF">
        <w:trPr>
          <w:trHeight w:val="180"/>
        </w:trPr>
        <w:tc>
          <w:tcPr>
            <w:tcW w:w="10512" w:type="dxa"/>
            <w:gridSpan w:val="7"/>
            <w:tcBorders>
              <w:top w:val="nil"/>
              <w:left w:val="nil"/>
              <w:bottom w:val="single" w:sz="12" w:space="0" w:color="000000"/>
              <w:right w:val="nil"/>
            </w:tcBorders>
            <w:shd w:val="clear" w:color="000000" w:fill="FFFFFF"/>
            <w:noWrap/>
            <w:vAlign w:val="bottom"/>
            <w:hideMark/>
          </w:tcPr>
          <w:p w14:paraId="340B9EEE" w14:textId="77777777" w:rsidR="001B6918" w:rsidRPr="005D0729" w:rsidRDefault="001B6918" w:rsidP="00730ECF">
            <w:pPr>
              <w:jc w:val="center"/>
              <w:rPr>
                <w:rFonts w:ascii="Calibri" w:eastAsia="Times New Roman" w:hAnsi="Calibri" w:cs="Calibri"/>
                <w:b/>
                <w:bCs/>
                <w:color w:val="0D0D0D"/>
              </w:rPr>
            </w:pPr>
            <w:r w:rsidRPr="005D0729">
              <w:rPr>
                <w:rFonts w:ascii="Calibri" w:eastAsia="Times New Roman" w:hAnsi="Calibri" w:cs="Calibri"/>
                <w:b/>
                <w:bCs/>
                <w:color w:val="0D0D0D"/>
              </w:rPr>
              <w:t>202</w:t>
            </w:r>
            <w:r>
              <w:rPr>
                <w:rFonts w:ascii="Calibri" w:eastAsia="Times New Roman" w:hAnsi="Calibri" w:cs="Calibri"/>
                <w:b/>
                <w:bCs/>
                <w:color w:val="0D0D0D"/>
              </w:rPr>
              <w:t>4</w:t>
            </w:r>
          </w:p>
        </w:tc>
      </w:tr>
      <w:tr w:rsidR="001B6918" w:rsidRPr="005D0729" w14:paraId="3614C63D" w14:textId="77777777" w:rsidTr="00730ECF">
        <w:trPr>
          <w:gridAfter w:val="1"/>
          <w:wAfter w:w="17" w:type="dxa"/>
          <w:trHeight w:val="420"/>
        </w:trPr>
        <w:tc>
          <w:tcPr>
            <w:tcW w:w="3960" w:type="dxa"/>
            <w:tcBorders>
              <w:top w:val="nil"/>
              <w:left w:val="nil"/>
              <w:bottom w:val="single" w:sz="12" w:space="0" w:color="000000"/>
              <w:right w:val="nil"/>
            </w:tcBorders>
            <w:shd w:val="clear" w:color="000000" w:fill="FFFFFF"/>
            <w:noWrap/>
            <w:vAlign w:val="bottom"/>
            <w:hideMark/>
          </w:tcPr>
          <w:p w14:paraId="7DF94CF9" w14:textId="77777777" w:rsidR="001B6918" w:rsidRPr="005D0729" w:rsidRDefault="001B6918" w:rsidP="00730ECF">
            <w:pPr>
              <w:jc w:val="center"/>
              <w:rPr>
                <w:rFonts w:ascii="Calibri" w:eastAsia="Times New Roman" w:hAnsi="Calibri" w:cs="Calibri"/>
                <w:b/>
                <w:bCs/>
                <w:color w:val="0D0D0D"/>
              </w:rPr>
            </w:pPr>
            <w:r w:rsidRPr="005D0729">
              <w:rPr>
                <w:rFonts w:ascii="Calibri" w:eastAsia="Times New Roman" w:hAnsi="Calibri" w:cs="Calibri"/>
                <w:b/>
                <w:bCs/>
                <w:color w:val="0D0D0D"/>
              </w:rPr>
              <w:t> </w:t>
            </w:r>
          </w:p>
        </w:tc>
        <w:tc>
          <w:tcPr>
            <w:tcW w:w="1121" w:type="dxa"/>
            <w:tcBorders>
              <w:top w:val="nil"/>
              <w:left w:val="nil"/>
              <w:bottom w:val="single" w:sz="12" w:space="0" w:color="000000"/>
              <w:right w:val="nil"/>
            </w:tcBorders>
            <w:shd w:val="clear" w:color="000000" w:fill="FFFFFF"/>
            <w:vAlign w:val="bottom"/>
            <w:hideMark/>
          </w:tcPr>
          <w:p w14:paraId="600AF859" w14:textId="77777777" w:rsidR="001B6918" w:rsidRPr="005D0729" w:rsidRDefault="001B6918" w:rsidP="00730ECF">
            <w:pPr>
              <w:jc w:val="center"/>
              <w:rPr>
                <w:rFonts w:ascii="Calibri" w:eastAsia="Times New Roman" w:hAnsi="Calibri" w:cs="Calibri"/>
                <w:b/>
                <w:bCs/>
                <w:color w:val="0D0D0D"/>
              </w:rPr>
            </w:pPr>
            <w:r w:rsidRPr="005D0729">
              <w:rPr>
                <w:rFonts w:ascii="Calibri" w:eastAsia="Times New Roman" w:hAnsi="Calibri" w:cs="Calibri"/>
                <w:b/>
                <w:bCs/>
                <w:color w:val="0D0D0D"/>
              </w:rPr>
              <w:t>Beginning</w:t>
            </w:r>
            <w:r>
              <w:rPr>
                <w:rFonts w:ascii="Calibri" w:eastAsia="Times New Roman" w:hAnsi="Calibri" w:cs="Calibri"/>
                <w:b/>
                <w:bCs/>
                <w:color w:val="0D0D0D"/>
              </w:rPr>
              <w:t xml:space="preserve"> </w:t>
            </w:r>
            <w:r w:rsidRPr="005D0729">
              <w:rPr>
                <w:rFonts w:ascii="Calibri" w:eastAsia="Times New Roman" w:hAnsi="Calibri" w:cs="Calibri"/>
                <w:b/>
                <w:bCs/>
                <w:color w:val="0D0D0D"/>
              </w:rPr>
              <w:t>Balance</w:t>
            </w:r>
          </w:p>
        </w:tc>
        <w:tc>
          <w:tcPr>
            <w:tcW w:w="1094" w:type="dxa"/>
            <w:tcBorders>
              <w:top w:val="nil"/>
              <w:left w:val="nil"/>
              <w:bottom w:val="single" w:sz="12" w:space="0" w:color="000000"/>
              <w:right w:val="nil"/>
            </w:tcBorders>
            <w:shd w:val="clear" w:color="000000" w:fill="FFFFFF"/>
            <w:noWrap/>
            <w:vAlign w:val="bottom"/>
            <w:hideMark/>
          </w:tcPr>
          <w:p w14:paraId="1FE64CF8" w14:textId="77777777" w:rsidR="001B6918" w:rsidRPr="005D0729" w:rsidRDefault="001B6918" w:rsidP="00730ECF">
            <w:pPr>
              <w:jc w:val="center"/>
              <w:rPr>
                <w:rFonts w:ascii="Calibri" w:eastAsia="Times New Roman" w:hAnsi="Calibri" w:cs="Calibri"/>
                <w:b/>
                <w:bCs/>
                <w:color w:val="0D0D0D"/>
              </w:rPr>
            </w:pPr>
            <w:r w:rsidRPr="005D0729">
              <w:rPr>
                <w:rFonts w:ascii="Calibri" w:eastAsia="Times New Roman" w:hAnsi="Calibri" w:cs="Calibri"/>
                <w:b/>
                <w:bCs/>
                <w:color w:val="0D0D0D"/>
              </w:rPr>
              <w:t>Additions</w:t>
            </w:r>
          </w:p>
        </w:tc>
        <w:tc>
          <w:tcPr>
            <w:tcW w:w="1728" w:type="dxa"/>
            <w:tcBorders>
              <w:top w:val="nil"/>
              <w:left w:val="nil"/>
              <w:bottom w:val="single" w:sz="12" w:space="0" w:color="000000"/>
              <w:right w:val="nil"/>
            </w:tcBorders>
            <w:shd w:val="clear" w:color="000000" w:fill="FFFFFF"/>
            <w:noWrap/>
            <w:vAlign w:val="bottom"/>
            <w:hideMark/>
          </w:tcPr>
          <w:p w14:paraId="61238961" w14:textId="77777777" w:rsidR="001B6918" w:rsidRPr="005D0729" w:rsidRDefault="001B6918" w:rsidP="00730ECF">
            <w:pPr>
              <w:jc w:val="center"/>
              <w:rPr>
                <w:rFonts w:ascii="Calibri" w:eastAsia="Times New Roman" w:hAnsi="Calibri" w:cs="Calibri"/>
                <w:b/>
                <w:bCs/>
                <w:color w:val="0D0D0D"/>
              </w:rPr>
            </w:pPr>
            <w:r w:rsidRPr="005D0729">
              <w:rPr>
                <w:rFonts w:ascii="Calibri" w:eastAsia="Times New Roman" w:hAnsi="Calibri" w:cs="Calibri"/>
                <w:b/>
                <w:bCs/>
                <w:color w:val="0D0D0D"/>
              </w:rPr>
              <w:t>Reclassifications</w:t>
            </w:r>
          </w:p>
        </w:tc>
        <w:tc>
          <w:tcPr>
            <w:tcW w:w="1368" w:type="dxa"/>
            <w:tcBorders>
              <w:top w:val="nil"/>
              <w:left w:val="nil"/>
              <w:bottom w:val="single" w:sz="12" w:space="0" w:color="000000"/>
              <w:right w:val="nil"/>
            </w:tcBorders>
            <w:shd w:val="clear" w:color="000000" w:fill="FFFFFF"/>
            <w:noWrap/>
            <w:vAlign w:val="bottom"/>
            <w:hideMark/>
          </w:tcPr>
          <w:p w14:paraId="2B5A2C6D" w14:textId="77777777" w:rsidR="001B6918" w:rsidRPr="005D0729" w:rsidRDefault="001B6918" w:rsidP="00730ECF">
            <w:pPr>
              <w:jc w:val="center"/>
              <w:rPr>
                <w:rFonts w:ascii="Calibri" w:eastAsia="Times New Roman" w:hAnsi="Calibri" w:cs="Calibri"/>
                <w:b/>
                <w:bCs/>
                <w:color w:val="0D0D0D"/>
              </w:rPr>
            </w:pPr>
            <w:r w:rsidRPr="005D0729">
              <w:rPr>
                <w:rFonts w:ascii="Calibri" w:eastAsia="Times New Roman" w:hAnsi="Calibri" w:cs="Calibri"/>
                <w:b/>
                <w:bCs/>
                <w:color w:val="0D0D0D"/>
              </w:rPr>
              <w:t>Retirements</w:t>
            </w:r>
          </w:p>
        </w:tc>
        <w:tc>
          <w:tcPr>
            <w:tcW w:w="1224" w:type="dxa"/>
            <w:tcBorders>
              <w:top w:val="nil"/>
              <w:left w:val="nil"/>
              <w:bottom w:val="single" w:sz="12" w:space="0" w:color="000000"/>
              <w:right w:val="nil"/>
            </w:tcBorders>
            <w:shd w:val="clear" w:color="000000" w:fill="FFFFFF"/>
            <w:vAlign w:val="bottom"/>
            <w:hideMark/>
          </w:tcPr>
          <w:p w14:paraId="3D671170" w14:textId="77777777" w:rsidR="001B6918" w:rsidRPr="005D0729" w:rsidRDefault="001B6918" w:rsidP="00730ECF">
            <w:pPr>
              <w:jc w:val="center"/>
              <w:rPr>
                <w:rFonts w:ascii="Calibri" w:eastAsia="Times New Roman" w:hAnsi="Calibri" w:cs="Calibri"/>
                <w:b/>
                <w:bCs/>
                <w:color w:val="0D0D0D"/>
              </w:rPr>
            </w:pPr>
            <w:r w:rsidRPr="005D0729">
              <w:rPr>
                <w:rFonts w:ascii="Calibri" w:eastAsia="Times New Roman" w:hAnsi="Calibri" w:cs="Calibri"/>
                <w:b/>
                <w:bCs/>
                <w:color w:val="0D0D0D"/>
              </w:rPr>
              <w:t>Ending</w:t>
            </w:r>
            <w:r>
              <w:rPr>
                <w:rFonts w:ascii="Calibri" w:eastAsia="Times New Roman" w:hAnsi="Calibri" w:cs="Calibri"/>
                <w:b/>
                <w:bCs/>
                <w:color w:val="0D0D0D"/>
              </w:rPr>
              <w:t xml:space="preserve"> </w:t>
            </w:r>
            <w:r w:rsidRPr="005D0729">
              <w:rPr>
                <w:rFonts w:ascii="Calibri" w:eastAsia="Times New Roman" w:hAnsi="Calibri" w:cs="Calibri"/>
                <w:b/>
                <w:bCs/>
                <w:color w:val="0D0D0D"/>
              </w:rPr>
              <w:t>Balance</w:t>
            </w:r>
          </w:p>
        </w:tc>
      </w:tr>
      <w:tr w:rsidR="001B6918" w:rsidRPr="005D0729" w14:paraId="2ADE840F" w14:textId="77777777" w:rsidTr="00730ECF">
        <w:trPr>
          <w:gridAfter w:val="1"/>
          <w:wAfter w:w="17" w:type="dxa"/>
          <w:trHeight w:val="123"/>
        </w:trPr>
        <w:tc>
          <w:tcPr>
            <w:tcW w:w="3960" w:type="dxa"/>
            <w:tcBorders>
              <w:top w:val="nil"/>
              <w:left w:val="nil"/>
              <w:bottom w:val="nil"/>
              <w:right w:val="nil"/>
            </w:tcBorders>
            <w:shd w:val="clear" w:color="000000" w:fill="FFFFFF"/>
            <w:noWrap/>
            <w:vAlign w:val="bottom"/>
            <w:hideMark/>
          </w:tcPr>
          <w:p w14:paraId="5605CFC0" w14:textId="77777777" w:rsidR="001B6918" w:rsidRPr="005D0729" w:rsidRDefault="001B6918" w:rsidP="00730ECF">
            <w:pPr>
              <w:rPr>
                <w:rFonts w:ascii="Calibri" w:eastAsia="Times New Roman" w:hAnsi="Calibri" w:cs="Calibri"/>
                <w:color w:val="0D0D0D"/>
              </w:rPr>
            </w:pPr>
            <w:r w:rsidRPr="005D0729">
              <w:rPr>
                <w:rFonts w:ascii="Calibri" w:eastAsia="Times New Roman" w:hAnsi="Calibri" w:cs="Calibri"/>
                <w:color w:val="0D0D0D"/>
              </w:rPr>
              <w:t>Land</w:t>
            </w:r>
          </w:p>
        </w:tc>
        <w:tc>
          <w:tcPr>
            <w:tcW w:w="1121" w:type="dxa"/>
            <w:tcBorders>
              <w:top w:val="nil"/>
              <w:left w:val="nil"/>
              <w:bottom w:val="nil"/>
              <w:right w:val="nil"/>
            </w:tcBorders>
            <w:shd w:val="clear" w:color="000000" w:fill="FFFFFF"/>
            <w:noWrap/>
            <w:vAlign w:val="bottom"/>
            <w:hideMark/>
          </w:tcPr>
          <w:p w14:paraId="37FFDE6E" w14:textId="77777777" w:rsidR="001B6918" w:rsidRPr="005D0729" w:rsidRDefault="001B6918" w:rsidP="00730ECF">
            <w:pPr>
              <w:jc w:val="right"/>
              <w:rPr>
                <w:rFonts w:ascii="Calibri" w:eastAsia="Times New Roman" w:hAnsi="Calibri" w:cs="Calibri"/>
                <w:color w:val="0D0D0D"/>
              </w:rPr>
            </w:pPr>
            <w:r w:rsidRPr="005D0729">
              <w:rPr>
                <w:rFonts w:ascii="Calibri" w:eastAsia="Times New Roman" w:hAnsi="Calibri" w:cs="Calibri"/>
                <w:color w:val="0D0D0D"/>
              </w:rPr>
              <w:t>$   18,376</w:t>
            </w:r>
          </w:p>
        </w:tc>
        <w:tc>
          <w:tcPr>
            <w:tcW w:w="1094" w:type="dxa"/>
            <w:tcBorders>
              <w:top w:val="nil"/>
              <w:left w:val="nil"/>
              <w:bottom w:val="nil"/>
              <w:right w:val="nil"/>
            </w:tcBorders>
            <w:shd w:val="clear" w:color="000000" w:fill="FFFFFF"/>
            <w:noWrap/>
            <w:vAlign w:val="bottom"/>
            <w:hideMark/>
          </w:tcPr>
          <w:p w14:paraId="6E04E817" w14:textId="77777777" w:rsidR="001B6918" w:rsidRPr="009655BC" w:rsidRDefault="001B6918" w:rsidP="00730ECF">
            <w:pPr>
              <w:jc w:val="right"/>
              <w:rPr>
                <w:rFonts w:ascii="Calibri" w:eastAsia="Times New Roman" w:hAnsi="Calibri" w:cs="Calibri"/>
              </w:rPr>
            </w:pPr>
            <w:r>
              <w:rPr>
                <w:rFonts w:ascii="Calibri" w:hAnsi="Calibri" w:cs="Calibri"/>
              </w:rPr>
              <w:t xml:space="preserve"> $             - </w:t>
            </w:r>
          </w:p>
        </w:tc>
        <w:tc>
          <w:tcPr>
            <w:tcW w:w="1728" w:type="dxa"/>
            <w:tcBorders>
              <w:top w:val="nil"/>
              <w:left w:val="nil"/>
              <w:bottom w:val="nil"/>
              <w:right w:val="nil"/>
            </w:tcBorders>
            <w:shd w:val="clear" w:color="000000" w:fill="FFFFFF"/>
            <w:noWrap/>
            <w:vAlign w:val="bottom"/>
            <w:hideMark/>
          </w:tcPr>
          <w:p w14:paraId="4D48BB28" w14:textId="77777777" w:rsidR="001B6918" w:rsidRPr="009655BC" w:rsidRDefault="001B6918" w:rsidP="00730ECF">
            <w:pPr>
              <w:jc w:val="right"/>
              <w:rPr>
                <w:rFonts w:ascii="Calibri" w:eastAsia="Times New Roman" w:hAnsi="Calibri" w:cs="Calibri"/>
              </w:rPr>
            </w:pPr>
            <w:r w:rsidRPr="009655BC">
              <w:rPr>
                <w:rFonts w:ascii="Calibri" w:eastAsia="Times New Roman" w:hAnsi="Calibri" w:cs="Calibri"/>
              </w:rPr>
              <w:t xml:space="preserve">$     </w:t>
            </w:r>
            <w:r>
              <w:rPr>
                <w:rFonts w:ascii="Calibri" w:eastAsia="Times New Roman" w:hAnsi="Calibri" w:cs="Calibri"/>
              </w:rPr>
              <w:t xml:space="preserve">   </w:t>
            </w:r>
            <w:r w:rsidRPr="009655BC">
              <w:rPr>
                <w:rFonts w:ascii="Calibri" w:eastAsia="Times New Roman" w:hAnsi="Calibri" w:cs="Calibri"/>
              </w:rPr>
              <w:t xml:space="preserve">       -</w:t>
            </w:r>
          </w:p>
        </w:tc>
        <w:tc>
          <w:tcPr>
            <w:tcW w:w="1368" w:type="dxa"/>
            <w:tcBorders>
              <w:top w:val="nil"/>
              <w:left w:val="nil"/>
              <w:bottom w:val="nil"/>
              <w:right w:val="nil"/>
            </w:tcBorders>
            <w:shd w:val="clear" w:color="000000" w:fill="FFFFFF"/>
            <w:noWrap/>
            <w:vAlign w:val="bottom"/>
            <w:hideMark/>
          </w:tcPr>
          <w:p w14:paraId="7A40D0A8" w14:textId="77777777" w:rsidR="001B6918" w:rsidRPr="009655BC" w:rsidRDefault="001B6918" w:rsidP="00730ECF">
            <w:pPr>
              <w:jc w:val="right"/>
              <w:rPr>
                <w:rFonts w:ascii="Calibri" w:eastAsia="Times New Roman" w:hAnsi="Calibri" w:cs="Calibri"/>
              </w:rPr>
            </w:pPr>
            <w:r w:rsidRPr="009655BC">
              <w:rPr>
                <w:rFonts w:ascii="Calibri" w:eastAsia="Times New Roman" w:hAnsi="Calibri" w:cs="Calibri"/>
              </w:rPr>
              <w:t xml:space="preserve"> $           - </w:t>
            </w:r>
          </w:p>
        </w:tc>
        <w:tc>
          <w:tcPr>
            <w:tcW w:w="1224" w:type="dxa"/>
            <w:tcBorders>
              <w:top w:val="nil"/>
              <w:left w:val="nil"/>
              <w:bottom w:val="nil"/>
              <w:right w:val="nil"/>
            </w:tcBorders>
            <w:shd w:val="clear" w:color="000000" w:fill="FFFFFF"/>
            <w:noWrap/>
            <w:vAlign w:val="bottom"/>
            <w:hideMark/>
          </w:tcPr>
          <w:p w14:paraId="2391C926" w14:textId="77777777" w:rsidR="001B6918" w:rsidRPr="009655BC" w:rsidRDefault="001B6918" w:rsidP="00730ECF">
            <w:pPr>
              <w:jc w:val="right"/>
              <w:rPr>
                <w:rFonts w:ascii="Calibri" w:eastAsia="Times New Roman" w:hAnsi="Calibri" w:cs="Calibri"/>
              </w:rPr>
            </w:pPr>
            <w:r w:rsidRPr="009655BC">
              <w:rPr>
                <w:rFonts w:ascii="Calibri" w:eastAsia="Times New Roman" w:hAnsi="Calibri" w:cs="Calibri"/>
              </w:rPr>
              <w:t>$   18,376</w:t>
            </w:r>
          </w:p>
        </w:tc>
      </w:tr>
      <w:tr w:rsidR="001B6918" w:rsidRPr="005D0729" w14:paraId="0A0B7ADD" w14:textId="77777777" w:rsidTr="00730ECF">
        <w:trPr>
          <w:gridAfter w:val="1"/>
          <w:wAfter w:w="17" w:type="dxa"/>
          <w:trHeight w:val="117"/>
        </w:trPr>
        <w:tc>
          <w:tcPr>
            <w:tcW w:w="3960" w:type="dxa"/>
            <w:tcBorders>
              <w:top w:val="nil"/>
              <w:left w:val="nil"/>
              <w:bottom w:val="nil"/>
              <w:right w:val="nil"/>
            </w:tcBorders>
            <w:shd w:val="clear" w:color="000000" w:fill="FFFFFF"/>
            <w:noWrap/>
            <w:vAlign w:val="bottom"/>
            <w:hideMark/>
          </w:tcPr>
          <w:p w14:paraId="357CF157" w14:textId="77777777" w:rsidR="001B6918" w:rsidRPr="005D0729" w:rsidRDefault="001B6918" w:rsidP="00730ECF">
            <w:pPr>
              <w:rPr>
                <w:rFonts w:ascii="Calibri" w:eastAsia="Times New Roman" w:hAnsi="Calibri" w:cs="Calibri"/>
                <w:color w:val="0D0D0D"/>
              </w:rPr>
            </w:pPr>
            <w:r w:rsidRPr="005D0729">
              <w:rPr>
                <w:rFonts w:ascii="Calibri" w:eastAsia="Times New Roman" w:hAnsi="Calibri" w:cs="Calibri"/>
                <w:color w:val="0D0D0D"/>
              </w:rPr>
              <w:t>Library materials</w:t>
            </w:r>
          </w:p>
        </w:tc>
        <w:tc>
          <w:tcPr>
            <w:tcW w:w="1121" w:type="dxa"/>
            <w:tcBorders>
              <w:top w:val="nil"/>
              <w:left w:val="nil"/>
              <w:bottom w:val="nil"/>
              <w:right w:val="nil"/>
            </w:tcBorders>
            <w:shd w:val="clear" w:color="000000" w:fill="FFFFFF"/>
            <w:noWrap/>
            <w:vAlign w:val="bottom"/>
            <w:hideMark/>
          </w:tcPr>
          <w:p w14:paraId="154371CC" w14:textId="77777777" w:rsidR="001B6918" w:rsidRPr="005D0729" w:rsidRDefault="001B6918" w:rsidP="00730ECF">
            <w:pPr>
              <w:jc w:val="right"/>
              <w:rPr>
                <w:rFonts w:ascii="Calibri" w:eastAsia="Times New Roman" w:hAnsi="Calibri" w:cs="Calibri"/>
                <w:color w:val="0D0D0D"/>
              </w:rPr>
            </w:pPr>
            <w:r w:rsidRPr="005D0729">
              <w:rPr>
                <w:rFonts w:ascii="Calibri" w:eastAsia="Times New Roman" w:hAnsi="Calibri" w:cs="Calibri"/>
                <w:color w:val="0D0D0D"/>
              </w:rPr>
              <w:t>25,687</w:t>
            </w:r>
          </w:p>
        </w:tc>
        <w:tc>
          <w:tcPr>
            <w:tcW w:w="1094" w:type="dxa"/>
            <w:tcBorders>
              <w:top w:val="nil"/>
              <w:left w:val="nil"/>
              <w:bottom w:val="nil"/>
              <w:right w:val="nil"/>
            </w:tcBorders>
            <w:shd w:val="clear" w:color="000000" w:fill="FFFFFF"/>
            <w:noWrap/>
            <w:vAlign w:val="bottom"/>
            <w:hideMark/>
          </w:tcPr>
          <w:p w14:paraId="577154C2" w14:textId="77777777" w:rsidR="001B6918" w:rsidRPr="009655BC" w:rsidRDefault="001B6918" w:rsidP="00730ECF">
            <w:pPr>
              <w:jc w:val="right"/>
              <w:rPr>
                <w:rFonts w:ascii="Calibri" w:eastAsia="Times New Roman" w:hAnsi="Calibri" w:cs="Calibri"/>
              </w:rPr>
            </w:pPr>
            <w:r>
              <w:rPr>
                <w:rFonts w:ascii="Calibri" w:hAnsi="Calibri" w:cs="Calibri"/>
              </w:rPr>
              <w:t xml:space="preserve">                - </w:t>
            </w:r>
          </w:p>
        </w:tc>
        <w:tc>
          <w:tcPr>
            <w:tcW w:w="1728" w:type="dxa"/>
            <w:tcBorders>
              <w:top w:val="nil"/>
              <w:left w:val="nil"/>
              <w:bottom w:val="nil"/>
              <w:right w:val="nil"/>
            </w:tcBorders>
            <w:shd w:val="clear" w:color="000000" w:fill="FFFFFF"/>
            <w:noWrap/>
            <w:vAlign w:val="bottom"/>
            <w:hideMark/>
          </w:tcPr>
          <w:p w14:paraId="31CD726A" w14:textId="77777777" w:rsidR="001B6918" w:rsidRPr="009655BC" w:rsidRDefault="001B6918" w:rsidP="00730ECF">
            <w:pPr>
              <w:jc w:val="right"/>
              <w:rPr>
                <w:rFonts w:ascii="Calibri" w:eastAsia="Times New Roman" w:hAnsi="Calibri" w:cs="Calibri"/>
              </w:rPr>
            </w:pPr>
            <w:r w:rsidRPr="009655BC">
              <w:rPr>
                <w:rFonts w:ascii="Calibri" w:eastAsia="Times New Roman" w:hAnsi="Calibri" w:cs="Calibri"/>
              </w:rPr>
              <w:t>-</w:t>
            </w:r>
          </w:p>
        </w:tc>
        <w:tc>
          <w:tcPr>
            <w:tcW w:w="1368" w:type="dxa"/>
            <w:tcBorders>
              <w:top w:val="nil"/>
              <w:left w:val="nil"/>
              <w:bottom w:val="nil"/>
              <w:right w:val="nil"/>
            </w:tcBorders>
            <w:shd w:val="clear" w:color="000000" w:fill="FFFFFF"/>
            <w:noWrap/>
            <w:vAlign w:val="bottom"/>
            <w:hideMark/>
          </w:tcPr>
          <w:p w14:paraId="31AB217A" w14:textId="77777777" w:rsidR="001B6918" w:rsidRPr="009655BC" w:rsidRDefault="001B6918" w:rsidP="00730ECF">
            <w:pPr>
              <w:jc w:val="right"/>
              <w:rPr>
                <w:rFonts w:ascii="Calibri" w:eastAsia="Times New Roman" w:hAnsi="Calibri" w:cs="Calibri"/>
              </w:rPr>
            </w:pPr>
            <w:r w:rsidRPr="009655BC">
              <w:rPr>
                <w:rFonts w:ascii="Calibri" w:eastAsia="Times New Roman" w:hAnsi="Calibri" w:cs="Calibri"/>
              </w:rPr>
              <w:t>-</w:t>
            </w:r>
          </w:p>
        </w:tc>
        <w:tc>
          <w:tcPr>
            <w:tcW w:w="1224" w:type="dxa"/>
            <w:tcBorders>
              <w:top w:val="nil"/>
              <w:left w:val="nil"/>
              <w:bottom w:val="nil"/>
              <w:right w:val="nil"/>
            </w:tcBorders>
            <w:shd w:val="clear" w:color="000000" w:fill="FFFFFF"/>
            <w:noWrap/>
            <w:vAlign w:val="bottom"/>
            <w:hideMark/>
          </w:tcPr>
          <w:p w14:paraId="0D301E6A" w14:textId="77777777" w:rsidR="001B6918" w:rsidRPr="009655BC" w:rsidRDefault="001B6918" w:rsidP="00730ECF">
            <w:pPr>
              <w:jc w:val="right"/>
              <w:rPr>
                <w:rFonts w:ascii="Calibri" w:eastAsia="Times New Roman" w:hAnsi="Calibri" w:cs="Calibri"/>
              </w:rPr>
            </w:pPr>
            <w:r w:rsidRPr="009655BC">
              <w:rPr>
                <w:rFonts w:ascii="Calibri" w:eastAsia="Times New Roman" w:hAnsi="Calibri" w:cs="Calibri"/>
              </w:rPr>
              <w:t>25,687</w:t>
            </w:r>
          </w:p>
        </w:tc>
      </w:tr>
      <w:tr w:rsidR="001B6918" w:rsidRPr="005D0729" w14:paraId="397AA9F8" w14:textId="77777777" w:rsidTr="00730ECF">
        <w:trPr>
          <w:gridAfter w:val="1"/>
          <w:wAfter w:w="17" w:type="dxa"/>
          <w:trHeight w:val="117"/>
        </w:trPr>
        <w:tc>
          <w:tcPr>
            <w:tcW w:w="3960" w:type="dxa"/>
            <w:tcBorders>
              <w:top w:val="nil"/>
              <w:left w:val="nil"/>
              <w:bottom w:val="nil"/>
              <w:right w:val="nil"/>
            </w:tcBorders>
            <w:shd w:val="clear" w:color="000000" w:fill="FFFFFF"/>
            <w:noWrap/>
            <w:vAlign w:val="bottom"/>
            <w:hideMark/>
          </w:tcPr>
          <w:p w14:paraId="75752628" w14:textId="77777777" w:rsidR="001B6918" w:rsidRPr="005D0729" w:rsidRDefault="001B6918" w:rsidP="00730ECF">
            <w:pPr>
              <w:rPr>
                <w:rFonts w:ascii="Calibri" w:eastAsia="Times New Roman" w:hAnsi="Calibri" w:cs="Calibri"/>
                <w:color w:val="0D0D0D"/>
              </w:rPr>
            </w:pPr>
            <w:r w:rsidRPr="005D0729">
              <w:rPr>
                <w:rFonts w:ascii="Calibri" w:eastAsia="Times New Roman" w:hAnsi="Calibri" w:cs="Calibri"/>
                <w:color w:val="0D0D0D"/>
              </w:rPr>
              <w:t>Construction in progress</w:t>
            </w:r>
          </w:p>
        </w:tc>
        <w:tc>
          <w:tcPr>
            <w:tcW w:w="1121" w:type="dxa"/>
            <w:tcBorders>
              <w:top w:val="nil"/>
              <w:left w:val="nil"/>
              <w:bottom w:val="nil"/>
              <w:right w:val="nil"/>
            </w:tcBorders>
            <w:shd w:val="clear" w:color="000000" w:fill="FFFFFF"/>
            <w:noWrap/>
            <w:vAlign w:val="bottom"/>
            <w:hideMark/>
          </w:tcPr>
          <w:p w14:paraId="2A45BD60" w14:textId="77777777" w:rsidR="001B6918" w:rsidRPr="005D0729" w:rsidRDefault="001B6918" w:rsidP="00730ECF">
            <w:pPr>
              <w:jc w:val="right"/>
              <w:rPr>
                <w:rFonts w:ascii="Calibri" w:eastAsia="Times New Roman" w:hAnsi="Calibri" w:cs="Calibri"/>
                <w:color w:val="0D0D0D"/>
              </w:rPr>
            </w:pPr>
            <w:r w:rsidRPr="005D0729">
              <w:rPr>
                <w:rFonts w:ascii="Calibri" w:eastAsia="Times New Roman" w:hAnsi="Calibri" w:cs="Calibri"/>
                <w:color w:val="0D0D0D"/>
              </w:rPr>
              <w:t>167,260</w:t>
            </w:r>
          </w:p>
        </w:tc>
        <w:tc>
          <w:tcPr>
            <w:tcW w:w="1094" w:type="dxa"/>
            <w:tcBorders>
              <w:top w:val="nil"/>
              <w:left w:val="nil"/>
              <w:bottom w:val="single" w:sz="4" w:space="0" w:color="00688D"/>
              <w:right w:val="nil"/>
            </w:tcBorders>
            <w:shd w:val="clear" w:color="000000" w:fill="FFFFFF"/>
            <w:noWrap/>
            <w:vAlign w:val="bottom"/>
            <w:hideMark/>
          </w:tcPr>
          <w:p w14:paraId="507ED4A1" w14:textId="77777777" w:rsidR="001B6918" w:rsidRPr="009655BC" w:rsidRDefault="001B6918" w:rsidP="00730ECF">
            <w:pPr>
              <w:jc w:val="right"/>
              <w:rPr>
                <w:rFonts w:ascii="Calibri" w:eastAsia="Times New Roman" w:hAnsi="Calibri" w:cs="Calibri"/>
              </w:rPr>
            </w:pPr>
            <w:r>
              <w:rPr>
                <w:rFonts w:ascii="Calibri" w:hAnsi="Calibri" w:cs="Calibri"/>
              </w:rPr>
              <w:t xml:space="preserve">    94,892 </w:t>
            </w:r>
          </w:p>
        </w:tc>
        <w:tc>
          <w:tcPr>
            <w:tcW w:w="1728" w:type="dxa"/>
            <w:tcBorders>
              <w:top w:val="nil"/>
              <w:left w:val="nil"/>
              <w:bottom w:val="nil"/>
              <w:right w:val="nil"/>
            </w:tcBorders>
            <w:shd w:val="clear" w:color="000000" w:fill="FFFFFF"/>
            <w:noWrap/>
            <w:vAlign w:val="bottom"/>
            <w:hideMark/>
          </w:tcPr>
          <w:p w14:paraId="2CB00CA4" w14:textId="77777777" w:rsidR="001B6918" w:rsidRPr="009655BC" w:rsidRDefault="001B6918" w:rsidP="00730ECF">
            <w:pPr>
              <w:jc w:val="right"/>
              <w:rPr>
                <w:rFonts w:ascii="Calibri" w:eastAsia="Times New Roman" w:hAnsi="Calibri" w:cs="Calibri"/>
              </w:rPr>
            </w:pPr>
            <w:r w:rsidRPr="009655BC">
              <w:rPr>
                <w:rFonts w:ascii="Calibri" w:eastAsia="Times New Roman" w:hAnsi="Calibri" w:cs="Calibri"/>
              </w:rPr>
              <w:t>(168,782)</w:t>
            </w:r>
          </w:p>
        </w:tc>
        <w:tc>
          <w:tcPr>
            <w:tcW w:w="1368" w:type="dxa"/>
            <w:tcBorders>
              <w:top w:val="nil"/>
              <w:left w:val="nil"/>
              <w:bottom w:val="nil"/>
              <w:right w:val="nil"/>
            </w:tcBorders>
            <w:shd w:val="clear" w:color="000000" w:fill="FFFFFF"/>
            <w:noWrap/>
            <w:vAlign w:val="bottom"/>
            <w:hideMark/>
          </w:tcPr>
          <w:p w14:paraId="78E1B57C" w14:textId="77777777" w:rsidR="001B6918" w:rsidRPr="009655BC" w:rsidRDefault="001B6918" w:rsidP="00730ECF">
            <w:pPr>
              <w:jc w:val="right"/>
              <w:rPr>
                <w:rFonts w:ascii="Calibri" w:eastAsia="Times New Roman" w:hAnsi="Calibri" w:cs="Calibri"/>
              </w:rPr>
            </w:pPr>
            <w:r w:rsidRPr="009655BC">
              <w:rPr>
                <w:rFonts w:ascii="Calibri" w:eastAsia="Times New Roman" w:hAnsi="Calibri" w:cs="Calibri"/>
              </w:rPr>
              <w:t>-</w:t>
            </w:r>
          </w:p>
        </w:tc>
        <w:tc>
          <w:tcPr>
            <w:tcW w:w="1224" w:type="dxa"/>
            <w:tcBorders>
              <w:top w:val="nil"/>
              <w:left w:val="nil"/>
              <w:bottom w:val="nil"/>
              <w:right w:val="nil"/>
            </w:tcBorders>
            <w:shd w:val="clear" w:color="000000" w:fill="FFFFFF"/>
            <w:noWrap/>
            <w:vAlign w:val="bottom"/>
            <w:hideMark/>
          </w:tcPr>
          <w:p w14:paraId="05FC41F3" w14:textId="77777777" w:rsidR="001B6918" w:rsidRPr="009655BC" w:rsidRDefault="001B6918" w:rsidP="00730ECF">
            <w:pPr>
              <w:jc w:val="right"/>
              <w:rPr>
                <w:rFonts w:ascii="Calibri" w:eastAsia="Times New Roman" w:hAnsi="Calibri" w:cs="Calibri"/>
              </w:rPr>
            </w:pPr>
            <w:r w:rsidRPr="009655BC">
              <w:rPr>
                <w:rFonts w:ascii="Calibri" w:eastAsia="Times New Roman" w:hAnsi="Calibri" w:cs="Calibri"/>
              </w:rPr>
              <w:t>93,370</w:t>
            </w:r>
          </w:p>
        </w:tc>
      </w:tr>
      <w:tr w:rsidR="001B6918" w:rsidRPr="005D0729" w14:paraId="7AB50939" w14:textId="77777777" w:rsidTr="00730ECF">
        <w:trPr>
          <w:gridAfter w:val="1"/>
          <w:wAfter w:w="17" w:type="dxa"/>
          <w:trHeight w:val="125"/>
        </w:trPr>
        <w:tc>
          <w:tcPr>
            <w:tcW w:w="3960" w:type="dxa"/>
            <w:tcBorders>
              <w:top w:val="single" w:sz="4" w:space="0" w:color="000000"/>
              <w:left w:val="nil"/>
              <w:bottom w:val="single" w:sz="4" w:space="0" w:color="000000"/>
              <w:right w:val="nil"/>
            </w:tcBorders>
            <w:shd w:val="clear" w:color="000000" w:fill="FFFFFF"/>
            <w:noWrap/>
            <w:vAlign w:val="bottom"/>
            <w:hideMark/>
          </w:tcPr>
          <w:p w14:paraId="31D76CC1" w14:textId="77777777" w:rsidR="001B6918" w:rsidRPr="005D0729" w:rsidRDefault="001B6918" w:rsidP="00730ECF">
            <w:pPr>
              <w:rPr>
                <w:rFonts w:ascii="Calibri" w:eastAsia="Times New Roman" w:hAnsi="Calibri" w:cs="Calibri"/>
                <w:color w:val="0D0D0D"/>
              </w:rPr>
            </w:pPr>
            <w:r w:rsidRPr="005D0729">
              <w:rPr>
                <w:rFonts w:ascii="Calibri" w:eastAsia="Times New Roman" w:hAnsi="Calibri" w:cs="Calibri"/>
                <w:color w:val="0D0D0D"/>
              </w:rPr>
              <w:t xml:space="preserve">Total </w:t>
            </w:r>
            <w:proofErr w:type="spellStart"/>
            <w:r w:rsidRPr="005D0729">
              <w:rPr>
                <w:rFonts w:ascii="Calibri" w:eastAsia="Times New Roman" w:hAnsi="Calibri" w:cs="Calibri"/>
                <w:color w:val="0D0D0D"/>
              </w:rPr>
              <w:t>nondepreciable</w:t>
            </w:r>
            <w:proofErr w:type="spellEnd"/>
            <w:r w:rsidRPr="005D0729">
              <w:rPr>
                <w:rFonts w:ascii="Calibri" w:eastAsia="Times New Roman" w:hAnsi="Calibri" w:cs="Calibri"/>
                <w:color w:val="0D0D0D"/>
              </w:rPr>
              <w:t xml:space="preserve"> </w:t>
            </w:r>
            <w:r>
              <w:rPr>
                <w:rFonts w:ascii="Calibri" w:eastAsia="Times New Roman" w:hAnsi="Calibri" w:cs="Calibri"/>
                <w:color w:val="0D0D0D"/>
              </w:rPr>
              <w:t xml:space="preserve">and nonamortizable </w:t>
            </w:r>
            <w:r w:rsidRPr="005D0729">
              <w:rPr>
                <w:rFonts w:ascii="Calibri" w:eastAsia="Times New Roman" w:hAnsi="Calibri" w:cs="Calibri"/>
                <w:color w:val="0D0D0D"/>
              </w:rPr>
              <w:t>assets</w:t>
            </w:r>
          </w:p>
        </w:tc>
        <w:tc>
          <w:tcPr>
            <w:tcW w:w="1121" w:type="dxa"/>
            <w:tcBorders>
              <w:top w:val="single" w:sz="4" w:space="0" w:color="000000"/>
              <w:left w:val="nil"/>
              <w:bottom w:val="single" w:sz="4" w:space="0" w:color="000000"/>
              <w:right w:val="nil"/>
            </w:tcBorders>
            <w:shd w:val="clear" w:color="000000" w:fill="FFFFFF"/>
            <w:noWrap/>
            <w:vAlign w:val="bottom"/>
            <w:hideMark/>
          </w:tcPr>
          <w:p w14:paraId="307403E7" w14:textId="77777777" w:rsidR="001B6918" w:rsidRPr="005D0729" w:rsidRDefault="001B6918" w:rsidP="00730ECF">
            <w:pPr>
              <w:jc w:val="right"/>
              <w:rPr>
                <w:rFonts w:ascii="Calibri" w:eastAsia="Times New Roman" w:hAnsi="Calibri" w:cs="Calibri"/>
                <w:color w:val="0D0D0D"/>
              </w:rPr>
            </w:pPr>
            <w:r w:rsidRPr="005D0729">
              <w:rPr>
                <w:rFonts w:ascii="Calibri" w:eastAsia="Times New Roman" w:hAnsi="Calibri" w:cs="Calibri"/>
                <w:color w:val="0D0D0D"/>
              </w:rPr>
              <w:t xml:space="preserve">211,323 </w:t>
            </w:r>
          </w:p>
        </w:tc>
        <w:tc>
          <w:tcPr>
            <w:tcW w:w="1094" w:type="dxa"/>
            <w:tcBorders>
              <w:top w:val="nil"/>
              <w:left w:val="nil"/>
              <w:bottom w:val="single" w:sz="4" w:space="0" w:color="00688D"/>
              <w:right w:val="nil"/>
            </w:tcBorders>
            <w:shd w:val="clear" w:color="000000" w:fill="FFFFFF"/>
            <w:noWrap/>
            <w:vAlign w:val="bottom"/>
            <w:hideMark/>
          </w:tcPr>
          <w:p w14:paraId="6DC67BF3" w14:textId="77777777" w:rsidR="001B6918" w:rsidRPr="009655BC" w:rsidRDefault="001B6918" w:rsidP="00730ECF">
            <w:pPr>
              <w:jc w:val="right"/>
              <w:rPr>
                <w:rFonts w:ascii="Calibri" w:eastAsia="Times New Roman" w:hAnsi="Calibri" w:cs="Calibri"/>
              </w:rPr>
            </w:pPr>
            <w:r>
              <w:rPr>
                <w:rFonts w:ascii="Calibri" w:hAnsi="Calibri" w:cs="Calibri"/>
              </w:rPr>
              <w:t xml:space="preserve">    94,892 </w:t>
            </w:r>
          </w:p>
        </w:tc>
        <w:tc>
          <w:tcPr>
            <w:tcW w:w="1728" w:type="dxa"/>
            <w:tcBorders>
              <w:top w:val="single" w:sz="4" w:space="0" w:color="000000"/>
              <w:left w:val="nil"/>
              <w:bottom w:val="single" w:sz="4" w:space="0" w:color="000000"/>
              <w:right w:val="nil"/>
            </w:tcBorders>
            <w:shd w:val="clear" w:color="000000" w:fill="FFFFFF"/>
            <w:noWrap/>
            <w:vAlign w:val="bottom"/>
            <w:hideMark/>
          </w:tcPr>
          <w:p w14:paraId="728DFA9B" w14:textId="77777777" w:rsidR="001B6918" w:rsidRPr="009655BC" w:rsidRDefault="001B6918" w:rsidP="00730ECF">
            <w:pPr>
              <w:jc w:val="right"/>
              <w:rPr>
                <w:rFonts w:ascii="Calibri" w:eastAsia="Times New Roman" w:hAnsi="Calibri" w:cs="Calibri"/>
              </w:rPr>
            </w:pPr>
            <w:r w:rsidRPr="009655BC">
              <w:rPr>
                <w:rFonts w:ascii="Calibri" w:eastAsia="Times New Roman" w:hAnsi="Calibri" w:cs="Calibri"/>
              </w:rPr>
              <w:t xml:space="preserve"> (168,782)</w:t>
            </w:r>
          </w:p>
        </w:tc>
        <w:tc>
          <w:tcPr>
            <w:tcW w:w="1368" w:type="dxa"/>
            <w:tcBorders>
              <w:top w:val="single" w:sz="4" w:space="0" w:color="000000"/>
              <w:left w:val="nil"/>
              <w:bottom w:val="single" w:sz="4" w:space="0" w:color="000000"/>
              <w:right w:val="nil"/>
            </w:tcBorders>
            <w:shd w:val="clear" w:color="000000" w:fill="FFFFFF"/>
            <w:noWrap/>
            <w:vAlign w:val="bottom"/>
            <w:hideMark/>
          </w:tcPr>
          <w:p w14:paraId="4BD40AB6" w14:textId="77777777" w:rsidR="001B6918" w:rsidRPr="009655BC" w:rsidRDefault="001B6918" w:rsidP="00730ECF">
            <w:pPr>
              <w:jc w:val="right"/>
              <w:rPr>
                <w:rFonts w:ascii="Calibri" w:eastAsia="Times New Roman" w:hAnsi="Calibri" w:cs="Calibri"/>
              </w:rPr>
            </w:pPr>
            <w:r w:rsidRPr="009655BC">
              <w:rPr>
                <w:rFonts w:ascii="Calibri" w:eastAsia="Times New Roman" w:hAnsi="Calibri" w:cs="Calibri"/>
              </w:rPr>
              <w:t xml:space="preserve">                     - </w:t>
            </w:r>
          </w:p>
        </w:tc>
        <w:tc>
          <w:tcPr>
            <w:tcW w:w="1224" w:type="dxa"/>
            <w:tcBorders>
              <w:top w:val="single" w:sz="4" w:space="0" w:color="000000"/>
              <w:left w:val="nil"/>
              <w:bottom w:val="single" w:sz="4" w:space="0" w:color="000000"/>
              <w:right w:val="nil"/>
            </w:tcBorders>
            <w:shd w:val="clear" w:color="000000" w:fill="FFFFFF"/>
            <w:noWrap/>
            <w:vAlign w:val="bottom"/>
            <w:hideMark/>
          </w:tcPr>
          <w:p w14:paraId="20ABD271" w14:textId="77777777" w:rsidR="001B6918" w:rsidRPr="009655BC" w:rsidRDefault="001B6918" w:rsidP="00730ECF">
            <w:pPr>
              <w:jc w:val="right"/>
              <w:rPr>
                <w:rFonts w:ascii="Calibri" w:eastAsia="Times New Roman" w:hAnsi="Calibri" w:cs="Calibri"/>
              </w:rPr>
            </w:pPr>
            <w:r w:rsidRPr="009655BC">
              <w:rPr>
                <w:rFonts w:ascii="Calibri" w:eastAsia="Times New Roman" w:hAnsi="Calibri" w:cs="Calibri"/>
              </w:rPr>
              <w:t xml:space="preserve">137,433 </w:t>
            </w:r>
          </w:p>
        </w:tc>
      </w:tr>
      <w:tr w:rsidR="001B6918" w:rsidRPr="005D0729" w14:paraId="3724F5AD" w14:textId="77777777" w:rsidTr="00730ECF">
        <w:trPr>
          <w:gridAfter w:val="1"/>
          <w:wAfter w:w="17" w:type="dxa"/>
          <w:trHeight w:val="107"/>
        </w:trPr>
        <w:tc>
          <w:tcPr>
            <w:tcW w:w="3960" w:type="dxa"/>
            <w:tcBorders>
              <w:top w:val="nil"/>
              <w:left w:val="nil"/>
              <w:bottom w:val="nil"/>
              <w:right w:val="nil"/>
            </w:tcBorders>
            <w:shd w:val="clear" w:color="000000" w:fill="FFFFFF"/>
            <w:noWrap/>
            <w:vAlign w:val="bottom"/>
            <w:hideMark/>
          </w:tcPr>
          <w:p w14:paraId="0E2FB730" w14:textId="77777777" w:rsidR="001B6918" w:rsidRPr="005D0729" w:rsidRDefault="001B6918" w:rsidP="00730ECF">
            <w:pPr>
              <w:rPr>
                <w:rFonts w:ascii="Calibri" w:eastAsia="Times New Roman" w:hAnsi="Calibri" w:cs="Calibri"/>
                <w:color w:val="0D0D0D"/>
              </w:rPr>
            </w:pPr>
            <w:r w:rsidRPr="005D0729">
              <w:rPr>
                <w:rFonts w:ascii="Calibri" w:eastAsia="Times New Roman" w:hAnsi="Calibri" w:cs="Calibri"/>
                <w:color w:val="0D0D0D"/>
              </w:rPr>
              <w:t>Land improvements</w:t>
            </w:r>
          </w:p>
        </w:tc>
        <w:tc>
          <w:tcPr>
            <w:tcW w:w="1121" w:type="dxa"/>
            <w:tcBorders>
              <w:top w:val="nil"/>
              <w:left w:val="nil"/>
              <w:bottom w:val="nil"/>
              <w:right w:val="nil"/>
            </w:tcBorders>
            <w:shd w:val="clear" w:color="000000" w:fill="FFFFFF"/>
            <w:noWrap/>
            <w:vAlign w:val="bottom"/>
            <w:hideMark/>
          </w:tcPr>
          <w:p w14:paraId="57935A11" w14:textId="77777777" w:rsidR="001B6918" w:rsidRPr="005D0729" w:rsidRDefault="001B6918" w:rsidP="00730ECF">
            <w:pPr>
              <w:jc w:val="right"/>
              <w:rPr>
                <w:rFonts w:ascii="Calibri" w:eastAsia="Times New Roman" w:hAnsi="Calibri" w:cs="Calibri"/>
                <w:color w:val="0D0D0D"/>
              </w:rPr>
            </w:pPr>
            <w:r w:rsidRPr="005D0729">
              <w:rPr>
                <w:rFonts w:ascii="Calibri" w:eastAsia="Times New Roman" w:hAnsi="Calibri" w:cs="Calibri"/>
                <w:color w:val="0D0D0D"/>
              </w:rPr>
              <w:t xml:space="preserve">71,722 </w:t>
            </w:r>
          </w:p>
        </w:tc>
        <w:tc>
          <w:tcPr>
            <w:tcW w:w="1094" w:type="dxa"/>
            <w:tcBorders>
              <w:top w:val="nil"/>
              <w:left w:val="nil"/>
              <w:bottom w:val="nil"/>
              <w:right w:val="nil"/>
            </w:tcBorders>
            <w:shd w:val="clear" w:color="000000" w:fill="FFFFFF"/>
            <w:noWrap/>
            <w:vAlign w:val="bottom"/>
            <w:hideMark/>
          </w:tcPr>
          <w:p w14:paraId="4AF32FC4" w14:textId="77777777" w:rsidR="001B6918" w:rsidRPr="009655BC" w:rsidRDefault="001B6918" w:rsidP="00730ECF">
            <w:pPr>
              <w:jc w:val="right"/>
              <w:rPr>
                <w:rFonts w:ascii="Calibri" w:eastAsia="Times New Roman" w:hAnsi="Calibri" w:cs="Calibri"/>
              </w:rPr>
            </w:pPr>
            <w:r>
              <w:rPr>
                <w:rFonts w:ascii="Calibri" w:hAnsi="Calibri" w:cs="Calibri"/>
              </w:rPr>
              <w:t xml:space="preserve">                - </w:t>
            </w:r>
          </w:p>
        </w:tc>
        <w:tc>
          <w:tcPr>
            <w:tcW w:w="1728" w:type="dxa"/>
            <w:tcBorders>
              <w:top w:val="nil"/>
              <w:left w:val="nil"/>
              <w:bottom w:val="nil"/>
              <w:right w:val="nil"/>
            </w:tcBorders>
            <w:shd w:val="clear" w:color="000000" w:fill="FFFFFF"/>
            <w:noWrap/>
            <w:hideMark/>
          </w:tcPr>
          <w:p w14:paraId="6E7C5A20" w14:textId="77777777" w:rsidR="001B6918" w:rsidRPr="009655BC" w:rsidRDefault="001B6918" w:rsidP="00730ECF">
            <w:pPr>
              <w:jc w:val="right"/>
              <w:rPr>
                <w:rFonts w:ascii="Calibri" w:eastAsia="Times New Roman" w:hAnsi="Calibri" w:cs="Calibri"/>
              </w:rPr>
            </w:pPr>
            <w:r w:rsidRPr="00485135">
              <w:t xml:space="preserve"> 4,482 </w:t>
            </w:r>
          </w:p>
        </w:tc>
        <w:tc>
          <w:tcPr>
            <w:tcW w:w="1368" w:type="dxa"/>
            <w:tcBorders>
              <w:top w:val="nil"/>
              <w:left w:val="nil"/>
              <w:bottom w:val="nil"/>
              <w:right w:val="nil"/>
            </w:tcBorders>
            <w:shd w:val="clear" w:color="000000" w:fill="FFFFFF"/>
            <w:noWrap/>
            <w:vAlign w:val="bottom"/>
            <w:hideMark/>
          </w:tcPr>
          <w:p w14:paraId="339A7B5B" w14:textId="77777777" w:rsidR="001B6918" w:rsidRPr="009655BC" w:rsidRDefault="001B6918" w:rsidP="00730ECF">
            <w:pPr>
              <w:jc w:val="right"/>
              <w:rPr>
                <w:rFonts w:ascii="Calibri" w:eastAsia="Times New Roman" w:hAnsi="Calibri" w:cs="Calibri"/>
              </w:rPr>
            </w:pPr>
            <w:r w:rsidRPr="009655BC">
              <w:rPr>
                <w:rFonts w:ascii="Calibri" w:eastAsia="Times New Roman" w:hAnsi="Calibri" w:cs="Calibri"/>
              </w:rPr>
              <w:t xml:space="preserve">                     - </w:t>
            </w:r>
          </w:p>
        </w:tc>
        <w:tc>
          <w:tcPr>
            <w:tcW w:w="1224" w:type="dxa"/>
            <w:tcBorders>
              <w:top w:val="nil"/>
              <w:left w:val="nil"/>
              <w:bottom w:val="nil"/>
              <w:right w:val="nil"/>
            </w:tcBorders>
            <w:shd w:val="clear" w:color="000000" w:fill="FFFFFF"/>
            <w:noWrap/>
            <w:hideMark/>
          </w:tcPr>
          <w:p w14:paraId="487B241B" w14:textId="77777777" w:rsidR="001B6918" w:rsidRPr="00D012D8" w:rsidRDefault="001B6918" w:rsidP="00730ECF">
            <w:pPr>
              <w:jc w:val="right"/>
              <w:rPr>
                <w:rFonts w:ascii="Calibri" w:eastAsia="Times New Roman" w:hAnsi="Calibri" w:cs="Calibri"/>
                <w:color w:val="FF0000"/>
              </w:rPr>
            </w:pPr>
            <w:r w:rsidRPr="0070408A">
              <w:t xml:space="preserve"> 76,204 </w:t>
            </w:r>
          </w:p>
        </w:tc>
      </w:tr>
      <w:tr w:rsidR="001B6918" w:rsidRPr="005D0729" w14:paraId="27C4151A" w14:textId="77777777" w:rsidTr="00730ECF">
        <w:trPr>
          <w:gridAfter w:val="1"/>
          <w:wAfter w:w="17" w:type="dxa"/>
          <w:trHeight w:val="108"/>
        </w:trPr>
        <w:tc>
          <w:tcPr>
            <w:tcW w:w="3960" w:type="dxa"/>
            <w:tcBorders>
              <w:top w:val="nil"/>
              <w:left w:val="nil"/>
              <w:bottom w:val="nil"/>
              <w:right w:val="nil"/>
            </w:tcBorders>
            <w:shd w:val="clear" w:color="000000" w:fill="FFFFFF"/>
            <w:noWrap/>
            <w:vAlign w:val="bottom"/>
            <w:hideMark/>
          </w:tcPr>
          <w:p w14:paraId="1FF1CDD5" w14:textId="77777777" w:rsidR="001B6918" w:rsidRPr="005D0729" w:rsidRDefault="001B6918" w:rsidP="00730ECF">
            <w:pPr>
              <w:rPr>
                <w:rFonts w:ascii="Calibri" w:eastAsia="Times New Roman" w:hAnsi="Calibri" w:cs="Calibri"/>
                <w:color w:val="0D0D0D"/>
              </w:rPr>
            </w:pPr>
            <w:r w:rsidRPr="005D0729">
              <w:rPr>
                <w:rFonts w:ascii="Calibri" w:eastAsia="Times New Roman" w:hAnsi="Calibri" w:cs="Calibri"/>
                <w:color w:val="0D0D0D"/>
              </w:rPr>
              <w:t>Buildings &amp; improvements</w:t>
            </w:r>
          </w:p>
        </w:tc>
        <w:tc>
          <w:tcPr>
            <w:tcW w:w="1121" w:type="dxa"/>
            <w:tcBorders>
              <w:top w:val="nil"/>
              <w:left w:val="nil"/>
              <w:bottom w:val="nil"/>
              <w:right w:val="nil"/>
            </w:tcBorders>
            <w:shd w:val="clear" w:color="000000" w:fill="FFFFFF"/>
            <w:noWrap/>
            <w:vAlign w:val="bottom"/>
            <w:hideMark/>
          </w:tcPr>
          <w:p w14:paraId="1A723202" w14:textId="77777777" w:rsidR="001B6918" w:rsidRPr="005D0729" w:rsidRDefault="001B6918" w:rsidP="00730ECF">
            <w:pPr>
              <w:jc w:val="right"/>
              <w:rPr>
                <w:rFonts w:ascii="Calibri" w:eastAsia="Times New Roman" w:hAnsi="Calibri" w:cs="Calibri"/>
                <w:color w:val="0D0D0D"/>
              </w:rPr>
            </w:pPr>
            <w:r w:rsidRPr="005D0729">
              <w:rPr>
                <w:rFonts w:ascii="Calibri" w:eastAsia="Times New Roman" w:hAnsi="Calibri" w:cs="Calibri"/>
                <w:color w:val="0D0D0D"/>
              </w:rPr>
              <w:t xml:space="preserve">1,076,939 </w:t>
            </w:r>
          </w:p>
        </w:tc>
        <w:tc>
          <w:tcPr>
            <w:tcW w:w="1094" w:type="dxa"/>
            <w:tcBorders>
              <w:top w:val="nil"/>
              <w:left w:val="nil"/>
              <w:bottom w:val="nil"/>
              <w:right w:val="nil"/>
            </w:tcBorders>
            <w:shd w:val="clear" w:color="000000" w:fill="FFFFFF"/>
            <w:noWrap/>
            <w:vAlign w:val="bottom"/>
            <w:hideMark/>
          </w:tcPr>
          <w:p w14:paraId="29F53119" w14:textId="77777777" w:rsidR="001B6918" w:rsidRPr="009655BC" w:rsidRDefault="001B6918" w:rsidP="00730ECF">
            <w:pPr>
              <w:jc w:val="right"/>
              <w:rPr>
                <w:rFonts w:ascii="Calibri" w:eastAsia="Times New Roman" w:hAnsi="Calibri" w:cs="Calibri"/>
              </w:rPr>
            </w:pPr>
            <w:r>
              <w:rPr>
                <w:rFonts w:ascii="Calibri" w:hAnsi="Calibri" w:cs="Calibri"/>
              </w:rPr>
              <w:t xml:space="preserve">    </w:t>
            </w:r>
            <w:r w:rsidRPr="003D6832">
              <w:rPr>
                <w:rFonts w:ascii="Calibri" w:hAnsi="Calibri" w:cs="Calibri"/>
              </w:rPr>
              <w:t>23,916</w:t>
            </w:r>
          </w:p>
        </w:tc>
        <w:tc>
          <w:tcPr>
            <w:tcW w:w="1728" w:type="dxa"/>
            <w:tcBorders>
              <w:top w:val="nil"/>
              <w:left w:val="nil"/>
              <w:bottom w:val="nil"/>
              <w:right w:val="nil"/>
            </w:tcBorders>
            <w:shd w:val="clear" w:color="000000" w:fill="FFFFFF"/>
            <w:noWrap/>
            <w:hideMark/>
          </w:tcPr>
          <w:p w14:paraId="3E6952AA" w14:textId="77777777" w:rsidR="001B6918" w:rsidRPr="009655BC" w:rsidRDefault="001B6918" w:rsidP="00730ECF">
            <w:pPr>
              <w:jc w:val="right"/>
              <w:rPr>
                <w:rFonts w:ascii="Calibri" w:eastAsia="Times New Roman" w:hAnsi="Calibri" w:cs="Calibri"/>
              </w:rPr>
            </w:pPr>
            <w:r w:rsidRPr="00485135">
              <w:t xml:space="preserve"> 158,720 </w:t>
            </w:r>
          </w:p>
        </w:tc>
        <w:tc>
          <w:tcPr>
            <w:tcW w:w="1368" w:type="dxa"/>
            <w:tcBorders>
              <w:top w:val="nil"/>
              <w:left w:val="nil"/>
              <w:bottom w:val="nil"/>
              <w:right w:val="nil"/>
            </w:tcBorders>
            <w:shd w:val="clear" w:color="000000" w:fill="FFFFFF"/>
            <w:noWrap/>
            <w:hideMark/>
          </w:tcPr>
          <w:p w14:paraId="699521A4" w14:textId="77777777" w:rsidR="001B6918" w:rsidRPr="009655BC" w:rsidRDefault="001B6918" w:rsidP="00730ECF">
            <w:pPr>
              <w:jc w:val="right"/>
              <w:rPr>
                <w:rFonts w:ascii="Calibri" w:eastAsia="Times New Roman" w:hAnsi="Calibri" w:cs="Calibri"/>
              </w:rPr>
            </w:pPr>
            <w:r w:rsidRPr="00485135">
              <w:t xml:space="preserve"> (2,225)</w:t>
            </w:r>
          </w:p>
        </w:tc>
        <w:tc>
          <w:tcPr>
            <w:tcW w:w="1224" w:type="dxa"/>
            <w:tcBorders>
              <w:top w:val="nil"/>
              <w:left w:val="nil"/>
              <w:bottom w:val="nil"/>
              <w:right w:val="nil"/>
            </w:tcBorders>
            <w:shd w:val="clear" w:color="000000" w:fill="FFFFFF"/>
            <w:noWrap/>
            <w:hideMark/>
          </w:tcPr>
          <w:p w14:paraId="19388146" w14:textId="77777777" w:rsidR="001B6918" w:rsidRPr="00D012D8" w:rsidRDefault="001B6918" w:rsidP="00730ECF">
            <w:pPr>
              <w:jc w:val="right"/>
              <w:rPr>
                <w:rFonts w:ascii="Calibri" w:eastAsia="Times New Roman" w:hAnsi="Calibri" w:cs="Calibri"/>
                <w:color w:val="FF0000"/>
              </w:rPr>
            </w:pPr>
            <w:r w:rsidRPr="0070408A">
              <w:t xml:space="preserve"> 1,257,3</w:t>
            </w:r>
            <w:r>
              <w:t>50</w:t>
            </w:r>
            <w:r w:rsidRPr="0070408A">
              <w:t xml:space="preserve"> </w:t>
            </w:r>
          </w:p>
        </w:tc>
      </w:tr>
      <w:tr w:rsidR="001B6918" w:rsidRPr="005D0729" w14:paraId="5F30C20E" w14:textId="77777777" w:rsidTr="00730ECF">
        <w:trPr>
          <w:gridAfter w:val="1"/>
          <w:wAfter w:w="17" w:type="dxa"/>
          <w:trHeight w:val="117"/>
        </w:trPr>
        <w:tc>
          <w:tcPr>
            <w:tcW w:w="3960" w:type="dxa"/>
            <w:tcBorders>
              <w:top w:val="nil"/>
              <w:left w:val="nil"/>
              <w:bottom w:val="nil"/>
              <w:right w:val="nil"/>
            </w:tcBorders>
            <w:shd w:val="clear" w:color="000000" w:fill="FFFFFF"/>
            <w:noWrap/>
            <w:vAlign w:val="bottom"/>
            <w:hideMark/>
          </w:tcPr>
          <w:p w14:paraId="286A428A" w14:textId="77777777" w:rsidR="001B6918" w:rsidRPr="005D0729" w:rsidRDefault="001B6918" w:rsidP="00730ECF">
            <w:pPr>
              <w:rPr>
                <w:rFonts w:ascii="Calibri" w:eastAsia="Times New Roman" w:hAnsi="Calibri" w:cs="Calibri"/>
                <w:color w:val="0D0D0D"/>
              </w:rPr>
            </w:pPr>
            <w:r w:rsidRPr="005D0729">
              <w:rPr>
                <w:rFonts w:ascii="Calibri" w:eastAsia="Times New Roman" w:hAnsi="Calibri" w:cs="Calibri"/>
                <w:color w:val="0D0D0D"/>
              </w:rPr>
              <w:t>Equipment</w:t>
            </w:r>
          </w:p>
        </w:tc>
        <w:tc>
          <w:tcPr>
            <w:tcW w:w="1121" w:type="dxa"/>
            <w:tcBorders>
              <w:top w:val="nil"/>
              <w:left w:val="nil"/>
              <w:bottom w:val="nil"/>
              <w:right w:val="nil"/>
            </w:tcBorders>
            <w:shd w:val="clear" w:color="000000" w:fill="FFFFFF"/>
            <w:noWrap/>
            <w:vAlign w:val="bottom"/>
            <w:hideMark/>
          </w:tcPr>
          <w:p w14:paraId="0F877589" w14:textId="77777777" w:rsidR="001B6918" w:rsidRPr="005D0729" w:rsidRDefault="001B6918" w:rsidP="00730ECF">
            <w:pPr>
              <w:jc w:val="right"/>
              <w:rPr>
                <w:rFonts w:ascii="Calibri" w:eastAsia="Times New Roman" w:hAnsi="Calibri" w:cs="Calibri"/>
                <w:color w:val="000000"/>
              </w:rPr>
            </w:pPr>
            <w:r w:rsidRPr="005D0729">
              <w:rPr>
                <w:rFonts w:ascii="Calibri" w:eastAsia="Times New Roman" w:hAnsi="Calibri" w:cs="Calibri"/>
                <w:color w:val="0D0D0D"/>
              </w:rPr>
              <w:t xml:space="preserve">182,501 </w:t>
            </w:r>
          </w:p>
        </w:tc>
        <w:tc>
          <w:tcPr>
            <w:tcW w:w="1094" w:type="dxa"/>
            <w:tcBorders>
              <w:top w:val="nil"/>
              <w:left w:val="nil"/>
              <w:bottom w:val="nil"/>
              <w:right w:val="nil"/>
            </w:tcBorders>
            <w:shd w:val="clear" w:color="000000" w:fill="FFFFFF"/>
            <w:noWrap/>
            <w:vAlign w:val="bottom"/>
            <w:hideMark/>
          </w:tcPr>
          <w:p w14:paraId="5AB4D498" w14:textId="77777777" w:rsidR="001B6918" w:rsidRPr="009655BC" w:rsidRDefault="001B6918" w:rsidP="00730ECF">
            <w:pPr>
              <w:jc w:val="right"/>
              <w:rPr>
                <w:rFonts w:ascii="Calibri" w:eastAsia="Times New Roman" w:hAnsi="Calibri" w:cs="Calibri"/>
              </w:rPr>
            </w:pPr>
            <w:r>
              <w:rPr>
                <w:rFonts w:ascii="Calibri" w:hAnsi="Calibri" w:cs="Calibri"/>
              </w:rPr>
              <w:t xml:space="preserve">      9,473 </w:t>
            </w:r>
          </w:p>
        </w:tc>
        <w:tc>
          <w:tcPr>
            <w:tcW w:w="1728" w:type="dxa"/>
            <w:tcBorders>
              <w:top w:val="nil"/>
              <w:left w:val="nil"/>
              <w:bottom w:val="nil"/>
              <w:right w:val="nil"/>
            </w:tcBorders>
            <w:shd w:val="clear" w:color="000000" w:fill="FFFFFF"/>
            <w:noWrap/>
            <w:hideMark/>
          </w:tcPr>
          <w:p w14:paraId="664CC487" w14:textId="77777777" w:rsidR="001B6918" w:rsidRPr="009655BC" w:rsidRDefault="001B6918" w:rsidP="00730ECF">
            <w:pPr>
              <w:jc w:val="right"/>
              <w:rPr>
                <w:rFonts w:ascii="Calibri" w:eastAsia="Times New Roman" w:hAnsi="Calibri" w:cs="Calibri"/>
              </w:rPr>
            </w:pPr>
            <w:r w:rsidRPr="00485135">
              <w:t xml:space="preserve"> 5,580 </w:t>
            </w:r>
          </w:p>
        </w:tc>
        <w:tc>
          <w:tcPr>
            <w:tcW w:w="1368" w:type="dxa"/>
            <w:tcBorders>
              <w:top w:val="nil"/>
              <w:left w:val="nil"/>
              <w:bottom w:val="nil"/>
              <w:right w:val="nil"/>
            </w:tcBorders>
            <w:shd w:val="clear" w:color="000000" w:fill="FFFFFF"/>
            <w:noWrap/>
            <w:hideMark/>
          </w:tcPr>
          <w:p w14:paraId="2A1C4BCE" w14:textId="77777777" w:rsidR="001B6918" w:rsidRPr="009655BC" w:rsidRDefault="001B6918" w:rsidP="00730ECF">
            <w:pPr>
              <w:jc w:val="right"/>
              <w:rPr>
                <w:rFonts w:ascii="Calibri" w:eastAsia="Times New Roman" w:hAnsi="Calibri" w:cs="Calibri"/>
              </w:rPr>
            </w:pPr>
            <w:r w:rsidRPr="00485135">
              <w:t xml:space="preserve"> (1,061)</w:t>
            </w:r>
          </w:p>
        </w:tc>
        <w:tc>
          <w:tcPr>
            <w:tcW w:w="1224" w:type="dxa"/>
            <w:tcBorders>
              <w:top w:val="nil"/>
              <w:left w:val="nil"/>
              <w:bottom w:val="nil"/>
              <w:right w:val="nil"/>
            </w:tcBorders>
            <w:shd w:val="clear" w:color="000000" w:fill="FFFFFF"/>
            <w:noWrap/>
            <w:hideMark/>
          </w:tcPr>
          <w:p w14:paraId="1A94F2BB" w14:textId="77777777" w:rsidR="001B6918" w:rsidRPr="00D012D8" w:rsidRDefault="001B6918" w:rsidP="00730ECF">
            <w:pPr>
              <w:jc w:val="right"/>
              <w:rPr>
                <w:rFonts w:ascii="Calibri" w:eastAsia="Times New Roman" w:hAnsi="Calibri" w:cs="Calibri"/>
                <w:color w:val="FF0000"/>
              </w:rPr>
            </w:pPr>
            <w:r w:rsidRPr="0070408A">
              <w:t xml:space="preserve"> 196,493 </w:t>
            </w:r>
          </w:p>
        </w:tc>
      </w:tr>
      <w:tr w:rsidR="001B6918" w:rsidRPr="005D0729" w14:paraId="2A2AD041" w14:textId="77777777" w:rsidTr="00730ECF">
        <w:trPr>
          <w:gridAfter w:val="1"/>
          <w:wAfter w:w="17" w:type="dxa"/>
          <w:trHeight w:val="117"/>
        </w:trPr>
        <w:tc>
          <w:tcPr>
            <w:tcW w:w="3960" w:type="dxa"/>
            <w:tcBorders>
              <w:top w:val="nil"/>
              <w:left w:val="nil"/>
              <w:bottom w:val="nil"/>
              <w:right w:val="nil"/>
            </w:tcBorders>
            <w:shd w:val="clear" w:color="000000" w:fill="FFFFFF"/>
            <w:noWrap/>
            <w:vAlign w:val="bottom"/>
            <w:hideMark/>
          </w:tcPr>
          <w:p w14:paraId="6C916FEB" w14:textId="77777777" w:rsidR="001B6918" w:rsidRPr="005D0729" w:rsidRDefault="001B6918" w:rsidP="00730ECF">
            <w:pPr>
              <w:rPr>
                <w:rFonts w:ascii="Calibri" w:eastAsia="Times New Roman" w:hAnsi="Calibri" w:cs="Calibri"/>
                <w:color w:val="0D0D0D"/>
              </w:rPr>
            </w:pPr>
            <w:r w:rsidRPr="005D0729">
              <w:rPr>
                <w:rFonts w:ascii="Calibri" w:eastAsia="Times New Roman" w:hAnsi="Calibri" w:cs="Calibri"/>
                <w:color w:val="0D0D0D"/>
              </w:rPr>
              <w:t>Software</w:t>
            </w:r>
          </w:p>
        </w:tc>
        <w:tc>
          <w:tcPr>
            <w:tcW w:w="1121" w:type="dxa"/>
            <w:tcBorders>
              <w:top w:val="nil"/>
              <w:left w:val="nil"/>
              <w:bottom w:val="nil"/>
              <w:right w:val="nil"/>
            </w:tcBorders>
            <w:shd w:val="clear" w:color="000000" w:fill="FFFFFF"/>
            <w:noWrap/>
            <w:vAlign w:val="bottom"/>
            <w:hideMark/>
          </w:tcPr>
          <w:p w14:paraId="227F8C99" w14:textId="77777777" w:rsidR="001B6918" w:rsidRPr="005D0729" w:rsidRDefault="001B6918" w:rsidP="00730ECF">
            <w:pPr>
              <w:jc w:val="right"/>
              <w:rPr>
                <w:rFonts w:ascii="Calibri" w:eastAsia="Times New Roman" w:hAnsi="Calibri" w:cs="Calibri"/>
                <w:color w:val="000000"/>
              </w:rPr>
            </w:pPr>
            <w:r w:rsidRPr="005D0729">
              <w:rPr>
                <w:rFonts w:ascii="Calibri" w:eastAsia="Times New Roman" w:hAnsi="Calibri" w:cs="Calibri"/>
                <w:color w:val="0D0D0D"/>
              </w:rPr>
              <w:t xml:space="preserve">31,030 </w:t>
            </w:r>
          </w:p>
        </w:tc>
        <w:tc>
          <w:tcPr>
            <w:tcW w:w="1094" w:type="dxa"/>
            <w:tcBorders>
              <w:top w:val="nil"/>
              <w:left w:val="nil"/>
              <w:bottom w:val="nil"/>
              <w:right w:val="nil"/>
            </w:tcBorders>
            <w:shd w:val="clear" w:color="000000" w:fill="FFFFFF"/>
            <w:noWrap/>
            <w:vAlign w:val="bottom"/>
            <w:hideMark/>
          </w:tcPr>
          <w:p w14:paraId="124197BC" w14:textId="77777777" w:rsidR="001B6918" w:rsidRPr="009655BC" w:rsidRDefault="001B6918" w:rsidP="00730ECF">
            <w:pPr>
              <w:jc w:val="right"/>
              <w:rPr>
                <w:rFonts w:ascii="Calibri" w:eastAsia="Times New Roman" w:hAnsi="Calibri" w:cs="Calibri"/>
              </w:rPr>
            </w:pPr>
            <w:r>
              <w:rPr>
                <w:rFonts w:ascii="Calibri" w:hAnsi="Calibri" w:cs="Calibri"/>
              </w:rPr>
              <w:t xml:space="preserve">           62 </w:t>
            </w:r>
          </w:p>
        </w:tc>
        <w:tc>
          <w:tcPr>
            <w:tcW w:w="1728" w:type="dxa"/>
            <w:tcBorders>
              <w:top w:val="nil"/>
              <w:left w:val="nil"/>
              <w:bottom w:val="nil"/>
              <w:right w:val="nil"/>
            </w:tcBorders>
            <w:shd w:val="clear" w:color="000000" w:fill="FFFFFF"/>
            <w:noWrap/>
            <w:vAlign w:val="bottom"/>
            <w:hideMark/>
          </w:tcPr>
          <w:p w14:paraId="7966CC14" w14:textId="77777777" w:rsidR="001B6918" w:rsidRPr="009655BC" w:rsidRDefault="001B6918" w:rsidP="00730ECF">
            <w:pPr>
              <w:jc w:val="right"/>
              <w:rPr>
                <w:rFonts w:ascii="Calibri" w:eastAsia="Times New Roman" w:hAnsi="Calibri" w:cs="Calibri"/>
              </w:rPr>
            </w:pPr>
            <w:r w:rsidRPr="009655BC">
              <w:rPr>
                <w:rFonts w:ascii="Calibri" w:eastAsia="Times New Roman" w:hAnsi="Calibri" w:cs="Calibri"/>
              </w:rPr>
              <w:t>-</w:t>
            </w:r>
          </w:p>
        </w:tc>
        <w:tc>
          <w:tcPr>
            <w:tcW w:w="1368" w:type="dxa"/>
            <w:tcBorders>
              <w:top w:val="nil"/>
              <w:left w:val="nil"/>
              <w:bottom w:val="nil"/>
              <w:right w:val="nil"/>
            </w:tcBorders>
            <w:shd w:val="clear" w:color="000000" w:fill="FFFFFF"/>
            <w:noWrap/>
            <w:hideMark/>
          </w:tcPr>
          <w:p w14:paraId="77B011B9" w14:textId="77777777" w:rsidR="001B6918" w:rsidRPr="009655BC" w:rsidRDefault="001B6918" w:rsidP="00730ECF">
            <w:pPr>
              <w:jc w:val="right"/>
              <w:rPr>
                <w:rFonts w:ascii="Calibri" w:eastAsia="Times New Roman" w:hAnsi="Calibri" w:cs="Calibri"/>
              </w:rPr>
            </w:pPr>
            <w:r w:rsidRPr="006F451D">
              <w:rPr>
                <w:rFonts w:ascii="Calibri" w:eastAsia="Times New Roman" w:hAnsi="Calibri" w:cs="Calibri"/>
              </w:rPr>
              <w:t xml:space="preserve">- </w:t>
            </w:r>
            <w:r w:rsidRPr="00485135">
              <w:t xml:space="preserve"> </w:t>
            </w:r>
          </w:p>
        </w:tc>
        <w:tc>
          <w:tcPr>
            <w:tcW w:w="1224" w:type="dxa"/>
            <w:tcBorders>
              <w:top w:val="nil"/>
              <w:left w:val="nil"/>
              <w:bottom w:val="nil"/>
              <w:right w:val="nil"/>
            </w:tcBorders>
            <w:shd w:val="clear" w:color="000000" w:fill="FFFFFF"/>
            <w:noWrap/>
            <w:hideMark/>
          </w:tcPr>
          <w:p w14:paraId="38A4ED27" w14:textId="77777777" w:rsidR="001B6918" w:rsidRPr="00D012D8" w:rsidRDefault="001B6918" w:rsidP="00730ECF">
            <w:pPr>
              <w:jc w:val="right"/>
              <w:rPr>
                <w:rFonts w:ascii="Calibri" w:eastAsia="Times New Roman" w:hAnsi="Calibri" w:cs="Calibri"/>
                <w:color w:val="FF0000"/>
              </w:rPr>
            </w:pPr>
            <w:r w:rsidRPr="0070408A">
              <w:t xml:space="preserve"> 31,092 </w:t>
            </w:r>
          </w:p>
        </w:tc>
      </w:tr>
      <w:tr w:rsidR="001B6918" w:rsidRPr="005D0729" w14:paraId="5D61BB30" w14:textId="77777777" w:rsidTr="00730ECF">
        <w:trPr>
          <w:gridAfter w:val="1"/>
          <w:wAfter w:w="17" w:type="dxa"/>
          <w:trHeight w:val="207"/>
        </w:trPr>
        <w:tc>
          <w:tcPr>
            <w:tcW w:w="3960" w:type="dxa"/>
            <w:tcBorders>
              <w:top w:val="nil"/>
              <w:left w:val="nil"/>
              <w:bottom w:val="nil"/>
              <w:right w:val="nil"/>
            </w:tcBorders>
            <w:shd w:val="clear" w:color="000000" w:fill="FFFFFF"/>
            <w:noWrap/>
            <w:vAlign w:val="bottom"/>
            <w:hideMark/>
          </w:tcPr>
          <w:p w14:paraId="47841458" w14:textId="77777777" w:rsidR="001B6918" w:rsidRPr="005D0729" w:rsidRDefault="001B6918" w:rsidP="00730ECF">
            <w:pPr>
              <w:rPr>
                <w:rFonts w:ascii="Calibri" w:eastAsia="Times New Roman" w:hAnsi="Calibri" w:cs="Calibri"/>
                <w:color w:val="0D0D0D"/>
              </w:rPr>
            </w:pPr>
            <w:r w:rsidRPr="005D0729">
              <w:rPr>
                <w:rFonts w:ascii="Calibri" w:eastAsia="Times New Roman" w:hAnsi="Calibri" w:cs="Calibri"/>
                <w:color w:val="0D0D0D"/>
              </w:rPr>
              <w:t>Right-to-use assets, buildings (Note 7)</w:t>
            </w:r>
          </w:p>
        </w:tc>
        <w:tc>
          <w:tcPr>
            <w:tcW w:w="1121" w:type="dxa"/>
            <w:tcBorders>
              <w:top w:val="nil"/>
              <w:left w:val="nil"/>
              <w:bottom w:val="nil"/>
              <w:right w:val="nil"/>
            </w:tcBorders>
            <w:shd w:val="clear" w:color="000000" w:fill="FFFFFF"/>
            <w:noWrap/>
            <w:vAlign w:val="bottom"/>
            <w:hideMark/>
          </w:tcPr>
          <w:p w14:paraId="310D5FCB" w14:textId="77777777" w:rsidR="001B6918" w:rsidRPr="005D0729" w:rsidRDefault="001B6918" w:rsidP="00730ECF">
            <w:pPr>
              <w:jc w:val="right"/>
              <w:rPr>
                <w:rFonts w:ascii="Calibri" w:eastAsia="Times New Roman" w:hAnsi="Calibri" w:cs="Calibri"/>
                <w:color w:val="000000"/>
              </w:rPr>
            </w:pPr>
            <w:r w:rsidRPr="005D0729">
              <w:rPr>
                <w:rFonts w:ascii="Calibri" w:eastAsia="Times New Roman" w:hAnsi="Calibri" w:cs="Calibri"/>
                <w:color w:val="0D0D0D"/>
              </w:rPr>
              <w:t xml:space="preserve">62,914 </w:t>
            </w:r>
          </w:p>
        </w:tc>
        <w:tc>
          <w:tcPr>
            <w:tcW w:w="1094" w:type="dxa"/>
            <w:tcBorders>
              <w:top w:val="nil"/>
              <w:left w:val="nil"/>
              <w:bottom w:val="nil"/>
              <w:right w:val="nil"/>
            </w:tcBorders>
            <w:shd w:val="clear" w:color="000000" w:fill="FFFFFF"/>
            <w:noWrap/>
            <w:vAlign w:val="bottom"/>
            <w:hideMark/>
          </w:tcPr>
          <w:p w14:paraId="6920B0D5" w14:textId="77777777" w:rsidR="001B6918" w:rsidRPr="009655BC" w:rsidRDefault="001B6918" w:rsidP="00730ECF">
            <w:pPr>
              <w:jc w:val="right"/>
              <w:rPr>
                <w:rFonts w:ascii="Calibri" w:eastAsia="Times New Roman" w:hAnsi="Calibri" w:cs="Calibri"/>
              </w:rPr>
            </w:pPr>
            <w:r>
              <w:rPr>
                <w:rFonts w:ascii="Calibri" w:hAnsi="Calibri" w:cs="Calibri"/>
              </w:rPr>
              <w:t xml:space="preserve">       8,290 </w:t>
            </w:r>
          </w:p>
        </w:tc>
        <w:tc>
          <w:tcPr>
            <w:tcW w:w="1728" w:type="dxa"/>
            <w:tcBorders>
              <w:top w:val="nil"/>
              <w:left w:val="nil"/>
              <w:bottom w:val="nil"/>
              <w:right w:val="nil"/>
            </w:tcBorders>
            <w:shd w:val="clear" w:color="000000" w:fill="FFFFFF"/>
            <w:noWrap/>
            <w:vAlign w:val="bottom"/>
            <w:hideMark/>
          </w:tcPr>
          <w:p w14:paraId="262CBD2A" w14:textId="77777777" w:rsidR="001B6918" w:rsidRPr="009655BC" w:rsidRDefault="001B6918" w:rsidP="00730ECF">
            <w:pPr>
              <w:jc w:val="right"/>
              <w:rPr>
                <w:rFonts w:ascii="Calibri" w:eastAsia="Times New Roman" w:hAnsi="Calibri" w:cs="Calibri"/>
              </w:rPr>
            </w:pPr>
            <w:r w:rsidRPr="009655BC">
              <w:rPr>
                <w:rFonts w:ascii="Calibri" w:eastAsia="Times New Roman" w:hAnsi="Calibri" w:cs="Calibri"/>
              </w:rPr>
              <w:t>-</w:t>
            </w:r>
          </w:p>
        </w:tc>
        <w:tc>
          <w:tcPr>
            <w:tcW w:w="1368" w:type="dxa"/>
            <w:tcBorders>
              <w:top w:val="nil"/>
              <w:left w:val="nil"/>
              <w:bottom w:val="nil"/>
              <w:right w:val="nil"/>
            </w:tcBorders>
            <w:shd w:val="clear" w:color="000000" w:fill="FFFFFF"/>
            <w:noWrap/>
            <w:vAlign w:val="bottom"/>
            <w:hideMark/>
          </w:tcPr>
          <w:p w14:paraId="1D61A94F" w14:textId="77777777" w:rsidR="001B6918" w:rsidRPr="009655BC" w:rsidRDefault="001B6918" w:rsidP="00730ECF">
            <w:pPr>
              <w:jc w:val="right"/>
              <w:rPr>
                <w:rFonts w:ascii="Calibri" w:eastAsia="Times New Roman" w:hAnsi="Calibri" w:cs="Calibri"/>
              </w:rPr>
            </w:pPr>
            <w:r w:rsidRPr="009655BC">
              <w:rPr>
                <w:rFonts w:ascii="Calibri" w:eastAsia="Times New Roman" w:hAnsi="Calibri" w:cs="Calibri"/>
              </w:rPr>
              <w:t xml:space="preserve">- </w:t>
            </w:r>
          </w:p>
        </w:tc>
        <w:tc>
          <w:tcPr>
            <w:tcW w:w="1224" w:type="dxa"/>
            <w:tcBorders>
              <w:top w:val="nil"/>
              <w:left w:val="nil"/>
              <w:bottom w:val="nil"/>
              <w:right w:val="nil"/>
            </w:tcBorders>
            <w:shd w:val="clear" w:color="000000" w:fill="FFFFFF"/>
            <w:noWrap/>
            <w:hideMark/>
          </w:tcPr>
          <w:p w14:paraId="46A90641" w14:textId="77777777" w:rsidR="001B6918" w:rsidRPr="00D012D8" w:rsidRDefault="001B6918" w:rsidP="00730ECF">
            <w:pPr>
              <w:jc w:val="right"/>
              <w:rPr>
                <w:rFonts w:ascii="Calibri" w:eastAsia="Times New Roman" w:hAnsi="Calibri" w:cs="Calibri"/>
                <w:color w:val="FF0000"/>
              </w:rPr>
            </w:pPr>
            <w:r w:rsidRPr="0070408A">
              <w:t xml:space="preserve"> 71,204 </w:t>
            </w:r>
          </w:p>
        </w:tc>
      </w:tr>
      <w:tr w:rsidR="001B6918" w:rsidRPr="005D0729" w14:paraId="2E10551C" w14:textId="77777777" w:rsidTr="00730ECF">
        <w:trPr>
          <w:gridAfter w:val="1"/>
          <w:wAfter w:w="17" w:type="dxa"/>
          <w:trHeight w:val="117"/>
        </w:trPr>
        <w:tc>
          <w:tcPr>
            <w:tcW w:w="3960" w:type="dxa"/>
            <w:tcBorders>
              <w:top w:val="nil"/>
              <w:left w:val="nil"/>
              <w:bottom w:val="nil"/>
              <w:right w:val="nil"/>
            </w:tcBorders>
            <w:shd w:val="clear" w:color="000000" w:fill="FFFFFF"/>
            <w:noWrap/>
            <w:vAlign w:val="bottom"/>
            <w:hideMark/>
          </w:tcPr>
          <w:p w14:paraId="0956F689" w14:textId="77777777" w:rsidR="001B6918" w:rsidRPr="005D0729" w:rsidRDefault="001B6918" w:rsidP="00730ECF">
            <w:pPr>
              <w:rPr>
                <w:rFonts w:ascii="Calibri" w:eastAsia="Times New Roman" w:hAnsi="Calibri" w:cs="Calibri"/>
                <w:color w:val="0D0D0D"/>
              </w:rPr>
            </w:pPr>
            <w:r w:rsidRPr="005D0729">
              <w:rPr>
                <w:rFonts w:ascii="Calibri" w:eastAsia="Times New Roman" w:hAnsi="Calibri" w:cs="Calibri"/>
                <w:color w:val="0D0D0D"/>
              </w:rPr>
              <w:t>Subscription based IT arrangements</w:t>
            </w:r>
          </w:p>
        </w:tc>
        <w:tc>
          <w:tcPr>
            <w:tcW w:w="1121" w:type="dxa"/>
            <w:tcBorders>
              <w:top w:val="nil"/>
              <w:left w:val="nil"/>
              <w:bottom w:val="nil"/>
              <w:right w:val="nil"/>
            </w:tcBorders>
            <w:shd w:val="clear" w:color="000000" w:fill="FFFFFF"/>
            <w:noWrap/>
            <w:vAlign w:val="bottom"/>
            <w:hideMark/>
          </w:tcPr>
          <w:p w14:paraId="683C8DEE" w14:textId="77777777" w:rsidR="001B6918" w:rsidRPr="005D0729" w:rsidRDefault="001B6918" w:rsidP="00730ECF">
            <w:pPr>
              <w:jc w:val="right"/>
              <w:rPr>
                <w:rFonts w:ascii="Calibri" w:eastAsia="Times New Roman" w:hAnsi="Calibri" w:cs="Calibri"/>
                <w:color w:val="000000"/>
              </w:rPr>
            </w:pPr>
            <w:r w:rsidRPr="005D0729">
              <w:rPr>
                <w:rFonts w:ascii="Calibri" w:eastAsia="Times New Roman" w:hAnsi="Calibri" w:cs="Calibri"/>
                <w:color w:val="0D0D0D"/>
              </w:rPr>
              <w:t xml:space="preserve">22,770 </w:t>
            </w:r>
          </w:p>
        </w:tc>
        <w:tc>
          <w:tcPr>
            <w:tcW w:w="1094" w:type="dxa"/>
            <w:tcBorders>
              <w:top w:val="nil"/>
              <w:left w:val="nil"/>
              <w:bottom w:val="single" w:sz="4" w:space="0" w:color="00688D"/>
              <w:right w:val="nil"/>
            </w:tcBorders>
            <w:shd w:val="clear" w:color="000000" w:fill="FFFFFF"/>
            <w:noWrap/>
            <w:vAlign w:val="bottom"/>
            <w:hideMark/>
          </w:tcPr>
          <w:p w14:paraId="761DCB15" w14:textId="77777777" w:rsidR="001B6918" w:rsidRPr="009655BC" w:rsidRDefault="001B6918" w:rsidP="00730ECF">
            <w:pPr>
              <w:jc w:val="right"/>
              <w:rPr>
                <w:rFonts w:ascii="Calibri" w:eastAsia="Times New Roman" w:hAnsi="Calibri" w:cs="Calibri"/>
              </w:rPr>
            </w:pPr>
            <w:r>
              <w:rPr>
                <w:rFonts w:ascii="Calibri" w:hAnsi="Calibri" w:cs="Calibri"/>
              </w:rPr>
              <w:t xml:space="preserve">       2,760 </w:t>
            </w:r>
          </w:p>
        </w:tc>
        <w:tc>
          <w:tcPr>
            <w:tcW w:w="1728" w:type="dxa"/>
            <w:tcBorders>
              <w:top w:val="nil"/>
              <w:left w:val="nil"/>
              <w:bottom w:val="nil"/>
              <w:right w:val="nil"/>
            </w:tcBorders>
            <w:shd w:val="clear" w:color="000000" w:fill="FFFFFF"/>
            <w:noWrap/>
            <w:vAlign w:val="bottom"/>
            <w:hideMark/>
          </w:tcPr>
          <w:p w14:paraId="7004ECD9" w14:textId="77777777" w:rsidR="001B6918" w:rsidRPr="009655BC" w:rsidRDefault="001B6918" w:rsidP="00730ECF">
            <w:pPr>
              <w:jc w:val="right"/>
              <w:rPr>
                <w:rFonts w:ascii="Calibri" w:eastAsia="Times New Roman" w:hAnsi="Calibri" w:cs="Calibri"/>
              </w:rPr>
            </w:pPr>
            <w:r w:rsidRPr="009655BC">
              <w:rPr>
                <w:rFonts w:ascii="Calibri" w:eastAsia="Times New Roman" w:hAnsi="Calibri" w:cs="Calibri"/>
              </w:rPr>
              <w:t>-</w:t>
            </w:r>
          </w:p>
        </w:tc>
        <w:tc>
          <w:tcPr>
            <w:tcW w:w="1368" w:type="dxa"/>
            <w:tcBorders>
              <w:top w:val="nil"/>
              <w:left w:val="nil"/>
              <w:bottom w:val="nil"/>
              <w:right w:val="nil"/>
            </w:tcBorders>
            <w:shd w:val="clear" w:color="000000" w:fill="FFFFFF"/>
            <w:noWrap/>
            <w:vAlign w:val="bottom"/>
            <w:hideMark/>
          </w:tcPr>
          <w:p w14:paraId="07FF235E" w14:textId="77777777" w:rsidR="001B6918" w:rsidRPr="009655BC" w:rsidRDefault="001B6918" w:rsidP="00730ECF">
            <w:pPr>
              <w:jc w:val="right"/>
              <w:rPr>
                <w:rFonts w:ascii="Calibri" w:eastAsia="Times New Roman" w:hAnsi="Calibri" w:cs="Calibri"/>
              </w:rPr>
            </w:pPr>
            <w:r w:rsidRPr="009655BC">
              <w:rPr>
                <w:rFonts w:ascii="Calibri" w:eastAsia="Times New Roman" w:hAnsi="Calibri" w:cs="Calibri"/>
              </w:rPr>
              <w:t xml:space="preserve">- </w:t>
            </w:r>
          </w:p>
        </w:tc>
        <w:tc>
          <w:tcPr>
            <w:tcW w:w="1224" w:type="dxa"/>
            <w:tcBorders>
              <w:top w:val="nil"/>
              <w:left w:val="nil"/>
              <w:bottom w:val="nil"/>
              <w:right w:val="nil"/>
            </w:tcBorders>
            <w:shd w:val="clear" w:color="000000" w:fill="FFFFFF"/>
            <w:noWrap/>
            <w:hideMark/>
          </w:tcPr>
          <w:p w14:paraId="61FC7B3A" w14:textId="77777777" w:rsidR="001B6918" w:rsidRPr="00D012D8" w:rsidRDefault="001B6918" w:rsidP="00730ECF">
            <w:pPr>
              <w:jc w:val="right"/>
              <w:rPr>
                <w:rFonts w:ascii="Calibri" w:eastAsia="Times New Roman" w:hAnsi="Calibri" w:cs="Calibri"/>
                <w:color w:val="FF0000"/>
              </w:rPr>
            </w:pPr>
            <w:r w:rsidRPr="0070408A">
              <w:t xml:space="preserve"> 25,530 </w:t>
            </w:r>
          </w:p>
        </w:tc>
      </w:tr>
      <w:tr w:rsidR="001B6918" w:rsidRPr="005D0729" w14:paraId="57DE079B" w14:textId="77777777" w:rsidTr="00730ECF">
        <w:trPr>
          <w:gridAfter w:val="1"/>
          <w:wAfter w:w="17" w:type="dxa"/>
          <w:trHeight w:val="197"/>
        </w:trPr>
        <w:tc>
          <w:tcPr>
            <w:tcW w:w="3960" w:type="dxa"/>
            <w:tcBorders>
              <w:top w:val="single" w:sz="4" w:space="0" w:color="000000"/>
              <w:left w:val="nil"/>
              <w:bottom w:val="single" w:sz="4" w:space="0" w:color="000000"/>
              <w:right w:val="nil"/>
            </w:tcBorders>
            <w:shd w:val="clear" w:color="000000" w:fill="FFFFFF"/>
            <w:noWrap/>
            <w:vAlign w:val="bottom"/>
            <w:hideMark/>
          </w:tcPr>
          <w:p w14:paraId="439DE25F" w14:textId="77777777" w:rsidR="001B6918" w:rsidRPr="005D0729" w:rsidRDefault="001B6918" w:rsidP="00730ECF">
            <w:pPr>
              <w:rPr>
                <w:rFonts w:ascii="Calibri" w:eastAsia="Times New Roman" w:hAnsi="Calibri" w:cs="Calibri"/>
                <w:color w:val="0D0D0D"/>
              </w:rPr>
            </w:pPr>
            <w:r w:rsidRPr="005D0729">
              <w:rPr>
                <w:rFonts w:ascii="Calibri" w:eastAsia="Times New Roman" w:hAnsi="Calibri" w:cs="Calibri"/>
                <w:color w:val="0D0D0D"/>
              </w:rPr>
              <w:t xml:space="preserve">Total depreciable </w:t>
            </w:r>
            <w:r>
              <w:rPr>
                <w:rFonts w:ascii="Calibri" w:eastAsia="Times New Roman" w:hAnsi="Calibri" w:cs="Calibri"/>
                <w:color w:val="0D0D0D"/>
              </w:rPr>
              <w:t xml:space="preserve">and amortizable </w:t>
            </w:r>
            <w:r w:rsidRPr="005D0729">
              <w:rPr>
                <w:rFonts w:ascii="Calibri" w:eastAsia="Times New Roman" w:hAnsi="Calibri" w:cs="Calibri"/>
                <w:color w:val="0D0D0D"/>
              </w:rPr>
              <w:t>assets</w:t>
            </w:r>
          </w:p>
        </w:tc>
        <w:tc>
          <w:tcPr>
            <w:tcW w:w="1121" w:type="dxa"/>
            <w:tcBorders>
              <w:top w:val="single" w:sz="4" w:space="0" w:color="000000"/>
              <w:left w:val="nil"/>
              <w:bottom w:val="single" w:sz="4" w:space="0" w:color="000000"/>
              <w:right w:val="nil"/>
            </w:tcBorders>
            <w:shd w:val="clear" w:color="000000" w:fill="FFFFFF"/>
            <w:noWrap/>
            <w:vAlign w:val="bottom"/>
            <w:hideMark/>
          </w:tcPr>
          <w:p w14:paraId="1B023021" w14:textId="77777777" w:rsidR="001B6918" w:rsidRPr="005D0729" w:rsidRDefault="001B6918" w:rsidP="00730ECF">
            <w:pPr>
              <w:jc w:val="right"/>
              <w:rPr>
                <w:rFonts w:ascii="Calibri" w:eastAsia="Times New Roman" w:hAnsi="Calibri" w:cs="Calibri"/>
                <w:color w:val="0D0D0D"/>
              </w:rPr>
            </w:pPr>
            <w:r w:rsidRPr="005D0729">
              <w:rPr>
                <w:rFonts w:ascii="Calibri" w:eastAsia="Times New Roman" w:hAnsi="Calibri" w:cs="Calibri"/>
                <w:color w:val="0D0D0D"/>
              </w:rPr>
              <w:t xml:space="preserve">1,447,876 </w:t>
            </w:r>
          </w:p>
        </w:tc>
        <w:tc>
          <w:tcPr>
            <w:tcW w:w="1094" w:type="dxa"/>
            <w:tcBorders>
              <w:top w:val="nil"/>
              <w:left w:val="nil"/>
              <w:bottom w:val="single" w:sz="4" w:space="0" w:color="00688D"/>
              <w:right w:val="nil"/>
            </w:tcBorders>
            <w:shd w:val="clear" w:color="000000" w:fill="FFFFFF"/>
            <w:noWrap/>
            <w:vAlign w:val="bottom"/>
            <w:hideMark/>
          </w:tcPr>
          <w:p w14:paraId="3DFD1EC1" w14:textId="77777777" w:rsidR="001B6918" w:rsidRPr="009655BC" w:rsidRDefault="001B6918" w:rsidP="00730ECF">
            <w:pPr>
              <w:jc w:val="right"/>
              <w:rPr>
                <w:rFonts w:ascii="Calibri" w:eastAsia="Times New Roman" w:hAnsi="Calibri" w:cs="Calibri"/>
              </w:rPr>
            </w:pPr>
            <w:r>
              <w:rPr>
                <w:rFonts w:ascii="Calibri" w:hAnsi="Calibri" w:cs="Calibri"/>
              </w:rPr>
              <w:t xml:space="preserve">     44,501 </w:t>
            </w:r>
          </w:p>
        </w:tc>
        <w:tc>
          <w:tcPr>
            <w:tcW w:w="1728" w:type="dxa"/>
            <w:tcBorders>
              <w:top w:val="single" w:sz="4" w:space="0" w:color="000000"/>
              <w:left w:val="nil"/>
              <w:bottom w:val="single" w:sz="4" w:space="0" w:color="000000"/>
              <w:right w:val="nil"/>
            </w:tcBorders>
            <w:shd w:val="clear" w:color="000000" w:fill="FFFFFF"/>
            <w:noWrap/>
            <w:vAlign w:val="bottom"/>
            <w:hideMark/>
          </w:tcPr>
          <w:p w14:paraId="3291B7DE" w14:textId="77777777" w:rsidR="001B6918" w:rsidRPr="009655BC" w:rsidRDefault="001B6918" w:rsidP="00730ECF">
            <w:pPr>
              <w:jc w:val="right"/>
              <w:rPr>
                <w:rFonts w:ascii="Calibri" w:eastAsia="Times New Roman" w:hAnsi="Calibri" w:cs="Calibri"/>
              </w:rPr>
            </w:pPr>
            <w:r w:rsidRPr="009655BC">
              <w:rPr>
                <w:rFonts w:ascii="Calibri" w:eastAsia="Times New Roman" w:hAnsi="Calibri" w:cs="Calibri"/>
              </w:rPr>
              <w:t>168,782</w:t>
            </w:r>
          </w:p>
        </w:tc>
        <w:tc>
          <w:tcPr>
            <w:tcW w:w="1368" w:type="dxa"/>
            <w:tcBorders>
              <w:top w:val="single" w:sz="4" w:space="0" w:color="000000"/>
              <w:left w:val="nil"/>
              <w:bottom w:val="single" w:sz="4" w:space="0" w:color="000000"/>
              <w:right w:val="nil"/>
            </w:tcBorders>
            <w:shd w:val="clear" w:color="000000" w:fill="FFFFFF"/>
            <w:noWrap/>
            <w:vAlign w:val="bottom"/>
            <w:hideMark/>
          </w:tcPr>
          <w:p w14:paraId="1B478CC1" w14:textId="77777777" w:rsidR="001B6918" w:rsidRPr="009655BC" w:rsidRDefault="001B6918" w:rsidP="00730ECF">
            <w:pPr>
              <w:jc w:val="right"/>
              <w:rPr>
                <w:rFonts w:ascii="Calibri" w:eastAsia="Times New Roman" w:hAnsi="Calibri" w:cs="Calibri"/>
              </w:rPr>
            </w:pPr>
            <w:r w:rsidRPr="009655BC">
              <w:rPr>
                <w:rFonts w:ascii="Calibri" w:eastAsia="Times New Roman" w:hAnsi="Calibri" w:cs="Calibri"/>
              </w:rPr>
              <w:t>(3,286)</w:t>
            </w:r>
          </w:p>
        </w:tc>
        <w:tc>
          <w:tcPr>
            <w:tcW w:w="1224" w:type="dxa"/>
            <w:tcBorders>
              <w:top w:val="single" w:sz="4" w:space="0" w:color="000000"/>
              <w:left w:val="nil"/>
              <w:bottom w:val="single" w:sz="4" w:space="0" w:color="000000"/>
              <w:right w:val="nil"/>
            </w:tcBorders>
            <w:shd w:val="clear" w:color="000000" w:fill="FFFFFF"/>
            <w:noWrap/>
            <w:vAlign w:val="bottom"/>
            <w:hideMark/>
          </w:tcPr>
          <w:p w14:paraId="22EF7812" w14:textId="77777777" w:rsidR="001B6918" w:rsidRPr="00D012D8" w:rsidRDefault="001B6918" w:rsidP="00730ECF">
            <w:pPr>
              <w:jc w:val="right"/>
              <w:rPr>
                <w:rFonts w:ascii="Calibri" w:eastAsia="Times New Roman" w:hAnsi="Calibri" w:cs="Calibri"/>
                <w:color w:val="FF0000"/>
              </w:rPr>
            </w:pPr>
            <w:r w:rsidRPr="009655BC">
              <w:rPr>
                <w:rFonts w:ascii="Calibri" w:eastAsia="Times New Roman" w:hAnsi="Calibri" w:cs="Calibri"/>
              </w:rPr>
              <w:t>1,657,87</w:t>
            </w:r>
            <w:r>
              <w:rPr>
                <w:rFonts w:ascii="Calibri" w:eastAsia="Times New Roman" w:hAnsi="Calibri" w:cs="Calibri"/>
              </w:rPr>
              <w:t>3</w:t>
            </w:r>
            <w:r w:rsidRPr="009655BC">
              <w:rPr>
                <w:rFonts w:ascii="Calibri" w:eastAsia="Times New Roman" w:hAnsi="Calibri" w:cs="Calibri"/>
              </w:rPr>
              <w:t xml:space="preserve"> </w:t>
            </w:r>
          </w:p>
        </w:tc>
      </w:tr>
      <w:tr w:rsidR="001B6918" w:rsidRPr="005D0729" w14:paraId="484CDD76" w14:textId="77777777" w:rsidTr="00730ECF">
        <w:trPr>
          <w:gridAfter w:val="1"/>
          <w:wAfter w:w="17" w:type="dxa"/>
          <w:trHeight w:val="188"/>
        </w:trPr>
        <w:tc>
          <w:tcPr>
            <w:tcW w:w="3960" w:type="dxa"/>
            <w:tcBorders>
              <w:top w:val="nil"/>
              <w:left w:val="nil"/>
              <w:bottom w:val="nil"/>
              <w:right w:val="nil"/>
            </w:tcBorders>
            <w:shd w:val="clear" w:color="000000" w:fill="FFFFFF"/>
            <w:noWrap/>
            <w:vAlign w:val="bottom"/>
            <w:hideMark/>
          </w:tcPr>
          <w:p w14:paraId="7BD6A091" w14:textId="77777777" w:rsidR="001B6918" w:rsidRPr="005D0729" w:rsidRDefault="001B6918" w:rsidP="00730ECF">
            <w:pPr>
              <w:rPr>
                <w:rFonts w:ascii="Calibri" w:eastAsia="Times New Roman" w:hAnsi="Calibri" w:cs="Calibri"/>
                <w:color w:val="0D0D0D"/>
              </w:rPr>
            </w:pPr>
            <w:r w:rsidRPr="005D0729">
              <w:rPr>
                <w:rFonts w:ascii="Calibri" w:eastAsia="Times New Roman" w:hAnsi="Calibri" w:cs="Calibri"/>
                <w:color w:val="0D0D0D"/>
              </w:rPr>
              <w:t>Less accumulated depreciation</w:t>
            </w:r>
            <w:r>
              <w:rPr>
                <w:rFonts w:ascii="Calibri" w:eastAsia="Times New Roman" w:hAnsi="Calibri" w:cs="Calibri"/>
                <w:color w:val="0D0D0D"/>
              </w:rPr>
              <w:t xml:space="preserve"> and amortization</w:t>
            </w:r>
            <w:r w:rsidRPr="005D0729">
              <w:rPr>
                <w:rFonts w:ascii="Calibri" w:eastAsia="Times New Roman" w:hAnsi="Calibri" w:cs="Calibri"/>
                <w:color w:val="0D0D0D"/>
              </w:rPr>
              <w:t>:</w:t>
            </w:r>
          </w:p>
        </w:tc>
        <w:tc>
          <w:tcPr>
            <w:tcW w:w="1121" w:type="dxa"/>
            <w:tcBorders>
              <w:top w:val="nil"/>
              <w:left w:val="nil"/>
              <w:bottom w:val="nil"/>
              <w:right w:val="nil"/>
            </w:tcBorders>
            <w:shd w:val="clear" w:color="000000" w:fill="FFFFFF"/>
            <w:noWrap/>
            <w:vAlign w:val="bottom"/>
            <w:hideMark/>
          </w:tcPr>
          <w:p w14:paraId="73DAE404" w14:textId="77777777" w:rsidR="001B6918" w:rsidRPr="005D0729" w:rsidRDefault="001B6918" w:rsidP="00730ECF">
            <w:pPr>
              <w:jc w:val="right"/>
              <w:rPr>
                <w:rFonts w:ascii="Calibri" w:eastAsia="Times New Roman" w:hAnsi="Calibri" w:cs="Calibri"/>
                <w:color w:val="0D0D0D"/>
              </w:rPr>
            </w:pPr>
            <w:r w:rsidRPr="005D0729">
              <w:rPr>
                <w:rFonts w:ascii="Calibri" w:eastAsia="Times New Roman" w:hAnsi="Calibri" w:cs="Calibri"/>
                <w:color w:val="0D0D0D"/>
              </w:rPr>
              <w:t> </w:t>
            </w:r>
          </w:p>
        </w:tc>
        <w:tc>
          <w:tcPr>
            <w:tcW w:w="1094" w:type="dxa"/>
            <w:tcBorders>
              <w:top w:val="nil"/>
              <w:left w:val="nil"/>
              <w:bottom w:val="nil"/>
              <w:right w:val="nil"/>
            </w:tcBorders>
            <w:shd w:val="clear" w:color="000000" w:fill="FFFFFF"/>
            <w:noWrap/>
            <w:vAlign w:val="bottom"/>
            <w:hideMark/>
          </w:tcPr>
          <w:p w14:paraId="2F6A6BB5" w14:textId="77777777" w:rsidR="001B6918" w:rsidRPr="00193472" w:rsidRDefault="001B6918" w:rsidP="00730ECF">
            <w:pPr>
              <w:jc w:val="right"/>
              <w:rPr>
                <w:rFonts w:ascii="Calibri" w:eastAsia="Times New Roman" w:hAnsi="Calibri" w:cs="Calibri"/>
                <w:color w:val="FF0000"/>
              </w:rPr>
            </w:pPr>
            <w:r>
              <w:rPr>
                <w:rFonts w:ascii="Calibri" w:hAnsi="Calibri" w:cs="Calibri"/>
              </w:rPr>
              <w:t> </w:t>
            </w:r>
          </w:p>
        </w:tc>
        <w:tc>
          <w:tcPr>
            <w:tcW w:w="1728" w:type="dxa"/>
            <w:tcBorders>
              <w:top w:val="nil"/>
              <w:left w:val="nil"/>
              <w:bottom w:val="nil"/>
              <w:right w:val="nil"/>
            </w:tcBorders>
            <w:shd w:val="clear" w:color="000000" w:fill="FFFFFF"/>
            <w:noWrap/>
            <w:vAlign w:val="bottom"/>
            <w:hideMark/>
          </w:tcPr>
          <w:p w14:paraId="20B2DB25" w14:textId="77777777" w:rsidR="001B6918" w:rsidRPr="00C011DE" w:rsidRDefault="001B6918" w:rsidP="00730ECF">
            <w:pPr>
              <w:jc w:val="right"/>
              <w:rPr>
                <w:rFonts w:ascii="Calibri" w:eastAsia="Times New Roman" w:hAnsi="Calibri" w:cs="Calibri"/>
                <w:color w:val="FF0000"/>
              </w:rPr>
            </w:pPr>
            <w:r w:rsidRPr="00C011DE">
              <w:rPr>
                <w:rFonts w:ascii="Calibri" w:eastAsia="Times New Roman" w:hAnsi="Calibri" w:cs="Calibri"/>
                <w:color w:val="FF0000"/>
              </w:rPr>
              <w:t> </w:t>
            </w:r>
          </w:p>
        </w:tc>
        <w:tc>
          <w:tcPr>
            <w:tcW w:w="1368" w:type="dxa"/>
            <w:tcBorders>
              <w:top w:val="nil"/>
              <w:left w:val="nil"/>
              <w:bottom w:val="nil"/>
              <w:right w:val="nil"/>
            </w:tcBorders>
            <w:shd w:val="clear" w:color="000000" w:fill="FFFFFF"/>
            <w:noWrap/>
            <w:vAlign w:val="bottom"/>
            <w:hideMark/>
          </w:tcPr>
          <w:p w14:paraId="088DCC7F" w14:textId="77777777" w:rsidR="001B6918" w:rsidRPr="00C011DE" w:rsidRDefault="001B6918" w:rsidP="00730ECF">
            <w:pPr>
              <w:jc w:val="right"/>
              <w:rPr>
                <w:rFonts w:ascii="Calibri" w:eastAsia="Times New Roman" w:hAnsi="Calibri" w:cs="Calibri"/>
                <w:color w:val="FF0000"/>
              </w:rPr>
            </w:pPr>
            <w:r w:rsidRPr="00C011DE">
              <w:rPr>
                <w:rFonts w:ascii="Calibri" w:eastAsia="Times New Roman" w:hAnsi="Calibri" w:cs="Calibri"/>
                <w:color w:val="FF0000"/>
              </w:rPr>
              <w:t> </w:t>
            </w:r>
          </w:p>
        </w:tc>
        <w:tc>
          <w:tcPr>
            <w:tcW w:w="1224" w:type="dxa"/>
            <w:tcBorders>
              <w:top w:val="nil"/>
              <w:left w:val="nil"/>
              <w:bottom w:val="nil"/>
              <w:right w:val="nil"/>
            </w:tcBorders>
            <w:shd w:val="clear" w:color="000000" w:fill="FFFFFF"/>
            <w:noWrap/>
            <w:vAlign w:val="bottom"/>
            <w:hideMark/>
          </w:tcPr>
          <w:p w14:paraId="42EAE480" w14:textId="77777777" w:rsidR="001B6918" w:rsidRPr="00D012D8" w:rsidRDefault="001B6918" w:rsidP="00730ECF">
            <w:pPr>
              <w:jc w:val="right"/>
              <w:rPr>
                <w:rFonts w:ascii="Calibri" w:eastAsia="Times New Roman" w:hAnsi="Calibri" w:cs="Calibri"/>
                <w:color w:val="FF0000"/>
              </w:rPr>
            </w:pPr>
            <w:r w:rsidRPr="00D012D8">
              <w:rPr>
                <w:rFonts w:ascii="Calibri" w:eastAsia="Times New Roman" w:hAnsi="Calibri" w:cs="Calibri"/>
                <w:color w:val="FF0000"/>
              </w:rPr>
              <w:t> </w:t>
            </w:r>
          </w:p>
        </w:tc>
      </w:tr>
      <w:tr w:rsidR="001B6918" w:rsidRPr="005D0729" w14:paraId="00A83B65" w14:textId="77777777" w:rsidTr="00730ECF">
        <w:trPr>
          <w:gridAfter w:val="1"/>
          <w:wAfter w:w="17" w:type="dxa"/>
          <w:trHeight w:val="198"/>
        </w:trPr>
        <w:tc>
          <w:tcPr>
            <w:tcW w:w="3960" w:type="dxa"/>
            <w:tcBorders>
              <w:top w:val="nil"/>
              <w:left w:val="nil"/>
              <w:bottom w:val="nil"/>
              <w:right w:val="nil"/>
            </w:tcBorders>
            <w:shd w:val="clear" w:color="000000" w:fill="FFFFFF"/>
            <w:noWrap/>
            <w:vAlign w:val="bottom"/>
            <w:hideMark/>
          </w:tcPr>
          <w:p w14:paraId="47D8E556" w14:textId="77777777" w:rsidR="001B6918" w:rsidRPr="005D0729" w:rsidRDefault="001B6918" w:rsidP="00730ECF">
            <w:pPr>
              <w:ind w:firstLineChars="100" w:firstLine="220"/>
              <w:rPr>
                <w:rFonts w:ascii="Calibri" w:eastAsia="Times New Roman" w:hAnsi="Calibri" w:cs="Calibri"/>
                <w:color w:val="0D0D0D"/>
              </w:rPr>
            </w:pPr>
            <w:r w:rsidRPr="005D0729">
              <w:rPr>
                <w:rFonts w:ascii="Calibri" w:eastAsia="Times New Roman" w:hAnsi="Calibri" w:cs="Calibri"/>
                <w:color w:val="0D0D0D"/>
              </w:rPr>
              <w:t>Land improvements</w:t>
            </w:r>
          </w:p>
        </w:tc>
        <w:tc>
          <w:tcPr>
            <w:tcW w:w="1121" w:type="dxa"/>
            <w:tcBorders>
              <w:top w:val="nil"/>
              <w:left w:val="nil"/>
              <w:bottom w:val="nil"/>
              <w:right w:val="nil"/>
            </w:tcBorders>
            <w:shd w:val="clear" w:color="000000" w:fill="FFFFFF"/>
            <w:noWrap/>
            <w:vAlign w:val="bottom"/>
            <w:hideMark/>
          </w:tcPr>
          <w:p w14:paraId="66E2FC8A" w14:textId="77777777" w:rsidR="001B6918" w:rsidRPr="005D0729" w:rsidRDefault="001B6918" w:rsidP="00730ECF">
            <w:pPr>
              <w:jc w:val="right"/>
              <w:rPr>
                <w:rFonts w:ascii="Calibri" w:eastAsia="Times New Roman" w:hAnsi="Calibri" w:cs="Calibri"/>
                <w:color w:val="0D0D0D"/>
              </w:rPr>
            </w:pPr>
            <w:r w:rsidRPr="005D0729">
              <w:rPr>
                <w:rFonts w:ascii="Calibri" w:eastAsia="Times New Roman" w:hAnsi="Calibri" w:cs="Calibri"/>
                <w:color w:val="0D0D0D"/>
              </w:rPr>
              <w:t xml:space="preserve">49,232 </w:t>
            </w:r>
          </w:p>
        </w:tc>
        <w:tc>
          <w:tcPr>
            <w:tcW w:w="1094" w:type="dxa"/>
            <w:tcBorders>
              <w:top w:val="nil"/>
              <w:left w:val="nil"/>
              <w:bottom w:val="nil"/>
              <w:right w:val="nil"/>
            </w:tcBorders>
            <w:shd w:val="clear" w:color="000000" w:fill="FFFFFF"/>
            <w:noWrap/>
            <w:vAlign w:val="bottom"/>
            <w:hideMark/>
          </w:tcPr>
          <w:p w14:paraId="2CFF3458" w14:textId="77777777" w:rsidR="001B6918" w:rsidRPr="00D012D8" w:rsidRDefault="001B6918" w:rsidP="00730ECF">
            <w:pPr>
              <w:jc w:val="right"/>
              <w:rPr>
                <w:rFonts w:ascii="Calibri" w:eastAsia="Times New Roman" w:hAnsi="Calibri" w:cs="Calibri"/>
                <w:color w:val="FF0000"/>
              </w:rPr>
            </w:pPr>
            <w:r>
              <w:rPr>
                <w:rFonts w:ascii="Calibri" w:hAnsi="Calibri" w:cs="Calibri"/>
              </w:rPr>
              <w:t xml:space="preserve">     2,693 </w:t>
            </w:r>
          </w:p>
        </w:tc>
        <w:tc>
          <w:tcPr>
            <w:tcW w:w="1728" w:type="dxa"/>
            <w:tcBorders>
              <w:top w:val="nil"/>
              <w:left w:val="nil"/>
              <w:bottom w:val="nil"/>
              <w:right w:val="nil"/>
            </w:tcBorders>
            <w:shd w:val="clear" w:color="000000" w:fill="FFFFFF"/>
            <w:noWrap/>
            <w:vAlign w:val="bottom"/>
            <w:hideMark/>
          </w:tcPr>
          <w:p w14:paraId="5587D142" w14:textId="77777777" w:rsidR="001B6918" w:rsidRPr="009655BC" w:rsidRDefault="001B6918" w:rsidP="00730ECF">
            <w:pPr>
              <w:jc w:val="right"/>
              <w:rPr>
                <w:rFonts w:ascii="Calibri" w:eastAsia="Times New Roman" w:hAnsi="Calibri" w:cs="Calibri"/>
              </w:rPr>
            </w:pPr>
            <w:r w:rsidRPr="009655BC">
              <w:rPr>
                <w:rFonts w:ascii="Calibri" w:eastAsia="Times New Roman" w:hAnsi="Calibri" w:cs="Calibri"/>
              </w:rPr>
              <w:t>-</w:t>
            </w:r>
          </w:p>
        </w:tc>
        <w:tc>
          <w:tcPr>
            <w:tcW w:w="1368" w:type="dxa"/>
            <w:tcBorders>
              <w:top w:val="nil"/>
              <w:left w:val="nil"/>
              <w:bottom w:val="nil"/>
              <w:right w:val="nil"/>
            </w:tcBorders>
            <w:shd w:val="clear" w:color="000000" w:fill="FFFFFF"/>
            <w:noWrap/>
            <w:vAlign w:val="bottom"/>
            <w:hideMark/>
          </w:tcPr>
          <w:p w14:paraId="5673C125" w14:textId="77777777" w:rsidR="001B6918" w:rsidRPr="00AB2678" w:rsidRDefault="001B6918" w:rsidP="00730ECF">
            <w:pPr>
              <w:jc w:val="right"/>
              <w:rPr>
                <w:rFonts w:ascii="Calibri" w:eastAsia="Times New Roman" w:hAnsi="Calibri" w:cs="Calibri"/>
              </w:rPr>
            </w:pPr>
            <w:r w:rsidRPr="00AB2678">
              <w:rPr>
                <w:rFonts w:ascii="Calibri" w:eastAsia="Times New Roman" w:hAnsi="Calibri" w:cs="Calibri"/>
              </w:rPr>
              <w:t>-</w:t>
            </w:r>
          </w:p>
        </w:tc>
        <w:tc>
          <w:tcPr>
            <w:tcW w:w="1224" w:type="dxa"/>
            <w:tcBorders>
              <w:top w:val="nil"/>
              <w:left w:val="nil"/>
              <w:bottom w:val="nil"/>
              <w:right w:val="nil"/>
            </w:tcBorders>
            <w:shd w:val="clear" w:color="000000" w:fill="FFFFFF"/>
            <w:noWrap/>
            <w:hideMark/>
          </w:tcPr>
          <w:p w14:paraId="31C57F0F" w14:textId="77777777" w:rsidR="001B6918" w:rsidRPr="00D012D8" w:rsidRDefault="001B6918" w:rsidP="00730ECF">
            <w:pPr>
              <w:jc w:val="right"/>
              <w:rPr>
                <w:rFonts w:ascii="Calibri" w:eastAsia="Times New Roman" w:hAnsi="Calibri" w:cs="Calibri"/>
                <w:color w:val="FF0000"/>
              </w:rPr>
            </w:pPr>
            <w:r w:rsidRPr="00C52817">
              <w:t xml:space="preserve"> 51,925 </w:t>
            </w:r>
          </w:p>
        </w:tc>
      </w:tr>
      <w:tr w:rsidR="001B6918" w:rsidRPr="005D0729" w14:paraId="42BC91DB" w14:textId="77777777" w:rsidTr="00730ECF">
        <w:trPr>
          <w:gridAfter w:val="1"/>
          <w:wAfter w:w="17" w:type="dxa"/>
          <w:trHeight w:val="198"/>
        </w:trPr>
        <w:tc>
          <w:tcPr>
            <w:tcW w:w="3960" w:type="dxa"/>
            <w:tcBorders>
              <w:top w:val="nil"/>
              <w:left w:val="nil"/>
              <w:bottom w:val="nil"/>
              <w:right w:val="nil"/>
            </w:tcBorders>
            <w:shd w:val="clear" w:color="000000" w:fill="FFFFFF"/>
            <w:noWrap/>
            <w:vAlign w:val="bottom"/>
            <w:hideMark/>
          </w:tcPr>
          <w:p w14:paraId="50FB361B" w14:textId="77777777" w:rsidR="001B6918" w:rsidRPr="005D0729" w:rsidRDefault="001B6918" w:rsidP="00730ECF">
            <w:pPr>
              <w:ind w:firstLineChars="100" w:firstLine="220"/>
              <w:rPr>
                <w:rFonts w:ascii="Calibri" w:eastAsia="Times New Roman" w:hAnsi="Calibri" w:cs="Calibri"/>
                <w:color w:val="0D0D0D"/>
              </w:rPr>
            </w:pPr>
            <w:r w:rsidRPr="005D0729">
              <w:rPr>
                <w:rFonts w:ascii="Calibri" w:eastAsia="Times New Roman" w:hAnsi="Calibri" w:cs="Calibri"/>
                <w:color w:val="0D0D0D"/>
              </w:rPr>
              <w:t>Buildings &amp; improvements</w:t>
            </w:r>
          </w:p>
        </w:tc>
        <w:tc>
          <w:tcPr>
            <w:tcW w:w="1121" w:type="dxa"/>
            <w:tcBorders>
              <w:top w:val="nil"/>
              <w:left w:val="nil"/>
              <w:bottom w:val="nil"/>
              <w:right w:val="nil"/>
            </w:tcBorders>
            <w:shd w:val="clear" w:color="000000" w:fill="FFFFFF"/>
            <w:noWrap/>
            <w:vAlign w:val="bottom"/>
            <w:hideMark/>
          </w:tcPr>
          <w:p w14:paraId="50578E4A" w14:textId="77777777" w:rsidR="001B6918" w:rsidRPr="005D0729" w:rsidRDefault="001B6918" w:rsidP="00730ECF">
            <w:pPr>
              <w:jc w:val="right"/>
              <w:rPr>
                <w:rFonts w:ascii="Calibri" w:eastAsia="Times New Roman" w:hAnsi="Calibri" w:cs="Calibri"/>
                <w:color w:val="0D0D0D"/>
              </w:rPr>
            </w:pPr>
            <w:r w:rsidRPr="005D0729">
              <w:rPr>
                <w:rFonts w:ascii="Calibri" w:eastAsia="Times New Roman" w:hAnsi="Calibri" w:cs="Calibri"/>
                <w:color w:val="0D0D0D"/>
              </w:rPr>
              <w:t xml:space="preserve">493,677 </w:t>
            </w:r>
          </w:p>
        </w:tc>
        <w:tc>
          <w:tcPr>
            <w:tcW w:w="1094" w:type="dxa"/>
            <w:tcBorders>
              <w:top w:val="nil"/>
              <w:left w:val="nil"/>
              <w:bottom w:val="nil"/>
              <w:right w:val="nil"/>
            </w:tcBorders>
            <w:shd w:val="clear" w:color="000000" w:fill="FFFFFF"/>
            <w:noWrap/>
            <w:vAlign w:val="bottom"/>
            <w:hideMark/>
          </w:tcPr>
          <w:p w14:paraId="49FA8213" w14:textId="77777777" w:rsidR="001B6918" w:rsidRPr="00D012D8" w:rsidRDefault="001B6918" w:rsidP="00730ECF">
            <w:pPr>
              <w:jc w:val="right"/>
              <w:rPr>
                <w:rFonts w:ascii="Calibri" w:eastAsia="Times New Roman" w:hAnsi="Calibri" w:cs="Calibri"/>
                <w:color w:val="FF0000"/>
              </w:rPr>
            </w:pPr>
            <w:r>
              <w:rPr>
                <w:rFonts w:ascii="Calibri" w:hAnsi="Calibri" w:cs="Calibri"/>
              </w:rPr>
              <w:t xml:space="preserve">  36,021 </w:t>
            </w:r>
          </w:p>
        </w:tc>
        <w:tc>
          <w:tcPr>
            <w:tcW w:w="1728" w:type="dxa"/>
            <w:tcBorders>
              <w:top w:val="nil"/>
              <w:left w:val="nil"/>
              <w:bottom w:val="nil"/>
              <w:right w:val="nil"/>
            </w:tcBorders>
            <w:shd w:val="clear" w:color="000000" w:fill="FFFFFF"/>
            <w:noWrap/>
            <w:vAlign w:val="bottom"/>
            <w:hideMark/>
          </w:tcPr>
          <w:p w14:paraId="2A5D00E6" w14:textId="77777777" w:rsidR="001B6918" w:rsidRPr="009655BC" w:rsidRDefault="001B6918" w:rsidP="00730ECF">
            <w:pPr>
              <w:jc w:val="right"/>
              <w:rPr>
                <w:rFonts w:ascii="Calibri" w:eastAsia="Times New Roman" w:hAnsi="Calibri" w:cs="Calibri"/>
              </w:rPr>
            </w:pPr>
            <w:r w:rsidRPr="009655BC">
              <w:rPr>
                <w:rFonts w:ascii="Calibri" w:eastAsia="Times New Roman" w:hAnsi="Calibri" w:cs="Calibri"/>
              </w:rPr>
              <w:t>-</w:t>
            </w:r>
          </w:p>
        </w:tc>
        <w:tc>
          <w:tcPr>
            <w:tcW w:w="1368" w:type="dxa"/>
            <w:tcBorders>
              <w:top w:val="nil"/>
              <w:left w:val="nil"/>
              <w:bottom w:val="nil"/>
              <w:right w:val="nil"/>
            </w:tcBorders>
            <w:shd w:val="clear" w:color="000000" w:fill="FFFFFF"/>
            <w:noWrap/>
            <w:hideMark/>
          </w:tcPr>
          <w:p w14:paraId="4CF843E8" w14:textId="77777777" w:rsidR="001B6918" w:rsidRPr="00AB2678" w:rsidRDefault="001B6918" w:rsidP="00730ECF">
            <w:pPr>
              <w:jc w:val="right"/>
              <w:rPr>
                <w:rFonts w:ascii="Calibri" w:eastAsia="Times New Roman" w:hAnsi="Calibri" w:cs="Calibri"/>
              </w:rPr>
            </w:pPr>
            <w:r w:rsidRPr="00AB2678">
              <w:t xml:space="preserve"> (1,217)</w:t>
            </w:r>
          </w:p>
        </w:tc>
        <w:tc>
          <w:tcPr>
            <w:tcW w:w="1224" w:type="dxa"/>
            <w:tcBorders>
              <w:top w:val="nil"/>
              <w:left w:val="nil"/>
              <w:bottom w:val="nil"/>
              <w:right w:val="nil"/>
            </w:tcBorders>
            <w:noWrap/>
            <w:hideMark/>
          </w:tcPr>
          <w:p w14:paraId="6B51F8A4" w14:textId="77777777" w:rsidR="001B6918" w:rsidRPr="00D012D8" w:rsidRDefault="001B6918" w:rsidP="00730ECF">
            <w:pPr>
              <w:jc w:val="right"/>
              <w:rPr>
                <w:rFonts w:ascii="Calibri" w:eastAsia="Times New Roman" w:hAnsi="Calibri" w:cs="Calibri"/>
                <w:color w:val="FF0000"/>
              </w:rPr>
            </w:pPr>
            <w:r w:rsidRPr="00C52817">
              <w:t xml:space="preserve"> 528,481 </w:t>
            </w:r>
          </w:p>
        </w:tc>
      </w:tr>
      <w:tr w:rsidR="001B6918" w:rsidRPr="005D0729" w14:paraId="5CDED95A" w14:textId="77777777" w:rsidTr="00730ECF">
        <w:trPr>
          <w:gridAfter w:val="1"/>
          <w:wAfter w:w="17" w:type="dxa"/>
          <w:trHeight w:val="198"/>
        </w:trPr>
        <w:tc>
          <w:tcPr>
            <w:tcW w:w="3960" w:type="dxa"/>
            <w:tcBorders>
              <w:top w:val="nil"/>
              <w:left w:val="nil"/>
              <w:bottom w:val="nil"/>
              <w:right w:val="nil"/>
            </w:tcBorders>
            <w:shd w:val="clear" w:color="000000" w:fill="FFFFFF"/>
            <w:noWrap/>
            <w:vAlign w:val="bottom"/>
            <w:hideMark/>
          </w:tcPr>
          <w:p w14:paraId="57345626" w14:textId="77777777" w:rsidR="001B6918" w:rsidRPr="005D0729" w:rsidRDefault="001B6918" w:rsidP="00730ECF">
            <w:pPr>
              <w:ind w:firstLineChars="100" w:firstLine="220"/>
              <w:rPr>
                <w:rFonts w:ascii="Calibri" w:eastAsia="Times New Roman" w:hAnsi="Calibri" w:cs="Calibri"/>
                <w:color w:val="0D0D0D"/>
              </w:rPr>
            </w:pPr>
            <w:r w:rsidRPr="005D0729">
              <w:rPr>
                <w:rFonts w:ascii="Calibri" w:eastAsia="Times New Roman" w:hAnsi="Calibri" w:cs="Calibri"/>
                <w:color w:val="0D0D0D"/>
              </w:rPr>
              <w:t>Equipment</w:t>
            </w:r>
          </w:p>
        </w:tc>
        <w:tc>
          <w:tcPr>
            <w:tcW w:w="1121" w:type="dxa"/>
            <w:tcBorders>
              <w:top w:val="nil"/>
              <w:left w:val="nil"/>
              <w:bottom w:val="nil"/>
              <w:right w:val="nil"/>
            </w:tcBorders>
            <w:shd w:val="clear" w:color="000000" w:fill="FFFFFF"/>
            <w:noWrap/>
            <w:vAlign w:val="bottom"/>
            <w:hideMark/>
          </w:tcPr>
          <w:p w14:paraId="0DD9D69C" w14:textId="77777777" w:rsidR="001B6918" w:rsidRPr="005D0729" w:rsidRDefault="001B6918" w:rsidP="00730ECF">
            <w:pPr>
              <w:jc w:val="right"/>
              <w:rPr>
                <w:rFonts w:ascii="Calibri" w:eastAsia="Times New Roman" w:hAnsi="Calibri" w:cs="Calibri"/>
              </w:rPr>
            </w:pPr>
            <w:r w:rsidRPr="005D0729">
              <w:rPr>
                <w:rFonts w:ascii="Calibri" w:eastAsia="Times New Roman" w:hAnsi="Calibri" w:cs="Calibri"/>
                <w:color w:val="0D0D0D"/>
              </w:rPr>
              <w:t xml:space="preserve">137,135 </w:t>
            </w:r>
          </w:p>
        </w:tc>
        <w:tc>
          <w:tcPr>
            <w:tcW w:w="1094" w:type="dxa"/>
            <w:tcBorders>
              <w:top w:val="nil"/>
              <w:left w:val="nil"/>
              <w:bottom w:val="nil"/>
              <w:right w:val="nil"/>
            </w:tcBorders>
            <w:shd w:val="clear" w:color="000000" w:fill="FFFFFF"/>
            <w:noWrap/>
            <w:vAlign w:val="bottom"/>
            <w:hideMark/>
          </w:tcPr>
          <w:p w14:paraId="790ADA3D" w14:textId="77777777" w:rsidR="001B6918" w:rsidRPr="00D012D8" w:rsidRDefault="001B6918" w:rsidP="00730ECF">
            <w:pPr>
              <w:jc w:val="right"/>
              <w:rPr>
                <w:rFonts w:ascii="Calibri" w:eastAsia="Times New Roman" w:hAnsi="Calibri" w:cs="Calibri"/>
                <w:color w:val="FF0000"/>
              </w:rPr>
            </w:pPr>
            <w:r>
              <w:rPr>
                <w:rFonts w:ascii="Calibri" w:hAnsi="Calibri" w:cs="Calibri"/>
              </w:rPr>
              <w:t xml:space="preserve">  10,958 </w:t>
            </w:r>
          </w:p>
        </w:tc>
        <w:tc>
          <w:tcPr>
            <w:tcW w:w="1728" w:type="dxa"/>
            <w:tcBorders>
              <w:top w:val="nil"/>
              <w:left w:val="nil"/>
              <w:bottom w:val="nil"/>
              <w:right w:val="nil"/>
            </w:tcBorders>
            <w:shd w:val="clear" w:color="000000" w:fill="FFFFFF"/>
            <w:noWrap/>
            <w:vAlign w:val="bottom"/>
            <w:hideMark/>
          </w:tcPr>
          <w:p w14:paraId="30633F83" w14:textId="77777777" w:rsidR="001B6918" w:rsidRPr="009655BC" w:rsidRDefault="001B6918" w:rsidP="00730ECF">
            <w:pPr>
              <w:jc w:val="right"/>
              <w:rPr>
                <w:rFonts w:ascii="Calibri" w:eastAsia="Times New Roman" w:hAnsi="Calibri" w:cs="Calibri"/>
              </w:rPr>
            </w:pPr>
            <w:r w:rsidRPr="009655BC">
              <w:rPr>
                <w:rFonts w:ascii="Calibri" w:eastAsia="Times New Roman" w:hAnsi="Calibri" w:cs="Calibri"/>
              </w:rPr>
              <w:t>-</w:t>
            </w:r>
          </w:p>
        </w:tc>
        <w:tc>
          <w:tcPr>
            <w:tcW w:w="1368" w:type="dxa"/>
            <w:tcBorders>
              <w:top w:val="nil"/>
              <w:left w:val="nil"/>
              <w:bottom w:val="nil"/>
              <w:right w:val="nil"/>
            </w:tcBorders>
            <w:shd w:val="clear" w:color="000000" w:fill="FFFFFF"/>
            <w:noWrap/>
            <w:hideMark/>
          </w:tcPr>
          <w:p w14:paraId="6A88470D" w14:textId="77777777" w:rsidR="001B6918" w:rsidRPr="00AB2678" w:rsidRDefault="001B6918" w:rsidP="00730ECF">
            <w:pPr>
              <w:jc w:val="right"/>
              <w:rPr>
                <w:rFonts w:ascii="Calibri" w:eastAsia="Times New Roman" w:hAnsi="Calibri" w:cs="Calibri"/>
              </w:rPr>
            </w:pPr>
            <w:r w:rsidRPr="00AB2678">
              <w:t xml:space="preserve"> (1,050)</w:t>
            </w:r>
          </w:p>
        </w:tc>
        <w:tc>
          <w:tcPr>
            <w:tcW w:w="1224" w:type="dxa"/>
            <w:tcBorders>
              <w:top w:val="nil"/>
              <w:left w:val="nil"/>
              <w:bottom w:val="nil"/>
              <w:right w:val="nil"/>
            </w:tcBorders>
            <w:shd w:val="clear" w:color="000000" w:fill="FFFFFF"/>
            <w:noWrap/>
            <w:hideMark/>
          </w:tcPr>
          <w:p w14:paraId="091A9BFC" w14:textId="77777777" w:rsidR="001B6918" w:rsidRPr="00D012D8" w:rsidRDefault="001B6918" w:rsidP="00730ECF">
            <w:pPr>
              <w:jc w:val="right"/>
              <w:rPr>
                <w:rFonts w:ascii="Calibri" w:eastAsia="Times New Roman" w:hAnsi="Calibri" w:cs="Calibri"/>
                <w:color w:val="FF0000"/>
              </w:rPr>
            </w:pPr>
            <w:r w:rsidRPr="00C52817">
              <w:t xml:space="preserve"> 147,043 </w:t>
            </w:r>
          </w:p>
        </w:tc>
      </w:tr>
      <w:tr w:rsidR="001B6918" w:rsidRPr="005D0729" w14:paraId="6031DBCC" w14:textId="77777777" w:rsidTr="00730ECF">
        <w:trPr>
          <w:gridAfter w:val="1"/>
          <w:wAfter w:w="17" w:type="dxa"/>
          <w:trHeight w:val="198"/>
        </w:trPr>
        <w:tc>
          <w:tcPr>
            <w:tcW w:w="3960" w:type="dxa"/>
            <w:tcBorders>
              <w:top w:val="nil"/>
              <w:left w:val="nil"/>
              <w:bottom w:val="nil"/>
              <w:right w:val="nil"/>
            </w:tcBorders>
            <w:shd w:val="clear" w:color="000000" w:fill="FFFFFF"/>
            <w:noWrap/>
            <w:vAlign w:val="bottom"/>
            <w:hideMark/>
          </w:tcPr>
          <w:p w14:paraId="6C45447C" w14:textId="77777777" w:rsidR="001B6918" w:rsidRPr="005D0729" w:rsidRDefault="001B6918" w:rsidP="00730ECF">
            <w:pPr>
              <w:ind w:firstLineChars="100" w:firstLine="220"/>
              <w:rPr>
                <w:rFonts w:ascii="Calibri" w:eastAsia="Times New Roman" w:hAnsi="Calibri" w:cs="Calibri"/>
                <w:color w:val="0D0D0D"/>
              </w:rPr>
            </w:pPr>
            <w:r w:rsidRPr="005D0729">
              <w:rPr>
                <w:rFonts w:ascii="Calibri" w:eastAsia="Times New Roman" w:hAnsi="Calibri" w:cs="Calibri"/>
                <w:color w:val="0D0D0D"/>
              </w:rPr>
              <w:t>Software</w:t>
            </w:r>
          </w:p>
        </w:tc>
        <w:tc>
          <w:tcPr>
            <w:tcW w:w="1121" w:type="dxa"/>
            <w:tcBorders>
              <w:top w:val="nil"/>
              <w:left w:val="nil"/>
              <w:bottom w:val="nil"/>
              <w:right w:val="nil"/>
            </w:tcBorders>
            <w:shd w:val="clear" w:color="000000" w:fill="FFFFFF"/>
            <w:noWrap/>
            <w:vAlign w:val="bottom"/>
            <w:hideMark/>
          </w:tcPr>
          <w:p w14:paraId="38612D60" w14:textId="77777777" w:rsidR="001B6918" w:rsidRPr="005D0729" w:rsidRDefault="001B6918" w:rsidP="00730ECF">
            <w:pPr>
              <w:jc w:val="right"/>
              <w:rPr>
                <w:rFonts w:ascii="Calibri" w:eastAsia="Times New Roman" w:hAnsi="Calibri" w:cs="Calibri"/>
                <w:color w:val="000000"/>
              </w:rPr>
            </w:pPr>
            <w:r w:rsidRPr="005D0729">
              <w:rPr>
                <w:rFonts w:ascii="Calibri" w:eastAsia="Times New Roman" w:hAnsi="Calibri" w:cs="Calibri"/>
                <w:color w:val="0D0D0D"/>
              </w:rPr>
              <w:t xml:space="preserve">30,788 </w:t>
            </w:r>
          </w:p>
        </w:tc>
        <w:tc>
          <w:tcPr>
            <w:tcW w:w="1094" w:type="dxa"/>
            <w:tcBorders>
              <w:top w:val="nil"/>
              <w:left w:val="nil"/>
              <w:bottom w:val="nil"/>
              <w:right w:val="nil"/>
            </w:tcBorders>
            <w:shd w:val="clear" w:color="000000" w:fill="FFFFFF"/>
            <w:noWrap/>
            <w:vAlign w:val="bottom"/>
            <w:hideMark/>
          </w:tcPr>
          <w:p w14:paraId="03169E1C" w14:textId="77777777" w:rsidR="001B6918" w:rsidRPr="00D012D8" w:rsidRDefault="001B6918" w:rsidP="00730ECF">
            <w:pPr>
              <w:jc w:val="right"/>
              <w:rPr>
                <w:rFonts w:ascii="Calibri" w:eastAsia="Times New Roman" w:hAnsi="Calibri" w:cs="Calibri"/>
                <w:color w:val="FF0000"/>
              </w:rPr>
            </w:pPr>
            <w:r>
              <w:rPr>
                <w:rFonts w:ascii="Calibri" w:hAnsi="Calibri" w:cs="Calibri"/>
              </w:rPr>
              <w:t xml:space="preserve">     (48)</w:t>
            </w:r>
          </w:p>
        </w:tc>
        <w:tc>
          <w:tcPr>
            <w:tcW w:w="1728" w:type="dxa"/>
            <w:tcBorders>
              <w:top w:val="nil"/>
              <w:left w:val="nil"/>
              <w:bottom w:val="nil"/>
              <w:right w:val="nil"/>
            </w:tcBorders>
            <w:shd w:val="clear" w:color="000000" w:fill="FFFFFF"/>
            <w:noWrap/>
            <w:vAlign w:val="bottom"/>
            <w:hideMark/>
          </w:tcPr>
          <w:p w14:paraId="15BC50AC" w14:textId="77777777" w:rsidR="001B6918" w:rsidRPr="009655BC" w:rsidRDefault="001B6918" w:rsidP="00730ECF">
            <w:pPr>
              <w:jc w:val="right"/>
              <w:rPr>
                <w:rFonts w:ascii="Calibri" w:eastAsia="Times New Roman" w:hAnsi="Calibri" w:cs="Calibri"/>
              </w:rPr>
            </w:pPr>
            <w:r w:rsidRPr="009655BC">
              <w:rPr>
                <w:rFonts w:ascii="Calibri" w:eastAsia="Times New Roman" w:hAnsi="Calibri" w:cs="Calibri"/>
              </w:rPr>
              <w:t>-</w:t>
            </w:r>
          </w:p>
        </w:tc>
        <w:tc>
          <w:tcPr>
            <w:tcW w:w="1368" w:type="dxa"/>
            <w:tcBorders>
              <w:top w:val="nil"/>
              <w:left w:val="nil"/>
              <w:bottom w:val="nil"/>
              <w:right w:val="nil"/>
            </w:tcBorders>
            <w:shd w:val="clear" w:color="000000" w:fill="FFFFFF"/>
            <w:noWrap/>
            <w:hideMark/>
          </w:tcPr>
          <w:p w14:paraId="746F8850" w14:textId="77777777" w:rsidR="001B6918" w:rsidRPr="00AB2678" w:rsidRDefault="001B6918" w:rsidP="00730ECF">
            <w:pPr>
              <w:jc w:val="right"/>
              <w:rPr>
                <w:rFonts w:ascii="Calibri" w:eastAsia="Times New Roman" w:hAnsi="Calibri" w:cs="Calibri"/>
              </w:rPr>
            </w:pPr>
            <w:r w:rsidRPr="00AB2678">
              <w:t xml:space="preserve"> - </w:t>
            </w:r>
          </w:p>
        </w:tc>
        <w:tc>
          <w:tcPr>
            <w:tcW w:w="1224" w:type="dxa"/>
            <w:tcBorders>
              <w:top w:val="nil"/>
              <w:left w:val="nil"/>
              <w:bottom w:val="nil"/>
              <w:right w:val="nil"/>
            </w:tcBorders>
            <w:shd w:val="clear" w:color="000000" w:fill="FFFFFF"/>
            <w:noWrap/>
            <w:hideMark/>
          </w:tcPr>
          <w:p w14:paraId="75CD4DE2" w14:textId="77777777" w:rsidR="001B6918" w:rsidRPr="00D012D8" w:rsidRDefault="001B6918" w:rsidP="00730ECF">
            <w:pPr>
              <w:jc w:val="right"/>
              <w:rPr>
                <w:rFonts w:ascii="Calibri" w:eastAsia="Times New Roman" w:hAnsi="Calibri" w:cs="Calibri"/>
                <w:color w:val="FF0000"/>
              </w:rPr>
            </w:pPr>
            <w:r w:rsidRPr="00C52817">
              <w:t xml:space="preserve"> 30,740 </w:t>
            </w:r>
          </w:p>
        </w:tc>
      </w:tr>
      <w:tr w:rsidR="001B6918" w:rsidRPr="005D0729" w14:paraId="4107B2DD" w14:textId="77777777" w:rsidTr="00730ECF">
        <w:trPr>
          <w:gridAfter w:val="1"/>
          <w:wAfter w:w="17" w:type="dxa"/>
          <w:trHeight w:val="153"/>
        </w:trPr>
        <w:tc>
          <w:tcPr>
            <w:tcW w:w="3960" w:type="dxa"/>
            <w:tcBorders>
              <w:top w:val="nil"/>
              <w:left w:val="nil"/>
              <w:bottom w:val="nil"/>
              <w:right w:val="nil"/>
            </w:tcBorders>
            <w:shd w:val="clear" w:color="000000" w:fill="FFFFFF"/>
            <w:noWrap/>
            <w:vAlign w:val="bottom"/>
            <w:hideMark/>
          </w:tcPr>
          <w:p w14:paraId="73CA1552" w14:textId="77777777" w:rsidR="001B6918" w:rsidRPr="005D0729" w:rsidRDefault="001B6918" w:rsidP="00730ECF">
            <w:pPr>
              <w:ind w:firstLineChars="100" w:firstLine="220"/>
              <w:rPr>
                <w:rFonts w:ascii="Calibri" w:eastAsia="Times New Roman" w:hAnsi="Calibri" w:cs="Calibri"/>
                <w:color w:val="0D0D0D"/>
              </w:rPr>
            </w:pPr>
            <w:r w:rsidRPr="005D0729">
              <w:rPr>
                <w:rFonts w:ascii="Calibri" w:eastAsia="Times New Roman" w:hAnsi="Calibri" w:cs="Calibri"/>
                <w:color w:val="0D0D0D"/>
              </w:rPr>
              <w:t>Right-to-use assets, buildings (Note 7)</w:t>
            </w:r>
          </w:p>
        </w:tc>
        <w:tc>
          <w:tcPr>
            <w:tcW w:w="1121" w:type="dxa"/>
            <w:tcBorders>
              <w:top w:val="nil"/>
              <w:left w:val="nil"/>
              <w:bottom w:val="nil"/>
              <w:right w:val="nil"/>
            </w:tcBorders>
            <w:shd w:val="clear" w:color="000000" w:fill="FFFFFF"/>
            <w:noWrap/>
            <w:vAlign w:val="bottom"/>
            <w:hideMark/>
          </w:tcPr>
          <w:p w14:paraId="2AA0E06E" w14:textId="77777777" w:rsidR="001B6918" w:rsidRPr="005D0729" w:rsidRDefault="001B6918" w:rsidP="00730ECF">
            <w:pPr>
              <w:jc w:val="right"/>
              <w:rPr>
                <w:rFonts w:ascii="Calibri" w:eastAsia="Times New Roman" w:hAnsi="Calibri" w:cs="Calibri"/>
                <w:color w:val="000000"/>
              </w:rPr>
            </w:pPr>
            <w:r w:rsidRPr="005D0729">
              <w:rPr>
                <w:rFonts w:ascii="Calibri" w:eastAsia="Times New Roman" w:hAnsi="Calibri" w:cs="Calibri"/>
                <w:color w:val="0D0D0D"/>
              </w:rPr>
              <w:t xml:space="preserve">6,481 </w:t>
            </w:r>
          </w:p>
        </w:tc>
        <w:tc>
          <w:tcPr>
            <w:tcW w:w="1094" w:type="dxa"/>
            <w:tcBorders>
              <w:top w:val="nil"/>
              <w:left w:val="nil"/>
              <w:bottom w:val="nil"/>
              <w:right w:val="nil"/>
            </w:tcBorders>
            <w:shd w:val="clear" w:color="000000" w:fill="FFFFFF"/>
            <w:noWrap/>
            <w:vAlign w:val="bottom"/>
            <w:hideMark/>
          </w:tcPr>
          <w:p w14:paraId="78CE9654" w14:textId="77777777" w:rsidR="001B6918" w:rsidRPr="00D012D8" w:rsidRDefault="001B6918" w:rsidP="00730ECF">
            <w:pPr>
              <w:jc w:val="right"/>
              <w:rPr>
                <w:rFonts w:ascii="Calibri" w:eastAsia="Times New Roman" w:hAnsi="Calibri" w:cs="Calibri"/>
                <w:color w:val="FF0000"/>
              </w:rPr>
            </w:pPr>
            <w:r>
              <w:rPr>
                <w:rFonts w:ascii="Calibri" w:hAnsi="Calibri" w:cs="Calibri"/>
              </w:rPr>
              <w:t xml:space="preserve">    3,357 </w:t>
            </w:r>
          </w:p>
        </w:tc>
        <w:tc>
          <w:tcPr>
            <w:tcW w:w="1728" w:type="dxa"/>
            <w:tcBorders>
              <w:top w:val="nil"/>
              <w:left w:val="nil"/>
              <w:bottom w:val="nil"/>
              <w:right w:val="nil"/>
            </w:tcBorders>
            <w:shd w:val="clear" w:color="000000" w:fill="FFFFFF"/>
            <w:noWrap/>
            <w:vAlign w:val="bottom"/>
            <w:hideMark/>
          </w:tcPr>
          <w:p w14:paraId="286A0177" w14:textId="77777777" w:rsidR="001B6918" w:rsidRPr="009655BC" w:rsidRDefault="001B6918" w:rsidP="00730ECF">
            <w:pPr>
              <w:jc w:val="right"/>
              <w:rPr>
                <w:rFonts w:ascii="Calibri" w:eastAsia="Times New Roman" w:hAnsi="Calibri" w:cs="Calibri"/>
              </w:rPr>
            </w:pPr>
            <w:r w:rsidRPr="009655BC">
              <w:rPr>
                <w:rFonts w:ascii="Calibri" w:eastAsia="Times New Roman" w:hAnsi="Calibri" w:cs="Calibri"/>
              </w:rPr>
              <w:t>-</w:t>
            </w:r>
          </w:p>
        </w:tc>
        <w:tc>
          <w:tcPr>
            <w:tcW w:w="1368" w:type="dxa"/>
            <w:tcBorders>
              <w:top w:val="nil"/>
              <w:left w:val="nil"/>
              <w:bottom w:val="nil"/>
              <w:right w:val="nil"/>
            </w:tcBorders>
            <w:shd w:val="clear" w:color="000000" w:fill="FFFFFF"/>
            <w:noWrap/>
            <w:vAlign w:val="bottom"/>
            <w:hideMark/>
          </w:tcPr>
          <w:p w14:paraId="05C6E9E8" w14:textId="77777777" w:rsidR="001B6918" w:rsidRPr="00AB2678" w:rsidRDefault="001B6918" w:rsidP="00730ECF">
            <w:pPr>
              <w:jc w:val="right"/>
              <w:rPr>
                <w:rFonts w:ascii="Calibri" w:eastAsia="Times New Roman" w:hAnsi="Calibri" w:cs="Calibri"/>
              </w:rPr>
            </w:pPr>
            <w:r w:rsidRPr="00AB2678">
              <w:rPr>
                <w:rFonts w:ascii="Calibri" w:eastAsia="Times New Roman" w:hAnsi="Calibri" w:cs="Calibri"/>
              </w:rPr>
              <w:t xml:space="preserve">- </w:t>
            </w:r>
          </w:p>
        </w:tc>
        <w:tc>
          <w:tcPr>
            <w:tcW w:w="1224" w:type="dxa"/>
            <w:tcBorders>
              <w:top w:val="nil"/>
              <w:left w:val="nil"/>
              <w:bottom w:val="nil"/>
              <w:right w:val="nil"/>
            </w:tcBorders>
            <w:shd w:val="clear" w:color="000000" w:fill="FFFFFF"/>
            <w:noWrap/>
            <w:hideMark/>
          </w:tcPr>
          <w:p w14:paraId="3B081B2F" w14:textId="77777777" w:rsidR="001B6918" w:rsidRPr="00D012D8" w:rsidRDefault="001B6918" w:rsidP="00730ECF">
            <w:pPr>
              <w:jc w:val="right"/>
              <w:rPr>
                <w:rFonts w:ascii="Calibri" w:eastAsia="Times New Roman" w:hAnsi="Calibri" w:cs="Calibri"/>
                <w:color w:val="FF0000"/>
              </w:rPr>
            </w:pPr>
            <w:r w:rsidRPr="00C52817">
              <w:t xml:space="preserve"> 9,838 </w:t>
            </w:r>
          </w:p>
        </w:tc>
      </w:tr>
      <w:tr w:rsidR="001B6918" w:rsidRPr="005D0729" w14:paraId="643BB0C0" w14:textId="77777777" w:rsidTr="00730ECF">
        <w:trPr>
          <w:gridAfter w:val="1"/>
          <w:wAfter w:w="17" w:type="dxa"/>
          <w:trHeight w:val="80"/>
        </w:trPr>
        <w:tc>
          <w:tcPr>
            <w:tcW w:w="3960" w:type="dxa"/>
            <w:tcBorders>
              <w:top w:val="nil"/>
              <w:left w:val="nil"/>
              <w:bottom w:val="nil"/>
              <w:right w:val="nil"/>
            </w:tcBorders>
            <w:shd w:val="clear" w:color="000000" w:fill="FFFFFF"/>
            <w:noWrap/>
            <w:vAlign w:val="bottom"/>
            <w:hideMark/>
          </w:tcPr>
          <w:p w14:paraId="5F65AB7D" w14:textId="77777777" w:rsidR="001B6918" w:rsidRPr="005D0729" w:rsidRDefault="001B6918" w:rsidP="00730ECF">
            <w:pPr>
              <w:ind w:firstLineChars="100" w:firstLine="220"/>
              <w:rPr>
                <w:rFonts w:ascii="Calibri" w:eastAsia="Times New Roman" w:hAnsi="Calibri" w:cs="Calibri"/>
                <w:color w:val="0D0D0D"/>
              </w:rPr>
            </w:pPr>
            <w:r w:rsidRPr="005D0729">
              <w:rPr>
                <w:rFonts w:ascii="Calibri" w:eastAsia="Times New Roman" w:hAnsi="Calibri" w:cs="Calibri"/>
                <w:color w:val="0D0D0D"/>
              </w:rPr>
              <w:t>Subscription based IT arrangements</w:t>
            </w:r>
          </w:p>
        </w:tc>
        <w:tc>
          <w:tcPr>
            <w:tcW w:w="1121" w:type="dxa"/>
            <w:tcBorders>
              <w:top w:val="nil"/>
              <w:left w:val="nil"/>
              <w:bottom w:val="nil"/>
              <w:right w:val="nil"/>
            </w:tcBorders>
            <w:shd w:val="clear" w:color="000000" w:fill="FFFFFF"/>
            <w:noWrap/>
            <w:vAlign w:val="bottom"/>
            <w:hideMark/>
          </w:tcPr>
          <w:p w14:paraId="5A70C721" w14:textId="77777777" w:rsidR="001B6918" w:rsidRPr="005D0729" w:rsidRDefault="001B6918" w:rsidP="00730ECF">
            <w:pPr>
              <w:jc w:val="right"/>
              <w:rPr>
                <w:rFonts w:ascii="Calibri" w:eastAsia="Times New Roman" w:hAnsi="Calibri" w:cs="Calibri"/>
                <w:color w:val="000000"/>
              </w:rPr>
            </w:pPr>
            <w:r w:rsidRPr="005D0729">
              <w:rPr>
                <w:rFonts w:ascii="Calibri" w:eastAsia="Times New Roman" w:hAnsi="Calibri" w:cs="Calibri"/>
                <w:color w:val="0D0D0D"/>
              </w:rPr>
              <w:t xml:space="preserve">7,029 </w:t>
            </w:r>
          </w:p>
        </w:tc>
        <w:tc>
          <w:tcPr>
            <w:tcW w:w="1094" w:type="dxa"/>
            <w:tcBorders>
              <w:top w:val="nil"/>
              <w:left w:val="nil"/>
              <w:bottom w:val="single" w:sz="4" w:space="0" w:color="00688D"/>
              <w:right w:val="nil"/>
            </w:tcBorders>
            <w:shd w:val="clear" w:color="000000" w:fill="FFFFFF"/>
            <w:noWrap/>
            <w:vAlign w:val="bottom"/>
            <w:hideMark/>
          </w:tcPr>
          <w:p w14:paraId="33942C55" w14:textId="77777777" w:rsidR="001B6918" w:rsidRPr="00D012D8" w:rsidRDefault="001B6918" w:rsidP="00730ECF">
            <w:pPr>
              <w:jc w:val="right"/>
              <w:rPr>
                <w:rFonts w:ascii="Calibri" w:eastAsia="Times New Roman" w:hAnsi="Calibri" w:cs="Calibri"/>
                <w:color w:val="FF0000"/>
              </w:rPr>
            </w:pPr>
            <w:r>
              <w:rPr>
                <w:rFonts w:ascii="Calibri" w:hAnsi="Calibri" w:cs="Calibri"/>
              </w:rPr>
              <w:t xml:space="preserve">  4,006 </w:t>
            </w:r>
          </w:p>
        </w:tc>
        <w:tc>
          <w:tcPr>
            <w:tcW w:w="1728" w:type="dxa"/>
            <w:tcBorders>
              <w:top w:val="nil"/>
              <w:left w:val="nil"/>
              <w:bottom w:val="nil"/>
              <w:right w:val="nil"/>
            </w:tcBorders>
            <w:shd w:val="clear" w:color="000000" w:fill="FFFFFF"/>
            <w:noWrap/>
            <w:vAlign w:val="bottom"/>
            <w:hideMark/>
          </w:tcPr>
          <w:p w14:paraId="56758F92" w14:textId="77777777" w:rsidR="001B6918" w:rsidRPr="009655BC" w:rsidRDefault="001B6918" w:rsidP="00730ECF">
            <w:pPr>
              <w:jc w:val="right"/>
              <w:rPr>
                <w:rFonts w:ascii="Calibri" w:eastAsia="Times New Roman" w:hAnsi="Calibri" w:cs="Calibri"/>
              </w:rPr>
            </w:pPr>
            <w:r w:rsidRPr="009655BC">
              <w:rPr>
                <w:rFonts w:ascii="Calibri" w:eastAsia="Times New Roman" w:hAnsi="Calibri" w:cs="Calibri"/>
              </w:rPr>
              <w:t>-</w:t>
            </w:r>
          </w:p>
        </w:tc>
        <w:tc>
          <w:tcPr>
            <w:tcW w:w="1368" w:type="dxa"/>
            <w:tcBorders>
              <w:top w:val="nil"/>
              <w:left w:val="nil"/>
              <w:bottom w:val="nil"/>
              <w:right w:val="nil"/>
            </w:tcBorders>
            <w:shd w:val="clear" w:color="000000" w:fill="FFFFFF"/>
            <w:noWrap/>
            <w:vAlign w:val="bottom"/>
            <w:hideMark/>
          </w:tcPr>
          <w:p w14:paraId="7711B3F2" w14:textId="77777777" w:rsidR="001B6918" w:rsidRPr="00AB2678" w:rsidRDefault="001B6918" w:rsidP="00730ECF">
            <w:pPr>
              <w:jc w:val="right"/>
              <w:rPr>
                <w:rFonts w:ascii="Calibri" w:eastAsia="Times New Roman" w:hAnsi="Calibri" w:cs="Calibri"/>
              </w:rPr>
            </w:pPr>
            <w:r w:rsidRPr="00AB2678">
              <w:rPr>
                <w:rFonts w:ascii="Calibri" w:eastAsia="Times New Roman" w:hAnsi="Calibri" w:cs="Calibri"/>
              </w:rPr>
              <w:t xml:space="preserve">- </w:t>
            </w:r>
          </w:p>
        </w:tc>
        <w:tc>
          <w:tcPr>
            <w:tcW w:w="1224" w:type="dxa"/>
            <w:tcBorders>
              <w:top w:val="nil"/>
              <w:left w:val="nil"/>
              <w:bottom w:val="nil"/>
              <w:right w:val="nil"/>
            </w:tcBorders>
            <w:shd w:val="clear" w:color="000000" w:fill="FFFFFF"/>
            <w:noWrap/>
            <w:hideMark/>
          </w:tcPr>
          <w:p w14:paraId="7D3137EE" w14:textId="77777777" w:rsidR="001B6918" w:rsidRPr="00D012D8" w:rsidRDefault="001B6918" w:rsidP="00730ECF">
            <w:pPr>
              <w:jc w:val="right"/>
              <w:rPr>
                <w:rFonts w:ascii="Calibri" w:eastAsia="Times New Roman" w:hAnsi="Calibri" w:cs="Calibri"/>
                <w:color w:val="FF0000"/>
              </w:rPr>
            </w:pPr>
            <w:r w:rsidRPr="00C52817">
              <w:t xml:space="preserve"> 11,035 </w:t>
            </w:r>
          </w:p>
        </w:tc>
      </w:tr>
      <w:tr w:rsidR="001B6918" w:rsidRPr="005D0729" w14:paraId="6A18F31F" w14:textId="77777777" w:rsidTr="00730ECF">
        <w:trPr>
          <w:gridAfter w:val="1"/>
          <w:wAfter w:w="17" w:type="dxa"/>
          <w:trHeight w:val="188"/>
        </w:trPr>
        <w:tc>
          <w:tcPr>
            <w:tcW w:w="3960" w:type="dxa"/>
            <w:tcBorders>
              <w:top w:val="single" w:sz="4" w:space="0" w:color="000000"/>
              <w:left w:val="nil"/>
              <w:bottom w:val="single" w:sz="4" w:space="0" w:color="000000"/>
              <w:right w:val="nil"/>
            </w:tcBorders>
            <w:shd w:val="clear" w:color="000000" w:fill="FFFFFF"/>
            <w:noWrap/>
            <w:vAlign w:val="bottom"/>
            <w:hideMark/>
          </w:tcPr>
          <w:p w14:paraId="60F8A95D" w14:textId="77777777" w:rsidR="001B6918" w:rsidRPr="005D0729" w:rsidRDefault="001B6918" w:rsidP="00730ECF">
            <w:pPr>
              <w:rPr>
                <w:rFonts w:ascii="Calibri" w:eastAsia="Times New Roman" w:hAnsi="Calibri" w:cs="Calibri"/>
                <w:color w:val="0D0D0D"/>
              </w:rPr>
            </w:pPr>
            <w:r w:rsidRPr="005D0729">
              <w:rPr>
                <w:rFonts w:ascii="Calibri" w:eastAsia="Times New Roman" w:hAnsi="Calibri" w:cs="Calibri"/>
                <w:color w:val="0D0D0D"/>
              </w:rPr>
              <w:t>Total accumulated depreciation</w:t>
            </w:r>
            <w:r>
              <w:rPr>
                <w:rFonts w:ascii="Calibri" w:eastAsia="Times New Roman" w:hAnsi="Calibri" w:cs="Calibri"/>
                <w:color w:val="0D0D0D"/>
              </w:rPr>
              <w:t xml:space="preserve"> and amortization</w:t>
            </w:r>
          </w:p>
        </w:tc>
        <w:tc>
          <w:tcPr>
            <w:tcW w:w="1121" w:type="dxa"/>
            <w:tcBorders>
              <w:top w:val="single" w:sz="4" w:space="0" w:color="000000"/>
              <w:left w:val="nil"/>
              <w:bottom w:val="single" w:sz="4" w:space="0" w:color="000000"/>
              <w:right w:val="nil"/>
            </w:tcBorders>
            <w:shd w:val="clear" w:color="000000" w:fill="FFFFFF"/>
            <w:noWrap/>
            <w:vAlign w:val="bottom"/>
            <w:hideMark/>
          </w:tcPr>
          <w:p w14:paraId="3E86390A" w14:textId="77777777" w:rsidR="001B6918" w:rsidRPr="005D0729" w:rsidRDefault="001B6918" w:rsidP="00730ECF">
            <w:pPr>
              <w:jc w:val="right"/>
              <w:rPr>
                <w:rFonts w:ascii="Calibri" w:eastAsia="Times New Roman" w:hAnsi="Calibri" w:cs="Calibri"/>
                <w:color w:val="0D0D0D"/>
              </w:rPr>
            </w:pPr>
            <w:r w:rsidRPr="005D0729">
              <w:rPr>
                <w:rFonts w:ascii="Calibri" w:eastAsia="Times New Roman" w:hAnsi="Calibri" w:cs="Calibri"/>
                <w:color w:val="0D0D0D"/>
              </w:rPr>
              <w:t xml:space="preserve">724,342 </w:t>
            </w:r>
          </w:p>
        </w:tc>
        <w:tc>
          <w:tcPr>
            <w:tcW w:w="1094" w:type="dxa"/>
            <w:tcBorders>
              <w:top w:val="nil"/>
              <w:left w:val="nil"/>
              <w:bottom w:val="single" w:sz="4" w:space="0" w:color="00688D"/>
              <w:right w:val="nil"/>
            </w:tcBorders>
            <w:shd w:val="clear" w:color="000000" w:fill="FFFFFF"/>
            <w:noWrap/>
            <w:vAlign w:val="bottom"/>
            <w:hideMark/>
          </w:tcPr>
          <w:p w14:paraId="3E470FD2" w14:textId="77777777" w:rsidR="001B6918" w:rsidRPr="009655BC" w:rsidRDefault="001B6918" w:rsidP="00730ECF">
            <w:pPr>
              <w:jc w:val="right"/>
              <w:rPr>
                <w:rFonts w:ascii="Calibri" w:eastAsia="Times New Roman" w:hAnsi="Calibri" w:cs="Calibri"/>
              </w:rPr>
            </w:pPr>
            <w:r>
              <w:rPr>
                <w:rFonts w:ascii="Calibri" w:hAnsi="Calibri" w:cs="Calibri"/>
              </w:rPr>
              <w:t xml:space="preserve">56,987 </w:t>
            </w:r>
          </w:p>
        </w:tc>
        <w:tc>
          <w:tcPr>
            <w:tcW w:w="1728" w:type="dxa"/>
            <w:tcBorders>
              <w:top w:val="single" w:sz="4" w:space="0" w:color="000000"/>
              <w:left w:val="nil"/>
              <w:bottom w:val="single" w:sz="4" w:space="0" w:color="000000"/>
              <w:right w:val="nil"/>
            </w:tcBorders>
            <w:shd w:val="clear" w:color="000000" w:fill="FFFFFF"/>
            <w:noWrap/>
            <w:vAlign w:val="bottom"/>
            <w:hideMark/>
          </w:tcPr>
          <w:p w14:paraId="4736C74D" w14:textId="77777777" w:rsidR="001B6918" w:rsidRPr="009655BC" w:rsidRDefault="001B6918" w:rsidP="00730ECF">
            <w:pPr>
              <w:jc w:val="right"/>
              <w:rPr>
                <w:rFonts w:ascii="Calibri" w:eastAsia="Times New Roman" w:hAnsi="Calibri" w:cs="Calibri"/>
              </w:rPr>
            </w:pPr>
            <w:r w:rsidRPr="009655BC">
              <w:rPr>
                <w:rFonts w:ascii="Calibri" w:eastAsia="Times New Roman" w:hAnsi="Calibri" w:cs="Calibri"/>
              </w:rPr>
              <w:t>-</w:t>
            </w:r>
          </w:p>
        </w:tc>
        <w:tc>
          <w:tcPr>
            <w:tcW w:w="1368" w:type="dxa"/>
            <w:tcBorders>
              <w:top w:val="single" w:sz="4" w:space="0" w:color="000000"/>
              <w:left w:val="nil"/>
              <w:bottom w:val="single" w:sz="4" w:space="0" w:color="000000"/>
              <w:right w:val="nil"/>
            </w:tcBorders>
            <w:shd w:val="clear" w:color="000000" w:fill="FFFFFF"/>
            <w:noWrap/>
            <w:vAlign w:val="bottom"/>
            <w:hideMark/>
          </w:tcPr>
          <w:p w14:paraId="1B88B0EA" w14:textId="77777777" w:rsidR="001B6918" w:rsidRPr="009655BC" w:rsidRDefault="001B6918" w:rsidP="00730ECF">
            <w:pPr>
              <w:jc w:val="right"/>
              <w:rPr>
                <w:rFonts w:ascii="Calibri" w:eastAsia="Times New Roman" w:hAnsi="Calibri" w:cs="Calibri"/>
              </w:rPr>
            </w:pPr>
            <w:r w:rsidRPr="009655BC">
              <w:rPr>
                <w:rFonts w:ascii="Calibri" w:eastAsia="Times New Roman" w:hAnsi="Calibri" w:cs="Calibri"/>
              </w:rPr>
              <w:t>(2,267)</w:t>
            </w:r>
          </w:p>
        </w:tc>
        <w:tc>
          <w:tcPr>
            <w:tcW w:w="1224" w:type="dxa"/>
            <w:tcBorders>
              <w:top w:val="single" w:sz="4" w:space="0" w:color="000000"/>
              <w:left w:val="nil"/>
              <w:bottom w:val="single" w:sz="4" w:space="0" w:color="000000"/>
              <w:right w:val="nil"/>
            </w:tcBorders>
            <w:shd w:val="clear" w:color="000000" w:fill="FFFFFF"/>
            <w:noWrap/>
            <w:vAlign w:val="bottom"/>
            <w:hideMark/>
          </w:tcPr>
          <w:p w14:paraId="65F7AF9C" w14:textId="77777777" w:rsidR="001B6918" w:rsidRPr="009655BC" w:rsidRDefault="001B6918" w:rsidP="00730ECF">
            <w:pPr>
              <w:jc w:val="right"/>
              <w:rPr>
                <w:rFonts w:ascii="Calibri" w:eastAsia="Times New Roman" w:hAnsi="Calibri" w:cs="Calibri"/>
              </w:rPr>
            </w:pPr>
            <w:r w:rsidRPr="009655BC">
              <w:rPr>
                <w:rFonts w:ascii="Calibri" w:eastAsia="Times New Roman" w:hAnsi="Calibri" w:cs="Calibri"/>
              </w:rPr>
              <w:t xml:space="preserve">779,062 </w:t>
            </w:r>
          </w:p>
        </w:tc>
      </w:tr>
      <w:tr w:rsidR="001B6918" w:rsidRPr="005D0729" w14:paraId="22A18D8D" w14:textId="77777777" w:rsidTr="00730ECF">
        <w:trPr>
          <w:gridAfter w:val="1"/>
          <w:wAfter w:w="17" w:type="dxa"/>
          <w:trHeight w:val="98"/>
        </w:trPr>
        <w:tc>
          <w:tcPr>
            <w:tcW w:w="3960" w:type="dxa"/>
            <w:tcBorders>
              <w:top w:val="nil"/>
              <w:left w:val="nil"/>
              <w:bottom w:val="single" w:sz="4" w:space="0" w:color="000000"/>
              <w:right w:val="nil"/>
            </w:tcBorders>
            <w:shd w:val="clear" w:color="000000" w:fill="FFFFFF"/>
            <w:noWrap/>
            <w:vAlign w:val="bottom"/>
            <w:hideMark/>
          </w:tcPr>
          <w:p w14:paraId="5A33EB57" w14:textId="77777777" w:rsidR="001B6918" w:rsidRPr="005D0729" w:rsidRDefault="001B6918" w:rsidP="00730ECF">
            <w:pPr>
              <w:rPr>
                <w:rFonts w:ascii="Calibri" w:eastAsia="Times New Roman" w:hAnsi="Calibri" w:cs="Calibri"/>
                <w:color w:val="0D0D0D"/>
              </w:rPr>
            </w:pPr>
            <w:r w:rsidRPr="005D0729">
              <w:rPr>
                <w:rFonts w:ascii="Calibri" w:eastAsia="Times New Roman" w:hAnsi="Calibri" w:cs="Calibri"/>
                <w:color w:val="0D0D0D"/>
              </w:rPr>
              <w:t xml:space="preserve">Net depreciable </w:t>
            </w:r>
            <w:r>
              <w:rPr>
                <w:rFonts w:ascii="Calibri" w:eastAsia="Times New Roman" w:hAnsi="Calibri" w:cs="Calibri"/>
                <w:color w:val="0D0D0D"/>
              </w:rPr>
              <w:t xml:space="preserve">and amortizable </w:t>
            </w:r>
            <w:r w:rsidRPr="005D0729">
              <w:rPr>
                <w:rFonts w:ascii="Calibri" w:eastAsia="Times New Roman" w:hAnsi="Calibri" w:cs="Calibri"/>
                <w:color w:val="0D0D0D"/>
              </w:rPr>
              <w:t>assets</w:t>
            </w:r>
          </w:p>
        </w:tc>
        <w:tc>
          <w:tcPr>
            <w:tcW w:w="1121" w:type="dxa"/>
            <w:tcBorders>
              <w:top w:val="nil"/>
              <w:left w:val="nil"/>
              <w:bottom w:val="single" w:sz="4" w:space="0" w:color="000000"/>
              <w:right w:val="nil"/>
            </w:tcBorders>
            <w:shd w:val="clear" w:color="000000" w:fill="FFFFFF"/>
            <w:noWrap/>
            <w:vAlign w:val="bottom"/>
            <w:hideMark/>
          </w:tcPr>
          <w:p w14:paraId="14D844D8" w14:textId="77777777" w:rsidR="001B6918" w:rsidRPr="005D0729" w:rsidRDefault="001B6918" w:rsidP="00730ECF">
            <w:pPr>
              <w:jc w:val="right"/>
              <w:rPr>
                <w:rFonts w:ascii="Calibri" w:eastAsia="Times New Roman" w:hAnsi="Calibri" w:cs="Calibri"/>
                <w:color w:val="0D0D0D"/>
              </w:rPr>
            </w:pPr>
            <w:r w:rsidRPr="005D0729">
              <w:rPr>
                <w:rFonts w:ascii="Calibri" w:eastAsia="Times New Roman" w:hAnsi="Calibri" w:cs="Calibri"/>
                <w:color w:val="0D0D0D"/>
              </w:rPr>
              <w:t xml:space="preserve">723,534 </w:t>
            </w:r>
          </w:p>
        </w:tc>
        <w:tc>
          <w:tcPr>
            <w:tcW w:w="1094" w:type="dxa"/>
            <w:tcBorders>
              <w:top w:val="nil"/>
              <w:left w:val="nil"/>
              <w:bottom w:val="single" w:sz="4" w:space="0" w:color="00688D"/>
              <w:right w:val="nil"/>
            </w:tcBorders>
            <w:shd w:val="clear" w:color="000000" w:fill="FFFFFF"/>
            <w:noWrap/>
            <w:vAlign w:val="bottom"/>
            <w:hideMark/>
          </w:tcPr>
          <w:p w14:paraId="47D5DCF3" w14:textId="77777777" w:rsidR="001B6918" w:rsidRPr="009655BC" w:rsidRDefault="001B6918" w:rsidP="00730ECF">
            <w:pPr>
              <w:jc w:val="right"/>
              <w:rPr>
                <w:rFonts w:ascii="Calibri" w:eastAsia="Times New Roman" w:hAnsi="Calibri" w:cs="Calibri"/>
              </w:rPr>
            </w:pPr>
            <w:r>
              <w:rPr>
                <w:rFonts w:ascii="Calibri" w:hAnsi="Calibri" w:cs="Calibri"/>
              </w:rPr>
              <w:t xml:space="preserve"> (12,486)</w:t>
            </w:r>
          </w:p>
        </w:tc>
        <w:tc>
          <w:tcPr>
            <w:tcW w:w="1728" w:type="dxa"/>
            <w:tcBorders>
              <w:top w:val="nil"/>
              <w:left w:val="nil"/>
              <w:bottom w:val="single" w:sz="4" w:space="0" w:color="000000"/>
              <w:right w:val="nil"/>
            </w:tcBorders>
            <w:shd w:val="clear" w:color="000000" w:fill="FFFFFF"/>
            <w:noWrap/>
            <w:vAlign w:val="bottom"/>
            <w:hideMark/>
          </w:tcPr>
          <w:p w14:paraId="728A1EE1" w14:textId="77777777" w:rsidR="001B6918" w:rsidRPr="009655BC" w:rsidRDefault="001B6918" w:rsidP="00730ECF">
            <w:pPr>
              <w:jc w:val="right"/>
              <w:rPr>
                <w:rFonts w:ascii="Calibri" w:eastAsia="Times New Roman" w:hAnsi="Calibri" w:cs="Calibri"/>
              </w:rPr>
            </w:pPr>
            <w:r w:rsidRPr="009655BC">
              <w:rPr>
                <w:rFonts w:ascii="Calibri" w:eastAsia="Times New Roman" w:hAnsi="Calibri" w:cs="Calibri"/>
              </w:rPr>
              <w:t>168,782</w:t>
            </w:r>
          </w:p>
        </w:tc>
        <w:tc>
          <w:tcPr>
            <w:tcW w:w="1368" w:type="dxa"/>
            <w:tcBorders>
              <w:top w:val="nil"/>
              <w:left w:val="nil"/>
              <w:bottom w:val="single" w:sz="4" w:space="0" w:color="000000"/>
              <w:right w:val="nil"/>
            </w:tcBorders>
            <w:shd w:val="clear" w:color="000000" w:fill="FFFFFF"/>
            <w:noWrap/>
            <w:vAlign w:val="bottom"/>
            <w:hideMark/>
          </w:tcPr>
          <w:p w14:paraId="37CF9E51" w14:textId="77777777" w:rsidR="001B6918" w:rsidRPr="009655BC" w:rsidRDefault="001B6918" w:rsidP="00730ECF">
            <w:pPr>
              <w:jc w:val="right"/>
              <w:rPr>
                <w:rFonts w:ascii="Calibri" w:eastAsia="Times New Roman" w:hAnsi="Calibri" w:cs="Calibri"/>
              </w:rPr>
            </w:pPr>
            <w:r w:rsidRPr="009655BC">
              <w:rPr>
                <w:rFonts w:ascii="Calibri" w:eastAsia="Times New Roman" w:hAnsi="Calibri" w:cs="Calibri"/>
              </w:rPr>
              <w:t>(1,019)</w:t>
            </w:r>
          </w:p>
        </w:tc>
        <w:tc>
          <w:tcPr>
            <w:tcW w:w="1224" w:type="dxa"/>
            <w:tcBorders>
              <w:top w:val="nil"/>
              <w:left w:val="nil"/>
              <w:bottom w:val="single" w:sz="4" w:space="0" w:color="000000"/>
              <w:right w:val="nil"/>
            </w:tcBorders>
            <w:shd w:val="clear" w:color="000000" w:fill="FFFFFF"/>
            <w:noWrap/>
            <w:vAlign w:val="bottom"/>
            <w:hideMark/>
          </w:tcPr>
          <w:p w14:paraId="32F95794" w14:textId="77777777" w:rsidR="001B6918" w:rsidRPr="009655BC" w:rsidRDefault="001B6918" w:rsidP="00730ECF">
            <w:pPr>
              <w:jc w:val="right"/>
              <w:rPr>
                <w:rFonts w:ascii="Calibri" w:eastAsia="Times New Roman" w:hAnsi="Calibri" w:cs="Calibri"/>
              </w:rPr>
            </w:pPr>
            <w:r w:rsidRPr="009655BC">
              <w:rPr>
                <w:rFonts w:ascii="Calibri" w:eastAsia="Times New Roman" w:hAnsi="Calibri" w:cs="Calibri"/>
              </w:rPr>
              <w:t>878,81</w:t>
            </w:r>
            <w:r>
              <w:rPr>
                <w:rFonts w:ascii="Calibri" w:eastAsia="Times New Roman" w:hAnsi="Calibri" w:cs="Calibri"/>
              </w:rPr>
              <w:t>1</w:t>
            </w:r>
            <w:r w:rsidRPr="009655BC">
              <w:rPr>
                <w:rFonts w:ascii="Calibri" w:eastAsia="Times New Roman" w:hAnsi="Calibri" w:cs="Calibri"/>
              </w:rPr>
              <w:t xml:space="preserve"> </w:t>
            </w:r>
          </w:p>
        </w:tc>
      </w:tr>
      <w:tr w:rsidR="001B6918" w:rsidRPr="005D0729" w14:paraId="2B385D83" w14:textId="77777777" w:rsidTr="00730ECF">
        <w:trPr>
          <w:gridAfter w:val="1"/>
          <w:wAfter w:w="17" w:type="dxa"/>
          <w:trHeight w:val="80"/>
        </w:trPr>
        <w:tc>
          <w:tcPr>
            <w:tcW w:w="3960" w:type="dxa"/>
            <w:tcBorders>
              <w:top w:val="nil"/>
              <w:left w:val="nil"/>
              <w:bottom w:val="double" w:sz="6" w:space="0" w:color="000000"/>
              <w:right w:val="nil"/>
            </w:tcBorders>
            <w:shd w:val="clear" w:color="000000" w:fill="FFFFFF"/>
            <w:vAlign w:val="bottom"/>
            <w:hideMark/>
          </w:tcPr>
          <w:p w14:paraId="2AC02A53" w14:textId="77777777" w:rsidR="001B6918" w:rsidRPr="005D0729" w:rsidRDefault="001B6918" w:rsidP="00730ECF">
            <w:pPr>
              <w:rPr>
                <w:rFonts w:ascii="Calibri" w:eastAsia="Times New Roman" w:hAnsi="Calibri" w:cs="Calibri"/>
                <w:color w:val="0D0D0D"/>
              </w:rPr>
            </w:pPr>
            <w:r w:rsidRPr="005D0729">
              <w:rPr>
                <w:rFonts w:ascii="Calibri" w:eastAsia="Times New Roman" w:hAnsi="Calibri" w:cs="Calibri"/>
                <w:color w:val="0D0D0D"/>
              </w:rPr>
              <w:t>Total capital assets, net</w:t>
            </w:r>
          </w:p>
        </w:tc>
        <w:tc>
          <w:tcPr>
            <w:tcW w:w="1121" w:type="dxa"/>
            <w:tcBorders>
              <w:top w:val="nil"/>
              <w:left w:val="nil"/>
              <w:bottom w:val="double" w:sz="6" w:space="0" w:color="000000"/>
              <w:right w:val="nil"/>
            </w:tcBorders>
            <w:shd w:val="clear" w:color="000000" w:fill="FFFFFF"/>
            <w:noWrap/>
            <w:vAlign w:val="bottom"/>
            <w:hideMark/>
          </w:tcPr>
          <w:p w14:paraId="29246C4C" w14:textId="77777777" w:rsidR="001B6918" w:rsidRPr="005D0729" w:rsidRDefault="001B6918" w:rsidP="00730ECF">
            <w:pPr>
              <w:jc w:val="right"/>
              <w:rPr>
                <w:rFonts w:ascii="Calibri" w:eastAsia="Times New Roman" w:hAnsi="Calibri" w:cs="Calibri"/>
              </w:rPr>
            </w:pPr>
            <w:r w:rsidRPr="005D0729">
              <w:rPr>
                <w:rFonts w:ascii="Calibri" w:eastAsia="Times New Roman" w:hAnsi="Calibri" w:cs="Calibri"/>
              </w:rPr>
              <w:t>$ 934,857</w:t>
            </w:r>
          </w:p>
        </w:tc>
        <w:tc>
          <w:tcPr>
            <w:tcW w:w="1094" w:type="dxa"/>
            <w:tcBorders>
              <w:top w:val="nil"/>
              <w:left w:val="nil"/>
              <w:bottom w:val="double" w:sz="6" w:space="0" w:color="00688D"/>
              <w:right w:val="nil"/>
            </w:tcBorders>
            <w:shd w:val="clear" w:color="000000" w:fill="FFFFFF"/>
            <w:noWrap/>
            <w:vAlign w:val="bottom"/>
            <w:hideMark/>
          </w:tcPr>
          <w:p w14:paraId="755B77A6" w14:textId="77777777" w:rsidR="001B6918" w:rsidRPr="009655BC" w:rsidRDefault="001B6918" w:rsidP="00730ECF">
            <w:pPr>
              <w:jc w:val="right"/>
              <w:rPr>
                <w:rFonts w:ascii="Calibri" w:eastAsia="Times New Roman" w:hAnsi="Calibri" w:cs="Calibri"/>
              </w:rPr>
            </w:pPr>
            <w:r>
              <w:rPr>
                <w:rFonts w:ascii="Calibri" w:hAnsi="Calibri" w:cs="Calibri"/>
              </w:rPr>
              <w:t xml:space="preserve">$  82,406 </w:t>
            </w:r>
          </w:p>
        </w:tc>
        <w:tc>
          <w:tcPr>
            <w:tcW w:w="1728" w:type="dxa"/>
            <w:tcBorders>
              <w:top w:val="nil"/>
              <w:left w:val="nil"/>
              <w:bottom w:val="double" w:sz="6" w:space="0" w:color="000000"/>
              <w:right w:val="nil"/>
            </w:tcBorders>
            <w:shd w:val="clear" w:color="000000" w:fill="FFFFFF"/>
            <w:noWrap/>
            <w:vAlign w:val="bottom"/>
            <w:hideMark/>
          </w:tcPr>
          <w:p w14:paraId="510A058D" w14:textId="77777777" w:rsidR="001B6918" w:rsidRPr="009655BC" w:rsidRDefault="001B6918" w:rsidP="00730ECF">
            <w:pPr>
              <w:jc w:val="right"/>
              <w:rPr>
                <w:rFonts w:ascii="Calibri" w:eastAsia="Times New Roman" w:hAnsi="Calibri" w:cs="Calibri"/>
              </w:rPr>
            </w:pPr>
            <w:r w:rsidRPr="009655BC">
              <w:rPr>
                <w:rFonts w:ascii="Calibri" w:eastAsia="Times New Roman" w:hAnsi="Calibri" w:cs="Calibri"/>
              </w:rPr>
              <w:t xml:space="preserve">$   </w:t>
            </w:r>
            <w:r>
              <w:rPr>
                <w:rFonts w:ascii="Calibri" w:eastAsia="Times New Roman" w:hAnsi="Calibri" w:cs="Calibri"/>
              </w:rPr>
              <w:t xml:space="preserve"> </w:t>
            </w:r>
            <w:r w:rsidRPr="009655BC">
              <w:rPr>
                <w:rFonts w:ascii="Calibri" w:eastAsia="Times New Roman" w:hAnsi="Calibri" w:cs="Calibri"/>
              </w:rPr>
              <w:t xml:space="preserve">        -</w:t>
            </w:r>
          </w:p>
        </w:tc>
        <w:tc>
          <w:tcPr>
            <w:tcW w:w="1368" w:type="dxa"/>
            <w:tcBorders>
              <w:top w:val="nil"/>
              <w:left w:val="nil"/>
              <w:bottom w:val="double" w:sz="6" w:space="0" w:color="000000"/>
              <w:right w:val="nil"/>
            </w:tcBorders>
            <w:shd w:val="clear" w:color="000000" w:fill="FFFFFF"/>
            <w:noWrap/>
            <w:vAlign w:val="bottom"/>
            <w:hideMark/>
          </w:tcPr>
          <w:p w14:paraId="0883E1F2" w14:textId="77777777" w:rsidR="001B6918" w:rsidRPr="009655BC" w:rsidRDefault="001B6918" w:rsidP="00730ECF">
            <w:pPr>
              <w:jc w:val="right"/>
              <w:rPr>
                <w:rFonts w:ascii="Calibri" w:eastAsia="Times New Roman" w:hAnsi="Calibri" w:cs="Calibri"/>
              </w:rPr>
            </w:pPr>
            <w:r w:rsidRPr="009655BC">
              <w:rPr>
                <w:rFonts w:ascii="Calibri" w:eastAsia="Times New Roman" w:hAnsi="Calibri" w:cs="Calibri"/>
              </w:rPr>
              <w:t>$  (1,019)</w:t>
            </w:r>
          </w:p>
        </w:tc>
        <w:tc>
          <w:tcPr>
            <w:tcW w:w="1224" w:type="dxa"/>
            <w:tcBorders>
              <w:top w:val="nil"/>
              <w:left w:val="nil"/>
              <w:bottom w:val="double" w:sz="6" w:space="0" w:color="000000"/>
              <w:right w:val="nil"/>
            </w:tcBorders>
            <w:shd w:val="clear" w:color="000000" w:fill="FFFFFF"/>
            <w:noWrap/>
            <w:vAlign w:val="bottom"/>
            <w:hideMark/>
          </w:tcPr>
          <w:p w14:paraId="467FADB9" w14:textId="77777777" w:rsidR="001B6918" w:rsidRPr="009655BC" w:rsidRDefault="001B6918" w:rsidP="00730ECF">
            <w:pPr>
              <w:jc w:val="right"/>
              <w:rPr>
                <w:rFonts w:ascii="Calibri" w:eastAsia="Times New Roman" w:hAnsi="Calibri" w:cs="Calibri"/>
              </w:rPr>
            </w:pPr>
            <w:r w:rsidRPr="009655BC">
              <w:rPr>
                <w:rFonts w:ascii="Calibri" w:eastAsia="Times New Roman" w:hAnsi="Calibri" w:cs="Calibri"/>
              </w:rPr>
              <w:t>$1,016,24</w:t>
            </w:r>
            <w:r>
              <w:rPr>
                <w:rFonts w:ascii="Calibri" w:eastAsia="Times New Roman" w:hAnsi="Calibri" w:cs="Calibri"/>
              </w:rPr>
              <w:t>4</w:t>
            </w:r>
          </w:p>
        </w:tc>
      </w:tr>
    </w:tbl>
    <w:p w14:paraId="2C68331F" w14:textId="77777777" w:rsidR="001B6918" w:rsidRPr="004E6649" w:rsidRDefault="001B6918" w:rsidP="001B6918">
      <w:pPr>
        <w:tabs>
          <w:tab w:val="left" w:pos="720"/>
          <w:tab w:val="left" w:pos="1022"/>
          <w:tab w:val="left" w:pos="1440"/>
          <w:tab w:val="decimal" w:pos="6890"/>
          <w:tab w:val="decimal" w:pos="9454"/>
          <w:tab w:val="left" w:pos="10440"/>
        </w:tabs>
        <w:suppressAutoHyphens/>
        <w:spacing w:before="240"/>
        <w:rPr>
          <w:rFonts w:cstheme="minorHAnsi"/>
          <w:spacing w:val="-3"/>
          <w:sz w:val="24"/>
          <w:highlight w:val="yellow"/>
        </w:rPr>
      </w:pPr>
      <w:r w:rsidRPr="004E6649">
        <w:rPr>
          <w:rFonts w:cstheme="minorHAnsi"/>
          <w:bCs/>
          <w:spacing w:val="-3"/>
          <w:sz w:val="24"/>
        </w:rPr>
        <w:fldChar w:fldCharType="begin"/>
      </w:r>
      <w:r w:rsidRPr="004E6649">
        <w:rPr>
          <w:rFonts w:cstheme="minorHAnsi"/>
          <w:bCs/>
          <w:spacing w:val="-3"/>
          <w:sz w:val="24"/>
        </w:rPr>
        <w:fldChar w:fldCharType="end"/>
      </w:r>
      <w:r w:rsidRPr="004E6649">
        <w:rPr>
          <w:rFonts w:cstheme="minorHAnsi"/>
          <w:spacing w:val="-3"/>
          <w:sz w:val="24"/>
        </w:rPr>
        <w:t xml:space="preserve">As of June 30, </w:t>
      </w:r>
      <w:proofErr w:type="gramStart"/>
      <w:r w:rsidRPr="004E6649">
        <w:rPr>
          <w:rFonts w:cstheme="minorHAnsi"/>
          <w:spacing w:val="-3"/>
          <w:sz w:val="24"/>
        </w:rPr>
        <w:t>202</w:t>
      </w:r>
      <w:r>
        <w:rPr>
          <w:rFonts w:cstheme="minorHAnsi"/>
          <w:spacing w:val="-3"/>
          <w:sz w:val="24"/>
        </w:rPr>
        <w:t>5</w:t>
      </w:r>
      <w:proofErr w:type="gramEnd"/>
      <w:r w:rsidRPr="004E6649">
        <w:rPr>
          <w:rFonts w:cstheme="minorHAnsi"/>
          <w:spacing w:val="-3"/>
          <w:sz w:val="24"/>
        </w:rPr>
        <w:t xml:space="preserve"> and 202</w:t>
      </w:r>
      <w:r>
        <w:rPr>
          <w:rFonts w:cstheme="minorHAnsi"/>
          <w:spacing w:val="-3"/>
          <w:sz w:val="24"/>
        </w:rPr>
        <w:t>4</w:t>
      </w:r>
      <w:r w:rsidRPr="004E6649">
        <w:rPr>
          <w:rFonts w:cstheme="minorHAnsi"/>
          <w:spacing w:val="-3"/>
          <w:sz w:val="24"/>
        </w:rPr>
        <w:t xml:space="preserve">, </w:t>
      </w:r>
      <w:r w:rsidRPr="000F1362">
        <w:rPr>
          <w:rFonts w:cstheme="minorHAnsi"/>
          <w:spacing w:val="-3"/>
          <w:sz w:val="24"/>
        </w:rPr>
        <w:t xml:space="preserve">$2,583 </w:t>
      </w:r>
      <w:r w:rsidRPr="004E6649">
        <w:rPr>
          <w:rFonts w:cstheme="minorHAnsi"/>
          <w:spacing w:val="-3"/>
          <w:sz w:val="24"/>
        </w:rPr>
        <w:t>and $</w:t>
      </w:r>
      <w:proofErr w:type="gramStart"/>
      <w:r w:rsidRPr="00AB2678">
        <w:rPr>
          <w:rFonts w:cstheme="minorHAnsi"/>
          <w:spacing w:val="-3"/>
          <w:sz w:val="24"/>
        </w:rPr>
        <w:t xml:space="preserve">4,650 </w:t>
      </w:r>
      <w:r w:rsidRPr="004E6649">
        <w:rPr>
          <w:rFonts w:cstheme="minorHAnsi"/>
          <w:spacing w:val="-3"/>
          <w:sz w:val="24"/>
        </w:rPr>
        <w:t>,</w:t>
      </w:r>
      <w:proofErr w:type="gramEnd"/>
      <w:r w:rsidRPr="004E6649">
        <w:rPr>
          <w:rFonts w:cstheme="minorHAnsi"/>
          <w:spacing w:val="-3"/>
          <w:sz w:val="24"/>
        </w:rPr>
        <w:t xml:space="preserve"> respectively, in proceeds from debt issuances remain unspent. These amounts are included in the accompanying Statements of Net Position as part of deposits with trustees along with amounts restricted for debt service.</w:t>
      </w:r>
    </w:p>
    <w:p w14:paraId="347DFF82" w14:textId="77777777" w:rsidR="001B6918" w:rsidRPr="00710223" w:rsidRDefault="001B6918" w:rsidP="001B6918">
      <w:pPr>
        <w:tabs>
          <w:tab w:val="left" w:pos="720"/>
          <w:tab w:val="left" w:pos="1022"/>
          <w:tab w:val="left" w:pos="1440"/>
          <w:tab w:val="decimal" w:pos="6890"/>
          <w:tab w:val="decimal" w:pos="9454"/>
          <w:tab w:val="left" w:pos="10440"/>
        </w:tabs>
        <w:suppressAutoHyphens/>
        <w:rPr>
          <w:rFonts w:cstheme="minorHAnsi"/>
          <w:spacing w:val="-3"/>
          <w:szCs w:val="20"/>
        </w:rPr>
      </w:pPr>
    </w:p>
    <w:p w14:paraId="60BFF07F" w14:textId="06011119" w:rsidR="001B6918" w:rsidRPr="004E6649" w:rsidRDefault="001B6918" w:rsidP="001B6918">
      <w:pPr>
        <w:tabs>
          <w:tab w:val="left" w:pos="720"/>
          <w:tab w:val="left" w:pos="1022"/>
          <w:tab w:val="left" w:pos="1440"/>
          <w:tab w:val="decimal" w:pos="6890"/>
          <w:tab w:val="decimal" w:pos="9454"/>
          <w:tab w:val="left" w:pos="10440"/>
        </w:tabs>
        <w:suppressAutoHyphens/>
        <w:rPr>
          <w:rFonts w:cstheme="minorHAnsi"/>
          <w:spacing w:val="-3"/>
          <w:sz w:val="24"/>
        </w:rPr>
      </w:pPr>
      <w:r w:rsidRPr="004E6649">
        <w:rPr>
          <w:rFonts w:cstheme="minorHAnsi"/>
          <w:spacing w:val="-3"/>
          <w:sz w:val="24"/>
        </w:rPr>
        <w:t>Also remaining unspent as of June 30, 202</w:t>
      </w:r>
      <w:r>
        <w:rPr>
          <w:rFonts w:cstheme="minorHAnsi"/>
          <w:spacing w:val="-3"/>
          <w:sz w:val="24"/>
        </w:rPr>
        <w:t>5</w:t>
      </w:r>
      <w:r w:rsidRPr="004E6649">
        <w:rPr>
          <w:rFonts w:cstheme="minorHAnsi"/>
          <w:spacing w:val="-3"/>
          <w:sz w:val="24"/>
        </w:rPr>
        <w:t xml:space="preserve"> and 202</w:t>
      </w:r>
      <w:r>
        <w:rPr>
          <w:rFonts w:cstheme="minorHAnsi"/>
          <w:spacing w:val="-3"/>
          <w:sz w:val="24"/>
        </w:rPr>
        <w:t>4</w:t>
      </w:r>
      <w:r w:rsidRPr="004E6649">
        <w:rPr>
          <w:rFonts w:cstheme="minorHAnsi"/>
          <w:spacing w:val="-3"/>
          <w:sz w:val="24"/>
        </w:rPr>
        <w:t xml:space="preserve"> is $</w:t>
      </w:r>
      <w:r w:rsidR="00BC68DD">
        <w:rPr>
          <w:rFonts w:cstheme="minorHAnsi"/>
          <w:spacing w:val="-3"/>
          <w:sz w:val="24"/>
        </w:rPr>
        <w:t>7</w:t>
      </w:r>
      <w:r w:rsidRPr="00825B58">
        <w:rPr>
          <w:rFonts w:cstheme="minorHAnsi"/>
          <w:spacing w:val="-3"/>
          <w:sz w:val="24"/>
        </w:rPr>
        <w:t xml:space="preserve">38 </w:t>
      </w:r>
      <w:r w:rsidRPr="004E6649">
        <w:rPr>
          <w:rFonts w:cstheme="minorHAnsi"/>
          <w:spacing w:val="-3"/>
          <w:sz w:val="24"/>
        </w:rPr>
        <w:t>and $</w:t>
      </w:r>
      <w:r w:rsidRPr="00AB2678">
        <w:rPr>
          <w:rFonts w:cstheme="minorHAnsi"/>
          <w:spacing w:val="-3"/>
          <w:sz w:val="24"/>
        </w:rPr>
        <w:t>1,762</w:t>
      </w:r>
      <w:r w:rsidRPr="004E6649">
        <w:rPr>
          <w:rFonts w:cstheme="minorHAnsi"/>
          <w:spacing w:val="-3"/>
          <w:sz w:val="24"/>
        </w:rPr>
        <w:t>, respectively, in capital appropriations awarded by the State of Maine. These amounts are not included in the accompanying financial statements because the System has not met all eligibility requirements (e.g., incurred costs).</w:t>
      </w:r>
    </w:p>
    <w:p w14:paraId="3E7A22E9" w14:textId="77777777" w:rsidR="001B6918" w:rsidRPr="00710223" w:rsidRDefault="001B6918" w:rsidP="001B6918">
      <w:pPr>
        <w:tabs>
          <w:tab w:val="left" w:pos="720"/>
          <w:tab w:val="left" w:pos="1022"/>
          <w:tab w:val="left" w:pos="1440"/>
          <w:tab w:val="decimal" w:pos="6890"/>
          <w:tab w:val="decimal" w:pos="9454"/>
          <w:tab w:val="left" w:pos="10440"/>
        </w:tabs>
        <w:suppressAutoHyphens/>
        <w:rPr>
          <w:rFonts w:cstheme="minorHAnsi"/>
          <w:spacing w:val="-3"/>
          <w:sz w:val="20"/>
          <w:szCs w:val="18"/>
        </w:rPr>
      </w:pPr>
    </w:p>
    <w:p w14:paraId="6E9A1843" w14:textId="77777777" w:rsidR="001B6918" w:rsidRDefault="001B6918" w:rsidP="001B6918">
      <w:pPr>
        <w:tabs>
          <w:tab w:val="left" w:pos="720"/>
          <w:tab w:val="left" w:pos="1022"/>
          <w:tab w:val="left" w:pos="1440"/>
          <w:tab w:val="decimal" w:pos="6890"/>
          <w:tab w:val="decimal" w:pos="9454"/>
          <w:tab w:val="left" w:pos="10440"/>
        </w:tabs>
        <w:suppressAutoHyphens/>
        <w:rPr>
          <w:rFonts w:cstheme="minorHAnsi"/>
          <w:spacing w:val="-3"/>
          <w:sz w:val="24"/>
        </w:rPr>
      </w:pPr>
      <w:r w:rsidRPr="004E6649">
        <w:rPr>
          <w:rFonts w:cstheme="minorHAnsi"/>
          <w:spacing w:val="-3"/>
          <w:sz w:val="24"/>
        </w:rPr>
        <w:t>Both the debt proceeds and capital appropriation monies are earmarked for specific projects, most of which are capital construction projects. As monies are spent on these projects, the costs are included in capital assets in the accompanying Statements of Net Position.</w:t>
      </w:r>
    </w:p>
    <w:p w14:paraId="28A1B774" w14:textId="77777777" w:rsidR="001B6918" w:rsidRPr="004E6649" w:rsidRDefault="001B6918" w:rsidP="001B6918">
      <w:pPr>
        <w:tabs>
          <w:tab w:val="left" w:pos="720"/>
          <w:tab w:val="left" w:pos="1022"/>
          <w:tab w:val="left" w:pos="1440"/>
          <w:tab w:val="decimal" w:pos="6890"/>
          <w:tab w:val="decimal" w:pos="9454"/>
          <w:tab w:val="left" w:pos="10440"/>
        </w:tabs>
        <w:suppressAutoHyphens/>
        <w:rPr>
          <w:rFonts w:cstheme="minorHAnsi"/>
          <w:spacing w:val="-3"/>
          <w:sz w:val="24"/>
        </w:rPr>
      </w:pPr>
    </w:p>
    <w:p w14:paraId="5F07B362" w14:textId="77777777" w:rsidR="001B6918" w:rsidRPr="006301D6" w:rsidRDefault="001B6918" w:rsidP="001B6918">
      <w:pPr>
        <w:tabs>
          <w:tab w:val="left" w:pos="720"/>
          <w:tab w:val="left" w:pos="1022"/>
          <w:tab w:val="left" w:pos="1440"/>
          <w:tab w:val="decimal" w:pos="6890"/>
          <w:tab w:val="decimal" w:pos="9454"/>
          <w:tab w:val="left" w:pos="10440"/>
        </w:tabs>
        <w:suppressAutoHyphens/>
        <w:rPr>
          <w:rFonts w:cstheme="minorHAnsi"/>
          <w:spacing w:val="-3"/>
          <w:sz w:val="24"/>
        </w:rPr>
      </w:pPr>
      <w:r w:rsidRPr="004E6649">
        <w:rPr>
          <w:rFonts w:cstheme="minorHAnsi"/>
          <w:spacing w:val="-3"/>
          <w:sz w:val="24"/>
        </w:rPr>
        <w:t xml:space="preserve">Outstanding commitments on uncompleted construction contracts totaled </w:t>
      </w:r>
      <w:r w:rsidRPr="00825B58">
        <w:rPr>
          <w:rFonts w:cstheme="minorHAnsi"/>
          <w:spacing w:val="-3"/>
          <w:sz w:val="24"/>
        </w:rPr>
        <w:t xml:space="preserve">$102,925 </w:t>
      </w:r>
      <w:r w:rsidRPr="004E6649">
        <w:rPr>
          <w:rFonts w:cstheme="minorHAnsi"/>
          <w:spacing w:val="-3"/>
          <w:sz w:val="24"/>
        </w:rPr>
        <w:t>and $</w:t>
      </w:r>
      <w:r w:rsidRPr="00AB2678">
        <w:rPr>
          <w:rFonts w:cstheme="minorHAnsi"/>
          <w:spacing w:val="-3"/>
          <w:sz w:val="24"/>
        </w:rPr>
        <w:t>137,762</w:t>
      </w:r>
      <w:r w:rsidRPr="004E6649">
        <w:rPr>
          <w:rFonts w:cstheme="minorHAnsi"/>
          <w:spacing w:val="-3"/>
          <w:sz w:val="24"/>
        </w:rPr>
        <w:t xml:space="preserve"> at June 30, 202</w:t>
      </w:r>
      <w:r>
        <w:rPr>
          <w:rFonts w:cstheme="minorHAnsi"/>
          <w:spacing w:val="-3"/>
          <w:sz w:val="24"/>
        </w:rPr>
        <w:t>5</w:t>
      </w:r>
      <w:r w:rsidRPr="004E6649">
        <w:rPr>
          <w:rFonts w:cstheme="minorHAnsi"/>
          <w:spacing w:val="-3"/>
          <w:sz w:val="24"/>
        </w:rPr>
        <w:t xml:space="preserve"> and 202</w:t>
      </w:r>
      <w:r>
        <w:rPr>
          <w:rFonts w:cstheme="minorHAnsi"/>
          <w:spacing w:val="-3"/>
          <w:sz w:val="24"/>
        </w:rPr>
        <w:t>4</w:t>
      </w:r>
      <w:r w:rsidRPr="004E6649">
        <w:rPr>
          <w:rFonts w:cstheme="minorHAnsi"/>
          <w:spacing w:val="-3"/>
          <w:sz w:val="24"/>
        </w:rPr>
        <w:t>, respectively.</w:t>
      </w:r>
      <w:r w:rsidRPr="004E6649">
        <w:rPr>
          <w:rFonts w:cstheme="minorHAnsi"/>
          <w:sz w:val="26"/>
          <w:szCs w:val="26"/>
        </w:rPr>
        <w:br w:type="page"/>
      </w:r>
    </w:p>
    <w:p w14:paraId="45799310" w14:textId="77777777" w:rsidR="001B6918" w:rsidRPr="004E6649" w:rsidRDefault="001B6918" w:rsidP="001B6918">
      <w:pPr>
        <w:pStyle w:val="AFR2"/>
        <w:pBdr>
          <w:bottom w:val="single" w:sz="8" w:space="1" w:color="0D0D0D" w:themeColor="text1" w:themeTint="F2"/>
        </w:pBdr>
        <w:rPr>
          <w:rFonts w:cstheme="minorHAnsi"/>
          <w:sz w:val="24"/>
          <w:szCs w:val="24"/>
        </w:rPr>
      </w:pPr>
      <w:r w:rsidRPr="004E6649">
        <w:rPr>
          <w:rFonts w:cstheme="minorHAnsi"/>
          <w:sz w:val="24"/>
          <w:szCs w:val="24"/>
        </w:rPr>
        <w:lastRenderedPageBreak/>
        <w:t>7. ACCRUED LIABILITIES, LEASE LIABILITIES AND LONG-TERM DEBT</w:t>
      </w:r>
    </w:p>
    <w:p w14:paraId="640BAC32" w14:textId="3A8CB0DD" w:rsidR="001B6918" w:rsidRDefault="001B6918" w:rsidP="001B6918">
      <w:pPr>
        <w:tabs>
          <w:tab w:val="left" w:pos="720"/>
          <w:tab w:val="left" w:pos="1022"/>
          <w:tab w:val="left" w:pos="1440"/>
          <w:tab w:val="decimal" w:pos="6890"/>
          <w:tab w:val="decimal" w:pos="9454"/>
        </w:tabs>
        <w:suppressAutoHyphens/>
        <w:rPr>
          <w:rFonts w:cstheme="minorHAnsi"/>
          <w:bCs/>
          <w:spacing w:val="-3"/>
          <w:sz w:val="24"/>
        </w:rPr>
      </w:pPr>
      <w:r w:rsidRPr="004E6649">
        <w:rPr>
          <w:rFonts w:cstheme="minorHAnsi"/>
          <w:bCs/>
          <w:spacing w:val="-3"/>
          <w:sz w:val="24"/>
        </w:rPr>
        <w:t xml:space="preserve">Changes in accrued liabilities, obligations for </w:t>
      </w:r>
      <w:r w:rsidRPr="004E6649">
        <w:rPr>
          <w:rFonts w:eastAsia="Times New Roman" w:cstheme="minorHAnsi"/>
          <w:bCs/>
          <w:spacing w:val="-3"/>
          <w:sz w:val="24"/>
          <w:szCs w:val="24"/>
        </w:rPr>
        <w:t>right</w:t>
      </w:r>
      <w:r>
        <w:rPr>
          <w:rFonts w:eastAsia="Times New Roman" w:cstheme="minorHAnsi"/>
          <w:bCs/>
          <w:spacing w:val="-3"/>
          <w:sz w:val="24"/>
          <w:szCs w:val="24"/>
        </w:rPr>
        <w:t>-to-</w:t>
      </w:r>
      <w:r w:rsidRPr="004E6649">
        <w:rPr>
          <w:rFonts w:eastAsia="Times New Roman" w:cstheme="minorHAnsi"/>
          <w:bCs/>
          <w:spacing w:val="-3"/>
          <w:sz w:val="24"/>
          <w:szCs w:val="24"/>
        </w:rPr>
        <w:t xml:space="preserve">use </w:t>
      </w:r>
      <w:r w:rsidRPr="004E6649">
        <w:rPr>
          <w:rFonts w:cstheme="minorHAnsi"/>
          <w:bCs/>
          <w:spacing w:val="-3"/>
          <w:sz w:val="24"/>
        </w:rPr>
        <w:t>assets and long-term debt during the year ended June 30 include the following:</w:t>
      </w:r>
    </w:p>
    <w:p w14:paraId="2ED9DCC5" w14:textId="77777777" w:rsidR="001B6918" w:rsidRPr="004E6649" w:rsidRDefault="001B6918" w:rsidP="001B6918">
      <w:pPr>
        <w:tabs>
          <w:tab w:val="left" w:pos="720"/>
          <w:tab w:val="left" w:pos="1022"/>
          <w:tab w:val="left" w:pos="1440"/>
          <w:tab w:val="decimal" w:pos="6890"/>
          <w:tab w:val="decimal" w:pos="9454"/>
        </w:tabs>
        <w:suppressAutoHyphens/>
        <w:rPr>
          <w:rFonts w:cstheme="minorHAnsi"/>
          <w:bCs/>
          <w:spacing w:val="-3"/>
          <w:sz w:val="24"/>
        </w:rPr>
      </w:pPr>
    </w:p>
    <w:tbl>
      <w:tblPr>
        <w:tblW w:w="10980" w:type="dxa"/>
        <w:jc w:val="center"/>
        <w:tblLook w:val="04A0" w:firstRow="1" w:lastRow="0" w:firstColumn="1" w:lastColumn="0" w:noHBand="0" w:noVBand="1"/>
      </w:tblPr>
      <w:tblGrid>
        <w:gridCol w:w="4406"/>
        <w:gridCol w:w="1121"/>
        <w:gridCol w:w="1313"/>
        <w:gridCol w:w="1530"/>
        <w:gridCol w:w="1553"/>
        <w:gridCol w:w="1057"/>
      </w:tblGrid>
      <w:tr w:rsidR="001B6918" w:rsidRPr="003040F7" w14:paraId="084E23DF" w14:textId="77777777" w:rsidTr="00F51774">
        <w:trPr>
          <w:trHeight w:val="162"/>
          <w:jc w:val="center"/>
        </w:trPr>
        <w:tc>
          <w:tcPr>
            <w:tcW w:w="10980" w:type="dxa"/>
            <w:gridSpan w:val="6"/>
            <w:tcBorders>
              <w:top w:val="nil"/>
              <w:left w:val="nil"/>
              <w:bottom w:val="single" w:sz="12" w:space="0" w:color="000000"/>
              <w:right w:val="nil"/>
            </w:tcBorders>
            <w:shd w:val="clear" w:color="000000" w:fill="FFFFFF"/>
            <w:noWrap/>
            <w:vAlign w:val="bottom"/>
            <w:hideMark/>
          </w:tcPr>
          <w:p w14:paraId="76F74CE7" w14:textId="77777777" w:rsidR="001B6918" w:rsidRPr="003040F7" w:rsidRDefault="001B6918" w:rsidP="00730ECF">
            <w:pPr>
              <w:jc w:val="center"/>
              <w:rPr>
                <w:rFonts w:ascii="Calibri" w:eastAsia="Times New Roman" w:hAnsi="Calibri" w:cs="Calibri"/>
                <w:b/>
                <w:bCs/>
                <w:color w:val="0D0D0D"/>
              </w:rPr>
            </w:pPr>
            <w:bookmarkStart w:id="15" w:name="_Hlk206425367"/>
            <w:r w:rsidRPr="003040F7">
              <w:rPr>
                <w:rFonts w:ascii="Calibri" w:eastAsia="Times New Roman" w:hAnsi="Calibri" w:cs="Calibri"/>
                <w:b/>
                <w:bCs/>
                <w:color w:val="0D0D0D"/>
              </w:rPr>
              <w:t>202</w:t>
            </w:r>
            <w:r>
              <w:rPr>
                <w:rFonts w:ascii="Calibri" w:eastAsia="Times New Roman" w:hAnsi="Calibri" w:cs="Calibri"/>
                <w:b/>
                <w:bCs/>
                <w:color w:val="0D0D0D"/>
              </w:rPr>
              <w:t>5</w:t>
            </w:r>
          </w:p>
        </w:tc>
      </w:tr>
      <w:tr w:rsidR="001B6918" w:rsidRPr="003040F7" w14:paraId="2EDB161E" w14:textId="77777777" w:rsidTr="00F51774">
        <w:trPr>
          <w:trHeight w:val="312"/>
          <w:jc w:val="center"/>
        </w:trPr>
        <w:tc>
          <w:tcPr>
            <w:tcW w:w="4406" w:type="dxa"/>
            <w:tcBorders>
              <w:top w:val="nil"/>
              <w:left w:val="nil"/>
              <w:bottom w:val="single" w:sz="12" w:space="0" w:color="000000"/>
              <w:right w:val="nil"/>
            </w:tcBorders>
            <w:shd w:val="clear" w:color="000000" w:fill="FFFFFF"/>
            <w:noWrap/>
            <w:vAlign w:val="bottom"/>
            <w:hideMark/>
          </w:tcPr>
          <w:p w14:paraId="38C2CF7E" w14:textId="77777777" w:rsidR="001B6918" w:rsidRPr="003040F7" w:rsidRDefault="001B6918" w:rsidP="00730ECF">
            <w:pPr>
              <w:jc w:val="center"/>
              <w:rPr>
                <w:rFonts w:ascii="Calibri" w:eastAsia="Times New Roman" w:hAnsi="Calibri" w:cs="Calibri"/>
                <w:b/>
                <w:bCs/>
                <w:color w:val="0D0D0D"/>
              </w:rPr>
            </w:pPr>
          </w:p>
        </w:tc>
        <w:tc>
          <w:tcPr>
            <w:tcW w:w="1121" w:type="dxa"/>
            <w:tcBorders>
              <w:top w:val="nil"/>
              <w:left w:val="nil"/>
              <w:bottom w:val="single" w:sz="12" w:space="0" w:color="000000"/>
              <w:right w:val="nil"/>
            </w:tcBorders>
            <w:shd w:val="clear" w:color="000000" w:fill="FFFFFF"/>
            <w:vAlign w:val="bottom"/>
            <w:hideMark/>
          </w:tcPr>
          <w:p w14:paraId="249EF86E" w14:textId="77777777" w:rsidR="001B6918" w:rsidRDefault="001B6918" w:rsidP="00730ECF">
            <w:pPr>
              <w:jc w:val="center"/>
              <w:rPr>
                <w:rFonts w:ascii="Calibri" w:eastAsia="Times New Roman" w:hAnsi="Calibri" w:cs="Calibri"/>
                <w:b/>
                <w:bCs/>
                <w:color w:val="0D0D0D"/>
              </w:rPr>
            </w:pPr>
            <w:r w:rsidRPr="003040F7">
              <w:rPr>
                <w:rFonts w:ascii="Calibri" w:eastAsia="Times New Roman" w:hAnsi="Calibri" w:cs="Calibri"/>
                <w:b/>
                <w:bCs/>
                <w:color w:val="0D0D0D"/>
              </w:rPr>
              <w:t>Beginning</w:t>
            </w:r>
            <w:r w:rsidRPr="003040F7">
              <w:rPr>
                <w:rFonts w:ascii="Calibri" w:eastAsia="Times New Roman" w:hAnsi="Calibri" w:cs="Calibri"/>
                <w:b/>
                <w:bCs/>
                <w:color w:val="0D0D0D"/>
              </w:rPr>
              <w:br/>
              <w:t>Balance</w:t>
            </w:r>
          </w:p>
          <w:p w14:paraId="01AD5DC5" w14:textId="77777777" w:rsidR="001B6918" w:rsidRPr="003040F7" w:rsidRDefault="001B6918" w:rsidP="00730ECF">
            <w:pPr>
              <w:jc w:val="center"/>
              <w:rPr>
                <w:rFonts w:ascii="Calibri" w:eastAsia="Times New Roman" w:hAnsi="Calibri" w:cs="Calibri"/>
                <w:b/>
                <w:bCs/>
                <w:color w:val="0D0D0D"/>
              </w:rPr>
            </w:pPr>
            <w:r>
              <w:rPr>
                <w:rFonts w:ascii="Calibri" w:eastAsia="Times New Roman" w:hAnsi="Calibri" w:cs="Calibri"/>
                <w:b/>
                <w:bCs/>
                <w:color w:val="0D0D0D"/>
              </w:rPr>
              <w:t>Restated</w:t>
            </w:r>
          </w:p>
        </w:tc>
        <w:tc>
          <w:tcPr>
            <w:tcW w:w="1313" w:type="dxa"/>
            <w:tcBorders>
              <w:top w:val="nil"/>
              <w:left w:val="nil"/>
              <w:bottom w:val="single" w:sz="12" w:space="0" w:color="000000"/>
              <w:right w:val="nil"/>
            </w:tcBorders>
            <w:shd w:val="clear" w:color="000000" w:fill="FFFFFF"/>
            <w:noWrap/>
            <w:vAlign w:val="bottom"/>
            <w:hideMark/>
          </w:tcPr>
          <w:p w14:paraId="72F2FED1" w14:textId="77777777" w:rsidR="001B6918" w:rsidRPr="003040F7" w:rsidRDefault="001B6918" w:rsidP="00730ECF">
            <w:pPr>
              <w:jc w:val="center"/>
              <w:rPr>
                <w:rFonts w:ascii="Calibri" w:eastAsia="Times New Roman" w:hAnsi="Calibri" w:cs="Calibri"/>
                <w:b/>
                <w:bCs/>
                <w:color w:val="0D0D0D"/>
              </w:rPr>
            </w:pPr>
            <w:r w:rsidRPr="003040F7">
              <w:rPr>
                <w:rFonts w:ascii="Calibri" w:eastAsia="Times New Roman" w:hAnsi="Calibri" w:cs="Calibri"/>
                <w:b/>
                <w:bCs/>
                <w:color w:val="0D0D0D"/>
              </w:rPr>
              <w:t>Additions</w:t>
            </w:r>
          </w:p>
        </w:tc>
        <w:tc>
          <w:tcPr>
            <w:tcW w:w="1530" w:type="dxa"/>
            <w:tcBorders>
              <w:top w:val="nil"/>
              <w:left w:val="nil"/>
              <w:bottom w:val="single" w:sz="12" w:space="0" w:color="000000"/>
              <w:right w:val="nil"/>
            </w:tcBorders>
            <w:shd w:val="clear" w:color="000000" w:fill="FFFFFF"/>
            <w:noWrap/>
            <w:vAlign w:val="bottom"/>
            <w:hideMark/>
          </w:tcPr>
          <w:p w14:paraId="6F26973B" w14:textId="77777777" w:rsidR="001B6918" w:rsidRPr="003040F7" w:rsidRDefault="001B6918" w:rsidP="00730ECF">
            <w:pPr>
              <w:jc w:val="center"/>
              <w:rPr>
                <w:rFonts w:ascii="Calibri" w:eastAsia="Times New Roman" w:hAnsi="Calibri" w:cs="Calibri"/>
                <w:b/>
                <w:bCs/>
                <w:color w:val="0D0D0D"/>
              </w:rPr>
            </w:pPr>
            <w:r w:rsidRPr="003040F7">
              <w:rPr>
                <w:rFonts w:ascii="Calibri" w:eastAsia="Times New Roman" w:hAnsi="Calibri" w:cs="Calibri"/>
                <w:b/>
                <w:bCs/>
                <w:color w:val="0D0D0D"/>
              </w:rPr>
              <w:t>Reductions</w:t>
            </w:r>
          </w:p>
        </w:tc>
        <w:tc>
          <w:tcPr>
            <w:tcW w:w="1553" w:type="dxa"/>
            <w:tcBorders>
              <w:top w:val="nil"/>
              <w:left w:val="nil"/>
              <w:bottom w:val="single" w:sz="12" w:space="0" w:color="000000"/>
              <w:right w:val="nil"/>
            </w:tcBorders>
            <w:shd w:val="clear" w:color="000000" w:fill="FFFFFF"/>
            <w:vAlign w:val="bottom"/>
            <w:hideMark/>
          </w:tcPr>
          <w:p w14:paraId="36849437" w14:textId="77777777" w:rsidR="001B6918" w:rsidRPr="003040F7" w:rsidRDefault="001B6918" w:rsidP="00730ECF">
            <w:pPr>
              <w:jc w:val="center"/>
              <w:rPr>
                <w:rFonts w:ascii="Calibri" w:eastAsia="Times New Roman" w:hAnsi="Calibri" w:cs="Calibri"/>
                <w:b/>
                <w:bCs/>
                <w:color w:val="0D0D0D"/>
              </w:rPr>
            </w:pPr>
            <w:r w:rsidRPr="003040F7">
              <w:rPr>
                <w:rFonts w:ascii="Calibri" w:eastAsia="Times New Roman" w:hAnsi="Calibri" w:cs="Calibri"/>
                <w:b/>
                <w:bCs/>
                <w:color w:val="0D0D0D"/>
              </w:rPr>
              <w:t>Ending</w:t>
            </w:r>
            <w:r w:rsidRPr="003040F7">
              <w:rPr>
                <w:rFonts w:ascii="Calibri" w:eastAsia="Times New Roman" w:hAnsi="Calibri" w:cs="Calibri"/>
                <w:b/>
                <w:bCs/>
                <w:color w:val="0D0D0D"/>
              </w:rPr>
              <w:br/>
              <w:t>Balance</w:t>
            </w:r>
          </w:p>
        </w:tc>
        <w:tc>
          <w:tcPr>
            <w:tcW w:w="1057" w:type="dxa"/>
            <w:tcBorders>
              <w:top w:val="nil"/>
              <w:left w:val="nil"/>
              <w:bottom w:val="single" w:sz="12" w:space="0" w:color="000000"/>
              <w:right w:val="nil"/>
            </w:tcBorders>
            <w:shd w:val="clear" w:color="000000" w:fill="FFFFFF"/>
            <w:vAlign w:val="bottom"/>
            <w:hideMark/>
          </w:tcPr>
          <w:p w14:paraId="1736DD79" w14:textId="77777777" w:rsidR="001B6918" w:rsidRPr="003040F7" w:rsidRDefault="001B6918" w:rsidP="00730ECF">
            <w:pPr>
              <w:jc w:val="center"/>
              <w:rPr>
                <w:rFonts w:ascii="Calibri" w:eastAsia="Times New Roman" w:hAnsi="Calibri" w:cs="Calibri"/>
                <w:b/>
                <w:bCs/>
                <w:color w:val="0D0D0D"/>
              </w:rPr>
            </w:pPr>
            <w:r w:rsidRPr="003040F7">
              <w:rPr>
                <w:rFonts w:ascii="Calibri" w:eastAsia="Times New Roman" w:hAnsi="Calibri" w:cs="Calibri"/>
                <w:b/>
                <w:bCs/>
                <w:color w:val="0D0D0D"/>
              </w:rPr>
              <w:t>Current</w:t>
            </w:r>
            <w:r w:rsidRPr="003040F7">
              <w:rPr>
                <w:rFonts w:ascii="Calibri" w:eastAsia="Times New Roman" w:hAnsi="Calibri" w:cs="Calibri"/>
                <w:b/>
                <w:bCs/>
                <w:color w:val="0D0D0D"/>
              </w:rPr>
              <w:br/>
              <w:t>Portion</w:t>
            </w:r>
          </w:p>
        </w:tc>
      </w:tr>
      <w:tr w:rsidR="001B6918" w:rsidRPr="003040F7" w14:paraId="464E4340" w14:textId="77777777" w:rsidTr="00F51774">
        <w:trPr>
          <w:trHeight w:val="195"/>
          <w:jc w:val="center"/>
        </w:trPr>
        <w:tc>
          <w:tcPr>
            <w:tcW w:w="4406" w:type="dxa"/>
            <w:tcBorders>
              <w:top w:val="nil"/>
              <w:left w:val="nil"/>
              <w:bottom w:val="nil"/>
              <w:right w:val="nil"/>
            </w:tcBorders>
            <w:shd w:val="clear" w:color="000000" w:fill="FFFFFF"/>
            <w:noWrap/>
            <w:vAlign w:val="bottom"/>
            <w:hideMark/>
          </w:tcPr>
          <w:p w14:paraId="25EC485A" w14:textId="77777777" w:rsidR="001B6918" w:rsidRPr="003040F7" w:rsidRDefault="001B6918" w:rsidP="00730ECF">
            <w:pPr>
              <w:rPr>
                <w:rFonts w:ascii="Calibri" w:eastAsia="Times New Roman" w:hAnsi="Calibri" w:cs="Calibri"/>
                <w:color w:val="0D0D0D"/>
              </w:rPr>
            </w:pPr>
            <w:r w:rsidRPr="003040F7">
              <w:rPr>
                <w:rFonts w:ascii="Calibri" w:eastAsia="Times New Roman" w:hAnsi="Calibri" w:cs="Calibri"/>
                <w:color w:val="0D0D0D"/>
              </w:rPr>
              <w:t>Accrued liabilities:</w:t>
            </w:r>
          </w:p>
        </w:tc>
        <w:tc>
          <w:tcPr>
            <w:tcW w:w="1121" w:type="dxa"/>
            <w:tcBorders>
              <w:top w:val="nil"/>
              <w:left w:val="nil"/>
              <w:bottom w:val="nil"/>
              <w:right w:val="nil"/>
            </w:tcBorders>
            <w:shd w:val="clear" w:color="000000" w:fill="FFFFFF"/>
            <w:noWrap/>
            <w:vAlign w:val="bottom"/>
            <w:hideMark/>
          </w:tcPr>
          <w:p w14:paraId="74A07B29" w14:textId="77777777" w:rsidR="001B6918" w:rsidRPr="003040F7" w:rsidRDefault="001B6918" w:rsidP="00730ECF">
            <w:pPr>
              <w:rPr>
                <w:rFonts w:ascii="Calibri" w:eastAsia="Times New Roman" w:hAnsi="Calibri" w:cs="Calibri"/>
                <w:color w:val="0D0D0D"/>
              </w:rPr>
            </w:pPr>
            <w:r w:rsidRPr="003040F7">
              <w:rPr>
                <w:rFonts w:ascii="Calibri" w:eastAsia="Times New Roman" w:hAnsi="Calibri" w:cs="Calibri"/>
                <w:color w:val="0D0D0D"/>
              </w:rPr>
              <w:t> </w:t>
            </w:r>
          </w:p>
        </w:tc>
        <w:tc>
          <w:tcPr>
            <w:tcW w:w="1313" w:type="dxa"/>
            <w:tcBorders>
              <w:top w:val="nil"/>
              <w:left w:val="nil"/>
              <w:bottom w:val="nil"/>
              <w:right w:val="nil"/>
            </w:tcBorders>
            <w:shd w:val="clear" w:color="000000" w:fill="FFFFFF"/>
            <w:noWrap/>
            <w:vAlign w:val="bottom"/>
            <w:hideMark/>
          </w:tcPr>
          <w:p w14:paraId="4BA1C543" w14:textId="77777777" w:rsidR="001B6918" w:rsidRPr="003040F7" w:rsidRDefault="001B6918" w:rsidP="00730ECF">
            <w:pPr>
              <w:rPr>
                <w:rFonts w:ascii="Calibri" w:eastAsia="Times New Roman" w:hAnsi="Calibri" w:cs="Calibri"/>
                <w:color w:val="0D0D0D"/>
              </w:rPr>
            </w:pPr>
            <w:r w:rsidRPr="003040F7">
              <w:rPr>
                <w:rFonts w:ascii="Calibri" w:eastAsia="Times New Roman" w:hAnsi="Calibri" w:cs="Calibri"/>
                <w:color w:val="0D0D0D"/>
              </w:rPr>
              <w:t> </w:t>
            </w:r>
          </w:p>
        </w:tc>
        <w:tc>
          <w:tcPr>
            <w:tcW w:w="1530" w:type="dxa"/>
            <w:tcBorders>
              <w:top w:val="nil"/>
              <w:left w:val="nil"/>
              <w:bottom w:val="nil"/>
              <w:right w:val="nil"/>
            </w:tcBorders>
            <w:shd w:val="clear" w:color="000000" w:fill="FFFFFF"/>
            <w:noWrap/>
            <w:vAlign w:val="bottom"/>
            <w:hideMark/>
          </w:tcPr>
          <w:p w14:paraId="18196E70" w14:textId="77777777" w:rsidR="001B6918" w:rsidRPr="003040F7" w:rsidRDefault="001B6918" w:rsidP="00730ECF">
            <w:pPr>
              <w:rPr>
                <w:rFonts w:ascii="Calibri" w:eastAsia="Times New Roman" w:hAnsi="Calibri" w:cs="Calibri"/>
                <w:color w:val="0D0D0D"/>
              </w:rPr>
            </w:pPr>
            <w:r w:rsidRPr="003040F7">
              <w:rPr>
                <w:rFonts w:ascii="Calibri" w:eastAsia="Times New Roman" w:hAnsi="Calibri" w:cs="Calibri"/>
                <w:color w:val="0D0D0D"/>
              </w:rPr>
              <w:t> </w:t>
            </w:r>
          </w:p>
        </w:tc>
        <w:tc>
          <w:tcPr>
            <w:tcW w:w="1553" w:type="dxa"/>
            <w:tcBorders>
              <w:top w:val="nil"/>
              <w:left w:val="nil"/>
              <w:bottom w:val="nil"/>
              <w:right w:val="nil"/>
            </w:tcBorders>
            <w:shd w:val="clear" w:color="000000" w:fill="FFFFFF"/>
            <w:noWrap/>
            <w:vAlign w:val="bottom"/>
            <w:hideMark/>
          </w:tcPr>
          <w:p w14:paraId="22AE8306" w14:textId="77777777" w:rsidR="001B6918" w:rsidRPr="003040F7" w:rsidRDefault="001B6918" w:rsidP="00730ECF">
            <w:pPr>
              <w:rPr>
                <w:rFonts w:ascii="Calibri" w:eastAsia="Times New Roman" w:hAnsi="Calibri" w:cs="Calibri"/>
                <w:color w:val="0D0D0D"/>
              </w:rPr>
            </w:pPr>
            <w:r w:rsidRPr="003040F7">
              <w:rPr>
                <w:rFonts w:ascii="Calibri" w:eastAsia="Times New Roman" w:hAnsi="Calibri" w:cs="Calibri"/>
                <w:color w:val="0D0D0D"/>
              </w:rPr>
              <w:t> </w:t>
            </w:r>
          </w:p>
        </w:tc>
        <w:tc>
          <w:tcPr>
            <w:tcW w:w="1057" w:type="dxa"/>
            <w:tcBorders>
              <w:top w:val="nil"/>
              <w:left w:val="nil"/>
              <w:bottom w:val="nil"/>
              <w:right w:val="nil"/>
            </w:tcBorders>
            <w:shd w:val="clear" w:color="000000" w:fill="FFFFFF"/>
            <w:noWrap/>
            <w:vAlign w:val="bottom"/>
            <w:hideMark/>
          </w:tcPr>
          <w:p w14:paraId="1BE549D5" w14:textId="77777777" w:rsidR="001B6918" w:rsidRPr="003040F7" w:rsidRDefault="001B6918" w:rsidP="00730ECF">
            <w:pPr>
              <w:jc w:val="right"/>
              <w:rPr>
                <w:rFonts w:ascii="Calibri" w:eastAsia="Times New Roman" w:hAnsi="Calibri" w:cs="Calibri"/>
                <w:color w:val="0D0D0D"/>
              </w:rPr>
            </w:pPr>
            <w:r w:rsidRPr="003040F7">
              <w:rPr>
                <w:rFonts w:ascii="Calibri" w:eastAsia="Times New Roman" w:hAnsi="Calibri" w:cs="Calibri"/>
                <w:color w:val="0D0D0D"/>
              </w:rPr>
              <w:t> </w:t>
            </w:r>
          </w:p>
        </w:tc>
      </w:tr>
      <w:tr w:rsidR="001B6918" w:rsidRPr="003040F7" w14:paraId="731E8DEE" w14:textId="77777777" w:rsidTr="00F51774">
        <w:trPr>
          <w:trHeight w:val="198"/>
          <w:jc w:val="center"/>
        </w:trPr>
        <w:tc>
          <w:tcPr>
            <w:tcW w:w="4406" w:type="dxa"/>
            <w:tcBorders>
              <w:top w:val="nil"/>
              <w:left w:val="nil"/>
              <w:bottom w:val="nil"/>
              <w:right w:val="nil"/>
            </w:tcBorders>
            <w:shd w:val="clear" w:color="000000" w:fill="FFFFFF"/>
            <w:noWrap/>
            <w:vAlign w:val="bottom"/>
            <w:hideMark/>
          </w:tcPr>
          <w:p w14:paraId="4376C40B" w14:textId="77777777" w:rsidR="001B6918" w:rsidRPr="003040F7" w:rsidRDefault="001B6918" w:rsidP="00730ECF">
            <w:pPr>
              <w:ind w:firstLineChars="100" w:firstLine="220"/>
              <w:rPr>
                <w:rFonts w:ascii="Calibri" w:eastAsia="Times New Roman" w:hAnsi="Calibri" w:cs="Calibri"/>
                <w:color w:val="0D0D0D"/>
              </w:rPr>
            </w:pPr>
            <w:r w:rsidRPr="003040F7">
              <w:rPr>
                <w:rFonts w:ascii="Calibri" w:eastAsia="Times New Roman" w:hAnsi="Calibri" w:cs="Calibri"/>
                <w:color w:val="0D0D0D"/>
              </w:rPr>
              <w:t xml:space="preserve">Workers' compensation </w:t>
            </w:r>
            <w:r w:rsidRPr="003040F7">
              <w:rPr>
                <w:rFonts w:ascii="Calibri" w:eastAsia="Times New Roman" w:hAnsi="Calibri" w:cs="Calibri"/>
                <w:i/>
                <w:iCs/>
                <w:color w:val="0D0D0D"/>
              </w:rPr>
              <w:t>(Note 11)</w:t>
            </w:r>
          </w:p>
        </w:tc>
        <w:tc>
          <w:tcPr>
            <w:tcW w:w="1121" w:type="dxa"/>
            <w:tcBorders>
              <w:top w:val="nil"/>
              <w:left w:val="nil"/>
              <w:bottom w:val="nil"/>
              <w:right w:val="nil"/>
            </w:tcBorders>
            <w:shd w:val="clear" w:color="000000" w:fill="FFFFFF"/>
            <w:noWrap/>
            <w:hideMark/>
          </w:tcPr>
          <w:p w14:paraId="3E4BB303" w14:textId="77777777" w:rsidR="001B6918" w:rsidRPr="00235653" w:rsidRDefault="001B6918" w:rsidP="00730ECF">
            <w:pPr>
              <w:jc w:val="right"/>
              <w:rPr>
                <w:rFonts w:ascii="Calibri" w:eastAsia="Times New Roman" w:hAnsi="Calibri" w:cs="Calibri"/>
                <w:color w:val="FF0000"/>
              </w:rPr>
            </w:pPr>
            <w:r w:rsidRPr="00D90B3D">
              <w:t xml:space="preserve"> $</w:t>
            </w:r>
            <w:r>
              <w:t xml:space="preserve">   </w:t>
            </w:r>
            <w:r w:rsidRPr="00D90B3D">
              <w:t xml:space="preserve">1,791 </w:t>
            </w:r>
          </w:p>
        </w:tc>
        <w:tc>
          <w:tcPr>
            <w:tcW w:w="1313" w:type="dxa"/>
            <w:tcBorders>
              <w:top w:val="nil"/>
              <w:left w:val="nil"/>
              <w:bottom w:val="nil"/>
              <w:right w:val="nil"/>
            </w:tcBorders>
            <w:shd w:val="clear" w:color="000000" w:fill="FFFFFF"/>
            <w:noWrap/>
            <w:hideMark/>
          </w:tcPr>
          <w:p w14:paraId="791F4BD5" w14:textId="77777777" w:rsidR="001B6918" w:rsidRPr="00F2009C" w:rsidRDefault="001B6918" w:rsidP="00730ECF">
            <w:pPr>
              <w:jc w:val="right"/>
              <w:rPr>
                <w:rFonts w:ascii="Calibri" w:eastAsia="Times New Roman" w:hAnsi="Calibri" w:cs="Calibri"/>
              </w:rPr>
            </w:pPr>
            <w:r w:rsidRPr="00F2009C">
              <w:t xml:space="preserve"> $ </w:t>
            </w:r>
            <w:r>
              <w:t xml:space="preserve">   </w:t>
            </w:r>
            <w:r w:rsidRPr="00F2009C">
              <w:t xml:space="preserve">     44 </w:t>
            </w:r>
          </w:p>
        </w:tc>
        <w:tc>
          <w:tcPr>
            <w:tcW w:w="1530" w:type="dxa"/>
            <w:tcBorders>
              <w:top w:val="nil"/>
              <w:left w:val="nil"/>
              <w:bottom w:val="nil"/>
              <w:right w:val="nil"/>
            </w:tcBorders>
            <w:shd w:val="clear" w:color="000000" w:fill="FFFFFF"/>
            <w:noWrap/>
            <w:hideMark/>
          </w:tcPr>
          <w:p w14:paraId="40AD311A" w14:textId="77777777" w:rsidR="001B6918" w:rsidRPr="00F2009C" w:rsidRDefault="001B6918" w:rsidP="00730ECF">
            <w:pPr>
              <w:jc w:val="right"/>
              <w:rPr>
                <w:rFonts w:ascii="Calibri" w:eastAsia="Times New Roman" w:hAnsi="Calibri" w:cs="Calibri"/>
              </w:rPr>
            </w:pPr>
            <w:r w:rsidRPr="00F2009C">
              <w:t xml:space="preserve"> $       (119)</w:t>
            </w:r>
          </w:p>
        </w:tc>
        <w:tc>
          <w:tcPr>
            <w:tcW w:w="1553" w:type="dxa"/>
            <w:tcBorders>
              <w:top w:val="nil"/>
              <w:left w:val="nil"/>
              <w:bottom w:val="nil"/>
              <w:right w:val="nil"/>
            </w:tcBorders>
            <w:shd w:val="clear" w:color="000000" w:fill="FFFFFF"/>
            <w:noWrap/>
            <w:hideMark/>
          </w:tcPr>
          <w:p w14:paraId="4F417CB3" w14:textId="77777777" w:rsidR="001B6918" w:rsidRPr="00F2009C" w:rsidRDefault="001B6918" w:rsidP="00730ECF">
            <w:pPr>
              <w:jc w:val="right"/>
              <w:rPr>
                <w:rFonts w:ascii="Calibri" w:eastAsia="Times New Roman" w:hAnsi="Calibri" w:cs="Calibri"/>
              </w:rPr>
            </w:pPr>
            <w:r w:rsidRPr="00F2009C">
              <w:t xml:space="preserve"> $</w:t>
            </w:r>
            <w:r>
              <w:t xml:space="preserve">   </w:t>
            </w:r>
            <w:r w:rsidRPr="00F2009C">
              <w:t xml:space="preserve"> 1,716 </w:t>
            </w:r>
          </w:p>
        </w:tc>
        <w:tc>
          <w:tcPr>
            <w:tcW w:w="1057" w:type="dxa"/>
            <w:tcBorders>
              <w:top w:val="nil"/>
              <w:left w:val="nil"/>
              <w:bottom w:val="nil"/>
              <w:right w:val="nil"/>
            </w:tcBorders>
            <w:shd w:val="clear" w:color="000000" w:fill="FFFFFF"/>
            <w:noWrap/>
            <w:hideMark/>
          </w:tcPr>
          <w:p w14:paraId="1E59B918" w14:textId="77777777" w:rsidR="001B6918" w:rsidRPr="00F2009C" w:rsidRDefault="001B6918" w:rsidP="00730ECF">
            <w:pPr>
              <w:tabs>
                <w:tab w:val="left" w:pos="213"/>
              </w:tabs>
              <w:jc w:val="right"/>
              <w:rPr>
                <w:rFonts w:ascii="Calibri" w:eastAsia="Times New Roman" w:hAnsi="Calibri" w:cs="Calibri"/>
              </w:rPr>
            </w:pPr>
            <w:r w:rsidRPr="00F2009C">
              <w:t xml:space="preserve"> $</w:t>
            </w:r>
            <w:r>
              <w:t xml:space="preserve">      </w:t>
            </w:r>
            <w:r w:rsidRPr="00F2009C">
              <w:t xml:space="preserve">235 </w:t>
            </w:r>
          </w:p>
        </w:tc>
      </w:tr>
      <w:tr w:rsidR="001B6918" w:rsidRPr="003040F7" w14:paraId="0BE5B497" w14:textId="77777777" w:rsidTr="00F51774">
        <w:trPr>
          <w:trHeight w:val="108"/>
          <w:jc w:val="center"/>
        </w:trPr>
        <w:tc>
          <w:tcPr>
            <w:tcW w:w="4406" w:type="dxa"/>
            <w:tcBorders>
              <w:top w:val="nil"/>
              <w:left w:val="nil"/>
              <w:bottom w:val="nil"/>
              <w:right w:val="nil"/>
            </w:tcBorders>
            <w:shd w:val="clear" w:color="000000" w:fill="FFFFFF"/>
            <w:noWrap/>
            <w:vAlign w:val="bottom"/>
            <w:hideMark/>
          </w:tcPr>
          <w:p w14:paraId="7637D6D9" w14:textId="3FC8F5BE" w:rsidR="00BD3C7C" w:rsidRPr="003766F2" w:rsidRDefault="001B6918">
            <w:pPr>
              <w:ind w:firstLineChars="100" w:firstLine="220"/>
              <w:rPr>
                <w:rFonts w:ascii="Calibri" w:eastAsia="Times New Roman" w:hAnsi="Calibri" w:cs="Calibri"/>
                <w:i/>
                <w:iCs/>
                <w:color w:val="0D0D0D"/>
              </w:rPr>
            </w:pPr>
            <w:r w:rsidRPr="003040F7">
              <w:rPr>
                <w:rFonts w:ascii="Calibri" w:eastAsia="Times New Roman" w:hAnsi="Calibri" w:cs="Calibri"/>
                <w:color w:val="0D0D0D"/>
              </w:rPr>
              <w:t xml:space="preserve">Health insurance </w:t>
            </w:r>
            <w:r w:rsidRPr="003040F7">
              <w:rPr>
                <w:rFonts w:ascii="Calibri" w:eastAsia="Times New Roman" w:hAnsi="Calibri" w:cs="Calibri"/>
                <w:i/>
                <w:iCs/>
                <w:color w:val="0D0D0D"/>
              </w:rPr>
              <w:t>(Note 11)</w:t>
            </w:r>
          </w:p>
        </w:tc>
        <w:tc>
          <w:tcPr>
            <w:tcW w:w="1121" w:type="dxa"/>
            <w:tcBorders>
              <w:top w:val="nil"/>
              <w:left w:val="nil"/>
              <w:bottom w:val="nil"/>
              <w:right w:val="nil"/>
            </w:tcBorders>
            <w:shd w:val="clear" w:color="000000" w:fill="FFFFFF"/>
            <w:noWrap/>
            <w:hideMark/>
          </w:tcPr>
          <w:p w14:paraId="573A388B" w14:textId="77777777" w:rsidR="001B6918" w:rsidRPr="00235653" w:rsidRDefault="001B6918" w:rsidP="00730ECF">
            <w:pPr>
              <w:jc w:val="right"/>
              <w:rPr>
                <w:rFonts w:ascii="Calibri" w:eastAsia="Times New Roman" w:hAnsi="Calibri" w:cs="Calibri"/>
                <w:color w:val="FF0000"/>
              </w:rPr>
            </w:pPr>
            <w:r w:rsidRPr="00A656F3">
              <w:t xml:space="preserve"> 8,703 </w:t>
            </w:r>
          </w:p>
        </w:tc>
        <w:tc>
          <w:tcPr>
            <w:tcW w:w="1313" w:type="dxa"/>
            <w:tcBorders>
              <w:top w:val="nil"/>
              <w:left w:val="nil"/>
              <w:bottom w:val="nil"/>
              <w:right w:val="nil"/>
            </w:tcBorders>
            <w:shd w:val="clear" w:color="000000" w:fill="FFFFFF"/>
            <w:noWrap/>
            <w:hideMark/>
          </w:tcPr>
          <w:p w14:paraId="6F98141F" w14:textId="77777777" w:rsidR="001B6918" w:rsidRPr="00F2009C" w:rsidRDefault="001B6918" w:rsidP="00730ECF">
            <w:pPr>
              <w:jc w:val="right"/>
              <w:rPr>
                <w:rFonts w:ascii="Calibri" w:eastAsia="Times New Roman" w:hAnsi="Calibri" w:cs="Calibri"/>
              </w:rPr>
            </w:pPr>
            <w:r w:rsidRPr="00F2009C">
              <w:t xml:space="preserve"> 104,92</w:t>
            </w:r>
            <w:r>
              <w:t>6</w:t>
            </w:r>
            <w:r w:rsidRPr="00F2009C">
              <w:t xml:space="preserve"> </w:t>
            </w:r>
          </w:p>
        </w:tc>
        <w:tc>
          <w:tcPr>
            <w:tcW w:w="1530" w:type="dxa"/>
            <w:tcBorders>
              <w:top w:val="nil"/>
              <w:left w:val="nil"/>
              <w:bottom w:val="nil"/>
              <w:right w:val="nil"/>
            </w:tcBorders>
            <w:shd w:val="clear" w:color="000000" w:fill="FFFFFF"/>
            <w:noWrap/>
            <w:hideMark/>
          </w:tcPr>
          <w:p w14:paraId="3848CB1E" w14:textId="77777777" w:rsidR="001B6918" w:rsidRPr="00F2009C" w:rsidRDefault="001B6918" w:rsidP="00730ECF">
            <w:pPr>
              <w:jc w:val="right"/>
              <w:rPr>
                <w:rFonts w:ascii="Calibri" w:eastAsia="Times New Roman" w:hAnsi="Calibri" w:cs="Calibri"/>
              </w:rPr>
            </w:pPr>
            <w:r w:rsidRPr="00F2009C">
              <w:t xml:space="preserve"> (104,83</w:t>
            </w:r>
            <w:r>
              <w:t>5</w:t>
            </w:r>
            <w:r w:rsidRPr="00F2009C">
              <w:t>)</w:t>
            </w:r>
          </w:p>
        </w:tc>
        <w:tc>
          <w:tcPr>
            <w:tcW w:w="1553" w:type="dxa"/>
            <w:tcBorders>
              <w:top w:val="nil"/>
              <w:left w:val="nil"/>
              <w:bottom w:val="nil"/>
              <w:right w:val="nil"/>
            </w:tcBorders>
            <w:shd w:val="clear" w:color="000000" w:fill="FFFFFF"/>
            <w:noWrap/>
            <w:hideMark/>
          </w:tcPr>
          <w:p w14:paraId="5BA5206E" w14:textId="77777777" w:rsidR="001B6918" w:rsidRPr="00F2009C" w:rsidRDefault="001B6918" w:rsidP="00730ECF">
            <w:pPr>
              <w:jc w:val="right"/>
              <w:rPr>
                <w:rFonts w:ascii="Calibri" w:eastAsia="Times New Roman" w:hAnsi="Calibri" w:cs="Calibri"/>
              </w:rPr>
            </w:pPr>
            <w:r w:rsidRPr="00F2009C">
              <w:t xml:space="preserve"> 8,794 </w:t>
            </w:r>
          </w:p>
        </w:tc>
        <w:tc>
          <w:tcPr>
            <w:tcW w:w="1057" w:type="dxa"/>
            <w:tcBorders>
              <w:top w:val="nil"/>
              <w:left w:val="nil"/>
              <w:bottom w:val="nil"/>
              <w:right w:val="nil"/>
            </w:tcBorders>
            <w:shd w:val="clear" w:color="000000" w:fill="FFFFFF"/>
            <w:noWrap/>
            <w:hideMark/>
          </w:tcPr>
          <w:p w14:paraId="68D9F054" w14:textId="77777777" w:rsidR="001B6918" w:rsidRPr="00F2009C" w:rsidRDefault="001B6918" w:rsidP="00730ECF">
            <w:pPr>
              <w:jc w:val="right"/>
              <w:rPr>
                <w:rFonts w:ascii="Calibri" w:eastAsia="Times New Roman" w:hAnsi="Calibri" w:cs="Calibri"/>
              </w:rPr>
            </w:pPr>
            <w:r w:rsidRPr="00F2009C">
              <w:t xml:space="preserve"> 8,794 </w:t>
            </w:r>
          </w:p>
        </w:tc>
      </w:tr>
      <w:tr w:rsidR="00930654" w:rsidRPr="003040F7" w14:paraId="7F675EE3" w14:textId="77777777" w:rsidTr="00F51774">
        <w:trPr>
          <w:trHeight w:val="80"/>
          <w:jc w:val="center"/>
        </w:trPr>
        <w:tc>
          <w:tcPr>
            <w:tcW w:w="4406" w:type="dxa"/>
            <w:tcBorders>
              <w:top w:val="nil"/>
              <w:left w:val="nil"/>
              <w:bottom w:val="nil"/>
              <w:right w:val="nil"/>
            </w:tcBorders>
            <w:shd w:val="clear" w:color="000000" w:fill="FFFFFF"/>
            <w:noWrap/>
            <w:vAlign w:val="bottom"/>
          </w:tcPr>
          <w:p w14:paraId="5812B95D" w14:textId="7EF272AB" w:rsidR="00930654" w:rsidRPr="003040F7" w:rsidRDefault="00930654" w:rsidP="003766F2">
            <w:pPr>
              <w:ind w:firstLineChars="100" w:firstLine="220"/>
              <w:rPr>
                <w:rFonts w:ascii="Calibri" w:eastAsia="Times New Roman" w:hAnsi="Calibri" w:cs="Calibri"/>
                <w:color w:val="0D0D0D"/>
              </w:rPr>
            </w:pPr>
            <w:r>
              <w:rPr>
                <w:rFonts w:ascii="Calibri" w:eastAsia="Times New Roman" w:hAnsi="Calibri" w:cs="Calibri"/>
                <w:color w:val="0D0D0D"/>
              </w:rPr>
              <w:t>Compensated absences</w:t>
            </w:r>
            <w:r w:rsidR="00A0381C">
              <w:rPr>
                <w:rFonts w:ascii="Calibri" w:eastAsia="Times New Roman" w:hAnsi="Calibri" w:cs="Calibri"/>
                <w:color w:val="0D0D0D"/>
              </w:rPr>
              <w:t>*</w:t>
            </w:r>
          </w:p>
        </w:tc>
        <w:tc>
          <w:tcPr>
            <w:tcW w:w="1121" w:type="dxa"/>
            <w:tcBorders>
              <w:top w:val="nil"/>
              <w:left w:val="nil"/>
              <w:bottom w:val="nil"/>
              <w:right w:val="nil"/>
            </w:tcBorders>
            <w:shd w:val="clear" w:color="000000" w:fill="FFFFFF"/>
            <w:noWrap/>
          </w:tcPr>
          <w:p w14:paraId="615DFD20" w14:textId="3A62A4EA" w:rsidR="00930654" w:rsidRPr="00A2217B" w:rsidRDefault="00930654" w:rsidP="00930654">
            <w:pPr>
              <w:jc w:val="right"/>
            </w:pPr>
            <w:r w:rsidRPr="00695F62">
              <w:t xml:space="preserve"> 27,475 </w:t>
            </w:r>
          </w:p>
        </w:tc>
        <w:tc>
          <w:tcPr>
            <w:tcW w:w="1313" w:type="dxa"/>
            <w:tcBorders>
              <w:top w:val="nil"/>
              <w:left w:val="nil"/>
              <w:bottom w:val="nil"/>
              <w:right w:val="nil"/>
            </w:tcBorders>
            <w:shd w:val="clear" w:color="000000" w:fill="FFFFFF"/>
            <w:noWrap/>
          </w:tcPr>
          <w:p w14:paraId="6DC49462" w14:textId="2E3E7166" w:rsidR="00930654" w:rsidRPr="00A2217B" w:rsidRDefault="00930654" w:rsidP="00930654">
            <w:pPr>
              <w:jc w:val="right"/>
            </w:pPr>
            <w:r w:rsidRPr="008A2930">
              <w:t xml:space="preserve"> 279 </w:t>
            </w:r>
          </w:p>
        </w:tc>
        <w:tc>
          <w:tcPr>
            <w:tcW w:w="1530" w:type="dxa"/>
            <w:tcBorders>
              <w:top w:val="nil"/>
              <w:left w:val="nil"/>
              <w:bottom w:val="nil"/>
              <w:right w:val="nil"/>
            </w:tcBorders>
            <w:shd w:val="clear" w:color="000000" w:fill="FFFFFF"/>
            <w:noWrap/>
          </w:tcPr>
          <w:p w14:paraId="297D52B0" w14:textId="55665E36" w:rsidR="00930654" w:rsidRPr="00A2217B" w:rsidRDefault="00930654" w:rsidP="00930654">
            <w:pPr>
              <w:jc w:val="right"/>
            </w:pPr>
            <w:r w:rsidRPr="008A2930">
              <w:t xml:space="preserve"> - </w:t>
            </w:r>
          </w:p>
        </w:tc>
        <w:tc>
          <w:tcPr>
            <w:tcW w:w="1553" w:type="dxa"/>
            <w:tcBorders>
              <w:top w:val="nil"/>
              <w:left w:val="nil"/>
              <w:bottom w:val="nil"/>
              <w:right w:val="nil"/>
            </w:tcBorders>
            <w:shd w:val="clear" w:color="000000" w:fill="FFFFFF"/>
            <w:noWrap/>
          </w:tcPr>
          <w:p w14:paraId="47D9F0BF" w14:textId="629F0BCE" w:rsidR="00930654" w:rsidRPr="00A2217B" w:rsidRDefault="00930654" w:rsidP="00930654">
            <w:pPr>
              <w:jc w:val="right"/>
            </w:pPr>
            <w:r w:rsidRPr="00695F62">
              <w:t xml:space="preserve"> 27,754 </w:t>
            </w:r>
          </w:p>
        </w:tc>
        <w:tc>
          <w:tcPr>
            <w:tcW w:w="1057" w:type="dxa"/>
            <w:tcBorders>
              <w:top w:val="nil"/>
              <w:left w:val="nil"/>
              <w:bottom w:val="nil"/>
              <w:right w:val="nil"/>
            </w:tcBorders>
            <w:shd w:val="clear" w:color="000000" w:fill="FFFFFF"/>
            <w:noWrap/>
          </w:tcPr>
          <w:p w14:paraId="0EF59BD1" w14:textId="06265BB9" w:rsidR="00930654" w:rsidRPr="00A2217B" w:rsidRDefault="00930654" w:rsidP="00930654">
            <w:pPr>
              <w:jc w:val="right"/>
            </w:pPr>
            <w:r w:rsidRPr="00695F62">
              <w:t xml:space="preserve"> 2,872 </w:t>
            </w:r>
          </w:p>
        </w:tc>
      </w:tr>
      <w:tr w:rsidR="00930654" w:rsidRPr="003040F7" w14:paraId="21E92B55" w14:textId="77777777" w:rsidTr="00F51774">
        <w:trPr>
          <w:trHeight w:val="80"/>
          <w:jc w:val="center"/>
        </w:trPr>
        <w:tc>
          <w:tcPr>
            <w:tcW w:w="4406" w:type="dxa"/>
            <w:tcBorders>
              <w:top w:val="nil"/>
              <w:left w:val="nil"/>
              <w:bottom w:val="nil"/>
              <w:right w:val="nil"/>
            </w:tcBorders>
            <w:shd w:val="clear" w:color="000000" w:fill="FFFFFF"/>
            <w:noWrap/>
            <w:vAlign w:val="bottom"/>
            <w:hideMark/>
          </w:tcPr>
          <w:p w14:paraId="064DB1D1" w14:textId="77777777" w:rsidR="00930654" w:rsidRPr="003040F7" w:rsidRDefault="00930654" w:rsidP="00930654">
            <w:pPr>
              <w:ind w:firstLineChars="100" w:firstLine="220"/>
              <w:jc w:val="right"/>
              <w:rPr>
                <w:rFonts w:ascii="Calibri" w:eastAsia="Times New Roman" w:hAnsi="Calibri" w:cs="Calibri"/>
                <w:color w:val="0D0D0D"/>
              </w:rPr>
            </w:pPr>
            <w:r w:rsidRPr="003040F7">
              <w:rPr>
                <w:rFonts w:ascii="Calibri" w:eastAsia="Times New Roman" w:hAnsi="Calibri" w:cs="Calibri"/>
                <w:color w:val="0D0D0D"/>
              </w:rPr>
              <w:t xml:space="preserve">Other employee benefit programs </w:t>
            </w:r>
            <w:r w:rsidRPr="003040F7">
              <w:rPr>
                <w:rFonts w:ascii="Calibri" w:eastAsia="Times New Roman" w:hAnsi="Calibri" w:cs="Calibri"/>
                <w:i/>
                <w:iCs/>
                <w:color w:val="0D0D0D"/>
              </w:rPr>
              <w:t>(Note 13)</w:t>
            </w:r>
          </w:p>
        </w:tc>
        <w:tc>
          <w:tcPr>
            <w:tcW w:w="1121" w:type="dxa"/>
            <w:tcBorders>
              <w:top w:val="nil"/>
              <w:left w:val="nil"/>
              <w:bottom w:val="nil"/>
              <w:right w:val="nil"/>
            </w:tcBorders>
            <w:shd w:val="clear" w:color="000000" w:fill="FFFFFF"/>
            <w:noWrap/>
            <w:hideMark/>
          </w:tcPr>
          <w:p w14:paraId="6DAB51CD" w14:textId="3038FAFA" w:rsidR="00930654" w:rsidRPr="00235653" w:rsidRDefault="00930654" w:rsidP="00930654">
            <w:pPr>
              <w:jc w:val="right"/>
              <w:rPr>
                <w:rFonts w:ascii="Calibri" w:eastAsia="Times New Roman" w:hAnsi="Calibri" w:cs="Calibri"/>
                <w:color w:val="FF0000"/>
              </w:rPr>
            </w:pPr>
            <w:r w:rsidRPr="00695F62">
              <w:t xml:space="preserve"> 30,533 </w:t>
            </w:r>
          </w:p>
        </w:tc>
        <w:tc>
          <w:tcPr>
            <w:tcW w:w="1313" w:type="dxa"/>
            <w:tcBorders>
              <w:top w:val="nil"/>
              <w:left w:val="nil"/>
              <w:bottom w:val="nil"/>
              <w:right w:val="nil"/>
            </w:tcBorders>
            <w:shd w:val="clear" w:color="000000" w:fill="FFFFFF"/>
            <w:noWrap/>
            <w:hideMark/>
          </w:tcPr>
          <w:p w14:paraId="606E0C1F" w14:textId="150115A0" w:rsidR="00930654" w:rsidRPr="00601771" w:rsidRDefault="00930654" w:rsidP="00930654">
            <w:pPr>
              <w:jc w:val="right"/>
              <w:rPr>
                <w:rFonts w:ascii="Calibri" w:eastAsia="Times New Roman" w:hAnsi="Calibri" w:cs="Calibri"/>
                <w:color w:val="FF0000"/>
              </w:rPr>
            </w:pPr>
            <w:r w:rsidRPr="00695F62">
              <w:t xml:space="preserve"> 60,492 </w:t>
            </w:r>
          </w:p>
        </w:tc>
        <w:tc>
          <w:tcPr>
            <w:tcW w:w="1530" w:type="dxa"/>
            <w:tcBorders>
              <w:top w:val="nil"/>
              <w:left w:val="nil"/>
              <w:bottom w:val="nil"/>
              <w:right w:val="nil"/>
            </w:tcBorders>
            <w:shd w:val="clear" w:color="000000" w:fill="FFFFFF"/>
            <w:noWrap/>
            <w:hideMark/>
          </w:tcPr>
          <w:p w14:paraId="78D3FBC4" w14:textId="65A75591" w:rsidR="00930654" w:rsidRPr="00601771" w:rsidRDefault="00930654" w:rsidP="00930654">
            <w:pPr>
              <w:jc w:val="right"/>
              <w:rPr>
                <w:rFonts w:ascii="Calibri" w:eastAsia="Times New Roman" w:hAnsi="Calibri" w:cs="Calibri"/>
                <w:color w:val="FF0000"/>
              </w:rPr>
            </w:pPr>
            <w:r w:rsidRPr="00695F62">
              <w:t xml:space="preserve"> (65,224)</w:t>
            </w:r>
          </w:p>
        </w:tc>
        <w:tc>
          <w:tcPr>
            <w:tcW w:w="1553" w:type="dxa"/>
            <w:tcBorders>
              <w:top w:val="nil"/>
              <w:left w:val="nil"/>
              <w:bottom w:val="nil"/>
              <w:right w:val="nil"/>
            </w:tcBorders>
            <w:shd w:val="clear" w:color="000000" w:fill="FFFFFF"/>
            <w:noWrap/>
            <w:hideMark/>
          </w:tcPr>
          <w:p w14:paraId="776E8DBA" w14:textId="5F8A8F97" w:rsidR="00930654" w:rsidRPr="00601771" w:rsidRDefault="00930654" w:rsidP="00930654">
            <w:pPr>
              <w:jc w:val="right"/>
              <w:rPr>
                <w:rFonts w:ascii="Calibri" w:eastAsia="Times New Roman" w:hAnsi="Calibri" w:cs="Calibri"/>
                <w:color w:val="FF0000"/>
              </w:rPr>
            </w:pPr>
            <w:r w:rsidRPr="00695F62">
              <w:t xml:space="preserve"> 25,801 </w:t>
            </w:r>
          </w:p>
        </w:tc>
        <w:tc>
          <w:tcPr>
            <w:tcW w:w="1057" w:type="dxa"/>
            <w:tcBorders>
              <w:top w:val="nil"/>
              <w:left w:val="nil"/>
              <w:bottom w:val="nil"/>
              <w:right w:val="nil"/>
            </w:tcBorders>
            <w:shd w:val="clear" w:color="000000" w:fill="FFFFFF"/>
            <w:noWrap/>
            <w:hideMark/>
          </w:tcPr>
          <w:p w14:paraId="67401EC4" w14:textId="61B36D9E" w:rsidR="00930654" w:rsidRPr="00601771" w:rsidRDefault="00930654" w:rsidP="00930654">
            <w:pPr>
              <w:jc w:val="right"/>
              <w:rPr>
                <w:rFonts w:ascii="Calibri" w:eastAsia="Times New Roman" w:hAnsi="Calibri" w:cs="Calibri"/>
                <w:color w:val="FF0000"/>
              </w:rPr>
            </w:pPr>
            <w:r w:rsidRPr="00695F62">
              <w:t xml:space="preserve"> 4,536 </w:t>
            </w:r>
          </w:p>
        </w:tc>
      </w:tr>
      <w:tr w:rsidR="00930654" w:rsidRPr="003040F7" w14:paraId="712EE5B2" w14:textId="77777777" w:rsidTr="00F51774">
        <w:trPr>
          <w:trHeight w:val="117"/>
          <w:jc w:val="center"/>
        </w:trPr>
        <w:tc>
          <w:tcPr>
            <w:tcW w:w="4406" w:type="dxa"/>
            <w:tcBorders>
              <w:top w:val="nil"/>
              <w:left w:val="nil"/>
              <w:bottom w:val="nil"/>
              <w:right w:val="nil"/>
            </w:tcBorders>
            <w:shd w:val="clear" w:color="000000" w:fill="FFFFFF"/>
            <w:noWrap/>
            <w:vAlign w:val="bottom"/>
            <w:hideMark/>
          </w:tcPr>
          <w:p w14:paraId="09302576" w14:textId="77777777" w:rsidR="00930654" w:rsidRPr="003040F7" w:rsidRDefault="00930654" w:rsidP="00930654">
            <w:pPr>
              <w:ind w:firstLineChars="100" w:firstLine="220"/>
              <w:rPr>
                <w:rFonts w:ascii="Calibri" w:eastAsia="Times New Roman" w:hAnsi="Calibri" w:cs="Calibri"/>
                <w:color w:val="0D0D0D"/>
              </w:rPr>
            </w:pPr>
            <w:r w:rsidRPr="003040F7">
              <w:rPr>
                <w:rFonts w:ascii="Calibri" w:eastAsia="Times New Roman" w:hAnsi="Calibri" w:cs="Calibri"/>
                <w:color w:val="0D0D0D"/>
              </w:rPr>
              <w:t>Other</w:t>
            </w:r>
          </w:p>
        </w:tc>
        <w:tc>
          <w:tcPr>
            <w:tcW w:w="1121" w:type="dxa"/>
            <w:tcBorders>
              <w:top w:val="nil"/>
              <w:left w:val="nil"/>
              <w:bottom w:val="nil"/>
              <w:right w:val="nil"/>
            </w:tcBorders>
            <w:shd w:val="clear" w:color="000000" w:fill="FFFFFF"/>
            <w:noWrap/>
            <w:hideMark/>
          </w:tcPr>
          <w:p w14:paraId="1719E195" w14:textId="3B813777" w:rsidR="00930654" w:rsidRPr="00235653" w:rsidRDefault="00930654" w:rsidP="00930654">
            <w:pPr>
              <w:jc w:val="right"/>
              <w:rPr>
                <w:rFonts w:ascii="Calibri" w:eastAsia="Times New Roman" w:hAnsi="Calibri" w:cs="Calibri"/>
                <w:color w:val="FF0000"/>
              </w:rPr>
            </w:pPr>
            <w:r w:rsidRPr="000C3692">
              <w:t xml:space="preserve"> 10,183 </w:t>
            </w:r>
          </w:p>
        </w:tc>
        <w:tc>
          <w:tcPr>
            <w:tcW w:w="1313" w:type="dxa"/>
            <w:tcBorders>
              <w:top w:val="nil"/>
              <w:left w:val="nil"/>
              <w:bottom w:val="nil"/>
              <w:right w:val="nil"/>
            </w:tcBorders>
            <w:shd w:val="clear" w:color="000000" w:fill="FFFFFF"/>
            <w:noWrap/>
            <w:hideMark/>
          </w:tcPr>
          <w:p w14:paraId="56EFD011" w14:textId="6739ADBD" w:rsidR="00930654" w:rsidRPr="00601771" w:rsidRDefault="00930654" w:rsidP="00930654">
            <w:pPr>
              <w:jc w:val="right"/>
              <w:rPr>
                <w:rFonts w:ascii="Calibri" w:eastAsia="Times New Roman" w:hAnsi="Calibri" w:cs="Calibri"/>
                <w:color w:val="FF0000"/>
              </w:rPr>
            </w:pPr>
            <w:r w:rsidRPr="000C3692">
              <w:t xml:space="preserve"> 7,971 </w:t>
            </w:r>
          </w:p>
        </w:tc>
        <w:tc>
          <w:tcPr>
            <w:tcW w:w="1530" w:type="dxa"/>
            <w:tcBorders>
              <w:top w:val="nil"/>
              <w:left w:val="nil"/>
              <w:bottom w:val="nil"/>
              <w:right w:val="nil"/>
            </w:tcBorders>
            <w:shd w:val="clear" w:color="000000" w:fill="FFFFFF"/>
            <w:noWrap/>
            <w:hideMark/>
          </w:tcPr>
          <w:p w14:paraId="490E0C31" w14:textId="2ACB1FE0" w:rsidR="00930654" w:rsidRPr="00601771" w:rsidRDefault="00930654" w:rsidP="00930654">
            <w:pPr>
              <w:jc w:val="right"/>
              <w:rPr>
                <w:rFonts w:ascii="Calibri" w:eastAsia="Times New Roman" w:hAnsi="Calibri" w:cs="Calibri"/>
                <w:color w:val="FF0000"/>
              </w:rPr>
            </w:pPr>
            <w:r w:rsidRPr="000C3692">
              <w:t xml:space="preserve"> (10,183)</w:t>
            </w:r>
          </w:p>
        </w:tc>
        <w:tc>
          <w:tcPr>
            <w:tcW w:w="1553" w:type="dxa"/>
            <w:tcBorders>
              <w:top w:val="nil"/>
              <w:left w:val="nil"/>
              <w:bottom w:val="nil"/>
              <w:right w:val="nil"/>
            </w:tcBorders>
            <w:shd w:val="clear" w:color="000000" w:fill="FFFFFF"/>
            <w:noWrap/>
            <w:hideMark/>
          </w:tcPr>
          <w:p w14:paraId="3AF6A2D8" w14:textId="4D92A3A6" w:rsidR="00930654" w:rsidRPr="00601771" w:rsidRDefault="00930654" w:rsidP="00930654">
            <w:pPr>
              <w:jc w:val="right"/>
              <w:rPr>
                <w:rFonts w:ascii="Calibri" w:eastAsia="Times New Roman" w:hAnsi="Calibri" w:cs="Calibri"/>
                <w:color w:val="FF0000"/>
              </w:rPr>
            </w:pPr>
            <w:r w:rsidRPr="000C3692">
              <w:t xml:space="preserve"> 7,971 </w:t>
            </w:r>
          </w:p>
        </w:tc>
        <w:tc>
          <w:tcPr>
            <w:tcW w:w="1057" w:type="dxa"/>
            <w:tcBorders>
              <w:top w:val="nil"/>
              <w:left w:val="nil"/>
              <w:bottom w:val="nil"/>
              <w:right w:val="nil"/>
            </w:tcBorders>
            <w:shd w:val="clear" w:color="000000" w:fill="FFFFFF"/>
            <w:noWrap/>
            <w:hideMark/>
          </w:tcPr>
          <w:p w14:paraId="22D219A7" w14:textId="0D9CF7E4" w:rsidR="00930654" w:rsidRPr="00601771" w:rsidRDefault="00930654" w:rsidP="00930654">
            <w:pPr>
              <w:jc w:val="right"/>
              <w:rPr>
                <w:rFonts w:ascii="Calibri" w:eastAsia="Times New Roman" w:hAnsi="Calibri" w:cs="Calibri"/>
                <w:color w:val="FF0000"/>
              </w:rPr>
            </w:pPr>
            <w:r w:rsidRPr="000C3692">
              <w:t xml:space="preserve"> 7,971 </w:t>
            </w:r>
          </w:p>
        </w:tc>
      </w:tr>
      <w:tr w:rsidR="0095681E" w:rsidRPr="003040F7" w14:paraId="0C4E9518" w14:textId="77777777" w:rsidTr="00F51774">
        <w:trPr>
          <w:trHeight w:val="70"/>
          <w:jc w:val="center"/>
        </w:trPr>
        <w:tc>
          <w:tcPr>
            <w:tcW w:w="4406" w:type="dxa"/>
            <w:tcBorders>
              <w:top w:val="single" w:sz="4" w:space="0" w:color="000000"/>
              <w:left w:val="nil"/>
              <w:bottom w:val="double" w:sz="6" w:space="0" w:color="000000"/>
              <w:right w:val="nil"/>
            </w:tcBorders>
            <w:shd w:val="clear" w:color="000000" w:fill="FFFFFF"/>
            <w:noWrap/>
            <w:vAlign w:val="bottom"/>
            <w:hideMark/>
          </w:tcPr>
          <w:p w14:paraId="2F2EC930" w14:textId="77777777" w:rsidR="0095681E" w:rsidRPr="003040F7" w:rsidRDefault="0095681E" w:rsidP="0095681E">
            <w:pPr>
              <w:ind w:firstLineChars="100" w:firstLine="220"/>
              <w:rPr>
                <w:rFonts w:ascii="Calibri" w:eastAsia="Times New Roman" w:hAnsi="Calibri" w:cs="Calibri"/>
                <w:color w:val="0D0D0D"/>
              </w:rPr>
            </w:pPr>
            <w:r w:rsidRPr="003040F7">
              <w:rPr>
                <w:rFonts w:ascii="Calibri" w:eastAsia="Times New Roman" w:hAnsi="Calibri" w:cs="Calibri"/>
                <w:color w:val="0D0D0D"/>
              </w:rPr>
              <w:t>Total accrued liabilities</w:t>
            </w:r>
          </w:p>
        </w:tc>
        <w:tc>
          <w:tcPr>
            <w:tcW w:w="1121" w:type="dxa"/>
            <w:tcBorders>
              <w:top w:val="single" w:sz="4" w:space="0" w:color="000000"/>
              <w:left w:val="nil"/>
              <w:bottom w:val="double" w:sz="6" w:space="0" w:color="000000"/>
              <w:right w:val="nil"/>
            </w:tcBorders>
            <w:shd w:val="clear" w:color="000000" w:fill="FFFFFF"/>
            <w:noWrap/>
            <w:hideMark/>
          </w:tcPr>
          <w:p w14:paraId="30E90317" w14:textId="5CF60B92" w:rsidR="0095681E" w:rsidRPr="00235653" w:rsidRDefault="0095681E" w:rsidP="0095681E">
            <w:pPr>
              <w:jc w:val="right"/>
              <w:rPr>
                <w:rFonts w:ascii="Calibri" w:eastAsia="Times New Roman" w:hAnsi="Calibri" w:cs="Calibri"/>
                <w:color w:val="FF0000"/>
              </w:rPr>
            </w:pPr>
            <w:r w:rsidRPr="00316581">
              <w:t xml:space="preserve"> $78,685 </w:t>
            </w:r>
          </w:p>
        </w:tc>
        <w:tc>
          <w:tcPr>
            <w:tcW w:w="1313" w:type="dxa"/>
            <w:tcBorders>
              <w:top w:val="single" w:sz="4" w:space="0" w:color="000000"/>
              <w:left w:val="nil"/>
              <w:bottom w:val="double" w:sz="6" w:space="0" w:color="000000"/>
              <w:right w:val="nil"/>
            </w:tcBorders>
            <w:shd w:val="clear" w:color="000000" w:fill="FFFFFF"/>
            <w:noWrap/>
            <w:hideMark/>
          </w:tcPr>
          <w:p w14:paraId="76285C39" w14:textId="6626C81D" w:rsidR="0095681E" w:rsidRPr="00555611" w:rsidRDefault="0095681E" w:rsidP="0095681E">
            <w:pPr>
              <w:jc w:val="right"/>
              <w:rPr>
                <w:rFonts w:ascii="Calibri" w:eastAsia="Times New Roman" w:hAnsi="Calibri" w:cs="Calibri"/>
                <w:color w:val="FF0000"/>
              </w:rPr>
            </w:pPr>
            <w:r w:rsidRPr="00316581">
              <w:t xml:space="preserve"> $173,712 </w:t>
            </w:r>
          </w:p>
        </w:tc>
        <w:tc>
          <w:tcPr>
            <w:tcW w:w="1530" w:type="dxa"/>
            <w:tcBorders>
              <w:top w:val="single" w:sz="4" w:space="0" w:color="000000"/>
              <w:left w:val="nil"/>
              <w:bottom w:val="double" w:sz="6" w:space="0" w:color="000000"/>
              <w:right w:val="nil"/>
            </w:tcBorders>
            <w:shd w:val="clear" w:color="000000" w:fill="FFFFFF"/>
            <w:noWrap/>
            <w:hideMark/>
          </w:tcPr>
          <w:p w14:paraId="0566F2DE" w14:textId="78D7E5D6" w:rsidR="0095681E" w:rsidRPr="00555611" w:rsidRDefault="0095681E" w:rsidP="0095681E">
            <w:pPr>
              <w:jc w:val="right"/>
              <w:rPr>
                <w:rFonts w:ascii="Calibri" w:eastAsia="Times New Roman" w:hAnsi="Calibri" w:cs="Calibri"/>
                <w:color w:val="FF0000"/>
              </w:rPr>
            </w:pPr>
            <w:r w:rsidRPr="00316581">
              <w:t xml:space="preserve"> </w:t>
            </w:r>
            <w:r w:rsidRPr="0095681E">
              <w:t xml:space="preserve"> $(180,361)</w:t>
            </w:r>
          </w:p>
        </w:tc>
        <w:tc>
          <w:tcPr>
            <w:tcW w:w="1553" w:type="dxa"/>
            <w:tcBorders>
              <w:top w:val="single" w:sz="4" w:space="0" w:color="000000"/>
              <w:left w:val="nil"/>
              <w:bottom w:val="double" w:sz="6" w:space="0" w:color="000000"/>
              <w:right w:val="nil"/>
            </w:tcBorders>
            <w:shd w:val="clear" w:color="000000" w:fill="FFFFFF"/>
            <w:noWrap/>
            <w:hideMark/>
          </w:tcPr>
          <w:p w14:paraId="597FE160" w14:textId="01D1586D" w:rsidR="0095681E" w:rsidRPr="00555611" w:rsidRDefault="0095681E" w:rsidP="0095681E">
            <w:pPr>
              <w:jc w:val="right"/>
              <w:rPr>
                <w:rFonts w:ascii="Calibri" w:eastAsia="Times New Roman" w:hAnsi="Calibri" w:cs="Calibri"/>
                <w:color w:val="FF0000"/>
              </w:rPr>
            </w:pPr>
            <w:r w:rsidRPr="00316581">
              <w:t xml:space="preserve"> </w:t>
            </w:r>
            <w:r w:rsidRPr="0095681E">
              <w:t xml:space="preserve"> $</w:t>
            </w:r>
            <w:r w:rsidR="0000093D">
              <w:t xml:space="preserve"> </w:t>
            </w:r>
            <w:r w:rsidRPr="0095681E">
              <w:t xml:space="preserve">72,036 </w:t>
            </w:r>
          </w:p>
        </w:tc>
        <w:tc>
          <w:tcPr>
            <w:tcW w:w="1057" w:type="dxa"/>
            <w:tcBorders>
              <w:top w:val="single" w:sz="4" w:space="0" w:color="000000"/>
              <w:left w:val="nil"/>
              <w:bottom w:val="double" w:sz="6" w:space="0" w:color="000000"/>
              <w:right w:val="nil"/>
            </w:tcBorders>
            <w:shd w:val="clear" w:color="000000" w:fill="FFFFFF"/>
            <w:noWrap/>
            <w:hideMark/>
          </w:tcPr>
          <w:p w14:paraId="19F5F898" w14:textId="5739ECC4" w:rsidR="0095681E" w:rsidRPr="00555611" w:rsidRDefault="0095681E" w:rsidP="0095681E">
            <w:pPr>
              <w:jc w:val="right"/>
              <w:rPr>
                <w:rFonts w:ascii="Calibri" w:eastAsia="Times New Roman" w:hAnsi="Calibri" w:cs="Calibri"/>
                <w:color w:val="FF0000"/>
              </w:rPr>
            </w:pPr>
            <w:r w:rsidRPr="00316581">
              <w:t xml:space="preserve"> $24,408 </w:t>
            </w:r>
          </w:p>
        </w:tc>
      </w:tr>
      <w:tr w:rsidR="00930654" w:rsidRPr="003040F7" w14:paraId="58A28149" w14:textId="77777777" w:rsidTr="0095681E">
        <w:trPr>
          <w:trHeight w:val="153"/>
          <w:jc w:val="center"/>
        </w:trPr>
        <w:tc>
          <w:tcPr>
            <w:tcW w:w="4406" w:type="dxa"/>
            <w:tcBorders>
              <w:top w:val="single" w:sz="4" w:space="0" w:color="000000"/>
              <w:left w:val="nil"/>
              <w:bottom w:val="double" w:sz="6" w:space="0" w:color="000000"/>
              <w:right w:val="nil"/>
            </w:tcBorders>
            <w:shd w:val="clear" w:color="000000" w:fill="FFFFFF"/>
            <w:noWrap/>
            <w:vAlign w:val="bottom"/>
            <w:hideMark/>
          </w:tcPr>
          <w:p w14:paraId="3DBA8433" w14:textId="77777777" w:rsidR="00930654" w:rsidRPr="003040F7" w:rsidRDefault="00930654" w:rsidP="00930654">
            <w:pPr>
              <w:rPr>
                <w:rFonts w:ascii="Calibri" w:eastAsia="Times New Roman" w:hAnsi="Calibri" w:cs="Calibri"/>
                <w:color w:val="0D0D0D"/>
              </w:rPr>
            </w:pPr>
            <w:r w:rsidRPr="003040F7">
              <w:rPr>
                <w:rFonts w:ascii="Calibri" w:eastAsia="Times New Roman" w:hAnsi="Calibri" w:cs="Calibri"/>
                <w:color w:val="0D0D0D"/>
              </w:rPr>
              <w:t>Obligations for right-to-use assets</w:t>
            </w:r>
          </w:p>
        </w:tc>
        <w:tc>
          <w:tcPr>
            <w:tcW w:w="1121" w:type="dxa"/>
            <w:tcBorders>
              <w:top w:val="single" w:sz="4" w:space="0" w:color="000000"/>
              <w:left w:val="nil"/>
              <w:bottom w:val="double" w:sz="6" w:space="0" w:color="000000"/>
              <w:right w:val="nil"/>
            </w:tcBorders>
            <w:shd w:val="clear" w:color="000000" w:fill="FFFFFF"/>
            <w:noWrap/>
            <w:vAlign w:val="bottom"/>
            <w:hideMark/>
          </w:tcPr>
          <w:p w14:paraId="376E6122" w14:textId="10C22C0B" w:rsidR="00930654" w:rsidRPr="00235653" w:rsidRDefault="00930654" w:rsidP="00930654">
            <w:pPr>
              <w:jc w:val="right"/>
              <w:rPr>
                <w:rFonts w:ascii="Calibri" w:eastAsia="Times New Roman" w:hAnsi="Calibri" w:cs="Calibri"/>
                <w:color w:val="FF0000"/>
              </w:rPr>
            </w:pPr>
            <w:r w:rsidRPr="0065776F">
              <w:rPr>
                <w:rFonts w:ascii="Calibri" w:eastAsia="Times New Roman" w:hAnsi="Calibri" w:cs="Calibri"/>
              </w:rPr>
              <w:t>$</w:t>
            </w:r>
            <w:r>
              <w:rPr>
                <w:rFonts w:ascii="Calibri" w:eastAsia="Times New Roman" w:hAnsi="Calibri" w:cs="Calibri"/>
              </w:rPr>
              <w:t xml:space="preserve"> </w:t>
            </w:r>
            <w:r w:rsidRPr="0065776F">
              <w:rPr>
                <w:rFonts w:ascii="Calibri" w:eastAsia="Times New Roman" w:hAnsi="Calibri" w:cs="Calibri"/>
              </w:rPr>
              <w:t>75,866</w:t>
            </w:r>
          </w:p>
        </w:tc>
        <w:tc>
          <w:tcPr>
            <w:tcW w:w="1313" w:type="dxa"/>
            <w:tcBorders>
              <w:top w:val="single" w:sz="4" w:space="0" w:color="000000"/>
              <w:left w:val="nil"/>
              <w:bottom w:val="double" w:sz="6" w:space="0" w:color="000000"/>
              <w:right w:val="nil"/>
            </w:tcBorders>
            <w:shd w:val="clear" w:color="000000" w:fill="FFFFFF"/>
            <w:noWrap/>
            <w:vAlign w:val="bottom"/>
            <w:hideMark/>
          </w:tcPr>
          <w:p w14:paraId="20912F91" w14:textId="67AF924D" w:rsidR="00930654" w:rsidRPr="00ED029E" w:rsidRDefault="00930654" w:rsidP="00930654">
            <w:pPr>
              <w:jc w:val="right"/>
              <w:rPr>
                <w:rFonts w:ascii="Calibri" w:eastAsia="Times New Roman" w:hAnsi="Calibri" w:cs="Calibri"/>
              </w:rPr>
            </w:pPr>
            <w:r w:rsidRPr="00ED029E">
              <w:rPr>
                <w:rFonts w:ascii="Calibri" w:eastAsia="Times New Roman" w:hAnsi="Calibri" w:cs="Calibri"/>
              </w:rPr>
              <w:t>$</w:t>
            </w:r>
            <w:r>
              <w:rPr>
                <w:rFonts w:ascii="Calibri" w:eastAsia="Times New Roman" w:hAnsi="Calibri" w:cs="Calibri"/>
              </w:rPr>
              <w:t xml:space="preserve">  </w:t>
            </w:r>
            <w:r w:rsidRPr="00ED029E">
              <w:rPr>
                <w:rFonts w:ascii="Calibri" w:eastAsia="Times New Roman" w:hAnsi="Calibri" w:cs="Calibri"/>
              </w:rPr>
              <w:t>10,104</w:t>
            </w:r>
          </w:p>
        </w:tc>
        <w:tc>
          <w:tcPr>
            <w:tcW w:w="1530" w:type="dxa"/>
            <w:tcBorders>
              <w:top w:val="single" w:sz="4" w:space="0" w:color="000000"/>
              <w:left w:val="nil"/>
              <w:bottom w:val="double" w:sz="6" w:space="0" w:color="000000"/>
              <w:right w:val="nil"/>
            </w:tcBorders>
            <w:shd w:val="clear" w:color="000000" w:fill="FFFFFF"/>
            <w:noWrap/>
            <w:vAlign w:val="bottom"/>
            <w:hideMark/>
          </w:tcPr>
          <w:p w14:paraId="7CDA9BD3" w14:textId="558C6FE9" w:rsidR="00930654" w:rsidRPr="00ED029E" w:rsidRDefault="00930654" w:rsidP="00930654">
            <w:pPr>
              <w:jc w:val="right"/>
              <w:rPr>
                <w:rFonts w:ascii="Calibri" w:eastAsia="Times New Roman" w:hAnsi="Calibri" w:cs="Calibri"/>
              </w:rPr>
            </w:pPr>
            <w:r w:rsidRPr="00ED029E">
              <w:rPr>
                <w:rFonts w:ascii="Calibri" w:eastAsia="Times New Roman" w:hAnsi="Calibri" w:cs="Calibri"/>
              </w:rPr>
              <w:t>$</w:t>
            </w:r>
            <w:r>
              <w:rPr>
                <w:rFonts w:ascii="Calibri" w:eastAsia="Times New Roman" w:hAnsi="Calibri" w:cs="Calibri"/>
              </w:rPr>
              <w:t xml:space="preserve">    </w:t>
            </w:r>
            <w:r w:rsidRPr="00ED029E">
              <w:rPr>
                <w:rFonts w:ascii="Calibri" w:eastAsia="Times New Roman" w:hAnsi="Calibri" w:cs="Calibri"/>
              </w:rPr>
              <w:t>(7,842)</w:t>
            </w:r>
          </w:p>
        </w:tc>
        <w:tc>
          <w:tcPr>
            <w:tcW w:w="1553" w:type="dxa"/>
            <w:tcBorders>
              <w:top w:val="single" w:sz="4" w:space="0" w:color="000000"/>
              <w:left w:val="nil"/>
              <w:bottom w:val="double" w:sz="6" w:space="0" w:color="000000"/>
              <w:right w:val="nil"/>
            </w:tcBorders>
            <w:shd w:val="clear" w:color="000000" w:fill="FFFFFF"/>
            <w:noWrap/>
            <w:vAlign w:val="bottom"/>
            <w:hideMark/>
          </w:tcPr>
          <w:p w14:paraId="6998D8CC" w14:textId="07AE129E" w:rsidR="00930654" w:rsidRPr="00ED029E" w:rsidRDefault="00930654" w:rsidP="00930654">
            <w:pPr>
              <w:jc w:val="right"/>
              <w:rPr>
                <w:rFonts w:ascii="Calibri" w:eastAsia="Times New Roman" w:hAnsi="Calibri" w:cs="Calibri"/>
              </w:rPr>
            </w:pPr>
            <w:r w:rsidRPr="00ED029E">
              <w:rPr>
                <w:rFonts w:ascii="Calibri" w:eastAsia="Times New Roman" w:hAnsi="Calibri" w:cs="Calibri"/>
              </w:rPr>
              <w:t>$</w:t>
            </w:r>
            <w:r>
              <w:rPr>
                <w:rFonts w:ascii="Calibri" w:eastAsia="Times New Roman" w:hAnsi="Calibri" w:cs="Calibri"/>
              </w:rPr>
              <w:t xml:space="preserve"> </w:t>
            </w:r>
            <w:r w:rsidRPr="00ED029E">
              <w:rPr>
                <w:rFonts w:ascii="Calibri" w:eastAsia="Times New Roman" w:hAnsi="Calibri" w:cs="Calibri"/>
              </w:rPr>
              <w:t>78,128</w:t>
            </w:r>
          </w:p>
        </w:tc>
        <w:tc>
          <w:tcPr>
            <w:tcW w:w="1057" w:type="dxa"/>
            <w:tcBorders>
              <w:top w:val="single" w:sz="4" w:space="0" w:color="000000"/>
              <w:left w:val="nil"/>
              <w:bottom w:val="double" w:sz="6" w:space="0" w:color="000000"/>
              <w:right w:val="nil"/>
            </w:tcBorders>
            <w:shd w:val="clear" w:color="000000" w:fill="FFFFFF"/>
            <w:noWrap/>
            <w:vAlign w:val="bottom"/>
            <w:hideMark/>
          </w:tcPr>
          <w:p w14:paraId="27C200B9" w14:textId="3C0CEA20" w:rsidR="00930654" w:rsidRPr="00ED029E" w:rsidRDefault="00930654" w:rsidP="00930654">
            <w:pPr>
              <w:jc w:val="right"/>
              <w:rPr>
                <w:rFonts w:ascii="Calibri" w:eastAsia="Times New Roman" w:hAnsi="Calibri" w:cs="Calibri"/>
              </w:rPr>
            </w:pPr>
            <w:r w:rsidRPr="00ED029E">
              <w:rPr>
                <w:rFonts w:ascii="Calibri" w:eastAsia="Times New Roman" w:hAnsi="Calibri" w:cs="Calibri"/>
              </w:rPr>
              <w:t>$</w:t>
            </w:r>
            <w:r>
              <w:rPr>
                <w:rFonts w:ascii="Calibri" w:eastAsia="Times New Roman" w:hAnsi="Calibri" w:cs="Calibri"/>
              </w:rPr>
              <w:t xml:space="preserve">  </w:t>
            </w:r>
            <w:r w:rsidRPr="00ED029E">
              <w:rPr>
                <w:rFonts w:ascii="Calibri" w:eastAsia="Times New Roman" w:hAnsi="Calibri" w:cs="Calibri"/>
              </w:rPr>
              <w:t>7,20</w:t>
            </w:r>
            <w:r>
              <w:rPr>
                <w:rFonts w:ascii="Calibri" w:eastAsia="Times New Roman" w:hAnsi="Calibri" w:cs="Calibri"/>
              </w:rPr>
              <w:t>3</w:t>
            </w:r>
          </w:p>
        </w:tc>
      </w:tr>
      <w:tr w:rsidR="001B6918" w:rsidRPr="003040F7" w14:paraId="3F23DA9D" w14:textId="77777777" w:rsidTr="00F51774">
        <w:trPr>
          <w:trHeight w:val="135"/>
          <w:jc w:val="center"/>
        </w:trPr>
        <w:tc>
          <w:tcPr>
            <w:tcW w:w="4406" w:type="dxa"/>
            <w:tcBorders>
              <w:top w:val="nil"/>
              <w:left w:val="nil"/>
              <w:bottom w:val="nil"/>
              <w:right w:val="nil"/>
            </w:tcBorders>
            <w:shd w:val="clear" w:color="000000" w:fill="FFFFFF"/>
            <w:noWrap/>
            <w:vAlign w:val="bottom"/>
            <w:hideMark/>
          </w:tcPr>
          <w:p w14:paraId="6D46C3AE" w14:textId="77777777" w:rsidR="001B6918" w:rsidRPr="003040F7" w:rsidRDefault="001B6918" w:rsidP="00730ECF">
            <w:pPr>
              <w:rPr>
                <w:rFonts w:ascii="Calibri" w:eastAsia="Times New Roman" w:hAnsi="Calibri" w:cs="Calibri"/>
                <w:color w:val="0D0D0D"/>
              </w:rPr>
            </w:pPr>
            <w:r w:rsidRPr="003040F7">
              <w:rPr>
                <w:rFonts w:ascii="Calibri" w:eastAsia="Times New Roman" w:hAnsi="Calibri" w:cs="Calibri"/>
                <w:color w:val="0D0D0D"/>
              </w:rPr>
              <w:t>Long-term debt:</w:t>
            </w:r>
          </w:p>
        </w:tc>
        <w:tc>
          <w:tcPr>
            <w:tcW w:w="1121" w:type="dxa"/>
            <w:tcBorders>
              <w:top w:val="nil"/>
              <w:left w:val="nil"/>
              <w:bottom w:val="nil"/>
              <w:right w:val="nil"/>
            </w:tcBorders>
            <w:shd w:val="clear" w:color="000000" w:fill="FFFFFF"/>
            <w:noWrap/>
            <w:vAlign w:val="bottom"/>
            <w:hideMark/>
          </w:tcPr>
          <w:p w14:paraId="4ECDD535" w14:textId="77777777" w:rsidR="001B6918" w:rsidRPr="00235653" w:rsidRDefault="001B6918" w:rsidP="00730ECF">
            <w:pPr>
              <w:jc w:val="right"/>
              <w:rPr>
                <w:rFonts w:ascii="Calibri" w:eastAsia="Times New Roman" w:hAnsi="Calibri" w:cs="Calibri"/>
                <w:color w:val="FF0000"/>
              </w:rPr>
            </w:pPr>
            <w:r w:rsidRPr="00235653">
              <w:rPr>
                <w:rFonts w:ascii="Calibri" w:eastAsia="Times New Roman" w:hAnsi="Calibri" w:cs="Calibri"/>
                <w:color w:val="FF0000"/>
              </w:rPr>
              <w:t> </w:t>
            </w:r>
          </w:p>
        </w:tc>
        <w:tc>
          <w:tcPr>
            <w:tcW w:w="1313" w:type="dxa"/>
            <w:tcBorders>
              <w:top w:val="nil"/>
              <w:left w:val="nil"/>
              <w:bottom w:val="nil"/>
              <w:right w:val="nil"/>
            </w:tcBorders>
            <w:shd w:val="clear" w:color="000000" w:fill="FFFFFF"/>
            <w:noWrap/>
            <w:vAlign w:val="bottom"/>
            <w:hideMark/>
          </w:tcPr>
          <w:p w14:paraId="49793AC7" w14:textId="77777777" w:rsidR="001B6918" w:rsidRPr="00601771" w:rsidRDefault="001B6918" w:rsidP="00730ECF">
            <w:pPr>
              <w:jc w:val="right"/>
              <w:rPr>
                <w:rFonts w:ascii="Calibri" w:eastAsia="Times New Roman" w:hAnsi="Calibri" w:cs="Calibri"/>
                <w:color w:val="FF0000"/>
              </w:rPr>
            </w:pPr>
            <w:r w:rsidRPr="00601771">
              <w:rPr>
                <w:rFonts w:ascii="Calibri" w:eastAsia="Times New Roman" w:hAnsi="Calibri" w:cs="Calibri"/>
                <w:color w:val="FF0000"/>
              </w:rPr>
              <w:t> </w:t>
            </w:r>
          </w:p>
        </w:tc>
        <w:tc>
          <w:tcPr>
            <w:tcW w:w="1530" w:type="dxa"/>
            <w:tcBorders>
              <w:top w:val="nil"/>
              <w:left w:val="nil"/>
              <w:bottom w:val="nil"/>
              <w:right w:val="nil"/>
            </w:tcBorders>
            <w:shd w:val="clear" w:color="000000" w:fill="FFFFFF"/>
            <w:noWrap/>
            <w:vAlign w:val="bottom"/>
            <w:hideMark/>
          </w:tcPr>
          <w:p w14:paraId="4AD0CD0B" w14:textId="77777777" w:rsidR="001B6918" w:rsidRPr="00601771" w:rsidRDefault="001B6918" w:rsidP="00730ECF">
            <w:pPr>
              <w:jc w:val="right"/>
              <w:rPr>
                <w:rFonts w:ascii="Calibri" w:eastAsia="Times New Roman" w:hAnsi="Calibri" w:cs="Calibri"/>
                <w:color w:val="FF0000"/>
              </w:rPr>
            </w:pPr>
            <w:r w:rsidRPr="00601771">
              <w:rPr>
                <w:rFonts w:ascii="Calibri" w:eastAsia="Times New Roman" w:hAnsi="Calibri" w:cs="Calibri"/>
                <w:color w:val="FF0000"/>
              </w:rPr>
              <w:t> </w:t>
            </w:r>
          </w:p>
        </w:tc>
        <w:tc>
          <w:tcPr>
            <w:tcW w:w="1553" w:type="dxa"/>
            <w:tcBorders>
              <w:top w:val="nil"/>
              <w:left w:val="nil"/>
              <w:bottom w:val="nil"/>
              <w:right w:val="nil"/>
            </w:tcBorders>
            <w:shd w:val="clear" w:color="000000" w:fill="FFFFFF"/>
            <w:noWrap/>
            <w:vAlign w:val="bottom"/>
            <w:hideMark/>
          </w:tcPr>
          <w:p w14:paraId="4756F64A" w14:textId="77777777" w:rsidR="001B6918" w:rsidRPr="00601771" w:rsidRDefault="001B6918" w:rsidP="00730ECF">
            <w:pPr>
              <w:jc w:val="right"/>
              <w:rPr>
                <w:rFonts w:ascii="Calibri" w:eastAsia="Times New Roman" w:hAnsi="Calibri" w:cs="Calibri"/>
                <w:color w:val="FF0000"/>
              </w:rPr>
            </w:pPr>
            <w:r w:rsidRPr="00601771">
              <w:rPr>
                <w:rFonts w:ascii="Calibri" w:eastAsia="Times New Roman" w:hAnsi="Calibri" w:cs="Calibri"/>
                <w:color w:val="FF0000"/>
              </w:rPr>
              <w:t> </w:t>
            </w:r>
          </w:p>
        </w:tc>
        <w:tc>
          <w:tcPr>
            <w:tcW w:w="1057" w:type="dxa"/>
            <w:tcBorders>
              <w:top w:val="nil"/>
              <w:left w:val="nil"/>
              <w:bottom w:val="nil"/>
              <w:right w:val="nil"/>
            </w:tcBorders>
            <w:shd w:val="clear" w:color="000000" w:fill="FFFFFF"/>
            <w:noWrap/>
            <w:vAlign w:val="bottom"/>
            <w:hideMark/>
          </w:tcPr>
          <w:p w14:paraId="6E333FCF" w14:textId="77777777" w:rsidR="001B6918" w:rsidRPr="00601771" w:rsidRDefault="001B6918" w:rsidP="00730ECF">
            <w:pPr>
              <w:jc w:val="right"/>
              <w:rPr>
                <w:rFonts w:ascii="Calibri" w:eastAsia="Times New Roman" w:hAnsi="Calibri" w:cs="Calibri"/>
                <w:color w:val="FF0000"/>
              </w:rPr>
            </w:pPr>
            <w:r w:rsidRPr="00601771">
              <w:rPr>
                <w:rFonts w:ascii="Calibri" w:eastAsia="Times New Roman" w:hAnsi="Calibri" w:cs="Calibri"/>
                <w:color w:val="FF0000"/>
              </w:rPr>
              <w:t> </w:t>
            </w:r>
          </w:p>
        </w:tc>
      </w:tr>
      <w:tr w:rsidR="001B6918" w:rsidRPr="003040F7" w14:paraId="56EA7D28" w14:textId="77777777" w:rsidTr="00F51774">
        <w:trPr>
          <w:trHeight w:val="80"/>
          <w:jc w:val="center"/>
        </w:trPr>
        <w:tc>
          <w:tcPr>
            <w:tcW w:w="4406" w:type="dxa"/>
            <w:tcBorders>
              <w:top w:val="nil"/>
              <w:left w:val="nil"/>
              <w:bottom w:val="nil"/>
              <w:right w:val="nil"/>
            </w:tcBorders>
            <w:shd w:val="clear" w:color="000000" w:fill="FFFFFF"/>
            <w:noWrap/>
            <w:vAlign w:val="bottom"/>
            <w:hideMark/>
          </w:tcPr>
          <w:p w14:paraId="5D86A0F6" w14:textId="77777777" w:rsidR="001B6918" w:rsidRPr="003040F7" w:rsidRDefault="001B6918" w:rsidP="00730ECF">
            <w:pPr>
              <w:ind w:firstLineChars="100" w:firstLine="220"/>
              <w:rPr>
                <w:rFonts w:ascii="Calibri" w:eastAsia="Times New Roman" w:hAnsi="Calibri" w:cs="Calibri"/>
              </w:rPr>
            </w:pPr>
            <w:r w:rsidRPr="003040F7">
              <w:rPr>
                <w:rFonts w:ascii="Calibri" w:eastAsia="Times New Roman" w:hAnsi="Calibri" w:cs="Calibri"/>
              </w:rPr>
              <w:t>Bonds payable</w:t>
            </w:r>
            <w:r w:rsidRPr="003040F7">
              <w:rPr>
                <w:rFonts w:ascii="Calibri" w:eastAsia="Times New Roman" w:hAnsi="Calibri" w:cs="Calibri"/>
                <w:b/>
                <w:bCs/>
                <w:vertAlign w:val="superscript"/>
              </w:rPr>
              <w:t xml:space="preserve"> (b)</w:t>
            </w:r>
          </w:p>
        </w:tc>
        <w:tc>
          <w:tcPr>
            <w:tcW w:w="1121" w:type="dxa"/>
            <w:tcBorders>
              <w:top w:val="nil"/>
              <w:left w:val="nil"/>
              <w:bottom w:val="nil"/>
              <w:right w:val="nil"/>
            </w:tcBorders>
            <w:shd w:val="clear" w:color="000000" w:fill="FFFFFF"/>
            <w:noWrap/>
            <w:vAlign w:val="bottom"/>
            <w:hideMark/>
          </w:tcPr>
          <w:p w14:paraId="10D9D4BD" w14:textId="77777777" w:rsidR="001B6918" w:rsidRPr="00235653" w:rsidRDefault="001B6918" w:rsidP="00730ECF">
            <w:pPr>
              <w:jc w:val="right"/>
              <w:rPr>
                <w:rFonts w:ascii="Calibri" w:eastAsia="Times New Roman" w:hAnsi="Calibri" w:cs="Calibri"/>
                <w:color w:val="FF0000"/>
              </w:rPr>
            </w:pPr>
            <w:r w:rsidRPr="0065776F">
              <w:rPr>
                <w:rFonts w:ascii="Calibri" w:eastAsia="Times New Roman" w:hAnsi="Calibri" w:cs="Calibri"/>
              </w:rPr>
              <w:t>$204,317</w:t>
            </w:r>
          </w:p>
        </w:tc>
        <w:tc>
          <w:tcPr>
            <w:tcW w:w="1313" w:type="dxa"/>
            <w:tcBorders>
              <w:top w:val="nil"/>
              <w:left w:val="nil"/>
              <w:bottom w:val="nil"/>
              <w:right w:val="nil"/>
            </w:tcBorders>
            <w:shd w:val="clear" w:color="000000" w:fill="FFFFFF"/>
            <w:noWrap/>
            <w:vAlign w:val="bottom"/>
            <w:hideMark/>
          </w:tcPr>
          <w:p w14:paraId="0FC30232" w14:textId="77777777" w:rsidR="001B6918" w:rsidRPr="00555611" w:rsidRDefault="001B6918" w:rsidP="00730ECF">
            <w:pPr>
              <w:jc w:val="right"/>
              <w:rPr>
                <w:rFonts w:ascii="Calibri" w:eastAsia="Times New Roman" w:hAnsi="Calibri" w:cs="Calibri"/>
                <w:color w:val="FF0000"/>
              </w:rPr>
            </w:pPr>
            <w:r>
              <w:rPr>
                <w:rFonts w:ascii="Calibri" w:hAnsi="Calibri" w:cs="Calibri"/>
              </w:rPr>
              <w:t xml:space="preserve"> $             - </w:t>
            </w:r>
          </w:p>
        </w:tc>
        <w:tc>
          <w:tcPr>
            <w:tcW w:w="1530" w:type="dxa"/>
            <w:tcBorders>
              <w:top w:val="nil"/>
              <w:left w:val="nil"/>
              <w:bottom w:val="nil"/>
              <w:right w:val="nil"/>
            </w:tcBorders>
            <w:shd w:val="clear" w:color="000000" w:fill="FFFFFF"/>
            <w:noWrap/>
            <w:vAlign w:val="bottom"/>
            <w:hideMark/>
          </w:tcPr>
          <w:p w14:paraId="47380018" w14:textId="77777777" w:rsidR="001B6918" w:rsidRPr="00555611" w:rsidRDefault="001B6918" w:rsidP="00730ECF">
            <w:pPr>
              <w:jc w:val="right"/>
              <w:rPr>
                <w:rFonts w:ascii="Calibri" w:eastAsia="Times New Roman" w:hAnsi="Calibri" w:cs="Calibri"/>
                <w:color w:val="FF0000"/>
              </w:rPr>
            </w:pPr>
            <w:r>
              <w:rPr>
                <w:rFonts w:ascii="Calibri" w:hAnsi="Calibri" w:cs="Calibri"/>
              </w:rPr>
              <w:t xml:space="preserve"> $  (16,736)</w:t>
            </w:r>
          </w:p>
        </w:tc>
        <w:tc>
          <w:tcPr>
            <w:tcW w:w="1553" w:type="dxa"/>
            <w:tcBorders>
              <w:top w:val="nil"/>
              <w:left w:val="nil"/>
              <w:bottom w:val="nil"/>
              <w:right w:val="nil"/>
            </w:tcBorders>
            <w:shd w:val="clear" w:color="000000" w:fill="FFFFFF"/>
            <w:noWrap/>
            <w:vAlign w:val="bottom"/>
            <w:hideMark/>
          </w:tcPr>
          <w:p w14:paraId="4A6880F2" w14:textId="77777777" w:rsidR="001B6918" w:rsidRPr="00555611" w:rsidRDefault="001B6918" w:rsidP="00730ECF">
            <w:pPr>
              <w:jc w:val="right"/>
              <w:rPr>
                <w:rFonts w:ascii="Calibri" w:eastAsia="Times New Roman" w:hAnsi="Calibri" w:cs="Calibri"/>
                <w:color w:val="FF0000"/>
              </w:rPr>
            </w:pPr>
            <w:r>
              <w:rPr>
                <w:rFonts w:ascii="Calibri" w:hAnsi="Calibri" w:cs="Calibri"/>
              </w:rPr>
              <w:t xml:space="preserve"> $187,581 </w:t>
            </w:r>
          </w:p>
        </w:tc>
        <w:tc>
          <w:tcPr>
            <w:tcW w:w="1057" w:type="dxa"/>
            <w:tcBorders>
              <w:top w:val="nil"/>
              <w:left w:val="nil"/>
              <w:bottom w:val="nil"/>
              <w:right w:val="nil"/>
            </w:tcBorders>
            <w:shd w:val="clear" w:color="000000" w:fill="FFFFFF"/>
            <w:noWrap/>
            <w:vAlign w:val="bottom"/>
            <w:hideMark/>
          </w:tcPr>
          <w:p w14:paraId="262790CB" w14:textId="77777777" w:rsidR="001B6918" w:rsidRPr="00555611" w:rsidRDefault="001B6918" w:rsidP="00730ECF">
            <w:pPr>
              <w:jc w:val="right"/>
              <w:rPr>
                <w:rFonts w:ascii="Calibri" w:eastAsia="Times New Roman" w:hAnsi="Calibri" w:cs="Calibri"/>
                <w:color w:val="FF0000"/>
              </w:rPr>
            </w:pPr>
            <w:r>
              <w:rPr>
                <w:rFonts w:ascii="Calibri" w:hAnsi="Calibri" w:cs="Calibri"/>
              </w:rPr>
              <w:t xml:space="preserve"> $17,164 </w:t>
            </w:r>
          </w:p>
        </w:tc>
      </w:tr>
      <w:tr w:rsidR="001B6918" w:rsidRPr="003040F7" w14:paraId="7D8F32ED" w14:textId="77777777" w:rsidTr="00F51774">
        <w:trPr>
          <w:trHeight w:val="135"/>
          <w:jc w:val="center"/>
        </w:trPr>
        <w:tc>
          <w:tcPr>
            <w:tcW w:w="4406" w:type="dxa"/>
            <w:tcBorders>
              <w:top w:val="nil"/>
              <w:left w:val="nil"/>
              <w:bottom w:val="nil"/>
              <w:right w:val="nil"/>
            </w:tcBorders>
            <w:shd w:val="clear" w:color="000000" w:fill="FFFFFF"/>
            <w:noWrap/>
            <w:vAlign w:val="bottom"/>
            <w:hideMark/>
          </w:tcPr>
          <w:p w14:paraId="7CD05752" w14:textId="77777777" w:rsidR="001B6918" w:rsidRPr="003040F7" w:rsidRDefault="001B6918" w:rsidP="00730ECF">
            <w:pPr>
              <w:ind w:firstLineChars="100" w:firstLine="220"/>
              <w:rPr>
                <w:rFonts w:ascii="Calibri" w:eastAsia="Times New Roman" w:hAnsi="Calibri" w:cs="Calibri"/>
              </w:rPr>
            </w:pPr>
            <w:r w:rsidRPr="003040F7">
              <w:rPr>
                <w:rFonts w:ascii="Calibri" w:eastAsia="Times New Roman" w:hAnsi="Calibri" w:cs="Calibri"/>
              </w:rPr>
              <w:t>Direct borrowings</w:t>
            </w:r>
            <w:r w:rsidRPr="003040F7">
              <w:rPr>
                <w:rFonts w:ascii="Calibri" w:eastAsia="Times New Roman" w:hAnsi="Calibri" w:cs="Calibri"/>
                <w:b/>
                <w:bCs/>
                <w:vertAlign w:val="superscript"/>
              </w:rPr>
              <w:t xml:space="preserve"> (b)</w:t>
            </w:r>
          </w:p>
        </w:tc>
        <w:tc>
          <w:tcPr>
            <w:tcW w:w="1121" w:type="dxa"/>
            <w:tcBorders>
              <w:top w:val="nil"/>
              <w:left w:val="nil"/>
              <w:bottom w:val="nil"/>
              <w:right w:val="nil"/>
            </w:tcBorders>
            <w:shd w:val="clear" w:color="000000" w:fill="FFFFFF"/>
            <w:noWrap/>
            <w:vAlign w:val="bottom"/>
            <w:hideMark/>
          </w:tcPr>
          <w:p w14:paraId="5FB2E54A" w14:textId="77777777" w:rsidR="001B6918" w:rsidRPr="00235653" w:rsidRDefault="001B6918" w:rsidP="00730ECF">
            <w:pPr>
              <w:jc w:val="right"/>
              <w:rPr>
                <w:rFonts w:ascii="Calibri" w:eastAsia="Times New Roman" w:hAnsi="Calibri" w:cs="Calibri"/>
                <w:color w:val="FF0000"/>
              </w:rPr>
            </w:pPr>
            <w:r>
              <w:rPr>
                <w:rFonts w:ascii="Calibri" w:eastAsia="Times New Roman" w:hAnsi="Calibri" w:cs="Calibri"/>
              </w:rPr>
              <w:t>13,333</w:t>
            </w:r>
            <w:r w:rsidRPr="0065776F">
              <w:rPr>
                <w:rFonts w:ascii="Calibri" w:eastAsia="Times New Roman" w:hAnsi="Calibri" w:cs="Calibri"/>
              </w:rPr>
              <w:t xml:space="preserve"> </w:t>
            </w:r>
          </w:p>
        </w:tc>
        <w:tc>
          <w:tcPr>
            <w:tcW w:w="1313" w:type="dxa"/>
            <w:tcBorders>
              <w:top w:val="nil"/>
              <w:left w:val="nil"/>
              <w:bottom w:val="nil"/>
              <w:right w:val="nil"/>
            </w:tcBorders>
            <w:shd w:val="clear" w:color="000000" w:fill="FFFFFF"/>
            <w:noWrap/>
            <w:vAlign w:val="bottom"/>
            <w:hideMark/>
          </w:tcPr>
          <w:p w14:paraId="6D133580" w14:textId="77777777" w:rsidR="001B6918" w:rsidRPr="00555611" w:rsidRDefault="001B6918" w:rsidP="00730ECF">
            <w:pPr>
              <w:jc w:val="right"/>
              <w:rPr>
                <w:rFonts w:ascii="Calibri" w:eastAsia="Times New Roman" w:hAnsi="Calibri" w:cs="Calibri"/>
                <w:color w:val="FF0000"/>
              </w:rPr>
            </w:pPr>
            <w:r>
              <w:rPr>
                <w:rFonts w:ascii="Calibri" w:hAnsi="Calibri" w:cs="Calibri"/>
              </w:rPr>
              <w:t xml:space="preserve">         2,239 </w:t>
            </w:r>
          </w:p>
        </w:tc>
        <w:tc>
          <w:tcPr>
            <w:tcW w:w="1530" w:type="dxa"/>
            <w:tcBorders>
              <w:top w:val="nil"/>
              <w:left w:val="nil"/>
              <w:bottom w:val="nil"/>
              <w:right w:val="nil"/>
            </w:tcBorders>
            <w:shd w:val="clear" w:color="000000" w:fill="FFFFFF"/>
            <w:noWrap/>
            <w:vAlign w:val="bottom"/>
            <w:hideMark/>
          </w:tcPr>
          <w:p w14:paraId="14F865BD" w14:textId="77777777" w:rsidR="001B6918" w:rsidRPr="00555611" w:rsidRDefault="001B6918" w:rsidP="00730ECF">
            <w:pPr>
              <w:jc w:val="right"/>
              <w:rPr>
                <w:rFonts w:ascii="Calibri" w:eastAsia="Times New Roman" w:hAnsi="Calibri" w:cs="Calibri"/>
                <w:color w:val="FF0000"/>
              </w:rPr>
            </w:pPr>
            <w:r>
              <w:rPr>
                <w:rFonts w:ascii="Calibri" w:hAnsi="Calibri" w:cs="Calibri"/>
              </w:rPr>
              <w:t xml:space="preserve">         (1,153)</w:t>
            </w:r>
          </w:p>
        </w:tc>
        <w:tc>
          <w:tcPr>
            <w:tcW w:w="1553" w:type="dxa"/>
            <w:tcBorders>
              <w:top w:val="nil"/>
              <w:left w:val="nil"/>
              <w:bottom w:val="nil"/>
              <w:right w:val="nil"/>
            </w:tcBorders>
            <w:shd w:val="clear" w:color="000000" w:fill="FFFFFF"/>
            <w:noWrap/>
            <w:vAlign w:val="bottom"/>
            <w:hideMark/>
          </w:tcPr>
          <w:p w14:paraId="1863CF6A" w14:textId="77777777" w:rsidR="001B6918" w:rsidRPr="00555611" w:rsidRDefault="001B6918" w:rsidP="00730ECF">
            <w:pPr>
              <w:jc w:val="right"/>
              <w:rPr>
                <w:rFonts w:ascii="Calibri" w:eastAsia="Times New Roman" w:hAnsi="Calibri" w:cs="Calibri"/>
                <w:color w:val="FF0000"/>
              </w:rPr>
            </w:pPr>
            <w:r>
              <w:rPr>
                <w:rFonts w:ascii="Calibri" w:hAnsi="Calibri" w:cs="Calibri"/>
              </w:rPr>
              <w:t xml:space="preserve">       14,419 </w:t>
            </w:r>
          </w:p>
        </w:tc>
        <w:tc>
          <w:tcPr>
            <w:tcW w:w="1057" w:type="dxa"/>
            <w:tcBorders>
              <w:top w:val="nil"/>
              <w:left w:val="nil"/>
              <w:bottom w:val="nil"/>
              <w:right w:val="nil"/>
            </w:tcBorders>
            <w:shd w:val="clear" w:color="000000" w:fill="FFFFFF"/>
            <w:noWrap/>
            <w:vAlign w:val="bottom"/>
            <w:hideMark/>
          </w:tcPr>
          <w:p w14:paraId="4818E17C" w14:textId="77777777" w:rsidR="001B6918" w:rsidRPr="00555611" w:rsidRDefault="001B6918" w:rsidP="00730ECF">
            <w:pPr>
              <w:jc w:val="right"/>
              <w:rPr>
                <w:rFonts w:ascii="Calibri" w:eastAsia="Times New Roman" w:hAnsi="Calibri" w:cs="Calibri"/>
                <w:color w:val="FF0000"/>
              </w:rPr>
            </w:pPr>
            <w:r>
              <w:rPr>
                <w:rFonts w:ascii="Calibri" w:hAnsi="Calibri" w:cs="Calibri"/>
              </w:rPr>
              <w:t xml:space="preserve">      1,128 </w:t>
            </w:r>
          </w:p>
        </w:tc>
      </w:tr>
      <w:tr w:rsidR="001B6918" w:rsidRPr="003040F7" w14:paraId="381C2A2B" w14:textId="77777777" w:rsidTr="00F51774">
        <w:trPr>
          <w:trHeight w:val="70"/>
          <w:jc w:val="center"/>
        </w:trPr>
        <w:tc>
          <w:tcPr>
            <w:tcW w:w="4406" w:type="dxa"/>
            <w:tcBorders>
              <w:top w:val="single" w:sz="4" w:space="0" w:color="000000"/>
              <w:left w:val="nil"/>
              <w:bottom w:val="double" w:sz="6" w:space="0" w:color="000000"/>
              <w:right w:val="nil"/>
            </w:tcBorders>
            <w:shd w:val="clear" w:color="000000" w:fill="FFFFFF"/>
            <w:noWrap/>
            <w:vAlign w:val="bottom"/>
            <w:hideMark/>
          </w:tcPr>
          <w:p w14:paraId="79A1A8FA" w14:textId="77777777" w:rsidR="001B6918" w:rsidRPr="003040F7" w:rsidRDefault="001B6918" w:rsidP="00730ECF">
            <w:pPr>
              <w:ind w:firstLineChars="100" w:firstLine="220"/>
              <w:rPr>
                <w:rFonts w:ascii="Calibri" w:eastAsia="Times New Roman" w:hAnsi="Calibri" w:cs="Calibri"/>
                <w:color w:val="0D0D0D"/>
              </w:rPr>
            </w:pPr>
            <w:r w:rsidRPr="003040F7">
              <w:rPr>
                <w:rFonts w:ascii="Calibri" w:eastAsia="Times New Roman" w:hAnsi="Calibri" w:cs="Calibri"/>
                <w:color w:val="0D0D0D"/>
              </w:rPr>
              <w:t>Total long-term debt</w:t>
            </w:r>
          </w:p>
        </w:tc>
        <w:tc>
          <w:tcPr>
            <w:tcW w:w="1121" w:type="dxa"/>
            <w:tcBorders>
              <w:top w:val="single" w:sz="4" w:space="0" w:color="000000"/>
              <w:left w:val="nil"/>
              <w:bottom w:val="double" w:sz="6" w:space="0" w:color="000000"/>
              <w:right w:val="nil"/>
            </w:tcBorders>
            <w:shd w:val="clear" w:color="000000" w:fill="FFFFFF"/>
            <w:noWrap/>
            <w:vAlign w:val="bottom"/>
            <w:hideMark/>
          </w:tcPr>
          <w:p w14:paraId="49DC7AD4" w14:textId="77777777" w:rsidR="001B6918" w:rsidRPr="00235653" w:rsidRDefault="001B6918" w:rsidP="00730ECF">
            <w:pPr>
              <w:jc w:val="right"/>
              <w:rPr>
                <w:rFonts w:ascii="Calibri" w:eastAsia="Times New Roman" w:hAnsi="Calibri" w:cs="Calibri"/>
                <w:color w:val="FF0000"/>
              </w:rPr>
            </w:pPr>
            <w:r w:rsidRPr="0065776F">
              <w:rPr>
                <w:rFonts w:ascii="Calibri" w:eastAsia="Times New Roman" w:hAnsi="Calibri" w:cs="Calibri"/>
              </w:rPr>
              <w:t>$</w:t>
            </w:r>
            <w:r>
              <w:rPr>
                <w:rFonts w:ascii="Calibri" w:eastAsia="Times New Roman" w:hAnsi="Calibri" w:cs="Calibri"/>
              </w:rPr>
              <w:t>217,650</w:t>
            </w:r>
          </w:p>
        </w:tc>
        <w:tc>
          <w:tcPr>
            <w:tcW w:w="1313" w:type="dxa"/>
            <w:tcBorders>
              <w:top w:val="single" w:sz="4" w:space="0" w:color="000000"/>
              <w:left w:val="nil"/>
              <w:bottom w:val="double" w:sz="6" w:space="0" w:color="000000"/>
              <w:right w:val="nil"/>
            </w:tcBorders>
            <w:shd w:val="clear" w:color="000000" w:fill="FFFFFF"/>
            <w:noWrap/>
            <w:vAlign w:val="bottom"/>
            <w:hideMark/>
          </w:tcPr>
          <w:p w14:paraId="2A60E22C" w14:textId="77777777" w:rsidR="001B6918" w:rsidRPr="00555611" w:rsidRDefault="001B6918" w:rsidP="00730ECF">
            <w:pPr>
              <w:jc w:val="right"/>
              <w:rPr>
                <w:rFonts w:ascii="Calibri" w:eastAsia="Times New Roman" w:hAnsi="Calibri" w:cs="Calibri"/>
                <w:color w:val="FF0000"/>
              </w:rPr>
            </w:pPr>
            <w:r>
              <w:rPr>
                <w:rFonts w:ascii="Calibri" w:hAnsi="Calibri" w:cs="Calibri"/>
              </w:rPr>
              <w:t xml:space="preserve"> $    2,239 </w:t>
            </w:r>
          </w:p>
        </w:tc>
        <w:tc>
          <w:tcPr>
            <w:tcW w:w="1530" w:type="dxa"/>
            <w:tcBorders>
              <w:top w:val="single" w:sz="4" w:space="0" w:color="000000"/>
              <w:left w:val="nil"/>
              <w:bottom w:val="double" w:sz="6" w:space="0" w:color="000000"/>
              <w:right w:val="nil"/>
            </w:tcBorders>
            <w:shd w:val="clear" w:color="000000" w:fill="FFFFFF"/>
            <w:noWrap/>
            <w:vAlign w:val="bottom"/>
            <w:hideMark/>
          </w:tcPr>
          <w:p w14:paraId="61D16C94" w14:textId="643D0A9F" w:rsidR="001B6918" w:rsidRPr="00555611" w:rsidRDefault="001B6918" w:rsidP="00730ECF">
            <w:pPr>
              <w:jc w:val="right"/>
              <w:rPr>
                <w:rFonts w:ascii="Calibri" w:eastAsia="Times New Roman" w:hAnsi="Calibri" w:cs="Calibri"/>
                <w:color w:val="FF0000"/>
              </w:rPr>
            </w:pPr>
            <w:r>
              <w:rPr>
                <w:rFonts w:ascii="Calibri" w:hAnsi="Calibri" w:cs="Calibri"/>
              </w:rPr>
              <w:t xml:space="preserve"> $  (17,889)</w:t>
            </w:r>
          </w:p>
        </w:tc>
        <w:tc>
          <w:tcPr>
            <w:tcW w:w="1553" w:type="dxa"/>
            <w:tcBorders>
              <w:top w:val="single" w:sz="4" w:space="0" w:color="000000"/>
              <w:left w:val="nil"/>
              <w:bottom w:val="double" w:sz="6" w:space="0" w:color="000000"/>
              <w:right w:val="nil"/>
            </w:tcBorders>
            <w:shd w:val="clear" w:color="000000" w:fill="FFFFFF"/>
            <w:noWrap/>
            <w:vAlign w:val="bottom"/>
            <w:hideMark/>
          </w:tcPr>
          <w:p w14:paraId="3A3F4541" w14:textId="77777777" w:rsidR="001B6918" w:rsidRPr="00555611" w:rsidRDefault="001B6918" w:rsidP="00730ECF">
            <w:pPr>
              <w:jc w:val="right"/>
              <w:rPr>
                <w:rFonts w:ascii="Calibri" w:eastAsia="Times New Roman" w:hAnsi="Calibri" w:cs="Calibri"/>
                <w:color w:val="FF0000"/>
              </w:rPr>
            </w:pPr>
            <w:r>
              <w:rPr>
                <w:rFonts w:ascii="Calibri" w:hAnsi="Calibri" w:cs="Calibri"/>
              </w:rPr>
              <w:t xml:space="preserve"> $202,000 </w:t>
            </w:r>
          </w:p>
        </w:tc>
        <w:tc>
          <w:tcPr>
            <w:tcW w:w="1057" w:type="dxa"/>
            <w:tcBorders>
              <w:top w:val="single" w:sz="4" w:space="0" w:color="000000"/>
              <w:left w:val="nil"/>
              <w:bottom w:val="double" w:sz="6" w:space="0" w:color="000000"/>
              <w:right w:val="nil"/>
            </w:tcBorders>
            <w:shd w:val="clear" w:color="000000" w:fill="FFFFFF"/>
            <w:noWrap/>
            <w:vAlign w:val="bottom"/>
            <w:hideMark/>
          </w:tcPr>
          <w:p w14:paraId="2850A023" w14:textId="77777777" w:rsidR="001B6918" w:rsidRPr="00555611" w:rsidRDefault="001B6918" w:rsidP="00730ECF">
            <w:pPr>
              <w:jc w:val="right"/>
              <w:rPr>
                <w:rFonts w:ascii="Calibri" w:eastAsia="Times New Roman" w:hAnsi="Calibri" w:cs="Calibri"/>
                <w:color w:val="FF0000"/>
              </w:rPr>
            </w:pPr>
            <w:r>
              <w:rPr>
                <w:rFonts w:ascii="Calibri" w:hAnsi="Calibri" w:cs="Calibri"/>
              </w:rPr>
              <w:t xml:space="preserve"> $18,292 </w:t>
            </w:r>
          </w:p>
        </w:tc>
      </w:tr>
      <w:bookmarkEnd w:id="15"/>
    </w:tbl>
    <w:p w14:paraId="2B8A8A17" w14:textId="77777777" w:rsidR="001B6918" w:rsidRPr="004E6649" w:rsidRDefault="001B6918" w:rsidP="001B6918">
      <w:pPr>
        <w:tabs>
          <w:tab w:val="left" w:pos="720"/>
          <w:tab w:val="left" w:pos="1022"/>
          <w:tab w:val="left" w:pos="1440"/>
          <w:tab w:val="decimal" w:pos="6890"/>
          <w:tab w:val="decimal" w:pos="9454"/>
        </w:tabs>
        <w:suppressAutoHyphens/>
        <w:rPr>
          <w:rFonts w:cstheme="minorHAnsi"/>
          <w:bCs/>
          <w:spacing w:val="-3"/>
          <w:sz w:val="24"/>
        </w:rPr>
      </w:pPr>
    </w:p>
    <w:p w14:paraId="7CE05F5B" w14:textId="77777777" w:rsidR="001B6918" w:rsidRDefault="001B6918" w:rsidP="001B6918">
      <w:pPr>
        <w:tabs>
          <w:tab w:val="left" w:pos="720"/>
          <w:tab w:val="left" w:pos="1022"/>
          <w:tab w:val="left" w:pos="1440"/>
          <w:tab w:val="decimal" w:pos="6890"/>
          <w:tab w:val="decimal" w:pos="9454"/>
        </w:tabs>
        <w:suppressAutoHyphens/>
        <w:rPr>
          <w:rFonts w:cstheme="minorHAnsi"/>
          <w:bCs/>
          <w:spacing w:val="-3"/>
          <w:sz w:val="24"/>
        </w:rPr>
      </w:pPr>
      <w:r w:rsidRPr="004E6649">
        <w:rPr>
          <w:rFonts w:cstheme="minorHAnsi"/>
          <w:bCs/>
          <w:spacing w:val="-3"/>
          <w:sz w:val="24"/>
        </w:rPr>
        <w:t>Changes in accrued liabilities, lease liabilities and long-term debt during the year ended June 30 include the following:</w:t>
      </w:r>
    </w:p>
    <w:tbl>
      <w:tblPr>
        <w:tblW w:w="11070" w:type="dxa"/>
        <w:jc w:val="center"/>
        <w:tblLayout w:type="fixed"/>
        <w:tblLook w:val="04A0" w:firstRow="1" w:lastRow="0" w:firstColumn="1" w:lastColumn="0" w:noHBand="0" w:noVBand="1"/>
      </w:tblPr>
      <w:tblGrid>
        <w:gridCol w:w="4500"/>
        <w:gridCol w:w="1170"/>
        <w:gridCol w:w="1260"/>
        <w:gridCol w:w="1530"/>
        <w:gridCol w:w="1530"/>
        <w:gridCol w:w="1080"/>
      </w:tblGrid>
      <w:tr w:rsidR="00CC5698" w:rsidRPr="003040F7" w14:paraId="7A3E15C7" w14:textId="77777777" w:rsidTr="00CC5698">
        <w:trPr>
          <w:trHeight w:val="162"/>
          <w:jc w:val="center"/>
        </w:trPr>
        <w:tc>
          <w:tcPr>
            <w:tcW w:w="11070" w:type="dxa"/>
            <w:gridSpan w:val="6"/>
            <w:tcBorders>
              <w:top w:val="nil"/>
              <w:left w:val="nil"/>
              <w:bottom w:val="single" w:sz="12" w:space="0" w:color="000000"/>
              <w:right w:val="nil"/>
            </w:tcBorders>
            <w:shd w:val="clear" w:color="000000" w:fill="FFFFFF"/>
            <w:noWrap/>
            <w:vAlign w:val="bottom"/>
            <w:hideMark/>
          </w:tcPr>
          <w:p w14:paraId="46B71F71" w14:textId="77777777" w:rsidR="001B6918" w:rsidRPr="003040F7" w:rsidRDefault="001B6918" w:rsidP="00730ECF">
            <w:pPr>
              <w:jc w:val="center"/>
              <w:rPr>
                <w:rFonts w:ascii="Calibri" w:eastAsia="Times New Roman" w:hAnsi="Calibri" w:cs="Calibri"/>
                <w:b/>
                <w:bCs/>
                <w:color w:val="0D0D0D"/>
              </w:rPr>
            </w:pPr>
            <w:r w:rsidRPr="003040F7">
              <w:rPr>
                <w:rFonts w:ascii="Calibri" w:eastAsia="Times New Roman" w:hAnsi="Calibri" w:cs="Calibri"/>
                <w:b/>
                <w:bCs/>
                <w:color w:val="0D0D0D"/>
              </w:rPr>
              <w:t>202</w:t>
            </w:r>
            <w:r>
              <w:rPr>
                <w:rFonts w:ascii="Calibri" w:eastAsia="Times New Roman" w:hAnsi="Calibri" w:cs="Calibri"/>
                <w:b/>
                <w:bCs/>
                <w:color w:val="0D0D0D"/>
              </w:rPr>
              <w:t>4 Restated</w:t>
            </w:r>
          </w:p>
        </w:tc>
      </w:tr>
      <w:tr w:rsidR="00CC5698" w:rsidRPr="003040F7" w14:paraId="6D6F7C4E" w14:textId="77777777" w:rsidTr="003766F2">
        <w:trPr>
          <w:trHeight w:val="312"/>
          <w:jc w:val="center"/>
        </w:trPr>
        <w:tc>
          <w:tcPr>
            <w:tcW w:w="4500" w:type="dxa"/>
            <w:tcBorders>
              <w:top w:val="nil"/>
              <w:left w:val="nil"/>
              <w:bottom w:val="single" w:sz="12" w:space="0" w:color="000000"/>
              <w:right w:val="nil"/>
            </w:tcBorders>
            <w:shd w:val="clear" w:color="000000" w:fill="FFFFFF"/>
            <w:noWrap/>
            <w:vAlign w:val="bottom"/>
            <w:hideMark/>
          </w:tcPr>
          <w:p w14:paraId="3AD66A6E" w14:textId="77777777" w:rsidR="001B6918" w:rsidRPr="003040F7" w:rsidRDefault="001B6918" w:rsidP="00730ECF">
            <w:pPr>
              <w:rPr>
                <w:rFonts w:ascii="Calibri" w:eastAsia="Times New Roman" w:hAnsi="Calibri" w:cs="Calibri"/>
                <w:b/>
                <w:bCs/>
                <w:color w:val="0D0D0D"/>
              </w:rPr>
            </w:pPr>
            <w:r w:rsidRPr="003040F7">
              <w:rPr>
                <w:rFonts w:ascii="Calibri" w:eastAsia="Times New Roman" w:hAnsi="Calibri" w:cs="Calibri"/>
                <w:b/>
                <w:bCs/>
                <w:color w:val="0D0D0D"/>
              </w:rPr>
              <w:t> </w:t>
            </w:r>
          </w:p>
        </w:tc>
        <w:tc>
          <w:tcPr>
            <w:tcW w:w="1170" w:type="dxa"/>
            <w:tcBorders>
              <w:top w:val="nil"/>
              <w:left w:val="nil"/>
              <w:bottom w:val="single" w:sz="12" w:space="0" w:color="000000"/>
              <w:right w:val="nil"/>
            </w:tcBorders>
            <w:shd w:val="clear" w:color="000000" w:fill="FFFFFF"/>
            <w:vAlign w:val="bottom"/>
            <w:hideMark/>
          </w:tcPr>
          <w:p w14:paraId="62F8B18F" w14:textId="14CD6A6E" w:rsidR="001B6918" w:rsidRPr="003040F7" w:rsidRDefault="001B6918" w:rsidP="00CC5698">
            <w:pPr>
              <w:jc w:val="center"/>
              <w:rPr>
                <w:rFonts w:ascii="Calibri" w:eastAsia="Times New Roman" w:hAnsi="Calibri" w:cs="Calibri"/>
                <w:b/>
                <w:bCs/>
                <w:color w:val="0D0D0D"/>
              </w:rPr>
            </w:pPr>
            <w:r w:rsidRPr="003040F7">
              <w:rPr>
                <w:rFonts w:ascii="Calibri" w:eastAsia="Times New Roman" w:hAnsi="Calibri" w:cs="Calibri"/>
                <w:b/>
                <w:bCs/>
                <w:color w:val="0D0D0D"/>
              </w:rPr>
              <w:t>Beginning</w:t>
            </w:r>
            <w:r w:rsidRPr="003040F7">
              <w:rPr>
                <w:rFonts w:ascii="Calibri" w:eastAsia="Times New Roman" w:hAnsi="Calibri" w:cs="Calibri"/>
                <w:b/>
                <w:bCs/>
                <w:color w:val="0D0D0D"/>
              </w:rPr>
              <w:br/>
              <w:t>Balance</w:t>
            </w:r>
            <w:r w:rsidR="00CC5698">
              <w:rPr>
                <w:rFonts w:ascii="Calibri" w:eastAsia="Times New Roman" w:hAnsi="Calibri" w:cs="Calibri"/>
                <w:b/>
                <w:bCs/>
                <w:color w:val="0D0D0D"/>
              </w:rPr>
              <w:t xml:space="preserve"> </w:t>
            </w:r>
            <w:r>
              <w:rPr>
                <w:rFonts w:ascii="Calibri" w:eastAsia="Times New Roman" w:hAnsi="Calibri" w:cs="Calibri"/>
                <w:b/>
                <w:bCs/>
                <w:color w:val="0D0D0D"/>
              </w:rPr>
              <w:t>Restated</w:t>
            </w:r>
          </w:p>
        </w:tc>
        <w:tc>
          <w:tcPr>
            <w:tcW w:w="1260" w:type="dxa"/>
            <w:tcBorders>
              <w:top w:val="nil"/>
              <w:left w:val="nil"/>
              <w:bottom w:val="single" w:sz="12" w:space="0" w:color="000000"/>
              <w:right w:val="nil"/>
            </w:tcBorders>
            <w:shd w:val="clear" w:color="000000" w:fill="FFFFFF"/>
            <w:noWrap/>
            <w:vAlign w:val="bottom"/>
            <w:hideMark/>
          </w:tcPr>
          <w:p w14:paraId="79C0A053" w14:textId="77777777" w:rsidR="001B6918" w:rsidRPr="003040F7" w:rsidRDefault="001B6918" w:rsidP="00730ECF">
            <w:pPr>
              <w:jc w:val="center"/>
              <w:rPr>
                <w:rFonts w:ascii="Calibri" w:eastAsia="Times New Roman" w:hAnsi="Calibri" w:cs="Calibri"/>
                <w:b/>
                <w:bCs/>
                <w:color w:val="0D0D0D"/>
              </w:rPr>
            </w:pPr>
            <w:r w:rsidRPr="003040F7">
              <w:rPr>
                <w:rFonts w:ascii="Calibri" w:eastAsia="Times New Roman" w:hAnsi="Calibri" w:cs="Calibri"/>
                <w:b/>
                <w:bCs/>
                <w:color w:val="0D0D0D"/>
              </w:rPr>
              <w:t>Additions</w:t>
            </w:r>
          </w:p>
        </w:tc>
        <w:tc>
          <w:tcPr>
            <w:tcW w:w="1530" w:type="dxa"/>
            <w:tcBorders>
              <w:top w:val="nil"/>
              <w:left w:val="nil"/>
              <w:bottom w:val="single" w:sz="12" w:space="0" w:color="000000"/>
              <w:right w:val="nil"/>
            </w:tcBorders>
            <w:shd w:val="clear" w:color="000000" w:fill="FFFFFF"/>
            <w:noWrap/>
            <w:vAlign w:val="bottom"/>
            <w:hideMark/>
          </w:tcPr>
          <w:p w14:paraId="6DD38723" w14:textId="77777777" w:rsidR="001B6918" w:rsidRPr="003040F7" w:rsidRDefault="001B6918" w:rsidP="00730ECF">
            <w:pPr>
              <w:jc w:val="center"/>
              <w:rPr>
                <w:rFonts w:ascii="Calibri" w:eastAsia="Times New Roman" w:hAnsi="Calibri" w:cs="Calibri"/>
                <w:b/>
                <w:bCs/>
                <w:color w:val="0D0D0D"/>
              </w:rPr>
            </w:pPr>
            <w:r w:rsidRPr="003040F7">
              <w:rPr>
                <w:rFonts w:ascii="Calibri" w:eastAsia="Times New Roman" w:hAnsi="Calibri" w:cs="Calibri"/>
                <w:b/>
                <w:bCs/>
                <w:color w:val="0D0D0D"/>
              </w:rPr>
              <w:t>Reductions</w:t>
            </w:r>
          </w:p>
        </w:tc>
        <w:tc>
          <w:tcPr>
            <w:tcW w:w="1530" w:type="dxa"/>
            <w:tcBorders>
              <w:top w:val="nil"/>
              <w:left w:val="nil"/>
              <w:bottom w:val="single" w:sz="12" w:space="0" w:color="000000"/>
              <w:right w:val="nil"/>
            </w:tcBorders>
            <w:shd w:val="clear" w:color="000000" w:fill="FFFFFF"/>
            <w:vAlign w:val="bottom"/>
            <w:hideMark/>
          </w:tcPr>
          <w:p w14:paraId="66F434A3" w14:textId="77777777" w:rsidR="001B6918" w:rsidRPr="003040F7" w:rsidRDefault="001B6918" w:rsidP="00730ECF">
            <w:pPr>
              <w:jc w:val="center"/>
              <w:rPr>
                <w:rFonts w:ascii="Calibri" w:eastAsia="Times New Roman" w:hAnsi="Calibri" w:cs="Calibri"/>
                <w:b/>
                <w:bCs/>
                <w:color w:val="0D0D0D"/>
              </w:rPr>
            </w:pPr>
            <w:r w:rsidRPr="003040F7">
              <w:rPr>
                <w:rFonts w:ascii="Calibri" w:eastAsia="Times New Roman" w:hAnsi="Calibri" w:cs="Calibri"/>
                <w:b/>
                <w:bCs/>
                <w:color w:val="0D0D0D"/>
              </w:rPr>
              <w:t>Ending</w:t>
            </w:r>
            <w:r w:rsidRPr="003040F7">
              <w:rPr>
                <w:rFonts w:ascii="Calibri" w:eastAsia="Times New Roman" w:hAnsi="Calibri" w:cs="Calibri"/>
                <w:b/>
                <w:bCs/>
                <w:color w:val="0D0D0D"/>
              </w:rPr>
              <w:br/>
              <w:t>Balance</w:t>
            </w:r>
          </w:p>
        </w:tc>
        <w:tc>
          <w:tcPr>
            <w:tcW w:w="1080" w:type="dxa"/>
            <w:tcBorders>
              <w:top w:val="nil"/>
              <w:left w:val="nil"/>
              <w:bottom w:val="single" w:sz="12" w:space="0" w:color="000000"/>
              <w:right w:val="nil"/>
            </w:tcBorders>
            <w:shd w:val="clear" w:color="000000" w:fill="FFFFFF"/>
            <w:vAlign w:val="bottom"/>
            <w:hideMark/>
          </w:tcPr>
          <w:p w14:paraId="419432D9" w14:textId="77777777" w:rsidR="001B6918" w:rsidRPr="003040F7" w:rsidRDefault="001B6918" w:rsidP="00730ECF">
            <w:pPr>
              <w:jc w:val="center"/>
              <w:rPr>
                <w:rFonts w:ascii="Calibri" w:eastAsia="Times New Roman" w:hAnsi="Calibri" w:cs="Calibri"/>
                <w:b/>
                <w:bCs/>
                <w:color w:val="0D0D0D"/>
              </w:rPr>
            </w:pPr>
            <w:r w:rsidRPr="003040F7">
              <w:rPr>
                <w:rFonts w:ascii="Calibri" w:eastAsia="Times New Roman" w:hAnsi="Calibri" w:cs="Calibri"/>
                <w:b/>
                <w:bCs/>
                <w:color w:val="0D0D0D"/>
              </w:rPr>
              <w:t>Current</w:t>
            </w:r>
            <w:r w:rsidRPr="003040F7">
              <w:rPr>
                <w:rFonts w:ascii="Calibri" w:eastAsia="Times New Roman" w:hAnsi="Calibri" w:cs="Calibri"/>
                <w:b/>
                <w:bCs/>
                <w:color w:val="0D0D0D"/>
              </w:rPr>
              <w:br/>
              <w:t>Portion</w:t>
            </w:r>
          </w:p>
        </w:tc>
      </w:tr>
      <w:tr w:rsidR="00CC5698" w:rsidRPr="003040F7" w14:paraId="088F461D" w14:textId="77777777" w:rsidTr="003766F2">
        <w:trPr>
          <w:trHeight w:val="303"/>
          <w:jc w:val="center"/>
        </w:trPr>
        <w:tc>
          <w:tcPr>
            <w:tcW w:w="4500" w:type="dxa"/>
            <w:tcBorders>
              <w:top w:val="nil"/>
              <w:left w:val="nil"/>
              <w:bottom w:val="nil"/>
              <w:right w:val="nil"/>
            </w:tcBorders>
            <w:shd w:val="clear" w:color="000000" w:fill="FFFFFF"/>
            <w:noWrap/>
            <w:vAlign w:val="bottom"/>
            <w:hideMark/>
          </w:tcPr>
          <w:p w14:paraId="6900B57E" w14:textId="77777777" w:rsidR="001B6918" w:rsidRPr="003040F7" w:rsidRDefault="001B6918" w:rsidP="00730ECF">
            <w:pPr>
              <w:rPr>
                <w:rFonts w:ascii="Calibri" w:eastAsia="Times New Roman" w:hAnsi="Calibri" w:cs="Calibri"/>
                <w:color w:val="0D0D0D"/>
              </w:rPr>
            </w:pPr>
            <w:r w:rsidRPr="003040F7">
              <w:rPr>
                <w:rFonts w:ascii="Calibri" w:eastAsia="Times New Roman" w:hAnsi="Calibri" w:cs="Calibri"/>
                <w:color w:val="0D0D0D"/>
              </w:rPr>
              <w:t>Accrued liabilities:</w:t>
            </w:r>
          </w:p>
        </w:tc>
        <w:tc>
          <w:tcPr>
            <w:tcW w:w="1170" w:type="dxa"/>
            <w:tcBorders>
              <w:top w:val="nil"/>
              <w:left w:val="nil"/>
              <w:bottom w:val="nil"/>
              <w:right w:val="nil"/>
            </w:tcBorders>
            <w:shd w:val="clear" w:color="000000" w:fill="FFFFFF"/>
            <w:noWrap/>
            <w:vAlign w:val="bottom"/>
            <w:hideMark/>
          </w:tcPr>
          <w:p w14:paraId="5B3F9809" w14:textId="77777777" w:rsidR="001B6918" w:rsidRPr="003040F7" w:rsidRDefault="001B6918" w:rsidP="003766F2">
            <w:pPr>
              <w:jc w:val="right"/>
              <w:rPr>
                <w:rFonts w:ascii="Calibri" w:eastAsia="Times New Roman" w:hAnsi="Calibri" w:cs="Calibri"/>
                <w:color w:val="0D0D0D"/>
              </w:rPr>
            </w:pPr>
            <w:r w:rsidRPr="003040F7">
              <w:rPr>
                <w:rFonts w:ascii="Calibri" w:eastAsia="Times New Roman" w:hAnsi="Calibri" w:cs="Calibri"/>
                <w:color w:val="0D0D0D"/>
              </w:rPr>
              <w:t> </w:t>
            </w:r>
          </w:p>
        </w:tc>
        <w:tc>
          <w:tcPr>
            <w:tcW w:w="1260" w:type="dxa"/>
            <w:tcBorders>
              <w:top w:val="nil"/>
              <w:left w:val="nil"/>
              <w:bottom w:val="nil"/>
              <w:right w:val="nil"/>
            </w:tcBorders>
            <w:shd w:val="clear" w:color="000000" w:fill="FFFFFF"/>
            <w:noWrap/>
            <w:vAlign w:val="bottom"/>
            <w:hideMark/>
          </w:tcPr>
          <w:p w14:paraId="31B87560" w14:textId="77777777" w:rsidR="001B6918" w:rsidRPr="003040F7" w:rsidRDefault="001B6918" w:rsidP="003766F2">
            <w:pPr>
              <w:jc w:val="right"/>
              <w:rPr>
                <w:rFonts w:ascii="Calibri" w:eastAsia="Times New Roman" w:hAnsi="Calibri" w:cs="Calibri"/>
                <w:color w:val="0D0D0D"/>
              </w:rPr>
            </w:pPr>
            <w:r w:rsidRPr="003040F7">
              <w:rPr>
                <w:rFonts w:ascii="Calibri" w:eastAsia="Times New Roman" w:hAnsi="Calibri" w:cs="Calibri"/>
                <w:color w:val="0D0D0D"/>
              </w:rPr>
              <w:t> </w:t>
            </w:r>
          </w:p>
        </w:tc>
        <w:tc>
          <w:tcPr>
            <w:tcW w:w="1530" w:type="dxa"/>
            <w:tcBorders>
              <w:top w:val="nil"/>
              <w:left w:val="nil"/>
              <w:bottom w:val="nil"/>
              <w:right w:val="nil"/>
            </w:tcBorders>
            <w:shd w:val="clear" w:color="000000" w:fill="FFFFFF"/>
            <w:noWrap/>
            <w:vAlign w:val="bottom"/>
            <w:hideMark/>
          </w:tcPr>
          <w:p w14:paraId="0C7BB121" w14:textId="77777777" w:rsidR="001B6918" w:rsidRPr="003040F7" w:rsidRDefault="001B6918" w:rsidP="003766F2">
            <w:pPr>
              <w:jc w:val="right"/>
              <w:rPr>
                <w:rFonts w:ascii="Calibri" w:eastAsia="Times New Roman" w:hAnsi="Calibri" w:cs="Calibri"/>
                <w:color w:val="0D0D0D"/>
              </w:rPr>
            </w:pPr>
            <w:r w:rsidRPr="003040F7">
              <w:rPr>
                <w:rFonts w:ascii="Calibri" w:eastAsia="Times New Roman" w:hAnsi="Calibri" w:cs="Calibri"/>
                <w:color w:val="0D0D0D"/>
              </w:rPr>
              <w:t> </w:t>
            </w:r>
          </w:p>
        </w:tc>
        <w:tc>
          <w:tcPr>
            <w:tcW w:w="1530" w:type="dxa"/>
            <w:tcBorders>
              <w:top w:val="nil"/>
              <w:left w:val="nil"/>
              <w:bottom w:val="nil"/>
              <w:right w:val="nil"/>
            </w:tcBorders>
            <w:shd w:val="clear" w:color="000000" w:fill="FFFFFF"/>
            <w:noWrap/>
            <w:vAlign w:val="bottom"/>
            <w:hideMark/>
          </w:tcPr>
          <w:p w14:paraId="0046FCE2" w14:textId="77777777" w:rsidR="001B6918" w:rsidRPr="003040F7" w:rsidRDefault="001B6918" w:rsidP="003766F2">
            <w:pPr>
              <w:jc w:val="right"/>
              <w:rPr>
                <w:rFonts w:ascii="Calibri" w:eastAsia="Times New Roman" w:hAnsi="Calibri" w:cs="Calibri"/>
                <w:color w:val="0D0D0D"/>
              </w:rPr>
            </w:pPr>
            <w:r w:rsidRPr="003040F7">
              <w:rPr>
                <w:rFonts w:ascii="Calibri" w:eastAsia="Times New Roman" w:hAnsi="Calibri" w:cs="Calibri"/>
                <w:color w:val="0D0D0D"/>
              </w:rPr>
              <w:t> </w:t>
            </w:r>
          </w:p>
        </w:tc>
        <w:tc>
          <w:tcPr>
            <w:tcW w:w="1080" w:type="dxa"/>
            <w:tcBorders>
              <w:top w:val="nil"/>
              <w:left w:val="nil"/>
              <w:bottom w:val="nil"/>
              <w:right w:val="nil"/>
            </w:tcBorders>
            <w:shd w:val="clear" w:color="000000" w:fill="FFFFFF"/>
            <w:noWrap/>
            <w:vAlign w:val="bottom"/>
            <w:hideMark/>
          </w:tcPr>
          <w:p w14:paraId="3E601EED" w14:textId="77777777" w:rsidR="001B6918" w:rsidRPr="003040F7" w:rsidRDefault="001B6918" w:rsidP="003766F2">
            <w:pPr>
              <w:jc w:val="right"/>
              <w:rPr>
                <w:rFonts w:ascii="Calibri" w:eastAsia="Times New Roman" w:hAnsi="Calibri" w:cs="Calibri"/>
                <w:color w:val="0D0D0D"/>
              </w:rPr>
            </w:pPr>
            <w:r w:rsidRPr="003040F7">
              <w:rPr>
                <w:rFonts w:ascii="Calibri" w:eastAsia="Times New Roman" w:hAnsi="Calibri" w:cs="Calibri"/>
                <w:color w:val="0D0D0D"/>
              </w:rPr>
              <w:t> </w:t>
            </w:r>
          </w:p>
        </w:tc>
      </w:tr>
      <w:tr w:rsidR="00CC5698" w:rsidRPr="003040F7" w14:paraId="09431322" w14:textId="77777777" w:rsidTr="00CC5698">
        <w:trPr>
          <w:trHeight w:val="198"/>
          <w:jc w:val="center"/>
        </w:trPr>
        <w:tc>
          <w:tcPr>
            <w:tcW w:w="4500" w:type="dxa"/>
            <w:tcBorders>
              <w:top w:val="nil"/>
              <w:left w:val="nil"/>
              <w:bottom w:val="nil"/>
              <w:right w:val="nil"/>
            </w:tcBorders>
            <w:shd w:val="clear" w:color="000000" w:fill="FFFFFF"/>
            <w:noWrap/>
            <w:vAlign w:val="bottom"/>
            <w:hideMark/>
          </w:tcPr>
          <w:p w14:paraId="7B818A7E" w14:textId="77777777" w:rsidR="001B6918" w:rsidRPr="003040F7" w:rsidRDefault="001B6918" w:rsidP="00730ECF">
            <w:pPr>
              <w:ind w:firstLineChars="100" w:firstLine="220"/>
              <w:rPr>
                <w:rFonts w:ascii="Calibri" w:eastAsia="Times New Roman" w:hAnsi="Calibri" w:cs="Calibri"/>
                <w:color w:val="0D0D0D"/>
              </w:rPr>
            </w:pPr>
            <w:r w:rsidRPr="003040F7">
              <w:rPr>
                <w:rFonts w:ascii="Calibri" w:eastAsia="Times New Roman" w:hAnsi="Calibri" w:cs="Calibri"/>
                <w:color w:val="0D0D0D"/>
              </w:rPr>
              <w:t xml:space="preserve">Workers' compensation </w:t>
            </w:r>
            <w:r w:rsidRPr="003040F7">
              <w:rPr>
                <w:rFonts w:ascii="Calibri" w:eastAsia="Times New Roman" w:hAnsi="Calibri" w:cs="Calibri"/>
                <w:i/>
                <w:iCs/>
                <w:color w:val="0D0D0D"/>
              </w:rPr>
              <w:t>(Note 11)</w:t>
            </w:r>
          </w:p>
        </w:tc>
        <w:tc>
          <w:tcPr>
            <w:tcW w:w="1170" w:type="dxa"/>
            <w:tcBorders>
              <w:top w:val="nil"/>
              <w:left w:val="nil"/>
              <w:bottom w:val="nil"/>
              <w:right w:val="nil"/>
            </w:tcBorders>
            <w:shd w:val="clear" w:color="000000" w:fill="FFFFFF"/>
            <w:noWrap/>
            <w:vAlign w:val="bottom"/>
            <w:hideMark/>
          </w:tcPr>
          <w:p w14:paraId="33AAFA50" w14:textId="77777777" w:rsidR="001B6918" w:rsidRPr="00235653" w:rsidRDefault="001B6918" w:rsidP="00CC5698">
            <w:pPr>
              <w:jc w:val="right"/>
              <w:rPr>
                <w:rFonts w:ascii="Calibri" w:eastAsia="Times New Roman" w:hAnsi="Calibri" w:cs="Calibri"/>
                <w:color w:val="FF0000"/>
              </w:rPr>
            </w:pPr>
            <w:r w:rsidRPr="003040F7">
              <w:rPr>
                <w:rFonts w:ascii="Calibri" w:eastAsia="Times New Roman" w:hAnsi="Calibri" w:cs="Calibri"/>
              </w:rPr>
              <w:t xml:space="preserve">$ </w:t>
            </w:r>
            <w:r>
              <w:rPr>
                <w:rFonts w:ascii="Calibri" w:eastAsia="Times New Roman" w:hAnsi="Calibri" w:cs="Calibri"/>
              </w:rPr>
              <w:t xml:space="preserve"> </w:t>
            </w:r>
            <w:r w:rsidRPr="003040F7">
              <w:rPr>
                <w:rFonts w:ascii="Calibri" w:eastAsia="Times New Roman" w:hAnsi="Calibri" w:cs="Calibri"/>
              </w:rPr>
              <w:t xml:space="preserve">  1,731</w:t>
            </w:r>
          </w:p>
        </w:tc>
        <w:tc>
          <w:tcPr>
            <w:tcW w:w="1260" w:type="dxa"/>
            <w:tcBorders>
              <w:top w:val="nil"/>
              <w:left w:val="nil"/>
              <w:bottom w:val="nil"/>
              <w:right w:val="nil"/>
            </w:tcBorders>
            <w:shd w:val="clear" w:color="000000" w:fill="FFFFFF"/>
            <w:noWrap/>
            <w:vAlign w:val="bottom"/>
            <w:hideMark/>
          </w:tcPr>
          <w:p w14:paraId="41519053" w14:textId="77777777" w:rsidR="001B6918" w:rsidRPr="00235653" w:rsidRDefault="001B6918" w:rsidP="00CC5698">
            <w:pPr>
              <w:jc w:val="right"/>
              <w:rPr>
                <w:rFonts w:ascii="Calibri" w:eastAsia="Times New Roman" w:hAnsi="Calibri" w:cs="Calibri"/>
                <w:color w:val="FF0000"/>
              </w:rPr>
            </w:pPr>
            <w:r w:rsidRPr="00D90B3D">
              <w:t xml:space="preserve"> $</w:t>
            </w:r>
            <w:r>
              <w:t xml:space="preserve">        </w:t>
            </w:r>
            <w:r w:rsidRPr="00D90B3D">
              <w:t xml:space="preserve">196 </w:t>
            </w:r>
          </w:p>
        </w:tc>
        <w:tc>
          <w:tcPr>
            <w:tcW w:w="1530" w:type="dxa"/>
            <w:tcBorders>
              <w:top w:val="nil"/>
              <w:left w:val="nil"/>
              <w:bottom w:val="nil"/>
              <w:right w:val="nil"/>
            </w:tcBorders>
            <w:shd w:val="clear" w:color="000000" w:fill="FFFFFF"/>
            <w:noWrap/>
            <w:vAlign w:val="bottom"/>
            <w:hideMark/>
          </w:tcPr>
          <w:p w14:paraId="711AA202" w14:textId="77777777" w:rsidR="001B6918" w:rsidRPr="00235653" w:rsidRDefault="001B6918" w:rsidP="00CC5698">
            <w:pPr>
              <w:jc w:val="right"/>
              <w:rPr>
                <w:rFonts w:ascii="Calibri" w:eastAsia="Times New Roman" w:hAnsi="Calibri" w:cs="Calibri"/>
                <w:color w:val="FF0000"/>
              </w:rPr>
            </w:pPr>
            <w:r w:rsidRPr="00D90B3D">
              <w:t xml:space="preserve"> $</w:t>
            </w:r>
            <w:r>
              <w:t xml:space="preserve">       </w:t>
            </w:r>
            <w:r w:rsidRPr="00D90B3D">
              <w:t>(136)</w:t>
            </w:r>
          </w:p>
        </w:tc>
        <w:tc>
          <w:tcPr>
            <w:tcW w:w="1530" w:type="dxa"/>
            <w:tcBorders>
              <w:top w:val="nil"/>
              <w:left w:val="nil"/>
              <w:bottom w:val="nil"/>
              <w:right w:val="nil"/>
            </w:tcBorders>
            <w:shd w:val="clear" w:color="000000" w:fill="FFFFFF"/>
            <w:noWrap/>
            <w:vAlign w:val="bottom"/>
            <w:hideMark/>
          </w:tcPr>
          <w:p w14:paraId="25C6091C" w14:textId="2778AA52" w:rsidR="001B6918" w:rsidRPr="00235653" w:rsidRDefault="001B6918" w:rsidP="00CC5698">
            <w:pPr>
              <w:jc w:val="right"/>
              <w:rPr>
                <w:rFonts w:ascii="Calibri" w:eastAsia="Times New Roman" w:hAnsi="Calibri" w:cs="Calibri"/>
                <w:color w:val="FF0000"/>
              </w:rPr>
            </w:pPr>
            <w:r w:rsidRPr="00D90B3D">
              <w:t>$</w:t>
            </w:r>
            <w:r>
              <w:t xml:space="preserve">    </w:t>
            </w:r>
            <w:r w:rsidRPr="00D90B3D">
              <w:t xml:space="preserve">1,791 </w:t>
            </w:r>
          </w:p>
        </w:tc>
        <w:tc>
          <w:tcPr>
            <w:tcW w:w="1080" w:type="dxa"/>
            <w:tcBorders>
              <w:top w:val="nil"/>
              <w:left w:val="nil"/>
              <w:bottom w:val="nil"/>
              <w:right w:val="nil"/>
            </w:tcBorders>
            <w:shd w:val="clear" w:color="000000" w:fill="FFFFFF"/>
            <w:noWrap/>
            <w:vAlign w:val="bottom"/>
            <w:hideMark/>
          </w:tcPr>
          <w:p w14:paraId="39583DAE" w14:textId="15064234" w:rsidR="001B6918" w:rsidRPr="00235653" w:rsidRDefault="001B6918" w:rsidP="00CC5698">
            <w:pPr>
              <w:jc w:val="right"/>
              <w:rPr>
                <w:rFonts w:ascii="Calibri" w:eastAsia="Times New Roman" w:hAnsi="Calibri" w:cs="Calibri"/>
                <w:color w:val="FF0000"/>
              </w:rPr>
            </w:pPr>
            <w:r w:rsidRPr="00D90B3D">
              <w:t>$</w:t>
            </w:r>
            <w:r>
              <w:t xml:space="preserve">     </w:t>
            </w:r>
            <w:r w:rsidRPr="00D90B3D">
              <w:t xml:space="preserve">260 </w:t>
            </w:r>
          </w:p>
        </w:tc>
      </w:tr>
      <w:tr w:rsidR="00CC5698" w:rsidRPr="003040F7" w14:paraId="099D5636" w14:textId="77777777" w:rsidTr="00CC5698">
        <w:trPr>
          <w:trHeight w:val="108"/>
          <w:jc w:val="center"/>
        </w:trPr>
        <w:tc>
          <w:tcPr>
            <w:tcW w:w="4500" w:type="dxa"/>
            <w:tcBorders>
              <w:top w:val="nil"/>
              <w:left w:val="nil"/>
              <w:bottom w:val="nil"/>
              <w:right w:val="nil"/>
            </w:tcBorders>
            <w:shd w:val="clear" w:color="000000" w:fill="FFFFFF"/>
            <w:noWrap/>
            <w:vAlign w:val="bottom"/>
            <w:hideMark/>
          </w:tcPr>
          <w:p w14:paraId="6D41A770" w14:textId="77777777" w:rsidR="001B6918" w:rsidRPr="003040F7" w:rsidRDefault="001B6918" w:rsidP="00730ECF">
            <w:pPr>
              <w:ind w:firstLineChars="100" w:firstLine="220"/>
              <w:rPr>
                <w:rFonts w:ascii="Calibri" w:eastAsia="Times New Roman" w:hAnsi="Calibri" w:cs="Calibri"/>
                <w:color w:val="0D0D0D"/>
              </w:rPr>
            </w:pPr>
            <w:r w:rsidRPr="003040F7">
              <w:rPr>
                <w:rFonts w:ascii="Calibri" w:eastAsia="Times New Roman" w:hAnsi="Calibri" w:cs="Calibri"/>
                <w:color w:val="0D0D0D"/>
              </w:rPr>
              <w:t xml:space="preserve">Health insurance </w:t>
            </w:r>
            <w:r w:rsidRPr="003040F7">
              <w:rPr>
                <w:rFonts w:ascii="Calibri" w:eastAsia="Times New Roman" w:hAnsi="Calibri" w:cs="Calibri"/>
                <w:i/>
                <w:iCs/>
                <w:color w:val="0D0D0D"/>
              </w:rPr>
              <w:t>(Note 11)</w:t>
            </w:r>
          </w:p>
        </w:tc>
        <w:tc>
          <w:tcPr>
            <w:tcW w:w="1170" w:type="dxa"/>
            <w:tcBorders>
              <w:top w:val="nil"/>
              <w:left w:val="nil"/>
              <w:bottom w:val="nil"/>
              <w:right w:val="nil"/>
            </w:tcBorders>
            <w:noWrap/>
            <w:vAlign w:val="bottom"/>
            <w:hideMark/>
          </w:tcPr>
          <w:p w14:paraId="0AC15459" w14:textId="77777777" w:rsidR="001B6918" w:rsidRPr="00235653" w:rsidRDefault="001B6918" w:rsidP="00CC5698">
            <w:pPr>
              <w:jc w:val="right"/>
              <w:rPr>
                <w:rFonts w:ascii="Calibri" w:eastAsia="Times New Roman" w:hAnsi="Calibri" w:cs="Calibri"/>
                <w:color w:val="FF0000"/>
              </w:rPr>
            </w:pPr>
            <w:r w:rsidRPr="003040F7">
              <w:rPr>
                <w:rFonts w:ascii="Calibri" w:eastAsia="Times New Roman" w:hAnsi="Calibri" w:cs="Calibri"/>
              </w:rPr>
              <w:t xml:space="preserve">6,642 </w:t>
            </w:r>
          </w:p>
        </w:tc>
        <w:tc>
          <w:tcPr>
            <w:tcW w:w="1260" w:type="dxa"/>
            <w:tcBorders>
              <w:top w:val="nil"/>
              <w:left w:val="nil"/>
              <w:bottom w:val="nil"/>
              <w:right w:val="nil"/>
            </w:tcBorders>
            <w:shd w:val="clear" w:color="000000" w:fill="FFFFFF"/>
            <w:noWrap/>
            <w:vAlign w:val="bottom"/>
            <w:hideMark/>
          </w:tcPr>
          <w:p w14:paraId="35CD9A19" w14:textId="77777777" w:rsidR="001B6918" w:rsidRPr="00235653" w:rsidRDefault="001B6918" w:rsidP="00CC5698">
            <w:pPr>
              <w:jc w:val="right"/>
              <w:rPr>
                <w:rFonts w:ascii="Calibri" w:eastAsia="Times New Roman" w:hAnsi="Calibri" w:cs="Calibri"/>
                <w:color w:val="FF0000"/>
              </w:rPr>
            </w:pPr>
            <w:r w:rsidRPr="00A656F3">
              <w:t xml:space="preserve"> 97,395 </w:t>
            </w:r>
          </w:p>
        </w:tc>
        <w:tc>
          <w:tcPr>
            <w:tcW w:w="1530" w:type="dxa"/>
            <w:tcBorders>
              <w:top w:val="nil"/>
              <w:left w:val="nil"/>
              <w:bottom w:val="nil"/>
              <w:right w:val="nil"/>
            </w:tcBorders>
            <w:shd w:val="clear" w:color="000000" w:fill="FFFFFF"/>
            <w:noWrap/>
            <w:vAlign w:val="bottom"/>
            <w:hideMark/>
          </w:tcPr>
          <w:p w14:paraId="2B9D7AAA" w14:textId="77777777" w:rsidR="001B6918" w:rsidRPr="00235653" w:rsidRDefault="001B6918" w:rsidP="00CC5698">
            <w:pPr>
              <w:jc w:val="right"/>
              <w:rPr>
                <w:rFonts w:ascii="Calibri" w:eastAsia="Times New Roman" w:hAnsi="Calibri" w:cs="Calibri"/>
                <w:color w:val="FF0000"/>
              </w:rPr>
            </w:pPr>
            <w:r w:rsidRPr="00A656F3">
              <w:t xml:space="preserve"> (95,334)</w:t>
            </w:r>
          </w:p>
        </w:tc>
        <w:tc>
          <w:tcPr>
            <w:tcW w:w="1530" w:type="dxa"/>
            <w:tcBorders>
              <w:top w:val="nil"/>
              <w:left w:val="nil"/>
              <w:bottom w:val="nil"/>
              <w:right w:val="nil"/>
            </w:tcBorders>
            <w:shd w:val="clear" w:color="000000" w:fill="FFFFFF"/>
            <w:noWrap/>
            <w:vAlign w:val="bottom"/>
            <w:hideMark/>
          </w:tcPr>
          <w:p w14:paraId="53778D78" w14:textId="77777777" w:rsidR="001B6918" w:rsidRPr="00235653" w:rsidRDefault="001B6918" w:rsidP="00CC5698">
            <w:pPr>
              <w:jc w:val="right"/>
              <w:rPr>
                <w:rFonts w:ascii="Calibri" w:eastAsia="Times New Roman" w:hAnsi="Calibri" w:cs="Calibri"/>
                <w:color w:val="FF0000"/>
              </w:rPr>
            </w:pPr>
            <w:r w:rsidRPr="00A656F3">
              <w:t xml:space="preserve"> 8,703 </w:t>
            </w:r>
          </w:p>
        </w:tc>
        <w:tc>
          <w:tcPr>
            <w:tcW w:w="1080" w:type="dxa"/>
            <w:tcBorders>
              <w:top w:val="nil"/>
              <w:left w:val="nil"/>
              <w:bottom w:val="nil"/>
              <w:right w:val="nil"/>
            </w:tcBorders>
            <w:shd w:val="clear" w:color="000000" w:fill="FFFFFF"/>
            <w:noWrap/>
            <w:vAlign w:val="bottom"/>
            <w:hideMark/>
          </w:tcPr>
          <w:p w14:paraId="2C7B19E6" w14:textId="2C266F87" w:rsidR="001B6918" w:rsidRPr="00235653" w:rsidRDefault="001B6918" w:rsidP="00CC5698">
            <w:pPr>
              <w:jc w:val="right"/>
              <w:rPr>
                <w:rFonts w:ascii="Calibri" w:eastAsia="Times New Roman" w:hAnsi="Calibri" w:cs="Calibri"/>
                <w:color w:val="FF0000"/>
              </w:rPr>
            </w:pPr>
            <w:r w:rsidRPr="00A656F3">
              <w:t xml:space="preserve">8,703 </w:t>
            </w:r>
          </w:p>
        </w:tc>
      </w:tr>
      <w:tr w:rsidR="00CC5698" w:rsidRPr="003040F7" w14:paraId="2660C5E0" w14:textId="77777777" w:rsidTr="00CC5698">
        <w:trPr>
          <w:trHeight w:val="80"/>
          <w:jc w:val="center"/>
        </w:trPr>
        <w:tc>
          <w:tcPr>
            <w:tcW w:w="4500" w:type="dxa"/>
            <w:tcBorders>
              <w:top w:val="nil"/>
              <w:left w:val="nil"/>
              <w:bottom w:val="nil"/>
              <w:right w:val="nil"/>
            </w:tcBorders>
            <w:shd w:val="clear" w:color="000000" w:fill="FFFFFF"/>
            <w:noWrap/>
            <w:vAlign w:val="bottom"/>
          </w:tcPr>
          <w:p w14:paraId="648DA49B" w14:textId="3625F844" w:rsidR="00D34F72" w:rsidRPr="003040F7" w:rsidRDefault="00D34F72" w:rsidP="003766F2">
            <w:pPr>
              <w:ind w:firstLineChars="100" w:firstLine="220"/>
              <w:rPr>
                <w:rFonts w:ascii="Calibri" w:eastAsia="Times New Roman" w:hAnsi="Calibri" w:cs="Calibri"/>
                <w:color w:val="0D0D0D"/>
              </w:rPr>
            </w:pPr>
            <w:r>
              <w:rPr>
                <w:rFonts w:ascii="Calibri" w:eastAsia="Times New Roman" w:hAnsi="Calibri" w:cs="Calibri"/>
                <w:color w:val="0D0D0D"/>
              </w:rPr>
              <w:t>Compensated absences</w:t>
            </w:r>
            <w:r w:rsidR="00A0381C">
              <w:rPr>
                <w:rFonts w:ascii="Calibri" w:eastAsia="Times New Roman" w:hAnsi="Calibri" w:cs="Calibri"/>
                <w:color w:val="0D0D0D"/>
              </w:rPr>
              <w:t>*</w:t>
            </w:r>
          </w:p>
        </w:tc>
        <w:tc>
          <w:tcPr>
            <w:tcW w:w="1170" w:type="dxa"/>
            <w:tcBorders>
              <w:top w:val="nil"/>
              <w:left w:val="nil"/>
              <w:bottom w:val="nil"/>
              <w:right w:val="nil"/>
            </w:tcBorders>
            <w:shd w:val="clear" w:color="000000" w:fill="FFFFFF"/>
            <w:noWrap/>
            <w:vAlign w:val="bottom"/>
          </w:tcPr>
          <w:p w14:paraId="28F0A839" w14:textId="3CC079AC" w:rsidR="00D34F72" w:rsidRPr="00FF095B" w:rsidRDefault="00D34F72" w:rsidP="00CC5698">
            <w:pPr>
              <w:jc w:val="right"/>
            </w:pPr>
            <w:r w:rsidRPr="000F3107">
              <w:t xml:space="preserve"> 26,121 </w:t>
            </w:r>
          </w:p>
        </w:tc>
        <w:tc>
          <w:tcPr>
            <w:tcW w:w="1260" w:type="dxa"/>
            <w:tcBorders>
              <w:top w:val="nil"/>
              <w:left w:val="nil"/>
              <w:bottom w:val="nil"/>
              <w:right w:val="nil"/>
            </w:tcBorders>
            <w:shd w:val="clear" w:color="000000" w:fill="FFFFFF"/>
            <w:noWrap/>
            <w:vAlign w:val="bottom"/>
          </w:tcPr>
          <w:p w14:paraId="33726B59" w14:textId="45921721" w:rsidR="00D34F72" w:rsidRPr="00FF095B" w:rsidRDefault="00D34F72" w:rsidP="00CC5698">
            <w:pPr>
              <w:jc w:val="right"/>
            </w:pPr>
            <w:r w:rsidRPr="000F3107">
              <w:t xml:space="preserve"> 1,354 </w:t>
            </w:r>
          </w:p>
        </w:tc>
        <w:tc>
          <w:tcPr>
            <w:tcW w:w="1530" w:type="dxa"/>
            <w:tcBorders>
              <w:top w:val="nil"/>
              <w:left w:val="nil"/>
              <w:bottom w:val="nil"/>
              <w:right w:val="nil"/>
            </w:tcBorders>
            <w:shd w:val="clear" w:color="000000" w:fill="FFFFFF"/>
            <w:noWrap/>
            <w:vAlign w:val="bottom"/>
          </w:tcPr>
          <w:p w14:paraId="478D0A9A" w14:textId="379CCE63" w:rsidR="00D34F72" w:rsidRPr="00FE340C" w:rsidRDefault="00D34F72" w:rsidP="00CC5698">
            <w:pPr>
              <w:jc w:val="right"/>
            </w:pPr>
            <w:r w:rsidRPr="000F3107">
              <w:t xml:space="preserve"> - </w:t>
            </w:r>
          </w:p>
        </w:tc>
        <w:tc>
          <w:tcPr>
            <w:tcW w:w="1530" w:type="dxa"/>
            <w:tcBorders>
              <w:top w:val="nil"/>
              <w:left w:val="nil"/>
              <w:bottom w:val="nil"/>
              <w:right w:val="nil"/>
            </w:tcBorders>
            <w:shd w:val="clear" w:color="000000" w:fill="FFFFFF"/>
            <w:noWrap/>
            <w:vAlign w:val="bottom"/>
          </w:tcPr>
          <w:p w14:paraId="08DC848C" w14:textId="30AA1E89" w:rsidR="00D34F72" w:rsidRPr="00FF095B" w:rsidRDefault="00D34F72" w:rsidP="00CC5698">
            <w:pPr>
              <w:jc w:val="right"/>
            </w:pPr>
            <w:r w:rsidRPr="000F3107">
              <w:t xml:space="preserve"> 27,475 </w:t>
            </w:r>
          </w:p>
        </w:tc>
        <w:tc>
          <w:tcPr>
            <w:tcW w:w="1080" w:type="dxa"/>
            <w:tcBorders>
              <w:top w:val="nil"/>
              <w:left w:val="nil"/>
              <w:bottom w:val="nil"/>
              <w:right w:val="nil"/>
            </w:tcBorders>
            <w:shd w:val="clear" w:color="000000" w:fill="FFFFFF"/>
            <w:noWrap/>
            <w:vAlign w:val="bottom"/>
          </w:tcPr>
          <w:p w14:paraId="0ED5B718" w14:textId="59914F14" w:rsidR="00D34F72" w:rsidRPr="00FE340C" w:rsidRDefault="00D34F72" w:rsidP="00CC5698">
            <w:pPr>
              <w:jc w:val="right"/>
            </w:pPr>
            <w:r w:rsidRPr="000F3107">
              <w:t xml:space="preserve">2,792 </w:t>
            </w:r>
          </w:p>
        </w:tc>
      </w:tr>
      <w:tr w:rsidR="00CC5698" w:rsidRPr="003040F7" w14:paraId="4759AED2" w14:textId="77777777" w:rsidTr="00CC5698">
        <w:trPr>
          <w:trHeight w:val="80"/>
          <w:jc w:val="center"/>
        </w:trPr>
        <w:tc>
          <w:tcPr>
            <w:tcW w:w="4500" w:type="dxa"/>
            <w:tcBorders>
              <w:top w:val="nil"/>
              <w:left w:val="nil"/>
              <w:bottom w:val="nil"/>
              <w:right w:val="nil"/>
            </w:tcBorders>
            <w:shd w:val="clear" w:color="000000" w:fill="FFFFFF"/>
            <w:noWrap/>
            <w:vAlign w:val="bottom"/>
            <w:hideMark/>
          </w:tcPr>
          <w:p w14:paraId="74011E4B" w14:textId="77777777" w:rsidR="00D34F72" w:rsidRPr="003040F7" w:rsidRDefault="00D34F72" w:rsidP="00D34F72">
            <w:pPr>
              <w:ind w:firstLineChars="100" w:firstLine="220"/>
              <w:jc w:val="right"/>
              <w:rPr>
                <w:rFonts w:ascii="Calibri" w:eastAsia="Times New Roman" w:hAnsi="Calibri" w:cs="Calibri"/>
                <w:color w:val="0D0D0D"/>
              </w:rPr>
            </w:pPr>
            <w:r w:rsidRPr="003040F7">
              <w:rPr>
                <w:rFonts w:ascii="Calibri" w:eastAsia="Times New Roman" w:hAnsi="Calibri" w:cs="Calibri"/>
                <w:color w:val="0D0D0D"/>
              </w:rPr>
              <w:t xml:space="preserve">Other employee benefit programs </w:t>
            </w:r>
            <w:r w:rsidRPr="003040F7">
              <w:rPr>
                <w:rFonts w:ascii="Calibri" w:eastAsia="Times New Roman" w:hAnsi="Calibri" w:cs="Calibri"/>
                <w:i/>
                <w:iCs/>
                <w:color w:val="0D0D0D"/>
              </w:rPr>
              <w:t>(Note 13)</w:t>
            </w:r>
          </w:p>
        </w:tc>
        <w:tc>
          <w:tcPr>
            <w:tcW w:w="1170" w:type="dxa"/>
            <w:tcBorders>
              <w:top w:val="nil"/>
              <w:left w:val="nil"/>
              <w:bottom w:val="nil"/>
              <w:right w:val="nil"/>
            </w:tcBorders>
            <w:shd w:val="clear" w:color="000000" w:fill="FFFFFF"/>
            <w:noWrap/>
            <w:vAlign w:val="bottom"/>
            <w:hideMark/>
          </w:tcPr>
          <w:p w14:paraId="69F42ACA" w14:textId="3693A595" w:rsidR="00D34F72" w:rsidRPr="00235653" w:rsidRDefault="00D34F72" w:rsidP="00CC5698">
            <w:pPr>
              <w:jc w:val="right"/>
              <w:rPr>
                <w:rFonts w:ascii="Calibri" w:eastAsia="Times New Roman" w:hAnsi="Calibri" w:cs="Calibri"/>
                <w:color w:val="FF0000"/>
              </w:rPr>
            </w:pPr>
            <w:r w:rsidRPr="000F3107">
              <w:t xml:space="preserve"> 37,780 </w:t>
            </w:r>
          </w:p>
        </w:tc>
        <w:tc>
          <w:tcPr>
            <w:tcW w:w="1260" w:type="dxa"/>
            <w:tcBorders>
              <w:top w:val="nil"/>
              <w:left w:val="nil"/>
              <w:bottom w:val="nil"/>
              <w:right w:val="nil"/>
            </w:tcBorders>
            <w:shd w:val="clear" w:color="000000" w:fill="FFFFFF"/>
            <w:noWrap/>
            <w:vAlign w:val="bottom"/>
            <w:hideMark/>
          </w:tcPr>
          <w:p w14:paraId="571A77D9" w14:textId="59440D82" w:rsidR="00D34F72" w:rsidRPr="00235653" w:rsidRDefault="00D34F72" w:rsidP="00CC5698">
            <w:pPr>
              <w:jc w:val="right"/>
              <w:rPr>
                <w:rFonts w:ascii="Calibri" w:eastAsia="Times New Roman" w:hAnsi="Calibri" w:cs="Calibri"/>
                <w:color w:val="FF0000"/>
              </w:rPr>
            </w:pPr>
            <w:r w:rsidRPr="000F3107">
              <w:t xml:space="preserve"> 56,607 </w:t>
            </w:r>
          </w:p>
        </w:tc>
        <w:tc>
          <w:tcPr>
            <w:tcW w:w="1530" w:type="dxa"/>
            <w:tcBorders>
              <w:top w:val="nil"/>
              <w:left w:val="nil"/>
              <w:bottom w:val="nil"/>
              <w:right w:val="nil"/>
            </w:tcBorders>
            <w:shd w:val="clear" w:color="000000" w:fill="FFFFFF"/>
            <w:noWrap/>
            <w:vAlign w:val="bottom"/>
            <w:hideMark/>
          </w:tcPr>
          <w:p w14:paraId="2D74B253" w14:textId="22C71FE7" w:rsidR="00D34F72" w:rsidRPr="00235653" w:rsidRDefault="00D34F72" w:rsidP="00CC5698">
            <w:pPr>
              <w:jc w:val="right"/>
              <w:rPr>
                <w:rFonts w:ascii="Calibri" w:eastAsia="Times New Roman" w:hAnsi="Calibri" w:cs="Calibri"/>
                <w:color w:val="FF0000"/>
              </w:rPr>
            </w:pPr>
            <w:r w:rsidRPr="000F3107">
              <w:t xml:space="preserve"> (63,854)</w:t>
            </w:r>
          </w:p>
        </w:tc>
        <w:tc>
          <w:tcPr>
            <w:tcW w:w="1530" w:type="dxa"/>
            <w:tcBorders>
              <w:top w:val="nil"/>
              <w:left w:val="nil"/>
              <w:bottom w:val="nil"/>
              <w:right w:val="nil"/>
            </w:tcBorders>
            <w:shd w:val="clear" w:color="000000" w:fill="FFFFFF"/>
            <w:noWrap/>
            <w:vAlign w:val="bottom"/>
            <w:hideMark/>
          </w:tcPr>
          <w:p w14:paraId="70E9E29B" w14:textId="4C1F9511" w:rsidR="00D34F72" w:rsidRPr="00235653" w:rsidRDefault="00D34F72" w:rsidP="00CC5698">
            <w:pPr>
              <w:jc w:val="right"/>
              <w:rPr>
                <w:rFonts w:ascii="Calibri" w:eastAsia="Times New Roman" w:hAnsi="Calibri" w:cs="Calibri"/>
                <w:color w:val="FF0000"/>
              </w:rPr>
            </w:pPr>
            <w:r w:rsidRPr="000F3107">
              <w:t xml:space="preserve"> 30,533 </w:t>
            </w:r>
          </w:p>
        </w:tc>
        <w:tc>
          <w:tcPr>
            <w:tcW w:w="1080" w:type="dxa"/>
            <w:tcBorders>
              <w:top w:val="nil"/>
              <w:left w:val="nil"/>
              <w:bottom w:val="nil"/>
              <w:right w:val="nil"/>
            </w:tcBorders>
            <w:shd w:val="clear" w:color="000000" w:fill="FFFFFF"/>
            <w:noWrap/>
            <w:vAlign w:val="bottom"/>
            <w:hideMark/>
          </w:tcPr>
          <w:p w14:paraId="57A746F3" w14:textId="6D9E6A4A" w:rsidR="00D34F72" w:rsidRPr="00235653" w:rsidRDefault="00D34F72" w:rsidP="00CC5698">
            <w:pPr>
              <w:jc w:val="right"/>
              <w:rPr>
                <w:rFonts w:ascii="Calibri" w:eastAsia="Times New Roman" w:hAnsi="Calibri" w:cs="Calibri"/>
                <w:color w:val="FF0000"/>
              </w:rPr>
            </w:pPr>
            <w:r w:rsidRPr="000F3107">
              <w:t xml:space="preserve">5,310 </w:t>
            </w:r>
          </w:p>
        </w:tc>
      </w:tr>
      <w:tr w:rsidR="00CC5698" w:rsidRPr="003040F7" w14:paraId="46DA9D03" w14:textId="77777777" w:rsidTr="00CC5698">
        <w:trPr>
          <w:trHeight w:val="117"/>
          <w:jc w:val="center"/>
        </w:trPr>
        <w:tc>
          <w:tcPr>
            <w:tcW w:w="4500" w:type="dxa"/>
            <w:tcBorders>
              <w:top w:val="nil"/>
              <w:left w:val="nil"/>
              <w:bottom w:val="nil"/>
              <w:right w:val="nil"/>
            </w:tcBorders>
            <w:shd w:val="clear" w:color="000000" w:fill="FFFFFF"/>
            <w:noWrap/>
            <w:vAlign w:val="bottom"/>
            <w:hideMark/>
          </w:tcPr>
          <w:p w14:paraId="56948042" w14:textId="77777777" w:rsidR="00D34F72" w:rsidRPr="003040F7" w:rsidRDefault="00D34F72" w:rsidP="00D34F72">
            <w:pPr>
              <w:ind w:firstLineChars="100" w:firstLine="220"/>
              <w:rPr>
                <w:rFonts w:ascii="Calibri" w:eastAsia="Times New Roman" w:hAnsi="Calibri" w:cs="Calibri"/>
                <w:color w:val="0D0D0D"/>
              </w:rPr>
            </w:pPr>
            <w:r w:rsidRPr="003040F7">
              <w:rPr>
                <w:rFonts w:ascii="Calibri" w:eastAsia="Times New Roman" w:hAnsi="Calibri" w:cs="Calibri"/>
                <w:color w:val="0D0D0D"/>
              </w:rPr>
              <w:t>Other</w:t>
            </w:r>
          </w:p>
        </w:tc>
        <w:tc>
          <w:tcPr>
            <w:tcW w:w="1170" w:type="dxa"/>
            <w:tcBorders>
              <w:top w:val="nil"/>
              <w:left w:val="nil"/>
              <w:bottom w:val="nil"/>
              <w:right w:val="nil"/>
            </w:tcBorders>
            <w:noWrap/>
            <w:vAlign w:val="bottom"/>
            <w:hideMark/>
          </w:tcPr>
          <w:p w14:paraId="1A09593E" w14:textId="208D61F2" w:rsidR="00D34F72" w:rsidRPr="00235653" w:rsidRDefault="00D34F72" w:rsidP="00CC5698">
            <w:pPr>
              <w:jc w:val="right"/>
              <w:rPr>
                <w:rFonts w:ascii="Calibri" w:eastAsia="Times New Roman" w:hAnsi="Calibri" w:cs="Calibri"/>
                <w:color w:val="FF0000"/>
              </w:rPr>
            </w:pPr>
            <w:r w:rsidRPr="000F3107">
              <w:t xml:space="preserve"> 9,154 </w:t>
            </w:r>
          </w:p>
        </w:tc>
        <w:tc>
          <w:tcPr>
            <w:tcW w:w="1260" w:type="dxa"/>
            <w:tcBorders>
              <w:top w:val="nil"/>
              <w:left w:val="nil"/>
              <w:bottom w:val="nil"/>
              <w:right w:val="nil"/>
            </w:tcBorders>
            <w:shd w:val="clear" w:color="000000" w:fill="FFFFFF"/>
            <w:noWrap/>
            <w:vAlign w:val="bottom"/>
            <w:hideMark/>
          </w:tcPr>
          <w:p w14:paraId="73B15D43" w14:textId="6AF357C1" w:rsidR="00D34F72" w:rsidRPr="00235653" w:rsidRDefault="00D34F72" w:rsidP="00CC5698">
            <w:pPr>
              <w:jc w:val="right"/>
              <w:rPr>
                <w:rFonts w:ascii="Calibri" w:eastAsia="Times New Roman" w:hAnsi="Calibri" w:cs="Calibri"/>
                <w:color w:val="FF0000"/>
              </w:rPr>
            </w:pPr>
            <w:r w:rsidRPr="000F3107">
              <w:t xml:space="preserve"> 10,183 </w:t>
            </w:r>
          </w:p>
        </w:tc>
        <w:tc>
          <w:tcPr>
            <w:tcW w:w="1530" w:type="dxa"/>
            <w:tcBorders>
              <w:top w:val="nil"/>
              <w:left w:val="nil"/>
              <w:bottom w:val="nil"/>
              <w:right w:val="nil"/>
            </w:tcBorders>
            <w:shd w:val="clear" w:color="000000" w:fill="FFFFFF"/>
            <w:noWrap/>
            <w:vAlign w:val="bottom"/>
            <w:hideMark/>
          </w:tcPr>
          <w:p w14:paraId="7653C6F4" w14:textId="147A74F6" w:rsidR="00D34F72" w:rsidRPr="00235653" w:rsidRDefault="00D34F72" w:rsidP="00CC5698">
            <w:pPr>
              <w:jc w:val="right"/>
              <w:rPr>
                <w:rFonts w:ascii="Calibri" w:eastAsia="Times New Roman" w:hAnsi="Calibri" w:cs="Calibri"/>
                <w:color w:val="FF0000"/>
              </w:rPr>
            </w:pPr>
            <w:r w:rsidRPr="000F3107">
              <w:t xml:space="preserve"> (9,154)</w:t>
            </w:r>
          </w:p>
        </w:tc>
        <w:tc>
          <w:tcPr>
            <w:tcW w:w="1530" w:type="dxa"/>
            <w:tcBorders>
              <w:top w:val="nil"/>
              <w:left w:val="nil"/>
              <w:bottom w:val="nil"/>
              <w:right w:val="nil"/>
            </w:tcBorders>
            <w:shd w:val="clear" w:color="000000" w:fill="FFFFFF"/>
            <w:noWrap/>
            <w:vAlign w:val="bottom"/>
            <w:hideMark/>
          </w:tcPr>
          <w:p w14:paraId="070462F9" w14:textId="38E5BFEF" w:rsidR="00D34F72" w:rsidRPr="00235653" w:rsidRDefault="00D34F72" w:rsidP="00CC5698">
            <w:pPr>
              <w:jc w:val="right"/>
              <w:rPr>
                <w:rFonts w:ascii="Calibri" w:eastAsia="Times New Roman" w:hAnsi="Calibri" w:cs="Calibri"/>
                <w:color w:val="FF0000"/>
              </w:rPr>
            </w:pPr>
            <w:r w:rsidRPr="000F3107">
              <w:t xml:space="preserve"> 10,183 </w:t>
            </w:r>
          </w:p>
        </w:tc>
        <w:tc>
          <w:tcPr>
            <w:tcW w:w="1080" w:type="dxa"/>
            <w:tcBorders>
              <w:top w:val="nil"/>
              <w:left w:val="nil"/>
              <w:bottom w:val="nil"/>
              <w:right w:val="nil"/>
            </w:tcBorders>
            <w:shd w:val="clear" w:color="000000" w:fill="FFFFFF"/>
            <w:noWrap/>
            <w:vAlign w:val="bottom"/>
            <w:hideMark/>
          </w:tcPr>
          <w:p w14:paraId="4E55A653" w14:textId="7E903A48" w:rsidR="00D34F72" w:rsidRPr="00235653" w:rsidRDefault="00D34F72" w:rsidP="00CC5698">
            <w:pPr>
              <w:jc w:val="right"/>
              <w:rPr>
                <w:rFonts w:ascii="Calibri" w:eastAsia="Times New Roman" w:hAnsi="Calibri" w:cs="Calibri"/>
                <w:color w:val="FF0000"/>
              </w:rPr>
            </w:pPr>
            <w:r w:rsidRPr="000F3107">
              <w:t xml:space="preserve">10,183 </w:t>
            </w:r>
          </w:p>
        </w:tc>
      </w:tr>
      <w:tr w:rsidR="00CC5698" w:rsidRPr="003040F7" w14:paraId="70E328F5" w14:textId="77777777" w:rsidTr="003766F2">
        <w:trPr>
          <w:trHeight w:val="70"/>
          <w:jc w:val="center"/>
        </w:trPr>
        <w:tc>
          <w:tcPr>
            <w:tcW w:w="4500" w:type="dxa"/>
            <w:tcBorders>
              <w:top w:val="single" w:sz="4" w:space="0" w:color="000000"/>
              <w:left w:val="nil"/>
              <w:bottom w:val="double" w:sz="6" w:space="0" w:color="000000"/>
              <w:right w:val="nil"/>
            </w:tcBorders>
            <w:shd w:val="clear" w:color="000000" w:fill="FFFFFF"/>
            <w:noWrap/>
            <w:vAlign w:val="bottom"/>
            <w:hideMark/>
          </w:tcPr>
          <w:p w14:paraId="4BC65448" w14:textId="77777777" w:rsidR="001B6918" w:rsidRPr="003040F7" w:rsidRDefault="001B6918" w:rsidP="00730ECF">
            <w:pPr>
              <w:ind w:firstLineChars="100" w:firstLine="220"/>
              <w:rPr>
                <w:rFonts w:ascii="Calibri" w:eastAsia="Times New Roman" w:hAnsi="Calibri" w:cs="Calibri"/>
                <w:color w:val="0D0D0D"/>
              </w:rPr>
            </w:pPr>
            <w:r w:rsidRPr="003040F7">
              <w:rPr>
                <w:rFonts w:ascii="Calibri" w:eastAsia="Times New Roman" w:hAnsi="Calibri" w:cs="Calibri"/>
                <w:color w:val="0D0D0D"/>
              </w:rPr>
              <w:t>Total accrued liabilities</w:t>
            </w:r>
          </w:p>
        </w:tc>
        <w:tc>
          <w:tcPr>
            <w:tcW w:w="1170" w:type="dxa"/>
            <w:tcBorders>
              <w:top w:val="single" w:sz="4" w:space="0" w:color="000000"/>
              <w:left w:val="nil"/>
              <w:bottom w:val="double" w:sz="6" w:space="0" w:color="000000"/>
              <w:right w:val="nil"/>
            </w:tcBorders>
            <w:shd w:val="clear" w:color="000000" w:fill="FFFFFF"/>
            <w:noWrap/>
            <w:vAlign w:val="bottom"/>
            <w:hideMark/>
          </w:tcPr>
          <w:p w14:paraId="129C1FFB" w14:textId="77777777" w:rsidR="001B6918" w:rsidRPr="00235653" w:rsidRDefault="001B6918" w:rsidP="00CC5698">
            <w:pPr>
              <w:jc w:val="right"/>
              <w:rPr>
                <w:rFonts w:ascii="Calibri" w:eastAsia="Times New Roman" w:hAnsi="Calibri" w:cs="Calibri"/>
                <w:color w:val="FF0000"/>
              </w:rPr>
            </w:pPr>
            <w:r w:rsidRPr="00F6593F">
              <w:rPr>
                <w:rFonts w:ascii="Calibri" w:eastAsia="Times New Roman" w:hAnsi="Calibri" w:cs="Calibri"/>
                <w:color w:val="0D0D0D"/>
              </w:rPr>
              <w:t>$</w:t>
            </w:r>
            <w:r>
              <w:rPr>
                <w:rFonts w:ascii="Calibri" w:eastAsia="Times New Roman" w:hAnsi="Calibri" w:cs="Calibri"/>
                <w:color w:val="0D0D0D"/>
              </w:rPr>
              <w:t xml:space="preserve">  </w:t>
            </w:r>
            <w:r w:rsidRPr="00F6593F">
              <w:rPr>
                <w:rFonts w:ascii="Calibri" w:eastAsia="Times New Roman" w:hAnsi="Calibri" w:cs="Calibri"/>
                <w:color w:val="0D0D0D"/>
              </w:rPr>
              <w:t>81,428</w:t>
            </w:r>
          </w:p>
        </w:tc>
        <w:tc>
          <w:tcPr>
            <w:tcW w:w="1260" w:type="dxa"/>
            <w:tcBorders>
              <w:top w:val="single" w:sz="4" w:space="0" w:color="000000"/>
              <w:left w:val="nil"/>
              <w:bottom w:val="double" w:sz="6" w:space="0" w:color="000000"/>
              <w:right w:val="nil"/>
            </w:tcBorders>
            <w:shd w:val="clear" w:color="000000" w:fill="FFFFFF"/>
            <w:noWrap/>
            <w:vAlign w:val="bottom"/>
            <w:hideMark/>
          </w:tcPr>
          <w:p w14:paraId="0A83A126" w14:textId="7E18E1D3" w:rsidR="001B6918" w:rsidRPr="0065776F" w:rsidRDefault="001B6918" w:rsidP="003766F2">
            <w:pPr>
              <w:tabs>
                <w:tab w:val="left" w:pos="520"/>
              </w:tabs>
              <w:jc w:val="right"/>
              <w:rPr>
                <w:rFonts w:ascii="Calibri" w:eastAsia="Times New Roman" w:hAnsi="Calibri" w:cs="Calibri"/>
              </w:rPr>
            </w:pPr>
            <w:r w:rsidRPr="0065776F">
              <w:rPr>
                <w:rFonts w:ascii="Calibri" w:eastAsia="Times New Roman" w:hAnsi="Calibri" w:cs="Calibri"/>
              </w:rPr>
              <w:t>$</w:t>
            </w:r>
            <w:r w:rsidR="00D34F72">
              <w:rPr>
                <w:rFonts w:ascii="Calibri" w:eastAsia="Times New Roman" w:hAnsi="Calibri" w:cs="Calibri"/>
              </w:rPr>
              <w:t>165,735</w:t>
            </w:r>
          </w:p>
        </w:tc>
        <w:tc>
          <w:tcPr>
            <w:tcW w:w="1530" w:type="dxa"/>
            <w:tcBorders>
              <w:top w:val="single" w:sz="4" w:space="0" w:color="000000"/>
              <w:left w:val="nil"/>
              <w:bottom w:val="double" w:sz="6" w:space="0" w:color="000000"/>
              <w:right w:val="nil"/>
            </w:tcBorders>
            <w:shd w:val="clear" w:color="000000" w:fill="FFFFFF"/>
            <w:noWrap/>
            <w:vAlign w:val="bottom"/>
            <w:hideMark/>
          </w:tcPr>
          <w:p w14:paraId="76C9F4C9" w14:textId="58C1AF33" w:rsidR="001B6918" w:rsidRPr="0065776F" w:rsidRDefault="001B6918" w:rsidP="00CC5698">
            <w:pPr>
              <w:jc w:val="right"/>
              <w:rPr>
                <w:rFonts w:ascii="Calibri" w:eastAsia="Times New Roman" w:hAnsi="Calibri" w:cs="Calibri"/>
              </w:rPr>
            </w:pPr>
            <w:r w:rsidRPr="0065776F">
              <w:rPr>
                <w:rFonts w:ascii="Calibri" w:eastAsia="Times New Roman" w:hAnsi="Calibri" w:cs="Calibri"/>
              </w:rPr>
              <w:t>$(</w:t>
            </w:r>
            <w:r w:rsidR="00D34F72" w:rsidRPr="0065776F">
              <w:rPr>
                <w:rFonts w:ascii="Calibri" w:eastAsia="Times New Roman" w:hAnsi="Calibri" w:cs="Calibri"/>
              </w:rPr>
              <w:t>1</w:t>
            </w:r>
            <w:r w:rsidR="00D34F72">
              <w:rPr>
                <w:rFonts w:ascii="Calibri" w:eastAsia="Times New Roman" w:hAnsi="Calibri" w:cs="Calibri"/>
              </w:rPr>
              <w:t>68</w:t>
            </w:r>
            <w:r w:rsidRPr="0065776F">
              <w:rPr>
                <w:rFonts w:ascii="Calibri" w:eastAsia="Times New Roman" w:hAnsi="Calibri" w:cs="Calibri"/>
              </w:rPr>
              <w:t>,</w:t>
            </w:r>
            <w:r w:rsidR="00D34F72">
              <w:rPr>
                <w:rFonts w:ascii="Calibri" w:eastAsia="Times New Roman" w:hAnsi="Calibri" w:cs="Calibri"/>
              </w:rPr>
              <w:t>478</w:t>
            </w:r>
            <w:r w:rsidRPr="0065776F">
              <w:rPr>
                <w:rFonts w:ascii="Calibri" w:eastAsia="Times New Roman" w:hAnsi="Calibri" w:cs="Calibri"/>
              </w:rPr>
              <w:t>)</w:t>
            </w:r>
          </w:p>
        </w:tc>
        <w:tc>
          <w:tcPr>
            <w:tcW w:w="1530" w:type="dxa"/>
            <w:tcBorders>
              <w:top w:val="single" w:sz="4" w:space="0" w:color="000000"/>
              <w:left w:val="nil"/>
              <w:bottom w:val="double" w:sz="6" w:space="0" w:color="000000"/>
              <w:right w:val="nil"/>
            </w:tcBorders>
            <w:shd w:val="clear" w:color="000000" w:fill="FFFFFF"/>
            <w:noWrap/>
            <w:vAlign w:val="bottom"/>
            <w:hideMark/>
          </w:tcPr>
          <w:p w14:paraId="3CC0B5E3" w14:textId="77777777" w:rsidR="001B6918" w:rsidRPr="0065776F" w:rsidRDefault="001B6918" w:rsidP="00CC5698">
            <w:pPr>
              <w:jc w:val="right"/>
              <w:rPr>
                <w:rFonts w:ascii="Calibri" w:eastAsia="Times New Roman" w:hAnsi="Calibri" w:cs="Calibri"/>
              </w:rPr>
            </w:pPr>
            <w:r w:rsidRPr="0065776F">
              <w:rPr>
                <w:rFonts w:ascii="Calibri" w:eastAsia="Times New Roman" w:hAnsi="Calibri" w:cs="Calibri"/>
              </w:rPr>
              <w:t>$</w:t>
            </w:r>
            <w:r>
              <w:rPr>
                <w:rFonts w:ascii="Calibri" w:eastAsia="Times New Roman" w:hAnsi="Calibri" w:cs="Calibri"/>
              </w:rPr>
              <w:t xml:space="preserve">  </w:t>
            </w:r>
            <w:r w:rsidRPr="0065776F">
              <w:rPr>
                <w:rFonts w:ascii="Calibri" w:eastAsia="Times New Roman" w:hAnsi="Calibri" w:cs="Calibri"/>
              </w:rPr>
              <w:t>7</w:t>
            </w:r>
            <w:r>
              <w:rPr>
                <w:rFonts w:ascii="Calibri" w:eastAsia="Times New Roman" w:hAnsi="Calibri" w:cs="Calibri"/>
              </w:rPr>
              <w:t>8</w:t>
            </w:r>
            <w:r w:rsidRPr="0065776F">
              <w:rPr>
                <w:rFonts w:ascii="Calibri" w:eastAsia="Times New Roman" w:hAnsi="Calibri" w:cs="Calibri"/>
              </w:rPr>
              <w:t>,</w:t>
            </w:r>
            <w:r>
              <w:rPr>
                <w:rFonts w:ascii="Calibri" w:eastAsia="Times New Roman" w:hAnsi="Calibri" w:cs="Calibri"/>
              </w:rPr>
              <w:t>685</w:t>
            </w:r>
          </w:p>
        </w:tc>
        <w:tc>
          <w:tcPr>
            <w:tcW w:w="1080" w:type="dxa"/>
            <w:tcBorders>
              <w:top w:val="single" w:sz="4" w:space="0" w:color="000000"/>
              <w:left w:val="nil"/>
              <w:bottom w:val="double" w:sz="6" w:space="0" w:color="000000"/>
              <w:right w:val="nil"/>
            </w:tcBorders>
            <w:shd w:val="clear" w:color="000000" w:fill="FFFFFF"/>
            <w:noWrap/>
            <w:vAlign w:val="bottom"/>
            <w:hideMark/>
          </w:tcPr>
          <w:p w14:paraId="480E8A79" w14:textId="196B2813" w:rsidR="001B6918" w:rsidRPr="0065776F" w:rsidRDefault="001B6918" w:rsidP="00CC5698">
            <w:pPr>
              <w:jc w:val="right"/>
              <w:rPr>
                <w:rFonts w:ascii="Calibri" w:eastAsia="Times New Roman" w:hAnsi="Calibri" w:cs="Calibri"/>
              </w:rPr>
            </w:pPr>
            <w:r w:rsidRPr="0065776F">
              <w:rPr>
                <w:rFonts w:ascii="Calibri" w:eastAsia="Times New Roman" w:hAnsi="Calibri" w:cs="Calibri"/>
              </w:rPr>
              <w:t>$</w:t>
            </w:r>
            <w:r>
              <w:rPr>
                <w:rFonts w:ascii="Calibri" w:eastAsia="Times New Roman" w:hAnsi="Calibri" w:cs="Calibri"/>
              </w:rPr>
              <w:t>27,248</w:t>
            </w:r>
          </w:p>
        </w:tc>
      </w:tr>
      <w:tr w:rsidR="00CC5698" w:rsidRPr="003040F7" w14:paraId="3D497B97" w14:textId="77777777" w:rsidTr="003766F2">
        <w:trPr>
          <w:trHeight w:val="153"/>
          <w:jc w:val="center"/>
        </w:trPr>
        <w:tc>
          <w:tcPr>
            <w:tcW w:w="4500" w:type="dxa"/>
            <w:tcBorders>
              <w:top w:val="single" w:sz="4" w:space="0" w:color="000000"/>
              <w:left w:val="nil"/>
              <w:bottom w:val="double" w:sz="6" w:space="0" w:color="000000"/>
              <w:right w:val="nil"/>
            </w:tcBorders>
            <w:shd w:val="clear" w:color="000000" w:fill="FFFFFF"/>
            <w:noWrap/>
            <w:vAlign w:val="bottom"/>
            <w:hideMark/>
          </w:tcPr>
          <w:p w14:paraId="55A73983" w14:textId="77777777" w:rsidR="001B6918" w:rsidRPr="003040F7" w:rsidRDefault="001B6918" w:rsidP="00730ECF">
            <w:pPr>
              <w:rPr>
                <w:rFonts w:ascii="Calibri" w:eastAsia="Times New Roman" w:hAnsi="Calibri" w:cs="Calibri"/>
                <w:color w:val="0D0D0D"/>
              </w:rPr>
            </w:pPr>
            <w:r w:rsidRPr="003040F7">
              <w:rPr>
                <w:rFonts w:ascii="Calibri" w:eastAsia="Times New Roman" w:hAnsi="Calibri" w:cs="Calibri"/>
                <w:color w:val="0D0D0D"/>
              </w:rPr>
              <w:t>Obligations for right-to-use assets</w:t>
            </w:r>
          </w:p>
        </w:tc>
        <w:tc>
          <w:tcPr>
            <w:tcW w:w="1170" w:type="dxa"/>
            <w:tcBorders>
              <w:top w:val="single" w:sz="4" w:space="0" w:color="000000"/>
              <w:left w:val="nil"/>
              <w:bottom w:val="double" w:sz="6" w:space="0" w:color="000000"/>
              <w:right w:val="nil"/>
            </w:tcBorders>
            <w:shd w:val="clear" w:color="000000" w:fill="FFFFFF"/>
            <w:noWrap/>
            <w:vAlign w:val="bottom"/>
            <w:hideMark/>
          </w:tcPr>
          <w:p w14:paraId="0B562FD5" w14:textId="77777777" w:rsidR="001B6918" w:rsidRPr="00235653" w:rsidRDefault="001B6918" w:rsidP="00CC5698">
            <w:pPr>
              <w:jc w:val="right"/>
              <w:rPr>
                <w:rFonts w:ascii="Calibri" w:eastAsia="Times New Roman" w:hAnsi="Calibri" w:cs="Calibri"/>
                <w:color w:val="FF0000"/>
              </w:rPr>
            </w:pPr>
            <w:r w:rsidRPr="003040F7">
              <w:rPr>
                <w:rFonts w:ascii="Calibri" w:eastAsia="Times New Roman" w:hAnsi="Calibri" w:cs="Calibri"/>
              </w:rPr>
              <w:t>$  71,561</w:t>
            </w:r>
          </w:p>
        </w:tc>
        <w:tc>
          <w:tcPr>
            <w:tcW w:w="1260" w:type="dxa"/>
            <w:tcBorders>
              <w:top w:val="single" w:sz="4" w:space="0" w:color="000000"/>
              <w:left w:val="nil"/>
              <w:bottom w:val="double" w:sz="6" w:space="0" w:color="000000"/>
              <w:right w:val="nil"/>
            </w:tcBorders>
            <w:shd w:val="clear" w:color="000000" w:fill="FFFFFF"/>
            <w:noWrap/>
            <w:vAlign w:val="bottom"/>
            <w:hideMark/>
          </w:tcPr>
          <w:p w14:paraId="0475BEAC" w14:textId="77777777" w:rsidR="001B6918" w:rsidRPr="0065776F" w:rsidRDefault="001B6918" w:rsidP="00CC5698">
            <w:pPr>
              <w:jc w:val="right"/>
              <w:rPr>
                <w:rFonts w:ascii="Calibri" w:eastAsia="Times New Roman" w:hAnsi="Calibri" w:cs="Calibri"/>
              </w:rPr>
            </w:pPr>
            <w:r w:rsidRPr="0065776F">
              <w:rPr>
                <w:rFonts w:ascii="Calibri" w:eastAsia="Times New Roman" w:hAnsi="Calibri" w:cs="Calibri"/>
              </w:rPr>
              <w:t>$</w:t>
            </w:r>
            <w:r>
              <w:rPr>
                <w:rFonts w:ascii="Calibri" w:eastAsia="Times New Roman" w:hAnsi="Calibri" w:cs="Calibri"/>
              </w:rPr>
              <w:t xml:space="preserve">  </w:t>
            </w:r>
            <w:r w:rsidRPr="0065776F">
              <w:rPr>
                <w:rFonts w:ascii="Calibri" w:eastAsia="Times New Roman" w:hAnsi="Calibri" w:cs="Calibri"/>
              </w:rPr>
              <w:t>11,049</w:t>
            </w:r>
          </w:p>
        </w:tc>
        <w:tc>
          <w:tcPr>
            <w:tcW w:w="1530" w:type="dxa"/>
            <w:tcBorders>
              <w:top w:val="single" w:sz="4" w:space="0" w:color="000000"/>
              <w:left w:val="nil"/>
              <w:bottom w:val="double" w:sz="6" w:space="0" w:color="000000"/>
              <w:right w:val="nil"/>
            </w:tcBorders>
            <w:shd w:val="clear" w:color="000000" w:fill="FFFFFF"/>
            <w:noWrap/>
            <w:vAlign w:val="bottom"/>
            <w:hideMark/>
          </w:tcPr>
          <w:p w14:paraId="34207A1E" w14:textId="77777777" w:rsidR="001B6918" w:rsidRPr="0065776F" w:rsidRDefault="001B6918" w:rsidP="00CC5698">
            <w:pPr>
              <w:jc w:val="right"/>
              <w:rPr>
                <w:rFonts w:ascii="Calibri" w:eastAsia="Times New Roman" w:hAnsi="Calibri" w:cs="Calibri"/>
              </w:rPr>
            </w:pPr>
            <w:r w:rsidRPr="0065776F">
              <w:rPr>
                <w:rFonts w:ascii="Calibri" w:eastAsia="Times New Roman" w:hAnsi="Calibri" w:cs="Calibri"/>
              </w:rPr>
              <w:t>$</w:t>
            </w:r>
            <w:r>
              <w:rPr>
                <w:rFonts w:ascii="Calibri" w:eastAsia="Times New Roman" w:hAnsi="Calibri" w:cs="Calibri"/>
              </w:rPr>
              <w:t xml:space="preserve">     (</w:t>
            </w:r>
            <w:r w:rsidRPr="0065776F">
              <w:rPr>
                <w:rFonts w:ascii="Calibri" w:eastAsia="Times New Roman" w:hAnsi="Calibri" w:cs="Calibri"/>
              </w:rPr>
              <w:t>6,744)</w:t>
            </w:r>
          </w:p>
        </w:tc>
        <w:tc>
          <w:tcPr>
            <w:tcW w:w="1530" w:type="dxa"/>
            <w:tcBorders>
              <w:top w:val="single" w:sz="4" w:space="0" w:color="000000"/>
              <w:left w:val="nil"/>
              <w:bottom w:val="double" w:sz="6" w:space="0" w:color="000000"/>
              <w:right w:val="nil"/>
            </w:tcBorders>
            <w:shd w:val="clear" w:color="000000" w:fill="FFFFFF"/>
            <w:noWrap/>
            <w:vAlign w:val="bottom"/>
            <w:hideMark/>
          </w:tcPr>
          <w:p w14:paraId="5CF99C20" w14:textId="3EED0DA3" w:rsidR="001B6918" w:rsidRPr="0065776F" w:rsidRDefault="001B6918" w:rsidP="00CC5698">
            <w:pPr>
              <w:jc w:val="right"/>
              <w:rPr>
                <w:rFonts w:ascii="Calibri" w:eastAsia="Times New Roman" w:hAnsi="Calibri" w:cs="Calibri"/>
              </w:rPr>
            </w:pPr>
            <w:r w:rsidRPr="0065776F">
              <w:rPr>
                <w:rFonts w:ascii="Calibri" w:eastAsia="Times New Roman" w:hAnsi="Calibri" w:cs="Calibri"/>
              </w:rPr>
              <w:t>$</w:t>
            </w:r>
            <w:r>
              <w:rPr>
                <w:rFonts w:ascii="Calibri" w:eastAsia="Times New Roman" w:hAnsi="Calibri" w:cs="Calibri"/>
              </w:rPr>
              <w:t xml:space="preserve">  7</w:t>
            </w:r>
            <w:r w:rsidRPr="0065776F">
              <w:rPr>
                <w:rFonts w:ascii="Calibri" w:eastAsia="Times New Roman" w:hAnsi="Calibri" w:cs="Calibri"/>
              </w:rPr>
              <w:t>5,866</w:t>
            </w:r>
          </w:p>
        </w:tc>
        <w:tc>
          <w:tcPr>
            <w:tcW w:w="1080" w:type="dxa"/>
            <w:tcBorders>
              <w:top w:val="single" w:sz="4" w:space="0" w:color="000000"/>
              <w:left w:val="nil"/>
              <w:bottom w:val="double" w:sz="6" w:space="0" w:color="000000"/>
              <w:right w:val="nil"/>
            </w:tcBorders>
            <w:shd w:val="clear" w:color="000000" w:fill="FFFFFF"/>
            <w:noWrap/>
            <w:vAlign w:val="bottom"/>
            <w:hideMark/>
          </w:tcPr>
          <w:p w14:paraId="6EE75F8C" w14:textId="77777777" w:rsidR="001B6918" w:rsidRPr="0065776F" w:rsidRDefault="001B6918" w:rsidP="00CC5698">
            <w:pPr>
              <w:jc w:val="right"/>
              <w:rPr>
                <w:rFonts w:ascii="Calibri" w:eastAsia="Times New Roman" w:hAnsi="Calibri" w:cs="Calibri"/>
              </w:rPr>
            </w:pPr>
            <w:r w:rsidRPr="0065776F">
              <w:rPr>
                <w:rFonts w:ascii="Calibri" w:eastAsia="Times New Roman" w:hAnsi="Calibri" w:cs="Calibri"/>
              </w:rPr>
              <w:t>$</w:t>
            </w:r>
            <w:r>
              <w:rPr>
                <w:rFonts w:ascii="Calibri" w:eastAsia="Times New Roman" w:hAnsi="Calibri" w:cs="Calibri"/>
              </w:rPr>
              <w:t xml:space="preserve">   </w:t>
            </w:r>
            <w:r w:rsidRPr="0065776F">
              <w:rPr>
                <w:rFonts w:ascii="Calibri" w:eastAsia="Times New Roman" w:hAnsi="Calibri" w:cs="Calibri"/>
              </w:rPr>
              <w:t>5,916</w:t>
            </w:r>
          </w:p>
        </w:tc>
      </w:tr>
      <w:tr w:rsidR="00CC5698" w:rsidRPr="003040F7" w14:paraId="7002AA90" w14:textId="77777777" w:rsidTr="00CC5698">
        <w:trPr>
          <w:trHeight w:val="135"/>
          <w:jc w:val="center"/>
        </w:trPr>
        <w:tc>
          <w:tcPr>
            <w:tcW w:w="4500" w:type="dxa"/>
            <w:tcBorders>
              <w:top w:val="nil"/>
              <w:left w:val="nil"/>
              <w:bottom w:val="nil"/>
              <w:right w:val="nil"/>
            </w:tcBorders>
            <w:shd w:val="clear" w:color="000000" w:fill="FFFFFF"/>
            <w:noWrap/>
            <w:vAlign w:val="bottom"/>
            <w:hideMark/>
          </w:tcPr>
          <w:p w14:paraId="471721E7" w14:textId="77777777" w:rsidR="001B6918" w:rsidRPr="003040F7" w:rsidRDefault="001B6918" w:rsidP="00730ECF">
            <w:pPr>
              <w:rPr>
                <w:rFonts w:ascii="Calibri" w:eastAsia="Times New Roman" w:hAnsi="Calibri" w:cs="Calibri"/>
                <w:color w:val="0D0D0D"/>
              </w:rPr>
            </w:pPr>
            <w:r w:rsidRPr="003040F7">
              <w:rPr>
                <w:rFonts w:ascii="Calibri" w:eastAsia="Times New Roman" w:hAnsi="Calibri" w:cs="Calibri"/>
                <w:color w:val="0D0D0D"/>
              </w:rPr>
              <w:t>Long-term debt:</w:t>
            </w:r>
          </w:p>
        </w:tc>
        <w:tc>
          <w:tcPr>
            <w:tcW w:w="1170" w:type="dxa"/>
            <w:tcBorders>
              <w:top w:val="nil"/>
              <w:left w:val="nil"/>
              <w:bottom w:val="nil"/>
              <w:right w:val="nil"/>
            </w:tcBorders>
            <w:shd w:val="clear" w:color="000000" w:fill="FFFFFF"/>
            <w:noWrap/>
            <w:vAlign w:val="bottom"/>
            <w:hideMark/>
          </w:tcPr>
          <w:p w14:paraId="5D7C70C9" w14:textId="77777777" w:rsidR="001B6918" w:rsidRPr="00235653" w:rsidRDefault="001B6918" w:rsidP="00CC5698">
            <w:pPr>
              <w:jc w:val="right"/>
              <w:rPr>
                <w:rFonts w:ascii="Calibri" w:eastAsia="Times New Roman" w:hAnsi="Calibri" w:cs="Calibri"/>
                <w:color w:val="FF0000"/>
              </w:rPr>
            </w:pPr>
            <w:r w:rsidRPr="003040F7">
              <w:rPr>
                <w:rFonts w:ascii="Calibri" w:eastAsia="Times New Roman" w:hAnsi="Calibri" w:cs="Calibri"/>
              </w:rPr>
              <w:t> </w:t>
            </w:r>
          </w:p>
        </w:tc>
        <w:tc>
          <w:tcPr>
            <w:tcW w:w="1260" w:type="dxa"/>
            <w:tcBorders>
              <w:top w:val="nil"/>
              <w:left w:val="nil"/>
              <w:bottom w:val="nil"/>
              <w:right w:val="nil"/>
            </w:tcBorders>
            <w:shd w:val="clear" w:color="000000" w:fill="FFFFFF"/>
            <w:noWrap/>
            <w:vAlign w:val="bottom"/>
            <w:hideMark/>
          </w:tcPr>
          <w:p w14:paraId="09FFAF02" w14:textId="77777777" w:rsidR="001B6918" w:rsidRPr="00235653" w:rsidRDefault="001B6918" w:rsidP="00CC5698">
            <w:pPr>
              <w:jc w:val="right"/>
              <w:rPr>
                <w:rFonts w:ascii="Calibri" w:eastAsia="Times New Roman" w:hAnsi="Calibri" w:cs="Calibri"/>
                <w:color w:val="FF0000"/>
              </w:rPr>
            </w:pPr>
            <w:r w:rsidRPr="00235653">
              <w:rPr>
                <w:rFonts w:ascii="Calibri" w:eastAsia="Times New Roman" w:hAnsi="Calibri" w:cs="Calibri"/>
                <w:color w:val="FF0000"/>
              </w:rPr>
              <w:t> </w:t>
            </w:r>
          </w:p>
        </w:tc>
        <w:tc>
          <w:tcPr>
            <w:tcW w:w="1530" w:type="dxa"/>
            <w:tcBorders>
              <w:top w:val="nil"/>
              <w:left w:val="nil"/>
              <w:bottom w:val="nil"/>
              <w:right w:val="nil"/>
            </w:tcBorders>
            <w:shd w:val="clear" w:color="000000" w:fill="FFFFFF"/>
            <w:noWrap/>
            <w:vAlign w:val="bottom"/>
            <w:hideMark/>
          </w:tcPr>
          <w:p w14:paraId="30E986FE" w14:textId="77777777" w:rsidR="001B6918" w:rsidRPr="00235653" w:rsidRDefault="001B6918" w:rsidP="00CC5698">
            <w:pPr>
              <w:jc w:val="right"/>
              <w:rPr>
                <w:rFonts w:ascii="Calibri" w:eastAsia="Times New Roman" w:hAnsi="Calibri" w:cs="Calibri"/>
                <w:color w:val="FF0000"/>
              </w:rPr>
            </w:pPr>
            <w:r w:rsidRPr="00235653">
              <w:rPr>
                <w:rFonts w:ascii="Calibri" w:eastAsia="Times New Roman" w:hAnsi="Calibri" w:cs="Calibri"/>
                <w:color w:val="FF0000"/>
              </w:rPr>
              <w:t> </w:t>
            </w:r>
          </w:p>
        </w:tc>
        <w:tc>
          <w:tcPr>
            <w:tcW w:w="1530" w:type="dxa"/>
            <w:tcBorders>
              <w:top w:val="nil"/>
              <w:left w:val="nil"/>
              <w:bottom w:val="nil"/>
              <w:right w:val="nil"/>
            </w:tcBorders>
            <w:shd w:val="clear" w:color="000000" w:fill="FFFFFF"/>
            <w:noWrap/>
            <w:vAlign w:val="bottom"/>
            <w:hideMark/>
          </w:tcPr>
          <w:p w14:paraId="09EC78A5" w14:textId="77777777" w:rsidR="001B6918" w:rsidRPr="00235653" w:rsidRDefault="001B6918" w:rsidP="00CC5698">
            <w:pPr>
              <w:jc w:val="right"/>
              <w:rPr>
                <w:rFonts w:ascii="Calibri" w:eastAsia="Times New Roman" w:hAnsi="Calibri" w:cs="Calibri"/>
                <w:color w:val="FF0000"/>
              </w:rPr>
            </w:pPr>
            <w:r w:rsidRPr="00235653">
              <w:rPr>
                <w:rFonts w:ascii="Calibri" w:eastAsia="Times New Roman" w:hAnsi="Calibri" w:cs="Calibri"/>
                <w:color w:val="FF0000"/>
              </w:rPr>
              <w:t> </w:t>
            </w:r>
          </w:p>
        </w:tc>
        <w:tc>
          <w:tcPr>
            <w:tcW w:w="1080" w:type="dxa"/>
            <w:tcBorders>
              <w:top w:val="nil"/>
              <w:left w:val="nil"/>
              <w:bottom w:val="nil"/>
              <w:right w:val="nil"/>
            </w:tcBorders>
            <w:shd w:val="clear" w:color="000000" w:fill="FFFFFF"/>
            <w:noWrap/>
            <w:vAlign w:val="bottom"/>
            <w:hideMark/>
          </w:tcPr>
          <w:p w14:paraId="4FDD1886" w14:textId="77777777" w:rsidR="001B6918" w:rsidRPr="00235653" w:rsidRDefault="001B6918" w:rsidP="00CC5698">
            <w:pPr>
              <w:jc w:val="right"/>
              <w:rPr>
                <w:rFonts w:ascii="Calibri" w:eastAsia="Times New Roman" w:hAnsi="Calibri" w:cs="Calibri"/>
                <w:color w:val="FF0000"/>
              </w:rPr>
            </w:pPr>
            <w:r w:rsidRPr="00235653">
              <w:rPr>
                <w:rFonts w:ascii="Calibri" w:eastAsia="Times New Roman" w:hAnsi="Calibri" w:cs="Calibri"/>
                <w:color w:val="FF0000"/>
              </w:rPr>
              <w:t> </w:t>
            </w:r>
          </w:p>
        </w:tc>
      </w:tr>
      <w:tr w:rsidR="00CC5698" w:rsidRPr="003040F7" w14:paraId="40595B2A" w14:textId="77777777" w:rsidTr="00CC5698">
        <w:trPr>
          <w:trHeight w:val="80"/>
          <w:jc w:val="center"/>
        </w:trPr>
        <w:tc>
          <w:tcPr>
            <w:tcW w:w="4500" w:type="dxa"/>
            <w:tcBorders>
              <w:top w:val="nil"/>
              <w:left w:val="nil"/>
              <w:bottom w:val="nil"/>
              <w:right w:val="nil"/>
            </w:tcBorders>
            <w:shd w:val="clear" w:color="000000" w:fill="FFFFFF"/>
            <w:noWrap/>
            <w:vAlign w:val="bottom"/>
            <w:hideMark/>
          </w:tcPr>
          <w:p w14:paraId="31564702" w14:textId="77777777" w:rsidR="001B6918" w:rsidRPr="003040F7" w:rsidRDefault="001B6918" w:rsidP="00730ECF">
            <w:pPr>
              <w:ind w:firstLineChars="100" w:firstLine="220"/>
              <w:rPr>
                <w:rFonts w:ascii="Calibri" w:eastAsia="Times New Roman" w:hAnsi="Calibri" w:cs="Calibri"/>
              </w:rPr>
            </w:pPr>
            <w:r w:rsidRPr="003040F7">
              <w:rPr>
                <w:rFonts w:ascii="Calibri" w:eastAsia="Times New Roman" w:hAnsi="Calibri" w:cs="Calibri"/>
              </w:rPr>
              <w:t>Bonds payable</w:t>
            </w:r>
            <w:r w:rsidRPr="003040F7">
              <w:rPr>
                <w:rFonts w:ascii="Calibri" w:eastAsia="Times New Roman" w:hAnsi="Calibri" w:cs="Calibri"/>
                <w:b/>
                <w:bCs/>
                <w:vertAlign w:val="superscript"/>
              </w:rPr>
              <w:t xml:space="preserve"> (b)</w:t>
            </w:r>
          </w:p>
        </w:tc>
        <w:tc>
          <w:tcPr>
            <w:tcW w:w="1170" w:type="dxa"/>
            <w:tcBorders>
              <w:top w:val="nil"/>
              <w:left w:val="nil"/>
              <w:bottom w:val="nil"/>
              <w:right w:val="nil"/>
            </w:tcBorders>
            <w:shd w:val="clear" w:color="000000" w:fill="FFFFFF"/>
            <w:noWrap/>
            <w:vAlign w:val="bottom"/>
            <w:hideMark/>
          </w:tcPr>
          <w:p w14:paraId="55EED265" w14:textId="77777777" w:rsidR="001B6918" w:rsidRPr="00235653" w:rsidRDefault="001B6918" w:rsidP="00CC5698">
            <w:pPr>
              <w:jc w:val="right"/>
              <w:rPr>
                <w:rFonts w:ascii="Calibri" w:eastAsia="Times New Roman" w:hAnsi="Calibri" w:cs="Calibri"/>
                <w:color w:val="FF0000"/>
              </w:rPr>
            </w:pPr>
            <w:r w:rsidRPr="003040F7">
              <w:rPr>
                <w:rFonts w:ascii="Calibri" w:eastAsia="Times New Roman" w:hAnsi="Calibri" w:cs="Calibri"/>
              </w:rPr>
              <w:t>$222,622</w:t>
            </w:r>
          </w:p>
        </w:tc>
        <w:tc>
          <w:tcPr>
            <w:tcW w:w="1260" w:type="dxa"/>
            <w:tcBorders>
              <w:top w:val="nil"/>
              <w:left w:val="nil"/>
              <w:bottom w:val="nil"/>
              <w:right w:val="nil"/>
            </w:tcBorders>
            <w:shd w:val="clear" w:color="000000" w:fill="FFFFFF"/>
            <w:noWrap/>
            <w:vAlign w:val="bottom"/>
            <w:hideMark/>
          </w:tcPr>
          <w:p w14:paraId="460A4F26" w14:textId="77777777" w:rsidR="001B6918" w:rsidRPr="0065776F" w:rsidRDefault="001B6918" w:rsidP="00CC5698">
            <w:pPr>
              <w:jc w:val="right"/>
              <w:rPr>
                <w:rFonts w:ascii="Calibri" w:eastAsia="Times New Roman" w:hAnsi="Calibri" w:cs="Calibri"/>
              </w:rPr>
            </w:pPr>
            <w:r w:rsidRPr="0065776F">
              <w:rPr>
                <w:rFonts w:ascii="Calibri" w:eastAsia="Times New Roman" w:hAnsi="Calibri" w:cs="Calibri"/>
              </w:rPr>
              <w:t xml:space="preserve">$   </w:t>
            </w:r>
            <w:r>
              <w:rPr>
                <w:rFonts w:ascii="Calibri" w:eastAsia="Times New Roman" w:hAnsi="Calibri" w:cs="Calibri"/>
              </w:rPr>
              <w:t xml:space="preserve"> </w:t>
            </w:r>
            <w:r w:rsidRPr="0065776F">
              <w:rPr>
                <w:rFonts w:ascii="Calibri" w:eastAsia="Times New Roman" w:hAnsi="Calibri" w:cs="Calibri"/>
              </w:rPr>
              <w:t xml:space="preserve">         -</w:t>
            </w:r>
          </w:p>
        </w:tc>
        <w:tc>
          <w:tcPr>
            <w:tcW w:w="1530" w:type="dxa"/>
            <w:tcBorders>
              <w:top w:val="nil"/>
              <w:left w:val="nil"/>
              <w:bottom w:val="nil"/>
              <w:right w:val="nil"/>
            </w:tcBorders>
            <w:shd w:val="clear" w:color="000000" w:fill="FFFFFF"/>
            <w:noWrap/>
            <w:vAlign w:val="bottom"/>
            <w:hideMark/>
          </w:tcPr>
          <w:p w14:paraId="148B3235" w14:textId="77777777" w:rsidR="001B6918" w:rsidRPr="0065776F" w:rsidRDefault="001B6918" w:rsidP="00CC5698">
            <w:pPr>
              <w:jc w:val="right"/>
              <w:rPr>
                <w:rFonts w:ascii="Calibri" w:eastAsia="Times New Roman" w:hAnsi="Calibri" w:cs="Calibri"/>
              </w:rPr>
            </w:pPr>
            <w:r w:rsidRPr="0065776F">
              <w:rPr>
                <w:rFonts w:ascii="Calibri" w:eastAsia="Times New Roman" w:hAnsi="Calibri" w:cs="Calibri"/>
              </w:rPr>
              <w:t xml:space="preserve">$ </w:t>
            </w:r>
            <w:r>
              <w:rPr>
                <w:rFonts w:ascii="Calibri" w:eastAsia="Times New Roman" w:hAnsi="Calibri" w:cs="Calibri"/>
              </w:rPr>
              <w:t xml:space="preserve"> </w:t>
            </w:r>
            <w:r w:rsidRPr="0065776F">
              <w:rPr>
                <w:rFonts w:ascii="Calibri" w:eastAsia="Times New Roman" w:hAnsi="Calibri" w:cs="Calibri"/>
              </w:rPr>
              <w:t>(18,305)</w:t>
            </w:r>
          </w:p>
        </w:tc>
        <w:tc>
          <w:tcPr>
            <w:tcW w:w="1530" w:type="dxa"/>
            <w:tcBorders>
              <w:top w:val="nil"/>
              <w:left w:val="nil"/>
              <w:bottom w:val="nil"/>
              <w:right w:val="nil"/>
            </w:tcBorders>
            <w:shd w:val="clear" w:color="000000" w:fill="FFFFFF"/>
            <w:noWrap/>
            <w:vAlign w:val="bottom"/>
            <w:hideMark/>
          </w:tcPr>
          <w:p w14:paraId="3B11E715" w14:textId="77777777" w:rsidR="001B6918" w:rsidRPr="0065776F" w:rsidRDefault="001B6918" w:rsidP="00CC5698">
            <w:pPr>
              <w:jc w:val="right"/>
              <w:rPr>
                <w:rFonts w:ascii="Calibri" w:eastAsia="Times New Roman" w:hAnsi="Calibri" w:cs="Calibri"/>
              </w:rPr>
            </w:pPr>
            <w:r w:rsidRPr="0065776F">
              <w:rPr>
                <w:rFonts w:ascii="Calibri" w:eastAsia="Times New Roman" w:hAnsi="Calibri" w:cs="Calibri"/>
              </w:rPr>
              <w:t>$204,317</w:t>
            </w:r>
          </w:p>
        </w:tc>
        <w:tc>
          <w:tcPr>
            <w:tcW w:w="1080" w:type="dxa"/>
            <w:tcBorders>
              <w:top w:val="nil"/>
              <w:left w:val="nil"/>
              <w:bottom w:val="nil"/>
              <w:right w:val="nil"/>
            </w:tcBorders>
            <w:shd w:val="clear" w:color="000000" w:fill="FFFFFF"/>
            <w:noWrap/>
            <w:vAlign w:val="bottom"/>
            <w:hideMark/>
          </w:tcPr>
          <w:p w14:paraId="38DAE393" w14:textId="2730EA8D" w:rsidR="001B6918" w:rsidRPr="0065776F" w:rsidRDefault="001B6918" w:rsidP="00CC5698">
            <w:pPr>
              <w:jc w:val="right"/>
              <w:rPr>
                <w:rFonts w:ascii="Calibri" w:eastAsia="Times New Roman" w:hAnsi="Calibri" w:cs="Calibri"/>
              </w:rPr>
            </w:pPr>
            <w:r w:rsidRPr="0065776F">
              <w:rPr>
                <w:rFonts w:ascii="Calibri" w:eastAsia="Times New Roman" w:hAnsi="Calibri" w:cs="Calibri"/>
              </w:rPr>
              <w:t>$</w:t>
            </w:r>
            <w:r>
              <w:rPr>
                <w:rFonts w:ascii="Calibri" w:eastAsia="Times New Roman" w:hAnsi="Calibri" w:cs="Calibri"/>
              </w:rPr>
              <w:t>16</w:t>
            </w:r>
            <w:r w:rsidRPr="0065776F">
              <w:rPr>
                <w:rFonts w:ascii="Calibri" w:eastAsia="Times New Roman" w:hAnsi="Calibri" w:cs="Calibri"/>
              </w:rPr>
              <w:t>,</w:t>
            </w:r>
            <w:r>
              <w:rPr>
                <w:rFonts w:ascii="Calibri" w:eastAsia="Times New Roman" w:hAnsi="Calibri" w:cs="Calibri"/>
              </w:rPr>
              <w:t>736</w:t>
            </w:r>
          </w:p>
        </w:tc>
      </w:tr>
      <w:tr w:rsidR="00CC5698" w:rsidRPr="003040F7" w14:paraId="2FE2E47E" w14:textId="77777777" w:rsidTr="00CC5698">
        <w:trPr>
          <w:trHeight w:val="135"/>
          <w:jc w:val="center"/>
        </w:trPr>
        <w:tc>
          <w:tcPr>
            <w:tcW w:w="4500" w:type="dxa"/>
            <w:tcBorders>
              <w:top w:val="nil"/>
              <w:left w:val="nil"/>
              <w:bottom w:val="nil"/>
              <w:right w:val="nil"/>
            </w:tcBorders>
            <w:shd w:val="clear" w:color="000000" w:fill="FFFFFF"/>
            <w:noWrap/>
            <w:vAlign w:val="bottom"/>
            <w:hideMark/>
          </w:tcPr>
          <w:p w14:paraId="3F0B2F27" w14:textId="77777777" w:rsidR="001B6918" w:rsidRPr="003040F7" w:rsidRDefault="001B6918" w:rsidP="00730ECF">
            <w:pPr>
              <w:ind w:firstLineChars="100" w:firstLine="220"/>
              <w:rPr>
                <w:rFonts w:ascii="Calibri" w:eastAsia="Times New Roman" w:hAnsi="Calibri" w:cs="Calibri"/>
              </w:rPr>
            </w:pPr>
            <w:r w:rsidRPr="003040F7">
              <w:rPr>
                <w:rFonts w:ascii="Calibri" w:eastAsia="Times New Roman" w:hAnsi="Calibri" w:cs="Calibri"/>
              </w:rPr>
              <w:t>Direct borrowings</w:t>
            </w:r>
            <w:r w:rsidRPr="003040F7">
              <w:rPr>
                <w:rFonts w:ascii="Calibri" w:eastAsia="Times New Roman" w:hAnsi="Calibri" w:cs="Calibri"/>
                <w:b/>
                <w:bCs/>
                <w:vertAlign w:val="superscript"/>
              </w:rPr>
              <w:t xml:space="preserve"> (b)</w:t>
            </w:r>
          </w:p>
        </w:tc>
        <w:tc>
          <w:tcPr>
            <w:tcW w:w="1170" w:type="dxa"/>
            <w:tcBorders>
              <w:top w:val="nil"/>
              <w:left w:val="nil"/>
              <w:bottom w:val="nil"/>
              <w:right w:val="nil"/>
            </w:tcBorders>
            <w:shd w:val="clear" w:color="000000" w:fill="FFFFFF"/>
            <w:noWrap/>
            <w:vAlign w:val="bottom"/>
            <w:hideMark/>
          </w:tcPr>
          <w:p w14:paraId="2B1CBD4A" w14:textId="77777777" w:rsidR="001B6918" w:rsidRPr="00235653" w:rsidRDefault="001B6918" w:rsidP="00CC5698">
            <w:pPr>
              <w:jc w:val="right"/>
              <w:rPr>
                <w:rFonts w:ascii="Calibri" w:eastAsia="Times New Roman" w:hAnsi="Calibri" w:cs="Calibri"/>
                <w:color w:val="FF0000"/>
              </w:rPr>
            </w:pPr>
            <w:r w:rsidRPr="003040F7">
              <w:rPr>
                <w:rFonts w:ascii="Calibri" w:eastAsia="Times New Roman" w:hAnsi="Calibri" w:cs="Calibri"/>
              </w:rPr>
              <w:t xml:space="preserve">14,117 </w:t>
            </w:r>
          </w:p>
        </w:tc>
        <w:tc>
          <w:tcPr>
            <w:tcW w:w="1260" w:type="dxa"/>
            <w:tcBorders>
              <w:top w:val="nil"/>
              <w:left w:val="nil"/>
              <w:bottom w:val="nil"/>
              <w:right w:val="nil"/>
            </w:tcBorders>
            <w:shd w:val="clear" w:color="000000" w:fill="FFFFFF"/>
            <w:noWrap/>
            <w:vAlign w:val="bottom"/>
            <w:hideMark/>
          </w:tcPr>
          <w:p w14:paraId="08969CB9" w14:textId="77777777" w:rsidR="001B6918" w:rsidRPr="0065776F" w:rsidRDefault="001B6918" w:rsidP="00CC5698">
            <w:pPr>
              <w:jc w:val="right"/>
              <w:rPr>
                <w:rFonts w:ascii="Calibri" w:eastAsia="Times New Roman" w:hAnsi="Calibri" w:cs="Calibri"/>
              </w:rPr>
            </w:pPr>
            <w:r>
              <w:rPr>
                <w:rFonts w:ascii="Calibri" w:eastAsia="Times New Roman" w:hAnsi="Calibri" w:cs="Calibri"/>
              </w:rPr>
              <w:t xml:space="preserve"> </w:t>
            </w:r>
            <w:r w:rsidRPr="0065776F">
              <w:rPr>
                <w:rFonts w:ascii="Calibri" w:eastAsia="Times New Roman" w:hAnsi="Calibri" w:cs="Calibri"/>
              </w:rPr>
              <w:t>1,181</w:t>
            </w:r>
          </w:p>
        </w:tc>
        <w:tc>
          <w:tcPr>
            <w:tcW w:w="1530" w:type="dxa"/>
            <w:tcBorders>
              <w:top w:val="nil"/>
              <w:left w:val="nil"/>
              <w:bottom w:val="nil"/>
              <w:right w:val="nil"/>
            </w:tcBorders>
            <w:shd w:val="clear" w:color="000000" w:fill="FFFFFF"/>
            <w:noWrap/>
            <w:vAlign w:val="bottom"/>
            <w:hideMark/>
          </w:tcPr>
          <w:p w14:paraId="15071AB5" w14:textId="77777777" w:rsidR="001B6918" w:rsidRPr="0065776F" w:rsidRDefault="001B6918" w:rsidP="00CC5698">
            <w:pPr>
              <w:jc w:val="right"/>
              <w:rPr>
                <w:rFonts w:ascii="Calibri" w:eastAsia="Times New Roman" w:hAnsi="Calibri" w:cs="Calibri"/>
              </w:rPr>
            </w:pPr>
            <w:r w:rsidRPr="0065776F">
              <w:rPr>
                <w:rFonts w:ascii="Calibri" w:eastAsia="Times New Roman" w:hAnsi="Calibri" w:cs="Calibri"/>
              </w:rPr>
              <w:t>(1,965)</w:t>
            </w:r>
          </w:p>
        </w:tc>
        <w:tc>
          <w:tcPr>
            <w:tcW w:w="1530" w:type="dxa"/>
            <w:tcBorders>
              <w:top w:val="nil"/>
              <w:left w:val="nil"/>
              <w:bottom w:val="nil"/>
              <w:right w:val="nil"/>
            </w:tcBorders>
            <w:shd w:val="clear" w:color="000000" w:fill="FFFFFF"/>
            <w:noWrap/>
            <w:vAlign w:val="bottom"/>
            <w:hideMark/>
          </w:tcPr>
          <w:p w14:paraId="4C985FC1" w14:textId="77777777" w:rsidR="001B6918" w:rsidRPr="0065776F" w:rsidRDefault="001B6918" w:rsidP="00CC5698">
            <w:pPr>
              <w:jc w:val="right"/>
              <w:rPr>
                <w:rFonts w:ascii="Calibri" w:eastAsia="Times New Roman" w:hAnsi="Calibri" w:cs="Calibri"/>
              </w:rPr>
            </w:pPr>
            <w:r>
              <w:rPr>
                <w:rFonts w:ascii="Calibri" w:eastAsia="Times New Roman" w:hAnsi="Calibri" w:cs="Calibri"/>
              </w:rPr>
              <w:t>13,333</w:t>
            </w:r>
            <w:r w:rsidRPr="0065776F">
              <w:rPr>
                <w:rFonts w:ascii="Calibri" w:eastAsia="Times New Roman" w:hAnsi="Calibri" w:cs="Calibri"/>
              </w:rPr>
              <w:t xml:space="preserve"> </w:t>
            </w:r>
          </w:p>
        </w:tc>
        <w:tc>
          <w:tcPr>
            <w:tcW w:w="1080" w:type="dxa"/>
            <w:tcBorders>
              <w:top w:val="nil"/>
              <w:left w:val="nil"/>
              <w:bottom w:val="nil"/>
              <w:right w:val="nil"/>
            </w:tcBorders>
            <w:shd w:val="clear" w:color="000000" w:fill="FFFFFF"/>
            <w:noWrap/>
            <w:vAlign w:val="bottom"/>
            <w:hideMark/>
          </w:tcPr>
          <w:p w14:paraId="0C9E4C54" w14:textId="1AA2EFE0" w:rsidR="001B6918" w:rsidRPr="0065776F" w:rsidRDefault="001B6918" w:rsidP="00CC5698">
            <w:pPr>
              <w:jc w:val="right"/>
              <w:rPr>
                <w:rFonts w:ascii="Calibri" w:eastAsia="Times New Roman" w:hAnsi="Calibri" w:cs="Calibri"/>
              </w:rPr>
            </w:pPr>
            <w:r>
              <w:rPr>
                <w:rFonts w:ascii="Calibri" w:eastAsia="Times New Roman" w:hAnsi="Calibri" w:cs="Calibri"/>
              </w:rPr>
              <w:t>1,135</w:t>
            </w:r>
          </w:p>
        </w:tc>
      </w:tr>
      <w:tr w:rsidR="00CC5698" w:rsidRPr="003040F7" w14:paraId="1C4CEADB" w14:textId="77777777" w:rsidTr="00CC5698">
        <w:trPr>
          <w:trHeight w:val="70"/>
          <w:jc w:val="center"/>
        </w:trPr>
        <w:tc>
          <w:tcPr>
            <w:tcW w:w="4500" w:type="dxa"/>
            <w:tcBorders>
              <w:top w:val="single" w:sz="4" w:space="0" w:color="000000"/>
              <w:left w:val="nil"/>
              <w:bottom w:val="double" w:sz="6" w:space="0" w:color="000000"/>
              <w:right w:val="nil"/>
            </w:tcBorders>
            <w:shd w:val="clear" w:color="000000" w:fill="FFFFFF"/>
            <w:noWrap/>
            <w:vAlign w:val="bottom"/>
            <w:hideMark/>
          </w:tcPr>
          <w:p w14:paraId="2E649588" w14:textId="77777777" w:rsidR="001B6918" w:rsidRPr="003040F7" w:rsidRDefault="001B6918" w:rsidP="00730ECF">
            <w:pPr>
              <w:ind w:firstLineChars="100" w:firstLine="220"/>
              <w:rPr>
                <w:rFonts w:ascii="Calibri" w:eastAsia="Times New Roman" w:hAnsi="Calibri" w:cs="Calibri"/>
                <w:color w:val="0D0D0D"/>
              </w:rPr>
            </w:pPr>
            <w:r w:rsidRPr="003040F7">
              <w:rPr>
                <w:rFonts w:ascii="Calibri" w:eastAsia="Times New Roman" w:hAnsi="Calibri" w:cs="Calibri"/>
                <w:color w:val="0D0D0D"/>
              </w:rPr>
              <w:t>Total long-term debt</w:t>
            </w:r>
          </w:p>
        </w:tc>
        <w:tc>
          <w:tcPr>
            <w:tcW w:w="1170" w:type="dxa"/>
            <w:tcBorders>
              <w:top w:val="single" w:sz="4" w:space="0" w:color="000000"/>
              <w:left w:val="nil"/>
              <w:bottom w:val="double" w:sz="6" w:space="0" w:color="000000"/>
              <w:right w:val="nil"/>
            </w:tcBorders>
            <w:shd w:val="clear" w:color="000000" w:fill="FFFFFF"/>
            <w:noWrap/>
            <w:vAlign w:val="bottom"/>
            <w:hideMark/>
          </w:tcPr>
          <w:p w14:paraId="63C9617D" w14:textId="77777777" w:rsidR="001B6918" w:rsidRPr="00235653" w:rsidRDefault="001B6918" w:rsidP="00730ECF">
            <w:pPr>
              <w:jc w:val="right"/>
              <w:rPr>
                <w:rFonts w:ascii="Calibri" w:eastAsia="Times New Roman" w:hAnsi="Calibri" w:cs="Calibri"/>
                <w:color w:val="FF0000"/>
              </w:rPr>
            </w:pPr>
            <w:r w:rsidRPr="003040F7">
              <w:rPr>
                <w:rFonts w:ascii="Calibri" w:eastAsia="Times New Roman" w:hAnsi="Calibri" w:cs="Calibri"/>
                <w:color w:val="0D0D0D"/>
              </w:rPr>
              <w:t>$236,739</w:t>
            </w:r>
          </w:p>
        </w:tc>
        <w:tc>
          <w:tcPr>
            <w:tcW w:w="1260" w:type="dxa"/>
            <w:tcBorders>
              <w:top w:val="single" w:sz="4" w:space="0" w:color="000000"/>
              <w:left w:val="nil"/>
              <w:bottom w:val="double" w:sz="6" w:space="0" w:color="000000"/>
              <w:right w:val="nil"/>
            </w:tcBorders>
            <w:shd w:val="clear" w:color="000000" w:fill="FFFFFF"/>
            <w:noWrap/>
            <w:vAlign w:val="bottom"/>
            <w:hideMark/>
          </w:tcPr>
          <w:p w14:paraId="3FADE582" w14:textId="77777777" w:rsidR="001B6918" w:rsidRPr="0065776F" w:rsidRDefault="001B6918" w:rsidP="00730ECF">
            <w:pPr>
              <w:jc w:val="right"/>
              <w:rPr>
                <w:rFonts w:ascii="Calibri" w:eastAsia="Times New Roman" w:hAnsi="Calibri" w:cs="Calibri"/>
              </w:rPr>
            </w:pPr>
            <w:r w:rsidRPr="0065776F">
              <w:rPr>
                <w:rFonts w:ascii="Calibri" w:eastAsia="Times New Roman" w:hAnsi="Calibri" w:cs="Calibri"/>
              </w:rPr>
              <w:t>$</w:t>
            </w:r>
            <w:r>
              <w:rPr>
                <w:rFonts w:ascii="Calibri" w:eastAsia="Times New Roman" w:hAnsi="Calibri" w:cs="Calibri"/>
              </w:rPr>
              <w:t xml:space="preserve">    1,181</w:t>
            </w:r>
          </w:p>
        </w:tc>
        <w:tc>
          <w:tcPr>
            <w:tcW w:w="1530" w:type="dxa"/>
            <w:tcBorders>
              <w:top w:val="single" w:sz="4" w:space="0" w:color="000000"/>
              <w:left w:val="nil"/>
              <w:bottom w:val="double" w:sz="6" w:space="0" w:color="000000"/>
              <w:right w:val="nil"/>
            </w:tcBorders>
            <w:shd w:val="clear" w:color="000000" w:fill="FFFFFF"/>
            <w:noWrap/>
            <w:vAlign w:val="bottom"/>
            <w:hideMark/>
          </w:tcPr>
          <w:p w14:paraId="0D4A71B0" w14:textId="77777777" w:rsidR="001B6918" w:rsidRPr="0065776F" w:rsidRDefault="001B6918" w:rsidP="00730ECF">
            <w:pPr>
              <w:jc w:val="right"/>
              <w:rPr>
                <w:rFonts w:ascii="Calibri" w:eastAsia="Times New Roman" w:hAnsi="Calibri" w:cs="Calibri"/>
              </w:rPr>
            </w:pPr>
            <w:r w:rsidRPr="0065776F">
              <w:rPr>
                <w:rFonts w:ascii="Calibri" w:eastAsia="Times New Roman" w:hAnsi="Calibri" w:cs="Calibri"/>
              </w:rPr>
              <w:t>$</w:t>
            </w:r>
            <w:r>
              <w:rPr>
                <w:rFonts w:ascii="Calibri" w:eastAsia="Times New Roman" w:hAnsi="Calibri" w:cs="Calibri"/>
              </w:rPr>
              <w:t xml:space="preserve">  (20,270</w:t>
            </w:r>
            <w:r w:rsidRPr="0065776F">
              <w:rPr>
                <w:rFonts w:ascii="Calibri" w:eastAsia="Times New Roman" w:hAnsi="Calibri" w:cs="Calibri"/>
              </w:rPr>
              <w:t>)</w:t>
            </w:r>
          </w:p>
        </w:tc>
        <w:tc>
          <w:tcPr>
            <w:tcW w:w="1530" w:type="dxa"/>
            <w:tcBorders>
              <w:top w:val="single" w:sz="4" w:space="0" w:color="000000"/>
              <w:left w:val="nil"/>
              <w:bottom w:val="double" w:sz="6" w:space="0" w:color="000000"/>
              <w:right w:val="nil"/>
            </w:tcBorders>
            <w:shd w:val="clear" w:color="000000" w:fill="FFFFFF"/>
            <w:noWrap/>
            <w:vAlign w:val="bottom"/>
            <w:hideMark/>
          </w:tcPr>
          <w:p w14:paraId="7BF82F05" w14:textId="77777777" w:rsidR="001B6918" w:rsidRPr="0065776F" w:rsidRDefault="001B6918" w:rsidP="00730ECF">
            <w:pPr>
              <w:jc w:val="right"/>
              <w:rPr>
                <w:rFonts w:ascii="Calibri" w:eastAsia="Times New Roman" w:hAnsi="Calibri" w:cs="Calibri"/>
              </w:rPr>
            </w:pPr>
            <w:r w:rsidRPr="0065776F">
              <w:rPr>
                <w:rFonts w:ascii="Calibri" w:eastAsia="Times New Roman" w:hAnsi="Calibri" w:cs="Calibri"/>
              </w:rPr>
              <w:t>$</w:t>
            </w:r>
            <w:r>
              <w:rPr>
                <w:rFonts w:ascii="Calibri" w:eastAsia="Times New Roman" w:hAnsi="Calibri" w:cs="Calibri"/>
              </w:rPr>
              <w:t>217,650</w:t>
            </w:r>
          </w:p>
        </w:tc>
        <w:tc>
          <w:tcPr>
            <w:tcW w:w="1080" w:type="dxa"/>
            <w:tcBorders>
              <w:top w:val="single" w:sz="4" w:space="0" w:color="000000"/>
              <w:left w:val="nil"/>
              <w:bottom w:val="double" w:sz="6" w:space="0" w:color="000000"/>
              <w:right w:val="nil"/>
            </w:tcBorders>
            <w:shd w:val="clear" w:color="000000" w:fill="FFFFFF"/>
            <w:noWrap/>
            <w:vAlign w:val="bottom"/>
            <w:hideMark/>
          </w:tcPr>
          <w:p w14:paraId="7B30DAF5" w14:textId="77777777" w:rsidR="001B6918" w:rsidRPr="0065776F" w:rsidRDefault="001B6918" w:rsidP="00730ECF">
            <w:pPr>
              <w:jc w:val="right"/>
              <w:rPr>
                <w:rFonts w:ascii="Calibri" w:eastAsia="Times New Roman" w:hAnsi="Calibri" w:cs="Calibri"/>
              </w:rPr>
            </w:pPr>
            <w:r w:rsidRPr="0065776F">
              <w:rPr>
                <w:rFonts w:ascii="Calibri" w:eastAsia="Times New Roman" w:hAnsi="Calibri" w:cs="Calibri"/>
              </w:rPr>
              <w:t>$  17,871</w:t>
            </w:r>
          </w:p>
        </w:tc>
      </w:tr>
    </w:tbl>
    <w:p w14:paraId="65D426B6" w14:textId="77777777" w:rsidR="00A0381C" w:rsidRDefault="00A0381C" w:rsidP="001B6918">
      <w:pPr>
        <w:spacing w:after="160" w:line="259" w:lineRule="auto"/>
        <w:rPr>
          <w:rFonts w:cstheme="minorHAnsi"/>
        </w:rPr>
      </w:pPr>
    </w:p>
    <w:p w14:paraId="4DDAA528" w14:textId="4C72A942" w:rsidR="001B6918" w:rsidRDefault="00A0381C" w:rsidP="001B6918">
      <w:pPr>
        <w:spacing w:after="160" w:line="259" w:lineRule="auto"/>
        <w:rPr>
          <w:rFonts w:eastAsiaTheme="majorEastAsia" w:cstheme="minorHAnsi"/>
          <w:b/>
          <w:i/>
          <w:iCs/>
          <w:smallCaps/>
          <w:noProof/>
          <w:color w:val="000000" w:themeColor="text1"/>
          <w:sz w:val="26"/>
          <w:szCs w:val="26"/>
          <w:u w:color="5B9BD5"/>
        </w:rPr>
      </w:pPr>
      <w:r>
        <w:rPr>
          <w:rFonts w:cstheme="minorHAnsi"/>
        </w:rPr>
        <w:t>*The change in the compensated absences liability is present as a net change.</w:t>
      </w:r>
      <w:r w:rsidR="001B6918">
        <w:rPr>
          <w:rFonts w:eastAsiaTheme="majorEastAsia" w:cstheme="minorHAnsi"/>
          <w:b/>
          <w:i/>
          <w:iCs/>
          <w:smallCaps/>
          <w:noProof/>
          <w:color w:val="000000" w:themeColor="text1"/>
          <w:sz w:val="26"/>
          <w:szCs w:val="26"/>
          <w:u w:color="5B9BD5"/>
        </w:rPr>
        <w:br w:type="page"/>
      </w:r>
    </w:p>
    <w:p w14:paraId="57FEC1F4" w14:textId="77777777" w:rsidR="001B6918" w:rsidRPr="00A02D27" w:rsidRDefault="001B6918" w:rsidP="001B6918">
      <w:pPr>
        <w:spacing w:after="160"/>
        <w:rPr>
          <w:rFonts w:eastAsiaTheme="majorEastAsia" w:cstheme="minorHAnsi"/>
          <w:b/>
          <w:i/>
          <w:iCs/>
          <w:smallCaps/>
          <w:noProof/>
          <w:color w:val="000000" w:themeColor="text1"/>
          <w:sz w:val="24"/>
          <w:szCs w:val="24"/>
          <w:u w:color="5B9BD5"/>
        </w:rPr>
      </w:pPr>
      <w:r w:rsidRPr="00A02D27">
        <w:rPr>
          <w:rFonts w:eastAsiaTheme="majorEastAsia" w:cstheme="minorHAnsi"/>
          <w:b/>
          <w:i/>
          <w:iCs/>
          <w:smallCaps/>
          <w:noProof/>
          <w:color w:val="000000" w:themeColor="text1"/>
          <w:sz w:val="24"/>
          <w:szCs w:val="24"/>
          <w:u w:color="5B9BD5"/>
        </w:rPr>
        <w:lastRenderedPageBreak/>
        <w:t>7. ACCRUED LIABILITIES, LEASE LIABILITIES AND LONG-TERM DEBT - CONTINUED</w:t>
      </w:r>
      <w:r w:rsidRPr="00A02D27">
        <w:rPr>
          <w:rFonts w:eastAsiaTheme="majorEastAsia" w:cstheme="minorHAnsi"/>
          <w:b/>
          <w:i/>
          <w:iCs/>
          <w:smallCaps/>
          <w:noProof/>
          <w:color w:val="000000" w:themeColor="text1"/>
          <w:sz w:val="24"/>
          <w:szCs w:val="24"/>
          <w:u w:color="5B9BD5"/>
        </w:rPr>
        <w:fldChar w:fldCharType="begin"/>
      </w:r>
      <w:r w:rsidRPr="00A02D27">
        <w:rPr>
          <w:rFonts w:eastAsiaTheme="majorEastAsia" w:cstheme="minorHAnsi"/>
          <w:b/>
          <w:i/>
          <w:iCs/>
          <w:smallCaps/>
          <w:noProof/>
          <w:color w:val="000000" w:themeColor="text1"/>
          <w:sz w:val="24"/>
          <w:szCs w:val="24"/>
          <w:u w:color="5B9BD5"/>
        </w:rPr>
        <w:fldChar w:fldCharType="end"/>
      </w:r>
    </w:p>
    <w:p w14:paraId="63637FFC" w14:textId="77777777" w:rsidR="001B6918" w:rsidRPr="00A02D27" w:rsidRDefault="001B6918" w:rsidP="001B6918">
      <w:pPr>
        <w:pStyle w:val="AFR3"/>
        <w:spacing w:after="0"/>
        <w:rPr>
          <w:rFonts w:cstheme="minorHAnsi"/>
          <w:sz w:val="24"/>
          <w:szCs w:val="20"/>
        </w:rPr>
      </w:pPr>
      <w:r w:rsidRPr="00A02D27">
        <w:rPr>
          <w:rFonts w:cstheme="minorHAnsi"/>
          <w:sz w:val="24"/>
          <w:szCs w:val="20"/>
        </w:rPr>
        <w:t xml:space="preserve">a. </w:t>
      </w:r>
      <w:r w:rsidRPr="0074705D">
        <w:rPr>
          <w:rFonts w:cstheme="minorHAnsi"/>
          <w:sz w:val="24"/>
          <w:szCs w:val="20"/>
        </w:rPr>
        <w:t>Obligations for right-to-use assets</w:t>
      </w:r>
    </w:p>
    <w:p w14:paraId="7B31D849" w14:textId="77777777" w:rsidR="001B6918" w:rsidRDefault="001B6918" w:rsidP="001B6918">
      <w:pPr>
        <w:tabs>
          <w:tab w:val="left" w:pos="720"/>
          <w:tab w:val="left" w:pos="1440"/>
        </w:tabs>
        <w:suppressAutoHyphens/>
        <w:ind w:right="360"/>
        <w:rPr>
          <w:rFonts w:eastAsia="Times New Roman" w:cstheme="minorHAnsi"/>
          <w:bCs/>
          <w:spacing w:val="-3"/>
          <w:sz w:val="24"/>
          <w:szCs w:val="24"/>
        </w:rPr>
      </w:pPr>
      <w:r w:rsidRPr="004E6649">
        <w:rPr>
          <w:rFonts w:eastAsia="Times New Roman" w:cstheme="minorHAnsi"/>
          <w:bCs/>
          <w:spacing w:val="-3"/>
          <w:sz w:val="24"/>
          <w:szCs w:val="24"/>
        </w:rPr>
        <w:t xml:space="preserve">The System leases building space for various terms under long-term noncancelable lease agreements. The original lease terms expire at various dates through </w:t>
      </w:r>
      <w:r w:rsidRPr="0071012E">
        <w:rPr>
          <w:rFonts w:eastAsia="Times New Roman" w:cstheme="minorHAnsi"/>
          <w:bCs/>
          <w:spacing w:val="-3"/>
          <w:sz w:val="24"/>
          <w:szCs w:val="24"/>
        </w:rPr>
        <w:t xml:space="preserve">2026 </w:t>
      </w:r>
      <w:r w:rsidRPr="004E6649">
        <w:rPr>
          <w:rFonts w:eastAsia="Times New Roman" w:cstheme="minorHAnsi"/>
          <w:bCs/>
          <w:spacing w:val="-3"/>
          <w:sz w:val="24"/>
          <w:szCs w:val="24"/>
        </w:rPr>
        <w:t xml:space="preserve">and provide for renewal options (ranging from 1-15 years) which extend them to </w:t>
      </w:r>
      <w:r w:rsidRPr="0071012E">
        <w:rPr>
          <w:rFonts w:eastAsia="Times New Roman" w:cstheme="minorHAnsi"/>
          <w:bCs/>
          <w:spacing w:val="-3"/>
          <w:sz w:val="24"/>
          <w:szCs w:val="24"/>
        </w:rPr>
        <w:t>2044</w:t>
      </w:r>
      <w:r w:rsidRPr="004E6649">
        <w:rPr>
          <w:rFonts w:eastAsia="Times New Roman" w:cstheme="minorHAnsi"/>
          <w:bCs/>
          <w:spacing w:val="-3"/>
          <w:sz w:val="24"/>
          <w:szCs w:val="24"/>
        </w:rPr>
        <w:t xml:space="preserve">. </w:t>
      </w:r>
    </w:p>
    <w:p w14:paraId="42435E62" w14:textId="77777777" w:rsidR="001B6918" w:rsidRDefault="001B6918" w:rsidP="001B6918">
      <w:pPr>
        <w:tabs>
          <w:tab w:val="left" w:pos="720"/>
          <w:tab w:val="left" w:pos="1440"/>
        </w:tabs>
        <w:suppressAutoHyphens/>
        <w:ind w:right="360"/>
        <w:rPr>
          <w:rFonts w:eastAsia="Times New Roman" w:cstheme="minorHAnsi"/>
          <w:bCs/>
          <w:spacing w:val="-3"/>
          <w:sz w:val="24"/>
          <w:szCs w:val="24"/>
        </w:rPr>
      </w:pPr>
    </w:p>
    <w:p w14:paraId="2D88A4CD" w14:textId="77777777" w:rsidR="001B6918" w:rsidRPr="0074705D" w:rsidRDefault="001B6918" w:rsidP="001B6918">
      <w:pPr>
        <w:tabs>
          <w:tab w:val="left" w:pos="720"/>
          <w:tab w:val="left" w:pos="1440"/>
        </w:tabs>
        <w:suppressAutoHyphens/>
        <w:ind w:right="360"/>
        <w:rPr>
          <w:rFonts w:eastAsia="Times New Roman" w:cstheme="minorHAnsi"/>
          <w:bCs/>
          <w:spacing w:val="-3"/>
          <w:sz w:val="24"/>
          <w:szCs w:val="24"/>
        </w:rPr>
      </w:pPr>
      <w:r w:rsidRPr="004E6649">
        <w:rPr>
          <w:rFonts w:eastAsia="Times New Roman" w:cstheme="minorHAnsi"/>
          <w:bCs/>
          <w:spacing w:val="-3"/>
          <w:sz w:val="24"/>
          <w:szCs w:val="24"/>
        </w:rPr>
        <w:t xml:space="preserve">The System also has noncancelable SBITAs for the right to use information technology hardware and software. The original </w:t>
      </w:r>
      <w:r>
        <w:rPr>
          <w:rFonts w:eastAsia="Times New Roman" w:cstheme="minorHAnsi"/>
          <w:bCs/>
          <w:spacing w:val="-3"/>
          <w:sz w:val="24"/>
          <w:szCs w:val="24"/>
        </w:rPr>
        <w:t>contract</w:t>
      </w:r>
      <w:r w:rsidRPr="004E6649">
        <w:rPr>
          <w:rFonts w:eastAsia="Times New Roman" w:cstheme="minorHAnsi"/>
          <w:bCs/>
          <w:spacing w:val="-3"/>
          <w:sz w:val="24"/>
          <w:szCs w:val="24"/>
        </w:rPr>
        <w:t xml:space="preserve"> terms expire at various dates </w:t>
      </w:r>
      <w:r w:rsidRPr="0074705D">
        <w:rPr>
          <w:rFonts w:eastAsia="Times New Roman" w:cstheme="minorHAnsi"/>
          <w:bCs/>
          <w:spacing w:val="-3"/>
          <w:sz w:val="24"/>
          <w:szCs w:val="24"/>
        </w:rPr>
        <w:t>through FY26 and provide for renewal options (ranging from 2-10 years) which extend them to 2035.</w:t>
      </w:r>
    </w:p>
    <w:p w14:paraId="6E272616" w14:textId="77777777" w:rsidR="001B6918" w:rsidRPr="004E6649" w:rsidRDefault="001B6918" w:rsidP="001B6918">
      <w:pPr>
        <w:tabs>
          <w:tab w:val="left" w:pos="720"/>
          <w:tab w:val="left" w:pos="1440"/>
        </w:tabs>
        <w:suppressAutoHyphens/>
        <w:ind w:right="360"/>
        <w:rPr>
          <w:rFonts w:eastAsia="Times New Roman" w:cstheme="minorHAnsi"/>
          <w:bCs/>
          <w:spacing w:val="-3"/>
          <w:sz w:val="24"/>
          <w:szCs w:val="24"/>
        </w:rPr>
      </w:pPr>
    </w:p>
    <w:p w14:paraId="6EECFD1F" w14:textId="77777777" w:rsidR="001B6918" w:rsidRPr="0071012E" w:rsidRDefault="001B6918" w:rsidP="001B6918">
      <w:pPr>
        <w:tabs>
          <w:tab w:val="left" w:pos="720"/>
          <w:tab w:val="left" w:pos="1440"/>
        </w:tabs>
        <w:suppressAutoHyphens/>
        <w:ind w:right="360"/>
        <w:rPr>
          <w:rFonts w:eastAsia="Times New Roman" w:cstheme="minorHAnsi"/>
          <w:bCs/>
          <w:spacing w:val="-3"/>
          <w:sz w:val="24"/>
          <w:szCs w:val="24"/>
          <w:highlight w:val="yellow"/>
        </w:rPr>
      </w:pPr>
      <w:r w:rsidRPr="004E6649">
        <w:rPr>
          <w:rFonts w:eastAsia="Times New Roman" w:cstheme="minorHAnsi"/>
          <w:bCs/>
          <w:spacing w:val="-3"/>
          <w:sz w:val="24"/>
          <w:szCs w:val="24"/>
        </w:rPr>
        <w:t>Lease liabilities include leases with options to purchase after three to five years. Monthly installments for FY2</w:t>
      </w:r>
      <w:r>
        <w:rPr>
          <w:rFonts w:eastAsia="Times New Roman" w:cstheme="minorHAnsi"/>
          <w:bCs/>
          <w:color w:val="000000" w:themeColor="text1"/>
          <w:spacing w:val="-3"/>
          <w:sz w:val="24"/>
          <w:szCs w:val="24"/>
        </w:rPr>
        <w:t>5</w:t>
      </w:r>
      <w:r w:rsidRPr="004E6649">
        <w:rPr>
          <w:rFonts w:eastAsia="Times New Roman" w:cstheme="minorHAnsi"/>
          <w:bCs/>
          <w:color w:val="000000" w:themeColor="text1"/>
          <w:spacing w:val="-3"/>
          <w:sz w:val="24"/>
          <w:szCs w:val="24"/>
        </w:rPr>
        <w:t xml:space="preserve"> </w:t>
      </w:r>
      <w:r w:rsidRPr="004E6649">
        <w:rPr>
          <w:rFonts w:eastAsia="Times New Roman" w:cstheme="minorHAnsi"/>
          <w:bCs/>
          <w:spacing w:val="-3"/>
          <w:sz w:val="24"/>
          <w:szCs w:val="24"/>
        </w:rPr>
        <w:t>total $</w:t>
      </w:r>
      <w:r w:rsidRPr="0074705D">
        <w:rPr>
          <w:rFonts w:eastAsia="Times New Roman" w:cstheme="minorHAnsi"/>
          <w:bCs/>
          <w:spacing w:val="-3"/>
          <w:sz w:val="24"/>
          <w:szCs w:val="24"/>
        </w:rPr>
        <w:t xml:space="preserve">1,755 </w:t>
      </w:r>
      <w:r w:rsidRPr="004E6649">
        <w:rPr>
          <w:rFonts w:eastAsia="Times New Roman" w:cstheme="minorHAnsi"/>
          <w:bCs/>
          <w:spacing w:val="-3"/>
          <w:sz w:val="24"/>
          <w:szCs w:val="24"/>
        </w:rPr>
        <w:t xml:space="preserve">including interest at rates of </w:t>
      </w:r>
      <w:r w:rsidRPr="0074705D">
        <w:rPr>
          <w:rFonts w:eastAsia="Times New Roman" w:cstheme="minorHAnsi"/>
          <w:bCs/>
          <w:spacing w:val="-3"/>
          <w:sz w:val="24"/>
          <w:szCs w:val="24"/>
        </w:rPr>
        <w:t>1.02% to 2.96%. Monthly installments for FY24 total $1,556 including interest at rates of 1.02% to 2.96</w:t>
      </w:r>
      <w:r>
        <w:rPr>
          <w:rFonts w:eastAsia="Times New Roman" w:cstheme="minorHAnsi"/>
          <w:bCs/>
          <w:spacing w:val="-3"/>
          <w:sz w:val="24"/>
          <w:szCs w:val="24"/>
        </w:rPr>
        <w:t>%.</w:t>
      </w:r>
    </w:p>
    <w:p w14:paraId="14B77418" w14:textId="77777777" w:rsidR="001B6918" w:rsidRPr="0071012E" w:rsidRDefault="001B6918" w:rsidP="001B6918">
      <w:pPr>
        <w:tabs>
          <w:tab w:val="left" w:pos="720"/>
          <w:tab w:val="left" w:pos="1440"/>
        </w:tabs>
        <w:suppressAutoHyphens/>
        <w:ind w:right="360"/>
        <w:rPr>
          <w:rFonts w:eastAsia="Times New Roman" w:cstheme="minorHAnsi"/>
          <w:bCs/>
          <w:spacing w:val="-3"/>
          <w:sz w:val="20"/>
          <w:szCs w:val="20"/>
        </w:rPr>
      </w:pPr>
    </w:p>
    <w:p w14:paraId="5CED6A80" w14:textId="77777777" w:rsidR="001B6918" w:rsidRPr="004E6649" w:rsidRDefault="001B6918" w:rsidP="001B6918">
      <w:pPr>
        <w:tabs>
          <w:tab w:val="left" w:pos="720"/>
          <w:tab w:val="left" w:pos="1440"/>
        </w:tabs>
        <w:suppressAutoHyphens/>
        <w:ind w:right="360"/>
        <w:rPr>
          <w:rFonts w:eastAsia="Times New Roman" w:cstheme="minorHAnsi"/>
          <w:bCs/>
          <w:spacing w:val="-3"/>
          <w:sz w:val="24"/>
          <w:szCs w:val="24"/>
        </w:rPr>
      </w:pPr>
      <w:r w:rsidRPr="004E6649">
        <w:rPr>
          <w:rFonts w:eastAsia="Times New Roman" w:cstheme="minorHAnsi"/>
          <w:bCs/>
          <w:spacing w:val="-3"/>
          <w:sz w:val="24"/>
          <w:szCs w:val="24"/>
        </w:rPr>
        <w:t>Certain leases and SBITA liabilities provide for increases in future minimum annual rental payments based on defined increases in the Consumer Price Index, subject to certain minimum increases.</w:t>
      </w:r>
    </w:p>
    <w:p w14:paraId="1B1B89AB" w14:textId="77777777" w:rsidR="001B6918" w:rsidRPr="004E6649" w:rsidRDefault="001B6918" w:rsidP="001B6918">
      <w:pPr>
        <w:tabs>
          <w:tab w:val="left" w:pos="720"/>
          <w:tab w:val="left" w:pos="1440"/>
        </w:tabs>
        <w:suppressAutoHyphens/>
        <w:ind w:right="360"/>
        <w:rPr>
          <w:rFonts w:eastAsia="Times New Roman" w:cstheme="minorHAnsi"/>
          <w:bCs/>
          <w:spacing w:val="-3"/>
          <w:sz w:val="24"/>
          <w:szCs w:val="24"/>
        </w:rPr>
      </w:pPr>
    </w:p>
    <w:p w14:paraId="0A7D1E72" w14:textId="77777777" w:rsidR="001B6918" w:rsidRPr="004E6649" w:rsidRDefault="001B6918" w:rsidP="001B6918">
      <w:pPr>
        <w:tabs>
          <w:tab w:val="left" w:pos="630"/>
          <w:tab w:val="left" w:pos="1022"/>
          <w:tab w:val="left" w:pos="1440"/>
          <w:tab w:val="decimal" w:pos="6890"/>
          <w:tab w:val="decimal" w:pos="9454"/>
        </w:tabs>
        <w:suppressAutoHyphens/>
        <w:spacing w:after="240"/>
        <w:rPr>
          <w:rFonts w:cstheme="minorHAnsi"/>
          <w:bCs/>
          <w:spacing w:val="-3"/>
          <w:sz w:val="24"/>
        </w:rPr>
      </w:pPr>
      <w:r w:rsidRPr="004E6649">
        <w:rPr>
          <w:rFonts w:cstheme="minorHAnsi"/>
          <w:spacing w:val="-3"/>
          <w:sz w:val="24"/>
        </w:rPr>
        <w:t xml:space="preserve">Total </w:t>
      </w:r>
      <w:r w:rsidRPr="004E6649">
        <w:rPr>
          <w:rFonts w:cstheme="minorHAnsi"/>
          <w:bCs/>
          <w:spacing w:val="-3"/>
          <w:sz w:val="24"/>
        </w:rPr>
        <w:t xml:space="preserve">future minimum lease and </w:t>
      </w:r>
      <w:r w:rsidRPr="004E6649">
        <w:rPr>
          <w:rFonts w:eastAsia="Times New Roman" w:cstheme="minorHAnsi"/>
          <w:bCs/>
          <w:spacing w:val="-3"/>
          <w:sz w:val="24"/>
          <w:szCs w:val="24"/>
        </w:rPr>
        <w:t xml:space="preserve">SBITA </w:t>
      </w:r>
      <w:r w:rsidRPr="004E6649">
        <w:rPr>
          <w:rFonts w:cstheme="minorHAnsi"/>
          <w:bCs/>
          <w:spacing w:val="-3"/>
          <w:sz w:val="24"/>
        </w:rPr>
        <w:t>payments as of June 30, 202</w:t>
      </w:r>
      <w:r>
        <w:rPr>
          <w:rFonts w:cstheme="minorHAnsi"/>
          <w:bCs/>
          <w:spacing w:val="-3"/>
          <w:sz w:val="24"/>
        </w:rPr>
        <w:t>5</w:t>
      </w:r>
      <w:r w:rsidRPr="004E6649">
        <w:rPr>
          <w:rFonts w:cstheme="minorHAnsi"/>
          <w:bCs/>
          <w:spacing w:val="-3"/>
          <w:sz w:val="24"/>
        </w:rPr>
        <w:t xml:space="preserve"> are as follows:</w:t>
      </w:r>
    </w:p>
    <w:tbl>
      <w:tblPr>
        <w:tblW w:w="7328" w:type="dxa"/>
        <w:jc w:val="center"/>
        <w:tblLayout w:type="fixed"/>
        <w:tblCellMar>
          <w:left w:w="29" w:type="dxa"/>
          <w:right w:w="29" w:type="dxa"/>
        </w:tblCellMar>
        <w:tblLook w:val="04A0" w:firstRow="1" w:lastRow="0" w:firstColumn="1" w:lastColumn="0" w:noHBand="0" w:noVBand="1"/>
      </w:tblPr>
      <w:tblGrid>
        <w:gridCol w:w="1980"/>
        <w:gridCol w:w="1337"/>
        <w:gridCol w:w="1337"/>
        <w:gridCol w:w="1414"/>
        <w:gridCol w:w="1260"/>
      </w:tblGrid>
      <w:tr w:rsidR="001B6918" w:rsidRPr="004E6649" w14:paraId="41FF7143" w14:textId="77777777" w:rsidTr="00730ECF">
        <w:trPr>
          <w:trHeight w:val="588"/>
          <w:tblHeader/>
          <w:jc w:val="center"/>
        </w:trPr>
        <w:tc>
          <w:tcPr>
            <w:tcW w:w="1980" w:type="dxa"/>
            <w:tcBorders>
              <w:top w:val="nil"/>
              <w:left w:val="nil"/>
              <w:bottom w:val="nil"/>
              <w:right w:val="nil"/>
            </w:tcBorders>
            <w:shd w:val="clear" w:color="000000" w:fill="FFFFFF"/>
            <w:vAlign w:val="bottom"/>
          </w:tcPr>
          <w:p w14:paraId="7D05AD2A" w14:textId="77777777" w:rsidR="001B6918" w:rsidRPr="004E6649" w:rsidRDefault="001B6918" w:rsidP="00730ECF">
            <w:pPr>
              <w:rPr>
                <w:rFonts w:eastAsia="Times New Roman" w:cstheme="minorHAnsi"/>
                <w:b/>
                <w:bCs/>
                <w:color w:val="0D0D0D"/>
              </w:rPr>
            </w:pPr>
          </w:p>
        </w:tc>
        <w:tc>
          <w:tcPr>
            <w:tcW w:w="2674" w:type="dxa"/>
            <w:gridSpan w:val="2"/>
            <w:tcBorders>
              <w:top w:val="nil"/>
              <w:left w:val="nil"/>
              <w:bottom w:val="single" w:sz="12" w:space="0" w:color="000000" w:themeColor="text1"/>
              <w:right w:val="nil"/>
            </w:tcBorders>
            <w:shd w:val="clear" w:color="000000" w:fill="FFFFFF"/>
            <w:noWrap/>
            <w:vAlign w:val="bottom"/>
          </w:tcPr>
          <w:p w14:paraId="5DD11579"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Lease</w:t>
            </w:r>
            <w:r>
              <w:rPr>
                <w:rFonts w:eastAsia="Times New Roman" w:cstheme="minorHAnsi"/>
                <w:b/>
                <w:bCs/>
                <w:color w:val="0D0D0D"/>
              </w:rPr>
              <w:t xml:space="preserve"> </w:t>
            </w:r>
            <w:r w:rsidRPr="004E6649">
              <w:rPr>
                <w:rFonts w:eastAsia="Times New Roman" w:cstheme="minorHAnsi"/>
                <w:b/>
                <w:bCs/>
                <w:color w:val="0D0D0D"/>
              </w:rPr>
              <w:t>Liabilities</w:t>
            </w:r>
          </w:p>
        </w:tc>
        <w:tc>
          <w:tcPr>
            <w:tcW w:w="2674" w:type="dxa"/>
            <w:gridSpan w:val="2"/>
            <w:tcBorders>
              <w:top w:val="nil"/>
              <w:left w:val="nil"/>
              <w:bottom w:val="single" w:sz="12" w:space="0" w:color="000000" w:themeColor="text1"/>
              <w:right w:val="nil"/>
            </w:tcBorders>
            <w:shd w:val="clear" w:color="000000" w:fill="FFFFFF"/>
            <w:noWrap/>
            <w:vAlign w:val="bottom"/>
          </w:tcPr>
          <w:p w14:paraId="3931AE7B"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Subscription Based IT</w:t>
            </w:r>
            <w:r>
              <w:rPr>
                <w:rFonts w:eastAsia="Times New Roman" w:cstheme="minorHAnsi"/>
                <w:b/>
                <w:bCs/>
                <w:color w:val="0D0D0D"/>
              </w:rPr>
              <w:t xml:space="preserve"> </w:t>
            </w:r>
            <w:r w:rsidRPr="004E6649">
              <w:rPr>
                <w:rFonts w:eastAsia="Times New Roman" w:cstheme="minorHAnsi"/>
                <w:b/>
                <w:bCs/>
                <w:color w:val="0D0D0D"/>
              </w:rPr>
              <w:t>Liabilities</w:t>
            </w:r>
          </w:p>
        </w:tc>
      </w:tr>
      <w:tr w:rsidR="001B6918" w:rsidRPr="004E6649" w14:paraId="6F1A5902" w14:textId="77777777" w:rsidTr="00730ECF">
        <w:trPr>
          <w:trHeight w:val="588"/>
          <w:tblHeader/>
          <w:jc w:val="center"/>
        </w:trPr>
        <w:tc>
          <w:tcPr>
            <w:tcW w:w="1980" w:type="dxa"/>
            <w:tcBorders>
              <w:top w:val="nil"/>
              <w:left w:val="nil"/>
              <w:bottom w:val="nil"/>
              <w:right w:val="nil"/>
            </w:tcBorders>
            <w:shd w:val="clear" w:color="000000" w:fill="FFFFFF"/>
            <w:vAlign w:val="bottom"/>
            <w:hideMark/>
          </w:tcPr>
          <w:p w14:paraId="7FA8E33D"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Year Ending</w:t>
            </w:r>
          </w:p>
          <w:p w14:paraId="0D229B71"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June 30:</w:t>
            </w:r>
          </w:p>
        </w:tc>
        <w:tc>
          <w:tcPr>
            <w:tcW w:w="1337" w:type="dxa"/>
            <w:tcBorders>
              <w:top w:val="single" w:sz="12" w:space="0" w:color="000000" w:themeColor="text1"/>
              <w:left w:val="nil"/>
              <w:bottom w:val="single" w:sz="12" w:space="0" w:color="000000" w:themeColor="text1"/>
              <w:right w:val="nil"/>
            </w:tcBorders>
            <w:shd w:val="clear" w:color="000000" w:fill="FFFFFF"/>
            <w:noWrap/>
            <w:vAlign w:val="bottom"/>
            <w:hideMark/>
          </w:tcPr>
          <w:p w14:paraId="03B1F055"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Principal</w:t>
            </w:r>
          </w:p>
        </w:tc>
        <w:tc>
          <w:tcPr>
            <w:tcW w:w="1337" w:type="dxa"/>
            <w:tcBorders>
              <w:top w:val="single" w:sz="12" w:space="0" w:color="000000" w:themeColor="text1"/>
              <w:left w:val="nil"/>
              <w:bottom w:val="single" w:sz="12" w:space="0" w:color="000000" w:themeColor="text1"/>
              <w:right w:val="nil"/>
            </w:tcBorders>
            <w:noWrap/>
            <w:vAlign w:val="bottom"/>
            <w:hideMark/>
          </w:tcPr>
          <w:p w14:paraId="5C5D9BC8"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Interest</w:t>
            </w:r>
          </w:p>
        </w:tc>
        <w:tc>
          <w:tcPr>
            <w:tcW w:w="1414" w:type="dxa"/>
            <w:tcBorders>
              <w:top w:val="single" w:sz="12" w:space="0" w:color="000000" w:themeColor="text1"/>
              <w:left w:val="nil"/>
              <w:bottom w:val="single" w:sz="12" w:space="0" w:color="000000" w:themeColor="text1"/>
              <w:right w:val="nil"/>
            </w:tcBorders>
            <w:shd w:val="clear" w:color="000000" w:fill="FFFFFF"/>
            <w:noWrap/>
            <w:vAlign w:val="bottom"/>
            <w:hideMark/>
          </w:tcPr>
          <w:p w14:paraId="0E2E3C9F"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Principal</w:t>
            </w:r>
          </w:p>
        </w:tc>
        <w:tc>
          <w:tcPr>
            <w:tcW w:w="1260" w:type="dxa"/>
            <w:tcBorders>
              <w:top w:val="single" w:sz="12" w:space="0" w:color="000000" w:themeColor="text1"/>
              <w:left w:val="nil"/>
              <w:bottom w:val="single" w:sz="12" w:space="0" w:color="000000" w:themeColor="text1"/>
              <w:right w:val="nil"/>
            </w:tcBorders>
            <w:shd w:val="clear" w:color="000000" w:fill="FFFFFF"/>
            <w:vAlign w:val="bottom"/>
          </w:tcPr>
          <w:p w14:paraId="1ED867FF"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Interest</w:t>
            </w:r>
          </w:p>
        </w:tc>
      </w:tr>
      <w:tr w:rsidR="001B6918" w:rsidRPr="004E6649" w14:paraId="28A372A1" w14:textId="77777777" w:rsidTr="00730ECF">
        <w:trPr>
          <w:trHeight w:val="300"/>
          <w:jc w:val="center"/>
        </w:trPr>
        <w:tc>
          <w:tcPr>
            <w:tcW w:w="1980" w:type="dxa"/>
            <w:tcBorders>
              <w:top w:val="nil"/>
              <w:left w:val="nil"/>
              <w:bottom w:val="nil"/>
              <w:right w:val="nil"/>
            </w:tcBorders>
            <w:shd w:val="clear" w:color="000000" w:fill="FFFFFF"/>
            <w:noWrap/>
            <w:vAlign w:val="bottom"/>
            <w:hideMark/>
          </w:tcPr>
          <w:p w14:paraId="60D5847B" w14:textId="77777777" w:rsidR="001B6918" w:rsidRPr="004E6649" w:rsidRDefault="001B6918" w:rsidP="00730ECF">
            <w:pPr>
              <w:jc w:val="center"/>
              <w:rPr>
                <w:rFonts w:eastAsia="Times New Roman" w:cstheme="minorHAnsi"/>
                <w:color w:val="0D0D0D"/>
              </w:rPr>
            </w:pPr>
            <w:r w:rsidRPr="004E6649">
              <w:rPr>
                <w:rFonts w:eastAsia="Times New Roman" w:cstheme="minorHAnsi"/>
                <w:color w:val="0D0D0D"/>
              </w:rPr>
              <w:t>202</w:t>
            </w:r>
            <w:r>
              <w:rPr>
                <w:rFonts w:eastAsia="Times New Roman" w:cstheme="minorHAnsi"/>
                <w:color w:val="0D0D0D"/>
              </w:rPr>
              <w:t>6</w:t>
            </w:r>
          </w:p>
        </w:tc>
        <w:tc>
          <w:tcPr>
            <w:tcW w:w="1337" w:type="dxa"/>
            <w:tcBorders>
              <w:top w:val="single" w:sz="12" w:space="0" w:color="000000" w:themeColor="text1"/>
              <w:left w:val="nil"/>
              <w:bottom w:val="nil"/>
              <w:right w:val="nil"/>
            </w:tcBorders>
            <w:shd w:val="clear" w:color="000000" w:fill="FFFFFF"/>
            <w:noWrap/>
            <w:vAlign w:val="center"/>
            <w:hideMark/>
          </w:tcPr>
          <w:p w14:paraId="7A484C1B" w14:textId="08E96F94" w:rsidR="001B6918" w:rsidRPr="006E63F8" w:rsidRDefault="001B6918" w:rsidP="00730ECF">
            <w:pPr>
              <w:jc w:val="right"/>
              <w:rPr>
                <w:rFonts w:eastAsia="Times New Roman" w:cstheme="minorHAnsi"/>
                <w:color w:val="FF0000"/>
              </w:rPr>
            </w:pPr>
            <w:r w:rsidRPr="006E63F8">
              <w:rPr>
                <w:rFonts w:cstheme="minorHAnsi"/>
                <w:color w:val="000000"/>
              </w:rPr>
              <w:t xml:space="preserve"> $  2,84</w:t>
            </w:r>
            <w:r w:rsidR="00BC68DD">
              <w:rPr>
                <w:rFonts w:cstheme="minorHAnsi"/>
                <w:color w:val="000000"/>
              </w:rPr>
              <w:t>2</w:t>
            </w:r>
            <w:r w:rsidRPr="006E63F8">
              <w:rPr>
                <w:rFonts w:cstheme="minorHAnsi"/>
                <w:color w:val="000000"/>
              </w:rPr>
              <w:t xml:space="preserve"> </w:t>
            </w:r>
          </w:p>
        </w:tc>
        <w:tc>
          <w:tcPr>
            <w:tcW w:w="1337" w:type="dxa"/>
            <w:tcBorders>
              <w:top w:val="single" w:sz="12" w:space="0" w:color="000000" w:themeColor="text1"/>
              <w:left w:val="nil"/>
              <w:bottom w:val="nil"/>
              <w:right w:val="nil"/>
            </w:tcBorders>
            <w:shd w:val="clear" w:color="000000" w:fill="FFFFFF"/>
            <w:noWrap/>
            <w:vAlign w:val="center"/>
            <w:hideMark/>
          </w:tcPr>
          <w:p w14:paraId="429C9774" w14:textId="77777777" w:rsidR="001B6918" w:rsidRPr="00F414DB" w:rsidRDefault="001B6918" w:rsidP="00730ECF">
            <w:pPr>
              <w:jc w:val="right"/>
              <w:rPr>
                <w:rFonts w:eastAsia="Times New Roman" w:cstheme="minorHAnsi"/>
                <w:color w:val="FF0000"/>
              </w:rPr>
            </w:pPr>
            <w:r>
              <w:rPr>
                <w:rFonts w:ascii="Calibri" w:hAnsi="Calibri" w:cs="Calibri"/>
                <w:color w:val="000000"/>
              </w:rPr>
              <w:t xml:space="preserve">             </w:t>
            </w:r>
            <w:r w:rsidRPr="006E63F8">
              <w:rPr>
                <w:rFonts w:ascii="Calibri" w:hAnsi="Calibri" w:cs="Calibri"/>
                <w:color w:val="000000"/>
              </w:rPr>
              <w:t xml:space="preserve">$1,351 </w:t>
            </w:r>
          </w:p>
        </w:tc>
        <w:tc>
          <w:tcPr>
            <w:tcW w:w="1414" w:type="dxa"/>
            <w:tcBorders>
              <w:top w:val="single" w:sz="12" w:space="0" w:color="000000" w:themeColor="text1"/>
              <w:left w:val="nil"/>
              <w:bottom w:val="nil"/>
              <w:right w:val="nil"/>
            </w:tcBorders>
            <w:noWrap/>
            <w:vAlign w:val="center"/>
          </w:tcPr>
          <w:p w14:paraId="0C6B097F" w14:textId="77777777" w:rsidR="001B6918" w:rsidRPr="006E63F8" w:rsidRDefault="001B6918" w:rsidP="00730ECF">
            <w:pPr>
              <w:jc w:val="right"/>
              <w:rPr>
                <w:rFonts w:ascii="Calibri" w:hAnsi="Calibri" w:cs="Calibri"/>
                <w:color w:val="000000"/>
              </w:rPr>
            </w:pPr>
            <w:r>
              <w:rPr>
                <w:rFonts w:ascii="Calibri" w:hAnsi="Calibri" w:cs="Calibri"/>
                <w:color w:val="000000"/>
              </w:rPr>
              <w:t xml:space="preserve">             $ 4,361 </w:t>
            </w:r>
          </w:p>
        </w:tc>
        <w:tc>
          <w:tcPr>
            <w:tcW w:w="1260" w:type="dxa"/>
            <w:tcBorders>
              <w:top w:val="single" w:sz="12" w:space="0" w:color="000000" w:themeColor="text1"/>
              <w:left w:val="nil"/>
              <w:bottom w:val="nil"/>
              <w:right w:val="nil"/>
            </w:tcBorders>
          </w:tcPr>
          <w:p w14:paraId="01580423" w14:textId="77777777" w:rsidR="001B6918" w:rsidRPr="00F414DB" w:rsidRDefault="001B6918" w:rsidP="00730ECF">
            <w:pPr>
              <w:jc w:val="right"/>
              <w:rPr>
                <w:rFonts w:eastAsia="Times New Roman" w:cstheme="minorHAnsi"/>
                <w:color w:val="FF0000"/>
              </w:rPr>
            </w:pPr>
            <w:r w:rsidRPr="008C0E38">
              <w:t xml:space="preserve"> $</w:t>
            </w:r>
            <w:r>
              <w:t xml:space="preserve">   </w:t>
            </w:r>
            <w:r w:rsidRPr="008C0E38">
              <w:t xml:space="preserve">612 </w:t>
            </w:r>
          </w:p>
        </w:tc>
      </w:tr>
      <w:tr w:rsidR="001B6918" w:rsidRPr="004E6649" w14:paraId="532EDFB1" w14:textId="77777777" w:rsidTr="00730ECF">
        <w:trPr>
          <w:trHeight w:val="288"/>
          <w:jc w:val="center"/>
        </w:trPr>
        <w:tc>
          <w:tcPr>
            <w:tcW w:w="1980" w:type="dxa"/>
            <w:tcBorders>
              <w:top w:val="nil"/>
              <w:left w:val="nil"/>
              <w:bottom w:val="nil"/>
              <w:right w:val="nil"/>
            </w:tcBorders>
            <w:shd w:val="clear" w:color="000000" w:fill="FFFFFF"/>
            <w:noWrap/>
            <w:vAlign w:val="bottom"/>
            <w:hideMark/>
          </w:tcPr>
          <w:p w14:paraId="21716202" w14:textId="77777777" w:rsidR="001B6918" w:rsidRPr="004E6649" w:rsidRDefault="001B6918" w:rsidP="00730ECF">
            <w:pPr>
              <w:jc w:val="center"/>
              <w:rPr>
                <w:rFonts w:eastAsia="Times New Roman" w:cstheme="minorHAnsi"/>
                <w:color w:val="0D0D0D"/>
              </w:rPr>
            </w:pPr>
            <w:r w:rsidRPr="004E6649">
              <w:rPr>
                <w:rFonts w:eastAsia="Times New Roman" w:cstheme="minorHAnsi"/>
                <w:color w:val="0D0D0D"/>
              </w:rPr>
              <w:t>202</w:t>
            </w:r>
            <w:r>
              <w:rPr>
                <w:rFonts w:eastAsia="Times New Roman" w:cstheme="minorHAnsi"/>
                <w:color w:val="0D0D0D"/>
              </w:rPr>
              <w:t>7</w:t>
            </w:r>
          </w:p>
        </w:tc>
        <w:tc>
          <w:tcPr>
            <w:tcW w:w="1337" w:type="dxa"/>
            <w:tcBorders>
              <w:top w:val="nil"/>
              <w:left w:val="nil"/>
              <w:bottom w:val="nil"/>
              <w:right w:val="nil"/>
            </w:tcBorders>
            <w:shd w:val="clear" w:color="000000" w:fill="FFFFFF"/>
            <w:noWrap/>
            <w:vAlign w:val="center"/>
            <w:hideMark/>
          </w:tcPr>
          <w:p w14:paraId="15C9ABB3" w14:textId="50D17D2D" w:rsidR="001B6918" w:rsidRPr="006E63F8" w:rsidRDefault="001B6918" w:rsidP="00730ECF">
            <w:pPr>
              <w:jc w:val="right"/>
              <w:rPr>
                <w:rFonts w:eastAsia="Times New Roman" w:cstheme="minorHAnsi"/>
                <w:color w:val="FF0000"/>
              </w:rPr>
            </w:pPr>
            <w:r w:rsidRPr="006E63F8">
              <w:rPr>
                <w:rFonts w:cstheme="minorHAnsi"/>
                <w:color w:val="000000"/>
              </w:rPr>
              <w:t>39,</w:t>
            </w:r>
            <w:r w:rsidR="00BC68DD" w:rsidRPr="006E63F8">
              <w:rPr>
                <w:rFonts w:cstheme="minorHAnsi"/>
                <w:color w:val="000000"/>
              </w:rPr>
              <w:t>08</w:t>
            </w:r>
            <w:r w:rsidR="00BC68DD">
              <w:rPr>
                <w:rFonts w:cstheme="minorHAnsi"/>
                <w:color w:val="000000"/>
              </w:rPr>
              <w:t>7</w:t>
            </w:r>
          </w:p>
        </w:tc>
        <w:tc>
          <w:tcPr>
            <w:tcW w:w="1337" w:type="dxa"/>
            <w:tcBorders>
              <w:top w:val="nil"/>
              <w:left w:val="nil"/>
              <w:bottom w:val="nil"/>
              <w:right w:val="nil"/>
            </w:tcBorders>
            <w:shd w:val="clear" w:color="000000" w:fill="FFFFFF"/>
            <w:noWrap/>
            <w:vAlign w:val="center"/>
            <w:hideMark/>
          </w:tcPr>
          <w:p w14:paraId="74CCC05D" w14:textId="77777777" w:rsidR="001B6918" w:rsidRPr="00F414DB" w:rsidRDefault="001B6918" w:rsidP="00730ECF">
            <w:pPr>
              <w:jc w:val="right"/>
              <w:rPr>
                <w:rFonts w:eastAsia="Times New Roman" w:cstheme="minorHAnsi"/>
                <w:color w:val="FF0000"/>
              </w:rPr>
            </w:pPr>
            <w:r>
              <w:rPr>
                <w:rFonts w:ascii="Calibri" w:hAnsi="Calibri" w:cs="Calibri"/>
                <w:color w:val="000000"/>
              </w:rPr>
              <w:t xml:space="preserve">                 748 </w:t>
            </w:r>
          </w:p>
        </w:tc>
        <w:tc>
          <w:tcPr>
            <w:tcW w:w="1414" w:type="dxa"/>
            <w:tcBorders>
              <w:top w:val="nil"/>
              <w:left w:val="nil"/>
              <w:bottom w:val="nil"/>
              <w:right w:val="nil"/>
            </w:tcBorders>
            <w:noWrap/>
            <w:vAlign w:val="bottom"/>
          </w:tcPr>
          <w:p w14:paraId="6DFC992B" w14:textId="77777777" w:rsidR="001B6918" w:rsidRPr="00F414DB" w:rsidRDefault="001B6918" w:rsidP="00730ECF">
            <w:pPr>
              <w:jc w:val="right"/>
              <w:rPr>
                <w:rFonts w:eastAsia="Times New Roman" w:cstheme="minorHAnsi"/>
                <w:color w:val="FF0000"/>
              </w:rPr>
            </w:pPr>
            <w:r>
              <w:rPr>
                <w:rFonts w:ascii="Calibri" w:hAnsi="Calibri" w:cs="Calibri"/>
                <w:color w:val="000000"/>
              </w:rPr>
              <w:t xml:space="preserve">              3,525 </w:t>
            </w:r>
          </w:p>
        </w:tc>
        <w:tc>
          <w:tcPr>
            <w:tcW w:w="1260" w:type="dxa"/>
            <w:tcBorders>
              <w:top w:val="nil"/>
              <w:left w:val="nil"/>
              <w:bottom w:val="nil"/>
              <w:right w:val="nil"/>
            </w:tcBorders>
          </w:tcPr>
          <w:p w14:paraId="0E8D0614" w14:textId="77777777" w:rsidR="001B6918" w:rsidRPr="00F414DB" w:rsidRDefault="001B6918" w:rsidP="00730ECF">
            <w:pPr>
              <w:jc w:val="right"/>
              <w:rPr>
                <w:rFonts w:cstheme="minorHAnsi"/>
                <w:color w:val="FF0000"/>
              </w:rPr>
            </w:pPr>
            <w:r w:rsidRPr="008C0E38">
              <w:t xml:space="preserve"> 488 </w:t>
            </w:r>
          </w:p>
        </w:tc>
      </w:tr>
      <w:tr w:rsidR="001B6918" w:rsidRPr="004E6649" w14:paraId="5194D8A3" w14:textId="77777777" w:rsidTr="00730ECF">
        <w:trPr>
          <w:trHeight w:val="288"/>
          <w:jc w:val="center"/>
        </w:trPr>
        <w:tc>
          <w:tcPr>
            <w:tcW w:w="1980" w:type="dxa"/>
            <w:tcBorders>
              <w:top w:val="nil"/>
              <w:left w:val="nil"/>
              <w:bottom w:val="nil"/>
              <w:right w:val="nil"/>
            </w:tcBorders>
            <w:shd w:val="clear" w:color="000000" w:fill="FFFFFF"/>
            <w:noWrap/>
            <w:vAlign w:val="bottom"/>
            <w:hideMark/>
          </w:tcPr>
          <w:p w14:paraId="48486C81" w14:textId="77777777" w:rsidR="001B6918" w:rsidRPr="004E6649" w:rsidRDefault="001B6918" w:rsidP="00730ECF">
            <w:pPr>
              <w:jc w:val="center"/>
              <w:rPr>
                <w:rFonts w:eastAsia="Times New Roman" w:cstheme="minorHAnsi"/>
                <w:color w:val="0D0D0D"/>
              </w:rPr>
            </w:pPr>
            <w:r w:rsidRPr="004E6649">
              <w:rPr>
                <w:rFonts w:eastAsia="Times New Roman" w:cstheme="minorHAnsi"/>
                <w:color w:val="0D0D0D"/>
              </w:rPr>
              <w:t>202</w:t>
            </w:r>
            <w:r>
              <w:rPr>
                <w:rFonts w:eastAsia="Times New Roman" w:cstheme="minorHAnsi"/>
                <w:color w:val="0D0D0D"/>
              </w:rPr>
              <w:t>8</w:t>
            </w:r>
          </w:p>
        </w:tc>
        <w:tc>
          <w:tcPr>
            <w:tcW w:w="1337" w:type="dxa"/>
            <w:tcBorders>
              <w:top w:val="nil"/>
              <w:left w:val="nil"/>
              <w:bottom w:val="nil"/>
              <w:right w:val="nil"/>
            </w:tcBorders>
            <w:shd w:val="clear" w:color="000000" w:fill="FFFFFF"/>
            <w:noWrap/>
            <w:vAlign w:val="center"/>
            <w:hideMark/>
          </w:tcPr>
          <w:p w14:paraId="1D777D96" w14:textId="77777777" w:rsidR="001B6918" w:rsidRPr="006E63F8" w:rsidRDefault="001B6918" w:rsidP="00730ECF">
            <w:pPr>
              <w:jc w:val="right"/>
              <w:rPr>
                <w:rFonts w:eastAsia="Times New Roman" w:cstheme="minorHAnsi"/>
                <w:color w:val="FF0000"/>
              </w:rPr>
            </w:pPr>
            <w:r w:rsidRPr="006E63F8">
              <w:rPr>
                <w:rFonts w:cstheme="minorHAnsi"/>
                <w:color w:val="000000"/>
              </w:rPr>
              <w:t>1,826</w:t>
            </w:r>
          </w:p>
        </w:tc>
        <w:tc>
          <w:tcPr>
            <w:tcW w:w="1337" w:type="dxa"/>
            <w:tcBorders>
              <w:top w:val="nil"/>
              <w:left w:val="nil"/>
              <w:bottom w:val="nil"/>
              <w:right w:val="nil"/>
            </w:tcBorders>
            <w:shd w:val="clear" w:color="000000" w:fill="FFFFFF"/>
            <w:noWrap/>
            <w:vAlign w:val="center"/>
            <w:hideMark/>
          </w:tcPr>
          <w:p w14:paraId="0C19AC7A" w14:textId="77777777" w:rsidR="001B6918" w:rsidRPr="00F414DB" w:rsidRDefault="001B6918" w:rsidP="00730ECF">
            <w:pPr>
              <w:jc w:val="right"/>
              <w:rPr>
                <w:rFonts w:eastAsia="Times New Roman" w:cstheme="minorHAnsi"/>
                <w:color w:val="FF0000"/>
              </w:rPr>
            </w:pPr>
            <w:r>
              <w:rPr>
                <w:rFonts w:ascii="Calibri" w:hAnsi="Calibri" w:cs="Calibri"/>
                <w:color w:val="000000"/>
              </w:rPr>
              <w:t xml:space="preserve">                 494 </w:t>
            </w:r>
          </w:p>
        </w:tc>
        <w:tc>
          <w:tcPr>
            <w:tcW w:w="1414" w:type="dxa"/>
            <w:tcBorders>
              <w:top w:val="nil"/>
              <w:left w:val="nil"/>
              <w:bottom w:val="nil"/>
              <w:right w:val="nil"/>
            </w:tcBorders>
            <w:noWrap/>
            <w:vAlign w:val="bottom"/>
          </w:tcPr>
          <w:p w14:paraId="4FFA74A6" w14:textId="77777777" w:rsidR="001B6918" w:rsidRPr="00F414DB" w:rsidRDefault="001B6918" w:rsidP="00730ECF">
            <w:pPr>
              <w:jc w:val="right"/>
              <w:rPr>
                <w:rFonts w:eastAsia="Times New Roman" w:cstheme="minorHAnsi"/>
                <w:color w:val="FF0000"/>
              </w:rPr>
            </w:pPr>
            <w:r>
              <w:rPr>
                <w:rFonts w:ascii="Calibri" w:hAnsi="Calibri" w:cs="Calibri"/>
                <w:color w:val="000000"/>
              </w:rPr>
              <w:t xml:space="preserve">              3,309 </w:t>
            </w:r>
          </w:p>
        </w:tc>
        <w:tc>
          <w:tcPr>
            <w:tcW w:w="1260" w:type="dxa"/>
            <w:tcBorders>
              <w:top w:val="nil"/>
              <w:left w:val="nil"/>
              <w:bottom w:val="nil"/>
              <w:right w:val="nil"/>
            </w:tcBorders>
          </w:tcPr>
          <w:p w14:paraId="5659E436" w14:textId="77777777" w:rsidR="001B6918" w:rsidRPr="00F414DB" w:rsidRDefault="001B6918" w:rsidP="00730ECF">
            <w:pPr>
              <w:jc w:val="right"/>
              <w:rPr>
                <w:rFonts w:cstheme="minorHAnsi"/>
                <w:color w:val="FF0000"/>
              </w:rPr>
            </w:pPr>
            <w:r w:rsidRPr="008C0E38">
              <w:t xml:space="preserve"> 360 </w:t>
            </w:r>
          </w:p>
        </w:tc>
      </w:tr>
      <w:tr w:rsidR="001B6918" w:rsidRPr="004E6649" w14:paraId="6A528836" w14:textId="77777777" w:rsidTr="00730ECF">
        <w:trPr>
          <w:trHeight w:val="288"/>
          <w:jc w:val="center"/>
        </w:trPr>
        <w:tc>
          <w:tcPr>
            <w:tcW w:w="1980" w:type="dxa"/>
            <w:tcBorders>
              <w:top w:val="nil"/>
              <w:left w:val="nil"/>
              <w:bottom w:val="nil"/>
              <w:right w:val="nil"/>
            </w:tcBorders>
            <w:shd w:val="clear" w:color="000000" w:fill="FFFFFF"/>
            <w:noWrap/>
            <w:vAlign w:val="bottom"/>
            <w:hideMark/>
          </w:tcPr>
          <w:p w14:paraId="5647CA11" w14:textId="77777777" w:rsidR="001B6918" w:rsidRPr="004E6649" w:rsidRDefault="001B6918" w:rsidP="00730ECF">
            <w:pPr>
              <w:jc w:val="center"/>
              <w:rPr>
                <w:rFonts w:eastAsia="Times New Roman" w:cstheme="minorHAnsi"/>
                <w:color w:val="0D0D0D"/>
              </w:rPr>
            </w:pPr>
            <w:r w:rsidRPr="004E6649">
              <w:rPr>
                <w:rFonts w:eastAsia="Times New Roman" w:cstheme="minorHAnsi"/>
                <w:color w:val="0D0D0D"/>
              </w:rPr>
              <w:t>202</w:t>
            </w:r>
            <w:r>
              <w:rPr>
                <w:rFonts w:eastAsia="Times New Roman" w:cstheme="minorHAnsi"/>
                <w:color w:val="0D0D0D"/>
              </w:rPr>
              <w:t>9</w:t>
            </w:r>
          </w:p>
        </w:tc>
        <w:tc>
          <w:tcPr>
            <w:tcW w:w="1337" w:type="dxa"/>
            <w:tcBorders>
              <w:top w:val="nil"/>
              <w:left w:val="nil"/>
              <w:bottom w:val="nil"/>
              <w:right w:val="nil"/>
            </w:tcBorders>
            <w:shd w:val="clear" w:color="000000" w:fill="FFFFFF"/>
            <w:noWrap/>
            <w:vAlign w:val="center"/>
            <w:hideMark/>
          </w:tcPr>
          <w:p w14:paraId="1B1FDAC0" w14:textId="77777777" w:rsidR="001B6918" w:rsidRPr="006E63F8" w:rsidRDefault="001B6918" w:rsidP="00730ECF">
            <w:pPr>
              <w:jc w:val="right"/>
              <w:rPr>
                <w:rFonts w:eastAsia="Times New Roman" w:cstheme="minorHAnsi"/>
                <w:color w:val="FF0000"/>
              </w:rPr>
            </w:pPr>
            <w:r w:rsidRPr="006E63F8">
              <w:rPr>
                <w:rFonts w:cstheme="minorHAnsi"/>
                <w:color w:val="000000"/>
              </w:rPr>
              <w:t>1,590</w:t>
            </w:r>
          </w:p>
        </w:tc>
        <w:tc>
          <w:tcPr>
            <w:tcW w:w="1337" w:type="dxa"/>
            <w:tcBorders>
              <w:top w:val="nil"/>
              <w:left w:val="nil"/>
              <w:bottom w:val="nil"/>
              <w:right w:val="nil"/>
            </w:tcBorders>
            <w:shd w:val="clear" w:color="000000" w:fill="FFFFFF"/>
            <w:noWrap/>
            <w:vAlign w:val="center"/>
            <w:hideMark/>
          </w:tcPr>
          <w:p w14:paraId="3017B2CB" w14:textId="77777777" w:rsidR="001B6918" w:rsidRPr="00F414DB" w:rsidRDefault="001B6918" w:rsidP="00730ECF">
            <w:pPr>
              <w:jc w:val="right"/>
              <w:rPr>
                <w:rFonts w:eastAsia="Times New Roman" w:cstheme="minorHAnsi"/>
                <w:color w:val="FF0000"/>
              </w:rPr>
            </w:pPr>
            <w:r>
              <w:rPr>
                <w:rFonts w:ascii="Calibri" w:hAnsi="Calibri" w:cs="Calibri"/>
                <w:color w:val="000000"/>
              </w:rPr>
              <w:t xml:space="preserve">                 460 </w:t>
            </w:r>
          </w:p>
        </w:tc>
        <w:tc>
          <w:tcPr>
            <w:tcW w:w="1414" w:type="dxa"/>
            <w:tcBorders>
              <w:top w:val="nil"/>
              <w:left w:val="nil"/>
              <w:bottom w:val="nil"/>
              <w:right w:val="nil"/>
            </w:tcBorders>
            <w:noWrap/>
            <w:vAlign w:val="bottom"/>
          </w:tcPr>
          <w:p w14:paraId="1832F4AF" w14:textId="77777777" w:rsidR="001B6918" w:rsidRPr="00F414DB" w:rsidRDefault="001B6918" w:rsidP="00730ECF">
            <w:pPr>
              <w:jc w:val="right"/>
              <w:rPr>
                <w:rFonts w:eastAsia="Times New Roman" w:cstheme="minorHAnsi"/>
                <w:color w:val="FF0000"/>
              </w:rPr>
            </w:pPr>
            <w:r>
              <w:rPr>
                <w:rFonts w:ascii="Calibri" w:hAnsi="Calibri" w:cs="Calibri"/>
                <w:color w:val="000000"/>
              </w:rPr>
              <w:t xml:space="preserve">              2,525 </w:t>
            </w:r>
          </w:p>
        </w:tc>
        <w:tc>
          <w:tcPr>
            <w:tcW w:w="1260" w:type="dxa"/>
            <w:tcBorders>
              <w:top w:val="nil"/>
              <w:left w:val="nil"/>
              <w:bottom w:val="nil"/>
              <w:right w:val="nil"/>
            </w:tcBorders>
          </w:tcPr>
          <w:p w14:paraId="75E1965E" w14:textId="77777777" w:rsidR="001B6918" w:rsidRPr="00F414DB" w:rsidRDefault="001B6918" w:rsidP="00730ECF">
            <w:pPr>
              <w:jc w:val="right"/>
              <w:rPr>
                <w:rFonts w:cstheme="minorHAnsi"/>
                <w:color w:val="FF0000"/>
              </w:rPr>
            </w:pPr>
            <w:r w:rsidRPr="008C0E38">
              <w:t xml:space="preserve"> 249 </w:t>
            </w:r>
          </w:p>
        </w:tc>
      </w:tr>
      <w:tr w:rsidR="001B6918" w:rsidRPr="004E6649" w14:paraId="44B9B8CF" w14:textId="77777777" w:rsidTr="00730ECF">
        <w:trPr>
          <w:trHeight w:val="288"/>
          <w:jc w:val="center"/>
        </w:trPr>
        <w:tc>
          <w:tcPr>
            <w:tcW w:w="1980" w:type="dxa"/>
            <w:tcBorders>
              <w:top w:val="nil"/>
              <w:left w:val="nil"/>
              <w:bottom w:val="nil"/>
              <w:right w:val="nil"/>
            </w:tcBorders>
            <w:shd w:val="clear" w:color="000000" w:fill="FFFFFF"/>
            <w:noWrap/>
            <w:vAlign w:val="bottom"/>
            <w:hideMark/>
          </w:tcPr>
          <w:p w14:paraId="7B406764" w14:textId="77777777" w:rsidR="001B6918" w:rsidRPr="004E6649" w:rsidRDefault="001B6918" w:rsidP="00730ECF">
            <w:pPr>
              <w:jc w:val="center"/>
              <w:rPr>
                <w:rFonts w:eastAsia="Times New Roman" w:cstheme="minorHAnsi"/>
                <w:color w:val="0D0D0D"/>
              </w:rPr>
            </w:pPr>
            <w:r w:rsidRPr="004E6649">
              <w:rPr>
                <w:rFonts w:eastAsia="Times New Roman" w:cstheme="minorHAnsi"/>
                <w:color w:val="0D0D0D"/>
              </w:rPr>
              <w:t>20</w:t>
            </w:r>
            <w:r>
              <w:rPr>
                <w:rFonts w:eastAsia="Times New Roman" w:cstheme="minorHAnsi"/>
                <w:color w:val="0D0D0D"/>
              </w:rPr>
              <w:t>30</w:t>
            </w:r>
          </w:p>
        </w:tc>
        <w:tc>
          <w:tcPr>
            <w:tcW w:w="1337" w:type="dxa"/>
            <w:tcBorders>
              <w:top w:val="nil"/>
              <w:left w:val="nil"/>
              <w:bottom w:val="nil"/>
              <w:right w:val="nil"/>
            </w:tcBorders>
            <w:shd w:val="clear" w:color="000000" w:fill="FFFFFF"/>
            <w:noWrap/>
            <w:vAlign w:val="center"/>
            <w:hideMark/>
          </w:tcPr>
          <w:p w14:paraId="70CB571E" w14:textId="77777777" w:rsidR="001B6918" w:rsidRPr="006E63F8" w:rsidRDefault="001B6918" w:rsidP="00730ECF">
            <w:pPr>
              <w:jc w:val="right"/>
              <w:rPr>
                <w:rFonts w:eastAsia="Times New Roman" w:cstheme="minorHAnsi"/>
                <w:color w:val="FF0000"/>
              </w:rPr>
            </w:pPr>
            <w:r w:rsidRPr="006E63F8">
              <w:rPr>
                <w:rFonts w:cstheme="minorHAnsi"/>
                <w:color w:val="000000"/>
              </w:rPr>
              <w:t>1,663</w:t>
            </w:r>
          </w:p>
        </w:tc>
        <w:tc>
          <w:tcPr>
            <w:tcW w:w="1337" w:type="dxa"/>
            <w:tcBorders>
              <w:top w:val="nil"/>
              <w:left w:val="nil"/>
              <w:bottom w:val="nil"/>
              <w:right w:val="nil"/>
            </w:tcBorders>
            <w:shd w:val="clear" w:color="000000" w:fill="FFFFFF"/>
            <w:noWrap/>
            <w:vAlign w:val="center"/>
            <w:hideMark/>
          </w:tcPr>
          <w:p w14:paraId="43DA1A67" w14:textId="77777777" w:rsidR="001B6918" w:rsidRPr="00F414DB" w:rsidRDefault="001B6918" w:rsidP="00730ECF">
            <w:pPr>
              <w:jc w:val="right"/>
              <w:rPr>
                <w:rFonts w:eastAsia="Times New Roman" w:cstheme="minorHAnsi"/>
                <w:color w:val="FF0000"/>
              </w:rPr>
            </w:pPr>
            <w:r>
              <w:rPr>
                <w:rFonts w:ascii="Calibri" w:hAnsi="Calibri" w:cs="Calibri"/>
                <w:color w:val="000000"/>
              </w:rPr>
              <w:t xml:space="preserve">                 425 </w:t>
            </w:r>
          </w:p>
        </w:tc>
        <w:tc>
          <w:tcPr>
            <w:tcW w:w="1414" w:type="dxa"/>
            <w:tcBorders>
              <w:top w:val="nil"/>
              <w:left w:val="nil"/>
              <w:bottom w:val="nil"/>
              <w:right w:val="nil"/>
            </w:tcBorders>
            <w:noWrap/>
            <w:vAlign w:val="bottom"/>
          </w:tcPr>
          <w:p w14:paraId="2133A8AD" w14:textId="77777777" w:rsidR="001B6918" w:rsidRPr="00F414DB" w:rsidRDefault="001B6918" w:rsidP="00730ECF">
            <w:pPr>
              <w:jc w:val="right"/>
              <w:rPr>
                <w:rFonts w:eastAsia="Times New Roman" w:cstheme="minorHAnsi"/>
                <w:color w:val="FF0000"/>
              </w:rPr>
            </w:pPr>
            <w:r>
              <w:rPr>
                <w:rFonts w:ascii="Calibri" w:hAnsi="Calibri" w:cs="Calibri"/>
                <w:color w:val="000000"/>
              </w:rPr>
              <w:t xml:space="preserve">              1,039 </w:t>
            </w:r>
          </w:p>
        </w:tc>
        <w:tc>
          <w:tcPr>
            <w:tcW w:w="1260" w:type="dxa"/>
            <w:tcBorders>
              <w:top w:val="nil"/>
              <w:left w:val="nil"/>
              <w:bottom w:val="nil"/>
              <w:right w:val="nil"/>
            </w:tcBorders>
          </w:tcPr>
          <w:p w14:paraId="55DAC4B8" w14:textId="77777777" w:rsidR="001B6918" w:rsidRPr="00F414DB" w:rsidRDefault="001B6918" w:rsidP="00730ECF">
            <w:pPr>
              <w:jc w:val="right"/>
              <w:rPr>
                <w:rFonts w:cstheme="minorHAnsi"/>
                <w:color w:val="FF0000"/>
              </w:rPr>
            </w:pPr>
            <w:r w:rsidRPr="008C0E38">
              <w:t xml:space="preserve"> 141 </w:t>
            </w:r>
          </w:p>
        </w:tc>
      </w:tr>
      <w:tr w:rsidR="001B6918" w:rsidRPr="004E6649" w14:paraId="73897AF0" w14:textId="77777777" w:rsidTr="00730ECF">
        <w:trPr>
          <w:trHeight w:val="288"/>
          <w:jc w:val="center"/>
        </w:trPr>
        <w:tc>
          <w:tcPr>
            <w:tcW w:w="1980" w:type="dxa"/>
            <w:tcBorders>
              <w:top w:val="nil"/>
              <w:left w:val="nil"/>
              <w:bottom w:val="nil"/>
              <w:right w:val="nil"/>
            </w:tcBorders>
            <w:shd w:val="clear" w:color="000000" w:fill="FFFFFF"/>
            <w:noWrap/>
            <w:vAlign w:val="bottom"/>
            <w:hideMark/>
          </w:tcPr>
          <w:p w14:paraId="23F3C19B" w14:textId="77777777" w:rsidR="001B6918" w:rsidRPr="004E6649" w:rsidRDefault="001B6918" w:rsidP="00730ECF">
            <w:pPr>
              <w:jc w:val="center"/>
              <w:rPr>
                <w:rFonts w:eastAsia="Times New Roman" w:cstheme="minorHAnsi"/>
                <w:color w:val="0D0D0D"/>
              </w:rPr>
            </w:pPr>
            <w:r w:rsidRPr="004E6649">
              <w:rPr>
                <w:rFonts w:eastAsia="Times New Roman" w:cstheme="minorHAnsi"/>
                <w:color w:val="0D0D0D"/>
              </w:rPr>
              <w:t>20</w:t>
            </w:r>
            <w:r>
              <w:rPr>
                <w:rFonts w:eastAsia="Times New Roman" w:cstheme="minorHAnsi"/>
                <w:color w:val="0D0D0D"/>
              </w:rPr>
              <w:t>31</w:t>
            </w:r>
            <w:r w:rsidRPr="004E6649">
              <w:rPr>
                <w:rFonts w:eastAsia="Times New Roman" w:cstheme="minorHAnsi"/>
                <w:color w:val="0D0D0D"/>
              </w:rPr>
              <w:t>-203</w:t>
            </w:r>
            <w:r>
              <w:rPr>
                <w:rFonts w:eastAsia="Times New Roman" w:cstheme="minorHAnsi"/>
                <w:color w:val="0D0D0D"/>
              </w:rPr>
              <w:t>5</w:t>
            </w:r>
          </w:p>
        </w:tc>
        <w:tc>
          <w:tcPr>
            <w:tcW w:w="1337" w:type="dxa"/>
            <w:tcBorders>
              <w:top w:val="nil"/>
              <w:left w:val="nil"/>
              <w:bottom w:val="nil"/>
              <w:right w:val="nil"/>
            </w:tcBorders>
            <w:shd w:val="clear" w:color="000000" w:fill="FFFFFF"/>
            <w:noWrap/>
            <w:vAlign w:val="center"/>
            <w:hideMark/>
          </w:tcPr>
          <w:p w14:paraId="59571A12" w14:textId="77777777" w:rsidR="001B6918" w:rsidRPr="006E63F8" w:rsidRDefault="001B6918" w:rsidP="00730ECF">
            <w:pPr>
              <w:jc w:val="right"/>
              <w:rPr>
                <w:rFonts w:eastAsia="Times New Roman" w:cstheme="minorHAnsi"/>
                <w:color w:val="FF0000"/>
              </w:rPr>
            </w:pPr>
            <w:r w:rsidRPr="006E63F8">
              <w:rPr>
                <w:rFonts w:cstheme="minorHAnsi"/>
                <w:color w:val="000000"/>
              </w:rPr>
              <w:t>6,511</w:t>
            </w:r>
          </w:p>
        </w:tc>
        <w:tc>
          <w:tcPr>
            <w:tcW w:w="1337" w:type="dxa"/>
            <w:tcBorders>
              <w:top w:val="nil"/>
              <w:left w:val="nil"/>
              <w:bottom w:val="nil"/>
              <w:right w:val="nil"/>
            </w:tcBorders>
            <w:shd w:val="clear" w:color="000000" w:fill="FFFFFF"/>
            <w:noWrap/>
            <w:vAlign w:val="center"/>
            <w:hideMark/>
          </w:tcPr>
          <w:p w14:paraId="7D8FF84E" w14:textId="77777777" w:rsidR="001B6918" w:rsidRPr="00F414DB" w:rsidRDefault="001B6918" w:rsidP="00730ECF">
            <w:pPr>
              <w:jc w:val="right"/>
              <w:rPr>
                <w:rFonts w:eastAsia="Times New Roman" w:cstheme="minorHAnsi"/>
                <w:color w:val="FF0000"/>
              </w:rPr>
            </w:pPr>
            <w:r>
              <w:rPr>
                <w:rFonts w:ascii="Calibri" w:hAnsi="Calibri" w:cs="Calibri"/>
                <w:color w:val="000000"/>
              </w:rPr>
              <w:t xml:space="preserve">              1,585 </w:t>
            </w:r>
          </w:p>
        </w:tc>
        <w:tc>
          <w:tcPr>
            <w:tcW w:w="1414" w:type="dxa"/>
            <w:tcBorders>
              <w:top w:val="nil"/>
              <w:left w:val="nil"/>
              <w:bottom w:val="nil"/>
              <w:right w:val="nil"/>
            </w:tcBorders>
            <w:noWrap/>
            <w:vAlign w:val="bottom"/>
          </w:tcPr>
          <w:p w14:paraId="1735CB63" w14:textId="77777777" w:rsidR="001B6918" w:rsidRPr="00F414DB" w:rsidRDefault="001B6918" w:rsidP="00730ECF">
            <w:pPr>
              <w:jc w:val="right"/>
              <w:rPr>
                <w:rFonts w:eastAsia="Times New Roman" w:cstheme="minorHAnsi"/>
                <w:color w:val="FF0000"/>
              </w:rPr>
            </w:pPr>
            <w:r>
              <w:rPr>
                <w:rFonts w:ascii="Calibri" w:hAnsi="Calibri" w:cs="Calibri"/>
                <w:color w:val="000000"/>
              </w:rPr>
              <w:t xml:space="preserve">              3,896 </w:t>
            </w:r>
          </w:p>
        </w:tc>
        <w:tc>
          <w:tcPr>
            <w:tcW w:w="1260" w:type="dxa"/>
            <w:tcBorders>
              <w:top w:val="nil"/>
              <w:left w:val="nil"/>
              <w:bottom w:val="nil"/>
              <w:right w:val="nil"/>
            </w:tcBorders>
          </w:tcPr>
          <w:p w14:paraId="05C862F8" w14:textId="77777777" w:rsidR="001B6918" w:rsidRPr="00F414DB" w:rsidRDefault="001B6918" w:rsidP="00730ECF">
            <w:pPr>
              <w:jc w:val="right"/>
              <w:rPr>
                <w:rFonts w:cstheme="minorHAnsi"/>
                <w:color w:val="FF0000"/>
              </w:rPr>
            </w:pPr>
            <w:r w:rsidRPr="008C0E38">
              <w:t xml:space="preserve"> 228 </w:t>
            </w:r>
          </w:p>
        </w:tc>
      </w:tr>
      <w:tr w:rsidR="001B6918" w:rsidRPr="004E6649" w14:paraId="371C8DCA" w14:textId="77777777" w:rsidTr="00730ECF">
        <w:trPr>
          <w:trHeight w:val="288"/>
          <w:jc w:val="center"/>
        </w:trPr>
        <w:tc>
          <w:tcPr>
            <w:tcW w:w="1980" w:type="dxa"/>
            <w:tcBorders>
              <w:top w:val="nil"/>
              <w:left w:val="nil"/>
              <w:bottom w:val="nil"/>
              <w:right w:val="nil"/>
            </w:tcBorders>
            <w:shd w:val="clear" w:color="000000" w:fill="FFFFFF"/>
            <w:noWrap/>
            <w:vAlign w:val="bottom"/>
            <w:hideMark/>
          </w:tcPr>
          <w:p w14:paraId="7C3E47E3" w14:textId="77777777" w:rsidR="001B6918" w:rsidRPr="004E6649" w:rsidRDefault="001B6918" w:rsidP="00730ECF">
            <w:pPr>
              <w:jc w:val="center"/>
              <w:rPr>
                <w:rFonts w:eastAsia="Times New Roman" w:cstheme="minorHAnsi"/>
                <w:color w:val="0D0D0D"/>
              </w:rPr>
            </w:pPr>
            <w:r w:rsidRPr="004E6649">
              <w:rPr>
                <w:rFonts w:eastAsia="Times New Roman" w:cstheme="minorHAnsi"/>
                <w:color w:val="0D0D0D"/>
              </w:rPr>
              <w:t>203</w:t>
            </w:r>
            <w:r>
              <w:rPr>
                <w:rFonts w:eastAsia="Times New Roman" w:cstheme="minorHAnsi"/>
                <w:color w:val="0D0D0D"/>
              </w:rPr>
              <w:t>6</w:t>
            </w:r>
            <w:r w:rsidRPr="004E6649">
              <w:rPr>
                <w:rFonts w:eastAsia="Times New Roman" w:cstheme="minorHAnsi"/>
                <w:color w:val="0D0D0D"/>
              </w:rPr>
              <w:t>-20</w:t>
            </w:r>
            <w:r>
              <w:rPr>
                <w:rFonts w:eastAsia="Times New Roman" w:cstheme="minorHAnsi"/>
                <w:color w:val="0D0D0D"/>
              </w:rPr>
              <w:t>40</w:t>
            </w:r>
          </w:p>
        </w:tc>
        <w:tc>
          <w:tcPr>
            <w:tcW w:w="1337" w:type="dxa"/>
            <w:tcBorders>
              <w:top w:val="nil"/>
              <w:left w:val="nil"/>
              <w:bottom w:val="nil"/>
              <w:right w:val="nil"/>
            </w:tcBorders>
            <w:shd w:val="clear" w:color="000000" w:fill="FFFFFF"/>
            <w:noWrap/>
            <w:vAlign w:val="center"/>
            <w:hideMark/>
          </w:tcPr>
          <w:p w14:paraId="7C58D5A8" w14:textId="77777777" w:rsidR="001B6918" w:rsidRPr="006E63F8" w:rsidRDefault="001B6918" w:rsidP="00730ECF">
            <w:pPr>
              <w:jc w:val="right"/>
              <w:rPr>
                <w:rFonts w:eastAsia="Times New Roman" w:cstheme="minorHAnsi"/>
                <w:color w:val="FF0000"/>
              </w:rPr>
            </w:pPr>
            <w:r w:rsidRPr="006E63F8">
              <w:rPr>
                <w:rFonts w:cstheme="minorHAnsi"/>
                <w:color w:val="000000"/>
              </w:rPr>
              <w:t>3,447</w:t>
            </w:r>
          </w:p>
        </w:tc>
        <w:tc>
          <w:tcPr>
            <w:tcW w:w="1337" w:type="dxa"/>
            <w:tcBorders>
              <w:top w:val="nil"/>
              <w:left w:val="nil"/>
              <w:bottom w:val="nil"/>
              <w:right w:val="nil"/>
            </w:tcBorders>
            <w:shd w:val="clear" w:color="000000" w:fill="FFFFFF"/>
            <w:noWrap/>
            <w:vAlign w:val="center"/>
            <w:hideMark/>
          </w:tcPr>
          <w:p w14:paraId="77099A85" w14:textId="77777777" w:rsidR="001B6918" w:rsidRPr="00F414DB" w:rsidRDefault="001B6918" w:rsidP="00730ECF">
            <w:pPr>
              <w:jc w:val="right"/>
              <w:rPr>
                <w:rFonts w:eastAsia="Times New Roman" w:cstheme="minorHAnsi"/>
                <w:color w:val="FF0000"/>
              </w:rPr>
            </w:pPr>
            <w:r>
              <w:rPr>
                <w:rFonts w:ascii="Calibri" w:hAnsi="Calibri" w:cs="Calibri"/>
                <w:color w:val="000000"/>
              </w:rPr>
              <w:t xml:space="preserve">                 903 </w:t>
            </w:r>
          </w:p>
        </w:tc>
        <w:tc>
          <w:tcPr>
            <w:tcW w:w="1414" w:type="dxa"/>
            <w:tcBorders>
              <w:top w:val="nil"/>
              <w:left w:val="nil"/>
              <w:bottom w:val="nil"/>
              <w:right w:val="nil"/>
            </w:tcBorders>
            <w:noWrap/>
            <w:vAlign w:val="center"/>
          </w:tcPr>
          <w:p w14:paraId="4679D056" w14:textId="77777777" w:rsidR="001B6918" w:rsidRPr="006E63F8" w:rsidRDefault="001B6918" w:rsidP="00730ECF">
            <w:pPr>
              <w:jc w:val="right"/>
              <w:rPr>
                <w:rFonts w:eastAsia="Times New Roman" w:cstheme="minorHAnsi"/>
              </w:rPr>
            </w:pPr>
            <w:r w:rsidRPr="006E63F8">
              <w:rPr>
                <w:rFonts w:ascii="Calibri" w:hAnsi="Calibri" w:cs="Calibri"/>
              </w:rPr>
              <w:t xml:space="preserve"> - </w:t>
            </w:r>
          </w:p>
        </w:tc>
        <w:tc>
          <w:tcPr>
            <w:tcW w:w="1260" w:type="dxa"/>
            <w:tcBorders>
              <w:top w:val="nil"/>
              <w:left w:val="nil"/>
              <w:bottom w:val="nil"/>
              <w:right w:val="nil"/>
            </w:tcBorders>
          </w:tcPr>
          <w:p w14:paraId="4A3A3BFF" w14:textId="77777777" w:rsidR="001B6918" w:rsidRPr="006E63F8" w:rsidRDefault="001B6918" w:rsidP="00730ECF">
            <w:pPr>
              <w:jc w:val="right"/>
              <w:rPr>
                <w:rFonts w:cstheme="minorHAnsi"/>
              </w:rPr>
            </w:pPr>
            <w:r w:rsidRPr="006E63F8">
              <w:t>-</w:t>
            </w:r>
          </w:p>
        </w:tc>
      </w:tr>
      <w:tr w:rsidR="001B6918" w:rsidRPr="004E6649" w14:paraId="7C11B866" w14:textId="77777777" w:rsidTr="00730ECF">
        <w:trPr>
          <w:trHeight w:val="288"/>
          <w:jc w:val="center"/>
        </w:trPr>
        <w:tc>
          <w:tcPr>
            <w:tcW w:w="1980" w:type="dxa"/>
            <w:tcBorders>
              <w:top w:val="nil"/>
              <w:left w:val="nil"/>
              <w:bottom w:val="single" w:sz="8" w:space="0" w:color="000000" w:themeColor="text1"/>
              <w:right w:val="nil"/>
            </w:tcBorders>
            <w:shd w:val="clear" w:color="000000" w:fill="FFFFFF"/>
            <w:noWrap/>
            <w:vAlign w:val="bottom"/>
          </w:tcPr>
          <w:p w14:paraId="5D78444A" w14:textId="77777777" w:rsidR="001B6918" w:rsidRPr="004E6649" w:rsidRDefault="001B6918" w:rsidP="00730ECF">
            <w:pPr>
              <w:jc w:val="center"/>
              <w:rPr>
                <w:rFonts w:eastAsia="Times New Roman" w:cstheme="minorHAnsi"/>
                <w:color w:val="0D0D0D"/>
              </w:rPr>
            </w:pPr>
            <w:r w:rsidRPr="004E6649">
              <w:rPr>
                <w:rFonts w:eastAsia="Times New Roman" w:cstheme="minorHAnsi"/>
                <w:color w:val="0D0D0D"/>
              </w:rPr>
              <w:t>20</w:t>
            </w:r>
            <w:r>
              <w:rPr>
                <w:rFonts w:eastAsia="Times New Roman" w:cstheme="minorHAnsi"/>
                <w:color w:val="0D0D0D"/>
              </w:rPr>
              <w:t>41</w:t>
            </w:r>
            <w:r w:rsidRPr="004E6649">
              <w:rPr>
                <w:rFonts w:eastAsia="Times New Roman" w:cstheme="minorHAnsi"/>
                <w:color w:val="0D0D0D"/>
              </w:rPr>
              <w:t>-204</w:t>
            </w:r>
            <w:r>
              <w:rPr>
                <w:rFonts w:eastAsia="Times New Roman" w:cstheme="minorHAnsi"/>
                <w:color w:val="0D0D0D"/>
              </w:rPr>
              <w:t>5</w:t>
            </w:r>
          </w:p>
        </w:tc>
        <w:tc>
          <w:tcPr>
            <w:tcW w:w="1337" w:type="dxa"/>
            <w:tcBorders>
              <w:top w:val="nil"/>
              <w:left w:val="nil"/>
              <w:bottom w:val="single" w:sz="8" w:space="0" w:color="000000" w:themeColor="text1"/>
              <w:right w:val="nil"/>
            </w:tcBorders>
            <w:shd w:val="clear" w:color="000000" w:fill="FFFFFF"/>
            <w:noWrap/>
            <w:vAlign w:val="center"/>
          </w:tcPr>
          <w:p w14:paraId="69E0B6C7" w14:textId="77777777" w:rsidR="001B6918" w:rsidRPr="006E63F8" w:rsidRDefault="001B6918" w:rsidP="00730ECF">
            <w:pPr>
              <w:jc w:val="right"/>
              <w:rPr>
                <w:rFonts w:cstheme="minorHAnsi"/>
                <w:color w:val="FF0000"/>
              </w:rPr>
            </w:pPr>
            <w:r w:rsidRPr="006E63F8">
              <w:rPr>
                <w:rFonts w:cstheme="minorHAnsi"/>
                <w:color w:val="000000"/>
              </w:rPr>
              <w:t>2,507</w:t>
            </w:r>
          </w:p>
        </w:tc>
        <w:tc>
          <w:tcPr>
            <w:tcW w:w="1337" w:type="dxa"/>
            <w:tcBorders>
              <w:top w:val="nil"/>
              <w:left w:val="nil"/>
              <w:bottom w:val="single" w:sz="8" w:space="0" w:color="000000" w:themeColor="text1"/>
              <w:right w:val="nil"/>
            </w:tcBorders>
            <w:shd w:val="clear" w:color="000000" w:fill="FFFFFF"/>
            <w:noWrap/>
            <w:vAlign w:val="center"/>
          </w:tcPr>
          <w:p w14:paraId="6CD0DFB5" w14:textId="77777777" w:rsidR="001B6918" w:rsidRPr="00F414DB" w:rsidRDefault="001B6918" w:rsidP="00730ECF">
            <w:pPr>
              <w:jc w:val="right"/>
              <w:rPr>
                <w:rFonts w:cstheme="minorHAnsi"/>
                <w:color w:val="FF0000"/>
              </w:rPr>
            </w:pPr>
            <w:r>
              <w:rPr>
                <w:rFonts w:ascii="Calibri" w:hAnsi="Calibri" w:cs="Calibri"/>
                <w:color w:val="000000"/>
              </w:rPr>
              <w:t xml:space="preserve">                 205 </w:t>
            </w:r>
          </w:p>
        </w:tc>
        <w:tc>
          <w:tcPr>
            <w:tcW w:w="1414" w:type="dxa"/>
            <w:tcBorders>
              <w:top w:val="nil"/>
              <w:left w:val="nil"/>
              <w:bottom w:val="single" w:sz="8" w:space="0" w:color="000000" w:themeColor="text1"/>
              <w:right w:val="nil"/>
            </w:tcBorders>
            <w:noWrap/>
            <w:vAlign w:val="bottom"/>
          </w:tcPr>
          <w:p w14:paraId="242326C8" w14:textId="77777777" w:rsidR="001B6918" w:rsidRPr="006E63F8" w:rsidRDefault="001B6918" w:rsidP="00730ECF">
            <w:pPr>
              <w:jc w:val="right"/>
              <w:rPr>
                <w:rFonts w:eastAsia="Times New Roman" w:cstheme="minorHAnsi"/>
              </w:rPr>
            </w:pPr>
            <w:r w:rsidRPr="006E63F8">
              <w:rPr>
                <w:rFonts w:eastAsia="Times New Roman" w:cstheme="minorHAnsi"/>
              </w:rPr>
              <w:t>-</w:t>
            </w:r>
          </w:p>
        </w:tc>
        <w:tc>
          <w:tcPr>
            <w:tcW w:w="1260" w:type="dxa"/>
            <w:tcBorders>
              <w:top w:val="nil"/>
              <w:left w:val="nil"/>
              <w:bottom w:val="single" w:sz="8" w:space="0" w:color="000000" w:themeColor="text1"/>
              <w:right w:val="nil"/>
            </w:tcBorders>
            <w:vAlign w:val="bottom"/>
          </w:tcPr>
          <w:p w14:paraId="73937C3A" w14:textId="77777777" w:rsidR="001B6918" w:rsidRPr="006E63F8" w:rsidRDefault="001B6918" w:rsidP="00730ECF">
            <w:pPr>
              <w:jc w:val="right"/>
              <w:rPr>
                <w:rFonts w:cstheme="minorHAnsi"/>
              </w:rPr>
            </w:pPr>
            <w:r w:rsidRPr="006E63F8">
              <w:rPr>
                <w:rFonts w:eastAsia="Times New Roman" w:cstheme="minorHAnsi"/>
              </w:rPr>
              <w:t>-</w:t>
            </w:r>
          </w:p>
        </w:tc>
      </w:tr>
      <w:tr w:rsidR="001B6918" w:rsidRPr="006E63F8" w14:paraId="7E4133A8" w14:textId="77777777" w:rsidTr="003766F2">
        <w:trPr>
          <w:trHeight w:val="300"/>
          <w:jc w:val="center"/>
        </w:trPr>
        <w:tc>
          <w:tcPr>
            <w:tcW w:w="1980" w:type="dxa"/>
            <w:tcBorders>
              <w:top w:val="single" w:sz="8" w:space="0" w:color="000000" w:themeColor="text1"/>
              <w:left w:val="nil"/>
              <w:bottom w:val="double" w:sz="4" w:space="0" w:color="000000" w:themeColor="text1"/>
              <w:right w:val="nil"/>
            </w:tcBorders>
            <w:shd w:val="clear" w:color="000000" w:fill="FFFFFF"/>
            <w:noWrap/>
            <w:vAlign w:val="bottom"/>
            <w:hideMark/>
          </w:tcPr>
          <w:p w14:paraId="4EDC20A8" w14:textId="77777777" w:rsidR="001B6918" w:rsidRPr="004E6649" w:rsidRDefault="001B6918" w:rsidP="00730ECF">
            <w:pPr>
              <w:rPr>
                <w:rFonts w:eastAsia="Times New Roman" w:cstheme="minorHAnsi"/>
                <w:b/>
                <w:bCs/>
                <w:color w:val="0D0D0D"/>
              </w:rPr>
            </w:pPr>
            <w:r w:rsidRPr="004E6649">
              <w:rPr>
                <w:rFonts w:eastAsia="Times New Roman" w:cstheme="minorHAnsi"/>
                <w:b/>
                <w:bCs/>
                <w:color w:val="0D0D0D"/>
              </w:rPr>
              <w:t>Total Payments</w:t>
            </w:r>
          </w:p>
        </w:tc>
        <w:tc>
          <w:tcPr>
            <w:tcW w:w="1337" w:type="dxa"/>
            <w:tcBorders>
              <w:top w:val="single" w:sz="8" w:space="0" w:color="000000" w:themeColor="text1"/>
              <w:left w:val="nil"/>
              <w:bottom w:val="double" w:sz="4" w:space="0" w:color="000000" w:themeColor="text1"/>
              <w:right w:val="nil"/>
            </w:tcBorders>
            <w:noWrap/>
            <w:vAlign w:val="bottom"/>
            <w:hideMark/>
          </w:tcPr>
          <w:p w14:paraId="6D45F470" w14:textId="632941AE" w:rsidR="001B6918" w:rsidRPr="000F1362" w:rsidRDefault="001B6918" w:rsidP="00CC5698">
            <w:pPr>
              <w:jc w:val="right"/>
              <w:rPr>
                <w:rFonts w:eastAsia="Times New Roman" w:cstheme="minorHAnsi"/>
                <w:color w:val="FF0000"/>
              </w:rPr>
            </w:pPr>
            <w:r w:rsidRPr="000F1362">
              <w:rPr>
                <w:rFonts w:cstheme="minorHAnsi"/>
                <w:color w:val="000000"/>
              </w:rPr>
              <w:t>$59,473</w:t>
            </w:r>
          </w:p>
        </w:tc>
        <w:tc>
          <w:tcPr>
            <w:tcW w:w="1337" w:type="dxa"/>
            <w:tcBorders>
              <w:top w:val="single" w:sz="8" w:space="0" w:color="000000" w:themeColor="text1"/>
              <w:left w:val="nil"/>
              <w:bottom w:val="double" w:sz="4" w:space="0" w:color="000000" w:themeColor="text1"/>
              <w:right w:val="nil"/>
            </w:tcBorders>
            <w:noWrap/>
            <w:vAlign w:val="bottom"/>
            <w:hideMark/>
          </w:tcPr>
          <w:p w14:paraId="2FBF5A4F" w14:textId="77777777" w:rsidR="001B6918" w:rsidRPr="000F1362" w:rsidRDefault="001B6918" w:rsidP="00730ECF">
            <w:pPr>
              <w:jc w:val="right"/>
              <w:rPr>
                <w:rFonts w:cstheme="minorHAnsi"/>
                <w:color w:val="FF0000"/>
              </w:rPr>
            </w:pPr>
            <w:r w:rsidRPr="000F1362">
              <w:rPr>
                <w:rFonts w:cstheme="minorHAnsi"/>
                <w:color w:val="000000"/>
              </w:rPr>
              <w:t xml:space="preserve">$6,171 </w:t>
            </w:r>
          </w:p>
        </w:tc>
        <w:tc>
          <w:tcPr>
            <w:tcW w:w="1414" w:type="dxa"/>
            <w:tcBorders>
              <w:top w:val="single" w:sz="8" w:space="0" w:color="000000" w:themeColor="text1"/>
              <w:left w:val="nil"/>
              <w:bottom w:val="double" w:sz="4" w:space="0" w:color="000000" w:themeColor="text1"/>
              <w:right w:val="nil"/>
            </w:tcBorders>
            <w:noWrap/>
            <w:vAlign w:val="bottom"/>
            <w:hideMark/>
          </w:tcPr>
          <w:p w14:paraId="5AF858A5" w14:textId="77777777" w:rsidR="001B6918" w:rsidRPr="000F1362" w:rsidRDefault="001B6918" w:rsidP="00730ECF">
            <w:pPr>
              <w:jc w:val="right"/>
              <w:rPr>
                <w:rFonts w:eastAsia="Times New Roman" w:cstheme="minorHAnsi"/>
              </w:rPr>
            </w:pPr>
            <w:r w:rsidRPr="000F1362">
              <w:rPr>
                <w:rFonts w:cstheme="minorHAnsi"/>
              </w:rPr>
              <w:t>$18,655</w:t>
            </w:r>
          </w:p>
        </w:tc>
        <w:tc>
          <w:tcPr>
            <w:tcW w:w="1260" w:type="dxa"/>
            <w:tcBorders>
              <w:top w:val="single" w:sz="8" w:space="0" w:color="000000" w:themeColor="text1"/>
              <w:left w:val="nil"/>
              <w:bottom w:val="double" w:sz="4" w:space="0" w:color="000000" w:themeColor="text1"/>
              <w:right w:val="nil"/>
            </w:tcBorders>
            <w:vAlign w:val="bottom"/>
          </w:tcPr>
          <w:p w14:paraId="046DAAE1" w14:textId="77777777" w:rsidR="001B6918" w:rsidRPr="000F1362" w:rsidRDefault="001B6918" w:rsidP="00730ECF">
            <w:pPr>
              <w:jc w:val="right"/>
              <w:rPr>
                <w:rFonts w:eastAsia="Times New Roman" w:cstheme="minorHAnsi"/>
              </w:rPr>
            </w:pPr>
            <w:r w:rsidRPr="000F1362">
              <w:rPr>
                <w:rFonts w:eastAsia="Times New Roman" w:cstheme="minorHAnsi"/>
              </w:rPr>
              <w:t>$2,078</w:t>
            </w:r>
          </w:p>
        </w:tc>
      </w:tr>
    </w:tbl>
    <w:p w14:paraId="26679D88" w14:textId="77777777" w:rsidR="001B6918" w:rsidRPr="004E6649" w:rsidRDefault="001B6918" w:rsidP="001B6918">
      <w:pPr>
        <w:spacing w:before="100" w:beforeAutospacing="1" w:after="160" w:line="259" w:lineRule="auto"/>
        <w:rPr>
          <w:rFonts w:cstheme="minorHAnsi"/>
          <w:noProof/>
          <w:spacing w:val="-2"/>
          <w:sz w:val="24"/>
          <w:szCs w:val="24"/>
        </w:rPr>
      </w:pPr>
      <w:r w:rsidRPr="004E6649">
        <w:rPr>
          <w:rFonts w:cstheme="minorHAnsi"/>
          <w:noProof/>
          <w:spacing w:val="-2"/>
          <w:sz w:val="24"/>
          <w:szCs w:val="24"/>
        </w:rPr>
        <w:t>As of June 30, 202</w:t>
      </w:r>
      <w:r>
        <w:rPr>
          <w:rFonts w:cstheme="minorHAnsi"/>
          <w:noProof/>
          <w:spacing w:val="-2"/>
          <w:sz w:val="24"/>
          <w:szCs w:val="24"/>
        </w:rPr>
        <w:t>5</w:t>
      </w:r>
      <w:r w:rsidRPr="004E6649">
        <w:rPr>
          <w:rFonts w:cstheme="minorHAnsi"/>
          <w:noProof/>
          <w:spacing w:val="-2"/>
          <w:sz w:val="24"/>
          <w:szCs w:val="24"/>
        </w:rPr>
        <w:t xml:space="preserve"> and 202</w:t>
      </w:r>
      <w:r>
        <w:rPr>
          <w:rFonts w:cstheme="minorHAnsi"/>
          <w:noProof/>
          <w:spacing w:val="-2"/>
          <w:sz w:val="24"/>
          <w:szCs w:val="24"/>
        </w:rPr>
        <w:t>4</w:t>
      </w:r>
      <w:r w:rsidRPr="004E6649">
        <w:rPr>
          <w:rFonts w:cstheme="minorHAnsi"/>
          <w:noProof/>
          <w:spacing w:val="-2"/>
          <w:sz w:val="24"/>
          <w:szCs w:val="24"/>
        </w:rPr>
        <w:t xml:space="preserve">, </w:t>
      </w:r>
      <w:r w:rsidRPr="004E6649">
        <w:rPr>
          <w:rFonts w:eastAsia="Times New Roman" w:cstheme="minorHAnsi"/>
          <w:bCs/>
          <w:spacing w:val="-3"/>
          <w:sz w:val="24"/>
          <w:szCs w:val="24"/>
        </w:rPr>
        <w:t>right</w:t>
      </w:r>
      <w:r>
        <w:rPr>
          <w:rFonts w:eastAsia="Times New Roman" w:cstheme="minorHAnsi"/>
          <w:bCs/>
          <w:spacing w:val="-3"/>
          <w:sz w:val="24"/>
          <w:szCs w:val="24"/>
        </w:rPr>
        <w:t>-to-</w:t>
      </w:r>
      <w:r w:rsidRPr="004E6649">
        <w:rPr>
          <w:rFonts w:eastAsia="Times New Roman" w:cstheme="minorHAnsi"/>
          <w:bCs/>
          <w:spacing w:val="-3"/>
          <w:sz w:val="24"/>
          <w:szCs w:val="24"/>
        </w:rPr>
        <w:t xml:space="preserve">use </w:t>
      </w:r>
      <w:r w:rsidRPr="004E6649">
        <w:rPr>
          <w:rFonts w:cstheme="minorHAnsi"/>
          <w:noProof/>
          <w:spacing w:val="-2"/>
          <w:sz w:val="24"/>
          <w:szCs w:val="24"/>
        </w:rPr>
        <w:t>lease assets acquired through outstanding leases consisting of building and office space totalled $</w:t>
      </w:r>
      <w:r w:rsidRPr="00887827">
        <w:rPr>
          <w:rFonts w:cstheme="minorHAnsi"/>
          <w:noProof/>
          <w:spacing w:val="-2"/>
          <w:sz w:val="24"/>
          <w:szCs w:val="24"/>
        </w:rPr>
        <w:t xml:space="preserve">57,748 (net of $13,456 </w:t>
      </w:r>
      <w:r w:rsidRPr="005F1F52">
        <w:rPr>
          <w:rFonts w:cstheme="minorHAnsi"/>
          <w:noProof/>
          <w:spacing w:val="-2"/>
          <w:sz w:val="24"/>
          <w:szCs w:val="24"/>
        </w:rPr>
        <w:t xml:space="preserve">accumulated </w:t>
      </w:r>
      <w:r w:rsidRPr="004E6649">
        <w:rPr>
          <w:rFonts w:cstheme="minorHAnsi"/>
          <w:noProof/>
          <w:spacing w:val="-2"/>
          <w:sz w:val="24"/>
          <w:szCs w:val="24"/>
        </w:rPr>
        <w:t>amortization) and $</w:t>
      </w:r>
      <w:r w:rsidRPr="00AB2678">
        <w:rPr>
          <w:rFonts w:cstheme="minorHAnsi"/>
          <w:noProof/>
          <w:spacing w:val="-2"/>
          <w:sz w:val="24"/>
          <w:szCs w:val="24"/>
        </w:rPr>
        <w:t>61,366 (net of $9,83</w:t>
      </w:r>
      <w:r>
        <w:rPr>
          <w:rFonts w:cstheme="minorHAnsi"/>
          <w:noProof/>
          <w:spacing w:val="-2"/>
          <w:sz w:val="24"/>
          <w:szCs w:val="24"/>
        </w:rPr>
        <w:t>8</w:t>
      </w:r>
      <w:r w:rsidRPr="00AB2678">
        <w:rPr>
          <w:rFonts w:cstheme="minorHAnsi"/>
          <w:noProof/>
          <w:spacing w:val="-2"/>
          <w:sz w:val="24"/>
          <w:szCs w:val="24"/>
        </w:rPr>
        <w:t xml:space="preserve"> </w:t>
      </w:r>
      <w:r w:rsidRPr="004E6649">
        <w:rPr>
          <w:rFonts w:cstheme="minorHAnsi"/>
          <w:noProof/>
          <w:spacing w:val="-2"/>
          <w:sz w:val="24"/>
          <w:szCs w:val="24"/>
        </w:rPr>
        <w:t xml:space="preserve">accumulated amortization) ), respectively </w:t>
      </w:r>
      <w:r w:rsidRPr="004E6649">
        <w:rPr>
          <w:rFonts w:cstheme="minorHAnsi"/>
          <w:i/>
          <w:noProof/>
          <w:spacing w:val="-2"/>
          <w:sz w:val="24"/>
          <w:szCs w:val="24"/>
        </w:rPr>
        <w:t>(Note 6)</w:t>
      </w:r>
      <w:r w:rsidRPr="004E6649">
        <w:rPr>
          <w:rFonts w:cstheme="minorHAnsi"/>
          <w:noProof/>
          <w:spacing w:val="-2"/>
          <w:sz w:val="24"/>
          <w:szCs w:val="24"/>
        </w:rPr>
        <w:t xml:space="preserve">. </w:t>
      </w:r>
    </w:p>
    <w:p w14:paraId="70133AA7" w14:textId="77777777" w:rsidR="001B6918" w:rsidRPr="00A02D27" w:rsidRDefault="001B6918" w:rsidP="001B6918">
      <w:pPr>
        <w:spacing w:after="160" w:line="259" w:lineRule="auto"/>
        <w:rPr>
          <w:rFonts w:eastAsiaTheme="majorEastAsia" w:cstheme="minorHAnsi"/>
          <w:b/>
          <w:i/>
          <w:iCs/>
          <w:smallCaps/>
          <w:noProof/>
          <w:color w:val="000000" w:themeColor="text1"/>
          <w:sz w:val="24"/>
          <w:szCs w:val="24"/>
          <w:u w:color="5B9BD5"/>
        </w:rPr>
      </w:pPr>
      <w:r w:rsidRPr="004E6649">
        <w:rPr>
          <w:rFonts w:cstheme="minorHAnsi"/>
          <w:noProof/>
          <w:spacing w:val="-2"/>
          <w:sz w:val="24"/>
          <w:szCs w:val="24"/>
        </w:rPr>
        <w:t>As of June 30, 202</w:t>
      </w:r>
      <w:r>
        <w:rPr>
          <w:rFonts w:cstheme="minorHAnsi"/>
          <w:noProof/>
          <w:spacing w:val="-2"/>
          <w:sz w:val="24"/>
          <w:szCs w:val="24"/>
        </w:rPr>
        <w:t>5</w:t>
      </w:r>
      <w:r w:rsidRPr="004E6649">
        <w:rPr>
          <w:rFonts w:cstheme="minorHAnsi"/>
          <w:noProof/>
          <w:spacing w:val="-2"/>
          <w:sz w:val="24"/>
          <w:szCs w:val="24"/>
        </w:rPr>
        <w:t xml:space="preserve"> and 202</w:t>
      </w:r>
      <w:r>
        <w:rPr>
          <w:rFonts w:cstheme="minorHAnsi"/>
          <w:noProof/>
          <w:spacing w:val="-2"/>
          <w:sz w:val="24"/>
          <w:szCs w:val="24"/>
        </w:rPr>
        <w:t>4</w:t>
      </w:r>
      <w:r w:rsidRPr="004E6649">
        <w:rPr>
          <w:rFonts w:cstheme="minorHAnsi"/>
          <w:noProof/>
          <w:spacing w:val="-2"/>
          <w:sz w:val="24"/>
          <w:szCs w:val="24"/>
        </w:rPr>
        <w:t xml:space="preserve">, </w:t>
      </w:r>
      <w:r w:rsidRPr="004E6649">
        <w:rPr>
          <w:rFonts w:eastAsia="Times New Roman" w:cstheme="minorHAnsi"/>
          <w:bCs/>
          <w:spacing w:val="-3"/>
          <w:sz w:val="24"/>
          <w:szCs w:val="24"/>
        </w:rPr>
        <w:t>subscription based IT arrangements for the right to use information technology hardware and software totaled</w:t>
      </w:r>
      <w:r w:rsidRPr="004E6649">
        <w:rPr>
          <w:rFonts w:cstheme="minorHAnsi"/>
          <w:noProof/>
          <w:spacing w:val="-2"/>
          <w:sz w:val="24"/>
          <w:szCs w:val="24"/>
        </w:rPr>
        <w:t xml:space="preserve"> </w:t>
      </w:r>
      <w:r w:rsidRPr="00887827">
        <w:rPr>
          <w:rFonts w:cstheme="minorHAnsi"/>
          <w:noProof/>
          <w:spacing w:val="-2"/>
          <w:sz w:val="24"/>
          <w:szCs w:val="24"/>
        </w:rPr>
        <w:t xml:space="preserve">$19,393 (net of $16,420 </w:t>
      </w:r>
      <w:r w:rsidRPr="004E6649">
        <w:rPr>
          <w:rFonts w:cstheme="minorHAnsi"/>
          <w:noProof/>
          <w:spacing w:val="-2"/>
          <w:sz w:val="24"/>
          <w:szCs w:val="24"/>
        </w:rPr>
        <w:t>accumulated amortization) and $</w:t>
      </w:r>
      <w:r>
        <w:rPr>
          <w:rFonts w:cstheme="minorHAnsi"/>
          <w:noProof/>
          <w:spacing w:val="-2"/>
          <w:sz w:val="24"/>
          <w:szCs w:val="24"/>
        </w:rPr>
        <w:t>14,495</w:t>
      </w:r>
      <w:r w:rsidRPr="00DE467C">
        <w:rPr>
          <w:rFonts w:cstheme="minorHAnsi"/>
          <w:noProof/>
          <w:spacing w:val="-2"/>
          <w:sz w:val="24"/>
          <w:szCs w:val="24"/>
        </w:rPr>
        <w:t xml:space="preserve"> (net of $</w:t>
      </w:r>
      <w:r>
        <w:rPr>
          <w:rFonts w:cstheme="minorHAnsi"/>
          <w:noProof/>
          <w:spacing w:val="-2"/>
          <w:sz w:val="24"/>
          <w:szCs w:val="24"/>
        </w:rPr>
        <w:t xml:space="preserve">11,035 </w:t>
      </w:r>
      <w:r w:rsidRPr="004E6649">
        <w:rPr>
          <w:rFonts w:cstheme="minorHAnsi"/>
          <w:noProof/>
          <w:spacing w:val="-2"/>
          <w:sz w:val="24"/>
          <w:szCs w:val="24"/>
        </w:rPr>
        <w:t>accumulated amortization</w:t>
      </w:r>
      <w:r w:rsidRPr="004E6649" w:rsidDel="00342698">
        <w:rPr>
          <w:rFonts w:cstheme="minorHAnsi"/>
          <w:noProof/>
          <w:spacing w:val="-2"/>
          <w:sz w:val="24"/>
          <w:szCs w:val="24"/>
        </w:rPr>
        <w:t xml:space="preserve"> </w:t>
      </w:r>
      <w:r w:rsidRPr="004E6649">
        <w:rPr>
          <w:rFonts w:cstheme="minorHAnsi"/>
          <w:noProof/>
          <w:spacing w:val="-2"/>
          <w:sz w:val="24"/>
          <w:szCs w:val="24"/>
        </w:rPr>
        <w:t xml:space="preserve">), respectively </w:t>
      </w:r>
      <w:r w:rsidRPr="004E6649">
        <w:rPr>
          <w:rFonts w:cstheme="minorHAnsi"/>
          <w:i/>
          <w:noProof/>
          <w:spacing w:val="-2"/>
          <w:sz w:val="24"/>
          <w:szCs w:val="24"/>
        </w:rPr>
        <w:t>(Note 6)</w:t>
      </w:r>
      <w:r w:rsidRPr="004E6649">
        <w:rPr>
          <w:rFonts w:cstheme="minorHAnsi"/>
          <w:noProof/>
          <w:spacing w:val="-2"/>
          <w:sz w:val="24"/>
          <w:szCs w:val="24"/>
        </w:rPr>
        <w:t xml:space="preserve">. </w:t>
      </w:r>
      <w:r w:rsidRPr="004E6649">
        <w:rPr>
          <w:rFonts w:cstheme="minorHAnsi"/>
          <w:noProof/>
          <w:spacing w:val="-2"/>
          <w:sz w:val="24"/>
          <w:szCs w:val="24"/>
        </w:rPr>
        <w:br w:type="page"/>
      </w:r>
      <w:r w:rsidRPr="00A02D27">
        <w:rPr>
          <w:rFonts w:eastAsiaTheme="majorEastAsia" w:cstheme="minorHAnsi"/>
          <w:b/>
          <w:i/>
          <w:iCs/>
          <w:smallCaps/>
          <w:noProof/>
          <w:color w:val="000000" w:themeColor="text1"/>
          <w:sz w:val="24"/>
          <w:szCs w:val="24"/>
          <w:u w:color="5B9BD5"/>
        </w:rPr>
        <w:lastRenderedPageBreak/>
        <w:t>7. ACCRUED LIABILITIES, LEASE LIABILITIES AND LONG-TERM DEBT – CONTINUED</w:t>
      </w:r>
    </w:p>
    <w:p w14:paraId="2CBE071D" w14:textId="77777777" w:rsidR="001B6918" w:rsidRPr="00A02D27" w:rsidRDefault="001B6918" w:rsidP="001B6918">
      <w:pPr>
        <w:pStyle w:val="AFR3"/>
        <w:spacing w:before="0" w:after="0"/>
        <w:rPr>
          <w:rFonts w:cstheme="minorHAnsi"/>
          <w:bCs/>
          <w:sz w:val="24"/>
          <w:szCs w:val="24"/>
        </w:rPr>
      </w:pPr>
      <w:r w:rsidRPr="00A02D27">
        <w:rPr>
          <w:rFonts w:cstheme="minorHAnsi"/>
          <w:bCs/>
          <w:sz w:val="24"/>
          <w:szCs w:val="24"/>
        </w:rPr>
        <w:t>b. Bonds Payable and Direct Borrowings</w:t>
      </w:r>
    </w:p>
    <w:p w14:paraId="1123B37D" w14:textId="77777777" w:rsidR="001B6918" w:rsidRPr="004E6649" w:rsidRDefault="001B6918" w:rsidP="001B6918">
      <w:pPr>
        <w:tabs>
          <w:tab w:val="left" w:pos="720"/>
          <w:tab w:val="left" w:pos="1260"/>
          <w:tab w:val="left" w:pos="1440"/>
        </w:tabs>
        <w:suppressAutoHyphens/>
        <w:spacing w:after="120"/>
        <w:rPr>
          <w:rFonts w:eastAsia="Times New Roman" w:cstheme="minorHAnsi"/>
          <w:spacing w:val="-3"/>
          <w:sz w:val="2"/>
          <w:szCs w:val="2"/>
        </w:rPr>
      </w:pPr>
      <w:r w:rsidRPr="004E6649">
        <w:rPr>
          <w:rFonts w:eastAsia="Times New Roman" w:cstheme="minorHAnsi"/>
          <w:spacing w:val="-3"/>
          <w:sz w:val="24"/>
          <w:szCs w:val="20"/>
        </w:rPr>
        <w:t xml:space="preserve">Bonds payable and direct borrowings consist of the following </w:t>
      </w:r>
      <w:proofErr w:type="gramStart"/>
      <w:r w:rsidRPr="004E6649">
        <w:rPr>
          <w:rFonts w:eastAsia="Times New Roman" w:cstheme="minorHAnsi"/>
          <w:spacing w:val="-3"/>
          <w:sz w:val="24"/>
          <w:szCs w:val="20"/>
        </w:rPr>
        <w:t>at</w:t>
      </w:r>
      <w:proofErr w:type="gramEnd"/>
      <w:r w:rsidRPr="004E6649">
        <w:rPr>
          <w:rFonts w:eastAsia="Times New Roman" w:cstheme="minorHAnsi"/>
          <w:spacing w:val="-3"/>
          <w:sz w:val="24"/>
          <w:szCs w:val="20"/>
        </w:rPr>
        <w:t xml:space="preserve"> June 30:</w:t>
      </w:r>
      <w:r w:rsidRPr="004E6649">
        <w:rPr>
          <w:rFonts w:eastAsia="Times New Roman" w:cstheme="minorHAnsi"/>
          <w:spacing w:val="-3"/>
          <w:sz w:val="2"/>
          <w:szCs w:val="2"/>
        </w:rPr>
        <w:fldChar w:fldCharType="begin"/>
      </w:r>
      <w:r w:rsidRPr="004E6649">
        <w:rPr>
          <w:rFonts w:eastAsia="Times New Roman" w:cstheme="minorHAnsi"/>
          <w:spacing w:val="-3"/>
          <w:sz w:val="2"/>
          <w:szCs w:val="2"/>
        </w:rPr>
        <w:fldChar w:fldCharType="end"/>
      </w:r>
    </w:p>
    <w:tbl>
      <w:tblPr>
        <w:tblW w:w="9769" w:type="dxa"/>
        <w:jc w:val="center"/>
        <w:tblLook w:val="04A0" w:firstRow="1" w:lastRow="0" w:firstColumn="1" w:lastColumn="0" w:noHBand="0" w:noVBand="1"/>
      </w:tblPr>
      <w:tblGrid>
        <w:gridCol w:w="6570"/>
        <w:gridCol w:w="1599"/>
        <w:gridCol w:w="1600"/>
      </w:tblGrid>
      <w:tr w:rsidR="001B6918" w:rsidRPr="004E6649" w14:paraId="70C47D5D" w14:textId="77777777" w:rsidTr="00730ECF">
        <w:trPr>
          <w:trHeight w:val="300"/>
          <w:tblHeader/>
          <w:jc w:val="center"/>
        </w:trPr>
        <w:tc>
          <w:tcPr>
            <w:tcW w:w="6570" w:type="dxa"/>
            <w:tcBorders>
              <w:top w:val="nil"/>
              <w:left w:val="nil"/>
              <w:bottom w:val="single" w:sz="12" w:space="0" w:color="000000" w:themeColor="text1"/>
              <w:right w:val="nil"/>
            </w:tcBorders>
            <w:shd w:val="clear" w:color="000000" w:fill="FFFFFF"/>
            <w:noWrap/>
            <w:vAlign w:val="bottom"/>
            <w:hideMark/>
          </w:tcPr>
          <w:p w14:paraId="21A96E9F" w14:textId="77777777" w:rsidR="001B6918" w:rsidRPr="004E6649" w:rsidRDefault="001B6918" w:rsidP="00730ECF">
            <w:pPr>
              <w:rPr>
                <w:rFonts w:eastAsia="Times New Roman" w:cstheme="minorHAnsi"/>
                <w:b/>
                <w:bCs/>
                <w:color w:val="0D0D0D"/>
              </w:rPr>
            </w:pPr>
            <w:r w:rsidRPr="004E6649">
              <w:rPr>
                <w:rFonts w:eastAsia="Times New Roman" w:cstheme="minorHAnsi"/>
                <w:b/>
                <w:bCs/>
                <w:color w:val="0D0D0D"/>
              </w:rPr>
              <w:t> </w:t>
            </w:r>
          </w:p>
        </w:tc>
        <w:tc>
          <w:tcPr>
            <w:tcW w:w="1599" w:type="dxa"/>
            <w:tcBorders>
              <w:top w:val="nil"/>
              <w:left w:val="nil"/>
              <w:bottom w:val="single" w:sz="12" w:space="0" w:color="000000" w:themeColor="text1"/>
              <w:right w:val="nil"/>
            </w:tcBorders>
            <w:shd w:val="clear" w:color="000000" w:fill="FFFFFF"/>
            <w:noWrap/>
            <w:vAlign w:val="bottom"/>
            <w:hideMark/>
          </w:tcPr>
          <w:p w14:paraId="7C0583AE"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202</w:t>
            </w:r>
            <w:r>
              <w:rPr>
                <w:rFonts w:eastAsia="Times New Roman" w:cstheme="minorHAnsi"/>
                <w:b/>
                <w:bCs/>
                <w:color w:val="0D0D0D"/>
              </w:rPr>
              <w:t>5</w:t>
            </w:r>
          </w:p>
        </w:tc>
        <w:tc>
          <w:tcPr>
            <w:tcW w:w="1600" w:type="dxa"/>
            <w:tcBorders>
              <w:top w:val="nil"/>
              <w:left w:val="nil"/>
              <w:bottom w:val="single" w:sz="12" w:space="0" w:color="000000" w:themeColor="text1"/>
              <w:right w:val="nil"/>
            </w:tcBorders>
            <w:shd w:val="clear" w:color="auto" w:fill="F2F2F2" w:themeFill="background1" w:themeFillShade="F2"/>
            <w:noWrap/>
            <w:vAlign w:val="bottom"/>
            <w:hideMark/>
          </w:tcPr>
          <w:p w14:paraId="7A9993B5"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202</w:t>
            </w:r>
            <w:r>
              <w:rPr>
                <w:rFonts w:eastAsia="Times New Roman" w:cstheme="minorHAnsi"/>
                <w:b/>
                <w:bCs/>
                <w:color w:val="0D0D0D"/>
              </w:rPr>
              <w:t>4</w:t>
            </w:r>
          </w:p>
        </w:tc>
      </w:tr>
      <w:tr w:rsidR="001B6918" w:rsidRPr="004E6649" w14:paraId="355A1A95" w14:textId="77777777" w:rsidTr="00730ECF">
        <w:trPr>
          <w:trHeight w:val="300"/>
          <w:jc w:val="center"/>
        </w:trPr>
        <w:tc>
          <w:tcPr>
            <w:tcW w:w="6570" w:type="dxa"/>
            <w:tcBorders>
              <w:top w:val="single" w:sz="12" w:space="0" w:color="000000" w:themeColor="text1"/>
              <w:left w:val="nil"/>
              <w:bottom w:val="nil"/>
              <w:right w:val="nil"/>
            </w:tcBorders>
            <w:noWrap/>
            <w:vAlign w:val="bottom"/>
          </w:tcPr>
          <w:p w14:paraId="3D0A474E" w14:textId="77777777" w:rsidR="001B6918" w:rsidRPr="004E6649" w:rsidRDefault="001B6918" w:rsidP="00730ECF">
            <w:pPr>
              <w:rPr>
                <w:rFonts w:eastAsia="Times New Roman" w:cstheme="minorHAnsi"/>
                <w:b/>
                <w:color w:val="0D0D0D"/>
              </w:rPr>
            </w:pPr>
            <w:r w:rsidRPr="004E6649">
              <w:rPr>
                <w:rFonts w:eastAsia="Times New Roman" w:cstheme="minorHAnsi"/>
                <w:b/>
                <w:color w:val="0D0D0D"/>
              </w:rPr>
              <w:t>Bonds Payable:</w:t>
            </w:r>
          </w:p>
        </w:tc>
        <w:tc>
          <w:tcPr>
            <w:tcW w:w="1599" w:type="dxa"/>
            <w:tcBorders>
              <w:top w:val="single" w:sz="12" w:space="0" w:color="000000" w:themeColor="text1"/>
              <w:left w:val="nil"/>
              <w:bottom w:val="nil"/>
              <w:right w:val="nil"/>
            </w:tcBorders>
            <w:shd w:val="clear" w:color="000000" w:fill="FFFFFF"/>
            <w:noWrap/>
            <w:vAlign w:val="bottom"/>
          </w:tcPr>
          <w:p w14:paraId="4E5E522D" w14:textId="77777777" w:rsidR="001B6918" w:rsidRPr="004E6649" w:rsidRDefault="001B6918" w:rsidP="00730ECF">
            <w:pPr>
              <w:jc w:val="center"/>
              <w:rPr>
                <w:rFonts w:eastAsia="Times New Roman" w:cstheme="minorHAnsi"/>
                <w:color w:val="0D0D0D"/>
                <w:u w:val="single"/>
              </w:rPr>
            </w:pPr>
          </w:p>
        </w:tc>
        <w:tc>
          <w:tcPr>
            <w:tcW w:w="1600" w:type="dxa"/>
            <w:tcBorders>
              <w:top w:val="single" w:sz="12" w:space="0" w:color="000000" w:themeColor="text1"/>
              <w:left w:val="nil"/>
              <w:bottom w:val="nil"/>
              <w:right w:val="nil"/>
            </w:tcBorders>
            <w:shd w:val="clear" w:color="auto" w:fill="F2F2F2" w:themeFill="background1" w:themeFillShade="F2"/>
            <w:noWrap/>
            <w:vAlign w:val="bottom"/>
          </w:tcPr>
          <w:p w14:paraId="13837632" w14:textId="77777777" w:rsidR="001B6918" w:rsidRPr="004E6649" w:rsidRDefault="001B6918" w:rsidP="00730ECF">
            <w:pPr>
              <w:jc w:val="center"/>
              <w:rPr>
                <w:rFonts w:eastAsia="Times New Roman" w:cstheme="minorHAnsi"/>
                <w:color w:val="0D0D0D"/>
                <w:u w:val="single"/>
              </w:rPr>
            </w:pPr>
          </w:p>
        </w:tc>
      </w:tr>
      <w:tr w:rsidR="001B6918" w:rsidRPr="004E6649" w14:paraId="5960E39C" w14:textId="77777777" w:rsidTr="00730ECF">
        <w:trPr>
          <w:trHeight w:val="1251"/>
          <w:jc w:val="center"/>
        </w:trPr>
        <w:tc>
          <w:tcPr>
            <w:tcW w:w="6570" w:type="dxa"/>
            <w:tcBorders>
              <w:top w:val="nil"/>
              <w:left w:val="nil"/>
              <w:bottom w:val="nil"/>
              <w:right w:val="nil"/>
            </w:tcBorders>
            <w:vAlign w:val="bottom"/>
          </w:tcPr>
          <w:p w14:paraId="5CBA855E" w14:textId="77777777" w:rsidR="001B6918" w:rsidRPr="003F6431" w:rsidRDefault="001B6918" w:rsidP="00730ECF">
            <w:pPr>
              <w:spacing w:before="120"/>
              <w:ind w:leftChars="106" w:left="248" w:hangingChars="7" w:hanging="15"/>
              <w:rPr>
                <w:rFonts w:eastAsia="Times New Roman" w:cstheme="minorHAnsi"/>
                <w:sz w:val="21"/>
                <w:szCs w:val="21"/>
              </w:rPr>
            </w:pPr>
            <w:r w:rsidRPr="003F6431">
              <w:rPr>
                <w:rFonts w:eastAsia="Times New Roman" w:cstheme="minorHAnsi"/>
                <w:sz w:val="21"/>
                <w:szCs w:val="21"/>
              </w:rPr>
              <w:t xml:space="preserve">2023 Series A Revenue Bonds (original principal $37,510) Serial bonds, maturing from 2024 to 2034, with annual principal payments from $2,150 to $4,615 and coupon interest rate of 5.0%. Issued to refund 2013 Series A Revenue bonds and to provide funding for capital projects. Includes premiums of </w:t>
            </w:r>
            <w:r w:rsidRPr="007346D1">
              <w:rPr>
                <w:rFonts w:eastAsia="Times New Roman" w:cstheme="minorHAnsi"/>
                <w:sz w:val="21"/>
                <w:szCs w:val="21"/>
              </w:rPr>
              <w:t>$</w:t>
            </w:r>
            <w:r w:rsidRPr="003F6431">
              <w:rPr>
                <w:rFonts w:eastAsia="Times New Roman" w:cstheme="minorHAnsi"/>
                <w:sz w:val="21"/>
                <w:szCs w:val="21"/>
              </w:rPr>
              <w:t>2,744</w:t>
            </w:r>
            <w:r w:rsidRPr="007346D1">
              <w:rPr>
                <w:rFonts w:eastAsia="Times New Roman" w:cstheme="minorHAnsi"/>
                <w:sz w:val="21"/>
                <w:szCs w:val="21"/>
              </w:rPr>
              <w:t xml:space="preserve"> and $</w:t>
            </w:r>
            <w:r w:rsidRPr="003F6431">
              <w:rPr>
                <w:rFonts w:eastAsia="Times New Roman" w:cstheme="minorHAnsi"/>
                <w:sz w:val="21"/>
                <w:szCs w:val="21"/>
              </w:rPr>
              <w:t>3,416</w:t>
            </w:r>
            <w:r w:rsidRPr="007346D1">
              <w:rPr>
                <w:rFonts w:eastAsia="Times New Roman" w:cstheme="minorHAnsi"/>
                <w:sz w:val="21"/>
                <w:szCs w:val="21"/>
              </w:rPr>
              <w:t xml:space="preserve">, </w:t>
            </w:r>
            <w:r w:rsidRPr="003F6431">
              <w:rPr>
                <w:rFonts w:eastAsia="Times New Roman" w:cstheme="minorHAnsi"/>
                <w:sz w:val="21"/>
                <w:szCs w:val="21"/>
              </w:rPr>
              <w:t>respectively.</w:t>
            </w:r>
          </w:p>
        </w:tc>
        <w:tc>
          <w:tcPr>
            <w:tcW w:w="1599" w:type="dxa"/>
            <w:tcBorders>
              <w:top w:val="nil"/>
              <w:left w:val="nil"/>
              <w:bottom w:val="nil"/>
              <w:right w:val="nil"/>
            </w:tcBorders>
            <w:shd w:val="clear" w:color="000000" w:fill="FFFFFF"/>
            <w:noWrap/>
            <w:vAlign w:val="bottom"/>
          </w:tcPr>
          <w:p w14:paraId="7A9B4CAC" w14:textId="77777777" w:rsidR="001B6918" w:rsidRPr="005A4A85" w:rsidRDefault="001B6918" w:rsidP="00730ECF">
            <w:pPr>
              <w:jc w:val="right"/>
              <w:rPr>
                <w:rFonts w:eastAsia="Times New Roman" w:cstheme="minorHAnsi"/>
                <w:sz w:val="21"/>
                <w:szCs w:val="21"/>
              </w:rPr>
            </w:pPr>
            <w:r w:rsidRPr="003F6431">
              <w:rPr>
                <w:rFonts w:eastAsia="Times New Roman" w:cstheme="minorHAnsi"/>
                <w:sz w:val="21"/>
                <w:szCs w:val="21"/>
              </w:rPr>
              <w:t>$33,299</w:t>
            </w:r>
          </w:p>
        </w:tc>
        <w:tc>
          <w:tcPr>
            <w:tcW w:w="1600" w:type="dxa"/>
            <w:tcBorders>
              <w:top w:val="nil"/>
              <w:left w:val="nil"/>
              <w:bottom w:val="nil"/>
              <w:right w:val="nil"/>
            </w:tcBorders>
            <w:shd w:val="clear" w:color="auto" w:fill="F2F2F2" w:themeFill="background1" w:themeFillShade="F2"/>
            <w:noWrap/>
            <w:vAlign w:val="bottom"/>
          </w:tcPr>
          <w:p w14:paraId="32D96769" w14:textId="77777777" w:rsidR="001B6918" w:rsidRPr="004E6649" w:rsidRDefault="001B6918" w:rsidP="00730ECF">
            <w:pPr>
              <w:jc w:val="right"/>
              <w:rPr>
                <w:rFonts w:eastAsia="Times New Roman" w:cstheme="minorHAnsi"/>
                <w:sz w:val="21"/>
                <w:szCs w:val="21"/>
              </w:rPr>
            </w:pPr>
            <w:r w:rsidRPr="004E6649">
              <w:rPr>
                <w:rFonts w:eastAsia="Times New Roman" w:cstheme="minorHAnsi"/>
                <w:color w:val="000000" w:themeColor="text1"/>
                <w:sz w:val="21"/>
                <w:szCs w:val="21"/>
              </w:rPr>
              <w:t>$</w:t>
            </w:r>
            <w:r>
              <w:rPr>
                <w:rFonts w:eastAsia="Times New Roman" w:cstheme="minorHAnsi"/>
                <w:color w:val="000000" w:themeColor="text1"/>
                <w:sz w:val="21"/>
                <w:szCs w:val="21"/>
              </w:rPr>
              <w:t xml:space="preserve">  </w:t>
            </w:r>
            <w:r w:rsidRPr="000412E6">
              <w:rPr>
                <w:rFonts w:eastAsia="Times New Roman" w:cstheme="minorHAnsi"/>
                <w:sz w:val="21"/>
                <w:szCs w:val="21"/>
              </w:rPr>
              <w:t>37,446</w:t>
            </w:r>
          </w:p>
        </w:tc>
      </w:tr>
      <w:tr w:rsidR="001B6918" w:rsidRPr="004E6649" w14:paraId="372497BB" w14:textId="77777777" w:rsidTr="00730ECF">
        <w:trPr>
          <w:trHeight w:val="1251"/>
          <w:jc w:val="center"/>
        </w:trPr>
        <w:tc>
          <w:tcPr>
            <w:tcW w:w="6570" w:type="dxa"/>
            <w:tcBorders>
              <w:top w:val="nil"/>
              <w:left w:val="nil"/>
              <w:bottom w:val="nil"/>
              <w:right w:val="nil"/>
            </w:tcBorders>
            <w:vAlign w:val="bottom"/>
          </w:tcPr>
          <w:p w14:paraId="7508C7E9" w14:textId="77777777" w:rsidR="001B6918" w:rsidRPr="003F6431" w:rsidRDefault="001B6918" w:rsidP="00730ECF">
            <w:pPr>
              <w:spacing w:before="120"/>
              <w:ind w:leftChars="106" w:left="248" w:hangingChars="7" w:hanging="15"/>
              <w:rPr>
                <w:rFonts w:eastAsia="Times New Roman" w:cstheme="minorHAnsi"/>
                <w:sz w:val="21"/>
                <w:szCs w:val="21"/>
              </w:rPr>
            </w:pPr>
            <w:r w:rsidRPr="003F6431">
              <w:rPr>
                <w:rFonts w:eastAsia="Times New Roman" w:cstheme="minorHAnsi"/>
                <w:sz w:val="21"/>
                <w:szCs w:val="21"/>
              </w:rPr>
              <w:t xml:space="preserve">2022 Series A Revenue Bonds (original principal $120,325) Serial and Term bonds, maturing from 2024 to 2062, with annual principal payments from $1,165 to $6,050 and coupon interest rates from 5.0% to 5.5%. Issued to provide funding for capital projects.  Includes premiums of </w:t>
            </w:r>
            <w:r w:rsidRPr="007346D1">
              <w:rPr>
                <w:rFonts w:eastAsia="Times New Roman" w:cstheme="minorHAnsi"/>
                <w:sz w:val="21"/>
                <w:szCs w:val="21"/>
              </w:rPr>
              <w:t>$9,</w:t>
            </w:r>
            <w:r w:rsidRPr="003F6431">
              <w:rPr>
                <w:rFonts w:eastAsia="Times New Roman" w:cstheme="minorHAnsi"/>
                <w:sz w:val="21"/>
                <w:szCs w:val="21"/>
              </w:rPr>
              <w:t>021</w:t>
            </w:r>
            <w:r w:rsidRPr="007346D1">
              <w:rPr>
                <w:rFonts w:eastAsia="Times New Roman" w:cstheme="minorHAnsi"/>
                <w:sz w:val="21"/>
                <w:szCs w:val="21"/>
              </w:rPr>
              <w:t xml:space="preserve"> and $</w:t>
            </w:r>
            <w:r w:rsidRPr="003F6431">
              <w:rPr>
                <w:rFonts w:eastAsia="Times New Roman" w:cstheme="minorHAnsi"/>
                <w:sz w:val="21"/>
                <w:szCs w:val="21"/>
              </w:rPr>
              <w:t>9,885, respectively.</w:t>
            </w:r>
          </w:p>
        </w:tc>
        <w:tc>
          <w:tcPr>
            <w:tcW w:w="1599" w:type="dxa"/>
            <w:tcBorders>
              <w:top w:val="nil"/>
              <w:left w:val="nil"/>
              <w:bottom w:val="nil"/>
              <w:right w:val="nil"/>
            </w:tcBorders>
            <w:shd w:val="clear" w:color="000000" w:fill="FFFFFF"/>
            <w:noWrap/>
            <w:vAlign w:val="bottom"/>
          </w:tcPr>
          <w:p w14:paraId="6CEA3997" w14:textId="77777777" w:rsidR="001B6918" w:rsidRPr="005A4A85" w:rsidRDefault="001B6918" w:rsidP="00730ECF">
            <w:pPr>
              <w:jc w:val="right"/>
              <w:rPr>
                <w:rFonts w:eastAsia="Times New Roman" w:cstheme="minorHAnsi"/>
                <w:sz w:val="21"/>
                <w:szCs w:val="21"/>
              </w:rPr>
            </w:pPr>
            <w:r w:rsidRPr="003F6431">
              <w:rPr>
                <w:rFonts w:eastAsia="Times New Roman" w:cstheme="minorHAnsi"/>
                <w:sz w:val="21"/>
                <w:szCs w:val="21"/>
              </w:rPr>
              <w:t>114,511</w:t>
            </w:r>
          </w:p>
        </w:tc>
        <w:tc>
          <w:tcPr>
            <w:tcW w:w="1600" w:type="dxa"/>
            <w:tcBorders>
              <w:top w:val="nil"/>
              <w:left w:val="nil"/>
              <w:bottom w:val="nil"/>
              <w:right w:val="nil"/>
            </w:tcBorders>
            <w:shd w:val="clear" w:color="auto" w:fill="F2F2F2" w:themeFill="background1" w:themeFillShade="F2"/>
            <w:noWrap/>
            <w:vAlign w:val="bottom"/>
          </w:tcPr>
          <w:p w14:paraId="70B0511C" w14:textId="77777777" w:rsidR="001B6918" w:rsidRPr="004E6649" w:rsidRDefault="001B6918" w:rsidP="00730ECF">
            <w:pPr>
              <w:jc w:val="right"/>
              <w:rPr>
                <w:rFonts w:eastAsia="Times New Roman" w:cstheme="minorHAnsi"/>
                <w:sz w:val="21"/>
                <w:szCs w:val="21"/>
              </w:rPr>
            </w:pPr>
            <w:r w:rsidRPr="000412E6">
              <w:rPr>
                <w:rFonts w:eastAsia="Times New Roman" w:cstheme="minorHAnsi"/>
                <w:sz w:val="21"/>
                <w:szCs w:val="21"/>
              </w:rPr>
              <w:t>120,600</w:t>
            </w:r>
          </w:p>
        </w:tc>
      </w:tr>
      <w:tr w:rsidR="001B6918" w:rsidRPr="004E6649" w14:paraId="5C908CA3" w14:textId="77777777" w:rsidTr="00730ECF">
        <w:trPr>
          <w:trHeight w:val="1251"/>
          <w:jc w:val="center"/>
        </w:trPr>
        <w:tc>
          <w:tcPr>
            <w:tcW w:w="6570" w:type="dxa"/>
            <w:tcBorders>
              <w:top w:val="nil"/>
              <w:left w:val="nil"/>
              <w:bottom w:val="nil"/>
              <w:right w:val="nil"/>
            </w:tcBorders>
            <w:vAlign w:val="bottom"/>
            <w:hideMark/>
          </w:tcPr>
          <w:p w14:paraId="11DDC4D1" w14:textId="77777777" w:rsidR="001B6918" w:rsidRPr="003F6431" w:rsidRDefault="001B6918" w:rsidP="00730ECF">
            <w:pPr>
              <w:spacing w:before="120"/>
              <w:ind w:leftChars="106" w:left="248" w:hangingChars="7" w:hanging="15"/>
              <w:rPr>
                <w:rFonts w:eastAsia="Times New Roman" w:cstheme="minorHAnsi"/>
                <w:sz w:val="21"/>
                <w:szCs w:val="21"/>
              </w:rPr>
            </w:pPr>
            <w:r w:rsidRPr="003F6431">
              <w:rPr>
                <w:rFonts w:eastAsia="Times New Roman" w:cstheme="minorHAnsi"/>
                <w:sz w:val="21"/>
                <w:szCs w:val="21"/>
              </w:rPr>
              <w:t xml:space="preserve">2017 Series A Revenue Bonds (original principal of $30,340) Serial bonds, maturing from 2018 to 2026, with annual principal payments from $2,285 to $4,460 and coupon interest rates from 4.0% to 5.0%. Issued to refund 2007A Series Revenue bonds and to provide funding for capital projects. Includes premiums of </w:t>
            </w:r>
            <w:r w:rsidRPr="007346D1">
              <w:rPr>
                <w:rFonts w:eastAsia="Times New Roman" w:cstheme="minorHAnsi"/>
                <w:sz w:val="21"/>
                <w:szCs w:val="21"/>
              </w:rPr>
              <w:t>$</w:t>
            </w:r>
            <w:r w:rsidRPr="003F6431">
              <w:rPr>
                <w:rFonts w:eastAsia="Times New Roman" w:cstheme="minorHAnsi"/>
                <w:sz w:val="21"/>
                <w:szCs w:val="21"/>
              </w:rPr>
              <w:t>3</w:t>
            </w:r>
            <w:r w:rsidRPr="007346D1">
              <w:rPr>
                <w:rFonts w:eastAsia="Times New Roman" w:cstheme="minorHAnsi"/>
                <w:sz w:val="21"/>
                <w:szCs w:val="21"/>
              </w:rPr>
              <w:t>2 and $</w:t>
            </w:r>
            <w:r w:rsidRPr="003F6431">
              <w:rPr>
                <w:rFonts w:eastAsia="Times New Roman" w:cstheme="minorHAnsi"/>
                <w:sz w:val="21"/>
                <w:szCs w:val="21"/>
              </w:rPr>
              <w:t>122, respectively.</w:t>
            </w:r>
          </w:p>
        </w:tc>
        <w:tc>
          <w:tcPr>
            <w:tcW w:w="1599" w:type="dxa"/>
            <w:tcBorders>
              <w:top w:val="nil"/>
              <w:left w:val="nil"/>
              <w:bottom w:val="nil"/>
              <w:right w:val="nil"/>
            </w:tcBorders>
            <w:shd w:val="clear" w:color="000000" w:fill="FFFFFF"/>
            <w:noWrap/>
            <w:vAlign w:val="bottom"/>
            <w:hideMark/>
          </w:tcPr>
          <w:p w14:paraId="03D43E47" w14:textId="77777777" w:rsidR="001B6918" w:rsidRPr="005A4A85" w:rsidRDefault="001B6918" w:rsidP="00730ECF">
            <w:pPr>
              <w:jc w:val="right"/>
              <w:rPr>
                <w:rFonts w:eastAsia="Times New Roman" w:cstheme="minorHAnsi"/>
                <w:sz w:val="21"/>
                <w:szCs w:val="21"/>
              </w:rPr>
            </w:pPr>
            <w:r w:rsidRPr="003F6431">
              <w:rPr>
                <w:rFonts w:eastAsia="Times New Roman" w:cstheme="minorHAnsi"/>
                <w:sz w:val="21"/>
                <w:szCs w:val="21"/>
              </w:rPr>
              <w:t>2,432</w:t>
            </w:r>
          </w:p>
        </w:tc>
        <w:tc>
          <w:tcPr>
            <w:tcW w:w="1600" w:type="dxa"/>
            <w:tcBorders>
              <w:top w:val="nil"/>
              <w:left w:val="nil"/>
              <w:bottom w:val="nil"/>
              <w:right w:val="nil"/>
            </w:tcBorders>
            <w:shd w:val="clear" w:color="auto" w:fill="F2F2F2" w:themeFill="background1" w:themeFillShade="F2"/>
            <w:noWrap/>
            <w:vAlign w:val="bottom"/>
            <w:hideMark/>
          </w:tcPr>
          <w:p w14:paraId="0065CDB0" w14:textId="77777777" w:rsidR="001B6918" w:rsidRPr="004E6649" w:rsidRDefault="001B6918" w:rsidP="00730ECF">
            <w:pPr>
              <w:jc w:val="right"/>
              <w:rPr>
                <w:rFonts w:eastAsia="Times New Roman" w:cstheme="minorHAnsi"/>
                <w:color w:val="0D0D0D"/>
                <w:sz w:val="21"/>
                <w:szCs w:val="21"/>
              </w:rPr>
            </w:pPr>
            <w:r w:rsidRPr="000412E6">
              <w:rPr>
                <w:rFonts w:eastAsia="Times New Roman" w:cstheme="minorHAnsi"/>
                <w:sz w:val="21"/>
                <w:szCs w:val="21"/>
              </w:rPr>
              <w:t>4,807</w:t>
            </w:r>
          </w:p>
        </w:tc>
      </w:tr>
      <w:tr w:rsidR="001B6918" w:rsidRPr="004E6649" w14:paraId="55C7885A" w14:textId="77777777" w:rsidTr="00730ECF">
        <w:trPr>
          <w:trHeight w:val="1368"/>
          <w:jc w:val="center"/>
        </w:trPr>
        <w:tc>
          <w:tcPr>
            <w:tcW w:w="6570" w:type="dxa"/>
            <w:tcBorders>
              <w:top w:val="nil"/>
              <w:left w:val="nil"/>
              <w:bottom w:val="nil"/>
              <w:right w:val="nil"/>
            </w:tcBorders>
            <w:shd w:val="clear" w:color="000000" w:fill="FFFFFF"/>
            <w:vAlign w:val="bottom"/>
            <w:hideMark/>
          </w:tcPr>
          <w:p w14:paraId="30702FCB" w14:textId="77777777" w:rsidR="001B6918" w:rsidRPr="007346D1" w:rsidRDefault="001B6918" w:rsidP="00730ECF">
            <w:pPr>
              <w:spacing w:before="160"/>
              <w:ind w:leftChars="106" w:left="250" w:hangingChars="8" w:hanging="17"/>
              <w:rPr>
                <w:rFonts w:eastAsia="Times New Roman" w:cstheme="minorHAnsi"/>
                <w:sz w:val="21"/>
                <w:szCs w:val="21"/>
              </w:rPr>
            </w:pPr>
            <w:r w:rsidRPr="007346D1">
              <w:rPr>
                <w:rFonts w:eastAsia="Times New Roman" w:cstheme="minorHAnsi"/>
                <w:sz w:val="21"/>
                <w:szCs w:val="21"/>
              </w:rPr>
              <w:t>2015 Series A Revenue Bonds (original principal of $48,450) Serial bonds, maturing from 2016 to 2037, with annual principal payments from $405 to $3,760 and coupon interest rates from 3.0% to 5.0%. Issued to refund 2004A, 2005A, and 2007A Series Revenue bonds and to provide funding for capital projects.  Includes premiums of $</w:t>
            </w:r>
            <w:r w:rsidRPr="003F6431">
              <w:rPr>
                <w:rFonts w:eastAsia="Times New Roman" w:cstheme="minorHAnsi"/>
                <w:sz w:val="21"/>
                <w:szCs w:val="21"/>
              </w:rPr>
              <w:t>361</w:t>
            </w:r>
            <w:r w:rsidRPr="007346D1">
              <w:rPr>
                <w:rFonts w:eastAsia="Times New Roman" w:cstheme="minorHAnsi"/>
                <w:sz w:val="21"/>
                <w:szCs w:val="21"/>
              </w:rPr>
              <w:t xml:space="preserve"> and $</w:t>
            </w:r>
            <w:r w:rsidRPr="003F6431">
              <w:rPr>
                <w:rFonts w:eastAsia="Times New Roman" w:cstheme="minorHAnsi"/>
                <w:sz w:val="21"/>
                <w:szCs w:val="21"/>
              </w:rPr>
              <w:t>545</w:t>
            </w:r>
            <w:r w:rsidRPr="007346D1">
              <w:rPr>
                <w:rFonts w:eastAsia="Times New Roman" w:cstheme="minorHAnsi"/>
                <w:sz w:val="21"/>
                <w:szCs w:val="21"/>
              </w:rPr>
              <w:t>, respectively.</w:t>
            </w:r>
          </w:p>
        </w:tc>
        <w:tc>
          <w:tcPr>
            <w:tcW w:w="1599" w:type="dxa"/>
            <w:tcBorders>
              <w:top w:val="nil"/>
              <w:left w:val="nil"/>
              <w:bottom w:val="nil"/>
              <w:right w:val="nil"/>
            </w:tcBorders>
            <w:shd w:val="clear" w:color="000000" w:fill="FFFFFF"/>
            <w:noWrap/>
            <w:vAlign w:val="bottom"/>
            <w:hideMark/>
          </w:tcPr>
          <w:p w14:paraId="5AE65A28" w14:textId="77777777" w:rsidR="001B6918" w:rsidRPr="003F6431" w:rsidRDefault="001B6918" w:rsidP="00730ECF">
            <w:pPr>
              <w:jc w:val="right"/>
              <w:rPr>
                <w:rFonts w:eastAsia="Times New Roman" w:cstheme="minorHAnsi"/>
                <w:sz w:val="21"/>
                <w:szCs w:val="21"/>
              </w:rPr>
            </w:pPr>
            <w:r w:rsidRPr="005A4A85">
              <w:rPr>
                <w:rFonts w:eastAsia="Times New Roman" w:cstheme="minorHAnsi"/>
                <w:sz w:val="21"/>
                <w:szCs w:val="21"/>
              </w:rPr>
              <w:t>27,121</w:t>
            </w:r>
          </w:p>
        </w:tc>
        <w:tc>
          <w:tcPr>
            <w:tcW w:w="1600" w:type="dxa"/>
            <w:tcBorders>
              <w:top w:val="nil"/>
              <w:left w:val="nil"/>
              <w:bottom w:val="nil"/>
              <w:right w:val="nil"/>
            </w:tcBorders>
            <w:shd w:val="clear" w:color="auto" w:fill="F2F2F2" w:themeFill="background1" w:themeFillShade="F2"/>
            <w:noWrap/>
            <w:vAlign w:val="bottom"/>
            <w:hideMark/>
          </w:tcPr>
          <w:p w14:paraId="521DA173" w14:textId="77777777" w:rsidR="001B6918" w:rsidRPr="004E6649" w:rsidRDefault="001B6918" w:rsidP="00730ECF">
            <w:pPr>
              <w:jc w:val="right"/>
              <w:rPr>
                <w:rFonts w:eastAsia="Times New Roman" w:cstheme="minorHAnsi"/>
                <w:color w:val="0D0D0D"/>
                <w:sz w:val="21"/>
                <w:szCs w:val="21"/>
              </w:rPr>
            </w:pPr>
            <w:r w:rsidRPr="000412E6">
              <w:rPr>
                <w:rFonts w:eastAsia="Times New Roman" w:cstheme="minorHAnsi"/>
                <w:sz w:val="21"/>
                <w:szCs w:val="21"/>
              </w:rPr>
              <w:t>30,080</w:t>
            </w:r>
          </w:p>
        </w:tc>
      </w:tr>
      <w:tr w:rsidR="001B6918" w:rsidRPr="004E6649" w14:paraId="5AED5236" w14:textId="77777777" w:rsidTr="00730ECF">
        <w:trPr>
          <w:trHeight w:val="1341"/>
          <w:jc w:val="center"/>
        </w:trPr>
        <w:tc>
          <w:tcPr>
            <w:tcW w:w="6570" w:type="dxa"/>
            <w:tcBorders>
              <w:top w:val="nil"/>
              <w:left w:val="nil"/>
              <w:bottom w:val="single" w:sz="4" w:space="0" w:color="auto"/>
              <w:right w:val="nil"/>
            </w:tcBorders>
            <w:shd w:val="clear" w:color="000000" w:fill="FFFFFF"/>
            <w:vAlign w:val="bottom"/>
            <w:hideMark/>
          </w:tcPr>
          <w:p w14:paraId="62C6BAC9" w14:textId="77777777" w:rsidR="001B6918" w:rsidRPr="003F6431" w:rsidRDefault="001B6918" w:rsidP="00730ECF">
            <w:pPr>
              <w:spacing w:before="160"/>
              <w:ind w:leftChars="106" w:left="250" w:hangingChars="8" w:hanging="17"/>
              <w:rPr>
                <w:rFonts w:eastAsia="Times New Roman" w:cstheme="minorHAnsi"/>
                <w:sz w:val="21"/>
                <w:szCs w:val="21"/>
              </w:rPr>
            </w:pPr>
            <w:r w:rsidRPr="003F6431">
              <w:rPr>
                <w:rFonts w:eastAsia="Times New Roman" w:cstheme="minorHAnsi"/>
                <w:sz w:val="21"/>
                <w:szCs w:val="21"/>
              </w:rPr>
              <w:t xml:space="preserve">2012 Series A Revenue Bonds (original principal of $34,975) Serial and Term bonds, maturing from 2013 to 2033, with annual principal payments from $1,070 to $2,620 and coupon interest rates from 2.0% to 4.0%. Issued to refund balloon on the 2002A Series Revenue bonds and to provide funding for a capital project. Includes premiums </w:t>
            </w:r>
            <w:r w:rsidRPr="007346D1">
              <w:rPr>
                <w:rFonts w:eastAsia="Times New Roman" w:cstheme="minorHAnsi"/>
                <w:sz w:val="21"/>
                <w:szCs w:val="21"/>
              </w:rPr>
              <w:t>of $</w:t>
            </w:r>
            <w:r w:rsidRPr="003F6431">
              <w:rPr>
                <w:rFonts w:eastAsia="Times New Roman" w:cstheme="minorHAnsi"/>
                <w:sz w:val="21"/>
                <w:szCs w:val="21"/>
              </w:rPr>
              <w:t>193</w:t>
            </w:r>
            <w:r w:rsidRPr="007346D1">
              <w:rPr>
                <w:rFonts w:eastAsia="Times New Roman" w:cstheme="minorHAnsi"/>
                <w:sz w:val="21"/>
                <w:szCs w:val="21"/>
              </w:rPr>
              <w:t xml:space="preserve"> and $</w:t>
            </w:r>
            <w:r w:rsidRPr="003F6431">
              <w:rPr>
                <w:rFonts w:eastAsia="Times New Roman" w:cstheme="minorHAnsi"/>
                <w:sz w:val="21"/>
                <w:szCs w:val="21"/>
              </w:rPr>
              <w:t>234, respectively.</w:t>
            </w:r>
          </w:p>
        </w:tc>
        <w:tc>
          <w:tcPr>
            <w:tcW w:w="1599" w:type="dxa"/>
            <w:tcBorders>
              <w:top w:val="nil"/>
              <w:left w:val="nil"/>
              <w:bottom w:val="single" w:sz="4" w:space="0" w:color="auto"/>
              <w:right w:val="nil"/>
            </w:tcBorders>
            <w:shd w:val="clear" w:color="000000" w:fill="FFFFFF"/>
            <w:noWrap/>
            <w:vAlign w:val="bottom"/>
            <w:hideMark/>
          </w:tcPr>
          <w:p w14:paraId="7CF8A5E7" w14:textId="77777777" w:rsidR="001B6918" w:rsidRPr="003F6431" w:rsidRDefault="001B6918" w:rsidP="00730ECF">
            <w:pPr>
              <w:jc w:val="right"/>
              <w:rPr>
                <w:rFonts w:eastAsia="Times New Roman" w:cstheme="minorHAnsi"/>
                <w:sz w:val="21"/>
                <w:szCs w:val="21"/>
              </w:rPr>
            </w:pPr>
            <w:r w:rsidRPr="003F6431">
              <w:rPr>
                <w:rFonts w:eastAsia="Times New Roman" w:cstheme="minorHAnsi"/>
                <w:sz w:val="21"/>
                <w:szCs w:val="21"/>
              </w:rPr>
              <w:t>10,218</w:t>
            </w:r>
          </w:p>
        </w:tc>
        <w:tc>
          <w:tcPr>
            <w:tcW w:w="1600" w:type="dxa"/>
            <w:tcBorders>
              <w:top w:val="nil"/>
              <w:left w:val="nil"/>
              <w:bottom w:val="single" w:sz="4" w:space="0" w:color="auto"/>
              <w:right w:val="nil"/>
            </w:tcBorders>
            <w:shd w:val="clear" w:color="auto" w:fill="F2F2F2" w:themeFill="background1" w:themeFillShade="F2"/>
            <w:noWrap/>
            <w:vAlign w:val="bottom"/>
            <w:hideMark/>
          </w:tcPr>
          <w:p w14:paraId="6A019CE8" w14:textId="77777777" w:rsidR="001B6918" w:rsidRPr="004E6649" w:rsidRDefault="001B6918" w:rsidP="00730ECF">
            <w:pPr>
              <w:jc w:val="right"/>
              <w:rPr>
                <w:rFonts w:eastAsia="Times New Roman" w:cstheme="minorHAnsi"/>
                <w:color w:val="0D0D0D"/>
                <w:sz w:val="21"/>
                <w:szCs w:val="21"/>
              </w:rPr>
            </w:pPr>
            <w:r w:rsidRPr="000412E6">
              <w:rPr>
                <w:rFonts w:eastAsia="Times New Roman" w:cstheme="minorHAnsi"/>
                <w:sz w:val="21"/>
                <w:szCs w:val="21"/>
              </w:rPr>
              <w:t>11,384</w:t>
            </w:r>
          </w:p>
        </w:tc>
      </w:tr>
      <w:tr w:rsidR="001B6918" w:rsidRPr="004E6649" w14:paraId="5C1B26DB" w14:textId="77777777" w:rsidTr="00730ECF">
        <w:trPr>
          <w:trHeight w:val="368"/>
          <w:jc w:val="center"/>
        </w:trPr>
        <w:tc>
          <w:tcPr>
            <w:tcW w:w="6570" w:type="dxa"/>
            <w:tcBorders>
              <w:top w:val="single" w:sz="4" w:space="0" w:color="auto"/>
              <w:left w:val="nil"/>
              <w:bottom w:val="single" w:sz="4" w:space="0" w:color="auto"/>
              <w:right w:val="nil"/>
            </w:tcBorders>
            <w:shd w:val="clear" w:color="000000" w:fill="FFFFFF"/>
            <w:noWrap/>
            <w:vAlign w:val="bottom"/>
          </w:tcPr>
          <w:p w14:paraId="5D77CAF7" w14:textId="77777777" w:rsidR="001B6918" w:rsidRPr="004E6649" w:rsidRDefault="001B6918" w:rsidP="00730ECF">
            <w:pPr>
              <w:ind w:left="250"/>
              <w:rPr>
                <w:rFonts w:eastAsia="Times New Roman" w:cstheme="minorHAnsi"/>
                <w:sz w:val="21"/>
                <w:szCs w:val="21"/>
              </w:rPr>
            </w:pPr>
            <w:r w:rsidRPr="004E6649">
              <w:rPr>
                <w:rFonts w:eastAsia="Times New Roman" w:cstheme="minorHAnsi"/>
                <w:sz w:val="21"/>
                <w:szCs w:val="21"/>
              </w:rPr>
              <w:t>Total bonds payable, net</w:t>
            </w:r>
          </w:p>
        </w:tc>
        <w:tc>
          <w:tcPr>
            <w:tcW w:w="1599" w:type="dxa"/>
            <w:tcBorders>
              <w:top w:val="single" w:sz="4" w:space="0" w:color="auto"/>
              <w:left w:val="nil"/>
              <w:bottom w:val="single" w:sz="4" w:space="0" w:color="auto"/>
              <w:right w:val="nil"/>
            </w:tcBorders>
            <w:shd w:val="clear" w:color="000000" w:fill="FFFFFF"/>
            <w:noWrap/>
            <w:vAlign w:val="bottom"/>
          </w:tcPr>
          <w:p w14:paraId="57B24E67" w14:textId="77777777" w:rsidR="001B6918" w:rsidRPr="003F6431" w:rsidRDefault="001B6918" w:rsidP="00730ECF">
            <w:pPr>
              <w:jc w:val="right"/>
              <w:rPr>
                <w:rFonts w:eastAsia="Times New Roman" w:cstheme="minorHAnsi"/>
                <w:sz w:val="21"/>
                <w:szCs w:val="21"/>
              </w:rPr>
            </w:pPr>
            <w:r w:rsidRPr="003F6431">
              <w:rPr>
                <w:rFonts w:eastAsia="Times New Roman" w:cstheme="minorHAnsi"/>
                <w:sz w:val="21"/>
                <w:szCs w:val="21"/>
              </w:rPr>
              <w:t>187,581</w:t>
            </w:r>
          </w:p>
        </w:tc>
        <w:tc>
          <w:tcPr>
            <w:tcW w:w="1600" w:type="dxa"/>
            <w:tcBorders>
              <w:top w:val="single" w:sz="4" w:space="0" w:color="auto"/>
              <w:left w:val="nil"/>
              <w:bottom w:val="single" w:sz="4" w:space="0" w:color="auto"/>
              <w:right w:val="nil"/>
            </w:tcBorders>
            <w:shd w:val="clear" w:color="auto" w:fill="F2F2F2" w:themeFill="background1" w:themeFillShade="F2"/>
            <w:noWrap/>
            <w:vAlign w:val="bottom"/>
          </w:tcPr>
          <w:p w14:paraId="6E76BC1A" w14:textId="77777777" w:rsidR="001B6918" w:rsidRPr="004E6649" w:rsidRDefault="001B6918" w:rsidP="00730ECF">
            <w:pPr>
              <w:jc w:val="right"/>
              <w:rPr>
                <w:rFonts w:eastAsia="Times New Roman" w:cstheme="minorHAnsi"/>
                <w:color w:val="0D0D0D"/>
                <w:sz w:val="21"/>
                <w:szCs w:val="21"/>
              </w:rPr>
            </w:pPr>
            <w:r w:rsidRPr="000412E6">
              <w:rPr>
                <w:rFonts w:eastAsia="Times New Roman" w:cstheme="minorHAnsi"/>
                <w:sz w:val="21"/>
                <w:szCs w:val="21"/>
              </w:rPr>
              <w:t>204,317</w:t>
            </w:r>
          </w:p>
        </w:tc>
      </w:tr>
    </w:tbl>
    <w:p w14:paraId="18AE91AD" w14:textId="77777777" w:rsidR="001B6918" w:rsidRPr="004E6649" w:rsidRDefault="001B6918" w:rsidP="001B6918">
      <w:pPr>
        <w:spacing w:after="160" w:line="259" w:lineRule="auto"/>
        <w:rPr>
          <w:rFonts w:eastAsiaTheme="majorEastAsia" w:cstheme="minorHAnsi"/>
          <w:b/>
          <w:i/>
          <w:iCs/>
          <w:smallCaps/>
          <w:noProof/>
          <w:color w:val="000000" w:themeColor="text1"/>
          <w:szCs w:val="24"/>
          <w:u w:color="5B9BD5"/>
        </w:rPr>
      </w:pPr>
      <w:r w:rsidRPr="004E6649">
        <w:rPr>
          <w:rFonts w:eastAsiaTheme="majorEastAsia" w:cstheme="minorHAnsi"/>
          <w:b/>
          <w:i/>
          <w:iCs/>
          <w:smallCaps/>
          <w:noProof/>
          <w:color w:val="000000" w:themeColor="text1"/>
          <w:szCs w:val="24"/>
          <w:u w:color="5B9BD5"/>
        </w:rPr>
        <w:br w:type="page"/>
      </w:r>
    </w:p>
    <w:p w14:paraId="7C1765D2" w14:textId="77777777" w:rsidR="001B6918" w:rsidRPr="00A02D27" w:rsidRDefault="001B6918" w:rsidP="001B6918">
      <w:pPr>
        <w:pStyle w:val="AFR3"/>
        <w:rPr>
          <w:rFonts w:eastAsiaTheme="majorEastAsia" w:cstheme="minorHAnsi"/>
          <w:iCs/>
          <w:smallCaps/>
          <w:noProof/>
          <w:color w:val="000000" w:themeColor="text1"/>
          <w:szCs w:val="24"/>
          <w:u w:color="5B9BD5"/>
        </w:rPr>
      </w:pPr>
      <w:r w:rsidRPr="00A02D27">
        <w:rPr>
          <w:rFonts w:cstheme="minorHAnsi"/>
          <w:sz w:val="24"/>
          <w:szCs w:val="24"/>
        </w:rPr>
        <w:lastRenderedPageBreak/>
        <w:t>7. BONDS PAYABLE AND DIRECT BORROWINGS-CONTINUED</w:t>
      </w:r>
      <w:r w:rsidRPr="00A02D27">
        <w:rPr>
          <w:rFonts w:eastAsiaTheme="majorEastAsia" w:cstheme="minorHAnsi"/>
          <w:iCs/>
          <w:smallCaps/>
          <w:noProof/>
          <w:color w:val="000000" w:themeColor="text1"/>
          <w:szCs w:val="24"/>
          <w:u w:color="5B9BD5"/>
        </w:rPr>
        <w:fldChar w:fldCharType="begin"/>
      </w:r>
      <w:r w:rsidRPr="00A02D27">
        <w:rPr>
          <w:rFonts w:eastAsiaTheme="majorEastAsia" w:cstheme="minorHAnsi"/>
          <w:iCs/>
          <w:smallCaps/>
          <w:noProof/>
          <w:color w:val="000000" w:themeColor="text1"/>
          <w:szCs w:val="24"/>
          <w:u w:color="5B9BD5"/>
        </w:rPr>
        <w:fldChar w:fldCharType="end"/>
      </w:r>
    </w:p>
    <w:tbl>
      <w:tblPr>
        <w:tblW w:w="9936" w:type="dxa"/>
        <w:jc w:val="center"/>
        <w:tblLook w:val="04A0" w:firstRow="1" w:lastRow="0" w:firstColumn="1" w:lastColumn="0" w:noHBand="0" w:noVBand="1"/>
      </w:tblPr>
      <w:tblGrid>
        <w:gridCol w:w="6302"/>
        <w:gridCol w:w="1817"/>
        <w:gridCol w:w="1817"/>
      </w:tblGrid>
      <w:tr w:rsidR="001B6918" w:rsidRPr="004E6649" w14:paraId="51105803" w14:textId="77777777" w:rsidTr="008B202A">
        <w:trPr>
          <w:trHeight w:val="420"/>
          <w:jc w:val="center"/>
        </w:trPr>
        <w:tc>
          <w:tcPr>
            <w:tcW w:w="6302" w:type="dxa"/>
            <w:tcBorders>
              <w:top w:val="single" w:sz="4" w:space="0" w:color="auto"/>
              <w:left w:val="nil"/>
              <w:bottom w:val="single" w:sz="4" w:space="0" w:color="auto"/>
              <w:right w:val="nil"/>
            </w:tcBorders>
            <w:shd w:val="clear" w:color="000000" w:fill="FFFFFF"/>
            <w:noWrap/>
            <w:vAlign w:val="bottom"/>
          </w:tcPr>
          <w:p w14:paraId="28AA3089" w14:textId="033EB2E5" w:rsidR="001B6918" w:rsidRPr="008B202A" w:rsidRDefault="001B6918" w:rsidP="00730ECF">
            <w:pPr>
              <w:rPr>
                <w:rFonts w:eastAsia="Times New Roman" w:cstheme="minorHAnsi"/>
                <w:b/>
                <w:bCs/>
                <w:color w:val="0D0D0D"/>
              </w:rPr>
            </w:pPr>
          </w:p>
        </w:tc>
        <w:tc>
          <w:tcPr>
            <w:tcW w:w="1817" w:type="dxa"/>
            <w:tcBorders>
              <w:top w:val="single" w:sz="4" w:space="0" w:color="auto"/>
              <w:left w:val="nil"/>
              <w:bottom w:val="single" w:sz="4" w:space="0" w:color="auto"/>
              <w:right w:val="nil"/>
            </w:tcBorders>
            <w:shd w:val="clear" w:color="000000" w:fill="FFFFFF"/>
            <w:noWrap/>
            <w:vAlign w:val="bottom"/>
          </w:tcPr>
          <w:p w14:paraId="2414CC5E" w14:textId="77777777" w:rsidR="001B6918" w:rsidRPr="00FD3C4F" w:rsidRDefault="001B6918" w:rsidP="00730ECF">
            <w:pPr>
              <w:jc w:val="center"/>
              <w:rPr>
                <w:rFonts w:eastAsia="Times New Roman" w:cstheme="minorHAnsi"/>
                <w:b/>
                <w:bCs/>
                <w:color w:val="0D0D0D"/>
              </w:rPr>
            </w:pPr>
            <w:r w:rsidRPr="00FD3C4F">
              <w:rPr>
                <w:rFonts w:eastAsia="Times New Roman" w:cstheme="minorHAnsi"/>
                <w:b/>
                <w:bCs/>
                <w:color w:val="0D0D0D"/>
              </w:rPr>
              <w:t>202</w:t>
            </w:r>
            <w:r>
              <w:rPr>
                <w:rFonts w:eastAsia="Times New Roman" w:cstheme="minorHAnsi"/>
                <w:b/>
                <w:bCs/>
                <w:color w:val="0D0D0D"/>
              </w:rPr>
              <w:t>5</w:t>
            </w:r>
          </w:p>
        </w:tc>
        <w:tc>
          <w:tcPr>
            <w:tcW w:w="1817" w:type="dxa"/>
            <w:tcBorders>
              <w:top w:val="single" w:sz="4" w:space="0" w:color="auto"/>
              <w:left w:val="nil"/>
              <w:bottom w:val="single" w:sz="4" w:space="0" w:color="auto"/>
              <w:right w:val="nil"/>
            </w:tcBorders>
            <w:shd w:val="clear" w:color="auto" w:fill="F2F2F2" w:themeFill="background1" w:themeFillShade="F2"/>
            <w:noWrap/>
            <w:vAlign w:val="bottom"/>
          </w:tcPr>
          <w:p w14:paraId="4CF0E865" w14:textId="77777777" w:rsidR="001B6918" w:rsidRPr="008B202A" w:rsidRDefault="001B6918" w:rsidP="00730ECF">
            <w:pPr>
              <w:jc w:val="center"/>
              <w:rPr>
                <w:rFonts w:eastAsia="Times New Roman" w:cstheme="minorHAnsi"/>
                <w:b/>
                <w:bCs/>
                <w:color w:val="0D0D0D"/>
              </w:rPr>
            </w:pPr>
            <w:r w:rsidRPr="008B202A">
              <w:rPr>
                <w:rFonts w:eastAsia="Times New Roman" w:cstheme="minorHAnsi"/>
                <w:b/>
                <w:bCs/>
                <w:color w:val="0D0D0D"/>
              </w:rPr>
              <w:t>2024</w:t>
            </w:r>
          </w:p>
        </w:tc>
      </w:tr>
      <w:tr w:rsidR="008B202A" w:rsidRPr="004E6649" w14:paraId="4218526D" w14:textId="77777777" w:rsidTr="008B202A">
        <w:trPr>
          <w:trHeight w:val="420"/>
          <w:jc w:val="center"/>
        </w:trPr>
        <w:tc>
          <w:tcPr>
            <w:tcW w:w="6302" w:type="dxa"/>
            <w:tcBorders>
              <w:top w:val="single" w:sz="4" w:space="0" w:color="auto"/>
              <w:left w:val="nil"/>
              <w:bottom w:val="nil"/>
              <w:right w:val="nil"/>
            </w:tcBorders>
            <w:shd w:val="clear" w:color="000000" w:fill="FFFFFF"/>
            <w:noWrap/>
            <w:vAlign w:val="bottom"/>
          </w:tcPr>
          <w:p w14:paraId="2609C107" w14:textId="1761B3EA" w:rsidR="008B202A" w:rsidRPr="003F6431" w:rsidRDefault="008B202A" w:rsidP="008B202A">
            <w:pPr>
              <w:spacing w:before="160"/>
              <w:ind w:leftChars="-8" w:hangingChars="8" w:hanging="18"/>
              <w:rPr>
                <w:rFonts w:eastAsia="Times New Roman" w:cstheme="minorHAnsi"/>
                <w:u w:val="single"/>
              </w:rPr>
            </w:pPr>
            <w:r w:rsidRPr="008B202A">
              <w:rPr>
                <w:rFonts w:eastAsia="Times New Roman" w:cstheme="minorHAnsi"/>
                <w:b/>
                <w:bCs/>
                <w:color w:val="0D0D0D"/>
              </w:rPr>
              <w:t>Direct Borrowings:</w:t>
            </w:r>
          </w:p>
        </w:tc>
        <w:tc>
          <w:tcPr>
            <w:tcW w:w="1817" w:type="dxa"/>
            <w:tcBorders>
              <w:top w:val="single" w:sz="4" w:space="0" w:color="auto"/>
              <w:left w:val="nil"/>
              <w:bottom w:val="nil"/>
              <w:right w:val="nil"/>
            </w:tcBorders>
            <w:shd w:val="clear" w:color="000000" w:fill="FFFFFF"/>
            <w:noWrap/>
            <w:vAlign w:val="bottom"/>
          </w:tcPr>
          <w:p w14:paraId="5F3EE004" w14:textId="77777777" w:rsidR="008B202A" w:rsidRPr="003F6431" w:rsidRDefault="008B202A" w:rsidP="00730ECF">
            <w:pPr>
              <w:jc w:val="right"/>
              <w:rPr>
                <w:rFonts w:eastAsia="Times New Roman" w:cstheme="minorHAnsi"/>
              </w:rPr>
            </w:pPr>
          </w:p>
        </w:tc>
        <w:tc>
          <w:tcPr>
            <w:tcW w:w="1817" w:type="dxa"/>
            <w:tcBorders>
              <w:top w:val="single" w:sz="4" w:space="0" w:color="auto"/>
              <w:left w:val="nil"/>
              <w:bottom w:val="nil"/>
              <w:right w:val="nil"/>
            </w:tcBorders>
            <w:shd w:val="clear" w:color="auto" w:fill="F2F2F2" w:themeFill="background1" w:themeFillShade="F2"/>
            <w:noWrap/>
            <w:vAlign w:val="bottom"/>
          </w:tcPr>
          <w:p w14:paraId="0A24D552" w14:textId="77777777" w:rsidR="008B202A" w:rsidRDefault="008B202A" w:rsidP="00730ECF">
            <w:pPr>
              <w:jc w:val="right"/>
              <w:rPr>
                <w:rFonts w:eastAsia="Times New Roman" w:cstheme="minorHAnsi"/>
              </w:rPr>
            </w:pPr>
          </w:p>
        </w:tc>
      </w:tr>
      <w:tr w:rsidR="001B6918" w:rsidRPr="004E6649" w14:paraId="6E51A479" w14:textId="77777777" w:rsidTr="00730ECF">
        <w:trPr>
          <w:trHeight w:val="420"/>
          <w:jc w:val="center"/>
        </w:trPr>
        <w:tc>
          <w:tcPr>
            <w:tcW w:w="6302" w:type="dxa"/>
            <w:tcBorders>
              <w:top w:val="nil"/>
              <w:left w:val="nil"/>
              <w:bottom w:val="nil"/>
              <w:right w:val="nil"/>
            </w:tcBorders>
            <w:shd w:val="clear" w:color="000000" w:fill="FFFFFF"/>
            <w:noWrap/>
            <w:vAlign w:val="bottom"/>
          </w:tcPr>
          <w:p w14:paraId="7B0D4573" w14:textId="77777777" w:rsidR="001B6918" w:rsidRPr="003F6431" w:rsidRDefault="001B6918" w:rsidP="00730ECF">
            <w:pPr>
              <w:spacing w:before="160"/>
              <w:ind w:leftChars="106" w:left="251" w:hangingChars="8" w:hanging="18"/>
              <w:rPr>
                <w:rFonts w:eastAsia="Times New Roman" w:cstheme="minorHAnsi"/>
              </w:rPr>
            </w:pPr>
            <w:r w:rsidRPr="003F6431">
              <w:rPr>
                <w:rFonts w:eastAsia="Times New Roman" w:cstheme="minorHAnsi"/>
                <w:u w:val="single"/>
              </w:rPr>
              <w:t>Efficiency Maine Trust:</w:t>
            </w:r>
            <w:r w:rsidRPr="003F6431">
              <w:rPr>
                <w:rFonts w:eastAsia="Times New Roman" w:cstheme="minorHAnsi"/>
              </w:rPr>
              <w:t xml:space="preserve"> $2,595 loan for biomass energy project, quarterly principal payments of $65 plus interest at 1.5% beginning in June 2016 and continuing through March 2026.</w:t>
            </w:r>
          </w:p>
          <w:p w14:paraId="472E4F3A" w14:textId="77777777" w:rsidR="001B6918" w:rsidRPr="003F6431" w:rsidRDefault="001B6918" w:rsidP="00730ECF">
            <w:pPr>
              <w:spacing w:before="160"/>
              <w:ind w:left="250"/>
              <w:rPr>
                <w:rFonts w:eastAsia="Times New Roman" w:cstheme="minorHAnsi"/>
                <w:color w:val="FF0000"/>
                <w:u w:val="single"/>
              </w:rPr>
            </w:pPr>
            <w:r w:rsidRPr="003F6431">
              <w:rPr>
                <w:rFonts w:eastAsia="Times New Roman" w:cstheme="minorHAnsi"/>
              </w:rPr>
              <w:t>The promissory note contains a provision that in the event of default, all outstanding principal shall be immediately due and payable, and interest on the unpaid principal balance shall thereafter accrue at an interest rate equal to 12%.</w:t>
            </w:r>
          </w:p>
        </w:tc>
        <w:tc>
          <w:tcPr>
            <w:tcW w:w="1817" w:type="dxa"/>
            <w:tcBorders>
              <w:top w:val="nil"/>
              <w:left w:val="nil"/>
              <w:bottom w:val="nil"/>
              <w:right w:val="nil"/>
            </w:tcBorders>
            <w:shd w:val="clear" w:color="000000" w:fill="FFFFFF"/>
            <w:noWrap/>
            <w:vAlign w:val="bottom"/>
          </w:tcPr>
          <w:p w14:paraId="56A2470D" w14:textId="77777777" w:rsidR="001B6918" w:rsidRPr="007346D1" w:rsidRDefault="001B6918" w:rsidP="00730ECF">
            <w:pPr>
              <w:jc w:val="right"/>
              <w:rPr>
                <w:rFonts w:eastAsia="Times New Roman" w:cstheme="minorHAnsi"/>
              </w:rPr>
            </w:pPr>
            <w:r w:rsidRPr="003F6431">
              <w:rPr>
                <w:rFonts w:eastAsia="Times New Roman" w:cstheme="minorHAnsi"/>
              </w:rPr>
              <w:t>$    195</w:t>
            </w:r>
          </w:p>
        </w:tc>
        <w:tc>
          <w:tcPr>
            <w:tcW w:w="1817" w:type="dxa"/>
            <w:tcBorders>
              <w:top w:val="nil"/>
              <w:left w:val="nil"/>
              <w:bottom w:val="nil"/>
              <w:right w:val="nil"/>
            </w:tcBorders>
            <w:shd w:val="clear" w:color="auto" w:fill="F2F2F2" w:themeFill="background1" w:themeFillShade="F2"/>
            <w:noWrap/>
            <w:vAlign w:val="bottom"/>
          </w:tcPr>
          <w:p w14:paraId="2A8C958A" w14:textId="77777777" w:rsidR="001B6918" w:rsidRPr="004E6649" w:rsidRDefault="001B6918" w:rsidP="00730ECF">
            <w:pPr>
              <w:jc w:val="right"/>
              <w:rPr>
                <w:rFonts w:eastAsia="Times New Roman" w:cstheme="minorHAnsi"/>
              </w:rPr>
            </w:pPr>
            <w:r>
              <w:rPr>
                <w:rFonts w:eastAsia="Times New Roman" w:cstheme="minorHAnsi"/>
              </w:rPr>
              <w:t xml:space="preserve">$    </w:t>
            </w:r>
            <w:r w:rsidRPr="000412E6">
              <w:rPr>
                <w:rFonts w:eastAsia="Times New Roman" w:cstheme="minorHAnsi"/>
              </w:rPr>
              <w:t>454</w:t>
            </w:r>
          </w:p>
        </w:tc>
      </w:tr>
      <w:tr w:rsidR="001B6918" w:rsidRPr="004E6649" w14:paraId="4E75CAA0" w14:textId="77777777" w:rsidTr="00730ECF">
        <w:trPr>
          <w:trHeight w:val="420"/>
          <w:jc w:val="center"/>
        </w:trPr>
        <w:tc>
          <w:tcPr>
            <w:tcW w:w="6302" w:type="dxa"/>
            <w:tcBorders>
              <w:top w:val="nil"/>
              <w:left w:val="nil"/>
              <w:bottom w:val="single" w:sz="4" w:space="0" w:color="auto"/>
              <w:right w:val="nil"/>
            </w:tcBorders>
            <w:shd w:val="clear" w:color="000000" w:fill="FFFFFF"/>
            <w:noWrap/>
            <w:vAlign w:val="bottom"/>
          </w:tcPr>
          <w:p w14:paraId="4D1FB1E3" w14:textId="77777777" w:rsidR="001B6918" w:rsidRPr="003F6431" w:rsidRDefault="001B6918" w:rsidP="00730ECF">
            <w:pPr>
              <w:spacing w:before="160"/>
              <w:ind w:leftChars="106" w:left="251" w:hangingChars="8" w:hanging="18"/>
              <w:rPr>
                <w:rFonts w:eastAsia="Times New Roman" w:cstheme="minorHAnsi"/>
                <w:u w:val="single"/>
              </w:rPr>
            </w:pPr>
            <w:r w:rsidRPr="003F6431">
              <w:rPr>
                <w:rFonts w:eastAsia="Times New Roman" w:cstheme="minorHAnsi"/>
                <w:u w:val="single"/>
              </w:rPr>
              <w:t>Banc of America Public Capital Corp. (BOAPCC):</w:t>
            </w:r>
            <w:r w:rsidRPr="003F6431">
              <w:rPr>
                <w:rFonts w:eastAsia="Times New Roman" w:cstheme="minorHAnsi"/>
              </w:rPr>
              <w:t xml:space="preserve"> Master lease purchase agreement, secured by equipment and vehicles, quarterly or semi-annual payments including interest at 1.</w:t>
            </w:r>
            <w:r>
              <w:rPr>
                <w:rFonts w:eastAsia="Times New Roman" w:cstheme="minorHAnsi"/>
              </w:rPr>
              <w:t>40</w:t>
            </w:r>
            <w:r w:rsidRPr="003F6431">
              <w:rPr>
                <w:rFonts w:eastAsia="Times New Roman" w:cstheme="minorHAnsi"/>
              </w:rPr>
              <w:t xml:space="preserve">% to 5.04%, maturing from </w:t>
            </w:r>
            <w:r w:rsidRPr="004C10F0">
              <w:rPr>
                <w:rFonts w:eastAsia="Times New Roman" w:cstheme="minorHAnsi"/>
              </w:rPr>
              <w:t>March 2026 to June 2045</w:t>
            </w:r>
            <w:r w:rsidRPr="003F6431">
              <w:rPr>
                <w:rFonts w:eastAsia="Times New Roman" w:cstheme="minorHAnsi"/>
              </w:rPr>
              <w:t>. The master lease purchase agreement contains a provision that in the event of default, BOAPCC has the right, at its sole option, to take one or any combination of the following steps: a) declare all remaining payments due and payable, b) repossess the financed property, c) whatever action at law or in equity may appear necessary or desirable to enforce its rights under the agreement.</w:t>
            </w:r>
          </w:p>
        </w:tc>
        <w:tc>
          <w:tcPr>
            <w:tcW w:w="1817" w:type="dxa"/>
            <w:tcBorders>
              <w:top w:val="nil"/>
              <w:left w:val="nil"/>
              <w:bottom w:val="single" w:sz="4" w:space="0" w:color="auto"/>
              <w:right w:val="nil"/>
            </w:tcBorders>
            <w:shd w:val="clear" w:color="000000" w:fill="FFFFFF"/>
            <w:noWrap/>
            <w:vAlign w:val="bottom"/>
          </w:tcPr>
          <w:p w14:paraId="53F83C16" w14:textId="77777777" w:rsidR="001B6918" w:rsidRPr="007346D1" w:rsidRDefault="001B6918" w:rsidP="00730ECF">
            <w:pPr>
              <w:jc w:val="right"/>
              <w:rPr>
                <w:rFonts w:eastAsia="Times New Roman" w:cstheme="minorHAnsi"/>
              </w:rPr>
            </w:pPr>
            <w:r w:rsidRPr="003F6431">
              <w:rPr>
                <w:rFonts w:eastAsia="Times New Roman" w:cstheme="minorHAnsi"/>
              </w:rPr>
              <w:t>14,224</w:t>
            </w:r>
          </w:p>
        </w:tc>
        <w:tc>
          <w:tcPr>
            <w:tcW w:w="1817" w:type="dxa"/>
            <w:tcBorders>
              <w:top w:val="nil"/>
              <w:left w:val="nil"/>
              <w:bottom w:val="single" w:sz="4" w:space="0" w:color="auto"/>
              <w:right w:val="nil"/>
            </w:tcBorders>
            <w:shd w:val="clear" w:color="auto" w:fill="F2F2F2" w:themeFill="background1" w:themeFillShade="F2"/>
            <w:noWrap/>
            <w:vAlign w:val="bottom"/>
          </w:tcPr>
          <w:p w14:paraId="75260409" w14:textId="77777777" w:rsidR="001B6918" w:rsidRPr="004E6649" w:rsidRDefault="001B6918" w:rsidP="00730ECF">
            <w:pPr>
              <w:jc w:val="right"/>
              <w:rPr>
                <w:rFonts w:eastAsia="Times New Roman" w:cstheme="minorHAnsi"/>
              </w:rPr>
            </w:pPr>
            <w:r w:rsidRPr="000412E6">
              <w:rPr>
                <w:rFonts w:eastAsia="Times New Roman" w:cstheme="minorHAnsi"/>
              </w:rPr>
              <w:t>12,879</w:t>
            </w:r>
          </w:p>
        </w:tc>
      </w:tr>
      <w:tr w:rsidR="001B6918" w:rsidRPr="004E6649" w14:paraId="5F3915AA" w14:textId="77777777" w:rsidTr="00730ECF">
        <w:trPr>
          <w:trHeight w:val="125"/>
          <w:jc w:val="center"/>
        </w:trPr>
        <w:tc>
          <w:tcPr>
            <w:tcW w:w="6302" w:type="dxa"/>
            <w:tcBorders>
              <w:top w:val="single" w:sz="4" w:space="0" w:color="auto"/>
              <w:left w:val="nil"/>
              <w:bottom w:val="single" w:sz="4" w:space="0" w:color="auto"/>
              <w:right w:val="nil"/>
            </w:tcBorders>
            <w:shd w:val="clear" w:color="000000" w:fill="FFFFFF"/>
            <w:noWrap/>
            <w:vAlign w:val="bottom"/>
          </w:tcPr>
          <w:p w14:paraId="17EB319F" w14:textId="77777777" w:rsidR="001B6918" w:rsidRPr="003F6431" w:rsidRDefault="001B6918" w:rsidP="00730ECF">
            <w:pPr>
              <w:ind w:leftChars="106" w:left="251" w:hangingChars="8" w:hanging="18"/>
              <w:rPr>
                <w:rFonts w:eastAsia="Times New Roman" w:cstheme="minorHAnsi"/>
                <w:u w:val="single"/>
              </w:rPr>
            </w:pPr>
            <w:r w:rsidRPr="007346D1">
              <w:rPr>
                <w:rFonts w:eastAsia="Times New Roman" w:cstheme="minorHAnsi"/>
              </w:rPr>
              <w:t>Total direct borrowings</w:t>
            </w:r>
          </w:p>
        </w:tc>
        <w:tc>
          <w:tcPr>
            <w:tcW w:w="1817" w:type="dxa"/>
            <w:tcBorders>
              <w:top w:val="single" w:sz="4" w:space="0" w:color="auto"/>
              <w:left w:val="nil"/>
              <w:bottom w:val="single" w:sz="4" w:space="0" w:color="auto"/>
              <w:right w:val="nil"/>
            </w:tcBorders>
            <w:shd w:val="clear" w:color="000000" w:fill="FFFFFF"/>
            <w:noWrap/>
            <w:vAlign w:val="bottom"/>
          </w:tcPr>
          <w:p w14:paraId="34DB5DE7" w14:textId="77777777" w:rsidR="001B6918" w:rsidRPr="007346D1" w:rsidRDefault="001B6918" w:rsidP="00730ECF">
            <w:pPr>
              <w:jc w:val="right"/>
              <w:rPr>
                <w:rFonts w:eastAsia="Times New Roman" w:cstheme="minorHAnsi"/>
              </w:rPr>
            </w:pPr>
            <w:r w:rsidRPr="003F6431">
              <w:rPr>
                <w:rFonts w:eastAsia="Times New Roman" w:cstheme="minorHAnsi"/>
              </w:rPr>
              <w:t>14,419</w:t>
            </w:r>
          </w:p>
        </w:tc>
        <w:tc>
          <w:tcPr>
            <w:tcW w:w="1817" w:type="dxa"/>
            <w:tcBorders>
              <w:top w:val="single" w:sz="4" w:space="0" w:color="auto"/>
              <w:left w:val="nil"/>
              <w:bottom w:val="single" w:sz="4" w:space="0" w:color="auto"/>
              <w:right w:val="nil"/>
            </w:tcBorders>
            <w:shd w:val="clear" w:color="auto" w:fill="F2F2F2" w:themeFill="background1" w:themeFillShade="F2"/>
            <w:noWrap/>
            <w:vAlign w:val="bottom"/>
          </w:tcPr>
          <w:p w14:paraId="5EAE4926" w14:textId="77777777" w:rsidR="001B6918" w:rsidRPr="004E6649" w:rsidRDefault="001B6918" w:rsidP="00730ECF">
            <w:pPr>
              <w:jc w:val="right"/>
              <w:rPr>
                <w:rFonts w:eastAsia="Times New Roman" w:cstheme="minorHAnsi"/>
              </w:rPr>
            </w:pPr>
            <w:r w:rsidRPr="000412E6">
              <w:rPr>
                <w:rFonts w:eastAsia="Times New Roman" w:cstheme="minorHAnsi"/>
              </w:rPr>
              <w:t>13,333</w:t>
            </w:r>
          </w:p>
        </w:tc>
      </w:tr>
      <w:tr w:rsidR="001B6918" w:rsidRPr="004E6649" w14:paraId="6ED5A620" w14:textId="77777777" w:rsidTr="00730ECF">
        <w:trPr>
          <w:trHeight w:val="215"/>
          <w:jc w:val="center"/>
        </w:trPr>
        <w:tc>
          <w:tcPr>
            <w:tcW w:w="6302" w:type="dxa"/>
            <w:tcBorders>
              <w:top w:val="single" w:sz="4" w:space="0" w:color="auto"/>
              <w:left w:val="nil"/>
              <w:bottom w:val="double" w:sz="4" w:space="0" w:color="auto"/>
              <w:right w:val="nil"/>
            </w:tcBorders>
            <w:shd w:val="clear" w:color="000000" w:fill="FFFFFF"/>
            <w:noWrap/>
            <w:vAlign w:val="bottom"/>
          </w:tcPr>
          <w:p w14:paraId="2C00F2F3" w14:textId="77777777" w:rsidR="001B6918" w:rsidRPr="003F6431" w:rsidRDefault="001B6918" w:rsidP="00730ECF">
            <w:pPr>
              <w:ind w:leftChars="106" w:left="251" w:hangingChars="8" w:hanging="18"/>
              <w:rPr>
                <w:rFonts w:eastAsia="Times New Roman" w:cstheme="minorHAnsi"/>
                <w:u w:val="single"/>
              </w:rPr>
            </w:pPr>
            <w:r w:rsidRPr="003F6431">
              <w:rPr>
                <w:rFonts w:eastAsia="Times New Roman" w:cstheme="minorHAnsi"/>
              </w:rPr>
              <w:t>Total bonds payable and direct borrowings</w:t>
            </w:r>
          </w:p>
        </w:tc>
        <w:tc>
          <w:tcPr>
            <w:tcW w:w="1817" w:type="dxa"/>
            <w:tcBorders>
              <w:top w:val="single" w:sz="4" w:space="0" w:color="auto"/>
              <w:left w:val="nil"/>
              <w:bottom w:val="double" w:sz="4" w:space="0" w:color="auto"/>
              <w:right w:val="nil"/>
            </w:tcBorders>
            <w:shd w:val="clear" w:color="000000" w:fill="FFFFFF"/>
            <w:noWrap/>
            <w:vAlign w:val="bottom"/>
          </w:tcPr>
          <w:p w14:paraId="3B75261A" w14:textId="77777777" w:rsidR="001B6918" w:rsidRPr="007346D1" w:rsidRDefault="001B6918" w:rsidP="00730ECF">
            <w:pPr>
              <w:jc w:val="right"/>
              <w:rPr>
                <w:rFonts w:eastAsia="Times New Roman" w:cstheme="minorHAnsi"/>
              </w:rPr>
            </w:pPr>
            <w:r w:rsidRPr="007346D1">
              <w:rPr>
                <w:rFonts w:eastAsia="Times New Roman" w:cstheme="minorHAnsi"/>
              </w:rPr>
              <w:t>$</w:t>
            </w:r>
            <w:r w:rsidRPr="003F6431">
              <w:rPr>
                <w:rFonts w:eastAsia="Times New Roman" w:cstheme="minorHAnsi"/>
              </w:rPr>
              <w:t>202,000</w:t>
            </w:r>
          </w:p>
        </w:tc>
        <w:tc>
          <w:tcPr>
            <w:tcW w:w="1817" w:type="dxa"/>
            <w:tcBorders>
              <w:top w:val="single" w:sz="4" w:space="0" w:color="auto"/>
              <w:left w:val="nil"/>
              <w:bottom w:val="double" w:sz="4" w:space="0" w:color="auto"/>
              <w:right w:val="nil"/>
            </w:tcBorders>
            <w:shd w:val="clear" w:color="auto" w:fill="F2F2F2" w:themeFill="background1" w:themeFillShade="F2"/>
            <w:noWrap/>
            <w:vAlign w:val="bottom"/>
          </w:tcPr>
          <w:p w14:paraId="18437469" w14:textId="77777777" w:rsidR="001B6918" w:rsidRPr="004E6649" w:rsidRDefault="001B6918" w:rsidP="00730ECF">
            <w:pPr>
              <w:jc w:val="right"/>
              <w:rPr>
                <w:rFonts w:eastAsia="Times New Roman" w:cstheme="minorHAnsi"/>
              </w:rPr>
            </w:pPr>
            <w:r w:rsidRPr="000412E6">
              <w:rPr>
                <w:rFonts w:eastAsia="Times New Roman" w:cstheme="minorHAnsi"/>
              </w:rPr>
              <w:t>$217,650</w:t>
            </w:r>
          </w:p>
        </w:tc>
      </w:tr>
      <w:tr w:rsidR="001B6918" w:rsidRPr="004E6649" w14:paraId="09ED028B" w14:textId="77777777" w:rsidTr="00730ECF">
        <w:trPr>
          <w:trHeight w:val="258"/>
          <w:jc w:val="center"/>
        </w:trPr>
        <w:tc>
          <w:tcPr>
            <w:tcW w:w="6302" w:type="dxa"/>
            <w:tcBorders>
              <w:top w:val="double" w:sz="4" w:space="0" w:color="auto"/>
              <w:left w:val="nil"/>
              <w:bottom w:val="nil"/>
              <w:right w:val="nil"/>
            </w:tcBorders>
            <w:shd w:val="clear" w:color="000000" w:fill="FFFFFF"/>
            <w:noWrap/>
            <w:vAlign w:val="bottom"/>
          </w:tcPr>
          <w:p w14:paraId="15530C7E" w14:textId="77777777" w:rsidR="001B6918" w:rsidRPr="003F6431" w:rsidRDefault="001B6918" w:rsidP="00730ECF">
            <w:pPr>
              <w:ind w:leftChars="107" w:left="253" w:hangingChars="8" w:hanging="18"/>
              <w:rPr>
                <w:rFonts w:eastAsia="Times New Roman" w:cstheme="minorHAnsi"/>
                <w:u w:val="single"/>
              </w:rPr>
            </w:pPr>
            <w:r w:rsidRPr="003F6431">
              <w:rPr>
                <w:rFonts w:eastAsia="Times New Roman" w:cstheme="minorHAnsi"/>
              </w:rPr>
              <w:t>Total par value of bonds payable and direct borrowings</w:t>
            </w:r>
          </w:p>
        </w:tc>
        <w:tc>
          <w:tcPr>
            <w:tcW w:w="1817" w:type="dxa"/>
            <w:tcBorders>
              <w:top w:val="double" w:sz="4" w:space="0" w:color="auto"/>
              <w:left w:val="nil"/>
              <w:bottom w:val="nil"/>
              <w:right w:val="nil"/>
            </w:tcBorders>
            <w:shd w:val="clear" w:color="000000" w:fill="FFFFFF"/>
            <w:noWrap/>
            <w:vAlign w:val="bottom"/>
          </w:tcPr>
          <w:p w14:paraId="2E1302C9" w14:textId="77777777" w:rsidR="001B6918" w:rsidRPr="007346D1" w:rsidRDefault="001B6918" w:rsidP="00730ECF">
            <w:pPr>
              <w:jc w:val="right"/>
              <w:rPr>
                <w:rFonts w:eastAsia="Times New Roman" w:cstheme="minorHAnsi"/>
              </w:rPr>
            </w:pPr>
            <w:r w:rsidRPr="007346D1">
              <w:rPr>
                <w:rFonts w:cstheme="minorHAnsi"/>
              </w:rPr>
              <w:t xml:space="preserve">  $</w:t>
            </w:r>
            <w:r w:rsidRPr="003F6431">
              <w:rPr>
                <w:rFonts w:cstheme="minorHAnsi"/>
              </w:rPr>
              <w:t>189</w:t>
            </w:r>
            <w:r>
              <w:rPr>
                <w:rFonts w:cstheme="minorHAnsi"/>
              </w:rPr>
              <w:t>,</w:t>
            </w:r>
            <w:r w:rsidRPr="003F6431">
              <w:rPr>
                <w:rFonts w:cstheme="minorHAnsi"/>
              </w:rPr>
              <w:t>649</w:t>
            </w:r>
          </w:p>
        </w:tc>
        <w:tc>
          <w:tcPr>
            <w:tcW w:w="1817" w:type="dxa"/>
            <w:tcBorders>
              <w:top w:val="double" w:sz="4" w:space="0" w:color="auto"/>
              <w:left w:val="nil"/>
              <w:bottom w:val="nil"/>
              <w:right w:val="nil"/>
            </w:tcBorders>
            <w:shd w:val="clear" w:color="auto" w:fill="F2F2F2" w:themeFill="background1" w:themeFillShade="F2"/>
            <w:noWrap/>
            <w:vAlign w:val="bottom"/>
          </w:tcPr>
          <w:p w14:paraId="2A5E97A9" w14:textId="77777777" w:rsidR="001B6918" w:rsidRPr="004E6649" w:rsidRDefault="001B6918" w:rsidP="00730ECF">
            <w:pPr>
              <w:jc w:val="right"/>
              <w:rPr>
                <w:rFonts w:eastAsia="Times New Roman" w:cstheme="minorHAnsi"/>
              </w:rPr>
            </w:pPr>
            <w:r w:rsidRPr="000412E6">
              <w:rPr>
                <w:rFonts w:cstheme="minorHAnsi"/>
              </w:rPr>
              <w:t>$203,448</w:t>
            </w:r>
          </w:p>
        </w:tc>
      </w:tr>
      <w:tr w:rsidR="001B6918" w:rsidRPr="004E6649" w14:paraId="66E83BA3" w14:textId="77777777" w:rsidTr="00730ECF">
        <w:trPr>
          <w:trHeight w:val="270"/>
          <w:jc w:val="center"/>
        </w:trPr>
        <w:tc>
          <w:tcPr>
            <w:tcW w:w="6302" w:type="dxa"/>
            <w:tcBorders>
              <w:top w:val="nil"/>
              <w:left w:val="nil"/>
              <w:bottom w:val="single" w:sz="4" w:space="0" w:color="auto"/>
              <w:right w:val="nil"/>
            </w:tcBorders>
            <w:shd w:val="clear" w:color="000000" w:fill="FFFFFF"/>
            <w:noWrap/>
            <w:vAlign w:val="bottom"/>
          </w:tcPr>
          <w:p w14:paraId="6487414C" w14:textId="77777777" w:rsidR="001B6918" w:rsidRPr="003F6431" w:rsidRDefault="001B6918" w:rsidP="00730ECF">
            <w:pPr>
              <w:ind w:leftChars="107" w:left="253" w:hangingChars="8" w:hanging="18"/>
              <w:rPr>
                <w:rFonts w:eastAsia="Times New Roman" w:cstheme="minorHAnsi"/>
                <w:u w:val="single"/>
              </w:rPr>
            </w:pPr>
            <w:r w:rsidRPr="003F6431">
              <w:rPr>
                <w:rFonts w:cstheme="minorHAnsi"/>
              </w:rPr>
              <w:t>Total unamortized premiums and discounts</w:t>
            </w:r>
          </w:p>
        </w:tc>
        <w:tc>
          <w:tcPr>
            <w:tcW w:w="1817" w:type="dxa"/>
            <w:tcBorders>
              <w:top w:val="nil"/>
              <w:left w:val="nil"/>
              <w:bottom w:val="single" w:sz="4" w:space="0" w:color="auto"/>
              <w:right w:val="nil"/>
            </w:tcBorders>
            <w:shd w:val="clear" w:color="000000" w:fill="FFFFFF"/>
            <w:noWrap/>
            <w:vAlign w:val="bottom"/>
          </w:tcPr>
          <w:p w14:paraId="33E0E04B" w14:textId="77777777" w:rsidR="001B6918" w:rsidRPr="007346D1" w:rsidRDefault="001B6918" w:rsidP="00730ECF">
            <w:pPr>
              <w:jc w:val="right"/>
              <w:rPr>
                <w:rFonts w:eastAsia="Times New Roman" w:cstheme="minorHAnsi"/>
              </w:rPr>
            </w:pPr>
            <w:r w:rsidRPr="003F6431">
              <w:rPr>
                <w:rFonts w:cstheme="minorHAnsi"/>
              </w:rPr>
              <w:t>12,351</w:t>
            </w:r>
          </w:p>
        </w:tc>
        <w:tc>
          <w:tcPr>
            <w:tcW w:w="1817" w:type="dxa"/>
            <w:tcBorders>
              <w:top w:val="nil"/>
              <w:left w:val="nil"/>
              <w:bottom w:val="single" w:sz="4" w:space="0" w:color="auto"/>
              <w:right w:val="nil"/>
            </w:tcBorders>
            <w:shd w:val="clear" w:color="auto" w:fill="F2F2F2" w:themeFill="background1" w:themeFillShade="F2"/>
            <w:noWrap/>
            <w:vAlign w:val="bottom"/>
          </w:tcPr>
          <w:p w14:paraId="5509755C" w14:textId="1B61C64C" w:rsidR="001B6918" w:rsidRPr="004E6649" w:rsidRDefault="001B6918" w:rsidP="00730ECF">
            <w:pPr>
              <w:jc w:val="right"/>
              <w:rPr>
                <w:rFonts w:eastAsia="Times New Roman" w:cstheme="minorHAnsi"/>
              </w:rPr>
            </w:pPr>
            <w:r w:rsidRPr="000412E6">
              <w:rPr>
                <w:rFonts w:cstheme="minorHAnsi"/>
              </w:rPr>
              <w:t>14,202</w:t>
            </w:r>
          </w:p>
        </w:tc>
      </w:tr>
      <w:tr w:rsidR="001B6918" w:rsidRPr="004E6649" w14:paraId="105A3966" w14:textId="77777777" w:rsidTr="00730ECF">
        <w:trPr>
          <w:trHeight w:val="170"/>
          <w:jc w:val="center"/>
        </w:trPr>
        <w:tc>
          <w:tcPr>
            <w:tcW w:w="6302" w:type="dxa"/>
            <w:tcBorders>
              <w:top w:val="single" w:sz="4" w:space="0" w:color="auto"/>
              <w:left w:val="nil"/>
              <w:bottom w:val="double" w:sz="4" w:space="0" w:color="auto"/>
              <w:right w:val="nil"/>
            </w:tcBorders>
            <w:shd w:val="clear" w:color="000000" w:fill="FFFFFF"/>
            <w:noWrap/>
            <w:vAlign w:val="bottom"/>
          </w:tcPr>
          <w:p w14:paraId="7644C7A9" w14:textId="77777777" w:rsidR="001B6918" w:rsidRPr="003F6431" w:rsidRDefault="001B6918" w:rsidP="00730ECF">
            <w:pPr>
              <w:ind w:leftChars="106" w:left="251" w:hangingChars="8" w:hanging="18"/>
              <w:rPr>
                <w:rFonts w:eastAsia="Times New Roman" w:cstheme="minorHAnsi"/>
                <w:u w:val="single"/>
              </w:rPr>
            </w:pPr>
            <w:r w:rsidRPr="003F6431">
              <w:rPr>
                <w:rFonts w:eastAsia="Times New Roman" w:cstheme="minorHAnsi"/>
              </w:rPr>
              <w:t>Total bonds payable and direct borrowings</w:t>
            </w:r>
          </w:p>
        </w:tc>
        <w:tc>
          <w:tcPr>
            <w:tcW w:w="1817" w:type="dxa"/>
            <w:tcBorders>
              <w:top w:val="single" w:sz="4" w:space="0" w:color="auto"/>
              <w:left w:val="nil"/>
              <w:bottom w:val="double" w:sz="4" w:space="0" w:color="auto"/>
              <w:right w:val="nil"/>
            </w:tcBorders>
            <w:shd w:val="clear" w:color="000000" w:fill="FFFFFF"/>
            <w:noWrap/>
            <w:vAlign w:val="bottom"/>
          </w:tcPr>
          <w:p w14:paraId="47AC8A5E" w14:textId="77777777" w:rsidR="001B6918" w:rsidRPr="007346D1" w:rsidRDefault="001B6918" w:rsidP="00730ECF">
            <w:pPr>
              <w:jc w:val="right"/>
              <w:rPr>
                <w:rFonts w:eastAsia="Times New Roman" w:cstheme="minorHAnsi"/>
              </w:rPr>
            </w:pPr>
            <w:r w:rsidRPr="007346D1">
              <w:rPr>
                <w:rFonts w:eastAsia="Times New Roman" w:cstheme="minorHAnsi"/>
              </w:rPr>
              <w:t>$</w:t>
            </w:r>
            <w:r w:rsidRPr="003F6431">
              <w:rPr>
                <w:rFonts w:eastAsia="Times New Roman" w:cstheme="minorHAnsi"/>
              </w:rPr>
              <w:t>202,000</w:t>
            </w:r>
          </w:p>
        </w:tc>
        <w:tc>
          <w:tcPr>
            <w:tcW w:w="1817" w:type="dxa"/>
            <w:tcBorders>
              <w:top w:val="single" w:sz="4" w:space="0" w:color="auto"/>
              <w:left w:val="nil"/>
              <w:bottom w:val="double" w:sz="4" w:space="0" w:color="auto"/>
              <w:right w:val="nil"/>
            </w:tcBorders>
            <w:shd w:val="clear" w:color="auto" w:fill="F2F2F2" w:themeFill="background1" w:themeFillShade="F2"/>
            <w:noWrap/>
            <w:vAlign w:val="bottom"/>
          </w:tcPr>
          <w:p w14:paraId="4145083F" w14:textId="77777777" w:rsidR="001B6918" w:rsidRPr="004E6649" w:rsidRDefault="001B6918" w:rsidP="00730ECF">
            <w:pPr>
              <w:jc w:val="right"/>
              <w:rPr>
                <w:rFonts w:eastAsia="Times New Roman" w:cstheme="minorHAnsi"/>
              </w:rPr>
            </w:pPr>
            <w:r w:rsidRPr="000412E6">
              <w:rPr>
                <w:rFonts w:eastAsia="Times New Roman" w:cstheme="minorHAnsi"/>
              </w:rPr>
              <w:t>$217,650</w:t>
            </w:r>
          </w:p>
        </w:tc>
      </w:tr>
    </w:tbl>
    <w:p w14:paraId="7058AFBB" w14:textId="77777777" w:rsidR="001B6918" w:rsidRPr="004E6649" w:rsidRDefault="001B6918" w:rsidP="001B6918">
      <w:pPr>
        <w:spacing w:line="259" w:lineRule="auto"/>
        <w:rPr>
          <w:rFonts w:cstheme="minorHAnsi"/>
          <w:sz w:val="2"/>
          <w:szCs w:val="2"/>
        </w:rPr>
      </w:pPr>
    </w:p>
    <w:p w14:paraId="155A832F" w14:textId="77777777" w:rsidR="001B6918" w:rsidRDefault="001B6918" w:rsidP="001B6918">
      <w:pPr>
        <w:tabs>
          <w:tab w:val="left" w:pos="0"/>
          <w:tab w:val="left" w:pos="1260"/>
          <w:tab w:val="left" w:pos="1440"/>
        </w:tabs>
        <w:suppressAutoHyphens/>
        <w:spacing w:before="120"/>
        <w:rPr>
          <w:rFonts w:eastAsiaTheme="majorEastAsia" w:cstheme="minorHAnsi"/>
          <w:b/>
          <w:i/>
          <w:iCs/>
          <w:smallCaps/>
          <w:noProof/>
          <w:color w:val="000000" w:themeColor="text1"/>
          <w:sz w:val="24"/>
          <w:szCs w:val="24"/>
          <w:u w:color="5B9BD5"/>
        </w:rPr>
      </w:pPr>
      <w:r w:rsidRPr="004E6649">
        <w:rPr>
          <w:rFonts w:eastAsia="Times New Roman" w:cstheme="minorHAnsi"/>
          <w:spacing w:val="-3"/>
          <w:sz w:val="24"/>
          <w:szCs w:val="20"/>
        </w:rPr>
        <w:t>Costs associated with the issuance of revenue bonds have been expensed as incurred and included in the accompanying Statements of Revenues, Expenses and Changes in Net Position. Premiums, discounts, and deferred amounts on refunding are being amortized over the life of the respective bond issuances as part of interest expense using the effective interest method.</w:t>
      </w:r>
      <w:r>
        <w:rPr>
          <w:rFonts w:eastAsiaTheme="majorEastAsia" w:cstheme="minorHAnsi"/>
          <w:b/>
          <w:i/>
          <w:iCs/>
          <w:smallCaps/>
          <w:noProof/>
          <w:color w:val="000000" w:themeColor="text1"/>
          <w:sz w:val="24"/>
          <w:szCs w:val="24"/>
          <w:u w:color="5B9BD5"/>
        </w:rPr>
        <w:br w:type="page"/>
      </w:r>
    </w:p>
    <w:p w14:paraId="4C676B6E" w14:textId="77777777" w:rsidR="001B6918" w:rsidRPr="00A02D27" w:rsidRDefault="001B6918" w:rsidP="001B6918">
      <w:pPr>
        <w:spacing w:after="160"/>
        <w:rPr>
          <w:rFonts w:eastAsiaTheme="majorEastAsia" w:cstheme="minorHAnsi"/>
          <w:b/>
          <w:i/>
          <w:iCs/>
          <w:smallCaps/>
          <w:noProof/>
          <w:color w:val="000000" w:themeColor="text1"/>
          <w:sz w:val="24"/>
          <w:szCs w:val="24"/>
          <w:u w:color="5B9BD5"/>
        </w:rPr>
      </w:pPr>
      <w:r w:rsidRPr="00EC502D">
        <w:rPr>
          <w:rFonts w:eastAsiaTheme="majorEastAsia" w:cstheme="minorHAnsi"/>
          <w:b/>
          <w:i/>
          <w:iCs/>
          <w:smallCaps/>
          <w:noProof/>
          <w:color w:val="000000" w:themeColor="text1"/>
          <w:sz w:val="24"/>
          <w:szCs w:val="24"/>
          <w:u w:color="5B9BD5"/>
        </w:rPr>
        <w:lastRenderedPageBreak/>
        <w:t>7. ACCRUED LIABILITIES, LEASE LIABILITIES AND LONG-TERM DEBT - CONTINUED</w:t>
      </w:r>
      <w:r w:rsidRPr="00A02D27">
        <w:rPr>
          <w:rFonts w:eastAsiaTheme="majorEastAsia" w:cstheme="minorHAnsi"/>
          <w:b/>
          <w:i/>
          <w:iCs/>
          <w:smallCaps/>
          <w:noProof/>
          <w:color w:val="000000" w:themeColor="text1"/>
          <w:sz w:val="24"/>
          <w:szCs w:val="24"/>
          <w:u w:color="5B9BD5"/>
        </w:rPr>
        <w:fldChar w:fldCharType="begin"/>
      </w:r>
      <w:r w:rsidRPr="00A02D27">
        <w:rPr>
          <w:rFonts w:eastAsiaTheme="majorEastAsia" w:cstheme="minorHAnsi"/>
          <w:b/>
          <w:i/>
          <w:iCs/>
          <w:smallCaps/>
          <w:noProof/>
          <w:color w:val="000000" w:themeColor="text1"/>
          <w:sz w:val="24"/>
          <w:szCs w:val="24"/>
          <w:u w:color="5B9BD5"/>
        </w:rPr>
        <w:fldChar w:fldCharType="end"/>
      </w:r>
    </w:p>
    <w:p w14:paraId="36912E22" w14:textId="77777777" w:rsidR="001B6918" w:rsidRPr="004E6649" w:rsidRDefault="001B6918" w:rsidP="001B6918">
      <w:pPr>
        <w:tabs>
          <w:tab w:val="left" w:pos="540"/>
          <w:tab w:val="left" w:pos="630"/>
          <w:tab w:val="left" w:pos="1440"/>
          <w:tab w:val="decimal" w:pos="7020"/>
          <w:tab w:val="decimal" w:pos="9454"/>
        </w:tabs>
        <w:suppressAutoHyphens/>
        <w:spacing w:after="160"/>
        <w:rPr>
          <w:rFonts w:cstheme="minorHAnsi"/>
          <w:bCs/>
          <w:spacing w:val="-2"/>
          <w:sz w:val="24"/>
        </w:rPr>
      </w:pPr>
      <w:r w:rsidRPr="004E6649">
        <w:rPr>
          <w:rFonts w:cstheme="minorHAnsi"/>
          <w:bCs/>
          <w:spacing w:val="-2"/>
          <w:sz w:val="24"/>
        </w:rPr>
        <w:t xml:space="preserve">Principal and interest payments on bonds payable and direct borrowings for the next five years and in subsequent five-year periods are </w:t>
      </w:r>
      <w:proofErr w:type="gramStart"/>
      <w:r w:rsidRPr="004E6649">
        <w:rPr>
          <w:rFonts w:cstheme="minorHAnsi"/>
          <w:bCs/>
          <w:spacing w:val="-2"/>
          <w:sz w:val="24"/>
        </w:rPr>
        <w:t>as</w:t>
      </w:r>
      <w:proofErr w:type="gramEnd"/>
      <w:r w:rsidRPr="004E6649">
        <w:rPr>
          <w:rFonts w:cstheme="minorHAnsi"/>
          <w:bCs/>
          <w:spacing w:val="-2"/>
          <w:sz w:val="24"/>
        </w:rPr>
        <w:t xml:space="preserve"> follows </w:t>
      </w:r>
      <w:proofErr w:type="gramStart"/>
      <w:r w:rsidRPr="004E6649">
        <w:rPr>
          <w:rFonts w:cstheme="minorHAnsi"/>
          <w:bCs/>
          <w:spacing w:val="-2"/>
          <w:sz w:val="24"/>
        </w:rPr>
        <w:t>at</w:t>
      </w:r>
      <w:proofErr w:type="gramEnd"/>
      <w:r w:rsidRPr="004E6649">
        <w:rPr>
          <w:rFonts w:cstheme="minorHAnsi"/>
          <w:bCs/>
          <w:spacing w:val="-2"/>
          <w:sz w:val="24"/>
        </w:rPr>
        <w:t xml:space="preserve"> June 30, 202</w:t>
      </w:r>
      <w:r>
        <w:rPr>
          <w:rFonts w:cstheme="minorHAnsi"/>
          <w:bCs/>
          <w:spacing w:val="-2"/>
          <w:sz w:val="24"/>
        </w:rPr>
        <w:t>5</w:t>
      </w:r>
      <w:r w:rsidRPr="004E6649">
        <w:rPr>
          <w:rFonts w:cstheme="minorHAnsi"/>
          <w:bCs/>
          <w:spacing w:val="-2"/>
          <w:sz w:val="24"/>
        </w:rPr>
        <w:t>:</w:t>
      </w:r>
      <w:r w:rsidRPr="004E6649">
        <w:rPr>
          <w:rFonts w:cstheme="minorHAnsi"/>
          <w:bCs/>
          <w:spacing w:val="-2"/>
          <w:sz w:val="24"/>
        </w:rPr>
        <w:fldChar w:fldCharType="begin"/>
      </w:r>
      <w:r w:rsidRPr="004E6649">
        <w:rPr>
          <w:rFonts w:cstheme="minorHAnsi"/>
          <w:bCs/>
          <w:spacing w:val="-2"/>
          <w:sz w:val="24"/>
        </w:rPr>
        <w:fldChar w:fldCharType="end"/>
      </w:r>
    </w:p>
    <w:tbl>
      <w:tblPr>
        <w:tblW w:w="7740" w:type="dxa"/>
        <w:jc w:val="center"/>
        <w:tblLayout w:type="fixed"/>
        <w:tblCellMar>
          <w:left w:w="29" w:type="dxa"/>
          <w:right w:w="29" w:type="dxa"/>
        </w:tblCellMar>
        <w:tblLook w:val="04A0" w:firstRow="1" w:lastRow="0" w:firstColumn="1" w:lastColumn="0" w:noHBand="0" w:noVBand="1"/>
      </w:tblPr>
      <w:tblGrid>
        <w:gridCol w:w="2392"/>
        <w:gridCol w:w="1337"/>
        <w:gridCol w:w="1337"/>
        <w:gridCol w:w="1337"/>
        <w:gridCol w:w="1337"/>
      </w:tblGrid>
      <w:tr w:rsidR="001B6918" w:rsidRPr="004E6649" w14:paraId="0354054D" w14:textId="77777777" w:rsidTr="00730ECF">
        <w:trPr>
          <w:trHeight w:val="135"/>
          <w:tblHeader/>
          <w:jc w:val="center"/>
        </w:trPr>
        <w:tc>
          <w:tcPr>
            <w:tcW w:w="2392" w:type="dxa"/>
            <w:tcBorders>
              <w:top w:val="nil"/>
              <w:left w:val="nil"/>
              <w:bottom w:val="nil"/>
              <w:right w:val="nil"/>
            </w:tcBorders>
            <w:shd w:val="clear" w:color="000000" w:fill="FFFFFF"/>
            <w:vAlign w:val="bottom"/>
          </w:tcPr>
          <w:p w14:paraId="7AA399A7" w14:textId="77777777" w:rsidR="001B6918" w:rsidRPr="004E6649" w:rsidRDefault="001B6918" w:rsidP="00730ECF">
            <w:pPr>
              <w:rPr>
                <w:rFonts w:eastAsia="Times New Roman" w:cstheme="minorHAnsi"/>
                <w:b/>
                <w:bCs/>
                <w:color w:val="0D0D0D"/>
              </w:rPr>
            </w:pPr>
          </w:p>
        </w:tc>
        <w:tc>
          <w:tcPr>
            <w:tcW w:w="2674" w:type="dxa"/>
            <w:gridSpan w:val="2"/>
            <w:tcBorders>
              <w:top w:val="nil"/>
              <w:left w:val="nil"/>
              <w:bottom w:val="single" w:sz="12" w:space="0" w:color="000000" w:themeColor="text1"/>
              <w:right w:val="nil"/>
            </w:tcBorders>
            <w:shd w:val="clear" w:color="000000" w:fill="FFFFFF"/>
            <w:noWrap/>
            <w:vAlign w:val="bottom"/>
          </w:tcPr>
          <w:p w14:paraId="714A8A8F"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Bonds</w:t>
            </w:r>
            <w:r>
              <w:rPr>
                <w:rFonts w:eastAsia="Times New Roman" w:cstheme="minorHAnsi"/>
                <w:b/>
                <w:bCs/>
                <w:color w:val="0D0D0D"/>
              </w:rPr>
              <w:t xml:space="preserve"> </w:t>
            </w:r>
            <w:r w:rsidRPr="004E6649">
              <w:rPr>
                <w:rFonts w:eastAsia="Times New Roman" w:cstheme="minorHAnsi"/>
                <w:b/>
                <w:bCs/>
                <w:color w:val="0D0D0D"/>
              </w:rPr>
              <w:t>Payable</w:t>
            </w:r>
          </w:p>
        </w:tc>
        <w:tc>
          <w:tcPr>
            <w:tcW w:w="2674" w:type="dxa"/>
            <w:gridSpan w:val="2"/>
            <w:tcBorders>
              <w:top w:val="nil"/>
              <w:left w:val="nil"/>
              <w:bottom w:val="single" w:sz="12" w:space="0" w:color="000000" w:themeColor="text1"/>
              <w:right w:val="nil"/>
            </w:tcBorders>
            <w:shd w:val="clear" w:color="000000" w:fill="FFFFFF"/>
            <w:noWrap/>
            <w:vAlign w:val="bottom"/>
          </w:tcPr>
          <w:p w14:paraId="53B2898F"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Direct</w:t>
            </w:r>
            <w:r>
              <w:rPr>
                <w:rFonts w:eastAsia="Times New Roman" w:cstheme="minorHAnsi"/>
                <w:b/>
                <w:bCs/>
                <w:color w:val="0D0D0D"/>
              </w:rPr>
              <w:t xml:space="preserve"> </w:t>
            </w:r>
            <w:r w:rsidRPr="004E6649">
              <w:rPr>
                <w:rFonts w:eastAsia="Times New Roman" w:cstheme="minorHAnsi"/>
                <w:b/>
                <w:bCs/>
                <w:color w:val="0D0D0D"/>
              </w:rPr>
              <w:t>Borrowings</w:t>
            </w:r>
          </w:p>
        </w:tc>
      </w:tr>
      <w:tr w:rsidR="001B6918" w:rsidRPr="004E6649" w14:paraId="46C786C7" w14:textId="77777777" w:rsidTr="00730ECF">
        <w:trPr>
          <w:trHeight w:val="168"/>
          <w:tblHeader/>
          <w:jc w:val="center"/>
        </w:trPr>
        <w:tc>
          <w:tcPr>
            <w:tcW w:w="2392" w:type="dxa"/>
            <w:tcBorders>
              <w:top w:val="nil"/>
              <w:left w:val="nil"/>
              <w:bottom w:val="nil"/>
              <w:right w:val="nil"/>
            </w:tcBorders>
            <w:shd w:val="clear" w:color="000000" w:fill="FFFFFF"/>
            <w:vAlign w:val="bottom"/>
            <w:hideMark/>
          </w:tcPr>
          <w:p w14:paraId="495BFFFD" w14:textId="77777777" w:rsidR="001B6918" w:rsidRPr="004E6649" w:rsidRDefault="001B6918" w:rsidP="00730ECF">
            <w:pPr>
              <w:rPr>
                <w:rFonts w:eastAsia="Times New Roman" w:cstheme="minorHAnsi"/>
                <w:b/>
                <w:bCs/>
                <w:color w:val="0D0D0D"/>
              </w:rPr>
            </w:pPr>
            <w:r w:rsidRPr="004E6649">
              <w:rPr>
                <w:rFonts w:eastAsia="Times New Roman" w:cstheme="minorHAnsi"/>
                <w:b/>
                <w:bCs/>
                <w:color w:val="0D0D0D"/>
              </w:rPr>
              <w:t>Year Ending June 30:</w:t>
            </w:r>
          </w:p>
        </w:tc>
        <w:tc>
          <w:tcPr>
            <w:tcW w:w="1337" w:type="dxa"/>
            <w:tcBorders>
              <w:top w:val="single" w:sz="12" w:space="0" w:color="000000" w:themeColor="text1"/>
              <w:left w:val="nil"/>
              <w:bottom w:val="single" w:sz="12" w:space="0" w:color="000000" w:themeColor="text1"/>
              <w:right w:val="nil"/>
            </w:tcBorders>
            <w:shd w:val="clear" w:color="000000" w:fill="FFFFFF"/>
            <w:noWrap/>
            <w:vAlign w:val="bottom"/>
            <w:hideMark/>
          </w:tcPr>
          <w:p w14:paraId="69785C69"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Principal</w:t>
            </w:r>
          </w:p>
        </w:tc>
        <w:tc>
          <w:tcPr>
            <w:tcW w:w="1337" w:type="dxa"/>
            <w:tcBorders>
              <w:top w:val="single" w:sz="12" w:space="0" w:color="000000" w:themeColor="text1"/>
              <w:left w:val="nil"/>
              <w:bottom w:val="single" w:sz="12" w:space="0" w:color="000000" w:themeColor="text1"/>
              <w:right w:val="nil"/>
            </w:tcBorders>
            <w:noWrap/>
            <w:vAlign w:val="bottom"/>
            <w:hideMark/>
          </w:tcPr>
          <w:p w14:paraId="497E0E46"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Interest</w:t>
            </w:r>
          </w:p>
        </w:tc>
        <w:tc>
          <w:tcPr>
            <w:tcW w:w="1337" w:type="dxa"/>
            <w:tcBorders>
              <w:top w:val="single" w:sz="12" w:space="0" w:color="000000" w:themeColor="text1"/>
              <w:left w:val="nil"/>
              <w:bottom w:val="single" w:sz="12" w:space="0" w:color="000000" w:themeColor="text1"/>
              <w:right w:val="nil"/>
            </w:tcBorders>
            <w:shd w:val="clear" w:color="000000" w:fill="FFFFFF"/>
            <w:noWrap/>
            <w:vAlign w:val="bottom"/>
            <w:hideMark/>
          </w:tcPr>
          <w:p w14:paraId="03F65D03"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Principal</w:t>
            </w:r>
          </w:p>
        </w:tc>
        <w:tc>
          <w:tcPr>
            <w:tcW w:w="1337" w:type="dxa"/>
            <w:tcBorders>
              <w:top w:val="single" w:sz="12" w:space="0" w:color="000000" w:themeColor="text1"/>
              <w:left w:val="nil"/>
              <w:bottom w:val="single" w:sz="12" w:space="0" w:color="000000" w:themeColor="text1"/>
              <w:right w:val="nil"/>
            </w:tcBorders>
            <w:shd w:val="clear" w:color="000000" w:fill="FFFFFF"/>
            <w:vAlign w:val="bottom"/>
          </w:tcPr>
          <w:p w14:paraId="1D5AFDCE"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Interest</w:t>
            </w:r>
          </w:p>
        </w:tc>
      </w:tr>
      <w:tr w:rsidR="001B6918" w:rsidRPr="004E6649" w14:paraId="10144AD7" w14:textId="77777777" w:rsidTr="00730ECF">
        <w:trPr>
          <w:trHeight w:val="222"/>
          <w:jc w:val="center"/>
        </w:trPr>
        <w:tc>
          <w:tcPr>
            <w:tcW w:w="2392" w:type="dxa"/>
            <w:tcBorders>
              <w:top w:val="nil"/>
              <w:left w:val="nil"/>
              <w:bottom w:val="nil"/>
              <w:right w:val="nil"/>
            </w:tcBorders>
            <w:shd w:val="clear" w:color="000000" w:fill="FFFFFF"/>
            <w:noWrap/>
            <w:vAlign w:val="bottom"/>
            <w:hideMark/>
          </w:tcPr>
          <w:p w14:paraId="6F8A49F2" w14:textId="77777777" w:rsidR="001B6918" w:rsidRPr="004E6649" w:rsidRDefault="001B6918" w:rsidP="00730ECF">
            <w:pPr>
              <w:jc w:val="center"/>
              <w:rPr>
                <w:rFonts w:eastAsia="Times New Roman" w:cstheme="minorHAnsi"/>
                <w:color w:val="0D0D0D"/>
              </w:rPr>
            </w:pPr>
            <w:r w:rsidRPr="004E6649">
              <w:rPr>
                <w:rFonts w:eastAsia="Times New Roman" w:cstheme="minorHAnsi"/>
                <w:color w:val="0D0D0D"/>
              </w:rPr>
              <w:t>202</w:t>
            </w:r>
            <w:r>
              <w:rPr>
                <w:rFonts w:eastAsia="Times New Roman" w:cstheme="minorHAnsi"/>
                <w:color w:val="0D0D0D"/>
              </w:rPr>
              <w:t>6</w:t>
            </w:r>
          </w:p>
        </w:tc>
        <w:tc>
          <w:tcPr>
            <w:tcW w:w="1337" w:type="dxa"/>
            <w:tcBorders>
              <w:top w:val="single" w:sz="12" w:space="0" w:color="000000" w:themeColor="text1"/>
              <w:left w:val="nil"/>
              <w:bottom w:val="nil"/>
              <w:right w:val="nil"/>
            </w:tcBorders>
            <w:shd w:val="clear" w:color="000000" w:fill="FFFFFF"/>
            <w:noWrap/>
            <w:vAlign w:val="bottom"/>
            <w:hideMark/>
          </w:tcPr>
          <w:p w14:paraId="2743B7F6" w14:textId="77777777" w:rsidR="001B6918" w:rsidRPr="002A54A8" w:rsidRDefault="001B6918" w:rsidP="00730ECF">
            <w:pPr>
              <w:jc w:val="right"/>
              <w:rPr>
                <w:rFonts w:eastAsia="Times New Roman" w:cstheme="minorHAnsi"/>
                <w:color w:val="FF0000"/>
              </w:rPr>
            </w:pPr>
            <w:r>
              <w:rPr>
                <w:rFonts w:ascii="Calibri" w:hAnsi="Calibri" w:cs="Calibri"/>
              </w:rPr>
              <w:t xml:space="preserve"> $      15,615 </w:t>
            </w:r>
          </w:p>
        </w:tc>
        <w:tc>
          <w:tcPr>
            <w:tcW w:w="1337" w:type="dxa"/>
            <w:tcBorders>
              <w:top w:val="single" w:sz="12" w:space="0" w:color="000000" w:themeColor="text1"/>
              <w:left w:val="nil"/>
              <w:bottom w:val="nil"/>
              <w:right w:val="nil"/>
            </w:tcBorders>
            <w:shd w:val="clear" w:color="000000" w:fill="FFFFFF"/>
            <w:noWrap/>
            <w:vAlign w:val="bottom"/>
            <w:hideMark/>
          </w:tcPr>
          <w:p w14:paraId="6BF51355" w14:textId="77777777" w:rsidR="001B6918" w:rsidRPr="002A54A8" w:rsidRDefault="001B6918" w:rsidP="00730ECF">
            <w:pPr>
              <w:jc w:val="right"/>
              <w:rPr>
                <w:rFonts w:eastAsia="Times New Roman" w:cstheme="minorHAnsi"/>
                <w:color w:val="FF0000"/>
              </w:rPr>
            </w:pPr>
            <w:r>
              <w:rPr>
                <w:rFonts w:ascii="Calibri" w:hAnsi="Calibri" w:cs="Calibri"/>
              </w:rPr>
              <w:t xml:space="preserve"> $      8,481 </w:t>
            </w:r>
          </w:p>
        </w:tc>
        <w:tc>
          <w:tcPr>
            <w:tcW w:w="1337" w:type="dxa"/>
            <w:tcBorders>
              <w:top w:val="single" w:sz="12" w:space="0" w:color="000000" w:themeColor="text1"/>
              <w:left w:val="nil"/>
              <w:bottom w:val="nil"/>
              <w:right w:val="nil"/>
            </w:tcBorders>
            <w:shd w:val="clear" w:color="000000" w:fill="FFFFFF"/>
            <w:noWrap/>
            <w:vAlign w:val="bottom"/>
          </w:tcPr>
          <w:p w14:paraId="33F3A236" w14:textId="77777777" w:rsidR="001B6918" w:rsidRPr="002A54A8" w:rsidRDefault="001B6918" w:rsidP="00730ECF">
            <w:pPr>
              <w:jc w:val="right"/>
              <w:rPr>
                <w:rFonts w:eastAsia="Times New Roman" w:cstheme="minorHAnsi"/>
                <w:color w:val="FF0000"/>
              </w:rPr>
            </w:pPr>
            <w:r>
              <w:rPr>
                <w:rFonts w:ascii="Calibri" w:hAnsi="Calibri" w:cs="Calibri"/>
              </w:rPr>
              <w:t xml:space="preserve"> $     1,128 </w:t>
            </w:r>
          </w:p>
        </w:tc>
        <w:tc>
          <w:tcPr>
            <w:tcW w:w="1337" w:type="dxa"/>
            <w:tcBorders>
              <w:top w:val="single" w:sz="12" w:space="0" w:color="000000" w:themeColor="text1"/>
              <w:left w:val="nil"/>
              <w:bottom w:val="nil"/>
              <w:right w:val="nil"/>
            </w:tcBorders>
            <w:vAlign w:val="bottom"/>
          </w:tcPr>
          <w:p w14:paraId="24A2AEB0" w14:textId="77777777" w:rsidR="001B6918" w:rsidRPr="002A54A8" w:rsidRDefault="001B6918" w:rsidP="00730ECF">
            <w:pPr>
              <w:jc w:val="right"/>
              <w:rPr>
                <w:rFonts w:eastAsia="Times New Roman" w:cstheme="minorHAnsi"/>
                <w:color w:val="FF0000"/>
              </w:rPr>
            </w:pPr>
            <w:r>
              <w:rPr>
                <w:rFonts w:ascii="Calibri" w:hAnsi="Calibri" w:cs="Calibri"/>
              </w:rPr>
              <w:t xml:space="preserve"> $       482 </w:t>
            </w:r>
          </w:p>
        </w:tc>
      </w:tr>
      <w:tr w:rsidR="001B6918" w:rsidRPr="004E6649" w14:paraId="6657006C" w14:textId="77777777" w:rsidTr="00730ECF">
        <w:trPr>
          <w:trHeight w:val="135"/>
          <w:jc w:val="center"/>
        </w:trPr>
        <w:tc>
          <w:tcPr>
            <w:tcW w:w="2392" w:type="dxa"/>
            <w:tcBorders>
              <w:top w:val="nil"/>
              <w:left w:val="nil"/>
              <w:bottom w:val="nil"/>
              <w:right w:val="nil"/>
            </w:tcBorders>
            <w:shd w:val="clear" w:color="000000" w:fill="FFFFFF"/>
            <w:noWrap/>
            <w:vAlign w:val="bottom"/>
            <w:hideMark/>
          </w:tcPr>
          <w:p w14:paraId="7587D6B8" w14:textId="77777777" w:rsidR="001B6918" w:rsidRPr="004E6649" w:rsidRDefault="001B6918" w:rsidP="00730ECF">
            <w:pPr>
              <w:jc w:val="center"/>
              <w:rPr>
                <w:rFonts w:eastAsia="Times New Roman" w:cstheme="minorHAnsi"/>
                <w:color w:val="0D0D0D"/>
              </w:rPr>
            </w:pPr>
            <w:r w:rsidRPr="004E6649">
              <w:rPr>
                <w:rFonts w:eastAsia="Times New Roman" w:cstheme="minorHAnsi"/>
                <w:color w:val="0D0D0D"/>
              </w:rPr>
              <w:t>202</w:t>
            </w:r>
            <w:r>
              <w:rPr>
                <w:rFonts w:eastAsia="Times New Roman" w:cstheme="minorHAnsi"/>
                <w:color w:val="0D0D0D"/>
              </w:rPr>
              <w:t>7</w:t>
            </w:r>
          </w:p>
        </w:tc>
        <w:tc>
          <w:tcPr>
            <w:tcW w:w="1337" w:type="dxa"/>
            <w:tcBorders>
              <w:top w:val="nil"/>
              <w:left w:val="nil"/>
              <w:bottom w:val="nil"/>
              <w:right w:val="nil"/>
            </w:tcBorders>
            <w:shd w:val="clear" w:color="000000" w:fill="FFFFFF"/>
            <w:noWrap/>
            <w:vAlign w:val="bottom"/>
            <w:hideMark/>
          </w:tcPr>
          <w:p w14:paraId="77454F05" w14:textId="77777777" w:rsidR="001B6918" w:rsidRPr="002A54A8" w:rsidRDefault="001B6918" w:rsidP="00730ECF">
            <w:pPr>
              <w:jc w:val="right"/>
              <w:rPr>
                <w:rFonts w:eastAsia="Times New Roman" w:cstheme="minorHAnsi"/>
                <w:color w:val="FF0000"/>
              </w:rPr>
            </w:pPr>
            <w:r>
              <w:rPr>
                <w:rFonts w:ascii="Calibri" w:hAnsi="Calibri" w:cs="Calibri"/>
              </w:rPr>
              <w:t xml:space="preserve">          13,855 </w:t>
            </w:r>
          </w:p>
        </w:tc>
        <w:tc>
          <w:tcPr>
            <w:tcW w:w="1337" w:type="dxa"/>
            <w:tcBorders>
              <w:top w:val="nil"/>
              <w:left w:val="nil"/>
              <w:bottom w:val="nil"/>
              <w:right w:val="nil"/>
            </w:tcBorders>
            <w:shd w:val="clear" w:color="000000" w:fill="FFFFFF"/>
            <w:noWrap/>
            <w:vAlign w:val="bottom"/>
            <w:hideMark/>
          </w:tcPr>
          <w:p w14:paraId="38F56E86" w14:textId="77777777" w:rsidR="001B6918" w:rsidRPr="002A54A8" w:rsidRDefault="001B6918" w:rsidP="00730ECF">
            <w:pPr>
              <w:jc w:val="right"/>
              <w:rPr>
                <w:rFonts w:eastAsia="Times New Roman" w:cstheme="minorHAnsi"/>
                <w:color w:val="FF0000"/>
              </w:rPr>
            </w:pPr>
            <w:r>
              <w:rPr>
                <w:rFonts w:ascii="Calibri" w:hAnsi="Calibri" w:cs="Calibri"/>
              </w:rPr>
              <w:t xml:space="preserve">         7,747 </w:t>
            </w:r>
          </w:p>
        </w:tc>
        <w:tc>
          <w:tcPr>
            <w:tcW w:w="1337" w:type="dxa"/>
            <w:tcBorders>
              <w:top w:val="nil"/>
              <w:left w:val="nil"/>
              <w:bottom w:val="nil"/>
              <w:right w:val="nil"/>
            </w:tcBorders>
            <w:shd w:val="clear" w:color="000000" w:fill="FFFFFF"/>
            <w:noWrap/>
            <w:vAlign w:val="bottom"/>
          </w:tcPr>
          <w:p w14:paraId="3A9DE053" w14:textId="77777777" w:rsidR="001B6918" w:rsidRPr="002A54A8" w:rsidRDefault="001B6918" w:rsidP="00730ECF">
            <w:pPr>
              <w:jc w:val="right"/>
              <w:rPr>
                <w:rFonts w:eastAsia="Times New Roman" w:cstheme="minorHAnsi"/>
                <w:color w:val="FF0000"/>
              </w:rPr>
            </w:pPr>
            <w:r>
              <w:rPr>
                <w:rFonts w:ascii="Calibri" w:hAnsi="Calibri" w:cs="Calibri"/>
              </w:rPr>
              <w:t xml:space="preserve">            842 </w:t>
            </w:r>
          </w:p>
        </w:tc>
        <w:tc>
          <w:tcPr>
            <w:tcW w:w="1337" w:type="dxa"/>
            <w:tcBorders>
              <w:top w:val="nil"/>
              <w:left w:val="nil"/>
              <w:bottom w:val="nil"/>
              <w:right w:val="nil"/>
            </w:tcBorders>
            <w:vAlign w:val="bottom"/>
          </w:tcPr>
          <w:p w14:paraId="55B39B3B" w14:textId="77777777" w:rsidR="001B6918" w:rsidRPr="002A54A8" w:rsidRDefault="001B6918" w:rsidP="00730ECF">
            <w:pPr>
              <w:jc w:val="right"/>
              <w:rPr>
                <w:rFonts w:cstheme="minorHAnsi"/>
                <w:color w:val="FF0000"/>
              </w:rPr>
            </w:pPr>
            <w:r>
              <w:rPr>
                <w:rFonts w:ascii="Calibri" w:hAnsi="Calibri" w:cs="Calibri"/>
              </w:rPr>
              <w:t xml:space="preserve">           449 </w:t>
            </w:r>
          </w:p>
        </w:tc>
      </w:tr>
      <w:tr w:rsidR="001B6918" w:rsidRPr="004E6649" w14:paraId="3D126F64" w14:textId="77777777" w:rsidTr="00730ECF">
        <w:trPr>
          <w:trHeight w:val="135"/>
          <w:jc w:val="center"/>
        </w:trPr>
        <w:tc>
          <w:tcPr>
            <w:tcW w:w="2392" w:type="dxa"/>
            <w:tcBorders>
              <w:top w:val="nil"/>
              <w:left w:val="nil"/>
              <w:bottom w:val="nil"/>
              <w:right w:val="nil"/>
            </w:tcBorders>
            <w:shd w:val="clear" w:color="000000" w:fill="FFFFFF"/>
            <w:noWrap/>
            <w:vAlign w:val="bottom"/>
            <w:hideMark/>
          </w:tcPr>
          <w:p w14:paraId="32B80ED8" w14:textId="77777777" w:rsidR="001B6918" w:rsidRPr="004E6649" w:rsidRDefault="001B6918" w:rsidP="00730ECF">
            <w:pPr>
              <w:jc w:val="center"/>
              <w:rPr>
                <w:rFonts w:eastAsia="Times New Roman" w:cstheme="minorHAnsi"/>
                <w:color w:val="0D0D0D"/>
              </w:rPr>
            </w:pPr>
            <w:r w:rsidRPr="004E6649">
              <w:rPr>
                <w:rFonts w:eastAsia="Times New Roman" w:cstheme="minorHAnsi"/>
                <w:color w:val="0D0D0D"/>
              </w:rPr>
              <w:t>202</w:t>
            </w:r>
            <w:r>
              <w:rPr>
                <w:rFonts w:eastAsia="Times New Roman" w:cstheme="minorHAnsi"/>
                <w:color w:val="0D0D0D"/>
              </w:rPr>
              <w:t>8</w:t>
            </w:r>
          </w:p>
        </w:tc>
        <w:tc>
          <w:tcPr>
            <w:tcW w:w="1337" w:type="dxa"/>
            <w:tcBorders>
              <w:top w:val="nil"/>
              <w:left w:val="nil"/>
              <w:bottom w:val="nil"/>
              <w:right w:val="nil"/>
            </w:tcBorders>
            <w:shd w:val="clear" w:color="000000" w:fill="FFFFFF"/>
            <w:noWrap/>
            <w:vAlign w:val="bottom"/>
            <w:hideMark/>
          </w:tcPr>
          <w:p w14:paraId="5A1E459D" w14:textId="77777777" w:rsidR="001B6918" w:rsidRPr="002A54A8" w:rsidRDefault="001B6918" w:rsidP="00730ECF">
            <w:pPr>
              <w:jc w:val="right"/>
              <w:rPr>
                <w:rFonts w:eastAsia="Times New Roman" w:cstheme="minorHAnsi"/>
                <w:color w:val="FF0000"/>
              </w:rPr>
            </w:pPr>
            <w:r>
              <w:rPr>
                <w:rFonts w:ascii="Calibri" w:hAnsi="Calibri" w:cs="Calibri"/>
              </w:rPr>
              <w:t xml:space="preserve">          14,460 </w:t>
            </w:r>
          </w:p>
        </w:tc>
        <w:tc>
          <w:tcPr>
            <w:tcW w:w="1337" w:type="dxa"/>
            <w:tcBorders>
              <w:top w:val="nil"/>
              <w:left w:val="nil"/>
              <w:bottom w:val="nil"/>
              <w:right w:val="nil"/>
            </w:tcBorders>
            <w:shd w:val="clear" w:color="000000" w:fill="FFFFFF"/>
            <w:noWrap/>
            <w:vAlign w:val="bottom"/>
            <w:hideMark/>
          </w:tcPr>
          <w:p w14:paraId="56618D5F" w14:textId="77777777" w:rsidR="001B6918" w:rsidRPr="002A54A8" w:rsidRDefault="001B6918" w:rsidP="00730ECF">
            <w:pPr>
              <w:jc w:val="right"/>
              <w:rPr>
                <w:rFonts w:eastAsia="Times New Roman" w:cstheme="minorHAnsi"/>
                <w:color w:val="FF0000"/>
              </w:rPr>
            </w:pPr>
            <w:r>
              <w:rPr>
                <w:rFonts w:ascii="Calibri" w:hAnsi="Calibri" w:cs="Calibri"/>
              </w:rPr>
              <w:t xml:space="preserve">         7,109 </w:t>
            </w:r>
          </w:p>
        </w:tc>
        <w:tc>
          <w:tcPr>
            <w:tcW w:w="1337" w:type="dxa"/>
            <w:tcBorders>
              <w:top w:val="nil"/>
              <w:left w:val="nil"/>
              <w:bottom w:val="nil"/>
              <w:right w:val="nil"/>
            </w:tcBorders>
            <w:shd w:val="clear" w:color="000000" w:fill="FFFFFF"/>
            <w:noWrap/>
            <w:vAlign w:val="bottom"/>
          </w:tcPr>
          <w:p w14:paraId="77796095" w14:textId="77777777" w:rsidR="001B6918" w:rsidRPr="002A54A8" w:rsidRDefault="001B6918" w:rsidP="00730ECF">
            <w:pPr>
              <w:jc w:val="right"/>
              <w:rPr>
                <w:rFonts w:eastAsia="Times New Roman" w:cstheme="minorHAnsi"/>
                <w:color w:val="FF0000"/>
              </w:rPr>
            </w:pPr>
            <w:r>
              <w:rPr>
                <w:rFonts w:ascii="Calibri" w:hAnsi="Calibri" w:cs="Calibri"/>
              </w:rPr>
              <w:t xml:space="preserve">            731 </w:t>
            </w:r>
          </w:p>
        </w:tc>
        <w:tc>
          <w:tcPr>
            <w:tcW w:w="1337" w:type="dxa"/>
            <w:tcBorders>
              <w:top w:val="nil"/>
              <w:left w:val="nil"/>
              <w:bottom w:val="nil"/>
              <w:right w:val="nil"/>
            </w:tcBorders>
            <w:vAlign w:val="bottom"/>
          </w:tcPr>
          <w:p w14:paraId="067B23A0" w14:textId="77777777" w:rsidR="001B6918" w:rsidRPr="002A54A8" w:rsidRDefault="001B6918" w:rsidP="00730ECF">
            <w:pPr>
              <w:jc w:val="right"/>
              <w:rPr>
                <w:rFonts w:cstheme="minorHAnsi"/>
                <w:color w:val="FF0000"/>
              </w:rPr>
            </w:pPr>
            <w:r>
              <w:rPr>
                <w:rFonts w:ascii="Calibri" w:hAnsi="Calibri" w:cs="Calibri"/>
              </w:rPr>
              <w:t xml:space="preserve">           421 </w:t>
            </w:r>
          </w:p>
        </w:tc>
      </w:tr>
      <w:tr w:rsidR="001B6918" w:rsidRPr="004E6649" w14:paraId="4C0A11AD" w14:textId="77777777" w:rsidTr="00730ECF">
        <w:trPr>
          <w:trHeight w:val="80"/>
          <w:jc w:val="center"/>
        </w:trPr>
        <w:tc>
          <w:tcPr>
            <w:tcW w:w="2392" w:type="dxa"/>
            <w:tcBorders>
              <w:top w:val="nil"/>
              <w:left w:val="nil"/>
              <w:bottom w:val="nil"/>
              <w:right w:val="nil"/>
            </w:tcBorders>
            <w:shd w:val="clear" w:color="000000" w:fill="FFFFFF"/>
            <w:noWrap/>
            <w:vAlign w:val="bottom"/>
            <w:hideMark/>
          </w:tcPr>
          <w:p w14:paraId="074826FF" w14:textId="77777777" w:rsidR="001B6918" w:rsidRPr="004E6649" w:rsidRDefault="001B6918" w:rsidP="00730ECF">
            <w:pPr>
              <w:jc w:val="center"/>
              <w:rPr>
                <w:rFonts w:eastAsia="Times New Roman" w:cstheme="minorHAnsi"/>
                <w:color w:val="0D0D0D"/>
              </w:rPr>
            </w:pPr>
            <w:r w:rsidRPr="004E6649">
              <w:rPr>
                <w:rFonts w:eastAsia="Times New Roman" w:cstheme="minorHAnsi"/>
                <w:color w:val="0D0D0D"/>
              </w:rPr>
              <w:t>202</w:t>
            </w:r>
            <w:r>
              <w:rPr>
                <w:rFonts w:eastAsia="Times New Roman" w:cstheme="minorHAnsi"/>
                <w:color w:val="0D0D0D"/>
              </w:rPr>
              <w:t>9</w:t>
            </w:r>
          </w:p>
        </w:tc>
        <w:tc>
          <w:tcPr>
            <w:tcW w:w="1337" w:type="dxa"/>
            <w:tcBorders>
              <w:top w:val="nil"/>
              <w:left w:val="nil"/>
              <w:bottom w:val="nil"/>
              <w:right w:val="nil"/>
            </w:tcBorders>
            <w:shd w:val="clear" w:color="000000" w:fill="FFFFFF"/>
            <w:noWrap/>
            <w:vAlign w:val="bottom"/>
            <w:hideMark/>
          </w:tcPr>
          <w:p w14:paraId="760CCC0A" w14:textId="77777777" w:rsidR="001B6918" w:rsidRPr="002A54A8" w:rsidRDefault="001B6918" w:rsidP="00730ECF">
            <w:pPr>
              <w:jc w:val="right"/>
              <w:rPr>
                <w:rFonts w:eastAsia="Times New Roman" w:cstheme="minorHAnsi"/>
                <w:color w:val="FF0000"/>
              </w:rPr>
            </w:pPr>
            <w:r>
              <w:rPr>
                <w:rFonts w:ascii="Calibri" w:hAnsi="Calibri" w:cs="Calibri"/>
              </w:rPr>
              <w:t xml:space="preserve">          12,930 </w:t>
            </w:r>
          </w:p>
        </w:tc>
        <w:tc>
          <w:tcPr>
            <w:tcW w:w="1337" w:type="dxa"/>
            <w:tcBorders>
              <w:top w:val="nil"/>
              <w:left w:val="nil"/>
              <w:bottom w:val="nil"/>
              <w:right w:val="nil"/>
            </w:tcBorders>
            <w:shd w:val="clear" w:color="000000" w:fill="FFFFFF"/>
            <w:noWrap/>
            <w:vAlign w:val="bottom"/>
            <w:hideMark/>
          </w:tcPr>
          <w:p w14:paraId="63FC9FCE" w14:textId="77777777" w:rsidR="001B6918" w:rsidRPr="002A54A8" w:rsidRDefault="001B6918" w:rsidP="00730ECF">
            <w:pPr>
              <w:jc w:val="right"/>
              <w:rPr>
                <w:rFonts w:eastAsia="Times New Roman" w:cstheme="minorHAnsi"/>
                <w:color w:val="FF0000"/>
              </w:rPr>
            </w:pPr>
            <w:r>
              <w:rPr>
                <w:rFonts w:ascii="Calibri" w:hAnsi="Calibri" w:cs="Calibri"/>
              </w:rPr>
              <w:t xml:space="preserve">         6,473 </w:t>
            </w:r>
          </w:p>
        </w:tc>
        <w:tc>
          <w:tcPr>
            <w:tcW w:w="1337" w:type="dxa"/>
            <w:tcBorders>
              <w:top w:val="nil"/>
              <w:left w:val="nil"/>
              <w:bottom w:val="nil"/>
              <w:right w:val="nil"/>
            </w:tcBorders>
            <w:shd w:val="clear" w:color="000000" w:fill="FFFFFF"/>
            <w:noWrap/>
            <w:vAlign w:val="bottom"/>
          </w:tcPr>
          <w:p w14:paraId="6D8B8B8F" w14:textId="77777777" w:rsidR="001B6918" w:rsidRPr="002A54A8" w:rsidRDefault="001B6918" w:rsidP="00730ECF">
            <w:pPr>
              <w:jc w:val="right"/>
              <w:rPr>
                <w:rFonts w:eastAsia="Times New Roman" w:cstheme="minorHAnsi"/>
                <w:color w:val="FF0000"/>
              </w:rPr>
            </w:pPr>
            <w:r>
              <w:rPr>
                <w:rFonts w:ascii="Calibri" w:hAnsi="Calibri" w:cs="Calibri"/>
              </w:rPr>
              <w:t xml:space="preserve">            681 </w:t>
            </w:r>
          </w:p>
        </w:tc>
        <w:tc>
          <w:tcPr>
            <w:tcW w:w="1337" w:type="dxa"/>
            <w:tcBorders>
              <w:top w:val="nil"/>
              <w:left w:val="nil"/>
              <w:bottom w:val="nil"/>
              <w:right w:val="nil"/>
            </w:tcBorders>
            <w:vAlign w:val="bottom"/>
          </w:tcPr>
          <w:p w14:paraId="1D75D21B" w14:textId="77777777" w:rsidR="001B6918" w:rsidRPr="002A54A8" w:rsidRDefault="001B6918" w:rsidP="00730ECF">
            <w:pPr>
              <w:jc w:val="right"/>
              <w:rPr>
                <w:rFonts w:cstheme="minorHAnsi"/>
                <w:color w:val="FF0000"/>
              </w:rPr>
            </w:pPr>
            <w:r>
              <w:rPr>
                <w:rFonts w:ascii="Calibri" w:hAnsi="Calibri" w:cs="Calibri"/>
              </w:rPr>
              <w:t xml:space="preserve">           396 </w:t>
            </w:r>
          </w:p>
        </w:tc>
      </w:tr>
      <w:tr w:rsidR="001B6918" w:rsidRPr="004E6649" w14:paraId="185A51AD" w14:textId="77777777" w:rsidTr="00730ECF">
        <w:trPr>
          <w:trHeight w:val="80"/>
          <w:jc w:val="center"/>
        </w:trPr>
        <w:tc>
          <w:tcPr>
            <w:tcW w:w="2392" w:type="dxa"/>
            <w:tcBorders>
              <w:top w:val="nil"/>
              <w:left w:val="nil"/>
              <w:bottom w:val="nil"/>
              <w:right w:val="nil"/>
            </w:tcBorders>
            <w:shd w:val="clear" w:color="000000" w:fill="FFFFFF"/>
            <w:noWrap/>
            <w:vAlign w:val="bottom"/>
            <w:hideMark/>
          </w:tcPr>
          <w:p w14:paraId="3954F8B5" w14:textId="77777777" w:rsidR="001B6918" w:rsidRPr="004E6649" w:rsidRDefault="001B6918" w:rsidP="00730ECF">
            <w:pPr>
              <w:jc w:val="center"/>
              <w:rPr>
                <w:rFonts w:eastAsia="Times New Roman" w:cstheme="minorHAnsi"/>
                <w:color w:val="0D0D0D"/>
              </w:rPr>
            </w:pPr>
            <w:r w:rsidRPr="004E6649">
              <w:rPr>
                <w:rFonts w:eastAsia="Times New Roman" w:cstheme="minorHAnsi"/>
                <w:color w:val="0D0D0D"/>
              </w:rPr>
              <w:t>20</w:t>
            </w:r>
            <w:r>
              <w:rPr>
                <w:rFonts w:eastAsia="Times New Roman" w:cstheme="minorHAnsi"/>
                <w:color w:val="0D0D0D"/>
              </w:rPr>
              <w:t>30</w:t>
            </w:r>
          </w:p>
        </w:tc>
        <w:tc>
          <w:tcPr>
            <w:tcW w:w="1337" w:type="dxa"/>
            <w:tcBorders>
              <w:top w:val="nil"/>
              <w:left w:val="nil"/>
              <w:bottom w:val="nil"/>
              <w:right w:val="nil"/>
            </w:tcBorders>
            <w:shd w:val="clear" w:color="000000" w:fill="FFFFFF"/>
            <w:noWrap/>
            <w:vAlign w:val="bottom"/>
            <w:hideMark/>
          </w:tcPr>
          <w:p w14:paraId="0BD60FF3" w14:textId="77777777" w:rsidR="001B6918" w:rsidRPr="002A54A8" w:rsidRDefault="001B6918" w:rsidP="00730ECF">
            <w:pPr>
              <w:jc w:val="right"/>
              <w:rPr>
                <w:rFonts w:eastAsia="Times New Roman" w:cstheme="minorHAnsi"/>
                <w:color w:val="FF0000"/>
              </w:rPr>
            </w:pPr>
            <w:r>
              <w:rPr>
                <w:rFonts w:ascii="Calibri" w:hAnsi="Calibri" w:cs="Calibri"/>
              </w:rPr>
              <w:t xml:space="preserve">          10,605 </w:t>
            </w:r>
          </w:p>
        </w:tc>
        <w:tc>
          <w:tcPr>
            <w:tcW w:w="1337" w:type="dxa"/>
            <w:tcBorders>
              <w:top w:val="nil"/>
              <w:left w:val="nil"/>
              <w:bottom w:val="nil"/>
              <w:right w:val="nil"/>
            </w:tcBorders>
            <w:shd w:val="clear" w:color="000000" w:fill="FFFFFF"/>
            <w:noWrap/>
            <w:vAlign w:val="bottom"/>
            <w:hideMark/>
          </w:tcPr>
          <w:p w14:paraId="2E2E88BD" w14:textId="77777777" w:rsidR="001B6918" w:rsidRPr="002A54A8" w:rsidRDefault="001B6918" w:rsidP="00730ECF">
            <w:pPr>
              <w:jc w:val="right"/>
              <w:rPr>
                <w:rFonts w:eastAsia="Times New Roman" w:cstheme="minorHAnsi"/>
                <w:color w:val="FF0000"/>
              </w:rPr>
            </w:pPr>
            <w:r>
              <w:rPr>
                <w:rFonts w:ascii="Calibri" w:hAnsi="Calibri" w:cs="Calibri"/>
              </w:rPr>
              <w:t xml:space="preserve">         5,906 </w:t>
            </w:r>
          </w:p>
        </w:tc>
        <w:tc>
          <w:tcPr>
            <w:tcW w:w="1337" w:type="dxa"/>
            <w:tcBorders>
              <w:top w:val="nil"/>
              <w:left w:val="nil"/>
              <w:bottom w:val="nil"/>
              <w:right w:val="nil"/>
            </w:tcBorders>
            <w:shd w:val="clear" w:color="000000" w:fill="FFFFFF"/>
            <w:noWrap/>
            <w:vAlign w:val="bottom"/>
          </w:tcPr>
          <w:p w14:paraId="4A407B9F" w14:textId="77777777" w:rsidR="001B6918" w:rsidRPr="002A54A8" w:rsidRDefault="001B6918" w:rsidP="00730ECF">
            <w:pPr>
              <w:jc w:val="right"/>
              <w:rPr>
                <w:rFonts w:eastAsia="Times New Roman" w:cstheme="minorHAnsi"/>
                <w:color w:val="FF0000"/>
              </w:rPr>
            </w:pPr>
            <w:r>
              <w:rPr>
                <w:rFonts w:ascii="Calibri" w:hAnsi="Calibri" w:cs="Calibri"/>
              </w:rPr>
              <w:t xml:space="preserve">            663 </w:t>
            </w:r>
          </w:p>
        </w:tc>
        <w:tc>
          <w:tcPr>
            <w:tcW w:w="1337" w:type="dxa"/>
            <w:tcBorders>
              <w:top w:val="nil"/>
              <w:left w:val="nil"/>
              <w:bottom w:val="nil"/>
              <w:right w:val="nil"/>
            </w:tcBorders>
            <w:vAlign w:val="bottom"/>
          </w:tcPr>
          <w:p w14:paraId="26D36F1C" w14:textId="77777777" w:rsidR="001B6918" w:rsidRPr="002A54A8" w:rsidRDefault="001B6918" w:rsidP="00730ECF">
            <w:pPr>
              <w:jc w:val="right"/>
              <w:rPr>
                <w:rFonts w:cstheme="minorHAnsi"/>
                <w:color w:val="FF0000"/>
              </w:rPr>
            </w:pPr>
            <w:r>
              <w:rPr>
                <w:rFonts w:ascii="Calibri" w:hAnsi="Calibri" w:cs="Calibri"/>
              </w:rPr>
              <w:t xml:space="preserve">           373 </w:t>
            </w:r>
          </w:p>
        </w:tc>
      </w:tr>
      <w:tr w:rsidR="001B6918" w:rsidRPr="004E6649" w14:paraId="0286F7FB" w14:textId="77777777" w:rsidTr="00730ECF">
        <w:trPr>
          <w:trHeight w:val="153"/>
          <w:jc w:val="center"/>
        </w:trPr>
        <w:tc>
          <w:tcPr>
            <w:tcW w:w="2392" w:type="dxa"/>
            <w:tcBorders>
              <w:top w:val="nil"/>
              <w:left w:val="nil"/>
              <w:bottom w:val="nil"/>
              <w:right w:val="nil"/>
            </w:tcBorders>
            <w:shd w:val="clear" w:color="000000" w:fill="FFFFFF"/>
            <w:noWrap/>
            <w:vAlign w:val="bottom"/>
            <w:hideMark/>
          </w:tcPr>
          <w:p w14:paraId="5BFC1EC8" w14:textId="77777777" w:rsidR="001B6918" w:rsidRPr="004E6649" w:rsidRDefault="001B6918" w:rsidP="00730ECF">
            <w:pPr>
              <w:jc w:val="center"/>
              <w:rPr>
                <w:rFonts w:eastAsia="Times New Roman" w:cstheme="minorHAnsi"/>
                <w:color w:val="0D0D0D"/>
              </w:rPr>
            </w:pPr>
            <w:r w:rsidRPr="004E6649">
              <w:rPr>
                <w:rFonts w:eastAsia="Times New Roman" w:cstheme="minorHAnsi"/>
                <w:color w:val="0D0D0D"/>
              </w:rPr>
              <w:t>20</w:t>
            </w:r>
            <w:r>
              <w:rPr>
                <w:rFonts w:eastAsia="Times New Roman" w:cstheme="minorHAnsi"/>
                <w:color w:val="0D0D0D"/>
              </w:rPr>
              <w:t>31</w:t>
            </w:r>
            <w:r w:rsidRPr="004E6649">
              <w:rPr>
                <w:rFonts w:eastAsia="Times New Roman" w:cstheme="minorHAnsi"/>
                <w:color w:val="0D0D0D"/>
              </w:rPr>
              <w:t>-203</w:t>
            </w:r>
            <w:r>
              <w:rPr>
                <w:rFonts w:eastAsia="Times New Roman" w:cstheme="minorHAnsi"/>
                <w:color w:val="0D0D0D"/>
              </w:rPr>
              <w:t>5</w:t>
            </w:r>
          </w:p>
        </w:tc>
        <w:tc>
          <w:tcPr>
            <w:tcW w:w="1337" w:type="dxa"/>
            <w:tcBorders>
              <w:top w:val="nil"/>
              <w:left w:val="nil"/>
              <w:bottom w:val="nil"/>
              <w:right w:val="nil"/>
            </w:tcBorders>
            <w:shd w:val="clear" w:color="000000" w:fill="FFFFFF"/>
            <w:noWrap/>
            <w:vAlign w:val="bottom"/>
            <w:hideMark/>
          </w:tcPr>
          <w:p w14:paraId="7235BCB0" w14:textId="77777777" w:rsidR="001B6918" w:rsidRPr="002A54A8" w:rsidRDefault="001B6918" w:rsidP="00730ECF">
            <w:pPr>
              <w:jc w:val="right"/>
              <w:rPr>
                <w:rFonts w:eastAsia="Times New Roman" w:cstheme="minorHAnsi"/>
                <w:color w:val="FF0000"/>
              </w:rPr>
            </w:pPr>
            <w:r>
              <w:rPr>
                <w:rFonts w:ascii="Calibri" w:hAnsi="Calibri" w:cs="Calibri"/>
              </w:rPr>
              <w:t xml:space="preserve">          31,665 </w:t>
            </w:r>
          </w:p>
        </w:tc>
        <w:tc>
          <w:tcPr>
            <w:tcW w:w="1337" w:type="dxa"/>
            <w:tcBorders>
              <w:top w:val="nil"/>
              <w:left w:val="nil"/>
              <w:bottom w:val="nil"/>
              <w:right w:val="nil"/>
            </w:tcBorders>
            <w:shd w:val="clear" w:color="000000" w:fill="FFFFFF"/>
            <w:noWrap/>
            <w:vAlign w:val="bottom"/>
            <w:hideMark/>
          </w:tcPr>
          <w:p w14:paraId="1294AA92" w14:textId="77777777" w:rsidR="001B6918" w:rsidRPr="002A54A8" w:rsidRDefault="001B6918" w:rsidP="00730ECF">
            <w:pPr>
              <w:jc w:val="right"/>
              <w:rPr>
                <w:rFonts w:eastAsia="Times New Roman" w:cstheme="minorHAnsi"/>
                <w:color w:val="FF0000"/>
              </w:rPr>
            </w:pPr>
            <w:r>
              <w:rPr>
                <w:rFonts w:ascii="Calibri" w:hAnsi="Calibri" w:cs="Calibri"/>
              </w:rPr>
              <w:t xml:space="preserve">       23,662 </w:t>
            </w:r>
          </w:p>
        </w:tc>
        <w:tc>
          <w:tcPr>
            <w:tcW w:w="1337" w:type="dxa"/>
            <w:tcBorders>
              <w:top w:val="nil"/>
              <w:left w:val="nil"/>
              <w:bottom w:val="nil"/>
              <w:right w:val="nil"/>
            </w:tcBorders>
            <w:shd w:val="clear" w:color="000000" w:fill="FFFFFF"/>
            <w:noWrap/>
            <w:vAlign w:val="bottom"/>
          </w:tcPr>
          <w:p w14:paraId="6C60559D" w14:textId="77777777" w:rsidR="001B6918" w:rsidRPr="002A54A8" w:rsidRDefault="001B6918" w:rsidP="00730ECF">
            <w:pPr>
              <w:jc w:val="right"/>
              <w:rPr>
                <w:rFonts w:eastAsia="Times New Roman" w:cstheme="minorHAnsi"/>
                <w:color w:val="FF0000"/>
              </w:rPr>
            </w:pPr>
            <w:r>
              <w:rPr>
                <w:rFonts w:ascii="Calibri" w:hAnsi="Calibri" w:cs="Calibri"/>
              </w:rPr>
              <w:t xml:space="preserve">        3,472 </w:t>
            </w:r>
          </w:p>
        </w:tc>
        <w:tc>
          <w:tcPr>
            <w:tcW w:w="1337" w:type="dxa"/>
            <w:tcBorders>
              <w:top w:val="nil"/>
              <w:left w:val="nil"/>
              <w:bottom w:val="nil"/>
              <w:right w:val="nil"/>
            </w:tcBorders>
            <w:vAlign w:val="bottom"/>
          </w:tcPr>
          <w:p w14:paraId="46C1592D" w14:textId="77777777" w:rsidR="001B6918" w:rsidRPr="002A54A8" w:rsidRDefault="001B6918" w:rsidP="00730ECF">
            <w:pPr>
              <w:jc w:val="right"/>
              <w:rPr>
                <w:rFonts w:cstheme="minorHAnsi"/>
                <w:color w:val="FF0000"/>
              </w:rPr>
            </w:pPr>
            <w:r>
              <w:rPr>
                <w:rFonts w:ascii="Calibri" w:hAnsi="Calibri" w:cs="Calibri"/>
              </w:rPr>
              <w:t xml:space="preserve">       1,532 </w:t>
            </w:r>
          </w:p>
        </w:tc>
      </w:tr>
      <w:tr w:rsidR="001B6918" w:rsidRPr="004E6649" w14:paraId="35D77680" w14:textId="77777777" w:rsidTr="00730ECF">
        <w:trPr>
          <w:trHeight w:val="153"/>
          <w:jc w:val="center"/>
        </w:trPr>
        <w:tc>
          <w:tcPr>
            <w:tcW w:w="2392" w:type="dxa"/>
            <w:tcBorders>
              <w:top w:val="nil"/>
              <w:left w:val="nil"/>
              <w:bottom w:val="nil"/>
              <w:right w:val="nil"/>
            </w:tcBorders>
            <w:shd w:val="clear" w:color="000000" w:fill="FFFFFF"/>
            <w:noWrap/>
            <w:vAlign w:val="bottom"/>
            <w:hideMark/>
          </w:tcPr>
          <w:p w14:paraId="0EE4097D" w14:textId="77777777" w:rsidR="001B6918" w:rsidRPr="004E6649" w:rsidRDefault="001B6918" w:rsidP="00730ECF">
            <w:pPr>
              <w:jc w:val="center"/>
              <w:rPr>
                <w:rFonts w:eastAsia="Times New Roman" w:cstheme="minorHAnsi"/>
                <w:color w:val="0D0D0D"/>
              </w:rPr>
            </w:pPr>
            <w:r w:rsidRPr="004E6649">
              <w:rPr>
                <w:rFonts w:eastAsia="Times New Roman" w:cstheme="minorHAnsi"/>
                <w:color w:val="0D0D0D"/>
              </w:rPr>
              <w:t>203</w:t>
            </w:r>
            <w:r>
              <w:rPr>
                <w:rFonts w:eastAsia="Times New Roman" w:cstheme="minorHAnsi"/>
                <w:color w:val="0D0D0D"/>
              </w:rPr>
              <w:t>6</w:t>
            </w:r>
            <w:r w:rsidRPr="004E6649">
              <w:rPr>
                <w:rFonts w:eastAsia="Times New Roman" w:cstheme="minorHAnsi"/>
                <w:color w:val="0D0D0D"/>
              </w:rPr>
              <w:t>-20</w:t>
            </w:r>
            <w:r>
              <w:rPr>
                <w:rFonts w:eastAsia="Times New Roman" w:cstheme="minorHAnsi"/>
                <w:color w:val="0D0D0D"/>
              </w:rPr>
              <w:t>40</w:t>
            </w:r>
          </w:p>
        </w:tc>
        <w:tc>
          <w:tcPr>
            <w:tcW w:w="1337" w:type="dxa"/>
            <w:tcBorders>
              <w:top w:val="nil"/>
              <w:left w:val="nil"/>
              <w:bottom w:val="nil"/>
              <w:right w:val="nil"/>
            </w:tcBorders>
            <w:shd w:val="clear" w:color="000000" w:fill="FFFFFF"/>
            <w:noWrap/>
            <w:vAlign w:val="bottom"/>
            <w:hideMark/>
          </w:tcPr>
          <w:p w14:paraId="5D4CC7D1" w14:textId="77777777" w:rsidR="001B6918" w:rsidRPr="002A54A8" w:rsidRDefault="001B6918" w:rsidP="00730ECF">
            <w:pPr>
              <w:jc w:val="right"/>
              <w:rPr>
                <w:rFonts w:eastAsia="Times New Roman" w:cstheme="minorHAnsi"/>
                <w:color w:val="FF0000"/>
              </w:rPr>
            </w:pPr>
            <w:r>
              <w:rPr>
                <w:rFonts w:ascii="Calibri" w:hAnsi="Calibri" w:cs="Calibri"/>
              </w:rPr>
              <w:t xml:space="preserve">            8,270 </w:t>
            </w:r>
          </w:p>
        </w:tc>
        <w:tc>
          <w:tcPr>
            <w:tcW w:w="1337" w:type="dxa"/>
            <w:tcBorders>
              <w:top w:val="nil"/>
              <w:left w:val="nil"/>
              <w:bottom w:val="nil"/>
              <w:right w:val="nil"/>
            </w:tcBorders>
            <w:shd w:val="clear" w:color="000000" w:fill="FFFFFF"/>
            <w:noWrap/>
            <w:vAlign w:val="bottom"/>
            <w:hideMark/>
          </w:tcPr>
          <w:p w14:paraId="659A91BD" w14:textId="77777777" w:rsidR="001B6918" w:rsidRPr="002A54A8" w:rsidRDefault="001B6918" w:rsidP="00730ECF">
            <w:pPr>
              <w:jc w:val="right"/>
              <w:rPr>
                <w:rFonts w:eastAsia="Times New Roman" w:cstheme="minorHAnsi"/>
                <w:color w:val="FF0000"/>
              </w:rPr>
            </w:pPr>
            <w:r>
              <w:rPr>
                <w:rFonts w:ascii="Calibri" w:hAnsi="Calibri" w:cs="Calibri"/>
              </w:rPr>
              <w:t xml:space="preserve">       19,497 </w:t>
            </w:r>
          </w:p>
        </w:tc>
        <w:tc>
          <w:tcPr>
            <w:tcW w:w="1337" w:type="dxa"/>
            <w:tcBorders>
              <w:top w:val="nil"/>
              <w:left w:val="nil"/>
              <w:bottom w:val="nil"/>
              <w:right w:val="nil"/>
            </w:tcBorders>
            <w:shd w:val="clear" w:color="000000" w:fill="FFFFFF"/>
            <w:noWrap/>
            <w:vAlign w:val="bottom"/>
          </w:tcPr>
          <w:p w14:paraId="75D5E051" w14:textId="77777777" w:rsidR="001B6918" w:rsidRPr="002A54A8" w:rsidRDefault="001B6918" w:rsidP="00730ECF">
            <w:pPr>
              <w:jc w:val="right"/>
              <w:rPr>
                <w:rFonts w:eastAsia="Times New Roman" w:cstheme="minorHAnsi"/>
                <w:color w:val="FF0000"/>
              </w:rPr>
            </w:pPr>
            <w:r>
              <w:rPr>
                <w:rFonts w:ascii="Calibri" w:hAnsi="Calibri" w:cs="Calibri"/>
              </w:rPr>
              <w:t xml:space="preserve">        3,877 </w:t>
            </w:r>
          </w:p>
        </w:tc>
        <w:tc>
          <w:tcPr>
            <w:tcW w:w="1337" w:type="dxa"/>
            <w:tcBorders>
              <w:top w:val="nil"/>
              <w:left w:val="nil"/>
              <w:bottom w:val="nil"/>
              <w:right w:val="nil"/>
            </w:tcBorders>
            <w:vAlign w:val="bottom"/>
          </w:tcPr>
          <w:p w14:paraId="290B6968" w14:textId="77777777" w:rsidR="001B6918" w:rsidRPr="002A54A8" w:rsidRDefault="001B6918" w:rsidP="00730ECF">
            <w:pPr>
              <w:jc w:val="right"/>
              <w:rPr>
                <w:rFonts w:cstheme="minorHAnsi"/>
                <w:color w:val="FF0000"/>
              </w:rPr>
            </w:pPr>
            <w:r>
              <w:rPr>
                <w:rFonts w:ascii="Calibri" w:hAnsi="Calibri" w:cs="Calibri"/>
              </w:rPr>
              <w:t xml:space="preserve">           939 </w:t>
            </w:r>
          </w:p>
        </w:tc>
      </w:tr>
      <w:tr w:rsidR="001B6918" w:rsidRPr="004E6649" w14:paraId="3AA6FDAF" w14:textId="77777777" w:rsidTr="00730ECF">
        <w:trPr>
          <w:trHeight w:val="153"/>
          <w:jc w:val="center"/>
        </w:trPr>
        <w:tc>
          <w:tcPr>
            <w:tcW w:w="2392" w:type="dxa"/>
            <w:tcBorders>
              <w:top w:val="nil"/>
              <w:left w:val="nil"/>
              <w:bottom w:val="nil"/>
              <w:right w:val="nil"/>
            </w:tcBorders>
            <w:shd w:val="clear" w:color="000000" w:fill="FFFFFF"/>
            <w:noWrap/>
            <w:vAlign w:val="bottom"/>
          </w:tcPr>
          <w:p w14:paraId="25E9DD6D" w14:textId="77777777" w:rsidR="001B6918" w:rsidRPr="004E6649" w:rsidRDefault="001B6918" w:rsidP="00730ECF">
            <w:pPr>
              <w:jc w:val="center"/>
              <w:rPr>
                <w:rFonts w:eastAsia="Times New Roman" w:cstheme="minorHAnsi"/>
                <w:color w:val="0D0D0D"/>
              </w:rPr>
            </w:pPr>
            <w:r w:rsidRPr="004E6649">
              <w:rPr>
                <w:rFonts w:eastAsia="Times New Roman" w:cstheme="minorHAnsi"/>
                <w:color w:val="0D0D0D"/>
              </w:rPr>
              <w:t>20</w:t>
            </w:r>
            <w:r>
              <w:rPr>
                <w:rFonts w:eastAsia="Times New Roman" w:cstheme="minorHAnsi"/>
                <w:color w:val="0D0D0D"/>
              </w:rPr>
              <w:t>41</w:t>
            </w:r>
            <w:r w:rsidRPr="004E6649">
              <w:rPr>
                <w:rFonts w:eastAsia="Times New Roman" w:cstheme="minorHAnsi"/>
                <w:color w:val="0D0D0D"/>
              </w:rPr>
              <w:t>-204</w:t>
            </w:r>
            <w:r>
              <w:rPr>
                <w:rFonts w:eastAsia="Times New Roman" w:cstheme="minorHAnsi"/>
                <w:color w:val="0D0D0D"/>
              </w:rPr>
              <w:t>5</w:t>
            </w:r>
          </w:p>
        </w:tc>
        <w:tc>
          <w:tcPr>
            <w:tcW w:w="1337" w:type="dxa"/>
            <w:tcBorders>
              <w:top w:val="nil"/>
              <w:left w:val="nil"/>
              <w:bottom w:val="nil"/>
              <w:right w:val="nil"/>
            </w:tcBorders>
            <w:shd w:val="clear" w:color="000000" w:fill="FFFFFF"/>
            <w:noWrap/>
            <w:vAlign w:val="bottom"/>
          </w:tcPr>
          <w:p w14:paraId="17E058AB" w14:textId="77777777" w:rsidR="001B6918" w:rsidRPr="004045CB" w:rsidRDefault="001B6918" w:rsidP="00730ECF">
            <w:pPr>
              <w:jc w:val="right"/>
              <w:rPr>
                <w:rFonts w:cstheme="minorHAnsi"/>
                <w:color w:val="FF0000"/>
              </w:rPr>
            </w:pPr>
            <w:r>
              <w:rPr>
                <w:rFonts w:ascii="Calibri" w:hAnsi="Calibri" w:cs="Calibri"/>
              </w:rPr>
              <w:t xml:space="preserve">            9,445 </w:t>
            </w:r>
          </w:p>
        </w:tc>
        <w:tc>
          <w:tcPr>
            <w:tcW w:w="1337" w:type="dxa"/>
            <w:tcBorders>
              <w:top w:val="nil"/>
              <w:left w:val="nil"/>
              <w:bottom w:val="nil"/>
              <w:right w:val="nil"/>
            </w:tcBorders>
            <w:shd w:val="clear" w:color="000000" w:fill="FFFFFF"/>
            <w:noWrap/>
            <w:vAlign w:val="bottom"/>
          </w:tcPr>
          <w:p w14:paraId="14B66932" w14:textId="77777777" w:rsidR="001B6918" w:rsidRPr="004045CB" w:rsidRDefault="001B6918" w:rsidP="00730ECF">
            <w:pPr>
              <w:jc w:val="right"/>
              <w:rPr>
                <w:rFonts w:cstheme="minorHAnsi"/>
                <w:color w:val="FF0000"/>
              </w:rPr>
            </w:pPr>
            <w:r>
              <w:rPr>
                <w:rFonts w:ascii="Calibri" w:hAnsi="Calibri" w:cs="Calibri"/>
              </w:rPr>
              <w:t xml:space="preserve">       17,407 </w:t>
            </w:r>
          </w:p>
        </w:tc>
        <w:tc>
          <w:tcPr>
            <w:tcW w:w="1337" w:type="dxa"/>
            <w:tcBorders>
              <w:top w:val="nil"/>
              <w:left w:val="nil"/>
              <w:bottom w:val="nil"/>
              <w:right w:val="nil"/>
            </w:tcBorders>
            <w:shd w:val="clear" w:color="000000" w:fill="FFFFFF"/>
            <w:noWrap/>
            <w:vAlign w:val="bottom"/>
          </w:tcPr>
          <w:p w14:paraId="34EE6B2C" w14:textId="77777777" w:rsidR="001B6918" w:rsidRPr="004045CB" w:rsidRDefault="001B6918" w:rsidP="00730ECF">
            <w:pPr>
              <w:jc w:val="right"/>
              <w:rPr>
                <w:rFonts w:cstheme="minorHAnsi"/>
                <w:color w:val="FF0000"/>
              </w:rPr>
            </w:pPr>
            <w:r>
              <w:rPr>
                <w:rFonts w:ascii="Calibri" w:hAnsi="Calibri" w:cs="Calibri"/>
              </w:rPr>
              <w:t xml:space="preserve">        3,025 </w:t>
            </w:r>
          </w:p>
        </w:tc>
        <w:tc>
          <w:tcPr>
            <w:tcW w:w="1337" w:type="dxa"/>
            <w:tcBorders>
              <w:top w:val="nil"/>
              <w:left w:val="nil"/>
              <w:bottom w:val="nil"/>
              <w:right w:val="nil"/>
            </w:tcBorders>
            <w:vAlign w:val="bottom"/>
          </w:tcPr>
          <w:p w14:paraId="39923FD1" w14:textId="77777777" w:rsidR="001B6918" w:rsidRPr="004045CB" w:rsidRDefault="001B6918" w:rsidP="00730ECF">
            <w:pPr>
              <w:jc w:val="right"/>
              <w:rPr>
                <w:rFonts w:cstheme="minorHAnsi"/>
                <w:color w:val="FF0000"/>
              </w:rPr>
            </w:pPr>
            <w:r>
              <w:rPr>
                <w:rFonts w:ascii="Calibri" w:hAnsi="Calibri" w:cs="Calibri"/>
              </w:rPr>
              <w:t xml:space="preserve">           244 </w:t>
            </w:r>
          </w:p>
        </w:tc>
      </w:tr>
      <w:tr w:rsidR="001B6918" w:rsidRPr="004E6649" w14:paraId="5F7B9651" w14:textId="77777777" w:rsidTr="00730ECF">
        <w:trPr>
          <w:trHeight w:val="80"/>
          <w:jc w:val="center"/>
        </w:trPr>
        <w:tc>
          <w:tcPr>
            <w:tcW w:w="2392" w:type="dxa"/>
            <w:tcBorders>
              <w:top w:val="nil"/>
              <w:left w:val="nil"/>
              <w:bottom w:val="nil"/>
              <w:right w:val="nil"/>
            </w:tcBorders>
            <w:shd w:val="clear" w:color="000000" w:fill="FFFFFF"/>
            <w:noWrap/>
            <w:vAlign w:val="bottom"/>
          </w:tcPr>
          <w:p w14:paraId="335EE45D" w14:textId="77777777" w:rsidR="001B6918" w:rsidRPr="004E6649" w:rsidRDefault="001B6918" w:rsidP="00730ECF">
            <w:pPr>
              <w:jc w:val="center"/>
              <w:rPr>
                <w:rFonts w:eastAsia="Times New Roman" w:cstheme="minorHAnsi"/>
                <w:color w:val="0D0D0D"/>
              </w:rPr>
            </w:pPr>
            <w:r w:rsidRPr="004E6649">
              <w:rPr>
                <w:rFonts w:eastAsia="Times New Roman" w:cstheme="minorHAnsi"/>
                <w:color w:val="0D0D0D"/>
              </w:rPr>
              <w:t>204</w:t>
            </w:r>
            <w:r>
              <w:rPr>
                <w:rFonts w:eastAsia="Times New Roman" w:cstheme="minorHAnsi"/>
                <w:color w:val="0D0D0D"/>
              </w:rPr>
              <w:t>6</w:t>
            </w:r>
            <w:r w:rsidRPr="004E6649">
              <w:rPr>
                <w:rFonts w:eastAsia="Times New Roman" w:cstheme="minorHAnsi"/>
                <w:color w:val="0D0D0D"/>
              </w:rPr>
              <w:t>-20</w:t>
            </w:r>
            <w:r>
              <w:rPr>
                <w:rFonts w:eastAsia="Times New Roman" w:cstheme="minorHAnsi"/>
                <w:color w:val="0D0D0D"/>
              </w:rPr>
              <w:t>50</w:t>
            </w:r>
          </w:p>
        </w:tc>
        <w:tc>
          <w:tcPr>
            <w:tcW w:w="1337" w:type="dxa"/>
            <w:tcBorders>
              <w:top w:val="nil"/>
              <w:left w:val="nil"/>
              <w:bottom w:val="nil"/>
              <w:right w:val="nil"/>
            </w:tcBorders>
            <w:shd w:val="clear" w:color="000000" w:fill="FFFFFF"/>
            <w:noWrap/>
            <w:vAlign w:val="bottom"/>
          </w:tcPr>
          <w:p w14:paraId="5A6B89B1" w14:textId="77777777" w:rsidR="001B6918" w:rsidRPr="004045CB" w:rsidRDefault="001B6918" w:rsidP="00730ECF">
            <w:pPr>
              <w:jc w:val="right"/>
              <w:rPr>
                <w:rFonts w:cstheme="minorHAnsi"/>
                <w:color w:val="FF0000"/>
              </w:rPr>
            </w:pPr>
            <w:r>
              <w:rPr>
                <w:rFonts w:ascii="Calibri" w:hAnsi="Calibri" w:cs="Calibri"/>
              </w:rPr>
              <w:t xml:space="preserve">          12,090 </w:t>
            </w:r>
          </w:p>
        </w:tc>
        <w:tc>
          <w:tcPr>
            <w:tcW w:w="1337" w:type="dxa"/>
            <w:tcBorders>
              <w:top w:val="nil"/>
              <w:left w:val="nil"/>
              <w:bottom w:val="nil"/>
              <w:right w:val="nil"/>
            </w:tcBorders>
            <w:shd w:val="clear" w:color="000000" w:fill="FFFFFF"/>
            <w:noWrap/>
            <w:vAlign w:val="bottom"/>
          </w:tcPr>
          <w:p w14:paraId="6A8E3732" w14:textId="77777777" w:rsidR="001B6918" w:rsidRPr="004045CB" w:rsidRDefault="001B6918" w:rsidP="00730ECF">
            <w:pPr>
              <w:jc w:val="right"/>
              <w:rPr>
                <w:rFonts w:cstheme="minorHAnsi"/>
                <w:color w:val="FF0000"/>
              </w:rPr>
            </w:pPr>
            <w:r>
              <w:rPr>
                <w:rFonts w:ascii="Calibri" w:hAnsi="Calibri" w:cs="Calibri"/>
              </w:rPr>
              <w:t xml:space="preserve">       14,760 </w:t>
            </w:r>
          </w:p>
        </w:tc>
        <w:tc>
          <w:tcPr>
            <w:tcW w:w="1337" w:type="dxa"/>
            <w:tcBorders>
              <w:top w:val="nil"/>
              <w:left w:val="nil"/>
              <w:bottom w:val="nil"/>
              <w:right w:val="nil"/>
            </w:tcBorders>
            <w:shd w:val="clear" w:color="000000" w:fill="FFFFFF"/>
            <w:noWrap/>
            <w:vAlign w:val="bottom"/>
          </w:tcPr>
          <w:p w14:paraId="6CE86894" w14:textId="77777777" w:rsidR="001B6918" w:rsidRPr="00BC2B2A" w:rsidRDefault="001B6918" w:rsidP="00730ECF">
            <w:pPr>
              <w:jc w:val="right"/>
              <w:rPr>
                <w:rFonts w:cstheme="minorHAnsi"/>
              </w:rPr>
            </w:pPr>
            <w:r w:rsidRPr="00BC2B2A">
              <w:rPr>
                <w:rFonts w:cstheme="minorHAnsi"/>
              </w:rPr>
              <w:t>- </w:t>
            </w:r>
          </w:p>
        </w:tc>
        <w:tc>
          <w:tcPr>
            <w:tcW w:w="1337" w:type="dxa"/>
            <w:tcBorders>
              <w:top w:val="nil"/>
              <w:left w:val="nil"/>
              <w:bottom w:val="nil"/>
              <w:right w:val="nil"/>
            </w:tcBorders>
            <w:vAlign w:val="bottom"/>
          </w:tcPr>
          <w:p w14:paraId="2B00F9CA" w14:textId="77777777" w:rsidR="001B6918" w:rsidRPr="00BC2B2A" w:rsidRDefault="001B6918" w:rsidP="00730ECF">
            <w:pPr>
              <w:jc w:val="right"/>
              <w:rPr>
                <w:rFonts w:cstheme="minorHAnsi"/>
              </w:rPr>
            </w:pPr>
            <w:r w:rsidRPr="00BC2B2A">
              <w:rPr>
                <w:rFonts w:cstheme="minorHAnsi"/>
              </w:rPr>
              <w:t>-</w:t>
            </w:r>
          </w:p>
        </w:tc>
      </w:tr>
      <w:tr w:rsidR="001B6918" w:rsidRPr="004E6649" w14:paraId="4B37B602" w14:textId="77777777" w:rsidTr="00730ECF">
        <w:trPr>
          <w:trHeight w:val="80"/>
          <w:jc w:val="center"/>
        </w:trPr>
        <w:tc>
          <w:tcPr>
            <w:tcW w:w="2392" w:type="dxa"/>
            <w:tcBorders>
              <w:top w:val="nil"/>
              <w:left w:val="nil"/>
              <w:bottom w:val="nil"/>
              <w:right w:val="nil"/>
            </w:tcBorders>
            <w:shd w:val="clear" w:color="000000" w:fill="FFFFFF"/>
            <w:noWrap/>
            <w:vAlign w:val="bottom"/>
          </w:tcPr>
          <w:p w14:paraId="23429CC3" w14:textId="77777777" w:rsidR="001B6918" w:rsidRPr="004E6649" w:rsidRDefault="001B6918" w:rsidP="00730ECF">
            <w:pPr>
              <w:jc w:val="center"/>
              <w:rPr>
                <w:rFonts w:eastAsia="Times New Roman" w:cstheme="minorHAnsi"/>
                <w:color w:val="0D0D0D"/>
              </w:rPr>
            </w:pPr>
            <w:r w:rsidRPr="004E6649">
              <w:rPr>
                <w:rFonts w:eastAsia="Times New Roman" w:cstheme="minorHAnsi"/>
                <w:color w:val="0D0D0D"/>
              </w:rPr>
              <w:t>20</w:t>
            </w:r>
            <w:r>
              <w:rPr>
                <w:rFonts w:eastAsia="Times New Roman" w:cstheme="minorHAnsi"/>
                <w:color w:val="0D0D0D"/>
              </w:rPr>
              <w:t>51</w:t>
            </w:r>
            <w:r w:rsidRPr="004E6649">
              <w:rPr>
                <w:rFonts w:eastAsia="Times New Roman" w:cstheme="minorHAnsi"/>
                <w:color w:val="0D0D0D"/>
              </w:rPr>
              <w:t>-205</w:t>
            </w:r>
            <w:r>
              <w:rPr>
                <w:rFonts w:eastAsia="Times New Roman" w:cstheme="minorHAnsi"/>
                <w:color w:val="0D0D0D"/>
              </w:rPr>
              <w:t>5</w:t>
            </w:r>
          </w:p>
        </w:tc>
        <w:tc>
          <w:tcPr>
            <w:tcW w:w="1337" w:type="dxa"/>
            <w:tcBorders>
              <w:top w:val="nil"/>
              <w:left w:val="nil"/>
              <w:bottom w:val="nil"/>
              <w:right w:val="nil"/>
            </w:tcBorders>
            <w:shd w:val="clear" w:color="000000" w:fill="FFFFFF"/>
            <w:noWrap/>
            <w:vAlign w:val="bottom"/>
          </w:tcPr>
          <w:p w14:paraId="4D849791" w14:textId="77777777" w:rsidR="001B6918" w:rsidRPr="004045CB" w:rsidRDefault="001B6918" w:rsidP="00730ECF">
            <w:pPr>
              <w:jc w:val="right"/>
              <w:rPr>
                <w:rFonts w:cstheme="minorHAnsi"/>
                <w:color w:val="FF0000"/>
              </w:rPr>
            </w:pPr>
            <w:r>
              <w:rPr>
                <w:rFonts w:ascii="Calibri" w:hAnsi="Calibri" w:cs="Calibri"/>
              </w:rPr>
              <w:t xml:space="preserve">          15,765 </w:t>
            </w:r>
          </w:p>
        </w:tc>
        <w:tc>
          <w:tcPr>
            <w:tcW w:w="1337" w:type="dxa"/>
            <w:tcBorders>
              <w:top w:val="nil"/>
              <w:left w:val="nil"/>
              <w:bottom w:val="nil"/>
              <w:right w:val="nil"/>
            </w:tcBorders>
            <w:shd w:val="clear" w:color="000000" w:fill="FFFFFF"/>
            <w:noWrap/>
            <w:vAlign w:val="bottom"/>
          </w:tcPr>
          <w:p w14:paraId="72B76E63" w14:textId="77777777" w:rsidR="001B6918" w:rsidRPr="004045CB" w:rsidRDefault="001B6918" w:rsidP="00730ECF">
            <w:pPr>
              <w:jc w:val="right"/>
              <w:rPr>
                <w:rFonts w:cstheme="minorHAnsi"/>
                <w:color w:val="FF0000"/>
              </w:rPr>
            </w:pPr>
            <w:r>
              <w:rPr>
                <w:rFonts w:ascii="Calibri" w:hAnsi="Calibri" w:cs="Calibri"/>
              </w:rPr>
              <w:t xml:space="preserve">       11,089 </w:t>
            </w:r>
          </w:p>
        </w:tc>
        <w:tc>
          <w:tcPr>
            <w:tcW w:w="1337" w:type="dxa"/>
            <w:tcBorders>
              <w:top w:val="nil"/>
              <w:left w:val="nil"/>
              <w:bottom w:val="nil"/>
              <w:right w:val="nil"/>
            </w:tcBorders>
            <w:shd w:val="clear" w:color="000000" w:fill="FFFFFF"/>
            <w:noWrap/>
            <w:vAlign w:val="bottom"/>
          </w:tcPr>
          <w:p w14:paraId="0212CE92" w14:textId="77777777" w:rsidR="001B6918" w:rsidRPr="00BC2B2A" w:rsidRDefault="001B6918" w:rsidP="00730ECF">
            <w:pPr>
              <w:jc w:val="right"/>
              <w:rPr>
                <w:rFonts w:cstheme="minorHAnsi"/>
              </w:rPr>
            </w:pPr>
            <w:r w:rsidRPr="00BC2B2A">
              <w:rPr>
                <w:rFonts w:cstheme="minorHAnsi"/>
              </w:rPr>
              <w:t>- </w:t>
            </w:r>
          </w:p>
        </w:tc>
        <w:tc>
          <w:tcPr>
            <w:tcW w:w="1337" w:type="dxa"/>
            <w:tcBorders>
              <w:top w:val="nil"/>
              <w:left w:val="nil"/>
              <w:bottom w:val="nil"/>
              <w:right w:val="nil"/>
            </w:tcBorders>
            <w:vAlign w:val="bottom"/>
          </w:tcPr>
          <w:p w14:paraId="268B5B3B" w14:textId="77777777" w:rsidR="001B6918" w:rsidRPr="00BC2B2A" w:rsidRDefault="001B6918" w:rsidP="00730ECF">
            <w:pPr>
              <w:jc w:val="right"/>
              <w:rPr>
                <w:rFonts w:cstheme="minorHAnsi"/>
              </w:rPr>
            </w:pPr>
            <w:r w:rsidRPr="00BC2B2A">
              <w:rPr>
                <w:rFonts w:cstheme="minorHAnsi"/>
              </w:rPr>
              <w:t>-</w:t>
            </w:r>
          </w:p>
        </w:tc>
      </w:tr>
      <w:tr w:rsidR="001B6918" w:rsidRPr="004E6649" w14:paraId="71631632" w14:textId="77777777" w:rsidTr="00730ECF">
        <w:trPr>
          <w:trHeight w:val="80"/>
          <w:jc w:val="center"/>
        </w:trPr>
        <w:tc>
          <w:tcPr>
            <w:tcW w:w="2392" w:type="dxa"/>
            <w:tcBorders>
              <w:top w:val="nil"/>
              <w:left w:val="nil"/>
              <w:bottom w:val="nil"/>
              <w:right w:val="nil"/>
            </w:tcBorders>
            <w:shd w:val="clear" w:color="000000" w:fill="FFFFFF"/>
            <w:noWrap/>
            <w:vAlign w:val="bottom"/>
          </w:tcPr>
          <w:p w14:paraId="334E57D3" w14:textId="77777777" w:rsidR="001B6918" w:rsidRPr="004E6649" w:rsidRDefault="001B6918" w:rsidP="00730ECF">
            <w:pPr>
              <w:jc w:val="center"/>
              <w:rPr>
                <w:rFonts w:eastAsia="Times New Roman" w:cstheme="minorHAnsi"/>
                <w:color w:val="0D0D0D"/>
              </w:rPr>
            </w:pPr>
            <w:r w:rsidRPr="004E6649">
              <w:rPr>
                <w:rFonts w:eastAsia="Times New Roman" w:cstheme="minorHAnsi"/>
                <w:color w:val="0D0D0D"/>
              </w:rPr>
              <w:t>205</w:t>
            </w:r>
            <w:r>
              <w:rPr>
                <w:rFonts w:eastAsia="Times New Roman" w:cstheme="minorHAnsi"/>
                <w:color w:val="0D0D0D"/>
              </w:rPr>
              <w:t>6</w:t>
            </w:r>
            <w:r w:rsidRPr="004E6649">
              <w:rPr>
                <w:rFonts w:eastAsia="Times New Roman" w:cstheme="minorHAnsi"/>
                <w:color w:val="0D0D0D"/>
              </w:rPr>
              <w:t>-20</w:t>
            </w:r>
            <w:r>
              <w:rPr>
                <w:rFonts w:eastAsia="Times New Roman" w:cstheme="minorHAnsi"/>
                <w:color w:val="0D0D0D"/>
              </w:rPr>
              <w:t>60</w:t>
            </w:r>
          </w:p>
        </w:tc>
        <w:tc>
          <w:tcPr>
            <w:tcW w:w="1337" w:type="dxa"/>
            <w:tcBorders>
              <w:top w:val="nil"/>
              <w:left w:val="nil"/>
              <w:bottom w:val="nil"/>
              <w:right w:val="nil"/>
            </w:tcBorders>
            <w:shd w:val="clear" w:color="000000" w:fill="FFFFFF"/>
            <w:noWrap/>
            <w:vAlign w:val="bottom"/>
          </w:tcPr>
          <w:p w14:paraId="5F8BFF1C" w14:textId="77777777" w:rsidR="001B6918" w:rsidRPr="004045CB" w:rsidRDefault="001B6918" w:rsidP="00730ECF">
            <w:pPr>
              <w:jc w:val="right"/>
              <w:rPr>
                <w:rFonts w:cstheme="minorHAnsi"/>
                <w:color w:val="FF0000"/>
              </w:rPr>
            </w:pPr>
            <w:r>
              <w:rPr>
                <w:rFonts w:ascii="Calibri" w:hAnsi="Calibri" w:cs="Calibri"/>
              </w:rPr>
              <w:t xml:space="preserve">          20,615 </w:t>
            </w:r>
          </w:p>
        </w:tc>
        <w:tc>
          <w:tcPr>
            <w:tcW w:w="1337" w:type="dxa"/>
            <w:tcBorders>
              <w:top w:val="nil"/>
              <w:left w:val="nil"/>
              <w:bottom w:val="nil"/>
              <w:right w:val="nil"/>
            </w:tcBorders>
            <w:shd w:val="clear" w:color="000000" w:fill="FFFFFF"/>
            <w:noWrap/>
            <w:vAlign w:val="bottom"/>
          </w:tcPr>
          <w:p w14:paraId="18C6BDA0" w14:textId="77777777" w:rsidR="001B6918" w:rsidRPr="004045CB" w:rsidRDefault="001B6918" w:rsidP="00730ECF">
            <w:pPr>
              <w:jc w:val="right"/>
              <w:rPr>
                <w:rFonts w:cstheme="minorHAnsi"/>
                <w:color w:val="FF0000"/>
              </w:rPr>
            </w:pPr>
            <w:r>
              <w:rPr>
                <w:rFonts w:ascii="Calibri" w:hAnsi="Calibri" w:cs="Calibri"/>
              </w:rPr>
              <w:t xml:space="preserve">         6,249 </w:t>
            </w:r>
          </w:p>
        </w:tc>
        <w:tc>
          <w:tcPr>
            <w:tcW w:w="1337" w:type="dxa"/>
            <w:tcBorders>
              <w:top w:val="nil"/>
              <w:left w:val="nil"/>
              <w:bottom w:val="nil"/>
              <w:right w:val="nil"/>
            </w:tcBorders>
            <w:shd w:val="clear" w:color="000000" w:fill="FFFFFF"/>
            <w:noWrap/>
            <w:vAlign w:val="bottom"/>
          </w:tcPr>
          <w:p w14:paraId="1B655E8C" w14:textId="77777777" w:rsidR="001B6918" w:rsidRPr="00BC2B2A" w:rsidRDefault="001B6918" w:rsidP="00730ECF">
            <w:pPr>
              <w:jc w:val="right"/>
              <w:rPr>
                <w:rFonts w:cstheme="minorHAnsi"/>
              </w:rPr>
            </w:pPr>
            <w:r w:rsidRPr="00BC2B2A">
              <w:rPr>
                <w:rFonts w:cstheme="minorHAnsi"/>
              </w:rPr>
              <w:t>- </w:t>
            </w:r>
          </w:p>
        </w:tc>
        <w:tc>
          <w:tcPr>
            <w:tcW w:w="1337" w:type="dxa"/>
            <w:tcBorders>
              <w:top w:val="nil"/>
              <w:left w:val="nil"/>
              <w:bottom w:val="nil"/>
              <w:right w:val="nil"/>
            </w:tcBorders>
            <w:vAlign w:val="bottom"/>
          </w:tcPr>
          <w:p w14:paraId="1AE8D5E9" w14:textId="77777777" w:rsidR="001B6918" w:rsidRPr="00BC2B2A" w:rsidRDefault="001B6918" w:rsidP="00730ECF">
            <w:pPr>
              <w:jc w:val="right"/>
              <w:rPr>
                <w:rFonts w:cstheme="minorHAnsi"/>
              </w:rPr>
            </w:pPr>
            <w:r w:rsidRPr="00BC2B2A">
              <w:rPr>
                <w:rFonts w:cstheme="minorHAnsi"/>
              </w:rPr>
              <w:t>-</w:t>
            </w:r>
          </w:p>
        </w:tc>
      </w:tr>
      <w:tr w:rsidR="001B6918" w:rsidRPr="004E6649" w14:paraId="2E537EC4" w14:textId="77777777" w:rsidTr="00730ECF">
        <w:trPr>
          <w:trHeight w:val="153"/>
          <w:jc w:val="center"/>
        </w:trPr>
        <w:tc>
          <w:tcPr>
            <w:tcW w:w="2392" w:type="dxa"/>
            <w:tcBorders>
              <w:top w:val="nil"/>
              <w:left w:val="nil"/>
              <w:bottom w:val="single" w:sz="8" w:space="0" w:color="000000" w:themeColor="text1"/>
              <w:right w:val="nil"/>
            </w:tcBorders>
            <w:shd w:val="clear" w:color="000000" w:fill="FFFFFF"/>
            <w:noWrap/>
            <w:vAlign w:val="bottom"/>
          </w:tcPr>
          <w:p w14:paraId="0157721B" w14:textId="1E0FD808" w:rsidR="001B6918" w:rsidRPr="004E6649" w:rsidRDefault="001B6918" w:rsidP="00730ECF">
            <w:pPr>
              <w:jc w:val="center"/>
              <w:rPr>
                <w:rFonts w:eastAsia="Times New Roman" w:cstheme="minorHAnsi"/>
                <w:color w:val="0D0D0D"/>
              </w:rPr>
            </w:pPr>
            <w:r w:rsidRPr="004E6649">
              <w:rPr>
                <w:rFonts w:eastAsia="Times New Roman" w:cstheme="minorHAnsi"/>
                <w:color w:val="0D0D0D"/>
              </w:rPr>
              <w:t>20</w:t>
            </w:r>
            <w:r>
              <w:rPr>
                <w:rFonts w:eastAsia="Times New Roman" w:cstheme="minorHAnsi"/>
                <w:color w:val="0D0D0D"/>
              </w:rPr>
              <w:t>61</w:t>
            </w:r>
            <w:r w:rsidRPr="004E6649">
              <w:rPr>
                <w:rFonts w:eastAsia="Times New Roman" w:cstheme="minorHAnsi"/>
                <w:color w:val="0D0D0D"/>
              </w:rPr>
              <w:t>-206</w:t>
            </w:r>
            <w:r w:rsidR="00AE6301">
              <w:rPr>
                <w:rFonts w:eastAsia="Times New Roman" w:cstheme="minorHAnsi"/>
                <w:color w:val="0D0D0D"/>
              </w:rPr>
              <w:t>2</w:t>
            </w:r>
          </w:p>
        </w:tc>
        <w:tc>
          <w:tcPr>
            <w:tcW w:w="1337" w:type="dxa"/>
            <w:tcBorders>
              <w:top w:val="nil"/>
              <w:left w:val="nil"/>
              <w:bottom w:val="single" w:sz="8" w:space="0" w:color="000000" w:themeColor="text1"/>
              <w:right w:val="nil"/>
            </w:tcBorders>
            <w:shd w:val="clear" w:color="000000" w:fill="FFFFFF"/>
            <w:noWrap/>
            <w:vAlign w:val="bottom"/>
          </w:tcPr>
          <w:p w14:paraId="12C125B1" w14:textId="77777777" w:rsidR="001B6918" w:rsidRPr="004045CB" w:rsidRDefault="001B6918" w:rsidP="00730ECF">
            <w:pPr>
              <w:jc w:val="right"/>
              <w:rPr>
                <w:rFonts w:cstheme="minorHAnsi"/>
                <w:color w:val="FF0000"/>
              </w:rPr>
            </w:pPr>
            <w:r>
              <w:rPr>
                <w:rFonts w:ascii="Calibri" w:hAnsi="Calibri" w:cs="Calibri"/>
              </w:rPr>
              <w:t xml:space="preserve">            9,915 </w:t>
            </w:r>
          </w:p>
        </w:tc>
        <w:tc>
          <w:tcPr>
            <w:tcW w:w="1337" w:type="dxa"/>
            <w:tcBorders>
              <w:top w:val="nil"/>
              <w:left w:val="nil"/>
              <w:bottom w:val="single" w:sz="8" w:space="0" w:color="000000" w:themeColor="text1"/>
              <w:right w:val="nil"/>
            </w:tcBorders>
            <w:shd w:val="clear" w:color="000000" w:fill="FFFFFF"/>
            <w:noWrap/>
            <w:vAlign w:val="bottom"/>
          </w:tcPr>
          <w:p w14:paraId="16CFAD67" w14:textId="77777777" w:rsidR="001B6918" w:rsidRPr="004045CB" w:rsidRDefault="001B6918" w:rsidP="00730ECF">
            <w:pPr>
              <w:jc w:val="right"/>
              <w:rPr>
                <w:rFonts w:cstheme="minorHAnsi"/>
                <w:color w:val="FF0000"/>
              </w:rPr>
            </w:pPr>
            <w:r>
              <w:rPr>
                <w:rFonts w:ascii="Calibri" w:hAnsi="Calibri" w:cs="Calibri"/>
              </w:rPr>
              <w:t xml:space="preserve">             825 </w:t>
            </w:r>
          </w:p>
        </w:tc>
        <w:tc>
          <w:tcPr>
            <w:tcW w:w="1337" w:type="dxa"/>
            <w:tcBorders>
              <w:top w:val="nil"/>
              <w:left w:val="nil"/>
              <w:bottom w:val="single" w:sz="8" w:space="0" w:color="000000" w:themeColor="text1"/>
              <w:right w:val="nil"/>
            </w:tcBorders>
            <w:shd w:val="clear" w:color="000000" w:fill="FFFFFF"/>
            <w:noWrap/>
            <w:vAlign w:val="bottom"/>
          </w:tcPr>
          <w:p w14:paraId="383C0CF1" w14:textId="77777777" w:rsidR="001B6918" w:rsidRPr="00BC2B2A" w:rsidRDefault="001B6918" w:rsidP="00730ECF">
            <w:pPr>
              <w:jc w:val="right"/>
              <w:rPr>
                <w:rFonts w:cstheme="minorHAnsi"/>
              </w:rPr>
            </w:pPr>
            <w:r w:rsidRPr="00BC2B2A">
              <w:rPr>
                <w:rFonts w:cstheme="minorHAnsi"/>
              </w:rPr>
              <w:t>- </w:t>
            </w:r>
          </w:p>
        </w:tc>
        <w:tc>
          <w:tcPr>
            <w:tcW w:w="1337" w:type="dxa"/>
            <w:tcBorders>
              <w:top w:val="nil"/>
              <w:left w:val="nil"/>
              <w:bottom w:val="single" w:sz="8" w:space="0" w:color="000000" w:themeColor="text1"/>
              <w:right w:val="nil"/>
            </w:tcBorders>
            <w:vAlign w:val="bottom"/>
          </w:tcPr>
          <w:p w14:paraId="72C94470" w14:textId="77777777" w:rsidR="001B6918" w:rsidRPr="00BC2B2A" w:rsidRDefault="001B6918" w:rsidP="00730ECF">
            <w:pPr>
              <w:jc w:val="right"/>
              <w:rPr>
                <w:rFonts w:cstheme="minorHAnsi"/>
              </w:rPr>
            </w:pPr>
            <w:r w:rsidRPr="00BC2B2A">
              <w:rPr>
                <w:rFonts w:cstheme="minorHAnsi"/>
              </w:rPr>
              <w:t>-</w:t>
            </w:r>
          </w:p>
        </w:tc>
      </w:tr>
      <w:tr w:rsidR="001B6918" w:rsidRPr="004E6649" w14:paraId="1EEE3E60" w14:textId="77777777" w:rsidTr="00730ECF">
        <w:trPr>
          <w:trHeight w:val="70"/>
          <w:jc w:val="center"/>
        </w:trPr>
        <w:tc>
          <w:tcPr>
            <w:tcW w:w="2392" w:type="dxa"/>
            <w:tcBorders>
              <w:top w:val="single" w:sz="8" w:space="0" w:color="000000" w:themeColor="text1"/>
              <w:left w:val="nil"/>
              <w:bottom w:val="double" w:sz="4" w:space="0" w:color="000000" w:themeColor="text1"/>
              <w:right w:val="nil"/>
            </w:tcBorders>
            <w:shd w:val="clear" w:color="000000" w:fill="FFFFFF"/>
            <w:noWrap/>
            <w:vAlign w:val="bottom"/>
            <w:hideMark/>
          </w:tcPr>
          <w:p w14:paraId="5432E544" w14:textId="77777777" w:rsidR="001B6918" w:rsidRPr="004E6649" w:rsidRDefault="001B6918" w:rsidP="00730ECF">
            <w:pPr>
              <w:rPr>
                <w:rFonts w:eastAsia="Times New Roman" w:cstheme="minorHAnsi"/>
                <w:b/>
                <w:bCs/>
                <w:color w:val="0D0D0D"/>
              </w:rPr>
            </w:pPr>
            <w:r w:rsidRPr="004E6649">
              <w:rPr>
                <w:rFonts w:eastAsia="Times New Roman" w:cstheme="minorHAnsi"/>
                <w:b/>
                <w:bCs/>
                <w:color w:val="0D0D0D"/>
              </w:rPr>
              <w:t>Total Payments</w:t>
            </w:r>
          </w:p>
        </w:tc>
        <w:tc>
          <w:tcPr>
            <w:tcW w:w="1337" w:type="dxa"/>
            <w:tcBorders>
              <w:top w:val="single" w:sz="8" w:space="0" w:color="000000" w:themeColor="text1"/>
              <w:left w:val="nil"/>
              <w:bottom w:val="double" w:sz="4" w:space="0" w:color="000000" w:themeColor="text1"/>
              <w:right w:val="nil"/>
            </w:tcBorders>
            <w:noWrap/>
            <w:vAlign w:val="bottom"/>
            <w:hideMark/>
          </w:tcPr>
          <w:p w14:paraId="3F924728" w14:textId="77777777" w:rsidR="001B6918" w:rsidRPr="004045CB" w:rsidRDefault="001B6918" w:rsidP="00730ECF">
            <w:pPr>
              <w:jc w:val="right"/>
              <w:rPr>
                <w:rFonts w:eastAsia="Times New Roman" w:cstheme="minorHAnsi"/>
                <w:color w:val="FF0000"/>
              </w:rPr>
            </w:pPr>
            <w:r>
              <w:rPr>
                <w:rFonts w:ascii="Calibri" w:hAnsi="Calibri" w:cs="Calibri"/>
              </w:rPr>
              <w:t xml:space="preserve"> $    175,230 </w:t>
            </w:r>
          </w:p>
        </w:tc>
        <w:tc>
          <w:tcPr>
            <w:tcW w:w="1337" w:type="dxa"/>
            <w:tcBorders>
              <w:top w:val="single" w:sz="8" w:space="0" w:color="000000" w:themeColor="text1"/>
              <w:left w:val="nil"/>
              <w:bottom w:val="double" w:sz="4" w:space="0" w:color="000000" w:themeColor="text1"/>
              <w:right w:val="nil"/>
            </w:tcBorders>
            <w:noWrap/>
            <w:vAlign w:val="bottom"/>
            <w:hideMark/>
          </w:tcPr>
          <w:p w14:paraId="69C0A11F" w14:textId="77777777" w:rsidR="001B6918" w:rsidRPr="004045CB" w:rsidRDefault="001B6918" w:rsidP="00730ECF">
            <w:pPr>
              <w:jc w:val="right"/>
              <w:rPr>
                <w:rFonts w:eastAsia="Times New Roman" w:cstheme="minorHAnsi"/>
                <w:color w:val="FF0000"/>
              </w:rPr>
            </w:pPr>
            <w:r>
              <w:rPr>
                <w:rFonts w:ascii="Calibri" w:hAnsi="Calibri" w:cs="Calibri"/>
              </w:rPr>
              <w:t xml:space="preserve"> $  129,205 </w:t>
            </w:r>
          </w:p>
        </w:tc>
        <w:tc>
          <w:tcPr>
            <w:tcW w:w="1337" w:type="dxa"/>
            <w:tcBorders>
              <w:top w:val="single" w:sz="8" w:space="0" w:color="000000" w:themeColor="text1"/>
              <w:left w:val="nil"/>
              <w:bottom w:val="double" w:sz="4" w:space="0" w:color="000000" w:themeColor="text1"/>
              <w:right w:val="nil"/>
            </w:tcBorders>
            <w:noWrap/>
            <w:vAlign w:val="bottom"/>
            <w:hideMark/>
          </w:tcPr>
          <w:p w14:paraId="1DF20911" w14:textId="77777777" w:rsidR="001B6918" w:rsidRPr="004045CB" w:rsidRDefault="001B6918" w:rsidP="00730ECF">
            <w:pPr>
              <w:jc w:val="right"/>
              <w:rPr>
                <w:rFonts w:eastAsia="Times New Roman" w:cstheme="minorHAnsi"/>
                <w:color w:val="FF0000"/>
              </w:rPr>
            </w:pPr>
            <w:r>
              <w:rPr>
                <w:rFonts w:ascii="Calibri" w:hAnsi="Calibri" w:cs="Calibri"/>
              </w:rPr>
              <w:t xml:space="preserve"> $   14,419 </w:t>
            </w:r>
          </w:p>
        </w:tc>
        <w:tc>
          <w:tcPr>
            <w:tcW w:w="1337" w:type="dxa"/>
            <w:tcBorders>
              <w:top w:val="single" w:sz="8" w:space="0" w:color="000000" w:themeColor="text1"/>
              <w:left w:val="nil"/>
              <w:bottom w:val="double" w:sz="4" w:space="0" w:color="000000" w:themeColor="text1"/>
              <w:right w:val="nil"/>
            </w:tcBorders>
            <w:vAlign w:val="bottom"/>
          </w:tcPr>
          <w:p w14:paraId="69528CBE" w14:textId="77777777" w:rsidR="001B6918" w:rsidRPr="004045CB" w:rsidRDefault="001B6918" w:rsidP="00730ECF">
            <w:pPr>
              <w:jc w:val="right"/>
              <w:rPr>
                <w:rFonts w:eastAsia="Times New Roman" w:cstheme="minorHAnsi"/>
                <w:color w:val="FF0000"/>
              </w:rPr>
            </w:pPr>
            <w:r>
              <w:rPr>
                <w:rFonts w:ascii="Calibri" w:hAnsi="Calibri" w:cs="Calibri"/>
              </w:rPr>
              <w:t xml:space="preserve"> $    4,836 </w:t>
            </w:r>
          </w:p>
        </w:tc>
      </w:tr>
    </w:tbl>
    <w:p w14:paraId="34DBAB30" w14:textId="77777777" w:rsidR="001B6918" w:rsidRPr="004E6649" w:rsidRDefault="001B6918" w:rsidP="001B6918">
      <w:pPr>
        <w:tabs>
          <w:tab w:val="left" w:pos="540"/>
          <w:tab w:val="left" w:pos="630"/>
          <w:tab w:val="left" w:pos="1440"/>
          <w:tab w:val="decimal" w:pos="7020"/>
          <w:tab w:val="decimal" w:pos="9454"/>
        </w:tabs>
        <w:suppressAutoHyphens/>
        <w:spacing w:before="160"/>
        <w:rPr>
          <w:rFonts w:cstheme="minorHAnsi"/>
          <w:spacing w:val="-3"/>
          <w:sz w:val="24"/>
        </w:rPr>
      </w:pPr>
      <w:r w:rsidRPr="004E6649">
        <w:rPr>
          <w:rFonts w:cstheme="minorHAnsi"/>
          <w:spacing w:val="-3"/>
          <w:sz w:val="24"/>
        </w:rPr>
        <w:t>Interest costs related to the revenue bonds for FY2</w:t>
      </w:r>
      <w:r>
        <w:rPr>
          <w:rFonts w:cstheme="minorHAnsi"/>
          <w:spacing w:val="-3"/>
          <w:sz w:val="24"/>
        </w:rPr>
        <w:t>5</w:t>
      </w:r>
      <w:r w:rsidRPr="004E6649">
        <w:rPr>
          <w:rFonts w:cstheme="minorHAnsi"/>
          <w:spacing w:val="-3"/>
          <w:sz w:val="24"/>
        </w:rPr>
        <w:t xml:space="preserve"> and FY2</w:t>
      </w:r>
      <w:r>
        <w:rPr>
          <w:rFonts w:cstheme="minorHAnsi"/>
          <w:spacing w:val="-3"/>
          <w:sz w:val="24"/>
        </w:rPr>
        <w:t>4</w:t>
      </w:r>
      <w:r w:rsidRPr="004E6649">
        <w:rPr>
          <w:rFonts w:cstheme="minorHAnsi"/>
          <w:spacing w:val="-3"/>
          <w:sz w:val="24"/>
        </w:rPr>
        <w:t xml:space="preserve"> were </w:t>
      </w:r>
      <w:r w:rsidRPr="00BC2B2A">
        <w:rPr>
          <w:rFonts w:cstheme="minorHAnsi"/>
          <w:spacing w:val="-3"/>
          <w:sz w:val="24"/>
        </w:rPr>
        <w:t xml:space="preserve">$7,275 </w:t>
      </w:r>
      <w:r w:rsidRPr="004E6649">
        <w:rPr>
          <w:rFonts w:cstheme="minorHAnsi"/>
          <w:spacing w:val="-3"/>
          <w:sz w:val="24"/>
        </w:rPr>
        <w:t>and $</w:t>
      </w:r>
      <w:r w:rsidRPr="00855597">
        <w:rPr>
          <w:rFonts w:cstheme="minorHAnsi"/>
          <w:spacing w:val="-3"/>
          <w:sz w:val="24"/>
        </w:rPr>
        <w:t>7,697</w:t>
      </w:r>
      <w:r w:rsidRPr="004E6649">
        <w:rPr>
          <w:rFonts w:cstheme="minorHAnsi"/>
          <w:spacing w:val="-3"/>
          <w:sz w:val="24"/>
        </w:rPr>
        <w:t>, respectively.</w:t>
      </w:r>
    </w:p>
    <w:p w14:paraId="6A4320C2" w14:textId="77777777" w:rsidR="001B6918" w:rsidRDefault="001B6918" w:rsidP="001B6918">
      <w:pPr>
        <w:spacing w:after="160" w:line="259" w:lineRule="auto"/>
        <w:rPr>
          <w:rFonts w:eastAsiaTheme="majorEastAsia" w:cstheme="minorHAnsi"/>
          <w:b/>
          <w:i/>
          <w:iCs/>
          <w:smallCaps/>
          <w:noProof/>
          <w:color w:val="000000" w:themeColor="text1"/>
          <w:sz w:val="26"/>
          <w:szCs w:val="26"/>
          <w:u w:color="5B9BD5"/>
        </w:rPr>
      </w:pPr>
      <w:r>
        <w:rPr>
          <w:rFonts w:cstheme="minorHAnsi"/>
          <w:sz w:val="26"/>
          <w:szCs w:val="26"/>
        </w:rPr>
        <w:br w:type="page"/>
      </w:r>
    </w:p>
    <w:p w14:paraId="2C4CA7E4" w14:textId="77777777" w:rsidR="001B6918" w:rsidRPr="009655BC" w:rsidRDefault="001B6918" w:rsidP="001B6918">
      <w:pPr>
        <w:pStyle w:val="AFR2"/>
        <w:pBdr>
          <w:bottom w:val="single" w:sz="8" w:space="1" w:color="0D0D0D" w:themeColor="text1" w:themeTint="F2"/>
        </w:pBdr>
        <w:rPr>
          <w:rFonts w:cstheme="minorHAnsi"/>
          <w:sz w:val="26"/>
          <w:szCs w:val="26"/>
        </w:rPr>
      </w:pPr>
      <w:r w:rsidRPr="009655BC">
        <w:rPr>
          <w:rFonts w:cstheme="minorHAnsi"/>
          <w:sz w:val="26"/>
          <w:szCs w:val="26"/>
        </w:rPr>
        <w:lastRenderedPageBreak/>
        <w:t>8. UNEARNED REVENUE AND DEPOSITS</w:t>
      </w:r>
    </w:p>
    <w:p w14:paraId="13D1A182" w14:textId="77777777" w:rsidR="001B6918" w:rsidRPr="004E6649" w:rsidRDefault="001B6918" w:rsidP="001B6918">
      <w:pPr>
        <w:tabs>
          <w:tab w:val="left" w:pos="1440"/>
          <w:tab w:val="decimal" w:pos="6786"/>
          <w:tab w:val="decimal" w:pos="9187"/>
        </w:tabs>
        <w:suppressAutoHyphens/>
        <w:spacing w:before="120" w:after="240"/>
        <w:rPr>
          <w:rFonts w:cstheme="minorHAnsi"/>
          <w:bCs/>
          <w:spacing w:val="-3"/>
          <w:sz w:val="24"/>
        </w:rPr>
      </w:pPr>
      <w:r w:rsidRPr="004E6649">
        <w:rPr>
          <w:rFonts w:cstheme="minorHAnsi"/>
          <w:bCs/>
          <w:spacing w:val="-3"/>
          <w:sz w:val="24"/>
        </w:rPr>
        <w:t>Unearned revenue and deposits as of June 30 consist of the following:</w:t>
      </w:r>
    </w:p>
    <w:tbl>
      <w:tblPr>
        <w:tblW w:w="9810" w:type="dxa"/>
        <w:jc w:val="center"/>
        <w:tblLayout w:type="fixed"/>
        <w:tblLook w:val="04A0" w:firstRow="1" w:lastRow="0" w:firstColumn="1" w:lastColumn="0" w:noHBand="0" w:noVBand="1"/>
      </w:tblPr>
      <w:tblGrid>
        <w:gridCol w:w="2965"/>
        <w:gridCol w:w="910"/>
        <w:gridCol w:w="895"/>
        <w:gridCol w:w="1260"/>
        <w:gridCol w:w="1217"/>
        <w:gridCol w:w="1303"/>
        <w:gridCol w:w="1260"/>
      </w:tblGrid>
      <w:tr w:rsidR="001B6918" w:rsidRPr="004E6649" w14:paraId="1A538591" w14:textId="77777777" w:rsidTr="00730ECF">
        <w:trPr>
          <w:trHeight w:val="171"/>
          <w:jc w:val="center"/>
        </w:trPr>
        <w:tc>
          <w:tcPr>
            <w:tcW w:w="2965" w:type="dxa"/>
            <w:tcBorders>
              <w:top w:val="nil"/>
              <w:left w:val="nil"/>
              <w:bottom w:val="single" w:sz="12" w:space="0" w:color="000000" w:themeColor="text1"/>
              <w:right w:val="nil"/>
            </w:tcBorders>
            <w:shd w:val="clear" w:color="000000" w:fill="FFFFFF"/>
            <w:noWrap/>
            <w:vAlign w:val="bottom"/>
            <w:hideMark/>
          </w:tcPr>
          <w:p w14:paraId="6C2DBD3C" w14:textId="77777777" w:rsidR="001B6918" w:rsidRPr="004E6649" w:rsidRDefault="001B6918" w:rsidP="00730ECF">
            <w:pPr>
              <w:rPr>
                <w:rFonts w:eastAsia="Times New Roman" w:cstheme="minorHAnsi"/>
                <w:b/>
                <w:bCs/>
                <w:color w:val="0D0D0D"/>
                <w:sz w:val="20"/>
                <w:szCs w:val="20"/>
              </w:rPr>
            </w:pPr>
            <w:r w:rsidRPr="004E6649">
              <w:rPr>
                <w:rFonts w:eastAsia="Times New Roman" w:cstheme="minorHAnsi"/>
                <w:b/>
                <w:bCs/>
                <w:color w:val="0D0D0D"/>
                <w:sz w:val="20"/>
                <w:szCs w:val="20"/>
              </w:rPr>
              <w:t> </w:t>
            </w:r>
          </w:p>
        </w:tc>
        <w:tc>
          <w:tcPr>
            <w:tcW w:w="3065" w:type="dxa"/>
            <w:gridSpan w:val="3"/>
            <w:tcBorders>
              <w:top w:val="nil"/>
              <w:left w:val="nil"/>
              <w:bottom w:val="single" w:sz="12" w:space="0" w:color="000000" w:themeColor="text1"/>
              <w:right w:val="nil"/>
            </w:tcBorders>
            <w:shd w:val="clear" w:color="000000" w:fill="FFFFFF"/>
            <w:noWrap/>
            <w:vAlign w:val="bottom"/>
            <w:hideMark/>
          </w:tcPr>
          <w:p w14:paraId="31C18BCD" w14:textId="77777777" w:rsidR="001B6918" w:rsidRPr="004E6649" w:rsidRDefault="001B6918" w:rsidP="00730ECF">
            <w:pPr>
              <w:jc w:val="center"/>
              <w:rPr>
                <w:rFonts w:eastAsia="Times New Roman" w:cstheme="minorHAnsi"/>
                <w:b/>
                <w:bCs/>
                <w:color w:val="0D0D0D"/>
                <w:sz w:val="20"/>
                <w:szCs w:val="20"/>
              </w:rPr>
            </w:pPr>
            <w:r w:rsidRPr="004E6649">
              <w:rPr>
                <w:rFonts w:eastAsia="Times New Roman" w:cstheme="minorHAnsi"/>
                <w:b/>
                <w:bCs/>
                <w:color w:val="0D0D0D"/>
                <w:sz w:val="20"/>
                <w:szCs w:val="20"/>
              </w:rPr>
              <w:t>202</w:t>
            </w:r>
            <w:r>
              <w:rPr>
                <w:rFonts w:eastAsia="Times New Roman" w:cstheme="minorHAnsi"/>
                <w:b/>
                <w:bCs/>
                <w:color w:val="0D0D0D"/>
                <w:sz w:val="20"/>
                <w:szCs w:val="20"/>
              </w:rPr>
              <w:t>5</w:t>
            </w:r>
          </w:p>
        </w:tc>
        <w:tc>
          <w:tcPr>
            <w:tcW w:w="3780" w:type="dxa"/>
            <w:gridSpan w:val="3"/>
            <w:tcBorders>
              <w:top w:val="nil"/>
              <w:left w:val="nil"/>
              <w:bottom w:val="single" w:sz="12" w:space="0" w:color="000000" w:themeColor="text1"/>
              <w:right w:val="nil"/>
            </w:tcBorders>
            <w:shd w:val="clear" w:color="auto" w:fill="F2F2F2" w:themeFill="background1" w:themeFillShade="F2"/>
            <w:noWrap/>
            <w:vAlign w:val="bottom"/>
            <w:hideMark/>
          </w:tcPr>
          <w:p w14:paraId="691D0B9D" w14:textId="77777777" w:rsidR="001B6918" w:rsidRPr="004E6649" w:rsidRDefault="001B6918" w:rsidP="00730ECF">
            <w:pPr>
              <w:jc w:val="center"/>
              <w:rPr>
                <w:rFonts w:eastAsia="Times New Roman" w:cstheme="minorHAnsi"/>
                <w:b/>
                <w:bCs/>
                <w:color w:val="0D0D0D"/>
                <w:sz w:val="20"/>
                <w:szCs w:val="20"/>
              </w:rPr>
            </w:pPr>
            <w:r>
              <w:rPr>
                <w:rFonts w:eastAsia="Times New Roman" w:cstheme="minorHAnsi"/>
                <w:b/>
                <w:bCs/>
                <w:color w:val="0D0D0D"/>
                <w:sz w:val="20"/>
                <w:szCs w:val="20"/>
              </w:rPr>
              <w:t>2024</w:t>
            </w:r>
          </w:p>
        </w:tc>
      </w:tr>
      <w:tr w:rsidR="001B6918" w:rsidRPr="004E6649" w14:paraId="2F5F3504" w14:textId="77777777" w:rsidTr="00730ECF">
        <w:trPr>
          <w:trHeight w:val="267"/>
          <w:jc w:val="center"/>
        </w:trPr>
        <w:tc>
          <w:tcPr>
            <w:tcW w:w="2965" w:type="dxa"/>
            <w:tcBorders>
              <w:top w:val="single" w:sz="12" w:space="0" w:color="000000" w:themeColor="text1"/>
              <w:left w:val="nil"/>
              <w:bottom w:val="single" w:sz="12" w:space="0" w:color="000000" w:themeColor="text1"/>
              <w:right w:val="nil"/>
            </w:tcBorders>
            <w:shd w:val="clear" w:color="000000" w:fill="FFFFFF"/>
            <w:noWrap/>
            <w:vAlign w:val="bottom"/>
            <w:hideMark/>
          </w:tcPr>
          <w:p w14:paraId="1137C500" w14:textId="77777777" w:rsidR="001B6918" w:rsidRPr="004E6649" w:rsidRDefault="001B6918" w:rsidP="00730ECF">
            <w:pPr>
              <w:rPr>
                <w:rFonts w:eastAsia="Times New Roman" w:cstheme="minorHAnsi"/>
                <w:b/>
                <w:bCs/>
                <w:color w:val="0D0D0D"/>
                <w:sz w:val="20"/>
                <w:szCs w:val="20"/>
              </w:rPr>
            </w:pPr>
            <w:r w:rsidRPr="004E6649">
              <w:rPr>
                <w:rFonts w:eastAsia="Times New Roman" w:cstheme="minorHAnsi"/>
                <w:b/>
                <w:bCs/>
                <w:color w:val="0D0D0D"/>
                <w:sz w:val="20"/>
                <w:szCs w:val="20"/>
              </w:rPr>
              <w:t> </w:t>
            </w:r>
          </w:p>
        </w:tc>
        <w:tc>
          <w:tcPr>
            <w:tcW w:w="910" w:type="dxa"/>
            <w:tcBorders>
              <w:top w:val="single" w:sz="12" w:space="0" w:color="000000" w:themeColor="text1"/>
              <w:left w:val="nil"/>
              <w:bottom w:val="single" w:sz="12" w:space="0" w:color="000000" w:themeColor="text1"/>
              <w:right w:val="nil"/>
            </w:tcBorders>
            <w:shd w:val="clear" w:color="000000" w:fill="FFFFFF"/>
            <w:noWrap/>
            <w:vAlign w:val="bottom"/>
            <w:hideMark/>
          </w:tcPr>
          <w:p w14:paraId="238D42C1" w14:textId="77777777" w:rsidR="001B6918" w:rsidRPr="004E6649" w:rsidRDefault="001B6918" w:rsidP="00730ECF">
            <w:pPr>
              <w:jc w:val="center"/>
              <w:rPr>
                <w:rFonts w:eastAsia="Times New Roman" w:cstheme="minorHAnsi"/>
                <w:b/>
                <w:bCs/>
                <w:color w:val="0D0D0D"/>
                <w:sz w:val="20"/>
                <w:szCs w:val="20"/>
              </w:rPr>
            </w:pPr>
            <w:r w:rsidRPr="004E6649">
              <w:rPr>
                <w:rFonts w:eastAsia="Times New Roman" w:cstheme="minorHAnsi"/>
                <w:b/>
                <w:bCs/>
                <w:color w:val="0D0D0D"/>
                <w:sz w:val="20"/>
                <w:szCs w:val="20"/>
              </w:rPr>
              <w:t>Total</w:t>
            </w:r>
          </w:p>
        </w:tc>
        <w:tc>
          <w:tcPr>
            <w:tcW w:w="895" w:type="dxa"/>
            <w:tcBorders>
              <w:top w:val="single" w:sz="12" w:space="0" w:color="000000" w:themeColor="text1"/>
              <w:left w:val="nil"/>
              <w:bottom w:val="single" w:sz="12" w:space="0" w:color="000000" w:themeColor="text1"/>
              <w:right w:val="nil"/>
            </w:tcBorders>
            <w:shd w:val="clear" w:color="000000" w:fill="FFFFFF"/>
            <w:vAlign w:val="bottom"/>
            <w:hideMark/>
          </w:tcPr>
          <w:p w14:paraId="7D46B0F7" w14:textId="77777777" w:rsidR="001B6918" w:rsidRPr="004E6649" w:rsidRDefault="001B6918" w:rsidP="00730ECF">
            <w:pPr>
              <w:jc w:val="center"/>
              <w:rPr>
                <w:rFonts w:eastAsia="Times New Roman" w:cstheme="minorHAnsi"/>
                <w:b/>
                <w:bCs/>
                <w:color w:val="0D0D0D"/>
                <w:sz w:val="20"/>
                <w:szCs w:val="20"/>
              </w:rPr>
            </w:pPr>
            <w:r w:rsidRPr="004E6649">
              <w:rPr>
                <w:rFonts w:eastAsia="Times New Roman" w:cstheme="minorHAnsi"/>
                <w:b/>
                <w:bCs/>
                <w:color w:val="0D0D0D"/>
                <w:sz w:val="20"/>
                <w:szCs w:val="20"/>
              </w:rPr>
              <w:t>Current</w:t>
            </w:r>
            <w:r>
              <w:rPr>
                <w:rFonts w:eastAsia="Times New Roman" w:cstheme="minorHAnsi"/>
                <w:b/>
                <w:bCs/>
                <w:color w:val="0D0D0D"/>
                <w:sz w:val="20"/>
                <w:szCs w:val="20"/>
              </w:rPr>
              <w:t xml:space="preserve"> </w:t>
            </w:r>
            <w:r w:rsidRPr="004E6649">
              <w:rPr>
                <w:rFonts w:eastAsia="Times New Roman" w:cstheme="minorHAnsi"/>
                <w:b/>
                <w:bCs/>
                <w:color w:val="0D0D0D"/>
                <w:sz w:val="20"/>
                <w:szCs w:val="20"/>
              </w:rPr>
              <w:t>Portion</w:t>
            </w:r>
          </w:p>
        </w:tc>
        <w:tc>
          <w:tcPr>
            <w:tcW w:w="1260" w:type="dxa"/>
            <w:tcBorders>
              <w:top w:val="single" w:sz="12" w:space="0" w:color="000000" w:themeColor="text1"/>
              <w:left w:val="nil"/>
              <w:bottom w:val="single" w:sz="12" w:space="0" w:color="000000" w:themeColor="text1"/>
              <w:right w:val="nil"/>
            </w:tcBorders>
            <w:shd w:val="clear" w:color="000000" w:fill="FFFFFF"/>
            <w:vAlign w:val="bottom"/>
            <w:hideMark/>
          </w:tcPr>
          <w:p w14:paraId="1BFFDF2E" w14:textId="77777777" w:rsidR="001B6918" w:rsidRPr="004E6649" w:rsidRDefault="001B6918" w:rsidP="00730ECF">
            <w:pPr>
              <w:jc w:val="center"/>
              <w:rPr>
                <w:rFonts w:eastAsia="Times New Roman" w:cstheme="minorHAnsi"/>
                <w:b/>
                <w:bCs/>
                <w:color w:val="0D0D0D"/>
                <w:sz w:val="20"/>
                <w:szCs w:val="20"/>
              </w:rPr>
            </w:pPr>
            <w:r w:rsidRPr="004E6649">
              <w:rPr>
                <w:rFonts w:eastAsia="Times New Roman" w:cstheme="minorHAnsi"/>
                <w:b/>
                <w:bCs/>
                <w:color w:val="0D0D0D"/>
                <w:sz w:val="20"/>
                <w:szCs w:val="20"/>
              </w:rPr>
              <w:t>Noncurrent Portion</w:t>
            </w:r>
          </w:p>
        </w:tc>
        <w:tc>
          <w:tcPr>
            <w:tcW w:w="1217" w:type="dxa"/>
            <w:tcBorders>
              <w:top w:val="single" w:sz="12" w:space="0" w:color="000000" w:themeColor="text1"/>
              <w:left w:val="nil"/>
              <w:bottom w:val="single" w:sz="12" w:space="0" w:color="000000" w:themeColor="text1"/>
              <w:right w:val="nil"/>
            </w:tcBorders>
            <w:shd w:val="clear" w:color="auto" w:fill="F2F2F2" w:themeFill="background1" w:themeFillShade="F2"/>
            <w:noWrap/>
            <w:vAlign w:val="bottom"/>
            <w:hideMark/>
          </w:tcPr>
          <w:p w14:paraId="4221AD78" w14:textId="77777777" w:rsidR="001B6918" w:rsidRPr="004E6649" w:rsidRDefault="001B6918" w:rsidP="00730ECF">
            <w:pPr>
              <w:jc w:val="center"/>
              <w:rPr>
                <w:rFonts w:eastAsia="Times New Roman" w:cstheme="minorHAnsi"/>
                <w:b/>
                <w:bCs/>
                <w:color w:val="0D0D0D"/>
                <w:sz w:val="20"/>
                <w:szCs w:val="20"/>
              </w:rPr>
            </w:pPr>
            <w:r w:rsidRPr="004E6649">
              <w:rPr>
                <w:rFonts w:eastAsia="Times New Roman" w:cstheme="minorHAnsi"/>
                <w:b/>
                <w:bCs/>
                <w:color w:val="0D0D0D"/>
                <w:sz w:val="20"/>
                <w:szCs w:val="20"/>
              </w:rPr>
              <w:t>Total</w:t>
            </w:r>
          </w:p>
        </w:tc>
        <w:tc>
          <w:tcPr>
            <w:tcW w:w="1303" w:type="dxa"/>
            <w:tcBorders>
              <w:top w:val="single" w:sz="12" w:space="0" w:color="000000" w:themeColor="text1"/>
              <w:left w:val="nil"/>
              <w:bottom w:val="single" w:sz="12" w:space="0" w:color="000000" w:themeColor="text1"/>
              <w:right w:val="nil"/>
            </w:tcBorders>
            <w:shd w:val="clear" w:color="auto" w:fill="F2F2F2" w:themeFill="background1" w:themeFillShade="F2"/>
            <w:vAlign w:val="bottom"/>
            <w:hideMark/>
          </w:tcPr>
          <w:p w14:paraId="2108B28E" w14:textId="77777777" w:rsidR="001B6918" w:rsidRPr="004E6649" w:rsidRDefault="001B6918" w:rsidP="00730ECF">
            <w:pPr>
              <w:jc w:val="center"/>
              <w:rPr>
                <w:rFonts w:eastAsia="Times New Roman" w:cstheme="minorHAnsi"/>
                <w:b/>
                <w:bCs/>
                <w:color w:val="0D0D0D"/>
                <w:sz w:val="20"/>
                <w:szCs w:val="20"/>
              </w:rPr>
            </w:pPr>
            <w:r w:rsidRPr="004E6649">
              <w:rPr>
                <w:rFonts w:eastAsia="Times New Roman" w:cstheme="minorHAnsi"/>
                <w:b/>
                <w:bCs/>
                <w:color w:val="0D0D0D"/>
                <w:sz w:val="20"/>
                <w:szCs w:val="20"/>
              </w:rPr>
              <w:t>Current</w:t>
            </w:r>
            <w:r>
              <w:rPr>
                <w:rFonts w:eastAsia="Times New Roman" w:cstheme="minorHAnsi"/>
                <w:b/>
                <w:bCs/>
                <w:color w:val="0D0D0D"/>
                <w:sz w:val="20"/>
                <w:szCs w:val="20"/>
              </w:rPr>
              <w:t xml:space="preserve"> </w:t>
            </w:r>
            <w:r w:rsidRPr="004E6649">
              <w:rPr>
                <w:rFonts w:eastAsia="Times New Roman" w:cstheme="minorHAnsi"/>
                <w:b/>
                <w:bCs/>
                <w:color w:val="0D0D0D"/>
                <w:sz w:val="20"/>
                <w:szCs w:val="20"/>
              </w:rPr>
              <w:t>Portion</w:t>
            </w:r>
          </w:p>
        </w:tc>
        <w:tc>
          <w:tcPr>
            <w:tcW w:w="1260" w:type="dxa"/>
            <w:tcBorders>
              <w:top w:val="single" w:sz="12" w:space="0" w:color="000000" w:themeColor="text1"/>
              <w:left w:val="nil"/>
              <w:bottom w:val="single" w:sz="12" w:space="0" w:color="000000" w:themeColor="text1"/>
              <w:right w:val="nil"/>
            </w:tcBorders>
            <w:shd w:val="clear" w:color="auto" w:fill="F2F2F2" w:themeFill="background1" w:themeFillShade="F2"/>
            <w:vAlign w:val="bottom"/>
            <w:hideMark/>
          </w:tcPr>
          <w:p w14:paraId="65B6C2E2" w14:textId="77777777" w:rsidR="001B6918" w:rsidRPr="004E6649" w:rsidRDefault="001B6918" w:rsidP="00730ECF">
            <w:pPr>
              <w:jc w:val="center"/>
              <w:rPr>
                <w:rFonts w:eastAsia="Times New Roman" w:cstheme="minorHAnsi"/>
                <w:b/>
                <w:bCs/>
                <w:color w:val="0D0D0D"/>
                <w:sz w:val="20"/>
                <w:szCs w:val="20"/>
              </w:rPr>
            </w:pPr>
            <w:r w:rsidRPr="004E6649">
              <w:rPr>
                <w:rFonts w:eastAsia="Times New Roman" w:cstheme="minorHAnsi"/>
                <w:b/>
                <w:bCs/>
                <w:color w:val="0D0D0D"/>
                <w:sz w:val="20"/>
                <w:szCs w:val="20"/>
              </w:rPr>
              <w:t>Noncurrent Portion</w:t>
            </w:r>
          </w:p>
        </w:tc>
      </w:tr>
      <w:tr w:rsidR="001B6918" w:rsidRPr="004E6649" w14:paraId="71B083AA" w14:textId="77777777" w:rsidTr="00730ECF">
        <w:trPr>
          <w:trHeight w:val="36"/>
          <w:jc w:val="center"/>
        </w:trPr>
        <w:tc>
          <w:tcPr>
            <w:tcW w:w="2965" w:type="dxa"/>
            <w:tcBorders>
              <w:top w:val="single" w:sz="12" w:space="0" w:color="000000" w:themeColor="text1"/>
              <w:left w:val="nil"/>
              <w:bottom w:val="nil"/>
              <w:right w:val="nil"/>
            </w:tcBorders>
            <w:shd w:val="clear" w:color="000000" w:fill="FFFFFF"/>
            <w:noWrap/>
            <w:vAlign w:val="bottom"/>
            <w:hideMark/>
          </w:tcPr>
          <w:p w14:paraId="728196EB" w14:textId="77777777" w:rsidR="001B6918" w:rsidRPr="004E6649" w:rsidRDefault="001B6918" w:rsidP="00730ECF">
            <w:pPr>
              <w:rPr>
                <w:rFonts w:eastAsia="Times New Roman" w:cstheme="minorHAnsi"/>
                <w:color w:val="0D0D0D"/>
                <w:sz w:val="20"/>
                <w:szCs w:val="20"/>
              </w:rPr>
            </w:pPr>
            <w:r w:rsidRPr="004E6649">
              <w:rPr>
                <w:rFonts w:cstheme="minorHAnsi"/>
                <w:color w:val="000000"/>
                <w:sz w:val="20"/>
                <w:szCs w:val="20"/>
              </w:rPr>
              <w:t>Unearned grant advances</w:t>
            </w:r>
          </w:p>
        </w:tc>
        <w:tc>
          <w:tcPr>
            <w:tcW w:w="910" w:type="dxa"/>
            <w:tcBorders>
              <w:top w:val="nil"/>
              <w:left w:val="nil"/>
              <w:bottom w:val="nil"/>
              <w:right w:val="nil"/>
            </w:tcBorders>
            <w:shd w:val="clear" w:color="000000" w:fill="FFFFFF"/>
            <w:noWrap/>
            <w:vAlign w:val="bottom"/>
            <w:hideMark/>
          </w:tcPr>
          <w:p w14:paraId="7087A59C" w14:textId="77777777" w:rsidR="001B6918" w:rsidRPr="00820F54" w:rsidRDefault="001B6918" w:rsidP="00730ECF">
            <w:pPr>
              <w:jc w:val="right"/>
              <w:rPr>
                <w:sz w:val="20"/>
                <w:szCs w:val="20"/>
              </w:rPr>
            </w:pPr>
            <w:r w:rsidRPr="00820F54">
              <w:rPr>
                <w:sz w:val="20"/>
                <w:szCs w:val="20"/>
              </w:rPr>
              <w:t xml:space="preserve"> $45,229 </w:t>
            </w:r>
          </w:p>
        </w:tc>
        <w:tc>
          <w:tcPr>
            <w:tcW w:w="895" w:type="dxa"/>
            <w:tcBorders>
              <w:top w:val="nil"/>
              <w:left w:val="nil"/>
              <w:bottom w:val="nil"/>
              <w:right w:val="nil"/>
            </w:tcBorders>
            <w:shd w:val="clear" w:color="000000" w:fill="FFFFFF"/>
            <w:noWrap/>
            <w:vAlign w:val="bottom"/>
            <w:hideMark/>
          </w:tcPr>
          <w:p w14:paraId="1EE955C6" w14:textId="77777777" w:rsidR="001B6918" w:rsidRPr="00820F54" w:rsidRDefault="001B6918" w:rsidP="00730ECF">
            <w:pPr>
              <w:jc w:val="right"/>
              <w:rPr>
                <w:sz w:val="20"/>
                <w:szCs w:val="20"/>
              </w:rPr>
            </w:pPr>
            <w:r w:rsidRPr="00820F54">
              <w:rPr>
                <w:sz w:val="20"/>
                <w:szCs w:val="20"/>
              </w:rPr>
              <w:t xml:space="preserve"> $45,229 </w:t>
            </w:r>
          </w:p>
        </w:tc>
        <w:tc>
          <w:tcPr>
            <w:tcW w:w="1260" w:type="dxa"/>
            <w:tcBorders>
              <w:top w:val="nil"/>
              <w:left w:val="nil"/>
              <w:bottom w:val="nil"/>
              <w:right w:val="nil"/>
            </w:tcBorders>
            <w:shd w:val="clear" w:color="000000" w:fill="FFFFFF"/>
            <w:noWrap/>
            <w:vAlign w:val="bottom"/>
            <w:hideMark/>
          </w:tcPr>
          <w:p w14:paraId="788C4965" w14:textId="77777777" w:rsidR="001B6918" w:rsidRPr="00820F54" w:rsidRDefault="001B6918" w:rsidP="00730ECF">
            <w:pPr>
              <w:rPr>
                <w:sz w:val="20"/>
                <w:szCs w:val="20"/>
              </w:rPr>
            </w:pPr>
            <w:r>
              <w:rPr>
                <w:sz w:val="20"/>
                <w:szCs w:val="20"/>
              </w:rPr>
              <w:t xml:space="preserve">   </w:t>
            </w:r>
            <w:r w:rsidRPr="00820F54">
              <w:rPr>
                <w:sz w:val="20"/>
                <w:szCs w:val="20"/>
              </w:rPr>
              <w:t xml:space="preserve">$                - </w:t>
            </w:r>
          </w:p>
        </w:tc>
        <w:tc>
          <w:tcPr>
            <w:tcW w:w="1217" w:type="dxa"/>
            <w:tcBorders>
              <w:top w:val="single" w:sz="12" w:space="0" w:color="000000" w:themeColor="text1"/>
              <w:left w:val="nil"/>
              <w:bottom w:val="nil"/>
              <w:right w:val="nil"/>
            </w:tcBorders>
            <w:shd w:val="clear" w:color="auto" w:fill="F2F2F2" w:themeFill="background1" w:themeFillShade="F2"/>
            <w:noWrap/>
            <w:vAlign w:val="bottom"/>
            <w:hideMark/>
          </w:tcPr>
          <w:p w14:paraId="38E897EF" w14:textId="77777777" w:rsidR="001B6918" w:rsidRPr="004E6649" w:rsidRDefault="001B6918" w:rsidP="00730ECF">
            <w:pPr>
              <w:jc w:val="right"/>
              <w:rPr>
                <w:rFonts w:eastAsia="Times New Roman" w:cstheme="minorHAnsi"/>
                <w:sz w:val="20"/>
                <w:szCs w:val="20"/>
              </w:rPr>
            </w:pPr>
            <w:r w:rsidRPr="00571220">
              <w:rPr>
                <w:sz w:val="20"/>
                <w:szCs w:val="20"/>
              </w:rPr>
              <w:t>$27,614</w:t>
            </w:r>
          </w:p>
        </w:tc>
        <w:tc>
          <w:tcPr>
            <w:tcW w:w="1303" w:type="dxa"/>
            <w:tcBorders>
              <w:top w:val="single" w:sz="12" w:space="0" w:color="000000" w:themeColor="text1"/>
              <w:left w:val="nil"/>
              <w:bottom w:val="nil"/>
              <w:right w:val="nil"/>
            </w:tcBorders>
            <w:shd w:val="clear" w:color="auto" w:fill="F2F2F2" w:themeFill="background1" w:themeFillShade="F2"/>
            <w:noWrap/>
            <w:vAlign w:val="bottom"/>
            <w:hideMark/>
          </w:tcPr>
          <w:p w14:paraId="4E19898F" w14:textId="77777777" w:rsidR="001B6918" w:rsidRPr="004E6649" w:rsidRDefault="001B6918" w:rsidP="00730ECF">
            <w:pPr>
              <w:jc w:val="right"/>
              <w:rPr>
                <w:rFonts w:eastAsia="Times New Roman" w:cstheme="minorHAnsi"/>
                <w:sz w:val="20"/>
                <w:szCs w:val="20"/>
              </w:rPr>
            </w:pPr>
            <w:r w:rsidRPr="00571220">
              <w:rPr>
                <w:sz w:val="20"/>
                <w:szCs w:val="20"/>
              </w:rPr>
              <w:t>$27,614</w:t>
            </w:r>
          </w:p>
        </w:tc>
        <w:tc>
          <w:tcPr>
            <w:tcW w:w="1260" w:type="dxa"/>
            <w:tcBorders>
              <w:top w:val="single" w:sz="12" w:space="0" w:color="000000" w:themeColor="text1"/>
              <w:left w:val="nil"/>
              <w:bottom w:val="nil"/>
              <w:right w:val="nil"/>
            </w:tcBorders>
            <w:shd w:val="clear" w:color="auto" w:fill="F2F2F2" w:themeFill="background1" w:themeFillShade="F2"/>
            <w:noWrap/>
            <w:vAlign w:val="bottom"/>
            <w:hideMark/>
          </w:tcPr>
          <w:p w14:paraId="44BF15B4" w14:textId="77777777" w:rsidR="001B6918" w:rsidRPr="004E6649" w:rsidRDefault="001B6918" w:rsidP="00730ECF">
            <w:pPr>
              <w:jc w:val="right"/>
              <w:rPr>
                <w:rFonts w:eastAsia="Times New Roman" w:cstheme="minorHAnsi"/>
                <w:sz w:val="20"/>
                <w:szCs w:val="20"/>
              </w:rPr>
            </w:pPr>
            <w:r w:rsidRPr="00571220">
              <w:rPr>
                <w:sz w:val="20"/>
                <w:szCs w:val="20"/>
              </w:rPr>
              <w:t>$</w:t>
            </w:r>
            <w:r>
              <w:rPr>
                <w:sz w:val="20"/>
                <w:szCs w:val="20"/>
              </w:rPr>
              <w:t xml:space="preserve">         </w:t>
            </w:r>
            <w:r w:rsidRPr="00571220">
              <w:rPr>
                <w:sz w:val="20"/>
                <w:szCs w:val="20"/>
              </w:rPr>
              <w:t>-</w:t>
            </w:r>
          </w:p>
        </w:tc>
      </w:tr>
      <w:tr w:rsidR="001B6918" w:rsidRPr="004E6649" w14:paraId="622AF258" w14:textId="77777777" w:rsidTr="00730ECF">
        <w:trPr>
          <w:trHeight w:val="66"/>
          <w:jc w:val="center"/>
        </w:trPr>
        <w:tc>
          <w:tcPr>
            <w:tcW w:w="2965" w:type="dxa"/>
            <w:tcBorders>
              <w:top w:val="nil"/>
              <w:left w:val="nil"/>
              <w:bottom w:val="nil"/>
              <w:right w:val="nil"/>
            </w:tcBorders>
            <w:shd w:val="clear" w:color="000000" w:fill="FFFFFF"/>
            <w:noWrap/>
            <w:vAlign w:val="bottom"/>
          </w:tcPr>
          <w:p w14:paraId="1BB7F278" w14:textId="77777777" w:rsidR="001B6918" w:rsidRPr="004E6649" w:rsidRDefault="001B6918" w:rsidP="00730ECF">
            <w:pPr>
              <w:tabs>
                <w:tab w:val="left" w:pos="163"/>
              </w:tabs>
              <w:rPr>
                <w:rFonts w:eastAsia="Times New Roman" w:cstheme="minorHAnsi"/>
                <w:color w:val="0D0D0D"/>
                <w:sz w:val="20"/>
                <w:szCs w:val="20"/>
              </w:rPr>
            </w:pPr>
            <w:r w:rsidRPr="004E6649">
              <w:rPr>
                <w:rFonts w:cstheme="minorHAnsi"/>
                <w:color w:val="000000"/>
                <w:sz w:val="20"/>
                <w:szCs w:val="20"/>
              </w:rPr>
              <w:t>Unearned summer session revenue</w:t>
            </w:r>
          </w:p>
        </w:tc>
        <w:tc>
          <w:tcPr>
            <w:tcW w:w="910" w:type="dxa"/>
            <w:tcBorders>
              <w:top w:val="nil"/>
              <w:left w:val="nil"/>
              <w:bottom w:val="nil"/>
              <w:right w:val="nil"/>
            </w:tcBorders>
            <w:shd w:val="clear" w:color="000000" w:fill="FFFFFF"/>
            <w:noWrap/>
            <w:vAlign w:val="bottom"/>
          </w:tcPr>
          <w:p w14:paraId="7ADD93AC" w14:textId="77777777" w:rsidR="001B6918" w:rsidRPr="00820F54" w:rsidRDefault="001B6918" w:rsidP="00730ECF">
            <w:pPr>
              <w:jc w:val="right"/>
              <w:rPr>
                <w:sz w:val="20"/>
                <w:szCs w:val="20"/>
              </w:rPr>
            </w:pPr>
            <w:r w:rsidRPr="00820F54">
              <w:rPr>
                <w:sz w:val="20"/>
                <w:szCs w:val="20"/>
              </w:rPr>
              <w:t xml:space="preserve">       10,604 </w:t>
            </w:r>
          </w:p>
        </w:tc>
        <w:tc>
          <w:tcPr>
            <w:tcW w:w="895" w:type="dxa"/>
            <w:tcBorders>
              <w:top w:val="nil"/>
              <w:left w:val="nil"/>
              <w:bottom w:val="nil"/>
              <w:right w:val="nil"/>
            </w:tcBorders>
            <w:shd w:val="clear" w:color="000000" w:fill="FFFFFF"/>
            <w:noWrap/>
            <w:vAlign w:val="bottom"/>
          </w:tcPr>
          <w:p w14:paraId="21772286" w14:textId="77777777" w:rsidR="001B6918" w:rsidRPr="00820F54" w:rsidRDefault="001B6918" w:rsidP="00730ECF">
            <w:pPr>
              <w:jc w:val="right"/>
              <w:rPr>
                <w:sz w:val="20"/>
                <w:szCs w:val="20"/>
              </w:rPr>
            </w:pPr>
            <w:r w:rsidRPr="00820F54">
              <w:rPr>
                <w:sz w:val="20"/>
                <w:szCs w:val="20"/>
              </w:rPr>
              <w:t xml:space="preserve">       10,604 </w:t>
            </w:r>
          </w:p>
        </w:tc>
        <w:tc>
          <w:tcPr>
            <w:tcW w:w="1260" w:type="dxa"/>
            <w:tcBorders>
              <w:top w:val="nil"/>
              <w:left w:val="nil"/>
              <w:bottom w:val="nil"/>
              <w:right w:val="nil"/>
            </w:tcBorders>
            <w:shd w:val="clear" w:color="000000" w:fill="FFFFFF"/>
            <w:noWrap/>
            <w:vAlign w:val="bottom"/>
          </w:tcPr>
          <w:p w14:paraId="72743E07" w14:textId="77777777" w:rsidR="001B6918" w:rsidRPr="00820F54" w:rsidRDefault="001B6918" w:rsidP="00730ECF">
            <w:pPr>
              <w:jc w:val="right"/>
              <w:rPr>
                <w:sz w:val="20"/>
                <w:szCs w:val="20"/>
              </w:rPr>
            </w:pPr>
            <w:r w:rsidRPr="00820F54">
              <w:rPr>
                <w:sz w:val="20"/>
                <w:szCs w:val="20"/>
              </w:rPr>
              <w:t xml:space="preserve">                   - </w:t>
            </w:r>
          </w:p>
        </w:tc>
        <w:tc>
          <w:tcPr>
            <w:tcW w:w="1217" w:type="dxa"/>
            <w:tcBorders>
              <w:top w:val="nil"/>
              <w:left w:val="nil"/>
              <w:bottom w:val="nil"/>
              <w:right w:val="nil"/>
            </w:tcBorders>
            <w:shd w:val="clear" w:color="auto" w:fill="F2F2F2" w:themeFill="background1" w:themeFillShade="F2"/>
            <w:noWrap/>
            <w:vAlign w:val="bottom"/>
          </w:tcPr>
          <w:p w14:paraId="707C7A17" w14:textId="77777777" w:rsidR="001B6918" w:rsidRPr="004E6649" w:rsidRDefault="001B6918" w:rsidP="00730ECF">
            <w:pPr>
              <w:jc w:val="right"/>
              <w:rPr>
                <w:rFonts w:eastAsia="Times New Roman" w:cstheme="minorHAnsi"/>
                <w:sz w:val="20"/>
                <w:szCs w:val="20"/>
              </w:rPr>
            </w:pPr>
            <w:r w:rsidRPr="00571220">
              <w:rPr>
                <w:sz w:val="20"/>
                <w:szCs w:val="20"/>
              </w:rPr>
              <w:t>9,880</w:t>
            </w:r>
          </w:p>
        </w:tc>
        <w:tc>
          <w:tcPr>
            <w:tcW w:w="1303" w:type="dxa"/>
            <w:tcBorders>
              <w:top w:val="nil"/>
              <w:left w:val="nil"/>
              <w:bottom w:val="nil"/>
              <w:right w:val="nil"/>
            </w:tcBorders>
            <w:shd w:val="clear" w:color="auto" w:fill="F2F2F2" w:themeFill="background1" w:themeFillShade="F2"/>
            <w:noWrap/>
            <w:vAlign w:val="bottom"/>
          </w:tcPr>
          <w:p w14:paraId="7264C5C1" w14:textId="77777777" w:rsidR="001B6918" w:rsidRPr="004E6649" w:rsidRDefault="001B6918" w:rsidP="00730ECF">
            <w:pPr>
              <w:jc w:val="right"/>
              <w:rPr>
                <w:rFonts w:eastAsia="Times New Roman" w:cstheme="minorHAnsi"/>
                <w:sz w:val="20"/>
                <w:szCs w:val="20"/>
              </w:rPr>
            </w:pPr>
            <w:r w:rsidRPr="00571220">
              <w:rPr>
                <w:sz w:val="20"/>
                <w:szCs w:val="20"/>
              </w:rPr>
              <w:t>9,880</w:t>
            </w:r>
          </w:p>
        </w:tc>
        <w:tc>
          <w:tcPr>
            <w:tcW w:w="1260" w:type="dxa"/>
            <w:tcBorders>
              <w:top w:val="nil"/>
              <w:left w:val="nil"/>
              <w:bottom w:val="nil"/>
              <w:right w:val="nil"/>
            </w:tcBorders>
            <w:shd w:val="clear" w:color="auto" w:fill="F2F2F2" w:themeFill="background1" w:themeFillShade="F2"/>
            <w:noWrap/>
            <w:vAlign w:val="bottom"/>
          </w:tcPr>
          <w:p w14:paraId="1F0371A1" w14:textId="77777777" w:rsidR="001B6918" w:rsidRPr="004E6649" w:rsidRDefault="001B6918" w:rsidP="00730ECF">
            <w:pPr>
              <w:jc w:val="right"/>
              <w:rPr>
                <w:rFonts w:eastAsia="Times New Roman" w:cstheme="minorHAnsi"/>
                <w:sz w:val="20"/>
                <w:szCs w:val="20"/>
              </w:rPr>
            </w:pPr>
            <w:r w:rsidRPr="00571220">
              <w:rPr>
                <w:sz w:val="20"/>
                <w:szCs w:val="20"/>
              </w:rPr>
              <w:t>-</w:t>
            </w:r>
          </w:p>
        </w:tc>
      </w:tr>
      <w:tr w:rsidR="001B6918" w:rsidRPr="004E6649" w14:paraId="0BE4C8BC" w14:textId="77777777" w:rsidTr="00730ECF">
        <w:trPr>
          <w:trHeight w:val="66"/>
          <w:jc w:val="center"/>
        </w:trPr>
        <w:tc>
          <w:tcPr>
            <w:tcW w:w="2965" w:type="dxa"/>
            <w:tcBorders>
              <w:top w:val="nil"/>
              <w:left w:val="nil"/>
              <w:bottom w:val="nil"/>
              <w:right w:val="nil"/>
            </w:tcBorders>
            <w:shd w:val="clear" w:color="000000" w:fill="FFFFFF"/>
            <w:noWrap/>
            <w:vAlign w:val="bottom"/>
          </w:tcPr>
          <w:p w14:paraId="24A01767" w14:textId="77777777" w:rsidR="001B6918" w:rsidRPr="004E6649" w:rsidRDefault="001B6918" w:rsidP="00730ECF">
            <w:pPr>
              <w:rPr>
                <w:rFonts w:eastAsia="Times New Roman" w:cstheme="minorHAnsi"/>
                <w:color w:val="0D0D0D"/>
                <w:sz w:val="20"/>
                <w:szCs w:val="20"/>
              </w:rPr>
            </w:pPr>
            <w:r w:rsidRPr="004E6649">
              <w:rPr>
                <w:rFonts w:cstheme="minorHAnsi"/>
                <w:color w:val="000000"/>
                <w:sz w:val="20"/>
                <w:szCs w:val="20"/>
              </w:rPr>
              <w:t>Student deposits and advance payments</w:t>
            </w:r>
          </w:p>
        </w:tc>
        <w:tc>
          <w:tcPr>
            <w:tcW w:w="910" w:type="dxa"/>
            <w:tcBorders>
              <w:top w:val="nil"/>
              <w:left w:val="nil"/>
              <w:bottom w:val="nil"/>
              <w:right w:val="nil"/>
            </w:tcBorders>
            <w:shd w:val="clear" w:color="000000" w:fill="FFFFFF"/>
            <w:noWrap/>
            <w:vAlign w:val="bottom"/>
          </w:tcPr>
          <w:p w14:paraId="2CAE8071" w14:textId="77777777" w:rsidR="001B6918" w:rsidRPr="00820F54" w:rsidRDefault="001B6918" w:rsidP="00730ECF">
            <w:pPr>
              <w:jc w:val="right"/>
              <w:rPr>
                <w:sz w:val="20"/>
                <w:szCs w:val="20"/>
              </w:rPr>
            </w:pPr>
            <w:r w:rsidRPr="00820F54">
              <w:rPr>
                <w:sz w:val="20"/>
                <w:szCs w:val="20"/>
              </w:rPr>
              <w:t xml:space="preserve">          4,694 </w:t>
            </w:r>
          </w:p>
        </w:tc>
        <w:tc>
          <w:tcPr>
            <w:tcW w:w="895" w:type="dxa"/>
            <w:tcBorders>
              <w:top w:val="nil"/>
              <w:left w:val="nil"/>
              <w:bottom w:val="nil"/>
              <w:right w:val="nil"/>
            </w:tcBorders>
            <w:shd w:val="clear" w:color="000000" w:fill="FFFFFF"/>
            <w:noWrap/>
            <w:vAlign w:val="bottom"/>
          </w:tcPr>
          <w:p w14:paraId="3D824777" w14:textId="77777777" w:rsidR="001B6918" w:rsidRPr="00820F54" w:rsidRDefault="001B6918" w:rsidP="00730ECF">
            <w:pPr>
              <w:jc w:val="right"/>
              <w:rPr>
                <w:sz w:val="20"/>
                <w:szCs w:val="20"/>
              </w:rPr>
            </w:pPr>
            <w:r w:rsidRPr="00820F54">
              <w:rPr>
                <w:sz w:val="20"/>
                <w:szCs w:val="20"/>
              </w:rPr>
              <w:t xml:space="preserve">          4,694 </w:t>
            </w:r>
          </w:p>
        </w:tc>
        <w:tc>
          <w:tcPr>
            <w:tcW w:w="1260" w:type="dxa"/>
            <w:tcBorders>
              <w:top w:val="nil"/>
              <w:left w:val="nil"/>
              <w:bottom w:val="nil"/>
              <w:right w:val="nil"/>
            </w:tcBorders>
            <w:shd w:val="clear" w:color="000000" w:fill="FFFFFF"/>
            <w:noWrap/>
            <w:vAlign w:val="bottom"/>
          </w:tcPr>
          <w:p w14:paraId="49FC86F5" w14:textId="77777777" w:rsidR="001B6918" w:rsidRPr="00820F54" w:rsidRDefault="001B6918" w:rsidP="00730ECF">
            <w:pPr>
              <w:jc w:val="right"/>
              <w:rPr>
                <w:sz w:val="20"/>
                <w:szCs w:val="20"/>
              </w:rPr>
            </w:pPr>
            <w:r w:rsidRPr="00820F54">
              <w:rPr>
                <w:sz w:val="20"/>
                <w:szCs w:val="20"/>
              </w:rPr>
              <w:t xml:space="preserve">                   - </w:t>
            </w:r>
          </w:p>
        </w:tc>
        <w:tc>
          <w:tcPr>
            <w:tcW w:w="1217" w:type="dxa"/>
            <w:tcBorders>
              <w:top w:val="nil"/>
              <w:left w:val="nil"/>
              <w:bottom w:val="nil"/>
              <w:right w:val="nil"/>
            </w:tcBorders>
            <w:shd w:val="clear" w:color="auto" w:fill="F2F2F2" w:themeFill="background1" w:themeFillShade="F2"/>
            <w:noWrap/>
            <w:vAlign w:val="bottom"/>
          </w:tcPr>
          <w:p w14:paraId="77D23FF7" w14:textId="77777777" w:rsidR="001B6918" w:rsidRPr="004E6649" w:rsidRDefault="001B6918" w:rsidP="00730ECF">
            <w:pPr>
              <w:jc w:val="right"/>
              <w:rPr>
                <w:rFonts w:eastAsia="Times New Roman" w:cstheme="minorHAnsi"/>
                <w:sz w:val="20"/>
                <w:szCs w:val="20"/>
              </w:rPr>
            </w:pPr>
            <w:r w:rsidRPr="00571220">
              <w:rPr>
                <w:sz w:val="20"/>
                <w:szCs w:val="20"/>
              </w:rPr>
              <w:t>6,124</w:t>
            </w:r>
          </w:p>
        </w:tc>
        <w:tc>
          <w:tcPr>
            <w:tcW w:w="1303" w:type="dxa"/>
            <w:tcBorders>
              <w:top w:val="nil"/>
              <w:left w:val="nil"/>
              <w:bottom w:val="nil"/>
              <w:right w:val="nil"/>
            </w:tcBorders>
            <w:shd w:val="clear" w:color="auto" w:fill="F2F2F2" w:themeFill="background1" w:themeFillShade="F2"/>
            <w:noWrap/>
            <w:vAlign w:val="bottom"/>
          </w:tcPr>
          <w:p w14:paraId="57ECD433" w14:textId="77777777" w:rsidR="001B6918" w:rsidRPr="004E6649" w:rsidRDefault="001B6918" w:rsidP="00730ECF">
            <w:pPr>
              <w:jc w:val="right"/>
              <w:rPr>
                <w:rFonts w:eastAsia="Times New Roman" w:cstheme="minorHAnsi"/>
                <w:sz w:val="20"/>
                <w:szCs w:val="20"/>
              </w:rPr>
            </w:pPr>
            <w:r w:rsidRPr="00571220">
              <w:rPr>
                <w:sz w:val="20"/>
                <w:szCs w:val="20"/>
              </w:rPr>
              <w:t>6,124</w:t>
            </w:r>
          </w:p>
        </w:tc>
        <w:tc>
          <w:tcPr>
            <w:tcW w:w="1260" w:type="dxa"/>
            <w:tcBorders>
              <w:top w:val="nil"/>
              <w:left w:val="nil"/>
              <w:bottom w:val="nil"/>
              <w:right w:val="nil"/>
            </w:tcBorders>
            <w:shd w:val="clear" w:color="auto" w:fill="F2F2F2" w:themeFill="background1" w:themeFillShade="F2"/>
            <w:noWrap/>
            <w:vAlign w:val="bottom"/>
          </w:tcPr>
          <w:p w14:paraId="339590E7" w14:textId="77777777" w:rsidR="001B6918" w:rsidRPr="004E6649" w:rsidRDefault="001B6918" w:rsidP="00730ECF">
            <w:pPr>
              <w:jc w:val="right"/>
              <w:rPr>
                <w:rFonts w:eastAsia="Times New Roman" w:cstheme="minorHAnsi"/>
                <w:sz w:val="20"/>
                <w:szCs w:val="20"/>
              </w:rPr>
            </w:pPr>
            <w:r w:rsidRPr="00571220">
              <w:rPr>
                <w:sz w:val="20"/>
                <w:szCs w:val="20"/>
              </w:rPr>
              <w:t>-</w:t>
            </w:r>
          </w:p>
        </w:tc>
      </w:tr>
      <w:tr w:rsidR="001B6918" w:rsidRPr="004E6649" w14:paraId="173DAFD4" w14:textId="77777777" w:rsidTr="00730ECF">
        <w:trPr>
          <w:trHeight w:val="66"/>
          <w:jc w:val="center"/>
        </w:trPr>
        <w:tc>
          <w:tcPr>
            <w:tcW w:w="2965" w:type="dxa"/>
            <w:tcBorders>
              <w:top w:val="nil"/>
              <w:left w:val="nil"/>
              <w:bottom w:val="nil"/>
              <w:right w:val="nil"/>
            </w:tcBorders>
            <w:shd w:val="clear" w:color="000000" w:fill="FFFFFF"/>
            <w:noWrap/>
            <w:vAlign w:val="bottom"/>
            <w:hideMark/>
          </w:tcPr>
          <w:p w14:paraId="62F58D77" w14:textId="77777777" w:rsidR="001B6918" w:rsidRPr="004E6649" w:rsidRDefault="001B6918" w:rsidP="00730ECF">
            <w:pPr>
              <w:rPr>
                <w:rFonts w:eastAsia="Times New Roman" w:cstheme="minorHAnsi"/>
                <w:color w:val="0D0D0D"/>
                <w:sz w:val="20"/>
                <w:szCs w:val="20"/>
              </w:rPr>
            </w:pPr>
            <w:r w:rsidRPr="004E6649">
              <w:rPr>
                <w:rFonts w:cstheme="minorHAnsi"/>
                <w:color w:val="000000"/>
                <w:sz w:val="20"/>
                <w:szCs w:val="20"/>
              </w:rPr>
              <w:t>Funds Held for Others</w:t>
            </w:r>
          </w:p>
        </w:tc>
        <w:tc>
          <w:tcPr>
            <w:tcW w:w="910" w:type="dxa"/>
            <w:tcBorders>
              <w:top w:val="nil"/>
              <w:left w:val="nil"/>
              <w:bottom w:val="nil"/>
              <w:right w:val="nil"/>
            </w:tcBorders>
            <w:shd w:val="clear" w:color="000000" w:fill="FFFFFF"/>
            <w:noWrap/>
            <w:vAlign w:val="bottom"/>
            <w:hideMark/>
          </w:tcPr>
          <w:p w14:paraId="0140FEC7" w14:textId="77777777" w:rsidR="001B6918" w:rsidRPr="00820F54" w:rsidRDefault="001B6918" w:rsidP="00730ECF">
            <w:pPr>
              <w:jc w:val="right"/>
              <w:rPr>
                <w:sz w:val="20"/>
                <w:szCs w:val="20"/>
              </w:rPr>
            </w:pPr>
            <w:r w:rsidRPr="00820F54">
              <w:rPr>
                <w:sz w:val="20"/>
                <w:szCs w:val="20"/>
              </w:rPr>
              <w:t xml:space="preserve">       398 </w:t>
            </w:r>
          </w:p>
        </w:tc>
        <w:tc>
          <w:tcPr>
            <w:tcW w:w="895" w:type="dxa"/>
            <w:tcBorders>
              <w:top w:val="nil"/>
              <w:left w:val="nil"/>
              <w:bottom w:val="nil"/>
              <w:right w:val="nil"/>
            </w:tcBorders>
            <w:shd w:val="clear" w:color="000000" w:fill="FFFFFF"/>
            <w:noWrap/>
            <w:vAlign w:val="bottom"/>
            <w:hideMark/>
          </w:tcPr>
          <w:p w14:paraId="357AC507" w14:textId="77777777" w:rsidR="001B6918" w:rsidRPr="00820F54" w:rsidRDefault="001B6918" w:rsidP="00730ECF">
            <w:pPr>
              <w:jc w:val="right"/>
              <w:rPr>
                <w:sz w:val="20"/>
                <w:szCs w:val="20"/>
              </w:rPr>
            </w:pPr>
            <w:r w:rsidRPr="00820F54">
              <w:rPr>
                <w:sz w:val="20"/>
                <w:szCs w:val="20"/>
              </w:rPr>
              <w:t xml:space="preserve">        301 </w:t>
            </w:r>
          </w:p>
        </w:tc>
        <w:tc>
          <w:tcPr>
            <w:tcW w:w="1260" w:type="dxa"/>
            <w:tcBorders>
              <w:top w:val="nil"/>
              <w:left w:val="nil"/>
              <w:bottom w:val="nil"/>
              <w:right w:val="nil"/>
            </w:tcBorders>
            <w:shd w:val="clear" w:color="000000" w:fill="FFFFFF"/>
            <w:noWrap/>
            <w:vAlign w:val="bottom"/>
            <w:hideMark/>
          </w:tcPr>
          <w:p w14:paraId="41E561E1" w14:textId="77777777" w:rsidR="001B6918" w:rsidRPr="00820F54" w:rsidRDefault="001B6918" w:rsidP="00730ECF">
            <w:pPr>
              <w:jc w:val="right"/>
              <w:rPr>
                <w:sz w:val="20"/>
                <w:szCs w:val="20"/>
              </w:rPr>
            </w:pPr>
            <w:r w:rsidRPr="00820F54">
              <w:rPr>
                <w:sz w:val="20"/>
                <w:szCs w:val="20"/>
              </w:rPr>
              <w:t xml:space="preserve">                97 </w:t>
            </w:r>
          </w:p>
        </w:tc>
        <w:tc>
          <w:tcPr>
            <w:tcW w:w="1217" w:type="dxa"/>
            <w:tcBorders>
              <w:top w:val="nil"/>
              <w:left w:val="nil"/>
              <w:bottom w:val="nil"/>
              <w:right w:val="nil"/>
            </w:tcBorders>
            <w:shd w:val="clear" w:color="auto" w:fill="F2F2F2" w:themeFill="background1" w:themeFillShade="F2"/>
            <w:noWrap/>
            <w:vAlign w:val="bottom"/>
            <w:hideMark/>
          </w:tcPr>
          <w:p w14:paraId="17E8CCDB" w14:textId="77777777" w:rsidR="001B6918" w:rsidRPr="004E6649" w:rsidRDefault="001B6918" w:rsidP="00730ECF">
            <w:pPr>
              <w:jc w:val="right"/>
              <w:rPr>
                <w:rFonts w:eastAsia="Times New Roman" w:cstheme="minorHAnsi"/>
                <w:sz w:val="20"/>
                <w:szCs w:val="20"/>
              </w:rPr>
            </w:pPr>
            <w:r w:rsidRPr="00571220">
              <w:rPr>
                <w:sz w:val="20"/>
                <w:szCs w:val="20"/>
              </w:rPr>
              <w:t>636</w:t>
            </w:r>
          </w:p>
        </w:tc>
        <w:tc>
          <w:tcPr>
            <w:tcW w:w="1303" w:type="dxa"/>
            <w:tcBorders>
              <w:top w:val="nil"/>
              <w:left w:val="nil"/>
              <w:bottom w:val="nil"/>
              <w:right w:val="nil"/>
            </w:tcBorders>
            <w:shd w:val="clear" w:color="auto" w:fill="F2F2F2" w:themeFill="background1" w:themeFillShade="F2"/>
            <w:noWrap/>
            <w:vAlign w:val="bottom"/>
            <w:hideMark/>
          </w:tcPr>
          <w:p w14:paraId="5907B869" w14:textId="77777777" w:rsidR="001B6918" w:rsidRPr="004E6649" w:rsidRDefault="001B6918" w:rsidP="00730ECF">
            <w:pPr>
              <w:jc w:val="right"/>
              <w:rPr>
                <w:rFonts w:eastAsia="Times New Roman" w:cstheme="minorHAnsi"/>
                <w:sz w:val="20"/>
                <w:szCs w:val="20"/>
              </w:rPr>
            </w:pPr>
            <w:r w:rsidRPr="00571220">
              <w:rPr>
                <w:sz w:val="20"/>
                <w:szCs w:val="20"/>
              </w:rPr>
              <w:t>488</w:t>
            </w:r>
          </w:p>
        </w:tc>
        <w:tc>
          <w:tcPr>
            <w:tcW w:w="1260" w:type="dxa"/>
            <w:tcBorders>
              <w:top w:val="nil"/>
              <w:left w:val="nil"/>
              <w:bottom w:val="nil"/>
              <w:right w:val="nil"/>
            </w:tcBorders>
            <w:shd w:val="clear" w:color="auto" w:fill="F2F2F2" w:themeFill="background1" w:themeFillShade="F2"/>
            <w:noWrap/>
            <w:vAlign w:val="bottom"/>
            <w:hideMark/>
          </w:tcPr>
          <w:p w14:paraId="183A7F98" w14:textId="77777777" w:rsidR="001B6918" w:rsidRPr="004E6649" w:rsidRDefault="001B6918" w:rsidP="00730ECF">
            <w:pPr>
              <w:jc w:val="right"/>
              <w:rPr>
                <w:rFonts w:eastAsia="Times New Roman" w:cstheme="minorHAnsi"/>
                <w:sz w:val="20"/>
                <w:szCs w:val="20"/>
              </w:rPr>
            </w:pPr>
            <w:r w:rsidRPr="00571220">
              <w:rPr>
                <w:sz w:val="20"/>
                <w:szCs w:val="20"/>
              </w:rPr>
              <w:t>148</w:t>
            </w:r>
          </w:p>
        </w:tc>
      </w:tr>
      <w:tr w:rsidR="001B6918" w:rsidRPr="004E6649" w14:paraId="7ED0EB20" w14:textId="77777777" w:rsidTr="00730ECF">
        <w:trPr>
          <w:trHeight w:val="66"/>
          <w:jc w:val="center"/>
        </w:trPr>
        <w:tc>
          <w:tcPr>
            <w:tcW w:w="2965" w:type="dxa"/>
            <w:tcBorders>
              <w:top w:val="nil"/>
              <w:left w:val="nil"/>
              <w:bottom w:val="nil"/>
              <w:right w:val="nil"/>
            </w:tcBorders>
            <w:shd w:val="clear" w:color="000000" w:fill="FFFFFF"/>
            <w:noWrap/>
            <w:vAlign w:val="bottom"/>
            <w:hideMark/>
          </w:tcPr>
          <w:p w14:paraId="348F280A" w14:textId="77777777" w:rsidR="001B6918" w:rsidRPr="004E6649" w:rsidRDefault="001B6918" w:rsidP="00730ECF">
            <w:pPr>
              <w:rPr>
                <w:rFonts w:eastAsia="Times New Roman" w:cstheme="minorHAnsi"/>
                <w:color w:val="0D0D0D"/>
                <w:sz w:val="20"/>
                <w:szCs w:val="20"/>
              </w:rPr>
            </w:pPr>
            <w:r w:rsidRPr="004E6649">
              <w:rPr>
                <w:rFonts w:cstheme="minorHAnsi"/>
                <w:color w:val="000000"/>
                <w:sz w:val="20"/>
                <w:szCs w:val="20"/>
              </w:rPr>
              <w:t>Unearned revenue, dining</w:t>
            </w:r>
          </w:p>
        </w:tc>
        <w:tc>
          <w:tcPr>
            <w:tcW w:w="910" w:type="dxa"/>
            <w:tcBorders>
              <w:top w:val="nil"/>
              <w:left w:val="nil"/>
              <w:bottom w:val="nil"/>
              <w:right w:val="nil"/>
            </w:tcBorders>
            <w:shd w:val="clear" w:color="000000" w:fill="FFFFFF"/>
            <w:noWrap/>
            <w:vAlign w:val="bottom"/>
            <w:hideMark/>
          </w:tcPr>
          <w:p w14:paraId="72FFE12B" w14:textId="77777777" w:rsidR="001B6918" w:rsidRPr="00820F54" w:rsidRDefault="001B6918" w:rsidP="00730ECF">
            <w:pPr>
              <w:rPr>
                <w:sz w:val="20"/>
                <w:szCs w:val="20"/>
              </w:rPr>
            </w:pPr>
            <w:r>
              <w:rPr>
                <w:sz w:val="20"/>
                <w:szCs w:val="20"/>
              </w:rPr>
              <w:t xml:space="preserve">   </w:t>
            </w:r>
            <w:r w:rsidRPr="00820F54">
              <w:rPr>
                <w:sz w:val="20"/>
                <w:szCs w:val="20"/>
              </w:rPr>
              <w:t xml:space="preserve">11,393 </w:t>
            </w:r>
          </w:p>
        </w:tc>
        <w:tc>
          <w:tcPr>
            <w:tcW w:w="895" w:type="dxa"/>
            <w:tcBorders>
              <w:top w:val="nil"/>
              <w:left w:val="nil"/>
              <w:bottom w:val="nil"/>
              <w:right w:val="nil"/>
            </w:tcBorders>
            <w:shd w:val="clear" w:color="000000" w:fill="FFFFFF"/>
            <w:noWrap/>
            <w:vAlign w:val="bottom"/>
            <w:hideMark/>
          </w:tcPr>
          <w:p w14:paraId="5D6E3125" w14:textId="77777777" w:rsidR="001B6918" w:rsidRPr="00820F54" w:rsidRDefault="001B6918" w:rsidP="00730ECF">
            <w:pPr>
              <w:jc w:val="right"/>
              <w:rPr>
                <w:sz w:val="20"/>
                <w:szCs w:val="20"/>
              </w:rPr>
            </w:pPr>
            <w:r w:rsidRPr="00820F54">
              <w:rPr>
                <w:sz w:val="20"/>
                <w:szCs w:val="20"/>
              </w:rPr>
              <w:t xml:space="preserve">  1,899 </w:t>
            </w:r>
          </w:p>
        </w:tc>
        <w:tc>
          <w:tcPr>
            <w:tcW w:w="1260" w:type="dxa"/>
            <w:tcBorders>
              <w:top w:val="nil"/>
              <w:left w:val="nil"/>
              <w:bottom w:val="nil"/>
              <w:right w:val="nil"/>
            </w:tcBorders>
            <w:shd w:val="clear" w:color="000000" w:fill="FFFFFF"/>
            <w:noWrap/>
            <w:vAlign w:val="bottom"/>
            <w:hideMark/>
          </w:tcPr>
          <w:p w14:paraId="67604276" w14:textId="77777777" w:rsidR="001B6918" w:rsidRPr="00820F54" w:rsidRDefault="001B6918" w:rsidP="00730ECF">
            <w:pPr>
              <w:jc w:val="right"/>
              <w:rPr>
                <w:sz w:val="20"/>
                <w:szCs w:val="20"/>
              </w:rPr>
            </w:pPr>
            <w:r w:rsidRPr="00820F54">
              <w:rPr>
                <w:sz w:val="20"/>
                <w:szCs w:val="20"/>
              </w:rPr>
              <w:t xml:space="preserve">      9,494 </w:t>
            </w:r>
          </w:p>
        </w:tc>
        <w:tc>
          <w:tcPr>
            <w:tcW w:w="1217" w:type="dxa"/>
            <w:tcBorders>
              <w:top w:val="nil"/>
              <w:left w:val="nil"/>
              <w:bottom w:val="nil"/>
              <w:right w:val="nil"/>
            </w:tcBorders>
            <w:shd w:val="clear" w:color="auto" w:fill="F2F2F2" w:themeFill="background1" w:themeFillShade="F2"/>
            <w:noWrap/>
            <w:vAlign w:val="bottom"/>
            <w:hideMark/>
          </w:tcPr>
          <w:p w14:paraId="72E2A9E4" w14:textId="77777777" w:rsidR="001B6918" w:rsidRPr="004E6649" w:rsidRDefault="001B6918" w:rsidP="00730ECF">
            <w:pPr>
              <w:jc w:val="right"/>
              <w:rPr>
                <w:rFonts w:eastAsia="Times New Roman" w:cstheme="minorHAnsi"/>
                <w:sz w:val="20"/>
                <w:szCs w:val="20"/>
              </w:rPr>
            </w:pPr>
            <w:r w:rsidRPr="00571220">
              <w:rPr>
                <w:sz w:val="20"/>
                <w:szCs w:val="20"/>
              </w:rPr>
              <w:t>9,885</w:t>
            </w:r>
          </w:p>
        </w:tc>
        <w:tc>
          <w:tcPr>
            <w:tcW w:w="1303" w:type="dxa"/>
            <w:tcBorders>
              <w:top w:val="nil"/>
              <w:left w:val="nil"/>
              <w:bottom w:val="nil"/>
              <w:right w:val="nil"/>
            </w:tcBorders>
            <w:shd w:val="clear" w:color="auto" w:fill="F2F2F2" w:themeFill="background1" w:themeFillShade="F2"/>
            <w:noWrap/>
            <w:vAlign w:val="bottom"/>
            <w:hideMark/>
          </w:tcPr>
          <w:p w14:paraId="7C9C87C9" w14:textId="77777777" w:rsidR="001B6918" w:rsidRPr="004E6649" w:rsidRDefault="001B6918" w:rsidP="00730ECF">
            <w:pPr>
              <w:jc w:val="right"/>
              <w:rPr>
                <w:rFonts w:eastAsia="Times New Roman" w:cstheme="minorHAnsi"/>
                <w:sz w:val="20"/>
                <w:szCs w:val="20"/>
              </w:rPr>
            </w:pPr>
            <w:r w:rsidRPr="00571220">
              <w:rPr>
                <w:sz w:val="20"/>
                <w:szCs w:val="20"/>
              </w:rPr>
              <w:t>1,412</w:t>
            </w:r>
          </w:p>
        </w:tc>
        <w:tc>
          <w:tcPr>
            <w:tcW w:w="1260" w:type="dxa"/>
            <w:tcBorders>
              <w:top w:val="nil"/>
              <w:left w:val="nil"/>
              <w:bottom w:val="nil"/>
              <w:right w:val="nil"/>
            </w:tcBorders>
            <w:shd w:val="clear" w:color="auto" w:fill="F2F2F2" w:themeFill="background1" w:themeFillShade="F2"/>
            <w:noWrap/>
            <w:vAlign w:val="bottom"/>
            <w:hideMark/>
          </w:tcPr>
          <w:p w14:paraId="1C1222E2" w14:textId="77777777" w:rsidR="001B6918" w:rsidRPr="004E6649" w:rsidRDefault="001B6918" w:rsidP="00730ECF">
            <w:pPr>
              <w:jc w:val="right"/>
              <w:rPr>
                <w:rFonts w:eastAsia="Times New Roman" w:cstheme="minorHAnsi"/>
                <w:sz w:val="20"/>
                <w:szCs w:val="20"/>
              </w:rPr>
            </w:pPr>
            <w:r w:rsidRPr="00571220">
              <w:rPr>
                <w:sz w:val="20"/>
                <w:szCs w:val="20"/>
              </w:rPr>
              <w:t>8,473</w:t>
            </w:r>
          </w:p>
        </w:tc>
      </w:tr>
      <w:tr w:rsidR="001B6918" w:rsidRPr="004E6649" w14:paraId="4C6C9DBA" w14:textId="77777777" w:rsidTr="00730ECF">
        <w:trPr>
          <w:trHeight w:val="66"/>
          <w:jc w:val="center"/>
        </w:trPr>
        <w:tc>
          <w:tcPr>
            <w:tcW w:w="2965" w:type="dxa"/>
            <w:tcBorders>
              <w:top w:val="nil"/>
              <w:left w:val="nil"/>
              <w:bottom w:val="single" w:sz="8" w:space="0" w:color="000000" w:themeColor="text1"/>
              <w:right w:val="nil"/>
            </w:tcBorders>
            <w:shd w:val="clear" w:color="000000" w:fill="FFFFFF"/>
            <w:noWrap/>
            <w:vAlign w:val="bottom"/>
          </w:tcPr>
          <w:p w14:paraId="2FD91F37" w14:textId="77777777" w:rsidR="001B6918" w:rsidRPr="004E6649" w:rsidRDefault="001B6918" w:rsidP="00730ECF">
            <w:pPr>
              <w:rPr>
                <w:rFonts w:cstheme="minorHAnsi"/>
                <w:color w:val="000000"/>
                <w:sz w:val="20"/>
                <w:szCs w:val="20"/>
              </w:rPr>
            </w:pPr>
            <w:r w:rsidRPr="004E6649">
              <w:rPr>
                <w:rFonts w:cstheme="minorHAnsi"/>
                <w:color w:val="000000"/>
                <w:sz w:val="20"/>
                <w:szCs w:val="20"/>
              </w:rPr>
              <w:t>Other unearned revenue and deposits</w:t>
            </w:r>
          </w:p>
        </w:tc>
        <w:tc>
          <w:tcPr>
            <w:tcW w:w="910" w:type="dxa"/>
            <w:tcBorders>
              <w:top w:val="nil"/>
              <w:left w:val="nil"/>
              <w:bottom w:val="single" w:sz="4" w:space="0" w:color="00688D"/>
              <w:right w:val="nil"/>
            </w:tcBorders>
            <w:shd w:val="clear" w:color="000000" w:fill="FFFFFF"/>
            <w:noWrap/>
            <w:vAlign w:val="bottom"/>
          </w:tcPr>
          <w:p w14:paraId="378F4CBC" w14:textId="77777777" w:rsidR="001B6918" w:rsidRPr="00820F54" w:rsidRDefault="001B6918" w:rsidP="00730ECF">
            <w:pPr>
              <w:jc w:val="right"/>
              <w:rPr>
                <w:sz w:val="20"/>
                <w:szCs w:val="20"/>
              </w:rPr>
            </w:pPr>
            <w:r w:rsidRPr="00820F54">
              <w:rPr>
                <w:sz w:val="20"/>
                <w:szCs w:val="20"/>
              </w:rPr>
              <w:t xml:space="preserve">          2,720 </w:t>
            </w:r>
          </w:p>
        </w:tc>
        <w:tc>
          <w:tcPr>
            <w:tcW w:w="895" w:type="dxa"/>
            <w:tcBorders>
              <w:top w:val="nil"/>
              <w:left w:val="nil"/>
              <w:bottom w:val="single" w:sz="4" w:space="0" w:color="00688D"/>
              <w:right w:val="nil"/>
            </w:tcBorders>
            <w:shd w:val="clear" w:color="000000" w:fill="FFFFFF"/>
            <w:noWrap/>
            <w:vAlign w:val="bottom"/>
          </w:tcPr>
          <w:p w14:paraId="0F7F9447" w14:textId="77777777" w:rsidR="001B6918" w:rsidRPr="00820F54" w:rsidRDefault="001B6918" w:rsidP="00730ECF">
            <w:pPr>
              <w:jc w:val="right"/>
              <w:rPr>
                <w:sz w:val="20"/>
                <w:szCs w:val="20"/>
              </w:rPr>
            </w:pPr>
            <w:r w:rsidRPr="00820F54">
              <w:rPr>
                <w:sz w:val="20"/>
                <w:szCs w:val="20"/>
              </w:rPr>
              <w:t xml:space="preserve">                 2 </w:t>
            </w:r>
          </w:p>
        </w:tc>
        <w:tc>
          <w:tcPr>
            <w:tcW w:w="1260" w:type="dxa"/>
            <w:tcBorders>
              <w:top w:val="nil"/>
              <w:left w:val="nil"/>
              <w:bottom w:val="single" w:sz="4" w:space="0" w:color="00688D"/>
              <w:right w:val="nil"/>
            </w:tcBorders>
            <w:shd w:val="clear" w:color="000000" w:fill="FFFFFF"/>
            <w:noWrap/>
            <w:vAlign w:val="bottom"/>
          </w:tcPr>
          <w:p w14:paraId="2C682250" w14:textId="77777777" w:rsidR="001B6918" w:rsidRPr="00820F54" w:rsidRDefault="001B6918" w:rsidP="00730ECF">
            <w:pPr>
              <w:jc w:val="right"/>
              <w:rPr>
                <w:sz w:val="20"/>
                <w:szCs w:val="20"/>
              </w:rPr>
            </w:pPr>
            <w:r w:rsidRPr="00820F54">
              <w:rPr>
                <w:sz w:val="20"/>
                <w:szCs w:val="20"/>
              </w:rPr>
              <w:t xml:space="preserve">           2,718 </w:t>
            </w:r>
          </w:p>
        </w:tc>
        <w:tc>
          <w:tcPr>
            <w:tcW w:w="1217" w:type="dxa"/>
            <w:tcBorders>
              <w:top w:val="nil"/>
              <w:left w:val="nil"/>
              <w:bottom w:val="single" w:sz="8" w:space="0" w:color="000000" w:themeColor="text1"/>
              <w:right w:val="nil"/>
            </w:tcBorders>
            <w:shd w:val="clear" w:color="auto" w:fill="F2F2F2" w:themeFill="background1" w:themeFillShade="F2"/>
            <w:noWrap/>
            <w:vAlign w:val="bottom"/>
          </w:tcPr>
          <w:p w14:paraId="31F92B95" w14:textId="77777777" w:rsidR="001B6918" w:rsidRDefault="001B6918" w:rsidP="00730ECF">
            <w:pPr>
              <w:jc w:val="right"/>
              <w:rPr>
                <w:sz w:val="20"/>
                <w:szCs w:val="20"/>
              </w:rPr>
            </w:pPr>
          </w:p>
          <w:p w14:paraId="3F09C8C6" w14:textId="77777777" w:rsidR="001B6918" w:rsidRPr="004E6649" w:rsidRDefault="001B6918" w:rsidP="00730ECF">
            <w:pPr>
              <w:jc w:val="right"/>
              <w:rPr>
                <w:rFonts w:cstheme="minorHAnsi"/>
                <w:sz w:val="20"/>
                <w:szCs w:val="20"/>
              </w:rPr>
            </w:pPr>
            <w:r w:rsidRPr="00571220">
              <w:rPr>
                <w:sz w:val="20"/>
                <w:szCs w:val="20"/>
              </w:rPr>
              <w:t>4,213</w:t>
            </w:r>
          </w:p>
        </w:tc>
        <w:tc>
          <w:tcPr>
            <w:tcW w:w="1303" w:type="dxa"/>
            <w:tcBorders>
              <w:top w:val="nil"/>
              <w:left w:val="nil"/>
              <w:bottom w:val="single" w:sz="8" w:space="0" w:color="000000" w:themeColor="text1"/>
              <w:right w:val="nil"/>
            </w:tcBorders>
            <w:shd w:val="clear" w:color="auto" w:fill="F2F2F2" w:themeFill="background1" w:themeFillShade="F2"/>
            <w:noWrap/>
            <w:vAlign w:val="bottom"/>
          </w:tcPr>
          <w:p w14:paraId="75681F01" w14:textId="77777777" w:rsidR="001B6918" w:rsidRDefault="001B6918" w:rsidP="00730ECF">
            <w:pPr>
              <w:jc w:val="right"/>
              <w:rPr>
                <w:sz w:val="20"/>
                <w:szCs w:val="20"/>
              </w:rPr>
            </w:pPr>
          </w:p>
          <w:p w14:paraId="367A69B7" w14:textId="77777777" w:rsidR="001B6918" w:rsidRPr="004E6649" w:rsidRDefault="001B6918" w:rsidP="00730ECF">
            <w:pPr>
              <w:jc w:val="right"/>
              <w:rPr>
                <w:rFonts w:cstheme="minorHAnsi"/>
                <w:sz w:val="20"/>
                <w:szCs w:val="20"/>
              </w:rPr>
            </w:pPr>
            <w:r w:rsidRPr="00571220">
              <w:rPr>
                <w:sz w:val="20"/>
                <w:szCs w:val="20"/>
              </w:rPr>
              <w:t>2,316</w:t>
            </w:r>
          </w:p>
        </w:tc>
        <w:tc>
          <w:tcPr>
            <w:tcW w:w="1260" w:type="dxa"/>
            <w:tcBorders>
              <w:top w:val="nil"/>
              <w:left w:val="nil"/>
              <w:bottom w:val="single" w:sz="8" w:space="0" w:color="000000" w:themeColor="text1"/>
              <w:right w:val="nil"/>
            </w:tcBorders>
            <w:shd w:val="clear" w:color="auto" w:fill="F2F2F2" w:themeFill="background1" w:themeFillShade="F2"/>
            <w:noWrap/>
            <w:vAlign w:val="bottom"/>
          </w:tcPr>
          <w:p w14:paraId="1136712B" w14:textId="77777777" w:rsidR="001B6918" w:rsidRDefault="001B6918" w:rsidP="00730ECF">
            <w:pPr>
              <w:jc w:val="right"/>
              <w:rPr>
                <w:sz w:val="20"/>
                <w:szCs w:val="20"/>
              </w:rPr>
            </w:pPr>
          </w:p>
          <w:p w14:paraId="70A0305F" w14:textId="77777777" w:rsidR="001B6918" w:rsidRPr="004E6649" w:rsidRDefault="001B6918" w:rsidP="00730ECF">
            <w:pPr>
              <w:jc w:val="right"/>
              <w:rPr>
                <w:rFonts w:cstheme="minorHAnsi"/>
                <w:sz w:val="20"/>
                <w:szCs w:val="20"/>
              </w:rPr>
            </w:pPr>
            <w:r w:rsidRPr="00571220">
              <w:rPr>
                <w:sz w:val="20"/>
                <w:szCs w:val="20"/>
              </w:rPr>
              <w:t>1,897</w:t>
            </w:r>
          </w:p>
        </w:tc>
      </w:tr>
      <w:tr w:rsidR="001B6918" w:rsidRPr="004E6649" w14:paraId="54AD73FD" w14:textId="77777777" w:rsidTr="00730ECF">
        <w:trPr>
          <w:trHeight w:val="46"/>
          <w:jc w:val="center"/>
        </w:trPr>
        <w:tc>
          <w:tcPr>
            <w:tcW w:w="2965" w:type="dxa"/>
            <w:tcBorders>
              <w:top w:val="single" w:sz="8" w:space="0" w:color="000000" w:themeColor="text1"/>
              <w:left w:val="nil"/>
              <w:bottom w:val="double" w:sz="4" w:space="0" w:color="000000" w:themeColor="text1"/>
              <w:right w:val="nil"/>
            </w:tcBorders>
            <w:shd w:val="clear" w:color="000000" w:fill="FFFFFF"/>
            <w:noWrap/>
            <w:vAlign w:val="bottom"/>
            <w:hideMark/>
          </w:tcPr>
          <w:p w14:paraId="7DEBD417" w14:textId="77777777" w:rsidR="001B6918" w:rsidRPr="004E6649" w:rsidRDefault="001B6918" w:rsidP="00730ECF">
            <w:pPr>
              <w:rPr>
                <w:rFonts w:cstheme="minorHAnsi"/>
                <w:color w:val="000000"/>
                <w:sz w:val="20"/>
                <w:szCs w:val="20"/>
              </w:rPr>
            </w:pPr>
            <w:r w:rsidRPr="004E6649">
              <w:rPr>
                <w:rFonts w:cstheme="minorHAnsi"/>
                <w:color w:val="000000"/>
                <w:sz w:val="20"/>
                <w:szCs w:val="20"/>
              </w:rPr>
              <w:t>Total unearned revenue, deposits</w:t>
            </w:r>
            <w:r>
              <w:rPr>
                <w:rFonts w:cstheme="minorHAnsi"/>
                <w:color w:val="000000"/>
                <w:sz w:val="20"/>
                <w:szCs w:val="20"/>
              </w:rPr>
              <w:t xml:space="preserve"> </w:t>
            </w:r>
            <w:r w:rsidRPr="004E6649">
              <w:rPr>
                <w:rFonts w:cstheme="minorHAnsi"/>
                <w:color w:val="000000"/>
                <w:sz w:val="20"/>
                <w:szCs w:val="20"/>
              </w:rPr>
              <w:t>and other liabilities</w:t>
            </w:r>
          </w:p>
        </w:tc>
        <w:tc>
          <w:tcPr>
            <w:tcW w:w="910" w:type="dxa"/>
            <w:tcBorders>
              <w:top w:val="single" w:sz="8" w:space="0" w:color="000000" w:themeColor="text1"/>
              <w:left w:val="nil"/>
              <w:bottom w:val="double" w:sz="4" w:space="0" w:color="000000" w:themeColor="text1"/>
              <w:right w:val="nil"/>
            </w:tcBorders>
            <w:shd w:val="clear" w:color="000000" w:fill="FFFFFF"/>
            <w:noWrap/>
            <w:hideMark/>
          </w:tcPr>
          <w:p w14:paraId="5B34694B" w14:textId="77777777" w:rsidR="001B6918" w:rsidRPr="00820F54" w:rsidRDefault="001B6918" w:rsidP="00730ECF">
            <w:pPr>
              <w:jc w:val="right"/>
              <w:rPr>
                <w:sz w:val="20"/>
                <w:szCs w:val="20"/>
              </w:rPr>
            </w:pPr>
            <w:r w:rsidRPr="00820F54">
              <w:rPr>
                <w:sz w:val="20"/>
                <w:szCs w:val="20"/>
              </w:rPr>
              <w:t xml:space="preserve"> $75,038 </w:t>
            </w:r>
          </w:p>
        </w:tc>
        <w:tc>
          <w:tcPr>
            <w:tcW w:w="895" w:type="dxa"/>
            <w:tcBorders>
              <w:top w:val="single" w:sz="8" w:space="0" w:color="000000" w:themeColor="text1"/>
              <w:left w:val="nil"/>
              <w:bottom w:val="double" w:sz="4" w:space="0" w:color="000000" w:themeColor="text1"/>
              <w:right w:val="nil"/>
            </w:tcBorders>
            <w:shd w:val="clear" w:color="000000" w:fill="FFFFFF"/>
            <w:noWrap/>
            <w:hideMark/>
          </w:tcPr>
          <w:p w14:paraId="04B854AA" w14:textId="77777777" w:rsidR="001B6918" w:rsidRPr="00820F54" w:rsidRDefault="001B6918" w:rsidP="00730ECF">
            <w:pPr>
              <w:jc w:val="right"/>
              <w:rPr>
                <w:sz w:val="20"/>
                <w:szCs w:val="20"/>
              </w:rPr>
            </w:pPr>
            <w:r w:rsidRPr="00820F54">
              <w:rPr>
                <w:sz w:val="20"/>
                <w:szCs w:val="20"/>
              </w:rPr>
              <w:t xml:space="preserve"> $62,729 </w:t>
            </w:r>
          </w:p>
        </w:tc>
        <w:tc>
          <w:tcPr>
            <w:tcW w:w="1260" w:type="dxa"/>
            <w:tcBorders>
              <w:top w:val="single" w:sz="8" w:space="0" w:color="000000" w:themeColor="text1"/>
              <w:left w:val="nil"/>
              <w:bottom w:val="double" w:sz="4" w:space="0" w:color="000000" w:themeColor="text1"/>
              <w:right w:val="nil"/>
            </w:tcBorders>
            <w:shd w:val="clear" w:color="000000" w:fill="FFFFFF"/>
            <w:noWrap/>
            <w:hideMark/>
          </w:tcPr>
          <w:p w14:paraId="2E94BF3F" w14:textId="77777777" w:rsidR="001B6918" w:rsidRDefault="001B6918" w:rsidP="00730ECF">
            <w:pPr>
              <w:jc w:val="right"/>
              <w:rPr>
                <w:sz w:val="20"/>
                <w:szCs w:val="20"/>
              </w:rPr>
            </w:pPr>
          </w:p>
          <w:p w14:paraId="1B79A44A" w14:textId="77777777" w:rsidR="001B6918" w:rsidRPr="00820F54" w:rsidRDefault="001B6918" w:rsidP="00730ECF">
            <w:pPr>
              <w:jc w:val="right"/>
              <w:rPr>
                <w:sz w:val="20"/>
                <w:szCs w:val="20"/>
              </w:rPr>
            </w:pPr>
            <w:r w:rsidRPr="00820F54">
              <w:rPr>
                <w:sz w:val="20"/>
                <w:szCs w:val="20"/>
              </w:rPr>
              <w:t xml:space="preserve"> $12,309 </w:t>
            </w:r>
          </w:p>
        </w:tc>
        <w:tc>
          <w:tcPr>
            <w:tcW w:w="1217" w:type="dxa"/>
            <w:tcBorders>
              <w:top w:val="single" w:sz="8" w:space="0" w:color="000000" w:themeColor="text1"/>
              <w:left w:val="nil"/>
              <w:bottom w:val="double" w:sz="4" w:space="0" w:color="000000" w:themeColor="text1"/>
              <w:right w:val="nil"/>
            </w:tcBorders>
            <w:shd w:val="clear" w:color="auto" w:fill="F2F2F2" w:themeFill="background1" w:themeFillShade="F2"/>
            <w:noWrap/>
            <w:vAlign w:val="bottom"/>
            <w:hideMark/>
          </w:tcPr>
          <w:p w14:paraId="24A05A8A" w14:textId="77777777" w:rsidR="001B6918" w:rsidRPr="004E6649" w:rsidRDefault="001B6918" w:rsidP="00730ECF">
            <w:pPr>
              <w:jc w:val="right"/>
              <w:rPr>
                <w:rFonts w:eastAsia="Times New Roman" w:cstheme="minorHAnsi"/>
                <w:color w:val="0D0D0D"/>
                <w:sz w:val="20"/>
                <w:szCs w:val="20"/>
              </w:rPr>
            </w:pPr>
            <w:r w:rsidRPr="00571220">
              <w:rPr>
                <w:sz w:val="20"/>
                <w:szCs w:val="20"/>
              </w:rPr>
              <w:t>$58,352</w:t>
            </w:r>
          </w:p>
        </w:tc>
        <w:tc>
          <w:tcPr>
            <w:tcW w:w="1303" w:type="dxa"/>
            <w:tcBorders>
              <w:top w:val="single" w:sz="8" w:space="0" w:color="000000" w:themeColor="text1"/>
              <w:left w:val="nil"/>
              <w:bottom w:val="double" w:sz="4" w:space="0" w:color="000000" w:themeColor="text1"/>
              <w:right w:val="nil"/>
            </w:tcBorders>
            <w:shd w:val="clear" w:color="auto" w:fill="F2F2F2" w:themeFill="background1" w:themeFillShade="F2"/>
            <w:noWrap/>
            <w:vAlign w:val="bottom"/>
            <w:hideMark/>
          </w:tcPr>
          <w:p w14:paraId="36BE27B1" w14:textId="77777777" w:rsidR="001B6918" w:rsidRPr="004E6649" w:rsidRDefault="001B6918" w:rsidP="00730ECF">
            <w:pPr>
              <w:jc w:val="right"/>
              <w:rPr>
                <w:rFonts w:eastAsia="Times New Roman" w:cstheme="minorHAnsi"/>
                <w:color w:val="0D0D0D"/>
                <w:sz w:val="20"/>
                <w:szCs w:val="20"/>
              </w:rPr>
            </w:pPr>
            <w:r w:rsidRPr="00571220">
              <w:rPr>
                <w:sz w:val="20"/>
                <w:szCs w:val="20"/>
              </w:rPr>
              <w:t>$47,834</w:t>
            </w:r>
          </w:p>
        </w:tc>
        <w:tc>
          <w:tcPr>
            <w:tcW w:w="1260" w:type="dxa"/>
            <w:tcBorders>
              <w:top w:val="single" w:sz="8" w:space="0" w:color="000000" w:themeColor="text1"/>
              <w:left w:val="nil"/>
              <w:bottom w:val="double" w:sz="4" w:space="0" w:color="000000" w:themeColor="text1"/>
              <w:right w:val="nil"/>
            </w:tcBorders>
            <w:shd w:val="clear" w:color="auto" w:fill="F2F2F2" w:themeFill="background1" w:themeFillShade="F2"/>
            <w:noWrap/>
            <w:vAlign w:val="bottom"/>
            <w:hideMark/>
          </w:tcPr>
          <w:p w14:paraId="380576AF" w14:textId="77777777" w:rsidR="001B6918" w:rsidRDefault="001B6918" w:rsidP="00730ECF">
            <w:pPr>
              <w:jc w:val="right"/>
              <w:rPr>
                <w:sz w:val="20"/>
                <w:szCs w:val="20"/>
              </w:rPr>
            </w:pPr>
          </w:p>
          <w:p w14:paraId="44A6F90E" w14:textId="77777777" w:rsidR="001B6918" w:rsidRPr="004E6649" w:rsidRDefault="001B6918" w:rsidP="00730ECF">
            <w:pPr>
              <w:jc w:val="right"/>
              <w:rPr>
                <w:rFonts w:eastAsia="Times New Roman" w:cstheme="minorHAnsi"/>
                <w:color w:val="0D0D0D"/>
                <w:sz w:val="20"/>
                <w:szCs w:val="20"/>
              </w:rPr>
            </w:pPr>
            <w:r w:rsidRPr="00571220">
              <w:rPr>
                <w:sz w:val="20"/>
                <w:szCs w:val="20"/>
              </w:rPr>
              <w:t>$10,518</w:t>
            </w:r>
          </w:p>
        </w:tc>
      </w:tr>
    </w:tbl>
    <w:p w14:paraId="1D478BF3" w14:textId="77777777" w:rsidR="001B6918" w:rsidRPr="004E6649" w:rsidRDefault="001B6918" w:rsidP="001B6918">
      <w:pPr>
        <w:rPr>
          <w:rFonts w:cstheme="minorHAnsi"/>
          <w:sz w:val="24"/>
          <w:szCs w:val="24"/>
        </w:rPr>
      </w:pPr>
    </w:p>
    <w:p w14:paraId="5CD0B75A" w14:textId="77777777" w:rsidR="001B6918" w:rsidRPr="004E6649" w:rsidRDefault="001B6918" w:rsidP="001B6918">
      <w:pPr>
        <w:rPr>
          <w:rFonts w:cstheme="minorHAnsi"/>
          <w:sz w:val="24"/>
          <w:szCs w:val="24"/>
        </w:rPr>
      </w:pPr>
      <w:r w:rsidRPr="004E6649">
        <w:rPr>
          <w:rFonts w:cstheme="minorHAnsi"/>
          <w:sz w:val="24"/>
          <w:szCs w:val="24"/>
        </w:rPr>
        <w:t xml:space="preserve">The System recognizes grant and contract revenue to the extent that it has fulfilled the eligibility requirements (e.g., incurred allowable costs) of the grant or contract award. Some awards pay the System in advance of the System fulfilling its obligations. In such situations, the System reports the cash as an asset and the offset as unearned revenue and deposits (see unearned grant advances in the above table) which is a current liability in the Statements of Net Position. </w:t>
      </w:r>
    </w:p>
    <w:p w14:paraId="4E16DBE0" w14:textId="77777777" w:rsidR="001B6918" w:rsidRPr="004E6649" w:rsidRDefault="001B6918" w:rsidP="001B6918">
      <w:pPr>
        <w:rPr>
          <w:rFonts w:cstheme="minorHAnsi"/>
          <w:sz w:val="24"/>
          <w:szCs w:val="24"/>
        </w:rPr>
      </w:pPr>
    </w:p>
    <w:p w14:paraId="5DFDF498" w14:textId="77777777" w:rsidR="001B6918" w:rsidRPr="004E6649" w:rsidRDefault="001B6918" w:rsidP="001B6918">
      <w:pPr>
        <w:rPr>
          <w:rFonts w:cstheme="minorHAnsi"/>
          <w:sz w:val="24"/>
          <w:szCs w:val="24"/>
        </w:rPr>
      </w:pPr>
      <w:r w:rsidRPr="004E6649">
        <w:rPr>
          <w:rFonts w:cstheme="minorHAnsi"/>
          <w:sz w:val="24"/>
          <w:szCs w:val="24"/>
        </w:rPr>
        <w:t>The vast majority of grant and contract awards made to the System pay funds to the System on a reimbursement basis. To the extent that the System has eligible, unreimbursed expenses, it recognizes a grant receivable in the Statements of Net Position. The System excludes from its financial statements the portion of an award not currently reimbursable because the System has not yet met the eligibility requirements. As of June 30, 202</w:t>
      </w:r>
      <w:r>
        <w:rPr>
          <w:rFonts w:cstheme="minorHAnsi"/>
          <w:sz w:val="24"/>
          <w:szCs w:val="24"/>
        </w:rPr>
        <w:t>5</w:t>
      </w:r>
      <w:r w:rsidRPr="004E6649">
        <w:rPr>
          <w:rFonts w:cstheme="minorHAnsi"/>
          <w:sz w:val="24"/>
          <w:szCs w:val="24"/>
        </w:rPr>
        <w:t xml:space="preserve"> and 202</w:t>
      </w:r>
      <w:r>
        <w:rPr>
          <w:rFonts w:cstheme="minorHAnsi"/>
          <w:sz w:val="24"/>
          <w:szCs w:val="24"/>
        </w:rPr>
        <w:t>4</w:t>
      </w:r>
      <w:r w:rsidRPr="004E6649">
        <w:rPr>
          <w:rFonts w:cstheme="minorHAnsi"/>
          <w:sz w:val="24"/>
          <w:szCs w:val="24"/>
        </w:rPr>
        <w:t>, the portion of outstanding awards excluded from the financial statements totaled $</w:t>
      </w:r>
      <w:r w:rsidRPr="006205A9">
        <w:rPr>
          <w:rFonts w:cstheme="minorHAnsi"/>
          <w:sz w:val="24"/>
          <w:szCs w:val="24"/>
        </w:rPr>
        <w:t xml:space="preserve">176,677 </w:t>
      </w:r>
      <w:r w:rsidRPr="004E6649">
        <w:rPr>
          <w:rFonts w:cstheme="minorHAnsi"/>
          <w:sz w:val="24"/>
          <w:szCs w:val="24"/>
        </w:rPr>
        <w:t>and $</w:t>
      </w:r>
      <w:r w:rsidRPr="0033407B">
        <w:rPr>
          <w:rFonts w:cstheme="minorHAnsi"/>
          <w:sz w:val="24"/>
          <w:szCs w:val="24"/>
        </w:rPr>
        <w:t xml:space="preserve">141,309 </w:t>
      </w:r>
      <w:r w:rsidRPr="004E6649">
        <w:rPr>
          <w:rFonts w:cstheme="minorHAnsi"/>
          <w:sz w:val="24"/>
          <w:szCs w:val="24"/>
        </w:rPr>
        <w:t>, respectively.</w:t>
      </w:r>
    </w:p>
    <w:p w14:paraId="729D4B59" w14:textId="77777777" w:rsidR="001B6918" w:rsidRPr="009655BC" w:rsidRDefault="001B6918" w:rsidP="001B6918">
      <w:pPr>
        <w:pStyle w:val="AFR2"/>
        <w:pBdr>
          <w:bottom w:val="single" w:sz="8" w:space="1" w:color="0D0D0D" w:themeColor="text1" w:themeTint="F2"/>
        </w:pBdr>
        <w:rPr>
          <w:rFonts w:cstheme="minorHAnsi"/>
          <w:sz w:val="26"/>
          <w:szCs w:val="26"/>
        </w:rPr>
      </w:pPr>
      <w:r w:rsidRPr="009655BC">
        <w:rPr>
          <w:rFonts w:cstheme="minorHAnsi"/>
          <w:sz w:val="26"/>
          <w:szCs w:val="26"/>
        </w:rPr>
        <w:t>9. GOVERNMENT ADVANCES REFUNDABLE</w:t>
      </w:r>
    </w:p>
    <w:p w14:paraId="17609743" w14:textId="77777777" w:rsidR="001B6918" w:rsidRDefault="001B6918" w:rsidP="001B6918">
      <w:pPr>
        <w:tabs>
          <w:tab w:val="left" w:pos="720"/>
          <w:tab w:val="left" w:pos="1022"/>
          <w:tab w:val="left" w:pos="1440"/>
          <w:tab w:val="center" w:pos="3960"/>
          <w:tab w:val="right" w:pos="5220"/>
          <w:tab w:val="right" w:pos="6691"/>
          <w:tab w:val="right" w:pos="7621"/>
          <w:tab w:val="right" w:pos="9187"/>
        </w:tabs>
        <w:suppressAutoHyphens/>
        <w:rPr>
          <w:rFonts w:eastAsiaTheme="majorEastAsia" w:cstheme="minorHAnsi"/>
          <w:b/>
          <w:i/>
          <w:iCs/>
          <w:smallCaps/>
          <w:noProof/>
          <w:color w:val="000000" w:themeColor="text1"/>
          <w:sz w:val="24"/>
          <w:szCs w:val="24"/>
          <w:u w:color="5B9BD5"/>
        </w:rPr>
      </w:pPr>
      <w:r w:rsidRPr="004E6649">
        <w:rPr>
          <w:rFonts w:cstheme="minorHAnsi"/>
          <w:bCs/>
          <w:spacing w:val="-3"/>
          <w:sz w:val="24"/>
        </w:rPr>
        <w:t>The System participates in the Federal Perkins Loan and Nursing Loan Programs. These programs are funded through a combination of federal and institutional resources. The portion of these programs that has been funded with federal funds is ultimately refundable to the U.S. Government upon the termination of the System’s participation in the programs. The portion that would be refundable if the programs were terminated as of June 30, 202</w:t>
      </w:r>
      <w:r>
        <w:rPr>
          <w:rFonts w:cstheme="minorHAnsi"/>
          <w:bCs/>
          <w:spacing w:val="-3"/>
          <w:sz w:val="24"/>
        </w:rPr>
        <w:t>5</w:t>
      </w:r>
      <w:r w:rsidRPr="004E6649">
        <w:rPr>
          <w:rFonts w:cstheme="minorHAnsi"/>
          <w:bCs/>
          <w:spacing w:val="-3"/>
          <w:sz w:val="24"/>
        </w:rPr>
        <w:t xml:space="preserve"> and 202</w:t>
      </w:r>
      <w:r>
        <w:rPr>
          <w:rFonts w:cstheme="minorHAnsi"/>
          <w:bCs/>
          <w:spacing w:val="-3"/>
          <w:sz w:val="24"/>
        </w:rPr>
        <w:t xml:space="preserve">4 </w:t>
      </w:r>
      <w:r w:rsidRPr="004E6649">
        <w:rPr>
          <w:rFonts w:cstheme="minorHAnsi"/>
          <w:bCs/>
          <w:spacing w:val="-3"/>
          <w:sz w:val="24"/>
        </w:rPr>
        <w:t>has been included in the accompanying Statements of Net Position as a noncurrent liability.</w:t>
      </w:r>
      <w:r>
        <w:rPr>
          <w:rFonts w:cstheme="minorHAnsi"/>
          <w:sz w:val="24"/>
          <w:szCs w:val="24"/>
        </w:rPr>
        <w:br w:type="page"/>
      </w:r>
    </w:p>
    <w:p w14:paraId="6F97979D" w14:textId="77777777" w:rsidR="001B6918" w:rsidRPr="009655BC" w:rsidRDefault="001B6918" w:rsidP="001B6918">
      <w:pPr>
        <w:pStyle w:val="AFR2"/>
        <w:pBdr>
          <w:bottom w:val="single" w:sz="8" w:space="1" w:color="0D0D0D" w:themeColor="text1" w:themeTint="F2"/>
        </w:pBdr>
        <w:rPr>
          <w:rFonts w:cstheme="minorHAnsi"/>
          <w:sz w:val="26"/>
          <w:szCs w:val="26"/>
        </w:rPr>
      </w:pPr>
      <w:r w:rsidRPr="009655BC">
        <w:rPr>
          <w:rFonts w:cstheme="minorHAnsi"/>
          <w:sz w:val="26"/>
          <w:szCs w:val="26"/>
        </w:rPr>
        <w:lastRenderedPageBreak/>
        <w:t>10. NET POSITION</w:t>
      </w:r>
    </w:p>
    <w:p w14:paraId="25A05DAB" w14:textId="77777777" w:rsidR="001B6918" w:rsidRPr="004E6649" w:rsidRDefault="001B6918" w:rsidP="001B6918">
      <w:pPr>
        <w:tabs>
          <w:tab w:val="left" w:pos="720"/>
          <w:tab w:val="left" w:pos="1022"/>
          <w:tab w:val="left" w:pos="1440"/>
          <w:tab w:val="center" w:pos="3960"/>
          <w:tab w:val="right" w:pos="5220"/>
          <w:tab w:val="right" w:pos="6691"/>
          <w:tab w:val="right" w:pos="7621"/>
          <w:tab w:val="right" w:pos="9187"/>
        </w:tabs>
        <w:suppressAutoHyphens/>
        <w:spacing w:after="240"/>
        <w:rPr>
          <w:rFonts w:eastAsia="Times New Roman" w:cstheme="minorHAnsi"/>
          <w:b/>
          <w:bCs/>
          <w:i/>
          <w:iCs/>
          <w:smallCaps/>
          <w:spacing w:val="-3"/>
          <w:sz w:val="24"/>
          <w:szCs w:val="24"/>
        </w:rPr>
      </w:pPr>
      <w:r w:rsidRPr="004E6649">
        <w:rPr>
          <w:rFonts w:eastAsia="Times New Roman" w:cstheme="minorHAnsi"/>
          <w:bCs/>
          <w:spacing w:val="-3"/>
          <w:sz w:val="24"/>
          <w:szCs w:val="24"/>
        </w:rPr>
        <w:t>The System’s net position is composed of the following as of June 30:</w:t>
      </w:r>
      <w:r w:rsidRPr="004E6649">
        <w:rPr>
          <w:rFonts w:eastAsia="Times New Roman" w:cstheme="minorHAnsi"/>
          <w:b/>
          <w:bCs/>
          <w:i/>
          <w:iCs/>
          <w:smallCaps/>
          <w:spacing w:val="-3"/>
          <w:sz w:val="24"/>
          <w:szCs w:val="24"/>
        </w:rPr>
        <w:fldChar w:fldCharType="begin"/>
      </w:r>
      <w:r w:rsidRPr="004E6649">
        <w:rPr>
          <w:rFonts w:eastAsia="Times New Roman" w:cstheme="minorHAnsi"/>
          <w:b/>
          <w:bCs/>
          <w:i/>
          <w:iCs/>
          <w:smallCaps/>
          <w:spacing w:val="-3"/>
          <w:sz w:val="24"/>
          <w:szCs w:val="24"/>
        </w:rPr>
        <w:fldChar w:fldCharType="end"/>
      </w:r>
    </w:p>
    <w:tbl>
      <w:tblPr>
        <w:tblW w:w="8065" w:type="dxa"/>
        <w:jc w:val="center"/>
        <w:tblLook w:val="04A0" w:firstRow="1" w:lastRow="0" w:firstColumn="1" w:lastColumn="0" w:noHBand="0" w:noVBand="1"/>
      </w:tblPr>
      <w:tblGrid>
        <w:gridCol w:w="3870"/>
        <w:gridCol w:w="1887"/>
        <w:gridCol w:w="2308"/>
      </w:tblGrid>
      <w:tr w:rsidR="001B6918" w:rsidRPr="004E6649" w14:paraId="0A5850CC" w14:textId="77777777" w:rsidTr="00730ECF">
        <w:trPr>
          <w:trHeight w:val="300"/>
          <w:tblHeader/>
          <w:jc w:val="center"/>
        </w:trPr>
        <w:tc>
          <w:tcPr>
            <w:tcW w:w="3870" w:type="dxa"/>
            <w:tcBorders>
              <w:top w:val="nil"/>
              <w:left w:val="nil"/>
              <w:bottom w:val="single" w:sz="12" w:space="0" w:color="000000" w:themeColor="text1"/>
              <w:right w:val="nil"/>
            </w:tcBorders>
            <w:shd w:val="clear" w:color="000000" w:fill="FFFFFF"/>
            <w:noWrap/>
            <w:vAlign w:val="bottom"/>
            <w:hideMark/>
          </w:tcPr>
          <w:p w14:paraId="143637E0" w14:textId="77777777" w:rsidR="001B6918" w:rsidRPr="004E6649" w:rsidRDefault="001B6918" w:rsidP="00730ECF">
            <w:pPr>
              <w:rPr>
                <w:rFonts w:eastAsia="Times New Roman" w:cstheme="minorHAnsi"/>
                <w:b/>
                <w:bCs/>
                <w:color w:val="0D0D0D"/>
                <w:szCs w:val="24"/>
              </w:rPr>
            </w:pPr>
            <w:r w:rsidRPr="004E6649">
              <w:rPr>
                <w:rFonts w:eastAsia="Times New Roman" w:cstheme="minorHAnsi"/>
                <w:b/>
                <w:bCs/>
                <w:color w:val="0D0D0D"/>
                <w:szCs w:val="24"/>
              </w:rPr>
              <w:t> </w:t>
            </w:r>
          </w:p>
        </w:tc>
        <w:tc>
          <w:tcPr>
            <w:tcW w:w="1887" w:type="dxa"/>
            <w:tcBorders>
              <w:top w:val="nil"/>
              <w:left w:val="nil"/>
              <w:bottom w:val="single" w:sz="12" w:space="0" w:color="000000" w:themeColor="text1"/>
              <w:right w:val="nil"/>
            </w:tcBorders>
            <w:shd w:val="clear" w:color="000000" w:fill="FFFFFF"/>
            <w:noWrap/>
            <w:vAlign w:val="bottom"/>
            <w:hideMark/>
          </w:tcPr>
          <w:p w14:paraId="7F0A3C2D" w14:textId="77777777" w:rsidR="001B6918" w:rsidRPr="004E6649" w:rsidRDefault="001B6918" w:rsidP="00730ECF">
            <w:pPr>
              <w:jc w:val="center"/>
              <w:rPr>
                <w:rFonts w:eastAsia="Times New Roman" w:cstheme="minorHAnsi"/>
                <w:b/>
                <w:bCs/>
                <w:color w:val="0D0D0D"/>
                <w:szCs w:val="24"/>
              </w:rPr>
            </w:pPr>
            <w:r w:rsidRPr="004E6649">
              <w:rPr>
                <w:rFonts w:eastAsia="Times New Roman" w:cstheme="minorHAnsi"/>
                <w:b/>
                <w:bCs/>
                <w:color w:val="0D0D0D"/>
                <w:szCs w:val="24"/>
              </w:rPr>
              <w:t>202</w:t>
            </w:r>
            <w:r>
              <w:rPr>
                <w:rFonts w:eastAsia="Times New Roman" w:cstheme="minorHAnsi"/>
                <w:b/>
                <w:bCs/>
                <w:color w:val="0D0D0D"/>
                <w:szCs w:val="24"/>
              </w:rPr>
              <w:t>5</w:t>
            </w:r>
          </w:p>
        </w:tc>
        <w:tc>
          <w:tcPr>
            <w:tcW w:w="2308" w:type="dxa"/>
            <w:tcBorders>
              <w:top w:val="nil"/>
              <w:left w:val="nil"/>
              <w:bottom w:val="single" w:sz="12" w:space="0" w:color="000000" w:themeColor="text1"/>
              <w:right w:val="nil"/>
            </w:tcBorders>
            <w:shd w:val="clear" w:color="auto" w:fill="F2F2F2" w:themeFill="background1" w:themeFillShade="F2"/>
            <w:noWrap/>
            <w:vAlign w:val="bottom"/>
            <w:hideMark/>
          </w:tcPr>
          <w:p w14:paraId="46B38634" w14:textId="77777777" w:rsidR="001B6918" w:rsidRDefault="001B6918" w:rsidP="00730ECF">
            <w:pPr>
              <w:jc w:val="center"/>
              <w:rPr>
                <w:rFonts w:eastAsia="Times New Roman" w:cstheme="minorHAnsi"/>
                <w:b/>
                <w:bCs/>
                <w:color w:val="0D0D0D"/>
                <w:szCs w:val="24"/>
              </w:rPr>
            </w:pPr>
            <w:r w:rsidRPr="004E6649">
              <w:rPr>
                <w:rFonts w:eastAsia="Times New Roman" w:cstheme="minorHAnsi"/>
                <w:b/>
                <w:bCs/>
                <w:color w:val="0D0D0D"/>
                <w:szCs w:val="24"/>
              </w:rPr>
              <w:t>202</w:t>
            </w:r>
            <w:r>
              <w:rPr>
                <w:rFonts w:eastAsia="Times New Roman" w:cstheme="minorHAnsi"/>
                <w:b/>
                <w:bCs/>
                <w:color w:val="0D0D0D"/>
                <w:szCs w:val="24"/>
              </w:rPr>
              <w:t>4</w:t>
            </w:r>
            <w:r w:rsidRPr="004E6649">
              <w:rPr>
                <w:rFonts w:eastAsia="Times New Roman" w:cstheme="minorHAnsi"/>
                <w:b/>
                <w:bCs/>
                <w:color w:val="0D0D0D"/>
                <w:szCs w:val="24"/>
              </w:rPr>
              <w:t xml:space="preserve"> </w:t>
            </w:r>
          </w:p>
          <w:p w14:paraId="70305C78" w14:textId="77777777" w:rsidR="001B6918" w:rsidRPr="004E6649" w:rsidRDefault="001B6918" w:rsidP="00730ECF">
            <w:pPr>
              <w:jc w:val="center"/>
              <w:rPr>
                <w:rFonts w:eastAsia="Times New Roman" w:cstheme="minorHAnsi"/>
                <w:b/>
                <w:bCs/>
                <w:color w:val="0D0D0D"/>
                <w:szCs w:val="24"/>
              </w:rPr>
            </w:pPr>
            <w:r>
              <w:rPr>
                <w:rFonts w:eastAsia="Times New Roman" w:cstheme="minorHAnsi"/>
                <w:b/>
                <w:bCs/>
                <w:color w:val="0D0D0D"/>
                <w:szCs w:val="24"/>
              </w:rPr>
              <w:t>Restated</w:t>
            </w:r>
          </w:p>
        </w:tc>
      </w:tr>
      <w:tr w:rsidR="001B6918" w:rsidRPr="004E6649" w14:paraId="30E799B5" w14:textId="77777777" w:rsidTr="00730ECF">
        <w:trPr>
          <w:trHeight w:val="114"/>
          <w:jc w:val="center"/>
        </w:trPr>
        <w:tc>
          <w:tcPr>
            <w:tcW w:w="3870" w:type="dxa"/>
            <w:tcBorders>
              <w:top w:val="single" w:sz="12" w:space="0" w:color="000000" w:themeColor="text1"/>
              <w:left w:val="nil"/>
              <w:bottom w:val="single" w:sz="8" w:space="0" w:color="000000" w:themeColor="text1"/>
              <w:right w:val="nil"/>
            </w:tcBorders>
            <w:shd w:val="clear" w:color="000000" w:fill="FFFFFF"/>
            <w:noWrap/>
            <w:vAlign w:val="bottom"/>
            <w:hideMark/>
          </w:tcPr>
          <w:p w14:paraId="7920567B" w14:textId="77777777" w:rsidR="001B6918" w:rsidRPr="004E6649" w:rsidRDefault="001B6918" w:rsidP="00730ECF">
            <w:pPr>
              <w:rPr>
                <w:rFonts w:eastAsia="Times New Roman" w:cstheme="minorHAnsi"/>
                <w:color w:val="0D0D0D"/>
                <w:szCs w:val="24"/>
              </w:rPr>
            </w:pPr>
            <w:r w:rsidRPr="004E6649">
              <w:rPr>
                <w:rFonts w:eastAsia="Times New Roman" w:cstheme="minorHAnsi"/>
                <w:color w:val="0D0D0D"/>
                <w:szCs w:val="24"/>
              </w:rPr>
              <w:t>Net investment in capital assets</w:t>
            </w:r>
          </w:p>
        </w:tc>
        <w:tc>
          <w:tcPr>
            <w:tcW w:w="1887" w:type="dxa"/>
            <w:tcBorders>
              <w:top w:val="single" w:sz="12" w:space="0" w:color="000000" w:themeColor="text1"/>
              <w:left w:val="nil"/>
              <w:bottom w:val="single" w:sz="8" w:space="0" w:color="000000" w:themeColor="text1"/>
              <w:right w:val="nil"/>
            </w:tcBorders>
            <w:shd w:val="clear" w:color="000000" w:fill="FFFFFF"/>
            <w:noWrap/>
            <w:vAlign w:val="bottom"/>
            <w:hideMark/>
          </w:tcPr>
          <w:p w14:paraId="68A2AB9C" w14:textId="77777777" w:rsidR="001B6918" w:rsidRPr="006B288C" w:rsidRDefault="001B6918" w:rsidP="00730ECF">
            <w:pPr>
              <w:jc w:val="right"/>
              <w:rPr>
                <w:rFonts w:eastAsia="Times New Roman" w:cstheme="minorHAnsi"/>
                <w:szCs w:val="24"/>
              </w:rPr>
            </w:pPr>
            <w:r w:rsidRPr="006B288C">
              <w:rPr>
                <w:rFonts w:eastAsia="Times New Roman" w:cstheme="minorHAnsi"/>
                <w:szCs w:val="24"/>
              </w:rPr>
              <w:t>$  783,465</w:t>
            </w:r>
          </w:p>
        </w:tc>
        <w:tc>
          <w:tcPr>
            <w:tcW w:w="2308" w:type="dxa"/>
            <w:tcBorders>
              <w:top w:val="single" w:sz="12" w:space="0" w:color="000000" w:themeColor="text1"/>
              <w:left w:val="nil"/>
              <w:bottom w:val="single" w:sz="8" w:space="0" w:color="000000" w:themeColor="text1"/>
              <w:right w:val="nil"/>
            </w:tcBorders>
            <w:shd w:val="clear" w:color="auto" w:fill="F2F2F2" w:themeFill="background1" w:themeFillShade="F2"/>
            <w:noWrap/>
            <w:vAlign w:val="bottom"/>
            <w:hideMark/>
          </w:tcPr>
          <w:p w14:paraId="439E747C" w14:textId="77777777" w:rsidR="001B6918" w:rsidRPr="004E6649" w:rsidRDefault="001B6918" w:rsidP="00730ECF">
            <w:pPr>
              <w:jc w:val="right"/>
              <w:rPr>
                <w:rFonts w:eastAsia="Times New Roman" w:cstheme="minorHAnsi"/>
                <w:color w:val="0D0D0D"/>
                <w:szCs w:val="24"/>
              </w:rPr>
            </w:pPr>
            <w:r w:rsidRPr="00E0373A">
              <w:rPr>
                <w:rFonts w:eastAsia="Times New Roman" w:cstheme="minorHAnsi"/>
                <w:szCs w:val="24"/>
              </w:rPr>
              <w:t>$</w:t>
            </w:r>
            <w:r>
              <w:rPr>
                <w:rFonts w:eastAsia="Times New Roman" w:cstheme="minorHAnsi"/>
                <w:szCs w:val="24"/>
              </w:rPr>
              <w:t xml:space="preserve">  </w:t>
            </w:r>
            <w:r w:rsidRPr="00E0373A">
              <w:rPr>
                <w:rFonts w:eastAsia="Times New Roman" w:cstheme="minorHAnsi"/>
                <w:szCs w:val="24"/>
              </w:rPr>
              <w:t>694,128</w:t>
            </w:r>
          </w:p>
        </w:tc>
      </w:tr>
      <w:tr w:rsidR="001B6918" w:rsidRPr="004E6649" w14:paraId="2A891DAD" w14:textId="77777777" w:rsidTr="00730ECF">
        <w:trPr>
          <w:trHeight w:val="46"/>
          <w:jc w:val="center"/>
        </w:trPr>
        <w:tc>
          <w:tcPr>
            <w:tcW w:w="3870" w:type="dxa"/>
            <w:tcBorders>
              <w:top w:val="single" w:sz="8" w:space="0" w:color="000000" w:themeColor="text1"/>
              <w:left w:val="nil"/>
              <w:bottom w:val="single" w:sz="8" w:space="0" w:color="000000" w:themeColor="text1"/>
              <w:right w:val="nil"/>
            </w:tcBorders>
            <w:shd w:val="clear" w:color="000000" w:fill="FFFFFF"/>
            <w:noWrap/>
            <w:vAlign w:val="bottom"/>
            <w:hideMark/>
          </w:tcPr>
          <w:p w14:paraId="4000745E" w14:textId="77777777" w:rsidR="001B6918" w:rsidRPr="004E6649" w:rsidRDefault="001B6918" w:rsidP="00730ECF">
            <w:pPr>
              <w:rPr>
                <w:rFonts w:eastAsia="Times New Roman" w:cstheme="minorHAnsi"/>
                <w:color w:val="0D0D0D"/>
                <w:szCs w:val="24"/>
              </w:rPr>
            </w:pPr>
            <w:r w:rsidRPr="004E6649">
              <w:rPr>
                <w:rFonts w:eastAsia="Times New Roman" w:cstheme="minorHAnsi"/>
                <w:color w:val="0D0D0D"/>
                <w:szCs w:val="24"/>
              </w:rPr>
              <w:t>Restricted - Nonexpendable:</w:t>
            </w:r>
          </w:p>
        </w:tc>
        <w:tc>
          <w:tcPr>
            <w:tcW w:w="1887" w:type="dxa"/>
            <w:tcBorders>
              <w:top w:val="single" w:sz="8" w:space="0" w:color="000000" w:themeColor="text1"/>
              <w:left w:val="nil"/>
              <w:bottom w:val="single" w:sz="8" w:space="0" w:color="000000" w:themeColor="text1"/>
              <w:right w:val="nil"/>
            </w:tcBorders>
            <w:shd w:val="clear" w:color="000000" w:fill="FFFFFF"/>
            <w:noWrap/>
            <w:vAlign w:val="bottom"/>
            <w:hideMark/>
          </w:tcPr>
          <w:p w14:paraId="6C7D1C27" w14:textId="77777777" w:rsidR="001B6918" w:rsidRPr="006B288C" w:rsidRDefault="001B6918" w:rsidP="00730ECF">
            <w:pPr>
              <w:jc w:val="right"/>
              <w:rPr>
                <w:rFonts w:eastAsia="Times New Roman" w:cstheme="minorHAnsi"/>
                <w:szCs w:val="24"/>
              </w:rPr>
            </w:pPr>
            <w:r w:rsidRPr="006B288C">
              <w:rPr>
                <w:rFonts w:eastAsia="Times New Roman" w:cstheme="minorHAnsi"/>
                <w:szCs w:val="24"/>
              </w:rPr>
              <w:t> </w:t>
            </w:r>
          </w:p>
        </w:tc>
        <w:tc>
          <w:tcPr>
            <w:tcW w:w="2308" w:type="dxa"/>
            <w:tcBorders>
              <w:top w:val="single" w:sz="8" w:space="0" w:color="000000" w:themeColor="text1"/>
              <w:left w:val="nil"/>
              <w:bottom w:val="single" w:sz="8" w:space="0" w:color="000000" w:themeColor="text1"/>
              <w:right w:val="nil"/>
            </w:tcBorders>
            <w:shd w:val="clear" w:color="auto" w:fill="F2F2F2" w:themeFill="background1" w:themeFillShade="F2"/>
            <w:noWrap/>
            <w:vAlign w:val="bottom"/>
            <w:hideMark/>
          </w:tcPr>
          <w:p w14:paraId="16ADF47D" w14:textId="77777777" w:rsidR="001B6918" w:rsidRPr="004E6649" w:rsidRDefault="001B6918" w:rsidP="00730ECF">
            <w:pPr>
              <w:jc w:val="right"/>
              <w:rPr>
                <w:rFonts w:eastAsia="Times New Roman" w:cstheme="minorHAnsi"/>
                <w:color w:val="0D0D0D"/>
                <w:szCs w:val="24"/>
              </w:rPr>
            </w:pPr>
            <w:r w:rsidRPr="004E6649">
              <w:rPr>
                <w:rFonts w:eastAsia="Times New Roman" w:cstheme="minorHAnsi"/>
                <w:color w:val="FF0000"/>
                <w:szCs w:val="24"/>
              </w:rPr>
              <w:t> </w:t>
            </w:r>
          </w:p>
        </w:tc>
      </w:tr>
      <w:tr w:rsidR="001B6918" w:rsidRPr="004E6649" w14:paraId="512F3428" w14:textId="77777777" w:rsidTr="00730ECF">
        <w:trPr>
          <w:trHeight w:val="46"/>
          <w:jc w:val="center"/>
        </w:trPr>
        <w:tc>
          <w:tcPr>
            <w:tcW w:w="3870" w:type="dxa"/>
            <w:tcBorders>
              <w:top w:val="single" w:sz="8" w:space="0" w:color="000000" w:themeColor="text1"/>
              <w:left w:val="nil"/>
              <w:bottom w:val="single" w:sz="8" w:space="0" w:color="000000" w:themeColor="text1"/>
              <w:right w:val="nil"/>
            </w:tcBorders>
            <w:shd w:val="clear" w:color="000000" w:fill="FFFFFF"/>
            <w:noWrap/>
            <w:vAlign w:val="bottom"/>
            <w:hideMark/>
          </w:tcPr>
          <w:p w14:paraId="69444D83" w14:textId="77777777" w:rsidR="001B6918" w:rsidRPr="004E6649" w:rsidRDefault="001B6918" w:rsidP="00730ECF">
            <w:pPr>
              <w:ind w:firstLineChars="100" w:firstLine="220"/>
              <w:rPr>
                <w:rFonts w:eastAsia="Times New Roman" w:cstheme="minorHAnsi"/>
                <w:color w:val="0D0D0D"/>
                <w:szCs w:val="24"/>
              </w:rPr>
            </w:pPr>
            <w:r w:rsidRPr="004E6649">
              <w:rPr>
                <w:rFonts w:eastAsia="Times New Roman" w:cstheme="minorHAnsi"/>
                <w:color w:val="0D0D0D"/>
                <w:szCs w:val="24"/>
              </w:rPr>
              <w:t>Endowment funds</w:t>
            </w:r>
          </w:p>
        </w:tc>
        <w:tc>
          <w:tcPr>
            <w:tcW w:w="1887" w:type="dxa"/>
            <w:tcBorders>
              <w:top w:val="single" w:sz="8" w:space="0" w:color="000000" w:themeColor="text1"/>
              <w:left w:val="nil"/>
              <w:bottom w:val="single" w:sz="8" w:space="0" w:color="000000" w:themeColor="text1"/>
              <w:right w:val="nil"/>
            </w:tcBorders>
            <w:shd w:val="clear" w:color="000000" w:fill="FFFFFF"/>
            <w:noWrap/>
            <w:vAlign w:val="bottom"/>
            <w:hideMark/>
          </w:tcPr>
          <w:p w14:paraId="7C5E885B" w14:textId="77777777" w:rsidR="001B6918" w:rsidRPr="006B288C" w:rsidRDefault="001B6918" w:rsidP="00730ECF">
            <w:pPr>
              <w:jc w:val="right"/>
              <w:rPr>
                <w:rFonts w:eastAsia="Times New Roman" w:cstheme="minorHAnsi"/>
                <w:szCs w:val="24"/>
              </w:rPr>
            </w:pPr>
            <w:r w:rsidRPr="006B288C">
              <w:rPr>
                <w:rFonts w:eastAsia="Times New Roman" w:cstheme="minorHAnsi"/>
                <w:szCs w:val="24"/>
              </w:rPr>
              <w:t>73,747</w:t>
            </w:r>
          </w:p>
        </w:tc>
        <w:tc>
          <w:tcPr>
            <w:tcW w:w="2308" w:type="dxa"/>
            <w:tcBorders>
              <w:top w:val="single" w:sz="8" w:space="0" w:color="000000" w:themeColor="text1"/>
              <w:left w:val="nil"/>
              <w:bottom w:val="single" w:sz="8" w:space="0" w:color="000000" w:themeColor="text1"/>
              <w:right w:val="nil"/>
            </w:tcBorders>
            <w:shd w:val="clear" w:color="auto" w:fill="F2F2F2" w:themeFill="background1" w:themeFillShade="F2"/>
            <w:noWrap/>
            <w:vAlign w:val="bottom"/>
            <w:hideMark/>
          </w:tcPr>
          <w:p w14:paraId="51A20F3B" w14:textId="77777777" w:rsidR="001B6918" w:rsidRPr="004E6649" w:rsidRDefault="001B6918" w:rsidP="00730ECF">
            <w:pPr>
              <w:jc w:val="right"/>
              <w:rPr>
                <w:rFonts w:eastAsia="Times New Roman" w:cstheme="minorHAnsi"/>
                <w:color w:val="0D0D0D"/>
                <w:szCs w:val="24"/>
              </w:rPr>
            </w:pPr>
            <w:r w:rsidRPr="00E0373A">
              <w:rPr>
                <w:rFonts w:eastAsia="Times New Roman" w:cstheme="minorHAnsi"/>
                <w:szCs w:val="24"/>
              </w:rPr>
              <w:t>73,254</w:t>
            </w:r>
          </w:p>
        </w:tc>
      </w:tr>
      <w:tr w:rsidR="001B6918" w:rsidRPr="004E6649" w14:paraId="185B7013" w14:textId="77777777" w:rsidTr="00730ECF">
        <w:trPr>
          <w:trHeight w:val="46"/>
          <w:jc w:val="center"/>
        </w:trPr>
        <w:tc>
          <w:tcPr>
            <w:tcW w:w="3870" w:type="dxa"/>
            <w:tcBorders>
              <w:top w:val="single" w:sz="8" w:space="0" w:color="000000" w:themeColor="text1"/>
              <w:left w:val="nil"/>
              <w:bottom w:val="nil"/>
              <w:right w:val="nil"/>
            </w:tcBorders>
            <w:shd w:val="clear" w:color="000000" w:fill="FFFFFF"/>
            <w:noWrap/>
            <w:vAlign w:val="bottom"/>
            <w:hideMark/>
          </w:tcPr>
          <w:p w14:paraId="1AF0C7B0" w14:textId="77777777" w:rsidR="001B6918" w:rsidRPr="004E6649" w:rsidRDefault="001B6918" w:rsidP="00730ECF">
            <w:pPr>
              <w:rPr>
                <w:rFonts w:eastAsia="Times New Roman" w:cstheme="minorHAnsi"/>
                <w:color w:val="0D0D0D"/>
                <w:szCs w:val="24"/>
              </w:rPr>
            </w:pPr>
            <w:r w:rsidRPr="004E6649">
              <w:rPr>
                <w:rFonts w:eastAsia="Times New Roman" w:cstheme="minorHAnsi"/>
                <w:color w:val="0D0D0D"/>
                <w:szCs w:val="24"/>
              </w:rPr>
              <w:t>Restricted - Expendable:</w:t>
            </w:r>
          </w:p>
        </w:tc>
        <w:tc>
          <w:tcPr>
            <w:tcW w:w="1887" w:type="dxa"/>
            <w:tcBorders>
              <w:top w:val="single" w:sz="8" w:space="0" w:color="000000" w:themeColor="text1"/>
              <w:left w:val="nil"/>
              <w:bottom w:val="nil"/>
              <w:right w:val="nil"/>
            </w:tcBorders>
            <w:shd w:val="clear" w:color="000000" w:fill="FFFFFF"/>
            <w:noWrap/>
            <w:vAlign w:val="bottom"/>
            <w:hideMark/>
          </w:tcPr>
          <w:p w14:paraId="222966A8" w14:textId="77777777" w:rsidR="001B6918" w:rsidRPr="006B288C" w:rsidRDefault="001B6918" w:rsidP="00730ECF">
            <w:pPr>
              <w:jc w:val="right"/>
              <w:rPr>
                <w:rFonts w:eastAsia="Times New Roman" w:cstheme="minorHAnsi"/>
                <w:szCs w:val="24"/>
              </w:rPr>
            </w:pPr>
            <w:r w:rsidRPr="006B288C">
              <w:rPr>
                <w:rFonts w:eastAsia="Times New Roman" w:cstheme="minorHAnsi"/>
                <w:szCs w:val="24"/>
              </w:rPr>
              <w:t> </w:t>
            </w:r>
          </w:p>
        </w:tc>
        <w:tc>
          <w:tcPr>
            <w:tcW w:w="2308" w:type="dxa"/>
            <w:tcBorders>
              <w:top w:val="single" w:sz="8" w:space="0" w:color="000000" w:themeColor="text1"/>
              <w:left w:val="nil"/>
              <w:bottom w:val="nil"/>
              <w:right w:val="nil"/>
            </w:tcBorders>
            <w:shd w:val="clear" w:color="auto" w:fill="F2F2F2" w:themeFill="background1" w:themeFillShade="F2"/>
            <w:noWrap/>
            <w:vAlign w:val="bottom"/>
            <w:hideMark/>
          </w:tcPr>
          <w:p w14:paraId="29540BF5" w14:textId="77777777" w:rsidR="001B6918" w:rsidRPr="004E6649" w:rsidRDefault="001B6918" w:rsidP="00730ECF">
            <w:pPr>
              <w:jc w:val="right"/>
              <w:rPr>
                <w:rFonts w:eastAsia="Times New Roman" w:cstheme="minorHAnsi"/>
                <w:color w:val="0D0D0D"/>
                <w:szCs w:val="24"/>
              </w:rPr>
            </w:pPr>
            <w:r w:rsidRPr="00E0373A">
              <w:rPr>
                <w:rFonts w:eastAsia="Times New Roman" w:cstheme="minorHAnsi"/>
                <w:szCs w:val="24"/>
              </w:rPr>
              <w:t> </w:t>
            </w:r>
          </w:p>
        </w:tc>
      </w:tr>
      <w:tr w:rsidR="001B6918" w:rsidRPr="004E6649" w14:paraId="068FF197" w14:textId="77777777" w:rsidTr="00730ECF">
        <w:trPr>
          <w:trHeight w:val="66"/>
          <w:jc w:val="center"/>
        </w:trPr>
        <w:tc>
          <w:tcPr>
            <w:tcW w:w="3870" w:type="dxa"/>
            <w:tcBorders>
              <w:top w:val="nil"/>
              <w:left w:val="nil"/>
              <w:bottom w:val="nil"/>
              <w:right w:val="nil"/>
            </w:tcBorders>
            <w:shd w:val="clear" w:color="000000" w:fill="FFFFFF"/>
            <w:noWrap/>
            <w:vAlign w:val="bottom"/>
            <w:hideMark/>
          </w:tcPr>
          <w:p w14:paraId="06E759FB" w14:textId="77777777" w:rsidR="001B6918" w:rsidRPr="004E6649" w:rsidRDefault="001B6918" w:rsidP="00730ECF">
            <w:pPr>
              <w:ind w:firstLineChars="100" w:firstLine="220"/>
              <w:rPr>
                <w:rFonts w:eastAsia="Times New Roman" w:cstheme="minorHAnsi"/>
                <w:color w:val="0D0D0D"/>
                <w:szCs w:val="24"/>
              </w:rPr>
            </w:pPr>
            <w:r w:rsidRPr="004E6649">
              <w:rPr>
                <w:rFonts w:eastAsia="Times New Roman" w:cstheme="minorHAnsi"/>
                <w:color w:val="0D0D0D"/>
                <w:szCs w:val="24"/>
              </w:rPr>
              <w:t>Student financial aid</w:t>
            </w:r>
          </w:p>
        </w:tc>
        <w:tc>
          <w:tcPr>
            <w:tcW w:w="1887" w:type="dxa"/>
            <w:tcBorders>
              <w:top w:val="nil"/>
              <w:left w:val="nil"/>
              <w:bottom w:val="nil"/>
              <w:right w:val="nil"/>
            </w:tcBorders>
            <w:noWrap/>
            <w:hideMark/>
          </w:tcPr>
          <w:p w14:paraId="747393D3" w14:textId="77777777" w:rsidR="001B6918" w:rsidRPr="006B288C" w:rsidRDefault="001B6918" w:rsidP="00730ECF">
            <w:pPr>
              <w:jc w:val="right"/>
              <w:rPr>
                <w:rFonts w:eastAsia="Times New Roman" w:cstheme="minorHAnsi"/>
                <w:szCs w:val="24"/>
              </w:rPr>
            </w:pPr>
            <w:r w:rsidRPr="006B288C">
              <w:t xml:space="preserve"> 71,094 </w:t>
            </w:r>
          </w:p>
        </w:tc>
        <w:tc>
          <w:tcPr>
            <w:tcW w:w="2308" w:type="dxa"/>
            <w:tcBorders>
              <w:top w:val="nil"/>
              <w:left w:val="nil"/>
              <w:bottom w:val="nil"/>
              <w:right w:val="nil"/>
            </w:tcBorders>
            <w:shd w:val="clear" w:color="auto" w:fill="F2F2F2" w:themeFill="background1" w:themeFillShade="F2"/>
            <w:noWrap/>
            <w:hideMark/>
          </w:tcPr>
          <w:p w14:paraId="10FAF4D9" w14:textId="77777777" w:rsidR="001B6918" w:rsidRPr="004E6649" w:rsidRDefault="001B6918" w:rsidP="00730ECF">
            <w:pPr>
              <w:jc w:val="right"/>
              <w:rPr>
                <w:rFonts w:eastAsia="Times New Roman" w:cstheme="minorHAnsi"/>
                <w:color w:val="0D0D0D"/>
                <w:szCs w:val="24"/>
              </w:rPr>
            </w:pPr>
            <w:r w:rsidRPr="00E0373A">
              <w:t xml:space="preserve"> 64,741 </w:t>
            </w:r>
          </w:p>
        </w:tc>
      </w:tr>
      <w:tr w:rsidR="001B6918" w:rsidRPr="004E6649" w14:paraId="5139E0FD" w14:textId="77777777" w:rsidTr="00730ECF">
        <w:trPr>
          <w:trHeight w:val="66"/>
          <w:jc w:val="center"/>
        </w:trPr>
        <w:tc>
          <w:tcPr>
            <w:tcW w:w="3870" w:type="dxa"/>
            <w:tcBorders>
              <w:top w:val="nil"/>
              <w:left w:val="nil"/>
              <w:bottom w:val="nil"/>
              <w:right w:val="nil"/>
            </w:tcBorders>
            <w:shd w:val="clear" w:color="000000" w:fill="FFFFFF"/>
            <w:noWrap/>
            <w:vAlign w:val="bottom"/>
            <w:hideMark/>
          </w:tcPr>
          <w:p w14:paraId="5B33EFA4" w14:textId="77777777" w:rsidR="001B6918" w:rsidRPr="004E6649" w:rsidRDefault="001B6918" w:rsidP="00730ECF">
            <w:pPr>
              <w:ind w:firstLineChars="100" w:firstLine="220"/>
              <w:rPr>
                <w:rFonts w:eastAsia="Times New Roman" w:cstheme="minorHAnsi"/>
                <w:color w:val="0D0D0D"/>
                <w:szCs w:val="24"/>
              </w:rPr>
            </w:pPr>
            <w:r w:rsidRPr="004E6649">
              <w:rPr>
                <w:rFonts w:eastAsia="Times New Roman" w:cstheme="minorHAnsi"/>
                <w:color w:val="0D0D0D"/>
                <w:szCs w:val="24"/>
              </w:rPr>
              <w:t>Capital assets and retirement of debt</w:t>
            </w:r>
          </w:p>
        </w:tc>
        <w:tc>
          <w:tcPr>
            <w:tcW w:w="1887" w:type="dxa"/>
            <w:tcBorders>
              <w:top w:val="nil"/>
              <w:left w:val="nil"/>
              <w:bottom w:val="nil"/>
              <w:right w:val="nil"/>
            </w:tcBorders>
            <w:noWrap/>
            <w:hideMark/>
          </w:tcPr>
          <w:p w14:paraId="727D52D9" w14:textId="77777777" w:rsidR="001B6918" w:rsidRPr="006B288C" w:rsidRDefault="001B6918" w:rsidP="00730ECF">
            <w:pPr>
              <w:jc w:val="right"/>
              <w:rPr>
                <w:rFonts w:eastAsia="Times New Roman" w:cstheme="minorHAnsi"/>
                <w:szCs w:val="24"/>
              </w:rPr>
            </w:pPr>
            <w:r w:rsidRPr="006B288C">
              <w:t xml:space="preserve"> 18,911 </w:t>
            </w:r>
          </w:p>
        </w:tc>
        <w:tc>
          <w:tcPr>
            <w:tcW w:w="2308" w:type="dxa"/>
            <w:tcBorders>
              <w:top w:val="nil"/>
              <w:left w:val="nil"/>
              <w:bottom w:val="nil"/>
              <w:right w:val="nil"/>
            </w:tcBorders>
            <w:shd w:val="clear" w:color="auto" w:fill="F2F2F2" w:themeFill="background1" w:themeFillShade="F2"/>
            <w:noWrap/>
            <w:hideMark/>
          </w:tcPr>
          <w:p w14:paraId="4CE03ABA" w14:textId="77777777" w:rsidR="001B6918" w:rsidRPr="004E6649" w:rsidRDefault="001B6918" w:rsidP="00730ECF">
            <w:pPr>
              <w:jc w:val="right"/>
              <w:rPr>
                <w:rFonts w:eastAsia="Times New Roman" w:cstheme="minorHAnsi"/>
                <w:color w:val="0D0D0D"/>
                <w:szCs w:val="24"/>
              </w:rPr>
            </w:pPr>
            <w:r w:rsidRPr="00E0373A">
              <w:t xml:space="preserve"> 12,853 </w:t>
            </w:r>
          </w:p>
        </w:tc>
      </w:tr>
      <w:tr w:rsidR="001B6918" w:rsidRPr="004E6649" w14:paraId="1FECE8B2" w14:textId="77777777" w:rsidTr="00730ECF">
        <w:trPr>
          <w:trHeight w:val="66"/>
          <w:jc w:val="center"/>
        </w:trPr>
        <w:tc>
          <w:tcPr>
            <w:tcW w:w="3870" w:type="dxa"/>
            <w:tcBorders>
              <w:top w:val="nil"/>
              <w:left w:val="nil"/>
              <w:bottom w:val="nil"/>
              <w:right w:val="nil"/>
            </w:tcBorders>
            <w:shd w:val="clear" w:color="000000" w:fill="FFFFFF"/>
            <w:noWrap/>
            <w:vAlign w:val="bottom"/>
            <w:hideMark/>
          </w:tcPr>
          <w:p w14:paraId="34792792" w14:textId="77777777" w:rsidR="001B6918" w:rsidRPr="004E6649" w:rsidRDefault="001B6918" w:rsidP="00730ECF">
            <w:pPr>
              <w:ind w:firstLineChars="100" w:firstLine="220"/>
              <w:rPr>
                <w:rFonts w:eastAsia="Times New Roman" w:cstheme="minorHAnsi"/>
                <w:color w:val="0D0D0D"/>
                <w:szCs w:val="24"/>
              </w:rPr>
            </w:pPr>
            <w:r w:rsidRPr="004E6649">
              <w:rPr>
                <w:rFonts w:eastAsia="Times New Roman" w:cstheme="minorHAnsi"/>
                <w:color w:val="0D0D0D"/>
                <w:szCs w:val="24"/>
              </w:rPr>
              <w:t>Loans</w:t>
            </w:r>
          </w:p>
        </w:tc>
        <w:tc>
          <w:tcPr>
            <w:tcW w:w="1887" w:type="dxa"/>
            <w:tcBorders>
              <w:top w:val="nil"/>
              <w:left w:val="nil"/>
              <w:bottom w:val="nil"/>
              <w:right w:val="nil"/>
            </w:tcBorders>
            <w:noWrap/>
            <w:hideMark/>
          </w:tcPr>
          <w:p w14:paraId="26EFE7D4" w14:textId="77777777" w:rsidR="001B6918" w:rsidRPr="006B288C" w:rsidRDefault="001B6918" w:rsidP="00730ECF">
            <w:pPr>
              <w:jc w:val="right"/>
              <w:rPr>
                <w:rFonts w:eastAsia="Times New Roman" w:cstheme="minorHAnsi"/>
                <w:szCs w:val="24"/>
              </w:rPr>
            </w:pPr>
            <w:r w:rsidRPr="006B288C">
              <w:t xml:space="preserve"> 18,191 </w:t>
            </w:r>
          </w:p>
        </w:tc>
        <w:tc>
          <w:tcPr>
            <w:tcW w:w="2308" w:type="dxa"/>
            <w:tcBorders>
              <w:top w:val="nil"/>
              <w:left w:val="nil"/>
              <w:bottom w:val="nil"/>
              <w:right w:val="nil"/>
            </w:tcBorders>
            <w:shd w:val="clear" w:color="auto" w:fill="F2F2F2" w:themeFill="background1" w:themeFillShade="F2"/>
            <w:noWrap/>
            <w:hideMark/>
          </w:tcPr>
          <w:p w14:paraId="5C9D770C" w14:textId="77777777" w:rsidR="001B6918" w:rsidRPr="004E6649" w:rsidRDefault="001B6918" w:rsidP="00730ECF">
            <w:pPr>
              <w:jc w:val="right"/>
              <w:rPr>
                <w:rFonts w:eastAsia="Times New Roman" w:cstheme="minorHAnsi"/>
                <w:color w:val="0D0D0D"/>
                <w:szCs w:val="24"/>
              </w:rPr>
            </w:pPr>
            <w:r w:rsidRPr="00E0373A">
              <w:t xml:space="preserve"> 17,717 </w:t>
            </w:r>
          </w:p>
        </w:tc>
      </w:tr>
      <w:tr w:rsidR="001B6918" w:rsidRPr="004E6649" w14:paraId="1E07CF3D" w14:textId="77777777" w:rsidTr="00730ECF">
        <w:trPr>
          <w:trHeight w:val="66"/>
          <w:jc w:val="center"/>
        </w:trPr>
        <w:tc>
          <w:tcPr>
            <w:tcW w:w="3870" w:type="dxa"/>
            <w:tcBorders>
              <w:top w:val="nil"/>
              <w:left w:val="nil"/>
              <w:bottom w:val="nil"/>
              <w:right w:val="nil"/>
            </w:tcBorders>
            <w:shd w:val="clear" w:color="000000" w:fill="FFFFFF"/>
            <w:noWrap/>
            <w:vAlign w:val="bottom"/>
            <w:hideMark/>
          </w:tcPr>
          <w:p w14:paraId="5EA7A644" w14:textId="77777777" w:rsidR="001B6918" w:rsidRPr="004E6649" w:rsidRDefault="001B6918" w:rsidP="00730ECF">
            <w:pPr>
              <w:ind w:firstLineChars="100" w:firstLine="220"/>
              <w:rPr>
                <w:rFonts w:eastAsia="Times New Roman" w:cstheme="minorHAnsi"/>
                <w:color w:val="0D0D0D"/>
                <w:szCs w:val="24"/>
              </w:rPr>
            </w:pPr>
            <w:r w:rsidRPr="004E6649">
              <w:rPr>
                <w:rFonts w:eastAsia="Times New Roman" w:cstheme="minorHAnsi"/>
                <w:color w:val="0D0D0D"/>
                <w:szCs w:val="24"/>
              </w:rPr>
              <w:t>Academic support</w:t>
            </w:r>
          </w:p>
        </w:tc>
        <w:tc>
          <w:tcPr>
            <w:tcW w:w="1887" w:type="dxa"/>
            <w:tcBorders>
              <w:top w:val="nil"/>
              <w:left w:val="nil"/>
              <w:bottom w:val="nil"/>
              <w:right w:val="nil"/>
            </w:tcBorders>
            <w:noWrap/>
            <w:hideMark/>
          </w:tcPr>
          <w:p w14:paraId="60A261FB" w14:textId="77777777" w:rsidR="001B6918" w:rsidRPr="006B288C" w:rsidRDefault="001B6918" w:rsidP="00730ECF">
            <w:pPr>
              <w:jc w:val="right"/>
              <w:rPr>
                <w:rFonts w:eastAsia="Times New Roman" w:cstheme="minorHAnsi"/>
                <w:szCs w:val="24"/>
              </w:rPr>
            </w:pPr>
            <w:r w:rsidRPr="006B288C">
              <w:t xml:space="preserve"> 21,281 </w:t>
            </w:r>
          </w:p>
        </w:tc>
        <w:tc>
          <w:tcPr>
            <w:tcW w:w="2308" w:type="dxa"/>
            <w:tcBorders>
              <w:top w:val="nil"/>
              <w:left w:val="nil"/>
              <w:bottom w:val="nil"/>
              <w:right w:val="nil"/>
            </w:tcBorders>
            <w:shd w:val="clear" w:color="auto" w:fill="F2F2F2" w:themeFill="background1" w:themeFillShade="F2"/>
            <w:noWrap/>
            <w:hideMark/>
          </w:tcPr>
          <w:p w14:paraId="5095CDDF" w14:textId="77777777" w:rsidR="001B6918" w:rsidRPr="004E6649" w:rsidRDefault="001B6918" w:rsidP="00730ECF">
            <w:pPr>
              <w:jc w:val="right"/>
              <w:rPr>
                <w:rFonts w:eastAsia="Times New Roman" w:cstheme="minorHAnsi"/>
                <w:color w:val="0D0D0D"/>
                <w:szCs w:val="24"/>
              </w:rPr>
            </w:pPr>
            <w:r w:rsidRPr="00E0373A">
              <w:t xml:space="preserve"> 19,681 </w:t>
            </w:r>
          </w:p>
        </w:tc>
      </w:tr>
      <w:tr w:rsidR="001B6918" w:rsidRPr="004E6649" w14:paraId="5C0C3148" w14:textId="77777777" w:rsidTr="00730ECF">
        <w:trPr>
          <w:trHeight w:val="66"/>
          <w:jc w:val="center"/>
        </w:trPr>
        <w:tc>
          <w:tcPr>
            <w:tcW w:w="3870" w:type="dxa"/>
            <w:tcBorders>
              <w:top w:val="nil"/>
              <w:left w:val="nil"/>
              <w:right w:val="nil"/>
            </w:tcBorders>
            <w:shd w:val="clear" w:color="000000" w:fill="FFFFFF"/>
            <w:noWrap/>
            <w:vAlign w:val="bottom"/>
            <w:hideMark/>
          </w:tcPr>
          <w:p w14:paraId="2CA607DD" w14:textId="77777777" w:rsidR="001B6918" w:rsidRPr="004E6649" w:rsidRDefault="001B6918" w:rsidP="00730ECF">
            <w:pPr>
              <w:ind w:firstLineChars="100" w:firstLine="220"/>
              <w:rPr>
                <w:rFonts w:eastAsia="Times New Roman" w:cstheme="minorHAnsi"/>
                <w:color w:val="0D0D0D"/>
                <w:szCs w:val="24"/>
              </w:rPr>
            </w:pPr>
            <w:r w:rsidRPr="004E6649">
              <w:rPr>
                <w:rFonts w:eastAsia="Times New Roman" w:cstheme="minorHAnsi"/>
                <w:color w:val="0D0D0D"/>
                <w:szCs w:val="24"/>
              </w:rPr>
              <w:t>Research and public service</w:t>
            </w:r>
          </w:p>
        </w:tc>
        <w:tc>
          <w:tcPr>
            <w:tcW w:w="1887" w:type="dxa"/>
            <w:tcBorders>
              <w:top w:val="nil"/>
              <w:left w:val="nil"/>
              <w:right w:val="nil"/>
            </w:tcBorders>
            <w:noWrap/>
            <w:hideMark/>
          </w:tcPr>
          <w:p w14:paraId="788885AB" w14:textId="77777777" w:rsidR="001B6918" w:rsidRPr="006B288C" w:rsidRDefault="001B6918" w:rsidP="00730ECF">
            <w:pPr>
              <w:jc w:val="right"/>
              <w:rPr>
                <w:rFonts w:eastAsia="Times New Roman" w:cstheme="minorHAnsi"/>
                <w:szCs w:val="24"/>
              </w:rPr>
            </w:pPr>
            <w:r w:rsidRPr="006B288C">
              <w:t xml:space="preserve"> 30,163 </w:t>
            </w:r>
          </w:p>
        </w:tc>
        <w:tc>
          <w:tcPr>
            <w:tcW w:w="2308" w:type="dxa"/>
            <w:tcBorders>
              <w:top w:val="nil"/>
              <w:left w:val="nil"/>
              <w:right w:val="nil"/>
            </w:tcBorders>
            <w:shd w:val="clear" w:color="auto" w:fill="F2F2F2" w:themeFill="background1" w:themeFillShade="F2"/>
            <w:noWrap/>
            <w:hideMark/>
          </w:tcPr>
          <w:p w14:paraId="287CEFE7" w14:textId="77777777" w:rsidR="001B6918" w:rsidRPr="004E6649" w:rsidRDefault="001B6918" w:rsidP="00730ECF">
            <w:pPr>
              <w:jc w:val="right"/>
              <w:rPr>
                <w:rFonts w:eastAsia="Times New Roman" w:cstheme="minorHAnsi"/>
                <w:color w:val="0D0D0D"/>
                <w:szCs w:val="24"/>
              </w:rPr>
            </w:pPr>
            <w:r w:rsidRPr="00E0373A">
              <w:t xml:space="preserve"> 23,656 </w:t>
            </w:r>
          </w:p>
        </w:tc>
      </w:tr>
      <w:tr w:rsidR="001B6918" w:rsidRPr="004E6649" w14:paraId="54135B9F" w14:textId="77777777" w:rsidTr="00730ECF">
        <w:trPr>
          <w:trHeight w:val="153"/>
          <w:jc w:val="center"/>
        </w:trPr>
        <w:tc>
          <w:tcPr>
            <w:tcW w:w="3870" w:type="dxa"/>
            <w:tcBorders>
              <w:top w:val="nil"/>
              <w:left w:val="nil"/>
              <w:right w:val="nil"/>
            </w:tcBorders>
            <w:shd w:val="clear" w:color="000000" w:fill="FFFFFF"/>
            <w:noWrap/>
            <w:vAlign w:val="bottom"/>
            <w:hideMark/>
          </w:tcPr>
          <w:p w14:paraId="5ACB721E" w14:textId="77777777" w:rsidR="001B6918" w:rsidRPr="004E6649" w:rsidRDefault="001B6918" w:rsidP="00730ECF">
            <w:pPr>
              <w:ind w:firstLineChars="100" w:firstLine="220"/>
              <w:rPr>
                <w:rFonts w:eastAsia="Times New Roman" w:cstheme="minorHAnsi"/>
                <w:color w:val="0D0D0D"/>
                <w:szCs w:val="24"/>
              </w:rPr>
            </w:pPr>
            <w:r w:rsidRPr="004E6649">
              <w:rPr>
                <w:rFonts w:eastAsia="Times New Roman" w:cstheme="minorHAnsi"/>
                <w:color w:val="0D0D0D"/>
                <w:szCs w:val="24"/>
              </w:rPr>
              <w:t>Library</w:t>
            </w:r>
          </w:p>
        </w:tc>
        <w:tc>
          <w:tcPr>
            <w:tcW w:w="1887" w:type="dxa"/>
            <w:tcBorders>
              <w:top w:val="nil"/>
              <w:left w:val="nil"/>
              <w:right w:val="nil"/>
            </w:tcBorders>
            <w:noWrap/>
            <w:hideMark/>
          </w:tcPr>
          <w:p w14:paraId="49E5D65E" w14:textId="77777777" w:rsidR="001B6918" w:rsidRPr="006B288C" w:rsidRDefault="001B6918" w:rsidP="00730ECF">
            <w:pPr>
              <w:jc w:val="right"/>
              <w:rPr>
                <w:rFonts w:eastAsia="Times New Roman" w:cstheme="minorHAnsi"/>
                <w:szCs w:val="24"/>
              </w:rPr>
            </w:pPr>
            <w:r w:rsidRPr="006B288C">
              <w:t xml:space="preserve"> 5,255 </w:t>
            </w:r>
          </w:p>
        </w:tc>
        <w:tc>
          <w:tcPr>
            <w:tcW w:w="2308" w:type="dxa"/>
            <w:tcBorders>
              <w:top w:val="nil"/>
              <w:left w:val="nil"/>
              <w:right w:val="nil"/>
            </w:tcBorders>
            <w:shd w:val="clear" w:color="auto" w:fill="F2F2F2" w:themeFill="background1" w:themeFillShade="F2"/>
            <w:noWrap/>
            <w:hideMark/>
          </w:tcPr>
          <w:p w14:paraId="115DBC74" w14:textId="77777777" w:rsidR="001B6918" w:rsidRPr="004E6649" w:rsidRDefault="001B6918" w:rsidP="00730ECF">
            <w:pPr>
              <w:jc w:val="right"/>
              <w:rPr>
                <w:rFonts w:eastAsia="Times New Roman" w:cstheme="minorHAnsi"/>
                <w:color w:val="0D0D0D"/>
                <w:szCs w:val="24"/>
              </w:rPr>
            </w:pPr>
            <w:r w:rsidRPr="00E0373A">
              <w:t xml:space="preserve"> 4,800 </w:t>
            </w:r>
          </w:p>
        </w:tc>
      </w:tr>
      <w:tr w:rsidR="001B6918" w:rsidRPr="004E6649" w14:paraId="50EA452B" w14:textId="77777777" w:rsidTr="00730ECF">
        <w:trPr>
          <w:trHeight w:val="153"/>
          <w:jc w:val="center"/>
        </w:trPr>
        <w:tc>
          <w:tcPr>
            <w:tcW w:w="3870" w:type="dxa"/>
            <w:tcBorders>
              <w:top w:val="nil"/>
              <w:left w:val="nil"/>
              <w:right w:val="nil"/>
            </w:tcBorders>
            <w:shd w:val="clear" w:color="000000" w:fill="FFFFFF"/>
            <w:noWrap/>
            <w:vAlign w:val="bottom"/>
          </w:tcPr>
          <w:p w14:paraId="05AEC66C" w14:textId="77777777" w:rsidR="001B6918" w:rsidRPr="004E6649" w:rsidRDefault="001B6918" w:rsidP="00730ECF">
            <w:pPr>
              <w:ind w:left="250" w:hanging="1"/>
              <w:rPr>
                <w:rFonts w:eastAsia="Times New Roman" w:cstheme="minorHAnsi"/>
                <w:color w:val="0D0D0D"/>
                <w:szCs w:val="24"/>
              </w:rPr>
            </w:pPr>
            <w:r>
              <w:rPr>
                <w:rFonts w:eastAsia="Times New Roman" w:cstheme="minorHAnsi"/>
                <w:color w:val="0D0D0D"/>
                <w:szCs w:val="24"/>
              </w:rPr>
              <w:t>Benefit pool carryover - net OPEB                 asset</w:t>
            </w:r>
          </w:p>
        </w:tc>
        <w:tc>
          <w:tcPr>
            <w:tcW w:w="1887" w:type="dxa"/>
            <w:tcBorders>
              <w:top w:val="nil"/>
              <w:left w:val="nil"/>
              <w:right w:val="nil"/>
            </w:tcBorders>
            <w:noWrap/>
          </w:tcPr>
          <w:p w14:paraId="26D84F4E" w14:textId="77777777" w:rsidR="002E25E4" w:rsidRDefault="001B6918" w:rsidP="00730ECF">
            <w:pPr>
              <w:jc w:val="right"/>
            </w:pPr>
            <w:r w:rsidRPr="006B288C">
              <w:t xml:space="preserve"> </w:t>
            </w:r>
          </w:p>
          <w:p w14:paraId="1CFEC0AE" w14:textId="005A64C3" w:rsidR="001B6918" w:rsidRPr="006B288C" w:rsidRDefault="001B6918" w:rsidP="00730ECF">
            <w:pPr>
              <w:jc w:val="right"/>
            </w:pPr>
            <w:r w:rsidRPr="006B288C">
              <w:t xml:space="preserve">40,665 </w:t>
            </w:r>
          </w:p>
        </w:tc>
        <w:tc>
          <w:tcPr>
            <w:tcW w:w="2308" w:type="dxa"/>
            <w:tcBorders>
              <w:top w:val="nil"/>
              <w:left w:val="nil"/>
              <w:right w:val="nil"/>
            </w:tcBorders>
            <w:shd w:val="clear" w:color="auto" w:fill="F2F2F2" w:themeFill="background1" w:themeFillShade="F2"/>
            <w:noWrap/>
            <w:vAlign w:val="bottom"/>
          </w:tcPr>
          <w:p w14:paraId="74328376" w14:textId="77777777" w:rsidR="001B6918" w:rsidRPr="004E6649" w:rsidRDefault="001B6918" w:rsidP="00730ECF">
            <w:pPr>
              <w:jc w:val="right"/>
              <w:rPr>
                <w:rFonts w:cstheme="minorHAnsi"/>
              </w:rPr>
            </w:pPr>
            <w:r>
              <w:t>34,433</w:t>
            </w:r>
          </w:p>
        </w:tc>
      </w:tr>
      <w:tr w:rsidR="001B6918" w:rsidRPr="004E6649" w14:paraId="20CAF92C" w14:textId="77777777" w:rsidTr="00730ECF">
        <w:trPr>
          <w:trHeight w:val="152"/>
          <w:jc w:val="center"/>
        </w:trPr>
        <w:tc>
          <w:tcPr>
            <w:tcW w:w="3870" w:type="dxa"/>
            <w:tcBorders>
              <w:left w:val="nil"/>
              <w:bottom w:val="single" w:sz="8" w:space="0" w:color="000000" w:themeColor="text1"/>
              <w:right w:val="nil"/>
            </w:tcBorders>
            <w:shd w:val="clear" w:color="000000" w:fill="FFFFFF"/>
            <w:noWrap/>
            <w:vAlign w:val="bottom"/>
            <w:hideMark/>
          </w:tcPr>
          <w:p w14:paraId="466C73D6" w14:textId="77777777" w:rsidR="001B6918" w:rsidRPr="004E6649" w:rsidRDefault="001B6918" w:rsidP="00730ECF">
            <w:pPr>
              <w:ind w:firstLineChars="100" w:firstLine="220"/>
              <w:rPr>
                <w:rFonts w:eastAsia="Times New Roman" w:cstheme="minorHAnsi"/>
                <w:color w:val="0D0D0D"/>
                <w:szCs w:val="24"/>
              </w:rPr>
            </w:pPr>
            <w:r w:rsidRPr="004E6649">
              <w:rPr>
                <w:rFonts w:eastAsia="Times New Roman" w:cstheme="minorHAnsi"/>
                <w:color w:val="0D0D0D"/>
                <w:szCs w:val="24"/>
              </w:rPr>
              <w:t>Other</w:t>
            </w:r>
          </w:p>
        </w:tc>
        <w:tc>
          <w:tcPr>
            <w:tcW w:w="1887" w:type="dxa"/>
            <w:tcBorders>
              <w:left w:val="nil"/>
              <w:bottom w:val="single" w:sz="8" w:space="0" w:color="000000" w:themeColor="text1"/>
              <w:right w:val="nil"/>
            </w:tcBorders>
            <w:noWrap/>
            <w:hideMark/>
          </w:tcPr>
          <w:p w14:paraId="49A4C430" w14:textId="77777777" w:rsidR="001B6918" w:rsidRPr="006B288C" w:rsidRDefault="001B6918" w:rsidP="00730ECF">
            <w:pPr>
              <w:jc w:val="right"/>
              <w:rPr>
                <w:rFonts w:eastAsia="Times New Roman" w:cstheme="minorHAnsi"/>
                <w:szCs w:val="24"/>
              </w:rPr>
            </w:pPr>
            <w:r w:rsidRPr="006B288C">
              <w:t xml:space="preserve"> 33,526 </w:t>
            </w:r>
          </w:p>
        </w:tc>
        <w:tc>
          <w:tcPr>
            <w:tcW w:w="2308" w:type="dxa"/>
            <w:tcBorders>
              <w:left w:val="nil"/>
              <w:bottom w:val="single" w:sz="8" w:space="0" w:color="000000" w:themeColor="text1"/>
              <w:right w:val="nil"/>
            </w:tcBorders>
            <w:shd w:val="clear" w:color="auto" w:fill="F2F2F2" w:themeFill="background1" w:themeFillShade="F2"/>
            <w:noWrap/>
            <w:hideMark/>
          </w:tcPr>
          <w:p w14:paraId="51075169" w14:textId="77777777" w:rsidR="001B6918" w:rsidRPr="004E6649" w:rsidRDefault="001B6918" w:rsidP="00730ECF">
            <w:pPr>
              <w:jc w:val="right"/>
              <w:rPr>
                <w:rFonts w:eastAsia="Times New Roman" w:cstheme="minorHAnsi"/>
                <w:color w:val="0D0D0D"/>
                <w:szCs w:val="24"/>
              </w:rPr>
            </w:pPr>
            <w:r w:rsidRPr="00E0373A">
              <w:t xml:space="preserve"> 29,071 </w:t>
            </w:r>
          </w:p>
        </w:tc>
      </w:tr>
      <w:tr w:rsidR="001B6918" w:rsidRPr="004E6649" w14:paraId="2D76ED18" w14:textId="77777777" w:rsidTr="00730ECF">
        <w:trPr>
          <w:trHeight w:val="46"/>
          <w:jc w:val="center"/>
        </w:trPr>
        <w:tc>
          <w:tcPr>
            <w:tcW w:w="3870" w:type="dxa"/>
            <w:tcBorders>
              <w:top w:val="single" w:sz="8" w:space="0" w:color="000000" w:themeColor="text1"/>
              <w:left w:val="nil"/>
              <w:bottom w:val="single" w:sz="8" w:space="0" w:color="000000" w:themeColor="text1"/>
              <w:right w:val="nil"/>
            </w:tcBorders>
            <w:shd w:val="clear" w:color="000000" w:fill="FFFFFF"/>
            <w:noWrap/>
            <w:vAlign w:val="bottom"/>
            <w:hideMark/>
          </w:tcPr>
          <w:p w14:paraId="25C5C02A" w14:textId="77777777" w:rsidR="001B6918" w:rsidRPr="004E6649" w:rsidRDefault="001B6918" w:rsidP="00730ECF">
            <w:pPr>
              <w:ind w:firstLineChars="100" w:firstLine="220"/>
              <w:rPr>
                <w:rFonts w:eastAsia="Times New Roman" w:cstheme="minorHAnsi"/>
                <w:color w:val="0D0D0D"/>
                <w:szCs w:val="24"/>
              </w:rPr>
            </w:pPr>
            <w:r w:rsidRPr="004E6649">
              <w:rPr>
                <w:rFonts w:eastAsia="Times New Roman" w:cstheme="minorHAnsi"/>
                <w:color w:val="0D0D0D"/>
                <w:szCs w:val="24"/>
              </w:rPr>
              <w:t>Total restricted - expendable</w:t>
            </w:r>
          </w:p>
        </w:tc>
        <w:tc>
          <w:tcPr>
            <w:tcW w:w="1887" w:type="dxa"/>
            <w:tcBorders>
              <w:top w:val="single" w:sz="8" w:space="0" w:color="000000" w:themeColor="text1"/>
              <w:left w:val="nil"/>
              <w:bottom w:val="single" w:sz="8" w:space="0" w:color="000000" w:themeColor="text1"/>
              <w:right w:val="nil"/>
            </w:tcBorders>
            <w:shd w:val="clear" w:color="000000" w:fill="FFFFFF"/>
            <w:noWrap/>
            <w:vAlign w:val="bottom"/>
            <w:hideMark/>
          </w:tcPr>
          <w:p w14:paraId="2E69C10F" w14:textId="77777777" w:rsidR="001B6918" w:rsidRPr="006B288C" w:rsidRDefault="001B6918" w:rsidP="00730ECF">
            <w:pPr>
              <w:jc w:val="right"/>
              <w:rPr>
                <w:rFonts w:eastAsia="Times New Roman" w:cstheme="minorHAnsi"/>
                <w:szCs w:val="24"/>
              </w:rPr>
            </w:pPr>
            <w:r w:rsidRPr="006B288C">
              <w:rPr>
                <w:rFonts w:eastAsia="Times New Roman" w:cstheme="minorHAnsi"/>
                <w:szCs w:val="24"/>
              </w:rPr>
              <w:t>239,086</w:t>
            </w:r>
          </w:p>
        </w:tc>
        <w:tc>
          <w:tcPr>
            <w:tcW w:w="2308" w:type="dxa"/>
            <w:tcBorders>
              <w:top w:val="single" w:sz="8" w:space="0" w:color="000000" w:themeColor="text1"/>
              <w:left w:val="nil"/>
              <w:bottom w:val="single" w:sz="8" w:space="0" w:color="000000" w:themeColor="text1"/>
              <w:right w:val="nil"/>
            </w:tcBorders>
            <w:shd w:val="clear" w:color="auto" w:fill="F2F2F2" w:themeFill="background1" w:themeFillShade="F2"/>
            <w:noWrap/>
            <w:vAlign w:val="bottom"/>
            <w:hideMark/>
          </w:tcPr>
          <w:p w14:paraId="2A201FF6" w14:textId="77777777" w:rsidR="001B6918" w:rsidRPr="004E6649" w:rsidRDefault="001B6918" w:rsidP="00730ECF">
            <w:pPr>
              <w:jc w:val="right"/>
              <w:rPr>
                <w:rFonts w:eastAsia="Times New Roman" w:cstheme="minorHAnsi"/>
                <w:color w:val="0D0D0D"/>
                <w:szCs w:val="24"/>
              </w:rPr>
            </w:pPr>
            <w:r>
              <w:rPr>
                <w:rFonts w:eastAsia="Times New Roman" w:cstheme="minorHAnsi"/>
                <w:szCs w:val="24"/>
              </w:rPr>
              <w:t>206,952</w:t>
            </w:r>
          </w:p>
        </w:tc>
      </w:tr>
      <w:tr w:rsidR="001B6918" w:rsidRPr="004E6649" w14:paraId="6E4EAD64" w14:textId="77777777" w:rsidTr="00730ECF">
        <w:trPr>
          <w:trHeight w:val="115"/>
          <w:jc w:val="center"/>
        </w:trPr>
        <w:tc>
          <w:tcPr>
            <w:tcW w:w="3870" w:type="dxa"/>
            <w:tcBorders>
              <w:top w:val="single" w:sz="8" w:space="0" w:color="000000" w:themeColor="text1"/>
              <w:left w:val="nil"/>
              <w:bottom w:val="nil"/>
              <w:right w:val="nil"/>
            </w:tcBorders>
            <w:shd w:val="clear" w:color="000000" w:fill="FFFFFF"/>
            <w:noWrap/>
            <w:vAlign w:val="bottom"/>
            <w:hideMark/>
          </w:tcPr>
          <w:p w14:paraId="46728B8F" w14:textId="77777777" w:rsidR="001B6918" w:rsidRPr="004E6649" w:rsidRDefault="001B6918" w:rsidP="00730ECF">
            <w:pPr>
              <w:rPr>
                <w:rFonts w:eastAsia="Times New Roman" w:cstheme="minorHAnsi"/>
                <w:color w:val="0D0D0D"/>
                <w:szCs w:val="24"/>
              </w:rPr>
            </w:pPr>
            <w:r w:rsidRPr="004E6649">
              <w:rPr>
                <w:rFonts w:eastAsia="Times New Roman" w:cstheme="minorHAnsi"/>
                <w:color w:val="0D0D0D"/>
                <w:szCs w:val="24"/>
              </w:rPr>
              <w:t>Unrestricted:</w:t>
            </w:r>
          </w:p>
        </w:tc>
        <w:tc>
          <w:tcPr>
            <w:tcW w:w="1887" w:type="dxa"/>
            <w:tcBorders>
              <w:top w:val="single" w:sz="8" w:space="0" w:color="000000" w:themeColor="text1"/>
              <w:left w:val="nil"/>
              <w:bottom w:val="nil"/>
              <w:right w:val="nil"/>
            </w:tcBorders>
            <w:shd w:val="clear" w:color="000000" w:fill="FFFFFF"/>
            <w:noWrap/>
            <w:vAlign w:val="bottom"/>
            <w:hideMark/>
          </w:tcPr>
          <w:p w14:paraId="3360BE9F" w14:textId="77777777" w:rsidR="001B6918" w:rsidRPr="006B288C" w:rsidRDefault="001B6918" w:rsidP="00730ECF">
            <w:pPr>
              <w:jc w:val="right"/>
              <w:rPr>
                <w:rFonts w:eastAsia="Times New Roman" w:cstheme="minorHAnsi"/>
                <w:szCs w:val="24"/>
              </w:rPr>
            </w:pPr>
            <w:r w:rsidRPr="006B288C">
              <w:rPr>
                <w:rFonts w:eastAsia="Times New Roman" w:cstheme="minorHAnsi"/>
                <w:szCs w:val="24"/>
              </w:rPr>
              <w:t> </w:t>
            </w:r>
          </w:p>
        </w:tc>
        <w:tc>
          <w:tcPr>
            <w:tcW w:w="2308" w:type="dxa"/>
            <w:tcBorders>
              <w:top w:val="single" w:sz="8" w:space="0" w:color="000000" w:themeColor="text1"/>
              <w:left w:val="nil"/>
              <w:bottom w:val="nil"/>
              <w:right w:val="nil"/>
            </w:tcBorders>
            <w:shd w:val="clear" w:color="auto" w:fill="F2F2F2" w:themeFill="background1" w:themeFillShade="F2"/>
            <w:noWrap/>
            <w:vAlign w:val="bottom"/>
            <w:hideMark/>
          </w:tcPr>
          <w:p w14:paraId="217DB327" w14:textId="77777777" w:rsidR="001B6918" w:rsidRPr="004E6649" w:rsidRDefault="001B6918" w:rsidP="00730ECF">
            <w:pPr>
              <w:jc w:val="right"/>
              <w:rPr>
                <w:rFonts w:eastAsia="Times New Roman" w:cstheme="minorHAnsi"/>
                <w:color w:val="0D0D0D"/>
                <w:szCs w:val="24"/>
              </w:rPr>
            </w:pPr>
            <w:r w:rsidRPr="00E0373A">
              <w:rPr>
                <w:rFonts w:eastAsia="Times New Roman" w:cstheme="minorHAnsi"/>
                <w:szCs w:val="24"/>
              </w:rPr>
              <w:t> </w:t>
            </w:r>
          </w:p>
        </w:tc>
      </w:tr>
      <w:tr w:rsidR="001B6918" w:rsidRPr="004E6649" w14:paraId="172D2B08" w14:textId="77777777" w:rsidTr="00730ECF">
        <w:trPr>
          <w:trHeight w:val="66"/>
          <w:jc w:val="center"/>
        </w:trPr>
        <w:tc>
          <w:tcPr>
            <w:tcW w:w="3870" w:type="dxa"/>
            <w:tcBorders>
              <w:top w:val="nil"/>
              <w:left w:val="nil"/>
              <w:bottom w:val="nil"/>
              <w:right w:val="nil"/>
            </w:tcBorders>
            <w:shd w:val="clear" w:color="000000" w:fill="FFFFFF"/>
            <w:noWrap/>
            <w:vAlign w:val="bottom"/>
            <w:hideMark/>
          </w:tcPr>
          <w:p w14:paraId="5B5EC771" w14:textId="77777777" w:rsidR="001B6918" w:rsidRPr="004E6649" w:rsidRDefault="001B6918" w:rsidP="00730ECF">
            <w:pPr>
              <w:ind w:firstLineChars="100" w:firstLine="220"/>
              <w:rPr>
                <w:rFonts w:eastAsia="Times New Roman" w:cstheme="minorHAnsi"/>
                <w:color w:val="0D0D0D"/>
                <w:szCs w:val="24"/>
              </w:rPr>
            </w:pPr>
            <w:r w:rsidRPr="004E6649">
              <w:rPr>
                <w:rFonts w:eastAsia="Times New Roman" w:cstheme="minorHAnsi"/>
                <w:color w:val="0D0D0D"/>
                <w:szCs w:val="24"/>
              </w:rPr>
              <w:t>Educational and general reserves</w:t>
            </w:r>
          </w:p>
        </w:tc>
        <w:tc>
          <w:tcPr>
            <w:tcW w:w="1887" w:type="dxa"/>
            <w:tcBorders>
              <w:top w:val="nil"/>
              <w:left w:val="nil"/>
              <w:bottom w:val="nil"/>
              <w:right w:val="nil"/>
            </w:tcBorders>
            <w:noWrap/>
            <w:hideMark/>
          </w:tcPr>
          <w:p w14:paraId="5E162C77" w14:textId="77777777" w:rsidR="001B6918" w:rsidRPr="006B288C" w:rsidRDefault="001B6918" w:rsidP="00730ECF">
            <w:pPr>
              <w:jc w:val="right"/>
              <w:rPr>
                <w:rFonts w:eastAsia="Times New Roman" w:cstheme="minorHAnsi"/>
                <w:szCs w:val="24"/>
              </w:rPr>
            </w:pPr>
            <w:r w:rsidRPr="006B288C">
              <w:t xml:space="preserve"> 44,560 </w:t>
            </w:r>
          </w:p>
        </w:tc>
        <w:tc>
          <w:tcPr>
            <w:tcW w:w="2308" w:type="dxa"/>
            <w:tcBorders>
              <w:top w:val="nil"/>
              <w:left w:val="nil"/>
              <w:bottom w:val="nil"/>
              <w:right w:val="nil"/>
            </w:tcBorders>
            <w:shd w:val="clear" w:color="auto" w:fill="F2F2F2" w:themeFill="background1" w:themeFillShade="F2"/>
            <w:noWrap/>
            <w:hideMark/>
          </w:tcPr>
          <w:p w14:paraId="13B4B916" w14:textId="77777777" w:rsidR="001B6918" w:rsidRPr="004E6649" w:rsidRDefault="001B6918" w:rsidP="00730ECF">
            <w:pPr>
              <w:jc w:val="right"/>
              <w:rPr>
                <w:rFonts w:eastAsia="Times New Roman" w:cstheme="minorHAnsi"/>
                <w:color w:val="0D0D0D"/>
                <w:szCs w:val="24"/>
              </w:rPr>
            </w:pPr>
            <w:r w:rsidRPr="00E0373A">
              <w:t xml:space="preserve"> 48,226 </w:t>
            </w:r>
          </w:p>
        </w:tc>
      </w:tr>
      <w:tr w:rsidR="001B6918" w:rsidRPr="004E6649" w14:paraId="042E6C2D" w14:textId="77777777" w:rsidTr="00730ECF">
        <w:trPr>
          <w:trHeight w:val="108"/>
          <w:jc w:val="center"/>
        </w:trPr>
        <w:tc>
          <w:tcPr>
            <w:tcW w:w="3870" w:type="dxa"/>
            <w:tcBorders>
              <w:top w:val="nil"/>
              <w:left w:val="nil"/>
              <w:bottom w:val="nil"/>
              <w:right w:val="nil"/>
            </w:tcBorders>
            <w:shd w:val="clear" w:color="000000" w:fill="FFFFFF"/>
            <w:noWrap/>
            <w:vAlign w:val="bottom"/>
            <w:hideMark/>
          </w:tcPr>
          <w:p w14:paraId="3AD88190" w14:textId="77777777" w:rsidR="001B6918" w:rsidRPr="004E6649" w:rsidRDefault="001B6918" w:rsidP="00730ECF">
            <w:pPr>
              <w:ind w:firstLineChars="100" w:firstLine="220"/>
              <w:rPr>
                <w:rFonts w:eastAsia="Times New Roman" w:cstheme="minorHAnsi"/>
                <w:color w:val="0D0D0D"/>
                <w:szCs w:val="24"/>
              </w:rPr>
            </w:pPr>
            <w:r w:rsidRPr="004E6649">
              <w:rPr>
                <w:rFonts w:eastAsia="Times New Roman" w:cstheme="minorHAnsi"/>
                <w:color w:val="0D0D0D"/>
                <w:szCs w:val="24"/>
              </w:rPr>
              <w:t>Risk management</w:t>
            </w:r>
          </w:p>
        </w:tc>
        <w:tc>
          <w:tcPr>
            <w:tcW w:w="1887" w:type="dxa"/>
            <w:tcBorders>
              <w:top w:val="nil"/>
              <w:left w:val="nil"/>
              <w:bottom w:val="nil"/>
              <w:right w:val="nil"/>
            </w:tcBorders>
            <w:noWrap/>
            <w:hideMark/>
          </w:tcPr>
          <w:p w14:paraId="1EEF38DF" w14:textId="77777777" w:rsidR="001B6918" w:rsidRPr="006B288C" w:rsidRDefault="001B6918" w:rsidP="00730ECF">
            <w:pPr>
              <w:jc w:val="right"/>
              <w:rPr>
                <w:rFonts w:eastAsia="Times New Roman" w:cstheme="minorHAnsi"/>
                <w:szCs w:val="24"/>
              </w:rPr>
            </w:pPr>
            <w:r w:rsidRPr="006B288C">
              <w:t xml:space="preserve"> 5,166 </w:t>
            </w:r>
          </w:p>
        </w:tc>
        <w:tc>
          <w:tcPr>
            <w:tcW w:w="2308" w:type="dxa"/>
            <w:tcBorders>
              <w:top w:val="nil"/>
              <w:left w:val="nil"/>
              <w:bottom w:val="nil"/>
              <w:right w:val="nil"/>
            </w:tcBorders>
            <w:shd w:val="clear" w:color="auto" w:fill="F2F2F2" w:themeFill="background1" w:themeFillShade="F2"/>
            <w:noWrap/>
            <w:hideMark/>
          </w:tcPr>
          <w:p w14:paraId="5A658865" w14:textId="77777777" w:rsidR="001B6918" w:rsidRPr="004E6649" w:rsidRDefault="001B6918" w:rsidP="00730ECF">
            <w:pPr>
              <w:jc w:val="right"/>
              <w:rPr>
                <w:rFonts w:eastAsia="Times New Roman" w:cstheme="minorHAnsi"/>
                <w:color w:val="0D0D0D"/>
                <w:szCs w:val="24"/>
              </w:rPr>
            </w:pPr>
            <w:r w:rsidRPr="00E0373A">
              <w:t xml:space="preserve"> 4,109 </w:t>
            </w:r>
          </w:p>
        </w:tc>
      </w:tr>
      <w:tr w:rsidR="001B6918" w:rsidRPr="004E6649" w14:paraId="6DBCE984" w14:textId="77777777" w:rsidTr="00730ECF">
        <w:trPr>
          <w:trHeight w:val="117"/>
          <w:jc w:val="center"/>
        </w:trPr>
        <w:tc>
          <w:tcPr>
            <w:tcW w:w="3870" w:type="dxa"/>
            <w:tcBorders>
              <w:top w:val="nil"/>
              <w:left w:val="nil"/>
              <w:bottom w:val="nil"/>
              <w:right w:val="nil"/>
            </w:tcBorders>
            <w:shd w:val="clear" w:color="000000" w:fill="FFFFFF"/>
            <w:noWrap/>
            <w:vAlign w:val="bottom"/>
            <w:hideMark/>
          </w:tcPr>
          <w:p w14:paraId="03F8B9E4" w14:textId="77777777" w:rsidR="001B6918" w:rsidRPr="004E6649" w:rsidRDefault="001B6918" w:rsidP="00730ECF">
            <w:pPr>
              <w:ind w:firstLineChars="100" w:firstLine="220"/>
              <w:rPr>
                <w:rFonts w:eastAsia="Times New Roman" w:cstheme="minorHAnsi"/>
                <w:color w:val="0D0D0D"/>
                <w:szCs w:val="24"/>
              </w:rPr>
            </w:pPr>
            <w:r w:rsidRPr="004E6649">
              <w:rPr>
                <w:rFonts w:eastAsia="Times New Roman" w:cstheme="minorHAnsi"/>
                <w:color w:val="0D0D0D"/>
                <w:szCs w:val="24"/>
              </w:rPr>
              <w:t>Budget stabilization</w:t>
            </w:r>
          </w:p>
        </w:tc>
        <w:tc>
          <w:tcPr>
            <w:tcW w:w="1887" w:type="dxa"/>
            <w:tcBorders>
              <w:top w:val="nil"/>
              <w:left w:val="nil"/>
              <w:bottom w:val="nil"/>
              <w:right w:val="nil"/>
            </w:tcBorders>
            <w:noWrap/>
            <w:hideMark/>
          </w:tcPr>
          <w:p w14:paraId="78001480" w14:textId="77777777" w:rsidR="001B6918" w:rsidRPr="006B288C" w:rsidRDefault="001B6918" w:rsidP="00730ECF">
            <w:pPr>
              <w:jc w:val="right"/>
              <w:rPr>
                <w:rFonts w:eastAsia="Times New Roman" w:cstheme="minorHAnsi"/>
                <w:szCs w:val="24"/>
              </w:rPr>
            </w:pPr>
            <w:r w:rsidRPr="006B288C">
              <w:t xml:space="preserve"> 17,000 </w:t>
            </w:r>
          </w:p>
        </w:tc>
        <w:tc>
          <w:tcPr>
            <w:tcW w:w="2308" w:type="dxa"/>
            <w:tcBorders>
              <w:top w:val="nil"/>
              <w:left w:val="nil"/>
              <w:bottom w:val="nil"/>
              <w:right w:val="nil"/>
            </w:tcBorders>
            <w:shd w:val="clear" w:color="auto" w:fill="F2F2F2" w:themeFill="background1" w:themeFillShade="F2"/>
            <w:noWrap/>
            <w:hideMark/>
          </w:tcPr>
          <w:p w14:paraId="361F66F1" w14:textId="77777777" w:rsidR="001B6918" w:rsidRPr="004E6649" w:rsidRDefault="001B6918" w:rsidP="00730ECF">
            <w:pPr>
              <w:jc w:val="right"/>
              <w:rPr>
                <w:rFonts w:eastAsia="Times New Roman" w:cstheme="minorHAnsi"/>
                <w:color w:val="0D0D0D"/>
                <w:szCs w:val="24"/>
              </w:rPr>
            </w:pPr>
            <w:r w:rsidRPr="00E0373A">
              <w:t xml:space="preserve"> 4,804 </w:t>
            </w:r>
          </w:p>
        </w:tc>
      </w:tr>
      <w:tr w:rsidR="001B6918" w:rsidRPr="004E6649" w14:paraId="3E24CFDB" w14:textId="77777777" w:rsidTr="00730ECF">
        <w:trPr>
          <w:trHeight w:val="66"/>
          <w:jc w:val="center"/>
        </w:trPr>
        <w:tc>
          <w:tcPr>
            <w:tcW w:w="3870" w:type="dxa"/>
            <w:tcBorders>
              <w:top w:val="nil"/>
              <w:left w:val="nil"/>
              <w:bottom w:val="nil"/>
              <w:right w:val="nil"/>
            </w:tcBorders>
            <w:shd w:val="clear" w:color="000000" w:fill="FFFFFF"/>
            <w:noWrap/>
            <w:vAlign w:val="bottom"/>
            <w:hideMark/>
          </w:tcPr>
          <w:p w14:paraId="03574F1D" w14:textId="77777777" w:rsidR="001B6918" w:rsidRPr="004E6649" w:rsidRDefault="001B6918" w:rsidP="00730ECF">
            <w:pPr>
              <w:ind w:firstLineChars="100" w:firstLine="220"/>
              <w:rPr>
                <w:rFonts w:eastAsia="Times New Roman" w:cstheme="minorHAnsi"/>
                <w:color w:val="0D0D0D"/>
                <w:szCs w:val="24"/>
              </w:rPr>
            </w:pPr>
            <w:r w:rsidRPr="004E6649">
              <w:rPr>
                <w:rFonts w:eastAsia="Times New Roman" w:cstheme="minorHAnsi"/>
                <w:color w:val="0D0D0D"/>
                <w:szCs w:val="24"/>
              </w:rPr>
              <w:t>Auxiliary enterprises</w:t>
            </w:r>
          </w:p>
        </w:tc>
        <w:tc>
          <w:tcPr>
            <w:tcW w:w="1887" w:type="dxa"/>
            <w:tcBorders>
              <w:top w:val="nil"/>
              <w:left w:val="nil"/>
              <w:bottom w:val="nil"/>
              <w:right w:val="nil"/>
            </w:tcBorders>
            <w:noWrap/>
            <w:hideMark/>
          </w:tcPr>
          <w:p w14:paraId="4782BD36" w14:textId="77777777" w:rsidR="001B6918" w:rsidRPr="006B288C" w:rsidRDefault="001B6918" w:rsidP="00730ECF">
            <w:pPr>
              <w:jc w:val="right"/>
              <w:rPr>
                <w:rFonts w:eastAsia="Times New Roman" w:cstheme="minorHAnsi"/>
                <w:szCs w:val="24"/>
              </w:rPr>
            </w:pPr>
            <w:r w:rsidRPr="006B288C">
              <w:t xml:space="preserve"> (5,969)</w:t>
            </w:r>
          </w:p>
        </w:tc>
        <w:tc>
          <w:tcPr>
            <w:tcW w:w="2308" w:type="dxa"/>
            <w:tcBorders>
              <w:top w:val="nil"/>
              <w:left w:val="nil"/>
              <w:bottom w:val="nil"/>
              <w:right w:val="nil"/>
            </w:tcBorders>
            <w:shd w:val="clear" w:color="auto" w:fill="F2F2F2" w:themeFill="background1" w:themeFillShade="F2"/>
            <w:noWrap/>
            <w:hideMark/>
          </w:tcPr>
          <w:p w14:paraId="7DA1AADD" w14:textId="77777777" w:rsidR="001B6918" w:rsidRPr="004E6649" w:rsidRDefault="001B6918" w:rsidP="00730ECF">
            <w:pPr>
              <w:jc w:val="right"/>
              <w:rPr>
                <w:rFonts w:eastAsia="Times New Roman" w:cstheme="minorHAnsi"/>
                <w:color w:val="0D0D0D"/>
                <w:szCs w:val="24"/>
              </w:rPr>
            </w:pPr>
            <w:r w:rsidRPr="00E0373A">
              <w:t xml:space="preserve"> (1,794)</w:t>
            </w:r>
          </w:p>
        </w:tc>
      </w:tr>
      <w:tr w:rsidR="001B6918" w:rsidRPr="004E6649" w14:paraId="7CB36C08" w14:textId="77777777" w:rsidTr="00730ECF">
        <w:trPr>
          <w:trHeight w:val="66"/>
          <w:jc w:val="center"/>
        </w:trPr>
        <w:tc>
          <w:tcPr>
            <w:tcW w:w="3870" w:type="dxa"/>
            <w:tcBorders>
              <w:top w:val="nil"/>
              <w:left w:val="nil"/>
              <w:bottom w:val="nil"/>
              <w:right w:val="nil"/>
            </w:tcBorders>
            <w:shd w:val="clear" w:color="000000" w:fill="FFFFFF"/>
            <w:noWrap/>
            <w:vAlign w:val="bottom"/>
            <w:hideMark/>
          </w:tcPr>
          <w:p w14:paraId="2546C9DF" w14:textId="77777777" w:rsidR="001B6918" w:rsidRPr="004E6649" w:rsidRDefault="001B6918" w:rsidP="00730ECF">
            <w:pPr>
              <w:ind w:firstLineChars="100" w:firstLine="220"/>
              <w:rPr>
                <w:rFonts w:eastAsia="Times New Roman" w:cstheme="minorHAnsi"/>
                <w:color w:val="0D0D0D"/>
                <w:szCs w:val="24"/>
              </w:rPr>
            </w:pPr>
            <w:r w:rsidRPr="004E6649">
              <w:rPr>
                <w:rFonts w:eastAsia="Times New Roman" w:cstheme="minorHAnsi"/>
                <w:color w:val="0D0D0D"/>
                <w:szCs w:val="24"/>
              </w:rPr>
              <w:t>Benefit pool carryover</w:t>
            </w:r>
          </w:p>
        </w:tc>
        <w:tc>
          <w:tcPr>
            <w:tcW w:w="1887" w:type="dxa"/>
            <w:tcBorders>
              <w:top w:val="nil"/>
              <w:left w:val="nil"/>
              <w:bottom w:val="nil"/>
              <w:right w:val="nil"/>
            </w:tcBorders>
            <w:noWrap/>
            <w:hideMark/>
          </w:tcPr>
          <w:p w14:paraId="27BB242A" w14:textId="51545D80" w:rsidR="001B6918" w:rsidRPr="006B288C" w:rsidRDefault="005B68A7" w:rsidP="00730ECF">
            <w:pPr>
              <w:jc w:val="right"/>
              <w:rPr>
                <w:rFonts w:eastAsia="Times New Roman" w:cstheme="minorHAnsi"/>
                <w:szCs w:val="24"/>
              </w:rPr>
            </w:pPr>
            <w:r w:rsidRPr="005B68A7">
              <w:t>1,706</w:t>
            </w:r>
          </w:p>
        </w:tc>
        <w:tc>
          <w:tcPr>
            <w:tcW w:w="2308" w:type="dxa"/>
            <w:tcBorders>
              <w:top w:val="nil"/>
              <w:left w:val="nil"/>
              <w:bottom w:val="nil"/>
              <w:right w:val="nil"/>
            </w:tcBorders>
            <w:shd w:val="clear" w:color="auto" w:fill="F2F2F2" w:themeFill="background1" w:themeFillShade="F2"/>
            <w:noWrap/>
            <w:hideMark/>
          </w:tcPr>
          <w:p w14:paraId="516722EB" w14:textId="77777777" w:rsidR="001B6918" w:rsidRPr="004E6649" w:rsidRDefault="001B6918" w:rsidP="00730ECF">
            <w:pPr>
              <w:jc w:val="right"/>
              <w:rPr>
                <w:rFonts w:eastAsia="Times New Roman" w:cstheme="minorHAnsi"/>
                <w:color w:val="0D0D0D"/>
                <w:szCs w:val="24"/>
              </w:rPr>
            </w:pPr>
            <w:r w:rsidRPr="00E0373A">
              <w:t xml:space="preserve"> </w:t>
            </w:r>
            <w:r w:rsidRPr="006B2290">
              <w:t xml:space="preserve"> 8,932</w:t>
            </w:r>
          </w:p>
        </w:tc>
      </w:tr>
      <w:tr w:rsidR="001B6918" w:rsidRPr="004E6649" w14:paraId="67E13ABB" w14:textId="77777777" w:rsidTr="00730ECF">
        <w:trPr>
          <w:trHeight w:val="66"/>
          <w:jc w:val="center"/>
        </w:trPr>
        <w:tc>
          <w:tcPr>
            <w:tcW w:w="3870" w:type="dxa"/>
            <w:tcBorders>
              <w:top w:val="nil"/>
              <w:left w:val="nil"/>
              <w:bottom w:val="nil"/>
              <w:right w:val="nil"/>
            </w:tcBorders>
            <w:shd w:val="clear" w:color="000000" w:fill="FFFFFF"/>
            <w:noWrap/>
            <w:vAlign w:val="bottom"/>
            <w:hideMark/>
          </w:tcPr>
          <w:p w14:paraId="0A4466DF" w14:textId="77777777" w:rsidR="001B6918" w:rsidRPr="004E6649" w:rsidRDefault="001B6918" w:rsidP="00730ECF">
            <w:pPr>
              <w:ind w:firstLineChars="100" w:firstLine="220"/>
              <w:rPr>
                <w:rFonts w:eastAsia="Times New Roman" w:cstheme="minorHAnsi"/>
                <w:color w:val="0D0D0D"/>
                <w:szCs w:val="24"/>
              </w:rPr>
            </w:pPr>
            <w:r w:rsidRPr="004E6649">
              <w:rPr>
                <w:rFonts w:eastAsia="Times New Roman" w:cstheme="minorHAnsi"/>
                <w:color w:val="0D0D0D"/>
                <w:szCs w:val="24"/>
              </w:rPr>
              <w:t>Implementation of GASB 75 for OPEB</w:t>
            </w:r>
          </w:p>
        </w:tc>
        <w:tc>
          <w:tcPr>
            <w:tcW w:w="1887" w:type="dxa"/>
            <w:tcBorders>
              <w:top w:val="nil"/>
              <w:left w:val="nil"/>
              <w:bottom w:val="nil"/>
              <w:right w:val="nil"/>
            </w:tcBorders>
            <w:noWrap/>
            <w:hideMark/>
          </w:tcPr>
          <w:p w14:paraId="7D2B2524" w14:textId="77777777" w:rsidR="001B6918" w:rsidRPr="006B288C" w:rsidRDefault="001B6918" w:rsidP="00730ECF">
            <w:pPr>
              <w:jc w:val="right"/>
              <w:rPr>
                <w:rFonts w:eastAsia="Times New Roman" w:cstheme="minorHAnsi"/>
                <w:szCs w:val="24"/>
              </w:rPr>
            </w:pPr>
            <w:r w:rsidRPr="006B288C">
              <w:t xml:space="preserve"> (33,795)</w:t>
            </w:r>
          </w:p>
        </w:tc>
        <w:tc>
          <w:tcPr>
            <w:tcW w:w="2308" w:type="dxa"/>
            <w:tcBorders>
              <w:top w:val="nil"/>
              <w:left w:val="nil"/>
              <w:bottom w:val="nil"/>
              <w:right w:val="nil"/>
            </w:tcBorders>
            <w:shd w:val="clear" w:color="auto" w:fill="F2F2F2" w:themeFill="background1" w:themeFillShade="F2"/>
            <w:noWrap/>
            <w:hideMark/>
          </w:tcPr>
          <w:p w14:paraId="7B3CD5C1" w14:textId="77777777" w:rsidR="001B6918" w:rsidRPr="004E6649" w:rsidRDefault="001B6918" w:rsidP="00730ECF">
            <w:pPr>
              <w:jc w:val="right"/>
              <w:rPr>
                <w:rFonts w:eastAsia="Times New Roman" w:cstheme="minorHAnsi"/>
                <w:color w:val="0D0D0D"/>
                <w:szCs w:val="24"/>
              </w:rPr>
            </w:pPr>
            <w:r w:rsidRPr="00E0373A">
              <w:t xml:space="preserve"> (33,795)</w:t>
            </w:r>
          </w:p>
        </w:tc>
      </w:tr>
      <w:tr w:rsidR="001B6918" w:rsidRPr="004E6649" w14:paraId="177BB185" w14:textId="77777777" w:rsidTr="00730ECF">
        <w:trPr>
          <w:trHeight w:val="66"/>
          <w:jc w:val="center"/>
        </w:trPr>
        <w:tc>
          <w:tcPr>
            <w:tcW w:w="3870" w:type="dxa"/>
            <w:tcBorders>
              <w:top w:val="nil"/>
              <w:left w:val="nil"/>
              <w:bottom w:val="nil"/>
              <w:right w:val="nil"/>
            </w:tcBorders>
            <w:shd w:val="clear" w:color="000000" w:fill="FFFFFF"/>
            <w:noWrap/>
            <w:vAlign w:val="bottom"/>
            <w:hideMark/>
          </w:tcPr>
          <w:p w14:paraId="46970E3F" w14:textId="77777777" w:rsidR="001B6918" w:rsidRPr="004E6649" w:rsidRDefault="001B6918" w:rsidP="00730ECF">
            <w:pPr>
              <w:ind w:firstLineChars="100" w:firstLine="220"/>
              <w:rPr>
                <w:rFonts w:eastAsia="Times New Roman" w:cstheme="minorHAnsi"/>
                <w:color w:val="0D0D0D"/>
                <w:szCs w:val="24"/>
              </w:rPr>
            </w:pPr>
            <w:r w:rsidRPr="004E6649">
              <w:rPr>
                <w:rFonts w:eastAsia="Times New Roman" w:cstheme="minorHAnsi"/>
                <w:color w:val="0D0D0D"/>
                <w:szCs w:val="24"/>
              </w:rPr>
              <w:t>Information technology initiatives</w:t>
            </w:r>
          </w:p>
        </w:tc>
        <w:tc>
          <w:tcPr>
            <w:tcW w:w="1887" w:type="dxa"/>
            <w:tcBorders>
              <w:top w:val="nil"/>
              <w:left w:val="nil"/>
              <w:bottom w:val="nil"/>
              <w:right w:val="nil"/>
            </w:tcBorders>
            <w:noWrap/>
            <w:hideMark/>
          </w:tcPr>
          <w:p w14:paraId="2C0A5976" w14:textId="77777777" w:rsidR="001B6918" w:rsidRPr="006B288C" w:rsidRDefault="001B6918" w:rsidP="00730ECF">
            <w:pPr>
              <w:jc w:val="right"/>
              <w:rPr>
                <w:rFonts w:eastAsia="Times New Roman" w:cstheme="minorHAnsi"/>
                <w:szCs w:val="24"/>
              </w:rPr>
            </w:pPr>
            <w:r w:rsidRPr="006B288C">
              <w:t xml:space="preserve"> 4,057 </w:t>
            </w:r>
          </w:p>
        </w:tc>
        <w:tc>
          <w:tcPr>
            <w:tcW w:w="2308" w:type="dxa"/>
            <w:tcBorders>
              <w:top w:val="nil"/>
              <w:left w:val="nil"/>
              <w:bottom w:val="nil"/>
              <w:right w:val="nil"/>
            </w:tcBorders>
            <w:shd w:val="clear" w:color="auto" w:fill="F2F2F2" w:themeFill="background1" w:themeFillShade="F2"/>
            <w:noWrap/>
            <w:hideMark/>
          </w:tcPr>
          <w:p w14:paraId="2416BDCA" w14:textId="77777777" w:rsidR="001B6918" w:rsidRPr="004E6649" w:rsidRDefault="001B6918" w:rsidP="00730ECF">
            <w:pPr>
              <w:jc w:val="right"/>
              <w:rPr>
                <w:rFonts w:eastAsia="Times New Roman" w:cstheme="minorHAnsi"/>
                <w:color w:val="0D0D0D"/>
                <w:szCs w:val="24"/>
              </w:rPr>
            </w:pPr>
            <w:r w:rsidRPr="00E0373A">
              <w:t xml:space="preserve"> 3,382 </w:t>
            </w:r>
          </w:p>
        </w:tc>
      </w:tr>
      <w:tr w:rsidR="001B6918" w:rsidRPr="004E6649" w14:paraId="3D388B2B" w14:textId="77777777" w:rsidTr="00730ECF">
        <w:trPr>
          <w:trHeight w:val="66"/>
          <w:jc w:val="center"/>
        </w:trPr>
        <w:tc>
          <w:tcPr>
            <w:tcW w:w="3870" w:type="dxa"/>
            <w:tcBorders>
              <w:top w:val="nil"/>
              <w:left w:val="nil"/>
              <w:bottom w:val="nil"/>
              <w:right w:val="nil"/>
            </w:tcBorders>
            <w:shd w:val="clear" w:color="000000" w:fill="FFFFFF"/>
            <w:noWrap/>
            <w:vAlign w:val="bottom"/>
            <w:hideMark/>
          </w:tcPr>
          <w:p w14:paraId="7F560B90" w14:textId="77777777" w:rsidR="001B6918" w:rsidRPr="004E6649" w:rsidRDefault="001B6918" w:rsidP="00730ECF">
            <w:pPr>
              <w:ind w:firstLineChars="100" w:firstLine="220"/>
              <w:rPr>
                <w:rFonts w:eastAsia="Times New Roman" w:cstheme="minorHAnsi"/>
                <w:color w:val="0D0D0D"/>
                <w:szCs w:val="24"/>
              </w:rPr>
            </w:pPr>
            <w:r w:rsidRPr="004E6649">
              <w:rPr>
                <w:rFonts w:eastAsia="Times New Roman" w:cstheme="minorHAnsi"/>
                <w:color w:val="0D0D0D"/>
                <w:szCs w:val="24"/>
              </w:rPr>
              <w:t>Internally designated projects</w:t>
            </w:r>
          </w:p>
        </w:tc>
        <w:tc>
          <w:tcPr>
            <w:tcW w:w="1887" w:type="dxa"/>
            <w:tcBorders>
              <w:top w:val="nil"/>
              <w:left w:val="nil"/>
              <w:bottom w:val="nil"/>
              <w:right w:val="nil"/>
            </w:tcBorders>
            <w:noWrap/>
            <w:hideMark/>
          </w:tcPr>
          <w:p w14:paraId="230681C2" w14:textId="77777777" w:rsidR="001B6918" w:rsidRPr="006B288C" w:rsidRDefault="001B6918" w:rsidP="00730ECF">
            <w:pPr>
              <w:jc w:val="right"/>
              <w:rPr>
                <w:rFonts w:eastAsia="Times New Roman" w:cstheme="minorHAnsi"/>
                <w:szCs w:val="24"/>
              </w:rPr>
            </w:pPr>
            <w:r w:rsidRPr="006B288C">
              <w:t xml:space="preserve"> 28,997 </w:t>
            </w:r>
          </w:p>
        </w:tc>
        <w:tc>
          <w:tcPr>
            <w:tcW w:w="2308" w:type="dxa"/>
            <w:tcBorders>
              <w:top w:val="nil"/>
              <w:left w:val="nil"/>
              <w:bottom w:val="nil"/>
              <w:right w:val="nil"/>
            </w:tcBorders>
            <w:shd w:val="clear" w:color="auto" w:fill="F2F2F2" w:themeFill="background1" w:themeFillShade="F2"/>
            <w:noWrap/>
            <w:hideMark/>
          </w:tcPr>
          <w:p w14:paraId="4BACBF6D" w14:textId="77777777" w:rsidR="001B6918" w:rsidRPr="004E6649" w:rsidRDefault="001B6918" w:rsidP="00730ECF">
            <w:pPr>
              <w:jc w:val="right"/>
              <w:rPr>
                <w:rFonts w:eastAsia="Times New Roman" w:cstheme="minorHAnsi"/>
                <w:color w:val="0D0D0D"/>
                <w:szCs w:val="24"/>
              </w:rPr>
            </w:pPr>
            <w:r w:rsidRPr="00E0373A">
              <w:t xml:space="preserve"> 19,955 </w:t>
            </w:r>
          </w:p>
        </w:tc>
      </w:tr>
      <w:tr w:rsidR="001B6918" w:rsidRPr="004E6649" w14:paraId="617D5157" w14:textId="77777777" w:rsidTr="00730ECF">
        <w:trPr>
          <w:trHeight w:val="66"/>
          <w:jc w:val="center"/>
        </w:trPr>
        <w:tc>
          <w:tcPr>
            <w:tcW w:w="3870" w:type="dxa"/>
            <w:tcBorders>
              <w:top w:val="nil"/>
              <w:left w:val="nil"/>
              <w:bottom w:val="nil"/>
              <w:right w:val="nil"/>
            </w:tcBorders>
            <w:shd w:val="clear" w:color="000000" w:fill="FFFFFF"/>
            <w:noWrap/>
            <w:vAlign w:val="bottom"/>
            <w:hideMark/>
          </w:tcPr>
          <w:p w14:paraId="3D3FD0E8" w14:textId="77777777" w:rsidR="001B6918" w:rsidRPr="004E6649" w:rsidRDefault="001B6918" w:rsidP="00730ECF">
            <w:pPr>
              <w:ind w:firstLineChars="100" w:firstLine="220"/>
              <w:rPr>
                <w:rFonts w:eastAsia="Times New Roman" w:cstheme="minorHAnsi"/>
                <w:color w:val="0D0D0D"/>
                <w:szCs w:val="24"/>
              </w:rPr>
            </w:pPr>
            <w:r w:rsidRPr="004E6649">
              <w:rPr>
                <w:rFonts w:eastAsia="Times New Roman" w:cstheme="minorHAnsi"/>
                <w:color w:val="0D0D0D"/>
                <w:szCs w:val="24"/>
              </w:rPr>
              <w:t>Facility projects</w:t>
            </w:r>
          </w:p>
        </w:tc>
        <w:tc>
          <w:tcPr>
            <w:tcW w:w="1887" w:type="dxa"/>
            <w:tcBorders>
              <w:top w:val="nil"/>
              <w:left w:val="nil"/>
              <w:bottom w:val="nil"/>
              <w:right w:val="nil"/>
            </w:tcBorders>
            <w:noWrap/>
            <w:hideMark/>
          </w:tcPr>
          <w:p w14:paraId="543E176B" w14:textId="77777777" w:rsidR="001B6918" w:rsidRPr="006B288C" w:rsidRDefault="001B6918" w:rsidP="00730ECF">
            <w:pPr>
              <w:jc w:val="right"/>
              <w:rPr>
                <w:rFonts w:eastAsia="Times New Roman" w:cstheme="minorHAnsi"/>
                <w:szCs w:val="24"/>
              </w:rPr>
            </w:pPr>
            <w:r w:rsidRPr="006B288C">
              <w:t xml:space="preserve"> 13,694 </w:t>
            </w:r>
          </w:p>
        </w:tc>
        <w:tc>
          <w:tcPr>
            <w:tcW w:w="2308" w:type="dxa"/>
            <w:tcBorders>
              <w:top w:val="nil"/>
              <w:left w:val="nil"/>
              <w:bottom w:val="nil"/>
              <w:right w:val="nil"/>
            </w:tcBorders>
            <w:shd w:val="clear" w:color="auto" w:fill="F2F2F2" w:themeFill="background1" w:themeFillShade="F2"/>
            <w:noWrap/>
            <w:hideMark/>
          </w:tcPr>
          <w:p w14:paraId="6D15341E" w14:textId="77777777" w:rsidR="001B6918" w:rsidRPr="004E6649" w:rsidRDefault="001B6918" w:rsidP="00730ECF">
            <w:pPr>
              <w:jc w:val="right"/>
              <w:rPr>
                <w:rFonts w:eastAsia="Times New Roman" w:cstheme="minorHAnsi"/>
                <w:color w:val="0D0D0D"/>
                <w:szCs w:val="24"/>
              </w:rPr>
            </w:pPr>
            <w:r w:rsidRPr="00E0373A">
              <w:t xml:space="preserve"> 30,350 </w:t>
            </w:r>
          </w:p>
        </w:tc>
      </w:tr>
      <w:tr w:rsidR="001B6918" w:rsidRPr="004E6649" w14:paraId="6E82EAE0" w14:textId="77777777" w:rsidTr="00730ECF">
        <w:trPr>
          <w:trHeight w:val="66"/>
          <w:jc w:val="center"/>
        </w:trPr>
        <w:tc>
          <w:tcPr>
            <w:tcW w:w="3870" w:type="dxa"/>
            <w:tcBorders>
              <w:top w:val="nil"/>
              <w:left w:val="nil"/>
              <w:right w:val="nil"/>
            </w:tcBorders>
            <w:shd w:val="clear" w:color="000000" w:fill="FFFFFF"/>
            <w:noWrap/>
            <w:vAlign w:val="bottom"/>
            <w:hideMark/>
          </w:tcPr>
          <w:p w14:paraId="1FA66CEB" w14:textId="77777777" w:rsidR="001B6918" w:rsidRPr="004E6649" w:rsidRDefault="001B6918" w:rsidP="00730ECF">
            <w:pPr>
              <w:ind w:firstLineChars="100" w:firstLine="220"/>
              <w:rPr>
                <w:rFonts w:eastAsia="Times New Roman" w:cstheme="minorHAnsi"/>
                <w:color w:val="0D0D0D"/>
                <w:szCs w:val="24"/>
              </w:rPr>
            </w:pPr>
            <w:r w:rsidRPr="004E6649">
              <w:rPr>
                <w:rFonts w:eastAsia="Times New Roman" w:cstheme="minorHAnsi"/>
                <w:color w:val="0D0D0D"/>
                <w:szCs w:val="24"/>
              </w:rPr>
              <w:t>Quasi endowment corpus</w:t>
            </w:r>
          </w:p>
        </w:tc>
        <w:tc>
          <w:tcPr>
            <w:tcW w:w="1887" w:type="dxa"/>
            <w:tcBorders>
              <w:top w:val="nil"/>
              <w:left w:val="nil"/>
              <w:right w:val="nil"/>
            </w:tcBorders>
            <w:noWrap/>
            <w:hideMark/>
          </w:tcPr>
          <w:p w14:paraId="4EAD45F1" w14:textId="77777777" w:rsidR="001B6918" w:rsidRPr="006B288C" w:rsidRDefault="001B6918" w:rsidP="00730ECF">
            <w:pPr>
              <w:jc w:val="right"/>
              <w:rPr>
                <w:rFonts w:eastAsia="Times New Roman" w:cstheme="minorHAnsi"/>
                <w:szCs w:val="24"/>
              </w:rPr>
            </w:pPr>
            <w:r w:rsidRPr="006B288C">
              <w:t xml:space="preserve"> 13,902 </w:t>
            </w:r>
          </w:p>
        </w:tc>
        <w:tc>
          <w:tcPr>
            <w:tcW w:w="2308" w:type="dxa"/>
            <w:tcBorders>
              <w:top w:val="nil"/>
              <w:left w:val="nil"/>
              <w:right w:val="nil"/>
            </w:tcBorders>
            <w:shd w:val="clear" w:color="auto" w:fill="F2F2F2" w:themeFill="background1" w:themeFillShade="F2"/>
            <w:noWrap/>
            <w:hideMark/>
          </w:tcPr>
          <w:p w14:paraId="68610ED5" w14:textId="77777777" w:rsidR="001B6918" w:rsidRPr="004E6649" w:rsidRDefault="001B6918" w:rsidP="00730ECF">
            <w:pPr>
              <w:jc w:val="right"/>
              <w:rPr>
                <w:rFonts w:eastAsia="Times New Roman" w:cstheme="minorHAnsi"/>
                <w:color w:val="0D0D0D"/>
                <w:szCs w:val="24"/>
              </w:rPr>
            </w:pPr>
            <w:r w:rsidRPr="00E0373A">
              <w:t xml:space="preserve"> 12,977 </w:t>
            </w:r>
          </w:p>
        </w:tc>
      </w:tr>
      <w:tr w:rsidR="001B6918" w:rsidRPr="004E6649" w14:paraId="19F30D6E" w14:textId="77777777" w:rsidTr="00730ECF">
        <w:trPr>
          <w:trHeight w:val="66"/>
          <w:jc w:val="center"/>
        </w:trPr>
        <w:tc>
          <w:tcPr>
            <w:tcW w:w="3870" w:type="dxa"/>
            <w:tcBorders>
              <w:top w:val="nil"/>
              <w:left w:val="nil"/>
              <w:right w:val="nil"/>
            </w:tcBorders>
            <w:shd w:val="clear" w:color="000000" w:fill="FFFFFF"/>
            <w:noWrap/>
            <w:vAlign w:val="bottom"/>
            <w:hideMark/>
          </w:tcPr>
          <w:p w14:paraId="2F7989FD" w14:textId="77777777" w:rsidR="001B6918" w:rsidRPr="004E6649" w:rsidRDefault="001B6918" w:rsidP="00730ECF">
            <w:pPr>
              <w:ind w:firstLineChars="100" w:firstLine="220"/>
              <w:rPr>
                <w:rFonts w:eastAsia="Times New Roman" w:cstheme="minorHAnsi"/>
                <w:color w:val="0D0D0D"/>
                <w:szCs w:val="24"/>
              </w:rPr>
            </w:pPr>
            <w:r w:rsidRPr="004E6649">
              <w:rPr>
                <w:rFonts w:eastAsia="Times New Roman" w:cstheme="minorHAnsi"/>
                <w:color w:val="0D0D0D"/>
                <w:szCs w:val="24"/>
              </w:rPr>
              <w:t>Endowment appreciation</w:t>
            </w:r>
          </w:p>
        </w:tc>
        <w:tc>
          <w:tcPr>
            <w:tcW w:w="1887" w:type="dxa"/>
            <w:tcBorders>
              <w:top w:val="nil"/>
              <w:left w:val="nil"/>
              <w:right w:val="nil"/>
            </w:tcBorders>
            <w:noWrap/>
            <w:hideMark/>
          </w:tcPr>
          <w:p w14:paraId="64AF7710" w14:textId="77777777" w:rsidR="001B6918" w:rsidRPr="006B288C" w:rsidRDefault="001B6918" w:rsidP="00730ECF">
            <w:pPr>
              <w:jc w:val="right"/>
              <w:rPr>
                <w:rFonts w:eastAsia="Times New Roman" w:cstheme="minorHAnsi"/>
                <w:szCs w:val="24"/>
              </w:rPr>
            </w:pPr>
            <w:r w:rsidRPr="006B288C">
              <w:t xml:space="preserve"> 7,305 </w:t>
            </w:r>
          </w:p>
        </w:tc>
        <w:tc>
          <w:tcPr>
            <w:tcW w:w="2308" w:type="dxa"/>
            <w:tcBorders>
              <w:top w:val="nil"/>
              <w:left w:val="nil"/>
              <w:right w:val="nil"/>
            </w:tcBorders>
            <w:shd w:val="clear" w:color="auto" w:fill="F2F2F2" w:themeFill="background1" w:themeFillShade="F2"/>
            <w:noWrap/>
            <w:hideMark/>
          </w:tcPr>
          <w:p w14:paraId="3A779DF2" w14:textId="77777777" w:rsidR="001B6918" w:rsidRPr="004E6649" w:rsidRDefault="001B6918" w:rsidP="00730ECF">
            <w:pPr>
              <w:jc w:val="right"/>
              <w:rPr>
                <w:rFonts w:eastAsia="Times New Roman" w:cstheme="minorHAnsi"/>
                <w:color w:val="0D0D0D"/>
                <w:szCs w:val="24"/>
              </w:rPr>
            </w:pPr>
            <w:r w:rsidRPr="00E0373A">
              <w:t xml:space="preserve"> 6,844 </w:t>
            </w:r>
          </w:p>
        </w:tc>
      </w:tr>
      <w:tr w:rsidR="001B6918" w:rsidRPr="004E6649" w14:paraId="34B23E8B" w14:textId="77777777" w:rsidTr="00730ECF">
        <w:trPr>
          <w:trHeight w:val="56"/>
          <w:jc w:val="center"/>
        </w:trPr>
        <w:tc>
          <w:tcPr>
            <w:tcW w:w="3870" w:type="dxa"/>
            <w:tcBorders>
              <w:left w:val="nil"/>
              <w:right w:val="nil"/>
            </w:tcBorders>
            <w:shd w:val="clear" w:color="000000" w:fill="FFFFFF"/>
            <w:noWrap/>
            <w:vAlign w:val="bottom"/>
            <w:hideMark/>
          </w:tcPr>
          <w:p w14:paraId="1C56F780" w14:textId="77777777" w:rsidR="001B6918" w:rsidRPr="004E6649" w:rsidRDefault="001B6918" w:rsidP="00730ECF">
            <w:pPr>
              <w:ind w:firstLineChars="100" w:firstLine="220"/>
              <w:rPr>
                <w:rFonts w:eastAsia="Times New Roman" w:cstheme="minorHAnsi"/>
                <w:color w:val="0D0D0D"/>
                <w:szCs w:val="24"/>
              </w:rPr>
            </w:pPr>
            <w:r w:rsidRPr="004E6649">
              <w:rPr>
                <w:rFonts w:eastAsia="Times New Roman" w:cstheme="minorHAnsi"/>
                <w:color w:val="0D0D0D"/>
                <w:szCs w:val="24"/>
              </w:rPr>
              <w:t>Cost sharing and other</w:t>
            </w:r>
          </w:p>
        </w:tc>
        <w:tc>
          <w:tcPr>
            <w:tcW w:w="1887" w:type="dxa"/>
            <w:tcBorders>
              <w:left w:val="nil"/>
              <w:right w:val="nil"/>
            </w:tcBorders>
            <w:noWrap/>
            <w:hideMark/>
          </w:tcPr>
          <w:p w14:paraId="4F61A85D" w14:textId="77777777" w:rsidR="001B6918" w:rsidRPr="006B288C" w:rsidRDefault="001B6918" w:rsidP="00730ECF">
            <w:pPr>
              <w:jc w:val="right"/>
              <w:rPr>
                <w:rFonts w:eastAsia="Times New Roman" w:cstheme="minorHAnsi"/>
                <w:szCs w:val="24"/>
              </w:rPr>
            </w:pPr>
            <w:r w:rsidRPr="006B288C">
              <w:t xml:space="preserve"> (323)</w:t>
            </w:r>
          </w:p>
        </w:tc>
        <w:tc>
          <w:tcPr>
            <w:tcW w:w="2308" w:type="dxa"/>
            <w:tcBorders>
              <w:left w:val="nil"/>
              <w:right w:val="nil"/>
            </w:tcBorders>
            <w:shd w:val="clear" w:color="auto" w:fill="F2F2F2" w:themeFill="background1" w:themeFillShade="F2"/>
            <w:noWrap/>
            <w:hideMark/>
          </w:tcPr>
          <w:p w14:paraId="7084E0D5" w14:textId="77777777" w:rsidR="001B6918" w:rsidRPr="004E6649" w:rsidRDefault="001B6918" w:rsidP="00730ECF">
            <w:pPr>
              <w:jc w:val="right"/>
              <w:rPr>
                <w:rFonts w:eastAsia="Times New Roman" w:cstheme="minorHAnsi"/>
                <w:color w:val="0D0D0D"/>
                <w:szCs w:val="24"/>
              </w:rPr>
            </w:pPr>
            <w:r w:rsidRPr="00E0373A">
              <w:t xml:space="preserve"> </w:t>
            </w:r>
            <w:r>
              <w:t>1,038</w:t>
            </w:r>
          </w:p>
        </w:tc>
      </w:tr>
      <w:tr w:rsidR="001B6918" w:rsidRPr="004E6649" w14:paraId="1966E458" w14:textId="77777777" w:rsidTr="00730ECF">
        <w:trPr>
          <w:trHeight w:val="46"/>
          <w:jc w:val="center"/>
        </w:trPr>
        <w:tc>
          <w:tcPr>
            <w:tcW w:w="3870" w:type="dxa"/>
            <w:tcBorders>
              <w:top w:val="single" w:sz="8" w:space="0" w:color="000000" w:themeColor="text1"/>
              <w:left w:val="nil"/>
              <w:bottom w:val="single" w:sz="8" w:space="0" w:color="000000" w:themeColor="text1"/>
              <w:right w:val="nil"/>
            </w:tcBorders>
            <w:shd w:val="clear" w:color="000000" w:fill="FFFFFF"/>
            <w:noWrap/>
            <w:vAlign w:val="bottom"/>
            <w:hideMark/>
          </w:tcPr>
          <w:p w14:paraId="35163B61" w14:textId="77777777" w:rsidR="001B6918" w:rsidRPr="004E6649" w:rsidRDefault="001B6918" w:rsidP="00730ECF">
            <w:pPr>
              <w:ind w:firstLineChars="100" w:firstLine="220"/>
              <w:rPr>
                <w:rFonts w:eastAsia="Times New Roman" w:cstheme="minorHAnsi"/>
                <w:color w:val="0D0D0D"/>
                <w:szCs w:val="24"/>
              </w:rPr>
            </w:pPr>
            <w:r w:rsidRPr="004E6649">
              <w:rPr>
                <w:rFonts w:eastAsia="Times New Roman" w:cstheme="minorHAnsi"/>
                <w:color w:val="0D0D0D"/>
                <w:szCs w:val="24"/>
              </w:rPr>
              <w:t>Total unrestricted</w:t>
            </w:r>
          </w:p>
        </w:tc>
        <w:tc>
          <w:tcPr>
            <w:tcW w:w="1887" w:type="dxa"/>
            <w:tcBorders>
              <w:top w:val="single" w:sz="8" w:space="0" w:color="000000" w:themeColor="text1"/>
              <w:left w:val="nil"/>
              <w:bottom w:val="single" w:sz="8" w:space="0" w:color="000000" w:themeColor="text1"/>
              <w:right w:val="nil"/>
            </w:tcBorders>
            <w:shd w:val="clear" w:color="000000" w:fill="FFFFFF"/>
            <w:noWrap/>
            <w:vAlign w:val="bottom"/>
            <w:hideMark/>
          </w:tcPr>
          <w:p w14:paraId="30F0CCC2" w14:textId="2C93CF05" w:rsidR="001B6918" w:rsidRPr="00C27E9E" w:rsidRDefault="005B68A7" w:rsidP="00C27E9E">
            <w:pPr>
              <w:jc w:val="right"/>
              <w:rPr>
                <w:rFonts w:ascii="Calibri" w:hAnsi="Calibri" w:cs="Calibri"/>
                <w:color w:val="0D0D0D"/>
              </w:rPr>
            </w:pPr>
            <w:r>
              <w:rPr>
                <w:rFonts w:ascii="Calibri" w:hAnsi="Calibri" w:cs="Calibri"/>
                <w:color w:val="0D0D0D"/>
              </w:rPr>
              <w:t xml:space="preserve">            96,300 </w:t>
            </w:r>
          </w:p>
        </w:tc>
        <w:tc>
          <w:tcPr>
            <w:tcW w:w="2308" w:type="dxa"/>
            <w:tcBorders>
              <w:top w:val="single" w:sz="8" w:space="0" w:color="000000" w:themeColor="text1"/>
              <w:left w:val="nil"/>
              <w:bottom w:val="single" w:sz="8" w:space="0" w:color="000000" w:themeColor="text1"/>
              <w:right w:val="nil"/>
            </w:tcBorders>
            <w:shd w:val="clear" w:color="auto" w:fill="F2F2F2" w:themeFill="background1" w:themeFillShade="F2"/>
            <w:noWrap/>
            <w:vAlign w:val="bottom"/>
            <w:hideMark/>
          </w:tcPr>
          <w:p w14:paraId="20EC041F" w14:textId="77777777" w:rsidR="001B6918" w:rsidRPr="004E6649" w:rsidRDefault="001B6918" w:rsidP="00730ECF">
            <w:pPr>
              <w:jc w:val="right"/>
              <w:rPr>
                <w:rFonts w:eastAsia="Times New Roman" w:cstheme="minorHAnsi"/>
                <w:color w:val="0D0D0D"/>
                <w:szCs w:val="24"/>
              </w:rPr>
            </w:pPr>
            <w:r w:rsidRPr="006B2290">
              <w:rPr>
                <w:rFonts w:eastAsia="Times New Roman" w:cstheme="minorHAnsi"/>
                <w:szCs w:val="24"/>
              </w:rPr>
              <w:t>105,028</w:t>
            </w:r>
          </w:p>
        </w:tc>
      </w:tr>
      <w:tr w:rsidR="001B6918" w:rsidRPr="004E6649" w14:paraId="0FAA813C" w14:textId="77777777" w:rsidTr="00730ECF">
        <w:trPr>
          <w:trHeight w:val="46"/>
          <w:jc w:val="center"/>
        </w:trPr>
        <w:tc>
          <w:tcPr>
            <w:tcW w:w="3870" w:type="dxa"/>
            <w:tcBorders>
              <w:top w:val="single" w:sz="8" w:space="0" w:color="000000" w:themeColor="text1"/>
              <w:left w:val="nil"/>
              <w:bottom w:val="double" w:sz="4" w:space="0" w:color="000000" w:themeColor="text1"/>
              <w:right w:val="nil"/>
            </w:tcBorders>
            <w:shd w:val="clear" w:color="000000" w:fill="FFFFFF"/>
            <w:noWrap/>
            <w:vAlign w:val="bottom"/>
            <w:hideMark/>
          </w:tcPr>
          <w:p w14:paraId="1B52B799" w14:textId="77777777" w:rsidR="001B6918" w:rsidRPr="004E6649" w:rsidRDefault="001B6918" w:rsidP="00730ECF">
            <w:pPr>
              <w:rPr>
                <w:rFonts w:eastAsia="Times New Roman" w:cstheme="minorHAnsi"/>
                <w:color w:val="0D0D0D"/>
                <w:szCs w:val="24"/>
              </w:rPr>
            </w:pPr>
            <w:r w:rsidRPr="004E6649">
              <w:rPr>
                <w:rFonts w:eastAsia="Times New Roman" w:cstheme="minorHAnsi"/>
                <w:color w:val="0D0D0D"/>
                <w:szCs w:val="24"/>
              </w:rPr>
              <w:t>Total Net Position</w:t>
            </w:r>
          </w:p>
        </w:tc>
        <w:tc>
          <w:tcPr>
            <w:tcW w:w="1887" w:type="dxa"/>
            <w:tcBorders>
              <w:top w:val="single" w:sz="8" w:space="0" w:color="000000" w:themeColor="text1"/>
              <w:left w:val="nil"/>
              <w:bottom w:val="double" w:sz="4" w:space="0" w:color="000000" w:themeColor="text1"/>
              <w:right w:val="nil"/>
            </w:tcBorders>
            <w:shd w:val="clear" w:color="000000" w:fill="FFFFFF"/>
            <w:noWrap/>
            <w:vAlign w:val="bottom"/>
            <w:hideMark/>
          </w:tcPr>
          <w:p w14:paraId="4F5A21D4" w14:textId="3D79AC49" w:rsidR="001B6918" w:rsidRPr="006B288C" w:rsidRDefault="00C27E9E" w:rsidP="00730ECF">
            <w:pPr>
              <w:jc w:val="right"/>
              <w:rPr>
                <w:rFonts w:eastAsia="Times New Roman" w:cstheme="minorHAnsi"/>
                <w:szCs w:val="24"/>
              </w:rPr>
            </w:pPr>
            <w:r w:rsidRPr="00C27E9E">
              <w:rPr>
                <w:rFonts w:eastAsia="Times New Roman" w:cstheme="minorHAnsi"/>
                <w:szCs w:val="24"/>
              </w:rPr>
              <w:t>$1,192,598</w:t>
            </w:r>
          </w:p>
        </w:tc>
        <w:tc>
          <w:tcPr>
            <w:tcW w:w="2308" w:type="dxa"/>
            <w:tcBorders>
              <w:top w:val="single" w:sz="8" w:space="0" w:color="000000" w:themeColor="text1"/>
              <w:left w:val="nil"/>
              <w:bottom w:val="double" w:sz="4" w:space="0" w:color="000000" w:themeColor="text1"/>
              <w:right w:val="nil"/>
            </w:tcBorders>
            <w:shd w:val="clear" w:color="auto" w:fill="F2F2F2" w:themeFill="background1" w:themeFillShade="F2"/>
            <w:noWrap/>
            <w:vAlign w:val="bottom"/>
            <w:hideMark/>
          </w:tcPr>
          <w:p w14:paraId="4FD0932A" w14:textId="77777777" w:rsidR="001B6918" w:rsidRPr="004E6649" w:rsidRDefault="001B6918" w:rsidP="00730ECF">
            <w:pPr>
              <w:jc w:val="right"/>
              <w:rPr>
                <w:rFonts w:eastAsia="Times New Roman" w:cstheme="minorHAnsi"/>
                <w:color w:val="0D0D0D"/>
                <w:szCs w:val="24"/>
              </w:rPr>
            </w:pPr>
            <w:r w:rsidRPr="006B2290">
              <w:rPr>
                <w:rFonts w:eastAsia="Times New Roman" w:cstheme="minorHAnsi"/>
                <w:szCs w:val="24"/>
              </w:rPr>
              <w:t>$1,079,362</w:t>
            </w:r>
          </w:p>
        </w:tc>
      </w:tr>
    </w:tbl>
    <w:p w14:paraId="1B2C9F82" w14:textId="77777777" w:rsidR="001B6918" w:rsidRPr="009655BC" w:rsidRDefault="001B6918" w:rsidP="001B6918">
      <w:pPr>
        <w:pStyle w:val="AFR2"/>
        <w:pBdr>
          <w:bottom w:val="single" w:sz="8" w:space="1" w:color="0D0D0D" w:themeColor="text1" w:themeTint="F2"/>
        </w:pBdr>
        <w:rPr>
          <w:rFonts w:cstheme="minorHAnsi"/>
          <w:sz w:val="26"/>
          <w:szCs w:val="26"/>
        </w:rPr>
      </w:pPr>
      <w:r w:rsidRPr="009655BC">
        <w:rPr>
          <w:rFonts w:cstheme="minorHAnsi"/>
          <w:sz w:val="26"/>
          <w:szCs w:val="26"/>
        </w:rPr>
        <w:t>11. COMMITMENTS AND CONTINGENCIES</w:t>
      </w:r>
    </w:p>
    <w:p w14:paraId="19F0075C" w14:textId="77777777" w:rsidR="001B6918" w:rsidRPr="00A02D27" w:rsidRDefault="001B6918" w:rsidP="001B6918">
      <w:pPr>
        <w:pStyle w:val="AFR3"/>
        <w:spacing w:after="0"/>
        <w:rPr>
          <w:rFonts w:cstheme="minorHAnsi"/>
          <w:sz w:val="24"/>
          <w:szCs w:val="24"/>
        </w:rPr>
      </w:pPr>
      <w:r w:rsidRPr="00A02D27">
        <w:rPr>
          <w:rFonts w:cstheme="minorHAnsi"/>
          <w:sz w:val="24"/>
          <w:szCs w:val="24"/>
        </w:rPr>
        <w:t>a. Grant Program Involvement</w:t>
      </w:r>
    </w:p>
    <w:p w14:paraId="285712B0" w14:textId="77777777" w:rsidR="001B6918" w:rsidRDefault="001B6918" w:rsidP="001B6918">
      <w:pPr>
        <w:tabs>
          <w:tab w:val="left" w:pos="720"/>
          <w:tab w:val="left" w:pos="1080"/>
          <w:tab w:val="right" w:pos="4262"/>
          <w:tab w:val="right" w:pos="5220"/>
          <w:tab w:val="right" w:pos="6691"/>
          <w:tab w:val="right" w:pos="7621"/>
          <w:tab w:val="right" w:pos="9187"/>
        </w:tabs>
        <w:suppressAutoHyphens/>
        <w:rPr>
          <w:rFonts w:cstheme="minorHAnsi"/>
          <w:b/>
          <w:i/>
          <w:szCs w:val="18"/>
          <w:u w:val="single" w:color="000000" w:themeColor="text1"/>
        </w:rPr>
      </w:pPr>
      <w:r w:rsidRPr="004E6649">
        <w:rPr>
          <w:rFonts w:cstheme="minorHAnsi"/>
          <w:bCs/>
          <w:spacing w:val="-3"/>
          <w:sz w:val="24"/>
        </w:rPr>
        <w:t>The System participates in a number of federal programs subject to financial and compliance audits. The amount of expenditures that may be disallowed by the granting agencies cannot be determined at this time, although the System does not expect these amounts, if any, to be material to the financial statements.</w:t>
      </w:r>
      <w:r>
        <w:rPr>
          <w:rFonts w:cstheme="minorHAnsi"/>
          <w:szCs w:val="18"/>
        </w:rPr>
        <w:br w:type="page"/>
      </w:r>
    </w:p>
    <w:p w14:paraId="2F74C19B" w14:textId="77777777" w:rsidR="001B6918" w:rsidRPr="00A02D27" w:rsidRDefault="001B6918" w:rsidP="001B6918">
      <w:pPr>
        <w:spacing w:after="160"/>
        <w:rPr>
          <w:rFonts w:eastAsiaTheme="majorEastAsia" w:cstheme="minorHAnsi"/>
          <w:b/>
          <w:i/>
          <w:iCs/>
          <w:smallCaps/>
          <w:noProof/>
          <w:color w:val="000000" w:themeColor="text1"/>
          <w:sz w:val="24"/>
          <w:szCs w:val="24"/>
          <w:u w:color="5B9BD5"/>
        </w:rPr>
      </w:pPr>
      <w:r w:rsidRPr="00A02D27">
        <w:rPr>
          <w:rFonts w:eastAsiaTheme="majorEastAsia" w:cstheme="minorHAnsi"/>
          <w:b/>
          <w:i/>
          <w:iCs/>
          <w:smallCaps/>
          <w:noProof/>
          <w:color w:val="000000" w:themeColor="text1"/>
          <w:sz w:val="24"/>
          <w:szCs w:val="24"/>
          <w:u w:color="5B9BD5"/>
        </w:rPr>
        <w:lastRenderedPageBreak/>
        <w:t>11. COMMITMENTS AND CONTINGENCIES - CONTINUED</w:t>
      </w:r>
      <w:r w:rsidRPr="00A02D27">
        <w:rPr>
          <w:rFonts w:eastAsiaTheme="majorEastAsia" w:cstheme="minorHAnsi"/>
          <w:b/>
          <w:i/>
          <w:iCs/>
          <w:smallCaps/>
          <w:noProof/>
          <w:color w:val="000000" w:themeColor="text1"/>
          <w:sz w:val="24"/>
          <w:szCs w:val="24"/>
          <w:u w:color="5B9BD5"/>
        </w:rPr>
        <w:fldChar w:fldCharType="begin"/>
      </w:r>
      <w:r w:rsidRPr="00A02D27">
        <w:rPr>
          <w:rFonts w:eastAsiaTheme="majorEastAsia" w:cstheme="minorHAnsi"/>
          <w:b/>
          <w:i/>
          <w:iCs/>
          <w:smallCaps/>
          <w:noProof/>
          <w:color w:val="000000" w:themeColor="text1"/>
          <w:sz w:val="24"/>
          <w:szCs w:val="24"/>
          <w:u w:color="5B9BD5"/>
        </w:rPr>
        <w:fldChar w:fldCharType="end"/>
      </w:r>
    </w:p>
    <w:p w14:paraId="2D341EB7" w14:textId="77777777" w:rsidR="001B6918" w:rsidRPr="00A02D27" w:rsidRDefault="001B6918" w:rsidP="001B6918">
      <w:pPr>
        <w:pStyle w:val="AFR3"/>
        <w:spacing w:after="0"/>
        <w:rPr>
          <w:rFonts w:cstheme="minorHAnsi"/>
          <w:sz w:val="24"/>
          <w:szCs w:val="24"/>
        </w:rPr>
      </w:pPr>
      <w:r w:rsidRPr="00A02D27">
        <w:rPr>
          <w:rFonts w:cstheme="minorHAnsi"/>
          <w:sz w:val="24"/>
          <w:szCs w:val="24"/>
        </w:rPr>
        <w:t>b. Risk Management – Insurance Programs</w:t>
      </w:r>
    </w:p>
    <w:p w14:paraId="438B304A" w14:textId="77777777" w:rsidR="001B6918" w:rsidRPr="004E6649" w:rsidRDefault="001B6918" w:rsidP="001B6918">
      <w:pPr>
        <w:tabs>
          <w:tab w:val="left" w:pos="720"/>
          <w:tab w:val="left" w:pos="1080"/>
          <w:tab w:val="right" w:pos="4262"/>
          <w:tab w:val="right" w:pos="5220"/>
          <w:tab w:val="right" w:pos="6691"/>
          <w:tab w:val="right" w:pos="7621"/>
          <w:tab w:val="right" w:pos="9187"/>
        </w:tabs>
        <w:suppressAutoHyphens/>
        <w:rPr>
          <w:rFonts w:eastAsia="Times New Roman" w:cstheme="minorHAnsi"/>
          <w:bCs/>
          <w:spacing w:val="-3"/>
          <w:sz w:val="20"/>
          <w:szCs w:val="24"/>
        </w:rPr>
      </w:pPr>
      <w:r w:rsidRPr="004E6649">
        <w:rPr>
          <w:rFonts w:eastAsia="Times New Roman" w:cstheme="minorHAnsi"/>
          <w:bCs/>
          <w:spacing w:val="-3"/>
          <w:sz w:val="24"/>
          <w:szCs w:val="24"/>
        </w:rPr>
        <w:t>The System is exposed to various risks of loss related to torts; thefts of, damage to and destruction of assets; errors and omissions; injuries; environmental pollution and natural disasters. The System manages these risks through a combination of commercial insurance policies purchased in the name of the System, a large deductible all-risk property insurance program and a self-insured retention program for physical damage to vehicles and mobile equipment.</w:t>
      </w:r>
    </w:p>
    <w:p w14:paraId="4DC8709B" w14:textId="77777777" w:rsidR="001B6918" w:rsidRPr="004E6649" w:rsidRDefault="001B6918" w:rsidP="001B6918">
      <w:pPr>
        <w:tabs>
          <w:tab w:val="left" w:pos="720"/>
          <w:tab w:val="left" w:pos="1440"/>
          <w:tab w:val="right" w:pos="4262"/>
          <w:tab w:val="right" w:pos="5220"/>
          <w:tab w:val="right" w:pos="6691"/>
          <w:tab w:val="right" w:pos="7621"/>
          <w:tab w:val="right" w:pos="9187"/>
        </w:tabs>
        <w:suppressAutoHyphens/>
        <w:ind w:left="720"/>
        <w:rPr>
          <w:rFonts w:eastAsia="Times New Roman" w:cstheme="minorHAnsi"/>
          <w:spacing w:val="-3"/>
          <w:sz w:val="20"/>
          <w:szCs w:val="20"/>
          <w:highlight w:val="yellow"/>
        </w:rPr>
      </w:pPr>
    </w:p>
    <w:p w14:paraId="1D94CF77" w14:textId="77777777" w:rsidR="001B6918" w:rsidRPr="004E6649" w:rsidRDefault="001B6918" w:rsidP="001B6918">
      <w:pPr>
        <w:tabs>
          <w:tab w:val="left" w:pos="720"/>
          <w:tab w:val="left" w:pos="1080"/>
          <w:tab w:val="center" w:pos="5112"/>
        </w:tabs>
        <w:suppressAutoHyphens/>
        <w:rPr>
          <w:rFonts w:eastAsia="Times New Roman" w:cstheme="minorHAnsi"/>
          <w:spacing w:val="-3"/>
          <w:sz w:val="20"/>
          <w:szCs w:val="20"/>
        </w:rPr>
      </w:pPr>
      <w:r w:rsidRPr="004E6649">
        <w:rPr>
          <w:rFonts w:eastAsia="Times New Roman" w:cstheme="minorHAnsi"/>
          <w:bCs/>
          <w:color w:val="000000"/>
          <w:spacing w:val="-3"/>
          <w:sz w:val="24"/>
          <w:szCs w:val="24"/>
        </w:rPr>
        <w:t xml:space="preserve">The System’s retention obligation for the general liability and vehicle liability is capped at </w:t>
      </w:r>
      <w:r w:rsidRPr="004E6649">
        <w:rPr>
          <w:rFonts w:eastAsia="Times New Roman" w:cstheme="minorHAnsi"/>
          <w:bCs/>
          <w:spacing w:val="-3"/>
          <w:sz w:val="24"/>
          <w:szCs w:val="24"/>
        </w:rPr>
        <w:t>$</w:t>
      </w:r>
      <w:r w:rsidRPr="009924D7">
        <w:rPr>
          <w:rFonts w:eastAsia="Times New Roman" w:cstheme="minorHAnsi"/>
          <w:bCs/>
          <w:spacing w:val="-3"/>
          <w:sz w:val="24"/>
          <w:szCs w:val="24"/>
        </w:rPr>
        <w:t>400</w:t>
      </w:r>
      <w:r w:rsidRPr="004E6649">
        <w:rPr>
          <w:rFonts w:eastAsia="Times New Roman" w:cstheme="minorHAnsi"/>
          <w:bCs/>
          <w:spacing w:val="-3"/>
          <w:sz w:val="24"/>
          <w:szCs w:val="24"/>
        </w:rPr>
        <w:t xml:space="preserve"> </w:t>
      </w:r>
      <w:r w:rsidRPr="004E6649">
        <w:rPr>
          <w:rFonts w:eastAsia="Times New Roman" w:cstheme="minorHAnsi"/>
          <w:bCs/>
          <w:color w:val="000000"/>
          <w:spacing w:val="-3"/>
          <w:sz w:val="24"/>
          <w:szCs w:val="24"/>
        </w:rPr>
        <w:t xml:space="preserve">per claim, with an aggregate limit of </w:t>
      </w:r>
      <w:r w:rsidRPr="004E6649">
        <w:rPr>
          <w:rFonts w:eastAsia="Times New Roman" w:cstheme="minorHAnsi"/>
          <w:bCs/>
          <w:spacing w:val="-3"/>
          <w:sz w:val="24"/>
          <w:szCs w:val="24"/>
        </w:rPr>
        <w:t>$</w:t>
      </w:r>
      <w:r w:rsidRPr="009924D7">
        <w:rPr>
          <w:rFonts w:eastAsia="Times New Roman" w:cstheme="minorHAnsi"/>
          <w:bCs/>
          <w:spacing w:val="-3"/>
          <w:sz w:val="24"/>
          <w:szCs w:val="24"/>
        </w:rPr>
        <w:t xml:space="preserve">25,000 </w:t>
      </w:r>
      <w:r w:rsidRPr="004E6649">
        <w:rPr>
          <w:rFonts w:eastAsia="Times New Roman" w:cstheme="minorHAnsi"/>
          <w:bCs/>
          <w:color w:val="000000"/>
          <w:spacing w:val="-3"/>
          <w:sz w:val="24"/>
          <w:szCs w:val="24"/>
        </w:rPr>
        <w:t>per year. Educator’s legal liability risks are subject to a $</w:t>
      </w:r>
      <w:r w:rsidRPr="009924D7">
        <w:rPr>
          <w:rFonts w:eastAsia="Times New Roman" w:cstheme="minorHAnsi"/>
          <w:bCs/>
          <w:color w:val="000000"/>
          <w:spacing w:val="-3"/>
          <w:sz w:val="24"/>
          <w:szCs w:val="24"/>
        </w:rPr>
        <w:t>200</w:t>
      </w:r>
      <w:r w:rsidRPr="004E6649">
        <w:rPr>
          <w:rFonts w:eastAsia="Times New Roman" w:cstheme="minorHAnsi"/>
          <w:bCs/>
          <w:color w:val="000000"/>
          <w:spacing w:val="-3"/>
          <w:sz w:val="24"/>
          <w:szCs w:val="24"/>
        </w:rPr>
        <w:t xml:space="preserve"> per loss retention with an aggregate limit of </w:t>
      </w:r>
      <w:r w:rsidRPr="004E6649">
        <w:rPr>
          <w:rFonts w:eastAsia="Times New Roman" w:cstheme="minorHAnsi"/>
          <w:bCs/>
          <w:spacing w:val="-3"/>
          <w:sz w:val="24"/>
          <w:szCs w:val="24"/>
        </w:rPr>
        <w:t>$</w:t>
      </w:r>
      <w:r w:rsidRPr="009924D7">
        <w:rPr>
          <w:rFonts w:eastAsia="Times New Roman" w:cstheme="minorHAnsi"/>
          <w:bCs/>
          <w:spacing w:val="-3"/>
          <w:sz w:val="24"/>
          <w:szCs w:val="24"/>
        </w:rPr>
        <w:t>25,000</w:t>
      </w:r>
      <w:r w:rsidRPr="004E6649">
        <w:rPr>
          <w:rFonts w:eastAsia="Times New Roman" w:cstheme="minorHAnsi"/>
          <w:bCs/>
          <w:color w:val="000000"/>
          <w:spacing w:val="-3"/>
          <w:sz w:val="24"/>
          <w:szCs w:val="24"/>
        </w:rPr>
        <w:t>. The System’s estimate of the amount payable under these retention levels has been included in the accompanying Statements of Net Position as part of current accrued liabilities. As of June 30, 202</w:t>
      </w:r>
      <w:r>
        <w:rPr>
          <w:rFonts w:eastAsia="Times New Roman" w:cstheme="minorHAnsi"/>
          <w:bCs/>
          <w:color w:val="000000"/>
          <w:spacing w:val="-3"/>
          <w:sz w:val="24"/>
          <w:szCs w:val="24"/>
        </w:rPr>
        <w:t>5</w:t>
      </w:r>
      <w:r w:rsidRPr="004E6649">
        <w:rPr>
          <w:rFonts w:eastAsia="Times New Roman" w:cstheme="minorHAnsi"/>
          <w:bCs/>
          <w:color w:val="000000"/>
          <w:spacing w:val="-3"/>
          <w:sz w:val="24"/>
          <w:szCs w:val="24"/>
        </w:rPr>
        <w:t xml:space="preserve"> and 202</w:t>
      </w:r>
      <w:r>
        <w:rPr>
          <w:rFonts w:eastAsia="Times New Roman" w:cstheme="minorHAnsi"/>
          <w:bCs/>
          <w:color w:val="000000"/>
          <w:spacing w:val="-3"/>
          <w:sz w:val="24"/>
          <w:szCs w:val="24"/>
        </w:rPr>
        <w:t xml:space="preserve">4 </w:t>
      </w:r>
      <w:r w:rsidRPr="004E6649">
        <w:rPr>
          <w:rFonts w:eastAsia="Times New Roman" w:cstheme="minorHAnsi"/>
          <w:bCs/>
          <w:color w:val="000000"/>
          <w:spacing w:val="-3"/>
          <w:sz w:val="24"/>
          <w:szCs w:val="24"/>
        </w:rPr>
        <w:t>certain legal claims existed for which the probability or amount of payment could not be determined. The System, however, does not expect these amounts, if any, to be material to the financial statements.</w:t>
      </w:r>
    </w:p>
    <w:p w14:paraId="70E7C3F2" w14:textId="77777777" w:rsidR="001B6918" w:rsidRPr="004E6649" w:rsidRDefault="001B6918" w:rsidP="001B6918">
      <w:pPr>
        <w:tabs>
          <w:tab w:val="left" w:pos="720"/>
          <w:tab w:val="left" w:pos="1080"/>
          <w:tab w:val="center" w:pos="5112"/>
        </w:tabs>
        <w:suppressAutoHyphens/>
        <w:rPr>
          <w:rFonts w:eastAsia="Times New Roman" w:cstheme="minorHAnsi"/>
          <w:spacing w:val="-3"/>
          <w:sz w:val="20"/>
          <w:szCs w:val="20"/>
        </w:rPr>
      </w:pPr>
    </w:p>
    <w:p w14:paraId="06551234" w14:textId="36F1874D" w:rsidR="001B6918" w:rsidRPr="004E6649" w:rsidRDefault="001B6918" w:rsidP="001B6918">
      <w:pPr>
        <w:tabs>
          <w:tab w:val="left" w:pos="720"/>
          <w:tab w:val="left" w:pos="1080"/>
          <w:tab w:val="center" w:pos="5112"/>
        </w:tabs>
        <w:suppressAutoHyphens/>
        <w:rPr>
          <w:rFonts w:eastAsia="Times New Roman" w:cstheme="minorHAnsi"/>
          <w:bCs/>
          <w:spacing w:val="-3"/>
          <w:sz w:val="20"/>
          <w:szCs w:val="24"/>
        </w:rPr>
      </w:pPr>
      <w:r w:rsidRPr="004E6649">
        <w:rPr>
          <w:rFonts w:eastAsia="Times New Roman" w:cstheme="minorHAnsi"/>
          <w:spacing w:val="-3"/>
          <w:sz w:val="24"/>
          <w:szCs w:val="20"/>
        </w:rPr>
        <w:t xml:space="preserve">At October 1, 2016, the System moved from a self-funded workers’ compensation model to commercial insurance. The liability for pre-existing unpaid claims is based on the requirements of GASB Statement No. 10, </w:t>
      </w:r>
      <w:r w:rsidRPr="004E6649">
        <w:rPr>
          <w:rFonts w:eastAsia="Times New Roman" w:cstheme="minorHAnsi"/>
          <w:i/>
          <w:spacing w:val="-3"/>
          <w:sz w:val="24"/>
          <w:szCs w:val="20"/>
        </w:rPr>
        <w:t>Accounting and Financial Reporting for Risk Financing and Related Insurance Issues,</w:t>
      </w:r>
      <w:r w:rsidRPr="004E6649">
        <w:rPr>
          <w:rFonts w:eastAsia="Times New Roman" w:cstheme="minorHAnsi"/>
          <w:spacing w:val="-3"/>
          <w:sz w:val="24"/>
          <w:szCs w:val="20"/>
        </w:rPr>
        <w:t xml:space="preserve"> which requires that a liability for claims be reported if information prior to the issuance of the financial statements indicates that it is probable that a liability has been incurred at the date of the financial statements and the amount of the loss can be reasonably estimated. The System’s estimated liability at June 30, 202</w:t>
      </w:r>
      <w:r>
        <w:rPr>
          <w:rFonts w:eastAsia="Times New Roman" w:cstheme="minorHAnsi"/>
          <w:spacing w:val="-3"/>
          <w:sz w:val="24"/>
          <w:szCs w:val="20"/>
        </w:rPr>
        <w:t>5</w:t>
      </w:r>
      <w:r w:rsidRPr="004E6649">
        <w:rPr>
          <w:rFonts w:eastAsia="Times New Roman" w:cstheme="minorHAnsi"/>
          <w:spacing w:val="-3"/>
          <w:sz w:val="24"/>
          <w:szCs w:val="20"/>
        </w:rPr>
        <w:t xml:space="preserve"> and 202</w:t>
      </w:r>
      <w:r>
        <w:rPr>
          <w:rFonts w:eastAsia="Times New Roman" w:cstheme="minorHAnsi"/>
          <w:spacing w:val="-3"/>
          <w:sz w:val="24"/>
          <w:szCs w:val="20"/>
        </w:rPr>
        <w:t>4</w:t>
      </w:r>
      <w:r w:rsidRPr="004E6649">
        <w:rPr>
          <w:rFonts w:eastAsia="Times New Roman" w:cstheme="minorHAnsi"/>
          <w:spacing w:val="-3"/>
          <w:sz w:val="24"/>
          <w:szCs w:val="20"/>
        </w:rPr>
        <w:t xml:space="preserve"> of </w:t>
      </w:r>
      <w:r w:rsidRPr="009374F3">
        <w:rPr>
          <w:rFonts w:eastAsia="Times New Roman" w:cstheme="minorHAnsi"/>
          <w:spacing w:val="-3"/>
          <w:sz w:val="24"/>
          <w:szCs w:val="20"/>
        </w:rPr>
        <w:t>$</w:t>
      </w:r>
      <w:r w:rsidRPr="00F2009C">
        <w:t xml:space="preserve">1,716 </w:t>
      </w:r>
      <w:r w:rsidRPr="004E6649">
        <w:rPr>
          <w:rFonts w:eastAsia="Times New Roman" w:cstheme="minorHAnsi"/>
          <w:spacing w:val="-3"/>
          <w:sz w:val="24"/>
          <w:szCs w:val="20"/>
        </w:rPr>
        <w:t>and $</w:t>
      </w:r>
      <w:r w:rsidRPr="00B37166">
        <w:rPr>
          <w:rFonts w:eastAsia="Times New Roman" w:cstheme="minorHAnsi"/>
          <w:spacing w:val="-3"/>
          <w:sz w:val="24"/>
          <w:szCs w:val="20"/>
        </w:rPr>
        <w:t>1,791</w:t>
      </w:r>
      <w:r w:rsidRPr="004E6649">
        <w:rPr>
          <w:rFonts w:eastAsia="Times New Roman" w:cstheme="minorHAnsi"/>
          <w:spacing w:val="-3"/>
          <w:sz w:val="24"/>
          <w:szCs w:val="20"/>
        </w:rPr>
        <w:t xml:space="preserve">, respectively, for pre-existing workers’ compensation claims is included in accrued liabilities in the </w:t>
      </w:r>
      <w:r w:rsidRPr="004E6649">
        <w:rPr>
          <w:rFonts w:eastAsia="Times New Roman" w:cstheme="minorHAnsi"/>
          <w:bCs/>
          <w:spacing w:val="-3"/>
          <w:sz w:val="24"/>
          <w:szCs w:val="24"/>
        </w:rPr>
        <w:t xml:space="preserve">accompanying Statements of Net Position (see Note 7). The System now purchases commercial workers’ compensation insurance which limits UMS’ insurable exposure for any one incident to </w:t>
      </w:r>
      <w:r w:rsidRPr="009924D7">
        <w:rPr>
          <w:rFonts w:eastAsia="Times New Roman" w:cstheme="minorHAnsi"/>
          <w:bCs/>
          <w:spacing w:val="-3"/>
          <w:sz w:val="24"/>
          <w:szCs w:val="24"/>
        </w:rPr>
        <w:t>$1.5</w:t>
      </w:r>
      <w:r w:rsidRPr="004E6649">
        <w:rPr>
          <w:rFonts w:eastAsia="Times New Roman" w:cstheme="minorHAnsi"/>
          <w:bCs/>
          <w:spacing w:val="-3"/>
          <w:sz w:val="24"/>
          <w:szCs w:val="24"/>
        </w:rPr>
        <w:t>.</w:t>
      </w:r>
    </w:p>
    <w:p w14:paraId="08A80EF7" w14:textId="77777777" w:rsidR="001B6918" w:rsidRPr="004E6649" w:rsidRDefault="001B6918" w:rsidP="001B6918">
      <w:pPr>
        <w:tabs>
          <w:tab w:val="left" w:pos="720"/>
          <w:tab w:val="center" w:pos="5112"/>
        </w:tabs>
        <w:suppressAutoHyphens/>
        <w:rPr>
          <w:rFonts w:eastAsia="Times New Roman" w:cstheme="minorHAnsi"/>
          <w:bCs/>
          <w:spacing w:val="-3"/>
          <w:sz w:val="20"/>
          <w:szCs w:val="24"/>
        </w:rPr>
      </w:pPr>
    </w:p>
    <w:p w14:paraId="3252C471" w14:textId="77777777" w:rsidR="001B6918" w:rsidRPr="004E6649" w:rsidRDefault="001B6918" w:rsidP="001B6918">
      <w:pPr>
        <w:rPr>
          <w:rFonts w:cstheme="minorHAnsi"/>
          <w:spacing w:val="-3"/>
          <w:sz w:val="24"/>
        </w:rPr>
      </w:pPr>
      <w:bookmarkStart w:id="16" w:name="_Hlk209421264"/>
      <w:r w:rsidRPr="004E6649">
        <w:rPr>
          <w:rFonts w:cstheme="minorHAnsi"/>
          <w:spacing w:val="-3"/>
          <w:sz w:val="24"/>
          <w:szCs w:val="20"/>
        </w:rPr>
        <w:t>The System’s active employee and under age 65 retiree health plans are self-funded with an Administrative Services Only agreement with a commercial carrier. </w:t>
      </w:r>
      <w:r w:rsidRPr="004E6649">
        <w:rPr>
          <w:rFonts w:cstheme="minorHAnsi"/>
          <w:bCs/>
          <w:sz w:val="24"/>
        </w:rPr>
        <w:t>The System purchases stop-loss insurance which limits the exposure to $</w:t>
      </w:r>
      <w:r w:rsidRPr="009924D7">
        <w:rPr>
          <w:rFonts w:cstheme="minorHAnsi"/>
          <w:bCs/>
          <w:sz w:val="24"/>
        </w:rPr>
        <w:t xml:space="preserve">1,000 </w:t>
      </w:r>
      <w:r w:rsidRPr="004E6649">
        <w:rPr>
          <w:rFonts w:cstheme="minorHAnsi"/>
          <w:bCs/>
          <w:sz w:val="24"/>
        </w:rPr>
        <w:t>per individual.</w:t>
      </w:r>
      <w:r w:rsidRPr="004E6649">
        <w:rPr>
          <w:rFonts w:cstheme="minorHAnsi"/>
          <w:spacing w:val="-3"/>
          <w:sz w:val="24"/>
          <w:szCs w:val="20"/>
        </w:rPr>
        <w:t xml:space="preserve"> </w:t>
      </w:r>
      <w:bookmarkEnd w:id="16"/>
      <w:r w:rsidRPr="004E6649">
        <w:rPr>
          <w:rFonts w:cstheme="minorHAnsi"/>
          <w:spacing w:val="-3"/>
          <w:sz w:val="24"/>
          <w:szCs w:val="20"/>
        </w:rPr>
        <w:t xml:space="preserve">For retirees who are Medicare eligible, effective for calendar year 2021, the System began offering two health plan options. The legacy option is a fully insured Medicare Advantage Private Fee for Service program with a commercial carrier. The new option is a </w:t>
      </w:r>
      <w:r w:rsidRPr="004E6649">
        <w:rPr>
          <w:rFonts w:cstheme="minorHAnsi"/>
          <w:sz w:val="24"/>
          <w:szCs w:val="24"/>
        </w:rPr>
        <w:t xml:space="preserve">Medicare Exchange program including a funded Health Reimbursement Account (HRA). </w:t>
      </w:r>
      <w:r w:rsidRPr="004E6649">
        <w:rPr>
          <w:rFonts w:cstheme="minorHAnsi"/>
          <w:spacing w:val="4"/>
          <w:sz w:val="24"/>
        </w:rPr>
        <w:t>As of June 30, 202</w:t>
      </w:r>
      <w:r>
        <w:rPr>
          <w:rFonts w:cstheme="minorHAnsi"/>
          <w:spacing w:val="4"/>
          <w:sz w:val="24"/>
        </w:rPr>
        <w:t>5</w:t>
      </w:r>
      <w:r w:rsidRPr="004E6649">
        <w:rPr>
          <w:rFonts w:cstheme="minorHAnsi"/>
          <w:spacing w:val="4"/>
          <w:sz w:val="24"/>
        </w:rPr>
        <w:t xml:space="preserve"> and 202</w:t>
      </w:r>
      <w:r>
        <w:rPr>
          <w:rFonts w:cstheme="minorHAnsi"/>
          <w:spacing w:val="4"/>
          <w:sz w:val="24"/>
        </w:rPr>
        <w:t>4</w:t>
      </w:r>
      <w:r w:rsidRPr="004E6649">
        <w:rPr>
          <w:rFonts w:cstheme="minorHAnsi"/>
          <w:spacing w:val="4"/>
          <w:sz w:val="24"/>
        </w:rPr>
        <w:t>, the</w:t>
      </w:r>
      <w:r w:rsidRPr="004E6649">
        <w:rPr>
          <w:rFonts w:cstheme="minorHAnsi"/>
          <w:sz w:val="24"/>
        </w:rPr>
        <w:t xml:space="preserve"> </w:t>
      </w:r>
      <w:r w:rsidRPr="004E6649">
        <w:rPr>
          <w:rFonts w:cstheme="minorHAnsi"/>
          <w:spacing w:val="-3"/>
          <w:sz w:val="24"/>
          <w:szCs w:val="20"/>
        </w:rPr>
        <w:t>estimated liability for claims incurred but not reported is included in total health insurance accrued liabilities in the accompanying Statements of Net Position (see Note 7</w:t>
      </w:r>
      <w:r w:rsidRPr="004E6649">
        <w:rPr>
          <w:rFonts w:cstheme="minorHAnsi"/>
          <w:spacing w:val="-3"/>
          <w:sz w:val="24"/>
        </w:rPr>
        <w:t>).</w:t>
      </w:r>
    </w:p>
    <w:p w14:paraId="2C46EB0F" w14:textId="77777777" w:rsidR="001B6918" w:rsidRPr="004E6649" w:rsidRDefault="001B6918" w:rsidP="001B6918">
      <w:pPr>
        <w:tabs>
          <w:tab w:val="left" w:pos="1080"/>
          <w:tab w:val="right" w:pos="4262"/>
          <w:tab w:val="right" w:pos="5220"/>
          <w:tab w:val="right" w:pos="6691"/>
          <w:tab w:val="right" w:pos="7621"/>
          <w:tab w:val="right" w:pos="9630"/>
        </w:tabs>
        <w:suppressAutoHyphens/>
        <w:spacing w:before="160" w:after="160"/>
        <w:ind w:left="1080" w:hanging="1080"/>
        <w:rPr>
          <w:rFonts w:eastAsia="Times New Roman" w:cstheme="minorHAnsi"/>
          <w:bCs/>
          <w:color w:val="000000"/>
          <w:spacing w:val="-3"/>
          <w:sz w:val="24"/>
          <w:szCs w:val="20"/>
        </w:rPr>
      </w:pPr>
      <w:r w:rsidRPr="004E6649">
        <w:rPr>
          <w:rFonts w:eastAsia="Times New Roman" w:cstheme="minorHAnsi"/>
          <w:bCs/>
          <w:color w:val="000000"/>
          <w:spacing w:val="-3"/>
          <w:sz w:val="24"/>
          <w:szCs w:val="20"/>
        </w:rPr>
        <w:t xml:space="preserve">The System’s health insurance liability </w:t>
      </w:r>
      <w:proofErr w:type="gramStart"/>
      <w:r w:rsidRPr="004E6649">
        <w:rPr>
          <w:rFonts w:eastAsia="Times New Roman" w:cstheme="minorHAnsi"/>
          <w:bCs/>
          <w:color w:val="000000"/>
          <w:spacing w:val="-3"/>
          <w:sz w:val="24"/>
          <w:szCs w:val="20"/>
        </w:rPr>
        <w:t>at</w:t>
      </w:r>
      <w:proofErr w:type="gramEnd"/>
      <w:r w:rsidRPr="004E6649">
        <w:rPr>
          <w:rFonts w:eastAsia="Times New Roman" w:cstheme="minorHAnsi"/>
          <w:bCs/>
          <w:color w:val="000000"/>
          <w:spacing w:val="-3"/>
          <w:sz w:val="24"/>
          <w:szCs w:val="20"/>
        </w:rPr>
        <w:t xml:space="preserve"> June 30 consists of the following:</w:t>
      </w:r>
      <w:r w:rsidRPr="004E6649">
        <w:rPr>
          <w:rFonts w:eastAsia="Times New Roman" w:cstheme="minorHAnsi"/>
          <w:bCs/>
          <w:color w:val="000000"/>
          <w:spacing w:val="-3"/>
          <w:sz w:val="24"/>
          <w:szCs w:val="20"/>
        </w:rPr>
        <w:fldChar w:fldCharType="begin"/>
      </w:r>
      <w:r w:rsidRPr="004E6649">
        <w:rPr>
          <w:rFonts w:eastAsia="Times New Roman" w:cstheme="minorHAnsi"/>
          <w:bCs/>
          <w:color w:val="000000"/>
          <w:spacing w:val="-3"/>
          <w:sz w:val="24"/>
          <w:szCs w:val="20"/>
        </w:rPr>
        <w:fldChar w:fldCharType="end"/>
      </w:r>
    </w:p>
    <w:tbl>
      <w:tblPr>
        <w:tblW w:w="6300" w:type="dxa"/>
        <w:jc w:val="center"/>
        <w:tblLook w:val="04A0" w:firstRow="1" w:lastRow="0" w:firstColumn="1" w:lastColumn="0" w:noHBand="0" w:noVBand="1"/>
      </w:tblPr>
      <w:tblGrid>
        <w:gridCol w:w="4050"/>
        <w:gridCol w:w="1109"/>
        <w:gridCol w:w="1141"/>
      </w:tblGrid>
      <w:tr w:rsidR="001B6918" w:rsidRPr="004E6649" w14:paraId="1B004705" w14:textId="77777777" w:rsidTr="00730ECF">
        <w:trPr>
          <w:trHeight w:val="300"/>
          <w:tblHeader/>
          <w:jc w:val="center"/>
        </w:trPr>
        <w:tc>
          <w:tcPr>
            <w:tcW w:w="4050" w:type="dxa"/>
            <w:tcBorders>
              <w:top w:val="nil"/>
              <w:left w:val="nil"/>
              <w:bottom w:val="single" w:sz="12" w:space="0" w:color="000000" w:themeColor="text1"/>
              <w:right w:val="nil"/>
            </w:tcBorders>
            <w:shd w:val="clear" w:color="000000" w:fill="FFFFFF"/>
            <w:noWrap/>
            <w:vAlign w:val="bottom"/>
            <w:hideMark/>
          </w:tcPr>
          <w:p w14:paraId="37B46748" w14:textId="77777777" w:rsidR="001B6918" w:rsidRPr="004E6649" w:rsidRDefault="001B6918" w:rsidP="00730ECF">
            <w:pPr>
              <w:jc w:val="center"/>
              <w:rPr>
                <w:rFonts w:eastAsia="Times New Roman" w:cstheme="minorHAnsi"/>
                <w:b/>
                <w:bCs/>
                <w:color w:val="0D0D0D" w:themeColor="text1" w:themeTint="F2"/>
              </w:rPr>
            </w:pPr>
            <w:r w:rsidRPr="004E6649">
              <w:rPr>
                <w:rFonts w:eastAsia="Times New Roman" w:cstheme="minorHAnsi"/>
                <w:b/>
                <w:bCs/>
                <w:color w:val="0D0D0D" w:themeColor="text1" w:themeTint="F2"/>
              </w:rPr>
              <w:t> </w:t>
            </w:r>
          </w:p>
        </w:tc>
        <w:tc>
          <w:tcPr>
            <w:tcW w:w="1109" w:type="dxa"/>
            <w:tcBorders>
              <w:top w:val="nil"/>
              <w:left w:val="nil"/>
              <w:bottom w:val="single" w:sz="12" w:space="0" w:color="000000" w:themeColor="text1"/>
              <w:right w:val="nil"/>
            </w:tcBorders>
            <w:shd w:val="clear" w:color="000000" w:fill="FFFFFF"/>
            <w:noWrap/>
            <w:vAlign w:val="bottom"/>
            <w:hideMark/>
          </w:tcPr>
          <w:p w14:paraId="1EEAFDEA" w14:textId="77777777" w:rsidR="001B6918" w:rsidRPr="004E6649" w:rsidRDefault="001B6918" w:rsidP="00730ECF">
            <w:pPr>
              <w:jc w:val="center"/>
              <w:rPr>
                <w:rFonts w:eastAsia="Times New Roman" w:cstheme="minorHAnsi"/>
                <w:b/>
                <w:bCs/>
                <w:color w:val="0D0D0D" w:themeColor="text1" w:themeTint="F2"/>
              </w:rPr>
            </w:pPr>
            <w:r w:rsidRPr="004E6649">
              <w:rPr>
                <w:rFonts w:eastAsia="Times New Roman" w:cstheme="minorHAnsi"/>
                <w:b/>
                <w:bCs/>
                <w:color w:val="0D0D0D" w:themeColor="text1" w:themeTint="F2"/>
              </w:rPr>
              <w:t>202</w:t>
            </w:r>
            <w:r>
              <w:rPr>
                <w:rFonts w:eastAsia="Times New Roman" w:cstheme="minorHAnsi"/>
                <w:b/>
                <w:bCs/>
                <w:color w:val="0D0D0D" w:themeColor="text1" w:themeTint="F2"/>
              </w:rPr>
              <w:t>5</w:t>
            </w:r>
          </w:p>
        </w:tc>
        <w:tc>
          <w:tcPr>
            <w:tcW w:w="1141" w:type="dxa"/>
            <w:tcBorders>
              <w:top w:val="nil"/>
              <w:left w:val="nil"/>
              <w:bottom w:val="single" w:sz="12" w:space="0" w:color="000000" w:themeColor="text1"/>
              <w:right w:val="nil"/>
            </w:tcBorders>
            <w:shd w:val="clear" w:color="auto" w:fill="F2F2F2" w:themeFill="background1" w:themeFillShade="F2"/>
            <w:noWrap/>
            <w:vAlign w:val="bottom"/>
            <w:hideMark/>
          </w:tcPr>
          <w:p w14:paraId="381BBBCC" w14:textId="77777777" w:rsidR="001B6918" w:rsidRPr="004E6649" w:rsidRDefault="001B6918" w:rsidP="00730ECF">
            <w:pPr>
              <w:jc w:val="center"/>
              <w:rPr>
                <w:rFonts w:eastAsia="Times New Roman" w:cstheme="minorHAnsi"/>
                <w:b/>
                <w:bCs/>
                <w:color w:val="0D0D0D" w:themeColor="text1" w:themeTint="F2"/>
              </w:rPr>
            </w:pPr>
            <w:r w:rsidRPr="004E6649">
              <w:rPr>
                <w:rFonts w:eastAsia="Times New Roman" w:cstheme="minorHAnsi"/>
                <w:b/>
                <w:bCs/>
                <w:color w:val="0D0D0D" w:themeColor="text1" w:themeTint="F2"/>
              </w:rPr>
              <w:t>202</w:t>
            </w:r>
            <w:r>
              <w:rPr>
                <w:rFonts w:eastAsia="Times New Roman" w:cstheme="minorHAnsi"/>
                <w:b/>
                <w:bCs/>
                <w:color w:val="0D0D0D" w:themeColor="text1" w:themeTint="F2"/>
              </w:rPr>
              <w:t>4</w:t>
            </w:r>
          </w:p>
        </w:tc>
      </w:tr>
      <w:tr w:rsidR="001B6918" w:rsidRPr="004E6649" w14:paraId="0CF96BCE" w14:textId="77777777" w:rsidTr="00730ECF">
        <w:trPr>
          <w:trHeight w:val="300"/>
          <w:jc w:val="center"/>
        </w:trPr>
        <w:tc>
          <w:tcPr>
            <w:tcW w:w="4050" w:type="dxa"/>
            <w:tcBorders>
              <w:top w:val="single" w:sz="12" w:space="0" w:color="000000" w:themeColor="text1"/>
              <w:left w:val="nil"/>
              <w:bottom w:val="nil"/>
              <w:right w:val="nil"/>
            </w:tcBorders>
            <w:shd w:val="clear" w:color="000000" w:fill="FFFFFF"/>
            <w:noWrap/>
            <w:vAlign w:val="bottom"/>
            <w:hideMark/>
          </w:tcPr>
          <w:p w14:paraId="74B15059" w14:textId="77777777" w:rsidR="001B6918" w:rsidRPr="004E6649" w:rsidRDefault="001B6918" w:rsidP="00730ECF">
            <w:pPr>
              <w:rPr>
                <w:rFonts w:eastAsia="Times New Roman" w:cstheme="minorHAnsi"/>
                <w:color w:val="0D0D0D" w:themeColor="text1" w:themeTint="F2"/>
              </w:rPr>
            </w:pPr>
            <w:r w:rsidRPr="004E6649">
              <w:rPr>
                <w:rFonts w:eastAsia="Times New Roman" w:cstheme="minorHAnsi"/>
                <w:color w:val="0D0D0D" w:themeColor="text1" w:themeTint="F2"/>
              </w:rPr>
              <w:t>Claims incurred but not reported</w:t>
            </w:r>
          </w:p>
        </w:tc>
        <w:tc>
          <w:tcPr>
            <w:tcW w:w="1109" w:type="dxa"/>
            <w:tcBorders>
              <w:top w:val="single" w:sz="12" w:space="0" w:color="000000" w:themeColor="text1"/>
              <w:left w:val="nil"/>
              <w:bottom w:val="nil"/>
              <w:right w:val="nil"/>
            </w:tcBorders>
            <w:shd w:val="clear" w:color="000000" w:fill="FFFFFF"/>
            <w:noWrap/>
            <w:vAlign w:val="bottom"/>
            <w:hideMark/>
          </w:tcPr>
          <w:p w14:paraId="516455C0" w14:textId="77777777" w:rsidR="001B6918" w:rsidRPr="009924D7" w:rsidRDefault="001B6918" w:rsidP="00730ECF">
            <w:pPr>
              <w:jc w:val="right"/>
              <w:rPr>
                <w:rFonts w:eastAsia="Times New Roman" w:cstheme="minorHAnsi"/>
              </w:rPr>
            </w:pPr>
            <w:r w:rsidRPr="009924D7">
              <w:rPr>
                <w:rFonts w:eastAsia="Times New Roman" w:cstheme="minorHAnsi"/>
              </w:rPr>
              <w:t>$7,711</w:t>
            </w:r>
          </w:p>
        </w:tc>
        <w:tc>
          <w:tcPr>
            <w:tcW w:w="1141" w:type="dxa"/>
            <w:tcBorders>
              <w:top w:val="single" w:sz="12" w:space="0" w:color="000000" w:themeColor="text1"/>
              <w:left w:val="nil"/>
              <w:bottom w:val="nil"/>
              <w:right w:val="nil"/>
            </w:tcBorders>
            <w:shd w:val="clear" w:color="auto" w:fill="F2F2F2" w:themeFill="background1" w:themeFillShade="F2"/>
            <w:noWrap/>
            <w:vAlign w:val="bottom"/>
            <w:hideMark/>
          </w:tcPr>
          <w:p w14:paraId="113A847D" w14:textId="77777777" w:rsidR="001B6918" w:rsidRPr="004E6649" w:rsidRDefault="001B6918" w:rsidP="00730ECF">
            <w:pPr>
              <w:jc w:val="right"/>
              <w:rPr>
                <w:rFonts w:eastAsia="Times New Roman" w:cstheme="minorHAnsi"/>
                <w:color w:val="0D0D0D" w:themeColor="text1" w:themeTint="F2"/>
              </w:rPr>
            </w:pPr>
            <w:r w:rsidRPr="00135E41">
              <w:rPr>
                <w:rFonts w:eastAsia="Times New Roman" w:cstheme="minorHAnsi"/>
              </w:rPr>
              <w:t>$7,055</w:t>
            </w:r>
          </w:p>
        </w:tc>
      </w:tr>
      <w:tr w:rsidR="001B6918" w:rsidRPr="004E6649" w14:paraId="395B7BEF" w14:textId="77777777" w:rsidTr="00730ECF">
        <w:trPr>
          <w:trHeight w:val="288"/>
          <w:jc w:val="center"/>
        </w:trPr>
        <w:tc>
          <w:tcPr>
            <w:tcW w:w="4050" w:type="dxa"/>
            <w:tcBorders>
              <w:top w:val="nil"/>
              <w:left w:val="nil"/>
              <w:bottom w:val="single" w:sz="8" w:space="0" w:color="000000" w:themeColor="text1"/>
              <w:right w:val="nil"/>
            </w:tcBorders>
            <w:shd w:val="clear" w:color="000000" w:fill="FFFFFF"/>
            <w:noWrap/>
            <w:hideMark/>
          </w:tcPr>
          <w:p w14:paraId="57A980BF" w14:textId="77777777" w:rsidR="001B6918" w:rsidRPr="004E6649" w:rsidRDefault="001B6918" w:rsidP="00730ECF">
            <w:pPr>
              <w:rPr>
                <w:rFonts w:eastAsia="Times New Roman" w:cstheme="minorHAnsi"/>
                <w:color w:val="0D0D0D" w:themeColor="text1" w:themeTint="F2"/>
              </w:rPr>
            </w:pPr>
            <w:r w:rsidRPr="004E6649">
              <w:rPr>
                <w:rFonts w:eastAsia="Times New Roman" w:cstheme="minorHAnsi"/>
                <w:color w:val="0D0D0D" w:themeColor="text1" w:themeTint="F2"/>
              </w:rPr>
              <w:t>Reported claims</w:t>
            </w:r>
          </w:p>
        </w:tc>
        <w:tc>
          <w:tcPr>
            <w:tcW w:w="1109" w:type="dxa"/>
            <w:tcBorders>
              <w:top w:val="nil"/>
              <w:left w:val="nil"/>
              <w:bottom w:val="single" w:sz="8" w:space="0" w:color="000000" w:themeColor="text1"/>
              <w:right w:val="nil"/>
            </w:tcBorders>
            <w:shd w:val="clear" w:color="000000" w:fill="FFFFFF"/>
            <w:noWrap/>
            <w:hideMark/>
          </w:tcPr>
          <w:p w14:paraId="1CBD0118" w14:textId="77777777" w:rsidR="001B6918" w:rsidRPr="009924D7" w:rsidRDefault="001B6918" w:rsidP="00730ECF">
            <w:pPr>
              <w:jc w:val="right"/>
              <w:rPr>
                <w:rFonts w:eastAsia="Times New Roman" w:cstheme="minorHAnsi"/>
              </w:rPr>
            </w:pPr>
            <w:r w:rsidRPr="009924D7">
              <w:rPr>
                <w:rFonts w:eastAsia="Times New Roman" w:cstheme="minorHAnsi"/>
              </w:rPr>
              <w:t>1,083</w:t>
            </w:r>
          </w:p>
        </w:tc>
        <w:tc>
          <w:tcPr>
            <w:tcW w:w="1141" w:type="dxa"/>
            <w:tcBorders>
              <w:top w:val="nil"/>
              <w:left w:val="nil"/>
              <w:bottom w:val="single" w:sz="8" w:space="0" w:color="000000" w:themeColor="text1"/>
              <w:right w:val="nil"/>
            </w:tcBorders>
            <w:shd w:val="clear" w:color="auto" w:fill="F2F2F2" w:themeFill="background1" w:themeFillShade="F2"/>
            <w:noWrap/>
            <w:hideMark/>
          </w:tcPr>
          <w:p w14:paraId="19DFCA2A" w14:textId="77777777" w:rsidR="001B6918" w:rsidRPr="004E6649" w:rsidRDefault="001B6918" w:rsidP="00730ECF">
            <w:pPr>
              <w:jc w:val="right"/>
              <w:rPr>
                <w:rFonts w:eastAsia="Times New Roman" w:cstheme="minorHAnsi"/>
                <w:color w:val="0D0D0D" w:themeColor="text1" w:themeTint="F2"/>
              </w:rPr>
            </w:pPr>
            <w:r w:rsidRPr="00135E41">
              <w:rPr>
                <w:rFonts w:eastAsia="Times New Roman" w:cstheme="minorHAnsi"/>
              </w:rPr>
              <w:t>1,648</w:t>
            </w:r>
          </w:p>
        </w:tc>
      </w:tr>
      <w:tr w:rsidR="001B6918" w:rsidRPr="004E6649" w14:paraId="336B4F21" w14:textId="77777777" w:rsidTr="00730ECF">
        <w:trPr>
          <w:trHeight w:val="300"/>
          <w:jc w:val="center"/>
        </w:trPr>
        <w:tc>
          <w:tcPr>
            <w:tcW w:w="4050" w:type="dxa"/>
            <w:tcBorders>
              <w:top w:val="single" w:sz="8" w:space="0" w:color="000000" w:themeColor="text1"/>
              <w:left w:val="nil"/>
              <w:bottom w:val="double" w:sz="4" w:space="0" w:color="000000" w:themeColor="text1"/>
              <w:right w:val="nil"/>
            </w:tcBorders>
            <w:shd w:val="clear" w:color="000000" w:fill="FFFFFF"/>
            <w:noWrap/>
            <w:vAlign w:val="bottom"/>
            <w:hideMark/>
          </w:tcPr>
          <w:p w14:paraId="05AE4F07" w14:textId="77777777" w:rsidR="001B6918" w:rsidRPr="004E6649" w:rsidRDefault="001B6918" w:rsidP="00730ECF">
            <w:pPr>
              <w:rPr>
                <w:rFonts w:eastAsia="Times New Roman" w:cstheme="minorHAnsi"/>
                <w:color w:val="0D0D0D" w:themeColor="text1" w:themeTint="F2"/>
              </w:rPr>
            </w:pPr>
            <w:r w:rsidRPr="004E6649">
              <w:rPr>
                <w:rFonts w:eastAsia="Times New Roman" w:cstheme="minorHAnsi"/>
                <w:color w:val="0D0D0D" w:themeColor="text1" w:themeTint="F2"/>
              </w:rPr>
              <w:t xml:space="preserve">Total health insurance liability </w:t>
            </w:r>
            <w:r w:rsidRPr="004E6649">
              <w:rPr>
                <w:rFonts w:eastAsia="Times New Roman" w:cstheme="minorHAnsi"/>
                <w:i/>
                <w:iCs/>
                <w:color w:val="0D0D0D" w:themeColor="text1" w:themeTint="F2"/>
              </w:rPr>
              <w:t>(Note 7)</w:t>
            </w:r>
          </w:p>
        </w:tc>
        <w:tc>
          <w:tcPr>
            <w:tcW w:w="1109" w:type="dxa"/>
            <w:tcBorders>
              <w:top w:val="single" w:sz="8" w:space="0" w:color="000000" w:themeColor="text1"/>
              <w:left w:val="nil"/>
              <w:bottom w:val="double" w:sz="4" w:space="0" w:color="000000" w:themeColor="text1"/>
              <w:right w:val="nil"/>
            </w:tcBorders>
            <w:shd w:val="clear" w:color="000000" w:fill="FFFFFF"/>
            <w:noWrap/>
            <w:vAlign w:val="bottom"/>
            <w:hideMark/>
          </w:tcPr>
          <w:p w14:paraId="0B1A72CC" w14:textId="77777777" w:rsidR="001B6918" w:rsidRPr="009924D7" w:rsidRDefault="001B6918" w:rsidP="00730ECF">
            <w:pPr>
              <w:jc w:val="right"/>
              <w:rPr>
                <w:rFonts w:eastAsia="Times New Roman" w:cstheme="minorHAnsi"/>
              </w:rPr>
            </w:pPr>
            <w:r w:rsidRPr="009924D7">
              <w:rPr>
                <w:rFonts w:eastAsia="Times New Roman" w:cstheme="minorHAnsi"/>
              </w:rPr>
              <w:t>$8,794</w:t>
            </w:r>
          </w:p>
        </w:tc>
        <w:tc>
          <w:tcPr>
            <w:tcW w:w="1141" w:type="dxa"/>
            <w:tcBorders>
              <w:top w:val="single" w:sz="8" w:space="0" w:color="000000" w:themeColor="text1"/>
              <w:left w:val="nil"/>
              <w:bottom w:val="double" w:sz="4" w:space="0" w:color="000000" w:themeColor="text1"/>
              <w:right w:val="nil"/>
            </w:tcBorders>
            <w:shd w:val="clear" w:color="auto" w:fill="F2F2F2" w:themeFill="background1" w:themeFillShade="F2"/>
            <w:noWrap/>
            <w:vAlign w:val="bottom"/>
            <w:hideMark/>
          </w:tcPr>
          <w:p w14:paraId="10B2B8E1" w14:textId="77777777" w:rsidR="001B6918" w:rsidRPr="004E6649" w:rsidRDefault="001B6918" w:rsidP="00730ECF">
            <w:pPr>
              <w:jc w:val="right"/>
              <w:rPr>
                <w:rFonts w:eastAsia="Times New Roman" w:cstheme="minorHAnsi"/>
                <w:color w:val="0D0D0D" w:themeColor="text1" w:themeTint="F2"/>
              </w:rPr>
            </w:pPr>
            <w:r w:rsidRPr="00135E41">
              <w:rPr>
                <w:rFonts w:eastAsia="Times New Roman" w:cstheme="minorHAnsi"/>
              </w:rPr>
              <w:t>$8,703</w:t>
            </w:r>
          </w:p>
        </w:tc>
      </w:tr>
    </w:tbl>
    <w:p w14:paraId="36C77217" w14:textId="77777777" w:rsidR="001B6918" w:rsidRDefault="001B6918" w:rsidP="001B6918">
      <w:pPr>
        <w:spacing w:after="160" w:line="259" w:lineRule="auto"/>
        <w:rPr>
          <w:rFonts w:eastAsiaTheme="majorEastAsia" w:cstheme="minorHAnsi"/>
          <w:b/>
          <w:i/>
          <w:iCs/>
          <w:smallCaps/>
          <w:noProof/>
          <w:color w:val="000000" w:themeColor="text1"/>
          <w:szCs w:val="24"/>
          <w:u w:color="5B9BD5"/>
        </w:rPr>
      </w:pPr>
      <w:r>
        <w:rPr>
          <w:rFonts w:eastAsiaTheme="majorEastAsia" w:cstheme="minorHAnsi"/>
          <w:b/>
          <w:i/>
          <w:iCs/>
          <w:smallCaps/>
          <w:noProof/>
          <w:color w:val="000000" w:themeColor="text1"/>
          <w:szCs w:val="24"/>
          <w:u w:color="5B9BD5"/>
        </w:rPr>
        <w:br w:type="page"/>
      </w:r>
    </w:p>
    <w:p w14:paraId="1C70B2AD" w14:textId="77777777" w:rsidR="001B6918" w:rsidRPr="00A02D27" w:rsidRDefault="001B6918" w:rsidP="001B6918">
      <w:pPr>
        <w:spacing w:after="160"/>
        <w:rPr>
          <w:rFonts w:eastAsiaTheme="majorEastAsia" w:cstheme="minorHAnsi"/>
          <w:b/>
          <w:i/>
          <w:iCs/>
          <w:smallCaps/>
          <w:noProof/>
          <w:color w:val="000000" w:themeColor="text1"/>
          <w:sz w:val="24"/>
          <w:szCs w:val="24"/>
          <w:u w:color="5B9BD5"/>
        </w:rPr>
      </w:pPr>
      <w:r w:rsidRPr="00A02D27">
        <w:rPr>
          <w:rFonts w:eastAsiaTheme="majorEastAsia" w:cstheme="minorHAnsi"/>
          <w:b/>
          <w:i/>
          <w:iCs/>
          <w:smallCaps/>
          <w:noProof/>
          <w:color w:val="000000" w:themeColor="text1"/>
          <w:sz w:val="24"/>
          <w:szCs w:val="24"/>
          <w:u w:color="5B9BD5"/>
        </w:rPr>
        <w:lastRenderedPageBreak/>
        <w:t>11. COMMITMENTS AND CONTINGENCIES - CONTINUED</w:t>
      </w:r>
      <w:r w:rsidRPr="00A02D27">
        <w:rPr>
          <w:rFonts w:eastAsiaTheme="majorEastAsia" w:cstheme="minorHAnsi"/>
          <w:b/>
          <w:i/>
          <w:iCs/>
          <w:smallCaps/>
          <w:noProof/>
          <w:color w:val="000000" w:themeColor="text1"/>
          <w:sz w:val="24"/>
          <w:szCs w:val="24"/>
          <w:u w:color="5B9BD5"/>
        </w:rPr>
        <w:fldChar w:fldCharType="begin"/>
      </w:r>
      <w:r w:rsidRPr="00A02D27">
        <w:rPr>
          <w:rFonts w:eastAsiaTheme="majorEastAsia" w:cstheme="minorHAnsi"/>
          <w:b/>
          <w:i/>
          <w:iCs/>
          <w:smallCaps/>
          <w:noProof/>
          <w:color w:val="000000" w:themeColor="text1"/>
          <w:sz w:val="24"/>
          <w:szCs w:val="24"/>
          <w:u w:color="5B9BD5"/>
        </w:rPr>
        <w:fldChar w:fldCharType="end"/>
      </w:r>
    </w:p>
    <w:p w14:paraId="2A8353EA" w14:textId="77777777" w:rsidR="001B6918" w:rsidRPr="004E6649" w:rsidRDefault="001B6918" w:rsidP="001B6918">
      <w:pPr>
        <w:rPr>
          <w:rFonts w:cstheme="minorHAnsi"/>
          <w:spacing w:val="-3"/>
          <w:sz w:val="24"/>
          <w:szCs w:val="20"/>
        </w:rPr>
      </w:pPr>
      <w:r w:rsidRPr="004E6649">
        <w:rPr>
          <w:rFonts w:eastAsia="Times New Roman" w:cstheme="minorHAnsi"/>
          <w:bCs/>
          <w:color w:val="000000"/>
          <w:spacing w:val="-3"/>
          <w:sz w:val="24"/>
          <w:szCs w:val="24"/>
        </w:rPr>
        <w:t>Related to the System’s self-insured health plan, certain collective bargaining agreements with System employees provide for a health insurance ‘premium rebate’ in the event that the total aggregate premium amount for the applicable two-year period (the “calculation period”) exceeds, by a stated percentage, the total aggregate costs paid for claims and other expenses for the same period. Throughout each calculation period, the System receives periodic reports on how actual costs are trending in relation to the premiums; however, probability of a rebate cannot be determined until the end of the calculation period</w:t>
      </w:r>
      <w:r>
        <w:rPr>
          <w:rFonts w:eastAsia="Times New Roman" w:cstheme="minorHAnsi"/>
          <w:bCs/>
          <w:color w:val="000000"/>
          <w:spacing w:val="-3"/>
          <w:sz w:val="24"/>
          <w:szCs w:val="24"/>
        </w:rPr>
        <w:t>.</w:t>
      </w:r>
      <w:r w:rsidRPr="004E6649">
        <w:rPr>
          <w:rFonts w:eastAsia="Times New Roman" w:cstheme="minorHAnsi"/>
          <w:bCs/>
          <w:color w:val="000000"/>
          <w:spacing w:val="-3"/>
          <w:sz w:val="24"/>
          <w:szCs w:val="24"/>
        </w:rPr>
        <w:t xml:space="preserve"> </w:t>
      </w:r>
      <w:r w:rsidRPr="004E6649">
        <w:rPr>
          <w:rFonts w:eastAsia="Times New Roman" w:cstheme="minorHAnsi"/>
          <w:bCs/>
          <w:spacing w:val="-3"/>
          <w:sz w:val="24"/>
          <w:szCs w:val="24"/>
        </w:rPr>
        <w:t>As of June 30, 202</w:t>
      </w:r>
      <w:r>
        <w:rPr>
          <w:rFonts w:eastAsia="Times New Roman" w:cstheme="minorHAnsi"/>
          <w:bCs/>
          <w:spacing w:val="-3"/>
          <w:sz w:val="24"/>
          <w:szCs w:val="24"/>
        </w:rPr>
        <w:t>5</w:t>
      </w:r>
      <w:r w:rsidRPr="004E6649">
        <w:rPr>
          <w:rFonts w:eastAsia="Times New Roman" w:cstheme="minorHAnsi"/>
          <w:bCs/>
          <w:spacing w:val="-3"/>
          <w:sz w:val="24"/>
          <w:szCs w:val="24"/>
        </w:rPr>
        <w:t xml:space="preserve"> and 202</w:t>
      </w:r>
      <w:r>
        <w:rPr>
          <w:rFonts w:eastAsia="Times New Roman" w:cstheme="minorHAnsi"/>
          <w:bCs/>
          <w:spacing w:val="-3"/>
          <w:sz w:val="24"/>
          <w:szCs w:val="24"/>
        </w:rPr>
        <w:t>4</w:t>
      </w:r>
      <w:r w:rsidRPr="004E6649">
        <w:rPr>
          <w:rFonts w:eastAsia="Times New Roman" w:cstheme="minorHAnsi"/>
          <w:bCs/>
          <w:spacing w:val="-3"/>
          <w:sz w:val="24"/>
          <w:szCs w:val="24"/>
        </w:rPr>
        <w:t xml:space="preserve"> the estimated liability for the premium rebate </w:t>
      </w:r>
      <w:r>
        <w:rPr>
          <w:rFonts w:eastAsia="Times New Roman" w:cstheme="minorHAnsi"/>
          <w:bCs/>
          <w:spacing w:val="-3"/>
          <w:sz w:val="24"/>
          <w:szCs w:val="24"/>
        </w:rPr>
        <w:t>is</w:t>
      </w:r>
      <w:r w:rsidRPr="004E6649">
        <w:rPr>
          <w:rFonts w:eastAsia="Times New Roman" w:cstheme="minorHAnsi"/>
          <w:bCs/>
          <w:spacing w:val="-3"/>
          <w:sz w:val="24"/>
          <w:szCs w:val="24"/>
        </w:rPr>
        <w:t xml:space="preserve"> $</w:t>
      </w:r>
      <w:r>
        <w:rPr>
          <w:rFonts w:eastAsia="Times New Roman" w:cstheme="minorHAnsi"/>
          <w:bCs/>
          <w:spacing w:val="-3"/>
          <w:sz w:val="24"/>
          <w:szCs w:val="24"/>
        </w:rPr>
        <w:t>0</w:t>
      </w:r>
      <w:r w:rsidRPr="004E6649">
        <w:rPr>
          <w:rFonts w:cstheme="minorHAnsi"/>
          <w:spacing w:val="-3"/>
          <w:sz w:val="24"/>
          <w:szCs w:val="20"/>
        </w:rPr>
        <w:t>.</w:t>
      </w:r>
    </w:p>
    <w:p w14:paraId="0B371346" w14:textId="77777777" w:rsidR="001B6918" w:rsidRPr="00A02D27" w:rsidRDefault="001B6918" w:rsidP="001B6918">
      <w:pPr>
        <w:pStyle w:val="AFR3"/>
        <w:spacing w:after="0"/>
        <w:rPr>
          <w:rFonts w:cstheme="minorHAnsi"/>
          <w:sz w:val="24"/>
          <w:szCs w:val="20"/>
        </w:rPr>
      </w:pPr>
      <w:r w:rsidRPr="00A02D27">
        <w:rPr>
          <w:rFonts w:cstheme="minorHAnsi"/>
          <w:sz w:val="24"/>
          <w:szCs w:val="20"/>
        </w:rPr>
        <w:t>c. Litigation</w:t>
      </w:r>
    </w:p>
    <w:p w14:paraId="5AEB210C" w14:textId="77777777" w:rsidR="001B6918" w:rsidRPr="004E6649" w:rsidRDefault="001B6918" w:rsidP="001B6918">
      <w:pPr>
        <w:rPr>
          <w:rFonts w:cstheme="minorHAnsi"/>
          <w:spacing w:val="-3"/>
          <w:sz w:val="24"/>
          <w:szCs w:val="20"/>
        </w:rPr>
      </w:pPr>
      <w:r w:rsidRPr="004E6649">
        <w:rPr>
          <w:rFonts w:cstheme="minorHAnsi"/>
          <w:spacing w:val="-3"/>
          <w:sz w:val="24"/>
          <w:szCs w:val="20"/>
        </w:rPr>
        <w:t>The System has been named as defendant in several lawsuits in the normal course of business, the outcomes of which are uncertain. It is anticipated by System management that an adverse decision on any or all of these suits would not have a material adverse effect on these financial statements.</w:t>
      </w:r>
    </w:p>
    <w:p w14:paraId="095FA12E" w14:textId="77777777" w:rsidR="001B6918" w:rsidRPr="004E6649" w:rsidRDefault="001B6918" w:rsidP="001B6918">
      <w:pPr>
        <w:pStyle w:val="AFR2"/>
        <w:pBdr>
          <w:bottom w:val="single" w:sz="8" w:space="1" w:color="0D0D0D" w:themeColor="text1" w:themeTint="F2"/>
        </w:pBdr>
        <w:rPr>
          <w:rFonts w:cstheme="minorHAnsi"/>
          <w:sz w:val="24"/>
          <w:szCs w:val="24"/>
        </w:rPr>
      </w:pPr>
      <w:r w:rsidRPr="004E6649">
        <w:rPr>
          <w:rFonts w:cstheme="minorHAnsi"/>
          <w:sz w:val="24"/>
          <w:szCs w:val="24"/>
        </w:rPr>
        <w:t>12. PASS THROUGH GRANTS</w:t>
      </w:r>
    </w:p>
    <w:p w14:paraId="34B710B1" w14:textId="77777777" w:rsidR="001B6918" w:rsidRPr="004E6649" w:rsidRDefault="001B6918" w:rsidP="001B6918">
      <w:pPr>
        <w:tabs>
          <w:tab w:val="left" w:pos="720"/>
          <w:tab w:val="left" w:pos="1022"/>
          <w:tab w:val="left" w:pos="1440"/>
          <w:tab w:val="right" w:pos="4262"/>
          <w:tab w:val="right" w:pos="5220"/>
          <w:tab w:val="right" w:pos="6691"/>
          <w:tab w:val="right" w:pos="7621"/>
          <w:tab w:val="right" w:pos="9187"/>
        </w:tabs>
        <w:suppressAutoHyphens/>
        <w:rPr>
          <w:rFonts w:cstheme="minorHAnsi"/>
          <w:spacing w:val="-3"/>
          <w:sz w:val="24"/>
        </w:rPr>
      </w:pPr>
      <w:r w:rsidRPr="004E6649">
        <w:rPr>
          <w:rFonts w:cstheme="minorHAnsi"/>
          <w:spacing w:val="-3"/>
          <w:sz w:val="24"/>
        </w:rPr>
        <w:t>During FY2</w:t>
      </w:r>
      <w:r>
        <w:rPr>
          <w:rFonts w:cstheme="minorHAnsi"/>
          <w:spacing w:val="-3"/>
          <w:sz w:val="24"/>
        </w:rPr>
        <w:t>5</w:t>
      </w:r>
      <w:r w:rsidRPr="004E6649">
        <w:rPr>
          <w:rFonts w:cstheme="minorHAnsi"/>
          <w:spacing w:val="-3"/>
          <w:sz w:val="24"/>
        </w:rPr>
        <w:t xml:space="preserve"> and FY2</w:t>
      </w:r>
      <w:r>
        <w:rPr>
          <w:rFonts w:cstheme="minorHAnsi"/>
          <w:spacing w:val="-3"/>
          <w:sz w:val="24"/>
        </w:rPr>
        <w:t>4</w:t>
      </w:r>
      <w:r w:rsidRPr="004E6649">
        <w:rPr>
          <w:rFonts w:cstheme="minorHAnsi"/>
          <w:spacing w:val="-3"/>
          <w:sz w:val="24"/>
        </w:rPr>
        <w:t>, the System distributed $</w:t>
      </w:r>
      <w:r>
        <w:rPr>
          <w:rFonts w:cstheme="minorHAnsi"/>
          <w:spacing w:val="-3"/>
          <w:sz w:val="24"/>
        </w:rPr>
        <w:t>95,375</w:t>
      </w:r>
      <w:r w:rsidRPr="00B01628">
        <w:rPr>
          <w:rFonts w:cstheme="minorHAnsi"/>
          <w:spacing w:val="-3"/>
          <w:sz w:val="24"/>
        </w:rPr>
        <w:t xml:space="preserve"> </w:t>
      </w:r>
      <w:r w:rsidRPr="004E6649">
        <w:rPr>
          <w:rFonts w:cstheme="minorHAnsi"/>
          <w:spacing w:val="-3"/>
          <w:sz w:val="24"/>
        </w:rPr>
        <w:t>and $</w:t>
      </w:r>
      <w:r>
        <w:rPr>
          <w:rFonts w:cstheme="minorHAnsi"/>
          <w:spacing w:val="-3"/>
          <w:sz w:val="24"/>
        </w:rPr>
        <w:t>91,940</w:t>
      </w:r>
      <w:r w:rsidRPr="004E6649">
        <w:rPr>
          <w:rFonts w:cstheme="minorHAnsi"/>
          <w:spacing w:val="-3"/>
          <w:sz w:val="24"/>
        </w:rPr>
        <w:t>, respectively, for student loans through the U.S. Department of Education Federal Direct Lending Program. These distributions and related funding sources are not included as expenses and revenues or as cash disbursements and cash receipts in the accompanying financial statements.</w:t>
      </w:r>
    </w:p>
    <w:p w14:paraId="6E082BDE" w14:textId="77777777" w:rsidR="001B6918" w:rsidRPr="004E6649" w:rsidRDefault="001B6918" w:rsidP="001B6918">
      <w:pPr>
        <w:pStyle w:val="AFR2"/>
        <w:pBdr>
          <w:bottom w:val="single" w:sz="8" w:space="1" w:color="0D0D0D" w:themeColor="text1" w:themeTint="F2"/>
        </w:pBdr>
        <w:rPr>
          <w:rFonts w:cstheme="minorHAnsi"/>
          <w:sz w:val="24"/>
          <w:szCs w:val="24"/>
        </w:rPr>
      </w:pPr>
      <w:r w:rsidRPr="004E6649">
        <w:rPr>
          <w:rFonts w:cstheme="minorHAnsi"/>
          <w:sz w:val="24"/>
          <w:szCs w:val="24"/>
        </w:rPr>
        <w:t>13. PENSION PLANS</w:t>
      </w:r>
    </w:p>
    <w:p w14:paraId="4A87CE1F" w14:textId="77777777" w:rsidR="001B6918" w:rsidRPr="004E6649" w:rsidRDefault="001B6918" w:rsidP="001B6918">
      <w:pPr>
        <w:tabs>
          <w:tab w:val="left" w:pos="720"/>
          <w:tab w:val="left" w:pos="1440"/>
          <w:tab w:val="right" w:pos="4262"/>
          <w:tab w:val="right" w:pos="5220"/>
          <w:tab w:val="right" w:pos="6691"/>
          <w:tab w:val="right" w:pos="7621"/>
          <w:tab w:val="right" w:pos="9187"/>
        </w:tabs>
        <w:suppressAutoHyphens/>
        <w:spacing w:after="120"/>
        <w:rPr>
          <w:rFonts w:cstheme="minorHAnsi"/>
          <w:bCs/>
          <w:spacing w:val="-3"/>
          <w:sz w:val="24"/>
        </w:rPr>
      </w:pPr>
      <w:r w:rsidRPr="004E6649">
        <w:rPr>
          <w:rFonts w:cstheme="minorHAnsi"/>
          <w:bCs/>
          <w:spacing w:val="-3"/>
          <w:sz w:val="24"/>
        </w:rPr>
        <w:t>The System has several single-employer pension plans, each of which is described in more detail below. The System’s pension expense</w:t>
      </w:r>
      <w:r>
        <w:rPr>
          <w:rFonts w:cstheme="minorHAnsi"/>
          <w:bCs/>
          <w:spacing w:val="-3"/>
          <w:sz w:val="24"/>
        </w:rPr>
        <w:t xml:space="preserve"> (income)</w:t>
      </w:r>
      <w:r w:rsidRPr="004E6649">
        <w:rPr>
          <w:rFonts w:cstheme="minorHAnsi"/>
          <w:bCs/>
          <w:spacing w:val="-3"/>
          <w:sz w:val="24"/>
        </w:rPr>
        <w:t xml:space="preserve"> for each of these plans was as follows for the years ended June 30:</w:t>
      </w:r>
    </w:p>
    <w:tbl>
      <w:tblPr>
        <w:tblW w:w="6930" w:type="dxa"/>
        <w:jc w:val="center"/>
        <w:tblLook w:val="04A0" w:firstRow="1" w:lastRow="0" w:firstColumn="1" w:lastColumn="0" w:noHBand="0" w:noVBand="1"/>
      </w:tblPr>
      <w:tblGrid>
        <w:gridCol w:w="4049"/>
        <w:gridCol w:w="1441"/>
        <w:gridCol w:w="1440"/>
      </w:tblGrid>
      <w:tr w:rsidR="001B6918" w:rsidRPr="004E6649" w14:paraId="7F4A60DD" w14:textId="77777777" w:rsidTr="00730ECF">
        <w:trPr>
          <w:trHeight w:val="108"/>
          <w:tblHeader/>
          <w:jc w:val="center"/>
        </w:trPr>
        <w:tc>
          <w:tcPr>
            <w:tcW w:w="4049" w:type="dxa"/>
            <w:tcBorders>
              <w:top w:val="nil"/>
              <w:left w:val="nil"/>
              <w:bottom w:val="single" w:sz="12" w:space="0" w:color="000000" w:themeColor="text1"/>
              <w:right w:val="nil"/>
            </w:tcBorders>
            <w:shd w:val="clear" w:color="000000" w:fill="FFFFFF"/>
            <w:noWrap/>
            <w:vAlign w:val="bottom"/>
            <w:hideMark/>
          </w:tcPr>
          <w:p w14:paraId="56FB5972" w14:textId="77777777" w:rsidR="001B6918" w:rsidRPr="004E6649" w:rsidRDefault="001B6918" w:rsidP="00730ECF">
            <w:pPr>
              <w:jc w:val="center"/>
              <w:rPr>
                <w:rFonts w:eastAsia="Times New Roman" w:cstheme="minorHAnsi"/>
                <w:b/>
                <w:bCs/>
                <w:color w:val="0D0D0D"/>
              </w:rPr>
            </w:pPr>
            <w:r w:rsidRPr="004E6649">
              <w:rPr>
                <w:rFonts w:cstheme="minorHAnsi"/>
              </w:rPr>
              <w:fldChar w:fldCharType="begin"/>
            </w:r>
            <w:r w:rsidRPr="004E6649">
              <w:rPr>
                <w:rFonts w:cstheme="minorHAnsi"/>
              </w:rPr>
              <w:fldChar w:fldCharType="end"/>
            </w:r>
            <w:r w:rsidRPr="004E6649">
              <w:rPr>
                <w:rFonts w:eastAsia="Times New Roman" w:cstheme="minorHAnsi"/>
                <w:b/>
                <w:bCs/>
                <w:color w:val="0D0D0D"/>
              </w:rPr>
              <w:t> </w:t>
            </w:r>
          </w:p>
        </w:tc>
        <w:tc>
          <w:tcPr>
            <w:tcW w:w="1441" w:type="dxa"/>
            <w:tcBorders>
              <w:top w:val="nil"/>
              <w:left w:val="nil"/>
              <w:bottom w:val="single" w:sz="12" w:space="0" w:color="000000" w:themeColor="text1"/>
              <w:right w:val="nil"/>
            </w:tcBorders>
            <w:shd w:val="clear" w:color="000000" w:fill="FFFFFF"/>
            <w:noWrap/>
            <w:vAlign w:val="bottom"/>
            <w:hideMark/>
          </w:tcPr>
          <w:p w14:paraId="03A3509F"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202</w:t>
            </w:r>
            <w:r>
              <w:rPr>
                <w:rFonts w:eastAsia="Times New Roman" w:cstheme="minorHAnsi"/>
                <w:b/>
                <w:bCs/>
                <w:color w:val="0D0D0D"/>
              </w:rPr>
              <w:t>5</w:t>
            </w:r>
          </w:p>
        </w:tc>
        <w:tc>
          <w:tcPr>
            <w:tcW w:w="1440" w:type="dxa"/>
            <w:tcBorders>
              <w:top w:val="nil"/>
              <w:left w:val="nil"/>
              <w:bottom w:val="single" w:sz="12" w:space="0" w:color="000000" w:themeColor="text1"/>
              <w:right w:val="nil"/>
            </w:tcBorders>
            <w:shd w:val="clear" w:color="auto" w:fill="F2F2F2" w:themeFill="background1" w:themeFillShade="F2"/>
            <w:noWrap/>
            <w:vAlign w:val="bottom"/>
            <w:hideMark/>
          </w:tcPr>
          <w:p w14:paraId="2B588DF3"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202</w:t>
            </w:r>
            <w:r>
              <w:rPr>
                <w:rFonts w:eastAsia="Times New Roman" w:cstheme="minorHAnsi"/>
                <w:b/>
                <w:bCs/>
                <w:color w:val="0D0D0D"/>
              </w:rPr>
              <w:t>4</w:t>
            </w:r>
          </w:p>
        </w:tc>
      </w:tr>
      <w:tr w:rsidR="001B6918" w:rsidRPr="004E6649" w14:paraId="32A4C5F8" w14:textId="77777777" w:rsidTr="00730ECF">
        <w:trPr>
          <w:trHeight w:val="168"/>
          <w:jc w:val="center"/>
        </w:trPr>
        <w:tc>
          <w:tcPr>
            <w:tcW w:w="4049" w:type="dxa"/>
            <w:tcBorders>
              <w:top w:val="single" w:sz="12" w:space="0" w:color="000000" w:themeColor="text1"/>
              <w:left w:val="nil"/>
              <w:bottom w:val="nil"/>
              <w:right w:val="nil"/>
            </w:tcBorders>
            <w:shd w:val="clear" w:color="000000" w:fill="FFFFFF"/>
            <w:noWrap/>
            <w:vAlign w:val="bottom"/>
            <w:hideMark/>
          </w:tcPr>
          <w:p w14:paraId="63730A53"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Faculty and Professional Employees:</w:t>
            </w:r>
          </w:p>
        </w:tc>
        <w:tc>
          <w:tcPr>
            <w:tcW w:w="1441" w:type="dxa"/>
            <w:tcBorders>
              <w:top w:val="single" w:sz="12" w:space="0" w:color="000000" w:themeColor="text1"/>
              <w:left w:val="nil"/>
              <w:bottom w:val="nil"/>
              <w:right w:val="nil"/>
            </w:tcBorders>
            <w:shd w:val="clear" w:color="000000" w:fill="FFFFFF"/>
            <w:noWrap/>
            <w:vAlign w:val="bottom"/>
            <w:hideMark/>
          </w:tcPr>
          <w:p w14:paraId="4F5FFEB9"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 </w:t>
            </w:r>
          </w:p>
        </w:tc>
        <w:tc>
          <w:tcPr>
            <w:tcW w:w="1440" w:type="dxa"/>
            <w:tcBorders>
              <w:top w:val="single" w:sz="12" w:space="0" w:color="000000" w:themeColor="text1"/>
              <w:left w:val="nil"/>
              <w:bottom w:val="nil"/>
              <w:right w:val="nil"/>
            </w:tcBorders>
            <w:shd w:val="clear" w:color="auto" w:fill="F2F2F2" w:themeFill="background1" w:themeFillShade="F2"/>
            <w:noWrap/>
            <w:vAlign w:val="bottom"/>
            <w:hideMark/>
          </w:tcPr>
          <w:p w14:paraId="30BBE09D"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 </w:t>
            </w:r>
          </w:p>
        </w:tc>
      </w:tr>
      <w:tr w:rsidR="001B6918" w:rsidRPr="004E6649" w14:paraId="112BFA8A" w14:textId="77777777" w:rsidTr="00730ECF">
        <w:trPr>
          <w:trHeight w:val="80"/>
          <w:jc w:val="center"/>
        </w:trPr>
        <w:tc>
          <w:tcPr>
            <w:tcW w:w="4049" w:type="dxa"/>
            <w:tcBorders>
              <w:top w:val="nil"/>
              <w:left w:val="nil"/>
              <w:bottom w:val="nil"/>
              <w:right w:val="nil"/>
            </w:tcBorders>
            <w:shd w:val="clear" w:color="000000" w:fill="FFFFFF"/>
            <w:noWrap/>
            <w:vAlign w:val="bottom"/>
            <w:hideMark/>
          </w:tcPr>
          <w:p w14:paraId="764B9A40" w14:textId="77777777" w:rsidR="001B6918" w:rsidRPr="004E6649" w:rsidRDefault="001B6918" w:rsidP="00730ECF">
            <w:pPr>
              <w:ind w:firstLineChars="100" w:firstLine="220"/>
              <w:rPr>
                <w:rFonts w:eastAsia="Times New Roman" w:cstheme="minorHAnsi"/>
                <w:color w:val="0D0D0D"/>
              </w:rPr>
            </w:pPr>
            <w:r w:rsidRPr="004E6649">
              <w:rPr>
                <w:rFonts w:eastAsia="Times New Roman" w:cstheme="minorHAnsi"/>
                <w:color w:val="0D0D0D"/>
              </w:rPr>
              <w:t>Contributory retirement plan</w:t>
            </w:r>
          </w:p>
        </w:tc>
        <w:tc>
          <w:tcPr>
            <w:tcW w:w="1441" w:type="dxa"/>
            <w:tcBorders>
              <w:top w:val="nil"/>
              <w:left w:val="nil"/>
              <w:bottom w:val="nil"/>
              <w:right w:val="nil"/>
            </w:tcBorders>
            <w:noWrap/>
            <w:vAlign w:val="bottom"/>
            <w:hideMark/>
          </w:tcPr>
          <w:p w14:paraId="4D697D50" w14:textId="77777777" w:rsidR="001B6918" w:rsidRPr="00E55634" w:rsidRDefault="001B6918" w:rsidP="00730ECF">
            <w:pPr>
              <w:jc w:val="right"/>
              <w:rPr>
                <w:rFonts w:eastAsia="Times New Roman" w:cstheme="minorHAnsi"/>
                <w:color w:val="FF0000"/>
              </w:rPr>
            </w:pPr>
            <w:r w:rsidRPr="00CD53B8">
              <w:rPr>
                <w:rFonts w:cstheme="minorHAnsi"/>
              </w:rPr>
              <w:t>$</w:t>
            </w:r>
            <w:r w:rsidRPr="00E55634">
              <w:rPr>
                <w:rFonts w:cstheme="minorHAnsi"/>
              </w:rPr>
              <w:t>27,696</w:t>
            </w:r>
          </w:p>
        </w:tc>
        <w:tc>
          <w:tcPr>
            <w:tcW w:w="1440" w:type="dxa"/>
            <w:tcBorders>
              <w:top w:val="nil"/>
              <w:left w:val="nil"/>
              <w:bottom w:val="nil"/>
              <w:right w:val="nil"/>
            </w:tcBorders>
            <w:shd w:val="clear" w:color="auto" w:fill="F2F2F2" w:themeFill="background1" w:themeFillShade="F2"/>
            <w:noWrap/>
            <w:vAlign w:val="bottom"/>
            <w:hideMark/>
          </w:tcPr>
          <w:p w14:paraId="62F94DD6" w14:textId="77777777" w:rsidR="001B6918" w:rsidRPr="004E6649" w:rsidRDefault="001B6918" w:rsidP="00730ECF">
            <w:pPr>
              <w:jc w:val="center"/>
              <w:rPr>
                <w:rFonts w:eastAsia="Times New Roman" w:cstheme="minorHAnsi"/>
              </w:rPr>
            </w:pPr>
            <w:r>
              <w:rPr>
                <w:rFonts w:cstheme="minorHAnsi"/>
              </w:rPr>
              <w:t xml:space="preserve">   </w:t>
            </w:r>
            <w:r w:rsidRPr="00C24820">
              <w:rPr>
                <w:rFonts w:cstheme="minorHAnsi"/>
              </w:rPr>
              <w:t>$26,202</w:t>
            </w:r>
          </w:p>
        </w:tc>
      </w:tr>
      <w:tr w:rsidR="001B6918" w:rsidRPr="004E6649" w14:paraId="39585E75" w14:textId="77777777" w:rsidTr="00730ECF">
        <w:trPr>
          <w:trHeight w:val="80"/>
          <w:jc w:val="center"/>
        </w:trPr>
        <w:tc>
          <w:tcPr>
            <w:tcW w:w="4049" w:type="dxa"/>
            <w:tcBorders>
              <w:top w:val="nil"/>
              <w:left w:val="nil"/>
              <w:bottom w:val="nil"/>
              <w:right w:val="nil"/>
            </w:tcBorders>
            <w:shd w:val="clear" w:color="000000" w:fill="FFFFFF"/>
            <w:noWrap/>
            <w:vAlign w:val="bottom"/>
            <w:hideMark/>
          </w:tcPr>
          <w:p w14:paraId="5F3733E8" w14:textId="77777777" w:rsidR="001B6918" w:rsidRPr="004E6649" w:rsidRDefault="001B6918" w:rsidP="00730ECF">
            <w:pPr>
              <w:ind w:firstLineChars="100" w:firstLine="220"/>
              <w:rPr>
                <w:rFonts w:eastAsia="Times New Roman" w:cstheme="minorHAnsi"/>
                <w:color w:val="0D0D0D"/>
              </w:rPr>
            </w:pPr>
            <w:r w:rsidRPr="004E6649">
              <w:rPr>
                <w:rFonts w:eastAsia="Times New Roman" w:cstheme="minorHAnsi"/>
                <w:color w:val="0D0D0D"/>
              </w:rPr>
              <w:t>Incentive retirement plan</w:t>
            </w:r>
          </w:p>
        </w:tc>
        <w:tc>
          <w:tcPr>
            <w:tcW w:w="1441" w:type="dxa"/>
            <w:tcBorders>
              <w:top w:val="nil"/>
              <w:left w:val="nil"/>
              <w:bottom w:val="nil"/>
              <w:right w:val="nil"/>
            </w:tcBorders>
            <w:shd w:val="clear" w:color="000000" w:fill="FFFFFF"/>
            <w:noWrap/>
            <w:vAlign w:val="bottom"/>
            <w:hideMark/>
          </w:tcPr>
          <w:p w14:paraId="63CF38D3" w14:textId="77777777" w:rsidR="001B6918" w:rsidRPr="00E55634" w:rsidRDefault="001B6918" w:rsidP="00730ECF">
            <w:pPr>
              <w:jc w:val="right"/>
              <w:rPr>
                <w:rFonts w:eastAsia="Times New Roman" w:cstheme="minorHAnsi"/>
                <w:color w:val="FF0000"/>
              </w:rPr>
            </w:pPr>
            <w:r w:rsidRPr="00762AF9">
              <w:rPr>
                <w:rFonts w:cstheme="minorHAnsi"/>
              </w:rPr>
              <w:t>1,</w:t>
            </w:r>
            <w:r w:rsidRPr="00E55634">
              <w:rPr>
                <w:rFonts w:cstheme="minorHAnsi"/>
              </w:rPr>
              <w:t>257</w:t>
            </w:r>
          </w:p>
        </w:tc>
        <w:tc>
          <w:tcPr>
            <w:tcW w:w="1440" w:type="dxa"/>
            <w:tcBorders>
              <w:top w:val="nil"/>
              <w:left w:val="nil"/>
              <w:bottom w:val="nil"/>
              <w:right w:val="nil"/>
            </w:tcBorders>
            <w:shd w:val="clear" w:color="auto" w:fill="F2F2F2" w:themeFill="background1" w:themeFillShade="F2"/>
            <w:noWrap/>
            <w:vAlign w:val="bottom"/>
            <w:hideMark/>
          </w:tcPr>
          <w:p w14:paraId="1FC3E5EC" w14:textId="77777777" w:rsidR="001B6918" w:rsidRPr="004E6649" w:rsidRDefault="001B6918" w:rsidP="00730ECF">
            <w:pPr>
              <w:jc w:val="center"/>
              <w:rPr>
                <w:rFonts w:eastAsia="Times New Roman" w:cstheme="minorHAnsi"/>
              </w:rPr>
            </w:pPr>
            <w:r>
              <w:rPr>
                <w:rFonts w:cstheme="minorHAnsi"/>
              </w:rPr>
              <w:t xml:space="preserve">      </w:t>
            </w:r>
            <w:r w:rsidRPr="00C24820">
              <w:rPr>
                <w:rFonts w:cstheme="minorHAnsi"/>
              </w:rPr>
              <w:t>1,159</w:t>
            </w:r>
          </w:p>
        </w:tc>
      </w:tr>
      <w:tr w:rsidR="001B6918" w:rsidRPr="004E6649" w14:paraId="28A340E6" w14:textId="77777777" w:rsidTr="00730ECF">
        <w:trPr>
          <w:trHeight w:val="80"/>
          <w:jc w:val="center"/>
        </w:trPr>
        <w:tc>
          <w:tcPr>
            <w:tcW w:w="4049" w:type="dxa"/>
            <w:tcBorders>
              <w:top w:val="nil"/>
              <w:left w:val="nil"/>
              <w:bottom w:val="nil"/>
              <w:right w:val="nil"/>
            </w:tcBorders>
            <w:shd w:val="clear" w:color="000000" w:fill="FFFFFF"/>
            <w:noWrap/>
            <w:vAlign w:val="bottom"/>
          </w:tcPr>
          <w:p w14:paraId="0E2C9289" w14:textId="77777777" w:rsidR="001B6918" w:rsidRPr="004E6649" w:rsidRDefault="001B6918" w:rsidP="00730ECF">
            <w:pPr>
              <w:ind w:firstLineChars="100" w:firstLine="220"/>
              <w:rPr>
                <w:rFonts w:eastAsia="Times New Roman" w:cstheme="minorHAnsi"/>
                <w:color w:val="0D0D0D"/>
              </w:rPr>
            </w:pPr>
            <w:r w:rsidRPr="004E6649">
              <w:rPr>
                <w:rFonts w:eastAsia="Times New Roman" w:cstheme="minorHAnsi"/>
                <w:color w:val="0D0D0D"/>
              </w:rPr>
              <w:t>Early retirement incentive</w:t>
            </w:r>
          </w:p>
        </w:tc>
        <w:tc>
          <w:tcPr>
            <w:tcW w:w="1441" w:type="dxa"/>
            <w:tcBorders>
              <w:top w:val="nil"/>
              <w:left w:val="nil"/>
              <w:bottom w:val="nil"/>
              <w:right w:val="nil"/>
            </w:tcBorders>
            <w:shd w:val="clear" w:color="000000" w:fill="FFFFFF"/>
            <w:noWrap/>
            <w:vAlign w:val="bottom"/>
          </w:tcPr>
          <w:p w14:paraId="5EFE580D" w14:textId="77777777" w:rsidR="001B6918" w:rsidRPr="00E55634" w:rsidRDefault="001B6918" w:rsidP="00730ECF">
            <w:pPr>
              <w:jc w:val="right"/>
              <w:rPr>
                <w:rFonts w:cstheme="minorHAnsi"/>
                <w:color w:val="FF0000"/>
              </w:rPr>
            </w:pPr>
            <w:r w:rsidRPr="00E55634">
              <w:rPr>
                <w:rFonts w:cstheme="minorHAnsi"/>
              </w:rPr>
              <w:t>1,072</w:t>
            </w:r>
          </w:p>
        </w:tc>
        <w:tc>
          <w:tcPr>
            <w:tcW w:w="1440" w:type="dxa"/>
            <w:tcBorders>
              <w:top w:val="nil"/>
              <w:left w:val="nil"/>
              <w:bottom w:val="nil"/>
              <w:right w:val="nil"/>
            </w:tcBorders>
            <w:shd w:val="clear" w:color="auto" w:fill="F2F2F2" w:themeFill="background1" w:themeFillShade="F2"/>
            <w:noWrap/>
            <w:vAlign w:val="bottom"/>
          </w:tcPr>
          <w:p w14:paraId="5E84D319" w14:textId="77777777" w:rsidR="001B6918" w:rsidRPr="004E6649" w:rsidRDefault="001B6918" w:rsidP="00730ECF">
            <w:pPr>
              <w:jc w:val="center"/>
              <w:rPr>
                <w:rFonts w:eastAsia="Times New Roman" w:cstheme="minorHAnsi"/>
              </w:rPr>
            </w:pPr>
            <w:r>
              <w:rPr>
                <w:rFonts w:cstheme="minorHAnsi"/>
              </w:rPr>
              <w:t xml:space="preserve">      </w:t>
            </w:r>
            <w:r w:rsidRPr="00C24820">
              <w:rPr>
                <w:rFonts w:cstheme="minorHAnsi"/>
              </w:rPr>
              <w:t>4,399</w:t>
            </w:r>
          </w:p>
        </w:tc>
      </w:tr>
      <w:tr w:rsidR="001B6918" w:rsidRPr="004E6649" w14:paraId="65FE622A" w14:textId="77777777" w:rsidTr="00730ECF">
        <w:trPr>
          <w:trHeight w:val="80"/>
          <w:jc w:val="center"/>
        </w:trPr>
        <w:tc>
          <w:tcPr>
            <w:tcW w:w="4049" w:type="dxa"/>
            <w:tcBorders>
              <w:top w:val="nil"/>
              <w:left w:val="nil"/>
              <w:bottom w:val="nil"/>
              <w:right w:val="nil"/>
            </w:tcBorders>
            <w:shd w:val="clear" w:color="000000" w:fill="FFFFFF"/>
            <w:noWrap/>
            <w:vAlign w:val="bottom"/>
            <w:hideMark/>
          </w:tcPr>
          <w:p w14:paraId="19FD70BA"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Hourly Employees:</w:t>
            </w:r>
          </w:p>
        </w:tc>
        <w:tc>
          <w:tcPr>
            <w:tcW w:w="1441" w:type="dxa"/>
            <w:tcBorders>
              <w:top w:val="nil"/>
              <w:left w:val="nil"/>
              <w:bottom w:val="nil"/>
              <w:right w:val="nil"/>
            </w:tcBorders>
            <w:shd w:val="clear" w:color="000000" w:fill="FFFFFF"/>
            <w:noWrap/>
            <w:vAlign w:val="bottom"/>
            <w:hideMark/>
          </w:tcPr>
          <w:p w14:paraId="2ADA59C0" w14:textId="77777777" w:rsidR="001B6918" w:rsidRPr="00E55634" w:rsidRDefault="001B6918" w:rsidP="00730ECF">
            <w:pPr>
              <w:jc w:val="right"/>
              <w:rPr>
                <w:rFonts w:eastAsia="Times New Roman" w:cstheme="minorHAnsi"/>
                <w:color w:val="FF0000"/>
              </w:rPr>
            </w:pPr>
            <w:r w:rsidRPr="00E55634">
              <w:rPr>
                <w:rFonts w:cstheme="minorHAnsi"/>
                <w:color w:val="FF0000"/>
              </w:rPr>
              <w:t> </w:t>
            </w:r>
          </w:p>
        </w:tc>
        <w:tc>
          <w:tcPr>
            <w:tcW w:w="1440" w:type="dxa"/>
            <w:tcBorders>
              <w:top w:val="nil"/>
              <w:left w:val="nil"/>
              <w:bottom w:val="nil"/>
              <w:right w:val="nil"/>
            </w:tcBorders>
            <w:shd w:val="clear" w:color="auto" w:fill="F2F2F2" w:themeFill="background1" w:themeFillShade="F2"/>
            <w:noWrap/>
            <w:vAlign w:val="bottom"/>
            <w:hideMark/>
          </w:tcPr>
          <w:p w14:paraId="15B1EDD9" w14:textId="77777777" w:rsidR="001B6918" w:rsidRPr="004E6649" w:rsidRDefault="001B6918" w:rsidP="00730ECF">
            <w:pPr>
              <w:jc w:val="right"/>
              <w:rPr>
                <w:rFonts w:eastAsia="Times New Roman" w:cstheme="minorHAnsi"/>
              </w:rPr>
            </w:pPr>
            <w:r w:rsidRPr="00C24820">
              <w:rPr>
                <w:rFonts w:cstheme="minorHAnsi"/>
              </w:rPr>
              <w:t> </w:t>
            </w:r>
          </w:p>
        </w:tc>
      </w:tr>
      <w:tr w:rsidR="001B6918" w:rsidRPr="004E6649" w14:paraId="446E82F6" w14:textId="77777777" w:rsidTr="00730ECF">
        <w:trPr>
          <w:trHeight w:val="90"/>
          <w:jc w:val="center"/>
        </w:trPr>
        <w:tc>
          <w:tcPr>
            <w:tcW w:w="4049" w:type="dxa"/>
            <w:tcBorders>
              <w:top w:val="nil"/>
              <w:left w:val="nil"/>
              <w:bottom w:val="nil"/>
              <w:right w:val="nil"/>
            </w:tcBorders>
            <w:shd w:val="clear" w:color="000000" w:fill="FFFFFF"/>
            <w:noWrap/>
            <w:vAlign w:val="bottom"/>
            <w:hideMark/>
          </w:tcPr>
          <w:p w14:paraId="6B08D845" w14:textId="77777777" w:rsidR="001B6918" w:rsidRPr="004E6649" w:rsidRDefault="001B6918" w:rsidP="00730ECF">
            <w:pPr>
              <w:ind w:firstLineChars="100" w:firstLine="220"/>
              <w:rPr>
                <w:rFonts w:eastAsia="Times New Roman" w:cstheme="minorHAnsi"/>
                <w:color w:val="0D0D0D"/>
              </w:rPr>
            </w:pPr>
            <w:r w:rsidRPr="004E6649">
              <w:rPr>
                <w:rFonts w:eastAsia="Times New Roman" w:cstheme="minorHAnsi"/>
                <w:color w:val="0D0D0D"/>
              </w:rPr>
              <w:t>Basic retirement plan</w:t>
            </w:r>
          </w:p>
        </w:tc>
        <w:tc>
          <w:tcPr>
            <w:tcW w:w="1441" w:type="dxa"/>
            <w:tcBorders>
              <w:top w:val="nil"/>
              <w:left w:val="nil"/>
              <w:bottom w:val="nil"/>
              <w:right w:val="nil"/>
            </w:tcBorders>
            <w:noWrap/>
            <w:vAlign w:val="bottom"/>
            <w:hideMark/>
          </w:tcPr>
          <w:p w14:paraId="4D5DC84D" w14:textId="77777777" w:rsidR="001B6918" w:rsidRPr="00E55634" w:rsidRDefault="001B6918" w:rsidP="00730ECF">
            <w:pPr>
              <w:jc w:val="right"/>
              <w:rPr>
                <w:rFonts w:eastAsia="Times New Roman" w:cstheme="minorHAnsi"/>
                <w:color w:val="FF0000"/>
              </w:rPr>
            </w:pPr>
            <w:r w:rsidRPr="00E55634">
              <w:rPr>
                <w:rFonts w:cstheme="minorHAnsi"/>
              </w:rPr>
              <w:t>3,185</w:t>
            </w:r>
          </w:p>
        </w:tc>
        <w:tc>
          <w:tcPr>
            <w:tcW w:w="1440" w:type="dxa"/>
            <w:tcBorders>
              <w:top w:val="nil"/>
              <w:left w:val="nil"/>
              <w:bottom w:val="nil"/>
              <w:right w:val="nil"/>
            </w:tcBorders>
            <w:shd w:val="clear" w:color="auto" w:fill="F2F2F2" w:themeFill="background1" w:themeFillShade="F2"/>
            <w:noWrap/>
            <w:vAlign w:val="bottom"/>
            <w:hideMark/>
          </w:tcPr>
          <w:p w14:paraId="21DA07EB" w14:textId="77777777" w:rsidR="001B6918" w:rsidRPr="004E6649" w:rsidRDefault="001B6918" w:rsidP="00730ECF">
            <w:pPr>
              <w:jc w:val="center"/>
              <w:rPr>
                <w:rFonts w:eastAsia="Times New Roman" w:cstheme="minorHAnsi"/>
              </w:rPr>
            </w:pPr>
            <w:r>
              <w:rPr>
                <w:rFonts w:cstheme="minorHAnsi"/>
              </w:rPr>
              <w:t xml:space="preserve">      </w:t>
            </w:r>
            <w:r w:rsidRPr="00C24820">
              <w:rPr>
                <w:rFonts w:cstheme="minorHAnsi"/>
              </w:rPr>
              <w:t>3,2</w:t>
            </w:r>
            <w:r>
              <w:rPr>
                <w:rFonts w:cstheme="minorHAnsi"/>
              </w:rPr>
              <w:t>69</w:t>
            </w:r>
          </w:p>
        </w:tc>
      </w:tr>
      <w:tr w:rsidR="001B6918" w:rsidRPr="004E6649" w14:paraId="77800D6E" w14:textId="77777777" w:rsidTr="00730ECF">
        <w:trPr>
          <w:trHeight w:val="90"/>
          <w:jc w:val="center"/>
        </w:trPr>
        <w:tc>
          <w:tcPr>
            <w:tcW w:w="4049" w:type="dxa"/>
            <w:tcBorders>
              <w:top w:val="nil"/>
              <w:left w:val="nil"/>
              <w:bottom w:val="single" w:sz="8" w:space="0" w:color="000000" w:themeColor="text1"/>
              <w:right w:val="nil"/>
            </w:tcBorders>
            <w:shd w:val="clear" w:color="000000" w:fill="FFFFFF"/>
            <w:noWrap/>
            <w:vAlign w:val="bottom"/>
            <w:hideMark/>
          </w:tcPr>
          <w:p w14:paraId="5EA2E0DF" w14:textId="77777777" w:rsidR="001B6918" w:rsidRPr="004E6649" w:rsidRDefault="001B6918" w:rsidP="00730ECF">
            <w:pPr>
              <w:ind w:firstLineChars="100" w:firstLine="220"/>
              <w:rPr>
                <w:rFonts w:eastAsia="Times New Roman" w:cstheme="minorHAnsi"/>
                <w:color w:val="0D0D0D"/>
              </w:rPr>
            </w:pPr>
            <w:r w:rsidRPr="004E6649">
              <w:rPr>
                <w:rFonts w:eastAsia="Times New Roman" w:cstheme="minorHAnsi"/>
                <w:color w:val="0D0D0D"/>
              </w:rPr>
              <w:t>Defined benefit plan</w:t>
            </w:r>
          </w:p>
        </w:tc>
        <w:tc>
          <w:tcPr>
            <w:tcW w:w="1441" w:type="dxa"/>
            <w:tcBorders>
              <w:top w:val="nil"/>
              <w:left w:val="nil"/>
              <w:bottom w:val="single" w:sz="8" w:space="0" w:color="000000" w:themeColor="text1"/>
              <w:right w:val="nil"/>
            </w:tcBorders>
            <w:shd w:val="clear" w:color="000000" w:fill="FFFFFF"/>
            <w:noWrap/>
            <w:vAlign w:val="bottom"/>
            <w:hideMark/>
          </w:tcPr>
          <w:p w14:paraId="2999AC1F" w14:textId="77777777" w:rsidR="001B6918" w:rsidRPr="00762AF9" w:rsidRDefault="001B6918" w:rsidP="00730ECF">
            <w:pPr>
              <w:jc w:val="right"/>
              <w:rPr>
                <w:rFonts w:eastAsia="Times New Roman" w:cstheme="minorHAnsi"/>
              </w:rPr>
            </w:pPr>
            <w:r w:rsidRPr="00E55634">
              <w:rPr>
                <w:rFonts w:cstheme="minorHAnsi"/>
              </w:rPr>
              <w:t>(2,517)</w:t>
            </w:r>
          </w:p>
        </w:tc>
        <w:tc>
          <w:tcPr>
            <w:tcW w:w="1440" w:type="dxa"/>
            <w:tcBorders>
              <w:top w:val="nil"/>
              <w:left w:val="nil"/>
              <w:bottom w:val="single" w:sz="8" w:space="0" w:color="000000" w:themeColor="text1"/>
              <w:right w:val="nil"/>
            </w:tcBorders>
            <w:shd w:val="clear" w:color="auto" w:fill="F2F2F2" w:themeFill="background1" w:themeFillShade="F2"/>
            <w:noWrap/>
            <w:vAlign w:val="bottom"/>
            <w:hideMark/>
          </w:tcPr>
          <w:p w14:paraId="076CE454" w14:textId="77777777" w:rsidR="001B6918" w:rsidRPr="004E6649" w:rsidRDefault="001B6918" w:rsidP="00730ECF">
            <w:pPr>
              <w:jc w:val="center"/>
              <w:rPr>
                <w:rFonts w:eastAsia="Times New Roman" w:cstheme="minorHAnsi"/>
              </w:rPr>
            </w:pPr>
            <w:r>
              <w:rPr>
                <w:rFonts w:cstheme="minorHAnsi"/>
              </w:rPr>
              <w:t xml:space="preserve">        </w:t>
            </w:r>
            <w:r w:rsidRPr="00C24820">
              <w:rPr>
                <w:rFonts w:cstheme="minorHAnsi"/>
              </w:rPr>
              <w:t>925</w:t>
            </w:r>
          </w:p>
        </w:tc>
      </w:tr>
      <w:tr w:rsidR="001B6918" w:rsidRPr="004E6649" w14:paraId="002A7A69" w14:textId="77777777" w:rsidTr="00730ECF">
        <w:trPr>
          <w:trHeight w:val="80"/>
          <w:jc w:val="center"/>
        </w:trPr>
        <w:tc>
          <w:tcPr>
            <w:tcW w:w="4049" w:type="dxa"/>
            <w:tcBorders>
              <w:top w:val="single" w:sz="8" w:space="0" w:color="000000" w:themeColor="text1"/>
              <w:left w:val="nil"/>
              <w:bottom w:val="double" w:sz="4" w:space="0" w:color="000000" w:themeColor="text1"/>
              <w:right w:val="nil"/>
            </w:tcBorders>
            <w:shd w:val="clear" w:color="000000" w:fill="FFFFFF"/>
            <w:noWrap/>
            <w:vAlign w:val="bottom"/>
            <w:hideMark/>
          </w:tcPr>
          <w:p w14:paraId="06902788"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 xml:space="preserve">Total pension expense </w:t>
            </w:r>
          </w:p>
        </w:tc>
        <w:tc>
          <w:tcPr>
            <w:tcW w:w="1441" w:type="dxa"/>
            <w:tcBorders>
              <w:top w:val="single" w:sz="8" w:space="0" w:color="000000" w:themeColor="text1"/>
              <w:left w:val="nil"/>
              <w:bottom w:val="double" w:sz="4" w:space="0" w:color="000000" w:themeColor="text1"/>
              <w:right w:val="nil"/>
            </w:tcBorders>
            <w:shd w:val="clear" w:color="000000" w:fill="FFFFFF"/>
            <w:noWrap/>
            <w:vAlign w:val="bottom"/>
            <w:hideMark/>
          </w:tcPr>
          <w:p w14:paraId="6349358A" w14:textId="77777777" w:rsidR="001B6918" w:rsidRPr="00762AF9" w:rsidRDefault="001B6918" w:rsidP="00730ECF">
            <w:pPr>
              <w:jc w:val="right"/>
              <w:rPr>
                <w:rFonts w:eastAsia="Times New Roman" w:cstheme="minorHAnsi"/>
              </w:rPr>
            </w:pPr>
            <w:r w:rsidRPr="00762AF9">
              <w:rPr>
                <w:rFonts w:eastAsia="Times New Roman" w:cstheme="minorHAnsi"/>
              </w:rPr>
              <w:t>$</w:t>
            </w:r>
            <w:r w:rsidRPr="00E55634">
              <w:rPr>
                <w:rFonts w:eastAsia="Times New Roman" w:cstheme="minorHAnsi"/>
              </w:rPr>
              <w:t>30,693</w:t>
            </w:r>
          </w:p>
        </w:tc>
        <w:tc>
          <w:tcPr>
            <w:tcW w:w="1440" w:type="dxa"/>
            <w:tcBorders>
              <w:top w:val="single" w:sz="8" w:space="0" w:color="000000" w:themeColor="text1"/>
              <w:left w:val="nil"/>
              <w:bottom w:val="double" w:sz="4" w:space="0" w:color="000000" w:themeColor="text1"/>
              <w:right w:val="nil"/>
            </w:tcBorders>
            <w:shd w:val="clear" w:color="auto" w:fill="F2F2F2" w:themeFill="background1" w:themeFillShade="F2"/>
            <w:noWrap/>
            <w:vAlign w:val="bottom"/>
            <w:hideMark/>
          </w:tcPr>
          <w:p w14:paraId="0A97E4A0" w14:textId="77777777" w:rsidR="001B6918" w:rsidRPr="004E6649" w:rsidRDefault="001B6918" w:rsidP="00730ECF">
            <w:pPr>
              <w:jc w:val="center"/>
              <w:rPr>
                <w:rFonts w:eastAsia="Times New Roman" w:cstheme="minorHAnsi"/>
              </w:rPr>
            </w:pPr>
            <w:r w:rsidRPr="009A10F1">
              <w:rPr>
                <w:rFonts w:eastAsia="Times New Roman" w:cstheme="minorHAnsi"/>
              </w:rPr>
              <w:t>$35,95</w:t>
            </w:r>
            <w:r>
              <w:rPr>
                <w:rFonts w:eastAsia="Times New Roman" w:cstheme="minorHAnsi"/>
              </w:rPr>
              <w:t>4</w:t>
            </w:r>
          </w:p>
        </w:tc>
      </w:tr>
    </w:tbl>
    <w:p w14:paraId="78A6CF08" w14:textId="77777777" w:rsidR="001B6918" w:rsidRPr="00A02D27" w:rsidRDefault="001B6918" w:rsidP="001B6918">
      <w:pPr>
        <w:pStyle w:val="AFR3"/>
        <w:spacing w:before="120" w:after="0"/>
        <w:rPr>
          <w:rFonts w:cstheme="minorHAnsi"/>
          <w:sz w:val="24"/>
          <w:szCs w:val="20"/>
        </w:rPr>
      </w:pPr>
      <w:r w:rsidRPr="00A02D27">
        <w:rPr>
          <w:rFonts w:cstheme="minorHAnsi"/>
          <w:sz w:val="24"/>
          <w:szCs w:val="20"/>
        </w:rPr>
        <w:t>13a. Contributory Retirement Plan - Faculty and Professional Employees</w:t>
      </w:r>
    </w:p>
    <w:p w14:paraId="32614B49" w14:textId="77777777" w:rsidR="001B6918" w:rsidRPr="004E6649" w:rsidRDefault="001B6918" w:rsidP="001B6918">
      <w:pPr>
        <w:tabs>
          <w:tab w:val="left" w:pos="720"/>
          <w:tab w:val="left" w:pos="1440"/>
          <w:tab w:val="right" w:pos="4262"/>
          <w:tab w:val="right" w:pos="5220"/>
          <w:tab w:val="right" w:pos="6691"/>
          <w:tab w:val="right" w:pos="7621"/>
          <w:tab w:val="right" w:pos="9187"/>
        </w:tabs>
        <w:suppressAutoHyphens/>
        <w:spacing w:before="240"/>
        <w:rPr>
          <w:rFonts w:eastAsia="Times New Roman" w:cstheme="minorHAnsi"/>
          <w:bCs/>
          <w:spacing w:val="-3"/>
          <w:sz w:val="24"/>
          <w:szCs w:val="24"/>
        </w:rPr>
      </w:pPr>
      <w:r w:rsidRPr="004E6649">
        <w:rPr>
          <w:rFonts w:eastAsia="Times New Roman" w:cstheme="minorHAnsi"/>
          <w:sz w:val="24"/>
          <w:szCs w:val="20"/>
        </w:rPr>
        <w:t>Eligible salaried employees participate in the University of Maine System Retirement Plan for Faculty and Professional Employees (Contributory Plan),</w:t>
      </w:r>
      <w:r w:rsidRPr="004E6649">
        <w:rPr>
          <w:rFonts w:eastAsia="Times New Roman" w:cstheme="minorHAnsi"/>
          <w:bCs/>
          <w:spacing w:val="-3"/>
          <w:sz w:val="24"/>
          <w:szCs w:val="24"/>
        </w:rPr>
        <w:t xml:space="preserve"> a defined contribution retirement plan administered by the Teachers Insurance and Annuity Association of America (TIAA). The Board of Trustees and collective bargaining agreements establish benefit terms and mandatory employee and employer contribution rates.</w:t>
      </w:r>
    </w:p>
    <w:p w14:paraId="59920E9A" w14:textId="77777777" w:rsidR="001B6918" w:rsidRPr="00A02D27" w:rsidRDefault="001B6918" w:rsidP="001B6918">
      <w:pPr>
        <w:spacing w:after="160"/>
        <w:rPr>
          <w:rFonts w:eastAsiaTheme="majorEastAsia" w:cstheme="minorHAnsi"/>
          <w:b/>
          <w:i/>
          <w:iCs/>
          <w:smallCaps/>
          <w:noProof/>
          <w:color w:val="000000" w:themeColor="text1"/>
          <w:sz w:val="24"/>
          <w:szCs w:val="24"/>
          <w:u w:color="5B9BD5"/>
        </w:rPr>
      </w:pPr>
      <w:r w:rsidRPr="00A02D27">
        <w:rPr>
          <w:rFonts w:eastAsiaTheme="majorEastAsia" w:cstheme="minorHAnsi"/>
          <w:b/>
          <w:i/>
          <w:iCs/>
          <w:smallCaps/>
          <w:noProof/>
          <w:color w:val="000000" w:themeColor="text1"/>
          <w:sz w:val="24"/>
          <w:szCs w:val="24"/>
          <w:u w:color="5B9BD5"/>
        </w:rPr>
        <w:lastRenderedPageBreak/>
        <w:t>13. PENSION PLANS - CONTINUED</w:t>
      </w:r>
    </w:p>
    <w:p w14:paraId="5347170A" w14:textId="3CBB782C" w:rsidR="001B6918" w:rsidRPr="004E6649" w:rsidRDefault="001B6918" w:rsidP="001B6918">
      <w:pPr>
        <w:tabs>
          <w:tab w:val="left" w:pos="720"/>
          <w:tab w:val="left" w:pos="1440"/>
          <w:tab w:val="right" w:pos="4262"/>
          <w:tab w:val="right" w:pos="5220"/>
          <w:tab w:val="right" w:pos="6691"/>
          <w:tab w:val="right" w:pos="7621"/>
          <w:tab w:val="right" w:pos="9187"/>
        </w:tabs>
        <w:suppressAutoHyphens/>
        <w:rPr>
          <w:rFonts w:eastAsia="Times New Roman" w:cstheme="minorHAnsi"/>
          <w:bCs/>
          <w:spacing w:val="-3"/>
          <w:sz w:val="24"/>
          <w:szCs w:val="20"/>
        </w:rPr>
      </w:pPr>
      <w:r w:rsidRPr="004E6649">
        <w:rPr>
          <w:rFonts w:eastAsia="Times New Roman" w:cstheme="minorHAnsi"/>
          <w:sz w:val="24"/>
          <w:szCs w:val="20"/>
        </w:rPr>
        <w:t xml:space="preserve">All full-time employees are eligible once employment begins. Part-time employees are eligible upon achieving the equivalent of five years of continuous, full-time, regular service. All eligible employees are required to participate when they reach thirty years of age. </w:t>
      </w:r>
      <w:r w:rsidRPr="004E6649">
        <w:rPr>
          <w:rFonts w:eastAsia="Times New Roman" w:cstheme="minorHAnsi"/>
          <w:bCs/>
          <w:spacing w:val="-3"/>
          <w:sz w:val="24"/>
          <w:szCs w:val="20"/>
        </w:rPr>
        <w:t xml:space="preserve">The System contributes an amount equal to 10% of each participant’s base salary and each participant contributes 4% of base salary. Participants may make additional voluntary contributions up to limits allowable by the Internal Revenue Service. </w:t>
      </w:r>
      <w:r w:rsidR="00527543" w:rsidRPr="00527543">
        <w:rPr>
          <w:rFonts w:eastAsia="Times New Roman" w:cstheme="minorHAnsi"/>
          <w:bCs/>
          <w:spacing w:val="-3"/>
          <w:sz w:val="24"/>
          <w:szCs w:val="20"/>
        </w:rPr>
        <w:t>Effective January 1, 2025, the System implemented a five-year graduated vesting schedule for employer matching contribution</w:t>
      </w:r>
      <w:r w:rsidR="00C54D04">
        <w:rPr>
          <w:rFonts w:eastAsia="Times New Roman" w:cstheme="minorHAnsi"/>
          <w:bCs/>
          <w:spacing w:val="-3"/>
          <w:sz w:val="24"/>
          <w:szCs w:val="20"/>
        </w:rPr>
        <w:t>s</w:t>
      </w:r>
      <w:r w:rsidR="00527543" w:rsidRPr="00527543">
        <w:rPr>
          <w:rFonts w:eastAsia="Times New Roman" w:cstheme="minorHAnsi"/>
          <w:bCs/>
          <w:spacing w:val="-3"/>
          <w:sz w:val="24"/>
          <w:szCs w:val="20"/>
        </w:rPr>
        <w:t xml:space="preserve"> applicable to certain salaried employees</w:t>
      </w:r>
      <w:r w:rsidR="00C54D04">
        <w:rPr>
          <w:rFonts w:eastAsia="Times New Roman" w:cstheme="minorHAnsi"/>
          <w:bCs/>
          <w:spacing w:val="-3"/>
          <w:sz w:val="24"/>
          <w:szCs w:val="20"/>
        </w:rPr>
        <w:t>. Under this schedule, participants become vested in employer matching contributions based on years of service as follows:</w:t>
      </w:r>
      <w:r w:rsidR="00527543" w:rsidRPr="00527543">
        <w:rPr>
          <w:rFonts w:eastAsia="Times New Roman" w:cstheme="minorHAnsi"/>
          <w:bCs/>
          <w:spacing w:val="-3"/>
          <w:sz w:val="24"/>
          <w:szCs w:val="20"/>
        </w:rPr>
        <w:t xml:space="preserve"> 1 year = 20%, 2 </w:t>
      </w:r>
      <w:r w:rsidR="00C54D04">
        <w:rPr>
          <w:rFonts w:eastAsia="Times New Roman" w:cstheme="minorHAnsi"/>
          <w:bCs/>
          <w:spacing w:val="-3"/>
          <w:sz w:val="24"/>
          <w:szCs w:val="20"/>
        </w:rPr>
        <w:t xml:space="preserve">years </w:t>
      </w:r>
      <w:r w:rsidR="00527543" w:rsidRPr="00527543">
        <w:rPr>
          <w:rFonts w:eastAsia="Times New Roman" w:cstheme="minorHAnsi"/>
          <w:bCs/>
          <w:spacing w:val="-3"/>
          <w:sz w:val="24"/>
          <w:szCs w:val="20"/>
        </w:rPr>
        <w:t xml:space="preserve">= 40%, 3 </w:t>
      </w:r>
      <w:r w:rsidR="00C54D04">
        <w:rPr>
          <w:rFonts w:eastAsia="Times New Roman" w:cstheme="minorHAnsi"/>
          <w:bCs/>
          <w:spacing w:val="-3"/>
          <w:sz w:val="24"/>
          <w:szCs w:val="20"/>
        </w:rPr>
        <w:t>years</w:t>
      </w:r>
      <w:r w:rsidR="00527543" w:rsidRPr="00527543">
        <w:rPr>
          <w:rFonts w:eastAsia="Times New Roman" w:cstheme="minorHAnsi"/>
          <w:bCs/>
          <w:spacing w:val="-3"/>
          <w:sz w:val="24"/>
          <w:szCs w:val="20"/>
        </w:rPr>
        <w:t xml:space="preserve"> = 60%, 4 </w:t>
      </w:r>
      <w:r w:rsidR="00C54D04">
        <w:rPr>
          <w:rFonts w:eastAsia="Times New Roman" w:cstheme="minorHAnsi"/>
          <w:bCs/>
          <w:spacing w:val="-3"/>
          <w:sz w:val="24"/>
          <w:szCs w:val="20"/>
        </w:rPr>
        <w:t xml:space="preserve">years </w:t>
      </w:r>
      <w:r w:rsidR="00527543" w:rsidRPr="00527543">
        <w:rPr>
          <w:rFonts w:eastAsia="Times New Roman" w:cstheme="minorHAnsi"/>
          <w:bCs/>
          <w:spacing w:val="-3"/>
          <w:sz w:val="24"/>
          <w:szCs w:val="20"/>
        </w:rPr>
        <w:t xml:space="preserve">= 80%, and 5 </w:t>
      </w:r>
      <w:r w:rsidR="00C54D04">
        <w:rPr>
          <w:rFonts w:eastAsia="Times New Roman" w:cstheme="minorHAnsi"/>
          <w:bCs/>
          <w:spacing w:val="-3"/>
          <w:sz w:val="24"/>
          <w:szCs w:val="20"/>
        </w:rPr>
        <w:t>years</w:t>
      </w:r>
      <w:r w:rsidR="00527543" w:rsidRPr="00527543">
        <w:rPr>
          <w:rFonts w:eastAsia="Times New Roman" w:cstheme="minorHAnsi"/>
          <w:bCs/>
          <w:spacing w:val="-3"/>
          <w:sz w:val="24"/>
          <w:szCs w:val="20"/>
        </w:rPr>
        <w:t xml:space="preserve"> = 100% vested.</w:t>
      </w:r>
      <w:r w:rsidRPr="004E6649">
        <w:rPr>
          <w:rFonts w:eastAsia="Times New Roman" w:cstheme="minorHAnsi"/>
          <w:bCs/>
          <w:spacing w:val="-3"/>
          <w:sz w:val="24"/>
          <w:szCs w:val="20"/>
        </w:rPr>
        <w:t xml:space="preserve"> All participant contributions are fully and immediately vested.</w:t>
      </w:r>
    </w:p>
    <w:p w14:paraId="694BC674" w14:textId="77777777" w:rsidR="001B6918" w:rsidRPr="00A17D78" w:rsidRDefault="001B6918" w:rsidP="001B6918">
      <w:pPr>
        <w:tabs>
          <w:tab w:val="left" w:pos="720"/>
          <w:tab w:val="left" w:pos="1440"/>
          <w:tab w:val="right" w:pos="4262"/>
          <w:tab w:val="right" w:pos="5220"/>
          <w:tab w:val="right" w:pos="6691"/>
          <w:tab w:val="right" w:pos="7621"/>
          <w:tab w:val="right" w:pos="9187"/>
        </w:tabs>
        <w:suppressAutoHyphens/>
        <w:ind w:left="180"/>
        <w:rPr>
          <w:rFonts w:eastAsia="Times New Roman" w:cstheme="minorHAnsi"/>
          <w:bCs/>
          <w:spacing w:val="-3"/>
          <w:sz w:val="16"/>
          <w:szCs w:val="16"/>
        </w:rPr>
      </w:pPr>
    </w:p>
    <w:p w14:paraId="1B093898" w14:textId="77777777" w:rsidR="001B6918" w:rsidRPr="004E6649" w:rsidRDefault="001B6918" w:rsidP="001B6918">
      <w:pPr>
        <w:tabs>
          <w:tab w:val="left" w:pos="720"/>
          <w:tab w:val="left" w:pos="1440"/>
          <w:tab w:val="right" w:pos="4262"/>
          <w:tab w:val="right" w:pos="5220"/>
          <w:tab w:val="right" w:pos="6691"/>
          <w:tab w:val="right" w:pos="7621"/>
          <w:tab w:val="right" w:pos="9187"/>
        </w:tabs>
        <w:suppressAutoHyphens/>
        <w:rPr>
          <w:rFonts w:cstheme="minorHAnsi"/>
          <w:b/>
          <w:i/>
          <w:sz w:val="26"/>
          <w:u w:val="single" w:color="000000" w:themeColor="text1"/>
        </w:rPr>
      </w:pPr>
      <w:r w:rsidRPr="004E6649">
        <w:rPr>
          <w:rFonts w:eastAsia="Times New Roman" w:cstheme="minorHAnsi"/>
          <w:sz w:val="24"/>
          <w:szCs w:val="20"/>
        </w:rPr>
        <w:t xml:space="preserve">Effective June 1, 2014, TIAA became the sole record-keeper for the Contributory Retirement Plan. </w:t>
      </w:r>
      <w:r w:rsidRPr="004E6649">
        <w:rPr>
          <w:rFonts w:eastAsia="Times New Roman" w:cstheme="minorHAnsi"/>
          <w:bCs/>
          <w:sz w:val="24"/>
          <w:szCs w:val="20"/>
        </w:rPr>
        <w:t>Upon separation from the System, participants may withdraw up to 100% of their vested account balances or transfer funds to other investment alternatives subject to Internal Revenue Service limitations and the contractual provisions of the Contributory Plan.</w:t>
      </w:r>
    </w:p>
    <w:p w14:paraId="4BCCDAA3" w14:textId="77777777" w:rsidR="001B6918" w:rsidRPr="00A17D78" w:rsidRDefault="001B6918" w:rsidP="001B6918">
      <w:pPr>
        <w:spacing w:line="259" w:lineRule="auto"/>
        <w:rPr>
          <w:rFonts w:cstheme="minorHAnsi"/>
          <w:sz w:val="16"/>
          <w:szCs w:val="16"/>
        </w:rPr>
      </w:pPr>
    </w:p>
    <w:p w14:paraId="0CEC7AA1" w14:textId="77777777" w:rsidR="001B6918" w:rsidRPr="004E6649" w:rsidRDefault="001B6918" w:rsidP="001B6918">
      <w:pPr>
        <w:spacing w:after="160" w:line="259" w:lineRule="auto"/>
        <w:rPr>
          <w:rFonts w:cstheme="minorHAnsi"/>
          <w:sz w:val="24"/>
          <w:szCs w:val="24"/>
        </w:rPr>
      </w:pPr>
      <w:r w:rsidRPr="004E6649">
        <w:rPr>
          <w:rFonts w:cstheme="minorHAnsi"/>
          <w:sz w:val="24"/>
          <w:szCs w:val="24"/>
        </w:rPr>
        <w:t>Employee contributions made to the Contributory Plan were $</w:t>
      </w:r>
      <w:r w:rsidRPr="009924D7">
        <w:rPr>
          <w:rFonts w:cstheme="minorHAnsi"/>
          <w:sz w:val="24"/>
          <w:szCs w:val="24"/>
        </w:rPr>
        <w:t>11,143</w:t>
      </w:r>
      <w:r w:rsidRPr="00CD53B8">
        <w:rPr>
          <w:rFonts w:cstheme="minorHAnsi"/>
          <w:sz w:val="24"/>
          <w:szCs w:val="24"/>
        </w:rPr>
        <w:t xml:space="preserve"> </w:t>
      </w:r>
      <w:r w:rsidRPr="004E6649">
        <w:rPr>
          <w:rFonts w:cstheme="minorHAnsi"/>
          <w:sz w:val="24"/>
          <w:szCs w:val="24"/>
        </w:rPr>
        <w:t>in FY2</w:t>
      </w:r>
      <w:r>
        <w:rPr>
          <w:rFonts w:cstheme="minorHAnsi"/>
          <w:sz w:val="24"/>
          <w:szCs w:val="24"/>
        </w:rPr>
        <w:t>5</w:t>
      </w:r>
      <w:r w:rsidRPr="004E6649">
        <w:rPr>
          <w:rFonts w:cstheme="minorHAnsi"/>
          <w:sz w:val="24"/>
          <w:szCs w:val="24"/>
        </w:rPr>
        <w:t xml:space="preserve"> and $</w:t>
      </w:r>
      <w:r w:rsidRPr="009A10F1">
        <w:rPr>
          <w:rFonts w:cstheme="minorHAnsi"/>
          <w:sz w:val="24"/>
          <w:szCs w:val="24"/>
        </w:rPr>
        <w:t xml:space="preserve">10,539 </w:t>
      </w:r>
      <w:r w:rsidRPr="004E6649">
        <w:rPr>
          <w:rFonts w:cstheme="minorHAnsi"/>
          <w:sz w:val="24"/>
          <w:szCs w:val="24"/>
        </w:rPr>
        <w:t>in FY2</w:t>
      </w:r>
      <w:r>
        <w:rPr>
          <w:rFonts w:cstheme="minorHAnsi"/>
          <w:sz w:val="24"/>
          <w:szCs w:val="24"/>
        </w:rPr>
        <w:t>4</w:t>
      </w:r>
      <w:r w:rsidRPr="004E6649">
        <w:rPr>
          <w:rFonts w:cstheme="minorHAnsi"/>
          <w:sz w:val="24"/>
          <w:szCs w:val="24"/>
        </w:rPr>
        <w:t>.</w:t>
      </w:r>
    </w:p>
    <w:p w14:paraId="67293D0A" w14:textId="77777777" w:rsidR="001B6918" w:rsidRPr="00A02D27" w:rsidRDefault="001B6918" w:rsidP="001B6918">
      <w:pPr>
        <w:pStyle w:val="AFR3"/>
        <w:spacing w:after="0"/>
        <w:rPr>
          <w:rFonts w:cstheme="minorHAnsi"/>
          <w:sz w:val="24"/>
          <w:szCs w:val="20"/>
        </w:rPr>
      </w:pPr>
      <w:r w:rsidRPr="00A02D27">
        <w:rPr>
          <w:rFonts w:cstheme="minorHAnsi"/>
          <w:sz w:val="24"/>
          <w:szCs w:val="20"/>
        </w:rPr>
        <w:t>13b. Incentive Retirement Plan – Faculty and Professional Employees</w:t>
      </w:r>
    </w:p>
    <w:p w14:paraId="34179E92" w14:textId="77777777" w:rsidR="001B6918" w:rsidRPr="004E6649" w:rsidRDefault="001B6918" w:rsidP="001B6918">
      <w:pPr>
        <w:tabs>
          <w:tab w:val="left" w:pos="1858"/>
          <w:tab w:val="left" w:pos="2570"/>
          <w:tab w:val="left" w:pos="3283"/>
          <w:tab w:val="left" w:pos="3996"/>
          <w:tab w:val="left" w:pos="4709"/>
          <w:tab w:val="left" w:pos="5472"/>
        </w:tabs>
        <w:suppressAutoHyphens/>
        <w:rPr>
          <w:rFonts w:eastAsia="Times New Roman" w:cstheme="minorHAnsi"/>
          <w:spacing w:val="-3"/>
          <w:u w:val="single"/>
        </w:rPr>
      </w:pPr>
      <w:r w:rsidRPr="004E6649">
        <w:rPr>
          <w:rFonts w:eastAsia="Times New Roman" w:cstheme="minorHAnsi"/>
          <w:b/>
          <w:sz w:val="24"/>
          <w:szCs w:val="24"/>
          <w:u w:val="single"/>
        </w:rPr>
        <w:t>Plan Description</w:t>
      </w:r>
      <w:r w:rsidRPr="004E6649">
        <w:rPr>
          <w:rFonts w:eastAsia="Times New Roman" w:cstheme="minorHAnsi"/>
          <w:spacing w:val="-3"/>
          <w:u w:val="single"/>
        </w:rPr>
        <w:t xml:space="preserve"> </w:t>
      </w:r>
    </w:p>
    <w:p w14:paraId="092B1D23" w14:textId="77777777" w:rsidR="001B6918" w:rsidRPr="004E6649" w:rsidRDefault="001B6918" w:rsidP="001B6918">
      <w:pPr>
        <w:tabs>
          <w:tab w:val="left" w:pos="1858"/>
          <w:tab w:val="left" w:pos="2570"/>
          <w:tab w:val="left" w:pos="3283"/>
          <w:tab w:val="left" w:pos="3996"/>
          <w:tab w:val="left" w:pos="4709"/>
          <w:tab w:val="left" w:pos="5472"/>
        </w:tabs>
        <w:suppressAutoHyphens/>
        <w:spacing w:before="240"/>
        <w:rPr>
          <w:rFonts w:eastAsia="Times New Roman" w:cstheme="minorHAnsi"/>
          <w:spacing w:val="-3"/>
          <w:sz w:val="24"/>
          <w:szCs w:val="24"/>
        </w:rPr>
      </w:pPr>
      <w:r w:rsidRPr="004E6649">
        <w:rPr>
          <w:rFonts w:eastAsia="Times New Roman" w:cstheme="minorHAnsi"/>
          <w:b/>
          <w:i/>
          <w:spacing w:val="-1"/>
          <w:sz w:val="24"/>
        </w:rPr>
        <w:t>Plan Administration:</w:t>
      </w:r>
      <w:r w:rsidRPr="004E6649">
        <w:rPr>
          <w:rFonts w:eastAsia="Times New Roman" w:cstheme="minorHAnsi"/>
          <w:sz w:val="24"/>
          <w:szCs w:val="20"/>
        </w:rPr>
        <w:t xml:space="preserve"> </w:t>
      </w:r>
      <w:r w:rsidRPr="004E6649">
        <w:rPr>
          <w:rFonts w:eastAsia="Times New Roman" w:cstheme="minorHAnsi"/>
          <w:spacing w:val="-3"/>
          <w:sz w:val="24"/>
          <w:szCs w:val="24"/>
        </w:rPr>
        <w:t>The Incentive Retirement Plan is a single employer plan administered by the System. The Plan does not issue standalone financial statements.</w:t>
      </w:r>
    </w:p>
    <w:p w14:paraId="56096FE0" w14:textId="77777777" w:rsidR="001B6918" w:rsidRPr="004E6649" w:rsidRDefault="001B6918" w:rsidP="001B6918">
      <w:pPr>
        <w:tabs>
          <w:tab w:val="left" w:pos="1858"/>
          <w:tab w:val="left" w:pos="2570"/>
          <w:tab w:val="left" w:pos="3283"/>
          <w:tab w:val="left" w:pos="3996"/>
          <w:tab w:val="left" w:pos="4709"/>
          <w:tab w:val="left" w:pos="5472"/>
        </w:tabs>
        <w:suppressAutoHyphens/>
        <w:rPr>
          <w:rFonts w:eastAsia="Times New Roman" w:cstheme="minorHAnsi"/>
          <w:spacing w:val="-3"/>
          <w:sz w:val="16"/>
          <w:szCs w:val="16"/>
        </w:rPr>
      </w:pPr>
    </w:p>
    <w:p w14:paraId="4315CC00" w14:textId="3EE4E050" w:rsidR="001B6918" w:rsidRPr="004E6649" w:rsidRDefault="001B6918" w:rsidP="001B6918">
      <w:pPr>
        <w:tabs>
          <w:tab w:val="left" w:pos="1858"/>
          <w:tab w:val="left" w:pos="2570"/>
          <w:tab w:val="left" w:pos="3283"/>
          <w:tab w:val="left" w:pos="3996"/>
          <w:tab w:val="left" w:pos="4709"/>
          <w:tab w:val="left" w:pos="5472"/>
        </w:tabs>
        <w:suppressAutoHyphens/>
        <w:rPr>
          <w:rFonts w:eastAsia="Times New Roman" w:cstheme="minorHAnsi"/>
          <w:spacing w:val="-3"/>
          <w:sz w:val="24"/>
          <w:szCs w:val="24"/>
        </w:rPr>
      </w:pPr>
      <w:r w:rsidRPr="004E6649">
        <w:rPr>
          <w:rFonts w:eastAsia="Times New Roman" w:cstheme="minorHAnsi"/>
          <w:b/>
          <w:i/>
          <w:spacing w:val="-1"/>
          <w:sz w:val="24"/>
        </w:rPr>
        <w:t>Benefits Provided:</w:t>
      </w:r>
      <w:r w:rsidRPr="004E6649">
        <w:rPr>
          <w:rFonts w:eastAsia="Times New Roman" w:cstheme="minorHAnsi"/>
          <w:sz w:val="24"/>
          <w:szCs w:val="20"/>
        </w:rPr>
        <w:t xml:space="preserve"> </w:t>
      </w:r>
      <w:r w:rsidRPr="004E6649">
        <w:rPr>
          <w:rFonts w:eastAsia="Times New Roman" w:cstheme="minorHAnsi"/>
          <w:spacing w:val="-3"/>
          <w:sz w:val="24"/>
          <w:szCs w:val="24"/>
        </w:rPr>
        <w:t>Represented faculty who were employed before July 1, 1996 and other professional employees who were employed before July 1, 2006 participate in the U</w:t>
      </w:r>
      <w:r w:rsidR="004A529A">
        <w:rPr>
          <w:rFonts w:eastAsia="Times New Roman" w:cstheme="minorHAnsi"/>
          <w:spacing w:val="-3"/>
          <w:sz w:val="24"/>
          <w:szCs w:val="24"/>
        </w:rPr>
        <w:t>MS</w:t>
      </w:r>
      <w:r w:rsidRPr="004E6649">
        <w:rPr>
          <w:rFonts w:eastAsia="Times New Roman" w:cstheme="minorHAnsi"/>
          <w:spacing w:val="-3"/>
          <w:sz w:val="24"/>
          <w:szCs w:val="24"/>
        </w:rPr>
        <w:t xml:space="preserve"> Incentive Retirement Plan (Incentive Plan), a defined benefit plan, which was established on July 1, 1975. The Board of Trustees has authority to establish and amend provisions under the Incentive Plan subject to collective bargaining.</w:t>
      </w:r>
    </w:p>
    <w:p w14:paraId="363FFDDB" w14:textId="77777777" w:rsidR="001B6918" w:rsidRPr="004E6649" w:rsidRDefault="001B6918" w:rsidP="001B6918">
      <w:pPr>
        <w:tabs>
          <w:tab w:val="left" w:pos="1858"/>
          <w:tab w:val="left" w:pos="2570"/>
          <w:tab w:val="left" w:pos="3283"/>
          <w:tab w:val="left" w:pos="3996"/>
          <w:tab w:val="left" w:pos="4709"/>
          <w:tab w:val="left" w:pos="5472"/>
        </w:tabs>
        <w:suppressAutoHyphens/>
        <w:rPr>
          <w:rFonts w:eastAsia="Times New Roman" w:cstheme="minorHAnsi"/>
          <w:spacing w:val="-3"/>
          <w:sz w:val="16"/>
          <w:szCs w:val="16"/>
        </w:rPr>
      </w:pPr>
    </w:p>
    <w:p w14:paraId="4FFA9CF0" w14:textId="77777777" w:rsidR="001B6918" w:rsidRPr="004E6649" w:rsidRDefault="001B6918" w:rsidP="001B6918">
      <w:pPr>
        <w:tabs>
          <w:tab w:val="left" w:pos="1858"/>
          <w:tab w:val="left" w:pos="2570"/>
          <w:tab w:val="left" w:pos="3283"/>
          <w:tab w:val="left" w:pos="3996"/>
          <w:tab w:val="left" w:pos="4709"/>
          <w:tab w:val="left" w:pos="5472"/>
        </w:tabs>
        <w:suppressAutoHyphens/>
        <w:rPr>
          <w:rFonts w:eastAsia="Times New Roman" w:cstheme="minorHAnsi"/>
          <w:spacing w:val="-3"/>
          <w:sz w:val="24"/>
          <w:szCs w:val="24"/>
        </w:rPr>
      </w:pPr>
      <w:r w:rsidRPr="004E6649">
        <w:rPr>
          <w:rFonts w:eastAsia="Times New Roman" w:cstheme="minorHAnsi"/>
          <w:spacing w:val="-3"/>
          <w:sz w:val="24"/>
          <w:szCs w:val="24"/>
        </w:rPr>
        <w:t>The Incentive Plan provides that eligible retiring employees with at least 10 years of continuous regular full-time equivalent service immediately prior to retirement will receive a benefit equivalent to 1½% times their completed years of service (up to a maximum of 27 years) times their final annual base salary. This amount is to be paid as a lump-sum contribution to the participant’s retirement account. Employees may elect to retire at any age on or after 55.</w:t>
      </w:r>
    </w:p>
    <w:p w14:paraId="5C638FFB" w14:textId="77777777" w:rsidR="001B6918" w:rsidRPr="004E6649" w:rsidRDefault="001B6918" w:rsidP="001B6918">
      <w:pPr>
        <w:tabs>
          <w:tab w:val="left" w:pos="1858"/>
          <w:tab w:val="left" w:pos="2570"/>
          <w:tab w:val="left" w:pos="3283"/>
          <w:tab w:val="left" w:pos="3996"/>
          <w:tab w:val="left" w:pos="4709"/>
          <w:tab w:val="left" w:pos="5472"/>
        </w:tabs>
        <w:suppressAutoHyphens/>
        <w:rPr>
          <w:rFonts w:eastAsia="Times New Roman" w:cstheme="minorHAnsi"/>
          <w:spacing w:val="-3"/>
          <w:sz w:val="16"/>
          <w:szCs w:val="16"/>
        </w:rPr>
      </w:pPr>
    </w:p>
    <w:p w14:paraId="7297867E" w14:textId="77777777" w:rsidR="001B6918" w:rsidRPr="004E6649" w:rsidRDefault="001B6918" w:rsidP="001B6918">
      <w:pPr>
        <w:rPr>
          <w:rFonts w:eastAsia="Times New Roman" w:cstheme="minorHAnsi"/>
          <w:sz w:val="24"/>
        </w:rPr>
      </w:pPr>
      <w:r w:rsidRPr="004E6649">
        <w:rPr>
          <w:rFonts w:eastAsia="Times New Roman" w:cstheme="minorHAnsi"/>
          <w:b/>
          <w:i/>
          <w:spacing w:val="-2"/>
          <w:sz w:val="24"/>
        </w:rPr>
        <w:t xml:space="preserve">Plan Membership: </w:t>
      </w:r>
      <w:r w:rsidRPr="004E6649">
        <w:rPr>
          <w:rFonts w:eastAsia="Times New Roman" w:cstheme="minorHAnsi"/>
          <w:spacing w:val="-2"/>
          <w:sz w:val="24"/>
        </w:rPr>
        <w:t>A</w:t>
      </w:r>
      <w:r w:rsidRPr="004E6649">
        <w:rPr>
          <w:rFonts w:eastAsia="Times New Roman" w:cstheme="minorHAnsi"/>
          <w:sz w:val="24"/>
        </w:rPr>
        <w:t>t</w:t>
      </w:r>
      <w:r w:rsidRPr="004E6649">
        <w:rPr>
          <w:rFonts w:eastAsia="Times New Roman" w:cstheme="minorHAnsi"/>
          <w:spacing w:val="-5"/>
          <w:sz w:val="24"/>
        </w:rPr>
        <w:t xml:space="preserve"> </w:t>
      </w:r>
      <w:r w:rsidRPr="004E6649">
        <w:rPr>
          <w:rFonts w:eastAsia="Times New Roman" w:cstheme="minorHAnsi"/>
          <w:sz w:val="24"/>
        </w:rPr>
        <w:t>June</w:t>
      </w:r>
      <w:r w:rsidRPr="004E6649">
        <w:rPr>
          <w:rFonts w:eastAsia="Times New Roman" w:cstheme="minorHAnsi"/>
          <w:spacing w:val="-7"/>
          <w:sz w:val="24"/>
        </w:rPr>
        <w:t xml:space="preserve"> </w:t>
      </w:r>
      <w:r w:rsidRPr="004E6649">
        <w:rPr>
          <w:rFonts w:eastAsia="Times New Roman" w:cstheme="minorHAnsi"/>
          <w:sz w:val="24"/>
        </w:rPr>
        <w:t>30, 202</w:t>
      </w:r>
      <w:r>
        <w:rPr>
          <w:rFonts w:eastAsia="Times New Roman" w:cstheme="minorHAnsi"/>
          <w:sz w:val="24"/>
        </w:rPr>
        <w:t>5</w:t>
      </w:r>
      <w:r w:rsidRPr="004E6649">
        <w:rPr>
          <w:rFonts w:eastAsia="Times New Roman" w:cstheme="minorHAnsi"/>
          <w:sz w:val="24"/>
        </w:rPr>
        <w:t xml:space="preserve"> and 202</w:t>
      </w:r>
      <w:r>
        <w:rPr>
          <w:rFonts w:eastAsia="Times New Roman" w:cstheme="minorHAnsi"/>
          <w:sz w:val="24"/>
        </w:rPr>
        <w:t>4</w:t>
      </w:r>
      <w:r w:rsidRPr="004E6649">
        <w:rPr>
          <w:rFonts w:eastAsia="Times New Roman" w:cstheme="minorHAnsi"/>
          <w:sz w:val="24"/>
        </w:rPr>
        <w:t>, active p</w:t>
      </w:r>
      <w:r w:rsidRPr="004E6649">
        <w:rPr>
          <w:rFonts w:eastAsia="Times New Roman" w:cstheme="minorHAnsi"/>
          <w:spacing w:val="-1"/>
          <w:sz w:val="24"/>
        </w:rPr>
        <w:t>l</w:t>
      </w:r>
      <w:r w:rsidRPr="004E6649">
        <w:rPr>
          <w:rFonts w:eastAsia="Times New Roman" w:cstheme="minorHAnsi"/>
          <w:sz w:val="24"/>
        </w:rPr>
        <w:t>an</w:t>
      </w:r>
      <w:r w:rsidRPr="004E6649">
        <w:rPr>
          <w:rFonts w:eastAsia="Times New Roman" w:cstheme="minorHAnsi"/>
          <w:spacing w:val="-6"/>
          <w:sz w:val="24"/>
        </w:rPr>
        <w:t xml:space="preserve"> </w:t>
      </w:r>
      <w:r w:rsidRPr="004E6649">
        <w:rPr>
          <w:rFonts w:eastAsia="Times New Roman" w:cstheme="minorHAnsi"/>
          <w:sz w:val="24"/>
        </w:rPr>
        <w:t>participants</w:t>
      </w:r>
      <w:r w:rsidRPr="004E6649">
        <w:rPr>
          <w:rFonts w:eastAsia="Times New Roman" w:cstheme="minorHAnsi"/>
          <w:spacing w:val="-6"/>
          <w:sz w:val="24"/>
        </w:rPr>
        <w:t xml:space="preserve"> </w:t>
      </w:r>
      <w:r w:rsidRPr="004E6649">
        <w:rPr>
          <w:rFonts w:eastAsia="Times New Roman" w:cstheme="minorHAnsi"/>
          <w:sz w:val="24"/>
        </w:rPr>
        <w:t>consisted</w:t>
      </w:r>
      <w:r w:rsidRPr="004E6649">
        <w:rPr>
          <w:rFonts w:eastAsia="Times New Roman" w:cstheme="minorHAnsi"/>
          <w:spacing w:val="-6"/>
          <w:sz w:val="24"/>
        </w:rPr>
        <w:t xml:space="preserve"> </w:t>
      </w:r>
      <w:r w:rsidRPr="004E6649">
        <w:rPr>
          <w:rFonts w:eastAsia="Times New Roman" w:cstheme="minorHAnsi"/>
          <w:sz w:val="24"/>
        </w:rPr>
        <w:t>of</w:t>
      </w:r>
      <w:r w:rsidRPr="004E6649">
        <w:rPr>
          <w:rFonts w:eastAsia="Times New Roman" w:cstheme="minorHAnsi"/>
          <w:spacing w:val="-6"/>
          <w:sz w:val="24"/>
        </w:rPr>
        <w:t xml:space="preserve"> </w:t>
      </w:r>
      <w:r w:rsidRPr="00CE003E">
        <w:rPr>
          <w:rFonts w:eastAsia="Times New Roman" w:cstheme="minorHAnsi"/>
          <w:spacing w:val="-6"/>
          <w:sz w:val="24"/>
        </w:rPr>
        <w:t>473</w:t>
      </w:r>
      <w:r w:rsidRPr="004E6649">
        <w:rPr>
          <w:rFonts w:eastAsia="Times New Roman" w:cstheme="minorHAnsi"/>
          <w:spacing w:val="-6"/>
          <w:sz w:val="24"/>
        </w:rPr>
        <w:t xml:space="preserve"> and </w:t>
      </w:r>
      <w:r>
        <w:rPr>
          <w:rFonts w:eastAsia="Times New Roman" w:cstheme="minorHAnsi"/>
          <w:spacing w:val="-6"/>
          <w:sz w:val="24"/>
        </w:rPr>
        <w:t>535</w:t>
      </w:r>
      <w:r w:rsidRPr="004E6649">
        <w:rPr>
          <w:rFonts w:eastAsia="Times New Roman" w:cstheme="minorHAnsi"/>
          <w:spacing w:val="-6"/>
          <w:sz w:val="24"/>
        </w:rPr>
        <w:t xml:space="preserve">, respectively. </w:t>
      </w:r>
    </w:p>
    <w:p w14:paraId="3A0F88B5" w14:textId="77777777" w:rsidR="001B6918" w:rsidRPr="004E6649" w:rsidRDefault="001B6918" w:rsidP="001B6918">
      <w:pPr>
        <w:spacing w:before="160" w:after="160"/>
        <w:rPr>
          <w:rFonts w:eastAsiaTheme="majorEastAsia" w:cstheme="minorHAnsi"/>
          <w:b/>
          <w:i/>
          <w:iCs/>
          <w:smallCaps/>
          <w:noProof/>
          <w:color w:val="000000" w:themeColor="text1"/>
          <w:sz w:val="26"/>
          <w:szCs w:val="26"/>
          <w:u w:color="5B9BD5"/>
        </w:rPr>
      </w:pPr>
      <w:r w:rsidRPr="004E6649">
        <w:rPr>
          <w:rFonts w:eastAsia="Franklin Gothic Book" w:cstheme="minorHAnsi"/>
          <w:b/>
          <w:i/>
          <w:sz w:val="24"/>
        </w:rPr>
        <w:t>Contributions:</w:t>
      </w:r>
      <w:r w:rsidRPr="004E6649">
        <w:rPr>
          <w:rFonts w:cstheme="minorHAnsi"/>
          <w:sz w:val="24"/>
        </w:rPr>
        <w:t xml:space="preserve"> The Incentive Plan is funded on a terminal funding basis - funded when costs become due and payable.</w:t>
      </w:r>
      <w:r w:rsidRPr="004E6649">
        <w:rPr>
          <w:rFonts w:cstheme="minorHAnsi"/>
          <w:w w:val="99"/>
          <w:sz w:val="24"/>
        </w:rPr>
        <w:t xml:space="preserve"> </w:t>
      </w:r>
      <w:r w:rsidRPr="004E6649">
        <w:rPr>
          <w:rFonts w:eastAsia="Times New Roman" w:cstheme="minorHAnsi"/>
          <w:sz w:val="24"/>
        </w:rPr>
        <w:t>Employees do not make contributions under the Incentive Plan.</w:t>
      </w:r>
    </w:p>
    <w:p w14:paraId="13CD1588" w14:textId="035FF1FC" w:rsidR="00487575" w:rsidRPr="003D70F8" w:rsidRDefault="001B6918" w:rsidP="003D70F8">
      <w:pPr>
        <w:tabs>
          <w:tab w:val="left" w:pos="1858"/>
          <w:tab w:val="left" w:pos="2570"/>
          <w:tab w:val="left" w:pos="3283"/>
          <w:tab w:val="left" w:pos="3996"/>
          <w:tab w:val="left" w:pos="4709"/>
          <w:tab w:val="left" w:pos="5472"/>
        </w:tabs>
        <w:suppressAutoHyphens/>
        <w:rPr>
          <w:rFonts w:eastAsia="Times New Roman" w:cstheme="minorHAnsi"/>
          <w:b/>
          <w:sz w:val="24"/>
          <w:szCs w:val="24"/>
          <w:u w:val="single"/>
        </w:rPr>
      </w:pPr>
      <w:r w:rsidRPr="003D70F8">
        <w:rPr>
          <w:rFonts w:eastAsia="Times New Roman" w:cstheme="minorHAnsi"/>
          <w:b/>
          <w:sz w:val="24"/>
          <w:szCs w:val="24"/>
          <w:u w:val="single"/>
        </w:rPr>
        <w:t>Net Pension Liability</w:t>
      </w:r>
    </w:p>
    <w:p w14:paraId="6E35CA82" w14:textId="6439F823" w:rsidR="001B6918" w:rsidRPr="00BC0D69" w:rsidRDefault="001B6918" w:rsidP="003D70F8">
      <w:pPr>
        <w:widowControl w:val="0"/>
        <w:spacing w:after="120"/>
        <w:rPr>
          <w:rFonts w:eastAsia="Franklin Gothic Book" w:cstheme="minorHAnsi"/>
          <w:spacing w:val="-1"/>
          <w:sz w:val="24"/>
        </w:rPr>
      </w:pPr>
      <w:r w:rsidRPr="004E6649">
        <w:rPr>
          <w:rFonts w:eastAsia="Times New Roman" w:cstheme="minorHAnsi"/>
          <w:sz w:val="24"/>
        </w:rPr>
        <w:t>The total pension liability related to the Incentive Plan at the measurement date of June 30, 202</w:t>
      </w:r>
      <w:r>
        <w:rPr>
          <w:rFonts w:eastAsia="Times New Roman" w:cstheme="minorHAnsi"/>
          <w:sz w:val="24"/>
        </w:rPr>
        <w:t>5</w:t>
      </w:r>
      <w:r w:rsidRPr="004E6649">
        <w:rPr>
          <w:rFonts w:eastAsia="Times New Roman" w:cstheme="minorHAnsi"/>
          <w:sz w:val="24"/>
        </w:rPr>
        <w:t xml:space="preserve"> and 202</w:t>
      </w:r>
      <w:r>
        <w:rPr>
          <w:rFonts w:eastAsia="Times New Roman" w:cstheme="minorHAnsi"/>
          <w:sz w:val="24"/>
        </w:rPr>
        <w:t>4</w:t>
      </w:r>
      <w:r w:rsidRPr="004E6649">
        <w:rPr>
          <w:rFonts w:eastAsia="Times New Roman" w:cstheme="minorHAnsi"/>
          <w:sz w:val="24"/>
        </w:rPr>
        <w:t xml:space="preserve"> was $</w:t>
      </w:r>
      <w:r w:rsidRPr="001A48E6">
        <w:rPr>
          <w:rFonts w:eastAsia="Times New Roman" w:cstheme="minorHAnsi"/>
          <w:sz w:val="24"/>
        </w:rPr>
        <w:t>14,</w:t>
      </w:r>
      <w:r w:rsidRPr="00294809">
        <w:rPr>
          <w:rFonts w:eastAsia="Times New Roman" w:cstheme="minorHAnsi"/>
          <w:sz w:val="24"/>
        </w:rPr>
        <w:t>256</w:t>
      </w:r>
      <w:r w:rsidRPr="001A48E6">
        <w:rPr>
          <w:rFonts w:eastAsia="Times New Roman" w:cstheme="minorHAnsi"/>
          <w:sz w:val="24"/>
        </w:rPr>
        <w:t xml:space="preserve"> </w:t>
      </w:r>
      <w:r w:rsidRPr="004E6649">
        <w:rPr>
          <w:rFonts w:eastAsia="Times New Roman" w:cstheme="minorHAnsi"/>
          <w:sz w:val="24"/>
        </w:rPr>
        <w:t>and $</w:t>
      </w:r>
      <w:r>
        <w:rPr>
          <w:rFonts w:eastAsia="Times New Roman" w:cstheme="minorHAnsi"/>
          <w:sz w:val="24"/>
        </w:rPr>
        <w:t>14,718</w:t>
      </w:r>
      <w:r w:rsidRPr="004E6649">
        <w:rPr>
          <w:rFonts w:eastAsia="Times New Roman" w:cstheme="minorHAnsi"/>
          <w:sz w:val="24"/>
        </w:rPr>
        <w:t xml:space="preserve">, respectively. The fiduciary net position as a percentage of the total pension liability was 0.00% as this plan has no assets. </w:t>
      </w:r>
      <w:r w:rsidRPr="004E6649">
        <w:rPr>
          <w:rFonts w:eastAsia="Franklin Gothic Book" w:cstheme="minorHAnsi"/>
          <w:spacing w:val="-1"/>
          <w:sz w:val="24"/>
        </w:rPr>
        <w:t>The total pension liability as of June 30, 202</w:t>
      </w:r>
      <w:r>
        <w:rPr>
          <w:rFonts w:eastAsia="Franklin Gothic Book" w:cstheme="minorHAnsi"/>
          <w:spacing w:val="-1"/>
          <w:sz w:val="24"/>
        </w:rPr>
        <w:t>5</w:t>
      </w:r>
    </w:p>
    <w:p w14:paraId="20A6CB99" w14:textId="0C1CC674" w:rsidR="001B6918" w:rsidRPr="009E4423" w:rsidRDefault="001B6918" w:rsidP="003D70F8">
      <w:pPr>
        <w:spacing w:after="160"/>
        <w:rPr>
          <w:rFonts w:eastAsiaTheme="majorEastAsia" w:cstheme="minorHAnsi"/>
          <w:b/>
          <w:i/>
          <w:iCs/>
          <w:smallCaps/>
          <w:noProof/>
          <w:color w:val="000000" w:themeColor="text1"/>
          <w:sz w:val="24"/>
          <w:szCs w:val="24"/>
          <w:u w:color="5B9BD5"/>
        </w:rPr>
      </w:pPr>
      <w:r w:rsidRPr="009E4423">
        <w:rPr>
          <w:rFonts w:eastAsiaTheme="majorEastAsia" w:cstheme="minorHAnsi"/>
          <w:b/>
          <w:i/>
          <w:iCs/>
          <w:smallCaps/>
          <w:noProof/>
          <w:color w:val="000000" w:themeColor="text1"/>
          <w:sz w:val="24"/>
          <w:szCs w:val="24"/>
          <w:u w:color="5B9BD5"/>
        </w:rPr>
        <w:lastRenderedPageBreak/>
        <w:t>13. PENSION PLANS - CONTINUED</w:t>
      </w:r>
    </w:p>
    <w:p w14:paraId="39DD8107" w14:textId="77777777" w:rsidR="001B6918" w:rsidRPr="004E6649" w:rsidRDefault="001B6918" w:rsidP="003D70F8">
      <w:pPr>
        <w:widowControl w:val="0"/>
        <w:spacing w:after="120"/>
        <w:rPr>
          <w:rFonts w:eastAsia="Franklin Gothic Book" w:cstheme="minorHAnsi"/>
          <w:spacing w:val="-1"/>
          <w:sz w:val="24"/>
        </w:rPr>
      </w:pPr>
      <w:r w:rsidRPr="004E6649">
        <w:rPr>
          <w:rFonts w:eastAsia="Franklin Gothic Book" w:cstheme="minorHAnsi"/>
          <w:spacing w:val="-1"/>
          <w:sz w:val="24"/>
        </w:rPr>
        <w:t>and 202</w:t>
      </w:r>
      <w:r>
        <w:rPr>
          <w:rFonts w:eastAsia="Franklin Gothic Book" w:cstheme="minorHAnsi"/>
          <w:spacing w:val="-1"/>
          <w:sz w:val="24"/>
        </w:rPr>
        <w:t>4</w:t>
      </w:r>
      <w:r w:rsidRPr="004E6649">
        <w:rPr>
          <w:rFonts w:eastAsia="Franklin Gothic Book" w:cstheme="minorHAnsi"/>
          <w:spacing w:val="-1"/>
          <w:sz w:val="24"/>
        </w:rPr>
        <w:t xml:space="preserve"> was determined by an actuarial valuation as </w:t>
      </w:r>
      <w:r w:rsidRPr="001A48E6">
        <w:rPr>
          <w:rFonts w:eastAsia="Franklin Gothic Book" w:cstheme="minorHAnsi"/>
          <w:spacing w:val="-1"/>
          <w:sz w:val="24"/>
        </w:rPr>
        <w:t>of July 1, 202</w:t>
      </w:r>
      <w:r>
        <w:rPr>
          <w:rFonts w:eastAsia="Franklin Gothic Book" w:cstheme="minorHAnsi"/>
          <w:spacing w:val="-1"/>
          <w:sz w:val="24"/>
        </w:rPr>
        <w:t xml:space="preserve">5 and July 1, 2023 </w:t>
      </w:r>
      <w:r w:rsidRPr="001A48E6">
        <w:rPr>
          <w:rFonts w:eastAsia="Franklin Gothic Book" w:cstheme="minorHAnsi"/>
          <w:spacing w:val="-1"/>
          <w:sz w:val="24"/>
        </w:rPr>
        <w:t xml:space="preserve">rolled forward to the measurement date of June 30, </w:t>
      </w:r>
      <w:r w:rsidRPr="00282799">
        <w:rPr>
          <w:rFonts w:eastAsia="Franklin Gothic Book" w:cstheme="minorHAnsi"/>
          <w:spacing w:val="-1"/>
          <w:sz w:val="24"/>
        </w:rPr>
        <w:t>2024</w:t>
      </w:r>
      <w:r>
        <w:rPr>
          <w:rFonts w:eastAsia="Franklin Gothic Book" w:cstheme="minorHAnsi"/>
          <w:spacing w:val="-1"/>
          <w:sz w:val="24"/>
        </w:rPr>
        <w:t>,</w:t>
      </w:r>
      <w:r w:rsidRPr="00282799">
        <w:rPr>
          <w:rFonts w:eastAsia="Franklin Gothic Book" w:cstheme="minorHAnsi"/>
          <w:spacing w:val="-1"/>
          <w:sz w:val="24"/>
        </w:rPr>
        <w:t xml:space="preserve"> </w:t>
      </w:r>
      <w:r w:rsidRPr="001A48E6">
        <w:rPr>
          <w:rFonts w:eastAsia="Franklin Gothic Book" w:cstheme="minorHAnsi"/>
          <w:spacing w:val="-1"/>
          <w:sz w:val="24"/>
        </w:rPr>
        <w:t>respectively, using the following actuarial as</w:t>
      </w:r>
      <w:r w:rsidRPr="004E6649">
        <w:rPr>
          <w:rFonts w:eastAsia="Franklin Gothic Book" w:cstheme="minorHAnsi"/>
          <w:spacing w:val="-1"/>
          <w:sz w:val="24"/>
        </w:rPr>
        <w:t>sumptions, applied to all periods included in the measurement:</w:t>
      </w:r>
    </w:p>
    <w:tbl>
      <w:tblPr>
        <w:tblStyle w:val="TableGrid"/>
        <w:tblW w:w="99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7470"/>
      </w:tblGrid>
      <w:tr w:rsidR="001B6918" w:rsidRPr="004E6649" w14:paraId="7612AD1C" w14:textId="77777777" w:rsidTr="00730ECF">
        <w:trPr>
          <w:jc w:val="center"/>
        </w:trPr>
        <w:tc>
          <w:tcPr>
            <w:tcW w:w="2430" w:type="dxa"/>
            <w:tcBorders>
              <w:top w:val="single" w:sz="4" w:space="0" w:color="auto"/>
            </w:tcBorders>
          </w:tcPr>
          <w:p w14:paraId="01ABB839" w14:textId="77777777" w:rsidR="001B6918" w:rsidRPr="004E6649" w:rsidRDefault="001B6918" w:rsidP="00730ECF">
            <w:pPr>
              <w:widowControl w:val="0"/>
              <w:rPr>
                <w:rFonts w:eastAsia="Franklin Gothic Book" w:cstheme="minorHAnsi"/>
                <w:sz w:val="24"/>
              </w:rPr>
            </w:pPr>
            <w:r w:rsidRPr="004E6649">
              <w:rPr>
                <w:rFonts w:eastAsia="Franklin Gothic Book" w:cstheme="minorHAnsi"/>
                <w:sz w:val="24"/>
                <w:szCs w:val="24"/>
              </w:rPr>
              <w:t>Actuarial cost method</w:t>
            </w:r>
          </w:p>
        </w:tc>
        <w:tc>
          <w:tcPr>
            <w:tcW w:w="7470" w:type="dxa"/>
            <w:tcBorders>
              <w:top w:val="single" w:sz="4" w:space="0" w:color="auto"/>
            </w:tcBorders>
          </w:tcPr>
          <w:p w14:paraId="33C70B8B" w14:textId="77777777" w:rsidR="001B6918" w:rsidRPr="004E6649" w:rsidRDefault="001B6918" w:rsidP="00730ECF">
            <w:pPr>
              <w:widowControl w:val="0"/>
              <w:rPr>
                <w:rFonts w:eastAsia="Franklin Gothic Book" w:cstheme="minorHAnsi"/>
                <w:sz w:val="24"/>
              </w:rPr>
            </w:pPr>
            <w:r w:rsidRPr="004E6649">
              <w:rPr>
                <w:rFonts w:eastAsia="Franklin Gothic Book" w:cstheme="minorHAnsi"/>
                <w:sz w:val="24"/>
                <w:szCs w:val="24"/>
              </w:rPr>
              <w:t>Entry age normal</w:t>
            </w:r>
          </w:p>
        </w:tc>
      </w:tr>
      <w:tr w:rsidR="001B6918" w:rsidRPr="004E6649" w14:paraId="566999D8" w14:textId="77777777" w:rsidTr="00730ECF">
        <w:trPr>
          <w:jc w:val="center"/>
        </w:trPr>
        <w:tc>
          <w:tcPr>
            <w:tcW w:w="2430" w:type="dxa"/>
          </w:tcPr>
          <w:p w14:paraId="4588054E" w14:textId="77777777" w:rsidR="001B6918" w:rsidRPr="004E6649" w:rsidRDefault="001B6918" w:rsidP="00730ECF">
            <w:pPr>
              <w:widowControl w:val="0"/>
              <w:rPr>
                <w:rFonts w:eastAsia="Franklin Gothic Book" w:cstheme="minorHAnsi"/>
                <w:sz w:val="24"/>
              </w:rPr>
            </w:pPr>
            <w:r w:rsidRPr="004E6649">
              <w:rPr>
                <w:rFonts w:eastAsia="Franklin Gothic Book" w:cstheme="minorHAnsi"/>
                <w:sz w:val="24"/>
                <w:szCs w:val="24"/>
              </w:rPr>
              <w:t>Inflation</w:t>
            </w:r>
          </w:p>
        </w:tc>
        <w:tc>
          <w:tcPr>
            <w:tcW w:w="7470" w:type="dxa"/>
          </w:tcPr>
          <w:p w14:paraId="0E405E2D" w14:textId="77777777" w:rsidR="001B6918" w:rsidRPr="004E6649" w:rsidRDefault="001B6918" w:rsidP="00730ECF">
            <w:pPr>
              <w:widowControl w:val="0"/>
              <w:rPr>
                <w:rFonts w:eastAsia="Franklin Gothic Book" w:cstheme="minorHAnsi"/>
                <w:sz w:val="24"/>
              </w:rPr>
            </w:pPr>
            <w:r w:rsidRPr="004E6649">
              <w:rPr>
                <w:rFonts w:eastAsia="Franklin Gothic Book" w:cstheme="minorHAnsi"/>
                <w:sz w:val="24"/>
                <w:szCs w:val="24"/>
              </w:rPr>
              <w:t>Not explicitly assumed</w:t>
            </w:r>
          </w:p>
        </w:tc>
      </w:tr>
      <w:tr w:rsidR="001B6918" w:rsidRPr="004E6649" w14:paraId="64CF8032" w14:textId="77777777" w:rsidTr="00730ECF">
        <w:trPr>
          <w:jc w:val="center"/>
        </w:trPr>
        <w:tc>
          <w:tcPr>
            <w:tcW w:w="2430" w:type="dxa"/>
          </w:tcPr>
          <w:p w14:paraId="2C3FE7D5" w14:textId="77777777" w:rsidR="001B6918" w:rsidRPr="004E6649" w:rsidRDefault="001B6918" w:rsidP="00730ECF">
            <w:pPr>
              <w:widowControl w:val="0"/>
              <w:rPr>
                <w:rFonts w:eastAsia="Franklin Gothic Book" w:cstheme="minorHAnsi"/>
                <w:sz w:val="24"/>
              </w:rPr>
            </w:pPr>
            <w:r w:rsidRPr="004E6649">
              <w:rPr>
                <w:rFonts w:eastAsia="Franklin Gothic Book" w:cstheme="minorHAnsi"/>
                <w:sz w:val="24"/>
                <w:szCs w:val="24"/>
              </w:rPr>
              <w:t>Salary increases</w:t>
            </w:r>
          </w:p>
        </w:tc>
        <w:tc>
          <w:tcPr>
            <w:tcW w:w="7470" w:type="dxa"/>
          </w:tcPr>
          <w:p w14:paraId="2AADB397" w14:textId="77777777" w:rsidR="001B6918" w:rsidRPr="004E6649" w:rsidRDefault="001B6918" w:rsidP="00730ECF">
            <w:pPr>
              <w:widowControl w:val="0"/>
              <w:rPr>
                <w:rFonts w:eastAsia="Franklin Gothic Book" w:cstheme="minorHAnsi"/>
                <w:sz w:val="24"/>
              </w:rPr>
            </w:pPr>
            <w:r w:rsidRPr="00C730BA">
              <w:rPr>
                <w:rFonts w:eastAsia="Franklin Gothic Book" w:cstheme="minorHAnsi"/>
                <w:sz w:val="24"/>
                <w:szCs w:val="24"/>
              </w:rPr>
              <w:t xml:space="preserve">3.5% </w:t>
            </w:r>
            <w:r w:rsidRPr="004E6649">
              <w:rPr>
                <w:rFonts w:eastAsia="Franklin Gothic Book" w:cstheme="minorHAnsi"/>
                <w:sz w:val="24"/>
                <w:szCs w:val="24"/>
              </w:rPr>
              <w:t>per year, including longevity</w:t>
            </w:r>
          </w:p>
        </w:tc>
      </w:tr>
      <w:tr w:rsidR="001B6918" w:rsidRPr="004E6649" w14:paraId="259AFBA4" w14:textId="77777777" w:rsidTr="00730ECF">
        <w:trPr>
          <w:jc w:val="center"/>
        </w:trPr>
        <w:tc>
          <w:tcPr>
            <w:tcW w:w="2430" w:type="dxa"/>
          </w:tcPr>
          <w:p w14:paraId="0775DDED" w14:textId="77777777" w:rsidR="001B6918" w:rsidRPr="004E6649" w:rsidRDefault="001B6918" w:rsidP="00730ECF">
            <w:pPr>
              <w:widowControl w:val="0"/>
              <w:rPr>
                <w:rFonts w:eastAsia="Franklin Gothic Book" w:cstheme="minorHAnsi"/>
                <w:sz w:val="24"/>
              </w:rPr>
            </w:pPr>
            <w:r w:rsidRPr="004E6649">
              <w:rPr>
                <w:rFonts w:eastAsia="Franklin Gothic Book" w:cstheme="minorHAnsi"/>
                <w:sz w:val="24"/>
                <w:szCs w:val="24"/>
              </w:rPr>
              <w:t>Discount rate</w:t>
            </w:r>
          </w:p>
        </w:tc>
        <w:tc>
          <w:tcPr>
            <w:tcW w:w="7470" w:type="dxa"/>
          </w:tcPr>
          <w:p w14:paraId="4FCF85D1" w14:textId="77777777" w:rsidR="001B6918" w:rsidRPr="004E6649" w:rsidRDefault="001B6918" w:rsidP="00730ECF">
            <w:pPr>
              <w:widowControl w:val="0"/>
              <w:tabs>
                <w:tab w:val="left" w:pos="2610"/>
              </w:tabs>
              <w:ind w:right="360"/>
              <w:rPr>
                <w:rFonts w:eastAsia="Franklin Gothic Book" w:cstheme="minorHAnsi"/>
                <w:sz w:val="24"/>
                <w:szCs w:val="24"/>
              </w:rPr>
            </w:pPr>
            <w:r w:rsidRPr="00282799">
              <w:rPr>
                <w:rFonts w:eastAsia="Franklin Gothic Book" w:cstheme="minorHAnsi"/>
                <w:sz w:val="24"/>
                <w:szCs w:val="24"/>
              </w:rPr>
              <w:t>5.20</w:t>
            </w:r>
            <w:r w:rsidRPr="004E6649">
              <w:rPr>
                <w:rFonts w:eastAsia="Franklin Gothic Book" w:cstheme="minorHAnsi"/>
                <w:sz w:val="24"/>
                <w:szCs w:val="24"/>
              </w:rPr>
              <w:t>% as of June 30, 202</w:t>
            </w:r>
            <w:r>
              <w:rPr>
                <w:rFonts w:eastAsia="Franklin Gothic Book" w:cstheme="minorHAnsi"/>
                <w:sz w:val="24"/>
                <w:szCs w:val="24"/>
              </w:rPr>
              <w:t>5</w:t>
            </w:r>
          </w:p>
          <w:p w14:paraId="674D9005" w14:textId="77777777" w:rsidR="001B6918" w:rsidRPr="004E6649" w:rsidRDefault="001B6918" w:rsidP="00730ECF">
            <w:pPr>
              <w:widowControl w:val="0"/>
              <w:tabs>
                <w:tab w:val="left" w:pos="2610"/>
              </w:tabs>
              <w:ind w:right="360"/>
              <w:rPr>
                <w:rFonts w:eastAsia="Franklin Gothic Book" w:cstheme="minorHAnsi"/>
                <w:sz w:val="24"/>
              </w:rPr>
            </w:pPr>
            <w:r w:rsidRPr="004E6649">
              <w:rPr>
                <w:rFonts w:eastAsia="Franklin Gothic Book" w:cstheme="minorHAnsi"/>
                <w:sz w:val="24"/>
                <w:szCs w:val="24"/>
              </w:rPr>
              <w:t>3.</w:t>
            </w:r>
            <w:r>
              <w:rPr>
                <w:rFonts w:eastAsia="Franklin Gothic Book" w:cstheme="minorHAnsi"/>
                <w:sz w:val="24"/>
                <w:szCs w:val="24"/>
              </w:rPr>
              <w:t>93</w:t>
            </w:r>
            <w:r w:rsidRPr="004E6649">
              <w:rPr>
                <w:rFonts w:eastAsia="Franklin Gothic Book" w:cstheme="minorHAnsi"/>
                <w:sz w:val="24"/>
                <w:szCs w:val="24"/>
              </w:rPr>
              <w:t>% as of June 30, 202</w:t>
            </w:r>
            <w:r>
              <w:rPr>
                <w:rFonts w:eastAsia="Franklin Gothic Book" w:cstheme="minorHAnsi"/>
                <w:sz w:val="24"/>
                <w:szCs w:val="24"/>
              </w:rPr>
              <w:t>4</w:t>
            </w:r>
          </w:p>
        </w:tc>
      </w:tr>
      <w:tr w:rsidR="001B6918" w:rsidRPr="004E6649" w14:paraId="25C23C8C" w14:textId="77777777" w:rsidTr="00730ECF">
        <w:trPr>
          <w:jc w:val="center"/>
        </w:trPr>
        <w:tc>
          <w:tcPr>
            <w:tcW w:w="2430" w:type="dxa"/>
            <w:tcBorders>
              <w:bottom w:val="single" w:sz="4" w:space="0" w:color="auto"/>
            </w:tcBorders>
          </w:tcPr>
          <w:p w14:paraId="45B484AA" w14:textId="77777777" w:rsidR="001B6918" w:rsidRPr="004E6649" w:rsidRDefault="001B6918" w:rsidP="00730ECF">
            <w:pPr>
              <w:widowControl w:val="0"/>
              <w:rPr>
                <w:rFonts w:eastAsia="Franklin Gothic Book" w:cstheme="minorHAnsi"/>
                <w:sz w:val="24"/>
              </w:rPr>
            </w:pPr>
            <w:r w:rsidRPr="004E6649">
              <w:rPr>
                <w:rFonts w:eastAsia="Franklin Gothic Book" w:cstheme="minorHAnsi"/>
                <w:sz w:val="24"/>
                <w:szCs w:val="24"/>
              </w:rPr>
              <w:t>Life expectancy</w:t>
            </w:r>
          </w:p>
        </w:tc>
        <w:tc>
          <w:tcPr>
            <w:tcW w:w="7470" w:type="dxa"/>
            <w:tcBorders>
              <w:bottom w:val="single" w:sz="4" w:space="0" w:color="auto"/>
            </w:tcBorders>
          </w:tcPr>
          <w:p w14:paraId="39524F8A" w14:textId="77777777" w:rsidR="001B6918" w:rsidRPr="004E6649" w:rsidRDefault="001B6918" w:rsidP="00730ECF">
            <w:pPr>
              <w:widowControl w:val="0"/>
              <w:rPr>
                <w:rFonts w:eastAsia="Franklin Gothic Book" w:cstheme="minorHAnsi"/>
                <w:sz w:val="24"/>
              </w:rPr>
            </w:pPr>
            <w:r w:rsidRPr="004E6649">
              <w:rPr>
                <w:rFonts w:eastAsia="Franklin Gothic Book" w:cstheme="minorHAnsi"/>
                <w:sz w:val="24"/>
                <w:szCs w:val="24"/>
              </w:rPr>
              <w:t>202</w:t>
            </w:r>
            <w:r>
              <w:rPr>
                <w:rFonts w:eastAsia="Franklin Gothic Book" w:cstheme="minorHAnsi"/>
                <w:sz w:val="24"/>
                <w:szCs w:val="24"/>
              </w:rPr>
              <w:t>5</w:t>
            </w:r>
            <w:r w:rsidRPr="004E6649">
              <w:rPr>
                <w:rFonts w:eastAsia="Franklin Gothic Book" w:cstheme="minorHAnsi"/>
                <w:sz w:val="24"/>
                <w:szCs w:val="24"/>
              </w:rPr>
              <w:t xml:space="preserve"> and 202</w:t>
            </w:r>
            <w:r>
              <w:rPr>
                <w:rFonts w:eastAsia="Franklin Gothic Book" w:cstheme="minorHAnsi"/>
                <w:sz w:val="24"/>
                <w:szCs w:val="24"/>
              </w:rPr>
              <w:t>4</w:t>
            </w:r>
            <w:r w:rsidRPr="004E6649">
              <w:rPr>
                <w:rFonts w:eastAsia="Franklin Gothic Book" w:cstheme="minorHAnsi"/>
                <w:sz w:val="24"/>
                <w:szCs w:val="24"/>
              </w:rPr>
              <w:t xml:space="preserve">: Mortality rates were based on the </w:t>
            </w:r>
            <w:r w:rsidRPr="00C730BA">
              <w:rPr>
                <w:rFonts w:eastAsia="Franklin Gothic Book" w:cstheme="minorHAnsi"/>
                <w:sz w:val="24"/>
                <w:szCs w:val="24"/>
              </w:rPr>
              <w:t>Pub-2010 Mortality Table projected with Scale MP-2021.</w:t>
            </w:r>
          </w:p>
        </w:tc>
      </w:tr>
    </w:tbl>
    <w:p w14:paraId="2799916A" w14:textId="77777777" w:rsidR="001B6918" w:rsidRPr="004E6649" w:rsidRDefault="001B6918" w:rsidP="001B6918">
      <w:pPr>
        <w:spacing w:before="120"/>
        <w:ind w:right="-7"/>
        <w:rPr>
          <w:rFonts w:eastAsia="Times New Roman" w:cstheme="minorHAnsi"/>
          <w:sz w:val="24"/>
        </w:rPr>
      </w:pPr>
      <w:r w:rsidRPr="004E6649">
        <w:rPr>
          <w:rFonts w:eastAsia="Franklin Gothic Book" w:cstheme="minorHAnsi"/>
          <w:b/>
          <w:i/>
          <w:sz w:val="24"/>
        </w:rPr>
        <w:t>Discount rate</w:t>
      </w:r>
      <w:r w:rsidRPr="004E6649">
        <w:rPr>
          <w:rFonts w:eastAsia="Times New Roman" w:cstheme="minorHAnsi"/>
          <w:b/>
          <w:sz w:val="24"/>
        </w:rPr>
        <w:t>:</w:t>
      </w:r>
      <w:r w:rsidRPr="004E6649">
        <w:rPr>
          <w:rFonts w:eastAsia="Times New Roman" w:cstheme="minorHAnsi"/>
          <w:sz w:val="24"/>
        </w:rPr>
        <w:t xml:space="preserve"> GASB Statement No. 73, </w:t>
      </w:r>
      <w:r w:rsidRPr="004E6649">
        <w:rPr>
          <w:rFonts w:eastAsia="Times New Roman" w:cstheme="minorHAnsi"/>
          <w:i/>
          <w:sz w:val="24"/>
        </w:rPr>
        <w:t xml:space="preserve">Accounting and Financial Reporting for Pensions and Related Assets That Are Not within the Scope of GASB Statement 68, and Amendments to Certain Provisions of GASB Statements 67 and 68, </w:t>
      </w:r>
      <w:r w:rsidRPr="004E6649">
        <w:rPr>
          <w:rFonts w:eastAsia="Times New Roman" w:cstheme="minorHAnsi"/>
          <w:sz w:val="24"/>
        </w:rPr>
        <w:t>requires projected benefit payments be discounted to their actuarial present value using a tax-exempt, high-quality municipal bond rate.</w:t>
      </w:r>
    </w:p>
    <w:p w14:paraId="496C5F15" w14:textId="77777777" w:rsidR="001B6918" w:rsidRPr="00643226" w:rsidRDefault="001B6918" w:rsidP="001B6918">
      <w:pPr>
        <w:spacing w:after="160"/>
        <w:rPr>
          <w:rFonts w:eastAsiaTheme="majorEastAsia" w:cstheme="minorHAnsi"/>
          <w:iCs/>
          <w:smallCaps/>
          <w:noProof/>
          <w:color w:val="000000" w:themeColor="text1"/>
          <w:szCs w:val="24"/>
          <w:u w:color="5B9BD5"/>
        </w:rPr>
      </w:pPr>
    </w:p>
    <w:p w14:paraId="5D887EB8" w14:textId="77777777" w:rsidR="001B6918" w:rsidRPr="004E6649" w:rsidRDefault="001B6918" w:rsidP="001B6918">
      <w:pPr>
        <w:rPr>
          <w:rFonts w:cstheme="minorHAnsi"/>
          <w:sz w:val="24"/>
        </w:rPr>
      </w:pPr>
      <w:r w:rsidRPr="004E6649">
        <w:rPr>
          <w:rFonts w:eastAsia="Times New Roman" w:cstheme="minorHAnsi"/>
          <w:sz w:val="24"/>
        </w:rPr>
        <w:t xml:space="preserve">For the Incentive Plan, which does not hold assets, the total pension liability is based on the discount rate of </w:t>
      </w:r>
      <w:r w:rsidRPr="00282799">
        <w:rPr>
          <w:rFonts w:eastAsia="Times New Roman" w:cstheme="minorHAnsi"/>
          <w:sz w:val="24"/>
        </w:rPr>
        <w:t>5.20</w:t>
      </w:r>
      <w:r w:rsidRPr="004E6649">
        <w:rPr>
          <w:rFonts w:eastAsia="Times New Roman" w:cstheme="minorHAnsi"/>
          <w:sz w:val="24"/>
        </w:rPr>
        <w:t>% and 3.</w:t>
      </w:r>
      <w:r>
        <w:rPr>
          <w:rFonts w:eastAsia="Times New Roman" w:cstheme="minorHAnsi"/>
          <w:sz w:val="24"/>
        </w:rPr>
        <w:t>93</w:t>
      </w:r>
      <w:r w:rsidRPr="004E6649">
        <w:rPr>
          <w:rFonts w:eastAsia="Times New Roman" w:cstheme="minorHAnsi"/>
          <w:sz w:val="24"/>
        </w:rPr>
        <w:t>% as of June 30, 202</w:t>
      </w:r>
      <w:r>
        <w:rPr>
          <w:rFonts w:eastAsia="Times New Roman" w:cstheme="minorHAnsi"/>
          <w:sz w:val="24"/>
        </w:rPr>
        <w:t>5</w:t>
      </w:r>
      <w:r w:rsidRPr="004E6649">
        <w:rPr>
          <w:rFonts w:eastAsia="Times New Roman" w:cstheme="minorHAnsi"/>
          <w:sz w:val="24"/>
        </w:rPr>
        <w:t xml:space="preserve"> and 202</w:t>
      </w:r>
      <w:r>
        <w:rPr>
          <w:rFonts w:eastAsia="Times New Roman" w:cstheme="minorHAnsi"/>
          <w:sz w:val="24"/>
        </w:rPr>
        <w:t>4</w:t>
      </w:r>
      <w:r w:rsidRPr="004E6649">
        <w:rPr>
          <w:rFonts w:eastAsia="Times New Roman" w:cstheme="minorHAnsi"/>
          <w:sz w:val="24"/>
        </w:rPr>
        <w:t>, respectively. The rates are based on the municipal bond rates as of the measurement dates. The municipal bond rates for 202</w:t>
      </w:r>
      <w:r>
        <w:rPr>
          <w:rFonts w:eastAsia="Times New Roman" w:cstheme="minorHAnsi"/>
          <w:sz w:val="24"/>
        </w:rPr>
        <w:t>5</w:t>
      </w:r>
      <w:r w:rsidRPr="004E6649">
        <w:rPr>
          <w:rFonts w:eastAsia="Times New Roman" w:cstheme="minorHAnsi"/>
          <w:sz w:val="24"/>
        </w:rPr>
        <w:t xml:space="preserve"> and 202</w:t>
      </w:r>
      <w:r>
        <w:rPr>
          <w:rFonts w:eastAsia="Times New Roman" w:cstheme="minorHAnsi"/>
          <w:sz w:val="24"/>
        </w:rPr>
        <w:t>4</w:t>
      </w:r>
      <w:r w:rsidRPr="004E6649">
        <w:rPr>
          <w:rFonts w:eastAsia="Times New Roman" w:cstheme="minorHAnsi"/>
          <w:sz w:val="24"/>
        </w:rPr>
        <w:t xml:space="preserve"> are based on the Bond Buyer 20-Bond General Obligation (GO) Index published for the weeks of June </w:t>
      </w:r>
      <w:r w:rsidRPr="00282799">
        <w:rPr>
          <w:rFonts w:eastAsia="Times New Roman" w:cstheme="minorHAnsi"/>
          <w:sz w:val="24"/>
        </w:rPr>
        <w:t>30</w:t>
      </w:r>
      <w:r w:rsidRPr="004E6649">
        <w:rPr>
          <w:rFonts w:eastAsia="Times New Roman" w:cstheme="minorHAnsi"/>
          <w:sz w:val="24"/>
        </w:rPr>
        <w:t>, 202</w:t>
      </w:r>
      <w:r>
        <w:rPr>
          <w:rFonts w:eastAsia="Times New Roman" w:cstheme="minorHAnsi"/>
          <w:sz w:val="24"/>
        </w:rPr>
        <w:t>5</w:t>
      </w:r>
      <w:r w:rsidRPr="004E6649">
        <w:rPr>
          <w:rFonts w:eastAsia="Times New Roman" w:cstheme="minorHAnsi"/>
          <w:sz w:val="24"/>
        </w:rPr>
        <w:t xml:space="preserve"> and June </w:t>
      </w:r>
      <w:r>
        <w:rPr>
          <w:rFonts w:eastAsia="Times New Roman" w:cstheme="minorHAnsi"/>
          <w:sz w:val="24"/>
        </w:rPr>
        <w:t>27</w:t>
      </w:r>
      <w:r w:rsidRPr="004E6649">
        <w:rPr>
          <w:rFonts w:eastAsia="Times New Roman" w:cstheme="minorHAnsi"/>
          <w:sz w:val="24"/>
        </w:rPr>
        <w:t>, 202</w:t>
      </w:r>
      <w:r>
        <w:rPr>
          <w:rFonts w:eastAsia="Times New Roman" w:cstheme="minorHAnsi"/>
          <w:sz w:val="24"/>
        </w:rPr>
        <w:t>4</w:t>
      </w:r>
      <w:r w:rsidRPr="004E6649">
        <w:rPr>
          <w:rFonts w:eastAsia="Times New Roman" w:cstheme="minorHAnsi"/>
          <w:sz w:val="24"/>
        </w:rPr>
        <w:t>, respectively.</w:t>
      </w:r>
    </w:p>
    <w:p w14:paraId="58724DBB" w14:textId="77777777" w:rsidR="001B6918" w:rsidRPr="004E6649" w:rsidRDefault="001B6918" w:rsidP="001B6918">
      <w:pPr>
        <w:tabs>
          <w:tab w:val="left" w:pos="6390"/>
        </w:tabs>
        <w:ind w:right="-7"/>
        <w:rPr>
          <w:rFonts w:eastAsia="Franklin Gothic Book" w:cstheme="minorHAnsi"/>
          <w:b/>
          <w:i/>
          <w:spacing w:val="-1"/>
          <w:sz w:val="18"/>
          <w:szCs w:val="18"/>
        </w:rPr>
      </w:pPr>
    </w:p>
    <w:p w14:paraId="341CE68F" w14:textId="77777777" w:rsidR="001B6918" w:rsidRPr="004E6649" w:rsidRDefault="001B6918" w:rsidP="001B6918">
      <w:pPr>
        <w:tabs>
          <w:tab w:val="left" w:pos="6390"/>
        </w:tabs>
        <w:spacing w:after="180"/>
        <w:ind w:right="-7"/>
        <w:rPr>
          <w:rFonts w:eastAsia="Franklin Gothic Book" w:cstheme="minorHAnsi"/>
          <w:spacing w:val="1"/>
          <w:sz w:val="24"/>
        </w:rPr>
      </w:pPr>
      <w:r w:rsidRPr="004E6649">
        <w:rPr>
          <w:rFonts w:eastAsia="Franklin Gothic Book" w:cstheme="minorHAnsi"/>
          <w:b/>
          <w:i/>
          <w:spacing w:val="-1"/>
          <w:sz w:val="24"/>
        </w:rPr>
        <w:t>Sensitivity of t</w:t>
      </w:r>
      <w:r w:rsidRPr="004E6649">
        <w:rPr>
          <w:rFonts w:eastAsia="Franklin Gothic Book" w:cstheme="minorHAnsi"/>
          <w:b/>
          <w:i/>
          <w:sz w:val="24"/>
        </w:rPr>
        <w:t>he</w:t>
      </w:r>
      <w:r w:rsidRPr="004E6649">
        <w:rPr>
          <w:rFonts w:eastAsia="Franklin Gothic Book" w:cstheme="minorHAnsi"/>
          <w:b/>
          <w:i/>
          <w:spacing w:val="-6"/>
          <w:sz w:val="24"/>
        </w:rPr>
        <w:t xml:space="preserve"> </w:t>
      </w:r>
      <w:r w:rsidRPr="004E6649">
        <w:rPr>
          <w:rFonts w:eastAsia="Franklin Gothic Book" w:cstheme="minorHAnsi"/>
          <w:b/>
          <w:i/>
          <w:spacing w:val="-2"/>
          <w:sz w:val="24"/>
        </w:rPr>
        <w:t>n</w:t>
      </w:r>
      <w:r w:rsidRPr="004E6649">
        <w:rPr>
          <w:rFonts w:eastAsia="Franklin Gothic Book" w:cstheme="minorHAnsi"/>
          <w:b/>
          <w:i/>
          <w:sz w:val="24"/>
        </w:rPr>
        <w:t>et</w:t>
      </w:r>
      <w:r w:rsidRPr="004E6649">
        <w:rPr>
          <w:rFonts w:eastAsia="Franklin Gothic Book" w:cstheme="minorHAnsi"/>
          <w:b/>
          <w:i/>
          <w:spacing w:val="-7"/>
          <w:sz w:val="24"/>
        </w:rPr>
        <w:t xml:space="preserve"> </w:t>
      </w:r>
      <w:r w:rsidRPr="004E6649">
        <w:rPr>
          <w:rFonts w:eastAsia="Franklin Gothic Book" w:cstheme="minorHAnsi"/>
          <w:b/>
          <w:i/>
          <w:spacing w:val="-2"/>
          <w:sz w:val="24"/>
        </w:rPr>
        <w:t>p</w:t>
      </w:r>
      <w:r w:rsidRPr="004E6649">
        <w:rPr>
          <w:rFonts w:eastAsia="Franklin Gothic Book" w:cstheme="minorHAnsi"/>
          <w:b/>
          <w:i/>
          <w:sz w:val="24"/>
        </w:rPr>
        <w:t>e</w:t>
      </w:r>
      <w:r w:rsidRPr="004E6649">
        <w:rPr>
          <w:rFonts w:eastAsia="Franklin Gothic Book" w:cstheme="minorHAnsi"/>
          <w:b/>
          <w:i/>
          <w:spacing w:val="-2"/>
          <w:sz w:val="24"/>
        </w:rPr>
        <w:t>n</w:t>
      </w:r>
      <w:r w:rsidRPr="004E6649">
        <w:rPr>
          <w:rFonts w:eastAsia="Franklin Gothic Book" w:cstheme="minorHAnsi"/>
          <w:b/>
          <w:i/>
          <w:spacing w:val="-1"/>
          <w:sz w:val="24"/>
        </w:rPr>
        <w:t>s</w:t>
      </w:r>
      <w:r w:rsidRPr="004E6649">
        <w:rPr>
          <w:rFonts w:eastAsia="Franklin Gothic Book" w:cstheme="minorHAnsi"/>
          <w:b/>
          <w:i/>
          <w:sz w:val="24"/>
        </w:rPr>
        <w:t>i</w:t>
      </w:r>
      <w:r w:rsidRPr="004E6649">
        <w:rPr>
          <w:rFonts w:eastAsia="Franklin Gothic Book" w:cstheme="minorHAnsi"/>
          <w:b/>
          <w:i/>
          <w:spacing w:val="-1"/>
          <w:sz w:val="24"/>
        </w:rPr>
        <w:t>o</w:t>
      </w:r>
      <w:r w:rsidRPr="004E6649">
        <w:rPr>
          <w:rFonts w:eastAsia="Franklin Gothic Book" w:cstheme="minorHAnsi"/>
          <w:b/>
          <w:i/>
          <w:sz w:val="24"/>
        </w:rPr>
        <w:t>n</w:t>
      </w:r>
      <w:r w:rsidRPr="004E6649">
        <w:rPr>
          <w:rFonts w:eastAsia="Franklin Gothic Book" w:cstheme="minorHAnsi"/>
          <w:b/>
          <w:i/>
          <w:spacing w:val="-5"/>
          <w:sz w:val="24"/>
        </w:rPr>
        <w:t xml:space="preserve"> </w:t>
      </w:r>
      <w:r w:rsidRPr="004E6649">
        <w:rPr>
          <w:rFonts w:eastAsia="Franklin Gothic Book" w:cstheme="minorHAnsi"/>
          <w:b/>
          <w:i/>
          <w:sz w:val="24"/>
        </w:rPr>
        <w:t>li</w:t>
      </w:r>
      <w:r w:rsidRPr="004E6649">
        <w:rPr>
          <w:rFonts w:eastAsia="Franklin Gothic Book" w:cstheme="minorHAnsi"/>
          <w:b/>
          <w:i/>
          <w:spacing w:val="-2"/>
          <w:sz w:val="24"/>
        </w:rPr>
        <w:t>a</w:t>
      </w:r>
      <w:r w:rsidRPr="004E6649">
        <w:rPr>
          <w:rFonts w:eastAsia="Franklin Gothic Book" w:cstheme="minorHAnsi"/>
          <w:b/>
          <w:i/>
          <w:sz w:val="24"/>
        </w:rPr>
        <w:t>bili</w:t>
      </w:r>
      <w:r w:rsidRPr="004E6649">
        <w:rPr>
          <w:rFonts w:eastAsia="Franklin Gothic Book" w:cstheme="minorHAnsi"/>
          <w:b/>
          <w:i/>
          <w:spacing w:val="-2"/>
          <w:sz w:val="24"/>
        </w:rPr>
        <w:t>t</w:t>
      </w:r>
      <w:r w:rsidRPr="004E6649">
        <w:rPr>
          <w:rFonts w:eastAsia="Franklin Gothic Book" w:cstheme="minorHAnsi"/>
          <w:b/>
          <w:i/>
          <w:sz w:val="24"/>
        </w:rPr>
        <w:t>y</w:t>
      </w:r>
      <w:r w:rsidRPr="004E6649">
        <w:rPr>
          <w:rFonts w:eastAsia="Franklin Gothic Book" w:cstheme="minorHAnsi"/>
          <w:b/>
          <w:i/>
          <w:spacing w:val="-6"/>
          <w:sz w:val="24"/>
        </w:rPr>
        <w:t xml:space="preserve"> </w:t>
      </w:r>
      <w:r w:rsidRPr="004E6649">
        <w:rPr>
          <w:rFonts w:eastAsia="Franklin Gothic Book" w:cstheme="minorHAnsi"/>
          <w:b/>
          <w:i/>
          <w:spacing w:val="-2"/>
          <w:sz w:val="24"/>
        </w:rPr>
        <w:t>t</w:t>
      </w:r>
      <w:r w:rsidRPr="004E6649">
        <w:rPr>
          <w:rFonts w:eastAsia="Franklin Gothic Book" w:cstheme="minorHAnsi"/>
          <w:b/>
          <w:i/>
          <w:sz w:val="24"/>
        </w:rPr>
        <w:t>o</w:t>
      </w:r>
      <w:r w:rsidRPr="004E6649">
        <w:rPr>
          <w:rFonts w:eastAsia="Franklin Gothic Book" w:cstheme="minorHAnsi"/>
          <w:b/>
          <w:i/>
          <w:spacing w:val="-6"/>
          <w:sz w:val="24"/>
        </w:rPr>
        <w:t xml:space="preserve"> </w:t>
      </w:r>
      <w:r w:rsidRPr="004E6649">
        <w:rPr>
          <w:rFonts w:eastAsia="Franklin Gothic Book" w:cstheme="minorHAnsi"/>
          <w:b/>
          <w:i/>
          <w:spacing w:val="-1"/>
          <w:sz w:val="24"/>
        </w:rPr>
        <w:t>c</w:t>
      </w:r>
      <w:r w:rsidRPr="004E6649">
        <w:rPr>
          <w:rFonts w:eastAsia="Franklin Gothic Book" w:cstheme="minorHAnsi"/>
          <w:b/>
          <w:i/>
          <w:sz w:val="24"/>
        </w:rPr>
        <w:t>h</w:t>
      </w:r>
      <w:r w:rsidRPr="004E6649">
        <w:rPr>
          <w:rFonts w:eastAsia="Franklin Gothic Book" w:cstheme="minorHAnsi"/>
          <w:b/>
          <w:i/>
          <w:spacing w:val="-2"/>
          <w:sz w:val="24"/>
        </w:rPr>
        <w:t>an</w:t>
      </w:r>
      <w:r w:rsidRPr="004E6649">
        <w:rPr>
          <w:rFonts w:eastAsia="Franklin Gothic Book" w:cstheme="minorHAnsi"/>
          <w:b/>
          <w:i/>
          <w:sz w:val="24"/>
        </w:rPr>
        <w:t>ges</w:t>
      </w:r>
      <w:r w:rsidRPr="004E6649">
        <w:rPr>
          <w:rFonts w:eastAsia="Franklin Gothic Book" w:cstheme="minorHAnsi"/>
          <w:b/>
          <w:i/>
          <w:spacing w:val="-6"/>
          <w:sz w:val="24"/>
        </w:rPr>
        <w:t xml:space="preserve"> </w:t>
      </w:r>
      <w:r w:rsidRPr="004E6649">
        <w:rPr>
          <w:rFonts w:eastAsia="Franklin Gothic Book" w:cstheme="minorHAnsi"/>
          <w:b/>
          <w:i/>
          <w:sz w:val="24"/>
        </w:rPr>
        <w:t>in</w:t>
      </w:r>
      <w:r w:rsidRPr="004E6649">
        <w:rPr>
          <w:rFonts w:eastAsia="Franklin Gothic Book" w:cstheme="minorHAnsi"/>
          <w:b/>
          <w:i/>
          <w:spacing w:val="-6"/>
          <w:sz w:val="24"/>
        </w:rPr>
        <w:t xml:space="preserve"> </w:t>
      </w:r>
      <w:r w:rsidRPr="004E6649">
        <w:rPr>
          <w:rFonts w:eastAsia="Franklin Gothic Book" w:cstheme="minorHAnsi"/>
          <w:b/>
          <w:i/>
          <w:spacing w:val="-2"/>
          <w:sz w:val="24"/>
        </w:rPr>
        <w:t>t</w:t>
      </w:r>
      <w:r w:rsidRPr="004E6649">
        <w:rPr>
          <w:rFonts w:eastAsia="Franklin Gothic Book" w:cstheme="minorHAnsi"/>
          <w:b/>
          <w:i/>
          <w:sz w:val="24"/>
        </w:rPr>
        <w:t>he</w:t>
      </w:r>
      <w:r w:rsidRPr="004E6649">
        <w:rPr>
          <w:rFonts w:eastAsia="Franklin Gothic Book" w:cstheme="minorHAnsi"/>
          <w:b/>
          <w:i/>
          <w:spacing w:val="-6"/>
          <w:sz w:val="24"/>
        </w:rPr>
        <w:t xml:space="preserve"> d</w:t>
      </w:r>
      <w:r w:rsidRPr="004E6649">
        <w:rPr>
          <w:rFonts w:eastAsia="Franklin Gothic Book" w:cstheme="minorHAnsi"/>
          <w:b/>
          <w:i/>
          <w:sz w:val="24"/>
        </w:rPr>
        <w:t>i</w:t>
      </w:r>
      <w:r w:rsidRPr="004E6649">
        <w:rPr>
          <w:rFonts w:eastAsia="Franklin Gothic Book" w:cstheme="minorHAnsi"/>
          <w:b/>
          <w:i/>
          <w:spacing w:val="-1"/>
          <w:sz w:val="24"/>
        </w:rPr>
        <w:t>sc</w:t>
      </w:r>
      <w:r w:rsidRPr="004E6649">
        <w:rPr>
          <w:rFonts w:eastAsia="Franklin Gothic Book" w:cstheme="minorHAnsi"/>
          <w:b/>
          <w:i/>
          <w:sz w:val="24"/>
        </w:rPr>
        <w:t>ou</w:t>
      </w:r>
      <w:r w:rsidRPr="004E6649">
        <w:rPr>
          <w:rFonts w:eastAsia="Franklin Gothic Book" w:cstheme="minorHAnsi"/>
          <w:b/>
          <w:i/>
          <w:spacing w:val="-2"/>
          <w:sz w:val="24"/>
        </w:rPr>
        <w:t>n</w:t>
      </w:r>
      <w:r w:rsidRPr="004E6649">
        <w:rPr>
          <w:rFonts w:eastAsia="Franklin Gothic Book" w:cstheme="minorHAnsi"/>
          <w:b/>
          <w:i/>
          <w:sz w:val="24"/>
        </w:rPr>
        <w:t>t</w:t>
      </w:r>
      <w:r w:rsidRPr="004E6649">
        <w:rPr>
          <w:rFonts w:eastAsia="Franklin Gothic Book" w:cstheme="minorHAnsi"/>
          <w:b/>
          <w:i/>
          <w:spacing w:val="-6"/>
          <w:sz w:val="24"/>
        </w:rPr>
        <w:t xml:space="preserve"> </w:t>
      </w:r>
      <w:r w:rsidRPr="004E6649">
        <w:rPr>
          <w:rFonts w:eastAsia="Franklin Gothic Book" w:cstheme="minorHAnsi"/>
          <w:b/>
          <w:i/>
          <w:sz w:val="24"/>
        </w:rPr>
        <w:t>r</w:t>
      </w:r>
      <w:r w:rsidRPr="004E6649">
        <w:rPr>
          <w:rFonts w:eastAsia="Franklin Gothic Book" w:cstheme="minorHAnsi"/>
          <w:b/>
          <w:i/>
          <w:spacing w:val="-2"/>
          <w:sz w:val="24"/>
        </w:rPr>
        <w:t>at</w:t>
      </w:r>
      <w:r w:rsidRPr="004E6649">
        <w:rPr>
          <w:rFonts w:eastAsia="Franklin Gothic Book" w:cstheme="minorHAnsi"/>
          <w:b/>
          <w:i/>
          <w:sz w:val="24"/>
        </w:rPr>
        <w:t xml:space="preserve">e: </w:t>
      </w:r>
      <w:r w:rsidRPr="004E6649">
        <w:rPr>
          <w:rFonts w:eastAsia="Times New Roman" w:cstheme="minorHAnsi"/>
          <w:spacing w:val="-1"/>
          <w:sz w:val="24"/>
        </w:rPr>
        <w:t>T</w:t>
      </w:r>
      <w:r w:rsidRPr="004E6649">
        <w:rPr>
          <w:rFonts w:eastAsia="Times New Roman" w:cstheme="minorHAnsi"/>
          <w:sz w:val="24"/>
        </w:rPr>
        <w:t>he</w:t>
      </w:r>
      <w:r w:rsidRPr="004E6649">
        <w:rPr>
          <w:rFonts w:eastAsia="Times New Roman" w:cstheme="minorHAnsi"/>
          <w:spacing w:val="9"/>
          <w:sz w:val="24"/>
        </w:rPr>
        <w:t xml:space="preserve"> </w:t>
      </w:r>
      <w:r w:rsidRPr="004E6649">
        <w:rPr>
          <w:rFonts w:eastAsia="Times New Roman" w:cstheme="minorHAnsi"/>
          <w:sz w:val="24"/>
        </w:rPr>
        <w:t>foll</w:t>
      </w:r>
      <w:r w:rsidRPr="004E6649">
        <w:rPr>
          <w:rFonts w:eastAsia="Times New Roman" w:cstheme="minorHAnsi"/>
          <w:spacing w:val="-1"/>
          <w:sz w:val="24"/>
        </w:rPr>
        <w:t>o</w:t>
      </w:r>
      <w:r w:rsidRPr="004E6649">
        <w:rPr>
          <w:rFonts w:eastAsia="Times New Roman" w:cstheme="minorHAnsi"/>
          <w:sz w:val="24"/>
        </w:rPr>
        <w:t>wing</w:t>
      </w:r>
      <w:r w:rsidRPr="004E6649">
        <w:rPr>
          <w:rFonts w:eastAsia="Times New Roman" w:cstheme="minorHAnsi"/>
          <w:spacing w:val="11"/>
          <w:sz w:val="24"/>
        </w:rPr>
        <w:t xml:space="preserve"> table </w:t>
      </w:r>
      <w:r w:rsidRPr="004E6649">
        <w:rPr>
          <w:rFonts w:eastAsia="Times New Roman" w:cstheme="minorHAnsi"/>
          <w:spacing w:val="-1"/>
          <w:sz w:val="24"/>
        </w:rPr>
        <w:t>pr</w:t>
      </w:r>
      <w:r w:rsidRPr="004E6649">
        <w:rPr>
          <w:rFonts w:eastAsia="Times New Roman" w:cstheme="minorHAnsi"/>
          <w:sz w:val="24"/>
        </w:rPr>
        <w:t>esen</w:t>
      </w:r>
      <w:r w:rsidRPr="004E6649">
        <w:rPr>
          <w:rFonts w:eastAsia="Times New Roman" w:cstheme="minorHAnsi"/>
          <w:spacing w:val="1"/>
          <w:sz w:val="24"/>
        </w:rPr>
        <w:t>t</w:t>
      </w:r>
      <w:r w:rsidRPr="004E6649">
        <w:rPr>
          <w:rFonts w:eastAsia="Times New Roman" w:cstheme="minorHAnsi"/>
          <w:sz w:val="24"/>
        </w:rPr>
        <w:t>s</w:t>
      </w:r>
      <w:r w:rsidRPr="004E6649">
        <w:rPr>
          <w:rFonts w:eastAsia="Times New Roman" w:cstheme="minorHAnsi"/>
          <w:spacing w:val="12"/>
          <w:sz w:val="24"/>
        </w:rPr>
        <w:t xml:space="preserve"> </w:t>
      </w:r>
      <w:r w:rsidRPr="004E6649">
        <w:rPr>
          <w:rFonts w:eastAsia="Times New Roman" w:cstheme="minorHAnsi"/>
          <w:sz w:val="24"/>
        </w:rPr>
        <w:t>the</w:t>
      </w:r>
      <w:r w:rsidRPr="004E6649">
        <w:rPr>
          <w:rFonts w:eastAsia="Times New Roman" w:cstheme="minorHAnsi"/>
          <w:spacing w:val="10"/>
          <w:sz w:val="24"/>
        </w:rPr>
        <w:t xml:space="preserve"> </w:t>
      </w:r>
      <w:r w:rsidRPr="004E6649">
        <w:rPr>
          <w:rFonts w:eastAsia="Times New Roman" w:cstheme="minorHAnsi"/>
          <w:sz w:val="24"/>
        </w:rPr>
        <w:t>total</w:t>
      </w:r>
      <w:r w:rsidRPr="004E6649">
        <w:rPr>
          <w:rFonts w:eastAsia="Times New Roman" w:cstheme="minorHAnsi"/>
          <w:spacing w:val="11"/>
          <w:sz w:val="24"/>
        </w:rPr>
        <w:t xml:space="preserve"> </w:t>
      </w:r>
      <w:r w:rsidRPr="004E6649">
        <w:rPr>
          <w:rFonts w:eastAsia="Times New Roman" w:cstheme="minorHAnsi"/>
          <w:spacing w:val="-1"/>
          <w:sz w:val="24"/>
        </w:rPr>
        <w:t>p</w:t>
      </w:r>
      <w:r w:rsidRPr="004E6649">
        <w:rPr>
          <w:rFonts w:eastAsia="Times New Roman" w:cstheme="minorHAnsi"/>
          <w:sz w:val="24"/>
        </w:rPr>
        <w:t>ension</w:t>
      </w:r>
      <w:r w:rsidRPr="004E6649">
        <w:rPr>
          <w:rFonts w:eastAsia="Times New Roman" w:cstheme="minorHAnsi"/>
          <w:spacing w:val="11"/>
          <w:sz w:val="24"/>
        </w:rPr>
        <w:t xml:space="preserve"> </w:t>
      </w:r>
      <w:r w:rsidRPr="004E6649">
        <w:rPr>
          <w:rFonts w:eastAsia="Times New Roman" w:cstheme="minorHAnsi"/>
          <w:sz w:val="24"/>
        </w:rPr>
        <w:t>liability</w:t>
      </w:r>
      <w:r w:rsidRPr="004E6649">
        <w:rPr>
          <w:rFonts w:eastAsia="Times New Roman" w:cstheme="minorHAnsi"/>
          <w:spacing w:val="10"/>
          <w:sz w:val="24"/>
        </w:rPr>
        <w:t xml:space="preserve"> as of June 30, </w:t>
      </w:r>
      <w:r w:rsidRPr="004E6649">
        <w:rPr>
          <w:rFonts w:eastAsia="Times New Roman" w:cstheme="minorHAnsi"/>
          <w:sz w:val="24"/>
        </w:rPr>
        <w:t>calcula</w:t>
      </w:r>
      <w:r w:rsidRPr="004E6649">
        <w:rPr>
          <w:rFonts w:eastAsia="Times New Roman" w:cstheme="minorHAnsi"/>
          <w:spacing w:val="1"/>
          <w:sz w:val="24"/>
        </w:rPr>
        <w:t>t</w:t>
      </w:r>
      <w:r w:rsidRPr="004E6649">
        <w:rPr>
          <w:rFonts w:eastAsia="Times New Roman" w:cstheme="minorHAnsi"/>
          <w:sz w:val="24"/>
        </w:rPr>
        <w:t>ed</w:t>
      </w:r>
      <w:r w:rsidRPr="004E6649">
        <w:rPr>
          <w:rFonts w:eastAsia="Times New Roman" w:cstheme="minorHAnsi"/>
          <w:spacing w:val="13"/>
          <w:sz w:val="24"/>
        </w:rPr>
        <w:t xml:space="preserve"> </w:t>
      </w:r>
      <w:r w:rsidRPr="004E6649">
        <w:rPr>
          <w:rFonts w:eastAsia="Times New Roman" w:cstheme="minorHAnsi"/>
          <w:sz w:val="24"/>
        </w:rPr>
        <w:t>u</w:t>
      </w:r>
      <w:r w:rsidRPr="004E6649">
        <w:rPr>
          <w:rFonts w:eastAsia="Times New Roman" w:cstheme="minorHAnsi"/>
          <w:spacing w:val="1"/>
          <w:sz w:val="24"/>
        </w:rPr>
        <w:t>s</w:t>
      </w:r>
      <w:r w:rsidRPr="004E6649">
        <w:rPr>
          <w:rFonts w:eastAsia="Times New Roman" w:cstheme="minorHAnsi"/>
          <w:sz w:val="24"/>
        </w:rPr>
        <w:t>ing</w:t>
      </w:r>
      <w:r w:rsidRPr="004E6649">
        <w:rPr>
          <w:rFonts w:eastAsia="Times New Roman" w:cstheme="minorHAnsi"/>
          <w:spacing w:val="11"/>
          <w:sz w:val="24"/>
        </w:rPr>
        <w:t xml:space="preserve"> </w:t>
      </w:r>
      <w:r w:rsidRPr="004E6649">
        <w:rPr>
          <w:rFonts w:eastAsia="Times New Roman" w:cstheme="minorHAnsi"/>
          <w:sz w:val="24"/>
        </w:rPr>
        <w:t>the respective current</w:t>
      </w:r>
      <w:r w:rsidRPr="004E6649">
        <w:rPr>
          <w:rFonts w:eastAsia="Times New Roman" w:cstheme="minorHAnsi"/>
          <w:spacing w:val="12"/>
          <w:sz w:val="24"/>
        </w:rPr>
        <w:t xml:space="preserve"> </w:t>
      </w:r>
      <w:r w:rsidRPr="004E6649">
        <w:rPr>
          <w:rFonts w:eastAsia="Times New Roman" w:cstheme="minorHAnsi"/>
          <w:sz w:val="24"/>
        </w:rPr>
        <w:t>discount</w:t>
      </w:r>
      <w:r w:rsidRPr="004E6649">
        <w:rPr>
          <w:rFonts w:eastAsia="Times New Roman" w:cstheme="minorHAnsi"/>
          <w:spacing w:val="12"/>
          <w:sz w:val="24"/>
        </w:rPr>
        <w:t xml:space="preserve"> </w:t>
      </w:r>
      <w:r w:rsidRPr="004E6649">
        <w:rPr>
          <w:rFonts w:eastAsia="Times New Roman" w:cstheme="minorHAnsi"/>
          <w:spacing w:val="-1"/>
          <w:sz w:val="24"/>
        </w:rPr>
        <w:t>r</w:t>
      </w:r>
      <w:r w:rsidRPr="004E6649">
        <w:rPr>
          <w:rFonts w:eastAsia="Times New Roman" w:cstheme="minorHAnsi"/>
          <w:sz w:val="24"/>
        </w:rPr>
        <w:t>a</w:t>
      </w:r>
      <w:r w:rsidRPr="004E6649">
        <w:rPr>
          <w:rFonts w:eastAsia="Times New Roman" w:cstheme="minorHAnsi"/>
          <w:spacing w:val="1"/>
          <w:sz w:val="24"/>
        </w:rPr>
        <w:t>t</w:t>
      </w:r>
      <w:r w:rsidRPr="004E6649">
        <w:rPr>
          <w:rFonts w:eastAsia="Times New Roman" w:cstheme="minorHAnsi"/>
          <w:sz w:val="24"/>
        </w:rPr>
        <w:t>e</w:t>
      </w:r>
      <w:r w:rsidRPr="004E6649">
        <w:rPr>
          <w:rFonts w:eastAsia="Times New Roman" w:cstheme="minorHAnsi"/>
          <w:spacing w:val="13"/>
          <w:sz w:val="24"/>
        </w:rPr>
        <w:t xml:space="preserve"> </w:t>
      </w:r>
      <w:r w:rsidRPr="004E6649">
        <w:rPr>
          <w:rFonts w:eastAsia="Times New Roman" w:cstheme="minorHAnsi"/>
          <w:sz w:val="24"/>
        </w:rPr>
        <w:t>as</w:t>
      </w:r>
      <w:r w:rsidRPr="004E6649">
        <w:rPr>
          <w:rFonts w:eastAsia="Times New Roman" w:cstheme="minorHAnsi"/>
          <w:spacing w:val="12"/>
          <w:sz w:val="24"/>
        </w:rPr>
        <w:t xml:space="preserve"> </w:t>
      </w:r>
      <w:r w:rsidRPr="004E6649">
        <w:rPr>
          <w:rFonts w:eastAsia="Times New Roman" w:cstheme="minorHAnsi"/>
          <w:sz w:val="24"/>
        </w:rPr>
        <w:t>w</w:t>
      </w:r>
      <w:r w:rsidRPr="004E6649">
        <w:rPr>
          <w:rFonts w:eastAsia="Times New Roman" w:cstheme="minorHAnsi"/>
          <w:spacing w:val="-1"/>
          <w:sz w:val="24"/>
        </w:rPr>
        <w:t>e</w:t>
      </w:r>
      <w:r w:rsidRPr="004E6649">
        <w:rPr>
          <w:rFonts w:eastAsia="Times New Roman" w:cstheme="minorHAnsi"/>
          <w:sz w:val="24"/>
        </w:rPr>
        <w:t>ll</w:t>
      </w:r>
      <w:r w:rsidRPr="004E6649">
        <w:rPr>
          <w:rFonts w:eastAsia="Times New Roman" w:cstheme="minorHAnsi"/>
          <w:spacing w:val="12"/>
          <w:sz w:val="24"/>
        </w:rPr>
        <w:t xml:space="preserve"> </w:t>
      </w:r>
      <w:r w:rsidRPr="004E6649">
        <w:rPr>
          <w:rFonts w:eastAsia="Times New Roman" w:cstheme="minorHAnsi"/>
          <w:sz w:val="24"/>
        </w:rPr>
        <w:t>as</w:t>
      </w:r>
      <w:r w:rsidRPr="004E6649">
        <w:rPr>
          <w:rFonts w:eastAsia="Times New Roman" w:cstheme="minorHAnsi"/>
          <w:spacing w:val="11"/>
          <w:sz w:val="24"/>
        </w:rPr>
        <w:t xml:space="preserve"> </w:t>
      </w:r>
      <w:r w:rsidRPr="004E6649">
        <w:rPr>
          <w:rFonts w:eastAsia="Times New Roman" w:cstheme="minorHAnsi"/>
          <w:sz w:val="24"/>
        </w:rPr>
        <w:t>u</w:t>
      </w:r>
      <w:r w:rsidRPr="004E6649">
        <w:rPr>
          <w:rFonts w:eastAsia="Times New Roman" w:cstheme="minorHAnsi"/>
          <w:spacing w:val="1"/>
          <w:sz w:val="24"/>
        </w:rPr>
        <w:t>s</w:t>
      </w:r>
      <w:r w:rsidRPr="004E6649">
        <w:rPr>
          <w:rFonts w:eastAsia="Times New Roman" w:cstheme="minorHAnsi"/>
          <w:sz w:val="24"/>
        </w:rPr>
        <w:t>ing</w:t>
      </w:r>
      <w:r w:rsidRPr="004E6649">
        <w:rPr>
          <w:rFonts w:eastAsia="Times New Roman" w:cstheme="minorHAnsi"/>
          <w:spacing w:val="6"/>
          <w:sz w:val="24"/>
        </w:rPr>
        <w:t xml:space="preserve"> </w:t>
      </w:r>
      <w:r w:rsidRPr="004E6649">
        <w:rPr>
          <w:rFonts w:eastAsia="Times New Roman" w:cstheme="minorHAnsi"/>
          <w:sz w:val="24"/>
        </w:rPr>
        <w:t>a</w:t>
      </w:r>
      <w:r w:rsidRPr="004E6649">
        <w:rPr>
          <w:rFonts w:eastAsia="Times New Roman" w:cstheme="minorHAnsi"/>
          <w:spacing w:val="8"/>
          <w:sz w:val="24"/>
        </w:rPr>
        <w:t xml:space="preserve"> </w:t>
      </w:r>
      <w:r w:rsidRPr="004E6649">
        <w:rPr>
          <w:rFonts w:eastAsia="Times New Roman" w:cstheme="minorHAnsi"/>
          <w:sz w:val="24"/>
        </w:rPr>
        <w:t>discount</w:t>
      </w:r>
      <w:r w:rsidRPr="004E6649">
        <w:rPr>
          <w:rFonts w:eastAsia="Times New Roman" w:cstheme="minorHAnsi"/>
          <w:spacing w:val="6"/>
          <w:sz w:val="24"/>
        </w:rPr>
        <w:t xml:space="preserve"> </w:t>
      </w:r>
      <w:r w:rsidRPr="004E6649">
        <w:rPr>
          <w:rFonts w:eastAsia="Times New Roman" w:cstheme="minorHAnsi"/>
          <w:spacing w:val="-1"/>
          <w:sz w:val="24"/>
        </w:rPr>
        <w:t>r</w:t>
      </w:r>
      <w:r w:rsidRPr="004E6649">
        <w:rPr>
          <w:rFonts w:eastAsia="Times New Roman" w:cstheme="minorHAnsi"/>
          <w:sz w:val="24"/>
        </w:rPr>
        <w:t>a</w:t>
      </w:r>
      <w:r w:rsidRPr="004E6649">
        <w:rPr>
          <w:rFonts w:eastAsia="Times New Roman" w:cstheme="minorHAnsi"/>
          <w:spacing w:val="1"/>
          <w:sz w:val="24"/>
        </w:rPr>
        <w:t>t</w:t>
      </w:r>
      <w:r w:rsidRPr="004E6649">
        <w:rPr>
          <w:rFonts w:eastAsia="Times New Roman" w:cstheme="minorHAnsi"/>
          <w:sz w:val="24"/>
        </w:rPr>
        <w:t>e</w:t>
      </w:r>
      <w:r w:rsidRPr="004E6649">
        <w:rPr>
          <w:rFonts w:eastAsia="Times New Roman" w:cstheme="minorHAnsi"/>
          <w:spacing w:val="7"/>
          <w:sz w:val="24"/>
        </w:rPr>
        <w:t xml:space="preserve"> </w:t>
      </w:r>
      <w:r w:rsidRPr="004E6649">
        <w:rPr>
          <w:rFonts w:eastAsia="Times New Roman" w:cstheme="minorHAnsi"/>
          <w:sz w:val="24"/>
        </w:rPr>
        <w:t>1-</w:t>
      </w:r>
      <w:r w:rsidRPr="004E6649">
        <w:rPr>
          <w:rFonts w:eastAsia="Times New Roman" w:cstheme="minorHAnsi"/>
          <w:spacing w:val="-1"/>
          <w:sz w:val="24"/>
        </w:rPr>
        <w:t>p</w:t>
      </w:r>
      <w:r w:rsidRPr="004E6649">
        <w:rPr>
          <w:rFonts w:eastAsia="Times New Roman" w:cstheme="minorHAnsi"/>
          <w:sz w:val="24"/>
        </w:rPr>
        <w:t>e</w:t>
      </w:r>
      <w:r w:rsidRPr="004E6649">
        <w:rPr>
          <w:rFonts w:eastAsia="Times New Roman" w:cstheme="minorHAnsi"/>
          <w:spacing w:val="-2"/>
          <w:sz w:val="24"/>
        </w:rPr>
        <w:t>r</w:t>
      </w:r>
      <w:r w:rsidRPr="004E6649">
        <w:rPr>
          <w:rFonts w:eastAsia="Times New Roman" w:cstheme="minorHAnsi"/>
          <w:sz w:val="24"/>
        </w:rPr>
        <w:t>centage</w:t>
      </w:r>
      <w:r w:rsidRPr="004E6649">
        <w:rPr>
          <w:rFonts w:eastAsia="Times New Roman" w:cstheme="minorHAnsi"/>
          <w:spacing w:val="7"/>
          <w:sz w:val="24"/>
        </w:rPr>
        <w:t xml:space="preserve"> </w:t>
      </w:r>
      <w:r w:rsidRPr="004E6649">
        <w:rPr>
          <w:rFonts w:eastAsia="Times New Roman" w:cstheme="minorHAnsi"/>
          <w:spacing w:val="-1"/>
          <w:sz w:val="24"/>
        </w:rPr>
        <w:t>p</w:t>
      </w:r>
      <w:r w:rsidRPr="004E6649">
        <w:rPr>
          <w:rFonts w:eastAsia="Times New Roman" w:cstheme="minorHAnsi"/>
          <w:sz w:val="24"/>
        </w:rPr>
        <w:t>oint</w:t>
      </w:r>
      <w:r w:rsidRPr="004E6649">
        <w:rPr>
          <w:rFonts w:eastAsia="Times New Roman" w:cstheme="minorHAnsi"/>
          <w:spacing w:val="8"/>
          <w:sz w:val="24"/>
        </w:rPr>
        <w:t xml:space="preserve"> </w:t>
      </w:r>
      <w:r w:rsidRPr="004E6649">
        <w:rPr>
          <w:rFonts w:eastAsia="Times New Roman" w:cstheme="minorHAnsi"/>
          <w:sz w:val="24"/>
        </w:rPr>
        <w:t>l</w:t>
      </w:r>
      <w:r w:rsidRPr="004E6649">
        <w:rPr>
          <w:rFonts w:eastAsia="Times New Roman" w:cstheme="minorHAnsi"/>
          <w:spacing w:val="-1"/>
          <w:sz w:val="24"/>
        </w:rPr>
        <w:t>o</w:t>
      </w:r>
      <w:r w:rsidRPr="004E6649">
        <w:rPr>
          <w:rFonts w:eastAsia="Times New Roman" w:cstheme="minorHAnsi"/>
          <w:sz w:val="24"/>
        </w:rPr>
        <w:t>w</w:t>
      </w:r>
      <w:r w:rsidRPr="004E6649">
        <w:rPr>
          <w:rFonts w:eastAsia="Times New Roman" w:cstheme="minorHAnsi"/>
          <w:spacing w:val="-1"/>
          <w:sz w:val="24"/>
        </w:rPr>
        <w:t>e</w:t>
      </w:r>
      <w:r w:rsidRPr="004E6649">
        <w:rPr>
          <w:rFonts w:eastAsia="Times New Roman" w:cstheme="minorHAnsi"/>
          <w:sz w:val="24"/>
        </w:rPr>
        <w:t>r</w:t>
      </w:r>
      <w:r w:rsidRPr="004E6649">
        <w:rPr>
          <w:rFonts w:eastAsia="Times New Roman" w:cstheme="minorHAnsi"/>
          <w:spacing w:val="5"/>
          <w:sz w:val="24"/>
        </w:rPr>
        <w:t xml:space="preserve"> </w:t>
      </w:r>
      <w:r w:rsidRPr="004E6649">
        <w:rPr>
          <w:rFonts w:eastAsia="Times New Roman" w:cstheme="minorHAnsi"/>
          <w:sz w:val="24"/>
        </w:rPr>
        <w:t>or</w:t>
      </w:r>
      <w:r w:rsidRPr="004E6649">
        <w:rPr>
          <w:rFonts w:eastAsia="Times New Roman" w:cstheme="minorHAnsi"/>
          <w:spacing w:val="-8"/>
          <w:sz w:val="24"/>
        </w:rPr>
        <w:t xml:space="preserve"> </w:t>
      </w:r>
      <w:r w:rsidRPr="004E6649">
        <w:rPr>
          <w:rFonts w:eastAsia="Times New Roman" w:cstheme="minorHAnsi"/>
          <w:sz w:val="24"/>
        </w:rPr>
        <w:t>1-</w:t>
      </w:r>
      <w:r w:rsidRPr="004E6649">
        <w:rPr>
          <w:rFonts w:eastAsia="Times New Roman" w:cstheme="minorHAnsi"/>
          <w:spacing w:val="-1"/>
          <w:sz w:val="24"/>
        </w:rPr>
        <w:t>p</w:t>
      </w:r>
      <w:r w:rsidRPr="004E6649">
        <w:rPr>
          <w:rFonts w:eastAsia="Times New Roman" w:cstheme="minorHAnsi"/>
          <w:sz w:val="24"/>
        </w:rPr>
        <w:t>e</w:t>
      </w:r>
      <w:r w:rsidRPr="004E6649">
        <w:rPr>
          <w:rFonts w:eastAsia="Times New Roman" w:cstheme="minorHAnsi"/>
          <w:spacing w:val="-2"/>
          <w:sz w:val="24"/>
        </w:rPr>
        <w:t>r</w:t>
      </w:r>
      <w:r w:rsidRPr="004E6649">
        <w:rPr>
          <w:rFonts w:eastAsia="Times New Roman" w:cstheme="minorHAnsi"/>
          <w:sz w:val="24"/>
        </w:rPr>
        <w:t>centage</w:t>
      </w:r>
      <w:r w:rsidRPr="004E6649">
        <w:rPr>
          <w:rFonts w:eastAsia="Times New Roman" w:cstheme="minorHAnsi"/>
          <w:spacing w:val="-6"/>
          <w:sz w:val="24"/>
        </w:rPr>
        <w:t xml:space="preserve"> </w:t>
      </w:r>
      <w:r w:rsidRPr="004E6649">
        <w:rPr>
          <w:rFonts w:eastAsia="Times New Roman" w:cstheme="minorHAnsi"/>
          <w:spacing w:val="-1"/>
          <w:sz w:val="24"/>
        </w:rPr>
        <w:t>p</w:t>
      </w:r>
      <w:r w:rsidRPr="004E6649">
        <w:rPr>
          <w:rFonts w:eastAsia="Times New Roman" w:cstheme="minorHAnsi"/>
          <w:sz w:val="24"/>
        </w:rPr>
        <w:t>oint</w:t>
      </w:r>
      <w:r w:rsidRPr="004E6649">
        <w:rPr>
          <w:rFonts w:eastAsia="Times New Roman" w:cstheme="minorHAnsi"/>
          <w:spacing w:val="-6"/>
          <w:sz w:val="24"/>
        </w:rPr>
        <w:t xml:space="preserve"> </w:t>
      </w:r>
      <w:r w:rsidRPr="004E6649">
        <w:rPr>
          <w:rFonts w:eastAsia="Times New Roman" w:cstheme="minorHAnsi"/>
          <w:sz w:val="24"/>
        </w:rPr>
        <w:t>higher</w:t>
      </w:r>
      <w:r w:rsidRPr="004E6649">
        <w:rPr>
          <w:rFonts w:eastAsia="Times New Roman" w:cstheme="minorHAnsi"/>
          <w:spacing w:val="-6"/>
          <w:sz w:val="24"/>
        </w:rPr>
        <w:t xml:space="preserve"> </w:t>
      </w:r>
      <w:r w:rsidRPr="004E6649">
        <w:rPr>
          <w:rFonts w:eastAsia="Times New Roman" w:cstheme="minorHAnsi"/>
          <w:spacing w:val="1"/>
          <w:sz w:val="24"/>
        </w:rPr>
        <w:t>t</w:t>
      </w:r>
      <w:r w:rsidRPr="004E6649">
        <w:rPr>
          <w:rFonts w:eastAsia="Times New Roman" w:cstheme="minorHAnsi"/>
          <w:sz w:val="24"/>
        </w:rPr>
        <w:t>han</w:t>
      </w:r>
      <w:r w:rsidRPr="004E6649">
        <w:rPr>
          <w:rFonts w:eastAsia="Times New Roman" w:cstheme="minorHAnsi"/>
          <w:spacing w:val="-6"/>
          <w:sz w:val="24"/>
        </w:rPr>
        <w:t xml:space="preserve"> </w:t>
      </w:r>
      <w:r w:rsidRPr="004E6649">
        <w:rPr>
          <w:rFonts w:eastAsia="Times New Roman" w:cstheme="minorHAnsi"/>
          <w:sz w:val="24"/>
        </w:rPr>
        <w:t>the</w:t>
      </w:r>
      <w:r w:rsidRPr="004E6649">
        <w:rPr>
          <w:rFonts w:eastAsia="Times New Roman" w:cstheme="minorHAnsi"/>
          <w:spacing w:val="-6"/>
          <w:sz w:val="24"/>
        </w:rPr>
        <w:t xml:space="preserve"> </w:t>
      </w:r>
      <w:r w:rsidRPr="004E6649">
        <w:rPr>
          <w:rFonts w:eastAsia="Times New Roman" w:cstheme="minorHAnsi"/>
          <w:spacing w:val="1"/>
          <w:sz w:val="24"/>
        </w:rPr>
        <w:t>c</w:t>
      </w:r>
      <w:r w:rsidRPr="004E6649">
        <w:rPr>
          <w:rFonts w:eastAsia="Times New Roman" w:cstheme="minorHAnsi"/>
          <w:sz w:val="24"/>
        </w:rPr>
        <w:t>u</w:t>
      </w:r>
      <w:r w:rsidRPr="004E6649">
        <w:rPr>
          <w:rFonts w:eastAsia="Times New Roman" w:cstheme="minorHAnsi"/>
          <w:spacing w:val="-1"/>
          <w:sz w:val="24"/>
        </w:rPr>
        <w:t>rr</w:t>
      </w:r>
      <w:r w:rsidRPr="004E6649">
        <w:rPr>
          <w:rFonts w:eastAsia="Times New Roman" w:cstheme="minorHAnsi"/>
          <w:sz w:val="24"/>
        </w:rPr>
        <w:t>ent</w:t>
      </w:r>
      <w:r w:rsidRPr="004E6649">
        <w:rPr>
          <w:rFonts w:eastAsia="Times New Roman" w:cstheme="minorHAnsi"/>
          <w:spacing w:val="-6"/>
          <w:sz w:val="24"/>
        </w:rPr>
        <w:t xml:space="preserve"> </w:t>
      </w:r>
      <w:r w:rsidRPr="004E6649">
        <w:rPr>
          <w:rFonts w:eastAsia="Times New Roman" w:cstheme="minorHAnsi"/>
          <w:spacing w:val="-1"/>
          <w:sz w:val="24"/>
        </w:rPr>
        <w:t>r</w:t>
      </w:r>
      <w:r w:rsidRPr="004E6649">
        <w:rPr>
          <w:rFonts w:eastAsia="Times New Roman" w:cstheme="minorHAnsi"/>
          <w:sz w:val="24"/>
        </w:rPr>
        <w:t>a</w:t>
      </w:r>
      <w:r w:rsidRPr="004E6649">
        <w:rPr>
          <w:rFonts w:eastAsia="Times New Roman" w:cstheme="minorHAnsi"/>
          <w:spacing w:val="1"/>
          <w:sz w:val="24"/>
        </w:rPr>
        <w:t>t</w:t>
      </w:r>
      <w:r w:rsidRPr="004E6649">
        <w:rPr>
          <w:rFonts w:eastAsia="Times New Roman" w:cstheme="minorHAnsi"/>
          <w:sz w:val="24"/>
        </w:rPr>
        <w:t>e:</w:t>
      </w:r>
      <w:r w:rsidRPr="004E6649">
        <w:rPr>
          <w:rFonts w:eastAsia="Franklin Gothic Book" w:cstheme="minorHAnsi"/>
          <w:spacing w:val="1"/>
          <w:sz w:val="24"/>
        </w:rPr>
        <w:fldChar w:fldCharType="begin"/>
      </w:r>
      <w:r w:rsidRPr="004E6649">
        <w:rPr>
          <w:rFonts w:eastAsia="Franklin Gothic Book" w:cstheme="minorHAnsi"/>
          <w:spacing w:val="1"/>
          <w:sz w:val="24"/>
        </w:rPr>
        <w:fldChar w:fldCharType="end"/>
      </w:r>
    </w:p>
    <w:tbl>
      <w:tblPr>
        <w:tblW w:w="9180" w:type="dxa"/>
        <w:jc w:val="center"/>
        <w:tblLayout w:type="fixed"/>
        <w:tblLook w:val="04A0" w:firstRow="1" w:lastRow="0" w:firstColumn="1" w:lastColumn="0" w:noHBand="0" w:noVBand="1"/>
      </w:tblPr>
      <w:tblGrid>
        <w:gridCol w:w="2250"/>
        <w:gridCol w:w="1170"/>
        <w:gridCol w:w="1170"/>
        <w:gridCol w:w="1175"/>
        <w:gridCol w:w="24"/>
        <w:gridCol w:w="1051"/>
        <w:gridCol w:w="1080"/>
        <w:gridCol w:w="34"/>
        <w:gridCol w:w="1226"/>
      </w:tblGrid>
      <w:tr w:rsidR="001B6918" w:rsidRPr="004E6649" w14:paraId="1673BE3F" w14:textId="77777777" w:rsidTr="00730ECF">
        <w:trPr>
          <w:trHeight w:val="316"/>
          <w:tblHeader/>
          <w:jc w:val="center"/>
        </w:trPr>
        <w:tc>
          <w:tcPr>
            <w:tcW w:w="2250" w:type="dxa"/>
            <w:tcBorders>
              <w:top w:val="nil"/>
              <w:left w:val="nil"/>
              <w:bottom w:val="nil"/>
              <w:right w:val="nil"/>
            </w:tcBorders>
            <w:noWrap/>
            <w:vAlign w:val="bottom"/>
            <w:hideMark/>
          </w:tcPr>
          <w:p w14:paraId="53C5DDCE" w14:textId="77777777" w:rsidR="001B6918" w:rsidRPr="004E6649" w:rsidRDefault="001B6918" w:rsidP="00730ECF">
            <w:pPr>
              <w:rPr>
                <w:rFonts w:eastAsia="Times New Roman" w:cstheme="minorHAnsi"/>
                <w:sz w:val="20"/>
                <w:szCs w:val="20"/>
              </w:rPr>
            </w:pPr>
          </w:p>
        </w:tc>
        <w:tc>
          <w:tcPr>
            <w:tcW w:w="3515" w:type="dxa"/>
            <w:gridSpan w:val="3"/>
            <w:tcBorders>
              <w:top w:val="nil"/>
              <w:left w:val="nil"/>
              <w:bottom w:val="single" w:sz="4" w:space="0" w:color="auto"/>
              <w:right w:val="nil"/>
            </w:tcBorders>
            <w:noWrap/>
            <w:vAlign w:val="bottom"/>
            <w:hideMark/>
          </w:tcPr>
          <w:p w14:paraId="68DB0A37" w14:textId="77777777" w:rsidR="001B6918" w:rsidRPr="004E6649" w:rsidRDefault="001B6918" w:rsidP="00730ECF">
            <w:pPr>
              <w:jc w:val="center"/>
              <w:rPr>
                <w:rFonts w:eastAsia="Times New Roman" w:cstheme="minorHAnsi"/>
                <w:b/>
                <w:bCs/>
                <w:color w:val="0D0D0D"/>
                <w:sz w:val="20"/>
                <w:szCs w:val="20"/>
              </w:rPr>
            </w:pPr>
            <w:r w:rsidRPr="004E6649">
              <w:rPr>
                <w:rFonts w:eastAsia="Times New Roman" w:cstheme="minorHAnsi"/>
                <w:b/>
                <w:bCs/>
                <w:color w:val="0D0D0D"/>
                <w:sz w:val="20"/>
                <w:szCs w:val="20"/>
              </w:rPr>
              <w:t>June 30, 202</w:t>
            </w:r>
            <w:r>
              <w:rPr>
                <w:rFonts w:eastAsia="Times New Roman" w:cstheme="minorHAnsi"/>
                <w:b/>
                <w:bCs/>
                <w:color w:val="0D0D0D"/>
                <w:sz w:val="20"/>
                <w:szCs w:val="20"/>
              </w:rPr>
              <w:t>5</w:t>
            </w:r>
          </w:p>
        </w:tc>
        <w:tc>
          <w:tcPr>
            <w:tcW w:w="3415" w:type="dxa"/>
            <w:gridSpan w:val="5"/>
            <w:tcBorders>
              <w:top w:val="nil"/>
              <w:left w:val="nil"/>
              <w:bottom w:val="single" w:sz="4" w:space="0" w:color="auto"/>
              <w:right w:val="nil"/>
            </w:tcBorders>
            <w:shd w:val="clear" w:color="auto" w:fill="F2F2F2" w:themeFill="background1" w:themeFillShade="F2"/>
            <w:noWrap/>
            <w:vAlign w:val="bottom"/>
            <w:hideMark/>
          </w:tcPr>
          <w:p w14:paraId="3623CCC7" w14:textId="77777777" w:rsidR="001B6918" w:rsidRPr="004E6649" w:rsidRDefault="001B6918" w:rsidP="00730ECF">
            <w:pPr>
              <w:jc w:val="center"/>
              <w:rPr>
                <w:rFonts w:eastAsia="Times New Roman" w:cstheme="minorHAnsi"/>
                <w:b/>
                <w:bCs/>
                <w:color w:val="0D0D0D"/>
                <w:sz w:val="20"/>
                <w:szCs w:val="20"/>
              </w:rPr>
            </w:pPr>
            <w:r w:rsidRPr="004E6649">
              <w:rPr>
                <w:rFonts w:eastAsia="Times New Roman" w:cstheme="minorHAnsi"/>
                <w:b/>
                <w:bCs/>
                <w:color w:val="0D0D0D"/>
                <w:sz w:val="20"/>
                <w:szCs w:val="20"/>
              </w:rPr>
              <w:t>June 30, 202</w:t>
            </w:r>
            <w:r>
              <w:rPr>
                <w:rFonts w:eastAsia="Times New Roman" w:cstheme="minorHAnsi"/>
                <w:b/>
                <w:bCs/>
                <w:color w:val="0D0D0D"/>
                <w:sz w:val="20"/>
                <w:szCs w:val="20"/>
              </w:rPr>
              <w:t>4</w:t>
            </w:r>
          </w:p>
        </w:tc>
      </w:tr>
      <w:tr w:rsidR="001B6918" w:rsidRPr="004E6649" w14:paraId="280FD725" w14:textId="77777777" w:rsidTr="00730ECF">
        <w:trPr>
          <w:trHeight w:val="764"/>
          <w:tblHeader/>
          <w:jc w:val="center"/>
        </w:trPr>
        <w:tc>
          <w:tcPr>
            <w:tcW w:w="2250" w:type="dxa"/>
            <w:tcBorders>
              <w:top w:val="nil"/>
              <w:left w:val="nil"/>
              <w:bottom w:val="nil"/>
              <w:right w:val="nil"/>
            </w:tcBorders>
            <w:shd w:val="clear" w:color="000000" w:fill="FFFFFF"/>
            <w:noWrap/>
            <w:vAlign w:val="bottom"/>
            <w:hideMark/>
          </w:tcPr>
          <w:p w14:paraId="71562317" w14:textId="77777777" w:rsidR="001B6918" w:rsidRPr="004E6649" w:rsidRDefault="001B6918" w:rsidP="00730ECF">
            <w:pPr>
              <w:rPr>
                <w:rFonts w:eastAsia="Times New Roman" w:cstheme="minorHAnsi"/>
                <w:b/>
                <w:bCs/>
                <w:color w:val="0D0D0D"/>
                <w:sz w:val="20"/>
                <w:szCs w:val="20"/>
              </w:rPr>
            </w:pPr>
            <w:r w:rsidRPr="004E6649">
              <w:rPr>
                <w:rFonts w:eastAsia="Times New Roman" w:cstheme="minorHAnsi"/>
                <w:b/>
                <w:bCs/>
                <w:color w:val="0D0D0D"/>
                <w:sz w:val="20"/>
                <w:szCs w:val="20"/>
              </w:rPr>
              <w:t> </w:t>
            </w:r>
          </w:p>
        </w:tc>
        <w:tc>
          <w:tcPr>
            <w:tcW w:w="1170" w:type="dxa"/>
            <w:tcBorders>
              <w:top w:val="nil"/>
              <w:left w:val="nil"/>
              <w:bottom w:val="nil"/>
              <w:right w:val="nil"/>
            </w:tcBorders>
            <w:shd w:val="clear" w:color="000000" w:fill="FFFFFF"/>
            <w:vAlign w:val="bottom"/>
            <w:hideMark/>
          </w:tcPr>
          <w:p w14:paraId="108D3001" w14:textId="77777777" w:rsidR="001B6918" w:rsidRPr="004E6649" w:rsidRDefault="001B6918" w:rsidP="00730ECF">
            <w:pPr>
              <w:jc w:val="center"/>
              <w:rPr>
                <w:rFonts w:eastAsia="Times New Roman" w:cstheme="minorHAnsi"/>
                <w:bCs/>
                <w:color w:val="0D0D0D"/>
                <w:sz w:val="20"/>
                <w:szCs w:val="20"/>
              </w:rPr>
            </w:pPr>
            <w:r w:rsidRPr="004E6649">
              <w:rPr>
                <w:rFonts w:cstheme="minorHAnsi"/>
                <w:bCs/>
                <w:sz w:val="20"/>
                <w:szCs w:val="20"/>
              </w:rPr>
              <w:t>1%</w:t>
            </w:r>
            <w:r>
              <w:rPr>
                <w:rFonts w:cstheme="minorHAnsi"/>
                <w:bCs/>
                <w:sz w:val="20"/>
                <w:szCs w:val="20"/>
              </w:rPr>
              <w:t xml:space="preserve"> </w:t>
            </w:r>
            <w:r w:rsidRPr="004E6649">
              <w:rPr>
                <w:rFonts w:cstheme="minorHAnsi"/>
                <w:bCs/>
                <w:sz w:val="20"/>
                <w:szCs w:val="20"/>
              </w:rPr>
              <w:t>Decrease</w:t>
            </w:r>
          </w:p>
        </w:tc>
        <w:tc>
          <w:tcPr>
            <w:tcW w:w="1170" w:type="dxa"/>
            <w:tcBorders>
              <w:top w:val="nil"/>
              <w:left w:val="nil"/>
              <w:bottom w:val="nil"/>
              <w:right w:val="nil"/>
            </w:tcBorders>
            <w:shd w:val="clear" w:color="000000" w:fill="FFFFFF"/>
            <w:vAlign w:val="bottom"/>
            <w:hideMark/>
          </w:tcPr>
          <w:p w14:paraId="13775994" w14:textId="77777777" w:rsidR="001B6918" w:rsidRPr="004E6649" w:rsidRDefault="001B6918" w:rsidP="00730ECF">
            <w:pPr>
              <w:jc w:val="center"/>
              <w:rPr>
                <w:rFonts w:cstheme="minorHAnsi"/>
                <w:bCs/>
                <w:sz w:val="20"/>
                <w:szCs w:val="20"/>
              </w:rPr>
            </w:pPr>
            <w:r w:rsidRPr="004E6649">
              <w:rPr>
                <w:rFonts w:cstheme="minorHAnsi"/>
                <w:bCs/>
                <w:sz w:val="20"/>
                <w:szCs w:val="20"/>
              </w:rPr>
              <w:t>Current Discount Rate</w:t>
            </w:r>
          </w:p>
        </w:tc>
        <w:tc>
          <w:tcPr>
            <w:tcW w:w="1199" w:type="dxa"/>
            <w:gridSpan w:val="2"/>
            <w:tcBorders>
              <w:top w:val="nil"/>
              <w:left w:val="nil"/>
              <w:bottom w:val="nil"/>
              <w:right w:val="nil"/>
            </w:tcBorders>
            <w:shd w:val="clear" w:color="000000" w:fill="FFFFFF"/>
            <w:vAlign w:val="bottom"/>
            <w:hideMark/>
          </w:tcPr>
          <w:p w14:paraId="64B4339E" w14:textId="77777777" w:rsidR="001B6918" w:rsidRPr="004E6649" w:rsidRDefault="001B6918" w:rsidP="00730ECF">
            <w:pPr>
              <w:jc w:val="center"/>
              <w:rPr>
                <w:rFonts w:eastAsia="Times New Roman" w:cstheme="minorHAnsi"/>
                <w:bCs/>
                <w:color w:val="0D0D0D"/>
                <w:sz w:val="20"/>
                <w:szCs w:val="20"/>
              </w:rPr>
            </w:pPr>
            <w:r w:rsidRPr="004E6649">
              <w:rPr>
                <w:rFonts w:cstheme="minorHAnsi"/>
                <w:bCs/>
                <w:sz w:val="20"/>
                <w:szCs w:val="20"/>
              </w:rPr>
              <w:t>1% Increase</w:t>
            </w:r>
          </w:p>
        </w:tc>
        <w:tc>
          <w:tcPr>
            <w:tcW w:w="1051" w:type="dxa"/>
            <w:tcBorders>
              <w:top w:val="nil"/>
              <w:left w:val="nil"/>
              <w:bottom w:val="nil"/>
              <w:right w:val="nil"/>
            </w:tcBorders>
            <w:shd w:val="clear" w:color="auto" w:fill="F2F2F2" w:themeFill="background1" w:themeFillShade="F2"/>
            <w:vAlign w:val="bottom"/>
            <w:hideMark/>
          </w:tcPr>
          <w:p w14:paraId="702D1EB8" w14:textId="77777777" w:rsidR="001B6918" w:rsidRPr="004E6649" w:rsidRDefault="001B6918" w:rsidP="00730ECF">
            <w:pPr>
              <w:jc w:val="center"/>
              <w:rPr>
                <w:rFonts w:eastAsia="Times New Roman" w:cstheme="minorHAnsi"/>
                <w:bCs/>
                <w:color w:val="0D0D0D"/>
                <w:sz w:val="20"/>
                <w:szCs w:val="20"/>
              </w:rPr>
            </w:pPr>
            <w:r w:rsidRPr="004E6649">
              <w:rPr>
                <w:rFonts w:cstheme="minorHAnsi"/>
                <w:bCs/>
                <w:sz w:val="20"/>
                <w:szCs w:val="20"/>
              </w:rPr>
              <w:t>1%</w:t>
            </w:r>
            <w:r>
              <w:rPr>
                <w:rFonts w:cstheme="minorHAnsi"/>
                <w:bCs/>
                <w:sz w:val="20"/>
                <w:szCs w:val="20"/>
              </w:rPr>
              <w:t xml:space="preserve"> </w:t>
            </w:r>
            <w:r w:rsidRPr="004E6649">
              <w:rPr>
                <w:rFonts w:cstheme="minorHAnsi"/>
                <w:bCs/>
                <w:sz w:val="20"/>
                <w:szCs w:val="20"/>
              </w:rPr>
              <w:t>Decrease</w:t>
            </w:r>
          </w:p>
        </w:tc>
        <w:tc>
          <w:tcPr>
            <w:tcW w:w="1114" w:type="dxa"/>
            <w:gridSpan w:val="2"/>
            <w:tcBorders>
              <w:top w:val="nil"/>
              <w:left w:val="nil"/>
              <w:bottom w:val="nil"/>
              <w:right w:val="nil"/>
            </w:tcBorders>
            <w:shd w:val="clear" w:color="auto" w:fill="F2F2F2" w:themeFill="background1" w:themeFillShade="F2"/>
            <w:vAlign w:val="bottom"/>
            <w:hideMark/>
          </w:tcPr>
          <w:p w14:paraId="0E006F62" w14:textId="77777777" w:rsidR="001B6918" w:rsidRPr="004E6649" w:rsidRDefault="001B6918" w:rsidP="00730ECF">
            <w:pPr>
              <w:jc w:val="center"/>
              <w:rPr>
                <w:rFonts w:eastAsia="Times New Roman" w:cstheme="minorHAnsi"/>
                <w:bCs/>
                <w:color w:val="0D0D0D"/>
                <w:sz w:val="20"/>
                <w:szCs w:val="20"/>
              </w:rPr>
            </w:pPr>
            <w:r w:rsidRPr="004E6649">
              <w:rPr>
                <w:rFonts w:cstheme="minorHAnsi"/>
                <w:bCs/>
                <w:sz w:val="20"/>
                <w:szCs w:val="20"/>
              </w:rPr>
              <w:t>Current Discount Rate</w:t>
            </w:r>
          </w:p>
        </w:tc>
        <w:tc>
          <w:tcPr>
            <w:tcW w:w="1226" w:type="dxa"/>
            <w:tcBorders>
              <w:top w:val="nil"/>
              <w:left w:val="nil"/>
              <w:bottom w:val="nil"/>
              <w:right w:val="nil"/>
            </w:tcBorders>
            <w:shd w:val="clear" w:color="auto" w:fill="F2F2F2" w:themeFill="background1" w:themeFillShade="F2"/>
            <w:vAlign w:val="bottom"/>
            <w:hideMark/>
          </w:tcPr>
          <w:p w14:paraId="41BDC3DD" w14:textId="77777777" w:rsidR="001B6918" w:rsidRPr="004E6649" w:rsidRDefault="001B6918" w:rsidP="00730ECF">
            <w:pPr>
              <w:jc w:val="center"/>
              <w:rPr>
                <w:rFonts w:eastAsia="Times New Roman" w:cstheme="minorHAnsi"/>
                <w:bCs/>
                <w:color w:val="0D0D0D"/>
                <w:sz w:val="20"/>
                <w:szCs w:val="20"/>
              </w:rPr>
            </w:pPr>
            <w:r w:rsidRPr="004E6649">
              <w:rPr>
                <w:rFonts w:cstheme="minorHAnsi"/>
                <w:bCs/>
                <w:sz w:val="20"/>
                <w:szCs w:val="20"/>
              </w:rPr>
              <w:t>1% Increase</w:t>
            </w:r>
          </w:p>
        </w:tc>
      </w:tr>
      <w:tr w:rsidR="001B6918" w:rsidRPr="004E6649" w14:paraId="7A955A32" w14:textId="77777777" w:rsidTr="00730ECF">
        <w:trPr>
          <w:trHeight w:val="177"/>
          <w:tblHeader/>
          <w:jc w:val="center"/>
        </w:trPr>
        <w:tc>
          <w:tcPr>
            <w:tcW w:w="2250" w:type="dxa"/>
            <w:tcBorders>
              <w:top w:val="nil"/>
              <w:left w:val="nil"/>
              <w:bottom w:val="single" w:sz="12" w:space="0" w:color="000000" w:themeColor="text1"/>
              <w:right w:val="nil"/>
            </w:tcBorders>
            <w:shd w:val="clear" w:color="000000" w:fill="FFFFFF"/>
            <w:noWrap/>
            <w:vAlign w:val="bottom"/>
          </w:tcPr>
          <w:p w14:paraId="02BD6277" w14:textId="77777777" w:rsidR="001B6918" w:rsidRPr="004E6649" w:rsidRDefault="001B6918" w:rsidP="00730ECF">
            <w:pPr>
              <w:rPr>
                <w:rFonts w:eastAsia="Times New Roman" w:cstheme="minorHAnsi"/>
                <w:b/>
                <w:bCs/>
                <w:color w:val="0D0D0D"/>
                <w:sz w:val="20"/>
                <w:szCs w:val="20"/>
              </w:rPr>
            </w:pPr>
          </w:p>
        </w:tc>
        <w:tc>
          <w:tcPr>
            <w:tcW w:w="1170" w:type="dxa"/>
            <w:tcBorders>
              <w:top w:val="nil"/>
              <w:left w:val="nil"/>
              <w:bottom w:val="single" w:sz="12" w:space="0" w:color="000000" w:themeColor="text1"/>
              <w:right w:val="nil"/>
            </w:tcBorders>
            <w:shd w:val="clear" w:color="000000" w:fill="FFFFFF"/>
            <w:vAlign w:val="bottom"/>
          </w:tcPr>
          <w:p w14:paraId="36770F4D" w14:textId="77777777" w:rsidR="001B6918" w:rsidRPr="00282799" w:rsidRDefault="001B6918" w:rsidP="00730ECF">
            <w:pPr>
              <w:jc w:val="center"/>
              <w:rPr>
                <w:rFonts w:cstheme="minorHAnsi"/>
                <w:bCs/>
                <w:sz w:val="20"/>
                <w:szCs w:val="20"/>
              </w:rPr>
            </w:pPr>
            <w:r w:rsidRPr="00282799">
              <w:rPr>
                <w:rFonts w:cstheme="minorHAnsi"/>
                <w:bCs/>
                <w:sz w:val="20"/>
                <w:szCs w:val="20"/>
              </w:rPr>
              <w:t>(4.2%)</w:t>
            </w:r>
          </w:p>
        </w:tc>
        <w:tc>
          <w:tcPr>
            <w:tcW w:w="1170" w:type="dxa"/>
            <w:tcBorders>
              <w:top w:val="nil"/>
              <w:left w:val="nil"/>
              <w:bottom w:val="single" w:sz="12" w:space="0" w:color="000000" w:themeColor="text1"/>
              <w:right w:val="nil"/>
            </w:tcBorders>
            <w:shd w:val="clear" w:color="000000" w:fill="FFFFFF"/>
            <w:vAlign w:val="bottom"/>
          </w:tcPr>
          <w:p w14:paraId="1092CCED" w14:textId="77777777" w:rsidR="001B6918" w:rsidRPr="00282799" w:rsidRDefault="001B6918" w:rsidP="00730ECF">
            <w:pPr>
              <w:jc w:val="center"/>
              <w:rPr>
                <w:rFonts w:cstheme="minorHAnsi"/>
                <w:bCs/>
                <w:sz w:val="20"/>
                <w:szCs w:val="20"/>
              </w:rPr>
            </w:pPr>
            <w:r w:rsidRPr="00282799">
              <w:rPr>
                <w:rFonts w:cstheme="minorHAnsi"/>
                <w:bCs/>
                <w:sz w:val="20"/>
                <w:szCs w:val="20"/>
              </w:rPr>
              <w:t>(5.2%)</w:t>
            </w:r>
          </w:p>
        </w:tc>
        <w:tc>
          <w:tcPr>
            <w:tcW w:w="1199" w:type="dxa"/>
            <w:gridSpan w:val="2"/>
            <w:tcBorders>
              <w:top w:val="nil"/>
              <w:left w:val="nil"/>
              <w:bottom w:val="single" w:sz="12" w:space="0" w:color="000000" w:themeColor="text1"/>
              <w:right w:val="nil"/>
            </w:tcBorders>
            <w:shd w:val="clear" w:color="000000" w:fill="FFFFFF"/>
            <w:vAlign w:val="bottom"/>
          </w:tcPr>
          <w:p w14:paraId="6ACC634E" w14:textId="77777777" w:rsidR="001B6918" w:rsidRPr="00282799" w:rsidRDefault="001B6918" w:rsidP="00730ECF">
            <w:pPr>
              <w:jc w:val="center"/>
              <w:rPr>
                <w:rFonts w:cstheme="minorHAnsi"/>
                <w:bCs/>
                <w:sz w:val="20"/>
                <w:szCs w:val="20"/>
              </w:rPr>
            </w:pPr>
            <w:r w:rsidRPr="00282799">
              <w:rPr>
                <w:rFonts w:cstheme="minorHAnsi"/>
                <w:bCs/>
                <w:sz w:val="20"/>
                <w:szCs w:val="20"/>
              </w:rPr>
              <w:t>(6.2%)</w:t>
            </w:r>
          </w:p>
        </w:tc>
        <w:tc>
          <w:tcPr>
            <w:tcW w:w="1051" w:type="dxa"/>
            <w:tcBorders>
              <w:top w:val="nil"/>
              <w:left w:val="nil"/>
              <w:bottom w:val="single" w:sz="12" w:space="0" w:color="000000" w:themeColor="text1"/>
              <w:right w:val="nil"/>
            </w:tcBorders>
            <w:shd w:val="clear" w:color="auto" w:fill="F2F2F2" w:themeFill="background1" w:themeFillShade="F2"/>
            <w:vAlign w:val="bottom"/>
          </w:tcPr>
          <w:p w14:paraId="3E0AA4EB" w14:textId="77777777" w:rsidR="001B6918" w:rsidRPr="004E6649" w:rsidRDefault="001B6918" w:rsidP="00730ECF">
            <w:pPr>
              <w:jc w:val="center"/>
              <w:rPr>
                <w:rFonts w:eastAsia="Times New Roman" w:cstheme="minorHAnsi"/>
                <w:bCs/>
                <w:color w:val="0D0D0D"/>
                <w:sz w:val="20"/>
                <w:szCs w:val="20"/>
              </w:rPr>
            </w:pPr>
            <w:r w:rsidRPr="004E6649">
              <w:rPr>
                <w:rFonts w:cstheme="minorHAnsi"/>
                <w:bCs/>
                <w:sz w:val="20"/>
                <w:szCs w:val="20"/>
              </w:rPr>
              <w:t>(2.</w:t>
            </w:r>
            <w:r>
              <w:rPr>
                <w:rFonts w:cstheme="minorHAnsi"/>
                <w:bCs/>
                <w:sz w:val="20"/>
                <w:szCs w:val="20"/>
              </w:rPr>
              <w:t>93</w:t>
            </w:r>
            <w:r w:rsidRPr="004E6649">
              <w:rPr>
                <w:rFonts w:cstheme="minorHAnsi"/>
                <w:bCs/>
                <w:sz w:val="20"/>
                <w:szCs w:val="20"/>
              </w:rPr>
              <w:t>%)</w:t>
            </w:r>
          </w:p>
        </w:tc>
        <w:tc>
          <w:tcPr>
            <w:tcW w:w="1114" w:type="dxa"/>
            <w:gridSpan w:val="2"/>
            <w:tcBorders>
              <w:top w:val="nil"/>
              <w:left w:val="nil"/>
              <w:bottom w:val="single" w:sz="12" w:space="0" w:color="000000" w:themeColor="text1"/>
              <w:right w:val="nil"/>
            </w:tcBorders>
            <w:shd w:val="clear" w:color="auto" w:fill="F2F2F2" w:themeFill="background1" w:themeFillShade="F2"/>
            <w:vAlign w:val="bottom"/>
          </w:tcPr>
          <w:p w14:paraId="39658F55" w14:textId="77777777" w:rsidR="001B6918" w:rsidRPr="004E6649" w:rsidRDefault="001B6918" w:rsidP="00730ECF">
            <w:pPr>
              <w:jc w:val="center"/>
              <w:rPr>
                <w:rFonts w:eastAsia="Times New Roman" w:cstheme="minorHAnsi"/>
                <w:bCs/>
                <w:color w:val="0D0D0D"/>
                <w:sz w:val="20"/>
                <w:szCs w:val="20"/>
              </w:rPr>
            </w:pPr>
            <w:r w:rsidRPr="004E6649">
              <w:rPr>
                <w:rFonts w:cstheme="minorHAnsi"/>
                <w:bCs/>
                <w:sz w:val="20"/>
                <w:szCs w:val="20"/>
              </w:rPr>
              <w:t>(3.</w:t>
            </w:r>
            <w:r>
              <w:rPr>
                <w:rFonts w:cstheme="minorHAnsi"/>
                <w:bCs/>
                <w:sz w:val="20"/>
                <w:szCs w:val="20"/>
              </w:rPr>
              <w:t>93</w:t>
            </w:r>
            <w:r w:rsidRPr="004E6649">
              <w:rPr>
                <w:rFonts w:cstheme="minorHAnsi"/>
                <w:bCs/>
                <w:sz w:val="20"/>
                <w:szCs w:val="20"/>
              </w:rPr>
              <w:t>%)</w:t>
            </w:r>
          </w:p>
        </w:tc>
        <w:tc>
          <w:tcPr>
            <w:tcW w:w="1226" w:type="dxa"/>
            <w:tcBorders>
              <w:top w:val="nil"/>
              <w:left w:val="nil"/>
              <w:bottom w:val="single" w:sz="12" w:space="0" w:color="000000" w:themeColor="text1"/>
              <w:right w:val="nil"/>
            </w:tcBorders>
            <w:shd w:val="clear" w:color="auto" w:fill="F2F2F2" w:themeFill="background1" w:themeFillShade="F2"/>
            <w:vAlign w:val="bottom"/>
          </w:tcPr>
          <w:p w14:paraId="0838800E" w14:textId="77777777" w:rsidR="001B6918" w:rsidRPr="004E6649" w:rsidRDefault="001B6918" w:rsidP="00730ECF">
            <w:pPr>
              <w:jc w:val="center"/>
              <w:rPr>
                <w:rFonts w:eastAsia="Times New Roman" w:cstheme="minorHAnsi"/>
                <w:bCs/>
                <w:color w:val="0D0D0D"/>
                <w:sz w:val="20"/>
                <w:szCs w:val="20"/>
              </w:rPr>
            </w:pPr>
            <w:r w:rsidRPr="004E6649">
              <w:rPr>
                <w:rFonts w:cstheme="minorHAnsi"/>
                <w:bCs/>
                <w:sz w:val="20"/>
                <w:szCs w:val="20"/>
              </w:rPr>
              <w:t>(4.</w:t>
            </w:r>
            <w:r>
              <w:rPr>
                <w:rFonts w:cstheme="minorHAnsi"/>
                <w:bCs/>
                <w:sz w:val="20"/>
                <w:szCs w:val="20"/>
              </w:rPr>
              <w:t>93</w:t>
            </w:r>
            <w:r w:rsidRPr="004E6649">
              <w:rPr>
                <w:rFonts w:cstheme="minorHAnsi"/>
                <w:bCs/>
                <w:sz w:val="20"/>
                <w:szCs w:val="20"/>
              </w:rPr>
              <w:t>%)</w:t>
            </w:r>
          </w:p>
        </w:tc>
      </w:tr>
      <w:tr w:rsidR="001B6918" w:rsidRPr="004E6649" w14:paraId="5EA4CA57" w14:textId="77777777" w:rsidTr="00730ECF">
        <w:trPr>
          <w:trHeight w:val="267"/>
          <w:jc w:val="center"/>
        </w:trPr>
        <w:tc>
          <w:tcPr>
            <w:tcW w:w="2250" w:type="dxa"/>
            <w:tcBorders>
              <w:top w:val="single" w:sz="12" w:space="0" w:color="000000" w:themeColor="text1"/>
              <w:left w:val="nil"/>
              <w:bottom w:val="double" w:sz="4" w:space="0" w:color="000000" w:themeColor="text1"/>
              <w:right w:val="nil"/>
            </w:tcBorders>
            <w:shd w:val="clear" w:color="000000" w:fill="FFFFFF"/>
            <w:noWrap/>
            <w:vAlign w:val="bottom"/>
            <w:hideMark/>
          </w:tcPr>
          <w:p w14:paraId="4EB22A72" w14:textId="77777777" w:rsidR="001B6918" w:rsidRPr="004E6649" w:rsidRDefault="001B6918" w:rsidP="00730ECF">
            <w:pPr>
              <w:rPr>
                <w:rFonts w:eastAsia="Times New Roman" w:cstheme="minorHAnsi"/>
                <w:color w:val="0D0D0D"/>
                <w:sz w:val="20"/>
                <w:szCs w:val="20"/>
              </w:rPr>
            </w:pPr>
            <w:r w:rsidRPr="004E6649">
              <w:rPr>
                <w:rFonts w:eastAsia="Times New Roman" w:cstheme="minorHAnsi"/>
                <w:color w:val="0D0D0D"/>
                <w:sz w:val="20"/>
                <w:szCs w:val="20"/>
              </w:rPr>
              <w:t>Total pension liability</w:t>
            </w:r>
          </w:p>
        </w:tc>
        <w:tc>
          <w:tcPr>
            <w:tcW w:w="1170" w:type="dxa"/>
            <w:tcBorders>
              <w:top w:val="single" w:sz="12" w:space="0" w:color="000000" w:themeColor="text1"/>
              <w:left w:val="nil"/>
              <w:bottom w:val="double" w:sz="4" w:space="0" w:color="000000" w:themeColor="text1"/>
              <w:right w:val="nil"/>
            </w:tcBorders>
            <w:shd w:val="clear" w:color="000000" w:fill="FFFFFF"/>
            <w:noWrap/>
            <w:vAlign w:val="bottom"/>
            <w:hideMark/>
          </w:tcPr>
          <w:p w14:paraId="2413420A" w14:textId="77777777" w:rsidR="001B6918" w:rsidRPr="00282799" w:rsidRDefault="001B6918" w:rsidP="00730ECF">
            <w:pPr>
              <w:ind w:firstLineChars="100" w:firstLine="200"/>
              <w:jc w:val="center"/>
              <w:rPr>
                <w:rFonts w:eastAsia="Times New Roman" w:cstheme="minorHAnsi"/>
                <w:sz w:val="20"/>
                <w:szCs w:val="20"/>
              </w:rPr>
            </w:pPr>
            <w:r w:rsidRPr="00282799">
              <w:rPr>
                <w:rFonts w:cstheme="minorHAnsi"/>
                <w:sz w:val="20"/>
                <w:szCs w:val="20"/>
              </w:rPr>
              <w:t>$14,714</w:t>
            </w:r>
          </w:p>
        </w:tc>
        <w:tc>
          <w:tcPr>
            <w:tcW w:w="1170" w:type="dxa"/>
            <w:tcBorders>
              <w:top w:val="single" w:sz="12" w:space="0" w:color="000000" w:themeColor="text1"/>
              <w:left w:val="nil"/>
              <w:bottom w:val="double" w:sz="4" w:space="0" w:color="000000" w:themeColor="text1"/>
              <w:right w:val="nil"/>
            </w:tcBorders>
            <w:shd w:val="clear" w:color="000000" w:fill="FFFFFF"/>
            <w:noWrap/>
            <w:vAlign w:val="bottom"/>
            <w:hideMark/>
          </w:tcPr>
          <w:p w14:paraId="11D93F52" w14:textId="77777777" w:rsidR="001B6918" w:rsidRPr="00282799" w:rsidRDefault="001B6918" w:rsidP="00730ECF">
            <w:pPr>
              <w:ind w:firstLineChars="100" w:firstLine="200"/>
              <w:jc w:val="center"/>
              <w:rPr>
                <w:rFonts w:eastAsia="Times New Roman" w:cstheme="minorHAnsi"/>
                <w:sz w:val="20"/>
                <w:szCs w:val="20"/>
              </w:rPr>
            </w:pPr>
            <w:r w:rsidRPr="00282799">
              <w:rPr>
                <w:rFonts w:cstheme="minorHAnsi"/>
                <w:sz w:val="20"/>
                <w:szCs w:val="20"/>
              </w:rPr>
              <w:t>$14,256</w:t>
            </w:r>
          </w:p>
        </w:tc>
        <w:tc>
          <w:tcPr>
            <w:tcW w:w="1199" w:type="dxa"/>
            <w:gridSpan w:val="2"/>
            <w:tcBorders>
              <w:top w:val="single" w:sz="12" w:space="0" w:color="000000" w:themeColor="text1"/>
              <w:left w:val="nil"/>
              <w:bottom w:val="double" w:sz="4" w:space="0" w:color="000000" w:themeColor="text1"/>
              <w:right w:val="nil"/>
            </w:tcBorders>
            <w:shd w:val="clear" w:color="000000" w:fill="FFFFFF"/>
            <w:noWrap/>
            <w:vAlign w:val="bottom"/>
            <w:hideMark/>
          </w:tcPr>
          <w:p w14:paraId="565EDD6B" w14:textId="77777777" w:rsidR="001B6918" w:rsidRPr="00282799" w:rsidRDefault="001B6918" w:rsidP="00730ECF">
            <w:pPr>
              <w:ind w:firstLineChars="100" w:firstLine="200"/>
              <w:rPr>
                <w:rFonts w:eastAsia="Times New Roman" w:cstheme="minorHAnsi"/>
                <w:sz w:val="20"/>
                <w:szCs w:val="20"/>
              </w:rPr>
            </w:pPr>
            <w:r w:rsidRPr="00282799">
              <w:rPr>
                <w:rFonts w:cstheme="minorHAnsi"/>
                <w:sz w:val="20"/>
                <w:szCs w:val="20"/>
              </w:rPr>
              <w:t>$13,806</w:t>
            </w:r>
          </w:p>
        </w:tc>
        <w:tc>
          <w:tcPr>
            <w:tcW w:w="1051" w:type="dxa"/>
            <w:tcBorders>
              <w:top w:val="single" w:sz="12" w:space="0" w:color="000000" w:themeColor="text1"/>
              <w:left w:val="nil"/>
              <w:bottom w:val="double" w:sz="4" w:space="0" w:color="000000" w:themeColor="text1"/>
              <w:right w:val="nil"/>
            </w:tcBorders>
            <w:shd w:val="clear" w:color="auto" w:fill="F2F2F2" w:themeFill="background1" w:themeFillShade="F2"/>
            <w:noWrap/>
            <w:vAlign w:val="bottom"/>
            <w:hideMark/>
          </w:tcPr>
          <w:p w14:paraId="1061274B" w14:textId="77777777" w:rsidR="001B6918" w:rsidRPr="004E6649" w:rsidRDefault="001B6918" w:rsidP="00730ECF">
            <w:pPr>
              <w:jc w:val="center"/>
              <w:rPr>
                <w:rFonts w:eastAsia="Times New Roman" w:cstheme="minorHAnsi"/>
                <w:color w:val="0D0D0D"/>
                <w:sz w:val="20"/>
                <w:szCs w:val="20"/>
              </w:rPr>
            </w:pPr>
            <w:r w:rsidRPr="004E6649">
              <w:rPr>
                <w:rFonts w:cstheme="minorHAnsi"/>
                <w:sz w:val="20"/>
                <w:szCs w:val="20"/>
              </w:rPr>
              <w:t>$</w:t>
            </w:r>
            <w:r>
              <w:rPr>
                <w:rFonts w:cstheme="minorHAnsi"/>
                <w:sz w:val="20"/>
                <w:szCs w:val="20"/>
              </w:rPr>
              <w:t>15,205</w:t>
            </w:r>
          </w:p>
        </w:tc>
        <w:tc>
          <w:tcPr>
            <w:tcW w:w="1080" w:type="dxa"/>
            <w:tcBorders>
              <w:top w:val="single" w:sz="12" w:space="0" w:color="000000" w:themeColor="text1"/>
              <w:left w:val="nil"/>
              <w:bottom w:val="double" w:sz="4" w:space="0" w:color="000000" w:themeColor="text1"/>
              <w:right w:val="nil"/>
            </w:tcBorders>
            <w:shd w:val="clear" w:color="auto" w:fill="F2F2F2" w:themeFill="background1" w:themeFillShade="F2"/>
            <w:noWrap/>
            <w:vAlign w:val="bottom"/>
            <w:hideMark/>
          </w:tcPr>
          <w:p w14:paraId="7A2D1E6B" w14:textId="77777777" w:rsidR="001B6918" w:rsidRPr="004E6649" w:rsidRDefault="001B6918" w:rsidP="00730ECF">
            <w:pPr>
              <w:ind w:firstLineChars="100" w:firstLine="200"/>
              <w:jc w:val="center"/>
              <w:rPr>
                <w:rFonts w:eastAsia="Times New Roman" w:cstheme="minorHAnsi"/>
                <w:color w:val="0D0D0D"/>
                <w:sz w:val="20"/>
                <w:szCs w:val="20"/>
              </w:rPr>
            </w:pPr>
            <w:r w:rsidRPr="004E6649">
              <w:rPr>
                <w:rFonts w:cstheme="minorHAnsi"/>
                <w:sz w:val="20"/>
                <w:szCs w:val="20"/>
              </w:rPr>
              <w:t>$</w:t>
            </w:r>
            <w:r>
              <w:rPr>
                <w:rFonts w:cstheme="minorHAnsi"/>
                <w:sz w:val="20"/>
                <w:szCs w:val="20"/>
              </w:rPr>
              <w:t>14,718</w:t>
            </w:r>
          </w:p>
        </w:tc>
        <w:tc>
          <w:tcPr>
            <w:tcW w:w="1260" w:type="dxa"/>
            <w:gridSpan w:val="2"/>
            <w:tcBorders>
              <w:top w:val="single" w:sz="12" w:space="0" w:color="000000" w:themeColor="text1"/>
              <w:left w:val="nil"/>
              <w:bottom w:val="double" w:sz="4" w:space="0" w:color="000000" w:themeColor="text1"/>
              <w:right w:val="nil"/>
            </w:tcBorders>
            <w:shd w:val="clear" w:color="auto" w:fill="F2F2F2" w:themeFill="background1" w:themeFillShade="F2"/>
            <w:noWrap/>
            <w:vAlign w:val="bottom"/>
            <w:hideMark/>
          </w:tcPr>
          <w:p w14:paraId="2FF4D539" w14:textId="77777777" w:rsidR="001B6918" w:rsidRPr="004E6649" w:rsidRDefault="001B6918" w:rsidP="00730ECF">
            <w:pPr>
              <w:ind w:firstLineChars="100" w:firstLine="200"/>
              <w:jc w:val="center"/>
              <w:rPr>
                <w:rFonts w:eastAsia="Times New Roman" w:cstheme="minorHAnsi"/>
                <w:color w:val="0D0D0D"/>
                <w:sz w:val="20"/>
                <w:szCs w:val="20"/>
              </w:rPr>
            </w:pPr>
            <w:r w:rsidRPr="004E6649">
              <w:rPr>
                <w:rFonts w:cstheme="minorHAnsi"/>
                <w:sz w:val="20"/>
                <w:szCs w:val="20"/>
              </w:rPr>
              <w:t>$</w:t>
            </w:r>
            <w:r>
              <w:rPr>
                <w:rFonts w:cstheme="minorHAnsi"/>
                <w:sz w:val="20"/>
                <w:szCs w:val="20"/>
              </w:rPr>
              <w:t>14,231</w:t>
            </w:r>
          </w:p>
        </w:tc>
      </w:tr>
    </w:tbl>
    <w:p w14:paraId="72F35540" w14:textId="77777777" w:rsidR="001B6918" w:rsidRDefault="001B6918" w:rsidP="001B6918">
      <w:pPr>
        <w:spacing w:after="160" w:line="259" w:lineRule="auto"/>
        <w:rPr>
          <w:rFonts w:eastAsia="Franklin Gothic Book" w:cstheme="minorHAnsi"/>
          <w:spacing w:val="1"/>
          <w:sz w:val="24"/>
        </w:rPr>
      </w:pPr>
      <w:r>
        <w:rPr>
          <w:rFonts w:eastAsia="Franklin Gothic Book" w:cstheme="minorHAnsi"/>
          <w:spacing w:val="1"/>
          <w:sz w:val="24"/>
        </w:rPr>
        <w:br w:type="page"/>
      </w:r>
    </w:p>
    <w:p w14:paraId="7C1A7CCB" w14:textId="77777777" w:rsidR="001B6918" w:rsidRPr="009E4423" w:rsidRDefault="001B6918" w:rsidP="001B6918">
      <w:pPr>
        <w:spacing w:after="160"/>
        <w:rPr>
          <w:rFonts w:eastAsiaTheme="majorEastAsia" w:cstheme="minorHAnsi"/>
          <w:b/>
          <w:i/>
          <w:iCs/>
          <w:smallCaps/>
          <w:noProof/>
          <w:color w:val="000000" w:themeColor="text1"/>
          <w:sz w:val="24"/>
          <w:szCs w:val="24"/>
          <w:u w:color="5B9BD5"/>
        </w:rPr>
      </w:pPr>
      <w:r w:rsidRPr="009E4423">
        <w:rPr>
          <w:rFonts w:eastAsiaTheme="majorEastAsia" w:cstheme="minorHAnsi"/>
          <w:b/>
          <w:i/>
          <w:iCs/>
          <w:smallCaps/>
          <w:noProof/>
          <w:color w:val="000000" w:themeColor="text1"/>
          <w:sz w:val="24"/>
          <w:szCs w:val="24"/>
          <w:u w:color="5B9BD5"/>
        </w:rPr>
        <w:lastRenderedPageBreak/>
        <w:t>13. PENSION PLANS - CONTINUED</w:t>
      </w:r>
    </w:p>
    <w:p w14:paraId="1F328464" w14:textId="77777777" w:rsidR="001B6918" w:rsidRPr="004E6649" w:rsidRDefault="001B6918" w:rsidP="001B6918">
      <w:pPr>
        <w:widowControl w:val="0"/>
        <w:spacing w:after="180"/>
        <w:rPr>
          <w:rFonts w:cstheme="minorHAnsi"/>
        </w:rPr>
      </w:pPr>
      <w:r w:rsidRPr="004E6649">
        <w:rPr>
          <w:rFonts w:eastAsia="Franklin Gothic Book" w:cstheme="minorHAnsi"/>
          <w:spacing w:val="1"/>
          <w:sz w:val="24"/>
        </w:rPr>
        <w:t>C</w:t>
      </w:r>
      <w:r w:rsidRPr="004E6649">
        <w:rPr>
          <w:rFonts w:eastAsia="Franklin Gothic Book" w:cstheme="minorHAnsi"/>
          <w:spacing w:val="2"/>
          <w:sz w:val="24"/>
        </w:rPr>
        <w:t>hang</w:t>
      </w:r>
      <w:r w:rsidRPr="004E6649">
        <w:rPr>
          <w:rFonts w:eastAsia="Franklin Gothic Book" w:cstheme="minorHAnsi"/>
          <w:spacing w:val="1"/>
          <w:sz w:val="24"/>
        </w:rPr>
        <w:t>e</w:t>
      </w:r>
      <w:r w:rsidRPr="004E6649">
        <w:rPr>
          <w:rFonts w:eastAsia="Franklin Gothic Book" w:cstheme="minorHAnsi"/>
          <w:sz w:val="24"/>
        </w:rPr>
        <w:t>s</w:t>
      </w:r>
      <w:r w:rsidRPr="004E6649">
        <w:rPr>
          <w:rFonts w:eastAsia="Franklin Gothic Book" w:cstheme="minorHAnsi"/>
          <w:spacing w:val="1"/>
          <w:sz w:val="24"/>
        </w:rPr>
        <w:t xml:space="preserve"> </w:t>
      </w:r>
      <w:r w:rsidRPr="004E6649">
        <w:rPr>
          <w:rFonts w:eastAsia="Franklin Gothic Book" w:cstheme="minorHAnsi"/>
          <w:spacing w:val="2"/>
          <w:sz w:val="24"/>
        </w:rPr>
        <w:t>i</w:t>
      </w:r>
      <w:r w:rsidRPr="004E6649">
        <w:rPr>
          <w:rFonts w:eastAsia="Franklin Gothic Book" w:cstheme="minorHAnsi"/>
          <w:sz w:val="24"/>
        </w:rPr>
        <w:t>n</w:t>
      </w:r>
      <w:r w:rsidRPr="004E6649">
        <w:rPr>
          <w:rFonts w:eastAsia="Franklin Gothic Book" w:cstheme="minorHAnsi"/>
          <w:spacing w:val="-1"/>
          <w:sz w:val="24"/>
        </w:rPr>
        <w:t xml:space="preserve"> </w:t>
      </w:r>
      <w:r w:rsidRPr="004E6649">
        <w:rPr>
          <w:rFonts w:eastAsia="Franklin Gothic Book" w:cstheme="minorHAnsi"/>
          <w:spacing w:val="3"/>
          <w:sz w:val="24"/>
        </w:rPr>
        <w:t>Total</w:t>
      </w:r>
      <w:r w:rsidRPr="004E6649">
        <w:rPr>
          <w:rFonts w:eastAsia="Franklin Gothic Book" w:cstheme="minorHAnsi"/>
          <w:sz w:val="24"/>
        </w:rPr>
        <w:t xml:space="preserve"> </w:t>
      </w:r>
      <w:r w:rsidRPr="004E6649">
        <w:rPr>
          <w:rFonts w:eastAsia="Franklin Gothic Book" w:cstheme="minorHAnsi"/>
          <w:spacing w:val="1"/>
          <w:sz w:val="24"/>
        </w:rPr>
        <w:t>Pe</w:t>
      </w:r>
      <w:r w:rsidRPr="004E6649">
        <w:rPr>
          <w:rFonts w:eastAsia="Franklin Gothic Book" w:cstheme="minorHAnsi"/>
          <w:spacing w:val="2"/>
          <w:sz w:val="24"/>
        </w:rPr>
        <w:t>n</w:t>
      </w:r>
      <w:r w:rsidRPr="004E6649">
        <w:rPr>
          <w:rFonts w:eastAsia="Franklin Gothic Book" w:cstheme="minorHAnsi"/>
          <w:spacing w:val="3"/>
          <w:sz w:val="24"/>
        </w:rPr>
        <w:t>s</w:t>
      </w:r>
      <w:r w:rsidRPr="004E6649">
        <w:rPr>
          <w:rFonts w:eastAsia="Franklin Gothic Book" w:cstheme="minorHAnsi"/>
          <w:spacing w:val="2"/>
          <w:sz w:val="24"/>
        </w:rPr>
        <w:t>i</w:t>
      </w:r>
      <w:r w:rsidRPr="004E6649">
        <w:rPr>
          <w:rFonts w:eastAsia="Franklin Gothic Book" w:cstheme="minorHAnsi"/>
          <w:spacing w:val="1"/>
          <w:sz w:val="24"/>
        </w:rPr>
        <w:t>o</w:t>
      </w:r>
      <w:r w:rsidRPr="004E6649">
        <w:rPr>
          <w:rFonts w:eastAsia="Franklin Gothic Book" w:cstheme="minorHAnsi"/>
          <w:sz w:val="24"/>
        </w:rPr>
        <w:t xml:space="preserve">n Liability for the </w:t>
      </w:r>
      <w:r w:rsidRPr="004E6649">
        <w:rPr>
          <w:rFonts w:eastAsia="Franklin Gothic Book" w:cstheme="minorHAnsi"/>
          <w:b/>
          <w:sz w:val="24"/>
        </w:rPr>
        <w:t>Incentive Retirement Plan</w:t>
      </w:r>
      <w:r w:rsidRPr="004E6649">
        <w:rPr>
          <w:rFonts w:eastAsia="Franklin Gothic Book" w:cstheme="minorHAnsi"/>
          <w:sz w:val="24"/>
        </w:rPr>
        <w:t>:</w:t>
      </w:r>
      <w:r w:rsidRPr="004E6649">
        <w:rPr>
          <w:rFonts w:cstheme="minorHAnsi"/>
        </w:rPr>
        <w:fldChar w:fldCharType="begin"/>
      </w:r>
      <w:r w:rsidRPr="004E6649">
        <w:rPr>
          <w:rFonts w:cstheme="minorHAnsi"/>
        </w:rPr>
        <w:fldChar w:fldCharType="end"/>
      </w:r>
    </w:p>
    <w:tbl>
      <w:tblPr>
        <w:tblW w:w="8760" w:type="dxa"/>
        <w:jc w:val="center"/>
        <w:tblLook w:val="04A0" w:firstRow="1" w:lastRow="0" w:firstColumn="1" w:lastColumn="0" w:noHBand="0" w:noVBand="1"/>
      </w:tblPr>
      <w:tblGrid>
        <w:gridCol w:w="6210"/>
        <w:gridCol w:w="1441"/>
        <w:gridCol w:w="1109"/>
      </w:tblGrid>
      <w:tr w:rsidR="001B6918" w:rsidRPr="004E6649" w14:paraId="7642F88A" w14:textId="77777777" w:rsidTr="00730ECF">
        <w:trPr>
          <w:trHeight w:val="108"/>
          <w:tblHeader/>
          <w:jc w:val="center"/>
        </w:trPr>
        <w:tc>
          <w:tcPr>
            <w:tcW w:w="6210" w:type="dxa"/>
            <w:tcBorders>
              <w:top w:val="nil"/>
              <w:left w:val="nil"/>
              <w:bottom w:val="single" w:sz="12" w:space="0" w:color="000000" w:themeColor="text1"/>
              <w:right w:val="nil"/>
            </w:tcBorders>
            <w:shd w:val="clear" w:color="000000" w:fill="FFFFFF"/>
            <w:noWrap/>
            <w:vAlign w:val="bottom"/>
            <w:hideMark/>
          </w:tcPr>
          <w:p w14:paraId="700DA18E" w14:textId="77777777" w:rsidR="001B6918" w:rsidRPr="004E6649" w:rsidRDefault="001B6918" w:rsidP="00730ECF">
            <w:pPr>
              <w:rPr>
                <w:rFonts w:eastAsia="Times New Roman" w:cstheme="minorHAnsi"/>
                <w:b/>
                <w:bCs/>
                <w:color w:val="0D0D0D"/>
              </w:rPr>
            </w:pPr>
            <w:r w:rsidRPr="004E6649">
              <w:rPr>
                <w:rFonts w:eastAsia="Times New Roman" w:cstheme="minorHAnsi"/>
                <w:b/>
                <w:bCs/>
                <w:color w:val="0D0D0D"/>
              </w:rPr>
              <w:t>Fiscal Year Ended June 30</w:t>
            </w:r>
          </w:p>
        </w:tc>
        <w:tc>
          <w:tcPr>
            <w:tcW w:w="1441" w:type="dxa"/>
            <w:tcBorders>
              <w:top w:val="nil"/>
              <w:left w:val="nil"/>
              <w:bottom w:val="single" w:sz="12" w:space="0" w:color="000000" w:themeColor="text1"/>
              <w:right w:val="nil"/>
            </w:tcBorders>
            <w:shd w:val="clear" w:color="000000" w:fill="FFFFFF"/>
            <w:noWrap/>
            <w:vAlign w:val="bottom"/>
            <w:hideMark/>
          </w:tcPr>
          <w:p w14:paraId="55FBAB63"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202</w:t>
            </w:r>
            <w:r>
              <w:rPr>
                <w:rFonts w:eastAsia="Times New Roman" w:cstheme="minorHAnsi"/>
                <w:b/>
                <w:bCs/>
                <w:color w:val="0D0D0D"/>
              </w:rPr>
              <w:t>5</w:t>
            </w:r>
          </w:p>
        </w:tc>
        <w:tc>
          <w:tcPr>
            <w:tcW w:w="1109" w:type="dxa"/>
            <w:tcBorders>
              <w:top w:val="nil"/>
              <w:left w:val="nil"/>
              <w:bottom w:val="single" w:sz="12" w:space="0" w:color="000000" w:themeColor="text1"/>
              <w:right w:val="nil"/>
            </w:tcBorders>
            <w:shd w:val="clear" w:color="auto" w:fill="F2F2F2" w:themeFill="background1" w:themeFillShade="F2"/>
            <w:vAlign w:val="bottom"/>
          </w:tcPr>
          <w:p w14:paraId="32EAD6E6"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202</w:t>
            </w:r>
            <w:r>
              <w:rPr>
                <w:rFonts w:eastAsia="Times New Roman" w:cstheme="minorHAnsi"/>
                <w:b/>
                <w:bCs/>
                <w:color w:val="0D0D0D"/>
              </w:rPr>
              <w:t>4</w:t>
            </w:r>
          </w:p>
        </w:tc>
      </w:tr>
      <w:tr w:rsidR="001B6918" w:rsidRPr="004E6649" w14:paraId="480B6C81" w14:textId="77777777" w:rsidTr="00730ECF">
        <w:trPr>
          <w:trHeight w:val="123"/>
          <w:jc w:val="center"/>
        </w:trPr>
        <w:tc>
          <w:tcPr>
            <w:tcW w:w="6210" w:type="dxa"/>
            <w:tcBorders>
              <w:top w:val="single" w:sz="12" w:space="0" w:color="000000" w:themeColor="text1"/>
              <w:left w:val="nil"/>
              <w:bottom w:val="nil"/>
              <w:right w:val="nil"/>
            </w:tcBorders>
            <w:shd w:val="clear" w:color="000000" w:fill="FFFFFF"/>
            <w:noWrap/>
            <w:vAlign w:val="bottom"/>
            <w:hideMark/>
          </w:tcPr>
          <w:p w14:paraId="0245AED0"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 xml:space="preserve">Total pension liability – beginning </w:t>
            </w:r>
          </w:p>
        </w:tc>
        <w:tc>
          <w:tcPr>
            <w:tcW w:w="1441" w:type="dxa"/>
            <w:tcBorders>
              <w:top w:val="single" w:sz="12" w:space="0" w:color="000000" w:themeColor="text1"/>
              <w:left w:val="nil"/>
              <w:bottom w:val="nil"/>
              <w:right w:val="nil"/>
            </w:tcBorders>
            <w:shd w:val="clear" w:color="000000" w:fill="FFFFFF"/>
            <w:noWrap/>
            <w:vAlign w:val="bottom"/>
            <w:hideMark/>
          </w:tcPr>
          <w:p w14:paraId="46500B99" w14:textId="77777777" w:rsidR="001B6918" w:rsidRPr="00413B9C" w:rsidRDefault="001B6918" w:rsidP="00730ECF">
            <w:pPr>
              <w:jc w:val="right"/>
              <w:rPr>
                <w:rFonts w:eastAsia="Times New Roman" w:cstheme="minorHAnsi"/>
              </w:rPr>
            </w:pPr>
            <w:r w:rsidRPr="00413B9C">
              <w:rPr>
                <w:rFonts w:cstheme="minorHAnsi"/>
              </w:rPr>
              <w:t>$ 14,718</w:t>
            </w:r>
          </w:p>
        </w:tc>
        <w:tc>
          <w:tcPr>
            <w:tcW w:w="1109" w:type="dxa"/>
            <w:tcBorders>
              <w:top w:val="single" w:sz="12" w:space="0" w:color="000000" w:themeColor="text1"/>
              <w:left w:val="nil"/>
              <w:bottom w:val="nil"/>
              <w:right w:val="nil"/>
            </w:tcBorders>
            <w:shd w:val="clear" w:color="auto" w:fill="F2F2F2" w:themeFill="background1" w:themeFillShade="F2"/>
            <w:vAlign w:val="bottom"/>
          </w:tcPr>
          <w:p w14:paraId="07D9C29B" w14:textId="77777777" w:rsidR="001B6918" w:rsidRPr="004E6649" w:rsidRDefault="001B6918" w:rsidP="00730ECF">
            <w:pPr>
              <w:jc w:val="right"/>
              <w:rPr>
                <w:rFonts w:cstheme="minorHAnsi"/>
              </w:rPr>
            </w:pPr>
            <w:r w:rsidRPr="004E6649">
              <w:rPr>
                <w:rFonts w:cstheme="minorHAnsi"/>
              </w:rPr>
              <w:t xml:space="preserve">$ </w:t>
            </w:r>
            <w:r>
              <w:rPr>
                <w:rFonts w:cstheme="minorHAnsi"/>
              </w:rPr>
              <w:t>17,206</w:t>
            </w:r>
          </w:p>
        </w:tc>
      </w:tr>
      <w:tr w:rsidR="001B6918" w:rsidRPr="004E6649" w14:paraId="5F9AE90A" w14:textId="77777777" w:rsidTr="00730ECF">
        <w:trPr>
          <w:trHeight w:val="66"/>
          <w:jc w:val="center"/>
        </w:trPr>
        <w:tc>
          <w:tcPr>
            <w:tcW w:w="6210" w:type="dxa"/>
            <w:tcBorders>
              <w:top w:val="nil"/>
              <w:left w:val="nil"/>
              <w:bottom w:val="nil"/>
              <w:right w:val="nil"/>
            </w:tcBorders>
            <w:shd w:val="clear" w:color="000000" w:fill="FFFFFF"/>
            <w:noWrap/>
            <w:vAlign w:val="bottom"/>
            <w:hideMark/>
          </w:tcPr>
          <w:p w14:paraId="794E738A"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Changes for the year:</w:t>
            </w:r>
          </w:p>
        </w:tc>
        <w:tc>
          <w:tcPr>
            <w:tcW w:w="1441" w:type="dxa"/>
            <w:tcBorders>
              <w:top w:val="nil"/>
              <w:left w:val="nil"/>
              <w:bottom w:val="nil"/>
              <w:right w:val="nil"/>
            </w:tcBorders>
            <w:shd w:val="clear" w:color="000000" w:fill="FFFFFF"/>
            <w:noWrap/>
            <w:vAlign w:val="bottom"/>
            <w:hideMark/>
          </w:tcPr>
          <w:p w14:paraId="51B37DCD" w14:textId="77777777" w:rsidR="001B6918" w:rsidRPr="00413B9C" w:rsidRDefault="001B6918" w:rsidP="00730ECF">
            <w:pPr>
              <w:jc w:val="right"/>
              <w:rPr>
                <w:rFonts w:eastAsia="Times New Roman" w:cstheme="minorHAnsi"/>
              </w:rPr>
            </w:pPr>
            <w:r w:rsidRPr="00413B9C">
              <w:rPr>
                <w:rFonts w:cstheme="minorHAnsi"/>
              </w:rPr>
              <w:t> </w:t>
            </w:r>
          </w:p>
        </w:tc>
        <w:tc>
          <w:tcPr>
            <w:tcW w:w="1109" w:type="dxa"/>
            <w:tcBorders>
              <w:top w:val="nil"/>
              <w:left w:val="nil"/>
              <w:bottom w:val="nil"/>
              <w:right w:val="nil"/>
            </w:tcBorders>
            <w:shd w:val="clear" w:color="auto" w:fill="F2F2F2" w:themeFill="background1" w:themeFillShade="F2"/>
            <w:vAlign w:val="bottom"/>
          </w:tcPr>
          <w:p w14:paraId="6DEE074C" w14:textId="77777777" w:rsidR="001B6918" w:rsidRPr="004E6649" w:rsidRDefault="001B6918" w:rsidP="00730ECF">
            <w:pPr>
              <w:jc w:val="right"/>
              <w:rPr>
                <w:rFonts w:cstheme="minorHAnsi"/>
              </w:rPr>
            </w:pPr>
            <w:r w:rsidRPr="004E6649">
              <w:rPr>
                <w:rFonts w:cstheme="minorHAnsi"/>
              </w:rPr>
              <w:t> </w:t>
            </w:r>
          </w:p>
        </w:tc>
      </w:tr>
      <w:tr w:rsidR="001B6918" w:rsidRPr="004E6649" w14:paraId="4E1ECF81" w14:textId="77777777" w:rsidTr="00730ECF">
        <w:trPr>
          <w:trHeight w:val="81"/>
          <w:jc w:val="center"/>
        </w:trPr>
        <w:tc>
          <w:tcPr>
            <w:tcW w:w="6210" w:type="dxa"/>
            <w:tcBorders>
              <w:top w:val="nil"/>
              <w:left w:val="nil"/>
              <w:bottom w:val="nil"/>
              <w:right w:val="nil"/>
            </w:tcBorders>
            <w:shd w:val="clear" w:color="000000" w:fill="FFFFFF"/>
            <w:vAlign w:val="bottom"/>
            <w:hideMark/>
          </w:tcPr>
          <w:p w14:paraId="54EB1D57" w14:textId="77777777" w:rsidR="001B6918" w:rsidRPr="004E6649" w:rsidRDefault="001B6918" w:rsidP="00730ECF">
            <w:pPr>
              <w:ind w:firstLineChars="200" w:firstLine="440"/>
              <w:rPr>
                <w:rFonts w:eastAsia="Times New Roman" w:cstheme="minorHAnsi"/>
                <w:color w:val="0D0D0D"/>
              </w:rPr>
            </w:pPr>
            <w:r w:rsidRPr="004E6649">
              <w:rPr>
                <w:rFonts w:eastAsia="Times New Roman" w:cstheme="minorHAnsi"/>
                <w:color w:val="0D0D0D"/>
              </w:rPr>
              <w:t>Service cost</w:t>
            </w:r>
          </w:p>
        </w:tc>
        <w:tc>
          <w:tcPr>
            <w:tcW w:w="1441" w:type="dxa"/>
            <w:tcBorders>
              <w:top w:val="nil"/>
              <w:left w:val="nil"/>
              <w:bottom w:val="nil"/>
              <w:right w:val="nil"/>
            </w:tcBorders>
            <w:shd w:val="clear" w:color="000000" w:fill="FFFFFF"/>
            <w:noWrap/>
            <w:vAlign w:val="bottom"/>
            <w:hideMark/>
          </w:tcPr>
          <w:p w14:paraId="5AD18458" w14:textId="77777777" w:rsidR="001B6918" w:rsidRPr="00413B9C" w:rsidRDefault="001B6918" w:rsidP="00730ECF">
            <w:pPr>
              <w:jc w:val="right"/>
              <w:rPr>
                <w:rFonts w:eastAsia="Times New Roman" w:cstheme="minorHAnsi"/>
              </w:rPr>
            </w:pPr>
            <w:r w:rsidRPr="00413B9C">
              <w:rPr>
                <w:rFonts w:cstheme="minorHAnsi"/>
              </w:rPr>
              <w:t>376</w:t>
            </w:r>
          </w:p>
        </w:tc>
        <w:tc>
          <w:tcPr>
            <w:tcW w:w="1109" w:type="dxa"/>
            <w:tcBorders>
              <w:top w:val="nil"/>
              <w:left w:val="nil"/>
              <w:bottom w:val="nil"/>
              <w:right w:val="nil"/>
            </w:tcBorders>
            <w:shd w:val="clear" w:color="auto" w:fill="F2F2F2" w:themeFill="background1" w:themeFillShade="F2"/>
            <w:vAlign w:val="bottom"/>
          </w:tcPr>
          <w:p w14:paraId="32CF19D5" w14:textId="77777777" w:rsidR="001B6918" w:rsidRPr="004E6649" w:rsidRDefault="001B6918" w:rsidP="00730ECF">
            <w:pPr>
              <w:jc w:val="right"/>
              <w:rPr>
                <w:rFonts w:cstheme="minorHAnsi"/>
              </w:rPr>
            </w:pPr>
            <w:r>
              <w:rPr>
                <w:rFonts w:cstheme="minorHAnsi"/>
              </w:rPr>
              <w:t>382</w:t>
            </w:r>
          </w:p>
        </w:tc>
      </w:tr>
      <w:tr w:rsidR="001B6918" w:rsidRPr="004E6649" w14:paraId="4078B0A7" w14:textId="77777777" w:rsidTr="00730ECF">
        <w:trPr>
          <w:trHeight w:val="66"/>
          <w:jc w:val="center"/>
        </w:trPr>
        <w:tc>
          <w:tcPr>
            <w:tcW w:w="6210" w:type="dxa"/>
            <w:tcBorders>
              <w:top w:val="nil"/>
              <w:left w:val="nil"/>
              <w:bottom w:val="nil"/>
              <w:right w:val="nil"/>
            </w:tcBorders>
            <w:shd w:val="clear" w:color="000000" w:fill="FFFFFF"/>
            <w:vAlign w:val="bottom"/>
            <w:hideMark/>
          </w:tcPr>
          <w:p w14:paraId="0F0B5A83" w14:textId="77777777" w:rsidR="001B6918" w:rsidRPr="004E6649" w:rsidRDefault="001B6918" w:rsidP="00730ECF">
            <w:pPr>
              <w:ind w:firstLineChars="200" w:firstLine="440"/>
              <w:rPr>
                <w:rFonts w:eastAsia="Times New Roman" w:cstheme="minorHAnsi"/>
                <w:color w:val="0D0D0D"/>
              </w:rPr>
            </w:pPr>
            <w:r w:rsidRPr="004E6649">
              <w:rPr>
                <w:rFonts w:eastAsia="Times New Roman" w:cstheme="minorHAnsi"/>
                <w:color w:val="0D0D0D"/>
              </w:rPr>
              <w:t>Interest</w:t>
            </w:r>
          </w:p>
        </w:tc>
        <w:tc>
          <w:tcPr>
            <w:tcW w:w="1441" w:type="dxa"/>
            <w:tcBorders>
              <w:top w:val="nil"/>
              <w:left w:val="nil"/>
              <w:bottom w:val="nil"/>
              <w:right w:val="nil"/>
            </w:tcBorders>
            <w:shd w:val="clear" w:color="000000" w:fill="FFFFFF"/>
            <w:noWrap/>
            <w:vAlign w:val="bottom"/>
            <w:hideMark/>
          </w:tcPr>
          <w:p w14:paraId="419C147A" w14:textId="77777777" w:rsidR="001B6918" w:rsidRPr="00413B9C" w:rsidRDefault="001B6918" w:rsidP="00730ECF">
            <w:pPr>
              <w:jc w:val="right"/>
              <w:rPr>
                <w:rFonts w:eastAsia="Times New Roman" w:cstheme="minorHAnsi"/>
              </w:rPr>
            </w:pPr>
            <w:r w:rsidRPr="00413B9C">
              <w:rPr>
                <w:rFonts w:cstheme="minorHAnsi"/>
              </w:rPr>
              <w:t>546</w:t>
            </w:r>
          </w:p>
        </w:tc>
        <w:tc>
          <w:tcPr>
            <w:tcW w:w="1109" w:type="dxa"/>
            <w:tcBorders>
              <w:top w:val="nil"/>
              <w:left w:val="nil"/>
              <w:bottom w:val="nil"/>
              <w:right w:val="nil"/>
            </w:tcBorders>
            <w:shd w:val="clear" w:color="auto" w:fill="F2F2F2" w:themeFill="background1" w:themeFillShade="F2"/>
            <w:vAlign w:val="bottom"/>
          </w:tcPr>
          <w:p w14:paraId="1BCA71B3" w14:textId="77777777" w:rsidR="001B6918" w:rsidRPr="004E6649" w:rsidRDefault="001B6918" w:rsidP="00730ECF">
            <w:pPr>
              <w:jc w:val="right"/>
              <w:rPr>
                <w:rFonts w:cstheme="minorHAnsi"/>
              </w:rPr>
            </w:pPr>
            <w:r>
              <w:rPr>
                <w:rFonts w:cstheme="minorHAnsi"/>
              </w:rPr>
              <w:t>581</w:t>
            </w:r>
          </w:p>
        </w:tc>
      </w:tr>
      <w:tr w:rsidR="001B6918" w:rsidRPr="004E6649" w14:paraId="212AA44C" w14:textId="77777777" w:rsidTr="00730ECF">
        <w:trPr>
          <w:trHeight w:val="90"/>
          <w:jc w:val="center"/>
        </w:trPr>
        <w:tc>
          <w:tcPr>
            <w:tcW w:w="6210" w:type="dxa"/>
            <w:tcBorders>
              <w:top w:val="nil"/>
              <w:left w:val="nil"/>
              <w:right w:val="nil"/>
            </w:tcBorders>
            <w:shd w:val="clear" w:color="000000" w:fill="FFFFFF"/>
            <w:noWrap/>
            <w:vAlign w:val="bottom"/>
            <w:hideMark/>
          </w:tcPr>
          <w:p w14:paraId="711DBB3A" w14:textId="77777777" w:rsidR="001B6918" w:rsidRPr="004E6649" w:rsidRDefault="001B6918" w:rsidP="00730ECF">
            <w:pPr>
              <w:ind w:firstLineChars="200" w:firstLine="440"/>
              <w:rPr>
                <w:rFonts w:eastAsia="Times New Roman" w:cstheme="minorHAnsi"/>
                <w:color w:val="0D0D0D"/>
              </w:rPr>
            </w:pPr>
            <w:r w:rsidRPr="004E6649">
              <w:rPr>
                <w:rFonts w:eastAsia="Times New Roman" w:cstheme="minorHAnsi"/>
                <w:color w:val="0D0D0D"/>
              </w:rPr>
              <w:t xml:space="preserve">Differences between expected and actual experience </w:t>
            </w:r>
          </w:p>
        </w:tc>
        <w:tc>
          <w:tcPr>
            <w:tcW w:w="1441" w:type="dxa"/>
            <w:tcBorders>
              <w:top w:val="nil"/>
              <w:left w:val="nil"/>
              <w:right w:val="nil"/>
            </w:tcBorders>
            <w:shd w:val="clear" w:color="000000" w:fill="FFFFFF"/>
            <w:noWrap/>
            <w:vAlign w:val="bottom"/>
            <w:hideMark/>
          </w:tcPr>
          <w:p w14:paraId="1CA481A1" w14:textId="77777777" w:rsidR="001B6918" w:rsidRPr="00413B9C" w:rsidRDefault="001B6918" w:rsidP="00730ECF">
            <w:pPr>
              <w:jc w:val="right"/>
              <w:rPr>
                <w:rFonts w:eastAsia="Times New Roman" w:cstheme="minorHAnsi"/>
              </w:rPr>
            </w:pPr>
            <w:r w:rsidRPr="00413B9C">
              <w:rPr>
                <w:rFonts w:cstheme="minorHAnsi"/>
              </w:rPr>
              <w:t>1,594</w:t>
            </w:r>
          </w:p>
        </w:tc>
        <w:tc>
          <w:tcPr>
            <w:tcW w:w="1109" w:type="dxa"/>
            <w:tcBorders>
              <w:top w:val="nil"/>
              <w:left w:val="nil"/>
              <w:right w:val="nil"/>
            </w:tcBorders>
            <w:shd w:val="clear" w:color="auto" w:fill="F2F2F2" w:themeFill="background1" w:themeFillShade="F2"/>
            <w:vAlign w:val="bottom"/>
          </w:tcPr>
          <w:p w14:paraId="6E0DC425" w14:textId="77777777" w:rsidR="001B6918" w:rsidRPr="004E6649" w:rsidRDefault="001B6918" w:rsidP="00730ECF">
            <w:pPr>
              <w:jc w:val="right"/>
              <w:rPr>
                <w:rFonts w:cstheme="minorHAnsi"/>
              </w:rPr>
            </w:pPr>
            <w:r w:rsidRPr="004E6649">
              <w:rPr>
                <w:rFonts w:cstheme="minorHAnsi"/>
              </w:rPr>
              <w:t>-</w:t>
            </w:r>
          </w:p>
        </w:tc>
      </w:tr>
      <w:tr w:rsidR="001B6918" w:rsidRPr="004E6649" w14:paraId="39C175DE" w14:textId="77777777" w:rsidTr="00730ECF">
        <w:trPr>
          <w:trHeight w:val="66"/>
          <w:jc w:val="center"/>
        </w:trPr>
        <w:tc>
          <w:tcPr>
            <w:tcW w:w="6210" w:type="dxa"/>
            <w:tcBorders>
              <w:top w:val="nil"/>
              <w:left w:val="nil"/>
              <w:right w:val="nil"/>
            </w:tcBorders>
            <w:shd w:val="clear" w:color="000000" w:fill="FFFFFF"/>
            <w:noWrap/>
            <w:vAlign w:val="bottom"/>
            <w:hideMark/>
          </w:tcPr>
          <w:p w14:paraId="7BEDBDF7" w14:textId="77777777" w:rsidR="001B6918" w:rsidRPr="004E6649" w:rsidRDefault="001B6918" w:rsidP="00730ECF">
            <w:pPr>
              <w:ind w:firstLineChars="200" w:firstLine="440"/>
              <w:rPr>
                <w:rFonts w:eastAsia="Times New Roman" w:cstheme="minorHAnsi"/>
                <w:color w:val="0D0D0D"/>
              </w:rPr>
            </w:pPr>
            <w:r w:rsidRPr="004E6649">
              <w:rPr>
                <w:rFonts w:eastAsia="Times New Roman" w:cstheme="minorHAnsi"/>
                <w:color w:val="0D0D0D"/>
              </w:rPr>
              <w:t>Changes of assumptions and other inputs</w:t>
            </w:r>
          </w:p>
        </w:tc>
        <w:tc>
          <w:tcPr>
            <w:tcW w:w="1441" w:type="dxa"/>
            <w:tcBorders>
              <w:top w:val="nil"/>
              <w:left w:val="nil"/>
              <w:right w:val="nil"/>
            </w:tcBorders>
            <w:shd w:val="clear" w:color="000000" w:fill="FFFFFF"/>
            <w:noWrap/>
            <w:vAlign w:val="bottom"/>
            <w:hideMark/>
          </w:tcPr>
          <w:p w14:paraId="6A9D9C12" w14:textId="77777777" w:rsidR="001B6918" w:rsidRPr="00413B9C" w:rsidRDefault="001B6918" w:rsidP="00730ECF">
            <w:pPr>
              <w:jc w:val="center"/>
              <w:rPr>
                <w:rFonts w:eastAsia="Times New Roman" w:cstheme="minorHAnsi"/>
              </w:rPr>
            </w:pPr>
            <w:r w:rsidRPr="00413B9C">
              <w:rPr>
                <w:rFonts w:cstheme="minorHAnsi"/>
              </w:rPr>
              <w:t xml:space="preserve">              (583)</w:t>
            </w:r>
            <w:r w:rsidRPr="00413B9C" w:rsidDel="009E2A5C">
              <w:rPr>
                <w:rFonts w:cstheme="minorHAnsi"/>
              </w:rPr>
              <w:t xml:space="preserve"> </w:t>
            </w:r>
          </w:p>
        </w:tc>
        <w:tc>
          <w:tcPr>
            <w:tcW w:w="1109" w:type="dxa"/>
            <w:tcBorders>
              <w:top w:val="nil"/>
              <w:left w:val="nil"/>
              <w:right w:val="nil"/>
            </w:tcBorders>
            <w:shd w:val="clear" w:color="auto" w:fill="F2F2F2" w:themeFill="background1" w:themeFillShade="F2"/>
            <w:vAlign w:val="bottom"/>
          </w:tcPr>
          <w:p w14:paraId="3B795BBF" w14:textId="77777777" w:rsidR="001B6918" w:rsidRPr="004E6649" w:rsidRDefault="001B6918" w:rsidP="00730ECF">
            <w:pPr>
              <w:jc w:val="right"/>
              <w:rPr>
                <w:rFonts w:cstheme="minorHAnsi"/>
              </w:rPr>
            </w:pPr>
            <w:r w:rsidRPr="004E6649">
              <w:rPr>
                <w:rFonts w:cstheme="minorHAnsi"/>
              </w:rPr>
              <w:t>(</w:t>
            </w:r>
            <w:r>
              <w:rPr>
                <w:rFonts w:cstheme="minorHAnsi"/>
              </w:rPr>
              <w:t>137</w:t>
            </w:r>
            <w:r w:rsidRPr="004E6649">
              <w:rPr>
                <w:rFonts w:cstheme="minorHAnsi"/>
              </w:rPr>
              <w:t>)</w:t>
            </w:r>
          </w:p>
        </w:tc>
      </w:tr>
      <w:tr w:rsidR="001B6918" w:rsidRPr="004E6649" w14:paraId="6175BEA5" w14:textId="77777777" w:rsidTr="00730ECF">
        <w:trPr>
          <w:trHeight w:val="70"/>
          <w:jc w:val="center"/>
        </w:trPr>
        <w:tc>
          <w:tcPr>
            <w:tcW w:w="6210" w:type="dxa"/>
            <w:tcBorders>
              <w:left w:val="nil"/>
              <w:bottom w:val="single" w:sz="8" w:space="0" w:color="000000" w:themeColor="text1"/>
              <w:right w:val="nil"/>
            </w:tcBorders>
            <w:shd w:val="clear" w:color="000000" w:fill="FFFFFF"/>
            <w:vAlign w:val="bottom"/>
            <w:hideMark/>
          </w:tcPr>
          <w:p w14:paraId="4DD3AA6D" w14:textId="77777777" w:rsidR="001B6918" w:rsidRPr="004E6649" w:rsidRDefault="001B6918" w:rsidP="00730ECF">
            <w:pPr>
              <w:ind w:firstLineChars="200" w:firstLine="440"/>
              <w:rPr>
                <w:rFonts w:eastAsia="Times New Roman" w:cstheme="minorHAnsi"/>
                <w:color w:val="0D0D0D"/>
              </w:rPr>
            </w:pPr>
            <w:r w:rsidRPr="004E6649">
              <w:rPr>
                <w:rFonts w:eastAsia="Times New Roman" w:cstheme="minorHAnsi"/>
                <w:color w:val="0D0D0D"/>
              </w:rPr>
              <w:t>Benefit payments</w:t>
            </w:r>
          </w:p>
        </w:tc>
        <w:tc>
          <w:tcPr>
            <w:tcW w:w="1441" w:type="dxa"/>
            <w:tcBorders>
              <w:left w:val="nil"/>
              <w:bottom w:val="single" w:sz="8" w:space="0" w:color="000000" w:themeColor="text1"/>
              <w:right w:val="nil"/>
            </w:tcBorders>
            <w:shd w:val="clear" w:color="000000" w:fill="FFFFFF"/>
            <w:noWrap/>
            <w:vAlign w:val="bottom"/>
            <w:hideMark/>
          </w:tcPr>
          <w:p w14:paraId="4C3DFD33" w14:textId="77777777" w:rsidR="001B6918" w:rsidRPr="00413B9C" w:rsidRDefault="001B6918" w:rsidP="00730ECF">
            <w:pPr>
              <w:jc w:val="right"/>
              <w:rPr>
                <w:rFonts w:eastAsia="Times New Roman" w:cstheme="minorHAnsi"/>
              </w:rPr>
            </w:pPr>
            <w:r w:rsidRPr="00413B9C">
              <w:rPr>
                <w:rFonts w:cstheme="minorHAnsi"/>
              </w:rPr>
              <w:t>(2,395)</w:t>
            </w:r>
          </w:p>
        </w:tc>
        <w:tc>
          <w:tcPr>
            <w:tcW w:w="1109" w:type="dxa"/>
            <w:tcBorders>
              <w:left w:val="nil"/>
              <w:bottom w:val="single" w:sz="8" w:space="0" w:color="000000" w:themeColor="text1"/>
              <w:right w:val="nil"/>
            </w:tcBorders>
            <w:shd w:val="clear" w:color="auto" w:fill="F2F2F2" w:themeFill="background1" w:themeFillShade="F2"/>
            <w:vAlign w:val="bottom"/>
          </w:tcPr>
          <w:p w14:paraId="0127730F" w14:textId="77777777" w:rsidR="001B6918" w:rsidRPr="004E6649" w:rsidRDefault="001B6918" w:rsidP="00730ECF">
            <w:pPr>
              <w:jc w:val="right"/>
              <w:rPr>
                <w:rFonts w:cstheme="minorHAnsi"/>
              </w:rPr>
            </w:pPr>
            <w:r w:rsidRPr="004E6649">
              <w:rPr>
                <w:rFonts w:cstheme="minorHAnsi"/>
              </w:rPr>
              <w:t>(</w:t>
            </w:r>
            <w:r>
              <w:rPr>
                <w:rFonts w:cstheme="minorHAnsi"/>
              </w:rPr>
              <w:t>3,314</w:t>
            </w:r>
            <w:r w:rsidRPr="004E6649">
              <w:rPr>
                <w:rFonts w:cstheme="minorHAnsi"/>
              </w:rPr>
              <w:t>)</w:t>
            </w:r>
          </w:p>
        </w:tc>
      </w:tr>
      <w:tr w:rsidR="001B6918" w:rsidRPr="004E6649" w14:paraId="050C9D94" w14:textId="77777777" w:rsidTr="00730ECF">
        <w:trPr>
          <w:trHeight w:val="46"/>
          <w:jc w:val="center"/>
        </w:trPr>
        <w:tc>
          <w:tcPr>
            <w:tcW w:w="6210" w:type="dxa"/>
            <w:tcBorders>
              <w:top w:val="single" w:sz="8" w:space="0" w:color="000000" w:themeColor="text1"/>
              <w:left w:val="nil"/>
              <w:bottom w:val="single" w:sz="8" w:space="0" w:color="000000" w:themeColor="text1"/>
              <w:right w:val="nil"/>
            </w:tcBorders>
            <w:shd w:val="clear" w:color="000000" w:fill="FFFFFF"/>
            <w:noWrap/>
            <w:vAlign w:val="bottom"/>
            <w:hideMark/>
          </w:tcPr>
          <w:p w14:paraId="7D1FA29F"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Total pension liability – ending (a)</w:t>
            </w:r>
          </w:p>
        </w:tc>
        <w:tc>
          <w:tcPr>
            <w:tcW w:w="1441" w:type="dxa"/>
            <w:tcBorders>
              <w:top w:val="single" w:sz="8" w:space="0" w:color="000000" w:themeColor="text1"/>
              <w:left w:val="nil"/>
              <w:bottom w:val="single" w:sz="8" w:space="0" w:color="000000" w:themeColor="text1"/>
              <w:right w:val="nil"/>
            </w:tcBorders>
            <w:shd w:val="clear" w:color="000000" w:fill="FFFFFF"/>
            <w:noWrap/>
            <w:vAlign w:val="bottom"/>
            <w:hideMark/>
          </w:tcPr>
          <w:p w14:paraId="41AE9B88" w14:textId="77777777" w:rsidR="001B6918" w:rsidRPr="00413B9C" w:rsidRDefault="001B6918" w:rsidP="00730ECF">
            <w:pPr>
              <w:jc w:val="right"/>
              <w:rPr>
                <w:rFonts w:eastAsia="Times New Roman" w:cstheme="minorHAnsi"/>
              </w:rPr>
            </w:pPr>
            <w:r w:rsidRPr="00413B9C">
              <w:rPr>
                <w:rFonts w:cstheme="minorHAnsi"/>
              </w:rPr>
              <w:t>14,256</w:t>
            </w:r>
          </w:p>
        </w:tc>
        <w:tc>
          <w:tcPr>
            <w:tcW w:w="1109" w:type="dxa"/>
            <w:tcBorders>
              <w:top w:val="single" w:sz="8" w:space="0" w:color="000000" w:themeColor="text1"/>
              <w:left w:val="nil"/>
              <w:bottom w:val="single" w:sz="8" w:space="0" w:color="000000" w:themeColor="text1"/>
              <w:right w:val="nil"/>
            </w:tcBorders>
            <w:shd w:val="clear" w:color="auto" w:fill="F2F2F2" w:themeFill="background1" w:themeFillShade="F2"/>
            <w:vAlign w:val="bottom"/>
          </w:tcPr>
          <w:p w14:paraId="62918E4A" w14:textId="77777777" w:rsidR="001B6918" w:rsidRPr="004E6649" w:rsidRDefault="001B6918" w:rsidP="00730ECF">
            <w:pPr>
              <w:jc w:val="right"/>
              <w:rPr>
                <w:rFonts w:cstheme="minorHAnsi"/>
              </w:rPr>
            </w:pPr>
            <w:r>
              <w:rPr>
                <w:rFonts w:cstheme="minorHAnsi"/>
              </w:rPr>
              <w:t>14,718</w:t>
            </w:r>
          </w:p>
        </w:tc>
      </w:tr>
      <w:tr w:rsidR="001B6918" w:rsidRPr="004E6649" w14:paraId="3B035247" w14:textId="77777777" w:rsidTr="00730ECF">
        <w:trPr>
          <w:trHeight w:val="46"/>
          <w:jc w:val="center"/>
        </w:trPr>
        <w:tc>
          <w:tcPr>
            <w:tcW w:w="6210" w:type="dxa"/>
            <w:tcBorders>
              <w:top w:val="single" w:sz="8" w:space="0" w:color="000000" w:themeColor="text1"/>
              <w:left w:val="nil"/>
              <w:right w:val="nil"/>
            </w:tcBorders>
            <w:shd w:val="clear" w:color="000000" w:fill="FFFFFF"/>
            <w:noWrap/>
            <w:vAlign w:val="bottom"/>
            <w:hideMark/>
          </w:tcPr>
          <w:p w14:paraId="5005F16F"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 xml:space="preserve">Fiduciary net position – beginning </w:t>
            </w:r>
          </w:p>
        </w:tc>
        <w:tc>
          <w:tcPr>
            <w:tcW w:w="1441" w:type="dxa"/>
            <w:tcBorders>
              <w:top w:val="single" w:sz="8" w:space="0" w:color="000000" w:themeColor="text1"/>
              <w:left w:val="nil"/>
              <w:right w:val="nil"/>
            </w:tcBorders>
            <w:shd w:val="clear" w:color="000000" w:fill="FFFFFF"/>
            <w:noWrap/>
            <w:vAlign w:val="bottom"/>
            <w:hideMark/>
          </w:tcPr>
          <w:p w14:paraId="0F0C11C9" w14:textId="77777777" w:rsidR="001B6918" w:rsidRPr="00413B9C" w:rsidRDefault="001B6918" w:rsidP="00730ECF">
            <w:pPr>
              <w:jc w:val="right"/>
              <w:rPr>
                <w:rFonts w:eastAsia="Times New Roman" w:cstheme="minorHAnsi"/>
              </w:rPr>
            </w:pPr>
            <w:r w:rsidRPr="00413B9C">
              <w:rPr>
                <w:rFonts w:cstheme="minorHAnsi"/>
              </w:rPr>
              <w:t>-</w:t>
            </w:r>
          </w:p>
        </w:tc>
        <w:tc>
          <w:tcPr>
            <w:tcW w:w="1109" w:type="dxa"/>
            <w:tcBorders>
              <w:top w:val="single" w:sz="8" w:space="0" w:color="000000" w:themeColor="text1"/>
              <w:left w:val="nil"/>
              <w:right w:val="nil"/>
            </w:tcBorders>
            <w:shd w:val="clear" w:color="auto" w:fill="F2F2F2" w:themeFill="background1" w:themeFillShade="F2"/>
            <w:vAlign w:val="bottom"/>
          </w:tcPr>
          <w:p w14:paraId="5D12F30E" w14:textId="77777777" w:rsidR="001B6918" w:rsidRPr="004E6649" w:rsidRDefault="001B6918" w:rsidP="00730ECF">
            <w:pPr>
              <w:jc w:val="right"/>
              <w:rPr>
                <w:rFonts w:cstheme="minorHAnsi"/>
              </w:rPr>
            </w:pPr>
            <w:r w:rsidRPr="004E6649">
              <w:rPr>
                <w:rFonts w:cstheme="minorHAnsi"/>
              </w:rPr>
              <w:t>-</w:t>
            </w:r>
          </w:p>
        </w:tc>
      </w:tr>
      <w:tr w:rsidR="001B6918" w:rsidRPr="004E6649" w14:paraId="70965F1B" w14:textId="77777777" w:rsidTr="00730ECF">
        <w:trPr>
          <w:trHeight w:val="126"/>
          <w:jc w:val="center"/>
        </w:trPr>
        <w:tc>
          <w:tcPr>
            <w:tcW w:w="6210" w:type="dxa"/>
            <w:tcBorders>
              <w:top w:val="nil"/>
              <w:left w:val="nil"/>
              <w:right w:val="nil"/>
            </w:tcBorders>
            <w:shd w:val="clear" w:color="000000" w:fill="FFFFFF"/>
            <w:vAlign w:val="bottom"/>
            <w:hideMark/>
          </w:tcPr>
          <w:p w14:paraId="097840BE" w14:textId="77777777" w:rsidR="001B6918" w:rsidRPr="004E6649" w:rsidRDefault="001B6918" w:rsidP="00730ECF">
            <w:pPr>
              <w:ind w:firstLineChars="200" w:firstLine="440"/>
              <w:rPr>
                <w:rFonts w:eastAsia="Times New Roman" w:cstheme="minorHAnsi"/>
                <w:color w:val="0D0D0D"/>
              </w:rPr>
            </w:pPr>
            <w:r w:rsidRPr="004E6649">
              <w:rPr>
                <w:rFonts w:eastAsia="Times New Roman" w:cstheme="minorHAnsi"/>
                <w:color w:val="0D0D0D"/>
              </w:rPr>
              <w:t>Contributions – employer</w:t>
            </w:r>
          </w:p>
        </w:tc>
        <w:tc>
          <w:tcPr>
            <w:tcW w:w="1441" w:type="dxa"/>
            <w:tcBorders>
              <w:top w:val="nil"/>
              <w:left w:val="nil"/>
              <w:right w:val="nil"/>
            </w:tcBorders>
            <w:shd w:val="clear" w:color="000000" w:fill="FFFFFF"/>
            <w:noWrap/>
            <w:vAlign w:val="bottom"/>
            <w:hideMark/>
          </w:tcPr>
          <w:p w14:paraId="65586F6B" w14:textId="77777777" w:rsidR="001B6918" w:rsidRPr="00413B9C" w:rsidRDefault="001B6918" w:rsidP="00730ECF">
            <w:pPr>
              <w:jc w:val="right"/>
              <w:rPr>
                <w:rFonts w:eastAsia="Times New Roman" w:cstheme="minorHAnsi"/>
              </w:rPr>
            </w:pPr>
            <w:r w:rsidRPr="00413B9C">
              <w:rPr>
                <w:rFonts w:cstheme="minorHAnsi"/>
              </w:rPr>
              <w:t>2,395</w:t>
            </w:r>
          </w:p>
        </w:tc>
        <w:tc>
          <w:tcPr>
            <w:tcW w:w="1109" w:type="dxa"/>
            <w:tcBorders>
              <w:top w:val="nil"/>
              <w:left w:val="nil"/>
              <w:right w:val="nil"/>
            </w:tcBorders>
            <w:shd w:val="clear" w:color="auto" w:fill="F2F2F2" w:themeFill="background1" w:themeFillShade="F2"/>
            <w:vAlign w:val="bottom"/>
          </w:tcPr>
          <w:p w14:paraId="0CB75722" w14:textId="77777777" w:rsidR="001B6918" w:rsidRPr="004E6649" w:rsidRDefault="001B6918" w:rsidP="00730ECF">
            <w:pPr>
              <w:jc w:val="right"/>
              <w:rPr>
                <w:rFonts w:cstheme="minorHAnsi"/>
              </w:rPr>
            </w:pPr>
            <w:r>
              <w:rPr>
                <w:rFonts w:cstheme="minorHAnsi"/>
              </w:rPr>
              <w:t>3,314</w:t>
            </w:r>
          </w:p>
        </w:tc>
      </w:tr>
      <w:tr w:rsidR="001B6918" w:rsidRPr="004E6649" w14:paraId="768D50A8" w14:textId="77777777" w:rsidTr="00730ECF">
        <w:trPr>
          <w:trHeight w:val="115"/>
          <w:jc w:val="center"/>
        </w:trPr>
        <w:tc>
          <w:tcPr>
            <w:tcW w:w="6210" w:type="dxa"/>
            <w:tcBorders>
              <w:left w:val="nil"/>
              <w:bottom w:val="single" w:sz="8" w:space="0" w:color="000000" w:themeColor="text1"/>
              <w:right w:val="nil"/>
            </w:tcBorders>
            <w:shd w:val="clear" w:color="000000" w:fill="FFFFFF"/>
            <w:vAlign w:val="bottom"/>
            <w:hideMark/>
          </w:tcPr>
          <w:p w14:paraId="53CB9202" w14:textId="77777777" w:rsidR="001B6918" w:rsidRPr="004E6649" w:rsidRDefault="001B6918" w:rsidP="00730ECF">
            <w:pPr>
              <w:ind w:firstLineChars="200" w:firstLine="440"/>
              <w:rPr>
                <w:rFonts w:eastAsia="Times New Roman" w:cstheme="minorHAnsi"/>
                <w:color w:val="0D0D0D"/>
              </w:rPr>
            </w:pPr>
            <w:r w:rsidRPr="004E6649">
              <w:rPr>
                <w:rFonts w:eastAsia="Times New Roman" w:cstheme="minorHAnsi"/>
                <w:color w:val="0D0D0D"/>
              </w:rPr>
              <w:t>Benefit payments</w:t>
            </w:r>
          </w:p>
        </w:tc>
        <w:tc>
          <w:tcPr>
            <w:tcW w:w="1441" w:type="dxa"/>
            <w:tcBorders>
              <w:left w:val="nil"/>
              <w:bottom w:val="single" w:sz="8" w:space="0" w:color="000000" w:themeColor="text1"/>
              <w:right w:val="nil"/>
            </w:tcBorders>
            <w:shd w:val="clear" w:color="000000" w:fill="FFFFFF"/>
            <w:noWrap/>
            <w:vAlign w:val="bottom"/>
            <w:hideMark/>
          </w:tcPr>
          <w:p w14:paraId="43AD32AA" w14:textId="77777777" w:rsidR="001B6918" w:rsidRPr="00413B9C" w:rsidRDefault="001B6918" w:rsidP="00730ECF">
            <w:pPr>
              <w:jc w:val="right"/>
              <w:rPr>
                <w:rFonts w:eastAsia="Times New Roman" w:cstheme="minorHAnsi"/>
              </w:rPr>
            </w:pPr>
            <w:r w:rsidRPr="00413B9C">
              <w:rPr>
                <w:rFonts w:cstheme="minorHAnsi"/>
              </w:rPr>
              <w:t>(2,395)</w:t>
            </w:r>
          </w:p>
        </w:tc>
        <w:tc>
          <w:tcPr>
            <w:tcW w:w="1109" w:type="dxa"/>
            <w:tcBorders>
              <w:left w:val="nil"/>
              <w:bottom w:val="single" w:sz="8" w:space="0" w:color="000000" w:themeColor="text1"/>
              <w:right w:val="nil"/>
            </w:tcBorders>
            <w:shd w:val="clear" w:color="auto" w:fill="F2F2F2" w:themeFill="background1" w:themeFillShade="F2"/>
            <w:vAlign w:val="bottom"/>
          </w:tcPr>
          <w:p w14:paraId="667D78B9" w14:textId="77777777" w:rsidR="001B6918" w:rsidRPr="004E6649" w:rsidRDefault="001B6918" w:rsidP="00730ECF">
            <w:pPr>
              <w:jc w:val="right"/>
              <w:rPr>
                <w:rFonts w:cstheme="minorHAnsi"/>
              </w:rPr>
            </w:pPr>
            <w:r w:rsidRPr="004E6649">
              <w:rPr>
                <w:rFonts w:cstheme="minorHAnsi"/>
              </w:rPr>
              <w:t>(</w:t>
            </w:r>
            <w:r>
              <w:rPr>
                <w:rFonts w:cstheme="minorHAnsi"/>
              </w:rPr>
              <w:t>3,314</w:t>
            </w:r>
            <w:r w:rsidRPr="004E6649">
              <w:rPr>
                <w:rFonts w:cstheme="minorHAnsi"/>
              </w:rPr>
              <w:t>)</w:t>
            </w:r>
          </w:p>
        </w:tc>
      </w:tr>
      <w:tr w:rsidR="001B6918" w:rsidRPr="004E6649" w14:paraId="3CCC9ABB" w14:textId="77777777" w:rsidTr="00730ECF">
        <w:trPr>
          <w:trHeight w:val="46"/>
          <w:jc w:val="center"/>
        </w:trPr>
        <w:tc>
          <w:tcPr>
            <w:tcW w:w="6210" w:type="dxa"/>
            <w:tcBorders>
              <w:top w:val="single" w:sz="8" w:space="0" w:color="000000" w:themeColor="text1"/>
              <w:left w:val="nil"/>
              <w:bottom w:val="single" w:sz="8" w:space="0" w:color="000000" w:themeColor="text1"/>
              <w:right w:val="nil"/>
            </w:tcBorders>
            <w:shd w:val="clear" w:color="000000" w:fill="FFFFFF"/>
            <w:noWrap/>
            <w:vAlign w:val="bottom"/>
            <w:hideMark/>
          </w:tcPr>
          <w:p w14:paraId="265C3C1D"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Fiduciary net position – ending (b)</w:t>
            </w:r>
          </w:p>
        </w:tc>
        <w:tc>
          <w:tcPr>
            <w:tcW w:w="1441" w:type="dxa"/>
            <w:tcBorders>
              <w:top w:val="single" w:sz="8" w:space="0" w:color="000000" w:themeColor="text1"/>
              <w:left w:val="nil"/>
              <w:bottom w:val="single" w:sz="8" w:space="0" w:color="000000" w:themeColor="text1"/>
              <w:right w:val="nil"/>
            </w:tcBorders>
            <w:shd w:val="clear" w:color="000000" w:fill="FFFFFF"/>
            <w:noWrap/>
            <w:vAlign w:val="bottom"/>
            <w:hideMark/>
          </w:tcPr>
          <w:p w14:paraId="3B7ADA69" w14:textId="77777777" w:rsidR="001B6918" w:rsidRPr="004045CB" w:rsidRDefault="001B6918" w:rsidP="00730ECF">
            <w:pPr>
              <w:jc w:val="right"/>
              <w:rPr>
                <w:rFonts w:eastAsia="Times New Roman" w:cstheme="minorHAnsi"/>
                <w:color w:val="FF0000"/>
              </w:rPr>
            </w:pPr>
            <w:r w:rsidRPr="00413B9C">
              <w:rPr>
                <w:rFonts w:cstheme="minorHAnsi"/>
              </w:rPr>
              <w:t>-</w:t>
            </w:r>
          </w:p>
        </w:tc>
        <w:tc>
          <w:tcPr>
            <w:tcW w:w="1109" w:type="dxa"/>
            <w:tcBorders>
              <w:top w:val="single" w:sz="8" w:space="0" w:color="000000" w:themeColor="text1"/>
              <w:left w:val="nil"/>
              <w:bottom w:val="single" w:sz="8" w:space="0" w:color="000000" w:themeColor="text1"/>
              <w:right w:val="nil"/>
            </w:tcBorders>
            <w:shd w:val="clear" w:color="auto" w:fill="F2F2F2" w:themeFill="background1" w:themeFillShade="F2"/>
            <w:vAlign w:val="bottom"/>
          </w:tcPr>
          <w:p w14:paraId="7319B89F" w14:textId="77777777" w:rsidR="001B6918" w:rsidRPr="004E6649" w:rsidRDefault="001B6918" w:rsidP="00730ECF">
            <w:pPr>
              <w:jc w:val="right"/>
              <w:rPr>
                <w:rFonts w:cstheme="minorHAnsi"/>
              </w:rPr>
            </w:pPr>
            <w:r w:rsidRPr="004E6649">
              <w:rPr>
                <w:rFonts w:cstheme="minorHAnsi"/>
              </w:rPr>
              <w:t>-</w:t>
            </w:r>
          </w:p>
        </w:tc>
      </w:tr>
      <w:tr w:rsidR="001B6918" w:rsidRPr="004E6649" w14:paraId="4DC7E5AF" w14:textId="77777777" w:rsidTr="00730ECF">
        <w:trPr>
          <w:trHeight w:val="79"/>
          <w:jc w:val="center"/>
        </w:trPr>
        <w:tc>
          <w:tcPr>
            <w:tcW w:w="6210" w:type="dxa"/>
            <w:tcBorders>
              <w:top w:val="single" w:sz="8" w:space="0" w:color="000000" w:themeColor="text1"/>
              <w:left w:val="nil"/>
              <w:bottom w:val="double" w:sz="4" w:space="0" w:color="000000" w:themeColor="text1"/>
              <w:right w:val="nil"/>
            </w:tcBorders>
            <w:shd w:val="clear" w:color="000000" w:fill="FFFFFF"/>
            <w:noWrap/>
            <w:vAlign w:val="bottom"/>
            <w:hideMark/>
          </w:tcPr>
          <w:p w14:paraId="1058D23A"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Net pension liability – ending (a)-(b)</w:t>
            </w:r>
          </w:p>
        </w:tc>
        <w:tc>
          <w:tcPr>
            <w:tcW w:w="1441" w:type="dxa"/>
            <w:tcBorders>
              <w:top w:val="single" w:sz="8" w:space="0" w:color="000000" w:themeColor="text1"/>
              <w:left w:val="nil"/>
              <w:bottom w:val="double" w:sz="4" w:space="0" w:color="000000" w:themeColor="text1"/>
              <w:right w:val="nil"/>
            </w:tcBorders>
            <w:shd w:val="clear" w:color="000000" w:fill="FFFFFF"/>
            <w:noWrap/>
            <w:vAlign w:val="bottom"/>
            <w:hideMark/>
          </w:tcPr>
          <w:p w14:paraId="3A85A9D4" w14:textId="77777777" w:rsidR="001B6918" w:rsidRPr="00413B9C" w:rsidRDefault="001B6918" w:rsidP="00730ECF">
            <w:pPr>
              <w:jc w:val="right"/>
              <w:rPr>
                <w:rFonts w:eastAsia="Times New Roman" w:cstheme="minorHAnsi"/>
              </w:rPr>
            </w:pPr>
            <w:r w:rsidRPr="00413B9C">
              <w:rPr>
                <w:rFonts w:cstheme="minorHAnsi"/>
              </w:rPr>
              <w:t>$ 14,256</w:t>
            </w:r>
          </w:p>
        </w:tc>
        <w:tc>
          <w:tcPr>
            <w:tcW w:w="1109" w:type="dxa"/>
            <w:tcBorders>
              <w:top w:val="single" w:sz="8" w:space="0" w:color="000000" w:themeColor="text1"/>
              <w:left w:val="nil"/>
              <w:bottom w:val="double" w:sz="4" w:space="0" w:color="000000" w:themeColor="text1"/>
              <w:right w:val="nil"/>
            </w:tcBorders>
            <w:shd w:val="clear" w:color="auto" w:fill="F2F2F2" w:themeFill="background1" w:themeFillShade="F2"/>
            <w:vAlign w:val="bottom"/>
          </w:tcPr>
          <w:p w14:paraId="34D0EAAE" w14:textId="77777777" w:rsidR="001B6918" w:rsidRPr="004E6649" w:rsidRDefault="001B6918" w:rsidP="00730ECF">
            <w:pPr>
              <w:jc w:val="right"/>
              <w:rPr>
                <w:rFonts w:cstheme="minorHAnsi"/>
              </w:rPr>
            </w:pPr>
            <w:r w:rsidRPr="004E6649">
              <w:rPr>
                <w:rFonts w:cstheme="minorHAnsi"/>
              </w:rPr>
              <w:t xml:space="preserve">$ </w:t>
            </w:r>
            <w:r>
              <w:rPr>
                <w:rFonts w:cstheme="minorHAnsi"/>
              </w:rPr>
              <w:t>14,718</w:t>
            </w:r>
          </w:p>
        </w:tc>
      </w:tr>
      <w:tr w:rsidR="001B6918" w:rsidRPr="004E6649" w14:paraId="75538A2F" w14:textId="77777777" w:rsidTr="00730ECF">
        <w:trPr>
          <w:trHeight w:val="51"/>
          <w:jc w:val="center"/>
        </w:trPr>
        <w:tc>
          <w:tcPr>
            <w:tcW w:w="6210" w:type="dxa"/>
            <w:tcBorders>
              <w:top w:val="double" w:sz="4" w:space="0" w:color="000000" w:themeColor="text1"/>
              <w:left w:val="nil"/>
              <w:bottom w:val="nil"/>
              <w:right w:val="nil"/>
            </w:tcBorders>
            <w:shd w:val="clear" w:color="000000" w:fill="FFFFFF"/>
            <w:noWrap/>
            <w:vAlign w:val="bottom"/>
            <w:hideMark/>
          </w:tcPr>
          <w:p w14:paraId="08C34790"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Fiduciary net position as a percentage of the total pension liability</w:t>
            </w:r>
          </w:p>
        </w:tc>
        <w:tc>
          <w:tcPr>
            <w:tcW w:w="1441" w:type="dxa"/>
            <w:tcBorders>
              <w:top w:val="double" w:sz="4" w:space="0" w:color="000000" w:themeColor="text1"/>
              <w:left w:val="nil"/>
              <w:bottom w:val="nil"/>
              <w:right w:val="nil"/>
            </w:tcBorders>
            <w:shd w:val="clear" w:color="000000" w:fill="FFFFFF"/>
            <w:noWrap/>
            <w:vAlign w:val="bottom"/>
            <w:hideMark/>
          </w:tcPr>
          <w:p w14:paraId="469D22BF" w14:textId="77777777" w:rsidR="001B6918" w:rsidRPr="00413B9C" w:rsidRDefault="001B6918" w:rsidP="00730ECF">
            <w:pPr>
              <w:jc w:val="right"/>
              <w:rPr>
                <w:rFonts w:eastAsia="Times New Roman" w:cstheme="minorHAnsi"/>
              </w:rPr>
            </w:pPr>
            <w:r w:rsidRPr="00413B9C">
              <w:rPr>
                <w:rFonts w:cstheme="minorHAnsi"/>
              </w:rPr>
              <w:t>0.00%</w:t>
            </w:r>
          </w:p>
        </w:tc>
        <w:tc>
          <w:tcPr>
            <w:tcW w:w="1109" w:type="dxa"/>
            <w:tcBorders>
              <w:top w:val="double" w:sz="4" w:space="0" w:color="000000" w:themeColor="text1"/>
              <w:left w:val="nil"/>
              <w:bottom w:val="nil"/>
              <w:right w:val="nil"/>
            </w:tcBorders>
            <w:shd w:val="clear" w:color="auto" w:fill="F2F2F2" w:themeFill="background1" w:themeFillShade="F2"/>
            <w:vAlign w:val="bottom"/>
          </w:tcPr>
          <w:p w14:paraId="154AE583" w14:textId="77777777" w:rsidR="001B6918" w:rsidRPr="004E6649" w:rsidRDefault="001B6918" w:rsidP="00730ECF">
            <w:pPr>
              <w:jc w:val="right"/>
              <w:rPr>
                <w:rFonts w:cstheme="minorHAnsi"/>
              </w:rPr>
            </w:pPr>
            <w:r w:rsidRPr="004E6649">
              <w:rPr>
                <w:rFonts w:cstheme="minorHAnsi"/>
              </w:rPr>
              <w:t>0.00%</w:t>
            </w:r>
          </w:p>
        </w:tc>
      </w:tr>
      <w:tr w:rsidR="001B6918" w:rsidRPr="004E6649" w14:paraId="41EA48C3" w14:textId="77777777" w:rsidTr="00730ECF">
        <w:trPr>
          <w:trHeight w:val="66"/>
          <w:jc w:val="center"/>
        </w:trPr>
        <w:tc>
          <w:tcPr>
            <w:tcW w:w="6210" w:type="dxa"/>
            <w:tcBorders>
              <w:top w:val="nil"/>
              <w:left w:val="nil"/>
              <w:bottom w:val="nil"/>
              <w:right w:val="nil"/>
            </w:tcBorders>
            <w:shd w:val="clear" w:color="000000" w:fill="FFFFFF"/>
            <w:noWrap/>
            <w:vAlign w:val="bottom"/>
            <w:hideMark/>
          </w:tcPr>
          <w:p w14:paraId="20E924BD"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Covered payroll</w:t>
            </w:r>
          </w:p>
        </w:tc>
        <w:tc>
          <w:tcPr>
            <w:tcW w:w="1441" w:type="dxa"/>
            <w:tcBorders>
              <w:top w:val="nil"/>
              <w:left w:val="nil"/>
              <w:bottom w:val="nil"/>
              <w:right w:val="nil"/>
            </w:tcBorders>
            <w:shd w:val="clear" w:color="000000" w:fill="FFFFFF"/>
            <w:noWrap/>
            <w:vAlign w:val="bottom"/>
            <w:hideMark/>
          </w:tcPr>
          <w:p w14:paraId="2B331D49" w14:textId="77777777" w:rsidR="001B6918" w:rsidRPr="00413B9C" w:rsidRDefault="001B6918" w:rsidP="00730ECF">
            <w:pPr>
              <w:jc w:val="right"/>
              <w:rPr>
                <w:rFonts w:eastAsia="Times New Roman" w:cstheme="minorHAnsi"/>
              </w:rPr>
            </w:pPr>
            <w:r w:rsidRPr="00413B9C">
              <w:rPr>
                <w:rFonts w:cstheme="minorHAnsi"/>
              </w:rPr>
              <w:t>$ 43,911</w:t>
            </w:r>
          </w:p>
        </w:tc>
        <w:tc>
          <w:tcPr>
            <w:tcW w:w="1109" w:type="dxa"/>
            <w:tcBorders>
              <w:top w:val="nil"/>
              <w:left w:val="nil"/>
              <w:bottom w:val="nil"/>
              <w:right w:val="nil"/>
            </w:tcBorders>
            <w:shd w:val="clear" w:color="auto" w:fill="F2F2F2" w:themeFill="background1" w:themeFillShade="F2"/>
            <w:vAlign w:val="bottom"/>
          </w:tcPr>
          <w:p w14:paraId="62F73CF4" w14:textId="77777777" w:rsidR="001B6918" w:rsidRPr="004E6649" w:rsidRDefault="001B6918" w:rsidP="00730ECF">
            <w:pPr>
              <w:jc w:val="right"/>
              <w:rPr>
                <w:rFonts w:cstheme="minorHAnsi"/>
              </w:rPr>
            </w:pPr>
            <w:r w:rsidRPr="004E6649">
              <w:rPr>
                <w:rFonts w:cstheme="minorHAnsi"/>
              </w:rPr>
              <w:t xml:space="preserve">$ </w:t>
            </w:r>
            <w:r>
              <w:rPr>
                <w:rFonts w:cstheme="minorHAnsi"/>
              </w:rPr>
              <w:t>46,627</w:t>
            </w:r>
          </w:p>
        </w:tc>
      </w:tr>
      <w:tr w:rsidR="001B6918" w:rsidRPr="004E6649" w14:paraId="12A38C27" w14:textId="77777777" w:rsidTr="00730ECF">
        <w:trPr>
          <w:trHeight w:val="66"/>
          <w:jc w:val="center"/>
        </w:trPr>
        <w:tc>
          <w:tcPr>
            <w:tcW w:w="6210" w:type="dxa"/>
            <w:tcBorders>
              <w:top w:val="nil"/>
              <w:left w:val="nil"/>
              <w:bottom w:val="nil"/>
              <w:right w:val="nil"/>
            </w:tcBorders>
            <w:shd w:val="clear" w:color="000000" w:fill="FFFFFF"/>
            <w:noWrap/>
            <w:vAlign w:val="bottom"/>
            <w:hideMark/>
          </w:tcPr>
          <w:p w14:paraId="53F63ECD"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Net pension liability as a percentage of covered payroll</w:t>
            </w:r>
          </w:p>
        </w:tc>
        <w:tc>
          <w:tcPr>
            <w:tcW w:w="1441" w:type="dxa"/>
            <w:tcBorders>
              <w:top w:val="nil"/>
              <w:left w:val="nil"/>
              <w:bottom w:val="nil"/>
              <w:right w:val="nil"/>
            </w:tcBorders>
            <w:shd w:val="clear" w:color="000000" w:fill="FFFFFF"/>
            <w:noWrap/>
            <w:vAlign w:val="bottom"/>
            <w:hideMark/>
          </w:tcPr>
          <w:p w14:paraId="28D40FC6" w14:textId="77777777" w:rsidR="001B6918" w:rsidRPr="00413B9C" w:rsidRDefault="001B6918" w:rsidP="00730ECF">
            <w:pPr>
              <w:jc w:val="right"/>
              <w:rPr>
                <w:rFonts w:eastAsia="Times New Roman" w:cstheme="minorHAnsi"/>
              </w:rPr>
            </w:pPr>
            <w:r w:rsidRPr="00413B9C">
              <w:rPr>
                <w:rFonts w:cstheme="minorHAnsi"/>
              </w:rPr>
              <w:t>32.47%</w:t>
            </w:r>
          </w:p>
        </w:tc>
        <w:tc>
          <w:tcPr>
            <w:tcW w:w="1109" w:type="dxa"/>
            <w:tcBorders>
              <w:top w:val="nil"/>
              <w:left w:val="nil"/>
              <w:bottom w:val="nil"/>
              <w:right w:val="nil"/>
            </w:tcBorders>
            <w:shd w:val="clear" w:color="auto" w:fill="F2F2F2" w:themeFill="background1" w:themeFillShade="F2"/>
            <w:vAlign w:val="bottom"/>
          </w:tcPr>
          <w:p w14:paraId="6A6DD57A" w14:textId="77777777" w:rsidR="001B6918" w:rsidRPr="004E6649" w:rsidRDefault="001B6918" w:rsidP="00730ECF">
            <w:pPr>
              <w:jc w:val="right"/>
              <w:rPr>
                <w:rFonts w:cstheme="minorHAnsi"/>
              </w:rPr>
            </w:pPr>
            <w:r>
              <w:rPr>
                <w:rFonts w:cstheme="minorHAnsi"/>
              </w:rPr>
              <w:t>31.57</w:t>
            </w:r>
            <w:r w:rsidRPr="004E6649">
              <w:rPr>
                <w:rFonts w:cstheme="minorHAnsi"/>
              </w:rPr>
              <w:t>%</w:t>
            </w:r>
          </w:p>
        </w:tc>
      </w:tr>
      <w:tr w:rsidR="001B6918" w:rsidRPr="004E6649" w14:paraId="0E9CD674" w14:textId="77777777" w:rsidTr="00730ECF">
        <w:trPr>
          <w:trHeight w:val="66"/>
          <w:jc w:val="center"/>
        </w:trPr>
        <w:tc>
          <w:tcPr>
            <w:tcW w:w="6210" w:type="dxa"/>
            <w:tcBorders>
              <w:top w:val="nil"/>
              <w:left w:val="nil"/>
              <w:bottom w:val="nil"/>
              <w:right w:val="nil"/>
            </w:tcBorders>
            <w:shd w:val="clear" w:color="000000" w:fill="FFFFFF"/>
            <w:noWrap/>
            <w:vAlign w:val="bottom"/>
            <w:hideMark/>
          </w:tcPr>
          <w:p w14:paraId="27447E0D"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Contributions as a percentage of covered payroll</w:t>
            </w:r>
          </w:p>
        </w:tc>
        <w:tc>
          <w:tcPr>
            <w:tcW w:w="1441" w:type="dxa"/>
            <w:tcBorders>
              <w:top w:val="nil"/>
              <w:left w:val="nil"/>
              <w:bottom w:val="nil"/>
              <w:right w:val="nil"/>
            </w:tcBorders>
            <w:shd w:val="clear" w:color="000000" w:fill="FFFFFF"/>
            <w:noWrap/>
            <w:vAlign w:val="bottom"/>
            <w:hideMark/>
          </w:tcPr>
          <w:p w14:paraId="09A46FF3" w14:textId="77777777" w:rsidR="001B6918" w:rsidRPr="00413B9C" w:rsidRDefault="001B6918" w:rsidP="00730ECF">
            <w:pPr>
              <w:jc w:val="right"/>
              <w:rPr>
                <w:rFonts w:eastAsia="Times New Roman" w:cstheme="minorHAnsi"/>
              </w:rPr>
            </w:pPr>
            <w:r w:rsidRPr="00413B9C">
              <w:rPr>
                <w:rFonts w:cstheme="minorHAnsi"/>
              </w:rPr>
              <w:t>5.45%</w:t>
            </w:r>
          </w:p>
        </w:tc>
        <w:tc>
          <w:tcPr>
            <w:tcW w:w="1109" w:type="dxa"/>
            <w:tcBorders>
              <w:top w:val="nil"/>
              <w:left w:val="nil"/>
              <w:bottom w:val="nil"/>
              <w:right w:val="nil"/>
            </w:tcBorders>
            <w:shd w:val="clear" w:color="auto" w:fill="F2F2F2" w:themeFill="background1" w:themeFillShade="F2"/>
            <w:vAlign w:val="bottom"/>
          </w:tcPr>
          <w:p w14:paraId="04676BBD" w14:textId="77777777" w:rsidR="001B6918" w:rsidRPr="004E6649" w:rsidRDefault="001B6918" w:rsidP="00730ECF">
            <w:pPr>
              <w:jc w:val="right"/>
              <w:rPr>
                <w:rFonts w:cstheme="minorHAnsi"/>
              </w:rPr>
            </w:pPr>
            <w:r>
              <w:rPr>
                <w:rFonts w:cstheme="minorHAnsi"/>
              </w:rPr>
              <w:t>7.11</w:t>
            </w:r>
            <w:r w:rsidRPr="004E6649">
              <w:rPr>
                <w:rFonts w:cstheme="minorHAnsi"/>
              </w:rPr>
              <w:t>%</w:t>
            </w:r>
          </w:p>
        </w:tc>
      </w:tr>
    </w:tbl>
    <w:p w14:paraId="31DBDABC" w14:textId="77777777" w:rsidR="001B6918" w:rsidRPr="00A02D27" w:rsidRDefault="001B6918" w:rsidP="001B6918">
      <w:pPr>
        <w:pStyle w:val="AFR3"/>
        <w:spacing w:after="0"/>
        <w:rPr>
          <w:rFonts w:cstheme="minorHAnsi"/>
          <w:sz w:val="24"/>
          <w:szCs w:val="20"/>
        </w:rPr>
      </w:pPr>
      <w:r w:rsidRPr="00A02D27">
        <w:rPr>
          <w:rFonts w:cstheme="minorHAnsi"/>
          <w:sz w:val="24"/>
          <w:szCs w:val="20"/>
        </w:rPr>
        <w:t>13c. Basic Retirement Plan - Classified Employees</w:t>
      </w:r>
    </w:p>
    <w:p w14:paraId="5A6339C8" w14:textId="77777777" w:rsidR="001B6918" w:rsidRPr="004E6649" w:rsidRDefault="001B6918" w:rsidP="001B6918">
      <w:pPr>
        <w:rPr>
          <w:rFonts w:eastAsia="Times New Roman" w:cstheme="minorHAnsi"/>
          <w:bCs/>
          <w:sz w:val="24"/>
          <w:szCs w:val="24"/>
        </w:rPr>
      </w:pPr>
      <w:r w:rsidRPr="004E6649">
        <w:rPr>
          <w:rFonts w:eastAsia="Times New Roman" w:cstheme="minorHAnsi"/>
          <w:sz w:val="24"/>
          <w:szCs w:val="20"/>
        </w:rPr>
        <w:t xml:space="preserve">The Basic Retirement Plan (Basic Plan) is a single employer defined contribution plan (DC Plan) administered by the System and does not issue standalone financial statements. This DC Plan </w:t>
      </w:r>
      <w:r w:rsidRPr="004E6649">
        <w:rPr>
          <w:rFonts w:eastAsia="Times New Roman" w:cstheme="minorHAnsi"/>
          <w:bCs/>
          <w:sz w:val="24"/>
          <w:szCs w:val="24"/>
        </w:rPr>
        <w:t>was created on July 1, 1998 in accordance with Section 403(b) of the Internal Revenue Code. Classified employees hired July 1, 1998 or later participate in this DC Plan.</w:t>
      </w:r>
    </w:p>
    <w:p w14:paraId="2BACA58B" w14:textId="77777777" w:rsidR="001B6918" w:rsidRPr="004E6649" w:rsidRDefault="001B6918" w:rsidP="001B6918">
      <w:pPr>
        <w:rPr>
          <w:rFonts w:eastAsia="Times New Roman" w:cstheme="minorHAnsi"/>
          <w:color w:val="222222"/>
          <w:shd w:val="clear" w:color="auto" w:fill="FFFFFF"/>
        </w:rPr>
      </w:pPr>
    </w:p>
    <w:p w14:paraId="195790F4" w14:textId="1717BFCC" w:rsidR="001B6918" w:rsidRPr="004E6649" w:rsidRDefault="001B6918" w:rsidP="001B6918">
      <w:pPr>
        <w:rPr>
          <w:rFonts w:eastAsia="Times New Roman" w:cstheme="minorHAnsi"/>
          <w:bCs/>
          <w:sz w:val="24"/>
          <w:szCs w:val="24"/>
        </w:rPr>
      </w:pPr>
      <w:r w:rsidRPr="004E6649">
        <w:rPr>
          <w:rFonts w:eastAsia="Times New Roman" w:cstheme="minorHAnsi"/>
          <w:color w:val="222222"/>
          <w:sz w:val="24"/>
          <w:shd w:val="clear" w:color="auto" w:fill="FFFFFF"/>
        </w:rPr>
        <w:t xml:space="preserve">Eligible employees who were hired before July 1, 1998 could </w:t>
      </w:r>
      <w:r w:rsidR="0058142F" w:rsidRPr="004E6649">
        <w:rPr>
          <w:rFonts w:eastAsia="Times New Roman" w:cstheme="minorHAnsi"/>
          <w:color w:val="222222"/>
          <w:sz w:val="24"/>
          <w:shd w:val="clear" w:color="auto" w:fill="FFFFFF"/>
        </w:rPr>
        <w:t>remain in the Defined Benefit Retirement Plan for Classified Staff (DB Plan</w:t>
      </w:r>
      <w:r w:rsidR="0058142F">
        <w:rPr>
          <w:rFonts w:eastAsia="Times New Roman" w:cstheme="minorHAnsi"/>
          <w:color w:val="222222"/>
          <w:sz w:val="24"/>
          <w:shd w:val="clear" w:color="auto" w:fill="FFFFFF"/>
        </w:rPr>
        <w:t>)</w:t>
      </w:r>
      <w:r w:rsidR="0058142F" w:rsidRPr="004E6649">
        <w:rPr>
          <w:rFonts w:eastAsia="Times New Roman" w:cstheme="minorHAnsi"/>
          <w:color w:val="222222"/>
          <w:sz w:val="24"/>
          <w:shd w:val="clear" w:color="auto" w:fill="FFFFFF"/>
        </w:rPr>
        <w:t xml:space="preserve"> </w:t>
      </w:r>
      <w:r w:rsidR="0058142F">
        <w:rPr>
          <w:rFonts w:eastAsia="Times New Roman" w:cstheme="minorHAnsi"/>
          <w:color w:val="222222"/>
          <w:sz w:val="24"/>
          <w:shd w:val="clear" w:color="auto" w:fill="FFFFFF"/>
        </w:rPr>
        <w:t xml:space="preserve">or </w:t>
      </w:r>
      <w:r w:rsidRPr="004E6649">
        <w:rPr>
          <w:rFonts w:eastAsia="Times New Roman" w:cstheme="minorHAnsi"/>
          <w:color w:val="222222"/>
          <w:sz w:val="24"/>
          <w:shd w:val="clear" w:color="auto" w:fill="FFFFFF"/>
        </w:rPr>
        <w:t xml:space="preserve">elect to </w:t>
      </w:r>
      <w:r w:rsidR="0058142F">
        <w:rPr>
          <w:rFonts w:eastAsia="Times New Roman" w:cstheme="minorHAnsi"/>
          <w:color w:val="222222"/>
          <w:sz w:val="24"/>
          <w:shd w:val="clear" w:color="auto" w:fill="FFFFFF"/>
        </w:rPr>
        <w:t>transfer</w:t>
      </w:r>
      <w:r w:rsidRPr="004E6649">
        <w:rPr>
          <w:rFonts w:eastAsia="Times New Roman" w:cstheme="minorHAnsi"/>
          <w:color w:val="222222"/>
          <w:sz w:val="24"/>
          <w:shd w:val="clear" w:color="auto" w:fill="FFFFFF"/>
        </w:rPr>
        <w:t xml:space="preserve"> </w:t>
      </w:r>
      <w:r w:rsidR="0058142F" w:rsidRPr="004E6649">
        <w:rPr>
          <w:rFonts w:eastAsia="Times New Roman" w:cstheme="minorHAnsi"/>
          <w:color w:val="222222"/>
          <w:sz w:val="24"/>
          <w:shd w:val="clear" w:color="auto" w:fill="FFFFFF"/>
        </w:rPr>
        <w:t>the value of their accrued benefit in the DB Plan</w:t>
      </w:r>
      <w:r w:rsidR="0058142F">
        <w:rPr>
          <w:rFonts w:eastAsia="Times New Roman" w:cstheme="minorHAnsi"/>
          <w:color w:val="222222"/>
          <w:sz w:val="24"/>
          <w:shd w:val="clear" w:color="auto" w:fill="FFFFFF"/>
        </w:rPr>
        <w:t xml:space="preserve"> [</w:t>
      </w:r>
      <w:r w:rsidR="0058142F" w:rsidRPr="004E6649">
        <w:rPr>
          <w:rFonts w:eastAsia="Times New Roman" w:cstheme="minorHAnsi"/>
          <w:color w:val="222222"/>
          <w:sz w:val="24"/>
          <w:shd w:val="clear" w:color="auto" w:fill="FFFFFF"/>
        </w:rPr>
        <w:t>as described further below</w:t>
      </w:r>
      <w:r w:rsidR="0058142F">
        <w:rPr>
          <w:rFonts w:eastAsia="Times New Roman" w:cstheme="minorHAnsi"/>
          <w:color w:val="222222"/>
          <w:sz w:val="24"/>
          <w:shd w:val="clear" w:color="auto" w:fill="FFFFFF"/>
        </w:rPr>
        <w:t>]</w:t>
      </w:r>
      <w:r w:rsidR="0058142F" w:rsidRPr="004E6649">
        <w:rPr>
          <w:rFonts w:eastAsia="Times New Roman" w:cstheme="minorHAnsi"/>
          <w:color w:val="222222"/>
          <w:sz w:val="24"/>
          <w:shd w:val="clear" w:color="auto" w:fill="FFFFFF"/>
        </w:rPr>
        <w:t>,</w:t>
      </w:r>
      <w:r w:rsidR="0058142F">
        <w:rPr>
          <w:rFonts w:eastAsia="Times New Roman" w:cstheme="minorHAnsi"/>
          <w:color w:val="222222"/>
          <w:sz w:val="24"/>
          <w:shd w:val="clear" w:color="auto" w:fill="FFFFFF"/>
        </w:rPr>
        <w:t xml:space="preserve"> int</w:t>
      </w:r>
      <w:r w:rsidRPr="004E6649">
        <w:rPr>
          <w:rFonts w:eastAsia="Times New Roman" w:cstheme="minorHAnsi"/>
          <w:color w:val="222222"/>
          <w:sz w:val="24"/>
          <w:shd w:val="clear" w:color="auto" w:fill="FFFFFF"/>
        </w:rPr>
        <w:t>o the DC Plan. Eligible employees that remained in the DB Plan and were age 50 and over on June 30, 1998 would continue to accrue additional benefits while the value of the benefit for those under age 50 would remain static. The majority of those under age 50 chose to roll the value of their accrued benefit to the DC Plan.</w:t>
      </w:r>
    </w:p>
    <w:p w14:paraId="4F6090BE" w14:textId="77777777" w:rsidR="001B6918" w:rsidRPr="004E6649" w:rsidRDefault="001B6918" w:rsidP="001B6918">
      <w:pPr>
        <w:tabs>
          <w:tab w:val="left" w:pos="1858"/>
          <w:tab w:val="left" w:pos="2570"/>
          <w:tab w:val="left" w:pos="3283"/>
          <w:tab w:val="left" w:pos="3996"/>
          <w:tab w:val="left" w:pos="4709"/>
          <w:tab w:val="left" w:pos="5472"/>
        </w:tabs>
        <w:rPr>
          <w:rFonts w:eastAsia="Times New Roman" w:cstheme="minorHAnsi"/>
          <w:spacing w:val="-3"/>
        </w:rPr>
      </w:pPr>
    </w:p>
    <w:p w14:paraId="469DBA64" w14:textId="77777777" w:rsidR="001B6918" w:rsidRPr="004E6649" w:rsidRDefault="001B6918" w:rsidP="001B6918">
      <w:pPr>
        <w:tabs>
          <w:tab w:val="left" w:pos="1858"/>
          <w:tab w:val="left" w:pos="2570"/>
          <w:tab w:val="left" w:pos="3283"/>
          <w:tab w:val="left" w:pos="3996"/>
          <w:tab w:val="left" w:pos="4709"/>
          <w:tab w:val="left" w:pos="5472"/>
        </w:tabs>
        <w:rPr>
          <w:rFonts w:eastAsia="Times New Roman" w:cstheme="minorHAnsi"/>
          <w:spacing w:val="-3"/>
          <w:sz w:val="24"/>
          <w:szCs w:val="24"/>
        </w:rPr>
      </w:pPr>
      <w:r w:rsidRPr="004E6649">
        <w:rPr>
          <w:rFonts w:eastAsia="Times New Roman" w:cstheme="minorHAnsi"/>
          <w:spacing w:val="-3"/>
          <w:sz w:val="24"/>
          <w:szCs w:val="24"/>
        </w:rPr>
        <w:t>Full-time employees are eligible to participate in the DC Plan once employment begins. Part-time employees are eligible once they achieve the equivalent of five years of continuous, full-time regular service. Since June 1, 2014, all contributions have been directed to TIAA as the sole record-keeper.</w:t>
      </w:r>
    </w:p>
    <w:p w14:paraId="2C04615A" w14:textId="77777777" w:rsidR="001B6918" w:rsidRPr="004E6649" w:rsidRDefault="001B6918" w:rsidP="001B6918">
      <w:pPr>
        <w:tabs>
          <w:tab w:val="left" w:pos="1858"/>
          <w:tab w:val="left" w:pos="2570"/>
          <w:tab w:val="left" w:pos="3283"/>
          <w:tab w:val="left" w:pos="3996"/>
          <w:tab w:val="left" w:pos="4709"/>
          <w:tab w:val="left" w:pos="5472"/>
        </w:tabs>
        <w:rPr>
          <w:rFonts w:eastAsia="Times New Roman" w:cstheme="minorHAnsi"/>
          <w:spacing w:val="-3"/>
        </w:rPr>
      </w:pPr>
    </w:p>
    <w:p w14:paraId="3F177710" w14:textId="77777777" w:rsidR="001B6918" w:rsidRDefault="001B6918" w:rsidP="001B6918">
      <w:pPr>
        <w:tabs>
          <w:tab w:val="left" w:pos="1858"/>
          <w:tab w:val="left" w:pos="2570"/>
          <w:tab w:val="left" w:pos="3283"/>
          <w:tab w:val="left" w:pos="3996"/>
          <w:tab w:val="left" w:pos="4709"/>
          <w:tab w:val="left" w:pos="5472"/>
        </w:tabs>
        <w:rPr>
          <w:rFonts w:eastAsia="Times New Roman" w:cstheme="minorHAnsi"/>
          <w:spacing w:val="-3"/>
          <w:sz w:val="24"/>
          <w:szCs w:val="24"/>
        </w:rPr>
      </w:pPr>
      <w:r w:rsidRPr="004E6649">
        <w:rPr>
          <w:rFonts w:eastAsia="Times New Roman" w:cstheme="minorHAnsi"/>
          <w:spacing w:val="-3"/>
          <w:sz w:val="24"/>
          <w:szCs w:val="24"/>
        </w:rPr>
        <w:t xml:space="preserve">Employees hired prior to July 1, 1998 and who have more than five years of completed service may voluntarily contribute up to 4% of base pay to the DC Plan and receive a 100% match from the System. Employees hired July 1, 1998 or later are required to contribute 1%. Employee contributions to the DC Plan of up to 4% of base pay are matched 100% by the System. In addition, employees who have four or </w:t>
      </w:r>
      <w:r>
        <w:rPr>
          <w:rFonts w:eastAsia="Times New Roman" w:cstheme="minorHAnsi"/>
          <w:spacing w:val="-3"/>
          <w:sz w:val="24"/>
          <w:szCs w:val="24"/>
        </w:rPr>
        <w:br w:type="page"/>
      </w:r>
    </w:p>
    <w:p w14:paraId="023F7197" w14:textId="77777777" w:rsidR="001B6918" w:rsidRPr="009E4423" w:rsidRDefault="001B6918" w:rsidP="001B6918">
      <w:pPr>
        <w:spacing w:after="160"/>
        <w:rPr>
          <w:rFonts w:eastAsiaTheme="majorEastAsia" w:cstheme="minorHAnsi"/>
          <w:b/>
          <w:i/>
          <w:iCs/>
          <w:smallCaps/>
          <w:noProof/>
          <w:color w:val="000000" w:themeColor="text1"/>
          <w:sz w:val="24"/>
          <w:szCs w:val="24"/>
          <w:u w:color="5B9BD5"/>
        </w:rPr>
      </w:pPr>
      <w:r w:rsidRPr="009E4423">
        <w:rPr>
          <w:rFonts w:eastAsiaTheme="majorEastAsia" w:cstheme="minorHAnsi"/>
          <w:b/>
          <w:i/>
          <w:iCs/>
          <w:smallCaps/>
          <w:noProof/>
          <w:color w:val="000000" w:themeColor="text1"/>
          <w:sz w:val="24"/>
          <w:szCs w:val="24"/>
          <w:u w:color="5B9BD5"/>
        </w:rPr>
        <w:lastRenderedPageBreak/>
        <w:t>13. PENSION PLANS - CONTINUED</w:t>
      </w:r>
    </w:p>
    <w:p w14:paraId="56F559FD" w14:textId="77777777" w:rsidR="001B6918" w:rsidRPr="004E6649" w:rsidRDefault="001B6918" w:rsidP="001B6918">
      <w:pPr>
        <w:tabs>
          <w:tab w:val="left" w:pos="1858"/>
          <w:tab w:val="left" w:pos="2570"/>
          <w:tab w:val="left" w:pos="3283"/>
          <w:tab w:val="left" w:pos="3996"/>
          <w:tab w:val="left" w:pos="4709"/>
          <w:tab w:val="left" w:pos="5472"/>
        </w:tabs>
        <w:rPr>
          <w:rFonts w:eastAsia="Times New Roman" w:cstheme="minorHAnsi"/>
          <w:spacing w:val="-3"/>
          <w:sz w:val="24"/>
          <w:szCs w:val="24"/>
        </w:rPr>
      </w:pPr>
      <w:r w:rsidRPr="004E6649">
        <w:rPr>
          <w:rFonts w:eastAsia="Times New Roman" w:cstheme="minorHAnsi"/>
          <w:spacing w:val="-3"/>
          <w:sz w:val="24"/>
          <w:szCs w:val="24"/>
        </w:rPr>
        <w:t>more years of completed service and do not participate in the DB Plan, receive System contributions equal to 6% of their base pay, for a total maximum employer contribution of 10%.</w:t>
      </w:r>
    </w:p>
    <w:p w14:paraId="1D8A183B" w14:textId="77777777" w:rsidR="001B6918" w:rsidRPr="004E6649" w:rsidRDefault="001B6918" w:rsidP="001B6918">
      <w:pPr>
        <w:tabs>
          <w:tab w:val="left" w:pos="1858"/>
          <w:tab w:val="left" w:pos="2570"/>
          <w:tab w:val="left" w:pos="3283"/>
          <w:tab w:val="left" w:pos="3996"/>
          <w:tab w:val="left" w:pos="4709"/>
          <w:tab w:val="left" w:pos="5472"/>
        </w:tabs>
        <w:ind w:left="180"/>
        <w:rPr>
          <w:rFonts w:eastAsia="Times New Roman" w:cstheme="minorHAnsi"/>
          <w:spacing w:val="-3"/>
        </w:rPr>
      </w:pPr>
    </w:p>
    <w:p w14:paraId="55D04754" w14:textId="77777777" w:rsidR="001B6918" w:rsidRPr="00E55634" w:rsidRDefault="001B6918" w:rsidP="001B6918">
      <w:pPr>
        <w:tabs>
          <w:tab w:val="left" w:pos="1858"/>
          <w:tab w:val="left" w:pos="2570"/>
          <w:tab w:val="left" w:pos="3283"/>
          <w:tab w:val="left" w:pos="3996"/>
          <w:tab w:val="left" w:pos="4709"/>
          <w:tab w:val="left" w:pos="5472"/>
        </w:tabs>
        <w:rPr>
          <w:rFonts w:eastAsia="Times New Roman" w:cstheme="minorHAnsi"/>
          <w:spacing w:val="-3"/>
          <w:sz w:val="24"/>
          <w:szCs w:val="24"/>
        </w:rPr>
      </w:pPr>
      <w:r w:rsidRPr="00FD4125">
        <w:rPr>
          <w:rFonts w:eastAsia="Times New Roman" w:cstheme="minorHAnsi"/>
          <w:bCs/>
          <w:color w:val="000000"/>
          <w:spacing w:val="-3"/>
          <w:sz w:val="24"/>
          <w:szCs w:val="24"/>
        </w:rPr>
        <w:t xml:space="preserve">Employees hired before January 1, 2010 were </w:t>
      </w:r>
      <w:r w:rsidRPr="00FD4125">
        <w:rPr>
          <w:rFonts w:eastAsia="Times New Roman" w:cstheme="minorHAnsi"/>
          <w:bCs/>
          <w:spacing w:val="-3"/>
          <w:sz w:val="24"/>
          <w:szCs w:val="24"/>
        </w:rPr>
        <w:t>fully</w:t>
      </w:r>
      <w:r w:rsidRPr="00E55634">
        <w:rPr>
          <w:rFonts w:eastAsia="Times New Roman" w:cstheme="minorHAnsi"/>
          <w:bCs/>
          <w:color w:val="FF0000"/>
          <w:spacing w:val="-3"/>
          <w:sz w:val="24"/>
          <w:szCs w:val="24"/>
        </w:rPr>
        <w:t xml:space="preserve"> </w:t>
      </w:r>
      <w:r w:rsidRPr="004E6649">
        <w:rPr>
          <w:rFonts w:eastAsia="Times New Roman" w:cstheme="minorHAnsi"/>
          <w:bCs/>
          <w:spacing w:val="-3"/>
          <w:sz w:val="24"/>
          <w:szCs w:val="24"/>
        </w:rPr>
        <w:t xml:space="preserve">and immediately vested in the employer matching contribution. </w:t>
      </w:r>
      <w:r w:rsidRPr="004E6649">
        <w:rPr>
          <w:rFonts w:eastAsia="Times New Roman" w:cstheme="minorHAnsi"/>
          <w:bCs/>
          <w:color w:val="000000"/>
          <w:spacing w:val="-3"/>
          <w:sz w:val="24"/>
          <w:szCs w:val="24"/>
        </w:rPr>
        <w:t xml:space="preserve">The System implemented </w:t>
      </w:r>
      <w:r w:rsidRPr="004E6649">
        <w:rPr>
          <w:rFonts w:eastAsia="Times New Roman" w:cstheme="minorHAnsi"/>
          <w:bCs/>
          <w:spacing w:val="-3"/>
          <w:sz w:val="24"/>
          <w:szCs w:val="24"/>
        </w:rPr>
        <w:t xml:space="preserve">a four-year vesting </w:t>
      </w:r>
      <w:r w:rsidRPr="004E6649">
        <w:rPr>
          <w:rFonts w:eastAsia="Times New Roman" w:cstheme="minorHAnsi"/>
          <w:bCs/>
          <w:color w:val="000000"/>
          <w:spacing w:val="-3"/>
          <w:sz w:val="24"/>
          <w:szCs w:val="24"/>
        </w:rPr>
        <w:t xml:space="preserve">schedule for the employer matching contribution for classified employees hired on or after January 1, 2010 and, on January 1, 2013, </w:t>
      </w:r>
      <w:r w:rsidRPr="00E55634">
        <w:rPr>
          <w:rFonts w:eastAsia="Times New Roman" w:cstheme="minorHAnsi"/>
          <w:bCs/>
          <w:spacing w:val="-3"/>
          <w:sz w:val="24"/>
          <w:szCs w:val="24"/>
        </w:rPr>
        <w:t>implemented a five-year vesting schedule for employer matching contributions. Effective January 1, 2025, a five year graduated vesting period applies. Years of service from 1 to 5 years vest at 20% to 100%. All participant contributions are fully and immediately vested.</w:t>
      </w:r>
    </w:p>
    <w:p w14:paraId="324D4EB0" w14:textId="77777777" w:rsidR="001B6918" w:rsidRPr="004E6649" w:rsidRDefault="001B6918" w:rsidP="001B6918">
      <w:pPr>
        <w:tabs>
          <w:tab w:val="left" w:pos="1858"/>
          <w:tab w:val="left" w:pos="2570"/>
          <w:tab w:val="left" w:pos="3283"/>
          <w:tab w:val="left" w:pos="3996"/>
          <w:tab w:val="left" w:pos="4709"/>
          <w:tab w:val="left" w:pos="5472"/>
        </w:tabs>
        <w:ind w:left="180"/>
        <w:rPr>
          <w:rFonts w:eastAsia="Times New Roman" w:cstheme="minorHAnsi"/>
          <w:spacing w:val="-3"/>
        </w:rPr>
      </w:pPr>
    </w:p>
    <w:p w14:paraId="5AD0825D" w14:textId="77777777" w:rsidR="001B6918" w:rsidRPr="004E6649" w:rsidRDefault="001B6918" w:rsidP="001B6918">
      <w:pPr>
        <w:tabs>
          <w:tab w:val="left" w:pos="1858"/>
          <w:tab w:val="left" w:pos="2570"/>
          <w:tab w:val="left" w:pos="3283"/>
          <w:tab w:val="left" w:pos="3996"/>
          <w:tab w:val="left" w:pos="4709"/>
          <w:tab w:val="left" w:pos="5472"/>
        </w:tabs>
        <w:rPr>
          <w:rFonts w:eastAsia="Times New Roman" w:cstheme="minorHAnsi"/>
          <w:spacing w:val="-3"/>
          <w:sz w:val="24"/>
          <w:szCs w:val="24"/>
        </w:rPr>
      </w:pPr>
      <w:r w:rsidRPr="004E6649">
        <w:rPr>
          <w:rFonts w:eastAsia="Times New Roman" w:cstheme="minorHAnsi"/>
          <w:spacing w:val="-3"/>
          <w:sz w:val="24"/>
          <w:szCs w:val="24"/>
        </w:rPr>
        <w:t>Upon separation from the System, participants may withdraw up to 100% of their vested account balances or transfer funds to other investment alternatives subject to Internal Revenue Service limitations and the contractual provisions of the Basic Plan.</w:t>
      </w:r>
    </w:p>
    <w:p w14:paraId="0C260E1E" w14:textId="77777777" w:rsidR="001B6918" w:rsidRPr="004E6649" w:rsidRDefault="001B6918" w:rsidP="001B6918">
      <w:pPr>
        <w:spacing w:line="259" w:lineRule="auto"/>
        <w:rPr>
          <w:rFonts w:cstheme="minorHAnsi"/>
        </w:rPr>
      </w:pPr>
    </w:p>
    <w:p w14:paraId="2AF850B1" w14:textId="77777777" w:rsidR="001B6918" w:rsidRPr="004E6649" w:rsidRDefault="001B6918" w:rsidP="001B6918">
      <w:pPr>
        <w:spacing w:after="160" w:line="259" w:lineRule="auto"/>
        <w:rPr>
          <w:rFonts w:cstheme="minorHAnsi"/>
          <w:b/>
          <w:i/>
          <w:sz w:val="26"/>
          <w:u w:val="single" w:color="000000" w:themeColor="text1"/>
        </w:rPr>
      </w:pPr>
      <w:r w:rsidRPr="004E6649">
        <w:rPr>
          <w:rFonts w:cstheme="minorHAnsi"/>
          <w:sz w:val="24"/>
          <w:szCs w:val="24"/>
        </w:rPr>
        <w:t>Employee contributions made to the Basic Plan were $</w:t>
      </w:r>
      <w:r w:rsidRPr="004045CB">
        <w:rPr>
          <w:rFonts w:cstheme="minorHAnsi"/>
          <w:sz w:val="24"/>
          <w:szCs w:val="24"/>
        </w:rPr>
        <w:t>1,400</w:t>
      </w:r>
      <w:r w:rsidRPr="00CD53B8">
        <w:rPr>
          <w:rFonts w:cstheme="minorHAnsi"/>
          <w:sz w:val="24"/>
          <w:szCs w:val="24"/>
        </w:rPr>
        <w:t xml:space="preserve"> </w:t>
      </w:r>
      <w:r w:rsidRPr="004E6649">
        <w:rPr>
          <w:rFonts w:cstheme="minorHAnsi"/>
          <w:sz w:val="24"/>
          <w:szCs w:val="24"/>
        </w:rPr>
        <w:t>in FY2</w:t>
      </w:r>
      <w:r>
        <w:rPr>
          <w:rFonts w:cstheme="minorHAnsi"/>
          <w:sz w:val="24"/>
          <w:szCs w:val="24"/>
        </w:rPr>
        <w:t>5</w:t>
      </w:r>
      <w:r w:rsidRPr="004E6649">
        <w:rPr>
          <w:rFonts w:cstheme="minorHAnsi"/>
          <w:sz w:val="24"/>
          <w:szCs w:val="24"/>
        </w:rPr>
        <w:t xml:space="preserve"> and $</w:t>
      </w:r>
      <w:r w:rsidRPr="009A10F1">
        <w:rPr>
          <w:rFonts w:cstheme="minorHAnsi"/>
          <w:sz w:val="24"/>
          <w:szCs w:val="24"/>
        </w:rPr>
        <w:t>1,443</w:t>
      </w:r>
      <w:r w:rsidRPr="00C24820">
        <w:rPr>
          <w:rFonts w:cstheme="minorHAnsi"/>
          <w:sz w:val="24"/>
          <w:szCs w:val="24"/>
        </w:rPr>
        <w:t xml:space="preserve"> </w:t>
      </w:r>
      <w:r w:rsidRPr="004E6649">
        <w:rPr>
          <w:rFonts w:cstheme="minorHAnsi"/>
          <w:sz w:val="24"/>
          <w:szCs w:val="24"/>
        </w:rPr>
        <w:t>in FY2</w:t>
      </w:r>
      <w:r>
        <w:rPr>
          <w:rFonts w:cstheme="minorHAnsi"/>
          <w:sz w:val="24"/>
          <w:szCs w:val="24"/>
        </w:rPr>
        <w:t>4</w:t>
      </w:r>
      <w:r w:rsidRPr="004E6649">
        <w:rPr>
          <w:rFonts w:cstheme="minorHAnsi"/>
          <w:sz w:val="24"/>
          <w:szCs w:val="24"/>
        </w:rPr>
        <w:t>.</w:t>
      </w:r>
    </w:p>
    <w:p w14:paraId="133C6E32" w14:textId="77777777" w:rsidR="001B6918" w:rsidRPr="004E6649" w:rsidRDefault="001B6918" w:rsidP="001B6918">
      <w:pPr>
        <w:tabs>
          <w:tab w:val="left" w:pos="720"/>
          <w:tab w:val="left" w:pos="1440"/>
          <w:tab w:val="right" w:pos="4262"/>
          <w:tab w:val="right" w:pos="5220"/>
          <w:tab w:val="right" w:pos="6691"/>
          <w:tab w:val="right" w:pos="7621"/>
          <w:tab w:val="right" w:pos="9187"/>
        </w:tabs>
        <w:suppressAutoHyphens/>
        <w:spacing w:before="120"/>
        <w:rPr>
          <w:rFonts w:eastAsia="Times New Roman" w:cstheme="minorHAnsi"/>
          <w:b/>
          <w:sz w:val="24"/>
          <w:szCs w:val="24"/>
          <w:u w:val="single"/>
        </w:rPr>
      </w:pPr>
      <w:r w:rsidRPr="004E6649">
        <w:rPr>
          <w:rFonts w:eastAsia="Times New Roman" w:cstheme="minorHAnsi"/>
          <w:b/>
          <w:sz w:val="24"/>
          <w:szCs w:val="24"/>
          <w:u w:val="single"/>
        </w:rPr>
        <w:t>Plan Description</w:t>
      </w:r>
    </w:p>
    <w:p w14:paraId="105C2A1E" w14:textId="77777777" w:rsidR="001B6918" w:rsidRDefault="001B6918" w:rsidP="001B6918">
      <w:pPr>
        <w:tabs>
          <w:tab w:val="left" w:pos="1022"/>
          <w:tab w:val="left" w:pos="1858"/>
          <w:tab w:val="left" w:pos="2570"/>
          <w:tab w:val="left" w:pos="3283"/>
          <w:tab w:val="left" w:pos="3996"/>
          <w:tab w:val="left" w:pos="4709"/>
          <w:tab w:val="left" w:pos="5472"/>
        </w:tabs>
        <w:suppressAutoHyphens/>
        <w:rPr>
          <w:rFonts w:eastAsia="Times New Roman" w:cstheme="minorHAnsi"/>
          <w:sz w:val="24"/>
          <w:szCs w:val="24"/>
        </w:rPr>
      </w:pPr>
      <w:r w:rsidRPr="004E6649">
        <w:rPr>
          <w:rFonts w:eastAsia="Times New Roman" w:cstheme="minorHAnsi"/>
          <w:b/>
          <w:i/>
          <w:spacing w:val="-1"/>
          <w:sz w:val="24"/>
        </w:rPr>
        <w:t>Plan Administration:</w:t>
      </w:r>
      <w:r w:rsidRPr="004E6649">
        <w:rPr>
          <w:rFonts w:eastAsia="Times New Roman" w:cstheme="minorHAnsi"/>
          <w:color w:val="000000"/>
          <w:spacing w:val="-3"/>
          <w:sz w:val="24"/>
          <w:szCs w:val="24"/>
        </w:rPr>
        <w:t xml:space="preserve"> </w:t>
      </w:r>
      <w:r w:rsidRPr="004E6649">
        <w:rPr>
          <w:rFonts w:eastAsia="Times New Roman" w:cstheme="minorHAnsi"/>
          <w:sz w:val="24"/>
          <w:szCs w:val="20"/>
        </w:rPr>
        <w:t xml:space="preserve">The Defined Benefit Plan (the Plan) is a single employer plan administered by the System. The Plan does not issue standalone financial statements. </w:t>
      </w:r>
      <w:r w:rsidRPr="004E6649">
        <w:rPr>
          <w:rFonts w:eastAsia="Times New Roman" w:cstheme="minorHAnsi"/>
          <w:sz w:val="24"/>
          <w:szCs w:val="24"/>
        </w:rPr>
        <w:t>The Plan is maintained for eligible classified employees who chose not to join the Basic Plan.</w:t>
      </w:r>
    </w:p>
    <w:p w14:paraId="3AC86BFC" w14:textId="77777777" w:rsidR="001B6918" w:rsidRPr="004E6649" w:rsidRDefault="001B6918" w:rsidP="001B6918">
      <w:pPr>
        <w:tabs>
          <w:tab w:val="left" w:pos="1022"/>
          <w:tab w:val="left" w:pos="1858"/>
          <w:tab w:val="left" w:pos="2570"/>
          <w:tab w:val="left" w:pos="3283"/>
          <w:tab w:val="left" w:pos="3996"/>
          <w:tab w:val="left" w:pos="4709"/>
          <w:tab w:val="left" w:pos="5472"/>
        </w:tabs>
        <w:suppressAutoHyphens/>
        <w:rPr>
          <w:rFonts w:eastAsia="Times New Roman" w:cstheme="minorHAnsi"/>
          <w:sz w:val="24"/>
          <w:szCs w:val="24"/>
        </w:rPr>
      </w:pPr>
    </w:p>
    <w:p w14:paraId="35E36708" w14:textId="77777777" w:rsidR="001B6918" w:rsidRPr="004E6649" w:rsidRDefault="001B6918" w:rsidP="001B6918">
      <w:pPr>
        <w:tabs>
          <w:tab w:val="left" w:pos="1022"/>
          <w:tab w:val="left" w:pos="1858"/>
          <w:tab w:val="left" w:pos="2570"/>
          <w:tab w:val="left" w:pos="3283"/>
          <w:tab w:val="left" w:pos="3996"/>
          <w:tab w:val="left" w:pos="4709"/>
          <w:tab w:val="left" w:pos="5472"/>
        </w:tabs>
        <w:suppressAutoHyphens/>
        <w:spacing w:after="240"/>
        <w:rPr>
          <w:rFonts w:eastAsia="Times New Roman" w:cstheme="minorHAnsi"/>
          <w:sz w:val="24"/>
          <w:szCs w:val="24"/>
        </w:rPr>
      </w:pPr>
      <w:r w:rsidRPr="004E6649">
        <w:rPr>
          <w:rFonts w:eastAsia="Times New Roman" w:cstheme="minorHAnsi"/>
          <w:color w:val="000000"/>
          <w:spacing w:val="-3"/>
          <w:sz w:val="24"/>
          <w:szCs w:val="24"/>
        </w:rPr>
        <w:t>The System’s Board of Trustees has authority to establish or amend provisions of all classified employee plans, including contribution requirements, subject to collective bargaining agreements.</w:t>
      </w:r>
    </w:p>
    <w:p w14:paraId="6FF4787E" w14:textId="77777777" w:rsidR="001B6918" w:rsidRPr="004E6649" w:rsidRDefault="001B6918" w:rsidP="001B6918">
      <w:pPr>
        <w:tabs>
          <w:tab w:val="left" w:pos="720"/>
          <w:tab w:val="left" w:pos="1440"/>
          <w:tab w:val="right" w:pos="4262"/>
          <w:tab w:val="right" w:pos="5220"/>
          <w:tab w:val="right" w:pos="6691"/>
          <w:tab w:val="right" w:pos="7621"/>
          <w:tab w:val="right" w:pos="9187"/>
        </w:tabs>
        <w:suppressAutoHyphens/>
        <w:rPr>
          <w:rFonts w:eastAsia="Times New Roman" w:cstheme="minorHAnsi"/>
          <w:sz w:val="24"/>
          <w:szCs w:val="20"/>
        </w:rPr>
      </w:pPr>
      <w:r w:rsidRPr="004E6649">
        <w:rPr>
          <w:rFonts w:eastAsia="Times New Roman" w:cstheme="minorHAnsi"/>
          <w:b/>
          <w:i/>
          <w:spacing w:val="-1"/>
          <w:sz w:val="24"/>
        </w:rPr>
        <w:t>Benefits Provided:</w:t>
      </w:r>
      <w:r w:rsidRPr="004E6649">
        <w:rPr>
          <w:rFonts w:eastAsia="Times New Roman" w:cstheme="minorHAnsi"/>
          <w:sz w:val="24"/>
          <w:szCs w:val="20"/>
        </w:rPr>
        <w:t xml:space="preserve"> Participants are eligible for normal retirement benefits upon attaining age 65 and retirement. The monthly retirement benefit is based on a formula specified by policy in collective bargaining agreements. Eligible employees receive the sum of:</w:t>
      </w:r>
    </w:p>
    <w:p w14:paraId="10BF6AC5" w14:textId="77777777" w:rsidR="001B6918" w:rsidRPr="004E6649" w:rsidRDefault="001B6918" w:rsidP="001B6918">
      <w:pPr>
        <w:tabs>
          <w:tab w:val="left" w:pos="720"/>
          <w:tab w:val="left" w:pos="1440"/>
          <w:tab w:val="right" w:pos="4262"/>
          <w:tab w:val="right" w:pos="5220"/>
          <w:tab w:val="right" w:pos="6691"/>
          <w:tab w:val="right" w:pos="7621"/>
          <w:tab w:val="right" w:pos="9187"/>
        </w:tabs>
        <w:suppressAutoHyphens/>
        <w:rPr>
          <w:rFonts w:eastAsia="Times New Roman" w:cstheme="minorHAnsi"/>
          <w:sz w:val="24"/>
          <w:szCs w:val="20"/>
        </w:rPr>
      </w:pPr>
    </w:p>
    <w:p w14:paraId="1A6FB7BF" w14:textId="77777777" w:rsidR="001B6918" w:rsidRPr="004E6649" w:rsidRDefault="001B6918" w:rsidP="001B6918">
      <w:pPr>
        <w:numPr>
          <w:ilvl w:val="0"/>
          <w:numId w:val="9"/>
        </w:numPr>
        <w:tabs>
          <w:tab w:val="left" w:pos="720"/>
          <w:tab w:val="left" w:pos="1440"/>
          <w:tab w:val="right" w:pos="4262"/>
          <w:tab w:val="right" w:pos="5220"/>
          <w:tab w:val="right" w:pos="6691"/>
          <w:tab w:val="right" w:pos="7621"/>
          <w:tab w:val="right" w:pos="9187"/>
        </w:tabs>
        <w:suppressAutoHyphens/>
        <w:ind w:left="720" w:hanging="450"/>
        <w:rPr>
          <w:rFonts w:eastAsia="Times New Roman" w:cstheme="minorHAnsi"/>
          <w:sz w:val="24"/>
          <w:szCs w:val="20"/>
        </w:rPr>
      </w:pPr>
      <w:r w:rsidRPr="004E6649">
        <w:rPr>
          <w:rFonts w:eastAsia="Times New Roman" w:cstheme="minorHAnsi"/>
          <w:sz w:val="24"/>
          <w:szCs w:val="20"/>
        </w:rPr>
        <w:t xml:space="preserve">1.25% or 1.50% (based on years of service) of the participant’s average annual compensation times credited service (up to a maximum of 30 years); plus </w:t>
      </w:r>
    </w:p>
    <w:p w14:paraId="4AE8EC5C" w14:textId="77777777" w:rsidR="001B6918" w:rsidRPr="004E6649" w:rsidRDefault="001B6918" w:rsidP="001B6918">
      <w:pPr>
        <w:numPr>
          <w:ilvl w:val="0"/>
          <w:numId w:val="9"/>
        </w:numPr>
        <w:tabs>
          <w:tab w:val="left" w:pos="720"/>
          <w:tab w:val="left" w:pos="1440"/>
          <w:tab w:val="right" w:pos="4262"/>
          <w:tab w:val="right" w:pos="5220"/>
          <w:tab w:val="right" w:pos="6691"/>
          <w:tab w:val="right" w:pos="7621"/>
          <w:tab w:val="right" w:pos="9187"/>
        </w:tabs>
        <w:suppressAutoHyphens/>
        <w:ind w:left="720" w:hanging="450"/>
        <w:rPr>
          <w:rFonts w:eastAsia="Times New Roman" w:cstheme="minorHAnsi"/>
          <w:sz w:val="24"/>
          <w:szCs w:val="20"/>
        </w:rPr>
      </w:pPr>
      <w:r w:rsidRPr="004E6649">
        <w:rPr>
          <w:rFonts w:eastAsia="Times New Roman" w:cstheme="minorHAnsi"/>
          <w:sz w:val="24"/>
          <w:szCs w:val="20"/>
        </w:rPr>
        <w:t>1.25% or 1.50% (based on years of service) of the participant’s unused sick leave.</w:t>
      </w:r>
    </w:p>
    <w:p w14:paraId="64C05452" w14:textId="77777777" w:rsidR="001B6918" w:rsidRPr="004E6649" w:rsidRDefault="001B6918" w:rsidP="001B6918">
      <w:pPr>
        <w:tabs>
          <w:tab w:val="left" w:pos="720"/>
          <w:tab w:val="left" w:pos="1022"/>
          <w:tab w:val="left" w:pos="1440"/>
          <w:tab w:val="right" w:pos="4262"/>
          <w:tab w:val="right" w:pos="5220"/>
          <w:tab w:val="right" w:pos="6691"/>
          <w:tab w:val="right" w:pos="7621"/>
          <w:tab w:val="right" w:pos="9187"/>
        </w:tabs>
        <w:suppressAutoHyphens/>
        <w:ind w:left="180"/>
        <w:rPr>
          <w:rFonts w:cstheme="minorHAnsi"/>
          <w:bCs/>
          <w:spacing w:val="-3"/>
        </w:rPr>
      </w:pPr>
    </w:p>
    <w:p w14:paraId="416FB1E5" w14:textId="77161195" w:rsidR="001B6918" w:rsidRPr="004E6649" w:rsidRDefault="001B6918" w:rsidP="001B6918">
      <w:pPr>
        <w:pStyle w:val="AFR3"/>
        <w:spacing w:before="0" w:after="0"/>
        <w:rPr>
          <w:rFonts w:cstheme="minorHAnsi"/>
          <w:bCs/>
          <w:iCs/>
          <w:sz w:val="24"/>
          <w:szCs w:val="20"/>
        </w:rPr>
      </w:pPr>
      <w:r w:rsidRPr="004E6649">
        <w:rPr>
          <w:rFonts w:eastAsia="Times New Roman" w:cstheme="minorHAnsi"/>
          <w:b w:val="0"/>
          <w:bCs/>
          <w:i w:val="0"/>
          <w:sz w:val="24"/>
          <w:szCs w:val="24"/>
          <w:u w:val="none"/>
        </w:rPr>
        <w:t xml:space="preserve">Participants are eligible for early retirement benefits upon the attainment of age 55 and completion of five years of continuous service. The benefit is computed in accordance with the normal retirement age benefit but is reduced by an actuarial factor because benefits will be paid over a longer period of time. No reduction is made if an employee retires after attaining 62 </w:t>
      </w:r>
      <w:r w:rsidRPr="004E6649">
        <w:rPr>
          <w:rFonts w:cstheme="minorHAnsi"/>
          <w:b w:val="0"/>
          <w:bCs/>
          <w:i w:val="0"/>
          <w:iCs/>
          <w:sz w:val="24"/>
          <w:szCs w:val="20"/>
          <w:u w:val="none"/>
        </w:rPr>
        <w:t>years of age with 25 or more years of service. Participants are also eligible for disability and death benefits.</w:t>
      </w:r>
    </w:p>
    <w:p w14:paraId="75086B71" w14:textId="77777777" w:rsidR="001B6918" w:rsidRPr="004E6649" w:rsidRDefault="001B6918" w:rsidP="001B6918">
      <w:pPr>
        <w:tabs>
          <w:tab w:val="left" w:pos="1858"/>
          <w:tab w:val="left" w:pos="2570"/>
          <w:tab w:val="left" w:pos="3283"/>
          <w:tab w:val="left" w:pos="3996"/>
          <w:tab w:val="left" w:pos="4709"/>
          <w:tab w:val="left" w:pos="5472"/>
        </w:tabs>
        <w:suppressAutoHyphens/>
        <w:ind w:left="180"/>
        <w:rPr>
          <w:rFonts w:eastAsia="Times New Roman" w:cstheme="minorHAnsi"/>
          <w:bCs/>
        </w:rPr>
      </w:pPr>
    </w:p>
    <w:p w14:paraId="5F0EB24E" w14:textId="77777777" w:rsidR="001B6918" w:rsidRPr="004E6649" w:rsidRDefault="001B6918" w:rsidP="001B6918">
      <w:pPr>
        <w:tabs>
          <w:tab w:val="left" w:pos="1022"/>
          <w:tab w:val="left" w:pos="1858"/>
          <w:tab w:val="left" w:pos="2570"/>
          <w:tab w:val="left" w:pos="3283"/>
          <w:tab w:val="left" w:pos="3996"/>
          <w:tab w:val="left" w:pos="4709"/>
          <w:tab w:val="left" w:pos="5472"/>
        </w:tabs>
        <w:suppressAutoHyphens/>
        <w:spacing w:after="240"/>
        <w:rPr>
          <w:rFonts w:eastAsia="Times New Roman" w:cstheme="minorHAnsi"/>
          <w:sz w:val="24"/>
          <w:szCs w:val="24"/>
        </w:rPr>
      </w:pPr>
      <w:r w:rsidRPr="004E6649">
        <w:rPr>
          <w:rFonts w:eastAsia="Times New Roman" w:cstheme="minorHAnsi"/>
          <w:sz w:val="24"/>
          <w:szCs w:val="24"/>
        </w:rPr>
        <w:t>Employees who participate in the Plan may also participate in the Optional Retirement Savings Plan (ORSP). The ORSP is a voluntary, employee-funded defined contribution plan. Employees may contribute up to 4% of their base pay and receive a 100% match from the System. The ORSP is administered by TIAA.</w:t>
      </w:r>
    </w:p>
    <w:p w14:paraId="51DB35AC" w14:textId="77777777" w:rsidR="001B6918" w:rsidRPr="009E4423" w:rsidRDefault="001B6918" w:rsidP="001B6918">
      <w:pPr>
        <w:spacing w:after="160"/>
        <w:rPr>
          <w:rFonts w:eastAsiaTheme="majorEastAsia" w:cstheme="minorHAnsi"/>
          <w:b/>
          <w:i/>
          <w:iCs/>
          <w:smallCaps/>
          <w:noProof/>
          <w:color w:val="000000" w:themeColor="text1"/>
          <w:sz w:val="24"/>
          <w:szCs w:val="24"/>
          <w:u w:color="5B9BD5"/>
        </w:rPr>
      </w:pPr>
      <w:r w:rsidRPr="009E4423">
        <w:rPr>
          <w:rFonts w:eastAsiaTheme="majorEastAsia" w:cstheme="minorHAnsi"/>
          <w:b/>
          <w:i/>
          <w:iCs/>
          <w:smallCaps/>
          <w:noProof/>
          <w:color w:val="000000" w:themeColor="text1"/>
          <w:sz w:val="24"/>
          <w:szCs w:val="24"/>
          <w:u w:color="5B9BD5"/>
        </w:rPr>
        <w:lastRenderedPageBreak/>
        <w:t>13. PENSION PLANS - CONTINUED</w:t>
      </w:r>
    </w:p>
    <w:p w14:paraId="61A6F16E" w14:textId="77777777" w:rsidR="001B6918" w:rsidRPr="004E6649" w:rsidRDefault="001B6918" w:rsidP="001B6918">
      <w:pPr>
        <w:rPr>
          <w:rFonts w:eastAsia="Times New Roman" w:cstheme="minorHAnsi"/>
          <w:sz w:val="24"/>
        </w:rPr>
      </w:pPr>
      <w:r w:rsidRPr="004E6649">
        <w:rPr>
          <w:rFonts w:eastAsia="Times New Roman" w:cstheme="minorHAnsi"/>
          <w:b/>
          <w:i/>
          <w:spacing w:val="-2"/>
          <w:sz w:val="24"/>
        </w:rPr>
        <w:t>Plan Membership:</w:t>
      </w:r>
      <w:r w:rsidRPr="004E6649">
        <w:rPr>
          <w:rFonts w:eastAsia="Times New Roman" w:cstheme="minorHAnsi"/>
          <w:b/>
          <w:spacing w:val="-2"/>
          <w:sz w:val="24"/>
        </w:rPr>
        <w:t xml:space="preserve"> </w:t>
      </w:r>
      <w:r w:rsidRPr="004E6649">
        <w:rPr>
          <w:rFonts w:eastAsia="Times New Roman" w:cstheme="minorHAnsi"/>
          <w:spacing w:val="-1"/>
          <w:sz w:val="24"/>
        </w:rPr>
        <w:t>T</w:t>
      </w:r>
      <w:r w:rsidRPr="004E6649">
        <w:rPr>
          <w:rFonts w:eastAsia="Times New Roman" w:cstheme="minorHAnsi"/>
          <w:sz w:val="24"/>
        </w:rPr>
        <w:t>he</w:t>
      </w:r>
      <w:r w:rsidRPr="004E6649">
        <w:rPr>
          <w:rFonts w:eastAsia="Times New Roman" w:cstheme="minorHAnsi"/>
          <w:spacing w:val="-6"/>
          <w:sz w:val="24"/>
        </w:rPr>
        <w:t xml:space="preserve"> </w:t>
      </w:r>
      <w:r w:rsidRPr="004E6649">
        <w:rPr>
          <w:rFonts w:eastAsia="Times New Roman" w:cstheme="minorHAnsi"/>
          <w:sz w:val="24"/>
        </w:rPr>
        <w:t>P</w:t>
      </w:r>
      <w:r w:rsidRPr="004E6649">
        <w:rPr>
          <w:rFonts w:eastAsia="Times New Roman" w:cstheme="minorHAnsi"/>
          <w:spacing w:val="-1"/>
          <w:sz w:val="24"/>
        </w:rPr>
        <w:t>l</w:t>
      </w:r>
      <w:r w:rsidRPr="004E6649">
        <w:rPr>
          <w:rFonts w:eastAsia="Times New Roman" w:cstheme="minorHAnsi"/>
          <w:sz w:val="24"/>
        </w:rPr>
        <w:t>an</w:t>
      </w:r>
      <w:r w:rsidRPr="004E6649">
        <w:rPr>
          <w:rFonts w:eastAsia="Times New Roman" w:cstheme="minorHAnsi"/>
          <w:spacing w:val="-4"/>
          <w:sz w:val="24"/>
        </w:rPr>
        <w:t xml:space="preserve"> </w:t>
      </w:r>
      <w:r w:rsidRPr="004E6649">
        <w:rPr>
          <w:rFonts w:eastAsia="Times New Roman" w:cstheme="minorHAnsi"/>
          <w:sz w:val="24"/>
        </w:rPr>
        <w:t>is</w:t>
      </w:r>
      <w:r w:rsidRPr="004E6649">
        <w:rPr>
          <w:rFonts w:eastAsia="Times New Roman" w:cstheme="minorHAnsi"/>
          <w:spacing w:val="-4"/>
          <w:sz w:val="24"/>
        </w:rPr>
        <w:t xml:space="preserve"> </w:t>
      </w:r>
      <w:r w:rsidRPr="004E6649">
        <w:rPr>
          <w:rFonts w:eastAsia="Times New Roman" w:cstheme="minorHAnsi"/>
          <w:sz w:val="24"/>
        </w:rPr>
        <w:t>cl</w:t>
      </w:r>
      <w:r w:rsidRPr="004E6649">
        <w:rPr>
          <w:rFonts w:eastAsia="Times New Roman" w:cstheme="minorHAnsi"/>
          <w:spacing w:val="-1"/>
          <w:sz w:val="24"/>
        </w:rPr>
        <w:t>o</w:t>
      </w:r>
      <w:r w:rsidRPr="004E6649">
        <w:rPr>
          <w:rFonts w:eastAsia="Times New Roman" w:cstheme="minorHAnsi"/>
          <w:spacing w:val="1"/>
          <w:sz w:val="24"/>
        </w:rPr>
        <w:t>s</w:t>
      </w:r>
      <w:r w:rsidRPr="004E6649">
        <w:rPr>
          <w:rFonts w:eastAsia="Times New Roman" w:cstheme="minorHAnsi"/>
          <w:sz w:val="24"/>
        </w:rPr>
        <w:t>ed</w:t>
      </w:r>
      <w:r w:rsidRPr="004E6649">
        <w:rPr>
          <w:rFonts w:eastAsia="Times New Roman" w:cstheme="minorHAnsi"/>
          <w:spacing w:val="-4"/>
          <w:sz w:val="24"/>
        </w:rPr>
        <w:t xml:space="preserve"> </w:t>
      </w:r>
      <w:r w:rsidRPr="004E6649">
        <w:rPr>
          <w:rFonts w:eastAsia="Times New Roman" w:cstheme="minorHAnsi"/>
          <w:sz w:val="24"/>
        </w:rPr>
        <w:t>to</w:t>
      </w:r>
      <w:r w:rsidRPr="004E6649">
        <w:rPr>
          <w:rFonts w:eastAsia="Times New Roman" w:cstheme="minorHAnsi"/>
          <w:spacing w:val="-6"/>
          <w:sz w:val="24"/>
        </w:rPr>
        <w:t xml:space="preserve"> </w:t>
      </w:r>
      <w:r w:rsidRPr="004E6649">
        <w:rPr>
          <w:rFonts w:eastAsia="Times New Roman" w:cstheme="minorHAnsi"/>
          <w:sz w:val="24"/>
        </w:rPr>
        <w:t>new</w:t>
      </w:r>
      <w:r w:rsidRPr="004E6649">
        <w:rPr>
          <w:rFonts w:eastAsia="Times New Roman" w:cstheme="minorHAnsi"/>
          <w:spacing w:val="-5"/>
          <w:sz w:val="24"/>
        </w:rPr>
        <w:t xml:space="preserve"> </w:t>
      </w:r>
      <w:r w:rsidRPr="004E6649">
        <w:rPr>
          <w:rFonts w:eastAsia="Times New Roman" w:cstheme="minorHAnsi"/>
          <w:sz w:val="24"/>
        </w:rPr>
        <w:t>entrant</w:t>
      </w:r>
      <w:r w:rsidRPr="004E6649">
        <w:rPr>
          <w:rFonts w:eastAsia="Times New Roman" w:cstheme="minorHAnsi"/>
          <w:spacing w:val="1"/>
          <w:sz w:val="24"/>
        </w:rPr>
        <w:t>s</w:t>
      </w:r>
      <w:r w:rsidRPr="004E6649">
        <w:rPr>
          <w:rFonts w:eastAsia="Times New Roman" w:cstheme="minorHAnsi"/>
          <w:sz w:val="24"/>
        </w:rPr>
        <w:t xml:space="preserve">. </w:t>
      </w:r>
      <w:r w:rsidRPr="004E6649">
        <w:rPr>
          <w:rFonts w:eastAsia="Times New Roman" w:cstheme="minorHAnsi"/>
          <w:spacing w:val="-2"/>
          <w:sz w:val="24"/>
        </w:rPr>
        <w:t>A</w:t>
      </w:r>
      <w:r w:rsidRPr="004E6649">
        <w:rPr>
          <w:rFonts w:eastAsia="Times New Roman" w:cstheme="minorHAnsi"/>
          <w:sz w:val="24"/>
        </w:rPr>
        <w:t>t</w:t>
      </w:r>
      <w:r w:rsidRPr="004E6649">
        <w:rPr>
          <w:rFonts w:eastAsia="Times New Roman" w:cstheme="minorHAnsi"/>
          <w:spacing w:val="-5"/>
          <w:sz w:val="24"/>
        </w:rPr>
        <w:t xml:space="preserve"> </w:t>
      </w:r>
      <w:r w:rsidRPr="004E6649">
        <w:rPr>
          <w:rFonts w:eastAsia="Times New Roman" w:cstheme="minorHAnsi"/>
          <w:sz w:val="24"/>
        </w:rPr>
        <w:t>June</w:t>
      </w:r>
      <w:r w:rsidRPr="004E6649">
        <w:rPr>
          <w:rFonts w:eastAsia="Times New Roman" w:cstheme="minorHAnsi"/>
          <w:spacing w:val="-7"/>
          <w:sz w:val="24"/>
        </w:rPr>
        <w:t xml:space="preserve"> </w:t>
      </w:r>
      <w:r w:rsidRPr="004E6649">
        <w:rPr>
          <w:rFonts w:eastAsia="Times New Roman" w:cstheme="minorHAnsi"/>
          <w:sz w:val="24"/>
        </w:rPr>
        <w:t xml:space="preserve">30, </w:t>
      </w:r>
      <w:r w:rsidRPr="004E6649">
        <w:rPr>
          <w:rFonts w:eastAsia="Times New Roman" w:cstheme="minorHAnsi"/>
          <w:spacing w:val="-1"/>
          <w:sz w:val="24"/>
        </w:rPr>
        <w:t>p</w:t>
      </w:r>
      <w:r w:rsidRPr="004E6649">
        <w:rPr>
          <w:rFonts w:eastAsia="Times New Roman" w:cstheme="minorHAnsi"/>
          <w:sz w:val="24"/>
        </w:rPr>
        <w:t>ension</w:t>
      </w:r>
      <w:r w:rsidRPr="004E6649">
        <w:rPr>
          <w:rFonts w:eastAsia="Times New Roman" w:cstheme="minorHAnsi"/>
          <w:spacing w:val="-6"/>
          <w:sz w:val="24"/>
        </w:rPr>
        <w:t xml:space="preserve"> </w:t>
      </w:r>
      <w:r w:rsidRPr="004E6649">
        <w:rPr>
          <w:rFonts w:eastAsia="Times New Roman" w:cstheme="minorHAnsi"/>
          <w:sz w:val="24"/>
        </w:rPr>
        <w:t>p</w:t>
      </w:r>
      <w:r w:rsidRPr="004E6649">
        <w:rPr>
          <w:rFonts w:eastAsia="Times New Roman" w:cstheme="minorHAnsi"/>
          <w:spacing w:val="-1"/>
          <w:sz w:val="24"/>
        </w:rPr>
        <w:t>l</w:t>
      </w:r>
      <w:r w:rsidRPr="004E6649">
        <w:rPr>
          <w:rFonts w:eastAsia="Times New Roman" w:cstheme="minorHAnsi"/>
          <w:sz w:val="24"/>
        </w:rPr>
        <w:t>an</w:t>
      </w:r>
      <w:r w:rsidRPr="004E6649">
        <w:rPr>
          <w:rFonts w:eastAsia="Times New Roman" w:cstheme="minorHAnsi"/>
          <w:spacing w:val="-6"/>
          <w:sz w:val="24"/>
        </w:rPr>
        <w:t xml:space="preserve"> </w:t>
      </w:r>
      <w:r w:rsidRPr="004E6649">
        <w:rPr>
          <w:rFonts w:eastAsia="Times New Roman" w:cstheme="minorHAnsi"/>
          <w:sz w:val="24"/>
        </w:rPr>
        <w:t>mem</w:t>
      </w:r>
      <w:r w:rsidRPr="004E6649">
        <w:rPr>
          <w:rFonts w:eastAsia="Times New Roman" w:cstheme="minorHAnsi"/>
          <w:spacing w:val="1"/>
          <w:sz w:val="24"/>
        </w:rPr>
        <w:t>b</w:t>
      </w:r>
      <w:r w:rsidRPr="004E6649">
        <w:rPr>
          <w:rFonts w:eastAsia="Times New Roman" w:cstheme="minorHAnsi"/>
          <w:sz w:val="24"/>
        </w:rPr>
        <w:t>e</w:t>
      </w:r>
      <w:r w:rsidRPr="004E6649">
        <w:rPr>
          <w:rFonts w:eastAsia="Times New Roman" w:cstheme="minorHAnsi"/>
          <w:spacing w:val="-2"/>
          <w:sz w:val="24"/>
        </w:rPr>
        <w:t>r</w:t>
      </w:r>
      <w:r w:rsidRPr="004E6649">
        <w:rPr>
          <w:rFonts w:eastAsia="Times New Roman" w:cstheme="minorHAnsi"/>
          <w:spacing w:val="1"/>
          <w:sz w:val="24"/>
        </w:rPr>
        <w:t>s</w:t>
      </w:r>
      <w:r w:rsidRPr="004E6649">
        <w:rPr>
          <w:rFonts w:eastAsia="Times New Roman" w:cstheme="minorHAnsi"/>
          <w:sz w:val="24"/>
        </w:rPr>
        <w:t>hip</w:t>
      </w:r>
      <w:r w:rsidRPr="004E6649">
        <w:rPr>
          <w:rFonts w:eastAsia="Times New Roman" w:cstheme="minorHAnsi"/>
          <w:spacing w:val="-6"/>
          <w:sz w:val="24"/>
        </w:rPr>
        <w:t xml:space="preserve"> </w:t>
      </w:r>
      <w:r w:rsidRPr="004E6649">
        <w:rPr>
          <w:rFonts w:eastAsia="Times New Roman" w:cstheme="minorHAnsi"/>
          <w:sz w:val="24"/>
        </w:rPr>
        <w:t>consisted</w:t>
      </w:r>
      <w:r w:rsidRPr="004E6649">
        <w:rPr>
          <w:rFonts w:eastAsia="Times New Roman" w:cstheme="minorHAnsi"/>
          <w:spacing w:val="-6"/>
          <w:sz w:val="24"/>
        </w:rPr>
        <w:t xml:space="preserve"> </w:t>
      </w:r>
      <w:r w:rsidRPr="004E6649">
        <w:rPr>
          <w:rFonts w:eastAsia="Times New Roman" w:cstheme="minorHAnsi"/>
          <w:sz w:val="24"/>
        </w:rPr>
        <w:t>of</w:t>
      </w:r>
      <w:r w:rsidRPr="004E6649">
        <w:rPr>
          <w:rFonts w:eastAsia="Times New Roman" w:cstheme="minorHAnsi"/>
          <w:spacing w:val="-6"/>
          <w:sz w:val="24"/>
        </w:rPr>
        <w:t xml:space="preserve"> </w:t>
      </w:r>
      <w:r w:rsidRPr="004E6649">
        <w:rPr>
          <w:rFonts w:eastAsia="Times New Roman" w:cstheme="minorHAnsi"/>
          <w:spacing w:val="1"/>
          <w:sz w:val="24"/>
        </w:rPr>
        <w:t>t</w:t>
      </w:r>
      <w:r w:rsidRPr="004E6649">
        <w:rPr>
          <w:rFonts w:eastAsia="Times New Roman" w:cstheme="minorHAnsi"/>
          <w:sz w:val="24"/>
        </w:rPr>
        <w:t>he</w:t>
      </w:r>
      <w:r w:rsidRPr="004E6649">
        <w:rPr>
          <w:rFonts w:eastAsia="Times New Roman" w:cstheme="minorHAnsi"/>
          <w:spacing w:val="-7"/>
          <w:sz w:val="24"/>
        </w:rPr>
        <w:t xml:space="preserve"> </w:t>
      </w:r>
      <w:r w:rsidRPr="004E6649">
        <w:rPr>
          <w:rFonts w:eastAsia="Times New Roman" w:cstheme="minorHAnsi"/>
          <w:sz w:val="24"/>
        </w:rPr>
        <w:t>fo</w:t>
      </w:r>
      <w:r w:rsidRPr="004E6649">
        <w:rPr>
          <w:rFonts w:eastAsia="Times New Roman" w:cstheme="minorHAnsi"/>
          <w:spacing w:val="-1"/>
          <w:sz w:val="24"/>
        </w:rPr>
        <w:t>l</w:t>
      </w:r>
      <w:r w:rsidRPr="004E6649">
        <w:rPr>
          <w:rFonts w:eastAsia="Times New Roman" w:cstheme="minorHAnsi"/>
          <w:sz w:val="24"/>
        </w:rPr>
        <w:t>l</w:t>
      </w:r>
      <w:r w:rsidRPr="004E6649">
        <w:rPr>
          <w:rFonts w:eastAsia="Times New Roman" w:cstheme="minorHAnsi"/>
          <w:spacing w:val="-1"/>
          <w:sz w:val="24"/>
        </w:rPr>
        <w:t>o</w:t>
      </w:r>
      <w:r w:rsidRPr="004E6649">
        <w:rPr>
          <w:rFonts w:eastAsia="Times New Roman" w:cstheme="minorHAnsi"/>
          <w:sz w:val="24"/>
        </w:rPr>
        <w:t>wing:</w:t>
      </w:r>
    </w:p>
    <w:p w14:paraId="5C890305" w14:textId="77777777" w:rsidR="001B6918" w:rsidRPr="004E6649" w:rsidRDefault="001B6918" w:rsidP="001B6918">
      <w:pPr>
        <w:rPr>
          <w:rFonts w:eastAsia="Times New Roman" w:cstheme="minorHAnsi"/>
          <w:b/>
          <w:bCs/>
          <w:color w:val="0D0D0D"/>
          <w:szCs w:val="24"/>
        </w:rPr>
      </w:pPr>
      <w:r w:rsidRPr="004E6649">
        <w:rPr>
          <w:rFonts w:eastAsia="Times New Roman" w:cstheme="minorHAnsi"/>
          <w:b/>
          <w:bCs/>
          <w:color w:val="0D0D0D"/>
          <w:szCs w:val="24"/>
        </w:rPr>
        <w:fldChar w:fldCharType="begin"/>
      </w:r>
      <w:r w:rsidRPr="004E6649">
        <w:rPr>
          <w:rFonts w:eastAsia="Times New Roman" w:cstheme="minorHAnsi"/>
          <w:b/>
          <w:bCs/>
          <w:color w:val="0D0D0D"/>
          <w:szCs w:val="24"/>
        </w:rPr>
        <w:fldChar w:fldCharType="end"/>
      </w:r>
    </w:p>
    <w:tbl>
      <w:tblPr>
        <w:tblW w:w="8252" w:type="dxa"/>
        <w:jc w:val="center"/>
        <w:tblLayout w:type="fixed"/>
        <w:tblLook w:val="04A0" w:firstRow="1" w:lastRow="0" w:firstColumn="1" w:lastColumn="0" w:noHBand="0" w:noVBand="1"/>
      </w:tblPr>
      <w:tblGrid>
        <w:gridCol w:w="6480"/>
        <w:gridCol w:w="886"/>
        <w:gridCol w:w="886"/>
      </w:tblGrid>
      <w:tr w:rsidR="001B6918" w:rsidRPr="004E6649" w14:paraId="599FB3E1" w14:textId="77777777" w:rsidTr="00730ECF">
        <w:trPr>
          <w:trHeight w:val="90"/>
          <w:tblHeader/>
          <w:jc w:val="center"/>
        </w:trPr>
        <w:tc>
          <w:tcPr>
            <w:tcW w:w="6480" w:type="dxa"/>
            <w:tcBorders>
              <w:top w:val="nil"/>
              <w:left w:val="nil"/>
              <w:bottom w:val="single" w:sz="12" w:space="0" w:color="000000" w:themeColor="text1"/>
              <w:right w:val="nil"/>
            </w:tcBorders>
            <w:shd w:val="clear" w:color="000000" w:fill="FFFFFF"/>
            <w:noWrap/>
            <w:vAlign w:val="bottom"/>
            <w:hideMark/>
          </w:tcPr>
          <w:p w14:paraId="0F45AC8A" w14:textId="77777777" w:rsidR="001B6918" w:rsidRPr="004E6649" w:rsidRDefault="001B6918" w:rsidP="00730ECF">
            <w:pPr>
              <w:rPr>
                <w:rFonts w:eastAsia="Times New Roman" w:cstheme="minorHAnsi"/>
                <w:b/>
                <w:bCs/>
                <w:color w:val="0D0D0D"/>
                <w:szCs w:val="24"/>
              </w:rPr>
            </w:pPr>
            <w:r w:rsidRPr="004E6649">
              <w:rPr>
                <w:rFonts w:eastAsia="Times New Roman" w:cstheme="minorHAnsi"/>
                <w:b/>
                <w:bCs/>
                <w:color w:val="0D0D0D"/>
                <w:szCs w:val="24"/>
              </w:rPr>
              <w:t> </w:t>
            </w:r>
          </w:p>
        </w:tc>
        <w:tc>
          <w:tcPr>
            <w:tcW w:w="886" w:type="dxa"/>
            <w:tcBorders>
              <w:top w:val="nil"/>
              <w:left w:val="nil"/>
              <w:bottom w:val="single" w:sz="12" w:space="0" w:color="000000" w:themeColor="text1"/>
              <w:right w:val="nil"/>
            </w:tcBorders>
            <w:shd w:val="clear" w:color="000000" w:fill="FFFFFF"/>
            <w:noWrap/>
            <w:vAlign w:val="bottom"/>
            <w:hideMark/>
          </w:tcPr>
          <w:p w14:paraId="7EF8D5D0" w14:textId="77777777" w:rsidR="001B6918" w:rsidRPr="004E6649" w:rsidRDefault="001B6918" w:rsidP="00730ECF">
            <w:pPr>
              <w:jc w:val="center"/>
              <w:rPr>
                <w:rFonts w:eastAsia="Times New Roman" w:cstheme="minorHAnsi"/>
                <w:b/>
                <w:bCs/>
                <w:color w:val="0D0D0D"/>
                <w:szCs w:val="24"/>
              </w:rPr>
            </w:pPr>
            <w:r w:rsidRPr="004E6649">
              <w:rPr>
                <w:rFonts w:eastAsia="Times New Roman" w:cstheme="minorHAnsi"/>
                <w:b/>
                <w:bCs/>
                <w:color w:val="0D0D0D"/>
                <w:szCs w:val="24"/>
              </w:rPr>
              <w:t>202</w:t>
            </w:r>
            <w:r>
              <w:rPr>
                <w:rFonts w:eastAsia="Times New Roman" w:cstheme="minorHAnsi"/>
                <w:b/>
                <w:bCs/>
                <w:color w:val="0D0D0D"/>
                <w:szCs w:val="24"/>
              </w:rPr>
              <w:t>5</w:t>
            </w:r>
          </w:p>
        </w:tc>
        <w:tc>
          <w:tcPr>
            <w:tcW w:w="886" w:type="dxa"/>
            <w:tcBorders>
              <w:top w:val="nil"/>
              <w:left w:val="nil"/>
              <w:bottom w:val="single" w:sz="12" w:space="0" w:color="000000" w:themeColor="text1"/>
              <w:right w:val="nil"/>
            </w:tcBorders>
            <w:shd w:val="clear" w:color="auto" w:fill="F2F2F2" w:themeFill="background1" w:themeFillShade="F2"/>
            <w:vAlign w:val="bottom"/>
          </w:tcPr>
          <w:p w14:paraId="2B2F88CC" w14:textId="77777777" w:rsidR="001B6918" w:rsidRPr="004E6649" w:rsidRDefault="001B6918" w:rsidP="00730ECF">
            <w:pPr>
              <w:jc w:val="center"/>
              <w:rPr>
                <w:rFonts w:eastAsia="Times New Roman" w:cstheme="minorHAnsi"/>
                <w:b/>
                <w:bCs/>
                <w:color w:val="0D0D0D"/>
                <w:szCs w:val="24"/>
              </w:rPr>
            </w:pPr>
            <w:r w:rsidRPr="004E6649">
              <w:rPr>
                <w:rFonts w:eastAsia="Times New Roman" w:cstheme="minorHAnsi"/>
                <w:b/>
                <w:bCs/>
                <w:color w:val="0D0D0D"/>
                <w:szCs w:val="24"/>
              </w:rPr>
              <w:t>202</w:t>
            </w:r>
            <w:r>
              <w:rPr>
                <w:rFonts w:eastAsia="Times New Roman" w:cstheme="minorHAnsi"/>
                <w:b/>
                <w:bCs/>
                <w:color w:val="0D0D0D"/>
                <w:szCs w:val="24"/>
              </w:rPr>
              <w:t>4</w:t>
            </w:r>
          </w:p>
        </w:tc>
      </w:tr>
      <w:tr w:rsidR="001B6918" w:rsidRPr="004E6649" w14:paraId="450F0B28" w14:textId="77777777" w:rsidTr="00730ECF">
        <w:trPr>
          <w:trHeight w:val="159"/>
          <w:jc w:val="center"/>
        </w:trPr>
        <w:tc>
          <w:tcPr>
            <w:tcW w:w="6480" w:type="dxa"/>
            <w:tcBorders>
              <w:top w:val="single" w:sz="12" w:space="0" w:color="000000" w:themeColor="text1"/>
              <w:left w:val="nil"/>
              <w:bottom w:val="nil"/>
              <w:right w:val="nil"/>
            </w:tcBorders>
            <w:shd w:val="clear" w:color="000000" w:fill="FFFFFF"/>
            <w:noWrap/>
            <w:vAlign w:val="bottom"/>
            <w:hideMark/>
          </w:tcPr>
          <w:p w14:paraId="5EC49A4D" w14:textId="77777777" w:rsidR="001B6918" w:rsidRPr="004E6649" w:rsidRDefault="001B6918" w:rsidP="00730ECF">
            <w:pPr>
              <w:rPr>
                <w:rFonts w:eastAsia="Times New Roman" w:cstheme="minorHAnsi"/>
                <w:color w:val="0D0D0D"/>
                <w:szCs w:val="24"/>
              </w:rPr>
            </w:pPr>
            <w:r w:rsidRPr="004E6649">
              <w:rPr>
                <w:rFonts w:eastAsia="Times New Roman" w:cstheme="minorHAnsi"/>
                <w:color w:val="0D0D0D"/>
                <w:szCs w:val="24"/>
              </w:rPr>
              <w:t>Inactive plan participants or beneficiaries currently receiving benefits</w:t>
            </w:r>
          </w:p>
        </w:tc>
        <w:tc>
          <w:tcPr>
            <w:tcW w:w="886" w:type="dxa"/>
            <w:tcBorders>
              <w:top w:val="single" w:sz="12" w:space="0" w:color="000000" w:themeColor="text1"/>
              <w:left w:val="nil"/>
              <w:bottom w:val="nil"/>
              <w:right w:val="nil"/>
            </w:tcBorders>
            <w:shd w:val="clear" w:color="000000" w:fill="FFFFFF"/>
            <w:noWrap/>
            <w:vAlign w:val="bottom"/>
            <w:hideMark/>
          </w:tcPr>
          <w:p w14:paraId="37605477" w14:textId="77777777" w:rsidR="001B6918" w:rsidRPr="00413B9C" w:rsidRDefault="001B6918" w:rsidP="00730ECF">
            <w:pPr>
              <w:jc w:val="right"/>
              <w:rPr>
                <w:rFonts w:eastAsia="Times New Roman" w:cstheme="minorHAnsi"/>
                <w:szCs w:val="24"/>
              </w:rPr>
            </w:pPr>
            <w:r w:rsidRPr="00413B9C">
              <w:rPr>
                <w:rFonts w:eastAsia="Times New Roman" w:cstheme="minorHAnsi"/>
                <w:szCs w:val="24"/>
              </w:rPr>
              <w:t>567</w:t>
            </w:r>
          </w:p>
        </w:tc>
        <w:tc>
          <w:tcPr>
            <w:tcW w:w="886" w:type="dxa"/>
            <w:tcBorders>
              <w:top w:val="single" w:sz="12" w:space="0" w:color="000000" w:themeColor="text1"/>
              <w:left w:val="nil"/>
              <w:bottom w:val="nil"/>
              <w:right w:val="nil"/>
            </w:tcBorders>
            <w:shd w:val="clear" w:color="auto" w:fill="F2F2F2" w:themeFill="background1" w:themeFillShade="F2"/>
            <w:vAlign w:val="bottom"/>
          </w:tcPr>
          <w:p w14:paraId="05952091" w14:textId="77777777" w:rsidR="001B6918" w:rsidRPr="004E6649" w:rsidRDefault="001B6918" w:rsidP="00730ECF">
            <w:pPr>
              <w:jc w:val="right"/>
              <w:rPr>
                <w:rFonts w:eastAsia="Times New Roman" w:cstheme="minorHAnsi"/>
                <w:szCs w:val="24"/>
              </w:rPr>
            </w:pPr>
            <w:r w:rsidRPr="007361F4">
              <w:rPr>
                <w:rFonts w:eastAsia="Times New Roman" w:cstheme="minorHAnsi"/>
                <w:szCs w:val="24"/>
              </w:rPr>
              <w:t>600</w:t>
            </w:r>
          </w:p>
        </w:tc>
      </w:tr>
      <w:tr w:rsidR="001B6918" w:rsidRPr="004E6649" w14:paraId="0791C6A7" w14:textId="77777777" w:rsidTr="00730ECF">
        <w:trPr>
          <w:trHeight w:val="162"/>
          <w:jc w:val="center"/>
        </w:trPr>
        <w:tc>
          <w:tcPr>
            <w:tcW w:w="6480" w:type="dxa"/>
            <w:tcBorders>
              <w:top w:val="nil"/>
              <w:left w:val="nil"/>
              <w:bottom w:val="nil"/>
              <w:right w:val="nil"/>
            </w:tcBorders>
            <w:shd w:val="clear" w:color="000000" w:fill="FFFFFF"/>
            <w:noWrap/>
            <w:vAlign w:val="bottom"/>
            <w:hideMark/>
          </w:tcPr>
          <w:p w14:paraId="6D2BC503" w14:textId="77777777" w:rsidR="001B6918" w:rsidRPr="004E6649" w:rsidRDefault="001B6918" w:rsidP="00730ECF">
            <w:pPr>
              <w:rPr>
                <w:rFonts w:eastAsia="Times New Roman" w:cstheme="minorHAnsi"/>
                <w:color w:val="0D0D0D"/>
                <w:szCs w:val="24"/>
              </w:rPr>
            </w:pPr>
            <w:r w:rsidRPr="004E6649">
              <w:rPr>
                <w:rFonts w:eastAsia="Times New Roman" w:cstheme="minorHAnsi"/>
                <w:color w:val="0D0D0D"/>
                <w:szCs w:val="24"/>
              </w:rPr>
              <w:t>Inactive plan participants entitled to but not yet receiving benefits</w:t>
            </w:r>
          </w:p>
        </w:tc>
        <w:tc>
          <w:tcPr>
            <w:tcW w:w="886" w:type="dxa"/>
            <w:tcBorders>
              <w:top w:val="nil"/>
              <w:left w:val="nil"/>
              <w:bottom w:val="nil"/>
              <w:right w:val="nil"/>
            </w:tcBorders>
            <w:shd w:val="clear" w:color="000000" w:fill="FFFFFF"/>
            <w:noWrap/>
            <w:vAlign w:val="bottom"/>
            <w:hideMark/>
          </w:tcPr>
          <w:p w14:paraId="4331E8DE" w14:textId="77777777" w:rsidR="001B6918" w:rsidRPr="00413B9C" w:rsidRDefault="001B6918" w:rsidP="00730ECF">
            <w:pPr>
              <w:jc w:val="right"/>
              <w:rPr>
                <w:rFonts w:eastAsia="Times New Roman" w:cstheme="minorHAnsi"/>
                <w:szCs w:val="24"/>
              </w:rPr>
            </w:pPr>
            <w:r w:rsidRPr="00413B9C">
              <w:rPr>
                <w:rFonts w:eastAsia="Times New Roman" w:cstheme="minorHAnsi"/>
                <w:szCs w:val="24"/>
              </w:rPr>
              <w:t>170</w:t>
            </w:r>
          </w:p>
        </w:tc>
        <w:tc>
          <w:tcPr>
            <w:tcW w:w="886" w:type="dxa"/>
            <w:tcBorders>
              <w:top w:val="nil"/>
              <w:left w:val="nil"/>
              <w:bottom w:val="nil"/>
              <w:right w:val="nil"/>
            </w:tcBorders>
            <w:shd w:val="clear" w:color="auto" w:fill="F2F2F2" w:themeFill="background1" w:themeFillShade="F2"/>
            <w:vAlign w:val="bottom"/>
          </w:tcPr>
          <w:p w14:paraId="6CBF7253" w14:textId="77777777" w:rsidR="001B6918" w:rsidRPr="004E6649" w:rsidRDefault="001B6918" w:rsidP="00730ECF">
            <w:pPr>
              <w:jc w:val="right"/>
              <w:rPr>
                <w:rFonts w:eastAsia="Times New Roman" w:cstheme="minorHAnsi"/>
                <w:szCs w:val="24"/>
              </w:rPr>
            </w:pPr>
            <w:r w:rsidRPr="007361F4">
              <w:rPr>
                <w:rFonts w:eastAsia="Times New Roman" w:cstheme="minorHAnsi"/>
                <w:szCs w:val="24"/>
              </w:rPr>
              <w:t>174</w:t>
            </w:r>
          </w:p>
        </w:tc>
      </w:tr>
      <w:tr w:rsidR="001B6918" w:rsidRPr="004E6649" w14:paraId="2EEAADB0" w14:textId="77777777" w:rsidTr="00730ECF">
        <w:trPr>
          <w:trHeight w:val="66"/>
          <w:jc w:val="center"/>
        </w:trPr>
        <w:tc>
          <w:tcPr>
            <w:tcW w:w="6480" w:type="dxa"/>
            <w:tcBorders>
              <w:top w:val="nil"/>
              <w:left w:val="nil"/>
              <w:bottom w:val="single" w:sz="8" w:space="0" w:color="000000" w:themeColor="text1"/>
              <w:right w:val="nil"/>
            </w:tcBorders>
            <w:shd w:val="clear" w:color="000000" w:fill="FFFFFF"/>
            <w:noWrap/>
            <w:vAlign w:val="bottom"/>
            <w:hideMark/>
          </w:tcPr>
          <w:p w14:paraId="7E7EA8BD" w14:textId="77777777" w:rsidR="001B6918" w:rsidRPr="004E6649" w:rsidRDefault="001B6918" w:rsidP="00730ECF">
            <w:pPr>
              <w:rPr>
                <w:rFonts w:eastAsia="Times New Roman" w:cstheme="minorHAnsi"/>
                <w:color w:val="0D0D0D"/>
                <w:szCs w:val="24"/>
              </w:rPr>
            </w:pPr>
            <w:r w:rsidRPr="004E6649">
              <w:rPr>
                <w:rFonts w:eastAsia="Times New Roman" w:cstheme="minorHAnsi"/>
                <w:color w:val="0D0D0D"/>
                <w:szCs w:val="24"/>
              </w:rPr>
              <w:t>Active plan participants</w:t>
            </w:r>
          </w:p>
        </w:tc>
        <w:tc>
          <w:tcPr>
            <w:tcW w:w="886" w:type="dxa"/>
            <w:tcBorders>
              <w:top w:val="nil"/>
              <w:left w:val="nil"/>
              <w:bottom w:val="single" w:sz="8" w:space="0" w:color="000000" w:themeColor="text1"/>
              <w:right w:val="nil"/>
            </w:tcBorders>
            <w:shd w:val="clear" w:color="000000" w:fill="FFFFFF"/>
            <w:noWrap/>
            <w:vAlign w:val="bottom"/>
            <w:hideMark/>
          </w:tcPr>
          <w:p w14:paraId="5C1C6414" w14:textId="77777777" w:rsidR="001B6918" w:rsidRPr="00413B9C" w:rsidRDefault="001B6918" w:rsidP="00730ECF">
            <w:pPr>
              <w:jc w:val="right"/>
              <w:rPr>
                <w:rFonts w:eastAsia="Times New Roman" w:cstheme="minorHAnsi"/>
                <w:szCs w:val="24"/>
              </w:rPr>
            </w:pPr>
            <w:r w:rsidRPr="00413B9C">
              <w:rPr>
                <w:rFonts w:eastAsia="Times New Roman" w:cstheme="minorHAnsi"/>
                <w:szCs w:val="24"/>
              </w:rPr>
              <w:t>-</w:t>
            </w:r>
          </w:p>
        </w:tc>
        <w:tc>
          <w:tcPr>
            <w:tcW w:w="886" w:type="dxa"/>
            <w:tcBorders>
              <w:top w:val="nil"/>
              <w:left w:val="nil"/>
              <w:bottom w:val="single" w:sz="8" w:space="0" w:color="000000" w:themeColor="text1"/>
              <w:right w:val="nil"/>
            </w:tcBorders>
            <w:shd w:val="clear" w:color="auto" w:fill="F2F2F2" w:themeFill="background1" w:themeFillShade="F2"/>
            <w:vAlign w:val="bottom"/>
          </w:tcPr>
          <w:p w14:paraId="48383233" w14:textId="77777777" w:rsidR="001B6918" w:rsidRPr="004E6649" w:rsidRDefault="001B6918" w:rsidP="00730ECF">
            <w:pPr>
              <w:jc w:val="right"/>
              <w:rPr>
                <w:rFonts w:eastAsia="Times New Roman" w:cstheme="minorHAnsi"/>
                <w:szCs w:val="24"/>
              </w:rPr>
            </w:pPr>
            <w:r w:rsidRPr="007361F4">
              <w:rPr>
                <w:rFonts w:eastAsia="Times New Roman" w:cstheme="minorHAnsi"/>
                <w:szCs w:val="24"/>
              </w:rPr>
              <w:t>1</w:t>
            </w:r>
          </w:p>
        </w:tc>
      </w:tr>
      <w:tr w:rsidR="001B6918" w:rsidRPr="004E6649" w14:paraId="390150B7" w14:textId="77777777" w:rsidTr="00730ECF">
        <w:trPr>
          <w:trHeight w:val="46"/>
          <w:jc w:val="center"/>
        </w:trPr>
        <w:tc>
          <w:tcPr>
            <w:tcW w:w="6480" w:type="dxa"/>
            <w:tcBorders>
              <w:top w:val="single" w:sz="8" w:space="0" w:color="000000" w:themeColor="text1"/>
              <w:left w:val="nil"/>
              <w:bottom w:val="double" w:sz="4" w:space="0" w:color="000000" w:themeColor="text1"/>
              <w:right w:val="nil"/>
            </w:tcBorders>
            <w:shd w:val="clear" w:color="000000" w:fill="FFFFFF"/>
            <w:noWrap/>
            <w:vAlign w:val="bottom"/>
            <w:hideMark/>
          </w:tcPr>
          <w:p w14:paraId="7C1606A3" w14:textId="77777777" w:rsidR="001B6918" w:rsidRPr="004E6649" w:rsidRDefault="001B6918" w:rsidP="00730ECF">
            <w:pPr>
              <w:rPr>
                <w:rFonts w:eastAsia="Times New Roman" w:cstheme="minorHAnsi"/>
                <w:color w:val="0D0D0D"/>
                <w:szCs w:val="24"/>
              </w:rPr>
            </w:pPr>
            <w:r w:rsidRPr="004E6649">
              <w:rPr>
                <w:rFonts w:eastAsia="Times New Roman" w:cstheme="minorHAnsi"/>
                <w:color w:val="0D0D0D"/>
                <w:szCs w:val="24"/>
              </w:rPr>
              <w:t>Total plan participants</w:t>
            </w:r>
          </w:p>
        </w:tc>
        <w:tc>
          <w:tcPr>
            <w:tcW w:w="886" w:type="dxa"/>
            <w:tcBorders>
              <w:top w:val="single" w:sz="8" w:space="0" w:color="000000" w:themeColor="text1"/>
              <w:left w:val="nil"/>
              <w:bottom w:val="double" w:sz="4" w:space="0" w:color="000000" w:themeColor="text1"/>
              <w:right w:val="nil"/>
            </w:tcBorders>
            <w:shd w:val="clear" w:color="000000" w:fill="FFFFFF"/>
            <w:noWrap/>
            <w:vAlign w:val="bottom"/>
            <w:hideMark/>
          </w:tcPr>
          <w:p w14:paraId="740982EA" w14:textId="77777777" w:rsidR="001B6918" w:rsidRPr="00413B9C" w:rsidRDefault="001B6918" w:rsidP="00730ECF">
            <w:pPr>
              <w:jc w:val="right"/>
              <w:rPr>
                <w:rFonts w:eastAsia="Times New Roman" w:cstheme="minorHAnsi"/>
                <w:szCs w:val="24"/>
              </w:rPr>
            </w:pPr>
            <w:r w:rsidRPr="00413B9C">
              <w:rPr>
                <w:rFonts w:eastAsia="Times New Roman" w:cstheme="minorHAnsi"/>
                <w:szCs w:val="24"/>
              </w:rPr>
              <w:t>7</w:t>
            </w:r>
            <w:r>
              <w:rPr>
                <w:rFonts w:eastAsia="Times New Roman" w:cstheme="minorHAnsi"/>
                <w:szCs w:val="24"/>
              </w:rPr>
              <w:t>37</w:t>
            </w:r>
          </w:p>
        </w:tc>
        <w:tc>
          <w:tcPr>
            <w:tcW w:w="886" w:type="dxa"/>
            <w:tcBorders>
              <w:top w:val="single" w:sz="8" w:space="0" w:color="000000" w:themeColor="text1"/>
              <w:left w:val="nil"/>
              <w:bottom w:val="double" w:sz="4" w:space="0" w:color="000000" w:themeColor="text1"/>
              <w:right w:val="nil"/>
            </w:tcBorders>
            <w:shd w:val="clear" w:color="auto" w:fill="F2F2F2" w:themeFill="background1" w:themeFillShade="F2"/>
            <w:vAlign w:val="bottom"/>
          </w:tcPr>
          <w:p w14:paraId="2BF033D6" w14:textId="77777777" w:rsidR="001B6918" w:rsidRPr="004E6649" w:rsidRDefault="001B6918" w:rsidP="00730ECF">
            <w:pPr>
              <w:jc w:val="right"/>
              <w:rPr>
                <w:rFonts w:eastAsia="Times New Roman" w:cstheme="minorHAnsi"/>
                <w:szCs w:val="24"/>
              </w:rPr>
            </w:pPr>
            <w:r w:rsidRPr="007361F4">
              <w:rPr>
                <w:rFonts w:eastAsia="Times New Roman" w:cstheme="minorHAnsi"/>
                <w:szCs w:val="24"/>
              </w:rPr>
              <w:t>775</w:t>
            </w:r>
          </w:p>
        </w:tc>
      </w:tr>
    </w:tbl>
    <w:p w14:paraId="02824A43" w14:textId="77777777" w:rsidR="001B6918" w:rsidRPr="004E6649" w:rsidRDefault="001B6918" w:rsidP="001B6918">
      <w:pPr>
        <w:spacing w:before="240" w:after="200"/>
        <w:ind w:right="-7"/>
        <w:rPr>
          <w:rFonts w:eastAsia="Times New Roman" w:cstheme="minorHAnsi"/>
          <w:sz w:val="24"/>
        </w:rPr>
      </w:pPr>
      <w:r w:rsidRPr="004E6649">
        <w:rPr>
          <w:rFonts w:eastAsia="Times New Roman" w:cstheme="minorHAnsi"/>
          <w:b/>
          <w:i/>
          <w:spacing w:val="-1"/>
          <w:sz w:val="24"/>
        </w:rPr>
        <w:t>Contributions:</w:t>
      </w:r>
      <w:r w:rsidRPr="004E6649">
        <w:rPr>
          <w:rFonts w:eastAsia="Times New Roman" w:cstheme="minorHAnsi"/>
          <w:spacing w:val="-1"/>
          <w:sz w:val="24"/>
        </w:rPr>
        <w:t xml:space="preserve"> The System</w:t>
      </w:r>
      <w:r w:rsidRPr="004E6649">
        <w:rPr>
          <w:rFonts w:eastAsia="Times New Roman" w:cstheme="minorHAnsi"/>
          <w:spacing w:val="2"/>
          <w:sz w:val="24"/>
        </w:rPr>
        <w:t xml:space="preserve"> </w:t>
      </w:r>
      <w:r w:rsidRPr="004E6649">
        <w:rPr>
          <w:rFonts w:eastAsia="Times New Roman" w:cstheme="minorHAnsi"/>
          <w:sz w:val="24"/>
        </w:rPr>
        <w:t>ado</w:t>
      </w:r>
      <w:r w:rsidRPr="004E6649">
        <w:rPr>
          <w:rFonts w:eastAsia="Times New Roman" w:cstheme="minorHAnsi"/>
          <w:spacing w:val="-2"/>
          <w:sz w:val="24"/>
        </w:rPr>
        <w:t>p</w:t>
      </w:r>
      <w:r w:rsidRPr="004E6649">
        <w:rPr>
          <w:rFonts w:eastAsia="Times New Roman" w:cstheme="minorHAnsi"/>
          <w:sz w:val="24"/>
        </w:rPr>
        <w:t>ted</w:t>
      </w:r>
      <w:r w:rsidRPr="004E6649">
        <w:rPr>
          <w:rFonts w:eastAsia="Times New Roman" w:cstheme="minorHAnsi"/>
          <w:spacing w:val="4"/>
          <w:sz w:val="24"/>
        </w:rPr>
        <w:t xml:space="preserve"> </w:t>
      </w:r>
      <w:r w:rsidRPr="004E6649">
        <w:rPr>
          <w:rFonts w:eastAsia="Times New Roman" w:cstheme="minorHAnsi"/>
          <w:sz w:val="24"/>
        </w:rPr>
        <w:t>a</w:t>
      </w:r>
      <w:r w:rsidRPr="004E6649">
        <w:rPr>
          <w:rFonts w:eastAsia="Times New Roman" w:cstheme="minorHAnsi"/>
          <w:spacing w:val="3"/>
          <w:sz w:val="24"/>
        </w:rPr>
        <w:t xml:space="preserve"> </w:t>
      </w:r>
      <w:r w:rsidRPr="004E6649">
        <w:rPr>
          <w:rFonts w:eastAsia="Times New Roman" w:cstheme="minorHAnsi"/>
          <w:sz w:val="24"/>
        </w:rPr>
        <w:t>fun</w:t>
      </w:r>
      <w:r w:rsidRPr="004E6649">
        <w:rPr>
          <w:rFonts w:eastAsia="Times New Roman" w:cstheme="minorHAnsi"/>
          <w:spacing w:val="1"/>
          <w:sz w:val="24"/>
        </w:rPr>
        <w:t>d</w:t>
      </w:r>
      <w:r w:rsidRPr="004E6649">
        <w:rPr>
          <w:rFonts w:eastAsia="Times New Roman" w:cstheme="minorHAnsi"/>
          <w:sz w:val="24"/>
        </w:rPr>
        <w:t>ing</w:t>
      </w:r>
      <w:r w:rsidRPr="004E6649">
        <w:rPr>
          <w:rFonts w:eastAsia="Times New Roman" w:cstheme="minorHAnsi"/>
          <w:spacing w:val="4"/>
          <w:sz w:val="24"/>
        </w:rPr>
        <w:t xml:space="preserve"> </w:t>
      </w:r>
      <w:r w:rsidRPr="004E6649">
        <w:rPr>
          <w:rFonts w:eastAsia="Times New Roman" w:cstheme="minorHAnsi"/>
          <w:spacing w:val="1"/>
          <w:sz w:val="24"/>
        </w:rPr>
        <w:t>s</w:t>
      </w:r>
      <w:r w:rsidRPr="004E6649">
        <w:rPr>
          <w:rFonts w:eastAsia="Times New Roman" w:cstheme="minorHAnsi"/>
          <w:sz w:val="24"/>
        </w:rPr>
        <w:t>t</w:t>
      </w:r>
      <w:r w:rsidRPr="004E6649">
        <w:rPr>
          <w:rFonts w:eastAsia="Times New Roman" w:cstheme="minorHAnsi"/>
          <w:spacing w:val="-1"/>
          <w:sz w:val="24"/>
        </w:rPr>
        <w:t>r</w:t>
      </w:r>
      <w:r w:rsidRPr="004E6649">
        <w:rPr>
          <w:rFonts w:eastAsia="Times New Roman" w:cstheme="minorHAnsi"/>
          <w:sz w:val="24"/>
        </w:rPr>
        <w:t>a</w:t>
      </w:r>
      <w:r w:rsidRPr="004E6649">
        <w:rPr>
          <w:rFonts w:eastAsia="Times New Roman" w:cstheme="minorHAnsi"/>
          <w:spacing w:val="1"/>
          <w:sz w:val="24"/>
        </w:rPr>
        <w:t>t</w:t>
      </w:r>
      <w:r w:rsidRPr="004E6649">
        <w:rPr>
          <w:rFonts w:eastAsia="Times New Roman" w:cstheme="minorHAnsi"/>
          <w:sz w:val="24"/>
        </w:rPr>
        <w:t>egy</w:t>
      </w:r>
      <w:r w:rsidRPr="004E6649">
        <w:rPr>
          <w:rFonts w:eastAsia="Times New Roman" w:cstheme="minorHAnsi"/>
          <w:spacing w:val="1"/>
          <w:sz w:val="24"/>
        </w:rPr>
        <w:t xml:space="preserve"> </w:t>
      </w:r>
      <w:r w:rsidRPr="004E6649">
        <w:rPr>
          <w:rFonts w:eastAsia="Times New Roman" w:cstheme="minorHAnsi"/>
          <w:sz w:val="24"/>
        </w:rPr>
        <w:t>for</w:t>
      </w:r>
      <w:r w:rsidRPr="004E6649">
        <w:rPr>
          <w:rFonts w:eastAsia="Times New Roman" w:cstheme="minorHAnsi"/>
          <w:spacing w:val="2"/>
          <w:sz w:val="24"/>
        </w:rPr>
        <w:t xml:space="preserve"> </w:t>
      </w:r>
      <w:r w:rsidRPr="004E6649">
        <w:rPr>
          <w:rFonts w:eastAsia="Times New Roman" w:cstheme="minorHAnsi"/>
          <w:sz w:val="24"/>
        </w:rPr>
        <w:t>the</w:t>
      </w:r>
      <w:r w:rsidRPr="004E6649">
        <w:rPr>
          <w:rFonts w:eastAsia="Times New Roman" w:cstheme="minorHAnsi"/>
          <w:spacing w:val="1"/>
          <w:sz w:val="24"/>
        </w:rPr>
        <w:t xml:space="preserve"> </w:t>
      </w:r>
      <w:r w:rsidRPr="004E6649">
        <w:rPr>
          <w:rFonts w:eastAsia="Times New Roman" w:cstheme="minorHAnsi"/>
          <w:spacing w:val="-1"/>
          <w:sz w:val="24"/>
        </w:rPr>
        <w:t>P</w:t>
      </w:r>
      <w:r w:rsidRPr="004E6649">
        <w:rPr>
          <w:rFonts w:eastAsia="Times New Roman" w:cstheme="minorHAnsi"/>
          <w:sz w:val="24"/>
        </w:rPr>
        <w:t>lan</w:t>
      </w:r>
      <w:r w:rsidRPr="004E6649">
        <w:rPr>
          <w:rFonts w:eastAsia="Times New Roman" w:cstheme="minorHAnsi"/>
          <w:spacing w:val="2"/>
          <w:sz w:val="24"/>
        </w:rPr>
        <w:t xml:space="preserve"> </w:t>
      </w:r>
      <w:r w:rsidRPr="004E6649">
        <w:rPr>
          <w:rFonts w:eastAsia="Times New Roman" w:cstheme="minorHAnsi"/>
          <w:spacing w:val="-1"/>
          <w:sz w:val="24"/>
        </w:rPr>
        <w:t>o</w:t>
      </w:r>
      <w:r w:rsidRPr="004E6649">
        <w:rPr>
          <w:rFonts w:eastAsia="Times New Roman" w:cstheme="minorHAnsi"/>
          <w:sz w:val="24"/>
        </w:rPr>
        <w:t>n</w:t>
      </w:r>
      <w:r w:rsidRPr="004E6649">
        <w:rPr>
          <w:rFonts w:eastAsia="Times New Roman" w:cstheme="minorHAnsi"/>
          <w:spacing w:val="1"/>
          <w:sz w:val="24"/>
        </w:rPr>
        <w:t xml:space="preserve"> </w:t>
      </w:r>
      <w:r w:rsidRPr="004E6649">
        <w:rPr>
          <w:rFonts w:eastAsia="Times New Roman" w:cstheme="minorHAnsi"/>
          <w:sz w:val="24"/>
        </w:rPr>
        <w:t>F</w:t>
      </w:r>
      <w:r w:rsidRPr="004E6649">
        <w:rPr>
          <w:rFonts w:eastAsia="Times New Roman" w:cstheme="minorHAnsi"/>
          <w:spacing w:val="-1"/>
          <w:sz w:val="24"/>
        </w:rPr>
        <w:t>e</w:t>
      </w:r>
      <w:r w:rsidRPr="004E6649">
        <w:rPr>
          <w:rFonts w:eastAsia="Times New Roman" w:cstheme="minorHAnsi"/>
          <w:sz w:val="24"/>
        </w:rPr>
        <w:t>b</w:t>
      </w:r>
      <w:r w:rsidRPr="004E6649">
        <w:rPr>
          <w:rFonts w:eastAsia="Times New Roman" w:cstheme="minorHAnsi"/>
          <w:spacing w:val="-1"/>
          <w:sz w:val="24"/>
        </w:rPr>
        <w:t>r</w:t>
      </w:r>
      <w:r w:rsidRPr="004E6649">
        <w:rPr>
          <w:rFonts w:eastAsia="Times New Roman" w:cstheme="minorHAnsi"/>
          <w:sz w:val="24"/>
        </w:rPr>
        <w:t>ua</w:t>
      </w:r>
      <w:r w:rsidRPr="004E6649">
        <w:rPr>
          <w:rFonts w:eastAsia="Times New Roman" w:cstheme="minorHAnsi"/>
          <w:spacing w:val="-1"/>
          <w:sz w:val="24"/>
        </w:rPr>
        <w:t>r</w:t>
      </w:r>
      <w:r w:rsidRPr="004E6649">
        <w:rPr>
          <w:rFonts w:eastAsia="Times New Roman" w:cstheme="minorHAnsi"/>
          <w:sz w:val="24"/>
        </w:rPr>
        <w:t>y</w:t>
      </w:r>
      <w:r w:rsidRPr="004E6649">
        <w:rPr>
          <w:rFonts w:eastAsia="Times New Roman" w:cstheme="minorHAnsi"/>
          <w:spacing w:val="3"/>
          <w:sz w:val="24"/>
        </w:rPr>
        <w:t xml:space="preserve"> </w:t>
      </w:r>
      <w:r w:rsidRPr="004E6649">
        <w:rPr>
          <w:rFonts w:eastAsia="Times New Roman" w:cstheme="minorHAnsi"/>
          <w:sz w:val="24"/>
        </w:rPr>
        <w:t>27,</w:t>
      </w:r>
      <w:r w:rsidRPr="004E6649">
        <w:rPr>
          <w:rFonts w:eastAsia="Times New Roman" w:cstheme="minorHAnsi"/>
          <w:spacing w:val="1"/>
          <w:sz w:val="24"/>
        </w:rPr>
        <w:t xml:space="preserve"> </w:t>
      </w:r>
      <w:r w:rsidRPr="004E6649">
        <w:rPr>
          <w:rFonts w:eastAsia="Times New Roman" w:cstheme="minorHAnsi"/>
          <w:sz w:val="24"/>
        </w:rPr>
        <w:t xml:space="preserve">2014. </w:t>
      </w:r>
      <w:r w:rsidRPr="004E6649">
        <w:rPr>
          <w:rFonts w:eastAsia="Times New Roman" w:cstheme="minorHAnsi"/>
          <w:spacing w:val="-1"/>
          <w:sz w:val="24"/>
        </w:rPr>
        <w:t>T</w:t>
      </w:r>
      <w:r w:rsidRPr="004E6649">
        <w:rPr>
          <w:rFonts w:eastAsia="Times New Roman" w:cstheme="minorHAnsi"/>
          <w:sz w:val="24"/>
        </w:rPr>
        <w:t>he</w:t>
      </w:r>
      <w:r w:rsidRPr="004E6649">
        <w:rPr>
          <w:rFonts w:eastAsia="Times New Roman" w:cstheme="minorHAnsi"/>
          <w:spacing w:val="1"/>
          <w:sz w:val="24"/>
        </w:rPr>
        <w:t xml:space="preserve"> </w:t>
      </w:r>
      <w:r w:rsidRPr="004E6649">
        <w:rPr>
          <w:rFonts w:eastAsia="Times New Roman" w:cstheme="minorHAnsi"/>
          <w:spacing w:val="-1"/>
          <w:sz w:val="24"/>
        </w:rPr>
        <w:t>System’s</w:t>
      </w:r>
      <w:r w:rsidRPr="004E6649">
        <w:rPr>
          <w:rFonts w:eastAsia="Times New Roman" w:cstheme="minorHAnsi"/>
          <w:spacing w:val="3"/>
          <w:sz w:val="24"/>
        </w:rPr>
        <w:t xml:space="preserve"> </w:t>
      </w:r>
      <w:r w:rsidRPr="004E6649">
        <w:rPr>
          <w:rFonts w:eastAsia="Times New Roman" w:cstheme="minorHAnsi"/>
          <w:sz w:val="24"/>
        </w:rPr>
        <w:t>fun</w:t>
      </w:r>
      <w:r w:rsidRPr="004E6649">
        <w:rPr>
          <w:rFonts w:eastAsia="Times New Roman" w:cstheme="minorHAnsi"/>
          <w:spacing w:val="1"/>
          <w:sz w:val="24"/>
        </w:rPr>
        <w:t>d</w:t>
      </w:r>
      <w:r w:rsidRPr="004E6649">
        <w:rPr>
          <w:rFonts w:eastAsia="Times New Roman" w:cstheme="minorHAnsi"/>
          <w:sz w:val="24"/>
        </w:rPr>
        <w:t>ing</w:t>
      </w:r>
      <w:r w:rsidRPr="004E6649">
        <w:rPr>
          <w:rFonts w:eastAsia="Times New Roman" w:cstheme="minorHAnsi"/>
          <w:spacing w:val="2"/>
          <w:sz w:val="24"/>
        </w:rPr>
        <w:t xml:space="preserve"> </w:t>
      </w:r>
      <w:r w:rsidRPr="004E6649">
        <w:rPr>
          <w:rFonts w:eastAsia="Times New Roman" w:cstheme="minorHAnsi"/>
          <w:spacing w:val="1"/>
          <w:sz w:val="24"/>
        </w:rPr>
        <w:t>s</w:t>
      </w:r>
      <w:r w:rsidRPr="004E6649">
        <w:rPr>
          <w:rFonts w:eastAsia="Times New Roman" w:cstheme="minorHAnsi"/>
          <w:sz w:val="24"/>
        </w:rPr>
        <w:t>t</w:t>
      </w:r>
      <w:r w:rsidRPr="004E6649">
        <w:rPr>
          <w:rFonts w:eastAsia="Times New Roman" w:cstheme="minorHAnsi"/>
          <w:spacing w:val="-1"/>
          <w:sz w:val="24"/>
        </w:rPr>
        <w:t>r</w:t>
      </w:r>
      <w:r w:rsidRPr="004E6649">
        <w:rPr>
          <w:rFonts w:eastAsia="Times New Roman" w:cstheme="minorHAnsi"/>
          <w:sz w:val="24"/>
        </w:rPr>
        <w:t>a</w:t>
      </w:r>
      <w:r w:rsidRPr="004E6649">
        <w:rPr>
          <w:rFonts w:eastAsia="Times New Roman" w:cstheme="minorHAnsi"/>
          <w:spacing w:val="1"/>
          <w:sz w:val="24"/>
        </w:rPr>
        <w:t>t</w:t>
      </w:r>
      <w:r w:rsidRPr="004E6649">
        <w:rPr>
          <w:rFonts w:eastAsia="Times New Roman" w:cstheme="minorHAnsi"/>
          <w:sz w:val="24"/>
        </w:rPr>
        <w:t>egy</w:t>
      </w:r>
      <w:r w:rsidRPr="004E6649">
        <w:rPr>
          <w:rFonts w:eastAsia="Times New Roman" w:cstheme="minorHAnsi"/>
          <w:spacing w:val="3"/>
          <w:sz w:val="24"/>
        </w:rPr>
        <w:t xml:space="preserve"> </w:t>
      </w:r>
      <w:r w:rsidRPr="004E6649">
        <w:rPr>
          <w:rFonts w:eastAsia="Times New Roman" w:cstheme="minorHAnsi"/>
          <w:sz w:val="24"/>
        </w:rPr>
        <w:t>foll</w:t>
      </w:r>
      <w:r w:rsidRPr="004E6649">
        <w:rPr>
          <w:rFonts w:eastAsia="Times New Roman" w:cstheme="minorHAnsi"/>
          <w:spacing w:val="-1"/>
          <w:sz w:val="24"/>
        </w:rPr>
        <w:t>o</w:t>
      </w:r>
      <w:r w:rsidRPr="004E6649">
        <w:rPr>
          <w:rFonts w:eastAsia="Times New Roman" w:cstheme="minorHAnsi"/>
          <w:sz w:val="24"/>
        </w:rPr>
        <w:t>ws</w:t>
      </w:r>
      <w:r w:rsidRPr="004E6649">
        <w:rPr>
          <w:rFonts w:eastAsia="Times New Roman" w:cstheme="minorHAnsi"/>
          <w:spacing w:val="2"/>
          <w:sz w:val="24"/>
        </w:rPr>
        <w:t xml:space="preserve"> </w:t>
      </w:r>
      <w:r w:rsidRPr="004E6649">
        <w:rPr>
          <w:rFonts w:eastAsia="Times New Roman" w:cstheme="minorHAnsi"/>
          <w:sz w:val="24"/>
        </w:rPr>
        <w:t>a</w:t>
      </w:r>
      <w:r w:rsidRPr="004E6649">
        <w:rPr>
          <w:rFonts w:eastAsia="Times New Roman" w:cstheme="minorHAnsi"/>
          <w:w w:val="99"/>
          <w:sz w:val="24"/>
        </w:rPr>
        <w:t xml:space="preserve"> </w:t>
      </w:r>
      <w:r w:rsidRPr="004E6649">
        <w:rPr>
          <w:rFonts w:eastAsia="Times New Roman" w:cstheme="minorHAnsi"/>
          <w:sz w:val="24"/>
        </w:rPr>
        <w:t>l</w:t>
      </w:r>
      <w:r w:rsidRPr="004E6649">
        <w:rPr>
          <w:rFonts w:eastAsia="Times New Roman" w:cstheme="minorHAnsi"/>
          <w:spacing w:val="-1"/>
          <w:sz w:val="24"/>
        </w:rPr>
        <w:t>o</w:t>
      </w:r>
      <w:r w:rsidRPr="004E6649">
        <w:rPr>
          <w:rFonts w:eastAsia="Times New Roman" w:cstheme="minorHAnsi"/>
          <w:sz w:val="24"/>
        </w:rPr>
        <w:t>ng-te</w:t>
      </w:r>
      <w:r w:rsidRPr="004E6649">
        <w:rPr>
          <w:rFonts w:eastAsia="Times New Roman" w:cstheme="minorHAnsi"/>
          <w:spacing w:val="-2"/>
          <w:sz w:val="24"/>
        </w:rPr>
        <w:t>r</w:t>
      </w:r>
      <w:r w:rsidRPr="004E6649">
        <w:rPr>
          <w:rFonts w:eastAsia="Times New Roman" w:cstheme="minorHAnsi"/>
          <w:sz w:val="24"/>
        </w:rPr>
        <w:t>m</w:t>
      </w:r>
      <w:r w:rsidRPr="004E6649">
        <w:rPr>
          <w:rFonts w:eastAsia="Times New Roman" w:cstheme="minorHAnsi"/>
          <w:spacing w:val="14"/>
          <w:sz w:val="24"/>
        </w:rPr>
        <w:t xml:space="preserve"> </w:t>
      </w:r>
      <w:r w:rsidRPr="004E6649">
        <w:rPr>
          <w:rFonts w:eastAsia="Times New Roman" w:cstheme="minorHAnsi"/>
          <w:sz w:val="24"/>
        </w:rPr>
        <w:t>cont</w:t>
      </w:r>
      <w:r w:rsidRPr="004E6649">
        <w:rPr>
          <w:rFonts w:eastAsia="Times New Roman" w:cstheme="minorHAnsi"/>
          <w:spacing w:val="-1"/>
          <w:sz w:val="24"/>
        </w:rPr>
        <w:t>r</w:t>
      </w:r>
      <w:r w:rsidRPr="004E6649">
        <w:rPr>
          <w:rFonts w:eastAsia="Times New Roman" w:cstheme="minorHAnsi"/>
          <w:sz w:val="24"/>
        </w:rPr>
        <w:t>ibution</w:t>
      </w:r>
      <w:r w:rsidRPr="004E6649">
        <w:rPr>
          <w:rFonts w:eastAsia="Times New Roman" w:cstheme="minorHAnsi"/>
          <w:spacing w:val="15"/>
          <w:sz w:val="24"/>
        </w:rPr>
        <w:t xml:space="preserve"> </w:t>
      </w:r>
      <w:r w:rsidRPr="004E6649">
        <w:rPr>
          <w:rFonts w:eastAsia="Times New Roman" w:cstheme="minorHAnsi"/>
          <w:spacing w:val="1"/>
          <w:sz w:val="24"/>
        </w:rPr>
        <w:t>s</w:t>
      </w:r>
      <w:r w:rsidRPr="004E6649">
        <w:rPr>
          <w:rFonts w:eastAsia="Times New Roman" w:cstheme="minorHAnsi"/>
          <w:sz w:val="24"/>
        </w:rPr>
        <w:t>chedule,</w:t>
      </w:r>
      <w:r w:rsidRPr="004E6649">
        <w:rPr>
          <w:rFonts w:eastAsia="Times New Roman" w:cstheme="minorHAnsi"/>
          <w:spacing w:val="13"/>
          <w:sz w:val="24"/>
        </w:rPr>
        <w:t xml:space="preserve"> </w:t>
      </w:r>
      <w:r w:rsidRPr="004E6649">
        <w:rPr>
          <w:rFonts w:eastAsia="Times New Roman" w:cstheme="minorHAnsi"/>
          <w:spacing w:val="1"/>
          <w:sz w:val="24"/>
        </w:rPr>
        <w:t>s</w:t>
      </w:r>
      <w:r w:rsidRPr="004E6649">
        <w:rPr>
          <w:rFonts w:eastAsia="Times New Roman" w:cstheme="minorHAnsi"/>
          <w:sz w:val="24"/>
        </w:rPr>
        <w:t>uch</w:t>
      </w:r>
      <w:r w:rsidRPr="004E6649">
        <w:rPr>
          <w:rFonts w:eastAsia="Times New Roman" w:cstheme="minorHAnsi"/>
          <w:spacing w:val="15"/>
          <w:sz w:val="24"/>
        </w:rPr>
        <w:t xml:space="preserve"> </w:t>
      </w:r>
      <w:r w:rsidRPr="004E6649">
        <w:rPr>
          <w:rFonts w:eastAsia="Times New Roman" w:cstheme="minorHAnsi"/>
          <w:sz w:val="24"/>
        </w:rPr>
        <w:t>that</w:t>
      </w:r>
      <w:r w:rsidRPr="004E6649">
        <w:rPr>
          <w:rFonts w:eastAsia="Times New Roman" w:cstheme="minorHAnsi"/>
          <w:spacing w:val="13"/>
          <w:sz w:val="24"/>
        </w:rPr>
        <w:t xml:space="preserve"> </w:t>
      </w:r>
      <w:r w:rsidRPr="004E6649">
        <w:rPr>
          <w:rFonts w:eastAsia="Times New Roman" w:cstheme="minorHAnsi"/>
          <w:sz w:val="24"/>
        </w:rPr>
        <w:t>a</w:t>
      </w:r>
      <w:r w:rsidRPr="004E6649">
        <w:rPr>
          <w:rFonts w:eastAsia="Times New Roman" w:cstheme="minorHAnsi"/>
          <w:spacing w:val="14"/>
          <w:sz w:val="24"/>
        </w:rPr>
        <w:t xml:space="preserve"> </w:t>
      </w:r>
      <w:r w:rsidRPr="004E6649">
        <w:rPr>
          <w:rFonts w:eastAsia="Times New Roman" w:cstheme="minorHAnsi"/>
          <w:sz w:val="24"/>
        </w:rPr>
        <w:t>l</w:t>
      </w:r>
      <w:r w:rsidRPr="004E6649">
        <w:rPr>
          <w:rFonts w:eastAsia="Times New Roman" w:cstheme="minorHAnsi"/>
          <w:spacing w:val="-1"/>
          <w:sz w:val="24"/>
        </w:rPr>
        <w:t>ev</w:t>
      </w:r>
      <w:r w:rsidRPr="004E6649">
        <w:rPr>
          <w:rFonts w:eastAsia="Times New Roman" w:cstheme="minorHAnsi"/>
          <w:sz w:val="24"/>
        </w:rPr>
        <w:t>el</w:t>
      </w:r>
      <w:r w:rsidRPr="004E6649">
        <w:rPr>
          <w:rFonts w:eastAsia="Times New Roman" w:cstheme="minorHAnsi"/>
          <w:spacing w:val="11"/>
          <w:sz w:val="24"/>
        </w:rPr>
        <w:t xml:space="preserve"> </w:t>
      </w:r>
      <w:r w:rsidRPr="004E6649">
        <w:rPr>
          <w:rFonts w:eastAsia="Times New Roman" w:cstheme="minorHAnsi"/>
          <w:sz w:val="24"/>
        </w:rPr>
        <w:t>annual</w:t>
      </w:r>
      <w:r w:rsidRPr="004E6649">
        <w:rPr>
          <w:rFonts w:eastAsia="Times New Roman" w:cstheme="minorHAnsi"/>
          <w:spacing w:val="14"/>
          <w:sz w:val="24"/>
        </w:rPr>
        <w:t xml:space="preserve"> </w:t>
      </w:r>
      <w:r w:rsidRPr="004E6649">
        <w:rPr>
          <w:rFonts w:eastAsia="Times New Roman" w:cstheme="minorHAnsi"/>
          <w:sz w:val="24"/>
        </w:rPr>
        <w:t>do</w:t>
      </w:r>
      <w:r w:rsidRPr="004E6649">
        <w:rPr>
          <w:rFonts w:eastAsia="Times New Roman" w:cstheme="minorHAnsi"/>
          <w:spacing w:val="-1"/>
          <w:sz w:val="24"/>
        </w:rPr>
        <w:t>l</w:t>
      </w:r>
      <w:r w:rsidRPr="004E6649">
        <w:rPr>
          <w:rFonts w:eastAsia="Times New Roman" w:cstheme="minorHAnsi"/>
          <w:sz w:val="24"/>
        </w:rPr>
        <w:t>lar</w:t>
      </w:r>
      <w:r w:rsidRPr="004E6649">
        <w:rPr>
          <w:rFonts w:eastAsia="Times New Roman" w:cstheme="minorHAnsi"/>
          <w:spacing w:val="11"/>
          <w:sz w:val="24"/>
        </w:rPr>
        <w:t xml:space="preserve"> </w:t>
      </w:r>
      <w:r w:rsidRPr="004E6649">
        <w:rPr>
          <w:rFonts w:eastAsia="Times New Roman" w:cstheme="minorHAnsi"/>
          <w:sz w:val="24"/>
        </w:rPr>
        <w:t>a</w:t>
      </w:r>
      <w:r w:rsidRPr="004E6649">
        <w:rPr>
          <w:rFonts w:eastAsia="Times New Roman" w:cstheme="minorHAnsi"/>
          <w:spacing w:val="1"/>
          <w:sz w:val="24"/>
        </w:rPr>
        <w:t>m</w:t>
      </w:r>
      <w:r w:rsidRPr="004E6649">
        <w:rPr>
          <w:rFonts w:eastAsia="Times New Roman" w:cstheme="minorHAnsi"/>
          <w:sz w:val="24"/>
        </w:rPr>
        <w:t>ount</w:t>
      </w:r>
      <w:r w:rsidRPr="004E6649">
        <w:rPr>
          <w:rFonts w:eastAsia="Times New Roman" w:cstheme="minorHAnsi"/>
          <w:spacing w:val="15"/>
          <w:sz w:val="24"/>
        </w:rPr>
        <w:t xml:space="preserve"> </w:t>
      </w:r>
      <w:r w:rsidRPr="004E6649">
        <w:rPr>
          <w:rFonts w:eastAsia="Times New Roman" w:cstheme="minorHAnsi"/>
          <w:sz w:val="24"/>
        </w:rPr>
        <w:t>will</w:t>
      </w:r>
      <w:r w:rsidRPr="004E6649">
        <w:rPr>
          <w:rFonts w:eastAsia="Times New Roman" w:cstheme="minorHAnsi"/>
          <w:spacing w:val="12"/>
          <w:sz w:val="24"/>
        </w:rPr>
        <w:t xml:space="preserve"> </w:t>
      </w:r>
      <w:r w:rsidRPr="004E6649">
        <w:rPr>
          <w:rFonts w:eastAsia="Times New Roman" w:cstheme="minorHAnsi"/>
          <w:spacing w:val="1"/>
          <w:sz w:val="24"/>
        </w:rPr>
        <w:t>b</w:t>
      </w:r>
      <w:r w:rsidRPr="004E6649">
        <w:rPr>
          <w:rFonts w:eastAsia="Times New Roman" w:cstheme="minorHAnsi"/>
          <w:sz w:val="24"/>
        </w:rPr>
        <w:t>e</w:t>
      </w:r>
      <w:r w:rsidRPr="004E6649">
        <w:rPr>
          <w:rFonts w:eastAsia="Times New Roman" w:cstheme="minorHAnsi"/>
          <w:spacing w:val="14"/>
          <w:sz w:val="24"/>
        </w:rPr>
        <w:t xml:space="preserve"> </w:t>
      </w:r>
      <w:r w:rsidRPr="004E6649">
        <w:rPr>
          <w:rFonts w:eastAsia="Times New Roman" w:cstheme="minorHAnsi"/>
          <w:sz w:val="24"/>
        </w:rPr>
        <w:t>cont</w:t>
      </w:r>
      <w:r w:rsidRPr="004E6649">
        <w:rPr>
          <w:rFonts w:eastAsia="Times New Roman" w:cstheme="minorHAnsi"/>
          <w:spacing w:val="-1"/>
          <w:sz w:val="24"/>
        </w:rPr>
        <w:t>r</w:t>
      </w:r>
      <w:r w:rsidRPr="004E6649">
        <w:rPr>
          <w:rFonts w:eastAsia="Times New Roman" w:cstheme="minorHAnsi"/>
          <w:sz w:val="24"/>
        </w:rPr>
        <w:t>ibuted</w:t>
      </w:r>
      <w:r w:rsidRPr="004E6649">
        <w:rPr>
          <w:rFonts w:eastAsia="Times New Roman" w:cstheme="minorHAnsi"/>
          <w:spacing w:val="13"/>
          <w:sz w:val="24"/>
        </w:rPr>
        <w:t xml:space="preserve"> </w:t>
      </w:r>
      <w:r w:rsidRPr="004E6649">
        <w:rPr>
          <w:rFonts w:eastAsia="Times New Roman" w:cstheme="minorHAnsi"/>
          <w:spacing w:val="1"/>
          <w:sz w:val="24"/>
        </w:rPr>
        <w:t>t</w:t>
      </w:r>
      <w:r w:rsidRPr="004E6649">
        <w:rPr>
          <w:rFonts w:eastAsia="Times New Roman" w:cstheme="minorHAnsi"/>
          <w:sz w:val="24"/>
        </w:rPr>
        <w:t>o</w:t>
      </w:r>
      <w:r w:rsidRPr="004E6649">
        <w:rPr>
          <w:rFonts w:eastAsia="Times New Roman" w:cstheme="minorHAnsi"/>
          <w:spacing w:val="14"/>
          <w:sz w:val="24"/>
        </w:rPr>
        <w:t xml:space="preserve"> </w:t>
      </w:r>
      <w:r w:rsidRPr="004E6649">
        <w:rPr>
          <w:rFonts w:eastAsia="Times New Roman" w:cstheme="minorHAnsi"/>
          <w:sz w:val="24"/>
        </w:rPr>
        <w:t>the</w:t>
      </w:r>
      <w:r w:rsidRPr="004E6649">
        <w:rPr>
          <w:rFonts w:eastAsia="Times New Roman" w:cstheme="minorHAnsi"/>
          <w:spacing w:val="12"/>
          <w:sz w:val="24"/>
        </w:rPr>
        <w:t xml:space="preserve"> </w:t>
      </w:r>
      <w:r w:rsidRPr="004E6649">
        <w:rPr>
          <w:rFonts w:eastAsia="Times New Roman" w:cstheme="minorHAnsi"/>
          <w:spacing w:val="-1"/>
          <w:sz w:val="24"/>
        </w:rPr>
        <w:t>p</w:t>
      </w:r>
      <w:r w:rsidRPr="004E6649">
        <w:rPr>
          <w:rFonts w:eastAsia="Times New Roman" w:cstheme="minorHAnsi"/>
          <w:sz w:val="24"/>
        </w:rPr>
        <w:t>lan</w:t>
      </w:r>
      <w:r w:rsidRPr="004E6649">
        <w:rPr>
          <w:rFonts w:eastAsia="Times New Roman" w:cstheme="minorHAnsi"/>
          <w:w w:val="99"/>
          <w:sz w:val="24"/>
        </w:rPr>
        <w:t xml:space="preserve"> </w:t>
      </w:r>
      <w:r w:rsidRPr="004E6649">
        <w:rPr>
          <w:rFonts w:eastAsia="Times New Roman" w:cstheme="minorHAnsi"/>
          <w:sz w:val="24"/>
        </w:rPr>
        <w:t>indefinite</w:t>
      </w:r>
      <w:r w:rsidRPr="004E6649">
        <w:rPr>
          <w:rFonts w:eastAsia="Times New Roman" w:cstheme="minorHAnsi"/>
          <w:spacing w:val="-1"/>
          <w:sz w:val="24"/>
        </w:rPr>
        <w:t>ly</w:t>
      </w:r>
      <w:r w:rsidRPr="004E6649">
        <w:rPr>
          <w:rFonts w:eastAsia="Times New Roman" w:cstheme="minorHAnsi"/>
          <w:sz w:val="24"/>
        </w:rPr>
        <w:t>,</w:t>
      </w:r>
      <w:r w:rsidRPr="004E6649">
        <w:rPr>
          <w:rFonts w:eastAsia="Times New Roman" w:cstheme="minorHAnsi"/>
          <w:spacing w:val="-6"/>
          <w:sz w:val="24"/>
        </w:rPr>
        <w:t xml:space="preserve"> </w:t>
      </w:r>
      <w:r w:rsidRPr="004E6649">
        <w:rPr>
          <w:rFonts w:eastAsia="Times New Roman" w:cstheme="minorHAnsi"/>
          <w:sz w:val="24"/>
        </w:rPr>
        <w:t>while</w:t>
      </w:r>
      <w:r w:rsidRPr="004E6649">
        <w:rPr>
          <w:rFonts w:eastAsia="Times New Roman" w:cstheme="minorHAnsi"/>
          <w:spacing w:val="-7"/>
          <w:sz w:val="24"/>
        </w:rPr>
        <w:t xml:space="preserve"> </w:t>
      </w:r>
      <w:r w:rsidRPr="004E6649">
        <w:rPr>
          <w:rFonts w:eastAsia="Times New Roman" w:cstheme="minorHAnsi"/>
          <w:sz w:val="24"/>
        </w:rPr>
        <w:t>ne</w:t>
      </w:r>
      <w:r w:rsidRPr="004E6649">
        <w:rPr>
          <w:rFonts w:eastAsia="Times New Roman" w:cstheme="minorHAnsi"/>
          <w:spacing w:val="-2"/>
          <w:sz w:val="24"/>
        </w:rPr>
        <w:t>v</w:t>
      </w:r>
      <w:r w:rsidRPr="004E6649">
        <w:rPr>
          <w:rFonts w:eastAsia="Times New Roman" w:cstheme="minorHAnsi"/>
          <w:sz w:val="24"/>
        </w:rPr>
        <w:t>er</w:t>
      </w:r>
      <w:r w:rsidRPr="004E6649">
        <w:rPr>
          <w:rFonts w:eastAsia="Times New Roman" w:cstheme="minorHAnsi"/>
          <w:spacing w:val="-7"/>
          <w:sz w:val="24"/>
        </w:rPr>
        <w:t xml:space="preserve"> </w:t>
      </w:r>
      <w:r w:rsidRPr="004E6649">
        <w:rPr>
          <w:rFonts w:eastAsia="Times New Roman" w:cstheme="minorHAnsi"/>
          <w:sz w:val="24"/>
        </w:rPr>
        <w:t>allo</w:t>
      </w:r>
      <w:r w:rsidRPr="004E6649">
        <w:rPr>
          <w:rFonts w:eastAsia="Times New Roman" w:cstheme="minorHAnsi"/>
          <w:spacing w:val="-1"/>
          <w:sz w:val="24"/>
        </w:rPr>
        <w:t>w</w:t>
      </w:r>
      <w:r w:rsidRPr="004E6649">
        <w:rPr>
          <w:rFonts w:eastAsia="Times New Roman" w:cstheme="minorHAnsi"/>
          <w:sz w:val="24"/>
        </w:rPr>
        <w:t>ing</w:t>
      </w:r>
      <w:r w:rsidRPr="004E6649">
        <w:rPr>
          <w:rFonts w:eastAsia="Times New Roman" w:cstheme="minorHAnsi"/>
          <w:spacing w:val="-6"/>
          <w:sz w:val="24"/>
        </w:rPr>
        <w:t xml:space="preserve"> </w:t>
      </w:r>
      <w:r w:rsidRPr="004E6649">
        <w:rPr>
          <w:rFonts w:eastAsia="Times New Roman" w:cstheme="minorHAnsi"/>
          <w:sz w:val="24"/>
        </w:rPr>
        <w:t>the</w:t>
      </w:r>
      <w:r w:rsidRPr="004E6649">
        <w:rPr>
          <w:rFonts w:eastAsia="Times New Roman" w:cstheme="minorHAnsi"/>
          <w:spacing w:val="-6"/>
          <w:sz w:val="24"/>
        </w:rPr>
        <w:t xml:space="preserve"> P</w:t>
      </w:r>
      <w:r w:rsidRPr="004E6649">
        <w:rPr>
          <w:rFonts w:eastAsia="Times New Roman" w:cstheme="minorHAnsi"/>
          <w:sz w:val="24"/>
        </w:rPr>
        <w:t>lan's</w:t>
      </w:r>
      <w:r w:rsidRPr="004E6649">
        <w:rPr>
          <w:rFonts w:eastAsia="Times New Roman" w:cstheme="minorHAnsi"/>
          <w:spacing w:val="-6"/>
          <w:sz w:val="24"/>
        </w:rPr>
        <w:t xml:space="preserve"> </w:t>
      </w:r>
      <w:r w:rsidRPr="004E6649">
        <w:rPr>
          <w:rFonts w:eastAsia="Times New Roman" w:cstheme="minorHAnsi"/>
          <w:sz w:val="24"/>
        </w:rPr>
        <w:t>a</w:t>
      </w:r>
      <w:r w:rsidRPr="004E6649">
        <w:rPr>
          <w:rFonts w:eastAsia="Times New Roman" w:cstheme="minorHAnsi"/>
          <w:spacing w:val="1"/>
          <w:sz w:val="24"/>
        </w:rPr>
        <w:t>ss</w:t>
      </w:r>
      <w:r w:rsidRPr="004E6649">
        <w:rPr>
          <w:rFonts w:eastAsia="Times New Roman" w:cstheme="minorHAnsi"/>
          <w:sz w:val="24"/>
        </w:rPr>
        <w:t>ets</w:t>
      </w:r>
      <w:r w:rsidRPr="004E6649">
        <w:rPr>
          <w:rFonts w:eastAsia="Times New Roman" w:cstheme="minorHAnsi"/>
          <w:spacing w:val="-5"/>
          <w:sz w:val="24"/>
        </w:rPr>
        <w:t xml:space="preserve"> </w:t>
      </w:r>
      <w:r w:rsidRPr="004E6649">
        <w:rPr>
          <w:rFonts w:eastAsia="Times New Roman" w:cstheme="minorHAnsi"/>
          <w:sz w:val="24"/>
        </w:rPr>
        <w:t>to</w:t>
      </w:r>
      <w:r w:rsidRPr="004E6649">
        <w:rPr>
          <w:rFonts w:eastAsia="Times New Roman" w:cstheme="minorHAnsi"/>
          <w:spacing w:val="-6"/>
          <w:sz w:val="24"/>
        </w:rPr>
        <w:t xml:space="preserve"> </w:t>
      </w:r>
      <w:r w:rsidRPr="004E6649">
        <w:rPr>
          <w:rFonts w:eastAsia="Times New Roman" w:cstheme="minorHAnsi"/>
          <w:sz w:val="24"/>
        </w:rPr>
        <w:t>be</w:t>
      </w:r>
      <w:r w:rsidRPr="004E6649">
        <w:rPr>
          <w:rFonts w:eastAsia="Times New Roman" w:cstheme="minorHAnsi"/>
          <w:spacing w:val="-7"/>
          <w:sz w:val="24"/>
        </w:rPr>
        <w:t xml:space="preserve"> </w:t>
      </w:r>
      <w:r w:rsidRPr="004E6649">
        <w:rPr>
          <w:rFonts w:eastAsia="Times New Roman" w:cstheme="minorHAnsi"/>
          <w:sz w:val="24"/>
        </w:rPr>
        <w:t>de</w:t>
      </w:r>
      <w:r w:rsidRPr="004E6649">
        <w:rPr>
          <w:rFonts w:eastAsia="Times New Roman" w:cstheme="minorHAnsi"/>
          <w:spacing w:val="-2"/>
          <w:sz w:val="24"/>
        </w:rPr>
        <w:t>p</w:t>
      </w:r>
      <w:r w:rsidRPr="004E6649">
        <w:rPr>
          <w:rFonts w:eastAsia="Times New Roman" w:cstheme="minorHAnsi"/>
          <w:sz w:val="24"/>
        </w:rPr>
        <w:t>l</w:t>
      </w:r>
      <w:r w:rsidRPr="004E6649">
        <w:rPr>
          <w:rFonts w:eastAsia="Times New Roman" w:cstheme="minorHAnsi"/>
          <w:spacing w:val="-1"/>
          <w:sz w:val="24"/>
        </w:rPr>
        <w:t>e</w:t>
      </w:r>
      <w:r w:rsidRPr="004E6649">
        <w:rPr>
          <w:rFonts w:eastAsia="Times New Roman" w:cstheme="minorHAnsi"/>
          <w:sz w:val="24"/>
        </w:rPr>
        <w:t>ted. The actuarially determined annual projected contribution to the Plan is $</w:t>
      </w:r>
      <w:r w:rsidRPr="00413B9C">
        <w:rPr>
          <w:rFonts w:eastAsia="Times New Roman" w:cstheme="minorHAnsi"/>
          <w:sz w:val="24"/>
        </w:rPr>
        <w:t>593</w:t>
      </w:r>
      <w:r w:rsidRPr="00B77205">
        <w:rPr>
          <w:rFonts w:eastAsia="Times New Roman" w:cstheme="minorHAnsi"/>
          <w:sz w:val="24"/>
        </w:rPr>
        <w:t xml:space="preserve"> through and including FY5</w:t>
      </w:r>
      <w:r w:rsidRPr="00413B9C">
        <w:rPr>
          <w:rFonts w:eastAsia="Times New Roman" w:cstheme="minorHAnsi"/>
          <w:sz w:val="24"/>
        </w:rPr>
        <w:t>5</w:t>
      </w:r>
      <w:r w:rsidRPr="004E6649">
        <w:rPr>
          <w:rFonts w:eastAsia="Times New Roman" w:cstheme="minorHAnsi"/>
          <w:sz w:val="24"/>
        </w:rPr>
        <w:t xml:space="preserve">, at which point the projected fiduciary net position is estimated to be sufficient to meet annual benefit payments. The </w:t>
      </w:r>
      <w:r w:rsidRPr="004E6649">
        <w:rPr>
          <w:rFonts w:eastAsia="Times New Roman" w:cstheme="minorHAnsi"/>
          <w:spacing w:val="-1"/>
          <w:sz w:val="24"/>
        </w:rPr>
        <w:t>r</w:t>
      </w:r>
      <w:r w:rsidRPr="004E6649">
        <w:rPr>
          <w:rFonts w:eastAsia="Times New Roman" w:cstheme="minorHAnsi"/>
          <w:sz w:val="24"/>
        </w:rPr>
        <w:t>e</w:t>
      </w:r>
      <w:r w:rsidRPr="004E6649">
        <w:rPr>
          <w:rFonts w:eastAsia="Times New Roman" w:cstheme="minorHAnsi"/>
          <w:spacing w:val="-2"/>
          <w:sz w:val="24"/>
        </w:rPr>
        <w:t>q</w:t>
      </w:r>
      <w:r w:rsidRPr="004E6649">
        <w:rPr>
          <w:rFonts w:eastAsia="Times New Roman" w:cstheme="minorHAnsi"/>
          <w:sz w:val="24"/>
        </w:rPr>
        <w:t>ui</w:t>
      </w:r>
      <w:r w:rsidRPr="004E6649">
        <w:rPr>
          <w:rFonts w:eastAsia="Times New Roman" w:cstheme="minorHAnsi"/>
          <w:spacing w:val="-1"/>
          <w:sz w:val="24"/>
        </w:rPr>
        <w:t>r</w:t>
      </w:r>
      <w:r w:rsidRPr="004E6649">
        <w:rPr>
          <w:rFonts w:eastAsia="Times New Roman" w:cstheme="minorHAnsi"/>
          <w:sz w:val="24"/>
        </w:rPr>
        <w:t>ed</w:t>
      </w:r>
      <w:r w:rsidRPr="004E6649">
        <w:rPr>
          <w:rFonts w:eastAsia="Times New Roman" w:cstheme="minorHAnsi"/>
          <w:spacing w:val="-3"/>
          <w:sz w:val="24"/>
        </w:rPr>
        <w:t xml:space="preserve"> employer </w:t>
      </w:r>
      <w:r w:rsidRPr="004E6649">
        <w:rPr>
          <w:rFonts w:eastAsia="Times New Roman" w:cstheme="minorHAnsi"/>
          <w:sz w:val="24"/>
        </w:rPr>
        <w:t>cont</w:t>
      </w:r>
      <w:r w:rsidRPr="004E6649">
        <w:rPr>
          <w:rFonts w:eastAsia="Times New Roman" w:cstheme="minorHAnsi"/>
          <w:spacing w:val="-1"/>
          <w:sz w:val="24"/>
        </w:rPr>
        <w:t>r</w:t>
      </w:r>
      <w:r w:rsidRPr="004E6649">
        <w:rPr>
          <w:rFonts w:eastAsia="Times New Roman" w:cstheme="minorHAnsi"/>
          <w:sz w:val="24"/>
        </w:rPr>
        <w:t>ibution</w:t>
      </w:r>
      <w:r w:rsidRPr="004E6649">
        <w:rPr>
          <w:rFonts w:eastAsia="Times New Roman" w:cstheme="minorHAnsi"/>
          <w:spacing w:val="-1"/>
          <w:sz w:val="24"/>
        </w:rPr>
        <w:t xml:space="preserve"> </w:t>
      </w:r>
      <w:r w:rsidRPr="004E6649">
        <w:rPr>
          <w:rFonts w:eastAsia="Times New Roman" w:cstheme="minorHAnsi"/>
          <w:sz w:val="24"/>
        </w:rPr>
        <w:t>will</w:t>
      </w:r>
      <w:r w:rsidRPr="004E6649">
        <w:rPr>
          <w:rFonts w:eastAsia="Times New Roman" w:cstheme="minorHAnsi"/>
          <w:spacing w:val="-5"/>
          <w:sz w:val="24"/>
        </w:rPr>
        <w:t xml:space="preserve"> </w:t>
      </w:r>
      <w:r w:rsidRPr="004E6649">
        <w:rPr>
          <w:rFonts w:eastAsia="Times New Roman" w:cstheme="minorHAnsi"/>
          <w:spacing w:val="1"/>
          <w:sz w:val="24"/>
        </w:rPr>
        <w:t>b</w:t>
      </w:r>
      <w:r w:rsidRPr="004E6649">
        <w:rPr>
          <w:rFonts w:eastAsia="Times New Roman" w:cstheme="minorHAnsi"/>
          <w:sz w:val="24"/>
        </w:rPr>
        <w:t>e</w:t>
      </w:r>
      <w:r w:rsidRPr="004E6649">
        <w:rPr>
          <w:rFonts w:eastAsia="Times New Roman" w:cstheme="minorHAnsi"/>
          <w:spacing w:val="-3"/>
          <w:sz w:val="24"/>
        </w:rPr>
        <w:t xml:space="preserve"> </w:t>
      </w:r>
      <w:r w:rsidRPr="004E6649">
        <w:rPr>
          <w:rFonts w:eastAsia="Times New Roman" w:cstheme="minorHAnsi"/>
          <w:spacing w:val="-1"/>
          <w:sz w:val="24"/>
        </w:rPr>
        <w:t>r</w:t>
      </w:r>
      <w:r w:rsidRPr="004E6649">
        <w:rPr>
          <w:rFonts w:eastAsia="Times New Roman" w:cstheme="minorHAnsi"/>
          <w:sz w:val="24"/>
        </w:rPr>
        <w:t>e-dete</w:t>
      </w:r>
      <w:r w:rsidRPr="004E6649">
        <w:rPr>
          <w:rFonts w:eastAsia="Times New Roman" w:cstheme="minorHAnsi"/>
          <w:spacing w:val="-1"/>
          <w:sz w:val="24"/>
        </w:rPr>
        <w:t>r</w:t>
      </w:r>
      <w:r w:rsidRPr="004E6649">
        <w:rPr>
          <w:rFonts w:eastAsia="Times New Roman" w:cstheme="minorHAnsi"/>
          <w:sz w:val="24"/>
        </w:rPr>
        <w:t>mined with</w:t>
      </w:r>
      <w:r w:rsidRPr="004E6649">
        <w:rPr>
          <w:rFonts w:eastAsia="Times New Roman" w:cstheme="minorHAnsi"/>
          <w:spacing w:val="-3"/>
          <w:sz w:val="24"/>
        </w:rPr>
        <w:t xml:space="preserve"> </w:t>
      </w:r>
      <w:r w:rsidRPr="004E6649">
        <w:rPr>
          <w:rFonts w:eastAsia="Times New Roman" w:cstheme="minorHAnsi"/>
          <w:sz w:val="24"/>
        </w:rPr>
        <w:t>each actua</w:t>
      </w:r>
      <w:r w:rsidRPr="004E6649">
        <w:rPr>
          <w:rFonts w:eastAsia="Times New Roman" w:cstheme="minorHAnsi"/>
          <w:spacing w:val="-1"/>
          <w:sz w:val="24"/>
        </w:rPr>
        <w:t>r</w:t>
      </w:r>
      <w:r w:rsidRPr="004E6649">
        <w:rPr>
          <w:rFonts w:eastAsia="Times New Roman" w:cstheme="minorHAnsi"/>
          <w:sz w:val="24"/>
        </w:rPr>
        <w:t>ial</w:t>
      </w:r>
      <w:r w:rsidRPr="004E6649">
        <w:rPr>
          <w:rFonts w:eastAsia="Times New Roman" w:cstheme="minorHAnsi"/>
          <w:spacing w:val="-3"/>
          <w:sz w:val="24"/>
        </w:rPr>
        <w:t xml:space="preserve"> </w:t>
      </w:r>
      <w:r w:rsidRPr="004E6649">
        <w:rPr>
          <w:rFonts w:eastAsia="Times New Roman" w:cstheme="minorHAnsi"/>
          <w:spacing w:val="-1"/>
          <w:sz w:val="24"/>
        </w:rPr>
        <w:t>v</w:t>
      </w:r>
      <w:r w:rsidRPr="004E6649">
        <w:rPr>
          <w:rFonts w:eastAsia="Times New Roman" w:cstheme="minorHAnsi"/>
          <w:sz w:val="24"/>
        </w:rPr>
        <w:t>alua</w:t>
      </w:r>
      <w:r w:rsidRPr="004E6649">
        <w:rPr>
          <w:rFonts w:eastAsia="Times New Roman" w:cstheme="minorHAnsi"/>
          <w:spacing w:val="1"/>
          <w:sz w:val="24"/>
        </w:rPr>
        <w:t>t</w:t>
      </w:r>
      <w:r w:rsidRPr="004E6649">
        <w:rPr>
          <w:rFonts w:eastAsia="Times New Roman" w:cstheme="minorHAnsi"/>
          <w:sz w:val="24"/>
        </w:rPr>
        <w:t>ion</w:t>
      </w:r>
      <w:r w:rsidRPr="004E6649">
        <w:rPr>
          <w:rFonts w:eastAsia="Times New Roman" w:cstheme="minorHAnsi"/>
          <w:spacing w:val="-1"/>
          <w:sz w:val="24"/>
        </w:rPr>
        <w:t xml:space="preserve"> </w:t>
      </w:r>
      <w:r w:rsidRPr="004E6649">
        <w:rPr>
          <w:rFonts w:eastAsia="Times New Roman" w:cstheme="minorHAnsi"/>
          <w:sz w:val="24"/>
        </w:rPr>
        <w:t>as</w:t>
      </w:r>
      <w:r w:rsidRPr="004E6649">
        <w:rPr>
          <w:rFonts w:eastAsia="Times New Roman" w:cstheme="minorHAnsi"/>
          <w:spacing w:val="-2"/>
          <w:sz w:val="24"/>
        </w:rPr>
        <w:t xml:space="preserve"> </w:t>
      </w:r>
      <w:r w:rsidRPr="004E6649">
        <w:rPr>
          <w:rFonts w:eastAsia="Times New Roman" w:cstheme="minorHAnsi"/>
          <w:sz w:val="24"/>
        </w:rPr>
        <w:t>ma</w:t>
      </w:r>
      <w:r w:rsidRPr="004E6649">
        <w:rPr>
          <w:rFonts w:eastAsia="Times New Roman" w:cstheme="minorHAnsi"/>
          <w:spacing w:val="-1"/>
          <w:sz w:val="24"/>
        </w:rPr>
        <w:t>r</w:t>
      </w:r>
      <w:r w:rsidRPr="004E6649">
        <w:rPr>
          <w:rFonts w:eastAsia="Times New Roman" w:cstheme="minorHAnsi"/>
          <w:sz w:val="24"/>
        </w:rPr>
        <w:t>ket</w:t>
      </w:r>
      <w:r w:rsidRPr="004E6649">
        <w:rPr>
          <w:rFonts w:eastAsia="Times New Roman" w:cstheme="minorHAnsi"/>
          <w:w w:val="99"/>
          <w:sz w:val="24"/>
        </w:rPr>
        <w:t xml:space="preserve"> </w:t>
      </w:r>
      <w:r w:rsidRPr="004E6649">
        <w:rPr>
          <w:rFonts w:eastAsia="Times New Roman" w:cstheme="minorHAnsi"/>
          <w:spacing w:val="-1"/>
          <w:sz w:val="24"/>
        </w:rPr>
        <w:t>p</w:t>
      </w:r>
      <w:r w:rsidRPr="004E6649">
        <w:rPr>
          <w:rFonts w:eastAsia="Times New Roman" w:cstheme="minorHAnsi"/>
          <w:sz w:val="24"/>
        </w:rPr>
        <w:t>e</w:t>
      </w:r>
      <w:r w:rsidRPr="004E6649">
        <w:rPr>
          <w:rFonts w:eastAsia="Times New Roman" w:cstheme="minorHAnsi"/>
          <w:spacing w:val="-2"/>
          <w:sz w:val="24"/>
        </w:rPr>
        <w:t>r</w:t>
      </w:r>
      <w:r w:rsidRPr="004E6649">
        <w:rPr>
          <w:rFonts w:eastAsia="Times New Roman" w:cstheme="minorHAnsi"/>
          <w:sz w:val="24"/>
        </w:rPr>
        <w:t>fo</w:t>
      </w:r>
      <w:r w:rsidRPr="004E6649">
        <w:rPr>
          <w:rFonts w:eastAsia="Times New Roman" w:cstheme="minorHAnsi"/>
          <w:spacing w:val="-1"/>
          <w:sz w:val="24"/>
        </w:rPr>
        <w:t>r</w:t>
      </w:r>
      <w:r w:rsidRPr="004E6649">
        <w:rPr>
          <w:rFonts w:eastAsia="Times New Roman" w:cstheme="minorHAnsi"/>
          <w:sz w:val="24"/>
        </w:rPr>
        <w:t>mance</w:t>
      </w:r>
      <w:r w:rsidRPr="004E6649">
        <w:rPr>
          <w:rFonts w:eastAsia="Times New Roman" w:cstheme="minorHAnsi"/>
          <w:spacing w:val="-7"/>
          <w:sz w:val="24"/>
        </w:rPr>
        <w:t xml:space="preserve"> </w:t>
      </w:r>
      <w:r w:rsidRPr="004E6649">
        <w:rPr>
          <w:rFonts w:eastAsia="Times New Roman" w:cstheme="minorHAnsi"/>
          <w:sz w:val="24"/>
        </w:rPr>
        <w:t>and</w:t>
      </w:r>
      <w:r w:rsidRPr="004E6649">
        <w:rPr>
          <w:rFonts w:eastAsia="Times New Roman" w:cstheme="minorHAnsi"/>
          <w:spacing w:val="-6"/>
          <w:sz w:val="24"/>
        </w:rPr>
        <w:t xml:space="preserve"> </w:t>
      </w:r>
      <w:r w:rsidRPr="004E6649">
        <w:rPr>
          <w:rFonts w:eastAsia="Times New Roman" w:cstheme="minorHAnsi"/>
          <w:sz w:val="24"/>
        </w:rPr>
        <w:t>other</w:t>
      </w:r>
      <w:r w:rsidRPr="004E6649">
        <w:rPr>
          <w:rFonts w:eastAsia="Times New Roman" w:cstheme="minorHAnsi"/>
          <w:spacing w:val="-7"/>
          <w:sz w:val="24"/>
        </w:rPr>
        <w:t xml:space="preserve"> </w:t>
      </w:r>
      <w:r w:rsidRPr="004E6649">
        <w:rPr>
          <w:rFonts w:eastAsia="Times New Roman" w:cstheme="minorHAnsi"/>
          <w:sz w:val="24"/>
        </w:rPr>
        <w:t>fa</w:t>
      </w:r>
      <w:r w:rsidRPr="004E6649">
        <w:rPr>
          <w:rFonts w:eastAsia="Times New Roman" w:cstheme="minorHAnsi"/>
          <w:spacing w:val="1"/>
          <w:sz w:val="24"/>
        </w:rPr>
        <w:t>c</w:t>
      </w:r>
      <w:r w:rsidRPr="004E6649">
        <w:rPr>
          <w:rFonts w:eastAsia="Times New Roman" w:cstheme="minorHAnsi"/>
          <w:sz w:val="24"/>
        </w:rPr>
        <w:t>to</w:t>
      </w:r>
      <w:r w:rsidRPr="004E6649">
        <w:rPr>
          <w:rFonts w:eastAsia="Times New Roman" w:cstheme="minorHAnsi"/>
          <w:spacing w:val="-2"/>
          <w:sz w:val="24"/>
        </w:rPr>
        <w:t>r</w:t>
      </w:r>
      <w:r w:rsidRPr="004E6649">
        <w:rPr>
          <w:rFonts w:eastAsia="Times New Roman" w:cstheme="minorHAnsi"/>
          <w:sz w:val="24"/>
        </w:rPr>
        <w:t>s</w:t>
      </w:r>
      <w:r w:rsidRPr="004E6649">
        <w:rPr>
          <w:rFonts w:eastAsia="Times New Roman" w:cstheme="minorHAnsi"/>
          <w:spacing w:val="-5"/>
          <w:sz w:val="24"/>
        </w:rPr>
        <w:t xml:space="preserve"> </w:t>
      </w:r>
      <w:r w:rsidRPr="004E6649">
        <w:rPr>
          <w:rFonts w:eastAsia="Times New Roman" w:cstheme="minorHAnsi"/>
          <w:sz w:val="24"/>
        </w:rPr>
        <w:t>will</w:t>
      </w:r>
      <w:r w:rsidRPr="004E6649">
        <w:rPr>
          <w:rFonts w:eastAsia="Times New Roman" w:cstheme="minorHAnsi"/>
          <w:spacing w:val="-7"/>
          <w:sz w:val="24"/>
        </w:rPr>
        <w:t xml:space="preserve"> </w:t>
      </w:r>
      <w:r w:rsidRPr="004E6649">
        <w:rPr>
          <w:rFonts w:eastAsia="Times New Roman" w:cstheme="minorHAnsi"/>
          <w:sz w:val="24"/>
        </w:rPr>
        <w:t>im</w:t>
      </w:r>
      <w:r w:rsidRPr="004E6649">
        <w:rPr>
          <w:rFonts w:eastAsia="Times New Roman" w:cstheme="minorHAnsi"/>
          <w:spacing w:val="-1"/>
          <w:sz w:val="24"/>
        </w:rPr>
        <w:t>p</w:t>
      </w:r>
      <w:r w:rsidRPr="004E6649">
        <w:rPr>
          <w:rFonts w:eastAsia="Times New Roman" w:cstheme="minorHAnsi"/>
          <w:sz w:val="24"/>
        </w:rPr>
        <w:t>act</w:t>
      </w:r>
      <w:r w:rsidRPr="004E6649">
        <w:rPr>
          <w:rFonts w:eastAsia="Times New Roman" w:cstheme="minorHAnsi"/>
          <w:spacing w:val="-5"/>
          <w:sz w:val="24"/>
        </w:rPr>
        <w:t xml:space="preserve"> </w:t>
      </w:r>
      <w:r w:rsidRPr="004E6649">
        <w:rPr>
          <w:rFonts w:eastAsia="Times New Roman" w:cstheme="minorHAnsi"/>
          <w:sz w:val="24"/>
        </w:rPr>
        <w:t>the</w:t>
      </w:r>
      <w:r w:rsidRPr="004E6649">
        <w:rPr>
          <w:rFonts w:eastAsia="Times New Roman" w:cstheme="minorHAnsi"/>
          <w:spacing w:val="-7"/>
          <w:sz w:val="24"/>
        </w:rPr>
        <w:t xml:space="preserve"> </w:t>
      </w:r>
      <w:r w:rsidRPr="004E6649">
        <w:rPr>
          <w:rFonts w:eastAsia="Times New Roman" w:cstheme="minorHAnsi"/>
          <w:sz w:val="24"/>
        </w:rPr>
        <w:t>r</w:t>
      </w:r>
      <w:r w:rsidRPr="004E6649">
        <w:rPr>
          <w:rFonts w:eastAsia="Times New Roman" w:cstheme="minorHAnsi"/>
          <w:spacing w:val="-1"/>
          <w:sz w:val="24"/>
        </w:rPr>
        <w:t>e</w:t>
      </w:r>
      <w:r w:rsidRPr="004E6649">
        <w:rPr>
          <w:rFonts w:eastAsia="Times New Roman" w:cstheme="minorHAnsi"/>
          <w:spacing w:val="-2"/>
          <w:sz w:val="24"/>
        </w:rPr>
        <w:t>q</w:t>
      </w:r>
      <w:r w:rsidRPr="004E6649">
        <w:rPr>
          <w:rFonts w:eastAsia="Times New Roman" w:cstheme="minorHAnsi"/>
          <w:sz w:val="24"/>
        </w:rPr>
        <w:t>ui</w:t>
      </w:r>
      <w:r w:rsidRPr="004E6649">
        <w:rPr>
          <w:rFonts w:eastAsia="Times New Roman" w:cstheme="minorHAnsi"/>
          <w:spacing w:val="-1"/>
          <w:sz w:val="24"/>
        </w:rPr>
        <w:t>r</w:t>
      </w:r>
      <w:r w:rsidRPr="004E6649">
        <w:rPr>
          <w:rFonts w:eastAsia="Times New Roman" w:cstheme="minorHAnsi"/>
          <w:sz w:val="24"/>
        </w:rPr>
        <w:t>ed</w:t>
      </w:r>
      <w:r w:rsidRPr="004E6649">
        <w:rPr>
          <w:rFonts w:eastAsia="Times New Roman" w:cstheme="minorHAnsi"/>
          <w:spacing w:val="-6"/>
          <w:sz w:val="24"/>
        </w:rPr>
        <w:t xml:space="preserve"> </w:t>
      </w:r>
      <w:r w:rsidRPr="004E6649">
        <w:rPr>
          <w:rFonts w:eastAsia="Times New Roman" w:cstheme="minorHAnsi"/>
          <w:sz w:val="24"/>
        </w:rPr>
        <w:t>fun</w:t>
      </w:r>
      <w:r w:rsidRPr="004E6649">
        <w:rPr>
          <w:rFonts w:eastAsia="Times New Roman" w:cstheme="minorHAnsi"/>
          <w:spacing w:val="1"/>
          <w:sz w:val="24"/>
        </w:rPr>
        <w:t>d</w:t>
      </w:r>
      <w:r w:rsidRPr="004E6649">
        <w:rPr>
          <w:rFonts w:eastAsia="Times New Roman" w:cstheme="minorHAnsi"/>
          <w:sz w:val="24"/>
        </w:rPr>
        <w:t>ing amount. Funding</w:t>
      </w:r>
      <w:r w:rsidRPr="004E6649">
        <w:rPr>
          <w:rFonts w:eastAsia="Times New Roman" w:cstheme="minorHAnsi"/>
          <w:spacing w:val="5"/>
          <w:sz w:val="24"/>
        </w:rPr>
        <w:t xml:space="preserve"> </w:t>
      </w:r>
      <w:r w:rsidRPr="004E6649">
        <w:rPr>
          <w:rFonts w:eastAsia="Times New Roman" w:cstheme="minorHAnsi"/>
          <w:sz w:val="24"/>
        </w:rPr>
        <w:t>the</w:t>
      </w:r>
      <w:r w:rsidRPr="004E6649">
        <w:rPr>
          <w:rFonts w:eastAsia="Times New Roman" w:cstheme="minorHAnsi"/>
          <w:spacing w:val="5"/>
          <w:sz w:val="24"/>
        </w:rPr>
        <w:t xml:space="preserve"> </w:t>
      </w:r>
      <w:r w:rsidRPr="004E6649">
        <w:rPr>
          <w:rFonts w:eastAsia="Times New Roman" w:cstheme="minorHAnsi"/>
          <w:spacing w:val="-1"/>
          <w:sz w:val="24"/>
        </w:rPr>
        <w:t>P</w:t>
      </w:r>
      <w:r w:rsidRPr="004E6649">
        <w:rPr>
          <w:rFonts w:eastAsia="Times New Roman" w:cstheme="minorHAnsi"/>
          <w:sz w:val="24"/>
        </w:rPr>
        <w:t>lan</w:t>
      </w:r>
      <w:r w:rsidRPr="004E6649">
        <w:rPr>
          <w:rFonts w:eastAsia="Times New Roman" w:cstheme="minorHAnsi"/>
          <w:spacing w:val="4"/>
          <w:sz w:val="24"/>
        </w:rPr>
        <w:t xml:space="preserve"> </w:t>
      </w:r>
      <w:r w:rsidRPr="004E6649">
        <w:rPr>
          <w:rFonts w:eastAsia="Times New Roman" w:cstheme="minorHAnsi"/>
          <w:sz w:val="24"/>
        </w:rPr>
        <w:t>o</w:t>
      </w:r>
      <w:r w:rsidRPr="004E6649">
        <w:rPr>
          <w:rFonts w:eastAsia="Times New Roman" w:cstheme="minorHAnsi"/>
          <w:spacing w:val="-2"/>
          <w:sz w:val="24"/>
        </w:rPr>
        <w:t>v</w:t>
      </w:r>
      <w:r w:rsidRPr="004E6649">
        <w:rPr>
          <w:rFonts w:eastAsia="Times New Roman" w:cstheme="minorHAnsi"/>
          <w:sz w:val="24"/>
        </w:rPr>
        <w:t>er</w:t>
      </w:r>
      <w:r w:rsidRPr="004E6649">
        <w:rPr>
          <w:rFonts w:eastAsia="Times New Roman" w:cstheme="minorHAnsi"/>
          <w:spacing w:val="4"/>
          <w:sz w:val="24"/>
        </w:rPr>
        <w:t xml:space="preserve"> </w:t>
      </w:r>
      <w:r w:rsidRPr="004E6649">
        <w:rPr>
          <w:rFonts w:eastAsia="Times New Roman" w:cstheme="minorHAnsi"/>
          <w:sz w:val="24"/>
        </w:rPr>
        <w:t>the</w:t>
      </w:r>
      <w:r w:rsidRPr="004E6649">
        <w:rPr>
          <w:rFonts w:eastAsia="Times New Roman" w:cstheme="minorHAnsi"/>
          <w:spacing w:val="4"/>
          <w:sz w:val="24"/>
        </w:rPr>
        <w:t xml:space="preserve"> </w:t>
      </w:r>
      <w:r w:rsidRPr="004E6649">
        <w:rPr>
          <w:rFonts w:eastAsia="Times New Roman" w:cstheme="minorHAnsi"/>
          <w:sz w:val="24"/>
        </w:rPr>
        <w:t>l</w:t>
      </w:r>
      <w:r w:rsidRPr="004E6649">
        <w:rPr>
          <w:rFonts w:eastAsia="Times New Roman" w:cstheme="minorHAnsi"/>
          <w:spacing w:val="-1"/>
          <w:sz w:val="24"/>
        </w:rPr>
        <w:t>o</w:t>
      </w:r>
      <w:r w:rsidRPr="004E6649">
        <w:rPr>
          <w:rFonts w:eastAsia="Times New Roman" w:cstheme="minorHAnsi"/>
          <w:sz w:val="24"/>
        </w:rPr>
        <w:t>ng-te</w:t>
      </w:r>
      <w:r w:rsidRPr="004E6649">
        <w:rPr>
          <w:rFonts w:eastAsia="Times New Roman" w:cstheme="minorHAnsi"/>
          <w:spacing w:val="-2"/>
          <w:sz w:val="24"/>
        </w:rPr>
        <w:t>r</w:t>
      </w:r>
      <w:r w:rsidRPr="004E6649">
        <w:rPr>
          <w:rFonts w:eastAsia="Times New Roman" w:cstheme="minorHAnsi"/>
          <w:sz w:val="24"/>
        </w:rPr>
        <w:t>m</w:t>
      </w:r>
      <w:r w:rsidRPr="004E6649">
        <w:rPr>
          <w:rFonts w:eastAsia="Times New Roman" w:cstheme="minorHAnsi"/>
          <w:spacing w:val="7"/>
          <w:sz w:val="24"/>
        </w:rPr>
        <w:t xml:space="preserve"> </w:t>
      </w:r>
      <w:r w:rsidRPr="004E6649">
        <w:rPr>
          <w:rFonts w:eastAsia="Times New Roman" w:cstheme="minorHAnsi"/>
          <w:sz w:val="24"/>
        </w:rPr>
        <w:t>allo</w:t>
      </w:r>
      <w:r w:rsidRPr="004E6649">
        <w:rPr>
          <w:rFonts w:eastAsia="Times New Roman" w:cstheme="minorHAnsi"/>
          <w:spacing w:val="-1"/>
          <w:sz w:val="24"/>
        </w:rPr>
        <w:t>w</w:t>
      </w:r>
      <w:r w:rsidRPr="004E6649">
        <w:rPr>
          <w:rFonts w:eastAsia="Times New Roman" w:cstheme="minorHAnsi"/>
          <w:sz w:val="24"/>
        </w:rPr>
        <w:t>s</w:t>
      </w:r>
      <w:r w:rsidRPr="004E6649">
        <w:rPr>
          <w:rFonts w:eastAsia="Times New Roman" w:cstheme="minorHAnsi"/>
          <w:spacing w:val="3"/>
          <w:sz w:val="24"/>
        </w:rPr>
        <w:t xml:space="preserve"> </w:t>
      </w:r>
      <w:r w:rsidRPr="004E6649">
        <w:rPr>
          <w:rFonts w:eastAsia="Times New Roman" w:cstheme="minorHAnsi"/>
          <w:spacing w:val="-1"/>
          <w:sz w:val="24"/>
        </w:rPr>
        <w:t>the System</w:t>
      </w:r>
      <w:r w:rsidRPr="004E6649">
        <w:rPr>
          <w:rFonts w:eastAsia="Times New Roman" w:cstheme="minorHAnsi"/>
          <w:spacing w:val="4"/>
          <w:sz w:val="24"/>
        </w:rPr>
        <w:t xml:space="preserve"> </w:t>
      </w:r>
      <w:r w:rsidRPr="004E6649">
        <w:rPr>
          <w:rFonts w:eastAsia="Times New Roman" w:cstheme="minorHAnsi"/>
          <w:spacing w:val="1"/>
          <w:sz w:val="24"/>
        </w:rPr>
        <w:t>t</w:t>
      </w:r>
      <w:r w:rsidRPr="004E6649">
        <w:rPr>
          <w:rFonts w:eastAsia="Times New Roman" w:cstheme="minorHAnsi"/>
          <w:sz w:val="24"/>
        </w:rPr>
        <w:t>o</w:t>
      </w:r>
      <w:r w:rsidRPr="004E6649">
        <w:rPr>
          <w:rFonts w:eastAsia="Times New Roman" w:cstheme="minorHAnsi"/>
          <w:spacing w:val="2"/>
          <w:sz w:val="24"/>
        </w:rPr>
        <w:t xml:space="preserve"> minimize</w:t>
      </w:r>
      <w:r w:rsidRPr="004E6649">
        <w:rPr>
          <w:rFonts w:eastAsia="Times New Roman" w:cstheme="minorHAnsi"/>
          <w:spacing w:val="3"/>
          <w:sz w:val="24"/>
        </w:rPr>
        <w:t xml:space="preserve"> </w:t>
      </w:r>
      <w:r w:rsidRPr="004E6649">
        <w:rPr>
          <w:rFonts w:eastAsia="Times New Roman" w:cstheme="minorHAnsi"/>
          <w:sz w:val="24"/>
        </w:rPr>
        <w:t>cont</w:t>
      </w:r>
      <w:r w:rsidRPr="004E6649">
        <w:rPr>
          <w:rFonts w:eastAsia="Times New Roman" w:cstheme="minorHAnsi"/>
          <w:spacing w:val="-1"/>
          <w:sz w:val="24"/>
        </w:rPr>
        <w:t>r</w:t>
      </w:r>
      <w:r w:rsidRPr="004E6649">
        <w:rPr>
          <w:rFonts w:eastAsia="Times New Roman" w:cstheme="minorHAnsi"/>
          <w:sz w:val="24"/>
        </w:rPr>
        <w:t>ibution</w:t>
      </w:r>
      <w:r w:rsidRPr="004E6649">
        <w:rPr>
          <w:rFonts w:eastAsia="Times New Roman" w:cstheme="minorHAnsi"/>
          <w:w w:val="99"/>
          <w:sz w:val="24"/>
        </w:rPr>
        <w:t xml:space="preserve"> </w:t>
      </w:r>
      <w:r w:rsidRPr="004E6649">
        <w:rPr>
          <w:rFonts w:eastAsia="Times New Roman" w:cstheme="minorHAnsi"/>
          <w:spacing w:val="-1"/>
          <w:sz w:val="24"/>
        </w:rPr>
        <w:t>v</w:t>
      </w:r>
      <w:r w:rsidRPr="004E6649">
        <w:rPr>
          <w:rFonts w:eastAsia="Times New Roman" w:cstheme="minorHAnsi"/>
          <w:sz w:val="24"/>
        </w:rPr>
        <w:t>o</w:t>
      </w:r>
      <w:r w:rsidRPr="004E6649">
        <w:rPr>
          <w:rFonts w:eastAsia="Times New Roman" w:cstheme="minorHAnsi"/>
          <w:spacing w:val="-1"/>
          <w:sz w:val="24"/>
        </w:rPr>
        <w:t>l</w:t>
      </w:r>
      <w:r w:rsidRPr="004E6649">
        <w:rPr>
          <w:rFonts w:eastAsia="Times New Roman" w:cstheme="minorHAnsi"/>
          <w:sz w:val="24"/>
        </w:rPr>
        <w:t>a</w:t>
      </w:r>
      <w:r w:rsidRPr="004E6649">
        <w:rPr>
          <w:rFonts w:eastAsia="Times New Roman" w:cstheme="minorHAnsi"/>
          <w:spacing w:val="1"/>
          <w:sz w:val="24"/>
        </w:rPr>
        <w:t>t</w:t>
      </w:r>
      <w:r w:rsidRPr="004E6649">
        <w:rPr>
          <w:rFonts w:eastAsia="Times New Roman" w:cstheme="minorHAnsi"/>
          <w:sz w:val="24"/>
        </w:rPr>
        <w:t>ilit</w:t>
      </w:r>
      <w:r w:rsidRPr="004E6649">
        <w:rPr>
          <w:rFonts w:eastAsia="Times New Roman" w:cstheme="minorHAnsi"/>
          <w:spacing w:val="-1"/>
          <w:sz w:val="24"/>
        </w:rPr>
        <w:t>y</w:t>
      </w:r>
      <w:r w:rsidRPr="004E6649">
        <w:rPr>
          <w:rFonts w:eastAsia="Times New Roman" w:cstheme="minorHAnsi"/>
          <w:sz w:val="24"/>
        </w:rPr>
        <w:t>.</w:t>
      </w:r>
    </w:p>
    <w:p w14:paraId="5B678E48" w14:textId="77777777" w:rsidR="001B6918" w:rsidRPr="004E6649" w:rsidRDefault="001B6918" w:rsidP="001B6918">
      <w:pPr>
        <w:ind w:right="-7"/>
        <w:rPr>
          <w:rFonts w:eastAsia="Times New Roman" w:cstheme="minorHAnsi"/>
          <w:sz w:val="24"/>
        </w:rPr>
      </w:pPr>
      <w:r w:rsidRPr="004E6649">
        <w:rPr>
          <w:rFonts w:eastAsia="Times New Roman" w:cstheme="minorHAnsi"/>
          <w:spacing w:val="-2"/>
          <w:sz w:val="24"/>
        </w:rPr>
        <w:t>E</w:t>
      </w:r>
      <w:r w:rsidRPr="004E6649">
        <w:rPr>
          <w:rFonts w:eastAsia="Times New Roman" w:cstheme="minorHAnsi"/>
          <w:sz w:val="24"/>
        </w:rPr>
        <w:t>m</w:t>
      </w:r>
      <w:r w:rsidRPr="004E6649">
        <w:rPr>
          <w:rFonts w:eastAsia="Times New Roman" w:cstheme="minorHAnsi"/>
          <w:spacing w:val="-1"/>
          <w:sz w:val="24"/>
        </w:rPr>
        <w:t>p</w:t>
      </w:r>
      <w:r w:rsidRPr="004E6649">
        <w:rPr>
          <w:rFonts w:eastAsia="Times New Roman" w:cstheme="minorHAnsi"/>
          <w:sz w:val="24"/>
        </w:rPr>
        <w:t>l</w:t>
      </w:r>
      <w:r w:rsidRPr="004E6649">
        <w:rPr>
          <w:rFonts w:eastAsia="Times New Roman" w:cstheme="minorHAnsi"/>
          <w:spacing w:val="-1"/>
          <w:sz w:val="24"/>
        </w:rPr>
        <w:t>oy</w:t>
      </w:r>
      <w:r w:rsidRPr="004E6649">
        <w:rPr>
          <w:rFonts w:eastAsia="Times New Roman" w:cstheme="minorHAnsi"/>
          <w:sz w:val="24"/>
        </w:rPr>
        <w:t>e</w:t>
      </w:r>
      <w:r w:rsidRPr="004E6649">
        <w:rPr>
          <w:rFonts w:eastAsia="Times New Roman" w:cstheme="minorHAnsi"/>
          <w:spacing w:val="-1"/>
          <w:sz w:val="24"/>
        </w:rPr>
        <w:t>e</w:t>
      </w:r>
      <w:r w:rsidRPr="004E6649">
        <w:rPr>
          <w:rFonts w:eastAsia="Times New Roman" w:cstheme="minorHAnsi"/>
          <w:sz w:val="24"/>
        </w:rPr>
        <w:t>s</w:t>
      </w:r>
      <w:r w:rsidRPr="004E6649">
        <w:rPr>
          <w:rFonts w:eastAsia="Times New Roman" w:cstheme="minorHAnsi"/>
          <w:spacing w:val="-6"/>
          <w:sz w:val="24"/>
        </w:rPr>
        <w:t xml:space="preserve"> </w:t>
      </w:r>
      <w:r w:rsidRPr="004E6649">
        <w:rPr>
          <w:rFonts w:eastAsia="Times New Roman" w:cstheme="minorHAnsi"/>
          <w:sz w:val="24"/>
        </w:rPr>
        <w:t>do</w:t>
      </w:r>
      <w:r w:rsidRPr="004E6649">
        <w:rPr>
          <w:rFonts w:eastAsia="Times New Roman" w:cstheme="minorHAnsi"/>
          <w:spacing w:val="-7"/>
          <w:sz w:val="24"/>
        </w:rPr>
        <w:t xml:space="preserve"> </w:t>
      </w:r>
      <w:r w:rsidRPr="004E6649">
        <w:rPr>
          <w:rFonts w:eastAsia="Times New Roman" w:cstheme="minorHAnsi"/>
          <w:sz w:val="24"/>
        </w:rPr>
        <w:t>not</w:t>
      </w:r>
      <w:r w:rsidRPr="004E6649">
        <w:rPr>
          <w:rFonts w:eastAsia="Times New Roman" w:cstheme="minorHAnsi"/>
          <w:spacing w:val="-5"/>
          <w:sz w:val="24"/>
        </w:rPr>
        <w:t xml:space="preserve"> </w:t>
      </w:r>
      <w:r w:rsidRPr="004E6649">
        <w:rPr>
          <w:rFonts w:eastAsia="Times New Roman" w:cstheme="minorHAnsi"/>
          <w:sz w:val="24"/>
        </w:rPr>
        <w:t>ma</w:t>
      </w:r>
      <w:r w:rsidRPr="004E6649">
        <w:rPr>
          <w:rFonts w:eastAsia="Times New Roman" w:cstheme="minorHAnsi"/>
          <w:spacing w:val="1"/>
          <w:sz w:val="24"/>
        </w:rPr>
        <w:t>k</w:t>
      </w:r>
      <w:r w:rsidRPr="004E6649">
        <w:rPr>
          <w:rFonts w:eastAsia="Times New Roman" w:cstheme="minorHAnsi"/>
          <w:sz w:val="24"/>
        </w:rPr>
        <w:t>e</w:t>
      </w:r>
      <w:r w:rsidRPr="004E6649">
        <w:rPr>
          <w:rFonts w:eastAsia="Times New Roman" w:cstheme="minorHAnsi"/>
          <w:spacing w:val="-8"/>
          <w:sz w:val="24"/>
        </w:rPr>
        <w:t xml:space="preserve"> </w:t>
      </w:r>
      <w:r w:rsidRPr="004E6649">
        <w:rPr>
          <w:rFonts w:eastAsia="Times New Roman" w:cstheme="minorHAnsi"/>
          <w:sz w:val="24"/>
        </w:rPr>
        <w:t>cont</w:t>
      </w:r>
      <w:r w:rsidRPr="004E6649">
        <w:rPr>
          <w:rFonts w:eastAsia="Times New Roman" w:cstheme="minorHAnsi"/>
          <w:spacing w:val="-1"/>
          <w:sz w:val="24"/>
        </w:rPr>
        <w:t>r</w:t>
      </w:r>
      <w:r w:rsidRPr="004E6649">
        <w:rPr>
          <w:rFonts w:eastAsia="Times New Roman" w:cstheme="minorHAnsi"/>
          <w:sz w:val="24"/>
        </w:rPr>
        <w:t>ibutions</w:t>
      </w:r>
      <w:r w:rsidRPr="004E6649">
        <w:rPr>
          <w:rFonts w:eastAsia="Times New Roman" w:cstheme="minorHAnsi"/>
          <w:spacing w:val="-6"/>
          <w:sz w:val="24"/>
        </w:rPr>
        <w:t xml:space="preserve"> </w:t>
      </w:r>
      <w:r w:rsidRPr="004E6649">
        <w:rPr>
          <w:rFonts w:eastAsia="Times New Roman" w:cstheme="minorHAnsi"/>
          <w:sz w:val="24"/>
        </w:rPr>
        <w:t>under</w:t>
      </w:r>
      <w:r w:rsidRPr="004E6649">
        <w:rPr>
          <w:rFonts w:eastAsia="Times New Roman" w:cstheme="minorHAnsi"/>
          <w:spacing w:val="-8"/>
          <w:sz w:val="24"/>
        </w:rPr>
        <w:t xml:space="preserve"> </w:t>
      </w:r>
      <w:r w:rsidRPr="004E6649">
        <w:rPr>
          <w:rFonts w:eastAsia="Times New Roman" w:cstheme="minorHAnsi"/>
          <w:sz w:val="24"/>
        </w:rPr>
        <w:t>this</w:t>
      </w:r>
      <w:r w:rsidRPr="004E6649">
        <w:rPr>
          <w:rFonts w:eastAsia="Times New Roman" w:cstheme="minorHAnsi"/>
          <w:spacing w:val="-7"/>
          <w:sz w:val="24"/>
        </w:rPr>
        <w:t xml:space="preserve"> </w:t>
      </w:r>
      <w:r w:rsidRPr="004E6649">
        <w:rPr>
          <w:rFonts w:eastAsia="Times New Roman" w:cstheme="minorHAnsi"/>
          <w:spacing w:val="-1"/>
          <w:sz w:val="24"/>
        </w:rPr>
        <w:t>P</w:t>
      </w:r>
      <w:r w:rsidRPr="004E6649">
        <w:rPr>
          <w:rFonts w:eastAsia="Times New Roman" w:cstheme="minorHAnsi"/>
          <w:sz w:val="24"/>
        </w:rPr>
        <w:t>lan.</w:t>
      </w:r>
    </w:p>
    <w:p w14:paraId="2ECA44DD" w14:textId="77777777" w:rsidR="001B6918" w:rsidRPr="004E6649" w:rsidRDefault="001B6918" w:rsidP="001B6918">
      <w:pPr>
        <w:ind w:left="180" w:right="-7"/>
        <w:rPr>
          <w:rFonts w:eastAsia="Times New Roman" w:cstheme="minorHAnsi"/>
          <w:sz w:val="18"/>
          <w:szCs w:val="18"/>
        </w:rPr>
      </w:pPr>
    </w:p>
    <w:p w14:paraId="20C0A190" w14:textId="77777777" w:rsidR="001B6918" w:rsidRPr="004E6649" w:rsidRDefault="001B6918" w:rsidP="001B6918">
      <w:pPr>
        <w:ind w:right="-7"/>
        <w:rPr>
          <w:rFonts w:eastAsia="Times New Roman" w:cstheme="minorHAnsi"/>
          <w:b/>
          <w:sz w:val="24"/>
          <w:szCs w:val="24"/>
          <w:u w:val="single"/>
        </w:rPr>
      </w:pPr>
      <w:r w:rsidRPr="004E6649">
        <w:rPr>
          <w:rFonts w:eastAsia="Times New Roman" w:cstheme="minorHAnsi"/>
          <w:b/>
          <w:sz w:val="24"/>
          <w:szCs w:val="24"/>
          <w:u w:val="single"/>
        </w:rPr>
        <w:t>Plan Investments</w:t>
      </w:r>
    </w:p>
    <w:p w14:paraId="1902CB89" w14:textId="77777777" w:rsidR="001B6918" w:rsidRPr="004E6649" w:rsidRDefault="001B6918" w:rsidP="001B6918">
      <w:pPr>
        <w:ind w:right="-7"/>
        <w:rPr>
          <w:rFonts w:eastAsia="Times New Roman" w:cstheme="minorHAnsi"/>
          <w:spacing w:val="-1"/>
          <w:sz w:val="24"/>
        </w:rPr>
      </w:pPr>
      <w:r w:rsidRPr="004E6649">
        <w:rPr>
          <w:rFonts w:eastAsia="Times New Roman" w:cstheme="minorHAnsi"/>
          <w:b/>
          <w:i/>
          <w:spacing w:val="-1"/>
          <w:sz w:val="24"/>
        </w:rPr>
        <w:t xml:space="preserve">Method Used to Value Investments: </w:t>
      </w:r>
      <w:r w:rsidRPr="004E6649">
        <w:rPr>
          <w:rFonts w:eastAsia="Times New Roman" w:cstheme="minorHAnsi"/>
          <w:spacing w:val="-1"/>
          <w:sz w:val="24"/>
        </w:rPr>
        <w:t>Investments are reported at fair value. See Note 3 for information related to the fair value measurement, interest rate risk, and foreign currency risk associated with the Plan’s investments.</w:t>
      </w:r>
    </w:p>
    <w:p w14:paraId="1B46FF6B" w14:textId="77777777" w:rsidR="001B6918" w:rsidRPr="004E6649" w:rsidRDefault="001B6918" w:rsidP="001B6918">
      <w:pPr>
        <w:ind w:left="180" w:right="-7"/>
        <w:rPr>
          <w:rFonts w:eastAsia="Times New Roman" w:cstheme="minorHAnsi"/>
          <w:sz w:val="18"/>
          <w:szCs w:val="18"/>
        </w:rPr>
      </w:pPr>
    </w:p>
    <w:p w14:paraId="0DC16BA3" w14:textId="77777777" w:rsidR="001B6918" w:rsidRPr="004E6649" w:rsidRDefault="001B6918" w:rsidP="001B6918">
      <w:pPr>
        <w:spacing w:after="240"/>
        <w:ind w:right="-7"/>
        <w:rPr>
          <w:rFonts w:eastAsia="Times New Roman" w:cstheme="minorHAnsi"/>
          <w:spacing w:val="-1"/>
          <w:sz w:val="24"/>
        </w:rPr>
      </w:pPr>
      <w:r w:rsidRPr="004E6649">
        <w:rPr>
          <w:rFonts w:eastAsia="Times New Roman" w:cstheme="minorHAnsi"/>
          <w:b/>
          <w:i/>
          <w:spacing w:val="-1"/>
          <w:sz w:val="24"/>
        </w:rPr>
        <w:t xml:space="preserve">Investment Policy: </w:t>
      </w:r>
      <w:r w:rsidRPr="004E6649">
        <w:rPr>
          <w:rFonts w:eastAsia="Times New Roman" w:cstheme="minorHAnsi"/>
          <w:spacing w:val="-1"/>
          <w:sz w:val="24"/>
        </w:rPr>
        <w:t xml:space="preserve">The Plan’s investments are diversified both by asset class and within asset classes. To have a reasonable probability of consistently achieving the Plan’s return objectives, the following asset allocation policy ranges were in effect as of June </w:t>
      </w:r>
      <w:r>
        <w:rPr>
          <w:rFonts w:eastAsia="Times New Roman" w:cstheme="minorHAnsi"/>
          <w:spacing w:val="-1"/>
          <w:sz w:val="24"/>
        </w:rPr>
        <w:t>3</w:t>
      </w:r>
      <w:r w:rsidRPr="004E6649">
        <w:rPr>
          <w:rFonts w:eastAsia="Times New Roman" w:cstheme="minorHAnsi"/>
          <w:spacing w:val="-1"/>
          <w:sz w:val="24"/>
        </w:rPr>
        <w:t>0:</w:t>
      </w: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hows the System's asset allocation policy ranges applicable at June 30, 2018 and 2019.  Equity securities increased from 35-55% in FY18 to 45-65% in FY19; Fixed income securities increased from 13-29% in FY18 to 15-35% in FY19, other decreased from 24-44% in FY18 to 10-30% in FY19; cash remained at 0-10%."/>
      </w:tblPr>
      <w:tblGrid>
        <w:gridCol w:w="2610"/>
        <w:gridCol w:w="1080"/>
        <w:gridCol w:w="1170"/>
      </w:tblGrid>
      <w:tr w:rsidR="001B6918" w:rsidRPr="004E6649" w14:paraId="5739EDDF" w14:textId="77777777" w:rsidTr="00730ECF">
        <w:trPr>
          <w:trHeight w:val="66"/>
          <w:tblHeader/>
          <w:jc w:val="center"/>
        </w:trPr>
        <w:tc>
          <w:tcPr>
            <w:tcW w:w="2610" w:type="dxa"/>
          </w:tcPr>
          <w:p w14:paraId="504B15CB" w14:textId="77777777" w:rsidR="001B6918" w:rsidRPr="004E6649" w:rsidRDefault="001B6918" w:rsidP="00730ECF">
            <w:pPr>
              <w:pStyle w:val="Heading4"/>
              <w:pBdr>
                <w:bottom w:val="none" w:sz="0" w:space="0" w:color="auto"/>
              </w:pBdr>
              <w:spacing w:after="0"/>
              <w:rPr>
                <w:rFonts w:cstheme="minorHAnsi"/>
                <w:i w:val="0"/>
                <w:sz w:val="24"/>
                <w:szCs w:val="22"/>
              </w:rPr>
            </w:pPr>
          </w:p>
        </w:tc>
        <w:tc>
          <w:tcPr>
            <w:tcW w:w="1080" w:type="dxa"/>
          </w:tcPr>
          <w:p w14:paraId="6B8FF4D2" w14:textId="77777777" w:rsidR="001B6918" w:rsidRPr="004E6649" w:rsidRDefault="001B6918" w:rsidP="00730ECF">
            <w:pPr>
              <w:pStyle w:val="Heading4"/>
              <w:pBdr>
                <w:bottom w:val="none" w:sz="0" w:space="0" w:color="auto"/>
              </w:pBdr>
              <w:spacing w:after="0"/>
              <w:jc w:val="center"/>
              <w:rPr>
                <w:rFonts w:cstheme="minorHAnsi"/>
                <w:b/>
                <w:i w:val="0"/>
                <w:sz w:val="24"/>
                <w:szCs w:val="22"/>
              </w:rPr>
            </w:pPr>
            <w:r w:rsidRPr="004E6649">
              <w:rPr>
                <w:rFonts w:cstheme="minorHAnsi"/>
                <w:b/>
                <w:i w:val="0"/>
                <w:sz w:val="24"/>
                <w:szCs w:val="22"/>
              </w:rPr>
              <w:t>202</w:t>
            </w:r>
            <w:r>
              <w:rPr>
                <w:rFonts w:cstheme="minorHAnsi"/>
                <w:b/>
                <w:i w:val="0"/>
                <w:sz w:val="24"/>
                <w:szCs w:val="22"/>
              </w:rPr>
              <w:t>5</w:t>
            </w:r>
          </w:p>
        </w:tc>
        <w:tc>
          <w:tcPr>
            <w:tcW w:w="1170" w:type="dxa"/>
          </w:tcPr>
          <w:p w14:paraId="0CB00198" w14:textId="77777777" w:rsidR="001B6918" w:rsidRPr="004E6649" w:rsidRDefault="001B6918" w:rsidP="00730ECF">
            <w:pPr>
              <w:pStyle w:val="Heading4"/>
              <w:pBdr>
                <w:bottom w:val="none" w:sz="0" w:space="0" w:color="auto"/>
              </w:pBdr>
              <w:spacing w:after="0"/>
              <w:jc w:val="center"/>
              <w:rPr>
                <w:rFonts w:cstheme="minorHAnsi"/>
                <w:b/>
                <w:i w:val="0"/>
                <w:sz w:val="24"/>
                <w:szCs w:val="22"/>
              </w:rPr>
            </w:pPr>
            <w:r w:rsidRPr="004E6649">
              <w:rPr>
                <w:rFonts w:cstheme="minorHAnsi"/>
                <w:b/>
                <w:i w:val="0"/>
                <w:sz w:val="24"/>
                <w:szCs w:val="22"/>
              </w:rPr>
              <w:t>202</w:t>
            </w:r>
            <w:r>
              <w:rPr>
                <w:rFonts w:cstheme="minorHAnsi"/>
                <w:b/>
                <w:i w:val="0"/>
                <w:sz w:val="24"/>
                <w:szCs w:val="22"/>
              </w:rPr>
              <w:t>4</w:t>
            </w:r>
          </w:p>
        </w:tc>
      </w:tr>
      <w:tr w:rsidR="001B6918" w:rsidRPr="004E6649" w14:paraId="458F0A3E" w14:textId="77777777" w:rsidTr="00730ECF">
        <w:trPr>
          <w:trHeight w:val="216"/>
          <w:jc w:val="center"/>
        </w:trPr>
        <w:tc>
          <w:tcPr>
            <w:tcW w:w="2610" w:type="dxa"/>
          </w:tcPr>
          <w:p w14:paraId="6467730E" w14:textId="77777777" w:rsidR="001B6918" w:rsidRPr="004E6649" w:rsidRDefault="001B6918" w:rsidP="00730ECF">
            <w:pPr>
              <w:tabs>
                <w:tab w:val="left" w:pos="0"/>
                <w:tab w:val="left" w:pos="1440"/>
                <w:tab w:val="left" w:pos="1710"/>
              </w:tabs>
              <w:suppressAutoHyphens/>
              <w:rPr>
                <w:rFonts w:eastAsia="Times New Roman" w:cstheme="minorHAnsi"/>
                <w:bCs/>
                <w:spacing w:val="-3"/>
                <w:sz w:val="24"/>
              </w:rPr>
            </w:pPr>
            <w:r w:rsidRPr="004E6649">
              <w:rPr>
                <w:rFonts w:eastAsia="Times New Roman" w:cstheme="minorHAnsi"/>
                <w:bCs/>
                <w:spacing w:val="-3"/>
                <w:sz w:val="24"/>
              </w:rPr>
              <w:t>Equity securities</w:t>
            </w:r>
          </w:p>
        </w:tc>
        <w:tc>
          <w:tcPr>
            <w:tcW w:w="1080" w:type="dxa"/>
          </w:tcPr>
          <w:p w14:paraId="6FB5C144" w14:textId="77777777" w:rsidR="001B6918" w:rsidRPr="00FD416B" w:rsidRDefault="001B6918" w:rsidP="00730ECF">
            <w:pPr>
              <w:tabs>
                <w:tab w:val="left" w:pos="0"/>
                <w:tab w:val="left" w:pos="1440"/>
                <w:tab w:val="left" w:pos="1710"/>
              </w:tabs>
              <w:suppressAutoHyphens/>
              <w:jc w:val="right"/>
              <w:rPr>
                <w:rFonts w:eastAsia="Times New Roman" w:cstheme="minorHAnsi"/>
                <w:bCs/>
                <w:spacing w:val="-3"/>
                <w:sz w:val="24"/>
              </w:rPr>
            </w:pPr>
            <w:r w:rsidRPr="00FD416B">
              <w:rPr>
                <w:rFonts w:eastAsia="Times New Roman" w:cstheme="minorHAnsi"/>
                <w:bCs/>
                <w:spacing w:val="-3"/>
                <w:sz w:val="24"/>
              </w:rPr>
              <w:t>25-45%</w:t>
            </w:r>
          </w:p>
        </w:tc>
        <w:tc>
          <w:tcPr>
            <w:tcW w:w="1170" w:type="dxa"/>
          </w:tcPr>
          <w:p w14:paraId="2AC43E19" w14:textId="77777777" w:rsidR="001B6918" w:rsidRPr="004E6649" w:rsidRDefault="001B6918" w:rsidP="00730ECF">
            <w:pPr>
              <w:tabs>
                <w:tab w:val="left" w:pos="0"/>
                <w:tab w:val="left" w:pos="1440"/>
                <w:tab w:val="left" w:pos="1710"/>
              </w:tabs>
              <w:suppressAutoHyphens/>
              <w:jc w:val="right"/>
              <w:rPr>
                <w:rFonts w:eastAsia="Times New Roman" w:cstheme="minorHAnsi"/>
                <w:bCs/>
                <w:spacing w:val="-3"/>
                <w:sz w:val="24"/>
              </w:rPr>
            </w:pPr>
            <w:r w:rsidRPr="004E6649">
              <w:rPr>
                <w:rFonts w:eastAsia="Times New Roman" w:cstheme="minorHAnsi"/>
                <w:bCs/>
                <w:color w:val="000000" w:themeColor="text1"/>
                <w:spacing w:val="-3"/>
                <w:sz w:val="24"/>
              </w:rPr>
              <w:t>25-45%</w:t>
            </w:r>
          </w:p>
        </w:tc>
      </w:tr>
      <w:tr w:rsidR="001B6918" w:rsidRPr="004E6649" w14:paraId="4DB54F87" w14:textId="77777777" w:rsidTr="00730ECF">
        <w:trPr>
          <w:trHeight w:val="189"/>
          <w:jc w:val="center"/>
        </w:trPr>
        <w:tc>
          <w:tcPr>
            <w:tcW w:w="2610" w:type="dxa"/>
          </w:tcPr>
          <w:p w14:paraId="1B88B91A" w14:textId="77777777" w:rsidR="001B6918" w:rsidRPr="004E6649" w:rsidRDefault="001B6918" w:rsidP="00730ECF">
            <w:pPr>
              <w:tabs>
                <w:tab w:val="left" w:pos="0"/>
                <w:tab w:val="left" w:pos="1440"/>
                <w:tab w:val="left" w:pos="1710"/>
              </w:tabs>
              <w:suppressAutoHyphens/>
              <w:rPr>
                <w:rFonts w:eastAsia="Times New Roman" w:cstheme="minorHAnsi"/>
                <w:bCs/>
                <w:spacing w:val="-3"/>
                <w:sz w:val="24"/>
              </w:rPr>
            </w:pPr>
            <w:r w:rsidRPr="004E6649">
              <w:rPr>
                <w:rFonts w:eastAsia="Times New Roman" w:cstheme="minorHAnsi"/>
                <w:bCs/>
                <w:spacing w:val="-3"/>
                <w:sz w:val="24"/>
              </w:rPr>
              <w:t>Fixed income securities</w:t>
            </w:r>
          </w:p>
        </w:tc>
        <w:tc>
          <w:tcPr>
            <w:tcW w:w="1080" w:type="dxa"/>
          </w:tcPr>
          <w:p w14:paraId="6731E658" w14:textId="77777777" w:rsidR="001B6918" w:rsidRPr="00FD416B" w:rsidRDefault="001B6918" w:rsidP="00730ECF">
            <w:pPr>
              <w:tabs>
                <w:tab w:val="left" w:pos="0"/>
                <w:tab w:val="left" w:pos="1440"/>
                <w:tab w:val="left" w:pos="1710"/>
              </w:tabs>
              <w:suppressAutoHyphens/>
              <w:jc w:val="right"/>
              <w:rPr>
                <w:rFonts w:eastAsia="Times New Roman" w:cstheme="minorHAnsi"/>
                <w:bCs/>
                <w:spacing w:val="-3"/>
                <w:sz w:val="24"/>
              </w:rPr>
            </w:pPr>
            <w:r w:rsidRPr="00FD416B">
              <w:rPr>
                <w:rFonts w:eastAsia="Times New Roman" w:cstheme="minorHAnsi"/>
                <w:bCs/>
                <w:spacing w:val="-3"/>
                <w:sz w:val="24"/>
              </w:rPr>
              <w:t>38-58%</w:t>
            </w:r>
          </w:p>
        </w:tc>
        <w:tc>
          <w:tcPr>
            <w:tcW w:w="1170" w:type="dxa"/>
          </w:tcPr>
          <w:p w14:paraId="005EBE40" w14:textId="77777777" w:rsidR="001B6918" w:rsidRPr="004E6649" w:rsidRDefault="001B6918" w:rsidP="00730ECF">
            <w:pPr>
              <w:tabs>
                <w:tab w:val="left" w:pos="0"/>
                <w:tab w:val="left" w:pos="1440"/>
                <w:tab w:val="left" w:pos="1710"/>
              </w:tabs>
              <w:suppressAutoHyphens/>
              <w:jc w:val="right"/>
              <w:rPr>
                <w:rFonts w:eastAsia="Times New Roman" w:cstheme="minorHAnsi"/>
                <w:bCs/>
                <w:spacing w:val="-3"/>
                <w:sz w:val="24"/>
              </w:rPr>
            </w:pPr>
            <w:r w:rsidRPr="004E6649">
              <w:rPr>
                <w:rFonts w:eastAsia="Times New Roman" w:cstheme="minorHAnsi"/>
                <w:bCs/>
                <w:color w:val="000000" w:themeColor="text1"/>
                <w:spacing w:val="-3"/>
                <w:sz w:val="24"/>
              </w:rPr>
              <w:t>38-58%</w:t>
            </w:r>
          </w:p>
        </w:tc>
      </w:tr>
      <w:tr w:rsidR="001B6918" w:rsidRPr="004E6649" w14:paraId="33D801A7" w14:textId="77777777" w:rsidTr="00730ECF">
        <w:trPr>
          <w:trHeight w:val="81"/>
          <w:jc w:val="center"/>
        </w:trPr>
        <w:tc>
          <w:tcPr>
            <w:tcW w:w="2610" w:type="dxa"/>
          </w:tcPr>
          <w:p w14:paraId="3FB8C350" w14:textId="77777777" w:rsidR="001B6918" w:rsidRPr="004E6649" w:rsidRDefault="001B6918" w:rsidP="00730ECF">
            <w:pPr>
              <w:tabs>
                <w:tab w:val="left" w:pos="0"/>
                <w:tab w:val="left" w:pos="1440"/>
                <w:tab w:val="left" w:pos="1710"/>
              </w:tabs>
              <w:suppressAutoHyphens/>
              <w:rPr>
                <w:rFonts w:eastAsia="Times New Roman" w:cstheme="minorHAnsi"/>
                <w:bCs/>
                <w:spacing w:val="-3"/>
                <w:sz w:val="24"/>
              </w:rPr>
            </w:pPr>
            <w:r w:rsidRPr="004E6649">
              <w:rPr>
                <w:rFonts w:eastAsia="Times New Roman" w:cstheme="minorHAnsi"/>
                <w:bCs/>
                <w:spacing w:val="-3"/>
                <w:sz w:val="24"/>
              </w:rPr>
              <w:t>Other</w:t>
            </w:r>
          </w:p>
        </w:tc>
        <w:tc>
          <w:tcPr>
            <w:tcW w:w="1080" w:type="dxa"/>
          </w:tcPr>
          <w:p w14:paraId="2E29B10D" w14:textId="77777777" w:rsidR="001B6918" w:rsidRPr="00FD416B" w:rsidRDefault="001B6918" w:rsidP="00730ECF">
            <w:pPr>
              <w:tabs>
                <w:tab w:val="left" w:pos="0"/>
                <w:tab w:val="left" w:pos="1440"/>
                <w:tab w:val="left" w:pos="1710"/>
              </w:tabs>
              <w:suppressAutoHyphens/>
              <w:jc w:val="right"/>
              <w:rPr>
                <w:rFonts w:eastAsia="Times New Roman" w:cstheme="minorHAnsi"/>
                <w:bCs/>
                <w:spacing w:val="-3"/>
                <w:sz w:val="24"/>
              </w:rPr>
            </w:pPr>
            <w:r w:rsidRPr="00FD416B">
              <w:rPr>
                <w:rFonts w:eastAsia="Times New Roman" w:cstheme="minorHAnsi"/>
                <w:bCs/>
                <w:spacing w:val="-3"/>
                <w:sz w:val="24"/>
              </w:rPr>
              <w:t>10-20%</w:t>
            </w:r>
          </w:p>
        </w:tc>
        <w:tc>
          <w:tcPr>
            <w:tcW w:w="1170" w:type="dxa"/>
          </w:tcPr>
          <w:p w14:paraId="107A0329" w14:textId="77777777" w:rsidR="001B6918" w:rsidRPr="004E6649" w:rsidRDefault="001B6918" w:rsidP="00730ECF">
            <w:pPr>
              <w:tabs>
                <w:tab w:val="left" w:pos="0"/>
                <w:tab w:val="left" w:pos="1440"/>
                <w:tab w:val="left" w:pos="1710"/>
              </w:tabs>
              <w:suppressAutoHyphens/>
              <w:jc w:val="right"/>
              <w:rPr>
                <w:rFonts w:eastAsia="Times New Roman" w:cstheme="minorHAnsi"/>
                <w:bCs/>
                <w:spacing w:val="-3"/>
                <w:sz w:val="24"/>
              </w:rPr>
            </w:pPr>
            <w:r w:rsidRPr="004E6649">
              <w:rPr>
                <w:rFonts w:eastAsia="Times New Roman" w:cstheme="minorHAnsi"/>
                <w:bCs/>
                <w:color w:val="000000" w:themeColor="text1"/>
                <w:spacing w:val="-3"/>
                <w:sz w:val="24"/>
              </w:rPr>
              <w:t>10-20%</w:t>
            </w:r>
          </w:p>
        </w:tc>
      </w:tr>
      <w:tr w:rsidR="001B6918" w:rsidRPr="004E6649" w14:paraId="299B45CA" w14:textId="77777777" w:rsidTr="00730ECF">
        <w:trPr>
          <w:jc w:val="center"/>
        </w:trPr>
        <w:tc>
          <w:tcPr>
            <w:tcW w:w="2610" w:type="dxa"/>
          </w:tcPr>
          <w:p w14:paraId="00C441A2" w14:textId="77777777" w:rsidR="001B6918" w:rsidRPr="004E6649" w:rsidRDefault="001B6918" w:rsidP="00730ECF">
            <w:pPr>
              <w:tabs>
                <w:tab w:val="left" w:pos="0"/>
                <w:tab w:val="left" w:pos="1440"/>
                <w:tab w:val="left" w:pos="1710"/>
              </w:tabs>
              <w:suppressAutoHyphens/>
              <w:rPr>
                <w:rFonts w:eastAsia="Times New Roman" w:cstheme="minorHAnsi"/>
                <w:bCs/>
                <w:spacing w:val="-3"/>
                <w:sz w:val="24"/>
              </w:rPr>
            </w:pPr>
            <w:r w:rsidRPr="004E6649">
              <w:rPr>
                <w:rFonts w:eastAsia="Times New Roman" w:cstheme="minorHAnsi"/>
                <w:bCs/>
                <w:spacing w:val="-3"/>
                <w:sz w:val="24"/>
              </w:rPr>
              <w:t>Cash</w:t>
            </w:r>
          </w:p>
        </w:tc>
        <w:tc>
          <w:tcPr>
            <w:tcW w:w="1080" w:type="dxa"/>
          </w:tcPr>
          <w:p w14:paraId="04168ECA" w14:textId="77777777" w:rsidR="001B6918" w:rsidRPr="00FD416B" w:rsidRDefault="001B6918" w:rsidP="00730ECF">
            <w:pPr>
              <w:tabs>
                <w:tab w:val="left" w:pos="0"/>
                <w:tab w:val="left" w:pos="1440"/>
                <w:tab w:val="left" w:pos="1710"/>
              </w:tabs>
              <w:suppressAutoHyphens/>
              <w:jc w:val="right"/>
              <w:rPr>
                <w:rFonts w:eastAsia="Times New Roman" w:cstheme="minorHAnsi"/>
                <w:bCs/>
                <w:spacing w:val="-3"/>
                <w:sz w:val="24"/>
              </w:rPr>
            </w:pPr>
            <w:r w:rsidRPr="00FD416B">
              <w:rPr>
                <w:rFonts w:eastAsia="Times New Roman" w:cstheme="minorHAnsi"/>
                <w:bCs/>
                <w:spacing w:val="-3"/>
                <w:sz w:val="24"/>
              </w:rPr>
              <w:t>0-10%</w:t>
            </w:r>
          </w:p>
        </w:tc>
        <w:tc>
          <w:tcPr>
            <w:tcW w:w="1170" w:type="dxa"/>
          </w:tcPr>
          <w:p w14:paraId="707091EE" w14:textId="77777777" w:rsidR="001B6918" w:rsidRPr="004E6649" w:rsidRDefault="001B6918" w:rsidP="00730ECF">
            <w:pPr>
              <w:tabs>
                <w:tab w:val="left" w:pos="0"/>
                <w:tab w:val="left" w:pos="1440"/>
                <w:tab w:val="left" w:pos="1710"/>
              </w:tabs>
              <w:suppressAutoHyphens/>
              <w:jc w:val="right"/>
              <w:rPr>
                <w:rFonts w:eastAsia="Times New Roman" w:cstheme="minorHAnsi"/>
                <w:bCs/>
                <w:spacing w:val="-3"/>
                <w:sz w:val="24"/>
              </w:rPr>
            </w:pPr>
            <w:r w:rsidRPr="004E6649">
              <w:rPr>
                <w:rFonts w:eastAsia="Times New Roman" w:cstheme="minorHAnsi"/>
                <w:bCs/>
                <w:color w:val="000000" w:themeColor="text1"/>
                <w:spacing w:val="-3"/>
                <w:sz w:val="24"/>
              </w:rPr>
              <w:t>0-10%</w:t>
            </w:r>
          </w:p>
        </w:tc>
      </w:tr>
    </w:tbl>
    <w:p w14:paraId="26E09BA4" w14:textId="11011652" w:rsidR="001B6918" w:rsidRDefault="001B6918" w:rsidP="00F51774">
      <w:pPr>
        <w:spacing w:before="240" w:after="240"/>
        <w:ind w:right="-7"/>
        <w:rPr>
          <w:rFonts w:eastAsia="Times New Roman" w:cstheme="minorHAnsi"/>
          <w:sz w:val="24"/>
        </w:rPr>
      </w:pPr>
      <w:r w:rsidRPr="004E6649">
        <w:rPr>
          <w:rFonts w:eastAsia="Times New Roman" w:cstheme="minorHAnsi"/>
          <w:b/>
          <w:i/>
          <w:spacing w:val="-1"/>
          <w:sz w:val="24"/>
        </w:rPr>
        <w:t xml:space="preserve">Rate of Return: </w:t>
      </w:r>
      <w:r w:rsidRPr="004E6649">
        <w:rPr>
          <w:rFonts w:eastAsia="Times New Roman" w:cstheme="minorHAnsi"/>
          <w:spacing w:val="-1"/>
          <w:sz w:val="24"/>
        </w:rPr>
        <w:t>For the years ended June 30, 202</w:t>
      </w:r>
      <w:r>
        <w:rPr>
          <w:rFonts w:eastAsia="Times New Roman" w:cstheme="minorHAnsi"/>
          <w:spacing w:val="-1"/>
          <w:sz w:val="24"/>
        </w:rPr>
        <w:t>4</w:t>
      </w:r>
      <w:r w:rsidRPr="004E6649">
        <w:rPr>
          <w:rFonts w:eastAsia="Times New Roman" w:cstheme="minorHAnsi"/>
          <w:spacing w:val="-1"/>
          <w:sz w:val="24"/>
        </w:rPr>
        <w:t xml:space="preserve"> and 202</w:t>
      </w:r>
      <w:r>
        <w:rPr>
          <w:rFonts w:eastAsia="Times New Roman" w:cstheme="minorHAnsi"/>
          <w:spacing w:val="-1"/>
          <w:sz w:val="24"/>
        </w:rPr>
        <w:t>3</w:t>
      </w:r>
      <w:r w:rsidRPr="004E6649">
        <w:rPr>
          <w:rFonts w:eastAsia="Times New Roman" w:cstheme="minorHAnsi"/>
          <w:spacing w:val="-1"/>
          <w:sz w:val="24"/>
        </w:rPr>
        <w:t xml:space="preserve">, the annual money-weighted rate of return, net of investment expenses, was </w:t>
      </w:r>
      <w:r w:rsidRPr="007361F4">
        <w:rPr>
          <w:rFonts w:eastAsia="Times New Roman" w:cstheme="minorHAnsi"/>
          <w:spacing w:val="-1"/>
          <w:sz w:val="24"/>
        </w:rPr>
        <w:t>6.05</w:t>
      </w:r>
      <w:r w:rsidRPr="004E6649">
        <w:rPr>
          <w:rFonts w:eastAsia="Times New Roman" w:cstheme="minorHAnsi"/>
          <w:spacing w:val="-1"/>
          <w:sz w:val="24"/>
        </w:rPr>
        <w:t>% and 6.53% %, respectively.</w:t>
      </w:r>
      <w:r>
        <w:rPr>
          <w:rFonts w:eastAsia="Times New Roman" w:cstheme="minorHAnsi"/>
          <w:sz w:val="24"/>
        </w:rPr>
        <w:br w:type="page"/>
      </w:r>
    </w:p>
    <w:p w14:paraId="11BFAF88" w14:textId="77777777" w:rsidR="001B6918" w:rsidRDefault="001B6918" w:rsidP="001B6918">
      <w:pPr>
        <w:spacing w:after="160"/>
        <w:rPr>
          <w:rFonts w:eastAsiaTheme="majorEastAsia" w:cstheme="minorHAnsi"/>
          <w:b/>
          <w:i/>
          <w:iCs/>
          <w:smallCaps/>
          <w:noProof/>
          <w:color w:val="000000" w:themeColor="text1"/>
          <w:sz w:val="24"/>
          <w:szCs w:val="24"/>
          <w:u w:color="5B9BD5"/>
        </w:rPr>
      </w:pPr>
      <w:r w:rsidRPr="000128D9">
        <w:rPr>
          <w:rFonts w:eastAsiaTheme="majorEastAsia" w:cstheme="minorHAnsi"/>
          <w:b/>
          <w:i/>
          <w:iCs/>
          <w:smallCaps/>
          <w:noProof/>
          <w:color w:val="000000" w:themeColor="text1"/>
          <w:sz w:val="24"/>
          <w:szCs w:val="24"/>
          <w:u w:color="5B9BD5"/>
        </w:rPr>
        <w:lastRenderedPageBreak/>
        <w:t xml:space="preserve">13. PENSION PLANS </w:t>
      </w:r>
      <w:r>
        <w:rPr>
          <w:rFonts w:eastAsiaTheme="majorEastAsia" w:cstheme="minorHAnsi"/>
          <w:b/>
          <w:i/>
          <w:iCs/>
          <w:smallCaps/>
          <w:noProof/>
          <w:color w:val="000000" w:themeColor="text1"/>
          <w:sz w:val="24"/>
          <w:szCs w:val="24"/>
          <w:u w:color="5B9BD5"/>
        </w:rPr>
        <w:t>–</w:t>
      </w:r>
      <w:r w:rsidRPr="000128D9">
        <w:rPr>
          <w:rFonts w:eastAsiaTheme="majorEastAsia" w:cstheme="minorHAnsi"/>
          <w:b/>
          <w:i/>
          <w:iCs/>
          <w:smallCaps/>
          <w:noProof/>
          <w:color w:val="000000" w:themeColor="text1"/>
          <w:sz w:val="24"/>
          <w:szCs w:val="24"/>
          <w:u w:color="5B9BD5"/>
        </w:rPr>
        <w:t xml:space="preserve"> CONTINUED</w:t>
      </w:r>
    </w:p>
    <w:p w14:paraId="01BDBCCB" w14:textId="77777777" w:rsidR="001B6918" w:rsidRPr="004E6649" w:rsidRDefault="001B6918" w:rsidP="001B6918">
      <w:pPr>
        <w:ind w:right="-7"/>
        <w:rPr>
          <w:rFonts w:eastAsia="Times New Roman" w:cstheme="minorHAnsi"/>
          <w:szCs w:val="20"/>
        </w:rPr>
      </w:pPr>
      <w:r w:rsidRPr="004E6649">
        <w:rPr>
          <w:rFonts w:eastAsia="Times New Roman" w:cstheme="minorHAnsi"/>
          <w:b/>
          <w:sz w:val="24"/>
          <w:szCs w:val="24"/>
        </w:rPr>
        <w:t>Net Pension Liability</w:t>
      </w:r>
    </w:p>
    <w:p w14:paraId="670056B0" w14:textId="77777777" w:rsidR="001B6918" w:rsidRPr="000128D9" w:rsidRDefault="001B6918" w:rsidP="001B6918">
      <w:pPr>
        <w:spacing w:after="160"/>
        <w:rPr>
          <w:rFonts w:eastAsiaTheme="majorEastAsia" w:cstheme="minorHAnsi"/>
          <w:b/>
          <w:i/>
          <w:iCs/>
          <w:smallCaps/>
          <w:noProof/>
          <w:color w:val="000000" w:themeColor="text1"/>
          <w:sz w:val="24"/>
          <w:szCs w:val="24"/>
          <w:u w:color="5B9BD5"/>
        </w:rPr>
      </w:pPr>
      <w:r w:rsidRPr="004E6649">
        <w:rPr>
          <w:rFonts w:eastAsia="Times New Roman" w:cstheme="minorHAnsi"/>
          <w:sz w:val="24"/>
        </w:rPr>
        <w:t>The components of the net pension liability at the measurement date of June 30 were as follows:</w:t>
      </w:r>
    </w:p>
    <w:tbl>
      <w:tblPr>
        <w:tblW w:w="7380" w:type="dxa"/>
        <w:jc w:val="center"/>
        <w:tblLook w:val="04A0" w:firstRow="1" w:lastRow="0" w:firstColumn="1" w:lastColumn="0" w:noHBand="0" w:noVBand="1"/>
      </w:tblPr>
      <w:tblGrid>
        <w:gridCol w:w="4410"/>
        <w:gridCol w:w="1698"/>
        <w:gridCol w:w="1272"/>
      </w:tblGrid>
      <w:tr w:rsidR="001B6918" w:rsidRPr="004E6649" w14:paraId="64BA408F" w14:textId="77777777" w:rsidTr="00730ECF">
        <w:trPr>
          <w:trHeight w:val="135"/>
          <w:tblHeader/>
          <w:jc w:val="center"/>
        </w:trPr>
        <w:tc>
          <w:tcPr>
            <w:tcW w:w="4410" w:type="dxa"/>
            <w:tcBorders>
              <w:top w:val="nil"/>
              <w:left w:val="nil"/>
              <w:bottom w:val="single" w:sz="12" w:space="0" w:color="000000" w:themeColor="text1"/>
              <w:right w:val="nil"/>
            </w:tcBorders>
            <w:shd w:val="clear" w:color="000000" w:fill="FFFFFF"/>
            <w:noWrap/>
            <w:vAlign w:val="bottom"/>
            <w:hideMark/>
          </w:tcPr>
          <w:p w14:paraId="130A9ED2" w14:textId="77777777" w:rsidR="001B6918" w:rsidRPr="004E6649" w:rsidRDefault="001B6918" w:rsidP="00730ECF">
            <w:pPr>
              <w:rPr>
                <w:rFonts w:eastAsia="Times New Roman" w:cstheme="minorHAnsi"/>
                <w:b/>
                <w:bCs/>
                <w:color w:val="0D0D0D"/>
                <w:sz w:val="24"/>
                <w:szCs w:val="24"/>
              </w:rPr>
            </w:pPr>
            <w:r w:rsidRPr="004E6649">
              <w:rPr>
                <w:rFonts w:eastAsia="Times New Roman" w:cstheme="minorHAnsi"/>
                <w:sz w:val="24"/>
              </w:rPr>
              <w:fldChar w:fldCharType="begin"/>
            </w:r>
            <w:r w:rsidRPr="004E6649">
              <w:rPr>
                <w:rFonts w:eastAsia="Times New Roman" w:cstheme="minorHAnsi"/>
                <w:sz w:val="24"/>
              </w:rPr>
              <w:fldChar w:fldCharType="end"/>
            </w:r>
            <w:r w:rsidRPr="004E6649">
              <w:rPr>
                <w:rFonts w:eastAsia="Times New Roman" w:cstheme="minorHAnsi"/>
                <w:b/>
                <w:bCs/>
                <w:color w:val="0D0D0D"/>
                <w:sz w:val="24"/>
                <w:szCs w:val="24"/>
              </w:rPr>
              <w:t> </w:t>
            </w:r>
          </w:p>
        </w:tc>
        <w:tc>
          <w:tcPr>
            <w:tcW w:w="1698" w:type="dxa"/>
            <w:tcBorders>
              <w:top w:val="nil"/>
              <w:left w:val="nil"/>
              <w:bottom w:val="single" w:sz="12" w:space="0" w:color="000000" w:themeColor="text1"/>
              <w:right w:val="nil"/>
            </w:tcBorders>
            <w:shd w:val="clear" w:color="000000" w:fill="FFFFFF"/>
            <w:noWrap/>
            <w:vAlign w:val="bottom"/>
            <w:hideMark/>
          </w:tcPr>
          <w:p w14:paraId="197B9297" w14:textId="77777777" w:rsidR="001B6918" w:rsidRPr="004E6649" w:rsidRDefault="001B6918" w:rsidP="00730ECF">
            <w:pPr>
              <w:jc w:val="center"/>
              <w:rPr>
                <w:rFonts w:eastAsia="Times New Roman" w:cstheme="minorHAnsi"/>
                <w:b/>
                <w:bCs/>
                <w:color w:val="0D0D0D"/>
                <w:sz w:val="24"/>
                <w:szCs w:val="24"/>
              </w:rPr>
            </w:pPr>
            <w:r w:rsidRPr="004E6649">
              <w:rPr>
                <w:rFonts w:eastAsia="Times New Roman" w:cstheme="minorHAnsi"/>
                <w:b/>
                <w:bCs/>
                <w:color w:val="0D0D0D"/>
                <w:sz w:val="24"/>
                <w:szCs w:val="24"/>
              </w:rPr>
              <w:t>202</w:t>
            </w:r>
            <w:r>
              <w:rPr>
                <w:rFonts w:eastAsia="Times New Roman" w:cstheme="minorHAnsi"/>
                <w:b/>
                <w:bCs/>
                <w:color w:val="0D0D0D"/>
                <w:sz w:val="24"/>
                <w:szCs w:val="24"/>
              </w:rPr>
              <w:t>5</w:t>
            </w:r>
          </w:p>
        </w:tc>
        <w:tc>
          <w:tcPr>
            <w:tcW w:w="1272" w:type="dxa"/>
            <w:tcBorders>
              <w:top w:val="nil"/>
              <w:left w:val="nil"/>
              <w:bottom w:val="single" w:sz="12" w:space="0" w:color="000000" w:themeColor="text1"/>
              <w:right w:val="nil"/>
            </w:tcBorders>
            <w:shd w:val="clear" w:color="auto" w:fill="F2F2F2" w:themeFill="background1" w:themeFillShade="F2"/>
            <w:vAlign w:val="bottom"/>
          </w:tcPr>
          <w:p w14:paraId="34B37C74" w14:textId="77777777" w:rsidR="001B6918" w:rsidRPr="004E6649" w:rsidRDefault="001B6918" w:rsidP="00730ECF">
            <w:pPr>
              <w:jc w:val="center"/>
              <w:rPr>
                <w:rFonts w:eastAsia="Times New Roman" w:cstheme="minorHAnsi"/>
                <w:b/>
                <w:bCs/>
                <w:color w:val="0D0D0D"/>
                <w:sz w:val="24"/>
                <w:szCs w:val="24"/>
              </w:rPr>
            </w:pPr>
            <w:r w:rsidRPr="004E6649">
              <w:rPr>
                <w:rFonts w:eastAsia="Times New Roman" w:cstheme="minorHAnsi"/>
                <w:b/>
                <w:bCs/>
                <w:color w:val="0D0D0D"/>
                <w:sz w:val="24"/>
                <w:szCs w:val="24"/>
              </w:rPr>
              <w:t>202</w:t>
            </w:r>
            <w:r>
              <w:rPr>
                <w:rFonts w:eastAsia="Times New Roman" w:cstheme="minorHAnsi"/>
                <w:b/>
                <w:bCs/>
                <w:color w:val="0D0D0D"/>
                <w:sz w:val="24"/>
                <w:szCs w:val="24"/>
              </w:rPr>
              <w:t>4</w:t>
            </w:r>
          </w:p>
        </w:tc>
      </w:tr>
      <w:tr w:rsidR="001B6918" w:rsidRPr="004E6649" w14:paraId="440BC616" w14:textId="77777777" w:rsidTr="00730ECF">
        <w:trPr>
          <w:trHeight w:val="177"/>
          <w:jc w:val="center"/>
        </w:trPr>
        <w:tc>
          <w:tcPr>
            <w:tcW w:w="4410" w:type="dxa"/>
            <w:tcBorders>
              <w:top w:val="single" w:sz="12" w:space="0" w:color="000000" w:themeColor="text1"/>
              <w:left w:val="nil"/>
              <w:bottom w:val="nil"/>
              <w:right w:val="nil"/>
            </w:tcBorders>
            <w:shd w:val="clear" w:color="000000" w:fill="FFFFFF"/>
            <w:noWrap/>
            <w:vAlign w:val="bottom"/>
            <w:hideMark/>
          </w:tcPr>
          <w:p w14:paraId="584BA6A8" w14:textId="77777777" w:rsidR="001B6918" w:rsidRPr="004E6649" w:rsidRDefault="001B6918" w:rsidP="00730ECF">
            <w:pPr>
              <w:rPr>
                <w:rFonts w:eastAsia="Times New Roman" w:cstheme="minorHAnsi"/>
                <w:color w:val="0D0D0D"/>
                <w:sz w:val="24"/>
                <w:szCs w:val="24"/>
              </w:rPr>
            </w:pPr>
            <w:r w:rsidRPr="004E6649">
              <w:rPr>
                <w:rFonts w:eastAsia="Times New Roman" w:cstheme="minorHAnsi"/>
                <w:color w:val="0D0D0D"/>
                <w:sz w:val="24"/>
                <w:szCs w:val="24"/>
              </w:rPr>
              <w:t>Total pension liability</w:t>
            </w:r>
          </w:p>
        </w:tc>
        <w:tc>
          <w:tcPr>
            <w:tcW w:w="1698" w:type="dxa"/>
            <w:tcBorders>
              <w:top w:val="single" w:sz="12" w:space="0" w:color="000000" w:themeColor="text1"/>
              <w:left w:val="nil"/>
              <w:bottom w:val="nil"/>
              <w:right w:val="nil"/>
            </w:tcBorders>
            <w:shd w:val="clear" w:color="000000" w:fill="FFFFFF"/>
            <w:noWrap/>
            <w:vAlign w:val="bottom"/>
            <w:hideMark/>
          </w:tcPr>
          <w:p w14:paraId="69456CC5" w14:textId="77777777" w:rsidR="001B6918" w:rsidRPr="00413B9C" w:rsidRDefault="001B6918" w:rsidP="00730ECF">
            <w:pPr>
              <w:jc w:val="right"/>
              <w:rPr>
                <w:rFonts w:eastAsia="Times New Roman" w:cstheme="minorHAnsi"/>
                <w:sz w:val="24"/>
                <w:szCs w:val="24"/>
              </w:rPr>
            </w:pPr>
            <w:r w:rsidRPr="00413B9C">
              <w:rPr>
                <w:rFonts w:eastAsia="Times New Roman" w:cstheme="minorHAnsi"/>
                <w:sz w:val="24"/>
                <w:szCs w:val="24"/>
              </w:rPr>
              <w:t>$23,239</w:t>
            </w:r>
          </w:p>
        </w:tc>
        <w:tc>
          <w:tcPr>
            <w:tcW w:w="1272" w:type="dxa"/>
            <w:tcBorders>
              <w:top w:val="single" w:sz="12" w:space="0" w:color="000000" w:themeColor="text1"/>
              <w:left w:val="nil"/>
              <w:bottom w:val="nil"/>
              <w:right w:val="nil"/>
            </w:tcBorders>
            <w:shd w:val="clear" w:color="auto" w:fill="F2F2F2" w:themeFill="background1" w:themeFillShade="F2"/>
            <w:vAlign w:val="bottom"/>
          </w:tcPr>
          <w:p w14:paraId="276AB76E" w14:textId="77777777" w:rsidR="001B6918" w:rsidRPr="004E6649" w:rsidRDefault="001B6918" w:rsidP="00730ECF">
            <w:pPr>
              <w:ind w:left="-409"/>
              <w:jc w:val="right"/>
              <w:rPr>
                <w:rFonts w:eastAsia="Times New Roman" w:cstheme="minorHAnsi"/>
                <w:sz w:val="24"/>
                <w:szCs w:val="24"/>
              </w:rPr>
            </w:pPr>
            <w:r w:rsidRPr="007361F4">
              <w:rPr>
                <w:rFonts w:eastAsia="Times New Roman" w:cstheme="minorHAnsi"/>
                <w:sz w:val="24"/>
                <w:szCs w:val="24"/>
              </w:rPr>
              <w:t>$</w:t>
            </w:r>
            <w:r>
              <w:rPr>
                <w:rFonts w:eastAsia="Times New Roman" w:cstheme="minorHAnsi"/>
                <w:sz w:val="24"/>
                <w:szCs w:val="24"/>
              </w:rPr>
              <w:t>28,098</w:t>
            </w:r>
          </w:p>
        </w:tc>
      </w:tr>
      <w:tr w:rsidR="001B6918" w:rsidRPr="004E6649" w14:paraId="7343F34B" w14:textId="77777777" w:rsidTr="00730ECF">
        <w:trPr>
          <w:trHeight w:val="66"/>
          <w:jc w:val="center"/>
        </w:trPr>
        <w:tc>
          <w:tcPr>
            <w:tcW w:w="4410" w:type="dxa"/>
            <w:tcBorders>
              <w:top w:val="nil"/>
              <w:left w:val="nil"/>
              <w:bottom w:val="single" w:sz="8" w:space="0" w:color="000000" w:themeColor="text1"/>
              <w:right w:val="nil"/>
            </w:tcBorders>
            <w:shd w:val="clear" w:color="000000" w:fill="FFFFFF"/>
            <w:noWrap/>
            <w:vAlign w:val="bottom"/>
            <w:hideMark/>
          </w:tcPr>
          <w:p w14:paraId="12BB0CA4" w14:textId="77777777" w:rsidR="001B6918" w:rsidRPr="004E6649" w:rsidRDefault="001B6918" w:rsidP="00730ECF">
            <w:pPr>
              <w:rPr>
                <w:rFonts w:eastAsia="Times New Roman" w:cstheme="minorHAnsi"/>
                <w:color w:val="0D0D0D"/>
                <w:sz w:val="24"/>
                <w:szCs w:val="24"/>
              </w:rPr>
            </w:pPr>
            <w:r w:rsidRPr="004E6649">
              <w:rPr>
                <w:rFonts w:eastAsia="Times New Roman" w:cstheme="minorHAnsi"/>
                <w:color w:val="0D0D0D"/>
                <w:sz w:val="24"/>
                <w:szCs w:val="24"/>
              </w:rPr>
              <w:t>Fiduciary net position</w:t>
            </w:r>
          </w:p>
        </w:tc>
        <w:tc>
          <w:tcPr>
            <w:tcW w:w="1698" w:type="dxa"/>
            <w:tcBorders>
              <w:top w:val="nil"/>
              <w:left w:val="nil"/>
              <w:bottom w:val="single" w:sz="8" w:space="0" w:color="000000" w:themeColor="text1"/>
              <w:right w:val="nil"/>
            </w:tcBorders>
            <w:shd w:val="clear" w:color="000000" w:fill="FFFFFF"/>
            <w:noWrap/>
            <w:vAlign w:val="bottom"/>
            <w:hideMark/>
          </w:tcPr>
          <w:p w14:paraId="2CE0B078" w14:textId="77777777" w:rsidR="001B6918" w:rsidRPr="00413B9C" w:rsidRDefault="001B6918" w:rsidP="00730ECF">
            <w:pPr>
              <w:jc w:val="right"/>
              <w:rPr>
                <w:rFonts w:eastAsia="Times New Roman" w:cstheme="minorHAnsi"/>
                <w:sz w:val="24"/>
                <w:szCs w:val="24"/>
              </w:rPr>
            </w:pPr>
            <w:r w:rsidRPr="00413B9C">
              <w:rPr>
                <w:rFonts w:eastAsia="Times New Roman" w:cstheme="minorHAnsi"/>
                <w:sz w:val="24"/>
                <w:szCs w:val="24"/>
              </w:rPr>
              <w:t>(16,</w:t>
            </w:r>
            <w:r>
              <w:rPr>
                <w:rFonts w:eastAsia="Times New Roman" w:cstheme="minorHAnsi"/>
                <w:sz w:val="24"/>
                <w:szCs w:val="24"/>
              </w:rPr>
              <w:t>230</w:t>
            </w:r>
            <w:r w:rsidRPr="00413B9C">
              <w:rPr>
                <w:rFonts w:eastAsia="Times New Roman" w:cstheme="minorHAnsi"/>
                <w:sz w:val="24"/>
                <w:szCs w:val="24"/>
              </w:rPr>
              <w:t>)</w:t>
            </w:r>
          </w:p>
        </w:tc>
        <w:tc>
          <w:tcPr>
            <w:tcW w:w="1272" w:type="dxa"/>
            <w:tcBorders>
              <w:top w:val="nil"/>
              <w:left w:val="nil"/>
              <w:bottom w:val="single" w:sz="8" w:space="0" w:color="000000" w:themeColor="text1"/>
              <w:right w:val="nil"/>
            </w:tcBorders>
            <w:shd w:val="clear" w:color="auto" w:fill="F2F2F2" w:themeFill="background1" w:themeFillShade="F2"/>
            <w:vAlign w:val="bottom"/>
          </w:tcPr>
          <w:p w14:paraId="42DEAA9C" w14:textId="77777777" w:rsidR="001B6918" w:rsidRPr="004E6649" w:rsidRDefault="001B6918" w:rsidP="00730ECF">
            <w:pPr>
              <w:ind w:left="-409"/>
              <w:jc w:val="right"/>
              <w:rPr>
                <w:rFonts w:eastAsia="Times New Roman" w:cstheme="minorHAnsi"/>
                <w:sz w:val="24"/>
                <w:szCs w:val="24"/>
              </w:rPr>
            </w:pPr>
            <w:r w:rsidRPr="007361F4">
              <w:rPr>
                <w:rFonts w:eastAsia="Times New Roman" w:cstheme="minorHAnsi"/>
                <w:sz w:val="24"/>
                <w:szCs w:val="24"/>
              </w:rPr>
              <w:t>(</w:t>
            </w:r>
            <w:r>
              <w:rPr>
                <w:rFonts w:eastAsia="Times New Roman" w:cstheme="minorHAnsi"/>
                <w:sz w:val="24"/>
                <w:szCs w:val="24"/>
              </w:rPr>
              <w:t>17,593</w:t>
            </w:r>
            <w:r w:rsidRPr="007361F4">
              <w:rPr>
                <w:rFonts w:eastAsia="Times New Roman" w:cstheme="minorHAnsi"/>
                <w:sz w:val="24"/>
                <w:szCs w:val="24"/>
              </w:rPr>
              <w:t>)</w:t>
            </w:r>
          </w:p>
        </w:tc>
      </w:tr>
      <w:tr w:rsidR="001B6918" w:rsidRPr="004E6649" w14:paraId="6E4D1A26" w14:textId="77777777" w:rsidTr="00730ECF">
        <w:trPr>
          <w:trHeight w:val="196"/>
          <w:jc w:val="center"/>
        </w:trPr>
        <w:tc>
          <w:tcPr>
            <w:tcW w:w="4410" w:type="dxa"/>
            <w:tcBorders>
              <w:top w:val="single" w:sz="8" w:space="0" w:color="000000" w:themeColor="text1"/>
              <w:left w:val="nil"/>
              <w:bottom w:val="double" w:sz="4" w:space="0" w:color="000000" w:themeColor="text1"/>
              <w:right w:val="nil"/>
            </w:tcBorders>
            <w:shd w:val="clear" w:color="000000" w:fill="FFFFFF"/>
            <w:noWrap/>
            <w:vAlign w:val="bottom"/>
            <w:hideMark/>
          </w:tcPr>
          <w:p w14:paraId="10D96F2C" w14:textId="77777777" w:rsidR="001B6918" w:rsidRPr="004E6649" w:rsidRDefault="001B6918" w:rsidP="00730ECF">
            <w:pPr>
              <w:rPr>
                <w:rFonts w:eastAsia="Times New Roman" w:cstheme="minorHAnsi"/>
                <w:color w:val="0D0D0D"/>
                <w:sz w:val="24"/>
                <w:szCs w:val="24"/>
              </w:rPr>
            </w:pPr>
            <w:r w:rsidRPr="004E6649">
              <w:rPr>
                <w:rFonts w:eastAsia="Times New Roman" w:cstheme="minorHAnsi"/>
                <w:color w:val="0D0D0D"/>
                <w:sz w:val="24"/>
                <w:szCs w:val="24"/>
              </w:rPr>
              <w:t>Net pension liability</w:t>
            </w:r>
          </w:p>
        </w:tc>
        <w:tc>
          <w:tcPr>
            <w:tcW w:w="1698" w:type="dxa"/>
            <w:tcBorders>
              <w:top w:val="single" w:sz="8" w:space="0" w:color="000000" w:themeColor="text1"/>
              <w:left w:val="nil"/>
              <w:bottom w:val="double" w:sz="4" w:space="0" w:color="000000" w:themeColor="text1"/>
              <w:right w:val="nil"/>
            </w:tcBorders>
            <w:shd w:val="clear" w:color="000000" w:fill="FFFFFF"/>
            <w:noWrap/>
            <w:vAlign w:val="bottom"/>
            <w:hideMark/>
          </w:tcPr>
          <w:p w14:paraId="008AA642" w14:textId="24FBF62A" w:rsidR="001B6918" w:rsidRPr="00413B9C" w:rsidRDefault="001B6918" w:rsidP="00730ECF">
            <w:pPr>
              <w:jc w:val="right"/>
              <w:rPr>
                <w:rFonts w:eastAsia="Times New Roman" w:cstheme="minorHAnsi"/>
                <w:sz w:val="24"/>
                <w:szCs w:val="24"/>
              </w:rPr>
            </w:pPr>
            <w:r w:rsidRPr="00413B9C">
              <w:rPr>
                <w:rFonts w:eastAsia="Times New Roman" w:cstheme="minorHAnsi"/>
                <w:sz w:val="24"/>
                <w:szCs w:val="24"/>
              </w:rPr>
              <w:t xml:space="preserve">$ </w:t>
            </w:r>
            <w:r w:rsidR="00730ECF">
              <w:rPr>
                <w:rFonts w:eastAsia="Times New Roman" w:cstheme="minorHAnsi"/>
                <w:sz w:val="24"/>
                <w:szCs w:val="24"/>
              </w:rPr>
              <w:t xml:space="preserve"> </w:t>
            </w:r>
            <w:r w:rsidRPr="00413B9C">
              <w:rPr>
                <w:rFonts w:eastAsia="Times New Roman" w:cstheme="minorHAnsi"/>
                <w:sz w:val="24"/>
                <w:szCs w:val="24"/>
              </w:rPr>
              <w:t>7,009</w:t>
            </w:r>
          </w:p>
        </w:tc>
        <w:tc>
          <w:tcPr>
            <w:tcW w:w="1272" w:type="dxa"/>
            <w:tcBorders>
              <w:top w:val="single" w:sz="8" w:space="0" w:color="000000" w:themeColor="text1"/>
              <w:left w:val="nil"/>
              <w:bottom w:val="double" w:sz="4" w:space="0" w:color="000000" w:themeColor="text1"/>
              <w:right w:val="nil"/>
            </w:tcBorders>
            <w:shd w:val="clear" w:color="auto" w:fill="F2F2F2" w:themeFill="background1" w:themeFillShade="F2"/>
            <w:vAlign w:val="bottom"/>
          </w:tcPr>
          <w:p w14:paraId="6218D916" w14:textId="77777777" w:rsidR="001B6918" w:rsidRPr="004E6649" w:rsidRDefault="001B6918" w:rsidP="00730ECF">
            <w:pPr>
              <w:ind w:left="-409"/>
              <w:jc w:val="right"/>
              <w:rPr>
                <w:rFonts w:eastAsia="Times New Roman" w:cstheme="minorHAnsi"/>
                <w:sz w:val="24"/>
                <w:szCs w:val="24"/>
              </w:rPr>
            </w:pPr>
            <w:r w:rsidRPr="007361F4">
              <w:rPr>
                <w:rFonts w:eastAsia="Times New Roman" w:cstheme="minorHAnsi"/>
                <w:sz w:val="24"/>
                <w:szCs w:val="24"/>
              </w:rPr>
              <w:t>$10,</w:t>
            </w:r>
            <w:r>
              <w:rPr>
                <w:rFonts w:eastAsia="Times New Roman" w:cstheme="minorHAnsi"/>
                <w:sz w:val="24"/>
                <w:szCs w:val="24"/>
              </w:rPr>
              <w:t>505</w:t>
            </w:r>
          </w:p>
        </w:tc>
      </w:tr>
      <w:tr w:rsidR="001B6918" w:rsidRPr="004E6649" w14:paraId="1CBACAC0" w14:textId="77777777" w:rsidTr="00730ECF">
        <w:trPr>
          <w:trHeight w:val="321"/>
          <w:jc w:val="center"/>
        </w:trPr>
        <w:tc>
          <w:tcPr>
            <w:tcW w:w="4410" w:type="dxa"/>
            <w:tcBorders>
              <w:top w:val="double" w:sz="4" w:space="0" w:color="000000" w:themeColor="text1"/>
              <w:left w:val="nil"/>
              <w:bottom w:val="single" w:sz="8" w:space="0" w:color="00688D"/>
              <w:right w:val="nil"/>
            </w:tcBorders>
            <w:shd w:val="clear" w:color="000000" w:fill="FFFFFF"/>
            <w:vAlign w:val="bottom"/>
            <w:hideMark/>
          </w:tcPr>
          <w:p w14:paraId="1EF12475" w14:textId="77777777" w:rsidR="001B6918" w:rsidRPr="004E6649" w:rsidRDefault="001B6918" w:rsidP="00730ECF">
            <w:pPr>
              <w:rPr>
                <w:rFonts w:eastAsia="Times New Roman" w:cstheme="minorHAnsi"/>
                <w:color w:val="0D0D0D"/>
                <w:sz w:val="24"/>
                <w:szCs w:val="24"/>
              </w:rPr>
            </w:pPr>
            <w:r w:rsidRPr="004E6649">
              <w:rPr>
                <w:rFonts w:eastAsia="Times New Roman" w:cstheme="minorHAnsi"/>
                <w:color w:val="0D0D0D"/>
                <w:sz w:val="24"/>
                <w:szCs w:val="24"/>
              </w:rPr>
              <w:t>Fiduciary net position as a percentage of the total pension liability</w:t>
            </w:r>
          </w:p>
        </w:tc>
        <w:tc>
          <w:tcPr>
            <w:tcW w:w="1698" w:type="dxa"/>
            <w:tcBorders>
              <w:top w:val="double" w:sz="4" w:space="0" w:color="000000" w:themeColor="text1"/>
              <w:left w:val="nil"/>
              <w:bottom w:val="single" w:sz="8" w:space="0" w:color="00688D"/>
              <w:right w:val="nil"/>
            </w:tcBorders>
            <w:shd w:val="clear" w:color="000000" w:fill="FFFFFF"/>
            <w:noWrap/>
            <w:vAlign w:val="bottom"/>
            <w:hideMark/>
          </w:tcPr>
          <w:p w14:paraId="241071B3" w14:textId="77777777" w:rsidR="001B6918" w:rsidRPr="00413B9C" w:rsidRDefault="001B6918" w:rsidP="00730ECF">
            <w:pPr>
              <w:jc w:val="right"/>
              <w:rPr>
                <w:rFonts w:eastAsia="Times New Roman" w:cstheme="minorHAnsi"/>
                <w:sz w:val="24"/>
                <w:szCs w:val="24"/>
              </w:rPr>
            </w:pPr>
            <w:r w:rsidRPr="00413B9C">
              <w:rPr>
                <w:rFonts w:eastAsia="Times New Roman" w:cstheme="minorHAnsi"/>
                <w:sz w:val="24"/>
                <w:szCs w:val="24"/>
              </w:rPr>
              <w:t>69.8%</w:t>
            </w:r>
          </w:p>
        </w:tc>
        <w:tc>
          <w:tcPr>
            <w:tcW w:w="1272" w:type="dxa"/>
            <w:tcBorders>
              <w:top w:val="double" w:sz="4" w:space="0" w:color="000000" w:themeColor="text1"/>
              <w:left w:val="nil"/>
              <w:bottom w:val="single" w:sz="8" w:space="0" w:color="00688D"/>
              <w:right w:val="nil"/>
            </w:tcBorders>
            <w:shd w:val="clear" w:color="auto" w:fill="F2F2F2" w:themeFill="background1" w:themeFillShade="F2"/>
            <w:vAlign w:val="bottom"/>
          </w:tcPr>
          <w:p w14:paraId="25E6A7A9" w14:textId="77777777" w:rsidR="001B6918" w:rsidRPr="004E6649" w:rsidRDefault="001B6918" w:rsidP="00730ECF">
            <w:pPr>
              <w:ind w:left="-409"/>
              <w:jc w:val="right"/>
              <w:rPr>
                <w:rFonts w:eastAsia="Times New Roman" w:cstheme="minorHAnsi"/>
                <w:sz w:val="24"/>
                <w:szCs w:val="24"/>
              </w:rPr>
            </w:pPr>
            <w:r w:rsidRPr="007361F4">
              <w:rPr>
                <w:rFonts w:eastAsia="Times New Roman" w:cstheme="minorHAnsi"/>
                <w:sz w:val="24"/>
                <w:szCs w:val="24"/>
              </w:rPr>
              <w:t>6</w:t>
            </w:r>
            <w:r>
              <w:rPr>
                <w:rFonts w:eastAsia="Times New Roman" w:cstheme="minorHAnsi"/>
                <w:sz w:val="24"/>
                <w:szCs w:val="24"/>
              </w:rPr>
              <w:t>2</w:t>
            </w:r>
            <w:r w:rsidRPr="007361F4">
              <w:rPr>
                <w:rFonts w:eastAsia="Times New Roman" w:cstheme="minorHAnsi"/>
                <w:sz w:val="24"/>
                <w:szCs w:val="24"/>
              </w:rPr>
              <w:t>.</w:t>
            </w:r>
            <w:r>
              <w:rPr>
                <w:rFonts w:eastAsia="Times New Roman" w:cstheme="minorHAnsi"/>
                <w:sz w:val="24"/>
                <w:szCs w:val="24"/>
              </w:rPr>
              <w:t>6</w:t>
            </w:r>
            <w:r w:rsidRPr="007361F4">
              <w:rPr>
                <w:rFonts w:eastAsia="Times New Roman" w:cstheme="minorHAnsi"/>
                <w:sz w:val="24"/>
                <w:szCs w:val="24"/>
              </w:rPr>
              <w:t>%</w:t>
            </w:r>
          </w:p>
        </w:tc>
      </w:tr>
    </w:tbl>
    <w:p w14:paraId="4500DEBF" w14:textId="77777777" w:rsidR="001B6918" w:rsidRPr="004E6649" w:rsidRDefault="001B6918" w:rsidP="001B6918">
      <w:pPr>
        <w:widowControl w:val="0"/>
        <w:spacing w:before="240" w:after="160"/>
        <w:rPr>
          <w:rFonts w:eastAsia="Times New Roman" w:cstheme="minorHAnsi"/>
          <w:bCs/>
          <w:iCs/>
          <w:spacing w:val="-1"/>
          <w:sz w:val="18"/>
          <w:szCs w:val="16"/>
        </w:rPr>
      </w:pPr>
      <w:r w:rsidRPr="004E6649">
        <w:rPr>
          <w:rFonts w:eastAsia="Franklin Gothic Book" w:cstheme="minorHAnsi"/>
          <w:spacing w:val="-1"/>
          <w:sz w:val="24"/>
        </w:rPr>
        <w:t>For purposes of determining fiduciary net position, benefits are recorded when paid.</w:t>
      </w:r>
    </w:p>
    <w:p w14:paraId="4D6E2BAA" w14:textId="77777777" w:rsidR="001B6918" w:rsidRPr="004E6649" w:rsidRDefault="001B6918" w:rsidP="001B6918">
      <w:pPr>
        <w:spacing w:before="240" w:after="160"/>
        <w:ind w:right="-7"/>
        <w:rPr>
          <w:rFonts w:eastAsia="Franklin Gothic Book" w:cstheme="minorHAnsi"/>
          <w:spacing w:val="-1"/>
          <w:sz w:val="24"/>
        </w:rPr>
      </w:pPr>
      <w:r w:rsidRPr="004E6649">
        <w:rPr>
          <w:rFonts w:eastAsia="Times New Roman" w:cstheme="minorHAnsi"/>
          <w:b/>
          <w:i/>
          <w:spacing w:val="-1"/>
          <w:sz w:val="24"/>
        </w:rPr>
        <w:t>Actuarial Assumptions:</w:t>
      </w:r>
      <w:r w:rsidRPr="004E6649">
        <w:rPr>
          <w:rFonts w:eastAsia="Franklin Gothic Book" w:cstheme="minorHAnsi"/>
          <w:spacing w:val="-1"/>
          <w:sz w:val="24"/>
        </w:rPr>
        <w:t xml:space="preserve"> The total pension liability as of June 30, 202</w:t>
      </w:r>
      <w:r>
        <w:rPr>
          <w:rFonts w:eastAsia="Franklin Gothic Book" w:cstheme="minorHAnsi"/>
          <w:spacing w:val="-1"/>
          <w:sz w:val="24"/>
        </w:rPr>
        <w:t>5</w:t>
      </w:r>
      <w:r w:rsidRPr="004E6649">
        <w:rPr>
          <w:rFonts w:eastAsia="Franklin Gothic Book" w:cstheme="minorHAnsi"/>
          <w:spacing w:val="-1"/>
          <w:sz w:val="24"/>
        </w:rPr>
        <w:t xml:space="preserve"> and 202</w:t>
      </w:r>
      <w:r>
        <w:rPr>
          <w:rFonts w:eastAsia="Franklin Gothic Book" w:cstheme="minorHAnsi"/>
          <w:spacing w:val="-1"/>
          <w:sz w:val="24"/>
        </w:rPr>
        <w:t>4</w:t>
      </w:r>
      <w:r w:rsidRPr="004E6649">
        <w:rPr>
          <w:rFonts w:eastAsia="Franklin Gothic Book" w:cstheme="minorHAnsi"/>
          <w:spacing w:val="-1"/>
          <w:sz w:val="24"/>
        </w:rPr>
        <w:t xml:space="preserve"> was determined by an actuarial valuation as of July 1, 202</w:t>
      </w:r>
      <w:r>
        <w:rPr>
          <w:rFonts w:eastAsia="Franklin Gothic Book" w:cstheme="minorHAnsi"/>
          <w:spacing w:val="-1"/>
          <w:sz w:val="24"/>
        </w:rPr>
        <w:t>5</w:t>
      </w:r>
      <w:r w:rsidRPr="004E6649">
        <w:rPr>
          <w:rFonts w:eastAsia="Franklin Gothic Book" w:cstheme="minorHAnsi"/>
          <w:spacing w:val="-1"/>
          <w:sz w:val="24"/>
        </w:rPr>
        <w:t xml:space="preserve"> </w:t>
      </w:r>
      <w:r>
        <w:rPr>
          <w:rFonts w:eastAsia="Franklin Gothic Book" w:cstheme="minorHAnsi"/>
          <w:spacing w:val="-1"/>
          <w:sz w:val="24"/>
        </w:rPr>
        <w:t xml:space="preserve">and July 1, 2023 </w:t>
      </w:r>
      <w:r w:rsidRPr="00762AF9">
        <w:rPr>
          <w:rFonts w:eastAsia="Franklin Gothic Book" w:cstheme="minorHAnsi"/>
          <w:spacing w:val="-1"/>
          <w:sz w:val="24"/>
        </w:rPr>
        <w:t>rolled forward to the measurement date</w:t>
      </w:r>
      <w:r>
        <w:rPr>
          <w:rFonts w:eastAsia="Franklin Gothic Book" w:cstheme="minorHAnsi"/>
          <w:spacing w:val="-1"/>
          <w:sz w:val="24"/>
        </w:rPr>
        <w:t xml:space="preserve"> of June 30, 2024</w:t>
      </w:r>
      <w:r w:rsidRPr="002F393E">
        <w:rPr>
          <w:rFonts w:eastAsia="Franklin Gothic Book" w:cstheme="minorHAnsi"/>
          <w:spacing w:val="-1"/>
          <w:sz w:val="24"/>
        </w:rPr>
        <w:t xml:space="preserve">, </w:t>
      </w:r>
      <w:r w:rsidRPr="004E6649">
        <w:rPr>
          <w:rFonts w:eastAsia="Franklin Gothic Book" w:cstheme="minorHAnsi"/>
          <w:spacing w:val="-1"/>
          <w:sz w:val="24"/>
        </w:rPr>
        <w:t>respectively, using the following actuarial assumptions, applied to all periods included in the measurement.</w:t>
      </w:r>
    </w:p>
    <w:tbl>
      <w:tblPr>
        <w:tblStyle w:val="TableGrid"/>
        <w:tblW w:w="99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480"/>
      </w:tblGrid>
      <w:tr w:rsidR="001B6918" w:rsidRPr="004E6649" w14:paraId="7A032964" w14:textId="77777777" w:rsidTr="00730ECF">
        <w:trPr>
          <w:jc w:val="center"/>
        </w:trPr>
        <w:tc>
          <w:tcPr>
            <w:tcW w:w="3510" w:type="dxa"/>
            <w:tcBorders>
              <w:top w:val="single" w:sz="4" w:space="0" w:color="auto"/>
            </w:tcBorders>
          </w:tcPr>
          <w:p w14:paraId="168DF047" w14:textId="77777777" w:rsidR="001B6918" w:rsidRPr="004E6649" w:rsidRDefault="001B6918" w:rsidP="00730ECF">
            <w:pPr>
              <w:ind w:right="-7"/>
              <w:rPr>
                <w:rFonts w:eastAsia="Franklin Gothic Book" w:cstheme="minorHAnsi"/>
                <w:spacing w:val="-1"/>
                <w:sz w:val="20"/>
                <w:szCs w:val="24"/>
              </w:rPr>
            </w:pPr>
            <w:r w:rsidRPr="004E6649">
              <w:rPr>
                <w:rFonts w:eastAsia="Franklin Gothic Book" w:cstheme="minorHAnsi"/>
                <w:sz w:val="24"/>
                <w:szCs w:val="24"/>
              </w:rPr>
              <w:t>Actuarial cost method</w:t>
            </w:r>
          </w:p>
        </w:tc>
        <w:tc>
          <w:tcPr>
            <w:tcW w:w="6480" w:type="dxa"/>
            <w:tcBorders>
              <w:top w:val="single" w:sz="4" w:space="0" w:color="auto"/>
            </w:tcBorders>
          </w:tcPr>
          <w:p w14:paraId="5E478D43" w14:textId="77777777" w:rsidR="001B6918" w:rsidRPr="004E6649" w:rsidRDefault="001B6918" w:rsidP="00730ECF">
            <w:pPr>
              <w:ind w:right="-7"/>
              <w:rPr>
                <w:rFonts w:eastAsia="Franklin Gothic Book" w:cstheme="minorHAnsi"/>
                <w:spacing w:val="-1"/>
                <w:sz w:val="20"/>
                <w:szCs w:val="24"/>
              </w:rPr>
            </w:pPr>
            <w:r w:rsidRPr="004E6649">
              <w:rPr>
                <w:rFonts w:eastAsia="Franklin Gothic Book" w:cstheme="minorHAnsi"/>
                <w:sz w:val="24"/>
                <w:szCs w:val="24"/>
              </w:rPr>
              <w:t>Entry age normal</w:t>
            </w:r>
          </w:p>
        </w:tc>
      </w:tr>
      <w:tr w:rsidR="001B6918" w:rsidRPr="004E6649" w14:paraId="758CAE6B" w14:textId="77777777" w:rsidTr="00730ECF">
        <w:trPr>
          <w:jc w:val="center"/>
        </w:trPr>
        <w:tc>
          <w:tcPr>
            <w:tcW w:w="3510" w:type="dxa"/>
          </w:tcPr>
          <w:p w14:paraId="6657CA4D" w14:textId="77777777" w:rsidR="001B6918" w:rsidRPr="004E6649" w:rsidRDefault="001B6918" w:rsidP="00730ECF">
            <w:pPr>
              <w:ind w:right="-7"/>
              <w:rPr>
                <w:rFonts w:eastAsia="Franklin Gothic Book" w:cstheme="minorHAnsi"/>
                <w:spacing w:val="-1"/>
                <w:sz w:val="20"/>
                <w:szCs w:val="24"/>
              </w:rPr>
            </w:pPr>
            <w:r w:rsidRPr="004E6649">
              <w:rPr>
                <w:rFonts w:eastAsia="Franklin Gothic Book" w:cstheme="minorHAnsi"/>
                <w:sz w:val="24"/>
                <w:szCs w:val="24"/>
              </w:rPr>
              <w:t>Actuarial asset method</w:t>
            </w:r>
          </w:p>
        </w:tc>
        <w:tc>
          <w:tcPr>
            <w:tcW w:w="6480" w:type="dxa"/>
          </w:tcPr>
          <w:p w14:paraId="50F8D83E" w14:textId="77777777" w:rsidR="001B6918" w:rsidRPr="004E6649" w:rsidRDefault="001B6918" w:rsidP="00730ECF">
            <w:pPr>
              <w:ind w:right="-7"/>
              <w:rPr>
                <w:rFonts w:eastAsia="Franklin Gothic Book" w:cstheme="minorHAnsi"/>
                <w:spacing w:val="-1"/>
                <w:sz w:val="20"/>
                <w:szCs w:val="24"/>
              </w:rPr>
            </w:pPr>
            <w:r w:rsidRPr="004E6649">
              <w:rPr>
                <w:rFonts w:eastAsia="Franklin Gothic Book" w:cstheme="minorHAnsi"/>
                <w:sz w:val="24"/>
                <w:szCs w:val="24"/>
              </w:rPr>
              <w:t>The actuarial value of assets is the market value of assets</w:t>
            </w:r>
          </w:p>
        </w:tc>
      </w:tr>
      <w:tr w:rsidR="001B6918" w:rsidRPr="004E6649" w14:paraId="53965227" w14:textId="77777777" w:rsidTr="00730ECF">
        <w:trPr>
          <w:jc w:val="center"/>
        </w:trPr>
        <w:tc>
          <w:tcPr>
            <w:tcW w:w="3510" w:type="dxa"/>
          </w:tcPr>
          <w:p w14:paraId="310C2E4A" w14:textId="77777777" w:rsidR="001B6918" w:rsidRPr="004E6649" w:rsidRDefault="001B6918" w:rsidP="00730ECF">
            <w:pPr>
              <w:ind w:right="-7"/>
              <w:rPr>
                <w:rFonts w:eastAsia="Franklin Gothic Book" w:cstheme="minorHAnsi"/>
                <w:spacing w:val="-1"/>
                <w:sz w:val="20"/>
                <w:szCs w:val="24"/>
              </w:rPr>
            </w:pPr>
            <w:r w:rsidRPr="004E6649">
              <w:rPr>
                <w:rFonts w:eastAsia="Franklin Gothic Book" w:cstheme="minorHAnsi"/>
                <w:sz w:val="24"/>
                <w:szCs w:val="24"/>
              </w:rPr>
              <w:t>Inflation</w:t>
            </w:r>
          </w:p>
        </w:tc>
        <w:tc>
          <w:tcPr>
            <w:tcW w:w="6480" w:type="dxa"/>
          </w:tcPr>
          <w:p w14:paraId="3B58AA9E" w14:textId="77777777" w:rsidR="001B6918" w:rsidRPr="004E6649" w:rsidRDefault="001B6918" w:rsidP="00730ECF">
            <w:pPr>
              <w:ind w:right="-7"/>
              <w:rPr>
                <w:rFonts w:eastAsia="Franklin Gothic Book" w:cstheme="minorHAnsi"/>
                <w:spacing w:val="-1"/>
                <w:sz w:val="20"/>
                <w:szCs w:val="24"/>
              </w:rPr>
            </w:pPr>
            <w:r w:rsidRPr="00C730BA">
              <w:rPr>
                <w:rFonts w:eastAsia="Franklin Gothic Book" w:cstheme="minorHAnsi"/>
                <w:sz w:val="24"/>
                <w:szCs w:val="24"/>
              </w:rPr>
              <w:t>2.</w:t>
            </w:r>
            <w:r w:rsidRPr="008A518D">
              <w:rPr>
                <w:rFonts w:eastAsia="Franklin Gothic Book" w:cstheme="minorHAnsi"/>
                <w:sz w:val="24"/>
                <w:szCs w:val="24"/>
              </w:rPr>
              <w:t>7</w:t>
            </w:r>
            <w:r w:rsidRPr="004E6649">
              <w:rPr>
                <w:rFonts w:eastAsia="Franklin Gothic Book" w:cstheme="minorHAnsi"/>
                <w:sz w:val="24"/>
                <w:szCs w:val="24"/>
              </w:rPr>
              <w:t xml:space="preserve">% and </w:t>
            </w:r>
            <w:r w:rsidRPr="00682CE5">
              <w:rPr>
                <w:rFonts w:eastAsia="Franklin Gothic Book" w:cstheme="minorHAnsi"/>
                <w:sz w:val="24"/>
                <w:szCs w:val="24"/>
              </w:rPr>
              <w:t>2.</w:t>
            </w:r>
            <w:r>
              <w:rPr>
                <w:rFonts w:eastAsia="Franklin Gothic Book" w:cstheme="minorHAnsi"/>
                <w:sz w:val="24"/>
                <w:szCs w:val="24"/>
              </w:rPr>
              <w:t>6</w:t>
            </w:r>
            <w:r w:rsidRPr="004E6649">
              <w:rPr>
                <w:rFonts w:eastAsia="Franklin Gothic Book" w:cstheme="minorHAnsi"/>
                <w:sz w:val="24"/>
                <w:szCs w:val="24"/>
              </w:rPr>
              <w:t>% as of June 30, 202</w:t>
            </w:r>
            <w:r>
              <w:rPr>
                <w:rFonts w:eastAsia="Franklin Gothic Book" w:cstheme="minorHAnsi"/>
                <w:sz w:val="24"/>
                <w:szCs w:val="24"/>
              </w:rPr>
              <w:t>5</w:t>
            </w:r>
            <w:r w:rsidRPr="004E6649">
              <w:rPr>
                <w:rFonts w:eastAsia="Franklin Gothic Book" w:cstheme="minorHAnsi"/>
                <w:sz w:val="24"/>
                <w:szCs w:val="24"/>
              </w:rPr>
              <w:t xml:space="preserve"> and 202</w:t>
            </w:r>
            <w:r>
              <w:rPr>
                <w:rFonts w:eastAsia="Franklin Gothic Book" w:cstheme="minorHAnsi"/>
                <w:sz w:val="24"/>
                <w:szCs w:val="24"/>
              </w:rPr>
              <w:t>4,</w:t>
            </w:r>
            <w:r w:rsidRPr="004E6649">
              <w:rPr>
                <w:rFonts w:eastAsia="Franklin Gothic Book" w:cstheme="minorHAnsi"/>
                <w:sz w:val="24"/>
                <w:szCs w:val="24"/>
              </w:rPr>
              <w:t xml:space="preserve"> respectively</w:t>
            </w:r>
          </w:p>
        </w:tc>
      </w:tr>
      <w:tr w:rsidR="001B6918" w:rsidRPr="004E6649" w14:paraId="231499EC" w14:textId="77777777" w:rsidTr="00730ECF">
        <w:trPr>
          <w:jc w:val="center"/>
        </w:trPr>
        <w:tc>
          <w:tcPr>
            <w:tcW w:w="3510" w:type="dxa"/>
          </w:tcPr>
          <w:p w14:paraId="48DA8B71" w14:textId="77777777" w:rsidR="001B6918" w:rsidRPr="004E6649" w:rsidRDefault="001B6918" w:rsidP="00730ECF">
            <w:pPr>
              <w:ind w:right="-7"/>
              <w:rPr>
                <w:rFonts w:eastAsia="Franklin Gothic Book" w:cstheme="minorHAnsi"/>
                <w:spacing w:val="-1"/>
                <w:sz w:val="20"/>
                <w:szCs w:val="24"/>
              </w:rPr>
            </w:pPr>
            <w:r w:rsidRPr="004E6649">
              <w:rPr>
                <w:rFonts w:eastAsia="Franklin Gothic Book" w:cstheme="minorHAnsi"/>
                <w:sz w:val="24"/>
                <w:szCs w:val="24"/>
              </w:rPr>
              <w:t>Salary increases</w:t>
            </w:r>
          </w:p>
        </w:tc>
        <w:tc>
          <w:tcPr>
            <w:tcW w:w="6480" w:type="dxa"/>
          </w:tcPr>
          <w:p w14:paraId="03244FC3" w14:textId="77777777" w:rsidR="001B6918" w:rsidRPr="004E6649" w:rsidRDefault="001B6918" w:rsidP="00730ECF">
            <w:pPr>
              <w:ind w:right="-7"/>
              <w:rPr>
                <w:rFonts w:eastAsia="Franklin Gothic Book" w:cstheme="minorHAnsi"/>
                <w:spacing w:val="-1"/>
                <w:sz w:val="20"/>
                <w:szCs w:val="24"/>
              </w:rPr>
            </w:pPr>
            <w:r w:rsidRPr="004E6649">
              <w:rPr>
                <w:rFonts w:eastAsia="Franklin Gothic Book" w:cstheme="minorHAnsi"/>
                <w:sz w:val="24"/>
                <w:szCs w:val="24"/>
              </w:rPr>
              <w:t>3.5% for all years</w:t>
            </w:r>
          </w:p>
        </w:tc>
      </w:tr>
      <w:tr w:rsidR="001B6918" w:rsidRPr="004E6649" w14:paraId="53CA89E1" w14:textId="77777777" w:rsidTr="00730ECF">
        <w:trPr>
          <w:jc w:val="center"/>
        </w:trPr>
        <w:tc>
          <w:tcPr>
            <w:tcW w:w="3510" w:type="dxa"/>
          </w:tcPr>
          <w:p w14:paraId="6861C169" w14:textId="77777777" w:rsidR="001B6918" w:rsidRPr="004E6649" w:rsidRDefault="001B6918" w:rsidP="00730ECF">
            <w:pPr>
              <w:ind w:right="-7"/>
              <w:rPr>
                <w:rFonts w:eastAsia="Franklin Gothic Book" w:cstheme="minorHAnsi"/>
                <w:spacing w:val="-1"/>
                <w:sz w:val="20"/>
                <w:szCs w:val="24"/>
              </w:rPr>
            </w:pPr>
            <w:r w:rsidRPr="004E6649">
              <w:rPr>
                <w:rFonts w:eastAsia="Franklin Gothic Book" w:cstheme="minorHAnsi"/>
                <w:sz w:val="24"/>
                <w:szCs w:val="24"/>
              </w:rPr>
              <w:t>Investment rate of return</w:t>
            </w:r>
          </w:p>
        </w:tc>
        <w:tc>
          <w:tcPr>
            <w:tcW w:w="6480" w:type="dxa"/>
          </w:tcPr>
          <w:p w14:paraId="0945BF5A" w14:textId="77777777" w:rsidR="001B6918" w:rsidRPr="004E6649" w:rsidRDefault="001B6918" w:rsidP="00730ECF">
            <w:pPr>
              <w:ind w:right="-7"/>
              <w:rPr>
                <w:rFonts w:eastAsia="Franklin Gothic Book" w:cstheme="minorHAnsi"/>
                <w:spacing w:val="-1"/>
                <w:sz w:val="20"/>
                <w:szCs w:val="24"/>
              </w:rPr>
            </w:pPr>
            <w:r w:rsidRPr="002435C1">
              <w:rPr>
                <w:rFonts w:eastAsia="Franklin Gothic Book" w:cstheme="minorHAnsi"/>
                <w:sz w:val="24"/>
                <w:szCs w:val="24"/>
              </w:rPr>
              <w:t>6.25</w:t>
            </w:r>
            <w:r w:rsidRPr="004E6649">
              <w:rPr>
                <w:rFonts w:eastAsia="Franklin Gothic Book" w:cstheme="minorHAnsi"/>
                <w:sz w:val="24"/>
                <w:szCs w:val="24"/>
              </w:rPr>
              <w:t>% net of investment expenses, including inflation</w:t>
            </w:r>
          </w:p>
        </w:tc>
      </w:tr>
      <w:tr w:rsidR="001B6918" w:rsidRPr="004E6649" w14:paraId="565A1C57" w14:textId="77777777" w:rsidTr="00730ECF">
        <w:trPr>
          <w:jc w:val="center"/>
        </w:trPr>
        <w:tc>
          <w:tcPr>
            <w:tcW w:w="3510" w:type="dxa"/>
            <w:tcBorders>
              <w:bottom w:val="single" w:sz="4" w:space="0" w:color="auto"/>
            </w:tcBorders>
          </w:tcPr>
          <w:p w14:paraId="1C1860B2" w14:textId="77777777" w:rsidR="001B6918" w:rsidRPr="004E6649" w:rsidRDefault="001B6918" w:rsidP="00730ECF">
            <w:pPr>
              <w:ind w:right="-7"/>
              <w:rPr>
                <w:rFonts w:eastAsia="Franklin Gothic Book" w:cstheme="minorHAnsi"/>
                <w:spacing w:val="-1"/>
                <w:sz w:val="20"/>
                <w:szCs w:val="24"/>
              </w:rPr>
            </w:pPr>
            <w:r w:rsidRPr="004E6649">
              <w:rPr>
                <w:rFonts w:eastAsia="Franklin Gothic Book" w:cstheme="minorHAnsi"/>
                <w:sz w:val="24"/>
                <w:szCs w:val="24"/>
              </w:rPr>
              <w:t>Life expectancy</w:t>
            </w:r>
          </w:p>
        </w:tc>
        <w:tc>
          <w:tcPr>
            <w:tcW w:w="6480" w:type="dxa"/>
            <w:tcBorders>
              <w:bottom w:val="single" w:sz="4" w:space="0" w:color="auto"/>
            </w:tcBorders>
          </w:tcPr>
          <w:p w14:paraId="6E424BFA" w14:textId="77777777" w:rsidR="001B6918" w:rsidRDefault="001B6918" w:rsidP="00730ECF">
            <w:pPr>
              <w:ind w:right="-7"/>
              <w:rPr>
                <w:rFonts w:eastAsia="Franklin Gothic Book" w:cstheme="minorHAnsi"/>
                <w:sz w:val="24"/>
                <w:szCs w:val="24"/>
              </w:rPr>
            </w:pPr>
            <w:r w:rsidRPr="00682CE5">
              <w:rPr>
                <w:rFonts w:eastAsia="Franklin Gothic Book" w:cstheme="minorHAnsi"/>
                <w:sz w:val="24"/>
                <w:szCs w:val="24"/>
              </w:rPr>
              <w:t>202</w:t>
            </w:r>
            <w:r>
              <w:rPr>
                <w:rFonts w:eastAsia="Franklin Gothic Book" w:cstheme="minorHAnsi"/>
                <w:sz w:val="24"/>
                <w:szCs w:val="24"/>
              </w:rPr>
              <w:t>5:</w:t>
            </w:r>
            <w:r w:rsidRPr="00682CE5">
              <w:rPr>
                <w:rFonts w:eastAsia="Franklin Gothic Book" w:cstheme="minorHAnsi"/>
                <w:sz w:val="24"/>
                <w:szCs w:val="24"/>
              </w:rPr>
              <w:t xml:space="preserve"> </w:t>
            </w:r>
            <w:r w:rsidRPr="004E6649">
              <w:rPr>
                <w:rFonts w:eastAsia="Franklin Gothic Book" w:cstheme="minorHAnsi"/>
                <w:sz w:val="24"/>
                <w:szCs w:val="24"/>
              </w:rPr>
              <w:t>Pre-retirement and post-retirement mortality rates were based on the Pub-2010 Mortality Table projected with Scale MP-2021</w:t>
            </w:r>
            <w:r>
              <w:rPr>
                <w:rFonts w:eastAsia="Franklin Gothic Book" w:cstheme="minorHAnsi"/>
                <w:sz w:val="24"/>
                <w:szCs w:val="24"/>
              </w:rPr>
              <w:t xml:space="preserve"> set forward two years. </w:t>
            </w:r>
          </w:p>
          <w:p w14:paraId="0069A252" w14:textId="77777777" w:rsidR="001B6918" w:rsidRDefault="001B6918" w:rsidP="00730ECF">
            <w:pPr>
              <w:ind w:right="-7"/>
              <w:rPr>
                <w:rFonts w:eastAsia="Franklin Gothic Book" w:cstheme="minorHAnsi"/>
                <w:sz w:val="24"/>
                <w:szCs w:val="24"/>
              </w:rPr>
            </w:pPr>
            <w:r w:rsidRPr="00682CE5">
              <w:rPr>
                <w:rFonts w:eastAsia="Franklin Gothic Book" w:cstheme="minorHAnsi"/>
                <w:sz w:val="24"/>
                <w:szCs w:val="24"/>
              </w:rPr>
              <w:t>202</w:t>
            </w:r>
            <w:r>
              <w:rPr>
                <w:rFonts w:eastAsia="Franklin Gothic Book" w:cstheme="minorHAnsi"/>
                <w:sz w:val="24"/>
                <w:szCs w:val="24"/>
              </w:rPr>
              <w:t>4</w:t>
            </w:r>
            <w:r w:rsidRPr="004E6649">
              <w:rPr>
                <w:rFonts w:eastAsia="Franklin Gothic Book" w:cstheme="minorHAnsi"/>
                <w:sz w:val="24"/>
                <w:szCs w:val="24"/>
              </w:rPr>
              <w:t xml:space="preserve">: Pre-retirement and post-retirement mortality rates were based on the Pub-2010 Mortality Table projected with Scale MP-2021. </w:t>
            </w:r>
          </w:p>
          <w:p w14:paraId="6F84D7DD" w14:textId="77777777" w:rsidR="001B6918" w:rsidRPr="004E6649" w:rsidRDefault="001B6918" w:rsidP="00730ECF">
            <w:pPr>
              <w:ind w:right="-7"/>
              <w:rPr>
                <w:rFonts w:eastAsia="Franklin Gothic Book" w:cstheme="minorHAnsi"/>
                <w:spacing w:val="-1"/>
                <w:sz w:val="20"/>
                <w:szCs w:val="24"/>
              </w:rPr>
            </w:pPr>
            <w:r>
              <w:rPr>
                <w:rFonts w:eastAsia="Franklin Gothic Book" w:cstheme="minorHAnsi"/>
                <w:spacing w:val="-1"/>
                <w:sz w:val="24"/>
                <w:szCs w:val="24"/>
              </w:rPr>
              <w:t xml:space="preserve">2025 and 2024: </w:t>
            </w:r>
            <w:r w:rsidRPr="004E6649">
              <w:rPr>
                <w:rFonts w:eastAsia="Franklin Gothic Book" w:cstheme="minorHAnsi"/>
                <w:spacing w:val="-1"/>
                <w:sz w:val="24"/>
                <w:szCs w:val="24"/>
              </w:rPr>
              <w:t xml:space="preserve">For disabled lives, the mortality rates were based on the Pub-2010 amount-weighted Disabled Mortality Table with </w:t>
            </w:r>
            <w:r w:rsidRPr="004E6649">
              <w:rPr>
                <w:rFonts w:eastAsia="Franklin Gothic Book" w:cstheme="minorHAnsi"/>
                <w:sz w:val="24"/>
                <w:szCs w:val="24"/>
              </w:rPr>
              <w:t>Scale MP-2021.</w:t>
            </w:r>
          </w:p>
        </w:tc>
      </w:tr>
    </w:tbl>
    <w:p w14:paraId="59FE22C6" w14:textId="77777777" w:rsidR="001B6918" w:rsidRPr="004E6649" w:rsidRDefault="001B6918" w:rsidP="001B6918">
      <w:pPr>
        <w:widowControl w:val="0"/>
        <w:spacing w:before="120" w:after="160"/>
        <w:ind w:right="-7"/>
        <w:rPr>
          <w:rFonts w:eastAsia="Franklin Gothic Book" w:cstheme="minorHAnsi"/>
          <w:sz w:val="24"/>
        </w:rPr>
      </w:pPr>
      <w:r w:rsidRPr="004E6649">
        <w:rPr>
          <w:rFonts w:eastAsia="Franklin Gothic Book" w:cstheme="minorHAnsi"/>
          <w:spacing w:val="-1"/>
          <w:sz w:val="24"/>
        </w:rPr>
        <w:t>T</w:t>
      </w:r>
      <w:r w:rsidRPr="004E6649">
        <w:rPr>
          <w:rFonts w:eastAsia="Franklin Gothic Book" w:cstheme="minorHAnsi"/>
          <w:sz w:val="24"/>
        </w:rPr>
        <w:t>he</w:t>
      </w:r>
      <w:r w:rsidRPr="004E6649">
        <w:rPr>
          <w:rFonts w:eastAsia="Franklin Gothic Book" w:cstheme="minorHAnsi"/>
          <w:spacing w:val="11"/>
          <w:sz w:val="24"/>
        </w:rPr>
        <w:t xml:space="preserve"> </w:t>
      </w:r>
      <w:r w:rsidRPr="004E6649">
        <w:rPr>
          <w:rFonts w:eastAsia="Franklin Gothic Book" w:cstheme="minorHAnsi"/>
          <w:sz w:val="24"/>
        </w:rPr>
        <w:t>l</w:t>
      </w:r>
      <w:r w:rsidRPr="004E6649">
        <w:rPr>
          <w:rFonts w:eastAsia="Franklin Gothic Book" w:cstheme="minorHAnsi"/>
          <w:spacing w:val="-1"/>
          <w:sz w:val="24"/>
        </w:rPr>
        <w:t>o</w:t>
      </w:r>
      <w:r w:rsidRPr="004E6649">
        <w:rPr>
          <w:rFonts w:eastAsia="Franklin Gothic Book" w:cstheme="minorHAnsi"/>
          <w:sz w:val="24"/>
        </w:rPr>
        <w:t>ng-te</w:t>
      </w:r>
      <w:r w:rsidRPr="004E6649">
        <w:rPr>
          <w:rFonts w:eastAsia="Franklin Gothic Book" w:cstheme="minorHAnsi"/>
          <w:spacing w:val="-2"/>
          <w:sz w:val="24"/>
        </w:rPr>
        <w:t>r</w:t>
      </w:r>
      <w:r w:rsidRPr="004E6649">
        <w:rPr>
          <w:rFonts w:eastAsia="Franklin Gothic Book" w:cstheme="minorHAnsi"/>
          <w:sz w:val="24"/>
        </w:rPr>
        <w:t>m</w:t>
      </w:r>
      <w:r w:rsidRPr="004E6649">
        <w:rPr>
          <w:rFonts w:eastAsia="Franklin Gothic Book" w:cstheme="minorHAnsi"/>
          <w:spacing w:val="11"/>
          <w:sz w:val="24"/>
        </w:rPr>
        <w:t xml:space="preserve"> </w:t>
      </w:r>
      <w:r w:rsidRPr="004E6649">
        <w:rPr>
          <w:rFonts w:eastAsia="Franklin Gothic Book" w:cstheme="minorHAnsi"/>
          <w:sz w:val="24"/>
        </w:rPr>
        <w:t>e</w:t>
      </w:r>
      <w:r w:rsidRPr="004E6649">
        <w:rPr>
          <w:rFonts w:eastAsia="Franklin Gothic Book" w:cstheme="minorHAnsi"/>
          <w:spacing w:val="-1"/>
          <w:sz w:val="24"/>
        </w:rPr>
        <w:t>xp</w:t>
      </w:r>
      <w:r w:rsidRPr="004E6649">
        <w:rPr>
          <w:rFonts w:eastAsia="Franklin Gothic Book" w:cstheme="minorHAnsi"/>
          <w:sz w:val="24"/>
        </w:rPr>
        <w:t>ec</w:t>
      </w:r>
      <w:r w:rsidRPr="004E6649">
        <w:rPr>
          <w:rFonts w:eastAsia="Franklin Gothic Book" w:cstheme="minorHAnsi"/>
          <w:spacing w:val="1"/>
          <w:sz w:val="24"/>
        </w:rPr>
        <w:t>t</w:t>
      </w:r>
      <w:r w:rsidRPr="004E6649">
        <w:rPr>
          <w:rFonts w:eastAsia="Franklin Gothic Book" w:cstheme="minorHAnsi"/>
          <w:sz w:val="24"/>
        </w:rPr>
        <w:t>ed</w:t>
      </w:r>
      <w:r w:rsidRPr="004E6649">
        <w:rPr>
          <w:rFonts w:eastAsia="Franklin Gothic Book" w:cstheme="minorHAnsi"/>
          <w:spacing w:val="12"/>
          <w:sz w:val="24"/>
        </w:rPr>
        <w:t xml:space="preserve"> </w:t>
      </w:r>
      <w:r w:rsidRPr="004E6649">
        <w:rPr>
          <w:rFonts w:eastAsia="Franklin Gothic Book" w:cstheme="minorHAnsi"/>
          <w:spacing w:val="-1"/>
          <w:sz w:val="24"/>
        </w:rPr>
        <w:t>r</w:t>
      </w:r>
      <w:r w:rsidRPr="004E6649">
        <w:rPr>
          <w:rFonts w:eastAsia="Franklin Gothic Book" w:cstheme="minorHAnsi"/>
          <w:sz w:val="24"/>
        </w:rPr>
        <w:t>a</w:t>
      </w:r>
      <w:r w:rsidRPr="004E6649">
        <w:rPr>
          <w:rFonts w:eastAsia="Franklin Gothic Book" w:cstheme="minorHAnsi"/>
          <w:spacing w:val="1"/>
          <w:sz w:val="24"/>
        </w:rPr>
        <w:t>t</w:t>
      </w:r>
      <w:r w:rsidRPr="004E6649">
        <w:rPr>
          <w:rFonts w:eastAsia="Franklin Gothic Book" w:cstheme="minorHAnsi"/>
          <w:sz w:val="24"/>
        </w:rPr>
        <w:t>e</w:t>
      </w:r>
      <w:r w:rsidRPr="004E6649">
        <w:rPr>
          <w:rFonts w:eastAsia="Franklin Gothic Book" w:cstheme="minorHAnsi"/>
          <w:spacing w:val="9"/>
          <w:sz w:val="24"/>
        </w:rPr>
        <w:t xml:space="preserve"> </w:t>
      </w:r>
      <w:r w:rsidRPr="004E6649">
        <w:rPr>
          <w:rFonts w:eastAsia="Franklin Gothic Book" w:cstheme="minorHAnsi"/>
          <w:spacing w:val="-1"/>
          <w:sz w:val="24"/>
        </w:rPr>
        <w:t>o</w:t>
      </w:r>
      <w:r w:rsidRPr="004E6649">
        <w:rPr>
          <w:rFonts w:eastAsia="Franklin Gothic Book" w:cstheme="minorHAnsi"/>
          <w:sz w:val="24"/>
        </w:rPr>
        <w:t>f</w:t>
      </w:r>
      <w:r w:rsidRPr="004E6649">
        <w:rPr>
          <w:rFonts w:eastAsia="Franklin Gothic Book" w:cstheme="minorHAnsi"/>
          <w:spacing w:val="12"/>
          <w:sz w:val="24"/>
        </w:rPr>
        <w:t xml:space="preserve"> </w:t>
      </w:r>
      <w:r w:rsidRPr="004E6649">
        <w:rPr>
          <w:rFonts w:eastAsia="Franklin Gothic Book" w:cstheme="minorHAnsi"/>
          <w:spacing w:val="-1"/>
          <w:sz w:val="24"/>
        </w:rPr>
        <w:t>r</w:t>
      </w:r>
      <w:r w:rsidRPr="004E6649">
        <w:rPr>
          <w:rFonts w:eastAsia="Franklin Gothic Book" w:cstheme="minorHAnsi"/>
          <w:sz w:val="24"/>
        </w:rPr>
        <w:t>eturn</w:t>
      </w:r>
      <w:r w:rsidRPr="004E6649">
        <w:rPr>
          <w:rFonts w:eastAsia="Franklin Gothic Book" w:cstheme="minorHAnsi"/>
          <w:spacing w:val="9"/>
          <w:sz w:val="24"/>
        </w:rPr>
        <w:t xml:space="preserve"> </w:t>
      </w:r>
      <w:r w:rsidRPr="004E6649">
        <w:rPr>
          <w:rFonts w:eastAsia="Franklin Gothic Book" w:cstheme="minorHAnsi"/>
          <w:spacing w:val="-1"/>
          <w:sz w:val="24"/>
        </w:rPr>
        <w:t>o</w:t>
      </w:r>
      <w:r w:rsidRPr="004E6649">
        <w:rPr>
          <w:rFonts w:eastAsia="Franklin Gothic Book" w:cstheme="minorHAnsi"/>
          <w:sz w:val="24"/>
        </w:rPr>
        <w:t>n</w:t>
      </w:r>
      <w:r w:rsidRPr="004E6649">
        <w:rPr>
          <w:rFonts w:eastAsia="Franklin Gothic Book" w:cstheme="minorHAnsi"/>
          <w:spacing w:val="11"/>
          <w:sz w:val="24"/>
        </w:rPr>
        <w:t xml:space="preserve"> </w:t>
      </w:r>
      <w:r w:rsidRPr="004E6649">
        <w:rPr>
          <w:rFonts w:eastAsia="Franklin Gothic Book" w:cstheme="minorHAnsi"/>
          <w:spacing w:val="-1"/>
          <w:sz w:val="24"/>
        </w:rPr>
        <w:t>the P</w:t>
      </w:r>
      <w:r w:rsidRPr="004E6649">
        <w:rPr>
          <w:rFonts w:eastAsia="Franklin Gothic Book" w:cstheme="minorHAnsi"/>
          <w:sz w:val="24"/>
        </w:rPr>
        <w:t>lan’s</w:t>
      </w:r>
      <w:r w:rsidRPr="004E6649">
        <w:rPr>
          <w:rFonts w:eastAsia="Franklin Gothic Book" w:cstheme="minorHAnsi"/>
          <w:spacing w:val="11"/>
          <w:sz w:val="24"/>
        </w:rPr>
        <w:t xml:space="preserve"> </w:t>
      </w:r>
      <w:r w:rsidRPr="004E6649">
        <w:rPr>
          <w:rFonts w:eastAsia="Franklin Gothic Book" w:cstheme="minorHAnsi"/>
          <w:sz w:val="24"/>
        </w:rPr>
        <w:t>in</w:t>
      </w:r>
      <w:r w:rsidRPr="004E6649">
        <w:rPr>
          <w:rFonts w:eastAsia="Franklin Gothic Book" w:cstheme="minorHAnsi"/>
          <w:spacing w:val="-1"/>
          <w:sz w:val="24"/>
        </w:rPr>
        <w:t>v</w:t>
      </w:r>
      <w:r w:rsidRPr="004E6649">
        <w:rPr>
          <w:rFonts w:eastAsia="Franklin Gothic Book" w:cstheme="minorHAnsi"/>
          <w:sz w:val="24"/>
        </w:rPr>
        <w:t>es</w:t>
      </w:r>
      <w:r w:rsidRPr="004E6649">
        <w:rPr>
          <w:rFonts w:eastAsia="Franklin Gothic Book" w:cstheme="minorHAnsi"/>
          <w:spacing w:val="1"/>
          <w:sz w:val="24"/>
        </w:rPr>
        <w:t>t</w:t>
      </w:r>
      <w:r w:rsidRPr="004E6649">
        <w:rPr>
          <w:rFonts w:eastAsia="Franklin Gothic Book" w:cstheme="minorHAnsi"/>
          <w:sz w:val="24"/>
        </w:rPr>
        <w:t>ments</w:t>
      </w:r>
      <w:r w:rsidRPr="004E6649">
        <w:rPr>
          <w:rFonts w:eastAsia="Franklin Gothic Book" w:cstheme="minorHAnsi"/>
          <w:spacing w:val="12"/>
          <w:sz w:val="24"/>
        </w:rPr>
        <w:t xml:space="preserve"> </w:t>
      </w:r>
      <w:r w:rsidRPr="004E6649">
        <w:rPr>
          <w:rFonts w:eastAsia="Franklin Gothic Book" w:cstheme="minorHAnsi"/>
          <w:sz w:val="24"/>
        </w:rPr>
        <w:t>was</w:t>
      </w:r>
      <w:r w:rsidRPr="004E6649">
        <w:rPr>
          <w:rFonts w:eastAsia="Franklin Gothic Book" w:cstheme="minorHAnsi"/>
          <w:spacing w:val="12"/>
          <w:sz w:val="24"/>
        </w:rPr>
        <w:t xml:space="preserve"> </w:t>
      </w:r>
      <w:r w:rsidRPr="004E6649">
        <w:rPr>
          <w:rFonts w:eastAsia="Franklin Gothic Book" w:cstheme="minorHAnsi"/>
          <w:sz w:val="24"/>
        </w:rPr>
        <w:t>dete</w:t>
      </w:r>
      <w:r w:rsidRPr="004E6649">
        <w:rPr>
          <w:rFonts w:eastAsia="Franklin Gothic Book" w:cstheme="minorHAnsi"/>
          <w:spacing w:val="-1"/>
          <w:sz w:val="24"/>
        </w:rPr>
        <w:t>r</w:t>
      </w:r>
      <w:r w:rsidRPr="004E6649">
        <w:rPr>
          <w:rFonts w:eastAsia="Franklin Gothic Book" w:cstheme="minorHAnsi"/>
          <w:sz w:val="24"/>
        </w:rPr>
        <w:t>mined</w:t>
      </w:r>
      <w:r w:rsidRPr="004E6649">
        <w:rPr>
          <w:rFonts w:eastAsia="Franklin Gothic Book" w:cstheme="minorHAnsi"/>
          <w:spacing w:val="10"/>
          <w:sz w:val="24"/>
        </w:rPr>
        <w:t xml:space="preserve"> </w:t>
      </w:r>
      <w:r w:rsidRPr="004E6649">
        <w:rPr>
          <w:rFonts w:eastAsia="Franklin Gothic Book" w:cstheme="minorHAnsi"/>
          <w:sz w:val="24"/>
        </w:rPr>
        <w:t>u</w:t>
      </w:r>
      <w:r w:rsidRPr="004E6649">
        <w:rPr>
          <w:rFonts w:eastAsia="Franklin Gothic Book" w:cstheme="minorHAnsi"/>
          <w:spacing w:val="1"/>
          <w:sz w:val="24"/>
        </w:rPr>
        <w:t>s</w:t>
      </w:r>
      <w:r w:rsidRPr="004E6649">
        <w:rPr>
          <w:rFonts w:eastAsia="Franklin Gothic Book" w:cstheme="minorHAnsi"/>
          <w:sz w:val="24"/>
        </w:rPr>
        <w:t>ing</w:t>
      </w:r>
      <w:r w:rsidRPr="004E6649">
        <w:rPr>
          <w:rFonts w:eastAsia="Franklin Gothic Book" w:cstheme="minorHAnsi"/>
          <w:spacing w:val="11"/>
          <w:sz w:val="24"/>
        </w:rPr>
        <w:t xml:space="preserve"> </w:t>
      </w:r>
      <w:r w:rsidRPr="004E6649">
        <w:rPr>
          <w:rFonts w:eastAsia="Franklin Gothic Book" w:cstheme="minorHAnsi"/>
          <w:sz w:val="24"/>
        </w:rPr>
        <w:t>a</w:t>
      </w:r>
      <w:r w:rsidRPr="004E6649">
        <w:rPr>
          <w:rFonts w:eastAsia="Franklin Gothic Book" w:cstheme="minorHAnsi"/>
          <w:spacing w:val="10"/>
          <w:sz w:val="24"/>
        </w:rPr>
        <w:t xml:space="preserve"> </w:t>
      </w:r>
      <w:r w:rsidRPr="004E6649">
        <w:rPr>
          <w:rFonts w:eastAsia="Franklin Gothic Book" w:cstheme="minorHAnsi"/>
          <w:sz w:val="24"/>
        </w:rPr>
        <w:t>building-bl</w:t>
      </w:r>
      <w:r w:rsidRPr="004E6649">
        <w:rPr>
          <w:rFonts w:eastAsia="Franklin Gothic Book" w:cstheme="minorHAnsi"/>
          <w:spacing w:val="-1"/>
          <w:sz w:val="24"/>
        </w:rPr>
        <w:t>o</w:t>
      </w:r>
      <w:r w:rsidRPr="004E6649">
        <w:rPr>
          <w:rFonts w:eastAsia="Franklin Gothic Book" w:cstheme="minorHAnsi"/>
          <w:sz w:val="24"/>
        </w:rPr>
        <w:t>ck</w:t>
      </w:r>
      <w:r w:rsidRPr="004E6649">
        <w:rPr>
          <w:rFonts w:eastAsia="Franklin Gothic Book" w:cstheme="minorHAnsi"/>
          <w:w w:val="99"/>
          <w:sz w:val="24"/>
        </w:rPr>
        <w:t xml:space="preserve"> </w:t>
      </w:r>
      <w:r w:rsidRPr="004E6649">
        <w:rPr>
          <w:rFonts w:eastAsia="Franklin Gothic Book" w:cstheme="minorHAnsi"/>
          <w:sz w:val="24"/>
        </w:rPr>
        <w:t>method</w:t>
      </w:r>
      <w:r w:rsidRPr="004E6649">
        <w:rPr>
          <w:rFonts w:eastAsia="Franklin Gothic Book" w:cstheme="minorHAnsi"/>
          <w:spacing w:val="34"/>
          <w:sz w:val="24"/>
        </w:rPr>
        <w:t xml:space="preserve"> </w:t>
      </w:r>
      <w:r w:rsidRPr="004E6649">
        <w:rPr>
          <w:rFonts w:eastAsia="Franklin Gothic Book" w:cstheme="minorHAnsi"/>
          <w:sz w:val="24"/>
        </w:rPr>
        <w:t>in</w:t>
      </w:r>
      <w:r w:rsidRPr="004E6649">
        <w:rPr>
          <w:rFonts w:eastAsia="Franklin Gothic Book" w:cstheme="minorHAnsi"/>
          <w:spacing w:val="33"/>
          <w:sz w:val="24"/>
        </w:rPr>
        <w:t xml:space="preserve"> </w:t>
      </w:r>
      <w:r w:rsidRPr="004E6649">
        <w:rPr>
          <w:rFonts w:eastAsia="Franklin Gothic Book" w:cstheme="minorHAnsi"/>
          <w:sz w:val="24"/>
        </w:rPr>
        <w:t>which</w:t>
      </w:r>
      <w:r w:rsidRPr="004E6649">
        <w:rPr>
          <w:rFonts w:eastAsia="Franklin Gothic Book" w:cstheme="minorHAnsi"/>
          <w:spacing w:val="34"/>
          <w:sz w:val="24"/>
        </w:rPr>
        <w:t xml:space="preserve"> </w:t>
      </w:r>
      <w:r w:rsidRPr="004E6649">
        <w:rPr>
          <w:rFonts w:eastAsia="Franklin Gothic Book" w:cstheme="minorHAnsi"/>
          <w:sz w:val="24"/>
        </w:rPr>
        <w:t>bes</w:t>
      </w:r>
      <w:r w:rsidRPr="004E6649">
        <w:rPr>
          <w:rFonts w:eastAsia="Franklin Gothic Book" w:cstheme="minorHAnsi"/>
          <w:spacing w:val="1"/>
          <w:sz w:val="24"/>
        </w:rPr>
        <w:t>t</w:t>
      </w:r>
      <w:r w:rsidRPr="004E6649">
        <w:rPr>
          <w:rFonts w:eastAsia="Franklin Gothic Book" w:cstheme="minorHAnsi"/>
          <w:sz w:val="24"/>
        </w:rPr>
        <w:t>-es</w:t>
      </w:r>
      <w:r w:rsidRPr="004E6649">
        <w:rPr>
          <w:rFonts w:eastAsia="Franklin Gothic Book" w:cstheme="minorHAnsi"/>
          <w:spacing w:val="1"/>
          <w:sz w:val="24"/>
        </w:rPr>
        <w:t>t</w:t>
      </w:r>
      <w:r w:rsidRPr="004E6649">
        <w:rPr>
          <w:rFonts w:eastAsia="Franklin Gothic Book" w:cstheme="minorHAnsi"/>
          <w:sz w:val="24"/>
        </w:rPr>
        <w:t>ima</w:t>
      </w:r>
      <w:r w:rsidRPr="004E6649">
        <w:rPr>
          <w:rFonts w:eastAsia="Franklin Gothic Book" w:cstheme="minorHAnsi"/>
          <w:spacing w:val="1"/>
          <w:sz w:val="24"/>
        </w:rPr>
        <w:t>t</w:t>
      </w:r>
      <w:r w:rsidRPr="004E6649">
        <w:rPr>
          <w:rFonts w:eastAsia="Franklin Gothic Book" w:cstheme="minorHAnsi"/>
          <w:sz w:val="24"/>
        </w:rPr>
        <w:t>e</w:t>
      </w:r>
      <w:r w:rsidRPr="004E6649">
        <w:rPr>
          <w:rFonts w:eastAsia="Franklin Gothic Book" w:cstheme="minorHAnsi"/>
          <w:spacing w:val="35"/>
          <w:sz w:val="24"/>
        </w:rPr>
        <w:t xml:space="preserve"> </w:t>
      </w:r>
      <w:r w:rsidRPr="004E6649">
        <w:rPr>
          <w:rFonts w:eastAsia="Franklin Gothic Book" w:cstheme="minorHAnsi"/>
          <w:spacing w:val="-1"/>
          <w:sz w:val="24"/>
        </w:rPr>
        <w:t>r</w:t>
      </w:r>
      <w:r w:rsidRPr="004E6649">
        <w:rPr>
          <w:rFonts w:eastAsia="Franklin Gothic Book" w:cstheme="minorHAnsi"/>
          <w:sz w:val="24"/>
        </w:rPr>
        <w:t>anges</w:t>
      </w:r>
      <w:r w:rsidRPr="004E6649">
        <w:rPr>
          <w:rFonts w:eastAsia="Franklin Gothic Book" w:cstheme="minorHAnsi"/>
          <w:spacing w:val="34"/>
          <w:sz w:val="24"/>
        </w:rPr>
        <w:t xml:space="preserve"> </w:t>
      </w:r>
      <w:r w:rsidRPr="004E6649">
        <w:rPr>
          <w:rFonts w:eastAsia="Franklin Gothic Book" w:cstheme="minorHAnsi"/>
          <w:spacing w:val="-1"/>
          <w:sz w:val="24"/>
        </w:rPr>
        <w:t>o</w:t>
      </w:r>
      <w:r w:rsidRPr="004E6649">
        <w:rPr>
          <w:rFonts w:eastAsia="Franklin Gothic Book" w:cstheme="minorHAnsi"/>
          <w:sz w:val="24"/>
        </w:rPr>
        <w:t>f</w:t>
      </w:r>
      <w:r w:rsidRPr="004E6649">
        <w:rPr>
          <w:rFonts w:eastAsia="Franklin Gothic Book" w:cstheme="minorHAnsi"/>
          <w:spacing w:val="34"/>
          <w:sz w:val="24"/>
        </w:rPr>
        <w:t xml:space="preserve"> </w:t>
      </w:r>
      <w:r w:rsidRPr="004E6649">
        <w:rPr>
          <w:rFonts w:eastAsia="Franklin Gothic Book" w:cstheme="minorHAnsi"/>
          <w:sz w:val="24"/>
        </w:rPr>
        <w:t>e</w:t>
      </w:r>
      <w:r w:rsidRPr="004E6649">
        <w:rPr>
          <w:rFonts w:eastAsia="Franklin Gothic Book" w:cstheme="minorHAnsi"/>
          <w:spacing w:val="-1"/>
          <w:sz w:val="24"/>
        </w:rPr>
        <w:t>xp</w:t>
      </w:r>
      <w:r w:rsidRPr="004E6649">
        <w:rPr>
          <w:rFonts w:eastAsia="Franklin Gothic Book" w:cstheme="minorHAnsi"/>
          <w:sz w:val="24"/>
        </w:rPr>
        <w:t>ec</w:t>
      </w:r>
      <w:r w:rsidRPr="004E6649">
        <w:rPr>
          <w:rFonts w:eastAsia="Franklin Gothic Book" w:cstheme="minorHAnsi"/>
          <w:spacing w:val="1"/>
          <w:sz w:val="24"/>
        </w:rPr>
        <w:t>t</w:t>
      </w:r>
      <w:r w:rsidRPr="004E6649">
        <w:rPr>
          <w:rFonts w:eastAsia="Franklin Gothic Book" w:cstheme="minorHAnsi"/>
          <w:sz w:val="24"/>
        </w:rPr>
        <w:t>ed</w:t>
      </w:r>
      <w:r w:rsidRPr="004E6649">
        <w:rPr>
          <w:rFonts w:eastAsia="Franklin Gothic Book" w:cstheme="minorHAnsi"/>
          <w:spacing w:val="31"/>
          <w:sz w:val="24"/>
        </w:rPr>
        <w:t xml:space="preserve"> </w:t>
      </w:r>
      <w:r w:rsidRPr="004E6649">
        <w:rPr>
          <w:rFonts w:eastAsia="Franklin Gothic Book" w:cstheme="minorHAnsi"/>
          <w:sz w:val="24"/>
        </w:rPr>
        <w:t>fu</w:t>
      </w:r>
      <w:r w:rsidRPr="004E6649">
        <w:rPr>
          <w:rFonts w:eastAsia="Franklin Gothic Book" w:cstheme="minorHAnsi"/>
          <w:spacing w:val="1"/>
          <w:sz w:val="24"/>
        </w:rPr>
        <w:t>t</w:t>
      </w:r>
      <w:r w:rsidRPr="004E6649">
        <w:rPr>
          <w:rFonts w:eastAsia="Franklin Gothic Book" w:cstheme="minorHAnsi"/>
          <w:sz w:val="24"/>
        </w:rPr>
        <w:t>u</w:t>
      </w:r>
      <w:r w:rsidRPr="004E6649">
        <w:rPr>
          <w:rFonts w:eastAsia="Franklin Gothic Book" w:cstheme="minorHAnsi"/>
          <w:spacing w:val="-1"/>
          <w:sz w:val="24"/>
        </w:rPr>
        <w:t>r</w:t>
      </w:r>
      <w:r w:rsidRPr="004E6649">
        <w:rPr>
          <w:rFonts w:eastAsia="Franklin Gothic Book" w:cstheme="minorHAnsi"/>
          <w:sz w:val="24"/>
        </w:rPr>
        <w:t>e</w:t>
      </w:r>
      <w:r w:rsidRPr="004E6649">
        <w:rPr>
          <w:rFonts w:eastAsia="Franklin Gothic Book" w:cstheme="minorHAnsi"/>
          <w:spacing w:val="34"/>
          <w:sz w:val="24"/>
        </w:rPr>
        <w:t xml:space="preserve"> </w:t>
      </w:r>
      <w:r w:rsidRPr="004E6649">
        <w:rPr>
          <w:rFonts w:eastAsia="Franklin Gothic Book" w:cstheme="minorHAnsi"/>
          <w:spacing w:val="-1"/>
          <w:sz w:val="24"/>
        </w:rPr>
        <w:t>r</w:t>
      </w:r>
      <w:r w:rsidRPr="004E6649">
        <w:rPr>
          <w:rFonts w:eastAsia="Franklin Gothic Book" w:cstheme="minorHAnsi"/>
          <w:sz w:val="24"/>
        </w:rPr>
        <w:t>eal</w:t>
      </w:r>
      <w:r w:rsidRPr="004E6649">
        <w:rPr>
          <w:rFonts w:eastAsia="Franklin Gothic Book" w:cstheme="minorHAnsi"/>
          <w:spacing w:val="31"/>
          <w:sz w:val="24"/>
        </w:rPr>
        <w:t xml:space="preserve"> </w:t>
      </w:r>
      <w:r w:rsidRPr="004E6649">
        <w:rPr>
          <w:rFonts w:eastAsia="Franklin Gothic Book" w:cstheme="minorHAnsi"/>
          <w:spacing w:val="-1"/>
          <w:sz w:val="24"/>
        </w:rPr>
        <w:t>r</w:t>
      </w:r>
      <w:r w:rsidRPr="004E6649">
        <w:rPr>
          <w:rFonts w:eastAsia="Franklin Gothic Book" w:cstheme="minorHAnsi"/>
          <w:sz w:val="24"/>
        </w:rPr>
        <w:t>a</w:t>
      </w:r>
      <w:r w:rsidRPr="004E6649">
        <w:rPr>
          <w:rFonts w:eastAsia="Franklin Gothic Book" w:cstheme="minorHAnsi"/>
          <w:spacing w:val="1"/>
          <w:sz w:val="24"/>
        </w:rPr>
        <w:t>t</w:t>
      </w:r>
      <w:r w:rsidRPr="004E6649">
        <w:rPr>
          <w:rFonts w:eastAsia="Franklin Gothic Book" w:cstheme="minorHAnsi"/>
          <w:sz w:val="24"/>
        </w:rPr>
        <w:t>es</w:t>
      </w:r>
      <w:r w:rsidRPr="004E6649">
        <w:rPr>
          <w:rFonts w:eastAsia="Franklin Gothic Book" w:cstheme="minorHAnsi"/>
          <w:spacing w:val="34"/>
          <w:sz w:val="24"/>
        </w:rPr>
        <w:t xml:space="preserve"> </w:t>
      </w:r>
      <w:r w:rsidRPr="004E6649">
        <w:rPr>
          <w:rFonts w:eastAsia="Franklin Gothic Book" w:cstheme="minorHAnsi"/>
          <w:spacing w:val="-1"/>
          <w:sz w:val="24"/>
        </w:rPr>
        <w:t>o</w:t>
      </w:r>
      <w:r w:rsidRPr="004E6649">
        <w:rPr>
          <w:rFonts w:eastAsia="Franklin Gothic Book" w:cstheme="minorHAnsi"/>
          <w:sz w:val="24"/>
        </w:rPr>
        <w:t>f</w:t>
      </w:r>
      <w:r w:rsidRPr="004E6649">
        <w:rPr>
          <w:rFonts w:eastAsia="Franklin Gothic Book" w:cstheme="minorHAnsi"/>
          <w:spacing w:val="31"/>
          <w:sz w:val="24"/>
        </w:rPr>
        <w:t xml:space="preserve"> </w:t>
      </w:r>
      <w:r w:rsidRPr="004E6649">
        <w:rPr>
          <w:rFonts w:eastAsia="Franklin Gothic Book" w:cstheme="minorHAnsi"/>
          <w:spacing w:val="-1"/>
          <w:sz w:val="24"/>
        </w:rPr>
        <w:t>r</w:t>
      </w:r>
      <w:r w:rsidRPr="004E6649">
        <w:rPr>
          <w:rFonts w:eastAsia="Franklin Gothic Book" w:cstheme="minorHAnsi"/>
          <w:sz w:val="24"/>
        </w:rPr>
        <w:t>eturn</w:t>
      </w:r>
      <w:r w:rsidRPr="004E6649">
        <w:rPr>
          <w:rFonts w:eastAsia="Franklin Gothic Book" w:cstheme="minorHAnsi"/>
          <w:spacing w:val="34"/>
          <w:sz w:val="24"/>
        </w:rPr>
        <w:t xml:space="preserve"> </w:t>
      </w:r>
      <w:r w:rsidRPr="004E6649">
        <w:rPr>
          <w:rFonts w:eastAsia="Franklin Gothic Book" w:cstheme="minorHAnsi"/>
          <w:spacing w:val="-1"/>
          <w:sz w:val="24"/>
        </w:rPr>
        <w:t>(</w:t>
      </w:r>
      <w:r w:rsidRPr="004E6649">
        <w:rPr>
          <w:rFonts w:eastAsia="Franklin Gothic Book" w:cstheme="minorHAnsi"/>
          <w:sz w:val="24"/>
        </w:rPr>
        <w:t>e</w:t>
      </w:r>
      <w:r w:rsidRPr="004E6649">
        <w:rPr>
          <w:rFonts w:eastAsia="Franklin Gothic Book" w:cstheme="minorHAnsi"/>
          <w:spacing w:val="-1"/>
          <w:sz w:val="24"/>
        </w:rPr>
        <w:t>xp</w:t>
      </w:r>
      <w:r w:rsidRPr="004E6649">
        <w:rPr>
          <w:rFonts w:eastAsia="Franklin Gothic Book" w:cstheme="minorHAnsi"/>
          <w:sz w:val="24"/>
        </w:rPr>
        <w:t>ec</w:t>
      </w:r>
      <w:r w:rsidRPr="004E6649">
        <w:rPr>
          <w:rFonts w:eastAsia="Franklin Gothic Book" w:cstheme="minorHAnsi"/>
          <w:spacing w:val="1"/>
          <w:sz w:val="24"/>
        </w:rPr>
        <w:t>t</w:t>
      </w:r>
      <w:r w:rsidRPr="004E6649">
        <w:rPr>
          <w:rFonts w:eastAsia="Franklin Gothic Book" w:cstheme="minorHAnsi"/>
          <w:sz w:val="24"/>
        </w:rPr>
        <w:t>ed</w:t>
      </w:r>
      <w:r w:rsidRPr="004E6649">
        <w:rPr>
          <w:rFonts w:eastAsia="Franklin Gothic Book" w:cstheme="minorHAnsi"/>
          <w:spacing w:val="31"/>
          <w:sz w:val="24"/>
        </w:rPr>
        <w:t xml:space="preserve"> </w:t>
      </w:r>
      <w:r w:rsidRPr="004E6649">
        <w:rPr>
          <w:rFonts w:eastAsia="Franklin Gothic Book" w:cstheme="minorHAnsi"/>
          <w:spacing w:val="-1"/>
          <w:sz w:val="24"/>
        </w:rPr>
        <w:t>r</w:t>
      </w:r>
      <w:r w:rsidRPr="004E6649">
        <w:rPr>
          <w:rFonts w:eastAsia="Franklin Gothic Book" w:cstheme="minorHAnsi"/>
          <w:sz w:val="24"/>
        </w:rPr>
        <w:t>eturn</w:t>
      </w:r>
      <w:r w:rsidRPr="004E6649">
        <w:rPr>
          <w:rFonts w:eastAsia="Franklin Gothic Book" w:cstheme="minorHAnsi"/>
          <w:spacing w:val="1"/>
          <w:sz w:val="24"/>
        </w:rPr>
        <w:t>s</w:t>
      </w:r>
      <w:r w:rsidRPr="004E6649">
        <w:rPr>
          <w:rFonts w:eastAsia="Franklin Gothic Book" w:cstheme="minorHAnsi"/>
          <w:sz w:val="24"/>
        </w:rPr>
        <w:t>,</w:t>
      </w:r>
      <w:r w:rsidRPr="004E6649">
        <w:rPr>
          <w:rFonts w:eastAsia="Franklin Gothic Book" w:cstheme="minorHAnsi"/>
          <w:spacing w:val="34"/>
          <w:sz w:val="24"/>
        </w:rPr>
        <w:t xml:space="preserve"> </w:t>
      </w:r>
      <w:r w:rsidRPr="004E6649">
        <w:rPr>
          <w:rFonts w:eastAsia="Franklin Gothic Book" w:cstheme="minorHAnsi"/>
          <w:sz w:val="24"/>
        </w:rPr>
        <w:t>net</w:t>
      </w:r>
      <w:r w:rsidRPr="004E6649">
        <w:rPr>
          <w:rFonts w:eastAsia="Franklin Gothic Book" w:cstheme="minorHAnsi"/>
          <w:spacing w:val="32"/>
          <w:sz w:val="24"/>
        </w:rPr>
        <w:t xml:space="preserve"> </w:t>
      </w:r>
      <w:r w:rsidRPr="004E6649">
        <w:rPr>
          <w:rFonts w:eastAsia="Franklin Gothic Book" w:cstheme="minorHAnsi"/>
          <w:spacing w:val="-1"/>
          <w:sz w:val="24"/>
        </w:rPr>
        <w:t>of</w:t>
      </w:r>
      <w:r w:rsidRPr="004E6649">
        <w:rPr>
          <w:rFonts w:eastAsia="Franklin Gothic Book" w:cstheme="minorHAnsi"/>
          <w:spacing w:val="-1"/>
          <w:w w:val="99"/>
          <w:sz w:val="24"/>
        </w:rPr>
        <w:t xml:space="preserve"> </w:t>
      </w:r>
      <w:r w:rsidRPr="004E6649">
        <w:rPr>
          <w:rFonts w:eastAsia="Franklin Gothic Book" w:cstheme="minorHAnsi"/>
          <w:spacing w:val="-1"/>
          <w:sz w:val="24"/>
        </w:rPr>
        <w:t>p</w:t>
      </w:r>
      <w:r w:rsidRPr="004E6649">
        <w:rPr>
          <w:rFonts w:eastAsia="Franklin Gothic Book" w:cstheme="minorHAnsi"/>
          <w:sz w:val="24"/>
        </w:rPr>
        <w:t>ension</w:t>
      </w:r>
      <w:r w:rsidRPr="004E6649">
        <w:rPr>
          <w:rFonts w:eastAsia="Franklin Gothic Book" w:cstheme="minorHAnsi"/>
          <w:spacing w:val="-5"/>
          <w:sz w:val="24"/>
        </w:rPr>
        <w:t xml:space="preserve"> </w:t>
      </w:r>
      <w:r w:rsidRPr="004E6649">
        <w:rPr>
          <w:rFonts w:eastAsia="Franklin Gothic Book" w:cstheme="minorHAnsi"/>
          <w:spacing w:val="-1"/>
          <w:sz w:val="24"/>
        </w:rPr>
        <w:t>p</w:t>
      </w:r>
      <w:r w:rsidRPr="004E6649">
        <w:rPr>
          <w:rFonts w:eastAsia="Franklin Gothic Book" w:cstheme="minorHAnsi"/>
          <w:sz w:val="24"/>
        </w:rPr>
        <w:t>lan</w:t>
      </w:r>
      <w:r w:rsidRPr="004E6649">
        <w:rPr>
          <w:rFonts w:eastAsia="Franklin Gothic Book" w:cstheme="minorHAnsi"/>
          <w:spacing w:val="-5"/>
          <w:sz w:val="24"/>
        </w:rPr>
        <w:t xml:space="preserve"> </w:t>
      </w:r>
      <w:r w:rsidRPr="004E6649">
        <w:rPr>
          <w:rFonts w:eastAsia="Franklin Gothic Book" w:cstheme="minorHAnsi"/>
          <w:sz w:val="24"/>
        </w:rPr>
        <w:t>in</w:t>
      </w:r>
      <w:r w:rsidRPr="004E6649">
        <w:rPr>
          <w:rFonts w:eastAsia="Franklin Gothic Book" w:cstheme="minorHAnsi"/>
          <w:spacing w:val="-1"/>
          <w:sz w:val="24"/>
        </w:rPr>
        <w:t>v</w:t>
      </w:r>
      <w:r w:rsidRPr="004E6649">
        <w:rPr>
          <w:rFonts w:eastAsia="Franklin Gothic Book" w:cstheme="minorHAnsi"/>
          <w:sz w:val="24"/>
        </w:rPr>
        <w:t>es</w:t>
      </w:r>
      <w:r w:rsidRPr="004E6649">
        <w:rPr>
          <w:rFonts w:eastAsia="Franklin Gothic Book" w:cstheme="minorHAnsi"/>
          <w:spacing w:val="1"/>
          <w:sz w:val="24"/>
        </w:rPr>
        <w:t>t</w:t>
      </w:r>
      <w:r w:rsidRPr="004E6649">
        <w:rPr>
          <w:rFonts w:eastAsia="Franklin Gothic Book" w:cstheme="minorHAnsi"/>
          <w:sz w:val="24"/>
        </w:rPr>
        <w:t>ment</w:t>
      </w:r>
      <w:r w:rsidRPr="004E6649">
        <w:rPr>
          <w:rFonts w:eastAsia="Franklin Gothic Book" w:cstheme="minorHAnsi"/>
          <w:spacing w:val="-4"/>
          <w:sz w:val="24"/>
        </w:rPr>
        <w:t xml:space="preserve"> </w:t>
      </w:r>
      <w:r w:rsidRPr="004E6649">
        <w:rPr>
          <w:rFonts w:eastAsia="Franklin Gothic Book" w:cstheme="minorHAnsi"/>
          <w:sz w:val="24"/>
        </w:rPr>
        <w:t>e</w:t>
      </w:r>
      <w:r w:rsidRPr="004E6649">
        <w:rPr>
          <w:rFonts w:eastAsia="Franklin Gothic Book" w:cstheme="minorHAnsi"/>
          <w:spacing w:val="-1"/>
          <w:sz w:val="24"/>
        </w:rPr>
        <w:t>xp</w:t>
      </w:r>
      <w:r w:rsidRPr="004E6649">
        <w:rPr>
          <w:rFonts w:eastAsia="Franklin Gothic Book" w:cstheme="minorHAnsi"/>
          <w:sz w:val="24"/>
        </w:rPr>
        <w:t>ense</w:t>
      </w:r>
      <w:r w:rsidRPr="004E6649">
        <w:rPr>
          <w:rFonts w:eastAsia="Franklin Gothic Book" w:cstheme="minorHAnsi"/>
          <w:spacing w:val="-4"/>
          <w:sz w:val="24"/>
        </w:rPr>
        <w:t xml:space="preserve"> </w:t>
      </w:r>
      <w:r w:rsidRPr="004E6649">
        <w:rPr>
          <w:rFonts w:eastAsia="Franklin Gothic Book" w:cstheme="minorHAnsi"/>
          <w:sz w:val="24"/>
        </w:rPr>
        <w:t>and</w:t>
      </w:r>
      <w:r w:rsidRPr="004E6649">
        <w:rPr>
          <w:rFonts w:eastAsia="Franklin Gothic Book" w:cstheme="minorHAnsi"/>
          <w:spacing w:val="-5"/>
          <w:sz w:val="24"/>
        </w:rPr>
        <w:t xml:space="preserve"> </w:t>
      </w:r>
      <w:r w:rsidRPr="004E6649">
        <w:rPr>
          <w:rFonts w:eastAsia="Franklin Gothic Book" w:cstheme="minorHAnsi"/>
          <w:sz w:val="24"/>
        </w:rPr>
        <w:t>infla</w:t>
      </w:r>
      <w:r w:rsidRPr="004E6649">
        <w:rPr>
          <w:rFonts w:eastAsia="Franklin Gothic Book" w:cstheme="minorHAnsi"/>
          <w:spacing w:val="1"/>
          <w:sz w:val="24"/>
        </w:rPr>
        <w:t>t</w:t>
      </w:r>
      <w:r w:rsidRPr="004E6649">
        <w:rPr>
          <w:rFonts w:eastAsia="Franklin Gothic Book" w:cstheme="minorHAnsi"/>
          <w:sz w:val="24"/>
        </w:rPr>
        <w:t>ion)</w:t>
      </w:r>
      <w:r w:rsidRPr="004E6649">
        <w:rPr>
          <w:rFonts w:eastAsia="Franklin Gothic Book" w:cstheme="minorHAnsi"/>
          <w:spacing w:val="-4"/>
          <w:sz w:val="24"/>
        </w:rPr>
        <w:t xml:space="preserve"> </w:t>
      </w:r>
      <w:r w:rsidRPr="004E6649">
        <w:rPr>
          <w:rFonts w:eastAsia="Franklin Gothic Book" w:cstheme="minorHAnsi"/>
          <w:sz w:val="24"/>
        </w:rPr>
        <w:t>a</w:t>
      </w:r>
      <w:r w:rsidRPr="004E6649">
        <w:rPr>
          <w:rFonts w:eastAsia="Franklin Gothic Book" w:cstheme="minorHAnsi"/>
          <w:spacing w:val="-1"/>
          <w:sz w:val="24"/>
        </w:rPr>
        <w:t>r</w:t>
      </w:r>
      <w:r w:rsidRPr="004E6649">
        <w:rPr>
          <w:rFonts w:eastAsia="Franklin Gothic Book" w:cstheme="minorHAnsi"/>
          <w:sz w:val="24"/>
        </w:rPr>
        <w:t>e</w:t>
      </w:r>
      <w:r w:rsidRPr="004E6649">
        <w:rPr>
          <w:rFonts w:eastAsia="Franklin Gothic Book" w:cstheme="minorHAnsi"/>
          <w:spacing w:val="-5"/>
          <w:sz w:val="24"/>
        </w:rPr>
        <w:t xml:space="preserve"> </w:t>
      </w:r>
      <w:r w:rsidRPr="004E6649">
        <w:rPr>
          <w:rFonts w:eastAsia="Franklin Gothic Book" w:cstheme="minorHAnsi"/>
          <w:sz w:val="24"/>
        </w:rPr>
        <w:t>de</w:t>
      </w:r>
      <w:r w:rsidRPr="004E6649">
        <w:rPr>
          <w:rFonts w:eastAsia="Franklin Gothic Book" w:cstheme="minorHAnsi"/>
          <w:spacing w:val="-2"/>
          <w:sz w:val="24"/>
        </w:rPr>
        <w:t>v</w:t>
      </w:r>
      <w:r w:rsidRPr="004E6649">
        <w:rPr>
          <w:rFonts w:eastAsia="Franklin Gothic Book" w:cstheme="minorHAnsi"/>
          <w:sz w:val="24"/>
        </w:rPr>
        <w:t>e</w:t>
      </w:r>
      <w:r w:rsidRPr="004E6649">
        <w:rPr>
          <w:rFonts w:eastAsia="Franklin Gothic Book" w:cstheme="minorHAnsi"/>
          <w:spacing w:val="-1"/>
          <w:sz w:val="24"/>
        </w:rPr>
        <w:t>l</w:t>
      </w:r>
      <w:r w:rsidRPr="004E6649">
        <w:rPr>
          <w:rFonts w:eastAsia="Franklin Gothic Book" w:cstheme="minorHAnsi"/>
          <w:sz w:val="24"/>
        </w:rPr>
        <w:t>o</w:t>
      </w:r>
      <w:r w:rsidRPr="004E6649">
        <w:rPr>
          <w:rFonts w:eastAsia="Franklin Gothic Book" w:cstheme="minorHAnsi"/>
          <w:spacing w:val="-2"/>
          <w:sz w:val="24"/>
        </w:rPr>
        <w:t>p</w:t>
      </w:r>
      <w:r w:rsidRPr="004E6649">
        <w:rPr>
          <w:rFonts w:eastAsia="Franklin Gothic Book" w:cstheme="minorHAnsi"/>
          <w:sz w:val="24"/>
        </w:rPr>
        <w:t>ed</w:t>
      </w:r>
      <w:r w:rsidRPr="004E6649">
        <w:rPr>
          <w:rFonts w:eastAsia="Franklin Gothic Book" w:cstheme="minorHAnsi"/>
          <w:spacing w:val="-2"/>
          <w:sz w:val="24"/>
        </w:rPr>
        <w:t xml:space="preserve"> </w:t>
      </w:r>
      <w:r w:rsidRPr="004E6649">
        <w:rPr>
          <w:rFonts w:eastAsia="Franklin Gothic Book" w:cstheme="minorHAnsi"/>
          <w:sz w:val="24"/>
        </w:rPr>
        <w:t>for</w:t>
      </w:r>
      <w:r w:rsidRPr="004E6649">
        <w:rPr>
          <w:rFonts w:eastAsia="Franklin Gothic Book" w:cstheme="minorHAnsi"/>
          <w:spacing w:val="-5"/>
          <w:sz w:val="24"/>
        </w:rPr>
        <w:t xml:space="preserve"> </w:t>
      </w:r>
      <w:r w:rsidRPr="004E6649">
        <w:rPr>
          <w:rFonts w:eastAsia="Franklin Gothic Book" w:cstheme="minorHAnsi"/>
          <w:sz w:val="24"/>
        </w:rPr>
        <w:t>each</w:t>
      </w:r>
      <w:r w:rsidRPr="004E6649">
        <w:rPr>
          <w:rFonts w:eastAsia="Franklin Gothic Book" w:cstheme="minorHAnsi"/>
          <w:spacing w:val="-2"/>
          <w:sz w:val="24"/>
        </w:rPr>
        <w:t xml:space="preserve"> </w:t>
      </w:r>
      <w:r w:rsidRPr="004E6649">
        <w:rPr>
          <w:rFonts w:eastAsia="Franklin Gothic Book" w:cstheme="minorHAnsi"/>
          <w:sz w:val="24"/>
        </w:rPr>
        <w:t>major</w:t>
      </w:r>
      <w:r w:rsidRPr="004E6649">
        <w:rPr>
          <w:rFonts w:eastAsia="Franklin Gothic Book" w:cstheme="minorHAnsi"/>
          <w:spacing w:val="-6"/>
          <w:sz w:val="24"/>
        </w:rPr>
        <w:t xml:space="preserve"> </w:t>
      </w:r>
      <w:r w:rsidRPr="004E6649">
        <w:rPr>
          <w:rFonts w:eastAsia="Franklin Gothic Book" w:cstheme="minorHAnsi"/>
          <w:sz w:val="24"/>
        </w:rPr>
        <w:t>a</w:t>
      </w:r>
      <w:r w:rsidRPr="004E6649">
        <w:rPr>
          <w:rFonts w:eastAsia="Franklin Gothic Book" w:cstheme="minorHAnsi"/>
          <w:spacing w:val="1"/>
          <w:sz w:val="24"/>
        </w:rPr>
        <w:t>ss</w:t>
      </w:r>
      <w:r w:rsidRPr="004E6649">
        <w:rPr>
          <w:rFonts w:eastAsia="Franklin Gothic Book" w:cstheme="minorHAnsi"/>
          <w:sz w:val="24"/>
        </w:rPr>
        <w:t>et</w:t>
      </w:r>
      <w:r w:rsidRPr="004E6649">
        <w:rPr>
          <w:rFonts w:eastAsia="Franklin Gothic Book" w:cstheme="minorHAnsi"/>
          <w:spacing w:val="-1"/>
          <w:sz w:val="24"/>
        </w:rPr>
        <w:t xml:space="preserve"> </w:t>
      </w:r>
      <w:r w:rsidRPr="004E6649">
        <w:rPr>
          <w:rFonts w:eastAsia="Franklin Gothic Book" w:cstheme="minorHAnsi"/>
          <w:sz w:val="24"/>
        </w:rPr>
        <w:t>cla</w:t>
      </w:r>
      <w:r w:rsidRPr="004E6649">
        <w:rPr>
          <w:rFonts w:eastAsia="Franklin Gothic Book" w:cstheme="minorHAnsi"/>
          <w:spacing w:val="1"/>
          <w:sz w:val="24"/>
        </w:rPr>
        <w:t>ss</w:t>
      </w:r>
      <w:r w:rsidRPr="004E6649">
        <w:rPr>
          <w:rFonts w:eastAsia="Franklin Gothic Book" w:cstheme="minorHAnsi"/>
          <w:sz w:val="24"/>
        </w:rPr>
        <w:t>.</w:t>
      </w:r>
      <w:r w:rsidRPr="004E6649">
        <w:rPr>
          <w:rFonts w:eastAsia="Franklin Gothic Book" w:cstheme="minorHAnsi"/>
          <w:spacing w:val="41"/>
          <w:sz w:val="24"/>
        </w:rPr>
        <w:t xml:space="preserve"> </w:t>
      </w:r>
      <w:r w:rsidRPr="004E6649">
        <w:rPr>
          <w:rFonts w:eastAsia="Franklin Gothic Book" w:cstheme="minorHAnsi"/>
          <w:spacing w:val="-1"/>
          <w:sz w:val="24"/>
        </w:rPr>
        <w:t>T</w:t>
      </w:r>
      <w:r w:rsidRPr="004E6649">
        <w:rPr>
          <w:rFonts w:eastAsia="Franklin Gothic Book" w:cstheme="minorHAnsi"/>
          <w:sz w:val="24"/>
        </w:rPr>
        <w:t>hese</w:t>
      </w:r>
      <w:r w:rsidRPr="004E6649">
        <w:rPr>
          <w:rFonts w:eastAsia="Franklin Gothic Book" w:cstheme="minorHAnsi"/>
          <w:spacing w:val="-3"/>
          <w:sz w:val="24"/>
        </w:rPr>
        <w:t xml:space="preserve"> </w:t>
      </w:r>
      <w:r w:rsidRPr="004E6649">
        <w:rPr>
          <w:rFonts w:eastAsia="Franklin Gothic Book" w:cstheme="minorHAnsi"/>
          <w:spacing w:val="-1"/>
          <w:sz w:val="24"/>
        </w:rPr>
        <w:t>r</w:t>
      </w:r>
      <w:r w:rsidRPr="004E6649">
        <w:rPr>
          <w:rFonts w:eastAsia="Franklin Gothic Book" w:cstheme="minorHAnsi"/>
          <w:sz w:val="24"/>
        </w:rPr>
        <w:t>anges</w:t>
      </w:r>
      <w:r w:rsidRPr="004E6649">
        <w:rPr>
          <w:rFonts w:eastAsia="Franklin Gothic Book" w:cstheme="minorHAnsi"/>
          <w:spacing w:val="-3"/>
          <w:sz w:val="24"/>
        </w:rPr>
        <w:t xml:space="preserve"> </w:t>
      </w:r>
      <w:r w:rsidRPr="004E6649">
        <w:rPr>
          <w:rFonts w:eastAsia="Franklin Gothic Book" w:cstheme="minorHAnsi"/>
          <w:sz w:val="24"/>
        </w:rPr>
        <w:t>a</w:t>
      </w:r>
      <w:r w:rsidRPr="004E6649">
        <w:rPr>
          <w:rFonts w:eastAsia="Franklin Gothic Book" w:cstheme="minorHAnsi"/>
          <w:spacing w:val="-1"/>
          <w:sz w:val="24"/>
        </w:rPr>
        <w:t>r</w:t>
      </w:r>
      <w:r w:rsidRPr="004E6649">
        <w:rPr>
          <w:rFonts w:eastAsia="Franklin Gothic Book" w:cstheme="minorHAnsi"/>
          <w:sz w:val="24"/>
        </w:rPr>
        <w:t>e</w:t>
      </w:r>
      <w:r w:rsidRPr="004E6649">
        <w:rPr>
          <w:rFonts w:eastAsia="Franklin Gothic Book" w:cstheme="minorHAnsi"/>
          <w:w w:val="99"/>
          <w:sz w:val="24"/>
        </w:rPr>
        <w:t xml:space="preserve"> </w:t>
      </w:r>
      <w:r w:rsidRPr="004E6649">
        <w:rPr>
          <w:rFonts w:eastAsia="Franklin Gothic Book" w:cstheme="minorHAnsi"/>
          <w:sz w:val="24"/>
        </w:rPr>
        <w:t>combined</w:t>
      </w:r>
      <w:r w:rsidRPr="004E6649">
        <w:rPr>
          <w:rFonts w:eastAsia="Franklin Gothic Book" w:cstheme="minorHAnsi"/>
          <w:spacing w:val="15"/>
          <w:sz w:val="24"/>
        </w:rPr>
        <w:t xml:space="preserve"> </w:t>
      </w:r>
      <w:r w:rsidRPr="004E6649">
        <w:rPr>
          <w:rFonts w:eastAsia="Franklin Gothic Book" w:cstheme="minorHAnsi"/>
          <w:spacing w:val="1"/>
          <w:sz w:val="24"/>
        </w:rPr>
        <w:t>t</w:t>
      </w:r>
      <w:r w:rsidRPr="004E6649">
        <w:rPr>
          <w:rFonts w:eastAsia="Franklin Gothic Book" w:cstheme="minorHAnsi"/>
          <w:sz w:val="24"/>
        </w:rPr>
        <w:t>o</w:t>
      </w:r>
      <w:r w:rsidRPr="004E6649">
        <w:rPr>
          <w:rFonts w:eastAsia="Franklin Gothic Book" w:cstheme="minorHAnsi"/>
          <w:spacing w:val="14"/>
          <w:sz w:val="24"/>
        </w:rPr>
        <w:t xml:space="preserve"> </w:t>
      </w:r>
      <w:r w:rsidRPr="004E6649">
        <w:rPr>
          <w:rFonts w:eastAsia="Franklin Gothic Book" w:cstheme="minorHAnsi"/>
          <w:spacing w:val="-1"/>
          <w:sz w:val="24"/>
        </w:rPr>
        <w:t>pr</w:t>
      </w:r>
      <w:r w:rsidRPr="004E6649">
        <w:rPr>
          <w:rFonts w:eastAsia="Franklin Gothic Book" w:cstheme="minorHAnsi"/>
          <w:sz w:val="24"/>
        </w:rPr>
        <w:t>odu</w:t>
      </w:r>
      <w:r w:rsidRPr="004E6649">
        <w:rPr>
          <w:rFonts w:eastAsia="Franklin Gothic Book" w:cstheme="minorHAnsi"/>
          <w:spacing w:val="1"/>
          <w:sz w:val="24"/>
        </w:rPr>
        <w:t>c</w:t>
      </w:r>
      <w:r w:rsidRPr="004E6649">
        <w:rPr>
          <w:rFonts w:eastAsia="Franklin Gothic Book" w:cstheme="minorHAnsi"/>
          <w:sz w:val="24"/>
        </w:rPr>
        <w:t>e</w:t>
      </w:r>
      <w:r w:rsidRPr="004E6649">
        <w:rPr>
          <w:rFonts w:eastAsia="Franklin Gothic Book" w:cstheme="minorHAnsi"/>
          <w:spacing w:val="16"/>
          <w:sz w:val="24"/>
        </w:rPr>
        <w:t xml:space="preserve"> </w:t>
      </w:r>
      <w:r w:rsidRPr="004E6649">
        <w:rPr>
          <w:rFonts w:eastAsia="Franklin Gothic Book" w:cstheme="minorHAnsi"/>
          <w:sz w:val="24"/>
        </w:rPr>
        <w:t>the</w:t>
      </w:r>
      <w:r w:rsidRPr="004E6649">
        <w:rPr>
          <w:rFonts w:eastAsia="Franklin Gothic Book" w:cstheme="minorHAnsi"/>
          <w:spacing w:val="15"/>
          <w:sz w:val="24"/>
        </w:rPr>
        <w:t xml:space="preserve"> </w:t>
      </w:r>
      <w:r w:rsidRPr="004E6649">
        <w:rPr>
          <w:rFonts w:eastAsia="Franklin Gothic Book" w:cstheme="minorHAnsi"/>
          <w:sz w:val="24"/>
        </w:rPr>
        <w:t>l</w:t>
      </w:r>
      <w:r w:rsidRPr="004E6649">
        <w:rPr>
          <w:rFonts w:eastAsia="Franklin Gothic Book" w:cstheme="minorHAnsi"/>
          <w:spacing w:val="-1"/>
          <w:sz w:val="24"/>
        </w:rPr>
        <w:t>o</w:t>
      </w:r>
      <w:r w:rsidRPr="004E6649">
        <w:rPr>
          <w:rFonts w:eastAsia="Franklin Gothic Book" w:cstheme="minorHAnsi"/>
          <w:sz w:val="24"/>
        </w:rPr>
        <w:t>ng-te</w:t>
      </w:r>
      <w:r w:rsidRPr="004E6649">
        <w:rPr>
          <w:rFonts w:eastAsia="Franklin Gothic Book" w:cstheme="minorHAnsi"/>
          <w:spacing w:val="-2"/>
          <w:sz w:val="24"/>
        </w:rPr>
        <w:t>r</w:t>
      </w:r>
      <w:r w:rsidRPr="004E6649">
        <w:rPr>
          <w:rFonts w:eastAsia="Franklin Gothic Book" w:cstheme="minorHAnsi"/>
          <w:sz w:val="24"/>
        </w:rPr>
        <w:t>m</w:t>
      </w:r>
      <w:r w:rsidRPr="004E6649">
        <w:rPr>
          <w:rFonts w:eastAsia="Franklin Gothic Book" w:cstheme="minorHAnsi"/>
          <w:spacing w:val="19"/>
          <w:sz w:val="24"/>
        </w:rPr>
        <w:t xml:space="preserve"> </w:t>
      </w:r>
      <w:r w:rsidRPr="004E6649">
        <w:rPr>
          <w:rFonts w:eastAsia="Franklin Gothic Book" w:cstheme="minorHAnsi"/>
          <w:sz w:val="24"/>
        </w:rPr>
        <w:t>e</w:t>
      </w:r>
      <w:r w:rsidRPr="004E6649">
        <w:rPr>
          <w:rFonts w:eastAsia="Franklin Gothic Book" w:cstheme="minorHAnsi"/>
          <w:spacing w:val="-1"/>
          <w:sz w:val="24"/>
        </w:rPr>
        <w:t>xp</w:t>
      </w:r>
      <w:r w:rsidRPr="004E6649">
        <w:rPr>
          <w:rFonts w:eastAsia="Franklin Gothic Book" w:cstheme="minorHAnsi"/>
          <w:sz w:val="24"/>
        </w:rPr>
        <w:t>ec</w:t>
      </w:r>
      <w:r w:rsidRPr="004E6649">
        <w:rPr>
          <w:rFonts w:eastAsia="Franklin Gothic Book" w:cstheme="minorHAnsi"/>
          <w:spacing w:val="1"/>
          <w:sz w:val="24"/>
        </w:rPr>
        <w:t>t</w:t>
      </w:r>
      <w:r w:rsidRPr="004E6649">
        <w:rPr>
          <w:rFonts w:eastAsia="Franklin Gothic Book" w:cstheme="minorHAnsi"/>
          <w:sz w:val="24"/>
        </w:rPr>
        <w:t>ed</w:t>
      </w:r>
      <w:r w:rsidRPr="004E6649">
        <w:rPr>
          <w:rFonts w:eastAsia="Franklin Gothic Book" w:cstheme="minorHAnsi"/>
          <w:spacing w:val="15"/>
          <w:sz w:val="24"/>
        </w:rPr>
        <w:t xml:space="preserve"> </w:t>
      </w:r>
      <w:r w:rsidRPr="004E6649">
        <w:rPr>
          <w:rFonts w:eastAsia="Franklin Gothic Book" w:cstheme="minorHAnsi"/>
          <w:spacing w:val="-1"/>
          <w:sz w:val="24"/>
        </w:rPr>
        <w:t>r</w:t>
      </w:r>
      <w:r w:rsidRPr="004E6649">
        <w:rPr>
          <w:rFonts w:eastAsia="Franklin Gothic Book" w:cstheme="minorHAnsi"/>
          <w:sz w:val="24"/>
        </w:rPr>
        <w:t>a</w:t>
      </w:r>
      <w:r w:rsidRPr="004E6649">
        <w:rPr>
          <w:rFonts w:eastAsia="Franklin Gothic Book" w:cstheme="minorHAnsi"/>
          <w:spacing w:val="1"/>
          <w:sz w:val="24"/>
        </w:rPr>
        <w:t>t</w:t>
      </w:r>
      <w:r w:rsidRPr="004E6649">
        <w:rPr>
          <w:rFonts w:eastAsia="Franklin Gothic Book" w:cstheme="minorHAnsi"/>
          <w:sz w:val="24"/>
        </w:rPr>
        <w:t>e</w:t>
      </w:r>
      <w:r w:rsidRPr="004E6649">
        <w:rPr>
          <w:rFonts w:eastAsia="Franklin Gothic Book" w:cstheme="minorHAnsi"/>
          <w:spacing w:val="16"/>
          <w:sz w:val="24"/>
        </w:rPr>
        <w:t xml:space="preserve"> </w:t>
      </w:r>
      <w:r w:rsidRPr="004E6649">
        <w:rPr>
          <w:rFonts w:eastAsia="Franklin Gothic Book" w:cstheme="minorHAnsi"/>
          <w:spacing w:val="-1"/>
          <w:sz w:val="24"/>
        </w:rPr>
        <w:t>o</w:t>
      </w:r>
      <w:r w:rsidRPr="004E6649">
        <w:rPr>
          <w:rFonts w:eastAsia="Franklin Gothic Book" w:cstheme="minorHAnsi"/>
          <w:sz w:val="24"/>
        </w:rPr>
        <w:t>f</w:t>
      </w:r>
      <w:r w:rsidRPr="004E6649">
        <w:rPr>
          <w:rFonts w:eastAsia="Franklin Gothic Book" w:cstheme="minorHAnsi"/>
          <w:spacing w:val="15"/>
          <w:sz w:val="24"/>
        </w:rPr>
        <w:t xml:space="preserve"> </w:t>
      </w:r>
      <w:r w:rsidRPr="004E6649">
        <w:rPr>
          <w:rFonts w:eastAsia="Franklin Gothic Book" w:cstheme="minorHAnsi"/>
          <w:spacing w:val="-1"/>
          <w:sz w:val="24"/>
        </w:rPr>
        <w:t>r</w:t>
      </w:r>
      <w:r w:rsidRPr="004E6649">
        <w:rPr>
          <w:rFonts w:eastAsia="Franklin Gothic Book" w:cstheme="minorHAnsi"/>
          <w:sz w:val="24"/>
        </w:rPr>
        <w:t>eturn</w:t>
      </w:r>
      <w:r w:rsidRPr="004E6649">
        <w:rPr>
          <w:rFonts w:eastAsia="Franklin Gothic Book" w:cstheme="minorHAnsi"/>
          <w:spacing w:val="17"/>
          <w:sz w:val="24"/>
        </w:rPr>
        <w:t xml:space="preserve"> </w:t>
      </w:r>
      <w:r w:rsidRPr="004E6649">
        <w:rPr>
          <w:rFonts w:eastAsia="Franklin Gothic Book" w:cstheme="minorHAnsi"/>
          <w:spacing w:val="1"/>
          <w:sz w:val="24"/>
        </w:rPr>
        <w:t>b</w:t>
      </w:r>
      <w:r w:rsidRPr="004E6649">
        <w:rPr>
          <w:rFonts w:eastAsia="Franklin Gothic Book" w:cstheme="minorHAnsi"/>
          <w:sz w:val="24"/>
        </w:rPr>
        <w:t>y</w:t>
      </w:r>
      <w:r w:rsidRPr="004E6649">
        <w:rPr>
          <w:rFonts w:eastAsia="Franklin Gothic Book" w:cstheme="minorHAnsi"/>
          <w:spacing w:val="13"/>
          <w:sz w:val="24"/>
        </w:rPr>
        <w:t xml:space="preserve"> </w:t>
      </w:r>
      <w:r w:rsidRPr="004E6649">
        <w:rPr>
          <w:rFonts w:eastAsia="Franklin Gothic Book" w:cstheme="minorHAnsi"/>
          <w:sz w:val="24"/>
        </w:rPr>
        <w:t>w</w:t>
      </w:r>
      <w:r w:rsidRPr="004E6649">
        <w:rPr>
          <w:rFonts w:eastAsia="Franklin Gothic Book" w:cstheme="minorHAnsi"/>
          <w:spacing w:val="-1"/>
          <w:sz w:val="24"/>
        </w:rPr>
        <w:t>e</w:t>
      </w:r>
      <w:r w:rsidRPr="004E6649">
        <w:rPr>
          <w:rFonts w:eastAsia="Franklin Gothic Book" w:cstheme="minorHAnsi"/>
          <w:sz w:val="24"/>
        </w:rPr>
        <w:t>ighting</w:t>
      </w:r>
      <w:r w:rsidRPr="004E6649">
        <w:rPr>
          <w:rFonts w:eastAsia="Franklin Gothic Book" w:cstheme="minorHAnsi"/>
          <w:spacing w:val="18"/>
          <w:sz w:val="24"/>
        </w:rPr>
        <w:t xml:space="preserve"> </w:t>
      </w:r>
      <w:r w:rsidRPr="004E6649">
        <w:rPr>
          <w:rFonts w:eastAsia="Franklin Gothic Book" w:cstheme="minorHAnsi"/>
          <w:sz w:val="24"/>
        </w:rPr>
        <w:t>the</w:t>
      </w:r>
      <w:r w:rsidRPr="004E6649">
        <w:rPr>
          <w:rFonts w:eastAsia="Franklin Gothic Book" w:cstheme="minorHAnsi"/>
          <w:spacing w:val="14"/>
          <w:sz w:val="24"/>
        </w:rPr>
        <w:t xml:space="preserve"> </w:t>
      </w:r>
      <w:r w:rsidRPr="004E6649">
        <w:rPr>
          <w:rFonts w:eastAsia="Franklin Gothic Book" w:cstheme="minorHAnsi"/>
          <w:sz w:val="24"/>
        </w:rPr>
        <w:t>e</w:t>
      </w:r>
      <w:r w:rsidRPr="004E6649">
        <w:rPr>
          <w:rFonts w:eastAsia="Franklin Gothic Book" w:cstheme="minorHAnsi"/>
          <w:spacing w:val="-1"/>
          <w:sz w:val="24"/>
        </w:rPr>
        <w:t>xp</w:t>
      </w:r>
      <w:r w:rsidRPr="004E6649">
        <w:rPr>
          <w:rFonts w:eastAsia="Franklin Gothic Book" w:cstheme="minorHAnsi"/>
          <w:sz w:val="24"/>
        </w:rPr>
        <w:t>ec</w:t>
      </w:r>
      <w:r w:rsidRPr="004E6649">
        <w:rPr>
          <w:rFonts w:eastAsia="Franklin Gothic Book" w:cstheme="minorHAnsi"/>
          <w:spacing w:val="1"/>
          <w:sz w:val="24"/>
        </w:rPr>
        <w:t>t</w:t>
      </w:r>
      <w:r w:rsidRPr="004E6649">
        <w:rPr>
          <w:rFonts w:eastAsia="Franklin Gothic Book" w:cstheme="minorHAnsi"/>
          <w:sz w:val="24"/>
        </w:rPr>
        <w:t>ed</w:t>
      </w:r>
      <w:r w:rsidRPr="004E6649">
        <w:rPr>
          <w:rFonts w:eastAsia="Franklin Gothic Book" w:cstheme="minorHAnsi"/>
          <w:spacing w:val="18"/>
          <w:sz w:val="24"/>
        </w:rPr>
        <w:t xml:space="preserve"> </w:t>
      </w:r>
      <w:r w:rsidRPr="004E6649">
        <w:rPr>
          <w:rFonts w:eastAsia="Franklin Gothic Book" w:cstheme="minorHAnsi"/>
          <w:sz w:val="24"/>
        </w:rPr>
        <w:t>fu</w:t>
      </w:r>
      <w:r w:rsidRPr="004E6649">
        <w:rPr>
          <w:rFonts w:eastAsia="Franklin Gothic Book" w:cstheme="minorHAnsi"/>
          <w:spacing w:val="1"/>
          <w:sz w:val="24"/>
        </w:rPr>
        <w:t>t</w:t>
      </w:r>
      <w:r w:rsidRPr="004E6649">
        <w:rPr>
          <w:rFonts w:eastAsia="Franklin Gothic Book" w:cstheme="minorHAnsi"/>
          <w:sz w:val="24"/>
        </w:rPr>
        <w:t>u</w:t>
      </w:r>
      <w:r w:rsidRPr="004E6649">
        <w:rPr>
          <w:rFonts w:eastAsia="Franklin Gothic Book" w:cstheme="minorHAnsi"/>
          <w:spacing w:val="-1"/>
          <w:sz w:val="24"/>
        </w:rPr>
        <w:t>r</w:t>
      </w:r>
      <w:r w:rsidRPr="004E6649">
        <w:rPr>
          <w:rFonts w:eastAsia="Franklin Gothic Book" w:cstheme="minorHAnsi"/>
          <w:sz w:val="24"/>
        </w:rPr>
        <w:t>e</w:t>
      </w:r>
      <w:r w:rsidRPr="004E6649">
        <w:rPr>
          <w:rFonts w:eastAsia="Franklin Gothic Book" w:cstheme="minorHAnsi"/>
          <w:spacing w:val="14"/>
          <w:sz w:val="24"/>
        </w:rPr>
        <w:t xml:space="preserve"> </w:t>
      </w:r>
      <w:r w:rsidRPr="004E6649">
        <w:rPr>
          <w:rFonts w:eastAsia="Franklin Gothic Book" w:cstheme="minorHAnsi"/>
          <w:spacing w:val="-1"/>
          <w:sz w:val="24"/>
        </w:rPr>
        <w:t>r</w:t>
      </w:r>
      <w:r w:rsidRPr="004E6649">
        <w:rPr>
          <w:rFonts w:eastAsia="Franklin Gothic Book" w:cstheme="minorHAnsi"/>
          <w:sz w:val="24"/>
        </w:rPr>
        <w:t>eal</w:t>
      </w:r>
      <w:r w:rsidRPr="004E6649">
        <w:rPr>
          <w:rFonts w:eastAsia="Franklin Gothic Book" w:cstheme="minorHAnsi"/>
          <w:spacing w:val="17"/>
          <w:sz w:val="24"/>
        </w:rPr>
        <w:t xml:space="preserve"> </w:t>
      </w:r>
      <w:r w:rsidRPr="004E6649">
        <w:rPr>
          <w:rFonts w:eastAsia="Franklin Gothic Book" w:cstheme="minorHAnsi"/>
          <w:spacing w:val="-1"/>
          <w:sz w:val="24"/>
        </w:rPr>
        <w:t>r</w:t>
      </w:r>
      <w:r w:rsidRPr="004E6649">
        <w:rPr>
          <w:rFonts w:eastAsia="Franklin Gothic Book" w:cstheme="minorHAnsi"/>
          <w:sz w:val="24"/>
        </w:rPr>
        <w:t>a</w:t>
      </w:r>
      <w:r w:rsidRPr="004E6649">
        <w:rPr>
          <w:rFonts w:eastAsia="Franklin Gothic Book" w:cstheme="minorHAnsi"/>
          <w:spacing w:val="1"/>
          <w:sz w:val="24"/>
        </w:rPr>
        <w:t>t</w:t>
      </w:r>
      <w:r w:rsidRPr="004E6649">
        <w:rPr>
          <w:rFonts w:eastAsia="Franklin Gothic Book" w:cstheme="minorHAnsi"/>
          <w:sz w:val="24"/>
        </w:rPr>
        <w:t>es</w:t>
      </w:r>
      <w:r w:rsidRPr="004E6649">
        <w:rPr>
          <w:rFonts w:eastAsia="Franklin Gothic Book" w:cstheme="minorHAnsi"/>
          <w:spacing w:val="15"/>
          <w:sz w:val="24"/>
        </w:rPr>
        <w:t xml:space="preserve"> </w:t>
      </w:r>
      <w:r w:rsidRPr="004E6649">
        <w:rPr>
          <w:rFonts w:eastAsia="Franklin Gothic Book" w:cstheme="minorHAnsi"/>
          <w:spacing w:val="-1"/>
          <w:sz w:val="24"/>
        </w:rPr>
        <w:t>of</w:t>
      </w:r>
      <w:r w:rsidRPr="004E6649">
        <w:rPr>
          <w:rFonts w:eastAsia="Franklin Gothic Book" w:cstheme="minorHAnsi"/>
          <w:spacing w:val="-1"/>
          <w:w w:val="99"/>
          <w:sz w:val="24"/>
        </w:rPr>
        <w:t xml:space="preserve"> </w:t>
      </w:r>
      <w:r w:rsidRPr="004E6649">
        <w:rPr>
          <w:rFonts w:eastAsia="Franklin Gothic Book" w:cstheme="minorHAnsi"/>
          <w:spacing w:val="-1"/>
          <w:sz w:val="24"/>
        </w:rPr>
        <w:t>r</w:t>
      </w:r>
      <w:r w:rsidRPr="004E6649">
        <w:rPr>
          <w:rFonts w:eastAsia="Franklin Gothic Book" w:cstheme="minorHAnsi"/>
          <w:sz w:val="24"/>
        </w:rPr>
        <w:t>eturn</w:t>
      </w:r>
      <w:r w:rsidRPr="004E6649">
        <w:rPr>
          <w:rFonts w:eastAsia="Franklin Gothic Book" w:cstheme="minorHAnsi"/>
          <w:spacing w:val="45"/>
          <w:sz w:val="24"/>
        </w:rPr>
        <w:t xml:space="preserve"> </w:t>
      </w:r>
      <w:r w:rsidRPr="004E6649">
        <w:rPr>
          <w:rFonts w:eastAsia="Franklin Gothic Book" w:cstheme="minorHAnsi"/>
          <w:spacing w:val="1"/>
          <w:sz w:val="24"/>
        </w:rPr>
        <w:t>b</w:t>
      </w:r>
      <w:r w:rsidRPr="004E6649">
        <w:rPr>
          <w:rFonts w:eastAsia="Franklin Gothic Book" w:cstheme="minorHAnsi"/>
          <w:sz w:val="24"/>
        </w:rPr>
        <w:t>y</w:t>
      </w:r>
      <w:r w:rsidRPr="004E6649">
        <w:rPr>
          <w:rFonts w:eastAsia="Franklin Gothic Book" w:cstheme="minorHAnsi"/>
          <w:spacing w:val="44"/>
          <w:sz w:val="24"/>
        </w:rPr>
        <w:t xml:space="preserve"> </w:t>
      </w:r>
      <w:r w:rsidRPr="004E6649">
        <w:rPr>
          <w:rFonts w:eastAsia="Franklin Gothic Book" w:cstheme="minorHAnsi"/>
          <w:sz w:val="24"/>
        </w:rPr>
        <w:t>the</w:t>
      </w:r>
      <w:r w:rsidRPr="004E6649">
        <w:rPr>
          <w:rFonts w:eastAsia="Franklin Gothic Book" w:cstheme="minorHAnsi"/>
          <w:spacing w:val="46"/>
          <w:sz w:val="24"/>
        </w:rPr>
        <w:t xml:space="preserve"> </w:t>
      </w:r>
      <w:r w:rsidRPr="004E6649">
        <w:rPr>
          <w:rFonts w:eastAsia="Franklin Gothic Book" w:cstheme="minorHAnsi"/>
          <w:sz w:val="24"/>
        </w:rPr>
        <w:t>ta</w:t>
      </w:r>
      <w:r w:rsidRPr="004E6649">
        <w:rPr>
          <w:rFonts w:eastAsia="Franklin Gothic Book" w:cstheme="minorHAnsi"/>
          <w:spacing w:val="-1"/>
          <w:sz w:val="24"/>
        </w:rPr>
        <w:t>r</w:t>
      </w:r>
      <w:r w:rsidRPr="004E6649">
        <w:rPr>
          <w:rFonts w:eastAsia="Franklin Gothic Book" w:cstheme="minorHAnsi"/>
          <w:sz w:val="24"/>
        </w:rPr>
        <w:t>get</w:t>
      </w:r>
      <w:r w:rsidRPr="004E6649">
        <w:rPr>
          <w:rFonts w:eastAsia="Franklin Gothic Book" w:cstheme="minorHAnsi"/>
          <w:spacing w:val="47"/>
          <w:sz w:val="24"/>
        </w:rPr>
        <w:t xml:space="preserve"> </w:t>
      </w:r>
      <w:r w:rsidRPr="004E6649">
        <w:rPr>
          <w:rFonts w:eastAsia="Franklin Gothic Book" w:cstheme="minorHAnsi"/>
          <w:sz w:val="24"/>
        </w:rPr>
        <w:t>a</w:t>
      </w:r>
      <w:r w:rsidRPr="004E6649">
        <w:rPr>
          <w:rFonts w:eastAsia="Franklin Gothic Book" w:cstheme="minorHAnsi"/>
          <w:spacing w:val="1"/>
          <w:sz w:val="24"/>
        </w:rPr>
        <w:t>ss</w:t>
      </w:r>
      <w:r w:rsidRPr="004E6649">
        <w:rPr>
          <w:rFonts w:eastAsia="Franklin Gothic Book" w:cstheme="minorHAnsi"/>
          <w:sz w:val="24"/>
        </w:rPr>
        <w:t>et</w:t>
      </w:r>
      <w:r w:rsidRPr="004E6649">
        <w:rPr>
          <w:rFonts w:eastAsia="Franklin Gothic Book" w:cstheme="minorHAnsi"/>
          <w:spacing w:val="46"/>
          <w:sz w:val="24"/>
        </w:rPr>
        <w:t xml:space="preserve"> </w:t>
      </w:r>
      <w:r w:rsidRPr="004E6649">
        <w:rPr>
          <w:rFonts w:eastAsia="Franklin Gothic Book" w:cstheme="minorHAnsi"/>
          <w:sz w:val="24"/>
        </w:rPr>
        <w:t>alloca</w:t>
      </w:r>
      <w:r w:rsidRPr="004E6649">
        <w:rPr>
          <w:rFonts w:eastAsia="Franklin Gothic Book" w:cstheme="minorHAnsi"/>
          <w:spacing w:val="1"/>
          <w:sz w:val="24"/>
        </w:rPr>
        <w:t>t</w:t>
      </w:r>
      <w:r w:rsidRPr="004E6649">
        <w:rPr>
          <w:rFonts w:eastAsia="Franklin Gothic Book" w:cstheme="minorHAnsi"/>
          <w:sz w:val="24"/>
        </w:rPr>
        <w:t>ion</w:t>
      </w:r>
      <w:r w:rsidRPr="004E6649">
        <w:rPr>
          <w:rFonts w:eastAsia="Franklin Gothic Book" w:cstheme="minorHAnsi"/>
          <w:b/>
          <w:i/>
          <w:sz w:val="24"/>
        </w:rPr>
        <w:t xml:space="preserve"> </w:t>
      </w:r>
      <w:r w:rsidRPr="004E6649">
        <w:rPr>
          <w:rFonts w:eastAsia="Franklin Gothic Book" w:cstheme="minorHAnsi"/>
          <w:spacing w:val="-1"/>
          <w:sz w:val="24"/>
        </w:rPr>
        <w:t>p</w:t>
      </w:r>
      <w:r w:rsidRPr="004E6649">
        <w:rPr>
          <w:rFonts w:eastAsia="Franklin Gothic Book" w:cstheme="minorHAnsi"/>
          <w:sz w:val="24"/>
        </w:rPr>
        <w:t>e</w:t>
      </w:r>
      <w:r w:rsidRPr="004E6649">
        <w:rPr>
          <w:rFonts w:eastAsia="Franklin Gothic Book" w:cstheme="minorHAnsi"/>
          <w:spacing w:val="-2"/>
          <w:sz w:val="24"/>
        </w:rPr>
        <w:t>r</w:t>
      </w:r>
      <w:r w:rsidRPr="004E6649">
        <w:rPr>
          <w:rFonts w:eastAsia="Franklin Gothic Book" w:cstheme="minorHAnsi"/>
          <w:sz w:val="24"/>
        </w:rPr>
        <w:t>centage</w:t>
      </w:r>
      <w:r w:rsidRPr="004E6649">
        <w:rPr>
          <w:rFonts w:eastAsia="Franklin Gothic Book" w:cstheme="minorHAnsi"/>
          <w:spacing w:val="46"/>
          <w:sz w:val="24"/>
        </w:rPr>
        <w:t xml:space="preserve"> </w:t>
      </w:r>
      <w:r w:rsidRPr="004E6649">
        <w:rPr>
          <w:rFonts w:eastAsia="Franklin Gothic Book" w:cstheme="minorHAnsi"/>
          <w:sz w:val="24"/>
        </w:rPr>
        <w:t>and</w:t>
      </w:r>
      <w:r w:rsidRPr="004E6649">
        <w:rPr>
          <w:rFonts w:eastAsia="Franklin Gothic Book" w:cstheme="minorHAnsi"/>
          <w:spacing w:val="46"/>
          <w:sz w:val="24"/>
        </w:rPr>
        <w:t xml:space="preserve"> </w:t>
      </w:r>
      <w:r w:rsidRPr="004E6649">
        <w:rPr>
          <w:rFonts w:eastAsia="Franklin Gothic Book" w:cstheme="minorHAnsi"/>
          <w:spacing w:val="1"/>
          <w:sz w:val="24"/>
        </w:rPr>
        <w:t>b</w:t>
      </w:r>
      <w:r w:rsidRPr="004E6649">
        <w:rPr>
          <w:rFonts w:eastAsia="Franklin Gothic Book" w:cstheme="minorHAnsi"/>
          <w:sz w:val="24"/>
        </w:rPr>
        <w:t>y</w:t>
      </w:r>
      <w:r w:rsidRPr="004E6649">
        <w:rPr>
          <w:rFonts w:eastAsia="Franklin Gothic Book" w:cstheme="minorHAnsi"/>
          <w:spacing w:val="44"/>
          <w:sz w:val="24"/>
        </w:rPr>
        <w:t xml:space="preserve"> </w:t>
      </w:r>
      <w:r w:rsidRPr="004E6649">
        <w:rPr>
          <w:rFonts w:eastAsia="Franklin Gothic Book" w:cstheme="minorHAnsi"/>
          <w:sz w:val="24"/>
        </w:rPr>
        <w:t>adding</w:t>
      </w:r>
      <w:r w:rsidRPr="004E6649">
        <w:rPr>
          <w:rFonts w:eastAsia="Franklin Gothic Book" w:cstheme="minorHAnsi"/>
          <w:spacing w:val="44"/>
          <w:sz w:val="24"/>
        </w:rPr>
        <w:t xml:space="preserve"> </w:t>
      </w:r>
      <w:r w:rsidRPr="004E6649">
        <w:rPr>
          <w:rFonts w:eastAsia="Franklin Gothic Book" w:cstheme="minorHAnsi"/>
          <w:sz w:val="24"/>
        </w:rPr>
        <w:t>e</w:t>
      </w:r>
      <w:r w:rsidRPr="004E6649">
        <w:rPr>
          <w:rFonts w:eastAsia="Franklin Gothic Book" w:cstheme="minorHAnsi"/>
          <w:spacing w:val="-1"/>
          <w:sz w:val="24"/>
        </w:rPr>
        <w:t>xp</w:t>
      </w:r>
      <w:r w:rsidRPr="004E6649">
        <w:rPr>
          <w:rFonts w:eastAsia="Franklin Gothic Book" w:cstheme="minorHAnsi"/>
          <w:sz w:val="24"/>
        </w:rPr>
        <w:t>ec</w:t>
      </w:r>
      <w:r w:rsidRPr="004E6649">
        <w:rPr>
          <w:rFonts w:eastAsia="Franklin Gothic Book" w:cstheme="minorHAnsi"/>
          <w:spacing w:val="1"/>
          <w:sz w:val="24"/>
        </w:rPr>
        <w:t>t</w:t>
      </w:r>
      <w:r w:rsidRPr="004E6649">
        <w:rPr>
          <w:rFonts w:eastAsia="Franklin Gothic Book" w:cstheme="minorHAnsi"/>
          <w:sz w:val="24"/>
        </w:rPr>
        <w:t>ed</w:t>
      </w:r>
      <w:r w:rsidRPr="004E6649">
        <w:rPr>
          <w:rFonts w:eastAsia="Franklin Gothic Book" w:cstheme="minorHAnsi"/>
          <w:spacing w:val="46"/>
          <w:sz w:val="24"/>
        </w:rPr>
        <w:t xml:space="preserve"> </w:t>
      </w:r>
      <w:r w:rsidRPr="004E6649">
        <w:rPr>
          <w:rFonts w:eastAsia="Franklin Gothic Book" w:cstheme="minorHAnsi"/>
          <w:sz w:val="24"/>
        </w:rPr>
        <w:t>infla</w:t>
      </w:r>
      <w:r w:rsidRPr="004E6649">
        <w:rPr>
          <w:rFonts w:eastAsia="Franklin Gothic Book" w:cstheme="minorHAnsi"/>
          <w:spacing w:val="1"/>
          <w:sz w:val="24"/>
        </w:rPr>
        <w:t>t</w:t>
      </w:r>
      <w:r w:rsidRPr="004E6649">
        <w:rPr>
          <w:rFonts w:eastAsia="Franklin Gothic Book" w:cstheme="minorHAnsi"/>
          <w:sz w:val="24"/>
        </w:rPr>
        <w:t>ion.</w:t>
      </w:r>
    </w:p>
    <w:p w14:paraId="0588F8B9" w14:textId="77777777" w:rsidR="001B6918" w:rsidRDefault="001B6918" w:rsidP="001B6918">
      <w:pPr>
        <w:spacing w:after="240" w:line="259" w:lineRule="auto"/>
        <w:rPr>
          <w:rFonts w:eastAsia="Franklin Gothic Book" w:cstheme="minorHAnsi"/>
          <w:spacing w:val="-1"/>
          <w:sz w:val="24"/>
        </w:rPr>
      </w:pPr>
      <w:r w:rsidRPr="004E6649">
        <w:rPr>
          <w:rFonts w:eastAsia="Franklin Gothic Book" w:cstheme="minorHAnsi"/>
          <w:sz w:val="24"/>
        </w:rPr>
        <w:t>B</w:t>
      </w:r>
      <w:r w:rsidRPr="004E6649">
        <w:rPr>
          <w:rFonts w:eastAsia="Franklin Gothic Book" w:cstheme="minorHAnsi"/>
          <w:spacing w:val="-1"/>
          <w:sz w:val="24"/>
        </w:rPr>
        <w:t>e</w:t>
      </w:r>
      <w:r w:rsidRPr="004E6649">
        <w:rPr>
          <w:rFonts w:eastAsia="Franklin Gothic Book" w:cstheme="minorHAnsi"/>
          <w:spacing w:val="1"/>
          <w:sz w:val="24"/>
        </w:rPr>
        <w:t>s</w:t>
      </w:r>
      <w:r w:rsidRPr="004E6649">
        <w:rPr>
          <w:rFonts w:eastAsia="Franklin Gothic Book" w:cstheme="minorHAnsi"/>
          <w:sz w:val="24"/>
        </w:rPr>
        <w:t>t</w:t>
      </w:r>
      <w:r w:rsidRPr="004E6649">
        <w:rPr>
          <w:rFonts w:eastAsia="Franklin Gothic Book" w:cstheme="minorHAnsi"/>
          <w:spacing w:val="47"/>
          <w:sz w:val="24"/>
        </w:rPr>
        <w:t xml:space="preserve"> </w:t>
      </w:r>
      <w:r w:rsidRPr="004E6649">
        <w:rPr>
          <w:rFonts w:eastAsia="Franklin Gothic Book" w:cstheme="minorHAnsi"/>
          <w:sz w:val="24"/>
        </w:rPr>
        <w:t>es</w:t>
      </w:r>
      <w:r w:rsidRPr="004E6649">
        <w:rPr>
          <w:rFonts w:eastAsia="Franklin Gothic Book" w:cstheme="minorHAnsi"/>
          <w:spacing w:val="1"/>
          <w:sz w:val="24"/>
        </w:rPr>
        <w:t>t</w:t>
      </w:r>
      <w:r w:rsidRPr="004E6649">
        <w:rPr>
          <w:rFonts w:eastAsia="Franklin Gothic Book" w:cstheme="minorHAnsi"/>
          <w:sz w:val="24"/>
        </w:rPr>
        <w:t>ima</w:t>
      </w:r>
      <w:r w:rsidRPr="004E6649">
        <w:rPr>
          <w:rFonts w:eastAsia="Franklin Gothic Book" w:cstheme="minorHAnsi"/>
          <w:spacing w:val="1"/>
          <w:sz w:val="24"/>
        </w:rPr>
        <w:t>t</w:t>
      </w:r>
      <w:r w:rsidRPr="004E6649">
        <w:rPr>
          <w:rFonts w:eastAsia="Franklin Gothic Book" w:cstheme="minorHAnsi"/>
          <w:sz w:val="24"/>
        </w:rPr>
        <w:t>es</w:t>
      </w:r>
      <w:r w:rsidRPr="004E6649">
        <w:rPr>
          <w:rFonts w:eastAsia="Franklin Gothic Book" w:cstheme="minorHAnsi"/>
          <w:spacing w:val="44"/>
          <w:sz w:val="24"/>
        </w:rPr>
        <w:t xml:space="preserve"> </w:t>
      </w:r>
      <w:r w:rsidRPr="004E6649">
        <w:rPr>
          <w:rFonts w:eastAsia="Franklin Gothic Book" w:cstheme="minorHAnsi"/>
          <w:spacing w:val="-1"/>
          <w:sz w:val="24"/>
        </w:rPr>
        <w:t>of</w:t>
      </w:r>
      <w:r w:rsidRPr="004E6649">
        <w:rPr>
          <w:rFonts w:eastAsia="Franklin Gothic Book" w:cstheme="minorHAnsi"/>
          <w:spacing w:val="-1"/>
          <w:w w:val="99"/>
          <w:sz w:val="24"/>
        </w:rPr>
        <w:t xml:space="preserve"> </w:t>
      </w:r>
      <w:r w:rsidRPr="004E6649">
        <w:rPr>
          <w:rFonts w:eastAsia="Franklin Gothic Book" w:cstheme="minorHAnsi"/>
          <w:sz w:val="24"/>
        </w:rPr>
        <w:t>a</w:t>
      </w:r>
      <w:r w:rsidRPr="004E6649">
        <w:rPr>
          <w:rFonts w:eastAsia="Franklin Gothic Book" w:cstheme="minorHAnsi"/>
          <w:spacing w:val="-1"/>
          <w:sz w:val="24"/>
        </w:rPr>
        <w:t>r</w:t>
      </w:r>
      <w:r w:rsidRPr="004E6649">
        <w:rPr>
          <w:rFonts w:eastAsia="Franklin Gothic Book" w:cstheme="minorHAnsi"/>
          <w:sz w:val="24"/>
        </w:rPr>
        <w:t>ith</w:t>
      </w:r>
      <w:r w:rsidRPr="004E6649">
        <w:rPr>
          <w:rFonts w:eastAsia="Franklin Gothic Book" w:cstheme="minorHAnsi"/>
          <w:spacing w:val="1"/>
          <w:sz w:val="24"/>
        </w:rPr>
        <w:t>m</w:t>
      </w:r>
      <w:r w:rsidRPr="004E6649">
        <w:rPr>
          <w:rFonts w:eastAsia="Franklin Gothic Book" w:cstheme="minorHAnsi"/>
          <w:sz w:val="24"/>
        </w:rPr>
        <w:t>etic</w:t>
      </w:r>
      <w:r w:rsidRPr="004E6649">
        <w:rPr>
          <w:rFonts w:eastAsia="Franklin Gothic Book" w:cstheme="minorHAnsi"/>
          <w:spacing w:val="45"/>
          <w:sz w:val="24"/>
        </w:rPr>
        <w:t xml:space="preserve"> </w:t>
      </w:r>
      <w:r w:rsidRPr="004E6649">
        <w:rPr>
          <w:rFonts w:eastAsia="Franklin Gothic Book" w:cstheme="minorHAnsi"/>
          <w:spacing w:val="-1"/>
          <w:sz w:val="24"/>
        </w:rPr>
        <w:t>r</w:t>
      </w:r>
      <w:r w:rsidRPr="004E6649">
        <w:rPr>
          <w:rFonts w:eastAsia="Franklin Gothic Book" w:cstheme="minorHAnsi"/>
          <w:sz w:val="24"/>
        </w:rPr>
        <w:t>eal</w:t>
      </w:r>
      <w:r w:rsidRPr="004E6649">
        <w:rPr>
          <w:rFonts w:eastAsia="Franklin Gothic Book" w:cstheme="minorHAnsi"/>
          <w:spacing w:val="40"/>
          <w:sz w:val="24"/>
        </w:rPr>
        <w:t xml:space="preserve"> </w:t>
      </w:r>
      <w:r w:rsidRPr="004E6649">
        <w:rPr>
          <w:rFonts w:eastAsia="Franklin Gothic Book" w:cstheme="minorHAnsi"/>
          <w:spacing w:val="-1"/>
          <w:sz w:val="24"/>
        </w:rPr>
        <w:t>r</w:t>
      </w:r>
      <w:r w:rsidRPr="004E6649">
        <w:rPr>
          <w:rFonts w:eastAsia="Franklin Gothic Book" w:cstheme="minorHAnsi"/>
          <w:sz w:val="24"/>
        </w:rPr>
        <w:t>a</w:t>
      </w:r>
      <w:r w:rsidRPr="004E6649">
        <w:rPr>
          <w:rFonts w:eastAsia="Franklin Gothic Book" w:cstheme="minorHAnsi"/>
          <w:spacing w:val="1"/>
          <w:sz w:val="24"/>
        </w:rPr>
        <w:t>t</w:t>
      </w:r>
      <w:r w:rsidRPr="004E6649">
        <w:rPr>
          <w:rFonts w:eastAsia="Franklin Gothic Book" w:cstheme="minorHAnsi"/>
          <w:sz w:val="24"/>
        </w:rPr>
        <w:t>es</w:t>
      </w:r>
      <w:r w:rsidRPr="004E6649">
        <w:rPr>
          <w:rFonts w:eastAsia="Franklin Gothic Book" w:cstheme="minorHAnsi"/>
          <w:spacing w:val="45"/>
          <w:sz w:val="24"/>
        </w:rPr>
        <w:t xml:space="preserve"> </w:t>
      </w:r>
      <w:r w:rsidRPr="004E6649">
        <w:rPr>
          <w:rFonts w:eastAsia="Franklin Gothic Book" w:cstheme="minorHAnsi"/>
          <w:spacing w:val="-1"/>
          <w:sz w:val="24"/>
        </w:rPr>
        <w:t>o</w:t>
      </w:r>
      <w:r w:rsidRPr="004E6649">
        <w:rPr>
          <w:rFonts w:eastAsia="Franklin Gothic Book" w:cstheme="minorHAnsi"/>
          <w:sz w:val="24"/>
        </w:rPr>
        <w:t>f</w:t>
      </w:r>
      <w:r w:rsidRPr="004E6649">
        <w:rPr>
          <w:rFonts w:eastAsia="Franklin Gothic Book" w:cstheme="minorHAnsi"/>
          <w:spacing w:val="41"/>
          <w:sz w:val="24"/>
        </w:rPr>
        <w:t xml:space="preserve"> </w:t>
      </w:r>
      <w:r w:rsidRPr="004E6649">
        <w:rPr>
          <w:rFonts w:eastAsia="Franklin Gothic Book" w:cstheme="minorHAnsi"/>
          <w:spacing w:val="-1"/>
          <w:sz w:val="24"/>
        </w:rPr>
        <w:t>r</w:t>
      </w:r>
      <w:r w:rsidRPr="004E6649">
        <w:rPr>
          <w:rFonts w:eastAsia="Franklin Gothic Book" w:cstheme="minorHAnsi"/>
          <w:sz w:val="24"/>
        </w:rPr>
        <w:t>eturn</w:t>
      </w:r>
      <w:r w:rsidRPr="004E6649">
        <w:rPr>
          <w:rFonts w:eastAsia="Franklin Gothic Book" w:cstheme="minorHAnsi"/>
          <w:spacing w:val="45"/>
          <w:sz w:val="24"/>
        </w:rPr>
        <w:t xml:space="preserve"> </w:t>
      </w:r>
      <w:r w:rsidRPr="004E6649">
        <w:rPr>
          <w:rFonts w:eastAsia="Franklin Gothic Book" w:cstheme="minorHAnsi"/>
          <w:sz w:val="24"/>
        </w:rPr>
        <w:t>for</w:t>
      </w:r>
      <w:r w:rsidRPr="004E6649">
        <w:rPr>
          <w:rFonts w:eastAsia="Franklin Gothic Book" w:cstheme="minorHAnsi"/>
          <w:spacing w:val="40"/>
          <w:sz w:val="24"/>
        </w:rPr>
        <w:t xml:space="preserve"> </w:t>
      </w:r>
      <w:r w:rsidRPr="004E6649">
        <w:rPr>
          <w:rFonts w:eastAsia="Franklin Gothic Book" w:cstheme="minorHAnsi"/>
          <w:sz w:val="24"/>
        </w:rPr>
        <w:t>each</w:t>
      </w:r>
      <w:r w:rsidRPr="004E6649">
        <w:rPr>
          <w:rFonts w:eastAsia="Franklin Gothic Book" w:cstheme="minorHAnsi"/>
          <w:spacing w:val="45"/>
          <w:sz w:val="24"/>
        </w:rPr>
        <w:t xml:space="preserve"> </w:t>
      </w:r>
      <w:r w:rsidRPr="004E6649">
        <w:rPr>
          <w:rFonts w:eastAsia="Franklin Gothic Book" w:cstheme="minorHAnsi"/>
          <w:sz w:val="24"/>
        </w:rPr>
        <w:t>major</w:t>
      </w:r>
      <w:r w:rsidRPr="004E6649">
        <w:rPr>
          <w:rFonts w:eastAsia="Franklin Gothic Book" w:cstheme="minorHAnsi"/>
          <w:spacing w:val="40"/>
          <w:sz w:val="24"/>
        </w:rPr>
        <w:t xml:space="preserve"> </w:t>
      </w:r>
      <w:r w:rsidRPr="004E6649">
        <w:rPr>
          <w:rFonts w:eastAsia="Franklin Gothic Book" w:cstheme="minorHAnsi"/>
          <w:sz w:val="24"/>
        </w:rPr>
        <w:t>a</w:t>
      </w:r>
      <w:r w:rsidRPr="004E6649">
        <w:rPr>
          <w:rFonts w:eastAsia="Franklin Gothic Book" w:cstheme="minorHAnsi"/>
          <w:spacing w:val="1"/>
          <w:sz w:val="24"/>
        </w:rPr>
        <w:t>ss</w:t>
      </w:r>
      <w:r w:rsidRPr="004E6649">
        <w:rPr>
          <w:rFonts w:eastAsia="Franklin Gothic Book" w:cstheme="minorHAnsi"/>
          <w:sz w:val="24"/>
        </w:rPr>
        <w:t>et</w:t>
      </w:r>
      <w:r w:rsidRPr="004E6649">
        <w:rPr>
          <w:rFonts w:eastAsia="Franklin Gothic Book" w:cstheme="minorHAnsi"/>
          <w:spacing w:val="44"/>
          <w:sz w:val="24"/>
        </w:rPr>
        <w:t xml:space="preserve"> </w:t>
      </w:r>
      <w:r w:rsidRPr="004E6649">
        <w:rPr>
          <w:rFonts w:eastAsia="Franklin Gothic Book" w:cstheme="minorHAnsi"/>
          <w:sz w:val="24"/>
        </w:rPr>
        <w:t>cla</w:t>
      </w:r>
      <w:r w:rsidRPr="004E6649">
        <w:rPr>
          <w:rFonts w:eastAsia="Franklin Gothic Book" w:cstheme="minorHAnsi"/>
          <w:spacing w:val="1"/>
          <w:sz w:val="24"/>
        </w:rPr>
        <w:t>s</w:t>
      </w:r>
      <w:r w:rsidRPr="004E6649">
        <w:rPr>
          <w:rFonts w:eastAsia="Franklin Gothic Book" w:cstheme="minorHAnsi"/>
          <w:sz w:val="24"/>
        </w:rPr>
        <w:t>s</w:t>
      </w:r>
      <w:r w:rsidRPr="004E6649">
        <w:rPr>
          <w:rFonts w:eastAsia="Franklin Gothic Book" w:cstheme="minorHAnsi"/>
          <w:spacing w:val="43"/>
          <w:sz w:val="24"/>
        </w:rPr>
        <w:t xml:space="preserve"> </w:t>
      </w:r>
      <w:r w:rsidRPr="004E6649">
        <w:rPr>
          <w:rFonts w:eastAsia="Franklin Gothic Book" w:cstheme="minorHAnsi"/>
          <w:sz w:val="24"/>
        </w:rPr>
        <w:t>included</w:t>
      </w:r>
      <w:r w:rsidRPr="004E6649">
        <w:rPr>
          <w:rFonts w:eastAsia="Franklin Gothic Book" w:cstheme="minorHAnsi"/>
          <w:spacing w:val="44"/>
          <w:sz w:val="24"/>
        </w:rPr>
        <w:t xml:space="preserve"> </w:t>
      </w:r>
      <w:r w:rsidRPr="004E6649">
        <w:rPr>
          <w:rFonts w:eastAsia="Franklin Gothic Book" w:cstheme="minorHAnsi"/>
          <w:sz w:val="24"/>
        </w:rPr>
        <w:t>in</w:t>
      </w:r>
      <w:r w:rsidRPr="004E6649">
        <w:rPr>
          <w:rFonts w:eastAsia="Franklin Gothic Book" w:cstheme="minorHAnsi"/>
          <w:spacing w:val="41"/>
          <w:sz w:val="24"/>
        </w:rPr>
        <w:t xml:space="preserve"> </w:t>
      </w:r>
      <w:r w:rsidRPr="004E6649">
        <w:rPr>
          <w:rFonts w:eastAsia="Franklin Gothic Book" w:cstheme="minorHAnsi"/>
          <w:sz w:val="24"/>
        </w:rPr>
        <w:t>the</w:t>
      </w:r>
      <w:r w:rsidRPr="004E6649">
        <w:rPr>
          <w:rFonts w:eastAsia="Franklin Gothic Book" w:cstheme="minorHAnsi"/>
          <w:spacing w:val="43"/>
          <w:sz w:val="24"/>
        </w:rPr>
        <w:t xml:space="preserve"> </w:t>
      </w:r>
      <w:r w:rsidRPr="004E6649">
        <w:rPr>
          <w:rFonts w:eastAsia="Franklin Gothic Book" w:cstheme="minorHAnsi"/>
          <w:spacing w:val="-1"/>
          <w:sz w:val="24"/>
        </w:rPr>
        <w:t>P</w:t>
      </w:r>
      <w:r w:rsidRPr="004E6649">
        <w:rPr>
          <w:rFonts w:eastAsia="Franklin Gothic Book" w:cstheme="minorHAnsi"/>
          <w:sz w:val="24"/>
        </w:rPr>
        <w:t>lan's</w:t>
      </w:r>
      <w:r w:rsidRPr="004E6649">
        <w:rPr>
          <w:rFonts w:eastAsia="Franklin Gothic Book" w:cstheme="minorHAnsi"/>
          <w:spacing w:val="44"/>
          <w:sz w:val="24"/>
        </w:rPr>
        <w:t xml:space="preserve"> </w:t>
      </w:r>
      <w:r w:rsidRPr="004E6649">
        <w:rPr>
          <w:rFonts w:eastAsia="Franklin Gothic Book" w:cstheme="minorHAnsi"/>
          <w:sz w:val="24"/>
        </w:rPr>
        <w:t>ta</w:t>
      </w:r>
      <w:r w:rsidRPr="004E6649">
        <w:rPr>
          <w:rFonts w:eastAsia="Franklin Gothic Book" w:cstheme="minorHAnsi"/>
          <w:spacing w:val="-1"/>
          <w:sz w:val="24"/>
        </w:rPr>
        <w:t>r</w:t>
      </w:r>
      <w:r w:rsidRPr="004E6649">
        <w:rPr>
          <w:rFonts w:eastAsia="Franklin Gothic Book" w:cstheme="minorHAnsi"/>
          <w:sz w:val="24"/>
        </w:rPr>
        <w:t>get</w:t>
      </w:r>
      <w:r w:rsidRPr="004E6649">
        <w:rPr>
          <w:rFonts w:eastAsia="Franklin Gothic Book" w:cstheme="minorHAnsi"/>
          <w:spacing w:val="43"/>
          <w:sz w:val="24"/>
        </w:rPr>
        <w:t xml:space="preserve"> </w:t>
      </w:r>
      <w:r w:rsidRPr="004E6649">
        <w:rPr>
          <w:rFonts w:eastAsia="Franklin Gothic Book" w:cstheme="minorHAnsi"/>
          <w:sz w:val="24"/>
        </w:rPr>
        <w:t>a</w:t>
      </w:r>
      <w:r w:rsidRPr="004E6649">
        <w:rPr>
          <w:rFonts w:eastAsia="Franklin Gothic Book" w:cstheme="minorHAnsi"/>
          <w:spacing w:val="1"/>
          <w:sz w:val="24"/>
        </w:rPr>
        <w:t>ss</w:t>
      </w:r>
      <w:r w:rsidRPr="004E6649">
        <w:rPr>
          <w:rFonts w:eastAsia="Franklin Gothic Book" w:cstheme="minorHAnsi"/>
          <w:sz w:val="24"/>
        </w:rPr>
        <w:t>et</w:t>
      </w:r>
      <w:r w:rsidRPr="004E6649">
        <w:rPr>
          <w:rFonts w:eastAsia="Franklin Gothic Book" w:cstheme="minorHAnsi"/>
          <w:w w:val="99"/>
          <w:sz w:val="24"/>
        </w:rPr>
        <w:t xml:space="preserve"> </w:t>
      </w:r>
      <w:r w:rsidRPr="004E6649">
        <w:rPr>
          <w:rFonts w:eastAsia="Franklin Gothic Book" w:cstheme="minorHAnsi"/>
          <w:sz w:val="24"/>
        </w:rPr>
        <w:t>alloca</w:t>
      </w:r>
      <w:r w:rsidRPr="004E6649">
        <w:rPr>
          <w:rFonts w:eastAsia="Franklin Gothic Book" w:cstheme="minorHAnsi"/>
          <w:spacing w:val="1"/>
          <w:sz w:val="24"/>
        </w:rPr>
        <w:t>t</w:t>
      </w:r>
      <w:r w:rsidRPr="004E6649">
        <w:rPr>
          <w:rFonts w:eastAsia="Franklin Gothic Book" w:cstheme="minorHAnsi"/>
          <w:sz w:val="24"/>
        </w:rPr>
        <w:t>ion as</w:t>
      </w:r>
      <w:r w:rsidRPr="004E6649">
        <w:rPr>
          <w:rFonts w:eastAsia="Franklin Gothic Book" w:cstheme="minorHAnsi"/>
          <w:spacing w:val="1"/>
          <w:sz w:val="24"/>
        </w:rPr>
        <w:t xml:space="preserve"> </w:t>
      </w:r>
      <w:r w:rsidRPr="004E6649">
        <w:rPr>
          <w:rFonts w:eastAsia="Franklin Gothic Book" w:cstheme="minorHAnsi"/>
          <w:spacing w:val="-1"/>
          <w:sz w:val="24"/>
        </w:rPr>
        <w:t>o</w:t>
      </w:r>
      <w:r w:rsidRPr="004E6649">
        <w:rPr>
          <w:rFonts w:eastAsia="Franklin Gothic Book" w:cstheme="minorHAnsi"/>
          <w:sz w:val="24"/>
        </w:rPr>
        <w:t xml:space="preserve">f </w:t>
      </w:r>
      <w:r w:rsidRPr="004E6649">
        <w:rPr>
          <w:rFonts w:eastAsia="Franklin Gothic Book" w:cstheme="minorHAnsi"/>
          <w:spacing w:val="-1"/>
          <w:sz w:val="24"/>
        </w:rPr>
        <w:t>Jun</w:t>
      </w:r>
      <w:r w:rsidRPr="004E6649">
        <w:rPr>
          <w:rFonts w:eastAsia="Franklin Gothic Book" w:cstheme="minorHAnsi"/>
          <w:sz w:val="24"/>
        </w:rPr>
        <w:t>e 30</w:t>
      </w:r>
      <w:r w:rsidRPr="004E6649">
        <w:rPr>
          <w:rFonts w:eastAsia="Franklin Gothic Book" w:cstheme="minorHAnsi"/>
          <w:spacing w:val="1"/>
          <w:sz w:val="24"/>
        </w:rPr>
        <w:t xml:space="preserve"> </w:t>
      </w:r>
      <w:r w:rsidRPr="004E6649">
        <w:rPr>
          <w:rFonts w:eastAsia="Franklin Gothic Book" w:cstheme="minorHAnsi"/>
          <w:sz w:val="24"/>
        </w:rPr>
        <w:t>a</w:t>
      </w:r>
      <w:r w:rsidRPr="004E6649">
        <w:rPr>
          <w:rFonts w:eastAsia="Franklin Gothic Book" w:cstheme="minorHAnsi"/>
          <w:spacing w:val="-1"/>
          <w:sz w:val="24"/>
        </w:rPr>
        <w:t>r</w:t>
      </w:r>
      <w:r w:rsidRPr="004E6649">
        <w:rPr>
          <w:rFonts w:eastAsia="Franklin Gothic Book" w:cstheme="minorHAnsi"/>
          <w:sz w:val="24"/>
        </w:rPr>
        <w:t>e</w:t>
      </w:r>
      <w:r w:rsidRPr="004E6649">
        <w:rPr>
          <w:rFonts w:eastAsia="Franklin Gothic Book" w:cstheme="minorHAnsi"/>
          <w:spacing w:val="-2"/>
          <w:sz w:val="24"/>
        </w:rPr>
        <w:t xml:space="preserve"> </w:t>
      </w:r>
      <w:r w:rsidRPr="004E6649">
        <w:rPr>
          <w:rFonts w:eastAsia="Franklin Gothic Book" w:cstheme="minorHAnsi"/>
          <w:spacing w:val="1"/>
          <w:sz w:val="24"/>
        </w:rPr>
        <w:t>s</w:t>
      </w:r>
      <w:r w:rsidRPr="004E6649">
        <w:rPr>
          <w:rFonts w:eastAsia="Franklin Gothic Book" w:cstheme="minorHAnsi"/>
          <w:sz w:val="24"/>
        </w:rPr>
        <w:t>umma</w:t>
      </w:r>
      <w:r w:rsidRPr="004E6649">
        <w:rPr>
          <w:rFonts w:eastAsia="Franklin Gothic Book" w:cstheme="minorHAnsi"/>
          <w:spacing w:val="-1"/>
          <w:sz w:val="24"/>
        </w:rPr>
        <w:t>r</w:t>
      </w:r>
      <w:r w:rsidRPr="004E6649">
        <w:rPr>
          <w:rFonts w:eastAsia="Franklin Gothic Book" w:cstheme="minorHAnsi"/>
          <w:sz w:val="24"/>
        </w:rPr>
        <w:t>iz</w:t>
      </w:r>
      <w:r w:rsidRPr="004E6649">
        <w:rPr>
          <w:rFonts w:eastAsia="Franklin Gothic Book" w:cstheme="minorHAnsi"/>
          <w:spacing w:val="-1"/>
          <w:sz w:val="24"/>
        </w:rPr>
        <w:t>e</w:t>
      </w:r>
      <w:r w:rsidRPr="004E6649">
        <w:rPr>
          <w:rFonts w:eastAsia="Franklin Gothic Book" w:cstheme="minorHAnsi"/>
          <w:sz w:val="24"/>
        </w:rPr>
        <w:t>d</w:t>
      </w:r>
      <w:r w:rsidRPr="004E6649">
        <w:rPr>
          <w:rFonts w:eastAsia="Franklin Gothic Book" w:cstheme="minorHAnsi"/>
          <w:w w:val="99"/>
          <w:sz w:val="24"/>
        </w:rPr>
        <w:t xml:space="preserve"> </w:t>
      </w:r>
      <w:r w:rsidRPr="004E6649">
        <w:rPr>
          <w:rFonts w:eastAsia="Franklin Gothic Book" w:cstheme="minorHAnsi"/>
          <w:sz w:val="24"/>
        </w:rPr>
        <w:t>in</w:t>
      </w:r>
      <w:r w:rsidRPr="004E6649">
        <w:rPr>
          <w:rFonts w:eastAsia="Franklin Gothic Book" w:cstheme="minorHAnsi"/>
          <w:spacing w:val="-6"/>
          <w:sz w:val="24"/>
        </w:rPr>
        <w:t xml:space="preserve"> </w:t>
      </w:r>
      <w:r w:rsidRPr="004E6649">
        <w:rPr>
          <w:rFonts w:eastAsia="Franklin Gothic Book" w:cstheme="minorHAnsi"/>
          <w:sz w:val="24"/>
        </w:rPr>
        <w:t>the</w:t>
      </w:r>
      <w:r w:rsidRPr="004E6649">
        <w:rPr>
          <w:rFonts w:eastAsia="Franklin Gothic Book" w:cstheme="minorHAnsi"/>
          <w:spacing w:val="-6"/>
          <w:sz w:val="24"/>
        </w:rPr>
        <w:t xml:space="preserve"> </w:t>
      </w:r>
      <w:r w:rsidRPr="004E6649">
        <w:rPr>
          <w:rFonts w:eastAsia="Franklin Gothic Book" w:cstheme="minorHAnsi"/>
          <w:sz w:val="24"/>
        </w:rPr>
        <w:t>fo</w:t>
      </w:r>
      <w:r w:rsidRPr="004E6649">
        <w:rPr>
          <w:rFonts w:eastAsia="Franklin Gothic Book" w:cstheme="minorHAnsi"/>
          <w:spacing w:val="-1"/>
          <w:sz w:val="24"/>
        </w:rPr>
        <w:t>l</w:t>
      </w:r>
      <w:r w:rsidRPr="004E6649">
        <w:rPr>
          <w:rFonts w:eastAsia="Franklin Gothic Book" w:cstheme="minorHAnsi"/>
          <w:sz w:val="24"/>
        </w:rPr>
        <w:t>l</w:t>
      </w:r>
      <w:r w:rsidRPr="004E6649">
        <w:rPr>
          <w:rFonts w:eastAsia="Franklin Gothic Book" w:cstheme="minorHAnsi"/>
          <w:spacing w:val="-1"/>
          <w:sz w:val="24"/>
        </w:rPr>
        <w:t>o</w:t>
      </w:r>
      <w:r w:rsidRPr="004E6649">
        <w:rPr>
          <w:rFonts w:eastAsia="Franklin Gothic Book" w:cstheme="minorHAnsi"/>
          <w:sz w:val="24"/>
        </w:rPr>
        <w:t>wing</w:t>
      </w:r>
      <w:r w:rsidRPr="004E6649">
        <w:rPr>
          <w:rFonts w:eastAsia="Franklin Gothic Book" w:cstheme="minorHAnsi"/>
          <w:spacing w:val="-6"/>
          <w:sz w:val="24"/>
        </w:rPr>
        <w:t xml:space="preserve"> </w:t>
      </w:r>
      <w:r w:rsidRPr="004E6649">
        <w:rPr>
          <w:rFonts w:eastAsia="Franklin Gothic Book" w:cstheme="minorHAnsi"/>
          <w:sz w:val="24"/>
        </w:rPr>
        <w:t>ta</w:t>
      </w:r>
      <w:r w:rsidRPr="004E6649">
        <w:rPr>
          <w:rFonts w:eastAsia="Franklin Gothic Book" w:cstheme="minorHAnsi"/>
          <w:spacing w:val="1"/>
          <w:sz w:val="24"/>
        </w:rPr>
        <w:t>b</w:t>
      </w:r>
      <w:r w:rsidRPr="004E6649">
        <w:rPr>
          <w:rFonts w:eastAsia="Franklin Gothic Book" w:cstheme="minorHAnsi"/>
          <w:sz w:val="24"/>
        </w:rPr>
        <w:t>l</w:t>
      </w:r>
      <w:r w:rsidRPr="004E6649">
        <w:rPr>
          <w:rFonts w:eastAsia="Franklin Gothic Book" w:cstheme="minorHAnsi"/>
          <w:spacing w:val="-1"/>
          <w:sz w:val="24"/>
        </w:rPr>
        <w:t>e.</w:t>
      </w:r>
      <w:r>
        <w:rPr>
          <w:rFonts w:eastAsia="Franklin Gothic Book" w:cstheme="minorHAnsi"/>
          <w:spacing w:val="-1"/>
          <w:sz w:val="24"/>
        </w:rPr>
        <w:br w:type="page"/>
      </w:r>
    </w:p>
    <w:p w14:paraId="72BA8F2C" w14:textId="77777777" w:rsidR="001B6918" w:rsidRPr="000128D9" w:rsidRDefault="001B6918" w:rsidP="001B6918">
      <w:pPr>
        <w:spacing w:after="160"/>
        <w:rPr>
          <w:rFonts w:eastAsiaTheme="majorEastAsia" w:cstheme="minorHAnsi"/>
          <w:b/>
          <w:i/>
          <w:iCs/>
          <w:smallCaps/>
          <w:noProof/>
          <w:color w:val="000000" w:themeColor="text1"/>
          <w:sz w:val="24"/>
          <w:szCs w:val="24"/>
          <w:u w:color="5B9BD5"/>
        </w:rPr>
      </w:pPr>
      <w:r w:rsidRPr="000128D9">
        <w:rPr>
          <w:rFonts w:eastAsiaTheme="majorEastAsia" w:cstheme="minorHAnsi"/>
          <w:b/>
          <w:i/>
          <w:iCs/>
          <w:smallCaps/>
          <w:noProof/>
          <w:color w:val="000000" w:themeColor="text1"/>
          <w:sz w:val="24"/>
          <w:szCs w:val="24"/>
          <w:u w:color="5B9BD5"/>
        </w:rPr>
        <w:lastRenderedPageBreak/>
        <w:t>13. PENSION PLANS - CONTINUED</w:t>
      </w:r>
    </w:p>
    <w:tbl>
      <w:tblPr>
        <w:tblW w:w="8220" w:type="dxa"/>
        <w:jc w:val="center"/>
        <w:tblLook w:val="04A0" w:firstRow="1" w:lastRow="0" w:firstColumn="1" w:lastColumn="0" w:noHBand="0" w:noVBand="1"/>
      </w:tblPr>
      <w:tblGrid>
        <w:gridCol w:w="2550"/>
        <w:gridCol w:w="1244"/>
        <w:gridCol w:w="1585"/>
        <w:gridCol w:w="1256"/>
        <w:gridCol w:w="1585"/>
      </w:tblGrid>
      <w:tr w:rsidR="001B6918" w:rsidRPr="004E6649" w14:paraId="27E285E2" w14:textId="77777777" w:rsidTr="00730ECF">
        <w:trPr>
          <w:trHeight w:val="189"/>
          <w:tblHeader/>
          <w:jc w:val="center"/>
        </w:trPr>
        <w:tc>
          <w:tcPr>
            <w:tcW w:w="2550" w:type="dxa"/>
            <w:tcBorders>
              <w:top w:val="nil"/>
              <w:left w:val="nil"/>
              <w:bottom w:val="single" w:sz="12" w:space="0" w:color="000000" w:themeColor="text1"/>
              <w:right w:val="nil"/>
            </w:tcBorders>
            <w:shd w:val="clear" w:color="000000" w:fill="FFFFFF"/>
            <w:noWrap/>
            <w:vAlign w:val="bottom"/>
            <w:hideMark/>
          </w:tcPr>
          <w:p w14:paraId="7A136D23" w14:textId="77777777" w:rsidR="001B6918" w:rsidRPr="004E6649" w:rsidRDefault="001B6918" w:rsidP="00730ECF">
            <w:pPr>
              <w:rPr>
                <w:rFonts w:eastAsia="Times New Roman" w:cstheme="minorHAnsi"/>
                <w:b/>
                <w:bCs/>
                <w:color w:val="0D0D0D"/>
              </w:rPr>
            </w:pPr>
            <w:r w:rsidRPr="004E6649">
              <w:rPr>
                <w:rFonts w:eastAsia="Franklin Gothic Book" w:cstheme="minorHAnsi"/>
                <w:sz w:val="24"/>
              </w:rPr>
              <w:fldChar w:fldCharType="begin"/>
            </w:r>
            <w:r w:rsidRPr="004E6649">
              <w:rPr>
                <w:rFonts w:eastAsia="Franklin Gothic Book" w:cstheme="minorHAnsi"/>
                <w:sz w:val="24"/>
              </w:rPr>
              <w:fldChar w:fldCharType="end"/>
            </w:r>
            <w:r w:rsidRPr="004E6649">
              <w:rPr>
                <w:rFonts w:eastAsia="Times New Roman" w:cstheme="minorHAnsi"/>
                <w:b/>
                <w:bCs/>
                <w:color w:val="0D0D0D"/>
              </w:rPr>
              <w:t> </w:t>
            </w:r>
          </w:p>
        </w:tc>
        <w:tc>
          <w:tcPr>
            <w:tcW w:w="2829" w:type="dxa"/>
            <w:gridSpan w:val="2"/>
            <w:tcBorders>
              <w:top w:val="nil"/>
              <w:left w:val="nil"/>
              <w:bottom w:val="single" w:sz="12" w:space="0" w:color="000000" w:themeColor="text1"/>
              <w:right w:val="nil"/>
            </w:tcBorders>
            <w:shd w:val="clear" w:color="000000" w:fill="FFFFFF"/>
            <w:vAlign w:val="bottom"/>
            <w:hideMark/>
          </w:tcPr>
          <w:p w14:paraId="564ED61E"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202</w:t>
            </w:r>
            <w:r>
              <w:rPr>
                <w:rFonts w:eastAsia="Times New Roman" w:cstheme="minorHAnsi"/>
                <w:b/>
                <w:bCs/>
                <w:color w:val="0D0D0D"/>
              </w:rPr>
              <w:t>5</w:t>
            </w:r>
          </w:p>
        </w:tc>
        <w:tc>
          <w:tcPr>
            <w:tcW w:w="2841" w:type="dxa"/>
            <w:gridSpan w:val="2"/>
            <w:tcBorders>
              <w:top w:val="nil"/>
              <w:left w:val="nil"/>
              <w:bottom w:val="single" w:sz="12" w:space="0" w:color="000000" w:themeColor="text1"/>
              <w:right w:val="nil"/>
            </w:tcBorders>
            <w:shd w:val="clear" w:color="auto" w:fill="F2F2F2" w:themeFill="background1" w:themeFillShade="F2"/>
            <w:vAlign w:val="bottom"/>
            <w:hideMark/>
          </w:tcPr>
          <w:p w14:paraId="29792739"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202</w:t>
            </w:r>
            <w:r>
              <w:rPr>
                <w:rFonts w:eastAsia="Times New Roman" w:cstheme="minorHAnsi"/>
                <w:b/>
                <w:bCs/>
                <w:color w:val="0D0D0D"/>
              </w:rPr>
              <w:t>4</w:t>
            </w:r>
          </w:p>
        </w:tc>
      </w:tr>
      <w:tr w:rsidR="001B6918" w:rsidRPr="004E6649" w14:paraId="43DBF8FE" w14:textId="77777777" w:rsidTr="00730ECF">
        <w:trPr>
          <w:trHeight w:val="924"/>
          <w:tblHeader/>
          <w:jc w:val="center"/>
        </w:trPr>
        <w:tc>
          <w:tcPr>
            <w:tcW w:w="2550" w:type="dxa"/>
            <w:tcBorders>
              <w:top w:val="single" w:sz="12" w:space="0" w:color="000000" w:themeColor="text1"/>
              <w:left w:val="nil"/>
              <w:bottom w:val="single" w:sz="12" w:space="0" w:color="000000" w:themeColor="text1"/>
              <w:right w:val="nil"/>
            </w:tcBorders>
            <w:shd w:val="clear" w:color="000000" w:fill="FFFFFF"/>
            <w:noWrap/>
            <w:vAlign w:val="bottom"/>
            <w:hideMark/>
          </w:tcPr>
          <w:p w14:paraId="3836F037" w14:textId="77777777" w:rsidR="001B6918" w:rsidRPr="004E6649" w:rsidRDefault="001B6918" w:rsidP="00730ECF">
            <w:pPr>
              <w:rPr>
                <w:rFonts w:eastAsia="Times New Roman" w:cstheme="minorHAnsi"/>
                <w:b/>
                <w:bCs/>
                <w:color w:val="0D0D0D"/>
              </w:rPr>
            </w:pPr>
            <w:r w:rsidRPr="004E6649">
              <w:rPr>
                <w:rFonts w:eastAsia="Times New Roman" w:cstheme="minorHAnsi"/>
                <w:b/>
                <w:bCs/>
                <w:color w:val="0D0D0D"/>
              </w:rPr>
              <w:t>Asset Class</w:t>
            </w:r>
          </w:p>
        </w:tc>
        <w:tc>
          <w:tcPr>
            <w:tcW w:w="1244" w:type="dxa"/>
            <w:tcBorders>
              <w:top w:val="single" w:sz="12" w:space="0" w:color="000000" w:themeColor="text1"/>
              <w:left w:val="nil"/>
              <w:bottom w:val="single" w:sz="12" w:space="0" w:color="000000" w:themeColor="text1"/>
              <w:right w:val="nil"/>
            </w:tcBorders>
            <w:shd w:val="clear" w:color="000000" w:fill="FFFFFF"/>
            <w:vAlign w:val="bottom"/>
            <w:hideMark/>
          </w:tcPr>
          <w:p w14:paraId="2EAA41E7"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Target</w:t>
            </w:r>
            <w:r>
              <w:rPr>
                <w:rFonts w:eastAsia="Times New Roman" w:cstheme="minorHAnsi"/>
                <w:b/>
                <w:bCs/>
                <w:color w:val="0D0D0D"/>
              </w:rPr>
              <w:t xml:space="preserve"> </w:t>
            </w:r>
            <w:r w:rsidRPr="004E6649">
              <w:rPr>
                <w:rFonts w:eastAsia="Times New Roman" w:cstheme="minorHAnsi"/>
                <w:b/>
                <w:bCs/>
                <w:color w:val="0D0D0D"/>
              </w:rPr>
              <w:t>Allocation</w:t>
            </w:r>
          </w:p>
        </w:tc>
        <w:tc>
          <w:tcPr>
            <w:tcW w:w="1585" w:type="dxa"/>
            <w:tcBorders>
              <w:top w:val="single" w:sz="12" w:space="0" w:color="000000" w:themeColor="text1"/>
              <w:left w:val="nil"/>
              <w:bottom w:val="single" w:sz="12" w:space="0" w:color="000000" w:themeColor="text1"/>
              <w:right w:val="nil"/>
            </w:tcBorders>
            <w:shd w:val="clear" w:color="000000" w:fill="FFFFFF"/>
            <w:vAlign w:val="bottom"/>
            <w:hideMark/>
          </w:tcPr>
          <w:p w14:paraId="54AEFF2D"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Long-Term Expected Real Rates of Return</w:t>
            </w:r>
          </w:p>
        </w:tc>
        <w:tc>
          <w:tcPr>
            <w:tcW w:w="1256" w:type="dxa"/>
            <w:tcBorders>
              <w:top w:val="single" w:sz="12" w:space="0" w:color="000000" w:themeColor="text1"/>
              <w:left w:val="nil"/>
              <w:bottom w:val="single" w:sz="12" w:space="0" w:color="000000" w:themeColor="text1"/>
              <w:right w:val="nil"/>
            </w:tcBorders>
            <w:shd w:val="clear" w:color="auto" w:fill="F2F2F2" w:themeFill="background1" w:themeFillShade="F2"/>
            <w:vAlign w:val="bottom"/>
            <w:hideMark/>
          </w:tcPr>
          <w:p w14:paraId="58804D65"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Target</w:t>
            </w:r>
            <w:r>
              <w:rPr>
                <w:rFonts w:eastAsia="Times New Roman" w:cstheme="minorHAnsi"/>
                <w:b/>
                <w:bCs/>
                <w:color w:val="0D0D0D"/>
              </w:rPr>
              <w:t xml:space="preserve"> </w:t>
            </w:r>
            <w:r w:rsidRPr="004E6649">
              <w:rPr>
                <w:rFonts w:eastAsia="Times New Roman" w:cstheme="minorHAnsi"/>
                <w:b/>
                <w:bCs/>
                <w:color w:val="0D0D0D"/>
              </w:rPr>
              <w:t>Allocation</w:t>
            </w:r>
          </w:p>
        </w:tc>
        <w:tc>
          <w:tcPr>
            <w:tcW w:w="1585" w:type="dxa"/>
            <w:tcBorders>
              <w:top w:val="single" w:sz="12" w:space="0" w:color="000000" w:themeColor="text1"/>
              <w:left w:val="nil"/>
              <w:bottom w:val="single" w:sz="12" w:space="0" w:color="000000" w:themeColor="text1"/>
              <w:right w:val="nil"/>
            </w:tcBorders>
            <w:shd w:val="clear" w:color="auto" w:fill="F2F2F2" w:themeFill="background1" w:themeFillShade="F2"/>
            <w:vAlign w:val="bottom"/>
            <w:hideMark/>
          </w:tcPr>
          <w:p w14:paraId="4D25F2AF"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Long-Term Expected Real Rates of Return</w:t>
            </w:r>
          </w:p>
        </w:tc>
      </w:tr>
      <w:tr w:rsidR="001B6918" w:rsidRPr="004E6649" w14:paraId="4C7E9E7C" w14:textId="77777777" w:rsidTr="00730ECF">
        <w:trPr>
          <w:trHeight w:val="468"/>
          <w:jc w:val="center"/>
        </w:trPr>
        <w:tc>
          <w:tcPr>
            <w:tcW w:w="2550" w:type="dxa"/>
            <w:tcBorders>
              <w:top w:val="single" w:sz="12" w:space="0" w:color="000000" w:themeColor="text1"/>
              <w:left w:val="nil"/>
              <w:bottom w:val="nil"/>
              <w:right w:val="nil"/>
            </w:tcBorders>
            <w:shd w:val="clear" w:color="000000" w:fill="FFFFFF"/>
            <w:noWrap/>
            <w:vAlign w:val="bottom"/>
            <w:hideMark/>
          </w:tcPr>
          <w:p w14:paraId="68EC04CF"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Global Equity</w:t>
            </w:r>
          </w:p>
        </w:tc>
        <w:tc>
          <w:tcPr>
            <w:tcW w:w="1244" w:type="dxa"/>
            <w:tcBorders>
              <w:top w:val="nil"/>
              <w:left w:val="nil"/>
              <w:bottom w:val="nil"/>
              <w:right w:val="nil"/>
            </w:tcBorders>
            <w:shd w:val="clear" w:color="000000" w:fill="FFFFFF"/>
            <w:noWrap/>
            <w:vAlign w:val="bottom"/>
            <w:hideMark/>
          </w:tcPr>
          <w:p w14:paraId="41815F8D" w14:textId="77777777" w:rsidR="001B6918" w:rsidRPr="004045CB" w:rsidRDefault="001B6918" w:rsidP="00730ECF">
            <w:pPr>
              <w:jc w:val="center"/>
              <w:rPr>
                <w:rFonts w:eastAsia="Times New Roman" w:cstheme="minorHAnsi"/>
                <w:color w:val="FF0000"/>
              </w:rPr>
            </w:pPr>
            <w:r>
              <w:rPr>
                <w:rFonts w:ascii="Calibri" w:hAnsi="Calibri" w:cs="Calibri"/>
              </w:rPr>
              <w:t>33%</w:t>
            </w:r>
          </w:p>
        </w:tc>
        <w:tc>
          <w:tcPr>
            <w:tcW w:w="1585" w:type="dxa"/>
            <w:tcBorders>
              <w:top w:val="nil"/>
              <w:left w:val="nil"/>
              <w:bottom w:val="nil"/>
              <w:right w:val="nil"/>
            </w:tcBorders>
            <w:shd w:val="clear" w:color="000000" w:fill="FFFFFF"/>
            <w:noWrap/>
            <w:vAlign w:val="bottom"/>
            <w:hideMark/>
          </w:tcPr>
          <w:p w14:paraId="1B3B82B6" w14:textId="77777777" w:rsidR="001B6918" w:rsidRPr="004045CB" w:rsidRDefault="001B6918" w:rsidP="00730ECF">
            <w:pPr>
              <w:jc w:val="center"/>
              <w:rPr>
                <w:rFonts w:eastAsia="Times New Roman" w:cstheme="minorHAnsi"/>
                <w:color w:val="FF0000"/>
              </w:rPr>
            </w:pPr>
            <w:r>
              <w:rPr>
                <w:rFonts w:ascii="Calibri" w:hAnsi="Calibri" w:cs="Calibri"/>
              </w:rPr>
              <w:t>4.70%</w:t>
            </w:r>
          </w:p>
        </w:tc>
        <w:tc>
          <w:tcPr>
            <w:tcW w:w="1256" w:type="dxa"/>
            <w:tcBorders>
              <w:top w:val="single" w:sz="12" w:space="0" w:color="000000" w:themeColor="text1"/>
              <w:left w:val="nil"/>
              <w:bottom w:val="nil"/>
              <w:right w:val="nil"/>
            </w:tcBorders>
            <w:shd w:val="clear" w:color="auto" w:fill="F2F2F2" w:themeFill="background1" w:themeFillShade="F2"/>
            <w:noWrap/>
            <w:vAlign w:val="bottom"/>
            <w:hideMark/>
          </w:tcPr>
          <w:p w14:paraId="55123577" w14:textId="77777777" w:rsidR="001B6918" w:rsidRPr="004E6649" w:rsidRDefault="001B6918" w:rsidP="00730ECF">
            <w:pPr>
              <w:jc w:val="center"/>
              <w:rPr>
                <w:rFonts w:eastAsia="Times New Roman" w:cstheme="minorHAnsi"/>
                <w:color w:val="0D0D0D"/>
              </w:rPr>
            </w:pPr>
            <w:r w:rsidRPr="00682CE5">
              <w:rPr>
                <w:rFonts w:cstheme="minorHAnsi"/>
              </w:rPr>
              <w:t>30%</w:t>
            </w:r>
          </w:p>
        </w:tc>
        <w:tc>
          <w:tcPr>
            <w:tcW w:w="1585" w:type="dxa"/>
            <w:tcBorders>
              <w:top w:val="single" w:sz="12" w:space="0" w:color="000000" w:themeColor="text1"/>
              <w:left w:val="nil"/>
              <w:bottom w:val="nil"/>
              <w:right w:val="nil"/>
            </w:tcBorders>
            <w:shd w:val="clear" w:color="auto" w:fill="F2F2F2" w:themeFill="background1" w:themeFillShade="F2"/>
            <w:noWrap/>
            <w:vAlign w:val="bottom"/>
            <w:hideMark/>
          </w:tcPr>
          <w:p w14:paraId="3699FCA9" w14:textId="77777777" w:rsidR="001B6918" w:rsidRPr="004E6649" w:rsidRDefault="001B6918" w:rsidP="00730ECF">
            <w:pPr>
              <w:jc w:val="center"/>
              <w:rPr>
                <w:rFonts w:eastAsia="Times New Roman" w:cstheme="minorHAnsi"/>
                <w:color w:val="0D0D0D"/>
              </w:rPr>
            </w:pPr>
            <w:r w:rsidRPr="00682CE5">
              <w:rPr>
                <w:rFonts w:cstheme="minorHAnsi"/>
              </w:rPr>
              <w:t>4.40%</w:t>
            </w:r>
          </w:p>
        </w:tc>
      </w:tr>
      <w:tr w:rsidR="001B6918" w:rsidRPr="004E6649" w14:paraId="02EFE7F8" w14:textId="77777777" w:rsidTr="00730ECF">
        <w:trPr>
          <w:trHeight w:val="288"/>
          <w:jc w:val="center"/>
        </w:trPr>
        <w:tc>
          <w:tcPr>
            <w:tcW w:w="2550" w:type="dxa"/>
            <w:tcBorders>
              <w:top w:val="nil"/>
              <w:left w:val="nil"/>
              <w:bottom w:val="nil"/>
              <w:right w:val="nil"/>
            </w:tcBorders>
            <w:shd w:val="clear" w:color="000000" w:fill="FFFFFF"/>
            <w:noWrap/>
            <w:vAlign w:val="center"/>
            <w:hideMark/>
          </w:tcPr>
          <w:p w14:paraId="3092D2A4"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Emerging Market Equity</w:t>
            </w:r>
          </w:p>
        </w:tc>
        <w:tc>
          <w:tcPr>
            <w:tcW w:w="1244" w:type="dxa"/>
            <w:tcBorders>
              <w:top w:val="nil"/>
              <w:left w:val="nil"/>
              <w:bottom w:val="nil"/>
              <w:right w:val="nil"/>
            </w:tcBorders>
            <w:shd w:val="clear" w:color="000000" w:fill="FFFFFF"/>
            <w:noWrap/>
            <w:vAlign w:val="bottom"/>
            <w:hideMark/>
          </w:tcPr>
          <w:p w14:paraId="0BA79E05" w14:textId="77777777" w:rsidR="001B6918" w:rsidRPr="004045CB" w:rsidRDefault="001B6918" w:rsidP="00730ECF">
            <w:pPr>
              <w:jc w:val="center"/>
              <w:rPr>
                <w:rFonts w:eastAsia="Times New Roman" w:cstheme="minorHAnsi"/>
                <w:color w:val="FF0000"/>
              </w:rPr>
            </w:pPr>
            <w:r>
              <w:rPr>
                <w:rFonts w:ascii="Calibri" w:hAnsi="Calibri" w:cs="Calibri"/>
              </w:rPr>
              <w:t xml:space="preserve">  0%</w:t>
            </w:r>
          </w:p>
        </w:tc>
        <w:tc>
          <w:tcPr>
            <w:tcW w:w="1585" w:type="dxa"/>
            <w:tcBorders>
              <w:top w:val="nil"/>
              <w:left w:val="nil"/>
              <w:bottom w:val="nil"/>
              <w:right w:val="nil"/>
            </w:tcBorders>
            <w:shd w:val="clear" w:color="000000" w:fill="FFFFFF"/>
            <w:noWrap/>
            <w:vAlign w:val="bottom"/>
            <w:hideMark/>
          </w:tcPr>
          <w:p w14:paraId="3865E163" w14:textId="77777777" w:rsidR="001B6918" w:rsidRPr="004045CB" w:rsidRDefault="001B6918" w:rsidP="00730ECF">
            <w:pPr>
              <w:jc w:val="center"/>
              <w:rPr>
                <w:rFonts w:eastAsia="Times New Roman" w:cstheme="minorHAnsi"/>
                <w:color w:val="FF0000"/>
              </w:rPr>
            </w:pPr>
            <w:r>
              <w:rPr>
                <w:rFonts w:ascii="Calibri" w:hAnsi="Calibri" w:cs="Calibri"/>
              </w:rPr>
              <w:t xml:space="preserve">     0%</w:t>
            </w:r>
          </w:p>
        </w:tc>
        <w:tc>
          <w:tcPr>
            <w:tcW w:w="1256" w:type="dxa"/>
            <w:tcBorders>
              <w:top w:val="nil"/>
              <w:left w:val="nil"/>
              <w:bottom w:val="nil"/>
              <w:right w:val="nil"/>
            </w:tcBorders>
            <w:shd w:val="clear" w:color="auto" w:fill="F2F2F2" w:themeFill="background1" w:themeFillShade="F2"/>
            <w:noWrap/>
            <w:vAlign w:val="bottom"/>
            <w:hideMark/>
          </w:tcPr>
          <w:p w14:paraId="378455F4" w14:textId="77777777" w:rsidR="001B6918" w:rsidRPr="004E6649" w:rsidRDefault="001B6918" w:rsidP="00730ECF">
            <w:pPr>
              <w:jc w:val="center"/>
              <w:rPr>
                <w:rFonts w:eastAsia="Times New Roman" w:cstheme="minorHAnsi"/>
                <w:color w:val="0D0D0D"/>
              </w:rPr>
            </w:pPr>
            <w:r>
              <w:rPr>
                <w:rFonts w:cstheme="minorHAnsi"/>
              </w:rPr>
              <w:t xml:space="preserve"> </w:t>
            </w:r>
            <w:r w:rsidRPr="00682CE5">
              <w:rPr>
                <w:rFonts w:cstheme="minorHAnsi"/>
              </w:rPr>
              <w:t>3%</w:t>
            </w:r>
          </w:p>
        </w:tc>
        <w:tc>
          <w:tcPr>
            <w:tcW w:w="1585" w:type="dxa"/>
            <w:tcBorders>
              <w:top w:val="nil"/>
              <w:left w:val="nil"/>
              <w:bottom w:val="nil"/>
              <w:right w:val="nil"/>
            </w:tcBorders>
            <w:shd w:val="clear" w:color="auto" w:fill="F2F2F2" w:themeFill="background1" w:themeFillShade="F2"/>
            <w:noWrap/>
            <w:vAlign w:val="bottom"/>
            <w:hideMark/>
          </w:tcPr>
          <w:p w14:paraId="6AE233F3" w14:textId="77777777" w:rsidR="001B6918" w:rsidRPr="004E6649" w:rsidRDefault="001B6918" w:rsidP="00730ECF">
            <w:pPr>
              <w:jc w:val="center"/>
              <w:rPr>
                <w:rFonts w:eastAsia="Times New Roman" w:cstheme="minorHAnsi"/>
                <w:color w:val="0D0D0D"/>
              </w:rPr>
            </w:pPr>
            <w:r w:rsidRPr="00682CE5">
              <w:rPr>
                <w:rFonts w:cstheme="minorHAnsi"/>
              </w:rPr>
              <w:t>5.90%</w:t>
            </w:r>
          </w:p>
        </w:tc>
      </w:tr>
      <w:tr w:rsidR="001B6918" w:rsidRPr="004E6649" w14:paraId="47957EE5" w14:textId="77777777" w:rsidTr="00730ECF">
        <w:trPr>
          <w:trHeight w:val="288"/>
          <w:jc w:val="center"/>
        </w:trPr>
        <w:tc>
          <w:tcPr>
            <w:tcW w:w="2550" w:type="dxa"/>
            <w:tcBorders>
              <w:top w:val="nil"/>
              <w:left w:val="nil"/>
              <w:bottom w:val="nil"/>
              <w:right w:val="nil"/>
            </w:tcBorders>
            <w:shd w:val="clear" w:color="000000" w:fill="FFFFFF"/>
            <w:noWrap/>
            <w:vAlign w:val="center"/>
            <w:hideMark/>
          </w:tcPr>
          <w:p w14:paraId="48A2BDC8"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Fixed Income</w:t>
            </w:r>
          </w:p>
        </w:tc>
        <w:tc>
          <w:tcPr>
            <w:tcW w:w="1244" w:type="dxa"/>
            <w:tcBorders>
              <w:top w:val="nil"/>
              <w:left w:val="nil"/>
              <w:bottom w:val="nil"/>
              <w:right w:val="nil"/>
            </w:tcBorders>
            <w:shd w:val="clear" w:color="000000" w:fill="FFFFFF"/>
            <w:noWrap/>
            <w:vAlign w:val="bottom"/>
            <w:hideMark/>
          </w:tcPr>
          <w:p w14:paraId="26576D57" w14:textId="77777777" w:rsidR="001B6918" w:rsidRPr="004045CB" w:rsidRDefault="001B6918" w:rsidP="00730ECF">
            <w:pPr>
              <w:jc w:val="center"/>
              <w:rPr>
                <w:rFonts w:eastAsia="Times New Roman" w:cstheme="minorHAnsi"/>
                <w:color w:val="FF0000"/>
              </w:rPr>
            </w:pPr>
            <w:r>
              <w:rPr>
                <w:rFonts w:ascii="Calibri" w:hAnsi="Calibri" w:cs="Calibri"/>
              </w:rPr>
              <w:t>48%</w:t>
            </w:r>
          </w:p>
        </w:tc>
        <w:tc>
          <w:tcPr>
            <w:tcW w:w="1585" w:type="dxa"/>
            <w:tcBorders>
              <w:top w:val="nil"/>
              <w:left w:val="nil"/>
              <w:bottom w:val="nil"/>
              <w:right w:val="nil"/>
            </w:tcBorders>
            <w:shd w:val="clear" w:color="000000" w:fill="FFFFFF"/>
            <w:noWrap/>
            <w:vAlign w:val="bottom"/>
            <w:hideMark/>
          </w:tcPr>
          <w:p w14:paraId="030A5842" w14:textId="77777777" w:rsidR="001B6918" w:rsidRPr="004045CB" w:rsidRDefault="001B6918" w:rsidP="00730ECF">
            <w:pPr>
              <w:jc w:val="center"/>
              <w:rPr>
                <w:rFonts w:eastAsia="Times New Roman" w:cstheme="minorHAnsi"/>
                <w:color w:val="FF0000"/>
              </w:rPr>
            </w:pPr>
            <w:r>
              <w:rPr>
                <w:rFonts w:ascii="Calibri" w:hAnsi="Calibri" w:cs="Calibri"/>
              </w:rPr>
              <w:t>2.71%</w:t>
            </w:r>
          </w:p>
        </w:tc>
        <w:tc>
          <w:tcPr>
            <w:tcW w:w="1256" w:type="dxa"/>
            <w:tcBorders>
              <w:top w:val="nil"/>
              <w:left w:val="nil"/>
              <w:bottom w:val="nil"/>
              <w:right w:val="nil"/>
            </w:tcBorders>
            <w:shd w:val="clear" w:color="auto" w:fill="F2F2F2" w:themeFill="background1" w:themeFillShade="F2"/>
            <w:noWrap/>
            <w:vAlign w:val="bottom"/>
            <w:hideMark/>
          </w:tcPr>
          <w:p w14:paraId="3EE8918D" w14:textId="77777777" w:rsidR="001B6918" w:rsidRPr="004E6649" w:rsidRDefault="001B6918" w:rsidP="00730ECF">
            <w:pPr>
              <w:jc w:val="center"/>
              <w:rPr>
                <w:rFonts w:eastAsia="Times New Roman" w:cstheme="minorHAnsi"/>
                <w:color w:val="0D0D0D"/>
              </w:rPr>
            </w:pPr>
            <w:r w:rsidRPr="00682CE5">
              <w:rPr>
                <w:rFonts w:cstheme="minorHAnsi"/>
              </w:rPr>
              <w:t>48%</w:t>
            </w:r>
          </w:p>
        </w:tc>
        <w:tc>
          <w:tcPr>
            <w:tcW w:w="1585" w:type="dxa"/>
            <w:tcBorders>
              <w:top w:val="nil"/>
              <w:left w:val="nil"/>
              <w:bottom w:val="nil"/>
              <w:right w:val="nil"/>
            </w:tcBorders>
            <w:shd w:val="clear" w:color="auto" w:fill="F2F2F2" w:themeFill="background1" w:themeFillShade="F2"/>
            <w:noWrap/>
            <w:vAlign w:val="bottom"/>
            <w:hideMark/>
          </w:tcPr>
          <w:p w14:paraId="7B24A331" w14:textId="77777777" w:rsidR="001B6918" w:rsidRPr="004E6649" w:rsidRDefault="001B6918" w:rsidP="00730ECF">
            <w:pPr>
              <w:jc w:val="center"/>
              <w:rPr>
                <w:rFonts w:eastAsia="Times New Roman" w:cstheme="minorHAnsi"/>
                <w:color w:val="0D0D0D"/>
              </w:rPr>
            </w:pPr>
            <w:r w:rsidRPr="00682CE5">
              <w:rPr>
                <w:rFonts w:cstheme="minorHAnsi"/>
              </w:rPr>
              <w:t>2.66%</w:t>
            </w:r>
          </w:p>
        </w:tc>
      </w:tr>
      <w:tr w:rsidR="001B6918" w:rsidRPr="004E6649" w14:paraId="66B66E22" w14:textId="77777777" w:rsidTr="00730ECF">
        <w:trPr>
          <w:trHeight w:val="288"/>
          <w:jc w:val="center"/>
        </w:trPr>
        <w:tc>
          <w:tcPr>
            <w:tcW w:w="2550" w:type="dxa"/>
            <w:tcBorders>
              <w:top w:val="nil"/>
              <w:left w:val="nil"/>
              <w:bottom w:val="nil"/>
              <w:right w:val="nil"/>
            </w:tcBorders>
            <w:shd w:val="clear" w:color="000000" w:fill="FFFFFF"/>
            <w:noWrap/>
            <w:vAlign w:val="center"/>
            <w:hideMark/>
          </w:tcPr>
          <w:p w14:paraId="4D31E6D7"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Global Asset Allocation</w:t>
            </w:r>
          </w:p>
        </w:tc>
        <w:tc>
          <w:tcPr>
            <w:tcW w:w="1244" w:type="dxa"/>
            <w:tcBorders>
              <w:top w:val="nil"/>
              <w:left w:val="nil"/>
              <w:bottom w:val="nil"/>
              <w:right w:val="nil"/>
            </w:tcBorders>
            <w:shd w:val="clear" w:color="000000" w:fill="FFFFFF"/>
            <w:noWrap/>
            <w:vAlign w:val="bottom"/>
            <w:hideMark/>
          </w:tcPr>
          <w:p w14:paraId="0E71A32B" w14:textId="77777777" w:rsidR="001B6918" w:rsidRPr="004045CB" w:rsidRDefault="001B6918" w:rsidP="00730ECF">
            <w:pPr>
              <w:jc w:val="center"/>
              <w:rPr>
                <w:rFonts w:eastAsia="Times New Roman" w:cstheme="minorHAnsi"/>
                <w:color w:val="FF0000"/>
              </w:rPr>
            </w:pPr>
            <w:r>
              <w:rPr>
                <w:rFonts w:ascii="Calibri" w:hAnsi="Calibri" w:cs="Calibri"/>
              </w:rPr>
              <w:t>8%</w:t>
            </w:r>
          </w:p>
        </w:tc>
        <w:tc>
          <w:tcPr>
            <w:tcW w:w="1585" w:type="dxa"/>
            <w:tcBorders>
              <w:top w:val="nil"/>
              <w:left w:val="nil"/>
              <w:bottom w:val="nil"/>
              <w:right w:val="nil"/>
            </w:tcBorders>
            <w:shd w:val="clear" w:color="000000" w:fill="FFFFFF"/>
            <w:noWrap/>
            <w:vAlign w:val="bottom"/>
            <w:hideMark/>
          </w:tcPr>
          <w:p w14:paraId="388D7307" w14:textId="77777777" w:rsidR="001B6918" w:rsidRPr="004045CB" w:rsidRDefault="001B6918" w:rsidP="00730ECF">
            <w:pPr>
              <w:jc w:val="center"/>
              <w:rPr>
                <w:rFonts w:eastAsia="Times New Roman" w:cstheme="minorHAnsi"/>
                <w:color w:val="FF0000"/>
              </w:rPr>
            </w:pPr>
            <w:r>
              <w:rPr>
                <w:rFonts w:ascii="Calibri" w:hAnsi="Calibri" w:cs="Calibri"/>
              </w:rPr>
              <w:t>3.70%</w:t>
            </w:r>
          </w:p>
        </w:tc>
        <w:tc>
          <w:tcPr>
            <w:tcW w:w="1256" w:type="dxa"/>
            <w:tcBorders>
              <w:top w:val="nil"/>
              <w:left w:val="nil"/>
              <w:bottom w:val="nil"/>
              <w:right w:val="nil"/>
            </w:tcBorders>
            <w:shd w:val="clear" w:color="auto" w:fill="F2F2F2" w:themeFill="background1" w:themeFillShade="F2"/>
            <w:noWrap/>
            <w:vAlign w:val="bottom"/>
            <w:hideMark/>
          </w:tcPr>
          <w:p w14:paraId="2582952F" w14:textId="77777777" w:rsidR="001B6918" w:rsidRPr="004E6649" w:rsidRDefault="001B6918" w:rsidP="00730ECF">
            <w:pPr>
              <w:jc w:val="center"/>
              <w:rPr>
                <w:rFonts w:eastAsia="Times New Roman" w:cstheme="minorHAnsi"/>
                <w:color w:val="0D0D0D"/>
              </w:rPr>
            </w:pPr>
            <w:r w:rsidRPr="00682CE5">
              <w:rPr>
                <w:rFonts w:cstheme="minorHAnsi"/>
              </w:rPr>
              <w:t>8%</w:t>
            </w:r>
          </w:p>
        </w:tc>
        <w:tc>
          <w:tcPr>
            <w:tcW w:w="1585" w:type="dxa"/>
            <w:tcBorders>
              <w:top w:val="nil"/>
              <w:left w:val="nil"/>
              <w:bottom w:val="nil"/>
              <w:right w:val="nil"/>
            </w:tcBorders>
            <w:shd w:val="clear" w:color="auto" w:fill="F2F2F2" w:themeFill="background1" w:themeFillShade="F2"/>
            <w:noWrap/>
            <w:vAlign w:val="bottom"/>
            <w:hideMark/>
          </w:tcPr>
          <w:p w14:paraId="1DA1E40C" w14:textId="77777777" w:rsidR="001B6918" w:rsidRPr="004E6649" w:rsidRDefault="001B6918" w:rsidP="00730ECF">
            <w:pPr>
              <w:jc w:val="center"/>
              <w:rPr>
                <w:rFonts w:eastAsia="Times New Roman" w:cstheme="minorHAnsi"/>
                <w:color w:val="0D0D0D"/>
              </w:rPr>
            </w:pPr>
            <w:r w:rsidRPr="00682CE5">
              <w:rPr>
                <w:rFonts w:cstheme="minorHAnsi"/>
              </w:rPr>
              <w:t>3.50%</w:t>
            </w:r>
          </w:p>
        </w:tc>
      </w:tr>
      <w:tr w:rsidR="001B6918" w:rsidRPr="004E6649" w14:paraId="2F664E1A" w14:textId="77777777" w:rsidTr="00730ECF">
        <w:trPr>
          <w:trHeight w:val="288"/>
          <w:jc w:val="center"/>
        </w:trPr>
        <w:tc>
          <w:tcPr>
            <w:tcW w:w="2550" w:type="dxa"/>
            <w:tcBorders>
              <w:top w:val="nil"/>
              <w:left w:val="nil"/>
              <w:bottom w:val="nil"/>
              <w:right w:val="nil"/>
            </w:tcBorders>
            <w:shd w:val="clear" w:color="000000" w:fill="FFFFFF"/>
            <w:noWrap/>
            <w:vAlign w:val="center"/>
            <w:hideMark/>
          </w:tcPr>
          <w:p w14:paraId="7FABFD04"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Real Estate</w:t>
            </w:r>
          </w:p>
        </w:tc>
        <w:tc>
          <w:tcPr>
            <w:tcW w:w="1244" w:type="dxa"/>
            <w:tcBorders>
              <w:top w:val="nil"/>
              <w:left w:val="nil"/>
              <w:bottom w:val="nil"/>
              <w:right w:val="nil"/>
            </w:tcBorders>
            <w:shd w:val="clear" w:color="000000" w:fill="FFFFFF"/>
            <w:noWrap/>
            <w:vAlign w:val="bottom"/>
            <w:hideMark/>
          </w:tcPr>
          <w:p w14:paraId="04168D86" w14:textId="77777777" w:rsidR="001B6918" w:rsidRPr="004045CB" w:rsidRDefault="001B6918" w:rsidP="00730ECF">
            <w:pPr>
              <w:jc w:val="center"/>
              <w:rPr>
                <w:rFonts w:eastAsia="Times New Roman" w:cstheme="minorHAnsi"/>
                <w:color w:val="FF0000"/>
              </w:rPr>
            </w:pPr>
            <w:r>
              <w:rPr>
                <w:rFonts w:ascii="Calibri" w:hAnsi="Calibri" w:cs="Calibri"/>
              </w:rPr>
              <w:t>3%</w:t>
            </w:r>
          </w:p>
        </w:tc>
        <w:tc>
          <w:tcPr>
            <w:tcW w:w="1585" w:type="dxa"/>
            <w:tcBorders>
              <w:top w:val="nil"/>
              <w:left w:val="nil"/>
              <w:bottom w:val="nil"/>
              <w:right w:val="nil"/>
            </w:tcBorders>
            <w:shd w:val="clear" w:color="000000" w:fill="FFFFFF"/>
            <w:noWrap/>
            <w:vAlign w:val="bottom"/>
            <w:hideMark/>
          </w:tcPr>
          <w:p w14:paraId="704005F3" w14:textId="77777777" w:rsidR="001B6918" w:rsidRPr="004045CB" w:rsidRDefault="001B6918" w:rsidP="00730ECF">
            <w:pPr>
              <w:jc w:val="center"/>
              <w:rPr>
                <w:rFonts w:eastAsia="Times New Roman" w:cstheme="minorHAnsi"/>
                <w:color w:val="FF0000"/>
              </w:rPr>
            </w:pPr>
            <w:r>
              <w:rPr>
                <w:rFonts w:ascii="Calibri" w:hAnsi="Calibri" w:cs="Calibri"/>
              </w:rPr>
              <w:t>3.50%</w:t>
            </w:r>
          </w:p>
        </w:tc>
        <w:tc>
          <w:tcPr>
            <w:tcW w:w="1256" w:type="dxa"/>
            <w:tcBorders>
              <w:top w:val="nil"/>
              <w:left w:val="nil"/>
              <w:bottom w:val="nil"/>
              <w:right w:val="nil"/>
            </w:tcBorders>
            <w:shd w:val="clear" w:color="auto" w:fill="F2F2F2" w:themeFill="background1" w:themeFillShade="F2"/>
            <w:noWrap/>
            <w:vAlign w:val="bottom"/>
            <w:hideMark/>
          </w:tcPr>
          <w:p w14:paraId="633124ED" w14:textId="77777777" w:rsidR="001B6918" w:rsidRPr="004E6649" w:rsidRDefault="001B6918" w:rsidP="00730ECF">
            <w:pPr>
              <w:jc w:val="center"/>
              <w:rPr>
                <w:rFonts w:eastAsia="Times New Roman" w:cstheme="minorHAnsi"/>
                <w:color w:val="0D0D0D"/>
              </w:rPr>
            </w:pPr>
            <w:r w:rsidRPr="00682CE5">
              <w:rPr>
                <w:rFonts w:cstheme="minorHAnsi"/>
              </w:rPr>
              <w:t>3%</w:t>
            </w:r>
          </w:p>
        </w:tc>
        <w:tc>
          <w:tcPr>
            <w:tcW w:w="1585" w:type="dxa"/>
            <w:tcBorders>
              <w:top w:val="nil"/>
              <w:left w:val="nil"/>
              <w:bottom w:val="nil"/>
              <w:right w:val="nil"/>
            </w:tcBorders>
            <w:shd w:val="clear" w:color="auto" w:fill="F2F2F2" w:themeFill="background1" w:themeFillShade="F2"/>
            <w:noWrap/>
            <w:vAlign w:val="bottom"/>
            <w:hideMark/>
          </w:tcPr>
          <w:p w14:paraId="6F62766E" w14:textId="77777777" w:rsidR="001B6918" w:rsidRPr="004E6649" w:rsidRDefault="001B6918" w:rsidP="00730ECF">
            <w:pPr>
              <w:jc w:val="center"/>
              <w:rPr>
                <w:rFonts w:eastAsia="Times New Roman" w:cstheme="minorHAnsi"/>
                <w:color w:val="0D0D0D"/>
              </w:rPr>
            </w:pPr>
            <w:r w:rsidRPr="00682CE5">
              <w:rPr>
                <w:rFonts w:cstheme="minorHAnsi"/>
              </w:rPr>
              <w:t>3.90%</w:t>
            </w:r>
          </w:p>
        </w:tc>
      </w:tr>
      <w:tr w:rsidR="001B6918" w:rsidRPr="004E6649" w14:paraId="2D169FBA" w14:textId="77777777" w:rsidTr="00730ECF">
        <w:trPr>
          <w:trHeight w:val="288"/>
          <w:jc w:val="center"/>
        </w:trPr>
        <w:tc>
          <w:tcPr>
            <w:tcW w:w="2550" w:type="dxa"/>
            <w:tcBorders>
              <w:top w:val="nil"/>
              <w:left w:val="nil"/>
              <w:bottom w:val="nil"/>
              <w:right w:val="nil"/>
            </w:tcBorders>
            <w:shd w:val="clear" w:color="000000" w:fill="FFFFFF"/>
            <w:noWrap/>
            <w:vAlign w:val="center"/>
            <w:hideMark/>
          </w:tcPr>
          <w:p w14:paraId="02CF03E8"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Alternative Investments</w:t>
            </w:r>
          </w:p>
        </w:tc>
        <w:tc>
          <w:tcPr>
            <w:tcW w:w="1244" w:type="dxa"/>
            <w:tcBorders>
              <w:top w:val="nil"/>
              <w:left w:val="nil"/>
              <w:bottom w:val="nil"/>
              <w:right w:val="nil"/>
            </w:tcBorders>
            <w:shd w:val="clear" w:color="000000" w:fill="FFFFFF"/>
            <w:noWrap/>
            <w:vAlign w:val="bottom"/>
            <w:hideMark/>
          </w:tcPr>
          <w:p w14:paraId="5AD58132" w14:textId="77777777" w:rsidR="001B6918" w:rsidRPr="004045CB" w:rsidRDefault="001B6918" w:rsidP="00730ECF">
            <w:pPr>
              <w:jc w:val="center"/>
              <w:rPr>
                <w:rFonts w:eastAsia="Times New Roman" w:cstheme="minorHAnsi"/>
                <w:color w:val="FF0000"/>
              </w:rPr>
            </w:pPr>
            <w:r>
              <w:rPr>
                <w:rFonts w:ascii="Calibri" w:hAnsi="Calibri" w:cs="Calibri"/>
              </w:rPr>
              <w:t>5%</w:t>
            </w:r>
          </w:p>
        </w:tc>
        <w:tc>
          <w:tcPr>
            <w:tcW w:w="1585" w:type="dxa"/>
            <w:tcBorders>
              <w:top w:val="nil"/>
              <w:left w:val="nil"/>
              <w:bottom w:val="nil"/>
              <w:right w:val="nil"/>
            </w:tcBorders>
            <w:shd w:val="clear" w:color="000000" w:fill="FFFFFF"/>
            <w:noWrap/>
            <w:vAlign w:val="bottom"/>
            <w:hideMark/>
          </w:tcPr>
          <w:p w14:paraId="4BCA318F" w14:textId="77777777" w:rsidR="001B6918" w:rsidRPr="004045CB" w:rsidRDefault="001B6918" w:rsidP="00730ECF">
            <w:pPr>
              <w:jc w:val="center"/>
              <w:rPr>
                <w:rFonts w:eastAsia="Times New Roman" w:cstheme="minorHAnsi"/>
                <w:color w:val="FF0000"/>
              </w:rPr>
            </w:pPr>
            <w:r>
              <w:rPr>
                <w:rFonts w:ascii="Calibri" w:hAnsi="Calibri" w:cs="Calibri"/>
              </w:rPr>
              <w:t>3.50%</w:t>
            </w:r>
          </w:p>
        </w:tc>
        <w:tc>
          <w:tcPr>
            <w:tcW w:w="1256" w:type="dxa"/>
            <w:tcBorders>
              <w:top w:val="nil"/>
              <w:left w:val="nil"/>
              <w:bottom w:val="nil"/>
              <w:right w:val="nil"/>
            </w:tcBorders>
            <w:shd w:val="clear" w:color="auto" w:fill="F2F2F2" w:themeFill="background1" w:themeFillShade="F2"/>
            <w:noWrap/>
            <w:vAlign w:val="bottom"/>
            <w:hideMark/>
          </w:tcPr>
          <w:p w14:paraId="26DC15FD" w14:textId="77777777" w:rsidR="001B6918" w:rsidRPr="004E6649" w:rsidRDefault="001B6918" w:rsidP="00730ECF">
            <w:pPr>
              <w:jc w:val="center"/>
              <w:rPr>
                <w:rFonts w:eastAsia="Times New Roman" w:cstheme="minorHAnsi"/>
                <w:color w:val="0D0D0D"/>
              </w:rPr>
            </w:pPr>
            <w:r w:rsidRPr="00682CE5">
              <w:rPr>
                <w:rFonts w:cstheme="minorHAnsi"/>
              </w:rPr>
              <w:t>5%</w:t>
            </w:r>
          </w:p>
        </w:tc>
        <w:tc>
          <w:tcPr>
            <w:tcW w:w="1585" w:type="dxa"/>
            <w:tcBorders>
              <w:top w:val="nil"/>
              <w:left w:val="nil"/>
              <w:bottom w:val="nil"/>
              <w:right w:val="nil"/>
            </w:tcBorders>
            <w:shd w:val="clear" w:color="auto" w:fill="F2F2F2" w:themeFill="background1" w:themeFillShade="F2"/>
            <w:noWrap/>
            <w:vAlign w:val="bottom"/>
            <w:hideMark/>
          </w:tcPr>
          <w:p w14:paraId="644458FC" w14:textId="77777777" w:rsidR="001B6918" w:rsidRPr="004E6649" w:rsidRDefault="001B6918" w:rsidP="00730ECF">
            <w:pPr>
              <w:jc w:val="center"/>
              <w:rPr>
                <w:rFonts w:eastAsia="Times New Roman" w:cstheme="minorHAnsi"/>
                <w:color w:val="0D0D0D"/>
              </w:rPr>
            </w:pPr>
            <w:r w:rsidRPr="00682CE5">
              <w:rPr>
                <w:rFonts w:cstheme="minorHAnsi"/>
              </w:rPr>
              <w:t>3.40%</w:t>
            </w:r>
          </w:p>
        </w:tc>
      </w:tr>
      <w:tr w:rsidR="001B6918" w:rsidRPr="004E6649" w14:paraId="4606A43B" w14:textId="77777777" w:rsidTr="00730ECF">
        <w:trPr>
          <w:trHeight w:val="288"/>
          <w:jc w:val="center"/>
        </w:trPr>
        <w:tc>
          <w:tcPr>
            <w:tcW w:w="2550" w:type="dxa"/>
            <w:tcBorders>
              <w:top w:val="nil"/>
              <w:left w:val="nil"/>
              <w:bottom w:val="single" w:sz="4" w:space="0" w:color="000000" w:themeColor="text1"/>
              <w:right w:val="nil"/>
            </w:tcBorders>
            <w:shd w:val="clear" w:color="000000" w:fill="FFFFFF"/>
            <w:noWrap/>
            <w:vAlign w:val="center"/>
            <w:hideMark/>
          </w:tcPr>
          <w:p w14:paraId="57FA76CA"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Cash</w:t>
            </w:r>
          </w:p>
        </w:tc>
        <w:tc>
          <w:tcPr>
            <w:tcW w:w="1244" w:type="dxa"/>
            <w:tcBorders>
              <w:top w:val="nil"/>
              <w:left w:val="nil"/>
              <w:bottom w:val="nil"/>
              <w:right w:val="nil"/>
            </w:tcBorders>
            <w:shd w:val="clear" w:color="000000" w:fill="FFFFFF"/>
            <w:noWrap/>
            <w:vAlign w:val="bottom"/>
            <w:hideMark/>
          </w:tcPr>
          <w:p w14:paraId="3EAC0384" w14:textId="77777777" w:rsidR="001B6918" w:rsidRPr="004045CB" w:rsidRDefault="001B6918" w:rsidP="00730ECF">
            <w:pPr>
              <w:jc w:val="center"/>
              <w:rPr>
                <w:rFonts w:eastAsia="Times New Roman" w:cstheme="minorHAnsi"/>
                <w:color w:val="FF0000"/>
              </w:rPr>
            </w:pPr>
            <w:r>
              <w:rPr>
                <w:rFonts w:ascii="Calibri" w:hAnsi="Calibri" w:cs="Calibri"/>
              </w:rPr>
              <w:t>3%</w:t>
            </w:r>
          </w:p>
        </w:tc>
        <w:tc>
          <w:tcPr>
            <w:tcW w:w="1585" w:type="dxa"/>
            <w:tcBorders>
              <w:top w:val="nil"/>
              <w:left w:val="nil"/>
              <w:bottom w:val="nil"/>
              <w:right w:val="nil"/>
            </w:tcBorders>
            <w:shd w:val="clear" w:color="000000" w:fill="FFFFFF"/>
            <w:noWrap/>
            <w:vAlign w:val="bottom"/>
            <w:hideMark/>
          </w:tcPr>
          <w:p w14:paraId="680FBA83" w14:textId="77777777" w:rsidR="001B6918" w:rsidRPr="004045CB" w:rsidRDefault="001B6918" w:rsidP="00730ECF">
            <w:pPr>
              <w:jc w:val="center"/>
              <w:rPr>
                <w:rFonts w:eastAsia="Times New Roman" w:cstheme="minorHAnsi"/>
                <w:color w:val="FF0000"/>
              </w:rPr>
            </w:pPr>
            <w:r>
              <w:rPr>
                <w:rFonts w:ascii="Calibri" w:hAnsi="Calibri" w:cs="Calibri"/>
              </w:rPr>
              <w:t>0.90%</w:t>
            </w:r>
          </w:p>
        </w:tc>
        <w:tc>
          <w:tcPr>
            <w:tcW w:w="1256" w:type="dxa"/>
            <w:tcBorders>
              <w:top w:val="nil"/>
              <w:left w:val="nil"/>
              <w:bottom w:val="single" w:sz="4" w:space="0" w:color="000000" w:themeColor="text1"/>
              <w:right w:val="nil"/>
            </w:tcBorders>
            <w:shd w:val="clear" w:color="auto" w:fill="F2F2F2" w:themeFill="background1" w:themeFillShade="F2"/>
            <w:noWrap/>
            <w:vAlign w:val="bottom"/>
            <w:hideMark/>
          </w:tcPr>
          <w:p w14:paraId="3E733272" w14:textId="77777777" w:rsidR="001B6918" w:rsidRPr="004E6649" w:rsidRDefault="001B6918" w:rsidP="00730ECF">
            <w:pPr>
              <w:jc w:val="center"/>
              <w:rPr>
                <w:rFonts w:eastAsia="Times New Roman" w:cstheme="minorHAnsi"/>
                <w:color w:val="0D0D0D"/>
              </w:rPr>
            </w:pPr>
            <w:r w:rsidRPr="00682CE5">
              <w:rPr>
                <w:rFonts w:cstheme="minorHAnsi"/>
              </w:rPr>
              <w:t>3%</w:t>
            </w:r>
          </w:p>
        </w:tc>
        <w:tc>
          <w:tcPr>
            <w:tcW w:w="1585" w:type="dxa"/>
            <w:tcBorders>
              <w:top w:val="nil"/>
              <w:left w:val="nil"/>
              <w:bottom w:val="nil"/>
              <w:right w:val="nil"/>
            </w:tcBorders>
            <w:shd w:val="clear" w:color="auto" w:fill="F2F2F2" w:themeFill="background1" w:themeFillShade="F2"/>
            <w:noWrap/>
            <w:vAlign w:val="bottom"/>
            <w:hideMark/>
          </w:tcPr>
          <w:p w14:paraId="646306BE" w14:textId="77777777" w:rsidR="001B6918" w:rsidRPr="004E6649" w:rsidRDefault="001B6918" w:rsidP="00730ECF">
            <w:pPr>
              <w:jc w:val="center"/>
              <w:rPr>
                <w:rFonts w:eastAsia="Times New Roman" w:cstheme="minorHAnsi"/>
                <w:color w:val="0D0D0D"/>
              </w:rPr>
            </w:pPr>
            <w:r w:rsidRPr="00682CE5">
              <w:rPr>
                <w:rFonts w:cstheme="minorHAnsi"/>
              </w:rPr>
              <w:t>0.</w:t>
            </w:r>
            <w:r>
              <w:rPr>
                <w:rFonts w:cstheme="minorHAnsi"/>
              </w:rPr>
              <w:t>9</w:t>
            </w:r>
            <w:r w:rsidRPr="00682CE5">
              <w:rPr>
                <w:rFonts w:cstheme="minorHAnsi"/>
              </w:rPr>
              <w:t>0%</w:t>
            </w:r>
          </w:p>
        </w:tc>
      </w:tr>
      <w:tr w:rsidR="001B6918" w:rsidRPr="004E6649" w14:paraId="483F569A" w14:textId="77777777" w:rsidTr="00730ECF">
        <w:trPr>
          <w:trHeight w:val="300"/>
          <w:jc w:val="center"/>
        </w:trPr>
        <w:tc>
          <w:tcPr>
            <w:tcW w:w="2550" w:type="dxa"/>
            <w:tcBorders>
              <w:top w:val="single" w:sz="4" w:space="0" w:color="000000" w:themeColor="text1"/>
              <w:left w:val="nil"/>
              <w:bottom w:val="double" w:sz="4" w:space="0" w:color="000000" w:themeColor="text1"/>
              <w:right w:val="nil"/>
            </w:tcBorders>
            <w:shd w:val="clear" w:color="000000" w:fill="FFFFFF"/>
            <w:noWrap/>
            <w:vAlign w:val="bottom"/>
            <w:hideMark/>
          </w:tcPr>
          <w:p w14:paraId="07D732EB"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Total</w:t>
            </w:r>
          </w:p>
        </w:tc>
        <w:tc>
          <w:tcPr>
            <w:tcW w:w="1244" w:type="dxa"/>
            <w:tcBorders>
              <w:top w:val="single" w:sz="4" w:space="0" w:color="000000" w:themeColor="text1"/>
              <w:left w:val="nil"/>
              <w:bottom w:val="double" w:sz="4" w:space="0" w:color="000000" w:themeColor="text1"/>
              <w:right w:val="nil"/>
            </w:tcBorders>
            <w:shd w:val="clear" w:color="000000" w:fill="FFFFFF"/>
            <w:noWrap/>
            <w:vAlign w:val="bottom"/>
            <w:hideMark/>
          </w:tcPr>
          <w:p w14:paraId="65C91FC9" w14:textId="77777777" w:rsidR="001B6918" w:rsidRPr="004E6649" w:rsidRDefault="001B6918" w:rsidP="00730ECF">
            <w:pPr>
              <w:jc w:val="center"/>
              <w:rPr>
                <w:rFonts w:eastAsia="Times New Roman" w:cstheme="minorHAnsi"/>
              </w:rPr>
            </w:pPr>
            <w:r w:rsidRPr="004E6649">
              <w:rPr>
                <w:rFonts w:eastAsia="Times New Roman" w:cstheme="minorHAnsi"/>
              </w:rPr>
              <w:t>100%</w:t>
            </w:r>
          </w:p>
        </w:tc>
        <w:tc>
          <w:tcPr>
            <w:tcW w:w="1585" w:type="dxa"/>
            <w:tcBorders>
              <w:top w:val="nil"/>
              <w:left w:val="nil"/>
              <w:bottom w:val="nil"/>
              <w:right w:val="nil"/>
            </w:tcBorders>
            <w:shd w:val="clear" w:color="000000" w:fill="FFFFFF"/>
            <w:noWrap/>
            <w:vAlign w:val="bottom"/>
            <w:hideMark/>
          </w:tcPr>
          <w:p w14:paraId="6FD5479F" w14:textId="77777777" w:rsidR="001B6918" w:rsidRPr="004E6649" w:rsidRDefault="001B6918" w:rsidP="00730ECF">
            <w:pPr>
              <w:jc w:val="center"/>
              <w:rPr>
                <w:rFonts w:eastAsia="Times New Roman" w:cstheme="minorHAnsi"/>
              </w:rPr>
            </w:pPr>
            <w:r w:rsidRPr="004E6649">
              <w:rPr>
                <w:rFonts w:eastAsia="Times New Roman" w:cstheme="minorHAnsi"/>
              </w:rPr>
              <w:t> </w:t>
            </w:r>
          </w:p>
        </w:tc>
        <w:tc>
          <w:tcPr>
            <w:tcW w:w="1256" w:type="dxa"/>
            <w:tcBorders>
              <w:top w:val="single" w:sz="4" w:space="0" w:color="000000" w:themeColor="text1"/>
              <w:left w:val="nil"/>
              <w:bottom w:val="double" w:sz="4" w:space="0" w:color="000000" w:themeColor="text1"/>
              <w:right w:val="nil"/>
            </w:tcBorders>
            <w:shd w:val="clear" w:color="auto" w:fill="F2F2F2" w:themeFill="background1" w:themeFillShade="F2"/>
            <w:noWrap/>
            <w:vAlign w:val="bottom"/>
            <w:hideMark/>
          </w:tcPr>
          <w:p w14:paraId="6429844A" w14:textId="77777777" w:rsidR="001B6918" w:rsidRPr="004E6649" w:rsidRDefault="001B6918" w:rsidP="00730ECF">
            <w:pPr>
              <w:jc w:val="center"/>
              <w:rPr>
                <w:rFonts w:eastAsia="Times New Roman" w:cstheme="minorHAnsi"/>
                <w:color w:val="0D0D0D"/>
              </w:rPr>
            </w:pPr>
            <w:r w:rsidRPr="004E6649">
              <w:rPr>
                <w:rFonts w:eastAsia="Times New Roman" w:cstheme="minorHAnsi"/>
              </w:rPr>
              <w:t>100%</w:t>
            </w:r>
          </w:p>
        </w:tc>
        <w:tc>
          <w:tcPr>
            <w:tcW w:w="1585" w:type="dxa"/>
            <w:tcBorders>
              <w:top w:val="nil"/>
              <w:left w:val="nil"/>
              <w:bottom w:val="nil"/>
              <w:right w:val="nil"/>
            </w:tcBorders>
            <w:shd w:val="clear" w:color="auto" w:fill="F2F2F2" w:themeFill="background1" w:themeFillShade="F2"/>
            <w:noWrap/>
            <w:vAlign w:val="bottom"/>
            <w:hideMark/>
          </w:tcPr>
          <w:p w14:paraId="27C4E985" w14:textId="77777777" w:rsidR="001B6918" w:rsidRPr="004E6649" w:rsidRDefault="001B6918" w:rsidP="00730ECF">
            <w:pPr>
              <w:jc w:val="center"/>
              <w:rPr>
                <w:rFonts w:eastAsia="Times New Roman" w:cstheme="minorHAnsi"/>
                <w:color w:val="0D0D0D"/>
              </w:rPr>
            </w:pPr>
            <w:r w:rsidRPr="004E6649">
              <w:rPr>
                <w:rFonts w:eastAsia="Times New Roman" w:cstheme="minorHAnsi"/>
                <w:color w:val="0D0D0D"/>
              </w:rPr>
              <w:t> </w:t>
            </w:r>
          </w:p>
        </w:tc>
      </w:tr>
    </w:tbl>
    <w:p w14:paraId="40EA3021" w14:textId="77777777" w:rsidR="001B6918" w:rsidRPr="004E6649" w:rsidRDefault="001B6918" w:rsidP="001B6918">
      <w:pPr>
        <w:spacing w:before="240"/>
        <w:ind w:right="-7"/>
        <w:rPr>
          <w:rFonts w:eastAsia="Times New Roman" w:cstheme="minorHAnsi"/>
          <w:spacing w:val="-1"/>
          <w:sz w:val="24"/>
        </w:rPr>
      </w:pPr>
      <w:r w:rsidRPr="004E6649">
        <w:rPr>
          <w:rFonts w:eastAsia="Times New Roman" w:cstheme="minorHAnsi"/>
          <w:b/>
          <w:i/>
          <w:spacing w:val="-1"/>
          <w:sz w:val="24"/>
        </w:rPr>
        <w:t>Discount Rate</w:t>
      </w:r>
      <w:r w:rsidRPr="004E6649">
        <w:rPr>
          <w:rFonts w:eastAsia="Times New Roman" w:cstheme="minorHAnsi"/>
          <w:b/>
          <w:spacing w:val="-1"/>
          <w:sz w:val="24"/>
        </w:rPr>
        <w:t>:</w:t>
      </w:r>
      <w:r w:rsidRPr="004E6649">
        <w:rPr>
          <w:rFonts w:eastAsia="Times New Roman" w:cstheme="minorHAnsi"/>
          <w:spacing w:val="-1"/>
          <w:sz w:val="24"/>
        </w:rPr>
        <w:t xml:space="preserve"> GASB Statement No. 68, </w:t>
      </w:r>
      <w:r w:rsidRPr="004E6649">
        <w:rPr>
          <w:rFonts w:eastAsia="Times New Roman" w:cstheme="minorHAnsi"/>
          <w:i/>
          <w:spacing w:val="-1"/>
          <w:sz w:val="24"/>
        </w:rPr>
        <w:t>Accounting and Financial Reporting for Pensions,</w:t>
      </w:r>
      <w:r w:rsidRPr="004E6649">
        <w:rPr>
          <w:rFonts w:eastAsia="Times New Roman" w:cstheme="minorHAnsi"/>
          <w:spacing w:val="-1"/>
          <w:sz w:val="24"/>
        </w:rPr>
        <w:t xml:space="preserve"> requires that projected benefit payments be discounted to their actuarial present value using the single rate that reflects (1) a long-term expected rate of return on pension plan investments to the extent that the pension plan's assets are sufficient to pay benefits and pension plan assets are expected to be invested using a strategy to achieve that return and (2) a tax-exempt, high-quality municipal bond rate to the extent that the conditions for use of the long-term expected rate of return are not met.</w:t>
      </w:r>
    </w:p>
    <w:p w14:paraId="73454830" w14:textId="77777777" w:rsidR="001B6918" w:rsidRPr="004E6649" w:rsidRDefault="001B6918" w:rsidP="001B6918">
      <w:pPr>
        <w:rPr>
          <w:rFonts w:eastAsia="Times New Roman" w:cstheme="minorHAnsi"/>
          <w:spacing w:val="-1"/>
          <w:sz w:val="24"/>
        </w:rPr>
      </w:pPr>
    </w:p>
    <w:p w14:paraId="43EF5059" w14:textId="77777777" w:rsidR="001B6918" w:rsidRPr="004E6649" w:rsidRDefault="001B6918" w:rsidP="001B6918">
      <w:pPr>
        <w:spacing w:after="240" w:line="259" w:lineRule="auto"/>
        <w:rPr>
          <w:rFonts w:eastAsia="Franklin Gothic Book" w:cstheme="minorHAnsi"/>
          <w:b/>
          <w:i/>
          <w:spacing w:val="-2"/>
          <w:sz w:val="24"/>
        </w:rPr>
      </w:pPr>
      <w:r w:rsidRPr="004E6649">
        <w:rPr>
          <w:rFonts w:eastAsia="Times New Roman" w:cstheme="minorHAnsi"/>
          <w:spacing w:val="-1"/>
          <w:sz w:val="24"/>
        </w:rPr>
        <w:t>For the Plan, the discount rate used to measure the total pension liability at June 30, 202</w:t>
      </w:r>
      <w:r>
        <w:rPr>
          <w:rFonts w:eastAsia="Times New Roman" w:cstheme="minorHAnsi"/>
          <w:spacing w:val="-1"/>
          <w:sz w:val="24"/>
        </w:rPr>
        <w:t>5</w:t>
      </w:r>
      <w:r w:rsidRPr="004E6649">
        <w:rPr>
          <w:rFonts w:eastAsia="Times New Roman" w:cstheme="minorHAnsi"/>
          <w:spacing w:val="-1"/>
          <w:sz w:val="24"/>
        </w:rPr>
        <w:t xml:space="preserve"> and 202</w:t>
      </w:r>
      <w:r>
        <w:rPr>
          <w:rFonts w:eastAsia="Times New Roman" w:cstheme="minorHAnsi"/>
          <w:spacing w:val="-1"/>
          <w:sz w:val="24"/>
        </w:rPr>
        <w:t>4</w:t>
      </w:r>
      <w:r w:rsidRPr="004E6649">
        <w:rPr>
          <w:rFonts w:eastAsia="Times New Roman" w:cstheme="minorHAnsi"/>
          <w:spacing w:val="-1"/>
          <w:sz w:val="24"/>
        </w:rPr>
        <w:t xml:space="preserve"> </w:t>
      </w:r>
      <w:r w:rsidRPr="007442C8">
        <w:rPr>
          <w:rFonts w:eastAsia="Times New Roman" w:cstheme="minorHAnsi"/>
          <w:spacing w:val="-1"/>
          <w:sz w:val="24"/>
        </w:rPr>
        <w:t xml:space="preserve">was </w:t>
      </w:r>
      <w:r w:rsidRPr="00762AF9">
        <w:rPr>
          <w:rFonts w:eastAsia="Times New Roman" w:cstheme="minorHAnsi"/>
          <w:spacing w:val="-1"/>
          <w:sz w:val="24"/>
        </w:rPr>
        <w:t>6.25</w:t>
      </w:r>
      <w:r w:rsidRPr="004E6649">
        <w:rPr>
          <w:rFonts w:eastAsia="Times New Roman" w:cstheme="minorHAnsi"/>
          <w:spacing w:val="-1"/>
          <w:sz w:val="24"/>
        </w:rPr>
        <w:t xml:space="preserve">%. The projection of cash flows used to determine the discount rate assumed that contributions from the System will be made in accordance with the Plan’s funding policy adopted on February 27, 2014. Based on those assumptions, the Plan's fiduciary net position was projected to be available to make all projected benefit payments of current plan participants. </w:t>
      </w:r>
      <w:r w:rsidRPr="004E6649">
        <w:rPr>
          <w:rFonts w:eastAsia="Times New Roman" w:cstheme="minorHAnsi"/>
          <w:spacing w:val="-1"/>
          <w:sz w:val="24"/>
          <w:szCs w:val="24"/>
        </w:rPr>
        <w:t xml:space="preserve">Therefore, the </w:t>
      </w:r>
      <w:r w:rsidRPr="004E6649">
        <w:rPr>
          <w:rFonts w:cstheme="minorHAnsi"/>
          <w:sz w:val="24"/>
          <w:szCs w:val="24"/>
        </w:rPr>
        <w:t>long-term expected rate of return on pension plan investments was applied to all periods of projected benefit payments to determine the Total Pension Liability.</w:t>
      </w:r>
    </w:p>
    <w:p w14:paraId="4EEA4A5C" w14:textId="77777777" w:rsidR="001B6918" w:rsidRPr="004E6649" w:rsidRDefault="001B6918" w:rsidP="001B6918">
      <w:pPr>
        <w:spacing w:after="240" w:line="259" w:lineRule="auto"/>
        <w:rPr>
          <w:rFonts w:eastAsia="Times New Roman" w:cstheme="minorHAnsi"/>
          <w:sz w:val="24"/>
        </w:rPr>
      </w:pPr>
      <w:r w:rsidRPr="004E6649">
        <w:rPr>
          <w:rFonts w:eastAsia="Franklin Gothic Book" w:cstheme="minorHAnsi"/>
          <w:b/>
          <w:i/>
          <w:spacing w:val="-2"/>
          <w:sz w:val="24"/>
        </w:rPr>
        <w:t>S</w:t>
      </w:r>
      <w:r w:rsidRPr="004E6649">
        <w:rPr>
          <w:rFonts w:eastAsia="Franklin Gothic Book" w:cstheme="minorHAnsi"/>
          <w:b/>
          <w:i/>
          <w:sz w:val="24"/>
        </w:rPr>
        <w:t>e</w:t>
      </w:r>
      <w:r w:rsidRPr="004E6649">
        <w:rPr>
          <w:rFonts w:eastAsia="Franklin Gothic Book" w:cstheme="minorHAnsi"/>
          <w:b/>
          <w:i/>
          <w:spacing w:val="-2"/>
          <w:sz w:val="24"/>
        </w:rPr>
        <w:t>n</w:t>
      </w:r>
      <w:r w:rsidRPr="004E6649">
        <w:rPr>
          <w:rFonts w:eastAsia="Franklin Gothic Book" w:cstheme="minorHAnsi"/>
          <w:b/>
          <w:i/>
          <w:spacing w:val="-1"/>
          <w:sz w:val="24"/>
        </w:rPr>
        <w:t>s</w:t>
      </w:r>
      <w:r w:rsidRPr="004E6649">
        <w:rPr>
          <w:rFonts w:eastAsia="Franklin Gothic Book" w:cstheme="minorHAnsi"/>
          <w:b/>
          <w:i/>
          <w:sz w:val="24"/>
        </w:rPr>
        <w:t>i</w:t>
      </w:r>
      <w:r w:rsidRPr="004E6649">
        <w:rPr>
          <w:rFonts w:eastAsia="Franklin Gothic Book" w:cstheme="minorHAnsi"/>
          <w:b/>
          <w:i/>
          <w:spacing w:val="-2"/>
          <w:sz w:val="24"/>
        </w:rPr>
        <w:t>t</w:t>
      </w:r>
      <w:r w:rsidRPr="004E6649">
        <w:rPr>
          <w:rFonts w:eastAsia="Franklin Gothic Book" w:cstheme="minorHAnsi"/>
          <w:b/>
          <w:i/>
          <w:sz w:val="24"/>
        </w:rPr>
        <w:t>ivi</w:t>
      </w:r>
      <w:r w:rsidRPr="004E6649">
        <w:rPr>
          <w:rFonts w:eastAsia="Franklin Gothic Book" w:cstheme="minorHAnsi"/>
          <w:b/>
          <w:i/>
          <w:spacing w:val="-1"/>
          <w:sz w:val="24"/>
        </w:rPr>
        <w:t>t</w:t>
      </w:r>
      <w:r w:rsidRPr="004E6649">
        <w:rPr>
          <w:rFonts w:eastAsia="Franklin Gothic Book" w:cstheme="minorHAnsi"/>
          <w:b/>
          <w:i/>
          <w:sz w:val="24"/>
        </w:rPr>
        <w:t>y</w:t>
      </w:r>
      <w:r w:rsidRPr="004E6649">
        <w:rPr>
          <w:rFonts w:eastAsia="Franklin Gothic Book" w:cstheme="minorHAnsi"/>
          <w:b/>
          <w:i/>
          <w:spacing w:val="-6"/>
          <w:sz w:val="24"/>
        </w:rPr>
        <w:t xml:space="preserve"> </w:t>
      </w:r>
      <w:r w:rsidRPr="004E6649">
        <w:rPr>
          <w:rFonts w:eastAsia="Franklin Gothic Book" w:cstheme="minorHAnsi"/>
          <w:b/>
          <w:i/>
          <w:sz w:val="24"/>
        </w:rPr>
        <w:t>of</w:t>
      </w:r>
      <w:r w:rsidRPr="004E6649">
        <w:rPr>
          <w:rFonts w:eastAsia="Franklin Gothic Book" w:cstheme="minorHAnsi"/>
          <w:b/>
          <w:i/>
          <w:spacing w:val="-6"/>
          <w:sz w:val="24"/>
        </w:rPr>
        <w:t xml:space="preserve"> </w:t>
      </w:r>
      <w:r w:rsidRPr="004E6649">
        <w:rPr>
          <w:rFonts w:eastAsia="Franklin Gothic Book" w:cstheme="minorHAnsi"/>
          <w:b/>
          <w:i/>
          <w:spacing w:val="-1"/>
          <w:sz w:val="24"/>
        </w:rPr>
        <w:t>t</w:t>
      </w:r>
      <w:r w:rsidRPr="004E6649">
        <w:rPr>
          <w:rFonts w:eastAsia="Franklin Gothic Book" w:cstheme="minorHAnsi"/>
          <w:b/>
          <w:i/>
          <w:sz w:val="24"/>
        </w:rPr>
        <w:t>he</w:t>
      </w:r>
      <w:r w:rsidRPr="004E6649">
        <w:rPr>
          <w:rFonts w:eastAsia="Franklin Gothic Book" w:cstheme="minorHAnsi"/>
          <w:b/>
          <w:i/>
          <w:spacing w:val="-6"/>
          <w:sz w:val="24"/>
        </w:rPr>
        <w:t xml:space="preserve"> </w:t>
      </w:r>
      <w:r w:rsidRPr="004E6649">
        <w:rPr>
          <w:rFonts w:eastAsia="Franklin Gothic Book" w:cstheme="minorHAnsi"/>
          <w:b/>
          <w:i/>
          <w:spacing w:val="-2"/>
          <w:sz w:val="24"/>
        </w:rPr>
        <w:t>n</w:t>
      </w:r>
      <w:r w:rsidRPr="004E6649">
        <w:rPr>
          <w:rFonts w:eastAsia="Franklin Gothic Book" w:cstheme="minorHAnsi"/>
          <w:b/>
          <w:i/>
          <w:sz w:val="24"/>
        </w:rPr>
        <w:t>et</w:t>
      </w:r>
      <w:r w:rsidRPr="004E6649">
        <w:rPr>
          <w:rFonts w:eastAsia="Franklin Gothic Book" w:cstheme="minorHAnsi"/>
          <w:b/>
          <w:i/>
          <w:spacing w:val="-7"/>
          <w:sz w:val="24"/>
        </w:rPr>
        <w:t xml:space="preserve"> </w:t>
      </w:r>
      <w:r w:rsidRPr="004E6649">
        <w:rPr>
          <w:rFonts w:eastAsia="Franklin Gothic Book" w:cstheme="minorHAnsi"/>
          <w:b/>
          <w:i/>
          <w:spacing w:val="-2"/>
          <w:sz w:val="24"/>
        </w:rPr>
        <w:t>p</w:t>
      </w:r>
      <w:r w:rsidRPr="004E6649">
        <w:rPr>
          <w:rFonts w:eastAsia="Franklin Gothic Book" w:cstheme="minorHAnsi"/>
          <w:b/>
          <w:i/>
          <w:sz w:val="24"/>
        </w:rPr>
        <w:t>e</w:t>
      </w:r>
      <w:r w:rsidRPr="004E6649">
        <w:rPr>
          <w:rFonts w:eastAsia="Franklin Gothic Book" w:cstheme="minorHAnsi"/>
          <w:b/>
          <w:i/>
          <w:spacing w:val="-2"/>
          <w:sz w:val="24"/>
        </w:rPr>
        <w:t>n</w:t>
      </w:r>
      <w:r w:rsidRPr="004E6649">
        <w:rPr>
          <w:rFonts w:eastAsia="Franklin Gothic Book" w:cstheme="minorHAnsi"/>
          <w:b/>
          <w:i/>
          <w:spacing w:val="-1"/>
          <w:sz w:val="24"/>
        </w:rPr>
        <w:t>s</w:t>
      </w:r>
      <w:r w:rsidRPr="004E6649">
        <w:rPr>
          <w:rFonts w:eastAsia="Franklin Gothic Book" w:cstheme="minorHAnsi"/>
          <w:b/>
          <w:i/>
          <w:sz w:val="24"/>
        </w:rPr>
        <w:t>i</w:t>
      </w:r>
      <w:r w:rsidRPr="004E6649">
        <w:rPr>
          <w:rFonts w:eastAsia="Franklin Gothic Book" w:cstheme="minorHAnsi"/>
          <w:b/>
          <w:i/>
          <w:spacing w:val="-1"/>
          <w:sz w:val="24"/>
        </w:rPr>
        <w:t>o</w:t>
      </w:r>
      <w:r w:rsidRPr="004E6649">
        <w:rPr>
          <w:rFonts w:eastAsia="Franklin Gothic Book" w:cstheme="minorHAnsi"/>
          <w:b/>
          <w:i/>
          <w:sz w:val="24"/>
        </w:rPr>
        <w:t>n</w:t>
      </w:r>
      <w:r w:rsidRPr="004E6649">
        <w:rPr>
          <w:rFonts w:eastAsia="Franklin Gothic Book" w:cstheme="minorHAnsi"/>
          <w:b/>
          <w:i/>
          <w:spacing w:val="-5"/>
          <w:sz w:val="24"/>
        </w:rPr>
        <w:t xml:space="preserve"> </w:t>
      </w:r>
      <w:r w:rsidRPr="004E6649">
        <w:rPr>
          <w:rFonts w:eastAsia="Franklin Gothic Book" w:cstheme="minorHAnsi"/>
          <w:b/>
          <w:i/>
          <w:sz w:val="24"/>
        </w:rPr>
        <w:t>li</w:t>
      </w:r>
      <w:r w:rsidRPr="004E6649">
        <w:rPr>
          <w:rFonts w:eastAsia="Franklin Gothic Book" w:cstheme="minorHAnsi"/>
          <w:b/>
          <w:i/>
          <w:spacing w:val="-2"/>
          <w:sz w:val="24"/>
        </w:rPr>
        <w:t>a</w:t>
      </w:r>
      <w:r w:rsidRPr="004E6649">
        <w:rPr>
          <w:rFonts w:eastAsia="Franklin Gothic Book" w:cstheme="minorHAnsi"/>
          <w:b/>
          <w:i/>
          <w:sz w:val="24"/>
        </w:rPr>
        <w:t>bili</w:t>
      </w:r>
      <w:r w:rsidRPr="004E6649">
        <w:rPr>
          <w:rFonts w:eastAsia="Franklin Gothic Book" w:cstheme="minorHAnsi"/>
          <w:b/>
          <w:i/>
          <w:spacing w:val="-2"/>
          <w:sz w:val="24"/>
        </w:rPr>
        <w:t>t</w:t>
      </w:r>
      <w:r w:rsidRPr="004E6649">
        <w:rPr>
          <w:rFonts w:eastAsia="Franklin Gothic Book" w:cstheme="minorHAnsi"/>
          <w:b/>
          <w:i/>
          <w:sz w:val="24"/>
        </w:rPr>
        <w:t>y</w:t>
      </w:r>
      <w:r w:rsidRPr="004E6649">
        <w:rPr>
          <w:rFonts w:eastAsia="Franklin Gothic Book" w:cstheme="minorHAnsi"/>
          <w:b/>
          <w:i/>
          <w:spacing w:val="-6"/>
          <w:sz w:val="24"/>
        </w:rPr>
        <w:t xml:space="preserve"> </w:t>
      </w:r>
      <w:r w:rsidRPr="004E6649">
        <w:rPr>
          <w:rFonts w:eastAsia="Franklin Gothic Book" w:cstheme="minorHAnsi"/>
          <w:b/>
          <w:i/>
          <w:spacing w:val="-2"/>
          <w:sz w:val="24"/>
        </w:rPr>
        <w:t>t</w:t>
      </w:r>
      <w:r w:rsidRPr="004E6649">
        <w:rPr>
          <w:rFonts w:eastAsia="Franklin Gothic Book" w:cstheme="minorHAnsi"/>
          <w:b/>
          <w:i/>
          <w:sz w:val="24"/>
        </w:rPr>
        <w:t>o</w:t>
      </w:r>
      <w:r w:rsidRPr="004E6649">
        <w:rPr>
          <w:rFonts w:eastAsia="Franklin Gothic Book" w:cstheme="minorHAnsi"/>
          <w:b/>
          <w:i/>
          <w:spacing w:val="-6"/>
          <w:sz w:val="24"/>
        </w:rPr>
        <w:t xml:space="preserve"> </w:t>
      </w:r>
      <w:r w:rsidRPr="004E6649">
        <w:rPr>
          <w:rFonts w:eastAsia="Franklin Gothic Book" w:cstheme="minorHAnsi"/>
          <w:b/>
          <w:i/>
          <w:spacing w:val="-1"/>
          <w:sz w:val="24"/>
        </w:rPr>
        <w:t>c</w:t>
      </w:r>
      <w:r w:rsidRPr="004E6649">
        <w:rPr>
          <w:rFonts w:eastAsia="Franklin Gothic Book" w:cstheme="minorHAnsi"/>
          <w:b/>
          <w:i/>
          <w:sz w:val="24"/>
        </w:rPr>
        <w:t>h</w:t>
      </w:r>
      <w:r w:rsidRPr="004E6649">
        <w:rPr>
          <w:rFonts w:eastAsia="Franklin Gothic Book" w:cstheme="minorHAnsi"/>
          <w:b/>
          <w:i/>
          <w:spacing w:val="-2"/>
          <w:sz w:val="24"/>
        </w:rPr>
        <w:t>an</w:t>
      </w:r>
      <w:r w:rsidRPr="004E6649">
        <w:rPr>
          <w:rFonts w:eastAsia="Franklin Gothic Book" w:cstheme="minorHAnsi"/>
          <w:b/>
          <w:i/>
          <w:sz w:val="24"/>
        </w:rPr>
        <w:t>ges</w:t>
      </w:r>
      <w:r w:rsidRPr="004E6649">
        <w:rPr>
          <w:rFonts w:eastAsia="Franklin Gothic Book" w:cstheme="minorHAnsi"/>
          <w:b/>
          <w:i/>
          <w:spacing w:val="-6"/>
          <w:sz w:val="24"/>
        </w:rPr>
        <w:t xml:space="preserve"> </w:t>
      </w:r>
      <w:r w:rsidRPr="004E6649">
        <w:rPr>
          <w:rFonts w:eastAsia="Franklin Gothic Book" w:cstheme="minorHAnsi"/>
          <w:b/>
          <w:i/>
          <w:sz w:val="24"/>
        </w:rPr>
        <w:t>in</w:t>
      </w:r>
      <w:r w:rsidRPr="004E6649">
        <w:rPr>
          <w:rFonts w:eastAsia="Franklin Gothic Book" w:cstheme="minorHAnsi"/>
          <w:b/>
          <w:i/>
          <w:spacing w:val="-6"/>
          <w:sz w:val="24"/>
        </w:rPr>
        <w:t xml:space="preserve"> </w:t>
      </w:r>
      <w:r w:rsidRPr="004E6649">
        <w:rPr>
          <w:rFonts w:eastAsia="Franklin Gothic Book" w:cstheme="minorHAnsi"/>
          <w:b/>
          <w:i/>
          <w:spacing w:val="-2"/>
          <w:sz w:val="24"/>
        </w:rPr>
        <w:t>t</w:t>
      </w:r>
      <w:r w:rsidRPr="004E6649">
        <w:rPr>
          <w:rFonts w:eastAsia="Franklin Gothic Book" w:cstheme="minorHAnsi"/>
          <w:b/>
          <w:i/>
          <w:sz w:val="24"/>
        </w:rPr>
        <w:t>he</w:t>
      </w:r>
      <w:r w:rsidRPr="004E6649">
        <w:rPr>
          <w:rFonts w:eastAsia="Franklin Gothic Book" w:cstheme="minorHAnsi"/>
          <w:b/>
          <w:i/>
          <w:spacing w:val="-6"/>
          <w:sz w:val="24"/>
        </w:rPr>
        <w:t xml:space="preserve"> d</w:t>
      </w:r>
      <w:r w:rsidRPr="004E6649">
        <w:rPr>
          <w:rFonts w:eastAsia="Franklin Gothic Book" w:cstheme="minorHAnsi"/>
          <w:b/>
          <w:i/>
          <w:sz w:val="24"/>
        </w:rPr>
        <w:t>i</w:t>
      </w:r>
      <w:r w:rsidRPr="004E6649">
        <w:rPr>
          <w:rFonts w:eastAsia="Franklin Gothic Book" w:cstheme="minorHAnsi"/>
          <w:b/>
          <w:i/>
          <w:spacing w:val="-1"/>
          <w:sz w:val="24"/>
        </w:rPr>
        <w:t>sc</w:t>
      </w:r>
      <w:r w:rsidRPr="004E6649">
        <w:rPr>
          <w:rFonts w:eastAsia="Franklin Gothic Book" w:cstheme="minorHAnsi"/>
          <w:b/>
          <w:i/>
          <w:sz w:val="24"/>
        </w:rPr>
        <w:t>ou</w:t>
      </w:r>
      <w:r w:rsidRPr="004E6649">
        <w:rPr>
          <w:rFonts w:eastAsia="Franklin Gothic Book" w:cstheme="minorHAnsi"/>
          <w:b/>
          <w:i/>
          <w:spacing w:val="-2"/>
          <w:sz w:val="24"/>
        </w:rPr>
        <w:t>n</w:t>
      </w:r>
      <w:r w:rsidRPr="004E6649">
        <w:rPr>
          <w:rFonts w:eastAsia="Franklin Gothic Book" w:cstheme="minorHAnsi"/>
          <w:b/>
          <w:i/>
          <w:sz w:val="24"/>
        </w:rPr>
        <w:t>t</w:t>
      </w:r>
      <w:r w:rsidRPr="004E6649">
        <w:rPr>
          <w:rFonts w:eastAsia="Franklin Gothic Book" w:cstheme="minorHAnsi"/>
          <w:b/>
          <w:i/>
          <w:spacing w:val="-6"/>
          <w:sz w:val="24"/>
        </w:rPr>
        <w:t xml:space="preserve"> </w:t>
      </w:r>
      <w:r w:rsidRPr="004E6649">
        <w:rPr>
          <w:rFonts w:eastAsia="Franklin Gothic Book" w:cstheme="minorHAnsi"/>
          <w:b/>
          <w:i/>
          <w:sz w:val="24"/>
        </w:rPr>
        <w:t>r</w:t>
      </w:r>
      <w:r w:rsidRPr="004E6649">
        <w:rPr>
          <w:rFonts w:eastAsia="Franklin Gothic Book" w:cstheme="minorHAnsi"/>
          <w:b/>
          <w:i/>
          <w:spacing w:val="-2"/>
          <w:sz w:val="24"/>
        </w:rPr>
        <w:t>at</w:t>
      </w:r>
      <w:r w:rsidRPr="004E6649">
        <w:rPr>
          <w:rFonts w:eastAsia="Franklin Gothic Book" w:cstheme="minorHAnsi"/>
          <w:b/>
          <w:i/>
          <w:sz w:val="24"/>
        </w:rPr>
        <w:t>e:</w:t>
      </w:r>
      <w:r w:rsidRPr="004E6649">
        <w:rPr>
          <w:rFonts w:eastAsia="Franklin Gothic Book" w:cstheme="minorHAnsi"/>
          <w:i/>
          <w:sz w:val="24"/>
        </w:rPr>
        <w:t xml:space="preserve"> </w:t>
      </w:r>
      <w:r w:rsidRPr="004E6649">
        <w:rPr>
          <w:rFonts w:eastAsia="Times New Roman" w:cstheme="minorHAnsi"/>
          <w:spacing w:val="-1"/>
          <w:sz w:val="24"/>
        </w:rPr>
        <w:t>T</w:t>
      </w:r>
      <w:r w:rsidRPr="004E6649">
        <w:rPr>
          <w:rFonts w:eastAsia="Times New Roman" w:cstheme="minorHAnsi"/>
          <w:sz w:val="24"/>
        </w:rPr>
        <w:t>he foll</w:t>
      </w:r>
      <w:r w:rsidRPr="004E6649">
        <w:rPr>
          <w:rFonts w:eastAsia="Times New Roman" w:cstheme="minorHAnsi"/>
          <w:spacing w:val="-1"/>
          <w:sz w:val="24"/>
        </w:rPr>
        <w:t>o</w:t>
      </w:r>
      <w:r w:rsidRPr="004E6649">
        <w:rPr>
          <w:rFonts w:eastAsia="Times New Roman" w:cstheme="minorHAnsi"/>
          <w:sz w:val="24"/>
        </w:rPr>
        <w:t>wing</w:t>
      </w:r>
      <w:r w:rsidRPr="004E6649">
        <w:rPr>
          <w:rFonts w:eastAsia="Times New Roman" w:cstheme="minorHAnsi"/>
          <w:spacing w:val="1"/>
          <w:sz w:val="24"/>
        </w:rPr>
        <w:t xml:space="preserve"> </w:t>
      </w:r>
      <w:r w:rsidRPr="004E6649">
        <w:rPr>
          <w:rFonts w:eastAsia="Times New Roman" w:cstheme="minorHAnsi"/>
          <w:spacing w:val="-1"/>
          <w:sz w:val="24"/>
        </w:rPr>
        <w:t>pr</w:t>
      </w:r>
      <w:r w:rsidRPr="004E6649">
        <w:rPr>
          <w:rFonts w:eastAsia="Times New Roman" w:cstheme="minorHAnsi"/>
          <w:sz w:val="24"/>
        </w:rPr>
        <w:t>esen</w:t>
      </w:r>
      <w:r w:rsidRPr="004E6649">
        <w:rPr>
          <w:rFonts w:eastAsia="Times New Roman" w:cstheme="minorHAnsi"/>
          <w:spacing w:val="1"/>
          <w:sz w:val="24"/>
        </w:rPr>
        <w:t>t</w:t>
      </w:r>
      <w:r w:rsidRPr="004E6649">
        <w:rPr>
          <w:rFonts w:eastAsia="Times New Roman" w:cstheme="minorHAnsi"/>
          <w:sz w:val="24"/>
        </w:rPr>
        <w:t>s</w:t>
      </w:r>
      <w:r w:rsidRPr="004E6649">
        <w:rPr>
          <w:rFonts w:eastAsia="Times New Roman" w:cstheme="minorHAnsi"/>
          <w:spacing w:val="1"/>
          <w:sz w:val="24"/>
        </w:rPr>
        <w:t xml:space="preserve"> </w:t>
      </w:r>
      <w:r w:rsidRPr="004E6649">
        <w:rPr>
          <w:rFonts w:eastAsia="Times New Roman" w:cstheme="minorHAnsi"/>
          <w:sz w:val="24"/>
        </w:rPr>
        <w:t>the</w:t>
      </w:r>
      <w:r w:rsidRPr="004E6649">
        <w:rPr>
          <w:rFonts w:eastAsia="Times New Roman" w:cstheme="minorHAnsi"/>
          <w:spacing w:val="1"/>
          <w:sz w:val="24"/>
        </w:rPr>
        <w:t xml:space="preserve"> </w:t>
      </w:r>
      <w:r w:rsidRPr="004E6649">
        <w:rPr>
          <w:rFonts w:eastAsia="Times New Roman" w:cstheme="minorHAnsi"/>
          <w:sz w:val="24"/>
        </w:rPr>
        <w:t xml:space="preserve">net </w:t>
      </w:r>
      <w:r w:rsidRPr="004E6649">
        <w:rPr>
          <w:rFonts w:eastAsia="Times New Roman" w:cstheme="minorHAnsi"/>
          <w:spacing w:val="-1"/>
          <w:sz w:val="24"/>
        </w:rPr>
        <w:t>p</w:t>
      </w:r>
      <w:r w:rsidRPr="004E6649">
        <w:rPr>
          <w:rFonts w:eastAsia="Times New Roman" w:cstheme="minorHAnsi"/>
          <w:sz w:val="24"/>
        </w:rPr>
        <w:t>ension</w:t>
      </w:r>
      <w:r w:rsidRPr="004E6649">
        <w:rPr>
          <w:rFonts w:eastAsia="Times New Roman" w:cstheme="minorHAnsi"/>
          <w:spacing w:val="1"/>
          <w:sz w:val="24"/>
        </w:rPr>
        <w:t xml:space="preserve"> </w:t>
      </w:r>
      <w:r w:rsidRPr="004E6649">
        <w:rPr>
          <w:rFonts w:eastAsia="Times New Roman" w:cstheme="minorHAnsi"/>
          <w:sz w:val="24"/>
        </w:rPr>
        <w:t>liability</w:t>
      </w:r>
      <w:r w:rsidRPr="004E6649">
        <w:rPr>
          <w:rFonts w:eastAsia="Times New Roman" w:cstheme="minorHAnsi"/>
          <w:spacing w:val="-1"/>
          <w:sz w:val="24"/>
        </w:rPr>
        <w:t xml:space="preserve"> as of June 30 </w:t>
      </w:r>
      <w:r w:rsidRPr="004E6649">
        <w:rPr>
          <w:rFonts w:eastAsia="Times New Roman" w:cstheme="minorHAnsi"/>
          <w:sz w:val="24"/>
        </w:rPr>
        <w:t>calcula</w:t>
      </w:r>
      <w:r w:rsidRPr="004E6649">
        <w:rPr>
          <w:rFonts w:eastAsia="Times New Roman" w:cstheme="minorHAnsi"/>
          <w:spacing w:val="1"/>
          <w:sz w:val="24"/>
        </w:rPr>
        <w:t>t</w:t>
      </w:r>
      <w:r w:rsidRPr="004E6649">
        <w:rPr>
          <w:rFonts w:eastAsia="Times New Roman" w:cstheme="minorHAnsi"/>
          <w:sz w:val="24"/>
        </w:rPr>
        <w:t>ed</w:t>
      </w:r>
      <w:r w:rsidRPr="004E6649">
        <w:rPr>
          <w:rFonts w:eastAsia="Times New Roman" w:cstheme="minorHAnsi"/>
          <w:spacing w:val="2"/>
          <w:sz w:val="24"/>
        </w:rPr>
        <w:t xml:space="preserve"> </w:t>
      </w:r>
      <w:r w:rsidRPr="004E6649">
        <w:rPr>
          <w:rFonts w:eastAsia="Times New Roman" w:cstheme="minorHAnsi"/>
          <w:sz w:val="24"/>
        </w:rPr>
        <w:t>u</w:t>
      </w:r>
      <w:r w:rsidRPr="004E6649">
        <w:rPr>
          <w:rFonts w:eastAsia="Times New Roman" w:cstheme="minorHAnsi"/>
          <w:spacing w:val="1"/>
          <w:sz w:val="24"/>
        </w:rPr>
        <w:t>s</w:t>
      </w:r>
      <w:r w:rsidRPr="004E6649">
        <w:rPr>
          <w:rFonts w:eastAsia="Times New Roman" w:cstheme="minorHAnsi"/>
          <w:sz w:val="24"/>
        </w:rPr>
        <w:t>ing the</w:t>
      </w:r>
      <w:r w:rsidRPr="004E6649">
        <w:rPr>
          <w:rFonts w:eastAsia="Times New Roman" w:cstheme="minorHAnsi"/>
          <w:spacing w:val="1"/>
          <w:sz w:val="24"/>
        </w:rPr>
        <w:t xml:space="preserve"> </w:t>
      </w:r>
      <w:r w:rsidRPr="004E6649">
        <w:rPr>
          <w:rFonts w:eastAsia="Times New Roman" w:cstheme="minorHAnsi"/>
          <w:sz w:val="24"/>
        </w:rPr>
        <w:t>discount</w:t>
      </w:r>
      <w:r w:rsidRPr="004E6649">
        <w:rPr>
          <w:rFonts w:eastAsia="Times New Roman" w:cstheme="minorHAnsi"/>
          <w:spacing w:val="1"/>
          <w:sz w:val="24"/>
        </w:rPr>
        <w:t xml:space="preserve"> </w:t>
      </w:r>
      <w:r w:rsidRPr="004E6649">
        <w:rPr>
          <w:rFonts w:eastAsia="Times New Roman" w:cstheme="minorHAnsi"/>
          <w:spacing w:val="-1"/>
          <w:sz w:val="24"/>
        </w:rPr>
        <w:t>r</w:t>
      </w:r>
      <w:r w:rsidRPr="004E6649">
        <w:rPr>
          <w:rFonts w:eastAsia="Times New Roman" w:cstheme="minorHAnsi"/>
          <w:sz w:val="24"/>
        </w:rPr>
        <w:t>a</w:t>
      </w:r>
      <w:r w:rsidRPr="004E6649">
        <w:rPr>
          <w:rFonts w:eastAsia="Times New Roman" w:cstheme="minorHAnsi"/>
          <w:spacing w:val="1"/>
          <w:sz w:val="24"/>
        </w:rPr>
        <w:t>t</w:t>
      </w:r>
      <w:r w:rsidRPr="004E6649">
        <w:rPr>
          <w:rFonts w:eastAsia="Times New Roman" w:cstheme="minorHAnsi"/>
          <w:sz w:val="24"/>
        </w:rPr>
        <w:t>e</w:t>
      </w:r>
      <w:r w:rsidRPr="004E6649">
        <w:rPr>
          <w:rFonts w:eastAsia="Times New Roman" w:cstheme="minorHAnsi"/>
          <w:spacing w:val="1"/>
          <w:sz w:val="24"/>
        </w:rPr>
        <w:t xml:space="preserve"> </w:t>
      </w:r>
      <w:r w:rsidRPr="00762AF9">
        <w:rPr>
          <w:rFonts w:eastAsia="Times New Roman" w:cstheme="minorHAnsi"/>
          <w:spacing w:val="-1"/>
          <w:sz w:val="24"/>
        </w:rPr>
        <w:t>o</w:t>
      </w:r>
      <w:r w:rsidRPr="00762AF9">
        <w:rPr>
          <w:rFonts w:eastAsia="Times New Roman" w:cstheme="minorHAnsi"/>
          <w:sz w:val="24"/>
        </w:rPr>
        <w:t xml:space="preserve">f </w:t>
      </w:r>
      <w:r w:rsidRPr="000E5AA1">
        <w:rPr>
          <w:rFonts w:eastAsia="Times New Roman" w:cstheme="minorHAnsi"/>
          <w:sz w:val="24"/>
        </w:rPr>
        <w:t>6.25</w:t>
      </w:r>
      <w:r w:rsidRPr="004E6649">
        <w:rPr>
          <w:rFonts w:eastAsia="Times New Roman" w:cstheme="minorHAnsi"/>
          <w:sz w:val="24"/>
        </w:rPr>
        <w:t>%,</w:t>
      </w:r>
      <w:r w:rsidRPr="004E6649">
        <w:rPr>
          <w:rFonts w:eastAsia="Times New Roman" w:cstheme="minorHAnsi"/>
          <w:spacing w:val="3"/>
          <w:sz w:val="24"/>
        </w:rPr>
        <w:t xml:space="preserve"> </w:t>
      </w:r>
      <w:r w:rsidRPr="004E6649">
        <w:rPr>
          <w:rFonts w:eastAsia="Times New Roman" w:cstheme="minorHAnsi"/>
          <w:sz w:val="24"/>
        </w:rPr>
        <w:t>as</w:t>
      </w:r>
      <w:r w:rsidRPr="004E6649">
        <w:rPr>
          <w:rFonts w:eastAsia="Times New Roman" w:cstheme="minorHAnsi"/>
          <w:spacing w:val="1"/>
          <w:sz w:val="24"/>
        </w:rPr>
        <w:t xml:space="preserve"> </w:t>
      </w:r>
      <w:r w:rsidRPr="004E6649">
        <w:rPr>
          <w:rFonts w:eastAsia="Times New Roman" w:cstheme="minorHAnsi"/>
          <w:sz w:val="24"/>
        </w:rPr>
        <w:t>w</w:t>
      </w:r>
      <w:r w:rsidRPr="004E6649">
        <w:rPr>
          <w:rFonts w:eastAsia="Times New Roman" w:cstheme="minorHAnsi"/>
          <w:spacing w:val="-1"/>
          <w:sz w:val="24"/>
        </w:rPr>
        <w:t>e</w:t>
      </w:r>
      <w:r w:rsidRPr="004E6649">
        <w:rPr>
          <w:rFonts w:eastAsia="Times New Roman" w:cstheme="minorHAnsi"/>
          <w:sz w:val="24"/>
        </w:rPr>
        <w:t>ll as</w:t>
      </w:r>
      <w:r w:rsidRPr="004E6649">
        <w:rPr>
          <w:rFonts w:eastAsia="Times New Roman" w:cstheme="minorHAnsi"/>
          <w:spacing w:val="1"/>
          <w:sz w:val="24"/>
        </w:rPr>
        <w:t xml:space="preserve"> </w:t>
      </w:r>
      <w:r w:rsidRPr="004E6649">
        <w:rPr>
          <w:rFonts w:eastAsia="Times New Roman" w:cstheme="minorHAnsi"/>
          <w:sz w:val="24"/>
        </w:rPr>
        <w:t>u</w:t>
      </w:r>
      <w:r w:rsidRPr="004E6649">
        <w:rPr>
          <w:rFonts w:eastAsia="Times New Roman" w:cstheme="minorHAnsi"/>
          <w:spacing w:val="1"/>
          <w:sz w:val="24"/>
        </w:rPr>
        <w:t>s</w:t>
      </w:r>
      <w:r w:rsidRPr="004E6649">
        <w:rPr>
          <w:rFonts w:eastAsia="Times New Roman" w:cstheme="minorHAnsi"/>
          <w:sz w:val="24"/>
        </w:rPr>
        <w:t>ing</w:t>
      </w:r>
      <w:r w:rsidRPr="004E6649">
        <w:rPr>
          <w:rFonts w:eastAsia="Times New Roman" w:cstheme="minorHAnsi"/>
          <w:spacing w:val="41"/>
          <w:sz w:val="24"/>
        </w:rPr>
        <w:t xml:space="preserve"> </w:t>
      </w:r>
      <w:r w:rsidRPr="004E6649">
        <w:rPr>
          <w:rFonts w:eastAsia="Times New Roman" w:cstheme="minorHAnsi"/>
          <w:sz w:val="24"/>
        </w:rPr>
        <w:t>a</w:t>
      </w:r>
      <w:r w:rsidRPr="004E6649">
        <w:rPr>
          <w:rFonts w:eastAsia="Times New Roman" w:cstheme="minorHAnsi"/>
          <w:spacing w:val="39"/>
          <w:sz w:val="24"/>
        </w:rPr>
        <w:t xml:space="preserve"> </w:t>
      </w:r>
      <w:r w:rsidRPr="004E6649">
        <w:rPr>
          <w:rFonts w:eastAsia="Times New Roman" w:cstheme="minorHAnsi"/>
          <w:sz w:val="24"/>
        </w:rPr>
        <w:t>discount</w:t>
      </w:r>
      <w:r w:rsidRPr="004E6649">
        <w:rPr>
          <w:rFonts w:eastAsia="Times New Roman" w:cstheme="minorHAnsi"/>
          <w:spacing w:val="42"/>
          <w:sz w:val="24"/>
        </w:rPr>
        <w:t xml:space="preserve"> </w:t>
      </w:r>
      <w:r w:rsidRPr="004E6649">
        <w:rPr>
          <w:rFonts w:eastAsia="Times New Roman" w:cstheme="minorHAnsi"/>
          <w:spacing w:val="-1"/>
          <w:sz w:val="24"/>
        </w:rPr>
        <w:t>r</w:t>
      </w:r>
      <w:r w:rsidRPr="004E6649">
        <w:rPr>
          <w:rFonts w:eastAsia="Times New Roman" w:cstheme="minorHAnsi"/>
          <w:sz w:val="24"/>
        </w:rPr>
        <w:t>a</w:t>
      </w:r>
      <w:r w:rsidRPr="004E6649">
        <w:rPr>
          <w:rFonts w:eastAsia="Times New Roman" w:cstheme="minorHAnsi"/>
          <w:spacing w:val="1"/>
          <w:sz w:val="24"/>
        </w:rPr>
        <w:t>t</w:t>
      </w:r>
      <w:r w:rsidRPr="004E6649">
        <w:rPr>
          <w:rFonts w:eastAsia="Times New Roman" w:cstheme="minorHAnsi"/>
          <w:sz w:val="24"/>
        </w:rPr>
        <w:t>e</w:t>
      </w:r>
      <w:r w:rsidRPr="004E6649">
        <w:rPr>
          <w:rFonts w:eastAsia="Times New Roman" w:cstheme="minorHAnsi"/>
          <w:spacing w:val="40"/>
          <w:sz w:val="24"/>
        </w:rPr>
        <w:t xml:space="preserve"> </w:t>
      </w:r>
      <w:r w:rsidRPr="004E6649">
        <w:rPr>
          <w:rFonts w:eastAsia="Times New Roman" w:cstheme="minorHAnsi"/>
          <w:sz w:val="24"/>
        </w:rPr>
        <w:t>1-</w:t>
      </w:r>
      <w:r w:rsidRPr="004E6649">
        <w:rPr>
          <w:rFonts w:eastAsia="Times New Roman" w:cstheme="minorHAnsi"/>
          <w:spacing w:val="-1"/>
          <w:sz w:val="24"/>
        </w:rPr>
        <w:t>p</w:t>
      </w:r>
      <w:r w:rsidRPr="004E6649">
        <w:rPr>
          <w:rFonts w:eastAsia="Times New Roman" w:cstheme="minorHAnsi"/>
          <w:sz w:val="24"/>
        </w:rPr>
        <w:t>e</w:t>
      </w:r>
      <w:r w:rsidRPr="004E6649">
        <w:rPr>
          <w:rFonts w:eastAsia="Times New Roman" w:cstheme="minorHAnsi"/>
          <w:spacing w:val="-2"/>
          <w:sz w:val="24"/>
        </w:rPr>
        <w:t>r</w:t>
      </w:r>
      <w:r w:rsidRPr="004E6649">
        <w:rPr>
          <w:rFonts w:eastAsia="Times New Roman" w:cstheme="minorHAnsi"/>
          <w:sz w:val="24"/>
        </w:rPr>
        <w:t>centage</w:t>
      </w:r>
      <w:r w:rsidRPr="004E6649">
        <w:rPr>
          <w:rFonts w:eastAsia="Times New Roman" w:cstheme="minorHAnsi"/>
          <w:spacing w:val="41"/>
          <w:sz w:val="24"/>
        </w:rPr>
        <w:t xml:space="preserve"> </w:t>
      </w:r>
      <w:r w:rsidRPr="004E6649">
        <w:rPr>
          <w:rFonts w:eastAsia="Times New Roman" w:cstheme="minorHAnsi"/>
          <w:spacing w:val="-1"/>
          <w:sz w:val="24"/>
        </w:rPr>
        <w:t>p</w:t>
      </w:r>
      <w:r w:rsidRPr="004E6649">
        <w:rPr>
          <w:rFonts w:eastAsia="Times New Roman" w:cstheme="minorHAnsi"/>
          <w:sz w:val="24"/>
        </w:rPr>
        <w:t>oint</w:t>
      </w:r>
      <w:r w:rsidRPr="004E6649">
        <w:rPr>
          <w:rFonts w:eastAsia="Times New Roman" w:cstheme="minorHAnsi"/>
          <w:spacing w:val="39"/>
          <w:sz w:val="24"/>
        </w:rPr>
        <w:t xml:space="preserve"> </w:t>
      </w:r>
      <w:r w:rsidRPr="004E6649">
        <w:rPr>
          <w:rFonts w:eastAsia="Times New Roman" w:cstheme="minorHAnsi"/>
          <w:sz w:val="24"/>
        </w:rPr>
        <w:t>l</w:t>
      </w:r>
      <w:r w:rsidRPr="004E6649">
        <w:rPr>
          <w:rFonts w:eastAsia="Times New Roman" w:cstheme="minorHAnsi"/>
          <w:spacing w:val="-1"/>
          <w:sz w:val="24"/>
        </w:rPr>
        <w:t>o</w:t>
      </w:r>
      <w:r w:rsidRPr="004E6649">
        <w:rPr>
          <w:rFonts w:eastAsia="Times New Roman" w:cstheme="minorHAnsi"/>
          <w:sz w:val="24"/>
        </w:rPr>
        <w:t>w</w:t>
      </w:r>
      <w:r w:rsidRPr="004E6649">
        <w:rPr>
          <w:rFonts w:eastAsia="Times New Roman" w:cstheme="minorHAnsi"/>
          <w:spacing w:val="-1"/>
          <w:sz w:val="24"/>
        </w:rPr>
        <w:t>e</w:t>
      </w:r>
      <w:r w:rsidRPr="004E6649">
        <w:rPr>
          <w:rFonts w:eastAsia="Times New Roman" w:cstheme="minorHAnsi"/>
          <w:sz w:val="24"/>
        </w:rPr>
        <w:t>r</w:t>
      </w:r>
      <w:r w:rsidRPr="004E6649">
        <w:rPr>
          <w:rFonts w:eastAsia="Times New Roman" w:cstheme="minorHAnsi"/>
          <w:w w:val="99"/>
          <w:sz w:val="24"/>
        </w:rPr>
        <w:t xml:space="preserve"> </w:t>
      </w:r>
      <w:r w:rsidRPr="004E6649">
        <w:rPr>
          <w:rFonts w:eastAsia="Times New Roman" w:cstheme="minorHAnsi"/>
          <w:sz w:val="24"/>
        </w:rPr>
        <w:t>or</w:t>
      </w:r>
      <w:r w:rsidRPr="004E6649">
        <w:rPr>
          <w:rFonts w:eastAsia="Times New Roman" w:cstheme="minorHAnsi"/>
          <w:spacing w:val="-7"/>
          <w:sz w:val="24"/>
        </w:rPr>
        <w:t xml:space="preserve"> </w:t>
      </w:r>
      <w:r w:rsidRPr="004E6649">
        <w:rPr>
          <w:rFonts w:eastAsia="Times New Roman" w:cstheme="minorHAnsi"/>
          <w:sz w:val="24"/>
        </w:rPr>
        <w:t>1-</w:t>
      </w:r>
      <w:r w:rsidRPr="004E6649">
        <w:rPr>
          <w:rFonts w:eastAsia="Times New Roman" w:cstheme="minorHAnsi"/>
          <w:spacing w:val="-1"/>
          <w:sz w:val="24"/>
        </w:rPr>
        <w:t>p</w:t>
      </w:r>
      <w:r w:rsidRPr="004E6649">
        <w:rPr>
          <w:rFonts w:eastAsia="Times New Roman" w:cstheme="minorHAnsi"/>
          <w:sz w:val="24"/>
        </w:rPr>
        <w:t>e</w:t>
      </w:r>
      <w:r w:rsidRPr="004E6649">
        <w:rPr>
          <w:rFonts w:eastAsia="Times New Roman" w:cstheme="minorHAnsi"/>
          <w:spacing w:val="-2"/>
          <w:sz w:val="24"/>
        </w:rPr>
        <w:t>r</w:t>
      </w:r>
      <w:r w:rsidRPr="004E6649">
        <w:rPr>
          <w:rFonts w:eastAsia="Times New Roman" w:cstheme="minorHAnsi"/>
          <w:sz w:val="24"/>
        </w:rPr>
        <w:t>centage</w:t>
      </w:r>
      <w:r w:rsidRPr="004E6649">
        <w:rPr>
          <w:rFonts w:eastAsia="Times New Roman" w:cstheme="minorHAnsi"/>
          <w:spacing w:val="-6"/>
          <w:sz w:val="24"/>
        </w:rPr>
        <w:t xml:space="preserve"> </w:t>
      </w:r>
      <w:r w:rsidRPr="004E6649">
        <w:rPr>
          <w:rFonts w:eastAsia="Times New Roman" w:cstheme="minorHAnsi"/>
          <w:spacing w:val="-1"/>
          <w:sz w:val="24"/>
        </w:rPr>
        <w:t>p</w:t>
      </w:r>
      <w:r w:rsidRPr="004E6649">
        <w:rPr>
          <w:rFonts w:eastAsia="Times New Roman" w:cstheme="minorHAnsi"/>
          <w:sz w:val="24"/>
        </w:rPr>
        <w:t>oint</w:t>
      </w:r>
      <w:r w:rsidRPr="004E6649">
        <w:rPr>
          <w:rFonts w:eastAsia="Times New Roman" w:cstheme="minorHAnsi"/>
          <w:spacing w:val="-6"/>
          <w:sz w:val="24"/>
        </w:rPr>
        <w:t xml:space="preserve"> </w:t>
      </w:r>
      <w:r w:rsidRPr="004E6649">
        <w:rPr>
          <w:rFonts w:eastAsia="Times New Roman" w:cstheme="minorHAnsi"/>
          <w:sz w:val="24"/>
        </w:rPr>
        <w:t>higher</w:t>
      </w:r>
      <w:r w:rsidRPr="004E6649">
        <w:rPr>
          <w:rFonts w:eastAsia="Times New Roman" w:cstheme="minorHAnsi"/>
          <w:spacing w:val="-6"/>
          <w:sz w:val="24"/>
        </w:rPr>
        <w:t xml:space="preserve"> </w:t>
      </w:r>
      <w:r w:rsidRPr="004E6649">
        <w:rPr>
          <w:rFonts w:eastAsia="Times New Roman" w:cstheme="minorHAnsi"/>
          <w:spacing w:val="1"/>
          <w:sz w:val="24"/>
        </w:rPr>
        <w:t>t</w:t>
      </w:r>
      <w:r w:rsidRPr="004E6649">
        <w:rPr>
          <w:rFonts w:eastAsia="Times New Roman" w:cstheme="minorHAnsi"/>
          <w:sz w:val="24"/>
        </w:rPr>
        <w:t>han</w:t>
      </w:r>
      <w:r w:rsidRPr="004E6649">
        <w:rPr>
          <w:rFonts w:eastAsia="Times New Roman" w:cstheme="minorHAnsi"/>
          <w:spacing w:val="-6"/>
          <w:sz w:val="24"/>
        </w:rPr>
        <w:t xml:space="preserve"> </w:t>
      </w:r>
      <w:r w:rsidRPr="004E6649">
        <w:rPr>
          <w:rFonts w:eastAsia="Times New Roman" w:cstheme="minorHAnsi"/>
          <w:sz w:val="24"/>
        </w:rPr>
        <w:t>the</w:t>
      </w:r>
      <w:r w:rsidRPr="004E6649">
        <w:rPr>
          <w:rFonts w:eastAsia="Times New Roman" w:cstheme="minorHAnsi"/>
          <w:spacing w:val="-7"/>
          <w:sz w:val="24"/>
        </w:rPr>
        <w:t xml:space="preserve"> </w:t>
      </w:r>
      <w:r w:rsidRPr="004E6649">
        <w:rPr>
          <w:rFonts w:eastAsia="Times New Roman" w:cstheme="minorHAnsi"/>
          <w:spacing w:val="1"/>
          <w:sz w:val="24"/>
        </w:rPr>
        <w:t>c</w:t>
      </w:r>
      <w:r w:rsidRPr="004E6649">
        <w:rPr>
          <w:rFonts w:eastAsia="Times New Roman" w:cstheme="minorHAnsi"/>
          <w:sz w:val="24"/>
        </w:rPr>
        <w:t>u</w:t>
      </w:r>
      <w:r w:rsidRPr="004E6649">
        <w:rPr>
          <w:rFonts w:eastAsia="Times New Roman" w:cstheme="minorHAnsi"/>
          <w:spacing w:val="-1"/>
          <w:sz w:val="24"/>
        </w:rPr>
        <w:t>rr</w:t>
      </w:r>
      <w:r w:rsidRPr="004E6649">
        <w:rPr>
          <w:rFonts w:eastAsia="Times New Roman" w:cstheme="minorHAnsi"/>
          <w:sz w:val="24"/>
        </w:rPr>
        <w:t>ent</w:t>
      </w:r>
      <w:r w:rsidRPr="004E6649">
        <w:rPr>
          <w:rFonts w:eastAsia="Times New Roman" w:cstheme="minorHAnsi"/>
          <w:spacing w:val="-6"/>
          <w:sz w:val="24"/>
        </w:rPr>
        <w:t xml:space="preserve"> </w:t>
      </w:r>
      <w:r w:rsidRPr="004E6649">
        <w:rPr>
          <w:rFonts w:eastAsia="Times New Roman" w:cstheme="minorHAnsi"/>
          <w:spacing w:val="-1"/>
          <w:sz w:val="24"/>
        </w:rPr>
        <w:t>r</w:t>
      </w:r>
      <w:r w:rsidRPr="004E6649">
        <w:rPr>
          <w:rFonts w:eastAsia="Times New Roman" w:cstheme="minorHAnsi"/>
          <w:sz w:val="24"/>
        </w:rPr>
        <w:t>a</w:t>
      </w:r>
      <w:r w:rsidRPr="004E6649">
        <w:rPr>
          <w:rFonts w:eastAsia="Times New Roman" w:cstheme="minorHAnsi"/>
          <w:spacing w:val="1"/>
          <w:sz w:val="24"/>
        </w:rPr>
        <w:t>t</w:t>
      </w:r>
      <w:r w:rsidRPr="004E6649">
        <w:rPr>
          <w:rFonts w:eastAsia="Times New Roman" w:cstheme="minorHAnsi"/>
          <w:sz w:val="24"/>
        </w:rPr>
        <w:t>e:</w:t>
      </w:r>
      <w:r w:rsidRPr="004E6649">
        <w:rPr>
          <w:rFonts w:eastAsia="Times New Roman" w:cstheme="minorHAnsi"/>
          <w:sz w:val="24"/>
        </w:rPr>
        <w:fldChar w:fldCharType="begin"/>
      </w:r>
      <w:r w:rsidRPr="004E6649">
        <w:rPr>
          <w:rFonts w:eastAsia="Times New Roman" w:cstheme="minorHAnsi"/>
          <w:sz w:val="24"/>
        </w:rPr>
        <w:fldChar w:fldCharType="end"/>
      </w:r>
    </w:p>
    <w:tbl>
      <w:tblPr>
        <w:tblW w:w="9612" w:type="dxa"/>
        <w:jc w:val="center"/>
        <w:tblLayout w:type="fixed"/>
        <w:tblLook w:val="04A0" w:firstRow="1" w:lastRow="0" w:firstColumn="1" w:lastColumn="0" w:noHBand="0" w:noVBand="1"/>
      </w:tblPr>
      <w:tblGrid>
        <w:gridCol w:w="2248"/>
        <w:gridCol w:w="1169"/>
        <w:gridCol w:w="1260"/>
        <w:gridCol w:w="1167"/>
        <w:gridCol w:w="1292"/>
        <w:gridCol w:w="1318"/>
        <w:gridCol w:w="1147"/>
        <w:gridCol w:w="11"/>
      </w:tblGrid>
      <w:tr w:rsidR="001B6918" w:rsidRPr="004E6649" w14:paraId="0E56D0CE" w14:textId="77777777" w:rsidTr="00730ECF">
        <w:trPr>
          <w:cantSplit/>
          <w:trHeight w:val="244"/>
          <w:tblHeader/>
          <w:jc w:val="center"/>
        </w:trPr>
        <w:tc>
          <w:tcPr>
            <w:tcW w:w="2248" w:type="dxa"/>
            <w:tcBorders>
              <w:top w:val="nil"/>
              <w:left w:val="nil"/>
              <w:bottom w:val="nil"/>
              <w:right w:val="nil"/>
            </w:tcBorders>
            <w:shd w:val="clear" w:color="000000" w:fill="FFFFFF"/>
            <w:noWrap/>
            <w:vAlign w:val="bottom"/>
            <w:hideMark/>
          </w:tcPr>
          <w:p w14:paraId="0D339812" w14:textId="77777777" w:rsidR="001B6918" w:rsidRPr="004E6649" w:rsidRDefault="001B6918" w:rsidP="00730ECF">
            <w:pPr>
              <w:ind w:right="-119"/>
              <w:rPr>
                <w:rFonts w:eastAsia="Times New Roman" w:cstheme="minorHAnsi"/>
                <w:b/>
                <w:bCs/>
                <w:color w:val="0D0D0D"/>
              </w:rPr>
            </w:pPr>
            <w:r w:rsidRPr="004E6649">
              <w:rPr>
                <w:rFonts w:eastAsia="Times New Roman" w:cstheme="minorHAnsi"/>
                <w:b/>
                <w:bCs/>
                <w:color w:val="0D0D0D"/>
              </w:rPr>
              <w:t> </w:t>
            </w:r>
          </w:p>
        </w:tc>
        <w:tc>
          <w:tcPr>
            <w:tcW w:w="3596" w:type="dxa"/>
            <w:gridSpan w:val="3"/>
            <w:tcBorders>
              <w:top w:val="nil"/>
              <w:left w:val="nil"/>
              <w:bottom w:val="single" w:sz="4" w:space="0" w:color="auto"/>
              <w:right w:val="nil"/>
            </w:tcBorders>
            <w:shd w:val="clear" w:color="000000" w:fill="FFFFFF"/>
            <w:vAlign w:val="bottom"/>
            <w:hideMark/>
          </w:tcPr>
          <w:p w14:paraId="0F5DAC8E" w14:textId="77777777" w:rsidR="001B6918" w:rsidRPr="004E6649" w:rsidRDefault="001B6918" w:rsidP="00730ECF">
            <w:pPr>
              <w:ind w:right="-119"/>
              <w:jc w:val="center"/>
              <w:rPr>
                <w:rFonts w:eastAsia="Times New Roman" w:cstheme="minorHAnsi"/>
                <w:b/>
                <w:bCs/>
                <w:color w:val="0D0D0D"/>
              </w:rPr>
            </w:pPr>
            <w:r w:rsidRPr="004E6649">
              <w:rPr>
                <w:rFonts w:eastAsia="Times New Roman" w:cstheme="minorHAnsi"/>
                <w:b/>
                <w:bCs/>
                <w:color w:val="0D0D0D"/>
              </w:rPr>
              <w:t>June 30, 20</w:t>
            </w:r>
            <w:r>
              <w:rPr>
                <w:rFonts w:eastAsia="Times New Roman" w:cstheme="minorHAnsi"/>
                <w:b/>
                <w:bCs/>
                <w:color w:val="0D0D0D"/>
              </w:rPr>
              <w:t>25</w:t>
            </w:r>
          </w:p>
        </w:tc>
        <w:tc>
          <w:tcPr>
            <w:tcW w:w="3768" w:type="dxa"/>
            <w:gridSpan w:val="4"/>
            <w:tcBorders>
              <w:top w:val="nil"/>
              <w:left w:val="nil"/>
              <w:bottom w:val="single" w:sz="4" w:space="0" w:color="auto"/>
              <w:right w:val="nil"/>
            </w:tcBorders>
            <w:shd w:val="clear" w:color="auto" w:fill="F2F2F2" w:themeFill="background1" w:themeFillShade="F2"/>
            <w:vAlign w:val="bottom"/>
          </w:tcPr>
          <w:p w14:paraId="17B1780A" w14:textId="77777777" w:rsidR="001B6918" w:rsidRPr="004E6649" w:rsidRDefault="001B6918" w:rsidP="00730ECF">
            <w:pPr>
              <w:ind w:right="-119"/>
              <w:jc w:val="center"/>
              <w:rPr>
                <w:rFonts w:eastAsia="Times New Roman" w:cstheme="minorHAnsi"/>
                <w:b/>
                <w:bCs/>
                <w:color w:val="0D0D0D"/>
              </w:rPr>
            </w:pPr>
            <w:r w:rsidRPr="004E6649">
              <w:rPr>
                <w:rFonts w:eastAsia="Times New Roman" w:cstheme="minorHAnsi"/>
                <w:b/>
                <w:bCs/>
                <w:color w:val="0D0D0D"/>
              </w:rPr>
              <w:t>June 30, 202</w:t>
            </w:r>
            <w:r>
              <w:rPr>
                <w:rFonts w:eastAsia="Times New Roman" w:cstheme="minorHAnsi"/>
                <w:b/>
                <w:bCs/>
                <w:color w:val="0D0D0D"/>
              </w:rPr>
              <w:t>4</w:t>
            </w:r>
          </w:p>
        </w:tc>
      </w:tr>
      <w:tr w:rsidR="001B6918" w:rsidRPr="004E6649" w14:paraId="6A5059AB" w14:textId="77777777" w:rsidTr="00730ECF">
        <w:trPr>
          <w:gridAfter w:val="1"/>
          <w:wAfter w:w="11" w:type="dxa"/>
          <w:cantSplit/>
          <w:trHeight w:val="680"/>
          <w:tblHeader/>
          <w:jc w:val="center"/>
        </w:trPr>
        <w:tc>
          <w:tcPr>
            <w:tcW w:w="2248" w:type="dxa"/>
            <w:tcBorders>
              <w:top w:val="nil"/>
              <w:left w:val="nil"/>
              <w:bottom w:val="nil"/>
              <w:right w:val="nil"/>
            </w:tcBorders>
            <w:shd w:val="clear" w:color="000000" w:fill="FFFFFF"/>
            <w:noWrap/>
            <w:vAlign w:val="bottom"/>
            <w:hideMark/>
          </w:tcPr>
          <w:p w14:paraId="33953904" w14:textId="77777777" w:rsidR="001B6918" w:rsidRPr="004E6649" w:rsidRDefault="001B6918" w:rsidP="00730ECF">
            <w:pPr>
              <w:ind w:right="-119"/>
              <w:rPr>
                <w:rFonts w:eastAsia="Times New Roman" w:cstheme="minorHAnsi"/>
                <w:b/>
                <w:bCs/>
                <w:color w:val="0D0D0D"/>
              </w:rPr>
            </w:pPr>
            <w:r w:rsidRPr="004E6649">
              <w:rPr>
                <w:rFonts w:eastAsia="Times New Roman" w:cstheme="minorHAnsi"/>
                <w:b/>
                <w:bCs/>
                <w:color w:val="0D0D0D"/>
              </w:rPr>
              <w:t> </w:t>
            </w:r>
          </w:p>
        </w:tc>
        <w:tc>
          <w:tcPr>
            <w:tcW w:w="1169" w:type="dxa"/>
            <w:tcBorders>
              <w:top w:val="nil"/>
              <w:left w:val="nil"/>
              <w:bottom w:val="single" w:sz="4" w:space="0" w:color="auto"/>
              <w:right w:val="nil"/>
            </w:tcBorders>
            <w:shd w:val="clear" w:color="000000" w:fill="FFFFFF"/>
            <w:vAlign w:val="bottom"/>
            <w:hideMark/>
          </w:tcPr>
          <w:p w14:paraId="7EB9218C" w14:textId="77777777" w:rsidR="001B6918" w:rsidRPr="00762AF9" w:rsidRDefault="001B6918" w:rsidP="00730ECF">
            <w:pPr>
              <w:ind w:right="-119"/>
              <w:jc w:val="center"/>
              <w:rPr>
                <w:rFonts w:eastAsia="Times New Roman" w:cstheme="minorHAnsi"/>
                <w:bCs/>
              </w:rPr>
            </w:pPr>
            <w:r w:rsidRPr="00762AF9">
              <w:rPr>
                <w:rFonts w:eastAsia="Times New Roman" w:cstheme="minorHAnsi"/>
                <w:bCs/>
              </w:rPr>
              <w:t>1% Decrease</w:t>
            </w:r>
            <w:r w:rsidRPr="00762AF9">
              <w:rPr>
                <w:rFonts w:eastAsia="Times New Roman" w:cstheme="minorHAnsi"/>
                <w:bCs/>
              </w:rPr>
              <w:br/>
              <w:t>(</w:t>
            </w:r>
            <w:r w:rsidRPr="008A518D">
              <w:rPr>
                <w:rFonts w:eastAsia="Times New Roman" w:cstheme="minorHAnsi"/>
                <w:bCs/>
              </w:rPr>
              <w:t>5.25</w:t>
            </w:r>
            <w:r w:rsidRPr="00762AF9">
              <w:rPr>
                <w:rFonts w:eastAsia="Times New Roman" w:cstheme="minorHAnsi"/>
                <w:bCs/>
              </w:rPr>
              <w:t>%)</w:t>
            </w:r>
          </w:p>
        </w:tc>
        <w:tc>
          <w:tcPr>
            <w:tcW w:w="1260" w:type="dxa"/>
            <w:tcBorders>
              <w:top w:val="nil"/>
              <w:left w:val="nil"/>
              <w:bottom w:val="single" w:sz="4" w:space="0" w:color="auto"/>
              <w:right w:val="nil"/>
            </w:tcBorders>
            <w:shd w:val="clear" w:color="000000" w:fill="FFFFFF"/>
            <w:vAlign w:val="bottom"/>
            <w:hideMark/>
          </w:tcPr>
          <w:p w14:paraId="1F48E28F" w14:textId="77777777" w:rsidR="001B6918" w:rsidRPr="00762AF9" w:rsidRDefault="001B6918" w:rsidP="00730ECF">
            <w:pPr>
              <w:ind w:right="-119"/>
              <w:jc w:val="center"/>
              <w:rPr>
                <w:rFonts w:eastAsia="Times New Roman" w:cstheme="minorHAnsi"/>
                <w:bCs/>
              </w:rPr>
            </w:pPr>
            <w:r w:rsidRPr="000E5AA1">
              <w:rPr>
                <w:rFonts w:eastAsia="Times New Roman" w:cstheme="minorHAnsi"/>
                <w:bCs/>
              </w:rPr>
              <w:t>Current Discount Rate (</w:t>
            </w:r>
            <w:r w:rsidRPr="008A518D">
              <w:rPr>
                <w:rFonts w:eastAsia="Times New Roman" w:cstheme="minorHAnsi"/>
                <w:bCs/>
              </w:rPr>
              <w:t>6.25</w:t>
            </w:r>
            <w:r w:rsidRPr="00762AF9">
              <w:rPr>
                <w:rFonts w:eastAsia="Times New Roman" w:cstheme="minorHAnsi"/>
                <w:bCs/>
              </w:rPr>
              <w:t>%)</w:t>
            </w:r>
          </w:p>
        </w:tc>
        <w:tc>
          <w:tcPr>
            <w:tcW w:w="1167" w:type="dxa"/>
            <w:tcBorders>
              <w:top w:val="nil"/>
              <w:left w:val="nil"/>
              <w:bottom w:val="single" w:sz="4" w:space="0" w:color="auto"/>
              <w:right w:val="nil"/>
            </w:tcBorders>
            <w:shd w:val="clear" w:color="000000" w:fill="FFFFFF"/>
            <w:vAlign w:val="bottom"/>
            <w:hideMark/>
          </w:tcPr>
          <w:p w14:paraId="4A28549A" w14:textId="77777777" w:rsidR="001B6918" w:rsidRPr="00762AF9" w:rsidRDefault="001B6918" w:rsidP="00730ECF">
            <w:pPr>
              <w:ind w:right="-119"/>
              <w:jc w:val="center"/>
              <w:rPr>
                <w:rFonts w:eastAsia="Times New Roman" w:cstheme="minorHAnsi"/>
                <w:bCs/>
              </w:rPr>
            </w:pPr>
            <w:r w:rsidRPr="000E5AA1">
              <w:rPr>
                <w:rFonts w:eastAsia="Times New Roman" w:cstheme="minorHAnsi"/>
                <w:bCs/>
              </w:rPr>
              <w:t>1% Increase (</w:t>
            </w:r>
            <w:r w:rsidRPr="008A518D">
              <w:rPr>
                <w:rFonts w:eastAsia="Times New Roman" w:cstheme="minorHAnsi"/>
                <w:bCs/>
              </w:rPr>
              <w:t>7.25</w:t>
            </w:r>
            <w:r w:rsidRPr="00762AF9">
              <w:rPr>
                <w:rFonts w:eastAsia="Times New Roman" w:cstheme="minorHAnsi"/>
                <w:bCs/>
              </w:rPr>
              <w:t>%)</w:t>
            </w:r>
          </w:p>
        </w:tc>
        <w:tc>
          <w:tcPr>
            <w:tcW w:w="1292" w:type="dxa"/>
            <w:tcBorders>
              <w:top w:val="nil"/>
              <w:left w:val="nil"/>
              <w:bottom w:val="single" w:sz="4" w:space="0" w:color="auto"/>
              <w:right w:val="nil"/>
            </w:tcBorders>
            <w:shd w:val="clear" w:color="auto" w:fill="F2F2F2" w:themeFill="background1" w:themeFillShade="F2"/>
            <w:vAlign w:val="bottom"/>
            <w:hideMark/>
          </w:tcPr>
          <w:p w14:paraId="08426AD2" w14:textId="77777777" w:rsidR="001B6918" w:rsidRPr="004E6649" w:rsidRDefault="001B6918" w:rsidP="00730ECF">
            <w:pPr>
              <w:ind w:right="-119"/>
              <w:jc w:val="center"/>
              <w:rPr>
                <w:rFonts w:eastAsia="Times New Roman" w:cstheme="minorHAnsi"/>
                <w:bCs/>
                <w:color w:val="0D0D0D"/>
              </w:rPr>
            </w:pPr>
            <w:r w:rsidRPr="004E6649">
              <w:rPr>
                <w:rFonts w:eastAsia="Times New Roman" w:cstheme="minorHAnsi"/>
                <w:bCs/>
                <w:color w:val="0D0D0D"/>
              </w:rPr>
              <w:t>1%</w:t>
            </w:r>
            <w:r>
              <w:rPr>
                <w:rFonts w:eastAsia="Times New Roman" w:cstheme="minorHAnsi"/>
                <w:bCs/>
                <w:color w:val="0D0D0D"/>
              </w:rPr>
              <w:t xml:space="preserve"> </w:t>
            </w:r>
            <w:r w:rsidRPr="004E6649">
              <w:rPr>
                <w:rFonts w:eastAsia="Times New Roman" w:cstheme="minorHAnsi"/>
                <w:bCs/>
                <w:color w:val="0D0D0D"/>
              </w:rPr>
              <w:t>Decrease</w:t>
            </w:r>
            <w:r w:rsidRPr="004E6649">
              <w:rPr>
                <w:rFonts w:eastAsia="Times New Roman" w:cstheme="minorHAnsi"/>
                <w:bCs/>
                <w:color w:val="0D0D0D"/>
              </w:rPr>
              <w:br/>
              <w:t>(5.25%)</w:t>
            </w:r>
          </w:p>
        </w:tc>
        <w:tc>
          <w:tcPr>
            <w:tcW w:w="1318" w:type="dxa"/>
            <w:tcBorders>
              <w:top w:val="nil"/>
              <w:left w:val="nil"/>
              <w:bottom w:val="single" w:sz="4" w:space="0" w:color="auto"/>
              <w:right w:val="nil"/>
            </w:tcBorders>
            <w:shd w:val="clear" w:color="auto" w:fill="F2F2F2" w:themeFill="background1" w:themeFillShade="F2"/>
            <w:vAlign w:val="bottom"/>
            <w:hideMark/>
          </w:tcPr>
          <w:p w14:paraId="7708A9B7" w14:textId="77777777" w:rsidR="001B6918" w:rsidRPr="004E6649" w:rsidRDefault="001B6918" w:rsidP="00730ECF">
            <w:pPr>
              <w:ind w:right="-119"/>
              <w:jc w:val="center"/>
              <w:rPr>
                <w:rFonts w:eastAsia="Times New Roman" w:cstheme="minorHAnsi"/>
                <w:bCs/>
                <w:color w:val="0D0D0D"/>
              </w:rPr>
            </w:pPr>
            <w:r w:rsidRPr="004E6649">
              <w:rPr>
                <w:rFonts w:eastAsia="Times New Roman" w:cstheme="minorHAnsi"/>
                <w:bCs/>
                <w:color w:val="0D0D0D"/>
              </w:rPr>
              <w:t>Current Discount Rate (6.25%)</w:t>
            </w:r>
          </w:p>
        </w:tc>
        <w:tc>
          <w:tcPr>
            <w:tcW w:w="1147" w:type="dxa"/>
            <w:tcBorders>
              <w:top w:val="nil"/>
              <w:left w:val="nil"/>
              <w:bottom w:val="single" w:sz="4" w:space="0" w:color="auto"/>
              <w:right w:val="nil"/>
            </w:tcBorders>
            <w:shd w:val="clear" w:color="auto" w:fill="F2F2F2" w:themeFill="background1" w:themeFillShade="F2"/>
            <w:vAlign w:val="bottom"/>
            <w:hideMark/>
          </w:tcPr>
          <w:p w14:paraId="2263D0DC" w14:textId="77777777" w:rsidR="001B6918" w:rsidRPr="004E6649" w:rsidRDefault="001B6918" w:rsidP="00730ECF">
            <w:pPr>
              <w:ind w:right="-119"/>
              <w:jc w:val="center"/>
              <w:rPr>
                <w:rFonts w:eastAsia="Times New Roman" w:cstheme="minorHAnsi"/>
                <w:bCs/>
                <w:color w:val="0D0D0D"/>
              </w:rPr>
            </w:pPr>
            <w:r w:rsidRPr="004E6649">
              <w:rPr>
                <w:rFonts w:eastAsia="Times New Roman" w:cstheme="minorHAnsi"/>
                <w:bCs/>
                <w:color w:val="0D0D0D"/>
              </w:rPr>
              <w:t>1%</w:t>
            </w:r>
            <w:r>
              <w:rPr>
                <w:rFonts w:eastAsia="Times New Roman" w:cstheme="minorHAnsi"/>
                <w:bCs/>
                <w:color w:val="0D0D0D"/>
              </w:rPr>
              <w:t xml:space="preserve"> </w:t>
            </w:r>
            <w:r w:rsidRPr="004E6649">
              <w:rPr>
                <w:rFonts w:eastAsia="Times New Roman" w:cstheme="minorHAnsi"/>
                <w:bCs/>
                <w:color w:val="0D0D0D"/>
              </w:rPr>
              <w:t>Increase</w:t>
            </w:r>
            <w:r>
              <w:rPr>
                <w:rFonts w:eastAsia="Times New Roman" w:cstheme="minorHAnsi"/>
                <w:bCs/>
                <w:color w:val="0D0D0D"/>
              </w:rPr>
              <w:t xml:space="preserve"> </w:t>
            </w:r>
            <w:r w:rsidRPr="004E6649">
              <w:rPr>
                <w:rFonts w:eastAsia="Times New Roman" w:cstheme="minorHAnsi"/>
                <w:bCs/>
                <w:color w:val="0D0D0D"/>
              </w:rPr>
              <w:t>(7.25%)</w:t>
            </w:r>
          </w:p>
        </w:tc>
      </w:tr>
      <w:tr w:rsidR="001B6918" w:rsidRPr="004E6649" w14:paraId="6FAED5E5" w14:textId="77777777" w:rsidTr="00730ECF">
        <w:trPr>
          <w:gridAfter w:val="1"/>
          <w:wAfter w:w="11" w:type="dxa"/>
          <w:cantSplit/>
          <w:trHeight w:val="311"/>
          <w:jc w:val="center"/>
        </w:trPr>
        <w:tc>
          <w:tcPr>
            <w:tcW w:w="2248" w:type="dxa"/>
            <w:tcBorders>
              <w:left w:val="nil"/>
              <w:bottom w:val="nil"/>
              <w:right w:val="nil"/>
            </w:tcBorders>
            <w:shd w:val="clear" w:color="000000" w:fill="FFFFFF"/>
            <w:noWrap/>
            <w:vAlign w:val="bottom"/>
            <w:hideMark/>
          </w:tcPr>
          <w:p w14:paraId="278CD57B" w14:textId="77777777" w:rsidR="001B6918" w:rsidRPr="004E6649" w:rsidRDefault="001B6918" w:rsidP="00730ECF">
            <w:pPr>
              <w:ind w:right="-119"/>
              <w:rPr>
                <w:rFonts w:eastAsia="Times New Roman" w:cstheme="minorHAnsi"/>
                <w:color w:val="0D0D0D"/>
              </w:rPr>
            </w:pPr>
            <w:r w:rsidRPr="004E6649">
              <w:rPr>
                <w:rFonts w:eastAsia="Times New Roman" w:cstheme="minorHAnsi"/>
                <w:color w:val="0D0D0D"/>
              </w:rPr>
              <w:t>Total pension liability</w:t>
            </w:r>
          </w:p>
        </w:tc>
        <w:tc>
          <w:tcPr>
            <w:tcW w:w="1169" w:type="dxa"/>
            <w:tcBorders>
              <w:top w:val="nil"/>
              <w:left w:val="nil"/>
              <w:bottom w:val="nil"/>
              <w:right w:val="nil"/>
            </w:tcBorders>
            <w:shd w:val="clear" w:color="000000" w:fill="FFFFFF"/>
            <w:vAlign w:val="bottom"/>
            <w:hideMark/>
          </w:tcPr>
          <w:p w14:paraId="60E699C9" w14:textId="77777777" w:rsidR="001B6918" w:rsidRPr="004045CB" w:rsidRDefault="001B6918" w:rsidP="00730ECF">
            <w:pPr>
              <w:ind w:right="-119"/>
              <w:rPr>
                <w:rFonts w:eastAsia="Times New Roman" w:cstheme="minorHAnsi"/>
                <w:color w:val="FF0000"/>
              </w:rPr>
            </w:pPr>
            <w:r>
              <w:rPr>
                <w:rFonts w:ascii="Calibri" w:hAnsi="Calibri" w:cs="Calibri"/>
              </w:rPr>
              <w:t xml:space="preserve"> $  24,624 </w:t>
            </w:r>
          </w:p>
        </w:tc>
        <w:tc>
          <w:tcPr>
            <w:tcW w:w="1260" w:type="dxa"/>
            <w:tcBorders>
              <w:top w:val="nil"/>
              <w:left w:val="nil"/>
              <w:bottom w:val="nil"/>
              <w:right w:val="nil"/>
            </w:tcBorders>
            <w:shd w:val="clear" w:color="000000" w:fill="FFFFFF"/>
            <w:vAlign w:val="bottom"/>
            <w:hideMark/>
          </w:tcPr>
          <w:p w14:paraId="09A6A683" w14:textId="77777777" w:rsidR="001B6918" w:rsidRPr="004045CB" w:rsidRDefault="001B6918" w:rsidP="00730ECF">
            <w:pPr>
              <w:ind w:right="-119"/>
              <w:rPr>
                <w:rFonts w:eastAsia="Times New Roman" w:cstheme="minorHAnsi"/>
                <w:color w:val="FF0000"/>
              </w:rPr>
            </w:pPr>
            <w:r>
              <w:rPr>
                <w:rFonts w:ascii="Calibri" w:hAnsi="Calibri" w:cs="Calibri"/>
              </w:rPr>
              <w:t xml:space="preserve"> $  23,239 </w:t>
            </w:r>
          </w:p>
        </w:tc>
        <w:tc>
          <w:tcPr>
            <w:tcW w:w="1167" w:type="dxa"/>
            <w:tcBorders>
              <w:top w:val="nil"/>
              <w:left w:val="nil"/>
              <w:bottom w:val="nil"/>
              <w:right w:val="nil"/>
            </w:tcBorders>
            <w:shd w:val="clear" w:color="000000" w:fill="FFFFFF"/>
            <w:vAlign w:val="bottom"/>
            <w:hideMark/>
          </w:tcPr>
          <w:p w14:paraId="594EB80B" w14:textId="77777777" w:rsidR="001B6918" w:rsidRPr="004045CB" w:rsidRDefault="001B6918" w:rsidP="00730ECF">
            <w:pPr>
              <w:ind w:right="-119"/>
              <w:rPr>
                <w:rFonts w:eastAsia="Times New Roman" w:cstheme="minorHAnsi"/>
                <w:color w:val="FF0000"/>
              </w:rPr>
            </w:pPr>
            <w:r>
              <w:rPr>
                <w:rFonts w:ascii="Calibri" w:hAnsi="Calibri" w:cs="Calibri"/>
              </w:rPr>
              <w:t xml:space="preserve"> $  22,001 </w:t>
            </w:r>
          </w:p>
        </w:tc>
        <w:tc>
          <w:tcPr>
            <w:tcW w:w="1292" w:type="dxa"/>
            <w:tcBorders>
              <w:top w:val="single" w:sz="4" w:space="0" w:color="auto"/>
              <w:left w:val="nil"/>
              <w:bottom w:val="nil"/>
              <w:right w:val="nil"/>
            </w:tcBorders>
            <w:shd w:val="clear" w:color="auto" w:fill="F2F2F2" w:themeFill="background1" w:themeFillShade="F2"/>
            <w:vAlign w:val="bottom"/>
            <w:hideMark/>
          </w:tcPr>
          <w:p w14:paraId="3BF770A3" w14:textId="77777777" w:rsidR="001B6918" w:rsidRPr="004E6649" w:rsidRDefault="001B6918" w:rsidP="00730ECF">
            <w:pPr>
              <w:ind w:right="-119"/>
              <w:jc w:val="right"/>
              <w:rPr>
                <w:rFonts w:eastAsia="Times New Roman" w:cstheme="minorHAnsi"/>
                <w:color w:val="0D0D0D"/>
              </w:rPr>
            </w:pPr>
            <w:r w:rsidRPr="007442C8">
              <w:rPr>
                <w:rFonts w:eastAsia="Times New Roman" w:cstheme="minorHAnsi"/>
              </w:rPr>
              <w:t>$</w:t>
            </w:r>
            <w:r>
              <w:rPr>
                <w:rFonts w:eastAsia="Times New Roman" w:cstheme="minorHAnsi"/>
              </w:rPr>
              <w:t xml:space="preserve"> </w:t>
            </w:r>
            <w:r w:rsidRPr="007442C8">
              <w:rPr>
                <w:rFonts w:eastAsia="Times New Roman" w:cstheme="minorHAnsi"/>
              </w:rPr>
              <w:t xml:space="preserve"> 29,901</w:t>
            </w:r>
          </w:p>
        </w:tc>
        <w:tc>
          <w:tcPr>
            <w:tcW w:w="1318" w:type="dxa"/>
            <w:tcBorders>
              <w:top w:val="single" w:sz="4" w:space="0" w:color="auto"/>
              <w:left w:val="nil"/>
              <w:bottom w:val="nil"/>
              <w:right w:val="nil"/>
            </w:tcBorders>
            <w:shd w:val="clear" w:color="auto" w:fill="F2F2F2" w:themeFill="background1" w:themeFillShade="F2"/>
            <w:vAlign w:val="bottom"/>
            <w:hideMark/>
          </w:tcPr>
          <w:p w14:paraId="1EA8F39C" w14:textId="77777777" w:rsidR="001B6918" w:rsidRPr="004E6649" w:rsidRDefault="001B6918" w:rsidP="00730ECF">
            <w:pPr>
              <w:ind w:right="-119"/>
              <w:jc w:val="right"/>
              <w:rPr>
                <w:rFonts w:eastAsia="Times New Roman" w:cstheme="minorHAnsi"/>
                <w:color w:val="0D0D0D"/>
              </w:rPr>
            </w:pPr>
            <w:r w:rsidRPr="007442C8">
              <w:rPr>
                <w:rFonts w:cstheme="minorHAnsi"/>
              </w:rPr>
              <w:t xml:space="preserve"> $</w:t>
            </w:r>
            <w:r>
              <w:rPr>
                <w:rFonts w:cstheme="minorHAnsi"/>
              </w:rPr>
              <w:t xml:space="preserve"> </w:t>
            </w:r>
            <w:r w:rsidRPr="007442C8">
              <w:rPr>
                <w:rFonts w:cstheme="minorHAnsi"/>
              </w:rPr>
              <w:t xml:space="preserve"> 28,098</w:t>
            </w:r>
          </w:p>
        </w:tc>
        <w:tc>
          <w:tcPr>
            <w:tcW w:w="1147" w:type="dxa"/>
            <w:tcBorders>
              <w:top w:val="single" w:sz="4" w:space="0" w:color="auto"/>
              <w:left w:val="nil"/>
              <w:bottom w:val="nil"/>
              <w:right w:val="nil"/>
            </w:tcBorders>
            <w:shd w:val="clear" w:color="auto" w:fill="F2F2F2" w:themeFill="background1" w:themeFillShade="F2"/>
            <w:vAlign w:val="bottom"/>
            <w:hideMark/>
          </w:tcPr>
          <w:p w14:paraId="52966BB5" w14:textId="77777777" w:rsidR="001B6918" w:rsidRPr="004E6649" w:rsidRDefault="001B6918" w:rsidP="00730ECF">
            <w:pPr>
              <w:ind w:right="-119"/>
              <w:jc w:val="right"/>
              <w:rPr>
                <w:rFonts w:eastAsia="Times New Roman" w:cstheme="minorHAnsi"/>
                <w:color w:val="0D0D0D"/>
              </w:rPr>
            </w:pPr>
            <w:r w:rsidRPr="007442C8">
              <w:rPr>
                <w:rFonts w:cstheme="minorHAnsi"/>
              </w:rPr>
              <w:t xml:space="preserve"> $</w:t>
            </w:r>
            <w:r>
              <w:rPr>
                <w:rFonts w:cstheme="minorHAnsi"/>
              </w:rPr>
              <w:t xml:space="preserve"> </w:t>
            </w:r>
            <w:r w:rsidRPr="007442C8">
              <w:rPr>
                <w:rFonts w:cstheme="minorHAnsi"/>
              </w:rPr>
              <w:t xml:space="preserve"> 26</w:t>
            </w:r>
            <w:r>
              <w:rPr>
                <w:rFonts w:cstheme="minorHAnsi"/>
              </w:rPr>
              <w:t>,</w:t>
            </w:r>
            <w:r w:rsidRPr="007442C8">
              <w:rPr>
                <w:rFonts w:cstheme="minorHAnsi"/>
              </w:rPr>
              <w:t>497</w:t>
            </w:r>
          </w:p>
        </w:tc>
      </w:tr>
      <w:tr w:rsidR="001B6918" w:rsidRPr="004E6649" w14:paraId="6FB26B9A" w14:textId="77777777" w:rsidTr="00730ECF">
        <w:trPr>
          <w:gridAfter w:val="1"/>
          <w:wAfter w:w="11" w:type="dxa"/>
          <w:cantSplit/>
          <w:trHeight w:val="261"/>
          <w:jc w:val="center"/>
        </w:trPr>
        <w:tc>
          <w:tcPr>
            <w:tcW w:w="2248" w:type="dxa"/>
            <w:tcBorders>
              <w:top w:val="nil"/>
              <w:left w:val="nil"/>
              <w:bottom w:val="single" w:sz="12" w:space="0" w:color="000000" w:themeColor="text1"/>
              <w:right w:val="nil"/>
            </w:tcBorders>
            <w:shd w:val="clear" w:color="000000" w:fill="FFFFFF"/>
            <w:noWrap/>
            <w:vAlign w:val="bottom"/>
            <w:hideMark/>
          </w:tcPr>
          <w:p w14:paraId="2150958C" w14:textId="77777777" w:rsidR="001B6918" w:rsidRPr="004E6649" w:rsidRDefault="001B6918" w:rsidP="00730ECF">
            <w:pPr>
              <w:ind w:right="-119"/>
              <w:rPr>
                <w:rFonts w:eastAsia="Times New Roman" w:cstheme="minorHAnsi"/>
                <w:color w:val="0D0D0D"/>
              </w:rPr>
            </w:pPr>
            <w:r w:rsidRPr="004E6649">
              <w:rPr>
                <w:rFonts w:eastAsia="Times New Roman" w:cstheme="minorHAnsi"/>
                <w:color w:val="0D0D0D"/>
              </w:rPr>
              <w:t>Fiduciary net position</w:t>
            </w:r>
          </w:p>
        </w:tc>
        <w:tc>
          <w:tcPr>
            <w:tcW w:w="1169" w:type="dxa"/>
            <w:tcBorders>
              <w:top w:val="nil"/>
              <w:left w:val="nil"/>
              <w:bottom w:val="nil"/>
              <w:right w:val="nil"/>
            </w:tcBorders>
            <w:shd w:val="clear" w:color="000000" w:fill="FFFFFF"/>
            <w:vAlign w:val="bottom"/>
            <w:hideMark/>
          </w:tcPr>
          <w:p w14:paraId="2B85F04E" w14:textId="77777777" w:rsidR="001B6918" w:rsidRPr="004045CB" w:rsidRDefault="001B6918" w:rsidP="00730ECF">
            <w:pPr>
              <w:ind w:right="-119"/>
              <w:rPr>
                <w:rFonts w:eastAsia="Times New Roman" w:cstheme="minorHAnsi"/>
                <w:color w:val="FF0000"/>
              </w:rPr>
            </w:pPr>
            <w:r>
              <w:rPr>
                <w:rFonts w:ascii="Calibri" w:hAnsi="Calibri" w:cs="Calibri"/>
              </w:rPr>
              <w:t xml:space="preserve">     16,230 </w:t>
            </w:r>
          </w:p>
        </w:tc>
        <w:tc>
          <w:tcPr>
            <w:tcW w:w="1260" w:type="dxa"/>
            <w:tcBorders>
              <w:top w:val="nil"/>
              <w:left w:val="nil"/>
              <w:bottom w:val="nil"/>
              <w:right w:val="nil"/>
            </w:tcBorders>
            <w:shd w:val="clear" w:color="000000" w:fill="FFFFFF"/>
            <w:vAlign w:val="bottom"/>
            <w:hideMark/>
          </w:tcPr>
          <w:p w14:paraId="4C60AF03" w14:textId="77777777" w:rsidR="001B6918" w:rsidRPr="004045CB" w:rsidRDefault="001B6918" w:rsidP="00730ECF">
            <w:pPr>
              <w:ind w:right="-119"/>
              <w:rPr>
                <w:rFonts w:eastAsia="Times New Roman" w:cstheme="minorHAnsi"/>
                <w:color w:val="FF0000"/>
              </w:rPr>
            </w:pPr>
            <w:r>
              <w:rPr>
                <w:rFonts w:ascii="Calibri" w:hAnsi="Calibri" w:cs="Calibri"/>
              </w:rPr>
              <w:t xml:space="preserve">     16,230 </w:t>
            </w:r>
          </w:p>
        </w:tc>
        <w:tc>
          <w:tcPr>
            <w:tcW w:w="1167" w:type="dxa"/>
            <w:tcBorders>
              <w:top w:val="nil"/>
              <w:left w:val="nil"/>
              <w:bottom w:val="nil"/>
              <w:right w:val="nil"/>
            </w:tcBorders>
            <w:shd w:val="clear" w:color="000000" w:fill="FFFFFF"/>
            <w:vAlign w:val="bottom"/>
            <w:hideMark/>
          </w:tcPr>
          <w:p w14:paraId="3426D54A" w14:textId="77777777" w:rsidR="001B6918" w:rsidRPr="004045CB" w:rsidRDefault="001B6918" w:rsidP="00730ECF">
            <w:pPr>
              <w:ind w:right="-119"/>
              <w:rPr>
                <w:rFonts w:eastAsia="Times New Roman" w:cstheme="minorHAnsi"/>
                <w:color w:val="FF0000"/>
              </w:rPr>
            </w:pPr>
            <w:r>
              <w:rPr>
                <w:rFonts w:ascii="Calibri" w:hAnsi="Calibri" w:cs="Calibri"/>
              </w:rPr>
              <w:t xml:space="preserve">     16,230 </w:t>
            </w:r>
          </w:p>
        </w:tc>
        <w:tc>
          <w:tcPr>
            <w:tcW w:w="1292" w:type="dxa"/>
            <w:tcBorders>
              <w:top w:val="nil"/>
              <w:left w:val="nil"/>
              <w:bottom w:val="single" w:sz="12" w:space="0" w:color="000000" w:themeColor="text1"/>
              <w:right w:val="nil"/>
            </w:tcBorders>
            <w:shd w:val="clear" w:color="auto" w:fill="F2F2F2" w:themeFill="background1" w:themeFillShade="F2"/>
            <w:vAlign w:val="bottom"/>
            <w:hideMark/>
          </w:tcPr>
          <w:p w14:paraId="50D1517F" w14:textId="77777777" w:rsidR="001B6918" w:rsidRPr="004E6649" w:rsidRDefault="001B6918" w:rsidP="00730ECF">
            <w:pPr>
              <w:ind w:right="-119"/>
              <w:jc w:val="right"/>
              <w:rPr>
                <w:rFonts w:eastAsia="Times New Roman" w:cstheme="minorHAnsi"/>
                <w:color w:val="0D0D0D"/>
              </w:rPr>
            </w:pPr>
            <w:r w:rsidRPr="007442C8">
              <w:rPr>
                <w:rFonts w:cstheme="minorHAnsi"/>
              </w:rPr>
              <w:t>17,593</w:t>
            </w:r>
          </w:p>
        </w:tc>
        <w:tc>
          <w:tcPr>
            <w:tcW w:w="1318" w:type="dxa"/>
            <w:tcBorders>
              <w:top w:val="nil"/>
              <w:left w:val="nil"/>
              <w:bottom w:val="single" w:sz="12" w:space="0" w:color="000000" w:themeColor="text1"/>
              <w:right w:val="nil"/>
            </w:tcBorders>
            <w:shd w:val="clear" w:color="auto" w:fill="F2F2F2" w:themeFill="background1" w:themeFillShade="F2"/>
            <w:vAlign w:val="bottom"/>
            <w:hideMark/>
          </w:tcPr>
          <w:p w14:paraId="09305845" w14:textId="77777777" w:rsidR="001B6918" w:rsidRPr="004E6649" w:rsidRDefault="001B6918" w:rsidP="00730ECF">
            <w:pPr>
              <w:ind w:right="-119"/>
              <w:jc w:val="right"/>
              <w:rPr>
                <w:rFonts w:eastAsia="Times New Roman" w:cstheme="minorHAnsi"/>
                <w:color w:val="0D0D0D"/>
              </w:rPr>
            </w:pPr>
            <w:r w:rsidRPr="007442C8">
              <w:rPr>
                <w:rFonts w:cstheme="minorHAnsi"/>
              </w:rPr>
              <w:t>17,593</w:t>
            </w:r>
          </w:p>
        </w:tc>
        <w:tc>
          <w:tcPr>
            <w:tcW w:w="1147" w:type="dxa"/>
            <w:tcBorders>
              <w:top w:val="nil"/>
              <w:left w:val="nil"/>
              <w:bottom w:val="single" w:sz="12" w:space="0" w:color="000000" w:themeColor="text1"/>
              <w:right w:val="nil"/>
            </w:tcBorders>
            <w:shd w:val="clear" w:color="auto" w:fill="F2F2F2" w:themeFill="background1" w:themeFillShade="F2"/>
            <w:vAlign w:val="bottom"/>
            <w:hideMark/>
          </w:tcPr>
          <w:p w14:paraId="1EB70E75" w14:textId="77777777" w:rsidR="001B6918" w:rsidRPr="004E6649" w:rsidRDefault="001B6918" w:rsidP="00730ECF">
            <w:pPr>
              <w:ind w:right="-119"/>
              <w:jc w:val="right"/>
              <w:rPr>
                <w:rFonts w:eastAsia="Times New Roman" w:cstheme="minorHAnsi"/>
                <w:color w:val="0D0D0D"/>
              </w:rPr>
            </w:pPr>
            <w:r w:rsidRPr="007442C8">
              <w:rPr>
                <w:rFonts w:cstheme="minorHAnsi"/>
              </w:rPr>
              <w:t>17,593</w:t>
            </w:r>
          </w:p>
        </w:tc>
      </w:tr>
      <w:tr w:rsidR="001B6918" w:rsidRPr="004E6649" w14:paraId="13BA1A4A" w14:textId="77777777" w:rsidTr="00730ECF">
        <w:trPr>
          <w:gridAfter w:val="1"/>
          <w:wAfter w:w="11" w:type="dxa"/>
          <w:cantSplit/>
          <w:trHeight w:val="244"/>
          <w:jc w:val="center"/>
        </w:trPr>
        <w:tc>
          <w:tcPr>
            <w:tcW w:w="2248" w:type="dxa"/>
            <w:tcBorders>
              <w:top w:val="single" w:sz="12" w:space="0" w:color="000000" w:themeColor="text1"/>
              <w:left w:val="nil"/>
              <w:bottom w:val="single" w:sz="8" w:space="0" w:color="000000" w:themeColor="text1"/>
              <w:right w:val="nil"/>
            </w:tcBorders>
            <w:shd w:val="clear" w:color="000000" w:fill="FFFFFF"/>
            <w:noWrap/>
            <w:vAlign w:val="bottom"/>
            <w:hideMark/>
          </w:tcPr>
          <w:p w14:paraId="2AD6EFA1" w14:textId="77777777" w:rsidR="001B6918" w:rsidRPr="004E6649" w:rsidRDefault="001B6918" w:rsidP="00730ECF">
            <w:pPr>
              <w:ind w:right="-119"/>
              <w:rPr>
                <w:rFonts w:eastAsia="Times New Roman" w:cstheme="minorHAnsi"/>
                <w:color w:val="0D0D0D"/>
              </w:rPr>
            </w:pPr>
            <w:r w:rsidRPr="004E6649">
              <w:rPr>
                <w:rFonts w:eastAsia="Times New Roman" w:cstheme="minorHAnsi"/>
                <w:color w:val="0D0D0D"/>
              </w:rPr>
              <w:t>Net pension liability</w:t>
            </w:r>
          </w:p>
        </w:tc>
        <w:tc>
          <w:tcPr>
            <w:tcW w:w="1169" w:type="dxa"/>
            <w:tcBorders>
              <w:top w:val="single" w:sz="12" w:space="0" w:color="00688D"/>
              <w:left w:val="nil"/>
              <w:bottom w:val="single" w:sz="8" w:space="0" w:color="00688D"/>
              <w:right w:val="nil"/>
            </w:tcBorders>
            <w:shd w:val="clear" w:color="000000" w:fill="FFFFFF"/>
            <w:noWrap/>
            <w:vAlign w:val="bottom"/>
            <w:hideMark/>
          </w:tcPr>
          <w:p w14:paraId="12B3B08F" w14:textId="77777777" w:rsidR="001B6918" w:rsidRPr="004045CB" w:rsidRDefault="001B6918" w:rsidP="00730ECF">
            <w:pPr>
              <w:ind w:right="-119"/>
              <w:rPr>
                <w:rFonts w:eastAsia="Times New Roman" w:cstheme="minorHAnsi"/>
                <w:color w:val="FF0000"/>
              </w:rPr>
            </w:pPr>
            <w:r>
              <w:rPr>
                <w:rFonts w:ascii="Calibri" w:hAnsi="Calibri" w:cs="Calibri"/>
                <w:color w:val="0D0D0D"/>
              </w:rPr>
              <w:t xml:space="preserve"> $    8,394 </w:t>
            </w:r>
          </w:p>
        </w:tc>
        <w:tc>
          <w:tcPr>
            <w:tcW w:w="1260" w:type="dxa"/>
            <w:tcBorders>
              <w:top w:val="single" w:sz="12" w:space="0" w:color="00688D"/>
              <w:left w:val="nil"/>
              <w:bottom w:val="single" w:sz="8" w:space="0" w:color="00688D"/>
              <w:right w:val="nil"/>
            </w:tcBorders>
            <w:shd w:val="clear" w:color="000000" w:fill="FFFFFF"/>
            <w:noWrap/>
            <w:vAlign w:val="bottom"/>
            <w:hideMark/>
          </w:tcPr>
          <w:p w14:paraId="128912DA" w14:textId="77777777" w:rsidR="001B6918" w:rsidRPr="004045CB" w:rsidRDefault="001B6918" w:rsidP="00730ECF">
            <w:pPr>
              <w:ind w:right="-119"/>
              <w:rPr>
                <w:rFonts w:eastAsia="Times New Roman" w:cstheme="minorHAnsi"/>
                <w:color w:val="FF0000"/>
              </w:rPr>
            </w:pPr>
            <w:r>
              <w:rPr>
                <w:rFonts w:ascii="Calibri" w:hAnsi="Calibri" w:cs="Calibri"/>
                <w:color w:val="0D0D0D"/>
              </w:rPr>
              <w:t xml:space="preserve"> $    7,009 </w:t>
            </w:r>
          </w:p>
        </w:tc>
        <w:tc>
          <w:tcPr>
            <w:tcW w:w="1167" w:type="dxa"/>
            <w:tcBorders>
              <w:top w:val="single" w:sz="12" w:space="0" w:color="00688D"/>
              <w:left w:val="nil"/>
              <w:bottom w:val="single" w:sz="8" w:space="0" w:color="00688D"/>
              <w:right w:val="nil"/>
            </w:tcBorders>
            <w:shd w:val="clear" w:color="000000" w:fill="FFFFFF"/>
            <w:noWrap/>
            <w:vAlign w:val="bottom"/>
            <w:hideMark/>
          </w:tcPr>
          <w:p w14:paraId="2FA4F1D0" w14:textId="77777777" w:rsidR="001B6918" w:rsidRPr="004045CB" w:rsidRDefault="001B6918" w:rsidP="00730ECF">
            <w:pPr>
              <w:ind w:right="-119"/>
              <w:rPr>
                <w:rFonts w:eastAsia="Times New Roman" w:cstheme="minorHAnsi"/>
                <w:color w:val="FF0000"/>
              </w:rPr>
            </w:pPr>
            <w:r>
              <w:rPr>
                <w:rFonts w:ascii="Calibri" w:hAnsi="Calibri" w:cs="Calibri"/>
                <w:color w:val="0D0D0D"/>
              </w:rPr>
              <w:t xml:space="preserve"> $    5,771 </w:t>
            </w:r>
          </w:p>
        </w:tc>
        <w:tc>
          <w:tcPr>
            <w:tcW w:w="1292" w:type="dxa"/>
            <w:tcBorders>
              <w:top w:val="single" w:sz="12" w:space="0" w:color="000000" w:themeColor="text1"/>
              <w:left w:val="nil"/>
              <w:bottom w:val="single" w:sz="8" w:space="0" w:color="000000" w:themeColor="text1"/>
              <w:right w:val="nil"/>
            </w:tcBorders>
            <w:shd w:val="clear" w:color="auto" w:fill="F2F2F2" w:themeFill="background1" w:themeFillShade="F2"/>
            <w:noWrap/>
            <w:vAlign w:val="bottom"/>
            <w:hideMark/>
          </w:tcPr>
          <w:p w14:paraId="65DD9060" w14:textId="77777777" w:rsidR="001B6918" w:rsidRPr="004E6649" w:rsidRDefault="001B6918" w:rsidP="00730ECF">
            <w:pPr>
              <w:ind w:right="-119"/>
              <w:jc w:val="right"/>
              <w:rPr>
                <w:rFonts w:eastAsia="Times New Roman" w:cstheme="minorHAnsi"/>
                <w:color w:val="0D0D0D"/>
              </w:rPr>
            </w:pPr>
            <w:r w:rsidRPr="007442C8">
              <w:rPr>
                <w:rFonts w:cstheme="minorHAnsi"/>
              </w:rPr>
              <w:t xml:space="preserve"> $</w:t>
            </w:r>
            <w:r>
              <w:rPr>
                <w:rFonts w:cstheme="minorHAnsi"/>
              </w:rPr>
              <w:t xml:space="preserve"> </w:t>
            </w:r>
            <w:r w:rsidRPr="007442C8">
              <w:rPr>
                <w:rFonts w:cstheme="minorHAnsi"/>
              </w:rPr>
              <w:t xml:space="preserve"> 12,308</w:t>
            </w:r>
          </w:p>
        </w:tc>
        <w:tc>
          <w:tcPr>
            <w:tcW w:w="1318" w:type="dxa"/>
            <w:tcBorders>
              <w:top w:val="single" w:sz="12" w:space="0" w:color="000000" w:themeColor="text1"/>
              <w:left w:val="nil"/>
              <w:bottom w:val="single" w:sz="8" w:space="0" w:color="000000" w:themeColor="text1"/>
              <w:right w:val="nil"/>
            </w:tcBorders>
            <w:shd w:val="clear" w:color="auto" w:fill="F2F2F2" w:themeFill="background1" w:themeFillShade="F2"/>
            <w:noWrap/>
            <w:vAlign w:val="bottom"/>
            <w:hideMark/>
          </w:tcPr>
          <w:p w14:paraId="7FF8AE94" w14:textId="77777777" w:rsidR="001B6918" w:rsidRPr="004E6649" w:rsidRDefault="001B6918" w:rsidP="00730ECF">
            <w:pPr>
              <w:ind w:right="-119"/>
              <w:jc w:val="right"/>
              <w:rPr>
                <w:rFonts w:eastAsia="Times New Roman" w:cstheme="minorHAnsi"/>
                <w:color w:val="0D0D0D"/>
              </w:rPr>
            </w:pPr>
            <w:r w:rsidRPr="007442C8">
              <w:rPr>
                <w:rFonts w:cstheme="minorHAnsi"/>
              </w:rPr>
              <w:t xml:space="preserve"> $</w:t>
            </w:r>
            <w:r>
              <w:rPr>
                <w:rFonts w:cstheme="minorHAnsi"/>
              </w:rPr>
              <w:t xml:space="preserve"> </w:t>
            </w:r>
            <w:r w:rsidRPr="007442C8">
              <w:rPr>
                <w:rFonts w:cstheme="minorHAnsi"/>
              </w:rPr>
              <w:t xml:space="preserve"> 10,505</w:t>
            </w:r>
          </w:p>
        </w:tc>
        <w:tc>
          <w:tcPr>
            <w:tcW w:w="1147" w:type="dxa"/>
            <w:tcBorders>
              <w:top w:val="single" w:sz="12" w:space="0" w:color="000000" w:themeColor="text1"/>
              <w:left w:val="nil"/>
              <w:bottom w:val="single" w:sz="8" w:space="0" w:color="000000" w:themeColor="text1"/>
              <w:right w:val="nil"/>
            </w:tcBorders>
            <w:shd w:val="clear" w:color="auto" w:fill="F2F2F2" w:themeFill="background1" w:themeFillShade="F2"/>
            <w:noWrap/>
            <w:vAlign w:val="bottom"/>
            <w:hideMark/>
          </w:tcPr>
          <w:p w14:paraId="024E5FB3" w14:textId="77777777" w:rsidR="001B6918" w:rsidRPr="004E6649" w:rsidRDefault="001B6918" w:rsidP="00730ECF">
            <w:pPr>
              <w:ind w:right="-119"/>
              <w:jc w:val="right"/>
              <w:rPr>
                <w:rFonts w:eastAsia="Times New Roman" w:cstheme="minorHAnsi"/>
                <w:color w:val="0D0D0D"/>
              </w:rPr>
            </w:pPr>
            <w:r w:rsidRPr="007442C8">
              <w:rPr>
                <w:rFonts w:cstheme="minorHAnsi"/>
              </w:rPr>
              <w:t xml:space="preserve"> $   8,904</w:t>
            </w:r>
          </w:p>
        </w:tc>
      </w:tr>
    </w:tbl>
    <w:p w14:paraId="658F4E91" w14:textId="77777777" w:rsidR="001B6918" w:rsidRPr="00762AF9" w:rsidRDefault="001B6918" w:rsidP="001B6918">
      <w:pPr>
        <w:spacing w:after="160" w:line="259" w:lineRule="auto"/>
        <w:rPr>
          <w:rFonts w:cstheme="minorHAnsi"/>
          <w:sz w:val="26"/>
        </w:rPr>
      </w:pPr>
      <w:r w:rsidRPr="004E6649">
        <w:rPr>
          <w:rFonts w:cstheme="minorHAnsi"/>
          <w:b/>
          <w:i/>
          <w:sz w:val="26"/>
          <w:u w:val="single" w:color="000000" w:themeColor="text1"/>
        </w:rPr>
        <w:br w:type="page"/>
      </w:r>
    </w:p>
    <w:p w14:paraId="45C5FEAC" w14:textId="77777777" w:rsidR="001B6918" w:rsidRPr="00A02D27" w:rsidRDefault="001B6918" w:rsidP="001B6918">
      <w:pPr>
        <w:spacing w:after="160"/>
        <w:rPr>
          <w:rFonts w:eastAsiaTheme="majorEastAsia" w:cstheme="minorHAnsi"/>
          <w:b/>
          <w:i/>
          <w:iCs/>
          <w:smallCaps/>
          <w:noProof/>
          <w:color w:val="000000" w:themeColor="text1"/>
          <w:sz w:val="24"/>
          <w:szCs w:val="24"/>
          <w:u w:color="5B9BD5"/>
        </w:rPr>
      </w:pPr>
      <w:r w:rsidRPr="00A02D27">
        <w:rPr>
          <w:rFonts w:eastAsiaTheme="majorEastAsia" w:cstheme="minorHAnsi"/>
          <w:b/>
          <w:i/>
          <w:iCs/>
          <w:smallCaps/>
          <w:noProof/>
          <w:color w:val="000000" w:themeColor="text1"/>
          <w:sz w:val="24"/>
          <w:szCs w:val="24"/>
          <w:u w:color="5B9BD5"/>
        </w:rPr>
        <w:lastRenderedPageBreak/>
        <w:t>13. PENSION PLANS - CONTINUED</w:t>
      </w:r>
    </w:p>
    <w:p w14:paraId="57C7D8D6" w14:textId="77777777" w:rsidR="001B6918" w:rsidRPr="004E6649" w:rsidRDefault="001B6918" w:rsidP="001B6918">
      <w:pPr>
        <w:widowControl w:val="0"/>
        <w:spacing w:before="240" w:after="240"/>
        <w:rPr>
          <w:rFonts w:cstheme="minorHAnsi"/>
        </w:rPr>
      </w:pPr>
      <w:r w:rsidRPr="004E6649">
        <w:rPr>
          <w:rFonts w:eastAsia="Franklin Gothic Book" w:cstheme="minorHAnsi"/>
          <w:spacing w:val="1"/>
          <w:sz w:val="24"/>
        </w:rPr>
        <w:t>C</w:t>
      </w:r>
      <w:r w:rsidRPr="004E6649">
        <w:rPr>
          <w:rFonts w:eastAsia="Franklin Gothic Book" w:cstheme="minorHAnsi"/>
          <w:spacing w:val="2"/>
          <w:sz w:val="24"/>
        </w:rPr>
        <w:t>hang</w:t>
      </w:r>
      <w:r w:rsidRPr="004E6649">
        <w:rPr>
          <w:rFonts w:eastAsia="Franklin Gothic Book" w:cstheme="minorHAnsi"/>
          <w:spacing w:val="1"/>
          <w:sz w:val="24"/>
        </w:rPr>
        <w:t>e</w:t>
      </w:r>
      <w:r w:rsidRPr="004E6649">
        <w:rPr>
          <w:rFonts w:eastAsia="Franklin Gothic Book" w:cstheme="minorHAnsi"/>
          <w:sz w:val="24"/>
        </w:rPr>
        <w:t>s</w:t>
      </w:r>
      <w:r w:rsidRPr="004E6649">
        <w:rPr>
          <w:rFonts w:eastAsia="Franklin Gothic Book" w:cstheme="minorHAnsi"/>
          <w:spacing w:val="1"/>
          <w:sz w:val="24"/>
        </w:rPr>
        <w:t xml:space="preserve"> </w:t>
      </w:r>
      <w:r w:rsidRPr="004E6649">
        <w:rPr>
          <w:rFonts w:eastAsia="Franklin Gothic Book" w:cstheme="minorHAnsi"/>
          <w:spacing w:val="2"/>
          <w:sz w:val="24"/>
        </w:rPr>
        <w:t>i</w:t>
      </w:r>
      <w:r w:rsidRPr="004E6649">
        <w:rPr>
          <w:rFonts w:eastAsia="Franklin Gothic Book" w:cstheme="minorHAnsi"/>
          <w:sz w:val="24"/>
        </w:rPr>
        <w:t>n</w:t>
      </w:r>
      <w:r w:rsidRPr="004E6649">
        <w:rPr>
          <w:rFonts w:eastAsia="Franklin Gothic Book" w:cstheme="minorHAnsi"/>
          <w:spacing w:val="-1"/>
          <w:sz w:val="24"/>
        </w:rPr>
        <w:t xml:space="preserve"> </w:t>
      </w:r>
      <w:r w:rsidRPr="004E6649">
        <w:rPr>
          <w:rFonts w:eastAsia="Franklin Gothic Book" w:cstheme="minorHAnsi"/>
          <w:spacing w:val="3"/>
          <w:sz w:val="24"/>
        </w:rPr>
        <w:t>N</w:t>
      </w:r>
      <w:r w:rsidRPr="004E6649">
        <w:rPr>
          <w:rFonts w:eastAsia="Franklin Gothic Book" w:cstheme="minorHAnsi"/>
          <w:spacing w:val="1"/>
          <w:sz w:val="24"/>
        </w:rPr>
        <w:t>e</w:t>
      </w:r>
      <w:r w:rsidRPr="004E6649">
        <w:rPr>
          <w:rFonts w:eastAsia="Franklin Gothic Book" w:cstheme="minorHAnsi"/>
          <w:sz w:val="24"/>
        </w:rPr>
        <w:t xml:space="preserve">t </w:t>
      </w:r>
      <w:r w:rsidRPr="004E6649">
        <w:rPr>
          <w:rFonts w:eastAsia="Franklin Gothic Book" w:cstheme="minorHAnsi"/>
          <w:spacing w:val="1"/>
          <w:sz w:val="24"/>
        </w:rPr>
        <w:t>Pe</w:t>
      </w:r>
      <w:r w:rsidRPr="004E6649">
        <w:rPr>
          <w:rFonts w:eastAsia="Franklin Gothic Book" w:cstheme="minorHAnsi"/>
          <w:spacing w:val="2"/>
          <w:sz w:val="24"/>
        </w:rPr>
        <w:t>n</w:t>
      </w:r>
      <w:r w:rsidRPr="004E6649">
        <w:rPr>
          <w:rFonts w:eastAsia="Franklin Gothic Book" w:cstheme="minorHAnsi"/>
          <w:spacing w:val="3"/>
          <w:sz w:val="24"/>
        </w:rPr>
        <w:t>s</w:t>
      </w:r>
      <w:r w:rsidRPr="004E6649">
        <w:rPr>
          <w:rFonts w:eastAsia="Franklin Gothic Book" w:cstheme="minorHAnsi"/>
          <w:spacing w:val="2"/>
          <w:sz w:val="24"/>
        </w:rPr>
        <w:t>i</w:t>
      </w:r>
      <w:r w:rsidRPr="004E6649">
        <w:rPr>
          <w:rFonts w:eastAsia="Franklin Gothic Book" w:cstheme="minorHAnsi"/>
          <w:spacing w:val="1"/>
          <w:sz w:val="24"/>
        </w:rPr>
        <w:t>o</w:t>
      </w:r>
      <w:r w:rsidRPr="004E6649">
        <w:rPr>
          <w:rFonts w:eastAsia="Franklin Gothic Book" w:cstheme="minorHAnsi"/>
          <w:sz w:val="24"/>
        </w:rPr>
        <w:t xml:space="preserve">n Liability for the </w:t>
      </w:r>
      <w:r w:rsidRPr="004E6649">
        <w:rPr>
          <w:rFonts w:eastAsia="Franklin Gothic Book" w:cstheme="minorHAnsi"/>
          <w:b/>
          <w:sz w:val="24"/>
        </w:rPr>
        <w:t>Defined Benefit Pension Plan</w:t>
      </w:r>
      <w:r w:rsidRPr="004E6649">
        <w:rPr>
          <w:rFonts w:eastAsia="Franklin Gothic Book" w:cstheme="minorHAnsi"/>
          <w:sz w:val="24"/>
        </w:rPr>
        <w:t>:</w:t>
      </w:r>
      <w:r w:rsidRPr="004E6649">
        <w:rPr>
          <w:rFonts w:cstheme="minorHAnsi"/>
        </w:rPr>
        <w:fldChar w:fldCharType="begin"/>
      </w:r>
      <w:r w:rsidRPr="004E6649">
        <w:rPr>
          <w:rFonts w:cstheme="minorHAnsi"/>
        </w:rPr>
        <w:fldChar w:fldCharType="end"/>
      </w:r>
    </w:p>
    <w:tbl>
      <w:tblPr>
        <w:tblW w:w="9090" w:type="dxa"/>
        <w:jc w:val="center"/>
        <w:tblLayout w:type="fixed"/>
        <w:tblLook w:val="04A0" w:firstRow="1" w:lastRow="0" w:firstColumn="1" w:lastColumn="0" w:noHBand="0" w:noVBand="1"/>
      </w:tblPr>
      <w:tblGrid>
        <w:gridCol w:w="6570"/>
        <w:gridCol w:w="1260"/>
        <w:gridCol w:w="1260"/>
      </w:tblGrid>
      <w:tr w:rsidR="001B6918" w:rsidRPr="004E6649" w14:paraId="4AFB4F0A" w14:textId="77777777" w:rsidTr="00730ECF">
        <w:trPr>
          <w:trHeight w:val="324"/>
          <w:tblHeader/>
          <w:jc w:val="center"/>
        </w:trPr>
        <w:tc>
          <w:tcPr>
            <w:tcW w:w="6570" w:type="dxa"/>
            <w:tcBorders>
              <w:top w:val="nil"/>
              <w:left w:val="nil"/>
              <w:bottom w:val="single" w:sz="12" w:space="0" w:color="000000" w:themeColor="text1"/>
              <w:right w:val="nil"/>
            </w:tcBorders>
            <w:shd w:val="clear" w:color="000000" w:fill="FFFFFF"/>
            <w:vAlign w:val="bottom"/>
            <w:hideMark/>
          </w:tcPr>
          <w:p w14:paraId="28D6671B" w14:textId="77777777" w:rsidR="001B6918" w:rsidRPr="004E6649" w:rsidRDefault="001B6918" w:rsidP="00730ECF">
            <w:pPr>
              <w:rPr>
                <w:rFonts w:eastAsia="Times New Roman" w:cstheme="minorHAnsi"/>
                <w:b/>
                <w:bCs/>
                <w:color w:val="0D0D0D"/>
              </w:rPr>
            </w:pPr>
            <w:r w:rsidRPr="004E6649">
              <w:rPr>
                <w:rFonts w:eastAsia="Times New Roman" w:cstheme="minorHAnsi"/>
                <w:b/>
                <w:bCs/>
                <w:color w:val="0D0D0D"/>
              </w:rPr>
              <w:t>Fiscal Year Ended June 30</w:t>
            </w:r>
          </w:p>
        </w:tc>
        <w:tc>
          <w:tcPr>
            <w:tcW w:w="1260" w:type="dxa"/>
            <w:tcBorders>
              <w:top w:val="nil"/>
              <w:left w:val="nil"/>
              <w:bottom w:val="single" w:sz="12" w:space="0" w:color="000000" w:themeColor="text1"/>
              <w:right w:val="nil"/>
            </w:tcBorders>
            <w:shd w:val="clear" w:color="000000" w:fill="FFFFFF"/>
            <w:noWrap/>
            <w:vAlign w:val="bottom"/>
            <w:hideMark/>
          </w:tcPr>
          <w:p w14:paraId="443E36B9"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202</w:t>
            </w:r>
            <w:r>
              <w:rPr>
                <w:rFonts w:eastAsia="Times New Roman" w:cstheme="minorHAnsi"/>
                <w:b/>
                <w:bCs/>
                <w:color w:val="0D0D0D"/>
              </w:rPr>
              <w:t>5</w:t>
            </w:r>
          </w:p>
        </w:tc>
        <w:tc>
          <w:tcPr>
            <w:tcW w:w="1260" w:type="dxa"/>
            <w:tcBorders>
              <w:top w:val="nil"/>
              <w:left w:val="nil"/>
              <w:bottom w:val="single" w:sz="12" w:space="0" w:color="000000" w:themeColor="text1"/>
              <w:right w:val="nil"/>
            </w:tcBorders>
            <w:shd w:val="clear" w:color="auto" w:fill="F2F2F2" w:themeFill="background1" w:themeFillShade="F2"/>
            <w:noWrap/>
            <w:vAlign w:val="bottom"/>
          </w:tcPr>
          <w:p w14:paraId="21C62EBA"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202</w:t>
            </w:r>
            <w:r>
              <w:rPr>
                <w:rFonts w:eastAsia="Times New Roman" w:cstheme="minorHAnsi"/>
                <w:b/>
                <w:bCs/>
                <w:color w:val="0D0D0D"/>
              </w:rPr>
              <w:t>4</w:t>
            </w:r>
          </w:p>
        </w:tc>
      </w:tr>
      <w:tr w:rsidR="001B6918" w:rsidRPr="004E6649" w14:paraId="4BA21304" w14:textId="77777777" w:rsidTr="00730ECF">
        <w:trPr>
          <w:trHeight w:val="69"/>
          <w:jc w:val="center"/>
        </w:trPr>
        <w:tc>
          <w:tcPr>
            <w:tcW w:w="6570" w:type="dxa"/>
            <w:tcBorders>
              <w:top w:val="single" w:sz="12" w:space="0" w:color="000000" w:themeColor="text1"/>
              <w:left w:val="nil"/>
              <w:bottom w:val="nil"/>
              <w:right w:val="nil"/>
            </w:tcBorders>
            <w:shd w:val="clear" w:color="000000" w:fill="FFFFFF"/>
            <w:vAlign w:val="bottom"/>
            <w:hideMark/>
          </w:tcPr>
          <w:p w14:paraId="261418B0"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 xml:space="preserve">Total pension liability – beginning </w:t>
            </w:r>
          </w:p>
        </w:tc>
        <w:tc>
          <w:tcPr>
            <w:tcW w:w="1260" w:type="dxa"/>
            <w:tcBorders>
              <w:top w:val="single" w:sz="12" w:space="0" w:color="000000" w:themeColor="text1"/>
              <w:left w:val="nil"/>
              <w:bottom w:val="nil"/>
              <w:right w:val="nil"/>
            </w:tcBorders>
            <w:shd w:val="clear" w:color="000000" w:fill="FFFFFF"/>
            <w:noWrap/>
            <w:vAlign w:val="bottom"/>
            <w:hideMark/>
          </w:tcPr>
          <w:p w14:paraId="6C03DA8C" w14:textId="77777777" w:rsidR="001B6918" w:rsidRPr="008A518D" w:rsidRDefault="001B6918" w:rsidP="00730ECF">
            <w:pPr>
              <w:ind w:firstLineChars="100" w:firstLine="220"/>
              <w:jc w:val="right"/>
              <w:rPr>
                <w:rFonts w:eastAsia="Times New Roman" w:cstheme="minorHAnsi"/>
              </w:rPr>
            </w:pPr>
            <w:r w:rsidRPr="008A518D">
              <w:rPr>
                <w:rFonts w:ascii="Calibri" w:hAnsi="Calibri" w:cs="Calibri"/>
              </w:rPr>
              <w:t>$  28,098</w:t>
            </w:r>
          </w:p>
        </w:tc>
        <w:tc>
          <w:tcPr>
            <w:tcW w:w="1260" w:type="dxa"/>
            <w:tcBorders>
              <w:top w:val="single" w:sz="12" w:space="0" w:color="000000" w:themeColor="text1"/>
              <w:left w:val="nil"/>
              <w:bottom w:val="nil"/>
              <w:right w:val="nil"/>
            </w:tcBorders>
            <w:shd w:val="clear" w:color="auto" w:fill="F2F2F2" w:themeFill="background1" w:themeFillShade="F2"/>
            <w:noWrap/>
            <w:vAlign w:val="bottom"/>
          </w:tcPr>
          <w:p w14:paraId="6AE4190E" w14:textId="77777777" w:rsidR="001B6918" w:rsidRPr="004E6649" w:rsidRDefault="001B6918" w:rsidP="00730ECF">
            <w:pPr>
              <w:jc w:val="right"/>
              <w:rPr>
                <w:rFonts w:eastAsia="Times New Roman" w:cstheme="minorHAnsi"/>
                <w:color w:val="0D0D0D"/>
              </w:rPr>
            </w:pPr>
            <w:r>
              <w:rPr>
                <w:rFonts w:ascii="Calibri" w:hAnsi="Calibri" w:cs="Calibri"/>
                <w:color w:val="0D0D0D"/>
              </w:rPr>
              <w:t>$  29,698</w:t>
            </w:r>
          </w:p>
        </w:tc>
      </w:tr>
      <w:tr w:rsidR="001B6918" w:rsidRPr="004E6649" w14:paraId="1535F501" w14:textId="77777777" w:rsidTr="00730ECF">
        <w:trPr>
          <w:trHeight w:val="99"/>
          <w:jc w:val="center"/>
        </w:trPr>
        <w:tc>
          <w:tcPr>
            <w:tcW w:w="6570" w:type="dxa"/>
            <w:tcBorders>
              <w:top w:val="nil"/>
              <w:left w:val="nil"/>
              <w:bottom w:val="nil"/>
              <w:right w:val="nil"/>
            </w:tcBorders>
            <w:shd w:val="clear" w:color="000000" w:fill="FFFFFF"/>
            <w:vAlign w:val="bottom"/>
            <w:hideMark/>
          </w:tcPr>
          <w:p w14:paraId="23C04DB5"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Changes for the year:</w:t>
            </w:r>
          </w:p>
        </w:tc>
        <w:tc>
          <w:tcPr>
            <w:tcW w:w="1260" w:type="dxa"/>
            <w:tcBorders>
              <w:top w:val="nil"/>
              <w:left w:val="nil"/>
              <w:bottom w:val="nil"/>
              <w:right w:val="nil"/>
            </w:tcBorders>
            <w:shd w:val="clear" w:color="000000" w:fill="FFFFFF"/>
            <w:noWrap/>
            <w:vAlign w:val="bottom"/>
            <w:hideMark/>
          </w:tcPr>
          <w:p w14:paraId="2371D6A6" w14:textId="77777777" w:rsidR="001B6918" w:rsidRPr="008A518D" w:rsidRDefault="001B6918" w:rsidP="00730ECF">
            <w:pPr>
              <w:ind w:firstLineChars="100" w:firstLine="220"/>
              <w:jc w:val="right"/>
              <w:rPr>
                <w:rFonts w:eastAsia="Times New Roman" w:cstheme="minorHAnsi"/>
              </w:rPr>
            </w:pPr>
            <w:r w:rsidRPr="008A518D">
              <w:rPr>
                <w:rFonts w:cstheme="minorHAnsi"/>
              </w:rPr>
              <w:t> </w:t>
            </w:r>
          </w:p>
        </w:tc>
        <w:tc>
          <w:tcPr>
            <w:tcW w:w="1260" w:type="dxa"/>
            <w:tcBorders>
              <w:top w:val="nil"/>
              <w:left w:val="nil"/>
              <w:bottom w:val="nil"/>
              <w:right w:val="nil"/>
            </w:tcBorders>
            <w:shd w:val="clear" w:color="auto" w:fill="F2F2F2" w:themeFill="background1" w:themeFillShade="F2"/>
            <w:noWrap/>
            <w:vAlign w:val="bottom"/>
          </w:tcPr>
          <w:p w14:paraId="61445321" w14:textId="77777777" w:rsidR="001B6918" w:rsidRPr="004E6649" w:rsidRDefault="001B6918" w:rsidP="00730ECF">
            <w:pPr>
              <w:jc w:val="right"/>
              <w:rPr>
                <w:rFonts w:eastAsia="Times New Roman" w:cstheme="minorHAnsi"/>
                <w:color w:val="0D0D0D"/>
              </w:rPr>
            </w:pPr>
            <w:r w:rsidRPr="00B63013">
              <w:rPr>
                <w:rFonts w:cstheme="minorHAnsi"/>
                <w:color w:val="FF0000"/>
              </w:rPr>
              <w:t> </w:t>
            </w:r>
          </w:p>
        </w:tc>
      </w:tr>
      <w:tr w:rsidR="001B6918" w:rsidRPr="004E6649" w14:paraId="0ACB3F7B" w14:textId="77777777" w:rsidTr="00730ECF">
        <w:trPr>
          <w:trHeight w:val="99"/>
          <w:jc w:val="center"/>
        </w:trPr>
        <w:tc>
          <w:tcPr>
            <w:tcW w:w="6570" w:type="dxa"/>
            <w:tcBorders>
              <w:top w:val="nil"/>
              <w:left w:val="nil"/>
              <w:bottom w:val="nil"/>
              <w:right w:val="nil"/>
            </w:tcBorders>
            <w:shd w:val="clear" w:color="000000" w:fill="FFFFFF"/>
            <w:vAlign w:val="bottom"/>
            <w:hideMark/>
          </w:tcPr>
          <w:p w14:paraId="5204DCF0" w14:textId="77777777" w:rsidR="001B6918" w:rsidRPr="004E6649" w:rsidRDefault="001B6918" w:rsidP="00730ECF">
            <w:pPr>
              <w:ind w:firstLineChars="200" w:firstLine="440"/>
              <w:rPr>
                <w:rFonts w:eastAsia="Times New Roman" w:cstheme="minorHAnsi"/>
                <w:color w:val="0D0D0D"/>
              </w:rPr>
            </w:pPr>
            <w:r w:rsidRPr="004E6649">
              <w:rPr>
                <w:rFonts w:eastAsia="Times New Roman" w:cstheme="minorHAnsi"/>
                <w:color w:val="0D0D0D"/>
              </w:rPr>
              <w:t>Service cost</w:t>
            </w:r>
          </w:p>
        </w:tc>
        <w:tc>
          <w:tcPr>
            <w:tcW w:w="1260" w:type="dxa"/>
            <w:tcBorders>
              <w:top w:val="nil"/>
              <w:left w:val="nil"/>
              <w:bottom w:val="nil"/>
              <w:right w:val="nil"/>
            </w:tcBorders>
            <w:shd w:val="clear" w:color="000000" w:fill="FFFFFF"/>
            <w:noWrap/>
            <w:vAlign w:val="bottom"/>
            <w:hideMark/>
          </w:tcPr>
          <w:p w14:paraId="1F9CB829" w14:textId="77777777" w:rsidR="001B6918" w:rsidRPr="008A518D" w:rsidRDefault="001B6918" w:rsidP="00730ECF">
            <w:pPr>
              <w:ind w:firstLineChars="100" w:firstLine="220"/>
              <w:jc w:val="right"/>
              <w:rPr>
                <w:rFonts w:ascii="Calibri" w:hAnsi="Calibri" w:cs="Calibri"/>
              </w:rPr>
            </w:pPr>
            <w:r w:rsidRPr="008A518D">
              <w:rPr>
                <w:rFonts w:ascii="Calibri" w:hAnsi="Calibri" w:cs="Calibri"/>
              </w:rPr>
              <w:t xml:space="preserve">               - </w:t>
            </w:r>
          </w:p>
        </w:tc>
        <w:tc>
          <w:tcPr>
            <w:tcW w:w="1260" w:type="dxa"/>
            <w:tcBorders>
              <w:top w:val="nil"/>
              <w:left w:val="nil"/>
              <w:bottom w:val="nil"/>
              <w:right w:val="nil"/>
            </w:tcBorders>
            <w:shd w:val="clear" w:color="auto" w:fill="F2F2F2" w:themeFill="background1" w:themeFillShade="F2"/>
            <w:noWrap/>
            <w:vAlign w:val="bottom"/>
          </w:tcPr>
          <w:p w14:paraId="5A51AF9F" w14:textId="77777777" w:rsidR="001B6918" w:rsidRPr="004E6649" w:rsidRDefault="001B6918" w:rsidP="00730ECF">
            <w:pPr>
              <w:jc w:val="right"/>
              <w:rPr>
                <w:rFonts w:eastAsia="Times New Roman" w:cstheme="minorHAnsi"/>
                <w:color w:val="0D0D0D"/>
              </w:rPr>
            </w:pPr>
            <w:r>
              <w:rPr>
                <w:rFonts w:ascii="Calibri" w:hAnsi="Calibri" w:cs="Calibri"/>
                <w:color w:val="0D0D0D"/>
              </w:rPr>
              <w:t xml:space="preserve">               - </w:t>
            </w:r>
          </w:p>
        </w:tc>
      </w:tr>
      <w:tr w:rsidR="001B6918" w:rsidRPr="004E6649" w14:paraId="241563E4" w14:textId="77777777" w:rsidTr="00730ECF">
        <w:trPr>
          <w:trHeight w:val="60"/>
          <w:jc w:val="center"/>
        </w:trPr>
        <w:tc>
          <w:tcPr>
            <w:tcW w:w="6570" w:type="dxa"/>
            <w:tcBorders>
              <w:top w:val="nil"/>
              <w:left w:val="nil"/>
              <w:bottom w:val="nil"/>
              <w:right w:val="nil"/>
            </w:tcBorders>
            <w:shd w:val="clear" w:color="000000" w:fill="FFFFFF"/>
            <w:vAlign w:val="bottom"/>
            <w:hideMark/>
          </w:tcPr>
          <w:p w14:paraId="324F078F" w14:textId="77777777" w:rsidR="001B6918" w:rsidRPr="004E6649" w:rsidRDefault="001B6918" w:rsidP="00730ECF">
            <w:pPr>
              <w:ind w:firstLineChars="200" w:firstLine="440"/>
              <w:rPr>
                <w:rFonts w:eastAsia="Times New Roman" w:cstheme="minorHAnsi"/>
                <w:color w:val="0D0D0D"/>
              </w:rPr>
            </w:pPr>
            <w:r w:rsidRPr="004E6649">
              <w:rPr>
                <w:rFonts w:eastAsia="Times New Roman" w:cstheme="minorHAnsi"/>
                <w:color w:val="0D0D0D"/>
              </w:rPr>
              <w:t>Interest</w:t>
            </w:r>
          </w:p>
        </w:tc>
        <w:tc>
          <w:tcPr>
            <w:tcW w:w="1260" w:type="dxa"/>
            <w:tcBorders>
              <w:top w:val="nil"/>
              <w:left w:val="nil"/>
              <w:bottom w:val="nil"/>
              <w:right w:val="nil"/>
            </w:tcBorders>
            <w:shd w:val="clear" w:color="000000" w:fill="FFFFFF"/>
            <w:noWrap/>
            <w:vAlign w:val="bottom"/>
            <w:hideMark/>
          </w:tcPr>
          <w:p w14:paraId="1CE1C36E" w14:textId="77777777" w:rsidR="001B6918" w:rsidRPr="008A518D" w:rsidRDefault="001B6918" w:rsidP="00730ECF">
            <w:pPr>
              <w:ind w:firstLineChars="100" w:firstLine="220"/>
              <w:jc w:val="right"/>
              <w:rPr>
                <w:rFonts w:eastAsia="Times New Roman" w:cstheme="minorHAnsi"/>
              </w:rPr>
            </w:pPr>
            <w:r w:rsidRPr="008A518D">
              <w:rPr>
                <w:rFonts w:ascii="Calibri" w:hAnsi="Calibri" w:cs="Calibri"/>
              </w:rPr>
              <w:t xml:space="preserve">      1,657</w:t>
            </w:r>
          </w:p>
        </w:tc>
        <w:tc>
          <w:tcPr>
            <w:tcW w:w="1260" w:type="dxa"/>
            <w:tcBorders>
              <w:top w:val="nil"/>
              <w:left w:val="nil"/>
              <w:bottom w:val="nil"/>
              <w:right w:val="nil"/>
            </w:tcBorders>
            <w:shd w:val="clear" w:color="auto" w:fill="F2F2F2" w:themeFill="background1" w:themeFillShade="F2"/>
            <w:noWrap/>
            <w:vAlign w:val="bottom"/>
          </w:tcPr>
          <w:p w14:paraId="1C131B92" w14:textId="77777777" w:rsidR="001B6918" w:rsidRPr="004E6649" w:rsidRDefault="001B6918" w:rsidP="00730ECF">
            <w:pPr>
              <w:jc w:val="right"/>
              <w:rPr>
                <w:rFonts w:eastAsia="Times New Roman" w:cstheme="minorHAnsi"/>
                <w:color w:val="0D0D0D"/>
              </w:rPr>
            </w:pPr>
            <w:r>
              <w:rPr>
                <w:rFonts w:ascii="Calibri" w:hAnsi="Calibri" w:cs="Calibri"/>
                <w:color w:val="0D0D0D"/>
              </w:rPr>
              <w:t xml:space="preserve">      1,751</w:t>
            </w:r>
          </w:p>
        </w:tc>
      </w:tr>
      <w:tr w:rsidR="001B6918" w:rsidRPr="004E6649" w14:paraId="6478DE62" w14:textId="77777777" w:rsidTr="00730ECF">
        <w:trPr>
          <w:trHeight w:val="108"/>
          <w:jc w:val="center"/>
        </w:trPr>
        <w:tc>
          <w:tcPr>
            <w:tcW w:w="6570" w:type="dxa"/>
            <w:tcBorders>
              <w:top w:val="nil"/>
              <w:left w:val="nil"/>
              <w:bottom w:val="nil"/>
              <w:right w:val="nil"/>
            </w:tcBorders>
            <w:shd w:val="clear" w:color="000000" w:fill="FFFFFF"/>
            <w:noWrap/>
            <w:vAlign w:val="bottom"/>
            <w:hideMark/>
          </w:tcPr>
          <w:p w14:paraId="63A5EFFA" w14:textId="77777777" w:rsidR="001B6918" w:rsidRPr="004E6649" w:rsidRDefault="001B6918" w:rsidP="00730ECF">
            <w:pPr>
              <w:ind w:firstLineChars="200" w:firstLine="440"/>
              <w:rPr>
                <w:rFonts w:eastAsia="Times New Roman" w:cstheme="minorHAnsi"/>
                <w:color w:val="0D0D0D"/>
              </w:rPr>
            </w:pPr>
            <w:r w:rsidRPr="004E6649">
              <w:rPr>
                <w:rFonts w:eastAsia="Times New Roman" w:cstheme="minorHAnsi"/>
                <w:color w:val="0D0D0D"/>
              </w:rPr>
              <w:t xml:space="preserve">Differences between expected and actual experience </w:t>
            </w:r>
          </w:p>
        </w:tc>
        <w:tc>
          <w:tcPr>
            <w:tcW w:w="1260" w:type="dxa"/>
            <w:tcBorders>
              <w:top w:val="nil"/>
              <w:left w:val="nil"/>
              <w:bottom w:val="nil"/>
              <w:right w:val="nil"/>
            </w:tcBorders>
            <w:shd w:val="clear" w:color="000000" w:fill="FFFFFF"/>
            <w:noWrap/>
            <w:vAlign w:val="bottom"/>
            <w:hideMark/>
          </w:tcPr>
          <w:p w14:paraId="6FF434F7" w14:textId="77777777" w:rsidR="001B6918" w:rsidRPr="008A518D" w:rsidRDefault="001B6918" w:rsidP="00730ECF">
            <w:pPr>
              <w:jc w:val="right"/>
              <w:rPr>
                <w:rFonts w:eastAsia="Times New Roman" w:cstheme="minorHAnsi"/>
              </w:rPr>
            </w:pPr>
            <w:r>
              <w:rPr>
                <w:rFonts w:ascii="Calibri" w:hAnsi="Calibri" w:cs="Calibri"/>
              </w:rPr>
              <w:t>(1,512)</w:t>
            </w:r>
          </w:p>
        </w:tc>
        <w:tc>
          <w:tcPr>
            <w:tcW w:w="1260" w:type="dxa"/>
            <w:tcBorders>
              <w:top w:val="nil"/>
              <w:left w:val="nil"/>
              <w:bottom w:val="nil"/>
              <w:right w:val="nil"/>
            </w:tcBorders>
            <w:shd w:val="clear" w:color="auto" w:fill="F2F2F2" w:themeFill="background1" w:themeFillShade="F2"/>
            <w:noWrap/>
            <w:vAlign w:val="bottom"/>
          </w:tcPr>
          <w:p w14:paraId="06A0DE32" w14:textId="77777777" w:rsidR="001B6918" w:rsidRPr="004E6649" w:rsidRDefault="001B6918" w:rsidP="00730ECF">
            <w:pPr>
              <w:jc w:val="right"/>
              <w:rPr>
                <w:rFonts w:eastAsia="Times New Roman" w:cstheme="minorHAnsi"/>
                <w:color w:val="0D0D0D"/>
              </w:rPr>
            </w:pPr>
            <w:r>
              <w:rPr>
                <w:rFonts w:ascii="Calibri" w:hAnsi="Calibri" w:cs="Calibri"/>
                <w:color w:val="0D0D0D"/>
              </w:rPr>
              <w:t>-</w:t>
            </w:r>
          </w:p>
        </w:tc>
      </w:tr>
      <w:tr w:rsidR="001B6918" w:rsidRPr="004E6649" w14:paraId="40CB0ECC" w14:textId="77777777" w:rsidTr="00730ECF">
        <w:trPr>
          <w:trHeight w:val="60"/>
          <w:jc w:val="center"/>
        </w:trPr>
        <w:tc>
          <w:tcPr>
            <w:tcW w:w="6570" w:type="dxa"/>
            <w:tcBorders>
              <w:top w:val="nil"/>
              <w:left w:val="nil"/>
              <w:bottom w:val="nil"/>
              <w:right w:val="nil"/>
            </w:tcBorders>
            <w:shd w:val="clear" w:color="000000" w:fill="FFFFFF"/>
            <w:noWrap/>
            <w:vAlign w:val="bottom"/>
            <w:hideMark/>
          </w:tcPr>
          <w:p w14:paraId="0BF8349D" w14:textId="77777777" w:rsidR="001B6918" w:rsidRPr="004E6649" w:rsidRDefault="001B6918" w:rsidP="00730ECF">
            <w:pPr>
              <w:ind w:firstLineChars="200" w:firstLine="440"/>
              <w:rPr>
                <w:rFonts w:eastAsia="Times New Roman" w:cstheme="minorHAnsi"/>
                <w:color w:val="0D0D0D"/>
              </w:rPr>
            </w:pPr>
            <w:r w:rsidRPr="004E6649">
              <w:rPr>
                <w:rFonts w:eastAsia="Times New Roman" w:cstheme="minorHAnsi"/>
                <w:color w:val="0D0D0D"/>
              </w:rPr>
              <w:t>Changes of assumptions</w:t>
            </w:r>
          </w:p>
        </w:tc>
        <w:tc>
          <w:tcPr>
            <w:tcW w:w="1260" w:type="dxa"/>
            <w:tcBorders>
              <w:top w:val="nil"/>
              <w:left w:val="nil"/>
              <w:bottom w:val="nil"/>
              <w:right w:val="nil"/>
            </w:tcBorders>
            <w:shd w:val="clear" w:color="000000" w:fill="FFFFFF"/>
            <w:noWrap/>
            <w:vAlign w:val="bottom"/>
            <w:hideMark/>
          </w:tcPr>
          <w:p w14:paraId="4C072ACC" w14:textId="77777777" w:rsidR="001B6918" w:rsidRPr="008A518D" w:rsidRDefault="001B6918" w:rsidP="00730ECF">
            <w:pPr>
              <w:ind w:firstLineChars="100" w:firstLine="220"/>
              <w:jc w:val="right"/>
              <w:rPr>
                <w:rFonts w:eastAsia="Times New Roman" w:cstheme="minorHAnsi"/>
              </w:rPr>
            </w:pPr>
            <w:r w:rsidRPr="008A518D">
              <w:rPr>
                <w:rFonts w:ascii="Calibri" w:hAnsi="Calibri" w:cs="Calibri"/>
              </w:rPr>
              <w:t>(1,867)</w:t>
            </w:r>
          </w:p>
        </w:tc>
        <w:tc>
          <w:tcPr>
            <w:tcW w:w="1260" w:type="dxa"/>
            <w:tcBorders>
              <w:top w:val="nil"/>
              <w:left w:val="nil"/>
              <w:bottom w:val="nil"/>
              <w:right w:val="nil"/>
            </w:tcBorders>
            <w:shd w:val="clear" w:color="auto" w:fill="F2F2F2" w:themeFill="background1" w:themeFillShade="F2"/>
            <w:noWrap/>
            <w:vAlign w:val="bottom"/>
          </w:tcPr>
          <w:p w14:paraId="4A01C40D" w14:textId="77777777" w:rsidR="001B6918" w:rsidRPr="004E6649" w:rsidRDefault="001B6918" w:rsidP="00730ECF">
            <w:pPr>
              <w:jc w:val="right"/>
              <w:rPr>
                <w:rFonts w:eastAsia="Times New Roman" w:cstheme="minorHAnsi"/>
                <w:color w:val="0D0D0D"/>
              </w:rPr>
            </w:pPr>
            <w:r>
              <w:rPr>
                <w:rFonts w:ascii="Calibri" w:hAnsi="Calibri" w:cs="Calibri"/>
                <w:color w:val="0D0D0D"/>
              </w:rPr>
              <w:t>-</w:t>
            </w:r>
          </w:p>
        </w:tc>
      </w:tr>
      <w:tr w:rsidR="001B6918" w:rsidRPr="004E6649" w14:paraId="78A98C5E" w14:textId="77777777" w:rsidTr="00730ECF">
        <w:trPr>
          <w:trHeight w:val="108"/>
          <w:jc w:val="center"/>
        </w:trPr>
        <w:tc>
          <w:tcPr>
            <w:tcW w:w="6570" w:type="dxa"/>
            <w:tcBorders>
              <w:top w:val="nil"/>
              <w:left w:val="nil"/>
              <w:bottom w:val="single" w:sz="8" w:space="0" w:color="000000" w:themeColor="text1"/>
              <w:right w:val="nil"/>
            </w:tcBorders>
            <w:shd w:val="clear" w:color="000000" w:fill="FFFFFF"/>
            <w:vAlign w:val="bottom"/>
            <w:hideMark/>
          </w:tcPr>
          <w:p w14:paraId="49038D6A" w14:textId="77777777" w:rsidR="001B6918" w:rsidRPr="004E6649" w:rsidRDefault="001B6918" w:rsidP="00730ECF">
            <w:pPr>
              <w:ind w:firstLineChars="200" w:firstLine="440"/>
              <w:rPr>
                <w:rFonts w:eastAsia="Times New Roman" w:cstheme="minorHAnsi"/>
                <w:color w:val="0D0D0D"/>
              </w:rPr>
            </w:pPr>
            <w:r w:rsidRPr="004E6649">
              <w:rPr>
                <w:rFonts w:eastAsia="Times New Roman" w:cstheme="minorHAnsi"/>
                <w:color w:val="0D0D0D"/>
              </w:rPr>
              <w:t>Benefit payments</w:t>
            </w:r>
          </w:p>
        </w:tc>
        <w:tc>
          <w:tcPr>
            <w:tcW w:w="1260" w:type="dxa"/>
            <w:tcBorders>
              <w:top w:val="nil"/>
              <w:left w:val="nil"/>
              <w:bottom w:val="single" w:sz="8" w:space="0" w:color="000000" w:themeColor="text1"/>
              <w:right w:val="nil"/>
            </w:tcBorders>
            <w:shd w:val="clear" w:color="000000" w:fill="FFFFFF"/>
            <w:noWrap/>
            <w:vAlign w:val="bottom"/>
            <w:hideMark/>
          </w:tcPr>
          <w:p w14:paraId="2854E52A" w14:textId="77777777" w:rsidR="001B6918" w:rsidRPr="008A518D" w:rsidRDefault="001B6918" w:rsidP="00730ECF">
            <w:pPr>
              <w:ind w:firstLineChars="100" w:firstLine="220"/>
              <w:jc w:val="right"/>
              <w:rPr>
                <w:rFonts w:eastAsia="Times New Roman" w:cstheme="minorHAnsi"/>
              </w:rPr>
            </w:pPr>
            <w:r w:rsidRPr="008A518D">
              <w:rPr>
                <w:rFonts w:ascii="Calibri" w:hAnsi="Calibri" w:cs="Calibri"/>
              </w:rPr>
              <w:t xml:space="preserve">   (3,137)</w:t>
            </w:r>
          </w:p>
        </w:tc>
        <w:tc>
          <w:tcPr>
            <w:tcW w:w="1260" w:type="dxa"/>
            <w:tcBorders>
              <w:top w:val="nil"/>
              <w:left w:val="nil"/>
              <w:bottom w:val="single" w:sz="8" w:space="0" w:color="000000" w:themeColor="text1"/>
              <w:right w:val="nil"/>
            </w:tcBorders>
            <w:shd w:val="clear" w:color="auto" w:fill="F2F2F2" w:themeFill="background1" w:themeFillShade="F2"/>
            <w:noWrap/>
            <w:vAlign w:val="bottom"/>
          </w:tcPr>
          <w:p w14:paraId="5BE844F0" w14:textId="77777777" w:rsidR="001B6918" w:rsidRPr="004E6649" w:rsidRDefault="001B6918" w:rsidP="00730ECF">
            <w:pPr>
              <w:jc w:val="right"/>
              <w:rPr>
                <w:rFonts w:eastAsia="Times New Roman" w:cstheme="minorHAnsi"/>
                <w:color w:val="0D0D0D"/>
              </w:rPr>
            </w:pPr>
            <w:r>
              <w:rPr>
                <w:rFonts w:ascii="Calibri" w:hAnsi="Calibri" w:cs="Calibri"/>
                <w:color w:val="0D0D0D"/>
              </w:rPr>
              <w:t xml:space="preserve">   (3,351)</w:t>
            </w:r>
          </w:p>
        </w:tc>
      </w:tr>
      <w:tr w:rsidR="001B6918" w:rsidRPr="004E6649" w14:paraId="2D322C93" w14:textId="77777777" w:rsidTr="00730ECF">
        <w:trPr>
          <w:trHeight w:val="50"/>
          <w:jc w:val="center"/>
        </w:trPr>
        <w:tc>
          <w:tcPr>
            <w:tcW w:w="6570" w:type="dxa"/>
            <w:tcBorders>
              <w:top w:val="single" w:sz="8" w:space="0" w:color="000000" w:themeColor="text1"/>
              <w:left w:val="nil"/>
              <w:bottom w:val="single" w:sz="8" w:space="0" w:color="000000" w:themeColor="text1"/>
              <w:right w:val="nil"/>
            </w:tcBorders>
            <w:shd w:val="clear" w:color="000000" w:fill="FFFFFF"/>
            <w:vAlign w:val="bottom"/>
            <w:hideMark/>
          </w:tcPr>
          <w:p w14:paraId="1B7AE28B"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Total pension liability – ending (a)</w:t>
            </w:r>
          </w:p>
        </w:tc>
        <w:tc>
          <w:tcPr>
            <w:tcW w:w="1260" w:type="dxa"/>
            <w:tcBorders>
              <w:top w:val="single" w:sz="8" w:space="0" w:color="000000" w:themeColor="text1"/>
              <w:left w:val="nil"/>
              <w:bottom w:val="single" w:sz="8" w:space="0" w:color="000000" w:themeColor="text1"/>
              <w:right w:val="nil"/>
            </w:tcBorders>
            <w:shd w:val="clear" w:color="000000" w:fill="FFFFFF"/>
            <w:noWrap/>
            <w:vAlign w:val="bottom"/>
            <w:hideMark/>
          </w:tcPr>
          <w:p w14:paraId="5451B3A7" w14:textId="77777777" w:rsidR="001B6918" w:rsidRPr="008A518D" w:rsidRDefault="001B6918" w:rsidP="00730ECF">
            <w:pPr>
              <w:ind w:firstLineChars="100" w:firstLine="220"/>
              <w:jc w:val="right"/>
              <w:rPr>
                <w:rFonts w:eastAsia="Times New Roman" w:cstheme="minorHAnsi"/>
              </w:rPr>
            </w:pPr>
            <w:r w:rsidRPr="008A518D">
              <w:rPr>
                <w:rFonts w:ascii="Calibri" w:hAnsi="Calibri" w:cs="Calibri"/>
              </w:rPr>
              <w:t xml:space="preserve">    23,239</w:t>
            </w:r>
          </w:p>
        </w:tc>
        <w:tc>
          <w:tcPr>
            <w:tcW w:w="1260" w:type="dxa"/>
            <w:tcBorders>
              <w:top w:val="single" w:sz="8" w:space="0" w:color="000000" w:themeColor="text1"/>
              <w:left w:val="nil"/>
              <w:bottom w:val="single" w:sz="8" w:space="0" w:color="000000" w:themeColor="text1"/>
              <w:right w:val="nil"/>
            </w:tcBorders>
            <w:shd w:val="clear" w:color="auto" w:fill="F2F2F2" w:themeFill="background1" w:themeFillShade="F2"/>
            <w:noWrap/>
            <w:vAlign w:val="bottom"/>
          </w:tcPr>
          <w:p w14:paraId="5D66009B" w14:textId="77777777" w:rsidR="001B6918" w:rsidRPr="004E6649" w:rsidRDefault="001B6918" w:rsidP="00730ECF">
            <w:pPr>
              <w:jc w:val="right"/>
              <w:rPr>
                <w:rFonts w:eastAsia="Times New Roman" w:cstheme="minorHAnsi"/>
                <w:color w:val="0D0D0D"/>
              </w:rPr>
            </w:pPr>
            <w:r>
              <w:rPr>
                <w:rFonts w:ascii="Calibri" w:hAnsi="Calibri" w:cs="Calibri"/>
                <w:color w:val="0D0D0D"/>
              </w:rPr>
              <w:t xml:space="preserve">    28,098</w:t>
            </w:r>
          </w:p>
        </w:tc>
      </w:tr>
      <w:tr w:rsidR="001B6918" w:rsidRPr="004E6649" w14:paraId="44E72DF6" w14:textId="77777777" w:rsidTr="00730ECF">
        <w:trPr>
          <w:trHeight w:val="133"/>
          <w:jc w:val="center"/>
        </w:trPr>
        <w:tc>
          <w:tcPr>
            <w:tcW w:w="6570" w:type="dxa"/>
            <w:tcBorders>
              <w:top w:val="single" w:sz="8" w:space="0" w:color="000000" w:themeColor="text1"/>
              <w:left w:val="nil"/>
              <w:bottom w:val="nil"/>
              <w:right w:val="nil"/>
            </w:tcBorders>
            <w:shd w:val="clear" w:color="000000" w:fill="FFFFFF"/>
            <w:vAlign w:val="bottom"/>
            <w:hideMark/>
          </w:tcPr>
          <w:p w14:paraId="78E4DD50"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 xml:space="preserve">Fiduciary net position – beginning </w:t>
            </w:r>
          </w:p>
        </w:tc>
        <w:tc>
          <w:tcPr>
            <w:tcW w:w="1260" w:type="dxa"/>
            <w:tcBorders>
              <w:top w:val="nil"/>
              <w:left w:val="nil"/>
              <w:bottom w:val="nil"/>
              <w:right w:val="nil"/>
            </w:tcBorders>
            <w:shd w:val="clear" w:color="000000" w:fill="FFFFFF"/>
            <w:noWrap/>
            <w:vAlign w:val="bottom"/>
            <w:hideMark/>
          </w:tcPr>
          <w:p w14:paraId="7F0B4510" w14:textId="77777777" w:rsidR="001B6918" w:rsidRPr="008A518D" w:rsidRDefault="001B6918" w:rsidP="00730ECF">
            <w:pPr>
              <w:ind w:firstLineChars="100" w:firstLine="220"/>
              <w:jc w:val="right"/>
              <w:rPr>
                <w:rFonts w:eastAsia="Times New Roman" w:cstheme="minorHAnsi"/>
              </w:rPr>
            </w:pPr>
            <w:r w:rsidRPr="008A518D">
              <w:rPr>
                <w:rFonts w:ascii="Calibri" w:hAnsi="Calibri" w:cs="Calibri"/>
              </w:rPr>
              <w:t xml:space="preserve">    17,593 </w:t>
            </w:r>
          </w:p>
        </w:tc>
        <w:tc>
          <w:tcPr>
            <w:tcW w:w="1260" w:type="dxa"/>
            <w:tcBorders>
              <w:top w:val="single" w:sz="8" w:space="0" w:color="000000" w:themeColor="text1"/>
              <w:left w:val="nil"/>
              <w:bottom w:val="nil"/>
              <w:right w:val="nil"/>
            </w:tcBorders>
            <w:shd w:val="clear" w:color="auto" w:fill="F2F2F2" w:themeFill="background1" w:themeFillShade="F2"/>
            <w:noWrap/>
            <w:vAlign w:val="bottom"/>
          </w:tcPr>
          <w:p w14:paraId="6E657284" w14:textId="77777777" w:rsidR="001B6918" w:rsidRPr="004E6649" w:rsidRDefault="001B6918" w:rsidP="00730ECF">
            <w:pPr>
              <w:jc w:val="right"/>
              <w:rPr>
                <w:rFonts w:eastAsia="Times New Roman" w:cstheme="minorHAnsi"/>
                <w:color w:val="0D0D0D"/>
              </w:rPr>
            </w:pPr>
            <w:r>
              <w:rPr>
                <w:rFonts w:ascii="Calibri" w:hAnsi="Calibri" w:cs="Calibri"/>
                <w:color w:val="0D0D0D"/>
              </w:rPr>
              <w:t xml:space="preserve">    18,987 </w:t>
            </w:r>
          </w:p>
        </w:tc>
      </w:tr>
      <w:tr w:rsidR="001B6918" w:rsidRPr="004E6649" w14:paraId="0F654CA3" w14:textId="77777777" w:rsidTr="00730ECF">
        <w:trPr>
          <w:trHeight w:val="72"/>
          <w:jc w:val="center"/>
        </w:trPr>
        <w:tc>
          <w:tcPr>
            <w:tcW w:w="6570" w:type="dxa"/>
            <w:tcBorders>
              <w:top w:val="nil"/>
              <w:left w:val="nil"/>
              <w:bottom w:val="nil"/>
              <w:right w:val="nil"/>
            </w:tcBorders>
            <w:shd w:val="clear" w:color="000000" w:fill="FFFFFF"/>
            <w:vAlign w:val="bottom"/>
            <w:hideMark/>
          </w:tcPr>
          <w:p w14:paraId="73DB0184" w14:textId="77777777" w:rsidR="001B6918" w:rsidRPr="004E6649" w:rsidRDefault="001B6918" w:rsidP="00730ECF">
            <w:pPr>
              <w:ind w:firstLineChars="200" w:firstLine="440"/>
              <w:rPr>
                <w:rFonts w:eastAsia="Times New Roman" w:cstheme="minorHAnsi"/>
                <w:color w:val="0D0D0D"/>
              </w:rPr>
            </w:pPr>
            <w:r w:rsidRPr="004E6649">
              <w:rPr>
                <w:rFonts w:eastAsia="Times New Roman" w:cstheme="minorHAnsi"/>
                <w:color w:val="0D0D0D"/>
              </w:rPr>
              <w:t>Contributions – employer</w:t>
            </w:r>
          </w:p>
        </w:tc>
        <w:tc>
          <w:tcPr>
            <w:tcW w:w="1260" w:type="dxa"/>
            <w:tcBorders>
              <w:top w:val="nil"/>
              <w:left w:val="nil"/>
              <w:bottom w:val="nil"/>
              <w:right w:val="nil"/>
            </w:tcBorders>
            <w:shd w:val="clear" w:color="000000" w:fill="FFFFFF"/>
            <w:noWrap/>
            <w:vAlign w:val="bottom"/>
            <w:hideMark/>
          </w:tcPr>
          <w:p w14:paraId="33D62C46" w14:textId="77777777" w:rsidR="001B6918" w:rsidRPr="008A518D" w:rsidRDefault="001B6918" w:rsidP="00730ECF">
            <w:pPr>
              <w:ind w:firstLineChars="100" w:firstLine="220"/>
              <w:jc w:val="right"/>
              <w:rPr>
                <w:rFonts w:eastAsia="Times New Roman" w:cstheme="minorHAnsi"/>
              </w:rPr>
            </w:pPr>
            <w:r w:rsidRPr="008A518D">
              <w:rPr>
                <w:rFonts w:ascii="Calibri" w:hAnsi="Calibri" w:cs="Calibri"/>
              </w:rPr>
              <w:t xml:space="preserve">         857 </w:t>
            </w:r>
          </w:p>
        </w:tc>
        <w:tc>
          <w:tcPr>
            <w:tcW w:w="1260" w:type="dxa"/>
            <w:tcBorders>
              <w:top w:val="nil"/>
              <w:left w:val="nil"/>
              <w:bottom w:val="nil"/>
              <w:right w:val="nil"/>
            </w:tcBorders>
            <w:shd w:val="clear" w:color="auto" w:fill="F2F2F2" w:themeFill="background1" w:themeFillShade="F2"/>
            <w:noWrap/>
            <w:vAlign w:val="bottom"/>
          </w:tcPr>
          <w:p w14:paraId="3A6D5511" w14:textId="77777777" w:rsidR="001B6918" w:rsidRPr="004E6649" w:rsidRDefault="001B6918" w:rsidP="00730ECF">
            <w:pPr>
              <w:jc w:val="right"/>
              <w:rPr>
                <w:rFonts w:eastAsia="Times New Roman" w:cstheme="minorHAnsi"/>
                <w:color w:val="0D0D0D"/>
              </w:rPr>
            </w:pPr>
            <w:r>
              <w:rPr>
                <w:rFonts w:ascii="Calibri" w:hAnsi="Calibri" w:cs="Calibri"/>
                <w:color w:val="0D0D0D"/>
              </w:rPr>
              <w:t xml:space="preserve">         880 </w:t>
            </w:r>
          </w:p>
        </w:tc>
      </w:tr>
      <w:tr w:rsidR="001B6918" w:rsidRPr="004E6649" w14:paraId="2534FDA4" w14:textId="77777777" w:rsidTr="00730ECF">
        <w:trPr>
          <w:trHeight w:val="60"/>
          <w:jc w:val="center"/>
        </w:trPr>
        <w:tc>
          <w:tcPr>
            <w:tcW w:w="6570" w:type="dxa"/>
            <w:tcBorders>
              <w:top w:val="nil"/>
              <w:left w:val="nil"/>
              <w:bottom w:val="nil"/>
              <w:right w:val="nil"/>
            </w:tcBorders>
            <w:shd w:val="clear" w:color="000000" w:fill="FFFFFF"/>
            <w:vAlign w:val="bottom"/>
            <w:hideMark/>
          </w:tcPr>
          <w:p w14:paraId="3C39CC6D" w14:textId="77777777" w:rsidR="001B6918" w:rsidRPr="004E6649" w:rsidRDefault="001B6918" w:rsidP="00730ECF">
            <w:pPr>
              <w:ind w:firstLineChars="200" w:firstLine="440"/>
              <w:rPr>
                <w:rFonts w:eastAsia="Times New Roman" w:cstheme="minorHAnsi"/>
                <w:color w:val="0D0D0D"/>
              </w:rPr>
            </w:pPr>
            <w:r w:rsidRPr="004E6649">
              <w:rPr>
                <w:rFonts w:eastAsia="Times New Roman" w:cstheme="minorHAnsi"/>
                <w:color w:val="0D0D0D"/>
              </w:rPr>
              <w:t>Net investment income</w:t>
            </w:r>
          </w:p>
        </w:tc>
        <w:tc>
          <w:tcPr>
            <w:tcW w:w="1260" w:type="dxa"/>
            <w:tcBorders>
              <w:top w:val="nil"/>
              <w:left w:val="nil"/>
              <w:bottom w:val="nil"/>
              <w:right w:val="nil"/>
            </w:tcBorders>
            <w:shd w:val="clear" w:color="000000" w:fill="FFFFFF"/>
            <w:noWrap/>
            <w:vAlign w:val="bottom"/>
            <w:hideMark/>
          </w:tcPr>
          <w:p w14:paraId="106448D1" w14:textId="77777777" w:rsidR="001B6918" w:rsidRPr="008A518D" w:rsidRDefault="001B6918" w:rsidP="00730ECF">
            <w:pPr>
              <w:ind w:firstLineChars="100" w:firstLine="220"/>
              <w:jc w:val="right"/>
              <w:rPr>
                <w:rFonts w:eastAsia="Times New Roman" w:cstheme="minorHAnsi"/>
              </w:rPr>
            </w:pPr>
            <w:r w:rsidRPr="008A518D">
              <w:rPr>
                <w:rFonts w:ascii="Calibri" w:hAnsi="Calibri" w:cs="Calibri"/>
              </w:rPr>
              <w:t xml:space="preserve">         933 </w:t>
            </w:r>
          </w:p>
        </w:tc>
        <w:tc>
          <w:tcPr>
            <w:tcW w:w="1260" w:type="dxa"/>
            <w:tcBorders>
              <w:top w:val="nil"/>
              <w:left w:val="nil"/>
              <w:bottom w:val="nil"/>
              <w:right w:val="nil"/>
            </w:tcBorders>
            <w:shd w:val="clear" w:color="auto" w:fill="F2F2F2" w:themeFill="background1" w:themeFillShade="F2"/>
            <w:noWrap/>
            <w:vAlign w:val="bottom"/>
          </w:tcPr>
          <w:p w14:paraId="724A3DE2" w14:textId="77777777" w:rsidR="001B6918" w:rsidRPr="004E6649" w:rsidRDefault="001B6918" w:rsidP="00730ECF">
            <w:pPr>
              <w:jc w:val="right"/>
              <w:rPr>
                <w:rFonts w:eastAsia="Times New Roman" w:cstheme="minorHAnsi"/>
                <w:color w:val="0D0D0D"/>
              </w:rPr>
            </w:pPr>
            <w:r>
              <w:rPr>
                <w:rFonts w:ascii="Calibri" w:hAnsi="Calibri" w:cs="Calibri"/>
                <w:color w:val="0D0D0D"/>
              </w:rPr>
              <w:t xml:space="preserve">      1,094</w:t>
            </w:r>
          </w:p>
        </w:tc>
      </w:tr>
      <w:tr w:rsidR="001B6918" w:rsidRPr="004E6649" w14:paraId="66E180EC" w14:textId="77777777" w:rsidTr="00730ECF">
        <w:trPr>
          <w:trHeight w:val="60"/>
          <w:jc w:val="center"/>
        </w:trPr>
        <w:tc>
          <w:tcPr>
            <w:tcW w:w="6570" w:type="dxa"/>
            <w:tcBorders>
              <w:top w:val="nil"/>
              <w:left w:val="nil"/>
              <w:bottom w:val="nil"/>
              <w:right w:val="nil"/>
            </w:tcBorders>
            <w:shd w:val="clear" w:color="000000" w:fill="FFFFFF"/>
            <w:vAlign w:val="bottom"/>
            <w:hideMark/>
          </w:tcPr>
          <w:p w14:paraId="7CF33DD6" w14:textId="77777777" w:rsidR="001B6918" w:rsidRPr="004E6649" w:rsidRDefault="001B6918" w:rsidP="00730ECF">
            <w:pPr>
              <w:ind w:firstLineChars="200" w:firstLine="440"/>
              <w:rPr>
                <w:rFonts w:eastAsia="Times New Roman" w:cstheme="minorHAnsi"/>
                <w:color w:val="0D0D0D"/>
              </w:rPr>
            </w:pPr>
            <w:r w:rsidRPr="004E6649">
              <w:rPr>
                <w:rFonts w:eastAsia="Times New Roman" w:cstheme="minorHAnsi"/>
                <w:color w:val="0D0D0D"/>
              </w:rPr>
              <w:t>Benefit payments</w:t>
            </w:r>
          </w:p>
        </w:tc>
        <w:tc>
          <w:tcPr>
            <w:tcW w:w="1260" w:type="dxa"/>
            <w:tcBorders>
              <w:top w:val="nil"/>
              <w:left w:val="nil"/>
              <w:bottom w:val="nil"/>
              <w:right w:val="nil"/>
            </w:tcBorders>
            <w:shd w:val="clear" w:color="000000" w:fill="FFFFFF"/>
            <w:noWrap/>
            <w:vAlign w:val="bottom"/>
            <w:hideMark/>
          </w:tcPr>
          <w:p w14:paraId="1A9842F7" w14:textId="77777777" w:rsidR="001B6918" w:rsidRPr="008A518D" w:rsidRDefault="001B6918" w:rsidP="00730ECF">
            <w:pPr>
              <w:ind w:firstLineChars="100" w:firstLine="220"/>
              <w:jc w:val="right"/>
              <w:rPr>
                <w:rFonts w:eastAsia="Times New Roman" w:cstheme="minorHAnsi"/>
              </w:rPr>
            </w:pPr>
            <w:r w:rsidRPr="008A518D">
              <w:rPr>
                <w:rFonts w:ascii="Calibri" w:hAnsi="Calibri" w:cs="Calibri"/>
              </w:rPr>
              <w:t xml:space="preserve">   (3,137)</w:t>
            </w:r>
          </w:p>
        </w:tc>
        <w:tc>
          <w:tcPr>
            <w:tcW w:w="1260" w:type="dxa"/>
            <w:tcBorders>
              <w:top w:val="nil"/>
              <w:left w:val="nil"/>
              <w:bottom w:val="nil"/>
              <w:right w:val="nil"/>
            </w:tcBorders>
            <w:shd w:val="clear" w:color="auto" w:fill="F2F2F2" w:themeFill="background1" w:themeFillShade="F2"/>
            <w:noWrap/>
            <w:vAlign w:val="bottom"/>
          </w:tcPr>
          <w:p w14:paraId="5E4DB9E5" w14:textId="77777777" w:rsidR="001B6918" w:rsidRPr="004E6649" w:rsidRDefault="001B6918" w:rsidP="00730ECF">
            <w:pPr>
              <w:jc w:val="right"/>
              <w:rPr>
                <w:rFonts w:eastAsia="Times New Roman" w:cstheme="minorHAnsi"/>
                <w:color w:val="0D0D0D"/>
              </w:rPr>
            </w:pPr>
            <w:r>
              <w:rPr>
                <w:rFonts w:ascii="Calibri" w:hAnsi="Calibri" w:cs="Calibri"/>
                <w:color w:val="0D0D0D"/>
              </w:rPr>
              <w:t xml:space="preserve">   (3,351)</w:t>
            </w:r>
          </w:p>
        </w:tc>
      </w:tr>
      <w:tr w:rsidR="001B6918" w:rsidRPr="004E6649" w14:paraId="6EC84037" w14:textId="77777777" w:rsidTr="00730ECF">
        <w:trPr>
          <w:trHeight w:val="60"/>
          <w:jc w:val="center"/>
        </w:trPr>
        <w:tc>
          <w:tcPr>
            <w:tcW w:w="6570" w:type="dxa"/>
            <w:tcBorders>
              <w:top w:val="nil"/>
              <w:left w:val="nil"/>
              <w:bottom w:val="single" w:sz="8" w:space="0" w:color="000000" w:themeColor="text1"/>
              <w:right w:val="nil"/>
            </w:tcBorders>
            <w:shd w:val="clear" w:color="000000" w:fill="FFFFFF"/>
            <w:noWrap/>
            <w:vAlign w:val="bottom"/>
            <w:hideMark/>
          </w:tcPr>
          <w:p w14:paraId="741BCBCD" w14:textId="77777777" w:rsidR="001B6918" w:rsidRPr="004E6649" w:rsidRDefault="001B6918" w:rsidP="00730ECF">
            <w:pPr>
              <w:ind w:firstLineChars="200" w:firstLine="440"/>
              <w:rPr>
                <w:rFonts w:eastAsia="Times New Roman" w:cstheme="minorHAnsi"/>
                <w:color w:val="0D0D0D"/>
              </w:rPr>
            </w:pPr>
            <w:r w:rsidRPr="004E6649">
              <w:rPr>
                <w:rFonts w:eastAsia="Times New Roman" w:cstheme="minorHAnsi"/>
                <w:color w:val="0D0D0D"/>
              </w:rPr>
              <w:t xml:space="preserve">Administrative expenses </w:t>
            </w:r>
          </w:p>
        </w:tc>
        <w:tc>
          <w:tcPr>
            <w:tcW w:w="1260" w:type="dxa"/>
            <w:tcBorders>
              <w:top w:val="nil"/>
              <w:left w:val="nil"/>
              <w:bottom w:val="nil"/>
              <w:right w:val="nil"/>
            </w:tcBorders>
            <w:shd w:val="clear" w:color="000000" w:fill="FFFFFF"/>
            <w:noWrap/>
            <w:vAlign w:val="bottom"/>
            <w:hideMark/>
          </w:tcPr>
          <w:p w14:paraId="69667127" w14:textId="77777777" w:rsidR="001B6918" w:rsidRPr="008A518D" w:rsidRDefault="001B6918" w:rsidP="00730ECF">
            <w:pPr>
              <w:ind w:firstLineChars="100" w:firstLine="220"/>
              <w:jc w:val="right"/>
              <w:rPr>
                <w:rFonts w:eastAsia="Times New Roman" w:cstheme="minorHAnsi"/>
              </w:rPr>
            </w:pPr>
            <w:r w:rsidRPr="008A518D">
              <w:rPr>
                <w:rFonts w:ascii="Calibri" w:hAnsi="Calibri" w:cs="Calibri"/>
              </w:rPr>
              <w:t xml:space="preserve">         (16)</w:t>
            </w:r>
          </w:p>
        </w:tc>
        <w:tc>
          <w:tcPr>
            <w:tcW w:w="1260" w:type="dxa"/>
            <w:tcBorders>
              <w:top w:val="nil"/>
              <w:left w:val="nil"/>
              <w:bottom w:val="single" w:sz="8" w:space="0" w:color="000000" w:themeColor="text1"/>
              <w:right w:val="nil"/>
            </w:tcBorders>
            <w:shd w:val="clear" w:color="auto" w:fill="F2F2F2" w:themeFill="background1" w:themeFillShade="F2"/>
            <w:noWrap/>
            <w:vAlign w:val="bottom"/>
          </w:tcPr>
          <w:p w14:paraId="1A0FE4C6" w14:textId="77777777" w:rsidR="001B6918" w:rsidRPr="004E6649" w:rsidRDefault="001B6918" w:rsidP="00730ECF">
            <w:pPr>
              <w:jc w:val="right"/>
              <w:rPr>
                <w:rFonts w:eastAsia="Times New Roman" w:cstheme="minorHAnsi"/>
                <w:color w:val="0D0D0D"/>
              </w:rPr>
            </w:pPr>
            <w:r>
              <w:rPr>
                <w:rFonts w:ascii="Calibri" w:hAnsi="Calibri" w:cs="Calibri"/>
                <w:color w:val="0D0D0D"/>
              </w:rPr>
              <w:t xml:space="preserve">         (17)</w:t>
            </w:r>
          </w:p>
        </w:tc>
      </w:tr>
      <w:tr w:rsidR="001B6918" w:rsidRPr="004E6649" w14:paraId="5B2B6497" w14:textId="77777777" w:rsidTr="00730ECF">
        <w:trPr>
          <w:trHeight w:val="71"/>
          <w:jc w:val="center"/>
        </w:trPr>
        <w:tc>
          <w:tcPr>
            <w:tcW w:w="6570" w:type="dxa"/>
            <w:tcBorders>
              <w:top w:val="single" w:sz="8" w:space="0" w:color="000000" w:themeColor="text1"/>
              <w:left w:val="nil"/>
              <w:bottom w:val="single" w:sz="8" w:space="0" w:color="000000" w:themeColor="text1"/>
              <w:right w:val="nil"/>
            </w:tcBorders>
            <w:shd w:val="clear" w:color="000000" w:fill="FFFFFF"/>
            <w:vAlign w:val="bottom"/>
            <w:hideMark/>
          </w:tcPr>
          <w:p w14:paraId="13547857"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Fiduciary net position – ending (b)</w:t>
            </w:r>
          </w:p>
        </w:tc>
        <w:tc>
          <w:tcPr>
            <w:tcW w:w="1260" w:type="dxa"/>
            <w:tcBorders>
              <w:top w:val="single" w:sz="8" w:space="0" w:color="000000" w:themeColor="text1"/>
              <w:left w:val="nil"/>
              <w:bottom w:val="single" w:sz="8" w:space="0" w:color="000000" w:themeColor="text1"/>
              <w:right w:val="nil"/>
            </w:tcBorders>
            <w:shd w:val="clear" w:color="000000" w:fill="FFFFFF"/>
            <w:noWrap/>
            <w:vAlign w:val="bottom"/>
            <w:hideMark/>
          </w:tcPr>
          <w:p w14:paraId="2A996CE9" w14:textId="77777777" w:rsidR="001B6918" w:rsidRPr="008A518D" w:rsidRDefault="001B6918" w:rsidP="00730ECF">
            <w:pPr>
              <w:ind w:firstLineChars="100" w:firstLine="220"/>
              <w:jc w:val="right"/>
              <w:rPr>
                <w:rFonts w:eastAsia="Times New Roman" w:cstheme="minorHAnsi"/>
              </w:rPr>
            </w:pPr>
            <w:r w:rsidRPr="008A518D">
              <w:rPr>
                <w:rFonts w:ascii="Calibri" w:hAnsi="Calibri" w:cs="Calibri"/>
              </w:rPr>
              <w:t xml:space="preserve">    16,230 </w:t>
            </w:r>
          </w:p>
        </w:tc>
        <w:tc>
          <w:tcPr>
            <w:tcW w:w="1260" w:type="dxa"/>
            <w:tcBorders>
              <w:top w:val="single" w:sz="8" w:space="0" w:color="000000" w:themeColor="text1"/>
              <w:left w:val="nil"/>
              <w:bottom w:val="single" w:sz="8" w:space="0" w:color="000000" w:themeColor="text1"/>
              <w:right w:val="nil"/>
            </w:tcBorders>
            <w:shd w:val="clear" w:color="auto" w:fill="F2F2F2" w:themeFill="background1" w:themeFillShade="F2"/>
            <w:noWrap/>
            <w:vAlign w:val="bottom"/>
          </w:tcPr>
          <w:p w14:paraId="5AF3EF2C" w14:textId="77777777" w:rsidR="001B6918" w:rsidRPr="004E6649" w:rsidRDefault="001B6918" w:rsidP="00730ECF">
            <w:pPr>
              <w:jc w:val="right"/>
              <w:rPr>
                <w:rFonts w:eastAsia="Times New Roman" w:cstheme="minorHAnsi"/>
                <w:color w:val="0D0D0D"/>
              </w:rPr>
            </w:pPr>
            <w:r>
              <w:rPr>
                <w:rFonts w:ascii="Calibri" w:hAnsi="Calibri" w:cs="Calibri"/>
                <w:color w:val="0D0D0D"/>
              </w:rPr>
              <w:t xml:space="preserve">    17,593 </w:t>
            </w:r>
          </w:p>
        </w:tc>
      </w:tr>
      <w:tr w:rsidR="001B6918" w:rsidRPr="004E6649" w14:paraId="3D9D186A" w14:textId="77777777" w:rsidTr="00730ECF">
        <w:trPr>
          <w:trHeight w:val="50"/>
          <w:jc w:val="center"/>
        </w:trPr>
        <w:tc>
          <w:tcPr>
            <w:tcW w:w="6570" w:type="dxa"/>
            <w:tcBorders>
              <w:top w:val="single" w:sz="8" w:space="0" w:color="000000" w:themeColor="text1"/>
              <w:left w:val="nil"/>
              <w:bottom w:val="double" w:sz="4" w:space="0" w:color="000000" w:themeColor="text1"/>
              <w:right w:val="nil"/>
            </w:tcBorders>
            <w:shd w:val="clear" w:color="000000" w:fill="FFFFFF"/>
            <w:vAlign w:val="bottom"/>
            <w:hideMark/>
          </w:tcPr>
          <w:p w14:paraId="2ABEED7E"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Net pension liability – ending (a)-(b)</w:t>
            </w:r>
          </w:p>
        </w:tc>
        <w:tc>
          <w:tcPr>
            <w:tcW w:w="1260" w:type="dxa"/>
            <w:tcBorders>
              <w:top w:val="single" w:sz="8" w:space="0" w:color="000000" w:themeColor="text1"/>
              <w:left w:val="nil"/>
              <w:bottom w:val="double" w:sz="4" w:space="0" w:color="000000" w:themeColor="text1"/>
              <w:right w:val="nil"/>
            </w:tcBorders>
            <w:shd w:val="clear" w:color="000000" w:fill="FFFFFF"/>
            <w:noWrap/>
            <w:vAlign w:val="bottom"/>
            <w:hideMark/>
          </w:tcPr>
          <w:p w14:paraId="79A9BF2E" w14:textId="77777777" w:rsidR="001B6918" w:rsidRPr="008A518D" w:rsidRDefault="001B6918" w:rsidP="00730ECF">
            <w:pPr>
              <w:ind w:firstLineChars="100" w:firstLine="220"/>
              <w:jc w:val="right"/>
              <w:rPr>
                <w:rFonts w:eastAsia="Times New Roman" w:cstheme="minorHAnsi"/>
              </w:rPr>
            </w:pPr>
            <w:r w:rsidRPr="008A518D">
              <w:rPr>
                <w:rFonts w:ascii="Calibri" w:hAnsi="Calibri" w:cs="Calibri"/>
              </w:rPr>
              <w:t xml:space="preserve">$   7,009 </w:t>
            </w:r>
          </w:p>
        </w:tc>
        <w:tc>
          <w:tcPr>
            <w:tcW w:w="1260" w:type="dxa"/>
            <w:tcBorders>
              <w:top w:val="single" w:sz="8" w:space="0" w:color="000000" w:themeColor="text1"/>
              <w:left w:val="nil"/>
              <w:bottom w:val="double" w:sz="4" w:space="0" w:color="000000" w:themeColor="text1"/>
              <w:right w:val="nil"/>
            </w:tcBorders>
            <w:shd w:val="clear" w:color="auto" w:fill="F2F2F2" w:themeFill="background1" w:themeFillShade="F2"/>
            <w:noWrap/>
            <w:vAlign w:val="bottom"/>
          </w:tcPr>
          <w:p w14:paraId="001841B3" w14:textId="77777777" w:rsidR="001B6918" w:rsidRPr="004E6649" w:rsidRDefault="001B6918" w:rsidP="00730ECF">
            <w:pPr>
              <w:jc w:val="right"/>
              <w:rPr>
                <w:rFonts w:eastAsia="Times New Roman" w:cstheme="minorHAnsi"/>
                <w:color w:val="0D0D0D"/>
              </w:rPr>
            </w:pPr>
            <w:r>
              <w:rPr>
                <w:rFonts w:ascii="Calibri" w:hAnsi="Calibri" w:cs="Calibri"/>
                <w:color w:val="0D0D0D"/>
              </w:rPr>
              <w:t xml:space="preserve">$  10,505 </w:t>
            </w:r>
          </w:p>
        </w:tc>
      </w:tr>
      <w:tr w:rsidR="001B6918" w:rsidRPr="004E6649" w14:paraId="0099F7A8" w14:textId="77777777" w:rsidTr="00730ECF">
        <w:trPr>
          <w:trHeight w:val="441"/>
          <w:jc w:val="center"/>
        </w:trPr>
        <w:tc>
          <w:tcPr>
            <w:tcW w:w="6570" w:type="dxa"/>
            <w:tcBorders>
              <w:top w:val="double" w:sz="4" w:space="0" w:color="000000" w:themeColor="text1"/>
              <w:left w:val="nil"/>
              <w:bottom w:val="nil"/>
              <w:right w:val="nil"/>
            </w:tcBorders>
            <w:shd w:val="clear" w:color="000000" w:fill="FFFFFF"/>
            <w:noWrap/>
            <w:vAlign w:val="bottom"/>
            <w:hideMark/>
          </w:tcPr>
          <w:p w14:paraId="4EBE70AD"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Plan fiduciary net position as a percentage of the total pension liability</w:t>
            </w:r>
          </w:p>
        </w:tc>
        <w:tc>
          <w:tcPr>
            <w:tcW w:w="1260" w:type="dxa"/>
            <w:tcBorders>
              <w:top w:val="double" w:sz="4" w:space="0" w:color="000000" w:themeColor="text1"/>
              <w:left w:val="nil"/>
              <w:bottom w:val="nil"/>
              <w:right w:val="nil"/>
            </w:tcBorders>
            <w:shd w:val="clear" w:color="000000" w:fill="FFFFFF"/>
            <w:noWrap/>
            <w:vAlign w:val="bottom"/>
            <w:hideMark/>
          </w:tcPr>
          <w:p w14:paraId="7AF57FF9" w14:textId="77777777" w:rsidR="001B6918" w:rsidRPr="008A518D" w:rsidRDefault="001B6918" w:rsidP="00730ECF">
            <w:pPr>
              <w:ind w:firstLineChars="100" w:firstLine="220"/>
              <w:jc w:val="right"/>
              <w:rPr>
                <w:rFonts w:eastAsia="Times New Roman" w:cstheme="minorHAnsi"/>
              </w:rPr>
            </w:pPr>
            <w:r w:rsidRPr="008A518D">
              <w:rPr>
                <w:rFonts w:ascii="Calibri" w:hAnsi="Calibri" w:cs="Calibri"/>
              </w:rPr>
              <w:t>69.84%</w:t>
            </w:r>
          </w:p>
        </w:tc>
        <w:tc>
          <w:tcPr>
            <w:tcW w:w="1260" w:type="dxa"/>
            <w:tcBorders>
              <w:top w:val="double" w:sz="4" w:space="0" w:color="000000" w:themeColor="text1"/>
              <w:left w:val="nil"/>
              <w:bottom w:val="nil"/>
              <w:right w:val="nil"/>
            </w:tcBorders>
            <w:shd w:val="clear" w:color="auto" w:fill="F2F2F2" w:themeFill="background1" w:themeFillShade="F2"/>
            <w:noWrap/>
            <w:vAlign w:val="bottom"/>
          </w:tcPr>
          <w:p w14:paraId="373B7F93" w14:textId="77777777" w:rsidR="001B6918" w:rsidRPr="004E6649" w:rsidRDefault="001B6918" w:rsidP="00730ECF">
            <w:pPr>
              <w:jc w:val="right"/>
              <w:rPr>
                <w:rFonts w:eastAsia="Times New Roman" w:cstheme="minorHAnsi"/>
                <w:color w:val="0D0D0D"/>
              </w:rPr>
            </w:pPr>
            <w:r>
              <w:rPr>
                <w:rFonts w:ascii="Calibri" w:hAnsi="Calibri" w:cs="Calibri"/>
                <w:color w:val="0D0D0D"/>
              </w:rPr>
              <w:t>62.61%</w:t>
            </w:r>
          </w:p>
        </w:tc>
      </w:tr>
      <w:tr w:rsidR="001B6918" w:rsidRPr="004E6649" w14:paraId="34B29D79" w14:textId="77777777" w:rsidTr="00730ECF">
        <w:trPr>
          <w:trHeight w:val="171"/>
          <w:jc w:val="center"/>
        </w:trPr>
        <w:tc>
          <w:tcPr>
            <w:tcW w:w="6570" w:type="dxa"/>
            <w:tcBorders>
              <w:top w:val="nil"/>
              <w:left w:val="nil"/>
              <w:bottom w:val="nil"/>
              <w:right w:val="nil"/>
            </w:tcBorders>
            <w:shd w:val="clear" w:color="000000" w:fill="FFFFFF"/>
            <w:noWrap/>
            <w:vAlign w:val="bottom"/>
            <w:hideMark/>
          </w:tcPr>
          <w:p w14:paraId="2DBEA5EC"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Covered payroll</w:t>
            </w:r>
          </w:p>
        </w:tc>
        <w:tc>
          <w:tcPr>
            <w:tcW w:w="1260" w:type="dxa"/>
            <w:tcBorders>
              <w:top w:val="nil"/>
              <w:left w:val="nil"/>
              <w:bottom w:val="nil"/>
              <w:right w:val="nil"/>
            </w:tcBorders>
            <w:shd w:val="clear" w:color="000000" w:fill="FFFFFF"/>
            <w:noWrap/>
            <w:vAlign w:val="bottom"/>
            <w:hideMark/>
          </w:tcPr>
          <w:p w14:paraId="05F029ED" w14:textId="77777777" w:rsidR="001B6918" w:rsidRPr="008A518D" w:rsidRDefault="001B6918" w:rsidP="00730ECF">
            <w:pPr>
              <w:ind w:firstLineChars="100" w:firstLine="220"/>
              <w:jc w:val="right"/>
              <w:rPr>
                <w:rFonts w:eastAsia="Times New Roman" w:cstheme="minorHAnsi"/>
              </w:rPr>
            </w:pPr>
            <w:r w:rsidRPr="008A518D">
              <w:rPr>
                <w:rFonts w:ascii="Calibri" w:hAnsi="Calibri" w:cs="Calibri"/>
              </w:rPr>
              <w:t xml:space="preserve">$     </w:t>
            </w:r>
            <w:r>
              <w:rPr>
                <w:rFonts w:ascii="Calibri" w:hAnsi="Calibri" w:cs="Calibri"/>
              </w:rPr>
              <w:t xml:space="preserve">   </w:t>
            </w:r>
            <w:r w:rsidRPr="008A518D">
              <w:rPr>
                <w:rFonts w:ascii="Calibri" w:hAnsi="Calibri" w:cs="Calibri"/>
              </w:rPr>
              <w:t xml:space="preserve">    - </w:t>
            </w:r>
          </w:p>
        </w:tc>
        <w:tc>
          <w:tcPr>
            <w:tcW w:w="1260" w:type="dxa"/>
            <w:tcBorders>
              <w:top w:val="nil"/>
              <w:left w:val="nil"/>
              <w:bottom w:val="nil"/>
              <w:right w:val="nil"/>
            </w:tcBorders>
            <w:shd w:val="clear" w:color="auto" w:fill="F2F2F2" w:themeFill="background1" w:themeFillShade="F2"/>
            <w:noWrap/>
            <w:vAlign w:val="bottom"/>
          </w:tcPr>
          <w:p w14:paraId="69852A3F" w14:textId="77777777" w:rsidR="001B6918" w:rsidRPr="004E6649" w:rsidRDefault="001B6918" w:rsidP="00730ECF">
            <w:pPr>
              <w:jc w:val="right"/>
              <w:rPr>
                <w:rFonts w:eastAsia="Times New Roman" w:cstheme="minorHAnsi"/>
                <w:color w:val="0D0D0D"/>
              </w:rPr>
            </w:pPr>
            <w:r>
              <w:rPr>
                <w:rFonts w:ascii="Calibri" w:hAnsi="Calibri" w:cs="Calibri"/>
                <w:color w:val="0D0D0D"/>
              </w:rPr>
              <w:t xml:space="preserve">$          52 </w:t>
            </w:r>
          </w:p>
        </w:tc>
      </w:tr>
      <w:tr w:rsidR="001B6918" w:rsidRPr="004E6649" w14:paraId="6C0A37C5" w14:textId="77777777" w:rsidTr="00730ECF">
        <w:trPr>
          <w:trHeight w:val="90"/>
          <w:jc w:val="center"/>
        </w:trPr>
        <w:tc>
          <w:tcPr>
            <w:tcW w:w="6570" w:type="dxa"/>
            <w:tcBorders>
              <w:top w:val="nil"/>
              <w:left w:val="nil"/>
              <w:bottom w:val="nil"/>
              <w:right w:val="nil"/>
            </w:tcBorders>
            <w:shd w:val="clear" w:color="000000" w:fill="FFFFFF"/>
            <w:noWrap/>
            <w:vAlign w:val="bottom"/>
            <w:hideMark/>
          </w:tcPr>
          <w:p w14:paraId="43500060"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Net pension liability as a percentage of covered payroll</w:t>
            </w:r>
          </w:p>
        </w:tc>
        <w:tc>
          <w:tcPr>
            <w:tcW w:w="1260" w:type="dxa"/>
            <w:tcBorders>
              <w:top w:val="nil"/>
              <w:left w:val="nil"/>
              <w:bottom w:val="nil"/>
              <w:right w:val="nil"/>
            </w:tcBorders>
            <w:shd w:val="clear" w:color="000000" w:fill="FFFFFF"/>
            <w:noWrap/>
            <w:vAlign w:val="bottom"/>
            <w:hideMark/>
          </w:tcPr>
          <w:p w14:paraId="6F2B3F69" w14:textId="77777777" w:rsidR="001B6918" w:rsidRPr="008A518D" w:rsidRDefault="001B6918" w:rsidP="00730ECF">
            <w:pPr>
              <w:jc w:val="right"/>
              <w:rPr>
                <w:rFonts w:eastAsia="Times New Roman" w:cstheme="minorHAnsi"/>
              </w:rPr>
            </w:pPr>
            <w:r w:rsidRPr="008A518D">
              <w:rPr>
                <w:rFonts w:ascii="Calibri" w:hAnsi="Calibri" w:cs="Calibri"/>
              </w:rPr>
              <w:t>NA</w:t>
            </w:r>
          </w:p>
        </w:tc>
        <w:tc>
          <w:tcPr>
            <w:tcW w:w="1260" w:type="dxa"/>
            <w:tcBorders>
              <w:top w:val="nil"/>
              <w:left w:val="nil"/>
              <w:bottom w:val="nil"/>
              <w:right w:val="nil"/>
            </w:tcBorders>
            <w:shd w:val="clear" w:color="auto" w:fill="F2F2F2" w:themeFill="background1" w:themeFillShade="F2"/>
            <w:noWrap/>
            <w:vAlign w:val="bottom"/>
          </w:tcPr>
          <w:p w14:paraId="692C857F" w14:textId="77777777" w:rsidR="001B6918" w:rsidRPr="004E6649" w:rsidRDefault="001B6918" w:rsidP="00730ECF">
            <w:pPr>
              <w:jc w:val="right"/>
              <w:rPr>
                <w:rFonts w:eastAsia="Times New Roman" w:cstheme="minorHAnsi"/>
                <w:color w:val="0D0D0D"/>
              </w:rPr>
            </w:pPr>
            <w:r>
              <w:rPr>
                <w:rFonts w:ascii="Calibri" w:hAnsi="Calibri" w:cs="Calibri"/>
                <w:color w:val="0D0D0D"/>
              </w:rPr>
              <w:t>20108.11%</w:t>
            </w:r>
          </w:p>
        </w:tc>
      </w:tr>
      <w:tr w:rsidR="001B6918" w:rsidRPr="004E6649" w14:paraId="402D2E32" w14:textId="77777777" w:rsidTr="00730ECF">
        <w:trPr>
          <w:trHeight w:val="90"/>
          <w:jc w:val="center"/>
        </w:trPr>
        <w:tc>
          <w:tcPr>
            <w:tcW w:w="6570" w:type="dxa"/>
            <w:tcBorders>
              <w:top w:val="nil"/>
              <w:left w:val="nil"/>
              <w:bottom w:val="nil"/>
              <w:right w:val="nil"/>
            </w:tcBorders>
            <w:shd w:val="clear" w:color="000000" w:fill="FFFFFF"/>
            <w:vAlign w:val="bottom"/>
            <w:hideMark/>
          </w:tcPr>
          <w:p w14:paraId="5F0A6A37"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Contributions as a percentage of covered payroll</w:t>
            </w:r>
          </w:p>
        </w:tc>
        <w:tc>
          <w:tcPr>
            <w:tcW w:w="1260" w:type="dxa"/>
            <w:tcBorders>
              <w:top w:val="nil"/>
              <w:left w:val="nil"/>
              <w:bottom w:val="nil"/>
              <w:right w:val="nil"/>
            </w:tcBorders>
            <w:shd w:val="clear" w:color="000000" w:fill="FFFFFF"/>
            <w:noWrap/>
            <w:vAlign w:val="bottom"/>
            <w:hideMark/>
          </w:tcPr>
          <w:p w14:paraId="2D999E51" w14:textId="77777777" w:rsidR="001B6918" w:rsidRPr="008A518D" w:rsidRDefault="001B6918" w:rsidP="00730ECF">
            <w:pPr>
              <w:jc w:val="right"/>
              <w:rPr>
                <w:rFonts w:eastAsia="Times New Roman" w:cstheme="minorHAnsi"/>
              </w:rPr>
            </w:pPr>
            <w:r w:rsidRPr="008A518D">
              <w:rPr>
                <w:rFonts w:ascii="Calibri" w:hAnsi="Calibri" w:cs="Calibri"/>
              </w:rPr>
              <w:t>NA</w:t>
            </w:r>
          </w:p>
        </w:tc>
        <w:tc>
          <w:tcPr>
            <w:tcW w:w="1260" w:type="dxa"/>
            <w:tcBorders>
              <w:top w:val="nil"/>
              <w:left w:val="nil"/>
              <w:bottom w:val="nil"/>
              <w:right w:val="nil"/>
            </w:tcBorders>
            <w:shd w:val="clear" w:color="auto" w:fill="F2F2F2" w:themeFill="background1" w:themeFillShade="F2"/>
            <w:noWrap/>
            <w:vAlign w:val="bottom"/>
          </w:tcPr>
          <w:p w14:paraId="795B5733" w14:textId="77777777" w:rsidR="001B6918" w:rsidRPr="004E6649" w:rsidRDefault="001B6918" w:rsidP="00730ECF">
            <w:pPr>
              <w:jc w:val="right"/>
              <w:rPr>
                <w:rFonts w:eastAsia="Times New Roman" w:cstheme="minorHAnsi"/>
                <w:color w:val="0D0D0D"/>
              </w:rPr>
            </w:pPr>
            <w:r>
              <w:rPr>
                <w:rFonts w:ascii="Calibri" w:hAnsi="Calibri" w:cs="Calibri"/>
                <w:color w:val="0D0D0D"/>
              </w:rPr>
              <w:t>1683.54%</w:t>
            </w:r>
          </w:p>
        </w:tc>
      </w:tr>
      <w:tr w:rsidR="001B6918" w:rsidRPr="004E6649" w14:paraId="0B11073A" w14:textId="77777777" w:rsidTr="00730ECF">
        <w:trPr>
          <w:trHeight w:val="90"/>
          <w:jc w:val="center"/>
        </w:trPr>
        <w:tc>
          <w:tcPr>
            <w:tcW w:w="6570" w:type="dxa"/>
            <w:tcBorders>
              <w:top w:val="nil"/>
              <w:left w:val="nil"/>
              <w:bottom w:val="nil"/>
              <w:right w:val="nil"/>
            </w:tcBorders>
            <w:shd w:val="clear" w:color="000000" w:fill="FFFFFF"/>
            <w:noWrap/>
            <w:vAlign w:val="bottom"/>
            <w:hideMark/>
          </w:tcPr>
          <w:p w14:paraId="205218F2"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Plan assets measured at fair value</w:t>
            </w:r>
          </w:p>
        </w:tc>
        <w:tc>
          <w:tcPr>
            <w:tcW w:w="1260" w:type="dxa"/>
            <w:tcBorders>
              <w:top w:val="nil"/>
              <w:left w:val="nil"/>
              <w:bottom w:val="nil"/>
              <w:right w:val="nil"/>
            </w:tcBorders>
            <w:shd w:val="clear" w:color="000000" w:fill="FFFFFF"/>
            <w:noWrap/>
            <w:vAlign w:val="bottom"/>
            <w:hideMark/>
          </w:tcPr>
          <w:p w14:paraId="0893BB28" w14:textId="77777777" w:rsidR="001B6918" w:rsidRPr="008A518D" w:rsidRDefault="001B6918" w:rsidP="00730ECF">
            <w:pPr>
              <w:ind w:firstLineChars="100" w:firstLine="220"/>
              <w:jc w:val="right"/>
              <w:rPr>
                <w:rFonts w:eastAsia="Times New Roman" w:cstheme="minorHAnsi"/>
              </w:rPr>
            </w:pPr>
            <w:r w:rsidRPr="008A518D">
              <w:rPr>
                <w:rFonts w:ascii="Calibri" w:hAnsi="Calibri" w:cs="Calibri"/>
              </w:rPr>
              <w:t>$</w:t>
            </w:r>
            <w:r>
              <w:rPr>
                <w:rFonts w:ascii="Calibri" w:hAnsi="Calibri" w:cs="Calibri"/>
              </w:rPr>
              <w:t xml:space="preserve"> </w:t>
            </w:r>
            <w:r w:rsidRPr="008A518D">
              <w:rPr>
                <w:rFonts w:ascii="Calibri" w:hAnsi="Calibri" w:cs="Calibri"/>
              </w:rPr>
              <w:t xml:space="preserve">16,230 </w:t>
            </w:r>
          </w:p>
        </w:tc>
        <w:tc>
          <w:tcPr>
            <w:tcW w:w="1260" w:type="dxa"/>
            <w:tcBorders>
              <w:top w:val="nil"/>
              <w:left w:val="nil"/>
              <w:bottom w:val="nil"/>
              <w:right w:val="nil"/>
            </w:tcBorders>
            <w:shd w:val="clear" w:color="auto" w:fill="F2F2F2" w:themeFill="background1" w:themeFillShade="F2"/>
            <w:noWrap/>
            <w:vAlign w:val="bottom"/>
          </w:tcPr>
          <w:p w14:paraId="267FACB3" w14:textId="77777777" w:rsidR="001B6918" w:rsidRPr="004E6649" w:rsidRDefault="001B6918" w:rsidP="00730ECF">
            <w:pPr>
              <w:ind w:firstLineChars="100" w:firstLine="220"/>
              <w:jc w:val="right"/>
              <w:rPr>
                <w:rFonts w:eastAsia="Times New Roman" w:cstheme="minorHAnsi"/>
                <w:color w:val="0D0D0D"/>
              </w:rPr>
            </w:pPr>
            <w:r>
              <w:rPr>
                <w:rFonts w:ascii="Calibri" w:hAnsi="Calibri" w:cs="Calibri"/>
                <w:color w:val="0D0D0D"/>
              </w:rPr>
              <w:t xml:space="preserve">$  17,593 </w:t>
            </w:r>
          </w:p>
        </w:tc>
      </w:tr>
    </w:tbl>
    <w:p w14:paraId="274EF864" w14:textId="77777777" w:rsidR="001B6918" w:rsidRPr="00A02D27" w:rsidRDefault="001B6918" w:rsidP="001B6918">
      <w:pPr>
        <w:pStyle w:val="AFR3"/>
        <w:spacing w:after="0"/>
        <w:rPr>
          <w:rFonts w:cstheme="minorHAnsi"/>
          <w:sz w:val="24"/>
          <w:szCs w:val="24"/>
        </w:rPr>
      </w:pPr>
      <w:r w:rsidRPr="00A02D27">
        <w:rPr>
          <w:rFonts w:cstheme="minorHAnsi"/>
          <w:sz w:val="24"/>
          <w:szCs w:val="24"/>
        </w:rPr>
        <w:t>13e. Funding of Basic and Defined Benefit Plans – Classified Employees</w:t>
      </w:r>
    </w:p>
    <w:p w14:paraId="1B9BD046" w14:textId="77777777" w:rsidR="001B6918" w:rsidRPr="004E6649" w:rsidRDefault="001B6918" w:rsidP="001B6918">
      <w:pPr>
        <w:tabs>
          <w:tab w:val="left" w:pos="1440"/>
          <w:tab w:val="right" w:pos="4262"/>
          <w:tab w:val="right" w:pos="5220"/>
          <w:tab w:val="right" w:pos="6691"/>
          <w:tab w:val="right" w:pos="7621"/>
          <w:tab w:val="right" w:pos="9187"/>
        </w:tabs>
        <w:suppressAutoHyphens/>
        <w:rPr>
          <w:rFonts w:cstheme="minorHAnsi"/>
          <w:b/>
          <w:i/>
          <w:sz w:val="26"/>
          <w:u w:val="single" w:color="000000" w:themeColor="text1"/>
        </w:rPr>
      </w:pPr>
      <w:r w:rsidRPr="004E6649">
        <w:rPr>
          <w:rFonts w:eastAsia="Times New Roman" w:cstheme="minorHAnsi"/>
          <w:bCs/>
          <w:spacing w:val="-3"/>
          <w:sz w:val="24"/>
        </w:rPr>
        <w:t>While the Basic Plan and Defined Benefit Plan are administratively separate, they are both part of the Retirement Plan for Classified Employees and are covered by the same plan document. In accordance with Section 414(k) of the Internal Revenue Code, the System may elect to fund employer contributions to the Basic Plan and ORSP from any excess assets in the Defined Benefit Plan, subject to certain limitations</w:t>
      </w:r>
      <w:r w:rsidRPr="004E6649">
        <w:rPr>
          <w:rFonts w:eastAsia="Times New Roman" w:cstheme="minorHAnsi"/>
          <w:bCs/>
          <w:spacing w:val="-3"/>
          <w:sz w:val="24"/>
          <w:szCs w:val="24"/>
        </w:rPr>
        <w:t>.</w:t>
      </w:r>
    </w:p>
    <w:p w14:paraId="4391CCE5" w14:textId="77777777" w:rsidR="001B6918" w:rsidRPr="00A02D27" w:rsidRDefault="001B6918" w:rsidP="001B6918">
      <w:pPr>
        <w:pStyle w:val="AFR3"/>
        <w:spacing w:after="0"/>
        <w:rPr>
          <w:rFonts w:cstheme="minorHAnsi"/>
          <w:sz w:val="24"/>
          <w:szCs w:val="24"/>
        </w:rPr>
      </w:pPr>
      <w:r w:rsidRPr="00A02D27">
        <w:rPr>
          <w:rFonts w:cstheme="minorHAnsi"/>
          <w:sz w:val="24"/>
          <w:szCs w:val="24"/>
        </w:rPr>
        <w:t xml:space="preserve">13f. </w:t>
      </w:r>
      <w:r w:rsidRPr="00776AE9">
        <w:rPr>
          <w:rFonts w:cstheme="minorHAnsi"/>
          <w:sz w:val="24"/>
          <w:szCs w:val="24"/>
        </w:rPr>
        <w:t>Special Retirement Incentive Plan</w:t>
      </w:r>
    </w:p>
    <w:p w14:paraId="4B6E4143" w14:textId="537856BB" w:rsidR="001B6918" w:rsidRPr="004E6649" w:rsidRDefault="001B6918" w:rsidP="001B6918">
      <w:pPr>
        <w:pStyle w:val="AFR3"/>
        <w:spacing w:before="0" w:after="160"/>
        <w:rPr>
          <w:rFonts w:eastAsia="Times New Roman" w:cstheme="minorHAnsi"/>
          <w:b w:val="0"/>
          <w:i w:val="0"/>
          <w:spacing w:val="-3"/>
          <w:sz w:val="24"/>
          <w:szCs w:val="24"/>
          <w:u w:val="none"/>
        </w:rPr>
      </w:pPr>
      <w:r w:rsidRPr="004E6649">
        <w:rPr>
          <w:rFonts w:cstheme="minorHAnsi"/>
          <w:b w:val="0"/>
          <w:i w:val="0"/>
          <w:sz w:val="24"/>
          <w:szCs w:val="24"/>
          <w:u w:val="none"/>
        </w:rPr>
        <w:t xml:space="preserve">In FY23, the System offered a second phase of special retirement incentives to eligible faculty who made the election to retire during FY24. Eligibility was based on the member attaining the age of 62 and having 10 or more years of consecutive service at the time of retirement; or age 60 or older and having 20 or more years of service. The incentive </w:t>
      </w:r>
      <w:r w:rsidR="00F63535">
        <w:rPr>
          <w:rFonts w:cstheme="minorHAnsi"/>
          <w:b w:val="0"/>
          <w:i w:val="0"/>
          <w:sz w:val="24"/>
          <w:szCs w:val="24"/>
          <w:u w:val="none"/>
        </w:rPr>
        <w:t>was</w:t>
      </w:r>
      <w:r w:rsidR="00F63535">
        <w:rPr>
          <w:rFonts w:eastAsia="Times New Roman" w:cstheme="minorHAnsi"/>
          <w:b w:val="0"/>
          <w:i w:val="0"/>
          <w:spacing w:val="-3"/>
          <w:sz w:val="24"/>
          <w:szCs w:val="24"/>
          <w:u w:val="none"/>
        </w:rPr>
        <w:t xml:space="preserve"> </w:t>
      </w:r>
      <w:r w:rsidRPr="004E6649">
        <w:rPr>
          <w:rFonts w:eastAsia="Times New Roman" w:cstheme="minorHAnsi"/>
          <w:b w:val="0"/>
          <w:i w:val="0"/>
          <w:spacing w:val="-3"/>
          <w:sz w:val="24"/>
          <w:szCs w:val="24"/>
          <w:u w:val="none"/>
        </w:rPr>
        <w:t xml:space="preserve">equal to 50% of the employee’s annual salary and </w:t>
      </w:r>
      <w:r w:rsidR="00F63535">
        <w:rPr>
          <w:rFonts w:eastAsia="Times New Roman" w:cstheme="minorHAnsi"/>
          <w:b w:val="0"/>
          <w:i w:val="0"/>
          <w:spacing w:val="-3"/>
          <w:sz w:val="24"/>
          <w:szCs w:val="24"/>
          <w:u w:val="none"/>
        </w:rPr>
        <w:t>the amount was</w:t>
      </w:r>
      <w:r w:rsidRPr="004E6649">
        <w:rPr>
          <w:rFonts w:eastAsia="Times New Roman" w:cstheme="minorHAnsi"/>
          <w:b w:val="0"/>
          <w:i w:val="0"/>
          <w:spacing w:val="-3"/>
          <w:sz w:val="24"/>
          <w:szCs w:val="24"/>
          <w:u w:val="none"/>
        </w:rPr>
        <w:t xml:space="preserve"> paid as </w:t>
      </w:r>
      <w:r w:rsidR="00F63535">
        <w:rPr>
          <w:rFonts w:eastAsia="Times New Roman" w:cstheme="minorHAnsi"/>
          <w:b w:val="0"/>
          <w:i w:val="0"/>
          <w:spacing w:val="-3"/>
          <w:sz w:val="24"/>
          <w:szCs w:val="24"/>
          <w:u w:val="none"/>
        </w:rPr>
        <w:t xml:space="preserve">a </w:t>
      </w:r>
      <w:r w:rsidRPr="004E6649">
        <w:rPr>
          <w:rFonts w:eastAsia="Times New Roman" w:cstheme="minorHAnsi"/>
          <w:b w:val="0"/>
          <w:i w:val="0"/>
          <w:spacing w:val="-3"/>
          <w:sz w:val="24"/>
          <w:szCs w:val="24"/>
          <w:u w:val="none"/>
        </w:rPr>
        <w:t>lump-sum contribution to</w:t>
      </w:r>
      <w:r w:rsidR="00F63535">
        <w:rPr>
          <w:rFonts w:eastAsia="Times New Roman" w:cstheme="minorHAnsi"/>
          <w:b w:val="0"/>
          <w:i w:val="0"/>
          <w:spacing w:val="-3"/>
          <w:sz w:val="24"/>
          <w:szCs w:val="24"/>
          <w:u w:val="none"/>
        </w:rPr>
        <w:t xml:space="preserve"> the</w:t>
      </w:r>
      <w:r w:rsidRPr="004E6649">
        <w:rPr>
          <w:rFonts w:eastAsia="Times New Roman" w:cstheme="minorHAnsi"/>
          <w:b w:val="0"/>
          <w:i w:val="0"/>
          <w:spacing w:val="-3"/>
          <w:sz w:val="24"/>
          <w:szCs w:val="24"/>
          <w:u w:val="none"/>
        </w:rPr>
        <w:t xml:space="preserve"> participant’s retirement account in FY24, subject to IRS limits, unless the retirement date </w:t>
      </w:r>
      <w:r w:rsidR="00F63535">
        <w:rPr>
          <w:rFonts w:eastAsia="Times New Roman" w:cstheme="minorHAnsi"/>
          <w:b w:val="0"/>
          <w:i w:val="0"/>
          <w:spacing w:val="-3"/>
          <w:sz w:val="24"/>
          <w:szCs w:val="24"/>
          <w:u w:val="none"/>
        </w:rPr>
        <w:t>wa</w:t>
      </w:r>
      <w:r w:rsidRPr="004E6649">
        <w:rPr>
          <w:rFonts w:eastAsia="Times New Roman" w:cstheme="minorHAnsi"/>
          <w:b w:val="0"/>
          <w:i w:val="0"/>
          <w:spacing w:val="-3"/>
          <w:sz w:val="24"/>
          <w:szCs w:val="24"/>
          <w:u w:val="none"/>
        </w:rPr>
        <w:t>s deferred upon request of the System’s administrators</w:t>
      </w:r>
      <w:r w:rsidR="00F63535">
        <w:rPr>
          <w:rFonts w:eastAsia="Times New Roman" w:cstheme="minorHAnsi"/>
          <w:b w:val="0"/>
          <w:i w:val="0"/>
          <w:spacing w:val="-3"/>
          <w:sz w:val="24"/>
          <w:szCs w:val="24"/>
          <w:u w:val="none"/>
        </w:rPr>
        <w:t xml:space="preserve"> and then it would be paid later when the employee retired</w:t>
      </w:r>
      <w:r w:rsidRPr="004E6649">
        <w:rPr>
          <w:rFonts w:eastAsia="Times New Roman" w:cstheme="minorHAnsi"/>
          <w:b w:val="0"/>
          <w:i w:val="0"/>
          <w:spacing w:val="-3"/>
          <w:sz w:val="24"/>
          <w:szCs w:val="24"/>
          <w:u w:val="none"/>
        </w:rPr>
        <w:t>.</w:t>
      </w:r>
    </w:p>
    <w:p w14:paraId="1EB6874F" w14:textId="77777777" w:rsidR="006478CB" w:rsidRDefault="001B6918" w:rsidP="001B6918">
      <w:pPr>
        <w:pStyle w:val="AFR3"/>
        <w:rPr>
          <w:rFonts w:cstheme="minorHAnsi"/>
          <w:b w:val="0"/>
          <w:i w:val="0"/>
          <w:sz w:val="24"/>
          <w:szCs w:val="24"/>
          <w:u w:val="none"/>
        </w:rPr>
      </w:pPr>
      <w:r w:rsidRPr="004E6649">
        <w:rPr>
          <w:rFonts w:cstheme="minorHAnsi"/>
          <w:b w:val="0"/>
          <w:i w:val="0"/>
          <w:sz w:val="24"/>
          <w:szCs w:val="24"/>
          <w:u w:val="none"/>
        </w:rPr>
        <w:t>In FY22, the System offered special retirement incentives to eligible faculty members who made the election to retire during FY23. Eligibility was based on the member attaining the age of 62 and having</w:t>
      </w:r>
      <w:r>
        <w:rPr>
          <w:rFonts w:cstheme="minorHAnsi"/>
          <w:b w:val="0"/>
          <w:i w:val="0"/>
          <w:sz w:val="24"/>
          <w:szCs w:val="24"/>
          <w:u w:val="none"/>
        </w:rPr>
        <w:t xml:space="preserve"> </w:t>
      </w:r>
    </w:p>
    <w:p w14:paraId="4A3B3BF2" w14:textId="77777777" w:rsidR="006478CB" w:rsidRDefault="006478CB" w:rsidP="006478CB">
      <w:pPr>
        <w:spacing w:after="160"/>
        <w:rPr>
          <w:rFonts w:eastAsiaTheme="majorEastAsia" w:cstheme="minorHAnsi"/>
          <w:b/>
          <w:i/>
          <w:iCs/>
          <w:smallCaps/>
          <w:noProof/>
          <w:color w:val="000000" w:themeColor="text1"/>
          <w:sz w:val="24"/>
          <w:szCs w:val="24"/>
          <w:u w:color="5B9BD5"/>
        </w:rPr>
      </w:pPr>
    </w:p>
    <w:p w14:paraId="74720C79" w14:textId="15F09971" w:rsidR="006478CB" w:rsidRPr="00A02D27" w:rsidRDefault="006478CB" w:rsidP="006478CB">
      <w:pPr>
        <w:spacing w:after="160"/>
        <w:rPr>
          <w:rFonts w:eastAsiaTheme="majorEastAsia" w:cstheme="minorHAnsi"/>
          <w:b/>
          <w:i/>
          <w:iCs/>
          <w:smallCaps/>
          <w:noProof/>
          <w:color w:val="000000" w:themeColor="text1"/>
          <w:sz w:val="24"/>
          <w:szCs w:val="24"/>
          <w:u w:color="5B9BD5"/>
        </w:rPr>
      </w:pPr>
      <w:r w:rsidRPr="001242E0">
        <w:rPr>
          <w:rFonts w:eastAsiaTheme="majorEastAsia" w:cstheme="minorHAnsi"/>
          <w:b/>
          <w:i/>
          <w:iCs/>
          <w:smallCaps/>
          <w:noProof/>
          <w:color w:val="000000" w:themeColor="text1"/>
          <w:sz w:val="24"/>
          <w:szCs w:val="24"/>
          <w:u w:color="5B9BD5"/>
        </w:rPr>
        <w:lastRenderedPageBreak/>
        <w:t>13. PENSION PLANS - CONTINUED</w:t>
      </w:r>
      <w:r w:rsidRPr="00A02D27">
        <w:rPr>
          <w:rFonts w:eastAsiaTheme="majorEastAsia" w:cstheme="minorHAnsi"/>
          <w:b/>
          <w:i/>
          <w:iCs/>
          <w:smallCaps/>
          <w:noProof/>
          <w:color w:val="000000" w:themeColor="text1"/>
          <w:sz w:val="24"/>
          <w:szCs w:val="24"/>
          <w:u w:color="5B9BD5"/>
        </w:rPr>
        <w:t xml:space="preserve"> </w:t>
      </w:r>
    </w:p>
    <w:p w14:paraId="6476BF24" w14:textId="253E5166" w:rsidR="001B6918" w:rsidRPr="004E6649" w:rsidRDefault="001B6918" w:rsidP="006478CB">
      <w:pPr>
        <w:pStyle w:val="AFR3"/>
        <w:rPr>
          <w:rFonts w:eastAsia="Times New Roman" w:cstheme="minorHAnsi"/>
          <w:b w:val="0"/>
          <w:i w:val="0"/>
          <w:spacing w:val="-3"/>
          <w:sz w:val="24"/>
          <w:szCs w:val="24"/>
          <w:u w:val="none"/>
        </w:rPr>
      </w:pPr>
      <w:r w:rsidRPr="004E6649">
        <w:rPr>
          <w:rFonts w:cstheme="minorHAnsi"/>
          <w:b w:val="0"/>
          <w:i w:val="0"/>
          <w:sz w:val="24"/>
          <w:szCs w:val="24"/>
          <w:u w:val="none"/>
        </w:rPr>
        <w:t>10 or more years of consecutive service at the time of retirement; or age 60 or older and having 20 or</w:t>
      </w:r>
      <w:r>
        <w:rPr>
          <w:rFonts w:cstheme="minorHAnsi"/>
          <w:b w:val="0"/>
          <w:i w:val="0"/>
          <w:sz w:val="24"/>
          <w:szCs w:val="24"/>
          <w:u w:val="none"/>
        </w:rPr>
        <w:t xml:space="preserve"> more years of service. The incentive</w:t>
      </w:r>
      <w:r w:rsidR="00F63535">
        <w:rPr>
          <w:rFonts w:cstheme="minorHAnsi"/>
          <w:b w:val="0"/>
          <w:i w:val="0"/>
          <w:sz w:val="24"/>
          <w:szCs w:val="24"/>
          <w:u w:val="none"/>
        </w:rPr>
        <w:t xml:space="preserve"> was</w:t>
      </w:r>
      <w:r>
        <w:rPr>
          <w:rFonts w:cstheme="minorHAnsi"/>
          <w:b w:val="0"/>
          <w:i w:val="0"/>
          <w:sz w:val="24"/>
          <w:szCs w:val="24"/>
          <w:u w:val="none"/>
        </w:rPr>
        <w:t xml:space="preserve"> equal to 100% of the employee’s annual salary and </w:t>
      </w:r>
      <w:r w:rsidR="00F63535">
        <w:rPr>
          <w:rFonts w:cstheme="minorHAnsi"/>
          <w:b w:val="0"/>
          <w:i w:val="0"/>
          <w:sz w:val="24"/>
          <w:szCs w:val="24"/>
          <w:u w:val="none"/>
        </w:rPr>
        <w:t>was</w:t>
      </w:r>
      <w:r>
        <w:rPr>
          <w:rFonts w:cstheme="minorHAnsi"/>
          <w:b w:val="0"/>
          <w:i w:val="0"/>
          <w:sz w:val="24"/>
          <w:szCs w:val="24"/>
          <w:u w:val="none"/>
        </w:rPr>
        <w:t xml:space="preserve"> </w:t>
      </w:r>
      <w:r w:rsidRPr="004E6649">
        <w:rPr>
          <w:rFonts w:eastAsia="Times New Roman" w:cstheme="minorHAnsi"/>
          <w:b w:val="0"/>
          <w:i w:val="0"/>
          <w:spacing w:val="-3"/>
          <w:sz w:val="24"/>
          <w:szCs w:val="24"/>
          <w:u w:val="none"/>
        </w:rPr>
        <w:t xml:space="preserve">paid as a lump-sum contribution to the participant’s retirement account in FY23, subject to IRS limits, unless the retirement date </w:t>
      </w:r>
      <w:r w:rsidR="00F63535">
        <w:rPr>
          <w:rFonts w:eastAsia="Times New Roman" w:cstheme="minorHAnsi"/>
          <w:b w:val="0"/>
          <w:i w:val="0"/>
          <w:spacing w:val="-3"/>
          <w:sz w:val="24"/>
          <w:szCs w:val="24"/>
          <w:u w:val="none"/>
        </w:rPr>
        <w:t>wa</w:t>
      </w:r>
      <w:r w:rsidRPr="004E6649">
        <w:rPr>
          <w:rFonts w:eastAsia="Times New Roman" w:cstheme="minorHAnsi"/>
          <w:b w:val="0"/>
          <w:i w:val="0"/>
          <w:spacing w:val="-3"/>
          <w:sz w:val="24"/>
          <w:szCs w:val="24"/>
          <w:u w:val="none"/>
        </w:rPr>
        <w:t>s deferred upon request of the System’s administrators</w:t>
      </w:r>
      <w:r w:rsidR="00F63535">
        <w:rPr>
          <w:rFonts w:eastAsia="Times New Roman" w:cstheme="minorHAnsi"/>
          <w:b w:val="0"/>
          <w:i w:val="0"/>
          <w:spacing w:val="-3"/>
          <w:sz w:val="24"/>
          <w:szCs w:val="24"/>
          <w:u w:val="none"/>
        </w:rPr>
        <w:t xml:space="preserve"> and then it would be paid later when the employee retired</w:t>
      </w:r>
      <w:r w:rsidRPr="004E6649">
        <w:rPr>
          <w:rFonts w:eastAsia="Times New Roman" w:cstheme="minorHAnsi"/>
          <w:b w:val="0"/>
          <w:i w:val="0"/>
          <w:spacing w:val="-3"/>
          <w:sz w:val="24"/>
          <w:szCs w:val="24"/>
          <w:u w:val="none"/>
        </w:rPr>
        <w:t xml:space="preserve">. </w:t>
      </w:r>
    </w:p>
    <w:p w14:paraId="3A8FBCE4" w14:textId="3531725D" w:rsidR="001B6918" w:rsidRPr="004E6649" w:rsidRDefault="001B6918" w:rsidP="001B6918">
      <w:pPr>
        <w:pStyle w:val="AFR3"/>
        <w:spacing w:after="160"/>
        <w:rPr>
          <w:rFonts w:cstheme="minorHAnsi"/>
          <w:b w:val="0"/>
          <w:i w:val="0"/>
          <w:sz w:val="24"/>
          <w:szCs w:val="24"/>
          <w:u w:val="none"/>
        </w:rPr>
      </w:pPr>
      <w:r w:rsidRPr="004E6649">
        <w:rPr>
          <w:rFonts w:eastAsia="Times New Roman" w:cstheme="minorHAnsi"/>
          <w:b w:val="0"/>
          <w:i w:val="0"/>
          <w:spacing w:val="-3"/>
          <w:sz w:val="24"/>
          <w:szCs w:val="24"/>
          <w:u w:val="none"/>
        </w:rPr>
        <w:t>The System’s special retirement incentive expense for FY2</w:t>
      </w:r>
      <w:r>
        <w:rPr>
          <w:rFonts w:eastAsia="Times New Roman" w:cstheme="minorHAnsi"/>
          <w:b w:val="0"/>
          <w:i w:val="0"/>
          <w:spacing w:val="-3"/>
          <w:sz w:val="24"/>
          <w:szCs w:val="24"/>
          <w:u w:val="none"/>
        </w:rPr>
        <w:t>5</w:t>
      </w:r>
      <w:r w:rsidRPr="004E6649">
        <w:rPr>
          <w:rFonts w:eastAsia="Times New Roman" w:cstheme="minorHAnsi"/>
          <w:b w:val="0"/>
          <w:i w:val="0"/>
          <w:spacing w:val="-3"/>
          <w:sz w:val="24"/>
          <w:szCs w:val="24"/>
          <w:u w:val="none"/>
        </w:rPr>
        <w:t xml:space="preserve"> and FY2</w:t>
      </w:r>
      <w:r>
        <w:rPr>
          <w:rFonts w:eastAsia="Times New Roman" w:cstheme="minorHAnsi"/>
          <w:b w:val="0"/>
          <w:i w:val="0"/>
          <w:spacing w:val="-3"/>
          <w:sz w:val="24"/>
          <w:szCs w:val="24"/>
          <w:u w:val="none"/>
        </w:rPr>
        <w:t>4</w:t>
      </w:r>
      <w:r w:rsidRPr="004E6649">
        <w:rPr>
          <w:rFonts w:eastAsia="Times New Roman" w:cstheme="minorHAnsi"/>
          <w:b w:val="0"/>
          <w:i w:val="0"/>
          <w:spacing w:val="-3"/>
          <w:sz w:val="24"/>
          <w:szCs w:val="24"/>
          <w:u w:val="none"/>
        </w:rPr>
        <w:t xml:space="preserve"> was $</w:t>
      </w:r>
      <w:r w:rsidRPr="00670B3E">
        <w:rPr>
          <w:rFonts w:eastAsia="Times New Roman" w:cstheme="minorHAnsi"/>
          <w:b w:val="0"/>
          <w:i w:val="0"/>
          <w:spacing w:val="-3"/>
          <w:sz w:val="24"/>
          <w:szCs w:val="24"/>
          <w:u w:val="none"/>
        </w:rPr>
        <w:t>1,072</w:t>
      </w:r>
      <w:r w:rsidRPr="00762AF9">
        <w:rPr>
          <w:rFonts w:eastAsia="Times New Roman" w:cstheme="minorHAnsi"/>
          <w:b w:val="0"/>
          <w:i w:val="0"/>
          <w:spacing w:val="-3"/>
          <w:sz w:val="24"/>
          <w:szCs w:val="24"/>
          <w:u w:val="none"/>
        </w:rPr>
        <w:t xml:space="preserve"> </w:t>
      </w:r>
      <w:r w:rsidRPr="004E6649">
        <w:rPr>
          <w:rFonts w:eastAsia="Times New Roman" w:cstheme="minorHAnsi"/>
          <w:b w:val="0"/>
          <w:i w:val="0"/>
          <w:spacing w:val="-3"/>
          <w:sz w:val="24"/>
          <w:szCs w:val="24"/>
          <w:u w:val="none"/>
        </w:rPr>
        <w:t>and $</w:t>
      </w:r>
      <w:r w:rsidRPr="00D146D4">
        <w:rPr>
          <w:rFonts w:eastAsia="Times New Roman" w:cstheme="minorHAnsi"/>
          <w:b w:val="0"/>
          <w:i w:val="0"/>
          <w:spacing w:val="-3"/>
          <w:sz w:val="24"/>
          <w:szCs w:val="24"/>
          <w:u w:val="none"/>
        </w:rPr>
        <w:t>4,399</w:t>
      </w:r>
      <w:r w:rsidRPr="004E6649">
        <w:rPr>
          <w:rFonts w:eastAsia="Times New Roman" w:cstheme="minorHAnsi"/>
          <w:b w:val="0"/>
          <w:i w:val="0"/>
          <w:spacing w:val="-3"/>
          <w:sz w:val="24"/>
          <w:szCs w:val="24"/>
          <w:u w:val="none"/>
        </w:rPr>
        <w:t>, respectively, and is included in pension expense.  The related liability at June 30, 202</w:t>
      </w:r>
      <w:r>
        <w:rPr>
          <w:rFonts w:eastAsia="Times New Roman" w:cstheme="minorHAnsi"/>
          <w:b w:val="0"/>
          <w:i w:val="0"/>
          <w:spacing w:val="-3"/>
          <w:sz w:val="24"/>
          <w:szCs w:val="24"/>
          <w:u w:val="none"/>
        </w:rPr>
        <w:t>5</w:t>
      </w:r>
      <w:r w:rsidRPr="004E6649">
        <w:rPr>
          <w:rFonts w:eastAsia="Times New Roman" w:cstheme="minorHAnsi"/>
          <w:b w:val="0"/>
          <w:i w:val="0"/>
          <w:spacing w:val="-3"/>
          <w:sz w:val="24"/>
          <w:szCs w:val="24"/>
          <w:u w:val="none"/>
        </w:rPr>
        <w:t xml:space="preserve"> and 202</w:t>
      </w:r>
      <w:r>
        <w:rPr>
          <w:rFonts w:eastAsia="Times New Roman" w:cstheme="minorHAnsi"/>
          <w:b w:val="0"/>
          <w:i w:val="0"/>
          <w:spacing w:val="-3"/>
          <w:sz w:val="24"/>
          <w:szCs w:val="24"/>
          <w:u w:val="none"/>
        </w:rPr>
        <w:t>4</w:t>
      </w:r>
      <w:r w:rsidRPr="004E6649">
        <w:rPr>
          <w:rFonts w:eastAsia="Times New Roman" w:cstheme="minorHAnsi"/>
          <w:b w:val="0"/>
          <w:i w:val="0"/>
          <w:spacing w:val="-3"/>
          <w:sz w:val="24"/>
          <w:szCs w:val="24"/>
          <w:u w:val="none"/>
        </w:rPr>
        <w:t xml:space="preserve"> was $</w:t>
      </w:r>
      <w:r w:rsidRPr="003B490A">
        <w:rPr>
          <w:rFonts w:eastAsia="Times New Roman" w:cstheme="minorHAnsi"/>
          <w:b w:val="0"/>
          <w:i w:val="0"/>
          <w:spacing w:val="-3"/>
          <w:sz w:val="24"/>
          <w:szCs w:val="24"/>
          <w:u w:val="none"/>
        </w:rPr>
        <w:t>104</w:t>
      </w:r>
      <w:r w:rsidRPr="00762AF9">
        <w:rPr>
          <w:rFonts w:eastAsia="Times New Roman" w:cstheme="minorHAnsi"/>
          <w:b w:val="0"/>
          <w:i w:val="0"/>
          <w:spacing w:val="-3"/>
          <w:sz w:val="24"/>
          <w:szCs w:val="24"/>
          <w:u w:val="none"/>
        </w:rPr>
        <w:t xml:space="preserve"> </w:t>
      </w:r>
      <w:r w:rsidRPr="004E6649">
        <w:rPr>
          <w:rFonts w:eastAsia="Times New Roman" w:cstheme="minorHAnsi"/>
          <w:b w:val="0"/>
          <w:i w:val="0"/>
          <w:spacing w:val="-3"/>
          <w:sz w:val="24"/>
          <w:szCs w:val="24"/>
          <w:u w:val="none"/>
        </w:rPr>
        <w:t>and $</w:t>
      </w:r>
      <w:r w:rsidRPr="00D146D4">
        <w:rPr>
          <w:rFonts w:eastAsia="Times New Roman" w:cstheme="minorHAnsi"/>
          <w:b w:val="0"/>
          <w:i w:val="0"/>
          <w:spacing w:val="-3"/>
          <w:sz w:val="24"/>
          <w:szCs w:val="24"/>
          <w:u w:val="none"/>
        </w:rPr>
        <w:t>1,049</w:t>
      </w:r>
      <w:r w:rsidRPr="004E6649">
        <w:rPr>
          <w:rFonts w:eastAsia="Times New Roman" w:cstheme="minorHAnsi"/>
          <w:b w:val="0"/>
          <w:i w:val="0"/>
          <w:spacing w:val="-3"/>
          <w:sz w:val="24"/>
          <w:szCs w:val="24"/>
          <w:u w:val="none"/>
        </w:rPr>
        <w:t>, respectively, and is included in accrued liabilities in the accompanying Statements of Net Position.</w:t>
      </w:r>
    </w:p>
    <w:p w14:paraId="374E577D" w14:textId="77777777" w:rsidR="001B6918" w:rsidRPr="009F07D6" w:rsidRDefault="001B6918" w:rsidP="001B6918">
      <w:pPr>
        <w:pStyle w:val="AFR2"/>
        <w:pBdr>
          <w:bottom w:val="single" w:sz="8" w:space="1" w:color="0D0D0D" w:themeColor="text1" w:themeTint="F2"/>
        </w:pBdr>
        <w:rPr>
          <w:rFonts w:cstheme="minorHAnsi"/>
          <w:sz w:val="26"/>
          <w:szCs w:val="26"/>
        </w:rPr>
      </w:pPr>
      <w:r w:rsidRPr="009F07D6">
        <w:rPr>
          <w:rFonts w:cstheme="minorHAnsi"/>
          <w:sz w:val="26"/>
          <w:szCs w:val="26"/>
        </w:rPr>
        <w:t xml:space="preserve">14. </w:t>
      </w:r>
      <w:r w:rsidRPr="00EC502D">
        <w:rPr>
          <w:rFonts w:cstheme="minorHAnsi"/>
          <w:sz w:val="26"/>
          <w:szCs w:val="26"/>
        </w:rPr>
        <w:t>POSTEMPLOYMENT HEALTH PLAN</w:t>
      </w:r>
    </w:p>
    <w:p w14:paraId="537F1606" w14:textId="77777777" w:rsidR="001B6918" w:rsidRPr="004E6649" w:rsidRDefault="001B6918" w:rsidP="001B6918">
      <w:pPr>
        <w:tabs>
          <w:tab w:val="left" w:pos="900"/>
          <w:tab w:val="left" w:pos="10260"/>
        </w:tabs>
        <w:spacing w:after="160"/>
        <w:rPr>
          <w:rFonts w:cstheme="minorHAnsi"/>
          <w:szCs w:val="20"/>
        </w:rPr>
      </w:pPr>
      <w:r w:rsidRPr="004E6649">
        <w:rPr>
          <w:rFonts w:eastAsia="Times New Roman" w:cstheme="minorHAnsi"/>
          <w:b/>
          <w:sz w:val="24"/>
          <w:szCs w:val="24"/>
        </w:rPr>
        <w:t>Plan Description</w:t>
      </w:r>
    </w:p>
    <w:p w14:paraId="4D7CC62F" w14:textId="77777777" w:rsidR="001B6918" w:rsidRPr="004E6649" w:rsidRDefault="001B6918" w:rsidP="001B6918">
      <w:pPr>
        <w:tabs>
          <w:tab w:val="left" w:pos="900"/>
          <w:tab w:val="left" w:pos="10260"/>
        </w:tabs>
        <w:rPr>
          <w:rFonts w:cstheme="minorHAnsi"/>
          <w:sz w:val="24"/>
        </w:rPr>
      </w:pPr>
      <w:r w:rsidRPr="004E6649">
        <w:rPr>
          <w:rFonts w:eastAsia="Franklin Gothic Book" w:cstheme="minorHAnsi"/>
          <w:b/>
          <w:i/>
          <w:sz w:val="24"/>
        </w:rPr>
        <w:t>Plan Administration:</w:t>
      </w:r>
      <w:r w:rsidRPr="004E6649">
        <w:rPr>
          <w:rFonts w:cstheme="minorHAnsi"/>
          <w:sz w:val="24"/>
        </w:rPr>
        <w:t xml:space="preserve"> The Other Postemployment Benefits (OPEB) Health Plan (“OPEB Plan”) is a defined benefit, single employer plan, administered by the System. The OPEB Plan does not produce standalone financial statements. Within certain limits, the Board of Trustees has authority to establish and amend provisions under the Plan for retirees. This authority is subject to collective bargaining agreements for active employees.</w:t>
      </w:r>
    </w:p>
    <w:p w14:paraId="46CBE964" w14:textId="77777777" w:rsidR="001B6918" w:rsidRPr="004E6649" w:rsidRDefault="001B6918" w:rsidP="001B6918">
      <w:pPr>
        <w:spacing w:line="259" w:lineRule="auto"/>
        <w:rPr>
          <w:rFonts w:eastAsiaTheme="majorEastAsia" w:cstheme="minorHAnsi"/>
          <w:i/>
          <w:iCs/>
          <w:smallCaps/>
          <w:noProof/>
          <w:color w:val="000000" w:themeColor="text1"/>
          <w:szCs w:val="26"/>
          <w:u w:color="5B9BD5"/>
        </w:rPr>
      </w:pPr>
    </w:p>
    <w:p w14:paraId="17C585E2" w14:textId="77777777" w:rsidR="001B6918" w:rsidRPr="004E6649" w:rsidRDefault="001B6918" w:rsidP="001B6918">
      <w:pPr>
        <w:tabs>
          <w:tab w:val="left" w:pos="900"/>
          <w:tab w:val="left" w:pos="10260"/>
        </w:tabs>
        <w:rPr>
          <w:rFonts w:cstheme="minorHAnsi"/>
          <w:sz w:val="24"/>
          <w:szCs w:val="24"/>
        </w:rPr>
      </w:pPr>
      <w:r w:rsidRPr="004E6649">
        <w:rPr>
          <w:rFonts w:eastAsia="Franklin Gothic Book" w:cstheme="minorHAnsi"/>
          <w:b/>
          <w:i/>
          <w:sz w:val="24"/>
        </w:rPr>
        <w:t>Plan Benefits:</w:t>
      </w:r>
      <w:r w:rsidRPr="004E6649">
        <w:rPr>
          <w:rFonts w:cstheme="minorHAnsi"/>
          <w:sz w:val="24"/>
        </w:rPr>
        <w:t xml:space="preserve"> System retirees at or above the normal retirement age of 65 with at least ten years of continuous full-time regular university service immediately prior to retirement, and who are in the System health plan upon retirement, are eligible for post-retirement health coverage. This coverage is also extended to </w:t>
      </w:r>
      <w:r w:rsidRPr="004E6649">
        <w:rPr>
          <w:rFonts w:cstheme="minorHAnsi"/>
          <w:sz w:val="24"/>
          <w:szCs w:val="24"/>
        </w:rPr>
        <w:t>those former eligible employees who receive benefits under the System’s long-term disability (LTD) insurance and to widows/widowers of university employees and retirees. Employees who retire on or after April 1, 2008 and former employees receiving LTD benefits will have a one-time election to cease coverage under the System health plan and later reenroll for coverage provided continuous coverage is documented.</w:t>
      </w:r>
    </w:p>
    <w:p w14:paraId="0FADFFCD" w14:textId="77777777" w:rsidR="001B6918" w:rsidRPr="004E6649" w:rsidRDefault="001B6918" w:rsidP="001B6918">
      <w:pPr>
        <w:tabs>
          <w:tab w:val="left" w:pos="900"/>
          <w:tab w:val="left" w:pos="10260"/>
        </w:tabs>
        <w:rPr>
          <w:rFonts w:cstheme="minorHAnsi"/>
          <w:sz w:val="24"/>
          <w:szCs w:val="24"/>
        </w:rPr>
      </w:pPr>
    </w:p>
    <w:p w14:paraId="213B2701" w14:textId="77777777" w:rsidR="001B6918" w:rsidRPr="004E6649" w:rsidRDefault="001B6918" w:rsidP="001B6918">
      <w:pPr>
        <w:tabs>
          <w:tab w:val="left" w:pos="900"/>
          <w:tab w:val="left" w:pos="10260"/>
        </w:tabs>
        <w:spacing w:after="240"/>
        <w:rPr>
          <w:rFonts w:cstheme="minorHAnsi"/>
          <w:sz w:val="24"/>
          <w:szCs w:val="24"/>
        </w:rPr>
      </w:pPr>
      <w:r w:rsidRPr="004E6649">
        <w:rPr>
          <w:rFonts w:cstheme="minorHAnsi"/>
          <w:sz w:val="24"/>
          <w:szCs w:val="24"/>
        </w:rPr>
        <w:t>The System Medicare eligible retiree health plan options include a Medicare Exchange program with an HRA and a group health plan which subsidizes the cost of insurance for eligible persons who are retired from the System and have reached age 65, who are under age 65 and are part of a special retirement incentive program, and who are former employees and approved for LTD benefits regardless of age or years of service. The level of subsidy may vary depending on plan selected, retirement incentive programs, retirement date and years of service. The System also provides a subsidy for eligible spouses and dependents. With certain restrictions, spouses and dependents are eligible to continue coverage after the death of a retiree meeting the above criteria.</w:t>
      </w:r>
    </w:p>
    <w:p w14:paraId="7554086F" w14:textId="77777777" w:rsidR="001B6918" w:rsidRDefault="001B6918" w:rsidP="001B6918">
      <w:pPr>
        <w:tabs>
          <w:tab w:val="left" w:pos="900"/>
        </w:tabs>
        <w:ind w:right="-7"/>
        <w:rPr>
          <w:rFonts w:cstheme="minorHAnsi"/>
          <w:sz w:val="24"/>
        </w:rPr>
      </w:pPr>
      <w:r w:rsidRPr="004E6649">
        <w:rPr>
          <w:rFonts w:cstheme="minorHAnsi"/>
          <w:sz w:val="24"/>
        </w:rPr>
        <w:t>Persons eligible for a subsidy from the System may not convert their benefit into an in-lieu-of payment to secure coverage under independent plans.</w:t>
      </w:r>
      <w:r>
        <w:rPr>
          <w:rFonts w:cstheme="minorHAnsi"/>
          <w:sz w:val="24"/>
        </w:rPr>
        <w:br w:type="page"/>
      </w:r>
    </w:p>
    <w:p w14:paraId="33D47792" w14:textId="77777777" w:rsidR="001B6918" w:rsidRDefault="001B6918" w:rsidP="001B6918">
      <w:pPr>
        <w:tabs>
          <w:tab w:val="left" w:pos="900"/>
        </w:tabs>
        <w:spacing w:after="160"/>
        <w:ind w:right="-7"/>
        <w:rPr>
          <w:rFonts w:eastAsiaTheme="majorEastAsia" w:cstheme="minorHAnsi"/>
          <w:b/>
          <w:i/>
          <w:iCs/>
          <w:smallCaps/>
          <w:noProof/>
          <w:color w:val="000000" w:themeColor="text1"/>
          <w:sz w:val="24"/>
          <w:szCs w:val="24"/>
          <w:u w:color="5B9BD5"/>
        </w:rPr>
      </w:pPr>
      <w:r w:rsidRPr="00A02D27">
        <w:rPr>
          <w:rFonts w:eastAsiaTheme="majorEastAsia" w:cstheme="minorHAnsi"/>
          <w:b/>
          <w:i/>
          <w:iCs/>
          <w:smallCaps/>
          <w:noProof/>
          <w:color w:val="000000" w:themeColor="text1"/>
          <w:sz w:val="24"/>
          <w:szCs w:val="24"/>
          <w:u w:color="5B9BD5"/>
        </w:rPr>
        <w:lastRenderedPageBreak/>
        <w:t xml:space="preserve">14. POSTEMPLOYMENT HEALTH PLAN </w:t>
      </w:r>
      <w:r>
        <w:rPr>
          <w:rFonts w:eastAsiaTheme="majorEastAsia" w:cstheme="minorHAnsi"/>
          <w:b/>
          <w:i/>
          <w:iCs/>
          <w:smallCaps/>
          <w:noProof/>
          <w:color w:val="000000" w:themeColor="text1"/>
          <w:sz w:val="24"/>
          <w:szCs w:val="24"/>
          <w:u w:color="5B9BD5"/>
        </w:rPr>
        <w:t>–</w:t>
      </w:r>
      <w:r w:rsidRPr="00A02D27">
        <w:rPr>
          <w:rFonts w:eastAsiaTheme="majorEastAsia" w:cstheme="minorHAnsi"/>
          <w:b/>
          <w:i/>
          <w:iCs/>
          <w:smallCaps/>
          <w:noProof/>
          <w:color w:val="000000" w:themeColor="text1"/>
          <w:sz w:val="24"/>
          <w:szCs w:val="24"/>
          <w:u w:color="5B9BD5"/>
        </w:rPr>
        <w:t xml:space="preserve"> CONTINUED</w:t>
      </w:r>
    </w:p>
    <w:p w14:paraId="78FBEF95" w14:textId="77777777" w:rsidR="001B6918" w:rsidRDefault="001B6918" w:rsidP="001B6918">
      <w:pPr>
        <w:tabs>
          <w:tab w:val="left" w:pos="900"/>
          <w:tab w:val="left" w:pos="10260"/>
        </w:tabs>
        <w:spacing w:after="240"/>
        <w:rPr>
          <w:rFonts w:cstheme="minorHAnsi"/>
          <w:sz w:val="24"/>
        </w:rPr>
      </w:pPr>
      <w:r w:rsidRPr="004E6649">
        <w:rPr>
          <w:rFonts w:cstheme="minorHAnsi"/>
          <w:sz w:val="24"/>
        </w:rPr>
        <w:t>The System’s OPEB expense</w:t>
      </w:r>
      <w:r>
        <w:rPr>
          <w:rFonts w:cstheme="minorHAnsi"/>
          <w:sz w:val="24"/>
        </w:rPr>
        <w:t xml:space="preserve"> (income)</w:t>
      </w:r>
      <w:r w:rsidRPr="004E6649">
        <w:rPr>
          <w:rFonts w:cstheme="minorHAnsi"/>
          <w:sz w:val="24"/>
        </w:rPr>
        <w:t xml:space="preserve"> for June 30, 202</w:t>
      </w:r>
      <w:r>
        <w:rPr>
          <w:rFonts w:cstheme="minorHAnsi"/>
          <w:sz w:val="24"/>
        </w:rPr>
        <w:t>5</w:t>
      </w:r>
      <w:r w:rsidRPr="004E6649">
        <w:rPr>
          <w:rFonts w:cstheme="minorHAnsi"/>
          <w:sz w:val="24"/>
        </w:rPr>
        <w:t xml:space="preserve"> and 202</w:t>
      </w:r>
      <w:r>
        <w:rPr>
          <w:rFonts w:cstheme="minorHAnsi"/>
          <w:sz w:val="24"/>
        </w:rPr>
        <w:t>4</w:t>
      </w:r>
      <w:r w:rsidRPr="004E6649">
        <w:rPr>
          <w:rFonts w:cstheme="minorHAnsi"/>
          <w:sz w:val="24"/>
        </w:rPr>
        <w:t xml:space="preserve"> </w:t>
      </w:r>
      <w:r w:rsidRPr="00242EA3">
        <w:rPr>
          <w:rFonts w:cstheme="minorHAnsi"/>
          <w:sz w:val="24"/>
        </w:rPr>
        <w:t>was ($</w:t>
      </w:r>
      <w:r w:rsidRPr="00A17817">
        <w:rPr>
          <w:rFonts w:cstheme="minorHAnsi"/>
          <w:sz w:val="24"/>
        </w:rPr>
        <w:t>8</w:t>
      </w:r>
      <w:r w:rsidRPr="00242EA3">
        <w:rPr>
          <w:rFonts w:cstheme="minorHAnsi"/>
          <w:sz w:val="24"/>
        </w:rPr>
        <w:t>,</w:t>
      </w:r>
      <w:r w:rsidRPr="00A17817">
        <w:rPr>
          <w:rFonts w:cstheme="minorHAnsi"/>
          <w:sz w:val="24"/>
        </w:rPr>
        <w:t>393</w:t>
      </w:r>
      <w:r w:rsidRPr="007E6F83">
        <w:rPr>
          <w:rFonts w:cstheme="minorHAnsi"/>
          <w:sz w:val="24"/>
        </w:rPr>
        <w:t>)</w:t>
      </w:r>
      <w:r w:rsidRPr="00DC3A6A">
        <w:rPr>
          <w:rFonts w:cstheme="minorHAnsi"/>
          <w:sz w:val="24"/>
        </w:rPr>
        <w:t xml:space="preserve"> and ($</w:t>
      </w:r>
      <w:r w:rsidRPr="007E6F83">
        <w:rPr>
          <w:rFonts w:cstheme="minorHAnsi"/>
          <w:sz w:val="24"/>
        </w:rPr>
        <w:t>6,004)</w:t>
      </w:r>
      <w:r w:rsidRPr="004E6649">
        <w:rPr>
          <w:rFonts w:cstheme="minorHAnsi"/>
          <w:sz w:val="24"/>
        </w:rPr>
        <w:t>, respectively.</w:t>
      </w:r>
      <w:r>
        <w:rPr>
          <w:rFonts w:cstheme="minorHAnsi"/>
          <w:sz w:val="24"/>
        </w:rPr>
        <w:t xml:space="preserve"> </w:t>
      </w:r>
    </w:p>
    <w:p w14:paraId="74231545" w14:textId="77777777" w:rsidR="001B6918" w:rsidRPr="004E6649" w:rsidRDefault="001B6918" w:rsidP="001B6918">
      <w:pPr>
        <w:tabs>
          <w:tab w:val="left" w:pos="900"/>
          <w:tab w:val="left" w:pos="10260"/>
        </w:tabs>
        <w:spacing w:after="240"/>
        <w:rPr>
          <w:rFonts w:cstheme="minorHAnsi"/>
          <w:sz w:val="24"/>
        </w:rPr>
      </w:pPr>
      <w:r w:rsidRPr="004E6649">
        <w:rPr>
          <w:rFonts w:eastAsia="Times New Roman" w:cstheme="minorHAnsi"/>
          <w:b/>
          <w:i/>
          <w:spacing w:val="-2"/>
          <w:sz w:val="24"/>
        </w:rPr>
        <w:t>Plan membership:</w:t>
      </w:r>
      <w:r w:rsidRPr="004E6649">
        <w:rPr>
          <w:rFonts w:eastAsia="Times New Roman" w:cstheme="minorHAnsi"/>
          <w:b/>
          <w:spacing w:val="-2"/>
          <w:sz w:val="24"/>
        </w:rPr>
        <w:t xml:space="preserve"> </w:t>
      </w:r>
      <w:proofErr w:type="gramStart"/>
      <w:r w:rsidRPr="004E6649">
        <w:rPr>
          <w:rFonts w:eastAsia="Times New Roman" w:cstheme="minorHAnsi"/>
          <w:spacing w:val="-2"/>
          <w:sz w:val="24"/>
        </w:rPr>
        <w:t>A</w:t>
      </w:r>
      <w:r w:rsidRPr="004E6649">
        <w:rPr>
          <w:rFonts w:eastAsia="Times New Roman" w:cstheme="minorHAnsi"/>
          <w:sz w:val="24"/>
        </w:rPr>
        <w:t>t</w:t>
      </w:r>
      <w:proofErr w:type="gramEnd"/>
      <w:r w:rsidRPr="004E6649">
        <w:rPr>
          <w:rFonts w:eastAsia="Times New Roman" w:cstheme="minorHAnsi"/>
          <w:spacing w:val="-5"/>
          <w:sz w:val="24"/>
        </w:rPr>
        <w:t xml:space="preserve"> </w:t>
      </w:r>
      <w:r w:rsidRPr="004E6649">
        <w:rPr>
          <w:rFonts w:eastAsia="Times New Roman" w:cstheme="minorHAnsi"/>
          <w:sz w:val="24"/>
        </w:rPr>
        <w:t>June</w:t>
      </w:r>
      <w:r w:rsidRPr="004E6649">
        <w:rPr>
          <w:rFonts w:eastAsia="Times New Roman" w:cstheme="minorHAnsi"/>
          <w:spacing w:val="-7"/>
          <w:sz w:val="24"/>
        </w:rPr>
        <w:t xml:space="preserve"> </w:t>
      </w:r>
      <w:r w:rsidRPr="004E6649">
        <w:rPr>
          <w:rFonts w:eastAsia="Times New Roman" w:cstheme="minorHAnsi"/>
          <w:sz w:val="24"/>
        </w:rPr>
        <w:t xml:space="preserve">30, </w:t>
      </w:r>
      <w:r w:rsidRPr="004E6649">
        <w:rPr>
          <w:rFonts w:eastAsia="Times New Roman" w:cstheme="minorHAnsi"/>
          <w:spacing w:val="-1"/>
          <w:sz w:val="24"/>
        </w:rPr>
        <w:t>OPEB Plan</w:t>
      </w:r>
      <w:r w:rsidRPr="004E6649">
        <w:rPr>
          <w:rFonts w:eastAsia="Times New Roman" w:cstheme="minorHAnsi"/>
          <w:spacing w:val="-6"/>
          <w:sz w:val="24"/>
        </w:rPr>
        <w:t xml:space="preserve"> </w:t>
      </w:r>
      <w:r w:rsidRPr="004E6649">
        <w:rPr>
          <w:rFonts w:eastAsia="Times New Roman" w:cstheme="minorHAnsi"/>
          <w:sz w:val="24"/>
        </w:rPr>
        <w:t>mem</w:t>
      </w:r>
      <w:r w:rsidRPr="004E6649">
        <w:rPr>
          <w:rFonts w:eastAsia="Times New Roman" w:cstheme="minorHAnsi"/>
          <w:spacing w:val="1"/>
          <w:sz w:val="24"/>
        </w:rPr>
        <w:t>b</w:t>
      </w:r>
      <w:r w:rsidRPr="004E6649">
        <w:rPr>
          <w:rFonts w:eastAsia="Times New Roman" w:cstheme="minorHAnsi"/>
          <w:sz w:val="24"/>
        </w:rPr>
        <w:t>e</w:t>
      </w:r>
      <w:r w:rsidRPr="004E6649">
        <w:rPr>
          <w:rFonts w:eastAsia="Times New Roman" w:cstheme="minorHAnsi"/>
          <w:spacing w:val="-2"/>
          <w:sz w:val="24"/>
        </w:rPr>
        <w:t>r</w:t>
      </w:r>
      <w:r w:rsidRPr="004E6649">
        <w:rPr>
          <w:rFonts w:eastAsia="Times New Roman" w:cstheme="minorHAnsi"/>
          <w:spacing w:val="1"/>
          <w:sz w:val="24"/>
        </w:rPr>
        <w:t>s</w:t>
      </w:r>
      <w:r w:rsidRPr="004E6649">
        <w:rPr>
          <w:rFonts w:eastAsia="Times New Roman" w:cstheme="minorHAnsi"/>
          <w:sz w:val="24"/>
        </w:rPr>
        <w:t>hip</w:t>
      </w:r>
      <w:r w:rsidRPr="004E6649">
        <w:rPr>
          <w:rFonts w:eastAsia="Times New Roman" w:cstheme="minorHAnsi"/>
          <w:spacing w:val="-6"/>
          <w:sz w:val="24"/>
        </w:rPr>
        <w:t xml:space="preserve"> </w:t>
      </w:r>
      <w:r w:rsidRPr="004E6649">
        <w:rPr>
          <w:rFonts w:eastAsia="Times New Roman" w:cstheme="minorHAnsi"/>
          <w:sz w:val="24"/>
        </w:rPr>
        <w:t>consisted</w:t>
      </w:r>
      <w:r w:rsidRPr="004E6649">
        <w:rPr>
          <w:rFonts w:eastAsia="Times New Roman" w:cstheme="minorHAnsi"/>
          <w:spacing w:val="-6"/>
          <w:sz w:val="24"/>
        </w:rPr>
        <w:t xml:space="preserve"> </w:t>
      </w:r>
      <w:r w:rsidRPr="004E6649">
        <w:rPr>
          <w:rFonts w:eastAsia="Times New Roman" w:cstheme="minorHAnsi"/>
          <w:sz w:val="24"/>
        </w:rPr>
        <w:t>of</w:t>
      </w:r>
      <w:r w:rsidRPr="004E6649">
        <w:rPr>
          <w:rFonts w:eastAsia="Times New Roman" w:cstheme="minorHAnsi"/>
          <w:spacing w:val="-6"/>
          <w:sz w:val="24"/>
        </w:rPr>
        <w:t xml:space="preserve"> </w:t>
      </w:r>
      <w:r w:rsidRPr="004E6649">
        <w:rPr>
          <w:rFonts w:eastAsia="Times New Roman" w:cstheme="minorHAnsi"/>
          <w:spacing w:val="1"/>
          <w:sz w:val="24"/>
        </w:rPr>
        <w:t>t</w:t>
      </w:r>
      <w:r w:rsidRPr="004E6649">
        <w:rPr>
          <w:rFonts w:eastAsia="Times New Roman" w:cstheme="minorHAnsi"/>
          <w:sz w:val="24"/>
        </w:rPr>
        <w:t>he</w:t>
      </w:r>
      <w:r w:rsidRPr="004E6649">
        <w:rPr>
          <w:rFonts w:eastAsia="Times New Roman" w:cstheme="minorHAnsi"/>
          <w:spacing w:val="-7"/>
          <w:sz w:val="24"/>
        </w:rPr>
        <w:t xml:space="preserve"> </w:t>
      </w:r>
      <w:r w:rsidRPr="004E6649">
        <w:rPr>
          <w:rFonts w:eastAsia="Times New Roman" w:cstheme="minorHAnsi"/>
          <w:sz w:val="24"/>
        </w:rPr>
        <w:t>fo</w:t>
      </w:r>
      <w:r w:rsidRPr="004E6649">
        <w:rPr>
          <w:rFonts w:eastAsia="Times New Roman" w:cstheme="minorHAnsi"/>
          <w:spacing w:val="-1"/>
          <w:sz w:val="24"/>
        </w:rPr>
        <w:t>l</w:t>
      </w:r>
      <w:r w:rsidRPr="004E6649">
        <w:rPr>
          <w:rFonts w:eastAsia="Times New Roman" w:cstheme="minorHAnsi"/>
          <w:sz w:val="24"/>
        </w:rPr>
        <w:t>l</w:t>
      </w:r>
      <w:r w:rsidRPr="004E6649">
        <w:rPr>
          <w:rFonts w:eastAsia="Times New Roman" w:cstheme="minorHAnsi"/>
          <w:spacing w:val="-1"/>
          <w:sz w:val="24"/>
        </w:rPr>
        <w:t>o</w:t>
      </w:r>
      <w:r w:rsidRPr="004E6649">
        <w:rPr>
          <w:rFonts w:eastAsia="Times New Roman" w:cstheme="minorHAnsi"/>
          <w:sz w:val="24"/>
        </w:rPr>
        <w:t>wing:</w:t>
      </w:r>
      <w:r w:rsidRPr="004E6649">
        <w:rPr>
          <w:rFonts w:cstheme="minorHAnsi"/>
          <w:sz w:val="24"/>
        </w:rPr>
        <w:fldChar w:fldCharType="begin"/>
      </w:r>
      <w:r w:rsidRPr="004E6649">
        <w:rPr>
          <w:rFonts w:cstheme="minorHAnsi"/>
          <w:sz w:val="24"/>
        </w:rPr>
        <w:fldChar w:fldCharType="end"/>
      </w:r>
    </w:p>
    <w:tbl>
      <w:tblPr>
        <w:tblW w:w="6030" w:type="dxa"/>
        <w:jc w:val="center"/>
        <w:tblLook w:val="04A0" w:firstRow="1" w:lastRow="0" w:firstColumn="1" w:lastColumn="0" w:noHBand="0" w:noVBand="1"/>
      </w:tblPr>
      <w:tblGrid>
        <w:gridCol w:w="4410"/>
        <w:gridCol w:w="777"/>
        <w:gridCol w:w="843"/>
      </w:tblGrid>
      <w:tr w:rsidR="001B6918" w:rsidRPr="004E6649" w14:paraId="5A6EF3F6" w14:textId="77777777" w:rsidTr="00730ECF">
        <w:trPr>
          <w:trHeight w:val="261"/>
          <w:tblHeader/>
          <w:jc w:val="center"/>
        </w:trPr>
        <w:tc>
          <w:tcPr>
            <w:tcW w:w="4410" w:type="dxa"/>
            <w:tcBorders>
              <w:top w:val="nil"/>
              <w:left w:val="nil"/>
              <w:bottom w:val="single" w:sz="12" w:space="0" w:color="000000" w:themeColor="text1"/>
              <w:right w:val="nil"/>
            </w:tcBorders>
            <w:shd w:val="clear" w:color="000000" w:fill="FFFFFF"/>
            <w:noWrap/>
            <w:vAlign w:val="bottom"/>
            <w:hideMark/>
          </w:tcPr>
          <w:p w14:paraId="00F3F8DF" w14:textId="77777777" w:rsidR="001B6918" w:rsidRPr="004E6649" w:rsidRDefault="001B6918" w:rsidP="00730ECF">
            <w:pPr>
              <w:rPr>
                <w:rFonts w:eastAsia="Times New Roman" w:cstheme="minorHAnsi"/>
                <w:b/>
                <w:bCs/>
                <w:color w:val="000000"/>
              </w:rPr>
            </w:pPr>
            <w:r w:rsidRPr="004E6649">
              <w:rPr>
                <w:rFonts w:eastAsia="Times New Roman" w:cstheme="minorHAnsi"/>
                <w:b/>
                <w:bCs/>
                <w:color w:val="000000"/>
              </w:rPr>
              <w:t> </w:t>
            </w:r>
          </w:p>
        </w:tc>
        <w:tc>
          <w:tcPr>
            <w:tcW w:w="777" w:type="dxa"/>
            <w:tcBorders>
              <w:top w:val="nil"/>
              <w:left w:val="nil"/>
              <w:bottom w:val="single" w:sz="12" w:space="0" w:color="000000" w:themeColor="text1"/>
              <w:right w:val="nil"/>
            </w:tcBorders>
            <w:shd w:val="clear" w:color="000000" w:fill="FFFFFF"/>
            <w:noWrap/>
            <w:vAlign w:val="bottom"/>
            <w:hideMark/>
          </w:tcPr>
          <w:p w14:paraId="2A9F3FC8" w14:textId="77777777" w:rsidR="001B6918" w:rsidRPr="004E6649" w:rsidRDefault="001B6918" w:rsidP="00730ECF">
            <w:pPr>
              <w:jc w:val="right"/>
              <w:rPr>
                <w:rFonts w:eastAsia="Times New Roman" w:cstheme="minorHAnsi"/>
                <w:b/>
                <w:bCs/>
                <w:color w:val="000000"/>
              </w:rPr>
            </w:pPr>
            <w:r w:rsidRPr="004E6649">
              <w:rPr>
                <w:rFonts w:eastAsia="Times New Roman" w:cstheme="minorHAnsi"/>
                <w:b/>
                <w:bCs/>
                <w:color w:val="000000"/>
              </w:rPr>
              <w:t>202</w:t>
            </w:r>
            <w:r>
              <w:rPr>
                <w:rFonts w:eastAsia="Times New Roman" w:cstheme="minorHAnsi"/>
                <w:b/>
                <w:bCs/>
                <w:color w:val="000000"/>
              </w:rPr>
              <w:t>5</w:t>
            </w:r>
          </w:p>
        </w:tc>
        <w:tc>
          <w:tcPr>
            <w:tcW w:w="843" w:type="dxa"/>
            <w:tcBorders>
              <w:top w:val="nil"/>
              <w:left w:val="nil"/>
              <w:bottom w:val="single" w:sz="12" w:space="0" w:color="000000" w:themeColor="text1"/>
              <w:right w:val="nil"/>
            </w:tcBorders>
            <w:shd w:val="clear" w:color="auto" w:fill="F2F2F2" w:themeFill="background1" w:themeFillShade="F2"/>
            <w:vAlign w:val="bottom"/>
          </w:tcPr>
          <w:p w14:paraId="3A5E9B0C" w14:textId="77777777" w:rsidR="001B6918" w:rsidRPr="004E6649" w:rsidRDefault="001B6918" w:rsidP="00730ECF">
            <w:pPr>
              <w:jc w:val="center"/>
              <w:rPr>
                <w:rFonts w:eastAsia="Times New Roman" w:cstheme="minorHAnsi"/>
                <w:b/>
                <w:bCs/>
                <w:color w:val="000000"/>
              </w:rPr>
            </w:pPr>
            <w:r>
              <w:rPr>
                <w:rFonts w:eastAsia="Times New Roman" w:cstheme="minorHAnsi"/>
                <w:b/>
                <w:bCs/>
                <w:color w:val="000000"/>
              </w:rPr>
              <w:t>2024</w:t>
            </w:r>
          </w:p>
        </w:tc>
      </w:tr>
      <w:tr w:rsidR="001B6918" w:rsidRPr="004E6649" w14:paraId="75BD28B7" w14:textId="77777777" w:rsidTr="00730ECF">
        <w:trPr>
          <w:trHeight w:val="324"/>
          <w:jc w:val="center"/>
        </w:trPr>
        <w:tc>
          <w:tcPr>
            <w:tcW w:w="4410" w:type="dxa"/>
            <w:tcBorders>
              <w:top w:val="single" w:sz="12" w:space="0" w:color="000000" w:themeColor="text1"/>
              <w:left w:val="nil"/>
              <w:bottom w:val="nil"/>
              <w:right w:val="nil"/>
            </w:tcBorders>
            <w:shd w:val="clear" w:color="000000" w:fill="FFFFFF"/>
            <w:noWrap/>
            <w:vAlign w:val="bottom"/>
            <w:hideMark/>
          </w:tcPr>
          <w:p w14:paraId="6D92095E" w14:textId="77777777" w:rsidR="001B6918" w:rsidRPr="004E6649" w:rsidRDefault="001B6918" w:rsidP="00730ECF">
            <w:pPr>
              <w:rPr>
                <w:rFonts w:eastAsia="Times New Roman" w:cstheme="minorHAnsi"/>
              </w:rPr>
            </w:pPr>
            <w:r w:rsidRPr="004E6649">
              <w:rPr>
                <w:rFonts w:eastAsia="Times New Roman" w:cstheme="minorHAnsi"/>
              </w:rPr>
              <w:t>Inactive plan participants or beneficiaries currently receiving benefits</w:t>
            </w:r>
          </w:p>
        </w:tc>
        <w:tc>
          <w:tcPr>
            <w:tcW w:w="777" w:type="dxa"/>
            <w:tcBorders>
              <w:top w:val="single" w:sz="12" w:space="0" w:color="000000" w:themeColor="text1"/>
              <w:left w:val="nil"/>
              <w:bottom w:val="nil"/>
              <w:right w:val="nil"/>
            </w:tcBorders>
            <w:shd w:val="clear" w:color="000000" w:fill="FFFFFF"/>
            <w:noWrap/>
            <w:vAlign w:val="bottom"/>
            <w:hideMark/>
          </w:tcPr>
          <w:p w14:paraId="167E55A9" w14:textId="77777777" w:rsidR="001B6918" w:rsidRPr="00994AB2" w:rsidRDefault="001B6918" w:rsidP="00730ECF">
            <w:pPr>
              <w:jc w:val="right"/>
              <w:rPr>
                <w:rFonts w:eastAsia="Times New Roman" w:cstheme="minorHAnsi"/>
              </w:rPr>
            </w:pPr>
            <w:r w:rsidRPr="00A17817">
              <w:rPr>
                <w:rFonts w:eastAsia="Times New Roman" w:cstheme="minorHAnsi"/>
              </w:rPr>
              <w:t>2,193</w:t>
            </w:r>
          </w:p>
        </w:tc>
        <w:tc>
          <w:tcPr>
            <w:tcW w:w="843" w:type="dxa"/>
            <w:tcBorders>
              <w:top w:val="single" w:sz="12" w:space="0" w:color="000000" w:themeColor="text1"/>
              <w:left w:val="nil"/>
              <w:bottom w:val="nil"/>
              <w:right w:val="nil"/>
            </w:tcBorders>
            <w:shd w:val="clear" w:color="auto" w:fill="F2F2F2" w:themeFill="background1" w:themeFillShade="F2"/>
            <w:vAlign w:val="bottom"/>
          </w:tcPr>
          <w:p w14:paraId="07A8E746" w14:textId="77777777" w:rsidR="001B6918" w:rsidRPr="00994AB2" w:rsidRDefault="001B6918" w:rsidP="00730ECF">
            <w:pPr>
              <w:jc w:val="right"/>
              <w:rPr>
                <w:rFonts w:eastAsia="Times New Roman" w:cstheme="minorHAnsi"/>
              </w:rPr>
            </w:pPr>
            <w:r w:rsidRPr="00A17817">
              <w:rPr>
                <w:rFonts w:eastAsia="Times New Roman" w:cstheme="minorHAnsi"/>
              </w:rPr>
              <w:t>2,430</w:t>
            </w:r>
          </w:p>
        </w:tc>
      </w:tr>
      <w:tr w:rsidR="001B6918" w:rsidRPr="004E6649" w14:paraId="62AB94F6" w14:textId="77777777" w:rsidTr="00730ECF">
        <w:trPr>
          <w:trHeight w:val="312"/>
          <w:jc w:val="center"/>
        </w:trPr>
        <w:tc>
          <w:tcPr>
            <w:tcW w:w="4410" w:type="dxa"/>
            <w:tcBorders>
              <w:top w:val="nil"/>
              <w:left w:val="nil"/>
              <w:bottom w:val="single" w:sz="4" w:space="0" w:color="000000" w:themeColor="text1"/>
              <w:right w:val="nil"/>
            </w:tcBorders>
            <w:shd w:val="clear" w:color="000000" w:fill="FFFFFF"/>
            <w:noWrap/>
            <w:vAlign w:val="bottom"/>
            <w:hideMark/>
          </w:tcPr>
          <w:p w14:paraId="74CFEED6" w14:textId="77777777" w:rsidR="001B6918" w:rsidRPr="004E6649" w:rsidRDefault="001B6918" w:rsidP="00730ECF">
            <w:pPr>
              <w:rPr>
                <w:rFonts w:eastAsia="Times New Roman" w:cstheme="minorHAnsi"/>
              </w:rPr>
            </w:pPr>
            <w:r w:rsidRPr="004E6649">
              <w:rPr>
                <w:rFonts w:eastAsia="Times New Roman" w:cstheme="minorHAnsi"/>
              </w:rPr>
              <w:t>Active plan participants</w:t>
            </w:r>
          </w:p>
        </w:tc>
        <w:tc>
          <w:tcPr>
            <w:tcW w:w="777" w:type="dxa"/>
            <w:tcBorders>
              <w:top w:val="nil"/>
              <w:left w:val="nil"/>
              <w:bottom w:val="single" w:sz="4" w:space="0" w:color="000000" w:themeColor="text1"/>
              <w:right w:val="nil"/>
            </w:tcBorders>
            <w:shd w:val="clear" w:color="000000" w:fill="FFFFFF"/>
            <w:noWrap/>
            <w:vAlign w:val="bottom"/>
            <w:hideMark/>
          </w:tcPr>
          <w:p w14:paraId="680A7968" w14:textId="77777777" w:rsidR="001B6918" w:rsidRPr="00994AB2" w:rsidRDefault="001B6918" w:rsidP="00730ECF">
            <w:pPr>
              <w:jc w:val="right"/>
              <w:rPr>
                <w:rFonts w:eastAsia="Times New Roman" w:cstheme="minorHAnsi"/>
              </w:rPr>
            </w:pPr>
            <w:r w:rsidRPr="00A17817">
              <w:rPr>
                <w:rFonts w:eastAsia="Times New Roman" w:cstheme="minorHAnsi"/>
              </w:rPr>
              <w:t>4,003</w:t>
            </w:r>
          </w:p>
        </w:tc>
        <w:tc>
          <w:tcPr>
            <w:tcW w:w="843" w:type="dxa"/>
            <w:tcBorders>
              <w:top w:val="nil"/>
              <w:left w:val="nil"/>
              <w:bottom w:val="single" w:sz="4" w:space="0" w:color="000000" w:themeColor="text1"/>
              <w:right w:val="nil"/>
            </w:tcBorders>
            <w:shd w:val="clear" w:color="auto" w:fill="F2F2F2" w:themeFill="background1" w:themeFillShade="F2"/>
            <w:vAlign w:val="bottom"/>
          </w:tcPr>
          <w:p w14:paraId="74E079BF" w14:textId="77777777" w:rsidR="001B6918" w:rsidRPr="00994AB2" w:rsidRDefault="001B6918" w:rsidP="00730ECF">
            <w:pPr>
              <w:jc w:val="right"/>
              <w:rPr>
                <w:rFonts w:eastAsia="Times New Roman" w:cstheme="minorHAnsi"/>
              </w:rPr>
            </w:pPr>
            <w:r w:rsidRPr="00A17817">
              <w:rPr>
                <w:rFonts w:eastAsia="Times New Roman" w:cstheme="minorHAnsi"/>
              </w:rPr>
              <w:t>3,970</w:t>
            </w:r>
          </w:p>
        </w:tc>
      </w:tr>
      <w:tr w:rsidR="001B6918" w:rsidRPr="004E6649" w14:paraId="5EBB53A3" w14:textId="77777777" w:rsidTr="00730ECF">
        <w:trPr>
          <w:trHeight w:val="324"/>
          <w:jc w:val="center"/>
        </w:trPr>
        <w:tc>
          <w:tcPr>
            <w:tcW w:w="4410" w:type="dxa"/>
            <w:tcBorders>
              <w:top w:val="single" w:sz="4" w:space="0" w:color="000000" w:themeColor="text1"/>
              <w:left w:val="nil"/>
              <w:bottom w:val="single" w:sz="4" w:space="0" w:color="000000" w:themeColor="text1"/>
              <w:right w:val="nil"/>
            </w:tcBorders>
            <w:shd w:val="clear" w:color="000000" w:fill="FFFFFF"/>
            <w:noWrap/>
            <w:vAlign w:val="bottom"/>
          </w:tcPr>
          <w:p w14:paraId="6B7E95E1" w14:textId="77777777" w:rsidR="001B6918" w:rsidRPr="004E6649" w:rsidRDefault="001B6918" w:rsidP="00730ECF">
            <w:pPr>
              <w:rPr>
                <w:rFonts w:eastAsia="Times New Roman" w:cstheme="minorHAnsi"/>
              </w:rPr>
            </w:pPr>
            <w:r w:rsidRPr="004E6649">
              <w:rPr>
                <w:rFonts w:eastAsia="Times New Roman" w:cstheme="minorHAnsi"/>
              </w:rPr>
              <w:t>Total plan participants</w:t>
            </w:r>
          </w:p>
        </w:tc>
        <w:tc>
          <w:tcPr>
            <w:tcW w:w="777" w:type="dxa"/>
            <w:tcBorders>
              <w:top w:val="single" w:sz="4" w:space="0" w:color="000000" w:themeColor="text1"/>
              <w:left w:val="nil"/>
              <w:bottom w:val="single" w:sz="4" w:space="0" w:color="000000" w:themeColor="text1"/>
              <w:right w:val="nil"/>
            </w:tcBorders>
            <w:shd w:val="clear" w:color="000000" w:fill="FFFFFF"/>
            <w:noWrap/>
            <w:vAlign w:val="bottom"/>
          </w:tcPr>
          <w:p w14:paraId="7248C3E2" w14:textId="77777777" w:rsidR="001B6918" w:rsidRPr="00994AB2" w:rsidRDefault="001B6918" w:rsidP="00730ECF">
            <w:pPr>
              <w:jc w:val="right"/>
              <w:rPr>
                <w:rFonts w:eastAsia="Times New Roman" w:cstheme="minorHAnsi"/>
              </w:rPr>
            </w:pPr>
            <w:r w:rsidRPr="00A17817">
              <w:rPr>
                <w:rFonts w:eastAsia="Times New Roman" w:cstheme="minorHAnsi"/>
              </w:rPr>
              <w:t xml:space="preserve">6,196 </w:t>
            </w:r>
          </w:p>
        </w:tc>
        <w:tc>
          <w:tcPr>
            <w:tcW w:w="843" w:type="dxa"/>
            <w:tcBorders>
              <w:top w:val="single" w:sz="4" w:space="0" w:color="000000" w:themeColor="text1"/>
              <w:left w:val="nil"/>
              <w:bottom w:val="single" w:sz="4" w:space="0" w:color="000000" w:themeColor="text1"/>
              <w:right w:val="nil"/>
            </w:tcBorders>
            <w:shd w:val="clear" w:color="auto" w:fill="F2F2F2" w:themeFill="background1" w:themeFillShade="F2"/>
            <w:vAlign w:val="bottom"/>
          </w:tcPr>
          <w:p w14:paraId="6C8FABB6" w14:textId="77777777" w:rsidR="001B6918" w:rsidRPr="00994AB2" w:rsidRDefault="001B6918" w:rsidP="00730ECF">
            <w:pPr>
              <w:jc w:val="right"/>
              <w:rPr>
                <w:rFonts w:eastAsia="Times New Roman" w:cstheme="minorHAnsi"/>
              </w:rPr>
            </w:pPr>
            <w:r w:rsidRPr="00A17817">
              <w:rPr>
                <w:rFonts w:eastAsia="Times New Roman" w:cstheme="minorHAnsi"/>
              </w:rPr>
              <w:t>6,400</w:t>
            </w:r>
          </w:p>
        </w:tc>
      </w:tr>
    </w:tbl>
    <w:p w14:paraId="53846B0E" w14:textId="77777777" w:rsidR="001B6918" w:rsidRPr="004E6649" w:rsidRDefault="001B6918" w:rsidP="001B6918">
      <w:pPr>
        <w:tabs>
          <w:tab w:val="left" w:pos="900"/>
        </w:tabs>
        <w:spacing w:before="240"/>
        <w:ind w:right="-7"/>
        <w:rPr>
          <w:rFonts w:eastAsia="Times New Roman" w:cstheme="minorHAnsi"/>
          <w:spacing w:val="-1"/>
          <w:sz w:val="24"/>
        </w:rPr>
      </w:pPr>
      <w:r w:rsidRPr="004E6649">
        <w:rPr>
          <w:rFonts w:eastAsia="Times New Roman" w:cstheme="minorHAnsi"/>
          <w:b/>
          <w:i/>
          <w:spacing w:val="-1"/>
          <w:sz w:val="24"/>
        </w:rPr>
        <w:t>Contributions:</w:t>
      </w:r>
      <w:r w:rsidRPr="004E6649">
        <w:rPr>
          <w:rFonts w:eastAsia="Times New Roman" w:cstheme="minorHAnsi"/>
          <w:spacing w:val="-1"/>
          <w:sz w:val="24"/>
        </w:rPr>
        <w:t xml:space="preserve"> The System annually makes an actuarially determined contribution to a Trust, based on the results of the most recent actuarial valuation.</w:t>
      </w:r>
    </w:p>
    <w:p w14:paraId="1A0BE5EF" w14:textId="77777777" w:rsidR="001B6918" w:rsidRPr="004E6649" w:rsidRDefault="001B6918" w:rsidP="001B6918">
      <w:pPr>
        <w:rPr>
          <w:rFonts w:cstheme="minorHAnsi"/>
          <w:sz w:val="20"/>
          <w:szCs w:val="20"/>
        </w:rPr>
      </w:pPr>
    </w:p>
    <w:p w14:paraId="5580C03D" w14:textId="77777777" w:rsidR="001B6918" w:rsidRPr="004E6649" w:rsidRDefault="001B6918" w:rsidP="001B6918">
      <w:pPr>
        <w:spacing w:after="160" w:line="259" w:lineRule="auto"/>
        <w:rPr>
          <w:rFonts w:eastAsiaTheme="majorEastAsia" w:cstheme="minorHAnsi"/>
          <w:b/>
          <w:i/>
          <w:iCs/>
          <w:smallCaps/>
          <w:noProof/>
          <w:color w:val="000000" w:themeColor="text1"/>
          <w:sz w:val="26"/>
          <w:szCs w:val="26"/>
          <w:u w:color="5B9BD5"/>
        </w:rPr>
      </w:pPr>
      <w:r w:rsidRPr="004E6649">
        <w:rPr>
          <w:rFonts w:eastAsia="Times New Roman" w:cstheme="minorHAnsi"/>
          <w:spacing w:val="-1"/>
          <w:sz w:val="24"/>
        </w:rPr>
        <w:t>Funding the OPEB Plan over the long-term allows the System to smooth market impacts and limit contribution volatility. The required contribution amount will be re-determined with each actuarial valuation as market performance, experience, assumptions, and other factors will impact the funding needed.</w:t>
      </w:r>
    </w:p>
    <w:p w14:paraId="475BC9C3" w14:textId="77777777" w:rsidR="001B6918" w:rsidRPr="004E6649" w:rsidRDefault="001B6918" w:rsidP="001B6918">
      <w:pPr>
        <w:tabs>
          <w:tab w:val="left" w:pos="900"/>
        </w:tabs>
        <w:spacing w:after="160"/>
        <w:ind w:right="-7"/>
        <w:rPr>
          <w:rFonts w:eastAsia="Times New Roman" w:cstheme="minorHAnsi"/>
          <w:b/>
          <w:sz w:val="24"/>
          <w:szCs w:val="24"/>
        </w:rPr>
      </w:pPr>
      <w:r w:rsidRPr="004E6649">
        <w:rPr>
          <w:rFonts w:eastAsia="Times New Roman" w:cstheme="minorHAnsi"/>
          <w:b/>
          <w:sz w:val="24"/>
          <w:szCs w:val="24"/>
        </w:rPr>
        <w:t>Plan Investments</w:t>
      </w:r>
    </w:p>
    <w:p w14:paraId="2758235F" w14:textId="77777777" w:rsidR="001B6918" w:rsidRPr="004E6649" w:rsidRDefault="001B6918" w:rsidP="001B6918">
      <w:pPr>
        <w:tabs>
          <w:tab w:val="left" w:pos="900"/>
        </w:tabs>
        <w:ind w:right="-7"/>
        <w:rPr>
          <w:rFonts w:eastAsia="Times New Roman" w:cstheme="minorHAnsi"/>
          <w:spacing w:val="-1"/>
          <w:sz w:val="24"/>
        </w:rPr>
      </w:pPr>
      <w:r w:rsidRPr="004E6649">
        <w:rPr>
          <w:rFonts w:eastAsia="Times New Roman" w:cstheme="minorHAnsi"/>
          <w:spacing w:val="-1"/>
          <w:sz w:val="24"/>
        </w:rPr>
        <w:t>Assets of the OPEB Plan are invested in the System’s Managed Investment Pool. See Notes 1f and 3 for more information on the MIP which includes this OPEB Trust with balances as reported below as Fiduciary net position.</w:t>
      </w:r>
    </w:p>
    <w:p w14:paraId="7B51ABB4" w14:textId="77777777" w:rsidR="001B6918" w:rsidRPr="004E6649" w:rsidRDefault="001B6918" w:rsidP="001B6918">
      <w:pPr>
        <w:tabs>
          <w:tab w:val="left" w:pos="900"/>
        </w:tabs>
        <w:ind w:right="-7"/>
        <w:rPr>
          <w:rFonts w:eastAsia="Times New Roman" w:cstheme="minorHAnsi"/>
          <w:bCs/>
        </w:rPr>
      </w:pPr>
    </w:p>
    <w:p w14:paraId="07352170" w14:textId="77777777" w:rsidR="001B6918" w:rsidRPr="004E6649" w:rsidRDefault="001B6918" w:rsidP="001B6918">
      <w:pPr>
        <w:tabs>
          <w:tab w:val="left" w:pos="900"/>
        </w:tabs>
        <w:spacing w:after="160"/>
        <w:ind w:right="-7"/>
        <w:rPr>
          <w:rFonts w:eastAsia="Times New Roman" w:cstheme="minorHAnsi"/>
          <w:b/>
          <w:sz w:val="24"/>
          <w:szCs w:val="24"/>
        </w:rPr>
      </w:pPr>
      <w:r w:rsidRPr="004E6649">
        <w:rPr>
          <w:rFonts w:eastAsia="Times New Roman" w:cstheme="minorHAnsi"/>
          <w:b/>
          <w:sz w:val="24"/>
          <w:szCs w:val="24"/>
        </w:rPr>
        <w:t>Net OPEB Liability</w:t>
      </w:r>
    </w:p>
    <w:p w14:paraId="1C5081B5" w14:textId="77777777" w:rsidR="001B6918" w:rsidRPr="004E6649" w:rsidRDefault="001B6918" w:rsidP="001B6918">
      <w:pPr>
        <w:tabs>
          <w:tab w:val="left" w:pos="900"/>
        </w:tabs>
        <w:spacing w:after="240"/>
        <w:ind w:right="-7"/>
        <w:rPr>
          <w:rFonts w:eastAsia="Times New Roman" w:cstheme="minorHAnsi"/>
          <w:spacing w:val="-1"/>
          <w:sz w:val="24"/>
        </w:rPr>
      </w:pPr>
      <w:r w:rsidRPr="004E6649">
        <w:rPr>
          <w:rFonts w:eastAsia="Times New Roman" w:cstheme="minorHAnsi"/>
          <w:spacing w:val="-1"/>
          <w:sz w:val="24"/>
        </w:rPr>
        <w:t xml:space="preserve">The components of the net OPEB liability </w:t>
      </w:r>
      <w:proofErr w:type="gramStart"/>
      <w:r w:rsidRPr="004E6649">
        <w:rPr>
          <w:rFonts w:eastAsia="Times New Roman" w:cstheme="minorHAnsi"/>
          <w:spacing w:val="-1"/>
          <w:sz w:val="24"/>
        </w:rPr>
        <w:t>at</w:t>
      </w:r>
      <w:proofErr w:type="gramEnd"/>
      <w:r w:rsidRPr="004E6649">
        <w:rPr>
          <w:rFonts w:eastAsia="Times New Roman" w:cstheme="minorHAnsi"/>
          <w:spacing w:val="-1"/>
          <w:sz w:val="24"/>
        </w:rPr>
        <w:t xml:space="preserve"> June 30 were as follows:</w:t>
      </w:r>
      <w:r w:rsidRPr="004E6649">
        <w:rPr>
          <w:rFonts w:eastAsia="Times New Roman" w:cstheme="minorHAnsi"/>
          <w:spacing w:val="-1"/>
          <w:sz w:val="24"/>
        </w:rPr>
        <w:fldChar w:fldCharType="begin"/>
      </w:r>
      <w:r w:rsidRPr="004E6649">
        <w:rPr>
          <w:rFonts w:eastAsia="Times New Roman" w:cstheme="minorHAnsi"/>
          <w:spacing w:val="-1"/>
          <w:sz w:val="24"/>
        </w:rPr>
        <w:fldChar w:fldCharType="end"/>
      </w:r>
    </w:p>
    <w:tbl>
      <w:tblPr>
        <w:tblW w:w="7020" w:type="dxa"/>
        <w:jc w:val="center"/>
        <w:tblLook w:val="04A0" w:firstRow="1" w:lastRow="0" w:firstColumn="1" w:lastColumn="0" w:noHBand="0" w:noVBand="1"/>
      </w:tblPr>
      <w:tblGrid>
        <w:gridCol w:w="3960"/>
        <w:gridCol w:w="1530"/>
        <w:gridCol w:w="1530"/>
      </w:tblGrid>
      <w:tr w:rsidR="001B6918" w:rsidRPr="004E6649" w14:paraId="3CA7080E" w14:textId="77777777" w:rsidTr="00730ECF">
        <w:trPr>
          <w:trHeight w:val="324"/>
          <w:tblHeader/>
          <w:jc w:val="center"/>
        </w:trPr>
        <w:tc>
          <w:tcPr>
            <w:tcW w:w="3960" w:type="dxa"/>
            <w:tcBorders>
              <w:top w:val="nil"/>
              <w:left w:val="nil"/>
              <w:bottom w:val="single" w:sz="12" w:space="0" w:color="000000" w:themeColor="text1"/>
              <w:right w:val="nil"/>
            </w:tcBorders>
            <w:shd w:val="clear" w:color="000000" w:fill="FFFFFF"/>
            <w:noWrap/>
            <w:vAlign w:val="bottom"/>
            <w:hideMark/>
          </w:tcPr>
          <w:p w14:paraId="578CC32F" w14:textId="77777777" w:rsidR="001B6918" w:rsidRPr="004E6649" w:rsidRDefault="001B6918" w:rsidP="00730ECF">
            <w:pPr>
              <w:rPr>
                <w:rFonts w:eastAsia="Times New Roman" w:cstheme="minorHAnsi"/>
                <w:b/>
                <w:bCs/>
                <w:color w:val="0D0D0D"/>
              </w:rPr>
            </w:pPr>
            <w:r w:rsidRPr="004E6649">
              <w:rPr>
                <w:rFonts w:eastAsia="Times New Roman" w:cstheme="minorHAnsi"/>
                <w:b/>
                <w:bCs/>
                <w:color w:val="0D0D0D"/>
              </w:rPr>
              <w:t> </w:t>
            </w:r>
          </w:p>
        </w:tc>
        <w:tc>
          <w:tcPr>
            <w:tcW w:w="1530" w:type="dxa"/>
            <w:tcBorders>
              <w:top w:val="nil"/>
              <w:left w:val="nil"/>
              <w:bottom w:val="single" w:sz="12" w:space="0" w:color="000000" w:themeColor="text1"/>
              <w:right w:val="nil"/>
            </w:tcBorders>
            <w:shd w:val="clear" w:color="000000" w:fill="FFFFFF"/>
            <w:noWrap/>
            <w:vAlign w:val="bottom"/>
            <w:hideMark/>
          </w:tcPr>
          <w:p w14:paraId="4E28D863"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202</w:t>
            </w:r>
            <w:r>
              <w:rPr>
                <w:rFonts w:eastAsia="Times New Roman" w:cstheme="minorHAnsi"/>
                <w:b/>
                <w:bCs/>
                <w:color w:val="0D0D0D"/>
              </w:rPr>
              <w:t>5</w:t>
            </w:r>
          </w:p>
        </w:tc>
        <w:tc>
          <w:tcPr>
            <w:tcW w:w="1530" w:type="dxa"/>
            <w:tcBorders>
              <w:top w:val="nil"/>
              <w:left w:val="nil"/>
              <w:bottom w:val="single" w:sz="12" w:space="0" w:color="000000" w:themeColor="text1"/>
              <w:right w:val="nil"/>
            </w:tcBorders>
            <w:shd w:val="clear" w:color="auto" w:fill="F2F2F2" w:themeFill="background1" w:themeFillShade="F2"/>
            <w:noWrap/>
            <w:vAlign w:val="bottom"/>
            <w:hideMark/>
          </w:tcPr>
          <w:p w14:paraId="1002208A"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202</w:t>
            </w:r>
            <w:r>
              <w:rPr>
                <w:rFonts w:eastAsia="Times New Roman" w:cstheme="minorHAnsi"/>
                <w:b/>
                <w:bCs/>
                <w:color w:val="0D0D0D"/>
              </w:rPr>
              <w:t>4</w:t>
            </w:r>
          </w:p>
        </w:tc>
      </w:tr>
      <w:tr w:rsidR="001B6918" w:rsidRPr="004E6649" w14:paraId="31DD9CAA" w14:textId="77777777" w:rsidTr="00730ECF">
        <w:trPr>
          <w:trHeight w:val="324"/>
          <w:jc w:val="center"/>
        </w:trPr>
        <w:tc>
          <w:tcPr>
            <w:tcW w:w="3960" w:type="dxa"/>
            <w:tcBorders>
              <w:top w:val="single" w:sz="12" w:space="0" w:color="000000" w:themeColor="text1"/>
              <w:left w:val="nil"/>
              <w:bottom w:val="nil"/>
              <w:right w:val="nil"/>
            </w:tcBorders>
            <w:shd w:val="clear" w:color="000000" w:fill="FFFFFF"/>
            <w:noWrap/>
            <w:vAlign w:val="bottom"/>
            <w:hideMark/>
          </w:tcPr>
          <w:p w14:paraId="6EECC438"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Total OPEB liability</w:t>
            </w:r>
          </w:p>
        </w:tc>
        <w:tc>
          <w:tcPr>
            <w:tcW w:w="1530" w:type="dxa"/>
            <w:tcBorders>
              <w:top w:val="single" w:sz="12" w:space="0" w:color="000000" w:themeColor="text1"/>
              <w:left w:val="nil"/>
              <w:bottom w:val="nil"/>
              <w:right w:val="nil"/>
            </w:tcBorders>
            <w:shd w:val="clear" w:color="000000" w:fill="FFFFFF"/>
            <w:noWrap/>
            <w:vAlign w:val="bottom"/>
            <w:hideMark/>
          </w:tcPr>
          <w:p w14:paraId="0C308EF5" w14:textId="77777777" w:rsidR="001B6918" w:rsidRPr="00994AB2" w:rsidRDefault="001B6918" w:rsidP="00730ECF">
            <w:pPr>
              <w:jc w:val="right"/>
              <w:rPr>
                <w:rFonts w:eastAsia="Times New Roman" w:cstheme="minorHAnsi"/>
              </w:rPr>
            </w:pPr>
            <w:r w:rsidRPr="00A17817">
              <w:rPr>
                <w:rFonts w:cstheme="minorHAnsi"/>
              </w:rPr>
              <w:t>$174,426</w:t>
            </w:r>
          </w:p>
        </w:tc>
        <w:tc>
          <w:tcPr>
            <w:tcW w:w="1530" w:type="dxa"/>
            <w:tcBorders>
              <w:top w:val="single" w:sz="12" w:space="0" w:color="000000" w:themeColor="text1"/>
              <w:left w:val="nil"/>
              <w:bottom w:val="nil"/>
              <w:right w:val="nil"/>
            </w:tcBorders>
            <w:shd w:val="clear" w:color="auto" w:fill="F2F2F2" w:themeFill="background1" w:themeFillShade="F2"/>
            <w:noWrap/>
            <w:vAlign w:val="bottom"/>
            <w:hideMark/>
          </w:tcPr>
          <w:p w14:paraId="3DE91529" w14:textId="77777777" w:rsidR="001B6918" w:rsidRPr="004E6649" w:rsidRDefault="001B6918" w:rsidP="00730ECF">
            <w:pPr>
              <w:jc w:val="right"/>
              <w:rPr>
                <w:rFonts w:eastAsia="Times New Roman" w:cstheme="minorHAnsi"/>
                <w:color w:val="0D0D0D"/>
              </w:rPr>
            </w:pPr>
            <w:r w:rsidRPr="004E6649">
              <w:rPr>
                <w:rFonts w:cstheme="minorHAnsi"/>
              </w:rPr>
              <w:t xml:space="preserve"> $</w:t>
            </w:r>
            <w:r w:rsidRPr="007E6F83">
              <w:rPr>
                <w:rFonts w:cstheme="minorHAnsi"/>
              </w:rPr>
              <w:t>161,558</w:t>
            </w:r>
          </w:p>
        </w:tc>
      </w:tr>
      <w:tr w:rsidR="001B6918" w:rsidRPr="004E6649" w14:paraId="6745DD0D" w14:textId="77777777" w:rsidTr="00730ECF">
        <w:trPr>
          <w:trHeight w:val="312"/>
          <w:jc w:val="center"/>
        </w:trPr>
        <w:tc>
          <w:tcPr>
            <w:tcW w:w="3960" w:type="dxa"/>
            <w:tcBorders>
              <w:top w:val="nil"/>
              <w:left w:val="nil"/>
              <w:bottom w:val="single" w:sz="4" w:space="0" w:color="000000" w:themeColor="text1"/>
              <w:right w:val="nil"/>
            </w:tcBorders>
            <w:shd w:val="clear" w:color="000000" w:fill="FFFFFF"/>
            <w:noWrap/>
            <w:vAlign w:val="bottom"/>
            <w:hideMark/>
          </w:tcPr>
          <w:p w14:paraId="1DCFE646"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Fiduciary net position</w:t>
            </w:r>
          </w:p>
        </w:tc>
        <w:tc>
          <w:tcPr>
            <w:tcW w:w="1530" w:type="dxa"/>
            <w:tcBorders>
              <w:top w:val="nil"/>
              <w:left w:val="nil"/>
              <w:bottom w:val="single" w:sz="4" w:space="0" w:color="000000" w:themeColor="text1"/>
              <w:right w:val="nil"/>
            </w:tcBorders>
            <w:shd w:val="clear" w:color="000000" w:fill="FFFFFF"/>
            <w:noWrap/>
            <w:vAlign w:val="bottom"/>
            <w:hideMark/>
          </w:tcPr>
          <w:p w14:paraId="4BC1CDF7" w14:textId="77777777" w:rsidR="001B6918" w:rsidRPr="00994AB2" w:rsidRDefault="001B6918" w:rsidP="00730ECF">
            <w:pPr>
              <w:jc w:val="right"/>
              <w:rPr>
                <w:rFonts w:eastAsia="Times New Roman" w:cstheme="minorHAnsi"/>
              </w:rPr>
            </w:pPr>
            <w:r w:rsidRPr="00A17817">
              <w:rPr>
                <w:rFonts w:cstheme="minorHAnsi"/>
              </w:rPr>
              <w:t>(215,091)</w:t>
            </w:r>
          </w:p>
        </w:tc>
        <w:tc>
          <w:tcPr>
            <w:tcW w:w="1530" w:type="dxa"/>
            <w:tcBorders>
              <w:top w:val="nil"/>
              <w:left w:val="nil"/>
              <w:bottom w:val="single" w:sz="4" w:space="0" w:color="000000" w:themeColor="text1"/>
              <w:right w:val="nil"/>
            </w:tcBorders>
            <w:shd w:val="clear" w:color="auto" w:fill="F2F2F2" w:themeFill="background1" w:themeFillShade="F2"/>
            <w:noWrap/>
            <w:vAlign w:val="bottom"/>
            <w:hideMark/>
          </w:tcPr>
          <w:p w14:paraId="650761F5" w14:textId="77777777" w:rsidR="001B6918" w:rsidRPr="004E6649" w:rsidRDefault="001B6918" w:rsidP="00730ECF">
            <w:pPr>
              <w:jc w:val="right"/>
              <w:rPr>
                <w:rFonts w:eastAsia="Times New Roman" w:cstheme="minorHAnsi"/>
                <w:color w:val="0D0D0D"/>
              </w:rPr>
            </w:pPr>
            <w:r w:rsidRPr="004E6649">
              <w:rPr>
                <w:rFonts w:cstheme="minorHAnsi"/>
              </w:rPr>
              <w:t xml:space="preserve"> (</w:t>
            </w:r>
            <w:r>
              <w:rPr>
                <w:rFonts w:cstheme="minorHAnsi"/>
              </w:rPr>
              <w:t>195,991</w:t>
            </w:r>
            <w:r w:rsidRPr="004E6649">
              <w:rPr>
                <w:rFonts w:cstheme="minorHAnsi"/>
              </w:rPr>
              <w:t>)</w:t>
            </w:r>
          </w:p>
        </w:tc>
      </w:tr>
      <w:tr w:rsidR="001B6918" w:rsidRPr="004E6649" w14:paraId="2EAE0BF3" w14:textId="77777777" w:rsidTr="00730ECF">
        <w:trPr>
          <w:trHeight w:val="324"/>
          <w:jc w:val="center"/>
        </w:trPr>
        <w:tc>
          <w:tcPr>
            <w:tcW w:w="3960" w:type="dxa"/>
            <w:tcBorders>
              <w:top w:val="single" w:sz="4" w:space="0" w:color="000000" w:themeColor="text1"/>
              <w:left w:val="nil"/>
              <w:bottom w:val="double" w:sz="4" w:space="0" w:color="000000" w:themeColor="text1"/>
              <w:right w:val="nil"/>
            </w:tcBorders>
            <w:shd w:val="clear" w:color="000000" w:fill="FFFFFF"/>
            <w:noWrap/>
            <w:vAlign w:val="bottom"/>
            <w:hideMark/>
          </w:tcPr>
          <w:p w14:paraId="7E3E2EE2" w14:textId="721EC0B1" w:rsidR="001B6918" w:rsidRPr="004E6649" w:rsidRDefault="001B6918" w:rsidP="00730ECF">
            <w:pPr>
              <w:rPr>
                <w:rFonts w:eastAsia="Times New Roman" w:cstheme="minorHAnsi"/>
                <w:color w:val="0D0D0D"/>
              </w:rPr>
            </w:pPr>
            <w:r w:rsidRPr="004E6649">
              <w:rPr>
                <w:rFonts w:eastAsia="Times New Roman" w:cstheme="minorHAnsi"/>
                <w:color w:val="0D0D0D"/>
              </w:rPr>
              <w:t>Net OPEB asset</w:t>
            </w:r>
          </w:p>
        </w:tc>
        <w:tc>
          <w:tcPr>
            <w:tcW w:w="1530" w:type="dxa"/>
            <w:tcBorders>
              <w:top w:val="single" w:sz="4" w:space="0" w:color="000000" w:themeColor="text1"/>
              <w:left w:val="nil"/>
              <w:bottom w:val="double" w:sz="4" w:space="0" w:color="000000" w:themeColor="text1"/>
              <w:right w:val="nil"/>
            </w:tcBorders>
            <w:shd w:val="clear" w:color="000000" w:fill="FFFFFF"/>
            <w:noWrap/>
            <w:vAlign w:val="bottom"/>
            <w:hideMark/>
          </w:tcPr>
          <w:p w14:paraId="32999B46" w14:textId="77777777" w:rsidR="001B6918" w:rsidRPr="00994AB2" w:rsidRDefault="001B6918" w:rsidP="00730ECF">
            <w:pPr>
              <w:jc w:val="right"/>
              <w:rPr>
                <w:rFonts w:eastAsia="Times New Roman" w:cstheme="minorHAnsi"/>
              </w:rPr>
            </w:pPr>
            <w:r w:rsidRPr="00A17817">
              <w:rPr>
                <w:rFonts w:cstheme="minorHAnsi"/>
              </w:rPr>
              <w:t>$(40,665)</w:t>
            </w:r>
          </w:p>
        </w:tc>
        <w:tc>
          <w:tcPr>
            <w:tcW w:w="1530" w:type="dxa"/>
            <w:tcBorders>
              <w:top w:val="single" w:sz="4" w:space="0" w:color="000000" w:themeColor="text1"/>
              <w:left w:val="nil"/>
              <w:bottom w:val="double" w:sz="4" w:space="0" w:color="000000" w:themeColor="text1"/>
              <w:right w:val="nil"/>
            </w:tcBorders>
            <w:shd w:val="clear" w:color="auto" w:fill="F2F2F2" w:themeFill="background1" w:themeFillShade="F2"/>
            <w:noWrap/>
            <w:vAlign w:val="bottom"/>
            <w:hideMark/>
          </w:tcPr>
          <w:p w14:paraId="49E699FB" w14:textId="77777777" w:rsidR="001B6918" w:rsidRPr="004E6649" w:rsidRDefault="001B6918" w:rsidP="00730ECF">
            <w:pPr>
              <w:jc w:val="right"/>
              <w:rPr>
                <w:rFonts w:eastAsia="Times New Roman" w:cstheme="minorHAnsi"/>
                <w:color w:val="0D0D0D"/>
              </w:rPr>
            </w:pPr>
            <w:r w:rsidRPr="004E6649">
              <w:rPr>
                <w:rFonts w:cstheme="minorHAnsi"/>
              </w:rPr>
              <w:t xml:space="preserve"> $(</w:t>
            </w:r>
            <w:r>
              <w:rPr>
                <w:rFonts w:cstheme="minorHAnsi"/>
              </w:rPr>
              <w:t>34,433</w:t>
            </w:r>
            <w:r w:rsidRPr="004E6649">
              <w:rPr>
                <w:rFonts w:cstheme="minorHAnsi"/>
              </w:rPr>
              <w:t>)</w:t>
            </w:r>
          </w:p>
        </w:tc>
      </w:tr>
      <w:tr w:rsidR="001B6918" w:rsidRPr="004E6649" w14:paraId="5061B23A" w14:textId="77777777" w:rsidTr="00730ECF">
        <w:trPr>
          <w:trHeight w:val="336"/>
          <w:jc w:val="center"/>
        </w:trPr>
        <w:tc>
          <w:tcPr>
            <w:tcW w:w="3960" w:type="dxa"/>
            <w:tcBorders>
              <w:top w:val="double" w:sz="4" w:space="0" w:color="000000" w:themeColor="text1"/>
              <w:left w:val="nil"/>
              <w:bottom w:val="single" w:sz="8" w:space="0" w:color="44546A"/>
              <w:right w:val="nil"/>
            </w:tcBorders>
            <w:shd w:val="clear" w:color="000000" w:fill="FFFFFF"/>
            <w:vAlign w:val="bottom"/>
            <w:hideMark/>
          </w:tcPr>
          <w:p w14:paraId="660D33FB"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Fiduciary net position as a percentage of the total OPEB liability</w:t>
            </w:r>
          </w:p>
        </w:tc>
        <w:tc>
          <w:tcPr>
            <w:tcW w:w="1530" w:type="dxa"/>
            <w:tcBorders>
              <w:top w:val="double" w:sz="4" w:space="0" w:color="000000" w:themeColor="text1"/>
              <w:left w:val="nil"/>
              <w:bottom w:val="single" w:sz="8" w:space="0" w:color="44546A"/>
              <w:right w:val="nil"/>
            </w:tcBorders>
            <w:shd w:val="clear" w:color="000000" w:fill="FFFFFF"/>
            <w:noWrap/>
            <w:vAlign w:val="bottom"/>
            <w:hideMark/>
          </w:tcPr>
          <w:p w14:paraId="239001B2" w14:textId="77777777" w:rsidR="001B6918" w:rsidRPr="00A17817" w:rsidRDefault="001B6918" w:rsidP="00730ECF">
            <w:pPr>
              <w:jc w:val="right"/>
              <w:rPr>
                <w:rFonts w:cstheme="minorHAnsi"/>
              </w:rPr>
            </w:pPr>
            <w:r w:rsidRPr="00A17817">
              <w:rPr>
                <w:rFonts w:cstheme="minorHAnsi"/>
              </w:rPr>
              <w:t>123.31</w:t>
            </w:r>
            <w:r w:rsidRPr="00994AB2">
              <w:rPr>
                <w:rFonts w:cstheme="minorHAnsi"/>
              </w:rPr>
              <w:t>%</w:t>
            </w:r>
          </w:p>
        </w:tc>
        <w:tc>
          <w:tcPr>
            <w:tcW w:w="1530" w:type="dxa"/>
            <w:tcBorders>
              <w:top w:val="double" w:sz="4" w:space="0" w:color="000000" w:themeColor="text1"/>
              <w:left w:val="nil"/>
              <w:bottom w:val="single" w:sz="8" w:space="0" w:color="44546A"/>
              <w:right w:val="nil"/>
            </w:tcBorders>
            <w:shd w:val="clear" w:color="auto" w:fill="F2F2F2" w:themeFill="background1" w:themeFillShade="F2"/>
            <w:noWrap/>
            <w:vAlign w:val="bottom"/>
            <w:hideMark/>
          </w:tcPr>
          <w:p w14:paraId="669DD783" w14:textId="77777777" w:rsidR="001B6918" w:rsidRPr="004E6649" w:rsidRDefault="001B6918" w:rsidP="00730ECF">
            <w:pPr>
              <w:jc w:val="right"/>
              <w:rPr>
                <w:rFonts w:eastAsia="Times New Roman" w:cstheme="minorHAnsi"/>
                <w:color w:val="0D0D0D"/>
              </w:rPr>
            </w:pPr>
            <w:r>
              <w:rPr>
                <w:rFonts w:cstheme="minorHAnsi"/>
              </w:rPr>
              <w:t>121.31</w:t>
            </w:r>
            <w:r w:rsidRPr="004E6649">
              <w:rPr>
                <w:rFonts w:cstheme="minorHAnsi"/>
              </w:rPr>
              <w:t>%</w:t>
            </w:r>
          </w:p>
        </w:tc>
      </w:tr>
    </w:tbl>
    <w:p w14:paraId="4EFF3BA7" w14:textId="77777777" w:rsidR="001B6918" w:rsidRPr="004E6649" w:rsidRDefault="001B6918" w:rsidP="001B6918">
      <w:pPr>
        <w:spacing w:after="160" w:line="259" w:lineRule="auto"/>
        <w:rPr>
          <w:rFonts w:eastAsia="Times New Roman" w:cstheme="minorHAnsi"/>
          <w:b/>
          <w:i/>
          <w:spacing w:val="-1"/>
          <w:sz w:val="24"/>
        </w:rPr>
      </w:pPr>
      <w:r w:rsidRPr="004E6649">
        <w:rPr>
          <w:rFonts w:eastAsia="Times New Roman" w:cstheme="minorHAnsi"/>
          <w:b/>
          <w:i/>
          <w:spacing w:val="-1"/>
          <w:sz w:val="24"/>
        </w:rPr>
        <w:br w:type="page"/>
      </w:r>
    </w:p>
    <w:p w14:paraId="30A054AE" w14:textId="77777777" w:rsidR="001B6918" w:rsidRPr="00A02D27" w:rsidRDefault="001B6918" w:rsidP="001B6918">
      <w:pPr>
        <w:spacing w:after="160"/>
        <w:rPr>
          <w:rFonts w:eastAsiaTheme="majorEastAsia" w:cstheme="minorHAnsi"/>
          <w:b/>
          <w:i/>
          <w:iCs/>
          <w:smallCaps/>
          <w:noProof/>
          <w:color w:val="000000" w:themeColor="text1"/>
          <w:sz w:val="24"/>
          <w:szCs w:val="24"/>
          <w:u w:color="5B9BD5"/>
        </w:rPr>
      </w:pPr>
      <w:r w:rsidRPr="00A02D27">
        <w:rPr>
          <w:rFonts w:eastAsiaTheme="majorEastAsia" w:cstheme="minorHAnsi"/>
          <w:b/>
          <w:i/>
          <w:iCs/>
          <w:smallCaps/>
          <w:noProof/>
          <w:color w:val="000000" w:themeColor="text1"/>
          <w:sz w:val="24"/>
          <w:szCs w:val="24"/>
          <w:u w:color="5B9BD5"/>
        </w:rPr>
        <w:lastRenderedPageBreak/>
        <w:t>14. POSTEMPLOYMENT HEALTH PLAN - CONTINUED</w:t>
      </w:r>
    </w:p>
    <w:p w14:paraId="11DD56FA" w14:textId="77777777" w:rsidR="001B6918" w:rsidRPr="004E6649" w:rsidRDefault="001B6918" w:rsidP="001B6918">
      <w:pPr>
        <w:tabs>
          <w:tab w:val="left" w:pos="900"/>
        </w:tabs>
        <w:spacing w:before="240" w:after="120"/>
        <w:ind w:right="-7"/>
        <w:rPr>
          <w:rFonts w:eastAsia="Times New Roman" w:cstheme="minorHAnsi"/>
          <w:spacing w:val="-1"/>
          <w:sz w:val="24"/>
        </w:rPr>
      </w:pPr>
      <w:r w:rsidRPr="004E6649">
        <w:rPr>
          <w:rFonts w:eastAsia="Times New Roman" w:cstheme="minorHAnsi"/>
          <w:b/>
          <w:i/>
          <w:spacing w:val="-1"/>
          <w:sz w:val="24"/>
        </w:rPr>
        <w:t>Actuarial Assumptions:</w:t>
      </w:r>
      <w:r w:rsidRPr="004E6649">
        <w:rPr>
          <w:rFonts w:eastAsia="Franklin Gothic Book" w:cstheme="minorHAnsi"/>
          <w:spacing w:val="-1"/>
          <w:sz w:val="24"/>
        </w:rPr>
        <w:t xml:space="preserve"> </w:t>
      </w:r>
      <w:r w:rsidRPr="004E6649">
        <w:rPr>
          <w:rFonts w:eastAsia="Times New Roman" w:cstheme="minorHAnsi"/>
          <w:spacing w:val="-1"/>
          <w:sz w:val="24"/>
        </w:rPr>
        <w:t xml:space="preserve">The total OPEB liability as of </w:t>
      </w:r>
      <w:r w:rsidRPr="004E6649">
        <w:rPr>
          <w:rFonts w:eastAsia="Franklin Gothic Book" w:cstheme="minorHAnsi"/>
          <w:spacing w:val="-1"/>
          <w:sz w:val="24"/>
        </w:rPr>
        <w:t>June 30, 202</w:t>
      </w:r>
      <w:r>
        <w:rPr>
          <w:rFonts w:eastAsia="Franklin Gothic Book" w:cstheme="minorHAnsi"/>
          <w:spacing w:val="-1"/>
          <w:sz w:val="24"/>
        </w:rPr>
        <w:t>5 and 2024</w:t>
      </w:r>
      <w:r w:rsidRPr="004E6649">
        <w:rPr>
          <w:rFonts w:eastAsia="Franklin Gothic Book" w:cstheme="minorHAnsi"/>
          <w:spacing w:val="-1"/>
          <w:sz w:val="24"/>
        </w:rPr>
        <w:t xml:space="preserve"> was determined by an actuarial valuation as of July 1, 202</w:t>
      </w:r>
      <w:r>
        <w:rPr>
          <w:rFonts w:eastAsia="Franklin Gothic Book" w:cstheme="minorHAnsi"/>
          <w:spacing w:val="-1"/>
          <w:sz w:val="24"/>
        </w:rPr>
        <w:t>5 and as of July 1, 2023 rolled forward to the measurement date of June 30, 2024, respectively, using the following actuarial</w:t>
      </w:r>
      <w:r w:rsidRPr="004E6649">
        <w:rPr>
          <w:rFonts w:eastAsia="Franklin Gothic Book" w:cstheme="minorHAnsi"/>
          <w:spacing w:val="-1"/>
          <w:sz w:val="24"/>
        </w:rPr>
        <w:t xml:space="preserve"> assumptions, applied to all periods included in the measurement.</w:t>
      </w:r>
    </w:p>
    <w:tbl>
      <w:tblPr>
        <w:tblStyle w:val="TableGrid"/>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6570"/>
      </w:tblGrid>
      <w:tr w:rsidR="001B6918" w:rsidRPr="004E6649" w14:paraId="7DCC925D" w14:textId="77777777" w:rsidTr="00F51774">
        <w:tc>
          <w:tcPr>
            <w:tcW w:w="3420" w:type="dxa"/>
            <w:tcBorders>
              <w:top w:val="single" w:sz="4" w:space="0" w:color="000000" w:themeColor="text1"/>
            </w:tcBorders>
          </w:tcPr>
          <w:p w14:paraId="735E7E66" w14:textId="77777777" w:rsidR="001B6918" w:rsidRPr="004E6649" w:rsidRDefault="001B6918" w:rsidP="00730ECF">
            <w:pPr>
              <w:tabs>
                <w:tab w:val="left" w:pos="900"/>
              </w:tabs>
              <w:ind w:right="-7"/>
              <w:rPr>
                <w:rFonts w:eastAsia="Times New Roman" w:cstheme="minorHAnsi"/>
                <w:spacing w:val="-1"/>
                <w:sz w:val="24"/>
              </w:rPr>
            </w:pPr>
            <w:r w:rsidRPr="004E6649">
              <w:rPr>
                <w:rFonts w:eastAsia="Franklin Gothic Book" w:cstheme="minorHAnsi"/>
                <w:sz w:val="24"/>
                <w:szCs w:val="24"/>
              </w:rPr>
              <w:t>Actuarial cost method</w:t>
            </w:r>
          </w:p>
        </w:tc>
        <w:tc>
          <w:tcPr>
            <w:tcW w:w="6570" w:type="dxa"/>
            <w:tcBorders>
              <w:top w:val="single" w:sz="4" w:space="0" w:color="000000" w:themeColor="text1"/>
            </w:tcBorders>
          </w:tcPr>
          <w:p w14:paraId="0B23F722" w14:textId="77777777" w:rsidR="001B6918" w:rsidRPr="004E6649" w:rsidRDefault="001B6918" w:rsidP="00730ECF">
            <w:pPr>
              <w:tabs>
                <w:tab w:val="left" w:pos="900"/>
              </w:tabs>
              <w:ind w:right="-7"/>
              <w:rPr>
                <w:rFonts w:eastAsia="Times New Roman" w:cstheme="minorHAnsi"/>
                <w:spacing w:val="-1"/>
                <w:sz w:val="24"/>
              </w:rPr>
            </w:pPr>
            <w:r w:rsidRPr="004E6649">
              <w:rPr>
                <w:rFonts w:eastAsia="Franklin Gothic Book" w:cstheme="minorHAnsi"/>
                <w:sz w:val="24"/>
                <w:szCs w:val="24"/>
              </w:rPr>
              <w:t>Entry age normal</w:t>
            </w:r>
          </w:p>
        </w:tc>
      </w:tr>
      <w:tr w:rsidR="001B6918" w:rsidRPr="004E6649" w14:paraId="2125BCF8" w14:textId="77777777" w:rsidTr="00F51774">
        <w:tc>
          <w:tcPr>
            <w:tcW w:w="3420" w:type="dxa"/>
          </w:tcPr>
          <w:p w14:paraId="2C17F0C6" w14:textId="77777777" w:rsidR="001B6918" w:rsidRPr="004E6649" w:rsidRDefault="001B6918" w:rsidP="00730ECF">
            <w:pPr>
              <w:tabs>
                <w:tab w:val="left" w:pos="900"/>
              </w:tabs>
              <w:ind w:right="-7"/>
              <w:rPr>
                <w:rFonts w:eastAsia="Times New Roman" w:cstheme="minorHAnsi"/>
                <w:spacing w:val="-1"/>
                <w:sz w:val="24"/>
              </w:rPr>
            </w:pPr>
            <w:r w:rsidRPr="004E6649">
              <w:rPr>
                <w:rFonts w:eastAsia="Franklin Gothic Book" w:cstheme="minorHAnsi"/>
                <w:sz w:val="24"/>
                <w:szCs w:val="24"/>
              </w:rPr>
              <w:t>Actuarial asset method</w:t>
            </w:r>
          </w:p>
        </w:tc>
        <w:tc>
          <w:tcPr>
            <w:tcW w:w="6570" w:type="dxa"/>
          </w:tcPr>
          <w:p w14:paraId="2D7CA07E" w14:textId="77777777" w:rsidR="001B6918" w:rsidRPr="004E6649" w:rsidRDefault="001B6918" w:rsidP="00730ECF">
            <w:pPr>
              <w:tabs>
                <w:tab w:val="left" w:pos="900"/>
              </w:tabs>
              <w:ind w:right="-7"/>
              <w:rPr>
                <w:rFonts w:eastAsia="Times New Roman" w:cstheme="minorHAnsi"/>
                <w:spacing w:val="-1"/>
                <w:sz w:val="24"/>
              </w:rPr>
            </w:pPr>
            <w:r w:rsidRPr="004E6649">
              <w:rPr>
                <w:rFonts w:eastAsia="Franklin Gothic Book" w:cstheme="minorHAnsi"/>
                <w:sz w:val="24"/>
                <w:szCs w:val="24"/>
              </w:rPr>
              <w:t>Market value</w:t>
            </w:r>
          </w:p>
        </w:tc>
      </w:tr>
      <w:tr w:rsidR="001B6918" w:rsidRPr="004E6649" w14:paraId="28F80ABD" w14:textId="77777777" w:rsidTr="00F51774">
        <w:tc>
          <w:tcPr>
            <w:tcW w:w="3420" w:type="dxa"/>
          </w:tcPr>
          <w:p w14:paraId="3FCF3C9A" w14:textId="77777777" w:rsidR="001B6918" w:rsidRPr="004E6649" w:rsidRDefault="001B6918" w:rsidP="00730ECF">
            <w:pPr>
              <w:tabs>
                <w:tab w:val="left" w:pos="900"/>
              </w:tabs>
              <w:ind w:right="-7"/>
              <w:rPr>
                <w:rFonts w:eastAsia="Times New Roman" w:cstheme="minorHAnsi"/>
                <w:spacing w:val="-1"/>
                <w:sz w:val="24"/>
              </w:rPr>
            </w:pPr>
            <w:r w:rsidRPr="004E6649">
              <w:rPr>
                <w:rFonts w:eastAsia="Franklin Gothic Book" w:cstheme="minorHAnsi"/>
                <w:sz w:val="24"/>
                <w:szCs w:val="24"/>
              </w:rPr>
              <w:t>Inflation</w:t>
            </w:r>
          </w:p>
        </w:tc>
        <w:tc>
          <w:tcPr>
            <w:tcW w:w="6570" w:type="dxa"/>
          </w:tcPr>
          <w:p w14:paraId="0C54B6DE" w14:textId="77777777" w:rsidR="001B6918" w:rsidRPr="004E6649" w:rsidRDefault="001B6918" w:rsidP="00730ECF">
            <w:pPr>
              <w:tabs>
                <w:tab w:val="left" w:pos="900"/>
              </w:tabs>
              <w:ind w:right="-7"/>
              <w:rPr>
                <w:rFonts w:eastAsia="Times New Roman" w:cstheme="minorHAnsi"/>
                <w:spacing w:val="-1"/>
                <w:sz w:val="24"/>
              </w:rPr>
            </w:pPr>
            <w:r w:rsidRPr="004E6649">
              <w:rPr>
                <w:rFonts w:eastAsia="Franklin Gothic Book" w:cstheme="minorHAnsi"/>
                <w:sz w:val="24"/>
                <w:szCs w:val="24"/>
              </w:rPr>
              <w:t>2.5% as of June 30, 202</w:t>
            </w:r>
            <w:r>
              <w:rPr>
                <w:rFonts w:eastAsia="Franklin Gothic Book" w:cstheme="minorHAnsi"/>
                <w:sz w:val="24"/>
                <w:szCs w:val="24"/>
              </w:rPr>
              <w:t>5 and</w:t>
            </w:r>
            <w:r w:rsidRPr="004E6649">
              <w:rPr>
                <w:rFonts w:eastAsia="Franklin Gothic Book" w:cstheme="minorHAnsi"/>
                <w:sz w:val="24"/>
                <w:szCs w:val="24"/>
              </w:rPr>
              <w:t xml:space="preserve"> 202</w:t>
            </w:r>
            <w:r>
              <w:rPr>
                <w:rFonts w:eastAsia="Franklin Gothic Book" w:cstheme="minorHAnsi"/>
                <w:sz w:val="24"/>
                <w:szCs w:val="24"/>
              </w:rPr>
              <w:t>4</w:t>
            </w:r>
          </w:p>
        </w:tc>
      </w:tr>
      <w:tr w:rsidR="001B6918" w:rsidRPr="004E6649" w14:paraId="3B5F0B68" w14:textId="77777777" w:rsidTr="00F51774">
        <w:tc>
          <w:tcPr>
            <w:tcW w:w="3420" w:type="dxa"/>
          </w:tcPr>
          <w:p w14:paraId="4EC0AEF4" w14:textId="77777777" w:rsidR="001B6918" w:rsidRPr="004E6649" w:rsidRDefault="001B6918" w:rsidP="00730ECF">
            <w:pPr>
              <w:tabs>
                <w:tab w:val="left" w:pos="900"/>
              </w:tabs>
              <w:ind w:right="-7"/>
              <w:rPr>
                <w:rFonts w:eastAsia="Times New Roman" w:cstheme="minorHAnsi"/>
                <w:spacing w:val="-1"/>
                <w:sz w:val="24"/>
              </w:rPr>
            </w:pPr>
            <w:r w:rsidRPr="004E6649">
              <w:rPr>
                <w:rFonts w:eastAsia="Franklin Gothic Book" w:cstheme="minorHAnsi"/>
                <w:sz w:val="24"/>
                <w:szCs w:val="24"/>
              </w:rPr>
              <w:t>Investment rate of return</w:t>
            </w:r>
          </w:p>
        </w:tc>
        <w:tc>
          <w:tcPr>
            <w:tcW w:w="6570" w:type="dxa"/>
          </w:tcPr>
          <w:p w14:paraId="5104AC9E" w14:textId="77777777" w:rsidR="001B6918" w:rsidRPr="004E6649" w:rsidRDefault="001B6918" w:rsidP="00730ECF">
            <w:pPr>
              <w:tabs>
                <w:tab w:val="left" w:pos="900"/>
              </w:tabs>
              <w:ind w:right="-7"/>
              <w:rPr>
                <w:rFonts w:eastAsia="Times New Roman" w:cstheme="minorHAnsi"/>
                <w:spacing w:val="-1"/>
                <w:sz w:val="24"/>
              </w:rPr>
            </w:pPr>
            <w:r w:rsidRPr="004E6649">
              <w:rPr>
                <w:rFonts w:eastAsia="Franklin Gothic Book" w:cstheme="minorHAnsi"/>
                <w:sz w:val="24"/>
                <w:szCs w:val="24"/>
              </w:rPr>
              <w:t>7.25% net of investment expenses, including inflation as of June 30, 202</w:t>
            </w:r>
            <w:r>
              <w:rPr>
                <w:rFonts w:eastAsia="Franklin Gothic Book" w:cstheme="minorHAnsi"/>
                <w:sz w:val="24"/>
                <w:szCs w:val="24"/>
              </w:rPr>
              <w:t>5</w:t>
            </w:r>
            <w:r w:rsidRPr="004E6649">
              <w:rPr>
                <w:rFonts w:eastAsia="Franklin Gothic Book" w:cstheme="minorHAnsi"/>
                <w:sz w:val="24"/>
                <w:szCs w:val="24"/>
              </w:rPr>
              <w:t xml:space="preserve"> and 202</w:t>
            </w:r>
            <w:r>
              <w:rPr>
                <w:rFonts w:eastAsia="Franklin Gothic Book" w:cstheme="minorHAnsi"/>
                <w:sz w:val="24"/>
                <w:szCs w:val="24"/>
              </w:rPr>
              <w:t>4</w:t>
            </w:r>
          </w:p>
        </w:tc>
      </w:tr>
      <w:tr w:rsidR="001B6918" w:rsidRPr="004E6649" w14:paraId="63CF31B8" w14:textId="77777777" w:rsidTr="00F51774">
        <w:tc>
          <w:tcPr>
            <w:tcW w:w="3420" w:type="dxa"/>
          </w:tcPr>
          <w:p w14:paraId="48455EBC" w14:textId="77777777" w:rsidR="001B6918" w:rsidRPr="004E6649" w:rsidRDefault="001B6918" w:rsidP="00730ECF">
            <w:pPr>
              <w:tabs>
                <w:tab w:val="left" w:pos="900"/>
              </w:tabs>
              <w:ind w:right="-7"/>
              <w:rPr>
                <w:rFonts w:eastAsia="Franklin Gothic Book" w:cstheme="minorHAnsi"/>
                <w:sz w:val="24"/>
                <w:szCs w:val="24"/>
              </w:rPr>
            </w:pPr>
            <w:r>
              <w:rPr>
                <w:rFonts w:eastAsia="Franklin Gothic Book" w:cstheme="minorHAnsi"/>
                <w:sz w:val="24"/>
                <w:szCs w:val="24"/>
              </w:rPr>
              <w:t>Medical trend rate (Cigna and Aetna Medicare Advantage)</w:t>
            </w:r>
          </w:p>
        </w:tc>
        <w:tc>
          <w:tcPr>
            <w:tcW w:w="6570" w:type="dxa"/>
          </w:tcPr>
          <w:p w14:paraId="285519E5" w14:textId="63D2F1D9" w:rsidR="001B6918" w:rsidRPr="004E6649" w:rsidRDefault="001B6918" w:rsidP="003A01A2">
            <w:pPr>
              <w:tabs>
                <w:tab w:val="left" w:pos="900"/>
              </w:tabs>
              <w:ind w:right="-7"/>
              <w:rPr>
                <w:rFonts w:eastAsia="Franklin Gothic Book" w:cstheme="minorHAnsi"/>
                <w:sz w:val="24"/>
                <w:szCs w:val="24"/>
              </w:rPr>
            </w:pPr>
            <w:r>
              <w:rPr>
                <w:rFonts w:eastAsia="Franklin Gothic Book" w:cstheme="minorHAnsi"/>
                <w:sz w:val="24"/>
                <w:szCs w:val="24"/>
              </w:rPr>
              <w:t xml:space="preserve">2025: 8%, decreasing 0.5% per year to 6%, then grading down to an ultimate trend rate of 4%, utilizing the Society </w:t>
            </w:r>
            <w:r w:rsidRPr="002E7EB0">
              <w:rPr>
                <w:rFonts w:eastAsia="Franklin Gothic Book" w:cstheme="minorHAnsi"/>
                <w:sz w:val="24"/>
                <w:szCs w:val="24"/>
              </w:rPr>
              <w:t>of Actuaries Getzen Medical Trend Model. The</w:t>
            </w:r>
            <w:r w:rsidR="00F63535">
              <w:rPr>
                <w:rFonts w:eastAsia="Franklin Gothic Book" w:cstheme="minorHAnsi"/>
                <w:sz w:val="24"/>
                <w:szCs w:val="24"/>
              </w:rPr>
              <w:t xml:space="preserve"> </w:t>
            </w:r>
            <w:r w:rsidRPr="002E7EB0">
              <w:rPr>
                <w:rFonts w:eastAsia="Franklin Gothic Book" w:cstheme="minorHAnsi"/>
                <w:sz w:val="24"/>
                <w:szCs w:val="24"/>
              </w:rPr>
              <w:t>ultimate medical trend rate is reached in 2075</w:t>
            </w:r>
            <w:r>
              <w:rPr>
                <w:rFonts w:eastAsia="Franklin Gothic Book" w:cstheme="minorHAnsi"/>
                <w:sz w:val="24"/>
                <w:szCs w:val="24"/>
              </w:rPr>
              <w:t xml:space="preserve">. The trend for the Aetna Medicare Advantage plan was updated in this valuation to be consistent with the Cigna plans as described above; beginning with an 8% trend rate in year 1. This reflects that while these plan design changes are expected to continue, they will not fully offset higher trend rates that are broadly expected to impact Medicare advantage and Medicare supplemental plans. </w:t>
            </w:r>
          </w:p>
        </w:tc>
      </w:tr>
      <w:tr w:rsidR="001B6918" w:rsidRPr="004E6649" w14:paraId="63E7E507" w14:textId="77777777" w:rsidTr="00F51774">
        <w:tc>
          <w:tcPr>
            <w:tcW w:w="3420" w:type="dxa"/>
          </w:tcPr>
          <w:p w14:paraId="1EB33D48" w14:textId="77777777" w:rsidR="001B6918" w:rsidRPr="004E6649" w:rsidRDefault="001B6918" w:rsidP="00730ECF">
            <w:pPr>
              <w:tabs>
                <w:tab w:val="left" w:pos="900"/>
              </w:tabs>
              <w:ind w:right="-7"/>
              <w:rPr>
                <w:rFonts w:eastAsia="Times New Roman" w:cstheme="minorHAnsi"/>
                <w:spacing w:val="-1"/>
                <w:sz w:val="24"/>
              </w:rPr>
            </w:pPr>
            <w:r>
              <w:rPr>
                <w:rFonts w:eastAsia="Franklin Gothic Book" w:cstheme="minorHAnsi"/>
                <w:sz w:val="24"/>
                <w:szCs w:val="24"/>
              </w:rPr>
              <w:t>Medical</w:t>
            </w:r>
            <w:r w:rsidRPr="004E6649">
              <w:rPr>
                <w:rFonts w:eastAsia="Franklin Gothic Book" w:cstheme="minorHAnsi"/>
                <w:sz w:val="24"/>
                <w:szCs w:val="24"/>
              </w:rPr>
              <w:t xml:space="preserve"> trend rate </w:t>
            </w:r>
            <w:r w:rsidRPr="004E6649">
              <w:rPr>
                <w:rFonts w:eastAsia="Franklin Gothic Book" w:cstheme="minorHAnsi"/>
                <w:spacing w:val="-1"/>
                <w:sz w:val="24"/>
                <w:szCs w:val="24"/>
              </w:rPr>
              <w:t>(Cigna Plans)</w:t>
            </w:r>
          </w:p>
        </w:tc>
        <w:tc>
          <w:tcPr>
            <w:tcW w:w="6570" w:type="dxa"/>
          </w:tcPr>
          <w:p w14:paraId="5D42BA09" w14:textId="77777777" w:rsidR="001B6918" w:rsidRPr="004E6649" w:rsidRDefault="001B6918" w:rsidP="00730ECF">
            <w:pPr>
              <w:tabs>
                <w:tab w:val="left" w:pos="900"/>
              </w:tabs>
              <w:ind w:right="-7"/>
              <w:rPr>
                <w:rFonts w:eastAsia="Times New Roman" w:cstheme="minorHAnsi"/>
                <w:spacing w:val="-1"/>
                <w:sz w:val="24"/>
              </w:rPr>
            </w:pPr>
            <w:r>
              <w:rPr>
                <w:rFonts w:eastAsia="Franklin Gothic Book" w:cstheme="minorHAnsi"/>
                <w:spacing w:val="-1"/>
                <w:sz w:val="24"/>
                <w:szCs w:val="24"/>
              </w:rPr>
              <w:t xml:space="preserve">2024: </w:t>
            </w:r>
            <w:r w:rsidRPr="004E6649">
              <w:rPr>
                <w:rFonts w:eastAsia="Franklin Gothic Book" w:cstheme="minorHAnsi"/>
                <w:spacing w:val="-1"/>
                <w:sz w:val="24"/>
                <w:szCs w:val="24"/>
              </w:rPr>
              <w:t xml:space="preserve">8% decreasing </w:t>
            </w:r>
            <w:r>
              <w:rPr>
                <w:rFonts w:eastAsia="Franklin Gothic Book" w:cstheme="minorHAnsi"/>
                <w:spacing w:val="-1"/>
                <w:sz w:val="24"/>
                <w:szCs w:val="24"/>
              </w:rPr>
              <w:t>0</w:t>
            </w:r>
            <w:r w:rsidRPr="004E6649">
              <w:rPr>
                <w:rFonts w:eastAsia="Franklin Gothic Book" w:cstheme="minorHAnsi"/>
                <w:spacing w:val="-1"/>
                <w:sz w:val="24"/>
                <w:szCs w:val="24"/>
              </w:rPr>
              <w:t>.5% per year to 5.5%, then grading down to an ultimate trend rate of 4.1%, utilizing the Society of Actuaries Getzen Medical Trend Model. The ultimate medical inflation rate is reached in 2075.</w:t>
            </w:r>
          </w:p>
        </w:tc>
      </w:tr>
      <w:tr w:rsidR="001B6918" w:rsidRPr="004E6649" w14:paraId="1EC36B87" w14:textId="77777777" w:rsidTr="00F51774">
        <w:tc>
          <w:tcPr>
            <w:tcW w:w="3420" w:type="dxa"/>
          </w:tcPr>
          <w:p w14:paraId="524A1DC0" w14:textId="77777777" w:rsidR="001B6918" w:rsidRPr="004E6649" w:rsidRDefault="001B6918" w:rsidP="00730ECF">
            <w:pPr>
              <w:tabs>
                <w:tab w:val="left" w:pos="900"/>
              </w:tabs>
              <w:ind w:right="-7"/>
              <w:rPr>
                <w:rFonts w:eastAsia="Times New Roman" w:cstheme="minorHAnsi"/>
                <w:spacing w:val="-1"/>
                <w:sz w:val="24"/>
              </w:rPr>
            </w:pPr>
            <w:r>
              <w:rPr>
                <w:rFonts w:eastAsia="Franklin Gothic Book" w:cstheme="minorHAnsi"/>
                <w:spacing w:val="-1"/>
                <w:sz w:val="24"/>
                <w:szCs w:val="24"/>
              </w:rPr>
              <w:t>Medical</w:t>
            </w:r>
            <w:r w:rsidRPr="004E6649">
              <w:rPr>
                <w:rFonts w:eastAsia="Franklin Gothic Book" w:cstheme="minorHAnsi"/>
                <w:spacing w:val="-1"/>
                <w:sz w:val="24"/>
                <w:szCs w:val="24"/>
              </w:rPr>
              <w:t xml:space="preserve"> trend rates (Aetna Medicare Advantage)</w:t>
            </w:r>
          </w:p>
        </w:tc>
        <w:tc>
          <w:tcPr>
            <w:tcW w:w="6570" w:type="dxa"/>
          </w:tcPr>
          <w:p w14:paraId="00643149" w14:textId="77777777" w:rsidR="001B6918" w:rsidRPr="004E6649" w:rsidRDefault="001B6918" w:rsidP="00730ECF">
            <w:pPr>
              <w:tabs>
                <w:tab w:val="left" w:pos="900"/>
              </w:tabs>
              <w:ind w:right="-7"/>
              <w:rPr>
                <w:rFonts w:eastAsia="Times New Roman" w:cstheme="minorHAnsi"/>
                <w:spacing w:val="-1"/>
                <w:sz w:val="24"/>
              </w:rPr>
            </w:pPr>
            <w:r>
              <w:rPr>
                <w:rFonts w:eastAsia="Franklin Gothic Book" w:cstheme="minorHAnsi"/>
                <w:spacing w:val="-1"/>
                <w:sz w:val="24"/>
                <w:szCs w:val="24"/>
              </w:rPr>
              <w:t xml:space="preserve">2024: </w:t>
            </w:r>
            <w:r w:rsidRPr="004E6649">
              <w:rPr>
                <w:rFonts w:eastAsia="Franklin Gothic Book" w:cstheme="minorHAnsi"/>
                <w:spacing w:val="-1"/>
                <w:sz w:val="24"/>
                <w:szCs w:val="24"/>
              </w:rPr>
              <w:t>6% in year 1 grading down 0.5% per year to an ultimate trend rate of 4%, recognizing that over the last several years there have been plan design changes that have impacted the premium rates.</w:t>
            </w:r>
          </w:p>
        </w:tc>
      </w:tr>
      <w:tr w:rsidR="001B6918" w:rsidRPr="004E6649" w14:paraId="47D7B0F3" w14:textId="77777777" w:rsidTr="00F51774">
        <w:tc>
          <w:tcPr>
            <w:tcW w:w="3420" w:type="dxa"/>
          </w:tcPr>
          <w:p w14:paraId="4A00E1C0" w14:textId="77777777" w:rsidR="001B6918" w:rsidRPr="004E6649" w:rsidRDefault="001B6918" w:rsidP="00730ECF">
            <w:pPr>
              <w:tabs>
                <w:tab w:val="left" w:pos="900"/>
              </w:tabs>
              <w:ind w:right="-7"/>
              <w:rPr>
                <w:rFonts w:eastAsia="Times New Roman" w:cstheme="minorHAnsi"/>
                <w:spacing w:val="-1"/>
                <w:sz w:val="24"/>
              </w:rPr>
            </w:pPr>
            <w:r w:rsidRPr="004E6649">
              <w:rPr>
                <w:rFonts w:eastAsia="Franklin Gothic Book" w:cstheme="minorHAnsi"/>
                <w:spacing w:val="-1"/>
                <w:sz w:val="24"/>
                <w:szCs w:val="24"/>
              </w:rPr>
              <w:t>Prescription drug trend rates (Catastrophic prescription Drug HRA)</w:t>
            </w:r>
          </w:p>
        </w:tc>
        <w:tc>
          <w:tcPr>
            <w:tcW w:w="6570" w:type="dxa"/>
          </w:tcPr>
          <w:p w14:paraId="1EE16475" w14:textId="77777777" w:rsidR="001B6918" w:rsidRPr="004E6649" w:rsidRDefault="001B6918" w:rsidP="00730ECF">
            <w:pPr>
              <w:tabs>
                <w:tab w:val="left" w:pos="900"/>
              </w:tabs>
              <w:ind w:right="-7"/>
              <w:rPr>
                <w:rFonts w:eastAsia="Times New Roman" w:cstheme="minorHAnsi"/>
                <w:spacing w:val="-1"/>
                <w:sz w:val="24"/>
              </w:rPr>
            </w:pPr>
            <w:r>
              <w:rPr>
                <w:rFonts w:eastAsia="Franklin Gothic Book" w:cstheme="minorHAnsi"/>
                <w:spacing w:val="-1"/>
                <w:sz w:val="24"/>
                <w:szCs w:val="24"/>
              </w:rPr>
              <w:t>2025:</w:t>
            </w:r>
            <w:r>
              <w:t xml:space="preserve"> </w:t>
            </w:r>
            <w:r w:rsidRPr="001807A2">
              <w:rPr>
                <w:rFonts w:eastAsia="Franklin Gothic Book" w:cstheme="minorHAnsi"/>
                <w:spacing w:val="-1"/>
                <w:sz w:val="24"/>
                <w:szCs w:val="24"/>
              </w:rPr>
              <w:t>22% for year 1, 19% for year 2, 17% for year 3, decreasing at</w:t>
            </w:r>
            <w:r>
              <w:rPr>
                <w:rFonts w:eastAsia="Franklin Gothic Book" w:cstheme="minorHAnsi"/>
                <w:spacing w:val="-1"/>
                <w:sz w:val="24"/>
                <w:szCs w:val="24"/>
              </w:rPr>
              <w:t xml:space="preserve"> </w:t>
            </w:r>
            <w:r w:rsidRPr="001807A2">
              <w:rPr>
                <w:rFonts w:eastAsia="Franklin Gothic Book" w:cstheme="minorHAnsi"/>
                <w:spacing w:val="-1"/>
                <w:sz w:val="24"/>
                <w:szCs w:val="24"/>
              </w:rPr>
              <w:t>varying rates per year to an ultimate trend rate of 6%. The</w:t>
            </w:r>
            <w:r>
              <w:rPr>
                <w:rFonts w:eastAsia="Franklin Gothic Book" w:cstheme="minorHAnsi"/>
                <w:spacing w:val="-1"/>
                <w:sz w:val="24"/>
                <w:szCs w:val="24"/>
              </w:rPr>
              <w:t xml:space="preserve"> </w:t>
            </w:r>
            <w:r w:rsidRPr="001807A2">
              <w:rPr>
                <w:rFonts w:eastAsia="Franklin Gothic Book" w:cstheme="minorHAnsi"/>
                <w:spacing w:val="-1"/>
                <w:sz w:val="24"/>
                <w:szCs w:val="24"/>
              </w:rPr>
              <w:t>ultimate prescription drug trend rate is reached in 2064.</w:t>
            </w:r>
          </w:p>
        </w:tc>
      </w:tr>
      <w:tr w:rsidR="001B6918" w:rsidRPr="004E6649" w14:paraId="40E9FCB8" w14:textId="77777777" w:rsidTr="00F51774">
        <w:tc>
          <w:tcPr>
            <w:tcW w:w="3420" w:type="dxa"/>
          </w:tcPr>
          <w:p w14:paraId="38AC28F4" w14:textId="77777777" w:rsidR="001B6918" w:rsidRPr="004E6649" w:rsidRDefault="001B6918" w:rsidP="00730ECF">
            <w:pPr>
              <w:tabs>
                <w:tab w:val="left" w:pos="900"/>
              </w:tabs>
              <w:ind w:right="-7"/>
              <w:rPr>
                <w:rFonts w:eastAsia="Franklin Gothic Book" w:cstheme="minorHAnsi"/>
                <w:spacing w:val="-1"/>
                <w:sz w:val="24"/>
                <w:szCs w:val="24"/>
              </w:rPr>
            </w:pPr>
          </w:p>
        </w:tc>
        <w:tc>
          <w:tcPr>
            <w:tcW w:w="6570" w:type="dxa"/>
          </w:tcPr>
          <w:p w14:paraId="3FABE7D7" w14:textId="77777777" w:rsidR="001B6918" w:rsidDel="002E7EB0" w:rsidRDefault="001B6918" w:rsidP="00730ECF">
            <w:pPr>
              <w:tabs>
                <w:tab w:val="left" w:pos="900"/>
              </w:tabs>
              <w:ind w:right="-7"/>
              <w:rPr>
                <w:rFonts w:eastAsia="Franklin Gothic Book" w:cstheme="minorHAnsi"/>
                <w:spacing w:val="-1"/>
                <w:sz w:val="24"/>
                <w:szCs w:val="24"/>
              </w:rPr>
            </w:pPr>
            <w:r>
              <w:rPr>
                <w:rFonts w:eastAsia="Franklin Gothic Book" w:cstheme="minorHAnsi"/>
                <w:spacing w:val="-1"/>
                <w:sz w:val="24"/>
                <w:szCs w:val="24"/>
              </w:rPr>
              <w:t xml:space="preserve">2024: </w:t>
            </w:r>
            <w:r w:rsidRPr="004E6649">
              <w:rPr>
                <w:rFonts w:eastAsia="Franklin Gothic Book" w:cstheme="minorHAnsi"/>
                <w:spacing w:val="-1"/>
                <w:sz w:val="24"/>
                <w:szCs w:val="24"/>
              </w:rPr>
              <w:t>20% for year 1, 19% for year 2, 18% for year 3, decreasing at varying rates per year to an ultimate trend rate of 6%. The ultimate prescription trend rate is reached in 2042.</w:t>
            </w:r>
          </w:p>
        </w:tc>
      </w:tr>
      <w:tr w:rsidR="001B6918" w:rsidRPr="004E6649" w14:paraId="778467E6" w14:textId="77777777" w:rsidTr="00F51774">
        <w:tc>
          <w:tcPr>
            <w:tcW w:w="3420" w:type="dxa"/>
            <w:tcBorders>
              <w:bottom w:val="single" w:sz="8" w:space="0" w:color="000000" w:themeColor="text1"/>
            </w:tcBorders>
          </w:tcPr>
          <w:p w14:paraId="6B9101F9" w14:textId="77777777" w:rsidR="001B6918" w:rsidRPr="004E6649" w:rsidRDefault="001B6918" w:rsidP="00730ECF">
            <w:pPr>
              <w:tabs>
                <w:tab w:val="left" w:pos="900"/>
              </w:tabs>
              <w:ind w:right="-7"/>
              <w:rPr>
                <w:rFonts w:eastAsia="Franklin Gothic Book" w:cstheme="minorHAnsi"/>
                <w:spacing w:val="-1"/>
                <w:sz w:val="24"/>
                <w:szCs w:val="24"/>
              </w:rPr>
            </w:pPr>
            <w:r w:rsidRPr="004E6649">
              <w:rPr>
                <w:rFonts w:eastAsia="Franklin Gothic Book" w:cstheme="minorHAnsi"/>
                <w:sz w:val="24"/>
                <w:szCs w:val="24"/>
              </w:rPr>
              <w:t>Life expectancy</w:t>
            </w:r>
          </w:p>
        </w:tc>
        <w:tc>
          <w:tcPr>
            <w:tcW w:w="6570" w:type="dxa"/>
            <w:tcBorders>
              <w:bottom w:val="single" w:sz="8" w:space="0" w:color="000000" w:themeColor="text1"/>
            </w:tcBorders>
          </w:tcPr>
          <w:p w14:paraId="35059336" w14:textId="77777777" w:rsidR="001B6918" w:rsidRPr="004E6649" w:rsidRDefault="001B6918" w:rsidP="005F1E63">
            <w:pPr>
              <w:widowControl w:val="0"/>
              <w:tabs>
                <w:tab w:val="left" w:pos="0"/>
              </w:tabs>
              <w:ind w:right="360"/>
              <w:rPr>
                <w:rFonts w:eastAsia="Franklin Gothic Book" w:cstheme="minorHAnsi"/>
                <w:spacing w:val="-1"/>
                <w:sz w:val="24"/>
                <w:szCs w:val="24"/>
              </w:rPr>
            </w:pPr>
            <w:r>
              <w:rPr>
                <w:rFonts w:eastAsia="Franklin Gothic Book" w:cstheme="minorHAnsi"/>
                <w:spacing w:val="-1"/>
                <w:sz w:val="24"/>
                <w:szCs w:val="24"/>
              </w:rPr>
              <w:t xml:space="preserve">2025 and 2024: </w:t>
            </w:r>
            <w:r w:rsidRPr="004E6649">
              <w:rPr>
                <w:rFonts w:eastAsia="Franklin Gothic Book" w:cstheme="minorHAnsi"/>
                <w:sz w:val="24"/>
                <w:szCs w:val="24"/>
              </w:rPr>
              <w:t xml:space="preserve">Pre-retirement and post-retirement mortality rates were based on the </w:t>
            </w:r>
            <w:r w:rsidRPr="004E6649">
              <w:rPr>
                <w:rFonts w:eastAsia="Franklin Gothic Book" w:cstheme="minorHAnsi"/>
                <w:spacing w:val="-1"/>
                <w:sz w:val="24"/>
                <w:szCs w:val="24"/>
              </w:rPr>
              <w:t>Pub-2010 headcount-weighted Mortality Table projected with fully generational mortality improvement using Scale MP-2021</w:t>
            </w:r>
            <w:r>
              <w:rPr>
                <w:rFonts w:eastAsia="Franklin Gothic Book" w:cstheme="minorHAnsi"/>
                <w:spacing w:val="-1"/>
                <w:sz w:val="24"/>
                <w:szCs w:val="24"/>
              </w:rPr>
              <w:t>.</w:t>
            </w:r>
          </w:p>
          <w:p w14:paraId="31ED4BDF" w14:textId="77777777" w:rsidR="001B6918" w:rsidRPr="004E6649" w:rsidRDefault="001B6918" w:rsidP="005F1E63">
            <w:pPr>
              <w:widowControl w:val="0"/>
              <w:tabs>
                <w:tab w:val="left" w:pos="0"/>
              </w:tabs>
              <w:ind w:right="360"/>
              <w:rPr>
                <w:rFonts w:eastAsia="Franklin Gothic Book" w:cstheme="minorHAnsi"/>
                <w:spacing w:val="-1"/>
                <w:sz w:val="24"/>
                <w:szCs w:val="24"/>
              </w:rPr>
            </w:pPr>
            <w:r>
              <w:rPr>
                <w:rFonts w:eastAsia="Franklin Gothic Book" w:cstheme="minorHAnsi"/>
                <w:spacing w:val="-1"/>
                <w:sz w:val="24"/>
                <w:szCs w:val="24"/>
              </w:rPr>
              <w:t xml:space="preserve">2025 and 2024: </w:t>
            </w:r>
            <w:r w:rsidRPr="004E6649">
              <w:rPr>
                <w:rFonts w:eastAsia="Franklin Gothic Book" w:cstheme="minorHAnsi"/>
                <w:spacing w:val="-1"/>
                <w:sz w:val="24"/>
                <w:szCs w:val="24"/>
              </w:rPr>
              <w:t>For disabled lives, the mortality rates were based on the Pub-2010 headcount-weighted Disabled Mortality Table</w:t>
            </w:r>
            <w:r>
              <w:rPr>
                <w:rFonts w:eastAsia="Franklin Gothic Book" w:cstheme="minorHAnsi"/>
                <w:spacing w:val="-1"/>
                <w:sz w:val="24"/>
                <w:szCs w:val="24"/>
              </w:rPr>
              <w:t>,</w:t>
            </w:r>
            <w:r w:rsidRPr="004E6649">
              <w:rPr>
                <w:rFonts w:eastAsia="Franklin Gothic Book" w:cstheme="minorHAnsi"/>
                <w:spacing w:val="-1"/>
                <w:sz w:val="24"/>
                <w:szCs w:val="24"/>
              </w:rPr>
              <w:t xml:space="preserve"> projected with fully generational mortality improvement using Scale MP-2021</w:t>
            </w:r>
            <w:r>
              <w:rPr>
                <w:rFonts w:eastAsia="Franklin Gothic Book" w:cstheme="minorHAnsi"/>
                <w:spacing w:val="-1"/>
                <w:sz w:val="24"/>
                <w:szCs w:val="24"/>
              </w:rPr>
              <w:t>.</w:t>
            </w:r>
          </w:p>
        </w:tc>
      </w:tr>
    </w:tbl>
    <w:p w14:paraId="2D92E41B" w14:textId="77777777" w:rsidR="001B6918" w:rsidRPr="00710223" w:rsidRDefault="001B6918" w:rsidP="001B6918">
      <w:pPr>
        <w:spacing w:line="259" w:lineRule="auto"/>
        <w:rPr>
          <w:rFonts w:eastAsiaTheme="majorEastAsia" w:cstheme="minorHAnsi"/>
          <w:bCs/>
          <w:smallCaps/>
          <w:noProof/>
          <w:color w:val="000000" w:themeColor="text1"/>
          <w:sz w:val="20"/>
          <w:u w:color="5B9BD5"/>
        </w:rPr>
      </w:pPr>
    </w:p>
    <w:p w14:paraId="3909A3FF" w14:textId="77777777" w:rsidR="0018429E" w:rsidRPr="00A02D27" w:rsidRDefault="0018429E" w:rsidP="0018429E">
      <w:pPr>
        <w:spacing w:after="160"/>
        <w:rPr>
          <w:rFonts w:eastAsiaTheme="majorEastAsia" w:cstheme="minorHAnsi"/>
          <w:b/>
          <w:i/>
          <w:iCs/>
          <w:smallCaps/>
          <w:noProof/>
          <w:color w:val="000000" w:themeColor="text1"/>
          <w:sz w:val="24"/>
          <w:szCs w:val="24"/>
          <w:u w:color="5B9BD5"/>
        </w:rPr>
      </w:pPr>
      <w:r w:rsidRPr="00A02D27">
        <w:rPr>
          <w:rFonts w:eastAsiaTheme="majorEastAsia" w:cstheme="minorHAnsi"/>
          <w:b/>
          <w:i/>
          <w:iCs/>
          <w:smallCaps/>
          <w:noProof/>
          <w:color w:val="000000" w:themeColor="text1"/>
          <w:sz w:val="24"/>
          <w:szCs w:val="24"/>
          <w:u w:color="5B9BD5"/>
        </w:rPr>
        <w:lastRenderedPageBreak/>
        <w:t>14. POSTEMPLOYMENT HEALTH PLAN - CONTINUED</w:t>
      </w:r>
    </w:p>
    <w:p w14:paraId="7745BBE4" w14:textId="41E54D18" w:rsidR="001B6918" w:rsidRPr="004E6649" w:rsidRDefault="001B6918" w:rsidP="001B6918">
      <w:pPr>
        <w:spacing w:before="160" w:after="160" w:line="259" w:lineRule="auto"/>
        <w:rPr>
          <w:rFonts w:eastAsiaTheme="majorEastAsia" w:cstheme="minorHAnsi"/>
          <w:b/>
          <w:i/>
          <w:iCs/>
          <w:smallCaps/>
          <w:noProof/>
          <w:color w:val="000000" w:themeColor="text1"/>
          <w:szCs w:val="24"/>
          <w:u w:color="5B9BD5"/>
        </w:rPr>
      </w:pPr>
      <w:r w:rsidRPr="00730ECF">
        <w:rPr>
          <w:rFonts w:eastAsia="Franklin Gothic Book" w:cstheme="minorHAnsi"/>
          <w:spacing w:val="-1"/>
          <w:sz w:val="24"/>
        </w:rPr>
        <w:t>T</w:t>
      </w:r>
      <w:r w:rsidRPr="00730ECF">
        <w:rPr>
          <w:rFonts w:eastAsia="Franklin Gothic Book" w:cstheme="minorHAnsi"/>
          <w:sz w:val="24"/>
        </w:rPr>
        <w:t>he</w:t>
      </w:r>
      <w:r w:rsidRPr="00730ECF">
        <w:rPr>
          <w:rFonts w:eastAsia="Franklin Gothic Book" w:cstheme="minorHAnsi"/>
          <w:spacing w:val="11"/>
          <w:sz w:val="24"/>
        </w:rPr>
        <w:t xml:space="preserve"> </w:t>
      </w:r>
      <w:r w:rsidRPr="00730ECF">
        <w:rPr>
          <w:rFonts w:eastAsia="Franklin Gothic Book" w:cstheme="minorHAnsi"/>
          <w:sz w:val="24"/>
        </w:rPr>
        <w:t>l</w:t>
      </w:r>
      <w:r w:rsidRPr="00730ECF">
        <w:rPr>
          <w:rFonts w:eastAsia="Franklin Gothic Book" w:cstheme="minorHAnsi"/>
          <w:spacing w:val="-1"/>
          <w:sz w:val="24"/>
        </w:rPr>
        <w:t>o</w:t>
      </w:r>
      <w:r w:rsidRPr="00730ECF">
        <w:rPr>
          <w:rFonts w:eastAsia="Franklin Gothic Book" w:cstheme="minorHAnsi"/>
          <w:sz w:val="24"/>
        </w:rPr>
        <w:t>ng-te</w:t>
      </w:r>
      <w:r w:rsidRPr="00730ECF">
        <w:rPr>
          <w:rFonts w:eastAsia="Franklin Gothic Book" w:cstheme="minorHAnsi"/>
          <w:spacing w:val="-2"/>
          <w:sz w:val="24"/>
        </w:rPr>
        <w:t>r</w:t>
      </w:r>
      <w:r w:rsidRPr="00730ECF">
        <w:rPr>
          <w:rFonts w:eastAsia="Franklin Gothic Book" w:cstheme="minorHAnsi"/>
          <w:sz w:val="24"/>
        </w:rPr>
        <w:t>m</w:t>
      </w:r>
      <w:r w:rsidRPr="004E6649">
        <w:rPr>
          <w:rFonts w:eastAsia="Franklin Gothic Book" w:cstheme="minorHAnsi"/>
          <w:spacing w:val="11"/>
          <w:sz w:val="24"/>
        </w:rPr>
        <w:t xml:space="preserve"> </w:t>
      </w:r>
      <w:r w:rsidRPr="004E6649">
        <w:rPr>
          <w:rFonts w:eastAsia="Franklin Gothic Book" w:cstheme="minorHAnsi"/>
          <w:sz w:val="24"/>
        </w:rPr>
        <w:t>e</w:t>
      </w:r>
      <w:r w:rsidRPr="004E6649">
        <w:rPr>
          <w:rFonts w:eastAsia="Franklin Gothic Book" w:cstheme="minorHAnsi"/>
          <w:spacing w:val="-1"/>
          <w:sz w:val="24"/>
        </w:rPr>
        <w:t>xp</w:t>
      </w:r>
      <w:r w:rsidRPr="004E6649">
        <w:rPr>
          <w:rFonts w:eastAsia="Franklin Gothic Book" w:cstheme="minorHAnsi"/>
          <w:sz w:val="24"/>
        </w:rPr>
        <w:t>ec</w:t>
      </w:r>
      <w:r w:rsidRPr="004E6649">
        <w:rPr>
          <w:rFonts w:eastAsia="Franklin Gothic Book" w:cstheme="minorHAnsi"/>
          <w:spacing w:val="1"/>
          <w:sz w:val="24"/>
        </w:rPr>
        <w:t>t</w:t>
      </w:r>
      <w:r w:rsidRPr="004E6649">
        <w:rPr>
          <w:rFonts w:eastAsia="Franklin Gothic Book" w:cstheme="minorHAnsi"/>
          <w:sz w:val="24"/>
        </w:rPr>
        <w:t>ed</w:t>
      </w:r>
      <w:r w:rsidRPr="004E6649">
        <w:rPr>
          <w:rFonts w:eastAsia="Franklin Gothic Book" w:cstheme="minorHAnsi"/>
          <w:spacing w:val="12"/>
          <w:sz w:val="24"/>
        </w:rPr>
        <w:t xml:space="preserve"> </w:t>
      </w:r>
      <w:r w:rsidRPr="004E6649">
        <w:rPr>
          <w:rFonts w:eastAsia="Franklin Gothic Book" w:cstheme="minorHAnsi"/>
          <w:spacing w:val="-1"/>
          <w:sz w:val="24"/>
        </w:rPr>
        <w:t>r</w:t>
      </w:r>
      <w:r w:rsidRPr="004E6649">
        <w:rPr>
          <w:rFonts w:eastAsia="Franklin Gothic Book" w:cstheme="minorHAnsi"/>
          <w:sz w:val="24"/>
        </w:rPr>
        <w:t>a</w:t>
      </w:r>
      <w:r w:rsidRPr="004E6649">
        <w:rPr>
          <w:rFonts w:eastAsia="Franklin Gothic Book" w:cstheme="minorHAnsi"/>
          <w:spacing w:val="1"/>
          <w:sz w:val="24"/>
        </w:rPr>
        <w:t>t</w:t>
      </w:r>
      <w:r w:rsidRPr="004E6649">
        <w:rPr>
          <w:rFonts w:eastAsia="Franklin Gothic Book" w:cstheme="minorHAnsi"/>
          <w:sz w:val="24"/>
        </w:rPr>
        <w:t>e</w:t>
      </w:r>
      <w:r w:rsidRPr="004E6649">
        <w:rPr>
          <w:rFonts w:eastAsia="Franklin Gothic Book" w:cstheme="minorHAnsi"/>
          <w:spacing w:val="9"/>
          <w:sz w:val="24"/>
        </w:rPr>
        <w:t xml:space="preserve"> </w:t>
      </w:r>
      <w:r w:rsidRPr="004E6649">
        <w:rPr>
          <w:rFonts w:eastAsia="Franklin Gothic Book" w:cstheme="minorHAnsi"/>
          <w:spacing w:val="-1"/>
          <w:sz w:val="24"/>
        </w:rPr>
        <w:t>o</w:t>
      </w:r>
      <w:r w:rsidRPr="004E6649">
        <w:rPr>
          <w:rFonts w:eastAsia="Franklin Gothic Book" w:cstheme="minorHAnsi"/>
          <w:sz w:val="24"/>
        </w:rPr>
        <w:t>f</w:t>
      </w:r>
      <w:r w:rsidRPr="004E6649">
        <w:rPr>
          <w:rFonts w:eastAsia="Franklin Gothic Book" w:cstheme="minorHAnsi"/>
          <w:spacing w:val="12"/>
          <w:sz w:val="24"/>
        </w:rPr>
        <w:t xml:space="preserve"> </w:t>
      </w:r>
      <w:r w:rsidRPr="004E6649">
        <w:rPr>
          <w:rFonts w:eastAsia="Franklin Gothic Book" w:cstheme="minorHAnsi"/>
          <w:spacing w:val="-1"/>
          <w:sz w:val="24"/>
        </w:rPr>
        <w:t>r</w:t>
      </w:r>
      <w:r w:rsidRPr="004E6649">
        <w:rPr>
          <w:rFonts w:eastAsia="Franklin Gothic Book" w:cstheme="minorHAnsi"/>
          <w:sz w:val="24"/>
        </w:rPr>
        <w:t>eturn</w:t>
      </w:r>
      <w:r w:rsidRPr="004E6649">
        <w:rPr>
          <w:rFonts w:eastAsia="Franklin Gothic Book" w:cstheme="minorHAnsi"/>
          <w:spacing w:val="9"/>
          <w:sz w:val="24"/>
        </w:rPr>
        <w:t xml:space="preserve"> </w:t>
      </w:r>
      <w:r w:rsidRPr="004E6649">
        <w:rPr>
          <w:rFonts w:eastAsia="Franklin Gothic Book" w:cstheme="minorHAnsi"/>
          <w:spacing w:val="-1"/>
          <w:sz w:val="24"/>
        </w:rPr>
        <w:t>o</w:t>
      </w:r>
      <w:r w:rsidRPr="004E6649">
        <w:rPr>
          <w:rFonts w:eastAsia="Franklin Gothic Book" w:cstheme="minorHAnsi"/>
          <w:sz w:val="24"/>
        </w:rPr>
        <w:t>n</w:t>
      </w:r>
      <w:r w:rsidRPr="004E6649">
        <w:rPr>
          <w:rFonts w:eastAsia="Franklin Gothic Book" w:cstheme="minorHAnsi"/>
          <w:spacing w:val="11"/>
          <w:sz w:val="24"/>
        </w:rPr>
        <w:t xml:space="preserve"> </w:t>
      </w:r>
      <w:r w:rsidRPr="004E6649">
        <w:rPr>
          <w:rFonts w:eastAsia="Franklin Gothic Book" w:cstheme="minorHAnsi"/>
          <w:spacing w:val="-1"/>
          <w:sz w:val="24"/>
        </w:rPr>
        <w:t>OPEB</w:t>
      </w:r>
      <w:r w:rsidRPr="004E6649">
        <w:rPr>
          <w:rFonts w:eastAsia="Franklin Gothic Book" w:cstheme="minorHAnsi"/>
          <w:spacing w:val="9"/>
          <w:sz w:val="24"/>
        </w:rPr>
        <w:t xml:space="preserve"> </w:t>
      </w:r>
      <w:r w:rsidRPr="004E6649">
        <w:rPr>
          <w:rFonts w:eastAsia="Franklin Gothic Book" w:cstheme="minorHAnsi"/>
          <w:spacing w:val="-1"/>
          <w:sz w:val="24"/>
        </w:rPr>
        <w:t>P</w:t>
      </w:r>
      <w:r w:rsidRPr="004E6649">
        <w:rPr>
          <w:rFonts w:eastAsia="Franklin Gothic Book" w:cstheme="minorHAnsi"/>
          <w:sz w:val="24"/>
        </w:rPr>
        <w:t>lan</w:t>
      </w:r>
      <w:r w:rsidRPr="004E6649">
        <w:rPr>
          <w:rFonts w:eastAsia="Franklin Gothic Book" w:cstheme="minorHAnsi"/>
          <w:spacing w:val="11"/>
          <w:sz w:val="24"/>
        </w:rPr>
        <w:t xml:space="preserve"> </w:t>
      </w:r>
      <w:r w:rsidRPr="004E6649">
        <w:rPr>
          <w:rFonts w:eastAsia="Franklin Gothic Book" w:cstheme="minorHAnsi"/>
          <w:sz w:val="24"/>
        </w:rPr>
        <w:t>in</w:t>
      </w:r>
      <w:r w:rsidRPr="004E6649">
        <w:rPr>
          <w:rFonts w:eastAsia="Franklin Gothic Book" w:cstheme="minorHAnsi"/>
          <w:spacing w:val="-1"/>
          <w:sz w:val="24"/>
        </w:rPr>
        <w:t>v</w:t>
      </w:r>
      <w:r w:rsidRPr="004E6649">
        <w:rPr>
          <w:rFonts w:eastAsia="Franklin Gothic Book" w:cstheme="minorHAnsi"/>
          <w:sz w:val="24"/>
        </w:rPr>
        <w:t>es</w:t>
      </w:r>
      <w:r w:rsidRPr="004E6649">
        <w:rPr>
          <w:rFonts w:eastAsia="Franklin Gothic Book" w:cstheme="minorHAnsi"/>
          <w:spacing w:val="1"/>
          <w:sz w:val="24"/>
        </w:rPr>
        <w:t>t</w:t>
      </w:r>
      <w:r w:rsidRPr="004E6649">
        <w:rPr>
          <w:rFonts w:eastAsia="Franklin Gothic Book" w:cstheme="minorHAnsi"/>
          <w:sz w:val="24"/>
        </w:rPr>
        <w:t>ments</w:t>
      </w:r>
      <w:r w:rsidRPr="004E6649">
        <w:rPr>
          <w:rFonts w:eastAsia="Franklin Gothic Book" w:cstheme="minorHAnsi"/>
          <w:spacing w:val="12"/>
          <w:sz w:val="24"/>
        </w:rPr>
        <w:t xml:space="preserve"> </w:t>
      </w:r>
      <w:r w:rsidRPr="004E6649">
        <w:rPr>
          <w:rFonts w:eastAsia="Franklin Gothic Book" w:cstheme="minorHAnsi"/>
          <w:sz w:val="24"/>
        </w:rPr>
        <w:t>was</w:t>
      </w:r>
      <w:r w:rsidRPr="004E6649">
        <w:rPr>
          <w:rFonts w:eastAsia="Franklin Gothic Book" w:cstheme="minorHAnsi"/>
          <w:spacing w:val="12"/>
          <w:sz w:val="24"/>
        </w:rPr>
        <w:t xml:space="preserve"> </w:t>
      </w:r>
      <w:r w:rsidRPr="004E6649">
        <w:rPr>
          <w:rFonts w:eastAsia="Franklin Gothic Book" w:cstheme="minorHAnsi"/>
          <w:sz w:val="24"/>
        </w:rPr>
        <w:t>dete</w:t>
      </w:r>
      <w:r w:rsidRPr="004E6649">
        <w:rPr>
          <w:rFonts w:eastAsia="Franklin Gothic Book" w:cstheme="minorHAnsi"/>
          <w:spacing w:val="-1"/>
          <w:sz w:val="24"/>
        </w:rPr>
        <w:t>r</w:t>
      </w:r>
      <w:r w:rsidRPr="004E6649">
        <w:rPr>
          <w:rFonts w:eastAsia="Franklin Gothic Book" w:cstheme="minorHAnsi"/>
          <w:sz w:val="24"/>
        </w:rPr>
        <w:t>mined</w:t>
      </w:r>
      <w:r w:rsidRPr="004E6649">
        <w:rPr>
          <w:rFonts w:eastAsia="Franklin Gothic Book" w:cstheme="minorHAnsi"/>
          <w:spacing w:val="10"/>
          <w:sz w:val="24"/>
        </w:rPr>
        <w:t xml:space="preserve"> </w:t>
      </w:r>
      <w:r w:rsidRPr="004E6649">
        <w:rPr>
          <w:rFonts w:eastAsia="Franklin Gothic Book" w:cstheme="minorHAnsi"/>
          <w:sz w:val="24"/>
        </w:rPr>
        <w:t>u</w:t>
      </w:r>
      <w:r w:rsidRPr="004E6649">
        <w:rPr>
          <w:rFonts w:eastAsia="Franklin Gothic Book" w:cstheme="minorHAnsi"/>
          <w:spacing w:val="1"/>
          <w:sz w:val="24"/>
        </w:rPr>
        <w:t>s</w:t>
      </w:r>
      <w:r w:rsidRPr="004E6649">
        <w:rPr>
          <w:rFonts w:eastAsia="Franklin Gothic Book" w:cstheme="minorHAnsi"/>
          <w:sz w:val="24"/>
        </w:rPr>
        <w:t>ing</w:t>
      </w:r>
      <w:r w:rsidRPr="004E6649">
        <w:rPr>
          <w:rFonts w:eastAsia="Franklin Gothic Book" w:cstheme="minorHAnsi"/>
          <w:spacing w:val="11"/>
          <w:sz w:val="24"/>
        </w:rPr>
        <w:t xml:space="preserve"> </w:t>
      </w:r>
      <w:r w:rsidRPr="004E6649">
        <w:rPr>
          <w:rFonts w:eastAsia="Franklin Gothic Book" w:cstheme="minorHAnsi"/>
          <w:sz w:val="24"/>
        </w:rPr>
        <w:t>a</w:t>
      </w:r>
      <w:r w:rsidRPr="004E6649">
        <w:rPr>
          <w:rFonts w:eastAsia="Franklin Gothic Book" w:cstheme="minorHAnsi"/>
          <w:spacing w:val="10"/>
          <w:sz w:val="24"/>
        </w:rPr>
        <w:t xml:space="preserve"> </w:t>
      </w:r>
      <w:r w:rsidRPr="004E6649">
        <w:rPr>
          <w:rFonts w:eastAsia="Franklin Gothic Book" w:cstheme="minorHAnsi"/>
          <w:sz w:val="24"/>
        </w:rPr>
        <w:t>building-bl</w:t>
      </w:r>
      <w:r w:rsidRPr="004E6649">
        <w:rPr>
          <w:rFonts w:eastAsia="Franklin Gothic Book" w:cstheme="minorHAnsi"/>
          <w:spacing w:val="-1"/>
          <w:sz w:val="24"/>
        </w:rPr>
        <w:t>o</w:t>
      </w:r>
      <w:r w:rsidRPr="004E6649">
        <w:rPr>
          <w:rFonts w:eastAsia="Franklin Gothic Book" w:cstheme="minorHAnsi"/>
          <w:sz w:val="24"/>
        </w:rPr>
        <w:t>ck</w:t>
      </w:r>
      <w:r w:rsidRPr="004E6649">
        <w:rPr>
          <w:rFonts w:eastAsia="Franklin Gothic Book" w:cstheme="minorHAnsi"/>
          <w:w w:val="99"/>
          <w:sz w:val="24"/>
        </w:rPr>
        <w:t xml:space="preserve"> </w:t>
      </w:r>
      <w:r w:rsidRPr="004E6649">
        <w:rPr>
          <w:rFonts w:eastAsia="Franklin Gothic Book" w:cstheme="minorHAnsi"/>
          <w:sz w:val="24"/>
        </w:rPr>
        <w:t>method</w:t>
      </w:r>
      <w:r w:rsidRPr="004E6649">
        <w:rPr>
          <w:rFonts w:eastAsia="Franklin Gothic Book" w:cstheme="minorHAnsi"/>
          <w:spacing w:val="34"/>
          <w:sz w:val="24"/>
        </w:rPr>
        <w:t xml:space="preserve"> </w:t>
      </w:r>
      <w:r w:rsidRPr="004E6649">
        <w:rPr>
          <w:rFonts w:eastAsia="Franklin Gothic Book" w:cstheme="minorHAnsi"/>
          <w:sz w:val="24"/>
        </w:rPr>
        <w:t>in</w:t>
      </w:r>
      <w:r w:rsidRPr="004E6649">
        <w:rPr>
          <w:rFonts w:eastAsia="Franklin Gothic Book" w:cstheme="minorHAnsi"/>
          <w:spacing w:val="33"/>
          <w:sz w:val="24"/>
        </w:rPr>
        <w:t xml:space="preserve"> </w:t>
      </w:r>
      <w:r w:rsidRPr="004E6649">
        <w:rPr>
          <w:rFonts w:eastAsia="Franklin Gothic Book" w:cstheme="minorHAnsi"/>
          <w:sz w:val="24"/>
        </w:rPr>
        <w:t>which</w:t>
      </w:r>
      <w:r w:rsidRPr="004E6649">
        <w:rPr>
          <w:rFonts w:eastAsia="Franklin Gothic Book" w:cstheme="minorHAnsi"/>
          <w:spacing w:val="34"/>
          <w:sz w:val="24"/>
        </w:rPr>
        <w:t xml:space="preserve"> </w:t>
      </w:r>
      <w:r w:rsidRPr="004E6649">
        <w:rPr>
          <w:rFonts w:eastAsia="Franklin Gothic Book" w:cstheme="minorHAnsi"/>
          <w:sz w:val="24"/>
        </w:rPr>
        <w:t>bes</w:t>
      </w:r>
      <w:r w:rsidRPr="004E6649">
        <w:rPr>
          <w:rFonts w:eastAsia="Franklin Gothic Book" w:cstheme="minorHAnsi"/>
          <w:spacing w:val="1"/>
          <w:sz w:val="24"/>
        </w:rPr>
        <w:t>t</w:t>
      </w:r>
      <w:r w:rsidRPr="004E6649">
        <w:rPr>
          <w:rFonts w:eastAsia="Franklin Gothic Book" w:cstheme="minorHAnsi"/>
          <w:sz w:val="24"/>
        </w:rPr>
        <w:t>-es</w:t>
      </w:r>
      <w:r w:rsidRPr="004E6649">
        <w:rPr>
          <w:rFonts w:eastAsia="Franklin Gothic Book" w:cstheme="minorHAnsi"/>
          <w:spacing w:val="1"/>
          <w:sz w:val="24"/>
        </w:rPr>
        <w:t>t</w:t>
      </w:r>
      <w:r w:rsidRPr="004E6649">
        <w:rPr>
          <w:rFonts w:eastAsia="Franklin Gothic Book" w:cstheme="minorHAnsi"/>
          <w:sz w:val="24"/>
        </w:rPr>
        <w:t>ima</w:t>
      </w:r>
      <w:r w:rsidRPr="004E6649">
        <w:rPr>
          <w:rFonts w:eastAsia="Franklin Gothic Book" w:cstheme="minorHAnsi"/>
          <w:spacing w:val="1"/>
          <w:sz w:val="24"/>
        </w:rPr>
        <w:t>t</w:t>
      </w:r>
      <w:r w:rsidRPr="004E6649">
        <w:rPr>
          <w:rFonts w:eastAsia="Franklin Gothic Book" w:cstheme="minorHAnsi"/>
          <w:sz w:val="24"/>
        </w:rPr>
        <w:t>e</w:t>
      </w:r>
      <w:r w:rsidRPr="004E6649">
        <w:rPr>
          <w:rFonts w:eastAsia="Franklin Gothic Book" w:cstheme="minorHAnsi"/>
          <w:spacing w:val="35"/>
          <w:sz w:val="24"/>
        </w:rPr>
        <w:t xml:space="preserve"> </w:t>
      </w:r>
      <w:r w:rsidRPr="004E6649">
        <w:rPr>
          <w:rFonts w:eastAsia="Franklin Gothic Book" w:cstheme="minorHAnsi"/>
          <w:spacing w:val="-1"/>
          <w:sz w:val="24"/>
        </w:rPr>
        <w:t>r</w:t>
      </w:r>
      <w:r w:rsidRPr="004E6649">
        <w:rPr>
          <w:rFonts w:eastAsia="Franklin Gothic Book" w:cstheme="minorHAnsi"/>
          <w:sz w:val="24"/>
        </w:rPr>
        <w:t>anges</w:t>
      </w:r>
      <w:r w:rsidRPr="004E6649">
        <w:rPr>
          <w:rFonts w:eastAsia="Franklin Gothic Book" w:cstheme="minorHAnsi"/>
          <w:spacing w:val="34"/>
          <w:sz w:val="24"/>
        </w:rPr>
        <w:t xml:space="preserve"> </w:t>
      </w:r>
      <w:r w:rsidRPr="004E6649">
        <w:rPr>
          <w:rFonts w:eastAsia="Franklin Gothic Book" w:cstheme="minorHAnsi"/>
          <w:spacing w:val="-1"/>
          <w:sz w:val="24"/>
        </w:rPr>
        <w:t>o</w:t>
      </w:r>
      <w:r w:rsidRPr="004E6649">
        <w:rPr>
          <w:rFonts w:eastAsia="Franklin Gothic Book" w:cstheme="minorHAnsi"/>
          <w:sz w:val="24"/>
        </w:rPr>
        <w:t>f</w:t>
      </w:r>
      <w:r w:rsidRPr="004E6649">
        <w:rPr>
          <w:rFonts w:eastAsia="Franklin Gothic Book" w:cstheme="minorHAnsi"/>
          <w:spacing w:val="34"/>
          <w:sz w:val="24"/>
        </w:rPr>
        <w:t xml:space="preserve"> </w:t>
      </w:r>
      <w:r w:rsidRPr="004E6649">
        <w:rPr>
          <w:rFonts w:eastAsia="Franklin Gothic Book" w:cstheme="minorHAnsi"/>
          <w:sz w:val="24"/>
        </w:rPr>
        <w:t>e</w:t>
      </w:r>
      <w:r w:rsidRPr="004E6649">
        <w:rPr>
          <w:rFonts w:eastAsia="Franklin Gothic Book" w:cstheme="minorHAnsi"/>
          <w:spacing w:val="-1"/>
          <w:sz w:val="24"/>
        </w:rPr>
        <w:t>xp</w:t>
      </w:r>
      <w:r w:rsidRPr="004E6649">
        <w:rPr>
          <w:rFonts w:eastAsia="Franklin Gothic Book" w:cstheme="minorHAnsi"/>
          <w:sz w:val="24"/>
        </w:rPr>
        <w:t>ec</w:t>
      </w:r>
      <w:r w:rsidRPr="004E6649">
        <w:rPr>
          <w:rFonts w:eastAsia="Franklin Gothic Book" w:cstheme="minorHAnsi"/>
          <w:spacing w:val="1"/>
          <w:sz w:val="24"/>
        </w:rPr>
        <w:t>t</w:t>
      </w:r>
      <w:r w:rsidRPr="004E6649">
        <w:rPr>
          <w:rFonts w:eastAsia="Franklin Gothic Book" w:cstheme="minorHAnsi"/>
          <w:sz w:val="24"/>
        </w:rPr>
        <w:t>ed</w:t>
      </w:r>
      <w:r w:rsidRPr="004E6649">
        <w:rPr>
          <w:rFonts w:eastAsia="Franklin Gothic Book" w:cstheme="minorHAnsi"/>
          <w:spacing w:val="31"/>
          <w:sz w:val="24"/>
        </w:rPr>
        <w:t xml:space="preserve"> </w:t>
      </w:r>
      <w:r w:rsidRPr="004E6649">
        <w:rPr>
          <w:rFonts w:eastAsia="Franklin Gothic Book" w:cstheme="minorHAnsi"/>
          <w:sz w:val="24"/>
        </w:rPr>
        <w:t>fu</w:t>
      </w:r>
      <w:r w:rsidRPr="004E6649">
        <w:rPr>
          <w:rFonts w:eastAsia="Franklin Gothic Book" w:cstheme="minorHAnsi"/>
          <w:spacing w:val="1"/>
          <w:sz w:val="24"/>
        </w:rPr>
        <w:t>t</w:t>
      </w:r>
      <w:r w:rsidRPr="004E6649">
        <w:rPr>
          <w:rFonts w:eastAsia="Franklin Gothic Book" w:cstheme="minorHAnsi"/>
          <w:sz w:val="24"/>
        </w:rPr>
        <w:t>u</w:t>
      </w:r>
      <w:r w:rsidRPr="004E6649">
        <w:rPr>
          <w:rFonts w:eastAsia="Franklin Gothic Book" w:cstheme="minorHAnsi"/>
          <w:spacing w:val="-1"/>
          <w:sz w:val="24"/>
        </w:rPr>
        <w:t>r</w:t>
      </w:r>
      <w:r w:rsidRPr="004E6649">
        <w:rPr>
          <w:rFonts w:eastAsia="Franklin Gothic Book" w:cstheme="minorHAnsi"/>
          <w:sz w:val="24"/>
        </w:rPr>
        <w:t>e</w:t>
      </w:r>
      <w:r w:rsidRPr="004E6649">
        <w:rPr>
          <w:rFonts w:eastAsia="Franklin Gothic Book" w:cstheme="minorHAnsi"/>
          <w:spacing w:val="34"/>
          <w:sz w:val="24"/>
        </w:rPr>
        <w:t xml:space="preserve"> </w:t>
      </w:r>
      <w:r w:rsidRPr="004E6649">
        <w:rPr>
          <w:rFonts w:eastAsia="Franklin Gothic Book" w:cstheme="minorHAnsi"/>
          <w:spacing w:val="-1"/>
          <w:sz w:val="24"/>
        </w:rPr>
        <w:t>r</w:t>
      </w:r>
      <w:r w:rsidRPr="004E6649">
        <w:rPr>
          <w:rFonts w:eastAsia="Franklin Gothic Book" w:cstheme="minorHAnsi"/>
          <w:sz w:val="24"/>
        </w:rPr>
        <w:t>eal</w:t>
      </w:r>
      <w:r w:rsidRPr="004E6649">
        <w:rPr>
          <w:rFonts w:eastAsia="Franklin Gothic Book" w:cstheme="minorHAnsi"/>
          <w:spacing w:val="31"/>
          <w:sz w:val="24"/>
        </w:rPr>
        <w:t xml:space="preserve"> </w:t>
      </w:r>
      <w:r w:rsidRPr="004E6649">
        <w:rPr>
          <w:rFonts w:eastAsia="Franklin Gothic Book" w:cstheme="minorHAnsi"/>
          <w:spacing w:val="-1"/>
          <w:sz w:val="24"/>
        </w:rPr>
        <w:t>r</w:t>
      </w:r>
      <w:r w:rsidRPr="004E6649">
        <w:rPr>
          <w:rFonts w:eastAsia="Franklin Gothic Book" w:cstheme="minorHAnsi"/>
          <w:sz w:val="24"/>
        </w:rPr>
        <w:t>a</w:t>
      </w:r>
      <w:r w:rsidRPr="004E6649">
        <w:rPr>
          <w:rFonts w:eastAsia="Franklin Gothic Book" w:cstheme="minorHAnsi"/>
          <w:spacing w:val="1"/>
          <w:sz w:val="24"/>
        </w:rPr>
        <w:t>t</w:t>
      </w:r>
      <w:r w:rsidRPr="004E6649">
        <w:rPr>
          <w:rFonts w:eastAsia="Franklin Gothic Book" w:cstheme="minorHAnsi"/>
          <w:sz w:val="24"/>
        </w:rPr>
        <w:t>es</w:t>
      </w:r>
      <w:r w:rsidRPr="004E6649">
        <w:rPr>
          <w:rFonts w:eastAsia="Franklin Gothic Book" w:cstheme="minorHAnsi"/>
          <w:spacing w:val="34"/>
          <w:sz w:val="24"/>
        </w:rPr>
        <w:t xml:space="preserve"> </w:t>
      </w:r>
      <w:r w:rsidRPr="004E6649">
        <w:rPr>
          <w:rFonts w:eastAsia="Franklin Gothic Book" w:cstheme="minorHAnsi"/>
          <w:spacing w:val="-1"/>
          <w:sz w:val="24"/>
        </w:rPr>
        <w:t>o</w:t>
      </w:r>
      <w:r w:rsidRPr="004E6649">
        <w:rPr>
          <w:rFonts w:eastAsia="Franklin Gothic Book" w:cstheme="minorHAnsi"/>
          <w:sz w:val="24"/>
        </w:rPr>
        <w:t>f</w:t>
      </w:r>
      <w:r w:rsidRPr="004E6649">
        <w:rPr>
          <w:rFonts w:eastAsia="Franklin Gothic Book" w:cstheme="minorHAnsi"/>
          <w:spacing w:val="31"/>
          <w:sz w:val="24"/>
        </w:rPr>
        <w:t xml:space="preserve"> </w:t>
      </w:r>
      <w:r w:rsidRPr="004E6649">
        <w:rPr>
          <w:rFonts w:eastAsia="Franklin Gothic Book" w:cstheme="minorHAnsi"/>
          <w:spacing w:val="-1"/>
          <w:sz w:val="24"/>
        </w:rPr>
        <w:t>r</w:t>
      </w:r>
      <w:r w:rsidRPr="004E6649">
        <w:rPr>
          <w:rFonts w:eastAsia="Franklin Gothic Book" w:cstheme="minorHAnsi"/>
          <w:sz w:val="24"/>
        </w:rPr>
        <w:t xml:space="preserve">eturn </w:t>
      </w:r>
      <w:r w:rsidRPr="004E6649">
        <w:rPr>
          <w:rFonts w:eastAsia="Franklin Gothic Book" w:cstheme="minorHAnsi"/>
          <w:spacing w:val="-1"/>
          <w:sz w:val="24"/>
        </w:rPr>
        <w:t>(</w:t>
      </w:r>
      <w:r w:rsidRPr="004E6649">
        <w:rPr>
          <w:rFonts w:eastAsia="Franklin Gothic Book" w:cstheme="minorHAnsi"/>
          <w:sz w:val="24"/>
        </w:rPr>
        <w:t>e</w:t>
      </w:r>
      <w:r w:rsidRPr="004E6649">
        <w:rPr>
          <w:rFonts w:eastAsia="Franklin Gothic Book" w:cstheme="minorHAnsi"/>
          <w:spacing w:val="-1"/>
          <w:sz w:val="24"/>
        </w:rPr>
        <w:t>xp</w:t>
      </w:r>
      <w:r w:rsidRPr="004E6649">
        <w:rPr>
          <w:rFonts w:eastAsia="Franklin Gothic Book" w:cstheme="minorHAnsi"/>
          <w:sz w:val="24"/>
        </w:rPr>
        <w:t>ec</w:t>
      </w:r>
      <w:r w:rsidRPr="004E6649">
        <w:rPr>
          <w:rFonts w:eastAsia="Franklin Gothic Book" w:cstheme="minorHAnsi"/>
          <w:spacing w:val="1"/>
          <w:sz w:val="24"/>
        </w:rPr>
        <w:t>t</w:t>
      </w:r>
      <w:r w:rsidRPr="004E6649">
        <w:rPr>
          <w:rFonts w:eastAsia="Franklin Gothic Book" w:cstheme="minorHAnsi"/>
          <w:sz w:val="24"/>
        </w:rPr>
        <w:t>ed</w:t>
      </w:r>
      <w:r w:rsidRPr="004E6649">
        <w:rPr>
          <w:rFonts w:eastAsia="Franklin Gothic Book" w:cstheme="minorHAnsi"/>
          <w:spacing w:val="31"/>
          <w:sz w:val="24"/>
        </w:rPr>
        <w:t xml:space="preserve"> </w:t>
      </w:r>
      <w:r w:rsidRPr="004E6649">
        <w:rPr>
          <w:rFonts w:eastAsia="Franklin Gothic Book" w:cstheme="minorHAnsi"/>
          <w:spacing w:val="-1"/>
          <w:sz w:val="24"/>
        </w:rPr>
        <w:t>r</w:t>
      </w:r>
      <w:r w:rsidRPr="004E6649">
        <w:rPr>
          <w:rFonts w:eastAsia="Franklin Gothic Book" w:cstheme="minorHAnsi"/>
          <w:sz w:val="24"/>
        </w:rPr>
        <w:t>eturn</w:t>
      </w:r>
      <w:r w:rsidRPr="004E6649">
        <w:rPr>
          <w:rFonts w:eastAsia="Franklin Gothic Book" w:cstheme="minorHAnsi"/>
          <w:spacing w:val="1"/>
          <w:sz w:val="24"/>
        </w:rPr>
        <w:t>s</w:t>
      </w:r>
      <w:r w:rsidRPr="004E6649">
        <w:rPr>
          <w:rFonts w:eastAsia="Franklin Gothic Book" w:cstheme="minorHAnsi"/>
          <w:sz w:val="24"/>
        </w:rPr>
        <w:t>,</w:t>
      </w:r>
      <w:r w:rsidRPr="004E6649">
        <w:rPr>
          <w:rFonts w:eastAsia="Franklin Gothic Book" w:cstheme="minorHAnsi"/>
          <w:spacing w:val="34"/>
          <w:sz w:val="24"/>
        </w:rPr>
        <w:t xml:space="preserve"> </w:t>
      </w:r>
      <w:r w:rsidRPr="004E6649">
        <w:rPr>
          <w:rFonts w:eastAsia="Franklin Gothic Book" w:cstheme="minorHAnsi"/>
          <w:sz w:val="24"/>
        </w:rPr>
        <w:t>net</w:t>
      </w:r>
      <w:r w:rsidRPr="004E6649">
        <w:rPr>
          <w:rFonts w:eastAsia="Franklin Gothic Book" w:cstheme="minorHAnsi"/>
          <w:spacing w:val="32"/>
          <w:sz w:val="24"/>
        </w:rPr>
        <w:t xml:space="preserve"> </w:t>
      </w:r>
      <w:r w:rsidRPr="004E6649">
        <w:rPr>
          <w:rFonts w:eastAsia="Franklin Gothic Book" w:cstheme="minorHAnsi"/>
          <w:spacing w:val="-1"/>
          <w:sz w:val="24"/>
        </w:rPr>
        <w:t>of</w:t>
      </w:r>
      <w:r w:rsidRPr="004E6649">
        <w:rPr>
          <w:rFonts w:eastAsia="Franklin Gothic Book" w:cstheme="minorHAnsi"/>
          <w:spacing w:val="-1"/>
          <w:w w:val="99"/>
          <w:sz w:val="24"/>
        </w:rPr>
        <w:t xml:space="preserve"> </w:t>
      </w:r>
      <w:r w:rsidRPr="004E6649">
        <w:rPr>
          <w:rFonts w:eastAsia="Franklin Gothic Book" w:cstheme="minorHAnsi"/>
          <w:spacing w:val="-1"/>
          <w:sz w:val="24"/>
        </w:rPr>
        <w:t>OPEB Pl</w:t>
      </w:r>
      <w:r w:rsidRPr="004E6649">
        <w:rPr>
          <w:rFonts w:eastAsia="Franklin Gothic Book" w:cstheme="minorHAnsi"/>
          <w:sz w:val="24"/>
        </w:rPr>
        <w:t>an</w:t>
      </w:r>
      <w:r w:rsidRPr="004E6649">
        <w:rPr>
          <w:rFonts w:eastAsia="Franklin Gothic Book" w:cstheme="minorHAnsi"/>
          <w:spacing w:val="-5"/>
          <w:sz w:val="24"/>
        </w:rPr>
        <w:t xml:space="preserve"> </w:t>
      </w:r>
      <w:r w:rsidRPr="004E6649">
        <w:rPr>
          <w:rFonts w:eastAsia="Franklin Gothic Book" w:cstheme="minorHAnsi"/>
          <w:sz w:val="24"/>
        </w:rPr>
        <w:t>in</w:t>
      </w:r>
      <w:r w:rsidRPr="004E6649">
        <w:rPr>
          <w:rFonts w:eastAsia="Franklin Gothic Book" w:cstheme="minorHAnsi"/>
          <w:spacing w:val="-1"/>
          <w:sz w:val="24"/>
        </w:rPr>
        <w:t>v</w:t>
      </w:r>
      <w:r w:rsidRPr="004E6649">
        <w:rPr>
          <w:rFonts w:eastAsia="Franklin Gothic Book" w:cstheme="minorHAnsi"/>
          <w:sz w:val="24"/>
        </w:rPr>
        <w:t>es</w:t>
      </w:r>
      <w:r w:rsidRPr="004E6649">
        <w:rPr>
          <w:rFonts w:eastAsia="Franklin Gothic Book" w:cstheme="minorHAnsi"/>
          <w:spacing w:val="1"/>
          <w:sz w:val="24"/>
        </w:rPr>
        <w:t>t</w:t>
      </w:r>
      <w:r w:rsidRPr="004E6649">
        <w:rPr>
          <w:rFonts w:eastAsia="Franklin Gothic Book" w:cstheme="minorHAnsi"/>
          <w:sz w:val="24"/>
        </w:rPr>
        <w:t>ment</w:t>
      </w:r>
      <w:r w:rsidRPr="004E6649">
        <w:rPr>
          <w:rFonts w:eastAsia="Franklin Gothic Book" w:cstheme="minorHAnsi"/>
          <w:spacing w:val="-4"/>
          <w:sz w:val="24"/>
        </w:rPr>
        <w:t xml:space="preserve"> </w:t>
      </w:r>
      <w:r w:rsidRPr="004E6649">
        <w:rPr>
          <w:rFonts w:eastAsia="Franklin Gothic Book" w:cstheme="minorHAnsi"/>
          <w:sz w:val="24"/>
        </w:rPr>
        <w:t>e</w:t>
      </w:r>
      <w:r w:rsidRPr="004E6649">
        <w:rPr>
          <w:rFonts w:eastAsia="Franklin Gothic Book" w:cstheme="minorHAnsi"/>
          <w:spacing w:val="-1"/>
          <w:sz w:val="24"/>
        </w:rPr>
        <w:t>xp</w:t>
      </w:r>
      <w:r w:rsidRPr="004E6649">
        <w:rPr>
          <w:rFonts w:eastAsia="Franklin Gothic Book" w:cstheme="minorHAnsi"/>
          <w:sz w:val="24"/>
        </w:rPr>
        <w:t>ense</w:t>
      </w:r>
      <w:r w:rsidRPr="004E6649">
        <w:rPr>
          <w:rFonts w:eastAsia="Franklin Gothic Book" w:cstheme="minorHAnsi"/>
          <w:spacing w:val="-4"/>
          <w:sz w:val="24"/>
        </w:rPr>
        <w:t xml:space="preserve"> </w:t>
      </w:r>
      <w:r w:rsidRPr="004E6649">
        <w:rPr>
          <w:rFonts w:eastAsia="Franklin Gothic Book" w:cstheme="minorHAnsi"/>
          <w:sz w:val="24"/>
        </w:rPr>
        <w:t>and</w:t>
      </w:r>
      <w:r w:rsidRPr="004E6649">
        <w:rPr>
          <w:rFonts w:eastAsia="Franklin Gothic Book" w:cstheme="minorHAnsi"/>
          <w:spacing w:val="-5"/>
          <w:sz w:val="24"/>
        </w:rPr>
        <w:t xml:space="preserve"> </w:t>
      </w:r>
      <w:r w:rsidRPr="004E6649">
        <w:rPr>
          <w:rFonts w:eastAsia="Franklin Gothic Book" w:cstheme="minorHAnsi"/>
          <w:sz w:val="24"/>
        </w:rPr>
        <w:t>infla</w:t>
      </w:r>
      <w:r w:rsidRPr="004E6649">
        <w:rPr>
          <w:rFonts w:eastAsia="Franklin Gothic Book" w:cstheme="minorHAnsi"/>
          <w:spacing w:val="1"/>
          <w:sz w:val="24"/>
        </w:rPr>
        <w:t>t</w:t>
      </w:r>
      <w:r w:rsidRPr="004E6649">
        <w:rPr>
          <w:rFonts w:eastAsia="Franklin Gothic Book" w:cstheme="minorHAnsi"/>
          <w:sz w:val="24"/>
        </w:rPr>
        <w:t>ion)</w:t>
      </w:r>
      <w:r w:rsidRPr="004E6649">
        <w:rPr>
          <w:rFonts w:eastAsia="Franklin Gothic Book" w:cstheme="minorHAnsi"/>
          <w:spacing w:val="-4"/>
          <w:sz w:val="24"/>
        </w:rPr>
        <w:t xml:space="preserve"> </w:t>
      </w:r>
      <w:r w:rsidRPr="004E6649">
        <w:rPr>
          <w:rFonts w:eastAsia="Franklin Gothic Book" w:cstheme="minorHAnsi"/>
          <w:sz w:val="24"/>
        </w:rPr>
        <w:t>a</w:t>
      </w:r>
      <w:r w:rsidRPr="004E6649">
        <w:rPr>
          <w:rFonts w:eastAsia="Franklin Gothic Book" w:cstheme="minorHAnsi"/>
          <w:spacing w:val="-1"/>
          <w:sz w:val="24"/>
        </w:rPr>
        <w:t>r</w:t>
      </w:r>
      <w:r w:rsidRPr="004E6649">
        <w:rPr>
          <w:rFonts w:eastAsia="Franklin Gothic Book" w:cstheme="minorHAnsi"/>
          <w:sz w:val="24"/>
        </w:rPr>
        <w:t>e</w:t>
      </w:r>
      <w:r w:rsidRPr="004E6649">
        <w:rPr>
          <w:rFonts w:eastAsia="Franklin Gothic Book" w:cstheme="minorHAnsi"/>
          <w:spacing w:val="-5"/>
          <w:sz w:val="24"/>
        </w:rPr>
        <w:t xml:space="preserve"> </w:t>
      </w:r>
      <w:r w:rsidRPr="004E6649">
        <w:rPr>
          <w:rFonts w:eastAsia="Franklin Gothic Book" w:cstheme="minorHAnsi"/>
          <w:sz w:val="24"/>
        </w:rPr>
        <w:t>de</w:t>
      </w:r>
      <w:r w:rsidRPr="004E6649">
        <w:rPr>
          <w:rFonts w:eastAsia="Franklin Gothic Book" w:cstheme="minorHAnsi"/>
          <w:spacing w:val="-2"/>
          <w:sz w:val="24"/>
        </w:rPr>
        <w:t>v</w:t>
      </w:r>
      <w:r w:rsidRPr="004E6649">
        <w:rPr>
          <w:rFonts w:eastAsia="Franklin Gothic Book" w:cstheme="minorHAnsi"/>
          <w:sz w:val="24"/>
        </w:rPr>
        <w:t>e</w:t>
      </w:r>
      <w:r w:rsidRPr="004E6649">
        <w:rPr>
          <w:rFonts w:eastAsia="Franklin Gothic Book" w:cstheme="minorHAnsi"/>
          <w:spacing w:val="-1"/>
          <w:sz w:val="24"/>
        </w:rPr>
        <w:t>l</w:t>
      </w:r>
      <w:r w:rsidRPr="004E6649">
        <w:rPr>
          <w:rFonts w:eastAsia="Franklin Gothic Book" w:cstheme="minorHAnsi"/>
          <w:sz w:val="24"/>
        </w:rPr>
        <w:t>o</w:t>
      </w:r>
      <w:r w:rsidRPr="004E6649">
        <w:rPr>
          <w:rFonts w:eastAsia="Franklin Gothic Book" w:cstheme="minorHAnsi"/>
          <w:spacing w:val="-2"/>
          <w:sz w:val="24"/>
        </w:rPr>
        <w:t>p</w:t>
      </w:r>
      <w:r w:rsidRPr="004E6649">
        <w:rPr>
          <w:rFonts w:eastAsia="Franklin Gothic Book" w:cstheme="minorHAnsi"/>
          <w:sz w:val="24"/>
        </w:rPr>
        <w:t>ed</w:t>
      </w:r>
      <w:r w:rsidRPr="004E6649">
        <w:rPr>
          <w:rFonts w:eastAsia="Franklin Gothic Book" w:cstheme="minorHAnsi"/>
          <w:spacing w:val="-2"/>
          <w:sz w:val="24"/>
        </w:rPr>
        <w:t xml:space="preserve"> </w:t>
      </w:r>
      <w:r w:rsidRPr="004E6649">
        <w:rPr>
          <w:rFonts w:eastAsia="Franklin Gothic Book" w:cstheme="minorHAnsi"/>
          <w:sz w:val="24"/>
        </w:rPr>
        <w:t>for</w:t>
      </w:r>
      <w:r w:rsidRPr="004E6649">
        <w:rPr>
          <w:rFonts w:eastAsia="Franklin Gothic Book" w:cstheme="minorHAnsi"/>
          <w:spacing w:val="-5"/>
          <w:sz w:val="24"/>
        </w:rPr>
        <w:t xml:space="preserve"> </w:t>
      </w:r>
      <w:r w:rsidRPr="004E6649">
        <w:rPr>
          <w:rFonts w:eastAsia="Franklin Gothic Book" w:cstheme="minorHAnsi"/>
          <w:sz w:val="24"/>
        </w:rPr>
        <w:t>each</w:t>
      </w:r>
      <w:r w:rsidRPr="004E6649">
        <w:rPr>
          <w:rFonts w:eastAsia="Franklin Gothic Book" w:cstheme="minorHAnsi"/>
          <w:spacing w:val="-2"/>
          <w:sz w:val="24"/>
        </w:rPr>
        <w:t xml:space="preserve"> </w:t>
      </w:r>
      <w:r w:rsidRPr="004E6649">
        <w:rPr>
          <w:rFonts w:eastAsia="Franklin Gothic Book" w:cstheme="minorHAnsi"/>
          <w:sz w:val="24"/>
        </w:rPr>
        <w:t>major</w:t>
      </w:r>
      <w:r w:rsidRPr="004E6649">
        <w:rPr>
          <w:rFonts w:eastAsia="Franklin Gothic Book" w:cstheme="minorHAnsi"/>
          <w:spacing w:val="-6"/>
          <w:sz w:val="24"/>
        </w:rPr>
        <w:t xml:space="preserve"> </w:t>
      </w:r>
      <w:r w:rsidRPr="004E6649">
        <w:rPr>
          <w:rFonts w:eastAsia="Franklin Gothic Book" w:cstheme="minorHAnsi"/>
          <w:sz w:val="24"/>
        </w:rPr>
        <w:t>a</w:t>
      </w:r>
      <w:r w:rsidRPr="004E6649">
        <w:rPr>
          <w:rFonts w:eastAsia="Franklin Gothic Book" w:cstheme="minorHAnsi"/>
          <w:spacing w:val="1"/>
          <w:sz w:val="24"/>
        </w:rPr>
        <w:t>ss</w:t>
      </w:r>
      <w:r w:rsidRPr="004E6649">
        <w:rPr>
          <w:rFonts w:eastAsia="Franklin Gothic Book" w:cstheme="minorHAnsi"/>
          <w:sz w:val="24"/>
        </w:rPr>
        <w:t>et</w:t>
      </w:r>
      <w:r w:rsidRPr="004E6649">
        <w:rPr>
          <w:rFonts w:eastAsia="Franklin Gothic Book" w:cstheme="minorHAnsi"/>
          <w:spacing w:val="-1"/>
          <w:sz w:val="24"/>
        </w:rPr>
        <w:t xml:space="preserve"> </w:t>
      </w:r>
      <w:r w:rsidRPr="004E6649">
        <w:rPr>
          <w:rFonts w:eastAsia="Franklin Gothic Book" w:cstheme="minorHAnsi"/>
          <w:sz w:val="24"/>
        </w:rPr>
        <w:t>cla</w:t>
      </w:r>
      <w:r w:rsidRPr="004E6649">
        <w:rPr>
          <w:rFonts w:eastAsia="Franklin Gothic Book" w:cstheme="minorHAnsi"/>
          <w:spacing w:val="1"/>
          <w:sz w:val="24"/>
        </w:rPr>
        <w:t>ss</w:t>
      </w:r>
      <w:r w:rsidRPr="004E6649">
        <w:rPr>
          <w:rFonts w:eastAsia="Franklin Gothic Book" w:cstheme="minorHAnsi"/>
          <w:sz w:val="24"/>
        </w:rPr>
        <w:t>.</w:t>
      </w:r>
      <w:r w:rsidRPr="004E6649">
        <w:rPr>
          <w:rFonts w:eastAsia="Franklin Gothic Book" w:cstheme="minorHAnsi"/>
          <w:spacing w:val="41"/>
          <w:sz w:val="24"/>
        </w:rPr>
        <w:t xml:space="preserve"> </w:t>
      </w:r>
      <w:r w:rsidRPr="004E6649">
        <w:rPr>
          <w:rFonts w:eastAsia="Franklin Gothic Book" w:cstheme="minorHAnsi"/>
          <w:spacing w:val="-1"/>
          <w:sz w:val="24"/>
        </w:rPr>
        <w:t>T</w:t>
      </w:r>
      <w:r w:rsidRPr="004E6649">
        <w:rPr>
          <w:rFonts w:eastAsia="Franklin Gothic Book" w:cstheme="minorHAnsi"/>
          <w:sz w:val="24"/>
        </w:rPr>
        <w:t>hese</w:t>
      </w:r>
      <w:r w:rsidRPr="004E6649">
        <w:rPr>
          <w:rFonts w:eastAsia="Franklin Gothic Book" w:cstheme="minorHAnsi"/>
          <w:spacing w:val="-3"/>
          <w:sz w:val="24"/>
        </w:rPr>
        <w:t xml:space="preserve"> </w:t>
      </w:r>
      <w:r w:rsidRPr="004E6649">
        <w:rPr>
          <w:rFonts w:eastAsia="Franklin Gothic Book" w:cstheme="minorHAnsi"/>
          <w:spacing w:val="-1"/>
          <w:sz w:val="24"/>
        </w:rPr>
        <w:t>r</w:t>
      </w:r>
      <w:r w:rsidRPr="004E6649">
        <w:rPr>
          <w:rFonts w:eastAsia="Franklin Gothic Book" w:cstheme="minorHAnsi"/>
          <w:sz w:val="24"/>
        </w:rPr>
        <w:t>anges</w:t>
      </w:r>
      <w:r w:rsidRPr="004E6649">
        <w:rPr>
          <w:rFonts w:eastAsia="Franklin Gothic Book" w:cstheme="minorHAnsi"/>
          <w:spacing w:val="-3"/>
          <w:sz w:val="24"/>
        </w:rPr>
        <w:t xml:space="preserve"> </w:t>
      </w:r>
      <w:r w:rsidRPr="004E6649">
        <w:rPr>
          <w:rFonts w:eastAsia="Franklin Gothic Book" w:cstheme="minorHAnsi"/>
          <w:sz w:val="24"/>
        </w:rPr>
        <w:t>a</w:t>
      </w:r>
      <w:r w:rsidRPr="004E6649">
        <w:rPr>
          <w:rFonts w:eastAsia="Franklin Gothic Book" w:cstheme="minorHAnsi"/>
          <w:spacing w:val="-1"/>
          <w:sz w:val="24"/>
        </w:rPr>
        <w:t>r</w:t>
      </w:r>
      <w:r w:rsidRPr="004E6649">
        <w:rPr>
          <w:rFonts w:eastAsia="Franklin Gothic Book" w:cstheme="minorHAnsi"/>
          <w:sz w:val="24"/>
        </w:rPr>
        <w:t>e</w:t>
      </w:r>
      <w:r w:rsidRPr="004E6649">
        <w:rPr>
          <w:rFonts w:eastAsia="Franklin Gothic Book" w:cstheme="minorHAnsi"/>
          <w:w w:val="99"/>
          <w:sz w:val="24"/>
        </w:rPr>
        <w:t xml:space="preserve"> </w:t>
      </w:r>
      <w:r w:rsidRPr="004E6649">
        <w:rPr>
          <w:rFonts w:eastAsia="Franklin Gothic Book" w:cstheme="minorHAnsi"/>
          <w:sz w:val="24"/>
        </w:rPr>
        <w:t>combined</w:t>
      </w:r>
      <w:r w:rsidRPr="004E6649">
        <w:rPr>
          <w:rFonts w:eastAsia="Franklin Gothic Book" w:cstheme="minorHAnsi"/>
          <w:spacing w:val="15"/>
          <w:sz w:val="24"/>
        </w:rPr>
        <w:t xml:space="preserve"> </w:t>
      </w:r>
      <w:r w:rsidRPr="004E6649">
        <w:rPr>
          <w:rFonts w:eastAsia="Franklin Gothic Book" w:cstheme="minorHAnsi"/>
          <w:spacing w:val="1"/>
          <w:sz w:val="24"/>
        </w:rPr>
        <w:t>t</w:t>
      </w:r>
      <w:r w:rsidRPr="004E6649">
        <w:rPr>
          <w:rFonts w:eastAsia="Franklin Gothic Book" w:cstheme="minorHAnsi"/>
          <w:sz w:val="24"/>
        </w:rPr>
        <w:t>o</w:t>
      </w:r>
      <w:r w:rsidRPr="004E6649">
        <w:rPr>
          <w:rFonts w:eastAsia="Franklin Gothic Book" w:cstheme="minorHAnsi"/>
          <w:spacing w:val="14"/>
          <w:sz w:val="24"/>
        </w:rPr>
        <w:t xml:space="preserve"> </w:t>
      </w:r>
      <w:r w:rsidRPr="004E6649">
        <w:rPr>
          <w:rFonts w:eastAsia="Franklin Gothic Book" w:cstheme="minorHAnsi"/>
          <w:spacing w:val="-1"/>
          <w:sz w:val="24"/>
        </w:rPr>
        <w:t>pr</w:t>
      </w:r>
      <w:r w:rsidRPr="004E6649">
        <w:rPr>
          <w:rFonts w:eastAsia="Franklin Gothic Book" w:cstheme="minorHAnsi"/>
          <w:sz w:val="24"/>
        </w:rPr>
        <w:t>odu</w:t>
      </w:r>
      <w:r w:rsidRPr="004E6649">
        <w:rPr>
          <w:rFonts w:eastAsia="Franklin Gothic Book" w:cstheme="minorHAnsi"/>
          <w:spacing w:val="1"/>
          <w:sz w:val="24"/>
        </w:rPr>
        <w:t>c</w:t>
      </w:r>
      <w:r w:rsidRPr="004E6649">
        <w:rPr>
          <w:rFonts w:eastAsia="Franklin Gothic Book" w:cstheme="minorHAnsi"/>
          <w:sz w:val="24"/>
        </w:rPr>
        <w:t>e</w:t>
      </w:r>
      <w:r w:rsidRPr="004E6649">
        <w:rPr>
          <w:rFonts w:eastAsia="Franklin Gothic Book" w:cstheme="minorHAnsi"/>
          <w:spacing w:val="16"/>
          <w:sz w:val="24"/>
        </w:rPr>
        <w:t xml:space="preserve"> </w:t>
      </w:r>
      <w:r w:rsidRPr="004E6649">
        <w:rPr>
          <w:rFonts w:eastAsia="Franklin Gothic Book" w:cstheme="minorHAnsi"/>
          <w:sz w:val="24"/>
        </w:rPr>
        <w:t>the</w:t>
      </w:r>
      <w:r w:rsidRPr="004E6649">
        <w:rPr>
          <w:rFonts w:eastAsia="Franklin Gothic Book" w:cstheme="minorHAnsi"/>
          <w:spacing w:val="15"/>
          <w:sz w:val="24"/>
        </w:rPr>
        <w:t xml:space="preserve"> </w:t>
      </w:r>
      <w:r w:rsidRPr="004E6649">
        <w:rPr>
          <w:rFonts w:eastAsia="Franklin Gothic Book" w:cstheme="minorHAnsi"/>
          <w:sz w:val="24"/>
        </w:rPr>
        <w:t>l</w:t>
      </w:r>
      <w:r w:rsidRPr="004E6649">
        <w:rPr>
          <w:rFonts w:eastAsia="Franklin Gothic Book" w:cstheme="minorHAnsi"/>
          <w:spacing w:val="-1"/>
          <w:sz w:val="24"/>
        </w:rPr>
        <w:t>o</w:t>
      </w:r>
      <w:r w:rsidRPr="004E6649">
        <w:rPr>
          <w:rFonts w:eastAsia="Franklin Gothic Book" w:cstheme="minorHAnsi"/>
          <w:sz w:val="24"/>
        </w:rPr>
        <w:t>ng-te</w:t>
      </w:r>
      <w:r w:rsidRPr="004E6649">
        <w:rPr>
          <w:rFonts w:eastAsia="Franklin Gothic Book" w:cstheme="minorHAnsi"/>
          <w:spacing w:val="-2"/>
          <w:sz w:val="24"/>
        </w:rPr>
        <w:t>r</w:t>
      </w:r>
      <w:r w:rsidRPr="004E6649">
        <w:rPr>
          <w:rFonts w:eastAsia="Franklin Gothic Book" w:cstheme="minorHAnsi"/>
          <w:sz w:val="24"/>
        </w:rPr>
        <w:t>m</w:t>
      </w:r>
      <w:r w:rsidRPr="004E6649">
        <w:rPr>
          <w:rFonts w:eastAsia="Franklin Gothic Book" w:cstheme="minorHAnsi"/>
          <w:spacing w:val="19"/>
          <w:sz w:val="24"/>
        </w:rPr>
        <w:t xml:space="preserve"> </w:t>
      </w:r>
      <w:r w:rsidRPr="004E6649">
        <w:rPr>
          <w:rFonts w:eastAsia="Franklin Gothic Book" w:cstheme="minorHAnsi"/>
          <w:sz w:val="24"/>
        </w:rPr>
        <w:t>e</w:t>
      </w:r>
      <w:r w:rsidRPr="004E6649">
        <w:rPr>
          <w:rFonts w:eastAsia="Franklin Gothic Book" w:cstheme="minorHAnsi"/>
          <w:spacing w:val="-1"/>
          <w:sz w:val="24"/>
        </w:rPr>
        <w:t>xp</w:t>
      </w:r>
      <w:r w:rsidRPr="004E6649">
        <w:rPr>
          <w:rFonts w:eastAsia="Franklin Gothic Book" w:cstheme="minorHAnsi"/>
          <w:sz w:val="24"/>
        </w:rPr>
        <w:t>ec</w:t>
      </w:r>
      <w:r w:rsidRPr="004E6649">
        <w:rPr>
          <w:rFonts w:eastAsia="Franklin Gothic Book" w:cstheme="minorHAnsi"/>
          <w:spacing w:val="1"/>
          <w:sz w:val="24"/>
        </w:rPr>
        <w:t>t</w:t>
      </w:r>
      <w:r w:rsidRPr="004E6649">
        <w:rPr>
          <w:rFonts w:eastAsia="Franklin Gothic Book" w:cstheme="minorHAnsi"/>
          <w:sz w:val="24"/>
        </w:rPr>
        <w:t>ed</w:t>
      </w:r>
      <w:r w:rsidRPr="004E6649">
        <w:rPr>
          <w:rFonts w:eastAsia="Franklin Gothic Book" w:cstheme="minorHAnsi"/>
          <w:spacing w:val="15"/>
          <w:sz w:val="24"/>
        </w:rPr>
        <w:t xml:space="preserve"> </w:t>
      </w:r>
      <w:r w:rsidRPr="004E6649">
        <w:rPr>
          <w:rFonts w:eastAsia="Franklin Gothic Book" w:cstheme="minorHAnsi"/>
          <w:spacing w:val="-1"/>
          <w:sz w:val="24"/>
        </w:rPr>
        <w:t>r</w:t>
      </w:r>
      <w:r w:rsidRPr="004E6649">
        <w:rPr>
          <w:rFonts w:eastAsia="Franklin Gothic Book" w:cstheme="minorHAnsi"/>
          <w:sz w:val="24"/>
        </w:rPr>
        <w:t>a</w:t>
      </w:r>
      <w:r w:rsidRPr="004E6649">
        <w:rPr>
          <w:rFonts w:eastAsia="Franklin Gothic Book" w:cstheme="minorHAnsi"/>
          <w:spacing w:val="1"/>
          <w:sz w:val="24"/>
        </w:rPr>
        <w:t>t</w:t>
      </w:r>
      <w:r w:rsidRPr="004E6649">
        <w:rPr>
          <w:rFonts w:eastAsia="Franklin Gothic Book" w:cstheme="minorHAnsi"/>
          <w:sz w:val="24"/>
        </w:rPr>
        <w:t>e</w:t>
      </w:r>
      <w:r w:rsidRPr="004E6649">
        <w:rPr>
          <w:rFonts w:eastAsia="Franklin Gothic Book" w:cstheme="minorHAnsi"/>
          <w:spacing w:val="16"/>
          <w:sz w:val="24"/>
        </w:rPr>
        <w:t xml:space="preserve"> </w:t>
      </w:r>
      <w:r w:rsidRPr="004E6649">
        <w:rPr>
          <w:rFonts w:eastAsia="Franklin Gothic Book" w:cstheme="minorHAnsi"/>
          <w:spacing w:val="-1"/>
          <w:sz w:val="24"/>
        </w:rPr>
        <w:t>o</w:t>
      </w:r>
      <w:r w:rsidRPr="004E6649">
        <w:rPr>
          <w:rFonts w:eastAsia="Franklin Gothic Book" w:cstheme="minorHAnsi"/>
          <w:sz w:val="24"/>
        </w:rPr>
        <w:t>f</w:t>
      </w:r>
      <w:r w:rsidRPr="004E6649">
        <w:rPr>
          <w:rFonts w:eastAsia="Franklin Gothic Book" w:cstheme="minorHAnsi"/>
          <w:spacing w:val="15"/>
          <w:sz w:val="24"/>
        </w:rPr>
        <w:t xml:space="preserve"> </w:t>
      </w:r>
      <w:r w:rsidRPr="004E6649">
        <w:rPr>
          <w:rFonts w:eastAsia="Franklin Gothic Book" w:cstheme="minorHAnsi"/>
          <w:spacing w:val="-1"/>
          <w:sz w:val="24"/>
        </w:rPr>
        <w:t>r</w:t>
      </w:r>
      <w:r w:rsidRPr="004E6649">
        <w:rPr>
          <w:rFonts w:eastAsia="Franklin Gothic Book" w:cstheme="minorHAnsi"/>
          <w:sz w:val="24"/>
        </w:rPr>
        <w:t>eturn</w:t>
      </w:r>
      <w:r w:rsidRPr="004E6649">
        <w:rPr>
          <w:rFonts w:eastAsia="Franklin Gothic Book" w:cstheme="minorHAnsi"/>
          <w:spacing w:val="17"/>
          <w:sz w:val="24"/>
        </w:rPr>
        <w:t xml:space="preserve"> </w:t>
      </w:r>
      <w:r w:rsidRPr="004E6649">
        <w:rPr>
          <w:rFonts w:eastAsia="Franklin Gothic Book" w:cstheme="minorHAnsi"/>
          <w:spacing w:val="1"/>
          <w:sz w:val="24"/>
        </w:rPr>
        <w:t>b</w:t>
      </w:r>
      <w:r w:rsidRPr="004E6649">
        <w:rPr>
          <w:rFonts w:eastAsia="Franklin Gothic Book" w:cstheme="minorHAnsi"/>
          <w:sz w:val="24"/>
        </w:rPr>
        <w:t>y</w:t>
      </w:r>
      <w:r w:rsidRPr="004E6649">
        <w:rPr>
          <w:rFonts w:eastAsia="Franklin Gothic Book" w:cstheme="minorHAnsi"/>
          <w:spacing w:val="13"/>
          <w:sz w:val="24"/>
        </w:rPr>
        <w:t xml:space="preserve"> </w:t>
      </w:r>
      <w:r w:rsidRPr="004E6649">
        <w:rPr>
          <w:rFonts w:eastAsia="Franklin Gothic Book" w:cstheme="minorHAnsi"/>
          <w:sz w:val="24"/>
        </w:rPr>
        <w:t>w</w:t>
      </w:r>
      <w:r w:rsidRPr="004E6649">
        <w:rPr>
          <w:rFonts w:eastAsia="Franklin Gothic Book" w:cstheme="minorHAnsi"/>
          <w:spacing w:val="-1"/>
          <w:sz w:val="24"/>
        </w:rPr>
        <w:t>e</w:t>
      </w:r>
      <w:r w:rsidRPr="004E6649">
        <w:rPr>
          <w:rFonts w:eastAsia="Franklin Gothic Book" w:cstheme="minorHAnsi"/>
          <w:sz w:val="24"/>
        </w:rPr>
        <w:t>ighting</w:t>
      </w:r>
      <w:r w:rsidRPr="004E6649">
        <w:rPr>
          <w:rFonts w:eastAsia="Franklin Gothic Book" w:cstheme="minorHAnsi"/>
          <w:spacing w:val="18"/>
          <w:sz w:val="24"/>
        </w:rPr>
        <w:t xml:space="preserve"> </w:t>
      </w:r>
      <w:r w:rsidRPr="004E6649">
        <w:rPr>
          <w:rFonts w:eastAsia="Franklin Gothic Book" w:cstheme="minorHAnsi"/>
          <w:sz w:val="24"/>
        </w:rPr>
        <w:t>the</w:t>
      </w:r>
      <w:r w:rsidRPr="004E6649">
        <w:rPr>
          <w:rFonts w:eastAsia="Franklin Gothic Book" w:cstheme="minorHAnsi"/>
          <w:spacing w:val="14"/>
          <w:sz w:val="24"/>
        </w:rPr>
        <w:t xml:space="preserve"> </w:t>
      </w:r>
      <w:r w:rsidRPr="004E6649">
        <w:rPr>
          <w:rFonts w:eastAsia="Franklin Gothic Book" w:cstheme="minorHAnsi"/>
          <w:sz w:val="24"/>
        </w:rPr>
        <w:t>e</w:t>
      </w:r>
      <w:r w:rsidRPr="004E6649">
        <w:rPr>
          <w:rFonts w:eastAsia="Franklin Gothic Book" w:cstheme="minorHAnsi"/>
          <w:spacing w:val="-1"/>
          <w:sz w:val="24"/>
        </w:rPr>
        <w:t>xp</w:t>
      </w:r>
      <w:r w:rsidRPr="004E6649">
        <w:rPr>
          <w:rFonts w:eastAsia="Franklin Gothic Book" w:cstheme="minorHAnsi"/>
          <w:sz w:val="24"/>
        </w:rPr>
        <w:t>ec</w:t>
      </w:r>
      <w:r w:rsidRPr="004E6649">
        <w:rPr>
          <w:rFonts w:eastAsia="Franklin Gothic Book" w:cstheme="minorHAnsi"/>
          <w:spacing w:val="1"/>
          <w:sz w:val="24"/>
        </w:rPr>
        <w:t>t</w:t>
      </w:r>
      <w:r w:rsidRPr="004E6649">
        <w:rPr>
          <w:rFonts w:eastAsia="Franklin Gothic Book" w:cstheme="minorHAnsi"/>
          <w:sz w:val="24"/>
        </w:rPr>
        <w:t>ed</w:t>
      </w:r>
      <w:r w:rsidRPr="004E6649">
        <w:rPr>
          <w:rFonts w:eastAsia="Franklin Gothic Book" w:cstheme="minorHAnsi"/>
          <w:spacing w:val="18"/>
          <w:sz w:val="24"/>
        </w:rPr>
        <w:t xml:space="preserve"> </w:t>
      </w:r>
      <w:r w:rsidRPr="004E6649">
        <w:rPr>
          <w:rFonts w:eastAsia="Franklin Gothic Book" w:cstheme="minorHAnsi"/>
          <w:sz w:val="24"/>
        </w:rPr>
        <w:t>fu</w:t>
      </w:r>
      <w:r w:rsidRPr="004E6649">
        <w:rPr>
          <w:rFonts w:eastAsia="Franklin Gothic Book" w:cstheme="minorHAnsi"/>
          <w:spacing w:val="1"/>
          <w:sz w:val="24"/>
        </w:rPr>
        <w:t>t</w:t>
      </w:r>
      <w:r w:rsidRPr="004E6649">
        <w:rPr>
          <w:rFonts w:eastAsia="Franklin Gothic Book" w:cstheme="minorHAnsi"/>
          <w:sz w:val="24"/>
        </w:rPr>
        <w:t>u</w:t>
      </w:r>
      <w:r w:rsidRPr="004E6649">
        <w:rPr>
          <w:rFonts w:eastAsia="Franklin Gothic Book" w:cstheme="minorHAnsi"/>
          <w:spacing w:val="-1"/>
          <w:sz w:val="24"/>
        </w:rPr>
        <w:t>r</w:t>
      </w:r>
      <w:r w:rsidRPr="004E6649">
        <w:rPr>
          <w:rFonts w:eastAsia="Franklin Gothic Book" w:cstheme="minorHAnsi"/>
          <w:sz w:val="24"/>
        </w:rPr>
        <w:t>e</w:t>
      </w:r>
      <w:r w:rsidRPr="004E6649">
        <w:rPr>
          <w:rFonts w:eastAsia="Franklin Gothic Book" w:cstheme="minorHAnsi"/>
          <w:spacing w:val="14"/>
          <w:sz w:val="24"/>
        </w:rPr>
        <w:t xml:space="preserve"> </w:t>
      </w:r>
      <w:r w:rsidRPr="004E6649">
        <w:rPr>
          <w:rFonts w:eastAsia="Franklin Gothic Book" w:cstheme="minorHAnsi"/>
          <w:spacing w:val="-1"/>
          <w:sz w:val="24"/>
        </w:rPr>
        <w:t>r</w:t>
      </w:r>
      <w:r w:rsidRPr="004E6649">
        <w:rPr>
          <w:rFonts w:eastAsia="Franklin Gothic Book" w:cstheme="minorHAnsi"/>
          <w:sz w:val="24"/>
        </w:rPr>
        <w:t>eal</w:t>
      </w:r>
      <w:r w:rsidRPr="004E6649">
        <w:rPr>
          <w:rFonts w:eastAsia="Franklin Gothic Book" w:cstheme="minorHAnsi"/>
          <w:spacing w:val="17"/>
          <w:sz w:val="24"/>
        </w:rPr>
        <w:t xml:space="preserve"> </w:t>
      </w:r>
      <w:r w:rsidRPr="004E6649">
        <w:rPr>
          <w:rFonts w:eastAsia="Franklin Gothic Book" w:cstheme="minorHAnsi"/>
          <w:spacing w:val="-1"/>
          <w:sz w:val="24"/>
        </w:rPr>
        <w:t>r</w:t>
      </w:r>
      <w:r w:rsidRPr="004E6649">
        <w:rPr>
          <w:rFonts w:eastAsia="Franklin Gothic Book" w:cstheme="minorHAnsi"/>
          <w:sz w:val="24"/>
        </w:rPr>
        <w:t>a</w:t>
      </w:r>
      <w:r w:rsidRPr="004E6649">
        <w:rPr>
          <w:rFonts w:eastAsia="Franklin Gothic Book" w:cstheme="minorHAnsi"/>
          <w:spacing w:val="1"/>
          <w:sz w:val="24"/>
        </w:rPr>
        <w:t>t</w:t>
      </w:r>
      <w:r w:rsidRPr="004E6649">
        <w:rPr>
          <w:rFonts w:eastAsia="Franklin Gothic Book" w:cstheme="minorHAnsi"/>
          <w:sz w:val="24"/>
        </w:rPr>
        <w:t>es</w:t>
      </w:r>
      <w:r w:rsidRPr="004E6649">
        <w:rPr>
          <w:rFonts w:eastAsia="Franklin Gothic Book" w:cstheme="minorHAnsi"/>
          <w:spacing w:val="15"/>
          <w:sz w:val="24"/>
        </w:rPr>
        <w:t xml:space="preserve"> </w:t>
      </w:r>
      <w:r w:rsidRPr="004E6649">
        <w:rPr>
          <w:rFonts w:eastAsia="Franklin Gothic Book" w:cstheme="minorHAnsi"/>
          <w:spacing w:val="-1"/>
          <w:sz w:val="24"/>
        </w:rPr>
        <w:t>of</w:t>
      </w:r>
      <w:r w:rsidRPr="004E6649">
        <w:rPr>
          <w:rFonts w:eastAsia="Franklin Gothic Book" w:cstheme="minorHAnsi"/>
          <w:spacing w:val="-1"/>
          <w:w w:val="99"/>
          <w:sz w:val="24"/>
        </w:rPr>
        <w:t xml:space="preserve"> </w:t>
      </w:r>
      <w:r w:rsidRPr="004E6649">
        <w:rPr>
          <w:rFonts w:eastAsia="Franklin Gothic Book" w:cstheme="minorHAnsi"/>
          <w:spacing w:val="-1"/>
          <w:sz w:val="24"/>
        </w:rPr>
        <w:t>r</w:t>
      </w:r>
      <w:r w:rsidRPr="004E6649">
        <w:rPr>
          <w:rFonts w:eastAsia="Franklin Gothic Book" w:cstheme="minorHAnsi"/>
          <w:sz w:val="24"/>
        </w:rPr>
        <w:t>eturn</w:t>
      </w:r>
      <w:r w:rsidRPr="004E6649">
        <w:rPr>
          <w:rFonts w:eastAsia="Franklin Gothic Book" w:cstheme="minorHAnsi"/>
          <w:spacing w:val="45"/>
          <w:sz w:val="24"/>
        </w:rPr>
        <w:t xml:space="preserve"> </w:t>
      </w:r>
      <w:r w:rsidRPr="004E6649">
        <w:rPr>
          <w:rFonts w:eastAsia="Franklin Gothic Book" w:cstheme="minorHAnsi"/>
          <w:spacing w:val="1"/>
          <w:sz w:val="24"/>
        </w:rPr>
        <w:t>b</w:t>
      </w:r>
      <w:r w:rsidRPr="004E6649">
        <w:rPr>
          <w:rFonts w:eastAsia="Franklin Gothic Book" w:cstheme="minorHAnsi"/>
          <w:sz w:val="24"/>
        </w:rPr>
        <w:t>y</w:t>
      </w:r>
      <w:r w:rsidRPr="004E6649">
        <w:rPr>
          <w:rFonts w:eastAsia="Franklin Gothic Book" w:cstheme="minorHAnsi"/>
          <w:spacing w:val="44"/>
          <w:sz w:val="24"/>
        </w:rPr>
        <w:t xml:space="preserve"> </w:t>
      </w:r>
      <w:r w:rsidRPr="004E6649">
        <w:rPr>
          <w:rFonts w:eastAsia="Franklin Gothic Book" w:cstheme="minorHAnsi"/>
          <w:sz w:val="24"/>
        </w:rPr>
        <w:t>the</w:t>
      </w:r>
      <w:r w:rsidRPr="004E6649">
        <w:rPr>
          <w:rFonts w:eastAsia="Franklin Gothic Book" w:cstheme="minorHAnsi"/>
          <w:spacing w:val="46"/>
          <w:sz w:val="24"/>
        </w:rPr>
        <w:t xml:space="preserve"> </w:t>
      </w:r>
      <w:r w:rsidRPr="004E6649">
        <w:rPr>
          <w:rFonts w:eastAsia="Franklin Gothic Book" w:cstheme="minorHAnsi"/>
          <w:sz w:val="24"/>
        </w:rPr>
        <w:t>ta</w:t>
      </w:r>
      <w:r w:rsidRPr="004E6649">
        <w:rPr>
          <w:rFonts w:eastAsia="Franklin Gothic Book" w:cstheme="minorHAnsi"/>
          <w:spacing w:val="-1"/>
          <w:sz w:val="24"/>
        </w:rPr>
        <w:t>r</w:t>
      </w:r>
      <w:r w:rsidRPr="004E6649">
        <w:rPr>
          <w:rFonts w:eastAsia="Franklin Gothic Book" w:cstheme="minorHAnsi"/>
          <w:sz w:val="24"/>
        </w:rPr>
        <w:t>get</w:t>
      </w:r>
      <w:r w:rsidRPr="004E6649">
        <w:rPr>
          <w:rFonts w:eastAsia="Franklin Gothic Book" w:cstheme="minorHAnsi"/>
          <w:spacing w:val="47"/>
          <w:sz w:val="24"/>
        </w:rPr>
        <w:t xml:space="preserve"> </w:t>
      </w:r>
      <w:r w:rsidRPr="004E6649">
        <w:rPr>
          <w:rFonts w:eastAsia="Franklin Gothic Book" w:cstheme="minorHAnsi"/>
          <w:sz w:val="24"/>
        </w:rPr>
        <w:t>a</w:t>
      </w:r>
      <w:r w:rsidRPr="004E6649">
        <w:rPr>
          <w:rFonts w:eastAsia="Franklin Gothic Book" w:cstheme="minorHAnsi"/>
          <w:spacing w:val="1"/>
          <w:sz w:val="24"/>
        </w:rPr>
        <w:t>ss</w:t>
      </w:r>
      <w:r w:rsidRPr="004E6649">
        <w:rPr>
          <w:rFonts w:eastAsia="Franklin Gothic Book" w:cstheme="minorHAnsi"/>
          <w:sz w:val="24"/>
        </w:rPr>
        <w:t>et</w:t>
      </w:r>
      <w:r w:rsidRPr="004E6649">
        <w:rPr>
          <w:rFonts w:eastAsia="Franklin Gothic Book" w:cstheme="minorHAnsi"/>
          <w:spacing w:val="46"/>
          <w:sz w:val="24"/>
        </w:rPr>
        <w:t xml:space="preserve"> </w:t>
      </w:r>
      <w:r w:rsidRPr="004E6649">
        <w:rPr>
          <w:rFonts w:eastAsia="Franklin Gothic Book" w:cstheme="minorHAnsi"/>
          <w:sz w:val="24"/>
        </w:rPr>
        <w:t>alloca</w:t>
      </w:r>
      <w:r w:rsidRPr="004E6649">
        <w:rPr>
          <w:rFonts w:eastAsia="Franklin Gothic Book" w:cstheme="minorHAnsi"/>
          <w:spacing w:val="1"/>
          <w:sz w:val="24"/>
        </w:rPr>
        <w:t>t</w:t>
      </w:r>
      <w:r w:rsidRPr="004E6649">
        <w:rPr>
          <w:rFonts w:eastAsia="Franklin Gothic Book" w:cstheme="minorHAnsi"/>
          <w:sz w:val="24"/>
        </w:rPr>
        <w:t>ion</w:t>
      </w:r>
      <w:r w:rsidRPr="004E6649">
        <w:rPr>
          <w:rFonts w:eastAsia="Franklin Gothic Book" w:cstheme="minorHAnsi"/>
          <w:spacing w:val="46"/>
          <w:sz w:val="24"/>
        </w:rPr>
        <w:t xml:space="preserve"> </w:t>
      </w:r>
      <w:r w:rsidRPr="004E6649">
        <w:rPr>
          <w:rFonts w:eastAsia="Franklin Gothic Book" w:cstheme="minorHAnsi"/>
          <w:spacing w:val="-1"/>
          <w:sz w:val="24"/>
        </w:rPr>
        <w:t>p</w:t>
      </w:r>
      <w:r w:rsidRPr="004E6649">
        <w:rPr>
          <w:rFonts w:eastAsia="Franklin Gothic Book" w:cstheme="minorHAnsi"/>
          <w:sz w:val="24"/>
        </w:rPr>
        <w:t>e</w:t>
      </w:r>
      <w:r w:rsidRPr="004E6649">
        <w:rPr>
          <w:rFonts w:eastAsia="Franklin Gothic Book" w:cstheme="minorHAnsi"/>
          <w:spacing w:val="-2"/>
          <w:sz w:val="24"/>
        </w:rPr>
        <w:t>r</w:t>
      </w:r>
      <w:r w:rsidRPr="004E6649">
        <w:rPr>
          <w:rFonts w:eastAsia="Franklin Gothic Book" w:cstheme="minorHAnsi"/>
          <w:sz w:val="24"/>
        </w:rPr>
        <w:t>centage</w:t>
      </w:r>
      <w:r w:rsidRPr="004E6649">
        <w:rPr>
          <w:rFonts w:eastAsia="Franklin Gothic Book" w:cstheme="minorHAnsi"/>
          <w:spacing w:val="46"/>
          <w:sz w:val="24"/>
        </w:rPr>
        <w:t xml:space="preserve"> </w:t>
      </w:r>
      <w:r w:rsidRPr="004E6649">
        <w:rPr>
          <w:rFonts w:eastAsia="Franklin Gothic Book" w:cstheme="minorHAnsi"/>
          <w:sz w:val="24"/>
        </w:rPr>
        <w:t>and</w:t>
      </w:r>
      <w:r w:rsidRPr="004E6649">
        <w:rPr>
          <w:rFonts w:eastAsia="Franklin Gothic Book" w:cstheme="minorHAnsi"/>
          <w:spacing w:val="46"/>
          <w:sz w:val="24"/>
        </w:rPr>
        <w:t xml:space="preserve"> </w:t>
      </w:r>
      <w:r w:rsidRPr="004E6649">
        <w:rPr>
          <w:rFonts w:eastAsia="Franklin Gothic Book" w:cstheme="minorHAnsi"/>
          <w:spacing w:val="1"/>
          <w:sz w:val="24"/>
        </w:rPr>
        <w:t>b</w:t>
      </w:r>
      <w:r w:rsidRPr="004E6649">
        <w:rPr>
          <w:rFonts w:eastAsia="Franklin Gothic Book" w:cstheme="minorHAnsi"/>
          <w:sz w:val="24"/>
        </w:rPr>
        <w:t>y</w:t>
      </w:r>
      <w:r w:rsidRPr="004E6649">
        <w:rPr>
          <w:rFonts w:eastAsia="Franklin Gothic Book" w:cstheme="minorHAnsi"/>
          <w:spacing w:val="44"/>
          <w:sz w:val="24"/>
        </w:rPr>
        <w:t xml:space="preserve"> </w:t>
      </w:r>
      <w:r w:rsidRPr="004E6649">
        <w:rPr>
          <w:rFonts w:eastAsia="Franklin Gothic Book" w:cstheme="minorHAnsi"/>
          <w:sz w:val="24"/>
        </w:rPr>
        <w:t>adding</w:t>
      </w:r>
      <w:r w:rsidRPr="004E6649">
        <w:rPr>
          <w:rFonts w:eastAsia="Franklin Gothic Book" w:cstheme="minorHAnsi"/>
          <w:spacing w:val="44"/>
          <w:sz w:val="24"/>
        </w:rPr>
        <w:t xml:space="preserve"> </w:t>
      </w:r>
      <w:r w:rsidRPr="004E6649">
        <w:rPr>
          <w:rFonts w:eastAsia="Franklin Gothic Book" w:cstheme="minorHAnsi"/>
          <w:sz w:val="24"/>
        </w:rPr>
        <w:t>e</w:t>
      </w:r>
      <w:r w:rsidRPr="004E6649">
        <w:rPr>
          <w:rFonts w:eastAsia="Franklin Gothic Book" w:cstheme="minorHAnsi"/>
          <w:spacing w:val="-1"/>
          <w:sz w:val="24"/>
        </w:rPr>
        <w:t>xp</w:t>
      </w:r>
      <w:r w:rsidRPr="004E6649">
        <w:rPr>
          <w:rFonts w:eastAsia="Franklin Gothic Book" w:cstheme="minorHAnsi"/>
          <w:sz w:val="24"/>
        </w:rPr>
        <w:t>ec</w:t>
      </w:r>
      <w:r w:rsidRPr="004E6649">
        <w:rPr>
          <w:rFonts w:eastAsia="Franklin Gothic Book" w:cstheme="minorHAnsi"/>
          <w:spacing w:val="1"/>
          <w:sz w:val="24"/>
        </w:rPr>
        <w:t>t</w:t>
      </w:r>
      <w:r w:rsidRPr="004E6649">
        <w:rPr>
          <w:rFonts w:eastAsia="Franklin Gothic Book" w:cstheme="minorHAnsi"/>
          <w:sz w:val="24"/>
        </w:rPr>
        <w:t>ed</w:t>
      </w:r>
      <w:r w:rsidRPr="004E6649">
        <w:rPr>
          <w:rFonts w:eastAsia="Franklin Gothic Book" w:cstheme="minorHAnsi"/>
          <w:spacing w:val="46"/>
          <w:sz w:val="24"/>
        </w:rPr>
        <w:t xml:space="preserve"> </w:t>
      </w:r>
      <w:r w:rsidRPr="004E6649">
        <w:rPr>
          <w:rFonts w:eastAsia="Franklin Gothic Book" w:cstheme="minorHAnsi"/>
          <w:sz w:val="24"/>
        </w:rPr>
        <w:t>infla</w:t>
      </w:r>
      <w:r w:rsidRPr="004E6649">
        <w:rPr>
          <w:rFonts w:eastAsia="Franklin Gothic Book" w:cstheme="minorHAnsi"/>
          <w:spacing w:val="1"/>
          <w:sz w:val="24"/>
        </w:rPr>
        <w:t>t</w:t>
      </w:r>
      <w:r w:rsidRPr="004E6649">
        <w:rPr>
          <w:rFonts w:eastAsia="Franklin Gothic Book" w:cstheme="minorHAnsi"/>
          <w:sz w:val="24"/>
        </w:rPr>
        <w:t>ion.</w:t>
      </w:r>
    </w:p>
    <w:p w14:paraId="22BD46EF" w14:textId="77777777" w:rsidR="001B6918" w:rsidRPr="004E6649" w:rsidRDefault="001B6918" w:rsidP="001B6918">
      <w:pPr>
        <w:widowControl w:val="0"/>
        <w:spacing w:after="240"/>
        <w:ind w:right="-7"/>
        <w:rPr>
          <w:rFonts w:eastAsia="Franklin Gothic Book" w:cstheme="minorHAnsi"/>
          <w:sz w:val="24"/>
        </w:rPr>
      </w:pPr>
      <w:r w:rsidRPr="004E6649">
        <w:rPr>
          <w:rFonts w:eastAsia="Franklin Gothic Book" w:cstheme="minorHAnsi"/>
          <w:sz w:val="24"/>
        </w:rPr>
        <w:t>B</w:t>
      </w:r>
      <w:r w:rsidRPr="004E6649">
        <w:rPr>
          <w:rFonts w:eastAsia="Franklin Gothic Book" w:cstheme="minorHAnsi"/>
          <w:spacing w:val="-1"/>
          <w:sz w:val="24"/>
        </w:rPr>
        <w:t>e</w:t>
      </w:r>
      <w:r w:rsidRPr="004E6649">
        <w:rPr>
          <w:rFonts w:eastAsia="Franklin Gothic Book" w:cstheme="minorHAnsi"/>
          <w:spacing w:val="1"/>
          <w:sz w:val="24"/>
        </w:rPr>
        <w:t>s</w:t>
      </w:r>
      <w:r w:rsidRPr="004E6649">
        <w:rPr>
          <w:rFonts w:eastAsia="Franklin Gothic Book" w:cstheme="minorHAnsi"/>
          <w:sz w:val="24"/>
        </w:rPr>
        <w:t>t</w:t>
      </w:r>
      <w:r w:rsidRPr="004E6649">
        <w:rPr>
          <w:rFonts w:eastAsia="Franklin Gothic Book" w:cstheme="minorHAnsi"/>
          <w:spacing w:val="47"/>
          <w:sz w:val="24"/>
        </w:rPr>
        <w:t xml:space="preserve"> </w:t>
      </w:r>
      <w:r w:rsidRPr="004E6649">
        <w:rPr>
          <w:rFonts w:eastAsia="Franklin Gothic Book" w:cstheme="minorHAnsi"/>
          <w:sz w:val="24"/>
        </w:rPr>
        <w:t>es</w:t>
      </w:r>
      <w:r w:rsidRPr="004E6649">
        <w:rPr>
          <w:rFonts w:eastAsia="Franklin Gothic Book" w:cstheme="minorHAnsi"/>
          <w:spacing w:val="1"/>
          <w:sz w:val="24"/>
        </w:rPr>
        <w:t>t</w:t>
      </w:r>
      <w:r w:rsidRPr="004E6649">
        <w:rPr>
          <w:rFonts w:eastAsia="Franklin Gothic Book" w:cstheme="minorHAnsi"/>
          <w:sz w:val="24"/>
        </w:rPr>
        <w:t>ima</w:t>
      </w:r>
      <w:r w:rsidRPr="004E6649">
        <w:rPr>
          <w:rFonts w:eastAsia="Franklin Gothic Book" w:cstheme="minorHAnsi"/>
          <w:spacing w:val="1"/>
          <w:sz w:val="24"/>
        </w:rPr>
        <w:t>t</w:t>
      </w:r>
      <w:r w:rsidRPr="004E6649">
        <w:rPr>
          <w:rFonts w:eastAsia="Franklin Gothic Book" w:cstheme="minorHAnsi"/>
          <w:sz w:val="24"/>
        </w:rPr>
        <w:t>es</w:t>
      </w:r>
      <w:r w:rsidRPr="004E6649">
        <w:rPr>
          <w:rFonts w:eastAsia="Franklin Gothic Book" w:cstheme="minorHAnsi"/>
          <w:spacing w:val="44"/>
          <w:sz w:val="24"/>
        </w:rPr>
        <w:t xml:space="preserve"> </w:t>
      </w:r>
      <w:r w:rsidRPr="004E6649">
        <w:rPr>
          <w:rFonts w:eastAsia="Franklin Gothic Book" w:cstheme="minorHAnsi"/>
          <w:spacing w:val="-1"/>
          <w:sz w:val="24"/>
        </w:rPr>
        <w:t>of</w:t>
      </w:r>
      <w:r w:rsidRPr="004E6649">
        <w:rPr>
          <w:rFonts w:eastAsia="Franklin Gothic Book" w:cstheme="minorHAnsi"/>
          <w:spacing w:val="-1"/>
          <w:w w:val="99"/>
          <w:sz w:val="24"/>
        </w:rPr>
        <w:t xml:space="preserve"> </w:t>
      </w:r>
      <w:r w:rsidRPr="004E6649">
        <w:rPr>
          <w:rFonts w:eastAsia="Franklin Gothic Book" w:cstheme="minorHAnsi"/>
          <w:sz w:val="24"/>
        </w:rPr>
        <w:t>a</w:t>
      </w:r>
      <w:r w:rsidRPr="004E6649">
        <w:rPr>
          <w:rFonts w:eastAsia="Franklin Gothic Book" w:cstheme="minorHAnsi"/>
          <w:spacing w:val="-1"/>
          <w:sz w:val="24"/>
        </w:rPr>
        <w:t>r</w:t>
      </w:r>
      <w:r w:rsidRPr="004E6649">
        <w:rPr>
          <w:rFonts w:eastAsia="Franklin Gothic Book" w:cstheme="minorHAnsi"/>
          <w:sz w:val="24"/>
        </w:rPr>
        <w:t>ith</w:t>
      </w:r>
      <w:r w:rsidRPr="004E6649">
        <w:rPr>
          <w:rFonts w:eastAsia="Franklin Gothic Book" w:cstheme="minorHAnsi"/>
          <w:spacing w:val="1"/>
          <w:sz w:val="24"/>
        </w:rPr>
        <w:t>m</w:t>
      </w:r>
      <w:r w:rsidRPr="004E6649">
        <w:rPr>
          <w:rFonts w:eastAsia="Franklin Gothic Book" w:cstheme="minorHAnsi"/>
          <w:sz w:val="24"/>
        </w:rPr>
        <w:t>etic</w:t>
      </w:r>
      <w:r w:rsidRPr="004E6649">
        <w:rPr>
          <w:rFonts w:eastAsia="Franklin Gothic Book" w:cstheme="minorHAnsi"/>
          <w:spacing w:val="45"/>
          <w:sz w:val="24"/>
        </w:rPr>
        <w:t xml:space="preserve"> </w:t>
      </w:r>
      <w:r w:rsidRPr="004E6649">
        <w:rPr>
          <w:rFonts w:eastAsia="Franklin Gothic Book" w:cstheme="minorHAnsi"/>
          <w:spacing w:val="-1"/>
          <w:sz w:val="24"/>
        </w:rPr>
        <w:t>r</w:t>
      </w:r>
      <w:r w:rsidRPr="004E6649">
        <w:rPr>
          <w:rFonts w:eastAsia="Franklin Gothic Book" w:cstheme="minorHAnsi"/>
          <w:sz w:val="24"/>
        </w:rPr>
        <w:t>eal</w:t>
      </w:r>
      <w:r w:rsidRPr="004E6649">
        <w:rPr>
          <w:rFonts w:eastAsia="Franklin Gothic Book" w:cstheme="minorHAnsi"/>
          <w:spacing w:val="40"/>
          <w:sz w:val="24"/>
        </w:rPr>
        <w:t xml:space="preserve"> </w:t>
      </w:r>
      <w:r w:rsidRPr="004E6649">
        <w:rPr>
          <w:rFonts w:eastAsia="Franklin Gothic Book" w:cstheme="minorHAnsi"/>
          <w:spacing w:val="-1"/>
          <w:sz w:val="24"/>
        </w:rPr>
        <w:t>r</w:t>
      </w:r>
      <w:r w:rsidRPr="004E6649">
        <w:rPr>
          <w:rFonts w:eastAsia="Franklin Gothic Book" w:cstheme="minorHAnsi"/>
          <w:sz w:val="24"/>
        </w:rPr>
        <w:t>a</w:t>
      </w:r>
      <w:r w:rsidRPr="004E6649">
        <w:rPr>
          <w:rFonts w:eastAsia="Franklin Gothic Book" w:cstheme="minorHAnsi"/>
          <w:spacing w:val="1"/>
          <w:sz w:val="24"/>
        </w:rPr>
        <w:t>t</w:t>
      </w:r>
      <w:r w:rsidRPr="004E6649">
        <w:rPr>
          <w:rFonts w:eastAsia="Franklin Gothic Book" w:cstheme="minorHAnsi"/>
          <w:sz w:val="24"/>
        </w:rPr>
        <w:t>es</w:t>
      </w:r>
      <w:r w:rsidRPr="004E6649">
        <w:rPr>
          <w:rFonts w:eastAsia="Franklin Gothic Book" w:cstheme="minorHAnsi"/>
          <w:spacing w:val="45"/>
          <w:sz w:val="24"/>
        </w:rPr>
        <w:t xml:space="preserve"> </w:t>
      </w:r>
      <w:r w:rsidRPr="004E6649">
        <w:rPr>
          <w:rFonts w:eastAsia="Franklin Gothic Book" w:cstheme="minorHAnsi"/>
          <w:spacing w:val="-1"/>
          <w:sz w:val="24"/>
        </w:rPr>
        <w:t>o</w:t>
      </w:r>
      <w:r w:rsidRPr="004E6649">
        <w:rPr>
          <w:rFonts w:eastAsia="Franklin Gothic Book" w:cstheme="minorHAnsi"/>
          <w:sz w:val="24"/>
        </w:rPr>
        <w:t>f</w:t>
      </w:r>
      <w:r w:rsidRPr="004E6649">
        <w:rPr>
          <w:rFonts w:eastAsia="Franklin Gothic Book" w:cstheme="minorHAnsi"/>
          <w:spacing w:val="41"/>
          <w:sz w:val="24"/>
        </w:rPr>
        <w:t xml:space="preserve"> </w:t>
      </w:r>
      <w:r w:rsidRPr="004E6649">
        <w:rPr>
          <w:rFonts w:eastAsia="Franklin Gothic Book" w:cstheme="minorHAnsi"/>
          <w:spacing w:val="-1"/>
          <w:sz w:val="24"/>
        </w:rPr>
        <w:t>r</w:t>
      </w:r>
      <w:r w:rsidRPr="004E6649">
        <w:rPr>
          <w:rFonts w:eastAsia="Franklin Gothic Book" w:cstheme="minorHAnsi"/>
          <w:sz w:val="24"/>
        </w:rPr>
        <w:t>eturn</w:t>
      </w:r>
      <w:r w:rsidRPr="004E6649">
        <w:rPr>
          <w:rFonts w:eastAsia="Franklin Gothic Book" w:cstheme="minorHAnsi"/>
          <w:spacing w:val="45"/>
          <w:sz w:val="24"/>
        </w:rPr>
        <w:t xml:space="preserve"> </w:t>
      </w:r>
      <w:r w:rsidRPr="004E6649">
        <w:rPr>
          <w:rFonts w:eastAsia="Franklin Gothic Book" w:cstheme="minorHAnsi"/>
          <w:sz w:val="24"/>
        </w:rPr>
        <w:t>for</w:t>
      </w:r>
      <w:r w:rsidRPr="004E6649">
        <w:rPr>
          <w:rFonts w:eastAsia="Franklin Gothic Book" w:cstheme="minorHAnsi"/>
          <w:spacing w:val="40"/>
          <w:sz w:val="24"/>
        </w:rPr>
        <w:t xml:space="preserve"> </w:t>
      </w:r>
      <w:r w:rsidRPr="004E6649">
        <w:rPr>
          <w:rFonts w:eastAsia="Franklin Gothic Book" w:cstheme="minorHAnsi"/>
          <w:sz w:val="24"/>
        </w:rPr>
        <w:t>each</w:t>
      </w:r>
      <w:r w:rsidRPr="004E6649">
        <w:rPr>
          <w:rFonts w:eastAsia="Franklin Gothic Book" w:cstheme="minorHAnsi"/>
          <w:spacing w:val="45"/>
          <w:sz w:val="24"/>
        </w:rPr>
        <w:t xml:space="preserve"> </w:t>
      </w:r>
      <w:r w:rsidRPr="004E6649">
        <w:rPr>
          <w:rFonts w:eastAsia="Franklin Gothic Book" w:cstheme="minorHAnsi"/>
          <w:sz w:val="24"/>
        </w:rPr>
        <w:t>major</w:t>
      </w:r>
      <w:r w:rsidRPr="004E6649">
        <w:rPr>
          <w:rFonts w:eastAsia="Franklin Gothic Book" w:cstheme="minorHAnsi"/>
          <w:spacing w:val="40"/>
          <w:sz w:val="24"/>
        </w:rPr>
        <w:t xml:space="preserve"> </w:t>
      </w:r>
      <w:r w:rsidRPr="004E6649">
        <w:rPr>
          <w:rFonts w:eastAsia="Franklin Gothic Book" w:cstheme="minorHAnsi"/>
          <w:sz w:val="24"/>
        </w:rPr>
        <w:t>a</w:t>
      </w:r>
      <w:r w:rsidRPr="004E6649">
        <w:rPr>
          <w:rFonts w:eastAsia="Franklin Gothic Book" w:cstheme="minorHAnsi"/>
          <w:spacing w:val="1"/>
          <w:sz w:val="24"/>
        </w:rPr>
        <w:t>ss</w:t>
      </w:r>
      <w:r w:rsidRPr="004E6649">
        <w:rPr>
          <w:rFonts w:eastAsia="Franklin Gothic Book" w:cstheme="minorHAnsi"/>
          <w:sz w:val="24"/>
        </w:rPr>
        <w:t>et</w:t>
      </w:r>
      <w:r w:rsidRPr="004E6649">
        <w:rPr>
          <w:rFonts w:eastAsia="Franklin Gothic Book" w:cstheme="minorHAnsi"/>
          <w:spacing w:val="44"/>
          <w:sz w:val="24"/>
        </w:rPr>
        <w:t xml:space="preserve"> </w:t>
      </w:r>
      <w:r w:rsidRPr="004E6649">
        <w:rPr>
          <w:rFonts w:eastAsia="Franklin Gothic Book" w:cstheme="minorHAnsi"/>
          <w:sz w:val="24"/>
        </w:rPr>
        <w:t>cla</w:t>
      </w:r>
      <w:r w:rsidRPr="004E6649">
        <w:rPr>
          <w:rFonts w:eastAsia="Franklin Gothic Book" w:cstheme="minorHAnsi"/>
          <w:spacing w:val="1"/>
          <w:sz w:val="24"/>
        </w:rPr>
        <w:t>s</w:t>
      </w:r>
      <w:r w:rsidRPr="004E6649">
        <w:rPr>
          <w:rFonts w:eastAsia="Franklin Gothic Book" w:cstheme="minorHAnsi"/>
          <w:sz w:val="24"/>
        </w:rPr>
        <w:t>s</w:t>
      </w:r>
      <w:r w:rsidRPr="004E6649">
        <w:rPr>
          <w:rFonts w:eastAsia="Franklin Gothic Book" w:cstheme="minorHAnsi"/>
          <w:spacing w:val="43"/>
          <w:sz w:val="24"/>
        </w:rPr>
        <w:t xml:space="preserve"> </w:t>
      </w:r>
      <w:r w:rsidRPr="004E6649">
        <w:rPr>
          <w:rFonts w:eastAsia="Franklin Gothic Book" w:cstheme="minorHAnsi"/>
          <w:sz w:val="24"/>
        </w:rPr>
        <w:t>included</w:t>
      </w:r>
      <w:r w:rsidRPr="004E6649">
        <w:rPr>
          <w:rFonts w:eastAsia="Franklin Gothic Book" w:cstheme="minorHAnsi"/>
          <w:spacing w:val="44"/>
          <w:sz w:val="24"/>
        </w:rPr>
        <w:t xml:space="preserve"> </w:t>
      </w:r>
      <w:r w:rsidRPr="004E6649">
        <w:rPr>
          <w:rFonts w:eastAsia="Franklin Gothic Book" w:cstheme="minorHAnsi"/>
          <w:sz w:val="24"/>
        </w:rPr>
        <w:t>in</w:t>
      </w:r>
      <w:r w:rsidRPr="004E6649">
        <w:rPr>
          <w:rFonts w:eastAsia="Franklin Gothic Book" w:cstheme="minorHAnsi"/>
          <w:spacing w:val="41"/>
          <w:sz w:val="24"/>
        </w:rPr>
        <w:t xml:space="preserve"> </w:t>
      </w:r>
      <w:r w:rsidRPr="004E6649">
        <w:rPr>
          <w:rFonts w:eastAsia="Franklin Gothic Book" w:cstheme="minorHAnsi"/>
          <w:sz w:val="24"/>
        </w:rPr>
        <w:t>the</w:t>
      </w:r>
      <w:r w:rsidRPr="004E6649">
        <w:rPr>
          <w:rFonts w:eastAsia="Franklin Gothic Book" w:cstheme="minorHAnsi"/>
          <w:spacing w:val="43"/>
          <w:sz w:val="24"/>
        </w:rPr>
        <w:t xml:space="preserve"> </w:t>
      </w:r>
      <w:r w:rsidRPr="004E6649">
        <w:rPr>
          <w:rFonts w:eastAsia="Franklin Gothic Book" w:cstheme="minorHAnsi"/>
          <w:spacing w:val="-1"/>
          <w:sz w:val="24"/>
        </w:rPr>
        <w:t>OPEB</w:t>
      </w:r>
      <w:r w:rsidRPr="004E6649">
        <w:rPr>
          <w:rFonts w:eastAsia="Franklin Gothic Book" w:cstheme="minorHAnsi"/>
          <w:spacing w:val="42"/>
          <w:sz w:val="24"/>
        </w:rPr>
        <w:t xml:space="preserve"> </w:t>
      </w:r>
      <w:r w:rsidRPr="004E6649">
        <w:rPr>
          <w:rFonts w:eastAsia="Franklin Gothic Book" w:cstheme="minorHAnsi"/>
          <w:spacing w:val="-1"/>
          <w:sz w:val="24"/>
        </w:rPr>
        <w:t>P</w:t>
      </w:r>
      <w:r w:rsidRPr="004E6649">
        <w:rPr>
          <w:rFonts w:eastAsia="Franklin Gothic Book" w:cstheme="minorHAnsi"/>
          <w:sz w:val="24"/>
        </w:rPr>
        <w:t>lan's</w:t>
      </w:r>
      <w:r w:rsidRPr="004E6649">
        <w:rPr>
          <w:rFonts w:eastAsia="Franklin Gothic Book" w:cstheme="minorHAnsi"/>
          <w:spacing w:val="44"/>
          <w:sz w:val="24"/>
        </w:rPr>
        <w:t xml:space="preserve"> </w:t>
      </w:r>
      <w:r w:rsidRPr="004E6649">
        <w:rPr>
          <w:rFonts w:eastAsia="Franklin Gothic Book" w:cstheme="minorHAnsi"/>
          <w:sz w:val="24"/>
        </w:rPr>
        <w:t>ta</w:t>
      </w:r>
      <w:r w:rsidRPr="004E6649">
        <w:rPr>
          <w:rFonts w:eastAsia="Franklin Gothic Book" w:cstheme="minorHAnsi"/>
          <w:spacing w:val="-1"/>
          <w:sz w:val="24"/>
        </w:rPr>
        <w:t>r</w:t>
      </w:r>
      <w:r w:rsidRPr="004E6649">
        <w:rPr>
          <w:rFonts w:eastAsia="Franklin Gothic Book" w:cstheme="minorHAnsi"/>
          <w:sz w:val="24"/>
        </w:rPr>
        <w:t>get</w:t>
      </w:r>
      <w:r w:rsidRPr="004E6649">
        <w:rPr>
          <w:rFonts w:eastAsia="Franklin Gothic Book" w:cstheme="minorHAnsi"/>
          <w:spacing w:val="43"/>
          <w:sz w:val="24"/>
        </w:rPr>
        <w:t xml:space="preserve"> </w:t>
      </w:r>
      <w:r w:rsidRPr="004E6649">
        <w:rPr>
          <w:rFonts w:eastAsia="Franklin Gothic Book" w:cstheme="minorHAnsi"/>
          <w:sz w:val="24"/>
        </w:rPr>
        <w:t>a</w:t>
      </w:r>
      <w:r w:rsidRPr="004E6649">
        <w:rPr>
          <w:rFonts w:eastAsia="Franklin Gothic Book" w:cstheme="minorHAnsi"/>
          <w:spacing w:val="1"/>
          <w:sz w:val="24"/>
        </w:rPr>
        <w:t>ss</w:t>
      </w:r>
      <w:r w:rsidRPr="004E6649">
        <w:rPr>
          <w:rFonts w:eastAsia="Franklin Gothic Book" w:cstheme="minorHAnsi"/>
          <w:sz w:val="24"/>
        </w:rPr>
        <w:t>et</w:t>
      </w:r>
      <w:r w:rsidRPr="004E6649">
        <w:rPr>
          <w:rFonts w:eastAsia="Franklin Gothic Book" w:cstheme="minorHAnsi"/>
          <w:w w:val="99"/>
          <w:sz w:val="24"/>
        </w:rPr>
        <w:t xml:space="preserve"> </w:t>
      </w:r>
      <w:r w:rsidRPr="004E6649">
        <w:rPr>
          <w:rFonts w:eastAsia="Franklin Gothic Book" w:cstheme="minorHAnsi"/>
          <w:sz w:val="24"/>
        </w:rPr>
        <w:t>alloca</w:t>
      </w:r>
      <w:r w:rsidRPr="004E6649">
        <w:rPr>
          <w:rFonts w:eastAsia="Franklin Gothic Book" w:cstheme="minorHAnsi"/>
          <w:spacing w:val="1"/>
          <w:sz w:val="24"/>
        </w:rPr>
        <w:t>t</w:t>
      </w:r>
      <w:r w:rsidRPr="004E6649">
        <w:rPr>
          <w:rFonts w:eastAsia="Franklin Gothic Book" w:cstheme="minorHAnsi"/>
          <w:sz w:val="24"/>
        </w:rPr>
        <w:t>ion as</w:t>
      </w:r>
      <w:r w:rsidRPr="004E6649">
        <w:rPr>
          <w:rFonts w:eastAsia="Franklin Gothic Book" w:cstheme="minorHAnsi"/>
          <w:spacing w:val="1"/>
          <w:sz w:val="24"/>
        </w:rPr>
        <w:t xml:space="preserve"> </w:t>
      </w:r>
      <w:r w:rsidRPr="004E6649">
        <w:rPr>
          <w:rFonts w:eastAsia="Franklin Gothic Book" w:cstheme="minorHAnsi"/>
          <w:spacing w:val="-1"/>
          <w:sz w:val="24"/>
        </w:rPr>
        <w:t>o</w:t>
      </w:r>
      <w:r w:rsidRPr="004E6649">
        <w:rPr>
          <w:rFonts w:eastAsia="Franklin Gothic Book" w:cstheme="minorHAnsi"/>
          <w:sz w:val="24"/>
        </w:rPr>
        <w:t xml:space="preserve">f </w:t>
      </w:r>
      <w:r w:rsidRPr="004E6649">
        <w:rPr>
          <w:rFonts w:eastAsia="Franklin Gothic Book" w:cstheme="minorHAnsi"/>
          <w:spacing w:val="-1"/>
          <w:sz w:val="24"/>
        </w:rPr>
        <w:t>Jun</w:t>
      </w:r>
      <w:r w:rsidRPr="004E6649">
        <w:rPr>
          <w:rFonts w:eastAsia="Franklin Gothic Book" w:cstheme="minorHAnsi"/>
          <w:sz w:val="24"/>
        </w:rPr>
        <w:t>e 30</w:t>
      </w:r>
      <w:r w:rsidRPr="004E6649">
        <w:rPr>
          <w:rFonts w:eastAsia="Franklin Gothic Book" w:cstheme="minorHAnsi"/>
          <w:spacing w:val="1"/>
          <w:sz w:val="24"/>
        </w:rPr>
        <w:t xml:space="preserve"> </w:t>
      </w:r>
      <w:r w:rsidRPr="004E6649">
        <w:rPr>
          <w:rFonts w:eastAsia="Franklin Gothic Book" w:cstheme="minorHAnsi"/>
          <w:sz w:val="24"/>
        </w:rPr>
        <w:t>a</w:t>
      </w:r>
      <w:r w:rsidRPr="004E6649">
        <w:rPr>
          <w:rFonts w:eastAsia="Franklin Gothic Book" w:cstheme="minorHAnsi"/>
          <w:spacing w:val="-1"/>
          <w:sz w:val="24"/>
        </w:rPr>
        <w:t>r</w:t>
      </w:r>
      <w:r w:rsidRPr="004E6649">
        <w:rPr>
          <w:rFonts w:eastAsia="Franklin Gothic Book" w:cstheme="minorHAnsi"/>
          <w:sz w:val="24"/>
        </w:rPr>
        <w:t>e</w:t>
      </w:r>
      <w:r w:rsidRPr="004E6649">
        <w:rPr>
          <w:rFonts w:eastAsia="Franklin Gothic Book" w:cstheme="minorHAnsi"/>
          <w:spacing w:val="-2"/>
          <w:sz w:val="24"/>
        </w:rPr>
        <w:t xml:space="preserve"> </w:t>
      </w:r>
      <w:r w:rsidRPr="004E6649">
        <w:rPr>
          <w:rFonts w:eastAsia="Franklin Gothic Book" w:cstheme="minorHAnsi"/>
          <w:spacing w:val="1"/>
          <w:sz w:val="24"/>
        </w:rPr>
        <w:t>s</w:t>
      </w:r>
      <w:r w:rsidRPr="004E6649">
        <w:rPr>
          <w:rFonts w:eastAsia="Franklin Gothic Book" w:cstheme="minorHAnsi"/>
          <w:sz w:val="24"/>
        </w:rPr>
        <w:t>umma</w:t>
      </w:r>
      <w:r w:rsidRPr="004E6649">
        <w:rPr>
          <w:rFonts w:eastAsia="Franklin Gothic Book" w:cstheme="minorHAnsi"/>
          <w:spacing w:val="-1"/>
          <w:sz w:val="24"/>
        </w:rPr>
        <w:t>r</w:t>
      </w:r>
      <w:r w:rsidRPr="004E6649">
        <w:rPr>
          <w:rFonts w:eastAsia="Franklin Gothic Book" w:cstheme="minorHAnsi"/>
          <w:sz w:val="24"/>
        </w:rPr>
        <w:t>iz</w:t>
      </w:r>
      <w:r w:rsidRPr="004E6649">
        <w:rPr>
          <w:rFonts w:eastAsia="Franklin Gothic Book" w:cstheme="minorHAnsi"/>
          <w:spacing w:val="-1"/>
          <w:sz w:val="24"/>
        </w:rPr>
        <w:t>e</w:t>
      </w:r>
      <w:r w:rsidRPr="004E6649">
        <w:rPr>
          <w:rFonts w:eastAsia="Franklin Gothic Book" w:cstheme="minorHAnsi"/>
          <w:sz w:val="24"/>
        </w:rPr>
        <w:t>d</w:t>
      </w:r>
      <w:r w:rsidRPr="004E6649">
        <w:rPr>
          <w:rFonts w:eastAsia="Franklin Gothic Book" w:cstheme="minorHAnsi"/>
          <w:w w:val="99"/>
          <w:sz w:val="24"/>
        </w:rPr>
        <w:t xml:space="preserve"> </w:t>
      </w:r>
      <w:r w:rsidRPr="004E6649">
        <w:rPr>
          <w:rFonts w:eastAsia="Franklin Gothic Book" w:cstheme="minorHAnsi"/>
          <w:sz w:val="24"/>
        </w:rPr>
        <w:t>in</w:t>
      </w:r>
      <w:r w:rsidRPr="004E6649">
        <w:rPr>
          <w:rFonts w:eastAsia="Franklin Gothic Book" w:cstheme="minorHAnsi"/>
          <w:spacing w:val="-6"/>
          <w:sz w:val="24"/>
        </w:rPr>
        <w:t xml:space="preserve"> </w:t>
      </w:r>
      <w:r w:rsidRPr="004E6649">
        <w:rPr>
          <w:rFonts w:eastAsia="Franklin Gothic Book" w:cstheme="minorHAnsi"/>
          <w:sz w:val="24"/>
        </w:rPr>
        <w:t>the</w:t>
      </w:r>
      <w:r w:rsidRPr="004E6649">
        <w:rPr>
          <w:rFonts w:eastAsia="Franklin Gothic Book" w:cstheme="minorHAnsi"/>
          <w:spacing w:val="-6"/>
          <w:sz w:val="24"/>
        </w:rPr>
        <w:t xml:space="preserve"> </w:t>
      </w:r>
      <w:r w:rsidRPr="004E6649">
        <w:rPr>
          <w:rFonts w:eastAsia="Franklin Gothic Book" w:cstheme="minorHAnsi"/>
          <w:sz w:val="24"/>
        </w:rPr>
        <w:t>fo</w:t>
      </w:r>
      <w:r w:rsidRPr="004E6649">
        <w:rPr>
          <w:rFonts w:eastAsia="Franklin Gothic Book" w:cstheme="minorHAnsi"/>
          <w:spacing w:val="-1"/>
          <w:sz w:val="24"/>
        </w:rPr>
        <w:t>l</w:t>
      </w:r>
      <w:r w:rsidRPr="004E6649">
        <w:rPr>
          <w:rFonts w:eastAsia="Franklin Gothic Book" w:cstheme="minorHAnsi"/>
          <w:sz w:val="24"/>
        </w:rPr>
        <w:t>l</w:t>
      </w:r>
      <w:r w:rsidRPr="004E6649">
        <w:rPr>
          <w:rFonts w:eastAsia="Franklin Gothic Book" w:cstheme="minorHAnsi"/>
          <w:spacing w:val="-1"/>
          <w:sz w:val="24"/>
        </w:rPr>
        <w:t>o</w:t>
      </w:r>
      <w:r w:rsidRPr="004E6649">
        <w:rPr>
          <w:rFonts w:eastAsia="Franklin Gothic Book" w:cstheme="minorHAnsi"/>
          <w:sz w:val="24"/>
        </w:rPr>
        <w:t>wing</w:t>
      </w:r>
      <w:r w:rsidRPr="004E6649">
        <w:rPr>
          <w:rFonts w:eastAsia="Franklin Gothic Book" w:cstheme="minorHAnsi"/>
          <w:spacing w:val="-6"/>
          <w:sz w:val="24"/>
        </w:rPr>
        <w:t xml:space="preserve"> </w:t>
      </w:r>
      <w:r w:rsidRPr="004E6649">
        <w:rPr>
          <w:rFonts w:eastAsia="Franklin Gothic Book" w:cstheme="minorHAnsi"/>
          <w:sz w:val="24"/>
        </w:rPr>
        <w:t>ta</w:t>
      </w:r>
      <w:r w:rsidRPr="004E6649">
        <w:rPr>
          <w:rFonts w:eastAsia="Franklin Gothic Book" w:cstheme="minorHAnsi"/>
          <w:spacing w:val="1"/>
          <w:sz w:val="24"/>
        </w:rPr>
        <w:t>b</w:t>
      </w:r>
      <w:r w:rsidRPr="004E6649">
        <w:rPr>
          <w:rFonts w:eastAsia="Franklin Gothic Book" w:cstheme="minorHAnsi"/>
          <w:sz w:val="24"/>
        </w:rPr>
        <w:t>l</w:t>
      </w:r>
      <w:r w:rsidRPr="004E6649">
        <w:rPr>
          <w:rFonts w:eastAsia="Franklin Gothic Book" w:cstheme="minorHAnsi"/>
          <w:spacing w:val="-1"/>
          <w:sz w:val="24"/>
        </w:rPr>
        <w:t>e.</w:t>
      </w:r>
      <w:r w:rsidRPr="004E6649">
        <w:rPr>
          <w:rFonts w:eastAsia="Franklin Gothic Book" w:cstheme="minorHAnsi"/>
          <w:sz w:val="24"/>
        </w:rPr>
        <w:fldChar w:fldCharType="begin"/>
      </w:r>
      <w:r w:rsidRPr="004E6649">
        <w:rPr>
          <w:rFonts w:eastAsia="Franklin Gothic Book" w:cstheme="minorHAnsi"/>
          <w:sz w:val="24"/>
        </w:rPr>
        <w:fldChar w:fldCharType="end"/>
      </w:r>
    </w:p>
    <w:tbl>
      <w:tblPr>
        <w:tblW w:w="8370" w:type="dxa"/>
        <w:jc w:val="center"/>
        <w:tblLook w:val="04A0" w:firstRow="1" w:lastRow="0" w:firstColumn="1" w:lastColumn="0" w:noHBand="0" w:noVBand="1"/>
      </w:tblPr>
      <w:tblGrid>
        <w:gridCol w:w="2984"/>
        <w:gridCol w:w="1154"/>
        <w:gridCol w:w="1311"/>
        <w:gridCol w:w="1311"/>
        <w:gridCol w:w="1530"/>
        <w:gridCol w:w="80"/>
      </w:tblGrid>
      <w:tr w:rsidR="001B6918" w:rsidRPr="004E6649" w14:paraId="452183C2" w14:textId="77777777" w:rsidTr="00730ECF">
        <w:trPr>
          <w:trHeight w:val="116"/>
          <w:tblHeader/>
          <w:jc w:val="center"/>
        </w:trPr>
        <w:tc>
          <w:tcPr>
            <w:tcW w:w="2984" w:type="dxa"/>
            <w:tcBorders>
              <w:top w:val="nil"/>
              <w:left w:val="nil"/>
              <w:bottom w:val="single" w:sz="12" w:space="0" w:color="000000" w:themeColor="text1"/>
              <w:right w:val="nil"/>
            </w:tcBorders>
            <w:noWrap/>
            <w:vAlign w:val="bottom"/>
            <w:hideMark/>
          </w:tcPr>
          <w:p w14:paraId="5256F1ED" w14:textId="77777777" w:rsidR="001B6918" w:rsidRPr="004E6649" w:rsidRDefault="001B6918" w:rsidP="00730ECF">
            <w:pPr>
              <w:rPr>
                <w:rFonts w:eastAsia="Times New Roman" w:cstheme="minorHAnsi"/>
                <w:sz w:val="24"/>
                <w:szCs w:val="24"/>
              </w:rPr>
            </w:pPr>
          </w:p>
        </w:tc>
        <w:tc>
          <w:tcPr>
            <w:tcW w:w="1154" w:type="dxa"/>
            <w:tcBorders>
              <w:top w:val="nil"/>
              <w:left w:val="nil"/>
              <w:bottom w:val="single" w:sz="12" w:space="0" w:color="000000" w:themeColor="text1"/>
              <w:right w:val="nil"/>
            </w:tcBorders>
            <w:shd w:val="clear" w:color="000000" w:fill="FFFFFF"/>
            <w:vAlign w:val="bottom"/>
            <w:hideMark/>
          </w:tcPr>
          <w:p w14:paraId="6C8BE64A" w14:textId="77777777" w:rsidR="001B6918" w:rsidRPr="004E6649" w:rsidRDefault="001B6918" w:rsidP="00730ECF">
            <w:pPr>
              <w:jc w:val="center"/>
              <w:rPr>
                <w:rFonts w:eastAsia="Times New Roman" w:cstheme="minorHAnsi"/>
                <w:b/>
                <w:bCs/>
                <w:color w:val="0D0D0D"/>
              </w:rPr>
            </w:pPr>
          </w:p>
        </w:tc>
        <w:tc>
          <w:tcPr>
            <w:tcW w:w="1311" w:type="dxa"/>
            <w:tcBorders>
              <w:top w:val="nil"/>
              <w:left w:val="nil"/>
              <w:bottom w:val="single" w:sz="12" w:space="0" w:color="000000" w:themeColor="text1"/>
              <w:right w:val="nil"/>
            </w:tcBorders>
            <w:shd w:val="clear" w:color="000000" w:fill="FFFFFF"/>
            <w:vAlign w:val="bottom"/>
          </w:tcPr>
          <w:p w14:paraId="4E0E92E1" w14:textId="77777777" w:rsidR="001B6918" w:rsidRPr="004E6649" w:rsidRDefault="001B6918" w:rsidP="00730ECF">
            <w:pPr>
              <w:rPr>
                <w:rFonts w:eastAsia="Times New Roman" w:cstheme="minorHAnsi"/>
                <w:b/>
                <w:bCs/>
                <w:color w:val="0D0D0D"/>
              </w:rPr>
            </w:pPr>
            <w:r w:rsidRPr="004E6649">
              <w:rPr>
                <w:rFonts w:eastAsia="Times New Roman" w:cstheme="minorHAnsi"/>
                <w:b/>
                <w:bCs/>
                <w:color w:val="0D0D0D"/>
              </w:rPr>
              <w:t>202</w:t>
            </w:r>
            <w:r>
              <w:rPr>
                <w:rFonts w:eastAsia="Times New Roman" w:cstheme="minorHAnsi"/>
                <w:b/>
                <w:bCs/>
                <w:color w:val="0D0D0D"/>
              </w:rPr>
              <w:t>5</w:t>
            </w:r>
          </w:p>
        </w:tc>
        <w:tc>
          <w:tcPr>
            <w:tcW w:w="1311" w:type="dxa"/>
            <w:tcBorders>
              <w:top w:val="nil"/>
              <w:left w:val="nil"/>
              <w:bottom w:val="single" w:sz="12" w:space="0" w:color="000000" w:themeColor="text1"/>
              <w:right w:val="nil"/>
            </w:tcBorders>
            <w:shd w:val="clear" w:color="auto" w:fill="F2F2F2" w:themeFill="background1" w:themeFillShade="F2"/>
            <w:vAlign w:val="bottom"/>
            <w:hideMark/>
          </w:tcPr>
          <w:p w14:paraId="20258E18" w14:textId="77777777" w:rsidR="001B6918" w:rsidRPr="004E6649" w:rsidRDefault="001B6918" w:rsidP="00730ECF">
            <w:pPr>
              <w:jc w:val="center"/>
              <w:rPr>
                <w:rFonts w:eastAsia="Times New Roman" w:cstheme="minorHAnsi"/>
                <w:b/>
                <w:bCs/>
                <w:color w:val="0D0D0D"/>
              </w:rPr>
            </w:pPr>
          </w:p>
        </w:tc>
        <w:tc>
          <w:tcPr>
            <w:tcW w:w="1610" w:type="dxa"/>
            <w:gridSpan w:val="2"/>
            <w:tcBorders>
              <w:top w:val="nil"/>
              <w:left w:val="nil"/>
              <w:bottom w:val="single" w:sz="12" w:space="0" w:color="000000" w:themeColor="text1"/>
              <w:right w:val="nil"/>
            </w:tcBorders>
            <w:shd w:val="clear" w:color="auto" w:fill="F2F2F2" w:themeFill="background1" w:themeFillShade="F2"/>
            <w:vAlign w:val="bottom"/>
          </w:tcPr>
          <w:p w14:paraId="5BC8E5B7" w14:textId="77777777" w:rsidR="001B6918" w:rsidRPr="004E6649" w:rsidRDefault="001B6918" w:rsidP="00730ECF">
            <w:pPr>
              <w:rPr>
                <w:rFonts w:eastAsia="Times New Roman" w:cstheme="minorHAnsi"/>
                <w:b/>
                <w:bCs/>
                <w:color w:val="0D0D0D"/>
              </w:rPr>
            </w:pPr>
            <w:r w:rsidRPr="004E6649">
              <w:rPr>
                <w:rFonts w:eastAsia="Times New Roman" w:cstheme="minorHAnsi"/>
                <w:b/>
                <w:bCs/>
                <w:color w:val="0D0D0D"/>
              </w:rPr>
              <w:t>202</w:t>
            </w:r>
            <w:r>
              <w:rPr>
                <w:rFonts w:eastAsia="Times New Roman" w:cstheme="minorHAnsi"/>
                <w:b/>
                <w:bCs/>
                <w:color w:val="0D0D0D"/>
              </w:rPr>
              <w:t>4</w:t>
            </w:r>
          </w:p>
        </w:tc>
      </w:tr>
      <w:tr w:rsidR="001B6918" w:rsidRPr="004E6649" w14:paraId="1EA5BCAD" w14:textId="77777777" w:rsidTr="00730ECF">
        <w:trPr>
          <w:gridAfter w:val="1"/>
          <w:wAfter w:w="80" w:type="dxa"/>
          <w:trHeight w:val="888"/>
          <w:tblHeader/>
          <w:jc w:val="center"/>
        </w:trPr>
        <w:tc>
          <w:tcPr>
            <w:tcW w:w="2984" w:type="dxa"/>
            <w:tcBorders>
              <w:top w:val="single" w:sz="12" w:space="0" w:color="000000" w:themeColor="text1"/>
              <w:left w:val="nil"/>
              <w:bottom w:val="single" w:sz="12" w:space="0" w:color="000000" w:themeColor="text1"/>
              <w:right w:val="nil"/>
            </w:tcBorders>
            <w:shd w:val="clear" w:color="000000" w:fill="FFFFFF"/>
            <w:noWrap/>
            <w:vAlign w:val="bottom"/>
            <w:hideMark/>
          </w:tcPr>
          <w:p w14:paraId="31C880FE" w14:textId="77777777" w:rsidR="001B6918" w:rsidRPr="004E6649" w:rsidRDefault="001B6918" w:rsidP="00730ECF">
            <w:pPr>
              <w:rPr>
                <w:rFonts w:eastAsia="Times New Roman" w:cstheme="minorHAnsi"/>
                <w:b/>
                <w:bCs/>
                <w:color w:val="0D0D0D"/>
              </w:rPr>
            </w:pPr>
            <w:r w:rsidRPr="004E6649">
              <w:rPr>
                <w:rFonts w:eastAsia="Times New Roman" w:cstheme="minorHAnsi"/>
                <w:b/>
                <w:bCs/>
                <w:color w:val="0D0D0D"/>
              </w:rPr>
              <w:t>Asset Class</w:t>
            </w:r>
          </w:p>
        </w:tc>
        <w:tc>
          <w:tcPr>
            <w:tcW w:w="1154" w:type="dxa"/>
            <w:tcBorders>
              <w:top w:val="single" w:sz="12" w:space="0" w:color="000000" w:themeColor="text1"/>
              <w:left w:val="nil"/>
              <w:bottom w:val="single" w:sz="12" w:space="0" w:color="000000" w:themeColor="text1"/>
              <w:right w:val="nil"/>
            </w:tcBorders>
            <w:shd w:val="clear" w:color="000000" w:fill="FFFFFF"/>
            <w:vAlign w:val="bottom"/>
            <w:hideMark/>
          </w:tcPr>
          <w:p w14:paraId="7409701B"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Target Allocation</w:t>
            </w:r>
          </w:p>
        </w:tc>
        <w:tc>
          <w:tcPr>
            <w:tcW w:w="1311" w:type="dxa"/>
            <w:tcBorders>
              <w:top w:val="single" w:sz="12" w:space="0" w:color="000000" w:themeColor="text1"/>
              <w:left w:val="nil"/>
              <w:bottom w:val="single" w:sz="12" w:space="0" w:color="000000" w:themeColor="text1"/>
              <w:right w:val="nil"/>
            </w:tcBorders>
            <w:shd w:val="clear" w:color="000000" w:fill="FFFFFF"/>
            <w:vAlign w:val="bottom"/>
            <w:hideMark/>
          </w:tcPr>
          <w:p w14:paraId="291EA1DD"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Long-Term Expected Real Rate of Return</w:t>
            </w:r>
          </w:p>
        </w:tc>
        <w:tc>
          <w:tcPr>
            <w:tcW w:w="1311" w:type="dxa"/>
            <w:tcBorders>
              <w:top w:val="single" w:sz="12" w:space="0" w:color="000000" w:themeColor="text1"/>
              <w:left w:val="nil"/>
              <w:bottom w:val="single" w:sz="12" w:space="0" w:color="000000" w:themeColor="text1"/>
              <w:right w:val="nil"/>
            </w:tcBorders>
            <w:shd w:val="clear" w:color="auto" w:fill="F2F2F2" w:themeFill="background1" w:themeFillShade="F2"/>
            <w:vAlign w:val="bottom"/>
            <w:hideMark/>
          </w:tcPr>
          <w:p w14:paraId="17345E0D"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Target Allocation</w:t>
            </w:r>
          </w:p>
        </w:tc>
        <w:tc>
          <w:tcPr>
            <w:tcW w:w="1530" w:type="dxa"/>
            <w:tcBorders>
              <w:top w:val="single" w:sz="12" w:space="0" w:color="000000" w:themeColor="text1"/>
              <w:left w:val="nil"/>
              <w:bottom w:val="single" w:sz="12" w:space="0" w:color="000000" w:themeColor="text1"/>
              <w:right w:val="nil"/>
            </w:tcBorders>
            <w:shd w:val="clear" w:color="auto" w:fill="F2F2F2" w:themeFill="background1" w:themeFillShade="F2"/>
            <w:vAlign w:val="bottom"/>
            <w:hideMark/>
          </w:tcPr>
          <w:p w14:paraId="4F08C621"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Long-Term Expected Real Rate of Return</w:t>
            </w:r>
          </w:p>
        </w:tc>
      </w:tr>
      <w:tr w:rsidR="001B6918" w:rsidRPr="004E6649" w14:paraId="1139D3B1" w14:textId="77777777" w:rsidTr="00730ECF">
        <w:trPr>
          <w:gridAfter w:val="1"/>
          <w:wAfter w:w="80" w:type="dxa"/>
          <w:trHeight w:val="303"/>
          <w:jc w:val="center"/>
        </w:trPr>
        <w:tc>
          <w:tcPr>
            <w:tcW w:w="2984" w:type="dxa"/>
            <w:tcBorders>
              <w:top w:val="single" w:sz="12" w:space="0" w:color="000000" w:themeColor="text1"/>
              <w:left w:val="nil"/>
              <w:bottom w:val="nil"/>
              <w:right w:val="nil"/>
            </w:tcBorders>
            <w:shd w:val="clear" w:color="000000" w:fill="FFFFFF"/>
            <w:noWrap/>
            <w:vAlign w:val="bottom"/>
            <w:hideMark/>
          </w:tcPr>
          <w:p w14:paraId="574406C6"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Large Cap Equities</w:t>
            </w:r>
          </w:p>
        </w:tc>
        <w:tc>
          <w:tcPr>
            <w:tcW w:w="1154" w:type="dxa"/>
            <w:tcBorders>
              <w:top w:val="single" w:sz="12" w:space="0" w:color="000000" w:themeColor="text1"/>
              <w:left w:val="nil"/>
              <w:bottom w:val="nil"/>
              <w:right w:val="nil"/>
            </w:tcBorders>
            <w:shd w:val="clear" w:color="000000" w:fill="FFFFFF"/>
            <w:noWrap/>
            <w:vAlign w:val="bottom"/>
            <w:hideMark/>
          </w:tcPr>
          <w:p w14:paraId="67C4B02C" w14:textId="77777777" w:rsidR="001B6918" w:rsidRPr="00A17817" w:rsidRDefault="001B6918" w:rsidP="00730ECF">
            <w:pPr>
              <w:jc w:val="center"/>
              <w:rPr>
                <w:rFonts w:eastAsia="Times New Roman" w:cstheme="minorHAnsi"/>
              </w:rPr>
            </w:pPr>
            <w:r w:rsidRPr="00A17817">
              <w:rPr>
                <w:rFonts w:cstheme="minorHAnsi"/>
              </w:rPr>
              <w:t>15.5%</w:t>
            </w:r>
          </w:p>
        </w:tc>
        <w:tc>
          <w:tcPr>
            <w:tcW w:w="1311" w:type="dxa"/>
            <w:tcBorders>
              <w:top w:val="single" w:sz="12" w:space="0" w:color="000000" w:themeColor="text1"/>
              <w:left w:val="nil"/>
              <w:bottom w:val="nil"/>
              <w:right w:val="nil"/>
            </w:tcBorders>
            <w:shd w:val="clear" w:color="000000" w:fill="FFFFFF"/>
            <w:noWrap/>
            <w:vAlign w:val="bottom"/>
            <w:hideMark/>
          </w:tcPr>
          <w:p w14:paraId="7FA76471" w14:textId="77777777" w:rsidR="001B6918" w:rsidRPr="00A17817" w:rsidRDefault="001B6918" w:rsidP="00730ECF">
            <w:pPr>
              <w:jc w:val="center"/>
              <w:rPr>
                <w:rFonts w:eastAsia="Times New Roman" w:cstheme="minorHAnsi"/>
              </w:rPr>
            </w:pPr>
            <w:r w:rsidRPr="00A17817">
              <w:rPr>
                <w:rFonts w:cstheme="minorHAnsi"/>
              </w:rPr>
              <w:t>4.30%</w:t>
            </w:r>
          </w:p>
        </w:tc>
        <w:tc>
          <w:tcPr>
            <w:tcW w:w="1311" w:type="dxa"/>
            <w:tcBorders>
              <w:top w:val="single" w:sz="12" w:space="0" w:color="000000" w:themeColor="text1"/>
              <w:left w:val="nil"/>
              <w:bottom w:val="nil"/>
              <w:right w:val="nil"/>
            </w:tcBorders>
            <w:shd w:val="clear" w:color="auto" w:fill="F2F2F2" w:themeFill="background1" w:themeFillShade="F2"/>
            <w:noWrap/>
            <w:vAlign w:val="bottom"/>
          </w:tcPr>
          <w:p w14:paraId="53C548CC" w14:textId="77777777" w:rsidR="001B6918" w:rsidRPr="004E6649" w:rsidRDefault="001B6918" w:rsidP="00730ECF">
            <w:pPr>
              <w:jc w:val="center"/>
              <w:rPr>
                <w:rFonts w:eastAsia="Times New Roman" w:cstheme="minorHAnsi"/>
              </w:rPr>
            </w:pPr>
            <w:r>
              <w:rPr>
                <w:rFonts w:cstheme="minorHAnsi"/>
                <w:color w:val="000000" w:themeColor="text1"/>
              </w:rPr>
              <w:t>14.5</w:t>
            </w:r>
            <w:r w:rsidRPr="004E6649">
              <w:rPr>
                <w:rFonts w:cstheme="minorHAnsi"/>
                <w:color w:val="000000" w:themeColor="text1"/>
              </w:rPr>
              <w:t>%</w:t>
            </w:r>
          </w:p>
        </w:tc>
        <w:tc>
          <w:tcPr>
            <w:tcW w:w="1530" w:type="dxa"/>
            <w:tcBorders>
              <w:top w:val="single" w:sz="12" w:space="0" w:color="000000" w:themeColor="text1"/>
              <w:left w:val="nil"/>
              <w:bottom w:val="nil"/>
              <w:right w:val="nil"/>
            </w:tcBorders>
            <w:shd w:val="clear" w:color="auto" w:fill="F2F2F2" w:themeFill="background1" w:themeFillShade="F2"/>
            <w:noWrap/>
            <w:vAlign w:val="bottom"/>
          </w:tcPr>
          <w:p w14:paraId="52869CCA" w14:textId="77777777" w:rsidR="001B6918" w:rsidRPr="004E6649" w:rsidRDefault="001B6918" w:rsidP="00730ECF">
            <w:pPr>
              <w:jc w:val="center"/>
              <w:rPr>
                <w:rFonts w:eastAsia="Times New Roman" w:cstheme="minorHAnsi"/>
              </w:rPr>
            </w:pPr>
            <w:r>
              <w:rPr>
                <w:rFonts w:cstheme="minorHAnsi"/>
                <w:color w:val="000000" w:themeColor="text1"/>
              </w:rPr>
              <w:t>3.70</w:t>
            </w:r>
            <w:r w:rsidRPr="004E6649">
              <w:rPr>
                <w:rFonts w:cstheme="minorHAnsi"/>
                <w:color w:val="000000" w:themeColor="text1"/>
              </w:rPr>
              <w:t>%</w:t>
            </w:r>
          </w:p>
        </w:tc>
      </w:tr>
      <w:tr w:rsidR="001B6918" w:rsidRPr="004E6649" w14:paraId="193DEC6F" w14:textId="77777777" w:rsidTr="00730ECF">
        <w:trPr>
          <w:gridAfter w:val="1"/>
          <w:wAfter w:w="80" w:type="dxa"/>
          <w:trHeight w:val="288"/>
          <w:jc w:val="center"/>
        </w:trPr>
        <w:tc>
          <w:tcPr>
            <w:tcW w:w="2984" w:type="dxa"/>
            <w:tcBorders>
              <w:top w:val="nil"/>
              <w:left w:val="nil"/>
              <w:bottom w:val="nil"/>
              <w:right w:val="nil"/>
            </w:tcBorders>
            <w:shd w:val="clear" w:color="000000" w:fill="FFFFFF"/>
            <w:noWrap/>
            <w:vAlign w:val="center"/>
            <w:hideMark/>
          </w:tcPr>
          <w:p w14:paraId="727AECC3"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Domestic Small/Mid Cap</w:t>
            </w:r>
          </w:p>
        </w:tc>
        <w:tc>
          <w:tcPr>
            <w:tcW w:w="1154" w:type="dxa"/>
            <w:tcBorders>
              <w:top w:val="nil"/>
              <w:left w:val="nil"/>
              <w:bottom w:val="nil"/>
              <w:right w:val="nil"/>
            </w:tcBorders>
            <w:shd w:val="clear" w:color="000000" w:fill="FFFFFF"/>
            <w:noWrap/>
            <w:vAlign w:val="bottom"/>
            <w:hideMark/>
          </w:tcPr>
          <w:p w14:paraId="70D9EF45" w14:textId="77777777" w:rsidR="001B6918" w:rsidRPr="00A17817" w:rsidRDefault="001B6918" w:rsidP="00730ECF">
            <w:pPr>
              <w:jc w:val="center"/>
              <w:rPr>
                <w:rFonts w:eastAsia="Times New Roman" w:cstheme="minorHAnsi"/>
              </w:rPr>
            </w:pPr>
            <w:r w:rsidRPr="00A17817">
              <w:rPr>
                <w:rFonts w:cstheme="minorHAnsi"/>
              </w:rPr>
              <w:t>3.3%</w:t>
            </w:r>
          </w:p>
        </w:tc>
        <w:tc>
          <w:tcPr>
            <w:tcW w:w="1311" w:type="dxa"/>
            <w:tcBorders>
              <w:top w:val="nil"/>
              <w:left w:val="nil"/>
              <w:bottom w:val="nil"/>
              <w:right w:val="nil"/>
            </w:tcBorders>
            <w:shd w:val="clear" w:color="000000" w:fill="FFFFFF"/>
            <w:noWrap/>
            <w:vAlign w:val="bottom"/>
            <w:hideMark/>
          </w:tcPr>
          <w:p w14:paraId="73BD22C6" w14:textId="77777777" w:rsidR="001B6918" w:rsidRPr="00A17817" w:rsidRDefault="001B6918" w:rsidP="00730ECF">
            <w:pPr>
              <w:jc w:val="center"/>
              <w:rPr>
                <w:rFonts w:eastAsia="Times New Roman" w:cstheme="minorHAnsi"/>
              </w:rPr>
            </w:pPr>
            <w:r w:rsidRPr="00A17817">
              <w:rPr>
                <w:rFonts w:cstheme="minorHAnsi"/>
              </w:rPr>
              <w:t>4.50%</w:t>
            </w:r>
          </w:p>
        </w:tc>
        <w:tc>
          <w:tcPr>
            <w:tcW w:w="1311" w:type="dxa"/>
            <w:tcBorders>
              <w:top w:val="nil"/>
              <w:left w:val="nil"/>
              <w:bottom w:val="nil"/>
              <w:right w:val="nil"/>
            </w:tcBorders>
            <w:shd w:val="clear" w:color="auto" w:fill="F2F2F2" w:themeFill="background1" w:themeFillShade="F2"/>
            <w:noWrap/>
            <w:vAlign w:val="bottom"/>
            <w:hideMark/>
          </w:tcPr>
          <w:p w14:paraId="39EBF7BF" w14:textId="77777777" w:rsidR="001B6918" w:rsidRPr="004E6649" w:rsidRDefault="001B6918" w:rsidP="00730ECF">
            <w:pPr>
              <w:jc w:val="center"/>
              <w:rPr>
                <w:rFonts w:eastAsia="Times New Roman" w:cstheme="minorHAnsi"/>
              </w:rPr>
            </w:pPr>
            <w:r>
              <w:rPr>
                <w:rFonts w:cstheme="minorHAnsi"/>
                <w:color w:val="000000" w:themeColor="text1"/>
              </w:rPr>
              <w:t>3</w:t>
            </w:r>
            <w:r w:rsidRPr="004E6649">
              <w:rPr>
                <w:rFonts w:cstheme="minorHAnsi"/>
                <w:color w:val="000000" w:themeColor="text1"/>
              </w:rPr>
              <w:t>.0%</w:t>
            </w:r>
          </w:p>
        </w:tc>
        <w:tc>
          <w:tcPr>
            <w:tcW w:w="1530" w:type="dxa"/>
            <w:tcBorders>
              <w:top w:val="nil"/>
              <w:left w:val="nil"/>
              <w:bottom w:val="nil"/>
              <w:right w:val="nil"/>
            </w:tcBorders>
            <w:shd w:val="clear" w:color="auto" w:fill="F2F2F2" w:themeFill="background1" w:themeFillShade="F2"/>
            <w:noWrap/>
            <w:vAlign w:val="bottom"/>
            <w:hideMark/>
          </w:tcPr>
          <w:p w14:paraId="2C8C30EE" w14:textId="77777777" w:rsidR="001B6918" w:rsidRPr="004E6649" w:rsidRDefault="001B6918" w:rsidP="00730ECF">
            <w:pPr>
              <w:jc w:val="center"/>
              <w:rPr>
                <w:rFonts w:eastAsia="Times New Roman" w:cstheme="minorHAnsi"/>
              </w:rPr>
            </w:pPr>
            <w:r w:rsidRPr="004E6649">
              <w:rPr>
                <w:rFonts w:cstheme="minorHAnsi"/>
                <w:color w:val="000000" w:themeColor="text1"/>
              </w:rPr>
              <w:t>4.</w:t>
            </w:r>
            <w:r>
              <w:rPr>
                <w:rFonts w:cstheme="minorHAnsi"/>
                <w:color w:val="000000" w:themeColor="text1"/>
              </w:rPr>
              <w:t>9</w:t>
            </w:r>
            <w:r w:rsidRPr="004E6649">
              <w:rPr>
                <w:rFonts w:cstheme="minorHAnsi"/>
                <w:color w:val="000000" w:themeColor="text1"/>
              </w:rPr>
              <w:t>0%</w:t>
            </w:r>
          </w:p>
        </w:tc>
      </w:tr>
      <w:tr w:rsidR="001B6918" w:rsidRPr="004E6649" w14:paraId="34230D70" w14:textId="77777777" w:rsidTr="00730ECF">
        <w:trPr>
          <w:gridAfter w:val="1"/>
          <w:wAfter w:w="80" w:type="dxa"/>
          <w:trHeight w:val="288"/>
          <w:jc w:val="center"/>
        </w:trPr>
        <w:tc>
          <w:tcPr>
            <w:tcW w:w="2984" w:type="dxa"/>
            <w:tcBorders>
              <w:top w:val="nil"/>
              <w:left w:val="nil"/>
              <w:bottom w:val="nil"/>
              <w:right w:val="nil"/>
            </w:tcBorders>
            <w:shd w:val="clear" w:color="000000" w:fill="FFFFFF"/>
            <w:noWrap/>
            <w:vAlign w:val="center"/>
            <w:hideMark/>
          </w:tcPr>
          <w:p w14:paraId="77A42D38"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International Equities</w:t>
            </w:r>
          </w:p>
        </w:tc>
        <w:tc>
          <w:tcPr>
            <w:tcW w:w="1154" w:type="dxa"/>
            <w:tcBorders>
              <w:top w:val="nil"/>
              <w:left w:val="nil"/>
              <w:bottom w:val="nil"/>
              <w:right w:val="nil"/>
            </w:tcBorders>
            <w:shd w:val="clear" w:color="000000" w:fill="FFFFFF"/>
            <w:noWrap/>
            <w:vAlign w:val="bottom"/>
            <w:hideMark/>
          </w:tcPr>
          <w:p w14:paraId="7067C7CF" w14:textId="77777777" w:rsidR="001B6918" w:rsidRPr="00A17817" w:rsidRDefault="001B6918" w:rsidP="00730ECF">
            <w:pPr>
              <w:jc w:val="center"/>
              <w:rPr>
                <w:rFonts w:eastAsia="Times New Roman" w:cstheme="minorHAnsi"/>
              </w:rPr>
            </w:pPr>
            <w:r w:rsidRPr="00A17817">
              <w:rPr>
                <w:rFonts w:cstheme="minorHAnsi"/>
              </w:rPr>
              <w:t>7.3%</w:t>
            </w:r>
          </w:p>
        </w:tc>
        <w:tc>
          <w:tcPr>
            <w:tcW w:w="1311" w:type="dxa"/>
            <w:tcBorders>
              <w:top w:val="nil"/>
              <w:left w:val="nil"/>
              <w:bottom w:val="nil"/>
              <w:right w:val="nil"/>
            </w:tcBorders>
            <w:shd w:val="clear" w:color="000000" w:fill="FFFFFF"/>
            <w:noWrap/>
            <w:vAlign w:val="bottom"/>
            <w:hideMark/>
          </w:tcPr>
          <w:p w14:paraId="586943D0" w14:textId="77777777" w:rsidR="001B6918" w:rsidRPr="00A17817" w:rsidRDefault="001B6918" w:rsidP="00730ECF">
            <w:pPr>
              <w:jc w:val="center"/>
              <w:rPr>
                <w:rFonts w:eastAsia="Times New Roman" w:cstheme="minorHAnsi"/>
              </w:rPr>
            </w:pPr>
            <w:r w:rsidRPr="00A17817">
              <w:rPr>
                <w:rFonts w:cstheme="minorHAnsi"/>
              </w:rPr>
              <w:t>4.10%</w:t>
            </w:r>
          </w:p>
        </w:tc>
        <w:tc>
          <w:tcPr>
            <w:tcW w:w="1311" w:type="dxa"/>
            <w:tcBorders>
              <w:top w:val="nil"/>
              <w:left w:val="nil"/>
              <w:bottom w:val="nil"/>
              <w:right w:val="nil"/>
            </w:tcBorders>
            <w:shd w:val="clear" w:color="auto" w:fill="F2F2F2" w:themeFill="background1" w:themeFillShade="F2"/>
            <w:noWrap/>
            <w:vAlign w:val="bottom"/>
            <w:hideMark/>
          </w:tcPr>
          <w:p w14:paraId="595B66E4" w14:textId="77777777" w:rsidR="001B6918" w:rsidRPr="004E6649" w:rsidRDefault="001B6918" w:rsidP="00730ECF">
            <w:pPr>
              <w:jc w:val="center"/>
              <w:rPr>
                <w:rFonts w:eastAsia="Times New Roman" w:cstheme="minorHAnsi"/>
              </w:rPr>
            </w:pPr>
            <w:r>
              <w:rPr>
                <w:rFonts w:cstheme="minorHAnsi"/>
                <w:color w:val="000000" w:themeColor="text1"/>
              </w:rPr>
              <w:t>7.3</w:t>
            </w:r>
            <w:r w:rsidRPr="004E6649">
              <w:rPr>
                <w:rFonts w:cstheme="minorHAnsi"/>
                <w:color w:val="000000" w:themeColor="text1"/>
              </w:rPr>
              <w:t>%</w:t>
            </w:r>
          </w:p>
        </w:tc>
        <w:tc>
          <w:tcPr>
            <w:tcW w:w="1530" w:type="dxa"/>
            <w:tcBorders>
              <w:top w:val="nil"/>
              <w:left w:val="nil"/>
              <w:bottom w:val="nil"/>
              <w:right w:val="nil"/>
            </w:tcBorders>
            <w:shd w:val="clear" w:color="auto" w:fill="F2F2F2" w:themeFill="background1" w:themeFillShade="F2"/>
            <w:noWrap/>
            <w:vAlign w:val="bottom"/>
            <w:hideMark/>
          </w:tcPr>
          <w:p w14:paraId="22871AFC" w14:textId="77777777" w:rsidR="001B6918" w:rsidRPr="004E6649" w:rsidRDefault="001B6918" w:rsidP="00730ECF">
            <w:pPr>
              <w:jc w:val="center"/>
              <w:rPr>
                <w:rFonts w:eastAsia="Times New Roman" w:cstheme="minorHAnsi"/>
              </w:rPr>
            </w:pPr>
            <w:r w:rsidRPr="004E6649">
              <w:rPr>
                <w:rFonts w:cstheme="minorHAnsi"/>
                <w:color w:val="000000" w:themeColor="text1"/>
              </w:rPr>
              <w:t>3.</w:t>
            </w:r>
            <w:r>
              <w:rPr>
                <w:rFonts w:cstheme="minorHAnsi"/>
                <w:color w:val="000000" w:themeColor="text1"/>
              </w:rPr>
              <w:t>5</w:t>
            </w:r>
            <w:r w:rsidRPr="004E6649">
              <w:rPr>
                <w:rFonts w:cstheme="minorHAnsi"/>
                <w:color w:val="000000" w:themeColor="text1"/>
              </w:rPr>
              <w:t>0%</w:t>
            </w:r>
          </w:p>
        </w:tc>
      </w:tr>
      <w:tr w:rsidR="001B6918" w:rsidRPr="004E6649" w14:paraId="221374E6" w14:textId="77777777" w:rsidTr="00730ECF">
        <w:trPr>
          <w:gridAfter w:val="1"/>
          <w:wAfter w:w="80" w:type="dxa"/>
          <w:trHeight w:val="288"/>
          <w:jc w:val="center"/>
        </w:trPr>
        <w:tc>
          <w:tcPr>
            <w:tcW w:w="2984" w:type="dxa"/>
            <w:tcBorders>
              <w:top w:val="nil"/>
              <w:left w:val="nil"/>
              <w:bottom w:val="nil"/>
              <w:right w:val="nil"/>
            </w:tcBorders>
            <w:shd w:val="clear" w:color="000000" w:fill="FFFFFF"/>
            <w:noWrap/>
            <w:vAlign w:val="center"/>
            <w:hideMark/>
          </w:tcPr>
          <w:p w14:paraId="3FC75E00"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Emerging Small Cap Market Equities</w:t>
            </w:r>
          </w:p>
        </w:tc>
        <w:tc>
          <w:tcPr>
            <w:tcW w:w="1154" w:type="dxa"/>
            <w:tcBorders>
              <w:top w:val="nil"/>
              <w:left w:val="nil"/>
              <w:bottom w:val="nil"/>
              <w:right w:val="nil"/>
            </w:tcBorders>
            <w:shd w:val="clear" w:color="000000" w:fill="FFFFFF"/>
            <w:noWrap/>
            <w:vAlign w:val="bottom"/>
            <w:hideMark/>
          </w:tcPr>
          <w:p w14:paraId="5E6DF772" w14:textId="77777777" w:rsidR="001B6918" w:rsidRPr="00A17817" w:rsidRDefault="001B6918" w:rsidP="00730ECF">
            <w:pPr>
              <w:jc w:val="center"/>
              <w:rPr>
                <w:rFonts w:eastAsia="Times New Roman" w:cstheme="minorHAnsi"/>
              </w:rPr>
            </w:pPr>
            <w:r w:rsidRPr="00A17817">
              <w:rPr>
                <w:rFonts w:cstheme="minorHAnsi"/>
              </w:rPr>
              <w:t>3.0%</w:t>
            </w:r>
          </w:p>
        </w:tc>
        <w:tc>
          <w:tcPr>
            <w:tcW w:w="1311" w:type="dxa"/>
            <w:tcBorders>
              <w:top w:val="nil"/>
              <w:left w:val="nil"/>
              <w:bottom w:val="nil"/>
              <w:right w:val="nil"/>
            </w:tcBorders>
            <w:shd w:val="clear" w:color="000000" w:fill="FFFFFF"/>
            <w:noWrap/>
            <w:vAlign w:val="bottom"/>
            <w:hideMark/>
          </w:tcPr>
          <w:p w14:paraId="3BBABB43" w14:textId="77777777" w:rsidR="001B6918" w:rsidRPr="00A17817" w:rsidRDefault="001B6918" w:rsidP="00730ECF">
            <w:pPr>
              <w:jc w:val="center"/>
              <w:rPr>
                <w:rFonts w:eastAsia="Times New Roman" w:cstheme="minorHAnsi"/>
              </w:rPr>
            </w:pPr>
            <w:r w:rsidRPr="00A17817">
              <w:rPr>
                <w:rFonts w:cstheme="minorHAnsi"/>
              </w:rPr>
              <w:t>5.90%</w:t>
            </w:r>
          </w:p>
        </w:tc>
        <w:tc>
          <w:tcPr>
            <w:tcW w:w="1311" w:type="dxa"/>
            <w:tcBorders>
              <w:top w:val="nil"/>
              <w:left w:val="nil"/>
              <w:bottom w:val="nil"/>
              <w:right w:val="nil"/>
            </w:tcBorders>
            <w:shd w:val="clear" w:color="auto" w:fill="F2F2F2" w:themeFill="background1" w:themeFillShade="F2"/>
            <w:noWrap/>
            <w:vAlign w:val="bottom"/>
            <w:hideMark/>
          </w:tcPr>
          <w:p w14:paraId="05AED3EF" w14:textId="77777777" w:rsidR="001B6918" w:rsidRPr="004E6649" w:rsidRDefault="001B6918" w:rsidP="00730ECF">
            <w:pPr>
              <w:jc w:val="center"/>
              <w:rPr>
                <w:rFonts w:eastAsia="Times New Roman" w:cstheme="minorHAnsi"/>
              </w:rPr>
            </w:pPr>
            <w:r>
              <w:rPr>
                <w:rFonts w:cstheme="minorHAnsi"/>
                <w:color w:val="000000" w:themeColor="text1"/>
              </w:rPr>
              <w:t>4.3</w:t>
            </w:r>
            <w:r w:rsidRPr="004E6649">
              <w:rPr>
                <w:rFonts w:cstheme="minorHAnsi"/>
                <w:color w:val="000000" w:themeColor="text1"/>
              </w:rPr>
              <w:t>%</w:t>
            </w:r>
          </w:p>
        </w:tc>
        <w:tc>
          <w:tcPr>
            <w:tcW w:w="1530" w:type="dxa"/>
            <w:tcBorders>
              <w:top w:val="nil"/>
              <w:left w:val="nil"/>
              <w:bottom w:val="nil"/>
              <w:right w:val="nil"/>
            </w:tcBorders>
            <w:shd w:val="clear" w:color="auto" w:fill="F2F2F2" w:themeFill="background1" w:themeFillShade="F2"/>
            <w:noWrap/>
            <w:vAlign w:val="bottom"/>
            <w:hideMark/>
          </w:tcPr>
          <w:p w14:paraId="1F051C18" w14:textId="77777777" w:rsidR="001B6918" w:rsidRPr="004E6649" w:rsidRDefault="001B6918" w:rsidP="00730ECF">
            <w:pPr>
              <w:jc w:val="center"/>
              <w:rPr>
                <w:rFonts w:eastAsia="Times New Roman" w:cstheme="minorHAnsi"/>
              </w:rPr>
            </w:pPr>
            <w:r>
              <w:rPr>
                <w:rFonts w:cstheme="minorHAnsi"/>
                <w:color w:val="000000" w:themeColor="text1"/>
              </w:rPr>
              <w:t>5.90</w:t>
            </w:r>
            <w:r w:rsidRPr="004E6649">
              <w:rPr>
                <w:rFonts w:cstheme="minorHAnsi"/>
                <w:color w:val="000000" w:themeColor="text1"/>
              </w:rPr>
              <w:t>%</w:t>
            </w:r>
          </w:p>
        </w:tc>
      </w:tr>
      <w:tr w:rsidR="001B6918" w:rsidRPr="004E6649" w14:paraId="73CB5E7B" w14:textId="77777777" w:rsidTr="00730ECF">
        <w:trPr>
          <w:gridAfter w:val="1"/>
          <w:wAfter w:w="80" w:type="dxa"/>
          <w:trHeight w:val="288"/>
          <w:jc w:val="center"/>
        </w:trPr>
        <w:tc>
          <w:tcPr>
            <w:tcW w:w="2984" w:type="dxa"/>
            <w:tcBorders>
              <w:top w:val="nil"/>
              <w:left w:val="nil"/>
              <w:bottom w:val="nil"/>
              <w:right w:val="nil"/>
            </w:tcBorders>
            <w:shd w:val="clear" w:color="000000" w:fill="FFFFFF"/>
            <w:noWrap/>
            <w:vAlign w:val="center"/>
            <w:hideMark/>
          </w:tcPr>
          <w:p w14:paraId="5F786D86"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Global Equity</w:t>
            </w:r>
          </w:p>
        </w:tc>
        <w:tc>
          <w:tcPr>
            <w:tcW w:w="1154" w:type="dxa"/>
            <w:tcBorders>
              <w:top w:val="nil"/>
              <w:left w:val="nil"/>
              <w:bottom w:val="nil"/>
              <w:right w:val="nil"/>
            </w:tcBorders>
            <w:shd w:val="clear" w:color="000000" w:fill="FFFFFF"/>
            <w:noWrap/>
            <w:vAlign w:val="bottom"/>
            <w:hideMark/>
          </w:tcPr>
          <w:p w14:paraId="2A0EA2F2" w14:textId="77777777" w:rsidR="001B6918" w:rsidRPr="00A17817" w:rsidRDefault="001B6918" w:rsidP="00730ECF">
            <w:pPr>
              <w:jc w:val="center"/>
              <w:rPr>
                <w:rFonts w:eastAsia="Times New Roman" w:cstheme="minorHAnsi"/>
              </w:rPr>
            </w:pPr>
            <w:r w:rsidRPr="00A17817">
              <w:rPr>
                <w:rFonts w:cstheme="minorHAnsi"/>
              </w:rPr>
              <w:t>30.0%</w:t>
            </w:r>
          </w:p>
        </w:tc>
        <w:tc>
          <w:tcPr>
            <w:tcW w:w="1311" w:type="dxa"/>
            <w:tcBorders>
              <w:top w:val="nil"/>
              <w:left w:val="nil"/>
              <w:bottom w:val="nil"/>
              <w:right w:val="nil"/>
            </w:tcBorders>
            <w:shd w:val="clear" w:color="000000" w:fill="FFFFFF"/>
            <w:noWrap/>
            <w:vAlign w:val="bottom"/>
            <w:hideMark/>
          </w:tcPr>
          <w:p w14:paraId="0E8DDBA9" w14:textId="77777777" w:rsidR="001B6918" w:rsidRPr="00A17817" w:rsidRDefault="001B6918" w:rsidP="00730ECF">
            <w:pPr>
              <w:jc w:val="center"/>
              <w:rPr>
                <w:rFonts w:eastAsia="Times New Roman" w:cstheme="minorHAnsi"/>
              </w:rPr>
            </w:pPr>
            <w:r w:rsidRPr="00A17817">
              <w:rPr>
                <w:rFonts w:cstheme="minorHAnsi"/>
              </w:rPr>
              <w:t>4.70%</w:t>
            </w:r>
          </w:p>
        </w:tc>
        <w:tc>
          <w:tcPr>
            <w:tcW w:w="1311" w:type="dxa"/>
            <w:tcBorders>
              <w:top w:val="nil"/>
              <w:left w:val="nil"/>
              <w:bottom w:val="nil"/>
              <w:right w:val="nil"/>
            </w:tcBorders>
            <w:shd w:val="clear" w:color="auto" w:fill="F2F2F2" w:themeFill="background1" w:themeFillShade="F2"/>
            <w:noWrap/>
            <w:vAlign w:val="bottom"/>
            <w:hideMark/>
          </w:tcPr>
          <w:p w14:paraId="73308948" w14:textId="77777777" w:rsidR="001B6918" w:rsidRPr="004E6649" w:rsidRDefault="001B6918" w:rsidP="00730ECF">
            <w:pPr>
              <w:jc w:val="center"/>
              <w:rPr>
                <w:rFonts w:eastAsia="Times New Roman" w:cstheme="minorHAnsi"/>
              </w:rPr>
            </w:pPr>
            <w:r>
              <w:rPr>
                <w:rFonts w:cstheme="minorHAnsi"/>
                <w:color w:val="000000" w:themeColor="text1"/>
              </w:rPr>
              <w:t>3</w:t>
            </w:r>
            <w:r w:rsidRPr="004E6649">
              <w:rPr>
                <w:rFonts w:cstheme="minorHAnsi"/>
                <w:color w:val="000000" w:themeColor="text1"/>
              </w:rPr>
              <w:t>0.0%</w:t>
            </w:r>
          </w:p>
        </w:tc>
        <w:tc>
          <w:tcPr>
            <w:tcW w:w="1530" w:type="dxa"/>
            <w:tcBorders>
              <w:top w:val="nil"/>
              <w:left w:val="nil"/>
              <w:bottom w:val="nil"/>
              <w:right w:val="nil"/>
            </w:tcBorders>
            <w:shd w:val="clear" w:color="auto" w:fill="F2F2F2" w:themeFill="background1" w:themeFillShade="F2"/>
            <w:noWrap/>
            <w:vAlign w:val="bottom"/>
            <w:hideMark/>
          </w:tcPr>
          <w:p w14:paraId="280F7369" w14:textId="77777777" w:rsidR="001B6918" w:rsidRPr="004E6649" w:rsidRDefault="001B6918" w:rsidP="00730ECF">
            <w:pPr>
              <w:jc w:val="center"/>
              <w:rPr>
                <w:rFonts w:eastAsia="Times New Roman" w:cstheme="minorHAnsi"/>
              </w:rPr>
            </w:pPr>
            <w:r w:rsidRPr="004E6649">
              <w:rPr>
                <w:rFonts w:cstheme="minorHAnsi"/>
                <w:color w:val="000000" w:themeColor="text1"/>
              </w:rPr>
              <w:t>4.</w:t>
            </w:r>
            <w:r>
              <w:rPr>
                <w:rFonts w:cstheme="minorHAnsi"/>
                <w:color w:val="000000" w:themeColor="text1"/>
              </w:rPr>
              <w:t>4</w:t>
            </w:r>
            <w:r w:rsidRPr="004E6649">
              <w:rPr>
                <w:rFonts w:cstheme="minorHAnsi"/>
                <w:color w:val="000000" w:themeColor="text1"/>
              </w:rPr>
              <w:t>0%</w:t>
            </w:r>
          </w:p>
        </w:tc>
      </w:tr>
      <w:tr w:rsidR="001B6918" w:rsidRPr="004E6649" w14:paraId="00088EB0" w14:textId="77777777" w:rsidTr="00730ECF">
        <w:trPr>
          <w:gridAfter w:val="1"/>
          <w:wAfter w:w="80" w:type="dxa"/>
          <w:trHeight w:val="288"/>
          <w:jc w:val="center"/>
        </w:trPr>
        <w:tc>
          <w:tcPr>
            <w:tcW w:w="2984" w:type="dxa"/>
            <w:tcBorders>
              <w:top w:val="nil"/>
              <w:left w:val="nil"/>
              <w:bottom w:val="nil"/>
              <w:right w:val="nil"/>
            </w:tcBorders>
            <w:shd w:val="clear" w:color="000000" w:fill="FFFFFF"/>
            <w:noWrap/>
            <w:vAlign w:val="center"/>
            <w:hideMark/>
          </w:tcPr>
          <w:p w14:paraId="5BF47EA1"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Domestic Core Bonds</w:t>
            </w:r>
          </w:p>
        </w:tc>
        <w:tc>
          <w:tcPr>
            <w:tcW w:w="1154" w:type="dxa"/>
            <w:tcBorders>
              <w:top w:val="nil"/>
              <w:left w:val="nil"/>
              <w:bottom w:val="nil"/>
              <w:right w:val="nil"/>
            </w:tcBorders>
            <w:shd w:val="clear" w:color="000000" w:fill="FFFFFF"/>
            <w:noWrap/>
            <w:vAlign w:val="bottom"/>
            <w:hideMark/>
          </w:tcPr>
          <w:p w14:paraId="4DAAE0B2" w14:textId="77777777" w:rsidR="001B6918" w:rsidRPr="00A17817" w:rsidRDefault="001B6918" w:rsidP="00730ECF">
            <w:pPr>
              <w:jc w:val="center"/>
              <w:rPr>
                <w:rFonts w:eastAsia="Times New Roman" w:cstheme="minorHAnsi"/>
              </w:rPr>
            </w:pPr>
            <w:r w:rsidRPr="00A17817">
              <w:rPr>
                <w:rFonts w:cstheme="minorHAnsi"/>
              </w:rPr>
              <w:t>6.5%</w:t>
            </w:r>
          </w:p>
        </w:tc>
        <w:tc>
          <w:tcPr>
            <w:tcW w:w="1311" w:type="dxa"/>
            <w:tcBorders>
              <w:top w:val="nil"/>
              <w:left w:val="nil"/>
              <w:bottom w:val="nil"/>
              <w:right w:val="nil"/>
            </w:tcBorders>
            <w:shd w:val="clear" w:color="000000" w:fill="FFFFFF"/>
            <w:noWrap/>
            <w:vAlign w:val="bottom"/>
            <w:hideMark/>
          </w:tcPr>
          <w:p w14:paraId="2F7AF052" w14:textId="77777777" w:rsidR="001B6918" w:rsidRPr="00A17817" w:rsidRDefault="001B6918" w:rsidP="00730ECF">
            <w:pPr>
              <w:jc w:val="center"/>
              <w:rPr>
                <w:rFonts w:eastAsia="Times New Roman" w:cstheme="minorHAnsi"/>
              </w:rPr>
            </w:pPr>
            <w:r w:rsidRPr="00A17817">
              <w:rPr>
                <w:rFonts w:cstheme="minorHAnsi"/>
              </w:rPr>
              <w:t>2.60%</w:t>
            </w:r>
          </w:p>
        </w:tc>
        <w:tc>
          <w:tcPr>
            <w:tcW w:w="1311" w:type="dxa"/>
            <w:tcBorders>
              <w:top w:val="nil"/>
              <w:left w:val="nil"/>
              <w:bottom w:val="nil"/>
              <w:right w:val="nil"/>
            </w:tcBorders>
            <w:shd w:val="clear" w:color="auto" w:fill="F2F2F2" w:themeFill="background1" w:themeFillShade="F2"/>
            <w:noWrap/>
            <w:vAlign w:val="bottom"/>
            <w:hideMark/>
          </w:tcPr>
          <w:p w14:paraId="1A624399" w14:textId="77777777" w:rsidR="001B6918" w:rsidRPr="004E6649" w:rsidRDefault="001B6918" w:rsidP="00730ECF">
            <w:pPr>
              <w:jc w:val="center"/>
              <w:rPr>
                <w:rFonts w:eastAsia="Times New Roman" w:cstheme="minorHAnsi"/>
              </w:rPr>
            </w:pPr>
            <w:r w:rsidRPr="004E6649">
              <w:rPr>
                <w:rFonts w:cstheme="minorHAnsi"/>
                <w:color w:val="000000" w:themeColor="text1"/>
              </w:rPr>
              <w:t>6.5%</w:t>
            </w:r>
          </w:p>
        </w:tc>
        <w:tc>
          <w:tcPr>
            <w:tcW w:w="1530" w:type="dxa"/>
            <w:tcBorders>
              <w:top w:val="nil"/>
              <w:left w:val="nil"/>
              <w:bottom w:val="nil"/>
              <w:right w:val="nil"/>
            </w:tcBorders>
            <w:shd w:val="clear" w:color="auto" w:fill="F2F2F2" w:themeFill="background1" w:themeFillShade="F2"/>
            <w:noWrap/>
            <w:vAlign w:val="bottom"/>
            <w:hideMark/>
          </w:tcPr>
          <w:p w14:paraId="46C7F4D6" w14:textId="77777777" w:rsidR="001B6918" w:rsidRPr="004E6649" w:rsidRDefault="001B6918" w:rsidP="00730ECF">
            <w:pPr>
              <w:jc w:val="center"/>
              <w:rPr>
                <w:rFonts w:eastAsia="Times New Roman" w:cstheme="minorHAnsi"/>
              </w:rPr>
            </w:pPr>
            <w:r w:rsidRPr="004E6649">
              <w:rPr>
                <w:rFonts w:cstheme="minorHAnsi"/>
                <w:color w:val="000000" w:themeColor="text1"/>
              </w:rPr>
              <w:t>2.</w:t>
            </w:r>
            <w:r>
              <w:rPr>
                <w:rFonts w:cstheme="minorHAnsi"/>
                <w:color w:val="000000" w:themeColor="text1"/>
              </w:rPr>
              <w:t>5</w:t>
            </w:r>
            <w:r w:rsidRPr="004E6649">
              <w:rPr>
                <w:rFonts w:cstheme="minorHAnsi"/>
                <w:color w:val="000000" w:themeColor="text1"/>
              </w:rPr>
              <w:t>0%</w:t>
            </w:r>
          </w:p>
        </w:tc>
      </w:tr>
      <w:tr w:rsidR="001B6918" w:rsidRPr="004E6649" w14:paraId="090320DA" w14:textId="77777777" w:rsidTr="00730ECF">
        <w:trPr>
          <w:gridAfter w:val="1"/>
          <w:wAfter w:w="80" w:type="dxa"/>
          <w:trHeight w:val="288"/>
          <w:jc w:val="center"/>
        </w:trPr>
        <w:tc>
          <w:tcPr>
            <w:tcW w:w="2984" w:type="dxa"/>
            <w:tcBorders>
              <w:top w:val="nil"/>
              <w:left w:val="nil"/>
              <w:bottom w:val="nil"/>
              <w:right w:val="nil"/>
            </w:tcBorders>
            <w:shd w:val="clear" w:color="000000" w:fill="FFFFFF"/>
            <w:noWrap/>
            <w:vAlign w:val="center"/>
          </w:tcPr>
          <w:p w14:paraId="63569A5A" w14:textId="77777777" w:rsidR="001B6918" w:rsidRPr="004E6649" w:rsidRDefault="001B6918" w:rsidP="00730ECF">
            <w:pPr>
              <w:rPr>
                <w:rFonts w:eastAsia="Times New Roman" w:cstheme="minorHAnsi"/>
                <w:color w:val="0D0D0D"/>
              </w:rPr>
            </w:pPr>
            <w:r>
              <w:rPr>
                <w:rFonts w:eastAsia="Times New Roman" w:cstheme="minorHAnsi"/>
                <w:color w:val="0D0D0D"/>
              </w:rPr>
              <w:t>US Treasury Bonds</w:t>
            </w:r>
          </w:p>
        </w:tc>
        <w:tc>
          <w:tcPr>
            <w:tcW w:w="1154" w:type="dxa"/>
            <w:tcBorders>
              <w:top w:val="nil"/>
              <w:left w:val="nil"/>
              <w:bottom w:val="nil"/>
              <w:right w:val="nil"/>
            </w:tcBorders>
            <w:shd w:val="clear" w:color="000000" w:fill="FFFFFF"/>
            <w:noWrap/>
            <w:vAlign w:val="bottom"/>
          </w:tcPr>
          <w:p w14:paraId="0C6C532E" w14:textId="77777777" w:rsidR="001B6918" w:rsidRPr="00A17817" w:rsidRDefault="001B6918" w:rsidP="00730ECF">
            <w:pPr>
              <w:jc w:val="center"/>
              <w:rPr>
                <w:rFonts w:cstheme="minorHAnsi"/>
              </w:rPr>
            </w:pPr>
            <w:r w:rsidRPr="00A17817">
              <w:rPr>
                <w:rFonts w:cstheme="minorHAnsi"/>
              </w:rPr>
              <w:t>5.0%</w:t>
            </w:r>
          </w:p>
        </w:tc>
        <w:tc>
          <w:tcPr>
            <w:tcW w:w="1311" w:type="dxa"/>
            <w:tcBorders>
              <w:top w:val="nil"/>
              <w:left w:val="nil"/>
              <w:bottom w:val="nil"/>
              <w:right w:val="nil"/>
            </w:tcBorders>
            <w:shd w:val="clear" w:color="000000" w:fill="FFFFFF"/>
            <w:noWrap/>
            <w:vAlign w:val="bottom"/>
          </w:tcPr>
          <w:p w14:paraId="32BFBCB7" w14:textId="77777777" w:rsidR="001B6918" w:rsidRPr="00A17817" w:rsidRDefault="001B6918" w:rsidP="00730ECF">
            <w:pPr>
              <w:jc w:val="center"/>
              <w:rPr>
                <w:rFonts w:cstheme="minorHAnsi"/>
              </w:rPr>
            </w:pPr>
            <w:r w:rsidRPr="00A17817">
              <w:rPr>
                <w:rFonts w:cstheme="minorHAnsi"/>
              </w:rPr>
              <w:t>2.10%</w:t>
            </w:r>
          </w:p>
        </w:tc>
        <w:tc>
          <w:tcPr>
            <w:tcW w:w="1311" w:type="dxa"/>
            <w:tcBorders>
              <w:top w:val="nil"/>
              <w:left w:val="nil"/>
              <w:bottom w:val="nil"/>
              <w:right w:val="nil"/>
            </w:tcBorders>
            <w:shd w:val="clear" w:color="auto" w:fill="F2F2F2" w:themeFill="background1" w:themeFillShade="F2"/>
            <w:noWrap/>
            <w:vAlign w:val="bottom"/>
          </w:tcPr>
          <w:p w14:paraId="00B78A62" w14:textId="77777777" w:rsidR="001B6918" w:rsidRPr="004E6649" w:rsidRDefault="001B6918" w:rsidP="00730ECF">
            <w:pPr>
              <w:jc w:val="center"/>
              <w:rPr>
                <w:rFonts w:cstheme="minorHAnsi"/>
                <w:color w:val="000000" w:themeColor="text1"/>
              </w:rPr>
            </w:pPr>
            <w:r>
              <w:rPr>
                <w:rFonts w:cstheme="minorHAnsi"/>
                <w:color w:val="000000" w:themeColor="text1"/>
              </w:rPr>
              <w:t>5.0%</w:t>
            </w:r>
          </w:p>
        </w:tc>
        <w:tc>
          <w:tcPr>
            <w:tcW w:w="1530" w:type="dxa"/>
            <w:tcBorders>
              <w:top w:val="nil"/>
              <w:left w:val="nil"/>
              <w:bottom w:val="nil"/>
              <w:right w:val="nil"/>
            </w:tcBorders>
            <w:shd w:val="clear" w:color="auto" w:fill="F2F2F2" w:themeFill="background1" w:themeFillShade="F2"/>
            <w:noWrap/>
            <w:vAlign w:val="bottom"/>
          </w:tcPr>
          <w:p w14:paraId="1C44732C" w14:textId="77777777" w:rsidR="001B6918" w:rsidRPr="004E6649" w:rsidRDefault="001B6918" w:rsidP="00730ECF">
            <w:pPr>
              <w:jc w:val="center"/>
              <w:rPr>
                <w:rFonts w:cstheme="minorHAnsi"/>
                <w:color w:val="000000" w:themeColor="text1"/>
              </w:rPr>
            </w:pPr>
            <w:r>
              <w:rPr>
                <w:rFonts w:cstheme="minorHAnsi"/>
                <w:color w:val="000000" w:themeColor="text1"/>
              </w:rPr>
              <w:t>2.00%</w:t>
            </w:r>
          </w:p>
        </w:tc>
      </w:tr>
      <w:tr w:rsidR="001B6918" w:rsidRPr="004E6649" w14:paraId="0281ED73" w14:textId="77777777" w:rsidTr="00730ECF">
        <w:trPr>
          <w:gridAfter w:val="1"/>
          <w:wAfter w:w="80" w:type="dxa"/>
          <w:trHeight w:val="288"/>
          <w:jc w:val="center"/>
        </w:trPr>
        <w:tc>
          <w:tcPr>
            <w:tcW w:w="2984" w:type="dxa"/>
            <w:tcBorders>
              <w:top w:val="nil"/>
              <w:left w:val="nil"/>
              <w:bottom w:val="nil"/>
              <w:right w:val="nil"/>
            </w:tcBorders>
            <w:shd w:val="clear" w:color="000000" w:fill="FFFFFF"/>
            <w:noWrap/>
            <w:vAlign w:val="center"/>
            <w:hideMark/>
          </w:tcPr>
          <w:p w14:paraId="580FFD35"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Treasury Inflation Protected Sec (TIPS)</w:t>
            </w:r>
          </w:p>
        </w:tc>
        <w:tc>
          <w:tcPr>
            <w:tcW w:w="1154" w:type="dxa"/>
            <w:tcBorders>
              <w:top w:val="nil"/>
              <w:left w:val="nil"/>
              <w:bottom w:val="nil"/>
              <w:right w:val="nil"/>
            </w:tcBorders>
            <w:shd w:val="clear" w:color="000000" w:fill="FFFFFF"/>
            <w:noWrap/>
            <w:vAlign w:val="bottom"/>
            <w:hideMark/>
          </w:tcPr>
          <w:p w14:paraId="7871D0AD" w14:textId="77777777" w:rsidR="001B6918" w:rsidRPr="00A17817" w:rsidRDefault="001B6918" w:rsidP="00730ECF">
            <w:pPr>
              <w:jc w:val="center"/>
              <w:rPr>
                <w:rFonts w:eastAsia="Times New Roman" w:cstheme="minorHAnsi"/>
              </w:rPr>
            </w:pPr>
            <w:r w:rsidRPr="00A17817">
              <w:rPr>
                <w:rFonts w:cstheme="minorHAnsi"/>
              </w:rPr>
              <w:t>5.0%</w:t>
            </w:r>
          </w:p>
        </w:tc>
        <w:tc>
          <w:tcPr>
            <w:tcW w:w="1311" w:type="dxa"/>
            <w:tcBorders>
              <w:top w:val="nil"/>
              <w:left w:val="nil"/>
              <w:bottom w:val="nil"/>
              <w:right w:val="nil"/>
            </w:tcBorders>
            <w:shd w:val="clear" w:color="000000" w:fill="FFFFFF"/>
            <w:noWrap/>
            <w:vAlign w:val="bottom"/>
            <w:hideMark/>
          </w:tcPr>
          <w:p w14:paraId="415F6D17" w14:textId="77777777" w:rsidR="001B6918" w:rsidRPr="00A17817" w:rsidRDefault="001B6918" w:rsidP="00730ECF">
            <w:pPr>
              <w:jc w:val="center"/>
              <w:rPr>
                <w:rFonts w:eastAsia="Times New Roman" w:cstheme="minorHAnsi"/>
              </w:rPr>
            </w:pPr>
            <w:r w:rsidRPr="00A17817">
              <w:rPr>
                <w:rFonts w:cstheme="minorHAnsi"/>
              </w:rPr>
              <w:t>2.30%</w:t>
            </w:r>
          </w:p>
        </w:tc>
        <w:tc>
          <w:tcPr>
            <w:tcW w:w="1311" w:type="dxa"/>
            <w:tcBorders>
              <w:top w:val="nil"/>
              <w:left w:val="nil"/>
              <w:bottom w:val="nil"/>
              <w:right w:val="nil"/>
            </w:tcBorders>
            <w:shd w:val="clear" w:color="auto" w:fill="F2F2F2" w:themeFill="background1" w:themeFillShade="F2"/>
            <w:noWrap/>
            <w:vAlign w:val="bottom"/>
            <w:hideMark/>
          </w:tcPr>
          <w:p w14:paraId="04E8E918" w14:textId="77777777" w:rsidR="001B6918" w:rsidRPr="004E6649" w:rsidRDefault="001B6918" w:rsidP="00730ECF">
            <w:pPr>
              <w:jc w:val="center"/>
              <w:rPr>
                <w:rFonts w:eastAsia="Times New Roman" w:cstheme="minorHAnsi"/>
              </w:rPr>
            </w:pPr>
            <w:r w:rsidRPr="004E6649">
              <w:rPr>
                <w:rFonts w:cstheme="minorHAnsi"/>
                <w:color w:val="000000" w:themeColor="text1"/>
              </w:rPr>
              <w:t>5.0%</w:t>
            </w:r>
          </w:p>
        </w:tc>
        <w:tc>
          <w:tcPr>
            <w:tcW w:w="1530" w:type="dxa"/>
            <w:tcBorders>
              <w:top w:val="nil"/>
              <w:left w:val="nil"/>
              <w:bottom w:val="nil"/>
              <w:right w:val="nil"/>
            </w:tcBorders>
            <w:shd w:val="clear" w:color="auto" w:fill="F2F2F2" w:themeFill="background1" w:themeFillShade="F2"/>
            <w:noWrap/>
            <w:vAlign w:val="bottom"/>
            <w:hideMark/>
          </w:tcPr>
          <w:p w14:paraId="7642FA1C" w14:textId="77777777" w:rsidR="001B6918" w:rsidRPr="004E6649" w:rsidRDefault="001B6918" w:rsidP="00730ECF">
            <w:pPr>
              <w:jc w:val="center"/>
              <w:rPr>
                <w:rFonts w:eastAsia="Times New Roman" w:cstheme="minorHAnsi"/>
              </w:rPr>
            </w:pPr>
            <w:r>
              <w:rPr>
                <w:rFonts w:cstheme="minorHAnsi"/>
                <w:color w:val="000000" w:themeColor="text1"/>
              </w:rPr>
              <w:t>2.20</w:t>
            </w:r>
            <w:r w:rsidRPr="004E6649">
              <w:rPr>
                <w:rFonts w:cstheme="minorHAnsi"/>
                <w:color w:val="000000" w:themeColor="text1"/>
              </w:rPr>
              <w:t>%</w:t>
            </w:r>
          </w:p>
        </w:tc>
      </w:tr>
      <w:tr w:rsidR="001B6918" w:rsidRPr="004E6649" w14:paraId="72103782" w14:textId="77777777" w:rsidTr="00730ECF">
        <w:trPr>
          <w:gridAfter w:val="1"/>
          <w:wAfter w:w="80" w:type="dxa"/>
          <w:trHeight w:val="288"/>
          <w:jc w:val="center"/>
        </w:trPr>
        <w:tc>
          <w:tcPr>
            <w:tcW w:w="2984" w:type="dxa"/>
            <w:tcBorders>
              <w:top w:val="nil"/>
              <w:left w:val="nil"/>
              <w:bottom w:val="nil"/>
              <w:right w:val="nil"/>
            </w:tcBorders>
            <w:shd w:val="clear" w:color="000000" w:fill="FFFFFF"/>
            <w:noWrap/>
            <w:vAlign w:val="center"/>
            <w:hideMark/>
          </w:tcPr>
          <w:p w14:paraId="4D7F1032"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Bank Loans</w:t>
            </w:r>
          </w:p>
        </w:tc>
        <w:tc>
          <w:tcPr>
            <w:tcW w:w="1154" w:type="dxa"/>
            <w:tcBorders>
              <w:top w:val="nil"/>
              <w:left w:val="nil"/>
              <w:bottom w:val="nil"/>
              <w:right w:val="nil"/>
            </w:tcBorders>
            <w:shd w:val="clear" w:color="000000" w:fill="FFFFFF"/>
            <w:noWrap/>
            <w:vAlign w:val="bottom"/>
            <w:hideMark/>
          </w:tcPr>
          <w:p w14:paraId="1E9D2995" w14:textId="77777777" w:rsidR="001B6918" w:rsidRPr="00A17817" w:rsidRDefault="001B6918" w:rsidP="00730ECF">
            <w:pPr>
              <w:jc w:val="center"/>
              <w:rPr>
                <w:rFonts w:eastAsia="Times New Roman" w:cstheme="minorHAnsi"/>
              </w:rPr>
            </w:pPr>
            <w:r w:rsidRPr="00A17817">
              <w:rPr>
                <w:rFonts w:cstheme="minorHAnsi"/>
              </w:rPr>
              <w:t>5.0%</w:t>
            </w:r>
          </w:p>
        </w:tc>
        <w:tc>
          <w:tcPr>
            <w:tcW w:w="1311" w:type="dxa"/>
            <w:tcBorders>
              <w:top w:val="nil"/>
              <w:left w:val="nil"/>
              <w:bottom w:val="nil"/>
              <w:right w:val="nil"/>
            </w:tcBorders>
            <w:shd w:val="clear" w:color="000000" w:fill="FFFFFF"/>
            <w:noWrap/>
            <w:vAlign w:val="bottom"/>
            <w:hideMark/>
          </w:tcPr>
          <w:p w14:paraId="0E50F453" w14:textId="77777777" w:rsidR="001B6918" w:rsidRPr="00A17817" w:rsidRDefault="001B6918" w:rsidP="00730ECF">
            <w:pPr>
              <w:jc w:val="center"/>
              <w:rPr>
                <w:rFonts w:eastAsia="Times New Roman" w:cstheme="minorHAnsi"/>
              </w:rPr>
            </w:pPr>
            <w:r w:rsidRPr="00A17817">
              <w:rPr>
                <w:rFonts w:cstheme="minorHAnsi"/>
              </w:rPr>
              <w:t>3.90%</w:t>
            </w:r>
          </w:p>
        </w:tc>
        <w:tc>
          <w:tcPr>
            <w:tcW w:w="1311" w:type="dxa"/>
            <w:tcBorders>
              <w:top w:val="nil"/>
              <w:left w:val="nil"/>
              <w:bottom w:val="nil"/>
              <w:right w:val="nil"/>
            </w:tcBorders>
            <w:shd w:val="clear" w:color="auto" w:fill="F2F2F2" w:themeFill="background1" w:themeFillShade="F2"/>
            <w:noWrap/>
            <w:vAlign w:val="bottom"/>
            <w:hideMark/>
          </w:tcPr>
          <w:p w14:paraId="52B9DAA9" w14:textId="77777777" w:rsidR="001B6918" w:rsidRPr="004E6649" w:rsidRDefault="001B6918" w:rsidP="00730ECF">
            <w:pPr>
              <w:jc w:val="center"/>
              <w:rPr>
                <w:rFonts w:eastAsia="Times New Roman" w:cstheme="minorHAnsi"/>
              </w:rPr>
            </w:pPr>
            <w:r w:rsidRPr="004E6649">
              <w:rPr>
                <w:rFonts w:cstheme="minorHAnsi"/>
                <w:color w:val="000000" w:themeColor="text1"/>
              </w:rPr>
              <w:t>5.0%</w:t>
            </w:r>
          </w:p>
        </w:tc>
        <w:tc>
          <w:tcPr>
            <w:tcW w:w="1530" w:type="dxa"/>
            <w:tcBorders>
              <w:top w:val="nil"/>
              <w:left w:val="nil"/>
              <w:bottom w:val="nil"/>
              <w:right w:val="nil"/>
            </w:tcBorders>
            <w:shd w:val="clear" w:color="auto" w:fill="F2F2F2" w:themeFill="background1" w:themeFillShade="F2"/>
            <w:noWrap/>
            <w:vAlign w:val="bottom"/>
            <w:hideMark/>
          </w:tcPr>
          <w:p w14:paraId="3F065C50" w14:textId="77777777" w:rsidR="001B6918" w:rsidRPr="004E6649" w:rsidRDefault="001B6918" w:rsidP="00730ECF">
            <w:pPr>
              <w:jc w:val="center"/>
              <w:rPr>
                <w:rFonts w:eastAsia="Times New Roman" w:cstheme="minorHAnsi"/>
              </w:rPr>
            </w:pPr>
            <w:r w:rsidRPr="004E6649">
              <w:rPr>
                <w:rFonts w:cstheme="minorHAnsi"/>
                <w:color w:val="000000" w:themeColor="text1"/>
              </w:rPr>
              <w:t>4.10%</w:t>
            </w:r>
          </w:p>
        </w:tc>
      </w:tr>
      <w:tr w:rsidR="001B6918" w:rsidRPr="004E6649" w14:paraId="58042844" w14:textId="77777777" w:rsidTr="00730ECF">
        <w:trPr>
          <w:gridAfter w:val="1"/>
          <w:wAfter w:w="80" w:type="dxa"/>
          <w:trHeight w:val="288"/>
          <w:jc w:val="center"/>
        </w:trPr>
        <w:tc>
          <w:tcPr>
            <w:tcW w:w="2984" w:type="dxa"/>
            <w:tcBorders>
              <w:top w:val="nil"/>
              <w:left w:val="nil"/>
              <w:bottom w:val="nil"/>
              <w:right w:val="nil"/>
            </w:tcBorders>
            <w:shd w:val="clear" w:color="000000" w:fill="FFFFFF"/>
            <w:noWrap/>
            <w:vAlign w:val="center"/>
            <w:hideMark/>
          </w:tcPr>
          <w:p w14:paraId="732E7D3F"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Absolute Return Fixed Income</w:t>
            </w:r>
          </w:p>
        </w:tc>
        <w:tc>
          <w:tcPr>
            <w:tcW w:w="1154" w:type="dxa"/>
            <w:tcBorders>
              <w:top w:val="nil"/>
              <w:left w:val="nil"/>
              <w:bottom w:val="nil"/>
              <w:right w:val="nil"/>
            </w:tcBorders>
            <w:shd w:val="clear" w:color="000000" w:fill="FFFFFF"/>
            <w:noWrap/>
            <w:vAlign w:val="bottom"/>
            <w:hideMark/>
          </w:tcPr>
          <w:p w14:paraId="5987C003" w14:textId="77777777" w:rsidR="001B6918" w:rsidRPr="00A17817" w:rsidRDefault="001B6918" w:rsidP="00730ECF">
            <w:pPr>
              <w:jc w:val="center"/>
              <w:rPr>
                <w:rFonts w:eastAsia="Times New Roman" w:cstheme="minorHAnsi"/>
              </w:rPr>
            </w:pPr>
            <w:r w:rsidRPr="00A17817">
              <w:rPr>
                <w:rFonts w:cstheme="minorHAnsi"/>
              </w:rPr>
              <w:t>5.0%</w:t>
            </w:r>
          </w:p>
        </w:tc>
        <w:tc>
          <w:tcPr>
            <w:tcW w:w="1311" w:type="dxa"/>
            <w:tcBorders>
              <w:top w:val="nil"/>
              <w:left w:val="nil"/>
              <w:bottom w:val="nil"/>
              <w:right w:val="nil"/>
            </w:tcBorders>
            <w:shd w:val="clear" w:color="000000" w:fill="FFFFFF"/>
            <w:noWrap/>
            <w:vAlign w:val="bottom"/>
            <w:hideMark/>
          </w:tcPr>
          <w:p w14:paraId="47DE231C" w14:textId="77777777" w:rsidR="001B6918" w:rsidRPr="00A17817" w:rsidRDefault="001B6918" w:rsidP="00730ECF">
            <w:pPr>
              <w:jc w:val="center"/>
              <w:rPr>
                <w:rFonts w:eastAsia="Times New Roman" w:cstheme="minorHAnsi"/>
              </w:rPr>
            </w:pPr>
            <w:r w:rsidRPr="00A17817">
              <w:rPr>
                <w:rFonts w:cstheme="minorHAnsi"/>
              </w:rPr>
              <w:t>3.30%</w:t>
            </w:r>
          </w:p>
        </w:tc>
        <w:tc>
          <w:tcPr>
            <w:tcW w:w="1311" w:type="dxa"/>
            <w:tcBorders>
              <w:top w:val="nil"/>
              <w:left w:val="nil"/>
              <w:bottom w:val="nil"/>
              <w:right w:val="nil"/>
            </w:tcBorders>
            <w:shd w:val="clear" w:color="auto" w:fill="F2F2F2" w:themeFill="background1" w:themeFillShade="F2"/>
            <w:noWrap/>
            <w:vAlign w:val="bottom"/>
            <w:hideMark/>
          </w:tcPr>
          <w:p w14:paraId="2FF5B1DB" w14:textId="77777777" w:rsidR="001B6918" w:rsidRPr="004E6649" w:rsidRDefault="001B6918" w:rsidP="00730ECF">
            <w:pPr>
              <w:jc w:val="center"/>
              <w:rPr>
                <w:rFonts w:eastAsia="Times New Roman" w:cstheme="minorHAnsi"/>
              </w:rPr>
            </w:pPr>
            <w:r w:rsidRPr="004E6649">
              <w:rPr>
                <w:rFonts w:cstheme="minorHAnsi"/>
                <w:color w:val="000000" w:themeColor="text1"/>
              </w:rPr>
              <w:t>5.0%</w:t>
            </w:r>
          </w:p>
        </w:tc>
        <w:tc>
          <w:tcPr>
            <w:tcW w:w="1530" w:type="dxa"/>
            <w:tcBorders>
              <w:top w:val="nil"/>
              <w:left w:val="nil"/>
              <w:bottom w:val="nil"/>
              <w:right w:val="nil"/>
            </w:tcBorders>
            <w:shd w:val="clear" w:color="auto" w:fill="F2F2F2" w:themeFill="background1" w:themeFillShade="F2"/>
            <w:noWrap/>
            <w:vAlign w:val="bottom"/>
            <w:hideMark/>
          </w:tcPr>
          <w:p w14:paraId="7FB4D960" w14:textId="77777777" w:rsidR="001B6918" w:rsidRPr="004E6649" w:rsidRDefault="001B6918" w:rsidP="00730ECF">
            <w:pPr>
              <w:jc w:val="center"/>
              <w:rPr>
                <w:rFonts w:eastAsia="Times New Roman" w:cstheme="minorHAnsi"/>
              </w:rPr>
            </w:pPr>
            <w:r w:rsidRPr="004E6649">
              <w:rPr>
                <w:rFonts w:cstheme="minorHAnsi"/>
                <w:color w:val="000000" w:themeColor="text1"/>
              </w:rPr>
              <w:t>3.</w:t>
            </w:r>
            <w:r>
              <w:rPr>
                <w:rFonts w:cstheme="minorHAnsi"/>
                <w:color w:val="000000" w:themeColor="text1"/>
              </w:rPr>
              <w:t>4</w:t>
            </w:r>
            <w:r w:rsidRPr="004E6649">
              <w:rPr>
                <w:rFonts w:cstheme="minorHAnsi"/>
                <w:color w:val="000000" w:themeColor="text1"/>
              </w:rPr>
              <w:t>0%</w:t>
            </w:r>
          </w:p>
        </w:tc>
      </w:tr>
      <w:tr w:rsidR="001B6918" w:rsidRPr="004E6649" w14:paraId="5216619C" w14:textId="77777777" w:rsidTr="00730ECF">
        <w:trPr>
          <w:gridAfter w:val="1"/>
          <w:wAfter w:w="80" w:type="dxa"/>
          <w:trHeight w:val="288"/>
          <w:jc w:val="center"/>
        </w:trPr>
        <w:tc>
          <w:tcPr>
            <w:tcW w:w="2984" w:type="dxa"/>
            <w:tcBorders>
              <w:top w:val="nil"/>
              <w:left w:val="nil"/>
              <w:bottom w:val="nil"/>
              <w:right w:val="nil"/>
            </w:tcBorders>
            <w:shd w:val="clear" w:color="000000" w:fill="FFFFFF"/>
            <w:noWrap/>
            <w:vAlign w:val="center"/>
            <w:hideMark/>
          </w:tcPr>
          <w:p w14:paraId="3289A43A"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Global Asset Allocation</w:t>
            </w:r>
          </w:p>
        </w:tc>
        <w:tc>
          <w:tcPr>
            <w:tcW w:w="1154" w:type="dxa"/>
            <w:tcBorders>
              <w:top w:val="nil"/>
              <w:left w:val="nil"/>
              <w:bottom w:val="nil"/>
              <w:right w:val="nil"/>
            </w:tcBorders>
            <w:shd w:val="clear" w:color="000000" w:fill="FFFFFF"/>
            <w:noWrap/>
            <w:vAlign w:val="bottom"/>
            <w:hideMark/>
          </w:tcPr>
          <w:p w14:paraId="656E11A5" w14:textId="77777777" w:rsidR="001B6918" w:rsidRPr="00A17817" w:rsidRDefault="001B6918" w:rsidP="00730ECF">
            <w:pPr>
              <w:jc w:val="center"/>
              <w:rPr>
                <w:rFonts w:eastAsia="Times New Roman" w:cstheme="minorHAnsi"/>
              </w:rPr>
            </w:pPr>
            <w:r w:rsidRPr="00A17817">
              <w:rPr>
                <w:rFonts w:cstheme="minorHAnsi"/>
              </w:rPr>
              <w:t>7.5%</w:t>
            </w:r>
          </w:p>
        </w:tc>
        <w:tc>
          <w:tcPr>
            <w:tcW w:w="1311" w:type="dxa"/>
            <w:tcBorders>
              <w:top w:val="nil"/>
              <w:left w:val="nil"/>
              <w:bottom w:val="nil"/>
              <w:right w:val="nil"/>
            </w:tcBorders>
            <w:shd w:val="clear" w:color="000000" w:fill="FFFFFF"/>
            <w:noWrap/>
            <w:vAlign w:val="bottom"/>
            <w:hideMark/>
          </w:tcPr>
          <w:p w14:paraId="4AA7D935" w14:textId="77777777" w:rsidR="001B6918" w:rsidRPr="00A17817" w:rsidRDefault="001B6918" w:rsidP="00730ECF">
            <w:pPr>
              <w:jc w:val="center"/>
              <w:rPr>
                <w:rFonts w:eastAsia="Times New Roman" w:cstheme="minorHAnsi"/>
              </w:rPr>
            </w:pPr>
            <w:r w:rsidRPr="00A17817">
              <w:rPr>
                <w:rFonts w:cstheme="minorHAnsi"/>
              </w:rPr>
              <w:t>3.70%</w:t>
            </w:r>
          </w:p>
        </w:tc>
        <w:tc>
          <w:tcPr>
            <w:tcW w:w="1311" w:type="dxa"/>
            <w:tcBorders>
              <w:top w:val="nil"/>
              <w:left w:val="nil"/>
              <w:bottom w:val="nil"/>
              <w:right w:val="nil"/>
            </w:tcBorders>
            <w:shd w:val="clear" w:color="auto" w:fill="F2F2F2" w:themeFill="background1" w:themeFillShade="F2"/>
            <w:noWrap/>
            <w:vAlign w:val="bottom"/>
            <w:hideMark/>
          </w:tcPr>
          <w:p w14:paraId="2444A02B" w14:textId="77777777" w:rsidR="001B6918" w:rsidRPr="004E6649" w:rsidRDefault="001B6918" w:rsidP="00730ECF">
            <w:pPr>
              <w:jc w:val="center"/>
              <w:rPr>
                <w:rFonts w:eastAsia="Times New Roman" w:cstheme="minorHAnsi"/>
              </w:rPr>
            </w:pPr>
            <w:r w:rsidRPr="004E6649">
              <w:rPr>
                <w:rFonts w:cstheme="minorHAnsi"/>
                <w:color w:val="000000" w:themeColor="text1"/>
              </w:rPr>
              <w:t>7.5%</w:t>
            </w:r>
          </w:p>
        </w:tc>
        <w:tc>
          <w:tcPr>
            <w:tcW w:w="1530" w:type="dxa"/>
            <w:tcBorders>
              <w:top w:val="nil"/>
              <w:left w:val="nil"/>
              <w:bottom w:val="nil"/>
              <w:right w:val="nil"/>
            </w:tcBorders>
            <w:shd w:val="clear" w:color="auto" w:fill="F2F2F2" w:themeFill="background1" w:themeFillShade="F2"/>
            <w:noWrap/>
            <w:vAlign w:val="bottom"/>
            <w:hideMark/>
          </w:tcPr>
          <w:p w14:paraId="77C16A42" w14:textId="77777777" w:rsidR="001B6918" w:rsidRPr="004E6649" w:rsidRDefault="001B6918" w:rsidP="00730ECF">
            <w:pPr>
              <w:jc w:val="center"/>
              <w:rPr>
                <w:rFonts w:eastAsia="Times New Roman" w:cstheme="minorHAnsi"/>
              </w:rPr>
            </w:pPr>
            <w:r w:rsidRPr="004E6649">
              <w:rPr>
                <w:rFonts w:cstheme="minorHAnsi"/>
                <w:color w:val="000000" w:themeColor="text1"/>
              </w:rPr>
              <w:t>3.50%</w:t>
            </w:r>
          </w:p>
        </w:tc>
      </w:tr>
      <w:tr w:rsidR="001B6918" w:rsidRPr="004E6649" w14:paraId="5DC91F21" w14:textId="77777777" w:rsidTr="00730ECF">
        <w:trPr>
          <w:gridAfter w:val="1"/>
          <w:wAfter w:w="80" w:type="dxa"/>
          <w:trHeight w:val="288"/>
          <w:jc w:val="center"/>
        </w:trPr>
        <w:tc>
          <w:tcPr>
            <w:tcW w:w="2984" w:type="dxa"/>
            <w:tcBorders>
              <w:top w:val="nil"/>
              <w:left w:val="nil"/>
              <w:bottom w:val="nil"/>
              <w:right w:val="nil"/>
            </w:tcBorders>
            <w:shd w:val="clear" w:color="000000" w:fill="FFFFFF"/>
            <w:noWrap/>
            <w:vAlign w:val="center"/>
          </w:tcPr>
          <w:p w14:paraId="3FAB6C6C" w14:textId="77777777" w:rsidR="001B6918" w:rsidRPr="004E6649" w:rsidRDefault="001B6918" w:rsidP="00730ECF">
            <w:pPr>
              <w:rPr>
                <w:rFonts w:eastAsia="Times New Roman" w:cstheme="minorHAnsi"/>
                <w:color w:val="0D0D0D"/>
              </w:rPr>
            </w:pPr>
            <w:r>
              <w:rPr>
                <w:rFonts w:eastAsia="Times New Roman" w:cstheme="minorHAnsi"/>
                <w:color w:val="0D0D0D"/>
              </w:rPr>
              <w:t>Hedge Funds</w:t>
            </w:r>
          </w:p>
        </w:tc>
        <w:tc>
          <w:tcPr>
            <w:tcW w:w="1154" w:type="dxa"/>
            <w:tcBorders>
              <w:top w:val="nil"/>
              <w:left w:val="nil"/>
              <w:bottom w:val="nil"/>
              <w:right w:val="nil"/>
            </w:tcBorders>
            <w:shd w:val="clear" w:color="000000" w:fill="FFFFFF"/>
            <w:noWrap/>
            <w:vAlign w:val="bottom"/>
          </w:tcPr>
          <w:p w14:paraId="2E6B4167" w14:textId="77777777" w:rsidR="001B6918" w:rsidRPr="00A17817" w:rsidRDefault="001B6918" w:rsidP="00730ECF">
            <w:pPr>
              <w:jc w:val="center"/>
              <w:rPr>
                <w:rFonts w:cstheme="minorHAnsi"/>
              </w:rPr>
            </w:pPr>
            <w:r w:rsidRPr="00A17817">
              <w:rPr>
                <w:rFonts w:cstheme="minorHAnsi"/>
              </w:rPr>
              <w:t>7.0%</w:t>
            </w:r>
          </w:p>
        </w:tc>
        <w:tc>
          <w:tcPr>
            <w:tcW w:w="1311" w:type="dxa"/>
            <w:tcBorders>
              <w:top w:val="nil"/>
              <w:left w:val="nil"/>
              <w:bottom w:val="nil"/>
              <w:right w:val="nil"/>
            </w:tcBorders>
            <w:shd w:val="clear" w:color="000000" w:fill="FFFFFF"/>
            <w:noWrap/>
            <w:vAlign w:val="bottom"/>
          </w:tcPr>
          <w:p w14:paraId="63B8E1E9" w14:textId="77777777" w:rsidR="001B6918" w:rsidRPr="00A17817" w:rsidRDefault="001B6918" w:rsidP="00730ECF">
            <w:pPr>
              <w:jc w:val="center"/>
              <w:rPr>
                <w:rFonts w:cstheme="minorHAnsi"/>
              </w:rPr>
            </w:pPr>
            <w:r w:rsidRPr="00A17817">
              <w:rPr>
                <w:rFonts w:cstheme="minorHAnsi"/>
              </w:rPr>
              <w:t>3.50%</w:t>
            </w:r>
          </w:p>
        </w:tc>
        <w:tc>
          <w:tcPr>
            <w:tcW w:w="1311" w:type="dxa"/>
            <w:tcBorders>
              <w:top w:val="nil"/>
              <w:left w:val="nil"/>
              <w:bottom w:val="nil"/>
              <w:right w:val="nil"/>
            </w:tcBorders>
            <w:shd w:val="clear" w:color="auto" w:fill="F2F2F2" w:themeFill="background1" w:themeFillShade="F2"/>
            <w:noWrap/>
            <w:vAlign w:val="bottom"/>
          </w:tcPr>
          <w:p w14:paraId="46BF8B26" w14:textId="77777777" w:rsidR="001B6918" w:rsidRPr="004E6649" w:rsidRDefault="001B6918" w:rsidP="00730ECF">
            <w:pPr>
              <w:jc w:val="center"/>
              <w:rPr>
                <w:rFonts w:cstheme="minorHAnsi"/>
                <w:color w:val="000000" w:themeColor="text1"/>
              </w:rPr>
            </w:pPr>
            <w:r>
              <w:rPr>
                <w:rFonts w:cstheme="minorHAnsi"/>
                <w:color w:val="000000" w:themeColor="text1"/>
              </w:rPr>
              <w:t>7.0%</w:t>
            </w:r>
          </w:p>
        </w:tc>
        <w:tc>
          <w:tcPr>
            <w:tcW w:w="1530" w:type="dxa"/>
            <w:tcBorders>
              <w:top w:val="nil"/>
              <w:left w:val="nil"/>
              <w:bottom w:val="nil"/>
              <w:right w:val="nil"/>
            </w:tcBorders>
            <w:shd w:val="clear" w:color="auto" w:fill="F2F2F2" w:themeFill="background1" w:themeFillShade="F2"/>
            <w:noWrap/>
            <w:vAlign w:val="bottom"/>
          </w:tcPr>
          <w:p w14:paraId="3D4A1309" w14:textId="77777777" w:rsidR="001B6918" w:rsidRPr="004E6649" w:rsidRDefault="001B6918" w:rsidP="00730ECF">
            <w:pPr>
              <w:jc w:val="center"/>
              <w:rPr>
                <w:rFonts w:cstheme="minorHAnsi"/>
                <w:color w:val="000000" w:themeColor="text1"/>
              </w:rPr>
            </w:pPr>
            <w:r>
              <w:rPr>
                <w:rFonts w:cstheme="minorHAnsi"/>
                <w:color w:val="000000" w:themeColor="text1"/>
              </w:rPr>
              <w:t>3.40%</w:t>
            </w:r>
          </w:p>
        </w:tc>
      </w:tr>
      <w:tr w:rsidR="001B6918" w:rsidRPr="004E6649" w14:paraId="50AD5F12" w14:textId="77777777" w:rsidTr="00730ECF">
        <w:trPr>
          <w:gridAfter w:val="1"/>
          <w:wAfter w:w="80" w:type="dxa"/>
          <w:trHeight w:val="300"/>
          <w:jc w:val="center"/>
        </w:trPr>
        <w:tc>
          <w:tcPr>
            <w:tcW w:w="2984" w:type="dxa"/>
            <w:tcBorders>
              <w:top w:val="single" w:sz="8" w:space="0" w:color="000000" w:themeColor="text1"/>
              <w:left w:val="nil"/>
              <w:bottom w:val="double" w:sz="4" w:space="0" w:color="000000" w:themeColor="text1"/>
              <w:right w:val="nil"/>
            </w:tcBorders>
            <w:shd w:val="clear" w:color="000000" w:fill="FFFFFF"/>
            <w:noWrap/>
            <w:vAlign w:val="bottom"/>
            <w:hideMark/>
          </w:tcPr>
          <w:p w14:paraId="07BC0D2F"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Total</w:t>
            </w:r>
          </w:p>
        </w:tc>
        <w:tc>
          <w:tcPr>
            <w:tcW w:w="1154" w:type="dxa"/>
            <w:tcBorders>
              <w:top w:val="single" w:sz="8" w:space="0" w:color="000000" w:themeColor="text1"/>
              <w:left w:val="nil"/>
              <w:bottom w:val="double" w:sz="4" w:space="0" w:color="000000" w:themeColor="text1"/>
              <w:right w:val="nil"/>
            </w:tcBorders>
            <w:shd w:val="clear" w:color="000000" w:fill="FFFFFF"/>
            <w:noWrap/>
            <w:vAlign w:val="bottom"/>
            <w:hideMark/>
          </w:tcPr>
          <w:p w14:paraId="54526F88" w14:textId="77777777" w:rsidR="001B6918" w:rsidRPr="004E6649" w:rsidRDefault="001B6918" w:rsidP="00730ECF">
            <w:pPr>
              <w:jc w:val="center"/>
              <w:rPr>
                <w:rFonts w:eastAsia="Times New Roman" w:cstheme="minorHAnsi"/>
                <w:color w:val="000000" w:themeColor="text1"/>
              </w:rPr>
            </w:pPr>
            <w:r w:rsidRPr="004E6649">
              <w:rPr>
                <w:rFonts w:eastAsia="Times New Roman" w:cstheme="minorHAnsi"/>
                <w:color w:val="000000" w:themeColor="text1"/>
              </w:rPr>
              <w:t>100%</w:t>
            </w:r>
          </w:p>
        </w:tc>
        <w:tc>
          <w:tcPr>
            <w:tcW w:w="1311" w:type="dxa"/>
            <w:tcBorders>
              <w:top w:val="nil"/>
              <w:left w:val="nil"/>
              <w:bottom w:val="nil"/>
              <w:right w:val="nil"/>
            </w:tcBorders>
            <w:shd w:val="clear" w:color="000000" w:fill="FFFFFF"/>
            <w:noWrap/>
            <w:vAlign w:val="bottom"/>
            <w:hideMark/>
          </w:tcPr>
          <w:p w14:paraId="798D9BBB" w14:textId="77777777" w:rsidR="001B6918" w:rsidRPr="004E6649" w:rsidRDefault="001B6918" w:rsidP="00730ECF">
            <w:pPr>
              <w:jc w:val="center"/>
              <w:rPr>
                <w:rFonts w:eastAsia="Times New Roman" w:cstheme="minorHAnsi"/>
                <w:color w:val="000000" w:themeColor="text1"/>
              </w:rPr>
            </w:pPr>
            <w:r w:rsidRPr="004E6649">
              <w:rPr>
                <w:rFonts w:eastAsia="Times New Roman" w:cstheme="minorHAnsi"/>
                <w:color w:val="000000" w:themeColor="text1"/>
              </w:rPr>
              <w:t> </w:t>
            </w:r>
          </w:p>
        </w:tc>
        <w:tc>
          <w:tcPr>
            <w:tcW w:w="1311" w:type="dxa"/>
            <w:tcBorders>
              <w:top w:val="single" w:sz="8" w:space="0" w:color="000000" w:themeColor="text1"/>
              <w:left w:val="nil"/>
              <w:bottom w:val="double" w:sz="4" w:space="0" w:color="000000" w:themeColor="text1"/>
              <w:right w:val="nil"/>
            </w:tcBorders>
            <w:shd w:val="clear" w:color="auto" w:fill="F2F2F2" w:themeFill="background1" w:themeFillShade="F2"/>
            <w:noWrap/>
            <w:vAlign w:val="bottom"/>
            <w:hideMark/>
          </w:tcPr>
          <w:p w14:paraId="489C4148" w14:textId="77777777" w:rsidR="001B6918" w:rsidRPr="004E6649" w:rsidRDefault="001B6918" w:rsidP="00730ECF">
            <w:pPr>
              <w:jc w:val="center"/>
              <w:rPr>
                <w:rFonts w:eastAsia="Times New Roman" w:cstheme="minorHAnsi"/>
                <w:color w:val="0D0D0D"/>
              </w:rPr>
            </w:pPr>
            <w:r w:rsidRPr="004E6649">
              <w:rPr>
                <w:rFonts w:eastAsia="Times New Roman" w:cstheme="minorHAnsi"/>
                <w:color w:val="0D0D0D"/>
              </w:rPr>
              <w:t>100%</w:t>
            </w:r>
          </w:p>
        </w:tc>
        <w:tc>
          <w:tcPr>
            <w:tcW w:w="1530" w:type="dxa"/>
            <w:tcBorders>
              <w:top w:val="nil"/>
              <w:left w:val="nil"/>
              <w:bottom w:val="nil"/>
              <w:right w:val="nil"/>
            </w:tcBorders>
            <w:shd w:val="clear" w:color="auto" w:fill="F2F2F2" w:themeFill="background1" w:themeFillShade="F2"/>
            <w:noWrap/>
            <w:vAlign w:val="bottom"/>
            <w:hideMark/>
          </w:tcPr>
          <w:p w14:paraId="2D8133CF" w14:textId="77777777" w:rsidR="001B6918" w:rsidRPr="004E6649" w:rsidRDefault="001B6918" w:rsidP="00730ECF">
            <w:pPr>
              <w:jc w:val="center"/>
              <w:rPr>
                <w:rFonts w:eastAsia="Times New Roman" w:cstheme="minorHAnsi"/>
                <w:color w:val="0D0D0D"/>
              </w:rPr>
            </w:pPr>
            <w:r w:rsidRPr="004E6649">
              <w:rPr>
                <w:rFonts w:eastAsia="Times New Roman" w:cstheme="minorHAnsi"/>
                <w:color w:val="0D0D0D"/>
              </w:rPr>
              <w:t> </w:t>
            </w:r>
          </w:p>
        </w:tc>
      </w:tr>
    </w:tbl>
    <w:p w14:paraId="26250B55" w14:textId="77777777" w:rsidR="001B6918" w:rsidRDefault="001B6918" w:rsidP="001B6918">
      <w:pPr>
        <w:spacing w:before="240" w:after="160" w:line="259" w:lineRule="auto"/>
        <w:rPr>
          <w:rFonts w:eastAsiaTheme="majorEastAsia" w:cstheme="minorHAnsi"/>
          <w:b/>
          <w:i/>
          <w:iCs/>
          <w:smallCaps/>
          <w:noProof/>
          <w:color w:val="000000" w:themeColor="text1"/>
          <w:sz w:val="24"/>
          <w:szCs w:val="24"/>
          <w:u w:color="5B9BD5"/>
        </w:rPr>
      </w:pPr>
      <w:r w:rsidRPr="004E6649">
        <w:rPr>
          <w:rFonts w:eastAsia="Times New Roman" w:cstheme="minorHAnsi"/>
          <w:b/>
          <w:i/>
          <w:spacing w:val="-1"/>
          <w:sz w:val="24"/>
        </w:rPr>
        <w:t>Discount Rate</w:t>
      </w:r>
      <w:r w:rsidRPr="004E6649">
        <w:rPr>
          <w:rFonts w:eastAsia="Times New Roman" w:cstheme="minorHAnsi"/>
          <w:b/>
          <w:spacing w:val="-1"/>
          <w:sz w:val="24"/>
        </w:rPr>
        <w:t>:</w:t>
      </w:r>
      <w:r w:rsidRPr="004E6649">
        <w:rPr>
          <w:rFonts w:eastAsia="Times New Roman" w:cstheme="minorHAnsi"/>
          <w:spacing w:val="-1"/>
          <w:sz w:val="24"/>
          <w:szCs w:val="24"/>
        </w:rPr>
        <w:t xml:space="preserve"> </w:t>
      </w:r>
      <w:r w:rsidRPr="004E6649">
        <w:rPr>
          <w:rFonts w:cstheme="minorHAnsi"/>
          <w:sz w:val="24"/>
          <w:szCs w:val="24"/>
        </w:rPr>
        <w:t>Projected benefit payments are required to be discounted to their actuarial present value using the single rate that reflects (1) a long-term expected rate of return on OPEB Plan investments to the extent that the OPEB Plan’s fiduciary net position is projected to be sufficient to make projected benefit payments and OPEB Plan assets are expected to be invested using a strategy to achieve that return and (2) a tax-exempt, high-quality municipal bond rate to the extent that the conditions for use of the long-term expected rate of return are not met.</w:t>
      </w:r>
      <w:r>
        <w:rPr>
          <w:rFonts w:eastAsiaTheme="majorEastAsia" w:cstheme="minorHAnsi"/>
          <w:b/>
          <w:i/>
          <w:iCs/>
          <w:smallCaps/>
          <w:noProof/>
          <w:color w:val="000000" w:themeColor="text1"/>
          <w:sz w:val="24"/>
          <w:szCs w:val="24"/>
          <w:u w:color="5B9BD5"/>
        </w:rPr>
        <w:br w:type="page"/>
      </w:r>
    </w:p>
    <w:p w14:paraId="763094E4" w14:textId="77777777" w:rsidR="001B6918" w:rsidRPr="00A02D27" w:rsidRDefault="001B6918" w:rsidP="001B6918">
      <w:pPr>
        <w:spacing w:after="160"/>
        <w:rPr>
          <w:rFonts w:eastAsiaTheme="majorEastAsia" w:cstheme="minorHAnsi"/>
          <w:b/>
          <w:i/>
          <w:iCs/>
          <w:smallCaps/>
          <w:noProof/>
          <w:color w:val="000000" w:themeColor="text1"/>
          <w:sz w:val="24"/>
          <w:szCs w:val="24"/>
          <w:u w:color="5B9BD5"/>
        </w:rPr>
      </w:pPr>
      <w:r w:rsidRPr="00A02D27">
        <w:rPr>
          <w:rFonts w:eastAsiaTheme="majorEastAsia" w:cstheme="minorHAnsi"/>
          <w:b/>
          <w:i/>
          <w:iCs/>
          <w:smallCaps/>
          <w:noProof/>
          <w:color w:val="000000" w:themeColor="text1"/>
          <w:sz w:val="24"/>
          <w:szCs w:val="24"/>
          <w:u w:color="5B9BD5"/>
        </w:rPr>
        <w:lastRenderedPageBreak/>
        <w:t>14. POSTEMPLOYMENT HEALTH PLAN - CONTINUED</w:t>
      </w:r>
    </w:p>
    <w:p w14:paraId="40CCE6F0" w14:textId="77777777" w:rsidR="001B6918" w:rsidRPr="004E6649" w:rsidRDefault="001B6918" w:rsidP="001B6918">
      <w:pPr>
        <w:spacing w:after="160" w:line="259" w:lineRule="auto"/>
        <w:rPr>
          <w:rFonts w:eastAsia="Times New Roman" w:cstheme="minorHAnsi"/>
          <w:spacing w:val="-1"/>
          <w:sz w:val="24"/>
        </w:rPr>
      </w:pPr>
      <w:r w:rsidRPr="004E6649">
        <w:rPr>
          <w:rFonts w:eastAsia="Times New Roman" w:cstheme="minorHAnsi"/>
          <w:spacing w:val="-1"/>
          <w:sz w:val="24"/>
        </w:rPr>
        <w:t>The discount rate used to measure the total OPEB liability at the measurement dates of June 30, 202</w:t>
      </w:r>
      <w:r>
        <w:rPr>
          <w:rFonts w:eastAsia="Times New Roman" w:cstheme="minorHAnsi"/>
          <w:spacing w:val="-1"/>
          <w:sz w:val="24"/>
        </w:rPr>
        <w:t>5</w:t>
      </w:r>
      <w:r w:rsidRPr="004E6649">
        <w:rPr>
          <w:rFonts w:eastAsia="Times New Roman" w:cstheme="minorHAnsi"/>
          <w:spacing w:val="-1"/>
          <w:sz w:val="24"/>
        </w:rPr>
        <w:t xml:space="preserve"> and 202</w:t>
      </w:r>
      <w:r>
        <w:rPr>
          <w:rFonts w:eastAsia="Times New Roman" w:cstheme="minorHAnsi"/>
          <w:spacing w:val="-1"/>
          <w:sz w:val="24"/>
        </w:rPr>
        <w:t>4</w:t>
      </w:r>
      <w:r w:rsidRPr="004E6649">
        <w:rPr>
          <w:rFonts w:eastAsia="Times New Roman" w:cstheme="minorHAnsi"/>
          <w:spacing w:val="-1"/>
          <w:sz w:val="24"/>
        </w:rPr>
        <w:t xml:space="preserve"> was 7.25%. The projection of cash flows used to determine the discount rate assumed that contributions from the System will be made in accordance with the OPEB</w:t>
      </w:r>
      <w:r>
        <w:rPr>
          <w:rFonts w:eastAsia="Times New Roman" w:cstheme="minorHAnsi"/>
          <w:spacing w:val="-1"/>
          <w:sz w:val="24"/>
        </w:rPr>
        <w:t xml:space="preserve"> Plan’s funding policy. Based on those assumptions, the OPEB Plan’s fiduciary net position was projected to be available to make all projected future benefit payments of current plan members. Therefore, the long-term expected rate </w:t>
      </w:r>
      <w:r w:rsidRPr="004E6649">
        <w:rPr>
          <w:rFonts w:eastAsia="Times New Roman" w:cstheme="minorHAnsi"/>
          <w:spacing w:val="-1"/>
          <w:sz w:val="24"/>
        </w:rPr>
        <w:t>of return on OPEB Plan investments was applied to all periods of projected benefit payments to determine the total OPEB liability.</w:t>
      </w:r>
    </w:p>
    <w:p w14:paraId="0FC465A0" w14:textId="77777777" w:rsidR="001B6918" w:rsidRPr="004E6649" w:rsidRDefault="001B6918" w:rsidP="001B6918">
      <w:pPr>
        <w:tabs>
          <w:tab w:val="left" w:pos="1080"/>
        </w:tabs>
        <w:spacing w:after="240"/>
        <w:ind w:right="-7"/>
        <w:rPr>
          <w:rFonts w:eastAsia="Times New Roman" w:cstheme="minorHAnsi"/>
          <w:sz w:val="24"/>
        </w:rPr>
      </w:pPr>
      <w:r w:rsidRPr="004E6649">
        <w:rPr>
          <w:rFonts w:eastAsia="Franklin Gothic Book" w:cstheme="minorHAnsi"/>
          <w:b/>
          <w:i/>
          <w:spacing w:val="-2"/>
          <w:sz w:val="24"/>
        </w:rPr>
        <w:t>S</w:t>
      </w:r>
      <w:r w:rsidRPr="004E6649">
        <w:rPr>
          <w:rFonts w:eastAsia="Franklin Gothic Book" w:cstheme="minorHAnsi"/>
          <w:b/>
          <w:i/>
          <w:sz w:val="24"/>
        </w:rPr>
        <w:t>e</w:t>
      </w:r>
      <w:r w:rsidRPr="004E6649">
        <w:rPr>
          <w:rFonts w:eastAsia="Franklin Gothic Book" w:cstheme="minorHAnsi"/>
          <w:b/>
          <w:i/>
          <w:spacing w:val="-2"/>
          <w:sz w:val="24"/>
        </w:rPr>
        <w:t>n</w:t>
      </w:r>
      <w:r w:rsidRPr="004E6649">
        <w:rPr>
          <w:rFonts w:eastAsia="Franklin Gothic Book" w:cstheme="minorHAnsi"/>
          <w:b/>
          <w:i/>
          <w:spacing w:val="-1"/>
          <w:sz w:val="24"/>
        </w:rPr>
        <w:t>s</w:t>
      </w:r>
      <w:r w:rsidRPr="004E6649">
        <w:rPr>
          <w:rFonts w:eastAsia="Franklin Gothic Book" w:cstheme="minorHAnsi"/>
          <w:b/>
          <w:i/>
          <w:sz w:val="24"/>
        </w:rPr>
        <w:t>i</w:t>
      </w:r>
      <w:r w:rsidRPr="004E6649">
        <w:rPr>
          <w:rFonts w:eastAsia="Franklin Gothic Book" w:cstheme="minorHAnsi"/>
          <w:b/>
          <w:i/>
          <w:spacing w:val="-2"/>
          <w:sz w:val="24"/>
        </w:rPr>
        <w:t>t</w:t>
      </w:r>
      <w:r w:rsidRPr="004E6649">
        <w:rPr>
          <w:rFonts w:eastAsia="Franklin Gothic Book" w:cstheme="minorHAnsi"/>
          <w:b/>
          <w:i/>
          <w:sz w:val="24"/>
        </w:rPr>
        <w:t>ivi</w:t>
      </w:r>
      <w:r w:rsidRPr="004E6649">
        <w:rPr>
          <w:rFonts w:eastAsia="Franklin Gothic Book" w:cstheme="minorHAnsi"/>
          <w:b/>
          <w:i/>
          <w:spacing w:val="-1"/>
          <w:sz w:val="24"/>
        </w:rPr>
        <w:t>t</w:t>
      </w:r>
      <w:r w:rsidRPr="004E6649">
        <w:rPr>
          <w:rFonts w:eastAsia="Franklin Gothic Book" w:cstheme="minorHAnsi"/>
          <w:b/>
          <w:i/>
          <w:sz w:val="24"/>
        </w:rPr>
        <w:t>y</w:t>
      </w:r>
      <w:r w:rsidRPr="004E6649">
        <w:rPr>
          <w:rFonts w:eastAsia="Franklin Gothic Book" w:cstheme="minorHAnsi"/>
          <w:b/>
          <w:i/>
          <w:spacing w:val="-6"/>
          <w:sz w:val="24"/>
        </w:rPr>
        <w:t xml:space="preserve"> </w:t>
      </w:r>
      <w:r w:rsidRPr="004E6649">
        <w:rPr>
          <w:rFonts w:eastAsia="Franklin Gothic Book" w:cstheme="minorHAnsi"/>
          <w:b/>
          <w:i/>
          <w:sz w:val="24"/>
        </w:rPr>
        <w:t>of</w:t>
      </w:r>
      <w:r w:rsidRPr="004E6649">
        <w:rPr>
          <w:rFonts w:eastAsia="Franklin Gothic Book" w:cstheme="minorHAnsi"/>
          <w:b/>
          <w:i/>
          <w:spacing w:val="-6"/>
          <w:sz w:val="24"/>
        </w:rPr>
        <w:t xml:space="preserve"> </w:t>
      </w:r>
      <w:r w:rsidRPr="004E6649">
        <w:rPr>
          <w:rFonts w:eastAsia="Franklin Gothic Book" w:cstheme="minorHAnsi"/>
          <w:b/>
          <w:i/>
          <w:spacing w:val="-1"/>
          <w:sz w:val="24"/>
        </w:rPr>
        <w:t>t</w:t>
      </w:r>
      <w:r w:rsidRPr="004E6649">
        <w:rPr>
          <w:rFonts w:eastAsia="Franklin Gothic Book" w:cstheme="minorHAnsi"/>
          <w:b/>
          <w:i/>
          <w:sz w:val="24"/>
        </w:rPr>
        <w:t>he</w:t>
      </w:r>
      <w:r w:rsidRPr="004E6649">
        <w:rPr>
          <w:rFonts w:eastAsia="Franklin Gothic Book" w:cstheme="minorHAnsi"/>
          <w:b/>
          <w:i/>
          <w:spacing w:val="-6"/>
          <w:sz w:val="24"/>
        </w:rPr>
        <w:t xml:space="preserve"> </w:t>
      </w:r>
      <w:r w:rsidRPr="004E6649">
        <w:rPr>
          <w:rFonts w:eastAsia="Franklin Gothic Book" w:cstheme="minorHAnsi"/>
          <w:b/>
          <w:i/>
          <w:spacing w:val="-2"/>
          <w:sz w:val="24"/>
        </w:rPr>
        <w:t>n</w:t>
      </w:r>
      <w:r w:rsidRPr="004E6649">
        <w:rPr>
          <w:rFonts w:eastAsia="Franklin Gothic Book" w:cstheme="minorHAnsi"/>
          <w:b/>
          <w:i/>
          <w:sz w:val="24"/>
        </w:rPr>
        <w:t>et</w:t>
      </w:r>
      <w:r w:rsidRPr="004E6649">
        <w:rPr>
          <w:rFonts w:eastAsia="Franklin Gothic Book" w:cstheme="minorHAnsi"/>
          <w:b/>
          <w:i/>
          <w:spacing w:val="-7"/>
          <w:sz w:val="24"/>
        </w:rPr>
        <w:t xml:space="preserve"> </w:t>
      </w:r>
      <w:r w:rsidRPr="004E6649">
        <w:rPr>
          <w:rFonts w:eastAsia="Franklin Gothic Book" w:cstheme="minorHAnsi"/>
          <w:b/>
          <w:i/>
          <w:spacing w:val="-2"/>
          <w:sz w:val="24"/>
        </w:rPr>
        <w:t>OPEB</w:t>
      </w:r>
      <w:r w:rsidRPr="004E6649">
        <w:rPr>
          <w:rFonts w:eastAsia="Franklin Gothic Book" w:cstheme="minorHAnsi"/>
          <w:b/>
          <w:i/>
          <w:spacing w:val="-5"/>
          <w:sz w:val="24"/>
        </w:rPr>
        <w:t xml:space="preserve"> </w:t>
      </w:r>
      <w:r w:rsidRPr="004E6649">
        <w:rPr>
          <w:rFonts w:eastAsia="Franklin Gothic Book" w:cstheme="minorHAnsi"/>
          <w:b/>
          <w:i/>
          <w:sz w:val="24"/>
        </w:rPr>
        <w:t>li</w:t>
      </w:r>
      <w:r w:rsidRPr="004E6649">
        <w:rPr>
          <w:rFonts w:eastAsia="Franklin Gothic Book" w:cstheme="minorHAnsi"/>
          <w:b/>
          <w:i/>
          <w:spacing w:val="-2"/>
          <w:sz w:val="24"/>
        </w:rPr>
        <w:t>a</w:t>
      </w:r>
      <w:r w:rsidRPr="004E6649">
        <w:rPr>
          <w:rFonts w:eastAsia="Franklin Gothic Book" w:cstheme="minorHAnsi"/>
          <w:b/>
          <w:i/>
          <w:sz w:val="24"/>
        </w:rPr>
        <w:t>bili</w:t>
      </w:r>
      <w:r w:rsidRPr="004E6649">
        <w:rPr>
          <w:rFonts w:eastAsia="Franklin Gothic Book" w:cstheme="minorHAnsi"/>
          <w:b/>
          <w:i/>
          <w:spacing w:val="-2"/>
          <w:sz w:val="24"/>
        </w:rPr>
        <w:t>t</w:t>
      </w:r>
      <w:r w:rsidRPr="004E6649">
        <w:rPr>
          <w:rFonts w:eastAsia="Franklin Gothic Book" w:cstheme="minorHAnsi"/>
          <w:b/>
          <w:i/>
          <w:sz w:val="24"/>
        </w:rPr>
        <w:t>y</w:t>
      </w:r>
      <w:r w:rsidRPr="004E6649">
        <w:rPr>
          <w:rFonts w:eastAsia="Franklin Gothic Book" w:cstheme="minorHAnsi"/>
          <w:b/>
          <w:i/>
          <w:spacing w:val="-6"/>
          <w:sz w:val="24"/>
        </w:rPr>
        <w:t xml:space="preserve"> </w:t>
      </w:r>
      <w:r w:rsidRPr="004E6649">
        <w:rPr>
          <w:rFonts w:eastAsia="Franklin Gothic Book" w:cstheme="minorHAnsi"/>
          <w:b/>
          <w:i/>
          <w:spacing w:val="-2"/>
          <w:sz w:val="24"/>
        </w:rPr>
        <w:t>t</w:t>
      </w:r>
      <w:r w:rsidRPr="004E6649">
        <w:rPr>
          <w:rFonts w:eastAsia="Franklin Gothic Book" w:cstheme="minorHAnsi"/>
          <w:b/>
          <w:i/>
          <w:sz w:val="24"/>
        </w:rPr>
        <w:t>o</w:t>
      </w:r>
      <w:r w:rsidRPr="004E6649">
        <w:rPr>
          <w:rFonts w:eastAsia="Franklin Gothic Book" w:cstheme="minorHAnsi"/>
          <w:b/>
          <w:i/>
          <w:spacing w:val="-6"/>
          <w:sz w:val="24"/>
        </w:rPr>
        <w:t xml:space="preserve"> </w:t>
      </w:r>
      <w:r w:rsidRPr="004E6649">
        <w:rPr>
          <w:rFonts w:eastAsia="Franklin Gothic Book" w:cstheme="minorHAnsi"/>
          <w:b/>
          <w:i/>
          <w:spacing w:val="-1"/>
          <w:sz w:val="24"/>
        </w:rPr>
        <w:t>c</w:t>
      </w:r>
      <w:r w:rsidRPr="004E6649">
        <w:rPr>
          <w:rFonts w:eastAsia="Franklin Gothic Book" w:cstheme="minorHAnsi"/>
          <w:b/>
          <w:i/>
          <w:sz w:val="24"/>
        </w:rPr>
        <w:t>h</w:t>
      </w:r>
      <w:r w:rsidRPr="004E6649">
        <w:rPr>
          <w:rFonts w:eastAsia="Franklin Gothic Book" w:cstheme="minorHAnsi"/>
          <w:b/>
          <w:i/>
          <w:spacing w:val="-2"/>
          <w:sz w:val="24"/>
        </w:rPr>
        <w:t>an</w:t>
      </w:r>
      <w:r w:rsidRPr="004E6649">
        <w:rPr>
          <w:rFonts w:eastAsia="Franklin Gothic Book" w:cstheme="minorHAnsi"/>
          <w:b/>
          <w:i/>
          <w:sz w:val="24"/>
        </w:rPr>
        <w:t>ges</w:t>
      </w:r>
      <w:r w:rsidRPr="004E6649">
        <w:rPr>
          <w:rFonts w:eastAsia="Franklin Gothic Book" w:cstheme="minorHAnsi"/>
          <w:b/>
          <w:i/>
          <w:spacing w:val="-6"/>
          <w:sz w:val="24"/>
        </w:rPr>
        <w:t xml:space="preserve"> </w:t>
      </w:r>
      <w:r w:rsidRPr="004E6649">
        <w:rPr>
          <w:rFonts w:eastAsia="Franklin Gothic Book" w:cstheme="minorHAnsi"/>
          <w:b/>
          <w:i/>
          <w:sz w:val="24"/>
        </w:rPr>
        <w:t>in</w:t>
      </w:r>
      <w:r w:rsidRPr="004E6649">
        <w:rPr>
          <w:rFonts w:eastAsia="Franklin Gothic Book" w:cstheme="minorHAnsi"/>
          <w:b/>
          <w:i/>
          <w:spacing w:val="-6"/>
          <w:sz w:val="24"/>
        </w:rPr>
        <w:t xml:space="preserve"> </w:t>
      </w:r>
      <w:r w:rsidRPr="004E6649">
        <w:rPr>
          <w:rFonts w:eastAsia="Franklin Gothic Book" w:cstheme="minorHAnsi"/>
          <w:b/>
          <w:i/>
          <w:spacing w:val="-2"/>
          <w:sz w:val="24"/>
        </w:rPr>
        <w:t>t</w:t>
      </w:r>
      <w:r w:rsidRPr="004E6649">
        <w:rPr>
          <w:rFonts w:eastAsia="Franklin Gothic Book" w:cstheme="minorHAnsi"/>
          <w:b/>
          <w:i/>
          <w:sz w:val="24"/>
        </w:rPr>
        <w:t>he</w:t>
      </w:r>
      <w:r w:rsidRPr="004E6649">
        <w:rPr>
          <w:rFonts w:eastAsia="Franklin Gothic Book" w:cstheme="minorHAnsi"/>
          <w:b/>
          <w:i/>
          <w:spacing w:val="-6"/>
          <w:sz w:val="24"/>
        </w:rPr>
        <w:t xml:space="preserve"> d</w:t>
      </w:r>
      <w:r w:rsidRPr="004E6649">
        <w:rPr>
          <w:rFonts w:eastAsia="Franklin Gothic Book" w:cstheme="minorHAnsi"/>
          <w:b/>
          <w:i/>
          <w:sz w:val="24"/>
        </w:rPr>
        <w:t>i</w:t>
      </w:r>
      <w:r w:rsidRPr="004E6649">
        <w:rPr>
          <w:rFonts w:eastAsia="Franklin Gothic Book" w:cstheme="minorHAnsi"/>
          <w:b/>
          <w:i/>
          <w:spacing w:val="-1"/>
          <w:sz w:val="24"/>
        </w:rPr>
        <w:t>sc</w:t>
      </w:r>
      <w:r w:rsidRPr="004E6649">
        <w:rPr>
          <w:rFonts w:eastAsia="Franklin Gothic Book" w:cstheme="minorHAnsi"/>
          <w:b/>
          <w:i/>
          <w:sz w:val="24"/>
        </w:rPr>
        <w:t>ou</w:t>
      </w:r>
      <w:r w:rsidRPr="004E6649">
        <w:rPr>
          <w:rFonts w:eastAsia="Franklin Gothic Book" w:cstheme="minorHAnsi"/>
          <w:b/>
          <w:i/>
          <w:spacing w:val="-2"/>
          <w:sz w:val="24"/>
        </w:rPr>
        <w:t>n</w:t>
      </w:r>
      <w:r w:rsidRPr="004E6649">
        <w:rPr>
          <w:rFonts w:eastAsia="Franklin Gothic Book" w:cstheme="minorHAnsi"/>
          <w:b/>
          <w:i/>
          <w:sz w:val="24"/>
        </w:rPr>
        <w:t>t</w:t>
      </w:r>
      <w:r w:rsidRPr="004E6649">
        <w:rPr>
          <w:rFonts w:eastAsia="Franklin Gothic Book" w:cstheme="minorHAnsi"/>
          <w:b/>
          <w:i/>
          <w:spacing w:val="-6"/>
          <w:sz w:val="24"/>
        </w:rPr>
        <w:t xml:space="preserve"> </w:t>
      </w:r>
      <w:r w:rsidRPr="004E6649">
        <w:rPr>
          <w:rFonts w:eastAsia="Franklin Gothic Book" w:cstheme="minorHAnsi"/>
          <w:b/>
          <w:i/>
          <w:sz w:val="24"/>
        </w:rPr>
        <w:t>r</w:t>
      </w:r>
      <w:r w:rsidRPr="004E6649">
        <w:rPr>
          <w:rFonts w:eastAsia="Franklin Gothic Book" w:cstheme="minorHAnsi"/>
          <w:b/>
          <w:i/>
          <w:spacing w:val="-2"/>
          <w:sz w:val="24"/>
        </w:rPr>
        <w:t>at</w:t>
      </w:r>
      <w:r w:rsidRPr="004E6649">
        <w:rPr>
          <w:rFonts w:eastAsia="Franklin Gothic Book" w:cstheme="minorHAnsi"/>
          <w:b/>
          <w:i/>
          <w:sz w:val="24"/>
        </w:rPr>
        <w:t>e:</w:t>
      </w:r>
      <w:r w:rsidRPr="004E6649">
        <w:rPr>
          <w:rFonts w:eastAsia="Franklin Gothic Book" w:cstheme="minorHAnsi"/>
          <w:i/>
          <w:sz w:val="24"/>
        </w:rPr>
        <w:t xml:space="preserve"> </w:t>
      </w:r>
      <w:r w:rsidRPr="004E6649">
        <w:rPr>
          <w:rFonts w:eastAsia="Times New Roman" w:cstheme="minorHAnsi"/>
          <w:spacing w:val="-1"/>
          <w:sz w:val="24"/>
        </w:rPr>
        <w:t>T</w:t>
      </w:r>
      <w:r w:rsidRPr="004E6649">
        <w:rPr>
          <w:rFonts w:eastAsia="Times New Roman" w:cstheme="minorHAnsi"/>
          <w:sz w:val="24"/>
        </w:rPr>
        <w:t>he foll</w:t>
      </w:r>
      <w:r w:rsidRPr="004E6649">
        <w:rPr>
          <w:rFonts w:eastAsia="Times New Roman" w:cstheme="minorHAnsi"/>
          <w:spacing w:val="-1"/>
          <w:sz w:val="24"/>
        </w:rPr>
        <w:t>o</w:t>
      </w:r>
      <w:r w:rsidRPr="004E6649">
        <w:rPr>
          <w:rFonts w:eastAsia="Times New Roman" w:cstheme="minorHAnsi"/>
          <w:sz w:val="24"/>
        </w:rPr>
        <w:t>wing</w:t>
      </w:r>
      <w:r w:rsidRPr="004E6649">
        <w:rPr>
          <w:rFonts w:eastAsia="Times New Roman" w:cstheme="minorHAnsi"/>
          <w:spacing w:val="1"/>
          <w:sz w:val="24"/>
        </w:rPr>
        <w:t xml:space="preserve"> </w:t>
      </w:r>
      <w:r w:rsidRPr="004E6649">
        <w:rPr>
          <w:rFonts w:eastAsia="Times New Roman" w:cstheme="minorHAnsi"/>
          <w:spacing w:val="-1"/>
          <w:sz w:val="24"/>
        </w:rPr>
        <w:t>pr</w:t>
      </w:r>
      <w:r w:rsidRPr="004E6649">
        <w:rPr>
          <w:rFonts w:eastAsia="Times New Roman" w:cstheme="minorHAnsi"/>
          <w:sz w:val="24"/>
        </w:rPr>
        <w:t>esen</w:t>
      </w:r>
      <w:r w:rsidRPr="004E6649">
        <w:rPr>
          <w:rFonts w:eastAsia="Times New Roman" w:cstheme="minorHAnsi"/>
          <w:spacing w:val="1"/>
          <w:sz w:val="24"/>
        </w:rPr>
        <w:t>t</w:t>
      </w:r>
      <w:r w:rsidRPr="004E6649">
        <w:rPr>
          <w:rFonts w:eastAsia="Times New Roman" w:cstheme="minorHAnsi"/>
          <w:sz w:val="24"/>
        </w:rPr>
        <w:t>s</w:t>
      </w:r>
      <w:r w:rsidRPr="004E6649">
        <w:rPr>
          <w:rFonts w:eastAsia="Times New Roman" w:cstheme="minorHAnsi"/>
          <w:spacing w:val="1"/>
          <w:sz w:val="24"/>
        </w:rPr>
        <w:t xml:space="preserve"> </w:t>
      </w:r>
      <w:r w:rsidRPr="004E6649">
        <w:rPr>
          <w:rFonts w:eastAsia="Times New Roman" w:cstheme="minorHAnsi"/>
          <w:sz w:val="24"/>
        </w:rPr>
        <w:t>the</w:t>
      </w:r>
      <w:r w:rsidRPr="004E6649">
        <w:rPr>
          <w:rFonts w:eastAsia="Times New Roman" w:cstheme="minorHAnsi"/>
          <w:spacing w:val="1"/>
          <w:sz w:val="24"/>
        </w:rPr>
        <w:t xml:space="preserve"> </w:t>
      </w:r>
      <w:r w:rsidRPr="004E6649">
        <w:rPr>
          <w:rFonts w:eastAsia="Times New Roman" w:cstheme="minorHAnsi"/>
          <w:sz w:val="24"/>
        </w:rPr>
        <w:t xml:space="preserve">net </w:t>
      </w:r>
      <w:r w:rsidRPr="004E6649">
        <w:rPr>
          <w:rFonts w:eastAsia="Times New Roman" w:cstheme="minorHAnsi"/>
          <w:spacing w:val="-1"/>
          <w:sz w:val="24"/>
        </w:rPr>
        <w:t>OPEB</w:t>
      </w:r>
      <w:r w:rsidRPr="004E6649">
        <w:rPr>
          <w:rFonts w:eastAsia="Times New Roman" w:cstheme="minorHAnsi"/>
          <w:spacing w:val="1"/>
          <w:sz w:val="24"/>
        </w:rPr>
        <w:t xml:space="preserve"> </w:t>
      </w:r>
      <w:r w:rsidRPr="004E6649">
        <w:rPr>
          <w:rFonts w:eastAsia="Times New Roman" w:cstheme="minorHAnsi"/>
          <w:sz w:val="24"/>
        </w:rPr>
        <w:t>liability</w:t>
      </w:r>
      <w:r w:rsidRPr="004E6649">
        <w:rPr>
          <w:rFonts w:eastAsia="Times New Roman" w:cstheme="minorHAnsi"/>
          <w:spacing w:val="-1"/>
          <w:sz w:val="24"/>
        </w:rPr>
        <w:t xml:space="preserve"> as of June 30, </w:t>
      </w:r>
      <w:r w:rsidRPr="004E6649">
        <w:rPr>
          <w:rFonts w:eastAsia="Times New Roman" w:cstheme="minorHAnsi"/>
          <w:sz w:val="24"/>
        </w:rPr>
        <w:t>calcula</w:t>
      </w:r>
      <w:r w:rsidRPr="004E6649">
        <w:rPr>
          <w:rFonts w:eastAsia="Times New Roman" w:cstheme="minorHAnsi"/>
          <w:spacing w:val="1"/>
          <w:sz w:val="24"/>
        </w:rPr>
        <w:t>t</w:t>
      </w:r>
      <w:r w:rsidRPr="004E6649">
        <w:rPr>
          <w:rFonts w:eastAsia="Times New Roman" w:cstheme="minorHAnsi"/>
          <w:sz w:val="24"/>
        </w:rPr>
        <w:t>ed</w:t>
      </w:r>
      <w:r w:rsidRPr="004E6649">
        <w:rPr>
          <w:rFonts w:eastAsia="Times New Roman" w:cstheme="minorHAnsi"/>
          <w:spacing w:val="2"/>
          <w:sz w:val="24"/>
        </w:rPr>
        <w:t xml:space="preserve"> </w:t>
      </w:r>
      <w:r w:rsidRPr="004E6649">
        <w:rPr>
          <w:rFonts w:eastAsia="Times New Roman" w:cstheme="minorHAnsi"/>
          <w:sz w:val="24"/>
        </w:rPr>
        <w:t>u</w:t>
      </w:r>
      <w:r w:rsidRPr="004E6649">
        <w:rPr>
          <w:rFonts w:eastAsia="Times New Roman" w:cstheme="minorHAnsi"/>
          <w:spacing w:val="1"/>
          <w:sz w:val="24"/>
        </w:rPr>
        <w:t>s</w:t>
      </w:r>
      <w:r w:rsidRPr="004E6649">
        <w:rPr>
          <w:rFonts w:eastAsia="Times New Roman" w:cstheme="minorHAnsi"/>
          <w:sz w:val="24"/>
        </w:rPr>
        <w:t>ing the</w:t>
      </w:r>
      <w:r w:rsidRPr="004E6649">
        <w:rPr>
          <w:rFonts w:eastAsia="Times New Roman" w:cstheme="minorHAnsi"/>
          <w:spacing w:val="1"/>
          <w:sz w:val="24"/>
        </w:rPr>
        <w:t xml:space="preserve"> respective current </w:t>
      </w:r>
      <w:r w:rsidRPr="004E6649">
        <w:rPr>
          <w:rFonts w:eastAsia="Times New Roman" w:cstheme="minorHAnsi"/>
          <w:sz w:val="24"/>
        </w:rPr>
        <w:t>discount</w:t>
      </w:r>
      <w:r w:rsidRPr="004E6649">
        <w:rPr>
          <w:rFonts w:eastAsia="Times New Roman" w:cstheme="minorHAnsi"/>
          <w:spacing w:val="1"/>
          <w:sz w:val="24"/>
        </w:rPr>
        <w:t xml:space="preserve"> </w:t>
      </w:r>
      <w:r w:rsidRPr="004E6649">
        <w:rPr>
          <w:rFonts w:eastAsia="Times New Roman" w:cstheme="minorHAnsi"/>
          <w:spacing w:val="-1"/>
          <w:sz w:val="24"/>
        </w:rPr>
        <w:t>r</w:t>
      </w:r>
      <w:r w:rsidRPr="004E6649">
        <w:rPr>
          <w:rFonts w:eastAsia="Times New Roman" w:cstheme="minorHAnsi"/>
          <w:sz w:val="24"/>
        </w:rPr>
        <w:t>a</w:t>
      </w:r>
      <w:r w:rsidRPr="004E6649">
        <w:rPr>
          <w:rFonts w:eastAsia="Times New Roman" w:cstheme="minorHAnsi"/>
          <w:spacing w:val="1"/>
          <w:sz w:val="24"/>
        </w:rPr>
        <w:t>t</w:t>
      </w:r>
      <w:r w:rsidRPr="004E6649">
        <w:rPr>
          <w:rFonts w:eastAsia="Times New Roman" w:cstheme="minorHAnsi"/>
          <w:sz w:val="24"/>
        </w:rPr>
        <w:t>e as</w:t>
      </w:r>
      <w:r w:rsidRPr="004E6649">
        <w:rPr>
          <w:rFonts w:eastAsia="Times New Roman" w:cstheme="minorHAnsi"/>
          <w:spacing w:val="1"/>
          <w:sz w:val="24"/>
        </w:rPr>
        <w:t xml:space="preserve"> </w:t>
      </w:r>
      <w:r w:rsidRPr="004E6649">
        <w:rPr>
          <w:rFonts w:eastAsia="Times New Roman" w:cstheme="minorHAnsi"/>
          <w:sz w:val="24"/>
        </w:rPr>
        <w:t>w</w:t>
      </w:r>
      <w:r w:rsidRPr="004E6649">
        <w:rPr>
          <w:rFonts w:eastAsia="Times New Roman" w:cstheme="minorHAnsi"/>
          <w:spacing w:val="-1"/>
          <w:sz w:val="24"/>
        </w:rPr>
        <w:t>e</w:t>
      </w:r>
      <w:r w:rsidRPr="004E6649">
        <w:rPr>
          <w:rFonts w:eastAsia="Times New Roman" w:cstheme="minorHAnsi"/>
          <w:sz w:val="24"/>
        </w:rPr>
        <w:t>ll as</w:t>
      </w:r>
      <w:r w:rsidRPr="004E6649">
        <w:rPr>
          <w:rFonts w:eastAsia="Times New Roman" w:cstheme="minorHAnsi"/>
          <w:spacing w:val="1"/>
          <w:sz w:val="24"/>
        </w:rPr>
        <w:t xml:space="preserve"> </w:t>
      </w:r>
      <w:r w:rsidRPr="004E6649">
        <w:rPr>
          <w:rFonts w:eastAsia="Times New Roman" w:cstheme="minorHAnsi"/>
          <w:sz w:val="24"/>
        </w:rPr>
        <w:t>u</w:t>
      </w:r>
      <w:r w:rsidRPr="004E6649">
        <w:rPr>
          <w:rFonts w:eastAsia="Times New Roman" w:cstheme="minorHAnsi"/>
          <w:spacing w:val="1"/>
          <w:sz w:val="24"/>
        </w:rPr>
        <w:t>s</w:t>
      </w:r>
      <w:r w:rsidRPr="004E6649">
        <w:rPr>
          <w:rFonts w:eastAsia="Times New Roman" w:cstheme="minorHAnsi"/>
          <w:sz w:val="24"/>
        </w:rPr>
        <w:t>ing</w:t>
      </w:r>
      <w:r w:rsidRPr="004E6649">
        <w:rPr>
          <w:rFonts w:eastAsia="Times New Roman" w:cstheme="minorHAnsi"/>
          <w:spacing w:val="41"/>
          <w:sz w:val="24"/>
        </w:rPr>
        <w:t xml:space="preserve"> </w:t>
      </w:r>
      <w:r w:rsidRPr="004E6649">
        <w:rPr>
          <w:rFonts w:eastAsia="Times New Roman" w:cstheme="minorHAnsi"/>
          <w:sz w:val="24"/>
        </w:rPr>
        <w:t>a</w:t>
      </w:r>
      <w:r w:rsidRPr="004E6649">
        <w:rPr>
          <w:rFonts w:eastAsia="Times New Roman" w:cstheme="minorHAnsi"/>
          <w:spacing w:val="39"/>
          <w:sz w:val="24"/>
        </w:rPr>
        <w:t xml:space="preserve"> </w:t>
      </w:r>
      <w:r w:rsidRPr="004E6649">
        <w:rPr>
          <w:rFonts w:eastAsia="Times New Roman" w:cstheme="minorHAnsi"/>
          <w:sz w:val="24"/>
        </w:rPr>
        <w:t>discount</w:t>
      </w:r>
      <w:r w:rsidRPr="004E6649">
        <w:rPr>
          <w:rFonts w:eastAsia="Times New Roman" w:cstheme="minorHAnsi"/>
          <w:spacing w:val="42"/>
          <w:sz w:val="24"/>
        </w:rPr>
        <w:t xml:space="preserve"> </w:t>
      </w:r>
      <w:r w:rsidRPr="004E6649">
        <w:rPr>
          <w:rFonts w:eastAsia="Times New Roman" w:cstheme="minorHAnsi"/>
          <w:spacing w:val="-1"/>
          <w:sz w:val="24"/>
        </w:rPr>
        <w:t>r</w:t>
      </w:r>
      <w:r w:rsidRPr="004E6649">
        <w:rPr>
          <w:rFonts w:eastAsia="Times New Roman" w:cstheme="minorHAnsi"/>
          <w:sz w:val="24"/>
        </w:rPr>
        <w:t>a</w:t>
      </w:r>
      <w:r w:rsidRPr="004E6649">
        <w:rPr>
          <w:rFonts w:eastAsia="Times New Roman" w:cstheme="minorHAnsi"/>
          <w:spacing w:val="1"/>
          <w:sz w:val="24"/>
        </w:rPr>
        <w:t>t</w:t>
      </w:r>
      <w:r w:rsidRPr="004E6649">
        <w:rPr>
          <w:rFonts w:eastAsia="Times New Roman" w:cstheme="minorHAnsi"/>
          <w:sz w:val="24"/>
        </w:rPr>
        <w:t>e</w:t>
      </w:r>
      <w:r w:rsidRPr="004E6649">
        <w:rPr>
          <w:rFonts w:eastAsia="Times New Roman" w:cstheme="minorHAnsi"/>
          <w:spacing w:val="40"/>
          <w:sz w:val="24"/>
        </w:rPr>
        <w:t xml:space="preserve"> </w:t>
      </w:r>
      <w:r w:rsidRPr="004E6649">
        <w:rPr>
          <w:rFonts w:eastAsia="Times New Roman" w:cstheme="minorHAnsi"/>
          <w:sz w:val="24"/>
        </w:rPr>
        <w:t>1-</w:t>
      </w:r>
      <w:proofErr w:type="gramStart"/>
      <w:r w:rsidRPr="004E6649">
        <w:rPr>
          <w:rFonts w:eastAsia="Times New Roman" w:cstheme="minorHAnsi"/>
          <w:spacing w:val="-1"/>
          <w:sz w:val="24"/>
        </w:rPr>
        <w:t>p</w:t>
      </w:r>
      <w:r w:rsidRPr="004E6649">
        <w:rPr>
          <w:rFonts w:eastAsia="Times New Roman" w:cstheme="minorHAnsi"/>
          <w:sz w:val="24"/>
        </w:rPr>
        <w:t>e</w:t>
      </w:r>
      <w:r w:rsidRPr="004E6649">
        <w:rPr>
          <w:rFonts w:eastAsia="Times New Roman" w:cstheme="minorHAnsi"/>
          <w:spacing w:val="-2"/>
          <w:sz w:val="24"/>
        </w:rPr>
        <w:t>r</w:t>
      </w:r>
      <w:r w:rsidRPr="004E6649">
        <w:rPr>
          <w:rFonts w:eastAsia="Times New Roman" w:cstheme="minorHAnsi"/>
          <w:sz w:val="24"/>
        </w:rPr>
        <w:t>centage</w:t>
      </w:r>
      <w:proofErr w:type="gramEnd"/>
      <w:r w:rsidRPr="004E6649">
        <w:rPr>
          <w:rFonts w:eastAsia="Times New Roman" w:cstheme="minorHAnsi"/>
          <w:spacing w:val="41"/>
          <w:sz w:val="24"/>
        </w:rPr>
        <w:t xml:space="preserve"> </w:t>
      </w:r>
      <w:r w:rsidRPr="004E6649">
        <w:rPr>
          <w:rFonts w:eastAsia="Times New Roman" w:cstheme="minorHAnsi"/>
          <w:spacing w:val="-1"/>
          <w:sz w:val="24"/>
        </w:rPr>
        <w:t>p</w:t>
      </w:r>
      <w:r w:rsidRPr="004E6649">
        <w:rPr>
          <w:rFonts w:eastAsia="Times New Roman" w:cstheme="minorHAnsi"/>
          <w:sz w:val="24"/>
        </w:rPr>
        <w:t>oint</w:t>
      </w:r>
      <w:r w:rsidRPr="004E6649">
        <w:rPr>
          <w:rFonts w:eastAsia="Times New Roman" w:cstheme="minorHAnsi"/>
          <w:spacing w:val="39"/>
          <w:sz w:val="24"/>
        </w:rPr>
        <w:t xml:space="preserve"> </w:t>
      </w:r>
      <w:r w:rsidRPr="004E6649">
        <w:rPr>
          <w:rFonts w:eastAsia="Times New Roman" w:cstheme="minorHAnsi"/>
          <w:sz w:val="24"/>
        </w:rPr>
        <w:t>l</w:t>
      </w:r>
      <w:r w:rsidRPr="004E6649">
        <w:rPr>
          <w:rFonts w:eastAsia="Times New Roman" w:cstheme="minorHAnsi"/>
          <w:spacing w:val="-1"/>
          <w:sz w:val="24"/>
        </w:rPr>
        <w:t>o</w:t>
      </w:r>
      <w:r w:rsidRPr="004E6649">
        <w:rPr>
          <w:rFonts w:eastAsia="Times New Roman" w:cstheme="minorHAnsi"/>
          <w:sz w:val="24"/>
        </w:rPr>
        <w:t>w</w:t>
      </w:r>
      <w:r w:rsidRPr="004E6649">
        <w:rPr>
          <w:rFonts w:eastAsia="Times New Roman" w:cstheme="minorHAnsi"/>
          <w:spacing w:val="-1"/>
          <w:sz w:val="24"/>
        </w:rPr>
        <w:t>e</w:t>
      </w:r>
      <w:r w:rsidRPr="004E6649">
        <w:rPr>
          <w:rFonts w:eastAsia="Times New Roman" w:cstheme="minorHAnsi"/>
          <w:sz w:val="24"/>
        </w:rPr>
        <w:t>r</w:t>
      </w:r>
      <w:r w:rsidRPr="004E6649">
        <w:rPr>
          <w:rFonts w:eastAsia="Times New Roman" w:cstheme="minorHAnsi"/>
          <w:w w:val="99"/>
          <w:sz w:val="24"/>
        </w:rPr>
        <w:t xml:space="preserve"> </w:t>
      </w:r>
      <w:r w:rsidRPr="004E6649">
        <w:rPr>
          <w:rFonts w:eastAsia="Times New Roman" w:cstheme="minorHAnsi"/>
          <w:sz w:val="24"/>
        </w:rPr>
        <w:t>or</w:t>
      </w:r>
      <w:r w:rsidRPr="004E6649">
        <w:rPr>
          <w:rFonts w:eastAsia="Times New Roman" w:cstheme="minorHAnsi"/>
          <w:spacing w:val="-7"/>
          <w:sz w:val="24"/>
        </w:rPr>
        <w:t xml:space="preserve"> </w:t>
      </w:r>
      <w:r w:rsidRPr="004E6649">
        <w:rPr>
          <w:rFonts w:eastAsia="Times New Roman" w:cstheme="minorHAnsi"/>
          <w:sz w:val="24"/>
        </w:rPr>
        <w:t>1-</w:t>
      </w:r>
      <w:r w:rsidRPr="004E6649">
        <w:rPr>
          <w:rFonts w:eastAsia="Times New Roman" w:cstheme="minorHAnsi"/>
          <w:spacing w:val="-1"/>
          <w:sz w:val="24"/>
        </w:rPr>
        <w:t>p</w:t>
      </w:r>
      <w:r w:rsidRPr="004E6649">
        <w:rPr>
          <w:rFonts w:eastAsia="Times New Roman" w:cstheme="minorHAnsi"/>
          <w:sz w:val="24"/>
        </w:rPr>
        <w:t>e</w:t>
      </w:r>
      <w:r w:rsidRPr="004E6649">
        <w:rPr>
          <w:rFonts w:eastAsia="Times New Roman" w:cstheme="minorHAnsi"/>
          <w:spacing w:val="-2"/>
          <w:sz w:val="24"/>
        </w:rPr>
        <w:t>r</w:t>
      </w:r>
      <w:r w:rsidRPr="004E6649">
        <w:rPr>
          <w:rFonts w:eastAsia="Times New Roman" w:cstheme="minorHAnsi"/>
          <w:sz w:val="24"/>
        </w:rPr>
        <w:t>centage</w:t>
      </w:r>
      <w:r w:rsidRPr="004E6649">
        <w:rPr>
          <w:rFonts w:eastAsia="Times New Roman" w:cstheme="minorHAnsi"/>
          <w:spacing w:val="-6"/>
          <w:sz w:val="24"/>
        </w:rPr>
        <w:t xml:space="preserve"> </w:t>
      </w:r>
      <w:r w:rsidRPr="004E6649">
        <w:rPr>
          <w:rFonts w:eastAsia="Times New Roman" w:cstheme="minorHAnsi"/>
          <w:spacing w:val="-1"/>
          <w:sz w:val="24"/>
        </w:rPr>
        <w:t>p</w:t>
      </w:r>
      <w:r w:rsidRPr="004E6649">
        <w:rPr>
          <w:rFonts w:eastAsia="Times New Roman" w:cstheme="minorHAnsi"/>
          <w:sz w:val="24"/>
        </w:rPr>
        <w:t>oint</w:t>
      </w:r>
      <w:r w:rsidRPr="004E6649">
        <w:rPr>
          <w:rFonts w:eastAsia="Times New Roman" w:cstheme="minorHAnsi"/>
          <w:spacing w:val="-6"/>
          <w:sz w:val="24"/>
        </w:rPr>
        <w:t xml:space="preserve"> </w:t>
      </w:r>
      <w:r w:rsidRPr="004E6649">
        <w:rPr>
          <w:rFonts w:eastAsia="Times New Roman" w:cstheme="minorHAnsi"/>
          <w:sz w:val="24"/>
        </w:rPr>
        <w:t xml:space="preserve">higher </w:t>
      </w:r>
      <w:r w:rsidRPr="004E6649">
        <w:rPr>
          <w:rFonts w:eastAsia="Times New Roman" w:cstheme="minorHAnsi"/>
          <w:spacing w:val="1"/>
          <w:sz w:val="24"/>
        </w:rPr>
        <w:t>t</w:t>
      </w:r>
      <w:r w:rsidRPr="004E6649">
        <w:rPr>
          <w:rFonts w:eastAsia="Times New Roman" w:cstheme="minorHAnsi"/>
          <w:sz w:val="24"/>
        </w:rPr>
        <w:t>han</w:t>
      </w:r>
      <w:r w:rsidRPr="004E6649">
        <w:rPr>
          <w:rFonts w:eastAsia="Times New Roman" w:cstheme="minorHAnsi"/>
          <w:spacing w:val="-6"/>
          <w:sz w:val="24"/>
        </w:rPr>
        <w:t xml:space="preserve"> </w:t>
      </w:r>
      <w:r w:rsidRPr="004E6649">
        <w:rPr>
          <w:rFonts w:eastAsia="Times New Roman" w:cstheme="minorHAnsi"/>
          <w:sz w:val="24"/>
        </w:rPr>
        <w:t>the</w:t>
      </w:r>
      <w:r w:rsidRPr="004E6649">
        <w:rPr>
          <w:rFonts w:eastAsia="Times New Roman" w:cstheme="minorHAnsi"/>
          <w:spacing w:val="-7"/>
          <w:sz w:val="24"/>
        </w:rPr>
        <w:t xml:space="preserve"> </w:t>
      </w:r>
      <w:r w:rsidRPr="004E6649">
        <w:rPr>
          <w:rFonts w:eastAsia="Times New Roman" w:cstheme="minorHAnsi"/>
          <w:spacing w:val="1"/>
          <w:sz w:val="24"/>
        </w:rPr>
        <w:t>c</w:t>
      </w:r>
      <w:r w:rsidRPr="004E6649">
        <w:rPr>
          <w:rFonts w:eastAsia="Times New Roman" w:cstheme="minorHAnsi"/>
          <w:sz w:val="24"/>
        </w:rPr>
        <w:t>u</w:t>
      </w:r>
      <w:r w:rsidRPr="004E6649">
        <w:rPr>
          <w:rFonts w:eastAsia="Times New Roman" w:cstheme="minorHAnsi"/>
          <w:spacing w:val="-1"/>
          <w:sz w:val="24"/>
        </w:rPr>
        <w:t>rr</w:t>
      </w:r>
      <w:r w:rsidRPr="004E6649">
        <w:rPr>
          <w:rFonts w:eastAsia="Times New Roman" w:cstheme="minorHAnsi"/>
          <w:sz w:val="24"/>
        </w:rPr>
        <w:t>ent</w:t>
      </w:r>
      <w:r w:rsidRPr="004E6649">
        <w:rPr>
          <w:rFonts w:eastAsia="Times New Roman" w:cstheme="minorHAnsi"/>
          <w:spacing w:val="-6"/>
          <w:sz w:val="24"/>
        </w:rPr>
        <w:t xml:space="preserve"> </w:t>
      </w:r>
      <w:r w:rsidRPr="004E6649">
        <w:rPr>
          <w:rFonts w:eastAsia="Times New Roman" w:cstheme="minorHAnsi"/>
          <w:spacing w:val="-1"/>
          <w:sz w:val="24"/>
        </w:rPr>
        <w:t>r</w:t>
      </w:r>
      <w:r w:rsidRPr="004E6649">
        <w:rPr>
          <w:rFonts w:eastAsia="Times New Roman" w:cstheme="minorHAnsi"/>
          <w:sz w:val="24"/>
        </w:rPr>
        <w:t>a</w:t>
      </w:r>
      <w:r w:rsidRPr="004E6649">
        <w:rPr>
          <w:rFonts w:eastAsia="Times New Roman" w:cstheme="minorHAnsi"/>
          <w:spacing w:val="1"/>
          <w:sz w:val="24"/>
        </w:rPr>
        <w:t>t</w:t>
      </w:r>
      <w:r w:rsidRPr="004E6649">
        <w:rPr>
          <w:rFonts w:eastAsia="Times New Roman" w:cstheme="minorHAnsi"/>
          <w:sz w:val="24"/>
        </w:rPr>
        <w:t>e.</w:t>
      </w:r>
      <w:r w:rsidRPr="004E6649">
        <w:rPr>
          <w:rFonts w:eastAsia="Times New Roman" w:cstheme="minorHAnsi"/>
          <w:sz w:val="24"/>
        </w:rPr>
        <w:fldChar w:fldCharType="begin"/>
      </w:r>
      <w:r w:rsidRPr="004E6649">
        <w:rPr>
          <w:rFonts w:eastAsia="Times New Roman" w:cstheme="minorHAnsi"/>
          <w:sz w:val="24"/>
        </w:rPr>
        <w:fldChar w:fldCharType="end"/>
      </w:r>
    </w:p>
    <w:tbl>
      <w:tblPr>
        <w:tblW w:w="9994" w:type="dxa"/>
        <w:jc w:val="center"/>
        <w:tblLayout w:type="fixed"/>
        <w:tblLook w:val="04A0" w:firstRow="1" w:lastRow="0" w:firstColumn="1" w:lastColumn="0" w:noHBand="0" w:noVBand="1"/>
      </w:tblPr>
      <w:tblGrid>
        <w:gridCol w:w="2700"/>
        <w:gridCol w:w="1170"/>
        <w:gridCol w:w="1260"/>
        <w:gridCol w:w="1262"/>
        <w:gridCol w:w="1170"/>
        <w:gridCol w:w="1170"/>
        <w:gridCol w:w="1262"/>
      </w:tblGrid>
      <w:tr w:rsidR="001B6918" w:rsidRPr="004E6649" w14:paraId="558E9CC1" w14:textId="77777777" w:rsidTr="00730ECF">
        <w:trPr>
          <w:trHeight w:val="198"/>
          <w:tblHeader/>
          <w:jc w:val="center"/>
        </w:trPr>
        <w:tc>
          <w:tcPr>
            <w:tcW w:w="2700" w:type="dxa"/>
            <w:tcBorders>
              <w:top w:val="nil"/>
              <w:left w:val="nil"/>
              <w:bottom w:val="nil"/>
              <w:right w:val="nil"/>
            </w:tcBorders>
            <w:noWrap/>
            <w:vAlign w:val="bottom"/>
            <w:hideMark/>
          </w:tcPr>
          <w:p w14:paraId="7C7B55D5" w14:textId="77777777" w:rsidR="001B6918" w:rsidRPr="004E6649" w:rsidRDefault="001B6918" w:rsidP="00730ECF">
            <w:pPr>
              <w:rPr>
                <w:rFonts w:eastAsia="Times New Roman" w:cstheme="minorHAnsi"/>
                <w:sz w:val="24"/>
                <w:szCs w:val="24"/>
              </w:rPr>
            </w:pPr>
          </w:p>
        </w:tc>
        <w:tc>
          <w:tcPr>
            <w:tcW w:w="3692" w:type="dxa"/>
            <w:gridSpan w:val="3"/>
            <w:tcBorders>
              <w:top w:val="nil"/>
              <w:left w:val="nil"/>
              <w:bottom w:val="single" w:sz="4" w:space="0" w:color="auto"/>
              <w:right w:val="nil"/>
            </w:tcBorders>
            <w:noWrap/>
            <w:vAlign w:val="bottom"/>
            <w:hideMark/>
          </w:tcPr>
          <w:p w14:paraId="2298BAC0"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June 30, 202</w:t>
            </w:r>
            <w:r>
              <w:rPr>
                <w:rFonts w:eastAsia="Times New Roman" w:cstheme="minorHAnsi"/>
                <w:b/>
                <w:bCs/>
                <w:color w:val="0D0D0D"/>
              </w:rPr>
              <w:t>5</w:t>
            </w:r>
          </w:p>
        </w:tc>
        <w:tc>
          <w:tcPr>
            <w:tcW w:w="3602" w:type="dxa"/>
            <w:gridSpan w:val="3"/>
            <w:tcBorders>
              <w:top w:val="nil"/>
              <w:left w:val="nil"/>
              <w:bottom w:val="single" w:sz="4" w:space="0" w:color="auto"/>
              <w:right w:val="nil"/>
            </w:tcBorders>
            <w:shd w:val="clear" w:color="auto" w:fill="F2F2F2" w:themeFill="background1" w:themeFillShade="F2"/>
            <w:noWrap/>
            <w:vAlign w:val="bottom"/>
            <w:hideMark/>
          </w:tcPr>
          <w:p w14:paraId="584120A7"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June 30, 202</w:t>
            </w:r>
            <w:r>
              <w:rPr>
                <w:rFonts w:eastAsia="Times New Roman" w:cstheme="minorHAnsi"/>
                <w:b/>
                <w:bCs/>
                <w:color w:val="0D0D0D"/>
              </w:rPr>
              <w:t>4</w:t>
            </w:r>
          </w:p>
        </w:tc>
      </w:tr>
      <w:tr w:rsidR="001B6918" w:rsidRPr="004E6649" w14:paraId="62D6A6D7" w14:textId="77777777" w:rsidTr="00730ECF">
        <w:trPr>
          <w:trHeight w:val="602"/>
          <w:tblHeader/>
          <w:jc w:val="center"/>
        </w:trPr>
        <w:tc>
          <w:tcPr>
            <w:tcW w:w="2700" w:type="dxa"/>
            <w:tcBorders>
              <w:top w:val="nil"/>
              <w:left w:val="nil"/>
              <w:bottom w:val="nil"/>
              <w:right w:val="nil"/>
            </w:tcBorders>
            <w:shd w:val="clear" w:color="000000" w:fill="FFFFFF"/>
            <w:noWrap/>
            <w:vAlign w:val="bottom"/>
            <w:hideMark/>
          </w:tcPr>
          <w:p w14:paraId="5B207C24" w14:textId="77777777" w:rsidR="001B6918" w:rsidRPr="004E6649" w:rsidRDefault="001B6918" w:rsidP="00730ECF">
            <w:pPr>
              <w:rPr>
                <w:rFonts w:eastAsia="Times New Roman" w:cstheme="minorHAnsi"/>
                <w:b/>
                <w:bCs/>
                <w:color w:val="0D0D0D"/>
              </w:rPr>
            </w:pPr>
            <w:r w:rsidRPr="004E6649">
              <w:rPr>
                <w:rFonts w:eastAsia="Times New Roman" w:cstheme="minorHAnsi"/>
                <w:b/>
                <w:bCs/>
                <w:color w:val="0D0D0D"/>
              </w:rPr>
              <w:t> </w:t>
            </w:r>
          </w:p>
        </w:tc>
        <w:tc>
          <w:tcPr>
            <w:tcW w:w="1170" w:type="dxa"/>
            <w:tcBorders>
              <w:top w:val="nil"/>
              <w:left w:val="nil"/>
              <w:bottom w:val="nil"/>
              <w:right w:val="nil"/>
            </w:tcBorders>
            <w:shd w:val="clear" w:color="000000" w:fill="FFFFFF"/>
            <w:vAlign w:val="bottom"/>
            <w:hideMark/>
          </w:tcPr>
          <w:p w14:paraId="08475DBA" w14:textId="77777777" w:rsidR="001B6918" w:rsidRPr="004E6649" w:rsidRDefault="001B6918" w:rsidP="00730ECF">
            <w:pPr>
              <w:jc w:val="center"/>
              <w:rPr>
                <w:rFonts w:eastAsia="Times New Roman" w:cstheme="minorHAnsi"/>
                <w:bCs/>
                <w:color w:val="0D0D0D"/>
              </w:rPr>
            </w:pPr>
            <w:r w:rsidRPr="004E6649">
              <w:rPr>
                <w:rFonts w:eastAsia="Times New Roman" w:cstheme="minorHAnsi"/>
                <w:bCs/>
                <w:color w:val="0D0D0D"/>
              </w:rPr>
              <w:t xml:space="preserve">1% Decrease </w:t>
            </w:r>
          </w:p>
        </w:tc>
        <w:tc>
          <w:tcPr>
            <w:tcW w:w="1260" w:type="dxa"/>
            <w:tcBorders>
              <w:top w:val="nil"/>
              <w:left w:val="nil"/>
              <w:bottom w:val="nil"/>
              <w:right w:val="nil"/>
            </w:tcBorders>
            <w:shd w:val="clear" w:color="000000" w:fill="FFFFFF"/>
            <w:vAlign w:val="bottom"/>
            <w:hideMark/>
          </w:tcPr>
          <w:p w14:paraId="34E36A95" w14:textId="77777777" w:rsidR="001B6918" w:rsidRPr="004E6649" w:rsidRDefault="001B6918" w:rsidP="00730ECF">
            <w:pPr>
              <w:jc w:val="center"/>
              <w:rPr>
                <w:rFonts w:eastAsia="Times New Roman" w:cstheme="minorHAnsi"/>
                <w:bCs/>
                <w:color w:val="0D0D0D"/>
              </w:rPr>
            </w:pPr>
            <w:r w:rsidRPr="004E6649">
              <w:rPr>
                <w:rFonts w:eastAsia="Times New Roman" w:cstheme="minorHAnsi"/>
                <w:bCs/>
                <w:color w:val="0D0D0D"/>
              </w:rPr>
              <w:t xml:space="preserve">Current Discount Rate </w:t>
            </w:r>
          </w:p>
        </w:tc>
        <w:tc>
          <w:tcPr>
            <w:tcW w:w="1262" w:type="dxa"/>
            <w:tcBorders>
              <w:top w:val="nil"/>
              <w:left w:val="nil"/>
              <w:bottom w:val="nil"/>
              <w:right w:val="nil"/>
            </w:tcBorders>
            <w:shd w:val="clear" w:color="000000" w:fill="FFFFFF"/>
            <w:vAlign w:val="bottom"/>
            <w:hideMark/>
          </w:tcPr>
          <w:p w14:paraId="137CB0F2" w14:textId="77777777" w:rsidR="001B6918" w:rsidRPr="004E6649" w:rsidRDefault="001B6918" w:rsidP="00730ECF">
            <w:pPr>
              <w:jc w:val="center"/>
              <w:rPr>
                <w:rFonts w:eastAsia="Times New Roman" w:cstheme="minorHAnsi"/>
                <w:bCs/>
                <w:color w:val="0D0D0D"/>
              </w:rPr>
            </w:pPr>
            <w:r w:rsidRPr="004E6649">
              <w:rPr>
                <w:rFonts w:eastAsia="Times New Roman" w:cstheme="minorHAnsi"/>
                <w:bCs/>
                <w:color w:val="0D0D0D"/>
              </w:rPr>
              <w:t xml:space="preserve">1% Increase </w:t>
            </w:r>
          </w:p>
        </w:tc>
        <w:tc>
          <w:tcPr>
            <w:tcW w:w="1170" w:type="dxa"/>
            <w:tcBorders>
              <w:top w:val="nil"/>
              <w:left w:val="nil"/>
              <w:bottom w:val="nil"/>
              <w:right w:val="nil"/>
            </w:tcBorders>
            <w:shd w:val="clear" w:color="auto" w:fill="F2F2F2" w:themeFill="background1" w:themeFillShade="F2"/>
            <w:vAlign w:val="bottom"/>
            <w:hideMark/>
          </w:tcPr>
          <w:p w14:paraId="319CED16" w14:textId="77777777" w:rsidR="001B6918" w:rsidRPr="004E6649" w:rsidRDefault="001B6918" w:rsidP="00730ECF">
            <w:pPr>
              <w:jc w:val="center"/>
              <w:rPr>
                <w:rFonts w:eastAsia="Times New Roman" w:cstheme="minorHAnsi"/>
                <w:bCs/>
                <w:color w:val="0D0D0D"/>
              </w:rPr>
            </w:pPr>
            <w:r w:rsidRPr="004E6649">
              <w:rPr>
                <w:rFonts w:eastAsia="Times New Roman" w:cstheme="minorHAnsi"/>
                <w:bCs/>
                <w:color w:val="0D0D0D"/>
              </w:rPr>
              <w:t>1%</w:t>
            </w:r>
          </w:p>
          <w:p w14:paraId="6C402F2B" w14:textId="77777777" w:rsidR="001B6918" w:rsidRPr="004E6649" w:rsidRDefault="001B6918" w:rsidP="00730ECF">
            <w:pPr>
              <w:jc w:val="center"/>
              <w:rPr>
                <w:rFonts w:eastAsia="Times New Roman" w:cstheme="minorHAnsi"/>
                <w:bCs/>
                <w:color w:val="0D0D0D"/>
              </w:rPr>
            </w:pPr>
            <w:r w:rsidRPr="004E6649">
              <w:rPr>
                <w:rFonts w:eastAsia="Times New Roman" w:cstheme="minorHAnsi"/>
                <w:bCs/>
                <w:color w:val="0D0D0D"/>
              </w:rPr>
              <w:t>Decrease</w:t>
            </w:r>
          </w:p>
        </w:tc>
        <w:tc>
          <w:tcPr>
            <w:tcW w:w="1170" w:type="dxa"/>
            <w:tcBorders>
              <w:top w:val="nil"/>
              <w:left w:val="nil"/>
              <w:bottom w:val="nil"/>
              <w:right w:val="nil"/>
            </w:tcBorders>
            <w:shd w:val="clear" w:color="auto" w:fill="F2F2F2" w:themeFill="background1" w:themeFillShade="F2"/>
            <w:vAlign w:val="bottom"/>
            <w:hideMark/>
          </w:tcPr>
          <w:p w14:paraId="755E7E14" w14:textId="77777777" w:rsidR="001B6918" w:rsidRPr="004E6649" w:rsidRDefault="001B6918" w:rsidP="00730ECF">
            <w:pPr>
              <w:jc w:val="center"/>
              <w:rPr>
                <w:rFonts w:eastAsia="Times New Roman" w:cstheme="minorHAnsi"/>
                <w:bCs/>
                <w:color w:val="0D0D0D"/>
              </w:rPr>
            </w:pPr>
            <w:r w:rsidRPr="004E6649">
              <w:rPr>
                <w:rFonts w:eastAsia="Times New Roman" w:cstheme="minorHAnsi"/>
                <w:bCs/>
                <w:color w:val="0D0D0D"/>
              </w:rPr>
              <w:t>Current Discount</w:t>
            </w:r>
          </w:p>
          <w:p w14:paraId="4517B00A" w14:textId="77777777" w:rsidR="001B6918" w:rsidRPr="004E6649" w:rsidRDefault="001B6918" w:rsidP="00730ECF">
            <w:pPr>
              <w:jc w:val="center"/>
              <w:rPr>
                <w:rFonts w:eastAsia="Times New Roman" w:cstheme="minorHAnsi"/>
                <w:bCs/>
                <w:color w:val="0D0D0D"/>
              </w:rPr>
            </w:pPr>
            <w:r w:rsidRPr="004E6649">
              <w:rPr>
                <w:rFonts w:eastAsia="Times New Roman" w:cstheme="minorHAnsi"/>
                <w:bCs/>
                <w:color w:val="0D0D0D"/>
              </w:rPr>
              <w:t>Rate</w:t>
            </w:r>
          </w:p>
        </w:tc>
        <w:tc>
          <w:tcPr>
            <w:tcW w:w="1262" w:type="dxa"/>
            <w:tcBorders>
              <w:top w:val="nil"/>
              <w:left w:val="nil"/>
              <w:bottom w:val="nil"/>
              <w:right w:val="nil"/>
            </w:tcBorders>
            <w:shd w:val="clear" w:color="auto" w:fill="F2F2F2" w:themeFill="background1" w:themeFillShade="F2"/>
            <w:vAlign w:val="bottom"/>
            <w:hideMark/>
          </w:tcPr>
          <w:p w14:paraId="38C94354" w14:textId="77777777" w:rsidR="001B6918" w:rsidRPr="004E6649" w:rsidRDefault="001B6918" w:rsidP="00730ECF">
            <w:pPr>
              <w:jc w:val="center"/>
              <w:rPr>
                <w:rFonts w:eastAsia="Times New Roman" w:cstheme="minorHAnsi"/>
                <w:bCs/>
                <w:color w:val="0D0D0D"/>
              </w:rPr>
            </w:pPr>
            <w:r w:rsidRPr="004E6649">
              <w:rPr>
                <w:rFonts w:eastAsia="Times New Roman" w:cstheme="minorHAnsi"/>
                <w:bCs/>
                <w:color w:val="0D0D0D"/>
              </w:rPr>
              <w:t>1%</w:t>
            </w:r>
          </w:p>
          <w:p w14:paraId="1C28C33C" w14:textId="77777777" w:rsidR="001B6918" w:rsidRPr="004E6649" w:rsidRDefault="001B6918" w:rsidP="00730ECF">
            <w:pPr>
              <w:jc w:val="center"/>
              <w:rPr>
                <w:rFonts w:eastAsia="Times New Roman" w:cstheme="minorHAnsi"/>
                <w:bCs/>
                <w:color w:val="0D0D0D"/>
              </w:rPr>
            </w:pPr>
            <w:r w:rsidRPr="004E6649">
              <w:rPr>
                <w:rFonts w:eastAsia="Times New Roman" w:cstheme="minorHAnsi"/>
                <w:bCs/>
                <w:color w:val="0D0D0D"/>
              </w:rPr>
              <w:t xml:space="preserve"> Increase</w:t>
            </w:r>
          </w:p>
        </w:tc>
      </w:tr>
      <w:tr w:rsidR="001B6918" w:rsidRPr="004E6649" w14:paraId="24E299BF" w14:textId="77777777" w:rsidTr="00730ECF">
        <w:trPr>
          <w:trHeight w:val="270"/>
          <w:jc w:val="center"/>
        </w:trPr>
        <w:tc>
          <w:tcPr>
            <w:tcW w:w="2700" w:type="dxa"/>
            <w:tcBorders>
              <w:top w:val="nil"/>
              <w:left w:val="nil"/>
              <w:bottom w:val="nil"/>
              <w:right w:val="nil"/>
            </w:tcBorders>
            <w:shd w:val="clear" w:color="000000" w:fill="FFFFFF"/>
            <w:noWrap/>
            <w:vAlign w:val="bottom"/>
          </w:tcPr>
          <w:p w14:paraId="5FCB8256" w14:textId="77777777" w:rsidR="001B6918" w:rsidRPr="004E6649" w:rsidRDefault="001B6918" w:rsidP="00730ECF">
            <w:pPr>
              <w:rPr>
                <w:rFonts w:eastAsia="Times New Roman" w:cstheme="minorHAnsi"/>
                <w:color w:val="0D0D0D"/>
              </w:rPr>
            </w:pPr>
          </w:p>
        </w:tc>
        <w:tc>
          <w:tcPr>
            <w:tcW w:w="1170" w:type="dxa"/>
            <w:tcBorders>
              <w:top w:val="nil"/>
              <w:left w:val="nil"/>
              <w:bottom w:val="nil"/>
              <w:right w:val="nil"/>
            </w:tcBorders>
            <w:shd w:val="clear" w:color="000000" w:fill="FFFFFF"/>
            <w:vAlign w:val="bottom"/>
          </w:tcPr>
          <w:p w14:paraId="1D53FD3A" w14:textId="77777777" w:rsidR="001B6918" w:rsidRPr="00C13EF9" w:rsidRDefault="001B6918" w:rsidP="00730ECF">
            <w:pPr>
              <w:jc w:val="right"/>
              <w:rPr>
                <w:rFonts w:eastAsia="Times New Roman" w:cstheme="minorHAnsi"/>
              </w:rPr>
            </w:pPr>
            <w:r w:rsidRPr="00C13EF9">
              <w:rPr>
                <w:rFonts w:eastAsia="Times New Roman" w:cstheme="minorHAnsi"/>
              </w:rPr>
              <w:t>(6.25%)</w:t>
            </w:r>
          </w:p>
        </w:tc>
        <w:tc>
          <w:tcPr>
            <w:tcW w:w="1260" w:type="dxa"/>
            <w:tcBorders>
              <w:top w:val="nil"/>
              <w:left w:val="nil"/>
              <w:bottom w:val="nil"/>
              <w:right w:val="nil"/>
            </w:tcBorders>
            <w:shd w:val="clear" w:color="000000" w:fill="FFFFFF"/>
            <w:vAlign w:val="bottom"/>
          </w:tcPr>
          <w:p w14:paraId="3A2667B2" w14:textId="77777777" w:rsidR="001B6918" w:rsidRPr="00C13EF9" w:rsidRDefault="001B6918" w:rsidP="00730ECF">
            <w:pPr>
              <w:jc w:val="right"/>
              <w:rPr>
                <w:rFonts w:eastAsia="Times New Roman" w:cstheme="minorHAnsi"/>
              </w:rPr>
            </w:pPr>
            <w:r w:rsidRPr="00C13EF9">
              <w:rPr>
                <w:rFonts w:eastAsia="Times New Roman" w:cstheme="minorHAnsi"/>
              </w:rPr>
              <w:t>(7.25%)</w:t>
            </w:r>
          </w:p>
        </w:tc>
        <w:tc>
          <w:tcPr>
            <w:tcW w:w="1262" w:type="dxa"/>
            <w:tcBorders>
              <w:top w:val="nil"/>
              <w:left w:val="nil"/>
              <w:bottom w:val="nil"/>
              <w:right w:val="nil"/>
            </w:tcBorders>
            <w:shd w:val="clear" w:color="000000" w:fill="FFFFFF"/>
            <w:vAlign w:val="bottom"/>
          </w:tcPr>
          <w:p w14:paraId="6E64F865" w14:textId="77777777" w:rsidR="001B6918" w:rsidRPr="00C13EF9" w:rsidRDefault="001B6918" w:rsidP="00730ECF">
            <w:pPr>
              <w:jc w:val="right"/>
              <w:rPr>
                <w:rFonts w:eastAsia="Times New Roman" w:cstheme="minorHAnsi"/>
              </w:rPr>
            </w:pPr>
            <w:r w:rsidRPr="00C13EF9">
              <w:rPr>
                <w:rFonts w:eastAsia="Times New Roman" w:cstheme="minorHAnsi"/>
              </w:rPr>
              <w:t>(8.25%)</w:t>
            </w:r>
          </w:p>
        </w:tc>
        <w:tc>
          <w:tcPr>
            <w:tcW w:w="1170" w:type="dxa"/>
            <w:tcBorders>
              <w:top w:val="nil"/>
              <w:left w:val="nil"/>
              <w:bottom w:val="nil"/>
              <w:right w:val="nil"/>
            </w:tcBorders>
            <w:shd w:val="clear" w:color="auto" w:fill="F2F2F2" w:themeFill="background1" w:themeFillShade="F2"/>
            <w:vAlign w:val="bottom"/>
          </w:tcPr>
          <w:p w14:paraId="329A27A3"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00000" w:themeColor="text1"/>
              </w:rPr>
              <w:t>(6.25%)</w:t>
            </w:r>
          </w:p>
        </w:tc>
        <w:tc>
          <w:tcPr>
            <w:tcW w:w="1170" w:type="dxa"/>
            <w:tcBorders>
              <w:top w:val="nil"/>
              <w:left w:val="nil"/>
              <w:bottom w:val="nil"/>
              <w:right w:val="nil"/>
            </w:tcBorders>
            <w:shd w:val="clear" w:color="auto" w:fill="F2F2F2" w:themeFill="background1" w:themeFillShade="F2"/>
            <w:vAlign w:val="bottom"/>
          </w:tcPr>
          <w:p w14:paraId="5EEF7640"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00000" w:themeColor="text1"/>
              </w:rPr>
              <w:t>(7.25%)</w:t>
            </w:r>
          </w:p>
        </w:tc>
        <w:tc>
          <w:tcPr>
            <w:tcW w:w="1262" w:type="dxa"/>
            <w:tcBorders>
              <w:top w:val="nil"/>
              <w:left w:val="nil"/>
              <w:bottom w:val="nil"/>
              <w:right w:val="nil"/>
            </w:tcBorders>
            <w:shd w:val="clear" w:color="auto" w:fill="F2F2F2" w:themeFill="background1" w:themeFillShade="F2"/>
            <w:vAlign w:val="bottom"/>
          </w:tcPr>
          <w:p w14:paraId="23984D85"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00000" w:themeColor="text1"/>
              </w:rPr>
              <w:t>(8.25%)</w:t>
            </w:r>
          </w:p>
        </w:tc>
      </w:tr>
      <w:tr w:rsidR="001B6918" w:rsidRPr="004E6649" w14:paraId="2218D15C" w14:textId="77777777" w:rsidTr="00730ECF">
        <w:trPr>
          <w:trHeight w:val="369"/>
          <w:jc w:val="center"/>
        </w:trPr>
        <w:tc>
          <w:tcPr>
            <w:tcW w:w="2700" w:type="dxa"/>
            <w:tcBorders>
              <w:top w:val="nil"/>
              <w:left w:val="nil"/>
              <w:bottom w:val="nil"/>
              <w:right w:val="nil"/>
            </w:tcBorders>
            <w:shd w:val="clear" w:color="000000" w:fill="FFFFFF"/>
            <w:noWrap/>
            <w:vAlign w:val="bottom"/>
            <w:hideMark/>
          </w:tcPr>
          <w:p w14:paraId="2430F13B"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Total OPEB liability</w:t>
            </w:r>
          </w:p>
        </w:tc>
        <w:tc>
          <w:tcPr>
            <w:tcW w:w="1170" w:type="dxa"/>
            <w:tcBorders>
              <w:top w:val="nil"/>
              <w:left w:val="nil"/>
              <w:bottom w:val="nil"/>
              <w:right w:val="nil"/>
            </w:tcBorders>
            <w:shd w:val="clear" w:color="000000" w:fill="FFFFFF"/>
            <w:vAlign w:val="bottom"/>
            <w:hideMark/>
          </w:tcPr>
          <w:p w14:paraId="04A32ACC" w14:textId="77777777" w:rsidR="001B6918" w:rsidRPr="00A17817" w:rsidRDefault="001B6918" w:rsidP="00730ECF">
            <w:pPr>
              <w:jc w:val="right"/>
              <w:rPr>
                <w:rFonts w:eastAsia="Times New Roman" w:cstheme="minorHAnsi"/>
              </w:rPr>
            </w:pPr>
            <w:r w:rsidRPr="00A17817">
              <w:rPr>
                <w:rFonts w:cstheme="minorHAnsi"/>
              </w:rPr>
              <w:t>$194,452</w:t>
            </w:r>
          </w:p>
        </w:tc>
        <w:tc>
          <w:tcPr>
            <w:tcW w:w="1260" w:type="dxa"/>
            <w:tcBorders>
              <w:top w:val="nil"/>
              <w:left w:val="nil"/>
              <w:bottom w:val="nil"/>
              <w:right w:val="nil"/>
            </w:tcBorders>
            <w:shd w:val="clear" w:color="000000" w:fill="FFFFFF"/>
            <w:vAlign w:val="bottom"/>
            <w:hideMark/>
          </w:tcPr>
          <w:p w14:paraId="02AD76BB" w14:textId="77777777" w:rsidR="001B6918" w:rsidRPr="00A17817" w:rsidRDefault="001B6918" w:rsidP="00730ECF">
            <w:pPr>
              <w:jc w:val="right"/>
              <w:rPr>
                <w:rFonts w:eastAsia="Times New Roman" w:cstheme="minorHAnsi"/>
              </w:rPr>
            </w:pPr>
            <w:r w:rsidRPr="00A17817">
              <w:rPr>
                <w:rFonts w:cstheme="minorHAnsi"/>
              </w:rPr>
              <w:t>$174,426</w:t>
            </w:r>
          </w:p>
        </w:tc>
        <w:tc>
          <w:tcPr>
            <w:tcW w:w="1262" w:type="dxa"/>
            <w:tcBorders>
              <w:top w:val="nil"/>
              <w:left w:val="nil"/>
              <w:bottom w:val="nil"/>
              <w:right w:val="nil"/>
            </w:tcBorders>
            <w:shd w:val="clear" w:color="000000" w:fill="FFFFFF"/>
            <w:vAlign w:val="bottom"/>
            <w:hideMark/>
          </w:tcPr>
          <w:p w14:paraId="53B09443" w14:textId="77777777" w:rsidR="001B6918" w:rsidRPr="00A17817" w:rsidRDefault="001B6918" w:rsidP="00730ECF">
            <w:pPr>
              <w:jc w:val="right"/>
              <w:rPr>
                <w:rFonts w:eastAsia="Times New Roman" w:cstheme="minorHAnsi"/>
              </w:rPr>
            </w:pPr>
            <w:r w:rsidRPr="00A17817">
              <w:rPr>
                <w:rFonts w:cstheme="minorHAnsi"/>
              </w:rPr>
              <w:t>$157,583</w:t>
            </w:r>
          </w:p>
        </w:tc>
        <w:tc>
          <w:tcPr>
            <w:tcW w:w="1170" w:type="dxa"/>
            <w:tcBorders>
              <w:top w:val="nil"/>
              <w:left w:val="nil"/>
              <w:bottom w:val="nil"/>
              <w:right w:val="nil"/>
            </w:tcBorders>
            <w:shd w:val="clear" w:color="auto" w:fill="F2F2F2" w:themeFill="background1" w:themeFillShade="F2"/>
            <w:vAlign w:val="bottom"/>
            <w:hideMark/>
          </w:tcPr>
          <w:p w14:paraId="3834AE40" w14:textId="77777777" w:rsidR="001B6918" w:rsidRPr="004E6649" w:rsidRDefault="001B6918" w:rsidP="00730ECF">
            <w:pPr>
              <w:jc w:val="right"/>
              <w:rPr>
                <w:rFonts w:eastAsia="Times New Roman" w:cstheme="minorHAnsi"/>
                <w:color w:val="0D0D0D"/>
              </w:rPr>
            </w:pPr>
            <w:r w:rsidRPr="004E6649">
              <w:rPr>
                <w:rFonts w:cstheme="minorHAnsi"/>
                <w:color w:val="000000" w:themeColor="text1"/>
              </w:rPr>
              <w:t>$</w:t>
            </w:r>
            <w:r>
              <w:rPr>
                <w:rFonts w:cstheme="minorHAnsi"/>
                <w:color w:val="000000" w:themeColor="text1"/>
              </w:rPr>
              <w:t>178,566</w:t>
            </w:r>
            <w:r w:rsidRPr="004E6649">
              <w:rPr>
                <w:rFonts w:cstheme="minorHAnsi"/>
                <w:color w:val="000000" w:themeColor="text1"/>
              </w:rPr>
              <w:t xml:space="preserve"> </w:t>
            </w:r>
          </w:p>
        </w:tc>
        <w:tc>
          <w:tcPr>
            <w:tcW w:w="1170" w:type="dxa"/>
            <w:tcBorders>
              <w:top w:val="nil"/>
              <w:left w:val="nil"/>
              <w:bottom w:val="nil"/>
              <w:right w:val="nil"/>
            </w:tcBorders>
            <w:shd w:val="clear" w:color="auto" w:fill="F2F2F2" w:themeFill="background1" w:themeFillShade="F2"/>
            <w:vAlign w:val="bottom"/>
            <w:hideMark/>
          </w:tcPr>
          <w:p w14:paraId="580DAAE9" w14:textId="77777777" w:rsidR="001B6918" w:rsidRPr="004E6649" w:rsidRDefault="001B6918" w:rsidP="00730ECF">
            <w:pPr>
              <w:jc w:val="right"/>
              <w:rPr>
                <w:rFonts w:eastAsia="Times New Roman" w:cstheme="minorHAnsi"/>
                <w:color w:val="0D0D0D"/>
              </w:rPr>
            </w:pPr>
            <w:r w:rsidRPr="004E6649">
              <w:rPr>
                <w:rFonts w:cstheme="minorHAnsi"/>
                <w:color w:val="000000" w:themeColor="text1"/>
              </w:rPr>
              <w:t>$</w:t>
            </w:r>
            <w:r>
              <w:rPr>
                <w:rFonts w:cstheme="minorHAnsi"/>
                <w:color w:val="000000" w:themeColor="text1"/>
              </w:rPr>
              <w:t>161,558</w:t>
            </w:r>
            <w:r w:rsidRPr="004E6649">
              <w:rPr>
                <w:rFonts w:cstheme="minorHAnsi"/>
                <w:color w:val="000000" w:themeColor="text1"/>
              </w:rPr>
              <w:t xml:space="preserve"> </w:t>
            </w:r>
          </w:p>
        </w:tc>
        <w:tc>
          <w:tcPr>
            <w:tcW w:w="1262" w:type="dxa"/>
            <w:tcBorders>
              <w:top w:val="nil"/>
              <w:left w:val="nil"/>
              <w:bottom w:val="nil"/>
              <w:right w:val="nil"/>
            </w:tcBorders>
            <w:shd w:val="clear" w:color="auto" w:fill="F2F2F2" w:themeFill="background1" w:themeFillShade="F2"/>
            <w:vAlign w:val="bottom"/>
            <w:hideMark/>
          </w:tcPr>
          <w:p w14:paraId="1F62886F" w14:textId="77777777" w:rsidR="001B6918" w:rsidRPr="004E6649" w:rsidRDefault="001B6918" w:rsidP="00730ECF">
            <w:pPr>
              <w:jc w:val="right"/>
              <w:rPr>
                <w:rFonts w:eastAsia="Times New Roman" w:cstheme="minorHAnsi"/>
                <w:color w:val="0D0D0D"/>
              </w:rPr>
            </w:pPr>
            <w:r w:rsidRPr="004E6649">
              <w:rPr>
                <w:rFonts w:cstheme="minorHAnsi"/>
                <w:color w:val="000000" w:themeColor="text1"/>
              </w:rPr>
              <w:t xml:space="preserve"> $</w:t>
            </w:r>
            <w:r>
              <w:rPr>
                <w:rFonts w:cstheme="minorHAnsi"/>
                <w:color w:val="000000" w:themeColor="text1"/>
              </w:rPr>
              <w:t>147,134</w:t>
            </w:r>
            <w:r w:rsidRPr="004E6649">
              <w:rPr>
                <w:rFonts w:cstheme="minorHAnsi"/>
                <w:color w:val="000000" w:themeColor="text1"/>
              </w:rPr>
              <w:t xml:space="preserve"> </w:t>
            </w:r>
          </w:p>
        </w:tc>
      </w:tr>
      <w:tr w:rsidR="001B6918" w:rsidRPr="004E6649" w14:paraId="65C02353" w14:textId="77777777" w:rsidTr="00730ECF">
        <w:trPr>
          <w:trHeight w:val="80"/>
          <w:jc w:val="center"/>
        </w:trPr>
        <w:tc>
          <w:tcPr>
            <w:tcW w:w="2700" w:type="dxa"/>
            <w:tcBorders>
              <w:top w:val="nil"/>
              <w:left w:val="nil"/>
              <w:bottom w:val="single" w:sz="8" w:space="0" w:color="000000" w:themeColor="text1"/>
              <w:right w:val="nil"/>
            </w:tcBorders>
            <w:shd w:val="clear" w:color="000000" w:fill="FFFFFF"/>
            <w:noWrap/>
            <w:vAlign w:val="bottom"/>
            <w:hideMark/>
          </w:tcPr>
          <w:p w14:paraId="2D247164" w14:textId="77777777" w:rsidR="001B6918" w:rsidRPr="004E6649" w:rsidRDefault="001B6918" w:rsidP="00730ECF">
            <w:pPr>
              <w:rPr>
                <w:rFonts w:eastAsia="Times New Roman" w:cstheme="minorHAnsi"/>
                <w:color w:val="0D0D0D"/>
              </w:rPr>
            </w:pPr>
            <w:r>
              <w:rPr>
                <w:rFonts w:eastAsia="Times New Roman" w:cstheme="minorHAnsi"/>
                <w:color w:val="0D0D0D"/>
              </w:rPr>
              <w:t xml:space="preserve">Less: </w:t>
            </w:r>
            <w:r w:rsidRPr="004E6649">
              <w:rPr>
                <w:rFonts w:eastAsia="Times New Roman" w:cstheme="minorHAnsi"/>
                <w:color w:val="0D0D0D"/>
              </w:rPr>
              <w:t>Fiduciary net position</w:t>
            </w:r>
          </w:p>
        </w:tc>
        <w:tc>
          <w:tcPr>
            <w:tcW w:w="1170" w:type="dxa"/>
            <w:tcBorders>
              <w:top w:val="nil"/>
              <w:left w:val="nil"/>
              <w:bottom w:val="single" w:sz="8" w:space="0" w:color="000000" w:themeColor="text1"/>
              <w:right w:val="nil"/>
            </w:tcBorders>
            <w:shd w:val="clear" w:color="000000" w:fill="FFFFFF"/>
            <w:vAlign w:val="bottom"/>
            <w:hideMark/>
          </w:tcPr>
          <w:p w14:paraId="6A1EE14B" w14:textId="77777777" w:rsidR="001B6918" w:rsidRPr="00A17817" w:rsidRDefault="001B6918" w:rsidP="00730ECF">
            <w:pPr>
              <w:jc w:val="right"/>
              <w:rPr>
                <w:rFonts w:eastAsia="Times New Roman" w:cstheme="minorHAnsi"/>
              </w:rPr>
            </w:pPr>
            <w:r w:rsidRPr="00A17817">
              <w:rPr>
                <w:rFonts w:cstheme="minorHAnsi"/>
              </w:rPr>
              <w:t xml:space="preserve">  215,091</w:t>
            </w:r>
          </w:p>
        </w:tc>
        <w:tc>
          <w:tcPr>
            <w:tcW w:w="1260" w:type="dxa"/>
            <w:tcBorders>
              <w:top w:val="nil"/>
              <w:left w:val="nil"/>
              <w:bottom w:val="single" w:sz="8" w:space="0" w:color="000000" w:themeColor="text1"/>
              <w:right w:val="nil"/>
            </w:tcBorders>
            <w:shd w:val="clear" w:color="000000" w:fill="FFFFFF"/>
            <w:vAlign w:val="bottom"/>
            <w:hideMark/>
          </w:tcPr>
          <w:p w14:paraId="3DB5DD87" w14:textId="77777777" w:rsidR="001B6918" w:rsidRPr="00A17817" w:rsidRDefault="001B6918" w:rsidP="00730ECF">
            <w:pPr>
              <w:jc w:val="right"/>
              <w:rPr>
                <w:rFonts w:eastAsia="Times New Roman" w:cstheme="minorHAnsi"/>
              </w:rPr>
            </w:pPr>
            <w:r w:rsidRPr="00A17817">
              <w:rPr>
                <w:rFonts w:cstheme="minorHAnsi"/>
              </w:rPr>
              <w:t>215,091</w:t>
            </w:r>
          </w:p>
        </w:tc>
        <w:tc>
          <w:tcPr>
            <w:tcW w:w="1262" w:type="dxa"/>
            <w:tcBorders>
              <w:top w:val="nil"/>
              <w:left w:val="nil"/>
              <w:bottom w:val="single" w:sz="8" w:space="0" w:color="000000" w:themeColor="text1"/>
              <w:right w:val="nil"/>
            </w:tcBorders>
            <w:shd w:val="clear" w:color="000000" w:fill="FFFFFF"/>
            <w:vAlign w:val="bottom"/>
            <w:hideMark/>
          </w:tcPr>
          <w:p w14:paraId="0500515F" w14:textId="77777777" w:rsidR="001B6918" w:rsidRPr="00A17817" w:rsidRDefault="001B6918" w:rsidP="00730ECF">
            <w:pPr>
              <w:jc w:val="right"/>
              <w:rPr>
                <w:rFonts w:eastAsia="Times New Roman" w:cstheme="minorHAnsi"/>
              </w:rPr>
            </w:pPr>
            <w:r w:rsidRPr="00A17817">
              <w:rPr>
                <w:rFonts w:cstheme="minorHAnsi"/>
              </w:rPr>
              <w:t>215,091</w:t>
            </w:r>
          </w:p>
        </w:tc>
        <w:tc>
          <w:tcPr>
            <w:tcW w:w="1170" w:type="dxa"/>
            <w:tcBorders>
              <w:top w:val="nil"/>
              <w:left w:val="nil"/>
              <w:bottom w:val="single" w:sz="8" w:space="0" w:color="000000" w:themeColor="text1"/>
              <w:right w:val="nil"/>
            </w:tcBorders>
            <w:shd w:val="clear" w:color="auto" w:fill="F2F2F2" w:themeFill="background1" w:themeFillShade="F2"/>
            <w:vAlign w:val="bottom"/>
            <w:hideMark/>
          </w:tcPr>
          <w:p w14:paraId="783E6E5E" w14:textId="77777777" w:rsidR="001B6918" w:rsidRPr="004E6649" w:rsidRDefault="001B6918" w:rsidP="00730ECF">
            <w:pPr>
              <w:jc w:val="right"/>
              <w:rPr>
                <w:rFonts w:eastAsia="Times New Roman" w:cstheme="minorHAnsi"/>
                <w:color w:val="0D0D0D"/>
              </w:rPr>
            </w:pPr>
            <w:r w:rsidRPr="004E6649">
              <w:rPr>
                <w:rFonts w:cstheme="minorHAnsi"/>
                <w:color w:val="000000" w:themeColor="text1"/>
              </w:rPr>
              <w:t xml:space="preserve"> </w:t>
            </w:r>
            <w:r>
              <w:rPr>
                <w:rFonts w:cstheme="minorHAnsi"/>
                <w:color w:val="000000" w:themeColor="text1"/>
              </w:rPr>
              <w:t>195,991</w:t>
            </w:r>
            <w:r w:rsidRPr="004E6649">
              <w:rPr>
                <w:rFonts w:cstheme="minorHAnsi"/>
                <w:color w:val="000000" w:themeColor="text1"/>
              </w:rPr>
              <w:t xml:space="preserve"> </w:t>
            </w:r>
          </w:p>
        </w:tc>
        <w:tc>
          <w:tcPr>
            <w:tcW w:w="1170" w:type="dxa"/>
            <w:tcBorders>
              <w:top w:val="nil"/>
              <w:left w:val="nil"/>
              <w:bottom w:val="single" w:sz="8" w:space="0" w:color="000000" w:themeColor="text1"/>
              <w:right w:val="nil"/>
            </w:tcBorders>
            <w:shd w:val="clear" w:color="auto" w:fill="F2F2F2" w:themeFill="background1" w:themeFillShade="F2"/>
            <w:vAlign w:val="bottom"/>
            <w:hideMark/>
          </w:tcPr>
          <w:p w14:paraId="0E1D0995" w14:textId="77777777" w:rsidR="001B6918" w:rsidRPr="004E6649" w:rsidRDefault="001B6918" w:rsidP="00730ECF">
            <w:pPr>
              <w:jc w:val="right"/>
              <w:rPr>
                <w:rFonts w:eastAsia="Times New Roman" w:cstheme="minorHAnsi"/>
                <w:color w:val="0D0D0D"/>
              </w:rPr>
            </w:pPr>
            <w:r w:rsidRPr="004E6649">
              <w:rPr>
                <w:rFonts w:cstheme="minorHAnsi"/>
                <w:color w:val="000000" w:themeColor="text1"/>
              </w:rPr>
              <w:t xml:space="preserve"> </w:t>
            </w:r>
            <w:r>
              <w:rPr>
                <w:rFonts w:cstheme="minorHAnsi"/>
                <w:color w:val="000000" w:themeColor="text1"/>
              </w:rPr>
              <w:t>195,991</w:t>
            </w:r>
            <w:r w:rsidRPr="004E6649">
              <w:rPr>
                <w:rFonts w:cstheme="minorHAnsi"/>
                <w:color w:val="000000" w:themeColor="text1"/>
              </w:rPr>
              <w:t xml:space="preserve"> </w:t>
            </w:r>
          </w:p>
        </w:tc>
        <w:tc>
          <w:tcPr>
            <w:tcW w:w="1262" w:type="dxa"/>
            <w:tcBorders>
              <w:top w:val="nil"/>
              <w:left w:val="nil"/>
              <w:bottom w:val="single" w:sz="8" w:space="0" w:color="000000" w:themeColor="text1"/>
              <w:right w:val="nil"/>
            </w:tcBorders>
            <w:shd w:val="clear" w:color="auto" w:fill="F2F2F2" w:themeFill="background1" w:themeFillShade="F2"/>
            <w:vAlign w:val="bottom"/>
            <w:hideMark/>
          </w:tcPr>
          <w:p w14:paraId="0B054F4E" w14:textId="77777777" w:rsidR="001B6918" w:rsidRPr="004E6649" w:rsidRDefault="001B6918" w:rsidP="00730ECF">
            <w:pPr>
              <w:jc w:val="right"/>
              <w:rPr>
                <w:rFonts w:eastAsia="Times New Roman" w:cstheme="minorHAnsi"/>
                <w:color w:val="0D0D0D"/>
              </w:rPr>
            </w:pPr>
            <w:r w:rsidRPr="004E6649">
              <w:rPr>
                <w:rFonts w:cstheme="minorHAnsi"/>
                <w:color w:val="000000" w:themeColor="text1"/>
              </w:rPr>
              <w:t xml:space="preserve"> </w:t>
            </w:r>
            <w:r>
              <w:rPr>
                <w:rFonts w:cstheme="minorHAnsi"/>
                <w:color w:val="000000" w:themeColor="text1"/>
              </w:rPr>
              <w:t>195,991</w:t>
            </w:r>
            <w:r w:rsidRPr="004E6649">
              <w:rPr>
                <w:rFonts w:cstheme="minorHAnsi"/>
                <w:color w:val="000000" w:themeColor="text1"/>
              </w:rPr>
              <w:t xml:space="preserve"> </w:t>
            </w:r>
          </w:p>
        </w:tc>
      </w:tr>
      <w:tr w:rsidR="001B6918" w:rsidRPr="004E6649" w14:paraId="0202857A" w14:textId="77777777" w:rsidTr="00730ECF">
        <w:trPr>
          <w:trHeight w:val="50"/>
          <w:jc w:val="center"/>
        </w:trPr>
        <w:tc>
          <w:tcPr>
            <w:tcW w:w="2700" w:type="dxa"/>
            <w:tcBorders>
              <w:top w:val="single" w:sz="8" w:space="0" w:color="000000" w:themeColor="text1"/>
              <w:left w:val="nil"/>
              <w:bottom w:val="double" w:sz="4" w:space="0" w:color="000000" w:themeColor="text1"/>
              <w:right w:val="nil"/>
            </w:tcBorders>
            <w:shd w:val="clear" w:color="000000" w:fill="FFFFFF"/>
            <w:noWrap/>
            <w:vAlign w:val="bottom"/>
            <w:hideMark/>
          </w:tcPr>
          <w:p w14:paraId="171805A4"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Net OPEB liability (asset)</w:t>
            </w:r>
          </w:p>
        </w:tc>
        <w:tc>
          <w:tcPr>
            <w:tcW w:w="1170" w:type="dxa"/>
            <w:tcBorders>
              <w:top w:val="single" w:sz="8" w:space="0" w:color="000000" w:themeColor="text1"/>
              <w:left w:val="nil"/>
              <w:bottom w:val="double" w:sz="4" w:space="0" w:color="000000" w:themeColor="text1"/>
              <w:right w:val="nil"/>
            </w:tcBorders>
            <w:shd w:val="clear" w:color="000000" w:fill="FFFFFF"/>
            <w:noWrap/>
            <w:vAlign w:val="bottom"/>
            <w:hideMark/>
          </w:tcPr>
          <w:p w14:paraId="0F9D19EE" w14:textId="77777777" w:rsidR="001B6918" w:rsidRPr="00A17817" w:rsidRDefault="001B6918" w:rsidP="00730ECF">
            <w:pPr>
              <w:jc w:val="right"/>
              <w:rPr>
                <w:rFonts w:eastAsia="Times New Roman" w:cstheme="minorHAnsi"/>
              </w:rPr>
            </w:pPr>
            <w:r w:rsidRPr="00A17817">
              <w:rPr>
                <w:rFonts w:cstheme="minorHAnsi"/>
              </w:rPr>
              <w:t xml:space="preserve"> $(20</w:t>
            </w:r>
            <w:r>
              <w:rPr>
                <w:rFonts w:cstheme="minorHAnsi"/>
              </w:rPr>
              <w:t>,</w:t>
            </w:r>
            <w:r w:rsidRPr="00A17817">
              <w:rPr>
                <w:rFonts w:cstheme="minorHAnsi"/>
              </w:rPr>
              <w:t>639)</w:t>
            </w:r>
          </w:p>
        </w:tc>
        <w:tc>
          <w:tcPr>
            <w:tcW w:w="1260" w:type="dxa"/>
            <w:tcBorders>
              <w:top w:val="single" w:sz="8" w:space="0" w:color="000000" w:themeColor="text1"/>
              <w:left w:val="nil"/>
              <w:bottom w:val="double" w:sz="4" w:space="0" w:color="000000" w:themeColor="text1"/>
              <w:right w:val="nil"/>
            </w:tcBorders>
            <w:shd w:val="clear" w:color="000000" w:fill="FFFFFF"/>
            <w:noWrap/>
            <w:vAlign w:val="bottom"/>
            <w:hideMark/>
          </w:tcPr>
          <w:p w14:paraId="18F87F87" w14:textId="77777777" w:rsidR="001B6918" w:rsidRPr="00A17817" w:rsidRDefault="001B6918" w:rsidP="00730ECF">
            <w:pPr>
              <w:jc w:val="right"/>
              <w:rPr>
                <w:rFonts w:eastAsia="Times New Roman" w:cstheme="minorHAnsi"/>
              </w:rPr>
            </w:pPr>
            <w:r w:rsidRPr="00A17817">
              <w:rPr>
                <w:rFonts w:cstheme="minorHAnsi"/>
              </w:rPr>
              <w:t>$(40,6</w:t>
            </w:r>
            <w:r>
              <w:rPr>
                <w:rFonts w:cstheme="minorHAnsi"/>
              </w:rPr>
              <w:t>6</w:t>
            </w:r>
            <w:r w:rsidRPr="00A17817">
              <w:rPr>
                <w:rFonts w:cstheme="minorHAnsi"/>
              </w:rPr>
              <w:t>5)</w:t>
            </w:r>
          </w:p>
        </w:tc>
        <w:tc>
          <w:tcPr>
            <w:tcW w:w="1262" w:type="dxa"/>
            <w:tcBorders>
              <w:top w:val="single" w:sz="8" w:space="0" w:color="000000" w:themeColor="text1"/>
              <w:left w:val="nil"/>
              <w:bottom w:val="double" w:sz="4" w:space="0" w:color="000000" w:themeColor="text1"/>
              <w:right w:val="nil"/>
            </w:tcBorders>
            <w:shd w:val="clear" w:color="000000" w:fill="FFFFFF"/>
            <w:noWrap/>
            <w:vAlign w:val="bottom"/>
            <w:hideMark/>
          </w:tcPr>
          <w:p w14:paraId="10411D23" w14:textId="77777777" w:rsidR="001B6918" w:rsidRPr="00A17817" w:rsidRDefault="001B6918" w:rsidP="00730ECF">
            <w:pPr>
              <w:jc w:val="right"/>
              <w:rPr>
                <w:rFonts w:eastAsia="Times New Roman" w:cstheme="minorHAnsi"/>
              </w:rPr>
            </w:pPr>
            <w:r w:rsidRPr="00A17817">
              <w:rPr>
                <w:rFonts w:cstheme="minorHAnsi"/>
              </w:rPr>
              <w:t xml:space="preserve"> $(57,508)</w:t>
            </w:r>
          </w:p>
        </w:tc>
        <w:tc>
          <w:tcPr>
            <w:tcW w:w="1170" w:type="dxa"/>
            <w:tcBorders>
              <w:top w:val="single" w:sz="8" w:space="0" w:color="000000" w:themeColor="text1"/>
              <w:left w:val="nil"/>
              <w:bottom w:val="double" w:sz="4" w:space="0" w:color="000000" w:themeColor="text1"/>
              <w:right w:val="nil"/>
            </w:tcBorders>
            <w:shd w:val="clear" w:color="auto" w:fill="F2F2F2" w:themeFill="background1" w:themeFillShade="F2"/>
            <w:noWrap/>
            <w:vAlign w:val="bottom"/>
            <w:hideMark/>
          </w:tcPr>
          <w:p w14:paraId="2D0778F2" w14:textId="77777777" w:rsidR="001B6918" w:rsidRPr="004E6649" w:rsidRDefault="001B6918" w:rsidP="00730ECF">
            <w:pPr>
              <w:jc w:val="right"/>
              <w:rPr>
                <w:rFonts w:eastAsia="Times New Roman" w:cstheme="minorHAnsi"/>
                <w:color w:val="0D0D0D"/>
              </w:rPr>
            </w:pPr>
            <w:r w:rsidRPr="004E6649">
              <w:rPr>
                <w:rFonts w:cstheme="minorHAnsi"/>
                <w:color w:val="000000" w:themeColor="text1"/>
              </w:rPr>
              <w:t xml:space="preserve"> $(</w:t>
            </w:r>
            <w:r>
              <w:rPr>
                <w:rFonts w:cstheme="minorHAnsi"/>
                <w:color w:val="000000" w:themeColor="text1"/>
              </w:rPr>
              <w:t>17,425</w:t>
            </w:r>
            <w:r w:rsidRPr="004E6649">
              <w:rPr>
                <w:rFonts w:cstheme="minorHAnsi"/>
                <w:color w:val="000000" w:themeColor="text1"/>
              </w:rPr>
              <w:t>)</w:t>
            </w:r>
          </w:p>
        </w:tc>
        <w:tc>
          <w:tcPr>
            <w:tcW w:w="1170" w:type="dxa"/>
            <w:tcBorders>
              <w:top w:val="single" w:sz="8" w:space="0" w:color="000000" w:themeColor="text1"/>
              <w:left w:val="nil"/>
              <w:bottom w:val="double" w:sz="4" w:space="0" w:color="000000" w:themeColor="text1"/>
              <w:right w:val="nil"/>
            </w:tcBorders>
            <w:shd w:val="clear" w:color="auto" w:fill="F2F2F2" w:themeFill="background1" w:themeFillShade="F2"/>
            <w:noWrap/>
            <w:vAlign w:val="bottom"/>
            <w:hideMark/>
          </w:tcPr>
          <w:p w14:paraId="12B79C5B" w14:textId="77777777" w:rsidR="001B6918" w:rsidRPr="004E6649" w:rsidRDefault="001B6918" w:rsidP="00730ECF">
            <w:pPr>
              <w:jc w:val="right"/>
              <w:rPr>
                <w:rFonts w:eastAsia="Times New Roman" w:cstheme="minorHAnsi"/>
                <w:color w:val="0D0D0D"/>
              </w:rPr>
            </w:pPr>
            <w:r w:rsidRPr="004E6649">
              <w:rPr>
                <w:rFonts w:cstheme="minorHAnsi"/>
                <w:color w:val="000000" w:themeColor="text1"/>
              </w:rPr>
              <w:t>$(</w:t>
            </w:r>
            <w:r>
              <w:rPr>
                <w:rFonts w:cstheme="minorHAnsi"/>
                <w:color w:val="000000" w:themeColor="text1"/>
              </w:rPr>
              <w:t>34,433</w:t>
            </w:r>
            <w:r w:rsidRPr="004E6649">
              <w:rPr>
                <w:rFonts w:cstheme="minorHAnsi"/>
                <w:color w:val="000000" w:themeColor="text1"/>
              </w:rPr>
              <w:t>)</w:t>
            </w:r>
          </w:p>
        </w:tc>
        <w:tc>
          <w:tcPr>
            <w:tcW w:w="1262" w:type="dxa"/>
            <w:tcBorders>
              <w:top w:val="single" w:sz="8" w:space="0" w:color="000000" w:themeColor="text1"/>
              <w:left w:val="nil"/>
              <w:bottom w:val="double" w:sz="4" w:space="0" w:color="000000" w:themeColor="text1"/>
              <w:right w:val="nil"/>
            </w:tcBorders>
            <w:shd w:val="clear" w:color="auto" w:fill="F2F2F2" w:themeFill="background1" w:themeFillShade="F2"/>
            <w:noWrap/>
            <w:vAlign w:val="bottom"/>
            <w:hideMark/>
          </w:tcPr>
          <w:p w14:paraId="28F60AA1" w14:textId="77777777" w:rsidR="001B6918" w:rsidRPr="004E6649" w:rsidRDefault="001B6918" w:rsidP="00730ECF">
            <w:pPr>
              <w:jc w:val="right"/>
              <w:rPr>
                <w:rFonts w:eastAsia="Times New Roman" w:cstheme="minorHAnsi"/>
                <w:color w:val="0D0D0D"/>
              </w:rPr>
            </w:pPr>
            <w:r w:rsidRPr="004E6649">
              <w:rPr>
                <w:rFonts w:cstheme="minorHAnsi"/>
                <w:color w:val="000000" w:themeColor="text1"/>
              </w:rPr>
              <w:t xml:space="preserve"> $(</w:t>
            </w:r>
            <w:r>
              <w:rPr>
                <w:rFonts w:cstheme="minorHAnsi"/>
                <w:color w:val="000000" w:themeColor="text1"/>
              </w:rPr>
              <w:t>48,857</w:t>
            </w:r>
            <w:r w:rsidRPr="004E6649">
              <w:rPr>
                <w:rFonts w:cstheme="minorHAnsi"/>
                <w:color w:val="000000" w:themeColor="text1"/>
              </w:rPr>
              <w:t>)</w:t>
            </w:r>
          </w:p>
        </w:tc>
      </w:tr>
    </w:tbl>
    <w:p w14:paraId="35C75BA2" w14:textId="77777777" w:rsidR="001B6918" w:rsidRPr="004E6649" w:rsidRDefault="001B6918" w:rsidP="001B6918">
      <w:pPr>
        <w:tabs>
          <w:tab w:val="left" w:pos="900"/>
        </w:tabs>
        <w:spacing w:before="240" w:after="160"/>
        <w:ind w:right="-7"/>
        <w:rPr>
          <w:rFonts w:cstheme="minorHAnsi"/>
          <w:color w:val="222222"/>
          <w:sz w:val="24"/>
          <w:shd w:val="clear" w:color="auto" w:fill="FFFFFF"/>
        </w:rPr>
      </w:pPr>
      <w:r w:rsidRPr="004E6649">
        <w:rPr>
          <w:rFonts w:eastAsia="Franklin Gothic Book" w:cstheme="minorHAnsi"/>
          <w:b/>
          <w:i/>
          <w:spacing w:val="-2"/>
          <w:sz w:val="24"/>
        </w:rPr>
        <w:t>S</w:t>
      </w:r>
      <w:r w:rsidRPr="004E6649">
        <w:rPr>
          <w:rFonts w:eastAsia="Franklin Gothic Book" w:cstheme="minorHAnsi"/>
          <w:b/>
          <w:i/>
          <w:sz w:val="24"/>
        </w:rPr>
        <w:t>e</w:t>
      </w:r>
      <w:r w:rsidRPr="004E6649">
        <w:rPr>
          <w:rFonts w:eastAsia="Franklin Gothic Book" w:cstheme="minorHAnsi"/>
          <w:b/>
          <w:i/>
          <w:spacing w:val="-2"/>
          <w:sz w:val="24"/>
        </w:rPr>
        <w:t>n</w:t>
      </w:r>
      <w:r w:rsidRPr="004E6649">
        <w:rPr>
          <w:rFonts w:eastAsia="Franklin Gothic Book" w:cstheme="minorHAnsi"/>
          <w:b/>
          <w:i/>
          <w:spacing w:val="-1"/>
          <w:sz w:val="24"/>
        </w:rPr>
        <w:t>s</w:t>
      </w:r>
      <w:r w:rsidRPr="004E6649">
        <w:rPr>
          <w:rFonts w:eastAsia="Franklin Gothic Book" w:cstheme="minorHAnsi"/>
          <w:b/>
          <w:i/>
          <w:sz w:val="24"/>
        </w:rPr>
        <w:t>i</w:t>
      </w:r>
      <w:r w:rsidRPr="004E6649">
        <w:rPr>
          <w:rFonts w:eastAsia="Franklin Gothic Book" w:cstheme="minorHAnsi"/>
          <w:b/>
          <w:i/>
          <w:spacing w:val="-2"/>
          <w:sz w:val="24"/>
        </w:rPr>
        <w:t>t</w:t>
      </w:r>
      <w:r w:rsidRPr="004E6649">
        <w:rPr>
          <w:rFonts w:eastAsia="Franklin Gothic Book" w:cstheme="minorHAnsi"/>
          <w:b/>
          <w:i/>
          <w:sz w:val="24"/>
        </w:rPr>
        <w:t>ivi</w:t>
      </w:r>
      <w:r w:rsidRPr="004E6649">
        <w:rPr>
          <w:rFonts w:eastAsia="Franklin Gothic Book" w:cstheme="minorHAnsi"/>
          <w:b/>
          <w:i/>
          <w:spacing w:val="-1"/>
          <w:sz w:val="24"/>
        </w:rPr>
        <w:t>t</w:t>
      </w:r>
      <w:r w:rsidRPr="004E6649">
        <w:rPr>
          <w:rFonts w:eastAsia="Franklin Gothic Book" w:cstheme="minorHAnsi"/>
          <w:b/>
          <w:i/>
          <w:sz w:val="24"/>
        </w:rPr>
        <w:t>y</w:t>
      </w:r>
      <w:r w:rsidRPr="004E6649">
        <w:rPr>
          <w:rFonts w:eastAsia="Franklin Gothic Book" w:cstheme="minorHAnsi"/>
          <w:b/>
          <w:i/>
          <w:spacing w:val="-6"/>
          <w:sz w:val="24"/>
        </w:rPr>
        <w:t xml:space="preserve"> </w:t>
      </w:r>
      <w:r w:rsidRPr="004E6649">
        <w:rPr>
          <w:rFonts w:eastAsia="Franklin Gothic Book" w:cstheme="minorHAnsi"/>
          <w:b/>
          <w:i/>
          <w:sz w:val="24"/>
        </w:rPr>
        <w:t>of</w:t>
      </w:r>
      <w:r w:rsidRPr="004E6649">
        <w:rPr>
          <w:rFonts w:eastAsia="Franklin Gothic Book" w:cstheme="minorHAnsi"/>
          <w:b/>
          <w:i/>
          <w:spacing w:val="-6"/>
          <w:sz w:val="24"/>
        </w:rPr>
        <w:t xml:space="preserve"> </w:t>
      </w:r>
      <w:r w:rsidRPr="004E6649">
        <w:rPr>
          <w:rFonts w:eastAsia="Franklin Gothic Book" w:cstheme="minorHAnsi"/>
          <w:b/>
          <w:i/>
          <w:spacing w:val="-1"/>
          <w:sz w:val="24"/>
        </w:rPr>
        <w:t>t</w:t>
      </w:r>
      <w:r w:rsidRPr="004E6649">
        <w:rPr>
          <w:rFonts w:eastAsia="Franklin Gothic Book" w:cstheme="minorHAnsi"/>
          <w:b/>
          <w:i/>
          <w:sz w:val="24"/>
        </w:rPr>
        <w:t>he</w:t>
      </w:r>
      <w:r w:rsidRPr="004E6649">
        <w:rPr>
          <w:rFonts w:eastAsia="Franklin Gothic Book" w:cstheme="minorHAnsi"/>
          <w:b/>
          <w:i/>
          <w:spacing w:val="-6"/>
          <w:sz w:val="24"/>
        </w:rPr>
        <w:t xml:space="preserve"> </w:t>
      </w:r>
      <w:r w:rsidRPr="004E6649">
        <w:rPr>
          <w:rFonts w:eastAsia="Franklin Gothic Book" w:cstheme="minorHAnsi"/>
          <w:b/>
          <w:i/>
          <w:spacing w:val="-2"/>
          <w:sz w:val="24"/>
        </w:rPr>
        <w:t>n</w:t>
      </w:r>
      <w:r w:rsidRPr="004E6649">
        <w:rPr>
          <w:rFonts w:eastAsia="Franklin Gothic Book" w:cstheme="minorHAnsi"/>
          <w:b/>
          <w:i/>
          <w:sz w:val="24"/>
        </w:rPr>
        <w:t>et</w:t>
      </w:r>
      <w:r w:rsidRPr="004E6649">
        <w:rPr>
          <w:rFonts w:eastAsia="Franklin Gothic Book" w:cstheme="minorHAnsi"/>
          <w:b/>
          <w:i/>
          <w:spacing w:val="-7"/>
          <w:sz w:val="24"/>
        </w:rPr>
        <w:t xml:space="preserve"> </w:t>
      </w:r>
      <w:r w:rsidRPr="004E6649">
        <w:rPr>
          <w:rFonts w:eastAsia="Franklin Gothic Book" w:cstheme="minorHAnsi"/>
          <w:b/>
          <w:i/>
          <w:spacing w:val="-2"/>
          <w:sz w:val="24"/>
        </w:rPr>
        <w:t>OPEB</w:t>
      </w:r>
      <w:r w:rsidRPr="004E6649">
        <w:rPr>
          <w:rFonts w:eastAsia="Franklin Gothic Book" w:cstheme="minorHAnsi"/>
          <w:b/>
          <w:i/>
          <w:spacing w:val="-5"/>
          <w:sz w:val="24"/>
        </w:rPr>
        <w:t xml:space="preserve"> </w:t>
      </w:r>
      <w:r w:rsidRPr="004E6649">
        <w:rPr>
          <w:rFonts w:eastAsia="Franklin Gothic Book" w:cstheme="minorHAnsi"/>
          <w:b/>
          <w:i/>
          <w:sz w:val="24"/>
        </w:rPr>
        <w:t>li</w:t>
      </w:r>
      <w:r w:rsidRPr="004E6649">
        <w:rPr>
          <w:rFonts w:eastAsia="Franklin Gothic Book" w:cstheme="minorHAnsi"/>
          <w:b/>
          <w:i/>
          <w:spacing w:val="-2"/>
          <w:sz w:val="24"/>
        </w:rPr>
        <w:t>a</w:t>
      </w:r>
      <w:r w:rsidRPr="004E6649">
        <w:rPr>
          <w:rFonts w:eastAsia="Franklin Gothic Book" w:cstheme="minorHAnsi"/>
          <w:b/>
          <w:i/>
          <w:sz w:val="24"/>
        </w:rPr>
        <w:t>bili</w:t>
      </w:r>
      <w:r w:rsidRPr="004E6649">
        <w:rPr>
          <w:rFonts w:eastAsia="Franklin Gothic Book" w:cstheme="minorHAnsi"/>
          <w:b/>
          <w:i/>
          <w:spacing w:val="-2"/>
          <w:sz w:val="24"/>
        </w:rPr>
        <w:t>t</w:t>
      </w:r>
      <w:r w:rsidRPr="004E6649">
        <w:rPr>
          <w:rFonts w:eastAsia="Franklin Gothic Book" w:cstheme="minorHAnsi"/>
          <w:b/>
          <w:i/>
          <w:sz w:val="24"/>
        </w:rPr>
        <w:t>y</w:t>
      </w:r>
      <w:r w:rsidRPr="004E6649">
        <w:rPr>
          <w:rFonts w:eastAsia="Franklin Gothic Book" w:cstheme="minorHAnsi"/>
          <w:b/>
          <w:i/>
          <w:spacing w:val="-6"/>
          <w:sz w:val="24"/>
        </w:rPr>
        <w:t xml:space="preserve"> </w:t>
      </w:r>
      <w:r w:rsidRPr="004E6649">
        <w:rPr>
          <w:rFonts w:eastAsia="Franklin Gothic Book" w:cstheme="minorHAnsi"/>
          <w:b/>
          <w:i/>
          <w:spacing w:val="-2"/>
          <w:sz w:val="24"/>
        </w:rPr>
        <w:t>t</w:t>
      </w:r>
      <w:r w:rsidRPr="004E6649">
        <w:rPr>
          <w:rFonts w:eastAsia="Franklin Gothic Book" w:cstheme="minorHAnsi"/>
          <w:b/>
          <w:i/>
          <w:sz w:val="24"/>
        </w:rPr>
        <w:t>o</w:t>
      </w:r>
      <w:r w:rsidRPr="004E6649">
        <w:rPr>
          <w:rFonts w:eastAsia="Franklin Gothic Book" w:cstheme="minorHAnsi"/>
          <w:b/>
          <w:i/>
          <w:spacing w:val="-6"/>
          <w:sz w:val="24"/>
        </w:rPr>
        <w:t xml:space="preserve"> </w:t>
      </w:r>
      <w:r w:rsidRPr="004E6649">
        <w:rPr>
          <w:rFonts w:eastAsia="Franklin Gothic Book" w:cstheme="minorHAnsi"/>
          <w:b/>
          <w:i/>
          <w:spacing w:val="-1"/>
          <w:sz w:val="24"/>
        </w:rPr>
        <w:t>c</w:t>
      </w:r>
      <w:r w:rsidRPr="004E6649">
        <w:rPr>
          <w:rFonts w:eastAsia="Franklin Gothic Book" w:cstheme="minorHAnsi"/>
          <w:b/>
          <w:i/>
          <w:sz w:val="24"/>
        </w:rPr>
        <w:t>h</w:t>
      </w:r>
      <w:r w:rsidRPr="004E6649">
        <w:rPr>
          <w:rFonts w:eastAsia="Franklin Gothic Book" w:cstheme="minorHAnsi"/>
          <w:b/>
          <w:i/>
          <w:spacing w:val="-2"/>
          <w:sz w:val="24"/>
        </w:rPr>
        <w:t>an</w:t>
      </w:r>
      <w:r w:rsidRPr="004E6649">
        <w:rPr>
          <w:rFonts w:eastAsia="Franklin Gothic Book" w:cstheme="minorHAnsi"/>
          <w:b/>
          <w:i/>
          <w:sz w:val="24"/>
        </w:rPr>
        <w:t>ges</w:t>
      </w:r>
      <w:r w:rsidRPr="004E6649">
        <w:rPr>
          <w:rFonts w:eastAsia="Franklin Gothic Book" w:cstheme="minorHAnsi"/>
          <w:b/>
          <w:i/>
          <w:spacing w:val="-6"/>
          <w:sz w:val="24"/>
        </w:rPr>
        <w:t xml:space="preserve"> </w:t>
      </w:r>
      <w:r w:rsidRPr="004E6649">
        <w:rPr>
          <w:rFonts w:eastAsia="Franklin Gothic Book" w:cstheme="minorHAnsi"/>
          <w:b/>
          <w:i/>
          <w:sz w:val="24"/>
        </w:rPr>
        <w:t>in</w:t>
      </w:r>
      <w:r w:rsidRPr="004E6649">
        <w:rPr>
          <w:rFonts w:eastAsia="Franklin Gothic Book" w:cstheme="minorHAnsi"/>
          <w:b/>
          <w:i/>
          <w:spacing w:val="-6"/>
          <w:sz w:val="24"/>
        </w:rPr>
        <w:t xml:space="preserve"> </w:t>
      </w:r>
      <w:r w:rsidRPr="004E6649">
        <w:rPr>
          <w:rFonts w:eastAsia="Franklin Gothic Book" w:cstheme="minorHAnsi"/>
          <w:b/>
          <w:i/>
          <w:spacing w:val="-2"/>
          <w:sz w:val="24"/>
        </w:rPr>
        <w:t>t</w:t>
      </w:r>
      <w:r w:rsidRPr="004E6649">
        <w:rPr>
          <w:rFonts w:eastAsia="Franklin Gothic Book" w:cstheme="minorHAnsi"/>
          <w:b/>
          <w:i/>
          <w:sz w:val="24"/>
        </w:rPr>
        <w:t>he</w:t>
      </w:r>
      <w:r w:rsidRPr="004E6649">
        <w:rPr>
          <w:rFonts w:eastAsia="Franklin Gothic Book" w:cstheme="minorHAnsi"/>
          <w:b/>
          <w:i/>
          <w:spacing w:val="-6"/>
          <w:sz w:val="24"/>
        </w:rPr>
        <w:t xml:space="preserve"> healthcare cost trend rates</w:t>
      </w:r>
      <w:r w:rsidRPr="004E6649">
        <w:rPr>
          <w:rFonts w:eastAsia="Franklin Gothic Book" w:cstheme="minorHAnsi"/>
          <w:b/>
          <w:i/>
          <w:sz w:val="24"/>
        </w:rPr>
        <w:t>:</w:t>
      </w:r>
      <w:r w:rsidRPr="004E6649">
        <w:rPr>
          <w:rFonts w:eastAsia="Franklin Gothic Book" w:cstheme="minorHAnsi"/>
          <w:i/>
          <w:sz w:val="24"/>
        </w:rPr>
        <w:t xml:space="preserve"> </w:t>
      </w:r>
      <w:r w:rsidRPr="004E6649">
        <w:rPr>
          <w:rFonts w:eastAsia="Times New Roman" w:cstheme="minorHAnsi"/>
          <w:spacing w:val="-1"/>
          <w:sz w:val="24"/>
        </w:rPr>
        <w:t>T</w:t>
      </w:r>
      <w:r w:rsidRPr="004E6649">
        <w:rPr>
          <w:rFonts w:eastAsia="Times New Roman" w:cstheme="minorHAnsi"/>
          <w:sz w:val="24"/>
        </w:rPr>
        <w:t>he foll</w:t>
      </w:r>
      <w:r w:rsidRPr="004E6649">
        <w:rPr>
          <w:rFonts w:eastAsia="Times New Roman" w:cstheme="minorHAnsi"/>
          <w:spacing w:val="-1"/>
          <w:sz w:val="24"/>
        </w:rPr>
        <w:t>o</w:t>
      </w:r>
      <w:r w:rsidRPr="004E6649">
        <w:rPr>
          <w:rFonts w:eastAsia="Times New Roman" w:cstheme="minorHAnsi"/>
          <w:sz w:val="24"/>
        </w:rPr>
        <w:t>wing</w:t>
      </w:r>
      <w:r w:rsidRPr="004E6649">
        <w:rPr>
          <w:rFonts w:eastAsia="Times New Roman" w:cstheme="minorHAnsi"/>
          <w:spacing w:val="1"/>
          <w:sz w:val="24"/>
        </w:rPr>
        <w:t xml:space="preserve"> </w:t>
      </w:r>
      <w:r w:rsidRPr="004E6649">
        <w:rPr>
          <w:rFonts w:eastAsia="Times New Roman" w:cstheme="minorHAnsi"/>
          <w:spacing w:val="-1"/>
          <w:sz w:val="24"/>
        </w:rPr>
        <w:t>pr</w:t>
      </w:r>
      <w:r w:rsidRPr="004E6649">
        <w:rPr>
          <w:rFonts w:eastAsia="Times New Roman" w:cstheme="minorHAnsi"/>
          <w:sz w:val="24"/>
        </w:rPr>
        <w:t>esen</w:t>
      </w:r>
      <w:r w:rsidRPr="004E6649">
        <w:rPr>
          <w:rFonts w:eastAsia="Times New Roman" w:cstheme="minorHAnsi"/>
          <w:spacing w:val="1"/>
          <w:sz w:val="24"/>
        </w:rPr>
        <w:t>t</w:t>
      </w:r>
      <w:r w:rsidRPr="004E6649">
        <w:rPr>
          <w:rFonts w:eastAsia="Times New Roman" w:cstheme="minorHAnsi"/>
          <w:sz w:val="24"/>
        </w:rPr>
        <w:t>s</w:t>
      </w:r>
      <w:r w:rsidRPr="004E6649">
        <w:rPr>
          <w:rFonts w:eastAsia="Times New Roman" w:cstheme="minorHAnsi"/>
          <w:spacing w:val="1"/>
          <w:sz w:val="24"/>
        </w:rPr>
        <w:t xml:space="preserve"> </w:t>
      </w:r>
      <w:r w:rsidRPr="004E6649">
        <w:rPr>
          <w:rFonts w:eastAsia="Times New Roman" w:cstheme="minorHAnsi"/>
          <w:sz w:val="24"/>
        </w:rPr>
        <w:t>the</w:t>
      </w:r>
      <w:r w:rsidRPr="004E6649">
        <w:rPr>
          <w:rFonts w:eastAsia="Times New Roman" w:cstheme="minorHAnsi"/>
          <w:spacing w:val="1"/>
          <w:sz w:val="24"/>
        </w:rPr>
        <w:t xml:space="preserve"> </w:t>
      </w:r>
      <w:r w:rsidRPr="004E6649">
        <w:rPr>
          <w:rFonts w:eastAsia="Times New Roman" w:cstheme="minorHAnsi"/>
          <w:sz w:val="24"/>
        </w:rPr>
        <w:t xml:space="preserve">net </w:t>
      </w:r>
      <w:r w:rsidRPr="004E6649">
        <w:rPr>
          <w:rFonts w:eastAsia="Times New Roman" w:cstheme="minorHAnsi"/>
          <w:spacing w:val="-1"/>
          <w:sz w:val="24"/>
        </w:rPr>
        <w:t>OPEB</w:t>
      </w:r>
      <w:r w:rsidRPr="004E6649">
        <w:rPr>
          <w:rFonts w:eastAsia="Times New Roman" w:cstheme="minorHAnsi"/>
          <w:spacing w:val="1"/>
          <w:sz w:val="24"/>
        </w:rPr>
        <w:t xml:space="preserve"> </w:t>
      </w:r>
      <w:r w:rsidRPr="004E6649">
        <w:rPr>
          <w:rFonts w:eastAsia="Times New Roman" w:cstheme="minorHAnsi"/>
          <w:sz w:val="24"/>
        </w:rPr>
        <w:t>liability</w:t>
      </w:r>
      <w:r w:rsidRPr="004E6649">
        <w:rPr>
          <w:rFonts w:eastAsia="Times New Roman" w:cstheme="minorHAnsi"/>
          <w:spacing w:val="-1"/>
          <w:sz w:val="24"/>
        </w:rPr>
        <w:t xml:space="preserve"> as of June 30, </w:t>
      </w:r>
      <w:r w:rsidRPr="004E6649">
        <w:rPr>
          <w:rFonts w:eastAsia="Times New Roman" w:cstheme="minorHAnsi"/>
          <w:sz w:val="24"/>
        </w:rPr>
        <w:t>calcula</w:t>
      </w:r>
      <w:r w:rsidRPr="004E6649">
        <w:rPr>
          <w:rFonts w:eastAsia="Times New Roman" w:cstheme="minorHAnsi"/>
          <w:spacing w:val="1"/>
          <w:sz w:val="24"/>
        </w:rPr>
        <w:t>t</w:t>
      </w:r>
      <w:r w:rsidRPr="004E6649">
        <w:rPr>
          <w:rFonts w:eastAsia="Times New Roman" w:cstheme="minorHAnsi"/>
          <w:sz w:val="24"/>
        </w:rPr>
        <w:t>ed</w:t>
      </w:r>
      <w:r w:rsidRPr="004E6649">
        <w:rPr>
          <w:rFonts w:eastAsia="Times New Roman" w:cstheme="minorHAnsi"/>
          <w:spacing w:val="2"/>
          <w:sz w:val="24"/>
        </w:rPr>
        <w:t xml:space="preserve"> </w:t>
      </w:r>
      <w:r w:rsidRPr="004E6649">
        <w:rPr>
          <w:rFonts w:eastAsia="Times New Roman" w:cstheme="minorHAnsi"/>
          <w:sz w:val="24"/>
        </w:rPr>
        <w:t>u</w:t>
      </w:r>
      <w:r w:rsidRPr="004E6649">
        <w:rPr>
          <w:rFonts w:eastAsia="Times New Roman" w:cstheme="minorHAnsi"/>
          <w:spacing w:val="1"/>
          <w:sz w:val="24"/>
        </w:rPr>
        <w:t>s</w:t>
      </w:r>
      <w:r w:rsidRPr="004E6649">
        <w:rPr>
          <w:rFonts w:eastAsia="Times New Roman" w:cstheme="minorHAnsi"/>
          <w:sz w:val="24"/>
        </w:rPr>
        <w:t>ing the</w:t>
      </w:r>
      <w:r w:rsidRPr="004E6649">
        <w:rPr>
          <w:rFonts w:eastAsia="Times New Roman" w:cstheme="minorHAnsi"/>
          <w:spacing w:val="1"/>
          <w:sz w:val="24"/>
        </w:rPr>
        <w:t xml:space="preserve"> respective current </w:t>
      </w:r>
      <w:r w:rsidRPr="004E6649">
        <w:rPr>
          <w:rFonts w:eastAsia="Times New Roman" w:cstheme="minorHAnsi"/>
          <w:sz w:val="24"/>
        </w:rPr>
        <w:t>healthcare cost trend rates</w:t>
      </w:r>
      <w:r w:rsidRPr="004E6649">
        <w:rPr>
          <w:rFonts w:eastAsia="Times New Roman" w:cstheme="minorHAnsi"/>
          <w:spacing w:val="3"/>
          <w:sz w:val="24"/>
        </w:rPr>
        <w:t xml:space="preserve"> </w:t>
      </w:r>
      <w:r w:rsidRPr="004E6649">
        <w:rPr>
          <w:rFonts w:eastAsia="Times New Roman" w:cstheme="minorHAnsi"/>
          <w:sz w:val="24"/>
        </w:rPr>
        <w:t>as</w:t>
      </w:r>
      <w:r w:rsidRPr="004E6649">
        <w:rPr>
          <w:rFonts w:eastAsia="Times New Roman" w:cstheme="minorHAnsi"/>
          <w:spacing w:val="1"/>
          <w:sz w:val="24"/>
        </w:rPr>
        <w:t xml:space="preserve"> </w:t>
      </w:r>
      <w:r w:rsidRPr="004E6649">
        <w:rPr>
          <w:rFonts w:eastAsia="Times New Roman" w:cstheme="minorHAnsi"/>
          <w:sz w:val="24"/>
        </w:rPr>
        <w:t>w</w:t>
      </w:r>
      <w:r w:rsidRPr="004E6649">
        <w:rPr>
          <w:rFonts w:eastAsia="Times New Roman" w:cstheme="minorHAnsi"/>
          <w:spacing w:val="-1"/>
          <w:sz w:val="24"/>
        </w:rPr>
        <w:t>e</w:t>
      </w:r>
      <w:r w:rsidRPr="004E6649">
        <w:rPr>
          <w:rFonts w:eastAsia="Times New Roman" w:cstheme="minorHAnsi"/>
          <w:sz w:val="24"/>
        </w:rPr>
        <w:t>ll as</w:t>
      </w:r>
      <w:r w:rsidRPr="004E6649">
        <w:rPr>
          <w:rFonts w:eastAsia="Times New Roman" w:cstheme="minorHAnsi"/>
          <w:spacing w:val="1"/>
          <w:sz w:val="24"/>
        </w:rPr>
        <w:t xml:space="preserve"> </w:t>
      </w:r>
      <w:r w:rsidRPr="004E6649">
        <w:rPr>
          <w:rFonts w:eastAsia="Times New Roman" w:cstheme="minorHAnsi"/>
          <w:spacing w:val="-1"/>
          <w:sz w:val="24"/>
        </w:rPr>
        <w:t>using healthcare cost trend rates that are 1-percentage point lower or 1-percentage point higher than the current healthcare cost trend rates.</w:t>
      </w:r>
    </w:p>
    <w:tbl>
      <w:tblPr>
        <w:tblW w:w="10350" w:type="dxa"/>
        <w:jc w:val="center"/>
        <w:tblLayout w:type="fixed"/>
        <w:tblCellMar>
          <w:left w:w="72" w:type="dxa"/>
          <w:right w:w="72" w:type="dxa"/>
        </w:tblCellMar>
        <w:tblLook w:val="04A0" w:firstRow="1" w:lastRow="0" w:firstColumn="1" w:lastColumn="0" w:noHBand="0" w:noVBand="1"/>
      </w:tblPr>
      <w:tblGrid>
        <w:gridCol w:w="2610"/>
        <w:gridCol w:w="1350"/>
        <w:gridCol w:w="1260"/>
        <w:gridCol w:w="1350"/>
        <w:gridCol w:w="1260"/>
        <w:gridCol w:w="1260"/>
        <w:gridCol w:w="1260"/>
      </w:tblGrid>
      <w:tr w:rsidR="001B6918" w:rsidRPr="004E6649" w14:paraId="3647A4BE" w14:textId="77777777" w:rsidTr="00730ECF">
        <w:trPr>
          <w:trHeight w:val="153"/>
          <w:tblHeader/>
          <w:jc w:val="center"/>
        </w:trPr>
        <w:tc>
          <w:tcPr>
            <w:tcW w:w="2610" w:type="dxa"/>
            <w:tcBorders>
              <w:top w:val="single" w:sz="4" w:space="0" w:color="000000" w:themeColor="text1"/>
              <w:left w:val="nil"/>
              <w:right w:val="nil"/>
            </w:tcBorders>
            <w:noWrap/>
            <w:vAlign w:val="bottom"/>
            <w:hideMark/>
          </w:tcPr>
          <w:p w14:paraId="3C13262D" w14:textId="77777777" w:rsidR="001B6918" w:rsidRPr="004E6649" w:rsidRDefault="001B6918" w:rsidP="00730ECF">
            <w:pPr>
              <w:rPr>
                <w:rFonts w:eastAsia="Times New Roman" w:cstheme="minorHAnsi"/>
                <w:sz w:val="24"/>
                <w:szCs w:val="24"/>
              </w:rPr>
            </w:pPr>
          </w:p>
        </w:tc>
        <w:tc>
          <w:tcPr>
            <w:tcW w:w="3960" w:type="dxa"/>
            <w:gridSpan w:val="3"/>
            <w:tcBorders>
              <w:top w:val="single" w:sz="4" w:space="0" w:color="000000" w:themeColor="text1"/>
              <w:left w:val="nil"/>
              <w:right w:val="nil"/>
            </w:tcBorders>
            <w:noWrap/>
            <w:vAlign w:val="bottom"/>
            <w:hideMark/>
          </w:tcPr>
          <w:p w14:paraId="45AC7266" w14:textId="77777777" w:rsidR="001B6918" w:rsidRPr="004E6649" w:rsidRDefault="001B6918" w:rsidP="00730ECF">
            <w:pPr>
              <w:jc w:val="center"/>
              <w:rPr>
                <w:rFonts w:eastAsia="Times New Roman" w:cstheme="minorHAnsi"/>
                <w:b/>
                <w:bCs/>
              </w:rPr>
            </w:pPr>
            <w:r w:rsidRPr="004E6649">
              <w:rPr>
                <w:rFonts w:eastAsia="Times New Roman" w:cstheme="minorHAnsi"/>
                <w:b/>
                <w:bCs/>
              </w:rPr>
              <w:t>June 30, 202</w:t>
            </w:r>
            <w:r>
              <w:rPr>
                <w:rFonts w:eastAsia="Times New Roman" w:cstheme="minorHAnsi"/>
                <w:b/>
                <w:bCs/>
              </w:rPr>
              <w:t>5</w:t>
            </w:r>
          </w:p>
        </w:tc>
        <w:tc>
          <w:tcPr>
            <w:tcW w:w="3780" w:type="dxa"/>
            <w:gridSpan w:val="3"/>
            <w:tcBorders>
              <w:top w:val="single" w:sz="4" w:space="0" w:color="000000" w:themeColor="text1"/>
              <w:left w:val="nil"/>
              <w:right w:val="nil"/>
            </w:tcBorders>
            <w:shd w:val="clear" w:color="auto" w:fill="F2F2F2" w:themeFill="background1" w:themeFillShade="F2"/>
            <w:noWrap/>
            <w:vAlign w:val="bottom"/>
            <w:hideMark/>
          </w:tcPr>
          <w:p w14:paraId="03AD9C09" w14:textId="77777777" w:rsidR="001B6918" w:rsidRPr="004E6649" w:rsidRDefault="001B6918" w:rsidP="00730ECF">
            <w:pPr>
              <w:jc w:val="center"/>
              <w:rPr>
                <w:rFonts w:eastAsia="Times New Roman" w:cstheme="minorHAnsi"/>
                <w:b/>
                <w:bCs/>
              </w:rPr>
            </w:pPr>
            <w:r w:rsidRPr="004E6649">
              <w:rPr>
                <w:rFonts w:eastAsia="Times New Roman" w:cstheme="minorHAnsi"/>
                <w:b/>
                <w:bCs/>
              </w:rPr>
              <w:t>June 30, 202</w:t>
            </w:r>
            <w:r>
              <w:rPr>
                <w:rFonts w:eastAsia="Times New Roman" w:cstheme="minorHAnsi"/>
                <w:b/>
                <w:bCs/>
              </w:rPr>
              <w:t>4</w:t>
            </w:r>
          </w:p>
        </w:tc>
      </w:tr>
      <w:tr w:rsidR="001B6918" w:rsidRPr="004E6649" w14:paraId="7C87A78D" w14:textId="77777777" w:rsidTr="00730ECF">
        <w:trPr>
          <w:trHeight w:val="1457"/>
          <w:tblHeader/>
          <w:jc w:val="center"/>
        </w:trPr>
        <w:tc>
          <w:tcPr>
            <w:tcW w:w="2610" w:type="dxa"/>
            <w:tcBorders>
              <w:left w:val="nil"/>
              <w:bottom w:val="nil"/>
              <w:right w:val="nil"/>
            </w:tcBorders>
            <w:shd w:val="clear" w:color="000000" w:fill="FFFFFF"/>
            <w:noWrap/>
            <w:vAlign w:val="bottom"/>
            <w:hideMark/>
          </w:tcPr>
          <w:p w14:paraId="7587CB96" w14:textId="77777777" w:rsidR="001B6918" w:rsidRPr="004E6649" w:rsidRDefault="001B6918" w:rsidP="00730ECF">
            <w:pPr>
              <w:rPr>
                <w:rFonts w:eastAsia="Times New Roman" w:cstheme="minorHAnsi"/>
                <w:b/>
                <w:bCs/>
                <w:color w:val="FF0000"/>
              </w:rPr>
            </w:pPr>
            <w:r w:rsidRPr="004E6649">
              <w:rPr>
                <w:rFonts w:eastAsia="Times New Roman" w:cstheme="minorHAnsi"/>
                <w:b/>
                <w:bCs/>
              </w:rPr>
              <w:t> </w:t>
            </w:r>
          </w:p>
        </w:tc>
        <w:tc>
          <w:tcPr>
            <w:tcW w:w="1350" w:type="dxa"/>
            <w:tcBorders>
              <w:left w:val="nil"/>
              <w:bottom w:val="nil"/>
              <w:right w:val="nil"/>
            </w:tcBorders>
            <w:shd w:val="clear" w:color="000000" w:fill="FFFFFF"/>
            <w:vAlign w:val="bottom"/>
            <w:hideMark/>
          </w:tcPr>
          <w:p w14:paraId="759A2D07" w14:textId="77777777" w:rsidR="001B6918" w:rsidRPr="0030128F" w:rsidRDefault="001B6918" w:rsidP="00730ECF">
            <w:pPr>
              <w:jc w:val="center"/>
              <w:rPr>
                <w:rFonts w:cstheme="minorHAnsi"/>
                <w:bCs/>
              </w:rPr>
            </w:pPr>
            <w:r w:rsidRPr="0030128F">
              <w:rPr>
                <w:rFonts w:cstheme="minorHAnsi"/>
                <w:bCs/>
              </w:rPr>
              <w:t>1%</w:t>
            </w:r>
          </w:p>
          <w:p w14:paraId="36BE6958" w14:textId="77777777" w:rsidR="001B6918" w:rsidRPr="0030128F" w:rsidRDefault="001B6918" w:rsidP="00730ECF">
            <w:pPr>
              <w:jc w:val="center"/>
              <w:rPr>
                <w:rFonts w:eastAsia="Times New Roman" w:cstheme="minorHAnsi"/>
                <w:bCs/>
              </w:rPr>
            </w:pPr>
            <w:r w:rsidRPr="0030128F">
              <w:rPr>
                <w:rFonts w:cstheme="minorHAnsi"/>
                <w:bCs/>
              </w:rPr>
              <w:t xml:space="preserve">Decrease </w:t>
            </w:r>
            <w:r w:rsidRPr="0030128F">
              <w:rPr>
                <w:rFonts w:cstheme="minorHAnsi"/>
                <w:bCs/>
              </w:rPr>
              <w:br/>
              <w:t>7% Year 1 Decreasing to 3%</w:t>
            </w:r>
          </w:p>
        </w:tc>
        <w:tc>
          <w:tcPr>
            <w:tcW w:w="1260" w:type="dxa"/>
            <w:tcBorders>
              <w:left w:val="nil"/>
              <w:bottom w:val="nil"/>
              <w:right w:val="nil"/>
            </w:tcBorders>
            <w:shd w:val="clear" w:color="000000" w:fill="FFFFFF"/>
            <w:vAlign w:val="bottom"/>
            <w:hideMark/>
          </w:tcPr>
          <w:p w14:paraId="41DC1BED" w14:textId="77777777" w:rsidR="001B6918" w:rsidRPr="0030128F" w:rsidRDefault="001B6918" w:rsidP="00730ECF">
            <w:pPr>
              <w:jc w:val="center"/>
              <w:rPr>
                <w:rFonts w:eastAsia="Times New Roman" w:cstheme="minorHAnsi"/>
                <w:bCs/>
              </w:rPr>
            </w:pPr>
            <w:r w:rsidRPr="0030128F">
              <w:rPr>
                <w:rFonts w:cstheme="minorHAnsi"/>
                <w:bCs/>
              </w:rPr>
              <w:t>Healthcare Cost TrendRates8% Year 1 Decreasing to 4%</w:t>
            </w:r>
          </w:p>
        </w:tc>
        <w:tc>
          <w:tcPr>
            <w:tcW w:w="1350" w:type="dxa"/>
            <w:tcBorders>
              <w:left w:val="nil"/>
              <w:bottom w:val="nil"/>
              <w:right w:val="nil"/>
            </w:tcBorders>
            <w:shd w:val="clear" w:color="000000" w:fill="FFFFFF"/>
            <w:vAlign w:val="bottom"/>
            <w:hideMark/>
          </w:tcPr>
          <w:p w14:paraId="34282D76" w14:textId="77777777" w:rsidR="001B6918" w:rsidRPr="0030128F" w:rsidRDefault="001B6918" w:rsidP="00730ECF">
            <w:pPr>
              <w:jc w:val="center"/>
              <w:rPr>
                <w:rFonts w:cstheme="minorHAnsi"/>
                <w:bCs/>
              </w:rPr>
            </w:pPr>
            <w:r w:rsidRPr="0030128F">
              <w:rPr>
                <w:rFonts w:cstheme="minorHAnsi"/>
                <w:bCs/>
              </w:rPr>
              <w:t>1%</w:t>
            </w:r>
          </w:p>
          <w:p w14:paraId="0464E3F5" w14:textId="77777777" w:rsidR="001B6918" w:rsidRPr="0030128F" w:rsidRDefault="001B6918" w:rsidP="00730ECF">
            <w:pPr>
              <w:jc w:val="center"/>
              <w:rPr>
                <w:rFonts w:eastAsia="Times New Roman" w:cstheme="minorHAnsi"/>
                <w:bCs/>
              </w:rPr>
            </w:pPr>
            <w:r w:rsidRPr="0030128F">
              <w:rPr>
                <w:rFonts w:cstheme="minorHAnsi"/>
                <w:bCs/>
              </w:rPr>
              <w:t xml:space="preserve">Increase </w:t>
            </w:r>
            <w:r w:rsidRPr="0030128F">
              <w:rPr>
                <w:rFonts w:cstheme="minorHAnsi"/>
                <w:bCs/>
              </w:rPr>
              <w:br/>
              <w:t>9% Year 1 Decreasing to 5%</w:t>
            </w:r>
          </w:p>
        </w:tc>
        <w:tc>
          <w:tcPr>
            <w:tcW w:w="1260" w:type="dxa"/>
            <w:tcBorders>
              <w:left w:val="nil"/>
              <w:bottom w:val="nil"/>
              <w:right w:val="nil"/>
            </w:tcBorders>
            <w:shd w:val="clear" w:color="auto" w:fill="F2F2F2" w:themeFill="background1" w:themeFillShade="F2"/>
            <w:vAlign w:val="bottom"/>
            <w:hideMark/>
          </w:tcPr>
          <w:p w14:paraId="2D89EA8C" w14:textId="77777777" w:rsidR="001B6918" w:rsidRPr="004E6649" w:rsidRDefault="001B6918" w:rsidP="00730ECF">
            <w:pPr>
              <w:jc w:val="center"/>
              <w:rPr>
                <w:rFonts w:cstheme="minorHAnsi"/>
                <w:bCs/>
              </w:rPr>
            </w:pPr>
            <w:r w:rsidRPr="004E6649">
              <w:rPr>
                <w:rFonts w:cstheme="minorHAnsi"/>
                <w:bCs/>
              </w:rPr>
              <w:t>1%</w:t>
            </w:r>
          </w:p>
          <w:p w14:paraId="1EF7CDB6" w14:textId="77777777" w:rsidR="001B6918" w:rsidRPr="004E6649" w:rsidRDefault="001B6918" w:rsidP="00730ECF">
            <w:pPr>
              <w:jc w:val="center"/>
              <w:rPr>
                <w:rFonts w:eastAsia="Times New Roman" w:cstheme="minorHAnsi"/>
                <w:bCs/>
              </w:rPr>
            </w:pPr>
            <w:r w:rsidRPr="004E6649">
              <w:rPr>
                <w:rFonts w:cstheme="minorHAnsi"/>
                <w:bCs/>
              </w:rPr>
              <w:t xml:space="preserve">Decrease </w:t>
            </w:r>
            <w:r w:rsidRPr="004E6649">
              <w:rPr>
                <w:rFonts w:cstheme="minorHAnsi"/>
                <w:bCs/>
              </w:rPr>
              <w:br/>
              <w:t>7% Year 1 Decreasing to 3.1%</w:t>
            </w:r>
          </w:p>
        </w:tc>
        <w:tc>
          <w:tcPr>
            <w:tcW w:w="1260" w:type="dxa"/>
            <w:tcBorders>
              <w:left w:val="nil"/>
              <w:bottom w:val="nil"/>
              <w:right w:val="nil"/>
            </w:tcBorders>
            <w:shd w:val="clear" w:color="auto" w:fill="F2F2F2" w:themeFill="background1" w:themeFillShade="F2"/>
            <w:vAlign w:val="bottom"/>
            <w:hideMark/>
          </w:tcPr>
          <w:p w14:paraId="239B7238" w14:textId="77777777" w:rsidR="001B6918" w:rsidRPr="004E6649" w:rsidRDefault="001B6918" w:rsidP="00730ECF">
            <w:pPr>
              <w:jc w:val="center"/>
              <w:rPr>
                <w:rFonts w:eastAsia="Times New Roman" w:cstheme="minorHAnsi"/>
                <w:bCs/>
              </w:rPr>
            </w:pPr>
            <w:r w:rsidRPr="004E6649">
              <w:rPr>
                <w:rFonts w:cstheme="minorHAnsi"/>
                <w:bCs/>
              </w:rPr>
              <w:t>Healthcare Cost TrendRates8% Year 1 Decreasing to 4.1%</w:t>
            </w:r>
          </w:p>
        </w:tc>
        <w:tc>
          <w:tcPr>
            <w:tcW w:w="1260" w:type="dxa"/>
            <w:tcBorders>
              <w:left w:val="nil"/>
              <w:bottom w:val="nil"/>
              <w:right w:val="nil"/>
            </w:tcBorders>
            <w:shd w:val="clear" w:color="auto" w:fill="F2F2F2" w:themeFill="background1" w:themeFillShade="F2"/>
            <w:vAlign w:val="bottom"/>
            <w:hideMark/>
          </w:tcPr>
          <w:p w14:paraId="1D79A38A" w14:textId="77777777" w:rsidR="001B6918" w:rsidRPr="004E6649" w:rsidRDefault="001B6918" w:rsidP="00730ECF">
            <w:pPr>
              <w:jc w:val="center"/>
              <w:rPr>
                <w:rFonts w:cstheme="minorHAnsi"/>
                <w:bCs/>
              </w:rPr>
            </w:pPr>
            <w:r w:rsidRPr="004E6649">
              <w:rPr>
                <w:rFonts w:cstheme="minorHAnsi"/>
                <w:bCs/>
              </w:rPr>
              <w:t>1%</w:t>
            </w:r>
          </w:p>
          <w:p w14:paraId="5E83ACC3" w14:textId="77777777" w:rsidR="001B6918" w:rsidRPr="004E6649" w:rsidRDefault="001B6918" w:rsidP="00730ECF">
            <w:pPr>
              <w:jc w:val="center"/>
              <w:rPr>
                <w:rFonts w:eastAsia="Times New Roman" w:cstheme="minorHAnsi"/>
                <w:bCs/>
              </w:rPr>
            </w:pPr>
            <w:r w:rsidRPr="004E6649">
              <w:rPr>
                <w:rFonts w:cstheme="minorHAnsi"/>
                <w:bCs/>
              </w:rPr>
              <w:t xml:space="preserve">Increase </w:t>
            </w:r>
            <w:r w:rsidRPr="004E6649">
              <w:rPr>
                <w:rFonts w:cstheme="minorHAnsi"/>
                <w:bCs/>
              </w:rPr>
              <w:br/>
              <w:t>9% Year 1 Decreasing to 5.1%</w:t>
            </w:r>
          </w:p>
        </w:tc>
      </w:tr>
      <w:tr w:rsidR="001B6918" w:rsidRPr="004E6649" w14:paraId="23361807" w14:textId="77777777" w:rsidTr="00730ECF">
        <w:trPr>
          <w:trHeight w:val="360"/>
          <w:jc w:val="center"/>
        </w:trPr>
        <w:tc>
          <w:tcPr>
            <w:tcW w:w="2610" w:type="dxa"/>
            <w:tcBorders>
              <w:top w:val="nil"/>
              <w:left w:val="nil"/>
              <w:bottom w:val="nil"/>
              <w:right w:val="nil"/>
            </w:tcBorders>
            <w:shd w:val="clear" w:color="000000" w:fill="FFFFFF"/>
            <w:noWrap/>
            <w:vAlign w:val="bottom"/>
            <w:hideMark/>
          </w:tcPr>
          <w:p w14:paraId="7B33CFF1" w14:textId="77777777" w:rsidR="001B6918" w:rsidRPr="004E6649" w:rsidRDefault="001B6918" w:rsidP="00730ECF">
            <w:pPr>
              <w:rPr>
                <w:rFonts w:eastAsia="Times New Roman" w:cstheme="minorHAnsi"/>
              </w:rPr>
            </w:pPr>
            <w:r w:rsidRPr="004E6649">
              <w:rPr>
                <w:rFonts w:eastAsia="Times New Roman" w:cstheme="minorHAnsi"/>
              </w:rPr>
              <w:t>Total OPEB liability</w:t>
            </w:r>
          </w:p>
        </w:tc>
        <w:tc>
          <w:tcPr>
            <w:tcW w:w="1350" w:type="dxa"/>
            <w:tcBorders>
              <w:top w:val="nil"/>
              <w:left w:val="nil"/>
              <w:bottom w:val="nil"/>
              <w:right w:val="nil"/>
            </w:tcBorders>
            <w:shd w:val="clear" w:color="000000" w:fill="FFFFFF"/>
            <w:vAlign w:val="bottom"/>
            <w:hideMark/>
          </w:tcPr>
          <w:p w14:paraId="0DBD5D58" w14:textId="77777777" w:rsidR="001B6918" w:rsidRPr="00CF5429" w:rsidRDefault="001B6918" w:rsidP="00730ECF">
            <w:pPr>
              <w:jc w:val="right"/>
              <w:rPr>
                <w:rFonts w:eastAsia="Times New Roman" w:cstheme="minorHAnsi"/>
              </w:rPr>
            </w:pPr>
            <w:r w:rsidRPr="00CF5429">
              <w:rPr>
                <w:rFonts w:cstheme="minorHAnsi"/>
              </w:rPr>
              <w:t>$155,521</w:t>
            </w:r>
          </w:p>
        </w:tc>
        <w:tc>
          <w:tcPr>
            <w:tcW w:w="1260" w:type="dxa"/>
            <w:tcBorders>
              <w:top w:val="nil"/>
              <w:left w:val="nil"/>
              <w:bottom w:val="nil"/>
              <w:right w:val="nil"/>
            </w:tcBorders>
            <w:shd w:val="clear" w:color="000000" w:fill="FFFFFF"/>
            <w:vAlign w:val="bottom"/>
            <w:hideMark/>
          </w:tcPr>
          <w:p w14:paraId="34B2B822" w14:textId="77777777" w:rsidR="001B6918" w:rsidRPr="00CF5429" w:rsidRDefault="001B6918" w:rsidP="00730ECF">
            <w:pPr>
              <w:jc w:val="right"/>
              <w:rPr>
                <w:rFonts w:eastAsia="Times New Roman" w:cstheme="minorHAnsi"/>
              </w:rPr>
            </w:pPr>
            <w:r w:rsidRPr="00CF5429">
              <w:rPr>
                <w:rFonts w:cstheme="minorHAnsi"/>
              </w:rPr>
              <w:t>$174,426</w:t>
            </w:r>
          </w:p>
        </w:tc>
        <w:tc>
          <w:tcPr>
            <w:tcW w:w="1350" w:type="dxa"/>
            <w:tcBorders>
              <w:top w:val="nil"/>
              <w:left w:val="nil"/>
              <w:bottom w:val="nil"/>
              <w:right w:val="nil"/>
            </w:tcBorders>
            <w:shd w:val="clear" w:color="000000" w:fill="FFFFFF"/>
            <w:vAlign w:val="bottom"/>
            <w:hideMark/>
          </w:tcPr>
          <w:p w14:paraId="474ECEE9" w14:textId="77777777" w:rsidR="001B6918" w:rsidRPr="00CF5429" w:rsidRDefault="001B6918" w:rsidP="00730ECF">
            <w:pPr>
              <w:jc w:val="right"/>
              <w:rPr>
                <w:rFonts w:eastAsia="Times New Roman" w:cstheme="minorHAnsi"/>
              </w:rPr>
            </w:pPr>
            <w:r w:rsidRPr="00CF5429">
              <w:rPr>
                <w:rFonts w:cstheme="minorHAnsi"/>
              </w:rPr>
              <w:t>$197,333</w:t>
            </w:r>
          </w:p>
        </w:tc>
        <w:tc>
          <w:tcPr>
            <w:tcW w:w="1260" w:type="dxa"/>
            <w:tcBorders>
              <w:top w:val="nil"/>
              <w:left w:val="nil"/>
              <w:bottom w:val="nil"/>
              <w:right w:val="nil"/>
            </w:tcBorders>
            <w:shd w:val="clear" w:color="auto" w:fill="F2F2F2" w:themeFill="background1" w:themeFillShade="F2"/>
            <w:vAlign w:val="bottom"/>
            <w:hideMark/>
          </w:tcPr>
          <w:p w14:paraId="3564A353" w14:textId="77777777" w:rsidR="001B6918" w:rsidRPr="004E6649" w:rsidRDefault="001B6918" w:rsidP="00730ECF">
            <w:pPr>
              <w:jc w:val="right"/>
              <w:rPr>
                <w:rFonts w:eastAsia="Times New Roman" w:cstheme="minorHAnsi"/>
              </w:rPr>
            </w:pPr>
            <w:r w:rsidRPr="004E6649">
              <w:rPr>
                <w:rFonts w:cstheme="minorHAnsi"/>
              </w:rPr>
              <w:t xml:space="preserve"> $</w:t>
            </w:r>
            <w:r>
              <w:rPr>
                <w:rFonts w:cstheme="minorHAnsi"/>
              </w:rPr>
              <w:t>143,931</w:t>
            </w:r>
            <w:r w:rsidRPr="004E6649">
              <w:rPr>
                <w:rFonts w:cstheme="minorHAnsi"/>
              </w:rPr>
              <w:t xml:space="preserve"> </w:t>
            </w:r>
          </w:p>
        </w:tc>
        <w:tc>
          <w:tcPr>
            <w:tcW w:w="1260" w:type="dxa"/>
            <w:tcBorders>
              <w:top w:val="nil"/>
              <w:left w:val="nil"/>
              <w:bottom w:val="nil"/>
              <w:right w:val="nil"/>
            </w:tcBorders>
            <w:shd w:val="clear" w:color="auto" w:fill="F2F2F2" w:themeFill="background1" w:themeFillShade="F2"/>
            <w:vAlign w:val="bottom"/>
            <w:hideMark/>
          </w:tcPr>
          <w:p w14:paraId="70DA8975" w14:textId="77777777" w:rsidR="001B6918" w:rsidRPr="004E6649" w:rsidRDefault="001B6918" w:rsidP="00730ECF">
            <w:pPr>
              <w:jc w:val="right"/>
              <w:rPr>
                <w:rFonts w:eastAsia="Times New Roman" w:cstheme="minorHAnsi"/>
              </w:rPr>
            </w:pPr>
            <w:r w:rsidRPr="004E6649">
              <w:rPr>
                <w:rFonts w:cstheme="minorHAnsi"/>
              </w:rPr>
              <w:t xml:space="preserve"> $</w:t>
            </w:r>
            <w:r>
              <w:rPr>
                <w:rFonts w:cstheme="minorHAnsi"/>
              </w:rPr>
              <w:t>161,558</w:t>
            </w:r>
            <w:r w:rsidRPr="004E6649">
              <w:rPr>
                <w:rFonts w:cstheme="minorHAnsi"/>
              </w:rPr>
              <w:t xml:space="preserve"> </w:t>
            </w:r>
          </w:p>
        </w:tc>
        <w:tc>
          <w:tcPr>
            <w:tcW w:w="1260" w:type="dxa"/>
            <w:tcBorders>
              <w:top w:val="nil"/>
              <w:left w:val="nil"/>
              <w:bottom w:val="nil"/>
              <w:right w:val="nil"/>
            </w:tcBorders>
            <w:shd w:val="clear" w:color="auto" w:fill="F2F2F2" w:themeFill="background1" w:themeFillShade="F2"/>
            <w:vAlign w:val="bottom"/>
            <w:hideMark/>
          </w:tcPr>
          <w:p w14:paraId="0AD83356" w14:textId="77777777" w:rsidR="001B6918" w:rsidRPr="004E6649" w:rsidRDefault="001B6918" w:rsidP="00730ECF">
            <w:pPr>
              <w:jc w:val="right"/>
              <w:rPr>
                <w:rFonts w:eastAsia="Times New Roman" w:cstheme="minorHAnsi"/>
              </w:rPr>
            </w:pPr>
            <w:r w:rsidRPr="004E6649">
              <w:rPr>
                <w:rFonts w:cstheme="minorHAnsi"/>
              </w:rPr>
              <w:t xml:space="preserve"> $</w:t>
            </w:r>
            <w:r>
              <w:rPr>
                <w:rFonts w:cstheme="minorHAnsi"/>
              </w:rPr>
              <w:t>182,803</w:t>
            </w:r>
            <w:r w:rsidRPr="004E6649">
              <w:rPr>
                <w:rFonts w:cstheme="minorHAnsi"/>
              </w:rPr>
              <w:t xml:space="preserve"> </w:t>
            </w:r>
          </w:p>
        </w:tc>
      </w:tr>
      <w:tr w:rsidR="001B6918" w:rsidRPr="004E6649" w14:paraId="71972322" w14:textId="77777777" w:rsidTr="00730ECF">
        <w:trPr>
          <w:trHeight w:val="80"/>
          <w:jc w:val="center"/>
        </w:trPr>
        <w:tc>
          <w:tcPr>
            <w:tcW w:w="2610" w:type="dxa"/>
            <w:tcBorders>
              <w:top w:val="nil"/>
              <w:left w:val="nil"/>
              <w:bottom w:val="single" w:sz="8" w:space="0" w:color="000000" w:themeColor="text1"/>
              <w:right w:val="nil"/>
            </w:tcBorders>
            <w:shd w:val="clear" w:color="000000" w:fill="FFFFFF"/>
            <w:noWrap/>
            <w:vAlign w:val="bottom"/>
            <w:hideMark/>
          </w:tcPr>
          <w:p w14:paraId="6D447758" w14:textId="77777777" w:rsidR="001B6918" w:rsidRPr="004E6649" w:rsidRDefault="001B6918" w:rsidP="00730ECF">
            <w:pPr>
              <w:rPr>
                <w:rFonts w:eastAsia="Times New Roman" w:cstheme="minorHAnsi"/>
              </w:rPr>
            </w:pPr>
            <w:r>
              <w:rPr>
                <w:rFonts w:eastAsia="Times New Roman" w:cstheme="minorHAnsi"/>
              </w:rPr>
              <w:t xml:space="preserve">Less: </w:t>
            </w:r>
            <w:r w:rsidRPr="004E6649">
              <w:rPr>
                <w:rFonts w:eastAsia="Times New Roman" w:cstheme="minorHAnsi"/>
              </w:rPr>
              <w:t>Fiduciary net position</w:t>
            </w:r>
          </w:p>
        </w:tc>
        <w:tc>
          <w:tcPr>
            <w:tcW w:w="1350" w:type="dxa"/>
            <w:tcBorders>
              <w:top w:val="nil"/>
              <w:left w:val="nil"/>
              <w:bottom w:val="single" w:sz="8" w:space="0" w:color="000000" w:themeColor="text1"/>
              <w:right w:val="nil"/>
            </w:tcBorders>
            <w:shd w:val="clear" w:color="000000" w:fill="FFFFFF"/>
            <w:vAlign w:val="bottom"/>
            <w:hideMark/>
          </w:tcPr>
          <w:p w14:paraId="76A34AA6" w14:textId="77777777" w:rsidR="001B6918" w:rsidRPr="00CF5429" w:rsidRDefault="001B6918" w:rsidP="00730ECF">
            <w:pPr>
              <w:jc w:val="right"/>
              <w:rPr>
                <w:rFonts w:eastAsia="Times New Roman" w:cstheme="minorHAnsi"/>
              </w:rPr>
            </w:pPr>
            <w:r w:rsidRPr="00CF5429">
              <w:rPr>
                <w:rFonts w:cstheme="minorHAnsi"/>
              </w:rPr>
              <w:t>215,091</w:t>
            </w:r>
          </w:p>
        </w:tc>
        <w:tc>
          <w:tcPr>
            <w:tcW w:w="1260" w:type="dxa"/>
            <w:tcBorders>
              <w:top w:val="nil"/>
              <w:left w:val="nil"/>
              <w:bottom w:val="single" w:sz="8" w:space="0" w:color="000000" w:themeColor="text1"/>
              <w:right w:val="nil"/>
            </w:tcBorders>
            <w:shd w:val="clear" w:color="000000" w:fill="FFFFFF"/>
            <w:vAlign w:val="bottom"/>
            <w:hideMark/>
          </w:tcPr>
          <w:p w14:paraId="7173C0DB" w14:textId="77777777" w:rsidR="001B6918" w:rsidRPr="00CF5429" w:rsidRDefault="001B6918" w:rsidP="00730ECF">
            <w:pPr>
              <w:jc w:val="right"/>
              <w:rPr>
                <w:rFonts w:eastAsia="Times New Roman" w:cstheme="minorHAnsi"/>
              </w:rPr>
            </w:pPr>
            <w:r w:rsidRPr="00CF5429">
              <w:rPr>
                <w:rFonts w:cstheme="minorHAnsi"/>
              </w:rPr>
              <w:t>215,091</w:t>
            </w:r>
          </w:p>
        </w:tc>
        <w:tc>
          <w:tcPr>
            <w:tcW w:w="1350" w:type="dxa"/>
            <w:tcBorders>
              <w:top w:val="nil"/>
              <w:left w:val="nil"/>
              <w:bottom w:val="single" w:sz="8" w:space="0" w:color="000000" w:themeColor="text1"/>
              <w:right w:val="nil"/>
            </w:tcBorders>
            <w:shd w:val="clear" w:color="000000" w:fill="FFFFFF"/>
            <w:vAlign w:val="bottom"/>
            <w:hideMark/>
          </w:tcPr>
          <w:p w14:paraId="00BA89D3" w14:textId="77777777" w:rsidR="001B6918" w:rsidRPr="00CF5429" w:rsidRDefault="001B6918" w:rsidP="00730ECF">
            <w:pPr>
              <w:jc w:val="right"/>
              <w:rPr>
                <w:rFonts w:eastAsia="Times New Roman" w:cstheme="minorHAnsi"/>
              </w:rPr>
            </w:pPr>
            <w:r w:rsidRPr="00CF5429">
              <w:rPr>
                <w:rFonts w:cstheme="minorHAnsi"/>
              </w:rPr>
              <w:t>215,091</w:t>
            </w:r>
          </w:p>
        </w:tc>
        <w:tc>
          <w:tcPr>
            <w:tcW w:w="1260" w:type="dxa"/>
            <w:tcBorders>
              <w:top w:val="nil"/>
              <w:left w:val="nil"/>
              <w:bottom w:val="single" w:sz="8" w:space="0" w:color="000000" w:themeColor="text1"/>
              <w:right w:val="nil"/>
            </w:tcBorders>
            <w:shd w:val="clear" w:color="auto" w:fill="F2F2F2" w:themeFill="background1" w:themeFillShade="F2"/>
            <w:vAlign w:val="bottom"/>
            <w:hideMark/>
          </w:tcPr>
          <w:p w14:paraId="0F46054C" w14:textId="77777777" w:rsidR="001B6918" w:rsidRPr="004E6649" w:rsidRDefault="001B6918" w:rsidP="00730ECF">
            <w:pPr>
              <w:jc w:val="right"/>
              <w:rPr>
                <w:rFonts w:eastAsia="Times New Roman" w:cstheme="minorHAnsi"/>
                <w:color w:val="000000"/>
              </w:rPr>
            </w:pPr>
            <w:r w:rsidRPr="004E6649">
              <w:rPr>
                <w:rFonts w:cstheme="minorHAnsi"/>
              </w:rPr>
              <w:t xml:space="preserve"> </w:t>
            </w:r>
            <w:r>
              <w:rPr>
                <w:rFonts w:cstheme="minorHAnsi"/>
              </w:rPr>
              <w:t>195,991</w:t>
            </w:r>
            <w:r w:rsidRPr="004E6649">
              <w:rPr>
                <w:rFonts w:cstheme="minorHAnsi"/>
              </w:rPr>
              <w:t xml:space="preserve"> </w:t>
            </w:r>
          </w:p>
        </w:tc>
        <w:tc>
          <w:tcPr>
            <w:tcW w:w="1260" w:type="dxa"/>
            <w:tcBorders>
              <w:top w:val="nil"/>
              <w:left w:val="nil"/>
              <w:bottom w:val="single" w:sz="8" w:space="0" w:color="000000" w:themeColor="text1"/>
              <w:right w:val="nil"/>
            </w:tcBorders>
            <w:shd w:val="clear" w:color="auto" w:fill="F2F2F2" w:themeFill="background1" w:themeFillShade="F2"/>
            <w:vAlign w:val="bottom"/>
            <w:hideMark/>
          </w:tcPr>
          <w:p w14:paraId="0C45FD72" w14:textId="77777777" w:rsidR="001B6918" w:rsidRPr="004E6649" w:rsidRDefault="001B6918" w:rsidP="00730ECF">
            <w:pPr>
              <w:jc w:val="right"/>
              <w:rPr>
                <w:rFonts w:eastAsia="Times New Roman" w:cstheme="minorHAnsi"/>
                <w:color w:val="000000"/>
              </w:rPr>
            </w:pPr>
            <w:r w:rsidRPr="004E6649">
              <w:rPr>
                <w:rFonts w:cstheme="minorHAnsi"/>
              </w:rPr>
              <w:t xml:space="preserve"> </w:t>
            </w:r>
            <w:r>
              <w:rPr>
                <w:rFonts w:cstheme="minorHAnsi"/>
              </w:rPr>
              <w:t>195,991</w:t>
            </w:r>
            <w:r w:rsidRPr="004E6649">
              <w:rPr>
                <w:rFonts w:cstheme="minorHAnsi"/>
              </w:rPr>
              <w:t xml:space="preserve"> </w:t>
            </w:r>
          </w:p>
        </w:tc>
        <w:tc>
          <w:tcPr>
            <w:tcW w:w="1260" w:type="dxa"/>
            <w:tcBorders>
              <w:top w:val="nil"/>
              <w:left w:val="nil"/>
              <w:bottom w:val="single" w:sz="8" w:space="0" w:color="000000" w:themeColor="text1"/>
              <w:right w:val="nil"/>
            </w:tcBorders>
            <w:shd w:val="clear" w:color="auto" w:fill="F2F2F2" w:themeFill="background1" w:themeFillShade="F2"/>
            <w:vAlign w:val="bottom"/>
            <w:hideMark/>
          </w:tcPr>
          <w:p w14:paraId="7418AC4E" w14:textId="77777777" w:rsidR="001B6918" w:rsidRPr="004E6649" w:rsidRDefault="001B6918" w:rsidP="00730ECF">
            <w:pPr>
              <w:jc w:val="right"/>
              <w:rPr>
                <w:rFonts w:eastAsia="Times New Roman" w:cstheme="minorHAnsi"/>
                <w:color w:val="000000"/>
              </w:rPr>
            </w:pPr>
            <w:r>
              <w:rPr>
                <w:rFonts w:cstheme="minorHAnsi"/>
              </w:rPr>
              <w:t>195,991</w:t>
            </w:r>
            <w:r w:rsidRPr="004E6649">
              <w:rPr>
                <w:rFonts w:cstheme="minorHAnsi"/>
              </w:rPr>
              <w:t xml:space="preserve"> </w:t>
            </w:r>
          </w:p>
        </w:tc>
      </w:tr>
      <w:tr w:rsidR="001B6918" w:rsidRPr="004E6649" w14:paraId="19FFD4F1" w14:textId="77777777" w:rsidTr="00730ECF">
        <w:trPr>
          <w:trHeight w:val="50"/>
          <w:jc w:val="center"/>
        </w:trPr>
        <w:tc>
          <w:tcPr>
            <w:tcW w:w="2610" w:type="dxa"/>
            <w:tcBorders>
              <w:top w:val="single" w:sz="8" w:space="0" w:color="000000" w:themeColor="text1"/>
              <w:left w:val="nil"/>
              <w:bottom w:val="double" w:sz="4" w:space="0" w:color="000000" w:themeColor="text1"/>
              <w:right w:val="nil"/>
            </w:tcBorders>
            <w:shd w:val="clear" w:color="000000" w:fill="FFFFFF"/>
            <w:noWrap/>
            <w:vAlign w:val="bottom"/>
            <w:hideMark/>
          </w:tcPr>
          <w:p w14:paraId="4E2BBC12" w14:textId="77777777" w:rsidR="001B6918" w:rsidRPr="004E6649" w:rsidRDefault="001B6918" w:rsidP="00730ECF">
            <w:pPr>
              <w:rPr>
                <w:rFonts w:eastAsia="Times New Roman" w:cstheme="minorHAnsi"/>
              </w:rPr>
            </w:pPr>
            <w:r w:rsidRPr="004E6649">
              <w:rPr>
                <w:rFonts w:eastAsia="Times New Roman" w:cstheme="minorHAnsi"/>
              </w:rPr>
              <w:t>Net OPEB liability (asset)</w:t>
            </w:r>
          </w:p>
        </w:tc>
        <w:tc>
          <w:tcPr>
            <w:tcW w:w="1350" w:type="dxa"/>
            <w:tcBorders>
              <w:top w:val="single" w:sz="8" w:space="0" w:color="000000" w:themeColor="text1"/>
              <w:left w:val="nil"/>
              <w:bottom w:val="double" w:sz="4" w:space="0" w:color="000000" w:themeColor="text1"/>
              <w:right w:val="nil"/>
            </w:tcBorders>
            <w:shd w:val="clear" w:color="000000" w:fill="FFFFFF"/>
            <w:noWrap/>
            <w:vAlign w:val="bottom"/>
            <w:hideMark/>
          </w:tcPr>
          <w:p w14:paraId="7EDAEDF4" w14:textId="77777777" w:rsidR="001B6918" w:rsidRPr="00CF5429" w:rsidRDefault="001B6918" w:rsidP="00730ECF">
            <w:pPr>
              <w:jc w:val="right"/>
              <w:rPr>
                <w:rFonts w:eastAsia="Times New Roman" w:cstheme="minorHAnsi"/>
              </w:rPr>
            </w:pPr>
            <w:r w:rsidRPr="00CF5429">
              <w:rPr>
                <w:rFonts w:cstheme="minorHAnsi"/>
              </w:rPr>
              <w:t>$(59,570)</w:t>
            </w:r>
          </w:p>
        </w:tc>
        <w:tc>
          <w:tcPr>
            <w:tcW w:w="1260" w:type="dxa"/>
            <w:tcBorders>
              <w:top w:val="single" w:sz="8" w:space="0" w:color="000000" w:themeColor="text1"/>
              <w:left w:val="nil"/>
              <w:bottom w:val="double" w:sz="4" w:space="0" w:color="000000" w:themeColor="text1"/>
              <w:right w:val="nil"/>
            </w:tcBorders>
            <w:shd w:val="clear" w:color="000000" w:fill="FFFFFF"/>
            <w:noWrap/>
            <w:vAlign w:val="bottom"/>
            <w:hideMark/>
          </w:tcPr>
          <w:p w14:paraId="2FE7ADAA" w14:textId="77777777" w:rsidR="001B6918" w:rsidRPr="00CF5429" w:rsidRDefault="001B6918" w:rsidP="00730ECF">
            <w:pPr>
              <w:jc w:val="right"/>
              <w:rPr>
                <w:rFonts w:eastAsia="Times New Roman" w:cstheme="minorHAnsi"/>
              </w:rPr>
            </w:pPr>
            <w:r w:rsidRPr="00CF5429">
              <w:rPr>
                <w:rFonts w:cstheme="minorHAnsi"/>
              </w:rPr>
              <w:t>$(40,665)</w:t>
            </w:r>
          </w:p>
        </w:tc>
        <w:tc>
          <w:tcPr>
            <w:tcW w:w="1350" w:type="dxa"/>
            <w:tcBorders>
              <w:top w:val="single" w:sz="8" w:space="0" w:color="000000" w:themeColor="text1"/>
              <w:left w:val="nil"/>
              <w:bottom w:val="double" w:sz="4" w:space="0" w:color="000000" w:themeColor="text1"/>
              <w:right w:val="nil"/>
            </w:tcBorders>
            <w:shd w:val="clear" w:color="000000" w:fill="FFFFFF"/>
            <w:noWrap/>
            <w:vAlign w:val="bottom"/>
            <w:hideMark/>
          </w:tcPr>
          <w:p w14:paraId="65FE2EB1" w14:textId="77777777" w:rsidR="001B6918" w:rsidRPr="00CF5429" w:rsidRDefault="001B6918" w:rsidP="00730ECF">
            <w:pPr>
              <w:jc w:val="right"/>
              <w:rPr>
                <w:rFonts w:eastAsia="Times New Roman" w:cstheme="minorHAnsi"/>
              </w:rPr>
            </w:pPr>
            <w:r w:rsidRPr="00CF5429">
              <w:rPr>
                <w:rFonts w:cstheme="minorHAnsi"/>
              </w:rPr>
              <w:t>$(17,758)</w:t>
            </w:r>
          </w:p>
        </w:tc>
        <w:tc>
          <w:tcPr>
            <w:tcW w:w="1260" w:type="dxa"/>
            <w:tcBorders>
              <w:top w:val="single" w:sz="8" w:space="0" w:color="000000" w:themeColor="text1"/>
              <w:left w:val="nil"/>
              <w:bottom w:val="double" w:sz="4" w:space="0" w:color="000000" w:themeColor="text1"/>
              <w:right w:val="nil"/>
            </w:tcBorders>
            <w:shd w:val="clear" w:color="auto" w:fill="F2F2F2" w:themeFill="background1" w:themeFillShade="F2"/>
            <w:noWrap/>
            <w:vAlign w:val="bottom"/>
            <w:hideMark/>
          </w:tcPr>
          <w:p w14:paraId="635237A2" w14:textId="77777777" w:rsidR="001B6918" w:rsidRPr="004E6649" w:rsidRDefault="001B6918" w:rsidP="00730ECF">
            <w:pPr>
              <w:jc w:val="right"/>
              <w:rPr>
                <w:rFonts w:eastAsia="Times New Roman" w:cstheme="minorHAnsi"/>
              </w:rPr>
            </w:pPr>
            <w:r w:rsidRPr="004E6649">
              <w:rPr>
                <w:rFonts w:cstheme="minorHAnsi"/>
              </w:rPr>
              <w:t xml:space="preserve"> $(</w:t>
            </w:r>
            <w:r>
              <w:rPr>
                <w:rFonts w:cstheme="minorHAnsi"/>
              </w:rPr>
              <w:t>52,060</w:t>
            </w:r>
            <w:r w:rsidRPr="004E6649">
              <w:rPr>
                <w:rFonts w:cstheme="minorHAnsi"/>
              </w:rPr>
              <w:t>)</w:t>
            </w:r>
          </w:p>
        </w:tc>
        <w:tc>
          <w:tcPr>
            <w:tcW w:w="1260" w:type="dxa"/>
            <w:tcBorders>
              <w:top w:val="single" w:sz="8" w:space="0" w:color="000000" w:themeColor="text1"/>
              <w:left w:val="nil"/>
              <w:bottom w:val="double" w:sz="4" w:space="0" w:color="000000" w:themeColor="text1"/>
              <w:right w:val="nil"/>
            </w:tcBorders>
            <w:shd w:val="clear" w:color="auto" w:fill="F2F2F2" w:themeFill="background1" w:themeFillShade="F2"/>
            <w:noWrap/>
            <w:vAlign w:val="bottom"/>
            <w:hideMark/>
          </w:tcPr>
          <w:p w14:paraId="642D1AF0" w14:textId="77777777" w:rsidR="001B6918" w:rsidRPr="004E6649" w:rsidRDefault="001B6918" w:rsidP="00730ECF">
            <w:pPr>
              <w:jc w:val="right"/>
              <w:rPr>
                <w:rFonts w:eastAsia="Times New Roman" w:cstheme="minorHAnsi"/>
              </w:rPr>
            </w:pPr>
            <w:r w:rsidRPr="004E6649">
              <w:rPr>
                <w:rFonts w:cstheme="minorHAnsi"/>
              </w:rPr>
              <w:t xml:space="preserve"> $(</w:t>
            </w:r>
            <w:r>
              <w:rPr>
                <w:rFonts w:cstheme="minorHAnsi"/>
              </w:rPr>
              <w:t>34,433</w:t>
            </w:r>
            <w:r w:rsidRPr="004E6649">
              <w:rPr>
                <w:rFonts w:cstheme="minorHAnsi"/>
              </w:rPr>
              <w:t>)</w:t>
            </w:r>
          </w:p>
        </w:tc>
        <w:tc>
          <w:tcPr>
            <w:tcW w:w="1260" w:type="dxa"/>
            <w:tcBorders>
              <w:top w:val="single" w:sz="8" w:space="0" w:color="000000" w:themeColor="text1"/>
              <w:left w:val="nil"/>
              <w:bottom w:val="double" w:sz="4" w:space="0" w:color="000000" w:themeColor="text1"/>
              <w:right w:val="nil"/>
            </w:tcBorders>
            <w:shd w:val="clear" w:color="auto" w:fill="F2F2F2" w:themeFill="background1" w:themeFillShade="F2"/>
            <w:noWrap/>
            <w:vAlign w:val="bottom"/>
            <w:hideMark/>
          </w:tcPr>
          <w:p w14:paraId="316F6844" w14:textId="77777777" w:rsidR="001B6918" w:rsidRPr="004E6649" w:rsidRDefault="001B6918" w:rsidP="00730ECF">
            <w:pPr>
              <w:jc w:val="right"/>
              <w:rPr>
                <w:rFonts w:eastAsia="Times New Roman" w:cstheme="minorHAnsi"/>
              </w:rPr>
            </w:pPr>
            <w:r w:rsidRPr="004E6649">
              <w:rPr>
                <w:rFonts w:cstheme="minorHAnsi"/>
              </w:rPr>
              <w:t xml:space="preserve"> $(</w:t>
            </w:r>
            <w:r>
              <w:rPr>
                <w:rFonts w:cstheme="minorHAnsi"/>
              </w:rPr>
              <w:t>13,188</w:t>
            </w:r>
            <w:r w:rsidRPr="004E6649">
              <w:rPr>
                <w:rFonts w:cstheme="minorHAnsi"/>
              </w:rPr>
              <w:t>)</w:t>
            </w:r>
          </w:p>
        </w:tc>
      </w:tr>
    </w:tbl>
    <w:p w14:paraId="0698EC09" w14:textId="77777777" w:rsidR="001B6918" w:rsidRPr="004E6649" w:rsidRDefault="001B6918" w:rsidP="001B6918">
      <w:pPr>
        <w:spacing w:after="160" w:line="259" w:lineRule="auto"/>
        <w:rPr>
          <w:rFonts w:eastAsiaTheme="majorEastAsia" w:cstheme="minorHAnsi"/>
          <w:b/>
          <w:i/>
          <w:iCs/>
          <w:smallCaps/>
          <w:noProof/>
          <w:color w:val="000000" w:themeColor="text1"/>
          <w:szCs w:val="24"/>
          <w:u w:color="5B9BD5"/>
        </w:rPr>
      </w:pPr>
      <w:r w:rsidRPr="004E6649">
        <w:rPr>
          <w:rFonts w:eastAsiaTheme="majorEastAsia" w:cstheme="minorHAnsi"/>
          <w:b/>
          <w:i/>
          <w:iCs/>
          <w:smallCaps/>
          <w:noProof/>
          <w:color w:val="000000" w:themeColor="text1"/>
          <w:szCs w:val="24"/>
          <w:u w:color="5B9BD5"/>
        </w:rPr>
        <w:br w:type="page"/>
      </w:r>
    </w:p>
    <w:p w14:paraId="33A3B783" w14:textId="77777777" w:rsidR="001B6918" w:rsidRPr="00A02D27" w:rsidRDefault="001B6918" w:rsidP="001B6918">
      <w:pPr>
        <w:spacing w:after="160"/>
        <w:rPr>
          <w:rFonts w:eastAsiaTheme="majorEastAsia" w:cstheme="minorHAnsi"/>
          <w:b/>
          <w:i/>
          <w:iCs/>
          <w:smallCaps/>
          <w:noProof/>
          <w:color w:val="000000" w:themeColor="text1"/>
          <w:sz w:val="24"/>
          <w:szCs w:val="24"/>
          <w:u w:color="5B9BD5"/>
        </w:rPr>
      </w:pPr>
      <w:r w:rsidRPr="00A02D27">
        <w:rPr>
          <w:rFonts w:eastAsiaTheme="majorEastAsia" w:cstheme="minorHAnsi"/>
          <w:b/>
          <w:i/>
          <w:iCs/>
          <w:smallCaps/>
          <w:noProof/>
          <w:color w:val="000000" w:themeColor="text1"/>
          <w:sz w:val="24"/>
          <w:szCs w:val="24"/>
          <w:u w:color="5B9BD5"/>
        </w:rPr>
        <w:lastRenderedPageBreak/>
        <w:t>14. POSTEMPLOYMENT HEALTH PLAN - CONTINUED</w:t>
      </w:r>
    </w:p>
    <w:p w14:paraId="2AC3F6CE" w14:textId="77777777" w:rsidR="001B6918" w:rsidRPr="004E6649" w:rsidRDefault="001B6918" w:rsidP="001B6918">
      <w:pPr>
        <w:tabs>
          <w:tab w:val="left" w:pos="900"/>
        </w:tabs>
        <w:spacing w:after="240"/>
        <w:ind w:right="-7"/>
        <w:rPr>
          <w:rFonts w:cstheme="minorHAnsi"/>
        </w:rPr>
      </w:pPr>
      <w:r w:rsidRPr="004E6649">
        <w:rPr>
          <w:rFonts w:cstheme="minorHAnsi"/>
          <w:color w:val="222222"/>
          <w:sz w:val="24"/>
          <w:shd w:val="clear" w:color="auto" w:fill="FFFFFF"/>
        </w:rPr>
        <w:t xml:space="preserve">Changes in the net </w:t>
      </w:r>
      <w:proofErr w:type="spellStart"/>
      <w:r w:rsidRPr="004E6649">
        <w:rPr>
          <w:rFonts w:cstheme="minorHAnsi"/>
          <w:color w:val="222222"/>
          <w:sz w:val="24"/>
          <w:shd w:val="clear" w:color="auto" w:fill="FFFFFF"/>
        </w:rPr>
        <w:t>OPEB</w:t>
      </w:r>
      <w:proofErr w:type="spellEnd"/>
      <w:r w:rsidRPr="004E6649">
        <w:rPr>
          <w:rFonts w:cstheme="minorHAnsi"/>
          <w:color w:val="222222"/>
          <w:sz w:val="24"/>
          <w:shd w:val="clear" w:color="auto" w:fill="FFFFFF"/>
        </w:rPr>
        <w:t xml:space="preserve"> liability:</w:t>
      </w:r>
      <w:r w:rsidRPr="004E6649">
        <w:rPr>
          <w:rFonts w:cstheme="minorHAnsi"/>
        </w:rPr>
        <w:fldChar w:fldCharType="begin"/>
      </w:r>
      <w:r w:rsidRPr="004E6649">
        <w:rPr>
          <w:rFonts w:cstheme="minorHAnsi"/>
        </w:rPr>
        <w:fldChar w:fldCharType="end"/>
      </w:r>
    </w:p>
    <w:tbl>
      <w:tblPr>
        <w:tblW w:w="8931" w:type="dxa"/>
        <w:jc w:val="center"/>
        <w:tblLook w:val="04A0" w:firstRow="1" w:lastRow="0" w:firstColumn="1" w:lastColumn="0" w:noHBand="0" w:noVBand="1"/>
      </w:tblPr>
      <w:tblGrid>
        <w:gridCol w:w="5670"/>
        <w:gridCol w:w="1664"/>
        <w:gridCol w:w="1597"/>
      </w:tblGrid>
      <w:tr w:rsidR="001B6918" w:rsidRPr="004E6649" w14:paraId="585AF559" w14:textId="77777777" w:rsidTr="00730ECF">
        <w:trPr>
          <w:trHeight w:val="324"/>
          <w:tblHeader/>
          <w:jc w:val="center"/>
        </w:trPr>
        <w:tc>
          <w:tcPr>
            <w:tcW w:w="5670" w:type="dxa"/>
            <w:tcBorders>
              <w:top w:val="nil"/>
              <w:left w:val="nil"/>
              <w:bottom w:val="single" w:sz="12" w:space="0" w:color="000000" w:themeColor="text1"/>
              <w:right w:val="nil"/>
            </w:tcBorders>
            <w:shd w:val="clear" w:color="000000" w:fill="FFFFFF"/>
            <w:vAlign w:val="bottom"/>
            <w:hideMark/>
          </w:tcPr>
          <w:p w14:paraId="3AE00AFD" w14:textId="77777777" w:rsidR="001B6918" w:rsidRPr="004E6649" w:rsidRDefault="001B6918" w:rsidP="00730ECF">
            <w:pPr>
              <w:rPr>
                <w:rFonts w:eastAsia="Times New Roman" w:cstheme="minorHAnsi"/>
                <w:b/>
                <w:bCs/>
                <w:color w:val="0D0D0D"/>
              </w:rPr>
            </w:pPr>
            <w:r w:rsidRPr="004E6649">
              <w:rPr>
                <w:rFonts w:eastAsia="Times New Roman" w:cstheme="minorHAnsi"/>
                <w:b/>
                <w:bCs/>
                <w:color w:val="0D0D0D"/>
              </w:rPr>
              <w:t>Fiscal Year Ended June 30</w:t>
            </w:r>
          </w:p>
        </w:tc>
        <w:tc>
          <w:tcPr>
            <w:tcW w:w="1664" w:type="dxa"/>
            <w:tcBorders>
              <w:top w:val="nil"/>
              <w:left w:val="nil"/>
              <w:bottom w:val="single" w:sz="12" w:space="0" w:color="000000" w:themeColor="text1"/>
              <w:right w:val="nil"/>
            </w:tcBorders>
            <w:shd w:val="clear" w:color="000000" w:fill="FFFFFF"/>
            <w:noWrap/>
            <w:vAlign w:val="bottom"/>
            <w:hideMark/>
          </w:tcPr>
          <w:p w14:paraId="401250B2"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202</w:t>
            </w:r>
            <w:r>
              <w:rPr>
                <w:rFonts w:eastAsia="Times New Roman" w:cstheme="minorHAnsi"/>
                <w:b/>
                <w:bCs/>
                <w:color w:val="0D0D0D"/>
              </w:rPr>
              <w:t>5</w:t>
            </w:r>
          </w:p>
        </w:tc>
        <w:tc>
          <w:tcPr>
            <w:tcW w:w="1597" w:type="dxa"/>
            <w:tcBorders>
              <w:top w:val="nil"/>
              <w:left w:val="nil"/>
              <w:bottom w:val="single" w:sz="12" w:space="0" w:color="000000" w:themeColor="text1"/>
              <w:right w:val="nil"/>
            </w:tcBorders>
            <w:shd w:val="clear" w:color="auto" w:fill="F2F2F2" w:themeFill="background1" w:themeFillShade="F2"/>
            <w:noWrap/>
            <w:vAlign w:val="bottom"/>
            <w:hideMark/>
          </w:tcPr>
          <w:p w14:paraId="19AE8CC4"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202</w:t>
            </w:r>
            <w:r>
              <w:rPr>
                <w:rFonts w:eastAsia="Times New Roman" w:cstheme="minorHAnsi"/>
                <w:b/>
                <w:bCs/>
                <w:color w:val="0D0D0D"/>
              </w:rPr>
              <w:t>4</w:t>
            </w:r>
          </w:p>
        </w:tc>
      </w:tr>
      <w:tr w:rsidR="001B6918" w:rsidRPr="004E6649" w14:paraId="23440C98" w14:textId="77777777" w:rsidTr="00730ECF">
        <w:trPr>
          <w:trHeight w:val="69"/>
          <w:jc w:val="center"/>
        </w:trPr>
        <w:tc>
          <w:tcPr>
            <w:tcW w:w="5670" w:type="dxa"/>
            <w:tcBorders>
              <w:top w:val="single" w:sz="12" w:space="0" w:color="000000" w:themeColor="text1"/>
              <w:left w:val="nil"/>
              <w:bottom w:val="nil"/>
              <w:right w:val="nil"/>
            </w:tcBorders>
            <w:shd w:val="clear" w:color="000000" w:fill="FFFFFF"/>
            <w:vAlign w:val="bottom"/>
            <w:hideMark/>
          </w:tcPr>
          <w:p w14:paraId="34832F60"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 xml:space="preserve">Total OPEB liability – beginning </w:t>
            </w:r>
          </w:p>
        </w:tc>
        <w:tc>
          <w:tcPr>
            <w:tcW w:w="1664" w:type="dxa"/>
            <w:tcBorders>
              <w:top w:val="single" w:sz="12" w:space="0" w:color="000000" w:themeColor="text1"/>
              <w:left w:val="nil"/>
              <w:bottom w:val="nil"/>
              <w:right w:val="nil"/>
            </w:tcBorders>
            <w:shd w:val="clear" w:color="000000" w:fill="FFFFFF"/>
            <w:noWrap/>
            <w:vAlign w:val="bottom"/>
            <w:hideMark/>
          </w:tcPr>
          <w:p w14:paraId="27BD39C3" w14:textId="77777777" w:rsidR="001B6918" w:rsidRPr="002504E7" w:rsidRDefault="001B6918" w:rsidP="00730ECF">
            <w:pPr>
              <w:tabs>
                <w:tab w:val="left" w:pos="587"/>
              </w:tabs>
              <w:jc w:val="right"/>
              <w:rPr>
                <w:rFonts w:eastAsia="Times New Roman" w:cstheme="minorHAnsi"/>
              </w:rPr>
            </w:pPr>
            <w:r w:rsidRPr="002504E7">
              <w:rPr>
                <w:rFonts w:cstheme="minorHAnsi"/>
              </w:rPr>
              <w:t>$161,558</w:t>
            </w:r>
          </w:p>
        </w:tc>
        <w:tc>
          <w:tcPr>
            <w:tcW w:w="1597" w:type="dxa"/>
            <w:tcBorders>
              <w:top w:val="single" w:sz="12" w:space="0" w:color="000000" w:themeColor="text1"/>
              <w:left w:val="nil"/>
              <w:bottom w:val="nil"/>
              <w:right w:val="nil"/>
            </w:tcBorders>
            <w:shd w:val="clear" w:color="auto" w:fill="F2F2F2" w:themeFill="background1" w:themeFillShade="F2"/>
            <w:noWrap/>
            <w:vAlign w:val="bottom"/>
            <w:hideMark/>
          </w:tcPr>
          <w:p w14:paraId="215DB70C" w14:textId="77777777" w:rsidR="001B6918" w:rsidRPr="004E6649" w:rsidRDefault="001B6918" w:rsidP="00730ECF">
            <w:pPr>
              <w:jc w:val="right"/>
              <w:rPr>
                <w:rFonts w:eastAsia="Times New Roman" w:cstheme="minorHAnsi"/>
                <w:color w:val="0D0D0D"/>
              </w:rPr>
            </w:pPr>
            <w:r w:rsidRPr="004E6649">
              <w:rPr>
                <w:rFonts w:eastAsia="Times New Roman" w:cstheme="minorHAnsi"/>
              </w:rPr>
              <w:t xml:space="preserve">$  </w:t>
            </w:r>
            <w:r>
              <w:rPr>
                <w:rFonts w:eastAsia="Times New Roman" w:cstheme="minorHAnsi"/>
              </w:rPr>
              <w:t>153,258</w:t>
            </w:r>
          </w:p>
        </w:tc>
      </w:tr>
      <w:tr w:rsidR="001B6918" w:rsidRPr="004E6649" w14:paraId="3D6793DC" w14:textId="77777777" w:rsidTr="00730ECF">
        <w:trPr>
          <w:trHeight w:val="153"/>
          <w:jc w:val="center"/>
        </w:trPr>
        <w:tc>
          <w:tcPr>
            <w:tcW w:w="5670" w:type="dxa"/>
            <w:tcBorders>
              <w:top w:val="nil"/>
              <w:left w:val="nil"/>
              <w:bottom w:val="nil"/>
              <w:right w:val="nil"/>
            </w:tcBorders>
            <w:shd w:val="clear" w:color="000000" w:fill="FFFFFF"/>
            <w:vAlign w:val="bottom"/>
            <w:hideMark/>
          </w:tcPr>
          <w:p w14:paraId="04A3F6C5" w14:textId="77777777" w:rsidR="001B6918" w:rsidRPr="004E6649" w:rsidRDefault="001B6918" w:rsidP="00730ECF">
            <w:pPr>
              <w:spacing w:before="120"/>
              <w:rPr>
                <w:rFonts w:eastAsia="Times New Roman" w:cstheme="minorHAnsi"/>
                <w:color w:val="0D0D0D"/>
              </w:rPr>
            </w:pPr>
            <w:r w:rsidRPr="004E6649">
              <w:rPr>
                <w:rFonts w:eastAsia="Times New Roman" w:cstheme="minorHAnsi"/>
                <w:color w:val="0D0D0D"/>
              </w:rPr>
              <w:t>Changes for the year:</w:t>
            </w:r>
          </w:p>
        </w:tc>
        <w:tc>
          <w:tcPr>
            <w:tcW w:w="1664" w:type="dxa"/>
            <w:tcBorders>
              <w:top w:val="nil"/>
              <w:left w:val="nil"/>
              <w:bottom w:val="nil"/>
              <w:right w:val="nil"/>
            </w:tcBorders>
            <w:shd w:val="clear" w:color="000000" w:fill="FFFFFF"/>
            <w:noWrap/>
            <w:vAlign w:val="bottom"/>
            <w:hideMark/>
          </w:tcPr>
          <w:p w14:paraId="213E84FD" w14:textId="77777777" w:rsidR="001B6918" w:rsidRPr="002504E7" w:rsidRDefault="001B6918" w:rsidP="00730ECF">
            <w:pPr>
              <w:spacing w:before="120"/>
              <w:jc w:val="right"/>
              <w:rPr>
                <w:rFonts w:eastAsia="Times New Roman" w:cstheme="minorHAnsi"/>
              </w:rPr>
            </w:pPr>
            <w:r w:rsidRPr="002504E7">
              <w:rPr>
                <w:rFonts w:cstheme="minorHAnsi"/>
              </w:rPr>
              <w:t> </w:t>
            </w:r>
          </w:p>
        </w:tc>
        <w:tc>
          <w:tcPr>
            <w:tcW w:w="1597" w:type="dxa"/>
            <w:tcBorders>
              <w:top w:val="nil"/>
              <w:left w:val="nil"/>
              <w:bottom w:val="nil"/>
              <w:right w:val="nil"/>
            </w:tcBorders>
            <w:shd w:val="clear" w:color="auto" w:fill="F2F2F2" w:themeFill="background1" w:themeFillShade="F2"/>
            <w:noWrap/>
            <w:vAlign w:val="bottom"/>
            <w:hideMark/>
          </w:tcPr>
          <w:p w14:paraId="768091D5" w14:textId="77777777" w:rsidR="001B6918" w:rsidRPr="004E6649" w:rsidRDefault="001B6918" w:rsidP="00730ECF">
            <w:pPr>
              <w:spacing w:before="120"/>
              <w:jc w:val="right"/>
              <w:rPr>
                <w:rFonts w:eastAsia="Times New Roman" w:cstheme="minorHAnsi"/>
                <w:color w:val="0D0D0D"/>
              </w:rPr>
            </w:pPr>
            <w:r w:rsidRPr="004E6649">
              <w:rPr>
                <w:rFonts w:eastAsia="Times New Roman" w:cstheme="minorHAnsi"/>
              </w:rPr>
              <w:t> </w:t>
            </w:r>
          </w:p>
        </w:tc>
      </w:tr>
      <w:tr w:rsidR="001B6918" w:rsidRPr="004E6649" w14:paraId="23D6D319" w14:textId="77777777" w:rsidTr="00730ECF">
        <w:trPr>
          <w:trHeight w:val="117"/>
          <w:jc w:val="center"/>
        </w:trPr>
        <w:tc>
          <w:tcPr>
            <w:tcW w:w="5670" w:type="dxa"/>
            <w:tcBorders>
              <w:top w:val="nil"/>
              <w:left w:val="nil"/>
              <w:bottom w:val="nil"/>
              <w:right w:val="nil"/>
            </w:tcBorders>
            <w:shd w:val="clear" w:color="000000" w:fill="FFFFFF"/>
            <w:vAlign w:val="bottom"/>
            <w:hideMark/>
          </w:tcPr>
          <w:p w14:paraId="49A045F3" w14:textId="77777777" w:rsidR="001B6918" w:rsidRPr="004E6649" w:rsidRDefault="001B6918" w:rsidP="00730ECF">
            <w:pPr>
              <w:ind w:left="252"/>
              <w:rPr>
                <w:rFonts w:eastAsia="Times New Roman" w:cstheme="minorHAnsi"/>
                <w:color w:val="0D0D0D"/>
              </w:rPr>
            </w:pPr>
            <w:r w:rsidRPr="004E6649">
              <w:rPr>
                <w:rFonts w:eastAsia="Times New Roman" w:cstheme="minorHAnsi"/>
                <w:color w:val="0D0D0D"/>
              </w:rPr>
              <w:t>Service cost</w:t>
            </w:r>
          </w:p>
        </w:tc>
        <w:tc>
          <w:tcPr>
            <w:tcW w:w="1664" w:type="dxa"/>
            <w:tcBorders>
              <w:top w:val="nil"/>
              <w:left w:val="nil"/>
              <w:bottom w:val="nil"/>
              <w:right w:val="nil"/>
            </w:tcBorders>
            <w:shd w:val="clear" w:color="000000" w:fill="FFFFFF"/>
            <w:noWrap/>
            <w:vAlign w:val="bottom"/>
            <w:hideMark/>
          </w:tcPr>
          <w:p w14:paraId="24A84BC1" w14:textId="77777777" w:rsidR="001B6918" w:rsidRPr="002504E7" w:rsidRDefault="001B6918" w:rsidP="00730ECF">
            <w:pPr>
              <w:jc w:val="right"/>
              <w:rPr>
                <w:rFonts w:eastAsia="Times New Roman" w:cstheme="minorHAnsi"/>
              </w:rPr>
            </w:pPr>
            <w:r w:rsidRPr="002504E7">
              <w:rPr>
                <w:rFonts w:cstheme="minorHAnsi"/>
              </w:rPr>
              <w:t>6,112</w:t>
            </w:r>
          </w:p>
        </w:tc>
        <w:tc>
          <w:tcPr>
            <w:tcW w:w="1597" w:type="dxa"/>
            <w:tcBorders>
              <w:top w:val="nil"/>
              <w:left w:val="nil"/>
              <w:bottom w:val="nil"/>
              <w:right w:val="nil"/>
            </w:tcBorders>
            <w:shd w:val="clear" w:color="auto" w:fill="F2F2F2" w:themeFill="background1" w:themeFillShade="F2"/>
            <w:noWrap/>
            <w:vAlign w:val="bottom"/>
            <w:hideMark/>
          </w:tcPr>
          <w:p w14:paraId="676EE1BC" w14:textId="77777777" w:rsidR="001B6918" w:rsidRPr="004E6649" w:rsidRDefault="001B6918" w:rsidP="00730ECF">
            <w:pPr>
              <w:jc w:val="right"/>
              <w:rPr>
                <w:rFonts w:eastAsia="Times New Roman" w:cstheme="minorHAnsi"/>
                <w:color w:val="0D0D0D"/>
              </w:rPr>
            </w:pPr>
            <w:r>
              <w:rPr>
                <w:rFonts w:cstheme="minorHAnsi"/>
              </w:rPr>
              <w:t>5,905</w:t>
            </w:r>
            <w:r w:rsidRPr="004E6649">
              <w:rPr>
                <w:rFonts w:cstheme="minorHAnsi"/>
              </w:rPr>
              <w:t xml:space="preserve"> </w:t>
            </w:r>
          </w:p>
        </w:tc>
      </w:tr>
      <w:tr w:rsidR="001B6918" w:rsidRPr="004E6649" w14:paraId="0CDFE4DF" w14:textId="77777777" w:rsidTr="00730ECF">
        <w:trPr>
          <w:trHeight w:val="126"/>
          <w:jc w:val="center"/>
        </w:trPr>
        <w:tc>
          <w:tcPr>
            <w:tcW w:w="5670" w:type="dxa"/>
            <w:tcBorders>
              <w:top w:val="nil"/>
              <w:left w:val="nil"/>
              <w:bottom w:val="nil"/>
              <w:right w:val="nil"/>
            </w:tcBorders>
            <w:shd w:val="clear" w:color="000000" w:fill="FFFFFF"/>
            <w:vAlign w:val="bottom"/>
            <w:hideMark/>
          </w:tcPr>
          <w:p w14:paraId="036D2BD8" w14:textId="77777777" w:rsidR="001B6918" w:rsidRPr="004E6649" w:rsidRDefault="001B6918" w:rsidP="00730ECF">
            <w:pPr>
              <w:ind w:left="252"/>
              <w:rPr>
                <w:rFonts w:eastAsia="Times New Roman" w:cstheme="minorHAnsi"/>
                <w:color w:val="0D0D0D"/>
              </w:rPr>
            </w:pPr>
            <w:r w:rsidRPr="004E6649">
              <w:rPr>
                <w:rFonts w:eastAsia="Times New Roman" w:cstheme="minorHAnsi"/>
                <w:color w:val="0D0D0D"/>
              </w:rPr>
              <w:t>Interest</w:t>
            </w:r>
          </w:p>
        </w:tc>
        <w:tc>
          <w:tcPr>
            <w:tcW w:w="1664" w:type="dxa"/>
            <w:tcBorders>
              <w:top w:val="nil"/>
              <w:left w:val="nil"/>
              <w:bottom w:val="nil"/>
              <w:right w:val="nil"/>
            </w:tcBorders>
            <w:shd w:val="clear" w:color="000000" w:fill="FFFFFF"/>
            <w:noWrap/>
            <w:vAlign w:val="bottom"/>
            <w:hideMark/>
          </w:tcPr>
          <w:p w14:paraId="0E37B512" w14:textId="77777777" w:rsidR="001B6918" w:rsidRPr="002504E7" w:rsidRDefault="001B6918" w:rsidP="00730ECF">
            <w:pPr>
              <w:jc w:val="right"/>
              <w:rPr>
                <w:rFonts w:eastAsia="Times New Roman" w:cstheme="minorHAnsi"/>
              </w:rPr>
            </w:pPr>
            <w:r w:rsidRPr="002504E7">
              <w:rPr>
                <w:rFonts w:cstheme="minorHAnsi"/>
              </w:rPr>
              <w:t xml:space="preserve">11,868 </w:t>
            </w:r>
          </w:p>
        </w:tc>
        <w:tc>
          <w:tcPr>
            <w:tcW w:w="1597" w:type="dxa"/>
            <w:tcBorders>
              <w:top w:val="nil"/>
              <w:left w:val="nil"/>
              <w:bottom w:val="nil"/>
              <w:right w:val="nil"/>
            </w:tcBorders>
            <w:shd w:val="clear" w:color="auto" w:fill="F2F2F2" w:themeFill="background1" w:themeFillShade="F2"/>
            <w:noWrap/>
            <w:vAlign w:val="bottom"/>
            <w:hideMark/>
          </w:tcPr>
          <w:p w14:paraId="0A2A1E7A" w14:textId="77777777" w:rsidR="001B6918" w:rsidRPr="004E6649" w:rsidRDefault="001B6918" w:rsidP="00730ECF">
            <w:pPr>
              <w:jc w:val="right"/>
              <w:rPr>
                <w:rFonts w:eastAsia="Times New Roman" w:cstheme="minorHAnsi"/>
                <w:color w:val="0D0D0D"/>
              </w:rPr>
            </w:pPr>
            <w:r w:rsidRPr="004E6649">
              <w:rPr>
                <w:rFonts w:cstheme="minorHAnsi"/>
              </w:rPr>
              <w:t>1</w:t>
            </w:r>
            <w:r>
              <w:rPr>
                <w:rFonts w:cstheme="minorHAnsi"/>
              </w:rPr>
              <w:t>1,219</w:t>
            </w:r>
            <w:r w:rsidRPr="004E6649">
              <w:rPr>
                <w:rFonts w:cstheme="minorHAnsi"/>
              </w:rPr>
              <w:t xml:space="preserve"> </w:t>
            </w:r>
          </w:p>
        </w:tc>
      </w:tr>
      <w:tr w:rsidR="001B6918" w:rsidRPr="004E6649" w14:paraId="06373861" w14:textId="77777777" w:rsidTr="00730ECF">
        <w:trPr>
          <w:trHeight w:val="81"/>
          <w:jc w:val="center"/>
        </w:trPr>
        <w:tc>
          <w:tcPr>
            <w:tcW w:w="5670" w:type="dxa"/>
            <w:tcBorders>
              <w:top w:val="nil"/>
              <w:left w:val="nil"/>
              <w:bottom w:val="nil"/>
              <w:right w:val="nil"/>
            </w:tcBorders>
            <w:shd w:val="clear" w:color="000000" w:fill="FFFFFF"/>
            <w:noWrap/>
            <w:vAlign w:val="bottom"/>
            <w:hideMark/>
          </w:tcPr>
          <w:p w14:paraId="045BFB7C" w14:textId="77777777" w:rsidR="001B6918" w:rsidRPr="004E6649" w:rsidRDefault="001B6918" w:rsidP="00730ECF">
            <w:pPr>
              <w:ind w:left="252"/>
              <w:rPr>
                <w:rFonts w:eastAsia="Times New Roman" w:cstheme="minorHAnsi"/>
                <w:color w:val="0D0D0D"/>
              </w:rPr>
            </w:pPr>
            <w:r w:rsidRPr="004E6649">
              <w:rPr>
                <w:rFonts w:eastAsia="Times New Roman" w:cstheme="minorHAnsi"/>
                <w:color w:val="0D0D0D"/>
              </w:rPr>
              <w:t xml:space="preserve">Differences between expected and actual experience </w:t>
            </w:r>
          </w:p>
        </w:tc>
        <w:tc>
          <w:tcPr>
            <w:tcW w:w="1664" w:type="dxa"/>
            <w:tcBorders>
              <w:top w:val="nil"/>
              <w:left w:val="nil"/>
              <w:bottom w:val="nil"/>
              <w:right w:val="nil"/>
            </w:tcBorders>
            <w:shd w:val="clear" w:color="000000" w:fill="FFFFFF"/>
            <w:noWrap/>
            <w:vAlign w:val="bottom"/>
            <w:hideMark/>
          </w:tcPr>
          <w:p w14:paraId="57CB6790" w14:textId="77777777" w:rsidR="001B6918" w:rsidRPr="002504E7" w:rsidRDefault="001B6918" w:rsidP="00730ECF">
            <w:pPr>
              <w:jc w:val="right"/>
              <w:rPr>
                <w:rFonts w:eastAsia="Times New Roman" w:cstheme="minorHAnsi"/>
              </w:rPr>
            </w:pPr>
            <w:r w:rsidRPr="002504E7">
              <w:rPr>
                <w:rFonts w:cstheme="minorHAnsi"/>
              </w:rPr>
              <w:t>(17,832)</w:t>
            </w:r>
          </w:p>
        </w:tc>
        <w:tc>
          <w:tcPr>
            <w:tcW w:w="1597" w:type="dxa"/>
            <w:tcBorders>
              <w:top w:val="nil"/>
              <w:left w:val="nil"/>
              <w:bottom w:val="nil"/>
              <w:right w:val="nil"/>
            </w:tcBorders>
            <w:shd w:val="clear" w:color="auto" w:fill="F2F2F2" w:themeFill="background1" w:themeFillShade="F2"/>
            <w:noWrap/>
            <w:vAlign w:val="bottom"/>
            <w:hideMark/>
          </w:tcPr>
          <w:p w14:paraId="3150DCE6" w14:textId="77777777" w:rsidR="001B6918" w:rsidRPr="004E6649" w:rsidRDefault="001B6918" w:rsidP="00730ECF">
            <w:pPr>
              <w:jc w:val="right"/>
              <w:rPr>
                <w:rFonts w:eastAsia="Times New Roman" w:cstheme="minorHAnsi"/>
                <w:color w:val="0D0D0D"/>
              </w:rPr>
            </w:pPr>
            <w:r>
              <w:rPr>
                <w:rFonts w:cstheme="minorHAnsi"/>
              </w:rPr>
              <w:t>-</w:t>
            </w:r>
          </w:p>
        </w:tc>
      </w:tr>
      <w:tr w:rsidR="001B6918" w:rsidRPr="004E6649" w14:paraId="0828B370" w14:textId="77777777" w:rsidTr="00730ECF">
        <w:trPr>
          <w:trHeight w:val="66"/>
          <w:jc w:val="center"/>
        </w:trPr>
        <w:tc>
          <w:tcPr>
            <w:tcW w:w="5670" w:type="dxa"/>
            <w:tcBorders>
              <w:top w:val="nil"/>
              <w:left w:val="nil"/>
              <w:bottom w:val="nil"/>
              <w:right w:val="nil"/>
            </w:tcBorders>
            <w:shd w:val="clear" w:color="000000" w:fill="FFFFFF"/>
            <w:noWrap/>
            <w:vAlign w:val="bottom"/>
            <w:hideMark/>
          </w:tcPr>
          <w:p w14:paraId="0F7A8608" w14:textId="77777777" w:rsidR="001B6918" w:rsidRPr="004E6649" w:rsidRDefault="001B6918" w:rsidP="00730ECF">
            <w:pPr>
              <w:ind w:left="252"/>
              <w:rPr>
                <w:rFonts w:eastAsia="Times New Roman" w:cstheme="minorHAnsi"/>
                <w:color w:val="0D0D0D"/>
              </w:rPr>
            </w:pPr>
            <w:r w:rsidRPr="004E6649">
              <w:rPr>
                <w:rFonts w:eastAsia="Times New Roman" w:cstheme="minorHAnsi"/>
                <w:color w:val="0D0D0D"/>
              </w:rPr>
              <w:t>Changes of assumptions</w:t>
            </w:r>
          </w:p>
        </w:tc>
        <w:tc>
          <w:tcPr>
            <w:tcW w:w="1664" w:type="dxa"/>
            <w:tcBorders>
              <w:top w:val="nil"/>
              <w:left w:val="nil"/>
              <w:bottom w:val="nil"/>
              <w:right w:val="nil"/>
            </w:tcBorders>
            <w:shd w:val="clear" w:color="000000" w:fill="FFFFFF"/>
            <w:noWrap/>
            <w:vAlign w:val="bottom"/>
            <w:hideMark/>
          </w:tcPr>
          <w:p w14:paraId="6A749B7F" w14:textId="77777777" w:rsidR="001B6918" w:rsidRPr="002504E7" w:rsidRDefault="001B6918" w:rsidP="00730ECF">
            <w:pPr>
              <w:jc w:val="right"/>
              <w:rPr>
                <w:rFonts w:eastAsia="Times New Roman" w:cstheme="minorHAnsi"/>
              </w:rPr>
            </w:pPr>
            <w:r w:rsidRPr="002504E7">
              <w:rPr>
                <w:rFonts w:cstheme="minorHAnsi"/>
              </w:rPr>
              <w:t>20,669</w:t>
            </w:r>
          </w:p>
        </w:tc>
        <w:tc>
          <w:tcPr>
            <w:tcW w:w="1597" w:type="dxa"/>
            <w:tcBorders>
              <w:top w:val="nil"/>
              <w:left w:val="nil"/>
              <w:bottom w:val="nil"/>
              <w:right w:val="nil"/>
            </w:tcBorders>
            <w:shd w:val="clear" w:color="auto" w:fill="F2F2F2" w:themeFill="background1" w:themeFillShade="F2"/>
            <w:noWrap/>
            <w:vAlign w:val="bottom"/>
            <w:hideMark/>
          </w:tcPr>
          <w:p w14:paraId="167E58FE" w14:textId="77777777" w:rsidR="001B6918" w:rsidRPr="004E6649" w:rsidRDefault="001B6918" w:rsidP="00730ECF">
            <w:pPr>
              <w:jc w:val="right"/>
              <w:rPr>
                <w:rFonts w:eastAsia="Times New Roman" w:cstheme="minorHAnsi"/>
                <w:color w:val="0D0D0D"/>
              </w:rPr>
            </w:pPr>
            <w:r>
              <w:rPr>
                <w:rFonts w:cstheme="minorHAnsi"/>
              </w:rPr>
              <w:t>-</w:t>
            </w:r>
          </w:p>
        </w:tc>
      </w:tr>
      <w:tr w:rsidR="001B6918" w:rsidRPr="004E6649" w14:paraId="2562747E" w14:textId="77777777" w:rsidTr="00730ECF">
        <w:trPr>
          <w:trHeight w:val="81"/>
          <w:jc w:val="center"/>
        </w:trPr>
        <w:tc>
          <w:tcPr>
            <w:tcW w:w="5670" w:type="dxa"/>
            <w:tcBorders>
              <w:top w:val="nil"/>
              <w:left w:val="nil"/>
              <w:bottom w:val="nil"/>
              <w:right w:val="nil"/>
            </w:tcBorders>
            <w:shd w:val="clear" w:color="000000" w:fill="FFFFFF"/>
            <w:vAlign w:val="bottom"/>
            <w:hideMark/>
          </w:tcPr>
          <w:p w14:paraId="1C7874C8" w14:textId="77777777" w:rsidR="001B6918" w:rsidRPr="004E6649" w:rsidRDefault="001B6918" w:rsidP="00730ECF">
            <w:pPr>
              <w:ind w:left="252"/>
              <w:rPr>
                <w:rFonts w:eastAsia="Times New Roman" w:cstheme="minorHAnsi"/>
                <w:color w:val="0D0D0D"/>
              </w:rPr>
            </w:pPr>
            <w:r w:rsidRPr="004E6649">
              <w:rPr>
                <w:rFonts w:eastAsia="Times New Roman" w:cstheme="minorHAnsi"/>
                <w:color w:val="0D0D0D"/>
              </w:rPr>
              <w:t>Benefit payments</w:t>
            </w:r>
          </w:p>
        </w:tc>
        <w:tc>
          <w:tcPr>
            <w:tcW w:w="1664" w:type="dxa"/>
            <w:tcBorders>
              <w:top w:val="nil"/>
              <w:left w:val="nil"/>
              <w:bottom w:val="nil"/>
              <w:right w:val="nil"/>
            </w:tcBorders>
            <w:shd w:val="clear" w:color="000000" w:fill="FFFFFF"/>
            <w:noWrap/>
            <w:vAlign w:val="bottom"/>
            <w:hideMark/>
          </w:tcPr>
          <w:p w14:paraId="5424CCC2" w14:textId="77777777" w:rsidR="001B6918" w:rsidRPr="002504E7" w:rsidRDefault="001B6918" w:rsidP="00730ECF">
            <w:pPr>
              <w:jc w:val="right"/>
              <w:rPr>
                <w:rFonts w:eastAsia="Times New Roman" w:cstheme="minorHAnsi"/>
              </w:rPr>
            </w:pPr>
            <w:r w:rsidRPr="002504E7">
              <w:rPr>
                <w:rFonts w:cstheme="minorHAnsi"/>
              </w:rPr>
              <w:t>(7,949)</w:t>
            </w:r>
          </w:p>
        </w:tc>
        <w:tc>
          <w:tcPr>
            <w:tcW w:w="1597" w:type="dxa"/>
            <w:tcBorders>
              <w:top w:val="nil"/>
              <w:left w:val="nil"/>
              <w:bottom w:val="nil"/>
              <w:right w:val="nil"/>
            </w:tcBorders>
            <w:shd w:val="clear" w:color="auto" w:fill="F2F2F2" w:themeFill="background1" w:themeFillShade="F2"/>
            <w:noWrap/>
            <w:vAlign w:val="bottom"/>
            <w:hideMark/>
          </w:tcPr>
          <w:p w14:paraId="22D01FD8" w14:textId="77777777" w:rsidR="001B6918" w:rsidRPr="004E6649" w:rsidRDefault="001B6918" w:rsidP="00730ECF">
            <w:pPr>
              <w:jc w:val="right"/>
              <w:rPr>
                <w:rFonts w:eastAsia="Times New Roman" w:cstheme="minorHAnsi"/>
                <w:color w:val="0D0D0D"/>
              </w:rPr>
            </w:pPr>
            <w:r w:rsidRPr="004E6649">
              <w:rPr>
                <w:rFonts w:cstheme="minorHAnsi"/>
              </w:rPr>
              <w:t>(</w:t>
            </w:r>
            <w:r>
              <w:rPr>
                <w:rFonts w:cstheme="minorHAnsi"/>
              </w:rPr>
              <w:t>8,824</w:t>
            </w:r>
            <w:r w:rsidRPr="004E6649">
              <w:rPr>
                <w:rFonts w:cstheme="minorHAnsi"/>
              </w:rPr>
              <w:t>)</w:t>
            </w:r>
          </w:p>
        </w:tc>
      </w:tr>
      <w:tr w:rsidR="001B6918" w:rsidRPr="004E6649" w14:paraId="638B349D" w14:textId="77777777" w:rsidTr="00730ECF">
        <w:trPr>
          <w:trHeight w:val="71"/>
          <w:jc w:val="center"/>
        </w:trPr>
        <w:tc>
          <w:tcPr>
            <w:tcW w:w="5670" w:type="dxa"/>
            <w:tcBorders>
              <w:top w:val="single" w:sz="4" w:space="0" w:color="44546A"/>
              <w:left w:val="nil"/>
              <w:bottom w:val="single" w:sz="4" w:space="0" w:color="44546A"/>
              <w:right w:val="nil"/>
            </w:tcBorders>
            <w:shd w:val="clear" w:color="000000" w:fill="FFFFFF"/>
            <w:vAlign w:val="bottom"/>
            <w:hideMark/>
          </w:tcPr>
          <w:p w14:paraId="4D1BC324"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Total OPEB liability – ending (a)</w:t>
            </w:r>
          </w:p>
        </w:tc>
        <w:tc>
          <w:tcPr>
            <w:tcW w:w="1664" w:type="dxa"/>
            <w:tcBorders>
              <w:top w:val="single" w:sz="4" w:space="0" w:color="44546A"/>
              <w:left w:val="nil"/>
              <w:bottom w:val="single" w:sz="4" w:space="0" w:color="44546A"/>
              <w:right w:val="nil"/>
            </w:tcBorders>
            <w:shd w:val="clear" w:color="000000" w:fill="FFFFFF"/>
            <w:noWrap/>
            <w:vAlign w:val="bottom"/>
            <w:hideMark/>
          </w:tcPr>
          <w:p w14:paraId="3D1A0CDA" w14:textId="77777777" w:rsidR="001B6918" w:rsidRPr="000C08FD" w:rsidRDefault="001B6918" w:rsidP="00730ECF">
            <w:pPr>
              <w:jc w:val="right"/>
              <w:rPr>
                <w:rFonts w:eastAsia="Times New Roman" w:cstheme="minorHAnsi"/>
                <w:color w:val="FF0000"/>
              </w:rPr>
            </w:pPr>
            <w:r w:rsidRPr="002504E7">
              <w:rPr>
                <w:rFonts w:cstheme="minorHAnsi"/>
              </w:rPr>
              <w:t>174,426</w:t>
            </w:r>
          </w:p>
        </w:tc>
        <w:tc>
          <w:tcPr>
            <w:tcW w:w="1597" w:type="dxa"/>
            <w:tcBorders>
              <w:top w:val="single" w:sz="4" w:space="0" w:color="44546A"/>
              <w:left w:val="nil"/>
              <w:bottom w:val="single" w:sz="4" w:space="0" w:color="44546A"/>
              <w:right w:val="nil"/>
            </w:tcBorders>
            <w:shd w:val="clear" w:color="auto" w:fill="F2F2F2" w:themeFill="background1" w:themeFillShade="F2"/>
            <w:noWrap/>
            <w:vAlign w:val="bottom"/>
            <w:hideMark/>
          </w:tcPr>
          <w:p w14:paraId="2B6BD9B1" w14:textId="77777777" w:rsidR="001B6918" w:rsidRPr="004E6649" w:rsidRDefault="001B6918" w:rsidP="00730ECF">
            <w:pPr>
              <w:jc w:val="right"/>
              <w:rPr>
                <w:rFonts w:eastAsia="Times New Roman" w:cstheme="minorHAnsi"/>
                <w:color w:val="0D0D0D"/>
              </w:rPr>
            </w:pPr>
            <w:r>
              <w:rPr>
                <w:rFonts w:eastAsia="Times New Roman" w:cstheme="minorHAnsi"/>
              </w:rPr>
              <w:t>161,558</w:t>
            </w:r>
          </w:p>
        </w:tc>
      </w:tr>
      <w:tr w:rsidR="001B6918" w:rsidRPr="004E6649" w14:paraId="4F7C093F" w14:textId="77777777" w:rsidTr="00730ECF">
        <w:trPr>
          <w:trHeight w:val="206"/>
          <w:jc w:val="center"/>
        </w:trPr>
        <w:tc>
          <w:tcPr>
            <w:tcW w:w="5670" w:type="dxa"/>
            <w:tcBorders>
              <w:top w:val="nil"/>
              <w:left w:val="nil"/>
              <w:bottom w:val="nil"/>
              <w:right w:val="nil"/>
            </w:tcBorders>
            <w:shd w:val="clear" w:color="000000" w:fill="FFFFFF"/>
            <w:vAlign w:val="bottom"/>
            <w:hideMark/>
          </w:tcPr>
          <w:p w14:paraId="6E6E58A7" w14:textId="77777777" w:rsidR="001B6918" w:rsidRPr="004E6649" w:rsidRDefault="001B6918" w:rsidP="00730ECF">
            <w:pPr>
              <w:spacing w:before="120"/>
              <w:rPr>
                <w:rFonts w:eastAsia="Times New Roman" w:cstheme="minorHAnsi"/>
                <w:color w:val="0D0D0D"/>
              </w:rPr>
            </w:pPr>
            <w:r w:rsidRPr="004E6649">
              <w:rPr>
                <w:rFonts w:eastAsia="Times New Roman" w:cstheme="minorHAnsi"/>
                <w:color w:val="0D0D0D"/>
              </w:rPr>
              <w:t xml:space="preserve">Fiduciary net position – beginning </w:t>
            </w:r>
          </w:p>
        </w:tc>
        <w:tc>
          <w:tcPr>
            <w:tcW w:w="1664" w:type="dxa"/>
            <w:tcBorders>
              <w:top w:val="nil"/>
              <w:left w:val="nil"/>
              <w:bottom w:val="nil"/>
              <w:right w:val="nil"/>
            </w:tcBorders>
            <w:shd w:val="clear" w:color="000000" w:fill="FFFFFF"/>
            <w:noWrap/>
            <w:vAlign w:val="bottom"/>
            <w:hideMark/>
          </w:tcPr>
          <w:p w14:paraId="1A4BF4E8" w14:textId="77777777" w:rsidR="001B6918" w:rsidRPr="000C08FD" w:rsidRDefault="001B6918" w:rsidP="00730ECF">
            <w:pPr>
              <w:spacing w:before="120"/>
              <w:jc w:val="right"/>
              <w:rPr>
                <w:rFonts w:eastAsia="Times New Roman" w:cstheme="minorHAnsi"/>
                <w:color w:val="FF0000"/>
              </w:rPr>
            </w:pPr>
            <w:r w:rsidRPr="002504E7">
              <w:rPr>
                <w:rFonts w:cstheme="minorHAnsi"/>
              </w:rPr>
              <w:t>195,991</w:t>
            </w:r>
          </w:p>
        </w:tc>
        <w:tc>
          <w:tcPr>
            <w:tcW w:w="1597" w:type="dxa"/>
            <w:tcBorders>
              <w:top w:val="nil"/>
              <w:left w:val="nil"/>
              <w:bottom w:val="nil"/>
              <w:right w:val="nil"/>
            </w:tcBorders>
            <w:shd w:val="clear" w:color="auto" w:fill="F2F2F2" w:themeFill="background1" w:themeFillShade="F2"/>
            <w:noWrap/>
            <w:vAlign w:val="bottom"/>
            <w:hideMark/>
          </w:tcPr>
          <w:p w14:paraId="6EFF3408" w14:textId="77777777" w:rsidR="001B6918" w:rsidRPr="004E6649" w:rsidRDefault="001B6918" w:rsidP="00730ECF">
            <w:pPr>
              <w:spacing w:before="120"/>
              <w:jc w:val="right"/>
              <w:rPr>
                <w:rFonts w:eastAsia="Times New Roman" w:cstheme="minorHAnsi"/>
                <w:color w:val="0D0D0D"/>
              </w:rPr>
            </w:pPr>
            <w:r>
              <w:rPr>
                <w:rFonts w:cstheme="minorHAnsi"/>
              </w:rPr>
              <w:t>174,427</w:t>
            </w:r>
            <w:r w:rsidRPr="004E6649">
              <w:rPr>
                <w:rFonts w:cstheme="minorHAnsi"/>
              </w:rPr>
              <w:t xml:space="preserve"> </w:t>
            </w:r>
          </w:p>
        </w:tc>
      </w:tr>
      <w:tr w:rsidR="001B6918" w:rsidRPr="004E6649" w14:paraId="3FCC6DC6" w14:textId="77777777" w:rsidTr="00730ECF">
        <w:trPr>
          <w:trHeight w:val="90"/>
          <w:jc w:val="center"/>
        </w:trPr>
        <w:tc>
          <w:tcPr>
            <w:tcW w:w="5670" w:type="dxa"/>
            <w:tcBorders>
              <w:top w:val="nil"/>
              <w:left w:val="nil"/>
              <w:bottom w:val="nil"/>
              <w:right w:val="nil"/>
            </w:tcBorders>
            <w:shd w:val="clear" w:color="000000" w:fill="FFFFFF"/>
            <w:vAlign w:val="bottom"/>
            <w:hideMark/>
          </w:tcPr>
          <w:p w14:paraId="647B96EB" w14:textId="77777777" w:rsidR="001B6918" w:rsidRPr="004E6649" w:rsidRDefault="001B6918" w:rsidP="00730ECF">
            <w:pPr>
              <w:ind w:left="252"/>
              <w:rPr>
                <w:rFonts w:eastAsia="Times New Roman" w:cstheme="minorHAnsi"/>
                <w:color w:val="0D0D0D"/>
              </w:rPr>
            </w:pPr>
            <w:r w:rsidRPr="004E6649">
              <w:rPr>
                <w:rFonts w:eastAsia="Times New Roman" w:cstheme="minorHAnsi"/>
                <w:color w:val="0D0D0D"/>
              </w:rPr>
              <w:t>Contributions – employer</w:t>
            </w:r>
          </w:p>
        </w:tc>
        <w:tc>
          <w:tcPr>
            <w:tcW w:w="1664" w:type="dxa"/>
            <w:tcBorders>
              <w:top w:val="nil"/>
              <w:left w:val="nil"/>
              <w:bottom w:val="nil"/>
              <w:right w:val="nil"/>
            </w:tcBorders>
            <w:shd w:val="clear" w:color="000000" w:fill="FFFFFF"/>
            <w:noWrap/>
            <w:vAlign w:val="bottom"/>
            <w:hideMark/>
          </w:tcPr>
          <w:p w14:paraId="745997D3" w14:textId="77777777" w:rsidR="001B6918" w:rsidRPr="000C08FD" w:rsidRDefault="001B6918" w:rsidP="00730ECF">
            <w:pPr>
              <w:jc w:val="right"/>
              <w:rPr>
                <w:rFonts w:eastAsia="Times New Roman" w:cstheme="minorHAnsi"/>
                <w:color w:val="FF0000"/>
              </w:rPr>
            </w:pPr>
            <w:r w:rsidRPr="002504E7">
              <w:rPr>
                <w:rFonts w:cstheme="minorHAnsi"/>
              </w:rPr>
              <w:t>7,949</w:t>
            </w:r>
          </w:p>
        </w:tc>
        <w:tc>
          <w:tcPr>
            <w:tcW w:w="1597" w:type="dxa"/>
            <w:tcBorders>
              <w:top w:val="nil"/>
              <w:left w:val="nil"/>
              <w:bottom w:val="nil"/>
              <w:right w:val="nil"/>
            </w:tcBorders>
            <w:shd w:val="clear" w:color="auto" w:fill="F2F2F2" w:themeFill="background1" w:themeFillShade="F2"/>
            <w:noWrap/>
            <w:vAlign w:val="bottom"/>
            <w:hideMark/>
          </w:tcPr>
          <w:p w14:paraId="2C226D6B" w14:textId="77777777" w:rsidR="001B6918" w:rsidRPr="004E6649" w:rsidRDefault="001B6918" w:rsidP="00730ECF">
            <w:pPr>
              <w:jc w:val="right"/>
              <w:rPr>
                <w:rFonts w:eastAsia="Times New Roman" w:cstheme="minorHAnsi"/>
                <w:color w:val="0D0D0D"/>
              </w:rPr>
            </w:pPr>
            <w:r>
              <w:rPr>
                <w:rFonts w:cstheme="minorHAnsi"/>
              </w:rPr>
              <w:t>9,718</w:t>
            </w:r>
            <w:r w:rsidRPr="004E6649">
              <w:rPr>
                <w:rFonts w:cstheme="minorHAnsi"/>
              </w:rPr>
              <w:t xml:space="preserve"> </w:t>
            </w:r>
          </w:p>
        </w:tc>
      </w:tr>
      <w:tr w:rsidR="001B6918" w:rsidRPr="004E6649" w14:paraId="0CEF0DA7" w14:textId="77777777" w:rsidTr="00730ECF">
        <w:trPr>
          <w:trHeight w:val="72"/>
          <w:jc w:val="center"/>
        </w:trPr>
        <w:tc>
          <w:tcPr>
            <w:tcW w:w="5670" w:type="dxa"/>
            <w:tcBorders>
              <w:top w:val="nil"/>
              <w:left w:val="nil"/>
              <w:bottom w:val="nil"/>
              <w:right w:val="nil"/>
            </w:tcBorders>
            <w:shd w:val="clear" w:color="000000" w:fill="FFFFFF"/>
            <w:vAlign w:val="bottom"/>
            <w:hideMark/>
          </w:tcPr>
          <w:p w14:paraId="209C1ED9" w14:textId="77777777" w:rsidR="001B6918" w:rsidRPr="004E6649" w:rsidRDefault="001B6918" w:rsidP="00730ECF">
            <w:pPr>
              <w:ind w:left="252"/>
              <w:rPr>
                <w:rFonts w:eastAsia="Times New Roman" w:cstheme="minorHAnsi"/>
                <w:color w:val="0D0D0D"/>
              </w:rPr>
            </w:pPr>
            <w:r w:rsidRPr="004E6649">
              <w:rPr>
                <w:rFonts w:eastAsia="Times New Roman" w:cstheme="minorHAnsi"/>
                <w:color w:val="0D0D0D"/>
              </w:rPr>
              <w:t>Net investment income (loss)</w:t>
            </w:r>
          </w:p>
        </w:tc>
        <w:tc>
          <w:tcPr>
            <w:tcW w:w="1664" w:type="dxa"/>
            <w:tcBorders>
              <w:top w:val="nil"/>
              <w:left w:val="nil"/>
              <w:bottom w:val="nil"/>
              <w:right w:val="nil"/>
            </w:tcBorders>
            <w:shd w:val="clear" w:color="000000" w:fill="FFFFFF"/>
            <w:noWrap/>
            <w:vAlign w:val="bottom"/>
            <w:hideMark/>
          </w:tcPr>
          <w:p w14:paraId="20581D1C" w14:textId="77777777" w:rsidR="001B6918" w:rsidRPr="002504E7" w:rsidRDefault="001B6918" w:rsidP="00730ECF">
            <w:pPr>
              <w:jc w:val="right"/>
              <w:rPr>
                <w:rFonts w:eastAsia="Times New Roman" w:cstheme="minorHAnsi"/>
              </w:rPr>
            </w:pPr>
            <w:r w:rsidRPr="002504E7">
              <w:rPr>
                <w:rFonts w:cstheme="minorHAnsi"/>
              </w:rPr>
              <w:t>19,100</w:t>
            </w:r>
          </w:p>
        </w:tc>
        <w:tc>
          <w:tcPr>
            <w:tcW w:w="1597" w:type="dxa"/>
            <w:tcBorders>
              <w:top w:val="nil"/>
              <w:left w:val="nil"/>
              <w:bottom w:val="nil"/>
              <w:right w:val="nil"/>
            </w:tcBorders>
            <w:shd w:val="clear" w:color="auto" w:fill="F2F2F2" w:themeFill="background1" w:themeFillShade="F2"/>
            <w:noWrap/>
            <w:vAlign w:val="bottom"/>
            <w:hideMark/>
          </w:tcPr>
          <w:p w14:paraId="6F619070" w14:textId="77777777" w:rsidR="001B6918" w:rsidRPr="004E6649" w:rsidRDefault="001B6918" w:rsidP="00730ECF">
            <w:pPr>
              <w:jc w:val="right"/>
              <w:rPr>
                <w:rFonts w:eastAsia="Times New Roman" w:cstheme="minorHAnsi"/>
                <w:color w:val="0D0D0D"/>
              </w:rPr>
            </w:pPr>
            <w:r>
              <w:rPr>
                <w:rFonts w:cstheme="minorHAnsi"/>
              </w:rPr>
              <w:t>20,670</w:t>
            </w:r>
            <w:r w:rsidRPr="004E6649">
              <w:rPr>
                <w:rFonts w:cstheme="minorHAnsi"/>
              </w:rPr>
              <w:t xml:space="preserve"> </w:t>
            </w:r>
          </w:p>
        </w:tc>
      </w:tr>
      <w:tr w:rsidR="001B6918" w:rsidRPr="004E6649" w14:paraId="72197BC4" w14:textId="77777777" w:rsidTr="00730ECF">
        <w:trPr>
          <w:trHeight w:val="68"/>
          <w:jc w:val="center"/>
        </w:trPr>
        <w:tc>
          <w:tcPr>
            <w:tcW w:w="5670" w:type="dxa"/>
            <w:tcBorders>
              <w:top w:val="nil"/>
              <w:left w:val="nil"/>
              <w:bottom w:val="nil"/>
              <w:right w:val="nil"/>
            </w:tcBorders>
            <w:shd w:val="clear" w:color="000000" w:fill="FFFFFF"/>
            <w:vAlign w:val="bottom"/>
            <w:hideMark/>
          </w:tcPr>
          <w:p w14:paraId="49EB87F9" w14:textId="77777777" w:rsidR="001B6918" w:rsidRPr="004E6649" w:rsidRDefault="001B6918" w:rsidP="00730ECF">
            <w:pPr>
              <w:ind w:left="252"/>
              <w:rPr>
                <w:rFonts w:eastAsia="Times New Roman" w:cstheme="minorHAnsi"/>
                <w:color w:val="0D0D0D"/>
              </w:rPr>
            </w:pPr>
            <w:r w:rsidRPr="004E6649">
              <w:rPr>
                <w:rFonts w:eastAsia="Times New Roman" w:cstheme="minorHAnsi"/>
                <w:color w:val="0D0D0D"/>
              </w:rPr>
              <w:t>Benefit payments</w:t>
            </w:r>
          </w:p>
        </w:tc>
        <w:tc>
          <w:tcPr>
            <w:tcW w:w="1664" w:type="dxa"/>
            <w:tcBorders>
              <w:top w:val="nil"/>
              <w:left w:val="nil"/>
              <w:bottom w:val="nil"/>
              <w:right w:val="nil"/>
            </w:tcBorders>
            <w:shd w:val="clear" w:color="000000" w:fill="FFFFFF"/>
            <w:noWrap/>
            <w:vAlign w:val="bottom"/>
            <w:hideMark/>
          </w:tcPr>
          <w:p w14:paraId="6BCC4029" w14:textId="77777777" w:rsidR="001B6918" w:rsidRPr="002504E7" w:rsidRDefault="001B6918" w:rsidP="00730ECF">
            <w:pPr>
              <w:jc w:val="right"/>
              <w:rPr>
                <w:rFonts w:eastAsia="Times New Roman" w:cstheme="minorHAnsi"/>
              </w:rPr>
            </w:pPr>
            <w:r w:rsidRPr="002504E7">
              <w:rPr>
                <w:rFonts w:cstheme="minorHAnsi"/>
              </w:rPr>
              <w:t>(7,949)</w:t>
            </w:r>
          </w:p>
        </w:tc>
        <w:tc>
          <w:tcPr>
            <w:tcW w:w="1597" w:type="dxa"/>
            <w:tcBorders>
              <w:top w:val="nil"/>
              <w:left w:val="nil"/>
              <w:bottom w:val="nil"/>
              <w:right w:val="nil"/>
            </w:tcBorders>
            <w:shd w:val="clear" w:color="auto" w:fill="F2F2F2" w:themeFill="background1" w:themeFillShade="F2"/>
            <w:noWrap/>
            <w:vAlign w:val="bottom"/>
            <w:hideMark/>
          </w:tcPr>
          <w:p w14:paraId="15C64388" w14:textId="77777777" w:rsidR="001B6918" w:rsidRPr="004E6649" w:rsidRDefault="001B6918" w:rsidP="00730ECF">
            <w:pPr>
              <w:jc w:val="right"/>
              <w:rPr>
                <w:rFonts w:eastAsia="Times New Roman" w:cstheme="minorHAnsi"/>
                <w:color w:val="0D0D0D"/>
              </w:rPr>
            </w:pPr>
            <w:r w:rsidRPr="004E6649">
              <w:rPr>
                <w:rFonts w:cstheme="minorHAnsi"/>
              </w:rPr>
              <w:t xml:space="preserve"> (</w:t>
            </w:r>
            <w:r>
              <w:rPr>
                <w:rFonts w:cstheme="minorHAnsi"/>
              </w:rPr>
              <w:t>8,824</w:t>
            </w:r>
            <w:r w:rsidRPr="004E6649">
              <w:rPr>
                <w:rFonts w:cstheme="minorHAnsi"/>
              </w:rPr>
              <w:t>)</w:t>
            </w:r>
          </w:p>
        </w:tc>
      </w:tr>
      <w:tr w:rsidR="001B6918" w:rsidRPr="004E6649" w14:paraId="787C7E36" w14:textId="77777777" w:rsidTr="00730ECF">
        <w:trPr>
          <w:trHeight w:val="62"/>
          <w:jc w:val="center"/>
        </w:trPr>
        <w:tc>
          <w:tcPr>
            <w:tcW w:w="5670" w:type="dxa"/>
            <w:tcBorders>
              <w:top w:val="single" w:sz="4" w:space="0" w:color="44546A"/>
              <w:left w:val="nil"/>
              <w:bottom w:val="single" w:sz="4" w:space="0" w:color="44546A"/>
              <w:right w:val="nil"/>
            </w:tcBorders>
            <w:shd w:val="clear" w:color="000000" w:fill="FFFFFF"/>
            <w:vAlign w:val="bottom"/>
            <w:hideMark/>
          </w:tcPr>
          <w:p w14:paraId="56ADF35B"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Fiduciary net position – ending (b)</w:t>
            </w:r>
          </w:p>
        </w:tc>
        <w:tc>
          <w:tcPr>
            <w:tcW w:w="1664" w:type="dxa"/>
            <w:tcBorders>
              <w:top w:val="single" w:sz="4" w:space="0" w:color="44546A"/>
              <w:left w:val="nil"/>
              <w:bottom w:val="single" w:sz="4" w:space="0" w:color="44546A"/>
              <w:right w:val="nil"/>
            </w:tcBorders>
            <w:shd w:val="clear" w:color="000000" w:fill="FFFFFF"/>
            <w:noWrap/>
            <w:vAlign w:val="bottom"/>
            <w:hideMark/>
          </w:tcPr>
          <w:p w14:paraId="6A5DCC4A" w14:textId="77777777" w:rsidR="001B6918" w:rsidRPr="000C08FD" w:rsidRDefault="001B6918" w:rsidP="00730ECF">
            <w:pPr>
              <w:jc w:val="right"/>
              <w:rPr>
                <w:rFonts w:eastAsia="Times New Roman" w:cstheme="minorHAnsi"/>
                <w:color w:val="FF0000"/>
              </w:rPr>
            </w:pPr>
            <w:r w:rsidRPr="002504E7">
              <w:rPr>
                <w:rFonts w:cstheme="minorHAnsi"/>
              </w:rPr>
              <w:t>215,091</w:t>
            </w:r>
          </w:p>
        </w:tc>
        <w:tc>
          <w:tcPr>
            <w:tcW w:w="1597" w:type="dxa"/>
            <w:tcBorders>
              <w:top w:val="single" w:sz="4" w:space="0" w:color="44546A"/>
              <w:left w:val="nil"/>
              <w:bottom w:val="single" w:sz="4" w:space="0" w:color="44546A"/>
              <w:right w:val="nil"/>
            </w:tcBorders>
            <w:shd w:val="clear" w:color="auto" w:fill="F2F2F2" w:themeFill="background1" w:themeFillShade="F2"/>
            <w:noWrap/>
            <w:vAlign w:val="bottom"/>
            <w:hideMark/>
          </w:tcPr>
          <w:p w14:paraId="2B7311BE" w14:textId="77777777" w:rsidR="001B6918" w:rsidRPr="004E6649" w:rsidRDefault="001B6918" w:rsidP="00730ECF">
            <w:pPr>
              <w:jc w:val="right"/>
              <w:rPr>
                <w:rFonts w:eastAsia="Times New Roman" w:cstheme="minorHAnsi"/>
                <w:color w:val="0D0D0D"/>
              </w:rPr>
            </w:pPr>
            <w:r>
              <w:rPr>
                <w:rFonts w:eastAsia="Times New Roman" w:cstheme="minorHAnsi"/>
              </w:rPr>
              <w:t>195,991</w:t>
            </w:r>
          </w:p>
        </w:tc>
      </w:tr>
      <w:tr w:rsidR="001B6918" w:rsidRPr="004E6649" w14:paraId="25B81B02" w14:textId="77777777" w:rsidTr="00730ECF">
        <w:trPr>
          <w:trHeight w:val="58"/>
          <w:jc w:val="center"/>
        </w:trPr>
        <w:tc>
          <w:tcPr>
            <w:tcW w:w="5670" w:type="dxa"/>
            <w:tcBorders>
              <w:top w:val="nil"/>
              <w:left w:val="nil"/>
              <w:bottom w:val="double" w:sz="6" w:space="0" w:color="44546A"/>
              <w:right w:val="nil"/>
            </w:tcBorders>
            <w:shd w:val="clear" w:color="000000" w:fill="FFFFFF"/>
            <w:vAlign w:val="bottom"/>
            <w:hideMark/>
          </w:tcPr>
          <w:p w14:paraId="5B02D5CD" w14:textId="6039C32A" w:rsidR="001B6918" w:rsidRPr="004E6649" w:rsidRDefault="001B6918" w:rsidP="00730ECF">
            <w:pPr>
              <w:spacing w:before="120"/>
              <w:rPr>
                <w:rFonts w:eastAsia="Times New Roman" w:cstheme="minorHAnsi"/>
                <w:color w:val="0D0D0D"/>
              </w:rPr>
            </w:pPr>
            <w:r w:rsidRPr="004E6649">
              <w:rPr>
                <w:rFonts w:eastAsia="Times New Roman" w:cstheme="minorHAnsi"/>
                <w:color w:val="0D0D0D"/>
              </w:rPr>
              <w:t>Net OPEB asset– ending (a)-(b)</w:t>
            </w:r>
          </w:p>
        </w:tc>
        <w:tc>
          <w:tcPr>
            <w:tcW w:w="1664" w:type="dxa"/>
            <w:tcBorders>
              <w:top w:val="nil"/>
              <w:left w:val="nil"/>
              <w:bottom w:val="double" w:sz="6" w:space="0" w:color="44546A"/>
              <w:right w:val="nil"/>
            </w:tcBorders>
            <w:shd w:val="clear" w:color="000000" w:fill="FFFFFF"/>
            <w:noWrap/>
            <w:vAlign w:val="bottom"/>
            <w:hideMark/>
          </w:tcPr>
          <w:p w14:paraId="16D100CD" w14:textId="77777777" w:rsidR="001B6918" w:rsidRPr="000C08FD" w:rsidRDefault="001B6918" w:rsidP="00730ECF">
            <w:pPr>
              <w:spacing w:before="120"/>
              <w:jc w:val="right"/>
              <w:rPr>
                <w:rFonts w:eastAsia="Times New Roman" w:cstheme="minorHAnsi"/>
                <w:color w:val="FF0000"/>
              </w:rPr>
            </w:pPr>
            <w:r w:rsidRPr="002504E7">
              <w:rPr>
                <w:rFonts w:cstheme="minorHAnsi"/>
              </w:rPr>
              <w:t>$(40,665)</w:t>
            </w:r>
          </w:p>
        </w:tc>
        <w:tc>
          <w:tcPr>
            <w:tcW w:w="1597" w:type="dxa"/>
            <w:tcBorders>
              <w:top w:val="nil"/>
              <w:left w:val="nil"/>
              <w:bottom w:val="double" w:sz="6" w:space="0" w:color="44546A"/>
              <w:right w:val="nil"/>
            </w:tcBorders>
            <w:shd w:val="clear" w:color="auto" w:fill="F2F2F2" w:themeFill="background1" w:themeFillShade="F2"/>
            <w:noWrap/>
            <w:vAlign w:val="bottom"/>
            <w:hideMark/>
          </w:tcPr>
          <w:p w14:paraId="6B187E74" w14:textId="77777777" w:rsidR="001B6918" w:rsidRPr="004E6649" w:rsidRDefault="001B6918" w:rsidP="00730ECF">
            <w:pPr>
              <w:spacing w:before="120"/>
              <w:jc w:val="right"/>
              <w:rPr>
                <w:rFonts w:eastAsia="Times New Roman" w:cstheme="minorHAnsi"/>
                <w:color w:val="0D0D0D"/>
              </w:rPr>
            </w:pPr>
            <w:r w:rsidRPr="004E6649">
              <w:rPr>
                <w:rFonts w:eastAsia="Times New Roman" w:cstheme="minorHAnsi"/>
              </w:rPr>
              <w:t xml:space="preserve">$  </w:t>
            </w:r>
            <w:r>
              <w:rPr>
                <w:rFonts w:eastAsia="Times New Roman" w:cstheme="minorHAnsi"/>
              </w:rPr>
              <w:t>(34,433)</w:t>
            </w:r>
          </w:p>
        </w:tc>
      </w:tr>
      <w:tr w:rsidR="001B6918" w:rsidRPr="004E6649" w14:paraId="625F3710" w14:textId="77777777" w:rsidTr="00730ECF">
        <w:trPr>
          <w:trHeight w:val="23"/>
          <w:jc w:val="center"/>
        </w:trPr>
        <w:tc>
          <w:tcPr>
            <w:tcW w:w="5670" w:type="dxa"/>
            <w:tcBorders>
              <w:top w:val="nil"/>
              <w:left w:val="nil"/>
              <w:bottom w:val="nil"/>
              <w:right w:val="nil"/>
            </w:tcBorders>
            <w:shd w:val="clear" w:color="000000" w:fill="FFFFFF"/>
            <w:vAlign w:val="bottom"/>
            <w:hideMark/>
          </w:tcPr>
          <w:p w14:paraId="22F0E0BD" w14:textId="47EC3861" w:rsidR="001B6918" w:rsidRPr="004E6649" w:rsidRDefault="001B6918" w:rsidP="00730ECF">
            <w:pPr>
              <w:spacing w:before="120"/>
              <w:rPr>
                <w:rFonts w:eastAsia="Times New Roman" w:cstheme="minorHAnsi"/>
                <w:color w:val="0D0D0D"/>
              </w:rPr>
            </w:pPr>
            <w:r w:rsidRPr="004E6649">
              <w:rPr>
                <w:rFonts w:eastAsia="Times New Roman" w:cstheme="minorHAnsi"/>
                <w:color w:val="0D0D0D"/>
              </w:rPr>
              <w:t>Plan fiduciary net position as a percentage of the total OPEB asset</w:t>
            </w:r>
          </w:p>
        </w:tc>
        <w:tc>
          <w:tcPr>
            <w:tcW w:w="1664" w:type="dxa"/>
            <w:tcBorders>
              <w:top w:val="nil"/>
              <w:left w:val="nil"/>
              <w:bottom w:val="nil"/>
              <w:right w:val="nil"/>
            </w:tcBorders>
            <w:shd w:val="clear" w:color="000000" w:fill="FFFFFF"/>
            <w:noWrap/>
            <w:vAlign w:val="bottom"/>
            <w:hideMark/>
          </w:tcPr>
          <w:p w14:paraId="0DEA714E" w14:textId="77777777" w:rsidR="001B6918" w:rsidRPr="002504E7" w:rsidRDefault="001B6918" w:rsidP="00730ECF">
            <w:pPr>
              <w:spacing w:before="120"/>
              <w:jc w:val="right"/>
              <w:rPr>
                <w:rFonts w:eastAsia="Times New Roman" w:cstheme="minorHAnsi"/>
              </w:rPr>
            </w:pPr>
            <w:r w:rsidRPr="002504E7">
              <w:rPr>
                <w:rFonts w:cstheme="minorHAnsi"/>
              </w:rPr>
              <w:t>123.31%</w:t>
            </w:r>
          </w:p>
        </w:tc>
        <w:tc>
          <w:tcPr>
            <w:tcW w:w="1597" w:type="dxa"/>
            <w:tcBorders>
              <w:top w:val="nil"/>
              <w:left w:val="nil"/>
              <w:bottom w:val="nil"/>
              <w:right w:val="nil"/>
            </w:tcBorders>
            <w:shd w:val="clear" w:color="auto" w:fill="F2F2F2" w:themeFill="background1" w:themeFillShade="F2"/>
            <w:noWrap/>
            <w:vAlign w:val="bottom"/>
            <w:hideMark/>
          </w:tcPr>
          <w:p w14:paraId="76096B1D" w14:textId="77777777" w:rsidR="001B6918" w:rsidRPr="004E6649" w:rsidRDefault="001B6918" w:rsidP="00730ECF">
            <w:pPr>
              <w:spacing w:before="120"/>
              <w:jc w:val="right"/>
              <w:rPr>
                <w:rFonts w:eastAsia="Times New Roman" w:cstheme="minorHAnsi"/>
                <w:color w:val="0D0D0D"/>
              </w:rPr>
            </w:pPr>
            <w:r>
              <w:rPr>
                <w:rFonts w:eastAsia="Times New Roman" w:cstheme="minorHAnsi"/>
              </w:rPr>
              <w:t>121.31</w:t>
            </w:r>
            <w:r w:rsidRPr="004E6649">
              <w:rPr>
                <w:rFonts w:eastAsia="Times New Roman" w:cstheme="minorHAnsi"/>
              </w:rPr>
              <w:t>%</w:t>
            </w:r>
          </w:p>
        </w:tc>
      </w:tr>
      <w:tr w:rsidR="001B6918" w:rsidRPr="004E6649" w14:paraId="1894A8D4" w14:textId="77777777" w:rsidTr="00730ECF">
        <w:trPr>
          <w:trHeight w:val="68"/>
          <w:jc w:val="center"/>
        </w:trPr>
        <w:tc>
          <w:tcPr>
            <w:tcW w:w="5670" w:type="dxa"/>
            <w:tcBorders>
              <w:top w:val="nil"/>
              <w:left w:val="nil"/>
              <w:bottom w:val="nil"/>
              <w:right w:val="nil"/>
            </w:tcBorders>
            <w:shd w:val="clear" w:color="000000" w:fill="FFFFFF"/>
            <w:noWrap/>
            <w:vAlign w:val="bottom"/>
            <w:hideMark/>
          </w:tcPr>
          <w:p w14:paraId="79D040A5" w14:textId="77777777" w:rsidR="001B6918" w:rsidRPr="004E6649" w:rsidRDefault="001B6918" w:rsidP="00730ECF">
            <w:pPr>
              <w:spacing w:before="120"/>
              <w:rPr>
                <w:rFonts w:eastAsia="Times New Roman" w:cstheme="minorHAnsi"/>
                <w:color w:val="0D0D0D"/>
              </w:rPr>
            </w:pPr>
            <w:r w:rsidRPr="004E6649">
              <w:rPr>
                <w:rFonts w:eastAsia="Times New Roman" w:cstheme="minorHAnsi"/>
                <w:color w:val="0D0D0D"/>
              </w:rPr>
              <w:t>Covered payroll</w:t>
            </w:r>
          </w:p>
        </w:tc>
        <w:tc>
          <w:tcPr>
            <w:tcW w:w="1664" w:type="dxa"/>
            <w:tcBorders>
              <w:top w:val="nil"/>
              <w:left w:val="nil"/>
              <w:bottom w:val="nil"/>
              <w:right w:val="nil"/>
            </w:tcBorders>
            <w:shd w:val="clear" w:color="000000" w:fill="FFFFFF"/>
            <w:noWrap/>
            <w:vAlign w:val="bottom"/>
            <w:hideMark/>
          </w:tcPr>
          <w:p w14:paraId="454CDFFE" w14:textId="77777777" w:rsidR="001B6918" w:rsidRPr="002504E7" w:rsidRDefault="001B6918" w:rsidP="00730ECF">
            <w:pPr>
              <w:spacing w:before="120"/>
              <w:jc w:val="right"/>
              <w:rPr>
                <w:rFonts w:eastAsia="Times New Roman" w:cstheme="minorHAnsi"/>
              </w:rPr>
            </w:pPr>
            <w:r w:rsidRPr="002504E7">
              <w:rPr>
                <w:rFonts w:cstheme="minorHAnsi"/>
              </w:rPr>
              <w:t xml:space="preserve">$  305,479 </w:t>
            </w:r>
          </w:p>
        </w:tc>
        <w:tc>
          <w:tcPr>
            <w:tcW w:w="1597" w:type="dxa"/>
            <w:tcBorders>
              <w:top w:val="nil"/>
              <w:left w:val="nil"/>
              <w:bottom w:val="nil"/>
              <w:right w:val="nil"/>
            </w:tcBorders>
            <w:shd w:val="clear" w:color="auto" w:fill="F2F2F2" w:themeFill="background1" w:themeFillShade="F2"/>
            <w:noWrap/>
            <w:vAlign w:val="bottom"/>
            <w:hideMark/>
          </w:tcPr>
          <w:p w14:paraId="3139FC66" w14:textId="77777777" w:rsidR="001B6918" w:rsidRPr="004E6649" w:rsidRDefault="001B6918" w:rsidP="00730ECF">
            <w:pPr>
              <w:spacing w:before="120"/>
              <w:jc w:val="right"/>
              <w:rPr>
                <w:rFonts w:eastAsia="Times New Roman" w:cstheme="minorHAnsi"/>
                <w:color w:val="0D0D0D"/>
              </w:rPr>
            </w:pPr>
            <w:r w:rsidRPr="004E6649">
              <w:rPr>
                <w:rFonts w:eastAsia="Times New Roman" w:cstheme="minorHAnsi"/>
              </w:rPr>
              <w:t xml:space="preserve">$  </w:t>
            </w:r>
            <w:r>
              <w:rPr>
                <w:rFonts w:eastAsia="Times New Roman" w:cstheme="minorHAnsi"/>
              </w:rPr>
              <w:t>297,954</w:t>
            </w:r>
          </w:p>
        </w:tc>
      </w:tr>
      <w:tr w:rsidR="001B6918" w:rsidRPr="004E6649" w14:paraId="325115D8" w14:textId="77777777" w:rsidTr="00730ECF">
        <w:trPr>
          <w:trHeight w:val="477"/>
          <w:jc w:val="center"/>
        </w:trPr>
        <w:tc>
          <w:tcPr>
            <w:tcW w:w="5670" w:type="dxa"/>
            <w:tcBorders>
              <w:top w:val="nil"/>
              <w:left w:val="nil"/>
              <w:bottom w:val="nil"/>
              <w:right w:val="nil"/>
            </w:tcBorders>
            <w:shd w:val="clear" w:color="000000" w:fill="FFFFFF"/>
            <w:vAlign w:val="bottom"/>
            <w:hideMark/>
          </w:tcPr>
          <w:p w14:paraId="1A1D8357" w14:textId="149058D4" w:rsidR="001B6918" w:rsidRPr="004E6649" w:rsidRDefault="001B6918" w:rsidP="00730ECF">
            <w:pPr>
              <w:spacing w:before="120"/>
              <w:rPr>
                <w:rFonts w:eastAsia="Times New Roman" w:cstheme="minorHAnsi"/>
                <w:color w:val="0D0D0D"/>
              </w:rPr>
            </w:pPr>
            <w:r w:rsidRPr="004E6649">
              <w:rPr>
                <w:rFonts w:eastAsia="Times New Roman" w:cstheme="minorHAnsi"/>
                <w:color w:val="0D0D0D"/>
              </w:rPr>
              <w:t>Net OPEB asset as a percentage of covered employee payroll</w:t>
            </w:r>
          </w:p>
        </w:tc>
        <w:tc>
          <w:tcPr>
            <w:tcW w:w="1664" w:type="dxa"/>
            <w:tcBorders>
              <w:top w:val="nil"/>
              <w:left w:val="nil"/>
              <w:bottom w:val="nil"/>
              <w:right w:val="nil"/>
            </w:tcBorders>
            <w:shd w:val="clear" w:color="000000" w:fill="FFFFFF"/>
            <w:noWrap/>
            <w:vAlign w:val="bottom"/>
            <w:hideMark/>
          </w:tcPr>
          <w:p w14:paraId="79446E87" w14:textId="77777777" w:rsidR="001B6918" w:rsidRPr="002504E7" w:rsidRDefault="001B6918" w:rsidP="00730ECF">
            <w:pPr>
              <w:spacing w:before="120"/>
              <w:jc w:val="right"/>
              <w:rPr>
                <w:rFonts w:eastAsia="Times New Roman" w:cstheme="minorHAnsi"/>
              </w:rPr>
            </w:pPr>
            <w:r w:rsidRPr="002504E7">
              <w:rPr>
                <w:rFonts w:cstheme="minorHAnsi"/>
              </w:rPr>
              <w:t>-13.31%</w:t>
            </w:r>
          </w:p>
        </w:tc>
        <w:tc>
          <w:tcPr>
            <w:tcW w:w="1597" w:type="dxa"/>
            <w:tcBorders>
              <w:top w:val="nil"/>
              <w:left w:val="nil"/>
              <w:bottom w:val="nil"/>
              <w:right w:val="nil"/>
            </w:tcBorders>
            <w:shd w:val="clear" w:color="auto" w:fill="F2F2F2" w:themeFill="background1" w:themeFillShade="F2"/>
            <w:noWrap/>
            <w:vAlign w:val="bottom"/>
            <w:hideMark/>
          </w:tcPr>
          <w:p w14:paraId="51512DA6" w14:textId="77777777" w:rsidR="001B6918" w:rsidRPr="004E6649" w:rsidRDefault="001B6918" w:rsidP="00730ECF">
            <w:pPr>
              <w:spacing w:before="120"/>
              <w:jc w:val="right"/>
              <w:rPr>
                <w:rFonts w:eastAsia="Times New Roman" w:cstheme="minorHAnsi"/>
                <w:color w:val="0D0D0D"/>
              </w:rPr>
            </w:pPr>
            <w:r>
              <w:rPr>
                <w:rFonts w:eastAsia="Times New Roman" w:cstheme="minorHAnsi"/>
              </w:rPr>
              <w:t>-11.56</w:t>
            </w:r>
            <w:r w:rsidRPr="004E6649">
              <w:rPr>
                <w:rFonts w:eastAsia="Times New Roman" w:cstheme="minorHAnsi"/>
              </w:rPr>
              <w:t>%</w:t>
            </w:r>
          </w:p>
        </w:tc>
      </w:tr>
      <w:tr w:rsidR="001B6918" w:rsidRPr="004E6649" w14:paraId="30F9FC10" w14:textId="77777777" w:rsidTr="00730ECF">
        <w:trPr>
          <w:trHeight w:val="270"/>
          <w:jc w:val="center"/>
        </w:trPr>
        <w:tc>
          <w:tcPr>
            <w:tcW w:w="5670" w:type="dxa"/>
            <w:tcBorders>
              <w:top w:val="nil"/>
              <w:left w:val="nil"/>
              <w:bottom w:val="nil"/>
              <w:right w:val="nil"/>
            </w:tcBorders>
            <w:shd w:val="clear" w:color="000000" w:fill="FFFFFF"/>
            <w:vAlign w:val="bottom"/>
            <w:hideMark/>
          </w:tcPr>
          <w:p w14:paraId="6BBFBF75" w14:textId="77777777" w:rsidR="001B6918" w:rsidRPr="004E6649" w:rsidRDefault="001B6918" w:rsidP="00730ECF">
            <w:pPr>
              <w:spacing w:before="120"/>
              <w:rPr>
                <w:rFonts w:eastAsia="Times New Roman" w:cstheme="minorHAnsi"/>
                <w:color w:val="0D0D0D"/>
              </w:rPr>
            </w:pPr>
            <w:r w:rsidRPr="004E6649">
              <w:rPr>
                <w:rFonts w:eastAsia="Times New Roman" w:cstheme="minorHAnsi"/>
                <w:color w:val="0D0D0D"/>
              </w:rPr>
              <w:t>Contributions as a percentage of covered payroll</w:t>
            </w:r>
          </w:p>
        </w:tc>
        <w:tc>
          <w:tcPr>
            <w:tcW w:w="1664" w:type="dxa"/>
            <w:tcBorders>
              <w:top w:val="nil"/>
              <w:left w:val="nil"/>
              <w:bottom w:val="nil"/>
              <w:right w:val="nil"/>
            </w:tcBorders>
            <w:shd w:val="clear" w:color="000000" w:fill="FFFFFF"/>
            <w:noWrap/>
            <w:vAlign w:val="bottom"/>
            <w:hideMark/>
          </w:tcPr>
          <w:p w14:paraId="3620C9FD" w14:textId="77777777" w:rsidR="001B6918" w:rsidRPr="002504E7" w:rsidRDefault="001B6918" w:rsidP="00730ECF">
            <w:pPr>
              <w:spacing w:before="120"/>
              <w:jc w:val="right"/>
              <w:rPr>
                <w:rFonts w:eastAsia="Times New Roman" w:cstheme="minorHAnsi"/>
              </w:rPr>
            </w:pPr>
            <w:r w:rsidRPr="002504E7">
              <w:rPr>
                <w:rFonts w:cstheme="minorHAnsi"/>
              </w:rPr>
              <w:t>2.60%</w:t>
            </w:r>
          </w:p>
        </w:tc>
        <w:tc>
          <w:tcPr>
            <w:tcW w:w="1597" w:type="dxa"/>
            <w:tcBorders>
              <w:top w:val="nil"/>
              <w:left w:val="nil"/>
              <w:bottom w:val="nil"/>
              <w:right w:val="nil"/>
            </w:tcBorders>
            <w:shd w:val="clear" w:color="auto" w:fill="F2F2F2" w:themeFill="background1" w:themeFillShade="F2"/>
            <w:noWrap/>
            <w:vAlign w:val="bottom"/>
            <w:hideMark/>
          </w:tcPr>
          <w:p w14:paraId="22F1CAB3" w14:textId="77777777" w:rsidR="001B6918" w:rsidRPr="004E6649" w:rsidRDefault="001B6918" w:rsidP="00730ECF">
            <w:pPr>
              <w:spacing w:before="120"/>
              <w:jc w:val="right"/>
              <w:rPr>
                <w:rFonts w:eastAsia="Times New Roman" w:cstheme="minorHAnsi"/>
                <w:color w:val="0D0D0D"/>
              </w:rPr>
            </w:pPr>
            <w:r>
              <w:rPr>
                <w:rFonts w:eastAsia="Times New Roman" w:cstheme="minorHAnsi"/>
              </w:rPr>
              <w:t>3.26</w:t>
            </w:r>
            <w:r w:rsidRPr="004E6649">
              <w:rPr>
                <w:rFonts w:eastAsia="Times New Roman" w:cstheme="minorHAnsi"/>
              </w:rPr>
              <w:t>%</w:t>
            </w:r>
          </w:p>
        </w:tc>
      </w:tr>
      <w:tr w:rsidR="001B6918" w:rsidRPr="004E6649" w14:paraId="5382A5C9" w14:textId="77777777" w:rsidTr="00730ECF">
        <w:trPr>
          <w:trHeight w:val="99"/>
          <w:jc w:val="center"/>
        </w:trPr>
        <w:tc>
          <w:tcPr>
            <w:tcW w:w="5670" w:type="dxa"/>
            <w:tcBorders>
              <w:top w:val="nil"/>
              <w:left w:val="nil"/>
              <w:bottom w:val="nil"/>
              <w:right w:val="nil"/>
            </w:tcBorders>
            <w:shd w:val="clear" w:color="000000" w:fill="FFFFFF"/>
            <w:noWrap/>
            <w:vAlign w:val="bottom"/>
            <w:hideMark/>
          </w:tcPr>
          <w:p w14:paraId="0147ACC9" w14:textId="77777777" w:rsidR="001B6918" w:rsidRPr="004E6649" w:rsidRDefault="001B6918" w:rsidP="00730ECF">
            <w:pPr>
              <w:spacing w:before="120"/>
              <w:rPr>
                <w:rFonts w:eastAsia="Times New Roman" w:cstheme="minorHAnsi"/>
                <w:color w:val="0D0D0D"/>
              </w:rPr>
            </w:pPr>
            <w:r w:rsidRPr="004E6649">
              <w:rPr>
                <w:rFonts w:eastAsia="Times New Roman" w:cstheme="minorHAnsi"/>
                <w:color w:val="0D0D0D"/>
              </w:rPr>
              <w:t>Plan assets measured at fair value</w:t>
            </w:r>
          </w:p>
        </w:tc>
        <w:tc>
          <w:tcPr>
            <w:tcW w:w="1664" w:type="dxa"/>
            <w:tcBorders>
              <w:top w:val="nil"/>
              <w:left w:val="nil"/>
              <w:bottom w:val="nil"/>
              <w:right w:val="nil"/>
            </w:tcBorders>
            <w:shd w:val="clear" w:color="000000" w:fill="FFFFFF"/>
            <w:noWrap/>
            <w:vAlign w:val="bottom"/>
            <w:hideMark/>
          </w:tcPr>
          <w:p w14:paraId="35BC4C9F" w14:textId="77777777" w:rsidR="001B6918" w:rsidRPr="002504E7" w:rsidRDefault="001B6918" w:rsidP="00730ECF">
            <w:pPr>
              <w:spacing w:before="120"/>
              <w:jc w:val="right"/>
              <w:rPr>
                <w:rFonts w:eastAsia="Times New Roman" w:cstheme="minorHAnsi"/>
              </w:rPr>
            </w:pPr>
            <w:r w:rsidRPr="002504E7">
              <w:rPr>
                <w:rFonts w:cstheme="minorHAnsi"/>
              </w:rPr>
              <w:t xml:space="preserve">$  215,091 </w:t>
            </w:r>
          </w:p>
        </w:tc>
        <w:tc>
          <w:tcPr>
            <w:tcW w:w="1597" w:type="dxa"/>
            <w:tcBorders>
              <w:top w:val="nil"/>
              <w:left w:val="nil"/>
              <w:bottom w:val="nil"/>
              <w:right w:val="nil"/>
            </w:tcBorders>
            <w:shd w:val="clear" w:color="auto" w:fill="F2F2F2" w:themeFill="background1" w:themeFillShade="F2"/>
            <w:noWrap/>
            <w:vAlign w:val="bottom"/>
            <w:hideMark/>
          </w:tcPr>
          <w:p w14:paraId="13D4530C" w14:textId="77777777" w:rsidR="001B6918" w:rsidRPr="004E6649" w:rsidRDefault="001B6918" w:rsidP="00730ECF">
            <w:pPr>
              <w:spacing w:before="120"/>
              <w:jc w:val="right"/>
              <w:rPr>
                <w:rFonts w:eastAsia="Times New Roman" w:cstheme="minorHAnsi"/>
                <w:color w:val="0D0D0D"/>
              </w:rPr>
            </w:pPr>
            <w:r w:rsidRPr="004E6649">
              <w:rPr>
                <w:rFonts w:eastAsia="Times New Roman" w:cstheme="minorHAnsi"/>
              </w:rPr>
              <w:t xml:space="preserve">$  </w:t>
            </w:r>
            <w:r>
              <w:rPr>
                <w:rFonts w:eastAsia="Times New Roman" w:cstheme="minorHAnsi"/>
              </w:rPr>
              <w:t>195,991</w:t>
            </w:r>
          </w:p>
        </w:tc>
      </w:tr>
    </w:tbl>
    <w:p w14:paraId="561EF339" w14:textId="77777777" w:rsidR="001B6918" w:rsidRPr="004E6649" w:rsidRDefault="001B6918" w:rsidP="001B6918">
      <w:pPr>
        <w:tabs>
          <w:tab w:val="left" w:pos="900"/>
        </w:tabs>
        <w:spacing w:before="120" w:after="120"/>
        <w:ind w:right="-7"/>
        <w:rPr>
          <w:rFonts w:eastAsiaTheme="majorEastAsia" w:cstheme="minorHAnsi"/>
          <w:b/>
          <w:i/>
          <w:iCs/>
          <w:smallCaps/>
          <w:noProof/>
          <w:color w:val="000000" w:themeColor="text1"/>
          <w:sz w:val="32"/>
          <w:szCs w:val="28"/>
          <w:u w:color="5B9BD5"/>
        </w:rPr>
      </w:pPr>
      <w:r w:rsidRPr="004E6649">
        <w:rPr>
          <w:rFonts w:cstheme="minorHAnsi"/>
        </w:rPr>
        <w:br w:type="page"/>
      </w:r>
    </w:p>
    <w:p w14:paraId="7C65BE6D" w14:textId="77777777" w:rsidR="001B6918" w:rsidRDefault="001B6918" w:rsidP="001B6918">
      <w:pPr>
        <w:pStyle w:val="AFR2"/>
        <w:pBdr>
          <w:bottom w:val="single" w:sz="8" w:space="1" w:color="0D0D0D" w:themeColor="text1" w:themeTint="F2"/>
        </w:pBdr>
        <w:rPr>
          <w:rFonts w:cstheme="minorHAnsi"/>
          <w:sz w:val="24"/>
          <w:szCs w:val="24"/>
        </w:rPr>
      </w:pPr>
      <w:r w:rsidRPr="00FA354C">
        <w:rPr>
          <w:rFonts w:cstheme="minorHAnsi"/>
          <w:sz w:val="24"/>
          <w:szCs w:val="24"/>
        </w:rPr>
        <w:lastRenderedPageBreak/>
        <w:t>15. PUBLIC-PRIVATE PARTNERSHIP</w:t>
      </w:r>
      <w:r>
        <w:rPr>
          <w:rFonts w:cstheme="minorHAnsi"/>
          <w:sz w:val="24"/>
          <w:szCs w:val="24"/>
        </w:rPr>
        <w:t xml:space="preserve"> </w:t>
      </w:r>
    </w:p>
    <w:p w14:paraId="66474AF0" w14:textId="77777777" w:rsidR="001B6918" w:rsidRDefault="001B6918" w:rsidP="001B6918">
      <w:pPr>
        <w:rPr>
          <w:rFonts w:cstheme="minorHAnsi"/>
          <w:sz w:val="24"/>
          <w:szCs w:val="24"/>
        </w:rPr>
      </w:pPr>
      <w:r>
        <w:rPr>
          <w:rFonts w:cstheme="minorHAnsi"/>
          <w:sz w:val="24"/>
          <w:szCs w:val="24"/>
        </w:rPr>
        <w:t xml:space="preserve">On August 15, 2022, the System entered into a public-private partnership (PPP) with a limited liability corporation (LLC1) for the renovation of two historic buildings and construction of an adjacent 24,800 square foot addition creating a boutique hotel ensemble and extended stay residence consisting of 95 rooms and a café on the University of Maine campus in Orono. The hotel is under the operation of a second limited liability corporation (LLC2) and was opened to the public in March 2024. </w:t>
      </w:r>
      <w:r w:rsidRPr="005E2D9A">
        <w:rPr>
          <w:rFonts w:cstheme="minorHAnsi"/>
          <w:sz w:val="24"/>
          <w:szCs w:val="24"/>
        </w:rPr>
        <w:t xml:space="preserve">Capital asset activity related to PPP </w:t>
      </w:r>
      <w:r>
        <w:rPr>
          <w:rFonts w:cstheme="minorHAnsi"/>
          <w:sz w:val="24"/>
          <w:szCs w:val="24"/>
        </w:rPr>
        <w:t>is</w:t>
      </w:r>
      <w:r w:rsidRPr="005E2D9A">
        <w:rPr>
          <w:rFonts w:cstheme="minorHAnsi"/>
          <w:sz w:val="24"/>
          <w:szCs w:val="24"/>
        </w:rPr>
        <w:t xml:space="preserve"> included in</w:t>
      </w:r>
      <w:r>
        <w:rPr>
          <w:rFonts w:cstheme="minorHAnsi"/>
          <w:sz w:val="24"/>
          <w:szCs w:val="24"/>
        </w:rPr>
        <w:t xml:space="preserve"> the totals presented in Note 6.</w:t>
      </w:r>
    </w:p>
    <w:p w14:paraId="5812D664" w14:textId="77777777" w:rsidR="001B6918" w:rsidRDefault="001B6918" w:rsidP="001B6918">
      <w:pPr>
        <w:rPr>
          <w:rFonts w:cstheme="minorHAnsi"/>
          <w:sz w:val="24"/>
          <w:szCs w:val="24"/>
        </w:rPr>
      </w:pPr>
    </w:p>
    <w:p w14:paraId="65B7A82C" w14:textId="77777777" w:rsidR="001B6918" w:rsidRDefault="001B6918" w:rsidP="001B6918">
      <w:pPr>
        <w:rPr>
          <w:rFonts w:cstheme="minorHAnsi"/>
          <w:sz w:val="24"/>
          <w:szCs w:val="24"/>
        </w:rPr>
      </w:pPr>
      <w:r w:rsidRPr="005E2D9A">
        <w:rPr>
          <w:rFonts w:cstheme="minorHAnsi"/>
          <w:sz w:val="24"/>
          <w:szCs w:val="24"/>
        </w:rPr>
        <w:t xml:space="preserve">Capital </w:t>
      </w:r>
      <w:r>
        <w:rPr>
          <w:rFonts w:cstheme="minorHAnsi"/>
          <w:sz w:val="24"/>
          <w:szCs w:val="24"/>
        </w:rPr>
        <w:t xml:space="preserve">asset PPP </w:t>
      </w:r>
      <w:r w:rsidRPr="005E2D9A">
        <w:rPr>
          <w:rFonts w:cstheme="minorHAnsi"/>
          <w:sz w:val="24"/>
          <w:szCs w:val="24"/>
        </w:rPr>
        <w:t xml:space="preserve">activity </w:t>
      </w:r>
      <w:r>
        <w:rPr>
          <w:rFonts w:cstheme="minorHAnsi"/>
          <w:sz w:val="24"/>
          <w:szCs w:val="24"/>
        </w:rPr>
        <w:t>for the years ended June 30 is as follows:</w:t>
      </w:r>
    </w:p>
    <w:p w14:paraId="51BB84C3" w14:textId="77777777" w:rsidR="001B6918" w:rsidRPr="00EA4D0C" w:rsidRDefault="001B6918" w:rsidP="001B6918">
      <w:pPr>
        <w:rPr>
          <w:rFonts w:cstheme="minorHAnsi"/>
          <w:sz w:val="20"/>
          <w:szCs w:val="20"/>
        </w:rPr>
      </w:pPr>
    </w:p>
    <w:tbl>
      <w:tblPr>
        <w:tblW w:w="7299" w:type="dxa"/>
        <w:jc w:val="center"/>
        <w:tblLook w:val="04A0" w:firstRow="1" w:lastRow="0" w:firstColumn="1" w:lastColumn="0" w:noHBand="0" w:noVBand="1"/>
      </w:tblPr>
      <w:tblGrid>
        <w:gridCol w:w="3960"/>
        <w:gridCol w:w="1121"/>
        <w:gridCol w:w="1094"/>
        <w:gridCol w:w="1124"/>
      </w:tblGrid>
      <w:tr w:rsidR="001B6918" w:rsidRPr="005D0729" w14:paraId="601ED9AF" w14:textId="77777777" w:rsidTr="00730ECF">
        <w:trPr>
          <w:trHeight w:val="420"/>
          <w:jc w:val="center"/>
        </w:trPr>
        <w:tc>
          <w:tcPr>
            <w:tcW w:w="3960" w:type="dxa"/>
            <w:tcBorders>
              <w:top w:val="nil"/>
              <w:left w:val="nil"/>
              <w:bottom w:val="single" w:sz="12" w:space="0" w:color="000000"/>
              <w:right w:val="nil"/>
            </w:tcBorders>
            <w:shd w:val="clear" w:color="000000" w:fill="FFFFFF"/>
            <w:noWrap/>
            <w:vAlign w:val="bottom"/>
          </w:tcPr>
          <w:p w14:paraId="21E11272" w14:textId="77777777" w:rsidR="001B6918" w:rsidRPr="005D0729" w:rsidRDefault="001B6918" w:rsidP="00730ECF">
            <w:pPr>
              <w:jc w:val="center"/>
              <w:rPr>
                <w:rFonts w:ascii="Calibri" w:eastAsia="Times New Roman" w:hAnsi="Calibri" w:cs="Calibri"/>
                <w:b/>
                <w:bCs/>
                <w:color w:val="0D0D0D"/>
              </w:rPr>
            </w:pPr>
            <w:r>
              <w:rPr>
                <w:rFonts w:ascii="Calibri" w:eastAsia="Times New Roman" w:hAnsi="Calibri" w:cs="Calibri"/>
                <w:b/>
                <w:bCs/>
                <w:color w:val="0D0D0D"/>
              </w:rPr>
              <w:t xml:space="preserve">                                                              2025</w:t>
            </w:r>
          </w:p>
        </w:tc>
        <w:tc>
          <w:tcPr>
            <w:tcW w:w="1121" w:type="dxa"/>
            <w:tcBorders>
              <w:top w:val="nil"/>
              <w:left w:val="nil"/>
              <w:bottom w:val="single" w:sz="12" w:space="0" w:color="000000"/>
              <w:right w:val="nil"/>
            </w:tcBorders>
            <w:shd w:val="clear" w:color="000000" w:fill="FFFFFF"/>
            <w:vAlign w:val="bottom"/>
          </w:tcPr>
          <w:p w14:paraId="528D5E94" w14:textId="77777777" w:rsidR="001B6918" w:rsidRPr="005D0729" w:rsidRDefault="001B6918" w:rsidP="00730ECF">
            <w:pPr>
              <w:jc w:val="center"/>
              <w:rPr>
                <w:rFonts w:ascii="Calibri" w:eastAsia="Times New Roman" w:hAnsi="Calibri" w:cs="Calibri"/>
                <w:b/>
                <w:bCs/>
                <w:color w:val="0D0D0D"/>
              </w:rPr>
            </w:pPr>
          </w:p>
        </w:tc>
        <w:tc>
          <w:tcPr>
            <w:tcW w:w="1094" w:type="dxa"/>
            <w:tcBorders>
              <w:top w:val="nil"/>
              <w:left w:val="nil"/>
              <w:bottom w:val="single" w:sz="12" w:space="0" w:color="000000"/>
              <w:right w:val="nil"/>
            </w:tcBorders>
            <w:shd w:val="clear" w:color="000000" w:fill="FFFFFF"/>
            <w:noWrap/>
            <w:vAlign w:val="bottom"/>
          </w:tcPr>
          <w:p w14:paraId="14723254" w14:textId="77777777" w:rsidR="001B6918" w:rsidRPr="005D0729" w:rsidRDefault="001B6918" w:rsidP="00730ECF">
            <w:pPr>
              <w:jc w:val="center"/>
              <w:rPr>
                <w:rFonts w:ascii="Calibri" w:eastAsia="Times New Roman" w:hAnsi="Calibri" w:cs="Calibri"/>
                <w:b/>
                <w:bCs/>
                <w:color w:val="0D0D0D"/>
              </w:rPr>
            </w:pPr>
          </w:p>
        </w:tc>
        <w:tc>
          <w:tcPr>
            <w:tcW w:w="1124" w:type="dxa"/>
            <w:tcBorders>
              <w:top w:val="nil"/>
              <w:left w:val="nil"/>
              <w:bottom w:val="single" w:sz="12" w:space="0" w:color="000000"/>
              <w:right w:val="nil"/>
            </w:tcBorders>
            <w:shd w:val="clear" w:color="000000" w:fill="FFFFFF"/>
            <w:vAlign w:val="bottom"/>
          </w:tcPr>
          <w:p w14:paraId="7C017CD4" w14:textId="77777777" w:rsidR="001B6918" w:rsidRPr="005D0729" w:rsidRDefault="001B6918" w:rsidP="00730ECF">
            <w:pPr>
              <w:jc w:val="center"/>
              <w:rPr>
                <w:rFonts w:ascii="Calibri" w:eastAsia="Times New Roman" w:hAnsi="Calibri" w:cs="Calibri"/>
                <w:b/>
                <w:bCs/>
                <w:color w:val="0D0D0D"/>
              </w:rPr>
            </w:pPr>
          </w:p>
        </w:tc>
      </w:tr>
      <w:tr w:rsidR="001B6918" w:rsidRPr="005D0729" w14:paraId="5CBF2E25" w14:textId="77777777" w:rsidTr="00730ECF">
        <w:trPr>
          <w:trHeight w:val="420"/>
          <w:jc w:val="center"/>
        </w:trPr>
        <w:tc>
          <w:tcPr>
            <w:tcW w:w="3960" w:type="dxa"/>
            <w:tcBorders>
              <w:top w:val="nil"/>
              <w:left w:val="nil"/>
              <w:bottom w:val="single" w:sz="12" w:space="0" w:color="000000"/>
              <w:right w:val="nil"/>
            </w:tcBorders>
            <w:shd w:val="clear" w:color="000000" w:fill="FFFFFF"/>
            <w:noWrap/>
            <w:vAlign w:val="bottom"/>
            <w:hideMark/>
          </w:tcPr>
          <w:p w14:paraId="1A91F468" w14:textId="77777777" w:rsidR="001B6918" w:rsidRPr="005D0729" w:rsidRDefault="001B6918" w:rsidP="00730ECF">
            <w:pPr>
              <w:jc w:val="center"/>
              <w:rPr>
                <w:rFonts w:ascii="Calibri" w:eastAsia="Times New Roman" w:hAnsi="Calibri" w:cs="Calibri"/>
                <w:b/>
                <w:bCs/>
                <w:color w:val="0D0D0D"/>
              </w:rPr>
            </w:pPr>
            <w:r w:rsidRPr="005D0729">
              <w:rPr>
                <w:rFonts w:ascii="Calibri" w:eastAsia="Times New Roman" w:hAnsi="Calibri" w:cs="Calibri"/>
                <w:b/>
                <w:bCs/>
                <w:color w:val="0D0D0D"/>
              </w:rPr>
              <w:t> </w:t>
            </w:r>
          </w:p>
        </w:tc>
        <w:tc>
          <w:tcPr>
            <w:tcW w:w="1121" w:type="dxa"/>
            <w:tcBorders>
              <w:top w:val="nil"/>
              <w:left w:val="nil"/>
              <w:bottom w:val="single" w:sz="12" w:space="0" w:color="000000"/>
              <w:right w:val="nil"/>
            </w:tcBorders>
            <w:shd w:val="clear" w:color="000000" w:fill="FFFFFF"/>
            <w:vAlign w:val="bottom"/>
            <w:hideMark/>
          </w:tcPr>
          <w:p w14:paraId="6C59E77C" w14:textId="77777777" w:rsidR="001B6918" w:rsidRPr="005D0729" w:rsidRDefault="001B6918" w:rsidP="00730ECF">
            <w:pPr>
              <w:jc w:val="center"/>
              <w:rPr>
                <w:rFonts w:ascii="Calibri" w:eastAsia="Times New Roman" w:hAnsi="Calibri" w:cs="Calibri"/>
                <w:b/>
                <w:bCs/>
                <w:color w:val="0D0D0D"/>
              </w:rPr>
            </w:pPr>
            <w:r w:rsidRPr="005D0729">
              <w:rPr>
                <w:rFonts w:ascii="Calibri" w:eastAsia="Times New Roman" w:hAnsi="Calibri" w:cs="Calibri"/>
                <w:b/>
                <w:bCs/>
                <w:color w:val="0D0D0D"/>
              </w:rPr>
              <w:t>Beginning</w:t>
            </w:r>
            <w:r>
              <w:rPr>
                <w:rFonts w:ascii="Calibri" w:eastAsia="Times New Roman" w:hAnsi="Calibri" w:cs="Calibri"/>
                <w:b/>
                <w:bCs/>
                <w:color w:val="0D0D0D"/>
              </w:rPr>
              <w:t xml:space="preserve"> </w:t>
            </w:r>
            <w:r w:rsidRPr="005D0729">
              <w:rPr>
                <w:rFonts w:ascii="Calibri" w:eastAsia="Times New Roman" w:hAnsi="Calibri" w:cs="Calibri"/>
                <w:b/>
                <w:bCs/>
                <w:color w:val="0D0D0D"/>
              </w:rPr>
              <w:t>Balance</w:t>
            </w:r>
          </w:p>
        </w:tc>
        <w:tc>
          <w:tcPr>
            <w:tcW w:w="1094" w:type="dxa"/>
            <w:tcBorders>
              <w:top w:val="nil"/>
              <w:left w:val="nil"/>
              <w:bottom w:val="single" w:sz="12" w:space="0" w:color="000000"/>
              <w:right w:val="nil"/>
            </w:tcBorders>
            <w:shd w:val="clear" w:color="000000" w:fill="FFFFFF"/>
            <w:noWrap/>
            <w:vAlign w:val="bottom"/>
            <w:hideMark/>
          </w:tcPr>
          <w:p w14:paraId="5012789B" w14:textId="77777777" w:rsidR="001B6918" w:rsidRPr="005D0729" w:rsidRDefault="001B6918" w:rsidP="00730ECF">
            <w:pPr>
              <w:jc w:val="center"/>
              <w:rPr>
                <w:rFonts w:ascii="Calibri" w:eastAsia="Times New Roman" w:hAnsi="Calibri" w:cs="Calibri"/>
                <w:b/>
                <w:bCs/>
                <w:color w:val="0D0D0D"/>
              </w:rPr>
            </w:pPr>
            <w:r w:rsidRPr="005D0729">
              <w:rPr>
                <w:rFonts w:ascii="Calibri" w:eastAsia="Times New Roman" w:hAnsi="Calibri" w:cs="Calibri"/>
                <w:b/>
                <w:bCs/>
                <w:color w:val="0D0D0D"/>
              </w:rPr>
              <w:t>Additions</w:t>
            </w:r>
          </w:p>
        </w:tc>
        <w:tc>
          <w:tcPr>
            <w:tcW w:w="1124" w:type="dxa"/>
            <w:tcBorders>
              <w:top w:val="nil"/>
              <w:left w:val="nil"/>
              <w:bottom w:val="single" w:sz="12" w:space="0" w:color="000000"/>
              <w:right w:val="nil"/>
            </w:tcBorders>
            <w:shd w:val="clear" w:color="000000" w:fill="FFFFFF"/>
            <w:vAlign w:val="bottom"/>
            <w:hideMark/>
          </w:tcPr>
          <w:p w14:paraId="6FA9B62F" w14:textId="77777777" w:rsidR="001B6918" w:rsidRPr="005D0729" w:rsidRDefault="001B6918" w:rsidP="00730ECF">
            <w:pPr>
              <w:jc w:val="center"/>
              <w:rPr>
                <w:rFonts w:ascii="Calibri" w:eastAsia="Times New Roman" w:hAnsi="Calibri" w:cs="Calibri"/>
                <w:b/>
                <w:bCs/>
                <w:color w:val="0D0D0D"/>
              </w:rPr>
            </w:pPr>
            <w:r w:rsidRPr="005D0729">
              <w:rPr>
                <w:rFonts w:ascii="Calibri" w:eastAsia="Times New Roman" w:hAnsi="Calibri" w:cs="Calibri"/>
                <w:b/>
                <w:bCs/>
                <w:color w:val="0D0D0D"/>
              </w:rPr>
              <w:t>Ending</w:t>
            </w:r>
            <w:r>
              <w:rPr>
                <w:rFonts w:ascii="Calibri" w:eastAsia="Times New Roman" w:hAnsi="Calibri" w:cs="Calibri"/>
                <w:b/>
                <w:bCs/>
                <w:color w:val="0D0D0D"/>
              </w:rPr>
              <w:t xml:space="preserve"> </w:t>
            </w:r>
            <w:r w:rsidRPr="005D0729">
              <w:rPr>
                <w:rFonts w:ascii="Calibri" w:eastAsia="Times New Roman" w:hAnsi="Calibri" w:cs="Calibri"/>
                <w:b/>
                <w:bCs/>
                <w:color w:val="0D0D0D"/>
              </w:rPr>
              <w:t>Balance</w:t>
            </w:r>
          </w:p>
        </w:tc>
      </w:tr>
      <w:tr w:rsidR="001B6918" w:rsidRPr="005D0729" w14:paraId="13E12C87" w14:textId="77777777" w:rsidTr="00730ECF">
        <w:trPr>
          <w:trHeight w:val="107"/>
          <w:jc w:val="center"/>
        </w:trPr>
        <w:tc>
          <w:tcPr>
            <w:tcW w:w="3960" w:type="dxa"/>
            <w:tcBorders>
              <w:top w:val="nil"/>
              <w:left w:val="nil"/>
              <w:bottom w:val="nil"/>
              <w:right w:val="nil"/>
            </w:tcBorders>
            <w:shd w:val="clear" w:color="000000" w:fill="FFFFFF"/>
            <w:noWrap/>
            <w:vAlign w:val="bottom"/>
            <w:hideMark/>
          </w:tcPr>
          <w:p w14:paraId="2D5A320F" w14:textId="77777777" w:rsidR="001B6918" w:rsidRPr="005D0729" w:rsidRDefault="001B6918" w:rsidP="00730ECF">
            <w:pPr>
              <w:rPr>
                <w:rFonts w:ascii="Calibri" w:eastAsia="Times New Roman" w:hAnsi="Calibri" w:cs="Calibri"/>
                <w:color w:val="0D0D0D"/>
              </w:rPr>
            </w:pPr>
            <w:r w:rsidRPr="005D0729">
              <w:rPr>
                <w:rFonts w:ascii="Calibri" w:eastAsia="Times New Roman" w:hAnsi="Calibri" w:cs="Calibri"/>
                <w:color w:val="0D0D0D"/>
              </w:rPr>
              <w:t>Land improvements</w:t>
            </w:r>
          </w:p>
        </w:tc>
        <w:tc>
          <w:tcPr>
            <w:tcW w:w="1121" w:type="dxa"/>
            <w:tcBorders>
              <w:top w:val="nil"/>
              <w:left w:val="nil"/>
              <w:bottom w:val="nil"/>
              <w:right w:val="nil"/>
            </w:tcBorders>
            <w:shd w:val="clear" w:color="000000" w:fill="FFFFFF"/>
            <w:noWrap/>
            <w:vAlign w:val="bottom"/>
            <w:hideMark/>
          </w:tcPr>
          <w:p w14:paraId="783F4383" w14:textId="77777777" w:rsidR="001B6918" w:rsidRPr="005D0729" w:rsidRDefault="001B6918" w:rsidP="00730ECF">
            <w:pPr>
              <w:jc w:val="right"/>
              <w:rPr>
                <w:rFonts w:ascii="Calibri" w:eastAsia="Times New Roman" w:hAnsi="Calibri" w:cs="Calibri"/>
                <w:color w:val="0D0D0D"/>
              </w:rPr>
            </w:pPr>
            <w:r>
              <w:rPr>
                <w:rFonts w:ascii="Calibri" w:eastAsia="Times New Roman" w:hAnsi="Calibri" w:cs="Calibri"/>
              </w:rPr>
              <w:t xml:space="preserve">$  </w:t>
            </w:r>
            <w:r w:rsidRPr="00022AEF">
              <w:rPr>
                <w:rFonts w:ascii="Calibri" w:eastAsia="Times New Roman" w:hAnsi="Calibri" w:cs="Calibri"/>
              </w:rPr>
              <w:t xml:space="preserve">1,180 </w:t>
            </w:r>
          </w:p>
        </w:tc>
        <w:tc>
          <w:tcPr>
            <w:tcW w:w="1094" w:type="dxa"/>
            <w:tcBorders>
              <w:top w:val="nil"/>
              <w:left w:val="nil"/>
              <w:bottom w:val="nil"/>
              <w:right w:val="nil"/>
            </w:tcBorders>
            <w:shd w:val="clear" w:color="000000" w:fill="FFFFFF"/>
            <w:noWrap/>
            <w:vAlign w:val="bottom"/>
            <w:hideMark/>
          </w:tcPr>
          <w:p w14:paraId="2E0DDF2B" w14:textId="14295226" w:rsidR="001B6918" w:rsidRPr="00AD6F14" w:rsidRDefault="00C019C8" w:rsidP="00033E4B">
            <w:pPr>
              <w:tabs>
                <w:tab w:val="left" w:pos="480"/>
              </w:tabs>
              <w:jc w:val="right"/>
              <w:rPr>
                <w:rFonts w:ascii="Calibri" w:eastAsia="Times New Roman" w:hAnsi="Calibri" w:cs="Calibri"/>
              </w:rPr>
            </w:pPr>
            <w:r>
              <w:rPr>
                <w:rFonts w:ascii="Calibri" w:eastAsia="Times New Roman" w:hAnsi="Calibri" w:cs="Calibri"/>
              </w:rPr>
              <w:t xml:space="preserve">$     </w:t>
            </w:r>
            <w:r w:rsidR="001B6918" w:rsidRPr="00FD416B">
              <w:rPr>
                <w:rFonts w:ascii="Calibri" w:eastAsia="Times New Roman" w:hAnsi="Calibri" w:cs="Calibri"/>
              </w:rPr>
              <w:t>-</w:t>
            </w:r>
            <w:r w:rsidR="001B6918" w:rsidRPr="00AD6F14">
              <w:rPr>
                <w:rFonts w:ascii="Calibri" w:eastAsia="Times New Roman" w:hAnsi="Calibri" w:cs="Calibri"/>
              </w:rPr>
              <w:t xml:space="preserve"> </w:t>
            </w:r>
          </w:p>
        </w:tc>
        <w:tc>
          <w:tcPr>
            <w:tcW w:w="1124" w:type="dxa"/>
            <w:tcBorders>
              <w:top w:val="nil"/>
              <w:left w:val="nil"/>
              <w:bottom w:val="nil"/>
              <w:right w:val="nil"/>
            </w:tcBorders>
            <w:shd w:val="clear" w:color="000000" w:fill="FFFFFF"/>
            <w:noWrap/>
            <w:vAlign w:val="bottom"/>
            <w:hideMark/>
          </w:tcPr>
          <w:p w14:paraId="653741B8" w14:textId="6EC4C8E7" w:rsidR="001B6918" w:rsidRPr="00AD6F14" w:rsidRDefault="00C019C8" w:rsidP="00033E4B">
            <w:pPr>
              <w:tabs>
                <w:tab w:val="left" w:pos="200"/>
              </w:tabs>
              <w:jc w:val="right"/>
              <w:rPr>
                <w:rFonts w:ascii="Calibri" w:eastAsia="Times New Roman" w:hAnsi="Calibri" w:cs="Calibri"/>
              </w:rPr>
            </w:pPr>
            <w:r>
              <w:rPr>
                <w:rFonts w:ascii="Calibri" w:eastAsia="Times New Roman" w:hAnsi="Calibri" w:cs="Calibri"/>
              </w:rPr>
              <w:t xml:space="preserve">$  </w:t>
            </w:r>
            <w:r w:rsidR="001B6918" w:rsidRPr="00AD6F14">
              <w:rPr>
                <w:rFonts w:ascii="Calibri" w:eastAsia="Times New Roman" w:hAnsi="Calibri" w:cs="Calibri"/>
              </w:rPr>
              <w:t xml:space="preserve">1,180 </w:t>
            </w:r>
          </w:p>
        </w:tc>
      </w:tr>
      <w:tr w:rsidR="001B6918" w:rsidRPr="005D0729" w14:paraId="0D7FF784" w14:textId="77777777" w:rsidTr="00730ECF">
        <w:trPr>
          <w:trHeight w:val="108"/>
          <w:jc w:val="center"/>
        </w:trPr>
        <w:tc>
          <w:tcPr>
            <w:tcW w:w="3960" w:type="dxa"/>
            <w:tcBorders>
              <w:top w:val="nil"/>
              <w:left w:val="nil"/>
              <w:bottom w:val="nil"/>
              <w:right w:val="nil"/>
            </w:tcBorders>
            <w:shd w:val="clear" w:color="000000" w:fill="FFFFFF"/>
            <w:noWrap/>
            <w:vAlign w:val="bottom"/>
            <w:hideMark/>
          </w:tcPr>
          <w:p w14:paraId="4075F41C" w14:textId="77777777" w:rsidR="001B6918" w:rsidRPr="005D0729" w:rsidRDefault="001B6918" w:rsidP="00730ECF">
            <w:pPr>
              <w:rPr>
                <w:rFonts w:ascii="Calibri" w:eastAsia="Times New Roman" w:hAnsi="Calibri" w:cs="Calibri"/>
                <w:color w:val="0D0D0D"/>
              </w:rPr>
            </w:pPr>
            <w:r w:rsidRPr="005D0729">
              <w:rPr>
                <w:rFonts w:ascii="Calibri" w:eastAsia="Times New Roman" w:hAnsi="Calibri" w:cs="Calibri"/>
                <w:color w:val="0D0D0D"/>
              </w:rPr>
              <w:t>Buildings &amp; improvements</w:t>
            </w:r>
          </w:p>
        </w:tc>
        <w:tc>
          <w:tcPr>
            <w:tcW w:w="1121" w:type="dxa"/>
            <w:tcBorders>
              <w:top w:val="nil"/>
              <w:left w:val="nil"/>
              <w:bottom w:val="nil"/>
              <w:right w:val="nil"/>
            </w:tcBorders>
            <w:shd w:val="clear" w:color="000000" w:fill="FFFFFF"/>
            <w:noWrap/>
            <w:vAlign w:val="bottom"/>
            <w:hideMark/>
          </w:tcPr>
          <w:p w14:paraId="0822B170" w14:textId="77777777" w:rsidR="001B6918" w:rsidRPr="005D0729" w:rsidRDefault="001B6918" w:rsidP="00730ECF">
            <w:pPr>
              <w:jc w:val="right"/>
              <w:rPr>
                <w:rFonts w:ascii="Calibri" w:eastAsia="Times New Roman" w:hAnsi="Calibri" w:cs="Calibri"/>
                <w:color w:val="0D0D0D"/>
              </w:rPr>
            </w:pPr>
            <w:r w:rsidRPr="00022AEF">
              <w:rPr>
                <w:rFonts w:ascii="Calibri" w:eastAsia="Times New Roman" w:hAnsi="Calibri" w:cs="Calibri"/>
              </w:rPr>
              <w:t xml:space="preserve">23,916 </w:t>
            </w:r>
          </w:p>
        </w:tc>
        <w:tc>
          <w:tcPr>
            <w:tcW w:w="1094" w:type="dxa"/>
            <w:tcBorders>
              <w:top w:val="nil"/>
              <w:left w:val="nil"/>
              <w:bottom w:val="nil"/>
              <w:right w:val="nil"/>
            </w:tcBorders>
            <w:shd w:val="clear" w:color="000000" w:fill="FFFFFF"/>
            <w:noWrap/>
            <w:vAlign w:val="bottom"/>
            <w:hideMark/>
          </w:tcPr>
          <w:p w14:paraId="35FDD24E" w14:textId="77777777" w:rsidR="001B6918" w:rsidRPr="00AD6F14" w:rsidRDefault="001B6918" w:rsidP="00730ECF">
            <w:pPr>
              <w:jc w:val="right"/>
              <w:rPr>
                <w:rFonts w:ascii="Calibri" w:eastAsia="Times New Roman" w:hAnsi="Calibri" w:cs="Calibri"/>
              </w:rPr>
            </w:pPr>
            <w:r w:rsidRPr="00FD416B">
              <w:rPr>
                <w:rFonts w:ascii="Calibri" w:eastAsia="Times New Roman" w:hAnsi="Calibri" w:cs="Calibri"/>
              </w:rPr>
              <w:t>-</w:t>
            </w:r>
            <w:r w:rsidRPr="00AD6F14">
              <w:rPr>
                <w:rFonts w:ascii="Calibri" w:eastAsia="Times New Roman" w:hAnsi="Calibri" w:cs="Calibri"/>
              </w:rPr>
              <w:t xml:space="preserve"> </w:t>
            </w:r>
          </w:p>
        </w:tc>
        <w:tc>
          <w:tcPr>
            <w:tcW w:w="1124" w:type="dxa"/>
            <w:tcBorders>
              <w:top w:val="nil"/>
              <w:left w:val="nil"/>
              <w:bottom w:val="nil"/>
              <w:right w:val="nil"/>
            </w:tcBorders>
            <w:shd w:val="clear" w:color="000000" w:fill="FFFFFF"/>
            <w:noWrap/>
            <w:vAlign w:val="bottom"/>
            <w:hideMark/>
          </w:tcPr>
          <w:p w14:paraId="6579D226" w14:textId="77777777" w:rsidR="001B6918" w:rsidRPr="00AD6F14" w:rsidRDefault="001B6918" w:rsidP="00730ECF">
            <w:pPr>
              <w:jc w:val="right"/>
              <w:rPr>
                <w:rFonts w:ascii="Calibri" w:eastAsia="Times New Roman" w:hAnsi="Calibri" w:cs="Calibri"/>
              </w:rPr>
            </w:pPr>
            <w:r w:rsidRPr="00AD6F14">
              <w:rPr>
                <w:rFonts w:ascii="Calibri" w:eastAsia="Times New Roman" w:hAnsi="Calibri" w:cs="Calibri"/>
              </w:rPr>
              <w:t xml:space="preserve">23,916 </w:t>
            </w:r>
          </w:p>
        </w:tc>
      </w:tr>
      <w:tr w:rsidR="001B6918" w:rsidRPr="005D0729" w14:paraId="2F07489F" w14:textId="77777777" w:rsidTr="00730ECF">
        <w:trPr>
          <w:trHeight w:val="197"/>
          <w:jc w:val="center"/>
        </w:trPr>
        <w:tc>
          <w:tcPr>
            <w:tcW w:w="3960" w:type="dxa"/>
            <w:tcBorders>
              <w:top w:val="single" w:sz="4" w:space="0" w:color="000000"/>
              <w:left w:val="nil"/>
              <w:bottom w:val="single" w:sz="4" w:space="0" w:color="000000"/>
              <w:right w:val="nil"/>
            </w:tcBorders>
            <w:shd w:val="clear" w:color="000000" w:fill="FFFFFF"/>
            <w:noWrap/>
            <w:vAlign w:val="bottom"/>
            <w:hideMark/>
          </w:tcPr>
          <w:p w14:paraId="01473229" w14:textId="77777777" w:rsidR="001B6918" w:rsidRPr="005D0729" w:rsidRDefault="001B6918" w:rsidP="00730ECF">
            <w:pPr>
              <w:rPr>
                <w:rFonts w:ascii="Calibri" w:eastAsia="Times New Roman" w:hAnsi="Calibri" w:cs="Calibri"/>
                <w:color w:val="0D0D0D"/>
              </w:rPr>
            </w:pPr>
            <w:r w:rsidRPr="005D0729">
              <w:rPr>
                <w:rFonts w:ascii="Calibri" w:eastAsia="Times New Roman" w:hAnsi="Calibri" w:cs="Calibri"/>
                <w:color w:val="0D0D0D"/>
              </w:rPr>
              <w:t xml:space="preserve">Total depreciable </w:t>
            </w:r>
            <w:r>
              <w:rPr>
                <w:rFonts w:ascii="Calibri" w:eastAsia="Times New Roman" w:hAnsi="Calibri" w:cs="Calibri"/>
                <w:color w:val="0D0D0D"/>
              </w:rPr>
              <w:t xml:space="preserve">PPP </w:t>
            </w:r>
            <w:r w:rsidRPr="005D0729">
              <w:rPr>
                <w:rFonts w:ascii="Calibri" w:eastAsia="Times New Roman" w:hAnsi="Calibri" w:cs="Calibri"/>
                <w:color w:val="0D0D0D"/>
              </w:rPr>
              <w:t>assets</w:t>
            </w:r>
          </w:p>
        </w:tc>
        <w:tc>
          <w:tcPr>
            <w:tcW w:w="1121" w:type="dxa"/>
            <w:tcBorders>
              <w:top w:val="single" w:sz="4" w:space="0" w:color="000000"/>
              <w:left w:val="nil"/>
              <w:bottom w:val="single" w:sz="4" w:space="0" w:color="000000"/>
              <w:right w:val="nil"/>
            </w:tcBorders>
            <w:shd w:val="clear" w:color="000000" w:fill="FFFFFF"/>
            <w:noWrap/>
            <w:vAlign w:val="bottom"/>
            <w:hideMark/>
          </w:tcPr>
          <w:p w14:paraId="235C1302" w14:textId="77777777" w:rsidR="001B6918" w:rsidRPr="005D0729" w:rsidRDefault="001B6918" w:rsidP="00730ECF">
            <w:pPr>
              <w:jc w:val="right"/>
              <w:rPr>
                <w:rFonts w:ascii="Calibri" w:eastAsia="Times New Roman" w:hAnsi="Calibri" w:cs="Calibri"/>
                <w:color w:val="0D0D0D"/>
              </w:rPr>
            </w:pPr>
            <w:r w:rsidRPr="00022AEF">
              <w:rPr>
                <w:rFonts w:ascii="Calibri" w:eastAsia="Times New Roman" w:hAnsi="Calibri" w:cs="Calibri"/>
              </w:rPr>
              <w:t xml:space="preserve">25,096 </w:t>
            </w:r>
          </w:p>
        </w:tc>
        <w:tc>
          <w:tcPr>
            <w:tcW w:w="1094" w:type="dxa"/>
            <w:tcBorders>
              <w:top w:val="single" w:sz="4" w:space="0" w:color="000000"/>
              <w:left w:val="nil"/>
              <w:bottom w:val="single" w:sz="4" w:space="0" w:color="000000"/>
              <w:right w:val="nil"/>
            </w:tcBorders>
            <w:shd w:val="clear" w:color="000000" w:fill="FFFFFF"/>
            <w:noWrap/>
            <w:vAlign w:val="bottom"/>
            <w:hideMark/>
          </w:tcPr>
          <w:p w14:paraId="1E51EB7A" w14:textId="77777777" w:rsidR="001B6918" w:rsidRPr="00AD6F14" w:rsidRDefault="001B6918" w:rsidP="00730ECF">
            <w:pPr>
              <w:jc w:val="right"/>
              <w:rPr>
                <w:rFonts w:ascii="Calibri" w:eastAsia="Times New Roman" w:hAnsi="Calibri" w:cs="Calibri"/>
              </w:rPr>
            </w:pPr>
            <w:r w:rsidRPr="00FD416B">
              <w:rPr>
                <w:rFonts w:ascii="Calibri" w:eastAsia="Times New Roman" w:hAnsi="Calibri" w:cs="Calibri"/>
              </w:rPr>
              <w:t>-</w:t>
            </w:r>
            <w:r w:rsidRPr="00AD6F14">
              <w:rPr>
                <w:rFonts w:ascii="Calibri" w:eastAsia="Times New Roman" w:hAnsi="Calibri" w:cs="Calibri"/>
              </w:rPr>
              <w:t xml:space="preserve"> </w:t>
            </w:r>
          </w:p>
        </w:tc>
        <w:tc>
          <w:tcPr>
            <w:tcW w:w="1124" w:type="dxa"/>
            <w:tcBorders>
              <w:top w:val="single" w:sz="4" w:space="0" w:color="000000"/>
              <w:left w:val="nil"/>
              <w:bottom w:val="single" w:sz="4" w:space="0" w:color="000000"/>
              <w:right w:val="nil"/>
            </w:tcBorders>
            <w:shd w:val="clear" w:color="000000" w:fill="FFFFFF"/>
            <w:noWrap/>
            <w:vAlign w:val="bottom"/>
            <w:hideMark/>
          </w:tcPr>
          <w:p w14:paraId="47C36BB1" w14:textId="77777777" w:rsidR="001B6918" w:rsidRPr="00AD6F14" w:rsidRDefault="001B6918" w:rsidP="00730ECF">
            <w:pPr>
              <w:jc w:val="right"/>
              <w:rPr>
                <w:rFonts w:ascii="Calibri" w:eastAsia="Times New Roman" w:hAnsi="Calibri" w:cs="Calibri"/>
              </w:rPr>
            </w:pPr>
            <w:r w:rsidRPr="00AD6F14">
              <w:rPr>
                <w:rFonts w:ascii="Calibri" w:eastAsia="Times New Roman" w:hAnsi="Calibri" w:cs="Calibri"/>
              </w:rPr>
              <w:t xml:space="preserve">25,096 </w:t>
            </w:r>
          </w:p>
        </w:tc>
      </w:tr>
      <w:tr w:rsidR="001B6918" w:rsidRPr="005D0729" w14:paraId="0B1F7D51" w14:textId="77777777" w:rsidTr="00730ECF">
        <w:trPr>
          <w:trHeight w:val="188"/>
          <w:jc w:val="center"/>
        </w:trPr>
        <w:tc>
          <w:tcPr>
            <w:tcW w:w="3960" w:type="dxa"/>
            <w:tcBorders>
              <w:top w:val="nil"/>
              <w:left w:val="nil"/>
              <w:bottom w:val="nil"/>
              <w:right w:val="nil"/>
            </w:tcBorders>
            <w:shd w:val="clear" w:color="000000" w:fill="FFFFFF"/>
            <w:noWrap/>
            <w:vAlign w:val="bottom"/>
            <w:hideMark/>
          </w:tcPr>
          <w:p w14:paraId="4579B95A" w14:textId="77777777" w:rsidR="001B6918" w:rsidRPr="005D0729" w:rsidRDefault="001B6918" w:rsidP="00730ECF">
            <w:pPr>
              <w:rPr>
                <w:rFonts w:ascii="Calibri" w:eastAsia="Times New Roman" w:hAnsi="Calibri" w:cs="Calibri"/>
                <w:color w:val="0D0D0D"/>
              </w:rPr>
            </w:pPr>
            <w:r w:rsidRPr="005D0729">
              <w:rPr>
                <w:rFonts w:ascii="Calibri" w:eastAsia="Times New Roman" w:hAnsi="Calibri" w:cs="Calibri"/>
                <w:color w:val="0D0D0D"/>
              </w:rPr>
              <w:t>Less accumulated depreciation:</w:t>
            </w:r>
          </w:p>
        </w:tc>
        <w:tc>
          <w:tcPr>
            <w:tcW w:w="1121" w:type="dxa"/>
            <w:tcBorders>
              <w:top w:val="nil"/>
              <w:left w:val="nil"/>
              <w:bottom w:val="nil"/>
              <w:right w:val="nil"/>
            </w:tcBorders>
            <w:shd w:val="clear" w:color="000000" w:fill="FFFFFF"/>
            <w:noWrap/>
            <w:vAlign w:val="bottom"/>
            <w:hideMark/>
          </w:tcPr>
          <w:p w14:paraId="69C8975F" w14:textId="77777777" w:rsidR="001B6918" w:rsidRPr="005D0729" w:rsidRDefault="001B6918" w:rsidP="00730ECF">
            <w:pPr>
              <w:jc w:val="right"/>
              <w:rPr>
                <w:rFonts w:ascii="Calibri" w:eastAsia="Times New Roman" w:hAnsi="Calibri" w:cs="Calibri"/>
                <w:color w:val="0D0D0D"/>
              </w:rPr>
            </w:pPr>
            <w:r w:rsidRPr="00022AEF">
              <w:rPr>
                <w:rFonts w:ascii="Calibri" w:eastAsia="Times New Roman" w:hAnsi="Calibri" w:cs="Calibri"/>
              </w:rPr>
              <w:t> </w:t>
            </w:r>
          </w:p>
        </w:tc>
        <w:tc>
          <w:tcPr>
            <w:tcW w:w="1094" w:type="dxa"/>
            <w:tcBorders>
              <w:top w:val="nil"/>
              <w:left w:val="nil"/>
              <w:bottom w:val="nil"/>
              <w:right w:val="nil"/>
            </w:tcBorders>
            <w:shd w:val="clear" w:color="000000" w:fill="FFFFFF"/>
            <w:noWrap/>
            <w:vAlign w:val="bottom"/>
            <w:hideMark/>
          </w:tcPr>
          <w:p w14:paraId="4F640402" w14:textId="77777777" w:rsidR="001B6918" w:rsidRPr="00FD416B" w:rsidRDefault="001B6918" w:rsidP="00730ECF">
            <w:pPr>
              <w:jc w:val="right"/>
              <w:rPr>
                <w:rFonts w:ascii="Calibri" w:eastAsia="Times New Roman" w:hAnsi="Calibri" w:cs="Calibri"/>
                <w:color w:val="FF0000"/>
              </w:rPr>
            </w:pPr>
            <w:r w:rsidRPr="00FD416B">
              <w:rPr>
                <w:rFonts w:ascii="Calibri" w:eastAsia="Times New Roman" w:hAnsi="Calibri" w:cs="Calibri"/>
                <w:color w:val="FF0000"/>
              </w:rPr>
              <w:t> </w:t>
            </w:r>
          </w:p>
        </w:tc>
        <w:tc>
          <w:tcPr>
            <w:tcW w:w="1124" w:type="dxa"/>
            <w:tcBorders>
              <w:top w:val="nil"/>
              <w:left w:val="nil"/>
              <w:bottom w:val="nil"/>
              <w:right w:val="nil"/>
            </w:tcBorders>
            <w:shd w:val="clear" w:color="000000" w:fill="FFFFFF"/>
            <w:noWrap/>
            <w:vAlign w:val="bottom"/>
            <w:hideMark/>
          </w:tcPr>
          <w:p w14:paraId="4AFA9B2A" w14:textId="77777777" w:rsidR="001B6918" w:rsidRPr="00FD416B" w:rsidRDefault="001B6918" w:rsidP="00730ECF">
            <w:pPr>
              <w:jc w:val="right"/>
              <w:rPr>
                <w:rFonts w:ascii="Calibri" w:eastAsia="Times New Roman" w:hAnsi="Calibri" w:cs="Calibri"/>
                <w:color w:val="FF0000"/>
              </w:rPr>
            </w:pPr>
            <w:r w:rsidRPr="00FD416B">
              <w:rPr>
                <w:rFonts w:ascii="Calibri" w:eastAsia="Times New Roman" w:hAnsi="Calibri" w:cs="Calibri"/>
                <w:color w:val="FF0000"/>
              </w:rPr>
              <w:t> </w:t>
            </w:r>
          </w:p>
        </w:tc>
      </w:tr>
      <w:tr w:rsidR="001B6918" w:rsidRPr="005D0729" w14:paraId="4DDCF1A4" w14:textId="77777777" w:rsidTr="00730ECF">
        <w:trPr>
          <w:trHeight w:val="198"/>
          <w:jc w:val="center"/>
        </w:trPr>
        <w:tc>
          <w:tcPr>
            <w:tcW w:w="3960" w:type="dxa"/>
            <w:tcBorders>
              <w:top w:val="nil"/>
              <w:left w:val="nil"/>
              <w:bottom w:val="nil"/>
              <w:right w:val="nil"/>
            </w:tcBorders>
            <w:shd w:val="clear" w:color="000000" w:fill="FFFFFF"/>
            <w:noWrap/>
            <w:vAlign w:val="bottom"/>
            <w:hideMark/>
          </w:tcPr>
          <w:p w14:paraId="521744D9" w14:textId="77777777" w:rsidR="001B6918" w:rsidRPr="005D0729" w:rsidRDefault="001B6918" w:rsidP="00730ECF">
            <w:pPr>
              <w:ind w:firstLineChars="100" w:firstLine="220"/>
              <w:rPr>
                <w:rFonts w:ascii="Calibri" w:eastAsia="Times New Roman" w:hAnsi="Calibri" w:cs="Calibri"/>
                <w:color w:val="0D0D0D"/>
              </w:rPr>
            </w:pPr>
            <w:r w:rsidRPr="005D0729">
              <w:rPr>
                <w:rFonts w:ascii="Calibri" w:eastAsia="Times New Roman" w:hAnsi="Calibri" w:cs="Calibri"/>
                <w:color w:val="0D0D0D"/>
              </w:rPr>
              <w:t>Land improvements</w:t>
            </w:r>
          </w:p>
        </w:tc>
        <w:tc>
          <w:tcPr>
            <w:tcW w:w="1121" w:type="dxa"/>
            <w:tcBorders>
              <w:top w:val="nil"/>
              <w:left w:val="nil"/>
              <w:bottom w:val="nil"/>
              <w:right w:val="nil"/>
            </w:tcBorders>
            <w:shd w:val="clear" w:color="000000" w:fill="FFFFFF"/>
            <w:noWrap/>
            <w:vAlign w:val="bottom"/>
            <w:hideMark/>
          </w:tcPr>
          <w:p w14:paraId="61B90A0D" w14:textId="77777777" w:rsidR="001B6918" w:rsidRPr="005D0729" w:rsidRDefault="001B6918" w:rsidP="00730ECF">
            <w:pPr>
              <w:jc w:val="right"/>
              <w:rPr>
                <w:rFonts w:ascii="Calibri" w:eastAsia="Times New Roman" w:hAnsi="Calibri" w:cs="Calibri"/>
                <w:color w:val="0D0D0D"/>
              </w:rPr>
            </w:pPr>
            <w:r w:rsidRPr="00022AEF">
              <w:rPr>
                <w:rFonts w:ascii="Calibri" w:eastAsia="Times New Roman" w:hAnsi="Calibri" w:cs="Calibri"/>
              </w:rPr>
              <w:t xml:space="preserve">30 </w:t>
            </w:r>
          </w:p>
        </w:tc>
        <w:tc>
          <w:tcPr>
            <w:tcW w:w="1094" w:type="dxa"/>
            <w:tcBorders>
              <w:top w:val="nil"/>
              <w:left w:val="nil"/>
              <w:bottom w:val="nil"/>
              <w:right w:val="nil"/>
            </w:tcBorders>
            <w:shd w:val="clear" w:color="000000" w:fill="FFFFFF"/>
            <w:noWrap/>
            <w:vAlign w:val="bottom"/>
            <w:hideMark/>
          </w:tcPr>
          <w:p w14:paraId="12C39108" w14:textId="77777777" w:rsidR="001B6918" w:rsidRPr="005869CB" w:rsidRDefault="001B6918" w:rsidP="00730ECF">
            <w:pPr>
              <w:jc w:val="right"/>
              <w:rPr>
                <w:rFonts w:ascii="Calibri" w:eastAsia="Times New Roman" w:hAnsi="Calibri" w:cs="Calibri"/>
              </w:rPr>
            </w:pPr>
            <w:r w:rsidRPr="00FD416B">
              <w:rPr>
                <w:rFonts w:ascii="Calibri" w:eastAsia="Times New Roman" w:hAnsi="Calibri" w:cs="Calibri"/>
              </w:rPr>
              <w:t>59</w:t>
            </w:r>
            <w:r w:rsidRPr="005869CB">
              <w:rPr>
                <w:rFonts w:ascii="Calibri" w:eastAsia="Times New Roman" w:hAnsi="Calibri" w:cs="Calibri"/>
              </w:rPr>
              <w:t xml:space="preserve"> </w:t>
            </w:r>
          </w:p>
        </w:tc>
        <w:tc>
          <w:tcPr>
            <w:tcW w:w="1124" w:type="dxa"/>
            <w:tcBorders>
              <w:top w:val="nil"/>
              <w:left w:val="nil"/>
              <w:bottom w:val="nil"/>
              <w:right w:val="nil"/>
            </w:tcBorders>
            <w:shd w:val="clear" w:color="000000" w:fill="FFFFFF"/>
            <w:noWrap/>
            <w:vAlign w:val="bottom"/>
            <w:hideMark/>
          </w:tcPr>
          <w:p w14:paraId="739FA07E" w14:textId="77777777" w:rsidR="001B6918" w:rsidRPr="005869CB" w:rsidRDefault="001B6918" w:rsidP="00730ECF">
            <w:pPr>
              <w:jc w:val="right"/>
              <w:rPr>
                <w:rFonts w:ascii="Calibri" w:eastAsia="Times New Roman" w:hAnsi="Calibri" w:cs="Calibri"/>
              </w:rPr>
            </w:pPr>
            <w:r w:rsidRPr="00FD416B">
              <w:rPr>
                <w:rFonts w:ascii="Calibri" w:eastAsia="Times New Roman" w:hAnsi="Calibri" w:cs="Calibri"/>
              </w:rPr>
              <w:t>89</w:t>
            </w:r>
            <w:r w:rsidRPr="005869CB">
              <w:rPr>
                <w:rFonts w:ascii="Calibri" w:eastAsia="Times New Roman" w:hAnsi="Calibri" w:cs="Calibri"/>
              </w:rPr>
              <w:t xml:space="preserve"> </w:t>
            </w:r>
          </w:p>
        </w:tc>
      </w:tr>
      <w:tr w:rsidR="001B6918" w:rsidRPr="005D0729" w14:paraId="71E23F5D" w14:textId="77777777" w:rsidTr="00730ECF">
        <w:trPr>
          <w:trHeight w:val="198"/>
          <w:jc w:val="center"/>
        </w:trPr>
        <w:tc>
          <w:tcPr>
            <w:tcW w:w="3960" w:type="dxa"/>
            <w:tcBorders>
              <w:top w:val="nil"/>
              <w:left w:val="nil"/>
              <w:bottom w:val="nil"/>
              <w:right w:val="nil"/>
            </w:tcBorders>
            <w:shd w:val="clear" w:color="000000" w:fill="FFFFFF"/>
            <w:noWrap/>
            <w:vAlign w:val="bottom"/>
            <w:hideMark/>
          </w:tcPr>
          <w:p w14:paraId="302F01C3" w14:textId="77777777" w:rsidR="001B6918" w:rsidRPr="005D0729" w:rsidRDefault="001B6918" w:rsidP="00730ECF">
            <w:pPr>
              <w:ind w:firstLineChars="100" w:firstLine="220"/>
              <w:rPr>
                <w:rFonts w:ascii="Calibri" w:eastAsia="Times New Roman" w:hAnsi="Calibri" w:cs="Calibri"/>
                <w:color w:val="0D0D0D"/>
              </w:rPr>
            </w:pPr>
            <w:r w:rsidRPr="005D0729">
              <w:rPr>
                <w:rFonts w:ascii="Calibri" w:eastAsia="Times New Roman" w:hAnsi="Calibri" w:cs="Calibri"/>
                <w:color w:val="0D0D0D"/>
              </w:rPr>
              <w:t>Buildings &amp; improvements</w:t>
            </w:r>
          </w:p>
        </w:tc>
        <w:tc>
          <w:tcPr>
            <w:tcW w:w="1121" w:type="dxa"/>
            <w:tcBorders>
              <w:top w:val="nil"/>
              <w:left w:val="nil"/>
              <w:bottom w:val="nil"/>
              <w:right w:val="nil"/>
            </w:tcBorders>
            <w:shd w:val="clear" w:color="000000" w:fill="FFFFFF"/>
            <w:noWrap/>
            <w:vAlign w:val="bottom"/>
            <w:hideMark/>
          </w:tcPr>
          <w:p w14:paraId="16635FDF" w14:textId="77777777" w:rsidR="001B6918" w:rsidRPr="005D0729" w:rsidRDefault="001B6918" w:rsidP="00730ECF">
            <w:pPr>
              <w:jc w:val="right"/>
              <w:rPr>
                <w:rFonts w:ascii="Calibri" w:eastAsia="Times New Roman" w:hAnsi="Calibri" w:cs="Calibri"/>
                <w:color w:val="0D0D0D"/>
              </w:rPr>
            </w:pPr>
            <w:r w:rsidRPr="00022AEF">
              <w:rPr>
                <w:rFonts w:ascii="Calibri" w:eastAsia="Times New Roman" w:hAnsi="Calibri" w:cs="Calibri"/>
              </w:rPr>
              <w:t xml:space="preserve">159 </w:t>
            </w:r>
          </w:p>
        </w:tc>
        <w:tc>
          <w:tcPr>
            <w:tcW w:w="1094" w:type="dxa"/>
            <w:tcBorders>
              <w:top w:val="nil"/>
              <w:left w:val="nil"/>
              <w:bottom w:val="nil"/>
              <w:right w:val="nil"/>
            </w:tcBorders>
            <w:shd w:val="clear" w:color="000000" w:fill="FFFFFF"/>
            <w:noWrap/>
            <w:vAlign w:val="bottom"/>
            <w:hideMark/>
          </w:tcPr>
          <w:p w14:paraId="7D61B32B" w14:textId="77777777" w:rsidR="001B6918" w:rsidRPr="005869CB" w:rsidRDefault="001B6918" w:rsidP="00730ECF">
            <w:pPr>
              <w:jc w:val="right"/>
              <w:rPr>
                <w:rFonts w:ascii="Calibri" w:eastAsia="Times New Roman" w:hAnsi="Calibri" w:cs="Calibri"/>
              </w:rPr>
            </w:pPr>
            <w:r w:rsidRPr="00FD416B">
              <w:rPr>
                <w:rFonts w:ascii="Calibri" w:eastAsia="Times New Roman" w:hAnsi="Calibri" w:cs="Calibri"/>
              </w:rPr>
              <w:t>319</w:t>
            </w:r>
            <w:r w:rsidRPr="005869CB">
              <w:rPr>
                <w:rFonts w:ascii="Calibri" w:eastAsia="Times New Roman" w:hAnsi="Calibri" w:cs="Calibri"/>
              </w:rPr>
              <w:t xml:space="preserve"> </w:t>
            </w:r>
          </w:p>
        </w:tc>
        <w:tc>
          <w:tcPr>
            <w:tcW w:w="1124" w:type="dxa"/>
            <w:tcBorders>
              <w:top w:val="nil"/>
              <w:left w:val="nil"/>
              <w:bottom w:val="nil"/>
              <w:right w:val="nil"/>
            </w:tcBorders>
            <w:noWrap/>
            <w:vAlign w:val="bottom"/>
            <w:hideMark/>
          </w:tcPr>
          <w:p w14:paraId="28236B90" w14:textId="77777777" w:rsidR="001B6918" w:rsidRPr="005869CB" w:rsidRDefault="001B6918" w:rsidP="00730ECF">
            <w:pPr>
              <w:jc w:val="right"/>
              <w:rPr>
                <w:rFonts w:ascii="Calibri" w:eastAsia="Times New Roman" w:hAnsi="Calibri" w:cs="Calibri"/>
              </w:rPr>
            </w:pPr>
            <w:r w:rsidRPr="00FD416B">
              <w:rPr>
                <w:rFonts w:ascii="Calibri" w:eastAsia="Times New Roman" w:hAnsi="Calibri" w:cs="Calibri"/>
              </w:rPr>
              <w:t>478</w:t>
            </w:r>
            <w:r w:rsidRPr="005869CB">
              <w:rPr>
                <w:rFonts w:ascii="Calibri" w:eastAsia="Times New Roman" w:hAnsi="Calibri" w:cs="Calibri"/>
              </w:rPr>
              <w:t xml:space="preserve"> </w:t>
            </w:r>
          </w:p>
        </w:tc>
      </w:tr>
      <w:tr w:rsidR="001B6918" w:rsidRPr="005D0729" w14:paraId="51208FBB" w14:textId="77777777" w:rsidTr="00730ECF">
        <w:trPr>
          <w:trHeight w:val="188"/>
          <w:jc w:val="center"/>
        </w:trPr>
        <w:tc>
          <w:tcPr>
            <w:tcW w:w="3960" w:type="dxa"/>
            <w:tcBorders>
              <w:top w:val="single" w:sz="4" w:space="0" w:color="000000"/>
              <w:left w:val="nil"/>
              <w:bottom w:val="single" w:sz="4" w:space="0" w:color="000000"/>
              <w:right w:val="nil"/>
            </w:tcBorders>
            <w:shd w:val="clear" w:color="000000" w:fill="FFFFFF"/>
            <w:noWrap/>
            <w:vAlign w:val="bottom"/>
            <w:hideMark/>
          </w:tcPr>
          <w:p w14:paraId="0FA5BAA4" w14:textId="77777777" w:rsidR="001B6918" w:rsidRPr="005D0729" w:rsidRDefault="001B6918" w:rsidP="00730ECF">
            <w:pPr>
              <w:rPr>
                <w:rFonts w:ascii="Calibri" w:eastAsia="Times New Roman" w:hAnsi="Calibri" w:cs="Calibri"/>
                <w:color w:val="0D0D0D"/>
              </w:rPr>
            </w:pPr>
            <w:r w:rsidRPr="005D0729">
              <w:rPr>
                <w:rFonts w:ascii="Calibri" w:eastAsia="Times New Roman" w:hAnsi="Calibri" w:cs="Calibri"/>
                <w:color w:val="0D0D0D"/>
              </w:rPr>
              <w:t>Total accumulated depreciation</w:t>
            </w:r>
          </w:p>
        </w:tc>
        <w:tc>
          <w:tcPr>
            <w:tcW w:w="1121" w:type="dxa"/>
            <w:tcBorders>
              <w:top w:val="single" w:sz="4" w:space="0" w:color="000000"/>
              <w:left w:val="nil"/>
              <w:bottom w:val="single" w:sz="4" w:space="0" w:color="000000"/>
              <w:right w:val="nil"/>
            </w:tcBorders>
            <w:shd w:val="clear" w:color="000000" w:fill="FFFFFF"/>
            <w:noWrap/>
            <w:vAlign w:val="bottom"/>
            <w:hideMark/>
          </w:tcPr>
          <w:p w14:paraId="63F5CFC3" w14:textId="77777777" w:rsidR="001B6918" w:rsidRPr="005D0729" w:rsidRDefault="001B6918" w:rsidP="00730ECF">
            <w:pPr>
              <w:jc w:val="right"/>
              <w:rPr>
                <w:rFonts w:ascii="Calibri" w:eastAsia="Times New Roman" w:hAnsi="Calibri" w:cs="Calibri"/>
                <w:color w:val="0D0D0D"/>
              </w:rPr>
            </w:pPr>
            <w:r w:rsidRPr="00022AEF">
              <w:rPr>
                <w:rFonts w:ascii="Calibri" w:eastAsia="Times New Roman" w:hAnsi="Calibri" w:cs="Calibri"/>
              </w:rPr>
              <w:t xml:space="preserve">189 </w:t>
            </w:r>
          </w:p>
        </w:tc>
        <w:tc>
          <w:tcPr>
            <w:tcW w:w="1094" w:type="dxa"/>
            <w:tcBorders>
              <w:top w:val="single" w:sz="4" w:space="0" w:color="000000"/>
              <w:left w:val="nil"/>
              <w:bottom w:val="single" w:sz="4" w:space="0" w:color="000000"/>
              <w:right w:val="nil"/>
            </w:tcBorders>
            <w:shd w:val="clear" w:color="000000" w:fill="FFFFFF"/>
            <w:noWrap/>
            <w:vAlign w:val="bottom"/>
            <w:hideMark/>
          </w:tcPr>
          <w:p w14:paraId="68304FCB" w14:textId="77777777" w:rsidR="001B6918" w:rsidRPr="005869CB" w:rsidRDefault="001B6918" w:rsidP="00730ECF">
            <w:pPr>
              <w:jc w:val="right"/>
              <w:rPr>
                <w:rFonts w:ascii="Calibri" w:eastAsia="Times New Roman" w:hAnsi="Calibri" w:cs="Calibri"/>
              </w:rPr>
            </w:pPr>
            <w:r w:rsidRPr="00FD416B">
              <w:rPr>
                <w:rFonts w:ascii="Calibri" w:eastAsia="Times New Roman" w:hAnsi="Calibri" w:cs="Calibri"/>
              </w:rPr>
              <w:t>378</w:t>
            </w:r>
            <w:r w:rsidRPr="005869CB">
              <w:rPr>
                <w:rFonts w:ascii="Calibri" w:eastAsia="Times New Roman" w:hAnsi="Calibri" w:cs="Calibri"/>
              </w:rPr>
              <w:t xml:space="preserve"> </w:t>
            </w:r>
          </w:p>
        </w:tc>
        <w:tc>
          <w:tcPr>
            <w:tcW w:w="1124" w:type="dxa"/>
            <w:tcBorders>
              <w:top w:val="single" w:sz="4" w:space="0" w:color="000000"/>
              <w:left w:val="nil"/>
              <w:bottom w:val="single" w:sz="4" w:space="0" w:color="000000"/>
              <w:right w:val="nil"/>
            </w:tcBorders>
            <w:shd w:val="clear" w:color="000000" w:fill="FFFFFF"/>
            <w:noWrap/>
            <w:vAlign w:val="bottom"/>
            <w:hideMark/>
          </w:tcPr>
          <w:p w14:paraId="2072046D" w14:textId="77777777" w:rsidR="001B6918" w:rsidRPr="005869CB" w:rsidRDefault="001B6918" w:rsidP="00730ECF">
            <w:pPr>
              <w:jc w:val="right"/>
              <w:rPr>
                <w:rFonts w:ascii="Calibri" w:eastAsia="Times New Roman" w:hAnsi="Calibri" w:cs="Calibri"/>
              </w:rPr>
            </w:pPr>
            <w:r w:rsidRPr="00FD416B">
              <w:rPr>
                <w:rFonts w:ascii="Calibri" w:eastAsia="Times New Roman" w:hAnsi="Calibri" w:cs="Calibri"/>
              </w:rPr>
              <w:t>567</w:t>
            </w:r>
            <w:r w:rsidRPr="005869CB">
              <w:rPr>
                <w:rFonts w:ascii="Calibri" w:eastAsia="Times New Roman" w:hAnsi="Calibri" w:cs="Calibri"/>
              </w:rPr>
              <w:t xml:space="preserve"> </w:t>
            </w:r>
          </w:p>
        </w:tc>
      </w:tr>
      <w:tr w:rsidR="001B6918" w:rsidRPr="005D0729" w14:paraId="15ADA73F" w14:textId="77777777" w:rsidTr="00730ECF">
        <w:trPr>
          <w:trHeight w:val="98"/>
          <w:jc w:val="center"/>
        </w:trPr>
        <w:tc>
          <w:tcPr>
            <w:tcW w:w="3960" w:type="dxa"/>
            <w:tcBorders>
              <w:top w:val="nil"/>
              <w:left w:val="nil"/>
              <w:bottom w:val="single" w:sz="4" w:space="0" w:color="000000"/>
              <w:right w:val="nil"/>
            </w:tcBorders>
            <w:shd w:val="clear" w:color="000000" w:fill="FFFFFF"/>
            <w:noWrap/>
            <w:vAlign w:val="bottom"/>
            <w:hideMark/>
          </w:tcPr>
          <w:p w14:paraId="6936D35F" w14:textId="77777777" w:rsidR="001B6918" w:rsidRPr="005D0729" w:rsidRDefault="001B6918" w:rsidP="00730ECF">
            <w:pPr>
              <w:rPr>
                <w:rFonts w:ascii="Calibri" w:eastAsia="Times New Roman" w:hAnsi="Calibri" w:cs="Calibri"/>
                <w:color w:val="0D0D0D"/>
              </w:rPr>
            </w:pPr>
            <w:r w:rsidRPr="005D0729">
              <w:rPr>
                <w:rFonts w:ascii="Calibri" w:eastAsia="Times New Roman" w:hAnsi="Calibri" w:cs="Calibri"/>
                <w:color w:val="0D0D0D"/>
              </w:rPr>
              <w:t>Net depreciable assets</w:t>
            </w:r>
          </w:p>
        </w:tc>
        <w:tc>
          <w:tcPr>
            <w:tcW w:w="1121" w:type="dxa"/>
            <w:tcBorders>
              <w:top w:val="nil"/>
              <w:left w:val="nil"/>
              <w:bottom w:val="single" w:sz="4" w:space="0" w:color="000000"/>
              <w:right w:val="nil"/>
            </w:tcBorders>
            <w:shd w:val="clear" w:color="000000" w:fill="FFFFFF"/>
            <w:noWrap/>
            <w:vAlign w:val="bottom"/>
            <w:hideMark/>
          </w:tcPr>
          <w:p w14:paraId="7757C690" w14:textId="77777777" w:rsidR="001B6918" w:rsidRPr="005D0729" w:rsidRDefault="001B6918" w:rsidP="00730ECF">
            <w:pPr>
              <w:jc w:val="right"/>
              <w:rPr>
                <w:rFonts w:ascii="Calibri" w:eastAsia="Times New Roman" w:hAnsi="Calibri" w:cs="Calibri"/>
                <w:color w:val="0D0D0D"/>
              </w:rPr>
            </w:pPr>
            <w:r w:rsidRPr="00022AEF">
              <w:rPr>
                <w:rFonts w:ascii="Calibri" w:eastAsia="Times New Roman" w:hAnsi="Calibri" w:cs="Calibri"/>
              </w:rPr>
              <w:t>24,907</w:t>
            </w:r>
          </w:p>
        </w:tc>
        <w:tc>
          <w:tcPr>
            <w:tcW w:w="1094" w:type="dxa"/>
            <w:tcBorders>
              <w:top w:val="nil"/>
              <w:left w:val="nil"/>
              <w:bottom w:val="single" w:sz="4" w:space="0" w:color="000000"/>
              <w:right w:val="nil"/>
            </w:tcBorders>
            <w:shd w:val="clear" w:color="000000" w:fill="FFFFFF"/>
            <w:noWrap/>
            <w:vAlign w:val="bottom"/>
            <w:hideMark/>
          </w:tcPr>
          <w:p w14:paraId="7D698775" w14:textId="77777777" w:rsidR="001B6918" w:rsidRPr="00FD416B" w:rsidRDefault="001B6918" w:rsidP="00730ECF">
            <w:pPr>
              <w:jc w:val="right"/>
              <w:rPr>
                <w:rFonts w:ascii="Calibri" w:eastAsia="Times New Roman" w:hAnsi="Calibri" w:cs="Calibri"/>
                <w:color w:val="FF0000"/>
              </w:rPr>
            </w:pPr>
            <w:r w:rsidRPr="00FD416B">
              <w:rPr>
                <w:rFonts w:ascii="Calibri" w:eastAsia="Times New Roman" w:hAnsi="Calibri" w:cs="Calibri"/>
              </w:rPr>
              <w:t>378</w:t>
            </w:r>
          </w:p>
        </w:tc>
        <w:tc>
          <w:tcPr>
            <w:tcW w:w="1124" w:type="dxa"/>
            <w:tcBorders>
              <w:top w:val="nil"/>
              <w:left w:val="nil"/>
              <w:bottom w:val="single" w:sz="4" w:space="0" w:color="000000"/>
              <w:right w:val="nil"/>
            </w:tcBorders>
            <w:shd w:val="clear" w:color="000000" w:fill="FFFFFF"/>
            <w:noWrap/>
            <w:vAlign w:val="bottom"/>
            <w:hideMark/>
          </w:tcPr>
          <w:p w14:paraId="547E8B2A" w14:textId="77777777" w:rsidR="001B6918" w:rsidRPr="00FD416B" w:rsidRDefault="001B6918" w:rsidP="00730ECF">
            <w:pPr>
              <w:jc w:val="right"/>
              <w:rPr>
                <w:rFonts w:ascii="Calibri" w:eastAsia="Times New Roman" w:hAnsi="Calibri" w:cs="Calibri"/>
                <w:color w:val="FF0000"/>
              </w:rPr>
            </w:pPr>
            <w:r w:rsidRPr="005869CB">
              <w:rPr>
                <w:rFonts w:ascii="Calibri" w:eastAsia="Times New Roman" w:hAnsi="Calibri" w:cs="Calibri"/>
              </w:rPr>
              <w:t>24,</w:t>
            </w:r>
            <w:r w:rsidRPr="00FD416B">
              <w:rPr>
                <w:rFonts w:ascii="Calibri" w:eastAsia="Times New Roman" w:hAnsi="Calibri" w:cs="Calibri"/>
              </w:rPr>
              <w:t>529</w:t>
            </w:r>
          </w:p>
        </w:tc>
      </w:tr>
      <w:tr w:rsidR="001B6918" w:rsidRPr="005D0729" w14:paraId="36643638" w14:textId="77777777" w:rsidTr="00730ECF">
        <w:trPr>
          <w:trHeight w:val="80"/>
          <w:jc w:val="center"/>
        </w:trPr>
        <w:tc>
          <w:tcPr>
            <w:tcW w:w="3960" w:type="dxa"/>
            <w:tcBorders>
              <w:top w:val="single" w:sz="4" w:space="0" w:color="000000"/>
              <w:left w:val="nil"/>
              <w:bottom w:val="double" w:sz="6" w:space="0" w:color="000000"/>
              <w:right w:val="nil"/>
            </w:tcBorders>
            <w:shd w:val="clear" w:color="000000" w:fill="FFFFFF"/>
            <w:vAlign w:val="bottom"/>
            <w:hideMark/>
          </w:tcPr>
          <w:p w14:paraId="41F5DF53" w14:textId="77777777" w:rsidR="001B6918" w:rsidRPr="005D0729" w:rsidRDefault="001B6918" w:rsidP="00730ECF">
            <w:pPr>
              <w:rPr>
                <w:rFonts w:ascii="Calibri" w:eastAsia="Times New Roman" w:hAnsi="Calibri" w:cs="Calibri"/>
                <w:color w:val="0D0D0D"/>
              </w:rPr>
            </w:pPr>
            <w:r w:rsidRPr="005D0729">
              <w:rPr>
                <w:rFonts w:ascii="Calibri" w:eastAsia="Times New Roman" w:hAnsi="Calibri" w:cs="Calibri"/>
                <w:color w:val="0D0D0D"/>
              </w:rPr>
              <w:t xml:space="preserve">Total </w:t>
            </w:r>
            <w:r>
              <w:rPr>
                <w:rFonts w:ascii="Calibri" w:eastAsia="Times New Roman" w:hAnsi="Calibri" w:cs="Calibri"/>
                <w:color w:val="0D0D0D"/>
              </w:rPr>
              <w:t>PPP</w:t>
            </w:r>
            <w:r w:rsidRPr="005D0729">
              <w:rPr>
                <w:rFonts w:ascii="Calibri" w:eastAsia="Times New Roman" w:hAnsi="Calibri" w:cs="Calibri"/>
                <w:color w:val="0D0D0D"/>
              </w:rPr>
              <w:t xml:space="preserve"> assets, net</w:t>
            </w:r>
          </w:p>
        </w:tc>
        <w:tc>
          <w:tcPr>
            <w:tcW w:w="1121" w:type="dxa"/>
            <w:tcBorders>
              <w:top w:val="single" w:sz="4" w:space="0" w:color="000000"/>
              <w:left w:val="nil"/>
              <w:bottom w:val="double" w:sz="6" w:space="0" w:color="000000"/>
              <w:right w:val="nil"/>
            </w:tcBorders>
            <w:shd w:val="clear" w:color="000000" w:fill="FFFFFF"/>
            <w:noWrap/>
            <w:vAlign w:val="bottom"/>
            <w:hideMark/>
          </w:tcPr>
          <w:p w14:paraId="108538EA" w14:textId="77777777" w:rsidR="001B6918" w:rsidRPr="005D0729" w:rsidRDefault="001B6918" w:rsidP="00730ECF">
            <w:pPr>
              <w:jc w:val="right"/>
              <w:rPr>
                <w:rFonts w:ascii="Calibri" w:eastAsia="Times New Roman" w:hAnsi="Calibri" w:cs="Calibri"/>
              </w:rPr>
            </w:pPr>
            <w:r w:rsidRPr="00022AEF">
              <w:rPr>
                <w:rFonts w:ascii="Calibri" w:eastAsia="Times New Roman" w:hAnsi="Calibri" w:cs="Calibri"/>
              </w:rPr>
              <w:t>$24,907</w:t>
            </w:r>
          </w:p>
        </w:tc>
        <w:tc>
          <w:tcPr>
            <w:tcW w:w="1094" w:type="dxa"/>
            <w:tcBorders>
              <w:top w:val="single" w:sz="4" w:space="0" w:color="000000"/>
              <w:left w:val="nil"/>
              <w:bottom w:val="double" w:sz="6" w:space="0" w:color="000000"/>
              <w:right w:val="nil"/>
            </w:tcBorders>
            <w:shd w:val="clear" w:color="000000" w:fill="FFFFFF"/>
            <w:noWrap/>
            <w:vAlign w:val="bottom"/>
            <w:hideMark/>
          </w:tcPr>
          <w:p w14:paraId="61E5209A" w14:textId="77777777" w:rsidR="001B6918" w:rsidRPr="00FD416B" w:rsidRDefault="001B6918" w:rsidP="00730ECF">
            <w:pPr>
              <w:jc w:val="right"/>
              <w:rPr>
                <w:rFonts w:ascii="Calibri" w:eastAsia="Times New Roman" w:hAnsi="Calibri" w:cs="Calibri"/>
                <w:color w:val="FF0000"/>
              </w:rPr>
            </w:pPr>
            <w:r w:rsidRPr="005869CB">
              <w:rPr>
                <w:rFonts w:ascii="Calibri" w:eastAsia="Times New Roman" w:hAnsi="Calibri" w:cs="Calibri"/>
              </w:rPr>
              <w:t>$</w:t>
            </w:r>
            <w:r w:rsidRPr="00FD416B">
              <w:rPr>
                <w:rFonts w:ascii="Calibri" w:eastAsia="Times New Roman" w:hAnsi="Calibri" w:cs="Calibri"/>
              </w:rPr>
              <w:t>378</w:t>
            </w:r>
          </w:p>
        </w:tc>
        <w:tc>
          <w:tcPr>
            <w:tcW w:w="1119" w:type="dxa"/>
            <w:tcBorders>
              <w:top w:val="single" w:sz="4" w:space="0" w:color="000000"/>
              <w:left w:val="nil"/>
              <w:bottom w:val="double" w:sz="6" w:space="0" w:color="000000"/>
              <w:right w:val="nil"/>
            </w:tcBorders>
            <w:shd w:val="clear" w:color="000000" w:fill="FFFFFF"/>
            <w:noWrap/>
            <w:vAlign w:val="bottom"/>
            <w:hideMark/>
          </w:tcPr>
          <w:p w14:paraId="2E20AB9B" w14:textId="77777777" w:rsidR="001B6918" w:rsidRPr="00FD416B" w:rsidRDefault="001B6918" w:rsidP="00730ECF">
            <w:pPr>
              <w:jc w:val="right"/>
              <w:rPr>
                <w:rFonts w:ascii="Calibri" w:eastAsia="Times New Roman" w:hAnsi="Calibri" w:cs="Calibri"/>
                <w:color w:val="FF0000"/>
              </w:rPr>
            </w:pPr>
            <w:r w:rsidRPr="005869CB">
              <w:rPr>
                <w:rFonts w:ascii="Calibri" w:eastAsia="Times New Roman" w:hAnsi="Calibri" w:cs="Calibri"/>
              </w:rPr>
              <w:t>$24,</w:t>
            </w:r>
            <w:r w:rsidRPr="00FD416B">
              <w:rPr>
                <w:rFonts w:ascii="Calibri" w:eastAsia="Times New Roman" w:hAnsi="Calibri" w:cs="Calibri"/>
              </w:rPr>
              <w:t>529</w:t>
            </w:r>
          </w:p>
        </w:tc>
      </w:tr>
    </w:tbl>
    <w:p w14:paraId="3D80E52D" w14:textId="77777777" w:rsidR="001B6918" w:rsidRDefault="001B6918" w:rsidP="001B6918">
      <w:pPr>
        <w:tabs>
          <w:tab w:val="left" w:pos="1620"/>
        </w:tabs>
        <w:rPr>
          <w:rFonts w:cstheme="minorHAnsi"/>
          <w:sz w:val="24"/>
          <w:szCs w:val="24"/>
        </w:rPr>
      </w:pPr>
    </w:p>
    <w:tbl>
      <w:tblPr>
        <w:tblW w:w="7294" w:type="dxa"/>
        <w:jc w:val="center"/>
        <w:tblLook w:val="04A0" w:firstRow="1" w:lastRow="0" w:firstColumn="1" w:lastColumn="0" w:noHBand="0" w:noVBand="1"/>
      </w:tblPr>
      <w:tblGrid>
        <w:gridCol w:w="3960"/>
        <w:gridCol w:w="1121"/>
        <w:gridCol w:w="1094"/>
        <w:gridCol w:w="1119"/>
      </w:tblGrid>
      <w:tr w:rsidR="001B6918" w:rsidRPr="005D0729" w14:paraId="763BAD5C" w14:textId="77777777" w:rsidTr="00730ECF">
        <w:trPr>
          <w:trHeight w:val="420"/>
          <w:jc w:val="center"/>
        </w:trPr>
        <w:tc>
          <w:tcPr>
            <w:tcW w:w="3960" w:type="dxa"/>
            <w:tcBorders>
              <w:top w:val="nil"/>
              <w:left w:val="nil"/>
              <w:bottom w:val="single" w:sz="12" w:space="0" w:color="000000"/>
              <w:right w:val="nil"/>
            </w:tcBorders>
            <w:shd w:val="clear" w:color="000000" w:fill="FFFFFF"/>
            <w:noWrap/>
            <w:vAlign w:val="bottom"/>
          </w:tcPr>
          <w:p w14:paraId="14E4B93B" w14:textId="77777777" w:rsidR="001B6918" w:rsidRPr="005D0729" w:rsidRDefault="001B6918" w:rsidP="00730ECF">
            <w:pPr>
              <w:jc w:val="center"/>
              <w:rPr>
                <w:rFonts w:ascii="Calibri" w:eastAsia="Times New Roman" w:hAnsi="Calibri" w:cs="Calibri"/>
                <w:b/>
                <w:bCs/>
                <w:color w:val="0D0D0D"/>
              </w:rPr>
            </w:pPr>
            <w:r>
              <w:rPr>
                <w:rFonts w:ascii="Calibri" w:eastAsia="Times New Roman" w:hAnsi="Calibri" w:cs="Calibri"/>
                <w:b/>
                <w:bCs/>
                <w:color w:val="0D0D0D"/>
              </w:rPr>
              <w:t xml:space="preserve">                                                          2024</w:t>
            </w:r>
          </w:p>
        </w:tc>
        <w:tc>
          <w:tcPr>
            <w:tcW w:w="1121" w:type="dxa"/>
            <w:tcBorders>
              <w:top w:val="nil"/>
              <w:left w:val="nil"/>
              <w:bottom w:val="single" w:sz="12" w:space="0" w:color="000000"/>
              <w:right w:val="nil"/>
            </w:tcBorders>
            <w:shd w:val="clear" w:color="000000" w:fill="FFFFFF"/>
            <w:vAlign w:val="bottom"/>
          </w:tcPr>
          <w:p w14:paraId="25A2C3A8" w14:textId="77777777" w:rsidR="001B6918" w:rsidRPr="005D0729" w:rsidRDefault="001B6918" w:rsidP="00730ECF">
            <w:pPr>
              <w:jc w:val="center"/>
              <w:rPr>
                <w:rFonts w:ascii="Calibri" w:eastAsia="Times New Roman" w:hAnsi="Calibri" w:cs="Calibri"/>
                <w:b/>
                <w:bCs/>
                <w:color w:val="0D0D0D"/>
              </w:rPr>
            </w:pPr>
          </w:p>
        </w:tc>
        <w:tc>
          <w:tcPr>
            <w:tcW w:w="1094" w:type="dxa"/>
            <w:tcBorders>
              <w:top w:val="nil"/>
              <w:left w:val="nil"/>
              <w:bottom w:val="single" w:sz="12" w:space="0" w:color="000000"/>
              <w:right w:val="nil"/>
            </w:tcBorders>
            <w:shd w:val="clear" w:color="000000" w:fill="FFFFFF"/>
            <w:noWrap/>
            <w:vAlign w:val="bottom"/>
          </w:tcPr>
          <w:p w14:paraId="7038D8D9" w14:textId="77777777" w:rsidR="001B6918" w:rsidRPr="005D0729" w:rsidRDefault="001B6918" w:rsidP="00730ECF">
            <w:pPr>
              <w:jc w:val="center"/>
              <w:rPr>
                <w:rFonts w:ascii="Calibri" w:eastAsia="Times New Roman" w:hAnsi="Calibri" w:cs="Calibri"/>
                <w:b/>
                <w:bCs/>
                <w:color w:val="0D0D0D"/>
              </w:rPr>
            </w:pPr>
          </w:p>
        </w:tc>
        <w:tc>
          <w:tcPr>
            <w:tcW w:w="1119" w:type="dxa"/>
            <w:tcBorders>
              <w:top w:val="nil"/>
              <w:left w:val="nil"/>
              <w:bottom w:val="single" w:sz="12" w:space="0" w:color="000000"/>
              <w:right w:val="nil"/>
            </w:tcBorders>
            <w:shd w:val="clear" w:color="000000" w:fill="FFFFFF"/>
            <w:vAlign w:val="bottom"/>
          </w:tcPr>
          <w:p w14:paraId="4FE3EE59" w14:textId="77777777" w:rsidR="001B6918" w:rsidRPr="005D0729" w:rsidRDefault="001B6918" w:rsidP="00730ECF">
            <w:pPr>
              <w:jc w:val="center"/>
              <w:rPr>
                <w:rFonts w:ascii="Calibri" w:eastAsia="Times New Roman" w:hAnsi="Calibri" w:cs="Calibri"/>
                <w:b/>
                <w:bCs/>
                <w:color w:val="0D0D0D"/>
              </w:rPr>
            </w:pPr>
          </w:p>
        </w:tc>
      </w:tr>
      <w:tr w:rsidR="001B6918" w:rsidRPr="005D0729" w14:paraId="6B76D32A" w14:textId="77777777" w:rsidTr="00730ECF">
        <w:trPr>
          <w:trHeight w:val="420"/>
          <w:jc w:val="center"/>
        </w:trPr>
        <w:tc>
          <w:tcPr>
            <w:tcW w:w="3960" w:type="dxa"/>
            <w:tcBorders>
              <w:top w:val="nil"/>
              <w:left w:val="nil"/>
              <w:bottom w:val="single" w:sz="12" w:space="0" w:color="000000"/>
              <w:right w:val="nil"/>
            </w:tcBorders>
            <w:shd w:val="clear" w:color="000000" w:fill="FFFFFF"/>
            <w:noWrap/>
            <w:vAlign w:val="bottom"/>
            <w:hideMark/>
          </w:tcPr>
          <w:p w14:paraId="6A76AB3D" w14:textId="77777777" w:rsidR="001B6918" w:rsidRPr="005D0729" w:rsidRDefault="001B6918" w:rsidP="00730ECF">
            <w:pPr>
              <w:jc w:val="center"/>
              <w:rPr>
                <w:rFonts w:ascii="Calibri" w:eastAsia="Times New Roman" w:hAnsi="Calibri" w:cs="Calibri"/>
                <w:b/>
                <w:bCs/>
                <w:color w:val="0D0D0D"/>
              </w:rPr>
            </w:pPr>
            <w:r w:rsidRPr="005D0729">
              <w:rPr>
                <w:rFonts w:ascii="Calibri" w:eastAsia="Times New Roman" w:hAnsi="Calibri" w:cs="Calibri"/>
                <w:b/>
                <w:bCs/>
                <w:color w:val="0D0D0D"/>
              </w:rPr>
              <w:t> </w:t>
            </w:r>
          </w:p>
        </w:tc>
        <w:tc>
          <w:tcPr>
            <w:tcW w:w="1121" w:type="dxa"/>
            <w:tcBorders>
              <w:top w:val="nil"/>
              <w:left w:val="nil"/>
              <w:bottom w:val="single" w:sz="12" w:space="0" w:color="000000"/>
              <w:right w:val="nil"/>
            </w:tcBorders>
            <w:shd w:val="clear" w:color="000000" w:fill="FFFFFF"/>
            <w:vAlign w:val="bottom"/>
            <w:hideMark/>
          </w:tcPr>
          <w:p w14:paraId="65943712" w14:textId="77777777" w:rsidR="001B6918" w:rsidRPr="005D0729" w:rsidRDefault="001B6918" w:rsidP="00730ECF">
            <w:pPr>
              <w:jc w:val="center"/>
              <w:rPr>
                <w:rFonts w:ascii="Calibri" w:eastAsia="Times New Roman" w:hAnsi="Calibri" w:cs="Calibri"/>
                <w:b/>
                <w:bCs/>
                <w:color w:val="0D0D0D"/>
              </w:rPr>
            </w:pPr>
            <w:r w:rsidRPr="005D0729">
              <w:rPr>
                <w:rFonts w:ascii="Calibri" w:eastAsia="Times New Roman" w:hAnsi="Calibri" w:cs="Calibri"/>
                <w:b/>
                <w:bCs/>
                <w:color w:val="0D0D0D"/>
              </w:rPr>
              <w:t>Beginning</w:t>
            </w:r>
            <w:r>
              <w:rPr>
                <w:rFonts w:ascii="Calibri" w:eastAsia="Times New Roman" w:hAnsi="Calibri" w:cs="Calibri"/>
                <w:b/>
                <w:bCs/>
                <w:color w:val="0D0D0D"/>
              </w:rPr>
              <w:t xml:space="preserve"> </w:t>
            </w:r>
            <w:r w:rsidRPr="005D0729">
              <w:rPr>
                <w:rFonts w:ascii="Calibri" w:eastAsia="Times New Roman" w:hAnsi="Calibri" w:cs="Calibri"/>
                <w:b/>
                <w:bCs/>
                <w:color w:val="0D0D0D"/>
              </w:rPr>
              <w:t>Balance</w:t>
            </w:r>
          </w:p>
        </w:tc>
        <w:tc>
          <w:tcPr>
            <w:tcW w:w="1094" w:type="dxa"/>
            <w:tcBorders>
              <w:top w:val="nil"/>
              <w:left w:val="nil"/>
              <w:bottom w:val="single" w:sz="12" w:space="0" w:color="000000"/>
              <w:right w:val="nil"/>
            </w:tcBorders>
            <w:shd w:val="clear" w:color="000000" w:fill="FFFFFF"/>
            <w:noWrap/>
            <w:vAlign w:val="bottom"/>
            <w:hideMark/>
          </w:tcPr>
          <w:p w14:paraId="0211ADAC" w14:textId="77777777" w:rsidR="001B6918" w:rsidRPr="005D0729" w:rsidRDefault="001B6918" w:rsidP="00730ECF">
            <w:pPr>
              <w:jc w:val="center"/>
              <w:rPr>
                <w:rFonts w:ascii="Calibri" w:eastAsia="Times New Roman" w:hAnsi="Calibri" w:cs="Calibri"/>
                <w:b/>
                <w:bCs/>
                <w:color w:val="0D0D0D"/>
              </w:rPr>
            </w:pPr>
            <w:r w:rsidRPr="005D0729">
              <w:rPr>
                <w:rFonts w:ascii="Calibri" w:eastAsia="Times New Roman" w:hAnsi="Calibri" w:cs="Calibri"/>
                <w:b/>
                <w:bCs/>
                <w:color w:val="0D0D0D"/>
              </w:rPr>
              <w:t>Additions</w:t>
            </w:r>
          </w:p>
        </w:tc>
        <w:tc>
          <w:tcPr>
            <w:tcW w:w="1119" w:type="dxa"/>
            <w:tcBorders>
              <w:top w:val="nil"/>
              <w:left w:val="nil"/>
              <w:bottom w:val="single" w:sz="12" w:space="0" w:color="000000"/>
              <w:right w:val="nil"/>
            </w:tcBorders>
            <w:shd w:val="clear" w:color="000000" w:fill="FFFFFF"/>
            <w:vAlign w:val="bottom"/>
            <w:hideMark/>
          </w:tcPr>
          <w:p w14:paraId="7B4043D2" w14:textId="77777777" w:rsidR="001B6918" w:rsidRPr="005D0729" w:rsidRDefault="001B6918" w:rsidP="00730ECF">
            <w:pPr>
              <w:jc w:val="center"/>
              <w:rPr>
                <w:rFonts w:ascii="Calibri" w:eastAsia="Times New Roman" w:hAnsi="Calibri" w:cs="Calibri"/>
                <w:b/>
                <w:bCs/>
                <w:color w:val="0D0D0D"/>
              </w:rPr>
            </w:pPr>
            <w:r w:rsidRPr="005D0729">
              <w:rPr>
                <w:rFonts w:ascii="Calibri" w:eastAsia="Times New Roman" w:hAnsi="Calibri" w:cs="Calibri"/>
                <w:b/>
                <w:bCs/>
                <w:color w:val="0D0D0D"/>
              </w:rPr>
              <w:t>Ending</w:t>
            </w:r>
            <w:r>
              <w:rPr>
                <w:rFonts w:ascii="Calibri" w:eastAsia="Times New Roman" w:hAnsi="Calibri" w:cs="Calibri"/>
                <w:b/>
                <w:bCs/>
                <w:color w:val="0D0D0D"/>
              </w:rPr>
              <w:t xml:space="preserve"> </w:t>
            </w:r>
            <w:r w:rsidRPr="005D0729">
              <w:rPr>
                <w:rFonts w:ascii="Calibri" w:eastAsia="Times New Roman" w:hAnsi="Calibri" w:cs="Calibri"/>
                <w:b/>
                <w:bCs/>
                <w:color w:val="0D0D0D"/>
              </w:rPr>
              <w:t>Balance</w:t>
            </w:r>
          </w:p>
        </w:tc>
      </w:tr>
      <w:tr w:rsidR="001B6918" w:rsidRPr="005D0729" w14:paraId="78C0D0FE" w14:textId="77777777" w:rsidTr="00730ECF">
        <w:trPr>
          <w:trHeight w:val="107"/>
          <w:jc w:val="center"/>
        </w:trPr>
        <w:tc>
          <w:tcPr>
            <w:tcW w:w="3960" w:type="dxa"/>
            <w:tcBorders>
              <w:top w:val="nil"/>
              <w:left w:val="nil"/>
              <w:bottom w:val="nil"/>
              <w:right w:val="nil"/>
            </w:tcBorders>
            <w:shd w:val="clear" w:color="000000" w:fill="FFFFFF"/>
            <w:noWrap/>
            <w:vAlign w:val="bottom"/>
            <w:hideMark/>
          </w:tcPr>
          <w:p w14:paraId="488FD730" w14:textId="77777777" w:rsidR="001B6918" w:rsidRPr="005D0729" w:rsidRDefault="001B6918" w:rsidP="00730ECF">
            <w:pPr>
              <w:rPr>
                <w:rFonts w:ascii="Calibri" w:eastAsia="Times New Roman" w:hAnsi="Calibri" w:cs="Calibri"/>
                <w:color w:val="0D0D0D"/>
              </w:rPr>
            </w:pPr>
            <w:r w:rsidRPr="005D0729">
              <w:rPr>
                <w:rFonts w:ascii="Calibri" w:eastAsia="Times New Roman" w:hAnsi="Calibri" w:cs="Calibri"/>
                <w:color w:val="0D0D0D"/>
              </w:rPr>
              <w:t>Land improvements</w:t>
            </w:r>
          </w:p>
        </w:tc>
        <w:tc>
          <w:tcPr>
            <w:tcW w:w="1121" w:type="dxa"/>
            <w:tcBorders>
              <w:top w:val="nil"/>
              <w:left w:val="nil"/>
              <w:bottom w:val="nil"/>
              <w:right w:val="nil"/>
            </w:tcBorders>
            <w:shd w:val="clear" w:color="000000" w:fill="FFFFFF"/>
            <w:noWrap/>
            <w:vAlign w:val="bottom"/>
            <w:hideMark/>
          </w:tcPr>
          <w:p w14:paraId="513F19B0" w14:textId="77777777" w:rsidR="001B6918" w:rsidRPr="00FD416B" w:rsidRDefault="001B6918" w:rsidP="00730ECF">
            <w:pPr>
              <w:jc w:val="right"/>
              <w:rPr>
                <w:rFonts w:ascii="Calibri" w:eastAsia="Times New Roman" w:hAnsi="Calibri" w:cs="Calibri"/>
              </w:rPr>
            </w:pPr>
            <w:r w:rsidRPr="00FD416B">
              <w:rPr>
                <w:rFonts w:ascii="Calibri" w:eastAsia="Times New Roman" w:hAnsi="Calibri" w:cs="Calibri"/>
              </w:rPr>
              <w:t xml:space="preserve">$          - </w:t>
            </w:r>
          </w:p>
        </w:tc>
        <w:tc>
          <w:tcPr>
            <w:tcW w:w="1094" w:type="dxa"/>
            <w:tcBorders>
              <w:top w:val="nil"/>
              <w:left w:val="nil"/>
              <w:bottom w:val="nil"/>
              <w:right w:val="nil"/>
            </w:tcBorders>
            <w:shd w:val="clear" w:color="000000" w:fill="FFFFFF"/>
            <w:noWrap/>
            <w:vAlign w:val="bottom"/>
            <w:hideMark/>
          </w:tcPr>
          <w:p w14:paraId="7CC95930" w14:textId="2272C6E9" w:rsidR="001B6918" w:rsidRPr="00FD416B" w:rsidRDefault="00C019C8" w:rsidP="00730ECF">
            <w:pPr>
              <w:jc w:val="right"/>
              <w:rPr>
                <w:rFonts w:ascii="Calibri" w:eastAsia="Times New Roman" w:hAnsi="Calibri" w:cs="Calibri"/>
              </w:rPr>
            </w:pPr>
            <w:r>
              <w:rPr>
                <w:rFonts w:ascii="Calibri" w:eastAsia="Times New Roman" w:hAnsi="Calibri" w:cs="Calibri"/>
              </w:rPr>
              <w:t xml:space="preserve">$  </w:t>
            </w:r>
            <w:r w:rsidR="001B6918" w:rsidRPr="00FD416B">
              <w:rPr>
                <w:rFonts w:ascii="Calibri" w:eastAsia="Times New Roman" w:hAnsi="Calibri" w:cs="Calibri"/>
              </w:rPr>
              <w:t xml:space="preserve">1,180 </w:t>
            </w:r>
          </w:p>
        </w:tc>
        <w:tc>
          <w:tcPr>
            <w:tcW w:w="1119" w:type="dxa"/>
            <w:tcBorders>
              <w:top w:val="nil"/>
              <w:left w:val="nil"/>
              <w:bottom w:val="nil"/>
              <w:right w:val="nil"/>
            </w:tcBorders>
            <w:shd w:val="clear" w:color="000000" w:fill="FFFFFF"/>
            <w:noWrap/>
            <w:vAlign w:val="bottom"/>
            <w:hideMark/>
          </w:tcPr>
          <w:p w14:paraId="536F87FD" w14:textId="23163101" w:rsidR="001B6918" w:rsidRPr="00FD416B" w:rsidRDefault="00C019C8" w:rsidP="00730ECF">
            <w:pPr>
              <w:jc w:val="right"/>
              <w:rPr>
                <w:rFonts w:ascii="Calibri" w:eastAsia="Times New Roman" w:hAnsi="Calibri" w:cs="Calibri"/>
              </w:rPr>
            </w:pPr>
            <w:r>
              <w:rPr>
                <w:rFonts w:ascii="Calibri" w:eastAsia="Times New Roman" w:hAnsi="Calibri" w:cs="Calibri"/>
              </w:rPr>
              <w:t xml:space="preserve">$  </w:t>
            </w:r>
            <w:r w:rsidR="001B6918" w:rsidRPr="00FD416B">
              <w:rPr>
                <w:rFonts w:ascii="Calibri" w:eastAsia="Times New Roman" w:hAnsi="Calibri" w:cs="Calibri"/>
              </w:rPr>
              <w:t xml:space="preserve">1,180 </w:t>
            </w:r>
          </w:p>
        </w:tc>
      </w:tr>
      <w:tr w:rsidR="001B6918" w:rsidRPr="005D0729" w14:paraId="0231F3B1" w14:textId="77777777" w:rsidTr="00730ECF">
        <w:trPr>
          <w:trHeight w:val="108"/>
          <w:jc w:val="center"/>
        </w:trPr>
        <w:tc>
          <w:tcPr>
            <w:tcW w:w="3960" w:type="dxa"/>
            <w:tcBorders>
              <w:top w:val="nil"/>
              <w:left w:val="nil"/>
              <w:bottom w:val="nil"/>
              <w:right w:val="nil"/>
            </w:tcBorders>
            <w:shd w:val="clear" w:color="000000" w:fill="FFFFFF"/>
            <w:noWrap/>
            <w:vAlign w:val="bottom"/>
            <w:hideMark/>
          </w:tcPr>
          <w:p w14:paraId="181EA98B" w14:textId="77777777" w:rsidR="001B6918" w:rsidRPr="005D0729" w:rsidRDefault="001B6918" w:rsidP="00730ECF">
            <w:pPr>
              <w:rPr>
                <w:rFonts w:ascii="Calibri" w:eastAsia="Times New Roman" w:hAnsi="Calibri" w:cs="Calibri"/>
                <w:color w:val="0D0D0D"/>
              </w:rPr>
            </w:pPr>
            <w:r w:rsidRPr="005D0729">
              <w:rPr>
                <w:rFonts w:ascii="Calibri" w:eastAsia="Times New Roman" w:hAnsi="Calibri" w:cs="Calibri"/>
                <w:color w:val="0D0D0D"/>
              </w:rPr>
              <w:t>Buildings &amp; improvements</w:t>
            </w:r>
          </w:p>
        </w:tc>
        <w:tc>
          <w:tcPr>
            <w:tcW w:w="1121" w:type="dxa"/>
            <w:tcBorders>
              <w:top w:val="nil"/>
              <w:left w:val="nil"/>
              <w:bottom w:val="nil"/>
              <w:right w:val="nil"/>
            </w:tcBorders>
            <w:shd w:val="clear" w:color="000000" w:fill="FFFFFF"/>
            <w:noWrap/>
            <w:vAlign w:val="bottom"/>
            <w:hideMark/>
          </w:tcPr>
          <w:p w14:paraId="6B5B0A57" w14:textId="77777777" w:rsidR="001B6918" w:rsidRPr="00FD416B" w:rsidRDefault="001B6918" w:rsidP="00730ECF">
            <w:pPr>
              <w:jc w:val="right"/>
              <w:rPr>
                <w:rFonts w:ascii="Calibri" w:eastAsia="Times New Roman" w:hAnsi="Calibri" w:cs="Calibri"/>
              </w:rPr>
            </w:pPr>
            <w:r w:rsidRPr="00FD416B">
              <w:rPr>
                <w:rFonts w:ascii="Calibri" w:eastAsia="Times New Roman" w:hAnsi="Calibri" w:cs="Calibri"/>
              </w:rPr>
              <w:t xml:space="preserve">          -</w:t>
            </w:r>
          </w:p>
        </w:tc>
        <w:tc>
          <w:tcPr>
            <w:tcW w:w="1094" w:type="dxa"/>
            <w:tcBorders>
              <w:top w:val="nil"/>
              <w:left w:val="nil"/>
              <w:bottom w:val="nil"/>
              <w:right w:val="nil"/>
            </w:tcBorders>
            <w:shd w:val="clear" w:color="000000" w:fill="FFFFFF"/>
            <w:noWrap/>
            <w:vAlign w:val="bottom"/>
            <w:hideMark/>
          </w:tcPr>
          <w:p w14:paraId="1EA8AB6F" w14:textId="77777777" w:rsidR="001B6918" w:rsidRPr="00FD416B" w:rsidRDefault="001B6918" w:rsidP="00730ECF">
            <w:pPr>
              <w:jc w:val="right"/>
              <w:rPr>
                <w:rFonts w:ascii="Calibri" w:eastAsia="Times New Roman" w:hAnsi="Calibri" w:cs="Calibri"/>
              </w:rPr>
            </w:pPr>
            <w:r w:rsidRPr="00FD416B">
              <w:rPr>
                <w:rFonts w:ascii="Calibri" w:eastAsia="Times New Roman" w:hAnsi="Calibri" w:cs="Calibri"/>
              </w:rPr>
              <w:t xml:space="preserve">23,916 </w:t>
            </w:r>
          </w:p>
        </w:tc>
        <w:tc>
          <w:tcPr>
            <w:tcW w:w="1119" w:type="dxa"/>
            <w:tcBorders>
              <w:top w:val="nil"/>
              <w:left w:val="nil"/>
              <w:bottom w:val="nil"/>
              <w:right w:val="nil"/>
            </w:tcBorders>
            <w:shd w:val="clear" w:color="000000" w:fill="FFFFFF"/>
            <w:noWrap/>
            <w:vAlign w:val="bottom"/>
            <w:hideMark/>
          </w:tcPr>
          <w:p w14:paraId="47C596AB" w14:textId="77777777" w:rsidR="001B6918" w:rsidRPr="00FD416B" w:rsidRDefault="001B6918" w:rsidP="00730ECF">
            <w:pPr>
              <w:jc w:val="right"/>
              <w:rPr>
                <w:rFonts w:ascii="Calibri" w:eastAsia="Times New Roman" w:hAnsi="Calibri" w:cs="Calibri"/>
              </w:rPr>
            </w:pPr>
            <w:r w:rsidRPr="00FD416B">
              <w:rPr>
                <w:rFonts w:ascii="Calibri" w:eastAsia="Times New Roman" w:hAnsi="Calibri" w:cs="Calibri"/>
              </w:rPr>
              <w:t xml:space="preserve">23,916 </w:t>
            </w:r>
          </w:p>
        </w:tc>
      </w:tr>
      <w:tr w:rsidR="001B6918" w:rsidRPr="005D0729" w14:paraId="36974284" w14:textId="77777777" w:rsidTr="00730ECF">
        <w:trPr>
          <w:trHeight w:val="197"/>
          <w:jc w:val="center"/>
        </w:trPr>
        <w:tc>
          <w:tcPr>
            <w:tcW w:w="3960" w:type="dxa"/>
            <w:tcBorders>
              <w:top w:val="single" w:sz="4" w:space="0" w:color="000000"/>
              <w:left w:val="nil"/>
              <w:bottom w:val="single" w:sz="4" w:space="0" w:color="000000"/>
              <w:right w:val="nil"/>
            </w:tcBorders>
            <w:shd w:val="clear" w:color="000000" w:fill="FFFFFF"/>
            <w:noWrap/>
            <w:vAlign w:val="bottom"/>
            <w:hideMark/>
          </w:tcPr>
          <w:p w14:paraId="515E9169" w14:textId="77777777" w:rsidR="001B6918" w:rsidRPr="005D0729" w:rsidRDefault="001B6918" w:rsidP="00730ECF">
            <w:pPr>
              <w:rPr>
                <w:rFonts w:ascii="Calibri" w:eastAsia="Times New Roman" w:hAnsi="Calibri" w:cs="Calibri"/>
                <w:color w:val="0D0D0D"/>
              </w:rPr>
            </w:pPr>
            <w:r w:rsidRPr="005D0729">
              <w:rPr>
                <w:rFonts w:ascii="Calibri" w:eastAsia="Times New Roman" w:hAnsi="Calibri" w:cs="Calibri"/>
                <w:color w:val="0D0D0D"/>
              </w:rPr>
              <w:t xml:space="preserve">Total depreciable </w:t>
            </w:r>
            <w:r>
              <w:rPr>
                <w:rFonts w:ascii="Calibri" w:eastAsia="Times New Roman" w:hAnsi="Calibri" w:cs="Calibri"/>
                <w:color w:val="0D0D0D"/>
              </w:rPr>
              <w:t xml:space="preserve">PPP </w:t>
            </w:r>
            <w:r w:rsidRPr="005D0729">
              <w:rPr>
                <w:rFonts w:ascii="Calibri" w:eastAsia="Times New Roman" w:hAnsi="Calibri" w:cs="Calibri"/>
                <w:color w:val="0D0D0D"/>
              </w:rPr>
              <w:t>assets</w:t>
            </w:r>
          </w:p>
        </w:tc>
        <w:tc>
          <w:tcPr>
            <w:tcW w:w="1121" w:type="dxa"/>
            <w:tcBorders>
              <w:top w:val="single" w:sz="4" w:space="0" w:color="000000"/>
              <w:left w:val="nil"/>
              <w:bottom w:val="single" w:sz="4" w:space="0" w:color="000000"/>
              <w:right w:val="nil"/>
            </w:tcBorders>
            <w:shd w:val="clear" w:color="000000" w:fill="FFFFFF"/>
            <w:noWrap/>
            <w:vAlign w:val="bottom"/>
            <w:hideMark/>
          </w:tcPr>
          <w:p w14:paraId="33FD4742" w14:textId="77777777" w:rsidR="001B6918" w:rsidRPr="00FD416B" w:rsidRDefault="001B6918" w:rsidP="00730ECF">
            <w:pPr>
              <w:jc w:val="right"/>
              <w:rPr>
                <w:rFonts w:ascii="Calibri" w:eastAsia="Times New Roman" w:hAnsi="Calibri" w:cs="Calibri"/>
              </w:rPr>
            </w:pPr>
            <w:r w:rsidRPr="00FD416B">
              <w:rPr>
                <w:rFonts w:ascii="Calibri" w:eastAsia="Times New Roman" w:hAnsi="Calibri" w:cs="Calibri"/>
              </w:rPr>
              <w:t>-</w:t>
            </w:r>
          </w:p>
        </w:tc>
        <w:tc>
          <w:tcPr>
            <w:tcW w:w="1094" w:type="dxa"/>
            <w:tcBorders>
              <w:top w:val="single" w:sz="4" w:space="0" w:color="000000"/>
              <w:left w:val="nil"/>
              <w:bottom w:val="single" w:sz="4" w:space="0" w:color="000000"/>
              <w:right w:val="nil"/>
            </w:tcBorders>
            <w:shd w:val="clear" w:color="000000" w:fill="FFFFFF"/>
            <w:noWrap/>
            <w:vAlign w:val="bottom"/>
            <w:hideMark/>
          </w:tcPr>
          <w:p w14:paraId="16A37EDA" w14:textId="77777777" w:rsidR="001B6918" w:rsidRPr="00FD416B" w:rsidRDefault="001B6918" w:rsidP="00730ECF">
            <w:pPr>
              <w:jc w:val="right"/>
              <w:rPr>
                <w:rFonts w:ascii="Calibri" w:eastAsia="Times New Roman" w:hAnsi="Calibri" w:cs="Calibri"/>
              </w:rPr>
            </w:pPr>
            <w:r w:rsidRPr="00FD416B">
              <w:rPr>
                <w:rFonts w:ascii="Calibri" w:eastAsia="Times New Roman" w:hAnsi="Calibri" w:cs="Calibri"/>
              </w:rPr>
              <w:t xml:space="preserve">25,096 </w:t>
            </w:r>
          </w:p>
        </w:tc>
        <w:tc>
          <w:tcPr>
            <w:tcW w:w="1119" w:type="dxa"/>
            <w:tcBorders>
              <w:top w:val="single" w:sz="4" w:space="0" w:color="000000"/>
              <w:left w:val="nil"/>
              <w:bottom w:val="single" w:sz="4" w:space="0" w:color="000000"/>
              <w:right w:val="nil"/>
            </w:tcBorders>
            <w:shd w:val="clear" w:color="000000" w:fill="FFFFFF"/>
            <w:noWrap/>
            <w:vAlign w:val="bottom"/>
            <w:hideMark/>
          </w:tcPr>
          <w:p w14:paraId="19463CCD" w14:textId="77777777" w:rsidR="001B6918" w:rsidRPr="00FD416B" w:rsidRDefault="001B6918" w:rsidP="00730ECF">
            <w:pPr>
              <w:jc w:val="right"/>
              <w:rPr>
                <w:rFonts w:ascii="Calibri" w:eastAsia="Times New Roman" w:hAnsi="Calibri" w:cs="Calibri"/>
              </w:rPr>
            </w:pPr>
            <w:r w:rsidRPr="00FD416B">
              <w:rPr>
                <w:rFonts w:ascii="Calibri" w:eastAsia="Times New Roman" w:hAnsi="Calibri" w:cs="Calibri"/>
              </w:rPr>
              <w:t xml:space="preserve">25,096 </w:t>
            </w:r>
          </w:p>
        </w:tc>
      </w:tr>
      <w:tr w:rsidR="001B6918" w:rsidRPr="005D0729" w14:paraId="0EEE0EC8" w14:textId="77777777" w:rsidTr="00730ECF">
        <w:trPr>
          <w:trHeight w:val="188"/>
          <w:jc w:val="center"/>
        </w:trPr>
        <w:tc>
          <w:tcPr>
            <w:tcW w:w="3960" w:type="dxa"/>
            <w:tcBorders>
              <w:top w:val="nil"/>
              <w:left w:val="nil"/>
              <w:bottom w:val="nil"/>
              <w:right w:val="nil"/>
            </w:tcBorders>
            <w:shd w:val="clear" w:color="000000" w:fill="FFFFFF"/>
            <w:noWrap/>
            <w:vAlign w:val="bottom"/>
            <w:hideMark/>
          </w:tcPr>
          <w:p w14:paraId="63DF84B6" w14:textId="77777777" w:rsidR="001B6918" w:rsidRPr="005D0729" w:rsidRDefault="001B6918" w:rsidP="00730ECF">
            <w:pPr>
              <w:rPr>
                <w:rFonts w:ascii="Calibri" w:eastAsia="Times New Roman" w:hAnsi="Calibri" w:cs="Calibri"/>
                <w:color w:val="0D0D0D"/>
              </w:rPr>
            </w:pPr>
            <w:r w:rsidRPr="005D0729">
              <w:rPr>
                <w:rFonts w:ascii="Calibri" w:eastAsia="Times New Roman" w:hAnsi="Calibri" w:cs="Calibri"/>
                <w:color w:val="0D0D0D"/>
              </w:rPr>
              <w:t>Less accumulated depreciation:</w:t>
            </w:r>
          </w:p>
        </w:tc>
        <w:tc>
          <w:tcPr>
            <w:tcW w:w="1121" w:type="dxa"/>
            <w:tcBorders>
              <w:top w:val="nil"/>
              <w:left w:val="nil"/>
              <w:bottom w:val="nil"/>
              <w:right w:val="nil"/>
            </w:tcBorders>
            <w:shd w:val="clear" w:color="000000" w:fill="FFFFFF"/>
            <w:noWrap/>
            <w:vAlign w:val="bottom"/>
            <w:hideMark/>
          </w:tcPr>
          <w:p w14:paraId="10F33441" w14:textId="77777777" w:rsidR="001B6918" w:rsidRPr="00FD416B" w:rsidRDefault="001B6918" w:rsidP="00730ECF">
            <w:pPr>
              <w:jc w:val="right"/>
              <w:rPr>
                <w:rFonts w:ascii="Calibri" w:eastAsia="Times New Roman" w:hAnsi="Calibri" w:cs="Calibri"/>
              </w:rPr>
            </w:pPr>
            <w:r w:rsidRPr="00FD416B">
              <w:rPr>
                <w:rFonts w:ascii="Calibri" w:eastAsia="Times New Roman" w:hAnsi="Calibri" w:cs="Calibri"/>
              </w:rPr>
              <w:t> </w:t>
            </w:r>
          </w:p>
        </w:tc>
        <w:tc>
          <w:tcPr>
            <w:tcW w:w="1094" w:type="dxa"/>
            <w:tcBorders>
              <w:top w:val="nil"/>
              <w:left w:val="nil"/>
              <w:bottom w:val="nil"/>
              <w:right w:val="nil"/>
            </w:tcBorders>
            <w:shd w:val="clear" w:color="000000" w:fill="FFFFFF"/>
            <w:noWrap/>
            <w:vAlign w:val="bottom"/>
            <w:hideMark/>
          </w:tcPr>
          <w:p w14:paraId="5D2857EF" w14:textId="77777777" w:rsidR="001B6918" w:rsidRPr="00FD416B" w:rsidRDefault="001B6918" w:rsidP="00730ECF">
            <w:pPr>
              <w:jc w:val="right"/>
              <w:rPr>
                <w:rFonts w:ascii="Calibri" w:eastAsia="Times New Roman" w:hAnsi="Calibri" w:cs="Calibri"/>
              </w:rPr>
            </w:pPr>
            <w:r w:rsidRPr="00FD416B">
              <w:rPr>
                <w:rFonts w:ascii="Calibri" w:eastAsia="Times New Roman" w:hAnsi="Calibri" w:cs="Calibri"/>
              </w:rPr>
              <w:t> </w:t>
            </w:r>
          </w:p>
        </w:tc>
        <w:tc>
          <w:tcPr>
            <w:tcW w:w="1119" w:type="dxa"/>
            <w:tcBorders>
              <w:top w:val="nil"/>
              <w:left w:val="nil"/>
              <w:bottom w:val="nil"/>
              <w:right w:val="nil"/>
            </w:tcBorders>
            <w:shd w:val="clear" w:color="000000" w:fill="FFFFFF"/>
            <w:noWrap/>
            <w:vAlign w:val="bottom"/>
            <w:hideMark/>
          </w:tcPr>
          <w:p w14:paraId="6FC2601C" w14:textId="77777777" w:rsidR="001B6918" w:rsidRPr="00FD416B" w:rsidRDefault="001B6918" w:rsidP="00730ECF">
            <w:pPr>
              <w:jc w:val="right"/>
              <w:rPr>
                <w:rFonts w:ascii="Calibri" w:eastAsia="Times New Roman" w:hAnsi="Calibri" w:cs="Calibri"/>
              </w:rPr>
            </w:pPr>
            <w:r w:rsidRPr="00FD416B">
              <w:rPr>
                <w:rFonts w:ascii="Calibri" w:eastAsia="Times New Roman" w:hAnsi="Calibri" w:cs="Calibri"/>
              </w:rPr>
              <w:t> </w:t>
            </w:r>
          </w:p>
        </w:tc>
      </w:tr>
      <w:tr w:rsidR="001B6918" w:rsidRPr="005D0729" w14:paraId="55F5C3BD" w14:textId="77777777" w:rsidTr="00730ECF">
        <w:trPr>
          <w:trHeight w:val="198"/>
          <w:jc w:val="center"/>
        </w:trPr>
        <w:tc>
          <w:tcPr>
            <w:tcW w:w="3960" w:type="dxa"/>
            <w:tcBorders>
              <w:top w:val="nil"/>
              <w:left w:val="nil"/>
              <w:bottom w:val="nil"/>
              <w:right w:val="nil"/>
            </w:tcBorders>
            <w:shd w:val="clear" w:color="000000" w:fill="FFFFFF"/>
            <w:noWrap/>
            <w:vAlign w:val="bottom"/>
            <w:hideMark/>
          </w:tcPr>
          <w:p w14:paraId="5DB9C4D4" w14:textId="77777777" w:rsidR="001B6918" w:rsidRPr="005D0729" w:rsidRDefault="001B6918" w:rsidP="00730ECF">
            <w:pPr>
              <w:ind w:firstLineChars="100" w:firstLine="220"/>
              <w:rPr>
                <w:rFonts w:ascii="Calibri" w:eastAsia="Times New Roman" w:hAnsi="Calibri" w:cs="Calibri"/>
                <w:color w:val="0D0D0D"/>
              </w:rPr>
            </w:pPr>
            <w:r w:rsidRPr="005D0729">
              <w:rPr>
                <w:rFonts w:ascii="Calibri" w:eastAsia="Times New Roman" w:hAnsi="Calibri" w:cs="Calibri"/>
                <w:color w:val="0D0D0D"/>
              </w:rPr>
              <w:t>Land improvements</w:t>
            </w:r>
          </w:p>
        </w:tc>
        <w:tc>
          <w:tcPr>
            <w:tcW w:w="1121" w:type="dxa"/>
            <w:tcBorders>
              <w:top w:val="nil"/>
              <w:left w:val="nil"/>
              <w:bottom w:val="nil"/>
              <w:right w:val="nil"/>
            </w:tcBorders>
            <w:shd w:val="clear" w:color="000000" w:fill="FFFFFF"/>
            <w:noWrap/>
            <w:vAlign w:val="bottom"/>
            <w:hideMark/>
          </w:tcPr>
          <w:p w14:paraId="3AC0DF5E" w14:textId="77777777" w:rsidR="001B6918" w:rsidRPr="00FD416B" w:rsidRDefault="001B6918" w:rsidP="00730ECF">
            <w:pPr>
              <w:jc w:val="right"/>
              <w:rPr>
                <w:rFonts w:ascii="Calibri" w:eastAsia="Times New Roman" w:hAnsi="Calibri" w:cs="Calibri"/>
              </w:rPr>
            </w:pPr>
            <w:r w:rsidRPr="00FD416B">
              <w:rPr>
                <w:rFonts w:ascii="Calibri" w:eastAsia="Times New Roman" w:hAnsi="Calibri" w:cs="Calibri"/>
              </w:rPr>
              <w:t xml:space="preserve">- </w:t>
            </w:r>
          </w:p>
        </w:tc>
        <w:tc>
          <w:tcPr>
            <w:tcW w:w="1094" w:type="dxa"/>
            <w:tcBorders>
              <w:top w:val="nil"/>
              <w:left w:val="nil"/>
              <w:bottom w:val="nil"/>
              <w:right w:val="nil"/>
            </w:tcBorders>
            <w:shd w:val="clear" w:color="000000" w:fill="FFFFFF"/>
            <w:noWrap/>
            <w:vAlign w:val="bottom"/>
            <w:hideMark/>
          </w:tcPr>
          <w:p w14:paraId="1445F7A3" w14:textId="77777777" w:rsidR="001B6918" w:rsidRPr="00FD416B" w:rsidRDefault="001B6918" w:rsidP="00730ECF">
            <w:pPr>
              <w:jc w:val="right"/>
              <w:rPr>
                <w:rFonts w:ascii="Calibri" w:eastAsia="Times New Roman" w:hAnsi="Calibri" w:cs="Calibri"/>
              </w:rPr>
            </w:pPr>
            <w:r w:rsidRPr="00FD416B">
              <w:rPr>
                <w:rFonts w:ascii="Calibri" w:eastAsia="Times New Roman" w:hAnsi="Calibri" w:cs="Calibri"/>
              </w:rPr>
              <w:t xml:space="preserve">30 </w:t>
            </w:r>
          </w:p>
        </w:tc>
        <w:tc>
          <w:tcPr>
            <w:tcW w:w="1119" w:type="dxa"/>
            <w:tcBorders>
              <w:top w:val="nil"/>
              <w:left w:val="nil"/>
              <w:bottom w:val="nil"/>
              <w:right w:val="nil"/>
            </w:tcBorders>
            <w:shd w:val="clear" w:color="000000" w:fill="FFFFFF"/>
            <w:noWrap/>
            <w:vAlign w:val="bottom"/>
            <w:hideMark/>
          </w:tcPr>
          <w:p w14:paraId="5B39DD90" w14:textId="77777777" w:rsidR="001B6918" w:rsidRPr="00FD416B" w:rsidRDefault="001B6918" w:rsidP="00730ECF">
            <w:pPr>
              <w:jc w:val="right"/>
              <w:rPr>
                <w:rFonts w:ascii="Calibri" w:eastAsia="Times New Roman" w:hAnsi="Calibri" w:cs="Calibri"/>
              </w:rPr>
            </w:pPr>
            <w:r w:rsidRPr="00FD416B">
              <w:rPr>
                <w:rFonts w:ascii="Calibri" w:eastAsia="Times New Roman" w:hAnsi="Calibri" w:cs="Calibri"/>
              </w:rPr>
              <w:t xml:space="preserve">30 </w:t>
            </w:r>
          </w:p>
        </w:tc>
      </w:tr>
      <w:tr w:rsidR="001B6918" w:rsidRPr="005D0729" w14:paraId="4AF52765" w14:textId="77777777" w:rsidTr="00730ECF">
        <w:trPr>
          <w:trHeight w:val="198"/>
          <w:jc w:val="center"/>
        </w:trPr>
        <w:tc>
          <w:tcPr>
            <w:tcW w:w="3960" w:type="dxa"/>
            <w:tcBorders>
              <w:top w:val="nil"/>
              <w:left w:val="nil"/>
              <w:bottom w:val="nil"/>
              <w:right w:val="nil"/>
            </w:tcBorders>
            <w:shd w:val="clear" w:color="000000" w:fill="FFFFFF"/>
            <w:noWrap/>
            <w:vAlign w:val="bottom"/>
            <w:hideMark/>
          </w:tcPr>
          <w:p w14:paraId="50630F1D" w14:textId="77777777" w:rsidR="001B6918" w:rsidRPr="005D0729" w:rsidRDefault="001B6918" w:rsidP="00730ECF">
            <w:pPr>
              <w:ind w:firstLineChars="100" w:firstLine="220"/>
              <w:rPr>
                <w:rFonts w:ascii="Calibri" w:eastAsia="Times New Roman" w:hAnsi="Calibri" w:cs="Calibri"/>
                <w:color w:val="0D0D0D"/>
              </w:rPr>
            </w:pPr>
            <w:r w:rsidRPr="005D0729">
              <w:rPr>
                <w:rFonts w:ascii="Calibri" w:eastAsia="Times New Roman" w:hAnsi="Calibri" w:cs="Calibri"/>
                <w:color w:val="0D0D0D"/>
              </w:rPr>
              <w:t>Buildings &amp; improvements</w:t>
            </w:r>
          </w:p>
        </w:tc>
        <w:tc>
          <w:tcPr>
            <w:tcW w:w="1121" w:type="dxa"/>
            <w:tcBorders>
              <w:top w:val="nil"/>
              <w:left w:val="nil"/>
              <w:bottom w:val="nil"/>
              <w:right w:val="nil"/>
            </w:tcBorders>
            <w:shd w:val="clear" w:color="000000" w:fill="FFFFFF"/>
            <w:noWrap/>
            <w:vAlign w:val="bottom"/>
            <w:hideMark/>
          </w:tcPr>
          <w:p w14:paraId="0347A321" w14:textId="77777777" w:rsidR="001B6918" w:rsidRPr="00FD416B" w:rsidRDefault="001B6918" w:rsidP="00730ECF">
            <w:pPr>
              <w:jc w:val="right"/>
              <w:rPr>
                <w:rFonts w:ascii="Calibri" w:eastAsia="Times New Roman" w:hAnsi="Calibri" w:cs="Calibri"/>
              </w:rPr>
            </w:pPr>
            <w:r w:rsidRPr="00FD416B">
              <w:rPr>
                <w:rFonts w:ascii="Calibri" w:eastAsia="Times New Roman" w:hAnsi="Calibri" w:cs="Calibri"/>
              </w:rPr>
              <w:t xml:space="preserve">- </w:t>
            </w:r>
          </w:p>
        </w:tc>
        <w:tc>
          <w:tcPr>
            <w:tcW w:w="1094" w:type="dxa"/>
            <w:tcBorders>
              <w:top w:val="nil"/>
              <w:left w:val="nil"/>
              <w:bottom w:val="nil"/>
              <w:right w:val="nil"/>
            </w:tcBorders>
            <w:shd w:val="clear" w:color="000000" w:fill="FFFFFF"/>
            <w:noWrap/>
            <w:vAlign w:val="bottom"/>
            <w:hideMark/>
          </w:tcPr>
          <w:p w14:paraId="6E49E96D" w14:textId="77777777" w:rsidR="001B6918" w:rsidRPr="00FD416B" w:rsidRDefault="001B6918" w:rsidP="00730ECF">
            <w:pPr>
              <w:jc w:val="right"/>
              <w:rPr>
                <w:rFonts w:ascii="Calibri" w:eastAsia="Times New Roman" w:hAnsi="Calibri" w:cs="Calibri"/>
              </w:rPr>
            </w:pPr>
            <w:r w:rsidRPr="00FD416B">
              <w:rPr>
                <w:rFonts w:ascii="Calibri" w:eastAsia="Times New Roman" w:hAnsi="Calibri" w:cs="Calibri"/>
              </w:rPr>
              <w:t xml:space="preserve">159 </w:t>
            </w:r>
          </w:p>
        </w:tc>
        <w:tc>
          <w:tcPr>
            <w:tcW w:w="1119" w:type="dxa"/>
            <w:tcBorders>
              <w:top w:val="nil"/>
              <w:left w:val="nil"/>
              <w:bottom w:val="nil"/>
              <w:right w:val="nil"/>
            </w:tcBorders>
            <w:noWrap/>
            <w:vAlign w:val="bottom"/>
            <w:hideMark/>
          </w:tcPr>
          <w:p w14:paraId="248CDC89" w14:textId="77777777" w:rsidR="001B6918" w:rsidRPr="00FD416B" w:rsidRDefault="001B6918" w:rsidP="00730ECF">
            <w:pPr>
              <w:jc w:val="right"/>
              <w:rPr>
                <w:rFonts w:ascii="Calibri" w:eastAsia="Times New Roman" w:hAnsi="Calibri" w:cs="Calibri"/>
              </w:rPr>
            </w:pPr>
            <w:r w:rsidRPr="00FD416B">
              <w:rPr>
                <w:rFonts w:ascii="Calibri" w:eastAsia="Times New Roman" w:hAnsi="Calibri" w:cs="Calibri"/>
              </w:rPr>
              <w:t xml:space="preserve">159 </w:t>
            </w:r>
          </w:p>
        </w:tc>
      </w:tr>
      <w:tr w:rsidR="001B6918" w:rsidRPr="005D0729" w14:paraId="07C21425" w14:textId="77777777" w:rsidTr="00730ECF">
        <w:trPr>
          <w:trHeight w:val="188"/>
          <w:jc w:val="center"/>
        </w:trPr>
        <w:tc>
          <w:tcPr>
            <w:tcW w:w="3960" w:type="dxa"/>
            <w:tcBorders>
              <w:top w:val="single" w:sz="4" w:space="0" w:color="000000"/>
              <w:left w:val="nil"/>
              <w:bottom w:val="single" w:sz="4" w:space="0" w:color="000000"/>
              <w:right w:val="nil"/>
            </w:tcBorders>
            <w:shd w:val="clear" w:color="000000" w:fill="FFFFFF"/>
            <w:noWrap/>
            <w:vAlign w:val="bottom"/>
            <w:hideMark/>
          </w:tcPr>
          <w:p w14:paraId="39F52D4D" w14:textId="77777777" w:rsidR="001B6918" w:rsidRPr="005D0729" w:rsidRDefault="001B6918" w:rsidP="00730ECF">
            <w:pPr>
              <w:rPr>
                <w:rFonts w:ascii="Calibri" w:eastAsia="Times New Roman" w:hAnsi="Calibri" w:cs="Calibri"/>
                <w:color w:val="0D0D0D"/>
              </w:rPr>
            </w:pPr>
            <w:r w:rsidRPr="005D0729">
              <w:rPr>
                <w:rFonts w:ascii="Calibri" w:eastAsia="Times New Roman" w:hAnsi="Calibri" w:cs="Calibri"/>
                <w:color w:val="0D0D0D"/>
              </w:rPr>
              <w:t>Total accumulated depreciation</w:t>
            </w:r>
          </w:p>
        </w:tc>
        <w:tc>
          <w:tcPr>
            <w:tcW w:w="1121" w:type="dxa"/>
            <w:tcBorders>
              <w:top w:val="single" w:sz="4" w:space="0" w:color="000000"/>
              <w:left w:val="nil"/>
              <w:bottom w:val="single" w:sz="4" w:space="0" w:color="000000"/>
              <w:right w:val="nil"/>
            </w:tcBorders>
            <w:shd w:val="clear" w:color="000000" w:fill="FFFFFF"/>
            <w:noWrap/>
            <w:vAlign w:val="bottom"/>
            <w:hideMark/>
          </w:tcPr>
          <w:p w14:paraId="0DD7B420" w14:textId="77777777" w:rsidR="001B6918" w:rsidRPr="00FD416B" w:rsidRDefault="001B6918" w:rsidP="00730ECF">
            <w:pPr>
              <w:jc w:val="right"/>
              <w:rPr>
                <w:rFonts w:ascii="Calibri" w:eastAsia="Times New Roman" w:hAnsi="Calibri" w:cs="Calibri"/>
              </w:rPr>
            </w:pPr>
            <w:r w:rsidRPr="00FD416B">
              <w:rPr>
                <w:rFonts w:ascii="Calibri" w:eastAsia="Times New Roman" w:hAnsi="Calibri" w:cs="Calibri"/>
              </w:rPr>
              <w:t xml:space="preserve">- </w:t>
            </w:r>
          </w:p>
        </w:tc>
        <w:tc>
          <w:tcPr>
            <w:tcW w:w="1094" w:type="dxa"/>
            <w:tcBorders>
              <w:top w:val="single" w:sz="4" w:space="0" w:color="000000"/>
              <w:left w:val="nil"/>
              <w:bottom w:val="single" w:sz="4" w:space="0" w:color="000000"/>
              <w:right w:val="nil"/>
            </w:tcBorders>
            <w:shd w:val="clear" w:color="000000" w:fill="FFFFFF"/>
            <w:noWrap/>
            <w:vAlign w:val="bottom"/>
            <w:hideMark/>
          </w:tcPr>
          <w:p w14:paraId="2725D83D" w14:textId="77777777" w:rsidR="001B6918" w:rsidRPr="00FD416B" w:rsidRDefault="001B6918" w:rsidP="00730ECF">
            <w:pPr>
              <w:jc w:val="right"/>
              <w:rPr>
                <w:rFonts w:ascii="Calibri" w:eastAsia="Times New Roman" w:hAnsi="Calibri" w:cs="Calibri"/>
              </w:rPr>
            </w:pPr>
            <w:r w:rsidRPr="00FD416B">
              <w:rPr>
                <w:rFonts w:ascii="Calibri" w:eastAsia="Times New Roman" w:hAnsi="Calibri" w:cs="Calibri"/>
              </w:rPr>
              <w:t xml:space="preserve">189 </w:t>
            </w:r>
          </w:p>
        </w:tc>
        <w:tc>
          <w:tcPr>
            <w:tcW w:w="1119" w:type="dxa"/>
            <w:tcBorders>
              <w:top w:val="single" w:sz="4" w:space="0" w:color="000000"/>
              <w:left w:val="nil"/>
              <w:bottom w:val="single" w:sz="4" w:space="0" w:color="000000"/>
              <w:right w:val="nil"/>
            </w:tcBorders>
            <w:shd w:val="clear" w:color="000000" w:fill="FFFFFF"/>
            <w:noWrap/>
            <w:vAlign w:val="bottom"/>
            <w:hideMark/>
          </w:tcPr>
          <w:p w14:paraId="71E560DE" w14:textId="77777777" w:rsidR="001B6918" w:rsidRPr="00FD416B" w:rsidRDefault="001B6918" w:rsidP="00730ECF">
            <w:pPr>
              <w:jc w:val="right"/>
              <w:rPr>
                <w:rFonts w:ascii="Calibri" w:eastAsia="Times New Roman" w:hAnsi="Calibri" w:cs="Calibri"/>
              </w:rPr>
            </w:pPr>
            <w:r w:rsidRPr="00FD416B">
              <w:rPr>
                <w:rFonts w:ascii="Calibri" w:eastAsia="Times New Roman" w:hAnsi="Calibri" w:cs="Calibri"/>
              </w:rPr>
              <w:t xml:space="preserve">189 </w:t>
            </w:r>
          </w:p>
        </w:tc>
      </w:tr>
      <w:tr w:rsidR="001B6918" w:rsidRPr="005D0729" w14:paraId="7442C28E" w14:textId="77777777" w:rsidTr="00730ECF">
        <w:trPr>
          <w:trHeight w:val="98"/>
          <w:jc w:val="center"/>
        </w:trPr>
        <w:tc>
          <w:tcPr>
            <w:tcW w:w="3960" w:type="dxa"/>
            <w:tcBorders>
              <w:top w:val="nil"/>
              <w:left w:val="nil"/>
              <w:bottom w:val="single" w:sz="4" w:space="0" w:color="000000"/>
              <w:right w:val="nil"/>
            </w:tcBorders>
            <w:shd w:val="clear" w:color="000000" w:fill="FFFFFF"/>
            <w:noWrap/>
            <w:vAlign w:val="bottom"/>
            <w:hideMark/>
          </w:tcPr>
          <w:p w14:paraId="3B8B8DB5" w14:textId="77777777" w:rsidR="001B6918" w:rsidRPr="005D0729" w:rsidRDefault="001B6918" w:rsidP="00730ECF">
            <w:pPr>
              <w:rPr>
                <w:rFonts w:ascii="Calibri" w:eastAsia="Times New Roman" w:hAnsi="Calibri" w:cs="Calibri"/>
                <w:color w:val="0D0D0D"/>
              </w:rPr>
            </w:pPr>
            <w:r w:rsidRPr="005D0729">
              <w:rPr>
                <w:rFonts w:ascii="Calibri" w:eastAsia="Times New Roman" w:hAnsi="Calibri" w:cs="Calibri"/>
                <w:color w:val="0D0D0D"/>
              </w:rPr>
              <w:t>Net depreciable assets</w:t>
            </w:r>
          </w:p>
        </w:tc>
        <w:tc>
          <w:tcPr>
            <w:tcW w:w="1121" w:type="dxa"/>
            <w:tcBorders>
              <w:top w:val="nil"/>
              <w:left w:val="nil"/>
              <w:bottom w:val="single" w:sz="4" w:space="0" w:color="000000"/>
              <w:right w:val="nil"/>
            </w:tcBorders>
            <w:shd w:val="clear" w:color="000000" w:fill="FFFFFF"/>
            <w:noWrap/>
            <w:vAlign w:val="bottom"/>
            <w:hideMark/>
          </w:tcPr>
          <w:p w14:paraId="73C8306B" w14:textId="77777777" w:rsidR="001B6918" w:rsidRPr="00FD416B" w:rsidRDefault="001B6918" w:rsidP="00730ECF">
            <w:pPr>
              <w:jc w:val="right"/>
              <w:rPr>
                <w:rFonts w:ascii="Calibri" w:eastAsia="Times New Roman" w:hAnsi="Calibri" w:cs="Calibri"/>
              </w:rPr>
            </w:pPr>
            <w:r w:rsidRPr="00FD416B">
              <w:rPr>
                <w:rFonts w:ascii="Calibri" w:eastAsia="Times New Roman" w:hAnsi="Calibri" w:cs="Calibri"/>
              </w:rPr>
              <w:t>-</w:t>
            </w:r>
          </w:p>
        </w:tc>
        <w:tc>
          <w:tcPr>
            <w:tcW w:w="1094" w:type="dxa"/>
            <w:tcBorders>
              <w:top w:val="nil"/>
              <w:left w:val="nil"/>
              <w:bottom w:val="single" w:sz="4" w:space="0" w:color="000000"/>
              <w:right w:val="nil"/>
            </w:tcBorders>
            <w:shd w:val="clear" w:color="000000" w:fill="FFFFFF"/>
            <w:noWrap/>
            <w:vAlign w:val="bottom"/>
            <w:hideMark/>
          </w:tcPr>
          <w:p w14:paraId="61F666A4" w14:textId="77777777" w:rsidR="001B6918" w:rsidRPr="00FD416B" w:rsidRDefault="001B6918" w:rsidP="00730ECF">
            <w:pPr>
              <w:jc w:val="right"/>
              <w:rPr>
                <w:rFonts w:ascii="Calibri" w:eastAsia="Times New Roman" w:hAnsi="Calibri" w:cs="Calibri"/>
              </w:rPr>
            </w:pPr>
            <w:r w:rsidRPr="00FD416B">
              <w:rPr>
                <w:rFonts w:ascii="Calibri" w:eastAsia="Times New Roman" w:hAnsi="Calibri" w:cs="Calibri"/>
              </w:rPr>
              <w:t>24,907</w:t>
            </w:r>
          </w:p>
        </w:tc>
        <w:tc>
          <w:tcPr>
            <w:tcW w:w="1119" w:type="dxa"/>
            <w:tcBorders>
              <w:top w:val="nil"/>
              <w:left w:val="nil"/>
              <w:bottom w:val="single" w:sz="4" w:space="0" w:color="000000"/>
              <w:right w:val="nil"/>
            </w:tcBorders>
            <w:shd w:val="clear" w:color="000000" w:fill="FFFFFF"/>
            <w:noWrap/>
            <w:vAlign w:val="bottom"/>
            <w:hideMark/>
          </w:tcPr>
          <w:p w14:paraId="44CC7F77" w14:textId="77777777" w:rsidR="001B6918" w:rsidRPr="00FD416B" w:rsidRDefault="001B6918" w:rsidP="00730ECF">
            <w:pPr>
              <w:jc w:val="right"/>
              <w:rPr>
                <w:rFonts w:ascii="Calibri" w:eastAsia="Times New Roman" w:hAnsi="Calibri" w:cs="Calibri"/>
              </w:rPr>
            </w:pPr>
            <w:r w:rsidRPr="00FD416B">
              <w:rPr>
                <w:rFonts w:ascii="Calibri" w:eastAsia="Times New Roman" w:hAnsi="Calibri" w:cs="Calibri"/>
              </w:rPr>
              <w:t>24,907</w:t>
            </w:r>
          </w:p>
        </w:tc>
      </w:tr>
      <w:tr w:rsidR="001B6918" w:rsidRPr="005D0729" w14:paraId="6455DE3D" w14:textId="77777777" w:rsidTr="00730ECF">
        <w:trPr>
          <w:trHeight w:val="80"/>
          <w:jc w:val="center"/>
        </w:trPr>
        <w:tc>
          <w:tcPr>
            <w:tcW w:w="3960" w:type="dxa"/>
            <w:tcBorders>
              <w:top w:val="nil"/>
              <w:left w:val="nil"/>
              <w:bottom w:val="double" w:sz="6" w:space="0" w:color="000000"/>
              <w:right w:val="nil"/>
            </w:tcBorders>
            <w:shd w:val="clear" w:color="000000" w:fill="FFFFFF"/>
            <w:vAlign w:val="bottom"/>
            <w:hideMark/>
          </w:tcPr>
          <w:p w14:paraId="402EC8FB" w14:textId="77777777" w:rsidR="001B6918" w:rsidRPr="005D0729" w:rsidRDefault="001B6918" w:rsidP="00730ECF">
            <w:pPr>
              <w:rPr>
                <w:rFonts w:ascii="Calibri" w:eastAsia="Times New Roman" w:hAnsi="Calibri" w:cs="Calibri"/>
                <w:color w:val="0D0D0D"/>
              </w:rPr>
            </w:pPr>
            <w:r w:rsidRPr="005D0729">
              <w:rPr>
                <w:rFonts w:ascii="Calibri" w:eastAsia="Times New Roman" w:hAnsi="Calibri" w:cs="Calibri"/>
                <w:color w:val="0D0D0D"/>
              </w:rPr>
              <w:t xml:space="preserve">Total </w:t>
            </w:r>
            <w:r>
              <w:rPr>
                <w:rFonts w:ascii="Calibri" w:eastAsia="Times New Roman" w:hAnsi="Calibri" w:cs="Calibri"/>
                <w:color w:val="0D0D0D"/>
              </w:rPr>
              <w:t>PPP</w:t>
            </w:r>
            <w:r w:rsidRPr="005D0729">
              <w:rPr>
                <w:rFonts w:ascii="Calibri" w:eastAsia="Times New Roman" w:hAnsi="Calibri" w:cs="Calibri"/>
                <w:color w:val="0D0D0D"/>
              </w:rPr>
              <w:t xml:space="preserve"> assets, net</w:t>
            </w:r>
          </w:p>
        </w:tc>
        <w:tc>
          <w:tcPr>
            <w:tcW w:w="1121" w:type="dxa"/>
            <w:tcBorders>
              <w:top w:val="nil"/>
              <w:left w:val="nil"/>
              <w:bottom w:val="double" w:sz="6" w:space="0" w:color="000000"/>
              <w:right w:val="nil"/>
            </w:tcBorders>
            <w:shd w:val="clear" w:color="000000" w:fill="FFFFFF"/>
            <w:noWrap/>
            <w:vAlign w:val="bottom"/>
            <w:hideMark/>
          </w:tcPr>
          <w:p w14:paraId="5DE127B6" w14:textId="77777777" w:rsidR="001B6918" w:rsidRPr="00D805FC" w:rsidRDefault="001B6918" w:rsidP="00730ECF">
            <w:pPr>
              <w:jc w:val="right"/>
              <w:rPr>
                <w:rFonts w:ascii="Calibri" w:eastAsia="Times New Roman" w:hAnsi="Calibri" w:cs="Calibri"/>
              </w:rPr>
            </w:pPr>
            <w:r w:rsidRPr="00FD416B">
              <w:rPr>
                <w:rFonts w:ascii="Calibri" w:eastAsia="Times New Roman" w:hAnsi="Calibri" w:cs="Calibri"/>
              </w:rPr>
              <w:t>$          -</w:t>
            </w:r>
          </w:p>
        </w:tc>
        <w:tc>
          <w:tcPr>
            <w:tcW w:w="1094" w:type="dxa"/>
            <w:tcBorders>
              <w:top w:val="nil"/>
              <w:left w:val="nil"/>
              <w:bottom w:val="double" w:sz="6" w:space="0" w:color="000000"/>
              <w:right w:val="nil"/>
            </w:tcBorders>
            <w:shd w:val="clear" w:color="000000" w:fill="FFFFFF"/>
            <w:noWrap/>
            <w:vAlign w:val="bottom"/>
            <w:hideMark/>
          </w:tcPr>
          <w:p w14:paraId="21BD6BDA" w14:textId="77777777" w:rsidR="001B6918" w:rsidRPr="00FD416B" w:rsidRDefault="001B6918" w:rsidP="00730ECF">
            <w:pPr>
              <w:jc w:val="right"/>
              <w:rPr>
                <w:rFonts w:ascii="Calibri" w:eastAsia="Times New Roman" w:hAnsi="Calibri" w:cs="Calibri"/>
              </w:rPr>
            </w:pPr>
            <w:r w:rsidRPr="00FD416B">
              <w:rPr>
                <w:rFonts w:ascii="Calibri" w:eastAsia="Times New Roman" w:hAnsi="Calibri" w:cs="Calibri"/>
              </w:rPr>
              <w:t>$24,907</w:t>
            </w:r>
          </w:p>
        </w:tc>
        <w:tc>
          <w:tcPr>
            <w:tcW w:w="1119" w:type="dxa"/>
            <w:tcBorders>
              <w:top w:val="nil"/>
              <w:left w:val="nil"/>
              <w:bottom w:val="double" w:sz="6" w:space="0" w:color="000000"/>
              <w:right w:val="nil"/>
            </w:tcBorders>
            <w:shd w:val="clear" w:color="000000" w:fill="FFFFFF"/>
            <w:noWrap/>
            <w:vAlign w:val="bottom"/>
            <w:hideMark/>
          </w:tcPr>
          <w:p w14:paraId="7ADF51E6" w14:textId="77777777" w:rsidR="001B6918" w:rsidRPr="00FD416B" w:rsidRDefault="001B6918" w:rsidP="00730ECF">
            <w:pPr>
              <w:jc w:val="right"/>
              <w:rPr>
                <w:rFonts w:ascii="Calibri" w:eastAsia="Times New Roman" w:hAnsi="Calibri" w:cs="Calibri"/>
              </w:rPr>
            </w:pPr>
            <w:r w:rsidRPr="00FD416B">
              <w:rPr>
                <w:rFonts w:ascii="Calibri" w:eastAsia="Times New Roman" w:hAnsi="Calibri" w:cs="Calibri"/>
              </w:rPr>
              <w:t>$24,907</w:t>
            </w:r>
          </w:p>
        </w:tc>
      </w:tr>
    </w:tbl>
    <w:p w14:paraId="4D3BA366" w14:textId="58687030" w:rsidR="0018429E" w:rsidRDefault="0018429E" w:rsidP="001B6918">
      <w:pPr>
        <w:ind w:firstLine="1260"/>
        <w:rPr>
          <w:rFonts w:cstheme="minorHAnsi"/>
          <w:sz w:val="24"/>
          <w:szCs w:val="24"/>
        </w:rPr>
      </w:pPr>
      <w:r>
        <w:rPr>
          <w:rFonts w:cstheme="minorHAnsi"/>
          <w:sz w:val="24"/>
          <w:szCs w:val="24"/>
        </w:rPr>
        <w:br w:type="page"/>
      </w:r>
    </w:p>
    <w:p w14:paraId="40BD205E" w14:textId="77777777" w:rsidR="001B6918" w:rsidRPr="00332B07" w:rsidRDefault="001B6918" w:rsidP="001B6918">
      <w:pPr>
        <w:rPr>
          <w:rFonts w:cstheme="minorHAnsi"/>
          <w:b/>
          <w:i/>
          <w:sz w:val="24"/>
          <w:szCs w:val="24"/>
        </w:rPr>
      </w:pPr>
      <w:r w:rsidRPr="00332B07">
        <w:rPr>
          <w:rFonts w:cstheme="minorHAnsi"/>
          <w:b/>
          <w:i/>
          <w:sz w:val="24"/>
          <w:szCs w:val="24"/>
        </w:rPr>
        <w:lastRenderedPageBreak/>
        <w:t>15. PUBLIC-PRIVATE PARTNERSHIP</w:t>
      </w:r>
      <w:r w:rsidRPr="00A02D27">
        <w:rPr>
          <w:rFonts w:eastAsiaTheme="majorEastAsia" w:cstheme="minorHAnsi"/>
          <w:b/>
          <w:i/>
          <w:iCs/>
          <w:smallCaps/>
          <w:noProof/>
          <w:color w:val="000000" w:themeColor="text1"/>
          <w:sz w:val="24"/>
          <w:szCs w:val="24"/>
          <w:u w:color="5B9BD5"/>
        </w:rPr>
        <w:t>- CONTINUED</w:t>
      </w:r>
    </w:p>
    <w:p w14:paraId="328F8353" w14:textId="77777777" w:rsidR="001B6918" w:rsidRDefault="001B6918" w:rsidP="001B6918">
      <w:pPr>
        <w:rPr>
          <w:rFonts w:cstheme="minorHAnsi"/>
          <w:sz w:val="24"/>
          <w:szCs w:val="24"/>
        </w:rPr>
      </w:pPr>
    </w:p>
    <w:p w14:paraId="46ADE470" w14:textId="77777777" w:rsidR="001B6918" w:rsidRDefault="001B6918" w:rsidP="001B6918">
      <w:pPr>
        <w:rPr>
          <w:rFonts w:cstheme="minorHAnsi"/>
          <w:sz w:val="24"/>
          <w:szCs w:val="24"/>
        </w:rPr>
      </w:pPr>
      <w:r>
        <w:rPr>
          <w:rFonts w:cstheme="minorHAnsi"/>
          <w:sz w:val="24"/>
          <w:szCs w:val="24"/>
        </w:rPr>
        <w:t xml:space="preserve">Upon termination the improvements shall be surrendered to the System in the agreed upon condition. </w:t>
      </w:r>
    </w:p>
    <w:p w14:paraId="18217C00" w14:textId="77777777" w:rsidR="001B6918" w:rsidRDefault="001B6918" w:rsidP="001B6918">
      <w:pPr>
        <w:rPr>
          <w:rFonts w:cstheme="minorHAnsi"/>
          <w:sz w:val="24"/>
          <w:szCs w:val="24"/>
        </w:rPr>
      </w:pPr>
    </w:p>
    <w:p w14:paraId="579EC146" w14:textId="77777777" w:rsidR="001B6918" w:rsidRDefault="001B6918" w:rsidP="001B6918">
      <w:pPr>
        <w:rPr>
          <w:kern w:val="2"/>
          <w14:ligatures w14:val="standardContextual"/>
        </w:rPr>
      </w:pPr>
      <w:r>
        <w:rPr>
          <w:rFonts w:cstheme="minorHAnsi"/>
          <w:sz w:val="24"/>
          <w:szCs w:val="24"/>
        </w:rPr>
        <w:t>Under the arrangement, the System agreed to a 99-year ground lease with a base rent subject to scheduled increases each fifth year. A net present value receivable for installment payments of $</w:t>
      </w:r>
      <w:r w:rsidRPr="000F1D97">
        <w:rPr>
          <w:rFonts w:cstheme="minorHAnsi"/>
          <w:sz w:val="24"/>
          <w:szCs w:val="24"/>
        </w:rPr>
        <w:t xml:space="preserve">5,856 recognizing </w:t>
      </w:r>
      <w:r>
        <w:rPr>
          <w:rFonts w:cstheme="minorHAnsi"/>
          <w:sz w:val="24"/>
          <w:szCs w:val="24"/>
        </w:rPr>
        <w:t xml:space="preserve">the expected future rental revenue under the ground lease; measured using a discount rate </w:t>
      </w:r>
      <w:r w:rsidRPr="000F1D97">
        <w:rPr>
          <w:rFonts w:cstheme="minorHAnsi"/>
          <w:sz w:val="24"/>
          <w:szCs w:val="24"/>
        </w:rPr>
        <w:t xml:space="preserve">of 0% </w:t>
      </w:r>
      <w:r>
        <w:rPr>
          <w:rFonts w:cstheme="minorHAnsi"/>
          <w:sz w:val="24"/>
          <w:szCs w:val="24"/>
        </w:rPr>
        <w:t xml:space="preserve">(see Note 5). The System has also reported deferred inflows of resources totaling </w:t>
      </w:r>
      <w:r w:rsidRPr="00E114D7">
        <w:rPr>
          <w:rFonts w:cstheme="minorHAnsi"/>
          <w:sz w:val="24"/>
          <w:szCs w:val="24"/>
        </w:rPr>
        <w:t>$</w:t>
      </w:r>
      <w:r w:rsidRPr="00FD416B">
        <w:rPr>
          <w:rFonts w:cstheme="minorHAnsi"/>
          <w:sz w:val="24"/>
          <w:szCs w:val="24"/>
        </w:rPr>
        <w:t>27,876</w:t>
      </w:r>
      <w:r w:rsidRPr="00E114D7">
        <w:rPr>
          <w:rFonts w:cstheme="minorHAnsi"/>
          <w:sz w:val="24"/>
          <w:szCs w:val="24"/>
        </w:rPr>
        <w:t xml:space="preserve"> </w:t>
      </w:r>
      <w:r>
        <w:rPr>
          <w:rFonts w:cstheme="minorHAnsi"/>
          <w:sz w:val="24"/>
          <w:szCs w:val="24"/>
        </w:rPr>
        <w:t>as of June 30, 2025 and $28,164 as of June 30, 2024, which will be recognized into revenue evenly over the term of the agreement (see Note 16).</w:t>
      </w:r>
      <w:r w:rsidRPr="005C3E6B">
        <w:rPr>
          <w:kern w:val="2"/>
          <w14:ligatures w14:val="standardContextual"/>
        </w:rPr>
        <w:t xml:space="preserve"> </w:t>
      </w:r>
    </w:p>
    <w:p w14:paraId="006979E4" w14:textId="77777777" w:rsidR="001B6918" w:rsidRDefault="001B6918" w:rsidP="001B6918">
      <w:pPr>
        <w:rPr>
          <w:rFonts w:cstheme="minorHAnsi"/>
          <w:sz w:val="24"/>
          <w:szCs w:val="24"/>
        </w:rPr>
      </w:pPr>
    </w:p>
    <w:p w14:paraId="6975E309" w14:textId="77777777" w:rsidR="001B6918" w:rsidRDefault="001B6918" w:rsidP="001B6918">
      <w:pPr>
        <w:rPr>
          <w:rFonts w:eastAsiaTheme="majorEastAsia" w:cstheme="minorHAnsi"/>
          <w:b/>
          <w:i/>
          <w:iCs/>
          <w:smallCaps/>
          <w:noProof/>
          <w:color w:val="000000" w:themeColor="text1"/>
          <w:sz w:val="24"/>
          <w:szCs w:val="24"/>
          <w:u w:color="5B9BD5"/>
        </w:rPr>
      </w:pPr>
      <w:r w:rsidRPr="005C3E6B">
        <w:rPr>
          <w:rFonts w:cstheme="minorHAnsi"/>
          <w:sz w:val="24"/>
          <w:szCs w:val="24"/>
        </w:rPr>
        <w:t xml:space="preserve">The arrangement also includes a performance guarantee and an income sharing arrangement. Hotel revenues will be collected by </w:t>
      </w:r>
      <w:r>
        <w:rPr>
          <w:rFonts w:cstheme="minorHAnsi"/>
          <w:sz w:val="24"/>
          <w:szCs w:val="24"/>
        </w:rPr>
        <w:t>LLC1</w:t>
      </w:r>
      <w:r w:rsidRPr="005C3E6B">
        <w:rPr>
          <w:rFonts w:cstheme="minorHAnsi"/>
          <w:sz w:val="24"/>
          <w:szCs w:val="24"/>
        </w:rPr>
        <w:t xml:space="preserve"> and to the extent the revenues fall below annual pro forma projections during the first 25 operating years of the arrangement, the System will supplement the shortfall as outlined in the contract. In consideration for the services it will provide under the arrangement the System will receive 20% of all net operating income, on a cumulative basis, earned annually in excess of annual amounts outlined in the contract and subject to an annual maximum of $600. Both the shortfall supplement and the income sharing are variable in nature and will be recognized as incurred or earned</w:t>
      </w:r>
      <w:r w:rsidRPr="00E114D7">
        <w:rPr>
          <w:rFonts w:cstheme="minorHAnsi"/>
          <w:sz w:val="24"/>
          <w:szCs w:val="24"/>
        </w:rPr>
        <w:t>. To date, no amounts have been recognized</w:t>
      </w:r>
      <w:r w:rsidRPr="00FD416B">
        <w:rPr>
          <w:rFonts w:cstheme="minorHAnsi"/>
          <w:sz w:val="24"/>
          <w:szCs w:val="24"/>
        </w:rPr>
        <w:t xml:space="preserve"> with respect to the income sharing arrangement</w:t>
      </w:r>
      <w:r w:rsidRPr="00E114D7">
        <w:rPr>
          <w:rFonts w:cstheme="minorHAnsi"/>
          <w:sz w:val="24"/>
          <w:szCs w:val="24"/>
        </w:rPr>
        <w:t>.</w:t>
      </w:r>
      <w:r>
        <w:rPr>
          <w:rFonts w:cstheme="minorHAnsi"/>
          <w:sz w:val="24"/>
          <w:szCs w:val="24"/>
        </w:rPr>
        <w:br w:type="page"/>
      </w:r>
    </w:p>
    <w:p w14:paraId="6A93CDD9" w14:textId="77777777" w:rsidR="001B6918" w:rsidRPr="004E6649" w:rsidRDefault="001B6918" w:rsidP="001B6918">
      <w:pPr>
        <w:pStyle w:val="AFR2"/>
        <w:pBdr>
          <w:bottom w:val="single" w:sz="8" w:space="1" w:color="0D0D0D" w:themeColor="text1" w:themeTint="F2"/>
        </w:pBdr>
        <w:rPr>
          <w:rFonts w:cstheme="minorHAnsi"/>
          <w:sz w:val="26"/>
          <w:szCs w:val="26"/>
        </w:rPr>
      </w:pPr>
      <w:r w:rsidRPr="004E6649">
        <w:rPr>
          <w:rFonts w:cstheme="minorHAnsi"/>
          <w:sz w:val="24"/>
          <w:szCs w:val="24"/>
        </w:rPr>
        <w:lastRenderedPageBreak/>
        <w:t>1</w:t>
      </w:r>
      <w:r>
        <w:rPr>
          <w:rFonts w:cstheme="minorHAnsi"/>
          <w:sz w:val="24"/>
          <w:szCs w:val="24"/>
        </w:rPr>
        <w:t>6</w:t>
      </w:r>
      <w:r w:rsidRPr="004E6649">
        <w:rPr>
          <w:rFonts w:cstheme="minorHAnsi"/>
          <w:sz w:val="24"/>
          <w:szCs w:val="24"/>
        </w:rPr>
        <w:t>. DEFERRED OUTFLOWS OF RESOURCES AND DEFERRED INFLOWS OF RESOURCES</w:t>
      </w:r>
    </w:p>
    <w:p w14:paraId="434CF68B" w14:textId="77777777" w:rsidR="001B6918" w:rsidRPr="004E6649" w:rsidRDefault="001B6918" w:rsidP="001B6918">
      <w:pPr>
        <w:tabs>
          <w:tab w:val="left" w:pos="900"/>
        </w:tabs>
        <w:spacing w:before="120" w:after="120"/>
        <w:ind w:right="-7"/>
        <w:rPr>
          <w:rFonts w:cstheme="minorHAnsi"/>
          <w:sz w:val="24"/>
        </w:rPr>
      </w:pPr>
      <w:r w:rsidRPr="004E6649">
        <w:rPr>
          <w:rFonts w:cstheme="minorHAnsi"/>
          <w:sz w:val="24"/>
        </w:rPr>
        <w:t xml:space="preserve">The composition of deferred outflows and inflows of resources at June 30 is summarized as follows. </w:t>
      </w:r>
    </w:p>
    <w:tbl>
      <w:tblPr>
        <w:tblW w:w="10477" w:type="dxa"/>
        <w:tblLook w:val="04A0" w:firstRow="1" w:lastRow="0" w:firstColumn="1" w:lastColumn="0" w:noHBand="0" w:noVBand="1"/>
      </w:tblPr>
      <w:tblGrid>
        <w:gridCol w:w="743"/>
        <w:gridCol w:w="1475"/>
        <w:gridCol w:w="1127"/>
        <w:gridCol w:w="1330"/>
        <w:gridCol w:w="1066"/>
        <w:gridCol w:w="1230"/>
        <w:gridCol w:w="933"/>
        <w:gridCol w:w="1330"/>
        <w:gridCol w:w="1243"/>
      </w:tblGrid>
      <w:tr w:rsidR="001B6918" w:rsidRPr="004E6649" w14:paraId="50C0E593" w14:textId="77777777" w:rsidTr="00F51774">
        <w:trPr>
          <w:trHeight w:val="330"/>
        </w:trPr>
        <w:tc>
          <w:tcPr>
            <w:tcW w:w="743" w:type="dxa"/>
            <w:tcBorders>
              <w:top w:val="nil"/>
              <w:left w:val="nil"/>
              <w:bottom w:val="single" w:sz="12" w:space="0" w:color="000000" w:themeColor="text1"/>
              <w:right w:val="nil"/>
            </w:tcBorders>
            <w:shd w:val="clear" w:color="000000" w:fill="FFFFFF"/>
          </w:tcPr>
          <w:p w14:paraId="7A9AFDDF" w14:textId="77777777" w:rsidR="001B6918" w:rsidRPr="004E6649" w:rsidRDefault="001B6918" w:rsidP="00730ECF">
            <w:pPr>
              <w:jc w:val="center"/>
              <w:rPr>
                <w:rFonts w:eastAsia="Times New Roman" w:cstheme="minorHAnsi"/>
                <w:b/>
                <w:bCs/>
                <w:color w:val="0D0D0D"/>
                <w:sz w:val="20"/>
                <w:szCs w:val="20"/>
              </w:rPr>
            </w:pPr>
          </w:p>
        </w:tc>
        <w:tc>
          <w:tcPr>
            <w:tcW w:w="9734" w:type="dxa"/>
            <w:gridSpan w:val="8"/>
            <w:tcBorders>
              <w:top w:val="nil"/>
              <w:left w:val="nil"/>
              <w:bottom w:val="single" w:sz="12" w:space="0" w:color="000000" w:themeColor="text1"/>
              <w:right w:val="nil"/>
            </w:tcBorders>
            <w:shd w:val="clear" w:color="000000" w:fill="FFFFFF"/>
            <w:noWrap/>
            <w:vAlign w:val="bottom"/>
            <w:hideMark/>
          </w:tcPr>
          <w:p w14:paraId="270A49E0" w14:textId="77777777" w:rsidR="001B6918" w:rsidRPr="004E6649" w:rsidRDefault="001B6918" w:rsidP="00730ECF">
            <w:pPr>
              <w:jc w:val="center"/>
              <w:rPr>
                <w:rFonts w:eastAsia="Times New Roman" w:cstheme="minorHAnsi"/>
                <w:b/>
                <w:bCs/>
                <w:color w:val="0D0D0D"/>
                <w:sz w:val="20"/>
                <w:szCs w:val="20"/>
              </w:rPr>
            </w:pPr>
            <w:r w:rsidRPr="004E6649">
              <w:rPr>
                <w:rFonts w:eastAsia="Times New Roman" w:cstheme="minorHAnsi"/>
                <w:b/>
                <w:bCs/>
                <w:color w:val="0D0D0D"/>
                <w:sz w:val="20"/>
                <w:szCs w:val="20"/>
              </w:rPr>
              <w:t>202</w:t>
            </w:r>
            <w:r>
              <w:rPr>
                <w:rFonts w:eastAsia="Times New Roman" w:cstheme="minorHAnsi"/>
                <w:b/>
                <w:bCs/>
                <w:color w:val="0D0D0D"/>
                <w:sz w:val="20"/>
                <w:szCs w:val="20"/>
              </w:rPr>
              <w:t>5</w:t>
            </w:r>
          </w:p>
        </w:tc>
      </w:tr>
      <w:tr w:rsidR="001B6918" w:rsidRPr="004E6649" w14:paraId="01A5DC07" w14:textId="77777777" w:rsidTr="00F51774">
        <w:trPr>
          <w:trHeight w:val="1077"/>
        </w:trPr>
        <w:tc>
          <w:tcPr>
            <w:tcW w:w="2218" w:type="dxa"/>
            <w:gridSpan w:val="2"/>
            <w:tcBorders>
              <w:top w:val="single" w:sz="12" w:space="0" w:color="000000" w:themeColor="text1"/>
              <w:left w:val="nil"/>
              <w:bottom w:val="single" w:sz="12" w:space="0" w:color="000000" w:themeColor="text1"/>
              <w:right w:val="nil"/>
            </w:tcBorders>
            <w:shd w:val="clear" w:color="000000" w:fill="FFFFFF"/>
            <w:noWrap/>
            <w:vAlign w:val="bottom"/>
            <w:hideMark/>
          </w:tcPr>
          <w:p w14:paraId="13341205" w14:textId="77777777" w:rsidR="001B6918" w:rsidRPr="004E6649" w:rsidRDefault="001B6918" w:rsidP="00730ECF">
            <w:pPr>
              <w:rPr>
                <w:rFonts w:eastAsia="Times New Roman" w:cstheme="minorHAnsi"/>
                <w:b/>
                <w:bCs/>
                <w:color w:val="0D0D0D"/>
                <w:sz w:val="20"/>
                <w:szCs w:val="20"/>
              </w:rPr>
            </w:pPr>
            <w:r w:rsidRPr="004E6649">
              <w:rPr>
                <w:rFonts w:eastAsia="Times New Roman" w:cstheme="minorHAnsi"/>
                <w:b/>
                <w:bCs/>
                <w:color w:val="0D0D0D"/>
                <w:sz w:val="20"/>
                <w:szCs w:val="20"/>
              </w:rPr>
              <w:t> </w:t>
            </w:r>
          </w:p>
        </w:tc>
        <w:tc>
          <w:tcPr>
            <w:tcW w:w="1127" w:type="dxa"/>
            <w:tcBorders>
              <w:top w:val="single" w:sz="12" w:space="0" w:color="000000" w:themeColor="text1"/>
              <w:left w:val="nil"/>
              <w:bottom w:val="single" w:sz="12" w:space="0" w:color="000000" w:themeColor="text1"/>
              <w:right w:val="nil"/>
            </w:tcBorders>
            <w:shd w:val="clear" w:color="000000" w:fill="FFFFFF"/>
            <w:vAlign w:val="bottom"/>
            <w:hideMark/>
          </w:tcPr>
          <w:p w14:paraId="4FA40695" w14:textId="77777777" w:rsidR="001B6918" w:rsidRPr="004E6649" w:rsidRDefault="001B6918" w:rsidP="00730ECF">
            <w:pPr>
              <w:jc w:val="center"/>
              <w:rPr>
                <w:rFonts w:eastAsia="Times New Roman" w:cstheme="minorHAnsi"/>
                <w:b/>
                <w:bCs/>
                <w:color w:val="0D0D0D"/>
                <w:sz w:val="20"/>
                <w:szCs w:val="20"/>
              </w:rPr>
            </w:pPr>
            <w:r w:rsidRPr="004E6649">
              <w:rPr>
                <w:rFonts w:eastAsia="Times New Roman" w:cstheme="minorHAnsi"/>
                <w:b/>
                <w:bCs/>
                <w:color w:val="0D0D0D"/>
                <w:sz w:val="20"/>
                <w:szCs w:val="20"/>
              </w:rPr>
              <w:t>Pension</w:t>
            </w:r>
            <w:r>
              <w:rPr>
                <w:rFonts w:eastAsia="Times New Roman" w:cstheme="minorHAnsi"/>
                <w:b/>
                <w:bCs/>
                <w:color w:val="0D0D0D"/>
                <w:sz w:val="20"/>
                <w:szCs w:val="20"/>
              </w:rPr>
              <w:t xml:space="preserve"> </w:t>
            </w:r>
            <w:r w:rsidRPr="004E6649">
              <w:rPr>
                <w:rFonts w:eastAsia="Times New Roman" w:cstheme="minorHAnsi"/>
                <w:b/>
                <w:bCs/>
                <w:color w:val="0D0D0D"/>
                <w:sz w:val="20"/>
                <w:szCs w:val="20"/>
              </w:rPr>
              <w:t>Liability</w:t>
            </w:r>
          </w:p>
        </w:tc>
        <w:tc>
          <w:tcPr>
            <w:tcW w:w="1330" w:type="dxa"/>
            <w:tcBorders>
              <w:top w:val="single" w:sz="12" w:space="0" w:color="000000" w:themeColor="text1"/>
              <w:left w:val="nil"/>
              <w:bottom w:val="single" w:sz="12" w:space="0" w:color="000000" w:themeColor="text1"/>
              <w:right w:val="nil"/>
            </w:tcBorders>
            <w:shd w:val="clear" w:color="000000" w:fill="FFFFFF"/>
            <w:vAlign w:val="bottom"/>
            <w:hideMark/>
          </w:tcPr>
          <w:p w14:paraId="629D67E1" w14:textId="77777777" w:rsidR="001B6918" w:rsidRPr="004E6649" w:rsidRDefault="001B6918" w:rsidP="00730ECF">
            <w:pPr>
              <w:jc w:val="center"/>
              <w:rPr>
                <w:rFonts w:eastAsia="Times New Roman" w:cstheme="minorHAnsi"/>
                <w:b/>
                <w:bCs/>
                <w:color w:val="0D0D0D"/>
                <w:sz w:val="20"/>
                <w:szCs w:val="20"/>
              </w:rPr>
            </w:pPr>
            <w:r w:rsidRPr="004E6649">
              <w:rPr>
                <w:rFonts w:eastAsia="Times New Roman" w:cstheme="minorHAnsi"/>
                <w:b/>
                <w:bCs/>
                <w:color w:val="0D0D0D"/>
                <w:sz w:val="20"/>
                <w:szCs w:val="20"/>
              </w:rPr>
              <w:t>OPEB</w:t>
            </w:r>
          </w:p>
        </w:tc>
        <w:tc>
          <w:tcPr>
            <w:tcW w:w="1066" w:type="dxa"/>
            <w:tcBorders>
              <w:top w:val="single" w:sz="12" w:space="0" w:color="000000" w:themeColor="text1"/>
              <w:left w:val="nil"/>
              <w:bottom w:val="single" w:sz="12" w:space="0" w:color="000000" w:themeColor="text1"/>
              <w:right w:val="nil"/>
            </w:tcBorders>
            <w:shd w:val="clear" w:color="000000" w:fill="FFFFFF"/>
            <w:vAlign w:val="bottom"/>
            <w:hideMark/>
          </w:tcPr>
          <w:p w14:paraId="4BA71634" w14:textId="77777777" w:rsidR="001B6918" w:rsidRPr="004E6649" w:rsidRDefault="001B6918" w:rsidP="00730ECF">
            <w:pPr>
              <w:jc w:val="center"/>
              <w:rPr>
                <w:rFonts w:eastAsia="Times New Roman" w:cstheme="minorHAnsi"/>
                <w:b/>
                <w:bCs/>
                <w:color w:val="0D0D0D"/>
                <w:sz w:val="20"/>
                <w:szCs w:val="20"/>
              </w:rPr>
            </w:pPr>
            <w:r w:rsidRPr="004E6649">
              <w:rPr>
                <w:rFonts w:eastAsia="Times New Roman" w:cstheme="minorHAnsi"/>
                <w:b/>
                <w:bCs/>
                <w:color w:val="0D0D0D"/>
                <w:sz w:val="20"/>
                <w:szCs w:val="20"/>
              </w:rPr>
              <w:t>Deferred</w:t>
            </w:r>
            <w:r>
              <w:rPr>
                <w:rFonts w:eastAsia="Times New Roman" w:cstheme="minorHAnsi"/>
                <w:b/>
                <w:bCs/>
                <w:color w:val="0D0D0D"/>
                <w:sz w:val="20"/>
                <w:szCs w:val="20"/>
              </w:rPr>
              <w:t xml:space="preserve"> </w:t>
            </w:r>
            <w:r w:rsidRPr="004E6649">
              <w:rPr>
                <w:rFonts w:eastAsia="Times New Roman" w:cstheme="minorHAnsi"/>
                <w:b/>
                <w:bCs/>
                <w:color w:val="0D0D0D"/>
                <w:sz w:val="20"/>
                <w:szCs w:val="20"/>
              </w:rPr>
              <w:t>Amount</w:t>
            </w:r>
            <w:r>
              <w:rPr>
                <w:rFonts w:eastAsia="Times New Roman" w:cstheme="minorHAnsi"/>
                <w:b/>
                <w:bCs/>
                <w:color w:val="0D0D0D"/>
                <w:sz w:val="20"/>
                <w:szCs w:val="20"/>
              </w:rPr>
              <w:t xml:space="preserve"> </w:t>
            </w:r>
            <w:r w:rsidRPr="004E6649">
              <w:rPr>
                <w:rFonts w:eastAsia="Times New Roman" w:cstheme="minorHAnsi"/>
                <w:b/>
                <w:bCs/>
                <w:color w:val="0D0D0D"/>
                <w:sz w:val="20"/>
                <w:szCs w:val="20"/>
              </w:rPr>
              <w:t>on Debt</w:t>
            </w:r>
            <w:r>
              <w:rPr>
                <w:rFonts w:eastAsia="Times New Roman" w:cstheme="minorHAnsi"/>
                <w:b/>
                <w:bCs/>
                <w:color w:val="0D0D0D"/>
                <w:sz w:val="20"/>
                <w:szCs w:val="20"/>
              </w:rPr>
              <w:t xml:space="preserve"> </w:t>
            </w:r>
            <w:r w:rsidRPr="004E6649">
              <w:rPr>
                <w:rFonts w:eastAsia="Times New Roman" w:cstheme="minorHAnsi"/>
                <w:b/>
                <w:bCs/>
                <w:color w:val="0D0D0D"/>
                <w:sz w:val="20"/>
                <w:szCs w:val="20"/>
              </w:rPr>
              <w:t>Refunding</w:t>
            </w:r>
          </w:p>
        </w:tc>
        <w:tc>
          <w:tcPr>
            <w:tcW w:w="1230" w:type="dxa"/>
            <w:tcBorders>
              <w:top w:val="single" w:sz="12" w:space="0" w:color="000000" w:themeColor="text1"/>
              <w:left w:val="nil"/>
              <w:bottom w:val="single" w:sz="12" w:space="0" w:color="000000" w:themeColor="text1"/>
              <w:right w:val="nil"/>
            </w:tcBorders>
            <w:shd w:val="clear" w:color="000000" w:fill="FFFFFF"/>
            <w:vAlign w:val="bottom"/>
            <w:hideMark/>
          </w:tcPr>
          <w:p w14:paraId="640B9F35" w14:textId="77777777" w:rsidR="001B6918" w:rsidRPr="004E6649" w:rsidRDefault="001B6918" w:rsidP="00730ECF">
            <w:pPr>
              <w:jc w:val="center"/>
              <w:rPr>
                <w:rFonts w:eastAsia="Times New Roman" w:cstheme="minorHAnsi"/>
                <w:b/>
                <w:bCs/>
                <w:color w:val="0D0D0D"/>
                <w:sz w:val="20"/>
                <w:szCs w:val="20"/>
              </w:rPr>
            </w:pPr>
            <w:r w:rsidRPr="004E6649">
              <w:rPr>
                <w:rFonts w:eastAsia="Times New Roman" w:cstheme="minorHAnsi"/>
                <w:b/>
                <w:bCs/>
                <w:color w:val="0D0D0D"/>
                <w:sz w:val="20"/>
                <w:szCs w:val="20"/>
              </w:rPr>
              <w:t>Irrevocable Split-Interest Agreements</w:t>
            </w:r>
          </w:p>
        </w:tc>
        <w:tc>
          <w:tcPr>
            <w:tcW w:w="933" w:type="dxa"/>
            <w:tcBorders>
              <w:top w:val="single" w:sz="12" w:space="0" w:color="000000" w:themeColor="text1"/>
              <w:left w:val="nil"/>
              <w:bottom w:val="single" w:sz="12" w:space="0" w:color="000000" w:themeColor="text1"/>
              <w:right w:val="nil"/>
            </w:tcBorders>
            <w:shd w:val="clear" w:color="000000" w:fill="FFFFFF"/>
            <w:vAlign w:val="bottom"/>
            <w:hideMark/>
          </w:tcPr>
          <w:p w14:paraId="2CE797AF" w14:textId="77777777" w:rsidR="001B6918" w:rsidRPr="004E6649" w:rsidRDefault="001B6918" w:rsidP="00730ECF">
            <w:pPr>
              <w:jc w:val="center"/>
              <w:rPr>
                <w:rFonts w:eastAsia="Times New Roman" w:cstheme="minorHAnsi"/>
                <w:b/>
                <w:bCs/>
                <w:color w:val="0D0D0D"/>
                <w:sz w:val="20"/>
                <w:szCs w:val="20"/>
              </w:rPr>
            </w:pPr>
            <w:r w:rsidRPr="004E6649">
              <w:rPr>
                <w:rFonts w:eastAsia="Times New Roman" w:cstheme="minorHAnsi"/>
                <w:b/>
                <w:bCs/>
                <w:color w:val="0D0D0D"/>
                <w:sz w:val="20"/>
                <w:szCs w:val="20"/>
              </w:rPr>
              <w:t>Leases</w:t>
            </w:r>
          </w:p>
        </w:tc>
        <w:tc>
          <w:tcPr>
            <w:tcW w:w="1330" w:type="dxa"/>
            <w:tcBorders>
              <w:top w:val="single" w:sz="12" w:space="0" w:color="000000" w:themeColor="text1"/>
              <w:left w:val="nil"/>
              <w:bottom w:val="single" w:sz="12" w:space="0" w:color="000000" w:themeColor="text1"/>
              <w:right w:val="nil"/>
            </w:tcBorders>
            <w:shd w:val="clear" w:color="000000" w:fill="FFFFFF"/>
            <w:vAlign w:val="bottom"/>
          </w:tcPr>
          <w:p w14:paraId="4BB2EFD6" w14:textId="77777777" w:rsidR="001B6918" w:rsidRPr="004E6649" w:rsidRDefault="001B6918" w:rsidP="00730ECF">
            <w:pPr>
              <w:jc w:val="center"/>
              <w:rPr>
                <w:rFonts w:eastAsia="Times New Roman" w:cstheme="minorHAnsi"/>
                <w:b/>
                <w:bCs/>
                <w:color w:val="0D0D0D"/>
                <w:sz w:val="20"/>
                <w:szCs w:val="20"/>
              </w:rPr>
            </w:pPr>
            <w:r>
              <w:rPr>
                <w:rFonts w:eastAsia="Times New Roman" w:cstheme="minorHAnsi"/>
                <w:b/>
                <w:bCs/>
                <w:color w:val="0D0D0D"/>
                <w:sz w:val="20"/>
                <w:szCs w:val="20"/>
              </w:rPr>
              <w:t>Public, Private Partnership</w:t>
            </w:r>
          </w:p>
        </w:tc>
        <w:tc>
          <w:tcPr>
            <w:tcW w:w="1243" w:type="dxa"/>
            <w:tcBorders>
              <w:top w:val="single" w:sz="12" w:space="0" w:color="000000" w:themeColor="text1"/>
              <w:left w:val="nil"/>
              <w:bottom w:val="single" w:sz="12" w:space="0" w:color="000000" w:themeColor="text1"/>
              <w:right w:val="nil"/>
            </w:tcBorders>
            <w:shd w:val="clear" w:color="000000" w:fill="FFFFFF"/>
            <w:noWrap/>
            <w:vAlign w:val="bottom"/>
            <w:hideMark/>
          </w:tcPr>
          <w:p w14:paraId="2AA7C7B9" w14:textId="77777777" w:rsidR="001B6918" w:rsidRPr="004E6649" w:rsidRDefault="001B6918" w:rsidP="00730ECF">
            <w:pPr>
              <w:jc w:val="center"/>
              <w:rPr>
                <w:rFonts w:eastAsia="Times New Roman" w:cstheme="minorHAnsi"/>
                <w:b/>
                <w:bCs/>
                <w:color w:val="0D0D0D"/>
                <w:sz w:val="20"/>
                <w:szCs w:val="20"/>
              </w:rPr>
            </w:pPr>
            <w:r w:rsidRPr="004E6649">
              <w:rPr>
                <w:rFonts w:eastAsia="Times New Roman" w:cstheme="minorHAnsi"/>
                <w:b/>
                <w:bCs/>
                <w:color w:val="0D0D0D"/>
                <w:sz w:val="20"/>
                <w:szCs w:val="20"/>
              </w:rPr>
              <w:t>Total</w:t>
            </w:r>
          </w:p>
        </w:tc>
      </w:tr>
      <w:tr w:rsidR="001B6918" w:rsidRPr="004E6649" w14:paraId="6CF5A839" w14:textId="77777777" w:rsidTr="00F51774">
        <w:trPr>
          <w:trHeight w:val="330"/>
        </w:trPr>
        <w:tc>
          <w:tcPr>
            <w:tcW w:w="2218" w:type="dxa"/>
            <w:gridSpan w:val="2"/>
            <w:tcBorders>
              <w:top w:val="single" w:sz="12" w:space="0" w:color="000000" w:themeColor="text1"/>
              <w:left w:val="nil"/>
              <w:bottom w:val="nil"/>
              <w:right w:val="nil"/>
            </w:tcBorders>
            <w:shd w:val="clear" w:color="000000" w:fill="FFFFFF"/>
            <w:noWrap/>
            <w:vAlign w:val="bottom"/>
            <w:hideMark/>
          </w:tcPr>
          <w:p w14:paraId="52F6A786" w14:textId="77777777" w:rsidR="001B6918" w:rsidRPr="004E6649" w:rsidRDefault="001B6918" w:rsidP="00730ECF">
            <w:pPr>
              <w:rPr>
                <w:rFonts w:eastAsia="Times New Roman" w:cstheme="minorHAnsi"/>
                <w:color w:val="0D0D0D"/>
                <w:sz w:val="20"/>
                <w:szCs w:val="20"/>
              </w:rPr>
            </w:pPr>
            <w:r w:rsidRPr="004E6649">
              <w:rPr>
                <w:rFonts w:eastAsia="Times New Roman" w:cstheme="minorHAnsi"/>
                <w:color w:val="0D0D0D"/>
                <w:sz w:val="20"/>
                <w:szCs w:val="20"/>
              </w:rPr>
              <w:t>Deferred outflows of resources</w:t>
            </w:r>
          </w:p>
        </w:tc>
        <w:tc>
          <w:tcPr>
            <w:tcW w:w="1127" w:type="dxa"/>
            <w:tcBorders>
              <w:top w:val="single" w:sz="12" w:space="0" w:color="000000" w:themeColor="text1"/>
              <w:left w:val="nil"/>
              <w:bottom w:val="nil"/>
              <w:right w:val="nil"/>
            </w:tcBorders>
            <w:shd w:val="clear" w:color="000000" w:fill="FFFFFF"/>
            <w:noWrap/>
            <w:vAlign w:val="bottom"/>
            <w:hideMark/>
          </w:tcPr>
          <w:p w14:paraId="5B85953F" w14:textId="77777777" w:rsidR="001B6918" w:rsidRPr="00FD416B" w:rsidRDefault="001B6918" w:rsidP="00730ECF">
            <w:pPr>
              <w:jc w:val="right"/>
              <w:rPr>
                <w:rFonts w:eastAsia="Times New Roman" w:cstheme="minorHAnsi"/>
                <w:sz w:val="20"/>
                <w:szCs w:val="20"/>
              </w:rPr>
            </w:pPr>
            <w:r w:rsidRPr="00FD416B">
              <w:rPr>
                <w:rFonts w:eastAsia="Times New Roman" w:cstheme="minorHAnsi"/>
                <w:sz w:val="20"/>
                <w:szCs w:val="20"/>
              </w:rPr>
              <w:t xml:space="preserve">$ 2,411 </w:t>
            </w:r>
          </w:p>
        </w:tc>
        <w:tc>
          <w:tcPr>
            <w:tcW w:w="1330" w:type="dxa"/>
            <w:tcBorders>
              <w:top w:val="single" w:sz="12" w:space="0" w:color="000000" w:themeColor="text1"/>
              <w:left w:val="nil"/>
              <w:bottom w:val="nil"/>
              <w:right w:val="nil"/>
            </w:tcBorders>
            <w:shd w:val="clear" w:color="000000" w:fill="FFFFFF"/>
            <w:noWrap/>
            <w:vAlign w:val="bottom"/>
            <w:hideMark/>
          </w:tcPr>
          <w:p w14:paraId="2EBB87D3" w14:textId="77777777" w:rsidR="001B6918" w:rsidRPr="00FD416B" w:rsidRDefault="001B6918" w:rsidP="00730ECF">
            <w:pPr>
              <w:jc w:val="right"/>
              <w:rPr>
                <w:rFonts w:eastAsia="Times New Roman" w:cstheme="minorHAnsi"/>
                <w:sz w:val="20"/>
                <w:szCs w:val="20"/>
              </w:rPr>
            </w:pPr>
            <w:r w:rsidRPr="00FD416B">
              <w:rPr>
                <w:rFonts w:eastAsia="Times New Roman" w:cstheme="minorHAnsi"/>
                <w:sz w:val="20"/>
                <w:szCs w:val="20"/>
              </w:rPr>
              <w:t xml:space="preserve">$   17,853 </w:t>
            </w:r>
          </w:p>
        </w:tc>
        <w:tc>
          <w:tcPr>
            <w:tcW w:w="1066" w:type="dxa"/>
            <w:tcBorders>
              <w:top w:val="single" w:sz="12" w:space="0" w:color="000000" w:themeColor="text1"/>
              <w:left w:val="nil"/>
              <w:bottom w:val="nil"/>
              <w:right w:val="nil"/>
            </w:tcBorders>
            <w:shd w:val="clear" w:color="000000" w:fill="FFFFFF"/>
            <w:noWrap/>
            <w:vAlign w:val="bottom"/>
            <w:hideMark/>
          </w:tcPr>
          <w:p w14:paraId="6B567FBE" w14:textId="77777777" w:rsidR="001B6918" w:rsidRPr="00FD416B" w:rsidRDefault="001B6918" w:rsidP="00730ECF">
            <w:pPr>
              <w:jc w:val="right"/>
              <w:rPr>
                <w:rFonts w:eastAsia="Times New Roman" w:cstheme="minorHAnsi"/>
                <w:sz w:val="20"/>
                <w:szCs w:val="20"/>
              </w:rPr>
            </w:pPr>
            <w:r w:rsidRPr="00FD416B">
              <w:rPr>
                <w:rFonts w:eastAsia="Times New Roman" w:cstheme="minorHAnsi"/>
                <w:sz w:val="20"/>
                <w:szCs w:val="20"/>
              </w:rPr>
              <w:t xml:space="preserve"> $    1,429 </w:t>
            </w:r>
          </w:p>
        </w:tc>
        <w:tc>
          <w:tcPr>
            <w:tcW w:w="1230" w:type="dxa"/>
            <w:tcBorders>
              <w:top w:val="single" w:sz="12" w:space="0" w:color="000000" w:themeColor="text1"/>
              <w:left w:val="nil"/>
              <w:bottom w:val="nil"/>
              <w:right w:val="nil"/>
            </w:tcBorders>
            <w:shd w:val="clear" w:color="000000" w:fill="FFFFFF"/>
            <w:noWrap/>
            <w:vAlign w:val="bottom"/>
            <w:hideMark/>
          </w:tcPr>
          <w:p w14:paraId="706F90E9" w14:textId="77777777" w:rsidR="001B6918" w:rsidRPr="00FD416B" w:rsidRDefault="001B6918" w:rsidP="00730ECF">
            <w:pPr>
              <w:jc w:val="right"/>
              <w:rPr>
                <w:rFonts w:eastAsia="Times New Roman" w:cstheme="minorHAnsi"/>
                <w:sz w:val="20"/>
                <w:szCs w:val="20"/>
              </w:rPr>
            </w:pPr>
            <w:r w:rsidRPr="00FD416B">
              <w:rPr>
                <w:rFonts w:eastAsia="Times New Roman" w:cstheme="minorHAnsi"/>
                <w:sz w:val="20"/>
                <w:szCs w:val="20"/>
              </w:rPr>
              <w:t xml:space="preserve"> $             - </w:t>
            </w:r>
          </w:p>
        </w:tc>
        <w:tc>
          <w:tcPr>
            <w:tcW w:w="933" w:type="dxa"/>
            <w:tcBorders>
              <w:top w:val="single" w:sz="12" w:space="0" w:color="000000" w:themeColor="text1"/>
              <w:left w:val="nil"/>
              <w:bottom w:val="nil"/>
              <w:right w:val="nil"/>
            </w:tcBorders>
            <w:shd w:val="clear" w:color="000000" w:fill="FFFFFF"/>
            <w:noWrap/>
            <w:vAlign w:val="bottom"/>
            <w:hideMark/>
          </w:tcPr>
          <w:p w14:paraId="03172246" w14:textId="77777777" w:rsidR="001B6918" w:rsidRPr="00FD416B" w:rsidRDefault="001B6918" w:rsidP="00730ECF">
            <w:pPr>
              <w:jc w:val="right"/>
              <w:rPr>
                <w:rFonts w:eastAsia="Times New Roman" w:cstheme="minorHAnsi"/>
                <w:sz w:val="20"/>
                <w:szCs w:val="20"/>
              </w:rPr>
            </w:pPr>
            <w:r w:rsidRPr="00FD416B">
              <w:rPr>
                <w:rFonts w:eastAsia="Times New Roman" w:cstheme="minorHAnsi"/>
                <w:sz w:val="20"/>
                <w:szCs w:val="20"/>
              </w:rPr>
              <w:t xml:space="preserve"> $          - </w:t>
            </w:r>
          </w:p>
        </w:tc>
        <w:tc>
          <w:tcPr>
            <w:tcW w:w="1330" w:type="dxa"/>
            <w:tcBorders>
              <w:top w:val="single" w:sz="12" w:space="0" w:color="000000" w:themeColor="text1"/>
              <w:left w:val="nil"/>
              <w:bottom w:val="nil"/>
              <w:right w:val="nil"/>
            </w:tcBorders>
            <w:shd w:val="clear" w:color="000000" w:fill="FFFFFF"/>
            <w:vAlign w:val="bottom"/>
          </w:tcPr>
          <w:p w14:paraId="298A9300" w14:textId="77777777" w:rsidR="001B6918" w:rsidRPr="00FD416B" w:rsidRDefault="001B6918" w:rsidP="00730ECF">
            <w:pPr>
              <w:jc w:val="right"/>
              <w:rPr>
                <w:rFonts w:eastAsia="Times New Roman" w:cstheme="minorHAnsi"/>
                <w:sz w:val="20"/>
                <w:szCs w:val="20"/>
              </w:rPr>
            </w:pPr>
            <w:r w:rsidRPr="00FD416B">
              <w:rPr>
                <w:rFonts w:eastAsia="Times New Roman" w:cstheme="minorHAnsi"/>
                <w:sz w:val="20"/>
                <w:szCs w:val="20"/>
              </w:rPr>
              <w:t>$              -</w:t>
            </w:r>
          </w:p>
        </w:tc>
        <w:tc>
          <w:tcPr>
            <w:tcW w:w="1243" w:type="dxa"/>
            <w:tcBorders>
              <w:top w:val="single" w:sz="12" w:space="0" w:color="000000" w:themeColor="text1"/>
              <w:left w:val="nil"/>
              <w:bottom w:val="nil"/>
              <w:right w:val="nil"/>
            </w:tcBorders>
            <w:shd w:val="clear" w:color="000000" w:fill="FFFFFF"/>
            <w:noWrap/>
            <w:vAlign w:val="bottom"/>
            <w:hideMark/>
          </w:tcPr>
          <w:p w14:paraId="443629FD" w14:textId="77777777" w:rsidR="001B6918" w:rsidRPr="00FD416B" w:rsidRDefault="001B6918" w:rsidP="00730ECF">
            <w:pPr>
              <w:jc w:val="center"/>
              <w:rPr>
                <w:rFonts w:eastAsia="Times New Roman" w:cstheme="minorHAnsi"/>
                <w:sz w:val="20"/>
                <w:szCs w:val="20"/>
              </w:rPr>
            </w:pPr>
            <w:r w:rsidRPr="00FD416B">
              <w:rPr>
                <w:rFonts w:eastAsia="Times New Roman" w:cstheme="minorHAnsi"/>
                <w:sz w:val="20"/>
                <w:szCs w:val="20"/>
              </w:rPr>
              <w:t>$ 21,693</w:t>
            </w:r>
          </w:p>
        </w:tc>
      </w:tr>
      <w:tr w:rsidR="001B6918" w:rsidRPr="004E6649" w14:paraId="1E90D019" w14:textId="77777777" w:rsidTr="00F51774">
        <w:trPr>
          <w:trHeight w:val="315"/>
        </w:trPr>
        <w:tc>
          <w:tcPr>
            <w:tcW w:w="2218" w:type="dxa"/>
            <w:gridSpan w:val="2"/>
            <w:tcBorders>
              <w:top w:val="nil"/>
              <w:left w:val="nil"/>
              <w:bottom w:val="nil"/>
              <w:right w:val="nil"/>
            </w:tcBorders>
            <w:shd w:val="clear" w:color="000000" w:fill="FFFFFF"/>
            <w:noWrap/>
            <w:vAlign w:val="bottom"/>
            <w:hideMark/>
          </w:tcPr>
          <w:p w14:paraId="27438054" w14:textId="77777777" w:rsidR="001B6918" w:rsidRPr="004E6649" w:rsidRDefault="001B6918" w:rsidP="00730ECF">
            <w:pPr>
              <w:rPr>
                <w:rFonts w:eastAsia="Times New Roman" w:cstheme="minorHAnsi"/>
                <w:color w:val="0D0D0D"/>
                <w:sz w:val="20"/>
                <w:szCs w:val="20"/>
              </w:rPr>
            </w:pPr>
            <w:r w:rsidRPr="004E6649">
              <w:rPr>
                <w:rFonts w:eastAsia="Times New Roman" w:cstheme="minorHAnsi"/>
                <w:color w:val="0D0D0D"/>
                <w:sz w:val="20"/>
                <w:szCs w:val="20"/>
              </w:rPr>
              <w:t>Deferred inflows of resources</w:t>
            </w:r>
          </w:p>
        </w:tc>
        <w:tc>
          <w:tcPr>
            <w:tcW w:w="1127" w:type="dxa"/>
            <w:tcBorders>
              <w:top w:val="nil"/>
              <w:left w:val="nil"/>
              <w:bottom w:val="nil"/>
              <w:right w:val="nil"/>
            </w:tcBorders>
            <w:shd w:val="clear" w:color="000000" w:fill="FFFFFF"/>
            <w:noWrap/>
            <w:vAlign w:val="bottom"/>
            <w:hideMark/>
          </w:tcPr>
          <w:p w14:paraId="639EE676" w14:textId="77777777" w:rsidR="001B6918" w:rsidRPr="00FD416B" w:rsidRDefault="001B6918" w:rsidP="00730ECF">
            <w:pPr>
              <w:jc w:val="right"/>
              <w:rPr>
                <w:rFonts w:eastAsia="Times New Roman" w:cstheme="minorHAnsi"/>
                <w:sz w:val="20"/>
                <w:szCs w:val="20"/>
              </w:rPr>
            </w:pPr>
            <w:r w:rsidRPr="00FD416B">
              <w:rPr>
                <w:rFonts w:eastAsia="Times New Roman" w:cstheme="minorHAnsi"/>
                <w:sz w:val="20"/>
                <w:szCs w:val="20"/>
              </w:rPr>
              <w:t xml:space="preserve"> $ 1,003 </w:t>
            </w:r>
          </w:p>
        </w:tc>
        <w:tc>
          <w:tcPr>
            <w:tcW w:w="1330" w:type="dxa"/>
            <w:tcBorders>
              <w:top w:val="nil"/>
              <w:left w:val="nil"/>
              <w:bottom w:val="nil"/>
              <w:right w:val="nil"/>
            </w:tcBorders>
            <w:shd w:val="clear" w:color="000000" w:fill="FFFFFF"/>
            <w:noWrap/>
            <w:vAlign w:val="bottom"/>
            <w:hideMark/>
          </w:tcPr>
          <w:p w14:paraId="61FC35CD" w14:textId="77777777" w:rsidR="001B6918" w:rsidRPr="00FD416B" w:rsidRDefault="001B6918" w:rsidP="00730ECF">
            <w:pPr>
              <w:jc w:val="right"/>
              <w:rPr>
                <w:rFonts w:eastAsia="Times New Roman" w:cstheme="minorHAnsi"/>
                <w:sz w:val="20"/>
                <w:szCs w:val="20"/>
              </w:rPr>
            </w:pPr>
            <w:r w:rsidRPr="00FD416B">
              <w:rPr>
                <w:rFonts w:eastAsia="Times New Roman" w:cstheme="minorHAnsi"/>
                <w:sz w:val="20"/>
                <w:szCs w:val="20"/>
              </w:rPr>
              <w:t xml:space="preserve">$ 40,917 </w:t>
            </w:r>
          </w:p>
        </w:tc>
        <w:tc>
          <w:tcPr>
            <w:tcW w:w="1066" w:type="dxa"/>
            <w:tcBorders>
              <w:top w:val="nil"/>
              <w:left w:val="nil"/>
              <w:bottom w:val="nil"/>
              <w:right w:val="nil"/>
            </w:tcBorders>
            <w:shd w:val="clear" w:color="000000" w:fill="FFFFFF"/>
            <w:noWrap/>
            <w:vAlign w:val="bottom"/>
            <w:hideMark/>
          </w:tcPr>
          <w:p w14:paraId="23A8D9C2" w14:textId="77777777" w:rsidR="001B6918" w:rsidRPr="00FD416B" w:rsidRDefault="001B6918" w:rsidP="00730ECF">
            <w:pPr>
              <w:jc w:val="right"/>
              <w:rPr>
                <w:rFonts w:eastAsia="Times New Roman" w:cstheme="minorHAnsi"/>
                <w:sz w:val="20"/>
                <w:szCs w:val="20"/>
              </w:rPr>
            </w:pPr>
            <w:r w:rsidRPr="00FD416B">
              <w:rPr>
                <w:rFonts w:eastAsia="Times New Roman" w:cstheme="minorHAnsi"/>
                <w:sz w:val="20"/>
                <w:szCs w:val="20"/>
              </w:rPr>
              <w:t xml:space="preserve"> $             - </w:t>
            </w:r>
          </w:p>
        </w:tc>
        <w:tc>
          <w:tcPr>
            <w:tcW w:w="1230" w:type="dxa"/>
            <w:tcBorders>
              <w:top w:val="nil"/>
              <w:left w:val="nil"/>
              <w:bottom w:val="nil"/>
              <w:right w:val="nil"/>
            </w:tcBorders>
            <w:shd w:val="clear" w:color="000000" w:fill="FFFFFF"/>
            <w:noWrap/>
            <w:vAlign w:val="bottom"/>
            <w:hideMark/>
          </w:tcPr>
          <w:p w14:paraId="1FB6AA9D" w14:textId="77777777" w:rsidR="001B6918" w:rsidRPr="00FD416B" w:rsidRDefault="001B6918" w:rsidP="00730ECF">
            <w:pPr>
              <w:jc w:val="right"/>
              <w:rPr>
                <w:rFonts w:eastAsia="Times New Roman" w:cstheme="minorHAnsi"/>
                <w:sz w:val="20"/>
                <w:szCs w:val="20"/>
              </w:rPr>
            </w:pPr>
            <w:r w:rsidRPr="00FD416B">
              <w:rPr>
                <w:rFonts w:eastAsia="Times New Roman" w:cstheme="minorHAnsi"/>
                <w:sz w:val="20"/>
                <w:szCs w:val="20"/>
              </w:rPr>
              <w:t xml:space="preserve"> $        </w:t>
            </w:r>
            <w:r>
              <w:rPr>
                <w:rFonts w:eastAsia="Times New Roman" w:cstheme="minorHAnsi"/>
                <w:sz w:val="20"/>
                <w:szCs w:val="20"/>
              </w:rPr>
              <w:t>429</w:t>
            </w:r>
            <w:r w:rsidRPr="00FD416B">
              <w:rPr>
                <w:rFonts w:eastAsia="Times New Roman" w:cstheme="minorHAnsi"/>
                <w:sz w:val="20"/>
                <w:szCs w:val="20"/>
              </w:rPr>
              <w:t xml:space="preserve"> </w:t>
            </w:r>
          </w:p>
        </w:tc>
        <w:tc>
          <w:tcPr>
            <w:tcW w:w="933" w:type="dxa"/>
            <w:tcBorders>
              <w:top w:val="nil"/>
              <w:left w:val="nil"/>
              <w:bottom w:val="nil"/>
              <w:right w:val="nil"/>
            </w:tcBorders>
            <w:shd w:val="clear" w:color="000000" w:fill="FFFFFF"/>
            <w:noWrap/>
            <w:vAlign w:val="bottom"/>
            <w:hideMark/>
          </w:tcPr>
          <w:p w14:paraId="3DBC1949" w14:textId="77777777" w:rsidR="001B6918" w:rsidRPr="00FD416B" w:rsidRDefault="001B6918" w:rsidP="00730ECF">
            <w:pPr>
              <w:jc w:val="right"/>
              <w:rPr>
                <w:rFonts w:eastAsia="Times New Roman" w:cstheme="minorHAnsi"/>
                <w:sz w:val="20"/>
                <w:szCs w:val="20"/>
              </w:rPr>
            </w:pPr>
            <w:r w:rsidRPr="00FD416B">
              <w:rPr>
                <w:rFonts w:eastAsia="Times New Roman" w:cstheme="minorHAnsi"/>
                <w:sz w:val="20"/>
                <w:szCs w:val="20"/>
              </w:rPr>
              <w:t xml:space="preserve"> $ 3,138 </w:t>
            </w:r>
          </w:p>
        </w:tc>
        <w:tc>
          <w:tcPr>
            <w:tcW w:w="1330" w:type="dxa"/>
            <w:tcBorders>
              <w:top w:val="nil"/>
              <w:left w:val="nil"/>
              <w:bottom w:val="nil"/>
              <w:right w:val="nil"/>
            </w:tcBorders>
            <w:shd w:val="clear" w:color="000000" w:fill="FFFFFF"/>
            <w:vAlign w:val="bottom"/>
          </w:tcPr>
          <w:p w14:paraId="7422CD99" w14:textId="77777777" w:rsidR="001B6918" w:rsidRPr="00FD416B" w:rsidRDefault="001B6918" w:rsidP="00730ECF">
            <w:pPr>
              <w:jc w:val="right"/>
              <w:rPr>
                <w:rFonts w:eastAsia="Times New Roman" w:cstheme="minorHAnsi"/>
                <w:sz w:val="20"/>
                <w:szCs w:val="20"/>
              </w:rPr>
            </w:pPr>
            <w:r w:rsidRPr="00FD416B">
              <w:rPr>
                <w:rFonts w:eastAsia="Times New Roman" w:cstheme="minorHAnsi"/>
                <w:sz w:val="20"/>
                <w:szCs w:val="20"/>
              </w:rPr>
              <w:t>$   27,876</w:t>
            </w:r>
          </w:p>
        </w:tc>
        <w:tc>
          <w:tcPr>
            <w:tcW w:w="1243" w:type="dxa"/>
            <w:tcBorders>
              <w:top w:val="nil"/>
              <w:left w:val="nil"/>
              <w:bottom w:val="nil"/>
              <w:right w:val="nil"/>
            </w:tcBorders>
            <w:shd w:val="clear" w:color="000000" w:fill="FFFFFF"/>
            <w:noWrap/>
            <w:vAlign w:val="bottom"/>
            <w:hideMark/>
          </w:tcPr>
          <w:p w14:paraId="76365CBE" w14:textId="77777777" w:rsidR="001B6918" w:rsidRPr="00FD416B" w:rsidRDefault="001B6918" w:rsidP="00730ECF">
            <w:pPr>
              <w:jc w:val="center"/>
              <w:rPr>
                <w:rFonts w:eastAsia="Times New Roman" w:cstheme="minorHAnsi"/>
                <w:sz w:val="20"/>
                <w:szCs w:val="20"/>
              </w:rPr>
            </w:pPr>
            <w:r w:rsidRPr="00FD416B">
              <w:rPr>
                <w:rFonts w:eastAsia="Times New Roman" w:cstheme="minorHAnsi"/>
                <w:sz w:val="20"/>
                <w:szCs w:val="20"/>
              </w:rPr>
              <w:t xml:space="preserve">$73,363 </w:t>
            </w:r>
          </w:p>
        </w:tc>
      </w:tr>
      <w:tr w:rsidR="001B6918" w:rsidRPr="004E6649" w14:paraId="151B1672" w14:textId="77777777" w:rsidTr="00F51774">
        <w:trPr>
          <w:trHeight w:val="578"/>
        </w:trPr>
        <w:tc>
          <w:tcPr>
            <w:tcW w:w="743" w:type="dxa"/>
            <w:tcBorders>
              <w:top w:val="nil"/>
              <w:left w:val="nil"/>
              <w:bottom w:val="single" w:sz="12" w:space="0" w:color="000000" w:themeColor="text1"/>
              <w:right w:val="nil"/>
            </w:tcBorders>
            <w:shd w:val="clear" w:color="000000" w:fill="FFFFFF"/>
          </w:tcPr>
          <w:p w14:paraId="348C184A" w14:textId="77777777" w:rsidR="001B6918" w:rsidRPr="004E6649" w:rsidRDefault="001B6918" w:rsidP="00730ECF">
            <w:pPr>
              <w:jc w:val="center"/>
              <w:rPr>
                <w:rFonts w:eastAsia="Times New Roman" w:cstheme="minorHAnsi"/>
                <w:b/>
                <w:bCs/>
                <w:color w:val="0D0D0D"/>
                <w:sz w:val="20"/>
                <w:szCs w:val="20"/>
              </w:rPr>
            </w:pPr>
          </w:p>
        </w:tc>
        <w:tc>
          <w:tcPr>
            <w:tcW w:w="9734" w:type="dxa"/>
            <w:gridSpan w:val="8"/>
            <w:tcBorders>
              <w:top w:val="nil"/>
              <w:left w:val="nil"/>
              <w:bottom w:val="single" w:sz="12" w:space="0" w:color="000000" w:themeColor="text1"/>
              <w:right w:val="nil"/>
            </w:tcBorders>
            <w:shd w:val="clear" w:color="000000" w:fill="FFFFFF"/>
            <w:noWrap/>
            <w:vAlign w:val="bottom"/>
            <w:hideMark/>
          </w:tcPr>
          <w:p w14:paraId="7D8C941D" w14:textId="77777777" w:rsidR="001B6918" w:rsidRPr="004E6649" w:rsidRDefault="001B6918" w:rsidP="00730ECF">
            <w:pPr>
              <w:jc w:val="center"/>
              <w:rPr>
                <w:rFonts w:eastAsia="Times New Roman" w:cstheme="minorHAnsi"/>
                <w:b/>
                <w:bCs/>
                <w:color w:val="0D0D0D"/>
                <w:sz w:val="20"/>
                <w:szCs w:val="20"/>
              </w:rPr>
            </w:pPr>
            <w:r w:rsidRPr="004E6649">
              <w:rPr>
                <w:rFonts w:eastAsia="Times New Roman" w:cstheme="minorHAnsi"/>
                <w:b/>
                <w:bCs/>
                <w:color w:val="0D0D0D"/>
                <w:sz w:val="20"/>
                <w:szCs w:val="20"/>
              </w:rPr>
              <w:t>202</w:t>
            </w:r>
            <w:r>
              <w:rPr>
                <w:rFonts w:eastAsia="Times New Roman" w:cstheme="minorHAnsi"/>
                <w:b/>
                <w:bCs/>
                <w:color w:val="0D0D0D"/>
                <w:sz w:val="20"/>
                <w:szCs w:val="20"/>
              </w:rPr>
              <w:t>4</w:t>
            </w:r>
            <w:r w:rsidRPr="004E6649">
              <w:rPr>
                <w:rFonts w:eastAsia="Times New Roman" w:cstheme="minorHAnsi"/>
                <w:b/>
                <w:bCs/>
                <w:color w:val="0D0D0D"/>
                <w:sz w:val="20"/>
                <w:szCs w:val="20"/>
              </w:rPr>
              <w:t xml:space="preserve"> </w:t>
            </w:r>
          </w:p>
        </w:tc>
      </w:tr>
      <w:tr w:rsidR="001B6918" w:rsidRPr="004E6649" w14:paraId="488862D3" w14:textId="77777777" w:rsidTr="00F51774">
        <w:trPr>
          <w:trHeight w:val="1065"/>
        </w:trPr>
        <w:tc>
          <w:tcPr>
            <w:tcW w:w="2218" w:type="dxa"/>
            <w:gridSpan w:val="2"/>
            <w:tcBorders>
              <w:top w:val="single" w:sz="12" w:space="0" w:color="000000" w:themeColor="text1"/>
              <w:left w:val="nil"/>
              <w:bottom w:val="single" w:sz="12" w:space="0" w:color="000000" w:themeColor="text1"/>
              <w:right w:val="nil"/>
            </w:tcBorders>
            <w:shd w:val="clear" w:color="000000" w:fill="FFFFFF"/>
            <w:noWrap/>
            <w:vAlign w:val="bottom"/>
            <w:hideMark/>
          </w:tcPr>
          <w:p w14:paraId="4B38DB45" w14:textId="77777777" w:rsidR="001B6918" w:rsidRPr="004E6649" w:rsidRDefault="001B6918" w:rsidP="00730ECF">
            <w:pPr>
              <w:rPr>
                <w:rFonts w:eastAsia="Times New Roman" w:cstheme="minorHAnsi"/>
                <w:b/>
                <w:bCs/>
                <w:color w:val="0D0D0D"/>
                <w:sz w:val="20"/>
                <w:szCs w:val="20"/>
              </w:rPr>
            </w:pPr>
            <w:r w:rsidRPr="004E6649">
              <w:rPr>
                <w:rFonts w:eastAsia="Times New Roman" w:cstheme="minorHAnsi"/>
                <w:b/>
                <w:bCs/>
                <w:color w:val="0D0D0D"/>
                <w:sz w:val="20"/>
                <w:szCs w:val="20"/>
              </w:rPr>
              <w:t> </w:t>
            </w:r>
          </w:p>
        </w:tc>
        <w:tc>
          <w:tcPr>
            <w:tcW w:w="1127" w:type="dxa"/>
            <w:tcBorders>
              <w:top w:val="single" w:sz="12" w:space="0" w:color="000000" w:themeColor="text1"/>
              <w:left w:val="nil"/>
              <w:bottom w:val="single" w:sz="12" w:space="0" w:color="000000" w:themeColor="text1"/>
              <w:right w:val="nil"/>
            </w:tcBorders>
            <w:shd w:val="clear" w:color="000000" w:fill="FFFFFF"/>
            <w:vAlign w:val="bottom"/>
            <w:hideMark/>
          </w:tcPr>
          <w:p w14:paraId="5F40C752" w14:textId="77777777" w:rsidR="001B6918" w:rsidRPr="004E6649" w:rsidRDefault="001B6918" w:rsidP="00730ECF">
            <w:pPr>
              <w:jc w:val="center"/>
              <w:rPr>
                <w:rFonts w:eastAsia="Times New Roman" w:cstheme="minorHAnsi"/>
                <w:b/>
                <w:bCs/>
                <w:color w:val="0D0D0D"/>
                <w:sz w:val="20"/>
                <w:szCs w:val="20"/>
              </w:rPr>
            </w:pPr>
            <w:r w:rsidRPr="004E6649">
              <w:rPr>
                <w:rFonts w:eastAsia="Times New Roman" w:cstheme="minorHAnsi"/>
                <w:b/>
                <w:bCs/>
                <w:color w:val="0D0D0D"/>
                <w:sz w:val="20"/>
                <w:szCs w:val="20"/>
              </w:rPr>
              <w:t>Pension</w:t>
            </w:r>
            <w:r>
              <w:rPr>
                <w:rFonts w:eastAsia="Times New Roman" w:cstheme="minorHAnsi"/>
                <w:b/>
                <w:bCs/>
                <w:color w:val="0D0D0D"/>
                <w:sz w:val="20"/>
                <w:szCs w:val="20"/>
              </w:rPr>
              <w:t xml:space="preserve"> </w:t>
            </w:r>
            <w:r w:rsidRPr="004E6649">
              <w:rPr>
                <w:rFonts w:eastAsia="Times New Roman" w:cstheme="minorHAnsi"/>
                <w:b/>
                <w:bCs/>
                <w:color w:val="0D0D0D"/>
                <w:sz w:val="20"/>
                <w:szCs w:val="20"/>
              </w:rPr>
              <w:t>Liability</w:t>
            </w:r>
          </w:p>
        </w:tc>
        <w:tc>
          <w:tcPr>
            <w:tcW w:w="1330" w:type="dxa"/>
            <w:tcBorders>
              <w:top w:val="single" w:sz="12" w:space="0" w:color="000000" w:themeColor="text1"/>
              <w:left w:val="nil"/>
              <w:bottom w:val="single" w:sz="12" w:space="0" w:color="000000" w:themeColor="text1"/>
              <w:right w:val="nil"/>
            </w:tcBorders>
            <w:shd w:val="clear" w:color="000000" w:fill="FFFFFF"/>
            <w:vAlign w:val="bottom"/>
            <w:hideMark/>
          </w:tcPr>
          <w:p w14:paraId="532B8C26" w14:textId="77777777" w:rsidR="001B6918" w:rsidRPr="004E6649" w:rsidRDefault="001B6918" w:rsidP="00730ECF">
            <w:pPr>
              <w:jc w:val="center"/>
              <w:rPr>
                <w:rFonts w:eastAsia="Times New Roman" w:cstheme="minorHAnsi"/>
                <w:b/>
                <w:bCs/>
                <w:color w:val="0D0D0D"/>
                <w:sz w:val="20"/>
                <w:szCs w:val="20"/>
              </w:rPr>
            </w:pPr>
            <w:r w:rsidRPr="004E6649">
              <w:rPr>
                <w:rFonts w:eastAsia="Times New Roman" w:cstheme="minorHAnsi"/>
                <w:b/>
                <w:bCs/>
                <w:color w:val="0D0D0D"/>
                <w:sz w:val="20"/>
                <w:szCs w:val="20"/>
              </w:rPr>
              <w:t>OPEB</w:t>
            </w:r>
          </w:p>
        </w:tc>
        <w:tc>
          <w:tcPr>
            <w:tcW w:w="1066" w:type="dxa"/>
            <w:tcBorders>
              <w:top w:val="single" w:sz="12" w:space="0" w:color="000000" w:themeColor="text1"/>
              <w:left w:val="nil"/>
              <w:bottom w:val="single" w:sz="12" w:space="0" w:color="000000" w:themeColor="text1"/>
              <w:right w:val="nil"/>
            </w:tcBorders>
            <w:shd w:val="clear" w:color="000000" w:fill="FFFFFF"/>
            <w:vAlign w:val="bottom"/>
            <w:hideMark/>
          </w:tcPr>
          <w:p w14:paraId="48AC7535" w14:textId="77777777" w:rsidR="001B6918" w:rsidRPr="004E6649" w:rsidRDefault="001B6918" w:rsidP="00730ECF">
            <w:pPr>
              <w:jc w:val="center"/>
              <w:rPr>
                <w:rFonts w:eastAsia="Times New Roman" w:cstheme="minorHAnsi"/>
                <w:b/>
                <w:bCs/>
                <w:color w:val="0D0D0D"/>
                <w:sz w:val="20"/>
                <w:szCs w:val="20"/>
              </w:rPr>
            </w:pPr>
            <w:r w:rsidRPr="004E6649">
              <w:rPr>
                <w:rFonts w:eastAsia="Times New Roman" w:cstheme="minorHAnsi"/>
                <w:b/>
                <w:bCs/>
                <w:color w:val="0D0D0D"/>
                <w:sz w:val="20"/>
                <w:szCs w:val="20"/>
              </w:rPr>
              <w:t>Deferred</w:t>
            </w:r>
            <w:r>
              <w:rPr>
                <w:rFonts w:eastAsia="Times New Roman" w:cstheme="minorHAnsi"/>
                <w:b/>
                <w:bCs/>
                <w:color w:val="0D0D0D"/>
                <w:sz w:val="20"/>
                <w:szCs w:val="20"/>
              </w:rPr>
              <w:t xml:space="preserve"> </w:t>
            </w:r>
            <w:r w:rsidRPr="004E6649">
              <w:rPr>
                <w:rFonts w:eastAsia="Times New Roman" w:cstheme="minorHAnsi"/>
                <w:b/>
                <w:bCs/>
                <w:color w:val="0D0D0D"/>
                <w:sz w:val="20"/>
                <w:szCs w:val="20"/>
              </w:rPr>
              <w:t>Amount</w:t>
            </w:r>
            <w:r>
              <w:rPr>
                <w:rFonts w:eastAsia="Times New Roman" w:cstheme="minorHAnsi"/>
                <w:b/>
                <w:bCs/>
                <w:color w:val="0D0D0D"/>
                <w:sz w:val="20"/>
                <w:szCs w:val="20"/>
              </w:rPr>
              <w:t xml:space="preserve"> </w:t>
            </w:r>
            <w:r w:rsidRPr="004E6649">
              <w:rPr>
                <w:rFonts w:eastAsia="Times New Roman" w:cstheme="minorHAnsi"/>
                <w:b/>
                <w:bCs/>
                <w:color w:val="0D0D0D"/>
                <w:sz w:val="20"/>
                <w:szCs w:val="20"/>
              </w:rPr>
              <w:t>on Debt</w:t>
            </w:r>
            <w:r>
              <w:rPr>
                <w:rFonts w:eastAsia="Times New Roman" w:cstheme="minorHAnsi"/>
                <w:b/>
                <w:bCs/>
                <w:color w:val="0D0D0D"/>
                <w:sz w:val="20"/>
                <w:szCs w:val="20"/>
              </w:rPr>
              <w:t xml:space="preserve"> </w:t>
            </w:r>
            <w:r w:rsidRPr="004E6649">
              <w:rPr>
                <w:rFonts w:eastAsia="Times New Roman" w:cstheme="minorHAnsi"/>
                <w:b/>
                <w:bCs/>
                <w:color w:val="0D0D0D"/>
                <w:sz w:val="20"/>
                <w:szCs w:val="20"/>
              </w:rPr>
              <w:t>Refunding</w:t>
            </w:r>
          </w:p>
        </w:tc>
        <w:tc>
          <w:tcPr>
            <w:tcW w:w="1230" w:type="dxa"/>
            <w:tcBorders>
              <w:top w:val="single" w:sz="12" w:space="0" w:color="000000" w:themeColor="text1"/>
              <w:left w:val="nil"/>
              <w:bottom w:val="single" w:sz="12" w:space="0" w:color="000000" w:themeColor="text1"/>
              <w:right w:val="nil"/>
            </w:tcBorders>
            <w:shd w:val="clear" w:color="000000" w:fill="FFFFFF"/>
            <w:vAlign w:val="bottom"/>
            <w:hideMark/>
          </w:tcPr>
          <w:p w14:paraId="1B193F35" w14:textId="77777777" w:rsidR="001B6918" w:rsidRPr="004E6649" w:rsidRDefault="001B6918" w:rsidP="00730ECF">
            <w:pPr>
              <w:jc w:val="center"/>
              <w:rPr>
                <w:rFonts w:eastAsia="Times New Roman" w:cstheme="minorHAnsi"/>
                <w:b/>
                <w:bCs/>
                <w:color w:val="0D0D0D"/>
                <w:sz w:val="20"/>
                <w:szCs w:val="20"/>
              </w:rPr>
            </w:pPr>
            <w:r w:rsidRPr="004E6649">
              <w:rPr>
                <w:rFonts w:eastAsia="Times New Roman" w:cstheme="minorHAnsi"/>
                <w:b/>
                <w:bCs/>
                <w:color w:val="0D0D0D"/>
                <w:sz w:val="20"/>
                <w:szCs w:val="20"/>
              </w:rPr>
              <w:t>Irrevocable Split-Interest Agreements</w:t>
            </w:r>
          </w:p>
        </w:tc>
        <w:tc>
          <w:tcPr>
            <w:tcW w:w="933" w:type="dxa"/>
            <w:tcBorders>
              <w:top w:val="single" w:sz="12" w:space="0" w:color="000000" w:themeColor="text1"/>
              <w:left w:val="nil"/>
              <w:bottom w:val="single" w:sz="12" w:space="0" w:color="000000" w:themeColor="text1"/>
              <w:right w:val="nil"/>
            </w:tcBorders>
            <w:shd w:val="clear" w:color="000000" w:fill="FFFFFF"/>
            <w:vAlign w:val="bottom"/>
            <w:hideMark/>
          </w:tcPr>
          <w:p w14:paraId="329A9CA3" w14:textId="77777777" w:rsidR="001B6918" w:rsidRPr="004E6649" w:rsidRDefault="001B6918" w:rsidP="00730ECF">
            <w:pPr>
              <w:jc w:val="center"/>
              <w:rPr>
                <w:rFonts w:eastAsia="Times New Roman" w:cstheme="minorHAnsi"/>
                <w:b/>
                <w:bCs/>
                <w:color w:val="0D0D0D"/>
                <w:sz w:val="20"/>
                <w:szCs w:val="20"/>
              </w:rPr>
            </w:pPr>
            <w:r w:rsidRPr="004E6649">
              <w:rPr>
                <w:rFonts w:eastAsia="Times New Roman" w:cstheme="minorHAnsi"/>
                <w:b/>
                <w:bCs/>
                <w:color w:val="0D0D0D"/>
                <w:sz w:val="20"/>
                <w:szCs w:val="20"/>
              </w:rPr>
              <w:t>Leases</w:t>
            </w:r>
          </w:p>
        </w:tc>
        <w:tc>
          <w:tcPr>
            <w:tcW w:w="1330" w:type="dxa"/>
            <w:tcBorders>
              <w:top w:val="single" w:sz="12" w:space="0" w:color="000000" w:themeColor="text1"/>
              <w:left w:val="nil"/>
              <w:bottom w:val="single" w:sz="12" w:space="0" w:color="000000" w:themeColor="text1"/>
              <w:right w:val="nil"/>
            </w:tcBorders>
            <w:shd w:val="clear" w:color="000000" w:fill="FFFFFF"/>
            <w:vAlign w:val="bottom"/>
          </w:tcPr>
          <w:p w14:paraId="7077DE85" w14:textId="77777777" w:rsidR="001B6918" w:rsidRPr="004E6649" w:rsidRDefault="001B6918" w:rsidP="00730ECF">
            <w:pPr>
              <w:jc w:val="center"/>
              <w:rPr>
                <w:rFonts w:eastAsia="Times New Roman" w:cstheme="minorHAnsi"/>
                <w:b/>
                <w:bCs/>
                <w:color w:val="0D0D0D"/>
                <w:sz w:val="20"/>
                <w:szCs w:val="20"/>
              </w:rPr>
            </w:pPr>
            <w:r>
              <w:rPr>
                <w:rFonts w:eastAsia="Times New Roman" w:cstheme="minorHAnsi"/>
                <w:b/>
                <w:bCs/>
                <w:color w:val="0D0D0D"/>
                <w:sz w:val="20"/>
                <w:szCs w:val="20"/>
              </w:rPr>
              <w:t>Public, Private Partnership</w:t>
            </w:r>
          </w:p>
        </w:tc>
        <w:tc>
          <w:tcPr>
            <w:tcW w:w="1243" w:type="dxa"/>
            <w:tcBorders>
              <w:top w:val="single" w:sz="12" w:space="0" w:color="000000" w:themeColor="text1"/>
              <w:left w:val="nil"/>
              <w:bottom w:val="single" w:sz="12" w:space="0" w:color="000000" w:themeColor="text1"/>
              <w:right w:val="nil"/>
            </w:tcBorders>
            <w:shd w:val="clear" w:color="000000" w:fill="FFFFFF"/>
            <w:noWrap/>
            <w:vAlign w:val="bottom"/>
            <w:hideMark/>
          </w:tcPr>
          <w:p w14:paraId="41A09531" w14:textId="77777777" w:rsidR="001B6918" w:rsidRPr="004E6649" w:rsidRDefault="001B6918" w:rsidP="00730ECF">
            <w:pPr>
              <w:jc w:val="center"/>
              <w:rPr>
                <w:rFonts w:eastAsia="Times New Roman" w:cstheme="minorHAnsi"/>
                <w:b/>
                <w:bCs/>
                <w:color w:val="0D0D0D"/>
                <w:sz w:val="20"/>
                <w:szCs w:val="20"/>
              </w:rPr>
            </w:pPr>
            <w:r w:rsidRPr="004E6649">
              <w:rPr>
                <w:rFonts w:eastAsia="Times New Roman" w:cstheme="minorHAnsi"/>
                <w:b/>
                <w:bCs/>
                <w:color w:val="0D0D0D"/>
                <w:sz w:val="20"/>
                <w:szCs w:val="20"/>
              </w:rPr>
              <w:t>Total</w:t>
            </w:r>
          </w:p>
        </w:tc>
      </w:tr>
      <w:tr w:rsidR="001B6918" w:rsidRPr="004E6649" w14:paraId="57409571" w14:textId="77777777" w:rsidTr="00F51774">
        <w:trPr>
          <w:trHeight w:val="330"/>
        </w:trPr>
        <w:tc>
          <w:tcPr>
            <w:tcW w:w="2218" w:type="dxa"/>
            <w:gridSpan w:val="2"/>
            <w:tcBorders>
              <w:top w:val="single" w:sz="12" w:space="0" w:color="000000" w:themeColor="text1"/>
              <w:left w:val="nil"/>
              <w:bottom w:val="nil"/>
              <w:right w:val="nil"/>
            </w:tcBorders>
            <w:shd w:val="clear" w:color="000000" w:fill="FFFFFF"/>
            <w:noWrap/>
            <w:vAlign w:val="bottom"/>
            <w:hideMark/>
          </w:tcPr>
          <w:p w14:paraId="33441351" w14:textId="77777777" w:rsidR="001B6918" w:rsidRPr="004E6649" w:rsidRDefault="001B6918" w:rsidP="00730ECF">
            <w:pPr>
              <w:rPr>
                <w:rFonts w:eastAsia="Times New Roman" w:cstheme="minorHAnsi"/>
                <w:color w:val="0D0D0D"/>
                <w:sz w:val="20"/>
                <w:szCs w:val="20"/>
              </w:rPr>
            </w:pPr>
            <w:r w:rsidRPr="004E6649">
              <w:rPr>
                <w:rFonts w:eastAsia="Times New Roman" w:cstheme="minorHAnsi"/>
                <w:color w:val="0D0D0D"/>
                <w:sz w:val="20"/>
                <w:szCs w:val="20"/>
              </w:rPr>
              <w:t>Deferred outflows of resources</w:t>
            </w:r>
          </w:p>
        </w:tc>
        <w:tc>
          <w:tcPr>
            <w:tcW w:w="1127" w:type="dxa"/>
            <w:tcBorders>
              <w:top w:val="single" w:sz="12" w:space="0" w:color="000000" w:themeColor="text1"/>
              <w:left w:val="nil"/>
              <w:bottom w:val="nil"/>
              <w:right w:val="nil"/>
            </w:tcBorders>
            <w:shd w:val="clear" w:color="000000" w:fill="FFFFFF"/>
            <w:noWrap/>
            <w:vAlign w:val="bottom"/>
            <w:hideMark/>
          </w:tcPr>
          <w:p w14:paraId="55A5DC06" w14:textId="77777777" w:rsidR="001B6918" w:rsidRPr="004E6649" w:rsidRDefault="001B6918" w:rsidP="00730ECF">
            <w:pPr>
              <w:jc w:val="right"/>
              <w:rPr>
                <w:rFonts w:eastAsia="Times New Roman" w:cstheme="minorHAnsi"/>
                <w:color w:val="0D0D0D"/>
                <w:sz w:val="20"/>
                <w:szCs w:val="20"/>
              </w:rPr>
            </w:pPr>
            <w:r w:rsidRPr="006D1F2A">
              <w:rPr>
                <w:rFonts w:eastAsia="Times New Roman" w:cstheme="minorHAnsi"/>
                <w:sz w:val="20"/>
                <w:szCs w:val="20"/>
              </w:rPr>
              <w:t xml:space="preserve">$ 1,602 </w:t>
            </w:r>
          </w:p>
        </w:tc>
        <w:tc>
          <w:tcPr>
            <w:tcW w:w="1330" w:type="dxa"/>
            <w:tcBorders>
              <w:top w:val="single" w:sz="12" w:space="0" w:color="000000" w:themeColor="text1"/>
              <w:left w:val="nil"/>
              <w:bottom w:val="nil"/>
              <w:right w:val="nil"/>
            </w:tcBorders>
            <w:shd w:val="clear" w:color="000000" w:fill="FFFFFF"/>
            <w:noWrap/>
            <w:vAlign w:val="bottom"/>
            <w:hideMark/>
          </w:tcPr>
          <w:p w14:paraId="56F6A49A" w14:textId="77777777" w:rsidR="001B6918" w:rsidRPr="004E6649" w:rsidRDefault="001B6918" w:rsidP="00730ECF">
            <w:pPr>
              <w:jc w:val="right"/>
              <w:rPr>
                <w:rFonts w:eastAsia="Times New Roman" w:cstheme="minorHAnsi"/>
                <w:color w:val="0D0D0D"/>
                <w:sz w:val="20"/>
                <w:szCs w:val="20"/>
              </w:rPr>
            </w:pPr>
            <w:r w:rsidRPr="00971840">
              <w:rPr>
                <w:rFonts w:eastAsia="Times New Roman" w:cstheme="minorHAnsi"/>
                <w:sz w:val="20"/>
                <w:szCs w:val="20"/>
              </w:rPr>
              <w:t>$</w:t>
            </w:r>
            <w:r>
              <w:rPr>
                <w:rFonts w:eastAsia="Times New Roman" w:cstheme="minorHAnsi"/>
                <w:sz w:val="20"/>
                <w:szCs w:val="20"/>
              </w:rPr>
              <w:t xml:space="preserve">  </w:t>
            </w:r>
            <w:r w:rsidRPr="00971840">
              <w:rPr>
                <w:rFonts w:eastAsia="Times New Roman" w:cstheme="minorHAnsi"/>
                <w:sz w:val="20"/>
                <w:szCs w:val="20"/>
              </w:rPr>
              <w:t xml:space="preserve"> 2,837 </w:t>
            </w:r>
          </w:p>
        </w:tc>
        <w:tc>
          <w:tcPr>
            <w:tcW w:w="1066" w:type="dxa"/>
            <w:tcBorders>
              <w:top w:val="single" w:sz="12" w:space="0" w:color="000000" w:themeColor="text1"/>
              <w:left w:val="nil"/>
              <w:bottom w:val="nil"/>
              <w:right w:val="nil"/>
            </w:tcBorders>
            <w:shd w:val="clear" w:color="000000" w:fill="FFFFFF"/>
            <w:noWrap/>
            <w:vAlign w:val="bottom"/>
            <w:hideMark/>
          </w:tcPr>
          <w:p w14:paraId="4F157A4A" w14:textId="77777777" w:rsidR="001B6918" w:rsidRPr="004E6649" w:rsidRDefault="001B6918" w:rsidP="00730ECF">
            <w:pPr>
              <w:jc w:val="right"/>
              <w:rPr>
                <w:rFonts w:eastAsia="Times New Roman" w:cstheme="minorHAnsi"/>
                <w:color w:val="0D0D0D"/>
                <w:sz w:val="20"/>
                <w:szCs w:val="20"/>
              </w:rPr>
            </w:pPr>
            <w:r w:rsidRPr="00971840">
              <w:rPr>
                <w:rFonts w:eastAsia="Times New Roman" w:cstheme="minorHAnsi"/>
                <w:sz w:val="20"/>
                <w:szCs w:val="20"/>
              </w:rPr>
              <w:t xml:space="preserve"> $    1,600 </w:t>
            </w:r>
          </w:p>
        </w:tc>
        <w:tc>
          <w:tcPr>
            <w:tcW w:w="1230" w:type="dxa"/>
            <w:tcBorders>
              <w:top w:val="single" w:sz="12" w:space="0" w:color="000000" w:themeColor="text1"/>
              <w:left w:val="nil"/>
              <w:bottom w:val="nil"/>
              <w:right w:val="nil"/>
            </w:tcBorders>
            <w:shd w:val="clear" w:color="000000" w:fill="FFFFFF"/>
            <w:noWrap/>
            <w:vAlign w:val="bottom"/>
            <w:hideMark/>
          </w:tcPr>
          <w:p w14:paraId="06015AA1" w14:textId="77777777" w:rsidR="001B6918" w:rsidRPr="004E6649" w:rsidRDefault="001B6918" w:rsidP="00730ECF">
            <w:pPr>
              <w:jc w:val="right"/>
              <w:rPr>
                <w:rFonts w:eastAsia="Times New Roman" w:cstheme="minorHAnsi"/>
                <w:color w:val="0D0D0D"/>
                <w:sz w:val="20"/>
                <w:szCs w:val="20"/>
              </w:rPr>
            </w:pPr>
            <w:r w:rsidRPr="00971840">
              <w:rPr>
                <w:rFonts w:eastAsia="Times New Roman" w:cstheme="minorHAnsi"/>
                <w:sz w:val="20"/>
                <w:szCs w:val="20"/>
              </w:rPr>
              <w:t xml:space="preserve"> $             - </w:t>
            </w:r>
          </w:p>
        </w:tc>
        <w:tc>
          <w:tcPr>
            <w:tcW w:w="933" w:type="dxa"/>
            <w:tcBorders>
              <w:top w:val="single" w:sz="12" w:space="0" w:color="000000" w:themeColor="text1"/>
              <w:left w:val="nil"/>
              <w:bottom w:val="nil"/>
              <w:right w:val="nil"/>
            </w:tcBorders>
            <w:shd w:val="clear" w:color="000000" w:fill="FFFFFF"/>
            <w:noWrap/>
            <w:vAlign w:val="bottom"/>
            <w:hideMark/>
          </w:tcPr>
          <w:p w14:paraId="7CFE7B9F" w14:textId="77777777" w:rsidR="001B6918" w:rsidRPr="004E6649" w:rsidRDefault="001B6918" w:rsidP="00730ECF">
            <w:pPr>
              <w:jc w:val="right"/>
              <w:rPr>
                <w:rFonts w:eastAsia="Times New Roman" w:cstheme="minorHAnsi"/>
                <w:color w:val="0D0D0D"/>
                <w:sz w:val="20"/>
                <w:szCs w:val="20"/>
              </w:rPr>
            </w:pPr>
            <w:r w:rsidRPr="00971840">
              <w:rPr>
                <w:rFonts w:eastAsia="Times New Roman" w:cstheme="minorHAnsi"/>
                <w:sz w:val="20"/>
                <w:szCs w:val="20"/>
              </w:rPr>
              <w:t xml:space="preserve"> $    </w:t>
            </w:r>
            <w:r>
              <w:rPr>
                <w:rFonts w:eastAsia="Times New Roman" w:cstheme="minorHAnsi"/>
                <w:sz w:val="20"/>
                <w:szCs w:val="20"/>
              </w:rPr>
              <w:t xml:space="preserve"> </w:t>
            </w:r>
            <w:r w:rsidRPr="00971840">
              <w:rPr>
                <w:rFonts w:eastAsia="Times New Roman" w:cstheme="minorHAnsi"/>
                <w:sz w:val="20"/>
                <w:szCs w:val="20"/>
              </w:rPr>
              <w:t xml:space="preserve">     - </w:t>
            </w:r>
          </w:p>
        </w:tc>
        <w:tc>
          <w:tcPr>
            <w:tcW w:w="1330" w:type="dxa"/>
            <w:tcBorders>
              <w:top w:val="single" w:sz="12" w:space="0" w:color="000000" w:themeColor="text1"/>
              <w:left w:val="nil"/>
              <w:bottom w:val="nil"/>
              <w:right w:val="nil"/>
            </w:tcBorders>
            <w:shd w:val="clear" w:color="000000" w:fill="FFFFFF"/>
            <w:vAlign w:val="bottom"/>
          </w:tcPr>
          <w:p w14:paraId="49D97840" w14:textId="77777777" w:rsidR="001B6918" w:rsidRPr="004E6649" w:rsidRDefault="001B6918" w:rsidP="00730ECF">
            <w:pPr>
              <w:jc w:val="center"/>
              <w:rPr>
                <w:rFonts w:eastAsia="Times New Roman" w:cstheme="minorHAnsi"/>
                <w:color w:val="000000"/>
                <w:sz w:val="20"/>
                <w:szCs w:val="20"/>
              </w:rPr>
            </w:pPr>
            <w:r w:rsidRPr="00971840">
              <w:rPr>
                <w:rFonts w:eastAsia="Times New Roman" w:cstheme="minorHAnsi"/>
                <w:sz w:val="20"/>
                <w:szCs w:val="20"/>
              </w:rPr>
              <w:t xml:space="preserve">$   </w:t>
            </w:r>
            <w:r>
              <w:rPr>
                <w:rFonts w:eastAsia="Times New Roman" w:cstheme="minorHAnsi"/>
                <w:sz w:val="20"/>
                <w:szCs w:val="20"/>
              </w:rPr>
              <w:t xml:space="preserve">     </w:t>
            </w:r>
            <w:r w:rsidRPr="00971840">
              <w:rPr>
                <w:rFonts w:eastAsia="Times New Roman" w:cstheme="minorHAnsi"/>
                <w:sz w:val="20"/>
                <w:szCs w:val="20"/>
              </w:rPr>
              <w:t xml:space="preserve">      -</w:t>
            </w:r>
          </w:p>
        </w:tc>
        <w:tc>
          <w:tcPr>
            <w:tcW w:w="1243" w:type="dxa"/>
            <w:tcBorders>
              <w:top w:val="single" w:sz="12" w:space="0" w:color="000000" w:themeColor="text1"/>
              <w:left w:val="nil"/>
              <w:bottom w:val="nil"/>
              <w:right w:val="nil"/>
            </w:tcBorders>
            <w:shd w:val="clear" w:color="000000" w:fill="FFFFFF"/>
            <w:noWrap/>
            <w:vAlign w:val="bottom"/>
            <w:hideMark/>
          </w:tcPr>
          <w:p w14:paraId="36E701E6" w14:textId="77777777" w:rsidR="001B6918" w:rsidRPr="004E6649" w:rsidRDefault="001B6918" w:rsidP="00730ECF">
            <w:pPr>
              <w:jc w:val="center"/>
              <w:rPr>
                <w:rFonts w:eastAsia="Times New Roman" w:cstheme="minorHAnsi"/>
                <w:color w:val="000000"/>
                <w:sz w:val="20"/>
                <w:szCs w:val="20"/>
              </w:rPr>
            </w:pPr>
            <w:r w:rsidRPr="00971840">
              <w:rPr>
                <w:rFonts w:eastAsia="Times New Roman" w:cstheme="minorHAnsi"/>
                <w:sz w:val="20"/>
                <w:szCs w:val="20"/>
              </w:rPr>
              <w:t>$</w:t>
            </w:r>
            <w:r>
              <w:rPr>
                <w:rFonts w:eastAsia="Times New Roman" w:cstheme="minorHAnsi"/>
                <w:sz w:val="20"/>
                <w:szCs w:val="20"/>
              </w:rPr>
              <w:t xml:space="preserve">  6,039</w:t>
            </w:r>
            <w:r w:rsidRPr="00971840">
              <w:rPr>
                <w:rFonts w:eastAsia="Times New Roman" w:cstheme="minorHAnsi"/>
                <w:sz w:val="20"/>
                <w:szCs w:val="20"/>
              </w:rPr>
              <w:t xml:space="preserve"> </w:t>
            </w:r>
          </w:p>
        </w:tc>
      </w:tr>
      <w:tr w:rsidR="001B6918" w:rsidRPr="004E6649" w14:paraId="526D79AE" w14:textId="77777777" w:rsidTr="00F51774">
        <w:trPr>
          <w:trHeight w:val="315"/>
        </w:trPr>
        <w:tc>
          <w:tcPr>
            <w:tcW w:w="2218" w:type="dxa"/>
            <w:gridSpan w:val="2"/>
            <w:tcBorders>
              <w:top w:val="nil"/>
              <w:left w:val="nil"/>
              <w:bottom w:val="nil"/>
              <w:right w:val="nil"/>
            </w:tcBorders>
            <w:shd w:val="clear" w:color="000000" w:fill="FFFFFF"/>
            <w:noWrap/>
            <w:vAlign w:val="bottom"/>
            <w:hideMark/>
          </w:tcPr>
          <w:p w14:paraId="63B1F56D" w14:textId="77777777" w:rsidR="001B6918" w:rsidRPr="004E6649" w:rsidRDefault="001B6918" w:rsidP="00730ECF">
            <w:pPr>
              <w:rPr>
                <w:rFonts w:eastAsia="Times New Roman" w:cstheme="minorHAnsi"/>
                <w:color w:val="0D0D0D"/>
                <w:sz w:val="20"/>
                <w:szCs w:val="20"/>
              </w:rPr>
            </w:pPr>
            <w:r w:rsidRPr="004E6649">
              <w:rPr>
                <w:rFonts w:eastAsia="Times New Roman" w:cstheme="minorHAnsi"/>
                <w:color w:val="0D0D0D"/>
                <w:sz w:val="20"/>
                <w:szCs w:val="20"/>
              </w:rPr>
              <w:t>Deferred inflows of resources</w:t>
            </w:r>
          </w:p>
        </w:tc>
        <w:tc>
          <w:tcPr>
            <w:tcW w:w="1127" w:type="dxa"/>
            <w:tcBorders>
              <w:top w:val="nil"/>
              <w:left w:val="nil"/>
              <w:bottom w:val="nil"/>
              <w:right w:val="nil"/>
            </w:tcBorders>
            <w:shd w:val="clear" w:color="000000" w:fill="FFFFFF"/>
            <w:noWrap/>
            <w:vAlign w:val="bottom"/>
            <w:hideMark/>
          </w:tcPr>
          <w:p w14:paraId="3D214D96" w14:textId="77777777" w:rsidR="001B6918" w:rsidRPr="004E6649" w:rsidRDefault="001B6918" w:rsidP="00730ECF">
            <w:pPr>
              <w:jc w:val="right"/>
              <w:rPr>
                <w:rFonts w:eastAsia="Times New Roman" w:cstheme="minorHAnsi"/>
                <w:color w:val="000000"/>
                <w:sz w:val="20"/>
                <w:szCs w:val="20"/>
              </w:rPr>
            </w:pPr>
            <w:r w:rsidRPr="006D1F2A">
              <w:rPr>
                <w:rFonts w:eastAsia="Times New Roman" w:cstheme="minorHAnsi"/>
                <w:sz w:val="20"/>
                <w:szCs w:val="20"/>
              </w:rPr>
              <w:t xml:space="preserve"> $   </w:t>
            </w:r>
            <w:r>
              <w:rPr>
                <w:rFonts w:eastAsia="Times New Roman" w:cstheme="minorHAnsi"/>
                <w:sz w:val="20"/>
                <w:szCs w:val="20"/>
              </w:rPr>
              <w:t xml:space="preserve"> </w:t>
            </w:r>
            <w:r w:rsidRPr="006D1F2A">
              <w:rPr>
                <w:rFonts w:eastAsia="Times New Roman" w:cstheme="minorHAnsi"/>
                <w:sz w:val="20"/>
                <w:szCs w:val="20"/>
              </w:rPr>
              <w:t xml:space="preserve"> 749 </w:t>
            </w:r>
          </w:p>
        </w:tc>
        <w:tc>
          <w:tcPr>
            <w:tcW w:w="1330" w:type="dxa"/>
            <w:tcBorders>
              <w:top w:val="nil"/>
              <w:left w:val="nil"/>
              <w:bottom w:val="nil"/>
              <w:right w:val="nil"/>
            </w:tcBorders>
            <w:shd w:val="clear" w:color="000000" w:fill="FFFFFF"/>
            <w:noWrap/>
            <w:vAlign w:val="bottom"/>
            <w:hideMark/>
          </w:tcPr>
          <w:p w14:paraId="41AA380D" w14:textId="77777777" w:rsidR="001B6918" w:rsidRPr="004E6649" w:rsidRDefault="001B6918" w:rsidP="00730ECF">
            <w:pPr>
              <w:jc w:val="right"/>
              <w:rPr>
                <w:rFonts w:eastAsia="Times New Roman" w:cstheme="minorHAnsi"/>
                <w:color w:val="000000"/>
                <w:sz w:val="20"/>
                <w:szCs w:val="20"/>
              </w:rPr>
            </w:pPr>
            <w:r w:rsidRPr="00971840">
              <w:rPr>
                <w:rFonts w:eastAsia="Times New Roman" w:cstheme="minorHAnsi"/>
                <w:sz w:val="20"/>
                <w:szCs w:val="20"/>
              </w:rPr>
              <w:t xml:space="preserve">$ 36,010 </w:t>
            </w:r>
          </w:p>
        </w:tc>
        <w:tc>
          <w:tcPr>
            <w:tcW w:w="1066" w:type="dxa"/>
            <w:tcBorders>
              <w:top w:val="nil"/>
              <w:left w:val="nil"/>
              <w:bottom w:val="nil"/>
              <w:right w:val="nil"/>
            </w:tcBorders>
            <w:shd w:val="clear" w:color="000000" w:fill="FFFFFF"/>
            <w:noWrap/>
            <w:vAlign w:val="bottom"/>
            <w:hideMark/>
          </w:tcPr>
          <w:p w14:paraId="3A352C48" w14:textId="77777777" w:rsidR="001B6918" w:rsidRPr="004E6649" w:rsidRDefault="001B6918" w:rsidP="00730ECF">
            <w:pPr>
              <w:jc w:val="right"/>
              <w:rPr>
                <w:rFonts w:eastAsia="Times New Roman" w:cstheme="minorHAnsi"/>
                <w:color w:val="000000"/>
                <w:sz w:val="20"/>
                <w:szCs w:val="20"/>
              </w:rPr>
            </w:pPr>
            <w:r w:rsidRPr="00971840">
              <w:rPr>
                <w:rFonts w:eastAsia="Times New Roman" w:cstheme="minorHAnsi"/>
                <w:sz w:val="20"/>
                <w:szCs w:val="20"/>
              </w:rPr>
              <w:t xml:space="preserve"> $   </w:t>
            </w:r>
            <w:r>
              <w:rPr>
                <w:rFonts w:eastAsia="Times New Roman" w:cstheme="minorHAnsi"/>
                <w:sz w:val="20"/>
                <w:szCs w:val="20"/>
              </w:rPr>
              <w:t xml:space="preserve"> </w:t>
            </w:r>
            <w:r w:rsidRPr="00971840">
              <w:rPr>
                <w:rFonts w:eastAsia="Times New Roman" w:cstheme="minorHAnsi"/>
                <w:sz w:val="20"/>
                <w:szCs w:val="20"/>
              </w:rPr>
              <w:t xml:space="preserve">         - </w:t>
            </w:r>
          </w:p>
        </w:tc>
        <w:tc>
          <w:tcPr>
            <w:tcW w:w="1230" w:type="dxa"/>
            <w:tcBorders>
              <w:top w:val="nil"/>
              <w:left w:val="nil"/>
              <w:bottom w:val="nil"/>
              <w:right w:val="nil"/>
            </w:tcBorders>
            <w:shd w:val="clear" w:color="000000" w:fill="FFFFFF"/>
            <w:noWrap/>
            <w:vAlign w:val="bottom"/>
            <w:hideMark/>
          </w:tcPr>
          <w:p w14:paraId="24F08CAA" w14:textId="77777777" w:rsidR="001B6918" w:rsidRPr="004E6649" w:rsidRDefault="001B6918" w:rsidP="00730ECF">
            <w:pPr>
              <w:jc w:val="right"/>
              <w:rPr>
                <w:rFonts w:eastAsia="Times New Roman" w:cstheme="minorHAnsi"/>
                <w:color w:val="000000"/>
                <w:sz w:val="20"/>
                <w:szCs w:val="20"/>
              </w:rPr>
            </w:pPr>
            <w:r w:rsidRPr="00971840">
              <w:rPr>
                <w:rFonts w:eastAsia="Times New Roman" w:cstheme="minorHAnsi"/>
                <w:sz w:val="20"/>
                <w:szCs w:val="20"/>
              </w:rPr>
              <w:t xml:space="preserve"> $        298 </w:t>
            </w:r>
          </w:p>
        </w:tc>
        <w:tc>
          <w:tcPr>
            <w:tcW w:w="933" w:type="dxa"/>
            <w:tcBorders>
              <w:top w:val="nil"/>
              <w:left w:val="nil"/>
              <w:bottom w:val="nil"/>
              <w:right w:val="nil"/>
            </w:tcBorders>
            <w:shd w:val="clear" w:color="000000" w:fill="FFFFFF"/>
            <w:noWrap/>
            <w:vAlign w:val="bottom"/>
            <w:hideMark/>
          </w:tcPr>
          <w:p w14:paraId="3B512CAD" w14:textId="77777777" w:rsidR="001B6918" w:rsidRPr="004E6649" w:rsidRDefault="001B6918" w:rsidP="00730ECF">
            <w:pPr>
              <w:jc w:val="right"/>
              <w:rPr>
                <w:rFonts w:eastAsia="Times New Roman" w:cstheme="minorHAnsi"/>
                <w:color w:val="000000"/>
                <w:sz w:val="20"/>
                <w:szCs w:val="20"/>
              </w:rPr>
            </w:pPr>
            <w:r w:rsidRPr="00971840">
              <w:rPr>
                <w:rFonts w:eastAsia="Times New Roman" w:cstheme="minorHAnsi"/>
                <w:sz w:val="20"/>
                <w:szCs w:val="20"/>
              </w:rPr>
              <w:t xml:space="preserve"> $ 3,437 </w:t>
            </w:r>
          </w:p>
        </w:tc>
        <w:tc>
          <w:tcPr>
            <w:tcW w:w="1330" w:type="dxa"/>
            <w:tcBorders>
              <w:top w:val="nil"/>
              <w:left w:val="nil"/>
              <w:bottom w:val="nil"/>
              <w:right w:val="nil"/>
            </w:tcBorders>
            <w:shd w:val="clear" w:color="000000" w:fill="FFFFFF"/>
            <w:vAlign w:val="bottom"/>
          </w:tcPr>
          <w:p w14:paraId="342BB74C" w14:textId="77777777" w:rsidR="001B6918" w:rsidRPr="004E6649" w:rsidRDefault="001B6918" w:rsidP="00730ECF">
            <w:pPr>
              <w:jc w:val="center"/>
              <w:rPr>
                <w:rFonts w:eastAsia="Times New Roman" w:cstheme="minorHAnsi"/>
                <w:color w:val="000000"/>
                <w:sz w:val="20"/>
                <w:szCs w:val="20"/>
              </w:rPr>
            </w:pPr>
            <w:r w:rsidRPr="00971840">
              <w:rPr>
                <w:rFonts w:eastAsia="Times New Roman" w:cstheme="minorHAnsi"/>
                <w:sz w:val="20"/>
                <w:szCs w:val="20"/>
              </w:rPr>
              <w:t>$   28,164</w:t>
            </w:r>
          </w:p>
        </w:tc>
        <w:tc>
          <w:tcPr>
            <w:tcW w:w="1243" w:type="dxa"/>
            <w:tcBorders>
              <w:top w:val="nil"/>
              <w:left w:val="nil"/>
              <w:bottom w:val="nil"/>
              <w:right w:val="nil"/>
            </w:tcBorders>
            <w:shd w:val="clear" w:color="000000" w:fill="FFFFFF"/>
            <w:noWrap/>
            <w:vAlign w:val="bottom"/>
            <w:hideMark/>
          </w:tcPr>
          <w:p w14:paraId="0C23BF45" w14:textId="77777777" w:rsidR="001B6918" w:rsidRPr="004E6649" w:rsidRDefault="001B6918" w:rsidP="00730ECF">
            <w:pPr>
              <w:jc w:val="center"/>
              <w:rPr>
                <w:rFonts w:eastAsia="Times New Roman" w:cstheme="minorHAnsi"/>
                <w:color w:val="000000"/>
                <w:sz w:val="20"/>
                <w:szCs w:val="20"/>
              </w:rPr>
            </w:pPr>
            <w:r w:rsidRPr="00971840">
              <w:rPr>
                <w:rFonts w:eastAsia="Times New Roman" w:cstheme="minorHAnsi"/>
                <w:sz w:val="20"/>
                <w:szCs w:val="20"/>
              </w:rPr>
              <w:t xml:space="preserve">$68,658 </w:t>
            </w:r>
          </w:p>
        </w:tc>
      </w:tr>
    </w:tbl>
    <w:p w14:paraId="11E3304D" w14:textId="77777777" w:rsidR="001B6918" w:rsidRPr="004E6649" w:rsidRDefault="001B6918" w:rsidP="001B6918">
      <w:pPr>
        <w:tabs>
          <w:tab w:val="left" w:pos="900"/>
        </w:tabs>
        <w:spacing w:before="240" w:after="240"/>
        <w:ind w:right="-7"/>
        <w:rPr>
          <w:rFonts w:cstheme="minorHAnsi"/>
          <w:sz w:val="24"/>
        </w:rPr>
      </w:pPr>
      <w:r w:rsidRPr="004E6649">
        <w:rPr>
          <w:rFonts w:cstheme="minorHAnsi"/>
          <w:sz w:val="24"/>
        </w:rPr>
        <w:t>Deferred outflows of resources and deferred inflows of resources for pensions and OPEB were related to the following sources for the year ended June 30.</w:t>
      </w:r>
    </w:p>
    <w:p w14:paraId="53C0B82A" w14:textId="77777777" w:rsidR="001B6918" w:rsidRPr="004E6649" w:rsidRDefault="001B6918" w:rsidP="001B6918">
      <w:pPr>
        <w:tabs>
          <w:tab w:val="left" w:pos="900"/>
        </w:tabs>
        <w:spacing w:before="240"/>
        <w:ind w:right="-7"/>
        <w:jc w:val="center"/>
        <w:rPr>
          <w:rFonts w:eastAsiaTheme="majorEastAsia" w:cstheme="minorHAnsi"/>
          <w:iCs/>
          <w:smallCaps/>
          <w:noProof/>
          <w:sz w:val="24"/>
          <w:szCs w:val="26"/>
          <w:u w:color="5B9BD5"/>
        </w:rPr>
      </w:pPr>
      <w:r w:rsidRPr="004E6649">
        <w:rPr>
          <w:rFonts w:eastAsia="Times New Roman" w:cstheme="minorHAnsi"/>
          <w:b/>
          <w:bCs/>
        </w:rPr>
        <w:t>202</w:t>
      </w:r>
      <w:r>
        <w:rPr>
          <w:rFonts w:eastAsia="Times New Roman" w:cstheme="minorHAnsi"/>
          <w:b/>
          <w:bCs/>
        </w:rPr>
        <w:t>5</w:t>
      </w:r>
      <w:r w:rsidRPr="004E6649">
        <w:rPr>
          <w:rFonts w:eastAsia="Times New Roman" w:cstheme="minorHAnsi"/>
          <w:b/>
          <w:bCs/>
        </w:rPr>
        <w:fldChar w:fldCharType="begin"/>
      </w:r>
      <w:r w:rsidRPr="004E6649">
        <w:rPr>
          <w:rFonts w:eastAsia="Times New Roman" w:cstheme="minorHAnsi"/>
          <w:b/>
          <w:bCs/>
        </w:rPr>
        <w:fldChar w:fldCharType="end"/>
      </w:r>
    </w:p>
    <w:tbl>
      <w:tblPr>
        <w:tblW w:w="10170" w:type="dxa"/>
        <w:tblLayout w:type="fixed"/>
        <w:tblLook w:val="04A0" w:firstRow="1" w:lastRow="0" w:firstColumn="1" w:lastColumn="0" w:noHBand="0" w:noVBand="1"/>
      </w:tblPr>
      <w:tblGrid>
        <w:gridCol w:w="5490"/>
        <w:gridCol w:w="1350"/>
        <w:gridCol w:w="1080"/>
        <w:gridCol w:w="990"/>
        <w:gridCol w:w="1260"/>
      </w:tblGrid>
      <w:tr w:rsidR="001B6918" w:rsidRPr="004E6649" w14:paraId="67E7BE90" w14:textId="77777777" w:rsidTr="00730ECF">
        <w:trPr>
          <w:trHeight w:val="690"/>
          <w:tblHeader/>
        </w:trPr>
        <w:tc>
          <w:tcPr>
            <w:tcW w:w="5490" w:type="dxa"/>
            <w:tcBorders>
              <w:top w:val="single" w:sz="12" w:space="0" w:color="000000" w:themeColor="text1"/>
              <w:left w:val="nil"/>
              <w:bottom w:val="single" w:sz="8" w:space="0" w:color="000000" w:themeColor="text1"/>
              <w:right w:val="nil"/>
            </w:tcBorders>
            <w:shd w:val="clear" w:color="000000" w:fill="FFFFFF"/>
            <w:noWrap/>
            <w:vAlign w:val="bottom"/>
            <w:hideMark/>
          </w:tcPr>
          <w:p w14:paraId="2365F3F5" w14:textId="77777777" w:rsidR="001B6918" w:rsidRPr="004E6649" w:rsidRDefault="001B6918" w:rsidP="00730ECF">
            <w:pPr>
              <w:jc w:val="center"/>
              <w:rPr>
                <w:rFonts w:eastAsia="Times New Roman" w:cstheme="minorHAnsi"/>
                <w:b/>
                <w:bCs/>
                <w:color w:val="FF0000"/>
              </w:rPr>
            </w:pPr>
            <w:r w:rsidRPr="004E6649">
              <w:rPr>
                <w:rFonts w:eastAsia="Times New Roman" w:cstheme="minorHAnsi"/>
                <w:b/>
                <w:bCs/>
              </w:rPr>
              <w:t> </w:t>
            </w:r>
          </w:p>
        </w:tc>
        <w:tc>
          <w:tcPr>
            <w:tcW w:w="1350" w:type="dxa"/>
            <w:tcBorders>
              <w:top w:val="single" w:sz="12" w:space="0" w:color="000000" w:themeColor="text1"/>
              <w:left w:val="nil"/>
              <w:bottom w:val="single" w:sz="8" w:space="0" w:color="000000" w:themeColor="text1"/>
              <w:right w:val="nil"/>
            </w:tcBorders>
            <w:shd w:val="clear" w:color="000000" w:fill="FFFFFF"/>
            <w:vAlign w:val="bottom"/>
            <w:hideMark/>
          </w:tcPr>
          <w:p w14:paraId="194CC989" w14:textId="77777777" w:rsidR="001B6918" w:rsidRPr="004E6649" w:rsidRDefault="001B6918" w:rsidP="00730ECF">
            <w:pPr>
              <w:jc w:val="center"/>
              <w:rPr>
                <w:rFonts w:eastAsia="Times New Roman" w:cstheme="minorHAnsi"/>
                <w:bCs/>
              </w:rPr>
            </w:pPr>
            <w:r w:rsidRPr="004E6649">
              <w:rPr>
                <w:rFonts w:eastAsia="Times New Roman" w:cstheme="minorHAnsi"/>
                <w:bCs/>
              </w:rPr>
              <w:t xml:space="preserve">Incentive Retirement Plan </w:t>
            </w:r>
          </w:p>
        </w:tc>
        <w:tc>
          <w:tcPr>
            <w:tcW w:w="1080" w:type="dxa"/>
            <w:tcBorders>
              <w:top w:val="single" w:sz="12" w:space="0" w:color="000000" w:themeColor="text1"/>
              <w:left w:val="nil"/>
              <w:bottom w:val="single" w:sz="8" w:space="0" w:color="000000" w:themeColor="text1"/>
              <w:right w:val="nil"/>
            </w:tcBorders>
            <w:shd w:val="clear" w:color="000000" w:fill="FFFFFF"/>
            <w:vAlign w:val="bottom"/>
            <w:hideMark/>
          </w:tcPr>
          <w:p w14:paraId="31DC43D8" w14:textId="77777777" w:rsidR="001B6918" w:rsidRPr="004E6649" w:rsidRDefault="001B6918" w:rsidP="00730ECF">
            <w:pPr>
              <w:jc w:val="center"/>
              <w:rPr>
                <w:rFonts w:eastAsia="Times New Roman" w:cstheme="minorHAnsi"/>
                <w:bCs/>
              </w:rPr>
            </w:pPr>
            <w:r w:rsidRPr="004E6649">
              <w:rPr>
                <w:rFonts w:eastAsia="Times New Roman" w:cstheme="minorHAnsi"/>
                <w:bCs/>
              </w:rPr>
              <w:t>Defined Benefit Plan</w:t>
            </w:r>
          </w:p>
        </w:tc>
        <w:tc>
          <w:tcPr>
            <w:tcW w:w="990" w:type="dxa"/>
            <w:tcBorders>
              <w:top w:val="single" w:sz="12" w:space="0" w:color="000000" w:themeColor="text1"/>
              <w:left w:val="nil"/>
              <w:bottom w:val="single" w:sz="8" w:space="0" w:color="000000" w:themeColor="text1"/>
              <w:right w:val="nil"/>
            </w:tcBorders>
            <w:shd w:val="clear" w:color="000000" w:fill="FFFFFF"/>
            <w:vAlign w:val="bottom"/>
            <w:hideMark/>
          </w:tcPr>
          <w:p w14:paraId="6A237C59" w14:textId="77777777" w:rsidR="001B6918" w:rsidRPr="004E6649" w:rsidRDefault="001B6918" w:rsidP="00730ECF">
            <w:pPr>
              <w:jc w:val="center"/>
              <w:rPr>
                <w:rFonts w:eastAsia="Times New Roman" w:cstheme="minorHAnsi"/>
                <w:bCs/>
              </w:rPr>
            </w:pPr>
            <w:r w:rsidRPr="004E6649">
              <w:rPr>
                <w:rFonts w:eastAsia="Times New Roman" w:cstheme="minorHAnsi"/>
                <w:bCs/>
              </w:rPr>
              <w:t xml:space="preserve">Total Pension </w:t>
            </w:r>
          </w:p>
        </w:tc>
        <w:tc>
          <w:tcPr>
            <w:tcW w:w="1260" w:type="dxa"/>
            <w:tcBorders>
              <w:top w:val="single" w:sz="12" w:space="0" w:color="000000" w:themeColor="text1"/>
              <w:left w:val="nil"/>
              <w:bottom w:val="single" w:sz="8" w:space="0" w:color="000000" w:themeColor="text1"/>
              <w:right w:val="nil"/>
            </w:tcBorders>
            <w:shd w:val="clear" w:color="000000" w:fill="FFFFFF"/>
            <w:vAlign w:val="bottom"/>
            <w:hideMark/>
          </w:tcPr>
          <w:p w14:paraId="6E665C17" w14:textId="77777777" w:rsidR="001B6918" w:rsidRPr="004E6649" w:rsidRDefault="001B6918" w:rsidP="00730ECF">
            <w:pPr>
              <w:jc w:val="center"/>
              <w:rPr>
                <w:rFonts w:eastAsia="Times New Roman" w:cstheme="minorHAnsi"/>
                <w:bCs/>
              </w:rPr>
            </w:pPr>
            <w:r w:rsidRPr="004E6649">
              <w:rPr>
                <w:rFonts w:eastAsia="Times New Roman" w:cstheme="minorHAnsi"/>
                <w:bCs/>
              </w:rPr>
              <w:t xml:space="preserve">OPEB </w:t>
            </w:r>
          </w:p>
        </w:tc>
      </w:tr>
      <w:tr w:rsidR="001B6918" w:rsidRPr="004E6649" w14:paraId="026CEA8F" w14:textId="77777777" w:rsidTr="00730ECF">
        <w:trPr>
          <w:trHeight w:val="124"/>
        </w:trPr>
        <w:tc>
          <w:tcPr>
            <w:tcW w:w="5490" w:type="dxa"/>
            <w:tcBorders>
              <w:top w:val="single" w:sz="8" w:space="0" w:color="000000" w:themeColor="text1"/>
              <w:left w:val="nil"/>
              <w:bottom w:val="nil"/>
              <w:right w:val="nil"/>
            </w:tcBorders>
            <w:shd w:val="clear" w:color="000000" w:fill="FFFFFF"/>
            <w:noWrap/>
            <w:vAlign w:val="bottom"/>
            <w:hideMark/>
          </w:tcPr>
          <w:p w14:paraId="40867CD8" w14:textId="77777777" w:rsidR="001B6918" w:rsidRPr="00F96B39" w:rsidRDefault="001B6918" w:rsidP="00730ECF">
            <w:pPr>
              <w:rPr>
                <w:rFonts w:eastAsia="Times New Roman" w:cstheme="minorHAnsi"/>
                <w:color w:val="FF0000"/>
              </w:rPr>
            </w:pPr>
            <w:r w:rsidRPr="004E6649">
              <w:rPr>
                <w:rFonts w:eastAsia="Times New Roman" w:cstheme="minorHAnsi"/>
              </w:rPr>
              <w:t>Deferred outflows of resources</w:t>
            </w:r>
          </w:p>
        </w:tc>
        <w:tc>
          <w:tcPr>
            <w:tcW w:w="1350" w:type="dxa"/>
            <w:tcBorders>
              <w:top w:val="single" w:sz="8" w:space="0" w:color="000000" w:themeColor="text1"/>
              <w:left w:val="nil"/>
              <w:bottom w:val="nil"/>
              <w:right w:val="nil"/>
            </w:tcBorders>
            <w:shd w:val="clear" w:color="000000" w:fill="FFFFFF"/>
            <w:noWrap/>
            <w:vAlign w:val="bottom"/>
            <w:hideMark/>
          </w:tcPr>
          <w:p w14:paraId="02703ED8" w14:textId="77777777" w:rsidR="001B6918" w:rsidRPr="004E6649" w:rsidRDefault="001B6918" w:rsidP="00730ECF">
            <w:pPr>
              <w:jc w:val="right"/>
              <w:rPr>
                <w:rFonts w:eastAsia="Times New Roman" w:cstheme="minorHAnsi"/>
              </w:rPr>
            </w:pPr>
            <w:r w:rsidRPr="004E6649">
              <w:rPr>
                <w:rFonts w:eastAsia="Times New Roman" w:cstheme="minorHAnsi"/>
              </w:rPr>
              <w:t> </w:t>
            </w:r>
          </w:p>
        </w:tc>
        <w:tc>
          <w:tcPr>
            <w:tcW w:w="1080" w:type="dxa"/>
            <w:tcBorders>
              <w:top w:val="single" w:sz="8" w:space="0" w:color="000000" w:themeColor="text1"/>
              <w:left w:val="nil"/>
              <w:bottom w:val="nil"/>
              <w:right w:val="nil"/>
            </w:tcBorders>
            <w:shd w:val="clear" w:color="000000" w:fill="FFFFFF"/>
            <w:noWrap/>
            <w:vAlign w:val="bottom"/>
            <w:hideMark/>
          </w:tcPr>
          <w:p w14:paraId="272785D0" w14:textId="77777777" w:rsidR="001B6918" w:rsidRPr="004E6649" w:rsidRDefault="001B6918" w:rsidP="00730ECF">
            <w:pPr>
              <w:jc w:val="right"/>
              <w:rPr>
                <w:rFonts w:eastAsia="Times New Roman" w:cstheme="minorHAnsi"/>
              </w:rPr>
            </w:pPr>
            <w:r w:rsidRPr="004E6649">
              <w:rPr>
                <w:rFonts w:eastAsia="Times New Roman" w:cstheme="minorHAnsi"/>
              </w:rPr>
              <w:t> </w:t>
            </w:r>
          </w:p>
        </w:tc>
        <w:tc>
          <w:tcPr>
            <w:tcW w:w="990" w:type="dxa"/>
            <w:tcBorders>
              <w:top w:val="single" w:sz="8" w:space="0" w:color="000000" w:themeColor="text1"/>
              <w:left w:val="nil"/>
              <w:bottom w:val="nil"/>
              <w:right w:val="nil"/>
            </w:tcBorders>
            <w:shd w:val="clear" w:color="000000" w:fill="FFFFFF"/>
            <w:noWrap/>
            <w:vAlign w:val="bottom"/>
            <w:hideMark/>
          </w:tcPr>
          <w:p w14:paraId="32454FE3" w14:textId="77777777" w:rsidR="001B6918" w:rsidRPr="004E6649" w:rsidRDefault="001B6918" w:rsidP="00730ECF">
            <w:pPr>
              <w:jc w:val="right"/>
              <w:rPr>
                <w:rFonts w:eastAsia="Times New Roman" w:cstheme="minorHAnsi"/>
              </w:rPr>
            </w:pPr>
            <w:r w:rsidRPr="004E6649">
              <w:rPr>
                <w:rFonts w:eastAsia="Times New Roman" w:cstheme="minorHAnsi"/>
              </w:rPr>
              <w:t> </w:t>
            </w:r>
          </w:p>
        </w:tc>
        <w:tc>
          <w:tcPr>
            <w:tcW w:w="1260" w:type="dxa"/>
            <w:tcBorders>
              <w:top w:val="single" w:sz="8" w:space="0" w:color="000000" w:themeColor="text1"/>
              <w:left w:val="nil"/>
              <w:bottom w:val="nil"/>
              <w:right w:val="nil"/>
            </w:tcBorders>
            <w:shd w:val="clear" w:color="000000" w:fill="FFFFFF"/>
            <w:noWrap/>
            <w:vAlign w:val="bottom"/>
            <w:hideMark/>
          </w:tcPr>
          <w:p w14:paraId="28168159" w14:textId="77777777" w:rsidR="001B6918" w:rsidRPr="004E6649" w:rsidRDefault="001B6918" w:rsidP="00730ECF">
            <w:pPr>
              <w:jc w:val="right"/>
              <w:rPr>
                <w:rFonts w:eastAsia="Times New Roman" w:cstheme="minorHAnsi"/>
              </w:rPr>
            </w:pPr>
            <w:r w:rsidRPr="004E6649">
              <w:rPr>
                <w:rFonts w:eastAsia="Times New Roman" w:cstheme="minorHAnsi"/>
              </w:rPr>
              <w:t> </w:t>
            </w:r>
          </w:p>
        </w:tc>
      </w:tr>
      <w:tr w:rsidR="001B6918" w:rsidRPr="004E6649" w14:paraId="2E60E253" w14:textId="77777777" w:rsidTr="00730ECF">
        <w:trPr>
          <w:trHeight w:val="216"/>
        </w:trPr>
        <w:tc>
          <w:tcPr>
            <w:tcW w:w="5490" w:type="dxa"/>
            <w:tcBorders>
              <w:top w:val="nil"/>
              <w:left w:val="nil"/>
              <w:bottom w:val="nil"/>
              <w:right w:val="nil"/>
            </w:tcBorders>
            <w:shd w:val="clear" w:color="000000" w:fill="FFFFFF"/>
            <w:noWrap/>
            <w:vAlign w:val="bottom"/>
            <w:hideMark/>
          </w:tcPr>
          <w:p w14:paraId="276F1E68" w14:textId="77777777" w:rsidR="001B6918" w:rsidRPr="004E6649" w:rsidRDefault="001B6918" w:rsidP="00730ECF">
            <w:pPr>
              <w:ind w:leftChars="106" w:left="251" w:hangingChars="8" w:hanging="18"/>
              <w:rPr>
                <w:rFonts w:eastAsia="Times New Roman" w:cstheme="minorHAnsi"/>
              </w:rPr>
            </w:pPr>
            <w:r w:rsidRPr="004E6649">
              <w:rPr>
                <w:rFonts w:eastAsia="Times New Roman" w:cstheme="minorHAnsi"/>
              </w:rPr>
              <w:t>Changes of assumption or other inputs</w:t>
            </w:r>
          </w:p>
        </w:tc>
        <w:tc>
          <w:tcPr>
            <w:tcW w:w="1350" w:type="dxa"/>
            <w:tcBorders>
              <w:top w:val="nil"/>
              <w:left w:val="nil"/>
              <w:bottom w:val="nil"/>
              <w:right w:val="nil"/>
            </w:tcBorders>
            <w:shd w:val="clear" w:color="000000" w:fill="FFFFFF"/>
            <w:noWrap/>
            <w:vAlign w:val="bottom"/>
            <w:hideMark/>
          </w:tcPr>
          <w:p w14:paraId="6CEE46EF" w14:textId="77777777" w:rsidR="001B6918" w:rsidRPr="00F96B39" w:rsidRDefault="001B6918" w:rsidP="00730ECF">
            <w:pPr>
              <w:jc w:val="right"/>
              <w:rPr>
                <w:rFonts w:eastAsia="Times New Roman" w:cstheme="minorHAnsi"/>
                <w:color w:val="FF0000"/>
              </w:rPr>
            </w:pPr>
            <w:r>
              <w:rPr>
                <w:rFonts w:ascii="Calibri" w:hAnsi="Calibri" w:cs="Calibri"/>
              </w:rPr>
              <w:t xml:space="preserve"> $            179 </w:t>
            </w:r>
          </w:p>
        </w:tc>
        <w:tc>
          <w:tcPr>
            <w:tcW w:w="1080" w:type="dxa"/>
            <w:tcBorders>
              <w:top w:val="nil"/>
              <w:left w:val="nil"/>
              <w:bottom w:val="nil"/>
              <w:right w:val="nil"/>
            </w:tcBorders>
            <w:shd w:val="clear" w:color="000000" w:fill="FFFFFF"/>
            <w:noWrap/>
            <w:vAlign w:val="bottom"/>
            <w:hideMark/>
          </w:tcPr>
          <w:p w14:paraId="0C2436CA" w14:textId="77777777" w:rsidR="001B6918" w:rsidRPr="00F96B39" w:rsidRDefault="001B6918" w:rsidP="00730ECF">
            <w:pPr>
              <w:tabs>
                <w:tab w:val="left" w:pos="132"/>
              </w:tabs>
              <w:jc w:val="right"/>
              <w:rPr>
                <w:rFonts w:eastAsia="Times New Roman" w:cstheme="minorHAnsi"/>
                <w:color w:val="FF0000"/>
              </w:rPr>
            </w:pPr>
            <w:r>
              <w:rPr>
                <w:rFonts w:ascii="Calibri" w:hAnsi="Calibri" w:cs="Calibri"/>
              </w:rPr>
              <w:t xml:space="preserve"> $          - </w:t>
            </w:r>
          </w:p>
        </w:tc>
        <w:tc>
          <w:tcPr>
            <w:tcW w:w="990" w:type="dxa"/>
            <w:tcBorders>
              <w:top w:val="nil"/>
              <w:left w:val="nil"/>
              <w:bottom w:val="nil"/>
              <w:right w:val="nil"/>
            </w:tcBorders>
            <w:shd w:val="clear" w:color="000000" w:fill="FFFFFF"/>
            <w:noWrap/>
            <w:vAlign w:val="bottom"/>
            <w:hideMark/>
          </w:tcPr>
          <w:p w14:paraId="64568F84" w14:textId="77777777" w:rsidR="001B6918" w:rsidRPr="00F96B39" w:rsidRDefault="001B6918" w:rsidP="00730ECF">
            <w:pPr>
              <w:jc w:val="right"/>
              <w:rPr>
                <w:rFonts w:eastAsia="Times New Roman" w:cstheme="minorHAnsi"/>
                <w:color w:val="FF0000"/>
              </w:rPr>
            </w:pPr>
            <w:r>
              <w:rPr>
                <w:rFonts w:ascii="Calibri" w:hAnsi="Calibri" w:cs="Calibri"/>
              </w:rPr>
              <w:t xml:space="preserve"> $     179 </w:t>
            </w:r>
          </w:p>
        </w:tc>
        <w:tc>
          <w:tcPr>
            <w:tcW w:w="1260" w:type="dxa"/>
            <w:tcBorders>
              <w:top w:val="nil"/>
              <w:left w:val="nil"/>
              <w:bottom w:val="nil"/>
              <w:right w:val="nil"/>
            </w:tcBorders>
            <w:shd w:val="clear" w:color="000000" w:fill="FFFFFF"/>
            <w:noWrap/>
            <w:vAlign w:val="bottom"/>
            <w:hideMark/>
          </w:tcPr>
          <w:p w14:paraId="67CC9444" w14:textId="77777777" w:rsidR="001B6918" w:rsidRPr="00FD416B" w:rsidRDefault="001B6918" w:rsidP="00730ECF">
            <w:pPr>
              <w:jc w:val="right"/>
              <w:rPr>
                <w:rFonts w:eastAsia="Times New Roman" w:cstheme="minorHAnsi"/>
              </w:rPr>
            </w:pPr>
            <w:r w:rsidRPr="00FD416B">
              <w:rPr>
                <w:rFonts w:cstheme="minorHAnsi"/>
              </w:rPr>
              <w:t>$     17,853</w:t>
            </w:r>
          </w:p>
        </w:tc>
      </w:tr>
      <w:tr w:rsidR="001B6918" w:rsidRPr="004E6649" w14:paraId="5AB54C98" w14:textId="77777777" w:rsidTr="000A53D7">
        <w:trPr>
          <w:trHeight w:val="66"/>
        </w:trPr>
        <w:tc>
          <w:tcPr>
            <w:tcW w:w="5490" w:type="dxa"/>
            <w:tcBorders>
              <w:top w:val="nil"/>
              <w:left w:val="nil"/>
              <w:right w:val="nil"/>
            </w:tcBorders>
            <w:shd w:val="clear" w:color="000000" w:fill="FFFFFF"/>
            <w:vAlign w:val="bottom"/>
            <w:hideMark/>
          </w:tcPr>
          <w:p w14:paraId="55D75A06" w14:textId="77777777" w:rsidR="001B6918" w:rsidRPr="004E6649" w:rsidRDefault="001B6918" w:rsidP="00730ECF">
            <w:pPr>
              <w:ind w:leftChars="106" w:left="251" w:hangingChars="8" w:hanging="18"/>
              <w:rPr>
                <w:rFonts w:eastAsia="Times New Roman" w:cstheme="minorHAnsi"/>
              </w:rPr>
            </w:pPr>
            <w:r w:rsidRPr="004E6649">
              <w:rPr>
                <w:rFonts w:eastAsia="Times New Roman" w:cstheme="minorHAnsi"/>
              </w:rPr>
              <w:t>Difference between expected and actual experience</w:t>
            </w:r>
          </w:p>
        </w:tc>
        <w:tc>
          <w:tcPr>
            <w:tcW w:w="1350" w:type="dxa"/>
            <w:tcBorders>
              <w:top w:val="nil"/>
              <w:left w:val="nil"/>
              <w:right w:val="nil"/>
            </w:tcBorders>
            <w:shd w:val="clear" w:color="000000" w:fill="FFFFFF"/>
            <w:noWrap/>
            <w:vAlign w:val="bottom"/>
            <w:hideMark/>
          </w:tcPr>
          <w:p w14:paraId="41A58A25" w14:textId="77777777" w:rsidR="001B6918" w:rsidRPr="00F96B39" w:rsidRDefault="001B6918" w:rsidP="00730ECF">
            <w:pPr>
              <w:jc w:val="right"/>
              <w:rPr>
                <w:rFonts w:eastAsia="Times New Roman" w:cstheme="minorHAnsi"/>
                <w:color w:val="FF0000"/>
              </w:rPr>
            </w:pPr>
            <w:r>
              <w:rPr>
                <w:rFonts w:ascii="Calibri" w:hAnsi="Calibri" w:cs="Calibri"/>
              </w:rPr>
              <w:t xml:space="preserve">            1,487 </w:t>
            </w:r>
          </w:p>
        </w:tc>
        <w:tc>
          <w:tcPr>
            <w:tcW w:w="1080" w:type="dxa"/>
            <w:tcBorders>
              <w:top w:val="nil"/>
              <w:left w:val="nil"/>
              <w:right w:val="nil"/>
            </w:tcBorders>
            <w:shd w:val="clear" w:color="000000" w:fill="FFFFFF"/>
            <w:noWrap/>
            <w:vAlign w:val="bottom"/>
            <w:hideMark/>
          </w:tcPr>
          <w:p w14:paraId="06B191D9" w14:textId="77777777" w:rsidR="001B6918" w:rsidRPr="00F96B39" w:rsidRDefault="001B6918" w:rsidP="00730ECF">
            <w:pPr>
              <w:jc w:val="right"/>
              <w:rPr>
                <w:rFonts w:eastAsia="Times New Roman" w:cstheme="minorHAnsi"/>
                <w:color w:val="FF0000"/>
              </w:rPr>
            </w:pPr>
            <w:r>
              <w:rPr>
                <w:rFonts w:ascii="Calibri" w:hAnsi="Calibri" w:cs="Calibri"/>
              </w:rPr>
              <w:t xml:space="preserve">              - </w:t>
            </w:r>
          </w:p>
        </w:tc>
        <w:tc>
          <w:tcPr>
            <w:tcW w:w="990" w:type="dxa"/>
            <w:tcBorders>
              <w:top w:val="nil"/>
              <w:left w:val="nil"/>
              <w:right w:val="nil"/>
            </w:tcBorders>
            <w:shd w:val="clear" w:color="000000" w:fill="FFFFFF"/>
            <w:noWrap/>
            <w:vAlign w:val="bottom"/>
            <w:hideMark/>
          </w:tcPr>
          <w:p w14:paraId="6534F497" w14:textId="77777777" w:rsidR="001B6918" w:rsidRPr="00F96B39" w:rsidRDefault="001B6918" w:rsidP="00730ECF">
            <w:pPr>
              <w:jc w:val="right"/>
              <w:rPr>
                <w:rFonts w:eastAsia="Times New Roman" w:cstheme="minorHAnsi"/>
                <w:color w:val="FF0000"/>
              </w:rPr>
            </w:pPr>
            <w:r>
              <w:rPr>
                <w:rFonts w:ascii="Calibri" w:hAnsi="Calibri" w:cs="Calibri"/>
              </w:rPr>
              <w:t xml:space="preserve">     1,487 </w:t>
            </w:r>
          </w:p>
        </w:tc>
        <w:tc>
          <w:tcPr>
            <w:tcW w:w="1260" w:type="dxa"/>
            <w:tcBorders>
              <w:top w:val="nil"/>
              <w:left w:val="nil"/>
              <w:right w:val="nil"/>
            </w:tcBorders>
            <w:shd w:val="clear" w:color="000000" w:fill="FFFFFF"/>
            <w:noWrap/>
            <w:vAlign w:val="bottom"/>
            <w:hideMark/>
          </w:tcPr>
          <w:p w14:paraId="3B983EFD" w14:textId="77777777" w:rsidR="001B6918" w:rsidRPr="00FD416B" w:rsidRDefault="001B6918" w:rsidP="00730ECF">
            <w:pPr>
              <w:jc w:val="right"/>
              <w:rPr>
                <w:rFonts w:eastAsia="Times New Roman" w:cstheme="minorHAnsi"/>
              </w:rPr>
            </w:pPr>
            <w:r w:rsidRPr="00FD416B">
              <w:rPr>
                <w:rFonts w:cstheme="minorHAnsi"/>
              </w:rPr>
              <w:t>-</w:t>
            </w:r>
          </w:p>
        </w:tc>
      </w:tr>
      <w:tr w:rsidR="001B6918" w:rsidRPr="004E6649" w14:paraId="6C941211" w14:textId="77777777" w:rsidTr="000A53D7">
        <w:trPr>
          <w:trHeight w:val="405"/>
        </w:trPr>
        <w:tc>
          <w:tcPr>
            <w:tcW w:w="5490" w:type="dxa"/>
            <w:tcBorders>
              <w:top w:val="nil"/>
              <w:left w:val="nil"/>
              <w:bottom w:val="single" w:sz="8" w:space="0" w:color="auto"/>
              <w:right w:val="nil"/>
            </w:tcBorders>
            <w:shd w:val="clear" w:color="000000" w:fill="FFFFFF"/>
            <w:vAlign w:val="bottom"/>
            <w:hideMark/>
          </w:tcPr>
          <w:p w14:paraId="78485781" w14:textId="77777777" w:rsidR="001B6918" w:rsidRPr="004E6649" w:rsidRDefault="001B6918" w:rsidP="00730ECF">
            <w:pPr>
              <w:ind w:leftChars="106" w:left="251" w:hangingChars="8" w:hanging="18"/>
              <w:rPr>
                <w:rFonts w:eastAsia="Times New Roman" w:cstheme="minorHAnsi"/>
              </w:rPr>
            </w:pPr>
            <w:r w:rsidRPr="004E6649">
              <w:rPr>
                <w:rFonts w:eastAsia="Times New Roman" w:cstheme="minorHAnsi"/>
              </w:rPr>
              <w:t>Net difference between projected and actual earnings on plan investments</w:t>
            </w:r>
          </w:p>
        </w:tc>
        <w:tc>
          <w:tcPr>
            <w:tcW w:w="1350" w:type="dxa"/>
            <w:tcBorders>
              <w:top w:val="nil"/>
              <w:left w:val="nil"/>
              <w:bottom w:val="single" w:sz="8" w:space="0" w:color="auto"/>
              <w:right w:val="nil"/>
            </w:tcBorders>
            <w:shd w:val="clear" w:color="000000" w:fill="FFFFFF"/>
            <w:noWrap/>
            <w:vAlign w:val="bottom"/>
            <w:hideMark/>
          </w:tcPr>
          <w:p w14:paraId="0A51EC79" w14:textId="77777777" w:rsidR="001B6918" w:rsidRPr="00F96B39" w:rsidRDefault="001B6918" w:rsidP="00730ECF">
            <w:pPr>
              <w:jc w:val="right"/>
              <w:rPr>
                <w:rFonts w:eastAsia="Times New Roman" w:cstheme="minorHAnsi"/>
                <w:color w:val="FF0000"/>
              </w:rPr>
            </w:pPr>
            <w:r>
              <w:rPr>
                <w:rFonts w:ascii="Calibri" w:hAnsi="Calibri" w:cs="Calibri"/>
              </w:rPr>
              <w:t xml:space="preserve">                     - </w:t>
            </w:r>
          </w:p>
        </w:tc>
        <w:tc>
          <w:tcPr>
            <w:tcW w:w="1080" w:type="dxa"/>
            <w:tcBorders>
              <w:top w:val="nil"/>
              <w:left w:val="nil"/>
              <w:bottom w:val="single" w:sz="8" w:space="0" w:color="auto"/>
              <w:right w:val="nil"/>
            </w:tcBorders>
            <w:shd w:val="clear" w:color="000000" w:fill="FFFFFF"/>
            <w:noWrap/>
            <w:vAlign w:val="bottom"/>
            <w:hideMark/>
          </w:tcPr>
          <w:p w14:paraId="03E99422" w14:textId="77777777" w:rsidR="001B6918" w:rsidRPr="00F96B39" w:rsidRDefault="001B6918" w:rsidP="00730ECF">
            <w:pPr>
              <w:jc w:val="right"/>
              <w:rPr>
                <w:rFonts w:eastAsia="Times New Roman" w:cstheme="minorHAnsi"/>
                <w:color w:val="FF0000"/>
              </w:rPr>
            </w:pPr>
            <w:r>
              <w:rPr>
                <w:rFonts w:ascii="Calibri" w:hAnsi="Calibri" w:cs="Calibri"/>
              </w:rPr>
              <w:t xml:space="preserve">        745 </w:t>
            </w:r>
          </w:p>
        </w:tc>
        <w:tc>
          <w:tcPr>
            <w:tcW w:w="990" w:type="dxa"/>
            <w:tcBorders>
              <w:top w:val="nil"/>
              <w:left w:val="nil"/>
              <w:bottom w:val="single" w:sz="8" w:space="0" w:color="auto"/>
              <w:right w:val="nil"/>
            </w:tcBorders>
            <w:shd w:val="clear" w:color="000000" w:fill="FFFFFF"/>
            <w:noWrap/>
            <w:vAlign w:val="bottom"/>
            <w:hideMark/>
          </w:tcPr>
          <w:p w14:paraId="32E49C57" w14:textId="77777777" w:rsidR="001B6918" w:rsidRPr="00F96B39" w:rsidRDefault="001B6918" w:rsidP="00730ECF">
            <w:pPr>
              <w:tabs>
                <w:tab w:val="left" w:pos="296"/>
              </w:tabs>
              <w:jc w:val="right"/>
              <w:rPr>
                <w:rFonts w:eastAsia="Times New Roman" w:cstheme="minorHAnsi"/>
                <w:color w:val="FF0000"/>
              </w:rPr>
            </w:pPr>
            <w:r>
              <w:rPr>
                <w:rFonts w:ascii="Calibri" w:hAnsi="Calibri" w:cs="Calibri"/>
              </w:rPr>
              <w:t xml:space="preserve">    745 </w:t>
            </w:r>
          </w:p>
        </w:tc>
        <w:tc>
          <w:tcPr>
            <w:tcW w:w="1260" w:type="dxa"/>
            <w:tcBorders>
              <w:top w:val="nil"/>
              <w:left w:val="nil"/>
              <w:bottom w:val="single" w:sz="8" w:space="0" w:color="auto"/>
              <w:right w:val="nil"/>
            </w:tcBorders>
            <w:shd w:val="clear" w:color="000000" w:fill="FFFFFF"/>
            <w:noWrap/>
            <w:vAlign w:val="bottom"/>
            <w:hideMark/>
          </w:tcPr>
          <w:p w14:paraId="074E9418" w14:textId="77777777" w:rsidR="001B6918" w:rsidRPr="00FD416B" w:rsidRDefault="001B6918" w:rsidP="00730ECF">
            <w:pPr>
              <w:jc w:val="right"/>
              <w:rPr>
                <w:rFonts w:eastAsia="Times New Roman" w:cstheme="minorHAnsi"/>
              </w:rPr>
            </w:pPr>
            <w:r w:rsidRPr="00FD416B">
              <w:rPr>
                <w:rFonts w:cstheme="minorHAnsi"/>
              </w:rPr>
              <w:t>-</w:t>
            </w:r>
          </w:p>
        </w:tc>
      </w:tr>
      <w:tr w:rsidR="001B6918" w:rsidRPr="004E6649" w14:paraId="6112D85B" w14:textId="77777777" w:rsidTr="000A53D7">
        <w:trPr>
          <w:trHeight w:val="205"/>
        </w:trPr>
        <w:tc>
          <w:tcPr>
            <w:tcW w:w="5490" w:type="dxa"/>
            <w:tcBorders>
              <w:top w:val="single" w:sz="8" w:space="0" w:color="auto"/>
              <w:left w:val="nil"/>
              <w:bottom w:val="single" w:sz="8" w:space="0" w:color="auto"/>
              <w:right w:val="nil"/>
            </w:tcBorders>
            <w:noWrap/>
            <w:vAlign w:val="bottom"/>
            <w:hideMark/>
          </w:tcPr>
          <w:p w14:paraId="0785FC9B" w14:textId="77777777" w:rsidR="001B6918" w:rsidRPr="004E6649" w:rsidRDefault="001B6918" w:rsidP="00730ECF">
            <w:pPr>
              <w:ind w:firstLineChars="200" w:firstLine="440"/>
              <w:rPr>
                <w:rFonts w:eastAsia="Times New Roman" w:cstheme="minorHAnsi"/>
              </w:rPr>
            </w:pPr>
            <w:r w:rsidRPr="004E6649">
              <w:rPr>
                <w:rFonts w:eastAsia="Times New Roman" w:cstheme="minorHAnsi"/>
              </w:rPr>
              <w:t>Total deferred outflows of resources</w:t>
            </w:r>
          </w:p>
        </w:tc>
        <w:tc>
          <w:tcPr>
            <w:tcW w:w="1350" w:type="dxa"/>
            <w:tcBorders>
              <w:top w:val="single" w:sz="8" w:space="0" w:color="auto"/>
              <w:left w:val="nil"/>
              <w:bottom w:val="single" w:sz="8" w:space="0" w:color="auto"/>
              <w:right w:val="nil"/>
            </w:tcBorders>
            <w:noWrap/>
            <w:vAlign w:val="bottom"/>
            <w:hideMark/>
          </w:tcPr>
          <w:p w14:paraId="3A388579" w14:textId="77777777" w:rsidR="001B6918" w:rsidRPr="00F96B39" w:rsidRDefault="001B6918" w:rsidP="00730ECF">
            <w:pPr>
              <w:jc w:val="right"/>
              <w:rPr>
                <w:rFonts w:eastAsia="Times New Roman" w:cstheme="minorHAnsi"/>
                <w:color w:val="FF0000"/>
              </w:rPr>
            </w:pPr>
            <w:r>
              <w:rPr>
                <w:rFonts w:ascii="Calibri" w:hAnsi="Calibri" w:cs="Calibri"/>
              </w:rPr>
              <w:t xml:space="preserve">            1,666 </w:t>
            </w:r>
          </w:p>
        </w:tc>
        <w:tc>
          <w:tcPr>
            <w:tcW w:w="1080" w:type="dxa"/>
            <w:tcBorders>
              <w:top w:val="single" w:sz="8" w:space="0" w:color="auto"/>
              <w:left w:val="nil"/>
              <w:bottom w:val="single" w:sz="8" w:space="0" w:color="auto"/>
              <w:right w:val="nil"/>
            </w:tcBorders>
            <w:noWrap/>
            <w:vAlign w:val="bottom"/>
            <w:hideMark/>
          </w:tcPr>
          <w:p w14:paraId="25655185" w14:textId="77777777" w:rsidR="001B6918" w:rsidRPr="00F96B39" w:rsidRDefault="001B6918" w:rsidP="00730ECF">
            <w:pPr>
              <w:jc w:val="right"/>
              <w:rPr>
                <w:rFonts w:eastAsia="Times New Roman" w:cstheme="minorHAnsi"/>
                <w:color w:val="FF0000"/>
              </w:rPr>
            </w:pPr>
            <w:r>
              <w:rPr>
                <w:rFonts w:ascii="Calibri" w:hAnsi="Calibri" w:cs="Calibri"/>
              </w:rPr>
              <w:t xml:space="preserve">        745 </w:t>
            </w:r>
          </w:p>
        </w:tc>
        <w:tc>
          <w:tcPr>
            <w:tcW w:w="990" w:type="dxa"/>
            <w:tcBorders>
              <w:top w:val="single" w:sz="8" w:space="0" w:color="auto"/>
              <w:left w:val="nil"/>
              <w:bottom w:val="single" w:sz="8" w:space="0" w:color="auto"/>
              <w:right w:val="nil"/>
            </w:tcBorders>
            <w:noWrap/>
            <w:vAlign w:val="bottom"/>
            <w:hideMark/>
          </w:tcPr>
          <w:p w14:paraId="3AF517A2" w14:textId="77777777" w:rsidR="001B6918" w:rsidRPr="00F96B39" w:rsidRDefault="001B6918" w:rsidP="00730ECF">
            <w:pPr>
              <w:jc w:val="right"/>
              <w:rPr>
                <w:rFonts w:eastAsia="Times New Roman" w:cstheme="minorHAnsi"/>
                <w:color w:val="FF0000"/>
              </w:rPr>
            </w:pPr>
            <w:r>
              <w:rPr>
                <w:rFonts w:ascii="Calibri" w:hAnsi="Calibri" w:cs="Calibri"/>
              </w:rPr>
              <w:t xml:space="preserve">     2,411 </w:t>
            </w:r>
          </w:p>
        </w:tc>
        <w:tc>
          <w:tcPr>
            <w:tcW w:w="1260" w:type="dxa"/>
            <w:tcBorders>
              <w:top w:val="single" w:sz="8" w:space="0" w:color="auto"/>
              <w:left w:val="nil"/>
              <w:bottom w:val="single" w:sz="8" w:space="0" w:color="auto"/>
              <w:right w:val="nil"/>
            </w:tcBorders>
            <w:noWrap/>
            <w:vAlign w:val="bottom"/>
            <w:hideMark/>
          </w:tcPr>
          <w:p w14:paraId="67988428" w14:textId="77777777" w:rsidR="001B6918" w:rsidRPr="00FD416B" w:rsidRDefault="001B6918" w:rsidP="00730ECF">
            <w:pPr>
              <w:jc w:val="right"/>
              <w:rPr>
                <w:rFonts w:eastAsia="Times New Roman" w:cstheme="minorHAnsi"/>
              </w:rPr>
            </w:pPr>
            <w:r w:rsidRPr="00FD416B">
              <w:rPr>
                <w:rFonts w:cstheme="minorHAnsi"/>
              </w:rPr>
              <w:t>17,853</w:t>
            </w:r>
          </w:p>
        </w:tc>
      </w:tr>
      <w:tr w:rsidR="001B6918" w:rsidRPr="004E6649" w14:paraId="3B09463D" w14:textId="77777777" w:rsidTr="000A53D7">
        <w:trPr>
          <w:trHeight w:val="97"/>
        </w:trPr>
        <w:tc>
          <w:tcPr>
            <w:tcW w:w="5490" w:type="dxa"/>
            <w:tcBorders>
              <w:top w:val="single" w:sz="8" w:space="0" w:color="auto"/>
              <w:left w:val="nil"/>
              <w:bottom w:val="nil"/>
              <w:right w:val="nil"/>
            </w:tcBorders>
            <w:shd w:val="clear" w:color="000000" w:fill="FFFFFF"/>
            <w:noWrap/>
            <w:vAlign w:val="bottom"/>
            <w:hideMark/>
          </w:tcPr>
          <w:p w14:paraId="2B03157E" w14:textId="77777777" w:rsidR="001B6918" w:rsidRPr="004E6649" w:rsidRDefault="001B6918" w:rsidP="00730ECF">
            <w:pPr>
              <w:rPr>
                <w:rFonts w:eastAsia="Times New Roman" w:cstheme="minorHAnsi"/>
              </w:rPr>
            </w:pPr>
            <w:r w:rsidRPr="004E6649">
              <w:rPr>
                <w:rFonts w:eastAsia="Times New Roman" w:cstheme="minorHAnsi"/>
              </w:rPr>
              <w:t>Deferred inflows of resources</w:t>
            </w:r>
          </w:p>
        </w:tc>
        <w:tc>
          <w:tcPr>
            <w:tcW w:w="1350" w:type="dxa"/>
            <w:tcBorders>
              <w:top w:val="single" w:sz="8" w:space="0" w:color="auto"/>
              <w:left w:val="nil"/>
              <w:bottom w:val="nil"/>
              <w:right w:val="nil"/>
            </w:tcBorders>
            <w:shd w:val="clear" w:color="000000" w:fill="FFFFFF"/>
            <w:noWrap/>
            <w:vAlign w:val="bottom"/>
            <w:hideMark/>
          </w:tcPr>
          <w:p w14:paraId="305C54F9" w14:textId="77777777" w:rsidR="001B6918" w:rsidRPr="00F96B39" w:rsidRDefault="001B6918" w:rsidP="00730ECF">
            <w:pPr>
              <w:jc w:val="right"/>
              <w:rPr>
                <w:rFonts w:eastAsia="Times New Roman" w:cstheme="minorHAnsi"/>
                <w:color w:val="FF0000"/>
              </w:rPr>
            </w:pPr>
            <w:r>
              <w:rPr>
                <w:rFonts w:ascii="Calibri" w:hAnsi="Calibri" w:cs="Calibri"/>
              </w:rPr>
              <w:t> </w:t>
            </w:r>
          </w:p>
        </w:tc>
        <w:tc>
          <w:tcPr>
            <w:tcW w:w="1080" w:type="dxa"/>
            <w:tcBorders>
              <w:top w:val="single" w:sz="8" w:space="0" w:color="auto"/>
              <w:left w:val="nil"/>
              <w:bottom w:val="nil"/>
              <w:right w:val="nil"/>
            </w:tcBorders>
            <w:shd w:val="clear" w:color="000000" w:fill="FFFFFF"/>
            <w:noWrap/>
            <w:vAlign w:val="bottom"/>
            <w:hideMark/>
          </w:tcPr>
          <w:p w14:paraId="613491E6" w14:textId="77777777" w:rsidR="001B6918" w:rsidRPr="00F96B39" w:rsidRDefault="001B6918" w:rsidP="00730ECF">
            <w:pPr>
              <w:jc w:val="right"/>
              <w:rPr>
                <w:rFonts w:eastAsia="Times New Roman" w:cstheme="minorHAnsi"/>
                <w:color w:val="FF0000"/>
              </w:rPr>
            </w:pPr>
            <w:r>
              <w:rPr>
                <w:rFonts w:ascii="Calibri" w:hAnsi="Calibri" w:cs="Calibri"/>
              </w:rPr>
              <w:t> </w:t>
            </w:r>
          </w:p>
        </w:tc>
        <w:tc>
          <w:tcPr>
            <w:tcW w:w="990" w:type="dxa"/>
            <w:tcBorders>
              <w:top w:val="single" w:sz="8" w:space="0" w:color="auto"/>
              <w:left w:val="nil"/>
              <w:bottom w:val="nil"/>
              <w:right w:val="nil"/>
            </w:tcBorders>
            <w:shd w:val="clear" w:color="000000" w:fill="FFFFFF"/>
            <w:noWrap/>
            <w:vAlign w:val="bottom"/>
            <w:hideMark/>
          </w:tcPr>
          <w:p w14:paraId="38CDFC4C" w14:textId="77777777" w:rsidR="001B6918" w:rsidRPr="00F96B39" w:rsidRDefault="001B6918" w:rsidP="00730ECF">
            <w:pPr>
              <w:jc w:val="right"/>
              <w:rPr>
                <w:rFonts w:eastAsia="Times New Roman" w:cstheme="minorHAnsi"/>
                <w:color w:val="FF0000"/>
              </w:rPr>
            </w:pPr>
            <w:r>
              <w:rPr>
                <w:rFonts w:ascii="Calibri" w:hAnsi="Calibri" w:cs="Calibri"/>
              </w:rPr>
              <w:t> </w:t>
            </w:r>
          </w:p>
        </w:tc>
        <w:tc>
          <w:tcPr>
            <w:tcW w:w="1260" w:type="dxa"/>
            <w:tcBorders>
              <w:top w:val="single" w:sz="8" w:space="0" w:color="auto"/>
              <w:left w:val="nil"/>
              <w:bottom w:val="nil"/>
              <w:right w:val="nil"/>
            </w:tcBorders>
            <w:shd w:val="clear" w:color="000000" w:fill="FFFFFF"/>
            <w:noWrap/>
            <w:vAlign w:val="bottom"/>
            <w:hideMark/>
          </w:tcPr>
          <w:p w14:paraId="5154BDFC" w14:textId="77777777" w:rsidR="001B6918" w:rsidRPr="00FD416B" w:rsidRDefault="001B6918" w:rsidP="00730ECF">
            <w:pPr>
              <w:jc w:val="right"/>
              <w:rPr>
                <w:rFonts w:eastAsia="Times New Roman" w:cstheme="minorHAnsi"/>
              </w:rPr>
            </w:pPr>
            <w:r w:rsidRPr="00FD416B">
              <w:rPr>
                <w:rFonts w:cstheme="minorHAnsi"/>
              </w:rPr>
              <w:t> </w:t>
            </w:r>
          </w:p>
        </w:tc>
      </w:tr>
      <w:tr w:rsidR="001B6918" w:rsidRPr="004E6649" w14:paraId="7B7D27CE" w14:textId="77777777" w:rsidTr="00730ECF">
        <w:trPr>
          <w:trHeight w:val="189"/>
        </w:trPr>
        <w:tc>
          <w:tcPr>
            <w:tcW w:w="5490" w:type="dxa"/>
            <w:tcBorders>
              <w:top w:val="nil"/>
              <w:left w:val="nil"/>
              <w:right w:val="nil"/>
            </w:tcBorders>
            <w:shd w:val="clear" w:color="000000" w:fill="FFFFFF"/>
            <w:noWrap/>
            <w:vAlign w:val="bottom"/>
            <w:hideMark/>
          </w:tcPr>
          <w:p w14:paraId="6DD855E5" w14:textId="77777777" w:rsidR="001B6918" w:rsidRPr="004E6649" w:rsidRDefault="001B6918" w:rsidP="00730ECF">
            <w:pPr>
              <w:ind w:firstLineChars="100" w:firstLine="220"/>
              <w:rPr>
                <w:rFonts w:eastAsia="Times New Roman" w:cstheme="minorHAnsi"/>
              </w:rPr>
            </w:pPr>
            <w:r w:rsidRPr="004E6649">
              <w:rPr>
                <w:rFonts w:eastAsia="Times New Roman" w:cstheme="minorHAnsi"/>
              </w:rPr>
              <w:t>Changes of assumption or other inputs</w:t>
            </w:r>
          </w:p>
        </w:tc>
        <w:tc>
          <w:tcPr>
            <w:tcW w:w="1350" w:type="dxa"/>
            <w:tcBorders>
              <w:top w:val="nil"/>
              <w:left w:val="nil"/>
              <w:bottom w:val="nil"/>
              <w:right w:val="nil"/>
            </w:tcBorders>
            <w:shd w:val="clear" w:color="000000" w:fill="FFFFFF"/>
            <w:noWrap/>
            <w:vAlign w:val="bottom"/>
            <w:hideMark/>
          </w:tcPr>
          <w:p w14:paraId="1F6413D3" w14:textId="77777777" w:rsidR="001B6918" w:rsidRPr="00F96B39" w:rsidRDefault="001B6918" w:rsidP="00730ECF">
            <w:pPr>
              <w:jc w:val="right"/>
              <w:rPr>
                <w:rFonts w:eastAsia="Times New Roman" w:cstheme="minorHAnsi"/>
                <w:color w:val="FF0000"/>
              </w:rPr>
            </w:pPr>
            <w:r>
              <w:rPr>
                <w:rFonts w:ascii="Calibri" w:hAnsi="Calibri" w:cs="Calibri"/>
              </w:rPr>
              <w:t xml:space="preserve">                893 </w:t>
            </w:r>
          </w:p>
        </w:tc>
        <w:tc>
          <w:tcPr>
            <w:tcW w:w="1080" w:type="dxa"/>
            <w:tcBorders>
              <w:top w:val="nil"/>
              <w:left w:val="nil"/>
              <w:bottom w:val="nil"/>
              <w:right w:val="nil"/>
            </w:tcBorders>
            <w:shd w:val="clear" w:color="000000" w:fill="FFFFFF"/>
            <w:noWrap/>
            <w:vAlign w:val="bottom"/>
            <w:hideMark/>
          </w:tcPr>
          <w:p w14:paraId="5D595334" w14:textId="77777777" w:rsidR="001B6918" w:rsidRPr="00F96B39" w:rsidRDefault="001B6918" w:rsidP="00730ECF">
            <w:pPr>
              <w:jc w:val="right"/>
              <w:rPr>
                <w:rFonts w:eastAsia="Times New Roman" w:cstheme="minorHAnsi"/>
                <w:color w:val="FF0000"/>
              </w:rPr>
            </w:pPr>
            <w:r>
              <w:rPr>
                <w:rFonts w:ascii="Calibri" w:hAnsi="Calibri" w:cs="Calibri"/>
              </w:rPr>
              <w:t xml:space="preserve">              - </w:t>
            </w:r>
          </w:p>
        </w:tc>
        <w:tc>
          <w:tcPr>
            <w:tcW w:w="990" w:type="dxa"/>
            <w:tcBorders>
              <w:top w:val="nil"/>
              <w:left w:val="nil"/>
              <w:bottom w:val="nil"/>
              <w:right w:val="nil"/>
            </w:tcBorders>
            <w:shd w:val="clear" w:color="000000" w:fill="FFFFFF"/>
            <w:noWrap/>
            <w:vAlign w:val="bottom"/>
            <w:hideMark/>
          </w:tcPr>
          <w:p w14:paraId="46D9CBA8" w14:textId="77777777" w:rsidR="001B6918" w:rsidRPr="00F96B39" w:rsidRDefault="001B6918" w:rsidP="00730ECF">
            <w:pPr>
              <w:jc w:val="right"/>
              <w:rPr>
                <w:rFonts w:eastAsia="Times New Roman" w:cstheme="minorHAnsi"/>
                <w:color w:val="FF0000"/>
              </w:rPr>
            </w:pPr>
            <w:r>
              <w:rPr>
                <w:rFonts w:ascii="Calibri" w:hAnsi="Calibri" w:cs="Calibri"/>
              </w:rPr>
              <w:t xml:space="preserve">        893 </w:t>
            </w:r>
          </w:p>
        </w:tc>
        <w:tc>
          <w:tcPr>
            <w:tcW w:w="1260" w:type="dxa"/>
            <w:tcBorders>
              <w:top w:val="nil"/>
              <w:left w:val="nil"/>
              <w:right w:val="nil"/>
            </w:tcBorders>
            <w:shd w:val="clear" w:color="000000" w:fill="FFFFFF"/>
            <w:noWrap/>
            <w:vAlign w:val="bottom"/>
            <w:hideMark/>
          </w:tcPr>
          <w:p w14:paraId="2C66B6BC" w14:textId="77777777" w:rsidR="001B6918" w:rsidRPr="00FD416B" w:rsidRDefault="001B6918" w:rsidP="00730ECF">
            <w:pPr>
              <w:jc w:val="right"/>
              <w:rPr>
                <w:rFonts w:eastAsia="Times New Roman" w:cstheme="minorHAnsi"/>
              </w:rPr>
            </w:pPr>
            <w:r w:rsidRPr="00FD416B">
              <w:rPr>
                <w:rFonts w:cstheme="minorHAnsi"/>
              </w:rPr>
              <w:t>6,967</w:t>
            </w:r>
          </w:p>
        </w:tc>
      </w:tr>
      <w:tr w:rsidR="001B6918" w:rsidRPr="004E6649" w14:paraId="04BD7263" w14:textId="77777777" w:rsidTr="00730ECF">
        <w:trPr>
          <w:trHeight w:val="198"/>
        </w:trPr>
        <w:tc>
          <w:tcPr>
            <w:tcW w:w="5490" w:type="dxa"/>
            <w:tcBorders>
              <w:top w:val="nil"/>
              <w:left w:val="nil"/>
              <w:right w:val="nil"/>
            </w:tcBorders>
            <w:shd w:val="clear" w:color="000000" w:fill="FFFFFF"/>
            <w:vAlign w:val="bottom"/>
            <w:hideMark/>
          </w:tcPr>
          <w:p w14:paraId="0B6CFE0E" w14:textId="77777777" w:rsidR="001B6918" w:rsidRPr="004E6649" w:rsidRDefault="001B6918" w:rsidP="00730ECF">
            <w:pPr>
              <w:ind w:leftChars="100" w:left="251" w:hangingChars="14" w:hanging="31"/>
              <w:rPr>
                <w:rFonts w:eastAsia="Times New Roman" w:cstheme="minorHAnsi"/>
              </w:rPr>
            </w:pPr>
            <w:r w:rsidRPr="004E6649">
              <w:rPr>
                <w:rFonts w:eastAsia="Times New Roman" w:cstheme="minorHAnsi"/>
              </w:rPr>
              <w:t>Difference between expected and actual experience</w:t>
            </w:r>
          </w:p>
        </w:tc>
        <w:tc>
          <w:tcPr>
            <w:tcW w:w="1350" w:type="dxa"/>
            <w:tcBorders>
              <w:top w:val="nil"/>
              <w:left w:val="nil"/>
              <w:bottom w:val="nil"/>
              <w:right w:val="nil"/>
            </w:tcBorders>
            <w:shd w:val="clear" w:color="000000" w:fill="FFFFFF"/>
            <w:noWrap/>
            <w:vAlign w:val="bottom"/>
            <w:hideMark/>
          </w:tcPr>
          <w:p w14:paraId="6F5B0812" w14:textId="77777777" w:rsidR="001B6918" w:rsidRPr="00F96B39" w:rsidRDefault="001B6918" w:rsidP="00730ECF">
            <w:pPr>
              <w:jc w:val="right"/>
              <w:rPr>
                <w:rFonts w:eastAsia="Times New Roman" w:cstheme="minorHAnsi"/>
                <w:color w:val="FF0000"/>
              </w:rPr>
            </w:pPr>
            <w:r>
              <w:rPr>
                <w:rFonts w:ascii="Calibri" w:hAnsi="Calibri" w:cs="Calibri"/>
              </w:rPr>
              <w:t xml:space="preserve">                110 </w:t>
            </w:r>
          </w:p>
        </w:tc>
        <w:tc>
          <w:tcPr>
            <w:tcW w:w="1080" w:type="dxa"/>
            <w:tcBorders>
              <w:top w:val="nil"/>
              <w:left w:val="nil"/>
              <w:bottom w:val="nil"/>
              <w:right w:val="nil"/>
            </w:tcBorders>
            <w:shd w:val="clear" w:color="000000" w:fill="FFFFFF"/>
            <w:noWrap/>
            <w:vAlign w:val="bottom"/>
            <w:hideMark/>
          </w:tcPr>
          <w:p w14:paraId="12518218" w14:textId="77777777" w:rsidR="001B6918" w:rsidRPr="00F96B39" w:rsidRDefault="001B6918" w:rsidP="00730ECF">
            <w:pPr>
              <w:jc w:val="right"/>
              <w:rPr>
                <w:rFonts w:eastAsia="Times New Roman" w:cstheme="minorHAnsi"/>
                <w:color w:val="FF0000"/>
              </w:rPr>
            </w:pPr>
            <w:r>
              <w:rPr>
                <w:rFonts w:ascii="Calibri" w:hAnsi="Calibri" w:cs="Calibri"/>
              </w:rPr>
              <w:t xml:space="preserve">              - </w:t>
            </w:r>
          </w:p>
        </w:tc>
        <w:tc>
          <w:tcPr>
            <w:tcW w:w="990" w:type="dxa"/>
            <w:tcBorders>
              <w:top w:val="nil"/>
              <w:left w:val="nil"/>
              <w:bottom w:val="nil"/>
              <w:right w:val="nil"/>
            </w:tcBorders>
            <w:shd w:val="clear" w:color="000000" w:fill="FFFFFF"/>
            <w:noWrap/>
            <w:vAlign w:val="bottom"/>
            <w:hideMark/>
          </w:tcPr>
          <w:p w14:paraId="5BF88764" w14:textId="77777777" w:rsidR="001B6918" w:rsidRPr="00F96B39" w:rsidRDefault="001B6918" w:rsidP="00730ECF">
            <w:pPr>
              <w:jc w:val="right"/>
              <w:rPr>
                <w:rFonts w:eastAsia="Times New Roman" w:cstheme="minorHAnsi"/>
                <w:color w:val="FF0000"/>
              </w:rPr>
            </w:pPr>
            <w:r>
              <w:rPr>
                <w:rFonts w:ascii="Calibri" w:hAnsi="Calibri" w:cs="Calibri"/>
              </w:rPr>
              <w:t xml:space="preserve">        110 </w:t>
            </w:r>
          </w:p>
        </w:tc>
        <w:tc>
          <w:tcPr>
            <w:tcW w:w="1260" w:type="dxa"/>
            <w:tcBorders>
              <w:top w:val="nil"/>
              <w:left w:val="nil"/>
              <w:right w:val="nil"/>
            </w:tcBorders>
            <w:shd w:val="clear" w:color="000000" w:fill="FFFFFF"/>
            <w:noWrap/>
            <w:vAlign w:val="bottom"/>
            <w:hideMark/>
          </w:tcPr>
          <w:p w14:paraId="686EFBC4" w14:textId="77777777" w:rsidR="001B6918" w:rsidRPr="00FD416B" w:rsidRDefault="001B6918" w:rsidP="00730ECF">
            <w:pPr>
              <w:jc w:val="right"/>
              <w:rPr>
                <w:rFonts w:eastAsia="Times New Roman" w:cstheme="minorHAnsi"/>
              </w:rPr>
            </w:pPr>
            <w:r w:rsidRPr="00FD416B">
              <w:rPr>
                <w:rFonts w:cstheme="minorHAnsi"/>
              </w:rPr>
              <w:t>30,233</w:t>
            </w:r>
          </w:p>
        </w:tc>
      </w:tr>
      <w:tr w:rsidR="001B6918" w:rsidRPr="004E6649" w14:paraId="3513C694" w14:textId="77777777" w:rsidTr="000A53D7">
        <w:trPr>
          <w:trHeight w:val="198"/>
        </w:trPr>
        <w:tc>
          <w:tcPr>
            <w:tcW w:w="5490" w:type="dxa"/>
            <w:tcBorders>
              <w:left w:val="nil"/>
              <w:bottom w:val="single" w:sz="8" w:space="0" w:color="auto"/>
              <w:right w:val="nil"/>
            </w:tcBorders>
            <w:shd w:val="clear" w:color="000000" w:fill="FFFFFF"/>
            <w:vAlign w:val="bottom"/>
          </w:tcPr>
          <w:p w14:paraId="72D9EDD1" w14:textId="77777777" w:rsidR="001B6918" w:rsidRPr="004E6649" w:rsidRDefault="001B6918" w:rsidP="00730ECF">
            <w:pPr>
              <w:ind w:leftChars="100" w:left="251" w:hangingChars="14" w:hanging="31"/>
              <w:rPr>
                <w:rFonts w:eastAsia="Times New Roman" w:cstheme="minorHAnsi"/>
              </w:rPr>
            </w:pPr>
            <w:r w:rsidRPr="004E6649">
              <w:rPr>
                <w:rFonts w:eastAsia="Times New Roman" w:cstheme="minorHAnsi"/>
              </w:rPr>
              <w:t>Net difference between projected and actual earnings on plan investments</w:t>
            </w:r>
          </w:p>
        </w:tc>
        <w:tc>
          <w:tcPr>
            <w:tcW w:w="1350" w:type="dxa"/>
            <w:tcBorders>
              <w:top w:val="nil"/>
              <w:left w:val="nil"/>
              <w:bottom w:val="single" w:sz="8" w:space="0" w:color="auto"/>
              <w:right w:val="nil"/>
            </w:tcBorders>
            <w:shd w:val="clear" w:color="000000" w:fill="FFFFFF"/>
            <w:noWrap/>
            <w:vAlign w:val="bottom"/>
          </w:tcPr>
          <w:p w14:paraId="2D85716C" w14:textId="77777777" w:rsidR="001B6918" w:rsidRPr="00F96B39" w:rsidRDefault="001B6918" w:rsidP="00730ECF">
            <w:pPr>
              <w:jc w:val="right"/>
              <w:rPr>
                <w:rFonts w:ascii="Calibri" w:hAnsi="Calibri" w:cs="Calibri"/>
                <w:color w:val="FF0000"/>
              </w:rPr>
            </w:pPr>
            <w:r>
              <w:rPr>
                <w:rFonts w:ascii="Calibri" w:hAnsi="Calibri" w:cs="Calibri"/>
              </w:rPr>
              <w:t xml:space="preserve">                     - </w:t>
            </w:r>
          </w:p>
        </w:tc>
        <w:tc>
          <w:tcPr>
            <w:tcW w:w="1080" w:type="dxa"/>
            <w:tcBorders>
              <w:top w:val="nil"/>
              <w:left w:val="nil"/>
              <w:bottom w:val="single" w:sz="8" w:space="0" w:color="auto"/>
              <w:right w:val="nil"/>
            </w:tcBorders>
            <w:shd w:val="clear" w:color="000000" w:fill="FFFFFF"/>
            <w:noWrap/>
            <w:vAlign w:val="bottom"/>
          </w:tcPr>
          <w:p w14:paraId="735D17DE" w14:textId="77777777" w:rsidR="001B6918" w:rsidRPr="00F96B39" w:rsidRDefault="001B6918" w:rsidP="00730ECF">
            <w:pPr>
              <w:jc w:val="right"/>
              <w:rPr>
                <w:rFonts w:cstheme="minorHAnsi"/>
                <w:color w:val="FF0000"/>
              </w:rPr>
            </w:pPr>
            <w:r>
              <w:rPr>
                <w:rFonts w:ascii="Calibri" w:hAnsi="Calibri" w:cs="Calibri"/>
              </w:rPr>
              <w:t xml:space="preserve">              - </w:t>
            </w:r>
          </w:p>
        </w:tc>
        <w:tc>
          <w:tcPr>
            <w:tcW w:w="990" w:type="dxa"/>
            <w:tcBorders>
              <w:top w:val="nil"/>
              <w:left w:val="nil"/>
              <w:bottom w:val="single" w:sz="8" w:space="0" w:color="auto"/>
              <w:right w:val="nil"/>
            </w:tcBorders>
            <w:shd w:val="clear" w:color="000000" w:fill="FFFFFF"/>
            <w:noWrap/>
            <w:vAlign w:val="bottom"/>
          </w:tcPr>
          <w:p w14:paraId="5569A578" w14:textId="77777777" w:rsidR="001B6918" w:rsidRPr="00F96B39" w:rsidRDefault="001B6918" w:rsidP="00730ECF">
            <w:pPr>
              <w:jc w:val="right"/>
              <w:rPr>
                <w:rFonts w:cstheme="minorHAnsi"/>
                <w:color w:val="FF0000"/>
              </w:rPr>
            </w:pPr>
            <w:r>
              <w:rPr>
                <w:rFonts w:ascii="Calibri" w:hAnsi="Calibri" w:cs="Calibri"/>
              </w:rPr>
              <w:t xml:space="preserve">            - </w:t>
            </w:r>
          </w:p>
        </w:tc>
        <w:tc>
          <w:tcPr>
            <w:tcW w:w="1260" w:type="dxa"/>
            <w:tcBorders>
              <w:left w:val="nil"/>
              <w:bottom w:val="single" w:sz="8" w:space="0" w:color="auto"/>
              <w:right w:val="nil"/>
            </w:tcBorders>
            <w:shd w:val="clear" w:color="000000" w:fill="FFFFFF"/>
            <w:noWrap/>
            <w:vAlign w:val="bottom"/>
          </w:tcPr>
          <w:p w14:paraId="50FDD651" w14:textId="77777777" w:rsidR="001B6918" w:rsidRPr="00FD416B" w:rsidRDefault="001B6918" w:rsidP="00730ECF">
            <w:pPr>
              <w:jc w:val="right"/>
              <w:rPr>
                <w:rFonts w:cstheme="minorHAnsi"/>
              </w:rPr>
            </w:pPr>
            <w:r w:rsidRPr="00FD416B">
              <w:rPr>
                <w:rFonts w:cstheme="minorHAnsi"/>
              </w:rPr>
              <w:t>3,717</w:t>
            </w:r>
          </w:p>
        </w:tc>
      </w:tr>
      <w:tr w:rsidR="001B6918" w:rsidRPr="004E6649" w14:paraId="7678E935" w14:textId="77777777" w:rsidTr="00427F93">
        <w:trPr>
          <w:trHeight w:val="79"/>
        </w:trPr>
        <w:tc>
          <w:tcPr>
            <w:tcW w:w="5490" w:type="dxa"/>
            <w:tcBorders>
              <w:top w:val="single" w:sz="8" w:space="0" w:color="auto"/>
              <w:left w:val="nil"/>
              <w:bottom w:val="single" w:sz="8" w:space="0" w:color="auto"/>
              <w:right w:val="nil"/>
            </w:tcBorders>
            <w:shd w:val="clear" w:color="000000" w:fill="FFFFFF"/>
            <w:noWrap/>
            <w:vAlign w:val="bottom"/>
            <w:hideMark/>
          </w:tcPr>
          <w:p w14:paraId="52B5FDD9" w14:textId="77777777" w:rsidR="001B6918" w:rsidRPr="004E6649" w:rsidRDefault="001B6918" w:rsidP="00730ECF">
            <w:pPr>
              <w:ind w:firstLineChars="200" w:firstLine="440"/>
              <w:rPr>
                <w:rFonts w:eastAsia="Times New Roman" w:cstheme="minorHAnsi"/>
              </w:rPr>
            </w:pPr>
            <w:r w:rsidRPr="004E6649">
              <w:rPr>
                <w:rFonts w:eastAsia="Times New Roman" w:cstheme="minorHAnsi"/>
              </w:rPr>
              <w:t>Total deferred inflows of resources</w:t>
            </w:r>
          </w:p>
        </w:tc>
        <w:tc>
          <w:tcPr>
            <w:tcW w:w="1350" w:type="dxa"/>
            <w:tcBorders>
              <w:top w:val="single" w:sz="8" w:space="0" w:color="auto"/>
              <w:left w:val="nil"/>
              <w:bottom w:val="single" w:sz="8" w:space="0" w:color="auto"/>
              <w:right w:val="nil"/>
            </w:tcBorders>
            <w:shd w:val="clear" w:color="000000" w:fill="FFFFFF"/>
            <w:noWrap/>
            <w:vAlign w:val="bottom"/>
            <w:hideMark/>
          </w:tcPr>
          <w:p w14:paraId="2AD83EC2" w14:textId="77777777" w:rsidR="001B6918" w:rsidRPr="00F96B39" w:rsidRDefault="001B6918" w:rsidP="00730ECF">
            <w:pPr>
              <w:jc w:val="right"/>
              <w:rPr>
                <w:rFonts w:cstheme="minorHAnsi"/>
                <w:color w:val="FF0000"/>
              </w:rPr>
            </w:pPr>
            <w:r>
              <w:rPr>
                <w:rFonts w:ascii="Calibri" w:hAnsi="Calibri" w:cs="Calibri"/>
              </w:rPr>
              <w:t xml:space="preserve">            1,003 </w:t>
            </w:r>
          </w:p>
        </w:tc>
        <w:tc>
          <w:tcPr>
            <w:tcW w:w="1080" w:type="dxa"/>
            <w:tcBorders>
              <w:top w:val="single" w:sz="8" w:space="0" w:color="auto"/>
              <w:left w:val="nil"/>
              <w:bottom w:val="single" w:sz="8" w:space="0" w:color="auto"/>
              <w:right w:val="nil"/>
            </w:tcBorders>
            <w:shd w:val="clear" w:color="000000" w:fill="FFFFFF"/>
            <w:noWrap/>
            <w:vAlign w:val="bottom"/>
            <w:hideMark/>
          </w:tcPr>
          <w:p w14:paraId="44EC528C" w14:textId="77777777" w:rsidR="001B6918" w:rsidRPr="00F96B39" w:rsidRDefault="001B6918" w:rsidP="00730ECF">
            <w:pPr>
              <w:jc w:val="right"/>
              <w:rPr>
                <w:rFonts w:eastAsia="Times New Roman" w:cstheme="minorHAnsi"/>
                <w:color w:val="FF0000"/>
              </w:rPr>
            </w:pPr>
            <w:r>
              <w:rPr>
                <w:rFonts w:ascii="Calibri" w:hAnsi="Calibri" w:cs="Calibri"/>
              </w:rPr>
              <w:t xml:space="preserve">              - </w:t>
            </w:r>
          </w:p>
        </w:tc>
        <w:tc>
          <w:tcPr>
            <w:tcW w:w="990" w:type="dxa"/>
            <w:tcBorders>
              <w:top w:val="single" w:sz="8" w:space="0" w:color="auto"/>
              <w:left w:val="nil"/>
              <w:bottom w:val="single" w:sz="8" w:space="0" w:color="auto"/>
              <w:right w:val="nil"/>
            </w:tcBorders>
            <w:shd w:val="clear" w:color="000000" w:fill="FFFFFF"/>
            <w:noWrap/>
            <w:vAlign w:val="bottom"/>
            <w:hideMark/>
          </w:tcPr>
          <w:p w14:paraId="392795EF" w14:textId="77777777" w:rsidR="001B6918" w:rsidRPr="00F96B39" w:rsidRDefault="001B6918" w:rsidP="00730ECF">
            <w:pPr>
              <w:jc w:val="right"/>
              <w:rPr>
                <w:rFonts w:eastAsia="Times New Roman" w:cstheme="minorHAnsi"/>
                <w:color w:val="FF0000"/>
              </w:rPr>
            </w:pPr>
            <w:r>
              <w:rPr>
                <w:rFonts w:ascii="Calibri" w:hAnsi="Calibri" w:cs="Calibri"/>
              </w:rPr>
              <w:t xml:space="preserve">     1,003 </w:t>
            </w:r>
          </w:p>
        </w:tc>
        <w:tc>
          <w:tcPr>
            <w:tcW w:w="1260" w:type="dxa"/>
            <w:tcBorders>
              <w:top w:val="single" w:sz="8" w:space="0" w:color="auto"/>
              <w:left w:val="nil"/>
              <w:bottom w:val="single" w:sz="8" w:space="0" w:color="auto"/>
              <w:right w:val="nil"/>
            </w:tcBorders>
            <w:shd w:val="clear" w:color="000000" w:fill="FFFFFF"/>
            <w:noWrap/>
            <w:vAlign w:val="bottom"/>
            <w:hideMark/>
          </w:tcPr>
          <w:p w14:paraId="3EAFB9D5" w14:textId="77777777" w:rsidR="001B6918" w:rsidRPr="00FD416B" w:rsidRDefault="001B6918" w:rsidP="00730ECF">
            <w:pPr>
              <w:jc w:val="right"/>
              <w:rPr>
                <w:rFonts w:eastAsia="Times New Roman" w:cstheme="minorHAnsi"/>
              </w:rPr>
            </w:pPr>
            <w:r w:rsidRPr="00FD416B">
              <w:rPr>
                <w:rFonts w:cstheme="minorHAnsi"/>
              </w:rPr>
              <w:t>40,917</w:t>
            </w:r>
          </w:p>
        </w:tc>
      </w:tr>
      <w:tr w:rsidR="001B6918" w:rsidRPr="004E6649" w14:paraId="0B436C06" w14:textId="77777777" w:rsidTr="00427F93">
        <w:trPr>
          <w:trHeight w:val="151"/>
        </w:trPr>
        <w:tc>
          <w:tcPr>
            <w:tcW w:w="5490" w:type="dxa"/>
            <w:tcBorders>
              <w:top w:val="single" w:sz="8" w:space="0" w:color="auto"/>
              <w:left w:val="nil"/>
              <w:bottom w:val="double" w:sz="4" w:space="0" w:color="auto"/>
              <w:right w:val="nil"/>
            </w:tcBorders>
            <w:shd w:val="clear" w:color="000000" w:fill="FFFFFF"/>
            <w:noWrap/>
            <w:vAlign w:val="bottom"/>
            <w:hideMark/>
          </w:tcPr>
          <w:p w14:paraId="17978560" w14:textId="77777777" w:rsidR="001B6918" w:rsidRPr="004E6649" w:rsidRDefault="001B6918" w:rsidP="00730ECF">
            <w:pPr>
              <w:rPr>
                <w:rFonts w:eastAsia="Times New Roman" w:cstheme="minorHAnsi"/>
              </w:rPr>
            </w:pPr>
            <w:r w:rsidRPr="004E6649">
              <w:rPr>
                <w:rFonts w:eastAsia="Times New Roman" w:cstheme="minorHAnsi"/>
              </w:rPr>
              <w:t>Net deferred outflows (inflows)</w:t>
            </w:r>
          </w:p>
        </w:tc>
        <w:tc>
          <w:tcPr>
            <w:tcW w:w="1350" w:type="dxa"/>
            <w:tcBorders>
              <w:top w:val="single" w:sz="8" w:space="0" w:color="auto"/>
              <w:left w:val="nil"/>
              <w:bottom w:val="double" w:sz="4" w:space="0" w:color="auto"/>
              <w:right w:val="nil"/>
            </w:tcBorders>
            <w:shd w:val="clear" w:color="000000" w:fill="FFFFFF"/>
            <w:noWrap/>
            <w:vAlign w:val="bottom"/>
            <w:hideMark/>
          </w:tcPr>
          <w:p w14:paraId="2AE475BD" w14:textId="77777777" w:rsidR="001B6918" w:rsidRPr="00F96B39" w:rsidRDefault="001B6918" w:rsidP="00730ECF">
            <w:pPr>
              <w:jc w:val="right"/>
              <w:rPr>
                <w:rFonts w:eastAsia="Times New Roman" w:cstheme="minorHAnsi"/>
                <w:color w:val="FF0000"/>
              </w:rPr>
            </w:pPr>
            <w:r>
              <w:rPr>
                <w:rFonts w:ascii="Calibri" w:hAnsi="Calibri" w:cs="Calibri"/>
              </w:rPr>
              <w:t xml:space="preserve"> $            663 </w:t>
            </w:r>
          </w:p>
        </w:tc>
        <w:tc>
          <w:tcPr>
            <w:tcW w:w="1080" w:type="dxa"/>
            <w:tcBorders>
              <w:top w:val="single" w:sz="8" w:space="0" w:color="auto"/>
              <w:left w:val="nil"/>
              <w:bottom w:val="double" w:sz="4" w:space="0" w:color="auto"/>
              <w:right w:val="nil"/>
            </w:tcBorders>
            <w:shd w:val="clear" w:color="000000" w:fill="FFFFFF"/>
            <w:noWrap/>
            <w:vAlign w:val="bottom"/>
            <w:hideMark/>
          </w:tcPr>
          <w:p w14:paraId="1985A08A" w14:textId="77777777" w:rsidR="001B6918" w:rsidRPr="00F96B39" w:rsidRDefault="001B6918" w:rsidP="00730ECF">
            <w:pPr>
              <w:jc w:val="right"/>
              <w:rPr>
                <w:rFonts w:eastAsia="Times New Roman" w:cstheme="minorHAnsi"/>
                <w:color w:val="FF0000"/>
              </w:rPr>
            </w:pPr>
            <w:r>
              <w:rPr>
                <w:rFonts w:ascii="Calibri" w:hAnsi="Calibri" w:cs="Calibri"/>
              </w:rPr>
              <w:t xml:space="preserve"> $     745 </w:t>
            </w:r>
          </w:p>
        </w:tc>
        <w:tc>
          <w:tcPr>
            <w:tcW w:w="990" w:type="dxa"/>
            <w:tcBorders>
              <w:top w:val="single" w:sz="8" w:space="0" w:color="auto"/>
              <w:left w:val="nil"/>
              <w:bottom w:val="double" w:sz="4" w:space="0" w:color="auto"/>
              <w:right w:val="nil"/>
            </w:tcBorders>
            <w:shd w:val="clear" w:color="000000" w:fill="FFFFFF"/>
            <w:noWrap/>
            <w:vAlign w:val="bottom"/>
            <w:hideMark/>
          </w:tcPr>
          <w:p w14:paraId="366C8F8C" w14:textId="77777777" w:rsidR="001B6918" w:rsidRPr="00F96B39" w:rsidRDefault="001B6918" w:rsidP="00730ECF">
            <w:pPr>
              <w:jc w:val="right"/>
              <w:rPr>
                <w:rFonts w:eastAsia="Times New Roman" w:cstheme="minorHAnsi"/>
                <w:color w:val="FF0000"/>
              </w:rPr>
            </w:pPr>
            <w:r>
              <w:rPr>
                <w:rFonts w:ascii="Calibri" w:hAnsi="Calibri" w:cs="Calibri"/>
              </w:rPr>
              <w:t xml:space="preserve"> $  1,408 </w:t>
            </w:r>
          </w:p>
        </w:tc>
        <w:tc>
          <w:tcPr>
            <w:tcW w:w="1260" w:type="dxa"/>
            <w:tcBorders>
              <w:top w:val="single" w:sz="8" w:space="0" w:color="auto"/>
              <w:left w:val="nil"/>
              <w:bottom w:val="double" w:sz="4" w:space="0" w:color="auto"/>
              <w:right w:val="nil"/>
            </w:tcBorders>
            <w:shd w:val="clear" w:color="000000" w:fill="FFFFFF"/>
            <w:noWrap/>
            <w:vAlign w:val="bottom"/>
            <w:hideMark/>
          </w:tcPr>
          <w:p w14:paraId="7DCBB749" w14:textId="77777777" w:rsidR="001B6918" w:rsidRPr="00FD416B" w:rsidRDefault="001B6918" w:rsidP="00730ECF">
            <w:pPr>
              <w:jc w:val="right"/>
              <w:rPr>
                <w:rFonts w:eastAsia="Times New Roman" w:cstheme="minorHAnsi"/>
              </w:rPr>
            </w:pPr>
            <w:r w:rsidRPr="00FD416B">
              <w:rPr>
                <w:rFonts w:cstheme="minorHAnsi"/>
              </w:rPr>
              <w:t>$(23,064)</w:t>
            </w:r>
          </w:p>
        </w:tc>
      </w:tr>
      <w:tr w:rsidR="00427F93" w:rsidRPr="004E6649" w14:paraId="34DCFE73" w14:textId="77777777" w:rsidTr="00427F93">
        <w:trPr>
          <w:trHeight w:val="78"/>
        </w:trPr>
        <w:tc>
          <w:tcPr>
            <w:tcW w:w="5490" w:type="dxa"/>
            <w:tcBorders>
              <w:top w:val="double" w:sz="4" w:space="0" w:color="auto"/>
              <w:left w:val="nil"/>
              <w:right w:val="nil"/>
            </w:tcBorders>
            <w:shd w:val="clear" w:color="000000" w:fill="FFFFFF"/>
            <w:noWrap/>
            <w:vAlign w:val="bottom"/>
          </w:tcPr>
          <w:p w14:paraId="3CEF25B7" w14:textId="77777777" w:rsidR="00427F93" w:rsidRPr="00427F93" w:rsidRDefault="00427F93" w:rsidP="00730ECF">
            <w:pPr>
              <w:rPr>
                <w:rFonts w:eastAsia="Times New Roman" w:cstheme="minorHAnsi"/>
                <w:sz w:val="2"/>
                <w:szCs w:val="2"/>
              </w:rPr>
            </w:pPr>
          </w:p>
        </w:tc>
        <w:tc>
          <w:tcPr>
            <w:tcW w:w="1350" w:type="dxa"/>
            <w:tcBorders>
              <w:top w:val="double" w:sz="4" w:space="0" w:color="auto"/>
              <w:left w:val="nil"/>
              <w:right w:val="nil"/>
            </w:tcBorders>
            <w:shd w:val="clear" w:color="000000" w:fill="FFFFFF"/>
            <w:noWrap/>
            <w:vAlign w:val="bottom"/>
          </w:tcPr>
          <w:p w14:paraId="3D86AFC1" w14:textId="77777777" w:rsidR="00427F93" w:rsidRPr="00427F93" w:rsidRDefault="00427F93" w:rsidP="00730ECF">
            <w:pPr>
              <w:jc w:val="right"/>
              <w:rPr>
                <w:rFonts w:ascii="Calibri" w:hAnsi="Calibri" w:cs="Calibri"/>
                <w:sz w:val="2"/>
                <w:szCs w:val="2"/>
              </w:rPr>
            </w:pPr>
          </w:p>
        </w:tc>
        <w:tc>
          <w:tcPr>
            <w:tcW w:w="1080" w:type="dxa"/>
            <w:tcBorders>
              <w:top w:val="double" w:sz="4" w:space="0" w:color="auto"/>
              <w:left w:val="nil"/>
              <w:right w:val="nil"/>
            </w:tcBorders>
            <w:shd w:val="clear" w:color="000000" w:fill="FFFFFF"/>
            <w:noWrap/>
            <w:vAlign w:val="bottom"/>
          </w:tcPr>
          <w:p w14:paraId="73114385" w14:textId="77777777" w:rsidR="00427F93" w:rsidRPr="00427F93" w:rsidRDefault="00427F93" w:rsidP="00730ECF">
            <w:pPr>
              <w:jc w:val="right"/>
              <w:rPr>
                <w:rFonts w:ascii="Calibri" w:hAnsi="Calibri" w:cs="Calibri"/>
                <w:sz w:val="2"/>
                <w:szCs w:val="2"/>
              </w:rPr>
            </w:pPr>
          </w:p>
        </w:tc>
        <w:tc>
          <w:tcPr>
            <w:tcW w:w="990" w:type="dxa"/>
            <w:tcBorders>
              <w:top w:val="double" w:sz="4" w:space="0" w:color="auto"/>
              <w:left w:val="nil"/>
              <w:right w:val="nil"/>
            </w:tcBorders>
            <w:shd w:val="clear" w:color="000000" w:fill="FFFFFF"/>
            <w:noWrap/>
            <w:vAlign w:val="bottom"/>
          </w:tcPr>
          <w:p w14:paraId="78583F4C" w14:textId="77777777" w:rsidR="00427F93" w:rsidRPr="00427F93" w:rsidRDefault="00427F93" w:rsidP="00730ECF">
            <w:pPr>
              <w:jc w:val="right"/>
              <w:rPr>
                <w:rFonts w:ascii="Calibri" w:hAnsi="Calibri" w:cs="Calibri"/>
                <w:sz w:val="2"/>
                <w:szCs w:val="2"/>
              </w:rPr>
            </w:pPr>
          </w:p>
        </w:tc>
        <w:tc>
          <w:tcPr>
            <w:tcW w:w="1260" w:type="dxa"/>
            <w:tcBorders>
              <w:top w:val="double" w:sz="4" w:space="0" w:color="auto"/>
              <w:left w:val="nil"/>
              <w:right w:val="nil"/>
            </w:tcBorders>
            <w:shd w:val="clear" w:color="000000" w:fill="FFFFFF"/>
            <w:noWrap/>
            <w:vAlign w:val="bottom"/>
          </w:tcPr>
          <w:p w14:paraId="6C813BB8" w14:textId="77777777" w:rsidR="00427F93" w:rsidRPr="00427F93" w:rsidRDefault="00427F93" w:rsidP="00730ECF">
            <w:pPr>
              <w:jc w:val="right"/>
              <w:rPr>
                <w:rFonts w:cstheme="minorHAnsi"/>
                <w:sz w:val="2"/>
                <w:szCs w:val="2"/>
              </w:rPr>
            </w:pPr>
          </w:p>
        </w:tc>
      </w:tr>
    </w:tbl>
    <w:p w14:paraId="3493E970" w14:textId="77777777" w:rsidR="001B6918" w:rsidRPr="004E6649" w:rsidRDefault="001B6918" w:rsidP="001B6918">
      <w:pPr>
        <w:spacing w:after="160" w:line="259" w:lineRule="auto"/>
        <w:rPr>
          <w:rFonts w:eastAsiaTheme="majorEastAsia" w:cstheme="minorHAnsi"/>
          <w:b/>
          <w:i/>
          <w:iCs/>
          <w:smallCaps/>
          <w:noProof/>
          <w:color w:val="000000" w:themeColor="text1"/>
          <w:sz w:val="26"/>
          <w:szCs w:val="26"/>
          <w:u w:color="5B9BD5"/>
        </w:rPr>
      </w:pPr>
      <w:r w:rsidRPr="004E6649">
        <w:rPr>
          <w:rFonts w:eastAsiaTheme="majorEastAsia" w:cstheme="minorHAnsi"/>
          <w:b/>
          <w:i/>
          <w:iCs/>
          <w:smallCaps/>
          <w:noProof/>
          <w:color w:val="000000" w:themeColor="text1"/>
          <w:sz w:val="26"/>
          <w:szCs w:val="26"/>
          <w:u w:color="5B9BD5"/>
        </w:rPr>
        <w:br w:type="page"/>
      </w:r>
    </w:p>
    <w:p w14:paraId="296F3D90" w14:textId="77777777" w:rsidR="001B6918" w:rsidRPr="009E4423" w:rsidRDefault="001B6918" w:rsidP="001B6918">
      <w:pPr>
        <w:spacing w:after="160"/>
        <w:rPr>
          <w:rFonts w:eastAsiaTheme="majorEastAsia" w:cstheme="minorHAnsi"/>
          <w:b/>
          <w:i/>
          <w:iCs/>
          <w:smallCaps/>
          <w:noProof/>
          <w:color w:val="000000" w:themeColor="text1"/>
          <w:sz w:val="24"/>
          <w:szCs w:val="24"/>
          <w:u w:color="5B9BD5"/>
        </w:rPr>
      </w:pPr>
      <w:r w:rsidRPr="009E4423">
        <w:rPr>
          <w:rFonts w:eastAsiaTheme="majorEastAsia" w:cstheme="minorHAnsi"/>
          <w:b/>
          <w:i/>
          <w:iCs/>
          <w:smallCaps/>
          <w:noProof/>
          <w:color w:val="000000" w:themeColor="text1"/>
          <w:sz w:val="24"/>
          <w:szCs w:val="24"/>
          <w:u w:color="5B9BD5"/>
        </w:rPr>
        <w:lastRenderedPageBreak/>
        <w:t>16. DEFERRED OUTFLOWS OF RESOURCES AND DEFERRED INFLOWS OF RESOURCES – CONTINUED</w:t>
      </w:r>
    </w:p>
    <w:p w14:paraId="2B9988EB" w14:textId="77777777" w:rsidR="001B6918" w:rsidRPr="004E6649" w:rsidRDefault="001B6918" w:rsidP="001B6918">
      <w:pPr>
        <w:tabs>
          <w:tab w:val="left" w:pos="900"/>
        </w:tabs>
        <w:spacing w:after="240"/>
        <w:ind w:right="-7"/>
        <w:rPr>
          <w:rFonts w:cstheme="minorHAnsi"/>
          <w:sz w:val="16"/>
          <w:u w:val="single"/>
        </w:rPr>
      </w:pPr>
      <w:r w:rsidRPr="004E6649">
        <w:rPr>
          <w:rFonts w:cstheme="minorHAnsi"/>
          <w:sz w:val="24"/>
        </w:rPr>
        <w:t>Deferred outflows of resources and deferred inflows of resources for pensions and OPEB were related to the following sources for the year ended June 30.</w:t>
      </w:r>
    </w:p>
    <w:p w14:paraId="3C265D6A" w14:textId="77777777" w:rsidR="001B6918" w:rsidRPr="004E6649" w:rsidRDefault="001B6918" w:rsidP="001B6918">
      <w:pPr>
        <w:tabs>
          <w:tab w:val="left" w:pos="900"/>
        </w:tabs>
        <w:spacing w:before="240"/>
        <w:ind w:right="-7"/>
        <w:jc w:val="center"/>
        <w:rPr>
          <w:rFonts w:eastAsia="Times New Roman" w:cstheme="minorHAnsi"/>
          <w:b/>
          <w:bCs/>
        </w:rPr>
      </w:pPr>
      <w:r w:rsidRPr="004E6649">
        <w:rPr>
          <w:rFonts w:eastAsia="Times New Roman" w:cstheme="minorHAnsi"/>
          <w:b/>
          <w:bCs/>
        </w:rPr>
        <w:t>202</w:t>
      </w:r>
      <w:r>
        <w:rPr>
          <w:rFonts w:eastAsia="Times New Roman" w:cstheme="minorHAnsi"/>
          <w:b/>
          <w:bCs/>
        </w:rPr>
        <w:t>4</w:t>
      </w:r>
    </w:p>
    <w:tbl>
      <w:tblPr>
        <w:tblW w:w="9900" w:type="dxa"/>
        <w:tblLook w:val="04A0" w:firstRow="1" w:lastRow="0" w:firstColumn="1" w:lastColumn="0" w:noHBand="0" w:noVBand="1"/>
      </w:tblPr>
      <w:tblGrid>
        <w:gridCol w:w="5044"/>
        <w:gridCol w:w="1230"/>
        <w:gridCol w:w="1168"/>
        <w:gridCol w:w="1190"/>
        <w:gridCol w:w="1268"/>
      </w:tblGrid>
      <w:tr w:rsidR="001B6918" w:rsidRPr="004E6649" w14:paraId="700C454A" w14:textId="77777777" w:rsidTr="00F51774">
        <w:trPr>
          <w:trHeight w:val="659"/>
          <w:tblHeader/>
        </w:trPr>
        <w:tc>
          <w:tcPr>
            <w:tcW w:w="5044" w:type="dxa"/>
            <w:tcBorders>
              <w:top w:val="single" w:sz="12" w:space="0" w:color="000000" w:themeColor="text1"/>
              <w:left w:val="nil"/>
              <w:bottom w:val="single" w:sz="8" w:space="0" w:color="000000" w:themeColor="text1"/>
              <w:right w:val="nil"/>
            </w:tcBorders>
            <w:shd w:val="clear" w:color="000000" w:fill="FFFFFF"/>
            <w:noWrap/>
            <w:vAlign w:val="bottom"/>
            <w:hideMark/>
          </w:tcPr>
          <w:p w14:paraId="26DA6E45" w14:textId="77777777" w:rsidR="001B6918" w:rsidRPr="004E6649" w:rsidRDefault="001B6918" w:rsidP="00730ECF">
            <w:pPr>
              <w:jc w:val="center"/>
              <w:rPr>
                <w:rFonts w:eastAsia="Times New Roman" w:cstheme="minorHAnsi"/>
                <w:b/>
                <w:bCs/>
                <w:color w:val="FF0000"/>
              </w:rPr>
            </w:pPr>
            <w:r w:rsidRPr="004E6649">
              <w:rPr>
                <w:rFonts w:eastAsia="Times New Roman" w:cstheme="minorHAnsi"/>
                <w:b/>
                <w:bCs/>
              </w:rPr>
              <w:t> </w:t>
            </w:r>
          </w:p>
        </w:tc>
        <w:tc>
          <w:tcPr>
            <w:tcW w:w="1230" w:type="dxa"/>
            <w:tcBorders>
              <w:top w:val="single" w:sz="12" w:space="0" w:color="000000" w:themeColor="text1"/>
              <w:left w:val="nil"/>
              <w:bottom w:val="single" w:sz="8" w:space="0" w:color="000000" w:themeColor="text1"/>
              <w:right w:val="nil"/>
            </w:tcBorders>
            <w:shd w:val="clear" w:color="000000" w:fill="FFFFFF"/>
            <w:vAlign w:val="bottom"/>
            <w:hideMark/>
          </w:tcPr>
          <w:p w14:paraId="24C520D7" w14:textId="77777777" w:rsidR="001B6918" w:rsidRPr="004E6649" w:rsidRDefault="001B6918" w:rsidP="00730ECF">
            <w:pPr>
              <w:jc w:val="center"/>
              <w:rPr>
                <w:rFonts w:eastAsia="Times New Roman" w:cstheme="minorHAnsi"/>
                <w:bCs/>
              </w:rPr>
            </w:pPr>
            <w:r w:rsidRPr="004E6649">
              <w:rPr>
                <w:rFonts w:eastAsia="Times New Roman" w:cstheme="minorHAnsi"/>
                <w:bCs/>
              </w:rPr>
              <w:t xml:space="preserve">Incentive Retirement Plan </w:t>
            </w:r>
          </w:p>
        </w:tc>
        <w:tc>
          <w:tcPr>
            <w:tcW w:w="1168" w:type="dxa"/>
            <w:tcBorders>
              <w:top w:val="single" w:sz="12" w:space="0" w:color="000000" w:themeColor="text1"/>
              <w:left w:val="nil"/>
              <w:bottom w:val="single" w:sz="8" w:space="0" w:color="000000" w:themeColor="text1"/>
              <w:right w:val="nil"/>
            </w:tcBorders>
            <w:shd w:val="clear" w:color="000000" w:fill="FFFFFF"/>
            <w:vAlign w:val="bottom"/>
            <w:hideMark/>
          </w:tcPr>
          <w:p w14:paraId="39898E6E" w14:textId="77777777" w:rsidR="001B6918" w:rsidRPr="004E6649" w:rsidRDefault="001B6918" w:rsidP="00730ECF">
            <w:pPr>
              <w:jc w:val="center"/>
              <w:rPr>
                <w:rFonts w:eastAsia="Times New Roman" w:cstheme="minorHAnsi"/>
                <w:bCs/>
              </w:rPr>
            </w:pPr>
            <w:r w:rsidRPr="004E6649">
              <w:rPr>
                <w:rFonts w:eastAsia="Times New Roman" w:cstheme="minorHAnsi"/>
                <w:bCs/>
              </w:rPr>
              <w:t>Defined Benefit Plan</w:t>
            </w:r>
          </w:p>
        </w:tc>
        <w:tc>
          <w:tcPr>
            <w:tcW w:w="1190" w:type="dxa"/>
            <w:tcBorders>
              <w:top w:val="single" w:sz="12" w:space="0" w:color="000000" w:themeColor="text1"/>
              <w:left w:val="nil"/>
              <w:bottom w:val="single" w:sz="8" w:space="0" w:color="000000" w:themeColor="text1"/>
              <w:right w:val="nil"/>
            </w:tcBorders>
            <w:shd w:val="clear" w:color="000000" w:fill="FFFFFF"/>
            <w:vAlign w:val="bottom"/>
            <w:hideMark/>
          </w:tcPr>
          <w:p w14:paraId="6D29DFE2" w14:textId="77777777" w:rsidR="001B6918" w:rsidRPr="004E6649" w:rsidRDefault="001B6918" w:rsidP="00730ECF">
            <w:pPr>
              <w:jc w:val="center"/>
              <w:rPr>
                <w:rFonts w:eastAsia="Times New Roman" w:cstheme="minorHAnsi"/>
                <w:bCs/>
              </w:rPr>
            </w:pPr>
            <w:r w:rsidRPr="004E6649">
              <w:rPr>
                <w:rFonts w:eastAsia="Times New Roman" w:cstheme="minorHAnsi"/>
                <w:bCs/>
              </w:rPr>
              <w:t xml:space="preserve">Total Pension </w:t>
            </w:r>
          </w:p>
        </w:tc>
        <w:tc>
          <w:tcPr>
            <w:tcW w:w="1268" w:type="dxa"/>
            <w:tcBorders>
              <w:top w:val="single" w:sz="12" w:space="0" w:color="000000" w:themeColor="text1"/>
              <w:left w:val="nil"/>
              <w:bottom w:val="single" w:sz="8" w:space="0" w:color="000000" w:themeColor="text1"/>
              <w:right w:val="nil"/>
            </w:tcBorders>
            <w:shd w:val="clear" w:color="000000" w:fill="FFFFFF"/>
            <w:vAlign w:val="bottom"/>
            <w:hideMark/>
          </w:tcPr>
          <w:p w14:paraId="7A7EDDB4" w14:textId="77777777" w:rsidR="001B6918" w:rsidRPr="004E6649" w:rsidRDefault="001B6918" w:rsidP="00730ECF">
            <w:pPr>
              <w:jc w:val="center"/>
              <w:rPr>
                <w:rFonts w:eastAsia="Times New Roman" w:cstheme="minorHAnsi"/>
                <w:bCs/>
              </w:rPr>
            </w:pPr>
            <w:r w:rsidRPr="004E6649">
              <w:rPr>
                <w:rFonts w:eastAsia="Times New Roman" w:cstheme="minorHAnsi"/>
                <w:bCs/>
              </w:rPr>
              <w:t xml:space="preserve">OPEB </w:t>
            </w:r>
          </w:p>
        </w:tc>
      </w:tr>
      <w:tr w:rsidR="001B6918" w:rsidRPr="004E6649" w14:paraId="6A0B3FED" w14:textId="77777777" w:rsidTr="00F51774">
        <w:trPr>
          <w:trHeight w:val="167"/>
        </w:trPr>
        <w:tc>
          <w:tcPr>
            <w:tcW w:w="5044" w:type="dxa"/>
            <w:tcBorders>
              <w:top w:val="single" w:sz="8" w:space="0" w:color="000000" w:themeColor="text1"/>
              <w:left w:val="nil"/>
              <w:bottom w:val="nil"/>
              <w:right w:val="nil"/>
            </w:tcBorders>
            <w:shd w:val="clear" w:color="000000" w:fill="FFFFFF"/>
            <w:noWrap/>
            <w:vAlign w:val="bottom"/>
            <w:hideMark/>
          </w:tcPr>
          <w:p w14:paraId="21CB0E50" w14:textId="77777777" w:rsidR="001B6918" w:rsidRPr="004E6649" w:rsidRDefault="001B6918" w:rsidP="00730ECF">
            <w:pPr>
              <w:rPr>
                <w:rFonts w:eastAsia="Times New Roman" w:cstheme="minorHAnsi"/>
              </w:rPr>
            </w:pPr>
            <w:r w:rsidRPr="004E6649">
              <w:rPr>
                <w:rFonts w:eastAsia="Times New Roman" w:cstheme="minorHAnsi"/>
              </w:rPr>
              <w:t>Deferred outflows of resources</w:t>
            </w:r>
          </w:p>
        </w:tc>
        <w:tc>
          <w:tcPr>
            <w:tcW w:w="1230" w:type="dxa"/>
            <w:tcBorders>
              <w:top w:val="single" w:sz="8" w:space="0" w:color="000000" w:themeColor="text1"/>
              <w:left w:val="nil"/>
              <w:bottom w:val="nil"/>
              <w:right w:val="nil"/>
            </w:tcBorders>
            <w:shd w:val="clear" w:color="000000" w:fill="FFFFFF"/>
            <w:noWrap/>
            <w:vAlign w:val="bottom"/>
            <w:hideMark/>
          </w:tcPr>
          <w:p w14:paraId="05F0D23B" w14:textId="77777777" w:rsidR="001B6918" w:rsidRPr="004E6649" w:rsidRDefault="001B6918" w:rsidP="00730ECF">
            <w:pPr>
              <w:jc w:val="right"/>
              <w:rPr>
                <w:rFonts w:eastAsia="Times New Roman" w:cstheme="minorHAnsi"/>
              </w:rPr>
            </w:pPr>
            <w:r w:rsidRPr="004E6649">
              <w:rPr>
                <w:rFonts w:eastAsia="Times New Roman" w:cstheme="minorHAnsi"/>
              </w:rPr>
              <w:t> </w:t>
            </w:r>
          </w:p>
        </w:tc>
        <w:tc>
          <w:tcPr>
            <w:tcW w:w="1168" w:type="dxa"/>
            <w:tcBorders>
              <w:top w:val="single" w:sz="8" w:space="0" w:color="000000" w:themeColor="text1"/>
              <w:left w:val="nil"/>
              <w:bottom w:val="nil"/>
              <w:right w:val="nil"/>
            </w:tcBorders>
            <w:shd w:val="clear" w:color="000000" w:fill="FFFFFF"/>
            <w:noWrap/>
            <w:vAlign w:val="bottom"/>
            <w:hideMark/>
          </w:tcPr>
          <w:p w14:paraId="02BDD9A2" w14:textId="77777777" w:rsidR="001B6918" w:rsidRPr="004E6649" w:rsidRDefault="001B6918" w:rsidP="00730ECF">
            <w:pPr>
              <w:jc w:val="right"/>
              <w:rPr>
                <w:rFonts w:eastAsia="Times New Roman" w:cstheme="minorHAnsi"/>
              </w:rPr>
            </w:pPr>
            <w:r w:rsidRPr="004E6649">
              <w:rPr>
                <w:rFonts w:eastAsia="Times New Roman" w:cstheme="minorHAnsi"/>
              </w:rPr>
              <w:t> </w:t>
            </w:r>
          </w:p>
        </w:tc>
        <w:tc>
          <w:tcPr>
            <w:tcW w:w="1190" w:type="dxa"/>
            <w:tcBorders>
              <w:top w:val="single" w:sz="8" w:space="0" w:color="000000" w:themeColor="text1"/>
              <w:left w:val="nil"/>
              <w:bottom w:val="nil"/>
              <w:right w:val="nil"/>
            </w:tcBorders>
            <w:shd w:val="clear" w:color="000000" w:fill="FFFFFF"/>
            <w:noWrap/>
            <w:vAlign w:val="bottom"/>
            <w:hideMark/>
          </w:tcPr>
          <w:p w14:paraId="4852D82B" w14:textId="77777777" w:rsidR="001B6918" w:rsidRPr="004E6649" w:rsidRDefault="001B6918" w:rsidP="00730ECF">
            <w:pPr>
              <w:jc w:val="right"/>
              <w:rPr>
                <w:rFonts w:eastAsia="Times New Roman" w:cstheme="minorHAnsi"/>
              </w:rPr>
            </w:pPr>
            <w:r w:rsidRPr="004E6649">
              <w:rPr>
                <w:rFonts w:eastAsia="Times New Roman" w:cstheme="minorHAnsi"/>
              </w:rPr>
              <w:t> </w:t>
            </w:r>
          </w:p>
        </w:tc>
        <w:tc>
          <w:tcPr>
            <w:tcW w:w="1268" w:type="dxa"/>
            <w:tcBorders>
              <w:top w:val="single" w:sz="8" w:space="0" w:color="000000" w:themeColor="text1"/>
              <w:left w:val="nil"/>
              <w:bottom w:val="nil"/>
              <w:right w:val="nil"/>
            </w:tcBorders>
            <w:shd w:val="clear" w:color="000000" w:fill="FFFFFF"/>
            <w:noWrap/>
            <w:vAlign w:val="bottom"/>
            <w:hideMark/>
          </w:tcPr>
          <w:p w14:paraId="2D3BCBEE" w14:textId="77777777" w:rsidR="001B6918" w:rsidRPr="004E6649" w:rsidRDefault="001B6918" w:rsidP="00730ECF">
            <w:pPr>
              <w:jc w:val="right"/>
              <w:rPr>
                <w:rFonts w:eastAsia="Times New Roman" w:cstheme="minorHAnsi"/>
              </w:rPr>
            </w:pPr>
            <w:r w:rsidRPr="004E6649">
              <w:rPr>
                <w:rFonts w:eastAsia="Times New Roman" w:cstheme="minorHAnsi"/>
              </w:rPr>
              <w:t> </w:t>
            </w:r>
          </w:p>
        </w:tc>
      </w:tr>
      <w:tr w:rsidR="001B6918" w:rsidRPr="004E6649" w14:paraId="5DF663D0" w14:textId="77777777" w:rsidTr="00F51774">
        <w:trPr>
          <w:trHeight w:val="169"/>
        </w:trPr>
        <w:tc>
          <w:tcPr>
            <w:tcW w:w="5044" w:type="dxa"/>
            <w:tcBorders>
              <w:top w:val="nil"/>
              <w:left w:val="nil"/>
              <w:bottom w:val="nil"/>
              <w:right w:val="nil"/>
            </w:tcBorders>
            <w:shd w:val="clear" w:color="000000" w:fill="FFFFFF"/>
            <w:noWrap/>
            <w:vAlign w:val="bottom"/>
            <w:hideMark/>
          </w:tcPr>
          <w:p w14:paraId="4CA05877" w14:textId="77777777" w:rsidR="001B6918" w:rsidRPr="004E6649" w:rsidRDefault="001B6918" w:rsidP="00730ECF">
            <w:pPr>
              <w:ind w:leftChars="75" w:left="165"/>
              <w:rPr>
                <w:rFonts w:eastAsia="Times New Roman" w:cstheme="minorHAnsi"/>
              </w:rPr>
            </w:pPr>
            <w:r w:rsidRPr="004E6649">
              <w:rPr>
                <w:rFonts w:eastAsia="Times New Roman" w:cstheme="minorHAnsi"/>
              </w:rPr>
              <w:t>Changes of assumption or other inputs</w:t>
            </w:r>
          </w:p>
        </w:tc>
        <w:tc>
          <w:tcPr>
            <w:tcW w:w="1230" w:type="dxa"/>
            <w:tcBorders>
              <w:top w:val="nil"/>
              <w:left w:val="nil"/>
              <w:bottom w:val="nil"/>
              <w:right w:val="nil"/>
            </w:tcBorders>
            <w:shd w:val="clear" w:color="000000" w:fill="FFFFFF"/>
            <w:noWrap/>
            <w:vAlign w:val="bottom"/>
            <w:hideMark/>
          </w:tcPr>
          <w:p w14:paraId="3E6EA040" w14:textId="77777777" w:rsidR="001B6918" w:rsidRPr="004E6649" w:rsidRDefault="001B6918" w:rsidP="00730ECF">
            <w:pPr>
              <w:jc w:val="right"/>
              <w:rPr>
                <w:rFonts w:eastAsia="Times New Roman" w:cstheme="minorHAnsi"/>
              </w:rPr>
            </w:pPr>
            <w:r w:rsidRPr="004E6649">
              <w:rPr>
                <w:rFonts w:cstheme="minorHAnsi"/>
                <w:color w:val="000000" w:themeColor="text1"/>
              </w:rPr>
              <w:t xml:space="preserve">$   </w:t>
            </w:r>
            <w:r>
              <w:rPr>
                <w:rFonts w:cstheme="minorHAnsi"/>
                <w:color w:val="000000" w:themeColor="text1"/>
              </w:rPr>
              <w:t>430</w:t>
            </w:r>
          </w:p>
        </w:tc>
        <w:tc>
          <w:tcPr>
            <w:tcW w:w="1168" w:type="dxa"/>
            <w:tcBorders>
              <w:top w:val="nil"/>
              <w:left w:val="nil"/>
              <w:bottom w:val="nil"/>
              <w:right w:val="nil"/>
            </w:tcBorders>
            <w:shd w:val="clear" w:color="000000" w:fill="FFFFFF"/>
            <w:noWrap/>
            <w:vAlign w:val="bottom"/>
            <w:hideMark/>
          </w:tcPr>
          <w:p w14:paraId="35069AFB" w14:textId="77777777" w:rsidR="001B6918" w:rsidRPr="004E6649" w:rsidRDefault="001B6918" w:rsidP="00730ECF">
            <w:pPr>
              <w:jc w:val="right"/>
              <w:rPr>
                <w:rFonts w:eastAsia="Times New Roman" w:cstheme="minorHAnsi"/>
              </w:rPr>
            </w:pPr>
            <w:r w:rsidRPr="006D1F2A">
              <w:rPr>
                <w:rFonts w:cstheme="minorHAnsi"/>
              </w:rPr>
              <w:t>$         -</w:t>
            </w:r>
          </w:p>
        </w:tc>
        <w:tc>
          <w:tcPr>
            <w:tcW w:w="1190" w:type="dxa"/>
            <w:tcBorders>
              <w:top w:val="nil"/>
              <w:left w:val="nil"/>
              <w:bottom w:val="nil"/>
              <w:right w:val="nil"/>
            </w:tcBorders>
            <w:shd w:val="clear" w:color="000000" w:fill="FFFFFF"/>
            <w:noWrap/>
            <w:vAlign w:val="bottom"/>
            <w:hideMark/>
          </w:tcPr>
          <w:p w14:paraId="59745FF4" w14:textId="77777777" w:rsidR="001B6918" w:rsidRPr="004E6649" w:rsidRDefault="001B6918" w:rsidP="00730ECF">
            <w:pPr>
              <w:jc w:val="right"/>
              <w:rPr>
                <w:rFonts w:eastAsia="Times New Roman" w:cstheme="minorHAnsi"/>
              </w:rPr>
            </w:pPr>
            <w:r w:rsidRPr="006D1F2A">
              <w:rPr>
                <w:rFonts w:cstheme="minorHAnsi"/>
              </w:rPr>
              <w:t>$    430</w:t>
            </w:r>
          </w:p>
        </w:tc>
        <w:tc>
          <w:tcPr>
            <w:tcW w:w="1268" w:type="dxa"/>
            <w:tcBorders>
              <w:top w:val="nil"/>
              <w:left w:val="nil"/>
              <w:bottom w:val="nil"/>
              <w:right w:val="nil"/>
            </w:tcBorders>
            <w:shd w:val="clear" w:color="000000" w:fill="FFFFFF"/>
            <w:noWrap/>
            <w:vAlign w:val="bottom"/>
            <w:hideMark/>
          </w:tcPr>
          <w:p w14:paraId="60920C80" w14:textId="77777777" w:rsidR="001B6918" w:rsidRPr="004E6649" w:rsidRDefault="001B6918" w:rsidP="00730ECF">
            <w:pPr>
              <w:jc w:val="right"/>
              <w:rPr>
                <w:rFonts w:eastAsia="Times New Roman" w:cstheme="minorHAnsi"/>
              </w:rPr>
            </w:pPr>
            <w:r w:rsidRPr="00971840">
              <w:rPr>
                <w:rFonts w:cstheme="minorHAnsi"/>
              </w:rPr>
              <w:t>$     2,837</w:t>
            </w:r>
          </w:p>
        </w:tc>
      </w:tr>
      <w:tr w:rsidR="001B6918" w:rsidRPr="004E6649" w14:paraId="220B43AA" w14:textId="77777777" w:rsidTr="00F51774">
        <w:trPr>
          <w:trHeight w:val="74"/>
        </w:trPr>
        <w:tc>
          <w:tcPr>
            <w:tcW w:w="5044" w:type="dxa"/>
            <w:tcBorders>
              <w:top w:val="nil"/>
              <w:left w:val="nil"/>
              <w:bottom w:val="nil"/>
              <w:right w:val="nil"/>
            </w:tcBorders>
            <w:shd w:val="clear" w:color="000000" w:fill="FFFFFF"/>
            <w:vAlign w:val="bottom"/>
            <w:hideMark/>
          </w:tcPr>
          <w:p w14:paraId="5060102F" w14:textId="77777777" w:rsidR="001B6918" w:rsidRPr="004E6649" w:rsidRDefault="001B6918" w:rsidP="00730ECF">
            <w:pPr>
              <w:ind w:leftChars="73" w:left="161" w:firstLine="2"/>
              <w:rPr>
                <w:rFonts w:eastAsia="Times New Roman" w:cstheme="minorHAnsi"/>
              </w:rPr>
            </w:pPr>
            <w:r w:rsidRPr="004E6649">
              <w:rPr>
                <w:rFonts w:eastAsia="Times New Roman" w:cstheme="minorHAnsi"/>
              </w:rPr>
              <w:t>Difference between expected and actual experience</w:t>
            </w:r>
          </w:p>
        </w:tc>
        <w:tc>
          <w:tcPr>
            <w:tcW w:w="1230" w:type="dxa"/>
            <w:tcBorders>
              <w:top w:val="nil"/>
              <w:left w:val="nil"/>
              <w:bottom w:val="nil"/>
              <w:right w:val="nil"/>
            </w:tcBorders>
            <w:shd w:val="clear" w:color="000000" w:fill="FFFFFF"/>
            <w:noWrap/>
            <w:vAlign w:val="bottom"/>
            <w:hideMark/>
          </w:tcPr>
          <w:p w14:paraId="1059AAF3" w14:textId="77777777" w:rsidR="001B6918" w:rsidRPr="004E6649" w:rsidRDefault="001B6918" w:rsidP="00730ECF">
            <w:pPr>
              <w:jc w:val="right"/>
              <w:rPr>
                <w:rFonts w:eastAsia="Times New Roman" w:cstheme="minorHAnsi"/>
              </w:rPr>
            </w:pPr>
            <w:r>
              <w:rPr>
                <w:rFonts w:cstheme="minorHAnsi"/>
                <w:color w:val="000000" w:themeColor="text1"/>
              </w:rPr>
              <w:t>306</w:t>
            </w:r>
          </w:p>
        </w:tc>
        <w:tc>
          <w:tcPr>
            <w:tcW w:w="1168" w:type="dxa"/>
            <w:tcBorders>
              <w:top w:val="nil"/>
              <w:left w:val="nil"/>
              <w:bottom w:val="nil"/>
              <w:right w:val="nil"/>
            </w:tcBorders>
            <w:shd w:val="clear" w:color="000000" w:fill="FFFFFF"/>
            <w:noWrap/>
            <w:vAlign w:val="bottom"/>
            <w:hideMark/>
          </w:tcPr>
          <w:p w14:paraId="5AFFF7E1" w14:textId="77777777" w:rsidR="001B6918" w:rsidRPr="004E6649" w:rsidRDefault="001B6918" w:rsidP="00730ECF">
            <w:pPr>
              <w:jc w:val="right"/>
              <w:rPr>
                <w:rFonts w:eastAsia="Times New Roman" w:cstheme="minorHAnsi"/>
              </w:rPr>
            </w:pPr>
            <w:r w:rsidRPr="006D1F2A">
              <w:rPr>
                <w:rFonts w:cstheme="minorHAnsi"/>
              </w:rPr>
              <w:t>-</w:t>
            </w:r>
          </w:p>
        </w:tc>
        <w:tc>
          <w:tcPr>
            <w:tcW w:w="1190" w:type="dxa"/>
            <w:tcBorders>
              <w:top w:val="nil"/>
              <w:left w:val="nil"/>
              <w:bottom w:val="nil"/>
              <w:right w:val="nil"/>
            </w:tcBorders>
            <w:shd w:val="clear" w:color="000000" w:fill="FFFFFF"/>
            <w:noWrap/>
            <w:vAlign w:val="bottom"/>
            <w:hideMark/>
          </w:tcPr>
          <w:p w14:paraId="28D55725" w14:textId="77777777" w:rsidR="001B6918" w:rsidRPr="004E6649" w:rsidRDefault="001B6918" w:rsidP="00730ECF">
            <w:pPr>
              <w:jc w:val="right"/>
              <w:rPr>
                <w:rFonts w:eastAsia="Times New Roman" w:cstheme="minorHAnsi"/>
              </w:rPr>
            </w:pPr>
            <w:r w:rsidRPr="006D1F2A">
              <w:rPr>
                <w:rFonts w:cstheme="minorHAnsi"/>
              </w:rPr>
              <w:t>306</w:t>
            </w:r>
          </w:p>
        </w:tc>
        <w:tc>
          <w:tcPr>
            <w:tcW w:w="1268" w:type="dxa"/>
            <w:tcBorders>
              <w:top w:val="nil"/>
              <w:left w:val="nil"/>
              <w:bottom w:val="nil"/>
              <w:right w:val="nil"/>
            </w:tcBorders>
            <w:shd w:val="clear" w:color="000000" w:fill="FFFFFF"/>
            <w:noWrap/>
            <w:vAlign w:val="bottom"/>
            <w:hideMark/>
          </w:tcPr>
          <w:p w14:paraId="1B7CE934" w14:textId="77777777" w:rsidR="001B6918" w:rsidRPr="004E6649" w:rsidRDefault="001B6918" w:rsidP="00730ECF">
            <w:pPr>
              <w:jc w:val="right"/>
              <w:rPr>
                <w:rFonts w:eastAsia="Times New Roman" w:cstheme="minorHAnsi"/>
              </w:rPr>
            </w:pPr>
            <w:r w:rsidRPr="00971840">
              <w:rPr>
                <w:rFonts w:cstheme="minorHAnsi"/>
              </w:rPr>
              <w:t>-</w:t>
            </w:r>
          </w:p>
        </w:tc>
      </w:tr>
      <w:tr w:rsidR="001B6918" w:rsidRPr="004E6649" w14:paraId="0B6B5F13" w14:textId="77777777" w:rsidTr="00F51774">
        <w:trPr>
          <w:trHeight w:val="369"/>
        </w:trPr>
        <w:tc>
          <w:tcPr>
            <w:tcW w:w="5044" w:type="dxa"/>
            <w:tcBorders>
              <w:top w:val="nil"/>
              <w:left w:val="nil"/>
              <w:bottom w:val="single" w:sz="8" w:space="0" w:color="000000" w:themeColor="text1"/>
              <w:right w:val="nil"/>
            </w:tcBorders>
            <w:shd w:val="clear" w:color="000000" w:fill="FFFFFF"/>
            <w:vAlign w:val="bottom"/>
            <w:hideMark/>
          </w:tcPr>
          <w:p w14:paraId="252F8715" w14:textId="77777777" w:rsidR="001B6918" w:rsidRPr="004E6649" w:rsidRDefault="001B6918" w:rsidP="00730ECF">
            <w:pPr>
              <w:ind w:leftChars="73" w:left="161" w:firstLine="2"/>
              <w:rPr>
                <w:rFonts w:eastAsia="Times New Roman" w:cstheme="minorHAnsi"/>
              </w:rPr>
            </w:pPr>
            <w:r w:rsidRPr="004E6649">
              <w:rPr>
                <w:rFonts w:eastAsia="Times New Roman" w:cstheme="minorHAnsi"/>
              </w:rPr>
              <w:t>Net difference between projected and actual earnings on plan investments</w:t>
            </w:r>
          </w:p>
        </w:tc>
        <w:tc>
          <w:tcPr>
            <w:tcW w:w="1230" w:type="dxa"/>
            <w:tcBorders>
              <w:top w:val="nil"/>
              <w:left w:val="nil"/>
              <w:bottom w:val="single" w:sz="8" w:space="0" w:color="000000" w:themeColor="text1"/>
              <w:right w:val="nil"/>
            </w:tcBorders>
            <w:shd w:val="clear" w:color="000000" w:fill="FFFFFF"/>
            <w:noWrap/>
            <w:vAlign w:val="bottom"/>
            <w:hideMark/>
          </w:tcPr>
          <w:p w14:paraId="2B5DFE8E" w14:textId="77777777" w:rsidR="001B6918" w:rsidRPr="004E6649" w:rsidRDefault="001B6918" w:rsidP="00730ECF">
            <w:pPr>
              <w:jc w:val="right"/>
              <w:rPr>
                <w:rFonts w:eastAsia="Times New Roman" w:cstheme="minorHAnsi"/>
              </w:rPr>
            </w:pPr>
            <w:r w:rsidRPr="004E6649">
              <w:rPr>
                <w:rFonts w:cstheme="minorHAnsi"/>
                <w:color w:val="000000" w:themeColor="text1"/>
              </w:rPr>
              <w:t>-</w:t>
            </w:r>
          </w:p>
        </w:tc>
        <w:tc>
          <w:tcPr>
            <w:tcW w:w="1168" w:type="dxa"/>
            <w:tcBorders>
              <w:top w:val="nil"/>
              <w:left w:val="nil"/>
              <w:bottom w:val="single" w:sz="8" w:space="0" w:color="000000" w:themeColor="text1"/>
              <w:right w:val="nil"/>
            </w:tcBorders>
            <w:shd w:val="clear" w:color="000000" w:fill="FFFFFF"/>
            <w:noWrap/>
            <w:vAlign w:val="bottom"/>
            <w:hideMark/>
          </w:tcPr>
          <w:p w14:paraId="4FFB63D4" w14:textId="77777777" w:rsidR="001B6918" w:rsidRPr="004E6649" w:rsidRDefault="001B6918" w:rsidP="00730ECF">
            <w:pPr>
              <w:jc w:val="right"/>
              <w:rPr>
                <w:rFonts w:eastAsia="Times New Roman" w:cstheme="minorHAnsi"/>
              </w:rPr>
            </w:pPr>
            <w:r w:rsidRPr="006D1F2A">
              <w:rPr>
                <w:rFonts w:cstheme="minorHAnsi"/>
              </w:rPr>
              <w:t xml:space="preserve">   866</w:t>
            </w:r>
          </w:p>
        </w:tc>
        <w:tc>
          <w:tcPr>
            <w:tcW w:w="1190" w:type="dxa"/>
            <w:tcBorders>
              <w:top w:val="nil"/>
              <w:left w:val="nil"/>
              <w:bottom w:val="single" w:sz="8" w:space="0" w:color="000000" w:themeColor="text1"/>
              <w:right w:val="nil"/>
            </w:tcBorders>
            <w:shd w:val="clear" w:color="000000" w:fill="FFFFFF"/>
            <w:noWrap/>
            <w:vAlign w:val="bottom"/>
            <w:hideMark/>
          </w:tcPr>
          <w:p w14:paraId="7A319879" w14:textId="77777777" w:rsidR="001B6918" w:rsidRPr="004E6649" w:rsidRDefault="001B6918" w:rsidP="00730ECF">
            <w:pPr>
              <w:jc w:val="right"/>
              <w:rPr>
                <w:rFonts w:eastAsia="Times New Roman" w:cstheme="minorHAnsi"/>
              </w:rPr>
            </w:pPr>
            <w:r w:rsidRPr="006D1F2A">
              <w:rPr>
                <w:rFonts w:cstheme="minorHAnsi"/>
              </w:rPr>
              <w:t>866</w:t>
            </w:r>
          </w:p>
        </w:tc>
        <w:tc>
          <w:tcPr>
            <w:tcW w:w="1268" w:type="dxa"/>
            <w:tcBorders>
              <w:top w:val="nil"/>
              <w:left w:val="nil"/>
              <w:bottom w:val="single" w:sz="8" w:space="0" w:color="000000" w:themeColor="text1"/>
              <w:right w:val="nil"/>
            </w:tcBorders>
            <w:shd w:val="clear" w:color="000000" w:fill="FFFFFF"/>
            <w:noWrap/>
            <w:vAlign w:val="bottom"/>
            <w:hideMark/>
          </w:tcPr>
          <w:p w14:paraId="5BB35FB4" w14:textId="77777777" w:rsidR="001B6918" w:rsidRPr="004E6649" w:rsidRDefault="001B6918" w:rsidP="00730ECF">
            <w:pPr>
              <w:jc w:val="right"/>
              <w:rPr>
                <w:rFonts w:eastAsia="Times New Roman" w:cstheme="minorHAnsi"/>
              </w:rPr>
            </w:pPr>
            <w:r w:rsidRPr="00971840">
              <w:rPr>
                <w:rFonts w:cstheme="minorHAnsi"/>
              </w:rPr>
              <w:t>-</w:t>
            </w:r>
          </w:p>
        </w:tc>
      </w:tr>
      <w:tr w:rsidR="001B6918" w:rsidRPr="004E6649" w14:paraId="0B95F63D" w14:textId="77777777" w:rsidTr="00F51774">
        <w:trPr>
          <w:trHeight w:val="158"/>
        </w:trPr>
        <w:tc>
          <w:tcPr>
            <w:tcW w:w="5044" w:type="dxa"/>
            <w:tcBorders>
              <w:top w:val="single" w:sz="8" w:space="0" w:color="000000" w:themeColor="text1"/>
              <w:left w:val="nil"/>
              <w:bottom w:val="single" w:sz="8" w:space="0" w:color="000000" w:themeColor="text1"/>
              <w:right w:val="nil"/>
            </w:tcBorders>
            <w:shd w:val="clear" w:color="000000" w:fill="FFFFFF"/>
            <w:noWrap/>
            <w:vAlign w:val="bottom"/>
            <w:hideMark/>
          </w:tcPr>
          <w:p w14:paraId="312B17D9" w14:textId="77777777" w:rsidR="001B6918" w:rsidRPr="004E6649" w:rsidRDefault="001B6918" w:rsidP="00730ECF">
            <w:pPr>
              <w:ind w:firstLineChars="200" w:firstLine="440"/>
              <w:rPr>
                <w:rFonts w:eastAsia="Times New Roman" w:cstheme="minorHAnsi"/>
              </w:rPr>
            </w:pPr>
            <w:r w:rsidRPr="004E6649">
              <w:rPr>
                <w:rFonts w:eastAsia="Times New Roman" w:cstheme="minorHAnsi"/>
              </w:rPr>
              <w:t>Total deferred outflows of resources</w:t>
            </w:r>
          </w:p>
        </w:tc>
        <w:tc>
          <w:tcPr>
            <w:tcW w:w="1230" w:type="dxa"/>
            <w:tcBorders>
              <w:top w:val="single" w:sz="8" w:space="0" w:color="000000" w:themeColor="text1"/>
              <w:left w:val="nil"/>
              <w:bottom w:val="single" w:sz="8" w:space="0" w:color="000000" w:themeColor="text1"/>
              <w:right w:val="nil"/>
            </w:tcBorders>
            <w:shd w:val="clear" w:color="000000" w:fill="FFFFFF"/>
            <w:noWrap/>
            <w:vAlign w:val="bottom"/>
            <w:hideMark/>
          </w:tcPr>
          <w:p w14:paraId="5D3E9F4B" w14:textId="77777777" w:rsidR="001B6918" w:rsidRPr="004E6649" w:rsidRDefault="001B6918" w:rsidP="00730ECF">
            <w:pPr>
              <w:jc w:val="right"/>
              <w:rPr>
                <w:rFonts w:eastAsia="Times New Roman" w:cstheme="minorHAnsi"/>
              </w:rPr>
            </w:pPr>
            <w:r>
              <w:rPr>
                <w:rFonts w:cstheme="minorHAnsi"/>
                <w:color w:val="000000" w:themeColor="text1"/>
              </w:rPr>
              <w:t>736</w:t>
            </w:r>
          </w:p>
        </w:tc>
        <w:tc>
          <w:tcPr>
            <w:tcW w:w="1168" w:type="dxa"/>
            <w:tcBorders>
              <w:top w:val="single" w:sz="8" w:space="0" w:color="000000" w:themeColor="text1"/>
              <w:left w:val="nil"/>
              <w:bottom w:val="single" w:sz="8" w:space="0" w:color="000000" w:themeColor="text1"/>
              <w:right w:val="nil"/>
            </w:tcBorders>
            <w:shd w:val="clear" w:color="000000" w:fill="FFFFFF"/>
            <w:noWrap/>
            <w:vAlign w:val="bottom"/>
            <w:hideMark/>
          </w:tcPr>
          <w:p w14:paraId="4671FAAE" w14:textId="77777777" w:rsidR="001B6918" w:rsidRPr="004E6649" w:rsidRDefault="001B6918" w:rsidP="00730ECF">
            <w:pPr>
              <w:jc w:val="right"/>
              <w:rPr>
                <w:rFonts w:eastAsia="Times New Roman" w:cstheme="minorHAnsi"/>
              </w:rPr>
            </w:pPr>
            <w:r w:rsidRPr="006D1F2A">
              <w:rPr>
                <w:rFonts w:cstheme="minorHAnsi"/>
              </w:rPr>
              <w:t>866</w:t>
            </w:r>
          </w:p>
        </w:tc>
        <w:tc>
          <w:tcPr>
            <w:tcW w:w="1190" w:type="dxa"/>
            <w:tcBorders>
              <w:top w:val="single" w:sz="8" w:space="0" w:color="000000" w:themeColor="text1"/>
              <w:left w:val="nil"/>
              <w:bottom w:val="single" w:sz="8" w:space="0" w:color="000000" w:themeColor="text1"/>
              <w:right w:val="nil"/>
            </w:tcBorders>
            <w:shd w:val="clear" w:color="000000" w:fill="FFFFFF"/>
            <w:noWrap/>
            <w:vAlign w:val="bottom"/>
            <w:hideMark/>
          </w:tcPr>
          <w:p w14:paraId="1DAAB769" w14:textId="77777777" w:rsidR="001B6918" w:rsidRPr="004E6649" w:rsidRDefault="001B6918" w:rsidP="00730ECF">
            <w:pPr>
              <w:jc w:val="right"/>
              <w:rPr>
                <w:rFonts w:eastAsia="Times New Roman" w:cstheme="minorHAnsi"/>
              </w:rPr>
            </w:pPr>
            <w:r w:rsidRPr="006D1F2A">
              <w:rPr>
                <w:rFonts w:cstheme="minorHAnsi"/>
              </w:rPr>
              <w:t>1,602</w:t>
            </w:r>
          </w:p>
        </w:tc>
        <w:tc>
          <w:tcPr>
            <w:tcW w:w="1268" w:type="dxa"/>
            <w:tcBorders>
              <w:top w:val="single" w:sz="8" w:space="0" w:color="000000" w:themeColor="text1"/>
              <w:left w:val="nil"/>
              <w:bottom w:val="single" w:sz="8" w:space="0" w:color="000000" w:themeColor="text1"/>
              <w:right w:val="nil"/>
            </w:tcBorders>
            <w:shd w:val="clear" w:color="000000" w:fill="FFFFFF"/>
            <w:noWrap/>
            <w:vAlign w:val="bottom"/>
            <w:hideMark/>
          </w:tcPr>
          <w:p w14:paraId="394AF496" w14:textId="77777777" w:rsidR="001B6918" w:rsidRPr="004E6649" w:rsidRDefault="001B6918" w:rsidP="00730ECF">
            <w:pPr>
              <w:jc w:val="right"/>
              <w:rPr>
                <w:rFonts w:eastAsia="Times New Roman" w:cstheme="minorHAnsi"/>
              </w:rPr>
            </w:pPr>
            <w:r w:rsidRPr="00971840">
              <w:rPr>
                <w:rFonts w:cstheme="minorHAnsi"/>
              </w:rPr>
              <w:t>2,837</w:t>
            </w:r>
          </w:p>
        </w:tc>
      </w:tr>
      <w:tr w:rsidR="001B6918" w:rsidRPr="004E6649" w14:paraId="71215438" w14:textId="77777777" w:rsidTr="00F51774">
        <w:trPr>
          <w:trHeight w:val="47"/>
        </w:trPr>
        <w:tc>
          <w:tcPr>
            <w:tcW w:w="5044" w:type="dxa"/>
            <w:tcBorders>
              <w:top w:val="single" w:sz="8" w:space="0" w:color="000000" w:themeColor="text1"/>
              <w:left w:val="nil"/>
              <w:bottom w:val="nil"/>
              <w:right w:val="nil"/>
            </w:tcBorders>
            <w:shd w:val="clear" w:color="000000" w:fill="FFFFFF"/>
            <w:noWrap/>
            <w:vAlign w:val="bottom"/>
            <w:hideMark/>
          </w:tcPr>
          <w:p w14:paraId="13142A2D" w14:textId="77777777" w:rsidR="001B6918" w:rsidRPr="004E6649" w:rsidRDefault="001B6918" w:rsidP="00730ECF">
            <w:pPr>
              <w:rPr>
                <w:rFonts w:eastAsia="Times New Roman" w:cstheme="minorHAnsi"/>
              </w:rPr>
            </w:pPr>
            <w:r w:rsidRPr="004E6649">
              <w:rPr>
                <w:rFonts w:eastAsia="Times New Roman" w:cstheme="minorHAnsi"/>
              </w:rPr>
              <w:t>Deferred inflows of resources</w:t>
            </w:r>
          </w:p>
        </w:tc>
        <w:tc>
          <w:tcPr>
            <w:tcW w:w="1230" w:type="dxa"/>
            <w:tcBorders>
              <w:top w:val="single" w:sz="8" w:space="0" w:color="000000" w:themeColor="text1"/>
              <w:left w:val="nil"/>
              <w:bottom w:val="nil"/>
              <w:right w:val="nil"/>
            </w:tcBorders>
            <w:shd w:val="clear" w:color="000000" w:fill="FFFFFF"/>
            <w:noWrap/>
            <w:vAlign w:val="bottom"/>
            <w:hideMark/>
          </w:tcPr>
          <w:p w14:paraId="07A2B3AD" w14:textId="77777777" w:rsidR="001B6918" w:rsidRPr="004E6649" w:rsidRDefault="001B6918" w:rsidP="00730ECF">
            <w:pPr>
              <w:jc w:val="right"/>
              <w:rPr>
                <w:rFonts w:eastAsia="Times New Roman" w:cstheme="minorHAnsi"/>
              </w:rPr>
            </w:pPr>
            <w:r w:rsidRPr="004E6649">
              <w:rPr>
                <w:rFonts w:cstheme="minorHAnsi"/>
                <w:color w:val="000000" w:themeColor="text1"/>
              </w:rPr>
              <w:t> </w:t>
            </w:r>
          </w:p>
        </w:tc>
        <w:tc>
          <w:tcPr>
            <w:tcW w:w="1168" w:type="dxa"/>
            <w:tcBorders>
              <w:top w:val="single" w:sz="8" w:space="0" w:color="000000" w:themeColor="text1"/>
              <w:left w:val="nil"/>
              <w:bottom w:val="nil"/>
              <w:right w:val="nil"/>
            </w:tcBorders>
            <w:shd w:val="clear" w:color="000000" w:fill="FFFFFF"/>
            <w:noWrap/>
            <w:vAlign w:val="bottom"/>
            <w:hideMark/>
          </w:tcPr>
          <w:p w14:paraId="07D3B796" w14:textId="77777777" w:rsidR="001B6918" w:rsidRPr="004E6649" w:rsidRDefault="001B6918" w:rsidP="00730ECF">
            <w:pPr>
              <w:jc w:val="right"/>
              <w:rPr>
                <w:rFonts w:eastAsia="Times New Roman" w:cstheme="minorHAnsi"/>
              </w:rPr>
            </w:pPr>
            <w:r w:rsidRPr="006D1F2A">
              <w:rPr>
                <w:rFonts w:cstheme="minorHAnsi"/>
              </w:rPr>
              <w:t> </w:t>
            </w:r>
          </w:p>
        </w:tc>
        <w:tc>
          <w:tcPr>
            <w:tcW w:w="1190" w:type="dxa"/>
            <w:tcBorders>
              <w:top w:val="single" w:sz="8" w:space="0" w:color="000000" w:themeColor="text1"/>
              <w:left w:val="nil"/>
              <w:bottom w:val="nil"/>
              <w:right w:val="nil"/>
            </w:tcBorders>
            <w:shd w:val="clear" w:color="000000" w:fill="FFFFFF"/>
            <w:noWrap/>
            <w:vAlign w:val="bottom"/>
            <w:hideMark/>
          </w:tcPr>
          <w:p w14:paraId="6036B0C2" w14:textId="77777777" w:rsidR="001B6918" w:rsidRPr="004E6649" w:rsidRDefault="001B6918" w:rsidP="00730ECF">
            <w:pPr>
              <w:jc w:val="right"/>
              <w:rPr>
                <w:rFonts w:eastAsia="Times New Roman" w:cstheme="minorHAnsi"/>
              </w:rPr>
            </w:pPr>
            <w:r w:rsidRPr="006D1F2A">
              <w:rPr>
                <w:rFonts w:cstheme="minorHAnsi"/>
              </w:rPr>
              <w:t> </w:t>
            </w:r>
          </w:p>
        </w:tc>
        <w:tc>
          <w:tcPr>
            <w:tcW w:w="1268" w:type="dxa"/>
            <w:tcBorders>
              <w:top w:val="single" w:sz="8" w:space="0" w:color="000000" w:themeColor="text1"/>
              <w:left w:val="nil"/>
              <w:bottom w:val="nil"/>
              <w:right w:val="nil"/>
            </w:tcBorders>
            <w:shd w:val="clear" w:color="000000" w:fill="FFFFFF"/>
            <w:noWrap/>
            <w:vAlign w:val="bottom"/>
            <w:hideMark/>
          </w:tcPr>
          <w:p w14:paraId="2D27F651" w14:textId="77777777" w:rsidR="001B6918" w:rsidRPr="004E6649" w:rsidRDefault="001B6918" w:rsidP="00730ECF">
            <w:pPr>
              <w:jc w:val="right"/>
              <w:rPr>
                <w:rFonts w:eastAsia="Times New Roman" w:cstheme="minorHAnsi"/>
              </w:rPr>
            </w:pPr>
            <w:r w:rsidRPr="00C011DE">
              <w:rPr>
                <w:rFonts w:cstheme="minorHAnsi"/>
                <w:color w:val="FF0000"/>
              </w:rPr>
              <w:t> </w:t>
            </w:r>
          </w:p>
        </w:tc>
      </w:tr>
      <w:tr w:rsidR="001B6918" w:rsidRPr="004E6649" w14:paraId="3AF1A35E" w14:textId="77777777" w:rsidTr="00F51774">
        <w:trPr>
          <w:trHeight w:val="67"/>
        </w:trPr>
        <w:tc>
          <w:tcPr>
            <w:tcW w:w="5044" w:type="dxa"/>
            <w:tcBorders>
              <w:top w:val="nil"/>
              <w:left w:val="nil"/>
              <w:right w:val="nil"/>
            </w:tcBorders>
            <w:shd w:val="clear" w:color="000000" w:fill="FFFFFF"/>
            <w:noWrap/>
            <w:vAlign w:val="bottom"/>
            <w:hideMark/>
          </w:tcPr>
          <w:p w14:paraId="26A8DD89" w14:textId="77777777" w:rsidR="001B6918" w:rsidRPr="004E6649" w:rsidRDefault="001B6918" w:rsidP="00730ECF">
            <w:pPr>
              <w:ind w:left="163"/>
              <w:rPr>
                <w:rFonts w:eastAsia="Times New Roman" w:cstheme="minorHAnsi"/>
              </w:rPr>
            </w:pPr>
            <w:r w:rsidRPr="004E6649">
              <w:rPr>
                <w:rFonts w:eastAsia="Times New Roman" w:cstheme="minorHAnsi"/>
              </w:rPr>
              <w:t>Changes of assumption or other inputs</w:t>
            </w:r>
          </w:p>
        </w:tc>
        <w:tc>
          <w:tcPr>
            <w:tcW w:w="1230" w:type="dxa"/>
            <w:tcBorders>
              <w:top w:val="nil"/>
              <w:left w:val="nil"/>
              <w:right w:val="nil"/>
            </w:tcBorders>
            <w:shd w:val="clear" w:color="000000" w:fill="FFFFFF"/>
            <w:noWrap/>
            <w:vAlign w:val="bottom"/>
            <w:hideMark/>
          </w:tcPr>
          <w:p w14:paraId="3747878B" w14:textId="77777777" w:rsidR="001B6918" w:rsidRPr="004E6649" w:rsidRDefault="001B6918" w:rsidP="00730ECF">
            <w:pPr>
              <w:jc w:val="right"/>
              <w:rPr>
                <w:rFonts w:eastAsia="Times New Roman" w:cstheme="minorHAnsi"/>
              </w:rPr>
            </w:pPr>
            <w:r>
              <w:rPr>
                <w:rFonts w:ascii="Calibri" w:hAnsi="Calibri" w:cs="Calibri"/>
              </w:rPr>
              <w:t xml:space="preserve">             578 </w:t>
            </w:r>
          </w:p>
        </w:tc>
        <w:tc>
          <w:tcPr>
            <w:tcW w:w="1168" w:type="dxa"/>
            <w:tcBorders>
              <w:top w:val="nil"/>
              <w:left w:val="nil"/>
              <w:right w:val="nil"/>
            </w:tcBorders>
            <w:shd w:val="clear" w:color="000000" w:fill="FFFFFF"/>
            <w:noWrap/>
            <w:vAlign w:val="bottom"/>
            <w:hideMark/>
          </w:tcPr>
          <w:p w14:paraId="4E27B0DE" w14:textId="77777777" w:rsidR="001B6918" w:rsidRPr="004E6649" w:rsidRDefault="001B6918" w:rsidP="00730ECF">
            <w:pPr>
              <w:jc w:val="right"/>
              <w:rPr>
                <w:rFonts w:eastAsia="Times New Roman" w:cstheme="minorHAnsi"/>
              </w:rPr>
            </w:pPr>
            <w:r w:rsidRPr="006D1F2A">
              <w:rPr>
                <w:rFonts w:cstheme="minorHAnsi"/>
              </w:rPr>
              <w:t>-</w:t>
            </w:r>
          </w:p>
        </w:tc>
        <w:tc>
          <w:tcPr>
            <w:tcW w:w="1190" w:type="dxa"/>
            <w:tcBorders>
              <w:top w:val="nil"/>
              <w:left w:val="nil"/>
              <w:right w:val="nil"/>
            </w:tcBorders>
            <w:shd w:val="clear" w:color="000000" w:fill="FFFFFF"/>
            <w:noWrap/>
            <w:vAlign w:val="bottom"/>
            <w:hideMark/>
          </w:tcPr>
          <w:p w14:paraId="63B91887" w14:textId="77777777" w:rsidR="001B6918" w:rsidRPr="004E6649" w:rsidRDefault="001B6918" w:rsidP="00730ECF">
            <w:pPr>
              <w:jc w:val="right"/>
              <w:rPr>
                <w:rFonts w:eastAsia="Times New Roman" w:cstheme="minorHAnsi"/>
              </w:rPr>
            </w:pPr>
            <w:r>
              <w:rPr>
                <w:rFonts w:cstheme="minorHAnsi"/>
              </w:rPr>
              <w:t>578</w:t>
            </w:r>
          </w:p>
        </w:tc>
        <w:tc>
          <w:tcPr>
            <w:tcW w:w="1268" w:type="dxa"/>
            <w:tcBorders>
              <w:top w:val="nil"/>
              <w:left w:val="nil"/>
              <w:right w:val="nil"/>
            </w:tcBorders>
            <w:shd w:val="clear" w:color="000000" w:fill="FFFFFF"/>
            <w:noWrap/>
            <w:vAlign w:val="bottom"/>
            <w:hideMark/>
          </w:tcPr>
          <w:p w14:paraId="4EEED1C0" w14:textId="77777777" w:rsidR="001B6918" w:rsidRPr="004E6649" w:rsidRDefault="001B6918" w:rsidP="00730ECF">
            <w:pPr>
              <w:jc w:val="right"/>
              <w:rPr>
                <w:rFonts w:eastAsia="Times New Roman" w:cstheme="minorHAnsi"/>
              </w:rPr>
            </w:pPr>
            <w:r w:rsidRPr="00971840">
              <w:rPr>
                <w:rFonts w:cstheme="minorHAnsi"/>
              </w:rPr>
              <w:t>9,917</w:t>
            </w:r>
          </w:p>
        </w:tc>
      </w:tr>
      <w:tr w:rsidR="001B6918" w:rsidRPr="004E6649" w14:paraId="36BBA1F3" w14:textId="77777777" w:rsidTr="00F51774">
        <w:trPr>
          <w:trHeight w:val="141"/>
        </w:trPr>
        <w:tc>
          <w:tcPr>
            <w:tcW w:w="5044" w:type="dxa"/>
            <w:tcBorders>
              <w:top w:val="nil"/>
              <w:left w:val="nil"/>
              <w:right w:val="nil"/>
            </w:tcBorders>
            <w:shd w:val="clear" w:color="000000" w:fill="FFFFFF"/>
            <w:vAlign w:val="bottom"/>
            <w:hideMark/>
          </w:tcPr>
          <w:p w14:paraId="63152736" w14:textId="77777777" w:rsidR="001B6918" w:rsidRPr="004E6649" w:rsidRDefault="001B6918" w:rsidP="00730ECF">
            <w:pPr>
              <w:ind w:left="163"/>
              <w:rPr>
                <w:rFonts w:eastAsia="Times New Roman" w:cstheme="minorHAnsi"/>
              </w:rPr>
            </w:pPr>
            <w:r w:rsidRPr="004E6649">
              <w:rPr>
                <w:rFonts w:eastAsia="Times New Roman" w:cstheme="minorHAnsi"/>
              </w:rPr>
              <w:t>Difference between expected and actual experience</w:t>
            </w:r>
          </w:p>
        </w:tc>
        <w:tc>
          <w:tcPr>
            <w:tcW w:w="1230" w:type="dxa"/>
            <w:tcBorders>
              <w:top w:val="nil"/>
              <w:left w:val="nil"/>
              <w:right w:val="nil"/>
            </w:tcBorders>
            <w:shd w:val="clear" w:color="000000" w:fill="FFFFFF"/>
            <w:noWrap/>
            <w:vAlign w:val="bottom"/>
            <w:hideMark/>
          </w:tcPr>
          <w:p w14:paraId="3D8E2932" w14:textId="77777777" w:rsidR="001B6918" w:rsidRPr="004E6649" w:rsidRDefault="001B6918" w:rsidP="00730ECF">
            <w:pPr>
              <w:jc w:val="right"/>
              <w:rPr>
                <w:rFonts w:eastAsia="Times New Roman" w:cstheme="minorHAnsi"/>
              </w:rPr>
            </w:pPr>
            <w:r>
              <w:rPr>
                <w:rFonts w:ascii="Calibri" w:hAnsi="Calibri" w:cs="Calibri"/>
              </w:rPr>
              <w:t xml:space="preserve">             171 </w:t>
            </w:r>
          </w:p>
        </w:tc>
        <w:tc>
          <w:tcPr>
            <w:tcW w:w="1168" w:type="dxa"/>
            <w:tcBorders>
              <w:top w:val="nil"/>
              <w:left w:val="nil"/>
              <w:right w:val="nil"/>
            </w:tcBorders>
            <w:shd w:val="clear" w:color="000000" w:fill="FFFFFF"/>
            <w:noWrap/>
            <w:vAlign w:val="bottom"/>
            <w:hideMark/>
          </w:tcPr>
          <w:p w14:paraId="11CF3032" w14:textId="77777777" w:rsidR="001B6918" w:rsidRPr="004E6649" w:rsidRDefault="001B6918" w:rsidP="00730ECF">
            <w:pPr>
              <w:jc w:val="right"/>
              <w:rPr>
                <w:rFonts w:eastAsia="Times New Roman" w:cstheme="minorHAnsi"/>
              </w:rPr>
            </w:pPr>
            <w:r w:rsidRPr="006D1F2A">
              <w:rPr>
                <w:rFonts w:cstheme="minorHAnsi"/>
              </w:rPr>
              <w:t>-</w:t>
            </w:r>
          </w:p>
        </w:tc>
        <w:tc>
          <w:tcPr>
            <w:tcW w:w="1190" w:type="dxa"/>
            <w:tcBorders>
              <w:top w:val="nil"/>
              <w:left w:val="nil"/>
              <w:right w:val="nil"/>
            </w:tcBorders>
            <w:shd w:val="clear" w:color="000000" w:fill="FFFFFF"/>
            <w:noWrap/>
            <w:vAlign w:val="bottom"/>
            <w:hideMark/>
          </w:tcPr>
          <w:p w14:paraId="54789726" w14:textId="77777777" w:rsidR="001B6918" w:rsidRPr="004E6649" w:rsidRDefault="001B6918" w:rsidP="00730ECF">
            <w:pPr>
              <w:jc w:val="right"/>
              <w:rPr>
                <w:rFonts w:eastAsia="Times New Roman" w:cstheme="minorHAnsi"/>
              </w:rPr>
            </w:pPr>
            <w:r>
              <w:rPr>
                <w:rFonts w:cstheme="minorHAnsi"/>
              </w:rPr>
              <w:t>171</w:t>
            </w:r>
          </w:p>
        </w:tc>
        <w:tc>
          <w:tcPr>
            <w:tcW w:w="1268" w:type="dxa"/>
            <w:tcBorders>
              <w:top w:val="nil"/>
              <w:left w:val="nil"/>
              <w:right w:val="nil"/>
            </w:tcBorders>
            <w:shd w:val="clear" w:color="000000" w:fill="FFFFFF"/>
            <w:noWrap/>
            <w:vAlign w:val="bottom"/>
            <w:hideMark/>
          </w:tcPr>
          <w:p w14:paraId="314B745B" w14:textId="77777777" w:rsidR="001B6918" w:rsidRPr="004E6649" w:rsidRDefault="001B6918" w:rsidP="00730ECF">
            <w:pPr>
              <w:jc w:val="right"/>
              <w:rPr>
                <w:rFonts w:eastAsia="Times New Roman" w:cstheme="minorHAnsi"/>
              </w:rPr>
            </w:pPr>
            <w:r w:rsidRPr="00971840">
              <w:rPr>
                <w:rFonts w:cstheme="minorHAnsi"/>
              </w:rPr>
              <w:t>25,298</w:t>
            </w:r>
          </w:p>
        </w:tc>
      </w:tr>
      <w:tr w:rsidR="001B6918" w:rsidRPr="004E6649" w14:paraId="118120DF" w14:textId="77777777" w:rsidTr="00F51774">
        <w:trPr>
          <w:trHeight w:val="141"/>
        </w:trPr>
        <w:tc>
          <w:tcPr>
            <w:tcW w:w="5044" w:type="dxa"/>
            <w:tcBorders>
              <w:left w:val="nil"/>
              <w:bottom w:val="single" w:sz="8" w:space="0" w:color="000000" w:themeColor="text1"/>
              <w:right w:val="nil"/>
            </w:tcBorders>
            <w:shd w:val="clear" w:color="000000" w:fill="FFFFFF"/>
            <w:vAlign w:val="bottom"/>
          </w:tcPr>
          <w:p w14:paraId="5740A76A" w14:textId="77777777" w:rsidR="001B6918" w:rsidRPr="004E6649" w:rsidRDefault="001B6918" w:rsidP="00730ECF">
            <w:pPr>
              <w:ind w:left="163"/>
              <w:rPr>
                <w:rFonts w:eastAsia="Times New Roman" w:cstheme="minorHAnsi"/>
              </w:rPr>
            </w:pPr>
            <w:r w:rsidRPr="004E6649">
              <w:rPr>
                <w:rFonts w:eastAsia="Times New Roman" w:cstheme="minorHAnsi"/>
              </w:rPr>
              <w:t>Net difference between projected and actual earnings</w:t>
            </w:r>
            <w:r>
              <w:rPr>
                <w:rFonts w:eastAsia="Times New Roman" w:cstheme="minorHAnsi"/>
              </w:rPr>
              <w:t xml:space="preserve"> </w:t>
            </w:r>
            <w:r w:rsidRPr="004E6649">
              <w:rPr>
                <w:rFonts w:eastAsia="Times New Roman" w:cstheme="minorHAnsi"/>
              </w:rPr>
              <w:t>on plan investments</w:t>
            </w:r>
          </w:p>
        </w:tc>
        <w:tc>
          <w:tcPr>
            <w:tcW w:w="1230" w:type="dxa"/>
            <w:tcBorders>
              <w:left w:val="nil"/>
              <w:bottom w:val="single" w:sz="8" w:space="0" w:color="000000" w:themeColor="text1"/>
              <w:right w:val="nil"/>
            </w:tcBorders>
            <w:shd w:val="clear" w:color="000000" w:fill="FFFFFF"/>
            <w:noWrap/>
            <w:vAlign w:val="bottom"/>
          </w:tcPr>
          <w:p w14:paraId="666379ED" w14:textId="77777777" w:rsidR="001B6918" w:rsidRPr="004E6649" w:rsidRDefault="001B6918" w:rsidP="00730ECF">
            <w:pPr>
              <w:jc w:val="right"/>
              <w:rPr>
                <w:rFonts w:cstheme="minorHAnsi"/>
                <w:color w:val="000000" w:themeColor="text1"/>
              </w:rPr>
            </w:pPr>
            <w:r w:rsidRPr="004E6649">
              <w:rPr>
                <w:rFonts w:cstheme="minorHAnsi"/>
                <w:color w:val="000000" w:themeColor="text1"/>
              </w:rPr>
              <w:t>-</w:t>
            </w:r>
          </w:p>
        </w:tc>
        <w:tc>
          <w:tcPr>
            <w:tcW w:w="1168" w:type="dxa"/>
            <w:tcBorders>
              <w:left w:val="nil"/>
              <w:bottom w:val="single" w:sz="8" w:space="0" w:color="000000" w:themeColor="text1"/>
              <w:right w:val="nil"/>
            </w:tcBorders>
            <w:shd w:val="clear" w:color="000000" w:fill="FFFFFF"/>
            <w:noWrap/>
            <w:vAlign w:val="bottom"/>
          </w:tcPr>
          <w:p w14:paraId="114972EF" w14:textId="77777777" w:rsidR="001B6918" w:rsidRPr="004E6649" w:rsidRDefault="001B6918" w:rsidP="00730ECF">
            <w:pPr>
              <w:jc w:val="right"/>
              <w:rPr>
                <w:rFonts w:cstheme="minorHAnsi"/>
                <w:color w:val="000000" w:themeColor="text1"/>
              </w:rPr>
            </w:pPr>
            <w:r w:rsidRPr="004E6649">
              <w:rPr>
                <w:rFonts w:cstheme="minorHAnsi"/>
                <w:color w:val="000000" w:themeColor="text1"/>
              </w:rPr>
              <w:t>-</w:t>
            </w:r>
          </w:p>
        </w:tc>
        <w:tc>
          <w:tcPr>
            <w:tcW w:w="1190" w:type="dxa"/>
            <w:tcBorders>
              <w:left w:val="nil"/>
              <w:bottom w:val="single" w:sz="8" w:space="0" w:color="000000" w:themeColor="text1"/>
              <w:right w:val="nil"/>
            </w:tcBorders>
            <w:shd w:val="clear" w:color="000000" w:fill="FFFFFF"/>
            <w:noWrap/>
            <w:vAlign w:val="bottom"/>
          </w:tcPr>
          <w:p w14:paraId="49CAFBA3" w14:textId="77777777" w:rsidR="001B6918" w:rsidRPr="004E6649" w:rsidRDefault="001B6918" w:rsidP="00730ECF">
            <w:pPr>
              <w:jc w:val="right"/>
              <w:rPr>
                <w:rFonts w:cstheme="minorHAnsi"/>
                <w:color w:val="000000" w:themeColor="text1"/>
              </w:rPr>
            </w:pPr>
            <w:r w:rsidRPr="004E6649">
              <w:rPr>
                <w:rFonts w:cstheme="minorHAnsi"/>
                <w:color w:val="000000" w:themeColor="text1"/>
              </w:rPr>
              <w:t>-</w:t>
            </w:r>
          </w:p>
        </w:tc>
        <w:tc>
          <w:tcPr>
            <w:tcW w:w="1268" w:type="dxa"/>
            <w:tcBorders>
              <w:left w:val="nil"/>
              <w:bottom w:val="single" w:sz="8" w:space="0" w:color="000000" w:themeColor="text1"/>
              <w:right w:val="nil"/>
            </w:tcBorders>
            <w:shd w:val="clear" w:color="000000" w:fill="FFFFFF"/>
            <w:noWrap/>
            <w:vAlign w:val="bottom"/>
          </w:tcPr>
          <w:p w14:paraId="0B247AA1" w14:textId="77777777" w:rsidR="001B6918" w:rsidRPr="004E6649" w:rsidRDefault="001B6918" w:rsidP="00730ECF">
            <w:pPr>
              <w:jc w:val="right"/>
              <w:rPr>
                <w:rFonts w:cstheme="minorHAnsi"/>
                <w:color w:val="000000" w:themeColor="text1"/>
              </w:rPr>
            </w:pPr>
            <w:r w:rsidRPr="00971840">
              <w:rPr>
                <w:rFonts w:cstheme="minorHAnsi"/>
              </w:rPr>
              <w:t>795</w:t>
            </w:r>
          </w:p>
        </w:tc>
      </w:tr>
      <w:tr w:rsidR="001B6918" w:rsidRPr="004E6649" w14:paraId="2C1862DE" w14:textId="77777777" w:rsidTr="00F51774">
        <w:trPr>
          <w:trHeight w:val="120"/>
        </w:trPr>
        <w:tc>
          <w:tcPr>
            <w:tcW w:w="5044" w:type="dxa"/>
            <w:tcBorders>
              <w:top w:val="single" w:sz="8" w:space="0" w:color="000000" w:themeColor="text1"/>
              <w:left w:val="nil"/>
              <w:bottom w:val="single" w:sz="8" w:space="0" w:color="000000" w:themeColor="text1"/>
              <w:right w:val="nil"/>
            </w:tcBorders>
            <w:shd w:val="clear" w:color="000000" w:fill="FFFFFF"/>
            <w:noWrap/>
            <w:vAlign w:val="center"/>
            <w:hideMark/>
          </w:tcPr>
          <w:p w14:paraId="21D6CF33" w14:textId="77777777" w:rsidR="001B6918" w:rsidRPr="004E6649" w:rsidRDefault="001B6918" w:rsidP="00730ECF">
            <w:pPr>
              <w:ind w:firstLineChars="200" w:firstLine="440"/>
              <w:rPr>
                <w:rFonts w:eastAsia="Times New Roman" w:cstheme="minorHAnsi"/>
              </w:rPr>
            </w:pPr>
            <w:r w:rsidRPr="004E6649">
              <w:rPr>
                <w:rFonts w:eastAsia="Times New Roman" w:cstheme="minorHAnsi"/>
              </w:rPr>
              <w:t>Total deferred inflows of resources</w:t>
            </w:r>
          </w:p>
        </w:tc>
        <w:tc>
          <w:tcPr>
            <w:tcW w:w="1230" w:type="dxa"/>
            <w:tcBorders>
              <w:top w:val="single" w:sz="8" w:space="0" w:color="000000" w:themeColor="text1"/>
              <w:left w:val="nil"/>
              <w:bottom w:val="single" w:sz="8" w:space="0" w:color="000000" w:themeColor="text1"/>
              <w:right w:val="nil"/>
            </w:tcBorders>
            <w:shd w:val="clear" w:color="000000" w:fill="FFFFFF"/>
            <w:noWrap/>
            <w:vAlign w:val="bottom"/>
            <w:hideMark/>
          </w:tcPr>
          <w:p w14:paraId="48D7963E" w14:textId="77777777" w:rsidR="001B6918" w:rsidRPr="004E6649" w:rsidRDefault="001B6918" w:rsidP="00730ECF">
            <w:pPr>
              <w:jc w:val="right"/>
              <w:rPr>
                <w:rFonts w:eastAsia="Times New Roman" w:cstheme="minorHAnsi"/>
              </w:rPr>
            </w:pPr>
            <w:r>
              <w:rPr>
                <w:rFonts w:cstheme="minorHAnsi"/>
                <w:color w:val="000000" w:themeColor="text1"/>
              </w:rPr>
              <w:t>749</w:t>
            </w:r>
          </w:p>
        </w:tc>
        <w:tc>
          <w:tcPr>
            <w:tcW w:w="1168" w:type="dxa"/>
            <w:tcBorders>
              <w:top w:val="single" w:sz="8" w:space="0" w:color="000000" w:themeColor="text1"/>
              <w:left w:val="nil"/>
              <w:bottom w:val="single" w:sz="8" w:space="0" w:color="000000" w:themeColor="text1"/>
              <w:right w:val="nil"/>
            </w:tcBorders>
            <w:shd w:val="clear" w:color="000000" w:fill="FFFFFF"/>
            <w:noWrap/>
            <w:vAlign w:val="bottom"/>
            <w:hideMark/>
          </w:tcPr>
          <w:p w14:paraId="11ABA3A4" w14:textId="77777777" w:rsidR="001B6918" w:rsidRPr="004E6649" w:rsidRDefault="001B6918" w:rsidP="00730ECF">
            <w:pPr>
              <w:jc w:val="right"/>
              <w:rPr>
                <w:rFonts w:eastAsia="Times New Roman" w:cstheme="minorHAnsi"/>
              </w:rPr>
            </w:pPr>
            <w:r w:rsidRPr="006D1F2A">
              <w:rPr>
                <w:rFonts w:cstheme="minorHAnsi"/>
              </w:rPr>
              <w:t>-</w:t>
            </w:r>
          </w:p>
        </w:tc>
        <w:tc>
          <w:tcPr>
            <w:tcW w:w="1190" w:type="dxa"/>
            <w:tcBorders>
              <w:top w:val="single" w:sz="8" w:space="0" w:color="000000" w:themeColor="text1"/>
              <w:left w:val="nil"/>
              <w:bottom w:val="single" w:sz="8" w:space="0" w:color="000000" w:themeColor="text1"/>
              <w:right w:val="nil"/>
            </w:tcBorders>
            <w:shd w:val="clear" w:color="000000" w:fill="FFFFFF"/>
            <w:noWrap/>
            <w:vAlign w:val="bottom"/>
            <w:hideMark/>
          </w:tcPr>
          <w:p w14:paraId="00B17943" w14:textId="77777777" w:rsidR="001B6918" w:rsidRPr="004E6649" w:rsidRDefault="001B6918" w:rsidP="00730ECF">
            <w:pPr>
              <w:jc w:val="right"/>
              <w:rPr>
                <w:rFonts w:eastAsia="Times New Roman" w:cstheme="minorHAnsi"/>
              </w:rPr>
            </w:pPr>
            <w:r>
              <w:rPr>
                <w:rFonts w:cstheme="minorHAnsi"/>
              </w:rPr>
              <w:t>749</w:t>
            </w:r>
          </w:p>
        </w:tc>
        <w:tc>
          <w:tcPr>
            <w:tcW w:w="1268" w:type="dxa"/>
            <w:tcBorders>
              <w:top w:val="single" w:sz="8" w:space="0" w:color="000000" w:themeColor="text1"/>
              <w:left w:val="nil"/>
              <w:bottom w:val="single" w:sz="8" w:space="0" w:color="000000" w:themeColor="text1"/>
              <w:right w:val="nil"/>
            </w:tcBorders>
            <w:shd w:val="clear" w:color="000000" w:fill="FFFFFF"/>
            <w:noWrap/>
            <w:vAlign w:val="bottom"/>
            <w:hideMark/>
          </w:tcPr>
          <w:p w14:paraId="3385B909" w14:textId="77777777" w:rsidR="001B6918" w:rsidRPr="004E6649" w:rsidRDefault="001B6918" w:rsidP="00730ECF">
            <w:pPr>
              <w:jc w:val="right"/>
              <w:rPr>
                <w:rFonts w:eastAsia="Times New Roman" w:cstheme="minorHAnsi"/>
              </w:rPr>
            </w:pPr>
            <w:r w:rsidRPr="00971840">
              <w:rPr>
                <w:rFonts w:cstheme="minorHAnsi"/>
              </w:rPr>
              <w:t>36,010</w:t>
            </w:r>
          </w:p>
        </w:tc>
      </w:tr>
      <w:tr w:rsidR="001B6918" w:rsidRPr="004E6649" w14:paraId="38A2AE69" w14:textId="77777777" w:rsidTr="00F51774">
        <w:trPr>
          <w:trHeight w:val="101"/>
        </w:trPr>
        <w:tc>
          <w:tcPr>
            <w:tcW w:w="5044" w:type="dxa"/>
            <w:tcBorders>
              <w:top w:val="single" w:sz="8" w:space="0" w:color="000000" w:themeColor="text1"/>
              <w:left w:val="nil"/>
              <w:bottom w:val="double" w:sz="4" w:space="0" w:color="000000" w:themeColor="text1"/>
              <w:right w:val="nil"/>
            </w:tcBorders>
            <w:shd w:val="clear" w:color="000000" w:fill="FFFFFF"/>
            <w:noWrap/>
            <w:vAlign w:val="bottom"/>
            <w:hideMark/>
          </w:tcPr>
          <w:p w14:paraId="3E95A066" w14:textId="77777777" w:rsidR="001B6918" w:rsidRPr="004E6649" w:rsidRDefault="001B6918" w:rsidP="00730ECF">
            <w:pPr>
              <w:rPr>
                <w:rFonts w:eastAsia="Times New Roman" w:cstheme="minorHAnsi"/>
              </w:rPr>
            </w:pPr>
            <w:r w:rsidRPr="004E6649">
              <w:rPr>
                <w:rFonts w:eastAsia="Times New Roman" w:cstheme="minorHAnsi"/>
              </w:rPr>
              <w:t>Net deferred outflows (inflows)</w:t>
            </w:r>
          </w:p>
        </w:tc>
        <w:tc>
          <w:tcPr>
            <w:tcW w:w="1230" w:type="dxa"/>
            <w:tcBorders>
              <w:top w:val="single" w:sz="8" w:space="0" w:color="000000" w:themeColor="text1"/>
              <w:left w:val="nil"/>
              <w:bottom w:val="double" w:sz="4" w:space="0" w:color="000000" w:themeColor="text1"/>
              <w:right w:val="nil"/>
            </w:tcBorders>
            <w:shd w:val="clear" w:color="000000" w:fill="FFFFFF"/>
            <w:noWrap/>
            <w:vAlign w:val="bottom"/>
            <w:hideMark/>
          </w:tcPr>
          <w:p w14:paraId="0D373EAA" w14:textId="77777777" w:rsidR="001B6918" w:rsidRPr="004E6649" w:rsidRDefault="001B6918" w:rsidP="00730ECF">
            <w:pPr>
              <w:jc w:val="right"/>
              <w:rPr>
                <w:rFonts w:eastAsia="Times New Roman" w:cstheme="minorHAnsi"/>
              </w:rPr>
            </w:pPr>
            <w:r w:rsidRPr="004E6649">
              <w:rPr>
                <w:rFonts w:cstheme="minorHAnsi"/>
                <w:color w:val="000000" w:themeColor="text1"/>
              </w:rPr>
              <w:t xml:space="preserve">$   </w:t>
            </w:r>
            <w:r>
              <w:rPr>
                <w:rFonts w:cstheme="minorHAnsi"/>
                <w:color w:val="000000" w:themeColor="text1"/>
              </w:rPr>
              <w:t>(13)</w:t>
            </w:r>
          </w:p>
        </w:tc>
        <w:tc>
          <w:tcPr>
            <w:tcW w:w="1168" w:type="dxa"/>
            <w:tcBorders>
              <w:top w:val="single" w:sz="8" w:space="0" w:color="000000" w:themeColor="text1"/>
              <w:left w:val="nil"/>
              <w:bottom w:val="double" w:sz="4" w:space="0" w:color="000000" w:themeColor="text1"/>
              <w:right w:val="nil"/>
            </w:tcBorders>
            <w:shd w:val="clear" w:color="000000" w:fill="FFFFFF"/>
            <w:noWrap/>
            <w:vAlign w:val="bottom"/>
            <w:hideMark/>
          </w:tcPr>
          <w:p w14:paraId="1B6BB436" w14:textId="77777777" w:rsidR="001B6918" w:rsidRPr="004E6649" w:rsidRDefault="001B6918" w:rsidP="00730ECF">
            <w:pPr>
              <w:jc w:val="right"/>
              <w:rPr>
                <w:rFonts w:eastAsia="Times New Roman" w:cstheme="minorHAnsi"/>
              </w:rPr>
            </w:pPr>
            <w:r w:rsidRPr="006D1F2A">
              <w:rPr>
                <w:rFonts w:cstheme="minorHAnsi"/>
              </w:rPr>
              <w:t>$   866</w:t>
            </w:r>
          </w:p>
        </w:tc>
        <w:tc>
          <w:tcPr>
            <w:tcW w:w="1190" w:type="dxa"/>
            <w:tcBorders>
              <w:top w:val="single" w:sz="8" w:space="0" w:color="000000" w:themeColor="text1"/>
              <w:left w:val="nil"/>
              <w:bottom w:val="double" w:sz="4" w:space="0" w:color="000000" w:themeColor="text1"/>
              <w:right w:val="nil"/>
            </w:tcBorders>
            <w:shd w:val="clear" w:color="000000" w:fill="FFFFFF"/>
            <w:noWrap/>
            <w:vAlign w:val="bottom"/>
            <w:hideMark/>
          </w:tcPr>
          <w:p w14:paraId="0DED34CA" w14:textId="77777777" w:rsidR="001B6918" w:rsidRPr="004E6649" w:rsidRDefault="001B6918" w:rsidP="00730ECF">
            <w:pPr>
              <w:jc w:val="right"/>
              <w:rPr>
                <w:rFonts w:eastAsia="Times New Roman" w:cstheme="minorHAnsi"/>
              </w:rPr>
            </w:pPr>
            <w:r w:rsidRPr="006D1F2A">
              <w:rPr>
                <w:rFonts w:cstheme="minorHAnsi"/>
              </w:rPr>
              <w:t xml:space="preserve">$ </w:t>
            </w:r>
            <w:r>
              <w:rPr>
                <w:rFonts w:cstheme="minorHAnsi"/>
              </w:rPr>
              <w:t xml:space="preserve">  853</w:t>
            </w:r>
          </w:p>
        </w:tc>
        <w:tc>
          <w:tcPr>
            <w:tcW w:w="1268" w:type="dxa"/>
            <w:tcBorders>
              <w:top w:val="single" w:sz="8" w:space="0" w:color="000000" w:themeColor="text1"/>
              <w:left w:val="nil"/>
              <w:bottom w:val="double" w:sz="4" w:space="0" w:color="000000" w:themeColor="text1"/>
              <w:right w:val="nil"/>
            </w:tcBorders>
            <w:shd w:val="clear" w:color="000000" w:fill="FFFFFF"/>
            <w:noWrap/>
            <w:vAlign w:val="bottom"/>
            <w:hideMark/>
          </w:tcPr>
          <w:p w14:paraId="600EF38F" w14:textId="77777777" w:rsidR="001B6918" w:rsidRPr="004E6649" w:rsidRDefault="001B6918" w:rsidP="00730ECF">
            <w:pPr>
              <w:jc w:val="right"/>
              <w:rPr>
                <w:rFonts w:eastAsia="Times New Roman" w:cstheme="minorHAnsi"/>
              </w:rPr>
            </w:pPr>
            <w:r w:rsidRPr="00971840">
              <w:rPr>
                <w:rFonts w:cstheme="minorHAnsi"/>
              </w:rPr>
              <w:t>$(33,173)</w:t>
            </w:r>
          </w:p>
        </w:tc>
      </w:tr>
    </w:tbl>
    <w:p w14:paraId="5409B67A" w14:textId="77777777" w:rsidR="001B6918" w:rsidRPr="004E6649" w:rsidRDefault="001B6918" w:rsidP="001B6918">
      <w:pPr>
        <w:tabs>
          <w:tab w:val="left" w:pos="900"/>
        </w:tabs>
        <w:spacing w:before="240" w:after="240"/>
        <w:rPr>
          <w:rFonts w:cstheme="minorHAnsi"/>
          <w:sz w:val="26"/>
          <w:szCs w:val="26"/>
        </w:rPr>
      </w:pPr>
      <w:r w:rsidRPr="004E6649">
        <w:rPr>
          <w:rFonts w:cstheme="minorHAnsi"/>
          <w:sz w:val="24"/>
        </w:rPr>
        <w:t>Deferred outflows of resources and deferred inflows of resources related to pensions and OPEB</w:t>
      </w:r>
      <w:r w:rsidRPr="004E6649">
        <w:rPr>
          <w:rFonts w:cstheme="minorHAnsi"/>
          <w:color w:val="FF0000"/>
          <w:sz w:val="24"/>
        </w:rPr>
        <w:t xml:space="preserve"> </w:t>
      </w:r>
      <w:r w:rsidRPr="004E6649">
        <w:rPr>
          <w:rFonts w:cstheme="minorHAnsi"/>
          <w:sz w:val="24"/>
        </w:rPr>
        <w:t>will be recognized in pension expense and postemployment health expense, respectively, during the years ending June 30 as follows.</w:t>
      </w:r>
      <w:r w:rsidRPr="004E6649">
        <w:rPr>
          <w:rFonts w:cstheme="minorHAnsi"/>
          <w:sz w:val="26"/>
          <w:szCs w:val="26"/>
        </w:rPr>
        <w:fldChar w:fldCharType="begin"/>
      </w:r>
      <w:r w:rsidRPr="004E6649">
        <w:rPr>
          <w:rFonts w:cstheme="minorHAnsi"/>
          <w:sz w:val="26"/>
          <w:szCs w:val="26"/>
        </w:rPr>
        <w:fldChar w:fldCharType="end"/>
      </w:r>
    </w:p>
    <w:tbl>
      <w:tblPr>
        <w:tblW w:w="6210" w:type="dxa"/>
        <w:jc w:val="center"/>
        <w:tblLayout w:type="fixed"/>
        <w:tblLook w:val="04A0" w:firstRow="1" w:lastRow="0" w:firstColumn="1" w:lastColumn="0" w:noHBand="0" w:noVBand="1"/>
      </w:tblPr>
      <w:tblGrid>
        <w:gridCol w:w="1350"/>
        <w:gridCol w:w="1350"/>
        <w:gridCol w:w="1080"/>
        <w:gridCol w:w="1170"/>
        <w:gridCol w:w="1260"/>
      </w:tblGrid>
      <w:tr w:rsidR="001B6918" w:rsidRPr="004E6649" w14:paraId="242D4787" w14:textId="77777777" w:rsidTr="00730ECF">
        <w:trPr>
          <w:trHeight w:val="1008"/>
          <w:tblHeader/>
          <w:jc w:val="center"/>
        </w:trPr>
        <w:tc>
          <w:tcPr>
            <w:tcW w:w="1350" w:type="dxa"/>
            <w:tcBorders>
              <w:top w:val="nil"/>
              <w:left w:val="nil"/>
              <w:bottom w:val="single" w:sz="12" w:space="0" w:color="000000" w:themeColor="text1"/>
              <w:right w:val="nil"/>
            </w:tcBorders>
            <w:shd w:val="clear" w:color="000000" w:fill="FFFFFF"/>
            <w:vAlign w:val="bottom"/>
            <w:hideMark/>
          </w:tcPr>
          <w:p w14:paraId="13AA5957" w14:textId="77777777" w:rsidR="001B6918" w:rsidRPr="004E6649" w:rsidRDefault="001B6918" w:rsidP="00730ECF">
            <w:pPr>
              <w:jc w:val="center"/>
              <w:rPr>
                <w:rFonts w:eastAsia="Times New Roman" w:cstheme="minorHAnsi"/>
                <w:bCs/>
                <w:color w:val="0D0D0D"/>
              </w:rPr>
            </w:pPr>
            <w:r w:rsidRPr="004E6649">
              <w:rPr>
                <w:rFonts w:eastAsia="Times New Roman" w:cstheme="minorHAnsi"/>
                <w:bCs/>
                <w:color w:val="0D0D0D"/>
              </w:rPr>
              <w:t>Year Ending June 30:</w:t>
            </w:r>
          </w:p>
        </w:tc>
        <w:tc>
          <w:tcPr>
            <w:tcW w:w="1350" w:type="dxa"/>
            <w:tcBorders>
              <w:top w:val="nil"/>
              <w:left w:val="nil"/>
              <w:bottom w:val="single" w:sz="12" w:space="0" w:color="000000" w:themeColor="text1"/>
              <w:right w:val="nil"/>
            </w:tcBorders>
            <w:shd w:val="clear" w:color="000000" w:fill="FFFFFF"/>
            <w:vAlign w:val="bottom"/>
            <w:hideMark/>
          </w:tcPr>
          <w:p w14:paraId="09320B1E" w14:textId="77777777" w:rsidR="001B6918" w:rsidRPr="004E6649" w:rsidRDefault="001B6918" w:rsidP="00730ECF">
            <w:pPr>
              <w:jc w:val="center"/>
              <w:rPr>
                <w:rFonts w:eastAsia="Times New Roman" w:cstheme="minorHAnsi"/>
                <w:bCs/>
                <w:color w:val="0D0D0D"/>
              </w:rPr>
            </w:pPr>
            <w:r w:rsidRPr="004E6649">
              <w:rPr>
                <w:rFonts w:eastAsia="Times New Roman" w:cstheme="minorHAnsi"/>
                <w:bCs/>
                <w:color w:val="0D0D0D"/>
              </w:rPr>
              <w:t>Incentive Retirement Plan</w:t>
            </w:r>
          </w:p>
        </w:tc>
        <w:tc>
          <w:tcPr>
            <w:tcW w:w="1080" w:type="dxa"/>
            <w:tcBorders>
              <w:top w:val="nil"/>
              <w:left w:val="nil"/>
              <w:bottom w:val="single" w:sz="12" w:space="0" w:color="000000" w:themeColor="text1"/>
              <w:right w:val="nil"/>
            </w:tcBorders>
            <w:shd w:val="clear" w:color="000000" w:fill="FFFFFF"/>
            <w:vAlign w:val="bottom"/>
            <w:hideMark/>
          </w:tcPr>
          <w:p w14:paraId="5FE12D54" w14:textId="77777777" w:rsidR="001B6918" w:rsidRPr="004E6649" w:rsidRDefault="001B6918" w:rsidP="00730ECF">
            <w:pPr>
              <w:jc w:val="center"/>
              <w:rPr>
                <w:rFonts w:eastAsia="Times New Roman" w:cstheme="minorHAnsi"/>
                <w:bCs/>
                <w:color w:val="0D0D0D"/>
              </w:rPr>
            </w:pPr>
            <w:r w:rsidRPr="004E6649">
              <w:rPr>
                <w:rFonts w:eastAsia="Times New Roman" w:cstheme="minorHAnsi"/>
                <w:bCs/>
                <w:color w:val="0D0D0D"/>
              </w:rPr>
              <w:t>Defined Benefit Plan</w:t>
            </w:r>
          </w:p>
        </w:tc>
        <w:tc>
          <w:tcPr>
            <w:tcW w:w="1170" w:type="dxa"/>
            <w:tcBorders>
              <w:top w:val="nil"/>
              <w:left w:val="nil"/>
              <w:bottom w:val="single" w:sz="12" w:space="0" w:color="000000" w:themeColor="text1"/>
              <w:right w:val="nil"/>
            </w:tcBorders>
            <w:shd w:val="clear" w:color="000000" w:fill="FFFFFF"/>
            <w:vAlign w:val="bottom"/>
            <w:hideMark/>
          </w:tcPr>
          <w:p w14:paraId="5C94C887" w14:textId="77777777" w:rsidR="001B6918" w:rsidRPr="004E6649" w:rsidRDefault="001B6918" w:rsidP="00730ECF">
            <w:pPr>
              <w:jc w:val="center"/>
              <w:rPr>
                <w:rFonts w:eastAsia="Times New Roman" w:cstheme="minorHAnsi"/>
                <w:bCs/>
                <w:color w:val="0D0D0D"/>
              </w:rPr>
            </w:pPr>
            <w:r w:rsidRPr="004E6649">
              <w:rPr>
                <w:rFonts w:eastAsia="Times New Roman" w:cstheme="minorHAnsi"/>
                <w:bCs/>
                <w:color w:val="0D0D0D"/>
              </w:rPr>
              <w:t>Total Pension</w:t>
            </w:r>
          </w:p>
        </w:tc>
        <w:tc>
          <w:tcPr>
            <w:tcW w:w="1260" w:type="dxa"/>
            <w:tcBorders>
              <w:top w:val="nil"/>
              <w:left w:val="nil"/>
              <w:bottom w:val="single" w:sz="12" w:space="0" w:color="000000" w:themeColor="text1"/>
              <w:right w:val="nil"/>
            </w:tcBorders>
            <w:shd w:val="clear" w:color="000000" w:fill="FFFFFF"/>
            <w:vAlign w:val="bottom"/>
            <w:hideMark/>
          </w:tcPr>
          <w:p w14:paraId="52DDDB27" w14:textId="77777777" w:rsidR="001B6918" w:rsidRPr="004E6649" w:rsidRDefault="001B6918" w:rsidP="00730ECF">
            <w:pPr>
              <w:jc w:val="center"/>
              <w:rPr>
                <w:rFonts w:eastAsia="Times New Roman" w:cstheme="minorHAnsi"/>
                <w:bCs/>
                <w:color w:val="0D0D0D"/>
              </w:rPr>
            </w:pPr>
            <w:r w:rsidRPr="004E6649">
              <w:rPr>
                <w:rFonts w:eastAsia="Times New Roman" w:cstheme="minorHAnsi"/>
                <w:bCs/>
                <w:color w:val="0D0D0D"/>
              </w:rPr>
              <w:t>OPEB</w:t>
            </w:r>
          </w:p>
        </w:tc>
      </w:tr>
      <w:tr w:rsidR="001B6918" w:rsidRPr="004E6649" w14:paraId="2B274EF5" w14:textId="77777777" w:rsidTr="00730ECF">
        <w:trPr>
          <w:trHeight w:val="300"/>
          <w:jc w:val="center"/>
        </w:trPr>
        <w:tc>
          <w:tcPr>
            <w:tcW w:w="1350" w:type="dxa"/>
            <w:tcBorders>
              <w:top w:val="single" w:sz="12" w:space="0" w:color="000000" w:themeColor="text1"/>
              <w:left w:val="nil"/>
              <w:bottom w:val="nil"/>
              <w:right w:val="nil"/>
            </w:tcBorders>
            <w:shd w:val="clear" w:color="000000" w:fill="FFFFFF"/>
            <w:noWrap/>
            <w:vAlign w:val="bottom"/>
            <w:hideMark/>
          </w:tcPr>
          <w:p w14:paraId="781DD025" w14:textId="77777777" w:rsidR="001B6918" w:rsidRPr="004E6649" w:rsidRDefault="001B6918" w:rsidP="00730ECF">
            <w:pPr>
              <w:jc w:val="center"/>
              <w:rPr>
                <w:rFonts w:eastAsia="Times New Roman" w:cstheme="minorHAnsi"/>
                <w:color w:val="0D0D0D"/>
              </w:rPr>
            </w:pPr>
            <w:r w:rsidRPr="004E6649">
              <w:rPr>
                <w:rFonts w:eastAsia="Times New Roman" w:cstheme="minorHAnsi"/>
                <w:color w:val="0D0D0D"/>
              </w:rPr>
              <w:t>202</w:t>
            </w:r>
            <w:r>
              <w:rPr>
                <w:rFonts w:eastAsia="Times New Roman" w:cstheme="minorHAnsi"/>
                <w:color w:val="0D0D0D"/>
              </w:rPr>
              <w:t>6</w:t>
            </w:r>
          </w:p>
        </w:tc>
        <w:tc>
          <w:tcPr>
            <w:tcW w:w="1350" w:type="dxa"/>
            <w:tcBorders>
              <w:top w:val="nil"/>
              <w:left w:val="nil"/>
              <w:bottom w:val="nil"/>
              <w:right w:val="nil"/>
            </w:tcBorders>
            <w:shd w:val="clear" w:color="000000" w:fill="FFFFFF"/>
            <w:noWrap/>
            <w:vAlign w:val="bottom"/>
            <w:hideMark/>
          </w:tcPr>
          <w:p w14:paraId="2AC70DEF" w14:textId="77777777" w:rsidR="001B6918" w:rsidRPr="00111629" w:rsidRDefault="001B6918" w:rsidP="00730ECF">
            <w:pPr>
              <w:ind w:right="-23"/>
              <w:jc w:val="right"/>
              <w:rPr>
                <w:rFonts w:eastAsia="Times New Roman" w:cstheme="minorHAnsi"/>
                <w:color w:val="FF0000"/>
              </w:rPr>
            </w:pPr>
            <w:r>
              <w:rPr>
                <w:rFonts w:ascii="Calibri" w:hAnsi="Calibri" w:cs="Calibri"/>
              </w:rPr>
              <w:t xml:space="preserve">             $ 278 </w:t>
            </w:r>
          </w:p>
        </w:tc>
        <w:tc>
          <w:tcPr>
            <w:tcW w:w="1080" w:type="dxa"/>
            <w:tcBorders>
              <w:top w:val="nil"/>
              <w:left w:val="nil"/>
              <w:bottom w:val="nil"/>
              <w:right w:val="nil"/>
            </w:tcBorders>
            <w:shd w:val="clear" w:color="000000" w:fill="FFFFFF"/>
            <w:noWrap/>
            <w:vAlign w:val="bottom"/>
            <w:hideMark/>
          </w:tcPr>
          <w:p w14:paraId="316E5248" w14:textId="77777777" w:rsidR="001B6918" w:rsidRPr="00F96B39" w:rsidRDefault="001B6918" w:rsidP="00730ECF">
            <w:pPr>
              <w:jc w:val="right"/>
              <w:rPr>
                <w:rFonts w:eastAsia="Times New Roman" w:cstheme="minorHAnsi"/>
                <w:color w:val="FF0000"/>
              </w:rPr>
            </w:pPr>
            <w:r>
              <w:rPr>
                <w:rFonts w:ascii="Calibri" w:hAnsi="Calibri" w:cs="Calibri"/>
              </w:rPr>
              <w:t xml:space="preserve">  $  674 </w:t>
            </w:r>
          </w:p>
        </w:tc>
        <w:tc>
          <w:tcPr>
            <w:tcW w:w="1170" w:type="dxa"/>
            <w:tcBorders>
              <w:top w:val="nil"/>
              <w:left w:val="nil"/>
              <w:bottom w:val="nil"/>
              <w:right w:val="nil"/>
            </w:tcBorders>
            <w:shd w:val="clear" w:color="000000" w:fill="FFFFFF"/>
            <w:noWrap/>
            <w:vAlign w:val="bottom"/>
            <w:hideMark/>
          </w:tcPr>
          <w:p w14:paraId="7057606E" w14:textId="77777777" w:rsidR="001B6918" w:rsidRPr="00F96B39" w:rsidRDefault="001B6918" w:rsidP="00730ECF">
            <w:pPr>
              <w:jc w:val="right"/>
              <w:rPr>
                <w:rFonts w:eastAsia="Times New Roman" w:cstheme="minorHAnsi"/>
                <w:color w:val="FF0000"/>
              </w:rPr>
            </w:pPr>
            <w:r>
              <w:rPr>
                <w:rFonts w:ascii="Calibri" w:hAnsi="Calibri" w:cs="Calibri"/>
                <w:color w:val="0D0D0D"/>
              </w:rPr>
              <w:t xml:space="preserve">     $  952 </w:t>
            </w:r>
          </w:p>
        </w:tc>
        <w:tc>
          <w:tcPr>
            <w:tcW w:w="1260" w:type="dxa"/>
            <w:tcBorders>
              <w:top w:val="single" w:sz="12" w:space="0" w:color="000000" w:themeColor="text1"/>
              <w:left w:val="nil"/>
              <w:bottom w:val="nil"/>
              <w:right w:val="nil"/>
            </w:tcBorders>
            <w:shd w:val="clear" w:color="000000" w:fill="FFFFFF"/>
            <w:noWrap/>
            <w:hideMark/>
          </w:tcPr>
          <w:p w14:paraId="631B58B7" w14:textId="77777777" w:rsidR="001B6918" w:rsidRPr="003E524C" w:rsidRDefault="001B6918" w:rsidP="00730ECF">
            <w:pPr>
              <w:jc w:val="right"/>
              <w:rPr>
                <w:rFonts w:eastAsia="Times New Roman" w:cstheme="minorHAnsi"/>
              </w:rPr>
            </w:pPr>
            <w:r w:rsidRPr="003E524C">
              <w:rPr>
                <w:rFonts w:cstheme="minorHAnsi"/>
              </w:rPr>
              <w:t>$</w:t>
            </w:r>
            <w:r>
              <w:rPr>
                <w:rFonts w:cstheme="minorHAnsi"/>
              </w:rPr>
              <w:t xml:space="preserve"> </w:t>
            </w:r>
            <w:r w:rsidRPr="003E524C">
              <w:rPr>
                <w:rFonts w:cstheme="minorHAnsi"/>
              </w:rPr>
              <w:t>(4,29</w:t>
            </w:r>
            <w:r>
              <w:rPr>
                <w:rFonts w:cstheme="minorHAnsi"/>
              </w:rPr>
              <w:t>0</w:t>
            </w:r>
            <w:r w:rsidRPr="003E524C">
              <w:rPr>
                <w:rFonts w:cstheme="minorHAnsi"/>
              </w:rPr>
              <w:t>)</w:t>
            </w:r>
          </w:p>
        </w:tc>
      </w:tr>
      <w:tr w:rsidR="001B6918" w:rsidRPr="004E6649" w14:paraId="16703454" w14:textId="77777777" w:rsidTr="00730ECF">
        <w:trPr>
          <w:trHeight w:val="288"/>
          <w:jc w:val="center"/>
        </w:trPr>
        <w:tc>
          <w:tcPr>
            <w:tcW w:w="1350" w:type="dxa"/>
            <w:tcBorders>
              <w:top w:val="nil"/>
              <w:left w:val="nil"/>
              <w:bottom w:val="nil"/>
              <w:right w:val="nil"/>
            </w:tcBorders>
            <w:shd w:val="clear" w:color="000000" w:fill="FFFFFF"/>
            <w:noWrap/>
            <w:vAlign w:val="bottom"/>
            <w:hideMark/>
          </w:tcPr>
          <w:p w14:paraId="1E0CC4C1" w14:textId="77777777" w:rsidR="001B6918" w:rsidRPr="004E6649" w:rsidRDefault="001B6918" w:rsidP="00730ECF">
            <w:pPr>
              <w:jc w:val="center"/>
              <w:rPr>
                <w:rFonts w:eastAsia="Times New Roman" w:cstheme="minorHAnsi"/>
                <w:color w:val="0D0D0D"/>
              </w:rPr>
            </w:pPr>
            <w:r w:rsidRPr="004E6649">
              <w:rPr>
                <w:rFonts w:eastAsia="Times New Roman" w:cstheme="minorHAnsi"/>
                <w:color w:val="0D0D0D"/>
              </w:rPr>
              <w:t>202</w:t>
            </w:r>
            <w:r>
              <w:rPr>
                <w:rFonts w:eastAsia="Times New Roman" w:cstheme="minorHAnsi"/>
                <w:color w:val="0D0D0D"/>
              </w:rPr>
              <w:t>7</w:t>
            </w:r>
          </w:p>
        </w:tc>
        <w:tc>
          <w:tcPr>
            <w:tcW w:w="1350" w:type="dxa"/>
            <w:tcBorders>
              <w:top w:val="nil"/>
              <w:left w:val="nil"/>
              <w:bottom w:val="nil"/>
              <w:right w:val="nil"/>
            </w:tcBorders>
            <w:shd w:val="clear" w:color="000000" w:fill="FFFFFF"/>
            <w:noWrap/>
            <w:vAlign w:val="bottom"/>
            <w:hideMark/>
          </w:tcPr>
          <w:p w14:paraId="6AE4D8FB" w14:textId="77777777" w:rsidR="001B6918" w:rsidRPr="00111629" w:rsidRDefault="001B6918" w:rsidP="00730ECF">
            <w:pPr>
              <w:ind w:right="-23"/>
              <w:jc w:val="right"/>
              <w:rPr>
                <w:rFonts w:eastAsia="Times New Roman" w:cstheme="minorHAnsi"/>
                <w:color w:val="FF0000"/>
              </w:rPr>
            </w:pPr>
            <w:r>
              <w:rPr>
                <w:rFonts w:ascii="Calibri" w:hAnsi="Calibri" w:cs="Calibri"/>
              </w:rPr>
              <w:t xml:space="preserve">          50 </w:t>
            </w:r>
          </w:p>
        </w:tc>
        <w:tc>
          <w:tcPr>
            <w:tcW w:w="1080" w:type="dxa"/>
            <w:tcBorders>
              <w:top w:val="nil"/>
              <w:left w:val="nil"/>
              <w:bottom w:val="nil"/>
              <w:right w:val="nil"/>
            </w:tcBorders>
            <w:shd w:val="clear" w:color="000000" w:fill="FFFFFF"/>
            <w:noWrap/>
            <w:vAlign w:val="bottom"/>
            <w:hideMark/>
          </w:tcPr>
          <w:p w14:paraId="68651037" w14:textId="77777777" w:rsidR="001B6918" w:rsidRPr="00F96B39" w:rsidRDefault="001B6918" w:rsidP="00730ECF">
            <w:pPr>
              <w:jc w:val="right"/>
              <w:rPr>
                <w:rFonts w:eastAsia="Times New Roman" w:cstheme="minorHAnsi"/>
                <w:color w:val="FF0000"/>
              </w:rPr>
            </w:pPr>
            <w:r>
              <w:rPr>
                <w:rFonts w:ascii="Calibri" w:hAnsi="Calibri" w:cs="Calibri"/>
              </w:rPr>
              <w:t xml:space="preserve">           22 </w:t>
            </w:r>
          </w:p>
        </w:tc>
        <w:tc>
          <w:tcPr>
            <w:tcW w:w="1170" w:type="dxa"/>
            <w:tcBorders>
              <w:top w:val="nil"/>
              <w:left w:val="nil"/>
              <w:bottom w:val="nil"/>
              <w:right w:val="nil"/>
            </w:tcBorders>
            <w:shd w:val="clear" w:color="000000" w:fill="FFFFFF"/>
            <w:noWrap/>
            <w:vAlign w:val="bottom"/>
            <w:hideMark/>
          </w:tcPr>
          <w:p w14:paraId="082BF1B7" w14:textId="77777777" w:rsidR="001B6918" w:rsidRPr="00F96B39" w:rsidRDefault="001B6918" w:rsidP="00730ECF">
            <w:pPr>
              <w:jc w:val="right"/>
              <w:rPr>
                <w:rFonts w:eastAsia="Times New Roman" w:cstheme="minorHAnsi"/>
                <w:color w:val="FF0000"/>
              </w:rPr>
            </w:pPr>
            <w:r>
              <w:rPr>
                <w:rFonts w:ascii="Calibri" w:hAnsi="Calibri" w:cs="Calibri"/>
                <w:color w:val="0D0D0D"/>
              </w:rPr>
              <w:t xml:space="preserve">         72 </w:t>
            </w:r>
          </w:p>
        </w:tc>
        <w:tc>
          <w:tcPr>
            <w:tcW w:w="1260" w:type="dxa"/>
            <w:tcBorders>
              <w:top w:val="nil"/>
              <w:left w:val="nil"/>
              <w:bottom w:val="nil"/>
              <w:right w:val="nil"/>
            </w:tcBorders>
            <w:shd w:val="clear" w:color="000000" w:fill="FFFFFF"/>
            <w:noWrap/>
            <w:hideMark/>
          </w:tcPr>
          <w:p w14:paraId="18E4A3E5" w14:textId="77777777" w:rsidR="001B6918" w:rsidRPr="003E524C" w:rsidRDefault="001B6918" w:rsidP="00730ECF">
            <w:pPr>
              <w:jc w:val="right"/>
              <w:rPr>
                <w:rFonts w:eastAsia="Times New Roman" w:cstheme="minorHAnsi"/>
              </w:rPr>
            </w:pPr>
            <w:r w:rsidRPr="003E524C">
              <w:rPr>
                <w:rFonts w:cstheme="minorHAnsi"/>
              </w:rPr>
              <w:t>(11,701)</w:t>
            </w:r>
          </w:p>
        </w:tc>
      </w:tr>
      <w:tr w:rsidR="001B6918" w:rsidRPr="004E6649" w14:paraId="0FB61098" w14:textId="77777777" w:rsidTr="00730ECF">
        <w:trPr>
          <w:trHeight w:val="288"/>
          <w:jc w:val="center"/>
        </w:trPr>
        <w:tc>
          <w:tcPr>
            <w:tcW w:w="1350" w:type="dxa"/>
            <w:tcBorders>
              <w:top w:val="nil"/>
              <w:left w:val="nil"/>
              <w:bottom w:val="nil"/>
              <w:right w:val="nil"/>
            </w:tcBorders>
            <w:shd w:val="clear" w:color="000000" w:fill="FFFFFF"/>
            <w:noWrap/>
            <w:vAlign w:val="bottom"/>
            <w:hideMark/>
          </w:tcPr>
          <w:p w14:paraId="69942D77" w14:textId="77777777" w:rsidR="001B6918" w:rsidRPr="004E6649" w:rsidRDefault="001B6918" w:rsidP="00730ECF">
            <w:pPr>
              <w:jc w:val="center"/>
              <w:rPr>
                <w:rFonts w:eastAsia="Times New Roman" w:cstheme="minorHAnsi"/>
                <w:color w:val="0D0D0D"/>
              </w:rPr>
            </w:pPr>
            <w:r w:rsidRPr="004E6649">
              <w:rPr>
                <w:rFonts w:eastAsia="Times New Roman" w:cstheme="minorHAnsi"/>
                <w:color w:val="0D0D0D"/>
              </w:rPr>
              <w:t>202</w:t>
            </w:r>
            <w:r>
              <w:rPr>
                <w:rFonts w:eastAsia="Times New Roman" w:cstheme="minorHAnsi"/>
                <w:color w:val="0D0D0D"/>
              </w:rPr>
              <w:t>8</w:t>
            </w:r>
          </w:p>
        </w:tc>
        <w:tc>
          <w:tcPr>
            <w:tcW w:w="1350" w:type="dxa"/>
            <w:tcBorders>
              <w:top w:val="nil"/>
              <w:left w:val="nil"/>
              <w:bottom w:val="nil"/>
              <w:right w:val="nil"/>
            </w:tcBorders>
            <w:shd w:val="clear" w:color="000000" w:fill="FFFFFF"/>
            <w:noWrap/>
            <w:vAlign w:val="bottom"/>
            <w:hideMark/>
          </w:tcPr>
          <w:p w14:paraId="74A11BD9" w14:textId="77777777" w:rsidR="001B6918" w:rsidRPr="00111629" w:rsidRDefault="001B6918" w:rsidP="00730ECF">
            <w:pPr>
              <w:ind w:right="-23"/>
              <w:jc w:val="right"/>
              <w:rPr>
                <w:rFonts w:eastAsia="Times New Roman" w:cstheme="minorHAnsi"/>
                <w:color w:val="FF0000"/>
              </w:rPr>
            </w:pPr>
            <w:r>
              <w:rPr>
                <w:rFonts w:ascii="Calibri" w:hAnsi="Calibri" w:cs="Calibri"/>
              </w:rPr>
              <w:t xml:space="preserve">                  70 </w:t>
            </w:r>
          </w:p>
        </w:tc>
        <w:tc>
          <w:tcPr>
            <w:tcW w:w="1080" w:type="dxa"/>
            <w:tcBorders>
              <w:top w:val="nil"/>
              <w:left w:val="nil"/>
              <w:bottom w:val="nil"/>
              <w:right w:val="nil"/>
            </w:tcBorders>
            <w:shd w:val="clear" w:color="000000" w:fill="FFFFFF"/>
            <w:noWrap/>
            <w:vAlign w:val="bottom"/>
            <w:hideMark/>
          </w:tcPr>
          <w:p w14:paraId="63B64A11" w14:textId="77777777" w:rsidR="001B6918" w:rsidRPr="00F96B39" w:rsidRDefault="001B6918" w:rsidP="00730ECF">
            <w:pPr>
              <w:jc w:val="right"/>
              <w:rPr>
                <w:rFonts w:eastAsia="Times New Roman" w:cstheme="minorHAnsi"/>
                <w:color w:val="FF0000"/>
              </w:rPr>
            </w:pPr>
            <w:r>
              <w:rPr>
                <w:rFonts w:ascii="Calibri" w:hAnsi="Calibri" w:cs="Calibri"/>
              </w:rPr>
              <w:t xml:space="preserve">           27 </w:t>
            </w:r>
          </w:p>
        </w:tc>
        <w:tc>
          <w:tcPr>
            <w:tcW w:w="1170" w:type="dxa"/>
            <w:tcBorders>
              <w:top w:val="nil"/>
              <w:left w:val="nil"/>
              <w:bottom w:val="nil"/>
              <w:right w:val="nil"/>
            </w:tcBorders>
            <w:shd w:val="clear" w:color="000000" w:fill="FFFFFF"/>
            <w:noWrap/>
            <w:vAlign w:val="bottom"/>
            <w:hideMark/>
          </w:tcPr>
          <w:p w14:paraId="6344604A" w14:textId="77777777" w:rsidR="001B6918" w:rsidRPr="00F96B39" w:rsidRDefault="001B6918" w:rsidP="00730ECF">
            <w:pPr>
              <w:jc w:val="right"/>
              <w:rPr>
                <w:rFonts w:eastAsia="Times New Roman" w:cstheme="minorHAnsi"/>
                <w:color w:val="FF0000"/>
              </w:rPr>
            </w:pPr>
            <w:r>
              <w:rPr>
                <w:rFonts w:ascii="Calibri" w:hAnsi="Calibri" w:cs="Calibri"/>
                <w:color w:val="0D0D0D"/>
              </w:rPr>
              <w:t xml:space="preserve">           97 </w:t>
            </w:r>
          </w:p>
        </w:tc>
        <w:tc>
          <w:tcPr>
            <w:tcW w:w="1260" w:type="dxa"/>
            <w:tcBorders>
              <w:top w:val="nil"/>
              <w:left w:val="nil"/>
              <w:bottom w:val="nil"/>
              <w:right w:val="nil"/>
            </w:tcBorders>
            <w:shd w:val="clear" w:color="000000" w:fill="FFFFFF"/>
            <w:noWrap/>
            <w:hideMark/>
          </w:tcPr>
          <w:p w14:paraId="512EE939" w14:textId="77777777" w:rsidR="001B6918" w:rsidRPr="003E524C" w:rsidRDefault="001B6918" w:rsidP="00730ECF">
            <w:pPr>
              <w:jc w:val="right"/>
              <w:rPr>
                <w:rFonts w:cstheme="minorHAnsi"/>
              </w:rPr>
            </w:pPr>
            <w:r w:rsidRPr="003E524C">
              <w:rPr>
                <w:rFonts w:cstheme="minorHAnsi"/>
              </w:rPr>
              <w:t>(6,985)</w:t>
            </w:r>
          </w:p>
        </w:tc>
      </w:tr>
      <w:tr w:rsidR="001B6918" w:rsidRPr="004E6649" w14:paraId="53B650E6" w14:textId="77777777" w:rsidTr="00730ECF">
        <w:trPr>
          <w:trHeight w:val="288"/>
          <w:jc w:val="center"/>
        </w:trPr>
        <w:tc>
          <w:tcPr>
            <w:tcW w:w="1350" w:type="dxa"/>
            <w:tcBorders>
              <w:top w:val="nil"/>
              <w:left w:val="nil"/>
              <w:bottom w:val="nil"/>
              <w:right w:val="nil"/>
            </w:tcBorders>
            <w:shd w:val="clear" w:color="000000" w:fill="FFFFFF"/>
            <w:noWrap/>
            <w:vAlign w:val="bottom"/>
            <w:hideMark/>
          </w:tcPr>
          <w:p w14:paraId="56A74560" w14:textId="77777777" w:rsidR="001B6918" w:rsidRPr="004E6649" w:rsidRDefault="001B6918" w:rsidP="00730ECF">
            <w:pPr>
              <w:jc w:val="center"/>
              <w:rPr>
                <w:rFonts w:eastAsia="Times New Roman" w:cstheme="minorHAnsi"/>
                <w:color w:val="0D0D0D"/>
              </w:rPr>
            </w:pPr>
            <w:r w:rsidRPr="004E6649">
              <w:rPr>
                <w:rFonts w:eastAsia="Times New Roman" w:cstheme="minorHAnsi"/>
                <w:color w:val="0D0D0D"/>
              </w:rPr>
              <w:t>202</w:t>
            </w:r>
            <w:r>
              <w:rPr>
                <w:rFonts w:eastAsia="Times New Roman" w:cstheme="minorHAnsi"/>
                <w:color w:val="0D0D0D"/>
              </w:rPr>
              <w:t>9</w:t>
            </w:r>
          </w:p>
        </w:tc>
        <w:tc>
          <w:tcPr>
            <w:tcW w:w="1350" w:type="dxa"/>
            <w:tcBorders>
              <w:top w:val="nil"/>
              <w:left w:val="nil"/>
              <w:bottom w:val="nil"/>
              <w:right w:val="nil"/>
            </w:tcBorders>
            <w:shd w:val="clear" w:color="000000" w:fill="FFFFFF"/>
            <w:noWrap/>
            <w:vAlign w:val="bottom"/>
            <w:hideMark/>
          </w:tcPr>
          <w:p w14:paraId="6A1D4984" w14:textId="77777777" w:rsidR="001B6918" w:rsidRPr="00111629" w:rsidRDefault="001B6918" w:rsidP="00730ECF">
            <w:pPr>
              <w:ind w:right="-23"/>
              <w:jc w:val="right"/>
              <w:rPr>
                <w:rFonts w:eastAsia="Times New Roman" w:cstheme="minorHAnsi"/>
                <w:color w:val="FF0000"/>
              </w:rPr>
            </w:pPr>
            <w:r>
              <w:rPr>
                <w:rFonts w:ascii="Calibri" w:hAnsi="Calibri" w:cs="Calibri"/>
              </w:rPr>
              <w:t xml:space="preserve">               151 </w:t>
            </w:r>
          </w:p>
        </w:tc>
        <w:tc>
          <w:tcPr>
            <w:tcW w:w="1080" w:type="dxa"/>
            <w:tcBorders>
              <w:top w:val="nil"/>
              <w:left w:val="nil"/>
              <w:bottom w:val="nil"/>
              <w:right w:val="nil"/>
            </w:tcBorders>
            <w:shd w:val="clear" w:color="000000" w:fill="FFFFFF"/>
            <w:noWrap/>
            <w:vAlign w:val="bottom"/>
            <w:hideMark/>
          </w:tcPr>
          <w:p w14:paraId="009A3E66" w14:textId="77777777" w:rsidR="001B6918" w:rsidRPr="00F96B39" w:rsidRDefault="001B6918" w:rsidP="00730ECF">
            <w:pPr>
              <w:jc w:val="right"/>
              <w:rPr>
                <w:rFonts w:eastAsia="Times New Roman" w:cstheme="minorHAnsi"/>
                <w:color w:val="FF0000"/>
              </w:rPr>
            </w:pPr>
            <w:r>
              <w:rPr>
                <w:rFonts w:ascii="Calibri" w:hAnsi="Calibri" w:cs="Calibri"/>
              </w:rPr>
              <w:t xml:space="preserve">            22 </w:t>
            </w:r>
          </w:p>
        </w:tc>
        <w:tc>
          <w:tcPr>
            <w:tcW w:w="1170" w:type="dxa"/>
            <w:tcBorders>
              <w:top w:val="nil"/>
              <w:left w:val="nil"/>
              <w:bottom w:val="nil"/>
              <w:right w:val="nil"/>
            </w:tcBorders>
            <w:shd w:val="clear" w:color="000000" w:fill="FFFFFF"/>
            <w:noWrap/>
            <w:vAlign w:val="bottom"/>
            <w:hideMark/>
          </w:tcPr>
          <w:p w14:paraId="385882AE" w14:textId="77777777" w:rsidR="001B6918" w:rsidRPr="00F96B39" w:rsidRDefault="001B6918" w:rsidP="00730ECF">
            <w:pPr>
              <w:jc w:val="right"/>
              <w:rPr>
                <w:rFonts w:eastAsia="Times New Roman" w:cstheme="minorHAnsi"/>
                <w:color w:val="FF0000"/>
              </w:rPr>
            </w:pPr>
            <w:r>
              <w:rPr>
                <w:rFonts w:ascii="Calibri" w:hAnsi="Calibri" w:cs="Calibri"/>
                <w:color w:val="0D0D0D"/>
              </w:rPr>
              <w:t xml:space="preserve">         173 </w:t>
            </w:r>
          </w:p>
        </w:tc>
        <w:tc>
          <w:tcPr>
            <w:tcW w:w="1260" w:type="dxa"/>
            <w:tcBorders>
              <w:top w:val="nil"/>
              <w:left w:val="nil"/>
              <w:bottom w:val="nil"/>
              <w:right w:val="nil"/>
            </w:tcBorders>
            <w:shd w:val="clear" w:color="000000" w:fill="FFFFFF"/>
            <w:noWrap/>
            <w:hideMark/>
          </w:tcPr>
          <w:p w14:paraId="369A2CD2" w14:textId="77777777" w:rsidR="001B6918" w:rsidRPr="003E524C" w:rsidRDefault="001B6918" w:rsidP="00730ECF">
            <w:pPr>
              <w:jc w:val="right"/>
              <w:rPr>
                <w:rFonts w:eastAsia="Times New Roman" w:cstheme="minorHAnsi"/>
              </w:rPr>
            </w:pPr>
            <w:r w:rsidRPr="003E524C">
              <w:rPr>
                <w:rFonts w:cstheme="minorHAnsi"/>
              </w:rPr>
              <w:t>(492)</w:t>
            </w:r>
          </w:p>
        </w:tc>
      </w:tr>
      <w:tr w:rsidR="001B6918" w:rsidRPr="004E6649" w14:paraId="25403F2F" w14:textId="77777777" w:rsidTr="00730ECF">
        <w:trPr>
          <w:trHeight w:val="288"/>
          <w:jc w:val="center"/>
        </w:trPr>
        <w:tc>
          <w:tcPr>
            <w:tcW w:w="1350" w:type="dxa"/>
            <w:tcBorders>
              <w:top w:val="nil"/>
              <w:left w:val="nil"/>
              <w:bottom w:val="nil"/>
              <w:right w:val="nil"/>
            </w:tcBorders>
            <w:shd w:val="clear" w:color="000000" w:fill="FFFFFF"/>
            <w:noWrap/>
            <w:vAlign w:val="bottom"/>
            <w:hideMark/>
          </w:tcPr>
          <w:p w14:paraId="144A74E1" w14:textId="77777777" w:rsidR="001B6918" w:rsidRPr="004E6649" w:rsidRDefault="001B6918" w:rsidP="00730ECF">
            <w:pPr>
              <w:jc w:val="center"/>
              <w:rPr>
                <w:rFonts w:eastAsia="Times New Roman" w:cstheme="minorHAnsi"/>
                <w:color w:val="0D0D0D"/>
              </w:rPr>
            </w:pPr>
            <w:r w:rsidRPr="004E6649">
              <w:rPr>
                <w:rFonts w:eastAsia="Times New Roman" w:cstheme="minorHAnsi"/>
                <w:color w:val="0D0D0D"/>
              </w:rPr>
              <w:t>20</w:t>
            </w:r>
            <w:r>
              <w:rPr>
                <w:rFonts w:eastAsia="Times New Roman" w:cstheme="minorHAnsi"/>
                <w:color w:val="0D0D0D"/>
              </w:rPr>
              <w:t>30</w:t>
            </w:r>
          </w:p>
        </w:tc>
        <w:tc>
          <w:tcPr>
            <w:tcW w:w="1350" w:type="dxa"/>
            <w:tcBorders>
              <w:top w:val="nil"/>
              <w:left w:val="nil"/>
              <w:bottom w:val="nil"/>
              <w:right w:val="nil"/>
            </w:tcBorders>
            <w:shd w:val="clear" w:color="000000" w:fill="FFFFFF"/>
            <w:noWrap/>
            <w:vAlign w:val="bottom"/>
            <w:hideMark/>
          </w:tcPr>
          <w:p w14:paraId="07728FBE" w14:textId="77777777" w:rsidR="001B6918" w:rsidRPr="003E524C" w:rsidRDefault="001B6918" w:rsidP="00730ECF">
            <w:pPr>
              <w:ind w:right="-23"/>
              <w:jc w:val="right"/>
              <w:rPr>
                <w:rFonts w:eastAsia="Times New Roman" w:cstheme="minorHAnsi"/>
              </w:rPr>
            </w:pPr>
            <w:r w:rsidRPr="00F10C6E">
              <w:rPr>
                <w:rFonts w:ascii="Calibri" w:hAnsi="Calibri" w:cs="Calibri"/>
              </w:rPr>
              <w:t xml:space="preserve">               114 </w:t>
            </w:r>
          </w:p>
        </w:tc>
        <w:tc>
          <w:tcPr>
            <w:tcW w:w="1080" w:type="dxa"/>
            <w:tcBorders>
              <w:top w:val="nil"/>
              <w:left w:val="nil"/>
              <w:bottom w:val="nil"/>
              <w:right w:val="nil"/>
            </w:tcBorders>
            <w:shd w:val="clear" w:color="000000" w:fill="FFFFFF"/>
            <w:noWrap/>
            <w:hideMark/>
          </w:tcPr>
          <w:p w14:paraId="510121BF" w14:textId="77777777" w:rsidR="001B6918" w:rsidRPr="003E524C" w:rsidRDefault="001B6918" w:rsidP="00730ECF">
            <w:pPr>
              <w:jc w:val="right"/>
              <w:rPr>
                <w:rFonts w:eastAsia="Times New Roman" w:cstheme="minorHAnsi"/>
              </w:rPr>
            </w:pPr>
            <w:r w:rsidRPr="003E524C">
              <w:rPr>
                <w:rFonts w:cstheme="minorHAnsi"/>
              </w:rPr>
              <w:t xml:space="preserve"> -</w:t>
            </w:r>
          </w:p>
        </w:tc>
        <w:tc>
          <w:tcPr>
            <w:tcW w:w="1170" w:type="dxa"/>
            <w:tcBorders>
              <w:top w:val="nil"/>
              <w:left w:val="nil"/>
              <w:bottom w:val="nil"/>
              <w:right w:val="nil"/>
            </w:tcBorders>
            <w:shd w:val="clear" w:color="000000" w:fill="FFFFFF"/>
            <w:noWrap/>
            <w:vAlign w:val="bottom"/>
            <w:hideMark/>
          </w:tcPr>
          <w:p w14:paraId="33787F4B" w14:textId="77777777" w:rsidR="001B6918" w:rsidRPr="003E524C" w:rsidRDefault="001B6918" w:rsidP="00730ECF">
            <w:pPr>
              <w:jc w:val="right"/>
              <w:rPr>
                <w:rFonts w:eastAsia="Times New Roman" w:cstheme="minorHAnsi"/>
              </w:rPr>
            </w:pPr>
            <w:r w:rsidRPr="003E524C">
              <w:rPr>
                <w:rFonts w:ascii="Calibri" w:hAnsi="Calibri" w:cs="Calibri"/>
              </w:rPr>
              <w:t xml:space="preserve">         114 </w:t>
            </w:r>
          </w:p>
        </w:tc>
        <w:tc>
          <w:tcPr>
            <w:tcW w:w="1260" w:type="dxa"/>
            <w:tcBorders>
              <w:top w:val="nil"/>
              <w:left w:val="nil"/>
              <w:bottom w:val="nil"/>
              <w:right w:val="nil"/>
            </w:tcBorders>
            <w:shd w:val="clear" w:color="000000" w:fill="FFFFFF"/>
            <w:noWrap/>
            <w:hideMark/>
          </w:tcPr>
          <w:p w14:paraId="30B83118" w14:textId="77777777" w:rsidR="001B6918" w:rsidRPr="003E524C" w:rsidRDefault="001B6918" w:rsidP="00730ECF">
            <w:pPr>
              <w:jc w:val="right"/>
              <w:rPr>
                <w:rFonts w:eastAsia="Times New Roman" w:cstheme="minorHAnsi"/>
              </w:rPr>
            </w:pPr>
            <w:r w:rsidRPr="003E524C">
              <w:rPr>
                <w:rFonts w:cstheme="minorHAnsi"/>
              </w:rPr>
              <w:t>404</w:t>
            </w:r>
          </w:p>
        </w:tc>
      </w:tr>
      <w:tr w:rsidR="001B6918" w:rsidRPr="004E6649" w14:paraId="14A0AC71" w14:textId="77777777" w:rsidTr="00730ECF">
        <w:trPr>
          <w:trHeight w:val="300"/>
          <w:jc w:val="center"/>
        </w:trPr>
        <w:tc>
          <w:tcPr>
            <w:tcW w:w="1350" w:type="dxa"/>
            <w:tcBorders>
              <w:top w:val="single" w:sz="8" w:space="0" w:color="000000" w:themeColor="text1"/>
              <w:left w:val="nil"/>
              <w:bottom w:val="double" w:sz="4" w:space="0" w:color="000000" w:themeColor="text1"/>
              <w:right w:val="nil"/>
            </w:tcBorders>
            <w:shd w:val="clear" w:color="000000" w:fill="FFFFFF"/>
            <w:noWrap/>
            <w:vAlign w:val="bottom"/>
            <w:hideMark/>
          </w:tcPr>
          <w:p w14:paraId="2CC4C345" w14:textId="77777777" w:rsidR="001B6918" w:rsidRPr="004E6649" w:rsidRDefault="001B6918" w:rsidP="00730ECF">
            <w:pPr>
              <w:ind w:right="-23"/>
              <w:jc w:val="right"/>
              <w:rPr>
                <w:rFonts w:eastAsia="Times New Roman" w:cstheme="minorHAnsi"/>
                <w:b/>
                <w:bCs/>
                <w:color w:val="0D0D0D"/>
              </w:rPr>
            </w:pPr>
            <w:r w:rsidRPr="004E6649">
              <w:rPr>
                <w:rFonts w:eastAsia="Times New Roman" w:cstheme="minorHAnsi"/>
                <w:b/>
                <w:bCs/>
                <w:color w:val="0D0D0D"/>
              </w:rPr>
              <w:t> </w:t>
            </w:r>
          </w:p>
        </w:tc>
        <w:tc>
          <w:tcPr>
            <w:tcW w:w="1350" w:type="dxa"/>
            <w:tcBorders>
              <w:top w:val="single" w:sz="8" w:space="0" w:color="000000" w:themeColor="text1"/>
              <w:left w:val="nil"/>
              <w:bottom w:val="double" w:sz="4" w:space="0" w:color="000000" w:themeColor="text1"/>
              <w:right w:val="nil"/>
            </w:tcBorders>
            <w:shd w:val="clear" w:color="000000" w:fill="FFFFFF"/>
            <w:noWrap/>
            <w:hideMark/>
          </w:tcPr>
          <w:p w14:paraId="1383F5B3" w14:textId="77777777" w:rsidR="001B6918" w:rsidRPr="003E524C" w:rsidRDefault="001B6918" w:rsidP="00730ECF">
            <w:pPr>
              <w:ind w:right="-23"/>
              <w:jc w:val="right"/>
              <w:rPr>
                <w:rFonts w:eastAsia="Times New Roman" w:cstheme="minorHAnsi"/>
              </w:rPr>
            </w:pPr>
            <w:r w:rsidRPr="003E524C">
              <w:rPr>
                <w:rFonts w:cstheme="minorHAnsi"/>
              </w:rPr>
              <w:t xml:space="preserve"> $ 663</w:t>
            </w:r>
          </w:p>
        </w:tc>
        <w:tc>
          <w:tcPr>
            <w:tcW w:w="1080" w:type="dxa"/>
            <w:tcBorders>
              <w:top w:val="single" w:sz="8" w:space="0" w:color="000000" w:themeColor="text1"/>
              <w:left w:val="nil"/>
              <w:bottom w:val="double" w:sz="4" w:space="0" w:color="000000" w:themeColor="text1"/>
              <w:right w:val="nil"/>
            </w:tcBorders>
            <w:shd w:val="clear" w:color="000000" w:fill="FFFFFF"/>
            <w:noWrap/>
            <w:hideMark/>
          </w:tcPr>
          <w:p w14:paraId="4875A061" w14:textId="77777777" w:rsidR="001B6918" w:rsidRPr="003E524C" w:rsidRDefault="001B6918" w:rsidP="00730ECF">
            <w:pPr>
              <w:jc w:val="right"/>
              <w:rPr>
                <w:rFonts w:eastAsia="Times New Roman" w:cstheme="minorHAnsi"/>
              </w:rPr>
            </w:pPr>
            <w:r w:rsidRPr="003E524C">
              <w:rPr>
                <w:rFonts w:cstheme="minorHAnsi"/>
              </w:rPr>
              <w:t xml:space="preserve"> $  745</w:t>
            </w:r>
          </w:p>
        </w:tc>
        <w:tc>
          <w:tcPr>
            <w:tcW w:w="1170" w:type="dxa"/>
            <w:tcBorders>
              <w:top w:val="single" w:sz="8" w:space="0" w:color="000000" w:themeColor="text1"/>
              <w:left w:val="nil"/>
              <w:bottom w:val="double" w:sz="4" w:space="0" w:color="000000" w:themeColor="text1"/>
              <w:right w:val="nil"/>
            </w:tcBorders>
            <w:shd w:val="clear" w:color="000000" w:fill="FFFFFF"/>
            <w:noWrap/>
            <w:hideMark/>
          </w:tcPr>
          <w:p w14:paraId="63968699" w14:textId="77777777" w:rsidR="001B6918" w:rsidRPr="003E524C" w:rsidRDefault="001B6918" w:rsidP="00730ECF">
            <w:pPr>
              <w:jc w:val="right"/>
              <w:rPr>
                <w:rFonts w:eastAsia="Times New Roman" w:cstheme="minorHAnsi"/>
              </w:rPr>
            </w:pPr>
            <w:r w:rsidRPr="003E524C">
              <w:rPr>
                <w:rFonts w:cstheme="minorHAnsi"/>
              </w:rPr>
              <w:t xml:space="preserve"> $ 1,408</w:t>
            </w:r>
          </w:p>
        </w:tc>
        <w:tc>
          <w:tcPr>
            <w:tcW w:w="1260" w:type="dxa"/>
            <w:tcBorders>
              <w:top w:val="single" w:sz="8" w:space="0" w:color="000000" w:themeColor="text1"/>
              <w:left w:val="nil"/>
              <w:bottom w:val="double" w:sz="4" w:space="0" w:color="000000" w:themeColor="text1"/>
              <w:right w:val="nil"/>
            </w:tcBorders>
            <w:shd w:val="clear" w:color="000000" w:fill="FFFFFF"/>
            <w:noWrap/>
            <w:hideMark/>
          </w:tcPr>
          <w:p w14:paraId="20B681DD" w14:textId="77777777" w:rsidR="001B6918" w:rsidRPr="003E524C" w:rsidRDefault="001B6918" w:rsidP="00730ECF">
            <w:pPr>
              <w:jc w:val="right"/>
              <w:rPr>
                <w:rFonts w:eastAsia="Times New Roman" w:cstheme="minorHAnsi"/>
              </w:rPr>
            </w:pPr>
            <w:r w:rsidRPr="003E524C">
              <w:rPr>
                <w:rFonts w:cstheme="minorHAnsi"/>
              </w:rPr>
              <w:t>$(23,0</w:t>
            </w:r>
            <w:r w:rsidRPr="00F10C6E">
              <w:rPr>
                <w:rFonts w:cstheme="minorHAnsi"/>
              </w:rPr>
              <w:t>64</w:t>
            </w:r>
            <w:r w:rsidRPr="003E524C">
              <w:rPr>
                <w:rFonts w:cstheme="minorHAnsi"/>
              </w:rPr>
              <w:t>)</w:t>
            </w:r>
          </w:p>
        </w:tc>
      </w:tr>
    </w:tbl>
    <w:p w14:paraId="73042485" w14:textId="77777777" w:rsidR="001B6918" w:rsidRPr="004E6649" w:rsidRDefault="001B6918" w:rsidP="001B6918">
      <w:pPr>
        <w:tabs>
          <w:tab w:val="left" w:pos="0"/>
          <w:tab w:val="left" w:pos="900"/>
        </w:tabs>
        <w:spacing w:before="120" w:after="120"/>
        <w:jc w:val="center"/>
        <w:rPr>
          <w:rFonts w:cstheme="minorHAnsi"/>
          <w:sz w:val="26"/>
          <w:szCs w:val="26"/>
        </w:rPr>
      </w:pPr>
      <w:r w:rsidRPr="004E6649">
        <w:rPr>
          <w:rFonts w:cstheme="minorHAnsi"/>
          <w:sz w:val="26"/>
          <w:szCs w:val="26"/>
        </w:rPr>
        <w:br w:type="page"/>
      </w:r>
    </w:p>
    <w:p w14:paraId="00F9E85F" w14:textId="77777777" w:rsidR="001B6918" w:rsidRPr="004E6649" w:rsidRDefault="001B6918" w:rsidP="001B6918">
      <w:pPr>
        <w:pStyle w:val="AFR2"/>
        <w:pBdr>
          <w:bottom w:val="single" w:sz="8" w:space="1" w:color="0D0D0D" w:themeColor="text1" w:themeTint="F2"/>
        </w:pBdr>
        <w:rPr>
          <w:rFonts w:cstheme="minorHAnsi"/>
          <w:sz w:val="24"/>
          <w:szCs w:val="24"/>
        </w:rPr>
      </w:pPr>
      <w:r w:rsidRPr="004E6649">
        <w:rPr>
          <w:rFonts w:cstheme="minorHAnsi"/>
          <w:sz w:val="24"/>
          <w:szCs w:val="24"/>
        </w:rPr>
        <w:lastRenderedPageBreak/>
        <w:t>1</w:t>
      </w:r>
      <w:r>
        <w:rPr>
          <w:rFonts w:cstheme="minorHAnsi"/>
          <w:sz w:val="24"/>
          <w:szCs w:val="24"/>
        </w:rPr>
        <w:t>7</w:t>
      </w:r>
      <w:r w:rsidRPr="004E6649">
        <w:rPr>
          <w:rFonts w:cstheme="minorHAnsi"/>
          <w:sz w:val="24"/>
          <w:szCs w:val="24"/>
        </w:rPr>
        <w:t>. COMPONENT UNITS</w:t>
      </w:r>
    </w:p>
    <w:p w14:paraId="0E544747" w14:textId="77777777" w:rsidR="001B6918" w:rsidRPr="004E6649" w:rsidRDefault="001B6918" w:rsidP="001B6918">
      <w:pPr>
        <w:rPr>
          <w:rFonts w:cstheme="minorHAnsi"/>
          <w:sz w:val="24"/>
          <w:highlight w:val="yellow"/>
        </w:rPr>
      </w:pPr>
      <w:r w:rsidRPr="004E6649">
        <w:rPr>
          <w:rFonts w:cstheme="minorHAnsi"/>
          <w:sz w:val="24"/>
        </w:rPr>
        <w:t xml:space="preserve">The System is supported in part by several foundations and alumni associations that raise funds on the System’s behalf. The System determined that one of those entities, the University of Maine Foundation (“the Foundation”), meets the criteria set forth under GASB Statement No. 61, </w:t>
      </w:r>
      <w:r w:rsidRPr="004E6649">
        <w:rPr>
          <w:rFonts w:cstheme="minorHAnsi"/>
          <w:i/>
          <w:sz w:val="24"/>
        </w:rPr>
        <w:t>The Financial Reporting Entity: Omnibus an amendment of GASB Statements No. 14 and No. 34</w:t>
      </w:r>
      <w:r w:rsidRPr="004E6649">
        <w:rPr>
          <w:rFonts w:cstheme="minorHAnsi"/>
          <w:sz w:val="24"/>
        </w:rPr>
        <w:t>, for inclusion as a discretely presented component unit of the System.</w:t>
      </w:r>
    </w:p>
    <w:p w14:paraId="523F1C33" w14:textId="77777777" w:rsidR="001B6918" w:rsidRPr="004E6649" w:rsidRDefault="001B6918" w:rsidP="001B6918">
      <w:pPr>
        <w:ind w:left="810"/>
        <w:rPr>
          <w:rFonts w:cstheme="minorHAnsi"/>
          <w:sz w:val="24"/>
          <w:highlight w:val="yellow"/>
        </w:rPr>
      </w:pPr>
    </w:p>
    <w:p w14:paraId="5A29B8B7" w14:textId="77777777" w:rsidR="001B6918" w:rsidRPr="004E6649" w:rsidRDefault="001B6918" w:rsidP="001B6918">
      <w:pPr>
        <w:rPr>
          <w:rFonts w:cstheme="minorHAnsi"/>
          <w:sz w:val="24"/>
        </w:rPr>
      </w:pPr>
      <w:r w:rsidRPr="004E6649">
        <w:rPr>
          <w:rFonts w:cstheme="minorHAnsi"/>
          <w:sz w:val="24"/>
        </w:rPr>
        <w:t xml:space="preserve">The Foundation is a legally separate, tax-exempt organization, which acts primarily as a fund-raising organization to supplement the resources that are available to the System in support of its programs. The Board of Directors of the Foundation is self-perpetuating and independent of the System’s Board of Trustees. Although the System does not control the timing or amount of receipts from the Foundation, the Foundation holds and invests resources almost entirely for the System’s benefit (specifically the University of Maine); the System is entitled to access a majority of the economic resources held; and the economic resources held are “significant to the System” based on 5% of net position and 5% of total assets thresholds. </w:t>
      </w:r>
    </w:p>
    <w:p w14:paraId="0DA02118" w14:textId="77777777" w:rsidR="001B6918" w:rsidRPr="004E6649" w:rsidRDefault="001B6918" w:rsidP="001B6918">
      <w:pPr>
        <w:rPr>
          <w:rFonts w:cstheme="minorHAnsi"/>
          <w:sz w:val="24"/>
        </w:rPr>
      </w:pPr>
    </w:p>
    <w:p w14:paraId="53225CAD" w14:textId="77777777" w:rsidR="001B6918" w:rsidRPr="0091717C" w:rsidRDefault="001B6918" w:rsidP="001B6918">
      <w:pPr>
        <w:rPr>
          <w:rFonts w:cstheme="minorHAnsi"/>
          <w:color w:val="0D0D0D" w:themeColor="text1" w:themeTint="F2"/>
          <w:sz w:val="24"/>
        </w:rPr>
      </w:pPr>
      <w:r>
        <w:rPr>
          <w:rFonts w:cstheme="minorHAnsi"/>
          <w:sz w:val="24"/>
        </w:rPr>
        <w:t>The</w:t>
      </w:r>
      <w:r w:rsidRPr="004E6649">
        <w:rPr>
          <w:rFonts w:cstheme="minorHAnsi"/>
          <w:sz w:val="24"/>
        </w:rPr>
        <w:t xml:space="preserve"> Foundation has been discretely presented as a component unit of the System in the accompanying financial statements as of and for the </w:t>
      </w:r>
      <w:r>
        <w:rPr>
          <w:rFonts w:cstheme="minorHAnsi"/>
          <w:sz w:val="24"/>
        </w:rPr>
        <w:t>years</w:t>
      </w:r>
      <w:r w:rsidRPr="004E6649">
        <w:rPr>
          <w:rFonts w:cstheme="minorHAnsi"/>
          <w:sz w:val="24"/>
        </w:rPr>
        <w:t xml:space="preserve"> </w:t>
      </w:r>
      <w:r w:rsidRPr="004E6649">
        <w:rPr>
          <w:rFonts w:cstheme="minorHAnsi"/>
          <w:color w:val="0D0D0D" w:themeColor="text1" w:themeTint="F2"/>
          <w:sz w:val="24"/>
        </w:rPr>
        <w:t>ended</w:t>
      </w:r>
      <w:r w:rsidRPr="004E6649">
        <w:rPr>
          <w:rFonts w:cstheme="minorHAnsi"/>
          <w:color w:val="FF0000"/>
          <w:sz w:val="24"/>
        </w:rPr>
        <w:t xml:space="preserve"> </w:t>
      </w:r>
      <w:r w:rsidRPr="004E6649">
        <w:rPr>
          <w:rFonts w:cstheme="minorHAnsi"/>
          <w:sz w:val="24"/>
        </w:rPr>
        <w:t>December 31, 202</w:t>
      </w:r>
      <w:r>
        <w:rPr>
          <w:rFonts w:cstheme="minorHAnsi"/>
          <w:sz w:val="24"/>
        </w:rPr>
        <w:t>4</w:t>
      </w:r>
      <w:r w:rsidRPr="004E6649">
        <w:rPr>
          <w:rFonts w:cstheme="minorHAnsi"/>
          <w:sz w:val="24"/>
        </w:rPr>
        <w:t xml:space="preserve"> and December 31, 202</w:t>
      </w:r>
      <w:r>
        <w:rPr>
          <w:rFonts w:cstheme="minorHAnsi"/>
          <w:sz w:val="24"/>
        </w:rPr>
        <w:t>3</w:t>
      </w:r>
      <w:r w:rsidRPr="004E6649">
        <w:rPr>
          <w:rFonts w:cstheme="minorHAnsi"/>
          <w:sz w:val="24"/>
        </w:rPr>
        <w:t xml:space="preserve"> and is reported in separate financial statements as the Foundation reports its financial results under Financial Accounting Standards Board standards rather than GASB standards. Contributions and additions to the Foundation’s endowments with donor restrictions were $</w:t>
      </w:r>
      <w:r w:rsidRPr="00F23B95">
        <w:rPr>
          <w:rFonts w:cstheme="minorHAnsi"/>
          <w:color w:val="000000" w:themeColor="text1"/>
          <w:sz w:val="24"/>
        </w:rPr>
        <w:t>27,046</w:t>
      </w:r>
      <w:r w:rsidRPr="00111629">
        <w:rPr>
          <w:rFonts w:cstheme="minorHAnsi"/>
          <w:color w:val="FF0000"/>
          <w:sz w:val="24"/>
        </w:rPr>
        <w:t xml:space="preserve"> </w:t>
      </w:r>
      <w:r w:rsidRPr="0091717C">
        <w:rPr>
          <w:rFonts w:cstheme="minorHAnsi"/>
          <w:color w:val="0D0D0D" w:themeColor="text1" w:themeTint="F2"/>
          <w:sz w:val="24"/>
        </w:rPr>
        <w:t>and $28,848</w:t>
      </w:r>
      <w:r w:rsidRPr="006B24DD">
        <w:rPr>
          <w:rFonts w:cstheme="minorHAnsi"/>
          <w:color w:val="0D0D0D" w:themeColor="text1" w:themeTint="F2"/>
          <w:sz w:val="24"/>
        </w:rPr>
        <w:t xml:space="preserve"> for the years ending December 31, 202</w:t>
      </w:r>
      <w:r>
        <w:rPr>
          <w:rFonts w:cstheme="minorHAnsi"/>
          <w:color w:val="0D0D0D" w:themeColor="text1" w:themeTint="F2"/>
          <w:sz w:val="24"/>
        </w:rPr>
        <w:t>4</w:t>
      </w:r>
      <w:r w:rsidRPr="0091717C">
        <w:rPr>
          <w:rFonts w:cstheme="minorHAnsi"/>
          <w:color w:val="0D0D0D" w:themeColor="text1" w:themeTint="F2"/>
          <w:sz w:val="24"/>
        </w:rPr>
        <w:t xml:space="preserve"> and </w:t>
      </w:r>
      <w:r w:rsidRPr="006B24DD">
        <w:rPr>
          <w:rFonts w:cstheme="minorHAnsi"/>
          <w:color w:val="0D0D0D" w:themeColor="text1" w:themeTint="F2"/>
          <w:sz w:val="24"/>
        </w:rPr>
        <w:t>December 31, 202</w:t>
      </w:r>
      <w:r>
        <w:rPr>
          <w:rFonts w:cstheme="minorHAnsi"/>
          <w:color w:val="0D0D0D" w:themeColor="text1" w:themeTint="F2"/>
          <w:sz w:val="24"/>
        </w:rPr>
        <w:t>3</w:t>
      </w:r>
      <w:r w:rsidRPr="0091717C">
        <w:rPr>
          <w:rFonts w:cstheme="minorHAnsi"/>
          <w:color w:val="0D0D0D" w:themeColor="text1" w:themeTint="F2"/>
          <w:sz w:val="24"/>
        </w:rPr>
        <w:t>, respectively.</w:t>
      </w:r>
    </w:p>
    <w:p w14:paraId="684A3336" w14:textId="77777777" w:rsidR="001B6918" w:rsidRPr="0091717C" w:rsidRDefault="001B6918" w:rsidP="001B6918">
      <w:pPr>
        <w:ind w:left="810"/>
        <w:rPr>
          <w:rFonts w:cstheme="minorHAnsi"/>
          <w:color w:val="0D0D0D" w:themeColor="text1" w:themeTint="F2"/>
          <w:sz w:val="24"/>
          <w:highlight w:val="yellow"/>
        </w:rPr>
      </w:pPr>
    </w:p>
    <w:p w14:paraId="019B7AB5" w14:textId="77777777" w:rsidR="001B6918" w:rsidRPr="004E6649" w:rsidRDefault="001B6918" w:rsidP="001B6918">
      <w:pPr>
        <w:rPr>
          <w:rFonts w:cstheme="minorHAnsi"/>
          <w:sz w:val="24"/>
        </w:rPr>
      </w:pPr>
      <w:r w:rsidRPr="004E6649">
        <w:rPr>
          <w:rFonts w:cstheme="minorHAnsi"/>
          <w:sz w:val="24"/>
        </w:rPr>
        <w:t xml:space="preserve">The Foundation asset category, long-term investments, endowment, comprised </w:t>
      </w:r>
      <w:r w:rsidRPr="00F23B95">
        <w:rPr>
          <w:rFonts w:cstheme="minorHAnsi"/>
          <w:color w:val="000000" w:themeColor="text1"/>
          <w:sz w:val="24"/>
        </w:rPr>
        <w:t>87</w:t>
      </w:r>
      <w:r w:rsidRPr="004E6649">
        <w:rPr>
          <w:rFonts w:cstheme="minorHAnsi"/>
          <w:sz w:val="24"/>
        </w:rPr>
        <w:t>% of the Foundation’s total assets as of December 31, 202</w:t>
      </w:r>
      <w:r>
        <w:rPr>
          <w:rFonts w:cstheme="minorHAnsi"/>
          <w:sz w:val="24"/>
        </w:rPr>
        <w:t>4</w:t>
      </w:r>
      <w:r w:rsidRPr="004E6649">
        <w:rPr>
          <w:rFonts w:cstheme="minorHAnsi"/>
          <w:sz w:val="24"/>
        </w:rPr>
        <w:t xml:space="preserve">, and December, </w:t>
      </w:r>
      <w:r>
        <w:rPr>
          <w:rFonts w:cstheme="minorHAnsi"/>
          <w:sz w:val="24"/>
        </w:rPr>
        <w:t xml:space="preserve">31 </w:t>
      </w:r>
      <w:r w:rsidRPr="004E6649">
        <w:rPr>
          <w:rFonts w:cstheme="minorHAnsi"/>
          <w:sz w:val="24"/>
        </w:rPr>
        <w:t>202</w:t>
      </w:r>
      <w:r>
        <w:rPr>
          <w:rFonts w:cstheme="minorHAnsi"/>
          <w:sz w:val="24"/>
        </w:rPr>
        <w:t>3</w:t>
      </w:r>
      <w:r w:rsidRPr="004E6649">
        <w:rPr>
          <w:rFonts w:cstheme="minorHAnsi"/>
          <w:sz w:val="24"/>
        </w:rPr>
        <w:t>. Remaining disclosures in this note relate to this asset group.</w:t>
      </w:r>
    </w:p>
    <w:p w14:paraId="44BF2E4C" w14:textId="77777777" w:rsidR="001B6918" w:rsidRPr="004E6649" w:rsidRDefault="001B6918" w:rsidP="001B6918">
      <w:pPr>
        <w:pStyle w:val="AFR4"/>
        <w:rPr>
          <w:rFonts w:cstheme="minorHAnsi"/>
        </w:rPr>
      </w:pPr>
      <w:r w:rsidRPr="004E6649">
        <w:rPr>
          <w:rFonts w:cstheme="minorHAnsi"/>
        </w:rPr>
        <w:t>Long-term investments, endowment</w:t>
      </w:r>
    </w:p>
    <w:p w14:paraId="755FEA75" w14:textId="77777777" w:rsidR="001B6918" w:rsidRPr="004E6649" w:rsidRDefault="001B6918" w:rsidP="001B6918">
      <w:pPr>
        <w:rPr>
          <w:rFonts w:cstheme="minorHAnsi"/>
          <w:sz w:val="24"/>
        </w:rPr>
      </w:pPr>
      <w:r w:rsidRPr="004E6649">
        <w:rPr>
          <w:rFonts w:cstheme="minorHAnsi"/>
          <w:sz w:val="24"/>
        </w:rPr>
        <w:t>The Foundation maintains a general pool of investments for its endowments. These investment securities are stated at fair value based on quoted market prices within active markets. The fair values of alternative investments are determined from information supplied by the investment managers based on the market values of underlying investments on a net asset value basis. Investment income is reflected in the Statements of Activities as “without donor restrictions” or “with donor restrictions” based upon the existence and nature of any donor-imposed restrictions.</w:t>
      </w:r>
    </w:p>
    <w:p w14:paraId="7BB26F6E" w14:textId="77777777" w:rsidR="001B6918" w:rsidRPr="004E6649" w:rsidRDefault="001B6918" w:rsidP="001B6918">
      <w:pPr>
        <w:ind w:left="810"/>
        <w:rPr>
          <w:rFonts w:cstheme="minorHAnsi"/>
          <w:sz w:val="24"/>
          <w:highlight w:val="yellow"/>
        </w:rPr>
      </w:pPr>
    </w:p>
    <w:p w14:paraId="0769C294" w14:textId="77777777" w:rsidR="001B6918" w:rsidRDefault="001B6918" w:rsidP="001B6918">
      <w:pPr>
        <w:pStyle w:val="AFR4"/>
        <w:spacing w:before="0" w:after="240"/>
        <w:rPr>
          <w:rFonts w:cstheme="minorHAnsi"/>
          <w:b w:val="0"/>
          <w:bCs/>
          <w:u w:val="none"/>
        </w:rPr>
      </w:pPr>
      <w:r w:rsidRPr="004E6649">
        <w:rPr>
          <w:rFonts w:cstheme="minorHAnsi"/>
          <w:b w:val="0"/>
          <w:bCs/>
          <w:u w:val="none"/>
        </w:rPr>
        <w:t xml:space="preserve">The Foundation has established a specific set of investment objectives and guidelines for investment managers that attempt to provide a predictable stream of income while seeking to maintain the purchasing power of the endowment assets over the long-term. The </w:t>
      </w:r>
      <w:r w:rsidRPr="007B2BDA">
        <w:rPr>
          <w:rFonts w:cstheme="minorHAnsi"/>
          <w:b w:val="0"/>
          <w:bCs/>
          <w:u w:val="none"/>
        </w:rPr>
        <w:t xml:space="preserve">investment policy establishes an achievable return objective and seeks to manage risk through diversification of asset classes. The current long-term return objective is to return </w:t>
      </w:r>
      <w:r w:rsidRPr="00F23B95">
        <w:rPr>
          <w:rFonts w:cstheme="minorHAnsi"/>
          <w:b w:val="0"/>
          <w:bCs/>
          <w:color w:val="000000" w:themeColor="text1"/>
          <w:u w:val="none"/>
        </w:rPr>
        <w:t>7.25</w:t>
      </w:r>
      <w:r w:rsidRPr="0091717C">
        <w:rPr>
          <w:rFonts w:cstheme="minorHAnsi"/>
          <w:b w:val="0"/>
          <w:bCs/>
          <w:color w:val="0D0D0D" w:themeColor="text1" w:themeTint="F2"/>
          <w:u w:val="none"/>
        </w:rPr>
        <w:t>%</w:t>
      </w:r>
      <w:r w:rsidRPr="0091717C">
        <w:rPr>
          <w:rFonts w:cstheme="minorHAnsi"/>
          <w:b w:val="0"/>
          <w:bCs/>
          <w:color w:val="FF0000"/>
          <w:u w:val="none"/>
        </w:rPr>
        <w:t xml:space="preserve"> </w:t>
      </w:r>
      <w:r w:rsidRPr="007B2BDA">
        <w:rPr>
          <w:rFonts w:cstheme="minorHAnsi"/>
          <w:b w:val="0"/>
          <w:bCs/>
          <w:u w:val="none"/>
        </w:rPr>
        <w:t>for December 31, 202</w:t>
      </w:r>
      <w:r>
        <w:rPr>
          <w:rFonts w:cstheme="minorHAnsi"/>
          <w:b w:val="0"/>
          <w:bCs/>
          <w:u w:val="none"/>
        </w:rPr>
        <w:t>4</w:t>
      </w:r>
      <w:r w:rsidRPr="007B2BDA">
        <w:rPr>
          <w:rFonts w:cstheme="minorHAnsi"/>
          <w:b w:val="0"/>
          <w:bCs/>
          <w:u w:val="none"/>
        </w:rPr>
        <w:t xml:space="preserve"> and December 31, 202</w:t>
      </w:r>
      <w:r>
        <w:rPr>
          <w:rFonts w:cstheme="minorHAnsi"/>
          <w:b w:val="0"/>
          <w:bCs/>
          <w:u w:val="none"/>
        </w:rPr>
        <w:t>3</w:t>
      </w:r>
      <w:r w:rsidRPr="007B2BDA">
        <w:rPr>
          <w:rFonts w:cstheme="minorHAnsi"/>
          <w:b w:val="0"/>
          <w:bCs/>
          <w:u w:val="none"/>
        </w:rPr>
        <w:t>. Actual returns in any given year may vary from these amounts.</w:t>
      </w:r>
    </w:p>
    <w:p w14:paraId="4F1E8A2E" w14:textId="77777777" w:rsidR="0018429E" w:rsidRDefault="0018429E" w:rsidP="001B6918">
      <w:pPr>
        <w:pStyle w:val="AFR4"/>
        <w:spacing w:before="0" w:after="0"/>
        <w:rPr>
          <w:rFonts w:eastAsiaTheme="majorEastAsia" w:cstheme="minorHAnsi"/>
          <w:i/>
          <w:iCs/>
          <w:smallCaps/>
          <w:noProof/>
          <w:color w:val="000000" w:themeColor="text1"/>
          <w:u w:val="none" w:color="5B9BD5"/>
        </w:rPr>
      </w:pPr>
      <w:r>
        <w:rPr>
          <w:rFonts w:eastAsiaTheme="majorEastAsia" w:cstheme="minorHAnsi"/>
          <w:i/>
          <w:iCs/>
          <w:smallCaps/>
          <w:noProof/>
          <w:color w:val="000000" w:themeColor="text1"/>
          <w:u w:val="none" w:color="5B9BD5"/>
        </w:rPr>
        <w:br w:type="page"/>
      </w:r>
    </w:p>
    <w:p w14:paraId="49FD9917" w14:textId="7749390C" w:rsidR="001B6918" w:rsidRPr="009E4423" w:rsidRDefault="001B6918" w:rsidP="001B6918">
      <w:pPr>
        <w:pStyle w:val="AFR4"/>
        <w:spacing w:before="0" w:after="0"/>
        <w:rPr>
          <w:rFonts w:eastAsiaTheme="majorEastAsia" w:cstheme="minorHAnsi"/>
          <w:i/>
          <w:iCs/>
          <w:smallCaps/>
          <w:noProof/>
          <w:color w:val="000000" w:themeColor="text1"/>
          <w:u w:val="none" w:color="5B9BD5"/>
        </w:rPr>
      </w:pPr>
      <w:r w:rsidRPr="009E4423">
        <w:rPr>
          <w:rFonts w:eastAsiaTheme="majorEastAsia" w:cstheme="minorHAnsi"/>
          <w:i/>
          <w:iCs/>
          <w:smallCaps/>
          <w:noProof/>
          <w:color w:val="000000" w:themeColor="text1"/>
          <w:u w:val="none" w:color="5B9BD5"/>
        </w:rPr>
        <w:lastRenderedPageBreak/>
        <w:t>17. COMPONENT UNITS - CONTINUED</w:t>
      </w:r>
    </w:p>
    <w:p w14:paraId="20E6DF66" w14:textId="77777777" w:rsidR="001B6918" w:rsidRPr="004E6649" w:rsidRDefault="001B6918" w:rsidP="001B6918">
      <w:pPr>
        <w:pStyle w:val="AFR4"/>
        <w:rPr>
          <w:rFonts w:cstheme="minorHAnsi"/>
        </w:rPr>
      </w:pPr>
      <w:r w:rsidRPr="004E6649">
        <w:rPr>
          <w:rFonts w:cstheme="minorHAnsi"/>
        </w:rPr>
        <w:t>Endowment spending policy</w:t>
      </w:r>
    </w:p>
    <w:p w14:paraId="54150FF0" w14:textId="77777777" w:rsidR="001B6918" w:rsidRPr="004E6649" w:rsidRDefault="001B6918" w:rsidP="001B6918">
      <w:pPr>
        <w:rPr>
          <w:rFonts w:cstheme="minorHAnsi"/>
          <w:sz w:val="24"/>
        </w:rPr>
      </w:pPr>
      <w:r w:rsidRPr="004E6649">
        <w:rPr>
          <w:rFonts w:cstheme="minorHAnsi"/>
          <w:sz w:val="24"/>
        </w:rPr>
        <w:t xml:space="preserve">The Foundation utilizes a spending policy for its pooled endowment in order to provide for the current and long-term needs of endowment recipients. The spending policy determines the endowment income to be distributed. For the </w:t>
      </w:r>
      <w:r w:rsidRPr="004E6649">
        <w:rPr>
          <w:rFonts w:cstheme="minorHAnsi"/>
          <w:color w:val="0D0D0D" w:themeColor="text1" w:themeTint="F2"/>
          <w:sz w:val="24"/>
        </w:rPr>
        <w:t>periods ended December 31, 202</w:t>
      </w:r>
      <w:r>
        <w:rPr>
          <w:rFonts w:cstheme="minorHAnsi"/>
          <w:color w:val="0D0D0D" w:themeColor="text1" w:themeTint="F2"/>
          <w:sz w:val="24"/>
        </w:rPr>
        <w:t>4</w:t>
      </w:r>
      <w:r w:rsidRPr="004E6649">
        <w:rPr>
          <w:rFonts w:cstheme="minorHAnsi"/>
          <w:color w:val="0D0D0D" w:themeColor="text1" w:themeTint="F2"/>
          <w:sz w:val="24"/>
        </w:rPr>
        <w:t xml:space="preserve"> and December 31, 202</w:t>
      </w:r>
      <w:r>
        <w:rPr>
          <w:rFonts w:cstheme="minorHAnsi"/>
          <w:color w:val="0D0D0D" w:themeColor="text1" w:themeTint="F2"/>
          <w:sz w:val="24"/>
        </w:rPr>
        <w:t>3</w:t>
      </w:r>
      <w:r w:rsidRPr="004E6649">
        <w:rPr>
          <w:rFonts w:cstheme="minorHAnsi"/>
          <w:color w:val="0D0D0D" w:themeColor="text1" w:themeTint="F2"/>
          <w:sz w:val="24"/>
        </w:rPr>
        <w:t xml:space="preserve"> the spending policy was </w:t>
      </w:r>
      <w:r w:rsidRPr="00F23B95">
        <w:rPr>
          <w:rFonts w:cstheme="minorHAnsi"/>
          <w:color w:val="000000" w:themeColor="text1"/>
          <w:sz w:val="24"/>
        </w:rPr>
        <w:t>4.5%</w:t>
      </w:r>
      <w:r w:rsidRPr="00F23B95">
        <w:rPr>
          <w:rFonts w:cstheme="minorHAnsi"/>
          <w:color w:val="FF0000"/>
          <w:sz w:val="24"/>
        </w:rPr>
        <w:t xml:space="preserve"> </w:t>
      </w:r>
      <w:r w:rsidRPr="004E6649">
        <w:rPr>
          <w:rFonts w:cstheme="minorHAnsi"/>
          <w:color w:val="0D0D0D" w:themeColor="text1" w:themeTint="F2"/>
          <w:sz w:val="24"/>
        </w:rPr>
        <w:t xml:space="preserve">of the average market value for the twelve previous quarters ending </w:t>
      </w:r>
      <w:r>
        <w:rPr>
          <w:rFonts w:cstheme="minorHAnsi"/>
          <w:color w:val="0D0D0D" w:themeColor="text1" w:themeTint="F2"/>
          <w:sz w:val="24"/>
        </w:rPr>
        <w:t>June</w:t>
      </w:r>
      <w:r w:rsidRPr="004E6649">
        <w:rPr>
          <w:rFonts w:cstheme="minorHAnsi"/>
          <w:color w:val="0D0D0D" w:themeColor="text1" w:themeTint="F2"/>
          <w:sz w:val="24"/>
        </w:rPr>
        <w:t xml:space="preserve"> 30</w:t>
      </w:r>
      <w:r w:rsidRPr="004E6649">
        <w:rPr>
          <w:rFonts w:cstheme="minorHAnsi"/>
          <w:sz w:val="24"/>
        </w:rPr>
        <w:t xml:space="preserve">. </w:t>
      </w:r>
    </w:p>
    <w:p w14:paraId="471159C1" w14:textId="77777777" w:rsidR="001B6918" w:rsidRPr="004E6649" w:rsidRDefault="001B6918" w:rsidP="001B6918">
      <w:pPr>
        <w:ind w:left="810"/>
        <w:rPr>
          <w:rFonts w:cstheme="minorHAnsi"/>
          <w:sz w:val="24"/>
          <w:highlight w:val="yellow"/>
        </w:rPr>
      </w:pPr>
    </w:p>
    <w:p w14:paraId="7FAD2CB5" w14:textId="77777777" w:rsidR="001B6918" w:rsidRPr="004E6649" w:rsidRDefault="001B6918" w:rsidP="001B6918">
      <w:pPr>
        <w:rPr>
          <w:rFonts w:cstheme="minorHAnsi"/>
          <w:sz w:val="24"/>
        </w:rPr>
      </w:pPr>
      <w:r w:rsidRPr="004E6649">
        <w:rPr>
          <w:rFonts w:cstheme="minorHAnsi"/>
          <w:sz w:val="24"/>
        </w:rPr>
        <w:t>Endowment spending is contingent upon a fund’s market value exceeding its historic dollar value (principal). In accordance with the Uniform Prudent Management of Institutional Funds Act, a prudent expenditure may be allowed unless the donor has explicitly prohibited expenditure of principal. During the year</w:t>
      </w:r>
      <w:r>
        <w:rPr>
          <w:rFonts w:cstheme="minorHAnsi"/>
          <w:sz w:val="24"/>
        </w:rPr>
        <w:t>s</w:t>
      </w:r>
      <w:r w:rsidRPr="004E6649">
        <w:rPr>
          <w:rFonts w:cstheme="minorHAnsi"/>
          <w:sz w:val="24"/>
        </w:rPr>
        <w:t xml:space="preserve"> ended December 31, 202</w:t>
      </w:r>
      <w:r>
        <w:rPr>
          <w:rFonts w:cstheme="minorHAnsi"/>
          <w:sz w:val="24"/>
        </w:rPr>
        <w:t>4 and</w:t>
      </w:r>
      <w:r w:rsidRPr="004E6649">
        <w:rPr>
          <w:rFonts w:cstheme="minorHAnsi"/>
          <w:sz w:val="24"/>
        </w:rPr>
        <w:t xml:space="preserve"> December 31, 202</w:t>
      </w:r>
      <w:r>
        <w:rPr>
          <w:rFonts w:cstheme="minorHAnsi"/>
          <w:sz w:val="24"/>
        </w:rPr>
        <w:t>3,</w:t>
      </w:r>
      <w:r w:rsidRPr="004E6649">
        <w:rPr>
          <w:rFonts w:cstheme="minorHAnsi"/>
          <w:sz w:val="24"/>
        </w:rPr>
        <w:t xml:space="preserve"> the Foundation distributed $</w:t>
      </w:r>
      <w:r w:rsidRPr="00F23B95">
        <w:rPr>
          <w:rFonts w:cstheme="minorHAnsi"/>
          <w:color w:val="000000" w:themeColor="text1"/>
          <w:sz w:val="24"/>
        </w:rPr>
        <w:t>22,078</w:t>
      </w:r>
      <w:r w:rsidRPr="00111629">
        <w:rPr>
          <w:rFonts w:cstheme="minorHAnsi"/>
          <w:color w:val="FF0000"/>
          <w:sz w:val="24"/>
        </w:rPr>
        <w:t xml:space="preserve"> </w:t>
      </w:r>
      <w:r w:rsidRPr="004E6649">
        <w:rPr>
          <w:rFonts w:cstheme="minorHAnsi"/>
          <w:sz w:val="24"/>
        </w:rPr>
        <w:t>and $</w:t>
      </w:r>
      <w:r w:rsidRPr="00E912BB">
        <w:rPr>
          <w:rFonts w:cstheme="minorHAnsi"/>
          <w:color w:val="0D0D0D" w:themeColor="text1" w:themeTint="F2"/>
          <w:sz w:val="24"/>
        </w:rPr>
        <w:t>24,701</w:t>
      </w:r>
      <w:r w:rsidRPr="004E6649">
        <w:rPr>
          <w:rFonts w:cstheme="minorHAnsi"/>
          <w:sz w:val="24"/>
        </w:rPr>
        <w:t>, respectively, to the System for both restricted and unrestricted purposes.</w:t>
      </w:r>
    </w:p>
    <w:p w14:paraId="319915AA" w14:textId="77777777" w:rsidR="001B6918" w:rsidRPr="004E6649" w:rsidRDefault="001B6918" w:rsidP="001B6918">
      <w:pPr>
        <w:pStyle w:val="AFR4"/>
        <w:rPr>
          <w:rFonts w:cstheme="minorHAnsi"/>
        </w:rPr>
      </w:pPr>
      <w:r w:rsidRPr="004E6649">
        <w:rPr>
          <w:rFonts w:cstheme="minorHAnsi"/>
        </w:rPr>
        <w:t>Fair value measurements</w:t>
      </w:r>
    </w:p>
    <w:p w14:paraId="58E0E29D" w14:textId="77777777" w:rsidR="001B6918" w:rsidRPr="004E6649" w:rsidRDefault="001B6918" w:rsidP="001B6918">
      <w:pPr>
        <w:rPr>
          <w:rFonts w:cstheme="minorHAnsi"/>
          <w:sz w:val="24"/>
        </w:rPr>
      </w:pPr>
      <w:r w:rsidRPr="004E6649">
        <w:rPr>
          <w:rFonts w:cstheme="minorHAnsi"/>
          <w:sz w:val="24"/>
        </w:rPr>
        <w:t>Fair value is defined as the price that would be received to sell an asset or paid to transfer a liability (i.e., the “exit price”) in an orderly transaction between market participants at the measurement date.</w:t>
      </w:r>
    </w:p>
    <w:p w14:paraId="4662824B" w14:textId="77777777" w:rsidR="001B6918" w:rsidRPr="004E6649" w:rsidRDefault="001B6918" w:rsidP="001B6918">
      <w:pPr>
        <w:ind w:left="810"/>
        <w:rPr>
          <w:rFonts w:cstheme="minorHAnsi"/>
          <w:sz w:val="24"/>
        </w:rPr>
      </w:pPr>
    </w:p>
    <w:p w14:paraId="4C2D483E" w14:textId="77777777" w:rsidR="001B6918" w:rsidRPr="004E6649" w:rsidRDefault="001B6918" w:rsidP="001B6918">
      <w:pPr>
        <w:spacing w:after="240"/>
        <w:rPr>
          <w:rFonts w:cstheme="minorHAnsi"/>
          <w:sz w:val="24"/>
        </w:rPr>
      </w:pPr>
      <w:r w:rsidRPr="004E6649">
        <w:rPr>
          <w:rFonts w:cstheme="minorHAnsi"/>
          <w:sz w:val="24"/>
        </w:rPr>
        <w:t>A fair value hierarchy for inputs is used in measuring fair value that maximizes the use of observable inputs and minimizes the use of unobservable inputs by requiring that the most observable inputs be used when available. Observable inputs are those that market participants would use in pricing the asset or liability based on market data obtained from sources independent of the Foundation. Unobservable inputs reflect assumptions about the inputs market participants would use in pricing the asset or liability developed based on the best information available in the circumstances. The fair value hierarchy is categorized into three levels based on the inputs as follows:</w:t>
      </w:r>
    </w:p>
    <w:p w14:paraId="003959EE" w14:textId="77777777" w:rsidR="001B6918" w:rsidRPr="004E6649" w:rsidRDefault="001B6918" w:rsidP="001B6918">
      <w:pPr>
        <w:numPr>
          <w:ilvl w:val="0"/>
          <w:numId w:val="8"/>
        </w:numPr>
        <w:spacing w:after="160"/>
        <w:ind w:left="1350" w:hanging="1080"/>
        <w:rPr>
          <w:rFonts w:eastAsia="Times New Roman" w:cstheme="minorHAnsi"/>
          <w:sz w:val="24"/>
          <w:szCs w:val="24"/>
        </w:rPr>
      </w:pPr>
      <w:r w:rsidRPr="004E6649">
        <w:rPr>
          <w:rFonts w:eastAsia="Times New Roman" w:cstheme="minorHAnsi"/>
          <w:sz w:val="24"/>
          <w:szCs w:val="24"/>
        </w:rPr>
        <w:t>Valuations based on unadjusted quoted prices in active markets for identical assets or liabilities that the Fund has the ability to access. Valuation adjustments and block discounts are not applied to Level 1 securities. Since valuations are based on quoted prices that are readily and regularly available in an active market, valuation of these securities does not entail a significant degree of judgment.</w:t>
      </w:r>
    </w:p>
    <w:p w14:paraId="333BA60D" w14:textId="77777777" w:rsidR="001B6918" w:rsidRPr="004E6649" w:rsidRDefault="001B6918" w:rsidP="001B6918">
      <w:pPr>
        <w:numPr>
          <w:ilvl w:val="0"/>
          <w:numId w:val="8"/>
        </w:numPr>
        <w:spacing w:after="160"/>
        <w:ind w:left="1350" w:hanging="1080"/>
        <w:rPr>
          <w:rFonts w:eastAsia="Times New Roman" w:cstheme="minorHAnsi"/>
          <w:sz w:val="24"/>
          <w:szCs w:val="24"/>
        </w:rPr>
      </w:pPr>
      <w:r w:rsidRPr="004E6649">
        <w:rPr>
          <w:rFonts w:eastAsia="Times New Roman" w:cstheme="minorHAnsi"/>
          <w:sz w:val="24"/>
          <w:szCs w:val="24"/>
        </w:rPr>
        <w:t>Valuations based on quoted prices in markets that are not active or for which all significant inputs are observable, either directly or indirectly.</w:t>
      </w:r>
    </w:p>
    <w:p w14:paraId="125E091C" w14:textId="77777777" w:rsidR="001B6918" w:rsidRPr="004E6649" w:rsidRDefault="001B6918" w:rsidP="001B6918">
      <w:pPr>
        <w:numPr>
          <w:ilvl w:val="0"/>
          <w:numId w:val="8"/>
        </w:numPr>
        <w:ind w:left="1350" w:hanging="1080"/>
        <w:contextualSpacing/>
        <w:rPr>
          <w:rFonts w:eastAsia="Times New Roman" w:cstheme="minorHAnsi"/>
          <w:sz w:val="24"/>
          <w:szCs w:val="24"/>
        </w:rPr>
      </w:pPr>
      <w:r w:rsidRPr="004E6649">
        <w:rPr>
          <w:rFonts w:eastAsia="Times New Roman" w:cstheme="minorHAnsi"/>
          <w:sz w:val="24"/>
          <w:szCs w:val="24"/>
        </w:rPr>
        <w:t>Valuations based on inputs that are unobservable and significant to the overall fair value measurement.</w:t>
      </w:r>
    </w:p>
    <w:p w14:paraId="00D53E96" w14:textId="77777777" w:rsidR="001B6918" w:rsidRDefault="001B6918" w:rsidP="00730ECF">
      <w:pPr>
        <w:spacing w:before="160"/>
        <w:rPr>
          <w:rFonts w:eastAsiaTheme="majorEastAsia" w:cstheme="minorHAnsi"/>
          <w:i/>
          <w:iCs/>
          <w:smallCaps/>
          <w:noProof/>
          <w:color w:val="000000" w:themeColor="text1"/>
          <w:sz w:val="26"/>
          <w:szCs w:val="26"/>
          <w:u w:color="5B9BD5"/>
        </w:rPr>
      </w:pPr>
      <w:r w:rsidRPr="004E6649">
        <w:rPr>
          <w:rFonts w:cstheme="minorHAnsi"/>
          <w:spacing w:val="-3"/>
          <w:sz w:val="24"/>
        </w:rPr>
        <w:t>The Foundation’s short-term investments measured at fair value valuations based on unadjusted quoted prices in active markets for identical assets or liabilities (Level 1) as of December 31, 202</w:t>
      </w:r>
      <w:r>
        <w:rPr>
          <w:rFonts w:cstheme="minorHAnsi"/>
          <w:spacing w:val="-3"/>
          <w:sz w:val="24"/>
        </w:rPr>
        <w:t>4</w:t>
      </w:r>
      <w:r w:rsidRPr="004E6649">
        <w:rPr>
          <w:rFonts w:cstheme="minorHAnsi"/>
          <w:spacing w:val="-3"/>
          <w:sz w:val="24"/>
        </w:rPr>
        <w:t xml:space="preserve"> and December 31, 202</w:t>
      </w:r>
      <w:r>
        <w:rPr>
          <w:rFonts w:cstheme="minorHAnsi"/>
          <w:spacing w:val="-3"/>
          <w:sz w:val="24"/>
        </w:rPr>
        <w:t>3</w:t>
      </w:r>
      <w:r w:rsidRPr="004E6649">
        <w:rPr>
          <w:rFonts w:cstheme="minorHAnsi"/>
          <w:spacing w:val="-3"/>
          <w:sz w:val="24"/>
        </w:rPr>
        <w:t xml:space="preserve"> were $</w:t>
      </w:r>
      <w:r w:rsidRPr="00037F5D">
        <w:rPr>
          <w:rFonts w:cstheme="minorHAnsi"/>
          <w:color w:val="000000" w:themeColor="text1"/>
          <w:spacing w:val="-3"/>
          <w:sz w:val="24"/>
        </w:rPr>
        <w:t>16,430</w:t>
      </w:r>
      <w:r w:rsidRPr="00866209">
        <w:rPr>
          <w:rFonts w:cstheme="minorHAnsi"/>
          <w:color w:val="FF0000"/>
          <w:spacing w:val="-3"/>
          <w:sz w:val="24"/>
        </w:rPr>
        <w:t xml:space="preserve"> </w:t>
      </w:r>
      <w:r w:rsidRPr="004E6649">
        <w:rPr>
          <w:rFonts w:cstheme="minorHAnsi"/>
          <w:spacing w:val="-3"/>
          <w:sz w:val="24"/>
        </w:rPr>
        <w:t>and $</w:t>
      </w:r>
      <w:r w:rsidRPr="00044CA4">
        <w:rPr>
          <w:rFonts w:cstheme="minorHAnsi"/>
          <w:color w:val="0D0D0D" w:themeColor="text1" w:themeTint="F2"/>
          <w:spacing w:val="-3"/>
          <w:sz w:val="24"/>
        </w:rPr>
        <w:t>18,664</w:t>
      </w:r>
      <w:r w:rsidRPr="00866209">
        <w:rPr>
          <w:rFonts w:cstheme="minorHAnsi"/>
          <w:color w:val="FF0000"/>
          <w:spacing w:val="-3"/>
          <w:sz w:val="24"/>
        </w:rPr>
        <w:t xml:space="preserve"> </w:t>
      </w:r>
      <w:r w:rsidRPr="004E6649">
        <w:rPr>
          <w:rFonts w:cstheme="minorHAnsi"/>
          <w:spacing w:val="-3"/>
          <w:sz w:val="24"/>
        </w:rPr>
        <w:t>, respectively. These investments include money markets, certificates of deposit, U.S. government obligations and bonds.</w:t>
      </w:r>
    </w:p>
    <w:p w14:paraId="0FCEAC2E" w14:textId="77777777" w:rsidR="001B6918" w:rsidRPr="009E4423" w:rsidRDefault="001B6918" w:rsidP="001B6918">
      <w:pPr>
        <w:pStyle w:val="AFR4"/>
        <w:spacing w:after="240"/>
        <w:rPr>
          <w:rFonts w:eastAsiaTheme="majorEastAsia" w:cstheme="minorHAnsi"/>
          <w:b w:val="0"/>
          <w:i/>
          <w:iCs/>
          <w:smallCaps/>
          <w:noProof/>
          <w:color w:val="000000" w:themeColor="text1"/>
          <w:sz w:val="22"/>
          <w:szCs w:val="22"/>
          <w:u w:color="5B9BD5"/>
        </w:rPr>
      </w:pPr>
      <w:r w:rsidRPr="009E4423">
        <w:rPr>
          <w:rFonts w:eastAsiaTheme="majorEastAsia" w:cstheme="minorHAnsi"/>
          <w:i/>
          <w:iCs/>
          <w:smallCaps/>
          <w:noProof/>
          <w:color w:val="000000" w:themeColor="text1"/>
          <w:u w:val="none" w:color="5B9BD5"/>
        </w:rPr>
        <w:lastRenderedPageBreak/>
        <w:t>17. COMPONENT UNITS - CONTINUED</w:t>
      </w:r>
    </w:p>
    <w:p w14:paraId="06B01038" w14:textId="77777777" w:rsidR="001B6918" w:rsidRPr="004E6649" w:rsidRDefault="001B6918" w:rsidP="001B6918">
      <w:pPr>
        <w:spacing w:after="240"/>
        <w:rPr>
          <w:rFonts w:cstheme="minorHAnsi"/>
          <w:color w:val="FF0000"/>
          <w:spacing w:val="-3"/>
          <w:sz w:val="24"/>
        </w:rPr>
      </w:pPr>
      <w:r w:rsidRPr="004E6649">
        <w:rPr>
          <w:rFonts w:cstheme="minorHAnsi"/>
          <w:spacing w:val="-3"/>
          <w:sz w:val="24"/>
        </w:rPr>
        <w:t>The following table summarizes the Foundation's long-term endowment investments by class in the fair value hierarchy as of December 31, 202</w:t>
      </w:r>
      <w:r>
        <w:rPr>
          <w:rFonts w:cstheme="minorHAnsi"/>
          <w:spacing w:val="-3"/>
          <w:sz w:val="24"/>
        </w:rPr>
        <w:t>4</w:t>
      </w:r>
      <w:r w:rsidRPr="004E6649">
        <w:rPr>
          <w:rFonts w:cstheme="minorHAnsi"/>
          <w:spacing w:val="-3"/>
          <w:sz w:val="24"/>
        </w:rPr>
        <w:t xml:space="preserve">: </w:t>
      </w:r>
    </w:p>
    <w:tbl>
      <w:tblPr>
        <w:tblW w:w="10980" w:type="dxa"/>
        <w:jc w:val="center"/>
        <w:tblLayout w:type="fixed"/>
        <w:tblCellMar>
          <w:left w:w="72" w:type="dxa"/>
          <w:right w:w="72" w:type="dxa"/>
        </w:tblCellMar>
        <w:tblLook w:val="04A0" w:firstRow="1" w:lastRow="0" w:firstColumn="1" w:lastColumn="0" w:noHBand="0" w:noVBand="1"/>
      </w:tblPr>
      <w:tblGrid>
        <w:gridCol w:w="2880"/>
        <w:gridCol w:w="1277"/>
        <w:gridCol w:w="1260"/>
        <w:gridCol w:w="793"/>
        <w:gridCol w:w="810"/>
        <w:gridCol w:w="1260"/>
        <w:gridCol w:w="2700"/>
      </w:tblGrid>
      <w:tr w:rsidR="001B6918" w:rsidRPr="004E6649" w14:paraId="427AFEB5" w14:textId="77777777" w:rsidTr="00730ECF">
        <w:trPr>
          <w:trHeight w:val="66"/>
          <w:tblHeader/>
          <w:jc w:val="center"/>
        </w:trPr>
        <w:tc>
          <w:tcPr>
            <w:tcW w:w="2880" w:type="dxa"/>
            <w:tcBorders>
              <w:top w:val="nil"/>
              <w:left w:val="nil"/>
              <w:bottom w:val="single" w:sz="12" w:space="0" w:color="000000" w:themeColor="text1"/>
              <w:right w:val="nil"/>
            </w:tcBorders>
            <w:shd w:val="clear" w:color="000000" w:fill="FFFFFF"/>
            <w:noWrap/>
            <w:vAlign w:val="bottom"/>
            <w:hideMark/>
          </w:tcPr>
          <w:p w14:paraId="2B6AF977" w14:textId="77777777" w:rsidR="001B6918" w:rsidRPr="004E6649" w:rsidRDefault="001B6918" w:rsidP="00730ECF">
            <w:pPr>
              <w:rPr>
                <w:rFonts w:eastAsia="Times New Roman" w:cstheme="minorHAnsi"/>
                <w:b/>
                <w:bCs/>
                <w:color w:val="0D0D0D"/>
              </w:rPr>
            </w:pPr>
            <w:r w:rsidRPr="004E6649">
              <w:rPr>
                <w:rFonts w:eastAsia="Times New Roman" w:cstheme="minorHAnsi"/>
                <w:b/>
                <w:bCs/>
                <w:color w:val="0D0D0D"/>
              </w:rPr>
              <w:t> </w:t>
            </w:r>
          </w:p>
        </w:tc>
        <w:tc>
          <w:tcPr>
            <w:tcW w:w="1277" w:type="dxa"/>
            <w:tcBorders>
              <w:top w:val="nil"/>
              <w:left w:val="nil"/>
              <w:bottom w:val="single" w:sz="12" w:space="0" w:color="000000" w:themeColor="text1"/>
              <w:right w:val="nil"/>
            </w:tcBorders>
            <w:shd w:val="clear" w:color="000000" w:fill="FFFFFF"/>
            <w:vAlign w:val="bottom"/>
            <w:hideMark/>
          </w:tcPr>
          <w:p w14:paraId="41F12681"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NAV</w:t>
            </w:r>
          </w:p>
        </w:tc>
        <w:tc>
          <w:tcPr>
            <w:tcW w:w="1260" w:type="dxa"/>
            <w:tcBorders>
              <w:top w:val="nil"/>
              <w:left w:val="nil"/>
              <w:bottom w:val="single" w:sz="12" w:space="0" w:color="000000" w:themeColor="text1"/>
              <w:right w:val="nil"/>
            </w:tcBorders>
            <w:shd w:val="clear" w:color="000000" w:fill="FFFFFF"/>
            <w:vAlign w:val="bottom"/>
            <w:hideMark/>
          </w:tcPr>
          <w:p w14:paraId="5B5F0402"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Level 1</w:t>
            </w:r>
          </w:p>
        </w:tc>
        <w:tc>
          <w:tcPr>
            <w:tcW w:w="793" w:type="dxa"/>
            <w:tcBorders>
              <w:top w:val="nil"/>
              <w:left w:val="nil"/>
              <w:bottom w:val="single" w:sz="12" w:space="0" w:color="000000" w:themeColor="text1"/>
              <w:right w:val="nil"/>
            </w:tcBorders>
            <w:shd w:val="clear" w:color="000000" w:fill="FFFFFF"/>
            <w:vAlign w:val="bottom"/>
            <w:hideMark/>
          </w:tcPr>
          <w:p w14:paraId="67299A7D"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Level 2</w:t>
            </w:r>
          </w:p>
        </w:tc>
        <w:tc>
          <w:tcPr>
            <w:tcW w:w="810" w:type="dxa"/>
            <w:tcBorders>
              <w:top w:val="nil"/>
              <w:left w:val="nil"/>
              <w:bottom w:val="single" w:sz="12" w:space="0" w:color="000000" w:themeColor="text1"/>
              <w:right w:val="nil"/>
            </w:tcBorders>
            <w:shd w:val="clear" w:color="000000" w:fill="FFFFFF"/>
            <w:vAlign w:val="bottom"/>
            <w:hideMark/>
          </w:tcPr>
          <w:p w14:paraId="42189E7A"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Level 3</w:t>
            </w:r>
          </w:p>
        </w:tc>
        <w:tc>
          <w:tcPr>
            <w:tcW w:w="1260" w:type="dxa"/>
            <w:tcBorders>
              <w:top w:val="nil"/>
              <w:left w:val="nil"/>
              <w:bottom w:val="single" w:sz="12" w:space="0" w:color="000000" w:themeColor="text1"/>
              <w:right w:val="nil"/>
            </w:tcBorders>
            <w:shd w:val="clear" w:color="000000" w:fill="FFFFFF"/>
            <w:vAlign w:val="bottom"/>
            <w:hideMark/>
          </w:tcPr>
          <w:p w14:paraId="45848BD5"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Total</w:t>
            </w:r>
          </w:p>
        </w:tc>
        <w:tc>
          <w:tcPr>
            <w:tcW w:w="2700" w:type="dxa"/>
            <w:tcBorders>
              <w:top w:val="nil"/>
              <w:left w:val="nil"/>
              <w:bottom w:val="single" w:sz="12" w:space="0" w:color="000000" w:themeColor="text1"/>
              <w:right w:val="nil"/>
            </w:tcBorders>
            <w:shd w:val="clear" w:color="000000" w:fill="FFFFFF"/>
            <w:vAlign w:val="bottom"/>
            <w:hideMark/>
          </w:tcPr>
          <w:p w14:paraId="08F5383C"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Liquidity</w:t>
            </w:r>
          </w:p>
        </w:tc>
      </w:tr>
      <w:tr w:rsidR="001B6918" w:rsidRPr="004E6649" w14:paraId="556A1807" w14:textId="77777777" w:rsidTr="00730ECF">
        <w:trPr>
          <w:trHeight w:val="114"/>
          <w:jc w:val="center"/>
        </w:trPr>
        <w:tc>
          <w:tcPr>
            <w:tcW w:w="2880" w:type="dxa"/>
            <w:tcBorders>
              <w:top w:val="single" w:sz="12" w:space="0" w:color="000000" w:themeColor="text1"/>
              <w:left w:val="nil"/>
              <w:bottom w:val="nil"/>
              <w:right w:val="nil"/>
            </w:tcBorders>
            <w:shd w:val="clear" w:color="000000" w:fill="FFFFFF"/>
            <w:noWrap/>
            <w:vAlign w:val="bottom"/>
            <w:hideMark/>
          </w:tcPr>
          <w:p w14:paraId="038A4657"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U.S. equities</w:t>
            </w:r>
          </w:p>
        </w:tc>
        <w:tc>
          <w:tcPr>
            <w:tcW w:w="1277" w:type="dxa"/>
            <w:tcBorders>
              <w:top w:val="single" w:sz="12" w:space="0" w:color="000000" w:themeColor="text1"/>
              <w:left w:val="nil"/>
              <w:bottom w:val="nil"/>
              <w:right w:val="nil"/>
            </w:tcBorders>
            <w:shd w:val="clear" w:color="000000" w:fill="FFFFFF"/>
            <w:noWrap/>
            <w:vAlign w:val="bottom"/>
            <w:hideMark/>
          </w:tcPr>
          <w:p w14:paraId="6AB93040" w14:textId="77777777" w:rsidR="001B6918" w:rsidRPr="00111629" w:rsidRDefault="001B6918" w:rsidP="00730ECF">
            <w:pPr>
              <w:jc w:val="right"/>
              <w:rPr>
                <w:rFonts w:eastAsia="Times New Roman" w:cstheme="minorHAnsi"/>
                <w:color w:val="FF0000"/>
              </w:rPr>
            </w:pPr>
            <w:r>
              <w:rPr>
                <w:rFonts w:ascii="Calibri" w:hAnsi="Calibri" w:cs="Calibri"/>
                <w:color w:val="0D0D0D"/>
              </w:rPr>
              <w:t xml:space="preserve"> $ 102,393 </w:t>
            </w:r>
          </w:p>
        </w:tc>
        <w:tc>
          <w:tcPr>
            <w:tcW w:w="1260" w:type="dxa"/>
            <w:tcBorders>
              <w:top w:val="single" w:sz="12" w:space="0" w:color="000000" w:themeColor="text1"/>
              <w:left w:val="nil"/>
              <w:bottom w:val="nil"/>
              <w:right w:val="nil"/>
            </w:tcBorders>
            <w:shd w:val="clear" w:color="000000" w:fill="FFFFFF"/>
            <w:noWrap/>
            <w:vAlign w:val="bottom"/>
            <w:hideMark/>
          </w:tcPr>
          <w:p w14:paraId="5D7CED60" w14:textId="77777777" w:rsidR="001B6918" w:rsidRPr="00111629" w:rsidRDefault="001B6918" w:rsidP="00730ECF">
            <w:pPr>
              <w:jc w:val="right"/>
              <w:rPr>
                <w:rFonts w:eastAsia="Times New Roman" w:cstheme="minorHAnsi"/>
                <w:color w:val="FF0000"/>
              </w:rPr>
            </w:pPr>
            <w:r>
              <w:rPr>
                <w:rFonts w:ascii="Calibri" w:hAnsi="Calibri" w:cs="Calibri"/>
                <w:color w:val="0D0D0D"/>
              </w:rPr>
              <w:t xml:space="preserve"> $   41,439 </w:t>
            </w:r>
          </w:p>
        </w:tc>
        <w:tc>
          <w:tcPr>
            <w:tcW w:w="793" w:type="dxa"/>
            <w:tcBorders>
              <w:top w:val="single" w:sz="12" w:space="0" w:color="000000" w:themeColor="text1"/>
              <w:left w:val="nil"/>
              <w:bottom w:val="nil"/>
              <w:right w:val="nil"/>
            </w:tcBorders>
            <w:shd w:val="clear" w:color="000000" w:fill="FFFFFF"/>
            <w:noWrap/>
            <w:vAlign w:val="bottom"/>
            <w:hideMark/>
          </w:tcPr>
          <w:p w14:paraId="1CAB6BD2" w14:textId="77777777" w:rsidR="001B6918" w:rsidRPr="00111629" w:rsidRDefault="001B6918" w:rsidP="00730ECF">
            <w:pPr>
              <w:jc w:val="right"/>
              <w:rPr>
                <w:rFonts w:eastAsia="Times New Roman" w:cstheme="minorHAnsi"/>
                <w:color w:val="FF0000"/>
              </w:rPr>
            </w:pPr>
            <w:r>
              <w:rPr>
                <w:rFonts w:ascii="Calibri" w:hAnsi="Calibri" w:cs="Calibri"/>
                <w:color w:val="0D0D0D"/>
              </w:rPr>
              <w:t xml:space="preserve"> $        - </w:t>
            </w:r>
          </w:p>
        </w:tc>
        <w:tc>
          <w:tcPr>
            <w:tcW w:w="810" w:type="dxa"/>
            <w:tcBorders>
              <w:top w:val="single" w:sz="12" w:space="0" w:color="000000" w:themeColor="text1"/>
              <w:left w:val="nil"/>
              <w:bottom w:val="nil"/>
              <w:right w:val="nil"/>
            </w:tcBorders>
            <w:shd w:val="clear" w:color="000000" w:fill="FFFFFF"/>
            <w:noWrap/>
            <w:vAlign w:val="bottom"/>
            <w:hideMark/>
          </w:tcPr>
          <w:p w14:paraId="77541900" w14:textId="77777777" w:rsidR="001B6918" w:rsidRPr="00111629" w:rsidRDefault="001B6918" w:rsidP="00730ECF">
            <w:pPr>
              <w:rPr>
                <w:rFonts w:eastAsia="Times New Roman" w:cstheme="minorHAnsi"/>
                <w:color w:val="FF0000"/>
              </w:rPr>
            </w:pPr>
            <w:r>
              <w:rPr>
                <w:rFonts w:ascii="Calibri" w:hAnsi="Calibri" w:cs="Calibri"/>
                <w:color w:val="0D0D0D"/>
              </w:rPr>
              <w:t xml:space="preserve">$         - </w:t>
            </w:r>
          </w:p>
        </w:tc>
        <w:tc>
          <w:tcPr>
            <w:tcW w:w="1260" w:type="dxa"/>
            <w:tcBorders>
              <w:top w:val="single" w:sz="12" w:space="0" w:color="000000" w:themeColor="text1"/>
              <w:left w:val="nil"/>
              <w:bottom w:val="nil"/>
              <w:right w:val="nil"/>
            </w:tcBorders>
            <w:shd w:val="clear" w:color="000000" w:fill="FFFFFF"/>
            <w:noWrap/>
            <w:vAlign w:val="bottom"/>
            <w:hideMark/>
          </w:tcPr>
          <w:p w14:paraId="704FFA4D" w14:textId="77777777" w:rsidR="001B6918" w:rsidRPr="00111629" w:rsidRDefault="001B6918" w:rsidP="00730ECF">
            <w:pPr>
              <w:jc w:val="right"/>
              <w:rPr>
                <w:rFonts w:eastAsia="Times New Roman" w:cstheme="minorHAnsi"/>
                <w:color w:val="FF0000"/>
              </w:rPr>
            </w:pPr>
            <w:r>
              <w:rPr>
                <w:rFonts w:ascii="Calibri" w:hAnsi="Calibri" w:cs="Calibri"/>
                <w:color w:val="0D0D0D"/>
              </w:rPr>
              <w:t xml:space="preserve"> $ 143,832 </w:t>
            </w:r>
          </w:p>
        </w:tc>
        <w:tc>
          <w:tcPr>
            <w:tcW w:w="2700" w:type="dxa"/>
            <w:tcBorders>
              <w:top w:val="single" w:sz="12" w:space="0" w:color="000000" w:themeColor="text1"/>
              <w:left w:val="nil"/>
              <w:bottom w:val="nil"/>
              <w:right w:val="nil"/>
            </w:tcBorders>
            <w:shd w:val="clear" w:color="000000" w:fill="FFFFFF"/>
            <w:vAlign w:val="bottom"/>
            <w:hideMark/>
          </w:tcPr>
          <w:p w14:paraId="47424BFE" w14:textId="77777777" w:rsidR="001B6918" w:rsidRPr="00111629" w:rsidRDefault="001B6918" w:rsidP="00730ECF">
            <w:pPr>
              <w:rPr>
                <w:rFonts w:eastAsia="Times New Roman" w:cstheme="minorHAnsi"/>
                <w:color w:val="FF0000"/>
              </w:rPr>
            </w:pPr>
            <w:r>
              <w:rPr>
                <w:rFonts w:ascii="Calibri" w:hAnsi="Calibri" w:cs="Calibri"/>
              </w:rPr>
              <w:t>Daily</w:t>
            </w:r>
          </w:p>
        </w:tc>
      </w:tr>
      <w:tr w:rsidR="001B6918" w:rsidRPr="004E6649" w14:paraId="53D76DC2" w14:textId="77777777" w:rsidTr="00730ECF">
        <w:trPr>
          <w:trHeight w:val="171"/>
          <w:jc w:val="center"/>
        </w:trPr>
        <w:tc>
          <w:tcPr>
            <w:tcW w:w="2880" w:type="dxa"/>
            <w:tcBorders>
              <w:top w:val="nil"/>
              <w:left w:val="nil"/>
              <w:bottom w:val="nil"/>
              <w:right w:val="nil"/>
            </w:tcBorders>
            <w:shd w:val="clear" w:color="000000" w:fill="FFFFFF"/>
            <w:noWrap/>
            <w:vAlign w:val="bottom"/>
            <w:hideMark/>
          </w:tcPr>
          <w:p w14:paraId="6228ACB1"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Non-U.S. equities</w:t>
            </w:r>
          </w:p>
        </w:tc>
        <w:tc>
          <w:tcPr>
            <w:tcW w:w="1277" w:type="dxa"/>
            <w:tcBorders>
              <w:top w:val="nil"/>
              <w:left w:val="nil"/>
              <w:bottom w:val="nil"/>
              <w:right w:val="nil"/>
            </w:tcBorders>
            <w:shd w:val="clear" w:color="000000" w:fill="FFFFFF"/>
            <w:noWrap/>
            <w:vAlign w:val="bottom"/>
            <w:hideMark/>
          </w:tcPr>
          <w:p w14:paraId="4D75EE92" w14:textId="77777777" w:rsidR="001B6918" w:rsidRPr="00111629" w:rsidRDefault="001B6918" w:rsidP="00730ECF">
            <w:pPr>
              <w:jc w:val="right"/>
              <w:rPr>
                <w:rFonts w:eastAsia="Times New Roman" w:cstheme="minorHAnsi"/>
                <w:color w:val="FF0000"/>
              </w:rPr>
            </w:pPr>
            <w:r>
              <w:rPr>
                <w:rFonts w:ascii="Calibri" w:hAnsi="Calibri" w:cs="Calibri"/>
                <w:color w:val="0D0D0D"/>
              </w:rPr>
              <w:t xml:space="preserve">       22,524 </w:t>
            </w:r>
          </w:p>
        </w:tc>
        <w:tc>
          <w:tcPr>
            <w:tcW w:w="1260" w:type="dxa"/>
            <w:tcBorders>
              <w:top w:val="nil"/>
              <w:left w:val="nil"/>
              <w:bottom w:val="nil"/>
              <w:right w:val="nil"/>
            </w:tcBorders>
            <w:shd w:val="clear" w:color="000000" w:fill="FFFFFF"/>
            <w:noWrap/>
            <w:vAlign w:val="bottom"/>
            <w:hideMark/>
          </w:tcPr>
          <w:p w14:paraId="404E42F0" w14:textId="77777777" w:rsidR="001B6918" w:rsidRPr="00111629" w:rsidRDefault="001B6918" w:rsidP="00730ECF">
            <w:pPr>
              <w:jc w:val="right"/>
              <w:rPr>
                <w:rFonts w:eastAsia="Times New Roman" w:cstheme="minorHAnsi"/>
                <w:color w:val="FF0000"/>
              </w:rPr>
            </w:pPr>
            <w:r>
              <w:rPr>
                <w:rFonts w:ascii="Calibri" w:hAnsi="Calibri" w:cs="Calibri"/>
                <w:color w:val="0D0D0D"/>
              </w:rPr>
              <w:t xml:space="preserve">       39,558 </w:t>
            </w:r>
          </w:p>
        </w:tc>
        <w:tc>
          <w:tcPr>
            <w:tcW w:w="793" w:type="dxa"/>
            <w:tcBorders>
              <w:top w:val="nil"/>
              <w:left w:val="nil"/>
              <w:bottom w:val="nil"/>
              <w:right w:val="nil"/>
            </w:tcBorders>
            <w:shd w:val="clear" w:color="000000" w:fill="FFFFFF"/>
            <w:noWrap/>
            <w:vAlign w:val="bottom"/>
            <w:hideMark/>
          </w:tcPr>
          <w:p w14:paraId="156ABA3F" w14:textId="77777777" w:rsidR="001B6918" w:rsidRPr="00111629" w:rsidRDefault="001B6918" w:rsidP="00730ECF">
            <w:pPr>
              <w:jc w:val="right"/>
              <w:rPr>
                <w:rFonts w:eastAsia="Times New Roman" w:cstheme="minorHAnsi"/>
                <w:color w:val="FF0000"/>
              </w:rPr>
            </w:pPr>
            <w:r>
              <w:rPr>
                <w:rFonts w:ascii="Calibri" w:hAnsi="Calibri" w:cs="Calibri"/>
                <w:color w:val="0D0D0D"/>
              </w:rPr>
              <w:t xml:space="preserve">           - </w:t>
            </w:r>
          </w:p>
        </w:tc>
        <w:tc>
          <w:tcPr>
            <w:tcW w:w="810" w:type="dxa"/>
            <w:tcBorders>
              <w:top w:val="nil"/>
              <w:left w:val="nil"/>
              <w:bottom w:val="nil"/>
              <w:right w:val="nil"/>
            </w:tcBorders>
            <w:shd w:val="clear" w:color="000000" w:fill="FFFFFF"/>
            <w:noWrap/>
            <w:vAlign w:val="bottom"/>
            <w:hideMark/>
          </w:tcPr>
          <w:p w14:paraId="3A77BA2F" w14:textId="77777777" w:rsidR="001B6918" w:rsidRPr="00111629" w:rsidRDefault="001B6918" w:rsidP="00730ECF">
            <w:pPr>
              <w:jc w:val="right"/>
              <w:rPr>
                <w:rFonts w:eastAsia="Times New Roman" w:cstheme="minorHAnsi"/>
                <w:color w:val="FF0000"/>
              </w:rPr>
            </w:pPr>
            <w:r>
              <w:rPr>
                <w:rFonts w:ascii="Calibri" w:hAnsi="Calibri" w:cs="Calibri"/>
                <w:color w:val="0D0D0D"/>
              </w:rPr>
              <w:t xml:space="preserve">- </w:t>
            </w:r>
          </w:p>
        </w:tc>
        <w:tc>
          <w:tcPr>
            <w:tcW w:w="1260" w:type="dxa"/>
            <w:tcBorders>
              <w:top w:val="nil"/>
              <w:left w:val="nil"/>
              <w:bottom w:val="nil"/>
              <w:right w:val="nil"/>
            </w:tcBorders>
            <w:shd w:val="clear" w:color="000000" w:fill="FFFFFF"/>
            <w:noWrap/>
            <w:vAlign w:val="bottom"/>
            <w:hideMark/>
          </w:tcPr>
          <w:p w14:paraId="1E2E78DD" w14:textId="77777777" w:rsidR="001B6918" w:rsidRPr="00111629" w:rsidRDefault="001B6918" w:rsidP="00730ECF">
            <w:pPr>
              <w:jc w:val="right"/>
              <w:rPr>
                <w:rFonts w:eastAsia="Times New Roman" w:cstheme="minorHAnsi"/>
                <w:color w:val="FF0000"/>
              </w:rPr>
            </w:pPr>
            <w:r>
              <w:rPr>
                <w:rFonts w:ascii="Calibri" w:hAnsi="Calibri" w:cs="Calibri"/>
                <w:color w:val="0D0D0D"/>
              </w:rPr>
              <w:t xml:space="preserve">       62,082 </w:t>
            </w:r>
          </w:p>
        </w:tc>
        <w:tc>
          <w:tcPr>
            <w:tcW w:w="2700" w:type="dxa"/>
            <w:tcBorders>
              <w:top w:val="nil"/>
              <w:left w:val="nil"/>
              <w:bottom w:val="nil"/>
              <w:right w:val="nil"/>
            </w:tcBorders>
            <w:shd w:val="clear" w:color="000000" w:fill="FFFFFF"/>
            <w:vAlign w:val="bottom"/>
            <w:hideMark/>
          </w:tcPr>
          <w:p w14:paraId="77DF7D50" w14:textId="77777777" w:rsidR="001B6918" w:rsidRPr="00111629" w:rsidRDefault="001B6918" w:rsidP="00730ECF">
            <w:pPr>
              <w:rPr>
                <w:rFonts w:eastAsia="Times New Roman" w:cstheme="minorHAnsi"/>
                <w:color w:val="FF0000"/>
              </w:rPr>
            </w:pPr>
            <w:r>
              <w:rPr>
                <w:rFonts w:ascii="Calibri" w:hAnsi="Calibri" w:cs="Calibri"/>
              </w:rPr>
              <w:t>Daily/Monthly/Quarterly</w:t>
            </w:r>
          </w:p>
        </w:tc>
      </w:tr>
      <w:tr w:rsidR="001B6918" w:rsidRPr="004E6649" w14:paraId="7FC8E5E4" w14:textId="77777777" w:rsidTr="00730ECF">
        <w:trPr>
          <w:trHeight w:val="153"/>
          <w:jc w:val="center"/>
        </w:trPr>
        <w:tc>
          <w:tcPr>
            <w:tcW w:w="2880" w:type="dxa"/>
            <w:tcBorders>
              <w:top w:val="nil"/>
              <w:left w:val="nil"/>
              <w:bottom w:val="nil"/>
              <w:right w:val="nil"/>
            </w:tcBorders>
            <w:shd w:val="clear" w:color="000000" w:fill="FFFFFF"/>
            <w:noWrap/>
            <w:vAlign w:val="bottom"/>
            <w:hideMark/>
          </w:tcPr>
          <w:p w14:paraId="0A9A8385"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Global equities</w:t>
            </w:r>
          </w:p>
        </w:tc>
        <w:tc>
          <w:tcPr>
            <w:tcW w:w="1277" w:type="dxa"/>
            <w:tcBorders>
              <w:top w:val="nil"/>
              <w:left w:val="nil"/>
              <w:bottom w:val="nil"/>
              <w:right w:val="nil"/>
            </w:tcBorders>
            <w:shd w:val="clear" w:color="000000" w:fill="FFFFFF"/>
            <w:noWrap/>
            <w:vAlign w:val="bottom"/>
            <w:hideMark/>
          </w:tcPr>
          <w:p w14:paraId="64B44933" w14:textId="77777777" w:rsidR="001B6918" w:rsidRPr="00111629" w:rsidRDefault="001B6918" w:rsidP="00730ECF">
            <w:pPr>
              <w:jc w:val="right"/>
              <w:rPr>
                <w:rFonts w:eastAsia="Times New Roman" w:cstheme="minorHAnsi"/>
                <w:color w:val="FF0000"/>
              </w:rPr>
            </w:pPr>
            <w:r>
              <w:rPr>
                <w:rFonts w:ascii="Calibri" w:hAnsi="Calibri" w:cs="Calibri"/>
                <w:color w:val="0D0D0D"/>
              </w:rPr>
              <w:t xml:space="preserve">       44,374 </w:t>
            </w:r>
          </w:p>
        </w:tc>
        <w:tc>
          <w:tcPr>
            <w:tcW w:w="1260" w:type="dxa"/>
            <w:tcBorders>
              <w:top w:val="nil"/>
              <w:left w:val="nil"/>
              <w:bottom w:val="nil"/>
              <w:right w:val="nil"/>
            </w:tcBorders>
            <w:shd w:val="clear" w:color="000000" w:fill="FFFFFF"/>
            <w:noWrap/>
            <w:vAlign w:val="bottom"/>
            <w:hideMark/>
          </w:tcPr>
          <w:p w14:paraId="73691918" w14:textId="77777777" w:rsidR="001B6918" w:rsidRPr="00111629" w:rsidRDefault="001B6918" w:rsidP="00730ECF">
            <w:pPr>
              <w:jc w:val="right"/>
              <w:rPr>
                <w:rFonts w:eastAsia="Times New Roman" w:cstheme="minorHAnsi"/>
                <w:color w:val="FF0000"/>
              </w:rPr>
            </w:pPr>
            <w:r>
              <w:rPr>
                <w:rFonts w:ascii="Calibri" w:hAnsi="Calibri" w:cs="Calibri"/>
                <w:color w:val="0D0D0D"/>
              </w:rPr>
              <w:t xml:space="preserve">                  - </w:t>
            </w:r>
          </w:p>
        </w:tc>
        <w:tc>
          <w:tcPr>
            <w:tcW w:w="793" w:type="dxa"/>
            <w:tcBorders>
              <w:top w:val="nil"/>
              <w:left w:val="nil"/>
              <w:bottom w:val="nil"/>
              <w:right w:val="nil"/>
            </w:tcBorders>
            <w:shd w:val="clear" w:color="000000" w:fill="FFFFFF"/>
            <w:noWrap/>
            <w:vAlign w:val="bottom"/>
            <w:hideMark/>
          </w:tcPr>
          <w:p w14:paraId="21F49951" w14:textId="77777777" w:rsidR="001B6918" w:rsidRPr="00111629" w:rsidRDefault="001B6918" w:rsidP="00730ECF">
            <w:pPr>
              <w:jc w:val="right"/>
              <w:rPr>
                <w:rFonts w:eastAsia="Times New Roman" w:cstheme="minorHAnsi"/>
                <w:color w:val="FF0000"/>
              </w:rPr>
            </w:pPr>
            <w:r>
              <w:rPr>
                <w:rFonts w:ascii="Calibri" w:hAnsi="Calibri" w:cs="Calibri"/>
                <w:color w:val="0D0D0D"/>
              </w:rPr>
              <w:t xml:space="preserve">           - </w:t>
            </w:r>
          </w:p>
        </w:tc>
        <w:tc>
          <w:tcPr>
            <w:tcW w:w="810" w:type="dxa"/>
            <w:tcBorders>
              <w:top w:val="nil"/>
              <w:left w:val="nil"/>
              <w:bottom w:val="nil"/>
              <w:right w:val="nil"/>
            </w:tcBorders>
            <w:shd w:val="clear" w:color="000000" w:fill="FFFFFF"/>
            <w:noWrap/>
            <w:vAlign w:val="bottom"/>
            <w:hideMark/>
          </w:tcPr>
          <w:p w14:paraId="3FAA8BF9" w14:textId="77777777" w:rsidR="001B6918" w:rsidRPr="00111629" w:rsidRDefault="001B6918" w:rsidP="00730ECF">
            <w:pPr>
              <w:jc w:val="right"/>
              <w:rPr>
                <w:rFonts w:eastAsia="Times New Roman" w:cstheme="minorHAnsi"/>
                <w:color w:val="FF0000"/>
              </w:rPr>
            </w:pPr>
            <w:r>
              <w:rPr>
                <w:rFonts w:ascii="Calibri" w:hAnsi="Calibri" w:cs="Calibri"/>
                <w:color w:val="0D0D0D"/>
              </w:rPr>
              <w:t xml:space="preserve">- </w:t>
            </w:r>
          </w:p>
        </w:tc>
        <w:tc>
          <w:tcPr>
            <w:tcW w:w="1260" w:type="dxa"/>
            <w:tcBorders>
              <w:top w:val="nil"/>
              <w:left w:val="nil"/>
              <w:bottom w:val="nil"/>
              <w:right w:val="nil"/>
            </w:tcBorders>
            <w:shd w:val="clear" w:color="000000" w:fill="FFFFFF"/>
            <w:noWrap/>
            <w:vAlign w:val="bottom"/>
            <w:hideMark/>
          </w:tcPr>
          <w:p w14:paraId="0CC8973E" w14:textId="77777777" w:rsidR="001B6918" w:rsidRPr="00111629" w:rsidRDefault="001B6918" w:rsidP="00730ECF">
            <w:pPr>
              <w:jc w:val="right"/>
              <w:rPr>
                <w:rFonts w:eastAsia="Times New Roman" w:cstheme="minorHAnsi"/>
                <w:color w:val="FF0000"/>
              </w:rPr>
            </w:pPr>
            <w:r>
              <w:rPr>
                <w:rFonts w:ascii="Calibri" w:hAnsi="Calibri" w:cs="Calibri"/>
                <w:color w:val="0D0D0D"/>
              </w:rPr>
              <w:t xml:space="preserve">       44,374 </w:t>
            </w:r>
          </w:p>
        </w:tc>
        <w:tc>
          <w:tcPr>
            <w:tcW w:w="2700" w:type="dxa"/>
            <w:tcBorders>
              <w:top w:val="nil"/>
              <w:left w:val="nil"/>
              <w:bottom w:val="nil"/>
              <w:right w:val="nil"/>
            </w:tcBorders>
            <w:shd w:val="clear" w:color="000000" w:fill="FFFFFF"/>
            <w:vAlign w:val="bottom"/>
            <w:hideMark/>
          </w:tcPr>
          <w:p w14:paraId="065ED974" w14:textId="77777777" w:rsidR="001B6918" w:rsidRPr="00111629" w:rsidRDefault="001B6918" w:rsidP="00730ECF">
            <w:pPr>
              <w:rPr>
                <w:rFonts w:eastAsia="Times New Roman" w:cstheme="minorHAnsi"/>
                <w:color w:val="FF0000"/>
              </w:rPr>
            </w:pPr>
            <w:r>
              <w:rPr>
                <w:rFonts w:ascii="Calibri" w:hAnsi="Calibri" w:cs="Calibri"/>
              </w:rPr>
              <w:t>Monthly/Quarterly</w:t>
            </w:r>
          </w:p>
        </w:tc>
      </w:tr>
      <w:tr w:rsidR="001B6918" w:rsidRPr="004E6649" w14:paraId="0DC6634B" w14:textId="77777777" w:rsidTr="00730ECF">
        <w:trPr>
          <w:trHeight w:val="135"/>
          <w:jc w:val="center"/>
        </w:trPr>
        <w:tc>
          <w:tcPr>
            <w:tcW w:w="2880" w:type="dxa"/>
            <w:tcBorders>
              <w:top w:val="nil"/>
              <w:left w:val="nil"/>
              <w:bottom w:val="nil"/>
              <w:right w:val="nil"/>
            </w:tcBorders>
            <w:shd w:val="clear" w:color="000000" w:fill="FFFFFF"/>
            <w:noWrap/>
            <w:vAlign w:val="bottom"/>
            <w:hideMark/>
          </w:tcPr>
          <w:p w14:paraId="59286937"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U.S. fixed income</w:t>
            </w:r>
          </w:p>
        </w:tc>
        <w:tc>
          <w:tcPr>
            <w:tcW w:w="1277" w:type="dxa"/>
            <w:tcBorders>
              <w:top w:val="nil"/>
              <w:left w:val="nil"/>
              <w:bottom w:val="nil"/>
              <w:right w:val="nil"/>
            </w:tcBorders>
            <w:shd w:val="clear" w:color="000000" w:fill="FFFFFF"/>
            <w:noWrap/>
            <w:vAlign w:val="bottom"/>
            <w:hideMark/>
          </w:tcPr>
          <w:p w14:paraId="7E5959E3" w14:textId="77777777" w:rsidR="001B6918" w:rsidRPr="00111629" w:rsidRDefault="001B6918" w:rsidP="00730ECF">
            <w:pPr>
              <w:jc w:val="right"/>
              <w:rPr>
                <w:rFonts w:eastAsia="Times New Roman" w:cstheme="minorHAnsi"/>
                <w:color w:val="FF0000"/>
              </w:rPr>
            </w:pPr>
            <w:r>
              <w:rPr>
                <w:rFonts w:ascii="Calibri" w:hAnsi="Calibri" w:cs="Calibri"/>
                <w:color w:val="0D0D0D"/>
              </w:rPr>
              <w:t xml:space="preserve">                  - </w:t>
            </w:r>
          </w:p>
        </w:tc>
        <w:tc>
          <w:tcPr>
            <w:tcW w:w="1260" w:type="dxa"/>
            <w:tcBorders>
              <w:top w:val="nil"/>
              <w:left w:val="nil"/>
              <w:bottom w:val="nil"/>
              <w:right w:val="nil"/>
            </w:tcBorders>
            <w:shd w:val="clear" w:color="000000" w:fill="FFFFFF"/>
            <w:noWrap/>
            <w:vAlign w:val="bottom"/>
            <w:hideMark/>
          </w:tcPr>
          <w:p w14:paraId="44DA63C8" w14:textId="77777777" w:rsidR="001B6918" w:rsidRPr="00111629" w:rsidRDefault="001B6918" w:rsidP="00730ECF">
            <w:pPr>
              <w:jc w:val="right"/>
              <w:rPr>
                <w:rFonts w:eastAsia="Times New Roman" w:cstheme="minorHAnsi"/>
                <w:color w:val="FF0000"/>
              </w:rPr>
            </w:pPr>
            <w:r>
              <w:rPr>
                <w:rFonts w:ascii="Calibri" w:hAnsi="Calibri" w:cs="Calibri"/>
                <w:color w:val="0D0D0D"/>
              </w:rPr>
              <w:t xml:space="preserve">       33,477 </w:t>
            </w:r>
          </w:p>
        </w:tc>
        <w:tc>
          <w:tcPr>
            <w:tcW w:w="793" w:type="dxa"/>
            <w:tcBorders>
              <w:top w:val="nil"/>
              <w:left w:val="nil"/>
              <w:bottom w:val="nil"/>
              <w:right w:val="nil"/>
            </w:tcBorders>
            <w:shd w:val="clear" w:color="000000" w:fill="FFFFFF"/>
            <w:noWrap/>
            <w:vAlign w:val="bottom"/>
            <w:hideMark/>
          </w:tcPr>
          <w:p w14:paraId="0932D57D" w14:textId="77777777" w:rsidR="001B6918" w:rsidRPr="00111629" w:rsidRDefault="001B6918" w:rsidP="00730ECF">
            <w:pPr>
              <w:jc w:val="right"/>
              <w:rPr>
                <w:rFonts w:eastAsia="Times New Roman" w:cstheme="minorHAnsi"/>
                <w:color w:val="FF0000"/>
              </w:rPr>
            </w:pPr>
            <w:r>
              <w:rPr>
                <w:rFonts w:ascii="Calibri" w:hAnsi="Calibri" w:cs="Calibri"/>
                <w:color w:val="0D0D0D"/>
              </w:rPr>
              <w:t xml:space="preserve">           - </w:t>
            </w:r>
          </w:p>
        </w:tc>
        <w:tc>
          <w:tcPr>
            <w:tcW w:w="810" w:type="dxa"/>
            <w:tcBorders>
              <w:top w:val="nil"/>
              <w:left w:val="nil"/>
              <w:bottom w:val="nil"/>
              <w:right w:val="nil"/>
            </w:tcBorders>
            <w:shd w:val="clear" w:color="000000" w:fill="FFFFFF"/>
            <w:noWrap/>
            <w:vAlign w:val="bottom"/>
            <w:hideMark/>
          </w:tcPr>
          <w:p w14:paraId="7E34CA1D" w14:textId="77777777" w:rsidR="001B6918" w:rsidRPr="00111629" w:rsidRDefault="001B6918" w:rsidP="00730ECF">
            <w:pPr>
              <w:jc w:val="right"/>
              <w:rPr>
                <w:rFonts w:eastAsia="Times New Roman" w:cstheme="minorHAnsi"/>
                <w:color w:val="FF0000"/>
              </w:rPr>
            </w:pPr>
            <w:r>
              <w:rPr>
                <w:rFonts w:ascii="Calibri" w:hAnsi="Calibri" w:cs="Calibri"/>
                <w:color w:val="0D0D0D"/>
              </w:rPr>
              <w:t xml:space="preserve">- </w:t>
            </w:r>
          </w:p>
        </w:tc>
        <w:tc>
          <w:tcPr>
            <w:tcW w:w="1260" w:type="dxa"/>
            <w:tcBorders>
              <w:top w:val="nil"/>
              <w:left w:val="nil"/>
              <w:bottom w:val="nil"/>
              <w:right w:val="nil"/>
            </w:tcBorders>
            <w:shd w:val="clear" w:color="000000" w:fill="FFFFFF"/>
            <w:noWrap/>
            <w:vAlign w:val="bottom"/>
            <w:hideMark/>
          </w:tcPr>
          <w:p w14:paraId="4A3AB318" w14:textId="77777777" w:rsidR="001B6918" w:rsidRPr="00111629" w:rsidRDefault="001B6918" w:rsidP="00730ECF">
            <w:pPr>
              <w:jc w:val="right"/>
              <w:rPr>
                <w:rFonts w:eastAsia="Times New Roman" w:cstheme="minorHAnsi"/>
                <w:color w:val="FF0000"/>
              </w:rPr>
            </w:pPr>
            <w:r>
              <w:rPr>
                <w:rFonts w:ascii="Calibri" w:hAnsi="Calibri" w:cs="Calibri"/>
                <w:color w:val="0D0D0D"/>
              </w:rPr>
              <w:t xml:space="preserve">       33,477 </w:t>
            </w:r>
          </w:p>
        </w:tc>
        <w:tc>
          <w:tcPr>
            <w:tcW w:w="2700" w:type="dxa"/>
            <w:tcBorders>
              <w:top w:val="nil"/>
              <w:left w:val="nil"/>
              <w:bottom w:val="nil"/>
              <w:right w:val="nil"/>
            </w:tcBorders>
            <w:shd w:val="clear" w:color="000000" w:fill="FFFFFF"/>
            <w:vAlign w:val="bottom"/>
            <w:hideMark/>
          </w:tcPr>
          <w:p w14:paraId="48F58399" w14:textId="77777777" w:rsidR="001B6918" w:rsidRPr="00111629" w:rsidRDefault="001B6918" w:rsidP="00730ECF">
            <w:pPr>
              <w:rPr>
                <w:rFonts w:eastAsia="Times New Roman" w:cstheme="minorHAnsi"/>
                <w:color w:val="FF0000"/>
              </w:rPr>
            </w:pPr>
            <w:r>
              <w:rPr>
                <w:rFonts w:ascii="Calibri" w:hAnsi="Calibri" w:cs="Calibri"/>
              </w:rPr>
              <w:t>Daily</w:t>
            </w:r>
          </w:p>
        </w:tc>
      </w:tr>
      <w:tr w:rsidR="001B6918" w:rsidRPr="004E6649" w14:paraId="10516B6C" w14:textId="77777777" w:rsidTr="00730ECF">
        <w:trPr>
          <w:trHeight w:val="117"/>
          <w:jc w:val="center"/>
        </w:trPr>
        <w:tc>
          <w:tcPr>
            <w:tcW w:w="2880" w:type="dxa"/>
            <w:tcBorders>
              <w:top w:val="nil"/>
              <w:left w:val="nil"/>
              <w:bottom w:val="nil"/>
              <w:right w:val="nil"/>
            </w:tcBorders>
            <w:shd w:val="clear" w:color="000000" w:fill="FFFFFF"/>
            <w:noWrap/>
            <w:vAlign w:val="bottom"/>
            <w:hideMark/>
          </w:tcPr>
          <w:p w14:paraId="0EDBFE81"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Total private investments</w:t>
            </w:r>
          </w:p>
        </w:tc>
        <w:tc>
          <w:tcPr>
            <w:tcW w:w="1277" w:type="dxa"/>
            <w:tcBorders>
              <w:top w:val="nil"/>
              <w:left w:val="nil"/>
              <w:bottom w:val="nil"/>
              <w:right w:val="nil"/>
            </w:tcBorders>
            <w:shd w:val="clear" w:color="000000" w:fill="FFFFFF"/>
            <w:noWrap/>
            <w:vAlign w:val="bottom"/>
            <w:hideMark/>
          </w:tcPr>
          <w:p w14:paraId="28BF4E91" w14:textId="77777777" w:rsidR="001B6918" w:rsidRPr="00111629" w:rsidRDefault="001B6918" w:rsidP="00730ECF">
            <w:pPr>
              <w:jc w:val="right"/>
              <w:rPr>
                <w:rFonts w:eastAsia="Times New Roman" w:cstheme="minorHAnsi"/>
                <w:color w:val="FF0000"/>
              </w:rPr>
            </w:pPr>
            <w:r>
              <w:rPr>
                <w:rFonts w:ascii="Calibri" w:hAnsi="Calibri" w:cs="Calibri"/>
                <w:color w:val="0D0D0D"/>
              </w:rPr>
              <w:t xml:space="preserve">       66,878 </w:t>
            </w:r>
          </w:p>
        </w:tc>
        <w:tc>
          <w:tcPr>
            <w:tcW w:w="1260" w:type="dxa"/>
            <w:tcBorders>
              <w:top w:val="nil"/>
              <w:left w:val="nil"/>
              <w:bottom w:val="nil"/>
              <w:right w:val="nil"/>
            </w:tcBorders>
            <w:shd w:val="clear" w:color="000000" w:fill="FFFFFF"/>
            <w:noWrap/>
            <w:vAlign w:val="bottom"/>
            <w:hideMark/>
          </w:tcPr>
          <w:p w14:paraId="4E35D0E4" w14:textId="77777777" w:rsidR="001B6918" w:rsidRPr="00111629" w:rsidRDefault="001B6918" w:rsidP="00730ECF">
            <w:pPr>
              <w:jc w:val="right"/>
              <w:rPr>
                <w:rFonts w:eastAsia="Times New Roman" w:cstheme="minorHAnsi"/>
                <w:color w:val="FF0000"/>
              </w:rPr>
            </w:pPr>
            <w:r>
              <w:rPr>
                <w:rFonts w:ascii="Calibri" w:hAnsi="Calibri" w:cs="Calibri"/>
                <w:color w:val="0D0D0D"/>
              </w:rPr>
              <w:t xml:space="preserve">                  - </w:t>
            </w:r>
          </w:p>
        </w:tc>
        <w:tc>
          <w:tcPr>
            <w:tcW w:w="793" w:type="dxa"/>
            <w:tcBorders>
              <w:top w:val="nil"/>
              <w:left w:val="nil"/>
              <w:bottom w:val="nil"/>
              <w:right w:val="nil"/>
            </w:tcBorders>
            <w:shd w:val="clear" w:color="000000" w:fill="FFFFFF"/>
            <w:noWrap/>
            <w:vAlign w:val="bottom"/>
            <w:hideMark/>
          </w:tcPr>
          <w:p w14:paraId="019B87DC" w14:textId="77777777" w:rsidR="001B6918" w:rsidRPr="00111629" w:rsidRDefault="001B6918" w:rsidP="00730ECF">
            <w:pPr>
              <w:jc w:val="right"/>
              <w:rPr>
                <w:rFonts w:eastAsia="Times New Roman" w:cstheme="minorHAnsi"/>
                <w:color w:val="FF0000"/>
              </w:rPr>
            </w:pPr>
            <w:r>
              <w:rPr>
                <w:rFonts w:ascii="Calibri" w:hAnsi="Calibri" w:cs="Calibri"/>
                <w:color w:val="0D0D0D"/>
              </w:rPr>
              <w:t xml:space="preserve">           - </w:t>
            </w:r>
          </w:p>
        </w:tc>
        <w:tc>
          <w:tcPr>
            <w:tcW w:w="810" w:type="dxa"/>
            <w:tcBorders>
              <w:top w:val="nil"/>
              <w:left w:val="nil"/>
              <w:bottom w:val="nil"/>
              <w:right w:val="nil"/>
            </w:tcBorders>
            <w:shd w:val="clear" w:color="000000" w:fill="FFFFFF"/>
            <w:noWrap/>
            <w:vAlign w:val="bottom"/>
            <w:hideMark/>
          </w:tcPr>
          <w:p w14:paraId="46B7ABE8" w14:textId="77777777" w:rsidR="001B6918" w:rsidRPr="00111629" w:rsidRDefault="001B6918" w:rsidP="00730ECF">
            <w:pPr>
              <w:jc w:val="right"/>
              <w:rPr>
                <w:rFonts w:eastAsia="Times New Roman" w:cstheme="minorHAnsi"/>
                <w:color w:val="FF0000"/>
              </w:rPr>
            </w:pPr>
            <w:r>
              <w:rPr>
                <w:rFonts w:ascii="Calibri" w:hAnsi="Calibri" w:cs="Calibri"/>
                <w:color w:val="0D0D0D"/>
              </w:rPr>
              <w:t xml:space="preserve">- </w:t>
            </w:r>
          </w:p>
        </w:tc>
        <w:tc>
          <w:tcPr>
            <w:tcW w:w="1260" w:type="dxa"/>
            <w:tcBorders>
              <w:top w:val="nil"/>
              <w:left w:val="nil"/>
              <w:bottom w:val="nil"/>
              <w:right w:val="nil"/>
            </w:tcBorders>
            <w:shd w:val="clear" w:color="000000" w:fill="FFFFFF"/>
            <w:noWrap/>
            <w:vAlign w:val="bottom"/>
            <w:hideMark/>
          </w:tcPr>
          <w:p w14:paraId="0F4ACAD6" w14:textId="77777777" w:rsidR="001B6918" w:rsidRPr="00111629" w:rsidRDefault="001B6918" w:rsidP="00730ECF">
            <w:pPr>
              <w:jc w:val="right"/>
              <w:rPr>
                <w:rFonts w:eastAsia="Times New Roman" w:cstheme="minorHAnsi"/>
                <w:color w:val="FF0000"/>
              </w:rPr>
            </w:pPr>
            <w:r>
              <w:rPr>
                <w:rFonts w:ascii="Calibri" w:hAnsi="Calibri" w:cs="Calibri"/>
                <w:color w:val="0D0D0D"/>
              </w:rPr>
              <w:t xml:space="preserve">       66,878 </w:t>
            </w:r>
          </w:p>
        </w:tc>
        <w:tc>
          <w:tcPr>
            <w:tcW w:w="2700" w:type="dxa"/>
            <w:tcBorders>
              <w:top w:val="nil"/>
              <w:left w:val="nil"/>
              <w:bottom w:val="nil"/>
              <w:right w:val="nil"/>
            </w:tcBorders>
            <w:shd w:val="clear" w:color="000000" w:fill="FFFFFF"/>
            <w:vAlign w:val="bottom"/>
            <w:hideMark/>
          </w:tcPr>
          <w:p w14:paraId="435433BB" w14:textId="77777777" w:rsidR="001B6918" w:rsidRPr="00111629" w:rsidRDefault="001B6918" w:rsidP="00730ECF">
            <w:pPr>
              <w:rPr>
                <w:rFonts w:eastAsia="Times New Roman" w:cstheme="minorHAnsi"/>
                <w:color w:val="FF0000"/>
              </w:rPr>
            </w:pPr>
            <w:r>
              <w:rPr>
                <w:rFonts w:ascii="Calibri" w:hAnsi="Calibri" w:cs="Calibri"/>
              </w:rPr>
              <w:t>Illiquid</w:t>
            </w:r>
          </w:p>
        </w:tc>
      </w:tr>
      <w:tr w:rsidR="001B6918" w:rsidRPr="004E6649" w14:paraId="088ACD28" w14:textId="77777777" w:rsidTr="00730ECF">
        <w:trPr>
          <w:trHeight w:val="369"/>
          <w:jc w:val="center"/>
        </w:trPr>
        <w:tc>
          <w:tcPr>
            <w:tcW w:w="2880" w:type="dxa"/>
            <w:tcBorders>
              <w:top w:val="nil"/>
              <w:left w:val="nil"/>
              <w:bottom w:val="nil"/>
              <w:right w:val="nil"/>
            </w:tcBorders>
            <w:shd w:val="clear" w:color="000000" w:fill="FFFFFF"/>
            <w:noWrap/>
            <w:vAlign w:val="bottom"/>
            <w:hideMark/>
          </w:tcPr>
          <w:p w14:paraId="1E92C396"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Alternative investments</w:t>
            </w:r>
          </w:p>
        </w:tc>
        <w:tc>
          <w:tcPr>
            <w:tcW w:w="1277" w:type="dxa"/>
            <w:tcBorders>
              <w:top w:val="nil"/>
              <w:left w:val="nil"/>
              <w:bottom w:val="nil"/>
              <w:right w:val="nil"/>
            </w:tcBorders>
            <w:shd w:val="clear" w:color="000000" w:fill="FFFFFF"/>
            <w:noWrap/>
            <w:vAlign w:val="bottom"/>
            <w:hideMark/>
          </w:tcPr>
          <w:p w14:paraId="7F66118D" w14:textId="77777777" w:rsidR="001B6918" w:rsidRPr="00111629" w:rsidRDefault="001B6918" w:rsidP="00730ECF">
            <w:pPr>
              <w:jc w:val="right"/>
              <w:rPr>
                <w:rFonts w:eastAsia="Times New Roman" w:cstheme="minorHAnsi"/>
                <w:color w:val="FF0000"/>
              </w:rPr>
            </w:pPr>
            <w:r>
              <w:rPr>
                <w:rFonts w:ascii="Calibri" w:hAnsi="Calibri" w:cs="Calibri"/>
                <w:color w:val="0D0D0D"/>
              </w:rPr>
              <w:t xml:space="preserve">       34,064 </w:t>
            </w:r>
          </w:p>
        </w:tc>
        <w:tc>
          <w:tcPr>
            <w:tcW w:w="1260" w:type="dxa"/>
            <w:tcBorders>
              <w:top w:val="nil"/>
              <w:left w:val="nil"/>
              <w:bottom w:val="nil"/>
              <w:right w:val="nil"/>
            </w:tcBorders>
            <w:shd w:val="clear" w:color="000000" w:fill="FFFFFF"/>
            <w:noWrap/>
            <w:vAlign w:val="bottom"/>
            <w:hideMark/>
          </w:tcPr>
          <w:p w14:paraId="09BC5A0B" w14:textId="77777777" w:rsidR="001B6918" w:rsidRPr="00111629" w:rsidRDefault="001B6918" w:rsidP="00730ECF">
            <w:pPr>
              <w:jc w:val="right"/>
              <w:rPr>
                <w:rFonts w:eastAsia="Times New Roman" w:cstheme="minorHAnsi"/>
                <w:color w:val="FF0000"/>
              </w:rPr>
            </w:pPr>
            <w:r>
              <w:rPr>
                <w:rFonts w:ascii="Calibri" w:hAnsi="Calibri" w:cs="Calibri"/>
                <w:color w:val="0D0D0D"/>
              </w:rPr>
              <w:t xml:space="preserve">                  - </w:t>
            </w:r>
          </w:p>
        </w:tc>
        <w:tc>
          <w:tcPr>
            <w:tcW w:w="793" w:type="dxa"/>
            <w:tcBorders>
              <w:top w:val="nil"/>
              <w:left w:val="nil"/>
              <w:bottom w:val="nil"/>
              <w:right w:val="nil"/>
            </w:tcBorders>
            <w:shd w:val="clear" w:color="000000" w:fill="FFFFFF"/>
            <w:noWrap/>
            <w:vAlign w:val="bottom"/>
            <w:hideMark/>
          </w:tcPr>
          <w:p w14:paraId="19D70960" w14:textId="77777777" w:rsidR="001B6918" w:rsidRPr="00111629" w:rsidRDefault="001B6918" w:rsidP="00730ECF">
            <w:pPr>
              <w:jc w:val="right"/>
              <w:rPr>
                <w:rFonts w:eastAsia="Times New Roman" w:cstheme="minorHAnsi"/>
                <w:color w:val="FF0000"/>
              </w:rPr>
            </w:pPr>
            <w:r>
              <w:rPr>
                <w:rFonts w:ascii="Calibri" w:hAnsi="Calibri" w:cs="Calibri"/>
                <w:color w:val="0D0D0D"/>
              </w:rPr>
              <w:t xml:space="preserve">           - </w:t>
            </w:r>
          </w:p>
        </w:tc>
        <w:tc>
          <w:tcPr>
            <w:tcW w:w="810" w:type="dxa"/>
            <w:tcBorders>
              <w:top w:val="nil"/>
              <w:left w:val="nil"/>
              <w:bottom w:val="nil"/>
              <w:right w:val="nil"/>
            </w:tcBorders>
            <w:shd w:val="clear" w:color="000000" w:fill="FFFFFF"/>
            <w:noWrap/>
            <w:vAlign w:val="bottom"/>
            <w:hideMark/>
          </w:tcPr>
          <w:p w14:paraId="698F763F" w14:textId="77777777" w:rsidR="001B6918" w:rsidRPr="00111629" w:rsidRDefault="001B6918" w:rsidP="00730ECF">
            <w:pPr>
              <w:jc w:val="right"/>
              <w:rPr>
                <w:rFonts w:eastAsia="Times New Roman" w:cstheme="minorHAnsi"/>
                <w:color w:val="FF0000"/>
              </w:rPr>
            </w:pPr>
            <w:r>
              <w:rPr>
                <w:rFonts w:ascii="Calibri" w:hAnsi="Calibri" w:cs="Calibri"/>
                <w:color w:val="0D0D0D"/>
              </w:rPr>
              <w:t xml:space="preserve">- </w:t>
            </w:r>
          </w:p>
        </w:tc>
        <w:tc>
          <w:tcPr>
            <w:tcW w:w="1260" w:type="dxa"/>
            <w:tcBorders>
              <w:top w:val="nil"/>
              <w:left w:val="nil"/>
              <w:bottom w:val="nil"/>
              <w:right w:val="nil"/>
            </w:tcBorders>
            <w:shd w:val="clear" w:color="000000" w:fill="FFFFFF"/>
            <w:noWrap/>
            <w:vAlign w:val="bottom"/>
            <w:hideMark/>
          </w:tcPr>
          <w:p w14:paraId="3FB84EF1" w14:textId="77777777" w:rsidR="001B6918" w:rsidRPr="00111629" w:rsidRDefault="001B6918" w:rsidP="00730ECF">
            <w:pPr>
              <w:jc w:val="right"/>
              <w:rPr>
                <w:rFonts w:eastAsia="Times New Roman" w:cstheme="minorHAnsi"/>
                <w:color w:val="FF0000"/>
              </w:rPr>
            </w:pPr>
            <w:r>
              <w:rPr>
                <w:rFonts w:ascii="Calibri" w:hAnsi="Calibri" w:cs="Calibri"/>
                <w:color w:val="0D0D0D"/>
              </w:rPr>
              <w:t xml:space="preserve">       34,064 </w:t>
            </w:r>
          </w:p>
        </w:tc>
        <w:tc>
          <w:tcPr>
            <w:tcW w:w="2700" w:type="dxa"/>
            <w:tcBorders>
              <w:top w:val="nil"/>
              <w:left w:val="nil"/>
              <w:bottom w:val="nil"/>
              <w:right w:val="nil"/>
            </w:tcBorders>
            <w:shd w:val="clear" w:color="000000" w:fill="FFFFFF"/>
            <w:vAlign w:val="bottom"/>
            <w:hideMark/>
          </w:tcPr>
          <w:p w14:paraId="1CB9374A" w14:textId="77777777" w:rsidR="001B6918" w:rsidRPr="00111629" w:rsidRDefault="001B6918" w:rsidP="00730ECF">
            <w:pPr>
              <w:rPr>
                <w:rFonts w:eastAsia="Times New Roman" w:cstheme="minorHAnsi"/>
                <w:color w:val="FF0000"/>
              </w:rPr>
            </w:pPr>
            <w:r>
              <w:rPr>
                <w:rFonts w:ascii="Calibri" w:hAnsi="Calibri" w:cs="Calibri"/>
              </w:rPr>
              <w:t>Illiquid/Monthly/Quarterly/Semi-Annually</w:t>
            </w:r>
          </w:p>
        </w:tc>
      </w:tr>
      <w:tr w:rsidR="001B6918" w:rsidRPr="004E6649" w14:paraId="0A8FDE43" w14:textId="77777777" w:rsidTr="00730ECF">
        <w:trPr>
          <w:trHeight w:val="243"/>
          <w:jc w:val="center"/>
        </w:trPr>
        <w:tc>
          <w:tcPr>
            <w:tcW w:w="2880" w:type="dxa"/>
            <w:tcBorders>
              <w:top w:val="nil"/>
              <w:left w:val="nil"/>
              <w:bottom w:val="single" w:sz="8" w:space="0" w:color="000000" w:themeColor="text1"/>
              <w:right w:val="nil"/>
            </w:tcBorders>
            <w:shd w:val="clear" w:color="000000" w:fill="FFFFFF"/>
            <w:noWrap/>
            <w:vAlign w:val="bottom"/>
            <w:hideMark/>
          </w:tcPr>
          <w:p w14:paraId="4FED1EA5"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Cash</w:t>
            </w:r>
          </w:p>
        </w:tc>
        <w:tc>
          <w:tcPr>
            <w:tcW w:w="1277" w:type="dxa"/>
            <w:tcBorders>
              <w:top w:val="nil"/>
              <w:left w:val="nil"/>
              <w:bottom w:val="single" w:sz="8" w:space="0" w:color="000000" w:themeColor="text1"/>
              <w:right w:val="nil"/>
            </w:tcBorders>
            <w:shd w:val="clear" w:color="000000" w:fill="FFFFFF"/>
            <w:noWrap/>
            <w:vAlign w:val="bottom"/>
            <w:hideMark/>
          </w:tcPr>
          <w:p w14:paraId="56BD72BC" w14:textId="77777777" w:rsidR="001B6918" w:rsidRPr="00111629" w:rsidRDefault="001B6918" w:rsidP="00730ECF">
            <w:pPr>
              <w:jc w:val="right"/>
              <w:rPr>
                <w:rFonts w:eastAsia="Times New Roman" w:cstheme="minorHAnsi"/>
                <w:color w:val="FF0000"/>
              </w:rPr>
            </w:pPr>
            <w:r>
              <w:rPr>
                <w:rFonts w:ascii="Calibri" w:hAnsi="Calibri" w:cs="Calibri"/>
                <w:color w:val="0D0D0D"/>
              </w:rPr>
              <w:t xml:space="preserve">                  - </w:t>
            </w:r>
          </w:p>
        </w:tc>
        <w:tc>
          <w:tcPr>
            <w:tcW w:w="1260" w:type="dxa"/>
            <w:tcBorders>
              <w:top w:val="nil"/>
              <w:left w:val="nil"/>
              <w:bottom w:val="single" w:sz="8" w:space="0" w:color="000000" w:themeColor="text1"/>
              <w:right w:val="nil"/>
            </w:tcBorders>
            <w:shd w:val="clear" w:color="000000" w:fill="FFFFFF"/>
            <w:noWrap/>
            <w:vAlign w:val="bottom"/>
            <w:hideMark/>
          </w:tcPr>
          <w:p w14:paraId="3CE78B7C" w14:textId="77777777" w:rsidR="001B6918" w:rsidRPr="00111629" w:rsidRDefault="001B6918" w:rsidP="00730ECF">
            <w:pPr>
              <w:jc w:val="right"/>
              <w:rPr>
                <w:rFonts w:eastAsia="Times New Roman" w:cstheme="minorHAnsi"/>
                <w:color w:val="FF0000"/>
              </w:rPr>
            </w:pPr>
            <w:r>
              <w:rPr>
                <w:rFonts w:ascii="Calibri" w:hAnsi="Calibri" w:cs="Calibri"/>
                <w:color w:val="0D0D0D"/>
              </w:rPr>
              <w:t xml:space="preserve">       14,997 </w:t>
            </w:r>
          </w:p>
        </w:tc>
        <w:tc>
          <w:tcPr>
            <w:tcW w:w="793" w:type="dxa"/>
            <w:tcBorders>
              <w:top w:val="nil"/>
              <w:left w:val="nil"/>
              <w:bottom w:val="single" w:sz="8" w:space="0" w:color="000000" w:themeColor="text1"/>
              <w:right w:val="nil"/>
            </w:tcBorders>
            <w:shd w:val="clear" w:color="000000" w:fill="FFFFFF"/>
            <w:noWrap/>
            <w:vAlign w:val="bottom"/>
            <w:hideMark/>
          </w:tcPr>
          <w:p w14:paraId="19DEF12F" w14:textId="77777777" w:rsidR="001B6918" w:rsidRPr="00111629" w:rsidRDefault="001B6918" w:rsidP="00730ECF">
            <w:pPr>
              <w:jc w:val="right"/>
              <w:rPr>
                <w:rFonts w:eastAsia="Times New Roman" w:cstheme="minorHAnsi"/>
                <w:color w:val="FF0000"/>
              </w:rPr>
            </w:pPr>
            <w:r>
              <w:rPr>
                <w:rFonts w:ascii="Calibri" w:hAnsi="Calibri" w:cs="Calibri"/>
                <w:color w:val="0D0D0D"/>
              </w:rPr>
              <w:t xml:space="preserve">           - </w:t>
            </w:r>
          </w:p>
        </w:tc>
        <w:tc>
          <w:tcPr>
            <w:tcW w:w="810" w:type="dxa"/>
            <w:tcBorders>
              <w:top w:val="nil"/>
              <w:left w:val="nil"/>
              <w:bottom w:val="single" w:sz="8" w:space="0" w:color="000000" w:themeColor="text1"/>
              <w:right w:val="nil"/>
            </w:tcBorders>
            <w:shd w:val="clear" w:color="000000" w:fill="FFFFFF"/>
            <w:noWrap/>
            <w:vAlign w:val="bottom"/>
            <w:hideMark/>
          </w:tcPr>
          <w:p w14:paraId="18D76973" w14:textId="77777777" w:rsidR="001B6918" w:rsidRPr="00111629" w:rsidRDefault="001B6918" w:rsidP="00730ECF">
            <w:pPr>
              <w:jc w:val="right"/>
              <w:rPr>
                <w:rFonts w:eastAsia="Times New Roman" w:cstheme="minorHAnsi"/>
                <w:color w:val="FF0000"/>
              </w:rPr>
            </w:pPr>
            <w:r>
              <w:rPr>
                <w:rFonts w:ascii="Calibri" w:hAnsi="Calibri" w:cs="Calibri"/>
                <w:color w:val="0D0D0D"/>
              </w:rPr>
              <w:t xml:space="preserve">- </w:t>
            </w:r>
          </w:p>
        </w:tc>
        <w:tc>
          <w:tcPr>
            <w:tcW w:w="1260" w:type="dxa"/>
            <w:tcBorders>
              <w:top w:val="nil"/>
              <w:left w:val="nil"/>
              <w:bottom w:val="single" w:sz="8" w:space="0" w:color="000000" w:themeColor="text1"/>
              <w:right w:val="nil"/>
            </w:tcBorders>
            <w:shd w:val="clear" w:color="000000" w:fill="FFFFFF"/>
            <w:noWrap/>
            <w:vAlign w:val="bottom"/>
            <w:hideMark/>
          </w:tcPr>
          <w:p w14:paraId="1AF51E4C" w14:textId="77777777" w:rsidR="001B6918" w:rsidRPr="00111629" w:rsidRDefault="001B6918" w:rsidP="00730ECF">
            <w:pPr>
              <w:jc w:val="right"/>
              <w:rPr>
                <w:rFonts w:eastAsia="Times New Roman" w:cstheme="minorHAnsi"/>
                <w:color w:val="FF0000"/>
              </w:rPr>
            </w:pPr>
            <w:r>
              <w:rPr>
                <w:rFonts w:ascii="Calibri" w:hAnsi="Calibri" w:cs="Calibri"/>
                <w:color w:val="0D0D0D"/>
              </w:rPr>
              <w:t xml:space="preserve">       14,997 </w:t>
            </w:r>
          </w:p>
        </w:tc>
        <w:tc>
          <w:tcPr>
            <w:tcW w:w="2700" w:type="dxa"/>
            <w:tcBorders>
              <w:top w:val="nil"/>
              <w:left w:val="nil"/>
              <w:bottom w:val="single" w:sz="8" w:space="0" w:color="000000" w:themeColor="text1"/>
              <w:right w:val="nil"/>
            </w:tcBorders>
            <w:shd w:val="clear" w:color="000000" w:fill="FFFFFF"/>
            <w:vAlign w:val="bottom"/>
            <w:hideMark/>
          </w:tcPr>
          <w:p w14:paraId="489801F5" w14:textId="77777777" w:rsidR="001B6918" w:rsidRPr="00111629" w:rsidRDefault="001B6918" w:rsidP="00730ECF">
            <w:pPr>
              <w:rPr>
                <w:rFonts w:eastAsia="Times New Roman" w:cstheme="minorHAnsi"/>
                <w:color w:val="FF0000"/>
              </w:rPr>
            </w:pPr>
            <w:r>
              <w:rPr>
                <w:rFonts w:ascii="Calibri" w:hAnsi="Calibri" w:cs="Calibri"/>
              </w:rPr>
              <w:t>Daily</w:t>
            </w:r>
          </w:p>
        </w:tc>
      </w:tr>
      <w:tr w:rsidR="001B6918" w:rsidRPr="004E6649" w14:paraId="13273387" w14:textId="77777777" w:rsidTr="00730ECF">
        <w:trPr>
          <w:trHeight w:val="475"/>
          <w:jc w:val="center"/>
        </w:trPr>
        <w:tc>
          <w:tcPr>
            <w:tcW w:w="2880" w:type="dxa"/>
            <w:tcBorders>
              <w:top w:val="single" w:sz="8" w:space="0" w:color="000000" w:themeColor="text1"/>
              <w:left w:val="nil"/>
              <w:bottom w:val="double" w:sz="4" w:space="0" w:color="000000" w:themeColor="text1"/>
              <w:right w:val="nil"/>
            </w:tcBorders>
            <w:shd w:val="clear" w:color="000000" w:fill="FFFFFF"/>
            <w:vAlign w:val="bottom"/>
            <w:hideMark/>
          </w:tcPr>
          <w:p w14:paraId="4C4E640A" w14:textId="77777777" w:rsidR="001B6918" w:rsidRPr="00033E4B" w:rsidRDefault="001B6918" w:rsidP="00730ECF">
            <w:pPr>
              <w:rPr>
                <w:rFonts w:eastAsia="Times New Roman" w:cstheme="minorHAnsi"/>
                <w:bCs/>
                <w:color w:val="0D0D0D"/>
              </w:rPr>
            </w:pPr>
            <w:r w:rsidRPr="00033E4B">
              <w:rPr>
                <w:rFonts w:eastAsia="Times New Roman" w:cstheme="minorHAnsi"/>
                <w:bCs/>
                <w:color w:val="0D0D0D"/>
              </w:rPr>
              <w:t>Total long-term investments, endowment</w:t>
            </w:r>
          </w:p>
        </w:tc>
        <w:tc>
          <w:tcPr>
            <w:tcW w:w="1277" w:type="dxa"/>
            <w:tcBorders>
              <w:top w:val="single" w:sz="8" w:space="0" w:color="000000" w:themeColor="text1"/>
              <w:left w:val="nil"/>
              <w:bottom w:val="double" w:sz="4" w:space="0" w:color="000000" w:themeColor="text1"/>
              <w:right w:val="nil"/>
            </w:tcBorders>
            <w:shd w:val="clear" w:color="000000" w:fill="FFFFFF"/>
            <w:noWrap/>
            <w:vAlign w:val="bottom"/>
            <w:hideMark/>
          </w:tcPr>
          <w:p w14:paraId="7660BA35" w14:textId="77777777" w:rsidR="001B6918" w:rsidRPr="00033E4B" w:rsidRDefault="001B6918" w:rsidP="00730ECF">
            <w:pPr>
              <w:jc w:val="right"/>
              <w:rPr>
                <w:rFonts w:eastAsia="Times New Roman" w:cstheme="minorHAnsi"/>
                <w:bCs/>
                <w:color w:val="FF0000"/>
              </w:rPr>
            </w:pPr>
            <w:r w:rsidRPr="00033E4B">
              <w:rPr>
                <w:rFonts w:ascii="Calibri" w:hAnsi="Calibri" w:cs="Calibri"/>
                <w:bCs/>
                <w:color w:val="0D0D0D"/>
              </w:rPr>
              <w:t xml:space="preserve"> $ 270,233 </w:t>
            </w:r>
          </w:p>
        </w:tc>
        <w:tc>
          <w:tcPr>
            <w:tcW w:w="1260" w:type="dxa"/>
            <w:tcBorders>
              <w:top w:val="single" w:sz="8" w:space="0" w:color="000000" w:themeColor="text1"/>
              <w:left w:val="nil"/>
              <w:bottom w:val="double" w:sz="4" w:space="0" w:color="000000" w:themeColor="text1"/>
              <w:right w:val="nil"/>
            </w:tcBorders>
            <w:shd w:val="clear" w:color="000000" w:fill="FFFFFF"/>
            <w:noWrap/>
            <w:vAlign w:val="bottom"/>
            <w:hideMark/>
          </w:tcPr>
          <w:p w14:paraId="77D476A4" w14:textId="77777777" w:rsidR="001B6918" w:rsidRPr="00033E4B" w:rsidRDefault="001B6918" w:rsidP="00730ECF">
            <w:pPr>
              <w:jc w:val="right"/>
              <w:rPr>
                <w:rFonts w:eastAsia="Times New Roman" w:cstheme="minorHAnsi"/>
                <w:bCs/>
                <w:color w:val="FF0000"/>
              </w:rPr>
            </w:pPr>
            <w:r w:rsidRPr="00033E4B">
              <w:rPr>
                <w:rFonts w:ascii="Calibri" w:hAnsi="Calibri" w:cs="Calibri"/>
                <w:bCs/>
                <w:color w:val="0D0D0D"/>
              </w:rPr>
              <w:t xml:space="preserve"> $ 129,471 </w:t>
            </w:r>
          </w:p>
        </w:tc>
        <w:tc>
          <w:tcPr>
            <w:tcW w:w="793" w:type="dxa"/>
            <w:tcBorders>
              <w:top w:val="single" w:sz="8" w:space="0" w:color="000000" w:themeColor="text1"/>
              <w:left w:val="nil"/>
              <w:bottom w:val="double" w:sz="4" w:space="0" w:color="000000" w:themeColor="text1"/>
              <w:right w:val="nil"/>
            </w:tcBorders>
            <w:shd w:val="clear" w:color="000000" w:fill="FFFFFF"/>
            <w:noWrap/>
            <w:vAlign w:val="bottom"/>
            <w:hideMark/>
          </w:tcPr>
          <w:p w14:paraId="2CD8674B" w14:textId="77777777" w:rsidR="001B6918" w:rsidRPr="00033E4B" w:rsidRDefault="001B6918" w:rsidP="00730ECF">
            <w:pPr>
              <w:jc w:val="right"/>
              <w:rPr>
                <w:rFonts w:eastAsia="Times New Roman" w:cstheme="minorHAnsi"/>
                <w:bCs/>
                <w:color w:val="FF0000"/>
              </w:rPr>
            </w:pPr>
            <w:r w:rsidRPr="00033E4B">
              <w:rPr>
                <w:rFonts w:ascii="Calibri" w:hAnsi="Calibri" w:cs="Calibri"/>
                <w:bCs/>
                <w:color w:val="0D0D0D"/>
              </w:rPr>
              <w:t xml:space="preserve"> $        - </w:t>
            </w:r>
          </w:p>
        </w:tc>
        <w:tc>
          <w:tcPr>
            <w:tcW w:w="810" w:type="dxa"/>
            <w:tcBorders>
              <w:top w:val="single" w:sz="8" w:space="0" w:color="000000" w:themeColor="text1"/>
              <w:left w:val="nil"/>
              <w:bottom w:val="double" w:sz="4" w:space="0" w:color="000000" w:themeColor="text1"/>
              <w:right w:val="nil"/>
            </w:tcBorders>
            <w:shd w:val="clear" w:color="000000" w:fill="FFFFFF"/>
            <w:noWrap/>
            <w:vAlign w:val="bottom"/>
            <w:hideMark/>
          </w:tcPr>
          <w:p w14:paraId="04FF6983" w14:textId="77777777" w:rsidR="001B6918" w:rsidRPr="00033E4B" w:rsidRDefault="001B6918" w:rsidP="00730ECF">
            <w:pPr>
              <w:jc w:val="right"/>
              <w:rPr>
                <w:rFonts w:eastAsia="Times New Roman" w:cstheme="minorHAnsi"/>
                <w:bCs/>
                <w:color w:val="FF0000"/>
              </w:rPr>
            </w:pPr>
            <w:r w:rsidRPr="00033E4B">
              <w:rPr>
                <w:rFonts w:ascii="Calibri" w:hAnsi="Calibri" w:cs="Calibri"/>
                <w:bCs/>
                <w:color w:val="0D0D0D"/>
              </w:rPr>
              <w:t xml:space="preserve">$         - </w:t>
            </w:r>
          </w:p>
        </w:tc>
        <w:tc>
          <w:tcPr>
            <w:tcW w:w="1260" w:type="dxa"/>
            <w:tcBorders>
              <w:top w:val="single" w:sz="8" w:space="0" w:color="000000" w:themeColor="text1"/>
              <w:left w:val="nil"/>
              <w:bottom w:val="double" w:sz="4" w:space="0" w:color="000000" w:themeColor="text1"/>
              <w:right w:val="nil"/>
            </w:tcBorders>
            <w:shd w:val="clear" w:color="000000" w:fill="FFFFFF"/>
            <w:noWrap/>
            <w:vAlign w:val="bottom"/>
            <w:hideMark/>
          </w:tcPr>
          <w:p w14:paraId="557F8215" w14:textId="77777777" w:rsidR="001B6918" w:rsidRPr="00033E4B" w:rsidRDefault="001B6918" w:rsidP="00730ECF">
            <w:pPr>
              <w:jc w:val="right"/>
              <w:rPr>
                <w:rFonts w:eastAsia="Times New Roman" w:cstheme="minorHAnsi"/>
                <w:bCs/>
                <w:color w:val="FF0000"/>
              </w:rPr>
            </w:pPr>
            <w:r w:rsidRPr="00033E4B">
              <w:rPr>
                <w:rFonts w:ascii="Calibri" w:hAnsi="Calibri" w:cs="Calibri"/>
                <w:bCs/>
                <w:color w:val="0D0D0D"/>
              </w:rPr>
              <w:t xml:space="preserve"> $ 399,704 </w:t>
            </w:r>
          </w:p>
        </w:tc>
        <w:tc>
          <w:tcPr>
            <w:tcW w:w="2700" w:type="dxa"/>
            <w:tcBorders>
              <w:top w:val="single" w:sz="8" w:space="0" w:color="000000" w:themeColor="text1"/>
              <w:left w:val="nil"/>
              <w:bottom w:val="double" w:sz="4" w:space="0" w:color="000000" w:themeColor="text1"/>
              <w:right w:val="nil"/>
            </w:tcBorders>
            <w:shd w:val="clear" w:color="000000" w:fill="FFFFFF"/>
            <w:noWrap/>
            <w:vAlign w:val="bottom"/>
            <w:hideMark/>
          </w:tcPr>
          <w:p w14:paraId="17AE4203" w14:textId="77777777" w:rsidR="001B6918" w:rsidRPr="00033E4B" w:rsidRDefault="001B6918" w:rsidP="00730ECF">
            <w:pPr>
              <w:rPr>
                <w:rFonts w:eastAsia="Times New Roman" w:cstheme="minorHAnsi"/>
                <w:bCs/>
                <w:color w:val="FF0000"/>
              </w:rPr>
            </w:pPr>
            <w:r w:rsidRPr="00033E4B">
              <w:rPr>
                <w:rFonts w:ascii="Calibri" w:hAnsi="Calibri" w:cs="Calibri"/>
                <w:bCs/>
                <w:color w:val="0D0D0D"/>
              </w:rPr>
              <w:t> </w:t>
            </w:r>
          </w:p>
        </w:tc>
      </w:tr>
    </w:tbl>
    <w:p w14:paraId="61F06BA0" w14:textId="77777777" w:rsidR="001B6918" w:rsidRPr="004E6649" w:rsidRDefault="001B6918" w:rsidP="001B6918">
      <w:pPr>
        <w:rPr>
          <w:rFonts w:cstheme="minorHAnsi"/>
        </w:rPr>
      </w:pPr>
    </w:p>
    <w:p w14:paraId="5F5DD20F" w14:textId="77777777" w:rsidR="001B6918" w:rsidRDefault="001B6918" w:rsidP="001B6918">
      <w:pPr>
        <w:spacing w:after="240"/>
        <w:rPr>
          <w:rFonts w:cstheme="minorHAnsi"/>
          <w:spacing w:val="-3"/>
          <w:sz w:val="24"/>
        </w:rPr>
      </w:pPr>
      <w:r w:rsidRPr="004E6649">
        <w:rPr>
          <w:rFonts w:cstheme="minorHAnsi"/>
          <w:spacing w:val="-3"/>
          <w:sz w:val="24"/>
        </w:rPr>
        <w:t>The following table summarizes the Foundation's long-term endowment investments by class in the fair value hierarchy as of December 31, 202</w:t>
      </w:r>
      <w:r>
        <w:rPr>
          <w:rFonts w:cstheme="minorHAnsi"/>
          <w:spacing w:val="-3"/>
          <w:sz w:val="24"/>
        </w:rPr>
        <w:t>3</w:t>
      </w:r>
      <w:r w:rsidRPr="004E6649">
        <w:rPr>
          <w:rFonts w:cstheme="minorHAnsi"/>
          <w:spacing w:val="-3"/>
          <w:sz w:val="24"/>
        </w:rPr>
        <w:t>:</w:t>
      </w:r>
    </w:p>
    <w:tbl>
      <w:tblPr>
        <w:tblW w:w="10783" w:type="dxa"/>
        <w:jc w:val="center"/>
        <w:tblLayout w:type="fixed"/>
        <w:tblCellMar>
          <w:left w:w="72" w:type="dxa"/>
          <w:right w:w="72" w:type="dxa"/>
        </w:tblCellMar>
        <w:tblLook w:val="04A0" w:firstRow="1" w:lastRow="0" w:firstColumn="1" w:lastColumn="0" w:noHBand="0" w:noVBand="1"/>
      </w:tblPr>
      <w:tblGrid>
        <w:gridCol w:w="2880"/>
        <w:gridCol w:w="1277"/>
        <w:gridCol w:w="1260"/>
        <w:gridCol w:w="793"/>
        <w:gridCol w:w="810"/>
        <w:gridCol w:w="1260"/>
        <w:gridCol w:w="2503"/>
      </w:tblGrid>
      <w:tr w:rsidR="001B6918" w:rsidRPr="004E6649" w14:paraId="6B9902D1" w14:textId="77777777" w:rsidTr="00730ECF">
        <w:trPr>
          <w:trHeight w:val="66"/>
          <w:tblHeader/>
          <w:jc w:val="center"/>
        </w:trPr>
        <w:tc>
          <w:tcPr>
            <w:tcW w:w="2880" w:type="dxa"/>
            <w:tcBorders>
              <w:top w:val="nil"/>
              <w:left w:val="nil"/>
              <w:bottom w:val="single" w:sz="12" w:space="0" w:color="000000" w:themeColor="text1"/>
              <w:right w:val="nil"/>
            </w:tcBorders>
            <w:shd w:val="clear" w:color="000000" w:fill="FFFFFF"/>
            <w:noWrap/>
            <w:vAlign w:val="bottom"/>
            <w:hideMark/>
          </w:tcPr>
          <w:p w14:paraId="2D5069BC" w14:textId="77777777" w:rsidR="001B6918" w:rsidRPr="004E6649" w:rsidRDefault="001B6918" w:rsidP="00730ECF">
            <w:pPr>
              <w:rPr>
                <w:rFonts w:eastAsia="Times New Roman" w:cstheme="minorHAnsi"/>
                <w:b/>
                <w:bCs/>
                <w:color w:val="0D0D0D"/>
              </w:rPr>
            </w:pPr>
            <w:r w:rsidRPr="004E6649">
              <w:rPr>
                <w:rFonts w:eastAsia="Times New Roman" w:cstheme="minorHAnsi"/>
                <w:b/>
                <w:bCs/>
                <w:color w:val="0D0D0D"/>
              </w:rPr>
              <w:t> </w:t>
            </w:r>
          </w:p>
        </w:tc>
        <w:tc>
          <w:tcPr>
            <w:tcW w:w="1277" w:type="dxa"/>
            <w:tcBorders>
              <w:top w:val="nil"/>
              <w:left w:val="nil"/>
              <w:bottom w:val="single" w:sz="12" w:space="0" w:color="000000" w:themeColor="text1"/>
              <w:right w:val="nil"/>
            </w:tcBorders>
            <w:shd w:val="clear" w:color="000000" w:fill="FFFFFF"/>
            <w:vAlign w:val="bottom"/>
            <w:hideMark/>
          </w:tcPr>
          <w:p w14:paraId="00F51470"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NAV</w:t>
            </w:r>
          </w:p>
        </w:tc>
        <w:tc>
          <w:tcPr>
            <w:tcW w:w="1260" w:type="dxa"/>
            <w:tcBorders>
              <w:top w:val="nil"/>
              <w:left w:val="nil"/>
              <w:bottom w:val="single" w:sz="12" w:space="0" w:color="000000" w:themeColor="text1"/>
              <w:right w:val="nil"/>
            </w:tcBorders>
            <w:shd w:val="clear" w:color="000000" w:fill="FFFFFF"/>
            <w:vAlign w:val="bottom"/>
            <w:hideMark/>
          </w:tcPr>
          <w:p w14:paraId="551DB692"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Level 1</w:t>
            </w:r>
          </w:p>
        </w:tc>
        <w:tc>
          <w:tcPr>
            <w:tcW w:w="793" w:type="dxa"/>
            <w:tcBorders>
              <w:top w:val="nil"/>
              <w:left w:val="nil"/>
              <w:bottom w:val="single" w:sz="12" w:space="0" w:color="000000" w:themeColor="text1"/>
              <w:right w:val="nil"/>
            </w:tcBorders>
            <w:shd w:val="clear" w:color="000000" w:fill="FFFFFF"/>
            <w:vAlign w:val="bottom"/>
            <w:hideMark/>
          </w:tcPr>
          <w:p w14:paraId="6FF1ED7B"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Level 2</w:t>
            </w:r>
          </w:p>
        </w:tc>
        <w:tc>
          <w:tcPr>
            <w:tcW w:w="810" w:type="dxa"/>
            <w:tcBorders>
              <w:top w:val="nil"/>
              <w:left w:val="nil"/>
              <w:bottom w:val="single" w:sz="12" w:space="0" w:color="000000" w:themeColor="text1"/>
              <w:right w:val="nil"/>
            </w:tcBorders>
            <w:shd w:val="clear" w:color="000000" w:fill="FFFFFF"/>
            <w:vAlign w:val="bottom"/>
            <w:hideMark/>
          </w:tcPr>
          <w:p w14:paraId="2F308950"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Level 3</w:t>
            </w:r>
          </w:p>
        </w:tc>
        <w:tc>
          <w:tcPr>
            <w:tcW w:w="1260" w:type="dxa"/>
            <w:tcBorders>
              <w:top w:val="nil"/>
              <w:left w:val="nil"/>
              <w:bottom w:val="single" w:sz="12" w:space="0" w:color="000000" w:themeColor="text1"/>
              <w:right w:val="nil"/>
            </w:tcBorders>
            <w:shd w:val="clear" w:color="000000" w:fill="FFFFFF"/>
            <w:vAlign w:val="bottom"/>
            <w:hideMark/>
          </w:tcPr>
          <w:p w14:paraId="74107ED4"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Total</w:t>
            </w:r>
          </w:p>
        </w:tc>
        <w:tc>
          <w:tcPr>
            <w:tcW w:w="2503" w:type="dxa"/>
            <w:tcBorders>
              <w:top w:val="nil"/>
              <w:left w:val="nil"/>
              <w:bottom w:val="single" w:sz="12" w:space="0" w:color="000000" w:themeColor="text1"/>
              <w:right w:val="nil"/>
            </w:tcBorders>
            <w:shd w:val="clear" w:color="000000" w:fill="FFFFFF"/>
            <w:vAlign w:val="bottom"/>
            <w:hideMark/>
          </w:tcPr>
          <w:p w14:paraId="37DE70C5"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Liquidity</w:t>
            </w:r>
          </w:p>
        </w:tc>
      </w:tr>
      <w:tr w:rsidR="00BC68DD" w:rsidRPr="004E6649" w14:paraId="297C4FF0" w14:textId="77777777" w:rsidTr="00730ECF">
        <w:trPr>
          <w:trHeight w:val="114"/>
          <w:jc w:val="center"/>
        </w:trPr>
        <w:tc>
          <w:tcPr>
            <w:tcW w:w="2880" w:type="dxa"/>
            <w:tcBorders>
              <w:top w:val="single" w:sz="12" w:space="0" w:color="000000" w:themeColor="text1"/>
              <w:left w:val="nil"/>
              <w:bottom w:val="nil"/>
              <w:right w:val="nil"/>
            </w:tcBorders>
            <w:shd w:val="clear" w:color="000000" w:fill="FFFFFF"/>
            <w:noWrap/>
            <w:vAlign w:val="bottom"/>
            <w:hideMark/>
          </w:tcPr>
          <w:p w14:paraId="680DF02D" w14:textId="77777777" w:rsidR="00BC68DD" w:rsidRPr="004E6649" w:rsidRDefault="00BC68DD" w:rsidP="00BC68DD">
            <w:pPr>
              <w:rPr>
                <w:rFonts w:eastAsia="Times New Roman" w:cstheme="minorHAnsi"/>
                <w:color w:val="0D0D0D"/>
              </w:rPr>
            </w:pPr>
            <w:r w:rsidRPr="004E6649">
              <w:rPr>
                <w:rFonts w:eastAsia="Times New Roman" w:cstheme="minorHAnsi"/>
                <w:color w:val="0D0D0D"/>
              </w:rPr>
              <w:t>U.S. equities</w:t>
            </w:r>
          </w:p>
        </w:tc>
        <w:tc>
          <w:tcPr>
            <w:tcW w:w="1277" w:type="dxa"/>
            <w:tcBorders>
              <w:top w:val="single" w:sz="12" w:space="0" w:color="000000" w:themeColor="text1"/>
              <w:left w:val="nil"/>
              <w:bottom w:val="nil"/>
              <w:right w:val="nil"/>
            </w:tcBorders>
            <w:shd w:val="clear" w:color="000000" w:fill="FFFFFF"/>
            <w:noWrap/>
            <w:vAlign w:val="bottom"/>
            <w:hideMark/>
          </w:tcPr>
          <w:p w14:paraId="79C3F00C" w14:textId="6B3CA574" w:rsidR="00BC68DD" w:rsidRPr="00B63013" w:rsidRDefault="00BC68DD" w:rsidP="00BC68DD">
            <w:pPr>
              <w:jc w:val="right"/>
              <w:rPr>
                <w:rFonts w:eastAsia="Times New Roman" w:cstheme="minorHAnsi"/>
              </w:rPr>
            </w:pPr>
            <w:r>
              <w:rPr>
                <w:rFonts w:ascii="Calibri" w:hAnsi="Calibri" w:cs="Calibri"/>
                <w:color w:val="0D0D0D"/>
              </w:rPr>
              <w:t xml:space="preserve"> $    81,809 </w:t>
            </w:r>
          </w:p>
        </w:tc>
        <w:tc>
          <w:tcPr>
            <w:tcW w:w="1260" w:type="dxa"/>
            <w:tcBorders>
              <w:top w:val="single" w:sz="12" w:space="0" w:color="000000" w:themeColor="text1"/>
              <w:left w:val="nil"/>
              <w:bottom w:val="nil"/>
              <w:right w:val="nil"/>
            </w:tcBorders>
            <w:shd w:val="clear" w:color="000000" w:fill="FFFFFF"/>
            <w:noWrap/>
            <w:vAlign w:val="bottom"/>
            <w:hideMark/>
          </w:tcPr>
          <w:p w14:paraId="6CDCE64E" w14:textId="10A44077" w:rsidR="00BC68DD" w:rsidRPr="00B63013" w:rsidRDefault="00BC68DD" w:rsidP="00BC68DD">
            <w:pPr>
              <w:jc w:val="right"/>
              <w:rPr>
                <w:rFonts w:eastAsia="Times New Roman" w:cstheme="minorHAnsi"/>
              </w:rPr>
            </w:pPr>
            <w:r>
              <w:rPr>
                <w:rFonts w:ascii="Calibri" w:hAnsi="Calibri" w:cs="Calibri"/>
                <w:color w:val="0D0D0D"/>
              </w:rPr>
              <w:t xml:space="preserve"> $   37,475 </w:t>
            </w:r>
          </w:p>
        </w:tc>
        <w:tc>
          <w:tcPr>
            <w:tcW w:w="793" w:type="dxa"/>
            <w:tcBorders>
              <w:top w:val="single" w:sz="12" w:space="0" w:color="000000" w:themeColor="text1"/>
              <w:left w:val="nil"/>
              <w:bottom w:val="nil"/>
              <w:right w:val="nil"/>
            </w:tcBorders>
            <w:shd w:val="clear" w:color="000000" w:fill="FFFFFF"/>
            <w:noWrap/>
            <w:vAlign w:val="bottom"/>
            <w:hideMark/>
          </w:tcPr>
          <w:p w14:paraId="717C388B" w14:textId="0849C94F" w:rsidR="00BC68DD" w:rsidRPr="00B63013" w:rsidRDefault="00BC68DD" w:rsidP="00BC68DD">
            <w:pPr>
              <w:jc w:val="right"/>
              <w:rPr>
                <w:rFonts w:eastAsia="Times New Roman" w:cstheme="minorHAnsi"/>
              </w:rPr>
            </w:pPr>
            <w:r>
              <w:rPr>
                <w:rFonts w:ascii="Calibri" w:hAnsi="Calibri" w:cs="Calibri"/>
                <w:color w:val="0D0D0D"/>
              </w:rPr>
              <w:t xml:space="preserve"> $        - </w:t>
            </w:r>
          </w:p>
        </w:tc>
        <w:tc>
          <w:tcPr>
            <w:tcW w:w="810" w:type="dxa"/>
            <w:tcBorders>
              <w:top w:val="single" w:sz="12" w:space="0" w:color="000000" w:themeColor="text1"/>
              <w:left w:val="nil"/>
              <w:bottom w:val="nil"/>
              <w:right w:val="nil"/>
            </w:tcBorders>
            <w:shd w:val="clear" w:color="000000" w:fill="FFFFFF"/>
            <w:noWrap/>
            <w:vAlign w:val="bottom"/>
            <w:hideMark/>
          </w:tcPr>
          <w:p w14:paraId="4592103A" w14:textId="11BC9865" w:rsidR="00BC68DD" w:rsidRPr="00B63013" w:rsidRDefault="00BC68DD" w:rsidP="00BC68DD">
            <w:pPr>
              <w:jc w:val="right"/>
              <w:rPr>
                <w:rFonts w:eastAsia="Times New Roman" w:cstheme="minorHAnsi"/>
              </w:rPr>
            </w:pPr>
            <w:r>
              <w:rPr>
                <w:rFonts w:ascii="Calibri" w:hAnsi="Calibri" w:cs="Calibri"/>
                <w:color w:val="0D0D0D"/>
              </w:rPr>
              <w:t xml:space="preserve">$         - </w:t>
            </w:r>
          </w:p>
        </w:tc>
        <w:tc>
          <w:tcPr>
            <w:tcW w:w="1260" w:type="dxa"/>
            <w:tcBorders>
              <w:top w:val="single" w:sz="12" w:space="0" w:color="000000" w:themeColor="text1"/>
              <w:left w:val="nil"/>
              <w:bottom w:val="nil"/>
              <w:right w:val="nil"/>
            </w:tcBorders>
            <w:shd w:val="clear" w:color="000000" w:fill="FFFFFF"/>
            <w:noWrap/>
            <w:vAlign w:val="bottom"/>
            <w:hideMark/>
          </w:tcPr>
          <w:p w14:paraId="0F8551EC" w14:textId="0B2F131E" w:rsidR="00BC68DD" w:rsidRPr="00B63013" w:rsidRDefault="00BC68DD" w:rsidP="00BC68DD">
            <w:pPr>
              <w:jc w:val="right"/>
              <w:rPr>
                <w:rFonts w:eastAsia="Times New Roman" w:cstheme="minorHAnsi"/>
              </w:rPr>
            </w:pPr>
            <w:r>
              <w:rPr>
                <w:rFonts w:ascii="Calibri" w:hAnsi="Calibri" w:cs="Calibri"/>
                <w:color w:val="0D0D0D"/>
              </w:rPr>
              <w:t xml:space="preserve"> $ 119,284 </w:t>
            </w:r>
          </w:p>
        </w:tc>
        <w:tc>
          <w:tcPr>
            <w:tcW w:w="2503" w:type="dxa"/>
            <w:tcBorders>
              <w:top w:val="single" w:sz="12" w:space="0" w:color="000000" w:themeColor="text1"/>
              <w:left w:val="nil"/>
              <w:bottom w:val="nil"/>
              <w:right w:val="nil"/>
            </w:tcBorders>
            <w:shd w:val="clear" w:color="000000" w:fill="FFFFFF"/>
            <w:vAlign w:val="bottom"/>
            <w:hideMark/>
          </w:tcPr>
          <w:p w14:paraId="08A47DD7" w14:textId="27FD10C2" w:rsidR="00BC68DD" w:rsidRPr="00B63013" w:rsidRDefault="00BC68DD" w:rsidP="00BC68DD">
            <w:pPr>
              <w:rPr>
                <w:rFonts w:eastAsia="Times New Roman" w:cstheme="minorHAnsi"/>
              </w:rPr>
            </w:pPr>
            <w:r>
              <w:rPr>
                <w:rFonts w:ascii="Calibri" w:hAnsi="Calibri" w:cs="Calibri"/>
              </w:rPr>
              <w:t>Daily</w:t>
            </w:r>
          </w:p>
        </w:tc>
      </w:tr>
      <w:tr w:rsidR="00BC68DD" w:rsidRPr="004E6649" w14:paraId="6D6B34EA" w14:textId="77777777" w:rsidTr="00730ECF">
        <w:trPr>
          <w:trHeight w:val="171"/>
          <w:jc w:val="center"/>
        </w:trPr>
        <w:tc>
          <w:tcPr>
            <w:tcW w:w="2880" w:type="dxa"/>
            <w:tcBorders>
              <w:top w:val="nil"/>
              <w:left w:val="nil"/>
              <w:bottom w:val="nil"/>
              <w:right w:val="nil"/>
            </w:tcBorders>
            <w:shd w:val="clear" w:color="000000" w:fill="FFFFFF"/>
            <w:noWrap/>
            <w:vAlign w:val="bottom"/>
            <w:hideMark/>
          </w:tcPr>
          <w:p w14:paraId="211371D2" w14:textId="77777777" w:rsidR="00BC68DD" w:rsidRPr="004E6649" w:rsidRDefault="00BC68DD" w:rsidP="00BC68DD">
            <w:pPr>
              <w:rPr>
                <w:rFonts w:eastAsia="Times New Roman" w:cstheme="minorHAnsi"/>
                <w:color w:val="0D0D0D"/>
              </w:rPr>
            </w:pPr>
            <w:r w:rsidRPr="004E6649">
              <w:rPr>
                <w:rFonts w:eastAsia="Times New Roman" w:cstheme="minorHAnsi"/>
                <w:color w:val="0D0D0D"/>
              </w:rPr>
              <w:t>Non-U.S. equities</w:t>
            </w:r>
          </w:p>
        </w:tc>
        <w:tc>
          <w:tcPr>
            <w:tcW w:w="1277" w:type="dxa"/>
            <w:tcBorders>
              <w:top w:val="nil"/>
              <w:left w:val="nil"/>
              <w:bottom w:val="nil"/>
              <w:right w:val="nil"/>
            </w:tcBorders>
            <w:shd w:val="clear" w:color="000000" w:fill="FFFFFF"/>
            <w:noWrap/>
            <w:vAlign w:val="bottom"/>
            <w:hideMark/>
          </w:tcPr>
          <w:p w14:paraId="020251A5" w14:textId="3278B86C" w:rsidR="00BC68DD" w:rsidRPr="00B63013" w:rsidRDefault="00BC68DD" w:rsidP="00BC68DD">
            <w:pPr>
              <w:jc w:val="right"/>
              <w:rPr>
                <w:rFonts w:eastAsia="Times New Roman" w:cstheme="minorHAnsi"/>
              </w:rPr>
            </w:pPr>
            <w:r>
              <w:rPr>
                <w:rFonts w:ascii="Calibri" w:hAnsi="Calibri" w:cs="Calibri"/>
                <w:color w:val="0D0D0D"/>
              </w:rPr>
              <w:t xml:space="preserve">       21,444 </w:t>
            </w:r>
          </w:p>
        </w:tc>
        <w:tc>
          <w:tcPr>
            <w:tcW w:w="1260" w:type="dxa"/>
            <w:tcBorders>
              <w:top w:val="nil"/>
              <w:left w:val="nil"/>
              <w:bottom w:val="nil"/>
              <w:right w:val="nil"/>
            </w:tcBorders>
            <w:shd w:val="clear" w:color="000000" w:fill="FFFFFF"/>
            <w:noWrap/>
            <w:vAlign w:val="bottom"/>
            <w:hideMark/>
          </w:tcPr>
          <w:p w14:paraId="2E02DDF1" w14:textId="5C47C7D2" w:rsidR="00BC68DD" w:rsidRPr="00B63013" w:rsidRDefault="00BC68DD" w:rsidP="00BC68DD">
            <w:pPr>
              <w:jc w:val="right"/>
              <w:rPr>
                <w:rFonts w:eastAsia="Times New Roman" w:cstheme="minorHAnsi"/>
              </w:rPr>
            </w:pPr>
            <w:r>
              <w:rPr>
                <w:rFonts w:ascii="Calibri" w:hAnsi="Calibri" w:cs="Calibri"/>
                <w:color w:val="0D0D0D"/>
              </w:rPr>
              <w:t xml:space="preserve">       38,618 </w:t>
            </w:r>
          </w:p>
        </w:tc>
        <w:tc>
          <w:tcPr>
            <w:tcW w:w="793" w:type="dxa"/>
            <w:tcBorders>
              <w:top w:val="nil"/>
              <w:left w:val="nil"/>
              <w:bottom w:val="nil"/>
              <w:right w:val="nil"/>
            </w:tcBorders>
            <w:shd w:val="clear" w:color="000000" w:fill="FFFFFF"/>
            <w:noWrap/>
            <w:vAlign w:val="bottom"/>
            <w:hideMark/>
          </w:tcPr>
          <w:p w14:paraId="3F092678" w14:textId="48C9B328" w:rsidR="00BC68DD" w:rsidRPr="00B63013" w:rsidRDefault="00BC68DD" w:rsidP="00BC68DD">
            <w:pPr>
              <w:jc w:val="right"/>
              <w:rPr>
                <w:rFonts w:eastAsia="Times New Roman" w:cstheme="minorHAnsi"/>
              </w:rPr>
            </w:pPr>
            <w:r>
              <w:rPr>
                <w:rFonts w:ascii="Calibri" w:hAnsi="Calibri" w:cs="Calibri"/>
                <w:color w:val="0D0D0D"/>
              </w:rPr>
              <w:t xml:space="preserve">           - </w:t>
            </w:r>
          </w:p>
        </w:tc>
        <w:tc>
          <w:tcPr>
            <w:tcW w:w="810" w:type="dxa"/>
            <w:tcBorders>
              <w:top w:val="nil"/>
              <w:left w:val="nil"/>
              <w:bottom w:val="nil"/>
              <w:right w:val="nil"/>
            </w:tcBorders>
            <w:shd w:val="clear" w:color="000000" w:fill="FFFFFF"/>
            <w:noWrap/>
            <w:vAlign w:val="bottom"/>
            <w:hideMark/>
          </w:tcPr>
          <w:p w14:paraId="5D1591C0" w14:textId="7CEAE6A3" w:rsidR="00BC68DD" w:rsidRPr="00B63013" w:rsidRDefault="00BC68DD" w:rsidP="00BC68DD">
            <w:pPr>
              <w:jc w:val="right"/>
              <w:rPr>
                <w:rFonts w:eastAsia="Times New Roman" w:cstheme="minorHAnsi"/>
              </w:rPr>
            </w:pPr>
            <w:r>
              <w:rPr>
                <w:rFonts w:ascii="Calibri" w:hAnsi="Calibri" w:cs="Calibri"/>
                <w:color w:val="0D0D0D"/>
              </w:rPr>
              <w:t xml:space="preserve">- </w:t>
            </w:r>
          </w:p>
        </w:tc>
        <w:tc>
          <w:tcPr>
            <w:tcW w:w="1260" w:type="dxa"/>
            <w:tcBorders>
              <w:top w:val="nil"/>
              <w:left w:val="nil"/>
              <w:bottom w:val="nil"/>
              <w:right w:val="nil"/>
            </w:tcBorders>
            <w:shd w:val="clear" w:color="000000" w:fill="FFFFFF"/>
            <w:noWrap/>
            <w:vAlign w:val="bottom"/>
            <w:hideMark/>
          </w:tcPr>
          <w:p w14:paraId="1F854985" w14:textId="5A9EE4A3" w:rsidR="00BC68DD" w:rsidRPr="00B63013" w:rsidRDefault="00BC68DD" w:rsidP="00BC68DD">
            <w:pPr>
              <w:jc w:val="right"/>
              <w:rPr>
                <w:rFonts w:eastAsia="Times New Roman" w:cstheme="minorHAnsi"/>
              </w:rPr>
            </w:pPr>
            <w:r>
              <w:rPr>
                <w:rFonts w:ascii="Calibri" w:hAnsi="Calibri" w:cs="Calibri"/>
                <w:color w:val="0D0D0D"/>
              </w:rPr>
              <w:t xml:space="preserve">       60,062 </w:t>
            </w:r>
          </w:p>
        </w:tc>
        <w:tc>
          <w:tcPr>
            <w:tcW w:w="2503" w:type="dxa"/>
            <w:tcBorders>
              <w:top w:val="nil"/>
              <w:left w:val="nil"/>
              <w:bottom w:val="nil"/>
              <w:right w:val="nil"/>
            </w:tcBorders>
            <w:shd w:val="clear" w:color="000000" w:fill="FFFFFF"/>
            <w:vAlign w:val="bottom"/>
            <w:hideMark/>
          </w:tcPr>
          <w:p w14:paraId="576233D4" w14:textId="1CB630EF" w:rsidR="00BC68DD" w:rsidRPr="00B63013" w:rsidRDefault="00BC68DD" w:rsidP="00BC68DD">
            <w:pPr>
              <w:rPr>
                <w:rFonts w:eastAsia="Times New Roman" w:cstheme="minorHAnsi"/>
              </w:rPr>
            </w:pPr>
            <w:r>
              <w:rPr>
                <w:rFonts w:ascii="Calibri" w:hAnsi="Calibri" w:cs="Calibri"/>
              </w:rPr>
              <w:t>Daily/Monthly/Quarterly</w:t>
            </w:r>
          </w:p>
        </w:tc>
      </w:tr>
      <w:tr w:rsidR="00BC68DD" w:rsidRPr="004E6649" w14:paraId="7DC83768" w14:textId="77777777" w:rsidTr="00730ECF">
        <w:trPr>
          <w:trHeight w:val="153"/>
          <w:jc w:val="center"/>
        </w:trPr>
        <w:tc>
          <w:tcPr>
            <w:tcW w:w="2880" w:type="dxa"/>
            <w:tcBorders>
              <w:top w:val="nil"/>
              <w:left w:val="nil"/>
              <w:bottom w:val="nil"/>
              <w:right w:val="nil"/>
            </w:tcBorders>
            <w:shd w:val="clear" w:color="000000" w:fill="FFFFFF"/>
            <w:noWrap/>
            <w:vAlign w:val="bottom"/>
            <w:hideMark/>
          </w:tcPr>
          <w:p w14:paraId="44D9DA3C" w14:textId="77777777" w:rsidR="00BC68DD" w:rsidRPr="004E6649" w:rsidRDefault="00BC68DD" w:rsidP="00BC68DD">
            <w:pPr>
              <w:rPr>
                <w:rFonts w:eastAsia="Times New Roman" w:cstheme="minorHAnsi"/>
                <w:color w:val="0D0D0D"/>
              </w:rPr>
            </w:pPr>
            <w:r w:rsidRPr="004E6649">
              <w:rPr>
                <w:rFonts w:eastAsia="Times New Roman" w:cstheme="minorHAnsi"/>
                <w:color w:val="0D0D0D"/>
              </w:rPr>
              <w:t>Global equities</w:t>
            </w:r>
          </w:p>
        </w:tc>
        <w:tc>
          <w:tcPr>
            <w:tcW w:w="1277" w:type="dxa"/>
            <w:tcBorders>
              <w:top w:val="nil"/>
              <w:left w:val="nil"/>
              <w:bottom w:val="nil"/>
              <w:right w:val="nil"/>
            </w:tcBorders>
            <w:shd w:val="clear" w:color="000000" w:fill="FFFFFF"/>
            <w:noWrap/>
            <w:vAlign w:val="bottom"/>
            <w:hideMark/>
          </w:tcPr>
          <w:p w14:paraId="749618EB" w14:textId="148013FF" w:rsidR="00BC68DD" w:rsidRPr="00B63013" w:rsidRDefault="00BC68DD" w:rsidP="00BC68DD">
            <w:pPr>
              <w:jc w:val="right"/>
              <w:rPr>
                <w:rFonts w:eastAsia="Times New Roman" w:cstheme="minorHAnsi"/>
              </w:rPr>
            </w:pPr>
            <w:r>
              <w:rPr>
                <w:rFonts w:ascii="Calibri" w:hAnsi="Calibri" w:cs="Calibri"/>
                <w:color w:val="0D0D0D"/>
              </w:rPr>
              <w:t xml:space="preserve">       36,144 </w:t>
            </w:r>
          </w:p>
        </w:tc>
        <w:tc>
          <w:tcPr>
            <w:tcW w:w="1260" w:type="dxa"/>
            <w:tcBorders>
              <w:top w:val="nil"/>
              <w:left w:val="nil"/>
              <w:bottom w:val="nil"/>
              <w:right w:val="nil"/>
            </w:tcBorders>
            <w:shd w:val="clear" w:color="000000" w:fill="FFFFFF"/>
            <w:noWrap/>
            <w:vAlign w:val="bottom"/>
            <w:hideMark/>
          </w:tcPr>
          <w:p w14:paraId="3D46E981" w14:textId="108BE8F1" w:rsidR="00BC68DD" w:rsidRPr="00B63013" w:rsidRDefault="00BC68DD" w:rsidP="00BC68DD">
            <w:pPr>
              <w:jc w:val="right"/>
              <w:rPr>
                <w:rFonts w:eastAsia="Times New Roman" w:cstheme="minorHAnsi"/>
              </w:rPr>
            </w:pPr>
            <w:r>
              <w:rPr>
                <w:rFonts w:ascii="Calibri" w:hAnsi="Calibri" w:cs="Calibri"/>
                <w:color w:val="0D0D0D"/>
              </w:rPr>
              <w:t xml:space="preserve">                  - </w:t>
            </w:r>
          </w:p>
        </w:tc>
        <w:tc>
          <w:tcPr>
            <w:tcW w:w="793" w:type="dxa"/>
            <w:tcBorders>
              <w:top w:val="nil"/>
              <w:left w:val="nil"/>
              <w:bottom w:val="nil"/>
              <w:right w:val="nil"/>
            </w:tcBorders>
            <w:shd w:val="clear" w:color="000000" w:fill="FFFFFF"/>
            <w:noWrap/>
            <w:vAlign w:val="bottom"/>
            <w:hideMark/>
          </w:tcPr>
          <w:p w14:paraId="6478D6B3" w14:textId="62742E14" w:rsidR="00BC68DD" w:rsidRPr="00B63013" w:rsidRDefault="00BC68DD" w:rsidP="00BC68DD">
            <w:pPr>
              <w:jc w:val="right"/>
              <w:rPr>
                <w:rFonts w:eastAsia="Times New Roman" w:cstheme="minorHAnsi"/>
              </w:rPr>
            </w:pPr>
            <w:r>
              <w:rPr>
                <w:rFonts w:ascii="Calibri" w:hAnsi="Calibri" w:cs="Calibri"/>
                <w:color w:val="0D0D0D"/>
              </w:rPr>
              <w:t xml:space="preserve">           - </w:t>
            </w:r>
          </w:p>
        </w:tc>
        <w:tc>
          <w:tcPr>
            <w:tcW w:w="810" w:type="dxa"/>
            <w:tcBorders>
              <w:top w:val="nil"/>
              <w:left w:val="nil"/>
              <w:bottom w:val="nil"/>
              <w:right w:val="nil"/>
            </w:tcBorders>
            <w:shd w:val="clear" w:color="000000" w:fill="FFFFFF"/>
            <w:noWrap/>
            <w:vAlign w:val="bottom"/>
            <w:hideMark/>
          </w:tcPr>
          <w:p w14:paraId="0AD16CE5" w14:textId="1E18AEE0" w:rsidR="00BC68DD" w:rsidRPr="00B63013" w:rsidRDefault="00BC68DD" w:rsidP="00BC68DD">
            <w:pPr>
              <w:jc w:val="right"/>
              <w:rPr>
                <w:rFonts w:eastAsia="Times New Roman" w:cstheme="minorHAnsi"/>
              </w:rPr>
            </w:pPr>
            <w:r>
              <w:rPr>
                <w:rFonts w:ascii="Calibri" w:hAnsi="Calibri" w:cs="Calibri"/>
                <w:color w:val="0D0D0D"/>
              </w:rPr>
              <w:t xml:space="preserve">- </w:t>
            </w:r>
          </w:p>
        </w:tc>
        <w:tc>
          <w:tcPr>
            <w:tcW w:w="1260" w:type="dxa"/>
            <w:tcBorders>
              <w:top w:val="nil"/>
              <w:left w:val="nil"/>
              <w:bottom w:val="nil"/>
              <w:right w:val="nil"/>
            </w:tcBorders>
            <w:shd w:val="clear" w:color="000000" w:fill="FFFFFF"/>
            <w:noWrap/>
            <w:vAlign w:val="bottom"/>
            <w:hideMark/>
          </w:tcPr>
          <w:p w14:paraId="1F4B34D5" w14:textId="33F999A6" w:rsidR="00BC68DD" w:rsidRPr="00B63013" w:rsidRDefault="00BC68DD" w:rsidP="00BC68DD">
            <w:pPr>
              <w:jc w:val="right"/>
              <w:rPr>
                <w:rFonts w:eastAsia="Times New Roman" w:cstheme="minorHAnsi"/>
              </w:rPr>
            </w:pPr>
            <w:r>
              <w:rPr>
                <w:rFonts w:ascii="Calibri" w:hAnsi="Calibri" w:cs="Calibri"/>
                <w:color w:val="0D0D0D"/>
              </w:rPr>
              <w:t xml:space="preserve">       36,144 </w:t>
            </w:r>
          </w:p>
        </w:tc>
        <w:tc>
          <w:tcPr>
            <w:tcW w:w="2503" w:type="dxa"/>
            <w:tcBorders>
              <w:top w:val="nil"/>
              <w:left w:val="nil"/>
              <w:bottom w:val="nil"/>
              <w:right w:val="nil"/>
            </w:tcBorders>
            <w:shd w:val="clear" w:color="000000" w:fill="FFFFFF"/>
            <w:vAlign w:val="bottom"/>
            <w:hideMark/>
          </w:tcPr>
          <w:p w14:paraId="2336863A" w14:textId="098839B8" w:rsidR="00BC68DD" w:rsidRPr="00B63013" w:rsidRDefault="00BC68DD" w:rsidP="00BC68DD">
            <w:pPr>
              <w:rPr>
                <w:rFonts w:eastAsia="Times New Roman" w:cstheme="minorHAnsi"/>
              </w:rPr>
            </w:pPr>
            <w:r>
              <w:rPr>
                <w:rFonts w:ascii="Calibri" w:hAnsi="Calibri" w:cs="Calibri"/>
              </w:rPr>
              <w:t>Monthly/Quarterly</w:t>
            </w:r>
          </w:p>
        </w:tc>
      </w:tr>
      <w:tr w:rsidR="00BC68DD" w:rsidRPr="004E6649" w14:paraId="07E3B351" w14:textId="77777777" w:rsidTr="00730ECF">
        <w:trPr>
          <w:trHeight w:val="135"/>
          <w:jc w:val="center"/>
        </w:trPr>
        <w:tc>
          <w:tcPr>
            <w:tcW w:w="2880" w:type="dxa"/>
            <w:tcBorders>
              <w:top w:val="nil"/>
              <w:left w:val="nil"/>
              <w:bottom w:val="nil"/>
              <w:right w:val="nil"/>
            </w:tcBorders>
            <w:shd w:val="clear" w:color="000000" w:fill="FFFFFF"/>
            <w:noWrap/>
            <w:vAlign w:val="bottom"/>
            <w:hideMark/>
          </w:tcPr>
          <w:p w14:paraId="050296E8" w14:textId="77777777" w:rsidR="00BC68DD" w:rsidRPr="004E6649" w:rsidRDefault="00BC68DD" w:rsidP="00BC68DD">
            <w:pPr>
              <w:rPr>
                <w:rFonts w:eastAsia="Times New Roman" w:cstheme="minorHAnsi"/>
                <w:color w:val="0D0D0D"/>
              </w:rPr>
            </w:pPr>
            <w:r w:rsidRPr="004E6649">
              <w:rPr>
                <w:rFonts w:eastAsia="Times New Roman" w:cstheme="minorHAnsi"/>
                <w:color w:val="0D0D0D"/>
              </w:rPr>
              <w:t>U.S. fixed income</w:t>
            </w:r>
          </w:p>
        </w:tc>
        <w:tc>
          <w:tcPr>
            <w:tcW w:w="1277" w:type="dxa"/>
            <w:tcBorders>
              <w:top w:val="nil"/>
              <w:left w:val="nil"/>
              <w:bottom w:val="nil"/>
              <w:right w:val="nil"/>
            </w:tcBorders>
            <w:shd w:val="clear" w:color="000000" w:fill="FFFFFF"/>
            <w:noWrap/>
            <w:vAlign w:val="bottom"/>
            <w:hideMark/>
          </w:tcPr>
          <w:p w14:paraId="4F63FB27" w14:textId="4A1AF51A" w:rsidR="00BC68DD" w:rsidRPr="00B63013" w:rsidRDefault="00BC68DD" w:rsidP="00BC68DD">
            <w:pPr>
              <w:jc w:val="right"/>
              <w:rPr>
                <w:rFonts w:eastAsia="Times New Roman" w:cstheme="minorHAnsi"/>
              </w:rPr>
            </w:pPr>
            <w:r>
              <w:rPr>
                <w:rFonts w:ascii="Calibri" w:hAnsi="Calibri" w:cs="Calibri"/>
                <w:color w:val="0D0D0D"/>
              </w:rPr>
              <w:t xml:space="preserve">                  - </w:t>
            </w:r>
          </w:p>
        </w:tc>
        <w:tc>
          <w:tcPr>
            <w:tcW w:w="1260" w:type="dxa"/>
            <w:tcBorders>
              <w:top w:val="nil"/>
              <w:left w:val="nil"/>
              <w:bottom w:val="nil"/>
              <w:right w:val="nil"/>
            </w:tcBorders>
            <w:shd w:val="clear" w:color="000000" w:fill="FFFFFF"/>
            <w:noWrap/>
            <w:vAlign w:val="bottom"/>
            <w:hideMark/>
          </w:tcPr>
          <w:p w14:paraId="49A6DBD6" w14:textId="0739B533" w:rsidR="00BC68DD" w:rsidRPr="00B63013" w:rsidRDefault="00BC68DD" w:rsidP="00BC68DD">
            <w:pPr>
              <w:jc w:val="right"/>
              <w:rPr>
                <w:rFonts w:eastAsia="Times New Roman" w:cstheme="minorHAnsi"/>
              </w:rPr>
            </w:pPr>
            <w:r>
              <w:rPr>
                <w:rFonts w:ascii="Calibri" w:hAnsi="Calibri" w:cs="Calibri"/>
                <w:color w:val="0D0D0D"/>
              </w:rPr>
              <w:t xml:space="preserve">       27,521 </w:t>
            </w:r>
          </w:p>
        </w:tc>
        <w:tc>
          <w:tcPr>
            <w:tcW w:w="793" w:type="dxa"/>
            <w:tcBorders>
              <w:top w:val="nil"/>
              <w:left w:val="nil"/>
              <w:bottom w:val="nil"/>
              <w:right w:val="nil"/>
            </w:tcBorders>
            <w:shd w:val="clear" w:color="000000" w:fill="FFFFFF"/>
            <w:noWrap/>
            <w:vAlign w:val="bottom"/>
            <w:hideMark/>
          </w:tcPr>
          <w:p w14:paraId="214C8453" w14:textId="4BE91555" w:rsidR="00BC68DD" w:rsidRPr="00B63013" w:rsidRDefault="00BC68DD" w:rsidP="00BC68DD">
            <w:pPr>
              <w:jc w:val="right"/>
              <w:rPr>
                <w:rFonts w:eastAsia="Times New Roman" w:cstheme="minorHAnsi"/>
              </w:rPr>
            </w:pPr>
            <w:r>
              <w:rPr>
                <w:rFonts w:ascii="Calibri" w:hAnsi="Calibri" w:cs="Calibri"/>
                <w:color w:val="0D0D0D"/>
              </w:rPr>
              <w:t xml:space="preserve">           - </w:t>
            </w:r>
          </w:p>
        </w:tc>
        <w:tc>
          <w:tcPr>
            <w:tcW w:w="810" w:type="dxa"/>
            <w:tcBorders>
              <w:top w:val="nil"/>
              <w:left w:val="nil"/>
              <w:bottom w:val="nil"/>
              <w:right w:val="nil"/>
            </w:tcBorders>
            <w:shd w:val="clear" w:color="000000" w:fill="FFFFFF"/>
            <w:noWrap/>
            <w:vAlign w:val="bottom"/>
            <w:hideMark/>
          </w:tcPr>
          <w:p w14:paraId="0F7D26FE" w14:textId="47E4335F" w:rsidR="00BC68DD" w:rsidRPr="00B63013" w:rsidRDefault="00BC68DD" w:rsidP="00BC68DD">
            <w:pPr>
              <w:jc w:val="right"/>
              <w:rPr>
                <w:rFonts w:eastAsia="Times New Roman" w:cstheme="minorHAnsi"/>
              </w:rPr>
            </w:pPr>
            <w:r>
              <w:rPr>
                <w:rFonts w:ascii="Calibri" w:hAnsi="Calibri" w:cs="Calibri"/>
                <w:color w:val="0D0D0D"/>
              </w:rPr>
              <w:t xml:space="preserve">- </w:t>
            </w:r>
          </w:p>
        </w:tc>
        <w:tc>
          <w:tcPr>
            <w:tcW w:w="1260" w:type="dxa"/>
            <w:tcBorders>
              <w:top w:val="nil"/>
              <w:left w:val="nil"/>
              <w:bottom w:val="nil"/>
              <w:right w:val="nil"/>
            </w:tcBorders>
            <w:shd w:val="clear" w:color="000000" w:fill="FFFFFF"/>
            <w:noWrap/>
            <w:vAlign w:val="bottom"/>
            <w:hideMark/>
          </w:tcPr>
          <w:p w14:paraId="4F4D92A6" w14:textId="1893A705" w:rsidR="00BC68DD" w:rsidRPr="00B63013" w:rsidRDefault="00BC68DD" w:rsidP="00BC68DD">
            <w:pPr>
              <w:jc w:val="right"/>
              <w:rPr>
                <w:rFonts w:eastAsia="Times New Roman" w:cstheme="minorHAnsi"/>
              </w:rPr>
            </w:pPr>
            <w:r>
              <w:rPr>
                <w:rFonts w:ascii="Calibri" w:hAnsi="Calibri" w:cs="Calibri"/>
                <w:color w:val="0D0D0D"/>
              </w:rPr>
              <w:t xml:space="preserve">       27,521 </w:t>
            </w:r>
          </w:p>
        </w:tc>
        <w:tc>
          <w:tcPr>
            <w:tcW w:w="2503" w:type="dxa"/>
            <w:tcBorders>
              <w:top w:val="nil"/>
              <w:left w:val="nil"/>
              <w:bottom w:val="nil"/>
              <w:right w:val="nil"/>
            </w:tcBorders>
            <w:shd w:val="clear" w:color="000000" w:fill="FFFFFF"/>
            <w:vAlign w:val="bottom"/>
            <w:hideMark/>
          </w:tcPr>
          <w:p w14:paraId="6DFFC2DE" w14:textId="737B26AE" w:rsidR="00BC68DD" w:rsidRPr="00B63013" w:rsidRDefault="00BC68DD" w:rsidP="00BC68DD">
            <w:pPr>
              <w:rPr>
                <w:rFonts w:eastAsia="Times New Roman" w:cstheme="minorHAnsi"/>
              </w:rPr>
            </w:pPr>
            <w:r>
              <w:rPr>
                <w:rFonts w:ascii="Calibri" w:hAnsi="Calibri" w:cs="Calibri"/>
              </w:rPr>
              <w:t>Daily</w:t>
            </w:r>
          </w:p>
        </w:tc>
      </w:tr>
      <w:tr w:rsidR="00BC68DD" w:rsidRPr="004E6649" w14:paraId="5375B69A" w14:textId="77777777" w:rsidTr="00730ECF">
        <w:trPr>
          <w:trHeight w:val="117"/>
          <w:jc w:val="center"/>
        </w:trPr>
        <w:tc>
          <w:tcPr>
            <w:tcW w:w="2880" w:type="dxa"/>
            <w:tcBorders>
              <w:top w:val="nil"/>
              <w:left w:val="nil"/>
              <w:bottom w:val="nil"/>
              <w:right w:val="nil"/>
            </w:tcBorders>
            <w:shd w:val="clear" w:color="000000" w:fill="FFFFFF"/>
            <w:noWrap/>
            <w:vAlign w:val="bottom"/>
            <w:hideMark/>
          </w:tcPr>
          <w:p w14:paraId="4562D6DC" w14:textId="77777777" w:rsidR="00BC68DD" w:rsidRPr="004E6649" w:rsidRDefault="00BC68DD" w:rsidP="00BC68DD">
            <w:pPr>
              <w:rPr>
                <w:rFonts w:eastAsia="Times New Roman" w:cstheme="minorHAnsi"/>
                <w:color w:val="0D0D0D"/>
              </w:rPr>
            </w:pPr>
            <w:r w:rsidRPr="004E6649">
              <w:rPr>
                <w:rFonts w:eastAsia="Times New Roman" w:cstheme="minorHAnsi"/>
                <w:color w:val="0D0D0D"/>
              </w:rPr>
              <w:t>Total private investments</w:t>
            </w:r>
          </w:p>
        </w:tc>
        <w:tc>
          <w:tcPr>
            <w:tcW w:w="1277" w:type="dxa"/>
            <w:tcBorders>
              <w:top w:val="nil"/>
              <w:left w:val="nil"/>
              <w:bottom w:val="nil"/>
              <w:right w:val="nil"/>
            </w:tcBorders>
            <w:shd w:val="clear" w:color="000000" w:fill="FFFFFF"/>
            <w:noWrap/>
            <w:vAlign w:val="bottom"/>
            <w:hideMark/>
          </w:tcPr>
          <w:p w14:paraId="7BD984BE" w14:textId="5687E66F" w:rsidR="00BC68DD" w:rsidRPr="00B63013" w:rsidRDefault="00BC68DD" w:rsidP="00BC68DD">
            <w:pPr>
              <w:jc w:val="right"/>
              <w:rPr>
                <w:rFonts w:eastAsia="Times New Roman" w:cstheme="minorHAnsi"/>
              </w:rPr>
            </w:pPr>
            <w:r>
              <w:rPr>
                <w:rFonts w:ascii="Calibri" w:hAnsi="Calibri" w:cs="Calibri"/>
                <w:color w:val="0D0D0D"/>
              </w:rPr>
              <w:t xml:space="preserve">       55,903 </w:t>
            </w:r>
          </w:p>
        </w:tc>
        <w:tc>
          <w:tcPr>
            <w:tcW w:w="1260" w:type="dxa"/>
            <w:tcBorders>
              <w:top w:val="nil"/>
              <w:left w:val="nil"/>
              <w:bottom w:val="nil"/>
              <w:right w:val="nil"/>
            </w:tcBorders>
            <w:shd w:val="clear" w:color="000000" w:fill="FFFFFF"/>
            <w:noWrap/>
            <w:vAlign w:val="bottom"/>
            <w:hideMark/>
          </w:tcPr>
          <w:p w14:paraId="62C67085" w14:textId="36A008AA" w:rsidR="00BC68DD" w:rsidRPr="00B63013" w:rsidRDefault="00BC68DD" w:rsidP="00BC68DD">
            <w:pPr>
              <w:jc w:val="right"/>
              <w:rPr>
                <w:rFonts w:eastAsia="Times New Roman" w:cstheme="minorHAnsi"/>
              </w:rPr>
            </w:pPr>
            <w:r>
              <w:rPr>
                <w:rFonts w:ascii="Calibri" w:hAnsi="Calibri" w:cs="Calibri"/>
                <w:color w:val="0D0D0D"/>
              </w:rPr>
              <w:t xml:space="preserve">                  - </w:t>
            </w:r>
          </w:p>
        </w:tc>
        <w:tc>
          <w:tcPr>
            <w:tcW w:w="793" w:type="dxa"/>
            <w:tcBorders>
              <w:top w:val="nil"/>
              <w:left w:val="nil"/>
              <w:bottom w:val="nil"/>
              <w:right w:val="nil"/>
            </w:tcBorders>
            <w:shd w:val="clear" w:color="000000" w:fill="FFFFFF"/>
            <w:noWrap/>
            <w:vAlign w:val="bottom"/>
            <w:hideMark/>
          </w:tcPr>
          <w:p w14:paraId="71D79620" w14:textId="34794184" w:rsidR="00BC68DD" w:rsidRPr="00B63013" w:rsidRDefault="00BC68DD" w:rsidP="00BC68DD">
            <w:pPr>
              <w:jc w:val="right"/>
              <w:rPr>
                <w:rFonts w:eastAsia="Times New Roman" w:cstheme="minorHAnsi"/>
              </w:rPr>
            </w:pPr>
            <w:r>
              <w:rPr>
                <w:rFonts w:ascii="Calibri" w:hAnsi="Calibri" w:cs="Calibri"/>
                <w:color w:val="0D0D0D"/>
              </w:rPr>
              <w:t xml:space="preserve">           - </w:t>
            </w:r>
          </w:p>
        </w:tc>
        <w:tc>
          <w:tcPr>
            <w:tcW w:w="810" w:type="dxa"/>
            <w:tcBorders>
              <w:top w:val="nil"/>
              <w:left w:val="nil"/>
              <w:bottom w:val="nil"/>
              <w:right w:val="nil"/>
            </w:tcBorders>
            <w:shd w:val="clear" w:color="000000" w:fill="FFFFFF"/>
            <w:noWrap/>
            <w:vAlign w:val="bottom"/>
            <w:hideMark/>
          </w:tcPr>
          <w:p w14:paraId="76A73478" w14:textId="2AD3440A" w:rsidR="00BC68DD" w:rsidRPr="00B63013" w:rsidRDefault="00BC68DD" w:rsidP="00BC68DD">
            <w:pPr>
              <w:jc w:val="right"/>
              <w:rPr>
                <w:rFonts w:eastAsia="Times New Roman" w:cstheme="minorHAnsi"/>
              </w:rPr>
            </w:pPr>
            <w:r>
              <w:rPr>
                <w:rFonts w:ascii="Calibri" w:hAnsi="Calibri" w:cs="Calibri"/>
                <w:color w:val="0D0D0D"/>
              </w:rPr>
              <w:t xml:space="preserve">- </w:t>
            </w:r>
          </w:p>
        </w:tc>
        <w:tc>
          <w:tcPr>
            <w:tcW w:w="1260" w:type="dxa"/>
            <w:tcBorders>
              <w:top w:val="nil"/>
              <w:left w:val="nil"/>
              <w:bottom w:val="nil"/>
              <w:right w:val="nil"/>
            </w:tcBorders>
            <w:shd w:val="clear" w:color="000000" w:fill="FFFFFF"/>
            <w:noWrap/>
            <w:vAlign w:val="bottom"/>
            <w:hideMark/>
          </w:tcPr>
          <w:p w14:paraId="0794E0B3" w14:textId="05E5FA5E" w:rsidR="00BC68DD" w:rsidRPr="00B63013" w:rsidRDefault="00BC68DD" w:rsidP="00BC68DD">
            <w:pPr>
              <w:jc w:val="right"/>
              <w:rPr>
                <w:rFonts w:eastAsia="Times New Roman" w:cstheme="minorHAnsi"/>
              </w:rPr>
            </w:pPr>
            <w:r>
              <w:rPr>
                <w:rFonts w:ascii="Calibri" w:hAnsi="Calibri" w:cs="Calibri"/>
                <w:color w:val="0D0D0D"/>
              </w:rPr>
              <w:t xml:space="preserve">       55,903 </w:t>
            </w:r>
          </w:p>
        </w:tc>
        <w:tc>
          <w:tcPr>
            <w:tcW w:w="2503" w:type="dxa"/>
            <w:tcBorders>
              <w:top w:val="nil"/>
              <w:left w:val="nil"/>
              <w:bottom w:val="nil"/>
              <w:right w:val="nil"/>
            </w:tcBorders>
            <w:shd w:val="clear" w:color="000000" w:fill="FFFFFF"/>
            <w:vAlign w:val="bottom"/>
            <w:hideMark/>
          </w:tcPr>
          <w:p w14:paraId="757CE54D" w14:textId="62C2AD9B" w:rsidR="00BC68DD" w:rsidRPr="00B63013" w:rsidRDefault="00BC68DD" w:rsidP="00BC68DD">
            <w:pPr>
              <w:rPr>
                <w:rFonts w:eastAsia="Times New Roman" w:cstheme="minorHAnsi"/>
              </w:rPr>
            </w:pPr>
            <w:r>
              <w:rPr>
                <w:rFonts w:ascii="Calibri" w:hAnsi="Calibri" w:cs="Calibri"/>
              </w:rPr>
              <w:t>Illiquid</w:t>
            </w:r>
          </w:p>
        </w:tc>
      </w:tr>
      <w:tr w:rsidR="00BC68DD" w:rsidRPr="004E6649" w14:paraId="0EA50BE8" w14:textId="77777777" w:rsidTr="00730ECF">
        <w:trPr>
          <w:trHeight w:val="369"/>
          <w:jc w:val="center"/>
        </w:trPr>
        <w:tc>
          <w:tcPr>
            <w:tcW w:w="2880" w:type="dxa"/>
            <w:tcBorders>
              <w:top w:val="nil"/>
              <w:left w:val="nil"/>
              <w:bottom w:val="nil"/>
              <w:right w:val="nil"/>
            </w:tcBorders>
            <w:shd w:val="clear" w:color="000000" w:fill="FFFFFF"/>
            <w:noWrap/>
            <w:vAlign w:val="bottom"/>
            <w:hideMark/>
          </w:tcPr>
          <w:p w14:paraId="65EB270E" w14:textId="77777777" w:rsidR="00BC68DD" w:rsidRPr="004E6649" w:rsidRDefault="00BC68DD" w:rsidP="00BC68DD">
            <w:pPr>
              <w:rPr>
                <w:rFonts w:eastAsia="Times New Roman" w:cstheme="minorHAnsi"/>
                <w:color w:val="0D0D0D"/>
              </w:rPr>
            </w:pPr>
            <w:r w:rsidRPr="004E6649">
              <w:rPr>
                <w:rFonts w:eastAsia="Times New Roman" w:cstheme="minorHAnsi"/>
                <w:color w:val="0D0D0D"/>
              </w:rPr>
              <w:t>Alternative investments</w:t>
            </w:r>
          </w:p>
        </w:tc>
        <w:tc>
          <w:tcPr>
            <w:tcW w:w="1277" w:type="dxa"/>
            <w:tcBorders>
              <w:top w:val="nil"/>
              <w:left w:val="nil"/>
              <w:bottom w:val="nil"/>
              <w:right w:val="nil"/>
            </w:tcBorders>
            <w:shd w:val="clear" w:color="000000" w:fill="FFFFFF"/>
            <w:noWrap/>
            <w:vAlign w:val="bottom"/>
            <w:hideMark/>
          </w:tcPr>
          <w:p w14:paraId="0946409F" w14:textId="618AFBC2" w:rsidR="00BC68DD" w:rsidRPr="00B63013" w:rsidRDefault="00BC68DD" w:rsidP="00BC68DD">
            <w:pPr>
              <w:jc w:val="right"/>
              <w:rPr>
                <w:rFonts w:eastAsia="Times New Roman" w:cstheme="minorHAnsi"/>
              </w:rPr>
            </w:pPr>
            <w:r>
              <w:rPr>
                <w:rFonts w:ascii="Calibri" w:hAnsi="Calibri" w:cs="Calibri"/>
                <w:color w:val="0D0D0D"/>
              </w:rPr>
              <w:t xml:space="preserve">       27,842 </w:t>
            </w:r>
          </w:p>
        </w:tc>
        <w:tc>
          <w:tcPr>
            <w:tcW w:w="1260" w:type="dxa"/>
            <w:tcBorders>
              <w:top w:val="nil"/>
              <w:left w:val="nil"/>
              <w:bottom w:val="nil"/>
              <w:right w:val="nil"/>
            </w:tcBorders>
            <w:shd w:val="clear" w:color="000000" w:fill="FFFFFF"/>
            <w:noWrap/>
            <w:vAlign w:val="bottom"/>
            <w:hideMark/>
          </w:tcPr>
          <w:p w14:paraId="6729C2E4" w14:textId="2BE92342" w:rsidR="00BC68DD" w:rsidRPr="00B63013" w:rsidRDefault="00BC68DD" w:rsidP="00BC68DD">
            <w:pPr>
              <w:jc w:val="right"/>
              <w:rPr>
                <w:rFonts w:eastAsia="Times New Roman" w:cstheme="minorHAnsi"/>
              </w:rPr>
            </w:pPr>
            <w:r>
              <w:rPr>
                <w:rFonts w:ascii="Calibri" w:hAnsi="Calibri" w:cs="Calibri"/>
                <w:color w:val="0D0D0D"/>
              </w:rPr>
              <w:t xml:space="preserve">                  - </w:t>
            </w:r>
          </w:p>
        </w:tc>
        <w:tc>
          <w:tcPr>
            <w:tcW w:w="793" w:type="dxa"/>
            <w:tcBorders>
              <w:top w:val="nil"/>
              <w:left w:val="nil"/>
              <w:bottom w:val="nil"/>
              <w:right w:val="nil"/>
            </w:tcBorders>
            <w:shd w:val="clear" w:color="000000" w:fill="FFFFFF"/>
            <w:noWrap/>
            <w:vAlign w:val="bottom"/>
            <w:hideMark/>
          </w:tcPr>
          <w:p w14:paraId="48268855" w14:textId="29FA7664" w:rsidR="00BC68DD" w:rsidRPr="00B63013" w:rsidRDefault="00BC68DD" w:rsidP="00BC68DD">
            <w:pPr>
              <w:jc w:val="right"/>
              <w:rPr>
                <w:rFonts w:eastAsia="Times New Roman" w:cstheme="minorHAnsi"/>
              </w:rPr>
            </w:pPr>
            <w:r>
              <w:rPr>
                <w:rFonts w:ascii="Calibri" w:hAnsi="Calibri" w:cs="Calibri"/>
                <w:color w:val="0D0D0D"/>
              </w:rPr>
              <w:t xml:space="preserve">           - </w:t>
            </w:r>
          </w:p>
        </w:tc>
        <w:tc>
          <w:tcPr>
            <w:tcW w:w="810" w:type="dxa"/>
            <w:tcBorders>
              <w:top w:val="nil"/>
              <w:left w:val="nil"/>
              <w:bottom w:val="nil"/>
              <w:right w:val="nil"/>
            </w:tcBorders>
            <w:shd w:val="clear" w:color="000000" w:fill="FFFFFF"/>
            <w:noWrap/>
            <w:vAlign w:val="bottom"/>
            <w:hideMark/>
          </w:tcPr>
          <w:p w14:paraId="0949071D" w14:textId="089CA4E3" w:rsidR="00BC68DD" w:rsidRPr="00B63013" w:rsidRDefault="00BC68DD" w:rsidP="00BC68DD">
            <w:pPr>
              <w:jc w:val="right"/>
              <w:rPr>
                <w:rFonts w:eastAsia="Times New Roman" w:cstheme="minorHAnsi"/>
              </w:rPr>
            </w:pPr>
            <w:r>
              <w:rPr>
                <w:rFonts w:ascii="Calibri" w:hAnsi="Calibri" w:cs="Calibri"/>
                <w:color w:val="0D0D0D"/>
              </w:rPr>
              <w:t xml:space="preserve">- </w:t>
            </w:r>
          </w:p>
        </w:tc>
        <w:tc>
          <w:tcPr>
            <w:tcW w:w="1260" w:type="dxa"/>
            <w:tcBorders>
              <w:top w:val="nil"/>
              <w:left w:val="nil"/>
              <w:bottom w:val="nil"/>
              <w:right w:val="nil"/>
            </w:tcBorders>
            <w:shd w:val="clear" w:color="000000" w:fill="FFFFFF"/>
            <w:noWrap/>
            <w:vAlign w:val="bottom"/>
            <w:hideMark/>
          </w:tcPr>
          <w:p w14:paraId="51A29C08" w14:textId="7C6E41AC" w:rsidR="00BC68DD" w:rsidRPr="00B63013" w:rsidRDefault="00BC68DD" w:rsidP="00BC68DD">
            <w:pPr>
              <w:jc w:val="right"/>
              <w:rPr>
                <w:rFonts w:eastAsia="Times New Roman" w:cstheme="minorHAnsi"/>
              </w:rPr>
            </w:pPr>
            <w:r>
              <w:rPr>
                <w:rFonts w:ascii="Calibri" w:hAnsi="Calibri" w:cs="Calibri"/>
                <w:color w:val="0D0D0D"/>
              </w:rPr>
              <w:t xml:space="preserve">       27,842 </w:t>
            </w:r>
          </w:p>
        </w:tc>
        <w:tc>
          <w:tcPr>
            <w:tcW w:w="2503" w:type="dxa"/>
            <w:tcBorders>
              <w:top w:val="nil"/>
              <w:left w:val="nil"/>
              <w:bottom w:val="nil"/>
              <w:right w:val="nil"/>
            </w:tcBorders>
            <w:shd w:val="clear" w:color="000000" w:fill="FFFFFF"/>
            <w:vAlign w:val="bottom"/>
            <w:hideMark/>
          </w:tcPr>
          <w:p w14:paraId="6648B718" w14:textId="509F6F26" w:rsidR="00BC68DD" w:rsidRPr="00B63013" w:rsidRDefault="00BC68DD" w:rsidP="00BC68DD">
            <w:pPr>
              <w:rPr>
                <w:rFonts w:eastAsia="Times New Roman" w:cstheme="minorHAnsi"/>
              </w:rPr>
            </w:pPr>
            <w:r>
              <w:rPr>
                <w:rFonts w:ascii="Calibri" w:hAnsi="Calibri" w:cs="Calibri"/>
              </w:rPr>
              <w:t>Monthly/Quarterly/Semi-Annually</w:t>
            </w:r>
          </w:p>
        </w:tc>
      </w:tr>
      <w:tr w:rsidR="00BC68DD" w:rsidRPr="004E6649" w14:paraId="4FAFE54A" w14:textId="77777777" w:rsidTr="00730ECF">
        <w:trPr>
          <w:trHeight w:val="243"/>
          <w:jc w:val="center"/>
        </w:trPr>
        <w:tc>
          <w:tcPr>
            <w:tcW w:w="2880" w:type="dxa"/>
            <w:tcBorders>
              <w:top w:val="nil"/>
              <w:left w:val="nil"/>
              <w:bottom w:val="single" w:sz="8" w:space="0" w:color="000000" w:themeColor="text1"/>
              <w:right w:val="nil"/>
            </w:tcBorders>
            <w:shd w:val="clear" w:color="000000" w:fill="FFFFFF"/>
            <w:noWrap/>
            <w:vAlign w:val="bottom"/>
            <w:hideMark/>
          </w:tcPr>
          <w:p w14:paraId="6CC6843E" w14:textId="77777777" w:rsidR="00BC68DD" w:rsidRPr="004E6649" w:rsidRDefault="00BC68DD" w:rsidP="00BC68DD">
            <w:pPr>
              <w:rPr>
                <w:rFonts w:eastAsia="Times New Roman" w:cstheme="minorHAnsi"/>
                <w:color w:val="0D0D0D"/>
              </w:rPr>
            </w:pPr>
            <w:r w:rsidRPr="004E6649">
              <w:rPr>
                <w:rFonts w:eastAsia="Times New Roman" w:cstheme="minorHAnsi"/>
                <w:color w:val="0D0D0D"/>
              </w:rPr>
              <w:t>Cash</w:t>
            </w:r>
          </w:p>
        </w:tc>
        <w:tc>
          <w:tcPr>
            <w:tcW w:w="1277" w:type="dxa"/>
            <w:tcBorders>
              <w:top w:val="nil"/>
              <w:left w:val="nil"/>
              <w:bottom w:val="single" w:sz="8" w:space="0" w:color="000000" w:themeColor="text1"/>
              <w:right w:val="nil"/>
            </w:tcBorders>
            <w:shd w:val="clear" w:color="000000" w:fill="FFFFFF"/>
            <w:noWrap/>
            <w:vAlign w:val="bottom"/>
            <w:hideMark/>
          </w:tcPr>
          <w:p w14:paraId="16CC2ADF" w14:textId="0F77F367" w:rsidR="00BC68DD" w:rsidRPr="00B63013" w:rsidRDefault="00BC68DD" w:rsidP="00BC68DD">
            <w:pPr>
              <w:jc w:val="right"/>
              <w:rPr>
                <w:rFonts w:eastAsia="Times New Roman" w:cstheme="minorHAnsi"/>
              </w:rPr>
            </w:pPr>
            <w:r>
              <w:rPr>
                <w:rFonts w:ascii="Calibri" w:hAnsi="Calibri" w:cs="Calibri"/>
                <w:color w:val="0D0D0D"/>
              </w:rPr>
              <w:t xml:space="preserve">                  - </w:t>
            </w:r>
          </w:p>
        </w:tc>
        <w:tc>
          <w:tcPr>
            <w:tcW w:w="1260" w:type="dxa"/>
            <w:tcBorders>
              <w:top w:val="nil"/>
              <w:left w:val="nil"/>
              <w:bottom w:val="single" w:sz="8" w:space="0" w:color="000000" w:themeColor="text1"/>
              <w:right w:val="nil"/>
            </w:tcBorders>
            <w:shd w:val="clear" w:color="000000" w:fill="FFFFFF"/>
            <w:noWrap/>
            <w:vAlign w:val="bottom"/>
            <w:hideMark/>
          </w:tcPr>
          <w:p w14:paraId="319579AA" w14:textId="07C16DCB" w:rsidR="00BC68DD" w:rsidRPr="00B63013" w:rsidRDefault="00BC68DD" w:rsidP="00BC68DD">
            <w:pPr>
              <w:jc w:val="right"/>
              <w:rPr>
                <w:rFonts w:eastAsia="Times New Roman" w:cstheme="minorHAnsi"/>
              </w:rPr>
            </w:pPr>
            <w:r>
              <w:rPr>
                <w:rFonts w:ascii="Calibri" w:hAnsi="Calibri" w:cs="Calibri"/>
                <w:color w:val="0D0D0D"/>
              </w:rPr>
              <w:t xml:space="preserve">       14,112 </w:t>
            </w:r>
          </w:p>
        </w:tc>
        <w:tc>
          <w:tcPr>
            <w:tcW w:w="793" w:type="dxa"/>
            <w:tcBorders>
              <w:top w:val="nil"/>
              <w:left w:val="nil"/>
              <w:bottom w:val="single" w:sz="8" w:space="0" w:color="000000" w:themeColor="text1"/>
              <w:right w:val="nil"/>
            </w:tcBorders>
            <w:shd w:val="clear" w:color="000000" w:fill="FFFFFF"/>
            <w:noWrap/>
            <w:vAlign w:val="bottom"/>
            <w:hideMark/>
          </w:tcPr>
          <w:p w14:paraId="4E6941A1" w14:textId="229DC124" w:rsidR="00BC68DD" w:rsidRPr="00B63013" w:rsidRDefault="00BC68DD" w:rsidP="00BC68DD">
            <w:pPr>
              <w:jc w:val="right"/>
              <w:rPr>
                <w:rFonts w:eastAsia="Times New Roman" w:cstheme="minorHAnsi"/>
              </w:rPr>
            </w:pPr>
            <w:r>
              <w:rPr>
                <w:rFonts w:ascii="Calibri" w:hAnsi="Calibri" w:cs="Calibri"/>
                <w:color w:val="0D0D0D"/>
              </w:rPr>
              <w:t xml:space="preserve">           - </w:t>
            </w:r>
          </w:p>
        </w:tc>
        <w:tc>
          <w:tcPr>
            <w:tcW w:w="810" w:type="dxa"/>
            <w:tcBorders>
              <w:top w:val="nil"/>
              <w:left w:val="nil"/>
              <w:bottom w:val="single" w:sz="8" w:space="0" w:color="000000" w:themeColor="text1"/>
              <w:right w:val="nil"/>
            </w:tcBorders>
            <w:shd w:val="clear" w:color="000000" w:fill="FFFFFF"/>
            <w:noWrap/>
            <w:vAlign w:val="bottom"/>
            <w:hideMark/>
          </w:tcPr>
          <w:p w14:paraId="37079348" w14:textId="190744FE" w:rsidR="00BC68DD" w:rsidRPr="00B63013" w:rsidRDefault="00BC68DD" w:rsidP="00BC68DD">
            <w:pPr>
              <w:jc w:val="right"/>
              <w:rPr>
                <w:rFonts w:eastAsia="Times New Roman" w:cstheme="minorHAnsi"/>
              </w:rPr>
            </w:pPr>
            <w:r>
              <w:rPr>
                <w:rFonts w:ascii="Calibri" w:hAnsi="Calibri" w:cs="Calibri"/>
                <w:color w:val="0D0D0D"/>
              </w:rPr>
              <w:t xml:space="preserve">- </w:t>
            </w:r>
          </w:p>
        </w:tc>
        <w:tc>
          <w:tcPr>
            <w:tcW w:w="1260" w:type="dxa"/>
            <w:tcBorders>
              <w:top w:val="nil"/>
              <w:left w:val="nil"/>
              <w:bottom w:val="single" w:sz="8" w:space="0" w:color="000000" w:themeColor="text1"/>
              <w:right w:val="nil"/>
            </w:tcBorders>
            <w:shd w:val="clear" w:color="000000" w:fill="FFFFFF"/>
            <w:noWrap/>
            <w:vAlign w:val="bottom"/>
            <w:hideMark/>
          </w:tcPr>
          <w:p w14:paraId="38AA0A2C" w14:textId="46EE7F9E" w:rsidR="00BC68DD" w:rsidRPr="00B63013" w:rsidRDefault="00BC68DD" w:rsidP="00BC68DD">
            <w:pPr>
              <w:jc w:val="right"/>
              <w:rPr>
                <w:rFonts w:eastAsia="Times New Roman" w:cstheme="minorHAnsi"/>
              </w:rPr>
            </w:pPr>
            <w:r>
              <w:rPr>
                <w:rFonts w:ascii="Calibri" w:hAnsi="Calibri" w:cs="Calibri"/>
                <w:color w:val="0D0D0D"/>
              </w:rPr>
              <w:t xml:space="preserve">       14,112 </w:t>
            </w:r>
          </w:p>
        </w:tc>
        <w:tc>
          <w:tcPr>
            <w:tcW w:w="2503" w:type="dxa"/>
            <w:tcBorders>
              <w:top w:val="nil"/>
              <w:left w:val="nil"/>
              <w:bottom w:val="single" w:sz="8" w:space="0" w:color="000000" w:themeColor="text1"/>
              <w:right w:val="nil"/>
            </w:tcBorders>
            <w:shd w:val="clear" w:color="000000" w:fill="FFFFFF"/>
            <w:vAlign w:val="bottom"/>
            <w:hideMark/>
          </w:tcPr>
          <w:p w14:paraId="6E550BBB" w14:textId="46A2A4D8" w:rsidR="00BC68DD" w:rsidRPr="00B63013" w:rsidRDefault="00BC68DD" w:rsidP="00BC68DD">
            <w:pPr>
              <w:rPr>
                <w:rFonts w:eastAsia="Times New Roman" w:cstheme="minorHAnsi"/>
              </w:rPr>
            </w:pPr>
            <w:r>
              <w:rPr>
                <w:rFonts w:ascii="Calibri" w:hAnsi="Calibri" w:cs="Calibri"/>
              </w:rPr>
              <w:t>Daily</w:t>
            </w:r>
          </w:p>
        </w:tc>
      </w:tr>
      <w:tr w:rsidR="00BC68DD" w:rsidRPr="004E6649" w14:paraId="3A246135" w14:textId="77777777" w:rsidTr="00730ECF">
        <w:trPr>
          <w:trHeight w:val="475"/>
          <w:jc w:val="center"/>
        </w:trPr>
        <w:tc>
          <w:tcPr>
            <w:tcW w:w="2880" w:type="dxa"/>
            <w:tcBorders>
              <w:top w:val="single" w:sz="8" w:space="0" w:color="000000" w:themeColor="text1"/>
              <w:left w:val="nil"/>
              <w:bottom w:val="double" w:sz="4" w:space="0" w:color="000000" w:themeColor="text1"/>
              <w:right w:val="nil"/>
            </w:tcBorders>
            <w:shd w:val="clear" w:color="000000" w:fill="FFFFFF"/>
            <w:vAlign w:val="bottom"/>
            <w:hideMark/>
          </w:tcPr>
          <w:p w14:paraId="29FC3880" w14:textId="77777777" w:rsidR="00BC68DD" w:rsidRPr="00460BF5" w:rsidRDefault="00BC68DD" w:rsidP="00BC68DD">
            <w:pPr>
              <w:rPr>
                <w:rFonts w:eastAsia="Times New Roman" w:cstheme="minorHAnsi"/>
                <w:bCs/>
                <w:color w:val="0D0D0D"/>
              </w:rPr>
            </w:pPr>
            <w:r w:rsidRPr="00460BF5">
              <w:rPr>
                <w:rFonts w:eastAsia="Times New Roman" w:cstheme="minorHAnsi"/>
                <w:bCs/>
                <w:color w:val="0D0D0D"/>
              </w:rPr>
              <w:t>Total long-term investments, endowment</w:t>
            </w:r>
          </w:p>
        </w:tc>
        <w:tc>
          <w:tcPr>
            <w:tcW w:w="1277" w:type="dxa"/>
            <w:tcBorders>
              <w:top w:val="single" w:sz="8" w:space="0" w:color="000000" w:themeColor="text1"/>
              <w:left w:val="nil"/>
              <w:bottom w:val="double" w:sz="4" w:space="0" w:color="000000" w:themeColor="text1"/>
              <w:right w:val="nil"/>
            </w:tcBorders>
            <w:shd w:val="clear" w:color="000000" w:fill="FFFFFF"/>
            <w:noWrap/>
            <w:vAlign w:val="bottom"/>
            <w:hideMark/>
          </w:tcPr>
          <w:p w14:paraId="4C106090" w14:textId="689AC124" w:rsidR="00BC68DD" w:rsidRPr="00460BF5" w:rsidRDefault="00BC68DD" w:rsidP="00BC68DD">
            <w:pPr>
              <w:jc w:val="right"/>
              <w:rPr>
                <w:rFonts w:eastAsia="Times New Roman" w:cstheme="minorHAnsi"/>
                <w:bCs/>
              </w:rPr>
            </w:pPr>
            <w:r w:rsidRPr="00460BF5">
              <w:rPr>
                <w:rFonts w:ascii="Calibri" w:hAnsi="Calibri" w:cs="Calibri"/>
                <w:bCs/>
                <w:color w:val="0D0D0D"/>
              </w:rPr>
              <w:t xml:space="preserve"> $ 223,142 </w:t>
            </w:r>
          </w:p>
        </w:tc>
        <w:tc>
          <w:tcPr>
            <w:tcW w:w="1260" w:type="dxa"/>
            <w:tcBorders>
              <w:top w:val="single" w:sz="8" w:space="0" w:color="000000" w:themeColor="text1"/>
              <w:left w:val="nil"/>
              <w:bottom w:val="double" w:sz="4" w:space="0" w:color="000000" w:themeColor="text1"/>
              <w:right w:val="nil"/>
            </w:tcBorders>
            <w:shd w:val="clear" w:color="000000" w:fill="FFFFFF"/>
            <w:noWrap/>
            <w:vAlign w:val="bottom"/>
            <w:hideMark/>
          </w:tcPr>
          <w:p w14:paraId="2B555AE4" w14:textId="13F077A5" w:rsidR="00BC68DD" w:rsidRPr="00460BF5" w:rsidRDefault="00BC68DD" w:rsidP="00BC68DD">
            <w:pPr>
              <w:jc w:val="right"/>
              <w:rPr>
                <w:rFonts w:eastAsia="Times New Roman" w:cstheme="minorHAnsi"/>
                <w:bCs/>
              </w:rPr>
            </w:pPr>
            <w:r w:rsidRPr="00460BF5">
              <w:rPr>
                <w:rFonts w:ascii="Calibri" w:hAnsi="Calibri" w:cs="Calibri"/>
                <w:bCs/>
                <w:color w:val="0D0D0D"/>
              </w:rPr>
              <w:t xml:space="preserve"> $ 117,726 </w:t>
            </w:r>
          </w:p>
        </w:tc>
        <w:tc>
          <w:tcPr>
            <w:tcW w:w="793" w:type="dxa"/>
            <w:tcBorders>
              <w:top w:val="single" w:sz="8" w:space="0" w:color="000000" w:themeColor="text1"/>
              <w:left w:val="nil"/>
              <w:bottom w:val="double" w:sz="4" w:space="0" w:color="000000" w:themeColor="text1"/>
              <w:right w:val="nil"/>
            </w:tcBorders>
            <w:shd w:val="clear" w:color="000000" w:fill="FFFFFF"/>
            <w:noWrap/>
            <w:vAlign w:val="bottom"/>
            <w:hideMark/>
          </w:tcPr>
          <w:p w14:paraId="048CA9DC" w14:textId="0B2AA832" w:rsidR="00BC68DD" w:rsidRPr="00460BF5" w:rsidRDefault="00BC68DD" w:rsidP="00BC68DD">
            <w:pPr>
              <w:jc w:val="right"/>
              <w:rPr>
                <w:rFonts w:eastAsia="Times New Roman" w:cstheme="minorHAnsi"/>
                <w:bCs/>
              </w:rPr>
            </w:pPr>
            <w:r w:rsidRPr="00460BF5">
              <w:rPr>
                <w:rFonts w:ascii="Calibri" w:hAnsi="Calibri" w:cs="Calibri"/>
                <w:bCs/>
                <w:color w:val="0D0D0D"/>
              </w:rPr>
              <w:t xml:space="preserve"> $        - </w:t>
            </w:r>
          </w:p>
        </w:tc>
        <w:tc>
          <w:tcPr>
            <w:tcW w:w="810" w:type="dxa"/>
            <w:tcBorders>
              <w:top w:val="single" w:sz="8" w:space="0" w:color="000000" w:themeColor="text1"/>
              <w:left w:val="nil"/>
              <w:bottom w:val="double" w:sz="4" w:space="0" w:color="000000" w:themeColor="text1"/>
              <w:right w:val="nil"/>
            </w:tcBorders>
            <w:shd w:val="clear" w:color="000000" w:fill="FFFFFF"/>
            <w:noWrap/>
            <w:vAlign w:val="bottom"/>
            <w:hideMark/>
          </w:tcPr>
          <w:p w14:paraId="235D05E9" w14:textId="7E8342ED" w:rsidR="00BC68DD" w:rsidRPr="00460BF5" w:rsidRDefault="00BC68DD" w:rsidP="00BC68DD">
            <w:pPr>
              <w:jc w:val="right"/>
              <w:rPr>
                <w:rFonts w:eastAsia="Times New Roman" w:cstheme="minorHAnsi"/>
                <w:bCs/>
              </w:rPr>
            </w:pPr>
            <w:r w:rsidRPr="00460BF5">
              <w:rPr>
                <w:rFonts w:ascii="Calibri" w:hAnsi="Calibri" w:cs="Calibri"/>
                <w:bCs/>
                <w:color w:val="0D0D0D"/>
              </w:rPr>
              <w:t xml:space="preserve">$         - </w:t>
            </w:r>
          </w:p>
        </w:tc>
        <w:tc>
          <w:tcPr>
            <w:tcW w:w="1260" w:type="dxa"/>
            <w:tcBorders>
              <w:top w:val="single" w:sz="8" w:space="0" w:color="000000" w:themeColor="text1"/>
              <w:left w:val="nil"/>
              <w:bottom w:val="double" w:sz="4" w:space="0" w:color="000000" w:themeColor="text1"/>
              <w:right w:val="nil"/>
            </w:tcBorders>
            <w:shd w:val="clear" w:color="000000" w:fill="FFFFFF"/>
            <w:noWrap/>
            <w:vAlign w:val="bottom"/>
            <w:hideMark/>
          </w:tcPr>
          <w:p w14:paraId="42B87CD5" w14:textId="0CAB8A38" w:rsidR="00BC68DD" w:rsidRPr="00460BF5" w:rsidRDefault="00BC68DD" w:rsidP="00BC68DD">
            <w:pPr>
              <w:jc w:val="right"/>
              <w:rPr>
                <w:rFonts w:eastAsia="Times New Roman" w:cstheme="minorHAnsi"/>
                <w:bCs/>
              </w:rPr>
            </w:pPr>
            <w:r w:rsidRPr="00460BF5">
              <w:rPr>
                <w:rFonts w:ascii="Calibri" w:hAnsi="Calibri" w:cs="Calibri"/>
                <w:bCs/>
                <w:color w:val="0D0D0D"/>
              </w:rPr>
              <w:t xml:space="preserve"> $ 340,868 </w:t>
            </w:r>
          </w:p>
        </w:tc>
        <w:tc>
          <w:tcPr>
            <w:tcW w:w="2503" w:type="dxa"/>
            <w:tcBorders>
              <w:top w:val="single" w:sz="8" w:space="0" w:color="000000" w:themeColor="text1"/>
              <w:left w:val="nil"/>
              <w:bottom w:val="double" w:sz="4" w:space="0" w:color="000000" w:themeColor="text1"/>
              <w:right w:val="nil"/>
            </w:tcBorders>
            <w:shd w:val="clear" w:color="000000" w:fill="FFFFFF"/>
            <w:noWrap/>
            <w:vAlign w:val="bottom"/>
            <w:hideMark/>
          </w:tcPr>
          <w:p w14:paraId="3A99D245" w14:textId="2BE22D3C" w:rsidR="00BC68DD" w:rsidRPr="00460BF5" w:rsidRDefault="00BC68DD" w:rsidP="00BC68DD">
            <w:pPr>
              <w:rPr>
                <w:rFonts w:eastAsia="Times New Roman" w:cstheme="minorHAnsi"/>
                <w:bCs/>
              </w:rPr>
            </w:pPr>
            <w:r w:rsidRPr="00460BF5">
              <w:rPr>
                <w:rFonts w:ascii="Calibri" w:hAnsi="Calibri" w:cs="Calibri"/>
                <w:bCs/>
                <w:color w:val="0D0D0D"/>
              </w:rPr>
              <w:t> </w:t>
            </w:r>
          </w:p>
        </w:tc>
      </w:tr>
    </w:tbl>
    <w:p w14:paraId="20B1F450" w14:textId="77777777" w:rsidR="001B6918" w:rsidRDefault="001B6918" w:rsidP="001B6918">
      <w:pPr>
        <w:spacing w:before="240"/>
        <w:rPr>
          <w:rFonts w:cstheme="minorHAnsi"/>
          <w:sz w:val="24"/>
        </w:rPr>
      </w:pPr>
      <w:r w:rsidRPr="004E6649">
        <w:rPr>
          <w:rFonts w:cstheme="minorHAnsi"/>
          <w:sz w:val="24"/>
        </w:rPr>
        <w:t>Complete financial statements for the Foundation may be obtained from the Foundation’s office at Two Alumni Place, Orono, ME 04469-5792.</w:t>
      </w:r>
    </w:p>
    <w:p w14:paraId="7E86E81A" w14:textId="77777777" w:rsidR="0018429E" w:rsidRDefault="0018429E">
      <w:pPr>
        <w:spacing w:after="160" w:line="259" w:lineRule="auto"/>
        <w:rPr>
          <w:rFonts w:eastAsiaTheme="majorEastAsia" w:cstheme="minorHAnsi"/>
          <w:b/>
          <w:i/>
          <w:iCs/>
          <w:smallCaps/>
          <w:noProof/>
          <w:color w:val="000000" w:themeColor="text1"/>
          <w:sz w:val="26"/>
          <w:szCs w:val="26"/>
          <w:u w:color="5B9BD5"/>
        </w:rPr>
      </w:pPr>
      <w:r>
        <w:rPr>
          <w:rFonts w:cstheme="minorHAnsi"/>
          <w:sz w:val="26"/>
          <w:szCs w:val="26"/>
        </w:rPr>
        <w:br w:type="page"/>
      </w:r>
    </w:p>
    <w:p w14:paraId="6329356F" w14:textId="73B4B450" w:rsidR="001B6918" w:rsidRPr="00BB6E99" w:rsidRDefault="001B6918" w:rsidP="001B6918">
      <w:pPr>
        <w:pStyle w:val="AFR2"/>
        <w:rPr>
          <w:rFonts w:cstheme="minorHAnsi"/>
          <w:color w:val="auto"/>
          <w:sz w:val="26"/>
          <w:szCs w:val="26"/>
        </w:rPr>
      </w:pPr>
      <w:r w:rsidRPr="00BB6E99">
        <w:rPr>
          <w:rFonts w:cstheme="minorHAnsi"/>
          <w:sz w:val="26"/>
          <w:szCs w:val="26"/>
        </w:rPr>
        <w:lastRenderedPageBreak/>
        <w:t>18</w:t>
      </w:r>
      <w:r w:rsidRPr="00BB6E99">
        <w:rPr>
          <w:rFonts w:cstheme="minorHAnsi"/>
          <w:b w:val="0"/>
          <w:i w:val="0"/>
          <w:iCs w:val="0"/>
          <w:smallCaps w:val="0"/>
          <w:sz w:val="26"/>
          <w:szCs w:val="26"/>
        </w:rPr>
        <w:t>.</w:t>
      </w:r>
      <w:r w:rsidRPr="00BB6E99">
        <w:rPr>
          <w:rFonts w:cstheme="minorHAnsi"/>
          <w:sz w:val="26"/>
          <w:szCs w:val="26"/>
        </w:rPr>
        <w:t xml:space="preserve"> </w:t>
      </w:r>
      <w:r w:rsidR="00ED47C7">
        <w:rPr>
          <w:rFonts w:cstheme="minorHAnsi"/>
          <w:color w:val="auto"/>
          <w:sz w:val="26"/>
          <w:szCs w:val="26"/>
        </w:rPr>
        <w:t>Accounting Changes</w:t>
      </w:r>
    </w:p>
    <w:p w14:paraId="3EF3DB23" w14:textId="0B96A657" w:rsidR="001B6918" w:rsidRPr="004755B7" w:rsidRDefault="001B6918" w:rsidP="001B6918">
      <w:pPr>
        <w:spacing w:after="160" w:line="259" w:lineRule="auto"/>
        <w:rPr>
          <w:rFonts w:cstheme="minorHAnsi"/>
          <w:color w:val="000000" w:themeColor="text1"/>
          <w:sz w:val="24"/>
          <w:szCs w:val="20"/>
        </w:rPr>
      </w:pPr>
      <w:r w:rsidRPr="00BB6E99">
        <w:rPr>
          <w:rFonts w:cstheme="minorHAnsi"/>
          <w:sz w:val="24"/>
          <w:szCs w:val="24"/>
          <w:u w:color="000000" w:themeColor="text1"/>
        </w:rPr>
        <w:t xml:space="preserve">The provisions of GASB No. 101, </w:t>
      </w:r>
      <w:r w:rsidRPr="00460BF5">
        <w:rPr>
          <w:rFonts w:cstheme="minorHAnsi"/>
          <w:i/>
          <w:iCs/>
          <w:sz w:val="24"/>
          <w:szCs w:val="24"/>
          <w:u w:color="000000" w:themeColor="text1"/>
        </w:rPr>
        <w:t>Compensated Absences</w:t>
      </w:r>
      <w:r w:rsidR="00C019C8">
        <w:rPr>
          <w:rFonts w:cstheme="minorHAnsi"/>
          <w:i/>
          <w:iCs/>
          <w:sz w:val="24"/>
          <w:szCs w:val="24"/>
          <w:u w:color="000000" w:themeColor="text1"/>
        </w:rPr>
        <w:t xml:space="preserve"> </w:t>
      </w:r>
      <w:r w:rsidR="00C019C8" w:rsidRPr="00460BF5">
        <w:rPr>
          <w:rFonts w:cstheme="minorHAnsi"/>
          <w:sz w:val="24"/>
          <w:szCs w:val="24"/>
          <w:u w:color="000000" w:themeColor="text1"/>
        </w:rPr>
        <w:t>(GASB No. 101)</w:t>
      </w:r>
      <w:r w:rsidRPr="00BB6E99">
        <w:rPr>
          <w:rFonts w:cstheme="minorHAnsi"/>
          <w:sz w:val="24"/>
          <w:szCs w:val="24"/>
          <w:u w:color="000000" w:themeColor="text1"/>
        </w:rPr>
        <w:t>, are effective for periods beginning after December 15, 2023 and all reporting periods thereafter. This statement applies to the System’s compensated absences such as vacation and sick leave and compensatory time and the System adopted GASB No. 101 for its June 30, 2025 financial statements. The change</w:t>
      </w:r>
      <w:r w:rsidRPr="00BB6E99">
        <w:rPr>
          <w:rFonts w:cstheme="minorHAnsi"/>
          <w:color w:val="000000" w:themeColor="text1"/>
          <w:sz w:val="24"/>
          <w:szCs w:val="20"/>
        </w:rPr>
        <w:t xml:space="preserve"> </w:t>
      </w:r>
      <w:r w:rsidRPr="004755B7">
        <w:rPr>
          <w:rFonts w:cstheme="minorHAnsi"/>
          <w:color w:val="000000" w:themeColor="text1"/>
          <w:sz w:val="24"/>
          <w:szCs w:val="20"/>
        </w:rPr>
        <w:t xml:space="preserve">represents a change from one generally accepted accounting principle to another generally accepted accounting principle that is the current industry practice. </w:t>
      </w:r>
    </w:p>
    <w:p w14:paraId="2C2A9233" w14:textId="7C468DCB" w:rsidR="001B6918" w:rsidRDefault="001B6918" w:rsidP="001B6918">
      <w:pPr>
        <w:spacing w:after="160" w:line="259" w:lineRule="auto"/>
        <w:rPr>
          <w:rFonts w:cstheme="minorHAnsi"/>
          <w:color w:val="000000" w:themeColor="text1"/>
          <w:sz w:val="24"/>
          <w:szCs w:val="20"/>
        </w:rPr>
      </w:pPr>
      <w:r w:rsidRPr="004755B7">
        <w:rPr>
          <w:rFonts w:cstheme="minorHAnsi"/>
          <w:color w:val="000000" w:themeColor="text1"/>
          <w:sz w:val="24"/>
          <w:szCs w:val="20"/>
        </w:rPr>
        <w:t>The System has historically recorded a liability for unused vacation leave; thus, the impact of GASB 101 is to record an additional liability for unused sick leave and compensatory time. The changes adopted to conform to the provisions of GASB No. 101 are applied retroactively by restating the FY24 financial statements. The effect of the restatement was to reduce the beginning balance of net position (unrestricted), decrease the FY24 change in net position and decrease ending net position (unrestricted) by the following amounts.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0"/>
        <w:gridCol w:w="1309"/>
      </w:tblGrid>
      <w:tr w:rsidR="00592045" w14:paraId="679FA63A" w14:textId="77777777" w:rsidTr="00DC059D">
        <w:trPr>
          <w:jc w:val="center"/>
        </w:trPr>
        <w:tc>
          <w:tcPr>
            <w:tcW w:w="6390" w:type="dxa"/>
            <w:tcBorders>
              <w:top w:val="single" w:sz="8" w:space="0" w:color="auto"/>
            </w:tcBorders>
            <w:vAlign w:val="bottom"/>
          </w:tcPr>
          <w:p w14:paraId="3F1C5DFD" w14:textId="6583928E" w:rsidR="00592045" w:rsidRDefault="00592045" w:rsidP="00DC059D">
            <w:pPr>
              <w:spacing w:line="259" w:lineRule="auto"/>
              <w:rPr>
                <w:rFonts w:cstheme="minorHAnsi"/>
                <w:color w:val="000000" w:themeColor="text1"/>
                <w:sz w:val="24"/>
                <w:szCs w:val="20"/>
              </w:rPr>
            </w:pPr>
            <w:r>
              <w:rPr>
                <w:rFonts w:cstheme="minorHAnsi"/>
                <w:color w:val="000000" w:themeColor="text1"/>
                <w:sz w:val="24"/>
                <w:szCs w:val="20"/>
              </w:rPr>
              <w:t>July 1, 2023 Net Position – As previously reported</w:t>
            </w:r>
          </w:p>
        </w:tc>
        <w:tc>
          <w:tcPr>
            <w:tcW w:w="1309" w:type="dxa"/>
            <w:tcBorders>
              <w:top w:val="single" w:sz="8" w:space="0" w:color="auto"/>
            </w:tcBorders>
            <w:vAlign w:val="bottom"/>
          </w:tcPr>
          <w:p w14:paraId="3E4E9464" w14:textId="06946A2D" w:rsidR="00592045" w:rsidRDefault="00592045" w:rsidP="00DC059D">
            <w:pPr>
              <w:spacing w:line="259" w:lineRule="auto"/>
              <w:jc w:val="right"/>
              <w:rPr>
                <w:rFonts w:cstheme="minorHAnsi"/>
                <w:color w:val="000000" w:themeColor="text1"/>
                <w:sz w:val="24"/>
                <w:szCs w:val="20"/>
              </w:rPr>
            </w:pPr>
            <w:r>
              <w:rPr>
                <w:rFonts w:cstheme="minorHAnsi"/>
                <w:color w:val="000000" w:themeColor="text1"/>
                <w:sz w:val="24"/>
                <w:szCs w:val="20"/>
              </w:rPr>
              <w:t>$1,000,715</w:t>
            </w:r>
          </w:p>
        </w:tc>
      </w:tr>
      <w:tr w:rsidR="00592045" w14:paraId="352C473C" w14:textId="77777777" w:rsidTr="00DC059D">
        <w:trPr>
          <w:jc w:val="center"/>
        </w:trPr>
        <w:tc>
          <w:tcPr>
            <w:tcW w:w="6390" w:type="dxa"/>
            <w:tcBorders>
              <w:bottom w:val="single" w:sz="4" w:space="0" w:color="auto"/>
            </w:tcBorders>
            <w:vAlign w:val="bottom"/>
          </w:tcPr>
          <w:p w14:paraId="72B90078" w14:textId="77BBA901" w:rsidR="00592045" w:rsidRDefault="00592045" w:rsidP="00DC059D">
            <w:pPr>
              <w:spacing w:line="259" w:lineRule="auto"/>
              <w:ind w:left="150"/>
              <w:rPr>
                <w:rFonts w:cstheme="minorHAnsi"/>
                <w:color w:val="000000" w:themeColor="text1"/>
                <w:sz w:val="24"/>
                <w:szCs w:val="20"/>
              </w:rPr>
            </w:pPr>
            <w:r>
              <w:rPr>
                <w:rFonts w:cstheme="minorHAnsi"/>
                <w:color w:val="000000" w:themeColor="text1"/>
                <w:sz w:val="24"/>
                <w:szCs w:val="20"/>
              </w:rPr>
              <w:t>Cumulative adjustment to Net Position</w:t>
            </w:r>
          </w:p>
        </w:tc>
        <w:tc>
          <w:tcPr>
            <w:tcW w:w="1309" w:type="dxa"/>
            <w:tcBorders>
              <w:bottom w:val="single" w:sz="4" w:space="0" w:color="auto"/>
            </w:tcBorders>
            <w:vAlign w:val="bottom"/>
          </w:tcPr>
          <w:p w14:paraId="3E53F008" w14:textId="54807B75" w:rsidR="00592045" w:rsidRDefault="00592045" w:rsidP="00DC059D">
            <w:pPr>
              <w:spacing w:line="259" w:lineRule="auto"/>
              <w:jc w:val="right"/>
              <w:rPr>
                <w:rFonts w:cstheme="minorHAnsi"/>
                <w:color w:val="000000" w:themeColor="text1"/>
                <w:sz w:val="24"/>
                <w:szCs w:val="20"/>
              </w:rPr>
            </w:pPr>
            <w:r>
              <w:rPr>
                <w:rFonts w:cstheme="minorHAnsi"/>
                <w:color w:val="000000" w:themeColor="text1"/>
                <w:sz w:val="24"/>
                <w:szCs w:val="20"/>
              </w:rPr>
              <w:t>(3</w:t>
            </w:r>
            <w:r w:rsidR="0018610D">
              <w:rPr>
                <w:rFonts w:cstheme="minorHAnsi"/>
                <w:color w:val="000000" w:themeColor="text1"/>
                <w:sz w:val="24"/>
                <w:szCs w:val="20"/>
              </w:rPr>
              <w:t>,</w:t>
            </w:r>
            <w:r>
              <w:rPr>
                <w:rFonts w:cstheme="minorHAnsi"/>
                <w:color w:val="000000" w:themeColor="text1"/>
                <w:sz w:val="24"/>
                <w:szCs w:val="20"/>
              </w:rPr>
              <w:t>398)</w:t>
            </w:r>
          </w:p>
        </w:tc>
      </w:tr>
      <w:tr w:rsidR="00DC059D" w14:paraId="42A87FCB" w14:textId="77777777" w:rsidTr="00DC059D">
        <w:trPr>
          <w:trHeight w:val="395"/>
          <w:jc w:val="center"/>
        </w:trPr>
        <w:tc>
          <w:tcPr>
            <w:tcW w:w="6390" w:type="dxa"/>
            <w:tcBorders>
              <w:top w:val="single" w:sz="4" w:space="0" w:color="auto"/>
              <w:bottom w:val="single" w:sz="4" w:space="0" w:color="auto"/>
            </w:tcBorders>
            <w:vAlign w:val="bottom"/>
          </w:tcPr>
          <w:p w14:paraId="7EB5AAF3" w14:textId="358950D6" w:rsidR="00592045" w:rsidRDefault="00592045" w:rsidP="00DC059D">
            <w:pPr>
              <w:spacing w:line="259" w:lineRule="auto"/>
              <w:rPr>
                <w:rFonts w:cstheme="minorHAnsi"/>
                <w:color w:val="000000" w:themeColor="text1"/>
                <w:sz w:val="24"/>
                <w:szCs w:val="20"/>
              </w:rPr>
            </w:pPr>
            <w:r>
              <w:rPr>
                <w:rFonts w:cstheme="minorHAnsi"/>
                <w:color w:val="000000" w:themeColor="text1"/>
                <w:sz w:val="24"/>
                <w:szCs w:val="20"/>
              </w:rPr>
              <w:t>July 1, 2023 Net Position – As restated</w:t>
            </w:r>
          </w:p>
        </w:tc>
        <w:tc>
          <w:tcPr>
            <w:tcW w:w="1309" w:type="dxa"/>
            <w:tcBorders>
              <w:top w:val="single" w:sz="4" w:space="0" w:color="auto"/>
              <w:bottom w:val="single" w:sz="4" w:space="0" w:color="auto"/>
            </w:tcBorders>
            <w:vAlign w:val="bottom"/>
          </w:tcPr>
          <w:p w14:paraId="1A6C2A89" w14:textId="60656274" w:rsidR="00592045" w:rsidRDefault="00592045" w:rsidP="00DC059D">
            <w:pPr>
              <w:spacing w:line="259" w:lineRule="auto"/>
              <w:jc w:val="right"/>
              <w:rPr>
                <w:rFonts w:cstheme="minorHAnsi"/>
                <w:color w:val="000000" w:themeColor="text1"/>
                <w:sz w:val="24"/>
                <w:szCs w:val="20"/>
              </w:rPr>
            </w:pPr>
            <w:r>
              <w:rPr>
                <w:rFonts w:cstheme="minorHAnsi"/>
                <w:color w:val="000000" w:themeColor="text1"/>
                <w:sz w:val="24"/>
                <w:szCs w:val="20"/>
              </w:rPr>
              <w:t>997,317</w:t>
            </w:r>
          </w:p>
        </w:tc>
      </w:tr>
      <w:tr w:rsidR="00592045" w14:paraId="64608CB9" w14:textId="77777777" w:rsidTr="00DC059D">
        <w:trPr>
          <w:jc w:val="center"/>
        </w:trPr>
        <w:tc>
          <w:tcPr>
            <w:tcW w:w="6390" w:type="dxa"/>
            <w:tcBorders>
              <w:top w:val="single" w:sz="4" w:space="0" w:color="auto"/>
            </w:tcBorders>
            <w:vAlign w:val="bottom"/>
          </w:tcPr>
          <w:p w14:paraId="553B6729" w14:textId="3E187891" w:rsidR="00592045" w:rsidRDefault="00592045" w:rsidP="00DC059D">
            <w:pPr>
              <w:spacing w:line="259" w:lineRule="auto"/>
              <w:rPr>
                <w:rFonts w:cstheme="minorHAnsi"/>
                <w:color w:val="000000" w:themeColor="text1"/>
                <w:sz w:val="24"/>
                <w:szCs w:val="20"/>
              </w:rPr>
            </w:pPr>
            <w:r>
              <w:rPr>
                <w:rFonts w:cstheme="minorHAnsi"/>
                <w:color w:val="000000" w:themeColor="text1"/>
                <w:sz w:val="24"/>
                <w:szCs w:val="20"/>
              </w:rPr>
              <w:t>FY24 Change in Net Position – As previously reported</w:t>
            </w:r>
          </w:p>
        </w:tc>
        <w:tc>
          <w:tcPr>
            <w:tcW w:w="1309" w:type="dxa"/>
            <w:tcBorders>
              <w:top w:val="single" w:sz="4" w:space="0" w:color="auto"/>
            </w:tcBorders>
            <w:vAlign w:val="bottom"/>
          </w:tcPr>
          <w:p w14:paraId="62F1769F" w14:textId="48229830" w:rsidR="00592045" w:rsidRDefault="00592045" w:rsidP="00DC059D">
            <w:pPr>
              <w:spacing w:line="259" w:lineRule="auto"/>
              <w:jc w:val="right"/>
              <w:rPr>
                <w:rFonts w:cstheme="minorHAnsi"/>
                <w:color w:val="000000" w:themeColor="text1"/>
                <w:sz w:val="24"/>
                <w:szCs w:val="20"/>
              </w:rPr>
            </w:pPr>
            <w:r>
              <w:rPr>
                <w:rFonts w:cstheme="minorHAnsi"/>
                <w:color w:val="000000" w:themeColor="text1"/>
                <w:sz w:val="24"/>
                <w:szCs w:val="20"/>
              </w:rPr>
              <w:t>82,342</w:t>
            </w:r>
          </w:p>
        </w:tc>
      </w:tr>
      <w:tr w:rsidR="00592045" w14:paraId="3286F8A7" w14:textId="77777777" w:rsidTr="00DC059D">
        <w:trPr>
          <w:jc w:val="center"/>
        </w:trPr>
        <w:tc>
          <w:tcPr>
            <w:tcW w:w="6390" w:type="dxa"/>
            <w:tcBorders>
              <w:bottom w:val="single" w:sz="4" w:space="0" w:color="auto"/>
            </w:tcBorders>
            <w:vAlign w:val="bottom"/>
          </w:tcPr>
          <w:p w14:paraId="670382AD" w14:textId="6AFBE41B" w:rsidR="00592045" w:rsidRDefault="00592045" w:rsidP="005F1E63">
            <w:pPr>
              <w:spacing w:line="259" w:lineRule="auto"/>
              <w:ind w:left="160"/>
              <w:rPr>
                <w:rFonts w:cstheme="minorHAnsi"/>
                <w:color w:val="000000" w:themeColor="text1"/>
                <w:sz w:val="24"/>
                <w:szCs w:val="20"/>
              </w:rPr>
            </w:pPr>
            <w:r>
              <w:rPr>
                <w:rFonts w:cstheme="minorHAnsi"/>
                <w:color w:val="000000" w:themeColor="text1"/>
                <w:sz w:val="24"/>
                <w:szCs w:val="20"/>
              </w:rPr>
              <w:t>Additional FY24 expenses for compensated absences – impacts Institutional Support expense</w:t>
            </w:r>
          </w:p>
        </w:tc>
        <w:tc>
          <w:tcPr>
            <w:tcW w:w="1309" w:type="dxa"/>
            <w:tcBorders>
              <w:bottom w:val="single" w:sz="4" w:space="0" w:color="auto"/>
            </w:tcBorders>
            <w:vAlign w:val="bottom"/>
          </w:tcPr>
          <w:p w14:paraId="0CB90F27" w14:textId="2020CBD9" w:rsidR="00592045" w:rsidRDefault="00592045" w:rsidP="00DC059D">
            <w:pPr>
              <w:spacing w:line="259" w:lineRule="auto"/>
              <w:jc w:val="right"/>
              <w:rPr>
                <w:rFonts w:cstheme="minorHAnsi"/>
                <w:color w:val="000000" w:themeColor="text1"/>
                <w:sz w:val="24"/>
                <w:szCs w:val="20"/>
              </w:rPr>
            </w:pPr>
            <w:r>
              <w:rPr>
                <w:rFonts w:cstheme="minorHAnsi"/>
                <w:color w:val="000000" w:themeColor="text1"/>
                <w:sz w:val="24"/>
                <w:szCs w:val="20"/>
              </w:rPr>
              <w:t>(297)</w:t>
            </w:r>
          </w:p>
        </w:tc>
      </w:tr>
      <w:tr w:rsidR="00DC059D" w14:paraId="5FE70CAD" w14:textId="77777777" w:rsidTr="00DC059D">
        <w:trPr>
          <w:jc w:val="center"/>
        </w:trPr>
        <w:tc>
          <w:tcPr>
            <w:tcW w:w="6390" w:type="dxa"/>
            <w:tcBorders>
              <w:top w:val="single" w:sz="4" w:space="0" w:color="auto"/>
              <w:bottom w:val="single" w:sz="4" w:space="0" w:color="auto"/>
            </w:tcBorders>
            <w:vAlign w:val="bottom"/>
          </w:tcPr>
          <w:p w14:paraId="7EFDDBF5" w14:textId="6E4063AB" w:rsidR="00592045" w:rsidRDefault="00592045" w:rsidP="00DC059D">
            <w:pPr>
              <w:spacing w:line="259" w:lineRule="auto"/>
              <w:rPr>
                <w:rFonts w:cstheme="minorHAnsi"/>
                <w:color w:val="000000" w:themeColor="text1"/>
                <w:sz w:val="24"/>
                <w:szCs w:val="20"/>
              </w:rPr>
            </w:pPr>
            <w:r>
              <w:rPr>
                <w:rFonts w:cstheme="minorHAnsi"/>
                <w:color w:val="000000" w:themeColor="text1"/>
                <w:sz w:val="24"/>
                <w:szCs w:val="20"/>
              </w:rPr>
              <w:t>FY24 Change in Net Position – As restated</w:t>
            </w:r>
          </w:p>
        </w:tc>
        <w:tc>
          <w:tcPr>
            <w:tcW w:w="1309" w:type="dxa"/>
            <w:tcBorders>
              <w:top w:val="single" w:sz="4" w:space="0" w:color="auto"/>
              <w:bottom w:val="single" w:sz="4" w:space="0" w:color="auto"/>
            </w:tcBorders>
            <w:vAlign w:val="bottom"/>
          </w:tcPr>
          <w:p w14:paraId="6BEC362B" w14:textId="21B7C059" w:rsidR="00592045" w:rsidRDefault="00592045" w:rsidP="00DC059D">
            <w:pPr>
              <w:spacing w:line="259" w:lineRule="auto"/>
              <w:jc w:val="right"/>
              <w:rPr>
                <w:rFonts w:cstheme="minorHAnsi"/>
                <w:color w:val="000000" w:themeColor="text1"/>
                <w:sz w:val="24"/>
                <w:szCs w:val="20"/>
              </w:rPr>
            </w:pPr>
            <w:r>
              <w:rPr>
                <w:rFonts w:cstheme="minorHAnsi"/>
                <w:color w:val="000000" w:themeColor="text1"/>
                <w:sz w:val="24"/>
                <w:szCs w:val="20"/>
              </w:rPr>
              <w:t>82,045</w:t>
            </w:r>
          </w:p>
        </w:tc>
      </w:tr>
      <w:tr w:rsidR="00DC059D" w14:paraId="22D1D474" w14:textId="77777777" w:rsidTr="00DC059D">
        <w:trPr>
          <w:trHeight w:val="70"/>
          <w:jc w:val="center"/>
        </w:trPr>
        <w:tc>
          <w:tcPr>
            <w:tcW w:w="6390" w:type="dxa"/>
            <w:tcBorders>
              <w:top w:val="single" w:sz="4" w:space="0" w:color="auto"/>
              <w:bottom w:val="single" w:sz="4" w:space="0" w:color="auto"/>
            </w:tcBorders>
            <w:vAlign w:val="bottom"/>
          </w:tcPr>
          <w:p w14:paraId="062DC109" w14:textId="77777777" w:rsidR="00DC059D" w:rsidRPr="00DC059D" w:rsidRDefault="00DC059D" w:rsidP="00592045">
            <w:pPr>
              <w:spacing w:line="259" w:lineRule="auto"/>
              <w:rPr>
                <w:rFonts w:cstheme="minorHAnsi"/>
                <w:color w:val="000000" w:themeColor="text1"/>
                <w:sz w:val="16"/>
                <w:szCs w:val="16"/>
              </w:rPr>
            </w:pPr>
          </w:p>
        </w:tc>
        <w:tc>
          <w:tcPr>
            <w:tcW w:w="1309" w:type="dxa"/>
            <w:tcBorders>
              <w:top w:val="single" w:sz="4" w:space="0" w:color="auto"/>
              <w:bottom w:val="single" w:sz="4" w:space="0" w:color="auto"/>
            </w:tcBorders>
            <w:vAlign w:val="bottom"/>
          </w:tcPr>
          <w:p w14:paraId="24531824" w14:textId="77777777" w:rsidR="00DC059D" w:rsidRPr="00DC059D" w:rsidRDefault="00DC059D" w:rsidP="00592045">
            <w:pPr>
              <w:spacing w:line="259" w:lineRule="auto"/>
              <w:jc w:val="right"/>
              <w:rPr>
                <w:rFonts w:cstheme="minorHAnsi"/>
                <w:color w:val="000000" w:themeColor="text1"/>
                <w:sz w:val="16"/>
                <w:szCs w:val="16"/>
              </w:rPr>
            </w:pPr>
          </w:p>
        </w:tc>
      </w:tr>
      <w:tr w:rsidR="00592045" w14:paraId="42DE7234" w14:textId="77777777" w:rsidTr="00DC059D">
        <w:trPr>
          <w:jc w:val="center"/>
        </w:trPr>
        <w:tc>
          <w:tcPr>
            <w:tcW w:w="6390" w:type="dxa"/>
            <w:tcBorders>
              <w:top w:val="single" w:sz="4" w:space="0" w:color="auto"/>
              <w:bottom w:val="single" w:sz="4" w:space="0" w:color="auto"/>
            </w:tcBorders>
            <w:vAlign w:val="bottom"/>
          </w:tcPr>
          <w:p w14:paraId="04654B64" w14:textId="3F2C7C37" w:rsidR="00592045" w:rsidRDefault="00592045" w:rsidP="00592045">
            <w:pPr>
              <w:spacing w:line="259" w:lineRule="auto"/>
              <w:rPr>
                <w:rFonts w:cstheme="minorHAnsi"/>
                <w:color w:val="000000" w:themeColor="text1"/>
                <w:sz w:val="24"/>
                <w:szCs w:val="20"/>
              </w:rPr>
            </w:pPr>
            <w:r>
              <w:rPr>
                <w:rFonts w:cstheme="minorHAnsi"/>
                <w:color w:val="000000" w:themeColor="text1"/>
                <w:sz w:val="24"/>
                <w:szCs w:val="20"/>
              </w:rPr>
              <w:t>June 30, 2024 Net Position – As restated</w:t>
            </w:r>
          </w:p>
        </w:tc>
        <w:tc>
          <w:tcPr>
            <w:tcW w:w="1309" w:type="dxa"/>
            <w:tcBorders>
              <w:top w:val="single" w:sz="4" w:space="0" w:color="auto"/>
              <w:bottom w:val="single" w:sz="4" w:space="0" w:color="auto"/>
            </w:tcBorders>
            <w:vAlign w:val="bottom"/>
          </w:tcPr>
          <w:p w14:paraId="3D09FA91" w14:textId="396086E8" w:rsidR="00592045" w:rsidRDefault="00592045" w:rsidP="00592045">
            <w:pPr>
              <w:spacing w:line="259" w:lineRule="auto"/>
              <w:jc w:val="right"/>
              <w:rPr>
                <w:rFonts w:cstheme="minorHAnsi"/>
                <w:color w:val="000000" w:themeColor="text1"/>
                <w:sz w:val="24"/>
                <w:szCs w:val="20"/>
              </w:rPr>
            </w:pPr>
            <w:r>
              <w:rPr>
                <w:rFonts w:cstheme="minorHAnsi"/>
                <w:color w:val="000000" w:themeColor="text1"/>
                <w:sz w:val="24"/>
                <w:szCs w:val="20"/>
              </w:rPr>
              <w:t>$1,079,362</w:t>
            </w:r>
          </w:p>
        </w:tc>
      </w:tr>
    </w:tbl>
    <w:p w14:paraId="5B941207" w14:textId="77777777" w:rsidR="00592045" w:rsidRDefault="00592045" w:rsidP="001B6918">
      <w:pPr>
        <w:spacing w:after="160" w:line="259" w:lineRule="auto"/>
        <w:rPr>
          <w:rFonts w:cstheme="minorHAnsi"/>
          <w:color w:val="000000" w:themeColor="text1"/>
          <w:sz w:val="24"/>
          <w:szCs w:val="20"/>
        </w:rPr>
      </w:pPr>
    </w:p>
    <w:p w14:paraId="39BA9A76" w14:textId="4D98B964" w:rsidR="00937491" w:rsidRPr="004755B7" w:rsidRDefault="000F48FC" w:rsidP="001B6918">
      <w:pPr>
        <w:spacing w:after="160" w:line="259" w:lineRule="auto"/>
        <w:rPr>
          <w:rFonts w:cstheme="minorHAnsi"/>
          <w:color w:val="000000" w:themeColor="text1"/>
          <w:sz w:val="24"/>
          <w:szCs w:val="20"/>
        </w:rPr>
      </w:pPr>
      <w:r>
        <w:rPr>
          <w:rFonts w:cstheme="minorHAnsi"/>
          <w:color w:val="000000" w:themeColor="text1"/>
          <w:sz w:val="24"/>
          <w:szCs w:val="20"/>
        </w:rPr>
        <w:t>Other line items restated in the FY24 financial statements include the following.</w:t>
      </w:r>
    </w:p>
    <w:tbl>
      <w:tblPr>
        <w:tblW w:w="8320" w:type="dxa"/>
        <w:jc w:val="center"/>
        <w:tblLook w:val="04A0" w:firstRow="1" w:lastRow="0" w:firstColumn="1" w:lastColumn="0" w:noHBand="0" w:noVBand="1"/>
      </w:tblPr>
      <w:tblGrid>
        <w:gridCol w:w="3870"/>
        <w:gridCol w:w="1570"/>
        <w:gridCol w:w="1520"/>
        <w:gridCol w:w="1360"/>
      </w:tblGrid>
      <w:tr w:rsidR="000F48FC" w:rsidRPr="000F48FC" w14:paraId="28891C63" w14:textId="77777777" w:rsidTr="00B35836">
        <w:trPr>
          <w:trHeight w:val="210"/>
          <w:jc w:val="center"/>
        </w:trPr>
        <w:tc>
          <w:tcPr>
            <w:tcW w:w="3870" w:type="dxa"/>
            <w:tcBorders>
              <w:top w:val="nil"/>
              <w:left w:val="nil"/>
              <w:bottom w:val="single" w:sz="4" w:space="0" w:color="000000" w:themeColor="text1"/>
              <w:right w:val="nil"/>
            </w:tcBorders>
            <w:noWrap/>
            <w:vAlign w:val="bottom"/>
            <w:hideMark/>
          </w:tcPr>
          <w:p w14:paraId="33A2EEDE" w14:textId="77777777" w:rsidR="000F48FC" w:rsidRPr="000F48FC" w:rsidRDefault="000F48FC" w:rsidP="000F48FC">
            <w:pPr>
              <w:rPr>
                <w:rFonts w:ascii="Calibri" w:eastAsia="Times New Roman" w:hAnsi="Calibri" w:cs="Calibri"/>
                <w:b/>
                <w:bCs/>
                <w:color w:val="FF0000"/>
                <w:sz w:val="24"/>
                <w:szCs w:val="24"/>
              </w:rPr>
            </w:pPr>
            <w:r w:rsidRPr="000F48FC">
              <w:rPr>
                <w:rFonts w:ascii="Calibri" w:eastAsia="Times New Roman" w:hAnsi="Calibri" w:cs="Calibri"/>
                <w:b/>
                <w:bCs/>
                <w:color w:val="FF0000"/>
                <w:sz w:val="24"/>
                <w:szCs w:val="24"/>
              </w:rPr>
              <w:t> </w:t>
            </w:r>
          </w:p>
        </w:tc>
        <w:tc>
          <w:tcPr>
            <w:tcW w:w="1570" w:type="dxa"/>
            <w:tcBorders>
              <w:top w:val="nil"/>
              <w:left w:val="nil"/>
              <w:bottom w:val="single" w:sz="4" w:space="0" w:color="000000" w:themeColor="text1"/>
              <w:right w:val="nil"/>
            </w:tcBorders>
            <w:noWrap/>
            <w:vAlign w:val="bottom"/>
            <w:hideMark/>
          </w:tcPr>
          <w:p w14:paraId="0CB278B1" w14:textId="77777777" w:rsidR="000F48FC" w:rsidRPr="000F48FC" w:rsidRDefault="000F48FC" w:rsidP="000F48FC">
            <w:pPr>
              <w:rPr>
                <w:rFonts w:ascii="Calibri" w:eastAsia="Times New Roman" w:hAnsi="Calibri" w:cs="Calibri"/>
                <w:b/>
                <w:bCs/>
                <w:color w:val="FF0000"/>
                <w:sz w:val="24"/>
                <w:szCs w:val="24"/>
              </w:rPr>
            </w:pPr>
            <w:r w:rsidRPr="000F48FC">
              <w:rPr>
                <w:rFonts w:ascii="Calibri" w:eastAsia="Times New Roman" w:hAnsi="Calibri" w:cs="Calibri"/>
                <w:b/>
                <w:bCs/>
                <w:color w:val="FF0000"/>
                <w:sz w:val="24"/>
                <w:szCs w:val="24"/>
              </w:rPr>
              <w:t> </w:t>
            </w:r>
          </w:p>
        </w:tc>
        <w:tc>
          <w:tcPr>
            <w:tcW w:w="1520" w:type="dxa"/>
            <w:tcBorders>
              <w:top w:val="nil"/>
              <w:left w:val="nil"/>
              <w:bottom w:val="single" w:sz="4" w:space="0" w:color="000000" w:themeColor="text1"/>
              <w:right w:val="nil"/>
            </w:tcBorders>
            <w:noWrap/>
            <w:vAlign w:val="bottom"/>
            <w:hideMark/>
          </w:tcPr>
          <w:p w14:paraId="35CCE110" w14:textId="77777777" w:rsidR="000F48FC" w:rsidRPr="000F48FC" w:rsidRDefault="000F48FC" w:rsidP="000F48FC">
            <w:pPr>
              <w:rPr>
                <w:rFonts w:ascii="Calibri" w:eastAsia="Times New Roman" w:hAnsi="Calibri" w:cs="Calibri"/>
                <w:b/>
                <w:bCs/>
                <w:color w:val="FF0000"/>
                <w:sz w:val="24"/>
                <w:szCs w:val="24"/>
              </w:rPr>
            </w:pPr>
            <w:r w:rsidRPr="000F48FC">
              <w:rPr>
                <w:rFonts w:ascii="Calibri" w:eastAsia="Times New Roman" w:hAnsi="Calibri" w:cs="Calibri"/>
                <w:b/>
                <w:bCs/>
                <w:color w:val="FF0000"/>
                <w:sz w:val="24"/>
                <w:szCs w:val="24"/>
              </w:rPr>
              <w:t> </w:t>
            </w:r>
          </w:p>
        </w:tc>
        <w:tc>
          <w:tcPr>
            <w:tcW w:w="1360" w:type="dxa"/>
            <w:tcBorders>
              <w:top w:val="nil"/>
              <w:left w:val="nil"/>
              <w:bottom w:val="single" w:sz="4" w:space="0" w:color="000000" w:themeColor="text1"/>
              <w:right w:val="nil"/>
            </w:tcBorders>
            <w:noWrap/>
            <w:vAlign w:val="bottom"/>
            <w:hideMark/>
          </w:tcPr>
          <w:p w14:paraId="0FE2F696" w14:textId="77777777" w:rsidR="000F48FC" w:rsidRPr="000F48FC" w:rsidRDefault="000F48FC" w:rsidP="000F48FC">
            <w:pPr>
              <w:rPr>
                <w:rFonts w:ascii="Calibri" w:eastAsia="Times New Roman" w:hAnsi="Calibri" w:cs="Calibri"/>
                <w:b/>
                <w:bCs/>
                <w:color w:val="FF0000"/>
                <w:sz w:val="24"/>
                <w:szCs w:val="24"/>
              </w:rPr>
            </w:pPr>
            <w:r w:rsidRPr="000F48FC">
              <w:rPr>
                <w:rFonts w:ascii="Calibri" w:eastAsia="Times New Roman" w:hAnsi="Calibri" w:cs="Calibri"/>
                <w:b/>
                <w:bCs/>
                <w:color w:val="FF0000"/>
                <w:sz w:val="24"/>
                <w:szCs w:val="24"/>
              </w:rPr>
              <w:t> </w:t>
            </w:r>
          </w:p>
        </w:tc>
      </w:tr>
      <w:tr w:rsidR="000F48FC" w:rsidRPr="000F48FC" w14:paraId="1600F46F" w14:textId="77777777" w:rsidTr="00B35836">
        <w:trPr>
          <w:trHeight w:val="970"/>
          <w:jc w:val="center"/>
        </w:trPr>
        <w:tc>
          <w:tcPr>
            <w:tcW w:w="3870" w:type="dxa"/>
            <w:tcBorders>
              <w:top w:val="single" w:sz="4" w:space="0" w:color="000000" w:themeColor="text1"/>
              <w:left w:val="nil"/>
              <w:bottom w:val="single" w:sz="4" w:space="0" w:color="000000" w:themeColor="text1"/>
              <w:right w:val="nil"/>
            </w:tcBorders>
            <w:noWrap/>
            <w:vAlign w:val="bottom"/>
            <w:hideMark/>
          </w:tcPr>
          <w:p w14:paraId="42E5B5DA" w14:textId="77777777" w:rsidR="000F48FC" w:rsidRPr="000F48FC" w:rsidRDefault="000F48FC" w:rsidP="000F48FC">
            <w:pPr>
              <w:rPr>
                <w:rFonts w:ascii="Calibri" w:eastAsia="Times New Roman" w:hAnsi="Calibri" w:cs="Calibri"/>
                <w:sz w:val="24"/>
                <w:szCs w:val="24"/>
              </w:rPr>
            </w:pPr>
            <w:r w:rsidRPr="000F48FC">
              <w:rPr>
                <w:rFonts w:ascii="Calibri" w:eastAsia="Times New Roman" w:hAnsi="Calibri" w:cs="Calibri"/>
                <w:sz w:val="24"/>
                <w:szCs w:val="24"/>
              </w:rPr>
              <w:t> </w:t>
            </w:r>
          </w:p>
        </w:tc>
        <w:tc>
          <w:tcPr>
            <w:tcW w:w="1570" w:type="dxa"/>
            <w:tcBorders>
              <w:top w:val="single" w:sz="4" w:space="0" w:color="000000" w:themeColor="text1"/>
              <w:left w:val="nil"/>
              <w:bottom w:val="single" w:sz="4" w:space="0" w:color="000000" w:themeColor="text1"/>
              <w:right w:val="nil"/>
            </w:tcBorders>
            <w:vAlign w:val="bottom"/>
            <w:hideMark/>
          </w:tcPr>
          <w:p w14:paraId="017E4271" w14:textId="42D0F88F" w:rsidR="000F48FC" w:rsidRPr="000F48FC" w:rsidRDefault="000F48FC" w:rsidP="000F48FC">
            <w:pPr>
              <w:jc w:val="center"/>
              <w:rPr>
                <w:rFonts w:ascii="Calibri" w:eastAsia="Times New Roman" w:hAnsi="Calibri" w:cs="Calibri"/>
                <w:sz w:val="24"/>
                <w:szCs w:val="24"/>
              </w:rPr>
            </w:pPr>
            <w:r w:rsidRPr="000F48FC">
              <w:rPr>
                <w:rFonts w:ascii="Calibri" w:eastAsia="Times New Roman" w:hAnsi="Calibri" w:cs="Calibri"/>
                <w:sz w:val="24"/>
                <w:szCs w:val="24"/>
              </w:rPr>
              <w:t xml:space="preserve"> June 30, 2024 </w:t>
            </w:r>
            <w:r w:rsidR="00673096">
              <w:rPr>
                <w:rFonts w:ascii="Calibri" w:eastAsia="Times New Roman" w:hAnsi="Calibri" w:cs="Calibri"/>
                <w:sz w:val="24"/>
                <w:szCs w:val="24"/>
              </w:rPr>
              <w:t>A</w:t>
            </w:r>
            <w:r w:rsidRPr="000F48FC">
              <w:rPr>
                <w:rFonts w:ascii="Calibri" w:eastAsia="Times New Roman" w:hAnsi="Calibri" w:cs="Calibri"/>
                <w:sz w:val="24"/>
                <w:szCs w:val="24"/>
              </w:rPr>
              <w:t xml:space="preserve">s </w:t>
            </w:r>
            <w:r w:rsidR="00673096">
              <w:rPr>
                <w:rFonts w:ascii="Calibri" w:eastAsia="Times New Roman" w:hAnsi="Calibri" w:cs="Calibri"/>
                <w:sz w:val="24"/>
                <w:szCs w:val="24"/>
              </w:rPr>
              <w:t>P</w:t>
            </w:r>
            <w:r w:rsidRPr="000F48FC">
              <w:rPr>
                <w:rFonts w:ascii="Calibri" w:eastAsia="Times New Roman" w:hAnsi="Calibri" w:cs="Calibri"/>
                <w:sz w:val="24"/>
                <w:szCs w:val="24"/>
              </w:rPr>
              <w:t xml:space="preserve">reviously </w:t>
            </w:r>
            <w:r w:rsidR="00673096">
              <w:rPr>
                <w:rFonts w:ascii="Calibri" w:eastAsia="Times New Roman" w:hAnsi="Calibri" w:cs="Calibri"/>
                <w:sz w:val="24"/>
                <w:szCs w:val="24"/>
              </w:rPr>
              <w:t>R</w:t>
            </w:r>
            <w:r w:rsidRPr="000F48FC">
              <w:rPr>
                <w:rFonts w:ascii="Calibri" w:eastAsia="Times New Roman" w:hAnsi="Calibri" w:cs="Calibri"/>
                <w:sz w:val="24"/>
                <w:szCs w:val="24"/>
              </w:rPr>
              <w:t xml:space="preserve">eported </w:t>
            </w:r>
          </w:p>
        </w:tc>
        <w:tc>
          <w:tcPr>
            <w:tcW w:w="1520" w:type="dxa"/>
            <w:tcBorders>
              <w:top w:val="single" w:sz="4" w:space="0" w:color="000000" w:themeColor="text1"/>
              <w:left w:val="nil"/>
              <w:bottom w:val="single" w:sz="4" w:space="0" w:color="000000" w:themeColor="text1"/>
              <w:right w:val="nil"/>
            </w:tcBorders>
            <w:vAlign w:val="bottom"/>
            <w:hideMark/>
          </w:tcPr>
          <w:p w14:paraId="63C79F26" w14:textId="77777777" w:rsidR="000F48FC" w:rsidRPr="000F48FC" w:rsidRDefault="000F48FC" w:rsidP="000F48FC">
            <w:pPr>
              <w:jc w:val="center"/>
              <w:rPr>
                <w:rFonts w:ascii="Calibri" w:eastAsia="Times New Roman" w:hAnsi="Calibri" w:cs="Calibri"/>
                <w:sz w:val="24"/>
                <w:szCs w:val="24"/>
              </w:rPr>
            </w:pPr>
            <w:r w:rsidRPr="000F48FC">
              <w:rPr>
                <w:rFonts w:ascii="Calibri" w:eastAsia="Times New Roman" w:hAnsi="Calibri" w:cs="Calibri"/>
                <w:sz w:val="24"/>
                <w:szCs w:val="24"/>
              </w:rPr>
              <w:t xml:space="preserve"> Restatement </w:t>
            </w:r>
          </w:p>
        </w:tc>
        <w:tc>
          <w:tcPr>
            <w:tcW w:w="1360" w:type="dxa"/>
            <w:tcBorders>
              <w:top w:val="single" w:sz="4" w:space="0" w:color="000000" w:themeColor="text1"/>
              <w:left w:val="nil"/>
              <w:bottom w:val="single" w:sz="4" w:space="0" w:color="000000" w:themeColor="text1"/>
              <w:right w:val="nil"/>
            </w:tcBorders>
            <w:vAlign w:val="bottom"/>
            <w:hideMark/>
          </w:tcPr>
          <w:p w14:paraId="7C315430" w14:textId="7089B207" w:rsidR="000F48FC" w:rsidRPr="000F48FC" w:rsidRDefault="000F48FC" w:rsidP="000F48FC">
            <w:pPr>
              <w:jc w:val="center"/>
              <w:rPr>
                <w:rFonts w:ascii="Calibri" w:eastAsia="Times New Roman" w:hAnsi="Calibri" w:cs="Calibri"/>
                <w:sz w:val="24"/>
                <w:szCs w:val="24"/>
              </w:rPr>
            </w:pPr>
            <w:r w:rsidRPr="000F48FC">
              <w:rPr>
                <w:rFonts w:ascii="Calibri" w:eastAsia="Times New Roman" w:hAnsi="Calibri" w:cs="Calibri"/>
                <w:sz w:val="24"/>
                <w:szCs w:val="24"/>
              </w:rPr>
              <w:t xml:space="preserve"> June 30, 2024 </w:t>
            </w:r>
            <w:r w:rsidR="00673096">
              <w:rPr>
                <w:rFonts w:ascii="Calibri" w:eastAsia="Times New Roman" w:hAnsi="Calibri" w:cs="Calibri"/>
                <w:sz w:val="24"/>
                <w:szCs w:val="24"/>
              </w:rPr>
              <w:t>A</w:t>
            </w:r>
            <w:r w:rsidRPr="000F48FC">
              <w:rPr>
                <w:rFonts w:ascii="Calibri" w:eastAsia="Times New Roman" w:hAnsi="Calibri" w:cs="Calibri"/>
                <w:sz w:val="24"/>
                <w:szCs w:val="24"/>
              </w:rPr>
              <w:t xml:space="preserve">s </w:t>
            </w:r>
            <w:r w:rsidR="00673096">
              <w:rPr>
                <w:rFonts w:ascii="Calibri" w:eastAsia="Times New Roman" w:hAnsi="Calibri" w:cs="Calibri"/>
                <w:sz w:val="24"/>
                <w:szCs w:val="24"/>
              </w:rPr>
              <w:t>R</w:t>
            </w:r>
            <w:r w:rsidRPr="000F48FC">
              <w:rPr>
                <w:rFonts w:ascii="Calibri" w:eastAsia="Times New Roman" w:hAnsi="Calibri" w:cs="Calibri"/>
                <w:sz w:val="24"/>
                <w:szCs w:val="24"/>
              </w:rPr>
              <w:t xml:space="preserve">estated </w:t>
            </w:r>
          </w:p>
        </w:tc>
      </w:tr>
      <w:tr w:rsidR="000F48FC" w:rsidRPr="000F48FC" w14:paraId="140125D9" w14:textId="77777777" w:rsidTr="00B35836">
        <w:trPr>
          <w:trHeight w:val="400"/>
          <w:jc w:val="center"/>
        </w:trPr>
        <w:tc>
          <w:tcPr>
            <w:tcW w:w="3870" w:type="dxa"/>
            <w:tcBorders>
              <w:top w:val="single" w:sz="4" w:space="0" w:color="000000" w:themeColor="text1"/>
              <w:left w:val="nil"/>
              <w:bottom w:val="nil"/>
              <w:right w:val="nil"/>
            </w:tcBorders>
            <w:noWrap/>
            <w:vAlign w:val="bottom"/>
            <w:hideMark/>
          </w:tcPr>
          <w:p w14:paraId="07C885A0" w14:textId="77777777" w:rsidR="000F48FC" w:rsidRPr="000F48FC" w:rsidRDefault="000F48FC" w:rsidP="00B85F19">
            <w:pPr>
              <w:rPr>
                <w:rFonts w:ascii="Calibri" w:eastAsia="Times New Roman" w:hAnsi="Calibri" w:cs="Calibri"/>
                <w:sz w:val="24"/>
                <w:szCs w:val="24"/>
              </w:rPr>
            </w:pPr>
            <w:r w:rsidRPr="000F48FC">
              <w:rPr>
                <w:rFonts w:ascii="Calibri" w:eastAsia="Times New Roman" w:hAnsi="Calibri" w:cs="Calibri"/>
                <w:sz w:val="24"/>
                <w:szCs w:val="24"/>
              </w:rPr>
              <w:t>Accrued liabilities - current</w:t>
            </w:r>
          </w:p>
        </w:tc>
        <w:tc>
          <w:tcPr>
            <w:tcW w:w="1570" w:type="dxa"/>
            <w:tcBorders>
              <w:top w:val="single" w:sz="4" w:space="0" w:color="000000" w:themeColor="text1"/>
              <w:left w:val="nil"/>
              <w:bottom w:val="nil"/>
              <w:right w:val="nil"/>
            </w:tcBorders>
            <w:noWrap/>
            <w:vAlign w:val="bottom"/>
            <w:hideMark/>
          </w:tcPr>
          <w:p w14:paraId="32BB04F9" w14:textId="34B27E04" w:rsidR="000F48FC" w:rsidRPr="00B85F19" w:rsidRDefault="000F48FC" w:rsidP="00B85F19">
            <w:pPr>
              <w:jc w:val="right"/>
              <w:rPr>
                <w:rFonts w:ascii="Calibri" w:eastAsia="Times New Roman" w:hAnsi="Calibri" w:cs="Calibri"/>
                <w:sz w:val="24"/>
                <w:szCs w:val="24"/>
              </w:rPr>
            </w:pPr>
            <w:r w:rsidRPr="00B85F19">
              <w:rPr>
                <w:rFonts w:ascii="Calibri" w:eastAsia="Times New Roman" w:hAnsi="Calibri" w:cs="Calibri"/>
                <w:sz w:val="24"/>
                <w:szCs w:val="24"/>
              </w:rPr>
              <w:t xml:space="preserve"> $26,687 </w:t>
            </w:r>
          </w:p>
        </w:tc>
        <w:tc>
          <w:tcPr>
            <w:tcW w:w="1520" w:type="dxa"/>
            <w:tcBorders>
              <w:top w:val="single" w:sz="4" w:space="0" w:color="000000" w:themeColor="text1"/>
              <w:left w:val="nil"/>
              <w:bottom w:val="nil"/>
              <w:right w:val="nil"/>
            </w:tcBorders>
            <w:noWrap/>
            <w:vAlign w:val="bottom"/>
            <w:hideMark/>
          </w:tcPr>
          <w:p w14:paraId="4BBA80A0" w14:textId="79F79A7B" w:rsidR="000F48FC" w:rsidRPr="000F48FC" w:rsidRDefault="000F48FC" w:rsidP="00B85F19">
            <w:pPr>
              <w:jc w:val="right"/>
              <w:rPr>
                <w:rFonts w:ascii="Calibri" w:eastAsia="Times New Roman" w:hAnsi="Calibri" w:cs="Calibri"/>
                <w:sz w:val="24"/>
                <w:szCs w:val="24"/>
              </w:rPr>
            </w:pPr>
            <w:r w:rsidRPr="000F48FC">
              <w:rPr>
                <w:rFonts w:ascii="Calibri" w:eastAsia="Times New Roman" w:hAnsi="Calibri" w:cs="Calibri"/>
                <w:sz w:val="24"/>
                <w:szCs w:val="24"/>
              </w:rPr>
              <w:t xml:space="preserve">$   561 </w:t>
            </w:r>
          </w:p>
        </w:tc>
        <w:tc>
          <w:tcPr>
            <w:tcW w:w="1360" w:type="dxa"/>
            <w:tcBorders>
              <w:top w:val="single" w:sz="4" w:space="0" w:color="000000" w:themeColor="text1"/>
              <w:left w:val="nil"/>
              <w:bottom w:val="nil"/>
              <w:right w:val="nil"/>
            </w:tcBorders>
            <w:noWrap/>
            <w:vAlign w:val="bottom"/>
            <w:hideMark/>
          </w:tcPr>
          <w:p w14:paraId="4CE54E7E" w14:textId="088D34F5" w:rsidR="000F48FC" w:rsidRPr="000F48FC" w:rsidRDefault="000F48FC" w:rsidP="00B85F19">
            <w:pPr>
              <w:jc w:val="right"/>
              <w:rPr>
                <w:rFonts w:ascii="Calibri" w:eastAsia="Times New Roman" w:hAnsi="Calibri" w:cs="Calibri"/>
                <w:sz w:val="24"/>
                <w:szCs w:val="24"/>
              </w:rPr>
            </w:pPr>
            <w:r w:rsidRPr="000F48FC">
              <w:rPr>
                <w:rFonts w:ascii="Calibri" w:eastAsia="Times New Roman" w:hAnsi="Calibri" w:cs="Calibri"/>
                <w:sz w:val="24"/>
                <w:szCs w:val="24"/>
              </w:rPr>
              <w:t xml:space="preserve"> $27,248 </w:t>
            </w:r>
          </w:p>
        </w:tc>
      </w:tr>
      <w:tr w:rsidR="000F48FC" w:rsidRPr="000F48FC" w14:paraId="5CD9202A" w14:textId="77777777" w:rsidTr="000F48FC">
        <w:trPr>
          <w:trHeight w:val="310"/>
          <w:jc w:val="center"/>
        </w:trPr>
        <w:tc>
          <w:tcPr>
            <w:tcW w:w="3870" w:type="dxa"/>
            <w:tcBorders>
              <w:top w:val="nil"/>
              <w:left w:val="nil"/>
              <w:bottom w:val="nil"/>
              <w:right w:val="nil"/>
            </w:tcBorders>
            <w:noWrap/>
            <w:vAlign w:val="bottom"/>
            <w:hideMark/>
          </w:tcPr>
          <w:p w14:paraId="0B15A2CB" w14:textId="77777777" w:rsidR="000F48FC" w:rsidRPr="000F48FC" w:rsidRDefault="000F48FC" w:rsidP="00B85F19">
            <w:pPr>
              <w:rPr>
                <w:rFonts w:ascii="Calibri" w:eastAsia="Times New Roman" w:hAnsi="Calibri" w:cs="Calibri"/>
                <w:sz w:val="24"/>
                <w:szCs w:val="24"/>
              </w:rPr>
            </w:pPr>
            <w:r w:rsidRPr="000F48FC">
              <w:rPr>
                <w:rFonts w:ascii="Calibri" w:eastAsia="Times New Roman" w:hAnsi="Calibri" w:cs="Calibri"/>
                <w:sz w:val="24"/>
                <w:szCs w:val="24"/>
              </w:rPr>
              <w:t>Accrued liabilities - noncurrent</w:t>
            </w:r>
          </w:p>
        </w:tc>
        <w:tc>
          <w:tcPr>
            <w:tcW w:w="1570" w:type="dxa"/>
            <w:tcBorders>
              <w:top w:val="nil"/>
              <w:left w:val="nil"/>
              <w:bottom w:val="nil"/>
              <w:right w:val="nil"/>
            </w:tcBorders>
            <w:noWrap/>
            <w:vAlign w:val="bottom"/>
            <w:hideMark/>
          </w:tcPr>
          <w:p w14:paraId="5812F89F" w14:textId="2BAD3875" w:rsidR="000F48FC" w:rsidRPr="000F48FC" w:rsidRDefault="000F48FC" w:rsidP="00B85F19">
            <w:pPr>
              <w:jc w:val="right"/>
              <w:rPr>
                <w:rFonts w:ascii="Calibri" w:eastAsia="Times New Roman" w:hAnsi="Calibri" w:cs="Calibri"/>
                <w:sz w:val="24"/>
                <w:szCs w:val="24"/>
              </w:rPr>
            </w:pPr>
            <w:r w:rsidRPr="000F48FC">
              <w:rPr>
                <w:rFonts w:ascii="Calibri" w:eastAsia="Times New Roman" w:hAnsi="Calibri" w:cs="Calibri"/>
                <w:sz w:val="24"/>
                <w:szCs w:val="24"/>
              </w:rPr>
              <w:t xml:space="preserve"> $48,303 </w:t>
            </w:r>
          </w:p>
        </w:tc>
        <w:tc>
          <w:tcPr>
            <w:tcW w:w="1520" w:type="dxa"/>
            <w:tcBorders>
              <w:top w:val="nil"/>
              <w:left w:val="nil"/>
              <w:bottom w:val="nil"/>
              <w:right w:val="nil"/>
            </w:tcBorders>
            <w:noWrap/>
            <w:vAlign w:val="bottom"/>
            <w:hideMark/>
          </w:tcPr>
          <w:p w14:paraId="6AD8D269" w14:textId="3563A757" w:rsidR="000F48FC" w:rsidRPr="000F48FC" w:rsidRDefault="000F48FC" w:rsidP="00B85F19">
            <w:pPr>
              <w:jc w:val="right"/>
              <w:rPr>
                <w:rFonts w:ascii="Calibri" w:eastAsia="Times New Roman" w:hAnsi="Calibri" w:cs="Calibri"/>
                <w:sz w:val="24"/>
                <w:szCs w:val="24"/>
              </w:rPr>
            </w:pPr>
            <w:r w:rsidRPr="000F48FC">
              <w:rPr>
                <w:rFonts w:ascii="Calibri" w:eastAsia="Times New Roman" w:hAnsi="Calibri" w:cs="Calibri"/>
                <w:sz w:val="24"/>
                <w:szCs w:val="24"/>
              </w:rPr>
              <w:t xml:space="preserve"> $3,134 </w:t>
            </w:r>
          </w:p>
        </w:tc>
        <w:tc>
          <w:tcPr>
            <w:tcW w:w="1360" w:type="dxa"/>
            <w:tcBorders>
              <w:top w:val="nil"/>
              <w:left w:val="nil"/>
              <w:bottom w:val="nil"/>
              <w:right w:val="nil"/>
            </w:tcBorders>
            <w:noWrap/>
            <w:vAlign w:val="bottom"/>
            <w:hideMark/>
          </w:tcPr>
          <w:p w14:paraId="1B0D0081" w14:textId="478606EE" w:rsidR="000F48FC" w:rsidRPr="000F48FC" w:rsidRDefault="000F48FC" w:rsidP="00B85F19">
            <w:pPr>
              <w:jc w:val="right"/>
              <w:rPr>
                <w:rFonts w:ascii="Calibri" w:eastAsia="Times New Roman" w:hAnsi="Calibri" w:cs="Calibri"/>
                <w:sz w:val="24"/>
                <w:szCs w:val="24"/>
              </w:rPr>
            </w:pPr>
            <w:r w:rsidRPr="000F48FC">
              <w:rPr>
                <w:rFonts w:ascii="Calibri" w:eastAsia="Times New Roman" w:hAnsi="Calibri" w:cs="Calibri"/>
                <w:sz w:val="24"/>
                <w:szCs w:val="24"/>
              </w:rPr>
              <w:t xml:space="preserve"> $51,437 </w:t>
            </w:r>
          </w:p>
        </w:tc>
      </w:tr>
      <w:tr w:rsidR="000F48FC" w:rsidRPr="000F48FC" w14:paraId="6591ADCB" w14:textId="77777777" w:rsidTr="000F48FC">
        <w:trPr>
          <w:trHeight w:val="310"/>
          <w:jc w:val="center"/>
        </w:trPr>
        <w:tc>
          <w:tcPr>
            <w:tcW w:w="3870" w:type="dxa"/>
            <w:tcBorders>
              <w:top w:val="nil"/>
              <w:left w:val="nil"/>
              <w:bottom w:val="nil"/>
              <w:right w:val="nil"/>
            </w:tcBorders>
            <w:noWrap/>
            <w:vAlign w:val="bottom"/>
            <w:hideMark/>
          </w:tcPr>
          <w:p w14:paraId="10B3DA28" w14:textId="77777777" w:rsidR="000F48FC" w:rsidRPr="000F48FC" w:rsidRDefault="000F48FC" w:rsidP="00B85F19">
            <w:pPr>
              <w:rPr>
                <w:rFonts w:ascii="Calibri" w:eastAsia="Times New Roman" w:hAnsi="Calibri" w:cs="Calibri"/>
                <w:sz w:val="24"/>
                <w:szCs w:val="24"/>
              </w:rPr>
            </w:pPr>
            <w:r w:rsidRPr="000F48FC">
              <w:rPr>
                <w:rFonts w:ascii="Calibri" w:eastAsia="Times New Roman" w:hAnsi="Calibri" w:cs="Calibri"/>
                <w:sz w:val="24"/>
                <w:szCs w:val="24"/>
              </w:rPr>
              <w:t>Institutional support expense</w:t>
            </w:r>
          </w:p>
        </w:tc>
        <w:tc>
          <w:tcPr>
            <w:tcW w:w="1570" w:type="dxa"/>
            <w:tcBorders>
              <w:top w:val="nil"/>
              <w:left w:val="nil"/>
              <w:bottom w:val="nil"/>
              <w:right w:val="nil"/>
            </w:tcBorders>
            <w:noWrap/>
            <w:vAlign w:val="bottom"/>
            <w:hideMark/>
          </w:tcPr>
          <w:p w14:paraId="5EC4DD69" w14:textId="0141A7E1" w:rsidR="000F48FC" w:rsidRPr="000F48FC" w:rsidRDefault="000F48FC" w:rsidP="00B85F19">
            <w:pPr>
              <w:jc w:val="right"/>
              <w:rPr>
                <w:rFonts w:ascii="Calibri" w:eastAsia="Times New Roman" w:hAnsi="Calibri" w:cs="Calibri"/>
                <w:sz w:val="24"/>
                <w:szCs w:val="24"/>
              </w:rPr>
            </w:pPr>
            <w:r w:rsidRPr="000F48FC">
              <w:rPr>
                <w:rFonts w:ascii="Calibri" w:eastAsia="Times New Roman" w:hAnsi="Calibri" w:cs="Calibri"/>
                <w:sz w:val="24"/>
                <w:szCs w:val="24"/>
              </w:rPr>
              <w:t xml:space="preserve"> $78,583 </w:t>
            </w:r>
          </w:p>
        </w:tc>
        <w:tc>
          <w:tcPr>
            <w:tcW w:w="1520" w:type="dxa"/>
            <w:tcBorders>
              <w:top w:val="nil"/>
              <w:left w:val="nil"/>
              <w:bottom w:val="nil"/>
              <w:right w:val="nil"/>
            </w:tcBorders>
            <w:noWrap/>
            <w:vAlign w:val="bottom"/>
            <w:hideMark/>
          </w:tcPr>
          <w:p w14:paraId="416EFDC8" w14:textId="67EA52C0" w:rsidR="000F48FC" w:rsidRPr="000F48FC" w:rsidRDefault="000F48FC" w:rsidP="00B85F19">
            <w:pPr>
              <w:jc w:val="right"/>
              <w:rPr>
                <w:rFonts w:ascii="Calibri" w:eastAsia="Times New Roman" w:hAnsi="Calibri" w:cs="Calibri"/>
                <w:sz w:val="24"/>
                <w:szCs w:val="24"/>
              </w:rPr>
            </w:pPr>
            <w:r w:rsidRPr="000F48FC">
              <w:rPr>
                <w:rFonts w:ascii="Calibri" w:eastAsia="Times New Roman" w:hAnsi="Calibri" w:cs="Calibri"/>
                <w:sz w:val="24"/>
                <w:szCs w:val="24"/>
              </w:rPr>
              <w:t xml:space="preserve"> $   297 </w:t>
            </w:r>
          </w:p>
        </w:tc>
        <w:tc>
          <w:tcPr>
            <w:tcW w:w="1360" w:type="dxa"/>
            <w:tcBorders>
              <w:top w:val="nil"/>
              <w:left w:val="nil"/>
              <w:bottom w:val="nil"/>
              <w:right w:val="nil"/>
            </w:tcBorders>
            <w:noWrap/>
            <w:vAlign w:val="bottom"/>
            <w:hideMark/>
          </w:tcPr>
          <w:p w14:paraId="5A0AA611" w14:textId="651F12CF" w:rsidR="000F48FC" w:rsidRPr="000F48FC" w:rsidRDefault="000F48FC" w:rsidP="00B85F19">
            <w:pPr>
              <w:jc w:val="right"/>
              <w:rPr>
                <w:rFonts w:ascii="Calibri" w:eastAsia="Times New Roman" w:hAnsi="Calibri" w:cs="Calibri"/>
                <w:sz w:val="24"/>
                <w:szCs w:val="24"/>
              </w:rPr>
            </w:pPr>
            <w:r w:rsidRPr="000F48FC">
              <w:rPr>
                <w:rFonts w:ascii="Calibri" w:eastAsia="Times New Roman" w:hAnsi="Calibri" w:cs="Calibri"/>
                <w:sz w:val="24"/>
                <w:szCs w:val="24"/>
              </w:rPr>
              <w:t xml:space="preserve"> $78,880 </w:t>
            </w:r>
          </w:p>
        </w:tc>
      </w:tr>
      <w:tr w:rsidR="000F48FC" w:rsidRPr="000F48FC" w14:paraId="4B02DB79" w14:textId="77777777" w:rsidTr="000F48FC">
        <w:trPr>
          <w:trHeight w:val="290"/>
          <w:jc w:val="center"/>
        </w:trPr>
        <w:tc>
          <w:tcPr>
            <w:tcW w:w="3870" w:type="dxa"/>
            <w:tcBorders>
              <w:top w:val="nil"/>
              <w:left w:val="nil"/>
              <w:bottom w:val="nil"/>
              <w:right w:val="nil"/>
            </w:tcBorders>
            <w:noWrap/>
            <w:vAlign w:val="bottom"/>
            <w:hideMark/>
          </w:tcPr>
          <w:p w14:paraId="20C539DC" w14:textId="77777777" w:rsidR="000F48FC" w:rsidRPr="000F48FC" w:rsidRDefault="000F48FC" w:rsidP="000F48FC">
            <w:pPr>
              <w:rPr>
                <w:rFonts w:ascii="Calibri" w:eastAsia="Times New Roman" w:hAnsi="Calibri" w:cs="Calibri"/>
                <w:sz w:val="24"/>
                <w:szCs w:val="24"/>
              </w:rPr>
            </w:pPr>
          </w:p>
        </w:tc>
        <w:tc>
          <w:tcPr>
            <w:tcW w:w="1570" w:type="dxa"/>
            <w:tcBorders>
              <w:top w:val="nil"/>
              <w:left w:val="nil"/>
              <w:bottom w:val="nil"/>
              <w:right w:val="nil"/>
            </w:tcBorders>
            <w:noWrap/>
            <w:vAlign w:val="bottom"/>
            <w:hideMark/>
          </w:tcPr>
          <w:p w14:paraId="49498317" w14:textId="77777777" w:rsidR="000F48FC" w:rsidRPr="000F48FC" w:rsidRDefault="000F48FC" w:rsidP="000F48FC">
            <w:pPr>
              <w:rPr>
                <w:rFonts w:ascii="Times New Roman" w:eastAsia="Times New Roman" w:hAnsi="Times New Roman" w:cs="Times New Roman"/>
                <w:sz w:val="20"/>
                <w:szCs w:val="20"/>
              </w:rPr>
            </w:pPr>
          </w:p>
        </w:tc>
        <w:tc>
          <w:tcPr>
            <w:tcW w:w="1520" w:type="dxa"/>
            <w:tcBorders>
              <w:top w:val="nil"/>
              <w:left w:val="nil"/>
              <w:bottom w:val="nil"/>
              <w:right w:val="nil"/>
            </w:tcBorders>
            <w:noWrap/>
            <w:vAlign w:val="bottom"/>
            <w:hideMark/>
          </w:tcPr>
          <w:p w14:paraId="2436DEDA" w14:textId="77777777" w:rsidR="000F48FC" w:rsidRPr="000F48FC" w:rsidRDefault="000F48FC" w:rsidP="000F48FC">
            <w:pPr>
              <w:rPr>
                <w:rFonts w:ascii="Times New Roman" w:eastAsia="Times New Roman" w:hAnsi="Times New Roman" w:cs="Times New Roman"/>
                <w:sz w:val="20"/>
                <w:szCs w:val="20"/>
              </w:rPr>
            </w:pPr>
          </w:p>
        </w:tc>
        <w:tc>
          <w:tcPr>
            <w:tcW w:w="1360" w:type="dxa"/>
            <w:tcBorders>
              <w:top w:val="nil"/>
              <w:left w:val="nil"/>
              <w:bottom w:val="nil"/>
              <w:right w:val="nil"/>
            </w:tcBorders>
            <w:noWrap/>
            <w:vAlign w:val="bottom"/>
            <w:hideMark/>
          </w:tcPr>
          <w:p w14:paraId="68100E56" w14:textId="77777777" w:rsidR="000F48FC" w:rsidRPr="000F48FC" w:rsidRDefault="000F48FC" w:rsidP="000F48FC">
            <w:pPr>
              <w:rPr>
                <w:rFonts w:ascii="Times New Roman" w:eastAsia="Times New Roman" w:hAnsi="Times New Roman" w:cs="Times New Roman"/>
                <w:sz w:val="20"/>
                <w:szCs w:val="20"/>
              </w:rPr>
            </w:pPr>
          </w:p>
        </w:tc>
      </w:tr>
    </w:tbl>
    <w:p w14:paraId="7837891D" w14:textId="1E552D31" w:rsidR="001B6918" w:rsidRPr="00BB6E99" w:rsidRDefault="001B6918" w:rsidP="001B6918">
      <w:pPr>
        <w:spacing w:after="160"/>
        <w:jc w:val="center"/>
        <w:rPr>
          <w:rFonts w:cstheme="minorHAnsi"/>
          <w:sz w:val="24"/>
          <w:szCs w:val="24"/>
          <w:u w:color="000000" w:themeColor="text1"/>
        </w:rPr>
      </w:pPr>
    </w:p>
    <w:p w14:paraId="1F2A3E4F" w14:textId="77777777" w:rsidR="00937491" w:rsidRDefault="00937491" w:rsidP="001B6918">
      <w:pPr>
        <w:spacing w:after="160"/>
        <w:rPr>
          <w:rFonts w:cstheme="minorHAnsi"/>
          <w:b/>
          <w:i/>
          <w:color w:val="FF0000"/>
          <w:sz w:val="26"/>
          <w:szCs w:val="26"/>
          <w:u w:color="000000" w:themeColor="text1"/>
        </w:rPr>
      </w:pPr>
    </w:p>
    <w:p w14:paraId="52CCD918" w14:textId="77777777" w:rsidR="001B6918" w:rsidRPr="005E061E" w:rsidRDefault="001B6918" w:rsidP="001B6918">
      <w:pPr>
        <w:rPr>
          <w:rFonts w:cstheme="minorHAnsi"/>
          <w:color w:val="FF0000"/>
          <w:sz w:val="26"/>
          <w:szCs w:val="26"/>
          <w:u w:color="000000" w:themeColor="text1"/>
        </w:rPr>
        <w:sectPr w:rsidR="001B6918" w:rsidRPr="005E061E" w:rsidSect="00DC059D">
          <w:headerReference w:type="default" r:id="rId49"/>
          <w:headerReference w:type="first" r:id="rId50"/>
          <w:footerReference w:type="first" r:id="rId51"/>
          <w:type w:val="nextColumn"/>
          <w:pgSz w:w="12240" w:h="15840" w:code="1"/>
          <w:pgMar w:top="1440" w:right="1152" w:bottom="1440" w:left="1152" w:header="720" w:footer="720" w:gutter="0"/>
          <w:cols w:space="0"/>
          <w:titlePg/>
          <w:docGrid w:linePitch="360"/>
        </w:sectPr>
      </w:pPr>
    </w:p>
    <w:p w14:paraId="17B1495C" w14:textId="77777777" w:rsidR="001B6918" w:rsidRPr="004E6649" w:rsidRDefault="001B6918" w:rsidP="001B6918">
      <w:pPr>
        <w:pBdr>
          <w:bottom w:val="single" w:sz="4" w:space="1" w:color="auto"/>
        </w:pBdr>
        <w:rPr>
          <w:rFonts w:cstheme="minorHAnsi"/>
          <w:b/>
          <w:i/>
          <w:smallCaps/>
          <w:sz w:val="24"/>
          <w:szCs w:val="24"/>
          <w:u w:color="000000" w:themeColor="text1"/>
        </w:rPr>
      </w:pPr>
      <w:r w:rsidRPr="004E6649">
        <w:rPr>
          <w:rFonts w:cstheme="minorHAnsi"/>
          <w:b/>
          <w:i/>
          <w:smallCaps/>
          <w:sz w:val="24"/>
          <w:szCs w:val="24"/>
          <w:u w:color="000000" w:themeColor="text1"/>
        </w:rPr>
        <w:lastRenderedPageBreak/>
        <w:t>UNIVERSITY OF MAINE SYSTEM</w:t>
      </w:r>
    </w:p>
    <w:p w14:paraId="07580785" w14:textId="77777777" w:rsidR="001B6918" w:rsidRPr="004E6649" w:rsidRDefault="001B6918" w:rsidP="001B6918">
      <w:pPr>
        <w:pStyle w:val="AFR1"/>
        <w:pBdr>
          <w:bottom w:val="single" w:sz="4" w:space="1" w:color="auto"/>
        </w:pBdr>
        <w:spacing w:after="0"/>
        <w:rPr>
          <w:rFonts w:asciiTheme="minorHAnsi" w:hAnsiTheme="minorHAnsi" w:cstheme="minorHAnsi"/>
          <w:smallCaps/>
          <w:sz w:val="18"/>
          <w:szCs w:val="22"/>
        </w:rPr>
      </w:pPr>
      <w:bookmarkStart w:id="17" w:name="RSI"/>
      <w:r w:rsidRPr="004E6649">
        <w:rPr>
          <w:rFonts w:asciiTheme="minorHAnsi" w:hAnsiTheme="minorHAnsi" w:cstheme="minorHAnsi"/>
          <w:caps w:val="0"/>
          <w:smallCaps/>
          <w:sz w:val="24"/>
          <w:szCs w:val="32"/>
        </w:rPr>
        <w:t>REQUIRED SUPPLEMENTAL INFORMATION – RETIREMENT AND OPEB PLANS</w:t>
      </w:r>
      <w:r w:rsidRPr="004E6649">
        <w:rPr>
          <w:rFonts w:asciiTheme="minorHAnsi" w:hAnsiTheme="minorHAnsi" w:cstheme="minorHAnsi"/>
          <w:caps w:val="0"/>
          <w:smallCaps/>
          <w:sz w:val="18"/>
          <w:szCs w:val="22"/>
        </w:rPr>
        <w:t xml:space="preserve"> </w:t>
      </w:r>
    </w:p>
    <w:bookmarkEnd w:id="17"/>
    <w:p w14:paraId="57253C87" w14:textId="77777777" w:rsidR="001B6918" w:rsidRPr="004E6649" w:rsidRDefault="001B6918" w:rsidP="001B6918">
      <w:pPr>
        <w:pBdr>
          <w:bottom w:val="single" w:sz="4" w:space="1" w:color="auto"/>
        </w:pBdr>
        <w:rPr>
          <w:rFonts w:cstheme="minorHAnsi"/>
          <w:b/>
          <w:i/>
          <w:smallCaps/>
          <w:sz w:val="24"/>
          <w:szCs w:val="24"/>
        </w:rPr>
      </w:pPr>
      <w:r w:rsidRPr="004E6649">
        <w:rPr>
          <w:rFonts w:cstheme="minorHAnsi"/>
          <w:b/>
          <w:i/>
          <w:smallCaps/>
          <w:sz w:val="24"/>
          <w:szCs w:val="24"/>
        </w:rPr>
        <w:t>YEAR ENDED JUNE 30, 202</w:t>
      </w:r>
      <w:r>
        <w:rPr>
          <w:rFonts w:cstheme="minorHAnsi"/>
          <w:b/>
          <w:i/>
          <w:smallCaps/>
          <w:sz w:val="24"/>
          <w:szCs w:val="24"/>
        </w:rPr>
        <w:t>4</w:t>
      </w:r>
      <w:r w:rsidRPr="004E6649">
        <w:rPr>
          <w:rFonts w:cstheme="minorHAnsi"/>
          <w:b/>
          <w:i/>
          <w:smallCaps/>
          <w:sz w:val="24"/>
          <w:szCs w:val="24"/>
        </w:rPr>
        <w:t xml:space="preserve"> (UNAUDITED)</w:t>
      </w:r>
    </w:p>
    <w:p w14:paraId="4A8FDE42" w14:textId="77777777" w:rsidR="001B6918" w:rsidRPr="004E6649" w:rsidRDefault="001B6918" w:rsidP="001B6918">
      <w:pPr>
        <w:pBdr>
          <w:bottom w:val="single" w:sz="4" w:space="1" w:color="auto"/>
        </w:pBdr>
        <w:rPr>
          <w:rFonts w:cstheme="minorHAnsi"/>
          <w:b/>
          <w:i/>
          <w:smallCaps/>
        </w:rPr>
      </w:pPr>
      <w:r w:rsidRPr="004E6649">
        <w:rPr>
          <w:rFonts w:cstheme="minorHAnsi"/>
          <w:b/>
          <w:i/>
          <w:smallCaps/>
        </w:rPr>
        <w:t>(IN THOUSANDS)</w:t>
      </w:r>
    </w:p>
    <w:p w14:paraId="0C4E744E" w14:textId="77777777" w:rsidR="001B6918" w:rsidRPr="004E6649" w:rsidRDefault="001B6918" w:rsidP="001B6918">
      <w:pPr>
        <w:pStyle w:val="AFR2"/>
        <w:spacing w:before="240" w:after="0"/>
        <w:rPr>
          <w:rFonts w:cstheme="minorHAnsi"/>
          <w:sz w:val="24"/>
          <w:szCs w:val="24"/>
        </w:rPr>
      </w:pPr>
      <w:r w:rsidRPr="004E6649">
        <w:rPr>
          <w:rFonts w:cstheme="minorHAnsi"/>
          <w:sz w:val="24"/>
          <w:szCs w:val="24"/>
        </w:rPr>
        <w:t>INCENTIVE RETIREMENT PLAN:</w:t>
      </w:r>
    </w:p>
    <w:p w14:paraId="38D07E26" w14:textId="77777777" w:rsidR="001B6918" w:rsidRPr="004E6649" w:rsidRDefault="001B6918" w:rsidP="001B6918">
      <w:pPr>
        <w:spacing w:before="120"/>
        <w:jc w:val="center"/>
        <w:rPr>
          <w:rFonts w:eastAsia="Franklin Gothic Book" w:cstheme="minorHAnsi"/>
          <w:b/>
          <w:sz w:val="24"/>
          <w:szCs w:val="28"/>
        </w:rPr>
      </w:pPr>
      <w:r w:rsidRPr="004E6649">
        <w:rPr>
          <w:rFonts w:eastAsia="Times New Roman" w:cstheme="minorHAnsi"/>
          <w:b/>
          <w:bCs/>
          <w:color w:val="0D0D0D"/>
        </w:rPr>
        <w:fldChar w:fldCharType="begin"/>
      </w:r>
      <w:r w:rsidRPr="004E6649">
        <w:rPr>
          <w:rFonts w:eastAsia="Times New Roman" w:cstheme="minorHAnsi"/>
          <w:b/>
          <w:bCs/>
          <w:color w:val="0D0D0D"/>
        </w:rPr>
        <w:fldChar w:fldCharType="end"/>
      </w:r>
      <w:r w:rsidRPr="004E6649">
        <w:rPr>
          <w:rFonts w:eastAsia="Times New Roman" w:cstheme="minorHAnsi"/>
          <w:b/>
          <w:bCs/>
          <w:color w:val="0D0D0D"/>
        </w:rPr>
        <w:t>Changes in Total Pension Liability and Related Ratios</w:t>
      </w:r>
    </w:p>
    <w:tbl>
      <w:tblPr>
        <w:tblW w:w="13860" w:type="dxa"/>
        <w:jc w:val="center"/>
        <w:tblBorders>
          <w:bottom w:val="single" w:sz="4" w:space="0" w:color="auto"/>
        </w:tblBorders>
        <w:tblLayout w:type="fixed"/>
        <w:tblCellMar>
          <w:left w:w="72" w:type="dxa"/>
          <w:right w:w="72" w:type="dxa"/>
        </w:tblCellMar>
        <w:tblLook w:val="04A0" w:firstRow="1" w:lastRow="0" w:firstColumn="1" w:lastColumn="0" w:noHBand="0" w:noVBand="1"/>
      </w:tblPr>
      <w:tblGrid>
        <w:gridCol w:w="4450"/>
        <w:gridCol w:w="941"/>
        <w:gridCol w:w="941"/>
        <w:gridCol w:w="941"/>
        <w:gridCol w:w="941"/>
        <w:gridCol w:w="941"/>
        <w:gridCol w:w="941"/>
        <w:gridCol w:w="943"/>
        <w:gridCol w:w="939"/>
        <w:gridCol w:w="941"/>
        <w:gridCol w:w="941"/>
      </w:tblGrid>
      <w:tr w:rsidR="001B6918" w:rsidRPr="004E6649" w14:paraId="12A97F18" w14:textId="77777777" w:rsidTr="00D163A9">
        <w:trPr>
          <w:trHeight w:val="368"/>
          <w:tblHeader/>
          <w:jc w:val="center"/>
        </w:trPr>
        <w:tc>
          <w:tcPr>
            <w:tcW w:w="4450" w:type="dxa"/>
            <w:shd w:val="clear" w:color="000000" w:fill="FFFFFF"/>
            <w:vAlign w:val="bottom"/>
            <w:hideMark/>
          </w:tcPr>
          <w:p w14:paraId="318438EB" w14:textId="77777777" w:rsidR="001B6918" w:rsidRPr="004E6649" w:rsidRDefault="001B6918" w:rsidP="00730ECF">
            <w:pPr>
              <w:ind w:left="-67"/>
              <w:rPr>
                <w:rFonts w:eastAsia="Times New Roman" w:cstheme="minorHAnsi"/>
                <w:b/>
                <w:bCs/>
                <w:color w:val="0D0D0D"/>
              </w:rPr>
            </w:pPr>
            <w:r w:rsidRPr="004E6649">
              <w:rPr>
                <w:rFonts w:eastAsia="Times New Roman" w:cstheme="minorHAnsi"/>
                <w:b/>
                <w:bCs/>
                <w:color w:val="0D0D0D"/>
              </w:rPr>
              <w:t>Fiscal Year Ended June 30</w:t>
            </w:r>
          </w:p>
        </w:tc>
        <w:tc>
          <w:tcPr>
            <w:tcW w:w="941" w:type="dxa"/>
            <w:shd w:val="clear" w:color="auto" w:fill="F2F2F2" w:themeFill="background1" w:themeFillShade="F2"/>
          </w:tcPr>
          <w:p w14:paraId="3888634B" w14:textId="77777777" w:rsidR="001B6918" w:rsidRPr="00CE5579" w:rsidRDefault="001B6918" w:rsidP="00730ECF">
            <w:pPr>
              <w:jc w:val="center"/>
              <w:rPr>
                <w:rFonts w:eastAsia="Times New Roman" w:cstheme="minorHAnsi"/>
                <w:b/>
                <w:bCs/>
                <w:color w:val="0D0D0D"/>
              </w:rPr>
            </w:pPr>
          </w:p>
          <w:p w14:paraId="6355F881" w14:textId="77777777" w:rsidR="001B6918" w:rsidRPr="00E21531" w:rsidRDefault="001B6918" w:rsidP="00730ECF">
            <w:pPr>
              <w:jc w:val="center"/>
              <w:rPr>
                <w:rFonts w:eastAsia="Times New Roman" w:cstheme="minorHAnsi"/>
                <w:b/>
                <w:bCs/>
                <w:color w:val="0D0D0D"/>
              </w:rPr>
            </w:pPr>
            <w:r w:rsidRPr="005D19AA">
              <w:rPr>
                <w:rFonts w:eastAsia="Times New Roman" w:cstheme="minorHAnsi"/>
                <w:b/>
                <w:bCs/>
                <w:color w:val="0D0D0D"/>
              </w:rPr>
              <w:t>2025</w:t>
            </w:r>
          </w:p>
        </w:tc>
        <w:tc>
          <w:tcPr>
            <w:tcW w:w="941" w:type="dxa"/>
            <w:shd w:val="clear" w:color="auto" w:fill="FFFFFF" w:themeFill="background1"/>
            <w:vAlign w:val="bottom"/>
          </w:tcPr>
          <w:p w14:paraId="742B58E8" w14:textId="77777777" w:rsidR="001B6918" w:rsidRPr="004F788C" w:rsidRDefault="001B6918" w:rsidP="00730ECF">
            <w:pPr>
              <w:jc w:val="center"/>
              <w:rPr>
                <w:rFonts w:eastAsia="Times New Roman" w:cstheme="minorHAnsi"/>
                <w:b/>
                <w:bCs/>
                <w:color w:val="0D0D0D"/>
              </w:rPr>
            </w:pPr>
            <w:r w:rsidRPr="004F788C">
              <w:rPr>
                <w:rFonts w:eastAsia="Times New Roman" w:cstheme="minorHAnsi"/>
                <w:b/>
                <w:bCs/>
                <w:color w:val="0D0D0D"/>
              </w:rPr>
              <w:t>2024</w:t>
            </w:r>
          </w:p>
        </w:tc>
        <w:tc>
          <w:tcPr>
            <w:tcW w:w="941" w:type="dxa"/>
            <w:shd w:val="clear" w:color="auto" w:fill="F2F2F2" w:themeFill="background1" w:themeFillShade="F2"/>
            <w:vAlign w:val="bottom"/>
          </w:tcPr>
          <w:p w14:paraId="3DFEB9A3" w14:textId="77777777" w:rsidR="001B6918" w:rsidRPr="00CE5579" w:rsidRDefault="001B6918" w:rsidP="00730ECF">
            <w:pPr>
              <w:jc w:val="center"/>
              <w:rPr>
                <w:rFonts w:eastAsia="Times New Roman" w:cstheme="minorHAnsi"/>
                <w:b/>
                <w:bCs/>
                <w:color w:val="0D0D0D"/>
              </w:rPr>
            </w:pPr>
            <w:r w:rsidRPr="00CE5579">
              <w:rPr>
                <w:rFonts w:eastAsia="Times New Roman" w:cstheme="minorHAnsi"/>
                <w:b/>
                <w:bCs/>
                <w:color w:val="0D0D0D"/>
              </w:rPr>
              <w:t>2023</w:t>
            </w:r>
          </w:p>
        </w:tc>
        <w:tc>
          <w:tcPr>
            <w:tcW w:w="941" w:type="dxa"/>
            <w:shd w:val="clear" w:color="auto" w:fill="FFFFFF" w:themeFill="background1"/>
            <w:vAlign w:val="bottom"/>
          </w:tcPr>
          <w:p w14:paraId="702477B5"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2022</w:t>
            </w:r>
          </w:p>
        </w:tc>
        <w:tc>
          <w:tcPr>
            <w:tcW w:w="941" w:type="dxa"/>
            <w:shd w:val="clear" w:color="auto" w:fill="F2F2F2" w:themeFill="background1" w:themeFillShade="F2"/>
            <w:vAlign w:val="bottom"/>
          </w:tcPr>
          <w:p w14:paraId="42113E42"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2021</w:t>
            </w:r>
          </w:p>
        </w:tc>
        <w:tc>
          <w:tcPr>
            <w:tcW w:w="941" w:type="dxa"/>
            <w:shd w:val="clear" w:color="000000" w:fill="FFFFFF"/>
            <w:noWrap/>
            <w:vAlign w:val="bottom"/>
            <w:hideMark/>
          </w:tcPr>
          <w:p w14:paraId="2A8E4C36"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2020</w:t>
            </w:r>
          </w:p>
        </w:tc>
        <w:tc>
          <w:tcPr>
            <w:tcW w:w="943" w:type="dxa"/>
            <w:shd w:val="clear" w:color="auto" w:fill="F2F2F2" w:themeFill="background1" w:themeFillShade="F2"/>
            <w:noWrap/>
            <w:vAlign w:val="bottom"/>
            <w:hideMark/>
          </w:tcPr>
          <w:p w14:paraId="300E6C1D"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2019</w:t>
            </w:r>
          </w:p>
        </w:tc>
        <w:tc>
          <w:tcPr>
            <w:tcW w:w="939" w:type="dxa"/>
            <w:shd w:val="clear" w:color="000000" w:fill="FFFFFF"/>
            <w:noWrap/>
            <w:vAlign w:val="bottom"/>
            <w:hideMark/>
          </w:tcPr>
          <w:p w14:paraId="34566CBA"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2018</w:t>
            </w:r>
          </w:p>
        </w:tc>
        <w:tc>
          <w:tcPr>
            <w:tcW w:w="941" w:type="dxa"/>
            <w:shd w:val="clear" w:color="auto" w:fill="F2F2F2" w:themeFill="background1" w:themeFillShade="F2"/>
            <w:noWrap/>
            <w:vAlign w:val="bottom"/>
            <w:hideMark/>
          </w:tcPr>
          <w:p w14:paraId="7295ED64"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2017</w:t>
            </w:r>
          </w:p>
        </w:tc>
        <w:tc>
          <w:tcPr>
            <w:tcW w:w="941" w:type="dxa"/>
            <w:shd w:val="clear" w:color="000000" w:fill="FFFFFF"/>
            <w:noWrap/>
            <w:vAlign w:val="bottom"/>
            <w:hideMark/>
          </w:tcPr>
          <w:p w14:paraId="7CC0FCA7"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2016</w:t>
            </w:r>
          </w:p>
        </w:tc>
      </w:tr>
      <w:tr w:rsidR="001B6918" w:rsidRPr="004E6649" w14:paraId="2F0D7065" w14:textId="77777777" w:rsidTr="00D163A9">
        <w:trPr>
          <w:trHeight w:val="276"/>
          <w:jc w:val="center"/>
        </w:trPr>
        <w:tc>
          <w:tcPr>
            <w:tcW w:w="4450" w:type="dxa"/>
            <w:shd w:val="clear" w:color="000000" w:fill="FFFFFF"/>
            <w:vAlign w:val="bottom"/>
            <w:hideMark/>
          </w:tcPr>
          <w:p w14:paraId="0B7D68E7"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Service cost</w:t>
            </w:r>
          </w:p>
        </w:tc>
        <w:tc>
          <w:tcPr>
            <w:tcW w:w="941" w:type="dxa"/>
            <w:shd w:val="clear" w:color="auto" w:fill="F2F2F2" w:themeFill="background1" w:themeFillShade="F2"/>
            <w:vAlign w:val="bottom"/>
          </w:tcPr>
          <w:p w14:paraId="652E2DB3" w14:textId="77777777" w:rsidR="001B6918" w:rsidRPr="00F96B39" w:rsidRDefault="001B6918" w:rsidP="00730ECF">
            <w:pPr>
              <w:jc w:val="right"/>
              <w:rPr>
                <w:rFonts w:eastAsia="Times New Roman" w:cstheme="minorHAnsi"/>
                <w:bCs/>
                <w:color w:val="FF0000"/>
              </w:rPr>
            </w:pPr>
            <w:r>
              <w:rPr>
                <w:rFonts w:ascii="Calibri" w:hAnsi="Calibri" w:cs="Calibri"/>
              </w:rPr>
              <w:t xml:space="preserve"> $      376 </w:t>
            </w:r>
          </w:p>
        </w:tc>
        <w:tc>
          <w:tcPr>
            <w:tcW w:w="941" w:type="dxa"/>
            <w:shd w:val="clear" w:color="auto" w:fill="FFFFFF" w:themeFill="background1"/>
            <w:vAlign w:val="bottom"/>
          </w:tcPr>
          <w:p w14:paraId="379C0651" w14:textId="77777777" w:rsidR="001B6918" w:rsidRPr="00A333AB" w:rsidRDefault="001B6918" w:rsidP="00730ECF">
            <w:pPr>
              <w:jc w:val="right"/>
              <w:rPr>
                <w:rFonts w:eastAsia="Times New Roman" w:cstheme="minorHAnsi"/>
                <w:bCs/>
                <w:color w:val="0D0D0D"/>
              </w:rPr>
            </w:pPr>
            <w:r w:rsidRPr="00A333AB">
              <w:rPr>
                <w:rFonts w:eastAsia="Times New Roman" w:cstheme="minorHAnsi"/>
                <w:bCs/>
                <w:color w:val="0D0D0D"/>
              </w:rPr>
              <w:t>$</w:t>
            </w:r>
            <w:r>
              <w:rPr>
                <w:rFonts w:eastAsia="Times New Roman" w:cstheme="minorHAnsi"/>
                <w:bCs/>
                <w:color w:val="0D0D0D"/>
              </w:rPr>
              <w:t xml:space="preserve">     </w:t>
            </w:r>
            <w:r w:rsidRPr="00A333AB">
              <w:rPr>
                <w:rFonts w:eastAsia="Times New Roman" w:cstheme="minorHAnsi"/>
                <w:bCs/>
                <w:color w:val="0D0D0D"/>
              </w:rPr>
              <w:t>382</w:t>
            </w:r>
          </w:p>
        </w:tc>
        <w:tc>
          <w:tcPr>
            <w:tcW w:w="941" w:type="dxa"/>
            <w:shd w:val="clear" w:color="auto" w:fill="F2F2F2" w:themeFill="background1" w:themeFillShade="F2"/>
            <w:vAlign w:val="bottom"/>
          </w:tcPr>
          <w:p w14:paraId="77AB268B" w14:textId="77777777" w:rsidR="001B6918" w:rsidRPr="005D19AA" w:rsidRDefault="001B6918" w:rsidP="00730ECF">
            <w:pPr>
              <w:jc w:val="right"/>
              <w:rPr>
                <w:rFonts w:eastAsia="Times New Roman" w:cstheme="minorHAnsi"/>
                <w:b/>
                <w:bCs/>
                <w:color w:val="0D0D0D"/>
              </w:rPr>
            </w:pPr>
            <w:r w:rsidRPr="00CE5579">
              <w:rPr>
                <w:rFonts w:cstheme="minorHAnsi"/>
              </w:rPr>
              <w:t>$     503</w:t>
            </w:r>
          </w:p>
        </w:tc>
        <w:tc>
          <w:tcPr>
            <w:tcW w:w="941" w:type="dxa"/>
            <w:shd w:val="clear" w:color="auto" w:fill="FFFFFF" w:themeFill="background1"/>
            <w:vAlign w:val="bottom"/>
          </w:tcPr>
          <w:p w14:paraId="7BF28985" w14:textId="77777777" w:rsidR="001B6918" w:rsidRPr="004E6649" w:rsidRDefault="001B6918" w:rsidP="00730ECF">
            <w:pPr>
              <w:tabs>
                <w:tab w:val="left" w:pos="200"/>
              </w:tabs>
              <w:ind w:firstLine="20"/>
              <w:jc w:val="right"/>
              <w:rPr>
                <w:rFonts w:eastAsia="Times New Roman" w:cstheme="minorHAnsi"/>
              </w:rPr>
            </w:pPr>
            <w:r w:rsidRPr="004E6649">
              <w:rPr>
                <w:rFonts w:eastAsia="Times New Roman" w:cstheme="minorHAnsi"/>
              </w:rPr>
              <w:t xml:space="preserve">$ </w:t>
            </w:r>
            <w:r>
              <w:rPr>
                <w:rFonts w:eastAsia="Times New Roman" w:cstheme="minorHAnsi"/>
              </w:rPr>
              <w:t xml:space="preserve">  </w:t>
            </w:r>
            <w:r w:rsidRPr="004E6649">
              <w:rPr>
                <w:rFonts w:eastAsia="Times New Roman" w:cstheme="minorHAnsi"/>
              </w:rPr>
              <w:t xml:space="preserve">  616</w:t>
            </w:r>
          </w:p>
        </w:tc>
        <w:tc>
          <w:tcPr>
            <w:tcW w:w="941" w:type="dxa"/>
            <w:shd w:val="clear" w:color="auto" w:fill="F2F2F2" w:themeFill="background1" w:themeFillShade="F2"/>
            <w:vAlign w:val="bottom"/>
          </w:tcPr>
          <w:p w14:paraId="2292AA3B"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D0D0D"/>
              </w:rPr>
              <w:t xml:space="preserve">$ </w:t>
            </w:r>
            <w:r>
              <w:rPr>
                <w:rFonts w:eastAsia="Times New Roman" w:cstheme="minorHAnsi"/>
                <w:color w:val="0D0D0D"/>
              </w:rPr>
              <w:t xml:space="preserve">  </w:t>
            </w:r>
            <w:r w:rsidRPr="004E6649">
              <w:rPr>
                <w:rFonts w:eastAsia="Times New Roman" w:cstheme="minorHAnsi"/>
                <w:color w:val="0D0D0D"/>
              </w:rPr>
              <w:t xml:space="preserve">  692</w:t>
            </w:r>
          </w:p>
        </w:tc>
        <w:tc>
          <w:tcPr>
            <w:tcW w:w="941" w:type="dxa"/>
            <w:shd w:val="clear" w:color="000000" w:fill="FFFFFF"/>
            <w:noWrap/>
            <w:vAlign w:val="bottom"/>
            <w:hideMark/>
          </w:tcPr>
          <w:p w14:paraId="6F995719"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D0D0D"/>
              </w:rPr>
              <w:t xml:space="preserve">$ </w:t>
            </w:r>
            <w:r>
              <w:rPr>
                <w:rFonts w:eastAsia="Times New Roman" w:cstheme="minorHAnsi"/>
                <w:color w:val="0D0D0D"/>
              </w:rPr>
              <w:t xml:space="preserve">  </w:t>
            </w:r>
            <w:r w:rsidRPr="004E6649">
              <w:rPr>
                <w:rFonts w:eastAsia="Times New Roman" w:cstheme="minorHAnsi"/>
                <w:color w:val="0D0D0D"/>
              </w:rPr>
              <w:t xml:space="preserve">  538</w:t>
            </w:r>
          </w:p>
        </w:tc>
        <w:tc>
          <w:tcPr>
            <w:tcW w:w="943" w:type="dxa"/>
            <w:shd w:val="clear" w:color="auto" w:fill="F2F2F2" w:themeFill="background1" w:themeFillShade="F2"/>
            <w:noWrap/>
            <w:vAlign w:val="bottom"/>
            <w:hideMark/>
          </w:tcPr>
          <w:p w14:paraId="68AF46BA"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D0D0D"/>
              </w:rPr>
              <w:t>$     595</w:t>
            </w:r>
          </w:p>
        </w:tc>
        <w:tc>
          <w:tcPr>
            <w:tcW w:w="939" w:type="dxa"/>
            <w:shd w:val="clear" w:color="000000" w:fill="FFFFFF"/>
            <w:noWrap/>
            <w:vAlign w:val="bottom"/>
            <w:hideMark/>
          </w:tcPr>
          <w:p w14:paraId="27393619"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D0D0D"/>
              </w:rPr>
              <w:t>$</w:t>
            </w:r>
            <w:r>
              <w:rPr>
                <w:rFonts w:eastAsia="Times New Roman" w:cstheme="minorHAnsi"/>
                <w:color w:val="0D0D0D"/>
              </w:rPr>
              <w:t xml:space="preserve">  </w:t>
            </w:r>
            <w:r w:rsidRPr="004E6649">
              <w:rPr>
                <w:rFonts w:eastAsia="Times New Roman" w:cstheme="minorHAnsi"/>
                <w:color w:val="0D0D0D"/>
              </w:rPr>
              <w:t xml:space="preserve">   604</w:t>
            </w:r>
          </w:p>
        </w:tc>
        <w:tc>
          <w:tcPr>
            <w:tcW w:w="941" w:type="dxa"/>
            <w:shd w:val="clear" w:color="auto" w:fill="F2F2F2" w:themeFill="background1" w:themeFillShade="F2"/>
            <w:noWrap/>
            <w:vAlign w:val="bottom"/>
            <w:hideMark/>
          </w:tcPr>
          <w:p w14:paraId="58DD1F78"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D0D0D"/>
              </w:rPr>
              <w:t xml:space="preserve">$   </w:t>
            </w:r>
            <w:r>
              <w:rPr>
                <w:rFonts w:eastAsia="Times New Roman" w:cstheme="minorHAnsi"/>
                <w:color w:val="0D0D0D"/>
              </w:rPr>
              <w:t xml:space="preserve">  </w:t>
            </w:r>
            <w:r w:rsidRPr="004E6649">
              <w:rPr>
                <w:rFonts w:eastAsia="Times New Roman" w:cstheme="minorHAnsi"/>
                <w:color w:val="0D0D0D"/>
              </w:rPr>
              <w:t xml:space="preserve"> 862</w:t>
            </w:r>
          </w:p>
        </w:tc>
        <w:tc>
          <w:tcPr>
            <w:tcW w:w="941" w:type="dxa"/>
            <w:shd w:val="clear" w:color="000000" w:fill="FFFFFF"/>
            <w:noWrap/>
            <w:vAlign w:val="bottom"/>
            <w:hideMark/>
          </w:tcPr>
          <w:p w14:paraId="360D15E3"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D0D0D"/>
              </w:rPr>
              <w:t xml:space="preserve">$  </w:t>
            </w:r>
            <w:r>
              <w:rPr>
                <w:rFonts w:eastAsia="Times New Roman" w:cstheme="minorHAnsi"/>
                <w:color w:val="0D0D0D"/>
              </w:rPr>
              <w:t xml:space="preserve">  </w:t>
            </w:r>
            <w:r w:rsidRPr="004E6649">
              <w:rPr>
                <w:rFonts w:eastAsia="Times New Roman" w:cstheme="minorHAnsi"/>
                <w:color w:val="0D0D0D"/>
              </w:rPr>
              <w:t xml:space="preserve">  718</w:t>
            </w:r>
          </w:p>
        </w:tc>
      </w:tr>
      <w:tr w:rsidR="001B6918" w:rsidRPr="004E6649" w14:paraId="6B99E8A1" w14:textId="77777777" w:rsidTr="00D163A9">
        <w:trPr>
          <w:trHeight w:val="265"/>
          <w:jc w:val="center"/>
        </w:trPr>
        <w:tc>
          <w:tcPr>
            <w:tcW w:w="4450" w:type="dxa"/>
            <w:shd w:val="clear" w:color="000000" w:fill="FFFFFF"/>
            <w:vAlign w:val="bottom"/>
            <w:hideMark/>
          </w:tcPr>
          <w:p w14:paraId="319D9EBF"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Interest</w:t>
            </w:r>
          </w:p>
        </w:tc>
        <w:tc>
          <w:tcPr>
            <w:tcW w:w="941" w:type="dxa"/>
            <w:shd w:val="clear" w:color="auto" w:fill="F2F2F2" w:themeFill="background1" w:themeFillShade="F2"/>
            <w:vAlign w:val="bottom"/>
          </w:tcPr>
          <w:p w14:paraId="06DFC6E1" w14:textId="77777777" w:rsidR="001B6918" w:rsidRPr="00F96B39" w:rsidRDefault="001B6918" w:rsidP="00730ECF">
            <w:pPr>
              <w:jc w:val="right"/>
              <w:rPr>
                <w:rFonts w:eastAsia="Times New Roman" w:cstheme="minorHAnsi"/>
                <w:bCs/>
                <w:color w:val="FF0000"/>
              </w:rPr>
            </w:pPr>
            <w:r>
              <w:rPr>
                <w:rFonts w:ascii="Calibri" w:hAnsi="Calibri" w:cs="Calibri"/>
              </w:rPr>
              <w:t xml:space="preserve">         546 </w:t>
            </w:r>
          </w:p>
        </w:tc>
        <w:tc>
          <w:tcPr>
            <w:tcW w:w="941" w:type="dxa"/>
            <w:shd w:val="clear" w:color="auto" w:fill="FFFFFF" w:themeFill="background1"/>
            <w:vAlign w:val="bottom"/>
          </w:tcPr>
          <w:p w14:paraId="51DD4FC6" w14:textId="77777777" w:rsidR="001B6918" w:rsidRPr="00A333AB" w:rsidRDefault="001B6918" w:rsidP="00730ECF">
            <w:pPr>
              <w:jc w:val="right"/>
              <w:rPr>
                <w:rFonts w:eastAsia="Times New Roman" w:cstheme="minorHAnsi"/>
                <w:bCs/>
                <w:color w:val="0D0D0D"/>
              </w:rPr>
            </w:pPr>
            <w:r>
              <w:rPr>
                <w:rFonts w:eastAsia="Times New Roman" w:cstheme="minorHAnsi"/>
                <w:bCs/>
                <w:color w:val="0D0D0D"/>
              </w:rPr>
              <w:t>581</w:t>
            </w:r>
          </w:p>
        </w:tc>
        <w:tc>
          <w:tcPr>
            <w:tcW w:w="941" w:type="dxa"/>
            <w:shd w:val="clear" w:color="auto" w:fill="F2F2F2" w:themeFill="background1" w:themeFillShade="F2"/>
            <w:vAlign w:val="bottom"/>
          </w:tcPr>
          <w:p w14:paraId="324A34F3" w14:textId="77777777" w:rsidR="001B6918" w:rsidRPr="00CE5579" w:rsidRDefault="001B6918" w:rsidP="00730ECF">
            <w:pPr>
              <w:jc w:val="right"/>
              <w:rPr>
                <w:rFonts w:eastAsia="Times New Roman" w:cstheme="minorHAnsi"/>
                <w:b/>
                <w:bCs/>
                <w:color w:val="0D0D0D"/>
              </w:rPr>
            </w:pPr>
            <w:r w:rsidRPr="00CE5579">
              <w:rPr>
                <w:rFonts w:cstheme="minorHAnsi"/>
              </w:rPr>
              <w:t xml:space="preserve"> 645</w:t>
            </w:r>
          </w:p>
        </w:tc>
        <w:tc>
          <w:tcPr>
            <w:tcW w:w="941" w:type="dxa"/>
            <w:shd w:val="clear" w:color="auto" w:fill="FFFFFF" w:themeFill="background1"/>
            <w:vAlign w:val="bottom"/>
          </w:tcPr>
          <w:p w14:paraId="63DE15D5" w14:textId="77777777" w:rsidR="001B6918" w:rsidRPr="004E6649" w:rsidRDefault="001B6918" w:rsidP="00730ECF">
            <w:pPr>
              <w:jc w:val="right"/>
              <w:rPr>
                <w:rFonts w:cstheme="minorHAnsi"/>
              </w:rPr>
            </w:pPr>
            <w:r w:rsidRPr="004E6649">
              <w:rPr>
                <w:rFonts w:eastAsia="Times New Roman" w:cstheme="minorHAnsi"/>
              </w:rPr>
              <w:t>446</w:t>
            </w:r>
          </w:p>
        </w:tc>
        <w:tc>
          <w:tcPr>
            <w:tcW w:w="941" w:type="dxa"/>
            <w:shd w:val="clear" w:color="auto" w:fill="F2F2F2" w:themeFill="background1" w:themeFillShade="F2"/>
            <w:vAlign w:val="bottom"/>
          </w:tcPr>
          <w:p w14:paraId="59F87820" w14:textId="77777777" w:rsidR="001B6918" w:rsidRPr="004E6649" w:rsidRDefault="001B6918" w:rsidP="00730ECF">
            <w:pPr>
              <w:jc w:val="right"/>
              <w:rPr>
                <w:rFonts w:eastAsia="Times New Roman" w:cstheme="minorHAnsi"/>
                <w:color w:val="0D0D0D"/>
              </w:rPr>
            </w:pPr>
            <w:r w:rsidRPr="004E6649">
              <w:rPr>
                <w:rFonts w:cstheme="minorHAnsi"/>
              </w:rPr>
              <w:t xml:space="preserve">456 </w:t>
            </w:r>
          </w:p>
        </w:tc>
        <w:tc>
          <w:tcPr>
            <w:tcW w:w="941" w:type="dxa"/>
            <w:shd w:val="clear" w:color="000000" w:fill="FFFFFF"/>
            <w:noWrap/>
            <w:vAlign w:val="bottom"/>
            <w:hideMark/>
          </w:tcPr>
          <w:p w14:paraId="2C25451C"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D0D0D"/>
              </w:rPr>
              <w:t>719</w:t>
            </w:r>
          </w:p>
        </w:tc>
        <w:tc>
          <w:tcPr>
            <w:tcW w:w="943" w:type="dxa"/>
            <w:shd w:val="clear" w:color="auto" w:fill="F2F2F2" w:themeFill="background1" w:themeFillShade="F2"/>
            <w:noWrap/>
            <w:vAlign w:val="bottom"/>
            <w:hideMark/>
          </w:tcPr>
          <w:p w14:paraId="2CD902B6"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D0D0D"/>
              </w:rPr>
              <w:t>813</w:t>
            </w:r>
          </w:p>
        </w:tc>
        <w:tc>
          <w:tcPr>
            <w:tcW w:w="939" w:type="dxa"/>
            <w:shd w:val="clear" w:color="000000" w:fill="FFFFFF"/>
            <w:noWrap/>
            <w:vAlign w:val="bottom"/>
            <w:hideMark/>
          </w:tcPr>
          <w:p w14:paraId="1C49DB28"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D0D0D"/>
              </w:rPr>
              <w:t>785</w:t>
            </w:r>
          </w:p>
        </w:tc>
        <w:tc>
          <w:tcPr>
            <w:tcW w:w="941" w:type="dxa"/>
            <w:shd w:val="clear" w:color="auto" w:fill="F2F2F2" w:themeFill="background1" w:themeFillShade="F2"/>
            <w:noWrap/>
            <w:vAlign w:val="bottom"/>
            <w:hideMark/>
          </w:tcPr>
          <w:p w14:paraId="58695B9B"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D0D0D"/>
              </w:rPr>
              <w:t>629</w:t>
            </w:r>
          </w:p>
        </w:tc>
        <w:tc>
          <w:tcPr>
            <w:tcW w:w="941" w:type="dxa"/>
            <w:shd w:val="clear" w:color="000000" w:fill="FFFFFF"/>
            <w:noWrap/>
            <w:vAlign w:val="bottom"/>
            <w:hideMark/>
          </w:tcPr>
          <w:p w14:paraId="5CEC2D7C"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D0D0D"/>
              </w:rPr>
              <w:t>877</w:t>
            </w:r>
          </w:p>
        </w:tc>
      </w:tr>
      <w:tr w:rsidR="001B6918" w:rsidRPr="004E6649" w14:paraId="2E538ACD" w14:textId="77777777" w:rsidTr="00D163A9">
        <w:trPr>
          <w:trHeight w:val="265"/>
          <w:jc w:val="center"/>
        </w:trPr>
        <w:tc>
          <w:tcPr>
            <w:tcW w:w="4450" w:type="dxa"/>
            <w:shd w:val="clear" w:color="000000" w:fill="FFFFFF"/>
            <w:vAlign w:val="bottom"/>
            <w:hideMark/>
          </w:tcPr>
          <w:p w14:paraId="0A7E48A0"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 xml:space="preserve">Differences between expected and actual experience </w:t>
            </w:r>
          </w:p>
        </w:tc>
        <w:tc>
          <w:tcPr>
            <w:tcW w:w="941" w:type="dxa"/>
            <w:shd w:val="clear" w:color="auto" w:fill="F2F2F2" w:themeFill="background1" w:themeFillShade="F2"/>
            <w:vAlign w:val="bottom"/>
          </w:tcPr>
          <w:p w14:paraId="29B4D767" w14:textId="77777777" w:rsidR="001B6918" w:rsidRPr="00F96B39" w:rsidRDefault="001B6918" w:rsidP="00730ECF">
            <w:pPr>
              <w:jc w:val="right"/>
              <w:rPr>
                <w:rFonts w:eastAsia="Times New Roman" w:cstheme="minorHAnsi"/>
                <w:color w:val="FF0000"/>
              </w:rPr>
            </w:pPr>
            <w:r>
              <w:rPr>
                <w:rFonts w:ascii="Calibri" w:hAnsi="Calibri" w:cs="Calibri"/>
              </w:rPr>
              <w:t xml:space="preserve">     1,594 </w:t>
            </w:r>
          </w:p>
        </w:tc>
        <w:tc>
          <w:tcPr>
            <w:tcW w:w="941" w:type="dxa"/>
            <w:shd w:val="clear" w:color="auto" w:fill="FFFFFF" w:themeFill="background1"/>
            <w:vAlign w:val="bottom"/>
          </w:tcPr>
          <w:p w14:paraId="19B84384" w14:textId="77777777" w:rsidR="001B6918" w:rsidRPr="00A333AB" w:rsidRDefault="001B6918" w:rsidP="00730ECF">
            <w:pPr>
              <w:jc w:val="right"/>
              <w:rPr>
                <w:rFonts w:eastAsia="Times New Roman" w:cstheme="minorHAnsi"/>
                <w:bCs/>
                <w:color w:val="0D0D0D"/>
              </w:rPr>
            </w:pPr>
            <w:r w:rsidRPr="004E6649">
              <w:rPr>
                <w:rFonts w:eastAsia="Times New Roman" w:cstheme="minorHAnsi"/>
              </w:rPr>
              <w:t>-</w:t>
            </w:r>
          </w:p>
        </w:tc>
        <w:tc>
          <w:tcPr>
            <w:tcW w:w="941" w:type="dxa"/>
            <w:shd w:val="clear" w:color="auto" w:fill="F2F2F2" w:themeFill="background1" w:themeFillShade="F2"/>
            <w:vAlign w:val="bottom"/>
          </w:tcPr>
          <w:p w14:paraId="4D02E22A" w14:textId="77777777" w:rsidR="001B6918" w:rsidRPr="00CE5579" w:rsidRDefault="001B6918" w:rsidP="00730ECF">
            <w:pPr>
              <w:jc w:val="right"/>
              <w:rPr>
                <w:rFonts w:eastAsia="Times New Roman" w:cstheme="minorHAnsi"/>
                <w:b/>
                <w:bCs/>
                <w:color w:val="0D0D0D"/>
              </w:rPr>
            </w:pPr>
            <w:r w:rsidRPr="00CE5579">
              <w:rPr>
                <w:rFonts w:cstheme="minorHAnsi"/>
              </w:rPr>
              <w:t xml:space="preserve"> (216)</w:t>
            </w:r>
          </w:p>
        </w:tc>
        <w:tc>
          <w:tcPr>
            <w:tcW w:w="941" w:type="dxa"/>
            <w:shd w:val="clear" w:color="auto" w:fill="FFFFFF" w:themeFill="background1"/>
            <w:vAlign w:val="bottom"/>
          </w:tcPr>
          <w:p w14:paraId="02AB3C7A" w14:textId="77777777" w:rsidR="001B6918" w:rsidRPr="004E6649" w:rsidRDefault="001B6918" w:rsidP="00730ECF">
            <w:pPr>
              <w:jc w:val="right"/>
              <w:rPr>
                <w:rFonts w:cstheme="minorHAnsi"/>
              </w:rPr>
            </w:pPr>
            <w:r w:rsidRPr="004E6649">
              <w:rPr>
                <w:rFonts w:eastAsia="Times New Roman" w:cstheme="minorHAnsi"/>
              </w:rPr>
              <w:t>-</w:t>
            </w:r>
          </w:p>
        </w:tc>
        <w:tc>
          <w:tcPr>
            <w:tcW w:w="941" w:type="dxa"/>
            <w:shd w:val="clear" w:color="auto" w:fill="F2F2F2" w:themeFill="background1" w:themeFillShade="F2"/>
            <w:vAlign w:val="bottom"/>
          </w:tcPr>
          <w:p w14:paraId="7E3BD847" w14:textId="77777777" w:rsidR="001B6918" w:rsidRPr="004E6649" w:rsidRDefault="001B6918" w:rsidP="00730ECF">
            <w:pPr>
              <w:ind w:firstLine="20"/>
              <w:jc w:val="right"/>
              <w:rPr>
                <w:rFonts w:eastAsia="Times New Roman" w:cstheme="minorHAnsi"/>
                <w:color w:val="0D0D0D"/>
              </w:rPr>
            </w:pPr>
            <w:r w:rsidRPr="004E6649">
              <w:rPr>
                <w:rFonts w:cstheme="minorHAnsi"/>
              </w:rPr>
              <w:t xml:space="preserve">833 </w:t>
            </w:r>
          </w:p>
        </w:tc>
        <w:tc>
          <w:tcPr>
            <w:tcW w:w="941" w:type="dxa"/>
            <w:shd w:val="clear" w:color="000000" w:fill="FFFFFF"/>
            <w:noWrap/>
            <w:vAlign w:val="bottom"/>
            <w:hideMark/>
          </w:tcPr>
          <w:p w14:paraId="58E51255"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D0D0D"/>
              </w:rPr>
              <w:t>-</w:t>
            </w:r>
          </w:p>
        </w:tc>
        <w:tc>
          <w:tcPr>
            <w:tcW w:w="943" w:type="dxa"/>
            <w:shd w:val="clear" w:color="auto" w:fill="F2F2F2" w:themeFill="background1" w:themeFillShade="F2"/>
            <w:noWrap/>
            <w:vAlign w:val="bottom"/>
            <w:hideMark/>
          </w:tcPr>
          <w:p w14:paraId="66FD1F11"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D0D0D"/>
              </w:rPr>
              <w:t>(217)</w:t>
            </w:r>
          </w:p>
        </w:tc>
        <w:tc>
          <w:tcPr>
            <w:tcW w:w="939" w:type="dxa"/>
            <w:shd w:val="clear" w:color="000000" w:fill="FFFFFF"/>
            <w:noWrap/>
            <w:vAlign w:val="bottom"/>
            <w:hideMark/>
          </w:tcPr>
          <w:p w14:paraId="179DC75D"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D0D0D"/>
              </w:rPr>
              <w:t>-</w:t>
            </w:r>
          </w:p>
        </w:tc>
        <w:tc>
          <w:tcPr>
            <w:tcW w:w="941" w:type="dxa"/>
            <w:shd w:val="clear" w:color="auto" w:fill="F2F2F2" w:themeFill="background1" w:themeFillShade="F2"/>
            <w:noWrap/>
            <w:vAlign w:val="bottom"/>
            <w:hideMark/>
          </w:tcPr>
          <w:p w14:paraId="1AF5FBC0"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D0D0D"/>
              </w:rPr>
              <w:t>1,287</w:t>
            </w:r>
          </w:p>
        </w:tc>
        <w:tc>
          <w:tcPr>
            <w:tcW w:w="941" w:type="dxa"/>
            <w:shd w:val="clear" w:color="000000" w:fill="FFFFFF"/>
            <w:noWrap/>
            <w:vAlign w:val="bottom"/>
            <w:hideMark/>
          </w:tcPr>
          <w:p w14:paraId="69C7BABB"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D0D0D"/>
              </w:rPr>
              <w:t>-</w:t>
            </w:r>
          </w:p>
        </w:tc>
      </w:tr>
      <w:tr w:rsidR="001B6918" w:rsidRPr="004E6649" w14:paraId="2DE44EF0" w14:textId="77777777" w:rsidTr="00D163A9">
        <w:trPr>
          <w:trHeight w:val="265"/>
          <w:jc w:val="center"/>
        </w:trPr>
        <w:tc>
          <w:tcPr>
            <w:tcW w:w="4450" w:type="dxa"/>
            <w:shd w:val="clear" w:color="000000" w:fill="FFFFFF"/>
            <w:noWrap/>
            <w:vAlign w:val="bottom"/>
            <w:hideMark/>
          </w:tcPr>
          <w:p w14:paraId="56009F68"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Changes of assumptions and other inputs</w:t>
            </w:r>
          </w:p>
        </w:tc>
        <w:tc>
          <w:tcPr>
            <w:tcW w:w="941" w:type="dxa"/>
            <w:shd w:val="clear" w:color="auto" w:fill="F2F2F2" w:themeFill="background1" w:themeFillShade="F2"/>
            <w:vAlign w:val="bottom"/>
          </w:tcPr>
          <w:p w14:paraId="70F036D0" w14:textId="77777777" w:rsidR="001B6918" w:rsidRPr="00F96B39" w:rsidRDefault="001B6918" w:rsidP="00730ECF">
            <w:pPr>
              <w:jc w:val="right"/>
              <w:rPr>
                <w:rFonts w:eastAsia="Times New Roman" w:cstheme="minorHAnsi"/>
                <w:bCs/>
                <w:color w:val="FF0000"/>
              </w:rPr>
            </w:pPr>
            <w:r>
              <w:rPr>
                <w:rFonts w:ascii="Calibri" w:hAnsi="Calibri" w:cs="Calibri"/>
              </w:rPr>
              <w:t xml:space="preserve">     (583)</w:t>
            </w:r>
          </w:p>
        </w:tc>
        <w:tc>
          <w:tcPr>
            <w:tcW w:w="941" w:type="dxa"/>
            <w:shd w:val="clear" w:color="auto" w:fill="FFFFFF" w:themeFill="background1"/>
            <w:vAlign w:val="bottom"/>
          </w:tcPr>
          <w:p w14:paraId="4A73C831" w14:textId="77777777" w:rsidR="001B6918" w:rsidRPr="00A333AB" w:rsidRDefault="001B6918" w:rsidP="00730ECF">
            <w:pPr>
              <w:jc w:val="right"/>
              <w:rPr>
                <w:rFonts w:eastAsia="Times New Roman" w:cstheme="minorHAnsi"/>
                <w:bCs/>
                <w:color w:val="0D0D0D"/>
              </w:rPr>
            </w:pPr>
            <w:r>
              <w:rPr>
                <w:rFonts w:eastAsia="Times New Roman" w:cstheme="minorHAnsi"/>
                <w:bCs/>
                <w:color w:val="0D0D0D"/>
              </w:rPr>
              <w:t>(137)</w:t>
            </w:r>
          </w:p>
        </w:tc>
        <w:tc>
          <w:tcPr>
            <w:tcW w:w="941" w:type="dxa"/>
            <w:shd w:val="clear" w:color="auto" w:fill="F2F2F2" w:themeFill="background1" w:themeFillShade="F2"/>
            <w:vAlign w:val="bottom"/>
          </w:tcPr>
          <w:p w14:paraId="56D3D8BD" w14:textId="77777777" w:rsidR="001B6918" w:rsidRPr="00CE5579" w:rsidRDefault="001B6918" w:rsidP="00730ECF">
            <w:pPr>
              <w:jc w:val="right"/>
              <w:rPr>
                <w:rFonts w:eastAsia="Times New Roman" w:cstheme="minorHAnsi"/>
                <w:b/>
                <w:bCs/>
                <w:color w:val="0D0D0D"/>
              </w:rPr>
            </w:pPr>
            <w:r w:rsidRPr="00CE5579">
              <w:rPr>
                <w:rFonts w:cstheme="minorHAnsi"/>
              </w:rPr>
              <w:t xml:space="preserve"> (59)</w:t>
            </w:r>
          </w:p>
        </w:tc>
        <w:tc>
          <w:tcPr>
            <w:tcW w:w="941" w:type="dxa"/>
            <w:shd w:val="clear" w:color="auto" w:fill="FFFFFF" w:themeFill="background1"/>
            <w:vAlign w:val="bottom"/>
          </w:tcPr>
          <w:p w14:paraId="182EBBCE" w14:textId="77777777" w:rsidR="001B6918" w:rsidRPr="004E6649" w:rsidRDefault="001B6918" w:rsidP="00730ECF">
            <w:pPr>
              <w:jc w:val="right"/>
              <w:rPr>
                <w:rFonts w:cstheme="minorHAnsi"/>
              </w:rPr>
            </w:pPr>
            <w:r w:rsidRPr="004E6649">
              <w:rPr>
                <w:rFonts w:eastAsia="Times New Roman" w:cstheme="minorHAnsi"/>
              </w:rPr>
              <w:t>(792)</w:t>
            </w:r>
          </w:p>
        </w:tc>
        <w:tc>
          <w:tcPr>
            <w:tcW w:w="941" w:type="dxa"/>
            <w:shd w:val="clear" w:color="auto" w:fill="F2F2F2" w:themeFill="background1" w:themeFillShade="F2"/>
            <w:vAlign w:val="bottom"/>
          </w:tcPr>
          <w:p w14:paraId="53E78BF3" w14:textId="77777777" w:rsidR="001B6918" w:rsidRPr="004E6649" w:rsidRDefault="001B6918" w:rsidP="00730ECF">
            <w:pPr>
              <w:jc w:val="right"/>
              <w:rPr>
                <w:rFonts w:eastAsia="Times New Roman" w:cstheme="minorHAnsi"/>
                <w:color w:val="0D0D0D"/>
              </w:rPr>
            </w:pPr>
            <w:r w:rsidRPr="004E6649">
              <w:rPr>
                <w:rFonts w:cstheme="minorHAnsi"/>
              </w:rPr>
              <w:t xml:space="preserve">376 </w:t>
            </w:r>
          </w:p>
        </w:tc>
        <w:tc>
          <w:tcPr>
            <w:tcW w:w="941" w:type="dxa"/>
            <w:shd w:val="clear" w:color="000000" w:fill="FFFFFF"/>
            <w:noWrap/>
            <w:vAlign w:val="bottom"/>
            <w:hideMark/>
          </w:tcPr>
          <w:p w14:paraId="74F0D95E"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D0D0D"/>
              </w:rPr>
              <w:t>851</w:t>
            </w:r>
          </w:p>
        </w:tc>
        <w:tc>
          <w:tcPr>
            <w:tcW w:w="943" w:type="dxa"/>
            <w:shd w:val="clear" w:color="auto" w:fill="F2F2F2" w:themeFill="background1" w:themeFillShade="F2"/>
            <w:noWrap/>
            <w:vAlign w:val="bottom"/>
            <w:hideMark/>
          </w:tcPr>
          <w:p w14:paraId="56CFE129"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D0D0D"/>
              </w:rPr>
              <w:t>562</w:t>
            </w:r>
          </w:p>
        </w:tc>
        <w:tc>
          <w:tcPr>
            <w:tcW w:w="939" w:type="dxa"/>
            <w:shd w:val="clear" w:color="000000" w:fill="FFFFFF"/>
            <w:noWrap/>
            <w:vAlign w:val="bottom"/>
            <w:hideMark/>
          </w:tcPr>
          <w:p w14:paraId="7FFDBF07"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D0D0D"/>
              </w:rPr>
              <w:t>(225)</w:t>
            </w:r>
          </w:p>
        </w:tc>
        <w:tc>
          <w:tcPr>
            <w:tcW w:w="941" w:type="dxa"/>
            <w:shd w:val="clear" w:color="auto" w:fill="F2F2F2" w:themeFill="background1" w:themeFillShade="F2"/>
            <w:noWrap/>
            <w:vAlign w:val="bottom"/>
            <w:hideMark/>
          </w:tcPr>
          <w:p w14:paraId="44966747"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D0D0D"/>
              </w:rPr>
              <w:t>(628)</w:t>
            </w:r>
          </w:p>
        </w:tc>
        <w:tc>
          <w:tcPr>
            <w:tcW w:w="941" w:type="dxa"/>
            <w:shd w:val="clear" w:color="000000" w:fill="FFFFFF"/>
            <w:noWrap/>
            <w:vAlign w:val="bottom"/>
            <w:hideMark/>
          </w:tcPr>
          <w:p w14:paraId="5904F2D2"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D0D0D"/>
              </w:rPr>
              <w:t>921</w:t>
            </w:r>
          </w:p>
        </w:tc>
      </w:tr>
      <w:tr w:rsidR="001B6918" w:rsidRPr="004E6649" w14:paraId="14576D7D" w14:textId="77777777" w:rsidTr="00D163A9">
        <w:trPr>
          <w:trHeight w:val="265"/>
          <w:jc w:val="center"/>
        </w:trPr>
        <w:tc>
          <w:tcPr>
            <w:tcW w:w="4450" w:type="dxa"/>
            <w:shd w:val="clear" w:color="000000" w:fill="FFFFFF"/>
            <w:vAlign w:val="bottom"/>
            <w:hideMark/>
          </w:tcPr>
          <w:p w14:paraId="2AB50F33"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Benefit payments</w:t>
            </w:r>
          </w:p>
        </w:tc>
        <w:tc>
          <w:tcPr>
            <w:tcW w:w="941" w:type="dxa"/>
            <w:shd w:val="clear" w:color="auto" w:fill="F2F2F2" w:themeFill="background1" w:themeFillShade="F2"/>
            <w:vAlign w:val="bottom"/>
          </w:tcPr>
          <w:p w14:paraId="7F14F256" w14:textId="77777777" w:rsidR="001B6918" w:rsidRPr="00F96B39" w:rsidRDefault="001B6918" w:rsidP="00730ECF">
            <w:pPr>
              <w:jc w:val="right"/>
              <w:rPr>
                <w:rFonts w:eastAsia="Times New Roman" w:cstheme="minorHAnsi"/>
                <w:bCs/>
                <w:color w:val="FF0000"/>
              </w:rPr>
            </w:pPr>
            <w:r>
              <w:rPr>
                <w:rFonts w:ascii="Calibri" w:hAnsi="Calibri" w:cs="Calibri"/>
              </w:rPr>
              <w:t xml:space="preserve">   (2,395)</w:t>
            </w:r>
          </w:p>
        </w:tc>
        <w:tc>
          <w:tcPr>
            <w:tcW w:w="941" w:type="dxa"/>
            <w:shd w:val="clear" w:color="auto" w:fill="FFFFFF" w:themeFill="background1"/>
            <w:vAlign w:val="bottom"/>
          </w:tcPr>
          <w:p w14:paraId="61A1D323" w14:textId="77777777" w:rsidR="001B6918" w:rsidRPr="00A333AB" w:rsidRDefault="001B6918" w:rsidP="00730ECF">
            <w:pPr>
              <w:jc w:val="right"/>
              <w:rPr>
                <w:rFonts w:eastAsia="Times New Roman" w:cstheme="minorHAnsi"/>
                <w:bCs/>
                <w:color w:val="0D0D0D"/>
              </w:rPr>
            </w:pPr>
            <w:r>
              <w:rPr>
                <w:rFonts w:eastAsia="Times New Roman" w:cstheme="minorHAnsi"/>
                <w:bCs/>
                <w:color w:val="0D0D0D"/>
              </w:rPr>
              <w:t>(3,314)</w:t>
            </w:r>
          </w:p>
        </w:tc>
        <w:tc>
          <w:tcPr>
            <w:tcW w:w="941" w:type="dxa"/>
            <w:shd w:val="clear" w:color="auto" w:fill="F2F2F2" w:themeFill="background1" w:themeFillShade="F2"/>
            <w:vAlign w:val="bottom"/>
          </w:tcPr>
          <w:p w14:paraId="182DD656" w14:textId="77777777" w:rsidR="001B6918" w:rsidRPr="00CE5579" w:rsidRDefault="001B6918" w:rsidP="00730ECF">
            <w:pPr>
              <w:jc w:val="right"/>
              <w:rPr>
                <w:rFonts w:eastAsia="Times New Roman" w:cstheme="minorHAnsi"/>
                <w:b/>
                <w:bCs/>
                <w:color w:val="0D0D0D"/>
              </w:rPr>
            </w:pPr>
            <w:r w:rsidRPr="00CE5579">
              <w:rPr>
                <w:rFonts w:cstheme="minorHAnsi"/>
              </w:rPr>
              <w:t>(2,757)</w:t>
            </w:r>
          </w:p>
        </w:tc>
        <w:tc>
          <w:tcPr>
            <w:tcW w:w="941" w:type="dxa"/>
            <w:shd w:val="clear" w:color="auto" w:fill="FFFFFF" w:themeFill="background1"/>
            <w:vAlign w:val="bottom"/>
          </w:tcPr>
          <w:p w14:paraId="318454F2" w14:textId="77777777" w:rsidR="001B6918" w:rsidRPr="004E6649" w:rsidRDefault="001B6918" w:rsidP="00730ECF">
            <w:pPr>
              <w:jc w:val="right"/>
              <w:rPr>
                <w:rFonts w:cstheme="minorHAnsi"/>
              </w:rPr>
            </w:pPr>
            <w:r w:rsidRPr="004E6649">
              <w:rPr>
                <w:rFonts w:eastAsia="Times New Roman" w:cstheme="minorHAnsi"/>
              </w:rPr>
              <w:t>(2,388)</w:t>
            </w:r>
          </w:p>
        </w:tc>
        <w:tc>
          <w:tcPr>
            <w:tcW w:w="941" w:type="dxa"/>
            <w:shd w:val="clear" w:color="auto" w:fill="F2F2F2" w:themeFill="background1" w:themeFillShade="F2"/>
            <w:vAlign w:val="bottom"/>
          </w:tcPr>
          <w:p w14:paraId="3CBB8821" w14:textId="77777777" w:rsidR="001B6918" w:rsidRPr="004E6649" w:rsidRDefault="001B6918" w:rsidP="00730ECF">
            <w:pPr>
              <w:jc w:val="right"/>
              <w:rPr>
                <w:rFonts w:eastAsia="Times New Roman" w:cstheme="minorHAnsi"/>
                <w:color w:val="0D0D0D"/>
              </w:rPr>
            </w:pPr>
            <w:r w:rsidRPr="004E6649">
              <w:rPr>
                <w:rFonts w:cstheme="minorHAnsi"/>
              </w:rPr>
              <w:t>(2,198)</w:t>
            </w:r>
          </w:p>
        </w:tc>
        <w:tc>
          <w:tcPr>
            <w:tcW w:w="941" w:type="dxa"/>
            <w:shd w:val="clear" w:color="000000" w:fill="FFFFFF"/>
            <w:noWrap/>
            <w:vAlign w:val="bottom"/>
            <w:hideMark/>
          </w:tcPr>
          <w:p w14:paraId="01622705"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D0D0D"/>
              </w:rPr>
              <w:t>(2,141)</w:t>
            </w:r>
          </w:p>
        </w:tc>
        <w:tc>
          <w:tcPr>
            <w:tcW w:w="943" w:type="dxa"/>
            <w:shd w:val="clear" w:color="auto" w:fill="F2F2F2" w:themeFill="background1" w:themeFillShade="F2"/>
            <w:noWrap/>
            <w:vAlign w:val="bottom"/>
            <w:hideMark/>
          </w:tcPr>
          <w:p w14:paraId="2D7F93CE"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D0D0D"/>
              </w:rPr>
              <w:t>(2,175)</w:t>
            </w:r>
          </w:p>
        </w:tc>
        <w:tc>
          <w:tcPr>
            <w:tcW w:w="939" w:type="dxa"/>
            <w:shd w:val="clear" w:color="000000" w:fill="FFFFFF"/>
            <w:noWrap/>
            <w:vAlign w:val="bottom"/>
            <w:hideMark/>
          </w:tcPr>
          <w:p w14:paraId="12560707"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D0D0D"/>
              </w:rPr>
              <w:t>(1,972)</w:t>
            </w:r>
          </w:p>
        </w:tc>
        <w:tc>
          <w:tcPr>
            <w:tcW w:w="941" w:type="dxa"/>
            <w:shd w:val="clear" w:color="auto" w:fill="F2F2F2" w:themeFill="background1" w:themeFillShade="F2"/>
            <w:noWrap/>
            <w:vAlign w:val="bottom"/>
            <w:hideMark/>
          </w:tcPr>
          <w:p w14:paraId="09585793"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D0D0D"/>
              </w:rPr>
              <w:t>(2,084)</w:t>
            </w:r>
          </w:p>
        </w:tc>
        <w:tc>
          <w:tcPr>
            <w:tcW w:w="941" w:type="dxa"/>
            <w:shd w:val="clear" w:color="000000" w:fill="FFFFFF"/>
            <w:noWrap/>
            <w:vAlign w:val="bottom"/>
            <w:hideMark/>
          </w:tcPr>
          <w:p w14:paraId="1D244AD4"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D0D0D"/>
              </w:rPr>
              <w:t>(5,260)</w:t>
            </w:r>
          </w:p>
        </w:tc>
      </w:tr>
      <w:tr w:rsidR="001B6918" w:rsidRPr="004E6649" w14:paraId="1619CE99" w14:textId="77777777" w:rsidTr="00D163A9">
        <w:trPr>
          <w:trHeight w:val="265"/>
          <w:jc w:val="center"/>
        </w:trPr>
        <w:tc>
          <w:tcPr>
            <w:tcW w:w="4450" w:type="dxa"/>
            <w:tcBorders>
              <w:bottom w:val="nil"/>
            </w:tcBorders>
            <w:shd w:val="clear" w:color="000000" w:fill="FFFFFF"/>
            <w:vAlign w:val="bottom"/>
            <w:hideMark/>
          </w:tcPr>
          <w:p w14:paraId="791014A8"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Net change in total pension liability</w:t>
            </w:r>
          </w:p>
        </w:tc>
        <w:tc>
          <w:tcPr>
            <w:tcW w:w="941" w:type="dxa"/>
            <w:tcBorders>
              <w:bottom w:val="nil"/>
            </w:tcBorders>
            <w:shd w:val="clear" w:color="auto" w:fill="F2F2F2" w:themeFill="background1" w:themeFillShade="F2"/>
            <w:vAlign w:val="bottom"/>
          </w:tcPr>
          <w:p w14:paraId="78F57B15" w14:textId="77777777" w:rsidR="001B6918" w:rsidRPr="00F96B39" w:rsidRDefault="001B6918" w:rsidP="00730ECF">
            <w:pPr>
              <w:jc w:val="right"/>
              <w:rPr>
                <w:rFonts w:eastAsia="Times New Roman" w:cstheme="minorHAnsi"/>
                <w:bCs/>
                <w:color w:val="FF0000"/>
              </w:rPr>
            </w:pPr>
            <w:r>
              <w:rPr>
                <w:rFonts w:ascii="Calibri" w:hAnsi="Calibri" w:cs="Calibri"/>
              </w:rPr>
              <w:t xml:space="preserve">      (462)</w:t>
            </w:r>
          </w:p>
        </w:tc>
        <w:tc>
          <w:tcPr>
            <w:tcW w:w="941" w:type="dxa"/>
            <w:tcBorders>
              <w:bottom w:val="nil"/>
            </w:tcBorders>
            <w:shd w:val="clear" w:color="auto" w:fill="FFFFFF" w:themeFill="background1"/>
            <w:vAlign w:val="bottom"/>
          </w:tcPr>
          <w:p w14:paraId="7C7FDB92" w14:textId="77777777" w:rsidR="001B6918" w:rsidRPr="00A333AB" w:rsidRDefault="001B6918" w:rsidP="00730ECF">
            <w:pPr>
              <w:jc w:val="right"/>
              <w:rPr>
                <w:rFonts w:eastAsia="Times New Roman" w:cstheme="minorHAnsi"/>
                <w:bCs/>
                <w:color w:val="0D0D0D"/>
              </w:rPr>
            </w:pPr>
            <w:r>
              <w:rPr>
                <w:rFonts w:eastAsia="Times New Roman" w:cstheme="minorHAnsi"/>
                <w:bCs/>
                <w:color w:val="0D0D0D"/>
              </w:rPr>
              <w:t>(2,488)</w:t>
            </w:r>
          </w:p>
        </w:tc>
        <w:tc>
          <w:tcPr>
            <w:tcW w:w="941" w:type="dxa"/>
            <w:tcBorders>
              <w:bottom w:val="nil"/>
            </w:tcBorders>
            <w:shd w:val="clear" w:color="auto" w:fill="F2F2F2" w:themeFill="background1" w:themeFillShade="F2"/>
            <w:vAlign w:val="bottom"/>
          </w:tcPr>
          <w:p w14:paraId="5017757C" w14:textId="77777777" w:rsidR="001B6918" w:rsidRPr="00CE5579" w:rsidRDefault="001B6918" w:rsidP="00730ECF">
            <w:pPr>
              <w:jc w:val="right"/>
              <w:rPr>
                <w:rFonts w:eastAsia="Times New Roman" w:cstheme="minorHAnsi"/>
                <w:b/>
                <w:bCs/>
                <w:color w:val="0D0D0D"/>
              </w:rPr>
            </w:pPr>
            <w:r w:rsidRPr="00CE5579">
              <w:rPr>
                <w:rFonts w:cstheme="minorHAnsi"/>
              </w:rPr>
              <w:t>(1,884)</w:t>
            </w:r>
          </w:p>
        </w:tc>
        <w:tc>
          <w:tcPr>
            <w:tcW w:w="941" w:type="dxa"/>
            <w:tcBorders>
              <w:bottom w:val="nil"/>
            </w:tcBorders>
            <w:shd w:val="clear" w:color="auto" w:fill="FFFFFF" w:themeFill="background1"/>
            <w:vAlign w:val="bottom"/>
          </w:tcPr>
          <w:p w14:paraId="2F030338" w14:textId="77777777" w:rsidR="001B6918" w:rsidRPr="004E6649" w:rsidRDefault="001B6918" w:rsidP="00730ECF">
            <w:pPr>
              <w:jc w:val="right"/>
              <w:rPr>
                <w:rFonts w:cstheme="minorHAnsi"/>
                <w:color w:val="FF0000"/>
              </w:rPr>
            </w:pPr>
            <w:r w:rsidRPr="004E6649">
              <w:rPr>
                <w:rFonts w:eastAsia="Times New Roman" w:cstheme="minorHAnsi"/>
              </w:rPr>
              <w:t>(2,118)</w:t>
            </w:r>
          </w:p>
        </w:tc>
        <w:tc>
          <w:tcPr>
            <w:tcW w:w="941" w:type="dxa"/>
            <w:tcBorders>
              <w:bottom w:val="nil"/>
            </w:tcBorders>
            <w:shd w:val="clear" w:color="auto" w:fill="F2F2F2" w:themeFill="background1" w:themeFillShade="F2"/>
            <w:vAlign w:val="bottom"/>
          </w:tcPr>
          <w:p w14:paraId="219F47C6" w14:textId="77777777" w:rsidR="001B6918" w:rsidRPr="004E6649" w:rsidRDefault="001B6918" w:rsidP="00730ECF">
            <w:pPr>
              <w:jc w:val="right"/>
              <w:rPr>
                <w:rFonts w:eastAsia="Times New Roman" w:cstheme="minorHAnsi"/>
                <w:color w:val="0D0D0D"/>
              </w:rPr>
            </w:pPr>
            <w:r w:rsidRPr="004E6649">
              <w:rPr>
                <w:rFonts w:cstheme="minorHAnsi"/>
                <w:color w:val="0D0D0D"/>
              </w:rPr>
              <w:t xml:space="preserve">159 </w:t>
            </w:r>
          </w:p>
        </w:tc>
        <w:tc>
          <w:tcPr>
            <w:tcW w:w="941" w:type="dxa"/>
            <w:tcBorders>
              <w:bottom w:val="nil"/>
            </w:tcBorders>
            <w:shd w:val="clear" w:color="000000" w:fill="FFFFFF"/>
            <w:noWrap/>
            <w:vAlign w:val="bottom"/>
            <w:hideMark/>
          </w:tcPr>
          <w:p w14:paraId="769134E4"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D0D0D"/>
              </w:rPr>
              <w:t>(33)</w:t>
            </w:r>
          </w:p>
        </w:tc>
        <w:tc>
          <w:tcPr>
            <w:tcW w:w="943" w:type="dxa"/>
            <w:tcBorders>
              <w:bottom w:val="nil"/>
            </w:tcBorders>
            <w:shd w:val="clear" w:color="auto" w:fill="F2F2F2" w:themeFill="background1" w:themeFillShade="F2"/>
            <w:noWrap/>
            <w:vAlign w:val="bottom"/>
            <w:hideMark/>
          </w:tcPr>
          <w:p w14:paraId="3BA71759"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D0D0D"/>
              </w:rPr>
              <w:t>(422)</w:t>
            </w:r>
          </w:p>
        </w:tc>
        <w:tc>
          <w:tcPr>
            <w:tcW w:w="939" w:type="dxa"/>
            <w:tcBorders>
              <w:bottom w:val="nil"/>
            </w:tcBorders>
            <w:shd w:val="clear" w:color="000000" w:fill="FFFFFF"/>
            <w:noWrap/>
            <w:vAlign w:val="bottom"/>
            <w:hideMark/>
          </w:tcPr>
          <w:p w14:paraId="14378960"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D0D0D"/>
              </w:rPr>
              <w:t>(808)</w:t>
            </w:r>
          </w:p>
        </w:tc>
        <w:tc>
          <w:tcPr>
            <w:tcW w:w="941" w:type="dxa"/>
            <w:tcBorders>
              <w:bottom w:val="nil"/>
            </w:tcBorders>
            <w:shd w:val="clear" w:color="auto" w:fill="F2F2F2" w:themeFill="background1" w:themeFillShade="F2"/>
            <w:noWrap/>
            <w:vAlign w:val="bottom"/>
            <w:hideMark/>
          </w:tcPr>
          <w:p w14:paraId="319DEBC3"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D0D0D"/>
              </w:rPr>
              <w:t xml:space="preserve">66 </w:t>
            </w:r>
          </w:p>
        </w:tc>
        <w:tc>
          <w:tcPr>
            <w:tcW w:w="941" w:type="dxa"/>
            <w:tcBorders>
              <w:bottom w:val="nil"/>
            </w:tcBorders>
            <w:shd w:val="clear" w:color="000000" w:fill="FFFFFF"/>
            <w:noWrap/>
            <w:vAlign w:val="bottom"/>
            <w:hideMark/>
          </w:tcPr>
          <w:p w14:paraId="126A610C"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D0D0D"/>
              </w:rPr>
              <w:t>(2,744)</w:t>
            </w:r>
          </w:p>
        </w:tc>
      </w:tr>
      <w:tr w:rsidR="001B6918" w:rsidRPr="004E6649" w14:paraId="0DB61FD3" w14:textId="77777777" w:rsidTr="00D163A9">
        <w:trPr>
          <w:trHeight w:val="332"/>
          <w:jc w:val="center"/>
        </w:trPr>
        <w:tc>
          <w:tcPr>
            <w:tcW w:w="4450" w:type="dxa"/>
            <w:tcBorders>
              <w:bottom w:val="single" w:sz="4" w:space="0" w:color="auto"/>
            </w:tcBorders>
            <w:shd w:val="clear" w:color="000000" w:fill="FFFFFF"/>
            <w:vAlign w:val="bottom"/>
            <w:hideMark/>
          </w:tcPr>
          <w:p w14:paraId="771770C3"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 xml:space="preserve">Total pension liability – beginning </w:t>
            </w:r>
          </w:p>
        </w:tc>
        <w:tc>
          <w:tcPr>
            <w:tcW w:w="941" w:type="dxa"/>
            <w:tcBorders>
              <w:bottom w:val="single" w:sz="4" w:space="0" w:color="auto"/>
            </w:tcBorders>
            <w:shd w:val="clear" w:color="auto" w:fill="F2F2F2" w:themeFill="background1" w:themeFillShade="F2"/>
            <w:vAlign w:val="bottom"/>
          </w:tcPr>
          <w:p w14:paraId="594DD6FC" w14:textId="77777777" w:rsidR="001B6918" w:rsidRPr="00D163A9" w:rsidRDefault="001B6918" w:rsidP="00730ECF">
            <w:pPr>
              <w:jc w:val="right"/>
              <w:rPr>
                <w:rFonts w:eastAsia="Times New Roman" w:cstheme="minorHAnsi"/>
                <w:bCs/>
                <w:color w:val="0D0D0D"/>
              </w:rPr>
            </w:pPr>
            <w:r w:rsidRPr="00D163A9">
              <w:rPr>
                <w:rFonts w:eastAsia="Times New Roman" w:cstheme="minorHAnsi"/>
                <w:bCs/>
                <w:color w:val="0D0D0D"/>
              </w:rPr>
              <w:t xml:space="preserve">14,718 </w:t>
            </w:r>
          </w:p>
        </w:tc>
        <w:tc>
          <w:tcPr>
            <w:tcW w:w="941" w:type="dxa"/>
            <w:tcBorders>
              <w:bottom w:val="single" w:sz="4" w:space="0" w:color="auto"/>
            </w:tcBorders>
            <w:shd w:val="clear" w:color="auto" w:fill="FFFFFF" w:themeFill="background1"/>
            <w:vAlign w:val="bottom"/>
          </w:tcPr>
          <w:p w14:paraId="1A3D5BFD" w14:textId="77777777" w:rsidR="001B6918" w:rsidRPr="00A333AB" w:rsidRDefault="001B6918" w:rsidP="00730ECF">
            <w:pPr>
              <w:jc w:val="right"/>
              <w:rPr>
                <w:rFonts w:eastAsia="Times New Roman" w:cstheme="minorHAnsi"/>
                <w:bCs/>
                <w:color w:val="0D0D0D"/>
              </w:rPr>
            </w:pPr>
            <w:r>
              <w:rPr>
                <w:rFonts w:eastAsia="Times New Roman" w:cstheme="minorHAnsi"/>
                <w:bCs/>
                <w:color w:val="0D0D0D"/>
              </w:rPr>
              <w:t xml:space="preserve">    17,206</w:t>
            </w:r>
          </w:p>
        </w:tc>
        <w:tc>
          <w:tcPr>
            <w:tcW w:w="941" w:type="dxa"/>
            <w:tcBorders>
              <w:bottom w:val="single" w:sz="4" w:space="0" w:color="auto"/>
            </w:tcBorders>
            <w:shd w:val="clear" w:color="auto" w:fill="F2F2F2" w:themeFill="background1" w:themeFillShade="F2"/>
            <w:vAlign w:val="bottom"/>
          </w:tcPr>
          <w:p w14:paraId="3EFEB59A" w14:textId="77777777" w:rsidR="001B6918" w:rsidRPr="00CE5579" w:rsidRDefault="001B6918" w:rsidP="00730ECF">
            <w:pPr>
              <w:jc w:val="right"/>
              <w:rPr>
                <w:rFonts w:eastAsia="Times New Roman" w:cstheme="minorHAnsi"/>
                <w:b/>
                <w:bCs/>
                <w:color w:val="0D0D0D"/>
              </w:rPr>
            </w:pPr>
            <w:r w:rsidRPr="00CE5579">
              <w:rPr>
                <w:rFonts w:cstheme="minorHAnsi"/>
              </w:rPr>
              <w:t>19,090</w:t>
            </w:r>
          </w:p>
        </w:tc>
        <w:tc>
          <w:tcPr>
            <w:tcW w:w="941" w:type="dxa"/>
            <w:tcBorders>
              <w:bottom w:val="single" w:sz="4" w:space="0" w:color="auto"/>
            </w:tcBorders>
            <w:shd w:val="clear" w:color="auto" w:fill="FFFFFF" w:themeFill="background1"/>
            <w:vAlign w:val="bottom"/>
          </w:tcPr>
          <w:p w14:paraId="4C89B3BB" w14:textId="77777777" w:rsidR="001B6918" w:rsidRPr="004E6649" w:rsidRDefault="001B6918" w:rsidP="00730ECF">
            <w:pPr>
              <w:jc w:val="right"/>
              <w:rPr>
                <w:rFonts w:cstheme="minorHAnsi"/>
              </w:rPr>
            </w:pPr>
            <w:r w:rsidRPr="004E6649">
              <w:rPr>
                <w:rFonts w:eastAsia="Times New Roman" w:cstheme="minorHAnsi"/>
              </w:rPr>
              <w:t>21,208</w:t>
            </w:r>
          </w:p>
        </w:tc>
        <w:tc>
          <w:tcPr>
            <w:tcW w:w="941" w:type="dxa"/>
            <w:tcBorders>
              <w:bottom w:val="single" w:sz="4" w:space="0" w:color="auto"/>
            </w:tcBorders>
            <w:shd w:val="clear" w:color="auto" w:fill="F2F2F2" w:themeFill="background1" w:themeFillShade="F2"/>
            <w:vAlign w:val="bottom"/>
          </w:tcPr>
          <w:p w14:paraId="59C0DE28" w14:textId="77777777" w:rsidR="001B6918" w:rsidRPr="004E6649" w:rsidRDefault="001B6918" w:rsidP="00730ECF">
            <w:pPr>
              <w:jc w:val="right"/>
              <w:rPr>
                <w:rFonts w:eastAsia="Times New Roman" w:cstheme="minorHAnsi"/>
                <w:color w:val="0D0D0D"/>
              </w:rPr>
            </w:pPr>
            <w:r w:rsidRPr="004E6649">
              <w:rPr>
                <w:rFonts w:cstheme="minorHAnsi"/>
                <w:color w:val="0D0D0D"/>
              </w:rPr>
              <w:t xml:space="preserve">21,049 </w:t>
            </w:r>
          </w:p>
        </w:tc>
        <w:tc>
          <w:tcPr>
            <w:tcW w:w="941" w:type="dxa"/>
            <w:tcBorders>
              <w:bottom w:val="single" w:sz="4" w:space="0" w:color="auto"/>
            </w:tcBorders>
            <w:shd w:val="clear" w:color="000000" w:fill="FFFFFF"/>
            <w:noWrap/>
            <w:vAlign w:val="bottom"/>
            <w:hideMark/>
          </w:tcPr>
          <w:p w14:paraId="57177A79"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D0D0D"/>
              </w:rPr>
              <w:t>21,082</w:t>
            </w:r>
          </w:p>
        </w:tc>
        <w:tc>
          <w:tcPr>
            <w:tcW w:w="943" w:type="dxa"/>
            <w:tcBorders>
              <w:bottom w:val="single" w:sz="4" w:space="0" w:color="auto"/>
            </w:tcBorders>
            <w:shd w:val="clear" w:color="auto" w:fill="F2F2F2" w:themeFill="background1" w:themeFillShade="F2"/>
            <w:noWrap/>
            <w:vAlign w:val="bottom"/>
            <w:hideMark/>
          </w:tcPr>
          <w:p w14:paraId="3AC25AE9"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D0D0D"/>
              </w:rPr>
              <w:t>21,504</w:t>
            </w:r>
          </w:p>
        </w:tc>
        <w:tc>
          <w:tcPr>
            <w:tcW w:w="939" w:type="dxa"/>
            <w:tcBorders>
              <w:bottom w:val="single" w:sz="4" w:space="0" w:color="auto"/>
            </w:tcBorders>
            <w:shd w:val="clear" w:color="000000" w:fill="FFFFFF"/>
            <w:noWrap/>
            <w:vAlign w:val="bottom"/>
            <w:hideMark/>
          </w:tcPr>
          <w:p w14:paraId="4D266626"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D0D0D"/>
              </w:rPr>
              <w:t>22,312</w:t>
            </w:r>
          </w:p>
        </w:tc>
        <w:tc>
          <w:tcPr>
            <w:tcW w:w="941" w:type="dxa"/>
            <w:tcBorders>
              <w:bottom w:val="single" w:sz="4" w:space="0" w:color="auto"/>
            </w:tcBorders>
            <w:shd w:val="clear" w:color="auto" w:fill="F2F2F2" w:themeFill="background1" w:themeFillShade="F2"/>
            <w:noWrap/>
            <w:vAlign w:val="bottom"/>
            <w:hideMark/>
          </w:tcPr>
          <w:p w14:paraId="5529A0E9"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D0D0D"/>
              </w:rPr>
              <w:t>22,246</w:t>
            </w:r>
          </w:p>
        </w:tc>
        <w:tc>
          <w:tcPr>
            <w:tcW w:w="941" w:type="dxa"/>
            <w:tcBorders>
              <w:bottom w:val="single" w:sz="4" w:space="0" w:color="auto"/>
            </w:tcBorders>
            <w:shd w:val="clear" w:color="000000" w:fill="FFFFFF"/>
            <w:noWrap/>
            <w:vAlign w:val="bottom"/>
            <w:hideMark/>
          </w:tcPr>
          <w:p w14:paraId="390EF412"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D0D0D"/>
              </w:rPr>
              <w:t>24,990</w:t>
            </w:r>
          </w:p>
        </w:tc>
      </w:tr>
      <w:tr w:rsidR="001B6918" w:rsidRPr="004E6649" w14:paraId="18477461" w14:textId="77777777" w:rsidTr="008D0A33">
        <w:trPr>
          <w:trHeight w:val="282"/>
          <w:jc w:val="center"/>
        </w:trPr>
        <w:tc>
          <w:tcPr>
            <w:tcW w:w="4450" w:type="dxa"/>
            <w:tcBorders>
              <w:top w:val="single" w:sz="4" w:space="0" w:color="auto"/>
              <w:bottom w:val="double" w:sz="4" w:space="0" w:color="000000" w:themeColor="text1"/>
            </w:tcBorders>
            <w:shd w:val="clear" w:color="000000" w:fill="FFFFFF"/>
            <w:vAlign w:val="bottom"/>
            <w:hideMark/>
          </w:tcPr>
          <w:p w14:paraId="1EEF877E"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Total pension liability – ending</w:t>
            </w:r>
          </w:p>
        </w:tc>
        <w:tc>
          <w:tcPr>
            <w:tcW w:w="941" w:type="dxa"/>
            <w:tcBorders>
              <w:top w:val="single" w:sz="4" w:space="0" w:color="auto"/>
              <w:bottom w:val="double" w:sz="4" w:space="0" w:color="000000" w:themeColor="text1"/>
            </w:tcBorders>
            <w:shd w:val="clear" w:color="auto" w:fill="F2F2F2" w:themeFill="background1" w:themeFillShade="F2"/>
            <w:vAlign w:val="bottom"/>
          </w:tcPr>
          <w:p w14:paraId="662DBC32" w14:textId="77777777" w:rsidR="001B6918" w:rsidRPr="00F96B39" w:rsidRDefault="001B6918" w:rsidP="00730ECF">
            <w:pPr>
              <w:jc w:val="right"/>
              <w:rPr>
                <w:rFonts w:eastAsia="Times New Roman" w:cstheme="minorHAnsi"/>
                <w:bCs/>
                <w:color w:val="FF0000"/>
              </w:rPr>
            </w:pPr>
            <w:r>
              <w:rPr>
                <w:rFonts w:ascii="Calibri" w:hAnsi="Calibri" w:cs="Calibri"/>
              </w:rPr>
              <w:t xml:space="preserve"> $14,256 </w:t>
            </w:r>
          </w:p>
        </w:tc>
        <w:tc>
          <w:tcPr>
            <w:tcW w:w="941" w:type="dxa"/>
            <w:tcBorders>
              <w:top w:val="single" w:sz="4" w:space="0" w:color="auto"/>
              <w:bottom w:val="double" w:sz="4" w:space="0" w:color="000000" w:themeColor="text1"/>
            </w:tcBorders>
            <w:shd w:val="clear" w:color="auto" w:fill="FFFFFF" w:themeFill="background1"/>
            <w:vAlign w:val="bottom"/>
          </w:tcPr>
          <w:p w14:paraId="0399B8B0" w14:textId="77777777" w:rsidR="001B6918" w:rsidRPr="00A333AB" w:rsidRDefault="001B6918" w:rsidP="00730ECF">
            <w:pPr>
              <w:jc w:val="right"/>
              <w:rPr>
                <w:rFonts w:eastAsia="Times New Roman" w:cstheme="minorHAnsi"/>
                <w:bCs/>
                <w:color w:val="0D0D0D"/>
              </w:rPr>
            </w:pPr>
            <w:r>
              <w:rPr>
                <w:rFonts w:eastAsia="Times New Roman" w:cstheme="minorHAnsi"/>
                <w:bCs/>
                <w:color w:val="0D0D0D"/>
              </w:rPr>
              <w:t>$14,718</w:t>
            </w:r>
          </w:p>
        </w:tc>
        <w:tc>
          <w:tcPr>
            <w:tcW w:w="941" w:type="dxa"/>
            <w:tcBorders>
              <w:top w:val="single" w:sz="4" w:space="0" w:color="auto"/>
              <w:bottom w:val="double" w:sz="4" w:space="0" w:color="000000" w:themeColor="text1"/>
            </w:tcBorders>
            <w:shd w:val="clear" w:color="auto" w:fill="F2F2F2" w:themeFill="background1" w:themeFillShade="F2"/>
            <w:vAlign w:val="bottom"/>
          </w:tcPr>
          <w:p w14:paraId="3B4EE857" w14:textId="77777777" w:rsidR="001B6918" w:rsidRPr="00CE5579" w:rsidRDefault="001B6918" w:rsidP="00730ECF">
            <w:pPr>
              <w:jc w:val="right"/>
              <w:rPr>
                <w:rFonts w:eastAsia="Times New Roman" w:cstheme="minorHAnsi"/>
                <w:b/>
                <w:bCs/>
                <w:color w:val="0D0D0D"/>
              </w:rPr>
            </w:pPr>
            <w:r w:rsidRPr="00CE5579">
              <w:rPr>
                <w:rFonts w:cstheme="minorHAnsi"/>
              </w:rPr>
              <w:t>$17,206</w:t>
            </w:r>
          </w:p>
        </w:tc>
        <w:tc>
          <w:tcPr>
            <w:tcW w:w="941" w:type="dxa"/>
            <w:tcBorders>
              <w:top w:val="single" w:sz="4" w:space="0" w:color="auto"/>
              <w:bottom w:val="double" w:sz="4" w:space="0" w:color="000000" w:themeColor="text1"/>
            </w:tcBorders>
            <w:shd w:val="clear" w:color="auto" w:fill="FFFFFF" w:themeFill="background1"/>
            <w:vAlign w:val="bottom"/>
          </w:tcPr>
          <w:p w14:paraId="5D34387B" w14:textId="77777777" w:rsidR="001B6918" w:rsidRPr="004E6649" w:rsidRDefault="001B6918" w:rsidP="00730ECF">
            <w:pPr>
              <w:jc w:val="right"/>
              <w:rPr>
                <w:rFonts w:cstheme="minorHAnsi"/>
              </w:rPr>
            </w:pPr>
            <w:r w:rsidRPr="004E6649">
              <w:rPr>
                <w:rFonts w:eastAsia="Times New Roman" w:cstheme="minorHAnsi"/>
              </w:rPr>
              <w:t>$19,090</w:t>
            </w:r>
          </w:p>
        </w:tc>
        <w:tc>
          <w:tcPr>
            <w:tcW w:w="941" w:type="dxa"/>
            <w:tcBorders>
              <w:top w:val="single" w:sz="4" w:space="0" w:color="auto"/>
              <w:bottom w:val="double" w:sz="4" w:space="0" w:color="000000" w:themeColor="text1"/>
            </w:tcBorders>
            <w:shd w:val="clear" w:color="auto" w:fill="F2F2F2" w:themeFill="background1" w:themeFillShade="F2"/>
            <w:vAlign w:val="bottom"/>
          </w:tcPr>
          <w:p w14:paraId="3767AF96" w14:textId="77777777" w:rsidR="001B6918" w:rsidRPr="004E6649" w:rsidRDefault="001B6918" w:rsidP="00730ECF">
            <w:pPr>
              <w:jc w:val="right"/>
              <w:rPr>
                <w:rFonts w:eastAsia="Times New Roman" w:cstheme="minorHAnsi"/>
                <w:color w:val="0D0D0D"/>
              </w:rPr>
            </w:pPr>
            <w:r w:rsidRPr="004E6649">
              <w:rPr>
                <w:rFonts w:cstheme="minorHAnsi"/>
                <w:color w:val="0D0D0D"/>
              </w:rPr>
              <w:t xml:space="preserve">$21,208 </w:t>
            </w:r>
          </w:p>
        </w:tc>
        <w:tc>
          <w:tcPr>
            <w:tcW w:w="941" w:type="dxa"/>
            <w:tcBorders>
              <w:top w:val="single" w:sz="4" w:space="0" w:color="auto"/>
              <w:bottom w:val="double" w:sz="4" w:space="0" w:color="000000" w:themeColor="text1"/>
            </w:tcBorders>
            <w:shd w:val="clear" w:color="000000" w:fill="FFFFFF"/>
            <w:noWrap/>
            <w:vAlign w:val="bottom"/>
            <w:hideMark/>
          </w:tcPr>
          <w:p w14:paraId="1FC7CC5C"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D0D0D"/>
              </w:rPr>
              <w:t>$21,049</w:t>
            </w:r>
          </w:p>
        </w:tc>
        <w:tc>
          <w:tcPr>
            <w:tcW w:w="943" w:type="dxa"/>
            <w:tcBorders>
              <w:top w:val="single" w:sz="4" w:space="0" w:color="auto"/>
              <w:bottom w:val="double" w:sz="4" w:space="0" w:color="000000" w:themeColor="text1"/>
            </w:tcBorders>
            <w:shd w:val="clear" w:color="auto" w:fill="F2F2F2" w:themeFill="background1" w:themeFillShade="F2"/>
            <w:noWrap/>
            <w:vAlign w:val="bottom"/>
            <w:hideMark/>
          </w:tcPr>
          <w:p w14:paraId="4EF7A81C"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D0D0D"/>
              </w:rPr>
              <w:t>$21,082</w:t>
            </w:r>
          </w:p>
        </w:tc>
        <w:tc>
          <w:tcPr>
            <w:tcW w:w="939" w:type="dxa"/>
            <w:tcBorders>
              <w:top w:val="single" w:sz="4" w:space="0" w:color="auto"/>
              <w:bottom w:val="double" w:sz="4" w:space="0" w:color="000000" w:themeColor="text1"/>
            </w:tcBorders>
            <w:shd w:val="clear" w:color="000000" w:fill="FFFFFF"/>
            <w:noWrap/>
            <w:vAlign w:val="bottom"/>
            <w:hideMark/>
          </w:tcPr>
          <w:p w14:paraId="0DF906FA"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D0D0D"/>
              </w:rPr>
              <w:t>$21,504</w:t>
            </w:r>
          </w:p>
        </w:tc>
        <w:tc>
          <w:tcPr>
            <w:tcW w:w="941" w:type="dxa"/>
            <w:tcBorders>
              <w:top w:val="single" w:sz="4" w:space="0" w:color="auto"/>
              <w:bottom w:val="double" w:sz="4" w:space="0" w:color="000000" w:themeColor="text1"/>
            </w:tcBorders>
            <w:shd w:val="clear" w:color="auto" w:fill="F2F2F2" w:themeFill="background1" w:themeFillShade="F2"/>
            <w:noWrap/>
            <w:vAlign w:val="bottom"/>
            <w:hideMark/>
          </w:tcPr>
          <w:p w14:paraId="258D5F44"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D0D0D"/>
              </w:rPr>
              <w:t>$22,312</w:t>
            </w:r>
          </w:p>
        </w:tc>
        <w:tc>
          <w:tcPr>
            <w:tcW w:w="941" w:type="dxa"/>
            <w:tcBorders>
              <w:top w:val="single" w:sz="4" w:space="0" w:color="auto"/>
              <w:bottom w:val="double" w:sz="4" w:space="0" w:color="000000" w:themeColor="text1"/>
            </w:tcBorders>
            <w:shd w:val="clear" w:color="000000" w:fill="FFFFFF"/>
            <w:noWrap/>
            <w:vAlign w:val="bottom"/>
            <w:hideMark/>
          </w:tcPr>
          <w:p w14:paraId="3B8C8141"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D0D0D"/>
              </w:rPr>
              <w:t>$22,246</w:t>
            </w:r>
          </w:p>
        </w:tc>
      </w:tr>
      <w:tr w:rsidR="001B6918" w:rsidRPr="004E6649" w14:paraId="16E834EB" w14:textId="77777777" w:rsidTr="008D0A33">
        <w:trPr>
          <w:trHeight w:val="276"/>
          <w:jc w:val="center"/>
        </w:trPr>
        <w:tc>
          <w:tcPr>
            <w:tcW w:w="4450" w:type="dxa"/>
            <w:tcBorders>
              <w:top w:val="double" w:sz="4" w:space="0" w:color="000000" w:themeColor="text1"/>
              <w:bottom w:val="nil"/>
            </w:tcBorders>
            <w:shd w:val="clear" w:color="000000" w:fill="FFFFFF"/>
            <w:noWrap/>
            <w:vAlign w:val="bottom"/>
            <w:hideMark/>
          </w:tcPr>
          <w:p w14:paraId="084877F2"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Covered payroll</w:t>
            </w:r>
          </w:p>
        </w:tc>
        <w:tc>
          <w:tcPr>
            <w:tcW w:w="941" w:type="dxa"/>
            <w:tcBorders>
              <w:top w:val="double" w:sz="4" w:space="0" w:color="000000" w:themeColor="text1"/>
              <w:bottom w:val="nil"/>
            </w:tcBorders>
            <w:shd w:val="clear" w:color="auto" w:fill="F2F2F2" w:themeFill="background1" w:themeFillShade="F2"/>
            <w:vAlign w:val="bottom"/>
          </w:tcPr>
          <w:p w14:paraId="5F2E360F" w14:textId="77777777" w:rsidR="001B6918" w:rsidRPr="00F96B39" w:rsidRDefault="001B6918" w:rsidP="00730ECF">
            <w:pPr>
              <w:jc w:val="right"/>
              <w:rPr>
                <w:rFonts w:eastAsia="Times New Roman" w:cstheme="minorHAnsi"/>
                <w:bCs/>
                <w:color w:val="FF0000"/>
              </w:rPr>
            </w:pPr>
            <w:r>
              <w:rPr>
                <w:rFonts w:ascii="Calibri" w:hAnsi="Calibri" w:cs="Calibri"/>
              </w:rPr>
              <w:t xml:space="preserve"> $43,911 </w:t>
            </w:r>
          </w:p>
        </w:tc>
        <w:tc>
          <w:tcPr>
            <w:tcW w:w="941" w:type="dxa"/>
            <w:tcBorders>
              <w:top w:val="double" w:sz="4" w:space="0" w:color="000000" w:themeColor="text1"/>
              <w:bottom w:val="nil"/>
            </w:tcBorders>
            <w:shd w:val="clear" w:color="auto" w:fill="FFFFFF" w:themeFill="background1"/>
            <w:vAlign w:val="bottom"/>
          </w:tcPr>
          <w:p w14:paraId="0ADCD1AB" w14:textId="77777777" w:rsidR="001B6918" w:rsidRPr="00A333AB" w:rsidRDefault="001B6918" w:rsidP="00730ECF">
            <w:pPr>
              <w:jc w:val="right"/>
              <w:rPr>
                <w:rFonts w:eastAsia="Times New Roman" w:cstheme="minorHAnsi"/>
                <w:bCs/>
                <w:color w:val="0D0D0D"/>
              </w:rPr>
            </w:pPr>
            <w:r>
              <w:rPr>
                <w:rFonts w:eastAsia="Times New Roman" w:cstheme="minorHAnsi"/>
                <w:bCs/>
                <w:color w:val="0D0D0D"/>
              </w:rPr>
              <w:t>$46,627</w:t>
            </w:r>
          </w:p>
        </w:tc>
        <w:tc>
          <w:tcPr>
            <w:tcW w:w="941" w:type="dxa"/>
            <w:tcBorders>
              <w:top w:val="double" w:sz="4" w:space="0" w:color="000000" w:themeColor="text1"/>
              <w:bottom w:val="nil"/>
            </w:tcBorders>
            <w:shd w:val="clear" w:color="auto" w:fill="F2F2F2" w:themeFill="background1" w:themeFillShade="F2"/>
            <w:vAlign w:val="bottom"/>
          </w:tcPr>
          <w:p w14:paraId="54643608" w14:textId="77777777" w:rsidR="001B6918" w:rsidRPr="00CE5579" w:rsidRDefault="001B6918" w:rsidP="00730ECF">
            <w:pPr>
              <w:jc w:val="right"/>
              <w:rPr>
                <w:rFonts w:eastAsia="Times New Roman" w:cstheme="minorHAnsi"/>
                <w:b/>
                <w:bCs/>
                <w:color w:val="0D0D0D"/>
              </w:rPr>
            </w:pPr>
            <w:r w:rsidRPr="00CE5579">
              <w:rPr>
                <w:rFonts w:cstheme="minorHAnsi"/>
              </w:rPr>
              <w:t>$51,931</w:t>
            </w:r>
          </w:p>
        </w:tc>
        <w:tc>
          <w:tcPr>
            <w:tcW w:w="941" w:type="dxa"/>
            <w:tcBorders>
              <w:top w:val="double" w:sz="4" w:space="0" w:color="000000" w:themeColor="text1"/>
              <w:bottom w:val="nil"/>
            </w:tcBorders>
            <w:shd w:val="clear" w:color="auto" w:fill="FFFFFF" w:themeFill="background1"/>
            <w:vAlign w:val="bottom"/>
          </w:tcPr>
          <w:p w14:paraId="2379B17E" w14:textId="77777777" w:rsidR="001B6918" w:rsidRPr="004E6649" w:rsidRDefault="001B6918" w:rsidP="00730ECF">
            <w:pPr>
              <w:jc w:val="right"/>
              <w:rPr>
                <w:rFonts w:cstheme="minorHAnsi"/>
              </w:rPr>
            </w:pPr>
            <w:r w:rsidRPr="004E6649">
              <w:rPr>
                <w:rFonts w:eastAsia="Times New Roman" w:cstheme="minorHAnsi"/>
              </w:rPr>
              <w:t>$59,119</w:t>
            </w:r>
          </w:p>
        </w:tc>
        <w:tc>
          <w:tcPr>
            <w:tcW w:w="941" w:type="dxa"/>
            <w:tcBorders>
              <w:top w:val="double" w:sz="4" w:space="0" w:color="000000" w:themeColor="text1"/>
              <w:bottom w:val="nil"/>
            </w:tcBorders>
            <w:shd w:val="clear" w:color="auto" w:fill="F2F2F2" w:themeFill="background1" w:themeFillShade="F2"/>
            <w:vAlign w:val="bottom"/>
          </w:tcPr>
          <w:p w14:paraId="0E9AE76C" w14:textId="77777777" w:rsidR="001B6918" w:rsidRPr="004E6649" w:rsidRDefault="001B6918" w:rsidP="00730ECF">
            <w:pPr>
              <w:jc w:val="right"/>
              <w:rPr>
                <w:rFonts w:eastAsia="Times New Roman" w:cstheme="minorHAnsi"/>
                <w:color w:val="0D0D0D"/>
              </w:rPr>
            </w:pPr>
            <w:r w:rsidRPr="004E6649">
              <w:rPr>
                <w:rFonts w:cstheme="minorHAnsi"/>
              </w:rPr>
              <w:t xml:space="preserve">$62,646 </w:t>
            </w:r>
          </w:p>
        </w:tc>
        <w:tc>
          <w:tcPr>
            <w:tcW w:w="941" w:type="dxa"/>
            <w:tcBorders>
              <w:top w:val="double" w:sz="4" w:space="0" w:color="000000" w:themeColor="text1"/>
              <w:bottom w:val="nil"/>
            </w:tcBorders>
            <w:shd w:val="clear" w:color="000000" w:fill="FFFFFF"/>
            <w:noWrap/>
            <w:vAlign w:val="bottom"/>
            <w:hideMark/>
          </w:tcPr>
          <w:p w14:paraId="67ACD9FF"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D0D0D"/>
              </w:rPr>
              <w:t>$67,303</w:t>
            </w:r>
          </w:p>
        </w:tc>
        <w:tc>
          <w:tcPr>
            <w:tcW w:w="943" w:type="dxa"/>
            <w:tcBorders>
              <w:top w:val="double" w:sz="4" w:space="0" w:color="000000" w:themeColor="text1"/>
              <w:bottom w:val="nil"/>
            </w:tcBorders>
            <w:shd w:val="clear" w:color="auto" w:fill="F2F2F2" w:themeFill="background1" w:themeFillShade="F2"/>
            <w:noWrap/>
            <w:vAlign w:val="bottom"/>
            <w:hideMark/>
          </w:tcPr>
          <w:p w14:paraId="6D33FB94"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D0D0D"/>
              </w:rPr>
              <w:t>$68,685</w:t>
            </w:r>
          </w:p>
        </w:tc>
        <w:tc>
          <w:tcPr>
            <w:tcW w:w="939" w:type="dxa"/>
            <w:tcBorders>
              <w:top w:val="double" w:sz="4" w:space="0" w:color="000000" w:themeColor="text1"/>
              <w:bottom w:val="nil"/>
            </w:tcBorders>
            <w:shd w:val="clear" w:color="000000" w:fill="FFFFFF"/>
            <w:noWrap/>
            <w:vAlign w:val="bottom"/>
            <w:hideMark/>
          </w:tcPr>
          <w:p w14:paraId="7E4744D6"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D0D0D"/>
              </w:rPr>
              <w:t>$72,541</w:t>
            </w:r>
          </w:p>
        </w:tc>
        <w:tc>
          <w:tcPr>
            <w:tcW w:w="941" w:type="dxa"/>
            <w:tcBorders>
              <w:top w:val="double" w:sz="4" w:space="0" w:color="000000" w:themeColor="text1"/>
              <w:bottom w:val="nil"/>
            </w:tcBorders>
            <w:shd w:val="clear" w:color="auto" w:fill="F2F2F2" w:themeFill="background1" w:themeFillShade="F2"/>
            <w:noWrap/>
            <w:vAlign w:val="bottom"/>
            <w:hideMark/>
          </w:tcPr>
          <w:p w14:paraId="0F28D17D"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D0D0D"/>
              </w:rPr>
              <w:t>$77,644</w:t>
            </w:r>
          </w:p>
        </w:tc>
        <w:tc>
          <w:tcPr>
            <w:tcW w:w="941" w:type="dxa"/>
            <w:tcBorders>
              <w:top w:val="double" w:sz="4" w:space="0" w:color="000000" w:themeColor="text1"/>
              <w:bottom w:val="nil"/>
            </w:tcBorders>
            <w:shd w:val="clear" w:color="000000" w:fill="FFFFFF"/>
            <w:noWrap/>
            <w:vAlign w:val="bottom"/>
            <w:hideMark/>
          </w:tcPr>
          <w:p w14:paraId="2BF952BF"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D0D0D"/>
              </w:rPr>
              <w:t>$95,653</w:t>
            </w:r>
          </w:p>
        </w:tc>
      </w:tr>
      <w:tr w:rsidR="001B6918" w:rsidRPr="004E6649" w14:paraId="239D5A50" w14:textId="77777777" w:rsidTr="008D0A33">
        <w:trPr>
          <w:trHeight w:val="265"/>
          <w:jc w:val="center"/>
        </w:trPr>
        <w:tc>
          <w:tcPr>
            <w:tcW w:w="4450" w:type="dxa"/>
            <w:tcBorders>
              <w:top w:val="nil"/>
            </w:tcBorders>
            <w:shd w:val="clear" w:color="000000" w:fill="FFFFFF"/>
            <w:vAlign w:val="bottom"/>
            <w:hideMark/>
          </w:tcPr>
          <w:p w14:paraId="6542D271"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Total pension liability as a percentage of covered payroll</w:t>
            </w:r>
          </w:p>
        </w:tc>
        <w:tc>
          <w:tcPr>
            <w:tcW w:w="941" w:type="dxa"/>
            <w:tcBorders>
              <w:top w:val="nil"/>
            </w:tcBorders>
            <w:shd w:val="clear" w:color="auto" w:fill="F2F2F2" w:themeFill="background1" w:themeFillShade="F2"/>
            <w:vAlign w:val="bottom"/>
          </w:tcPr>
          <w:p w14:paraId="4F90264C" w14:textId="77777777" w:rsidR="001B6918" w:rsidRPr="00F96B39" w:rsidRDefault="001B6918" w:rsidP="00730ECF">
            <w:pPr>
              <w:jc w:val="right"/>
              <w:rPr>
                <w:rFonts w:eastAsia="Times New Roman" w:cstheme="minorHAnsi"/>
                <w:bCs/>
                <w:color w:val="FF0000"/>
              </w:rPr>
            </w:pPr>
            <w:r>
              <w:rPr>
                <w:rFonts w:ascii="Calibri" w:hAnsi="Calibri" w:cs="Calibri"/>
              </w:rPr>
              <w:t>32.47%</w:t>
            </w:r>
          </w:p>
        </w:tc>
        <w:tc>
          <w:tcPr>
            <w:tcW w:w="941" w:type="dxa"/>
            <w:tcBorders>
              <w:top w:val="nil"/>
            </w:tcBorders>
            <w:shd w:val="clear" w:color="auto" w:fill="FFFFFF" w:themeFill="background1"/>
            <w:vAlign w:val="bottom"/>
          </w:tcPr>
          <w:p w14:paraId="681A0501" w14:textId="77777777" w:rsidR="001B6918" w:rsidRPr="00A333AB" w:rsidRDefault="001B6918" w:rsidP="00730ECF">
            <w:pPr>
              <w:jc w:val="right"/>
              <w:rPr>
                <w:rFonts w:eastAsia="Times New Roman" w:cstheme="minorHAnsi"/>
                <w:bCs/>
                <w:color w:val="0D0D0D"/>
              </w:rPr>
            </w:pPr>
            <w:r>
              <w:rPr>
                <w:rFonts w:eastAsia="Times New Roman" w:cstheme="minorHAnsi"/>
                <w:bCs/>
                <w:color w:val="0D0D0D"/>
              </w:rPr>
              <w:t>31.57%</w:t>
            </w:r>
          </w:p>
        </w:tc>
        <w:tc>
          <w:tcPr>
            <w:tcW w:w="941" w:type="dxa"/>
            <w:tcBorders>
              <w:top w:val="nil"/>
            </w:tcBorders>
            <w:shd w:val="clear" w:color="auto" w:fill="F2F2F2" w:themeFill="background1" w:themeFillShade="F2"/>
            <w:vAlign w:val="bottom"/>
          </w:tcPr>
          <w:p w14:paraId="493ED792" w14:textId="77777777" w:rsidR="001B6918" w:rsidRPr="00CE5579" w:rsidRDefault="001B6918" w:rsidP="00730ECF">
            <w:pPr>
              <w:jc w:val="right"/>
              <w:rPr>
                <w:rFonts w:eastAsia="Times New Roman" w:cstheme="minorHAnsi"/>
                <w:b/>
                <w:bCs/>
                <w:color w:val="0D0D0D"/>
              </w:rPr>
            </w:pPr>
            <w:r w:rsidRPr="00CE5579">
              <w:rPr>
                <w:rFonts w:cstheme="minorHAnsi"/>
              </w:rPr>
              <w:t>33.13%</w:t>
            </w:r>
          </w:p>
        </w:tc>
        <w:tc>
          <w:tcPr>
            <w:tcW w:w="941" w:type="dxa"/>
            <w:tcBorders>
              <w:top w:val="nil"/>
            </w:tcBorders>
            <w:shd w:val="clear" w:color="auto" w:fill="FFFFFF" w:themeFill="background1"/>
            <w:vAlign w:val="bottom"/>
          </w:tcPr>
          <w:p w14:paraId="0AE0DE93" w14:textId="77777777" w:rsidR="001B6918" w:rsidRPr="004E6649" w:rsidRDefault="001B6918" w:rsidP="00730ECF">
            <w:pPr>
              <w:jc w:val="right"/>
              <w:rPr>
                <w:rFonts w:cstheme="minorHAnsi"/>
              </w:rPr>
            </w:pPr>
            <w:r w:rsidRPr="004E6649">
              <w:rPr>
                <w:rFonts w:eastAsia="Times New Roman" w:cstheme="minorHAnsi"/>
              </w:rPr>
              <w:t>32.29%</w:t>
            </w:r>
          </w:p>
        </w:tc>
        <w:tc>
          <w:tcPr>
            <w:tcW w:w="941" w:type="dxa"/>
            <w:tcBorders>
              <w:top w:val="nil"/>
            </w:tcBorders>
            <w:shd w:val="clear" w:color="auto" w:fill="F2F2F2" w:themeFill="background1" w:themeFillShade="F2"/>
            <w:vAlign w:val="bottom"/>
          </w:tcPr>
          <w:p w14:paraId="6FC75B68" w14:textId="77777777" w:rsidR="001B6918" w:rsidRPr="004E6649" w:rsidRDefault="001B6918" w:rsidP="00730ECF">
            <w:pPr>
              <w:jc w:val="right"/>
              <w:rPr>
                <w:rFonts w:eastAsia="Times New Roman" w:cstheme="minorHAnsi"/>
                <w:color w:val="0D0D0D"/>
              </w:rPr>
            </w:pPr>
            <w:r w:rsidRPr="004E6649">
              <w:rPr>
                <w:rFonts w:cstheme="minorHAnsi"/>
                <w:color w:val="0D0D0D"/>
              </w:rPr>
              <w:t>33.85%</w:t>
            </w:r>
          </w:p>
        </w:tc>
        <w:tc>
          <w:tcPr>
            <w:tcW w:w="941" w:type="dxa"/>
            <w:tcBorders>
              <w:top w:val="nil"/>
            </w:tcBorders>
            <w:shd w:val="clear" w:color="000000" w:fill="FFFFFF"/>
            <w:noWrap/>
            <w:vAlign w:val="bottom"/>
            <w:hideMark/>
          </w:tcPr>
          <w:p w14:paraId="4E0A92DA"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D0D0D"/>
              </w:rPr>
              <w:t>31.27%</w:t>
            </w:r>
          </w:p>
        </w:tc>
        <w:tc>
          <w:tcPr>
            <w:tcW w:w="943" w:type="dxa"/>
            <w:tcBorders>
              <w:top w:val="nil"/>
            </w:tcBorders>
            <w:shd w:val="clear" w:color="auto" w:fill="F2F2F2" w:themeFill="background1" w:themeFillShade="F2"/>
            <w:noWrap/>
            <w:vAlign w:val="bottom"/>
            <w:hideMark/>
          </w:tcPr>
          <w:p w14:paraId="06B08898"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D0D0D"/>
              </w:rPr>
              <w:t>30.69%</w:t>
            </w:r>
          </w:p>
        </w:tc>
        <w:tc>
          <w:tcPr>
            <w:tcW w:w="939" w:type="dxa"/>
            <w:tcBorders>
              <w:top w:val="nil"/>
            </w:tcBorders>
            <w:shd w:val="clear" w:color="000000" w:fill="FFFFFF"/>
            <w:noWrap/>
            <w:vAlign w:val="bottom"/>
            <w:hideMark/>
          </w:tcPr>
          <w:p w14:paraId="3D74E910"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D0D0D"/>
              </w:rPr>
              <w:t>29.64%</w:t>
            </w:r>
          </w:p>
        </w:tc>
        <w:tc>
          <w:tcPr>
            <w:tcW w:w="941" w:type="dxa"/>
            <w:tcBorders>
              <w:top w:val="nil"/>
            </w:tcBorders>
            <w:shd w:val="clear" w:color="auto" w:fill="F2F2F2" w:themeFill="background1" w:themeFillShade="F2"/>
            <w:noWrap/>
            <w:vAlign w:val="bottom"/>
            <w:hideMark/>
          </w:tcPr>
          <w:p w14:paraId="491DED58"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D0D0D"/>
              </w:rPr>
              <w:t>28.74%</w:t>
            </w:r>
          </w:p>
        </w:tc>
        <w:tc>
          <w:tcPr>
            <w:tcW w:w="941" w:type="dxa"/>
            <w:tcBorders>
              <w:top w:val="nil"/>
            </w:tcBorders>
            <w:shd w:val="clear" w:color="000000" w:fill="FFFFFF"/>
            <w:noWrap/>
            <w:vAlign w:val="bottom"/>
            <w:hideMark/>
          </w:tcPr>
          <w:p w14:paraId="1C271D57" w14:textId="77777777" w:rsidR="001B6918" w:rsidRPr="004E6649" w:rsidRDefault="001B6918" w:rsidP="00730ECF">
            <w:pPr>
              <w:jc w:val="right"/>
              <w:rPr>
                <w:rFonts w:eastAsia="Times New Roman" w:cstheme="minorHAnsi"/>
                <w:color w:val="0D0D0D"/>
              </w:rPr>
            </w:pPr>
            <w:r w:rsidRPr="004E6649">
              <w:rPr>
                <w:rFonts w:eastAsia="Times New Roman" w:cstheme="minorHAnsi"/>
                <w:color w:val="0D0D0D"/>
              </w:rPr>
              <w:t>23.26%</w:t>
            </w:r>
          </w:p>
        </w:tc>
      </w:tr>
    </w:tbl>
    <w:p w14:paraId="669E8261" w14:textId="77777777" w:rsidR="001B6918" w:rsidRPr="004E6649" w:rsidRDefault="001B6918" w:rsidP="001B6918">
      <w:pPr>
        <w:spacing w:before="120"/>
        <w:jc w:val="center"/>
        <w:rPr>
          <w:rFonts w:cstheme="minorHAnsi"/>
          <w:sz w:val="28"/>
        </w:rPr>
      </w:pPr>
      <w:r w:rsidRPr="004E6649">
        <w:rPr>
          <w:rFonts w:eastAsia="Times New Roman" w:cstheme="minorHAnsi"/>
          <w:b/>
          <w:bCs/>
          <w:color w:val="0D0D0D"/>
        </w:rPr>
        <w:t>Schedule of Employer Contributions</w:t>
      </w:r>
    </w:p>
    <w:tbl>
      <w:tblPr>
        <w:tblW w:w="14039" w:type="dxa"/>
        <w:jc w:val="center"/>
        <w:tblLayout w:type="fixed"/>
        <w:tblCellMar>
          <w:left w:w="72" w:type="dxa"/>
          <w:right w:w="72" w:type="dxa"/>
        </w:tblCellMar>
        <w:tblLook w:val="04A0" w:firstRow="1" w:lastRow="0" w:firstColumn="1" w:lastColumn="0" w:noHBand="0" w:noVBand="1"/>
      </w:tblPr>
      <w:tblGrid>
        <w:gridCol w:w="4509"/>
        <w:gridCol w:w="953"/>
        <w:gridCol w:w="953"/>
        <w:gridCol w:w="953"/>
        <w:gridCol w:w="953"/>
        <w:gridCol w:w="953"/>
        <w:gridCol w:w="953"/>
        <w:gridCol w:w="953"/>
        <w:gridCol w:w="953"/>
        <w:gridCol w:w="953"/>
        <w:gridCol w:w="953"/>
      </w:tblGrid>
      <w:tr w:rsidR="001B6918" w:rsidRPr="004E6649" w14:paraId="61CDF494" w14:textId="77777777" w:rsidTr="00730ECF">
        <w:trPr>
          <w:trHeight w:val="336"/>
          <w:tblHeader/>
          <w:jc w:val="center"/>
        </w:trPr>
        <w:tc>
          <w:tcPr>
            <w:tcW w:w="4509" w:type="dxa"/>
            <w:tcBorders>
              <w:top w:val="nil"/>
              <w:left w:val="nil"/>
              <w:bottom w:val="single" w:sz="12" w:space="0" w:color="000000" w:themeColor="text1"/>
              <w:right w:val="nil"/>
            </w:tcBorders>
            <w:shd w:val="clear" w:color="000000" w:fill="FFFFFF"/>
            <w:vAlign w:val="bottom"/>
            <w:hideMark/>
          </w:tcPr>
          <w:p w14:paraId="69FCC2D7" w14:textId="77777777" w:rsidR="001B6918" w:rsidRPr="004E6649" w:rsidRDefault="001B6918" w:rsidP="00730ECF">
            <w:pPr>
              <w:ind w:left="23"/>
              <w:rPr>
                <w:rFonts w:eastAsia="Times New Roman" w:cstheme="minorHAnsi"/>
                <w:b/>
                <w:bCs/>
                <w:color w:val="0D0D0D"/>
              </w:rPr>
            </w:pPr>
            <w:r w:rsidRPr="004E6649">
              <w:rPr>
                <w:rFonts w:eastAsia="Times New Roman" w:cstheme="minorHAnsi"/>
                <w:b/>
                <w:bCs/>
                <w:color w:val="0D0D0D"/>
              </w:rPr>
              <w:t>Fiscal Year Ended June 30</w:t>
            </w:r>
          </w:p>
        </w:tc>
        <w:tc>
          <w:tcPr>
            <w:tcW w:w="953" w:type="dxa"/>
            <w:tcBorders>
              <w:top w:val="nil"/>
              <w:left w:val="nil"/>
              <w:bottom w:val="single" w:sz="12" w:space="0" w:color="000000" w:themeColor="text1"/>
              <w:right w:val="nil"/>
            </w:tcBorders>
            <w:shd w:val="clear" w:color="auto" w:fill="F2F2F2" w:themeFill="background1" w:themeFillShade="F2"/>
          </w:tcPr>
          <w:p w14:paraId="20CB98C2" w14:textId="77777777" w:rsidR="001B6918" w:rsidRDefault="001B6918" w:rsidP="00730ECF">
            <w:pPr>
              <w:ind w:firstLine="23"/>
              <w:jc w:val="center"/>
              <w:rPr>
                <w:rFonts w:eastAsia="Times New Roman" w:cstheme="minorHAnsi"/>
                <w:b/>
                <w:bCs/>
                <w:color w:val="0D0D0D"/>
              </w:rPr>
            </w:pPr>
          </w:p>
          <w:p w14:paraId="3DB01E79" w14:textId="77777777" w:rsidR="001B6918" w:rsidRPr="00444491" w:rsidRDefault="001B6918" w:rsidP="00730ECF">
            <w:pPr>
              <w:ind w:firstLine="23"/>
              <w:jc w:val="center"/>
              <w:rPr>
                <w:rFonts w:eastAsia="Times New Roman" w:cstheme="minorHAnsi"/>
                <w:b/>
                <w:bCs/>
                <w:color w:val="0D0D0D"/>
              </w:rPr>
            </w:pPr>
            <w:r>
              <w:rPr>
                <w:rFonts w:eastAsia="Times New Roman" w:cstheme="minorHAnsi"/>
                <w:b/>
                <w:bCs/>
                <w:color w:val="0D0D0D"/>
              </w:rPr>
              <w:t>2025</w:t>
            </w:r>
          </w:p>
        </w:tc>
        <w:tc>
          <w:tcPr>
            <w:tcW w:w="953" w:type="dxa"/>
            <w:tcBorders>
              <w:top w:val="nil"/>
              <w:left w:val="nil"/>
              <w:bottom w:val="single" w:sz="12" w:space="0" w:color="000000" w:themeColor="text1"/>
              <w:right w:val="nil"/>
            </w:tcBorders>
            <w:shd w:val="clear" w:color="auto" w:fill="FFFFFF" w:themeFill="background1"/>
            <w:vAlign w:val="bottom"/>
          </w:tcPr>
          <w:p w14:paraId="288DD330" w14:textId="77777777" w:rsidR="001B6918" w:rsidRPr="00444491" w:rsidRDefault="001B6918" w:rsidP="00730ECF">
            <w:pPr>
              <w:ind w:firstLine="23"/>
              <w:jc w:val="center"/>
              <w:rPr>
                <w:rFonts w:eastAsia="Times New Roman" w:cstheme="minorHAnsi"/>
                <w:b/>
                <w:bCs/>
                <w:color w:val="0D0D0D"/>
              </w:rPr>
            </w:pPr>
            <w:r w:rsidRPr="00444491">
              <w:rPr>
                <w:rFonts w:eastAsia="Times New Roman" w:cstheme="minorHAnsi"/>
                <w:b/>
                <w:bCs/>
                <w:color w:val="0D0D0D"/>
              </w:rPr>
              <w:t>2024</w:t>
            </w:r>
          </w:p>
        </w:tc>
        <w:tc>
          <w:tcPr>
            <w:tcW w:w="953" w:type="dxa"/>
            <w:tcBorders>
              <w:top w:val="nil"/>
              <w:left w:val="nil"/>
              <w:bottom w:val="single" w:sz="12" w:space="0" w:color="000000" w:themeColor="text1"/>
              <w:right w:val="nil"/>
            </w:tcBorders>
            <w:shd w:val="clear" w:color="auto" w:fill="F2F2F2" w:themeFill="background1" w:themeFillShade="F2"/>
            <w:vAlign w:val="bottom"/>
          </w:tcPr>
          <w:p w14:paraId="63EB99FF" w14:textId="77777777" w:rsidR="001B6918" w:rsidRPr="004E6649" w:rsidRDefault="001B6918" w:rsidP="00730ECF">
            <w:pPr>
              <w:ind w:firstLine="23"/>
              <w:jc w:val="center"/>
              <w:rPr>
                <w:rFonts w:eastAsia="Times New Roman" w:cstheme="minorHAnsi"/>
                <w:b/>
                <w:bCs/>
                <w:color w:val="0D0D0D"/>
              </w:rPr>
            </w:pPr>
            <w:r w:rsidRPr="004E6649">
              <w:rPr>
                <w:rFonts w:eastAsia="Times New Roman" w:cstheme="minorHAnsi"/>
                <w:b/>
                <w:bCs/>
                <w:color w:val="0D0D0D"/>
              </w:rPr>
              <w:t>2023</w:t>
            </w:r>
          </w:p>
        </w:tc>
        <w:tc>
          <w:tcPr>
            <w:tcW w:w="953" w:type="dxa"/>
            <w:tcBorders>
              <w:top w:val="nil"/>
              <w:left w:val="nil"/>
              <w:bottom w:val="single" w:sz="12" w:space="0" w:color="000000" w:themeColor="text1"/>
              <w:right w:val="nil"/>
            </w:tcBorders>
            <w:vAlign w:val="bottom"/>
          </w:tcPr>
          <w:p w14:paraId="607FC95D" w14:textId="77777777" w:rsidR="001B6918" w:rsidRPr="004E6649" w:rsidRDefault="001B6918" w:rsidP="00730ECF">
            <w:pPr>
              <w:ind w:firstLine="23"/>
              <w:jc w:val="center"/>
              <w:rPr>
                <w:rFonts w:eastAsia="Times New Roman" w:cstheme="minorHAnsi"/>
                <w:b/>
                <w:bCs/>
                <w:color w:val="0D0D0D"/>
                <w:highlight w:val="lightGray"/>
              </w:rPr>
            </w:pPr>
            <w:r w:rsidRPr="004E6649">
              <w:rPr>
                <w:rFonts w:eastAsia="Times New Roman" w:cstheme="minorHAnsi"/>
                <w:b/>
                <w:bCs/>
                <w:color w:val="0D0D0D"/>
              </w:rPr>
              <w:t>2022</w:t>
            </w:r>
          </w:p>
        </w:tc>
        <w:tc>
          <w:tcPr>
            <w:tcW w:w="953" w:type="dxa"/>
            <w:tcBorders>
              <w:top w:val="nil"/>
              <w:left w:val="nil"/>
              <w:bottom w:val="single" w:sz="12" w:space="0" w:color="000000" w:themeColor="text1"/>
              <w:right w:val="nil"/>
            </w:tcBorders>
            <w:shd w:val="clear" w:color="auto" w:fill="F2F2F2" w:themeFill="background1" w:themeFillShade="F2"/>
            <w:vAlign w:val="bottom"/>
          </w:tcPr>
          <w:p w14:paraId="215CED0C" w14:textId="77777777" w:rsidR="001B6918" w:rsidRPr="004E6649" w:rsidRDefault="001B6918" w:rsidP="00730ECF">
            <w:pPr>
              <w:ind w:firstLine="23"/>
              <w:jc w:val="center"/>
              <w:rPr>
                <w:rFonts w:eastAsia="Times New Roman" w:cstheme="minorHAnsi"/>
                <w:b/>
                <w:bCs/>
                <w:color w:val="0D0D0D"/>
              </w:rPr>
            </w:pPr>
            <w:r w:rsidRPr="004E6649">
              <w:rPr>
                <w:rFonts w:eastAsia="Times New Roman" w:cstheme="minorHAnsi"/>
                <w:b/>
                <w:bCs/>
                <w:color w:val="0D0D0D"/>
              </w:rPr>
              <w:t>2021</w:t>
            </w:r>
          </w:p>
        </w:tc>
        <w:tc>
          <w:tcPr>
            <w:tcW w:w="953" w:type="dxa"/>
            <w:tcBorders>
              <w:top w:val="nil"/>
              <w:left w:val="nil"/>
              <w:bottom w:val="single" w:sz="12" w:space="0" w:color="000000" w:themeColor="text1"/>
              <w:right w:val="nil"/>
            </w:tcBorders>
            <w:shd w:val="clear" w:color="000000" w:fill="FFFFFF"/>
            <w:noWrap/>
            <w:vAlign w:val="bottom"/>
            <w:hideMark/>
          </w:tcPr>
          <w:p w14:paraId="04FEAD4B" w14:textId="77777777" w:rsidR="001B6918" w:rsidRPr="004E6649" w:rsidRDefault="001B6918" w:rsidP="00730ECF">
            <w:pPr>
              <w:ind w:firstLine="23"/>
              <w:jc w:val="center"/>
              <w:rPr>
                <w:rFonts w:eastAsia="Times New Roman" w:cstheme="minorHAnsi"/>
                <w:b/>
                <w:bCs/>
                <w:color w:val="0D0D0D"/>
              </w:rPr>
            </w:pPr>
            <w:r w:rsidRPr="004E6649">
              <w:rPr>
                <w:rFonts w:eastAsia="Times New Roman" w:cstheme="minorHAnsi"/>
                <w:b/>
                <w:bCs/>
                <w:color w:val="0D0D0D"/>
              </w:rPr>
              <w:t>2020</w:t>
            </w:r>
          </w:p>
        </w:tc>
        <w:tc>
          <w:tcPr>
            <w:tcW w:w="953" w:type="dxa"/>
            <w:tcBorders>
              <w:top w:val="nil"/>
              <w:left w:val="nil"/>
              <w:bottom w:val="single" w:sz="12" w:space="0" w:color="000000" w:themeColor="text1"/>
              <w:right w:val="nil"/>
            </w:tcBorders>
            <w:shd w:val="clear" w:color="auto" w:fill="F2F2F2" w:themeFill="background1" w:themeFillShade="F2"/>
            <w:noWrap/>
            <w:vAlign w:val="bottom"/>
            <w:hideMark/>
          </w:tcPr>
          <w:p w14:paraId="394AD81C" w14:textId="77777777" w:rsidR="001B6918" w:rsidRPr="004E6649" w:rsidRDefault="001B6918" w:rsidP="00730ECF">
            <w:pPr>
              <w:ind w:firstLine="23"/>
              <w:jc w:val="center"/>
              <w:rPr>
                <w:rFonts w:eastAsia="Times New Roman" w:cstheme="minorHAnsi"/>
                <w:b/>
                <w:bCs/>
                <w:color w:val="0D0D0D"/>
              </w:rPr>
            </w:pPr>
            <w:r w:rsidRPr="004E6649">
              <w:rPr>
                <w:rFonts w:eastAsia="Times New Roman" w:cstheme="minorHAnsi"/>
                <w:b/>
                <w:bCs/>
                <w:color w:val="0D0D0D"/>
              </w:rPr>
              <w:t>2019</w:t>
            </w:r>
          </w:p>
        </w:tc>
        <w:tc>
          <w:tcPr>
            <w:tcW w:w="953" w:type="dxa"/>
            <w:tcBorders>
              <w:top w:val="nil"/>
              <w:left w:val="nil"/>
              <w:bottom w:val="single" w:sz="12" w:space="0" w:color="000000" w:themeColor="text1"/>
              <w:right w:val="nil"/>
            </w:tcBorders>
            <w:shd w:val="clear" w:color="000000" w:fill="FFFFFF"/>
            <w:noWrap/>
            <w:vAlign w:val="bottom"/>
            <w:hideMark/>
          </w:tcPr>
          <w:p w14:paraId="0751770D" w14:textId="77777777" w:rsidR="001B6918" w:rsidRPr="004E6649" w:rsidRDefault="001B6918" w:rsidP="00730ECF">
            <w:pPr>
              <w:ind w:firstLine="23"/>
              <w:jc w:val="center"/>
              <w:rPr>
                <w:rFonts w:eastAsia="Times New Roman" w:cstheme="minorHAnsi"/>
                <w:b/>
                <w:bCs/>
                <w:color w:val="0D0D0D"/>
              </w:rPr>
            </w:pPr>
            <w:r w:rsidRPr="004E6649">
              <w:rPr>
                <w:rFonts w:eastAsia="Times New Roman" w:cstheme="minorHAnsi"/>
                <w:b/>
                <w:bCs/>
                <w:color w:val="0D0D0D"/>
              </w:rPr>
              <w:t>2018</w:t>
            </w:r>
          </w:p>
        </w:tc>
        <w:tc>
          <w:tcPr>
            <w:tcW w:w="953" w:type="dxa"/>
            <w:tcBorders>
              <w:top w:val="nil"/>
              <w:left w:val="nil"/>
              <w:bottom w:val="single" w:sz="12" w:space="0" w:color="000000" w:themeColor="text1"/>
              <w:right w:val="nil"/>
            </w:tcBorders>
            <w:shd w:val="clear" w:color="auto" w:fill="F2F2F2" w:themeFill="background1" w:themeFillShade="F2"/>
            <w:noWrap/>
            <w:vAlign w:val="bottom"/>
            <w:hideMark/>
          </w:tcPr>
          <w:p w14:paraId="5B50EF22" w14:textId="77777777" w:rsidR="001B6918" w:rsidRPr="004E6649" w:rsidRDefault="001B6918" w:rsidP="00730ECF">
            <w:pPr>
              <w:ind w:firstLine="23"/>
              <w:jc w:val="center"/>
              <w:rPr>
                <w:rFonts w:eastAsia="Times New Roman" w:cstheme="minorHAnsi"/>
                <w:b/>
                <w:bCs/>
                <w:color w:val="0D0D0D"/>
              </w:rPr>
            </w:pPr>
            <w:r w:rsidRPr="004E6649">
              <w:rPr>
                <w:rFonts w:eastAsia="Times New Roman" w:cstheme="minorHAnsi"/>
                <w:b/>
                <w:bCs/>
                <w:color w:val="0D0D0D"/>
              </w:rPr>
              <w:t>2017</w:t>
            </w:r>
          </w:p>
        </w:tc>
        <w:tc>
          <w:tcPr>
            <w:tcW w:w="953" w:type="dxa"/>
            <w:tcBorders>
              <w:top w:val="nil"/>
              <w:left w:val="nil"/>
              <w:bottom w:val="single" w:sz="12" w:space="0" w:color="000000" w:themeColor="text1"/>
              <w:right w:val="nil"/>
            </w:tcBorders>
            <w:shd w:val="clear" w:color="000000" w:fill="FFFFFF"/>
            <w:noWrap/>
            <w:vAlign w:val="bottom"/>
            <w:hideMark/>
          </w:tcPr>
          <w:p w14:paraId="4AF2DB25" w14:textId="77777777" w:rsidR="001B6918" w:rsidRPr="004E6649" w:rsidRDefault="001B6918" w:rsidP="00730ECF">
            <w:pPr>
              <w:ind w:firstLine="23"/>
              <w:jc w:val="center"/>
              <w:rPr>
                <w:rFonts w:eastAsia="Times New Roman" w:cstheme="minorHAnsi"/>
                <w:b/>
                <w:bCs/>
                <w:color w:val="0D0D0D"/>
              </w:rPr>
            </w:pPr>
            <w:r w:rsidRPr="004E6649">
              <w:rPr>
                <w:rFonts w:eastAsia="Times New Roman" w:cstheme="minorHAnsi"/>
                <w:b/>
                <w:bCs/>
                <w:color w:val="0D0D0D"/>
              </w:rPr>
              <w:t>2016</w:t>
            </w:r>
          </w:p>
        </w:tc>
      </w:tr>
      <w:tr w:rsidR="001B6918" w:rsidRPr="004E6649" w14:paraId="3058BC32" w14:textId="77777777" w:rsidTr="00C252D8">
        <w:trPr>
          <w:trHeight w:val="250"/>
          <w:jc w:val="center"/>
        </w:trPr>
        <w:tc>
          <w:tcPr>
            <w:tcW w:w="4509" w:type="dxa"/>
            <w:tcBorders>
              <w:top w:val="single" w:sz="12" w:space="0" w:color="000000" w:themeColor="text1"/>
              <w:left w:val="nil"/>
              <w:bottom w:val="nil"/>
              <w:right w:val="nil"/>
            </w:tcBorders>
            <w:shd w:val="clear" w:color="000000" w:fill="FFFFFF"/>
            <w:vAlign w:val="center"/>
            <w:hideMark/>
          </w:tcPr>
          <w:p w14:paraId="352CBF50" w14:textId="77777777" w:rsidR="001B6918" w:rsidRPr="004E6649" w:rsidRDefault="001B6918" w:rsidP="00730ECF">
            <w:pPr>
              <w:ind w:right="-24" w:firstLine="23"/>
              <w:rPr>
                <w:rFonts w:eastAsia="Times New Roman" w:cstheme="minorHAnsi"/>
                <w:color w:val="0D0D0D"/>
              </w:rPr>
            </w:pPr>
            <w:r w:rsidRPr="004E6649">
              <w:rPr>
                <w:rFonts w:eastAsia="Times New Roman" w:cstheme="minorHAnsi"/>
                <w:color w:val="0D0D0D"/>
              </w:rPr>
              <w:t>Actuarially determined contribution</w:t>
            </w:r>
          </w:p>
        </w:tc>
        <w:tc>
          <w:tcPr>
            <w:tcW w:w="953" w:type="dxa"/>
            <w:tcBorders>
              <w:top w:val="single" w:sz="12" w:space="0" w:color="000000" w:themeColor="text1"/>
              <w:left w:val="nil"/>
              <w:right w:val="nil"/>
            </w:tcBorders>
            <w:shd w:val="clear" w:color="auto" w:fill="F2F2F2" w:themeFill="background1" w:themeFillShade="F2"/>
            <w:vAlign w:val="bottom"/>
          </w:tcPr>
          <w:p w14:paraId="10B428F9" w14:textId="77777777" w:rsidR="001B6918" w:rsidRPr="00F96B39" w:rsidRDefault="001B6918" w:rsidP="00730ECF">
            <w:pPr>
              <w:ind w:firstLine="23"/>
              <w:jc w:val="right"/>
              <w:rPr>
                <w:rFonts w:eastAsia="Times New Roman" w:cstheme="minorHAnsi"/>
                <w:color w:val="FF0000"/>
              </w:rPr>
            </w:pPr>
            <w:r w:rsidRPr="003E524C">
              <w:rPr>
                <w:rFonts w:cstheme="minorHAnsi"/>
              </w:rPr>
              <w:t>$           -</w:t>
            </w:r>
            <w:r w:rsidRPr="00F96B39">
              <w:rPr>
                <w:rFonts w:cstheme="minorHAnsi"/>
                <w:color w:val="FF0000"/>
              </w:rPr>
              <w:t xml:space="preserve"> </w:t>
            </w:r>
          </w:p>
        </w:tc>
        <w:tc>
          <w:tcPr>
            <w:tcW w:w="953" w:type="dxa"/>
            <w:tcBorders>
              <w:top w:val="single" w:sz="12" w:space="0" w:color="000000" w:themeColor="text1"/>
              <w:left w:val="nil"/>
              <w:bottom w:val="nil"/>
              <w:right w:val="nil"/>
            </w:tcBorders>
            <w:shd w:val="clear" w:color="auto" w:fill="FFFFFF" w:themeFill="background1"/>
            <w:vAlign w:val="bottom"/>
          </w:tcPr>
          <w:p w14:paraId="6A9481D1" w14:textId="77777777" w:rsidR="001B6918" w:rsidRPr="00444491" w:rsidRDefault="001B6918" w:rsidP="00730ECF">
            <w:pPr>
              <w:ind w:firstLine="23"/>
              <w:jc w:val="right"/>
              <w:rPr>
                <w:rFonts w:cstheme="minorHAnsi"/>
              </w:rPr>
            </w:pPr>
            <w:r w:rsidRPr="004E6649">
              <w:rPr>
                <w:rFonts w:eastAsia="Times New Roman" w:cstheme="minorHAnsi"/>
              </w:rPr>
              <w:t>$</w:t>
            </w:r>
            <w:r>
              <w:rPr>
                <w:rFonts w:eastAsia="Times New Roman" w:cstheme="minorHAnsi"/>
              </w:rPr>
              <w:t xml:space="preserve">    </w:t>
            </w:r>
            <w:r w:rsidRPr="004E6649">
              <w:rPr>
                <w:rFonts w:eastAsia="Times New Roman" w:cstheme="minorHAnsi"/>
              </w:rPr>
              <w:t xml:space="preserve">       -</w:t>
            </w:r>
          </w:p>
        </w:tc>
        <w:tc>
          <w:tcPr>
            <w:tcW w:w="953" w:type="dxa"/>
            <w:tcBorders>
              <w:top w:val="single" w:sz="12" w:space="0" w:color="000000" w:themeColor="text1"/>
              <w:left w:val="nil"/>
              <w:bottom w:val="nil"/>
              <w:right w:val="nil"/>
            </w:tcBorders>
            <w:shd w:val="clear" w:color="auto" w:fill="F2F2F2" w:themeFill="background1" w:themeFillShade="F2"/>
            <w:vAlign w:val="bottom"/>
          </w:tcPr>
          <w:p w14:paraId="5E4512F4" w14:textId="77777777" w:rsidR="001B6918" w:rsidRPr="004E6649" w:rsidRDefault="001B6918" w:rsidP="00730ECF">
            <w:pPr>
              <w:ind w:firstLine="23"/>
              <w:jc w:val="right"/>
              <w:rPr>
                <w:rFonts w:eastAsia="Times New Roman" w:cstheme="minorHAnsi"/>
              </w:rPr>
            </w:pPr>
            <w:r w:rsidRPr="004E6649">
              <w:rPr>
                <w:rFonts w:cstheme="minorHAnsi"/>
              </w:rPr>
              <w:t xml:space="preserve">$ </w:t>
            </w:r>
            <w:r>
              <w:rPr>
                <w:rFonts w:cstheme="minorHAnsi"/>
              </w:rPr>
              <w:t xml:space="preserve">    </w:t>
            </w:r>
            <w:r w:rsidRPr="004E6649">
              <w:rPr>
                <w:rFonts w:cstheme="minorHAnsi"/>
              </w:rPr>
              <w:t xml:space="preserve">      - </w:t>
            </w:r>
          </w:p>
        </w:tc>
        <w:tc>
          <w:tcPr>
            <w:tcW w:w="953" w:type="dxa"/>
            <w:tcBorders>
              <w:top w:val="single" w:sz="12" w:space="0" w:color="000000" w:themeColor="text1"/>
              <w:left w:val="nil"/>
              <w:bottom w:val="nil"/>
              <w:right w:val="nil"/>
            </w:tcBorders>
            <w:vAlign w:val="bottom"/>
          </w:tcPr>
          <w:p w14:paraId="1AF5074A" w14:textId="77777777" w:rsidR="001B6918" w:rsidRPr="004E6649" w:rsidRDefault="001B6918" w:rsidP="00730ECF">
            <w:pPr>
              <w:ind w:firstLine="23"/>
              <w:jc w:val="right"/>
              <w:rPr>
                <w:rFonts w:eastAsia="Times New Roman" w:cstheme="minorHAnsi"/>
              </w:rPr>
            </w:pPr>
            <w:r w:rsidRPr="004E6649">
              <w:rPr>
                <w:rFonts w:eastAsia="Times New Roman" w:cstheme="minorHAnsi"/>
              </w:rPr>
              <w:t xml:space="preserve">$     </w:t>
            </w:r>
            <w:r>
              <w:rPr>
                <w:rFonts w:eastAsia="Times New Roman" w:cstheme="minorHAnsi"/>
              </w:rPr>
              <w:t xml:space="preserve">     </w:t>
            </w:r>
            <w:r w:rsidRPr="004E6649">
              <w:rPr>
                <w:rFonts w:eastAsia="Times New Roman" w:cstheme="minorHAnsi"/>
              </w:rPr>
              <w:t xml:space="preserve"> -</w:t>
            </w:r>
          </w:p>
        </w:tc>
        <w:tc>
          <w:tcPr>
            <w:tcW w:w="953" w:type="dxa"/>
            <w:tcBorders>
              <w:top w:val="single" w:sz="12" w:space="0" w:color="000000" w:themeColor="text1"/>
              <w:left w:val="nil"/>
              <w:bottom w:val="nil"/>
              <w:right w:val="nil"/>
            </w:tcBorders>
            <w:shd w:val="clear" w:color="auto" w:fill="F2F2F2" w:themeFill="background1" w:themeFillShade="F2"/>
            <w:vAlign w:val="bottom"/>
          </w:tcPr>
          <w:p w14:paraId="452563E5" w14:textId="77777777" w:rsidR="001B6918" w:rsidRPr="004E6649" w:rsidRDefault="001B6918" w:rsidP="00730ECF">
            <w:pPr>
              <w:ind w:firstLine="23"/>
              <w:jc w:val="right"/>
              <w:rPr>
                <w:rFonts w:eastAsia="Times New Roman" w:cstheme="minorHAnsi"/>
                <w:color w:val="0D0D0D"/>
              </w:rPr>
            </w:pPr>
            <w:r w:rsidRPr="004E6649">
              <w:rPr>
                <w:rFonts w:eastAsia="Times New Roman" w:cstheme="minorHAnsi"/>
                <w:color w:val="0D0D0D"/>
              </w:rPr>
              <w:t>$</w:t>
            </w:r>
            <w:r>
              <w:rPr>
                <w:rFonts w:eastAsia="Times New Roman" w:cstheme="minorHAnsi"/>
                <w:color w:val="0D0D0D"/>
              </w:rPr>
              <w:t xml:space="preserve">    </w:t>
            </w:r>
            <w:r w:rsidRPr="004E6649">
              <w:rPr>
                <w:rFonts w:eastAsia="Times New Roman" w:cstheme="minorHAnsi"/>
                <w:color w:val="0D0D0D"/>
              </w:rPr>
              <w:t xml:space="preserve">       -</w:t>
            </w:r>
          </w:p>
        </w:tc>
        <w:tc>
          <w:tcPr>
            <w:tcW w:w="953" w:type="dxa"/>
            <w:tcBorders>
              <w:top w:val="single" w:sz="12" w:space="0" w:color="000000" w:themeColor="text1"/>
              <w:left w:val="nil"/>
              <w:bottom w:val="nil"/>
              <w:right w:val="nil"/>
            </w:tcBorders>
            <w:shd w:val="clear" w:color="000000" w:fill="FFFFFF"/>
            <w:noWrap/>
            <w:vAlign w:val="bottom"/>
            <w:hideMark/>
          </w:tcPr>
          <w:p w14:paraId="46762301" w14:textId="77777777" w:rsidR="001B6918" w:rsidRPr="004E6649" w:rsidRDefault="001B6918" w:rsidP="00730ECF">
            <w:pPr>
              <w:ind w:firstLine="23"/>
              <w:jc w:val="right"/>
              <w:rPr>
                <w:rFonts w:eastAsia="Times New Roman" w:cstheme="minorHAnsi"/>
                <w:color w:val="0D0D0D"/>
              </w:rPr>
            </w:pPr>
            <w:r w:rsidRPr="004E6649">
              <w:rPr>
                <w:rFonts w:eastAsia="Times New Roman" w:cstheme="minorHAnsi"/>
                <w:color w:val="0D0D0D"/>
              </w:rPr>
              <w:t>$</w:t>
            </w:r>
            <w:r>
              <w:rPr>
                <w:rFonts w:eastAsia="Times New Roman" w:cstheme="minorHAnsi"/>
                <w:color w:val="0D0D0D"/>
              </w:rPr>
              <w:t xml:space="preserve">    </w:t>
            </w:r>
            <w:r w:rsidRPr="004E6649">
              <w:rPr>
                <w:rFonts w:eastAsia="Times New Roman" w:cstheme="minorHAnsi"/>
                <w:color w:val="0D0D0D"/>
              </w:rPr>
              <w:t xml:space="preserve">       -</w:t>
            </w:r>
          </w:p>
        </w:tc>
        <w:tc>
          <w:tcPr>
            <w:tcW w:w="953" w:type="dxa"/>
            <w:tcBorders>
              <w:top w:val="single" w:sz="12" w:space="0" w:color="000000" w:themeColor="text1"/>
              <w:left w:val="nil"/>
              <w:bottom w:val="nil"/>
              <w:right w:val="nil"/>
            </w:tcBorders>
            <w:shd w:val="clear" w:color="auto" w:fill="F2F2F2" w:themeFill="background1" w:themeFillShade="F2"/>
            <w:noWrap/>
            <w:vAlign w:val="bottom"/>
            <w:hideMark/>
          </w:tcPr>
          <w:p w14:paraId="3D29BCE6" w14:textId="77777777" w:rsidR="001B6918" w:rsidRPr="004E6649" w:rsidRDefault="001B6918" w:rsidP="00730ECF">
            <w:pPr>
              <w:ind w:firstLine="23"/>
              <w:jc w:val="right"/>
              <w:rPr>
                <w:rFonts w:eastAsia="Times New Roman" w:cstheme="minorHAnsi"/>
                <w:color w:val="0D0D0D"/>
              </w:rPr>
            </w:pPr>
            <w:r w:rsidRPr="004E6649">
              <w:rPr>
                <w:rFonts w:eastAsia="Times New Roman" w:cstheme="minorHAnsi"/>
                <w:color w:val="0D0D0D"/>
              </w:rPr>
              <w:t xml:space="preserve">$ </w:t>
            </w:r>
            <w:r>
              <w:rPr>
                <w:rFonts w:eastAsia="Times New Roman" w:cstheme="minorHAnsi"/>
                <w:color w:val="0D0D0D"/>
              </w:rPr>
              <w:t xml:space="preserve">   </w:t>
            </w:r>
            <w:r w:rsidRPr="004E6649">
              <w:rPr>
                <w:rFonts w:eastAsia="Times New Roman" w:cstheme="minorHAnsi"/>
                <w:color w:val="0D0D0D"/>
              </w:rPr>
              <w:t xml:space="preserve">       -</w:t>
            </w:r>
          </w:p>
        </w:tc>
        <w:tc>
          <w:tcPr>
            <w:tcW w:w="953" w:type="dxa"/>
            <w:tcBorders>
              <w:top w:val="single" w:sz="12" w:space="0" w:color="000000" w:themeColor="text1"/>
              <w:left w:val="nil"/>
              <w:bottom w:val="nil"/>
              <w:right w:val="nil"/>
            </w:tcBorders>
            <w:shd w:val="clear" w:color="000000" w:fill="FFFFFF"/>
            <w:noWrap/>
            <w:vAlign w:val="bottom"/>
            <w:hideMark/>
          </w:tcPr>
          <w:p w14:paraId="05408DBD" w14:textId="77777777" w:rsidR="001B6918" w:rsidRPr="004E6649" w:rsidRDefault="001B6918" w:rsidP="00730ECF">
            <w:pPr>
              <w:ind w:firstLine="23"/>
              <w:jc w:val="right"/>
              <w:rPr>
                <w:rFonts w:eastAsia="Times New Roman" w:cstheme="minorHAnsi"/>
                <w:color w:val="0D0D0D"/>
              </w:rPr>
            </w:pPr>
            <w:r w:rsidRPr="004E6649">
              <w:rPr>
                <w:rFonts w:eastAsia="Times New Roman" w:cstheme="minorHAnsi"/>
                <w:color w:val="0D0D0D"/>
              </w:rPr>
              <w:t xml:space="preserve">$   </w:t>
            </w:r>
            <w:r>
              <w:rPr>
                <w:rFonts w:eastAsia="Times New Roman" w:cstheme="minorHAnsi"/>
                <w:color w:val="0D0D0D"/>
              </w:rPr>
              <w:t xml:space="preserve">   </w:t>
            </w:r>
            <w:r w:rsidRPr="004E6649">
              <w:rPr>
                <w:rFonts w:eastAsia="Times New Roman" w:cstheme="minorHAnsi"/>
                <w:color w:val="0D0D0D"/>
              </w:rPr>
              <w:t xml:space="preserve">     -</w:t>
            </w:r>
          </w:p>
        </w:tc>
        <w:tc>
          <w:tcPr>
            <w:tcW w:w="953" w:type="dxa"/>
            <w:tcBorders>
              <w:top w:val="single" w:sz="12" w:space="0" w:color="000000" w:themeColor="text1"/>
              <w:left w:val="nil"/>
              <w:bottom w:val="nil"/>
              <w:right w:val="nil"/>
            </w:tcBorders>
            <w:shd w:val="clear" w:color="auto" w:fill="F2F2F2" w:themeFill="background1" w:themeFillShade="F2"/>
            <w:noWrap/>
            <w:vAlign w:val="bottom"/>
            <w:hideMark/>
          </w:tcPr>
          <w:p w14:paraId="188A3865" w14:textId="77777777" w:rsidR="001B6918" w:rsidRPr="004E6649" w:rsidRDefault="001B6918" w:rsidP="00730ECF">
            <w:pPr>
              <w:ind w:firstLine="23"/>
              <w:jc w:val="right"/>
              <w:rPr>
                <w:rFonts w:eastAsia="Times New Roman" w:cstheme="minorHAnsi"/>
                <w:color w:val="0D0D0D"/>
              </w:rPr>
            </w:pPr>
            <w:r w:rsidRPr="004E6649">
              <w:rPr>
                <w:rFonts w:eastAsia="Times New Roman" w:cstheme="minorHAnsi"/>
                <w:color w:val="0D0D0D"/>
              </w:rPr>
              <w:t xml:space="preserve">$  </w:t>
            </w:r>
            <w:r>
              <w:rPr>
                <w:rFonts w:eastAsia="Times New Roman" w:cstheme="minorHAnsi"/>
                <w:color w:val="0D0D0D"/>
              </w:rPr>
              <w:t xml:space="preserve">    </w:t>
            </w:r>
            <w:r w:rsidRPr="004E6649">
              <w:rPr>
                <w:rFonts w:eastAsia="Times New Roman" w:cstheme="minorHAnsi"/>
                <w:color w:val="0D0D0D"/>
              </w:rPr>
              <w:t xml:space="preserve">      -</w:t>
            </w:r>
          </w:p>
        </w:tc>
        <w:tc>
          <w:tcPr>
            <w:tcW w:w="953" w:type="dxa"/>
            <w:tcBorders>
              <w:top w:val="single" w:sz="12" w:space="0" w:color="000000" w:themeColor="text1"/>
              <w:left w:val="nil"/>
              <w:bottom w:val="nil"/>
              <w:right w:val="nil"/>
            </w:tcBorders>
            <w:shd w:val="clear" w:color="000000" w:fill="FFFFFF"/>
            <w:noWrap/>
            <w:vAlign w:val="bottom"/>
            <w:hideMark/>
          </w:tcPr>
          <w:p w14:paraId="09A23F08" w14:textId="77777777" w:rsidR="001B6918" w:rsidRPr="004E6649" w:rsidRDefault="001B6918" w:rsidP="00730ECF">
            <w:pPr>
              <w:ind w:firstLine="23"/>
              <w:jc w:val="right"/>
              <w:rPr>
                <w:rFonts w:eastAsia="Times New Roman" w:cstheme="minorHAnsi"/>
                <w:color w:val="0D0D0D"/>
              </w:rPr>
            </w:pPr>
            <w:r w:rsidRPr="004E6649">
              <w:rPr>
                <w:rFonts w:eastAsia="Times New Roman" w:cstheme="minorHAnsi"/>
                <w:color w:val="0D0D0D"/>
              </w:rPr>
              <w:t xml:space="preserve">$  </w:t>
            </w:r>
            <w:r>
              <w:rPr>
                <w:rFonts w:eastAsia="Times New Roman" w:cstheme="minorHAnsi"/>
                <w:color w:val="0D0D0D"/>
              </w:rPr>
              <w:t xml:space="preserve">    </w:t>
            </w:r>
            <w:r w:rsidRPr="004E6649">
              <w:rPr>
                <w:rFonts w:eastAsia="Times New Roman" w:cstheme="minorHAnsi"/>
                <w:color w:val="0D0D0D"/>
              </w:rPr>
              <w:t xml:space="preserve">     -</w:t>
            </w:r>
          </w:p>
        </w:tc>
      </w:tr>
      <w:tr w:rsidR="001B6918" w:rsidRPr="004E6649" w14:paraId="41DA6CFD" w14:textId="77777777" w:rsidTr="008D0A33">
        <w:trPr>
          <w:trHeight w:val="447"/>
          <w:jc w:val="center"/>
        </w:trPr>
        <w:tc>
          <w:tcPr>
            <w:tcW w:w="4509" w:type="dxa"/>
            <w:tcBorders>
              <w:top w:val="nil"/>
              <w:left w:val="nil"/>
              <w:bottom w:val="single" w:sz="4" w:space="0" w:color="auto"/>
              <w:right w:val="nil"/>
            </w:tcBorders>
            <w:shd w:val="clear" w:color="000000" w:fill="FFFFFF"/>
            <w:vAlign w:val="center"/>
            <w:hideMark/>
          </w:tcPr>
          <w:p w14:paraId="57389D09" w14:textId="77777777" w:rsidR="001B6918" w:rsidRPr="004E6649" w:rsidRDefault="001B6918" w:rsidP="00730ECF">
            <w:pPr>
              <w:ind w:firstLine="23"/>
              <w:rPr>
                <w:rFonts w:eastAsia="Times New Roman" w:cstheme="minorHAnsi"/>
                <w:color w:val="0D0D0D"/>
              </w:rPr>
            </w:pPr>
            <w:r w:rsidRPr="004E6649">
              <w:rPr>
                <w:rFonts w:eastAsia="Times New Roman" w:cstheme="minorHAnsi"/>
                <w:color w:val="0D0D0D"/>
              </w:rPr>
              <w:t>Contributions in relation to the actuarially determined contribution</w:t>
            </w:r>
          </w:p>
        </w:tc>
        <w:tc>
          <w:tcPr>
            <w:tcW w:w="953" w:type="dxa"/>
            <w:tcBorders>
              <w:top w:val="nil"/>
              <w:left w:val="nil"/>
              <w:bottom w:val="single" w:sz="4" w:space="0" w:color="auto"/>
              <w:right w:val="nil"/>
            </w:tcBorders>
            <w:shd w:val="clear" w:color="auto" w:fill="F2F2F2" w:themeFill="background1" w:themeFillShade="F2"/>
            <w:vAlign w:val="bottom"/>
          </w:tcPr>
          <w:p w14:paraId="31ED3810" w14:textId="77777777" w:rsidR="001B6918" w:rsidRPr="00F96B39" w:rsidRDefault="001B6918" w:rsidP="00730ECF">
            <w:pPr>
              <w:ind w:firstLine="23"/>
              <w:jc w:val="right"/>
              <w:rPr>
                <w:rFonts w:cstheme="minorHAnsi"/>
                <w:color w:val="FF0000"/>
              </w:rPr>
            </w:pPr>
            <w:r>
              <w:rPr>
                <w:rFonts w:ascii="Calibri" w:hAnsi="Calibri" w:cs="Calibri"/>
              </w:rPr>
              <w:t xml:space="preserve">          2,395 </w:t>
            </w:r>
          </w:p>
        </w:tc>
        <w:tc>
          <w:tcPr>
            <w:tcW w:w="953" w:type="dxa"/>
            <w:tcBorders>
              <w:top w:val="nil"/>
              <w:left w:val="nil"/>
              <w:bottom w:val="single" w:sz="4" w:space="0" w:color="auto"/>
              <w:right w:val="nil"/>
            </w:tcBorders>
            <w:shd w:val="clear" w:color="auto" w:fill="FFFFFF" w:themeFill="background1"/>
            <w:vAlign w:val="bottom"/>
          </w:tcPr>
          <w:p w14:paraId="748C96D3" w14:textId="77777777" w:rsidR="001B6918" w:rsidRPr="00444491" w:rsidRDefault="001B6918" w:rsidP="00730ECF">
            <w:pPr>
              <w:ind w:firstLine="23"/>
              <w:jc w:val="right"/>
              <w:rPr>
                <w:rFonts w:cstheme="minorHAnsi"/>
              </w:rPr>
            </w:pPr>
            <w:r>
              <w:rPr>
                <w:rFonts w:cstheme="minorHAnsi"/>
              </w:rPr>
              <w:t xml:space="preserve"> 3,314</w:t>
            </w:r>
          </w:p>
        </w:tc>
        <w:tc>
          <w:tcPr>
            <w:tcW w:w="953" w:type="dxa"/>
            <w:tcBorders>
              <w:top w:val="nil"/>
              <w:left w:val="nil"/>
              <w:bottom w:val="single" w:sz="4" w:space="0" w:color="auto"/>
              <w:right w:val="nil"/>
            </w:tcBorders>
            <w:shd w:val="clear" w:color="auto" w:fill="F2F2F2" w:themeFill="background1" w:themeFillShade="F2"/>
            <w:vAlign w:val="bottom"/>
          </w:tcPr>
          <w:p w14:paraId="508314C3" w14:textId="77777777" w:rsidR="001B6918" w:rsidRPr="004E6649" w:rsidRDefault="001B6918" w:rsidP="00730ECF">
            <w:pPr>
              <w:ind w:firstLine="23"/>
              <w:jc w:val="right"/>
              <w:rPr>
                <w:rFonts w:eastAsia="Times New Roman" w:cstheme="minorHAnsi"/>
              </w:rPr>
            </w:pPr>
            <w:r w:rsidRPr="004E6649">
              <w:rPr>
                <w:rFonts w:cstheme="minorHAnsi"/>
              </w:rPr>
              <w:t xml:space="preserve"> 2,757 </w:t>
            </w:r>
          </w:p>
        </w:tc>
        <w:tc>
          <w:tcPr>
            <w:tcW w:w="953" w:type="dxa"/>
            <w:tcBorders>
              <w:top w:val="nil"/>
              <w:left w:val="nil"/>
              <w:bottom w:val="single" w:sz="4" w:space="0" w:color="auto"/>
              <w:right w:val="nil"/>
            </w:tcBorders>
            <w:vAlign w:val="bottom"/>
          </w:tcPr>
          <w:p w14:paraId="4FC05D46" w14:textId="77777777" w:rsidR="001B6918" w:rsidRPr="004E6649" w:rsidRDefault="001B6918" w:rsidP="00730ECF">
            <w:pPr>
              <w:ind w:firstLine="23"/>
              <w:jc w:val="right"/>
              <w:rPr>
                <w:rFonts w:eastAsia="Times New Roman" w:cstheme="minorHAnsi"/>
              </w:rPr>
            </w:pPr>
            <w:r w:rsidRPr="004E6649">
              <w:rPr>
                <w:rFonts w:eastAsia="Times New Roman" w:cstheme="minorHAnsi"/>
              </w:rPr>
              <w:t>2,388</w:t>
            </w:r>
          </w:p>
        </w:tc>
        <w:tc>
          <w:tcPr>
            <w:tcW w:w="953" w:type="dxa"/>
            <w:tcBorders>
              <w:top w:val="nil"/>
              <w:left w:val="nil"/>
              <w:bottom w:val="single" w:sz="4" w:space="0" w:color="auto"/>
              <w:right w:val="nil"/>
            </w:tcBorders>
            <w:shd w:val="clear" w:color="auto" w:fill="F2F2F2" w:themeFill="background1" w:themeFillShade="F2"/>
            <w:vAlign w:val="bottom"/>
          </w:tcPr>
          <w:p w14:paraId="21C71781" w14:textId="77777777" w:rsidR="001B6918" w:rsidRPr="004E6649" w:rsidRDefault="001B6918" w:rsidP="00730ECF">
            <w:pPr>
              <w:ind w:firstLine="23"/>
              <w:jc w:val="right"/>
              <w:rPr>
                <w:rFonts w:eastAsia="Times New Roman" w:cstheme="minorHAnsi"/>
                <w:color w:val="0D0D0D"/>
              </w:rPr>
            </w:pPr>
            <w:r w:rsidRPr="004E6649">
              <w:rPr>
                <w:rFonts w:eastAsia="Times New Roman" w:cstheme="minorHAnsi"/>
                <w:color w:val="0D0D0D"/>
              </w:rPr>
              <w:t>2,198</w:t>
            </w:r>
          </w:p>
        </w:tc>
        <w:tc>
          <w:tcPr>
            <w:tcW w:w="953" w:type="dxa"/>
            <w:tcBorders>
              <w:top w:val="nil"/>
              <w:left w:val="nil"/>
              <w:bottom w:val="single" w:sz="4" w:space="0" w:color="auto"/>
              <w:right w:val="nil"/>
            </w:tcBorders>
            <w:shd w:val="clear" w:color="000000" w:fill="FFFFFF"/>
            <w:noWrap/>
            <w:vAlign w:val="bottom"/>
            <w:hideMark/>
          </w:tcPr>
          <w:p w14:paraId="6DDD77DE" w14:textId="77777777" w:rsidR="001B6918" w:rsidRPr="004E6649" w:rsidRDefault="001B6918" w:rsidP="00730ECF">
            <w:pPr>
              <w:ind w:firstLine="23"/>
              <w:jc w:val="right"/>
              <w:rPr>
                <w:rFonts w:eastAsia="Times New Roman" w:cstheme="minorHAnsi"/>
                <w:color w:val="0D0D0D"/>
              </w:rPr>
            </w:pPr>
            <w:r w:rsidRPr="004E6649">
              <w:rPr>
                <w:rFonts w:eastAsia="Times New Roman" w:cstheme="minorHAnsi"/>
                <w:color w:val="0D0D0D"/>
              </w:rPr>
              <w:t>2,141</w:t>
            </w:r>
          </w:p>
        </w:tc>
        <w:tc>
          <w:tcPr>
            <w:tcW w:w="953" w:type="dxa"/>
            <w:tcBorders>
              <w:top w:val="nil"/>
              <w:left w:val="nil"/>
              <w:bottom w:val="single" w:sz="4" w:space="0" w:color="auto"/>
              <w:right w:val="nil"/>
            </w:tcBorders>
            <w:shd w:val="clear" w:color="auto" w:fill="F2F2F2" w:themeFill="background1" w:themeFillShade="F2"/>
            <w:noWrap/>
            <w:vAlign w:val="bottom"/>
            <w:hideMark/>
          </w:tcPr>
          <w:p w14:paraId="644C6ED7" w14:textId="77777777" w:rsidR="001B6918" w:rsidRPr="004E6649" w:rsidRDefault="001B6918" w:rsidP="00730ECF">
            <w:pPr>
              <w:ind w:firstLine="23"/>
              <w:jc w:val="right"/>
              <w:rPr>
                <w:rFonts w:eastAsia="Times New Roman" w:cstheme="minorHAnsi"/>
                <w:color w:val="0D0D0D"/>
              </w:rPr>
            </w:pPr>
            <w:r w:rsidRPr="004E6649">
              <w:rPr>
                <w:rFonts w:eastAsia="Times New Roman" w:cstheme="minorHAnsi"/>
                <w:color w:val="0D0D0D"/>
              </w:rPr>
              <w:t>2,175</w:t>
            </w:r>
          </w:p>
        </w:tc>
        <w:tc>
          <w:tcPr>
            <w:tcW w:w="953" w:type="dxa"/>
            <w:tcBorders>
              <w:top w:val="nil"/>
              <w:left w:val="nil"/>
              <w:bottom w:val="single" w:sz="4" w:space="0" w:color="auto"/>
              <w:right w:val="nil"/>
            </w:tcBorders>
            <w:shd w:val="clear" w:color="000000" w:fill="FFFFFF"/>
            <w:noWrap/>
            <w:vAlign w:val="bottom"/>
            <w:hideMark/>
          </w:tcPr>
          <w:p w14:paraId="63451D39" w14:textId="77777777" w:rsidR="001B6918" w:rsidRPr="004E6649" w:rsidRDefault="001B6918" w:rsidP="00730ECF">
            <w:pPr>
              <w:ind w:firstLine="23"/>
              <w:jc w:val="right"/>
              <w:rPr>
                <w:rFonts w:eastAsia="Times New Roman" w:cstheme="minorHAnsi"/>
                <w:color w:val="0D0D0D"/>
              </w:rPr>
            </w:pPr>
            <w:r w:rsidRPr="004E6649">
              <w:rPr>
                <w:rFonts w:eastAsia="Times New Roman" w:cstheme="minorHAnsi"/>
                <w:color w:val="0D0D0D"/>
              </w:rPr>
              <w:t>1,972</w:t>
            </w:r>
          </w:p>
        </w:tc>
        <w:tc>
          <w:tcPr>
            <w:tcW w:w="953" w:type="dxa"/>
            <w:tcBorders>
              <w:top w:val="nil"/>
              <w:left w:val="nil"/>
              <w:bottom w:val="single" w:sz="4" w:space="0" w:color="auto"/>
              <w:right w:val="nil"/>
            </w:tcBorders>
            <w:shd w:val="clear" w:color="auto" w:fill="F2F2F2" w:themeFill="background1" w:themeFillShade="F2"/>
            <w:noWrap/>
            <w:vAlign w:val="bottom"/>
            <w:hideMark/>
          </w:tcPr>
          <w:p w14:paraId="6D7EFBDB" w14:textId="77777777" w:rsidR="001B6918" w:rsidRPr="004E6649" w:rsidRDefault="001B6918" w:rsidP="00730ECF">
            <w:pPr>
              <w:ind w:firstLine="23"/>
              <w:jc w:val="right"/>
              <w:rPr>
                <w:rFonts w:eastAsia="Times New Roman" w:cstheme="minorHAnsi"/>
                <w:color w:val="0D0D0D"/>
              </w:rPr>
            </w:pPr>
            <w:r w:rsidRPr="004E6649">
              <w:rPr>
                <w:rFonts w:eastAsia="Times New Roman" w:cstheme="minorHAnsi"/>
                <w:color w:val="0D0D0D"/>
              </w:rPr>
              <w:t>2,084</w:t>
            </w:r>
          </w:p>
        </w:tc>
        <w:tc>
          <w:tcPr>
            <w:tcW w:w="953" w:type="dxa"/>
            <w:tcBorders>
              <w:top w:val="nil"/>
              <w:left w:val="nil"/>
              <w:bottom w:val="single" w:sz="4" w:space="0" w:color="auto"/>
              <w:right w:val="nil"/>
            </w:tcBorders>
            <w:shd w:val="clear" w:color="000000" w:fill="FFFFFF"/>
            <w:noWrap/>
            <w:vAlign w:val="bottom"/>
            <w:hideMark/>
          </w:tcPr>
          <w:p w14:paraId="3B90ECD5" w14:textId="77777777" w:rsidR="001B6918" w:rsidRPr="004E6649" w:rsidRDefault="001B6918" w:rsidP="00730ECF">
            <w:pPr>
              <w:ind w:firstLine="23"/>
              <w:jc w:val="right"/>
              <w:rPr>
                <w:rFonts w:eastAsia="Times New Roman" w:cstheme="minorHAnsi"/>
                <w:color w:val="0D0D0D"/>
              </w:rPr>
            </w:pPr>
            <w:r w:rsidRPr="004E6649">
              <w:rPr>
                <w:rFonts w:eastAsia="Times New Roman" w:cstheme="minorHAnsi"/>
                <w:color w:val="0D0D0D"/>
              </w:rPr>
              <w:t>5,260</w:t>
            </w:r>
          </w:p>
        </w:tc>
      </w:tr>
      <w:tr w:rsidR="001B6918" w:rsidRPr="004E6649" w14:paraId="77F7D3DB" w14:textId="77777777" w:rsidTr="008D0A33">
        <w:trPr>
          <w:trHeight w:val="250"/>
          <w:jc w:val="center"/>
        </w:trPr>
        <w:tc>
          <w:tcPr>
            <w:tcW w:w="4509" w:type="dxa"/>
            <w:tcBorders>
              <w:top w:val="single" w:sz="4" w:space="0" w:color="auto"/>
              <w:left w:val="nil"/>
              <w:bottom w:val="double" w:sz="4" w:space="0" w:color="auto"/>
              <w:right w:val="nil"/>
            </w:tcBorders>
            <w:shd w:val="clear" w:color="000000" w:fill="FFFFFF"/>
            <w:vAlign w:val="bottom"/>
            <w:hideMark/>
          </w:tcPr>
          <w:p w14:paraId="7393F5EE" w14:textId="77777777" w:rsidR="001B6918" w:rsidRPr="004E6649" w:rsidRDefault="001B6918" w:rsidP="00730ECF">
            <w:pPr>
              <w:ind w:firstLine="23"/>
              <w:rPr>
                <w:rFonts w:eastAsia="Times New Roman" w:cstheme="minorHAnsi"/>
                <w:color w:val="0D0D0D"/>
              </w:rPr>
            </w:pPr>
            <w:r w:rsidRPr="004E6649">
              <w:rPr>
                <w:rFonts w:eastAsia="Times New Roman" w:cstheme="minorHAnsi"/>
                <w:color w:val="0D0D0D"/>
              </w:rPr>
              <w:t>Contribution deficiency (excess)</w:t>
            </w:r>
          </w:p>
        </w:tc>
        <w:tc>
          <w:tcPr>
            <w:tcW w:w="953" w:type="dxa"/>
            <w:tcBorders>
              <w:top w:val="single" w:sz="4" w:space="0" w:color="auto"/>
              <w:left w:val="nil"/>
              <w:bottom w:val="double" w:sz="4" w:space="0" w:color="auto"/>
              <w:right w:val="nil"/>
            </w:tcBorders>
            <w:shd w:val="clear" w:color="auto" w:fill="F2F2F2" w:themeFill="background1" w:themeFillShade="F2"/>
            <w:vAlign w:val="bottom"/>
          </w:tcPr>
          <w:p w14:paraId="0E4EAB5E" w14:textId="77777777" w:rsidR="001B6918" w:rsidRPr="00F96B39" w:rsidRDefault="001B6918" w:rsidP="00730ECF">
            <w:pPr>
              <w:ind w:firstLine="23"/>
              <w:jc w:val="right"/>
              <w:rPr>
                <w:rFonts w:cstheme="minorHAnsi"/>
                <w:color w:val="FF0000"/>
              </w:rPr>
            </w:pPr>
            <w:r>
              <w:rPr>
                <w:rFonts w:ascii="Calibri" w:hAnsi="Calibri" w:cs="Calibri"/>
              </w:rPr>
              <w:t xml:space="preserve"> (2,395)</w:t>
            </w:r>
          </w:p>
        </w:tc>
        <w:tc>
          <w:tcPr>
            <w:tcW w:w="953" w:type="dxa"/>
            <w:tcBorders>
              <w:top w:val="single" w:sz="4" w:space="0" w:color="auto"/>
              <w:left w:val="nil"/>
              <w:bottom w:val="double" w:sz="4" w:space="0" w:color="auto"/>
              <w:right w:val="nil"/>
            </w:tcBorders>
            <w:shd w:val="clear" w:color="auto" w:fill="FFFFFF" w:themeFill="background1"/>
            <w:vAlign w:val="bottom"/>
          </w:tcPr>
          <w:p w14:paraId="7B10EB05" w14:textId="77777777" w:rsidR="001B6918" w:rsidRPr="00444491" w:rsidRDefault="001B6918" w:rsidP="00730ECF">
            <w:pPr>
              <w:ind w:firstLine="23"/>
              <w:jc w:val="right"/>
              <w:rPr>
                <w:rFonts w:cstheme="minorHAnsi"/>
              </w:rPr>
            </w:pPr>
            <w:r>
              <w:rPr>
                <w:rFonts w:cstheme="minorHAnsi"/>
              </w:rPr>
              <w:t>$(3,314)</w:t>
            </w:r>
          </w:p>
        </w:tc>
        <w:tc>
          <w:tcPr>
            <w:tcW w:w="953" w:type="dxa"/>
            <w:tcBorders>
              <w:top w:val="single" w:sz="4" w:space="0" w:color="auto"/>
              <w:left w:val="nil"/>
              <w:bottom w:val="double" w:sz="4" w:space="0" w:color="auto"/>
              <w:right w:val="nil"/>
            </w:tcBorders>
            <w:shd w:val="clear" w:color="auto" w:fill="F2F2F2" w:themeFill="background1" w:themeFillShade="F2"/>
            <w:vAlign w:val="bottom"/>
          </w:tcPr>
          <w:p w14:paraId="53150FA8" w14:textId="77777777" w:rsidR="001B6918" w:rsidRPr="004E6649" w:rsidRDefault="001B6918" w:rsidP="00730ECF">
            <w:pPr>
              <w:ind w:firstLine="23"/>
              <w:jc w:val="right"/>
              <w:rPr>
                <w:rFonts w:eastAsia="Times New Roman" w:cstheme="minorHAnsi"/>
              </w:rPr>
            </w:pPr>
            <w:r w:rsidRPr="004E6649">
              <w:rPr>
                <w:rFonts w:cstheme="minorHAnsi"/>
              </w:rPr>
              <w:t>$(2,757)</w:t>
            </w:r>
          </w:p>
        </w:tc>
        <w:tc>
          <w:tcPr>
            <w:tcW w:w="953" w:type="dxa"/>
            <w:tcBorders>
              <w:top w:val="single" w:sz="4" w:space="0" w:color="auto"/>
              <w:left w:val="nil"/>
              <w:bottom w:val="double" w:sz="4" w:space="0" w:color="auto"/>
              <w:right w:val="nil"/>
            </w:tcBorders>
            <w:vAlign w:val="bottom"/>
          </w:tcPr>
          <w:p w14:paraId="6A068F26" w14:textId="77777777" w:rsidR="001B6918" w:rsidRPr="004E6649" w:rsidRDefault="001B6918" w:rsidP="00730ECF">
            <w:pPr>
              <w:ind w:firstLine="23"/>
              <w:jc w:val="right"/>
              <w:rPr>
                <w:rFonts w:eastAsia="Times New Roman" w:cstheme="minorHAnsi"/>
              </w:rPr>
            </w:pPr>
            <w:r w:rsidRPr="004E6649">
              <w:rPr>
                <w:rFonts w:eastAsia="Times New Roman" w:cstheme="minorHAnsi"/>
              </w:rPr>
              <w:t>$(2,388)</w:t>
            </w:r>
          </w:p>
        </w:tc>
        <w:tc>
          <w:tcPr>
            <w:tcW w:w="953" w:type="dxa"/>
            <w:tcBorders>
              <w:top w:val="single" w:sz="4" w:space="0" w:color="auto"/>
              <w:left w:val="nil"/>
              <w:bottom w:val="double" w:sz="4" w:space="0" w:color="auto"/>
              <w:right w:val="nil"/>
            </w:tcBorders>
            <w:shd w:val="clear" w:color="auto" w:fill="F2F2F2" w:themeFill="background1" w:themeFillShade="F2"/>
            <w:vAlign w:val="bottom"/>
          </w:tcPr>
          <w:p w14:paraId="18AE8CF5" w14:textId="77777777" w:rsidR="001B6918" w:rsidRPr="004E6649" w:rsidRDefault="001B6918" w:rsidP="00730ECF">
            <w:pPr>
              <w:ind w:firstLine="23"/>
              <w:jc w:val="right"/>
              <w:rPr>
                <w:rFonts w:eastAsia="Times New Roman" w:cstheme="minorHAnsi"/>
                <w:color w:val="0D0D0D"/>
              </w:rPr>
            </w:pPr>
            <w:r w:rsidRPr="004E6649">
              <w:rPr>
                <w:rFonts w:eastAsia="Times New Roman" w:cstheme="minorHAnsi"/>
                <w:color w:val="0D0D0D"/>
              </w:rPr>
              <w:t>$(2,198)</w:t>
            </w:r>
          </w:p>
        </w:tc>
        <w:tc>
          <w:tcPr>
            <w:tcW w:w="953" w:type="dxa"/>
            <w:tcBorders>
              <w:top w:val="single" w:sz="4" w:space="0" w:color="auto"/>
              <w:left w:val="nil"/>
              <w:bottom w:val="double" w:sz="4" w:space="0" w:color="auto"/>
              <w:right w:val="nil"/>
            </w:tcBorders>
            <w:shd w:val="clear" w:color="000000" w:fill="FFFFFF"/>
            <w:noWrap/>
            <w:vAlign w:val="bottom"/>
            <w:hideMark/>
          </w:tcPr>
          <w:p w14:paraId="7B6258E9" w14:textId="77777777" w:rsidR="001B6918" w:rsidRPr="004E6649" w:rsidRDefault="001B6918" w:rsidP="00730ECF">
            <w:pPr>
              <w:ind w:firstLine="23"/>
              <w:jc w:val="right"/>
              <w:rPr>
                <w:rFonts w:eastAsia="Times New Roman" w:cstheme="minorHAnsi"/>
                <w:color w:val="0D0D0D"/>
              </w:rPr>
            </w:pPr>
            <w:r w:rsidRPr="004E6649">
              <w:rPr>
                <w:rFonts w:eastAsia="Times New Roman" w:cstheme="minorHAnsi"/>
                <w:color w:val="0D0D0D"/>
              </w:rPr>
              <w:t>$(2,141)</w:t>
            </w:r>
          </w:p>
        </w:tc>
        <w:tc>
          <w:tcPr>
            <w:tcW w:w="953" w:type="dxa"/>
            <w:tcBorders>
              <w:top w:val="single" w:sz="4" w:space="0" w:color="auto"/>
              <w:left w:val="nil"/>
              <w:bottom w:val="double" w:sz="4" w:space="0" w:color="auto"/>
              <w:right w:val="nil"/>
            </w:tcBorders>
            <w:shd w:val="clear" w:color="auto" w:fill="F2F2F2" w:themeFill="background1" w:themeFillShade="F2"/>
            <w:noWrap/>
            <w:vAlign w:val="bottom"/>
            <w:hideMark/>
          </w:tcPr>
          <w:p w14:paraId="06F9CE8C" w14:textId="77777777" w:rsidR="001B6918" w:rsidRPr="004E6649" w:rsidRDefault="001B6918" w:rsidP="00730ECF">
            <w:pPr>
              <w:ind w:firstLine="23"/>
              <w:jc w:val="right"/>
              <w:rPr>
                <w:rFonts w:eastAsia="Times New Roman" w:cstheme="minorHAnsi"/>
                <w:color w:val="0D0D0D"/>
              </w:rPr>
            </w:pPr>
            <w:r w:rsidRPr="004E6649">
              <w:rPr>
                <w:rFonts w:eastAsia="Times New Roman" w:cstheme="minorHAnsi"/>
                <w:color w:val="0D0D0D"/>
              </w:rPr>
              <w:t>$(2,175)</w:t>
            </w:r>
          </w:p>
        </w:tc>
        <w:tc>
          <w:tcPr>
            <w:tcW w:w="953" w:type="dxa"/>
            <w:tcBorders>
              <w:top w:val="single" w:sz="4" w:space="0" w:color="auto"/>
              <w:left w:val="nil"/>
              <w:bottom w:val="double" w:sz="4" w:space="0" w:color="auto"/>
              <w:right w:val="nil"/>
            </w:tcBorders>
            <w:shd w:val="clear" w:color="000000" w:fill="FFFFFF"/>
            <w:noWrap/>
            <w:vAlign w:val="bottom"/>
            <w:hideMark/>
          </w:tcPr>
          <w:p w14:paraId="3875738D" w14:textId="77777777" w:rsidR="001B6918" w:rsidRPr="004E6649" w:rsidRDefault="001B6918" w:rsidP="00730ECF">
            <w:pPr>
              <w:ind w:firstLine="23"/>
              <w:jc w:val="right"/>
              <w:rPr>
                <w:rFonts w:eastAsia="Times New Roman" w:cstheme="minorHAnsi"/>
                <w:color w:val="0D0D0D"/>
              </w:rPr>
            </w:pPr>
            <w:r w:rsidRPr="004E6649">
              <w:rPr>
                <w:rFonts w:eastAsia="Times New Roman" w:cstheme="minorHAnsi"/>
                <w:color w:val="0D0D0D"/>
              </w:rPr>
              <w:t>$(1,972)</w:t>
            </w:r>
          </w:p>
        </w:tc>
        <w:tc>
          <w:tcPr>
            <w:tcW w:w="953" w:type="dxa"/>
            <w:tcBorders>
              <w:top w:val="single" w:sz="4" w:space="0" w:color="auto"/>
              <w:left w:val="nil"/>
              <w:bottom w:val="double" w:sz="4" w:space="0" w:color="auto"/>
              <w:right w:val="nil"/>
            </w:tcBorders>
            <w:shd w:val="clear" w:color="auto" w:fill="F2F2F2" w:themeFill="background1" w:themeFillShade="F2"/>
            <w:noWrap/>
            <w:vAlign w:val="bottom"/>
            <w:hideMark/>
          </w:tcPr>
          <w:p w14:paraId="0CDEC5E3" w14:textId="77777777" w:rsidR="001B6918" w:rsidRPr="004E6649" w:rsidRDefault="001B6918" w:rsidP="00730ECF">
            <w:pPr>
              <w:ind w:firstLine="23"/>
              <w:jc w:val="right"/>
              <w:rPr>
                <w:rFonts w:eastAsia="Times New Roman" w:cstheme="minorHAnsi"/>
                <w:color w:val="0D0D0D"/>
              </w:rPr>
            </w:pPr>
            <w:r w:rsidRPr="004E6649">
              <w:rPr>
                <w:rFonts w:eastAsia="Times New Roman" w:cstheme="minorHAnsi"/>
                <w:color w:val="0D0D0D"/>
              </w:rPr>
              <w:t>$(2,084)</w:t>
            </w:r>
          </w:p>
        </w:tc>
        <w:tc>
          <w:tcPr>
            <w:tcW w:w="953" w:type="dxa"/>
            <w:tcBorders>
              <w:top w:val="single" w:sz="4" w:space="0" w:color="auto"/>
              <w:left w:val="nil"/>
              <w:bottom w:val="double" w:sz="4" w:space="0" w:color="auto"/>
              <w:right w:val="nil"/>
            </w:tcBorders>
            <w:shd w:val="clear" w:color="000000" w:fill="FFFFFF"/>
            <w:noWrap/>
            <w:vAlign w:val="bottom"/>
            <w:hideMark/>
          </w:tcPr>
          <w:p w14:paraId="595A4AE3" w14:textId="77777777" w:rsidR="001B6918" w:rsidRPr="004E6649" w:rsidRDefault="001B6918" w:rsidP="00730ECF">
            <w:pPr>
              <w:ind w:firstLine="23"/>
              <w:jc w:val="right"/>
              <w:rPr>
                <w:rFonts w:eastAsia="Times New Roman" w:cstheme="minorHAnsi"/>
                <w:color w:val="0D0D0D"/>
              </w:rPr>
            </w:pPr>
            <w:r w:rsidRPr="004E6649">
              <w:rPr>
                <w:rFonts w:eastAsia="Times New Roman" w:cstheme="minorHAnsi"/>
                <w:color w:val="0D0D0D"/>
              </w:rPr>
              <w:t>$(5,260)</w:t>
            </w:r>
          </w:p>
        </w:tc>
      </w:tr>
      <w:tr w:rsidR="001B6918" w:rsidRPr="004E6649" w14:paraId="5CC039E5" w14:textId="77777777" w:rsidTr="00734C56">
        <w:trPr>
          <w:trHeight w:val="420"/>
          <w:jc w:val="center"/>
        </w:trPr>
        <w:tc>
          <w:tcPr>
            <w:tcW w:w="4509" w:type="dxa"/>
            <w:tcBorders>
              <w:top w:val="double" w:sz="4" w:space="0" w:color="auto"/>
              <w:left w:val="nil"/>
              <w:right w:val="nil"/>
            </w:tcBorders>
            <w:shd w:val="clear" w:color="000000" w:fill="FFFFFF"/>
            <w:noWrap/>
            <w:vAlign w:val="bottom"/>
            <w:hideMark/>
          </w:tcPr>
          <w:p w14:paraId="79878040" w14:textId="77777777" w:rsidR="001B6918" w:rsidRPr="004E6649" w:rsidRDefault="001B6918" w:rsidP="00730ECF">
            <w:pPr>
              <w:ind w:firstLine="23"/>
              <w:rPr>
                <w:rFonts w:eastAsia="Times New Roman" w:cstheme="minorHAnsi"/>
                <w:color w:val="0D0D0D"/>
              </w:rPr>
            </w:pPr>
            <w:r w:rsidRPr="004E6649">
              <w:rPr>
                <w:rFonts w:eastAsia="Times New Roman" w:cstheme="minorHAnsi"/>
                <w:color w:val="0D0D0D"/>
              </w:rPr>
              <w:t>Covered payroll</w:t>
            </w:r>
          </w:p>
        </w:tc>
        <w:tc>
          <w:tcPr>
            <w:tcW w:w="953" w:type="dxa"/>
            <w:tcBorders>
              <w:top w:val="double" w:sz="4" w:space="0" w:color="auto"/>
              <w:left w:val="nil"/>
              <w:bottom w:val="nil"/>
              <w:right w:val="nil"/>
            </w:tcBorders>
            <w:shd w:val="clear" w:color="auto" w:fill="F2F2F2" w:themeFill="background1" w:themeFillShade="F2"/>
            <w:vAlign w:val="bottom"/>
          </w:tcPr>
          <w:p w14:paraId="5E5015A7" w14:textId="77777777" w:rsidR="001B6918" w:rsidRPr="00F96B39" w:rsidRDefault="001B6918" w:rsidP="00730ECF">
            <w:pPr>
              <w:ind w:firstLine="23"/>
              <w:jc w:val="right"/>
              <w:rPr>
                <w:rFonts w:eastAsia="Times New Roman" w:cstheme="minorHAnsi"/>
                <w:bCs/>
                <w:color w:val="FF0000"/>
              </w:rPr>
            </w:pPr>
            <w:r>
              <w:rPr>
                <w:rFonts w:ascii="Calibri" w:hAnsi="Calibri" w:cs="Calibri"/>
              </w:rPr>
              <w:t xml:space="preserve"> $43,911 </w:t>
            </w:r>
          </w:p>
        </w:tc>
        <w:tc>
          <w:tcPr>
            <w:tcW w:w="953" w:type="dxa"/>
            <w:tcBorders>
              <w:top w:val="double" w:sz="4" w:space="0" w:color="auto"/>
              <w:left w:val="nil"/>
              <w:right w:val="nil"/>
            </w:tcBorders>
            <w:shd w:val="clear" w:color="auto" w:fill="FFFFFF" w:themeFill="background1"/>
            <w:vAlign w:val="bottom"/>
          </w:tcPr>
          <w:p w14:paraId="415B91FE" w14:textId="77777777" w:rsidR="001B6918" w:rsidRPr="00444491" w:rsidRDefault="001B6918" w:rsidP="00730ECF">
            <w:pPr>
              <w:ind w:firstLine="23"/>
              <w:jc w:val="right"/>
              <w:rPr>
                <w:rFonts w:cstheme="minorHAnsi"/>
              </w:rPr>
            </w:pPr>
            <w:r>
              <w:rPr>
                <w:rFonts w:eastAsia="Times New Roman" w:cstheme="minorHAnsi"/>
                <w:bCs/>
                <w:color w:val="0D0D0D"/>
              </w:rPr>
              <w:t>$46,627</w:t>
            </w:r>
          </w:p>
        </w:tc>
        <w:tc>
          <w:tcPr>
            <w:tcW w:w="953" w:type="dxa"/>
            <w:tcBorders>
              <w:top w:val="double" w:sz="4" w:space="0" w:color="auto"/>
              <w:left w:val="nil"/>
              <w:right w:val="nil"/>
            </w:tcBorders>
            <w:shd w:val="clear" w:color="auto" w:fill="F2F2F2" w:themeFill="background1" w:themeFillShade="F2"/>
            <w:vAlign w:val="bottom"/>
          </w:tcPr>
          <w:p w14:paraId="70FC8D72" w14:textId="77777777" w:rsidR="001B6918" w:rsidRPr="004E6649" w:rsidRDefault="001B6918" w:rsidP="00270780">
            <w:pPr>
              <w:ind w:firstLine="23"/>
              <w:jc w:val="right"/>
              <w:rPr>
                <w:rFonts w:eastAsia="Times New Roman" w:cstheme="minorHAnsi"/>
              </w:rPr>
            </w:pPr>
            <w:r w:rsidRPr="004E6649">
              <w:rPr>
                <w:rFonts w:cstheme="minorHAnsi"/>
              </w:rPr>
              <w:t xml:space="preserve">$51,931 </w:t>
            </w:r>
          </w:p>
        </w:tc>
        <w:tc>
          <w:tcPr>
            <w:tcW w:w="953" w:type="dxa"/>
            <w:tcBorders>
              <w:top w:val="double" w:sz="4" w:space="0" w:color="auto"/>
              <w:left w:val="nil"/>
              <w:right w:val="nil"/>
            </w:tcBorders>
            <w:vAlign w:val="bottom"/>
          </w:tcPr>
          <w:p w14:paraId="23CB35E4" w14:textId="77777777" w:rsidR="001B6918" w:rsidRPr="004E6649" w:rsidRDefault="001B6918" w:rsidP="00730ECF">
            <w:pPr>
              <w:ind w:firstLine="23"/>
              <w:jc w:val="right"/>
              <w:rPr>
                <w:rFonts w:eastAsia="Times New Roman" w:cstheme="minorHAnsi"/>
              </w:rPr>
            </w:pPr>
            <w:r w:rsidRPr="004E6649">
              <w:rPr>
                <w:rFonts w:eastAsia="Times New Roman" w:cstheme="minorHAnsi"/>
              </w:rPr>
              <w:t>$59,119</w:t>
            </w:r>
          </w:p>
        </w:tc>
        <w:tc>
          <w:tcPr>
            <w:tcW w:w="953" w:type="dxa"/>
            <w:tcBorders>
              <w:top w:val="double" w:sz="4" w:space="0" w:color="auto"/>
              <w:left w:val="nil"/>
              <w:right w:val="nil"/>
            </w:tcBorders>
            <w:shd w:val="clear" w:color="auto" w:fill="F2F2F2" w:themeFill="background1" w:themeFillShade="F2"/>
            <w:vAlign w:val="bottom"/>
          </w:tcPr>
          <w:p w14:paraId="45DF3FD3" w14:textId="77777777" w:rsidR="001B6918" w:rsidRPr="004E6649" w:rsidRDefault="001B6918" w:rsidP="00730ECF">
            <w:pPr>
              <w:ind w:firstLine="23"/>
              <w:jc w:val="right"/>
              <w:rPr>
                <w:rFonts w:eastAsia="Times New Roman" w:cstheme="minorHAnsi"/>
                <w:color w:val="0D0D0D"/>
              </w:rPr>
            </w:pPr>
            <w:r w:rsidRPr="004E6649">
              <w:rPr>
                <w:rFonts w:eastAsia="Times New Roman" w:cstheme="minorHAnsi"/>
                <w:color w:val="0D0D0D"/>
              </w:rPr>
              <w:t>$62,646</w:t>
            </w:r>
          </w:p>
        </w:tc>
        <w:tc>
          <w:tcPr>
            <w:tcW w:w="953" w:type="dxa"/>
            <w:tcBorders>
              <w:top w:val="double" w:sz="4" w:space="0" w:color="auto"/>
              <w:left w:val="nil"/>
              <w:right w:val="nil"/>
            </w:tcBorders>
            <w:shd w:val="clear" w:color="000000" w:fill="FFFFFF"/>
            <w:noWrap/>
            <w:vAlign w:val="bottom"/>
            <w:hideMark/>
          </w:tcPr>
          <w:p w14:paraId="20A04CE2" w14:textId="77777777" w:rsidR="001B6918" w:rsidRPr="004E6649" w:rsidRDefault="001B6918" w:rsidP="00730ECF">
            <w:pPr>
              <w:ind w:firstLine="23"/>
              <w:jc w:val="right"/>
              <w:rPr>
                <w:rFonts w:eastAsia="Times New Roman" w:cstheme="minorHAnsi"/>
                <w:color w:val="0D0D0D"/>
              </w:rPr>
            </w:pPr>
            <w:r w:rsidRPr="004E6649">
              <w:rPr>
                <w:rFonts w:eastAsia="Times New Roman" w:cstheme="minorHAnsi"/>
                <w:color w:val="0D0D0D"/>
              </w:rPr>
              <w:t>$67,303</w:t>
            </w:r>
          </w:p>
        </w:tc>
        <w:tc>
          <w:tcPr>
            <w:tcW w:w="953" w:type="dxa"/>
            <w:tcBorders>
              <w:top w:val="double" w:sz="4" w:space="0" w:color="auto"/>
              <w:left w:val="nil"/>
              <w:right w:val="nil"/>
            </w:tcBorders>
            <w:shd w:val="clear" w:color="auto" w:fill="F2F2F2" w:themeFill="background1" w:themeFillShade="F2"/>
            <w:noWrap/>
            <w:vAlign w:val="bottom"/>
            <w:hideMark/>
          </w:tcPr>
          <w:p w14:paraId="40B23BAA" w14:textId="77777777" w:rsidR="001B6918" w:rsidRPr="004E6649" w:rsidRDefault="001B6918" w:rsidP="00730ECF">
            <w:pPr>
              <w:ind w:firstLine="23"/>
              <w:jc w:val="right"/>
              <w:rPr>
                <w:rFonts w:eastAsia="Times New Roman" w:cstheme="minorHAnsi"/>
                <w:color w:val="0D0D0D"/>
              </w:rPr>
            </w:pPr>
            <w:r w:rsidRPr="004E6649">
              <w:rPr>
                <w:rFonts w:eastAsia="Times New Roman" w:cstheme="minorHAnsi"/>
                <w:color w:val="0D0D0D"/>
              </w:rPr>
              <w:t>$68,685</w:t>
            </w:r>
          </w:p>
        </w:tc>
        <w:tc>
          <w:tcPr>
            <w:tcW w:w="953" w:type="dxa"/>
            <w:tcBorders>
              <w:top w:val="double" w:sz="4" w:space="0" w:color="auto"/>
              <w:left w:val="nil"/>
              <w:right w:val="nil"/>
            </w:tcBorders>
            <w:shd w:val="clear" w:color="000000" w:fill="FFFFFF"/>
            <w:noWrap/>
            <w:vAlign w:val="bottom"/>
            <w:hideMark/>
          </w:tcPr>
          <w:p w14:paraId="10A7C021" w14:textId="77777777" w:rsidR="001B6918" w:rsidRPr="004E6649" w:rsidRDefault="001B6918" w:rsidP="00730ECF">
            <w:pPr>
              <w:ind w:firstLine="23"/>
              <w:jc w:val="right"/>
              <w:rPr>
                <w:rFonts w:eastAsia="Times New Roman" w:cstheme="minorHAnsi"/>
                <w:color w:val="0D0D0D"/>
              </w:rPr>
            </w:pPr>
            <w:r w:rsidRPr="004E6649">
              <w:rPr>
                <w:rFonts w:eastAsia="Times New Roman" w:cstheme="minorHAnsi"/>
                <w:color w:val="0D0D0D"/>
              </w:rPr>
              <w:t>$72,541</w:t>
            </w:r>
          </w:p>
        </w:tc>
        <w:tc>
          <w:tcPr>
            <w:tcW w:w="953" w:type="dxa"/>
            <w:tcBorders>
              <w:top w:val="double" w:sz="4" w:space="0" w:color="auto"/>
              <w:left w:val="nil"/>
              <w:right w:val="nil"/>
            </w:tcBorders>
            <w:shd w:val="clear" w:color="auto" w:fill="F2F2F2" w:themeFill="background1" w:themeFillShade="F2"/>
            <w:noWrap/>
            <w:vAlign w:val="bottom"/>
            <w:hideMark/>
          </w:tcPr>
          <w:p w14:paraId="0E825D86" w14:textId="77777777" w:rsidR="001B6918" w:rsidRPr="004E6649" w:rsidRDefault="001B6918" w:rsidP="00730ECF">
            <w:pPr>
              <w:ind w:firstLine="23"/>
              <w:jc w:val="right"/>
              <w:rPr>
                <w:rFonts w:eastAsia="Times New Roman" w:cstheme="minorHAnsi"/>
                <w:color w:val="0D0D0D"/>
              </w:rPr>
            </w:pPr>
            <w:r w:rsidRPr="004E6649">
              <w:rPr>
                <w:rFonts w:eastAsia="Times New Roman" w:cstheme="minorHAnsi"/>
                <w:color w:val="0D0D0D"/>
              </w:rPr>
              <w:t>$77,644</w:t>
            </w:r>
          </w:p>
        </w:tc>
        <w:tc>
          <w:tcPr>
            <w:tcW w:w="953" w:type="dxa"/>
            <w:tcBorders>
              <w:top w:val="double" w:sz="4" w:space="0" w:color="auto"/>
              <w:left w:val="nil"/>
              <w:right w:val="nil"/>
            </w:tcBorders>
            <w:shd w:val="clear" w:color="000000" w:fill="FFFFFF"/>
            <w:noWrap/>
            <w:vAlign w:val="bottom"/>
            <w:hideMark/>
          </w:tcPr>
          <w:p w14:paraId="3A4AA59D" w14:textId="77777777" w:rsidR="001B6918" w:rsidRPr="004E6649" w:rsidRDefault="001B6918" w:rsidP="00730ECF">
            <w:pPr>
              <w:ind w:firstLine="23"/>
              <w:jc w:val="right"/>
              <w:rPr>
                <w:rFonts w:eastAsia="Times New Roman" w:cstheme="minorHAnsi"/>
                <w:color w:val="0D0D0D"/>
              </w:rPr>
            </w:pPr>
            <w:r w:rsidRPr="004E6649">
              <w:rPr>
                <w:rFonts w:eastAsia="Times New Roman" w:cstheme="minorHAnsi"/>
                <w:color w:val="0D0D0D"/>
              </w:rPr>
              <w:t>$95,653</w:t>
            </w:r>
          </w:p>
        </w:tc>
      </w:tr>
      <w:tr w:rsidR="001B6918" w:rsidRPr="004E6649" w14:paraId="09BCDF26" w14:textId="77777777" w:rsidTr="00730ECF">
        <w:trPr>
          <w:trHeight w:val="241"/>
          <w:jc w:val="center"/>
        </w:trPr>
        <w:tc>
          <w:tcPr>
            <w:tcW w:w="4509" w:type="dxa"/>
            <w:tcBorders>
              <w:top w:val="nil"/>
              <w:left w:val="nil"/>
              <w:bottom w:val="single" w:sz="4" w:space="0" w:color="000000" w:themeColor="text1"/>
              <w:right w:val="nil"/>
            </w:tcBorders>
            <w:shd w:val="clear" w:color="000000" w:fill="FFFFFF"/>
            <w:vAlign w:val="center"/>
            <w:hideMark/>
          </w:tcPr>
          <w:p w14:paraId="5579F96E" w14:textId="77777777" w:rsidR="001B6918" w:rsidRPr="004E6649" w:rsidRDefault="001B6918" w:rsidP="00730ECF">
            <w:pPr>
              <w:ind w:firstLine="23"/>
              <w:rPr>
                <w:rFonts w:eastAsia="Times New Roman" w:cstheme="minorHAnsi"/>
                <w:color w:val="0D0D0D"/>
              </w:rPr>
            </w:pPr>
            <w:r w:rsidRPr="004E6649">
              <w:rPr>
                <w:rFonts w:eastAsia="Times New Roman" w:cstheme="minorHAnsi"/>
                <w:color w:val="0D0D0D"/>
              </w:rPr>
              <w:t>Contributions as a percentage of covered payroll</w:t>
            </w:r>
          </w:p>
        </w:tc>
        <w:tc>
          <w:tcPr>
            <w:tcW w:w="953" w:type="dxa"/>
            <w:tcBorders>
              <w:top w:val="nil"/>
              <w:left w:val="nil"/>
              <w:bottom w:val="single" w:sz="4" w:space="0" w:color="00688D"/>
              <w:right w:val="nil"/>
            </w:tcBorders>
            <w:shd w:val="clear" w:color="auto" w:fill="F2F2F2" w:themeFill="background1" w:themeFillShade="F2"/>
            <w:vAlign w:val="bottom"/>
          </w:tcPr>
          <w:p w14:paraId="4362D8BD" w14:textId="77777777" w:rsidR="001B6918" w:rsidRPr="00F96B39" w:rsidRDefault="001B6918" w:rsidP="00730ECF">
            <w:pPr>
              <w:ind w:firstLine="23"/>
              <w:jc w:val="right"/>
              <w:rPr>
                <w:rFonts w:eastAsia="Times New Roman" w:cstheme="minorHAnsi"/>
                <w:color w:val="FF0000"/>
              </w:rPr>
            </w:pPr>
            <w:r>
              <w:rPr>
                <w:rFonts w:ascii="Calibri" w:hAnsi="Calibri" w:cs="Calibri"/>
              </w:rPr>
              <w:t>5.45%</w:t>
            </w:r>
          </w:p>
        </w:tc>
        <w:tc>
          <w:tcPr>
            <w:tcW w:w="953" w:type="dxa"/>
            <w:tcBorders>
              <w:top w:val="nil"/>
              <w:left w:val="nil"/>
              <w:bottom w:val="single" w:sz="4" w:space="0" w:color="000000" w:themeColor="text1"/>
              <w:right w:val="nil"/>
            </w:tcBorders>
            <w:shd w:val="clear" w:color="auto" w:fill="FFFFFF" w:themeFill="background1"/>
            <w:vAlign w:val="bottom"/>
          </w:tcPr>
          <w:p w14:paraId="42219417" w14:textId="77777777" w:rsidR="001B6918" w:rsidRPr="00444491" w:rsidRDefault="001B6918" w:rsidP="00730ECF">
            <w:pPr>
              <w:ind w:firstLine="23"/>
              <w:jc w:val="right"/>
              <w:rPr>
                <w:rFonts w:eastAsia="Times New Roman" w:cstheme="minorHAnsi"/>
              </w:rPr>
            </w:pPr>
            <w:r>
              <w:rPr>
                <w:rFonts w:eastAsia="Times New Roman" w:cstheme="minorHAnsi"/>
              </w:rPr>
              <w:t>7.11%</w:t>
            </w:r>
          </w:p>
        </w:tc>
        <w:tc>
          <w:tcPr>
            <w:tcW w:w="953" w:type="dxa"/>
            <w:tcBorders>
              <w:top w:val="nil"/>
              <w:left w:val="nil"/>
              <w:bottom w:val="single" w:sz="4" w:space="0" w:color="000000" w:themeColor="text1"/>
              <w:right w:val="nil"/>
            </w:tcBorders>
            <w:shd w:val="clear" w:color="auto" w:fill="F2F2F2" w:themeFill="background1" w:themeFillShade="F2"/>
          </w:tcPr>
          <w:p w14:paraId="1D3B107F" w14:textId="77777777" w:rsidR="001B6918" w:rsidRDefault="001B6918" w:rsidP="00730ECF">
            <w:pPr>
              <w:ind w:firstLine="23"/>
              <w:jc w:val="right"/>
              <w:rPr>
                <w:rFonts w:eastAsia="Times New Roman" w:cstheme="minorHAnsi"/>
              </w:rPr>
            </w:pPr>
          </w:p>
          <w:p w14:paraId="7DF49F51" w14:textId="77777777" w:rsidR="001B6918" w:rsidRPr="004E6649" w:rsidRDefault="001B6918" w:rsidP="00730ECF">
            <w:pPr>
              <w:ind w:firstLine="23"/>
              <w:jc w:val="right"/>
              <w:rPr>
                <w:rFonts w:eastAsia="Times New Roman" w:cstheme="minorHAnsi"/>
              </w:rPr>
            </w:pPr>
            <w:r w:rsidRPr="004E6649">
              <w:rPr>
                <w:rFonts w:eastAsia="Times New Roman" w:cstheme="minorHAnsi"/>
              </w:rPr>
              <w:t>5.31%</w:t>
            </w:r>
          </w:p>
        </w:tc>
        <w:tc>
          <w:tcPr>
            <w:tcW w:w="953" w:type="dxa"/>
            <w:tcBorders>
              <w:top w:val="nil"/>
              <w:left w:val="nil"/>
              <w:bottom w:val="single" w:sz="4" w:space="0" w:color="000000" w:themeColor="text1"/>
              <w:right w:val="nil"/>
            </w:tcBorders>
            <w:vAlign w:val="bottom"/>
          </w:tcPr>
          <w:p w14:paraId="2C90D5B2" w14:textId="77777777" w:rsidR="001B6918" w:rsidRPr="004E6649" w:rsidRDefault="001B6918" w:rsidP="00730ECF">
            <w:pPr>
              <w:ind w:firstLine="23"/>
              <w:jc w:val="right"/>
              <w:rPr>
                <w:rFonts w:eastAsia="Times New Roman" w:cstheme="minorHAnsi"/>
              </w:rPr>
            </w:pPr>
            <w:r w:rsidRPr="004E6649">
              <w:rPr>
                <w:rFonts w:eastAsia="Times New Roman" w:cstheme="minorHAnsi"/>
              </w:rPr>
              <w:t>4.04%</w:t>
            </w:r>
          </w:p>
        </w:tc>
        <w:tc>
          <w:tcPr>
            <w:tcW w:w="953" w:type="dxa"/>
            <w:tcBorders>
              <w:top w:val="nil"/>
              <w:left w:val="nil"/>
              <w:bottom w:val="single" w:sz="4" w:space="0" w:color="000000" w:themeColor="text1"/>
              <w:right w:val="nil"/>
            </w:tcBorders>
            <w:shd w:val="clear" w:color="auto" w:fill="F2F2F2" w:themeFill="background1" w:themeFillShade="F2"/>
            <w:vAlign w:val="bottom"/>
          </w:tcPr>
          <w:p w14:paraId="4B62DD76" w14:textId="77777777" w:rsidR="001B6918" w:rsidRPr="004E6649" w:rsidRDefault="001B6918" w:rsidP="00730ECF">
            <w:pPr>
              <w:ind w:firstLine="23"/>
              <w:jc w:val="right"/>
              <w:rPr>
                <w:rFonts w:eastAsia="Times New Roman" w:cstheme="minorHAnsi"/>
                <w:color w:val="0D0D0D"/>
              </w:rPr>
            </w:pPr>
            <w:r w:rsidRPr="004E6649">
              <w:rPr>
                <w:rFonts w:eastAsia="Times New Roman" w:cstheme="minorHAnsi"/>
                <w:color w:val="0D0D0D"/>
              </w:rPr>
              <w:t>3.51%</w:t>
            </w:r>
          </w:p>
        </w:tc>
        <w:tc>
          <w:tcPr>
            <w:tcW w:w="953" w:type="dxa"/>
            <w:tcBorders>
              <w:top w:val="nil"/>
              <w:left w:val="nil"/>
              <w:bottom w:val="single" w:sz="4" w:space="0" w:color="000000" w:themeColor="text1"/>
              <w:right w:val="nil"/>
            </w:tcBorders>
            <w:shd w:val="clear" w:color="000000" w:fill="FFFFFF"/>
            <w:noWrap/>
            <w:vAlign w:val="bottom"/>
            <w:hideMark/>
          </w:tcPr>
          <w:p w14:paraId="2AD6E2DE" w14:textId="77777777" w:rsidR="001B6918" w:rsidRPr="004E6649" w:rsidRDefault="001B6918" w:rsidP="00730ECF">
            <w:pPr>
              <w:ind w:firstLine="23"/>
              <w:jc w:val="right"/>
              <w:rPr>
                <w:rFonts w:eastAsia="Times New Roman" w:cstheme="minorHAnsi"/>
                <w:color w:val="0D0D0D"/>
              </w:rPr>
            </w:pPr>
            <w:r w:rsidRPr="004E6649">
              <w:rPr>
                <w:rFonts w:eastAsia="Times New Roman" w:cstheme="minorHAnsi"/>
                <w:color w:val="0D0D0D"/>
              </w:rPr>
              <w:t>3.18%</w:t>
            </w:r>
          </w:p>
        </w:tc>
        <w:tc>
          <w:tcPr>
            <w:tcW w:w="953" w:type="dxa"/>
            <w:tcBorders>
              <w:top w:val="nil"/>
              <w:left w:val="nil"/>
              <w:bottom w:val="single" w:sz="4" w:space="0" w:color="000000" w:themeColor="text1"/>
              <w:right w:val="nil"/>
            </w:tcBorders>
            <w:shd w:val="clear" w:color="auto" w:fill="F2F2F2" w:themeFill="background1" w:themeFillShade="F2"/>
            <w:noWrap/>
            <w:vAlign w:val="bottom"/>
            <w:hideMark/>
          </w:tcPr>
          <w:p w14:paraId="10CA20D0" w14:textId="77777777" w:rsidR="001B6918" w:rsidRPr="004E6649" w:rsidRDefault="001B6918" w:rsidP="00730ECF">
            <w:pPr>
              <w:ind w:firstLine="23"/>
              <w:jc w:val="right"/>
              <w:rPr>
                <w:rFonts w:eastAsia="Times New Roman" w:cstheme="minorHAnsi"/>
                <w:color w:val="0D0D0D"/>
              </w:rPr>
            </w:pPr>
            <w:r w:rsidRPr="004E6649">
              <w:rPr>
                <w:rFonts w:eastAsia="Times New Roman" w:cstheme="minorHAnsi"/>
                <w:color w:val="0D0D0D"/>
              </w:rPr>
              <w:t>3.17%</w:t>
            </w:r>
          </w:p>
        </w:tc>
        <w:tc>
          <w:tcPr>
            <w:tcW w:w="953" w:type="dxa"/>
            <w:tcBorders>
              <w:top w:val="nil"/>
              <w:left w:val="nil"/>
              <w:bottom w:val="single" w:sz="4" w:space="0" w:color="000000" w:themeColor="text1"/>
              <w:right w:val="nil"/>
            </w:tcBorders>
            <w:shd w:val="clear" w:color="000000" w:fill="FFFFFF"/>
            <w:noWrap/>
            <w:vAlign w:val="bottom"/>
            <w:hideMark/>
          </w:tcPr>
          <w:p w14:paraId="35598DF3" w14:textId="77777777" w:rsidR="001B6918" w:rsidRPr="004E6649" w:rsidRDefault="001B6918" w:rsidP="00730ECF">
            <w:pPr>
              <w:ind w:firstLine="23"/>
              <w:jc w:val="right"/>
              <w:rPr>
                <w:rFonts w:eastAsia="Times New Roman" w:cstheme="minorHAnsi"/>
                <w:color w:val="0D0D0D"/>
              </w:rPr>
            </w:pPr>
            <w:r w:rsidRPr="004E6649">
              <w:rPr>
                <w:rFonts w:eastAsia="Times New Roman" w:cstheme="minorHAnsi"/>
                <w:color w:val="0D0D0D"/>
              </w:rPr>
              <w:t>2.72%</w:t>
            </w:r>
          </w:p>
        </w:tc>
        <w:tc>
          <w:tcPr>
            <w:tcW w:w="953" w:type="dxa"/>
            <w:tcBorders>
              <w:top w:val="nil"/>
              <w:left w:val="nil"/>
              <w:bottom w:val="single" w:sz="4" w:space="0" w:color="000000" w:themeColor="text1"/>
              <w:right w:val="nil"/>
            </w:tcBorders>
            <w:shd w:val="clear" w:color="auto" w:fill="F2F2F2" w:themeFill="background1" w:themeFillShade="F2"/>
            <w:noWrap/>
            <w:vAlign w:val="bottom"/>
            <w:hideMark/>
          </w:tcPr>
          <w:p w14:paraId="47A77A92" w14:textId="77777777" w:rsidR="001B6918" w:rsidRPr="004E6649" w:rsidRDefault="001B6918" w:rsidP="00730ECF">
            <w:pPr>
              <w:ind w:firstLine="23"/>
              <w:jc w:val="right"/>
              <w:rPr>
                <w:rFonts w:eastAsia="Times New Roman" w:cstheme="minorHAnsi"/>
                <w:color w:val="0D0D0D"/>
              </w:rPr>
            </w:pPr>
            <w:r w:rsidRPr="004E6649">
              <w:rPr>
                <w:rFonts w:eastAsia="Times New Roman" w:cstheme="minorHAnsi"/>
                <w:color w:val="0D0D0D"/>
              </w:rPr>
              <w:t>2.68%</w:t>
            </w:r>
          </w:p>
        </w:tc>
        <w:tc>
          <w:tcPr>
            <w:tcW w:w="953" w:type="dxa"/>
            <w:tcBorders>
              <w:top w:val="nil"/>
              <w:left w:val="nil"/>
              <w:bottom w:val="single" w:sz="4" w:space="0" w:color="000000" w:themeColor="text1"/>
              <w:right w:val="nil"/>
            </w:tcBorders>
            <w:shd w:val="clear" w:color="000000" w:fill="FFFFFF"/>
            <w:noWrap/>
            <w:vAlign w:val="bottom"/>
            <w:hideMark/>
          </w:tcPr>
          <w:p w14:paraId="7F15FDF7" w14:textId="77777777" w:rsidR="001B6918" w:rsidRPr="004E6649" w:rsidRDefault="001B6918" w:rsidP="00730ECF">
            <w:pPr>
              <w:ind w:firstLine="23"/>
              <w:jc w:val="right"/>
              <w:rPr>
                <w:rFonts w:eastAsia="Times New Roman" w:cstheme="minorHAnsi"/>
                <w:color w:val="0D0D0D"/>
              </w:rPr>
            </w:pPr>
            <w:r w:rsidRPr="004E6649">
              <w:rPr>
                <w:rFonts w:eastAsia="Times New Roman" w:cstheme="minorHAnsi"/>
                <w:color w:val="0D0D0D"/>
              </w:rPr>
              <w:t>5.50%</w:t>
            </w:r>
          </w:p>
        </w:tc>
      </w:tr>
    </w:tbl>
    <w:p w14:paraId="2DC9765E" w14:textId="77777777" w:rsidR="001B6918" w:rsidRPr="004E6649" w:rsidRDefault="001B6918" w:rsidP="001B6918">
      <w:pPr>
        <w:rPr>
          <w:rFonts w:eastAsia="Franklin Gothic Book" w:cstheme="minorHAnsi"/>
          <w:b/>
          <w:sz w:val="2"/>
          <w:szCs w:val="28"/>
        </w:rPr>
        <w:sectPr w:rsidR="001B6918" w:rsidRPr="004E6649" w:rsidSect="00DC059D">
          <w:headerReference w:type="default" r:id="rId52"/>
          <w:headerReference w:type="first" r:id="rId53"/>
          <w:footerReference w:type="first" r:id="rId54"/>
          <w:type w:val="nextColumn"/>
          <w:pgSz w:w="15840" w:h="12240" w:orient="landscape" w:code="1"/>
          <w:pgMar w:top="1440" w:right="1152" w:bottom="1440" w:left="1152" w:header="720" w:footer="720" w:gutter="0"/>
          <w:cols w:space="0"/>
          <w:titlePg/>
          <w:docGrid w:linePitch="360"/>
        </w:sectPr>
      </w:pPr>
    </w:p>
    <w:p w14:paraId="24CECB84" w14:textId="77777777" w:rsidR="001B6918" w:rsidRPr="009E4423" w:rsidRDefault="001B6918" w:rsidP="001B6918">
      <w:pPr>
        <w:spacing w:after="160"/>
        <w:rPr>
          <w:rFonts w:eastAsiaTheme="majorEastAsia" w:cstheme="minorHAnsi"/>
          <w:b/>
          <w:i/>
          <w:iCs/>
          <w:smallCaps/>
          <w:noProof/>
          <w:color w:val="000000" w:themeColor="text1"/>
          <w:sz w:val="24"/>
          <w:szCs w:val="24"/>
          <w:u w:color="5B9BD5"/>
        </w:rPr>
      </w:pPr>
      <w:r w:rsidRPr="009E4423">
        <w:rPr>
          <w:rFonts w:eastAsiaTheme="majorEastAsia" w:cstheme="minorHAnsi"/>
          <w:b/>
          <w:i/>
          <w:iCs/>
          <w:smallCaps/>
          <w:noProof/>
          <w:color w:val="000000" w:themeColor="text1"/>
          <w:sz w:val="24"/>
          <w:szCs w:val="24"/>
          <w:u w:color="5B9BD5"/>
        </w:rPr>
        <w:lastRenderedPageBreak/>
        <w:t>INCENTIVE RETIREMENT PLAN – CONTINUED:</w:t>
      </w:r>
    </w:p>
    <w:p w14:paraId="2C6258DA" w14:textId="77777777" w:rsidR="001B6918" w:rsidRPr="004E6649" w:rsidRDefault="001B6918" w:rsidP="001B6918">
      <w:pPr>
        <w:pStyle w:val="Heading3"/>
        <w:rPr>
          <w:rFonts w:asciiTheme="minorHAnsi" w:hAnsiTheme="minorHAnsi" w:cstheme="minorHAnsi"/>
        </w:rPr>
      </w:pPr>
      <w:r w:rsidRPr="004E6649">
        <w:rPr>
          <w:rFonts w:asciiTheme="minorHAnsi" w:hAnsiTheme="minorHAnsi" w:cstheme="minorHAnsi"/>
        </w:rPr>
        <w:t>Notes</w:t>
      </w:r>
      <w:r w:rsidRPr="004E6649">
        <w:rPr>
          <w:rFonts w:asciiTheme="minorHAnsi" w:hAnsiTheme="minorHAnsi" w:cstheme="minorHAnsi"/>
          <w:spacing w:val="-1"/>
        </w:rPr>
        <w:t xml:space="preserve"> </w:t>
      </w:r>
      <w:r w:rsidRPr="004E6649">
        <w:rPr>
          <w:rFonts w:asciiTheme="minorHAnsi" w:hAnsiTheme="minorHAnsi" w:cstheme="minorHAnsi"/>
        </w:rPr>
        <w:t>to</w:t>
      </w:r>
      <w:r w:rsidRPr="004E6649">
        <w:rPr>
          <w:rFonts w:asciiTheme="minorHAnsi" w:hAnsiTheme="minorHAnsi" w:cstheme="minorHAnsi"/>
          <w:spacing w:val="-2"/>
        </w:rPr>
        <w:t xml:space="preserve"> </w:t>
      </w:r>
      <w:r w:rsidRPr="004E6649">
        <w:rPr>
          <w:rFonts w:asciiTheme="minorHAnsi" w:hAnsiTheme="minorHAnsi" w:cstheme="minorHAnsi"/>
          <w:spacing w:val="2"/>
        </w:rPr>
        <w:t>R</w:t>
      </w:r>
      <w:r w:rsidRPr="004E6649">
        <w:rPr>
          <w:rFonts w:asciiTheme="minorHAnsi" w:hAnsiTheme="minorHAnsi" w:cstheme="minorHAnsi"/>
        </w:rPr>
        <w:t>eq</w:t>
      </w:r>
      <w:r w:rsidRPr="004E6649">
        <w:rPr>
          <w:rFonts w:asciiTheme="minorHAnsi" w:hAnsiTheme="minorHAnsi" w:cstheme="minorHAnsi"/>
          <w:spacing w:val="2"/>
        </w:rPr>
        <w:t>ui</w:t>
      </w:r>
      <w:r w:rsidRPr="004E6649">
        <w:rPr>
          <w:rFonts w:asciiTheme="minorHAnsi" w:hAnsiTheme="minorHAnsi" w:cstheme="minorHAnsi"/>
        </w:rPr>
        <w:t>red</w:t>
      </w:r>
      <w:r w:rsidRPr="004E6649">
        <w:rPr>
          <w:rFonts w:asciiTheme="minorHAnsi" w:hAnsiTheme="minorHAnsi" w:cstheme="minorHAnsi"/>
          <w:spacing w:val="-2"/>
        </w:rPr>
        <w:t xml:space="preserve"> </w:t>
      </w:r>
      <w:r w:rsidRPr="004E6649">
        <w:rPr>
          <w:rFonts w:asciiTheme="minorHAnsi" w:hAnsiTheme="minorHAnsi" w:cstheme="minorHAnsi"/>
        </w:rPr>
        <w:t>S</w:t>
      </w:r>
      <w:r w:rsidRPr="004E6649">
        <w:rPr>
          <w:rFonts w:asciiTheme="minorHAnsi" w:hAnsiTheme="minorHAnsi" w:cstheme="minorHAnsi"/>
          <w:spacing w:val="2"/>
        </w:rPr>
        <w:t>u</w:t>
      </w:r>
      <w:r w:rsidRPr="004E6649">
        <w:rPr>
          <w:rFonts w:asciiTheme="minorHAnsi" w:hAnsiTheme="minorHAnsi" w:cstheme="minorHAnsi"/>
        </w:rPr>
        <w:t>pp</w:t>
      </w:r>
      <w:r w:rsidRPr="004E6649">
        <w:rPr>
          <w:rFonts w:asciiTheme="minorHAnsi" w:hAnsiTheme="minorHAnsi" w:cstheme="minorHAnsi"/>
          <w:spacing w:val="2"/>
        </w:rPr>
        <w:t>l</w:t>
      </w:r>
      <w:r w:rsidRPr="004E6649">
        <w:rPr>
          <w:rFonts w:asciiTheme="minorHAnsi" w:hAnsiTheme="minorHAnsi" w:cstheme="minorHAnsi"/>
        </w:rPr>
        <w:t>eme</w:t>
      </w:r>
      <w:r w:rsidRPr="004E6649">
        <w:rPr>
          <w:rFonts w:asciiTheme="minorHAnsi" w:hAnsiTheme="minorHAnsi" w:cstheme="minorHAnsi"/>
          <w:spacing w:val="2"/>
        </w:rPr>
        <w:t>n</w:t>
      </w:r>
      <w:r w:rsidRPr="004E6649">
        <w:rPr>
          <w:rFonts w:asciiTheme="minorHAnsi" w:hAnsiTheme="minorHAnsi" w:cstheme="minorHAnsi"/>
        </w:rPr>
        <w:t>t</w:t>
      </w:r>
      <w:r w:rsidRPr="004E6649">
        <w:rPr>
          <w:rFonts w:asciiTheme="minorHAnsi" w:hAnsiTheme="minorHAnsi" w:cstheme="minorHAnsi"/>
          <w:spacing w:val="2"/>
        </w:rPr>
        <w:t>a</w:t>
      </w:r>
      <w:r w:rsidRPr="004E6649">
        <w:rPr>
          <w:rFonts w:asciiTheme="minorHAnsi" w:hAnsiTheme="minorHAnsi" w:cstheme="minorHAnsi"/>
        </w:rPr>
        <w:t xml:space="preserve">ry </w:t>
      </w:r>
      <w:r w:rsidRPr="004E6649">
        <w:rPr>
          <w:rFonts w:asciiTheme="minorHAnsi" w:hAnsiTheme="minorHAnsi" w:cstheme="minorHAnsi"/>
          <w:spacing w:val="2"/>
        </w:rPr>
        <w:t>Inf</w:t>
      </w:r>
      <w:r w:rsidRPr="004E6649">
        <w:rPr>
          <w:rFonts w:asciiTheme="minorHAnsi" w:hAnsiTheme="minorHAnsi" w:cstheme="minorHAnsi"/>
        </w:rPr>
        <w:t>orm</w:t>
      </w:r>
      <w:r w:rsidRPr="004E6649">
        <w:rPr>
          <w:rFonts w:asciiTheme="minorHAnsi" w:hAnsiTheme="minorHAnsi" w:cstheme="minorHAnsi"/>
          <w:spacing w:val="2"/>
        </w:rPr>
        <w:t>a</w:t>
      </w:r>
      <w:r w:rsidRPr="004E6649">
        <w:rPr>
          <w:rFonts w:asciiTheme="minorHAnsi" w:hAnsiTheme="minorHAnsi" w:cstheme="minorHAnsi"/>
        </w:rPr>
        <w:t>t</w:t>
      </w:r>
      <w:r w:rsidRPr="004E6649">
        <w:rPr>
          <w:rFonts w:asciiTheme="minorHAnsi" w:hAnsiTheme="minorHAnsi" w:cstheme="minorHAnsi"/>
          <w:spacing w:val="2"/>
        </w:rPr>
        <w:t>i</w:t>
      </w:r>
      <w:r w:rsidRPr="004E6649">
        <w:rPr>
          <w:rFonts w:asciiTheme="minorHAnsi" w:hAnsiTheme="minorHAnsi" w:cstheme="minorHAnsi"/>
        </w:rPr>
        <w:t>on:</w:t>
      </w:r>
    </w:p>
    <w:p w14:paraId="53F76B20" w14:textId="77777777" w:rsidR="001B6918" w:rsidRPr="004E6649" w:rsidRDefault="001B6918" w:rsidP="001B6918">
      <w:pPr>
        <w:rPr>
          <w:rFonts w:cstheme="minorHAnsi"/>
          <w:sz w:val="24"/>
          <w:szCs w:val="24"/>
        </w:rPr>
      </w:pPr>
      <w:r w:rsidRPr="004E6649">
        <w:rPr>
          <w:rFonts w:cstheme="minorHAnsi"/>
          <w:i/>
          <w:sz w:val="24"/>
          <w:szCs w:val="24"/>
        </w:rPr>
        <w:t>Changes of benefit terms:</w:t>
      </w:r>
      <w:r w:rsidRPr="004E6649">
        <w:rPr>
          <w:rFonts w:cstheme="minorHAnsi"/>
          <w:sz w:val="24"/>
          <w:szCs w:val="24"/>
        </w:rPr>
        <w:t xml:space="preserve"> None.</w:t>
      </w:r>
    </w:p>
    <w:p w14:paraId="55D592D9" w14:textId="77777777" w:rsidR="001B6918" w:rsidRPr="004E6649" w:rsidRDefault="001B6918" w:rsidP="001B6918">
      <w:pPr>
        <w:rPr>
          <w:rFonts w:cstheme="minorHAnsi"/>
          <w:sz w:val="24"/>
          <w:szCs w:val="24"/>
        </w:rPr>
      </w:pPr>
    </w:p>
    <w:p w14:paraId="7D6F8211" w14:textId="77777777" w:rsidR="001B6918" w:rsidRPr="004E6649" w:rsidRDefault="001B6918" w:rsidP="001B6918">
      <w:pPr>
        <w:rPr>
          <w:rFonts w:cstheme="minorHAnsi"/>
          <w:i/>
          <w:sz w:val="24"/>
          <w:szCs w:val="24"/>
        </w:rPr>
      </w:pPr>
      <w:r w:rsidRPr="00C84D02">
        <w:rPr>
          <w:rFonts w:cstheme="minorHAnsi"/>
          <w:i/>
          <w:sz w:val="24"/>
          <w:szCs w:val="24"/>
        </w:rPr>
        <w:t>Changes of assumptions and other inputs</w:t>
      </w:r>
      <w:r w:rsidRPr="004E6649">
        <w:rPr>
          <w:rFonts w:cstheme="minorHAnsi"/>
          <w:i/>
          <w:sz w:val="24"/>
          <w:szCs w:val="24"/>
        </w:rPr>
        <w:t>:</w:t>
      </w:r>
    </w:p>
    <w:p w14:paraId="39DDD451" w14:textId="77777777" w:rsidR="001B6918" w:rsidRPr="004E6649" w:rsidRDefault="001B6918" w:rsidP="001B6918">
      <w:pPr>
        <w:rPr>
          <w:rFonts w:cstheme="minorHAnsi"/>
          <w:sz w:val="12"/>
          <w:szCs w:val="24"/>
        </w:rPr>
      </w:pPr>
    </w:p>
    <w:tbl>
      <w:tblPr>
        <w:tblStyle w:val="TableGrid"/>
        <w:tblW w:w="99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1"/>
        <w:gridCol w:w="8875"/>
      </w:tblGrid>
      <w:tr w:rsidR="001B6918" w:rsidRPr="004E6649" w14:paraId="4751DD38" w14:textId="77777777" w:rsidTr="00730ECF">
        <w:trPr>
          <w:jc w:val="center"/>
        </w:trPr>
        <w:tc>
          <w:tcPr>
            <w:tcW w:w="990" w:type="dxa"/>
          </w:tcPr>
          <w:p w14:paraId="0E26F0EF" w14:textId="77777777" w:rsidR="001B6918" w:rsidRDefault="001B6918" w:rsidP="00730ECF">
            <w:pPr>
              <w:widowControl w:val="0"/>
              <w:tabs>
                <w:tab w:val="left" w:pos="810"/>
              </w:tabs>
              <w:rPr>
                <w:rFonts w:eastAsia="Franklin Gothic Book" w:cstheme="minorHAnsi"/>
                <w:spacing w:val="-1"/>
                <w:sz w:val="24"/>
                <w:szCs w:val="24"/>
              </w:rPr>
            </w:pPr>
            <w:r>
              <w:rPr>
                <w:rFonts w:eastAsia="Franklin Gothic Book" w:cstheme="minorHAnsi"/>
                <w:spacing w:val="-1"/>
                <w:sz w:val="24"/>
                <w:szCs w:val="24"/>
              </w:rPr>
              <w:t>2025</w:t>
            </w:r>
          </w:p>
          <w:p w14:paraId="06F5BB92" w14:textId="77777777" w:rsidR="001B6918" w:rsidRDefault="001B6918" w:rsidP="00730ECF">
            <w:pPr>
              <w:widowControl w:val="0"/>
              <w:tabs>
                <w:tab w:val="left" w:pos="810"/>
              </w:tabs>
              <w:rPr>
                <w:rFonts w:eastAsia="Franklin Gothic Book" w:cstheme="minorHAnsi"/>
                <w:spacing w:val="-1"/>
                <w:sz w:val="24"/>
                <w:szCs w:val="24"/>
              </w:rPr>
            </w:pPr>
          </w:p>
          <w:p w14:paraId="1C29931A" w14:textId="77777777" w:rsidR="001B6918" w:rsidRDefault="001B6918" w:rsidP="00730ECF">
            <w:pPr>
              <w:widowControl w:val="0"/>
              <w:tabs>
                <w:tab w:val="left" w:pos="810"/>
              </w:tabs>
              <w:rPr>
                <w:rFonts w:eastAsia="Franklin Gothic Book" w:cstheme="minorHAnsi"/>
                <w:spacing w:val="-1"/>
                <w:sz w:val="24"/>
                <w:szCs w:val="24"/>
              </w:rPr>
            </w:pPr>
            <w:r>
              <w:rPr>
                <w:rFonts w:eastAsia="Franklin Gothic Book" w:cstheme="minorHAnsi"/>
                <w:spacing w:val="-1"/>
                <w:sz w:val="24"/>
                <w:szCs w:val="24"/>
              </w:rPr>
              <w:t>2024:</w:t>
            </w:r>
          </w:p>
          <w:p w14:paraId="01FD15BB" w14:textId="77777777" w:rsidR="001B6918" w:rsidRPr="004E6649" w:rsidRDefault="001B6918" w:rsidP="00730ECF">
            <w:pPr>
              <w:widowControl w:val="0"/>
              <w:tabs>
                <w:tab w:val="left" w:pos="810"/>
              </w:tabs>
              <w:rPr>
                <w:rFonts w:eastAsia="Franklin Gothic Book" w:cstheme="minorHAnsi"/>
                <w:spacing w:val="-1"/>
                <w:sz w:val="24"/>
                <w:szCs w:val="24"/>
              </w:rPr>
            </w:pPr>
          </w:p>
        </w:tc>
        <w:tc>
          <w:tcPr>
            <w:tcW w:w="8280" w:type="dxa"/>
          </w:tcPr>
          <w:p w14:paraId="65374CC5" w14:textId="77777777" w:rsidR="001B6918" w:rsidRDefault="001B6918" w:rsidP="00730ECF">
            <w:pPr>
              <w:widowControl w:val="0"/>
              <w:tabs>
                <w:tab w:val="left" w:pos="810"/>
              </w:tabs>
              <w:rPr>
                <w:rFonts w:eastAsia="Franklin Gothic Book" w:cstheme="minorHAnsi"/>
                <w:spacing w:val="-1"/>
                <w:sz w:val="24"/>
                <w:szCs w:val="24"/>
              </w:rPr>
            </w:pPr>
            <w:r w:rsidRPr="004E6649">
              <w:rPr>
                <w:rFonts w:eastAsia="Franklin Gothic Book" w:cstheme="minorHAnsi"/>
                <w:spacing w:val="-1"/>
                <w:sz w:val="24"/>
                <w:szCs w:val="24"/>
              </w:rPr>
              <w:t xml:space="preserve">The discount rate changed from </w:t>
            </w:r>
            <w:r w:rsidRPr="00C730BA">
              <w:rPr>
                <w:rFonts w:eastAsia="Franklin Gothic Book" w:cstheme="minorHAnsi"/>
                <w:spacing w:val="-1"/>
                <w:sz w:val="24"/>
                <w:szCs w:val="24"/>
              </w:rPr>
              <w:t>3.</w:t>
            </w:r>
            <w:r w:rsidRPr="003E524C">
              <w:rPr>
                <w:rFonts w:eastAsia="Franklin Gothic Book" w:cstheme="minorHAnsi"/>
                <w:spacing w:val="-1"/>
                <w:sz w:val="24"/>
                <w:szCs w:val="24"/>
              </w:rPr>
              <w:t>93</w:t>
            </w:r>
            <w:r w:rsidRPr="00C730BA">
              <w:rPr>
                <w:rFonts w:eastAsia="Franklin Gothic Book" w:cstheme="minorHAnsi"/>
                <w:spacing w:val="-1"/>
                <w:sz w:val="24"/>
                <w:szCs w:val="24"/>
              </w:rPr>
              <w:t xml:space="preserve">% </w:t>
            </w:r>
            <w:r w:rsidRPr="004E6649">
              <w:rPr>
                <w:rFonts w:eastAsia="Franklin Gothic Book" w:cstheme="minorHAnsi"/>
                <w:spacing w:val="-1"/>
                <w:sz w:val="24"/>
                <w:szCs w:val="24"/>
              </w:rPr>
              <w:t xml:space="preserve">as of the beginning of the measurement period to </w:t>
            </w:r>
            <w:r w:rsidRPr="003E524C">
              <w:rPr>
                <w:rFonts w:eastAsia="Franklin Gothic Book" w:cstheme="minorHAnsi"/>
                <w:spacing w:val="-1"/>
                <w:sz w:val="24"/>
                <w:szCs w:val="24"/>
              </w:rPr>
              <w:t>5.20</w:t>
            </w:r>
            <w:r w:rsidRPr="00C730BA">
              <w:rPr>
                <w:rFonts w:eastAsia="Franklin Gothic Book" w:cstheme="minorHAnsi"/>
                <w:spacing w:val="-1"/>
                <w:sz w:val="24"/>
                <w:szCs w:val="24"/>
              </w:rPr>
              <w:t xml:space="preserve">% </w:t>
            </w:r>
            <w:r w:rsidRPr="004E6649">
              <w:rPr>
                <w:rFonts w:eastAsia="Franklin Gothic Book" w:cstheme="minorHAnsi"/>
                <w:spacing w:val="-1"/>
                <w:sz w:val="24"/>
                <w:szCs w:val="24"/>
              </w:rPr>
              <w:t>as of the end of the measurement period.</w:t>
            </w:r>
          </w:p>
          <w:p w14:paraId="1589175C" w14:textId="77777777" w:rsidR="001B6918" w:rsidRPr="004E6649" w:rsidRDefault="001B6918" w:rsidP="00730ECF">
            <w:pPr>
              <w:widowControl w:val="0"/>
              <w:tabs>
                <w:tab w:val="left" w:pos="810"/>
              </w:tabs>
              <w:rPr>
                <w:rFonts w:eastAsia="Franklin Gothic Book" w:cstheme="minorHAnsi"/>
                <w:spacing w:val="-1"/>
                <w:sz w:val="24"/>
                <w:szCs w:val="24"/>
              </w:rPr>
            </w:pPr>
            <w:r w:rsidRPr="004E6649">
              <w:rPr>
                <w:rFonts w:eastAsia="Franklin Gothic Book" w:cstheme="minorHAnsi"/>
                <w:spacing w:val="-1"/>
                <w:sz w:val="24"/>
                <w:szCs w:val="24"/>
              </w:rPr>
              <w:t>The discount rate changed from 3.</w:t>
            </w:r>
            <w:r>
              <w:rPr>
                <w:rFonts w:eastAsia="Franklin Gothic Book" w:cstheme="minorHAnsi"/>
                <w:spacing w:val="-1"/>
                <w:sz w:val="24"/>
                <w:szCs w:val="24"/>
              </w:rPr>
              <w:t>65</w:t>
            </w:r>
            <w:r w:rsidRPr="004E6649">
              <w:rPr>
                <w:rFonts w:eastAsia="Franklin Gothic Book" w:cstheme="minorHAnsi"/>
                <w:spacing w:val="-1"/>
                <w:sz w:val="24"/>
                <w:szCs w:val="24"/>
              </w:rPr>
              <w:t>% as of the beginning of the measurement period to 3.</w:t>
            </w:r>
            <w:r>
              <w:rPr>
                <w:rFonts w:eastAsia="Franklin Gothic Book" w:cstheme="minorHAnsi"/>
                <w:spacing w:val="-1"/>
                <w:sz w:val="24"/>
                <w:szCs w:val="24"/>
              </w:rPr>
              <w:t>93</w:t>
            </w:r>
            <w:r w:rsidRPr="004E6649">
              <w:rPr>
                <w:rFonts w:eastAsia="Franklin Gothic Book" w:cstheme="minorHAnsi"/>
                <w:spacing w:val="-1"/>
                <w:sz w:val="24"/>
                <w:szCs w:val="24"/>
              </w:rPr>
              <w:t>% as of the end of the measurement period.</w:t>
            </w:r>
          </w:p>
        </w:tc>
      </w:tr>
      <w:tr w:rsidR="001B6918" w:rsidRPr="004E6649" w14:paraId="502E617D" w14:textId="77777777" w:rsidTr="00730ECF">
        <w:trPr>
          <w:jc w:val="center"/>
        </w:trPr>
        <w:tc>
          <w:tcPr>
            <w:tcW w:w="990" w:type="dxa"/>
          </w:tcPr>
          <w:p w14:paraId="2AA07B0C" w14:textId="77777777" w:rsidR="001B6918" w:rsidRPr="004E6649" w:rsidRDefault="001B6918" w:rsidP="00730ECF">
            <w:pPr>
              <w:widowControl w:val="0"/>
              <w:tabs>
                <w:tab w:val="left" w:pos="810"/>
              </w:tabs>
              <w:rPr>
                <w:rFonts w:eastAsia="Franklin Gothic Book" w:cstheme="minorHAnsi"/>
                <w:spacing w:val="-1"/>
                <w:sz w:val="24"/>
                <w:szCs w:val="24"/>
              </w:rPr>
            </w:pPr>
            <w:r w:rsidRPr="004E6649">
              <w:rPr>
                <w:rFonts w:eastAsia="Franklin Gothic Book" w:cstheme="minorHAnsi"/>
                <w:spacing w:val="-1"/>
                <w:sz w:val="24"/>
                <w:szCs w:val="24"/>
              </w:rPr>
              <w:t>2023:</w:t>
            </w:r>
          </w:p>
        </w:tc>
        <w:tc>
          <w:tcPr>
            <w:tcW w:w="8280" w:type="dxa"/>
          </w:tcPr>
          <w:p w14:paraId="699D3CB2" w14:textId="77777777" w:rsidR="001B6918" w:rsidRPr="004E6649" w:rsidRDefault="001B6918" w:rsidP="00730ECF">
            <w:pPr>
              <w:widowControl w:val="0"/>
              <w:tabs>
                <w:tab w:val="left" w:pos="810"/>
              </w:tabs>
              <w:rPr>
                <w:rFonts w:eastAsia="Franklin Gothic Book" w:cstheme="minorHAnsi"/>
                <w:spacing w:val="-1"/>
                <w:sz w:val="24"/>
                <w:szCs w:val="24"/>
              </w:rPr>
            </w:pPr>
            <w:r w:rsidRPr="004E6649">
              <w:rPr>
                <w:rFonts w:eastAsia="Franklin Gothic Book" w:cstheme="minorHAnsi"/>
                <w:spacing w:val="-1"/>
                <w:sz w:val="24"/>
                <w:szCs w:val="24"/>
              </w:rPr>
              <w:t>The discount rate changed from 3.54% as of the beginning of the measurement period to 3.65% as of the end of the measurement period. The mortality improvement table was updated from MP-2020 to MP-2021.</w:t>
            </w:r>
          </w:p>
        </w:tc>
      </w:tr>
      <w:tr w:rsidR="001B6918" w:rsidRPr="004E6649" w14:paraId="377B48AC" w14:textId="77777777" w:rsidTr="00730ECF">
        <w:trPr>
          <w:jc w:val="center"/>
        </w:trPr>
        <w:tc>
          <w:tcPr>
            <w:tcW w:w="990" w:type="dxa"/>
          </w:tcPr>
          <w:p w14:paraId="1E5ED6AC" w14:textId="77777777" w:rsidR="001B6918" w:rsidRPr="004E6649" w:rsidRDefault="001B6918" w:rsidP="00730ECF">
            <w:pPr>
              <w:widowControl w:val="0"/>
              <w:tabs>
                <w:tab w:val="left" w:pos="810"/>
              </w:tabs>
              <w:rPr>
                <w:rFonts w:eastAsia="Franklin Gothic Book" w:cstheme="minorHAnsi"/>
                <w:spacing w:val="-1"/>
                <w:sz w:val="24"/>
                <w:szCs w:val="24"/>
              </w:rPr>
            </w:pPr>
            <w:r w:rsidRPr="004E6649">
              <w:rPr>
                <w:rFonts w:eastAsia="Franklin Gothic Book" w:cstheme="minorHAnsi"/>
                <w:spacing w:val="-1"/>
                <w:sz w:val="24"/>
                <w:szCs w:val="24"/>
              </w:rPr>
              <w:t>2022:</w:t>
            </w:r>
          </w:p>
        </w:tc>
        <w:tc>
          <w:tcPr>
            <w:tcW w:w="8280" w:type="dxa"/>
          </w:tcPr>
          <w:p w14:paraId="375E4B4B" w14:textId="77777777" w:rsidR="001B6918" w:rsidRPr="004E6649" w:rsidRDefault="001B6918" w:rsidP="00730ECF">
            <w:pPr>
              <w:widowControl w:val="0"/>
              <w:tabs>
                <w:tab w:val="left" w:pos="810"/>
              </w:tabs>
              <w:rPr>
                <w:rFonts w:eastAsia="Franklin Gothic Book" w:cstheme="minorHAnsi"/>
                <w:spacing w:val="-1"/>
                <w:sz w:val="24"/>
                <w:szCs w:val="24"/>
              </w:rPr>
            </w:pPr>
            <w:r w:rsidRPr="004E6649">
              <w:rPr>
                <w:rFonts w:eastAsia="Franklin Gothic Book" w:cstheme="minorHAnsi"/>
                <w:spacing w:val="-1"/>
                <w:sz w:val="24"/>
                <w:szCs w:val="24"/>
              </w:rPr>
              <w:t>The discount rate changed from 2.16% as of the beginning of the measurement period to 3.54% as of the end of the measurement period.</w:t>
            </w:r>
          </w:p>
        </w:tc>
      </w:tr>
      <w:tr w:rsidR="001B6918" w:rsidRPr="004E6649" w14:paraId="749D05BB" w14:textId="77777777" w:rsidTr="00730ECF">
        <w:trPr>
          <w:jc w:val="center"/>
        </w:trPr>
        <w:tc>
          <w:tcPr>
            <w:tcW w:w="990" w:type="dxa"/>
          </w:tcPr>
          <w:p w14:paraId="0F9FD2D1" w14:textId="77777777" w:rsidR="001B6918" w:rsidRPr="004E6649" w:rsidRDefault="001B6918" w:rsidP="00730ECF">
            <w:pPr>
              <w:widowControl w:val="0"/>
              <w:tabs>
                <w:tab w:val="left" w:pos="810"/>
              </w:tabs>
              <w:rPr>
                <w:rFonts w:eastAsia="Franklin Gothic Book" w:cstheme="minorHAnsi"/>
                <w:spacing w:val="-1"/>
                <w:sz w:val="24"/>
                <w:szCs w:val="24"/>
              </w:rPr>
            </w:pPr>
            <w:r w:rsidRPr="004E6649">
              <w:rPr>
                <w:rFonts w:eastAsia="Franklin Gothic Book" w:cstheme="minorHAnsi"/>
                <w:spacing w:val="-1"/>
                <w:sz w:val="24"/>
                <w:szCs w:val="24"/>
              </w:rPr>
              <w:t>2021:</w:t>
            </w:r>
          </w:p>
        </w:tc>
        <w:tc>
          <w:tcPr>
            <w:tcW w:w="8280" w:type="dxa"/>
          </w:tcPr>
          <w:p w14:paraId="016757B9" w14:textId="77777777" w:rsidR="001B6918" w:rsidRPr="004E6649" w:rsidRDefault="001B6918" w:rsidP="00730ECF">
            <w:pPr>
              <w:widowControl w:val="0"/>
              <w:tabs>
                <w:tab w:val="left" w:pos="810"/>
              </w:tabs>
              <w:rPr>
                <w:rFonts w:eastAsia="Franklin Gothic Book" w:cstheme="minorHAnsi"/>
                <w:spacing w:val="-1"/>
                <w:sz w:val="24"/>
                <w:szCs w:val="24"/>
              </w:rPr>
            </w:pPr>
            <w:r w:rsidRPr="004E6649">
              <w:rPr>
                <w:rFonts w:eastAsia="Franklin Gothic Book" w:cstheme="minorHAnsi"/>
                <w:spacing w:val="-1"/>
                <w:sz w:val="24"/>
                <w:szCs w:val="24"/>
              </w:rPr>
              <w:t>The discount rate changed from 2.21% as of the beginning of the measurement period to 2.16% as of the end of the measurement period. In addition, th</w:t>
            </w:r>
            <w:r w:rsidRPr="004E6649">
              <w:rPr>
                <w:rFonts w:cstheme="minorHAnsi"/>
                <w:sz w:val="24"/>
                <w:szCs w:val="24"/>
              </w:rPr>
              <w:t>e mortality tables were updated to the Pub-2010 mortality tables with mortality improvement scale MP-2020.</w:t>
            </w:r>
          </w:p>
        </w:tc>
      </w:tr>
      <w:tr w:rsidR="001B6918" w:rsidRPr="004E6649" w14:paraId="0076A0D6" w14:textId="77777777" w:rsidTr="00730ECF">
        <w:trPr>
          <w:jc w:val="center"/>
        </w:trPr>
        <w:tc>
          <w:tcPr>
            <w:tcW w:w="990" w:type="dxa"/>
          </w:tcPr>
          <w:p w14:paraId="46F1D99C" w14:textId="77777777" w:rsidR="001B6918" w:rsidRPr="004E6649" w:rsidRDefault="001B6918" w:rsidP="00730ECF">
            <w:pPr>
              <w:widowControl w:val="0"/>
              <w:tabs>
                <w:tab w:val="left" w:pos="810"/>
              </w:tabs>
              <w:rPr>
                <w:rFonts w:eastAsia="Franklin Gothic Book" w:cstheme="minorHAnsi"/>
                <w:spacing w:val="-1"/>
                <w:sz w:val="24"/>
                <w:szCs w:val="24"/>
              </w:rPr>
            </w:pPr>
            <w:r w:rsidRPr="004E6649">
              <w:rPr>
                <w:rFonts w:eastAsia="Franklin Gothic Book" w:cstheme="minorHAnsi"/>
                <w:spacing w:val="-1"/>
                <w:sz w:val="24"/>
                <w:szCs w:val="24"/>
              </w:rPr>
              <w:t>2020:</w:t>
            </w:r>
          </w:p>
        </w:tc>
        <w:tc>
          <w:tcPr>
            <w:tcW w:w="8280" w:type="dxa"/>
          </w:tcPr>
          <w:p w14:paraId="473612A8" w14:textId="77777777" w:rsidR="001B6918" w:rsidRPr="004E6649" w:rsidRDefault="001B6918" w:rsidP="00730ECF">
            <w:pPr>
              <w:widowControl w:val="0"/>
              <w:tabs>
                <w:tab w:val="left" w:pos="810"/>
              </w:tabs>
              <w:rPr>
                <w:rFonts w:eastAsia="Franklin Gothic Book" w:cstheme="minorHAnsi"/>
                <w:spacing w:val="-1"/>
                <w:sz w:val="24"/>
                <w:szCs w:val="24"/>
              </w:rPr>
            </w:pPr>
            <w:r w:rsidRPr="004E6649">
              <w:rPr>
                <w:rFonts w:eastAsia="Franklin Gothic Book" w:cstheme="minorHAnsi"/>
                <w:spacing w:val="-1"/>
                <w:sz w:val="24"/>
                <w:szCs w:val="24"/>
              </w:rPr>
              <w:t>The discount rate changed from 3.5% as of the beginning of the measurement period to 2.21% as of the end of the measurement period.</w:t>
            </w:r>
          </w:p>
        </w:tc>
      </w:tr>
      <w:tr w:rsidR="001B6918" w:rsidRPr="004E6649" w14:paraId="13F80E9D" w14:textId="77777777" w:rsidTr="00730ECF">
        <w:trPr>
          <w:jc w:val="center"/>
        </w:trPr>
        <w:tc>
          <w:tcPr>
            <w:tcW w:w="990" w:type="dxa"/>
          </w:tcPr>
          <w:p w14:paraId="6204D123" w14:textId="77777777" w:rsidR="001B6918" w:rsidRPr="004E6649" w:rsidRDefault="001B6918" w:rsidP="00730ECF">
            <w:pPr>
              <w:widowControl w:val="0"/>
              <w:tabs>
                <w:tab w:val="left" w:pos="810"/>
              </w:tabs>
              <w:rPr>
                <w:rFonts w:eastAsia="Franklin Gothic Book" w:cstheme="minorHAnsi"/>
                <w:spacing w:val="-1"/>
                <w:sz w:val="24"/>
                <w:szCs w:val="24"/>
              </w:rPr>
            </w:pPr>
            <w:r w:rsidRPr="004E6649">
              <w:rPr>
                <w:rFonts w:eastAsia="Franklin Gothic Book" w:cstheme="minorHAnsi"/>
                <w:spacing w:val="-1"/>
                <w:sz w:val="24"/>
                <w:szCs w:val="24"/>
              </w:rPr>
              <w:t>2019:</w:t>
            </w:r>
          </w:p>
        </w:tc>
        <w:tc>
          <w:tcPr>
            <w:tcW w:w="8280" w:type="dxa"/>
          </w:tcPr>
          <w:p w14:paraId="6DD809AC" w14:textId="77777777" w:rsidR="001B6918" w:rsidRPr="004E6649" w:rsidRDefault="001B6918" w:rsidP="00730ECF">
            <w:pPr>
              <w:widowControl w:val="0"/>
              <w:tabs>
                <w:tab w:val="left" w:pos="810"/>
              </w:tabs>
              <w:rPr>
                <w:rFonts w:eastAsia="Franklin Gothic Book" w:cstheme="minorHAnsi"/>
                <w:spacing w:val="-1"/>
                <w:sz w:val="24"/>
                <w:szCs w:val="24"/>
              </w:rPr>
            </w:pPr>
            <w:r w:rsidRPr="004E6649">
              <w:rPr>
                <w:rFonts w:eastAsia="Franklin Gothic Book" w:cstheme="minorHAnsi"/>
                <w:spacing w:val="-1"/>
                <w:sz w:val="24"/>
                <w:szCs w:val="24"/>
              </w:rPr>
              <w:t>The discount rate changed from 3.87% as of the beginning of the measurement period to 3.5% as of the end of the measurement period.</w:t>
            </w:r>
          </w:p>
        </w:tc>
      </w:tr>
      <w:tr w:rsidR="001B6918" w:rsidRPr="004E6649" w14:paraId="426401BA" w14:textId="77777777" w:rsidTr="00730ECF">
        <w:trPr>
          <w:jc w:val="center"/>
        </w:trPr>
        <w:tc>
          <w:tcPr>
            <w:tcW w:w="990" w:type="dxa"/>
          </w:tcPr>
          <w:p w14:paraId="2E554BB8" w14:textId="77777777" w:rsidR="001B6918" w:rsidRPr="004E6649" w:rsidRDefault="001B6918" w:rsidP="00730ECF">
            <w:pPr>
              <w:widowControl w:val="0"/>
              <w:tabs>
                <w:tab w:val="left" w:pos="810"/>
              </w:tabs>
              <w:rPr>
                <w:rFonts w:eastAsia="Franklin Gothic Book" w:cstheme="minorHAnsi"/>
                <w:spacing w:val="-1"/>
                <w:sz w:val="24"/>
                <w:szCs w:val="24"/>
              </w:rPr>
            </w:pPr>
            <w:r w:rsidRPr="004E6649">
              <w:rPr>
                <w:rFonts w:eastAsia="Franklin Gothic Book" w:cstheme="minorHAnsi"/>
                <w:spacing w:val="-1"/>
                <w:sz w:val="24"/>
                <w:szCs w:val="24"/>
              </w:rPr>
              <w:t>2018:</w:t>
            </w:r>
          </w:p>
        </w:tc>
        <w:tc>
          <w:tcPr>
            <w:tcW w:w="8280" w:type="dxa"/>
          </w:tcPr>
          <w:p w14:paraId="19468B8B" w14:textId="77777777" w:rsidR="001B6918" w:rsidRPr="004E6649" w:rsidRDefault="001B6918" w:rsidP="00730ECF">
            <w:pPr>
              <w:widowControl w:val="0"/>
              <w:tabs>
                <w:tab w:val="left" w:pos="810"/>
              </w:tabs>
              <w:rPr>
                <w:rFonts w:eastAsia="Franklin Gothic Book" w:cstheme="minorHAnsi"/>
                <w:spacing w:val="-1"/>
                <w:sz w:val="24"/>
                <w:szCs w:val="24"/>
              </w:rPr>
            </w:pPr>
            <w:r w:rsidRPr="004E6649">
              <w:rPr>
                <w:rFonts w:eastAsia="Franklin Gothic Book" w:cstheme="minorHAnsi"/>
                <w:spacing w:val="-1"/>
                <w:sz w:val="24"/>
                <w:szCs w:val="24"/>
              </w:rPr>
              <w:t>T</w:t>
            </w:r>
            <w:r w:rsidRPr="004E6649">
              <w:rPr>
                <w:rFonts w:eastAsia="Franklin Gothic Book" w:cstheme="minorHAnsi"/>
                <w:sz w:val="24"/>
                <w:szCs w:val="24"/>
              </w:rPr>
              <w:t>he</w:t>
            </w:r>
            <w:r w:rsidRPr="004E6649">
              <w:rPr>
                <w:rFonts w:eastAsia="Franklin Gothic Book" w:cstheme="minorHAnsi"/>
                <w:spacing w:val="9"/>
                <w:sz w:val="24"/>
                <w:szCs w:val="24"/>
              </w:rPr>
              <w:t xml:space="preserve"> </w:t>
            </w:r>
            <w:r w:rsidRPr="004E6649">
              <w:rPr>
                <w:rFonts w:eastAsia="Franklin Gothic Book" w:cstheme="minorHAnsi"/>
                <w:sz w:val="24"/>
                <w:szCs w:val="24"/>
              </w:rPr>
              <w:t>discount</w:t>
            </w:r>
            <w:r w:rsidRPr="004E6649">
              <w:rPr>
                <w:rFonts w:eastAsia="Franklin Gothic Book" w:cstheme="minorHAnsi"/>
                <w:spacing w:val="12"/>
                <w:sz w:val="24"/>
                <w:szCs w:val="24"/>
              </w:rPr>
              <w:t xml:space="preserve"> </w:t>
            </w:r>
            <w:r w:rsidRPr="004E6649">
              <w:rPr>
                <w:rFonts w:eastAsia="Franklin Gothic Book" w:cstheme="minorHAnsi"/>
                <w:spacing w:val="-1"/>
                <w:sz w:val="24"/>
                <w:szCs w:val="24"/>
              </w:rPr>
              <w:t>r</w:t>
            </w:r>
            <w:r w:rsidRPr="004E6649">
              <w:rPr>
                <w:rFonts w:eastAsia="Franklin Gothic Book" w:cstheme="minorHAnsi"/>
                <w:sz w:val="24"/>
                <w:szCs w:val="24"/>
              </w:rPr>
              <w:t>a</w:t>
            </w:r>
            <w:r w:rsidRPr="004E6649">
              <w:rPr>
                <w:rFonts w:eastAsia="Franklin Gothic Book" w:cstheme="minorHAnsi"/>
                <w:spacing w:val="1"/>
                <w:sz w:val="24"/>
                <w:szCs w:val="24"/>
              </w:rPr>
              <w:t>t</w:t>
            </w:r>
            <w:r w:rsidRPr="004E6649">
              <w:rPr>
                <w:rFonts w:eastAsia="Franklin Gothic Book" w:cstheme="minorHAnsi"/>
                <w:sz w:val="24"/>
                <w:szCs w:val="24"/>
              </w:rPr>
              <w:t>e</w:t>
            </w:r>
            <w:r w:rsidRPr="004E6649">
              <w:rPr>
                <w:rFonts w:eastAsia="Franklin Gothic Book" w:cstheme="minorHAnsi"/>
                <w:spacing w:val="9"/>
                <w:sz w:val="24"/>
                <w:szCs w:val="24"/>
              </w:rPr>
              <w:t xml:space="preserve"> </w:t>
            </w:r>
            <w:r w:rsidRPr="004E6649">
              <w:rPr>
                <w:rFonts w:eastAsia="Franklin Gothic Book" w:cstheme="minorHAnsi"/>
                <w:sz w:val="24"/>
                <w:szCs w:val="24"/>
              </w:rPr>
              <w:t>changed</w:t>
            </w:r>
            <w:r w:rsidRPr="004E6649">
              <w:rPr>
                <w:rFonts w:eastAsia="Franklin Gothic Book" w:cstheme="minorHAnsi"/>
                <w:spacing w:val="11"/>
                <w:sz w:val="24"/>
                <w:szCs w:val="24"/>
              </w:rPr>
              <w:t xml:space="preserve"> </w:t>
            </w:r>
            <w:r w:rsidRPr="004E6649">
              <w:rPr>
                <w:rFonts w:eastAsia="Franklin Gothic Book" w:cstheme="minorHAnsi"/>
                <w:sz w:val="24"/>
                <w:szCs w:val="24"/>
              </w:rPr>
              <w:t>f</w:t>
            </w:r>
            <w:r w:rsidRPr="004E6649">
              <w:rPr>
                <w:rFonts w:eastAsia="Franklin Gothic Book" w:cstheme="minorHAnsi"/>
                <w:spacing w:val="-1"/>
                <w:sz w:val="24"/>
                <w:szCs w:val="24"/>
              </w:rPr>
              <w:t>r</w:t>
            </w:r>
            <w:r w:rsidRPr="004E6649">
              <w:rPr>
                <w:rFonts w:eastAsia="Franklin Gothic Book" w:cstheme="minorHAnsi"/>
                <w:sz w:val="24"/>
                <w:szCs w:val="24"/>
              </w:rPr>
              <w:t>om</w:t>
            </w:r>
            <w:r w:rsidRPr="004E6649">
              <w:rPr>
                <w:rFonts w:eastAsia="Franklin Gothic Book" w:cstheme="minorHAnsi"/>
                <w:spacing w:val="11"/>
                <w:sz w:val="24"/>
                <w:szCs w:val="24"/>
              </w:rPr>
              <w:t xml:space="preserve"> </w:t>
            </w:r>
            <w:r w:rsidRPr="004E6649">
              <w:rPr>
                <w:rFonts w:eastAsia="Franklin Gothic Book" w:cstheme="minorHAnsi"/>
                <w:sz w:val="24"/>
                <w:szCs w:val="24"/>
              </w:rPr>
              <w:t>3.58%</w:t>
            </w:r>
            <w:r w:rsidRPr="004E6649">
              <w:rPr>
                <w:rFonts w:eastAsia="Franklin Gothic Book" w:cstheme="minorHAnsi"/>
                <w:spacing w:val="12"/>
                <w:sz w:val="24"/>
                <w:szCs w:val="24"/>
              </w:rPr>
              <w:t xml:space="preserve"> </w:t>
            </w:r>
            <w:r w:rsidRPr="004E6649">
              <w:rPr>
                <w:rFonts w:eastAsia="Franklin Gothic Book" w:cstheme="minorHAnsi"/>
                <w:sz w:val="24"/>
                <w:szCs w:val="24"/>
              </w:rPr>
              <w:t>as</w:t>
            </w:r>
            <w:r w:rsidRPr="004E6649">
              <w:rPr>
                <w:rFonts w:eastAsia="Franklin Gothic Book" w:cstheme="minorHAnsi"/>
                <w:spacing w:val="11"/>
                <w:sz w:val="24"/>
                <w:szCs w:val="24"/>
              </w:rPr>
              <w:t xml:space="preserve"> </w:t>
            </w:r>
            <w:r w:rsidRPr="004E6649">
              <w:rPr>
                <w:rFonts w:eastAsia="Franklin Gothic Book" w:cstheme="minorHAnsi"/>
                <w:spacing w:val="-1"/>
                <w:sz w:val="24"/>
                <w:szCs w:val="24"/>
              </w:rPr>
              <w:t>o</w:t>
            </w:r>
            <w:r w:rsidRPr="004E6649">
              <w:rPr>
                <w:rFonts w:eastAsia="Franklin Gothic Book" w:cstheme="minorHAnsi"/>
                <w:sz w:val="24"/>
                <w:szCs w:val="24"/>
              </w:rPr>
              <w:t>f</w:t>
            </w:r>
            <w:r w:rsidRPr="004E6649">
              <w:rPr>
                <w:rFonts w:eastAsia="Franklin Gothic Book" w:cstheme="minorHAnsi"/>
                <w:spacing w:val="11"/>
                <w:sz w:val="24"/>
                <w:szCs w:val="24"/>
              </w:rPr>
              <w:t xml:space="preserve"> </w:t>
            </w:r>
            <w:r w:rsidRPr="004E6649">
              <w:rPr>
                <w:rFonts w:eastAsia="Franklin Gothic Book" w:cstheme="minorHAnsi"/>
                <w:sz w:val="24"/>
                <w:szCs w:val="24"/>
              </w:rPr>
              <w:t>the</w:t>
            </w:r>
            <w:r w:rsidRPr="004E6649">
              <w:rPr>
                <w:rFonts w:eastAsia="Franklin Gothic Book" w:cstheme="minorHAnsi"/>
                <w:spacing w:val="10"/>
                <w:sz w:val="24"/>
                <w:szCs w:val="24"/>
              </w:rPr>
              <w:t xml:space="preserve"> </w:t>
            </w:r>
            <w:r w:rsidRPr="004E6649">
              <w:rPr>
                <w:rFonts w:eastAsia="Franklin Gothic Book" w:cstheme="minorHAnsi"/>
                <w:sz w:val="24"/>
                <w:szCs w:val="24"/>
              </w:rPr>
              <w:t>beginning</w:t>
            </w:r>
            <w:r w:rsidRPr="004E6649">
              <w:rPr>
                <w:rFonts w:eastAsia="Franklin Gothic Book" w:cstheme="minorHAnsi"/>
                <w:spacing w:val="11"/>
                <w:sz w:val="24"/>
                <w:szCs w:val="24"/>
              </w:rPr>
              <w:t xml:space="preserve"> </w:t>
            </w:r>
            <w:r w:rsidRPr="004E6649">
              <w:rPr>
                <w:rFonts w:eastAsia="Franklin Gothic Book" w:cstheme="minorHAnsi"/>
                <w:spacing w:val="-1"/>
                <w:sz w:val="24"/>
                <w:szCs w:val="24"/>
              </w:rPr>
              <w:t>o</w:t>
            </w:r>
            <w:r w:rsidRPr="004E6649">
              <w:rPr>
                <w:rFonts w:eastAsia="Franklin Gothic Book" w:cstheme="minorHAnsi"/>
                <w:sz w:val="24"/>
                <w:szCs w:val="24"/>
              </w:rPr>
              <w:t>f</w:t>
            </w:r>
            <w:r w:rsidRPr="004E6649">
              <w:rPr>
                <w:rFonts w:eastAsia="Franklin Gothic Book" w:cstheme="minorHAnsi"/>
                <w:spacing w:val="10"/>
                <w:sz w:val="24"/>
                <w:szCs w:val="24"/>
              </w:rPr>
              <w:t xml:space="preserve"> </w:t>
            </w:r>
            <w:r w:rsidRPr="004E6649">
              <w:rPr>
                <w:rFonts w:eastAsia="Franklin Gothic Book" w:cstheme="minorHAnsi"/>
                <w:sz w:val="24"/>
                <w:szCs w:val="24"/>
              </w:rPr>
              <w:t>the</w:t>
            </w:r>
            <w:r w:rsidRPr="004E6649">
              <w:rPr>
                <w:rFonts w:eastAsia="Franklin Gothic Book" w:cstheme="minorHAnsi"/>
                <w:spacing w:val="8"/>
                <w:sz w:val="24"/>
                <w:szCs w:val="24"/>
              </w:rPr>
              <w:t xml:space="preserve"> </w:t>
            </w:r>
            <w:r w:rsidRPr="004E6649">
              <w:rPr>
                <w:rFonts w:eastAsia="Franklin Gothic Book" w:cstheme="minorHAnsi"/>
                <w:sz w:val="24"/>
                <w:szCs w:val="24"/>
              </w:rPr>
              <w:t>measu</w:t>
            </w:r>
            <w:r w:rsidRPr="004E6649">
              <w:rPr>
                <w:rFonts w:eastAsia="Franklin Gothic Book" w:cstheme="minorHAnsi"/>
                <w:spacing w:val="-1"/>
                <w:sz w:val="24"/>
                <w:szCs w:val="24"/>
              </w:rPr>
              <w:t>r</w:t>
            </w:r>
            <w:r w:rsidRPr="004E6649">
              <w:rPr>
                <w:rFonts w:eastAsia="Franklin Gothic Book" w:cstheme="minorHAnsi"/>
                <w:sz w:val="24"/>
                <w:szCs w:val="24"/>
              </w:rPr>
              <w:t>ement</w:t>
            </w:r>
            <w:r w:rsidRPr="004E6649">
              <w:rPr>
                <w:rFonts w:eastAsia="Franklin Gothic Book" w:cstheme="minorHAnsi"/>
                <w:spacing w:val="12"/>
                <w:sz w:val="24"/>
                <w:szCs w:val="24"/>
              </w:rPr>
              <w:t xml:space="preserve"> </w:t>
            </w:r>
            <w:r w:rsidRPr="004E6649">
              <w:rPr>
                <w:rFonts w:eastAsia="Franklin Gothic Book" w:cstheme="minorHAnsi"/>
                <w:spacing w:val="-1"/>
                <w:sz w:val="24"/>
                <w:szCs w:val="24"/>
              </w:rPr>
              <w:t>p</w:t>
            </w:r>
            <w:r w:rsidRPr="004E6649">
              <w:rPr>
                <w:rFonts w:eastAsia="Franklin Gothic Book" w:cstheme="minorHAnsi"/>
                <w:sz w:val="24"/>
                <w:szCs w:val="24"/>
              </w:rPr>
              <w:t>e</w:t>
            </w:r>
            <w:r w:rsidRPr="004E6649">
              <w:rPr>
                <w:rFonts w:eastAsia="Franklin Gothic Book" w:cstheme="minorHAnsi"/>
                <w:spacing w:val="-2"/>
                <w:sz w:val="24"/>
                <w:szCs w:val="24"/>
              </w:rPr>
              <w:t>r</w:t>
            </w:r>
            <w:r w:rsidRPr="004E6649">
              <w:rPr>
                <w:rFonts w:eastAsia="Franklin Gothic Book" w:cstheme="minorHAnsi"/>
                <w:sz w:val="24"/>
                <w:szCs w:val="24"/>
              </w:rPr>
              <w:t>iod</w:t>
            </w:r>
            <w:r w:rsidRPr="004E6649">
              <w:rPr>
                <w:rFonts w:eastAsia="Franklin Gothic Book" w:cstheme="minorHAnsi"/>
                <w:spacing w:val="8"/>
                <w:sz w:val="24"/>
                <w:szCs w:val="24"/>
              </w:rPr>
              <w:t xml:space="preserve"> </w:t>
            </w:r>
            <w:r w:rsidRPr="004E6649">
              <w:rPr>
                <w:rFonts w:eastAsia="Franklin Gothic Book" w:cstheme="minorHAnsi"/>
                <w:spacing w:val="1"/>
                <w:sz w:val="24"/>
                <w:szCs w:val="24"/>
              </w:rPr>
              <w:t>t</w:t>
            </w:r>
            <w:r w:rsidRPr="004E6649">
              <w:rPr>
                <w:rFonts w:eastAsia="Franklin Gothic Book" w:cstheme="minorHAnsi"/>
                <w:sz w:val="24"/>
                <w:szCs w:val="24"/>
              </w:rPr>
              <w:t>o</w:t>
            </w:r>
            <w:r w:rsidRPr="004E6649">
              <w:rPr>
                <w:rFonts w:eastAsia="Franklin Gothic Book" w:cstheme="minorHAnsi"/>
                <w:spacing w:val="10"/>
                <w:sz w:val="24"/>
                <w:szCs w:val="24"/>
              </w:rPr>
              <w:t xml:space="preserve"> </w:t>
            </w:r>
            <w:r w:rsidRPr="004E6649">
              <w:rPr>
                <w:rFonts w:eastAsia="Franklin Gothic Book" w:cstheme="minorHAnsi"/>
                <w:sz w:val="24"/>
                <w:szCs w:val="24"/>
              </w:rPr>
              <w:t>3.87%</w:t>
            </w:r>
            <w:r w:rsidRPr="004E6649">
              <w:rPr>
                <w:rFonts w:eastAsia="Franklin Gothic Book" w:cstheme="minorHAnsi"/>
                <w:spacing w:val="8"/>
                <w:sz w:val="24"/>
                <w:szCs w:val="24"/>
              </w:rPr>
              <w:t xml:space="preserve"> </w:t>
            </w:r>
            <w:r w:rsidRPr="004E6649">
              <w:rPr>
                <w:rFonts w:eastAsia="Franklin Gothic Book" w:cstheme="minorHAnsi"/>
                <w:sz w:val="24"/>
                <w:szCs w:val="24"/>
              </w:rPr>
              <w:t>as</w:t>
            </w:r>
            <w:r w:rsidRPr="004E6649">
              <w:rPr>
                <w:rFonts w:eastAsia="Franklin Gothic Book" w:cstheme="minorHAnsi"/>
                <w:spacing w:val="12"/>
                <w:sz w:val="24"/>
                <w:szCs w:val="24"/>
              </w:rPr>
              <w:t xml:space="preserve"> </w:t>
            </w:r>
            <w:r w:rsidRPr="004E6649">
              <w:rPr>
                <w:rFonts w:eastAsia="Franklin Gothic Book" w:cstheme="minorHAnsi"/>
                <w:spacing w:val="-1"/>
                <w:sz w:val="24"/>
                <w:szCs w:val="24"/>
              </w:rPr>
              <w:t>o</w:t>
            </w:r>
            <w:r w:rsidRPr="004E6649">
              <w:rPr>
                <w:rFonts w:eastAsia="Franklin Gothic Book" w:cstheme="minorHAnsi"/>
                <w:sz w:val="24"/>
                <w:szCs w:val="24"/>
              </w:rPr>
              <w:t>f</w:t>
            </w:r>
            <w:r w:rsidRPr="004E6649">
              <w:rPr>
                <w:rFonts w:eastAsia="Franklin Gothic Book" w:cstheme="minorHAnsi"/>
                <w:spacing w:val="8"/>
                <w:sz w:val="24"/>
                <w:szCs w:val="24"/>
              </w:rPr>
              <w:t xml:space="preserve"> </w:t>
            </w:r>
            <w:r w:rsidRPr="004E6649">
              <w:rPr>
                <w:rFonts w:eastAsia="Franklin Gothic Book" w:cstheme="minorHAnsi"/>
                <w:sz w:val="24"/>
                <w:szCs w:val="24"/>
              </w:rPr>
              <w:t>the</w:t>
            </w:r>
            <w:r w:rsidRPr="004E6649">
              <w:rPr>
                <w:rFonts w:eastAsia="Franklin Gothic Book" w:cstheme="minorHAnsi"/>
                <w:w w:val="99"/>
                <w:sz w:val="24"/>
                <w:szCs w:val="24"/>
              </w:rPr>
              <w:t xml:space="preserve"> </w:t>
            </w:r>
            <w:r w:rsidRPr="004E6649">
              <w:rPr>
                <w:rFonts w:eastAsia="Franklin Gothic Book" w:cstheme="minorHAnsi"/>
                <w:sz w:val="24"/>
                <w:szCs w:val="24"/>
              </w:rPr>
              <w:t>end</w:t>
            </w:r>
            <w:r w:rsidRPr="004E6649">
              <w:rPr>
                <w:rFonts w:eastAsia="Franklin Gothic Book" w:cstheme="minorHAnsi"/>
                <w:spacing w:val="-7"/>
                <w:sz w:val="24"/>
                <w:szCs w:val="24"/>
              </w:rPr>
              <w:t xml:space="preserve"> </w:t>
            </w:r>
            <w:r w:rsidRPr="004E6649">
              <w:rPr>
                <w:rFonts w:eastAsia="Franklin Gothic Book" w:cstheme="minorHAnsi"/>
                <w:sz w:val="24"/>
                <w:szCs w:val="24"/>
              </w:rPr>
              <w:t>of</w:t>
            </w:r>
            <w:r w:rsidRPr="004E6649">
              <w:rPr>
                <w:rFonts w:eastAsia="Franklin Gothic Book" w:cstheme="minorHAnsi"/>
                <w:spacing w:val="-7"/>
                <w:sz w:val="24"/>
                <w:szCs w:val="24"/>
              </w:rPr>
              <w:t xml:space="preserve"> </w:t>
            </w:r>
            <w:r w:rsidRPr="004E6649">
              <w:rPr>
                <w:rFonts w:eastAsia="Franklin Gothic Book" w:cstheme="minorHAnsi"/>
                <w:spacing w:val="1"/>
                <w:sz w:val="24"/>
                <w:szCs w:val="24"/>
              </w:rPr>
              <w:t>t</w:t>
            </w:r>
            <w:r w:rsidRPr="004E6649">
              <w:rPr>
                <w:rFonts w:eastAsia="Franklin Gothic Book" w:cstheme="minorHAnsi"/>
                <w:sz w:val="24"/>
                <w:szCs w:val="24"/>
              </w:rPr>
              <w:t>he</w:t>
            </w:r>
            <w:r w:rsidRPr="004E6649">
              <w:rPr>
                <w:rFonts w:eastAsia="Franklin Gothic Book" w:cstheme="minorHAnsi"/>
                <w:spacing w:val="-7"/>
                <w:sz w:val="24"/>
                <w:szCs w:val="24"/>
              </w:rPr>
              <w:t xml:space="preserve"> </w:t>
            </w:r>
            <w:r w:rsidRPr="004E6649">
              <w:rPr>
                <w:rFonts w:eastAsia="Franklin Gothic Book" w:cstheme="minorHAnsi"/>
                <w:spacing w:val="1"/>
                <w:sz w:val="24"/>
                <w:szCs w:val="24"/>
              </w:rPr>
              <w:t>m</w:t>
            </w:r>
            <w:r w:rsidRPr="004E6649">
              <w:rPr>
                <w:rFonts w:eastAsia="Franklin Gothic Book" w:cstheme="minorHAnsi"/>
                <w:sz w:val="24"/>
                <w:szCs w:val="24"/>
              </w:rPr>
              <w:t>easu</w:t>
            </w:r>
            <w:r w:rsidRPr="004E6649">
              <w:rPr>
                <w:rFonts w:eastAsia="Franklin Gothic Book" w:cstheme="minorHAnsi"/>
                <w:spacing w:val="-1"/>
                <w:sz w:val="24"/>
                <w:szCs w:val="24"/>
              </w:rPr>
              <w:t>r</w:t>
            </w:r>
            <w:r w:rsidRPr="004E6649">
              <w:rPr>
                <w:rFonts w:eastAsia="Franklin Gothic Book" w:cstheme="minorHAnsi"/>
                <w:sz w:val="24"/>
                <w:szCs w:val="24"/>
              </w:rPr>
              <w:t>ement</w:t>
            </w:r>
            <w:r w:rsidRPr="004E6649">
              <w:rPr>
                <w:rFonts w:eastAsia="Franklin Gothic Book" w:cstheme="minorHAnsi"/>
                <w:spacing w:val="-6"/>
                <w:sz w:val="24"/>
                <w:szCs w:val="24"/>
              </w:rPr>
              <w:t xml:space="preserve"> </w:t>
            </w:r>
            <w:r w:rsidRPr="004E6649">
              <w:rPr>
                <w:rFonts w:eastAsia="Franklin Gothic Book" w:cstheme="minorHAnsi"/>
                <w:spacing w:val="-1"/>
                <w:sz w:val="24"/>
                <w:szCs w:val="24"/>
              </w:rPr>
              <w:t>p</w:t>
            </w:r>
            <w:r w:rsidRPr="004E6649">
              <w:rPr>
                <w:rFonts w:eastAsia="Franklin Gothic Book" w:cstheme="minorHAnsi"/>
                <w:sz w:val="24"/>
                <w:szCs w:val="24"/>
              </w:rPr>
              <w:t>e</w:t>
            </w:r>
            <w:r w:rsidRPr="004E6649">
              <w:rPr>
                <w:rFonts w:eastAsia="Franklin Gothic Book" w:cstheme="minorHAnsi"/>
                <w:spacing w:val="-2"/>
                <w:sz w:val="24"/>
                <w:szCs w:val="24"/>
              </w:rPr>
              <w:t>r</w:t>
            </w:r>
            <w:r w:rsidRPr="004E6649">
              <w:rPr>
                <w:rFonts w:eastAsia="Franklin Gothic Book" w:cstheme="minorHAnsi"/>
                <w:sz w:val="24"/>
                <w:szCs w:val="24"/>
              </w:rPr>
              <w:t>iod.</w:t>
            </w:r>
          </w:p>
        </w:tc>
      </w:tr>
      <w:tr w:rsidR="001B6918" w:rsidRPr="004E6649" w14:paraId="4BF0F845" w14:textId="77777777" w:rsidTr="00730ECF">
        <w:trPr>
          <w:jc w:val="center"/>
        </w:trPr>
        <w:tc>
          <w:tcPr>
            <w:tcW w:w="990" w:type="dxa"/>
          </w:tcPr>
          <w:p w14:paraId="11A3192F" w14:textId="77777777" w:rsidR="001B6918" w:rsidRPr="004E6649" w:rsidRDefault="001B6918" w:rsidP="00730ECF">
            <w:pPr>
              <w:widowControl w:val="0"/>
              <w:tabs>
                <w:tab w:val="left" w:pos="810"/>
              </w:tabs>
              <w:rPr>
                <w:rFonts w:eastAsia="Franklin Gothic Book" w:cstheme="minorHAnsi"/>
                <w:spacing w:val="-1"/>
                <w:sz w:val="24"/>
                <w:szCs w:val="24"/>
              </w:rPr>
            </w:pPr>
            <w:r w:rsidRPr="004E6649">
              <w:rPr>
                <w:rFonts w:eastAsia="Franklin Gothic Book" w:cstheme="minorHAnsi"/>
                <w:spacing w:val="-1"/>
                <w:sz w:val="24"/>
                <w:szCs w:val="24"/>
              </w:rPr>
              <w:t>2017:</w:t>
            </w:r>
          </w:p>
        </w:tc>
        <w:tc>
          <w:tcPr>
            <w:tcW w:w="8280" w:type="dxa"/>
          </w:tcPr>
          <w:p w14:paraId="3909E708" w14:textId="77777777" w:rsidR="001B6918" w:rsidRPr="004E6649" w:rsidRDefault="001B6918" w:rsidP="00730ECF">
            <w:pPr>
              <w:widowControl w:val="0"/>
              <w:tabs>
                <w:tab w:val="left" w:pos="810"/>
              </w:tabs>
              <w:rPr>
                <w:rFonts w:eastAsia="Franklin Gothic Book" w:cstheme="minorHAnsi"/>
                <w:spacing w:val="-1"/>
                <w:sz w:val="24"/>
                <w:szCs w:val="24"/>
              </w:rPr>
            </w:pPr>
            <w:r w:rsidRPr="004E6649">
              <w:rPr>
                <w:rFonts w:eastAsia="Franklin Gothic Book" w:cstheme="minorHAnsi"/>
                <w:spacing w:val="-1"/>
                <w:sz w:val="24"/>
                <w:szCs w:val="24"/>
              </w:rPr>
              <w:t>T</w:t>
            </w:r>
            <w:r w:rsidRPr="004E6649">
              <w:rPr>
                <w:rFonts w:eastAsia="Franklin Gothic Book" w:cstheme="minorHAnsi"/>
                <w:sz w:val="24"/>
                <w:szCs w:val="24"/>
              </w:rPr>
              <w:t>he</w:t>
            </w:r>
            <w:r w:rsidRPr="004E6649">
              <w:rPr>
                <w:rFonts w:eastAsia="Franklin Gothic Book" w:cstheme="minorHAnsi"/>
                <w:spacing w:val="9"/>
                <w:sz w:val="24"/>
                <w:szCs w:val="24"/>
              </w:rPr>
              <w:t xml:space="preserve"> </w:t>
            </w:r>
            <w:r w:rsidRPr="004E6649">
              <w:rPr>
                <w:rFonts w:eastAsia="Franklin Gothic Book" w:cstheme="minorHAnsi"/>
                <w:sz w:val="24"/>
                <w:szCs w:val="24"/>
              </w:rPr>
              <w:t>discount</w:t>
            </w:r>
            <w:r w:rsidRPr="004E6649">
              <w:rPr>
                <w:rFonts w:eastAsia="Franklin Gothic Book" w:cstheme="minorHAnsi"/>
                <w:spacing w:val="12"/>
                <w:sz w:val="24"/>
                <w:szCs w:val="24"/>
              </w:rPr>
              <w:t xml:space="preserve"> </w:t>
            </w:r>
            <w:r w:rsidRPr="004E6649">
              <w:rPr>
                <w:rFonts w:eastAsia="Franklin Gothic Book" w:cstheme="minorHAnsi"/>
                <w:spacing w:val="-1"/>
                <w:sz w:val="24"/>
                <w:szCs w:val="24"/>
              </w:rPr>
              <w:t>r</w:t>
            </w:r>
            <w:r w:rsidRPr="004E6649">
              <w:rPr>
                <w:rFonts w:eastAsia="Franklin Gothic Book" w:cstheme="minorHAnsi"/>
                <w:sz w:val="24"/>
                <w:szCs w:val="24"/>
              </w:rPr>
              <w:t>a</w:t>
            </w:r>
            <w:r w:rsidRPr="004E6649">
              <w:rPr>
                <w:rFonts w:eastAsia="Franklin Gothic Book" w:cstheme="minorHAnsi"/>
                <w:spacing w:val="1"/>
                <w:sz w:val="24"/>
                <w:szCs w:val="24"/>
              </w:rPr>
              <w:t>t</w:t>
            </w:r>
            <w:r w:rsidRPr="004E6649">
              <w:rPr>
                <w:rFonts w:eastAsia="Franklin Gothic Book" w:cstheme="minorHAnsi"/>
                <w:sz w:val="24"/>
                <w:szCs w:val="24"/>
              </w:rPr>
              <w:t>e</w:t>
            </w:r>
            <w:r w:rsidRPr="004E6649">
              <w:rPr>
                <w:rFonts w:eastAsia="Franklin Gothic Book" w:cstheme="minorHAnsi"/>
                <w:spacing w:val="9"/>
                <w:sz w:val="24"/>
                <w:szCs w:val="24"/>
              </w:rPr>
              <w:t xml:space="preserve"> </w:t>
            </w:r>
            <w:r w:rsidRPr="004E6649">
              <w:rPr>
                <w:rFonts w:eastAsia="Franklin Gothic Book" w:cstheme="minorHAnsi"/>
                <w:sz w:val="24"/>
                <w:szCs w:val="24"/>
              </w:rPr>
              <w:t>changed</w:t>
            </w:r>
            <w:r w:rsidRPr="004E6649">
              <w:rPr>
                <w:rFonts w:eastAsia="Franklin Gothic Book" w:cstheme="minorHAnsi"/>
                <w:spacing w:val="11"/>
                <w:sz w:val="24"/>
                <w:szCs w:val="24"/>
              </w:rPr>
              <w:t xml:space="preserve"> </w:t>
            </w:r>
            <w:r w:rsidRPr="004E6649">
              <w:rPr>
                <w:rFonts w:eastAsia="Franklin Gothic Book" w:cstheme="minorHAnsi"/>
                <w:sz w:val="24"/>
                <w:szCs w:val="24"/>
              </w:rPr>
              <w:t>f</w:t>
            </w:r>
            <w:r w:rsidRPr="004E6649">
              <w:rPr>
                <w:rFonts w:eastAsia="Franklin Gothic Book" w:cstheme="minorHAnsi"/>
                <w:spacing w:val="-1"/>
                <w:sz w:val="24"/>
                <w:szCs w:val="24"/>
              </w:rPr>
              <w:t>r</w:t>
            </w:r>
            <w:r w:rsidRPr="004E6649">
              <w:rPr>
                <w:rFonts w:eastAsia="Franklin Gothic Book" w:cstheme="minorHAnsi"/>
                <w:sz w:val="24"/>
                <w:szCs w:val="24"/>
              </w:rPr>
              <w:t>om</w:t>
            </w:r>
            <w:r w:rsidRPr="004E6649">
              <w:rPr>
                <w:rFonts w:eastAsia="Franklin Gothic Book" w:cstheme="minorHAnsi"/>
                <w:spacing w:val="11"/>
                <w:sz w:val="24"/>
                <w:szCs w:val="24"/>
              </w:rPr>
              <w:t xml:space="preserve"> </w:t>
            </w:r>
            <w:r w:rsidRPr="004E6649">
              <w:rPr>
                <w:rFonts w:eastAsia="Franklin Gothic Book" w:cstheme="minorHAnsi"/>
                <w:sz w:val="24"/>
                <w:szCs w:val="24"/>
              </w:rPr>
              <w:t>2.85%</w:t>
            </w:r>
            <w:r w:rsidRPr="004E6649">
              <w:rPr>
                <w:rFonts w:eastAsia="Franklin Gothic Book" w:cstheme="minorHAnsi"/>
                <w:spacing w:val="12"/>
                <w:sz w:val="24"/>
                <w:szCs w:val="24"/>
              </w:rPr>
              <w:t xml:space="preserve"> </w:t>
            </w:r>
            <w:r w:rsidRPr="004E6649">
              <w:rPr>
                <w:rFonts w:eastAsia="Franklin Gothic Book" w:cstheme="minorHAnsi"/>
                <w:sz w:val="24"/>
                <w:szCs w:val="24"/>
              </w:rPr>
              <w:t>as</w:t>
            </w:r>
            <w:r w:rsidRPr="004E6649">
              <w:rPr>
                <w:rFonts w:eastAsia="Franklin Gothic Book" w:cstheme="minorHAnsi"/>
                <w:spacing w:val="11"/>
                <w:sz w:val="24"/>
                <w:szCs w:val="24"/>
              </w:rPr>
              <w:t xml:space="preserve"> </w:t>
            </w:r>
            <w:r w:rsidRPr="004E6649">
              <w:rPr>
                <w:rFonts w:eastAsia="Franklin Gothic Book" w:cstheme="minorHAnsi"/>
                <w:spacing w:val="-1"/>
                <w:sz w:val="24"/>
                <w:szCs w:val="24"/>
              </w:rPr>
              <w:t>o</w:t>
            </w:r>
            <w:r w:rsidRPr="004E6649">
              <w:rPr>
                <w:rFonts w:eastAsia="Franklin Gothic Book" w:cstheme="minorHAnsi"/>
                <w:sz w:val="24"/>
                <w:szCs w:val="24"/>
              </w:rPr>
              <w:t>f</w:t>
            </w:r>
            <w:r w:rsidRPr="004E6649">
              <w:rPr>
                <w:rFonts w:eastAsia="Franklin Gothic Book" w:cstheme="minorHAnsi"/>
                <w:spacing w:val="11"/>
                <w:sz w:val="24"/>
                <w:szCs w:val="24"/>
              </w:rPr>
              <w:t xml:space="preserve"> </w:t>
            </w:r>
            <w:r w:rsidRPr="004E6649">
              <w:rPr>
                <w:rFonts w:eastAsia="Franklin Gothic Book" w:cstheme="minorHAnsi"/>
                <w:sz w:val="24"/>
                <w:szCs w:val="24"/>
              </w:rPr>
              <w:t>the</w:t>
            </w:r>
            <w:r w:rsidRPr="004E6649">
              <w:rPr>
                <w:rFonts w:eastAsia="Franklin Gothic Book" w:cstheme="minorHAnsi"/>
                <w:spacing w:val="10"/>
                <w:sz w:val="24"/>
                <w:szCs w:val="24"/>
              </w:rPr>
              <w:t xml:space="preserve"> </w:t>
            </w:r>
            <w:r w:rsidRPr="004E6649">
              <w:rPr>
                <w:rFonts w:eastAsia="Franklin Gothic Book" w:cstheme="minorHAnsi"/>
                <w:sz w:val="24"/>
                <w:szCs w:val="24"/>
              </w:rPr>
              <w:t>beginning</w:t>
            </w:r>
            <w:r w:rsidRPr="004E6649">
              <w:rPr>
                <w:rFonts w:eastAsia="Franklin Gothic Book" w:cstheme="minorHAnsi"/>
                <w:spacing w:val="11"/>
                <w:sz w:val="24"/>
                <w:szCs w:val="24"/>
              </w:rPr>
              <w:t xml:space="preserve"> </w:t>
            </w:r>
            <w:r w:rsidRPr="004E6649">
              <w:rPr>
                <w:rFonts w:eastAsia="Franklin Gothic Book" w:cstheme="minorHAnsi"/>
                <w:spacing w:val="-1"/>
                <w:sz w:val="24"/>
                <w:szCs w:val="24"/>
              </w:rPr>
              <w:t>o</w:t>
            </w:r>
            <w:r w:rsidRPr="004E6649">
              <w:rPr>
                <w:rFonts w:eastAsia="Franklin Gothic Book" w:cstheme="minorHAnsi"/>
                <w:sz w:val="24"/>
                <w:szCs w:val="24"/>
              </w:rPr>
              <w:t>f</w:t>
            </w:r>
            <w:r w:rsidRPr="004E6649">
              <w:rPr>
                <w:rFonts w:eastAsia="Franklin Gothic Book" w:cstheme="minorHAnsi"/>
                <w:spacing w:val="10"/>
                <w:sz w:val="24"/>
                <w:szCs w:val="24"/>
              </w:rPr>
              <w:t xml:space="preserve"> </w:t>
            </w:r>
            <w:r w:rsidRPr="004E6649">
              <w:rPr>
                <w:rFonts w:eastAsia="Franklin Gothic Book" w:cstheme="minorHAnsi"/>
                <w:sz w:val="24"/>
                <w:szCs w:val="24"/>
              </w:rPr>
              <w:t>the</w:t>
            </w:r>
            <w:r w:rsidRPr="004E6649">
              <w:rPr>
                <w:rFonts w:eastAsia="Franklin Gothic Book" w:cstheme="minorHAnsi"/>
                <w:spacing w:val="8"/>
                <w:sz w:val="24"/>
                <w:szCs w:val="24"/>
              </w:rPr>
              <w:t xml:space="preserve"> </w:t>
            </w:r>
            <w:r w:rsidRPr="004E6649">
              <w:rPr>
                <w:rFonts w:eastAsia="Franklin Gothic Book" w:cstheme="minorHAnsi"/>
                <w:sz w:val="24"/>
                <w:szCs w:val="24"/>
              </w:rPr>
              <w:t>measu</w:t>
            </w:r>
            <w:r w:rsidRPr="004E6649">
              <w:rPr>
                <w:rFonts w:eastAsia="Franklin Gothic Book" w:cstheme="minorHAnsi"/>
                <w:spacing w:val="-1"/>
                <w:sz w:val="24"/>
                <w:szCs w:val="24"/>
              </w:rPr>
              <w:t>r</w:t>
            </w:r>
            <w:r w:rsidRPr="004E6649">
              <w:rPr>
                <w:rFonts w:eastAsia="Franklin Gothic Book" w:cstheme="minorHAnsi"/>
                <w:sz w:val="24"/>
                <w:szCs w:val="24"/>
              </w:rPr>
              <w:t>ement</w:t>
            </w:r>
            <w:r w:rsidRPr="004E6649">
              <w:rPr>
                <w:rFonts w:eastAsia="Franklin Gothic Book" w:cstheme="minorHAnsi"/>
                <w:spacing w:val="12"/>
                <w:sz w:val="24"/>
                <w:szCs w:val="24"/>
              </w:rPr>
              <w:t xml:space="preserve"> </w:t>
            </w:r>
            <w:r w:rsidRPr="004E6649">
              <w:rPr>
                <w:rFonts w:eastAsia="Franklin Gothic Book" w:cstheme="minorHAnsi"/>
                <w:spacing w:val="-1"/>
                <w:sz w:val="24"/>
                <w:szCs w:val="24"/>
              </w:rPr>
              <w:t>p</w:t>
            </w:r>
            <w:r w:rsidRPr="004E6649">
              <w:rPr>
                <w:rFonts w:eastAsia="Franklin Gothic Book" w:cstheme="minorHAnsi"/>
                <w:sz w:val="24"/>
                <w:szCs w:val="24"/>
              </w:rPr>
              <w:t>e</w:t>
            </w:r>
            <w:r w:rsidRPr="004E6649">
              <w:rPr>
                <w:rFonts w:eastAsia="Franklin Gothic Book" w:cstheme="minorHAnsi"/>
                <w:spacing w:val="-2"/>
                <w:sz w:val="24"/>
                <w:szCs w:val="24"/>
              </w:rPr>
              <w:t>r</w:t>
            </w:r>
            <w:r w:rsidRPr="004E6649">
              <w:rPr>
                <w:rFonts w:eastAsia="Franklin Gothic Book" w:cstheme="minorHAnsi"/>
                <w:sz w:val="24"/>
                <w:szCs w:val="24"/>
              </w:rPr>
              <w:t>iod</w:t>
            </w:r>
            <w:r w:rsidRPr="004E6649">
              <w:rPr>
                <w:rFonts w:eastAsia="Franklin Gothic Book" w:cstheme="minorHAnsi"/>
                <w:spacing w:val="8"/>
                <w:sz w:val="24"/>
                <w:szCs w:val="24"/>
              </w:rPr>
              <w:t xml:space="preserve"> </w:t>
            </w:r>
            <w:r w:rsidRPr="004E6649">
              <w:rPr>
                <w:rFonts w:eastAsia="Franklin Gothic Book" w:cstheme="minorHAnsi"/>
                <w:spacing w:val="1"/>
                <w:sz w:val="24"/>
                <w:szCs w:val="24"/>
              </w:rPr>
              <w:t>t</w:t>
            </w:r>
            <w:r w:rsidRPr="004E6649">
              <w:rPr>
                <w:rFonts w:eastAsia="Franklin Gothic Book" w:cstheme="minorHAnsi"/>
                <w:sz w:val="24"/>
                <w:szCs w:val="24"/>
              </w:rPr>
              <w:t>o</w:t>
            </w:r>
            <w:r w:rsidRPr="004E6649">
              <w:rPr>
                <w:rFonts w:eastAsia="Franklin Gothic Book" w:cstheme="minorHAnsi"/>
                <w:spacing w:val="10"/>
                <w:sz w:val="24"/>
                <w:szCs w:val="24"/>
              </w:rPr>
              <w:t xml:space="preserve"> </w:t>
            </w:r>
            <w:r w:rsidRPr="004E6649">
              <w:rPr>
                <w:rFonts w:eastAsia="Franklin Gothic Book" w:cstheme="minorHAnsi"/>
                <w:sz w:val="24"/>
                <w:szCs w:val="24"/>
              </w:rPr>
              <w:t>3.58%</w:t>
            </w:r>
            <w:r w:rsidRPr="004E6649">
              <w:rPr>
                <w:rFonts w:eastAsia="Franklin Gothic Book" w:cstheme="minorHAnsi"/>
                <w:spacing w:val="8"/>
                <w:sz w:val="24"/>
                <w:szCs w:val="24"/>
              </w:rPr>
              <w:t xml:space="preserve"> </w:t>
            </w:r>
            <w:r w:rsidRPr="004E6649">
              <w:rPr>
                <w:rFonts w:eastAsia="Franklin Gothic Book" w:cstheme="minorHAnsi"/>
                <w:sz w:val="24"/>
                <w:szCs w:val="24"/>
              </w:rPr>
              <w:t>as</w:t>
            </w:r>
            <w:r w:rsidRPr="004E6649">
              <w:rPr>
                <w:rFonts w:eastAsia="Franklin Gothic Book" w:cstheme="minorHAnsi"/>
                <w:spacing w:val="12"/>
                <w:sz w:val="24"/>
                <w:szCs w:val="24"/>
              </w:rPr>
              <w:t xml:space="preserve"> </w:t>
            </w:r>
            <w:r w:rsidRPr="004E6649">
              <w:rPr>
                <w:rFonts w:eastAsia="Franklin Gothic Book" w:cstheme="minorHAnsi"/>
                <w:spacing w:val="-1"/>
                <w:sz w:val="24"/>
                <w:szCs w:val="24"/>
              </w:rPr>
              <w:t>o</w:t>
            </w:r>
            <w:r w:rsidRPr="004E6649">
              <w:rPr>
                <w:rFonts w:eastAsia="Franklin Gothic Book" w:cstheme="minorHAnsi"/>
                <w:sz w:val="24"/>
                <w:szCs w:val="24"/>
              </w:rPr>
              <w:t>f</w:t>
            </w:r>
            <w:r w:rsidRPr="004E6649">
              <w:rPr>
                <w:rFonts w:eastAsia="Franklin Gothic Book" w:cstheme="minorHAnsi"/>
                <w:spacing w:val="8"/>
                <w:sz w:val="24"/>
                <w:szCs w:val="24"/>
              </w:rPr>
              <w:t xml:space="preserve"> </w:t>
            </w:r>
            <w:r w:rsidRPr="004E6649">
              <w:rPr>
                <w:rFonts w:eastAsia="Franklin Gothic Book" w:cstheme="minorHAnsi"/>
                <w:sz w:val="24"/>
                <w:szCs w:val="24"/>
              </w:rPr>
              <w:t>the</w:t>
            </w:r>
            <w:r w:rsidRPr="004E6649">
              <w:rPr>
                <w:rFonts w:eastAsia="Franklin Gothic Book" w:cstheme="minorHAnsi"/>
                <w:w w:val="99"/>
                <w:sz w:val="24"/>
                <w:szCs w:val="24"/>
              </w:rPr>
              <w:t xml:space="preserve"> </w:t>
            </w:r>
            <w:r w:rsidRPr="004E6649">
              <w:rPr>
                <w:rFonts w:eastAsia="Franklin Gothic Book" w:cstheme="minorHAnsi"/>
                <w:sz w:val="24"/>
                <w:szCs w:val="24"/>
              </w:rPr>
              <w:t>end</w:t>
            </w:r>
            <w:r w:rsidRPr="004E6649">
              <w:rPr>
                <w:rFonts w:eastAsia="Franklin Gothic Book" w:cstheme="minorHAnsi"/>
                <w:spacing w:val="-7"/>
                <w:sz w:val="24"/>
                <w:szCs w:val="24"/>
              </w:rPr>
              <w:t xml:space="preserve"> </w:t>
            </w:r>
            <w:r w:rsidRPr="004E6649">
              <w:rPr>
                <w:rFonts w:eastAsia="Franklin Gothic Book" w:cstheme="minorHAnsi"/>
                <w:sz w:val="24"/>
                <w:szCs w:val="24"/>
              </w:rPr>
              <w:t>of</w:t>
            </w:r>
            <w:r w:rsidRPr="004E6649">
              <w:rPr>
                <w:rFonts w:eastAsia="Franklin Gothic Book" w:cstheme="minorHAnsi"/>
                <w:spacing w:val="-7"/>
                <w:sz w:val="24"/>
                <w:szCs w:val="24"/>
              </w:rPr>
              <w:t xml:space="preserve"> </w:t>
            </w:r>
            <w:r w:rsidRPr="004E6649">
              <w:rPr>
                <w:rFonts w:eastAsia="Franklin Gothic Book" w:cstheme="minorHAnsi"/>
                <w:spacing w:val="1"/>
                <w:sz w:val="24"/>
                <w:szCs w:val="24"/>
              </w:rPr>
              <w:t>t</w:t>
            </w:r>
            <w:r w:rsidRPr="004E6649">
              <w:rPr>
                <w:rFonts w:eastAsia="Franklin Gothic Book" w:cstheme="minorHAnsi"/>
                <w:sz w:val="24"/>
                <w:szCs w:val="24"/>
              </w:rPr>
              <w:t>he</w:t>
            </w:r>
            <w:r w:rsidRPr="004E6649">
              <w:rPr>
                <w:rFonts w:eastAsia="Franklin Gothic Book" w:cstheme="minorHAnsi"/>
                <w:spacing w:val="-7"/>
                <w:sz w:val="24"/>
                <w:szCs w:val="24"/>
              </w:rPr>
              <w:t xml:space="preserve"> </w:t>
            </w:r>
            <w:r w:rsidRPr="004E6649">
              <w:rPr>
                <w:rFonts w:eastAsia="Franklin Gothic Book" w:cstheme="minorHAnsi"/>
                <w:spacing w:val="1"/>
                <w:sz w:val="24"/>
                <w:szCs w:val="24"/>
              </w:rPr>
              <w:t>m</w:t>
            </w:r>
            <w:r w:rsidRPr="004E6649">
              <w:rPr>
                <w:rFonts w:eastAsia="Franklin Gothic Book" w:cstheme="minorHAnsi"/>
                <w:sz w:val="24"/>
                <w:szCs w:val="24"/>
              </w:rPr>
              <w:t>easu</w:t>
            </w:r>
            <w:r w:rsidRPr="004E6649">
              <w:rPr>
                <w:rFonts w:eastAsia="Franklin Gothic Book" w:cstheme="minorHAnsi"/>
                <w:spacing w:val="-1"/>
                <w:sz w:val="24"/>
                <w:szCs w:val="24"/>
              </w:rPr>
              <w:t>r</w:t>
            </w:r>
            <w:r w:rsidRPr="004E6649">
              <w:rPr>
                <w:rFonts w:eastAsia="Franklin Gothic Book" w:cstheme="minorHAnsi"/>
                <w:sz w:val="24"/>
                <w:szCs w:val="24"/>
              </w:rPr>
              <w:t>ement</w:t>
            </w:r>
            <w:r w:rsidRPr="004E6649">
              <w:rPr>
                <w:rFonts w:eastAsia="Franklin Gothic Book" w:cstheme="minorHAnsi"/>
                <w:spacing w:val="-6"/>
                <w:sz w:val="24"/>
                <w:szCs w:val="24"/>
              </w:rPr>
              <w:t xml:space="preserve"> </w:t>
            </w:r>
            <w:r w:rsidRPr="004E6649">
              <w:rPr>
                <w:rFonts w:eastAsia="Franklin Gothic Book" w:cstheme="minorHAnsi"/>
                <w:spacing w:val="-1"/>
                <w:sz w:val="24"/>
                <w:szCs w:val="24"/>
              </w:rPr>
              <w:t>p</w:t>
            </w:r>
            <w:r w:rsidRPr="004E6649">
              <w:rPr>
                <w:rFonts w:eastAsia="Franklin Gothic Book" w:cstheme="minorHAnsi"/>
                <w:sz w:val="24"/>
                <w:szCs w:val="24"/>
              </w:rPr>
              <w:t>e</w:t>
            </w:r>
            <w:r w:rsidRPr="004E6649">
              <w:rPr>
                <w:rFonts w:eastAsia="Franklin Gothic Book" w:cstheme="minorHAnsi"/>
                <w:spacing w:val="-2"/>
                <w:sz w:val="24"/>
                <w:szCs w:val="24"/>
              </w:rPr>
              <w:t>r</w:t>
            </w:r>
            <w:r w:rsidRPr="004E6649">
              <w:rPr>
                <w:rFonts w:eastAsia="Franklin Gothic Book" w:cstheme="minorHAnsi"/>
                <w:sz w:val="24"/>
                <w:szCs w:val="24"/>
              </w:rPr>
              <w:t>iod.</w:t>
            </w:r>
          </w:p>
        </w:tc>
      </w:tr>
    </w:tbl>
    <w:p w14:paraId="76714B26" w14:textId="77777777" w:rsidR="001B6918" w:rsidRPr="004E6649" w:rsidRDefault="001B6918" w:rsidP="001B6918">
      <w:pPr>
        <w:ind w:left="720" w:hanging="720"/>
        <w:rPr>
          <w:rFonts w:eastAsia="Franklin Gothic Book" w:cstheme="minorHAnsi"/>
          <w:sz w:val="24"/>
          <w:szCs w:val="24"/>
        </w:rPr>
      </w:pPr>
    </w:p>
    <w:p w14:paraId="735CFA12" w14:textId="77777777" w:rsidR="001B6918" w:rsidRPr="004E6649" w:rsidRDefault="001B6918" w:rsidP="001B6918">
      <w:pPr>
        <w:ind w:left="720" w:hanging="720"/>
        <w:rPr>
          <w:rFonts w:eastAsia="Franklin Gothic Book" w:cstheme="minorHAnsi"/>
          <w:i/>
          <w:sz w:val="24"/>
          <w:szCs w:val="24"/>
        </w:rPr>
      </w:pPr>
      <w:r w:rsidRPr="004E6649">
        <w:rPr>
          <w:rFonts w:eastAsia="Franklin Gothic Book" w:cstheme="minorHAnsi"/>
          <w:i/>
          <w:sz w:val="24"/>
          <w:szCs w:val="24"/>
        </w:rPr>
        <w:t>Me</w:t>
      </w:r>
      <w:r w:rsidRPr="004E6649">
        <w:rPr>
          <w:rFonts w:eastAsia="Franklin Gothic Book" w:cstheme="minorHAnsi"/>
          <w:i/>
          <w:spacing w:val="-2"/>
          <w:sz w:val="24"/>
          <w:szCs w:val="24"/>
        </w:rPr>
        <w:t>t</w:t>
      </w:r>
      <w:r w:rsidRPr="004E6649">
        <w:rPr>
          <w:rFonts w:eastAsia="Franklin Gothic Book" w:cstheme="minorHAnsi"/>
          <w:i/>
          <w:sz w:val="24"/>
          <w:szCs w:val="24"/>
        </w:rPr>
        <w:t>h</w:t>
      </w:r>
      <w:r w:rsidRPr="004E6649">
        <w:rPr>
          <w:rFonts w:eastAsia="Franklin Gothic Book" w:cstheme="minorHAnsi"/>
          <w:i/>
          <w:spacing w:val="-1"/>
          <w:sz w:val="24"/>
          <w:szCs w:val="24"/>
        </w:rPr>
        <w:t>o</w:t>
      </w:r>
      <w:r w:rsidRPr="004E6649">
        <w:rPr>
          <w:rFonts w:eastAsia="Franklin Gothic Book" w:cstheme="minorHAnsi"/>
          <w:i/>
          <w:sz w:val="24"/>
          <w:szCs w:val="24"/>
        </w:rPr>
        <w:t>ds</w:t>
      </w:r>
      <w:r w:rsidRPr="004E6649">
        <w:rPr>
          <w:rFonts w:eastAsia="Franklin Gothic Book" w:cstheme="minorHAnsi"/>
          <w:i/>
          <w:spacing w:val="-9"/>
          <w:sz w:val="24"/>
          <w:szCs w:val="24"/>
        </w:rPr>
        <w:t xml:space="preserve"> </w:t>
      </w:r>
      <w:r w:rsidRPr="004E6649">
        <w:rPr>
          <w:rFonts w:eastAsia="Franklin Gothic Book" w:cstheme="minorHAnsi"/>
          <w:i/>
          <w:spacing w:val="-2"/>
          <w:sz w:val="24"/>
          <w:szCs w:val="24"/>
        </w:rPr>
        <w:t>an</w:t>
      </w:r>
      <w:r w:rsidRPr="004E6649">
        <w:rPr>
          <w:rFonts w:eastAsia="Franklin Gothic Book" w:cstheme="minorHAnsi"/>
          <w:i/>
          <w:sz w:val="24"/>
          <w:szCs w:val="24"/>
        </w:rPr>
        <w:t>d</w:t>
      </w:r>
      <w:r w:rsidRPr="004E6649">
        <w:rPr>
          <w:rFonts w:eastAsia="Franklin Gothic Book" w:cstheme="minorHAnsi"/>
          <w:i/>
          <w:spacing w:val="-8"/>
          <w:sz w:val="24"/>
          <w:szCs w:val="24"/>
        </w:rPr>
        <w:t xml:space="preserve"> </w:t>
      </w:r>
      <w:r w:rsidRPr="004E6649">
        <w:rPr>
          <w:rFonts w:eastAsia="Franklin Gothic Book" w:cstheme="minorHAnsi"/>
          <w:i/>
          <w:spacing w:val="-2"/>
          <w:sz w:val="24"/>
          <w:szCs w:val="24"/>
        </w:rPr>
        <w:t>a</w:t>
      </w:r>
      <w:r w:rsidRPr="004E6649">
        <w:rPr>
          <w:rFonts w:eastAsia="Franklin Gothic Book" w:cstheme="minorHAnsi"/>
          <w:i/>
          <w:spacing w:val="-1"/>
          <w:sz w:val="24"/>
          <w:szCs w:val="24"/>
        </w:rPr>
        <w:t>ss</w:t>
      </w:r>
      <w:r w:rsidRPr="004E6649">
        <w:rPr>
          <w:rFonts w:eastAsia="Franklin Gothic Book" w:cstheme="minorHAnsi"/>
          <w:i/>
          <w:sz w:val="24"/>
          <w:szCs w:val="24"/>
        </w:rPr>
        <w:t>um</w:t>
      </w:r>
      <w:r w:rsidRPr="004E6649">
        <w:rPr>
          <w:rFonts w:eastAsia="Franklin Gothic Book" w:cstheme="minorHAnsi"/>
          <w:i/>
          <w:spacing w:val="-1"/>
          <w:sz w:val="24"/>
          <w:szCs w:val="24"/>
        </w:rPr>
        <w:t>p</w:t>
      </w:r>
      <w:r w:rsidRPr="004E6649">
        <w:rPr>
          <w:rFonts w:eastAsia="Franklin Gothic Book" w:cstheme="minorHAnsi"/>
          <w:i/>
          <w:spacing w:val="-2"/>
          <w:sz w:val="24"/>
          <w:szCs w:val="24"/>
        </w:rPr>
        <w:t>t</w:t>
      </w:r>
      <w:r w:rsidRPr="004E6649">
        <w:rPr>
          <w:rFonts w:eastAsia="Franklin Gothic Book" w:cstheme="minorHAnsi"/>
          <w:i/>
          <w:sz w:val="24"/>
          <w:szCs w:val="24"/>
        </w:rPr>
        <w:t>i</w:t>
      </w:r>
      <w:r w:rsidRPr="004E6649">
        <w:rPr>
          <w:rFonts w:eastAsia="Franklin Gothic Book" w:cstheme="minorHAnsi"/>
          <w:i/>
          <w:spacing w:val="-1"/>
          <w:sz w:val="24"/>
          <w:szCs w:val="24"/>
        </w:rPr>
        <w:t>o</w:t>
      </w:r>
      <w:r w:rsidRPr="004E6649">
        <w:rPr>
          <w:rFonts w:eastAsia="Franklin Gothic Book" w:cstheme="minorHAnsi"/>
          <w:i/>
          <w:spacing w:val="-2"/>
          <w:sz w:val="24"/>
          <w:szCs w:val="24"/>
        </w:rPr>
        <w:t>n</w:t>
      </w:r>
      <w:r w:rsidRPr="004E6649">
        <w:rPr>
          <w:rFonts w:eastAsia="Franklin Gothic Book" w:cstheme="minorHAnsi"/>
          <w:i/>
          <w:sz w:val="24"/>
          <w:szCs w:val="24"/>
        </w:rPr>
        <w:t>s</w:t>
      </w:r>
      <w:r w:rsidRPr="004E6649">
        <w:rPr>
          <w:rFonts w:eastAsia="Franklin Gothic Book" w:cstheme="minorHAnsi"/>
          <w:i/>
          <w:spacing w:val="-9"/>
          <w:sz w:val="24"/>
          <w:szCs w:val="24"/>
        </w:rPr>
        <w:t xml:space="preserve"> </w:t>
      </w:r>
      <w:r w:rsidRPr="004E6649">
        <w:rPr>
          <w:rFonts w:eastAsia="Franklin Gothic Book" w:cstheme="minorHAnsi"/>
          <w:i/>
          <w:sz w:val="24"/>
          <w:szCs w:val="24"/>
        </w:rPr>
        <w:t>u</w:t>
      </w:r>
      <w:r w:rsidRPr="004E6649">
        <w:rPr>
          <w:rFonts w:eastAsia="Franklin Gothic Book" w:cstheme="minorHAnsi"/>
          <w:i/>
          <w:spacing w:val="-1"/>
          <w:sz w:val="24"/>
          <w:szCs w:val="24"/>
        </w:rPr>
        <w:t>s</w:t>
      </w:r>
      <w:r w:rsidRPr="004E6649">
        <w:rPr>
          <w:rFonts w:eastAsia="Franklin Gothic Book" w:cstheme="minorHAnsi"/>
          <w:i/>
          <w:sz w:val="24"/>
          <w:szCs w:val="24"/>
        </w:rPr>
        <w:t>ed</w:t>
      </w:r>
      <w:r w:rsidRPr="004E6649">
        <w:rPr>
          <w:rFonts w:eastAsia="Franklin Gothic Book" w:cstheme="minorHAnsi"/>
          <w:i/>
          <w:spacing w:val="-7"/>
          <w:sz w:val="24"/>
          <w:szCs w:val="24"/>
        </w:rPr>
        <w:t xml:space="preserve"> </w:t>
      </w:r>
      <w:r w:rsidRPr="004E6649">
        <w:rPr>
          <w:rFonts w:eastAsia="Franklin Gothic Book" w:cstheme="minorHAnsi"/>
          <w:i/>
          <w:sz w:val="24"/>
          <w:szCs w:val="24"/>
        </w:rPr>
        <w:t>in</w:t>
      </w:r>
      <w:r w:rsidRPr="004E6649">
        <w:rPr>
          <w:rFonts w:eastAsia="Franklin Gothic Book" w:cstheme="minorHAnsi"/>
          <w:i/>
          <w:spacing w:val="-10"/>
          <w:sz w:val="24"/>
          <w:szCs w:val="24"/>
        </w:rPr>
        <w:t xml:space="preserve"> </w:t>
      </w:r>
      <w:r w:rsidRPr="004E6649">
        <w:rPr>
          <w:rFonts w:eastAsia="Franklin Gothic Book" w:cstheme="minorHAnsi"/>
          <w:i/>
          <w:spacing w:val="-1"/>
          <w:sz w:val="24"/>
          <w:szCs w:val="24"/>
        </w:rPr>
        <w:t>c</w:t>
      </w:r>
      <w:r w:rsidRPr="004E6649">
        <w:rPr>
          <w:rFonts w:eastAsia="Franklin Gothic Book" w:cstheme="minorHAnsi"/>
          <w:i/>
          <w:spacing w:val="-2"/>
          <w:sz w:val="24"/>
          <w:szCs w:val="24"/>
        </w:rPr>
        <w:t>a</w:t>
      </w:r>
      <w:r w:rsidRPr="004E6649">
        <w:rPr>
          <w:rFonts w:eastAsia="Franklin Gothic Book" w:cstheme="minorHAnsi"/>
          <w:i/>
          <w:sz w:val="24"/>
          <w:szCs w:val="24"/>
        </w:rPr>
        <w:t>l</w:t>
      </w:r>
      <w:r w:rsidRPr="004E6649">
        <w:rPr>
          <w:rFonts w:eastAsia="Franklin Gothic Book" w:cstheme="minorHAnsi"/>
          <w:i/>
          <w:spacing w:val="-1"/>
          <w:sz w:val="24"/>
          <w:szCs w:val="24"/>
        </w:rPr>
        <w:t>c</w:t>
      </w:r>
      <w:r w:rsidRPr="004E6649">
        <w:rPr>
          <w:rFonts w:eastAsia="Franklin Gothic Book" w:cstheme="minorHAnsi"/>
          <w:i/>
          <w:sz w:val="24"/>
          <w:szCs w:val="24"/>
        </w:rPr>
        <w:t>ul</w:t>
      </w:r>
      <w:r w:rsidRPr="004E6649">
        <w:rPr>
          <w:rFonts w:eastAsia="Franklin Gothic Book" w:cstheme="minorHAnsi"/>
          <w:i/>
          <w:spacing w:val="-2"/>
          <w:sz w:val="24"/>
          <w:szCs w:val="24"/>
        </w:rPr>
        <w:t>at</w:t>
      </w:r>
      <w:r w:rsidRPr="004E6649">
        <w:rPr>
          <w:rFonts w:eastAsia="Franklin Gothic Book" w:cstheme="minorHAnsi"/>
          <w:i/>
          <w:sz w:val="24"/>
          <w:szCs w:val="24"/>
        </w:rPr>
        <w:t>i</w:t>
      </w:r>
      <w:r w:rsidRPr="004E6649">
        <w:rPr>
          <w:rFonts w:eastAsia="Franklin Gothic Book" w:cstheme="minorHAnsi"/>
          <w:i/>
          <w:spacing w:val="-1"/>
          <w:sz w:val="24"/>
          <w:szCs w:val="24"/>
        </w:rPr>
        <w:t>o</w:t>
      </w:r>
      <w:r w:rsidRPr="004E6649">
        <w:rPr>
          <w:rFonts w:eastAsia="Franklin Gothic Book" w:cstheme="minorHAnsi"/>
          <w:i/>
          <w:spacing w:val="-2"/>
          <w:sz w:val="24"/>
          <w:szCs w:val="24"/>
        </w:rPr>
        <w:t>n</w:t>
      </w:r>
      <w:r w:rsidRPr="004E6649">
        <w:rPr>
          <w:rFonts w:eastAsia="Franklin Gothic Book" w:cstheme="minorHAnsi"/>
          <w:i/>
          <w:sz w:val="24"/>
          <w:szCs w:val="24"/>
        </w:rPr>
        <w:t>s</w:t>
      </w:r>
      <w:r w:rsidRPr="004E6649">
        <w:rPr>
          <w:rFonts w:eastAsia="Franklin Gothic Book" w:cstheme="minorHAnsi"/>
          <w:i/>
          <w:spacing w:val="-9"/>
          <w:sz w:val="24"/>
          <w:szCs w:val="24"/>
        </w:rPr>
        <w:t xml:space="preserve"> </w:t>
      </w:r>
      <w:r w:rsidRPr="004E6649">
        <w:rPr>
          <w:rFonts w:eastAsia="Franklin Gothic Book" w:cstheme="minorHAnsi"/>
          <w:i/>
          <w:sz w:val="24"/>
          <w:szCs w:val="24"/>
        </w:rPr>
        <w:t>of</w:t>
      </w:r>
      <w:r w:rsidRPr="004E6649">
        <w:rPr>
          <w:rFonts w:eastAsia="Franklin Gothic Book" w:cstheme="minorHAnsi"/>
          <w:i/>
          <w:spacing w:val="-8"/>
          <w:sz w:val="24"/>
          <w:szCs w:val="24"/>
        </w:rPr>
        <w:t xml:space="preserve"> </w:t>
      </w:r>
      <w:r w:rsidRPr="004E6649">
        <w:rPr>
          <w:rFonts w:eastAsia="Franklin Gothic Book" w:cstheme="minorHAnsi"/>
          <w:i/>
          <w:spacing w:val="-1"/>
          <w:sz w:val="24"/>
          <w:szCs w:val="24"/>
        </w:rPr>
        <w:t>ac</w:t>
      </w:r>
      <w:r w:rsidRPr="004E6649">
        <w:rPr>
          <w:rFonts w:eastAsia="Franklin Gothic Book" w:cstheme="minorHAnsi"/>
          <w:i/>
          <w:spacing w:val="-2"/>
          <w:sz w:val="24"/>
          <w:szCs w:val="24"/>
        </w:rPr>
        <w:t>t</w:t>
      </w:r>
      <w:r w:rsidRPr="004E6649">
        <w:rPr>
          <w:rFonts w:eastAsia="Franklin Gothic Book" w:cstheme="minorHAnsi"/>
          <w:i/>
          <w:sz w:val="24"/>
          <w:szCs w:val="24"/>
        </w:rPr>
        <w:t>u</w:t>
      </w:r>
      <w:r w:rsidRPr="004E6649">
        <w:rPr>
          <w:rFonts w:eastAsia="Franklin Gothic Book" w:cstheme="minorHAnsi"/>
          <w:i/>
          <w:spacing w:val="-2"/>
          <w:sz w:val="24"/>
          <w:szCs w:val="24"/>
        </w:rPr>
        <w:t>a</w:t>
      </w:r>
      <w:r w:rsidRPr="004E6649">
        <w:rPr>
          <w:rFonts w:eastAsia="Franklin Gothic Book" w:cstheme="minorHAnsi"/>
          <w:i/>
          <w:sz w:val="24"/>
          <w:szCs w:val="24"/>
        </w:rPr>
        <w:t>ri</w:t>
      </w:r>
      <w:r w:rsidRPr="004E6649">
        <w:rPr>
          <w:rFonts w:eastAsia="Franklin Gothic Book" w:cstheme="minorHAnsi"/>
          <w:i/>
          <w:spacing w:val="-2"/>
          <w:sz w:val="24"/>
          <w:szCs w:val="24"/>
        </w:rPr>
        <w:t>a</w:t>
      </w:r>
      <w:r w:rsidRPr="004E6649">
        <w:rPr>
          <w:rFonts w:eastAsia="Franklin Gothic Book" w:cstheme="minorHAnsi"/>
          <w:i/>
          <w:sz w:val="24"/>
          <w:szCs w:val="24"/>
        </w:rPr>
        <w:t>lly</w:t>
      </w:r>
      <w:r w:rsidRPr="004E6649">
        <w:rPr>
          <w:rFonts w:eastAsia="Franklin Gothic Book" w:cstheme="minorHAnsi"/>
          <w:i/>
          <w:spacing w:val="-9"/>
          <w:sz w:val="24"/>
          <w:szCs w:val="24"/>
        </w:rPr>
        <w:t xml:space="preserve"> </w:t>
      </w:r>
      <w:r w:rsidRPr="004E6649">
        <w:rPr>
          <w:rFonts w:eastAsia="Franklin Gothic Book" w:cstheme="minorHAnsi"/>
          <w:i/>
          <w:sz w:val="24"/>
          <w:szCs w:val="24"/>
        </w:rPr>
        <w:t>de</w:t>
      </w:r>
      <w:r w:rsidRPr="004E6649">
        <w:rPr>
          <w:rFonts w:eastAsia="Franklin Gothic Book" w:cstheme="minorHAnsi"/>
          <w:i/>
          <w:spacing w:val="-2"/>
          <w:sz w:val="24"/>
          <w:szCs w:val="24"/>
        </w:rPr>
        <w:t>t</w:t>
      </w:r>
      <w:r w:rsidRPr="004E6649">
        <w:rPr>
          <w:rFonts w:eastAsia="Franklin Gothic Book" w:cstheme="minorHAnsi"/>
          <w:i/>
          <w:sz w:val="24"/>
          <w:szCs w:val="24"/>
        </w:rPr>
        <w:t>e</w:t>
      </w:r>
      <w:r w:rsidRPr="004E6649">
        <w:rPr>
          <w:rFonts w:eastAsia="Franklin Gothic Book" w:cstheme="minorHAnsi"/>
          <w:i/>
          <w:spacing w:val="-1"/>
          <w:sz w:val="24"/>
          <w:szCs w:val="24"/>
        </w:rPr>
        <w:t>r</w:t>
      </w:r>
      <w:r w:rsidRPr="004E6649">
        <w:rPr>
          <w:rFonts w:eastAsia="Franklin Gothic Book" w:cstheme="minorHAnsi"/>
          <w:i/>
          <w:sz w:val="24"/>
          <w:szCs w:val="24"/>
        </w:rPr>
        <w:t>mi</w:t>
      </w:r>
      <w:r w:rsidRPr="004E6649">
        <w:rPr>
          <w:rFonts w:eastAsia="Franklin Gothic Book" w:cstheme="minorHAnsi"/>
          <w:i/>
          <w:spacing w:val="-1"/>
          <w:sz w:val="24"/>
          <w:szCs w:val="24"/>
        </w:rPr>
        <w:t>n</w:t>
      </w:r>
      <w:r w:rsidRPr="004E6649">
        <w:rPr>
          <w:rFonts w:eastAsia="Franklin Gothic Book" w:cstheme="minorHAnsi"/>
          <w:i/>
          <w:sz w:val="24"/>
          <w:szCs w:val="24"/>
        </w:rPr>
        <w:t>ed</w:t>
      </w:r>
      <w:r w:rsidRPr="004E6649">
        <w:rPr>
          <w:rFonts w:eastAsia="Franklin Gothic Book" w:cstheme="minorHAnsi"/>
          <w:i/>
          <w:spacing w:val="-8"/>
          <w:sz w:val="24"/>
          <w:szCs w:val="24"/>
        </w:rPr>
        <w:t xml:space="preserve"> </w:t>
      </w:r>
      <w:r w:rsidRPr="004E6649">
        <w:rPr>
          <w:rFonts w:eastAsia="Franklin Gothic Book" w:cstheme="minorHAnsi"/>
          <w:i/>
          <w:spacing w:val="-1"/>
          <w:sz w:val="24"/>
          <w:szCs w:val="24"/>
        </w:rPr>
        <w:t>c</w:t>
      </w:r>
      <w:r w:rsidRPr="004E6649">
        <w:rPr>
          <w:rFonts w:eastAsia="Franklin Gothic Book" w:cstheme="minorHAnsi"/>
          <w:i/>
          <w:sz w:val="24"/>
          <w:szCs w:val="24"/>
        </w:rPr>
        <w:t>o</w:t>
      </w:r>
      <w:r w:rsidRPr="004E6649">
        <w:rPr>
          <w:rFonts w:eastAsia="Franklin Gothic Book" w:cstheme="minorHAnsi"/>
          <w:i/>
          <w:spacing w:val="-2"/>
          <w:sz w:val="24"/>
          <w:szCs w:val="24"/>
        </w:rPr>
        <w:t>nt</w:t>
      </w:r>
      <w:r w:rsidRPr="004E6649">
        <w:rPr>
          <w:rFonts w:eastAsia="Franklin Gothic Book" w:cstheme="minorHAnsi"/>
          <w:i/>
          <w:sz w:val="24"/>
          <w:szCs w:val="24"/>
        </w:rPr>
        <w:t>ribu</w:t>
      </w:r>
      <w:r w:rsidRPr="004E6649">
        <w:rPr>
          <w:rFonts w:eastAsia="Franklin Gothic Book" w:cstheme="minorHAnsi"/>
          <w:i/>
          <w:spacing w:val="-1"/>
          <w:sz w:val="24"/>
          <w:szCs w:val="24"/>
        </w:rPr>
        <w:t>t</w:t>
      </w:r>
      <w:r w:rsidRPr="004E6649">
        <w:rPr>
          <w:rFonts w:eastAsia="Franklin Gothic Book" w:cstheme="minorHAnsi"/>
          <w:i/>
          <w:sz w:val="24"/>
          <w:szCs w:val="24"/>
        </w:rPr>
        <w:t>i</w:t>
      </w:r>
      <w:r w:rsidRPr="004E6649">
        <w:rPr>
          <w:rFonts w:eastAsia="Franklin Gothic Book" w:cstheme="minorHAnsi"/>
          <w:i/>
          <w:spacing w:val="-1"/>
          <w:sz w:val="24"/>
          <w:szCs w:val="24"/>
        </w:rPr>
        <w:t>o</w:t>
      </w:r>
      <w:r w:rsidRPr="004E6649">
        <w:rPr>
          <w:rFonts w:eastAsia="Franklin Gothic Book" w:cstheme="minorHAnsi"/>
          <w:i/>
          <w:spacing w:val="-2"/>
          <w:sz w:val="24"/>
          <w:szCs w:val="24"/>
        </w:rPr>
        <w:t>n</w:t>
      </w:r>
      <w:r w:rsidRPr="004E6649">
        <w:rPr>
          <w:rFonts w:eastAsia="Franklin Gothic Book" w:cstheme="minorHAnsi"/>
          <w:i/>
          <w:spacing w:val="-1"/>
          <w:sz w:val="24"/>
          <w:szCs w:val="24"/>
        </w:rPr>
        <w:t>s</w:t>
      </w:r>
      <w:r w:rsidRPr="004E6649">
        <w:rPr>
          <w:rFonts w:eastAsia="Franklin Gothic Book" w:cstheme="minorHAnsi"/>
          <w:i/>
          <w:sz w:val="24"/>
          <w:szCs w:val="24"/>
        </w:rPr>
        <w:t>:</w:t>
      </w:r>
    </w:p>
    <w:p w14:paraId="50F27BC0" w14:textId="77777777" w:rsidR="001B6918" w:rsidRPr="004E6649" w:rsidRDefault="001B6918" w:rsidP="001B6918">
      <w:pPr>
        <w:rPr>
          <w:rFonts w:cstheme="minorHAnsi"/>
          <w:sz w:val="12"/>
          <w:szCs w:val="24"/>
        </w:rPr>
      </w:pPr>
    </w:p>
    <w:p w14:paraId="01824E4B" w14:textId="77777777" w:rsidR="001B6918" w:rsidRPr="004E6649" w:rsidRDefault="001B6918" w:rsidP="001B6918">
      <w:pPr>
        <w:rPr>
          <w:rFonts w:eastAsia="Franklin Gothic Book" w:cstheme="minorHAnsi"/>
          <w:sz w:val="24"/>
          <w:szCs w:val="24"/>
        </w:rPr>
      </w:pPr>
      <w:r w:rsidRPr="004E6649">
        <w:rPr>
          <w:rFonts w:eastAsia="Franklin Gothic Book" w:cstheme="minorHAnsi"/>
          <w:spacing w:val="-1"/>
          <w:sz w:val="24"/>
          <w:szCs w:val="24"/>
        </w:rPr>
        <w:t>T</w:t>
      </w:r>
      <w:r w:rsidRPr="004E6649">
        <w:rPr>
          <w:rFonts w:eastAsia="Franklin Gothic Book" w:cstheme="minorHAnsi"/>
          <w:sz w:val="24"/>
          <w:szCs w:val="24"/>
        </w:rPr>
        <w:t>he</w:t>
      </w:r>
      <w:r w:rsidRPr="004E6649">
        <w:rPr>
          <w:rFonts w:eastAsia="Franklin Gothic Book" w:cstheme="minorHAnsi"/>
          <w:spacing w:val="16"/>
          <w:sz w:val="24"/>
          <w:szCs w:val="24"/>
        </w:rPr>
        <w:t xml:space="preserve"> </w:t>
      </w:r>
      <w:r w:rsidRPr="004E6649">
        <w:rPr>
          <w:rFonts w:eastAsia="Franklin Gothic Book" w:cstheme="minorHAnsi"/>
          <w:spacing w:val="-1"/>
          <w:sz w:val="24"/>
          <w:szCs w:val="24"/>
        </w:rPr>
        <w:t>U</w:t>
      </w:r>
      <w:r w:rsidRPr="004E6649">
        <w:rPr>
          <w:rFonts w:eastAsia="Franklin Gothic Book" w:cstheme="minorHAnsi"/>
          <w:sz w:val="24"/>
          <w:szCs w:val="24"/>
        </w:rPr>
        <w:t>ni</w:t>
      </w:r>
      <w:r w:rsidRPr="004E6649">
        <w:rPr>
          <w:rFonts w:eastAsia="Franklin Gothic Book" w:cstheme="minorHAnsi"/>
          <w:spacing w:val="-1"/>
          <w:sz w:val="24"/>
          <w:szCs w:val="24"/>
        </w:rPr>
        <w:t>v</w:t>
      </w:r>
      <w:r w:rsidRPr="004E6649">
        <w:rPr>
          <w:rFonts w:eastAsia="Franklin Gothic Book" w:cstheme="minorHAnsi"/>
          <w:sz w:val="24"/>
          <w:szCs w:val="24"/>
        </w:rPr>
        <w:t>e</w:t>
      </w:r>
      <w:r w:rsidRPr="004E6649">
        <w:rPr>
          <w:rFonts w:eastAsia="Franklin Gothic Book" w:cstheme="minorHAnsi"/>
          <w:spacing w:val="-2"/>
          <w:sz w:val="24"/>
          <w:szCs w:val="24"/>
        </w:rPr>
        <w:t>r</w:t>
      </w:r>
      <w:r w:rsidRPr="004E6649">
        <w:rPr>
          <w:rFonts w:eastAsia="Franklin Gothic Book" w:cstheme="minorHAnsi"/>
          <w:spacing w:val="1"/>
          <w:sz w:val="24"/>
          <w:szCs w:val="24"/>
        </w:rPr>
        <w:t>s</w:t>
      </w:r>
      <w:r w:rsidRPr="004E6649">
        <w:rPr>
          <w:rFonts w:eastAsia="Franklin Gothic Book" w:cstheme="minorHAnsi"/>
          <w:sz w:val="24"/>
          <w:szCs w:val="24"/>
        </w:rPr>
        <w:t>ity</w:t>
      </w:r>
      <w:r w:rsidRPr="004E6649">
        <w:rPr>
          <w:rFonts w:eastAsia="Franklin Gothic Book" w:cstheme="minorHAnsi"/>
          <w:spacing w:val="16"/>
          <w:sz w:val="24"/>
          <w:szCs w:val="24"/>
        </w:rPr>
        <w:t xml:space="preserve"> </w:t>
      </w:r>
      <w:r w:rsidRPr="004E6649">
        <w:rPr>
          <w:rFonts w:eastAsia="Franklin Gothic Book" w:cstheme="minorHAnsi"/>
          <w:spacing w:val="-1"/>
          <w:sz w:val="24"/>
          <w:szCs w:val="24"/>
        </w:rPr>
        <w:t>o</w:t>
      </w:r>
      <w:r w:rsidRPr="004E6649">
        <w:rPr>
          <w:rFonts w:eastAsia="Franklin Gothic Book" w:cstheme="minorHAnsi"/>
          <w:sz w:val="24"/>
          <w:szCs w:val="24"/>
        </w:rPr>
        <w:t>f</w:t>
      </w:r>
      <w:r w:rsidRPr="004E6649">
        <w:rPr>
          <w:rFonts w:eastAsia="Franklin Gothic Book" w:cstheme="minorHAnsi"/>
          <w:spacing w:val="17"/>
          <w:sz w:val="24"/>
          <w:szCs w:val="24"/>
        </w:rPr>
        <w:t xml:space="preserve"> </w:t>
      </w:r>
      <w:r w:rsidRPr="004E6649">
        <w:rPr>
          <w:rFonts w:eastAsia="Franklin Gothic Book" w:cstheme="minorHAnsi"/>
          <w:sz w:val="24"/>
          <w:szCs w:val="24"/>
        </w:rPr>
        <w:t>Maine</w:t>
      </w:r>
      <w:r w:rsidRPr="004E6649">
        <w:rPr>
          <w:rFonts w:eastAsia="Franklin Gothic Book" w:cstheme="minorHAnsi"/>
          <w:spacing w:val="16"/>
          <w:sz w:val="24"/>
          <w:szCs w:val="24"/>
        </w:rPr>
        <w:t xml:space="preserve"> </w:t>
      </w:r>
      <w:r w:rsidRPr="004E6649">
        <w:rPr>
          <w:rFonts w:eastAsia="Franklin Gothic Book" w:cstheme="minorHAnsi"/>
          <w:sz w:val="24"/>
          <w:szCs w:val="24"/>
        </w:rPr>
        <w:t>S</w:t>
      </w:r>
      <w:r w:rsidRPr="004E6649">
        <w:rPr>
          <w:rFonts w:eastAsia="Franklin Gothic Book" w:cstheme="minorHAnsi"/>
          <w:spacing w:val="-2"/>
          <w:sz w:val="24"/>
          <w:szCs w:val="24"/>
        </w:rPr>
        <w:t>y</w:t>
      </w:r>
      <w:r w:rsidRPr="004E6649">
        <w:rPr>
          <w:rFonts w:eastAsia="Franklin Gothic Book" w:cstheme="minorHAnsi"/>
          <w:spacing w:val="1"/>
          <w:sz w:val="24"/>
          <w:szCs w:val="24"/>
        </w:rPr>
        <w:t>s</w:t>
      </w:r>
      <w:r w:rsidRPr="004E6649">
        <w:rPr>
          <w:rFonts w:eastAsia="Franklin Gothic Book" w:cstheme="minorHAnsi"/>
          <w:sz w:val="24"/>
          <w:szCs w:val="24"/>
        </w:rPr>
        <w:t>tem</w:t>
      </w:r>
      <w:r w:rsidRPr="004E6649">
        <w:rPr>
          <w:rFonts w:eastAsia="Franklin Gothic Book" w:cstheme="minorHAnsi"/>
          <w:spacing w:val="20"/>
          <w:sz w:val="24"/>
          <w:szCs w:val="24"/>
        </w:rPr>
        <w:t xml:space="preserve"> </w:t>
      </w:r>
      <w:r w:rsidRPr="004E6649">
        <w:rPr>
          <w:rFonts w:eastAsia="Franklin Gothic Book" w:cstheme="minorHAnsi"/>
          <w:sz w:val="24"/>
          <w:szCs w:val="24"/>
        </w:rPr>
        <w:t>Incentive</w:t>
      </w:r>
      <w:r w:rsidRPr="004E6649">
        <w:rPr>
          <w:rFonts w:eastAsia="Franklin Gothic Book" w:cstheme="minorHAnsi"/>
          <w:spacing w:val="16"/>
          <w:sz w:val="24"/>
          <w:szCs w:val="24"/>
        </w:rPr>
        <w:t xml:space="preserve"> </w:t>
      </w:r>
      <w:r w:rsidRPr="004E6649">
        <w:rPr>
          <w:rFonts w:eastAsia="Franklin Gothic Book" w:cstheme="minorHAnsi"/>
          <w:sz w:val="24"/>
          <w:szCs w:val="24"/>
        </w:rPr>
        <w:t>Reti</w:t>
      </w:r>
      <w:r w:rsidRPr="004E6649">
        <w:rPr>
          <w:rFonts w:eastAsia="Franklin Gothic Book" w:cstheme="minorHAnsi"/>
          <w:spacing w:val="-1"/>
          <w:sz w:val="24"/>
          <w:szCs w:val="24"/>
        </w:rPr>
        <w:t>r</w:t>
      </w:r>
      <w:r w:rsidRPr="004E6649">
        <w:rPr>
          <w:rFonts w:eastAsia="Franklin Gothic Book" w:cstheme="minorHAnsi"/>
          <w:sz w:val="24"/>
          <w:szCs w:val="24"/>
        </w:rPr>
        <w:t>ement</w:t>
      </w:r>
      <w:r w:rsidRPr="004E6649">
        <w:rPr>
          <w:rFonts w:eastAsia="Franklin Gothic Book" w:cstheme="minorHAnsi"/>
          <w:spacing w:val="20"/>
          <w:sz w:val="24"/>
          <w:szCs w:val="24"/>
        </w:rPr>
        <w:t xml:space="preserve"> </w:t>
      </w:r>
      <w:r w:rsidRPr="004E6649">
        <w:rPr>
          <w:rFonts w:eastAsia="Franklin Gothic Book" w:cstheme="minorHAnsi"/>
          <w:spacing w:val="-1"/>
          <w:sz w:val="24"/>
          <w:szCs w:val="24"/>
        </w:rPr>
        <w:t>P</w:t>
      </w:r>
      <w:r w:rsidRPr="004E6649">
        <w:rPr>
          <w:rFonts w:eastAsia="Franklin Gothic Book" w:cstheme="minorHAnsi"/>
          <w:sz w:val="24"/>
          <w:szCs w:val="24"/>
        </w:rPr>
        <w:t>lan</w:t>
      </w:r>
      <w:r w:rsidRPr="004E6649">
        <w:rPr>
          <w:rFonts w:eastAsia="Franklin Gothic Book" w:cstheme="minorHAnsi"/>
          <w:spacing w:val="17"/>
          <w:sz w:val="24"/>
          <w:szCs w:val="24"/>
        </w:rPr>
        <w:t xml:space="preserve"> </w:t>
      </w:r>
      <w:r w:rsidRPr="004E6649">
        <w:rPr>
          <w:rFonts w:eastAsia="Franklin Gothic Book" w:cstheme="minorHAnsi"/>
          <w:sz w:val="24"/>
          <w:szCs w:val="24"/>
        </w:rPr>
        <w:t>is</w:t>
      </w:r>
      <w:r w:rsidRPr="004E6649">
        <w:rPr>
          <w:rFonts w:eastAsia="Franklin Gothic Book" w:cstheme="minorHAnsi"/>
          <w:spacing w:val="20"/>
          <w:sz w:val="24"/>
          <w:szCs w:val="24"/>
        </w:rPr>
        <w:t xml:space="preserve"> </w:t>
      </w:r>
      <w:r w:rsidRPr="004E6649">
        <w:rPr>
          <w:rFonts w:eastAsia="Franklin Gothic Book" w:cstheme="minorHAnsi"/>
          <w:sz w:val="24"/>
          <w:szCs w:val="24"/>
        </w:rPr>
        <w:t>fun</w:t>
      </w:r>
      <w:r w:rsidRPr="004E6649">
        <w:rPr>
          <w:rFonts w:eastAsia="Franklin Gothic Book" w:cstheme="minorHAnsi"/>
          <w:spacing w:val="1"/>
          <w:sz w:val="24"/>
          <w:szCs w:val="24"/>
        </w:rPr>
        <w:t>d</w:t>
      </w:r>
      <w:r w:rsidRPr="004E6649">
        <w:rPr>
          <w:rFonts w:eastAsia="Franklin Gothic Book" w:cstheme="minorHAnsi"/>
          <w:sz w:val="24"/>
          <w:szCs w:val="24"/>
        </w:rPr>
        <w:t>ed</w:t>
      </w:r>
      <w:r w:rsidRPr="004E6649">
        <w:rPr>
          <w:rFonts w:eastAsia="Franklin Gothic Book" w:cstheme="minorHAnsi"/>
          <w:spacing w:val="17"/>
          <w:sz w:val="24"/>
          <w:szCs w:val="24"/>
        </w:rPr>
        <w:t xml:space="preserve"> </w:t>
      </w:r>
      <w:r w:rsidRPr="004E6649">
        <w:rPr>
          <w:rFonts w:eastAsia="Franklin Gothic Book" w:cstheme="minorHAnsi"/>
          <w:spacing w:val="-1"/>
          <w:sz w:val="24"/>
          <w:szCs w:val="24"/>
        </w:rPr>
        <w:t>o</w:t>
      </w:r>
      <w:r w:rsidRPr="004E6649">
        <w:rPr>
          <w:rFonts w:eastAsia="Franklin Gothic Book" w:cstheme="minorHAnsi"/>
          <w:sz w:val="24"/>
          <w:szCs w:val="24"/>
        </w:rPr>
        <w:t>n</w:t>
      </w:r>
      <w:r w:rsidRPr="004E6649">
        <w:rPr>
          <w:rFonts w:eastAsia="Franklin Gothic Book" w:cstheme="minorHAnsi"/>
          <w:spacing w:val="19"/>
          <w:sz w:val="24"/>
          <w:szCs w:val="24"/>
        </w:rPr>
        <w:t xml:space="preserve"> </w:t>
      </w:r>
      <w:r w:rsidRPr="004E6649">
        <w:rPr>
          <w:rFonts w:eastAsia="Franklin Gothic Book" w:cstheme="minorHAnsi"/>
          <w:sz w:val="24"/>
          <w:szCs w:val="24"/>
        </w:rPr>
        <w:t>a</w:t>
      </w:r>
      <w:r w:rsidRPr="004E6649">
        <w:rPr>
          <w:rFonts w:eastAsia="Franklin Gothic Book" w:cstheme="minorHAnsi"/>
          <w:spacing w:val="17"/>
          <w:sz w:val="24"/>
          <w:szCs w:val="24"/>
        </w:rPr>
        <w:t xml:space="preserve"> </w:t>
      </w:r>
      <w:r w:rsidRPr="004E6649">
        <w:rPr>
          <w:rFonts w:eastAsia="Franklin Gothic Book" w:cstheme="minorHAnsi"/>
          <w:sz w:val="24"/>
          <w:szCs w:val="24"/>
        </w:rPr>
        <w:t>te</w:t>
      </w:r>
      <w:r w:rsidRPr="004E6649">
        <w:rPr>
          <w:rFonts w:eastAsia="Franklin Gothic Book" w:cstheme="minorHAnsi"/>
          <w:spacing w:val="-2"/>
          <w:sz w:val="24"/>
          <w:szCs w:val="24"/>
        </w:rPr>
        <w:t>r</w:t>
      </w:r>
      <w:r w:rsidRPr="004E6649">
        <w:rPr>
          <w:rFonts w:eastAsia="Franklin Gothic Book" w:cstheme="minorHAnsi"/>
          <w:sz w:val="24"/>
          <w:szCs w:val="24"/>
        </w:rPr>
        <w:t>minal</w:t>
      </w:r>
      <w:r w:rsidRPr="004E6649">
        <w:rPr>
          <w:rFonts w:eastAsia="Franklin Gothic Book" w:cstheme="minorHAnsi"/>
          <w:spacing w:val="20"/>
          <w:sz w:val="24"/>
          <w:szCs w:val="24"/>
        </w:rPr>
        <w:t xml:space="preserve"> </w:t>
      </w:r>
      <w:r w:rsidRPr="004E6649">
        <w:rPr>
          <w:rFonts w:eastAsia="Franklin Gothic Book" w:cstheme="minorHAnsi"/>
          <w:sz w:val="24"/>
          <w:szCs w:val="24"/>
        </w:rPr>
        <w:t>fun</w:t>
      </w:r>
      <w:r w:rsidRPr="004E6649">
        <w:rPr>
          <w:rFonts w:eastAsia="Franklin Gothic Book" w:cstheme="minorHAnsi"/>
          <w:spacing w:val="1"/>
          <w:sz w:val="24"/>
          <w:szCs w:val="24"/>
        </w:rPr>
        <w:t>d</w:t>
      </w:r>
      <w:r w:rsidRPr="004E6649">
        <w:rPr>
          <w:rFonts w:eastAsia="Franklin Gothic Book" w:cstheme="minorHAnsi"/>
          <w:sz w:val="24"/>
          <w:szCs w:val="24"/>
        </w:rPr>
        <w:t>ing</w:t>
      </w:r>
      <w:r w:rsidRPr="004E6649">
        <w:rPr>
          <w:rFonts w:eastAsia="Franklin Gothic Book" w:cstheme="minorHAnsi"/>
          <w:spacing w:val="17"/>
          <w:sz w:val="24"/>
          <w:szCs w:val="24"/>
        </w:rPr>
        <w:t xml:space="preserve"> </w:t>
      </w:r>
      <w:r w:rsidRPr="004E6649">
        <w:rPr>
          <w:rFonts w:eastAsia="Franklin Gothic Book" w:cstheme="minorHAnsi"/>
          <w:sz w:val="24"/>
          <w:szCs w:val="24"/>
        </w:rPr>
        <w:t>ba</w:t>
      </w:r>
      <w:r w:rsidRPr="004E6649">
        <w:rPr>
          <w:rFonts w:eastAsia="Franklin Gothic Book" w:cstheme="minorHAnsi"/>
          <w:spacing w:val="1"/>
          <w:sz w:val="24"/>
          <w:szCs w:val="24"/>
        </w:rPr>
        <w:t>s</w:t>
      </w:r>
      <w:r w:rsidRPr="004E6649">
        <w:rPr>
          <w:rFonts w:eastAsia="Franklin Gothic Book" w:cstheme="minorHAnsi"/>
          <w:sz w:val="24"/>
          <w:szCs w:val="24"/>
        </w:rPr>
        <w:t>is</w:t>
      </w:r>
      <w:r w:rsidRPr="004E6649">
        <w:rPr>
          <w:rFonts w:eastAsia="Franklin Gothic Book" w:cstheme="minorHAnsi"/>
          <w:spacing w:val="19"/>
          <w:sz w:val="24"/>
          <w:szCs w:val="24"/>
        </w:rPr>
        <w:t xml:space="preserve"> </w:t>
      </w:r>
      <w:r w:rsidRPr="004E6649">
        <w:rPr>
          <w:rFonts w:eastAsia="Franklin Gothic Book" w:cstheme="minorHAnsi"/>
          <w:sz w:val="24"/>
          <w:szCs w:val="24"/>
        </w:rPr>
        <w:t>-</w:t>
      </w:r>
      <w:r w:rsidRPr="004E6649">
        <w:rPr>
          <w:rFonts w:eastAsia="Franklin Gothic Book" w:cstheme="minorHAnsi"/>
          <w:spacing w:val="18"/>
          <w:sz w:val="24"/>
          <w:szCs w:val="24"/>
        </w:rPr>
        <w:t xml:space="preserve"> </w:t>
      </w:r>
      <w:r w:rsidRPr="004E6649">
        <w:rPr>
          <w:rFonts w:eastAsia="Franklin Gothic Book" w:cstheme="minorHAnsi"/>
          <w:sz w:val="24"/>
          <w:szCs w:val="24"/>
        </w:rPr>
        <w:t>fun</w:t>
      </w:r>
      <w:r w:rsidRPr="004E6649">
        <w:rPr>
          <w:rFonts w:eastAsia="Franklin Gothic Book" w:cstheme="minorHAnsi"/>
          <w:spacing w:val="1"/>
          <w:sz w:val="24"/>
          <w:szCs w:val="24"/>
        </w:rPr>
        <w:t>d</w:t>
      </w:r>
      <w:r w:rsidRPr="004E6649">
        <w:rPr>
          <w:rFonts w:eastAsia="Franklin Gothic Book" w:cstheme="minorHAnsi"/>
          <w:sz w:val="24"/>
          <w:szCs w:val="24"/>
        </w:rPr>
        <w:t>ed</w:t>
      </w:r>
      <w:r w:rsidRPr="004E6649">
        <w:rPr>
          <w:rFonts w:eastAsia="Franklin Gothic Book" w:cstheme="minorHAnsi"/>
          <w:w w:val="99"/>
          <w:sz w:val="24"/>
          <w:szCs w:val="24"/>
        </w:rPr>
        <w:t xml:space="preserve"> </w:t>
      </w:r>
      <w:r w:rsidRPr="004E6649">
        <w:rPr>
          <w:rFonts w:eastAsia="Franklin Gothic Book" w:cstheme="minorHAnsi"/>
          <w:sz w:val="24"/>
          <w:szCs w:val="24"/>
        </w:rPr>
        <w:t>when</w:t>
      </w:r>
      <w:r w:rsidRPr="004E6649">
        <w:rPr>
          <w:rFonts w:eastAsia="Franklin Gothic Book" w:cstheme="minorHAnsi"/>
          <w:spacing w:val="-7"/>
          <w:sz w:val="24"/>
          <w:szCs w:val="24"/>
        </w:rPr>
        <w:t xml:space="preserve"> </w:t>
      </w:r>
      <w:r w:rsidRPr="004E6649">
        <w:rPr>
          <w:rFonts w:eastAsia="Franklin Gothic Book" w:cstheme="minorHAnsi"/>
          <w:sz w:val="24"/>
          <w:szCs w:val="24"/>
        </w:rPr>
        <w:t>costs</w:t>
      </w:r>
      <w:r w:rsidRPr="004E6649">
        <w:rPr>
          <w:rFonts w:eastAsia="Franklin Gothic Book" w:cstheme="minorHAnsi"/>
          <w:spacing w:val="-5"/>
          <w:sz w:val="24"/>
          <w:szCs w:val="24"/>
        </w:rPr>
        <w:t xml:space="preserve"> </w:t>
      </w:r>
      <w:r w:rsidRPr="004E6649">
        <w:rPr>
          <w:rFonts w:eastAsia="Franklin Gothic Book" w:cstheme="minorHAnsi"/>
          <w:sz w:val="24"/>
          <w:szCs w:val="24"/>
        </w:rPr>
        <w:t>become</w:t>
      </w:r>
      <w:r w:rsidRPr="004E6649">
        <w:rPr>
          <w:rFonts w:eastAsia="Franklin Gothic Book" w:cstheme="minorHAnsi"/>
          <w:spacing w:val="-7"/>
          <w:sz w:val="24"/>
          <w:szCs w:val="24"/>
        </w:rPr>
        <w:t xml:space="preserve"> </w:t>
      </w:r>
      <w:r w:rsidRPr="004E6649">
        <w:rPr>
          <w:rFonts w:eastAsia="Franklin Gothic Book" w:cstheme="minorHAnsi"/>
          <w:sz w:val="24"/>
          <w:szCs w:val="24"/>
        </w:rPr>
        <w:t>due</w:t>
      </w:r>
      <w:r w:rsidRPr="004E6649">
        <w:rPr>
          <w:rFonts w:eastAsia="Franklin Gothic Book" w:cstheme="minorHAnsi"/>
          <w:spacing w:val="-6"/>
          <w:sz w:val="24"/>
          <w:szCs w:val="24"/>
        </w:rPr>
        <w:t xml:space="preserve"> </w:t>
      </w:r>
      <w:r w:rsidRPr="004E6649">
        <w:rPr>
          <w:rFonts w:eastAsia="Franklin Gothic Book" w:cstheme="minorHAnsi"/>
          <w:sz w:val="24"/>
          <w:szCs w:val="24"/>
        </w:rPr>
        <w:t>and</w:t>
      </w:r>
      <w:r w:rsidRPr="004E6649">
        <w:rPr>
          <w:rFonts w:eastAsia="Franklin Gothic Book" w:cstheme="minorHAnsi"/>
          <w:spacing w:val="-5"/>
          <w:sz w:val="24"/>
          <w:szCs w:val="24"/>
        </w:rPr>
        <w:t xml:space="preserve"> </w:t>
      </w:r>
      <w:r w:rsidRPr="004E6649">
        <w:rPr>
          <w:rFonts w:eastAsia="Franklin Gothic Book" w:cstheme="minorHAnsi"/>
          <w:spacing w:val="-1"/>
          <w:sz w:val="24"/>
          <w:szCs w:val="24"/>
        </w:rPr>
        <w:t>p</w:t>
      </w:r>
      <w:r w:rsidRPr="004E6649">
        <w:rPr>
          <w:rFonts w:eastAsia="Franklin Gothic Book" w:cstheme="minorHAnsi"/>
          <w:sz w:val="24"/>
          <w:szCs w:val="24"/>
        </w:rPr>
        <w:t>a</w:t>
      </w:r>
      <w:r w:rsidRPr="004E6649">
        <w:rPr>
          <w:rFonts w:eastAsia="Franklin Gothic Book" w:cstheme="minorHAnsi"/>
          <w:spacing w:val="-1"/>
          <w:sz w:val="24"/>
          <w:szCs w:val="24"/>
        </w:rPr>
        <w:t>y</w:t>
      </w:r>
      <w:r w:rsidRPr="004E6649">
        <w:rPr>
          <w:rFonts w:eastAsia="Franklin Gothic Book" w:cstheme="minorHAnsi"/>
          <w:sz w:val="24"/>
          <w:szCs w:val="24"/>
        </w:rPr>
        <w:t>a</w:t>
      </w:r>
      <w:r w:rsidRPr="004E6649">
        <w:rPr>
          <w:rFonts w:eastAsia="Franklin Gothic Book" w:cstheme="minorHAnsi"/>
          <w:spacing w:val="1"/>
          <w:sz w:val="24"/>
          <w:szCs w:val="24"/>
        </w:rPr>
        <w:t>b</w:t>
      </w:r>
      <w:r w:rsidRPr="004E6649">
        <w:rPr>
          <w:rFonts w:eastAsia="Franklin Gothic Book" w:cstheme="minorHAnsi"/>
          <w:sz w:val="24"/>
          <w:szCs w:val="24"/>
        </w:rPr>
        <w:t>l</w:t>
      </w:r>
      <w:r w:rsidRPr="004E6649">
        <w:rPr>
          <w:rFonts w:eastAsia="Franklin Gothic Book" w:cstheme="minorHAnsi"/>
          <w:spacing w:val="-1"/>
          <w:sz w:val="24"/>
          <w:szCs w:val="24"/>
        </w:rPr>
        <w:t>e</w:t>
      </w:r>
      <w:r w:rsidRPr="004E6649">
        <w:rPr>
          <w:rFonts w:eastAsia="Franklin Gothic Book" w:cstheme="minorHAnsi"/>
          <w:sz w:val="24"/>
          <w:szCs w:val="24"/>
        </w:rPr>
        <w:t>.</w:t>
      </w:r>
    </w:p>
    <w:p w14:paraId="7F02490B" w14:textId="77777777" w:rsidR="001B6918" w:rsidRPr="004E6649" w:rsidRDefault="001B6918" w:rsidP="001B6918">
      <w:pPr>
        <w:rPr>
          <w:rFonts w:eastAsia="Franklin Gothic Book" w:cstheme="minorHAnsi"/>
          <w:sz w:val="24"/>
          <w:szCs w:val="24"/>
        </w:rPr>
      </w:pPr>
    </w:p>
    <w:tbl>
      <w:tblPr>
        <w:tblStyle w:val="TableGrid2"/>
        <w:tblW w:w="476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ctuarial cost method since 2015 has been entry age normal.  Asset valuation method has been the market value of assets.  Inflation has decreased from 3.25% in 2015 to 2.6% in 2019.  Salary and payroll increases are assumed to be 3.5% per year.  The investment rate of return/discount rate has been 6.25% since 2016."/>
      </w:tblPr>
      <w:tblGrid>
        <w:gridCol w:w="2961"/>
        <w:gridCol w:w="6498"/>
      </w:tblGrid>
      <w:tr w:rsidR="001B6918" w:rsidRPr="004E6649" w14:paraId="76EF6773" w14:textId="77777777" w:rsidTr="00730ECF">
        <w:trPr>
          <w:trHeight w:val="246"/>
          <w:tblHeader/>
          <w:jc w:val="center"/>
        </w:trPr>
        <w:tc>
          <w:tcPr>
            <w:tcW w:w="1565" w:type="pct"/>
          </w:tcPr>
          <w:p w14:paraId="15B914E0" w14:textId="77777777" w:rsidR="001B6918" w:rsidRPr="004E6649" w:rsidRDefault="001B6918" w:rsidP="00730ECF">
            <w:pPr>
              <w:widowControl w:val="0"/>
              <w:rPr>
                <w:rFonts w:cstheme="minorHAnsi"/>
                <w:sz w:val="24"/>
                <w:szCs w:val="20"/>
              </w:rPr>
            </w:pPr>
            <w:r w:rsidRPr="004E6649">
              <w:rPr>
                <w:rFonts w:eastAsia="Franklin Gothic Book" w:cstheme="minorHAnsi"/>
                <w:spacing w:val="-2"/>
                <w:sz w:val="24"/>
              </w:rPr>
              <w:t>A</w:t>
            </w:r>
            <w:r w:rsidRPr="004E6649">
              <w:rPr>
                <w:rFonts w:eastAsia="Franklin Gothic Book" w:cstheme="minorHAnsi"/>
                <w:sz w:val="24"/>
              </w:rPr>
              <w:t>ctua</w:t>
            </w:r>
            <w:r w:rsidRPr="004E6649">
              <w:rPr>
                <w:rFonts w:eastAsia="Franklin Gothic Book" w:cstheme="minorHAnsi"/>
                <w:spacing w:val="-1"/>
                <w:sz w:val="24"/>
              </w:rPr>
              <w:t>r</w:t>
            </w:r>
            <w:r w:rsidRPr="004E6649">
              <w:rPr>
                <w:rFonts w:eastAsia="Franklin Gothic Book" w:cstheme="minorHAnsi"/>
                <w:sz w:val="24"/>
              </w:rPr>
              <w:t>ial</w:t>
            </w:r>
            <w:r w:rsidRPr="004E6649">
              <w:rPr>
                <w:rFonts w:eastAsia="Franklin Gothic Book" w:cstheme="minorHAnsi"/>
                <w:spacing w:val="-2"/>
                <w:sz w:val="24"/>
              </w:rPr>
              <w:t xml:space="preserve"> </w:t>
            </w:r>
            <w:r w:rsidRPr="004E6649">
              <w:rPr>
                <w:rFonts w:eastAsia="Franklin Gothic Book" w:cstheme="minorHAnsi"/>
                <w:spacing w:val="1"/>
                <w:sz w:val="24"/>
              </w:rPr>
              <w:t>c</w:t>
            </w:r>
            <w:r w:rsidRPr="004E6649">
              <w:rPr>
                <w:rFonts w:eastAsia="Franklin Gothic Book" w:cstheme="minorHAnsi"/>
                <w:sz w:val="24"/>
              </w:rPr>
              <w:t>ost method</w:t>
            </w:r>
          </w:p>
        </w:tc>
        <w:tc>
          <w:tcPr>
            <w:tcW w:w="3435" w:type="pct"/>
          </w:tcPr>
          <w:p w14:paraId="78628759" w14:textId="77777777" w:rsidR="001B6918" w:rsidRPr="004E6649" w:rsidRDefault="001B6918" w:rsidP="00730ECF">
            <w:pPr>
              <w:widowControl w:val="0"/>
              <w:rPr>
                <w:rFonts w:cstheme="minorHAnsi"/>
                <w:sz w:val="16"/>
                <w:szCs w:val="16"/>
              </w:rPr>
            </w:pPr>
            <w:r w:rsidRPr="004E6649">
              <w:rPr>
                <w:rFonts w:eastAsia="Franklin Gothic Book" w:cstheme="minorHAnsi"/>
                <w:spacing w:val="-2"/>
                <w:sz w:val="24"/>
              </w:rPr>
              <w:t>E</w:t>
            </w:r>
            <w:r w:rsidRPr="004E6649">
              <w:rPr>
                <w:rFonts w:eastAsia="Franklin Gothic Book" w:cstheme="minorHAnsi"/>
                <w:sz w:val="24"/>
              </w:rPr>
              <w:t>nt</w:t>
            </w:r>
            <w:r w:rsidRPr="004E6649">
              <w:rPr>
                <w:rFonts w:eastAsia="Franklin Gothic Book" w:cstheme="minorHAnsi"/>
                <w:spacing w:val="-1"/>
                <w:sz w:val="24"/>
              </w:rPr>
              <w:t>r</w:t>
            </w:r>
            <w:r w:rsidRPr="004E6649">
              <w:rPr>
                <w:rFonts w:eastAsia="Franklin Gothic Book" w:cstheme="minorHAnsi"/>
                <w:sz w:val="24"/>
              </w:rPr>
              <w:t>y</w:t>
            </w:r>
            <w:r w:rsidRPr="004E6649">
              <w:rPr>
                <w:rFonts w:eastAsia="Franklin Gothic Book" w:cstheme="minorHAnsi"/>
                <w:spacing w:val="-8"/>
                <w:sz w:val="24"/>
              </w:rPr>
              <w:t xml:space="preserve"> a</w:t>
            </w:r>
            <w:r w:rsidRPr="004E6649">
              <w:rPr>
                <w:rFonts w:eastAsia="Franklin Gothic Book" w:cstheme="minorHAnsi"/>
                <w:sz w:val="24"/>
              </w:rPr>
              <w:t>ge</w:t>
            </w:r>
            <w:r w:rsidRPr="004E6649">
              <w:rPr>
                <w:rFonts w:eastAsia="Franklin Gothic Book" w:cstheme="minorHAnsi"/>
                <w:spacing w:val="-6"/>
                <w:sz w:val="24"/>
              </w:rPr>
              <w:t xml:space="preserve"> n</w:t>
            </w:r>
            <w:r w:rsidRPr="004E6649">
              <w:rPr>
                <w:rFonts w:eastAsia="Franklin Gothic Book" w:cstheme="minorHAnsi"/>
                <w:sz w:val="24"/>
              </w:rPr>
              <w:t>o</w:t>
            </w:r>
            <w:r w:rsidRPr="004E6649">
              <w:rPr>
                <w:rFonts w:eastAsia="Franklin Gothic Book" w:cstheme="minorHAnsi"/>
                <w:spacing w:val="-2"/>
                <w:sz w:val="24"/>
              </w:rPr>
              <w:t>r</w:t>
            </w:r>
            <w:r w:rsidRPr="004E6649">
              <w:rPr>
                <w:rFonts w:eastAsia="Franklin Gothic Book" w:cstheme="minorHAnsi"/>
                <w:sz w:val="24"/>
              </w:rPr>
              <w:t>mal</w:t>
            </w:r>
          </w:p>
        </w:tc>
      </w:tr>
      <w:tr w:rsidR="001B6918" w:rsidRPr="004E6649" w14:paraId="5E149EF2" w14:textId="77777777" w:rsidTr="00730ECF">
        <w:trPr>
          <w:trHeight w:val="246"/>
          <w:jc w:val="center"/>
        </w:trPr>
        <w:tc>
          <w:tcPr>
            <w:tcW w:w="1565" w:type="pct"/>
          </w:tcPr>
          <w:p w14:paraId="5960AC60" w14:textId="77777777" w:rsidR="001B6918" w:rsidRPr="004E6649" w:rsidRDefault="001B6918" w:rsidP="00730ECF">
            <w:pPr>
              <w:widowControl w:val="0"/>
              <w:rPr>
                <w:rFonts w:cstheme="minorHAnsi"/>
                <w:sz w:val="24"/>
                <w:szCs w:val="20"/>
              </w:rPr>
            </w:pPr>
            <w:r w:rsidRPr="004E6649">
              <w:rPr>
                <w:rFonts w:eastAsia="Franklin Gothic Book" w:cstheme="minorHAnsi"/>
                <w:sz w:val="24"/>
              </w:rPr>
              <w:t>Infla</w:t>
            </w:r>
            <w:r w:rsidRPr="004E6649">
              <w:rPr>
                <w:rFonts w:eastAsia="Franklin Gothic Book" w:cstheme="minorHAnsi"/>
                <w:spacing w:val="1"/>
                <w:sz w:val="24"/>
              </w:rPr>
              <w:t>t</w:t>
            </w:r>
            <w:r w:rsidRPr="004E6649">
              <w:rPr>
                <w:rFonts w:eastAsia="Franklin Gothic Book" w:cstheme="minorHAnsi"/>
                <w:sz w:val="24"/>
              </w:rPr>
              <w:t>ion</w:t>
            </w:r>
          </w:p>
        </w:tc>
        <w:tc>
          <w:tcPr>
            <w:tcW w:w="3435" w:type="pct"/>
          </w:tcPr>
          <w:p w14:paraId="6CC1B39E" w14:textId="77777777" w:rsidR="001B6918" w:rsidRPr="004E6649" w:rsidRDefault="001B6918" w:rsidP="00730ECF">
            <w:pPr>
              <w:widowControl w:val="0"/>
              <w:rPr>
                <w:rFonts w:cstheme="minorHAnsi"/>
                <w:sz w:val="16"/>
                <w:szCs w:val="16"/>
              </w:rPr>
            </w:pPr>
            <w:r w:rsidRPr="004E6649">
              <w:rPr>
                <w:rFonts w:eastAsia="Franklin Gothic Book" w:cstheme="minorHAnsi"/>
                <w:sz w:val="24"/>
              </w:rPr>
              <w:t xml:space="preserve">Not explicitly assumed </w:t>
            </w:r>
          </w:p>
        </w:tc>
      </w:tr>
      <w:tr w:rsidR="001B6918" w:rsidRPr="004E6649" w14:paraId="10015BCB" w14:textId="77777777" w:rsidTr="00730ECF">
        <w:trPr>
          <w:trHeight w:val="246"/>
          <w:jc w:val="center"/>
        </w:trPr>
        <w:tc>
          <w:tcPr>
            <w:tcW w:w="1565" w:type="pct"/>
          </w:tcPr>
          <w:p w14:paraId="58228F24" w14:textId="77777777" w:rsidR="001B6918" w:rsidRPr="004E6649" w:rsidRDefault="001B6918" w:rsidP="00730ECF">
            <w:pPr>
              <w:widowControl w:val="0"/>
              <w:rPr>
                <w:rFonts w:cstheme="minorHAnsi"/>
                <w:sz w:val="24"/>
                <w:szCs w:val="20"/>
              </w:rPr>
            </w:pPr>
            <w:r w:rsidRPr="004E6649">
              <w:rPr>
                <w:rFonts w:eastAsia="Franklin Gothic Book" w:cstheme="minorHAnsi"/>
                <w:sz w:val="24"/>
              </w:rPr>
              <w:t>Sala</w:t>
            </w:r>
            <w:r w:rsidRPr="004E6649">
              <w:rPr>
                <w:rFonts w:eastAsia="Franklin Gothic Book" w:cstheme="minorHAnsi"/>
                <w:spacing w:val="-2"/>
                <w:sz w:val="24"/>
              </w:rPr>
              <w:t>r</w:t>
            </w:r>
            <w:r w:rsidRPr="004E6649">
              <w:rPr>
                <w:rFonts w:eastAsia="Franklin Gothic Book" w:cstheme="minorHAnsi"/>
                <w:sz w:val="24"/>
              </w:rPr>
              <w:t>y</w:t>
            </w:r>
            <w:r w:rsidRPr="004E6649">
              <w:rPr>
                <w:rFonts w:eastAsia="Franklin Gothic Book" w:cstheme="minorHAnsi"/>
                <w:spacing w:val="-2"/>
                <w:sz w:val="24"/>
              </w:rPr>
              <w:t xml:space="preserve"> </w:t>
            </w:r>
            <w:r w:rsidRPr="004E6649">
              <w:rPr>
                <w:rFonts w:eastAsia="Franklin Gothic Book" w:cstheme="minorHAnsi"/>
                <w:sz w:val="24"/>
              </w:rPr>
              <w:t>inc</w:t>
            </w:r>
            <w:r w:rsidRPr="004E6649">
              <w:rPr>
                <w:rFonts w:eastAsia="Franklin Gothic Book" w:cstheme="minorHAnsi"/>
                <w:spacing w:val="-1"/>
                <w:sz w:val="24"/>
              </w:rPr>
              <w:t>r</w:t>
            </w:r>
            <w:r w:rsidRPr="004E6649">
              <w:rPr>
                <w:rFonts w:eastAsia="Franklin Gothic Book" w:cstheme="minorHAnsi"/>
                <w:sz w:val="24"/>
              </w:rPr>
              <w:t>eases</w:t>
            </w:r>
          </w:p>
        </w:tc>
        <w:tc>
          <w:tcPr>
            <w:tcW w:w="3435" w:type="pct"/>
          </w:tcPr>
          <w:p w14:paraId="40DA4121" w14:textId="77777777" w:rsidR="001B6918" w:rsidRPr="004E6649" w:rsidRDefault="001B6918" w:rsidP="00730ECF">
            <w:pPr>
              <w:widowControl w:val="0"/>
              <w:rPr>
                <w:rFonts w:cstheme="minorHAnsi"/>
                <w:sz w:val="16"/>
                <w:szCs w:val="16"/>
              </w:rPr>
            </w:pPr>
            <w:r w:rsidRPr="004E6649">
              <w:rPr>
                <w:rFonts w:eastAsia="Franklin Gothic Book" w:cstheme="minorHAnsi"/>
                <w:sz w:val="24"/>
              </w:rPr>
              <w:t>3.5%</w:t>
            </w:r>
            <w:r w:rsidRPr="004E6649">
              <w:rPr>
                <w:rFonts w:eastAsia="Franklin Gothic Book" w:cstheme="minorHAnsi"/>
                <w:spacing w:val="-6"/>
                <w:sz w:val="24"/>
              </w:rPr>
              <w:t xml:space="preserve"> </w:t>
            </w:r>
            <w:r w:rsidRPr="004E6649">
              <w:rPr>
                <w:rFonts w:eastAsia="Franklin Gothic Book" w:cstheme="minorHAnsi"/>
                <w:spacing w:val="-1"/>
                <w:sz w:val="24"/>
              </w:rPr>
              <w:t>p</w:t>
            </w:r>
            <w:r w:rsidRPr="004E6649">
              <w:rPr>
                <w:rFonts w:eastAsia="Franklin Gothic Book" w:cstheme="minorHAnsi"/>
                <w:sz w:val="24"/>
              </w:rPr>
              <w:t>er</w:t>
            </w:r>
            <w:r w:rsidRPr="004E6649">
              <w:rPr>
                <w:rFonts w:eastAsia="Franklin Gothic Book" w:cstheme="minorHAnsi"/>
                <w:spacing w:val="-7"/>
                <w:sz w:val="24"/>
              </w:rPr>
              <w:t xml:space="preserve"> </w:t>
            </w:r>
            <w:r w:rsidRPr="004E6649">
              <w:rPr>
                <w:rFonts w:eastAsia="Franklin Gothic Book" w:cstheme="minorHAnsi"/>
                <w:spacing w:val="-1"/>
                <w:sz w:val="24"/>
              </w:rPr>
              <w:t>y</w:t>
            </w:r>
            <w:r w:rsidRPr="004E6649">
              <w:rPr>
                <w:rFonts w:eastAsia="Franklin Gothic Book" w:cstheme="minorHAnsi"/>
                <w:sz w:val="24"/>
              </w:rPr>
              <w:t>ea</w:t>
            </w:r>
            <w:r w:rsidRPr="004E6649">
              <w:rPr>
                <w:rFonts w:eastAsia="Franklin Gothic Book" w:cstheme="minorHAnsi"/>
                <w:spacing w:val="-2"/>
                <w:sz w:val="24"/>
              </w:rPr>
              <w:t>r, including longevity</w:t>
            </w:r>
          </w:p>
        </w:tc>
      </w:tr>
      <w:tr w:rsidR="001B6918" w:rsidRPr="004E6649" w14:paraId="58F76475" w14:textId="77777777" w:rsidTr="00730ECF">
        <w:trPr>
          <w:trHeight w:val="246"/>
          <w:jc w:val="center"/>
        </w:trPr>
        <w:tc>
          <w:tcPr>
            <w:tcW w:w="1565" w:type="pct"/>
          </w:tcPr>
          <w:p w14:paraId="1F2B3531" w14:textId="77777777" w:rsidR="001B6918" w:rsidRPr="004E6649" w:rsidRDefault="001B6918" w:rsidP="00730ECF">
            <w:pPr>
              <w:widowControl w:val="0"/>
              <w:rPr>
                <w:rFonts w:cstheme="minorHAnsi"/>
                <w:sz w:val="24"/>
                <w:szCs w:val="20"/>
              </w:rPr>
            </w:pPr>
            <w:r w:rsidRPr="004E6649">
              <w:rPr>
                <w:rFonts w:eastAsia="Franklin Gothic Book" w:cstheme="minorHAnsi"/>
                <w:spacing w:val="-2"/>
                <w:sz w:val="24"/>
              </w:rPr>
              <w:t>Payroll increases</w:t>
            </w:r>
          </w:p>
        </w:tc>
        <w:tc>
          <w:tcPr>
            <w:tcW w:w="3435" w:type="pct"/>
          </w:tcPr>
          <w:p w14:paraId="57A4665A" w14:textId="77777777" w:rsidR="001B6918" w:rsidRPr="004E6649" w:rsidRDefault="001B6918" w:rsidP="00730ECF">
            <w:pPr>
              <w:widowControl w:val="0"/>
              <w:rPr>
                <w:rFonts w:cstheme="minorHAnsi"/>
                <w:sz w:val="16"/>
                <w:szCs w:val="16"/>
              </w:rPr>
            </w:pPr>
            <w:r w:rsidRPr="004E6649">
              <w:rPr>
                <w:rFonts w:eastAsia="Franklin Gothic Book" w:cstheme="minorHAnsi"/>
                <w:spacing w:val="-2"/>
                <w:sz w:val="24"/>
              </w:rPr>
              <w:t>3.5% per year</w:t>
            </w:r>
          </w:p>
        </w:tc>
      </w:tr>
      <w:tr w:rsidR="001B6918" w:rsidRPr="004E6649" w14:paraId="1F2BEA13" w14:textId="77777777" w:rsidTr="00730ECF">
        <w:trPr>
          <w:trHeight w:val="246"/>
          <w:jc w:val="center"/>
        </w:trPr>
        <w:tc>
          <w:tcPr>
            <w:tcW w:w="1565" w:type="pct"/>
          </w:tcPr>
          <w:p w14:paraId="25D5CD93" w14:textId="77777777" w:rsidR="001B6918" w:rsidRPr="004E6649" w:rsidRDefault="001B6918" w:rsidP="00730ECF">
            <w:pPr>
              <w:widowControl w:val="0"/>
              <w:tabs>
                <w:tab w:val="left" w:pos="4264"/>
              </w:tabs>
              <w:rPr>
                <w:rFonts w:cstheme="minorHAnsi"/>
                <w:sz w:val="24"/>
                <w:szCs w:val="20"/>
              </w:rPr>
            </w:pPr>
            <w:r w:rsidRPr="004E6649">
              <w:rPr>
                <w:rFonts w:eastAsia="Franklin Gothic Book" w:cstheme="minorHAnsi"/>
                <w:sz w:val="24"/>
              </w:rPr>
              <w:t>Assets</w:t>
            </w:r>
            <w:r w:rsidRPr="004E6649">
              <w:rPr>
                <w:rFonts w:eastAsia="Franklin Gothic Book" w:cstheme="minorHAnsi"/>
                <w:spacing w:val="-2"/>
                <w:sz w:val="24"/>
              </w:rPr>
              <w:t xml:space="preserve"> </w:t>
            </w:r>
          </w:p>
        </w:tc>
        <w:tc>
          <w:tcPr>
            <w:tcW w:w="3435" w:type="pct"/>
          </w:tcPr>
          <w:p w14:paraId="163C378D" w14:textId="77777777" w:rsidR="001B6918" w:rsidRPr="004E6649" w:rsidRDefault="001B6918" w:rsidP="00730ECF">
            <w:pPr>
              <w:widowControl w:val="0"/>
              <w:rPr>
                <w:rFonts w:eastAsia="Franklin Gothic Book" w:cstheme="minorHAnsi"/>
                <w:sz w:val="24"/>
              </w:rPr>
            </w:pPr>
            <w:r w:rsidRPr="004E6649">
              <w:rPr>
                <w:rFonts w:eastAsia="Franklin Gothic Book" w:cstheme="minorHAnsi"/>
                <w:sz w:val="24"/>
                <w:szCs w:val="24"/>
              </w:rPr>
              <w:t>There are no assets accumulated in a trust that meets the criteria in paragraph 4 of GASB Statement No. 73.</w:t>
            </w:r>
          </w:p>
        </w:tc>
      </w:tr>
    </w:tbl>
    <w:p w14:paraId="72BFAA2C" w14:textId="77777777" w:rsidR="001B6918" w:rsidRPr="004E6649" w:rsidRDefault="001B6918" w:rsidP="001B6918">
      <w:pPr>
        <w:rPr>
          <w:rFonts w:cstheme="minorHAnsi"/>
          <w:sz w:val="24"/>
          <w:szCs w:val="24"/>
        </w:rPr>
      </w:pPr>
      <w:r w:rsidRPr="004E6649">
        <w:rPr>
          <w:rFonts w:eastAsia="Franklin Gothic Book" w:cstheme="minorHAnsi"/>
          <w:b/>
          <w:spacing w:val="1"/>
          <w:sz w:val="24"/>
          <w:szCs w:val="24"/>
        </w:rPr>
        <w:br w:type="page"/>
      </w:r>
    </w:p>
    <w:p w14:paraId="3DF060EE" w14:textId="77777777" w:rsidR="001B6918" w:rsidRPr="004E6649" w:rsidRDefault="001B6918" w:rsidP="001B6918">
      <w:pPr>
        <w:pStyle w:val="AFR2"/>
        <w:rPr>
          <w:rFonts w:eastAsia="Franklin Gothic Book" w:cstheme="minorHAnsi"/>
          <w:sz w:val="28"/>
        </w:rPr>
        <w:sectPr w:rsidR="001B6918" w:rsidRPr="004E6649" w:rsidSect="00DC059D">
          <w:headerReference w:type="first" r:id="rId55"/>
          <w:footerReference w:type="first" r:id="rId56"/>
          <w:type w:val="nextColumn"/>
          <w:pgSz w:w="12240" w:h="15840" w:code="1"/>
          <w:pgMar w:top="1440" w:right="1152" w:bottom="1440" w:left="1152" w:header="720" w:footer="720" w:gutter="0"/>
          <w:cols w:space="0"/>
          <w:titlePg/>
          <w:docGrid w:linePitch="360"/>
        </w:sectPr>
      </w:pPr>
    </w:p>
    <w:p w14:paraId="49C3698B" w14:textId="77777777" w:rsidR="001B6918" w:rsidRPr="004E6649" w:rsidRDefault="001B6918" w:rsidP="001B6918">
      <w:pPr>
        <w:pStyle w:val="AFR2"/>
        <w:pBdr>
          <w:bottom w:val="single" w:sz="8" w:space="1" w:color="000000" w:themeColor="text1"/>
        </w:pBdr>
        <w:rPr>
          <w:rFonts w:eastAsia="Franklin Gothic Book" w:cstheme="minorHAnsi"/>
          <w:sz w:val="24"/>
          <w:szCs w:val="24"/>
        </w:rPr>
      </w:pPr>
      <w:r w:rsidRPr="004E6649">
        <w:rPr>
          <w:rFonts w:eastAsia="Franklin Gothic Book" w:cstheme="minorHAnsi"/>
          <w:sz w:val="24"/>
          <w:szCs w:val="24"/>
        </w:rPr>
        <w:lastRenderedPageBreak/>
        <w:t>DEFINED BENEFIT PENSION PLAN:</w:t>
      </w:r>
    </w:p>
    <w:tbl>
      <w:tblPr>
        <w:tblW w:w="14366" w:type="dxa"/>
        <w:jc w:val="center"/>
        <w:tblLayout w:type="fixed"/>
        <w:tblLook w:val="04A0" w:firstRow="1" w:lastRow="0" w:firstColumn="1" w:lastColumn="0" w:noHBand="0" w:noVBand="1"/>
      </w:tblPr>
      <w:tblGrid>
        <w:gridCol w:w="879"/>
        <w:gridCol w:w="880"/>
        <w:gridCol w:w="1299"/>
        <w:gridCol w:w="1036"/>
        <w:gridCol w:w="1192"/>
        <w:gridCol w:w="1174"/>
        <w:gridCol w:w="1170"/>
        <w:gridCol w:w="1170"/>
        <w:gridCol w:w="1170"/>
        <w:gridCol w:w="1100"/>
        <w:gridCol w:w="1080"/>
        <w:gridCol w:w="1080"/>
        <w:gridCol w:w="987"/>
        <w:gridCol w:w="149"/>
      </w:tblGrid>
      <w:tr w:rsidR="001B6918" w:rsidRPr="004E6649" w14:paraId="610C0EEA" w14:textId="77777777" w:rsidTr="00730ECF">
        <w:trPr>
          <w:gridAfter w:val="1"/>
          <w:wAfter w:w="149" w:type="dxa"/>
          <w:trHeight w:val="480"/>
          <w:jc w:val="center"/>
        </w:trPr>
        <w:tc>
          <w:tcPr>
            <w:tcW w:w="3058" w:type="dxa"/>
            <w:gridSpan w:val="3"/>
            <w:tcBorders>
              <w:top w:val="nil"/>
              <w:left w:val="nil"/>
              <w:bottom w:val="single" w:sz="12" w:space="0" w:color="000000" w:themeColor="text1"/>
              <w:right w:val="nil"/>
            </w:tcBorders>
            <w:shd w:val="clear" w:color="000000" w:fill="FFFFFF"/>
            <w:vAlign w:val="bottom"/>
            <w:hideMark/>
          </w:tcPr>
          <w:p w14:paraId="68B4E697" w14:textId="77777777" w:rsidR="001B6918" w:rsidRPr="004E6649" w:rsidRDefault="001B6918" w:rsidP="00730ECF">
            <w:pPr>
              <w:ind w:left="-113" w:firstLine="96"/>
              <w:rPr>
                <w:rFonts w:eastAsia="Times New Roman" w:cstheme="minorHAnsi"/>
                <w:b/>
                <w:bCs/>
                <w:color w:val="0D0D0D"/>
                <w:sz w:val="20"/>
                <w:szCs w:val="20"/>
              </w:rPr>
            </w:pPr>
            <w:r w:rsidRPr="004E6649">
              <w:rPr>
                <w:rFonts w:eastAsia="Times New Roman" w:cstheme="minorHAnsi"/>
                <w:b/>
                <w:bCs/>
                <w:color w:val="0D0D0D"/>
                <w:sz w:val="20"/>
                <w:szCs w:val="20"/>
              </w:rPr>
              <w:t>Fiscal Year Ended June 30</w:t>
            </w:r>
          </w:p>
        </w:tc>
        <w:tc>
          <w:tcPr>
            <w:tcW w:w="1036" w:type="dxa"/>
            <w:tcBorders>
              <w:top w:val="nil"/>
              <w:left w:val="nil"/>
              <w:bottom w:val="single" w:sz="12" w:space="0" w:color="000000" w:themeColor="text1"/>
              <w:right w:val="nil"/>
            </w:tcBorders>
            <w:shd w:val="clear" w:color="auto" w:fill="F2F2F2" w:themeFill="background1" w:themeFillShade="F2"/>
            <w:vAlign w:val="bottom"/>
          </w:tcPr>
          <w:p w14:paraId="7EFF1AAC" w14:textId="77777777" w:rsidR="001B6918" w:rsidRPr="004E6649" w:rsidRDefault="001B6918" w:rsidP="00730ECF">
            <w:pPr>
              <w:ind w:firstLine="96"/>
              <w:jc w:val="center"/>
              <w:rPr>
                <w:rFonts w:eastAsia="Times New Roman" w:cstheme="minorHAnsi"/>
                <w:b/>
                <w:bCs/>
                <w:color w:val="0D0D0D"/>
                <w:sz w:val="20"/>
                <w:szCs w:val="20"/>
              </w:rPr>
            </w:pPr>
            <w:r w:rsidRPr="004E6649">
              <w:rPr>
                <w:rFonts w:eastAsia="Times New Roman" w:cstheme="minorHAnsi"/>
                <w:b/>
                <w:bCs/>
                <w:color w:val="0D0D0D"/>
                <w:sz w:val="20"/>
                <w:szCs w:val="20"/>
              </w:rPr>
              <w:t>202</w:t>
            </w:r>
            <w:r>
              <w:rPr>
                <w:rFonts w:eastAsia="Times New Roman" w:cstheme="minorHAnsi"/>
                <w:b/>
                <w:bCs/>
                <w:color w:val="0D0D0D"/>
                <w:sz w:val="20"/>
                <w:szCs w:val="20"/>
              </w:rPr>
              <w:t>5</w:t>
            </w:r>
          </w:p>
        </w:tc>
        <w:tc>
          <w:tcPr>
            <w:tcW w:w="1192" w:type="dxa"/>
            <w:tcBorders>
              <w:top w:val="nil"/>
              <w:left w:val="nil"/>
              <w:bottom w:val="single" w:sz="12" w:space="0" w:color="000000" w:themeColor="text1"/>
              <w:right w:val="nil"/>
            </w:tcBorders>
            <w:vAlign w:val="bottom"/>
          </w:tcPr>
          <w:p w14:paraId="1BAF474D" w14:textId="77777777" w:rsidR="001B6918" w:rsidRPr="004E6649" w:rsidRDefault="001B6918" w:rsidP="00730ECF">
            <w:pPr>
              <w:ind w:firstLine="96"/>
              <w:jc w:val="center"/>
              <w:rPr>
                <w:rFonts w:eastAsia="Times New Roman" w:cstheme="minorHAnsi"/>
                <w:b/>
                <w:bCs/>
                <w:color w:val="0D0D0D"/>
                <w:sz w:val="20"/>
                <w:szCs w:val="20"/>
              </w:rPr>
            </w:pPr>
            <w:r w:rsidRPr="004E6649">
              <w:rPr>
                <w:rFonts w:eastAsia="Times New Roman" w:cstheme="minorHAnsi"/>
                <w:b/>
                <w:bCs/>
                <w:color w:val="0D0D0D"/>
                <w:sz w:val="20"/>
                <w:szCs w:val="20"/>
              </w:rPr>
              <w:t>202</w:t>
            </w:r>
            <w:r>
              <w:rPr>
                <w:rFonts w:eastAsia="Times New Roman" w:cstheme="minorHAnsi"/>
                <w:b/>
                <w:bCs/>
                <w:color w:val="0D0D0D"/>
                <w:sz w:val="20"/>
                <w:szCs w:val="20"/>
              </w:rPr>
              <w:t>4</w:t>
            </w:r>
          </w:p>
        </w:tc>
        <w:tc>
          <w:tcPr>
            <w:tcW w:w="1174" w:type="dxa"/>
            <w:tcBorders>
              <w:top w:val="nil"/>
              <w:left w:val="nil"/>
              <w:bottom w:val="single" w:sz="12" w:space="0" w:color="000000" w:themeColor="text1"/>
              <w:right w:val="nil"/>
            </w:tcBorders>
            <w:shd w:val="clear" w:color="000000" w:fill="F2F2F2"/>
            <w:noWrap/>
            <w:vAlign w:val="bottom"/>
            <w:hideMark/>
          </w:tcPr>
          <w:p w14:paraId="2E4F108B" w14:textId="77777777" w:rsidR="001B6918" w:rsidRPr="004E6649" w:rsidRDefault="001B6918" w:rsidP="00730ECF">
            <w:pPr>
              <w:ind w:firstLine="96"/>
              <w:jc w:val="center"/>
              <w:rPr>
                <w:rFonts w:eastAsia="Times New Roman" w:cstheme="minorHAnsi"/>
                <w:b/>
                <w:bCs/>
                <w:color w:val="0D0D0D"/>
                <w:sz w:val="20"/>
                <w:szCs w:val="20"/>
              </w:rPr>
            </w:pPr>
            <w:r w:rsidRPr="004E6649">
              <w:rPr>
                <w:rFonts w:eastAsia="Times New Roman" w:cstheme="minorHAnsi"/>
                <w:b/>
                <w:bCs/>
                <w:color w:val="0D0D0D"/>
                <w:sz w:val="20"/>
                <w:szCs w:val="20"/>
              </w:rPr>
              <w:t>2023</w:t>
            </w:r>
          </w:p>
        </w:tc>
        <w:tc>
          <w:tcPr>
            <w:tcW w:w="1170" w:type="dxa"/>
            <w:tcBorders>
              <w:top w:val="nil"/>
              <w:left w:val="nil"/>
              <w:bottom w:val="single" w:sz="12" w:space="0" w:color="000000" w:themeColor="text1"/>
              <w:right w:val="nil"/>
            </w:tcBorders>
            <w:shd w:val="clear" w:color="000000" w:fill="FFFFFF"/>
            <w:noWrap/>
            <w:vAlign w:val="bottom"/>
            <w:hideMark/>
          </w:tcPr>
          <w:p w14:paraId="2A3A677C" w14:textId="77777777" w:rsidR="001B6918" w:rsidRPr="004E6649" w:rsidRDefault="001B6918" w:rsidP="00730ECF">
            <w:pPr>
              <w:ind w:firstLine="96"/>
              <w:jc w:val="center"/>
              <w:rPr>
                <w:rFonts w:eastAsia="Times New Roman" w:cstheme="minorHAnsi"/>
                <w:b/>
                <w:bCs/>
                <w:color w:val="0D0D0D"/>
                <w:sz w:val="20"/>
                <w:szCs w:val="20"/>
              </w:rPr>
            </w:pPr>
            <w:r w:rsidRPr="004E6649">
              <w:rPr>
                <w:rFonts w:eastAsia="Times New Roman" w:cstheme="minorHAnsi"/>
                <w:b/>
                <w:bCs/>
                <w:color w:val="0D0D0D"/>
                <w:sz w:val="20"/>
                <w:szCs w:val="20"/>
              </w:rPr>
              <w:t>2022</w:t>
            </w:r>
          </w:p>
        </w:tc>
        <w:tc>
          <w:tcPr>
            <w:tcW w:w="1170" w:type="dxa"/>
            <w:tcBorders>
              <w:top w:val="nil"/>
              <w:left w:val="nil"/>
              <w:bottom w:val="single" w:sz="12" w:space="0" w:color="000000" w:themeColor="text1"/>
              <w:right w:val="nil"/>
            </w:tcBorders>
            <w:shd w:val="clear" w:color="000000" w:fill="F2F2F2"/>
            <w:noWrap/>
            <w:vAlign w:val="bottom"/>
            <w:hideMark/>
          </w:tcPr>
          <w:p w14:paraId="1DA0C25C" w14:textId="77777777" w:rsidR="001B6918" w:rsidRPr="004E6649" w:rsidRDefault="001B6918" w:rsidP="00730ECF">
            <w:pPr>
              <w:ind w:firstLine="96"/>
              <w:jc w:val="center"/>
              <w:rPr>
                <w:rFonts w:eastAsia="Times New Roman" w:cstheme="minorHAnsi"/>
                <w:b/>
                <w:bCs/>
                <w:color w:val="0D0D0D"/>
                <w:sz w:val="20"/>
                <w:szCs w:val="20"/>
              </w:rPr>
            </w:pPr>
            <w:r w:rsidRPr="004E6649">
              <w:rPr>
                <w:rFonts w:eastAsia="Times New Roman" w:cstheme="minorHAnsi"/>
                <w:b/>
                <w:bCs/>
                <w:color w:val="0D0D0D"/>
                <w:sz w:val="20"/>
                <w:szCs w:val="20"/>
              </w:rPr>
              <w:t>2021</w:t>
            </w:r>
          </w:p>
        </w:tc>
        <w:tc>
          <w:tcPr>
            <w:tcW w:w="1170" w:type="dxa"/>
            <w:tcBorders>
              <w:top w:val="nil"/>
              <w:left w:val="nil"/>
              <w:bottom w:val="single" w:sz="12" w:space="0" w:color="000000" w:themeColor="text1"/>
              <w:right w:val="nil"/>
            </w:tcBorders>
            <w:shd w:val="clear" w:color="000000" w:fill="FFFFFF"/>
            <w:noWrap/>
            <w:vAlign w:val="bottom"/>
            <w:hideMark/>
          </w:tcPr>
          <w:p w14:paraId="3B4D13BF" w14:textId="77777777" w:rsidR="001B6918" w:rsidRPr="004E6649" w:rsidRDefault="001B6918" w:rsidP="00730ECF">
            <w:pPr>
              <w:ind w:firstLine="96"/>
              <w:jc w:val="center"/>
              <w:rPr>
                <w:rFonts w:eastAsia="Times New Roman" w:cstheme="minorHAnsi"/>
                <w:b/>
                <w:bCs/>
                <w:color w:val="0D0D0D"/>
                <w:sz w:val="20"/>
                <w:szCs w:val="20"/>
              </w:rPr>
            </w:pPr>
            <w:r w:rsidRPr="004E6649">
              <w:rPr>
                <w:rFonts w:eastAsia="Times New Roman" w:cstheme="minorHAnsi"/>
                <w:b/>
                <w:bCs/>
                <w:color w:val="0D0D0D"/>
                <w:sz w:val="20"/>
                <w:szCs w:val="20"/>
              </w:rPr>
              <w:t>2020</w:t>
            </w:r>
          </w:p>
        </w:tc>
        <w:tc>
          <w:tcPr>
            <w:tcW w:w="1100" w:type="dxa"/>
            <w:tcBorders>
              <w:top w:val="nil"/>
              <w:left w:val="nil"/>
              <w:bottom w:val="single" w:sz="12" w:space="0" w:color="000000" w:themeColor="text1"/>
              <w:right w:val="nil"/>
            </w:tcBorders>
            <w:shd w:val="clear" w:color="000000" w:fill="F2F2F2"/>
            <w:noWrap/>
            <w:vAlign w:val="bottom"/>
            <w:hideMark/>
          </w:tcPr>
          <w:p w14:paraId="16FB5570" w14:textId="77777777" w:rsidR="001B6918" w:rsidRPr="004E6649" w:rsidRDefault="001B6918" w:rsidP="00730ECF">
            <w:pPr>
              <w:ind w:firstLine="96"/>
              <w:jc w:val="center"/>
              <w:rPr>
                <w:rFonts w:eastAsia="Times New Roman" w:cstheme="minorHAnsi"/>
                <w:b/>
                <w:bCs/>
                <w:color w:val="0D0D0D"/>
                <w:sz w:val="20"/>
                <w:szCs w:val="20"/>
              </w:rPr>
            </w:pPr>
            <w:r w:rsidRPr="004E6649">
              <w:rPr>
                <w:rFonts w:eastAsia="Times New Roman" w:cstheme="minorHAnsi"/>
                <w:b/>
                <w:bCs/>
                <w:color w:val="0D0D0D"/>
                <w:sz w:val="20"/>
                <w:szCs w:val="20"/>
              </w:rPr>
              <w:t>2019</w:t>
            </w:r>
          </w:p>
        </w:tc>
        <w:tc>
          <w:tcPr>
            <w:tcW w:w="1080" w:type="dxa"/>
            <w:tcBorders>
              <w:top w:val="nil"/>
              <w:left w:val="nil"/>
              <w:bottom w:val="single" w:sz="12" w:space="0" w:color="000000" w:themeColor="text1"/>
              <w:right w:val="nil"/>
            </w:tcBorders>
            <w:shd w:val="clear" w:color="000000" w:fill="FFFFFF"/>
            <w:noWrap/>
            <w:vAlign w:val="bottom"/>
            <w:hideMark/>
          </w:tcPr>
          <w:p w14:paraId="4309755D" w14:textId="77777777" w:rsidR="001B6918" w:rsidRPr="004E6649" w:rsidRDefault="001B6918" w:rsidP="00730ECF">
            <w:pPr>
              <w:ind w:firstLine="96"/>
              <w:jc w:val="center"/>
              <w:rPr>
                <w:rFonts w:eastAsia="Times New Roman" w:cstheme="minorHAnsi"/>
                <w:b/>
                <w:bCs/>
                <w:color w:val="0D0D0D"/>
                <w:sz w:val="20"/>
                <w:szCs w:val="20"/>
              </w:rPr>
            </w:pPr>
            <w:r w:rsidRPr="004E6649">
              <w:rPr>
                <w:rFonts w:eastAsia="Times New Roman" w:cstheme="minorHAnsi"/>
                <w:b/>
                <w:bCs/>
                <w:color w:val="0D0D0D"/>
                <w:sz w:val="20"/>
                <w:szCs w:val="20"/>
              </w:rPr>
              <w:t>2018</w:t>
            </w:r>
          </w:p>
        </w:tc>
        <w:tc>
          <w:tcPr>
            <w:tcW w:w="1080" w:type="dxa"/>
            <w:tcBorders>
              <w:top w:val="nil"/>
              <w:left w:val="nil"/>
              <w:bottom w:val="single" w:sz="12" w:space="0" w:color="000000" w:themeColor="text1"/>
              <w:right w:val="nil"/>
            </w:tcBorders>
            <w:shd w:val="clear" w:color="000000" w:fill="F2F2F2"/>
            <w:noWrap/>
            <w:vAlign w:val="bottom"/>
            <w:hideMark/>
          </w:tcPr>
          <w:p w14:paraId="5CE85C28" w14:textId="77777777" w:rsidR="001B6918" w:rsidRPr="004E6649" w:rsidRDefault="001B6918" w:rsidP="00730ECF">
            <w:pPr>
              <w:ind w:firstLine="96"/>
              <w:jc w:val="center"/>
              <w:rPr>
                <w:rFonts w:eastAsia="Times New Roman" w:cstheme="minorHAnsi"/>
                <w:b/>
                <w:bCs/>
                <w:color w:val="0D0D0D"/>
                <w:sz w:val="20"/>
                <w:szCs w:val="20"/>
              </w:rPr>
            </w:pPr>
            <w:r w:rsidRPr="004E6649">
              <w:rPr>
                <w:rFonts w:eastAsia="Times New Roman" w:cstheme="minorHAnsi"/>
                <w:b/>
                <w:bCs/>
                <w:color w:val="0D0D0D"/>
                <w:sz w:val="20"/>
                <w:szCs w:val="20"/>
              </w:rPr>
              <w:t>2017</w:t>
            </w:r>
          </w:p>
        </w:tc>
        <w:tc>
          <w:tcPr>
            <w:tcW w:w="987" w:type="dxa"/>
            <w:tcBorders>
              <w:top w:val="nil"/>
              <w:left w:val="nil"/>
              <w:bottom w:val="single" w:sz="12" w:space="0" w:color="000000" w:themeColor="text1"/>
              <w:right w:val="nil"/>
            </w:tcBorders>
            <w:shd w:val="clear" w:color="000000" w:fill="FFFFFF"/>
            <w:noWrap/>
            <w:vAlign w:val="bottom"/>
            <w:hideMark/>
          </w:tcPr>
          <w:p w14:paraId="59244F89" w14:textId="77777777" w:rsidR="001B6918" w:rsidRPr="004E6649" w:rsidRDefault="001B6918" w:rsidP="00730ECF">
            <w:pPr>
              <w:ind w:left="-40" w:right="-114" w:firstLine="136"/>
              <w:jc w:val="center"/>
              <w:rPr>
                <w:rFonts w:eastAsia="Times New Roman" w:cstheme="minorHAnsi"/>
                <w:b/>
                <w:bCs/>
                <w:color w:val="0D0D0D"/>
                <w:sz w:val="20"/>
                <w:szCs w:val="20"/>
              </w:rPr>
            </w:pPr>
            <w:r w:rsidRPr="004E6649">
              <w:rPr>
                <w:rFonts w:eastAsia="Times New Roman" w:cstheme="minorHAnsi"/>
                <w:b/>
                <w:bCs/>
                <w:color w:val="0D0D0D"/>
                <w:sz w:val="20"/>
                <w:szCs w:val="20"/>
              </w:rPr>
              <w:t>2016</w:t>
            </w:r>
          </w:p>
        </w:tc>
      </w:tr>
      <w:tr w:rsidR="001B6918" w:rsidRPr="004E6649" w14:paraId="10B1A03F" w14:textId="77777777" w:rsidTr="00730ECF">
        <w:trPr>
          <w:gridAfter w:val="1"/>
          <w:wAfter w:w="149" w:type="dxa"/>
          <w:trHeight w:val="20"/>
          <w:jc w:val="center"/>
        </w:trPr>
        <w:tc>
          <w:tcPr>
            <w:tcW w:w="3058" w:type="dxa"/>
            <w:gridSpan w:val="3"/>
            <w:tcBorders>
              <w:top w:val="single" w:sz="12" w:space="0" w:color="000000" w:themeColor="text1"/>
              <w:left w:val="nil"/>
              <w:bottom w:val="nil"/>
              <w:right w:val="nil"/>
            </w:tcBorders>
            <w:shd w:val="clear" w:color="000000" w:fill="FFFFFF"/>
            <w:vAlign w:val="bottom"/>
            <w:hideMark/>
          </w:tcPr>
          <w:p w14:paraId="26A5002D" w14:textId="77777777" w:rsidR="001B6918" w:rsidRPr="004E6649" w:rsidRDefault="001B6918" w:rsidP="00730ECF">
            <w:pPr>
              <w:ind w:left="-113" w:right="-951" w:firstLine="96"/>
              <w:rPr>
                <w:rFonts w:eastAsia="Times New Roman" w:cstheme="minorHAnsi"/>
                <w:color w:val="0D0D0D"/>
                <w:sz w:val="18"/>
                <w:szCs w:val="18"/>
              </w:rPr>
            </w:pPr>
            <w:r w:rsidRPr="004E6649">
              <w:rPr>
                <w:rFonts w:eastAsia="Times New Roman" w:cstheme="minorHAnsi"/>
                <w:color w:val="0D0D0D"/>
                <w:sz w:val="18"/>
                <w:szCs w:val="18"/>
              </w:rPr>
              <w:t>Changes for the year:</w:t>
            </w:r>
          </w:p>
        </w:tc>
        <w:tc>
          <w:tcPr>
            <w:tcW w:w="1036" w:type="dxa"/>
            <w:tcBorders>
              <w:top w:val="single" w:sz="12" w:space="0" w:color="000000" w:themeColor="text1"/>
              <w:left w:val="nil"/>
              <w:bottom w:val="nil"/>
              <w:right w:val="nil"/>
            </w:tcBorders>
            <w:shd w:val="clear" w:color="auto" w:fill="F2F2F2" w:themeFill="background1" w:themeFillShade="F2"/>
            <w:vAlign w:val="bottom"/>
          </w:tcPr>
          <w:p w14:paraId="230477AB" w14:textId="77777777" w:rsidR="001B6918" w:rsidRPr="004E6649" w:rsidRDefault="001B6918" w:rsidP="00730ECF">
            <w:pPr>
              <w:ind w:firstLineChars="100" w:firstLine="160"/>
              <w:jc w:val="right"/>
              <w:rPr>
                <w:rFonts w:eastAsia="Times New Roman" w:cstheme="minorHAnsi"/>
                <w:color w:val="0D0D0D"/>
                <w:sz w:val="16"/>
                <w:szCs w:val="16"/>
              </w:rPr>
            </w:pPr>
            <w:r w:rsidRPr="004E6649">
              <w:rPr>
                <w:rFonts w:eastAsia="Times New Roman" w:cstheme="minorHAnsi"/>
                <w:color w:val="0D0D0D"/>
                <w:sz w:val="16"/>
                <w:szCs w:val="16"/>
              </w:rPr>
              <w:t> </w:t>
            </w:r>
          </w:p>
        </w:tc>
        <w:tc>
          <w:tcPr>
            <w:tcW w:w="1192" w:type="dxa"/>
            <w:tcBorders>
              <w:top w:val="single" w:sz="12" w:space="0" w:color="000000" w:themeColor="text1"/>
              <w:left w:val="nil"/>
              <w:bottom w:val="nil"/>
              <w:right w:val="nil"/>
            </w:tcBorders>
            <w:vAlign w:val="bottom"/>
          </w:tcPr>
          <w:p w14:paraId="7D6FB33C" w14:textId="77777777" w:rsidR="001B6918" w:rsidRPr="004E6649" w:rsidRDefault="001B6918" w:rsidP="00730ECF">
            <w:pPr>
              <w:ind w:firstLineChars="100" w:firstLine="160"/>
              <w:jc w:val="right"/>
              <w:rPr>
                <w:rFonts w:eastAsia="Times New Roman" w:cstheme="minorHAnsi"/>
                <w:color w:val="0D0D0D"/>
                <w:sz w:val="16"/>
                <w:szCs w:val="16"/>
              </w:rPr>
            </w:pPr>
            <w:r w:rsidRPr="004E6649">
              <w:rPr>
                <w:rFonts w:eastAsia="Times New Roman" w:cstheme="minorHAnsi"/>
                <w:color w:val="0D0D0D"/>
                <w:sz w:val="16"/>
                <w:szCs w:val="16"/>
              </w:rPr>
              <w:t> </w:t>
            </w:r>
          </w:p>
        </w:tc>
        <w:tc>
          <w:tcPr>
            <w:tcW w:w="1174" w:type="dxa"/>
            <w:tcBorders>
              <w:top w:val="single" w:sz="12" w:space="0" w:color="000000" w:themeColor="text1"/>
              <w:left w:val="nil"/>
              <w:bottom w:val="nil"/>
              <w:right w:val="nil"/>
            </w:tcBorders>
            <w:shd w:val="clear" w:color="000000" w:fill="F2F2F2"/>
            <w:noWrap/>
            <w:vAlign w:val="bottom"/>
            <w:hideMark/>
          </w:tcPr>
          <w:p w14:paraId="413BF604" w14:textId="77777777" w:rsidR="001B6918" w:rsidRPr="004E6649" w:rsidRDefault="001B6918" w:rsidP="00730ECF">
            <w:pPr>
              <w:ind w:firstLineChars="100" w:firstLine="160"/>
              <w:jc w:val="right"/>
              <w:rPr>
                <w:rFonts w:eastAsia="Times New Roman" w:cstheme="minorHAnsi"/>
                <w:color w:val="0D0D0D"/>
                <w:sz w:val="16"/>
                <w:szCs w:val="16"/>
              </w:rPr>
            </w:pPr>
            <w:r w:rsidRPr="004E6649">
              <w:rPr>
                <w:rFonts w:eastAsia="Times New Roman" w:cstheme="minorHAnsi"/>
                <w:color w:val="0D0D0D"/>
                <w:sz w:val="16"/>
                <w:szCs w:val="16"/>
              </w:rPr>
              <w:t> </w:t>
            </w:r>
          </w:p>
        </w:tc>
        <w:tc>
          <w:tcPr>
            <w:tcW w:w="1170" w:type="dxa"/>
            <w:tcBorders>
              <w:top w:val="single" w:sz="12" w:space="0" w:color="000000" w:themeColor="text1"/>
              <w:left w:val="nil"/>
              <w:bottom w:val="nil"/>
              <w:right w:val="nil"/>
            </w:tcBorders>
            <w:shd w:val="clear" w:color="000000" w:fill="FFFFFF"/>
            <w:noWrap/>
            <w:vAlign w:val="bottom"/>
            <w:hideMark/>
          </w:tcPr>
          <w:p w14:paraId="3459BC9D" w14:textId="77777777" w:rsidR="001B6918" w:rsidRPr="004E6649" w:rsidRDefault="001B6918" w:rsidP="00730ECF">
            <w:pPr>
              <w:ind w:firstLineChars="100" w:firstLine="160"/>
              <w:jc w:val="right"/>
              <w:rPr>
                <w:rFonts w:eastAsia="Times New Roman" w:cstheme="minorHAnsi"/>
                <w:color w:val="0D0D0D"/>
                <w:sz w:val="16"/>
                <w:szCs w:val="16"/>
              </w:rPr>
            </w:pPr>
            <w:r w:rsidRPr="004E6649">
              <w:rPr>
                <w:rFonts w:eastAsia="Times New Roman" w:cstheme="minorHAnsi"/>
                <w:color w:val="0D0D0D"/>
                <w:sz w:val="16"/>
                <w:szCs w:val="16"/>
              </w:rPr>
              <w:t> </w:t>
            </w:r>
          </w:p>
        </w:tc>
        <w:tc>
          <w:tcPr>
            <w:tcW w:w="1170" w:type="dxa"/>
            <w:tcBorders>
              <w:top w:val="single" w:sz="12" w:space="0" w:color="000000" w:themeColor="text1"/>
              <w:left w:val="nil"/>
              <w:bottom w:val="nil"/>
              <w:right w:val="nil"/>
            </w:tcBorders>
            <w:shd w:val="clear" w:color="000000" w:fill="F2F2F2"/>
            <w:noWrap/>
            <w:vAlign w:val="bottom"/>
            <w:hideMark/>
          </w:tcPr>
          <w:p w14:paraId="71A59F9C" w14:textId="77777777" w:rsidR="001B6918" w:rsidRPr="004E6649" w:rsidRDefault="001B6918" w:rsidP="00730ECF">
            <w:pPr>
              <w:ind w:firstLineChars="100" w:firstLine="160"/>
              <w:jc w:val="right"/>
              <w:rPr>
                <w:rFonts w:eastAsia="Times New Roman" w:cstheme="minorHAnsi"/>
                <w:color w:val="0D0D0D"/>
                <w:sz w:val="16"/>
                <w:szCs w:val="16"/>
              </w:rPr>
            </w:pPr>
            <w:r w:rsidRPr="004E6649">
              <w:rPr>
                <w:rFonts w:eastAsia="Times New Roman" w:cstheme="minorHAnsi"/>
                <w:color w:val="0D0D0D"/>
                <w:sz w:val="16"/>
                <w:szCs w:val="16"/>
              </w:rPr>
              <w:t> </w:t>
            </w:r>
          </w:p>
        </w:tc>
        <w:tc>
          <w:tcPr>
            <w:tcW w:w="1170" w:type="dxa"/>
            <w:tcBorders>
              <w:top w:val="single" w:sz="12" w:space="0" w:color="000000" w:themeColor="text1"/>
              <w:left w:val="nil"/>
              <w:bottom w:val="nil"/>
              <w:right w:val="nil"/>
            </w:tcBorders>
            <w:shd w:val="clear" w:color="000000" w:fill="FFFFFF"/>
            <w:noWrap/>
            <w:vAlign w:val="bottom"/>
            <w:hideMark/>
          </w:tcPr>
          <w:p w14:paraId="79E915EF" w14:textId="77777777" w:rsidR="001B6918" w:rsidRPr="004E6649" w:rsidRDefault="001B6918" w:rsidP="00730ECF">
            <w:pPr>
              <w:ind w:firstLineChars="100" w:firstLine="160"/>
              <w:jc w:val="right"/>
              <w:rPr>
                <w:rFonts w:eastAsia="Times New Roman" w:cstheme="minorHAnsi"/>
                <w:color w:val="0D0D0D"/>
                <w:sz w:val="16"/>
                <w:szCs w:val="16"/>
              </w:rPr>
            </w:pPr>
            <w:r w:rsidRPr="004E6649">
              <w:rPr>
                <w:rFonts w:eastAsia="Times New Roman" w:cstheme="minorHAnsi"/>
                <w:color w:val="0D0D0D"/>
                <w:sz w:val="16"/>
                <w:szCs w:val="16"/>
              </w:rPr>
              <w:t> </w:t>
            </w:r>
          </w:p>
        </w:tc>
        <w:tc>
          <w:tcPr>
            <w:tcW w:w="1100" w:type="dxa"/>
            <w:tcBorders>
              <w:top w:val="single" w:sz="12" w:space="0" w:color="000000" w:themeColor="text1"/>
              <w:left w:val="nil"/>
              <w:bottom w:val="nil"/>
              <w:right w:val="nil"/>
            </w:tcBorders>
            <w:shd w:val="clear" w:color="000000" w:fill="F2F2F2"/>
            <w:noWrap/>
            <w:vAlign w:val="bottom"/>
            <w:hideMark/>
          </w:tcPr>
          <w:p w14:paraId="7DFB722C" w14:textId="77777777" w:rsidR="001B6918" w:rsidRPr="004E6649" w:rsidRDefault="001B6918" w:rsidP="00730ECF">
            <w:pPr>
              <w:ind w:firstLineChars="100" w:firstLine="160"/>
              <w:jc w:val="right"/>
              <w:rPr>
                <w:rFonts w:eastAsia="Times New Roman" w:cstheme="minorHAnsi"/>
                <w:color w:val="0D0D0D"/>
                <w:sz w:val="16"/>
                <w:szCs w:val="16"/>
              </w:rPr>
            </w:pPr>
            <w:r w:rsidRPr="004E6649">
              <w:rPr>
                <w:rFonts w:eastAsia="Times New Roman" w:cstheme="minorHAnsi"/>
                <w:color w:val="0D0D0D"/>
                <w:sz w:val="16"/>
                <w:szCs w:val="16"/>
              </w:rPr>
              <w:t> </w:t>
            </w:r>
          </w:p>
        </w:tc>
        <w:tc>
          <w:tcPr>
            <w:tcW w:w="1080" w:type="dxa"/>
            <w:tcBorders>
              <w:top w:val="single" w:sz="12" w:space="0" w:color="000000" w:themeColor="text1"/>
              <w:left w:val="nil"/>
              <w:bottom w:val="nil"/>
              <w:right w:val="nil"/>
            </w:tcBorders>
            <w:shd w:val="clear" w:color="000000" w:fill="FFFFFF"/>
            <w:noWrap/>
            <w:vAlign w:val="bottom"/>
            <w:hideMark/>
          </w:tcPr>
          <w:p w14:paraId="32580808" w14:textId="77777777" w:rsidR="001B6918" w:rsidRPr="004E6649" w:rsidRDefault="001B6918" w:rsidP="00730ECF">
            <w:pPr>
              <w:ind w:firstLineChars="100" w:firstLine="160"/>
              <w:jc w:val="right"/>
              <w:rPr>
                <w:rFonts w:eastAsia="Times New Roman" w:cstheme="minorHAnsi"/>
                <w:color w:val="0D0D0D"/>
                <w:sz w:val="16"/>
                <w:szCs w:val="16"/>
              </w:rPr>
            </w:pPr>
            <w:r w:rsidRPr="004E6649">
              <w:rPr>
                <w:rFonts w:eastAsia="Times New Roman" w:cstheme="minorHAnsi"/>
                <w:color w:val="0D0D0D"/>
                <w:sz w:val="16"/>
                <w:szCs w:val="16"/>
              </w:rPr>
              <w:t> </w:t>
            </w:r>
          </w:p>
        </w:tc>
        <w:tc>
          <w:tcPr>
            <w:tcW w:w="1080" w:type="dxa"/>
            <w:tcBorders>
              <w:top w:val="single" w:sz="12" w:space="0" w:color="000000" w:themeColor="text1"/>
              <w:left w:val="nil"/>
              <w:bottom w:val="nil"/>
              <w:right w:val="nil"/>
            </w:tcBorders>
            <w:shd w:val="clear" w:color="000000" w:fill="F2F2F2"/>
            <w:noWrap/>
            <w:vAlign w:val="bottom"/>
            <w:hideMark/>
          </w:tcPr>
          <w:p w14:paraId="7638F318" w14:textId="77777777" w:rsidR="001B6918" w:rsidRPr="004E6649" w:rsidRDefault="001B6918" w:rsidP="00730ECF">
            <w:pPr>
              <w:ind w:firstLineChars="100" w:firstLine="160"/>
              <w:jc w:val="right"/>
              <w:rPr>
                <w:rFonts w:eastAsia="Times New Roman" w:cstheme="minorHAnsi"/>
                <w:color w:val="0D0D0D"/>
                <w:sz w:val="16"/>
                <w:szCs w:val="16"/>
              </w:rPr>
            </w:pPr>
            <w:r w:rsidRPr="004E6649">
              <w:rPr>
                <w:rFonts w:eastAsia="Times New Roman" w:cstheme="minorHAnsi"/>
                <w:color w:val="0D0D0D"/>
                <w:sz w:val="16"/>
                <w:szCs w:val="16"/>
              </w:rPr>
              <w:t> </w:t>
            </w:r>
          </w:p>
        </w:tc>
        <w:tc>
          <w:tcPr>
            <w:tcW w:w="987" w:type="dxa"/>
            <w:tcBorders>
              <w:top w:val="single" w:sz="12" w:space="0" w:color="000000" w:themeColor="text1"/>
              <w:left w:val="nil"/>
              <w:bottom w:val="nil"/>
              <w:right w:val="nil"/>
            </w:tcBorders>
            <w:shd w:val="clear" w:color="000000" w:fill="FFFFFF"/>
            <w:noWrap/>
            <w:vAlign w:val="bottom"/>
            <w:hideMark/>
          </w:tcPr>
          <w:p w14:paraId="01D2D7E8" w14:textId="77777777" w:rsidR="001B6918" w:rsidRPr="004E6649" w:rsidRDefault="001B6918" w:rsidP="00730ECF">
            <w:pPr>
              <w:ind w:left="-40" w:right="-114" w:firstLineChars="100" w:firstLine="160"/>
              <w:jc w:val="right"/>
              <w:rPr>
                <w:rFonts w:eastAsia="Times New Roman" w:cstheme="minorHAnsi"/>
                <w:color w:val="0D0D0D"/>
                <w:sz w:val="16"/>
                <w:szCs w:val="16"/>
              </w:rPr>
            </w:pPr>
            <w:r w:rsidRPr="004E6649">
              <w:rPr>
                <w:rFonts w:eastAsia="Times New Roman" w:cstheme="minorHAnsi"/>
                <w:color w:val="0D0D0D"/>
                <w:sz w:val="16"/>
                <w:szCs w:val="16"/>
              </w:rPr>
              <w:t> </w:t>
            </w:r>
          </w:p>
        </w:tc>
      </w:tr>
      <w:tr w:rsidR="001B6918" w:rsidRPr="004E6649" w14:paraId="26EEED44" w14:textId="77777777" w:rsidTr="00730ECF">
        <w:trPr>
          <w:gridAfter w:val="1"/>
          <w:wAfter w:w="149" w:type="dxa"/>
          <w:trHeight w:val="20"/>
          <w:jc w:val="center"/>
        </w:trPr>
        <w:tc>
          <w:tcPr>
            <w:tcW w:w="3058" w:type="dxa"/>
            <w:gridSpan w:val="3"/>
            <w:tcBorders>
              <w:top w:val="nil"/>
              <w:left w:val="nil"/>
              <w:bottom w:val="nil"/>
              <w:right w:val="nil"/>
            </w:tcBorders>
            <w:shd w:val="clear" w:color="000000" w:fill="FFFFFF"/>
            <w:vAlign w:val="bottom"/>
            <w:hideMark/>
          </w:tcPr>
          <w:p w14:paraId="095D56E0" w14:textId="77777777" w:rsidR="001B6918" w:rsidRPr="004E6649" w:rsidRDefault="001B6918" w:rsidP="00730ECF">
            <w:pPr>
              <w:ind w:left="-113" w:right="-951" w:firstLine="96"/>
              <w:rPr>
                <w:rFonts w:eastAsia="Times New Roman" w:cstheme="minorHAnsi"/>
                <w:color w:val="0D0D0D"/>
                <w:sz w:val="18"/>
                <w:szCs w:val="18"/>
              </w:rPr>
            </w:pPr>
            <w:r w:rsidRPr="004E6649">
              <w:rPr>
                <w:rFonts w:eastAsia="Times New Roman" w:cstheme="minorHAnsi"/>
                <w:color w:val="0D0D0D"/>
                <w:sz w:val="18"/>
                <w:szCs w:val="18"/>
              </w:rPr>
              <w:t>Service cost</w:t>
            </w:r>
          </w:p>
        </w:tc>
        <w:tc>
          <w:tcPr>
            <w:tcW w:w="1036" w:type="dxa"/>
            <w:tcBorders>
              <w:top w:val="nil"/>
              <w:left w:val="nil"/>
              <w:bottom w:val="nil"/>
              <w:right w:val="nil"/>
            </w:tcBorders>
            <w:shd w:val="clear" w:color="auto" w:fill="F2F2F2" w:themeFill="background1" w:themeFillShade="F2"/>
            <w:vAlign w:val="bottom"/>
          </w:tcPr>
          <w:p w14:paraId="5CDA8C84" w14:textId="298BD112" w:rsidR="001B6918" w:rsidRPr="00F96B39" w:rsidRDefault="001B6918" w:rsidP="00730ECF">
            <w:pPr>
              <w:ind w:firstLine="96"/>
              <w:jc w:val="right"/>
              <w:rPr>
                <w:rFonts w:eastAsia="Times New Roman" w:cstheme="minorHAnsi"/>
                <w:color w:val="FF0000"/>
                <w:sz w:val="18"/>
                <w:szCs w:val="18"/>
              </w:rPr>
            </w:pPr>
            <w:r>
              <w:rPr>
                <w:rFonts w:eastAsia="Times New Roman" w:cstheme="minorHAnsi"/>
                <w:sz w:val="18"/>
                <w:szCs w:val="18"/>
              </w:rPr>
              <w:t>$          -</w:t>
            </w:r>
          </w:p>
        </w:tc>
        <w:tc>
          <w:tcPr>
            <w:tcW w:w="1192" w:type="dxa"/>
            <w:tcBorders>
              <w:top w:val="nil"/>
              <w:left w:val="nil"/>
              <w:bottom w:val="nil"/>
              <w:right w:val="nil"/>
            </w:tcBorders>
            <w:vAlign w:val="bottom"/>
          </w:tcPr>
          <w:p w14:paraId="474D862F" w14:textId="2713E22A" w:rsidR="001B6918" w:rsidRPr="004E6649" w:rsidRDefault="001B6918" w:rsidP="00730ECF">
            <w:pPr>
              <w:ind w:firstLine="96"/>
              <w:jc w:val="right"/>
              <w:rPr>
                <w:rFonts w:eastAsia="Times New Roman" w:cstheme="minorHAnsi"/>
                <w:sz w:val="18"/>
                <w:szCs w:val="18"/>
              </w:rPr>
            </w:pPr>
            <w:r>
              <w:rPr>
                <w:rFonts w:eastAsia="Times New Roman" w:cstheme="minorHAnsi"/>
                <w:sz w:val="18"/>
                <w:szCs w:val="18"/>
              </w:rPr>
              <w:t>$          -</w:t>
            </w:r>
          </w:p>
        </w:tc>
        <w:tc>
          <w:tcPr>
            <w:tcW w:w="1174" w:type="dxa"/>
            <w:tcBorders>
              <w:top w:val="nil"/>
              <w:left w:val="nil"/>
              <w:bottom w:val="nil"/>
              <w:right w:val="nil"/>
            </w:tcBorders>
            <w:shd w:val="clear" w:color="000000" w:fill="F2F2F2"/>
            <w:noWrap/>
            <w:vAlign w:val="bottom"/>
            <w:hideMark/>
          </w:tcPr>
          <w:p w14:paraId="042197F0" w14:textId="285FE8B3" w:rsidR="001B6918" w:rsidRPr="004E6649" w:rsidRDefault="001B6918" w:rsidP="00730ECF">
            <w:pPr>
              <w:ind w:firstLine="96"/>
              <w:jc w:val="right"/>
              <w:rPr>
                <w:rFonts w:eastAsia="Times New Roman" w:cstheme="minorHAnsi"/>
                <w:sz w:val="18"/>
                <w:szCs w:val="18"/>
              </w:rPr>
            </w:pPr>
            <w:r w:rsidRPr="004E6649">
              <w:rPr>
                <w:rFonts w:eastAsia="Times New Roman" w:cstheme="minorHAnsi"/>
                <w:sz w:val="18"/>
                <w:szCs w:val="18"/>
              </w:rPr>
              <w:t xml:space="preserve"> $           1</w:t>
            </w:r>
          </w:p>
        </w:tc>
        <w:tc>
          <w:tcPr>
            <w:tcW w:w="1170" w:type="dxa"/>
            <w:tcBorders>
              <w:top w:val="nil"/>
              <w:left w:val="nil"/>
              <w:bottom w:val="nil"/>
              <w:right w:val="nil"/>
            </w:tcBorders>
            <w:shd w:val="clear" w:color="000000" w:fill="FFFFFF"/>
            <w:noWrap/>
            <w:vAlign w:val="bottom"/>
            <w:hideMark/>
          </w:tcPr>
          <w:p w14:paraId="17CE8405" w14:textId="716AE1AA"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         1</w:t>
            </w:r>
          </w:p>
        </w:tc>
        <w:tc>
          <w:tcPr>
            <w:tcW w:w="1170" w:type="dxa"/>
            <w:tcBorders>
              <w:top w:val="nil"/>
              <w:left w:val="nil"/>
              <w:bottom w:val="nil"/>
              <w:right w:val="nil"/>
            </w:tcBorders>
            <w:shd w:val="clear" w:color="000000" w:fill="F2F2F2"/>
            <w:noWrap/>
            <w:vAlign w:val="bottom"/>
            <w:hideMark/>
          </w:tcPr>
          <w:p w14:paraId="68AB5F46" w14:textId="4AC840CF"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         1</w:t>
            </w:r>
          </w:p>
        </w:tc>
        <w:tc>
          <w:tcPr>
            <w:tcW w:w="1170" w:type="dxa"/>
            <w:tcBorders>
              <w:top w:val="nil"/>
              <w:left w:val="nil"/>
              <w:bottom w:val="nil"/>
              <w:right w:val="nil"/>
            </w:tcBorders>
            <w:shd w:val="clear" w:color="000000" w:fill="FFFFFF"/>
            <w:noWrap/>
            <w:vAlign w:val="bottom"/>
            <w:hideMark/>
          </w:tcPr>
          <w:p w14:paraId="1172E7C2" w14:textId="5EFF6EFA" w:rsidR="001B6918" w:rsidRPr="004E6649" w:rsidRDefault="001B6918" w:rsidP="00730ECF">
            <w:pPr>
              <w:ind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 xml:space="preserve"> $</w:t>
            </w:r>
            <w:r>
              <w:rPr>
                <w:rFonts w:eastAsia="Times New Roman" w:cstheme="minorHAnsi"/>
                <w:color w:val="0D0D0D"/>
                <w:sz w:val="18"/>
                <w:szCs w:val="18"/>
              </w:rPr>
              <w:t xml:space="preserve"> </w:t>
            </w:r>
            <w:r w:rsidRPr="004E6649">
              <w:rPr>
                <w:rFonts w:eastAsia="Times New Roman" w:cstheme="minorHAnsi"/>
                <w:color w:val="0D0D0D"/>
                <w:sz w:val="18"/>
                <w:szCs w:val="18"/>
              </w:rPr>
              <w:t xml:space="preserve">        1</w:t>
            </w:r>
          </w:p>
        </w:tc>
        <w:tc>
          <w:tcPr>
            <w:tcW w:w="1100" w:type="dxa"/>
            <w:tcBorders>
              <w:top w:val="nil"/>
              <w:left w:val="nil"/>
              <w:bottom w:val="nil"/>
              <w:right w:val="nil"/>
            </w:tcBorders>
            <w:shd w:val="clear" w:color="000000" w:fill="F2F2F2"/>
            <w:noWrap/>
            <w:vAlign w:val="bottom"/>
            <w:hideMark/>
          </w:tcPr>
          <w:p w14:paraId="0031C377" w14:textId="1DBA1526" w:rsidR="001B6918" w:rsidRPr="004E6649" w:rsidRDefault="001B6918" w:rsidP="00730ECF">
            <w:pPr>
              <w:ind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 xml:space="preserve"> $ </w:t>
            </w:r>
            <w:r>
              <w:rPr>
                <w:rFonts w:eastAsia="Times New Roman" w:cstheme="minorHAnsi"/>
                <w:color w:val="0D0D0D"/>
                <w:sz w:val="18"/>
                <w:szCs w:val="18"/>
              </w:rPr>
              <w:t xml:space="preserve">    </w:t>
            </w:r>
            <w:r w:rsidRPr="004E6649">
              <w:rPr>
                <w:rFonts w:eastAsia="Times New Roman" w:cstheme="minorHAnsi"/>
                <w:color w:val="0D0D0D"/>
                <w:sz w:val="18"/>
                <w:szCs w:val="18"/>
              </w:rPr>
              <w:t xml:space="preserve">     1</w:t>
            </w:r>
          </w:p>
        </w:tc>
        <w:tc>
          <w:tcPr>
            <w:tcW w:w="1080" w:type="dxa"/>
            <w:tcBorders>
              <w:top w:val="nil"/>
              <w:left w:val="nil"/>
              <w:bottom w:val="nil"/>
              <w:right w:val="nil"/>
            </w:tcBorders>
            <w:shd w:val="clear" w:color="000000" w:fill="FFFFFF"/>
            <w:noWrap/>
            <w:vAlign w:val="bottom"/>
            <w:hideMark/>
          </w:tcPr>
          <w:p w14:paraId="1024525F" w14:textId="3E824560" w:rsidR="001B6918" w:rsidRPr="004E6649" w:rsidRDefault="001B6918" w:rsidP="00460BF5">
            <w:pPr>
              <w:jc w:val="right"/>
              <w:rPr>
                <w:rFonts w:eastAsia="Times New Roman" w:cstheme="minorHAnsi"/>
                <w:color w:val="0D0D0D"/>
                <w:sz w:val="18"/>
                <w:szCs w:val="18"/>
              </w:rPr>
            </w:pPr>
            <w:r>
              <w:rPr>
                <w:rFonts w:eastAsia="Times New Roman" w:cstheme="minorHAnsi"/>
                <w:sz w:val="18"/>
                <w:szCs w:val="18"/>
              </w:rPr>
              <w:t xml:space="preserve">   </w:t>
            </w:r>
            <w:r w:rsidRPr="004E6649">
              <w:rPr>
                <w:rFonts w:eastAsia="Times New Roman" w:cstheme="minorHAnsi"/>
                <w:sz w:val="18"/>
                <w:szCs w:val="18"/>
              </w:rPr>
              <w:t>$           1</w:t>
            </w:r>
          </w:p>
        </w:tc>
        <w:tc>
          <w:tcPr>
            <w:tcW w:w="1080" w:type="dxa"/>
            <w:tcBorders>
              <w:top w:val="nil"/>
              <w:left w:val="nil"/>
              <w:bottom w:val="nil"/>
              <w:right w:val="nil"/>
            </w:tcBorders>
            <w:shd w:val="clear" w:color="000000" w:fill="F2F2F2"/>
            <w:noWrap/>
            <w:vAlign w:val="bottom"/>
            <w:hideMark/>
          </w:tcPr>
          <w:p w14:paraId="5C78CB72" w14:textId="17B042C8" w:rsidR="001B6918" w:rsidRPr="004E6649" w:rsidRDefault="001B6918" w:rsidP="00460BF5">
            <w:pPr>
              <w:ind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 xml:space="preserve">$ </w:t>
            </w:r>
            <w:r>
              <w:rPr>
                <w:rFonts w:eastAsia="Times New Roman" w:cstheme="minorHAnsi"/>
                <w:color w:val="0D0D0D"/>
                <w:sz w:val="18"/>
                <w:szCs w:val="18"/>
              </w:rPr>
              <w:t xml:space="preserve"> </w:t>
            </w:r>
            <w:r w:rsidRPr="004E6649">
              <w:rPr>
                <w:rFonts w:eastAsia="Times New Roman" w:cstheme="minorHAnsi"/>
                <w:color w:val="0D0D0D"/>
                <w:sz w:val="18"/>
                <w:szCs w:val="18"/>
              </w:rPr>
              <w:t xml:space="preserve"> </w:t>
            </w:r>
            <w:r>
              <w:rPr>
                <w:rFonts w:eastAsia="Times New Roman" w:cstheme="minorHAnsi"/>
                <w:color w:val="0D0D0D"/>
                <w:sz w:val="18"/>
                <w:szCs w:val="18"/>
              </w:rPr>
              <w:t xml:space="preserve">   </w:t>
            </w:r>
            <w:r w:rsidRPr="004E6649">
              <w:rPr>
                <w:rFonts w:eastAsia="Times New Roman" w:cstheme="minorHAnsi"/>
                <w:color w:val="0D0D0D"/>
                <w:sz w:val="18"/>
                <w:szCs w:val="18"/>
              </w:rPr>
              <w:t xml:space="preserve"> 6</w:t>
            </w:r>
          </w:p>
        </w:tc>
        <w:tc>
          <w:tcPr>
            <w:tcW w:w="987" w:type="dxa"/>
            <w:tcBorders>
              <w:top w:val="nil"/>
              <w:left w:val="nil"/>
              <w:bottom w:val="nil"/>
              <w:right w:val="nil"/>
            </w:tcBorders>
            <w:shd w:val="clear" w:color="000000" w:fill="FFFFFF"/>
            <w:noWrap/>
            <w:vAlign w:val="bottom"/>
            <w:hideMark/>
          </w:tcPr>
          <w:p w14:paraId="2121C0D2" w14:textId="77777777" w:rsidR="001B6918" w:rsidRPr="004E6649" w:rsidRDefault="001B6918" w:rsidP="00730ECF">
            <w:pPr>
              <w:ind w:left="-40" w:right="-114" w:firstLineChars="100" w:firstLine="180"/>
              <w:jc w:val="right"/>
              <w:rPr>
                <w:rFonts w:eastAsia="Times New Roman" w:cstheme="minorHAnsi"/>
                <w:sz w:val="18"/>
                <w:szCs w:val="18"/>
              </w:rPr>
            </w:pPr>
            <w:r w:rsidRPr="004E6649">
              <w:rPr>
                <w:rFonts w:eastAsia="Times New Roman" w:cstheme="minorHAnsi"/>
                <w:sz w:val="18"/>
                <w:szCs w:val="18"/>
              </w:rPr>
              <w:t xml:space="preserve">  </w:t>
            </w:r>
            <w:r>
              <w:rPr>
                <w:rFonts w:eastAsia="Times New Roman" w:cstheme="minorHAnsi"/>
                <w:sz w:val="18"/>
                <w:szCs w:val="18"/>
              </w:rPr>
              <w:t xml:space="preserve">    </w:t>
            </w:r>
            <w:r w:rsidRPr="004E6649">
              <w:rPr>
                <w:rFonts w:eastAsia="Times New Roman" w:cstheme="minorHAnsi"/>
                <w:sz w:val="18"/>
                <w:szCs w:val="18"/>
              </w:rPr>
              <w:t xml:space="preserve">     </w:t>
            </w:r>
            <w:r>
              <w:rPr>
                <w:rFonts w:eastAsia="Times New Roman" w:cstheme="minorHAnsi"/>
                <w:sz w:val="18"/>
                <w:szCs w:val="18"/>
              </w:rPr>
              <w:t xml:space="preserve">       $       </w:t>
            </w:r>
            <w:r w:rsidRPr="004E6649">
              <w:rPr>
                <w:rFonts w:eastAsia="Times New Roman" w:cstheme="minorHAnsi"/>
                <w:sz w:val="18"/>
                <w:szCs w:val="18"/>
              </w:rPr>
              <w:t xml:space="preserve">5 </w:t>
            </w:r>
          </w:p>
        </w:tc>
      </w:tr>
      <w:tr w:rsidR="001B6918" w:rsidRPr="004E6649" w14:paraId="03FAE016" w14:textId="77777777" w:rsidTr="00730ECF">
        <w:trPr>
          <w:gridAfter w:val="1"/>
          <w:wAfter w:w="149" w:type="dxa"/>
          <w:trHeight w:val="20"/>
          <w:jc w:val="center"/>
        </w:trPr>
        <w:tc>
          <w:tcPr>
            <w:tcW w:w="3058" w:type="dxa"/>
            <w:gridSpan w:val="3"/>
            <w:tcBorders>
              <w:top w:val="nil"/>
              <w:left w:val="nil"/>
              <w:bottom w:val="nil"/>
              <w:right w:val="nil"/>
            </w:tcBorders>
            <w:shd w:val="clear" w:color="000000" w:fill="FFFFFF"/>
            <w:vAlign w:val="bottom"/>
            <w:hideMark/>
          </w:tcPr>
          <w:p w14:paraId="37110D4A" w14:textId="77777777" w:rsidR="001B6918" w:rsidRPr="004E6649" w:rsidRDefault="001B6918" w:rsidP="00730ECF">
            <w:pPr>
              <w:ind w:left="-113" w:right="-951" w:firstLine="96"/>
              <w:rPr>
                <w:rFonts w:eastAsia="Times New Roman" w:cstheme="minorHAnsi"/>
                <w:color w:val="0D0D0D"/>
                <w:sz w:val="18"/>
                <w:szCs w:val="18"/>
              </w:rPr>
            </w:pPr>
            <w:r w:rsidRPr="004E6649">
              <w:rPr>
                <w:rFonts w:eastAsia="Times New Roman" w:cstheme="minorHAnsi"/>
                <w:color w:val="0D0D0D"/>
                <w:sz w:val="18"/>
                <w:szCs w:val="18"/>
              </w:rPr>
              <w:t>Interest</w:t>
            </w:r>
          </w:p>
        </w:tc>
        <w:tc>
          <w:tcPr>
            <w:tcW w:w="1036" w:type="dxa"/>
            <w:tcBorders>
              <w:top w:val="nil"/>
              <w:left w:val="nil"/>
              <w:bottom w:val="nil"/>
              <w:right w:val="nil"/>
            </w:tcBorders>
            <w:shd w:val="clear" w:color="auto" w:fill="F2F2F2" w:themeFill="background1" w:themeFillShade="F2"/>
            <w:vAlign w:val="bottom"/>
          </w:tcPr>
          <w:p w14:paraId="2437A394" w14:textId="5FFEAC46" w:rsidR="001B6918" w:rsidRPr="00C0359C" w:rsidRDefault="001B6918" w:rsidP="00730ECF">
            <w:pPr>
              <w:ind w:firstLineChars="100" w:firstLine="180"/>
              <w:jc w:val="right"/>
              <w:rPr>
                <w:rFonts w:eastAsia="Times New Roman" w:cstheme="minorHAnsi"/>
                <w:color w:val="FF0000"/>
                <w:sz w:val="18"/>
                <w:szCs w:val="18"/>
              </w:rPr>
            </w:pPr>
            <w:r w:rsidRPr="003E524C">
              <w:rPr>
                <w:rFonts w:ascii="Calibri" w:hAnsi="Calibri" w:cs="Calibri"/>
                <w:sz w:val="18"/>
                <w:szCs w:val="18"/>
              </w:rPr>
              <w:t xml:space="preserve">     1,657</w:t>
            </w:r>
          </w:p>
        </w:tc>
        <w:tc>
          <w:tcPr>
            <w:tcW w:w="1192" w:type="dxa"/>
            <w:tcBorders>
              <w:top w:val="nil"/>
              <w:left w:val="nil"/>
              <w:bottom w:val="nil"/>
              <w:right w:val="nil"/>
            </w:tcBorders>
            <w:vAlign w:val="bottom"/>
          </w:tcPr>
          <w:p w14:paraId="058B3A7D" w14:textId="77777777" w:rsidR="001B6918" w:rsidRPr="004E6649" w:rsidRDefault="001B6918" w:rsidP="00730ECF">
            <w:pPr>
              <w:ind w:firstLineChars="100" w:firstLine="180"/>
              <w:jc w:val="right"/>
              <w:rPr>
                <w:rFonts w:eastAsia="Times New Roman" w:cstheme="minorHAnsi"/>
                <w:sz w:val="18"/>
                <w:szCs w:val="18"/>
              </w:rPr>
            </w:pPr>
            <w:r>
              <w:rPr>
                <w:rFonts w:eastAsia="Times New Roman" w:cstheme="minorHAnsi"/>
                <w:sz w:val="18"/>
                <w:szCs w:val="18"/>
              </w:rPr>
              <w:t>1,751</w:t>
            </w:r>
          </w:p>
        </w:tc>
        <w:tc>
          <w:tcPr>
            <w:tcW w:w="1174" w:type="dxa"/>
            <w:tcBorders>
              <w:top w:val="nil"/>
              <w:left w:val="nil"/>
              <w:bottom w:val="nil"/>
              <w:right w:val="nil"/>
            </w:tcBorders>
            <w:shd w:val="clear" w:color="000000" w:fill="F2F2F2"/>
            <w:noWrap/>
            <w:vAlign w:val="bottom"/>
            <w:hideMark/>
          </w:tcPr>
          <w:p w14:paraId="494F7918" w14:textId="4823ED6B"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 xml:space="preserve">    1,891</w:t>
            </w:r>
          </w:p>
        </w:tc>
        <w:tc>
          <w:tcPr>
            <w:tcW w:w="1170" w:type="dxa"/>
            <w:tcBorders>
              <w:top w:val="nil"/>
              <w:left w:val="nil"/>
              <w:bottom w:val="nil"/>
              <w:right w:val="nil"/>
            </w:tcBorders>
            <w:shd w:val="clear" w:color="000000" w:fill="FFFFFF"/>
            <w:noWrap/>
            <w:vAlign w:val="bottom"/>
            <w:hideMark/>
          </w:tcPr>
          <w:p w14:paraId="08E56397" w14:textId="2558029B" w:rsidR="001B6918" w:rsidRPr="004E6649" w:rsidRDefault="001B6918" w:rsidP="00730ECF">
            <w:pPr>
              <w:ind w:firstLine="96"/>
              <w:jc w:val="right"/>
              <w:rPr>
                <w:rFonts w:eastAsia="Times New Roman" w:cstheme="minorHAnsi"/>
                <w:sz w:val="18"/>
                <w:szCs w:val="18"/>
              </w:rPr>
            </w:pPr>
            <w:r w:rsidRPr="004E6649">
              <w:rPr>
                <w:rFonts w:eastAsia="Times New Roman" w:cstheme="minorHAnsi"/>
                <w:sz w:val="18"/>
                <w:szCs w:val="18"/>
              </w:rPr>
              <w:t>1,996</w:t>
            </w:r>
          </w:p>
        </w:tc>
        <w:tc>
          <w:tcPr>
            <w:tcW w:w="1170" w:type="dxa"/>
            <w:tcBorders>
              <w:top w:val="nil"/>
              <w:left w:val="nil"/>
              <w:bottom w:val="nil"/>
              <w:right w:val="nil"/>
            </w:tcBorders>
            <w:shd w:val="clear" w:color="000000" w:fill="F2F2F2"/>
            <w:noWrap/>
            <w:vAlign w:val="bottom"/>
            <w:hideMark/>
          </w:tcPr>
          <w:p w14:paraId="632A5179" w14:textId="3C68BAE4"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 xml:space="preserve">    2,148</w:t>
            </w:r>
          </w:p>
        </w:tc>
        <w:tc>
          <w:tcPr>
            <w:tcW w:w="1170" w:type="dxa"/>
            <w:tcBorders>
              <w:top w:val="nil"/>
              <w:left w:val="nil"/>
              <w:bottom w:val="nil"/>
              <w:right w:val="nil"/>
            </w:tcBorders>
            <w:shd w:val="clear" w:color="000000" w:fill="FFFFFF"/>
            <w:noWrap/>
            <w:vAlign w:val="bottom"/>
            <w:hideMark/>
          </w:tcPr>
          <w:p w14:paraId="698482F2" w14:textId="18D69AB7" w:rsidR="001B6918" w:rsidRPr="004E6649" w:rsidRDefault="001B6918" w:rsidP="00730ECF">
            <w:pPr>
              <w:ind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 xml:space="preserve">    2,255</w:t>
            </w:r>
          </w:p>
        </w:tc>
        <w:tc>
          <w:tcPr>
            <w:tcW w:w="1100" w:type="dxa"/>
            <w:tcBorders>
              <w:top w:val="nil"/>
              <w:left w:val="nil"/>
              <w:bottom w:val="nil"/>
              <w:right w:val="nil"/>
            </w:tcBorders>
            <w:shd w:val="clear" w:color="000000" w:fill="F2F2F2"/>
            <w:noWrap/>
            <w:vAlign w:val="bottom"/>
            <w:hideMark/>
          </w:tcPr>
          <w:p w14:paraId="1BA05EA6" w14:textId="7BFA28CE" w:rsidR="001B6918" w:rsidRPr="004E6649" w:rsidRDefault="001B6918" w:rsidP="00730ECF">
            <w:pPr>
              <w:ind w:firstLine="96"/>
              <w:jc w:val="right"/>
              <w:rPr>
                <w:rFonts w:eastAsia="Times New Roman" w:cstheme="minorHAnsi"/>
                <w:sz w:val="18"/>
                <w:szCs w:val="18"/>
              </w:rPr>
            </w:pPr>
            <w:r w:rsidRPr="004E6649">
              <w:rPr>
                <w:rFonts w:eastAsia="Times New Roman" w:cstheme="minorHAnsi"/>
                <w:sz w:val="18"/>
                <w:szCs w:val="18"/>
              </w:rPr>
              <w:t xml:space="preserve">  2,270</w:t>
            </w:r>
          </w:p>
        </w:tc>
        <w:tc>
          <w:tcPr>
            <w:tcW w:w="1080" w:type="dxa"/>
            <w:tcBorders>
              <w:top w:val="nil"/>
              <w:left w:val="nil"/>
              <w:bottom w:val="nil"/>
              <w:right w:val="nil"/>
            </w:tcBorders>
            <w:shd w:val="clear" w:color="000000" w:fill="FFFFFF"/>
            <w:noWrap/>
            <w:vAlign w:val="bottom"/>
            <w:hideMark/>
          </w:tcPr>
          <w:p w14:paraId="725BCCE2" w14:textId="46FC6E3B" w:rsidR="001B6918" w:rsidRPr="004E6649" w:rsidRDefault="001B6918" w:rsidP="00730ECF">
            <w:pPr>
              <w:ind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 xml:space="preserve">  2,385</w:t>
            </w:r>
          </w:p>
        </w:tc>
        <w:tc>
          <w:tcPr>
            <w:tcW w:w="1080" w:type="dxa"/>
            <w:tcBorders>
              <w:top w:val="nil"/>
              <w:left w:val="nil"/>
              <w:bottom w:val="nil"/>
              <w:right w:val="nil"/>
            </w:tcBorders>
            <w:shd w:val="clear" w:color="000000" w:fill="F2F2F2"/>
            <w:noWrap/>
            <w:vAlign w:val="bottom"/>
            <w:hideMark/>
          </w:tcPr>
          <w:p w14:paraId="46CFFE5A" w14:textId="77777777" w:rsidR="001B6918" w:rsidRPr="004E6649" w:rsidRDefault="001B6918" w:rsidP="00730ECF">
            <w:pPr>
              <w:ind w:firstLine="96"/>
              <w:jc w:val="right"/>
              <w:rPr>
                <w:rFonts w:eastAsia="Times New Roman" w:cstheme="minorHAnsi"/>
                <w:sz w:val="18"/>
                <w:szCs w:val="18"/>
              </w:rPr>
            </w:pPr>
            <w:r w:rsidRPr="004E6649">
              <w:rPr>
                <w:rFonts w:eastAsia="Times New Roman" w:cstheme="minorHAnsi"/>
                <w:sz w:val="18"/>
                <w:szCs w:val="18"/>
              </w:rPr>
              <w:t>2,545</w:t>
            </w:r>
          </w:p>
        </w:tc>
        <w:tc>
          <w:tcPr>
            <w:tcW w:w="987" w:type="dxa"/>
            <w:tcBorders>
              <w:top w:val="nil"/>
              <w:left w:val="nil"/>
              <w:bottom w:val="nil"/>
              <w:right w:val="nil"/>
            </w:tcBorders>
            <w:shd w:val="clear" w:color="000000" w:fill="FFFFFF"/>
            <w:noWrap/>
            <w:vAlign w:val="bottom"/>
            <w:hideMark/>
          </w:tcPr>
          <w:p w14:paraId="345D8D1A" w14:textId="5D1DAFF6" w:rsidR="001B6918" w:rsidRPr="004E6649" w:rsidRDefault="001B6918" w:rsidP="00730ECF">
            <w:pPr>
              <w:ind w:left="-40" w:right="-114" w:firstLineChars="100" w:firstLine="180"/>
              <w:jc w:val="right"/>
              <w:rPr>
                <w:rFonts w:eastAsia="Times New Roman" w:cstheme="minorHAnsi"/>
                <w:sz w:val="18"/>
                <w:szCs w:val="18"/>
              </w:rPr>
            </w:pPr>
            <w:r w:rsidRPr="004E6649">
              <w:rPr>
                <w:rFonts w:eastAsia="Times New Roman" w:cstheme="minorHAnsi"/>
                <w:sz w:val="18"/>
                <w:szCs w:val="18"/>
              </w:rPr>
              <w:t xml:space="preserve">2,769 </w:t>
            </w:r>
          </w:p>
        </w:tc>
      </w:tr>
      <w:tr w:rsidR="001B6918" w:rsidRPr="004E6649" w14:paraId="78EB4DCA" w14:textId="77777777" w:rsidTr="00730ECF">
        <w:trPr>
          <w:gridAfter w:val="1"/>
          <w:wAfter w:w="149" w:type="dxa"/>
          <w:trHeight w:val="20"/>
          <w:jc w:val="center"/>
        </w:trPr>
        <w:tc>
          <w:tcPr>
            <w:tcW w:w="3058" w:type="dxa"/>
            <w:gridSpan w:val="3"/>
            <w:tcBorders>
              <w:top w:val="nil"/>
              <w:left w:val="nil"/>
              <w:bottom w:val="nil"/>
              <w:right w:val="nil"/>
            </w:tcBorders>
            <w:shd w:val="clear" w:color="000000" w:fill="FFFFFF"/>
            <w:vAlign w:val="bottom"/>
            <w:hideMark/>
          </w:tcPr>
          <w:p w14:paraId="4A7363F7" w14:textId="77777777" w:rsidR="001B6918" w:rsidRPr="004E6649" w:rsidRDefault="001B6918" w:rsidP="00730ECF">
            <w:pPr>
              <w:ind w:left="-113" w:right="-951" w:firstLine="96"/>
              <w:rPr>
                <w:rFonts w:eastAsia="Times New Roman" w:cstheme="minorHAnsi"/>
                <w:color w:val="0D0D0D"/>
                <w:sz w:val="18"/>
                <w:szCs w:val="18"/>
              </w:rPr>
            </w:pPr>
            <w:r w:rsidRPr="004E6649">
              <w:rPr>
                <w:rFonts w:eastAsia="Times New Roman" w:cstheme="minorHAnsi"/>
                <w:color w:val="0D0D0D"/>
                <w:sz w:val="18"/>
                <w:szCs w:val="18"/>
              </w:rPr>
              <w:t>Differences between expected and</w:t>
            </w:r>
          </w:p>
          <w:p w14:paraId="47CEC882" w14:textId="77777777" w:rsidR="001B6918" w:rsidRPr="004E6649" w:rsidRDefault="001B6918" w:rsidP="00730ECF">
            <w:pPr>
              <w:ind w:left="-113" w:right="-951" w:firstLine="96"/>
              <w:rPr>
                <w:rFonts w:eastAsia="Times New Roman" w:cstheme="minorHAnsi"/>
                <w:color w:val="0D0D0D"/>
                <w:sz w:val="18"/>
                <w:szCs w:val="18"/>
              </w:rPr>
            </w:pPr>
            <w:r w:rsidRPr="004E6649">
              <w:rPr>
                <w:rFonts w:eastAsia="Times New Roman" w:cstheme="minorHAnsi"/>
                <w:color w:val="0D0D0D"/>
                <w:sz w:val="18"/>
                <w:szCs w:val="18"/>
              </w:rPr>
              <w:t xml:space="preserve">  actual experience </w:t>
            </w:r>
          </w:p>
        </w:tc>
        <w:tc>
          <w:tcPr>
            <w:tcW w:w="1036" w:type="dxa"/>
            <w:tcBorders>
              <w:top w:val="nil"/>
              <w:left w:val="nil"/>
              <w:bottom w:val="nil"/>
              <w:right w:val="nil"/>
            </w:tcBorders>
            <w:shd w:val="clear" w:color="auto" w:fill="F2F2F2" w:themeFill="background1" w:themeFillShade="F2"/>
            <w:vAlign w:val="bottom"/>
          </w:tcPr>
          <w:p w14:paraId="62EEEB88" w14:textId="56F46B19" w:rsidR="001B6918" w:rsidRPr="00C0359C" w:rsidRDefault="001B6918" w:rsidP="00730ECF">
            <w:pPr>
              <w:ind w:firstLineChars="100" w:firstLine="180"/>
              <w:jc w:val="right"/>
              <w:rPr>
                <w:rFonts w:eastAsia="Times New Roman" w:cstheme="minorHAnsi"/>
                <w:color w:val="FF0000"/>
                <w:sz w:val="18"/>
                <w:szCs w:val="18"/>
              </w:rPr>
            </w:pPr>
            <w:r w:rsidRPr="003E524C">
              <w:rPr>
                <w:rFonts w:ascii="Calibri" w:hAnsi="Calibri" w:cs="Calibri"/>
                <w:sz w:val="18"/>
                <w:szCs w:val="18"/>
              </w:rPr>
              <w:t>(1,512)</w:t>
            </w:r>
          </w:p>
        </w:tc>
        <w:tc>
          <w:tcPr>
            <w:tcW w:w="1192" w:type="dxa"/>
            <w:tcBorders>
              <w:top w:val="nil"/>
              <w:left w:val="nil"/>
              <w:bottom w:val="nil"/>
              <w:right w:val="nil"/>
            </w:tcBorders>
            <w:vAlign w:val="bottom"/>
          </w:tcPr>
          <w:p w14:paraId="02CEA51D" w14:textId="77777777"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 xml:space="preserve">          -</w:t>
            </w:r>
          </w:p>
        </w:tc>
        <w:tc>
          <w:tcPr>
            <w:tcW w:w="1174" w:type="dxa"/>
            <w:tcBorders>
              <w:top w:val="nil"/>
              <w:left w:val="nil"/>
              <w:bottom w:val="nil"/>
              <w:right w:val="nil"/>
            </w:tcBorders>
            <w:shd w:val="clear" w:color="000000" w:fill="F2F2F2"/>
            <w:noWrap/>
            <w:vAlign w:val="bottom"/>
            <w:hideMark/>
          </w:tcPr>
          <w:p w14:paraId="4CA101CE" w14:textId="77777777"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 xml:space="preserve">  (748)</w:t>
            </w:r>
          </w:p>
        </w:tc>
        <w:tc>
          <w:tcPr>
            <w:tcW w:w="1170" w:type="dxa"/>
            <w:tcBorders>
              <w:top w:val="nil"/>
              <w:left w:val="nil"/>
              <w:bottom w:val="nil"/>
              <w:right w:val="nil"/>
            </w:tcBorders>
            <w:shd w:val="clear" w:color="000000" w:fill="FFFFFF"/>
            <w:noWrap/>
            <w:vAlign w:val="bottom"/>
            <w:hideMark/>
          </w:tcPr>
          <w:p w14:paraId="57CF257C" w14:textId="79BD8C26"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 xml:space="preserve">          -</w:t>
            </w:r>
          </w:p>
        </w:tc>
        <w:tc>
          <w:tcPr>
            <w:tcW w:w="1170" w:type="dxa"/>
            <w:tcBorders>
              <w:top w:val="nil"/>
              <w:left w:val="nil"/>
              <w:bottom w:val="nil"/>
              <w:right w:val="nil"/>
            </w:tcBorders>
            <w:shd w:val="clear" w:color="000000" w:fill="F2F2F2"/>
            <w:noWrap/>
            <w:vAlign w:val="bottom"/>
            <w:hideMark/>
          </w:tcPr>
          <w:p w14:paraId="40DDFB3C" w14:textId="77777777"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 xml:space="preserve">   (285)</w:t>
            </w:r>
          </w:p>
        </w:tc>
        <w:tc>
          <w:tcPr>
            <w:tcW w:w="1170" w:type="dxa"/>
            <w:tcBorders>
              <w:top w:val="nil"/>
              <w:left w:val="nil"/>
              <w:bottom w:val="nil"/>
              <w:right w:val="nil"/>
            </w:tcBorders>
            <w:shd w:val="clear" w:color="000000" w:fill="FFFFFF"/>
            <w:noWrap/>
            <w:vAlign w:val="bottom"/>
            <w:hideMark/>
          </w:tcPr>
          <w:p w14:paraId="1EFC09EF" w14:textId="77777777" w:rsidR="001B6918" w:rsidRPr="004E6649" w:rsidRDefault="001B6918" w:rsidP="00730ECF">
            <w:pPr>
              <w:ind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 </w:t>
            </w:r>
            <w:r w:rsidRPr="004E6649">
              <w:rPr>
                <w:rFonts w:eastAsia="Times New Roman" w:cstheme="minorHAnsi"/>
                <w:sz w:val="18"/>
                <w:szCs w:val="18"/>
              </w:rPr>
              <w:t xml:space="preserve">          -</w:t>
            </w:r>
          </w:p>
        </w:tc>
        <w:tc>
          <w:tcPr>
            <w:tcW w:w="1100" w:type="dxa"/>
            <w:tcBorders>
              <w:top w:val="nil"/>
              <w:left w:val="nil"/>
              <w:bottom w:val="nil"/>
              <w:right w:val="nil"/>
            </w:tcBorders>
            <w:shd w:val="clear" w:color="000000" w:fill="F2F2F2"/>
            <w:noWrap/>
            <w:vAlign w:val="bottom"/>
            <w:hideMark/>
          </w:tcPr>
          <w:p w14:paraId="4615E732" w14:textId="77777777" w:rsidR="001B6918" w:rsidRPr="004E6649" w:rsidRDefault="001B6918" w:rsidP="00730ECF">
            <w:pPr>
              <w:ind w:firstLine="96"/>
              <w:jc w:val="right"/>
              <w:rPr>
                <w:rFonts w:eastAsia="Times New Roman" w:cstheme="minorHAnsi"/>
                <w:sz w:val="18"/>
                <w:szCs w:val="18"/>
              </w:rPr>
            </w:pPr>
            <w:r w:rsidRPr="004E6649">
              <w:rPr>
                <w:rFonts w:eastAsia="Times New Roman" w:cstheme="minorHAnsi"/>
                <w:sz w:val="18"/>
                <w:szCs w:val="18"/>
              </w:rPr>
              <w:t>(1,238)</w:t>
            </w:r>
          </w:p>
        </w:tc>
        <w:tc>
          <w:tcPr>
            <w:tcW w:w="1080" w:type="dxa"/>
            <w:tcBorders>
              <w:top w:val="nil"/>
              <w:left w:val="nil"/>
              <w:bottom w:val="nil"/>
              <w:right w:val="nil"/>
            </w:tcBorders>
            <w:shd w:val="clear" w:color="000000" w:fill="FFFFFF"/>
            <w:noWrap/>
            <w:vAlign w:val="bottom"/>
            <w:hideMark/>
          </w:tcPr>
          <w:p w14:paraId="51534D0B" w14:textId="77B6877C" w:rsidR="001B6918" w:rsidRPr="004E6649" w:rsidRDefault="001B6918" w:rsidP="00730ECF">
            <w:pPr>
              <w:ind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 xml:space="preserve">         -</w:t>
            </w:r>
          </w:p>
        </w:tc>
        <w:tc>
          <w:tcPr>
            <w:tcW w:w="1080" w:type="dxa"/>
            <w:tcBorders>
              <w:top w:val="nil"/>
              <w:left w:val="nil"/>
              <w:bottom w:val="nil"/>
              <w:right w:val="nil"/>
            </w:tcBorders>
            <w:shd w:val="clear" w:color="000000" w:fill="F2F2F2"/>
            <w:noWrap/>
            <w:vAlign w:val="bottom"/>
            <w:hideMark/>
          </w:tcPr>
          <w:p w14:paraId="03BF7DB6" w14:textId="77777777"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 xml:space="preserve">  (759)</w:t>
            </w:r>
          </w:p>
        </w:tc>
        <w:tc>
          <w:tcPr>
            <w:tcW w:w="987" w:type="dxa"/>
            <w:tcBorders>
              <w:top w:val="nil"/>
              <w:left w:val="nil"/>
              <w:bottom w:val="nil"/>
              <w:right w:val="nil"/>
            </w:tcBorders>
            <w:shd w:val="clear" w:color="000000" w:fill="FFFFFF"/>
            <w:noWrap/>
            <w:vAlign w:val="bottom"/>
            <w:hideMark/>
          </w:tcPr>
          <w:p w14:paraId="64465302" w14:textId="77777777" w:rsidR="001B6918" w:rsidRPr="004E6649" w:rsidRDefault="001B6918" w:rsidP="00730ECF">
            <w:pPr>
              <w:ind w:left="-40" w:right="-114" w:firstLineChars="100" w:firstLine="180"/>
              <w:jc w:val="right"/>
              <w:rPr>
                <w:rFonts w:eastAsia="Times New Roman" w:cstheme="minorHAnsi"/>
                <w:sz w:val="18"/>
                <w:szCs w:val="18"/>
              </w:rPr>
            </w:pPr>
            <w:r w:rsidRPr="004E6649">
              <w:rPr>
                <w:rFonts w:eastAsia="Times New Roman" w:cstheme="minorHAnsi"/>
                <w:sz w:val="18"/>
                <w:szCs w:val="18"/>
              </w:rPr>
              <w:t xml:space="preserve">         - </w:t>
            </w:r>
          </w:p>
        </w:tc>
      </w:tr>
      <w:tr w:rsidR="001B6918" w:rsidRPr="004E6649" w14:paraId="37E2A415" w14:textId="77777777" w:rsidTr="00730ECF">
        <w:trPr>
          <w:gridAfter w:val="1"/>
          <w:wAfter w:w="149" w:type="dxa"/>
          <w:trHeight w:val="20"/>
          <w:jc w:val="center"/>
        </w:trPr>
        <w:tc>
          <w:tcPr>
            <w:tcW w:w="3058" w:type="dxa"/>
            <w:gridSpan w:val="3"/>
            <w:tcBorders>
              <w:top w:val="nil"/>
              <w:left w:val="nil"/>
              <w:right w:val="nil"/>
            </w:tcBorders>
            <w:shd w:val="clear" w:color="000000" w:fill="FFFFFF"/>
            <w:noWrap/>
            <w:vAlign w:val="bottom"/>
            <w:hideMark/>
          </w:tcPr>
          <w:p w14:paraId="761424F5" w14:textId="77777777" w:rsidR="001B6918" w:rsidRPr="004E6649" w:rsidRDefault="001B6918" w:rsidP="00730ECF">
            <w:pPr>
              <w:ind w:left="-113" w:right="-951" w:firstLine="96"/>
              <w:rPr>
                <w:rFonts w:eastAsia="Times New Roman" w:cstheme="minorHAnsi"/>
                <w:color w:val="0D0D0D"/>
                <w:sz w:val="18"/>
                <w:szCs w:val="18"/>
              </w:rPr>
            </w:pPr>
            <w:r w:rsidRPr="004E6649">
              <w:rPr>
                <w:rFonts w:eastAsia="Times New Roman" w:cstheme="minorHAnsi"/>
                <w:color w:val="0D0D0D"/>
                <w:sz w:val="18"/>
                <w:szCs w:val="18"/>
              </w:rPr>
              <w:t>Changes of assumptions</w:t>
            </w:r>
          </w:p>
        </w:tc>
        <w:tc>
          <w:tcPr>
            <w:tcW w:w="1036" w:type="dxa"/>
            <w:tcBorders>
              <w:top w:val="nil"/>
              <w:left w:val="nil"/>
              <w:right w:val="nil"/>
            </w:tcBorders>
            <w:shd w:val="clear" w:color="auto" w:fill="F2F2F2" w:themeFill="background1" w:themeFillShade="F2"/>
            <w:vAlign w:val="bottom"/>
          </w:tcPr>
          <w:p w14:paraId="7DDABE77" w14:textId="77777777" w:rsidR="001B6918" w:rsidRPr="00C0359C" w:rsidRDefault="001B6918" w:rsidP="00730ECF">
            <w:pPr>
              <w:ind w:firstLineChars="100" w:firstLine="180"/>
              <w:jc w:val="right"/>
              <w:rPr>
                <w:rFonts w:eastAsia="Times New Roman" w:cstheme="minorHAnsi"/>
                <w:color w:val="FF0000"/>
                <w:sz w:val="18"/>
                <w:szCs w:val="18"/>
              </w:rPr>
            </w:pPr>
            <w:r w:rsidRPr="003E524C">
              <w:rPr>
                <w:rFonts w:ascii="Calibri" w:hAnsi="Calibri" w:cs="Calibri"/>
                <w:sz w:val="18"/>
                <w:szCs w:val="18"/>
              </w:rPr>
              <w:t xml:space="preserve">  (1,867)</w:t>
            </w:r>
          </w:p>
        </w:tc>
        <w:tc>
          <w:tcPr>
            <w:tcW w:w="1192" w:type="dxa"/>
            <w:tcBorders>
              <w:top w:val="nil"/>
              <w:left w:val="nil"/>
              <w:right w:val="nil"/>
            </w:tcBorders>
            <w:vAlign w:val="bottom"/>
          </w:tcPr>
          <w:p w14:paraId="4BC9D7FC" w14:textId="77777777"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 xml:space="preserve">          -</w:t>
            </w:r>
          </w:p>
        </w:tc>
        <w:tc>
          <w:tcPr>
            <w:tcW w:w="1174" w:type="dxa"/>
            <w:tcBorders>
              <w:top w:val="nil"/>
              <w:left w:val="nil"/>
              <w:right w:val="nil"/>
            </w:tcBorders>
            <w:shd w:val="clear" w:color="000000" w:fill="F2F2F2"/>
            <w:noWrap/>
            <w:vAlign w:val="bottom"/>
            <w:hideMark/>
          </w:tcPr>
          <w:p w14:paraId="196FC906" w14:textId="30789FA7"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 xml:space="preserve">         95</w:t>
            </w:r>
          </w:p>
        </w:tc>
        <w:tc>
          <w:tcPr>
            <w:tcW w:w="1170" w:type="dxa"/>
            <w:tcBorders>
              <w:top w:val="nil"/>
              <w:left w:val="nil"/>
              <w:right w:val="nil"/>
            </w:tcBorders>
            <w:shd w:val="clear" w:color="000000" w:fill="FFFFFF"/>
            <w:noWrap/>
            <w:vAlign w:val="bottom"/>
            <w:hideMark/>
          </w:tcPr>
          <w:p w14:paraId="707FA2EC" w14:textId="1E918A09"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w:t>
            </w:r>
          </w:p>
        </w:tc>
        <w:tc>
          <w:tcPr>
            <w:tcW w:w="1170" w:type="dxa"/>
            <w:tcBorders>
              <w:top w:val="nil"/>
              <w:left w:val="nil"/>
              <w:right w:val="nil"/>
            </w:tcBorders>
            <w:shd w:val="clear" w:color="000000" w:fill="F2F2F2"/>
            <w:noWrap/>
            <w:vAlign w:val="bottom"/>
            <w:hideMark/>
          </w:tcPr>
          <w:p w14:paraId="6B9A3D54" w14:textId="77777777"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 xml:space="preserve"> (426)</w:t>
            </w:r>
          </w:p>
        </w:tc>
        <w:tc>
          <w:tcPr>
            <w:tcW w:w="1170" w:type="dxa"/>
            <w:tcBorders>
              <w:top w:val="nil"/>
              <w:left w:val="nil"/>
              <w:right w:val="nil"/>
            </w:tcBorders>
            <w:shd w:val="clear" w:color="000000" w:fill="FFFFFF"/>
            <w:noWrap/>
            <w:vAlign w:val="bottom"/>
            <w:hideMark/>
          </w:tcPr>
          <w:p w14:paraId="172FBAA0" w14:textId="50692FDE" w:rsidR="001B6918" w:rsidRPr="004E6649" w:rsidRDefault="001B6918" w:rsidP="00730ECF">
            <w:pPr>
              <w:ind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w:t>
            </w:r>
          </w:p>
        </w:tc>
        <w:tc>
          <w:tcPr>
            <w:tcW w:w="1100" w:type="dxa"/>
            <w:tcBorders>
              <w:top w:val="nil"/>
              <w:left w:val="nil"/>
              <w:right w:val="nil"/>
            </w:tcBorders>
            <w:shd w:val="clear" w:color="000000" w:fill="F2F2F2"/>
            <w:noWrap/>
            <w:vAlign w:val="bottom"/>
            <w:hideMark/>
          </w:tcPr>
          <w:p w14:paraId="1D175063" w14:textId="6E5E451E"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 xml:space="preserve">  2,828</w:t>
            </w:r>
          </w:p>
        </w:tc>
        <w:tc>
          <w:tcPr>
            <w:tcW w:w="1080" w:type="dxa"/>
            <w:tcBorders>
              <w:top w:val="nil"/>
              <w:left w:val="nil"/>
              <w:right w:val="nil"/>
            </w:tcBorders>
            <w:shd w:val="clear" w:color="000000" w:fill="FFFFFF"/>
            <w:noWrap/>
            <w:vAlign w:val="bottom"/>
            <w:hideMark/>
          </w:tcPr>
          <w:p w14:paraId="2273ABA6" w14:textId="318E7833" w:rsidR="001B6918" w:rsidRPr="004E6649" w:rsidRDefault="001B6918" w:rsidP="00730ECF">
            <w:pPr>
              <w:ind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 xml:space="preserve">          -</w:t>
            </w:r>
          </w:p>
        </w:tc>
        <w:tc>
          <w:tcPr>
            <w:tcW w:w="1080" w:type="dxa"/>
            <w:tcBorders>
              <w:top w:val="nil"/>
              <w:left w:val="nil"/>
              <w:right w:val="nil"/>
            </w:tcBorders>
            <w:shd w:val="clear" w:color="000000" w:fill="F2F2F2"/>
            <w:noWrap/>
            <w:vAlign w:val="bottom"/>
            <w:hideMark/>
          </w:tcPr>
          <w:p w14:paraId="4A8CD64C" w14:textId="41A6105F"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 xml:space="preserve">          -</w:t>
            </w:r>
          </w:p>
        </w:tc>
        <w:tc>
          <w:tcPr>
            <w:tcW w:w="987" w:type="dxa"/>
            <w:tcBorders>
              <w:top w:val="nil"/>
              <w:left w:val="nil"/>
              <w:right w:val="nil"/>
            </w:tcBorders>
            <w:shd w:val="clear" w:color="000000" w:fill="FFFFFF"/>
            <w:noWrap/>
            <w:vAlign w:val="bottom"/>
            <w:hideMark/>
          </w:tcPr>
          <w:p w14:paraId="1805F708" w14:textId="77777777" w:rsidR="001B6918" w:rsidRPr="004E6649" w:rsidRDefault="001B6918" w:rsidP="00730ECF">
            <w:pPr>
              <w:ind w:left="-40" w:right="-114"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 xml:space="preserve">  1,427 </w:t>
            </w:r>
          </w:p>
        </w:tc>
      </w:tr>
      <w:tr w:rsidR="001B6918" w:rsidRPr="004E6649" w14:paraId="2D2063CC" w14:textId="77777777" w:rsidTr="00730ECF">
        <w:trPr>
          <w:gridAfter w:val="1"/>
          <w:wAfter w:w="149" w:type="dxa"/>
          <w:trHeight w:val="20"/>
          <w:jc w:val="center"/>
        </w:trPr>
        <w:tc>
          <w:tcPr>
            <w:tcW w:w="3058" w:type="dxa"/>
            <w:gridSpan w:val="3"/>
            <w:tcBorders>
              <w:top w:val="nil"/>
              <w:left w:val="nil"/>
              <w:bottom w:val="single" w:sz="4" w:space="0" w:color="000000" w:themeColor="text1"/>
              <w:right w:val="nil"/>
            </w:tcBorders>
            <w:shd w:val="clear" w:color="000000" w:fill="FFFFFF"/>
            <w:vAlign w:val="bottom"/>
            <w:hideMark/>
          </w:tcPr>
          <w:p w14:paraId="0CBD799F" w14:textId="77777777" w:rsidR="001B6918" w:rsidRPr="004E6649" w:rsidRDefault="001B6918" w:rsidP="00730ECF">
            <w:pPr>
              <w:ind w:left="-113" w:right="-1081" w:firstLine="96"/>
              <w:rPr>
                <w:rFonts w:eastAsia="Times New Roman" w:cstheme="minorHAnsi"/>
                <w:color w:val="0D0D0D"/>
                <w:sz w:val="18"/>
                <w:szCs w:val="18"/>
              </w:rPr>
            </w:pPr>
            <w:r w:rsidRPr="004E6649">
              <w:rPr>
                <w:rFonts w:eastAsia="Times New Roman" w:cstheme="minorHAnsi"/>
                <w:color w:val="0D0D0D"/>
                <w:sz w:val="18"/>
                <w:szCs w:val="18"/>
              </w:rPr>
              <w:t>Benefit payments</w:t>
            </w:r>
          </w:p>
        </w:tc>
        <w:tc>
          <w:tcPr>
            <w:tcW w:w="1036" w:type="dxa"/>
            <w:tcBorders>
              <w:top w:val="nil"/>
              <w:left w:val="nil"/>
              <w:bottom w:val="single" w:sz="4" w:space="0" w:color="000000" w:themeColor="text1"/>
              <w:right w:val="nil"/>
            </w:tcBorders>
            <w:shd w:val="clear" w:color="auto" w:fill="F2F2F2" w:themeFill="background1" w:themeFillShade="F2"/>
            <w:vAlign w:val="bottom"/>
          </w:tcPr>
          <w:p w14:paraId="5BEF80E2" w14:textId="77777777" w:rsidR="001B6918" w:rsidRPr="00C0359C" w:rsidRDefault="001B6918" w:rsidP="00730ECF">
            <w:pPr>
              <w:ind w:firstLineChars="100" w:firstLine="180"/>
              <w:jc w:val="right"/>
              <w:rPr>
                <w:rFonts w:eastAsia="Times New Roman" w:cstheme="minorHAnsi"/>
                <w:color w:val="FF0000"/>
                <w:sz w:val="18"/>
                <w:szCs w:val="18"/>
              </w:rPr>
            </w:pPr>
            <w:r w:rsidRPr="003E524C">
              <w:rPr>
                <w:rFonts w:ascii="Calibri" w:hAnsi="Calibri" w:cs="Calibri"/>
                <w:sz w:val="18"/>
                <w:szCs w:val="18"/>
              </w:rPr>
              <w:t xml:space="preserve">  (3,137)</w:t>
            </w:r>
          </w:p>
        </w:tc>
        <w:tc>
          <w:tcPr>
            <w:tcW w:w="1192" w:type="dxa"/>
            <w:tcBorders>
              <w:top w:val="nil"/>
              <w:left w:val="nil"/>
              <w:bottom w:val="single" w:sz="4" w:space="0" w:color="000000" w:themeColor="text1"/>
              <w:right w:val="nil"/>
            </w:tcBorders>
            <w:vAlign w:val="bottom"/>
          </w:tcPr>
          <w:p w14:paraId="0E3039D1" w14:textId="77777777" w:rsidR="001B6918" w:rsidRPr="004E6649" w:rsidRDefault="001B6918" w:rsidP="00730ECF">
            <w:pPr>
              <w:ind w:firstLineChars="100" w:firstLine="180"/>
              <w:jc w:val="right"/>
              <w:rPr>
                <w:rFonts w:eastAsia="Times New Roman" w:cstheme="minorHAnsi"/>
                <w:sz w:val="18"/>
                <w:szCs w:val="18"/>
              </w:rPr>
            </w:pPr>
            <w:r>
              <w:rPr>
                <w:rFonts w:eastAsia="Times New Roman" w:cstheme="minorHAnsi"/>
                <w:sz w:val="18"/>
                <w:szCs w:val="18"/>
              </w:rPr>
              <w:t>(3,351)</w:t>
            </w:r>
          </w:p>
        </w:tc>
        <w:tc>
          <w:tcPr>
            <w:tcW w:w="1174" w:type="dxa"/>
            <w:tcBorders>
              <w:top w:val="nil"/>
              <w:left w:val="nil"/>
              <w:bottom w:val="single" w:sz="4" w:space="0" w:color="000000" w:themeColor="text1"/>
              <w:right w:val="nil"/>
            </w:tcBorders>
            <w:shd w:val="clear" w:color="000000" w:fill="F2F2F2"/>
            <w:noWrap/>
            <w:vAlign w:val="bottom"/>
            <w:hideMark/>
          </w:tcPr>
          <w:p w14:paraId="6B26C6FD" w14:textId="77777777"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 xml:space="preserve">  (3,585)</w:t>
            </w:r>
          </w:p>
        </w:tc>
        <w:tc>
          <w:tcPr>
            <w:tcW w:w="1170" w:type="dxa"/>
            <w:tcBorders>
              <w:top w:val="nil"/>
              <w:left w:val="nil"/>
              <w:bottom w:val="single" w:sz="4" w:space="0" w:color="000000" w:themeColor="text1"/>
              <w:right w:val="nil"/>
            </w:tcBorders>
            <w:shd w:val="clear" w:color="000000" w:fill="FFFFFF"/>
            <w:noWrap/>
            <w:vAlign w:val="bottom"/>
            <w:hideMark/>
          </w:tcPr>
          <w:p w14:paraId="49ACBD5D" w14:textId="77777777"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 xml:space="preserve">  (3,793)</w:t>
            </w:r>
          </w:p>
        </w:tc>
        <w:tc>
          <w:tcPr>
            <w:tcW w:w="1170" w:type="dxa"/>
            <w:tcBorders>
              <w:top w:val="nil"/>
              <w:left w:val="nil"/>
              <w:bottom w:val="single" w:sz="4" w:space="0" w:color="000000" w:themeColor="text1"/>
              <w:right w:val="nil"/>
            </w:tcBorders>
            <w:shd w:val="clear" w:color="000000" w:fill="F2F2F2"/>
            <w:noWrap/>
            <w:vAlign w:val="bottom"/>
            <w:hideMark/>
          </w:tcPr>
          <w:p w14:paraId="02E97088" w14:textId="77777777"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 xml:space="preserve">  (3,916)</w:t>
            </w:r>
          </w:p>
        </w:tc>
        <w:tc>
          <w:tcPr>
            <w:tcW w:w="1170" w:type="dxa"/>
            <w:tcBorders>
              <w:top w:val="nil"/>
              <w:left w:val="nil"/>
              <w:bottom w:val="single" w:sz="4" w:space="0" w:color="000000" w:themeColor="text1"/>
              <w:right w:val="nil"/>
            </w:tcBorders>
            <w:shd w:val="clear" w:color="000000" w:fill="FFFFFF"/>
            <w:noWrap/>
            <w:vAlign w:val="bottom"/>
            <w:hideMark/>
          </w:tcPr>
          <w:p w14:paraId="508EB96B" w14:textId="77777777" w:rsidR="001B6918" w:rsidRPr="004E6649" w:rsidRDefault="001B6918" w:rsidP="00730ECF">
            <w:pPr>
              <w:ind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 xml:space="preserve">  (4,043)</w:t>
            </w:r>
          </w:p>
        </w:tc>
        <w:tc>
          <w:tcPr>
            <w:tcW w:w="1100" w:type="dxa"/>
            <w:tcBorders>
              <w:top w:val="nil"/>
              <w:left w:val="nil"/>
              <w:bottom w:val="single" w:sz="4" w:space="0" w:color="000000" w:themeColor="text1"/>
              <w:right w:val="nil"/>
            </w:tcBorders>
            <w:shd w:val="clear" w:color="000000" w:fill="F2F2F2"/>
            <w:noWrap/>
            <w:vAlign w:val="bottom"/>
            <w:hideMark/>
          </w:tcPr>
          <w:p w14:paraId="0E6C1791" w14:textId="77777777"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(4,153)</w:t>
            </w:r>
          </w:p>
        </w:tc>
        <w:tc>
          <w:tcPr>
            <w:tcW w:w="1080" w:type="dxa"/>
            <w:tcBorders>
              <w:top w:val="nil"/>
              <w:left w:val="nil"/>
              <w:bottom w:val="single" w:sz="4" w:space="0" w:color="000000" w:themeColor="text1"/>
              <w:right w:val="nil"/>
            </w:tcBorders>
            <w:shd w:val="clear" w:color="000000" w:fill="FFFFFF"/>
            <w:noWrap/>
            <w:vAlign w:val="bottom"/>
            <w:hideMark/>
          </w:tcPr>
          <w:p w14:paraId="63D0CA0C" w14:textId="77777777" w:rsidR="001B6918" w:rsidRPr="004E6649" w:rsidRDefault="001B6918" w:rsidP="00730ECF">
            <w:pPr>
              <w:ind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(4,280)</w:t>
            </w:r>
          </w:p>
        </w:tc>
        <w:tc>
          <w:tcPr>
            <w:tcW w:w="1080" w:type="dxa"/>
            <w:tcBorders>
              <w:top w:val="nil"/>
              <w:left w:val="nil"/>
              <w:bottom w:val="single" w:sz="4" w:space="0" w:color="000000" w:themeColor="text1"/>
              <w:right w:val="nil"/>
            </w:tcBorders>
            <w:shd w:val="clear" w:color="000000" w:fill="F2F2F2"/>
            <w:noWrap/>
            <w:vAlign w:val="bottom"/>
            <w:hideMark/>
          </w:tcPr>
          <w:p w14:paraId="5BE42D49" w14:textId="77777777"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(4,435)</w:t>
            </w:r>
          </w:p>
        </w:tc>
        <w:tc>
          <w:tcPr>
            <w:tcW w:w="987" w:type="dxa"/>
            <w:tcBorders>
              <w:top w:val="nil"/>
              <w:left w:val="nil"/>
              <w:bottom w:val="single" w:sz="4" w:space="0" w:color="000000" w:themeColor="text1"/>
              <w:right w:val="nil"/>
            </w:tcBorders>
            <w:shd w:val="clear" w:color="000000" w:fill="FFFFFF"/>
            <w:noWrap/>
            <w:vAlign w:val="bottom"/>
            <w:hideMark/>
          </w:tcPr>
          <w:p w14:paraId="5BAA3E2E" w14:textId="77777777" w:rsidR="001B6918" w:rsidRPr="004E6649" w:rsidRDefault="001B6918" w:rsidP="00730ECF">
            <w:pPr>
              <w:ind w:left="-40" w:right="-114"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(4,585)</w:t>
            </w:r>
          </w:p>
        </w:tc>
      </w:tr>
      <w:tr w:rsidR="001B6918" w:rsidRPr="004E6649" w14:paraId="5034BD54" w14:textId="77777777" w:rsidTr="00730ECF">
        <w:trPr>
          <w:gridAfter w:val="1"/>
          <w:wAfter w:w="149" w:type="dxa"/>
          <w:trHeight w:val="20"/>
          <w:jc w:val="center"/>
        </w:trPr>
        <w:tc>
          <w:tcPr>
            <w:tcW w:w="3058" w:type="dxa"/>
            <w:gridSpan w:val="3"/>
            <w:tcBorders>
              <w:top w:val="single" w:sz="4" w:space="0" w:color="000000" w:themeColor="text1"/>
              <w:left w:val="nil"/>
              <w:right w:val="nil"/>
            </w:tcBorders>
            <w:shd w:val="clear" w:color="000000" w:fill="FFFFFF"/>
            <w:vAlign w:val="bottom"/>
            <w:hideMark/>
          </w:tcPr>
          <w:p w14:paraId="4EA150F7" w14:textId="77777777" w:rsidR="001B6918" w:rsidRPr="004E6649" w:rsidRDefault="001B6918" w:rsidP="00730ECF">
            <w:pPr>
              <w:ind w:left="-113" w:right="-951" w:firstLine="96"/>
              <w:rPr>
                <w:rFonts w:eastAsia="Times New Roman" w:cstheme="minorHAnsi"/>
                <w:color w:val="0D0D0D"/>
                <w:sz w:val="18"/>
                <w:szCs w:val="18"/>
              </w:rPr>
            </w:pPr>
            <w:r w:rsidRPr="004E6649">
              <w:rPr>
                <w:rFonts w:eastAsia="Times New Roman" w:cstheme="minorHAnsi"/>
                <w:color w:val="0D0D0D"/>
                <w:sz w:val="18"/>
                <w:szCs w:val="18"/>
              </w:rPr>
              <w:t>Net change in total pension liability</w:t>
            </w:r>
          </w:p>
        </w:tc>
        <w:tc>
          <w:tcPr>
            <w:tcW w:w="1036" w:type="dxa"/>
            <w:tcBorders>
              <w:top w:val="single" w:sz="4" w:space="0" w:color="000000" w:themeColor="text1"/>
              <w:left w:val="nil"/>
              <w:right w:val="nil"/>
            </w:tcBorders>
            <w:shd w:val="clear" w:color="auto" w:fill="F2F2F2" w:themeFill="background1" w:themeFillShade="F2"/>
            <w:vAlign w:val="bottom"/>
          </w:tcPr>
          <w:p w14:paraId="1DABF4FD" w14:textId="77777777" w:rsidR="001B6918" w:rsidRPr="00C0359C" w:rsidRDefault="001B6918" w:rsidP="00730ECF">
            <w:pPr>
              <w:ind w:firstLineChars="100" w:firstLine="180"/>
              <w:jc w:val="right"/>
              <w:rPr>
                <w:rFonts w:eastAsia="Times New Roman" w:cstheme="minorHAnsi"/>
                <w:color w:val="FF0000"/>
                <w:sz w:val="18"/>
                <w:szCs w:val="18"/>
              </w:rPr>
            </w:pPr>
            <w:r w:rsidRPr="003E524C">
              <w:rPr>
                <w:rFonts w:ascii="Calibri" w:hAnsi="Calibri" w:cs="Calibri"/>
                <w:sz w:val="18"/>
                <w:szCs w:val="18"/>
              </w:rPr>
              <w:t xml:space="preserve">  (4,859)</w:t>
            </w:r>
          </w:p>
        </w:tc>
        <w:tc>
          <w:tcPr>
            <w:tcW w:w="1192" w:type="dxa"/>
            <w:tcBorders>
              <w:top w:val="single" w:sz="4" w:space="0" w:color="000000" w:themeColor="text1"/>
              <w:left w:val="nil"/>
              <w:right w:val="nil"/>
            </w:tcBorders>
            <w:vAlign w:val="bottom"/>
          </w:tcPr>
          <w:p w14:paraId="68E25EE8" w14:textId="77777777" w:rsidR="001B6918" w:rsidRPr="004E6649" w:rsidRDefault="001B6918" w:rsidP="00730ECF">
            <w:pPr>
              <w:ind w:firstLineChars="100" w:firstLine="180"/>
              <w:jc w:val="right"/>
              <w:rPr>
                <w:rFonts w:eastAsia="Times New Roman" w:cstheme="minorHAnsi"/>
                <w:sz w:val="18"/>
                <w:szCs w:val="18"/>
              </w:rPr>
            </w:pPr>
            <w:r>
              <w:rPr>
                <w:rFonts w:eastAsia="Times New Roman" w:cstheme="minorHAnsi"/>
                <w:sz w:val="18"/>
                <w:szCs w:val="18"/>
              </w:rPr>
              <w:t>(1,600)</w:t>
            </w:r>
          </w:p>
        </w:tc>
        <w:tc>
          <w:tcPr>
            <w:tcW w:w="1174" w:type="dxa"/>
            <w:tcBorders>
              <w:top w:val="single" w:sz="4" w:space="0" w:color="000000" w:themeColor="text1"/>
              <w:left w:val="nil"/>
              <w:right w:val="nil"/>
            </w:tcBorders>
            <w:shd w:val="clear" w:color="000000" w:fill="F2F2F2"/>
            <w:noWrap/>
            <w:vAlign w:val="bottom"/>
            <w:hideMark/>
          </w:tcPr>
          <w:p w14:paraId="4F5FD1AF" w14:textId="77777777"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 xml:space="preserve">  (2,346)</w:t>
            </w:r>
          </w:p>
        </w:tc>
        <w:tc>
          <w:tcPr>
            <w:tcW w:w="1170" w:type="dxa"/>
            <w:tcBorders>
              <w:top w:val="single" w:sz="4" w:space="0" w:color="000000" w:themeColor="text1"/>
              <w:left w:val="nil"/>
              <w:right w:val="nil"/>
            </w:tcBorders>
            <w:noWrap/>
            <w:vAlign w:val="bottom"/>
            <w:hideMark/>
          </w:tcPr>
          <w:p w14:paraId="29FBF387" w14:textId="77777777"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 xml:space="preserve"> (1,796)</w:t>
            </w:r>
          </w:p>
        </w:tc>
        <w:tc>
          <w:tcPr>
            <w:tcW w:w="1170" w:type="dxa"/>
            <w:tcBorders>
              <w:top w:val="single" w:sz="4" w:space="0" w:color="000000" w:themeColor="text1"/>
              <w:left w:val="nil"/>
              <w:right w:val="nil"/>
            </w:tcBorders>
            <w:shd w:val="clear" w:color="000000" w:fill="F2F2F2"/>
            <w:noWrap/>
            <w:vAlign w:val="bottom"/>
            <w:hideMark/>
          </w:tcPr>
          <w:p w14:paraId="41BA4A6D" w14:textId="77777777" w:rsidR="001B6918" w:rsidRPr="004E6649" w:rsidRDefault="001B6918" w:rsidP="00730ECF">
            <w:pPr>
              <w:ind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 xml:space="preserve"> (2,478)</w:t>
            </w:r>
          </w:p>
        </w:tc>
        <w:tc>
          <w:tcPr>
            <w:tcW w:w="1170" w:type="dxa"/>
            <w:tcBorders>
              <w:top w:val="single" w:sz="4" w:space="0" w:color="000000" w:themeColor="text1"/>
              <w:left w:val="nil"/>
              <w:right w:val="nil"/>
            </w:tcBorders>
            <w:shd w:val="clear" w:color="000000" w:fill="FFFFFF"/>
            <w:noWrap/>
            <w:vAlign w:val="bottom"/>
            <w:hideMark/>
          </w:tcPr>
          <w:p w14:paraId="22C5FCE9" w14:textId="77777777" w:rsidR="001B6918" w:rsidRPr="004E6649" w:rsidRDefault="001B6918" w:rsidP="00730ECF">
            <w:pPr>
              <w:ind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 xml:space="preserve"> (1,787)</w:t>
            </w:r>
          </w:p>
        </w:tc>
        <w:tc>
          <w:tcPr>
            <w:tcW w:w="1100" w:type="dxa"/>
            <w:tcBorders>
              <w:top w:val="single" w:sz="4" w:space="0" w:color="000000" w:themeColor="text1"/>
              <w:left w:val="nil"/>
              <w:right w:val="nil"/>
            </w:tcBorders>
            <w:shd w:val="clear" w:color="000000" w:fill="F2F2F2"/>
            <w:noWrap/>
            <w:vAlign w:val="bottom"/>
            <w:hideMark/>
          </w:tcPr>
          <w:p w14:paraId="20842ACC" w14:textId="77777777" w:rsidR="001B6918" w:rsidRPr="004E6649" w:rsidRDefault="001B6918" w:rsidP="00730ECF">
            <w:pPr>
              <w:ind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 xml:space="preserve"> (292)</w:t>
            </w:r>
          </w:p>
        </w:tc>
        <w:tc>
          <w:tcPr>
            <w:tcW w:w="1080" w:type="dxa"/>
            <w:tcBorders>
              <w:top w:val="single" w:sz="4" w:space="0" w:color="000000" w:themeColor="text1"/>
              <w:left w:val="nil"/>
              <w:right w:val="nil"/>
            </w:tcBorders>
            <w:shd w:val="clear" w:color="000000" w:fill="FFFFFF"/>
            <w:noWrap/>
            <w:vAlign w:val="bottom"/>
            <w:hideMark/>
          </w:tcPr>
          <w:p w14:paraId="096A97C6" w14:textId="77777777" w:rsidR="001B6918" w:rsidRPr="004E6649" w:rsidRDefault="001B6918" w:rsidP="00730ECF">
            <w:pPr>
              <w:ind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(1,894)</w:t>
            </w:r>
          </w:p>
        </w:tc>
        <w:tc>
          <w:tcPr>
            <w:tcW w:w="1080" w:type="dxa"/>
            <w:tcBorders>
              <w:top w:val="single" w:sz="4" w:space="0" w:color="000000" w:themeColor="text1"/>
              <w:left w:val="nil"/>
              <w:right w:val="nil"/>
            </w:tcBorders>
            <w:shd w:val="clear" w:color="000000" w:fill="F2F2F2"/>
            <w:noWrap/>
            <w:vAlign w:val="bottom"/>
            <w:hideMark/>
          </w:tcPr>
          <w:p w14:paraId="594D3B3A" w14:textId="77777777" w:rsidR="001B6918" w:rsidRPr="004E6649" w:rsidRDefault="001B6918" w:rsidP="00730ECF">
            <w:pPr>
              <w:ind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(2,643)</w:t>
            </w:r>
          </w:p>
        </w:tc>
        <w:tc>
          <w:tcPr>
            <w:tcW w:w="987" w:type="dxa"/>
            <w:tcBorders>
              <w:top w:val="single" w:sz="4" w:space="0" w:color="000000" w:themeColor="text1"/>
              <w:left w:val="nil"/>
              <w:right w:val="nil"/>
            </w:tcBorders>
            <w:shd w:val="clear" w:color="000000" w:fill="FFFFFF"/>
            <w:noWrap/>
            <w:vAlign w:val="bottom"/>
            <w:hideMark/>
          </w:tcPr>
          <w:p w14:paraId="02E61809" w14:textId="77777777" w:rsidR="001B6918" w:rsidRPr="004E6649" w:rsidRDefault="001B6918" w:rsidP="00730ECF">
            <w:pPr>
              <w:ind w:left="-40" w:right="-114"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(384)</w:t>
            </w:r>
          </w:p>
        </w:tc>
      </w:tr>
      <w:tr w:rsidR="001B6918" w:rsidRPr="004E6649" w14:paraId="7FB73495" w14:textId="77777777" w:rsidTr="00730ECF">
        <w:trPr>
          <w:gridAfter w:val="1"/>
          <w:wAfter w:w="149" w:type="dxa"/>
          <w:trHeight w:val="20"/>
          <w:jc w:val="center"/>
        </w:trPr>
        <w:tc>
          <w:tcPr>
            <w:tcW w:w="3058" w:type="dxa"/>
            <w:gridSpan w:val="3"/>
            <w:tcBorders>
              <w:top w:val="nil"/>
              <w:left w:val="nil"/>
              <w:bottom w:val="single" w:sz="4" w:space="0" w:color="000000" w:themeColor="text1"/>
              <w:right w:val="nil"/>
            </w:tcBorders>
            <w:shd w:val="clear" w:color="000000" w:fill="FFFFFF"/>
            <w:vAlign w:val="bottom"/>
            <w:hideMark/>
          </w:tcPr>
          <w:p w14:paraId="125011DE" w14:textId="77777777" w:rsidR="001B6918" w:rsidRPr="004E6649" w:rsidRDefault="001B6918" w:rsidP="00730ECF">
            <w:pPr>
              <w:ind w:left="-113" w:right="-951" w:firstLine="96"/>
              <w:rPr>
                <w:rFonts w:eastAsia="Times New Roman" w:cstheme="minorHAnsi"/>
                <w:color w:val="0D0D0D"/>
                <w:sz w:val="18"/>
                <w:szCs w:val="18"/>
              </w:rPr>
            </w:pPr>
            <w:r w:rsidRPr="004E6649">
              <w:rPr>
                <w:rFonts w:eastAsia="Times New Roman" w:cstheme="minorHAnsi"/>
                <w:color w:val="0D0D0D"/>
                <w:sz w:val="18"/>
                <w:szCs w:val="18"/>
              </w:rPr>
              <w:t xml:space="preserve">Total pension liability – beginning </w:t>
            </w:r>
          </w:p>
        </w:tc>
        <w:tc>
          <w:tcPr>
            <w:tcW w:w="1036" w:type="dxa"/>
            <w:tcBorders>
              <w:top w:val="nil"/>
              <w:left w:val="nil"/>
              <w:bottom w:val="single" w:sz="4" w:space="0" w:color="000000" w:themeColor="text1"/>
              <w:right w:val="nil"/>
            </w:tcBorders>
            <w:shd w:val="clear" w:color="auto" w:fill="F2F2F2" w:themeFill="background1" w:themeFillShade="F2"/>
            <w:vAlign w:val="bottom"/>
          </w:tcPr>
          <w:p w14:paraId="24CA2DAB" w14:textId="1ACEF02B" w:rsidR="001B6918" w:rsidRPr="00B77205" w:rsidRDefault="001B6918" w:rsidP="00730ECF">
            <w:pPr>
              <w:ind w:firstLineChars="100" w:firstLine="180"/>
              <w:jc w:val="right"/>
              <w:rPr>
                <w:rFonts w:eastAsia="Times New Roman" w:cstheme="minorHAnsi"/>
                <w:color w:val="FF0000"/>
                <w:sz w:val="18"/>
                <w:szCs w:val="18"/>
              </w:rPr>
            </w:pPr>
            <w:r w:rsidRPr="003E524C">
              <w:rPr>
                <w:rFonts w:ascii="Calibri" w:hAnsi="Calibri" w:cs="Calibri"/>
                <w:sz w:val="18"/>
                <w:szCs w:val="18"/>
              </w:rPr>
              <w:t xml:space="preserve">   28,098</w:t>
            </w:r>
          </w:p>
        </w:tc>
        <w:tc>
          <w:tcPr>
            <w:tcW w:w="1192" w:type="dxa"/>
            <w:tcBorders>
              <w:top w:val="nil"/>
              <w:left w:val="nil"/>
              <w:bottom w:val="single" w:sz="4" w:space="0" w:color="000000" w:themeColor="text1"/>
              <w:right w:val="nil"/>
            </w:tcBorders>
            <w:vAlign w:val="bottom"/>
          </w:tcPr>
          <w:p w14:paraId="7B46BF8D" w14:textId="77777777" w:rsidR="001B6918" w:rsidRPr="004E6649" w:rsidRDefault="001B6918" w:rsidP="00730ECF">
            <w:pPr>
              <w:ind w:firstLineChars="100" w:firstLine="180"/>
              <w:jc w:val="right"/>
              <w:rPr>
                <w:rFonts w:eastAsia="Times New Roman" w:cstheme="minorHAnsi"/>
                <w:sz w:val="18"/>
                <w:szCs w:val="18"/>
              </w:rPr>
            </w:pPr>
            <w:r>
              <w:rPr>
                <w:rFonts w:eastAsia="Times New Roman" w:cstheme="minorHAnsi"/>
                <w:sz w:val="18"/>
                <w:szCs w:val="18"/>
              </w:rPr>
              <w:t>29,698</w:t>
            </w:r>
          </w:p>
        </w:tc>
        <w:tc>
          <w:tcPr>
            <w:tcW w:w="1174" w:type="dxa"/>
            <w:tcBorders>
              <w:top w:val="nil"/>
              <w:left w:val="nil"/>
              <w:bottom w:val="single" w:sz="4" w:space="0" w:color="000000" w:themeColor="text1"/>
              <w:right w:val="nil"/>
            </w:tcBorders>
            <w:shd w:val="clear" w:color="000000" w:fill="F2F2F2"/>
            <w:noWrap/>
            <w:vAlign w:val="bottom"/>
            <w:hideMark/>
          </w:tcPr>
          <w:p w14:paraId="642F7A88" w14:textId="0FE06B6E"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32,044</w:t>
            </w:r>
          </w:p>
        </w:tc>
        <w:tc>
          <w:tcPr>
            <w:tcW w:w="1170" w:type="dxa"/>
            <w:tcBorders>
              <w:top w:val="nil"/>
              <w:left w:val="nil"/>
              <w:bottom w:val="single" w:sz="4" w:space="0" w:color="000000" w:themeColor="text1"/>
              <w:right w:val="nil"/>
            </w:tcBorders>
            <w:shd w:val="clear" w:color="000000" w:fill="FFFFFF"/>
            <w:noWrap/>
            <w:vAlign w:val="bottom"/>
            <w:hideMark/>
          </w:tcPr>
          <w:p w14:paraId="0C7CAC6B" w14:textId="2F860B37"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33,840</w:t>
            </w:r>
          </w:p>
        </w:tc>
        <w:tc>
          <w:tcPr>
            <w:tcW w:w="1170" w:type="dxa"/>
            <w:tcBorders>
              <w:top w:val="nil"/>
              <w:left w:val="nil"/>
              <w:bottom w:val="single" w:sz="4" w:space="0" w:color="000000" w:themeColor="text1"/>
              <w:right w:val="nil"/>
            </w:tcBorders>
            <w:shd w:val="clear" w:color="000000" w:fill="F2F2F2"/>
            <w:noWrap/>
            <w:vAlign w:val="bottom"/>
            <w:hideMark/>
          </w:tcPr>
          <w:p w14:paraId="25EF45C3" w14:textId="446915EC"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36,318</w:t>
            </w:r>
          </w:p>
        </w:tc>
        <w:tc>
          <w:tcPr>
            <w:tcW w:w="1170" w:type="dxa"/>
            <w:tcBorders>
              <w:top w:val="nil"/>
              <w:left w:val="nil"/>
              <w:bottom w:val="single" w:sz="4" w:space="0" w:color="000000" w:themeColor="text1"/>
              <w:right w:val="nil"/>
            </w:tcBorders>
            <w:shd w:val="clear" w:color="000000" w:fill="FFFFFF"/>
            <w:noWrap/>
            <w:vAlign w:val="bottom"/>
            <w:hideMark/>
          </w:tcPr>
          <w:p w14:paraId="675408DA" w14:textId="0E7AC984" w:rsidR="001B6918" w:rsidRPr="004E6649" w:rsidRDefault="001B6918" w:rsidP="00730ECF">
            <w:pPr>
              <w:ind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38,105</w:t>
            </w:r>
          </w:p>
        </w:tc>
        <w:tc>
          <w:tcPr>
            <w:tcW w:w="1100" w:type="dxa"/>
            <w:tcBorders>
              <w:top w:val="nil"/>
              <w:left w:val="nil"/>
              <w:bottom w:val="single" w:sz="4" w:space="0" w:color="000000" w:themeColor="text1"/>
              <w:right w:val="nil"/>
            </w:tcBorders>
            <w:shd w:val="clear" w:color="000000" w:fill="F2F2F2"/>
            <w:noWrap/>
            <w:vAlign w:val="bottom"/>
            <w:hideMark/>
          </w:tcPr>
          <w:p w14:paraId="1DE48A2F" w14:textId="17918B12"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38,397</w:t>
            </w:r>
          </w:p>
        </w:tc>
        <w:tc>
          <w:tcPr>
            <w:tcW w:w="1080" w:type="dxa"/>
            <w:tcBorders>
              <w:top w:val="nil"/>
              <w:left w:val="nil"/>
              <w:bottom w:val="single" w:sz="4" w:space="0" w:color="000000" w:themeColor="text1"/>
              <w:right w:val="nil"/>
            </w:tcBorders>
            <w:shd w:val="clear" w:color="000000" w:fill="FFFFFF"/>
            <w:noWrap/>
            <w:vAlign w:val="bottom"/>
            <w:hideMark/>
          </w:tcPr>
          <w:p w14:paraId="6395F1A2" w14:textId="4590FB45" w:rsidR="001B6918" w:rsidRPr="004E6649" w:rsidRDefault="001B6918" w:rsidP="00730ECF">
            <w:pPr>
              <w:ind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40,291</w:t>
            </w:r>
          </w:p>
        </w:tc>
        <w:tc>
          <w:tcPr>
            <w:tcW w:w="1080" w:type="dxa"/>
            <w:tcBorders>
              <w:top w:val="nil"/>
              <w:left w:val="nil"/>
              <w:bottom w:val="single" w:sz="4" w:space="0" w:color="000000" w:themeColor="text1"/>
              <w:right w:val="nil"/>
            </w:tcBorders>
            <w:shd w:val="clear" w:color="000000" w:fill="F2F2F2"/>
            <w:noWrap/>
            <w:vAlign w:val="bottom"/>
            <w:hideMark/>
          </w:tcPr>
          <w:p w14:paraId="0A63B569" w14:textId="660455B7"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42,934</w:t>
            </w:r>
          </w:p>
        </w:tc>
        <w:tc>
          <w:tcPr>
            <w:tcW w:w="987" w:type="dxa"/>
            <w:tcBorders>
              <w:top w:val="nil"/>
              <w:left w:val="nil"/>
              <w:bottom w:val="single" w:sz="4" w:space="0" w:color="000000" w:themeColor="text1"/>
              <w:right w:val="nil"/>
            </w:tcBorders>
            <w:shd w:val="clear" w:color="000000" w:fill="FFFFFF"/>
            <w:noWrap/>
            <w:vAlign w:val="bottom"/>
            <w:hideMark/>
          </w:tcPr>
          <w:p w14:paraId="2E3343A7" w14:textId="77777777" w:rsidR="001B6918" w:rsidRPr="004E6649" w:rsidRDefault="001B6918" w:rsidP="00730ECF">
            <w:pPr>
              <w:ind w:left="-40" w:right="-114"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 xml:space="preserve">43,318 </w:t>
            </w:r>
          </w:p>
        </w:tc>
      </w:tr>
      <w:tr w:rsidR="001B6918" w:rsidRPr="004E6649" w14:paraId="1118076C" w14:textId="77777777" w:rsidTr="00730ECF">
        <w:trPr>
          <w:gridAfter w:val="1"/>
          <w:wAfter w:w="149" w:type="dxa"/>
          <w:trHeight w:val="20"/>
          <w:jc w:val="center"/>
        </w:trPr>
        <w:tc>
          <w:tcPr>
            <w:tcW w:w="3058" w:type="dxa"/>
            <w:gridSpan w:val="3"/>
            <w:tcBorders>
              <w:top w:val="single" w:sz="4" w:space="0" w:color="000000" w:themeColor="text1"/>
              <w:left w:val="nil"/>
              <w:bottom w:val="single" w:sz="4" w:space="0" w:color="000000" w:themeColor="text1"/>
              <w:right w:val="nil"/>
            </w:tcBorders>
            <w:shd w:val="clear" w:color="000000" w:fill="FFFFFF"/>
            <w:vAlign w:val="bottom"/>
            <w:hideMark/>
          </w:tcPr>
          <w:p w14:paraId="32692CF1" w14:textId="77777777" w:rsidR="001B6918" w:rsidRPr="004E6649" w:rsidRDefault="001B6918" w:rsidP="00730ECF">
            <w:pPr>
              <w:ind w:left="-113" w:right="-951" w:firstLine="96"/>
              <w:rPr>
                <w:rFonts w:eastAsia="Times New Roman" w:cstheme="minorHAnsi"/>
                <w:color w:val="0D0D0D"/>
                <w:sz w:val="18"/>
                <w:szCs w:val="18"/>
              </w:rPr>
            </w:pPr>
            <w:r w:rsidRPr="004E6649">
              <w:rPr>
                <w:rFonts w:eastAsia="Times New Roman" w:cstheme="minorHAnsi"/>
                <w:color w:val="0D0D0D"/>
                <w:sz w:val="18"/>
                <w:szCs w:val="18"/>
              </w:rPr>
              <w:t>Total pension liability – ending (a)</w:t>
            </w:r>
          </w:p>
        </w:tc>
        <w:tc>
          <w:tcPr>
            <w:tcW w:w="1036" w:type="dxa"/>
            <w:tcBorders>
              <w:top w:val="single" w:sz="4" w:space="0" w:color="000000" w:themeColor="text1"/>
              <w:left w:val="nil"/>
              <w:bottom w:val="single" w:sz="4" w:space="0" w:color="000000" w:themeColor="text1"/>
              <w:right w:val="nil"/>
            </w:tcBorders>
            <w:shd w:val="clear" w:color="auto" w:fill="F2F2F2" w:themeFill="background1" w:themeFillShade="F2"/>
            <w:vAlign w:val="bottom"/>
          </w:tcPr>
          <w:p w14:paraId="07EDFA49" w14:textId="4F592A8A" w:rsidR="001B6918" w:rsidRPr="00B77205" w:rsidRDefault="001B6918" w:rsidP="00730ECF">
            <w:pPr>
              <w:ind w:firstLineChars="100" w:firstLine="180"/>
              <w:jc w:val="right"/>
              <w:rPr>
                <w:rFonts w:eastAsia="Times New Roman" w:cstheme="minorHAnsi"/>
                <w:color w:val="FF0000"/>
                <w:sz w:val="18"/>
                <w:szCs w:val="18"/>
              </w:rPr>
            </w:pPr>
            <w:r w:rsidRPr="003E524C">
              <w:rPr>
                <w:rFonts w:ascii="Calibri" w:hAnsi="Calibri" w:cs="Calibri"/>
                <w:sz w:val="18"/>
                <w:szCs w:val="18"/>
              </w:rPr>
              <w:t xml:space="preserve">   23,239</w:t>
            </w:r>
          </w:p>
        </w:tc>
        <w:tc>
          <w:tcPr>
            <w:tcW w:w="1192" w:type="dxa"/>
            <w:tcBorders>
              <w:top w:val="single" w:sz="4" w:space="0" w:color="000000" w:themeColor="text1"/>
              <w:left w:val="nil"/>
              <w:bottom w:val="single" w:sz="4" w:space="0" w:color="000000" w:themeColor="text1"/>
              <w:right w:val="nil"/>
            </w:tcBorders>
            <w:vAlign w:val="bottom"/>
          </w:tcPr>
          <w:p w14:paraId="4FA7891A" w14:textId="77777777" w:rsidR="001B6918" w:rsidRPr="004E6649" w:rsidRDefault="001B6918" w:rsidP="00730ECF">
            <w:pPr>
              <w:ind w:firstLineChars="100" w:firstLine="180"/>
              <w:jc w:val="right"/>
              <w:rPr>
                <w:rFonts w:eastAsia="Times New Roman" w:cstheme="minorHAnsi"/>
                <w:sz w:val="18"/>
                <w:szCs w:val="18"/>
              </w:rPr>
            </w:pPr>
            <w:r>
              <w:rPr>
                <w:rFonts w:eastAsia="Times New Roman" w:cstheme="minorHAnsi"/>
                <w:sz w:val="18"/>
                <w:szCs w:val="18"/>
              </w:rPr>
              <w:t>28,098</w:t>
            </w:r>
          </w:p>
        </w:tc>
        <w:tc>
          <w:tcPr>
            <w:tcW w:w="1174" w:type="dxa"/>
            <w:tcBorders>
              <w:top w:val="single" w:sz="4" w:space="0" w:color="000000" w:themeColor="text1"/>
              <w:left w:val="nil"/>
              <w:bottom w:val="single" w:sz="4" w:space="0" w:color="000000" w:themeColor="text1"/>
              <w:right w:val="nil"/>
            </w:tcBorders>
            <w:shd w:val="clear" w:color="000000" w:fill="F2F2F2"/>
            <w:noWrap/>
            <w:vAlign w:val="bottom"/>
            <w:hideMark/>
          </w:tcPr>
          <w:p w14:paraId="69438854" w14:textId="2AC1E0E7"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29,698</w:t>
            </w:r>
          </w:p>
        </w:tc>
        <w:tc>
          <w:tcPr>
            <w:tcW w:w="1170" w:type="dxa"/>
            <w:tcBorders>
              <w:top w:val="single" w:sz="4" w:space="0" w:color="000000" w:themeColor="text1"/>
              <w:left w:val="nil"/>
              <w:bottom w:val="single" w:sz="4" w:space="0" w:color="000000" w:themeColor="text1"/>
              <w:right w:val="nil"/>
            </w:tcBorders>
            <w:noWrap/>
            <w:vAlign w:val="bottom"/>
            <w:hideMark/>
          </w:tcPr>
          <w:p w14:paraId="5ED1EF35" w14:textId="6ADDBF8E"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32,044</w:t>
            </w:r>
          </w:p>
        </w:tc>
        <w:tc>
          <w:tcPr>
            <w:tcW w:w="1170" w:type="dxa"/>
            <w:tcBorders>
              <w:top w:val="single" w:sz="4" w:space="0" w:color="000000" w:themeColor="text1"/>
              <w:left w:val="nil"/>
              <w:bottom w:val="single" w:sz="4" w:space="0" w:color="000000" w:themeColor="text1"/>
              <w:right w:val="nil"/>
            </w:tcBorders>
            <w:shd w:val="clear" w:color="000000" w:fill="F2F2F2"/>
            <w:noWrap/>
            <w:vAlign w:val="bottom"/>
            <w:hideMark/>
          </w:tcPr>
          <w:p w14:paraId="36D2A549" w14:textId="580A88EB" w:rsidR="001B6918" w:rsidRPr="004E6649" w:rsidRDefault="001B6918" w:rsidP="00730ECF">
            <w:pPr>
              <w:ind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33,840</w:t>
            </w:r>
          </w:p>
        </w:tc>
        <w:tc>
          <w:tcPr>
            <w:tcW w:w="1170" w:type="dxa"/>
            <w:tcBorders>
              <w:top w:val="single" w:sz="4" w:space="0" w:color="000000" w:themeColor="text1"/>
              <w:left w:val="nil"/>
              <w:bottom w:val="single" w:sz="4" w:space="0" w:color="000000" w:themeColor="text1"/>
              <w:right w:val="nil"/>
            </w:tcBorders>
            <w:shd w:val="clear" w:color="000000" w:fill="FFFFFF"/>
            <w:noWrap/>
            <w:vAlign w:val="bottom"/>
            <w:hideMark/>
          </w:tcPr>
          <w:p w14:paraId="4A1BC3FA" w14:textId="27339396" w:rsidR="001B6918" w:rsidRPr="004E6649" w:rsidRDefault="001B6918" w:rsidP="00730ECF">
            <w:pPr>
              <w:ind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36,318</w:t>
            </w:r>
          </w:p>
        </w:tc>
        <w:tc>
          <w:tcPr>
            <w:tcW w:w="1100" w:type="dxa"/>
            <w:tcBorders>
              <w:top w:val="single" w:sz="4" w:space="0" w:color="000000" w:themeColor="text1"/>
              <w:left w:val="nil"/>
              <w:bottom w:val="single" w:sz="4" w:space="0" w:color="000000" w:themeColor="text1"/>
              <w:right w:val="nil"/>
            </w:tcBorders>
            <w:shd w:val="clear" w:color="000000" w:fill="F2F2F2"/>
            <w:noWrap/>
            <w:vAlign w:val="bottom"/>
            <w:hideMark/>
          </w:tcPr>
          <w:p w14:paraId="263A1B39" w14:textId="00B1B0C5" w:rsidR="001B6918" w:rsidRPr="004E6649" w:rsidRDefault="001B6918" w:rsidP="00730ECF">
            <w:pPr>
              <w:ind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38,105</w:t>
            </w:r>
          </w:p>
        </w:tc>
        <w:tc>
          <w:tcPr>
            <w:tcW w:w="1080" w:type="dxa"/>
            <w:tcBorders>
              <w:top w:val="single" w:sz="4" w:space="0" w:color="000000" w:themeColor="text1"/>
              <w:left w:val="nil"/>
              <w:bottom w:val="single" w:sz="4" w:space="0" w:color="000000" w:themeColor="text1"/>
              <w:right w:val="nil"/>
            </w:tcBorders>
            <w:shd w:val="clear" w:color="000000" w:fill="FFFFFF"/>
            <w:noWrap/>
            <w:vAlign w:val="bottom"/>
            <w:hideMark/>
          </w:tcPr>
          <w:p w14:paraId="1E332589" w14:textId="3BD72FC9" w:rsidR="001B6918" w:rsidRPr="004E6649" w:rsidRDefault="001B6918" w:rsidP="00730ECF">
            <w:pPr>
              <w:ind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38,397</w:t>
            </w:r>
          </w:p>
        </w:tc>
        <w:tc>
          <w:tcPr>
            <w:tcW w:w="1080" w:type="dxa"/>
            <w:tcBorders>
              <w:top w:val="single" w:sz="4" w:space="0" w:color="000000" w:themeColor="text1"/>
              <w:left w:val="nil"/>
              <w:bottom w:val="single" w:sz="4" w:space="0" w:color="000000" w:themeColor="text1"/>
              <w:right w:val="nil"/>
            </w:tcBorders>
            <w:shd w:val="clear" w:color="000000" w:fill="F2F2F2"/>
            <w:noWrap/>
            <w:vAlign w:val="bottom"/>
            <w:hideMark/>
          </w:tcPr>
          <w:p w14:paraId="2B33CBB7" w14:textId="49511108" w:rsidR="001B6918" w:rsidRPr="004E6649" w:rsidRDefault="001B6918" w:rsidP="00730ECF">
            <w:pPr>
              <w:ind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40,291</w:t>
            </w:r>
          </w:p>
        </w:tc>
        <w:tc>
          <w:tcPr>
            <w:tcW w:w="987" w:type="dxa"/>
            <w:tcBorders>
              <w:top w:val="single" w:sz="4" w:space="0" w:color="000000" w:themeColor="text1"/>
              <w:left w:val="nil"/>
              <w:bottom w:val="single" w:sz="4" w:space="0" w:color="000000" w:themeColor="text1"/>
              <w:right w:val="nil"/>
            </w:tcBorders>
            <w:shd w:val="clear" w:color="000000" w:fill="FFFFFF"/>
            <w:noWrap/>
            <w:vAlign w:val="bottom"/>
            <w:hideMark/>
          </w:tcPr>
          <w:p w14:paraId="7D1B083D" w14:textId="77777777" w:rsidR="001B6918" w:rsidRPr="004E6649" w:rsidRDefault="001B6918" w:rsidP="00730ECF">
            <w:pPr>
              <w:ind w:left="-40" w:right="-114"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 xml:space="preserve">42,934 </w:t>
            </w:r>
          </w:p>
        </w:tc>
      </w:tr>
      <w:tr w:rsidR="001B6918" w:rsidRPr="004E6649" w14:paraId="7580D54E" w14:textId="77777777" w:rsidTr="00730ECF">
        <w:trPr>
          <w:gridAfter w:val="1"/>
          <w:wAfter w:w="149" w:type="dxa"/>
          <w:trHeight w:val="20"/>
          <w:jc w:val="center"/>
        </w:trPr>
        <w:tc>
          <w:tcPr>
            <w:tcW w:w="3058" w:type="dxa"/>
            <w:gridSpan w:val="3"/>
            <w:tcBorders>
              <w:top w:val="single" w:sz="4" w:space="0" w:color="000000" w:themeColor="text1"/>
              <w:left w:val="nil"/>
              <w:bottom w:val="nil"/>
              <w:right w:val="nil"/>
            </w:tcBorders>
            <w:shd w:val="clear" w:color="000000" w:fill="FFFFFF"/>
            <w:vAlign w:val="bottom"/>
            <w:hideMark/>
          </w:tcPr>
          <w:p w14:paraId="61E16611" w14:textId="77777777" w:rsidR="001B6918" w:rsidRPr="004E6649" w:rsidRDefault="001B6918" w:rsidP="00730ECF">
            <w:pPr>
              <w:ind w:left="-113" w:right="-951" w:firstLine="96"/>
              <w:rPr>
                <w:rFonts w:eastAsia="Times New Roman" w:cstheme="minorHAnsi"/>
                <w:color w:val="0D0D0D"/>
                <w:sz w:val="18"/>
                <w:szCs w:val="18"/>
              </w:rPr>
            </w:pPr>
            <w:r w:rsidRPr="004E6649">
              <w:rPr>
                <w:rFonts w:eastAsia="Times New Roman" w:cstheme="minorHAnsi"/>
                <w:color w:val="0D0D0D"/>
                <w:sz w:val="18"/>
                <w:szCs w:val="18"/>
              </w:rPr>
              <w:t>Contributions – employer</w:t>
            </w:r>
          </w:p>
        </w:tc>
        <w:tc>
          <w:tcPr>
            <w:tcW w:w="1036" w:type="dxa"/>
            <w:tcBorders>
              <w:top w:val="single" w:sz="4" w:space="0" w:color="000000" w:themeColor="text1"/>
              <w:left w:val="nil"/>
              <w:bottom w:val="nil"/>
              <w:right w:val="nil"/>
            </w:tcBorders>
            <w:shd w:val="clear" w:color="auto" w:fill="F2F2F2" w:themeFill="background1" w:themeFillShade="F2"/>
            <w:vAlign w:val="bottom"/>
          </w:tcPr>
          <w:p w14:paraId="1F157DFC" w14:textId="46072B22" w:rsidR="001B6918" w:rsidRPr="00C0359C" w:rsidRDefault="001B6918" w:rsidP="00730ECF">
            <w:pPr>
              <w:ind w:firstLineChars="100" w:firstLine="180"/>
              <w:jc w:val="right"/>
              <w:rPr>
                <w:rFonts w:eastAsia="Times New Roman" w:cstheme="minorHAnsi"/>
                <w:color w:val="FF0000"/>
                <w:sz w:val="18"/>
                <w:szCs w:val="18"/>
              </w:rPr>
            </w:pPr>
            <w:r w:rsidRPr="003E524C">
              <w:rPr>
                <w:rFonts w:ascii="Calibri" w:hAnsi="Calibri" w:cs="Calibri"/>
                <w:sz w:val="18"/>
                <w:szCs w:val="18"/>
              </w:rPr>
              <w:t xml:space="preserve">        857</w:t>
            </w:r>
          </w:p>
        </w:tc>
        <w:tc>
          <w:tcPr>
            <w:tcW w:w="1192" w:type="dxa"/>
            <w:tcBorders>
              <w:top w:val="single" w:sz="4" w:space="0" w:color="000000" w:themeColor="text1"/>
              <w:left w:val="nil"/>
              <w:bottom w:val="nil"/>
              <w:right w:val="nil"/>
            </w:tcBorders>
            <w:vAlign w:val="bottom"/>
          </w:tcPr>
          <w:p w14:paraId="168EDDED" w14:textId="77777777" w:rsidR="001B6918" w:rsidRPr="004E6649" w:rsidRDefault="001B6918" w:rsidP="00730ECF">
            <w:pPr>
              <w:ind w:firstLineChars="100" w:firstLine="180"/>
              <w:jc w:val="right"/>
              <w:rPr>
                <w:rFonts w:eastAsia="Times New Roman" w:cstheme="minorHAnsi"/>
                <w:sz w:val="18"/>
                <w:szCs w:val="18"/>
              </w:rPr>
            </w:pPr>
            <w:r>
              <w:rPr>
                <w:rFonts w:eastAsia="Times New Roman" w:cstheme="minorHAnsi"/>
                <w:sz w:val="18"/>
                <w:szCs w:val="18"/>
              </w:rPr>
              <w:t>880</w:t>
            </w:r>
          </w:p>
        </w:tc>
        <w:tc>
          <w:tcPr>
            <w:tcW w:w="1174" w:type="dxa"/>
            <w:tcBorders>
              <w:top w:val="single" w:sz="4" w:space="0" w:color="000000" w:themeColor="text1"/>
              <w:left w:val="nil"/>
              <w:bottom w:val="nil"/>
              <w:right w:val="nil"/>
            </w:tcBorders>
            <w:shd w:val="clear" w:color="000000" w:fill="F2F2F2"/>
            <w:noWrap/>
            <w:vAlign w:val="bottom"/>
            <w:hideMark/>
          </w:tcPr>
          <w:p w14:paraId="01E49B7A" w14:textId="1C0E9F48"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 xml:space="preserve">       948</w:t>
            </w:r>
          </w:p>
        </w:tc>
        <w:tc>
          <w:tcPr>
            <w:tcW w:w="1170" w:type="dxa"/>
            <w:tcBorders>
              <w:top w:val="single" w:sz="4" w:space="0" w:color="000000" w:themeColor="text1"/>
              <w:left w:val="nil"/>
              <w:bottom w:val="nil"/>
              <w:right w:val="nil"/>
            </w:tcBorders>
            <w:shd w:val="clear" w:color="000000" w:fill="FFFFFF"/>
            <w:noWrap/>
            <w:vAlign w:val="bottom"/>
            <w:hideMark/>
          </w:tcPr>
          <w:p w14:paraId="3A2D4AA6" w14:textId="78013E28"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 xml:space="preserve">       672</w:t>
            </w:r>
          </w:p>
        </w:tc>
        <w:tc>
          <w:tcPr>
            <w:tcW w:w="1170" w:type="dxa"/>
            <w:tcBorders>
              <w:top w:val="single" w:sz="4" w:space="0" w:color="000000" w:themeColor="text1"/>
              <w:left w:val="nil"/>
              <w:bottom w:val="nil"/>
              <w:right w:val="nil"/>
            </w:tcBorders>
            <w:shd w:val="clear" w:color="000000" w:fill="F2F2F2"/>
            <w:noWrap/>
            <w:vAlign w:val="bottom"/>
            <w:hideMark/>
          </w:tcPr>
          <w:p w14:paraId="7695860A" w14:textId="62BA7CCA"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 xml:space="preserve">       907</w:t>
            </w:r>
          </w:p>
        </w:tc>
        <w:tc>
          <w:tcPr>
            <w:tcW w:w="1170" w:type="dxa"/>
            <w:tcBorders>
              <w:top w:val="single" w:sz="4" w:space="0" w:color="000000" w:themeColor="text1"/>
              <w:left w:val="nil"/>
              <w:bottom w:val="nil"/>
              <w:right w:val="nil"/>
            </w:tcBorders>
            <w:shd w:val="clear" w:color="000000" w:fill="FFFFFF"/>
            <w:noWrap/>
            <w:vAlign w:val="bottom"/>
            <w:hideMark/>
          </w:tcPr>
          <w:p w14:paraId="61442644" w14:textId="27523FC1" w:rsidR="001B6918" w:rsidRPr="004E6649" w:rsidRDefault="001B6918" w:rsidP="00730ECF">
            <w:pPr>
              <w:ind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 xml:space="preserve">       896</w:t>
            </w:r>
          </w:p>
        </w:tc>
        <w:tc>
          <w:tcPr>
            <w:tcW w:w="1100" w:type="dxa"/>
            <w:tcBorders>
              <w:top w:val="single" w:sz="4" w:space="0" w:color="000000" w:themeColor="text1"/>
              <w:left w:val="nil"/>
              <w:bottom w:val="nil"/>
              <w:right w:val="nil"/>
            </w:tcBorders>
            <w:shd w:val="clear" w:color="000000" w:fill="F2F2F2"/>
            <w:noWrap/>
            <w:vAlign w:val="bottom"/>
            <w:hideMark/>
          </w:tcPr>
          <w:p w14:paraId="0E7CE9A1" w14:textId="196497F2"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 xml:space="preserve">     714</w:t>
            </w:r>
          </w:p>
        </w:tc>
        <w:tc>
          <w:tcPr>
            <w:tcW w:w="1080" w:type="dxa"/>
            <w:tcBorders>
              <w:top w:val="single" w:sz="4" w:space="0" w:color="000000" w:themeColor="text1"/>
              <w:left w:val="nil"/>
              <w:bottom w:val="nil"/>
              <w:right w:val="nil"/>
            </w:tcBorders>
            <w:shd w:val="clear" w:color="000000" w:fill="FFFFFF"/>
            <w:noWrap/>
            <w:vAlign w:val="bottom"/>
            <w:hideMark/>
          </w:tcPr>
          <w:p w14:paraId="691B80AE" w14:textId="4325E7AB" w:rsidR="001B6918" w:rsidRPr="004E6649" w:rsidRDefault="001B6918" w:rsidP="00730ECF">
            <w:pPr>
              <w:ind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 xml:space="preserve">     695</w:t>
            </w:r>
          </w:p>
        </w:tc>
        <w:tc>
          <w:tcPr>
            <w:tcW w:w="1080" w:type="dxa"/>
            <w:tcBorders>
              <w:top w:val="single" w:sz="4" w:space="0" w:color="000000" w:themeColor="text1"/>
              <w:left w:val="nil"/>
              <w:bottom w:val="nil"/>
              <w:right w:val="nil"/>
            </w:tcBorders>
            <w:shd w:val="clear" w:color="000000" w:fill="F2F2F2"/>
            <w:noWrap/>
            <w:vAlign w:val="bottom"/>
            <w:hideMark/>
          </w:tcPr>
          <w:p w14:paraId="5F248015" w14:textId="20357346"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 xml:space="preserve">     735</w:t>
            </w:r>
          </w:p>
        </w:tc>
        <w:tc>
          <w:tcPr>
            <w:tcW w:w="987" w:type="dxa"/>
            <w:tcBorders>
              <w:top w:val="single" w:sz="4" w:space="0" w:color="000000" w:themeColor="text1"/>
              <w:left w:val="nil"/>
              <w:bottom w:val="nil"/>
              <w:right w:val="nil"/>
            </w:tcBorders>
            <w:shd w:val="clear" w:color="000000" w:fill="FFFFFF"/>
            <w:noWrap/>
            <w:vAlign w:val="bottom"/>
            <w:hideMark/>
          </w:tcPr>
          <w:p w14:paraId="16527C8C" w14:textId="77777777" w:rsidR="001B6918" w:rsidRPr="004E6649" w:rsidRDefault="001B6918" w:rsidP="00730ECF">
            <w:pPr>
              <w:ind w:left="-40" w:right="-114"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 xml:space="preserve">     538 </w:t>
            </w:r>
          </w:p>
        </w:tc>
      </w:tr>
      <w:tr w:rsidR="001B6918" w:rsidRPr="004E6649" w14:paraId="3116986E" w14:textId="77777777" w:rsidTr="00730ECF">
        <w:trPr>
          <w:gridAfter w:val="1"/>
          <w:wAfter w:w="149" w:type="dxa"/>
          <w:trHeight w:val="20"/>
          <w:jc w:val="center"/>
        </w:trPr>
        <w:tc>
          <w:tcPr>
            <w:tcW w:w="3058" w:type="dxa"/>
            <w:gridSpan w:val="3"/>
            <w:tcBorders>
              <w:top w:val="nil"/>
              <w:left w:val="nil"/>
              <w:bottom w:val="nil"/>
              <w:right w:val="nil"/>
            </w:tcBorders>
            <w:shd w:val="clear" w:color="000000" w:fill="FFFFFF"/>
            <w:vAlign w:val="bottom"/>
            <w:hideMark/>
          </w:tcPr>
          <w:p w14:paraId="6A84185B" w14:textId="77777777" w:rsidR="001B6918" w:rsidRPr="004E6649" w:rsidRDefault="001B6918" w:rsidP="00730ECF">
            <w:pPr>
              <w:ind w:left="-113" w:right="-951" w:firstLine="96"/>
              <w:rPr>
                <w:rFonts w:eastAsia="Times New Roman" w:cstheme="minorHAnsi"/>
                <w:color w:val="0D0D0D"/>
                <w:sz w:val="18"/>
                <w:szCs w:val="18"/>
              </w:rPr>
            </w:pPr>
            <w:r w:rsidRPr="004E6649">
              <w:rPr>
                <w:rFonts w:eastAsia="Times New Roman" w:cstheme="minorHAnsi"/>
                <w:color w:val="0D0D0D"/>
                <w:sz w:val="18"/>
                <w:szCs w:val="18"/>
              </w:rPr>
              <w:t>Net investment income</w:t>
            </w:r>
          </w:p>
        </w:tc>
        <w:tc>
          <w:tcPr>
            <w:tcW w:w="1036" w:type="dxa"/>
            <w:tcBorders>
              <w:top w:val="nil"/>
              <w:left w:val="nil"/>
              <w:bottom w:val="nil"/>
              <w:right w:val="nil"/>
            </w:tcBorders>
            <w:shd w:val="clear" w:color="auto" w:fill="F2F2F2" w:themeFill="background1" w:themeFillShade="F2"/>
            <w:vAlign w:val="bottom"/>
          </w:tcPr>
          <w:p w14:paraId="68A7412F" w14:textId="3D940A57" w:rsidR="001B6918" w:rsidRPr="00C0359C" w:rsidRDefault="001B6918" w:rsidP="00730ECF">
            <w:pPr>
              <w:ind w:firstLineChars="100" w:firstLine="180"/>
              <w:jc w:val="right"/>
              <w:rPr>
                <w:rFonts w:eastAsia="Times New Roman" w:cstheme="minorHAnsi"/>
                <w:color w:val="FF0000"/>
                <w:sz w:val="18"/>
                <w:szCs w:val="18"/>
              </w:rPr>
            </w:pPr>
            <w:r w:rsidRPr="003E524C">
              <w:rPr>
                <w:rFonts w:ascii="Calibri" w:hAnsi="Calibri" w:cs="Calibri"/>
                <w:sz w:val="18"/>
                <w:szCs w:val="18"/>
              </w:rPr>
              <w:t xml:space="preserve">        933</w:t>
            </w:r>
          </w:p>
        </w:tc>
        <w:tc>
          <w:tcPr>
            <w:tcW w:w="1192" w:type="dxa"/>
            <w:tcBorders>
              <w:top w:val="nil"/>
              <w:left w:val="nil"/>
              <w:bottom w:val="nil"/>
              <w:right w:val="nil"/>
            </w:tcBorders>
            <w:vAlign w:val="bottom"/>
          </w:tcPr>
          <w:p w14:paraId="737C9804" w14:textId="77777777" w:rsidR="001B6918" w:rsidRPr="004E6649" w:rsidRDefault="001B6918" w:rsidP="00730ECF">
            <w:pPr>
              <w:ind w:firstLineChars="100" w:firstLine="180"/>
              <w:jc w:val="right"/>
              <w:rPr>
                <w:rFonts w:eastAsia="Times New Roman" w:cstheme="minorHAnsi"/>
                <w:sz w:val="18"/>
                <w:szCs w:val="18"/>
              </w:rPr>
            </w:pPr>
            <w:r>
              <w:rPr>
                <w:rFonts w:eastAsia="Times New Roman" w:cstheme="minorHAnsi"/>
                <w:sz w:val="18"/>
                <w:szCs w:val="18"/>
              </w:rPr>
              <w:t>1,094</w:t>
            </w:r>
          </w:p>
        </w:tc>
        <w:tc>
          <w:tcPr>
            <w:tcW w:w="1174" w:type="dxa"/>
            <w:tcBorders>
              <w:top w:val="nil"/>
              <w:left w:val="nil"/>
              <w:bottom w:val="nil"/>
              <w:right w:val="nil"/>
            </w:tcBorders>
            <w:shd w:val="clear" w:color="000000" w:fill="F2F2F2"/>
            <w:noWrap/>
            <w:vAlign w:val="bottom"/>
            <w:hideMark/>
          </w:tcPr>
          <w:p w14:paraId="0DE0B988" w14:textId="735D7123"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 xml:space="preserve">    1,241</w:t>
            </w:r>
          </w:p>
        </w:tc>
        <w:tc>
          <w:tcPr>
            <w:tcW w:w="1170" w:type="dxa"/>
            <w:tcBorders>
              <w:top w:val="nil"/>
              <w:left w:val="nil"/>
              <w:bottom w:val="nil"/>
              <w:right w:val="nil"/>
            </w:tcBorders>
            <w:shd w:val="clear" w:color="000000" w:fill="FFFFFF"/>
            <w:noWrap/>
            <w:vAlign w:val="bottom"/>
            <w:hideMark/>
          </w:tcPr>
          <w:p w14:paraId="013A556D" w14:textId="77777777"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 xml:space="preserve">  (1,760)</w:t>
            </w:r>
          </w:p>
        </w:tc>
        <w:tc>
          <w:tcPr>
            <w:tcW w:w="1170" w:type="dxa"/>
            <w:tcBorders>
              <w:top w:val="nil"/>
              <w:left w:val="nil"/>
              <w:bottom w:val="nil"/>
              <w:right w:val="nil"/>
            </w:tcBorders>
            <w:shd w:val="clear" w:color="000000" w:fill="F2F2F2"/>
            <w:noWrap/>
            <w:vAlign w:val="bottom"/>
            <w:hideMark/>
          </w:tcPr>
          <w:p w14:paraId="35EBE0DC" w14:textId="62CA3B22"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 xml:space="preserve">     3,704</w:t>
            </w:r>
          </w:p>
        </w:tc>
        <w:tc>
          <w:tcPr>
            <w:tcW w:w="1170" w:type="dxa"/>
            <w:tcBorders>
              <w:top w:val="nil"/>
              <w:left w:val="nil"/>
              <w:bottom w:val="nil"/>
              <w:right w:val="nil"/>
            </w:tcBorders>
            <w:shd w:val="clear" w:color="000000" w:fill="FFFFFF"/>
            <w:noWrap/>
            <w:vAlign w:val="bottom"/>
            <w:hideMark/>
          </w:tcPr>
          <w:p w14:paraId="351E1C7C" w14:textId="034B6517" w:rsidR="001B6918" w:rsidRPr="004E6649" w:rsidRDefault="001B6918" w:rsidP="00730ECF">
            <w:pPr>
              <w:ind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 xml:space="preserve">     1,213</w:t>
            </w:r>
          </w:p>
        </w:tc>
        <w:tc>
          <w:tcPr>
            <w:tcW w:w="1100" w:type="dxa"/>
            <w:tcBorders>
              <w:top w:val="nil"/>
              <w:left w:val="nil"/>
              <w:bottom w:val="nil"/>
              <w:right w:val="nil"/>
            </w:tcBorders>
            <w:shd w:val="clear" w:color="000000" w:fill="F2F2F2"/>
            <w:noWrap/>
            <w:vAlign w:val="bottom"/>
            <w:hideMark/>
          </w:tcPr>
          <w:p w14:paraId="5F3787B4" w14:textId="7E71DFBF"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 xml:space="preserve">   1,112</w:t>
            </w:r>
          </w:p>
        </w:tc>
        <w:tc>
          <w:tcPr>
            <w:tcW w:w="1080" w:type="dxa"/>
            <w:tcBorders>
              <w:top w:val="nil"/>
              <w:left w:val="nil"/>
              <w:bottom w:val="nil"/>
              <w:right w:val="nil"/>
            </w:tcBorders>
            <w:shd w:val="clear" w:color="000000" w:fill="FFFFFF"/>
            <w:noWrap/>
            <w:vAlign w:val="bottom"/>
            <w:hideMark/>
          </w:tcPr>
          <w:p w14:paraId="705DE93E" w14:textId="71A18BA9" w:rsidR="001B6918" w:rsidRPr="004E6649" w:rsidRDefault="001B6918" w:rsidP="00730ECF">
            <w:pPr>
              <w:ind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 xml:space="preserve">   1,335</w:t>
            </w:r>
          </w:p>
        </w:tc>
        <w:tc>
          <w:tcPr>
            <w:tcW w:w="1080" w:type="dxa"/>
            <w:tcBorders>
              <w:top w:val="nil"/>
              <w:left w:val="nil"/>
              <w:bottom w:val="nil"/>
              <w:right w:val="nil"/>
            </w:tcBorders>
            <w:shd w:val="clear" w:color="000000" w:fill="F2F2F2"/>
            <w:noWrap/>
            <w:vAlign w:val="bottom"/>
            <w:hideMark/>
          </w:tcPr>
          <w:p w14:paraId="5DC9DC18" w14:textId="5D77CB1A"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 xml:space="preserve">   2,173</w:t>
            </w:r>
          </w:p>
        </w:tc>
        <w:tc>
          <w:tcPr>
            <w:tcW w:w="987" w:type="dxa"/>
            <w:tcBorders>
              <w:top w:val="nil"/>
              <w:left w:val="nil"/>
              <w:bottom w:val="nil"/>
              <w:right w:val="nil"/>
            </w:tcBorders>
            <w:shd w:val="clear" w:color="000000" w:fill="FFFFFF"/>
            <w:noWrap/>
            <w:vAlign w:val="bottom"/>
            <w:hideMark/>
          </w:tcPr>
          <w:p w14:paraId="240D6634" w14:textId="77777777" w:rsidR="001B6918" w:rsidRPr="004E6649" w:rsidRDefault="001B6918" w:rsidP="00730ECF">
            <w:pPr>
              <w:ind w:left="-40" w:right="-114"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 xml:space="preserve">      202 </w:t>
            </w:r>
          </w:p>
        </w:tc>
      </w:tr>
      <w:tr w:rsidR="001B6918" w:rsidRPr="004E6649" w14:paraId="33E46298" w14:textId="77777777" w:rsidTr="00730ECF">
        <w:trPr>
          <w:gridAfter w:val="1"/>
          <w:wAfter w:w="149" w:type="dxa"/>
          <w:trHeight w:val="20"/>
          <w:jc w:val="center"/>
        </w:trPr>
        <w:tc>
          <w:tcPr>
            <w:tcW w:w="3058" w:type="dxa"/>
            <w:gridSpan w:val="3"/>
            <w:tcBorders>
              <w:top w:val="nil"/>
              <w:left w:val="nil"/>
              <w:right w:val="nil"/>
            </w:tcBorders>
            <w:shd w:val="clear" w:color="000000" w:fill="FFFFFF"/>
            <w:vAlign w:val="bottom"/>
            <w:hideMark/>
          </w:tcPr>
          <w:p w14:paraId="4AE28F00" w14:textId="77777777" w:rsidR="001B6918" w:rsidRPr="004E6649" w:rsidRDefault="001B6918" w:rsidP="00730ECF">
            <w:pPr>
              <w:ind w:left="-113" w:right="-951" w:firstLine="96"/>
              <w:rPr>
                <w:rFonts w:eastAsia="Times New Roman" w:cstheme="minorHAnsi"/>
                <w:color w:val="0D0D0D"/>
                <w:sz w:val="18"/>
                <w:szCs w:val="18"/>
              </w:rPr>
            </w:pPr>
            <w:r w:rsidRPr="004E6649">
              <w:rPr>
                <w:rFonts w:eastAsia="Times New Roman" w:cstheme="minorHAnsi"/>
                <w:color w:val="0D0D0D"/>
                <w:sz w:val="18"/>
                <w:szCs w:val="18"/>
              </w:rPr>
              <w:t>Benefit payments</w:t>
            </w:r>
          </w:p>
        </w:tc>
        <w:tc>
          <w:tcPr>
            <w:tcW w:w="1036" w:type="dxa"/>
            <w:tcBorders>
              <w:top w:val="nil"/>
              <w:left w:val="nil"/>
              <w:right w:val="nil"/>
            </w:tcBorders>
            <w:shd w:val="clear" w:color="auto" w:fill="F2F2F2" w:themeFill="background1" w:themeFillShade="F2"/>
            <w:vAlign w:val="bottom"/>
          </w:tcPr>
          <w:p w14:paraId="7094C113" w14:textId="77777777" w:rsidR="001B6918" w:rsidRPr="00C0359C" w:rsidRDefault="001B6918" w:rsidP="00730ECF">
            <w:pPr>
              <w:ind w:firstLineChars="100" w:firstLine="180"/>
              <w:jc w:val="right"/>
              <w:rPr>
                <w:rFonts w:eastAsia="Times New Roman" w:cstheme="minorHAnsi"/>
                <w:color w:val="FF0000"/>
                <w:sz w:val="18"/>
                <w:szCs w:val="18"/>
              </w:rPr>
            </w:pPr>
            <w:r w:rsidRPr="003E524C">
              <w:rPr>
                <w:rFonts w:ascii="Calibri" w:hAnsi="Calibri" w:cs="Calibri"/>
                <w:sz w:val="18"/>
                <w:szCs w:val="18"/>
              </w:rPr>
              <w:t xml:space="preserve">  (3,137)</w:t>
            </w:r>
          </w:p>
        </w:tc>
        <w:tc>
          <w:tcPr>
            <w:tcW w:w="1192" w:type="dxa"/>
            <w:tcBorders>
              <w:top w:val="nil"/>
              <w:left w:val="nil"/>
              <w:right w:val="nil"/>
            </w:tcBorders>
            <w:vAlign w:val="bottom"/>
          </w:tcPr>
          <w:p w14:paraId="15BFDA16" w14:textId="77777777" w:rsidR="001B6918" w:rsidRPr="004E6649" w:rsidRDefault="001B6918" w:rsidP="00730ECF">
            <w:pPr>
              <w:ind w:firstLineChars="100" w:firstLine="180"/>
              <w:jc w:val="right"/>
              <w:rPr>
                <w:rFonts w:eastAsia="Times New Roman" w:cstheme="minorHAnsi"/>
                <w:sz w:val="18"/>
                <w:szCs w:val="18"/>
              </w:rPr>
            </w:pPr>
            <w:r>
              <w:rPr>
                <w:rFonts w:eastAsia="Times New Roman" w:cstheme="minorHAnsi"/>
                <w:sz w:val="18"/>
                <w:szCs w:val="18"/>
              </w:rPr>
              <w:t>(3,351)</w:t>
            </w:r>
          </w:p>
        </w:tc>
        <w:tc>
          <w:tcPr>
            <w:tcW w:w="1174" w:type="dxa"/>
            <w:tcBorders>
              <w:top w:val="nil"/>
              <w:left w:val="nil"/>
              <w:right w:val="nil"/>
            </w:tcBorders>
            <w:shd w:val="clear" w:color="000000" w:fill="F2F2F2"/>
            <w:noWrap/>
            <w:vAlign w:val="bottom"/>
            <w:hideMark/>
          </w:tcPr>
          <w:p w14:paraId="7C1E2BEB" w14:textId="77777777"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 xml:space="preserve">  (3,585)</w:t>
            </w:r>
          </w:p>
        </w:tc>
        <w:tc>
          <w:tcPr>
            <w:tcW w:w="1170" w:type="dxa"/>
            <w:tcBorders>
              <w:top w:val="nil"/>
              <w:left w:val="nil"/>
              <w:right w:val="nil"/>
            </w:tcBorders>
            <w:shd w:val="clear" w:color="000000" w:fill="FFFFFF"/>
            <w:noWrap/>
            <w:vAlign w:val="bottom"/>
            <w:hideMark/>
          </w:tcPr>
          <w:p w14:paraId="2C87E3D6" w14:textId="77777777"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 xml:space="preserve">  (3,793)</w:t>
            </w:r>
          </w:p>
        </w:tc>
        <w:tc>
          <w:tcPr>
            <w:tcW w:w="1170" w:type="dxa"/>
            <w:tcBorders>
              <w:top w:val="nil"/>
              <w:left w:val="nil"/>
              <w:right w:val="nil"/>
            </w:tcBorders>
            <w:shd w:val="clear" w:color="000000" w:fill="F2F2F2"/>
            <w:noWrap/>
            <w:vAlign w:val="bottom"/>
            <w:hideMark/>
          </w:tcPr>
          <w:p w14:paraId="743C602E" w14:textId="77777777"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 xml:space="preserve"> (3,916)</w:t>
            </w:r>
          </w:p>
        </w:tc>
        <w:tc>
          <w:tcPr>
            <w:tcW w:w="1170" w:type="dxa"/>
            <w:tcBorders>
              <w:top w:val="nil"/>
              <w:left w:val="nil"/>
              <w:right w:val="nil"/>
            </w:tcBorders>
            <w:shd w:val="clear" w:color="000000" w:fill="FFFFFF"/>
            <w:noWrap/>
            <w:vAlign w:val="bottom"/>
            <w:hideMark/>
          </w:tcPr>
          <w:p w14:paraId="4B42C3F0" w14:textId="77777777" w:rsidR="001B6918" w:rsidRPr="004E6649" w:rsidRDefault="001B6918" w:rsidP="00730ECF">
            <w:pPr>
              <w:ind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 xml:space="preserve">  (4,043)</w:t>
            </w:r>
          </w:p>
        </w:tc>
        <w:tc>
          <w:tcPr>
            <w:tcW w:w="1100" w:type="dxa"/>
            <w:tcBorders>
              <w:top w:val="nil"/>
              <w:left w:val="nil"/>
              <w:right w:val="nil"/>
            </w:tcBorders>
            <w:shd w:val="clear" w:color="000000" w:fill="F2F2F2"/>
            <w:noWrap/>
            <w:vAlign w:val="bottom"/>
            <w:hideMark/>
          </w:tcPr>
          <w:p w14:paraId="5B63B882" w14:textId="77777777"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 xml:space="preserve"> (4,153)</w:t>
            </w:r>
          </w:p>
        </w:tc>
        <w:tc>
          <w:tcPr>
            <w:tcW w:w="1080" w:type="dxa"/>
            <w:tcBorders>
              <w:top w:val="nil"/>
              <w:left w:val="nil"/>
              <w:right w:val="nil"/>
            </w:tcBorders>
            <w:shd w:val="clear" w:color="000000" w:fill="FFFFFF"/>
            <w:noWrap/>
            <w:vAlign w:val="bottom"/>
            <w:hideMark/>
          </w:tcPr>
          <w:p w14:paraId="1BAA49C4" w14:textId="77777777" w:rsidR="001B6918" w:rsidRPr="004E6649" w:rsidRDefault="001B6918" w:rsidP="00730ECF">
            <w:pPr>
              <w:ind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(4,280)</w:t>
            </w:r>
          </w:p>
        </w:tc>
        <w:tc>
          <w:tcPr>
            <w:tcW w:w="1080" w:type="dxa"/>
            <w:tcBorders>
              <w:top w:val="nil"/>
              <w:left w:val="nil"/>
              <w:right w:val="nil"/>
            </w:tcBorders>
            <w:shd w:val="clear" w:color="000000" w:fill="F2F2F2"/>
            <w:noWrap/>
            <w:vAlign w:val="bottom"/>
            <w:hideMark/>
          </w:tcPr>
          <w:p w14:paraId="6EDCA550" w14:textId="77777777"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(4,435)</w:t>
            </w:r>
          </w:p>
        </w:tc>
        <w:tc>
          <w:tcPr>
            <w:tcW w:w="987" w:type="dxa"/>
            <w:tcBorders>
              <w:top w:val="nil"/>
              <w:left w:val="nil"/>
              <w:right w:val="nil"/>
            </w:tcBorders>
            <w:shd w:val="clear" w:color="000000" w:fill="FFFFFF"/>
            <w:noWrap/>
            <w:vAlign w:val="bottom"/>
            <w:hideMark/>
          </w:tcPr>
          <w:p w14:paraId="21BEE859" w14:textId="77777777" w:rsidR="001B6918" w:rsidRPr="004E6649" w:rsidRDefault="001B6918" w:rsidP="00730ECF">
            <w:pPr>
              <w:ind w:left="-40" w:right="-114"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 xml:space="preserve"> (4,585)</w:t>
            </w:r>
          </w:p>
        </w:tc>
      </w:tr>
      <w:tr w:rsidR="001B6918" w:rsidRPr="004E6649" w14:paraId="29F6B70C" w14:textId="77777777" w:rsidTr="00730ECF">
        <w:trPr>
          <w:gridAfter w:val="1"/>
          <w:wAfter w:w="149" w:type="dxa"/>
          <w:trHeight w:val="20"/>
          <w:jc w:val="center"/>
        </w:trPr>
        <w:tc>
          <w:tcPr>
            <w:tcW w:w="3058" w:type="dxa"/>
            <w:gridSpan w:val="3"/>
            <w:tcBorders>
              <w:top w:val="nil"/>
              <w:left w:val="nil"/>
              <w:bottom w:val="single" w:sz="4" w:space="0" w:color="000000" w:themeColor="text1"/>
              <w:right w:val="nil"/>
            </w:tcBorders>
            <w:shd w:val="clear" w:color="000000" w:fill="FFFFFF"/>
            <w:vAlign w:val="bottom"/>
            <w:hideMark/>
          </w:tcPr>
          <w:p w14:paraId="5BA726E7" w14:textId="77777777" w:rsidR="001B6918" w:rsidRPr="004E6649" w:rsidRDefault="001B6918" w:rsidP="00730ECF">
            <w:pPr>
              <w:ind w:left="-113" w:right="-951" w:firstLine="96"/>
              <w:rPr>
                <w:rFonts w:eastAsia="Times New Roman" w:cstheme="minorHAnsi"/>
                <w:color w:val="0D0D0D"/>
                <w:sz w:val="18"/>
                <w:szCs w:val="18"/>
              </w:rPr>
            </w:pPr>
            <w:r w:rsidRPr="004E6649">
              <w:rPr>
                <w:rFonts w:eastAsia="Times New Roman" w:cstheme="minorHAnsi"/>
                <w:color w:val="0D0D0D"/>
                <w:sz w:val="18"/>
                <w:szCs w:val="18"/>
              </w:rPr>
              <w:t xml:space="preserve">Administrative expenses </w:t>
            </w:r>
          </w:p>
        </w:tc>
        <w:tc>
          <w:tcPr>
            <w:tcW w:w="1036" w:type="dxa"/>
            <w:tcBorders>
              <w:top w:val="nil"/>
              <w:left w:val="nil"/>
              <w:bottom w:val="single" w:sz="4" w:space="0" w:color="000000" w:themeColor="text1"/>
              <w:right w:val="nil"/>
            </w:tcBorders>
            <w:shd w:val="clear" w:color="auto" w:fill="F2F2F2" w:themeFill="background1" w:themeFillShade="F2"/>
            <w:vAlign w:val="bottom"/>
          </w:tcPr>
          <w:p w14:paraId="368C42E9" w14:textId="77777777" w:rsidR="001B6918" w:rsidRPr="00C0359C" w:rsidRDefault="001B6918" w:rsidP="00730ECF">
            <w:pPr>
              <w:ind w:firstLineChars="100" w:firstLine="180"/>
              <w:jc w:val="right"/>
              <w:rPr>
                <w:rFonts w:eastAsia="Times New Roman" w:cstheme="minorHAnsi"/>
                <w:color w:val="FF0000"/>
                <w:sz w:val="18"/>
                <w:szCs w:val="18"/>
              </w:rPr>
            </w:pPr>
            <w:r w:rsidRPr="003E524C">
              <w:rPr>
                <w:rFonts w:ascii="Calibri" w:hAnsi="Calibri" w:cs="Calibri"/>
                <w:sz w:val="18"/>
                <w:szCs w:val="18"/>
              </w:rPr>
              <w:t xml:space="preserve">        (16)</w:t>
            </w:r>
          </w:p>
        </w:tc>
        <w:tc>
          <w:tcPr>
            <w:tcW w:w="1192" w:type="dxa"/>
            <w:tcBorders>
              <w:top w:val="nil"/>
              <w:left w:val="nil"/>
              <w:bottom w:val="single" w:sz="4" w:space="0" w:color="000000" w:themeColor="text1"/>
              <w:right w:val="nil"/>
            </w:tcBorders>
            <w:vAlign w:val="bottom"/>
          </w:tcPr>
          <w:p w14:paraId="3DEFBA10" w14:textId="77777777" w:rsidR="001B6918" w:rsidRPr="004E6649" w:rsidRDefault="001B6918" w:rsidP="00730ECF">
            <w:pPr>
              <w:ind w:firstLineChars="100" w:firstLine="180"/>
              <w:jc w:val="right"/>
              <w:rPr>
                <w:rFonts w:eastAsia="Times New Roman" w:cstheme="minorHAnsi"/>
                <w:sz w:val="18"/>
                <w:szCs w:val="18"/>
              </w:rPr>
            </w:pPr>
            <w:r>
              <w:rPr>
                <w:rFonts w:eastAsia="Times New Roman" w:cstheme="minorHAnsi"/>
                <w:sz w:val="18"/>
                <w:szCs w:val="18"/>
              </w:rPr>
              <w:t>(17)</w:t>
            </w:r>
          </w:p>
        </w:tc>
        <w:tc>
          <w:tcPr>
            <w:tcW w:w="1174" w:type="dxa"/>
            <w:tcBorders>
              <w:top w:val="nil"/>
              <w:left w:val="nil"/>
              <w:bottom w:val="single" w:sz="4" w:space="0" w:color="000000" w:themeColor="text1"/>
              <w:right w:val="nil"/>
            </w:tcBorders>
            <w:shd w:val="clear" w:color="000000" w:fill="F2F2F2"/>
            <w:noWrap/>
            <w:vAlign w:val="bottom"/>
            <w:hideMark/>
          </w:tcPr>
          <w:p w14:paraId="30C1D45A" w14:textId="77777777"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 xml:space="preserve">        (9)</w:t>
            </w:r>
          </w:p>
        </w:tc>
        <w:tc>
          <w:tcPr>
            <w:tcW w:w="1170" w:type="dxa"/>
            <w:tcBorders>
              <w:top w:val="nil"/>
              <w:left w:val="nil"/>
              <w:bottom w:val="single" w:sz="4" w:space="0" w:color="000000" w:themeColor="text1"/>
              <w:right w:val="nil"/>
            </w:tcBorders>
            <w:shd w:val="clear" w:color="000000" w:fill="FFFFFF"/>
            <w:noWrap/>
            <w:vAlign w:val="bottom"/>
            <w:hideMark/>
          </w:tcPr>
          <w:p w14:paraId="16FC40B0" w14:textId="77777777"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 xml:space="preserve">       (18)</w:t>
            </w:r>
          </w:p>
        </w:tc>
        <w:tc>
          <w:tcPr>
            <w:tcW w:w="1170" w:type="dxa"/>
            <w:tcBorders>
              <w:top w:val="nil"/>
              <w:left w:val="nil"/>
              <w:bottom w:val="single" w:sz="4" w:space="0" w:color="000000" w:themeColor="text1"/>
              <w:right w:val="nil"/>
            </w:tcBorders>
            <w:shd w:val="clear" w:color="000000" w:fill="F2F2F2"/>
            <w:noWrap/>
            <w:vAlign w:val="bottom"/>
            <w:hideMark/>
          </w:tcPr>
          <w:p w14:paraId="664A580F" w14:textId="77777777"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 xml:space="preserve">    (13)</w:t>
            </w:r>
          </w:p>
        </w:tc>
        <w:tc>
          <w:tcPr>
            <w:tcW w:w="1170" w:type="dxa"/>
            <w:tcBorders>
              <w:top w:val="nil"/>
              <w:left w:val="nil"/>
              <w:bottom w:val="single" w:sz="4" w:space="0" w:color="000000" w:themeColor="text1"/>
              <w:right w:val="nil"/>
            </w:tcBorders>
            <w:shd w:val="clear" w:color="000000" w:fill="FFFFFF"/>
            <w:noWrap/>
            <w:vAlign w:val="bottom"/>
            <w:hideMark/>
          </w:tcPr>
          <w:p w14:paraId="4D211329" w14:textId="77777777" w:rsidR="001B6918" w:rsidRPr="004E6649" w:rsidRDefault="001B6918" w:rsidP="00730ECF">
            <w:pPr>
              <w:ind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 xml:space="preserve">      (33)</w:t>
            </w:r>
          </w:p>
        </w:tc>
        <w:tc>
          <w:tcPr>
            <w:tcW w:w="1100" w:type="dxa"/>
            <w:tcBorders>
              <w:top w:val="nil"/>
              <w:left w:val="nil"/>
              <w:bottom w:val="single" w:sz="4" w:space="0" w:color="000000" w:themeColor="text1"/>
              <w:right w:val="nil"/>
            </w:tcBorders>
            <w:shd w:val="clear" w:color="000000" w:fill="F2F2F2"/>
            <w:noWrap/>
            <w:vAlign w:val="bottom"/>
            <w:hideMark/>
          </w:tcPr>
          <w:p w14:paraId="08E8F253" w14:textId="77777777"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 xml:space="preserve">    (27)</w:t>
            </w:r>
          </w:p>
        </w:tc>
        <w:tc>
          <w:tcPr>
            <w:tcW w:w="1080" w:type="dxa"/>
            <w:tcBorders>
              <w:top w:val="nil"/>
              <w:left w:val="nil"/>
              <w:bottom w:val="single" w:sz="4" w:space="0" w:color="000000" w:themeColor="text1"/>
              <w:right w:val="nil"/>
            </w:tcBorders>
            <w:shd w:val="clear" w:color="000000" w:fill="FFFFFF"/>
            <w:noWrap/>
            <w:vAlign w:val="bottom"/>
            <w:hideMark/>
          </w:tcPr>
          <w:p w14:paraId="6BA5193D" w14:textId="77777777" w:rsidR="001B6918" w:rsidRPr="004E6649" w:rsidRDefault="001B6918" w:rsidP="00730ECF">
            <w:pPr>
              <w:ind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 xml:space="preserve">    (36)</w:t>
            </w:r>
          </w:p>
        </w:tc>
        <w:tc>
          <w:tcPr>
            <w:tcW w:w="1080" w:type="dxa"/>
            <w:tcBorders>
              <w:top w:val="nil"/>
              <w:left w:val="nil"/>
              <w:bottom w:val="single" w:sz="4" w:space="0" w:color="000000" w:themeColor="text1"/>
              <w:right w:val="nil"/>
            </w:tcBorders>
            <w:shd w:val="clear" w:color="000000" w:fill="F2F2F2"/>
            <w:noWrap/>
            <w:vAlign w:val="bottom"/>
            <w:hideMark/>
          </w:tcPr>
          <w:p w14:paraId="37C6371E" w14:textId="77777777"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 xml:space="preserve">    (20)</w:t>
            </w:r>
          </w:p>
        </w:tc>
        <w:tc>
          <w:tcPr>
            <w:tcW w:w="987" w:type="dxa"/>
            <w:tcBorders>
              <w:top w:val="nil"/>
              <w:left w:val="nil"/>
              <w:bottom w:val="single" w:sz="4" w:space="0" w:color="000000" w:themeColor="text1"/>
              <w:right w:val="nil"/>
            </w:tcBorders>
            <w:shd w:val="clear" w:color="000000" w:fill="FFFFFF"/>
            <w:noWrap/>
            <w:vAlign w:val="bottom"/>
            <w:hideMark/>
          </w:tcPr>
          <w:p w14:paraId="4A3D3A69" w14:textId="77777777" w:rsidR="001B6918" w:rsidRPr="004E6649" w:rsidRDefault="001B6918" w:rsidP="00730ECF">
            <w:pPr>
              <w:ind w:left="-40" w:right="-114"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 xml:space="preserve">     (19)</w:t>
            </w:r>
          </w:p>
        </w:tc>
      </w:tr>
      <w:tr w:rsidR="001B6918" w:rsidRPr="004E6649" w14:paraId="1876A013" w14:textId="77777777" w:rsidTr="00730ECF">
        <w:trPr>
          <w:gridAfter w:val="1"/>
          <w:wAfter w:w="149" w:type="dxa"/>
          <w:trHeight w:val="20"/>
          <w:jc w:val="center"/>
        </w:trPr>
        <w:tc>
          <w:tcPr>
            <w:tcW w:w="3058" w:type="dxa"/>
            <w:gridSpan w:val="3"/>
            <w:tcBorders>
              <w:top w:val="single" w:sz="4" w:space="0" w:color="000000" w:themeColor="text1"/>
              <w:left w:val="nil"/>
              <w:right w:val="nil"/>
            </w:tcBorders>
            <w:shd w:val="clear" w:color="000000" w:fill="FFFFFF"/>
            <w:vAlign w:val="bottom"/>
            <w:hideMark/>
          </w:tcPr>
          <w:p w14:paraId="78D90639" w14:textId="77777777" w:rsidR="001B6918" w:rsidRPr="004E6649" w:rsidRDefault="001B6918" w:rsidP="00730ECF">
            <w:pPr>
              <w:ind w:left="-113" w:right="-951" w:firstLine="96"/>
              <w:rPr>
                <w:rFonts w:eastAsia="Times New Roman" w:cstheme="minorHAnsi"/>
                <w:color w:val="0D0D0D"/>
                <w:sz w:val="18"/>
                <w:szCs w:val="18"/>
              </w:rPr>
            </w:pPr>
            <w:r w:rsidRPr="004E6649">
              <w:rPr>
                <w:rFonts w:eastAsia="Times New Roman" w:cstheme="minorHAnsi"/>
                <w:color w:val="0D0D0D"/>
                <w:sz w:val="18"/>
                <w:szCs w:val="18"/>
              </w:rPr>
              <w:t>Net change in plan fiduciary net</w:t>
            </w:r>
          </w:p>
          <w:p w14:paraId="38D0A1C2" w14:textId="77777777" w:rsidR="001B6918" w:rsidRPr="004E6649" w:rsidRDefault="001B6918" w:rsidP="00730ECF">
            <w:pPr>
              <w:ind w:left="-113" w:right="-951" w:firstLine="96"/>
              <w:rPr>
                <w:rFonts w:eastAsia="Times New Roman" w:cstheme="minorHAnsi"/>
                <w:color w:val="0D0D0D"/>
                <w:sz w:val="18"/>
                <w:szCs w:val="18"/>
              </w:rPr>
            </w:pPr>
            <w:r w:rsidRPr="004E6649">
              <w:rPr>
                <w:rFonts w:eastAsia="Times New Roman" w:cstheme="minorHAnsi"/>
                <w:color w:val="0D0D0D"/>
                <w:sz w:val="18"/>
                <w:szCs w:val="18"/>
              </w:rPr>
              <w:t xml:space="preserve">  position</w:t>
            </w:r>
          </w:p>
        </w:tc>
        <w:tc>
          <w:tcPr>
            <w:tcW w:w="1036" w:type="dxa"/>
            <w:tcBorders>
              <w:top w:val="single" w:sz="4" w:space="0" w:color="000000" w:themeColor="text1"/>
              <w:left w:val="nil"/>
              <w:right w:val="nil"/>
            </w:tcBorders>
            <w:shd w:val="clear" w:color="auto" w:fill="F2F2F2" w:themeFill="background1" w:themeFillShade="F2"/>
            <w:vAlign w:val="bottom"/>
          </w:tcPr>
          <w:p w14:paraId="36DA5C6E" w14:textId="57B79643" w:rsidR="001B6918" w:rsidRPr="00C0359C" w:rsidRDefault="001B6918" w:rsidP="00730ECF">
            <w:pPr>
              <w:ind w:firstLineChars="100" w:firstLine="180"/>
              <w:jc w:val="right"/>
              <w:rPr>
                <w:rFonts w:eastAsia="Times New Roman" w:cstheme="minorHAnsi"/>
                <w:color w:val="FF0000"/>
                <w:sz w:val="18"/>
                <w:szCs w:val="18"/>
              </w:rPr>
            </w:pPr>
            <w:r w:rsidRPr="003E524C">
              <w:rPr>
                <w:rFonts w:ascii="Calibri" w:hAnsi="Calibri" w:cs="Calibri"/>
                <w:sz w:val="18"/>
                <w:szCs w:val="18"/>
              </w:rPr>
              <w:t xml:space="preserve"> (1,363)</w:t>
            </w:r>
          </w:p>
        </w:tc>
        <w:tc>
          <w:tcPr>
            <w:tcW w:w="1192" w:type="dxa"/>
            <w:tcBorders>
              <w:top w:val="single" w:sz="4" w:space="0" w:color="000000" w:themeColor="text1"/>
              <w:left w:val="nil"/>
              <w:right w:val="nil"/>
            </w:tcBorders>
            <w:vAlign w:val="bottom"/>
          </w:tcPr>
          <w:p w14:paraId="7218B057" w14:textId="77777777" w:rsidR="001B6918" w:rsidRPr="004E6649" w:rsidRDefault="001B6918" w:rsidP="00730ECF">
            <w:pPr>
              <w:ind w:firstLineChars="100" w:firstLine="180"/>
              <w:jc w:val="right"/>
              <w:rPr>
                <w:rFonts w:eastAsia="Times New Roman" w:cstheme="minorHAnsi"/>
                <w:sz w:val="18"/>
                <w:szCs w:val="18"/>
              </w:rPr>
            </w:pPr>
            <w:r>
              <w:rPr>
                <w:rFonts w:eastAsia="Times New Roman" w:cstheme="minorHAnsi"/>
                <w:sz w:val="18"/>
                <w:szCs w:val="18"/>
              </w:rPr>
              <w:t>(1,394)</w:t>
            </w:r>
          </w:p>
        </w:tc>
        <w:tc>
          <w:tcPr>
            <w:tcW w:w="1174" w:type="dxa"/>
            <w:tcBorders>
              <w:top w:val="single" w:sz="4" w:space="0" w:color="000000" w:themeColor="text1"/>
              <w:left w:val="nil"/>
              <w:right w:val="nil"/>
            </w:tcBorders>
            <w:shd w:val="clear" w:color="000000" w:fill="F2F2F2"/>
            <w:noWrap/>
            <w:vAlign w:val="bottom"/>
            <w:hideMark/>
          </w:tcPr>
          <w:p w14:paraId="3831E547" w14:textId="77777777"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(1,405)</w:t>
            </w:r>
          </w:p>
        </w:tc>
        <w:tc>
          <w:tcPr>
            <w:tcW w:w="1170" w:type="dxa"/>
            <w:tcBorders>
              <w:top w:val="single" w:sz="4" w:space="0" w:color="000000" w:themeColor="text1"/>
              <w:left w:val="nil"/>
              <w:right w:val="nil"/>
            </w:tcBorders>
            <w:noWrap/>
            <w:vAlign w:val="bottom"/>
            <w:hideMark/>
          </w:tcPr>
          <w:p w14:paraId="6D35AF61" w14:textId="77777777"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 xml:space="preserve"> (4,899)</w:t>
            </w:r>
          </w:p>
        </w:tc>
        <w:tc>
          <w:tcPr>
            <w:tcW w:w="1170" w:type="dxa"/>
            <w:tcBorders>
              <w:top w:val="single" w:sz="4" w:space="0" w:color="000000" w:themeColor="text1"/>
              <w:left w:val="nil"/>
              <w:right w:val="nil"/>
            </w:tcBorders>
            <w:shd w:val="clear" w:color="000000" w:fill="F2F2F2"/>
            <w:noWrap/>
            <w:vAlign w:val="bottom"/>
            <w:hideMark/>
          </w:tcPr>
          <w:p w14:paraId="3F960D3B" w14:textId="390C5ECF" w:rsidR="001B6918" w:rsidRPr="004E6649" w:rsidRDefault="001B6918" w:rsidP="00730ECF">
            <w:pPr>
              <w:ind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 xml:space="preserve">    682</w:t>
            </w:r>
          </w:p>
        </w:tc>
        <w:tc>
          <w:tcPr>
            <w:tcW w:w="1170" w:type="dxa"/>
            <w:tcBorders>
              <w:top w:val="single" w:sz="4" w:space="0" w:color="000000" w:themeColor="text1"/>
              <w:left w:val="nil"/>
              <w:right w:val="nil"/>
            </w:tcBorders>
            <w:shd w:val="clear" w:color="000000" w:fill="FFFFFF"/>
            <w:noWrap/>
            <w:vAlign w:val="bottom"/>
            <w:hideMark/>
          </w:tcPr>
          <w:p w14:paraId="7A8666F9" w14:textId="77777777" w:rsidR="001B6918" w:rsidRPr="004E6649" w:rsidRDefault="001B6918" w:rsidP="00730ECF">
            <w:pPr>
              <w:ind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 xml:space="preserve">  (1,967)</w:t>
            </w:r>
          </w:p>
        </w:tc>
        <w:tc>
          <w:tcPr>
            <w:tcW w:w="1100" w:type="dxa"/>
            <w:tcBorders>
              <w:top w:val="single" w:sz="4" w:space="0" w:color="000000" w:themeColor="text1"/>
              <w:left w:val="nil"/>
              <w:right w:val="nil"/>
            </w:tcBorders>
            <w:shd w:val="clear" w:color="000000" w:fill="F2F2F2"/>
            <w:noWrap/>
            <w:vAlign w:val="bottom"/>
            <w:hideMark/>
          </w:tcPr>
          <w:p w14:paraId="112956CC" w14:textId="77777777" w:rsidR="001B6918" w:rsidRPr="004E6649" w:rsidRDefault="001B6918" w:rsidP="00730ECF">
            <w:pPr>
              <w:ind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(2,354)</w:t>
            </w:r>
          </w:p>
        </w:tc>
        <w:tc>
          <w:tcPr>
            <w:tcW w:w="1080" w:type="dxa"/>
            <w:tcBorders>
              <w:top w:val="single" w:sz="4" w:space="0" w:color="000000" w:themeColor="text1"/>
              <w:left w:val="nil"/>
              <w:right w:val="nil"/>
            </w:tcBorders>
            <w:shd w:val="clear" w:color="000000" w:fill="FFFFFF"/>
            <w:noWrap/>
            <w:vAlign w:val="bottom"/>
            <w:hideMark/>
          </w:tcPr>
          <w:p w14:paraId="79F378CB" w14:textId="77777777" w:rsidR="001B6918" w:rsidRPr="004E6649" w:rsidRDefault="001B6918" w:rsidP="00730ECF">
            <w:pPr>
              <w:ind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(2,286)</w:t>
            </w:r>
          </w:p>
        </w:tc>
        <w:tc>
          <w:tcPr>
            <w:tcW w:w="1080" w:type="dxa"/>
            <w:tcBorders>
              <w:top w:val="single" w:sz="4" w:space="0" w:color="000000" w:themeColor="text1"/>
              <w:left w:val="nil"/>
              <w:right w:val="nil"/>
            </w:tcBorders>
            <w:shd w:val="clear" w:color="000000" w:fill="F2F2F2"/>
            <w:noWrap/>
            <w:vAlign w:val="bottom"/>
            <w:hideMark/>
          </w:tcPr>
          <w:p w14:paraId="0C6DF5CA" w14:textId="77777777" w:rsidR="001B6918" w:rsidRPr="004E6649" w:rsidRDefault="001B6918" w:rsidP="00730ECF">
            <w:pPr>
              <w:ind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(1,547)</w:t>
            </w:r>
          </w:p>
        </w:tc>
        <w:tc>
          <w:tcPr>
            <w:tcW w:w="987" w:type="dxa"/>
            <w:tcBorders>
              <w:top w:val="single" w:sz="4" w:space="0" w:color="000000" w:themeColor="text1"/>
              <w:left w:val="nil"/>
              <w:right w:val="nil"/>
            </w:tcBorders>
            <w:shd w:val="clear" w:color="000000" w:fill="FFFFFF"/>
            <w:noWrap/>
            <w:vAlign w:val="bottom"/>
            <w:hideMark/>
          </w:tcPr>
          <w:p w14:paraId="717B0B8A" w14:textId="77777777" w:rsidR="001B6918" w:rsidRPr="004E6649" w:rsidRDefault="001B6918" w:rsidP="00730ECF">
            <w:pPr>
              <w:ind w:left="-40" w:right="-114"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(3,864)</w:t>
            </w:r>
          </w:p>
        </w:tc>
      </w:tr>
      <w:tr w:rsidR="001B6918" w:rsidRPr="004E6649" w14:paraId="69A13987" w14:textId="77777777" w:rsidTr="00730ECF">
        <w:trPr>
          <w:gridAfter w:val="1"/>
          <w:wAfter w:w="149" w:type="dxa"/>
          <w:trHeight w:val="20"/>
          <w:jc w:val="center"/>
        </w:trPr>
        <w:tc>
          <w:tcPr>
            <w:tcW w:w="3058" w:type="dxa"/>
            <w:gridSpan w:val="3"/>
            <w:tcBorders>
              <w:top w:val="nil"/>
              <w:left w:val="nil"/>
              <w:bottom w:val="single" w:sz="4" w:space="0" w:color="000000" w:themeColor="text1"/>
              <w:right w:val="nil"/>
            </w:tcBorders>
            <w:shd w:val="clear" w:color="000000" w:fill="FFFFFF"/>
            <w:vAlign w:val="bottom"/>
            <w:hideMark/>
          </w:tcPr>
          <w:p w14:paraId="19E7C4F5" w14:textId="77777777" w:rsidR="001B6918" w:rsidRPr="004E6649" w:rsidRDefault="001B6918" w:rsidP="00730ECF">
            <w:pPr>
              <w:ind w:left="-113" w:right="-951" w:firstLine="96"/>
              <w:rPr>
                <w:rFonts w:eastAsia="Times New Roman" w:cstheme="minorHAnsi"/>
                <w:color w:val="0D0D0D"/>
                <w:sz w:val="18"/>
                <w:szCs w:val="18"/>
              </w:rPr>
            </w:pPr>
            <w:r w:rsidRPr="004E6649">
              <w:rPr>
                <w:rFonts w:eastAsia="Times New Roman" w:cstheme="minorHAnsi"/>
                <w:color w:val="0D0D0D"/>
                <w:sz w:val="18"/>
                <w:szCs w:val="18"/>
              </w:rPr>
              <w:t xml:space="preserve">Fiduciary net position – beginning </w:t>
            </w:r>
          </w:p>
        </w:tc>
        <w:tc>
          <w:tcPr>
            <w:tcW w:w="1036" w:type="dxa"/>
            <w:tcBorders>
              <w:top w:val="nil"/>
              <w:left w:val="nil"/>
              <w:bottom w:val="single" w:sz="4" w:space="0" w:color="000000" w:themeColor="text1"/>
              <w:right w:val="nil"/>
            </w:tcBorders>
            <w:shd w:val="clear" w:color="auto" w:fill="F2F2F2" w:themeFill="background1" w:themeFillShade="F2"/>
            <w:vAlign w:val="bottom"/>
          </w:tcPr>
          <w:p w14:paraId="6B7BAC7D" w14:textId="2A9DF634" w:rsidR="001B6918" w:rsidRPr="00C0359C" w:rsidRDefault="001B6918" w:rsidP="00730ECF">
            <w:pPr>
              <w:ind w:firstLineChars="100" w:firstLine="180"/>
              <w:jc w:val="right"/>
              <w:rPr>
                <w:rFonts w:eastAsia="Times New Roman" w:cstheme="minorHAnsi"/>
                <w:color w:val="FF0000"/>
                <w:sz w:val="18"/>
                <w:szCs w:val="18"/>
              </w:rPr>
            </w:pPr>
            <w:r w:rsidRPr="003E524C">
              <w:rPr>
                <w:rFonts w:ascii="Calibri" w:hAnsi="Calibri" w:cs="Calibri"/>
                <w:sz w:val="18"/>
                <w:szCs w:val="18"/>
              </w:rPr>
              <w:t xml:space="preserve">   17,593</w:t>
            </w:r>
          </w:p>
        </w:tc>
        <w:tc>
          <w:tcPr>
            <w:tcW w:w="1192" w:type="dxa"/>
            <w:tcBorders>
              <w:top w:val="nil"/>
              <w:left w:val="nil"/>
              <w:bottom w:val="single" w:sz="4" w:space="0" w:color="000000" w:themeColor="text1"/>
              <w:right w:val="nil"/>
            </w:tcBorders>
            <w:vAlign w:val="bottom"/>
          </w:tcPr>
          <w:p w14:paraId="02952E2D" w14:textId="77777777" w:rsidR="001B6918" w:rsidRPr="004E6649" w:rsidRDefault="001B6918" w:rsidP="00730ECF">
            <w:pPr>
              <w:ind w:firstLineChars="100" w:firstLine="180"/>
              <w:jc w:val="right"/>
              <w:rPr>
                <w:rFonts w:eastAsia="Times New Roman" w:cstheme="minorHAnsi"/>
                <w:sz w:val="18"/>
                <w:szCs w:val="18"/>
              </w:rPr>
            </w:pPr>
            <w:r>
              <w:rPr>
                <w:rFonts w:eastAsia="Times New Roman" w:cstheme="minorHAnsi"/>
                <w:sz w:val="18"/>
                <w:szCs w:val="18"/>
              </w:rPr>
              <w:t>18,987</w:t>
            </w:r>
          </w:p>
        </w:tc>
        <w:tc>
          <w:tcPr>
            <w:tcW w:w="1174" w:type="dxa"/>
            <w:tcBorders>
              <w:top w:val="nil"/>
              <w:left w:val="nil"/>
              <w:bottom w:val="single" w:sz="4" w:space="0" w:color="000000" w:themeColor="text1"/>
              <w:right w:val="nil"/>
            </w:tcBorders>
            <w:shd w:val="clear" w:color="000000" w:fill="F2F2F2"/>
            <w:noWrap/>
            <w:vAlign w:val="bottom"/>
            <w:hideMark/>
          </w:tcPr>
          <w:p w14:paraId="30192414" w14:textId="08FAFBEA"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 xml:space="preserve">  20,392</w:t>
            </w:r>
          </w:p>
        </w:tc>
        <w:tc>
          <w:tcPr>
            <w:tcW w:w="1170" w:type="dxa"/>
            <w:tcBorders>
              <w:top w:val="nil"/>
              <w:left w:val="nil"/>
              <w:bottom w:val="single" w:sz="4" w:space="0" w:color="000000" w:themeColor="text1"/>
              <w:right w:val="nil"/>
            </w:tcBorders>
            <w:shd w:val="clear" w:color="000000" w:fill="FFFFFF"/>
            <w:noWrap/>
            <w:vAlign w:val="bottom"/>
            <w:hideMark/>
          </w:tcPr>
          <w:p w14:paraId="4F89E1CB" w14:textId="1F9EFD60"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 xml:space="preserve">  25,291</w:t>
            </w:r>
          </w:p>
        </w:tc>
        <w:tc>
          <w:tcPr>
            <w:tcW w:w="1170" w:type="dxa"/>
            <w:tcBorders>
              <w:top w:val="nil"/>
              <w:left w:val="nil"/>
              <w:bottom w:val="single" w:sz="4" w:space="0" w:color="000000" w:themeColor="text1"/>
              <w:right w:val="nil"/>
            </w:tcBorders>
            <w:shd w:val="clear" w:color="000000" w:fill="F2F2F2"/>
            <w:noWrap/>
            <w:vAlign w:val="bottom"/>
            <w:hideMark/>
          </w:tcPr>
          <w:p w14:paraId="77A80102" w14:textId="316B1CA6"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 xml:space="preserve">  24,609</w:t>
            </w:r>
          </w:p>
        </w:tc>
        <w:tc>
          <w:tcPr>
            <w:tcW w:w="1170" w:type="dxa"/>
            <w:tcBorders>
              <w:top w:val="nil"/>
              <w:left w:val="nil"/>
              <w:bottom w:val="single" w:sz="4" w:space="0" w:color="000000" w:themeColor="text1"/>
              <w:right w:val="nil"/>
            </w:tcBorders>
            <w:shd w:val="clear" w:color="000000" w:fill="FFFFFF"/>
            <w:noWrap/>
            <w:vAlign w:val="bottom"/>
            <w:hideMark/>
          </w:tcPr>
          <w:p w14:paraId="033BA8E2" w14:textId="7536DECC" w:rsidR="001B6918" w:rsidRPr="004E6649" w:rsidRDefault="001B6918" w:rsidP="00730ECF">
            <w:pPr>
              <w:ind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 xml:space="preserve">  26,576</w:t>
            </w:r>
          </w:p>
        </w:tc>
        <w:tc>
          <w:tcPr>
            <w:tcW w:w="1100" w:type="dxa"/>
            <w:tcBorders>
              <w:top w:val="nil"/>
              <w:left w:val="nil"/>
              <w:bottom w:val="single" w:sz="4" w:space="0" w:color="000000" w:themeColor="text1"/>
              <w:right w:val="nil"/>
            </w:tcBorders>
            <w:shd w:val="clear" w:color="000000" w:fill="F2F2F2"/>
            <w:noWrap/>
            <w:vAlign w:val="bottom"/>
            <w:hideMark/>
          </w:tcPr>
          <w:p w14:paraId="22CAA305" w14:textId="550E37C9"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28,930</w:t>
            </w:r>
          </w:p>
        </w:tc>
        <w:tc>
          <w:tcPr>
            <w:tcW w:w="1080" w:type="dxa"/>
            <w:tcBorders>
              <w:top w:val="nil"/>
              <w:left w:val="nil"/>
              <w:bottom w:val="single" w:sz="4" w:space="0" w:color="000000" w:themeColor="text1"/>
              <w:right w:val="nil"/>
            </w:tcBorders>
            <w:shd w:val="clear" w:color="000000" w:fill="FFFFFF"/>
            <w:noWrap/>
            <w:vAlign w:val="bottom"/>
            <w:hideMark/>
          </w:tcPr>
          <w:p w14:paraId="52DCC425" w14:textId="1D7F07A4" w:rsidR="001B6918" w:rsidRPr="004E6649" w:rsidRDefault="001B6918" w:rsidP="00730ECF">
            <w:pPr>
              <w:ind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31,216</w:t>
            </w:r>
          </w:p>
        </w:tc>
        <w:tc>
          <w:tcPr>
            <w:tcW w:w="1080" w:type="dxa"/>
            <w:tcBorders>
              <w:top w:val="nil"/>
              <w:left w:val="nil"/>
              <w:bottom w:val="single" w:sz="4" w:space="0" w:color="000000" w:themeColor="text1"/>
              <w:right w:val="nil"/>
            </w:tcBorders>
            <w:shd w:val="clear" w:color="000000" w:fill="F2F2F2"/>
            <w:noWrap/>
            <w:vAlign w:val="bottom"/>
            <w:hideMark/>
          </w:tcPr>
          <w:p w14:paraId="7A5D9B4D" w14:textId="2D54EE74"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32,763</w:t>
            </w:r>
          </w:p>
        </w:tc>
        <w:tc>
          <w:tcPr>
            <w:tcW w:w="987" w:type="dxa"/>
            <w:tcBorders>
              <w:top w:val="nil"/>
              <w:left w:val="nil"/>
              <w:bottom w:val="single" w:sz="4" w:space="0" w:color="000000" w:themeColor="text1"/>
              <w:right w:val="nil"/>
            </w:tcBorders>
            <w:shd w:val="clear" w:color="000000" w:fill="FFFFFF"/>
            <w:noWrap/>
            <w:vAlign w:val="bottom"/>
            <w:hideMark/>
          </w:tcPr>
          <w:p w14:paraId="741BCD55" w14:textId="77777777" w:rsidR="001B6918" w:rsidRPr="004E6649" w:rsidRDefault="001B6918" w:rsidP="00730ECF">
            <w:pPr>
              <w:ind w:left="-40" w:right="-114"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 xml:space="preserve">36,627 </w:t>
            </w:r>
          </w:p>
        </w:tc>
      </w:tr>
      <w:tr w:rsidR="001B6918" w:rsidRPr="004E6649" w14:paraId="74536C3A" w14:textId="77777777" w:rsidTr="00730ECF">
        <w:trPr>
          <w:gridAfter w:val="1"/>
          <w:wAfter w:w="149" w:type="dxa"/>
          <w:trHeight w:val="20"/>
          <w:jc w:val="center"/>
        </w:trPr>
        <w:tc>
          <w:tcPr>
            <w:tcW w:w="3058" w:type="dxa"/>
            <w:gridSpan w:val="3"/>
            <w:tcBorders>
              <w:top w:val="single" w:sz="4" w:space="0" w:color="000000" w:themeColor="text1"/>
              <w:left w:val="nil"/>
              <w:bottom w:val="single" w:sz="4" w:space="0" w:color="000000" w:themeColor="text1"/>
              <w:right w:val="nil"/>
            </w:tcBorders>
            <w:shd w:val="clear" w:color="000000" w:fill="FFFFFF"/>
            <w:vAlign w:val="bottom"/>
            <w:hideMark/>
          </w:tcPr>
          <w:p w14:paraId="6928CF6D" w14:textId="77777777" w:rsidR="001B6918" w:rsidRPr="004E6649" w:rsidRDefault="001B6918" w:rsidP="00730ECF">
            <w:pPr>
              <w:ind w:left="-113" w:right="-951" w:firstLine="96"/>
              <w:rPr>
                <w:rFonts w:eastAsia="Times New Roman" w:cstheme="minorHAnsi"/>
                <w:color w:val="0D0D0D"/>
                <w:sz w:val="18"/>
                <w:szCs w:val="18"/>
              </w:rPr>
            </w:pPr>
            <w:r w:rsidRPr="004E6649">
              <w:rPr>
                <w:rFonts w:eastAsia="Times New Roman" w:cstheme="minorHAnsi"/>
                <w:color w:val="0D0D0D"/>
                <w:sz w:val="18"/>
                <w:szCs w:val="18"/>
              </w:rPr>
              <w:t>Fiduciary net position – ending (b)</w:t>
            </w:r>
          </w:p>
        </w:tc>
        <w:tc>
          <w:tcPr>
            <w:tcW w:w="1036" w:type="dxa"/>
            <w:tcBorders>
              <w:top w:val="single" w:sz="4" w:space="0" w:color="000000" w:themeColor="text1"/>
              <w:left w:val="nil"/>
              <w:bottom w:val="single" w:sz="4" w:space="0" w:color="000000" w:themeColor="text1"/>
              <w:right w:val="nil"/>
            </w:tcBorders>
            <w:shd w:val="clear" w:color="auto" w:fill="F2F2F2" w:themeFill="background1" w:themeFillShade="F2"/>
            <w:vAlign w:val="bottom"/>
          </w:tcPr>
          <w:p w14:paraId="5DAA6B34" w14:textId="2E4CA3BF" w:rsidR="001B6918" w:rsidRPr="00C0359C" w:rsidRDefault="001B6918" w:rsidP="00730ECF">
            <w:pPr>
              <w:ind w:firstLineChars="100" w:firstLine="180"/>
              <w:jc w:val="right"/>
              <w:rPr>
                <w:rFonts w:eastAsia="Times New Roman" w:cstheme="minorHAnsi"/>
                <w:color w:val="FF0000"/>
                <w:sz w:val="18"/>
                <w:szCs w:val="18"/>
              </w:rPr>
            </w:pPr>
            <w:r w:rsidRPr="003E524C">
              <w:rPr>
                <w:rFonts w:ascii="Calibri" w:hAnsi="Calibri" w:cs="Calibri"/>
                <w:sz w:val="18"/>
                <w:szCs w:val="18"/>
              </w:rPr>
              <w:t xml:space="preserve">   16,230</w:t>
            </w:r>
          </w:p>
        </w:tc>
        <w:tc>
          <w:tcPr>
            <w:tcW w:w="1192" w:type="dxa"/>
            <w:tcBorders>
              <w:top w:val="single" w:sz="4" w:space="0" w:color="000000" w:themeColor="text1"/>
              <w:left w:val="nil"/>
              <w:bottom w:val="single" w:sz="4" w:space="0" w:color="000000" w:themeColor="text1"/>
              <w:right w:val="nil"/>
            </w:tcBorders>
            <w:vAlign w:val="bottom"/>
          </w:tcPr>
          <w:p w14:paraId="6DDF853A" w14:textId="77777777" w:rsidR="001B6918" w:rsidRPr="004E6649" w:rsidRDefault="001B6918" w:rsidP="00730ECF">
            <w:pPr>
              <w:ind w:firstLineChars="100" w:firstLine="180"/>
              <w:jc w:val="right"/>
              <w:rPr>
                <w:rFonts w:eastAsia="Times New Roman" w:cstheme="minorHAnsi"/>
                <w:sz w:val="18"/>
                <w:szCs w:val="18"/>
              </w:rPr>
            </w:pPr>
            <w:r>
              <w:rPr>
                <w:rFonts w:eastAsia="Times New Roman" w:cstheme="minorHAnsi"/>
                <w:sz w:val="18"/>
                <w:szCs w:val="18"/>
              </w:rPr>
              <w:t>17,593</w:t>
            </w:r>
          </w:p>
        </w:tc>
        <w:tc>
          <w:tcPr>
            <w:tcW w:w="1174" w:type="dxa"/>
            <w:tcBorders>
              <w:top w:val="single" w:sz="4" w:space="0" w:color="000000" w:themeColor="text1"/>
              <w:left w:val="nil"/>
              <w:bottom w:val="single" w:sz="4" w:space="0" w:color="000000" w:themeColor="text1"/>
              <w:right w:val="nil"/>
            </w:tcBorders>
            <w:shd w:val="clear" w:color="000000" w:fill="F2F2F2"/>
            <w:noWrap/>
            <w:vAlign w:val="bottom"/>
            <w:hideMark/>
          </w:tcPr>
          <w:p w14:paraId="3306EC05" w14:textId="4D32946D"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 xml:space="preserve">  18,987</w:t>
            </w:r>
          </w:p>
        </w:tc>
        <w:tc>
          <w:tcPr>
            <w:tcW w:w="1170" w:type="dxa"/>
            <w:tcBorders>
              <w:top w:val="single" w:sz="4" w:space="0" w:color="000000" w:themeColor="text1"/>
              <w:left w:val="nil"/>
              <w:bottom w:val="single" w:sz="4" w:space="0" w:color="000000" w:themeColor="text1"/>
              <w:right w:val="nil"/>
            </w:tcBorders>
            <w:shd w:val="clear" w:color="000000" w:fill="FFFFFF"/>
            <w:noWrap/>
            <w:vAlign w:val="bottom"/>
            <w:hideMark/>
          </w:tcPr>
          <w:p w14:paraId="2B994FAA" w14:textId="287502B9"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 xml:space="preserve"> 20,392</w:t>
            </w:r>
          </w:p>
        </w:tc>
        <w:tc>
          <w:tcPr>
            <w:tcW w:w="1170" w:type="dxa"/>
            <w:tcBorders>
              <w:top w:val="single" w:sz="4" w:space="0" w:color="000000" w:themeColor="text1"/>
              <w:left w:val="nil"/>
              <w:bottom w:val="single" w:sz="4" w:space="0" w:color="000000" w:themeColor="text1"/>
              <w:right w:val="nil"/>
            </w:tcBorders>
            <w:shd w:val="clear" w:color="000000" w:fill="F2F2F2"/>
            <w:noWrap/>
            <w:vAlign w:val="bottom"/>
            <w:hideMark/>
          </w:tcPr>
          <w:p w14:paraId="3391EA0D" w14:textId="2BF646FA" w:rsidR="001B6918" w:rsidRPr="004E6649" w:rsidRDefault="001B6918" w:rsidP="00730ECF">
            <w:pPr>
              <w:ind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 xml:space="preserve">  25,291</w:t>
            </w:r>
          </w:p>
        </w:tc>
        <w:tc>
          <w:tcPr>
            <w:tcW w:w="1170" w:type="dxa"/>
            <w:tcBorders>
              <w:top w:val="single" w:sz="4" w:space="0" w:color="000000" w:themeColor="text1"/>
              <w:left w:val="nil"/>
              <w:bottom w:val="single" w:sz="4" w:space="0" w:color="000000" w:themeColor="text1"/>
              <w:right w:val="nil"/>
            </w:tcBorders>
            <w:shd w:val="clear" w:color="000000" w:fill="FFFFFF"/>
            <w:noWrap/>
            <w:vAlign w:val="bottom"/>
            <w:hideMark/>
          </w:tcPr>
          <w:p w14:paraId="7FCCBE86" w14:textId="220DC182" w:rsidR="001B6918" w:rsidRPr="004E6649" w:rsidRDefault="001B6918" w:rsidP="00730ECF">
            <w:pPr>
              <w:ind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 xml:space="preserve">  24,609</w:t>
            </w:r>
          </w:p>
        </w:tc>
        <w:tc>
          <w:tcPr>
            <w:tcW w:w="1100" w:type="dxa"/>
            <w:tcBorders>
              <w:top w:val="single" w:sz="4" w:space="0" w:color="000000" w:themeColor="text1"/>
              <w:left w:val="nil"/>
              <w:bottom w:val="single" w:sz="4" w:space="0" w:color="000000" w:themeColor="text1"/>
              <w:right w:val="nil"/>
            </w:tcBorders>
            <w:shd w:val="clear" w:color="000000" w:fill="F2F2F2"/>
            <w:noWrap/>
            <w:vAlign w:val="bottom"/>
            <w:hideMark/>
          </w:tcPr>
          <w:p w14:paraId="6CB617A8" w14:textId="04C56628" w:rsidR="001B6918" w:rsidRPr="004E6649" w:rsidRDefault="001B6918" w:rsidP="00730ECF">
            <w:pPr>
              <w:ind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26,576</w:t>
            </w:r>
          </w:p>
        </w:tc>
        <w:tc>
          <w:tcPr>
            <w:tcW w:w="1080" w:type="dxa"/>
            <w:tcBorders>
              <w:top w:val="single" w:sz="4" w:space="0" w:color="000000" w:themeColor="text1"/>
              <w:left w:val="nil"/>
              <w:bottom w:val="single" w:sz="4" w:space="0" w:color="000000" w:themeColor="text1"/>
              <w:right w:val="nil"/>
            </w:tcBorders>
            <w:shd w:val="clear" w:color="000000" w:fill="FFFFFF"/>
            <w:noWrap/>
            <w:vAlign w:val="bottom"/>
            <w:hideMark/>
          </w:tcPr>
          <w:p w14:paraId="20B68756" w14:textId="23ECBC6A" w:rsidR="001B6918" w:rsidRPr="004E6649" w:rsidRDefault="001B6918" w:rsidP="00730ECF">
            <w:pPr>
              <w:ind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28,930</w:t>
            </w:r>
          </w:p>
        </w:tc>
        <w:tc>
          <w:tcPr>
            <w:tcW w:w="1080" w:type="dxa"/>
            <w:tcBorders>
              <w:top w:val="single" w:sz="4" w:space="0" w:color="000000" w:themeColor="text1"/>
              <w:left w:val="nil"/>
              <w:bottom w:val="single" w:sz="4" w:space="0" w:color="000000" w:themeColor="text1"/>
              <w:right w:val="nil"/>
            </w:tcBorders>
            <w:shd w:val="clear" w:color="000000" w:fill="F2F2F2"/>
            <w:noWrap/>
            <w:vAlign w:val="bottom"/>
            <w:hideMark/>
          </w:tcPr>
          <w:p w14:paraId="1572B919" w14:textId="4C04E49B" w:rsidR="001B6918" w:rsidRPr="004E6649" w:rsidRDefault="001B6918" w:rsidP="00730ECF">
            <w:pPr>
              <w:ind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31,216</w:t>
            </w:r>
          </w:p>
        </w:tc>
        <w:tc>
          <w:tcPr>
            <w:tcW w:w="987" w:type="dxa"/>
            <w:tcBorders>
              <w:top w:val="single" w:sz="4" w:space="0" w:color="000000" w:themeColor="text1"/>
              <w:left w:val="nil"/>
              <w:bottom w:val="single" w:sz="4" w:space="0" w:color="000000" w:themeColor="text1"/>
              <w:right w:val="nil"/>
            </w:tcBorders>
            <w:shd w:val="clear" w:color="000000" w:fill="FFFFFF"/>
            <w:noWrap/>
            <w:vAlign w:val="bottom"/>
            <w:hideMark/>
          </w:tcPr>
          <w:p w14:paraId="6D33B92A" w14:textId="77777777" w:rsidR="001B6918" w:rsidRPr="004E6649" w:rsidRDefault="001B6918" w:rsidP="00730ECF">
            <w:pPr>
              <w:ind w:left="-40" w:right="-114"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 xml:space="preserve">32,763 </w:t>
            </w:r>
          </w:p>
        </w:tc>
      </w:tr>
      <w:tr w:rsidR="001B6918" w:rsidRPr="004E6649" w14:paraId="4160FE8A" w14:textId="77777777" w:rsidTr="00730ECF">
        <w:trPr>
          <w:gridAfter w:val="1"/>
          <w:wAfter w:w="149" w:type="dxa"/>
          <w:trHeight w:val="20"/>
          <w:jc w:val="center"/>
        </w:trPr>
        <w:tc>
          <w:tcPr>
            <w:tcW w:w="3058" w:type="dxa"/>
            <w:gridSpan w:val="3"/>
            <w:tcBorders>
              <w:top w:val="single" w:sz="4" w:space="0" w:color="000000" w:themeColor="text1"/>
              <w:left w:val="nil"/>
              <w:bottom w:val="double" w:sz="4" w:space="0" w:color="000000" w:themeColor="text1"/>
              <w:right w:val="nil"/>
            </w:tcBorders>
            <w:shd w:val="clear" w:color="000000" w:fill="FFFFFF"/>
            <w:vAlign w:val="bottom"/>
            <w:hideMark/>
          </w:tcPr>
          <w:p w14:paraId="3F6BE388" w14:textId="77777777" w:rsidR="001B6918" w:rsidRPr="004E6649" w:rsidRDefault="001B6918" w:rsidP="00730ECF">
            <w:pPr>
              <w:ind w:left="-113" w:right="-951" w:firstLine="96"/>
              <w:rPr>
                <w:rFonts w:eastAsia="Times New Roman" w:cstheme="minorHAnsi"/>
                <w:color w:val="0D0D0D"/>
                <w:sz w:val="18"/>
                <w:szCs w:val="18"/>
              </w:rPr>
            </w:pPr>
            <w:r w:rsidRPr="004E6649">
              <w:rPr>
                <w:rFonts w:eastAsia="Times New Roman" w:cstheme="minorHAnsi"/>
                <w:color w:val="0D0D0D"/>
                <w:sz w:val="18"/>
                <w:szCs w:val="18"/>
              </w:rPr>
              <w:t>Net pension liability – ending (a)-(b)</w:t>
            </w:r>
          </w:p>
        </w:tc>
        <w:tc>
          <w:tcPr>
            <w:tcW w:w="1036" w:type="dxa"/>
            <w:tcBorders>
              <w:top w:val="single" w:sz="4" w:space="0" w:color="000000" w:themeColor="text1"/>
              <w:left w:val="nil"/>
              <w:bottom w:val="double" w:sz="4" w:space="0" w:color="000000" w:themeColor="text1"/>
              <w:right w:val="nil"/>
            </w:tcBorders>
            <w:shd w:val="clear" w:color="auto" w:fill="F2F2F2" w:themeFill="background1" w:themeFillShade="F2"/>
            <w:vAlign w:val="bottom"/>
          </w:tcPr>
          <w:p w14:paraId="2904B8FE" w14:textId="72C2EDB1" w:rsidR="001B6918" w:rsidRPr="00F96B39" w:rsidRDefault="001B6918" w:rsidP="00730ECF">
            <w:pPr>
              <w:ind w:firstLineChars="100" w:firstLine="180"/>
              <w:jc w:val="right"/>
              <w:rPr>
                <w:rFonts w:eastAsia="Times New Roman" w:cstheme="minorHAnsi"/>
                <w:color w:val="FF0000"/>
                <w:sz w:val="18"/>
                <w:szCs w:val="18"/>
              </w:rPr>
            </w:pPr>
            <w:r w:rsidRPr="003E524C">
              <w:rPr>
                <w:rFonts w:eastAsia="Times New Roman" w:cstheme="minorHAnsi"/>
                <w:sz w:val="18"/>
                <w:szCs w:val="18"/>
              </w:rPr>
              <w:t>$ 7,009</w:t>
            </w:r>
          </w:p>
        </w:tc>
        <w:tc>
          <w:tcPr>
            <w:tcW w:w="1192" w:type="dxa"/>
            <w:tcBorders>
              <w:top w:val="single" w:sz="4" w:space="0" w:color="000000" w:themeColor="text1"/>
              <w:left w:val="nil"/>
              <w:bottom w:val="double" w:sz="4" w:space="0" w:color="000000" w:themeColor="text1"/>
              <w:right w:val="nil"/>
            </w:tcBorders>
            <w:vAlign w:val="bottom"/>
          </w:tcPr>
          <w:p w14:paraId="3539A0EC" w14:textId="77777777" w:rsidR="001B6918" w:rsidRPr="004E6649" w:rsidRDefault="001B6918" w:rsidP="00730ECF">
            <w:pPr>
              <w:ind w:firstLineChars="100" w:firstLine="180"/>
              <w:jc w:val="right"/>
              <w:rPr>
                <w:rFonts w:eastAsia="Times New Roman" w:cstheme="minorHAnsi"/>
                <w:sz w:val="18"/>
                <w:szCs w:val="18"/>
              </w:rPr>
            </w:pPr>
            <w:r>
              <w:rPr>
                <w:rFonts w:eastAsia="Times New Roman" w:cstheme="minorHAnsi"/>
                <w:sz w:val="18"/>
                <w:szCs w:val="18"/>
              </w:rPr>
              <w:t>$10,505</w:t>
            </w:r>
          </w:p>
        </w:tc>
        <w:tc>
          <w:tcPr>
            <w:tcW w:w="1174" w:type="dxa"/>
            <w:tcBorders>
              <w:top w:val="single" w:sz="4" w:space="0" w:color="000000" w:themeColor="text1"/>
              <w:left w:val="nil"/>
              <w:bottom w:val="double" w:sz="4" w:space="0" w:color="000000" w:themeColor="text1"/>
              <w:right w:val="nil"/>
            </w:tcBorders>
            <w:shd w:val="clear" w:color="000000" w:fill="F2F2F2"/>
            <w:noWrap/>
            <w:vAlign w:val="bottom"/>
            <w:hideMark/>
          </w:tcPr>
          <w:p w14:paraId="7EDF3D7F" w14:textId="3B2581E8"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$10,711</w:t>
            </w:r>
          </w:p>
        </w:tc>
        <w:tc>
          <w:tcPr>
            <w:tcW w:w="1170" w:type="dxa"/>
            <w:tcBorders>
              <w:top w:val="single" w:sz="4" w:space="0" w:color="000000" w:themeColor="text1"/>
              <w:left w:val="nil"/>
              <w:bottom w:val="double" w:sz="4" w:space="0" w:color="000000" w:themeColor="text1"/>
              <w:right w:val="nil"/>
            </w:tcBorders>
            <w:noWrap/>
            <w:vAlign w:val="bottom"/>
            <w:hideMark/>
          </w:tcPr>
          <w:p w14:paraId="55472114" w14:textId="28F57C9F"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 xml:space="preserve"> $11,652</w:t>
            </w:r>
          </w:p>
        </w:tc>
        <w:tc>
          <w:tcPr>
            <w:tcW w:w="1170" w:type="dxa"/>
            <w:tcBorders>
              <w:top w:val="single" w:sz="4" w:space="0" w:color="000000" w:themeColor="text1"/>
              <w:left w:val="nil"/>
              <w:bottom w:val="double" w:sz="4" w:space="0" w:color="000000" w:themeColor="text1"/>
              <w:right w:val="nil"/>
            </w:tcBorders>
            <w:shd w:val="clear" w:color="000000" w:fill="F2F2F2"/>
            <w:noWrap/>
            <w:vAlign w:val="bottom"/>
            <w:hideMark/>
          </w:tcPr>
          <w:p w14:paraId="24CCE47E" w14:textId="6CBAA358" w:rsidR="001B6918" w:rsidRPr="004E6649" w:rsidRDefault="001B6918" w:rsidP="00730ECF">
            <w:pPr>
              <w:ind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 xml:space="preserve"> $  8,549</w:t>
            </w:r>
          </w:p>
        </w:tc>
        <w:tc>
          <w:tcPr>
            <w:tcW w:w="1170" w:type="dxa"/>
            <w:tcBorders>
              <w:top w:val="single" w:sz="4" w:space="0" w:color="000000" w:themeColor="text1"/>
              <w:left w:val="nil"/>
              <w:bottom w:val="double" w:sz="4" w:space="0" w:color="000000" w:themeColor="text1"/>
              <w:right w:val="nil"/>
            </w:tcBorders>
            <w:shd w:val="clear" w:color="000000" w:fill="FFFFFF"/>
            <w:noWrap/>
            <w:vAlign w:val="bottom"/>
            <w:hideMark/>
          </w:tcPr>
          <w:p w14:paraId="636682A6" w14:textId="4F196107" w:rsidR="001B6918" w:rsidRPr="004E6649" w:rsidRDefault="001B6918" w:rsidP="00730ECF">
            <w:pPr>
              <w:ind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 xml:space="preserve"> $11,709</w:t>
            </w:r>
          </w:p>
        </w:tc>
        <w:tc>
          <w:tcPr>
            <w:tcW w:w="1100" w:type="dxa"/>
            <w:tcBorders>
              <w:top w:val="single" w:sz="4" w:space="0" w:color="000000" w:themeColor="text1"/>
              <w:left w:val="nil"/>
              <w:bottom w:val="double" w:sz="4" w:space="0" w:color="000000" w:themeColor="text1"/>
              <w:right w:val="nil"/>
            </w:tcBorders>
            <w:shd w:val="clear" w:color="000000" w:fill="F2F2F2"/>
            <w:noWrap/>
            <w:vAlign w:val="bottom"/>
            <w:hideMark/>
          </w:tcPr>
          <w:p w14:paraId="6EAF0214" w14:textId="1BAC1F57" w:rsidR="001B6918" w:rsidRPr="004E6649" w:rsidRDefault="001B6918" w:rsidP="00730ECF">
            <w:pPr>
              <w:ind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$11,529</w:t>
            </w:r>
          </w:p>
        </w:tc>
        <w:tc>
          <w:tcPr>
            <w:tcW w:w="1080" w:type="dxa"/>
            <w:tcBorders>
              <w:top w:val="single" w:sz="4" w:space="0" w:color="000000" w:themeColor="text1"/>
              <w:left w:val="nil"/>
              <w:bottom w:val="double" w:sz="4" w:space="0" w:color="000000" w:themeColor="text1"/>
              <w:right w:val="nil"/>
            </w:tcBorders>
            <w:shd w:val="clear" w:color="000000" w:fill="FFFFFF"/>
            <w:noWrap/>
            <w:vAlign w:val="bottom"/>
            <w:hideMark/>
          </w:tcPr>
          <w:p w14:paraId="4AEFA90F" w14:textId="353AFF42" w:rsidR="001B6918" w:rsidRPr="004E6649" w:rsidRDefault="001B6918" w:rsidP="00730ECF">
            <w:pPr>
              <w:ind w:firstLineChars="72" w:firstLine="130"/>
              <w:jc w:val="right"/>
              <w:rPr>
                <w:rFonts w:eastAsia="Times New Roman" w:cstheme="minorHAnsi"/>
                <w:color w:val="0D0D0D"/>
                <w:sz w:val="18"/>
                <w:szCs w:val="18"/>
              </w:rPr>
            </w:pPr>
            <w:r w:rsidRPr="004E6649">
              <w:rPr>
                <w:rFonts w:eastAsia="Times New Roman" w:cstheme="minorHAnsi"/>
                <w:color w:val="0D0D0D"/>
                <w:sz w:val="18"/>
                <w:szCs w:val="18"/>
              </w:rPr>
              <w:t>$</w:t>
            </w:r>
            <w:r>
              <w:rPr>
                <w:rFonts w:eastAsia="Times New Roman" w:cstheme="minorHAnsi"/>
                <w:color w:val="0D0D0D"/>
                <w:sz w:val="18"/>
                <w:szCs w:val="18"/>
              </w:rPr>
              <w:t xml:space="preserve"> </w:t>
            </w:r>
            <w:r w:rsidRPr="004E6649">
              <w:rPr>
                <w:rFonts w:eastAsia="Times New Roman" w:cstheme="minorHAnsi"/>
                <w:color w:val="0D0D0D"/>
                <w:sz w:val="18"/>
                <w:szCs w:val="18"/>
              </w:rPr>
              <w:t xml:space="preserve"> 9,467</w:t>
            </w:r>
          </w:p>
        </w:tc>
        <w:tc>
          <w:tcPr>
            <w:tcW w:w="1080" w:type="dxa"/>
            <w:tcBorders>
              <w:top w:val="single" w:sz="4" w:space="0" w:color="000000" w:themeColor="text1"/>
              <w:left w:val="nil"/>
              <w:bottom w:val="double" w:sz="4" w:space="0" w:color="000000" w:themeColor="text1"/>
              <w:right w:val="nil"/>
            </w:tcBorders>
            <w:shd w:val="clear" w:color="000000" w:fill="F2F2F2"/>
            <w:noWrap/>
            <w:vAlign w:val="bottom"/>
            <w:hideMark/>
          </w:tcPr>
          <w:p w14:paraId="67357E96" w14:textId="335F58B9" w:rsidR="001B6918" w:rsidRPr="004E6649" w:rsidRDefault="001B6918" w:rsidP="00730ECF">
            <w:pPr>
              <w:ind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$ 9,075</w:t>
            </w:r>
          </w:p>
        </w:tc>
        <w:tc>
          <w:tcPr>
            <w:tcW w:w="987" w:type="dxa"/>
            <w:tcBorders>
              <w:top w:val="single" w:sz="4" w:space="0" w:color="000000" w:themeColor="text1"/>
              <w:left w:val="nil"/>
              <w:bottom w:val="double" w:sz="4" w:space="0" w:color="000000" w:themeColor="text1"/>
              <w:right w:val="nil"/>
            </w:tcBorders>
            <w:shd w:val="clear" w:color="000000" w:fill="FFFFFF"/>
            <w:noWrap/>
            <w:vAlign w:val="bottom"/>
            <w:hideMark/>
          </w:tcPr>
          <w:p w14:paraId="0A462E0A" w14:textId="77777777" w:rsidR="001B6918" w:rsidRPr="004E6649" w:rsidRDefault="001B6918" w:rsidP="00730ECF">
            <w:pPr>
              <w:ind w:left="-40" w:right="-114"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 xml:space="preserve">$10,171 </w:t>
            </w:r>
          </w:p>
        </w:tc>
      </w:tr>
      <w:tr w:rsidR="001B6918" w:rsidRPr="004E6649" w14:paraId="27EC72EE" w14:textId="77777777" w:rsidTr="002F4A36">
        <w:trPr>
          <w:gridAfter w:val="1"/>
          <w:wAfter w:w="149" w:type="dxa"/>
          <w:trHeight w:val="798"/>
          <w:jc w:val="center"/>
        </w:trPr>
        <w:tc>
          <w:tcPr>
            <w:tcW w:w="3058" w:type="dxa"/>
            <w:gridSpan w:val="3"/>
            <w:tcBorders>
              <w:top w:val="double" w:sz="4" w:space="0" w:color="000000" w:themeColor="text1"/>
              <w:left w:val="nil"/>
              <w:bottom w:val="nil"/>
              <w:right w:val="nil"/>
            </w:tcBorders>
            <w:shd w:val="clear" w:color="000000" w:fill="FFFFFF"/>
            <w:vAlign w:val="bottom"/>
            <w:hideMark/>
          </w:tcPr>
          <w:p w14:paraId="4111C3DB" w14:textId="77777777" w:rsidR="001B6918" w:rsidRPr="004E6649" w:rsidRDefault="001B6918" w:rsidP="00730ECF">
            <w:pPr>
              <w:ind w:left="-113" w:right="-951" w:firstLine="96"/>
              <w:rPr>
                <w:rFonts w:eastAsia="Times New Roman" w:cstheme="minorHAnsi"/>
                <w:color w:val="0D0D0D"/>
                <w:sz w:val="18"/>
                <w:szCs w:val="18"/>
              </w:rPr>
            </w:pPr>
            <w:r w:rsidRPr="004E6649">
              <w:rPr>
                <w:rFonts w:eastAsia="Times New Roman" w:cstheme="minorHAnsi"/>
                <w:color w:val="0D0D0D"/>
                <w:sz w:val="18"/>
                <w:szCs w:val="18"/>
              </w:rPr>
              <w:t xml:space="preserve">Plan fiduciary net position as a </w:t>
            </w:r>
          </w:p>
          <w:p w14:paraId="61938C96" w14:textId="77777777" w:rsidR="001B6918" w:rsidRPr="004E6649" w:rsidRDefault="001B6918" w:rsidP="00730ECF">
            <w:pPr>
              <w:ind w:left="-113" w:right="-951" w:firstLine="96"/>
              <w:rPr>
                <w:rFonts w:eastAsia="Times New Roman" w:cstheme="minorHAnsi"/>
                <w:color w:val="0D0D0D"/>
                <w:sz w:val="18"/>
                <w:szCs w:val="18"/>
              </w:rPr>
            </w:pPr>
            <w:r w:rsidRPr="004E6649">
              <w:rPr>
                <w:rFonts w:eastAsia="Times New Roman" w:cstheme="minorHAnsi"/>
                <w:color w:val="0D0D0D"/>
                <w:sz w:val="18"/>
                <w:szCs w:val="18"/>
              </w:rPr>
              <w:t xml:space="preserve">  percentage of the total pension</w:t>
            </w:r>
          </w:p>
          <w:p w14:paraId="74854323" w14:textId="77777777" w:rsidR="001B6918" w:rsidRPr="004E6649" w:rsidRDefault="001B6918" w:rsidP="00730ECF">
            <w:pPr>
              <w:ind w:left="-113" w:right="-951" w:firstLine="96"/>
              <w:rPr>
                <w:rFonts w:eastAsia="Times New Roman" w:cstheme="minorHAnsi"/>
                <w:color w:val="0D0D0D"/>
                <w:sz w:val="18"/>
                <w:szCs w:val="18"/>
              </w:rPr>
            </w:pPr>
            <w:r w:rsidRPr="004E6649">
              <w:rPr>
                <w:rFonts w:eastAsia="Times New Roman" w:cstheme="minorHAnsi"/>
                <w:color w:val="0D0D0D"/>
                <w:sz w:val="18"/>
                <w:szCs w:val="18"/>
              </w:rPr>
              <w:t xml:space="preserve">  liability</w:t>
            </w:r>
          </w:p>
        </w:tc>
        <w:tc>
          <w:tcPr>
            <w:tcW w:w="1036" w:type="dxa"/>
            <w:tcBorders>
              <w:top w:val="double" w:sz="4" w:space="0" w:color="000000" w:themeColor="text1"/>
              <w:left w:val="nil"/>
              <w:bottom w:val="nil"/>
              <w:right w:val="nil"/>
            </w:tcBorders>
            <w:shd w:val="clear" w:color="auto" w:fill="F2F2F2" w:themeFill="background1" w:themeFillShade="F2"/>
            <w:vAlign w:val="bottom"/>
          </w:tcPr>
          <w:p w14:paraId="376D7E17" w14:textId="77777777" w:rsidR="001B6918" w:rsidRPr="003E524C" w:rsidRDefault="001B6918" w:rsidP="00730ECF">
            <w:pPr>
              <w:ind w:firstLineChars="100" w:firstLine="180"/>
              <w:jc w:val="right"/>
              <w:rPr>
                <w:rFonts w:eastAsia="Times New Roman" w:cstheme="minorHAnsi"/>
                <w:sz w:val="18"/>
                <w:szCs w:val="18"/>
              </w:rPr>
            </w:pPr>
            <w:r w:rsidRPr="003E524C">
              <w:rPr>
                <w:rFonts w:eastAsia="Times New Roman" w:cstheme="minorHAnsi"/>
                <w:sz w:val="18"/>
                <w:szCs w:val="18"/>
              </w:rPr>
              <w:t>69.84%</w:t>
            </w:r>
          </w:p>
        </w:tc>
        <w:tc>
          <w:tcPr>
            <w:tcW w:w="1192" w:type="dxa"/>
            <w:tcBorders>
              <w:top w:val="double" w:sz="4" w:space="0" w:color="000000" w:themeColor="text1"/>
              <w:left w:val="nil"/>
              <w:bottom w:val="nil"/>
              <w:right w:val="nil"/>
            </w:tcBorders>
            <w:vAlign w:val="bottom"/>
          </w:tcPr>
          <w:p w14:paraId="7E8B133D" w14:textId="77777777" w:rsidR="001B6918" w:rsidRPr="00B77205" w:rsidRDefault="001B6918" w:rsidP="00730ECF">
            <w:pPr>
              <w:ind w:firstLineChars="100" w:firstLine="180"/>
              <w:jc w:val="right"/>
              <w:rPr>
                <w:rFonts w:eastAsia="Times New Roman" w:cstheme="minorHAnsi"/>
                <w:sz w:val="18"/>
                <w:szCs w:val="18"/>
              </w:rPr>
            </w:pPr>
            <w:r w:rsidRPr="00B77205">
              <w:rPr>
                <w:rFonts w:eastAsia="Times New Roman" w:cstheme="minorHAnsi"/>
                <w:sz w:val="18"/>
                <w:szCs w:val="18"/>
              </w:rPr>
              <w:t>62.61%</w:t>
            </w:r>
          </w:p>
        </w:tc>
        <w:tc>
          <w:tcPr>
            <w:tcW w:w="1174" w:type="dxa"/>
            <w:tcBorders>
              <w:top w:val="double" w:sz="4" w:space="0" w:color="000000" w:themeColor="text1"/>
              <w:left w:val="nil"/>
              <w:bottom w:val="nil"/>
              <w:right w:val="nil"/>
            </w:tcBorders>
            <w:shd w:val="clear" w:color="000000" w:fill="F2F2F2"/>
            <w:noWrap/>
            <w:vAlign w:val="bottom"/>
            <w:hideMark/>
          </w:tcPr>
          <w:p w14:paraId="386E1807" w14:textId="77777777"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63.93%</w:t>
            </w:r>
          </w:p>
        </w:tc>
        <w:tc>
          <w:tcPr>
            <w:tcW w:w="1170" w:type="dxa"/>
            <w:tcBorders>
              <w:top w:val="double" w:sz="4" w:space="0" w:color="000000" w:themeColor="text1"/>
              <w:left w:val="nil"/>
              <w:bottom w:val="nil"/>
              <w:right w:val="nil"/>
            </w:tcBorders>
            <w:shd w:val="clear" w:color="000000" w:fill="FFFFFF"/>
            <w:noWrap/>
            <w:vAlign w:val="bottom"/>
            <w:hideMark/>
          </w:tcPr>
          <w:p w14:paraId="729C8A99" w14:textId="77777777"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63.64%</w:t>
            </w:r>
          </w:p>
        </w:tc>
        <w:tc>
          <w:tcPr>
            <w:tcW w:w="1170" w:type="dxa"/>
            <w:tcBorders>
              <w:top w:val="double" w:sz="4" w:space="0" w:color="000000" w:themeColor="text1"/>
              <w:left w:val="nil"/>
              <w:bottom w:val="nil"/>
              <w:right w:val="nil"/>
            </w:tcBorders>
            <w:shd w:val="clear" w:color="000000" w:fill="F2F2F2"/>
            <w:noWrap/>
            <w:vAlign w:val="bottom"/>
            <w:hideMark/>
          </w:tcPr>
          <w:p w14:paraId="7A7E096A" w14:textId="77777777" w:rsidR="001B6918" w:rsidRPr="004E6649" w:rsidRDefault="001B6918" w:rsidP="00730ECF">
            <w:pPr>
              <w:ind w:firstLineChars="100" w:firstLine="180"/>
              <w:jc w:val="right"/>
              <w:rPr>
                <w:rFonts w:eastAsia="Times New Roman" w:cstheme="minorHAnsi"/>
                <w:sz w:val="18"/>
                <w:szCs w:val="18"/>
              </w:rPr>
            </w:pPr>
            <w:r w:rsidRPr="004E6649">
              <w:rPr>
                <w:rFonts w:eastAsia="Times New Roman" w:cstheme="minorHAnsi"/>
                <w:sz w:val="18"/>
                <w:szCs w:val="18"/>
              </w:rPr>
              <w:t>74.74%</w:t>
            </w:r>
          </w:p>
        </w:tc>
        <w:tc>
          <w:tcPr>
            <w:tcW w:w="1170" w:type="dxa"/>
            <w:tcBorders>
              <w:top w:val="double" w:sz="4" w:space="0" w:color="000000" w:themeColor="text1"/>
              <w:left w:val="nil"/>
              <w:bottom w:val="nil"/>
              <w:right w:val="nil"/>
            </w:tcBorders>
            <w:shd w:val="clear" w:color="000000" w:fill="FFFFFF"/>
            <w:noWrap/>
            <w:vAlign w:val="bottom"/>
            <w:hideMark/>
          </w:tcPr>
          <w:p w14:paraId="503C0ED5" w14:textId="77777777" w:rsidR="001B6918" w:rsidRPr="004E6649" w:rsidRDefault="001B6918" w:rsidP="00730ECF">
            <w:pPr>
              <w:ind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67.76%</w:t>
            </w:r>
          </w:p>
        </w:tc>
        <w:tc>
          <w:tcPr>
            <w:tcW w:w="1100" w:type="dxa"/>
            <w:tcBorders>
              <w:top w:val="double" w:sz="4" w:space="0" w:color="000000" w:themeColor="text1"/>
              <w:left w:val="nil"/>
              <w:bottom w:val="nil"/>
              <w:right w:val="nil"/>
            </w:tcBorders>
            <w:shd w:val="clear" w:color="000000" w:fill="F2F2F2"/>
            <w:noWrap/>
            <w:vAlign w:val="bottom"/>
            <w:hideMark/>
          </w:tcPr>
          <w:p w14:paraId="2B11EDCD" w14:textId="77777777" w:rsidR="001B6918" w:rsidRPr="004E6649" w:rsidRDefault="001B6918" w:rsidP="00730ECF">
            <w:pPr>
              <w:ind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69.74%</w:t>
            </w:r>
          </w:p>
        </w:tc>
        <w:tc>
          <w:tcPr>
            <w:tcW w:w="1080" w:type="dxa"/>
            <w:tcBorders>
              <w:top w:val="double" w:sz="4" w:space="0" w:color="000000" w:themeColor="text1"/>
              <w:left w:val="nil"/>
              <w:bottom w:val="nil"/>
              <w:right w:val="nil"/>
            </w:tcBorders>
            <w:shd w:val="clear" w:color="000000" w:fill="FFFFFF"/>
            <w:noWrap/>
            <w:vAlign w:val="bottom"/>
            <w:hideMark/>
          </w:tcPr>
          <w:p w14:paraId="69DCA4F1" w14:textId="77777777" w:rsidR="001B6918" w:rsidRPr="004E6649" w:rsidRDefault="001B6918" w:rsidP="00730ECF">
            <w:pPr>
              <w:ind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75.34%</w:t>
            </w:r>
          </w:p>
        </w:tc>
        <w:tc>
          <w:tcPr>
            <w:tcW w:w="1080" w:type="dxa"/>
            <w:tcBorders>
              <w:top w:val="double" w:sz="4" w:space="0" w:color="000000" w:themeColor="text1"/>
              <w:left w:val="nil"/>
              <w:bottom w:val="nil"/>
              <w:right w:val="nil"/>
            </w:tcBorders>
            <w:shd w:val="clear" w:color="000000" w:fill="F2F2F2"/>
            <w:noWrap/>
            <w:vAlign w:val="bottom"/>
            <w:hideMark/>
          </w:tcPr>
          <w:p w14:paraId="50B098BA" w14:textId="77777777" w:rsidR="001B6918" w:rsidRPr="004E6649" w:rsidRDefault="001B6918" w:rsidP="00730ECF">
            <w:pPr>
              <w:ind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77.48%</w:t>
            </w:r>
          </w:p>
        </w:tc>
        <w:tc>
          <w:tcPr>
            <w:tcW w:w="987" w:type="dxa"/>
            <w:tcBorders>
              <w:top w:val="double" w:sz="4" w:space="0" w:color="000000" w:themeColor="text1"/>
              <w:left w:val="nil"/>
              <w:bottom w:val="nil"/>
              <w:right w:val="nil"/>
            </w:tcBorders>
            <w:shd w:val="clear" w:color="000000" w:fill="FFFFFF"/>
            <w:noWrap/>
            <w:vAlign w:val="bottom"/>
            <w:hideMark/>
          </w:tcPr>
          <w:p w14:paraId="21DFF5FB" w14:textId="77777777" w:rsidR="001B6918" w:rsidRPr="004E6649" w:rsidRDefault="001B6918" w:rsidP="00730ECF">
            <w:pPr>
              <w:ind w:left="-40" w:right="-114"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76.31%</w:t>
            </w:r>
          </w:p>
        </w:tc>
      </w:tr>
      <w:tr w:rsidR="001B6918" w:rsidRPr="004E6649" w14:paraId="37F61ECA" w14:textId="77777777" w:rsidTr="00730ECF">
        <w:trPr>
          <w:gridAfter w:val="1"/>
          <w:wAfter w:w="149" w:type="dxa"/>
          <w:trHeight w:val="66"/>
          <w:jc w:val="center"/>
        </w:trPr>
        <w:tc>
          <w:tcPr>
            <w:tcW w:w="3058" w:type="dxa"/>
            <w:gridSpan w:val="3"/>
            <w:tcBorders>
              <w:top w:val="nil"/>
              <w:left w:val="nil"/>
              <w:bottom w:val="nil"/>
              <w:right w:val="nil"/>
            </w:tcBorders>
            <w:shd w:val="clear" w:color="000000" w:fill="FFFFFF"/>
            <w:noWrap/>
            <w:vAlign w:val="bottom"/>
            <w:hideMark/>
          </w:tcPr>
          <w:p w14:paraId="3501D8A6" w14:textId="77777777" w:rsidR="001B6918" w:rsidRPr="004E6649" w:rsidRDefault="001B6918" w:rsidP="00730ECF">
            <w:pPr>
              <w:ind w:left="-113" w:right="-951" w:firstLine="96"/>
              <w:rPr>
                <w:rFonts w:eastAsia="Times New Roman" w:cstheme="minorHAnsi"/>
                <w:color w:val="0D0D0D"/>
                <w:sz w:val="18"/>
                <w:szCs w:val="18"/>
              </w:rPr>
            </w:pPr>
            <w:r w:rsidRPr="004E6649">
              <w:rPr>
                <w:rFonts w:eastAsia="Times New Roman" w:cstheme="minorHAnsi"/>
                <w:color w:val="0D0D0D"/>
                <w:sz w:val="18"/>
                <w:szCs w:val="18"/>
              </w:rPr>
              <w:t>Covered payroll*</w:t>
            </w:r>
          </w:p>
        </w:tc>
        <w:tc>
          <w:tcPr>
            <w:tcW w:w="1036" w:type="dxa"/>
            <w:tcBorders>
              <w:top w:val="nil"/>
              <w:left w:val="nil"/>
              <w:bottom w:val="nil"/>
              <w:right w:val="nil"/>
            </w:tcBorders>
            <w:shd w:val="clear" w:color="auto" w:fill="F2F2F2" w:themeFill="background1" w:themeFillShade="F2"/>
            <w:vAlign w:val="bottom"/>
          </w:tcPr>
          <w:p w14:paraId="22E11706" w14:textId="77777777" w:rsidR="001B6918" w:rsidRPr="00F96B39" w:rsidRDefault="001B6918" w:rsidP="00730ECF">
            <w:pPr>
              <w:ind w:firstLine="96"/>
              <w:jc w:val="right"/>
              <w:rPr>
                <w:rFonts w:eastAsia="Times New Roman" w:cstheme="minorHAnsi"/>
                <w:color w:val="FF0000"/>
                <w:sz w:val="18"/>
                <w:szCs w:val="18"/>
              </w:rPr>
            </w:pPr>
            <w:r w:rsidRPr="00F96B39">
              <w:rPr>
                <w:rFonts w:eastAsia="Times New Roman" w:cstheme="minorHAnsi"/>
                <w:color w:val="FF0000"/>
                <w:sz w:val="18"/>
                <w:szCs w:val="18"/>
              </w:rPr>
              <w:t xml:space="preserve">  </w:t>
            </w:r>
            <w:r>
              <w:rPr>
                <w:rFonts w:eastAsia="Times New Roman" w:cstheme="minorHAnsi"/>
                <w:sz w:val="18"/>
                <w:szCs w:val="18"/>
              </w:rPr>
              <w:t>$          -</w:t>
            </w:r>
          </w:p>
        </w:tc>
        <w:tc>
          <w:tcPr>
            <w:tcW w:w="1192" w:type="dxa"/>
            <w:tcBorders>
              <w:top w:val="nil"/>
              <w:left w:val="nil"/>
              <w:bottom w:val="nil"/>
              <w:right w:val="nil"/>
            </w:tcBorders>
            <w:vAlign w:val="bottom"/>
          </w:tcPr>
          <w:p w14:paraId="303CF5EE" w14:textId="77777777" w:rsidR="001B6918" w:rsidRPr="004E6649" w:rsidRDefault="001B6918" w:rsidP="00730ECF">
            <w:pPr>
              <w:ind w:firstLine="96"/>
              <w:jc w:val="right"/>
              <w:rPr>
                <w:rFonts w:eastAsia="Times New Roman" w:cstheme="minorHAnsi"/>
                <w:sz w:val="18"/>
                <w:szCs w:val="18"/>
              </w:rPr>
            </w:pPr>
            <w:r>
              <w:rPr>
                <w:rFonts w:eastAsia="Times New Roman" w:cstheme="minorHAnsi"/>
                <w:sz w:val="18"/>
                <w:szCs w:val="18"/>
              </w:rPr>
              <w:t>$        52</w:t>
            </w:r>
          </w:p>
        </w:tc>
        <w:tc>
          <w:tcPr>
            <w:tcW w:w="1174" w:type="dxa"/>
            <w:tcBorders>
              <w:top w:val="nil"/>
              <w:left w:val="nil"/>
              <w:bottom w:val="nil"/>
              <w:right w:val="nil"/>
            </w:tcBorders>
            <w:shd w:val="clear" w:color="000000" w:fill="F2F2F2"/>
            <w:noWrap/>
            <w:vAlign w:val="bottom"/>
            <w:hideMark/>
          </w:tcPr>
          <w:p w14:paraId="2DB38082" w14:textId="6BDB9190" w:rsidR="001B6918" w:rsidRPr="004E6649" w:rsidRDefault="001B6918" w:rsidP="00730ECF">
            <w:pPr>
              <w:ind w:firstLine="96"/>
              <w:jc w:val="right"/>
              <w:rPr>
                <w:rFonts w:eastAsia="Times New Roman" w:cstheme="minorHAnsi"/>
                <w:sz w:val="18"/>
                <w:szCs w:val="18"/>
              </w:rPr>
            </w:pPr>
            <w:r w:rsidRPr="004E6649">
              <w:rPr>
                <w:rFonts w:eastAsia="Times New Roman" w:cstheme="minorHAnsi"/>
                <w:sz w:val="18"/>
                <w:szCs w:val="18"/>
              </w:rPr>
              <w:t xml:space="preserve">  $        59</w:t>
            </w:r>
          </w:p>
        </w:tc>
        <w:tc>
          <w:tcPr>
            <w:tcW w:w="1170" w:type="dxa"/>
            <w:tcBorders>
              <w:top w:val="nil"/>
              <w:left w:val="nil"/>
              <w:bottom w:val="nil"/>
              <w:right w:val="nil"/>
            </w:tcBorders>
            <w:shd w:val="clear" w:color="000000" w:fill="FFFFFF"/>
            <w:noWrap/>
            <w:vAlign w:val="bottom"/>
            <w:hideMark/>
          </w:tcPr>
          <w:p w14:paraId="5A55B4EC" w14:textId="616C31C7" w:rsidR="001B6918" w:rsidRPr="004E6649" w:rsidRDefault="001B6918" w:rsidP="00730ECF">
            <w:pPr>
              <w:ind w:firstLine="96"/>
              <w:jc w:val="right"/>
              <w:rPr>
                <w:rFonts w:eastAsia="Times New Roman" w:cstheme="minorHAnsi"/>
                <w:sz w:val="18"/>
                <w:szCs w:val="18"/>
              </w:rPr>
            </w:pPr>
            <w:r w:rsidRPr="004E6649">
              <w:rPr>
                <w:rFonts w:eastAsia="Times New Roman" w:cstheme="minorHAnsi"/>
                <w:sz w:val="18"/>
                <w:szCs w:val="18"/>
              </w:rPr>
              <w:t xml:space="preserve"> $          48</w:t>
            </w:r>
          </w:p>
        </w:tc>
        <w:tc>
          <w:tcPr>
            <w:tcW w:w="1170" w:type="dxa"/>
            <w:tcBorders>
              <w:top w:val="nil"/>
              <w:left w:val="nil"/>
              <w:bottom w:val="nil"/>
              <w:right w:val="nil"/>
            </w:tcBorders>
            <w:shd w:val="clear" w:color="000000" w:fill="F2F2F2"/>
            <w:noWrap/>
            <w:vAlign w:val="bottom"/>
            <w:hideMark/>
          </w:tcPr>
          <w:p w14:paraId="250A9655" w14:textId="0EBE91DD" w:rsidR="001B6918" w:rsidRPr="004E6649" w:rsidRDefault="001B6918" w:rsidP="00730ECF">
            <w:pPr>
              <w:ind w:firstLine="96"/>
              <w:jc w:val="right"/>
              <w:rPr>
                <w:rFonts w:eastAsia="Times New Roman" w:cstheme="minorHAnsi"/>
                <w:sz w:val="18"/>
                <w:szCs w:val="18"/>
              </w:rPr>
            </w:pPr>
            <w:r w:rsidRPr="004E6649">
              <w:rPr>
                <w:rFonts w:eastAsia="Times New Roman" w:cstheme="minorHAnsi"/>
                <w:sz w:val="18"/>
                <w:szCs w:val="18"/>
              </w:rPr>
              <w:t xml:space="preserve"> $          65</w:t>
            </w:r>
          </w:p>
        </w:tc>
        <w:tc>
          <w:tcPr>
            <w:tcW w:w="1170" w:type="dxa"/>
            <w:tcBorders>
              <w:top w:val="nil"/>
              <w:left w:val="nil"/>
              <w:bottom w:val="nil"/>
              <w:right w:val="nil"/>
            </w:tcBorders>
            <w:shd w:val="clear" w:color="000000" w:fill="FFFFFF"/>
            <w:noWrap/>
            <w:vAlign w:val="bottom"/>
            <w:hideMark/>
          </w:tcPr>
          <w:p w14:paraId="2235F121" w14:textId="3FEE7459" w:rsidR="001B6918" w:rsidRPr="004E6649" w:rsidRDefault="001B6918" w:rsidP="00730ECF">
            <w:pPr>
              <w:ind w:firstLine="96"/>
              <w:jc w:val="right"/>
              <w:rPr>
                <w:rFonts w:eastAsia="Times New Roman" w:cstheme="minorHAnsi"/>
                <w:color w:val="0D0D0D"/>
                <w:sz w:val="18"/>
                <w:szCs w:val="18"/>
              </w:rPr>
            </w:pPr>
            <w:r w:rsidRPr="004E6649">
              <w:rPr>
                <w:rFonts w:eastAsia="Times New Roman" w:cstheme="minorHAnsi"/>
                <w:color w:val="0D0D0D"/>
                <w:sz w:val="18"/>
                <w:szCs w:val="18"/>
              </w:rPr>
              <w:t xml:space="preserve"> $         68</w:t>
            </w:r>
          </w:p>
        </w:tc>
        <w:tc>
          <w:tcPr>
            <w:tcW w:w="1100" w:type="dxa"/>
            <w:tcBorders>
              <w:top w:val="nil"/>
              <w:left w:val="nil"/>
              <w:bottom w:val="nil"/>
              <w:right w:val="nil"/>
            </w:tcBorders>
            <w:shd w:val="clear" w:color="000000" w:fill="F2F2F2"/>
            <w:noWrap/>
            <w:vAlign w:val="bottom"/>
            <w:hideMark/>
          </w:tcPr>
          <w:p w14:paraId="0A7045F3" w14:textId="39F2427D" w:rsidR="001B6918" w:rsidRPr="004E6649" w:rsidRDefault="001B6918" w:rsidP="00730ECF">
            <w:pPr>
              <w:ind w:firstLine="96"/>
              <w:jc w:val="right"/>
              <w:rPr>
                <w:rFonts w:eastAsia="Times New Roman" w:cstheme="minorHAnsi"/>
                <w:color w:val="0D0D0D"/>
                <w:sz w:val="18"/>
                <w:szCs w:val="18"/>
              </w:rPr>
            </w:pPr>
            <w:r w:rsidRPr="004E6649">
              <w:rPr>
                <w:rFonts w:eastAsia="Times New Roman" w:cstheme="minorHAnsi"/>
                <w:color w:val="0D0D0D"/>
                <w:sz w:val="18"/>
                <w:szCs w:val="18"/>
              </w:rPr>
              <w:t xml:space="preserve"> $      156</w:t>
            </w:r>
          </w:p>
        </w:tc>
        <w:tc>
          <w:tcPr>
            <w:tcW w:w="1080" w:type="dxa"/>
            <w:tcBorders>
              <w:top w:val="nil"/>
              <w:left w:val="nil"/>
              <w:bottom w:val="nil"/>
              <w:right w:val="nil"/>
            </w:tcBorders>
            <w:shd w:val="clear" w:color="000000" w:fill="FFFFFF"/>
            <w:noWrap/>
            <w:vAlign w:val="bottom"/>
            <w:hideMark/>
          </w:tcPr>
          <w:p w14:paraId="10382F48" w14:textId="1DED8C2E" w:rsidR="001B6918" w:rsidRPr="004E6649" w:rsidRDefault="001B6918" w:rsidP="00730ECF">
            <w:pPr>
              <w:ind w:firstLineChars="100" w:firstLine="180"/>
              <w:jc w:val="right"/>
              <w:rPr>
                <w:rFonts w:eastAsia="Times New Roman" w:cstheme="minorHAnsi"/>
                <w:color w:val="0D0D0D"/>
                <w:sz w:val="18"/>
                <w:szCs w:val="18"/>
              </w:rPr>
            </w:pPr>
            <w:r w:rsidRPr="004E6649">
              <w:rPr>
                <w:rFonts w:eastAsia="Times New Roman" w:cstheme="minorHAnsi"/>
                <w:color w:val="0D0D0D"/>
                <w:sz w:val="18"/>
                <w:szCs w:val="18"/>
              </w:rPr>
              <w:t>$    105</w:t>
            </w:r>
          </w:p>
        </w:tc>
        <w:tc>
          <w:tcPr>
            <w:tcW w:w="1080" w:type="dxa"/>
            <w:tcBorders>
              <w:top w:val="nil"/>
              <w:left w:val="nil"/>
              <w:bottom w:val="nil"/>
              <w:right w:val="nil"/>
            </w:tcBorders>
            <w:shd w:val="clear" w:color="000000" w:fill="F2F2F2"/>
            <w:noWrap/>
            <w:vAlign w:val="bottom"/>
            <w:hideMark/>
          </w:tcPr>
          <w:p w14:paraId="567A92E1" w14:textId="3D27813A" w:rsidR="001B6918" w:rsidRPr="004E6649" w:rsidRDefault="001B6918" w:rsidP="00730ECF">
            <w:pPr>
              <w:ind w:firstLine="96"/>
              <w:jc w:val="right"/>
              <w:rPr>
                <w:rFonts w:eastAsia="Times New Roman" w:cstheme="minorHAnsi"/>
                <w:color w:val="0D0D0D"/>
                <w:sz w:val="18"/>
                <w:szCs w:val="18"/>
              </w:rPr>
            </w:pPr>
            <w:r w:rsidRPr="004E6649">
              <w:rPr>
                <w:rFonts w:eastAsia="Times New Roman" w:cstheme="minorHAnsi"/>
                <w:color w:val="0D0D0D"/>
                <w:sz w:val="18"/>
                <w:szCs w:val="18"/>
              </w:rPr>
              <w:t xml:space="preserve"> $      168</w:t>
            </w:r>
          </w:p>
        </w:tc>
        <w:tc>
          <w:tcPr>
            <w:tcW w:w="987" w:type="dxa"/>
            <w:tcBorders>
              <w:top w:val="nil"/>
              <w:left w:val="nil"/>
              <w:bottom w:val="nil"/>
              <w:right w:val="nil"/>
            </w:tcBorders>
            <w:shd w:val="clear" w:color="000000" w:fill="FFFFFF"/>
            <w:noWrap/>
            <w:vAlign w:val="bottom"/>
            <w:hideMark/>
          </w:tcPr>
          <w:p w14:paraId="3761A4A5" w14:textId="77777777" w:rsidR="001B6918" w:rsidRPr="004E6649" w:rsidRDefault="001B6918" w:rsidP="00730ECF">
            <w:pPr>
              <w:ind w:left="-40" w:right="-114" w:firstLine="136"/>
              <w:jc w:val="right"/>
              <w:rPr>
                <w:rFonts w:eastAsia="Times New Roman" w:cstheme="minorHAnsi"/>
                <w:color w:val="0D0D0D"/>
                <w:sz w:val="18"/>
                <w:szCs w:val="18"/>
              </w:rPr>
            </w:pPr>
            <w:r w:rsidRPr="004E6649">
              <w:rPr>
                <w:rFonts w:eastAsia="Times New Roman" w:cstheme="minorHAnsi"/>
                <w:color w:val="0D0D0D"/>
                <w:sz w:val="18"/>
                <w:szCs w:val="18"/>
              </w:rPr>
              <w:t xml:space="preserve"> $      312 </w:t>
            </w:r>
          </w:p>
        </w:tc>
      </w:tr>
      <w:tr w:rsidR="001B6918" w:rsidRPr="004E6649" w14:paraId="58BFB473" w14:textId="77777777" w:rsidTr="00730ECF">
        <w:trPr>
          <w:gridAfter w:val="1"/>
          <w:wAfter w:w="149" w:type="dxa"/>
          <w:trHeight w:val="378"/>
          <w:jc w:val="center"/>
        </w:trPr>
        <w:tc>
          <w:tcPr>
            <w:tcW w:w="3058" w:type="dxa"/>
            <w:gridSpan w:val="3"/>
            <w:tcBorders>
              <w:top w:val="nil"/>
              <w:left w:val="nil"/>
              <w:bottom w:val="nil"/>
              <w:right w:val="nil"/>
            </w:tcBorders>
            <w:shd w:val="clear" w:color="000000" w:fill="FFFFFF"/>
            <w:vAlign w:val="bottom"/>
            <w:hideMark/>
          </w:tcPr>
          <w:p w14:paraId="780804D8" w14:textId="77777777" w:rsidR="001B6918" w:rsidRPr="004E6649" w:rsidRDefault="001B6918" w:rsidP="00730ECF">
            <w:pPr>
              <w:ind w:left="-113" w:right="-951" w:firstLine="96"/>
              <w:rPr>
                <w:rFonts w:eastAsia="Times New Roman" w:cstheme="minorHAnsi"/>
                <w:color w:val="0D0D0D"/>
                <w:sz w:val="18"/>
                <w:szCs w:val="18"/>
              </w:rPr>
            </w:pPr>
            <w:r w:rsidRPr="004E6649">
              <w:rPr>
                <w:rFonts w:eastAsia="Times New Roman" w:cstheme="minorHAnsi"/>
                <w:color w:val="0D0D0D"/>
                <w:sz w:val="18"/>
                <w:szCs w:val="18"/>
              </w:rPr>
              <w:t xml:space="preserve">Net pension liability as a </w:t>
            </w:r>
          </w:p>
          <w:p w14:paraId="66AECE06" w14:textId="77777777" w:rsidR="001B6918" w:rsidRPr="004E6649" w:rsidRDefault="001B6918" w:rsidP="00730ECF">
            <w:pPr>
              <w:ind w:left="-113" w:right="-951" w:firstLine="96"/>
              <w:rPr>
                <w:rFonts w:eastAsia="Times New Roman" w:cstheme="minorHAnsi"/>
                <w:color w:val="0D0D0D"/>
                <w:sz w:val="18"/>
                <w:szCs w:val="18"/>
              </w:rPr>
            </w:pPr>
            <w:r w:rsidRPr="004E6649">
              <w:rPr>
                <w:rFonts w:eastAsia="Times New Roman" w:cstheme="minorHAnsi"/>
                <w:color w:val="0D0D0D"/>
                <w:sz w:val="18"/>
                <w:szCs w:val="18"/>
              </w:rPr>
              <w:t xml:space="preserve">  Percentage of covered payroll</w:t>
            </w:r>
          </w:p>
        </w:tc>
        <w:tc>
          <w:tcPr>
            <w:tcW w:w="1036" w:type="dxa"/>
            <w:tcBorders>
              <w:top w:val="nil"/>
              <w:left w:val="nil"/>
              <w:bottom w:val="nil"/>
              <w:right w:val="nil"/>
            </w:tcBorders>
            <w:shd w:val="clear" w:color="auto" w:fill="F2F2F2" w:themeFill="background1" w:themeFillShade="F2"/>
            <w:vAlign w:val="bottom"/>
          </w:tcPr>
          <w:p w14:paraId="5B22AA3F" w14:textId="77777777" w:rsidR="001B6918" w:rsidRPr="00F96B39" w:rsidRDefault="001B6918" w:rsidP="00730ECF">
            <w:pPr>
              <w:ind w:firstLine="96"/>
              <w:jc w:val="right"/>
              <w:rPr>
                <w:rFonts w:eastAsia="Times New Roman" w:cstheme="minorHAnsi"/>
                <w:color w:val="FF0000"/>
                <w:sz w:val="18"/>
                <w:szCs w:val="18"/>
              </w:rPr>
            </w:pPr>
            <w:r w:rsidRPr="003E524C">
              <w:rPr>
                <w:rFonts w:eastAsia="Times New Roman" w:cstheme="minorHAnsi"/>
                <w:sz w:val="18"/>
                <w:szCs w:val="18"/>
              </w:rPr>
              <w:t>NA</w:t>
            </w:r>
          </w:p>
        </w:tc>
        <w:tc>
          <w:tcPr>
            <w:tcW w:w="1192" w:type="dxa"/>
            <w:tcBorders>
              <w:top w:val="nil"/>
              <w:left w:val="nil"/>
              <w:bottom w:val="nil"/>
              <w:right w:val="nil"/>
            </w:tcBorders>
            <w:vAlign w:val="bottom"/>
          </w:tcPr>
          <w:p w14:paraId="5BEA2C92" w14:textId="77777777" w:rsidR="001B6918" w:rsidRPr="004E6649" w:rsidRDefault="001B6918" w:rsidP="00730ECF">
            <w:pPr>
              <w:ind w:firstLine="96"/>
              <w:jc w:val="right"/>
              <w:rPr>
                <w:rFonts w:eastAsia="Times New Roman" w:cstheme="minorHAnsi"/>
                <w:sz w:val="18"/>
                <w:szCs w:val="18"/>
              </w:rPr>
            </w:pPr>
            <w:r>
              <w:rPr>
                <w:rFonts w:eastAsia="Times New Roman" w:cstheme="minorHAnsi"/>
                <w:sz w:val="18"/>
                <w:szCs w:val="18"/>
              </w:rPr>
              <w:t>20108.11%</w:t>
            </w:r>
          </w:p>
        </w:tc>
        <w:tc>
          <w:tcPr>
            <w:tcW w:w="1174" w:type="dxa"/>
            <w:tcBorders>
              <w:top w:val="nil"/>
              <w:left w:val="nil"/>
              <w:bottom w:val="nil"/>
              <w:right w:val="nil"/>
            </w:tcBorders>
            <w:shd w:val="clear" w:color="000000" w:fill="F2F2F2"/>
            <w:noWrap/>
            <w:vAlign w:val="bottom"/>
            <w:hideMark/>
          </w:tcPr>
          <w:p w14:paraId="41BCB647" w14:textId="77777777" w:rsidR="001B6918" w:rsidRPr="004E6649" w:rsidRDefault="001B6918" w:rsidP="00730ECF">
            <w:pPr>
              <w:ind w:firstLine="96"/>
              <w:jc w:val="right"/>
              <w:rPr>
                <w:rFonts w:eastAsia="Times New Roman" w:cstheme="minorHAnsi"/>
                <w:sz w:val="18"/>
                <w:szCs w:val="18"/>
              </w:rPr>
            </w:pPr>
            <w:r w:rsidRPr="004E6649">
              <w:rPr>
                <w:rFonts w:eastAsia="Times New Roman" w:cstheme="minorHAnsi"/>
                <w:sz w:val="18"/>
                <w:szCs w:val="18"/>
              </w:rPr>
              <w:t>18283.28%</w:t>
            </w:r>
          </w:p>
        </w:tc>
        <w:tc>
          <w:tcPr>
            <w:tcW w:w="1170" w:type="dxa"/>
            <w:tcBorders>
              <w:top w:val="nil"/>
              <w:left w:val="nil"/>
              <w:bottom w:val="nil"/>
              <w:right w:val="nil"/>
            </w:tcBorders>
            <w:shd w:val="clear" w:color="000000" w:fill="FFFFFF"/>
            <w:noWrap/>
            <w:vAlign w:val="bottom"/>
            <w:hideMark/>
          </w:tcPr>
          <w:p w14:paraId="7FA9A871" w14:textId="77777777" w:rsidR="001B6918" w:rsidRPr="004E6649" w:rsidRDefault="001B6918" w:rsidP="00730ECF">
            <w:pPr>
              <w:ind w:firstLine="96"/>
              <w:jc w:val="right"/>
              <w:rPr>
                <w:rFonts w:eastAsia="Times New Roman" w:cstheme="minorHAnsi"/>
                <w:sz w:val="18"/>
                <w:szCs w:val="18"/>
              </w:rPr>
            </w:pPr>
            <w:r w:rsidRPr="004E6649">
              <w:rPr>
                <w:rFonts w:eastAsia="Times New Roman" w:cstheme="minorHAnsi"/>
                <w:sz w:val="18"/>
                <w:szCs w:val="18"/>
              </w:rPr>
              <w:t>24138.26%</w:t>
            </w:r>
          </w:p>
        </w:tc>
        <w:tc>
          <w:tcPr>
            <w:tcW w:w="1170" w:type="dxa"/>
            <w:tcBorders>
              <w:top w:val="nil"/>
              <w:left w:val="nil"/>
              <w:bottom w:val="nil"/>
              <w:right w:val="nil"/>
            </w:tcBorders>
            <w:shd w:val="clear" w:color="000000" w:fill="F2F2F2"/>
            <w:noWrap/>
            <w:vAlign w:val="bottom"/>
            <w:hideMark/>
          </w:tcPr>
          <w:p w14:paraId="2AAFF169" w14:textId="77777777" w:rsidR="001B6918" w:rsidRPr="004E6649" w:rsidRDefault="001B6918" w:rsidP="00730ECF">
            <w:pPr>
              <w:ind w:firstLine="96"/>
              <w:jc w:val="right"/>
              <w:rPr>
                <w:rFonts w:eastAsia="Times New Roman" w:cstheme="minorHAnsi"/>
                <w:color w:val="0D0D0D"/>
                <w:sz w:val="18"/>
                <w:szCs w:val="18"/>
              </w:rPr>
            </w:pPr>
            <w:r w:rsidRPr="004E6649">
              <w:rPr>
                <w:rFonts w:eastAsia="Times New Roman" w:cstheme="minorHAnsi"/>
                <w:color w:val="0D0D0D"/>
                <w:sz w:val="18"/>
                <w:szCs w:val="18"/>
              </w:rPr>
              <w:t>13158.91%</w:t>
            </w:r>
          </w:p>
        </w:tc>
        <w:tc>
          <w:tcPr>
            <w:tcW w:w="1170" w:type="dxa"/>
            <w:tcBorders>
              <w:top w:val="nil"/>
              <w:left w:val="nil"/>
              <w:bottom w:val="nil"/>
              <w:right w:val="nil"/>
            </w:tcBorders>
            <w:shd w:val="clear" w:color="000000" w:fill="FFFFFF"/>
            <w:noWrap/>
            <w:vAlign w:val="bottom"/>
            <w:hideMark/>
          </w:tcPr>
          <w:p w14:paraId="3ACD1473" w14:textId="77777777" w:rsidR="001B6918" w:rsidRPr="004E6649" w:rsidRDefault="001B6918" w:rsidP="00730ECF">
            <w:pPr>
              <w:ind w:firstLine="96"/>
              <w:jc w:val="right"/>
              <w:rPr>
                <w:rFonts w:eastAsia="Times New Roman" w:cstheme="minorHAnsi"/>
                <w:color w:val="0D0D0D"/>
                <w:sz w:val="18"/>
                <w:szCs w:val="18"/>
              </w:rPr>
            </w:pPr>
            <w:r w:rsidRPr="004E6649">
              <w:rPr>
                <w:rFonts w:eastAsia="Times New Roman" w:cstheme="minorHAnsi"/>
                <w:color w:val="0D0D0D"/>
                <w:sz w:val="18"/>
                <w:szCs w:val="18"/>
              </w:rPr>
              <w:t>17284.43%</w:t>
            </w:r>
          </w:p>
        </w:tc>
        <w:tc>
          <w:tcPr>
            <w:tcW w:w="1100" w:type="dxa"/>
            <w:tcBorders>
              <w:top w:val="nil"/>
              <w:left w:val="nil"/>
              <w:bottom w:val="nil"/>
              <w:right w:val="nil"/>
            </w:tcBorders>
            <w:shd w:val="clear" w:color="000000" w:fill="F2F2F2"/>
            <w:noWrap/>
            <w:vAlign w:val="bottom"/>
            <w:hideMark/>
          </w:tcPr>
          <w:p w14:paraId="6896484E" w14:textId="77777777" w:rsidR="001B6918" w:rsidRPr="004E6649" w:rsidRDefault="001B6918" w:rsidP="00730ECF">
            <w:pPr>
              <w:ind w:firstLine="96"/>
              <w:jc w:val="right"/>
              <w:rPr>
                <w:rFonts w:eastAsia="Times New Roman" w:cstheme="minorHAnsi"/>
                <w:color w:val="0D0D0D"/>
                <w:sz w:val="18"/>
                <w:szCs w:val="18"/>
              </w:rPr>
            </w:pPr>
            <w:r w:rsidRPr="004E6649">
              <w:rPr>
                <w:rFonts w:eastAsia="Times New Roman" w:cstheme="minorHAnsi"/>
                <w:color w:val="0D0D0D"/>
                <w:sz w:val="18"/>
                <w:szCs w:val="18"/>
              </w:rPr>
              <w:t>7396.21%</w:t>
            </w:r>
          </w:p>
        </w:tc>
        <w:tc>
          <w:tcPr>
            <w:tcW w:w="1080" w:type="dxa"/>
            <w:tcBorders>
              <w:top w:val="nil"/>
              <w:left w:val="nil"/>
              <w:bottom w:val="nil"/>
              <w:right w:val="nil"/>
            </w:tcBorders>
            <w:shd w:val="clear" w:color="000000" w:fill="FFFFFF"/>
            <w:noWrap/>
            <w:vAlign w:val="bottom"/>
            <w:hideMark/>
          </w:tcPr>
          <w:p w14:paraId="6860D1F1" w14:textId="77777777" w:rsidR="001B6918" w:rsidRPr="004E6649" w:rsidRDefault="001B6918" w:rsidP="00730ECF">
            <w:pPr>
              <w:ind w:firstLine="96"/>
              <w:jc w:val="right"/>
              <w:rPr>
                <w:rFonts w:eastAsia="Times New Roman" w:cstheme="minorHAnsi"/>
                <w:color w:val="0D0D0D"/>
                <w:sz w:val="18"/>
                <w:szCs w:val="18"/>
              </w:rPr>
            </w:pPr>
            <w:r w:rsidRPr="004E6649">
              <w:rPr>
                <w:rFonts w:eastAsia="Times New Roman" w:cstheme="minorHAnsi"/>
                <w:color w:val="0D0D0D"/>
                <w:sz w:val="18"/>
                <w:szCs w:val="18"/>
              </w:rPr>
              <w:t>9052.65%</w:t>
            </w:r>
          </w:p>
        </w:tc>
        <w:tc>
          <w:tcPr>
            <w:tcW w:w="1080" w:type="dxa"/>
            <w:tcBorders>
              <w:top w:val="nil"/>
              <w:left w:val="nil"/>
              <w:bottom w:val="nil"/>
              <w:right w:val="nil"/>
            </w:tcBorders>
            <w:shd w:val="clear" w:color="000000" w:fill="F2F2F2"/>
            <w:noWrap/>
            <w:vAlign w:val="bottom"/>
            <w:hideMark/>
          </w:tcPr>
          <w:p w14:paraId="6563032F" w14:textId="77777777" w:rsidR="001B6918" w:rsidRPr="004E6649" w:rsidRDefault="001B6918" w:rsidP="00730ECF">
            <w:pPr>
              <w:ind w:firstLine="96"/>
              <w:jc w:val="right"/>
              <w:rPr>
                <w:rFonts w:eastAsia="Times New Roman" w:cstheme="minorHAnsi"/>
                <w:color w:val="0D0D0D"/>
                <w:sz w:val="18"/>
                <w:szCs w:val="18"/>
              </w:rPr>
            </w:pPr>
            <w:r w:rsidRPr="004E6649">
              <w:rPr>
                <w:rFonts w:eastAsia="Times New Roman" w:cstheme="minorHAnsi"/>
                <w:color w:val="0D0D0D"/>
                <w:sz w:val="18"/>
                <w:szCs w:val="18"/>
              </w:rPr>
              <w:t>5400.37%</w:t>
            </w:r>
          </w:p>
        </w:tc>
        <w:tc>
          <w:tcPr>
            <w:tcW w:w="987" w:type="dxa"/>
            <w:tcBorders>
              <w:top w:val="nil"/>
              <w:left w:val="nil"/>
              <w:bottom w:val="nil"/>
              <w:right w:val="nil"/>
            </w:tcBorders>
            <w:shd w:val="clear" w:color="000000" w:fill="FFFFFF"/>
            <w:noWrap/>
            <w:vAlign w:val="bottom"/>
            <w:hideMark/>
          </w:tcPr>
          <w:p w14:paraId="227E0CD9" w14:textId="77777777" w:rsidR="001B6918" w:rsidRPr="004E6649" w:rsidRDefault="001B6918" w:rsidP="00730ECF">
            <w:pPr>
              <w:ind w:left="-40" w:right="-114" w:firstLine="136"/>
              <w:jc w:val="right"/>
              <w:rPr>
                <w:rFonts w:eastAsia="Times New Roman" w:cstheme="minorHAnsi"/>
                <w:color w:val="0D0D0D"/>
                <w:sz w:val="18"/>
                <w:szCs w:val="18"/>
              </w:rPr>
            </w:pPr>
            <w:r w:rsidRPr="004E6649">
              <w:rPr>
                <w:rFonts w:eastAsia="Times New Roman" w:cstheme="minorHAnsi"/>
                <w:color w:val="0D0D0D"/>
                <w:sz w:val="18"/>
                <w:szCs w:val="18"/>
              </w:rPr>
              <w:t>3259.34%</w:t>
            </w:r>
          </w:p>
        </w:tc>
      </w:tr>
      <w:tr w:rsidR="001B6918" w:rsidRPr="004E6649" w14:paraId="5519921B" w14:textId="77777777" w:rsidTr="00730ECF">
        <w:trPr>
          <w:trHeight w:val="199"/>
          <w:jc w:val="center"/>
        </w:trPr>
        <w:tc>
          <w:tcPr>
            <w:tcW w:w="879" w:type="dxa"/>
            <w:tcBorders>
              <w:top w:val="nil"/>
              <w:left w:val="nil"/>
              <w:bottom w:val="nil"/>
              <w:right w:val="nil"/>
            </w:tcBorders>
            <w:shd w:val="clear" w:color="000000" w:fill="FFFFFF"/>
          </w:tcPr>
          <w:p w14:paraId="4D7A94E4" w14:textId="77777777" w:rsidR="001B6918" w:rsidRPr="004E6649" w:rsidRDefault="001B6918" w:rsidP="00730ECF">
            <w:pPr>
              <w:rPr>
                <w:rFonts w:eastAsia="Times New Roman" w:cstheme="minorHAnsi"/>
                <w:sz w:val="24"/>
                <w:szCs w:val="24"/>
              </w:rPr>
            </w:pPr>
          </w:p>
        </w:tc>
        <w:tc>
          <w:tcPr>
            <w:tcW w:w="880" w:type="dxa"/>
            <w:tcBorders>
              <w:top w:val="nil"/>
              <w:left w:val="nil"/>
              <w:bottom w:val="nil"/>
              <w:right w:val="nil"/>
            </w:tcBorders>
            <w:shd w:val="clear" w:color="000000" w:fill="FFFFFF"/>
          </w:tcPr>
          <w:p w14:paraId="72AEC4FE" w14:textId="77777777" w:rsidR="001B6918" w:rsidRPr="004E6649" w:rsidRDefault="001B6918" w:rsidP="00730ECF">
            <w:pPr>
              <w:rPr>
                <w:rFonts w:eastAsia="Times New Roman" w:cstheme="minorHAnsi"/>
                <w:sz w:val="24"/>
                <w:szCs w:val="24"/>
              </w:rPr>
            </w:pPr>
          </w:p>
        </w:tc>
        <w:tc>
          <w:tcPr>
            <w:tcW w:w="4701" w:type="dxa"/>
            <w:gridSpan w:val="4"/>
            <w:tcBorders>
              <w:top w:val="nil"/>
              <w:left w:val="nil"/>
              <w:bottom w:val="nil"/>
              <w:right w:val="nil"/>
            </w:tcBorders>
            <w:shd w:val="clear" w:color="000000" w:fill="FFFFFF"/>
            <w:noWrap/>
            <w:vAlign w:val="bottom"/>
            <w:hideMark/>
          </w:tcPr>
          <w:p w14:paraId="35C84021" w14:textId="77777777" w:rsidR="001B6918" w:rsidRPr="004E6649" w:rsidRDefault="001B6918" w:rsidP="00730ECF">
            <w:pPr>
              <w:rPr>
                <w:rFonts w:eastAsia="Times New Roman" w:cstheme="minorHAnsi"/>
                <w:sz w:val="24"/>
                <w:szCs w:val="24"/>
              </w:rPr>
            </w:pPr>
          </w:p>
          <w:p w14:paraId="5E511591" w14:textId="77777777" w:rsidR="001B6918" w:rsidRPr="004E6649" w:rsidRDefault="001B6918" w:rsidP="00730ECF">
            <w:pPr>
              <w:rPr>
                <w:rFonts w:eastAsia="Times New Roman" w:cstheme="minorHAnsi"/>
                <w:color w:val="0D0D0D"/>
                <w:sz w:val="16"/>
                <w:szCs w:val="16"/>
              </w:rPr>
            </w:pPr>
            <w:r w:rsidRPr="004E6649">
              <w:rPr>
                <w:rFonts w:eastAsia="Times New Roman" w:cstheme="minorHAnsi"/>
                <w:sz w:val="16"/>
                <w:szCs w:val="16"/>
              </w:rPr>
              <w:t>* Covered payroll for 2016 is the 2015 covered payroll, increased by payroll growth of 3.5%</w:t>
            </w:r>
            <w:r w:rsidRPr="004E6649">
              <w:rPr>
                <w:rFonts w:eastAsia="Times New Roman" w:cstheme="minorHAnsi"/>
                <w:color w:val="0D0D0D"/>
                <w:sz w:val="16"/>
                <w:szCs w:val="16"/>
              </w:rPr>
              <w:t> </w:t>
            </w:r>
          </w:p>
        </w:tc>
        <w:tc>
          <w:tcPr>
            <w:tcW w:w="1170" w:type="dxa"/>
            <w:tcBorders>
              <w:top w:val="nil"/>
              <w:left w:val="nil"/>
              <w:bottom w:val="nil"/>
              <w:right w:val="nil"/>
            </w:tcBorders>
            <w:shd w:val="clear" w:color="000000" w:fill="FFFFFF"/>
            <w:noWrap/>
            <w:vAlign w:val="bottom"/>
            <w:hideMark/>
          </w:tcPr>
          <w:p w14:paraId="67B544DF" w14:textId="77777777" w:rsidR="001B6918" w:rsidRPr="004E6649" w:rsidRDefault="001B6918" w:rsidP="00730ECF">
            <w:pPr>
              <w:rPr>
                <w:rFonts w:eastAsia="Times New Roman" w:cstheme="minorHAnsi"/>
                <w:color w:val="0D0D0D"/>
                <w:sz w:val="16"/>
                <w:szCs w:val="16"/>
              </w:rPr>
            </w:pPr>
            <w:r w:rsidRPr="004E6649">
              <w:rPr>
                <w:rFonts w:eastAsia="Times New Roman" w:cstheme="minorHAnsi"/>
                <w:color w:val="0D0D0D"/>
                <w:sz w:val="16"/>
                <w:szCs w:val="16"/>
              </w:rPr>
              <w:t> </w:t>
            </w:r>
          </w:p>
        </w:tc>
        <w:tc>
          <w:tcPr>
            <w:tcW w:w="1170" w:type="dxa"/>
            <w:tcBorders>
              <w:top w:val="nil"/>
              <w:left w:val="nil"/>
              <w:bottom w:val="nil"/>
              <w:right w:val="nil"/>
            </w:tcBorders>
            <w:shd w:val="clear" w:color="000000" w:fill="FFFFFF"/>
            <w:noWrap/>
            <w:vAlign w:val="bottom"/>
            <w:hideMark/>
          </w:tcPr>
          <w:p w14:paraId="3020201D" w14:textId="77777777" w:rsidR="001B6918" w:rsidRPr="004E6649" w:rsidRDefault="001B6918" w:rsidP="00730ECF">
            <w:pPr>
              <w:rPr>
                <w:rFonts w:eastAsia="Times New Roman" w:cstheme="minorHAnsi"/>
                <w:color w:val="0D0D0D"/>
                <w:sz w:val="16"/>
                <w:szCs w:val="16"/>
              </w:rPr>
            </w:pPr>
            <w:r w:rsidRPr="004E6649">
              <w:rPr>
                <w:rFonts w:eastAsia="Times New Roman" w:cstheme="minorHAnsi"/>
                <w:color w:val="0D0D0D"/>
                <w:sz w:val="16"/>
                <w:szCs w:val="16"/>
              </w:rPr>
              <w:t> </w:t>
            </w:r>
          </w:p>
        </w:tc>
        <w:tc>
          <w:tcPr>
            <w:tcW w:w="1170" w:type="dxa"/>
            <w:tcBorders>
              <w:top w:val="nil"/>
              <w:left w:val="nil"/>
              <w:bottom w:val="nil"/>
              <w:right w:val="nil"/>
            </w:tcBorders>
            <w:shd w:val="clear" w:color="000000" w:fill="FFFFFF"/>
            <w:noWrap/>
            <w:vAlign w:val="bottom"/>
            <w:hideMark/>
          </w:tcPr>
          <w:p w14:paraId="5B7CD119" w14:textId="77777777" w:rsidR="001B6918" w:rsidRPr="004E6649" w:rsidRDefault="001B6918" w:rsidP="00730ECF">
            <w:pPr>
              <w:rPr>
                <w:rFonts w:eastAsia="Times New Roman" w:cstheme="minorHAnsi"/>
                <w:color w:val="0D0D0D"/>
                <w:sz w:val="16"/>
                <w:szCs w:val="16"/>
              </w:rPr>
            </w:pPr>
            <w:r w:rsidRPr="004E6649">
              <w:rPr>
                <w:rFonts w:eastAsia="Times New Roman" w:cstheme="minorHAnsi"/>
                <w:color w:val="0D0D0D"/>
                <w:sz w:val="16"/>
                <w:szCs w:val="16"/>
              </w:rPr>
              <w:t> </w:t>
            </w:r>
          </w:p>
        </w:tc>
        <w:tc>
          <w:tcPr>
            <w:tcW w:w="4396" w:type="dxa"/>
            <w:gridSpan w:val="5"/>
            <w:tcBorders>
              <w:top w:val="nil"/>
              <w:left w:val="nil"/>
              <w:bottom w:val="nil"/>
              <w:right w:val="nil"/>
            </w:tcBorders>
            <w:shd w:val="clear" w:color="000000" w:fill="FFFFFF"/>
            <w:noWrap/>
            <w:vAlign w:val="bottom"/>
            <w:hideMark/>
          </w:tcPr>
          <w:p w14:paraId="5E6EA0BE" w14:textId="77777777" w:rsidR="001B6918" w:rsidRPr="004E6649" w:rsidRDefault="001B6918" w:rsidP="00730ECF">
            <w:pPr>
              <w:rPr>
                <w:rFonts w:eastAsia="Times New Roman" w:cstheme="minorHAnsi"/>
                <w:color w:val="0D0D0D"/>
                <w:sz w:val="16"/>
                <w:szCs w:val="16"/>
              </w:rPr>
            </w:pPr>
            <w:r w:rsidRPr="004E6649">
              <w:rPr>
                <w:rFonts w:eastAsia="Times New Roman" w:cstheme="minorHAnsi"/>
                <w:color w:val="0D0D0D"/>
                <w:sz w:val="16"/>
                <w:szCs w:val="16"/>
              </w:rPr>
              <w:t> </w:t>
            </w:r>
          </w:p>
        </w:tc>
      </w:tr>
    </w:tbl>
    <w:p w14:paraId="51070407" w14:textId="77777777" w:rsidR="001B6918" w:rsidRPr="00F96B39" w:rsidRDefault="001B6918" w:rsidP="001B6918">
      <w:pPr>
        <w:spacing w:after="160" w:line="259" w:lineRule="auto"/>
        <w:rPr>
          <w:rFonts w:eastAsiaTheme="majorEastAsia" w:cstheme="minorHAnsi"/>
          <w:b/>
          <w:iCs/>
          <w:smallCaps/>
          <w:noProof/>
          <w:color w:val="000000" w:themeColor="text1"/>
          <w:szCs w:val="24"/>
          <w:u w:color="5B9BD5"/>
        </w:rPr>
      </w:pPr>
      <w:r w:rsidRPr="004E6649">
        <w:rPr>
          <w:rFonts w:eastAsiaTheme="majorEastAsia" w:cstheme="minorHAnsi"/>
          <w:b/>
          <w:i/>
          <w:iCs/>
          <w:smallCaps/>
          <w:noProof/>
          <w:color w:val="000000" w:themeColor="text1"/>
          <w:szCs w:val="24"/>
          <w:u w:color="5B9BD5"/>
        </w:rPr>
        <w:br w:type="page"/>
      </w:r>
    </w:p>
    <w:p w14:paraId="153261CE" w14:textId="77777777" w:rsidR="001B6918" w:rsidRPr="009E4423" w:rsidRDefault="001B6918" w:rsidP="001B6918">
      <w:pPr>
        <w:spacing w:after="160"/>
        <w:rPr>
          <w:rFonts w:eastAsiaTheme="majorEastAsia" w:cstheme="minorHAnsi"/>
          <w:b/>
          <w:i/>
          <w:iCs/>
          <w:smallCaps/>
          <w:noProof/>
          <w:color w:val="000000" w:themeColor="text1"/>
          <w:sz w:val="24"/>
          <w:szCs w:val="28"/>
          <w:u w:color="5B9BD5"/>
        </w:rPr>
      </w:pPr>
      <w:r w:rsidRPr="00453556">
        <w:rPr>
          <w:rFonts w:eastAsiaTheme="majorEastAsia" w:cstheme="minorHAnsi"/>
          <w:b/>
          <w:i/>
          <w:iCs/>
          <w:smallCaps/>
          <w:noProof/>
          <w:color w:val="000000" w:themeColor="text1"/>
          <w:sz w:val="24"/>
          <w:szCs w:val="28"/>
          <w:u w:color="5B9BD5"/>
        </w:rPr>
        <w:lastRenderedPageBreak/>
        <w:t>DEFINED BENEFIT PENSION PLAN – CONTINUED:</w:t>
      </w:r>
    </w:p>
    <w:p w14:paraId="48DEC678" w14:textId="77777777" w:rsidR="001B6918" w:rsidRPr="004E6649" w:rsidRDefault="001B6918" w:rsidP="001B6918">
      <w:pPr>
        <w:widowControl w:val="0"/>
        <w:spacing w:after="240"/>
        <w:jc w:val="center"/>
        <w:rPr>
          <w:rFonts w:eastAsia="Franklin Gothic Book" w:cstheme="minorHAnsi"/>
          <w:b/>
          <w:spacing w:val="1"/>
          <w:sz w:val="28"/>
          <w:szCs w:val="28"/>
        </w:rPr>
      </w:pPr>
      <w:r w:rsidRPr="004E6649">
        <w:rPr>
          <w:rFonts w:eastAsia="Times New Roman" w:cstheme="minorHAnsi"/>
          <w:b/>
          <w:bCs/>
          <w:color w:val="0D0D0D"/>
        </w:rPr>
        <w:t>Schedule of Employer Contributions</w:t>
      </w:r>
      <w:r w:rsidRPr="004E6649">
        <w:rPr>
          <w:rFonts w:eastAsia="Franklin Gothic Book" w:cstheme="minorHAnsi"/>
          <w:b/>
          <w:spacing w:val="1"/>
          <w:szCs w:val="28"/>
        </w:rPr>
        <w:fldChar w:fldCharType="begin"/>
      </w:r>
      <w:r w:rsidRPr="004E6649">
        <w:rPr>
          <w:rFonts w:eastAsia="Franklin Gothic Book" w:cstheme="minorHAnsi"/>
          <w:b/>
          <w:spacing w:val="1"/>
          <w:szCs w:val="28"/>
        </w:rPr>
        <w:fldChar w:fldCharType="end"/>
      </w:r>
      <w:r w:rsidRPr="004E6649">
        <w:rPr>
          <w:rFonts w:eastAsia="Franklin Gothic Book" w:cstheme="minorHAnsi"/>
          <w:b/>
          <w:spacing w:val="1"/>
          <w:sz w:val="28"/>
          <w:szCs w:val="28"/>
        </w:rPr>
        <w:fldChar w:fldCharType="begin"/>
      </w:r>
      <w:r w:rsidRPr="004E6649">
        <w:rPr>
          <w:rFonts w:eastAsia="Franklin Gothic Book" w:cstheme="minorHAnsi"/>
          <w:b/>
          <w:spacing w:val="1"/>
          <w:sz w:val="28"/>
          <w:szCs w:val="28"/>
        </w:rPr>
        <w:fldChar w:fldCharType="end"/>
      </w:r>
    </w:p>
    <w:tbl>
      <w:tblPr>
        <w:tblW w:w="14464" w:type="dxa"/>
        <w:jc w:val="center"/>
        <w:tblLayout w:type="fixed"/>
        <w:tblCellMar>
          <w:left w:w="72" w:type="dxa"/>
          <w:right w:w="72" w:type="dxa"/>
        </w:tblCellMar>
        <w:tblLook w:val="04A0" w:firstRow="1" w:lastRow="0" w:firstColumn="1" w:lastColumn="0" w:noHBand="0" w:noVBand="1"/>
      </w:tblPr>
      <w:tblGrid>
        <w:gridCol w:w="3994"/>
        <w:gridCol w:w="1111"/>
        <w:gridCol w:w="1111"/>
        <w:gridCol w:w="1074"/>
        <w:gridCol w:w="1080"/>
        <w:gridCol w:w="1080"/>
        <w:gridCol w:w="1074"/>
        <w:gridCol w:w="985"/>
        <w:gridCol w:w="985"/>
        <w:gridCol w:w="985"/>
        <w:gridCol w:w="985"/>
      </w:tblGrid>
      <w:tr w:rsidR="001B6918" w:rsidRPr="004E6649" w14:paraId="7CB09656" w14:textId="77777777" w:rsidTr="00730ECF">
        <w:trPr>
          <w:trHeight w:val="214"/>
          <w:tblHeader/>
          <w:jc w:val="center"/>
        </w:trPr>
        <w:tc>
          <w:tcPr>
            <w:tcW w:w="3994" w:type="dxa"/>
            <w:tcBorders>
              <w:top w:val="nil"/>
              <w:left w:val="nil"/>
              <w:bottom w:val="single" w:sz="12" w:space="0" w:color="000000" w:themeColor="text1"/>
              <w:right w:val="nil"/>
            </w:tcBorders>
            <w:shd w:val="clear" w:color="000000" w:fill="FFFFFF"/>
            <w:vAlign w:val="bottom"/>
            <w:hideMark/>
          </w:tcPr>
          <w:p w14:paraId="2570D0FF" w14:textId="77777777" w:rsidR="001B6918" w:rsidRPr="00B26E91" w:rsidRDefault="001B6918" w:rsidP="00730ECF">
            <w:pPr>
              <w:rPr>
                <w:rFonts w:eastAsia="Times New Roman" w:cstheme="minorHAnsi"/>
                <w:b/>
                <w:bCs/>
                <w:color w:val="0D0D0D"/>
              </w:rPr>
            </w:pPr>
            <w:r w:rsidRPr="00B26E91">
              <w:rPr>
                <w:rFonts w:eastAsia="Times New Roman" w:cstheme="minorHAnsi"/>
                <w:b/>
                <w:bCs/>
                <w:color w:val="0D0D0D"/>
              </w:rPr>
              <w:t>Fiscal Year Ended June 30</w:t>
            </w:r>
          </w:p>
        </w:tc>
        <w:tc>
          <w:tcPr>
            <w:tcW w:w="1111" w:type="dxa"/>
            <w:tcBorders>
              <w:top w:val="nil"/>
              <w:left w:val="nil"/>
              <w:bottom w:val="single" w:sz="12" w:space="0" w:color="000000" w:themeColor="text1"/>
              <w:right w:val="nil"/>
            </w:tcBorders>
            <w:shd w:val="clear" w:color="auto" w:fill="F2F2F2" w:themeFill="background1" w:themeFillShade="F2"/>
          </w:tcPr>
          <w:p w14:paraId="740E9396" w14:textId="77777777" w:rsidR="001B6918" w:rsidRPr="00B26E91" w:rsidRDefault="001B6918" w:rsidP="00730ECF">
            <w:pPr>
              <w:tabs>
                <w:tab w:val="left" w:pos="192"/>
                <w:tab w:val="center" w:pos="486"/>
              </w:tabs>
              <w:jc w:val="center"/>
              <w:rPr>
                <w:rFonts w:eastAsia="Times New Roman" w:cstheme="minorHAnsi"/>
                <w:b/>
                <w:bCs/>
                <w:color w:val="0D0D0D"/>
              </w:rPr>
            </w:pPr>
            <w:r w:rsidRPr="00B26E91">
              <w:rPr>
                <w:rFonts w:eastAsia="Times New Roman" w:cstheme="minorHAnsi"/>
                <w:b/>
                <w:bCs/>
                <w:color w:val="0D0D0D"/>
              </w:rPr>
              <w:t>2025</w:t>
            </w:r>
          </w:p>
        </w:tc>
        <w:tc>
          <w:tcPr>
            <w:tcW w:w="1111" w:type="dxa"/>
            <w:tcBorders>
              <w:top w:val="nil"/>
              <w:left w:val="nil"/>
              <w:bottom w:val="single" w:sz="12" w:space="0" w:color="000000" w:themeColor="text1"/>
              <w:right w:val="nil"/>
            </w:tcBorders>
            <w:vAlign w:val="bottom"/>
          </w:tcPr>
          <w:p w14:paraId="6E40D03C" w14:textId="77777777" w:rsidR="001B6918" w:rsidRPr="00B26E91" w:rsidRDefault="001B6918" w:rsidP="00730ECF">
            <w:pPr>
              <w:tabs>
                <w:tab w:val="left" w:pos="192"/>
                <w:tab w:val="center" w:pos="486"/>
              </w:tabs>
              <w:jc w:val="center"/>
              <w:rPr>
                <w:rFonts w:eastAsia="Times New Roman" w:cstheme="minorHAnsi"/>
                <w:b/>
                <w:bCs/>
                <w:color w:val="0D0D0D"/>
              </w:rPr>
            </w:pPr>
            <w:r w:rsidRPr="00B26E91">
              <w:rPr>
                <w:rFonts w:eastAsia="Times New Roman" w:cstheme="minorHAnsi"/>
                <w:b/>
                <w:bCs/>
                <w:color w:val="0D0D0D"/>
              </w:rPr>
              <w:t>2024</w:t>
            </w:r>
          </w:p>
        </w:tc>
        <w:tc>
          <w:tcPr>
            <w:tcW w:w="1074" w:type="dxa"/>
            <w:tcBorders>
              <w:top w:val="nil"/>
              <w:left w:val="nil"/>
              <w:bottom w:val="single" w:sz="12" w:space="0" w:color="000000" w:themeColor="text1"/>
              <w:right w:val="nil"/>
            </w:tcBorders>
            <w:shd w:val="clear" w:color="auto" w:fill="F2F2F2" w:themeFill="background1" w:themeFillShade="F2"/>
            <w:vAlign w:val="bottom"/>
          </w:tcPr>
          <w:p w14:paraId="4781799E" w14:textId="77777777" w:rsidR="001B6918" w:rsidRPr="00B26E91" w:rsidRDefault="001B6918" w:rsidP="00730ECF">
            <w:pPr>
              <w:jc w:val="center"/>
              <w:rPr>
                <w:rFonts w:eastAsia="Times New Roman" w:cstheme="minorHAnsi"/>
                <w:b/>
                <w:bCs/>
                <w:color w:val="0D0D0D"/>
              </w:rPr>
            </w:pPr>
            <w:r w:rsidRPr="00B26E91">
              <w:rPr>
                <w:rFonts w:eastAsia="Times New Roman" w:cstheme="minorHAnsi"/>
                <w:b/>
                <w:bCs/>
                <w:color w:val="0D0D0D"/>
              </w:rPr>
              <w:t>2023</w:t>
            </w:r>
          </w:p>
        </w:tc>
        <w:tc>
          <w:tcPr>
            <w:tcW w:w="1080" w:type="dxa"/>
            <w:tcBorders>
              <w:top w:val="nil"/>
              <w:left w:val="nil"/>
              <w:bottom w:val="single" w:sz="12" w:space="0" w:color="000000" w:themeColor="text1"/>
              <w:right w:val="nil"/>
            </w:tcBorders>
            <w:vAlign w:val="bottom"/>
          </w:tcPr>
          <w:p w14:paraId="4D238AEC" w14:textId="77777777" w:rsidR="001B6918" w:rsidRPr="00B26E91" w:rsidRDefault="001B6918" w:rsidP="00730ECF">
            <w:pPr>
              <w:jc w:val="center"/>
              <w:rPr>
                <w:rFonts w:eastAsia="Times New Roman" w:cstheme="minorHAnsi"/>
                <w:b/>
                <w:bCs/>
                <w:color w:val="0D0D0D"/>
                <w:highlight w:val="lightGray"/>
              </w:rPr>
            </w:pPr>
            <w:r w:rsidRPr="00B26E91">
              <w:rPr>
                <w:rFonts w:eastAsia="Times New Roman" w:cstheme="minorHAnsi"/>
                <w:b/>
                <w:bCs/>
                <w:color w:val="0D0D0D"/>
              </w:rPr>
              <w:t>2022</w:t>
            </w:r>
          </w:p>
        </w:tc>
        <w:tc>
          <w:tcPr>
            <w:tcW w:w="1080" w:type="dxa"/>
            <w:tcBorders>
              <w:top w:val="nil"/>
              <w:left w:val="nil"/>
              <w:bottom w:val="single" w:sz="12" w:space="0" w:color="000000" w:themeColor="text1"/>
              <w:right w:val="nil"/>
            </w:tcBorders>
            <w:shd w:val="clear" w:color="auto" w:fill="F2F2F2" w:themeFill="background1" w:themeFillShade="F2"/>
            <w:vAlign w:val="bottom"/>
          </w:tcPr>
          <w:p w14:paraId="6795687B" w14:textId="77777777" w:rsidR="001B6918" w:rsidRPr="00B26E91" w:rsidRDefault="001B6918" w:rsidP="00730ECF">
            <w:pPr>
              <w:jc w:val="center"/>
              <w:rPr>
                <w:rFonts w:eastAsia="Times New Roman" w:cstheme="minorHAnsi"/>
                <w:b/>
                <w:bCs/>
                <w:color w:val="0D0D0D"/>
              </w:rPr>
            </w:pPr>
            <w:r w:rsidRPr="00B26E91">
              <w:rPr>
                <w:rFonts w:eastAsia="Times New Roman" w:cstheme="minorHAnsi"/>
                <w:b/>
                <w:bCs/>
                <w:color w:val="0D0D0D"/>
              </w:rPr>
              <w:t>2021</w:t>
            </w:r>
          </w:p>
        </w:tc>
        <w:tc>
          <w:tcPr>
            <w:tcW w:w="1074" w:type="dxa"/>
            <w:tcBorders>
              <w:top w:val="nil"/>
              <w:left w:val="nil"/>
              <w:bottom w:val="single" w:sz="12" w:space="0" w:color="000000" w:themeColor="text1"/>
              <w:right w:val="nil"/>
            </w:tcBorders>
            <w:shd w:val="clear" w:color="000000" w:fill="FFFFFF"/>
            <w:noWrap/>
            <w:vAlign w:val="bottom"/>
            <w:hideMark/>
          </w:tcPr>
          <w:p w14:paraId="69D63456" w14:textId="77777777" w:rsidR="001B6918" w:rsidRPr="00B26E91" w:rsidRDefault="001B6918" w:rsidP="00730ECF">
            <w:pPr>
              <w:jc w:val="center"/>
              <w:rPr>
                <w:rFonts w:eastAsia="Times New Roman" w:cstheme="minorHAnsi"/>
                <w:b/>
                <w:bCs/>
                <w:color w:val="0D0D0D"/>
              </w:rPr>
            </w:pPr>
            <w:r w:rsidRPr="00B26E91">
              <w:rPr>
                <w:rFonts w:eastAsia="Times New Roman" w:cstheme="minorHAnsi"/>
                <w:b/>
                <w:bCs/>
                <w:color w:val="0D0D0D"/>
              </w:rPr>
              <w:t>2020</w:t>
            </w:r>
          </w:p>
        </w:tc>
        <w:tc>
          <w:tcPr>
            <w:tcW w:w="985" w:type="dxa"/>
            <w:tcBorders>
              <w:top w:val="nil"/>
              <w:left w:val="nil"/>
              <w:bottom w:val="single" w:sz="12" w:space="0" w:color="000000" w:themeColor="text1"/>
              <w:right w:val="nil"/>
            </w:tcBorders>
            <w:shd w:val="clear" w:color="auto" w:fill="F2F2F2" w:themeFill="background1" w:themeFillShade="F2"/>
            <w:noWrap/>
            <w:vAlign w:val="bottom"/>
            <w:hideMark/>
          </w:tcPr>
          <w:p w14:paraId="59A2B888" w14:textId="77777777" w:rsidR="001B6918" w:rsidRPr="00B26E91" w:rsidRDefault="001B6918" w:rsidP="00730ECF">
            <w:pPr>
              <w:jc w:val="center"/>
              <w:rPr>
                <w:rFonts w:eastAsia="Times New Roman" w:cstheme="minorHAnsi"/>
                <w:b/>
                <w:bCs/>
                <w:color w:val="0D0D0D"/>
              </w:rPr>
            </w:pPr>
            <w:r w:rsidRPr="00B26E91">
              <w:rPr>
                <w:rFonts w:eastAsia="Times New Roman" w:cstheme="minorHAnsi"/>
                <w:b/>
                <w:bCs/>
                <w:color w:val="0D0D0D"/>
              </w:rPr>
              <w:t>2019</w:t>
            </w:r>
          </w:p>
        </w:tc>
        <w:tc>
          <w:tcPr>
            <w:tcW w:w="985" w:type="dxa"/>
            <w:tcBorders>
              <w:top w:val="nil"/>
              <w:left w:val="nil"/>
              <w:bottom w:val="single" w:sz="12" w:space="0" w:color="000000" w:themeColor="text1"/>
              <w:right w:val="nil"/>
            </w:tcBorders>
            <w:shd w:val="clear" w:color="000000" w:fill="FFFFFF"/>
            <w:noWrap/>
            <w:vAlign w:val="bottom"/>
            <w:hideMark/>
          </w:tcPr>
          <w:p w14:paraId="528E2BD2" w14:textId="77777777" w:rsidR="001B6918" w:rsidRPr="00B26E91" w:rsidRDefault="001B6918" w:rsidP="00730ECF">
            <w:pPr>
              <w:jc w:val="center"/>
              <w:rPr>
                <w:rFonts w:eastAsia="Times New Roman" w:cstheme="minorHAnsi"/>
                <w:b/>
                <w:bCs/>
                <w:color w:val="0D0D0D"/>
              </w:rPr>
            </w:pPr>
            <w:r w:rsidRPr="00B26E91">
              <w:rPr>
                <w:rFonts w:eastAsia="Times New Roman" w:cstheme="minorHAnsi"/>
                <w:b/>
                <w:bCs/>
                <w:color w:val="0D0D0D"/>
              </w:rPr>
              <w:t>2018</w:t>
            </w:r>
          </w:p>
        </w:tc>
        <w:tc>
          <w:tcPr>
            <w:tcW w:w="985" w:type="dxa"/>
            <w:tcBorders>
              <w:top w:val="nil"/>
              <w:left w:val="nil"/>
              <w:bottom w:val="single" w:sz="12" w:space="0" w:color="000000" w:themeColor="text1"/>
              <w:right w:val="nil"/>
            </w:tcBorders>
            <w:shd w:val="clear" w:color="auto" w:fill="F2F2F2" w:themeFill="background1" w:themeFillShade="F2"/>
            <w:noWrap/>
            <w:vAlign w:val="bottom"/>
            <w:hideMark/>
          </w:tcPr>
          <w:p w14:paraId="3333FF24" w14:textId="77777777" w:rsidR="001B6918" w:rsidRPr="00B26E91" w:rsidRDefault="001B6918" w:rsidP="00730ECF">
            <w:pPr>
              <w:jc w:val="center"/>
              <w:rPr>
                <w:rFonts w:eastAsia="Times New Roman" w:cstheme="minorHAnsi"/>
                <w:b/>
                <w:bCs/>
                <w:color w:val="0D0D0D"/>
              </w:rPr>
            </w:pPr>
            <w:r w:rsidRPr="00B26E91">
              <w:rPr>
                <w:rFonts w:eastAsia="Times New Roman" w:cstheme="minorHAnsi"/>
                <w:b/>
                <w:bCs/>
                <w:color w:val="0D0D0D"/>
              </w:rPr>
              <w:t>2017</w:t>
            </w:r>
          </w:p>
        </w:tc>
        <w:tc>
          <w:tcPr>
            <w:tcW w:w="985" w:type="dxa"/>
            <w:tcBorders>
              <w:top w:val="nil"/>
              <w:left w:val="nil"/>
              <w:bottom w:val="single" w:sz="12" w:space="0" w:color="000000" w:themeColor="text1"/>
              <w:right w:val="nil"/>
            </w:tcBorders>
            <w:shd w:val="clear" w:color="000000" w:fill="FFFFFF"/>
            <w:noWrap/>
            <w:vAlign w:val="bottom"/>
            <w:hideMark/>
          </w:tcPr>
          <w:p w14:paraId="6CCFD879" w14:textId="77777777" w:rsidR="001B6918" w:rsidRPr="00B26E91" w:rsidRDefault="001B6918" w:rsidP="00730ECF">
            <w:pPr>
              <w:jc w:val="center"/>
              <w:rPr>
                <w:rFonts w:eastAsia="Times New Roman" w:cstheme="minorHAnsi"/>
                <w:b/>
                <w:bCs/>
                <w:color w:val="0D0D0D"/>
              </w:rPr>
            </w:pPr>
            <w:r w:rsidRPr="00B26E91">
              <w:rPr>
                <w:rFonts w:eastAsia="Times New Roman" w:cstheme="minorHAnsi"/>
                <w:b/>
                <w:bCs/>
                <w:color w:val="0D0D0D"/>
              </w:rPr>
              <w:t>2016</w:t>
            </w:r>
          </w:p>
        </w:tc>
      </w:tr>
      <w:tr w:rsidR="001B6918" w:rsidRPr="004E6649" w14:paraId="52C3F905" w14:textId="77777777" w:rsidTr="00730ECF">
        <w:trPr>
          <w:trHeight w:val="311"/>
          <w:jc w:val="center"/>
        </w:trPr>
        <w:tc>
          <w:tcPr>
            <w:tcW w:w="3994" w:type="dxa"/>
            <w:tcBorders>
              <w:top w:val="single" w:sz="12" w:space="0" w:color="000000" w:themeColor="text1"/>
              <w:left w:val="nil"/>
              <w:bottom w:val="nil"/>
              <w:right w:val="nil"/>
            </w:tcBorders>
            <w:shd w:val="clear" w:color="000000" w:fill="FFFFFF"/>
            <w:vAlign w:val="center"/>
            <w:hideMark/>
          </w:tcPr>
          <w:p w14:paraId="1D844F2A" w14:textId="77777777" w:rsidR="001B6918" w:rsidRPr="00B26E91" w:rsidRDefault="001B6918" w:rsidP="00730ECF">
            <w:pPr>
              <w:rPr>
                <w:rFonts w:eastAsia="Times New Roman" w:cstheme="minorHAnsi"/>
                <w:color w:val="0D0D0D"/>
              </w:rPr>
            </w:pPr>
            <w:r w:rsidRPr="00B26E91">
              <w:rPr>
                <w:rFonts w:eastAsia="Times New Roman" w:cstheme="minorHAnsi"/>
                <w:color w:val="0D0D0D"/>
              </w:rPr>
              <w:t>Actuarially determined contribution</w:t>
            </w:r>
          </w:p>
        </w:tc>
        <w:tc>
          <w:tcPr>
            <w:tcW w:w="1111" w:type="dxa"/>
            <w:tcBorders>
              <w:top w:val="single" w:sz="12" w:space="0" w:color="000000" w:themeColor="text1"/>
              <w:left w:val="nil"/>
              <w:bottom w:val="nil"/>
              <w:right w:val="nil"/>
            </w:tcBorders>
            <w:shd w:val="clear" w:color="auto" w:fill="F2F2F2" w:themeFill="background1" w:themeFillShade="F2"/>
            <w:vAlign w:val="bottom"/>
          </w:tcPr>
          <w:p w14:paraId="77DDC3B7" w14:textId="77777777" w:rsidR="001B6918" w:rsidRPr="003E524C" w:rsidRDefault="001B6918" w:rsidP="00730ECF">
            <w:pPr>
              <w:jc w:val="right"/>
              <w:rPr>
                <w:rFonts w:eastAsia="Times New Roman" w:cstheme="minorHAnsi"/>
              </w:rPr>
            </w:pPr>
            <w:r w:rsidRPr="003E524C">
              <w:rPr>
                <w:rFonts w:eastAsia="Times New Roman" w:cstheme="minorHAnsi"/>
              </w:rPr>
              <w:t>$857</w:t>
            </w:r>
          </w:p>
        </w:tc>
        <w:tc>
          <w:tcPr>
            <w:tcW w:w="1111" w:type="dxa"/>
            <w:tcBorders>
              <w:top w:val="single" w:sz="12" w:space="0" w:color="000000" w:themeColor="text1"/>
              <w:left w:val="nil"/>
              <w:bottom w:val="nil"/>
              <w:right w:val="nil"/>
            </w:tcBorders>
            <w:vAlign w:val="bottom"/>
          </w:tcPr>
          <w:p w14:paraId="11AA2BEF" w14:textId="77777777" w:rsidR="001B6918" w:rsidRPr="00B26E91" w:rsidRDefault="001B6918" w:rsidP="00730ECF">
            <w:pPr>
              <w:jc w:val="right"/>
              <w:rPr>
                <w:rFonts w:eastAsia="Times New Roman" w:cstheme="minorHAnsi"/>
                <w:color w:val="0D0D0D"/>
              </w:rPr>
            </w:pPr>
            <w:r w:rsidRPr="00B26E91">
              <w:rPr>
                <w:rFonts w:eastAsia="Times New Roman" w:cstheme="minorHAnsi"/>
                <w:color w:val="0D0D0D"/>
              </w:rPr>
              <w:t>$880</w:t>
            </w:r>
          </w:p>
        </w:tc>
        <w:tc>
          <w:tcPr>
            <w:tcW w:w="1074" w:type="dxa"/>
            <w:tcBorders>
              <w:top w:val="single" w:sz="12" w:space="0" w:color="000000" w:themeColor="text1"/>
              <w:left w:val="nil"/>
              <w:bottom w:val="nil"/>
              <w:right w:val="nil"/>
            </w:tcBorders>
            <w:shd w:val="clear" w:color="auto" w:fill="F2F2F2" w:themeFill="background1" w:themeFillShade="F2"/>
            <w:vAlign w:val="bottom"/>
          </w:tcPr>
          <w:p w14:paraId="48642B64" w14:textId="77777777" w:rsidR="001B6918" w:rsidRPr="00B26E91" w:rsidRDefault="001B6918" w:rsidP="00730ECF">
            <w:pPr>
              <w:jc w:val="right"/>
              <w:rPr>
                <w:rFonts w:eastAsia="Times New Roman" w:cstheme="minorHAnsi"/>
              </w:rPr>
            </w:pPr>
            <w:r w:rsidRPr="00B26E91">
              <w:rPr>
                <w:rFonts w:eastAsia="Times New Roman" w:cstheme="minorHAnsi"/>
                <w:color w:val="0D0D0D"/>
              </w:rPr>
              <w:t>$948</w:t>
            </w:r>
          </w:p>
        </w:tc>
        <w:tc>
          <w:tcPr>
            <w:tcW w:w="1080" w:type="dxa"/>
            <w:tcBorders>
              <w:top w:val="single" w:sz="12" w:space="0" w:color="000000" w:themeColor="text1"/>
              <w:left w:val="nil"/>
              <w:bottom w:val="nil"/>
              <w:right w:val="nil"/>
            </w:tcBorders>
            <w:vAlign w:val="bottom"/>
          </w:tcPr>
          <w:p w14:paraId="45E184AD" w14:textId="77777777" w:rsidR="001B6918" w:rsidRPr="00B26E91" w:rsidRDefault="001B6918" w:rsidP="00730ECF">
            <w:pPr>
              <w:jc w:val="right"/>
              <w:rPr>
                <w:rFonts w:eastAsia="Times New Roman" w:cstheme="minorHAnsi"/>
              </w:rPr>
            </w:pPr>
            <w:r w:rsidRPr="00B26E91">
              <w:rPr>
                <w:rFonts w:eastAsia="Times New Roman" w:cstheme="minorHAnsi"/>
              </w:rPr>
              <w:t>$672</w:t>
            </w:r>
          </w:p>
        </w:tc>
        <w:tc>
          <w:tcPr>
            <w:tcW w:w="1080" w:type="dxa"/>
            <w:tcBorders>
              <w:top w:val="single" w:sz="12" w:space="0" w:color="000000" w:themeColor="text1"/>
              <w:left w:val="nil"/>
              <w:bottom w:val="nil"/>
              <w:right w:val="nil"/>
            </w:tcBorders>
            <w:shd w:val="clear" w:color="auto" w:fill="F2F2F2" w:themeFill="background1" w:themeFillShade="F2"/>
            <w:vAlign w:val="bottom"/>
          </w:tcPr>
          <w:p w14:paraId="77ABC985" w14:textId="77777777" w:rsidR="001B6918" w:rsidRPr="00B26E91" w:rsidRDefault="001B6918" w:rsidP="00730ECF">
            <w:pPr>
              <w:jc w:val="right"/>
              <w:rPr>
                <w:rFonts w:eastAsia="Times New Roman" w:cstheme="minorHAnsi"/>
                <w:color w:val="0D0D0D"/>
              </w:rPr>
            </w:pPr>
            <w:r w:rsidRPr="00B26E91">
              <w:rPr>
                <w:rFonts w:eastAsia="Times New Roman" w:cstheme="minorHAnsi"/>
                <w:color w:val="0D0D0D"/>
              </w:rPr>
              <w:t>$907</w:t>
            </w:r>
          </w:p>
        </w:tc>
        <w:tc>
          <w:tcPr>
            <w:tcW w:w="1074" w:type="dxa"/>
            <w:tcBorders>
              <w:top w:val="single" w:sz="12" w:space="0" w:color="000000" w:themeColor="text1"/>
              <w:left w:val="nil"/>
              <w:bottom w:val="nil"/>
              <w:right w:val="nil"/>
            </w:tcBorders>
            <w:shd w:val="clear" w:color="000000" w:fill="FFFFFF"/>
            <w:noWrap/>
            <w:vAlign w:val="bottom"/>
            <w:hideMark/>
          </w:tcPr>
          <w:p w14:paraId="145EEA01" w14:textId="77777777" w:rsidR="001B6918" w:rsidRPr="00B26E91" w:rsidRDefault="001B6918" w:rsidP="00730ECF">
            <w:pPr>
              <w:jc w:val="right"/>
              <w:rPr>
                <w:rFonts w:eastAsia="Times New Roman" w:cstheme="minorHAnsi"/>
                <w:color w:val="0D0D0D"/>
              </w:rPr>
            </w:pPr>
            <w:r w:rsidRPr="00B26E91">
              <w:rPr>
                <w:rFonts w:eastAsia="Times New Roman" w:cstheme="minorHAnsi"/>
                <w:color w:val="0D0D0D"/>
              </w:rPr>
              <w:t>$896</w:t>
            </w:r>
          </w:p>
        </w:tc>
        <w:tc>
          <w:tcPr>
            <w:tcW w:w="985" w:type="dxa"/>
            <w:tcBorders>
              <w:top w:val="single" w:sz="12" w:space="0" w:color="000000" w:themeColor="text1"/>
              <w:left w:val="nil"/>
              <w:bottom w:val="nil"/>
              <w:right w:val="nil"/>
            </w:tcBorders>
            <w:shd w:val="clear" w:color="auto" w:fill="F2F2F2" w:themeFill="background1" w:themeFillShade="F2"/>
            <w:noWrap/>
            <w:vAlign w:val="bottom"/>
            <w:hideMark/>
          </w:tcPr>
          <w:p w14:paraId="1843F76A" w14:textId="77777777" w:rsidR="001B6918" w:rsidRPr="00B26E91" w:rsidRDefault="001B6918" w:rsidP="00730ECF">
            <w:pPr>
              <w:jc w:val="right"/>
              <w:rPr>
                <w:rFonts w:eastAsia="Times New Roman" w:cstheme="minorHAnsi"/>
                <w:color w:val="0D0D0D"/>
              </w:rPr>
            </w:pPr>
            <w:r w:rsidRPr="00B26E91">
              <w:rPr>
                <w:rFonts w:eastAsia="Times New Roman" w:cstheme="minorHAnsi"/>
                <w:color w:val="0D0D0D"/>
              </w:rPr>
              <w:t>$714</w:t>
            </w:r>
          </w:p>
        </w:tc>
        <w:tc>
          <w:tcPr>
            <w:tcW w:w="985" w:type="dxa"/>
            <w:tcBorders>
              <w:top w:val="single" w:sz="12" w:space="0" w:color="000000" w:themeColor="text1"/>
              <w:left w:val="nil"/>
              <w:bottom w:val="nil"/>
              <w:right w:val="nil"/>
            </w:tcBorders>
            <w:shd w:val="clear" w:color="000000" w:fill="FFFFFF"/>
            <w:noWrap/>
            <w:vAlign w:val="bottom"/>
            <w:hideMark/>
          </w:tcPr>
          <w:p w14:paraId="02776931" w14:textId="77777777" w:rsidR="001B6918" w:rsidRPr="00B26E91" w:rsidRDefault="001B6918" w:rsidP="00730ECF">
            <w:pPr>
              <w:jc w:val="right"/>
              <w:rPr>
                <w:rFonts w:eastAsia="Times New Roman" w:cstheme="minorHAnsi"/>
                <w:color w:val="0D0D0D"/>
              </w:rPr>
            </w:pPr>
            <w:r w:rsidRPr="00B26E91">
              <w:rPr>
                <w:rFonts w:eastAsia="Times New Roman" w:cstheme="minorHAnsi"/>
                <w:color w:val="0D0D0D"/>
              </w:rPr>
              <w:t>$695</w:t>
            </w:r>
          </w:p>
        </w:tc>
        <w:tc>
          <w:tcPr>
            <w:tcW w:w="985" w:type="dxa"/>
            <w:tcBorders>
              <w:top w:val="single" w:sz="12" w:space="0" w:color="000000" w:themeColor="text1"/>
              <w:left w:val="nil"/>
              <w:bottom w:val="nil"/>
              <w:right w:val="nil"/>
            </w:tcBorders>
            <w:shd w:val="clear" w:color="auto" w:fill="F2F2F2" w:themeFill="background1" w:themeFillShade="F2"/>
            <w:noWrap/>
            <w:vAlign w:val="bottom"/>
            <w:hideMark/>
          </w:tcPr>
          <w:p w14:paraId="3A0B1B72" w14:textId="77777777" w:rsidR="001B6918" w:rsidRPr="00B26E91" w:rsidRDefault="001B6918" w:rsidP="00730ECF">
            <w:pPr>
              <w:jc w:val="right"/>
              <w:rPr>
                <w:rFonts w:eastAsia="Times New Roman" w:cstheme="minorHAnsi"/>
                <w:color w:val="0D0D0D"/>
              </w:rPr>
            </w:pPr>
            <w:r w:rsidRPr="00B26E91">
              <w:rPr>
                <w:rFonts w:eastAsia="Times New Roman" w:cstheme="minorHAnsi"/>
                <w:color w:val="0D0D0D"/>
              </w:rPr>
              <w:t>$735</w:t>
            </w:r>
          </w:p>
        </w:tc>
        <w:tc>
          <w:tcPr>
            <w:tcW w:w="985" w:type="dxa"/>
            <w:tcBorders>
              <w:top w:val="single" w:sz="12" w:space="0" w:color="000000" w:themeColor="text1"/>
              <w:left w:val="nil"/>
              <w:bottom w:val="nil"/>
              <w:right w:val="nil"/>
            </w:tcBorders>
            <w:shd w:val="clear" w:color="000000" w:fill="FFFFFF"/>
            <w:noWrap/>
            <w:vAlign w:val="bottom"/>
            <w:hideMark/>
          </w:tcPr>
          <w:p w14:paraId="5728C96B" w14:textId="77777777" w:rsidR="001B6918" w:rsidRPr="00B26E91" w:rsidRDefault="001B6918" w:rsidP="00730ECF">
            <w:pPr>
              <w:jc w:val="right"/>
              <w:rPr>
                <w:rFonts w:eastAsia="Times New Roman" w:cstheme="minorHAnsi"/>
                <w:color w:val="0D0D0D"/>
              </w:rPr>
            </w:pPr>
            <w:r w:rsidRPr="00B26E91">
              <w:rPr>
                <w:rFonts w:eastAsia="Times New Roman" w:cstheme="minorHAnsi"/>
                <w:color w:val="0D0D0D"/>
              </w:rPr>
              <w:t>$538</w:t>
            </w:r>
          </w:p>
        </w:tc>
      </w:tr>
      <w:tr w:rsidR="001B6918" w:rsidRPr="004E6649" w14:paraId="63BD783B" w14:textId="77777777" w:rsidTr="00730ECF">
        <w:trPr>
          <w:trHeight w:val="553"/>
          <w:jc w:val="center"/>
        </w:trPr>
        <w:tc>
          <w:tcPr>
            <w:tcW w:w="3994" w:type="dxa"/>
            <w:tcBorders>
              <w:top w:val="nil"/>
              <w:left w:val="nil"/>
              <w:bottom w:val="single" w:sz="4" w:space="0" w:color="000000" w:themeColor="text1"/>
              <w:right w:val="nil"/>
            </w:tcBorders>
            <w:shd w:val="clear" w:color="000000" w:fill="FFFFFF"/>
            <w:vAlign w:val="center"/>
            <w:hideMark/>
          </w:tcPr>
          <w:p w14:paraId="433504EA" w14:textId="77777777" w:rsidR="001B6918" w:rsidRPr="00B26E91" w:rsidRDefault="001B6918" w:rsidP="00730ECF">
            <w:pPr>
              <w:rPr>
                <w:rFonts w:eastAsia="Times New Roman" w:cstheme="minorHAnsi"/>
                <w:color w:val="0D0D0D"/>
              </w:rPr>
            </w:pPr>
            <w:r w:rsidRPr="00B26E91">
              <w:rPr>
                <w:rFonts w:eastAsia="Times New Roman" w:cstheme="minorHAnsi"/>
                <w:color w:val="0D0D0D"/>
              </w:rPr>
              <w:t>Contributions in relation to the actuarially determined contribution</w:t>
            </w:r>
          </w:p>
        </w:tc>
        <w:tc>
          <w:tcPr>
            <w:tcW w:w="1111" w:type="dxa"/>
            <w:tcBorders>
              <w:top w:val="nil"/>
              <w:left w:val="nil"/>
              <w:bottom w:val="single" w:sz="4" w:space="0" w:color="000000" w:themeColor="text1"/>
              <w:right w:val="nil"/>
            </w:tcBorders>
            <w:shd w:val="clear" w:color="auto" w:fill="F2F2F2" w:themeFill="background1" w:themeFillShade="F2"/>
            <w:vAlign w:val="bottom"/>
          </w:tcPr>
          <w:p w14:paraId="640A6583" w14:textId="77777777" w:rsidR="001B6918" w:rsidRPr="003E524C" w:rsidRDefault="001B6918" w:rsidP="00730ECF">
            <w:pPr>
              <w:jc w:val="right"/>
              <w:rPr>
                <w:rFonts w:eastAsia="Times New Roman" w:cstheme="minorHAnsi"/>
              </w:rPr>
            </w:pPr>
            <w:r w:rsidRPr="003E524C">
              <w:rPr>
                <w:rFonts w:eastAsia="Times New Roman" w:cstheme="minorHAnsi"/>
              </w:rPr>
              <w:t>857</w:t>
            </w:r>
          </w:p>
        </w:tc>
        <w:tc>
          <w:tcPr>
            <w:tcW w:w="1111" w:type="dxa"/>
            <w:tcBorders>
              <w:top w:val="nil"/>
              <w:left w:val="nil"/>
              <w:bottom w:val="single" w:sz="4" w:space="0" w:color="000000" w:themeColor="text1"/>
              <w:right w:val="nil"/>
            </w:tcBorders>
            <w:vAlign w:val="bottom"/>
          </w:tcPr>
          <w:p w14:paraId="7DE550FE" w14:textId="77777777" w:rsidR="001B6918" w:rsidRPr="00B26E91" w:rsidRDefault="001B6918" w:rsidP="00730ECF">
            <w:pPr>
              <w:jc w:val="right"/>
              <w:rPr>
                <w:rFonts w:eastAsia="Times New Roman" w:cstheme="minorHAnsi"/>
                <w:color w:val="0D0D0D"/>
              </w:rPr>
            </w:pPr>
            <w:r w:rsidRPr="00B26E91">
              <w:rPr>
                <w:rFonts w:eastAsia="Times New Roman" w:cstheme="minorHAnsi"/>
                <w:color w:val="0D0D0D"/>
              </w:rPr>
              <w:t>880</w:t>
            </w:r>
          </w:p>
        </w:tc>
        <w:tc>
          <w:tcPr>
            <w:tcW w:w="1074" w:type="dxa"/>
            <w:tcBorders>
              <w:top w:val="nil"/>
              <w:left w:val="nil"/>
              <w:bottom w:val="single" w:sz="4" w:space="0" w:color="000000" w:themeColor="text1"/>
              <w:right w:val="nil"/>
            </w:tcBorders>
            <w:shd w:val="clear" w:color="auto" w:fill="F2F2F2" w:themeFill="background1" w:themeFillShade="F2"/>
            <w:vAlign w:val="bottom"/>
          </w:tcPr>
          <w:p w14:paraId="61610A85" w14:textId="77777777" w:rsidR="001B6918" w:rsidRPr="00B26E91" w:rsidRDefault="001B6918" w:rsidP="00730ECF">
            <w:pPr>
              <w:jc w:val="right"/>
              <w:rPr>
                <w:rFonts w:eastAsia="Times New Roman" w:cstheme="minorHAnsi"/>
              </w:rPr>
            </w:pPr>
            <w:r w:rsidRPr="00B26E91">
              <w:rPr>
                <w:rFonts w:eastAsia="Times New Roman" w:cstheme="minorHAnsi"/>
                <w:color w:val="0D0D0D"/>
              </w:rPr>
              <w:t>948</w:t>
            </w:r>
          </w:p>
        </w:tc>
        <w:tc>
          <w:tcPr>
            <w:tcW w:w="1080" w:type="dxa"/>
            <w:tcBorders>
              <w:top w:val="nil"/>
              <w:left w:val="nil"/>
              <w:bottom w:val="single" w:sz="4" w:space="0" w:color="000000" w:themeColor="text1"/>
              <w:right w:val="nil"/>
            </w:tcBorders>
            <w:vAlign w:val="bottom"/>
          </w:tcPr>
          <w:p w14:paraId="62DD8008" w14:textId="77777777" w:rsidR="001B6918" w:rsidRPr="00B26E91" w:rsidRDefault="001B6918" w:rsidP="00730ECF">
            <w:pPr>
              <w:jc w:val="right"/>
              <w:rPr>
                <w:rFonts w:eastAsia="Times New Roman" w:cstheme="minorHAnsi"/>
              </w:rPr>
            </w:pPr>
            <w:r w:rsidRPr="00B26E91">
              <w:rPr>
                <w:rFonts w:eastAsia="Times New Roman" w:cstheme="minorHAnsi"/>
              </w:rPr>
              <w:t>672</w:t>
            </w:r>
          </w:p>
        </w:tc>
        <w:tc>
          <w:tcPr>
            <w:tcW w:w="1080" w:type="dxa"/>
            <w:tcBorders>
              <w:top w:val="nil"/>
              <w:left w:val="nil"/>
              <w:bottom w:val="single" w:sz="4" w:space="0" w:color="000000" w:themeColor="text1"/>
              <w:right w:val="nil"/>
            </w:tcBorders>
            <w:shd w:val="clear" w:color="auto" w:fill="F2F2F2" w:themeFill="background1" w:themeFillShade="F2"/>
            <w:vAlign w:val="bottom"/>
          </w:tcPr>
          <w:p w14:paraId="6685AC70" w14:textId="77777777" w:rsidR="001B6918" w:rsidRPr="00B26E91" w:rsidRDefault="001B6918" w:rsidP="00730ECF">
            <w:pPr>
              <w:jc w:val="right"/>
              <w:rPr>
                <w:rFonts w:eastAsia="Times New Roman" w:cstheme="minorHAnsi"/>
                <w:color w:val="0D0D0D"/>
              </w:rPr>
            </w:pPr>
            <w:r w:rsidRPr="00B26E91">
              <w:rPr>
                <w:rFonts w:eastAsia="Times New Roman" w:cstheme="minorHAnsi"/>
                <w:color w:val="0D0D0D"/>
              </w:rPr>
              <w:t>907</w:t>
            </w:r>
          </w:p>
        </w:tc>
        <w:tc>
          <w:tcPr>
            <w:tcW w:w="1074" w:type="dxa"/>
            <w:tcBorders>
              <w:top w:val="nil"/>
              <w:left w:val="nil"/>
              <w:bottom w:val="single" w:sz="4" w:space="0" w:color="000000" w:themeColor="text1"/>
              <w:right w:val="nil"/>
            </w:tcBorders>
            <w:shd w:val="clear" w:color="000000" w:fill="FFFFFF"/>
            <w:noWrap/>
            <w:vAlign w:val="bottom"/>
            <w:hideMark/>
          </w:tcPr>
          <w:p w14:paraId="3135365B" w14:textId="77777777" w:rsidR="001B6918" w:rsidRPr="00B26E91" w:rsidRDefault="001B6918" w:rsidP="00730ECF">
            <w:pPr>
              <w:jc w:val="right"/>
              <w:rPr>
                <w:rFonts w:eastAsia="Times New Roman" w:cstheme="minorHAnsi"/>
                <w:color w:val="0D0D0D"/>
              </w:rPr>
            </w:pPr>
            <w:r w:rsidRPr="00B26E91">
              <w:rPr>
                <w:rFonts w:eastAsia="Times New Roman" w:cstheme="minorHAnsi"/>
                <w:color w:val="0D0D0D"/>
              </w:rPr>
              <w:t>896</w:t>
            </w:r>
          </w:p>
        </w:tc>
        <w:tc>
          <w:tcPr>
            <w:tcW w:w="985" w:type="dxa"/>
            <w:tcBorders>
              <w:top w:val="nil"/>
              <w:left w:val="nil"/>
              <w:bottom w:val="single" w:sz="4" w:space="0" w:color="000000" w:themeColor="text1"/>
              <w:right w:val="nil"/>
            </w:tcBorders>
            <w:shd w:val="clear" w:color="auto" w:fill="F2F2F2" w:themeFill="background1" w:themeFillShade="F2"/>
            <w:noWrap/>
            <w:vAlign w:val="bottom"/>
            <w:hideMark/>
          </w:tcPr>
          <w:p w14:paraId="61730996" w14:textId="77777777" w:rsidR="001B6918" w:rsidRPr="00B26E91" w:rsidRDefault="001B6918" w:rsidP="00730ECF">
            <w:pPr>
              <w:jc w:val="right"/>
              <w:rPr>
                <w:rFonts w:eastAsia="Times New Roman" w:cstheme="minorHAnsi"/>
                <w:color w:val="0D0D0D"/>
              </w:rPr>
            </w:pPr>
            <w:r w:rsidRPr="00B26E91">
              <w:rPr>
                <w:rFonts w:eastAsia="Times New Roman" w:cstheme="minorHAnsi"/>
                <w:color w:val="0D0D0D"/>
              </w:rPr>
              <w:t>714</w:t>
            </w:r>
          </w:p>
        </w:tc>
        <w:tc>
          <w:tcPr>
            <w:tcW w:w="985" w:type="dxa"/>
            <w:tcBorders>
              <w:top w:val="nil"/>
              <w:left w:val="nil"/>
              <w:bottom w:val="single" w:sz="4" w:space="0" w:color="000000" w:themeColor="text1"/>
              <w:right w:val="nil"/>
            </w:tcBorders>
            <w:shd w:val="clear" w:color="000000" w:fill="FFFFFF"/>
            <w:noWrap/>
            <w:vAlign w:val="bottom"/>
            <w:hideMark/>
          </w:tcPr>
          <w:p w14:paraId="1543B91B" w14:textId="77777777" w:rsidR="001B6918" w:rsidRPr="00B26E91" w:rsidRDefault="001B6918" w:rsidP="00730ECF">
            <w:pPr>
              <w:jc w:val="right"/>
              <w:rPr>
                <w:rFonts w:eastAsia="Times New Roman" w:cstheme="minorHAnsi"/>
                <w:color w:val="0D0D0D"/>
              </w:rPr>
            </w:pPr>
            <w:r w:rsidRPr="00B26E91">
              <w:rPr>
                <w:rFonts w:eastAsia="Times New Roman" w:cstheme="minorHAnsi"/>
                <w:color w:val="0D0D0D"/>
              </w:rPr>
              <w:t>695</w:t>
            </w:r>
          </w:p>
        </w:tc>
        <w:tc>
          <w:tcPr>
            <w:tcW w:w="985" w:type="dxa"/>
            <w:tcBorders>
              <w:top w:val="nil"/>
              <w:left w:val="nil"/>
              <w:bottom w:val="single" w:sz="4" w:space="0" w:color="000000" w:themeColor="text1"/>
              <w:right w:val="nil"/>
            </w:tcBorders>
            <w:shd w:val="clear" w:color="auto" w:fill="F2F2F2" w:themeFill="background1" w:themeFillShade="F2"/>
            <w:noWrap/>
            <w:vAlign w:val="bottom"/>
            <w:hideMark/>
          </w:tcPr>
          <w:p w14:paraId="6220ECB7" w14:textId="77777777" w:rsidR="001B6918" w:rsidRPr="00B26E91" w:rsidRDefault="001B6918" w:rsidP="00730ECF">
            <w:pPr>
              <w:jc w:val="right"/>
              <w:rPr>
                <w:rFonts w:eastAsia="Times New Roman" w:cstheme="minorHAnsi"/>
                <w:color w:val="0D0D0D"/>
              </w:rPr>
            </w:pPr>
            <w:r w:rsidRPr="00B26E91">
              <w:rPr>
                <w:rFonts w:eastAsia="Times New Roman" w:cstheme="minorHAnsi"/>
                <w:color w:val="0D0D0D"/>
              </w:rPr>
              <w:t>735</w:t>
            </w:r>
          </w:p>
        </w:tc>
        <w:tc>
          <w:tcPr>
            <w:tcW w:w="985" w:type="dxa"/>
            <w:tcBorders>
              <w:top w:val="nil"/>
              <w:left w:val="nil"/>
              <w:bottom w:val="single" w:sz="4" w:space="0" w:color="000000" w:themeColor="text1"/>
              <w:right w:val="nil"/>
            </w:tcBorders>
            <w:shd w:val="clear" w:color="000000" w:fill="FFFFFF"/>
            <w:noWrap/>
            <w:vAlign w:val="bottom"/>
            <w:hideMark/>
          </w:tcPr>
          <w:p w14:paraId="24261341" w14:textId="77777777" w:rsidR="001B6918" w:rsidRPr="00B26E91" w:rsidRDefault="001B6918" w:rsidP="00730ECF">
            <w:pPr>
              <w:jc w:val="right"/>
              <w:rPr>
                <w:rFonts w:eastAsia="Times New Roman" w:cstheme="minorHAnsi"/>
                <w:color w:val="0D0D0D"/>
              </w:rPr>
            </w:pPr>
            <w:r w:rsidRPr="00B26E91">
              <w:rPr>
                <w:rFonts w:eastAsia="Times New Roman" w:cstheme="minorHAnsi"/>
                <w:color w:val="0D0D0D"/>
              </w:rPr>
              <w:t>538</w:t>
            </w:r>
          </w:p>
        </w:tc>
      </w:tr>
      <w:tr w:rsidR="001B6918" w:rsidRPr="004E6649" w14:paraId="16D0CEC1" w14:textId="77777777" w:rsidTr="00730ECF">
        <w:trPr>
          <w:trHeight w:val="311"/>
          <w:jc w:val="center"/>
        </w:trPr>
        <w:tc>
          <w:tcPr>
            <w:tcW w:w="3994" w:type="dxa"/>
            <w:tcBorders>
              <w:top w:val="single" w:sz="4" w:space="0" w:color="000000" w:themeColor="text1"/>
              <w:left w:val="nil"/>
              <w:bottom w:val="double" w:sz="4" w:space="0" w:color="000000" w:themeColor="text1"/>
              <w:right w:val="nil"/>
            </w:tcBorders>
            <w:shd w:val="clear" w:color="000000" w:fill="FFFFFF"/>
            <w:vAlign w:val="bottom"/>
            <w:hideMark/>
          </w:tcPr>
          <w:p w14:paraId="76BA648B" w14:textId="77777777" w:rsidR="001B6918" w:rsidRPr="00B26E91" w:rsidRDefault="001B6918" w:rsidP="00730ECF">
            <w:pPr>
              <w:rPr>
                <w:rFonts w:eastAsia="Times New Roman" w:cstheme="minorHAnsi"/>
                <w:color w:val="0D0D0D"/>
              </w:rPr>
            </w:pPr>
            <w:r w:rsidRPr="00B26E91">
              <w:rPr>
                <w:rFonts w:eastAsia="Times New Roman" w:cstheme="minorHAnsi"/>
                <w:color w:val="0D0D0D"/>
              </w:rPr>
              <w:t>Contribution deficiency (excess)</w:t>
            </w:r>
          </w:p>
        </w:tc>
        <w:tc>
          <w:tcPr>
            <w:tcW w:w="1111" w:type="dxa"/>
            <w:tcBorders>
              <w:top w:val="single" w:sz="4" w:space="0" w:color="000000" w:themeColor="text1"/>
              <w:left w:val="nil"/>
              <w:bottom w:val="double" w:sz="4" w:space="0" w:color="000000" w:themeColor="text1"/>
              <w:right w:val="nil"/>
            </w:tcBorders>
            <w:shd w:val="clear" w:color="auto" w:fill="F2F2F2" w:themeFill="background1" w:themeFillShade="F2"/>
            <w:vAlign w:val="bottom"/>
          </w:tcPr>
          <w:p w14:paraId="67B02506" w14:textId="77777777" w:rsidR="001B6918" w:rsidRPr="003E524C" w:rsidRDefault="001B6918" w:rsidP="00730ECF">
            <w:pPr>
              <w:jc w:val="right"/>
              <w:rPr>
                <w:rFonts w:eastAsia="Times New Roman" w:cstheme="minorHAnsi"/>
              </w:rPr>
            </w:pPr>
            <w:r w:rsidRPr="003E524C">
              <w:rPr>
                <w:rFonts w:eastAsia="Times New Roman" w:cstheme="minorHAnsi"/>
              </w:rPr>
              <w:t>$      -</w:t>
            </w:r>
          </w:p>
        </w:tc>
        <w:tc>
          <w:tcPr>
            <w:tcW w:w="1111" w:type="dxa"/>
            <w:tcBorders>
              <w:top w:val="single" w:sz="4" w:space="0" w:color="000000" w:themeColor="text1"/>
              <w:left w:val="nil"/>
              <w:bottom w:val="double" w:sz="4" w:space="0" w:color="000000" w:themeColor="text1"/>
              <w:right w:val="nil"/>
            </w:tcBorders>
            <w:vAlign w:val="bottom"/>
          </w:tcPr>
          <w:p w14:paraId="6B89532F" w14:textId="77777777" w:rsidR="001B6918" w:rsidRPr="00B26E91" w:rsidRDefault="001B6918" w:rsidP="00730ECF">
            <w:pPr>
              <w:jc w:val="right"/>
              <w:rPr>
                <w:rFonts w:eastAsia="Times New Roman" w:cstheme="minorHAnsi"/>
                <w:color w:val="0D0D0D"/>
              </w:rPr>
            </w:pPr>
            <w:r w:rsidRPr="00B26E91">
              <w:rPr>
                <w:rFonts w:eastAsia="Times New Roman" w:cstheme="minorHAnsi"/>
              </w:rPr>
              <w:t>$     -</w:t>
            </w:r>
          </w:p>
        </w:tc>
        <w:tc>
          <w:tcPr>
            <w:tcW w:w="1074" w:type="dxa"/>
            <w:tcBorders>
              <w:top w:val="single" w:sz="4" w:space="0" w:color="000000" w:themeColor="text1"/>
              <w:left w:val="nil"/>
              <w:bottom w:val="double" w:sz="4" w:space="0" w:color="000000" w:themeColor="text1"/>
              <w:right w:val="nil"/>
            </w:tcBorders>
            <w:shd w:val="clear" w:color="auto" w:fill="F2F2F2" w:themeFill="background1" w:themeFillShade="F2"/>
            <w:vAlign w:val="bottom"/>
          </w:tcPr>
          <w:p w14:paraId="0E492385" w14:textId="77777777" w:rsidR="001B6918" w:rsidRPr="00B26E91" w:rsidRDefault="001B6918" w:rsidP="00730ECF">
            <w:pPr>
              <w:jc w:val="right"/>
              <w:rPr>
                <w:rFonts w:eastAsia="Times New Roman" w:cstheme="minorHAnsi"/>
              </w:rPr>
            </w:pPr>
            <w:r w:rsidRPr="00B26E91">
              <w:rPr>
                <w:rFonts w:eastAsia="Times New Roman" w:cstheme="minorHAnsi"/>
                <w:color w:val="0D0D0D"/>
              </w:rPr>
              <w:t>$      -</w:t>
            </w:r>
          </w:p>
        </w:tc>
        <w:tc>
          <w:tcPr>
            <w:tcW w:w="1080" w:type="dxa"/>
            <w:tcBorders>
              <w:top w:val="single" w:sz="4" w:space="0" w:color="000000" w:themeColor="text1"/>
              <w:left w:val="nil"/>
              <w:bottom w:val="double" w:sz="4" w:space="0" w:color="000000" w:themeColor="text1"/>
              <w:right w:val="nil"/>
            </w:tcBorders>
            <w:vAlign w:val="bottom"/>
          </w:tcPr>
          <w:p w14:paraId="26E45918" w14:textId="77777777" w:rsidR="001B6918" w:rsidRPr="00B26E91" w:rsidRDefault="001B6918" w:rsidP="00730ECF">
            <w:pPr>
              <w:jc w:val="right"/>
              <w:rPr>
                <w:rFonts w:eastAsia="Times New Roman" w:cstheme="minorHAnsi"/>
              </w:rPr>
            </w:pPr>
            <w:r w:rsidRPr="00B26E91">
              <w:rPr>
                <w:rFonts w:eastAsia="Times New Roman" w:cstheme="minorHAnsi"/>
              </w:rPr>
              <w:t>$     -</w:t>
            </w:r>
          </w:p>
        </w:tc>
        <w:tc>
          <w:tcPr>
            <w:tcW w:w="1080" w:type="dxa"/>
            <w:tcBorders>
              <w:top w:val="single" w:sz="4" w:space="0" w:color="000000" w:themeColor="text1"/>
              <w:left w:val="nil"/>
              <w:bottom w:val="double" w:sz="4" w:space="0" w:color="000000" w:themeColor="text1"/>
              <w:right w:val="nil"/>
            </w:tcBorders>
            <w:shd w:val="clear" w:color="auto" w:fill="F2F2F2" w:themeFill="background1" w:themeFillShade="F2"/>
            <w:vAlign w:val="bottom"/>
          </w:tcPr>
          <w:p w14:paraId="213AB4E7" w14:textId="77777777" w:rsidR="001B6918" w:rsidRPr="00B26E91" w:rsidRDefault="001B6918" w:rsidP="00730ECF">
            <w:pPr>
              <w:jc w:val="right"/>
              <w:rPr>
                <w:rFonts w:eastAsia="Times New Roman" w:cstheme="minorHAnsi"/>
                <w:color w:val="0D0D0D"/>
              </w:rPr>
            </w:pPr>
            <w:r w:rsidRPr="00B26E91">
              <w:rPr>
                <w:rFonts w:eastAsia="Times New Roman" w:cstheme="minorHAnsi"/>
                <w:color w:val="0D0D0D"/>
              </w:rPr>
              <w:t>$     -</w:t>
            </w:r>
          </w:p>
        </w:tc>
        <w:tc>
          <w:tcPr>
            <w:tcW w:w="1074" w:type="dxa"/>
            <w:tcBorders>
              <w:top w:val="single" w:sz="4" w:space="0" w:color="000000" w:themeColor="text1"/>
              <w:left w:val="nil"/>
              <w:bottom w:val="double" w:sz="4" w:space="0" w:color="000000" w:themeColor="text1"/>
              <w:right w:val="nil"/>
            </w:tcBorders>
            <w:shd w:val="clear" w:color="000000" w:fill="FFFFFF"/>
            <w:noWrap/>
            <w:vAlign w:val="bottom"/>
            <w:hideMark/>
          </w:tcPr>
          <w:p w14:paraId="643ACAD2" w14:textId="77777777" w:rsidR="001B6918" w:rsidRPr="00B26E91" w:rsidRDefault="001B6918" w:rsidP="00730ECF">
            <w:pPr>
              <w:jc w:val="right"/>
              <w:rPr>
                <w:rFonts w:eastAsia="Times New Roman" w:cstheme="minorHAnsi"/>
                <w:color w:val="0D0D0D"/>
              </w:rPr>
            </w:pPr>
            <w:r w:rsidRPr="00B26E91">
              <w:rPr>
                <w:rFonts w:eastAsia="Times New Roman" w:cstheme="minorHAnsi"/>
                <w:color w:val="0D0D0D"/>
              </w:rPr>
              <w:t>$     -</w:t>
            </w:r>
          </w:p>
        </w:tc>
        <w:tc>
          <w:tcPr>
            <w:tcW w:w="985" w:type="dxa"/>
            <w:tcBorders>
              <w:top w:val="single" w:sz="4" w:space="0" w:color="000000" w:themeColor="text1"/>
              <w:left w:val="nil"/>
              <w:bottom w:val="double" w:sz="4" w:space="0" w:color="000000" w:themeColor="text1"/>
              <w:right w:val="nil"/>
            </w:tcBorders>
            <w:shd w:val="clear" w:color="auto" w:fill="F2F2F2" w:themeFill="background1" w:themeFillShade="F2"/>
            <w:noWrap/>
            <w:vAlign w:val="bottom"/>
            <w:hideMark/>
          </w:tcPr>
          <w:p w14:paraId="3E83D060" w14:textId="77777777" w:rsidR="001B6918" w:rsidRPr="00B26E91" w:rsidRDefault="001B6918" w:rsidP="00730ECF">
            <w:pPr>
              <w:jc w:val="right"/>
              <w:rPr>
                <w:rFonts w:eastAsia="Times New Roman" w:cstheme="minorHAnsi"/>
                <w:color w:val="0D0D0D"/>
              </w:rPr>
            </w:pPr>
            <w:r w:rsidRPr="00B26E91">
              <w:rPr>
                <w:rFonts w:eastAsia="Times New Roman" w:cstheme="minorHAnsi"/>
                <w:color w:val="0D0D0D"/>
              </w:rPr>
              <w:t>$     -</w:t>
            </w:r>
          </w:p>
        </w:tc>
        <w:tc>
          <w:tcPr>
            <w:tcW w:w="985" w:type="dxa"/>
            <w:tcBorders>
              <w:top w:val="single" w:sz="4" w:space="0" w:color="000000" w:themeColor="text1"/>
              <w:left w:val="nil"/>
              <w:bottom w:val="double" w:sz="4" w:space="0" w:color="000000" w:themeColor="text1"/>
              <w:right w:val="nil"/>
            </w:tcBorders>
            <w:shd w:val="clear" w:color="000000" w:fill="FFFFFF"/>
            <w:noWrap/>
            <w:vAlign w:val="bottom"/>
            <w:hideMark/>
          </w:tcPr>
          <w:p w14:paraId="61DDD6E7" w14:textId="77777777" w:rsidR="001B6918" w:rsidRPr="00B26E91" w:rsidRDefault="001B6918" w:rsidP="00730ECF">
            <w:pPr>
              <w:jc w:val="right"/>
              <w:rPr>
                <w:rFonts w:eastAsia="Times New Roman" w:cstheme="minorHAnsi"/>
                <w:color w:val="0D0D0D"/>
              </w:rPr>
            </w:pPr>
            <w:r w:rsidRPr="00B26E91">
              <w:rPr>
                <w:rFonts w:eastAsia="Times New Roman" w:cstheme="minorHAnsi"/>
                <w:color w:val="0D0D0D"/>
              </w:rPr>
              <w:t>$     -</w:t>
            </w:r>
          </w:p>
        </w:tc>
        <w:tc>
          <w:tcPr>
            <w:tcW w:w="985" w:type="dxa"/>
            <w:tcBorders>
              <w:top w:val="single" w:sz="4" w:space="0" w:color="000000" w:themeColor="text1"/>
              <w:left w:val="nil"/>
              <w:bottom w:val="double" w:sz="4" w:space="0" w:color="000000" w:themeColor="text1"/>
              <w:right w:val="nil"/>
            </w:tcBorders>
            <w:shd w:val="clear" w:color="auto" w:fill="F2F2F2" w:themeFill="background1" w:themeFillShade="F2"/>
            <w:noWrap/>
            <w:vAlign w:val="bottom"/>
            <w:hideMark/>
          </w:tcPr>
          <w:p w14:paraId="168A4891" w14:textId="77777777" w:rsidR="001B6918" w:rsidRPr="00B26E91" w:rsidRDefault="001B6918" w:rsidP="00730ECF">
            <w:pPr>
              <w:jc w:val="right"/>
              <w:rPr>
                <w:rFonts w:eastAsia="Times New Roman" w:cstheme="minorHAnsi"/>
                <w:color w:val="0D0D0D"/>
              </w:rPr>
            </w:pPr>
            <w:r w:rsidRPr="00B26E91">
              <w:rPr>
                <w:rFonts w:eastAsia="Times New Roman" w:cstheme="minorHAnsi"/>
                <w:color w:val="0D0D0D"/>
              </w:rPr>
              <w:t>$     -</w:t>
            </w:r>
          </w:p>
        </w:tc>
        <w:tc>
          <w:tcPr>
            <w:tcW w:w="985" w:type="dxa"/>
            <w:tcBorders>
              <w:top w:val="single" w:sz="4" w:space="0" w:color="000000" w:themeColor="text1"/>
              <w:left w:val="nil"/>
              <w:bottom w:val="double" w:sz="4" w:space="0" w:color="000000" w:themeColor="text1"/>
              <w:right w:val="nil"/>
            </w:tcBorders>
            <w:shd w:val="clear" w:color="000000" w:fill="FFFFFF"/>
            <w:noWrap/>
            <w:vAlign w:val="bottom"/>
            <w:hideMark/>
          </w:tcPr>
          <w:p w14:paraId="520EA4B0" w14:textId="77777777" w:rsidR="001B6918" w:rsidRPr="00B26E91" w:rsidRDefault="001B6918" w:rsidP="00730ECF">
            <w:pPr>
              <w:jc w:val="right"/>
              <w:rPr>
                <w:rFonts w:eastAsia="Times New Roman" w:cstheme="minorHAnsi"/>
                <w:color w:val="0D0D0D"/>
              </w:rPr>
            </w:pPr>
            <w:r w:rsidRPr="00B26E91">
              <w:rPr>
                <w:rFonts w:eastAsia="Times New Roman" w:cstheme="minorHAnsi"/>
                <w:color w:val="0D0D0D"/>
              </w:rPr>
              <w:t>$     -</w:t>
            </w:r>
          </w:p>
        </w:tc>
      </w:tr>
      <w:tr w:rsidR="001B6918" w:rsidRPr="004E6649" w14:paraId="5EE91080" w14:textId="77777777" w:rsidTr="00730ECF">
        <w:trPr>
          <w:trHeight w:val="311"/>
          <w:jc w:val="center"/>
        </w:trPr>
        <w:tc>
          <w:tcPr>
            <w:tcW w:w="3994" w:type="dxa"/>
            <w:tcBorders>
              <w:top w:val="double" w:sz="4" w:space="0" w:color="000000" w:themeColor="text1"/>
              <w:left w:val="nil"/>
              <w:right w:val="nil"/>
            </w:tcBorders>
            <w:shd w:val="clear" w:color="000000" w:fill="FFFFFF"/>
            <w:noWrap/>
            <w:vAlign w:val="bottom"/>
            <w:hideMark/>
          </w:tcPr>
          <w:p w14:paraId="63987B48" w14:textId="77777777" w:rsidR="001B6918" w:rsidRPr="00B26E91" w:rsidRDefault="001B6918" w:rsidP="00730ECF">
            <w:pPr>
              <w:rPr>
                <w:rFonts w:eastAsia="Times New Roman" w:cstheme="minorHAnsi"/>
                <w:color w:val="0D0D0D"/>
              </w:rPr>
            </w:pPr>
            <w:r w:rsidRPr="00B26E91">
              <w:rPr>
                <w:rFonts w:eastAsia="Times New Roman" w:cstheme="minorHAnsi"/>
                <w:color w:val="0D0D0D"/>
              </w:rPr>
              <w:t>Covered payroll</w:t>
            </w:r>
          </w:p>
        </w:tc>
        <w:tc>
          <w:tcPr>
            <w:tcW w:w="1111" w:type="dxa"/>
            <w:tcBorders>
              <w:top w:val="double" w:sz="4" w:space="0" w:color="000000" w:themeColor="text1"/>
              <w:left w:val="nil"/>
              <w:right w:val="nil"/>
            </w:tcBorders>
            <w:shd w:val="clear" w:color="auto" w:fill="F2F2F2" w:themeFill="background1" w:themeFillShade="F2"/>
            <w:vAlign w:val="bottom"/>
          </w:tcPr>
          <w:p w14:paraId="6BBE69B2" w14:textId="77777777" w:rsidR="001B6918" w:rsidRPr="003E524C" w:rsidRDefault="001B6918" w:rsidP="00730ECF">
            <w:pPr>
              <w:jc w:val="right"/>
              <w:rPr>
                <w:rFonts w:eastAsia="Times New Roman" w:cstheme="minorHAnsi"/>
              </w:rPr>
            </w:pPr>
            <w:r w:rsidRPr="003E524C">
              <w:rPr>
                <w:rFonts w:eastAsia="Times New Roman" w:cstheme="minorHAnsi"/>
              </w:rPr>
              <w:t>$      -</w:t>
            </w:r>
          </w:p>
        </w:tc>
        <w:tc>
          <w:tcPr>
            <w:tcW w:w="1111" w:type="dxa"/>
            <w:tcBorders>
              <w:top w:val="double" w:sz="4" w:space="0" w:color="000000" w:themeColor="text1"/>
              <w:left w:val="nil"/>
              <w:right w:val="nil"/>
            </w:tcBorders>
            <w:vAlign w:val="bottom"/>
          </w:tcPr>
          <w:p w14:paraId="02E9CB20" w14:textId="77777777" w:rsidR="001B6918" w:rsidRPr="00B26E91" w:rsidRDefault="001B6918" w:rsidP="00730ECF">
            <w:pPr>
              <w:jc w:val="right"/>
              <w:rPr>
                <w:rFonts w:eastAsia="Times New Roman" w:cstheme="minorHAnsi"/>
                <w:color w:val="0D0D0D"/>
              </w:rPr>
            </w:pPr>
            <w:r w:rsidRPr="00B26E91">
              <w:rPr>
                <w:rFonts w:eastAsia="Times New Roman" w:cstheme="minorHAnsi"/>
                <w:color w:val="0D0D0D"/>
              </w:rPr>
              <w:t>$  52</w:t>
            </w:r>
          </w:p>
        </w:tc>
        <w:tc>
          <w:tcPr>
            <w:tcW w:w="1074" w:type="dxa"/>
            <w:tcBorders>
              <w:top w:val="double" w:sz="4" w:space="0" w:color="000000" w:themeColor="text1"/>
              <w:left w:val="nil"/>
              <w:right w:val="nil"/>
            </w:tcBorders>
            <w:shd w:val="clear" w:color="auto" w:fill="F2F2F2" w:themeFill="background1" w:themeFillShade="F2"/>
            <w:vAlign w:val="bottom"/>
          </w:tcPr>
          <w:p w14:paraId="5E224F08" w14:textId="77777777" w:rsidR="001B6918" w:rsidRPr="00B26E91" w:rsidRDefault="001B6918" w:rsidP="00730ECF">
            <w:pPr>
              <w:jc w:val="right"/>
              <w:rPr>
                <w:rFonts w:eastAsia="Times New Roman" w:cstheme="minorHAnsi"/>
              </w:rPr>
            </w:pPr>
            <w:r w:rsidRPr="00B26E91">
              <w:rPr>
                <w:rFonts w:eastAsia="Times New Roman" w:cstheme="minorHAnsi"/>
                <w:color w:val="0D0D0D"/>
              </w:rPr>
              <w:t>$   59</w:t>
            </w:r>
          </w:p>
        </w:tc>
        <w:tc>
          <w:tcPr>
            <w:tcW w:w="1080" w:type="dxa"/>
            <w:tcBorders>
              <w:top w:val="double" w:sz="4" w:space="0" w:color="000000" w:themeColor="text1"/>
              <w:left w:val="nil"/>
              <w:right w:val="nil"/>
            </w:tcBorders>
            <w:vAlign w:val="bottom"/>
          </w:tcPr>
          <w:p w14:paraId="653EDFE4" w14:textId="77777777" w:rsidR="001B6918" w:rsidRPr="00B26E91" w:rsidRDefault="001B6918" w:rsidP="00730ECF">
            <w:pPr>
              <w:jc w:val="right"/>
              <w:rPr>
                <w:rFonts w:eastAsia="Times New Roman" w:cstheme="minorHAnsi"/>
              </w:rPr>
            </w:pPr>
            <w:r w:rsidRPr="00B26E91">
              <w:rPr>
                <w:rFonts w:eastAsia="Times New Roman" w:cstheme="minorHAnsi"/>
              </w:rPr>
              <w:t>$  48</w:t>
            </w:r>
          </w:p>
        </w:tc>
        <w:tc>
          <w:tcPr>
            <w:tcW w:w="1080" w:type="dxa"/>
            <w:tcBorders>
              <w:top w:val="double" w:sz="4" w:space="0" w:color="000000" w:themeColor="text1"/>
              <w:left w:val="nil"/>
              <w:right w:val="nil"/>
            </w:tcBorders>
            <w:shd w:val="clear" w:color="auto" w:fill="F2F2F2" w:themeFill="background1" w:themeFillShade="F2"/>
            <w:vAlign w:val="bottom"/>
          </w:tcPr>
          <w:p w14:paraId="38201395" w14:textId="77777777" w:rsidR="001B6918" w:rsidRPr="00B26E91" w:rsidRDefault="001B6918" w:rsidP="00730ECF">
            <w:pPr>
              <w:jc w:val="right"/>
              <w:rPr>
                <w:rFonts w:eastAsia="Times New Roman" w:cstheme="minorHAnsi"/>
                <w:color w:val="0D0D0D"/>
              </w:rPr>
            </w:pPr>
            <w:r w:rsidRPr="00B26E91">
              <w:rPr>
                <w:rFonts w:eastAsia="Times New Roman" w:cstheme="minorHAnsi"/>
                <w:color w:val="0D0D0D"/>
              </w:rPr>
              <w:t>$  65</w:t>
            </w:r>
          </w:p>
        </w:tc>
        <w:tc>
          <w:tcPr>
            <w:tcW w:w="1074" w:type="dxa"/>
            <w:tcBorders>
              <w:top w:val="double" w:sz="4" w:space="0" w:color="000000" w:themeColor="text1"/>
              <w:left w:val="nil"/>
              <w:right w:val="nil"/>
            </w:tcBorders>
            <w:shd w:val="clear" w:color="000000" w:fill="FFFFFF"/>
            <w:noWrap/>
            <w:vAlign w:val="bottom"/>
            <w:hideMark/>
          </w:tcPr>
          <w:p w14:paraId="419C083B" w14:textId="77777777" w:rsidR="001B6918" w:rsidRPr="00B26E91" w:rsidRDefault="001B6918" w:rsidP="00730ECF">
            <w:pPr>
              <w:jc w:val="right"/>
              <w:rPr>
                <w:rFonts w:eastAsia="Times New Roman" w:cstheme="minorHAnsi"/>
                <w:color w:val="0D0D0D"/>
              </w:rPr>
            </w:pPr>
            <w:r w:rsidRPr="00B26E91">
              <w:rPr>
                <w:rFonts w:eastAsia="Times New Roman" w:cstheme="minorHAnsi"/>
                <w:color w:val="0D0D0D"/>
              </w:rPr>
              <w:t>$  68</w:t>
            </w:r>
          </w:p>
        </w:tc>
        <w:tc>
          <w:tcPr>
            <w:tcW w:w="985" w:type="dxa"/>
            <w:tcBorders>
              <w:top w:val="double" w:sz="4" w:space="0" w:color="000000" w:themeColor="text1"/>
              <w:left w:val="nil"/>
              <w:right w:val="nil"/>
            </w:tcBorders>
            <w:shd w:val="clear" w:color="auto" w:fill="F2F2F2" w:themeFill="background1" w:themeFillShade="F2"/>
            <w:noWrap/>
            <w:vAlign w:val="bottom"/>
            <w:hideMark/>
          </w:tcPr>
          <w:p w14:paraId="19F495C1" w14:textId="77777777" w:rsidR="001B6918" w:rsidRPr="00B26E91" w:rsidRDefault="001B6918" w:rsidP="00730ECF">
            <w:pPr>
              <w:jc w:val="right"/>
              <w:rPr>
                <w:rFonts w:eastAsia="Times New Roman" w:cstheme="minorHAnsi"/>
                <w:color w:val="0D0D0D"/>
              </w:rPr>
            </w:pPr>
            <w:r w:rsidRPr="00B26E91">
              <w:rPr>
                <w:rFonts w:eastAsia="Times New Roman" w:cstheme="minorHAnsi"/>
                <w:color w:val="0D0D0D"/>
              </w:rPr>
              <w:t>$156</w:t>
            </w:r>
          </w:p>
        </w:tc>
        <w:tc>
          <w:tcPr>
            <w:tcW w:w="985" w:type="dxa"/>
            <w:tcBorders>
              <w:top w:val="double" w:sz="4" w:space="0" w:color="000000" w:themeColor="text1"/>
              <w:left w:val="nil"/>
              <w:right w:val="nil"/>
            </w:tcBorders>
            <w:shd w:val="clear" w:color="000000" w:fill="FFFFFF"/>
            <w:noWrap/>
            <w:vAlign w:val="bottom"/>
            <w:hideMark/>
          </w:tcPr>
          <w:p w14:paraId="5721CA2E" w14:textId="77777777" w:rsidR="001B6918" w:rsidRPr="00B26E91" w:rsidRDefault="001B6918" w:rsidP="00730ECF">
            <w:pPr>
              <w:jc w:val="right"/>
              <w:rPr>
                <w:rFonts w:eastAsia="Times New Roman" w:cstheme="minorHAnsi"/>
                <w:color w:val="0D0D0D"/>
              </w:rPr>
            </w:pPr>
            <w:r w:rsidRPr="00B26E91">
              <w:rPr>
                <w:rFonts w:eastAsia="Times New Roman" w:cstheme="minorHAnsi"/>
                <w:color w:val="0D0D0D"/>
              </w:rPr>
              <w:t>$105</w:t>
            </w:r>
          </w:p>
        </w:tc>
        <w:tc>
          <w:tcPr>
            <w:tcW w:w="985" w:type="dxa"/>
            <w:tcBorders>
              <w:top w:val="double" w:sz="4" w:space="0" w:color="000000" w:themeColor="text1"/>
              <w:left w:val="nil"/>
              <w:right w:val="nil"/>
            </w:tcBorders>
            <w:shd w:val="clear" w:color="auto" w:fill="F2F2F2" w:themeFill="background1" w:themeFillShade="F2"/>
            <w:noWrap/>
            <w:vAlign w:val="bottom"/>
            <w:hideMark/>
          </w:tcPr>
          <w:p w14:paraId="465621F9" w14:textId="77777777" w:rsidR="001B6918" w:rsidRPr="00B26E91" w:rsidRDefault="001B6918" w:rsidP="00730ECF">
            <w:pPr>
              <w:jc w:val="right"/>
              <w:rPr>
                <w:rFonts w:eastAsia="Times New Roman" w:cstheme="minorHAnsi"/>
                <w:color w:val="0D0D0D"/>
              </w:rPr>
            </w:pPr>
            <w:r w:rsidRPr="00B26E91">
              <w:rPr>
                <w:rFonts w:eastAsia="Times New Roman" w:cstheme="minorHAnsi"/>
                <w:color w:val="0D0D0D"/>
              </w:rPr>
              <w:t>$168</w:t>
            </w:r>
          </w:p>
        </w:tc>
        <w:tc>
          <w:tcPr>
            <w:tcW w:w="985" w:type="dxa"/>
            <w:tcBorders>
              <w:top w:val="double" w:sz="4" w:space="0" w:color="000000" w:themeColor="text1"/>
              <w:left w:val="nil"/>
              <w:right w:val="nil"/>
            </w:tcBorders>
            <w:shd w:val="clear" w:color="000000" w:fill="FFFFFF"/>
            <w:noWrap/>
            <w:vAlign w:val="bottom"/>
            <w:hideMark/>
          </w:tcPr>
          <w:p w14:paraId="7162306F" w14:textId="77777777" w:rsidR="001B6918" w:rsidRPr="00B26E91" w:rsidRDefault="001B6918" w:rsidP="00730ECF">
            <w:pPr>
              <w:jc w:val="right"/>
              <w:rPr>
                <w:rFonts w:eastAsia="Times New Roman" w:cstheme="minorHAnsi"/>
                <w:color w:val="0D0D0D"/>
              </w:rPr>
            </w:pPr>
            <w:r w:rsidRPr="00B26E91">
              <w:rPr>
                <w:rFonts w:eastAsia="Times New Roman" w:cstheme="minorHAnsi"/>
                <w:color w:val="0D0D0D"/>
              </w:rPr>
              <w:t>$312</w:t>
            </w:r>
          </w:p>
        </w:tc>
      </w:tr>
      <w:tr w:rsidR="001B6918" w:rsidRPr="004E6649" w14:paraId="34FC70A3" w14:textId="77777777" w:rsidTr="00730ECF">
        <w:trPr>
          <w:trHeight w:val="299"/>
          <w:jc w:val="center"/>
        </w:trPr>
        <w:tc>
          <w:tcPr>
            <w:tcW w:w="3994" w:type="dxa"/>
            <w:tcBorders>
              <w:top w:val="nil"/>
              <w:left w:val="nil"/>
              <w:bottom w:val="single" w:sz="4" w:space="0" w:color="000000" w:themeColor="text1"/>
              <w:right w:val="nil"/>
            </w:tcBorders>
            <w:shd w:val="clear" w:color="000000" w:fill="FFFFFF"/>
            <w:vAlign w:val="center"/>
            <w:hideMark/>
          </w:tcPr>
          <w:p w14:paraId="2E2AFA35" w14:textId="77777777" w:rsidR="001B6918" w:rsidRPr="00B26E91" w:rsidRDefault="001B6918" w:rsidP="00730ECF">
            <w:pPr>
              <w:rPr>
                <w:rFonts w:eastAsia="Times New Roman" w:cstheme="minorHAnsi"/>
                <w:color w:val="0D0D0D"/>
              </w:rPr>
            </w:pPr>
            <w:r w:rsidRPr="00B26E91">
              <w:rPr>
                <w:rFonts w:eastAsia="Times New Roman" w:cstheme="minorHAnsi"/>
                <w:color w:val="0D0D0D"/>
              </w:rPr>
              <w:t>Contributions as a percentage of covered payroll</w:t>
            </w:r>
          </w:p>
        </w:tc>
        <w:tc>
          <w:tcPr>
            <w:tcW w:w="1111" w:type="dxa"/>
            <w:tcBorders>
              <w:top w:val="nil"/>
              <w:left w:val="nil"/>
              <w:bottom w:val="single" w:sz="4" w:space="0" w:color="000000" w:themeColor="text1"/>
              <w:right w:val="nil"/>
            </w:tcBorders>
            <w:shd w:val="clear" w:color="auto" w:fill="F2F2F2" w:themeFill="background1" w:themeFillShade="F2"/>
            <w:vAlign w:val="bottom"/>
          </w:tcPr>
          <w:p w14:paraId="41CD98D2" w14:textId="77777777" w:rsidR="001B6918" w:rsidRPr="003E524C" w:rsidRDefault="001B6918" w:rsidP="00730ECF">
            <w:pPr>
              <w:jc w:val="right"/>
              <w:rPr>
                <w:rFonts w:cstheme="minorHAnsi"/>
              </w:rPr>
            </w:pPr>
            <w:r w:rsidRPr="003E524C">
              <w:rPr>
                <w:rFonts w:cstheme="minorHAnsi"/>
              </w:rPr>
              <w:t>NA</w:t>
            </w:r>
          </w:p>
        </w:tc>
        <w:tc>
          <w:tcPr>
            <w:tcW w:w="1111" w:type="dxa"/>
            <w:tcBorders>
              <w:top w:val="nil"/>
              <w:left w:val="nil"/>
              <w:bottom w:val="single" w:sz="4" w:space="0" w:color="000000" w:themeColor="text1"/>
              <w:right w:val="nil"/>
            </w:tcBorders>
            <w:vAlign w:val="bottom"/>
          </w:tcPr>
          <w:p w14:paraId="076C9AC4" w14:textId="77777777" w:rsidR="001B6918" w:rsidRPr="00B26E91" w:rsidRDefault="001B6918" w:rsidP="00730ECF">
            <w:pPr>
              <w:jc w:val="right"/>
              <w:rPr>
                <w:rFonts w:cstheme="minorHAnsi"/>
              </w:rPr>
            </w:pPr>
            <w:r w:rsidRPr="00B26E91">
              <w:rPr>
                <w:rFonts w:cstheme="minorHAnsi"/>
              </w:rPr>
              <w:t>1683.54%</w:t>
            </w:r>
          </w:p>
        </w:tc>
        <w:tc>
          <w:tcPr>
            <w:tcW w:w="1074" w:type="dxa"/>
            <w:tcBorders>
              <w:top w:val="nil"/>
              <w:left w:val="nil"/>
              <w:bottom w:val="single" w:sz="4" w:space="0" w:color="000000" w:themeColor="text1"/>
              <w:right w:val="nil"/>
            </w:tcBorders>
            <w:shd w:val="clear" w:color="auto" w:fill="F2F2F2" w:themeFill="background1" w:themeFillShade="F2"/>
            <w:vAlign w:val="bottom"/>
          </w:tcPr>
          <w:p w14:paraId="6C7A08F3" w14:textId="77777777" w:rsidR="001B6918" w:rsidRPr="00B26E91" w:rsidRDefault="001B6918" w:rsidP="00730ECF">
            <w:pPr>
              <w:jc w:val="right"/>
              <w:rPr>
                <w:rFonts w:cstheme="minorHAnsi"/>
              </w:rPr>
            </w:pPr>
            <w:r w:rsidRPr="00B26E91">
              <w:rPr>
                <w:rFonts w:cstheme="minorHAnsi"/>
              </w:rPr>
              <w:t>1618.13%</w:t>
            </w:r>
          </w:p>
        </w:tc>
        <w:tc>
          <w:tcPr>
            <w:tcW w:w="1080" w:type="dxa"/>
            <w:tcBorders>
              <w:top w:val="nil"/>
              <w:left w:val="nil"/>
              <w:bottom w:val="single" w:sz="4" w:space="0" w:color="000000" w:themeColor="text1"/>
              <w:right w:val="nil"/>
            </w:tcBorders>
            <w:vAlign w:val="bottom"/>
          </w:tcPr>
          <w:p w14:paraId="20B63183" w14:textId="77777777" w:rsidR="001B6918" w:rsidRPr="00B26E91" w:rsidRDefault="001B6918" w:rsidP="00730ECF">
            <w:pPr>
              <w:jc w:val="right"/>
              <w:rPr>
                <w:rFonts w:cstheme="minorHAnsi"/>
              </w:rPr>
            </w:pPr>
            <w:r w:rsidRPr="00B26E91">
              <w:rPr>
                <w:rFonts w:cstheme="minorHAnsi"/>
              </w:rPr>
              <w:t>1392.86%</w:t>
            </w:r>
          </w:p>
        </w:tc>
        <w:tc>
          <w:tcPr>
            <w:tcW w:w="1080" w:type="dxa"/>
            <w:tcBorders>
              <w:top w:val="nil"/>
              <w:left w:val="nil"/>
              <w:bottom w:val="single" w:sz="4" w:space="0" w:color="000000" w:themeColor="text1"/>
              <w:right w:val="nil"/>
            </w:tcBorders>
            <w:shd w:val="clear" w:color="auto" w:fill="F2F2F2" w:themeFill="background1" w:themeFillShade="F2"/>
            <w:vAlign w:val="bottom"/>
          </w:tcPr>
          <w:p w14:paraId="08964356" w14:textId="77777777" w:rsidR="001B6918" w:rsidRPr="00B26E91" w:rsidRDefault="001B6918" w:rsidP="00730ECF">
            <w:pPr>
              <w:jc w:val="right"/>
              <w:rPr>
                <w:rFonts w:eastAsia="Times New Roman" w:cstheme="minorHAnsi"/>
                <w:color w:val="0D0D0D"/>
              </w:rPr>
            </w:pPr>
            <w:r w:rsidRPr="00B26E91">
              <w:rPr>
                <w:rFonts w:cstheme="minorHAnsi"/>
              </w:rPr>
              <w:t>1396.00%</w:t>
            </w:r>
          </w:p>
        </w:tc>
        <w:tc>
          <w:tcPr>
            <w:tcW w:w="1074" w:type="dxa"/>
            <w:tcBorders>
              <w:top w:val="nil"/>
              <w:left w:val="nil"/>
              <w:bottom w:val="single" w:sz="4" w:space="0" w:color="000000" w:themeColor="text1"/>
              <w:right w:val="nil"/>
            </w:tcBorders>
            <w:shd w:val="clear" w:color="000000" w:fill="FFFFFF"/>
            <w:noWrap/>
            <w:vAlign w:val="bottom"/>
            <w:hideMark/>
          </w:tcPr>
          <w:p w14:paraId="07A1FE6E" w14:textId="77777777" w:rsidR="001B6918" w:rsidRPr="00B26E91" w:rsidRDefault="001B6918" w:rsidP="00730ECF">
            <w:pPr>
              <w:jc w:val="right"/>
              <w:rPr>
                <w:rFonts w:eastAsia="Times New Roman" w:cstheme="minorHAnsi"/>
                <w:color w:val="0D0D0D"/>
              </w:rPr>
            </w:pPr>
            <w:r w:rsidRPr="00B26E91">
              <w:rPr>
                <w:rFonts w:cstheme="minorHAnsi"/>
                <w:color w:val="0D0D0D"/>
              </w:rPr>
              <w:t>1322.06%</w:t>
            </w:r>
          </w:p>
        </w:tc>
        <w:tc>
          <w:tcPr>
            <w:tcW w:w="985" w:type="dxa"/>
            <w:tcBorders>
              <w:top w:val="nil"/>
              <w:left w:val="nil"/>
              <w:bottom w:val="single" w:sz="4" w:space="0" w:color="000000" w:themeColor="text1"/>
              <w:right w:val="nil"/>
            </w:tcBorders>
            <w:shd w:val="clear" w:color="auto" w:fill="F2F2F2" w:themeFill="background1" w:themeFillShade="F2"/>
            <w:noWrap/>
            <w:vAlign w:val="bottom"/>
            <w:hideMark/>
          </w:tcPr>
          <w:p w14:paraId="6CAA80AC" w14:textId="77777777" w:rsidR="001B6918" w:rsidRPr="00B26E91" w:rsidRDefault="001B6918" w:rsidP="00730ECF">
            <w:pPr>
              <w:jc w:val="right"/>
              <w:rPr>
                <w:rFonts w:eastAsia="Times New Roman" w:cstheme="minorHAnsi"/>
                <w:color w:val="0D0D0D"/>
              </w:rPr>
            </w:pPr>
            <w:r w:rsidRPr="00B26E91">
              <w:rPr>
                <w:rFonts w:cstheme="minorHAnsi"/>
                <w:color w:val="0D0D0D"/>
              </w:rPr>
              <w:t>458.23%</w:t>
            </w:r>
          </w:p>
        </w:tc>
        <w:tc>
          <w:tcPr>
            <w:tcW w:w="985" w:type="dxa"/>
            <w:tcBorders>
              <w:top w:val="nil"/>
              <w:left w:val="nil"/>
              <w:bottom w:val="single" w:sz="4" w:space="0" w:color="000000" w:themeColor="text1"/>
              <w:right w:val="nil"/>
            </w:tcBorders>
            <w:shd w:val="clear" w:color="000000" w:fill="FFFFFF"/>
            <w:noWrap/>
            <w:vAlign w:val="bottom"/>
            <w:hideMark/>
          </w:tcPr>
          <w:p w14:paraId="641747F5" w14:textId="77777777" w:rsidR="001B6918" w:rsidRPr="00B26E91" w:rsidRDefault="001B6918" w:rsidP="00730ECF">
            <w:pPr>
              <w:jc w:val="right"/>
              <w:rPr>
                <w:rFonts w:eastAsia="Times New Roman" w:cstheme="minorHAnsi"/>
                <w:color w:val="0D0D0D"/>
              </w:rPr>
            </w:pPr>
            <w:r w:rsidRPr="00B26E91">
              <w:rPr>
                <w:rFonts w:cstheme="minorHAnsi"/>
                <w:color w:val="0D0D0D"/>
              </w:rPr>
              <w:t>664.54%</w:t>
            </w:r>
          </w:p>
        </w:tc>
        <w:tc>
          <w:tcPr>
            <w:tcW w:w="985" w:type="dxa"/>
            <w:tcBorders>
              <w:top w:val="nil"/>
              <w:left w:val="nil"/>
              <w:bottom w:val="single" w:sz="4" w:space="0" w:color="000000" w:themeColor="text1"/>
              <w:right w:val="nil"/>
            </w:tcBorders>
            <w:shd w:val="clear" w:color="auto" w:fill="F2F2F2" w:themeFill="background1" w:themeFillShade="F2"/>
            <w:noWrap/>
            <w:vAlign w:val="bottom"/>
            <w:hideMark/>
          </w:tcPr>
          <w:p w14:paraId="6C307D69" w14:textId="77777777" w:rsidR="001B6918" w:rsidRPr="00B26E91" w:rsidRDefault="001B6918" w:rsidP="00730ECF">
            <w:pPr>
              <w:jc w:val="right"/>
              <w:rPr>
                <w:rFonts w:eastAsia="Times New Roman" w:cstheme="minorHAnsi"/>
                <w:color w:val="0D0D0D"/>
              </w:rPr>
            </w:pPr>
            <w:r w:rsidRPr="00B26E91">
              <w:rPr>
                <w:rFonts w:cstheme="minorHAnsi"/>
                <w:color w:val="0D0D0D"/>
              </w:rPr>
              <w:t>437.48%</w:t>
            </w:r>
          </w:p>
        </w:tc>
        <w:tc>
          <w:tcPr>
            <w:tcW w:w="985" w:type="dxa"/>
            <w:tcBorders>
              <w:top w:val="nil"/>
              <w:left w:val="nil"/>
              <w:bottom w:val="single" w:sz="4" w:space="0" w:color="000000" w:themeColor="text1"/>
              <w:right w:val="nil"/>
            </w:tcBorders>
            <w:shd w:val="clear" w:color="000000" w:fill="FFFFFF"/>
            <w:noWrap/>
            <w:vAlign w:val="bottom"/>
            <w:hideMark/>
          </w:tcPr>
          <w:p w14:paraId="1B480535" w14:textId="77777777" w:rsidR="001B6918" w:rsidRPr="00B26E91" w:rsidRDefault="001B6918" w:rsidP="00730ECF">
            <w:pPr>
              <w:jc w:val="right"/>
              <w:rPr>
                <w:rFonts w:eastAsia="Times New Roman" w:cstheme="minorHAnsi"/>
                <w:color w:val="0D0D0D"/>
              </w:rPr>
            </w:pPr>
            <w:r w:rsidRPr="00B26E91">
              <w:rPr>
                <w:rFonts w:cstheme="minorHAnsi"/>
                <w:color w:val="0D0D0D"/>
              </w:rPr>
              <w:t>172.49%</w:t>
            </w:r>
          </w:p>
        </w:tc>
      </w:tr>
    </w:tbl>
    <w:p w14:paraId="5379E166" w14:textId="77777777" w:rsidR="001B6918" w:rsidRPr="004E6649" w:rsidRDefault="001B6918" w:rsidP="001B6918">
      <w:pPr>
        <w:widowControl w:val="0"/>
        <w:spacing w:after="240"/>
        <w:rPr>
          <w:rFonts w:eastAsia="Franklin Gothic Book" w:cstheme="minorHAnsi"/>
          <w:b/>
          <w:spacing w:val="1"/>
          <w:sz w:val="28"/>
          <w:szCs w:val="28"/>
        </w:rPr>
      </w:pPr>
    </w:p>
    <w:tbl>
      <w:tblPr>
        <w:tblW w:w="14061" w:type="dxa"/>
        <w:jc w:val="center"/>
        <w:tblLayout w:type="fixed"/>
        <w:tblLook w:val="04A0" w:firstRow="1" w:lastRow="0" w:firstColumn="1" w:lastColumn="0" w:noHBand="0" w:noVBand="1"/>
      </w:tblPr>
      <w:tblGrid>
        <w:gridCol w:w="3870"/>
        <w:gridCol w:w="1201"/>
        <w:gridCol w:w="1067"/>
        <w:gridCol w:w="972"/>
        <w:gridCol w:w="1073"/>
        <w:gridCol w:w="978"/>
        <w:gridCol w:w="1067"/>
        <w:gridCol w:w="978"/>
        <w:gridCol w:w="978"/>
        <w:gridCol w:w="978"/>
        <w:gridCol w:w="899"/>
      </w:tblGrid>
      <w:tr w:rsidR="001B6918" w:rsidRPr="004E6649" w14:paraId="6D16AC23" w14:textId="77777777" w:rsidTr="00730ECF">
        <w:trPr>
          <w:trHeight w:val="644"/>
          <w:tblHeader/>
          <w:jc w:val="center"/>
        </w:trPr>
        <w:tc>
          <w:tcPr>
            <w:tcW w:w="3870" w:type="dxa"/>
            <w:tcBorders>
              <w:top w:val="nil"/>
              <w:left w:val="nil"/>
              <w:bottom w:val="single" w:sz="12" w:space="0" w:color="000000" w:themeColor="text1"/>
              <w:right w:val="nil"/>
            </w:tcBorders>
            <w:shd w:val="clear" w:color="auto" w:fill="FFFFFF" w:themeFill="background1"/>
            <w:vAlign w:val="bottom"/>
            <w:hideMark/>
          </w:tcPr>
          <w:p w14:paraId="05C8EB23" w14:textId="77777777" w:rsidR="001B6918" w:rsidRPr="004E6649" w:rsidRDefault="001B6918" w:rsidP="00730ECF">
            <w:pPr>
              <w:rPr>
                <w:rFonts w:eastAsia="Times New Roman" w:cstheme="minorHAnsi"/>
                <w:b/>
                <w:bCs/>
                <w:color w:val="0D0D0D"/>
              </w:rPr>
            </w:pPr>
            <w:r w:rsidRPr="004E6649">
              <w:rPr>
                <w:rFonts w:eastAsia="Times New Roman" w:cstheme="minorHAnsi"/>
                <w:b/>
                <w:bCs/>
                <w:color w:val="0D0D0D"/>
              </w:rPr>
              <w:t>Investment Returns:</w:t>
            </w:r>
            <w:r w:rsidRPr="004E6649">
              <w:rPr>
                <w:rFonts w:eastAsia="Times New Roman" w:cstheme="minorHAnsi"/>
                <w:b/>
                <w:bCs/>
                <w:color w:val="0D0D0D"/>
              </w:rPr>
              <w:br/>
              <w:t>Fiscal Year Ended June 30</w:t>
            </w:r>
          </w:p>
        </w:tc>
        <w:tc>
          <w:tcPr>
            <w:tcW w:w="1201" w:type="dxa"/>
            <w:tcBorders>
              <w:top w:val="nil"/>
              <w:left w:val="nil"/>
              <w:bottom w:val="single" w:sz="12" w:space="0" w:color="000000" w:themeColor="text1"/>
              <w:right w:val="nil"/>
            </w:tcBorders>
            <w:shd w:val="clear" w:color="auto" w:fill="F2F2F2" w:themeFill="background1" w:themeFillShade="F2"/>
            <w:vAlign w:val="bottom"/>
          </w:tcPr>
          <w:p w14:paraId="07F15278" w14:textId="77777777" w:rsidR="001B6918" w:rsidRDefault="001B6918" w:rsidP="00730ECF">
            <w:pPr>
              <w:jc w:val="center"/>
              <w:rPr>
                <w:rFonts w:eastAsia="Times New Roman" w:cstheme="minorHAnsi"/>
                <w:b/>
                <w:bCs/>
                <w:color w:val="0D0D0D"/>
              </w:rPr>
            </w:pPr>
          </w:p>
          <w:p w14:paraId="4FF57446" w14:textId="77777777" w:rsidR="001B6918" w:rsidRPr="004E6649" w:rsidRDefault="001B6918" w:rsidP="00730ECF">
            <w:pPr>
              <w:jc w:val="center"/>
              <w:rPr>
                <w:rFonts w:eastAsia="Times New Roman" w:cstheme="minorHAnsi"/>
                <w:b/>
                <w:bCs/>
                <w:color w:val="0D0D0D"/>
              </w:rPr>
            </w:pPr>
            <w:r>
              <w:rPr>
                <w:rFonts w:eastAsia="Times New Roman" w:cstheme="minorHAnsi"/>
                <w:b/>
                <w:bCs/>
                <w:color w:val="0D0D0D"/>
              </w:rPr>
              <w:t>2025</w:t>
            </w:r>
          </w:p>
        </w:tc>
        <w:tc>
          <w:tcPr>
            <w:tcW w:w="1067" w:type="dxa"/>
            <w:tcBorders>
              <w:top w:val="nil"/>
              <w:left w:val="nil"/>
              <w:bottom w:val="single" w:sz="12" w:space="0" w:color="000000" w:themeColor="text1"/>
              <w:right w:val="nil"/>
            </w:tcBorders>
            <w:vAlign w:val="bottom"/>
          </w:tcPr>
          <w:p w14:paraId="167A817E"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202</w:t>
            </w:r>
            <w:r>
              <w:rPr>
                <w:rFonts w:eastAsia="Times New Roman" w:cstheme="minorHAnsi"/>
                <w:b/>
                <w:bCs/>
                <w:color w:val="0D0D0D"/>
              </w:rPr>
              <w:t>4</w:t>
            </w:r>
          </w:p>
        </w:tc>
        <w:tc>
          <w:tcPr>
            <w:tcW w:w="972" w:type="dxa"/>
            <w:tcBorders>
              <w:top w:val="nil"/>
              <w:left w:val="nil"/>
              <w:bottom w:val="single" w:sz="12" w:space="0" w:color="000000" w:themeColor="text1"/>
              <w:right w:val="nil"/>
            </w:tcBorders>
            <w:shd w:val="clear" w:color="auto" w:fill="F2F2F2" w:themeFill="background1" w:themeFillShade="F2"/>
            <w:vAlign w:val="bottom"/>
          </w:tcPr>
          <w:p w14:paraId="74C66D00"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2023</w:t>
            </w:r>
          </w:p>
        </w:tc>
        <w:tc>
          <w:tcPr>
            <w:tcW w:w="1073" w:type="dxa"/>
            <w:tcBorders>
              <w:top w:val="nil"/>
              <w:left w:val="nil"/>
              <w:bottom w:val="single" w:sz="12" w:space="0" w:color="000000" w:themeColor="text1"/>
              <w:right w:val="nil"/>
            </w:tcBorders>
            <w:vAlign w:val="bottom"/>
          </w:tcPr>
          <w:p w14:paraId="7B509BF9"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2022</w:t>
            </w:r>
          </w:p>
        </w:tc>
        <w:tc>
          <w:tcPr>
            <w:tcW w:w="978" w:type="dxa"/>
            <w:tcBorders>
              <w:top w:val="nil"/>
              <w:left w:val="nil"/>
              <w:bottom w:val="single" w:sz="12" w:space="0" w:color="000000" w:themeColor="text1"/>
              <w:right w:val="nil"/>
            </w:tcBorders>
            <w:shd w:val="clear" w:color="auto" w:fill="F2F2F2" w:themeFill="background1" w:themeFillShade="F2"/>
            <w:vAlign w:val="bottom"/>
          </w:tcPr>
          <w:p w14:paraId="5E7C8CC7"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2021</w:t>
            </w:r>
          </w:p>
        </w:tc>
        <w:tc>
          <w:tcPr>
            <w:tcW w:w="1067" w:type="dxa"/>
            <w:tcBorders>
              <w:top w:val="nil"/>
              <w:left w:val="nil"/>
              <w:bottom w:val="single" w:sz="12" w:space="0" w:color="000000" w:themeColor="text1"/>
              <w:right w:val="nil"/>
            </w:tcBorders>
            <w:shd w:val="clear" w:color="auto" w:fill="FFFFFF" w:themeFill="background1"/>
            <w:noWrap/>
            <w:vAlign w:val="bottom"/>
            <w:hideMark/>
          </w:tcPr>
          <w:p w14:paraId="6B3188BB"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2020</w:t>
            </w:r>
          </w:p>
        </w:tc>
        <w:tc>
          <w:tcPr>
            <w:tcW w:w="978" w:type="dxa"/>
            <w:tcBorders>
              <w:top w:val="nil"/>
              <w:left w:val="nil"/>
              <w:bottom w:val="single" w:sz="12" w:space="0" w:color="000000" w:themeColor="text1"/>
              <w:right w:val="nil"/>
            </w:tcBorders>
            <w:shd w:val="clear" w:color="auto" w:fill="F2F2F2" w:themeFill="background1" w:themeFillShade="F2"/>
            <w:noWrap/>
            <w:vAlign w:val="bottom"/>
            <w:hideMark/>
          </w:tcPr>
          <w:p w14:paraId="665750FD"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2019</w:t>
            </w:r>
          </w:p>
        </w:tc>
        <w:tc>
          <w:tcPr>
            <w:tcW w:w="978" w:type="dxa"/>
            <w:tcBorders>
              <w:top w:val="nil"/>
              <w:left w:val="nil"/>
              <w:bottom w:val="single" w:sz="12" w:space="0" w:color="000000" w:themeColor="text1"/>
              <w:right w:val="nil"/>
            </w:tcBorders>
            <w:shd w:val="clear" w:color="auto" w:fill="FFFFFF" w:themeFill="background1"/>
            <w:noWrap/>
            <w:vAlign w:val="bottom"/>
            <w:hideMark/>
          </w:tcPr>
          <w:p w14:paraId="3ECAD8D8"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2018</w:t>
            </w:r>
          </w:p>
        </w:tc>
        <w:tc>
          <w:tcPr>
            <w:tcW w:w="978" w:type="dxa"/>
            <w:tcBorders>
              <w:top w:val="nil"/>
              <w:left w:val="nil"/>
              <w:bottom w:val="single" w:sz="12" w:space="0" w:color="000000" w:themeColor="text1"/>
              <w:right w:val="nil"/>
            </w:tcBorders>
            <w:shd w:val="clear" w:color="auto" w:fill="F2F2F2" w:themeFill="background1" w:themeFillShade="F2"/>
            <w:noWrap/>
            <w:vAlign w:val="bottom"/>
            <w:hideMark/>
          </w:tcPr>
          <w:p w14:paraId="06EDB5A2"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2017</w:t>
            </w:r>
          </w:p>
        </w:tc>
        <w:tc>
          <w:tcPr>
            <w:tcW w:w="899" w:type="dxa"/>
            <w:tcBorders>
              <w:top w:val="nil"/>
              <w:left w:val="nil"/>
              <w:bottom w:val="single" w:sz="12" w:space="0" w:color="000000" w:themeColor="text1"/>
              <w:right w:val="nil"/>
            </w:tcBorders>
            <w:shd w:val="clear" w:color="auto" w:fill="FFFFFF" w:themeFill="background1"/>
            <w:noWrap/>
            <w:vAlign w:val="bottom"/>
            <w:hideMark/>
          </w:tcPr>
          <w:p w14:paraId="685DAF30" w14:textId="77777777" w:rsidR="001B6918" w:rsidRPr="004E6649" w:rsidRDefault="001B6918" w:rsidP="00730ECF">
            <w:pPr>
              <w:jc w:val="center"/>
              <w:rPr>
                <w:rFonts w:eastAsia="Times New Roman" w:cstheme="minorHAnsi"/>
                <w:b/>
                <w:bCs/>
                <w:color w:val="0D0D0D"/>
              </w:rPr>
            </w:pPr>
            <w:r w:rsidRPr="004E6649">
              <w:rPr>
                <w:rFonts w:eastAsia="Times New Roman" w:cstheme="minorHAnsi"/>
                <w:b/>
                <w:bCs/>
                <w:color w:val="0D0D0D"/>
              </w:rPr>
              <w:t>2016</w:t>
            </w:r>
          </w:p>
        </w:tc>
      </w:tr>
      <w:tr w:rsidR="001B6918" w:rsidRPr="004E6649" w14:paraId="46ABED30" w14:textId="77777777" w:rsidTr="00730ECF">
        <w:trPr>
          <w:trHeight w:val="644"/>
          <w:jc w:val="center"/>
        </w:trPr>
        <w:tc>
          <w:tcPr>
            <w:tcW w:w="3870" w:type="dxa"/>
            <w:tcBorders>
              <w:top w:val="single" w:sz="12" w:space="0" w:color="000000" w:themeColor="text1"/>
              <w:left w:val="nil"/>
              <w:bottom w:val="nil"/>
              <w:right w:val="nil"/>
            </w:tcBorders>
            <w:shd w:val="clear" w:color="auto" w:fill="FFFFFF" w:themeFill="background1"/>
            <w:vAlign w:val="bottom"/>
            <w:hideMark/>
          </w:tcPr>
          <w:p w14:paraId="19D6A38B" w14:textId="77777777" w:rsidR="001B6918" w:rsidRPr="004E6649" w:rsidRDefault="001B6918" w:rsidP="00730ECF">
            <w:pPr>
              <w:rPr>
                <w:rFonts w:eastAsia="Times New Roman" w:cstheme="minorHAnsi"/>
                <w:color w:val="0D0D0D"/>
              </w:rPr>
            </w:pPr>
            <w:r w:rsidRPr="004E6649">
              <w:rPr>
                <w:rFonts w:eastAsia="Times New Roman" w:cstheme="minorHAnsi"/>
                <w:color w:val="0D0D0D"/>
              </w:rPr>
              <w:t>Annual money-weighted rate of return, net of investment expenses</w:t>
            </w:r>
          </w:p>
        </w:tc>
        <w:tc>
          <w:tcPr>
            <w:tcW w:w="1201" w:type="dxa"/>
            <w:tcBorders>
              <w:top w:val="single" w:sz="12" w:space="0" w:color="000000" w:themeColor="text1"/>
              <w:left w:val="nil"/>
              <w:bottom w:val="nil"/>
              <w:right w:val="nil"/>
            </w:tcBorders>
            <w:shd w:val="clear" w:color="auto" w:fill="F2F2F2" w:themeFill="background1" w:themeFillShade="F2"/>
            <w:vAlign w:val="bottom"/>
          </w:tcPr>
          <w:p w14:paraId="5A4CC377" w14:textId="77777777" w:rsidR="001B6918" w:rsidRDefault="001B6918" w:rsidP="00730ECF">
            <w:pPr>
              <w:jc w:val="center"/>
              <w:rPr>
                <w:rFonts w:eastAsia="Times New Roman" w:cstheme="minorHAnsi"/>
              </w:rPr>
            </w:pPr>
          </w:p>
          <w:p w14:paraId="4DF3A05E" w14:textId="77777777" w:rsidR="001B6918" w:rsidRDefault="001B6918" w:rsidP="00730ECF">
            <w:pPr>
              <w:jc w:val="center"/>
              <w:rPr>
                <w:rFonts w:eastAsia="Times New Roman" w:cstheme="minorHAnsi"/>
              </w:rPr>
            </w:pPr>
            <w:r w:rsidRPr="003E524C">
              <w:rPr>
                <w:rFonts w:eastAsia="Times New Roman" w:cstheme="minorHAnsi"/>
              </w:rPr>
              <w:t>5.60%</w:t>
            </w:r>
          </w:p>
        </w:tc>
        <w:tc>
          <w:tcPr>
            <w:tcW w:w="1067" w:type="dxa"/>
            <w:tcBorders>
              <w:top w:val="single" w:sz="12" w:space="0" w:color="000000" w:themeColor="text1"/>
              <w:left w:val="nil"/>
              <w:bottom w:val="nil"/>
              <w:right w:val="nil"/>
            </w:tcBorders>
            <w:vAlign w:val="bottom"/>
          </w:tcPr>
          <w:p w14:paraId="165C24D2" w14:textId="77777777" w:rsidR="001B6918" w:rsidRPr="004E6649" w:rsidRDefault="001B6918" w:rsidP="00730ECF">
            <w:pPr>
              <w:jc w:val="center"/>
              <w:rPr>
                <w:rFonts w:eastAsia="Times New Roman" w:cstheme="minorHAnsi"/>
              </w:rPr>
            </w:pPr>
            <w:r>
              <w:rPr>
                <w:rFonts w:eastAsia="Times New Roman" w:cstheme="minorHAnsi"/>
              </w:rPr>
              <w:t>6.05%</w:t>
            </w:r>
          </w:p>
        </w:tc>
        <w:tc>
          <w:tcPr>
            <w:tcW w:w="972" w:type="dxa"/>
            <w:tcBorders>
              <w:top w:val="single" w:sz="12" w:space="0" w:color="000000" w:themeColor="text1"/>
              <w:left w:val="nil"/>
              <w:bottom w:val="nil"/>
              <w:right w:val="nil"/>
            </w:tcBorders>
            <w:shd w:val="clear" w:color="auto" w:fill="F2F2F2" w:themeFill="background1" w:themeFillShade="F2"/>
            <w:vAlign w:val="bottom"/>
          </w:tcPr>
          <w:p w14:paraId="67FD4AA1" w14:textId="77777777" w:rsidR="001B6918" w:rsidRPr="004E6649" w:rsidRDefault="001B6918" w:rsidP="00730ECF">
            <w:pPr>
              <w:jc w:val="center"/>
              <w:rPr>
                <w:rFonts w:eastAsia="Times New Roman" w:cstheme="minorHAnsi"/>
                <w:color w:val="FF0000"/>
              </w:rPr>
            </w:pPr>
            <w:r w:rsidRPr="004E6649">
              <w:rPr>
                <w:rFonts w:eastAsia="Times New Roman" w:cstheme="minorHAnsi"/>
              </w:rPr>
              <w:t>6.53%</w:t>
            </w:r>
          </w:p>
        </w:tc>
        <w:tc>
          <w:tcPr>
            <w:tcW w:w="1073" w:type="dxa"/>
            <w:tcBorders>
              <w:top w:val="single" w:sz="12" w:space="0" w:color="000000" w:themeColor="text1"/>
              <w:left w:val="nil"/>
              <w:bottom w:val="nil"/>
              <w:right w:val="nil"/>
            </w:tcBorders>
            <w:vAlign w:val="bottom"/>
          </w:tcPr>
          <w:p w14:paraId="7B24E11F" w14:textId="77777777" w:rsidR="001B6918" w:rsidRPr="004E6649" w:rsidRDefault="001B6918" w:rsidP="00730ECF">
            <w:pPr>
              <w:jc w:val="center"/>
              <w:rPr>
                <w:rFonts w:eastAsia="Times New Roman" w:cstheme="minorHAnsi"/>
                <w:color w:val="0D0D0D"/>
              </w:rPr>
            </w:pPr>
            <w:r w:rsidRPr="004E6649">
              <w:rPr>
                <w:rFonts w:eastAsia="Times New Roman" w:cstheme="minorHAnsi"/>
              </w:rPr>
              <w:t>-7.21%</w:t>
            </w:r>
          </w:p>
        </w:tc>
        <w:tc>
          <w:tcPr>
            <w:tcW w:w="978" w:type="dxa"/>
            <w:tcBorders>
              <w:top w:val="single" w:sz="12" w:space="0" w:color="000000" w:themeColor="text1"/>
              <w:left w:val="nil"/>
              <w:bottom w:val="nil"/>
              <w:right w:val="nil"/>
            </w:tcBorders>
            <w:shd w:val="clear" w:color="auto" w:fill="F2F2F2" w:themeFill="background1" w:themeFillShade="F2"/>
            <w:vAlign w:val="bottom"/>
          </w:tcPr>
          <w:p w14:paraId="50DD4BE9" w14:textId="77777777" w:rsidR="001B6918" w:rsidRPr="004E6649" w:rsidRDefault="001B6918" w:rsidP="00730ECF">
            <w:pPr>
              <w:jc w:val="center"/>
              <w:rPr>
                <w:rFonts w:eastAsia="Times New Roman" w:cstheme="minorHAnsi"/>
                <w:color w:val="0D0D0D"/>
              </w:rPr>
            </w:pPr>
            <w:r w:rsidRPr="004E6649">
              <w:rPr>
                <w:rFonts w:eastAsia="Times New Roman" w:cstheme="minorHAnsi"/>
                <w:color w:val="0D0D0D"/>
              </w:rPr>
              <w:t>15.86%</w:t>
            </w:r>
          </w:p>
        </w:tc>
        <w:tc>
          <w:tcPr>
            <w:tcW w:w="1067" w:type="dxa"/>
            <w:tcBorders>
              <w:top w:val="single" w:sz="12" w:space="0" w:color="000000" w:themeColor="text1"/>
              <w:left w:val="nil"/>
              <w:bottom w:val="nil"/>
              <w:right w:val="nil"/>
            </w:tcBorders>
            <w:shd w:val="clear" w:color="auto" w:fill="FFFFFF" w:themeFill="background1"/>
            <w:noWrap/>
            <w:vAlign w:val="bottom"/>
            <w:hideMark/>
          </w:tcPr>
          <w:p w14:paraId="54B607FA" w14:textId="77777777" w:rsidR="001B6918" w:rsidRPr="004E6649" w:rsidRDefault="001B6918" w:rsidP="00730ECF">
            <w:pPr>
              <w:jc w:val="center"/>
              <w:rPr>
                <w:rFonts w:eastAsia="Times New Roman" w:cstheme="minorHAnsi"/>
                <w:color w:val="0D0D0D"/>
              </w:rPr>
            </w:pPr>
            <w:r w:rsidRPr="004E6649">
              <w:rPr>
                <w:rFonts w:eastAsia="Times New Roman" w:cstheme="minorHAnsi"/>
                <w:color w:val="0D0D0D"/>
              </w:rPr>
              <w:t>4.48%</w:t>
            </w:r>
          </w:p>
        </w:tc>
        <w:tc>
          <w:tcPr>
            <w:tcW w:w="978" w:type="dxa"/>
            <w:tcBorders>
              <w:top w:val="single" w:sz="12" w:space="0" w:color="000000" w:themeColor="text1"/>
              <w:left w:val="nil"/>
              <w:bottom w:val="nil"/>
              <w:right w:val="nil"/>
            </w:tcBorders>
            <w:shd w:val="clear" w:color="auto" w:fill="F2F2F2" w:themeFill="background1" w:themeFillShade="F2"/>
            <w:noWrap/>
            <w:vAlign w:val="bottom"/>
            <w:hideMark/>
          </w:tcPr>
          <w:p w14:paraId="665CF5F5" w14:textId="77777777" w:rsidR="001B6918" w:rsidRPr="004E6649" w:rsidRDefault="001B6918" w:rsidP="00730ECF">
            <w:pPr>
              <w:jc w:val="center"/>
              <w:rPr>
                <w:rFonts w:eastAsia="Times New Roman" w:cstheme="minorHAnsi"/>
                <w:color w:val="0D0D0D"/>
              </w:rPr>
            </w:pPr>
            <w:r w:rsidRPr="004E6649">
              <w:rPr>
                <w:rFonts w:eastAsia="Times New Roman" w:cstheme="minorHAnsi"/>
                <w:color w:val="0D0D0D"/>
              </w:rPr>
              <w:t>4.03%</w:t>
            </w:r>
          </w:p>
        </w:tc>
        <w:tc>
          <w:tcPr>
            <w:tcW w:w="978" w:type="dxa"/>
            <w:tcBorders>
              <w:top w:val="single" w:sz="12" w:space="0" w:color="000000" w:themeColor="text1"/>
              <w:left w:val="nil"/>
              <w:bottom w:val="nil"/>
              <w:right w:val="nil"/>
            </w:tcBorders>
            <w:shd w:val="clear" w:color="auto" w:fill="FFFFFF" w:themeFill="background1"/>
            <w:noWrap/>
            <w:vAlign w:val="bottom"/>
            <w:hideMark/>
          </w:tcPr>
          <w:p w14:paraId="1754A6AD" w14:textId="77777777" w:rsidR="001B6918" w:rsidRPr="004E6649" w:rsidRDefault="001B6918" w:rsidP="00730ECF">
            <w:pPr>
              <w:jc w:val="center"/>
              <w:rPr>
                <w:rFonts w:eastAsia="Times New Roman" w:cstheme="minorHAnsi"/>
                <w:color w:val="0D0D0D"/>
              </w:rPr>
            </w:pPr>
            <w:r w:rsidRPr="004E6649">
              <w:rPr>
                <w:rFonts w:eastAsia="Times New Roman" w:cstheme="minorHAnsi"/>
                <w:color w:val="0D0D0D"/>
              </w:rPr>
              <w:t>4.80%</w:t>
            </w:r>
          </w:p>
        </w:tc>
        <w:tc>
          <w:tcPr>
            <w:tcW w:w="978" w:type="dxa"/>
            <w:tcBorders>
              <w:top w:val="single" w:sz="12" w:space="0" w:color="000000" w:themeColor="text1"/>
              <w:left w:val="nil"/>
              <w:bottom w:val="nil"/>
              <w:right w:val="nil"/>
            </w:tcBorders>
            <w:shd w:val="clear" w:color="auto" w:fill="F2F2F2" w:themeFill="background1" w:themeFillShade="F2"/>
            <w:noWrap/>
            <w:vAlign w:val="bottom"/>
            <w:hideMark/>
          </w:tcPr>
          <w:p w14:paraId="258AF931" w14:textId="77777777" w:rsidR="001B6918" w:rsidRPr="004E6649" w:rsidRDefault="001B6918" w:rsidP="00730ECF">
            <w:pPr>
              <w:jc w:val="center"/>
              <w:rPr>
                <w:rFonts w:eastAsia="Times New Roman" w:cstheme="minorHAnsi"/>
                <w:color w:val="0D0D0D"/>
              </w:rPr>
            </w:pPr>
            <w:r w:rsidRPr="004E6649">
              <w:rPr>
                <w:rFonts w:eastAsia="Times New Roman" w:cstheme="minorHAnsi"/>
                <w:color w:val="0D0D0D"/>
              </w:rPr>
              <w:t>7.04%</w:t>
            </w:r>
          </w:p>
        </w:tc>
        <w:tc>
          <w:tcPr>
            <w:tcW w:w="899" w:type="dxa"/>
            <w:tcBorders>
              <w:top w:val="single" w:sz="12" w:space="0" w:color="000000" w:themeColor="text1"/>
              <w:left w:val="nil"/>
              <w:bottom w:val="nil"/>
              <w:right w:val="nil"/>
            </w:tcBorders>
            <w:shd w:val="clear" w:color="auto" w:fill="FFFFFF" w:themeFill="background1"/>
            <w:noWrap/>
            <w:vAlign w:val="bottom"/>
            <w:hideMark/>
          </w:tcPr>
          <w:p w14:paraId="5F868512" w14:textId="77777777" w:rsidR="001B6918" w:rsidRPr="004E6649" w:rsidRDefault="001B6918" w:rsidP="00730ECF">
            <w:pPr>
              <w:jc w:val="center"/>
              <w:rPr>
                <w:rFonts w:eastAsia="Times New Roman" w:cstheme="minorHAnsi"/>
                <w:color w:val="0D0D0D"/>
              </w:rPr>
            </w:pPr>
            <w:r w:rsidRPr="004E6649">
              <w:rPr>
                <w:rFonts w:eastAsia="Times New Roman" w:cstheme="minorHAnsi"/>
                <w:color w:val="0D0D0D"/>
              </w:rPr>
              <w:t>0.64%</w:t>
            </w:r>
          </w:p>
        </w:tc>
      </w:tr>
    </w:tbl>
    <w:p w14:paraId="4CB7289F" w14:textId="77777777" w:rsidR="001B6918" w:rsidRPr="004E6649" w:rsidRDefault="001B6918" w:rsidP="001B6918">
      <w:pPr>
        <w:tabs>
          <w:tab w:val="left" w:pos="1440"/>
          <w:tab w:val="left" w:pos="7200"/>
        </w:tabs>
        <w:spacing w:before="240"/>
        <w:ind w:left="-450"/>
        <w:rPr>
          <w:rFonts w:eastAsia="Franklin Gothic Book" w:cstheme="minorHAnsi"/>
          <w:b/>
          <w:spacing w:val="1"/>
          <w:sz w:val="28"/>
          <w:szCs w:val="28"/>
        </w:rPr>
      </w:pPr>
      <w:r w:rsidRPr="004E6649">
        <w:rPr>
          <w:rFonts w:cstheme="minorHAnsi"/>
          <w:sz w:val="24"/>
          <w:szCs w:val="20"/>
        </w:rPr>
        <w:t>The money-weighted rate of return considers the changing amounts actually invested during a period and weights the amount of pension plan investments by the proportion of time they are available to earn a return during that period. The rate of return is then calculated by solving, through an iterative process, for the rate that equates the sum of the weighted external cash flows into and out of the pension plan investments to the ending fair value of pension plan investments.</w:t>
      </w:r>
      <w:r w:rsidRPr="004E6649">
        <w:rPr>
          <w:rFonts w:eastAsia="Franklin Gothic Book" w:cstheme="minorHAnsi"/>
          <w:b/>
          <w:spacing w:val="1"/>
          <w:sz w:val="28"/>
          <w:szCs w:val="28"/>
        </w:rPr>
        <w:t xml:space="preserve"> </w:t>
      </w:r>
      <w:r w:rsidRPr="004E6649">
        <w:rPr>
          <w:rFonts w:eastAsia="Franklin Gothic Book" w:cstheme="minorHAnsi"/>
          <w:b/>
          <w:spacing w:val="1"/>
          <w:sz w:val="28"/>
          <w:szCs w:val="28"/>
        </w:rPr>
        <w:br w:type="page"/>
      </w:r>
    </w:p>
    <w:p w14:paraId="299E41F7" w14:textId="77777777" w:rsidR="001B6918" w:rsidRPr="004E6649" w:rsidRDefault="001B6918" w:rsidP="001B6918">
      <w:pPr>
        <w:pStyle w:val="AFR4"/>
        <w:spacing w:after="240"/>
        <w:rPr>
          <w:rFonts w:eastAsiaTheme="majorEastAsia" w:cstheme="minorHAnsi"/>
          <w:b w:val="0"/>
          <w:iCs/>
          <w:smallCaps/>
          <w:noProof/>
          <w:color w:val="000000" w:themeColor="text1"/>
          <w:sz w:val="26"/>
          <w:szCs w:val="26"/>
          <w:u w:val="none" w:color="5B9BD5"/>
        </w:rPr>
        <w:sectPr w:rsidR="001B6918" w:rsidRPr="004E6649" w:rsidSect="00DC059D">
          <w:footerReference w:type="first" r:id="rId57"/>
          <w:type w:val="nextColumn"/>
          <w:pgSz w:w="15840" w:h="12240" w:orient="landscape" w:code="1"/>
          <w:pgMar w:top="1440" w:right="1152" w:bottom="1440" w:left="1152" w:header="720" w:footer="720" w:gutter="0"/>
          <w:cols w:space="0"/>
          <w:titlePg/>
          <w:docGrid w:linePitch="360"/>
        </w:sectPr>
      </w:pPr>
    </w:p>
    <w:p w14:paraId="37557147" w14:textId="77777777" w:rsidR="001B6918" w:rsidRPr="009E4423" w:rsidRDefault="001B6918" w:rsidP="001B6918">
      <w:pPr>
        <w:spacing w:after="160"/>
        <w:rPr>
          <w:rFonts w:eastAsiaTheme="majorEastAsia" w:cstheme="minorHAnsi"/>
          <w:b/>
          <w:i/>
          <w:iCs/>
          <w:smallCaps/>
          <w:noProof/>
          <w:color w:val="000000" w:themeColor="text1"/>
          <w:sz w:val="24"/>
          <w:szCs w:val="28"/>
          <w:u w:color="5B9BD5"/>
        </w:rPr>
      </w:pPr>
      <w:r w:rsidRPr="00453556">
        <w:rPr>
          <w:rFonts w:eastAsiaTheme="majorEastAsia" w:cstheme="minorHAnsi"/>
          <w:b/>
          <w:i/>
          <w:iCs/>
          <w:smallCaps/>
          <w:noProof/>
          <w:color w:val="000000" w:themeColor="text1"/>
          <w:sz w:val="24"/>
          <w:szCs w:val="28"/>
          <w:u w:color="5B9BD5"/>
        </w:rPr>
        <w:lastRenderedPageBreak/>
        <w:t>DEFINED BENEFIT PENSION PLAN – CONTINUED:</w:t>
      </w:r>
    </w:p>
    <w:p w14:paraId="63E794BF" w14:textId="77777777" w:rsidR="001B6918" w:rsidRPr="004E6649" w:rsidRDefault="001B6918" w:rsidP="001B6918">
      <w:pPr>
        <w:pStyle w:val="Heading3"/>
        <w:rPr>
          <w:rFonts w:asciiTheme="minorHAnsi" w:hAnsiTheme="minorHAnsi" w:cstheme="minorHAnsi"/>
        </w:rPr>
      </w:pPr>
      <w:r w:rsidRPr="004E6649">
        <w:rPr>
          <w:rFonts w:asciiTheme="minorHAnsi" w:hAnsiTheme="minorHAnsi" w:cstheme="minorHAnsi"/>
        </w:rPr>
        <w:t>Notes</w:t>
      </w:r>
      <w:r w:rsidRPr="004E6649">
        <w:rPr>
          <w:rFonts w:asciiTheme="minorHAnsi" w:hAnsiTheme="minorHAnsi" w:cstheme="minorHAnsi"/>
          <w:spacing w:val="-1"/>
        </w:rPr>
        <w:t xml:space="preserve"> </w:t>
      </w:r>
      <w:r w:rsidRPr="004E6649">
        <w:rPr>
          <w:rFonts w:asciiTheme="minorHAnsi" w:hAnsiTheme="minorHAnsi" w:cstheme="minorHAnsi"/>
        </w:rPr>
        <w:t>to</w:t>
      </w:r>
      <w:r w:rsidRPr="004E6649">
        <w:rPr>
          <w:rFonts w:asciiTheme="minorHAnsi" w:hAnsiTheme="minorHAnsi" w:cstheme="minorHAnsi"/>
          <w:spacing w:val="-2"/>
        </w:rPr>
        <w:t xml:space="preserve"> </w:t>
      </w:r>
      <w:r w:rsidRPr="004E6649">
        <w:rPr>
          <w:rFonts w:asciiTheme="minorHAnsi" w:hAnsiTheme="minorHAnsi" w:cstheme="minorHAnsi"/>
          <w:spacing w:val="2"/>
        </w:rPr>
        <w:t>R</w:t>
      </w:r>
      <w:r w:rsidRPr="004E6649">
        <w:rPr>
          <w:rFonts w:asciiTheme="minorHAnsi" w:hAnsiTheme="minorHAnsi" w:cstheme="minorHAnsi"/>
        </w:rPr>
        <w:t>eq</w:t>
      </w:r>
      <w:r w:rsidRPr="004E6649">
        <w:rPr>
          <w:rFonts w:asciiTheme="minorHAnsi" w:hAnsiTheme="minorHAnsi" w:cstheme="minorHAnsi"/>
          <w:spacing w:val="2"/>
        </w:rPr>
        <w:t>ui</w:t>
      </w:r>
      <w:r w:rsidRPr="004E6649">
        <w:rPr>
          <w:rFonts w:asciiTheme="minorHAnsi" w:hAnsiTheme="minorHAnsi" w:cstheme="minorHAnsi"/>
        </w:rPr>
        <w:t>red</w:t>
      </w:r>
      <w:r w:rsidRPr="004E6649">
        <w:rPr>
          <w:rFonts w:asciiTheme="minorHAnsi" w:hAnsiTheme="minorHAnsi" w:cstheme="minorHAnsi"/>
          <w:spacing w:val="-2"/>
        </w:rPr>
        <w:t xml:space="preserve"> </w:t>
      </w:r>
      <w:r w:rsidRPr="004E6649">
        <w:rPr>
          <w:rFonts w:asciiTheme="minorHAnsi" w:hAnsiTheme="minorHAnsi" w:cstheme="minorHAnsi"/>
        </w:rPr>
        <w:t>S</w:t>
      </w:r>
      <w:r w:rsidRPr="004E6649">
        <w:rPr>
          <w:rFonts w:asciiTheme="minorHAnsi" w:hAnsiTheme="minorHAnsi" w:cstheme="minorHAnsi"/>
          <w:spacing w:val="2"/>
        </w:rPr>
        <w:t>u</w:t>
      </w:r>
      <w:r w:rsidRPr="004E6649">
        <w:rPr>
          <w:rFonts w:asciiTheme="minorHAnsi" w:hAnsiTheme="minorHAnsi" w:cstheme="minorHAnsi"/>
        </w:rPr>
        <w:t>pp</w:t>
      </w:r>
      <w:r w:rsidRPr="004E6649">
        <w:rPr>
          <w:rFonts w:asciiTheme="minorHAnsi" w:hAnsiTheme="minorHAnsi" w:cstheme="minorHAnsi"/>
          <w:spacing w:val="2"/>
        </w:rPr>
        <w:t>l</w:t>
      </w:r>
      <w:r w:rsidRPr="004E6649">
        <w:rPr>
          <w:rFonts w:asciiTheme="minorHAnsi" w:hAnsiTheme="minorHAnsi" w:cstheme="minorHAnsi"/>
        </w:rPr>
        <w:t>eme</w:t>
      </w:r>
      <w:r w:rsidRPr="004E6649">
        <w:rPr>
          <w:rFonts w:asciiTheme="minorHAnsi" w:hAnsiTheme="minorHAnsi" w:cstheme="minorHAnsi"/>
          <w:spacing w:val="2"/>
        </w:rPr>
        <w:t>n</w:t>
      </w:r>
      <w:r w:rsidRPr="004E6649">
        <w:rPr>
          <w:rFonts w:asciiTheme="minorHAnsi" w:hAnsiTheme="minorHAnsi" w:cstheme="minorHAnsi"/>
        </w:rPr>
        <w:t>t</w:t>
      </w:r>
      <w:r w:rsidRPr="004E6649">
        <w:rPr>
          <w:rFonts w:asciiTheme="minorHAnsi" w:hAnsiTheme="minorHAnsi" w:cstheme="minorHAnsi"/>
          <w:spacing w:val="2"/>
        </w:rPr>
        <w:t>a</w:t>
      </w:r>
      <w:r w:rsidRPr="004E6649">
        <w:rPr>
          <w:rFonts w:asciiTheme="minorHAnsi" w:hAnsiTheme="minorHAnsi" w:cstheme="minorHAnsi"/>
        </w:rPr>
        <w:t xml:space="preserve">ry </w:t>
      </w:r>
      <w:r w:rsidRPr="004E6649">
        <w:rPr>
          <w:rFonts w:asciiTheme="minorHAnsi" w:hAnsiTheme="minorHAnsi" w:cstheme="minorHAnsi"/>
          <w:spacing w:val="2"/>
        </w:rPr>
        <w:t>Inf</w:t>
      </w:r>
      <w:r w:rsidRPr="004E6649">
        <w:rPr>
          <w:rFonts w:asciiTheme="minorHAnsi" w:hAnsiTheme="minorHAnsi" w:cstheme="minorHAnsi"/>
        </w:rPr>
        <w:t>orm</w:t>
      </w:r>
      <w:r w:rsidRPr="004E6649">
        <w:rPr>
          <w:rFonts w:asciiTheme="minorHAnsi" w:hAnsiTheme="minorHAnsi" w:cstheme="minorHAnsi"/>
          <w:spacing w:val="2"/>
        </w:rPr>
        <w:t>a</w:t>
      </w:r>
      <w:r w:rsidRPr="004E6649">
        <w:rPr>
          <w:rFonts w:asciiTheme="minorHAnsi" w:hAnsiTheme="minorHAnsi" w:cstheme="minorHAnsi"/>
        </w:rPr>
        <w:t>t</w:t>
      </w:r>
      <w:r w:rsidRPr="004E6649">
        <w:rPr>
          <w:rFonts w:asciiTheme="minorHAnsi" w:hAnsiTheme="minorHAnsi" w:cstheme="minorHAnsi"/>
          <w:spacing w:val="2"/>
        </w:rPr>
        <w:t>i</w:t>
      </w:r>
      <w:r w:rsidRPr="004E6649">
        <w:rPr>
          <w:rFonts w:asciiTheme="minorHAnsi" w:hAnsiTheme="minorHAnsi" w:cstheme="minorHAnsi"/>
        </w:rPr>
        <w:t>on:</w:t>
      </w:r>
    </w:p>
    <w:p w14:paraId="46424910" w14:textId="77777777" w:rsidR="001B6918" w:rsidRPr="004E6649" w:rsidRDefault="001B6918" w:rsidP="001B6918">
      <w:pPr>
        <w:rPr>
          <w:rFonts w:cstheme="minorHAnsi"/>
          <w:sz w:val="16"/>
          <w:szCs w:val="16"/>
        </w:rPr>
      </w:pPr>
      <w:r w:rsidRPr="004E6649">
        <w:rPr>
          <w:rFonts w:cstheme="minorHAnsi"/>
          <w:i/>
          <w:sz w:val="24"/>
          <w:szCs w:val="24"/>
        </w:rPr>
        <w:t>Changes of benefit terms:</w:t>
      </w:r>
      <w:r w:rsidRPr="004E6649">
        <w:rPr>
          <w:rFonts w:cstheme="minorHAnsi"/>
          <w:sz w:val="24"/>
          <w:szCs w:val="24"/>
        </w:rPr>
        <w:t xml:space="preserve"> None.</w:t>
      </w:r>
    </w:p>
    <w:p w14:paraId="77F9D74E" w14:textId="77777777" w:rsidR="001B6918" w:rsidRPr="004E6649" w:rsidRDefault="001B6918" w:rsidP="001B6918">
      <w:pPr>
        <w:rPr>
          <w:rFonts w:cstheme="minorHAnsi"/>
          <w:i/>
          <w:sz w:val="24"/>
          <w:szCs w:val="24"/>
        </w:rPr>
      </w:pPr>
      <w:r w:rsidRPr="004E6649">
        <w:rPr>
          <w:rFonts w:cstheme="minorHAnsi"/>
          <w:i/>
          <w:sz w:val="24"/>
          <w:szCs w:val="24"/>
        </w:rPr>
        <w:t>Changes of assumptions and other inputs:</w:t>
      </w:r>
    </w:p>
    <w:p w14:paraId="46C5CC23" w14:textId="77777777" w:rsidR="001B6918" w:rsidRPr="004E6649" w:rsidRDefault="001B6918" w:rsidP="001B6918">
      <w:pPr>
        <w:rPr>
          <w:rFonts w:cstheme="minorHAnsi"/>
          <w:i/>
          <w:sz w:val="12"/>
          <w:szCs w:val="12"/>
        </w:rPr>
      </w:pPr>
    </w:p>
    <w:tbl>
      <w:tblPr>
        <w:tblStyle w:val="TableGrid"/>
        <w:tblW w:w="101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9182"/>
      </w:tblGrid>
      <w:tr w:rsidR="001B6918" w:rsidRPr="004E6649" w14:paraId="4F948A41" w14:textId="77777777" w:rsidTr="00730ECF">
        <w:trPr>
          <w:jc w:val="center"/>
        </w:trPr>
        <w:tc>
          <w:tcPr>
            <w:tcW w:w="988" w:type="dxa"/>
          </w:tcPr>
          <w:p w14:paraId="2D353DD9" w14:textId="77777777" w:rsidR="001B6918" w:rsidRPr="003E524C" w:rsidRDefault="001B6918" w:rsidP="00730ECF">
            <w:pPr>
              <w:widowControl w:val="0"/>
              <w:tabs>
                <w:tab w:val="left" w:pos="810"/>
              </w:tabs>
              <w:rPr>
                <w:rFonts w:cstheme="minorHAnsi"/>
                <w:color w:val="FF0000"/>
                <w:sz w:val="24"/>
                <w:szCs w:val="24"/>
              </w:rPr>
            </w:pPr>
            <w:r w:rsidRPr="00B77205">
              <w:rPr>
                <w:rFonts w:cstheme="minorHAnsi"/>
                <w:sz w:val="24"/>
                <w:szCs w:val="24"/>
              </w:rPr>
              <w:t>2025:</w:t>
            </w:r>
          </w:p>
          <w:p w14:paraId="6E926D38" w14:textId="77777777" w:rsidR="001B6918" w:rsidRPr="004E6649" w:rsidRDefault="001B6918" w:rsidP="00730ECF">
            <w:pPr>
              <w:widowControl w:val="0"/>
              <w:tabs>
                <w:tab w:val="left" w:pos="810"/>
              </w:tabs>
              <w:rPr>
                <w:rFonts w:cstheme="minorHAnsi"/>
                <w:sz w:val="24"/>
                <w:szCs w:val="24"/>
              </w:rPr>
            </w:pPr>
            <w:r w:rsidRPr="007747AE">
              <w:rPr>
                <w:rFonts w:cstheme="minorHAnsi"/>
                <w:sz w:val="24"/>
                <w:szCs w:val="24"/>
              </w:rPr>
              <w:t>2024</w:t>
            </w:r>
            <w:r>
              <w:rPr>
                <w:rFonts w:cstheme="minorHAnsi"/>
                <w:sz w:val="24"/>
                <w:szCs w:val="24"/>
              </w:rPr>
              <w:t>:</w:t>
            </w:r>
          </w:p>
        </w:tc>
        <w:tc>
          <w:tcPr>
            <w:tcW w:w="9182" w:type="dxa"/>
          </w:tcPr>
          <w:p w14:paraId="0274F0D0" w14:textId="77777777" w:rsidR="001B6918" w:rsidRDefault="001B6918" w:rsidP="00730ECF">
            <w:pPr>
              <w:widowControl w:val="0"/>
              <w:tabs>
                <w:tab w:val="left" w:pos="810"/>
              </w:tabs>
              <w:rPr>
                <w:rFonts w:eastAsia="Franklin Gothic Book" w:cstheme="minorHAnsi"/>
                <w:spacing w:val="-1"/>
                <w:sz w:val="24"/>
                <w:szCs w:val="24"/>
              </w:rPr>
            </w:pPr>
            <w:r>
              <w:rPr>
                <w:rFonts w:eastAsia="Franklin Gothic Book" w:cstheme="minorHAnsi"/>
                <w:spacing w:val="-1"/>
                <w:sz w:val="24"/>
                <w:szCs w:val="24"/>
              </w:rPr>
              <w:t>The mortality rates were updated from scale MP-2021 to MP-2021 set forward two years.</w:t>
            </w:r>
          </w:p>
          <w:p w14:paraId="5B470B97" w14:textId="77777777" w:rsidR="001B6918" w:rsidRPr="004E6649" w:rsidRDefault="001B6918" w:rsidP="00730ECF">
            <w:pPr>
              <w:widowControl w:val="0"/>
              <w:tabs>
                <w:tab w:val="left" w:pos="810"/>
              </w:tabs>
              <w:rPr>
                <w:rFonts w:eastAsia="Franklin Gothic Book" w:cstheme="minorHAnsi"/>
                <w:spacing w:val="-1"/>
                <w:sz w:val="24"/>
                <w:szCs w:val="24"/>
              </w:rPr>
            </w:pPr>
            <w:r>
              <w:rPr>
                <w:rFonts w:eastAsia="Franklin Gothic Book" w:cstheme="minorHAnsi"/>
                <w:spacing w:val="-1"/>
                <w:sz w:val="24"/>
                <w:szCs w:val="24"/>
              </w:rPr>
              <w:t>None</w:t>
            </w:r>
          </w:p>
        </w:tc>
      </w:tr>
      <w:tr w:rsidR="001B6918" w:rsidRPr="004E6649" w14:paraId="202EE553" w14:textId="77777777" w:rsidTr="00730ECF">
        <w:trPr>
          <w:jc w:val="center"/>
        </w:trPr>
        <w:tc>
          <w:tcPr>
            <w:tcW w:w="988" w:type="dxa"/>
          </w:tcPr>
          <w:p w14:paraId="1088CDC3" w14:textId="77777777" w:rsidR="001B6918" w:rsidRPr="004E6649" w:rsidRDefault="001B6918" w:rsidP="00730ECF">
            <w:pPr>
              <w:widowControl w:val="0"/>
              <w:tabs>
                <w:tab w:val="left" w:pos="810"/>
              </w:tabs>
              <w:rPr>
                <w:rFonts w:cstheme="minorHAnsi"/>
                <w:sz w:val="24"/>
                <w:szCs w:val="24"/>
              </w:rPr>
            </w:pPr>
            <w:r w:rsidRPr="004E6649">
              <w:rPr>
                <w:rFonts w:cstheme="minorHAnsi"/>
                <w:sz w:val="24"/>
                <w:szCs w:val="24"/>
              </w:rPr>
              <w:t>2023:</w:t>
            </w:r>
          </w:p>
        </w:tc>
        <w:tc>
          <w:tcPr>
            <w:tcW w:w="9182" w:type="dxa"/>
          </w:tcPr>
          <w:p w14:paraId="6B4A65C3" w14:textId="77777777" w:rsidR="001B6918" w:rsidRPr="004E6649" w:rsidRDefault="001B6918" w:rsidP="00730ECF">
            <w:pPr>
              <w:widowControl w:val="0"/>
              <w:tabs>
                <w:tab w:val="left" w:pos="810"/>
              </w:tabs>
              <w:rPr>
                <w:rFonts w:cstheme="minorHAnsi"/>
                <w:sz w:val="24"/>
                <w:szCs w:val="24"/>
              </w:rPr>
            </w:pPr>
            <w:r w:rsidRPr="004E6649">
              <w:rPr>
                <w:rFonts w:eastAsia="Franklin Gothic Book" w:cstheme="minorHAnsi"/>
                <w:spacing w:val="-1"/>
                <w:sz w:val="24"/>
                <w:szCs w:val="24"/>
              </w:rPr>
              <w:t>The mortality improvement table was updated from scale MP-2020 to scale MP-2021.</w:t>
            </w:r>
          </w:p>
        </w:tc>
      </w:tr>
      <w:tr w:rsidR="001B6918" w:rsidRPr="004E6649" w14:paraId="3939A90B" w14:textId="77777777" w:rsidTr="00730ECF">
        <w:trPr>
          <w:jc w:val="center"/>
        </w:trPr>
        <w:tc>
          <w:tcPr>
            <w:tcW w:w="988" w:type="dxa"/>
          </w:tcPr>
          <w:p w14:paraId="422061D1" w14:textId="77777777" w:rsidR="001B6918" w:rsidRPr="004E6649" w:rsidRDefault="001B6918" w:rsidP="00730ECF">
            <w:pPr>
              <w:widowControl w:val="0"/>
              <w:tabs>
                <w:tab w:val="left" w:pos="810"/>
              </w:tabs>
              <w:rPr>
                <w:rFonts w:cstheme="minorHAnsi"/>
                <w:sz w:val="24"/>
                <w:szCs w:val="24"/>
              </w:rPr>
            </w:pPr>
            <w:r w:rsidRPr="004E6649">
              <w:rPr>
                <w:rFonts w:cstheme="minorHAnsi"/>
                <w:sz w:val="24"/>
                <w:szCs w:val="24"/>
              </w:rPr>
              <w:t>2022:</w:t>
            </w:r>
          </w:p>
        </w:tc>
        <w:tc>
          <w:tcPr>
            <w:tcW w:w="9182" w:type="dxa"/>
          </w:tcPr>
          <w:p w14:paraId="6F555F65" w14:textId="77777777" w:rsidR="001B6918" w:rsidRPr="004E6649" w:rsidRDefault="001B6918" w:rsidP="00730ECF">
            <w:pPr>
              <w:widowControl w:val="0"/>
              <w:tabs>
                <w:tab w:val="left" w:pos="810"/>
              </w:tabs>
              <w:rPr>
                <w:rFonts w:cstheme="minorHAnsi"/>
                <w:sz w:val="24"/>
                <w:szCs w:val="24"/>
              </w:rPr>
            </w:pPr>
            <w:r w:rsidRPr="004E6649">
              <w:rPr>
                <w:rFonts w:cstheme="minorHAnsi"/>
                <w:sz w:val="24"/>
                <w:szCs w:val="24"/>
              </w:rPr>
              <w:t>None</w:t>
            </w:r>
          </w:p>
        </w:tc>
      </w:tr>
      <w:tr w:rsidR="001B6918" w:rsidRPr="004E6649" w14:paraId="6E72F37A" w14:textId="77777777" w:rsidTr="00730ECF">
        <w:trPr>
          <w:jc w:val="center"/>
        </w:trPr>
        <w:tc>
          <w:tcPr>
            <w:tcW w:w="988" w:type="dxa"/>
          </w:tcPr>
          <w:p w14:paraId="7416CE81" w14:textId="77777777" w:rsidR="001B6918" w:rsidRPr="004E6649" w:rsidRDefault="001B6918" w:rsidP="00730ECF">
            <w:pPr>
              <w:widowControl w:val="0"/>
              <w:tabs>
                <w:tab w:val="left" w:pos="810"/>
              </w:tabs>
              <w:rPr>
                <w:rFonts w:cstheme="minorHAnsi"/>
                <w:sz w:val="24"/>
                <w:szCs w:val="24"/>
              </w:rPr>
            </w:pPr>
            <w:r w:rsidRPr="004E6649">
              <w:rPr>
                <w:rFonts w:cstheme="minorHAnsi"/>
                <w:sz w:val="24"/>
                <w:szCs w:val="24"/>
              </w:rPr>
              <w:t>2021:</w:t>
            </w:r>
          </w:p>
        </w:tc>
        <w:tc>
          <w:tcPr>
            <w:tcW w:w="9182" w:type="dxa"/>
          </w:tcPr>
          <w:p w14:paraId="29FD1DF4" w14:textId="77777777" w:rsidR="001B6918" w:rsidRPr="004E6649" w:rsidRDefault="001B6918" w:rsidP="00730ECF">
            <w:pPr>
              <w:widowControl w:val="0"/>
              <w:tabs>
                <w:tab w:val="left" w:pos="810"/>
              </w:tabs>
              <w:rPr>
                <w:rFonts w:cstheme="minorHAnsi"/>
                <w:sz w:val="24"/>
                <w:szCs w:val="24"/>
              </w:rPr>
            </w:pPr>
            <w:r w:rsidRPr="004E6649">
              <w:rPr>
                <w:rFonts w:eastAsia="Franklin Gothic Book" w:cstheme="minorHAnsi"/>
                <w:spacing w:val="-1"/>
                <w:sz w:val="24"/>
                <w:szCs w:val="24"/>
              </w:rPr>
              <w:t>Th</w:t>
            </w:r>
            <w:r w:rsidRPr="004E6649">
              <w:rPr>
                <w:rFonts w:cstheme="minorHAnsi"/>
                <w:sz w:val="24"/>
                <w:szCs w:val="24"/>
              </w:rPr>
              <w:t>e mortality tables were updated to the Pub-2010 amount-weighted mortality tables with scale MP-2020</w:t>
            </w:r>
          </w:p>
        </w:tc>
      </w:tr>
      <w:tr w:rsidR="001B6918" w:rsidRPr="004E6649" w14:paraId="3F0AD4BF" w14:textId="77777777" w:rsidTr="00730ECF">
        <w:trPr>
          <w:jc w:val="center"/>
        </w:trPr>
        <w:tc>
          <w:tcPr>
            <w:tcW w:w="988" w:type="dxa"/>
          </w:tcPr>
          <w:p w14:paraId="4AF3875B" w14:textId="77777777" w:rsidR="001B6918" w:rsidRPr="004E6649" w:rsidRDefault="001B6918" w:rsidP="00730ECF">
            <w:pPr>
              <w:widowControl w:val="0"/>
              <w:tabs>
                <w:tab w:val="left" w:pos="810"/>
              </w:tabs>
              <w:rPr>
                <w:rFonts w:cstheme="minorHAnsi"/>
                <w:sz w:val="24"/>
                <w:szCs w:val="24"/>
              </w:rPr>
            </w:pPr>
            <w:r w:rsidRPr="004E6649">
              <w:rPr>
                <w:rFonts w:cstheme="minorHAnsi"/>
                <w:sz w:val="24"/>
                <w:szCs w:val="24"/>
              </w:rPr>
              <w:t>2020:</w:t>
            </w:r>
          </w:p>
        </w:tc>
        <w:tc>
          <w:tcPr>
            <w:tcW w:w="9182" w:type="dxa"/>
          </w:tcPr>
          <w:p w14:paraId="7B9C8798" w14:textId="77777777" w:rsidR="001B6918" w:rsidRPr="004E6649" w:rsidRDefault="001B6918" w:rsidP="00730ECF">
            <w:pPr>
              <w:widowControl w:val="0"/>
              <w:tabs>
                <w:tab w:val="left" w:pos="810"/>
              </w:tabs>
              <w:rPr>
                <w:rFonts w:cstheme="minorHAnsi"/>
                <w:sz w:val="24"/>
                <w:szCs w:val="24"/>
              </w:rPr>
            </w:pPr>
            <w:r w:rsidRPr="004E6649">
              <w:rPr>
                <w:rFonts w:cstheme="minorHAnsi"/>
                <w:sz w:val="24"/>
                <w:szCs w:val="24"/>
              </w:rPr>
              <w:t>None</w:t>
            </w:r>
          </w:p>
        </w:tc>
      </w:tr>
      <w:tr w:rsidR="001B6918" w:rsidRPr="004E6649" w14:paraId="479641C7" w14:textId="77777777" w:rsidTr="00730ECF">
        <w:trPr>
          <w:jc w:val="center"/>
        </w:trPr>
        <w:tc>
          <w:tcPr>
            <w:tcW w:w="988" w:type="dxa"/>
          </w:tcPr>
          <w:p w14:paraId="1D90670D" w14:textId="77777777" w:rsidR="001B6918" w:rsidRPr="004E6649" w:rsidRDefault="001B6918" w:rsidP="00730ECF">
            <w:pPr>
              <w:widowControl w:val="0"/>
              <w:tabs>
                <w:tab w:val="left" w:pos="810"/>
              </w:tabs>
              <w:rPr>
                <w:rFonts w:cstheme="minorHAnsi"/>
                <w:sz w:val="24"/>
                <w:szCs w:val="24"/>
              </w:rPr>
            </w:pPr>
            <w:r w:rsidRPr="004E6649">
              <w:rPr>
                <w:rFonts w:cstheme="minorHAnsi"/>
                <w:sz w:val="24"/>
                <w:szCs w:val="24"/>
              </w:rPr>
              <w:t>2019:</w:t>
            </w:r>
          </w:p>
        </w:tc>
        <w:tc>
          <w:tcPr>
            <w:tcW w:w="9182" w:type="dxa"/>
          </w:tcPr>
          <w:p w14:paraId="47CE1206" w14:textId="77777777" w:rsidR="001B6918" w:rsidRPr="004E6649" w:rsidRDefault="001B6918" w:rsidP="00730ECF">
            <w:pPr>
              <w:widowControl w:val="0"/>
              <w:tabs>
                <w:tab w:val="left" w:pos="810"/>
              </w:tabs>
              <w:rPr>
                <w:rFonts w:cstheme="minorHAnsi"/>
                <w:sz w:val="24"/>
                <w:szCs w:val="24"/>
              </w:rPr>
            </w:pPr>
            <w:r w:rsidRPr="004E6649">
              <w:rPr>
                <w:rFonts w:cstheme="minorHAnsi"/>
                <w:sz w:val="24"/>
                <w:szCs w:val="24"/>
              </w:rPr>
              <w:t>The mortality tables were updated to reflect more recent mortality tables and generational mortality improvement.</w:t>
            </w:r>
          </w:p>
        </w:tc>
      </w:tr>
      <w:tr w:rsidR="001B6918" w:rsidRPr="004E6649" w14:paraId="79451F64" w14:textId="77777777" w:rsidTr="00730ECF">
        <w:trPr>
          <w:jc w:val="center"/>
        </w:trPr>
        <w:tc>
          <w:tcPr>
            <w:tcW w:w="988" w:type="dxa"/>
          </w:tcPr>
          <w:p w14:paraId="6A6641B6" w14:textId="77777777" w:rsidR="001B6918" w:rsidRPr="004E6649" w:rsidRDefault="001B6918" w:rsidP="00730ECF">
            <w:pPr>
              <w:widowControl w:val="0"/>
              <w:tabs>
                <w:tab w:val="left" w:pos="810"/>
              </w:tabs>
              <w:rPr>
                <w:rFonts w:cstheme="minorHAnsi"/>
                <w:sz w:val="24"/>
                <w:szCs w:val="24"/>
              </w:rPr>
            </w:pPr>
            <w:r w:rsidRPr="004E6649">
              <w:rPr>
                <w:rFonts w:cstheme="minorHAnsi"/>
                <w:sz w:val="24"/>
                <w:szCs w:val="24"/>
              </w:rPr>
              <w:t>2018:</w:t>
            </w:r>
          </w:p>
        </w:tc>
        <w:tc>
          <w:tcPr>
            <w:tcW w:w="9182" w:type="dxa"/>
          </w:tcPr>
          <w:p w14:paraId="6FF3DBD3" w14:textId="77777777" w:rsidR="001B6918" w:rsidRPr="004E6649" w:rsidRDefault="001B6918" w:rsidP="00730ECF">
            <w:pPr>
              <w:widowControl w:val="0"/>
              <w:tabs>
                <w:tab w:val="left" w:pos="810"/>
              </w:tabs>
              <w:rPr>
                <w:rFonts w:cstheme="minorHAnsi"/>
                <w:sz w:val="24"/>
                <w:szCs w:val="24"/>
              </w:rPr>
            </w:pPr>
            <w:r w:rsidRPr="004E6649">
              <w:rPr>
                <w:rFonts w:cstheme="minorHAnsi"/>
                <w:sz w:val="24"/>
                <w:szCs w:val="24"/>
              </w:rPr>
              <w:t>None</w:t>
            </w:r>
          </w:p>
        </w:tc>
      </w:tr>
      <w:tr w:rsidR="001B6918" w:rsidRPr="004E6649" w14:paraId="2FE27579" w14:textId="77777777" w:rsidTr="00730ECF">
        <w:trPr>
          <w:jc w:val="center"/>
        </w:trPr>
        <w:tc>
          <w:tcPr>
            <w:tcW w:w="988" w:type="dxa"/>
          </w:tcPr>
          <w:p w14:paraId="6BD23556" w14:textId="77777777" w:rsidR="001B6918" w:rsidRPr="004E6649" w:rsidRDefault="001B6918" w:rsidP="00730ECF">
            <w:pPr>
              <w:widowControl w:val="0"/>
              <w:tabs>
                <w:tab w:val="left" w:pos="810"/>
              </w:tabs>
              <w:rPr>
                <w:rFonts w:cstheme="minorHAnsi"/>
                <w:sz w:val="24"/>
                <w:szCs w:val="24"/>
              </w:rPr>
            </w:pPr>
            <w:r w:rsidRPr="004E6649">
              <w:rPr>
                <w:rFonts w:cstheme="minorHAnsi"/>
                <w:sz w:val="24"/>
                <w:szCs w:val="24"/>
              </w:rPr>
              <w:t>2017:</w:t>
            </w:r>
          </w:p>
        </w:tc>
        <w:tc>
          <w:tcPr>
            <w:tcW w:w="9182" w:type="dxa"/>
          </w:tcPr>
          <w:p w14:paraId="7A5527BD" w14:textId="77777777" w:rsidR="001B6918" w:rsidRPr="004E6649" w:rsidRDefault="001B6918" w:rsidP="00730ECF">
            <w:pPr>
              <w:widowControl w:val="0"/>
              <w:tabs>
                <w:tab w:val="left" w:pos="810"/>
              </w:tabs>
              <w:rPr>
                <w:rFonts w:cstheme="minorHAnsi"/>
                <w:sz w:val="24"/>
                <w:szCs w:val="24"/>
              </w:rPr>
            </w:pPr>
            <w:r w:rsidRPr="004E6649">
              <w:rPr>
                <w:rFonts w:cstheme="minorHAnsi"/>
                <w:sz w:val="24"/>
                <w:szCs w:val="24"/>
              </w:rPr>
              <w:t>None</w:t>
            </w:r>
          </w:p>
        </w:tc>
      </w:tr>
      <w:tr w:rsidR="001B6918" w:rsidRPr="004E6649" w14:paraId="4DF8AC19" w14:textId="77777777" w:rsidTr="00730ECF">
        <w:trPr>
          <w:jc w:val="center"/>
        </w:trPr>
        <w:tc>
          <w:tcPr>
            <w:tcW w:w="988" w:type="dxa"/>
          </w:tcPr>
          <w:p w14:paraId="1DC16785" w14:textId="77777777" w:rsidR="001B6918" w:rsidRPr="004E6649" w:rsidRDefault="001B6918" w:rsidP="00730ECF">
            <w:pPr>
              <w:widowControl w:val="0"/>
              <w:tabs>
                <w:tab w:val="left" w:pos="810"/>
              </w:tabs>
              <w:rPr>
                <w:rFonts w:cstheme="minorHAnsi"/>
                <w:sz w:val="24"/>
                <w:szCs w:val="24"/>
              </w:rPr>
            </w:pPr>
            <w:r w:rsidRPr="004E6649">
              <w:rPr>
                <w:rFonts w:cstheme="minorHAnsi"/>
                <w:sz w:val="24"/>
                <w:szCs w:val="24"/>
              </w:rPr>
              <w:t>2016:</w:t>
            </w:r>
          </w:p>
        </w:tc>
        <w:tc>
          <w:tcPr>
            <w:tcW w:w="9182" w:type="dxa"/>
          </w:tcPr>
          <w:p w14:paraId="1FAD1483" w14:textId="77777777" w:rsidR="001B6918" w:rsidRPr="004E6649" w:rsidRDefault="001B6918" w:rsidP="00730ECF">
            <w:pPr>
              <w:widowControl w:val="0"/>
              <w:tabs>
                <w:tab w:val="left" w:pos="810"/>
              </w:tabs>
              <w:rPr>
                <w:rFonts w:cstheme="minorHAnsi"/>
                <w:sz w:val="24"/>
                <w:szCs w:val="24"/>
              </w:rPr>
            </w:pPr>
            <w:r w:rsidRPr="004E6649">
              <w:rPr>
                <w:rFonts w:cstheme="minorHAnsi"/>
                <w:sz w:val="24"/>
                <w:szCs w:val="24"/>
              </w:rPr>
              <w:t>The investment return rate was changed from 6.75% to 6.25% and the administrative expense assumption was changed from $50, increasing by 3% per year, to $30, increasing by 2% per year up to a maximum of $70.</w:t>
            </w:r>
          </w:p>
        </w:tc>
      </w:tr>
      <w:tr w:rsidR="001B6918" w:rsidRPr="004E6649" w14:paraId="4E58146F" w14:textId="77777777" w:rsidTr="00730ECF">
        <w:trPr>
          <w:jc w:val="center"/>
        </w:trPr>
        <w:tc>
          <w:tcPr>
            <w:tcW w:w="988" w:type="dxa"/>
          </w:tcPr>
          <w:p w14:paraId="57EF11FF" w14:textId="77777777" w:rsidR="001B6918" w:rsidRPr="004E6649" w:rsidRDefault="001B6918" w:rsidP="00730ECF">
            <w:pPr>
              <w:widowControl w:val="0"/>
              <w:tabs>
                <w:tab w:val="left" w:pos="810"/>
              </w:tabs>
              <w:rPr>
                <w:rFonts w:cstheme="minorHAnsi"/>
                <w:sz w:val="24"/>
                <w:szCs w:val="24"/>
              </w:rPr>
            </w:pPr>
          </w:p>
        </w:tc>
        <w:tc>
          <w:tcPr>
            <w:tcW w:w="9182" w:type="dxa"/>
          </w:tcPr>
          <w:p w14:paraId="09925874" w14:textId="77777777" w:rsidR="001B6918" w:rsidRPr="004E6649" w:rsidRDefault="001B6918" w:rsidP="00730ECF">
            <w:pPr>
              <w:widowControl w:val="0"/>
              <w:tabs>
                <w:tab w:val="left" w:pos="810"/>
              </w:tabs>
              <w:rPr>
                <w:rFonts w:cstheme="minorHAnsi"/>
                <w:sz w:val="24"/>
                <w:szCs w:val="24"/>
              </w:rPr>
            </w:pPr>
          </w:p>
        </w:tc>
      </w:tr>
    </w:tbl>
    <w:p w14:paraId="2414CC4E" w14:textId="77777777" w:rsidR="001B6918" w:rsidRPr="004E6649" w:rsidRDefault="001B6918" w:rsidP="001B6918">
      <w:pPr>
        <w:ind w:left="720" w:hanging="720"/>
        <w:rPr>
          <w:rFonts w:cstheme="minorHAnsi"/>
          <w:sz w:val="24"/>
          <w:szCs w:val="24"/>
        </w:rPr>
      </w:pPr>
    </w:p>
    <w:p w14:paraId="4CEE87FA" w14:textId="77777777" w:rsidR="001B6918" w:rsidRPr="004E6649" w:rsidRDefault="001B6918" w:rsidP="001B6918">
      <w:pPr>
        <w:rPr>
          <w:rFonts w:cstheme="minorHAnsi"/>
          <w:i/>
          <w:sz w:val="24"/>
          <w:szCs w:val="24"/>
        </w:rPr>
      </w:pPr>
      <w:r w:rsidRPr="007747AE">
        <w:rPr>
          <w:rFonts w:cstheme="minorHAnsi"/>
          <w:i/>
          <w:sz w:val="24"/>
          <w:szCs w:val="24"/>
        </w:rPr>
        <w:t>Methods</w:t>
      </w:r>
      <w:r w:rsidRPr="004E6649">
        <w:rPr>
          <w:rFonts w:cstheme="minorHAnsi"/>
          <w:i/>
          <w:sz w:val="24"/>
          <w:szCs w:val="24"/>
        </w:rPr>
        <w:t xml:space="preserve"> and assumptions used in calculations of actuarially determined contributions:</w:t>
      </w:r>
    </w:p>
    <w:p w14:paraId="75E37223" w14:textId="77777777" w:rsidR="001B6918" w:rsidRPr="004E6649" w:rsidRDefault="001B6918" w:rsidP="001B6918">
      <w:pPr>
        <w:widowControl w:val="0"/>
        <w:spacing w:before="120"/>
        <w:rPr>
          <w:rFonts w:cstheme="minorHAnsi"/>
          <w:sz w:val="24"/>
          <w:szCs w:val="20"/>
        </w:rPr>
      </w:pPr>
      <w:r w:rsidRPr="004E6649">
        <w:rPr>
          <w:rFonts w:cstheme="minorHAnsi"/>
          <w:sz w:val="24"/>
          <w:szCs w:val="20"/>
        </w:rPr>
        <w:t>The actuarially determined contributions in the schedule of employers' contributions are calculated as of July 1, one year prior to the end of the fiscal year in which contributions are reported. The following actuarial methods and assumptions were used to determine contributions reported in that schedule:</w:t>
      </w:r>
    </w:p>
    <w:p w14:paraId="319E8D45" w14:textId="77777777" w:rsidR="001B6918" w:rsidRPr="004E6649" w:rsidRDefault="001B6918" w:rsidP="001B6918">
      <w:pPr>
        <w:ind w:left="720" w:hanging="720"/>
        <w:rPr>
          <w:rFonts w:cstheme="minorHAnsi"/>
          <w:sz w:val="24"/>
          <w:szCs w:val="24"/>
        </w:rPr>
      </w:pPr>
    </w:p>
    <w:tbl>
      <w:tblPr>
        <w:tblStyle w:val="TableGrid2"/>
        <w:tblW w:w="99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ctuarial cost method since 2015 has been entry age normal.  Asset valuation method has been the market value of assets.  Inflation has decreased from 3.25% in 2015 to 2.6% in 2019.  Salary and payroll increases are assumed to be 3.5% per year.  The investment rate of return/discount rate has been 6.25% since 2016."/>
      </w:tblPr>
      <w:tblGrid>
        <w:gridCol w:w="3112"/>
        <w:gridCol w:w="6824"/>
      </w:tblGrid>
      <w:tr w:rsidR="001B6918" w:rsidRPr="004E6649" w14:paraId="1B7C5927" w14:textId="77777777" w:rsidTr="00730ECF">
        <w:trPr>
          <w:trHeight w:val="252"/>
          <w:tblHeader/>
          <w:jc w:val="center"/>
        </w:trPr>
        <w:tc>
          <w:tcPr>
            <w:tcW w:w="1566" w:type="pct"/>
          </w:tcPr>
          <w:p w14:paraId="2A9E60EA" w14:textId="77777777" w:rsidR="001B6918" w:rsidRPr="004E6649" w:rsidRDefault="001B6918" w:rsidP="00730ECF">
            <w:pPr>
              <w:widowControl w:val="0"/>
              <w:rPr>
                <w:rFonts w:cstheme="minorHAnsi"/>
                <w:sz w:val="24"/>
                <w:szCs w:val="20"/>
              </w:rPr>
            </w:pPr>
            <w:r w:rsidRPr="004E6649">
              <w:rPr>
                <w:rFonts w:eastAsia="Franklin Gothic Book" w:cstheme="minorHAnsi"/>
                <w:spacing w:val="-2"/>
                <w:sz w:val="24"/>
              </w:rPr>
              <w:t>A</w:t>
            </w:r>
            <w:r w:rsidRPr="004E6649">
              <w:rPr>
                <w:rFonts w:eastAsia="Franklin Gothic Book" w:cstheme="minorHAnsi"/>
                <w:sz w:val="24"/>
              </w:rPr>
              <w:t>ctua</w:t>
            </w:r>
            <w:r w:rsidRPr="004E6649">
              <w:rPr>
                <w:rFonts w:eastAsia="Franklin Gothic Book" w:cstheme="minorHAnsi"/>
                <w:spacing w:val="-1"/>
                <w:sz w:val="24"/>
              </w:rPr>
              <w:t>r</w:t>
            </w:r>
            <w:r w:rsidRPr="004E6649">
              <w:rPr>
                <w:rFonts w:eastAsia="Franklin Gothic Book" w:cstheme="minorHAnsi"/>
                <w:sz w:val="24"/>
              </w:rPr>
              <w:t>ial</w:t>
            </w:r>
            <w:r w:rsidRPr="004E6649">
              <w:rPr>
                <w:rFonts w:eastAsia="Franklin Gothic Book" w:cstheme="minorHAnsi"/>
                <w:spacing w:val="-2"/>
                <w:sz w:val="24"/>
              </w:rPr>
              <w:t xml:space="preserve"> </w:t>
            </w:r>
            <w:r w:rsidRPr="004E6649">
              <w:rPr>
                <w:rFonts w:eastAsia="Franklin Gothic Book" w:cstheme="minorHAnsi"/>
                <w:spacing w:val="1"/>
                <w:sz w:val="24"/>
              </w:rPr>
              <w:t>c</w:t>
            </w:r>
            <w:r w:rsidRPr="004E6649">
              <w:rPr>
                <w:rFonts w:eastAsia="Franklin Gothic Book" w:cstheme="minorHAnsi"/>
                <w:sz w:val="24"/>
              </w:rPr>
              <w:t>ost method</w:t>
            </w:r>
          </w:p>
        </w:tc>
        <w:tc>
          <w:tcPr>
            <w:tcW w:w="3434" w:type="pct"/>
          </w:tcPr>
          <w:p w14:paraId="18F8CA7A" w14:textId="77777777" w:rsidR="001B6918" w:rsidRPr="004E6649" w:rsidRDefault="001B6918" w:rsidP="00730ECF">
            <w:pPr>
              <w:widowControl w:val="0"/>
              <w:rPr>
                <w:rFonts w:cstheme="minorHAnsi"/>
                <w:sz w:val="16"/>
                <w:szCs w:val="16"/>
              </w:rPr>
            </w:pPr>
            <w:r w:rsidRPr="00B77205">
              <w:rPr>
                <w:rFonts w:eastAsia="Franklin Gothic Book" w:cstheme="minorHAnsi"/>
                <w:spacing w:val="-2"/>
                <w:sz w:val="24"/>
              </w:rPr>
              <w:t>2015 to 202</w:t>
            </w:r>
            <w:r w:rsidRPr="003E524C">
              <w:rPr>
                <w:rFonts w:eastAsia="Franklin Gothic Book" w:cstheme="minorHAnsi"/>
                <w:spacing w:val="-2"/>
                <w:sz w:val="24"/>
              </w:rPr>
              <w:t>5</w:t>
            </w:r>
            <w:r w:rsidRPr="004E6649">
              <w:rPr>
                <w:rFonts w:eastAsia="Franklin Gothic Book" w:cstheme="minorHAnsi"/>
                <w:spacing w:val="-2"/>
                <w:sz w:val="24"/>
              </w:rPr>
              <w:t>: E</w:t>
            </w:r>
            <w:r w:rsidRPr="004E6649">
              <w:rPr>
                <w:rFonts w:eastAsia="Franklin Gothic Book" w:cstheme="minorHAnsi"/>
                <w:sz w:val="24"/>
              </w:rPr>
              <w:t>nt</w:t>
            </w:r>
            <w:r w:rsidRPr="004E6649">
              <w:rPr>
                <w:rFonts w:eastAsia="Franklin Gothic Book" w:cstheme="minorHAnsi"/>
                <w:spacing w:val="-1"/>
                <w:sz w:val="24"/>
              </w:rPr>
              <w:t>r</w:t>
            </w:r>
            <w:r w:rsidRPr="004E6649">
              <w:rPr>
                <w:rFonts w:eastAsia="Franklin Gothic Book" w:cstheme="minorHAnsi"/>
                <w:sz w:val="24"/>
              </w:rPr>
              <w:t>y</w:t>
            </w:r>
            <w:r w:rsidRPr="004E6649">
              <w:rPr>
                <w:rFonts w:eastAsia="Franklin Gothic Book" w:cstheme="minorHAnsi"/>
                <w:spacing w:val="-8"/>
                <w:sz w:val="24"/>
              </w:rPr>
              <w:t xml:space="preserve"> a</w:t>
            </w:r>
            <w:r w:rsidRPr="004E6649">
              <w:rPr>
                <w:rFonts w:eastAsia="Franklin Gothic Book" w:cstheme="minorHAnsi"/>
                <w:sz w:val="24"/>
              </w:rPr>
              <w:t>ge</w:t>
            </w:r>
            <w:r w:rsidRPr="004E6649">
              <w:rPr>
                <w:rFonts w:eastAsia="Franklin Gothic Book" w:cstheme="minorHAnsi"/>
                <w:spacing w:val="-6"/>
                <w:sz w:val="24"/>
              </w:rPr>
              <w:t xml:space="preserve"> n</w:t>
            </w:r>
            <w:r w:rsidRPr="004E6649">
              <w:rPr>
                <w:rFonts w:eastAsia="Franklin Gothic Book" w:cstheme="minorHAnsi"/>
                <w:sz w:val="24"/>
              </w:rPr>
              <w:t>o</w:t>
            </w:r>
            <w:r w:rsidRPr="004E6649">
              <w:rPr>
                <w:rFonts w:eastAsia="Franklin Gothic Book" w:cstheme="minorHAnsi"/>
                <w:spacing w:val="-2"/>
                <w:sz w:val="24"/>
              </w:rPr>
              <w:t>r</w:t>
            </w:r>
            <w:r w:rsidRPr="004E6649">
              <w:rPr>
                <w:rFonts w:eastAsia="Franklin Gothic Book" w:cstheme="minorHAnsi"/>
                <w:sz w:val="24"/>
              </w:rPr>
              <w:t>mal</w:t>
            </w:r>
          </w:p>
        </w:tc>
      </w:tr>
      <w:tr w:rsidR="001B6918" w:rsidRPr="004E6649" w14:paraId="1B8B0404" w14:textId="77777777" w:rsidTr="00730ECF">
        <w:trPr>
          <w:trHeight w:val="252"/>
          <w:jc w:val="center"/>
        </w:trPr>
        <w:tc>
          <w:tcPr>
            <w:tcW w:w="1566" w:type="pct"/>
          </w:tcPr>
          <w:p w14:paraId="0C74F4CE" w14:textId="77777777" w:rsidR="001B6918" w:rsidRPr="004E6649" w:rsidRDefault="001B6918" w:rsidP="00730ECF">
            <w:pPr>
              <w:widowControl w:val="0"/>
              <w:rPr>
                <w:rFonts w:cstheme="minorHAnsi"/>
                <w:sz w:val="24"/>
                <w:szCs w:val="20"/>
              </w:rPr>
            </w:pPr>
            <w:r w:rsidRPr="004E6649">
              <w:rPr>
                <w:rFonts w:eastAsia="Franklin Gothic Book" w:cstheme="minorHAnsi"/>
                <w:spacing w:val="-2"/>
                <w:sz w:val="24"/>
              </w:rPr>
              <w:t>A</w:t>
            </w:r>
            <w:r w:rsidRPr="004E6649">
              <w:rPr>
                <w:rFonts w:eastAsia="Franklin Gothic Book" w:cstheme="minorHAnsi"/>
                <w:spacing w:val="1"/>
                <w:sz w:val="24"/>
              </w:rPr>
              <w:t>ss</w:t>
            </w:r>
            <w:r w:rsidRPr="004E6649">
              <w:rPr>
                <w:rFonts w:eastAsia="Franklin Gothic Book" w:cstheme="minorHAnsi"/>
                <w:sz w:val="24"/>
              </w:rPr>
              <w:t>et</w:t>
            </w:r>
            <w:r w:rsidRPr="004E6649">
              <w:rPr>
                <w:rFonts w:eastAsia="Franklin Gothic Book" w:cstheme="minorHAnsi"/>
                <w:spacing w:val="-1"/>
                <w:sz w:val="24"/>
              </w:rPr>
              <w:t xml:space="preserve"> v</w:t>
            </w:r>
            <w:r w:rsidRPr="004E6649">
              <w:rPr>
                <w:rFonts w:eastAsia="Franklin Gothic Book" w:cstheme="minorHAnsi"/>
                <w:sz w:val="24"/>
              </w:rPr>
              <w:t>alua</w:t>
            </w:r>
            <w:r w:rsidRPr="004E6649">
              <w:rPr>
                <w:rFonts w:eastAsia="Franklin Gothic Book" w:cstheme="minorHAnsi"/>
                <w:spacing w:val="1"/>
                <w:sz w:val="24"/>
              </w:rPr>
              <w:t>t</w:t>
            </w:r>
            <w:r w:rsidRPr="004E6649">
              <w:rPr>
                <w:rFonts w:eastAsia="Franklin Gothic Book" w:cstheme="minorHAnsi"/>
                <w:sz w:val="24"/>
              </w:rPr>
              <w:t>ion</w:t>
            </w:r>
            <w:r w:rsidRPr="004E6649">
              <w:rPr>
                <w:rFonts w:eastAsia="Franklin Gothic Book" w:cstheme="minorHAnsi"/>
                <w:spacing w:val="-2"/>
                <w:sz w:val="24"/>
              </w:rPr>
              <w:t xml:space="preserve"> </w:t>
            </w:r>
            <w:r w:rsidRPr="004E6649">
              <w:rPr>
                <w:rFonts w:eastAsia="Franklin Gothic Book" w:cstheme="minorHAnsi"/>
                <w:spacing w:val="1"/>
                <w:sz w:val="24"/>
              </w:rPr>
              <w:t>m</w:t>
            </w:r>
            <w:r w:rsidRPr="004E6649">
              <w:rPr>
                <w:rFonts w:eastAsia="Franklin Gothic Book" w:cstheme="minorHAnsi"/>
                <w:sz w:val="24"/>
              </w:rPr>
              <w:t>ethod</w:t>
            </w:r>
          </w:p>
        </w:tc>
        <w:tc>
          <w:tcPr>
            <w:tcW w:w="3434" w:type="pct"/>
          </w:tcPr>
          <w:p w14:paraId="7DE028D2" w14:textId="77777777" w:rsidR="001B6918" w:rsidRPr="004E6649" w:rsidRDefault="001B6918" w:rsidP="00730ECF">
            <w:pPr>
              <w:widowControl w:val="0"/>
              <w:rPr>
                <w:rFonts w:cstheme="minorHAnsi"/>
                <w:sz w:val="24"/>
                <w:szCs w:val="20"/>
              </w:rPr>
            </w:pPr>
            <w:r w:rsidRPr="004E6649">
              <w:rPr>
                <w:rFonts w:eastAsia="Franklin Gothic Book" w:cstheme="minorHAnsi"/>
                <w:sz w:val="24"/>
              </w:rPr>
              <w:t>The actuarial value of assets is the market value of assets.</w:t>
            </w:r>
          </w:p>
        </w:tc>
      </w:tr>
      <w:tr w:rsidR="001B6918" w:rsidRPr="004E6649" w14:paraId="711308C1" w14:textId="77777777" w:rsidTr="00730ECF">
        <w:trPr>
          <w:trHeight w:val="252"/>
          <w:jc w:val="center"/>
        </w:trPr>
        <w:tc>
          <w:tcPr>
            <w:tcW w:w="1566" w:type="pct"/>
          </w:tcPr>
          <w:p w14:paraId="3F25CD84" w14:textId="77777777" w:rsidR="001B6918" w:rsidRPr="004E6649" w:rsidRDefault="001B6918" w:rsidP="00730ECF">
            <w:pPr>
              <w:widowControl w:val="0"/>
              <w:rPr>
                <w:rFonts w:cstheme="minorHAnsi"/>
                <w:sz w:val="24"/>
                <w:szCs w:val="20"/>
              </w:rPr>
            </w:pPr>
            <w:r w:rsidRPr="004E6649">
              <w:rPr>
                <w:rFonts w:eastAsia="Franklin Gothic Book" w:cstheme="minorHAnsi"/>
                <w:sz w:val="24"/>
              </w:rPr>
              <w:t>Infla</w:t>
            </w:r>
            <w:r w:rsidRPr="004E6649">
              <w:rPr>
                <w:rFonts w:eastAsia="Franklin Gothic Book" w:cstheme="minorHAnsi"/>
                <w:spacing w:val="1"/>
                <w:sz w:val="24"/>
              </w:rPr>
              <w:t>t</w:t>
            </w:r>
            <w:r w:rsidRPr="004E6649">
              <w:rPr>
                <w:rFonts w:eastAsia="Franklin Gothic Book" w:cstheme="minorHAnsi"/>
                <w:sz w:val="24"/>
              </w:rPr>
              <w:t>ion</w:t>
            </w:r>
          </w:p>
        </w:tc>
        <w:tc>
          <w:tcPr>
            <w:tcW w:w="3434" w:type="pct"/>
          </w:tcPr>
          <w:p w14:paraId="284A2668" w14:textId="77777777" w:rsidR="001B6918" w:rsidRDefault="001B6918" w:rsidP="00730ECF">
            <w:pPr>
              <w:widowControl w:val="0"/>
              <w:rPr>
                <w:rFonts w:eastAsia="Franklin Gothic Book" w:cstheme="minorHAnsi"/>
                <w:sz w:val="24"/>
              </w:rPr>
            </w:pPr>
            <w:r>
              <w:rPr>
                <w:rFonts w:eastAsia="Franklin Gothic Book" w:cstheme="minorHAnsi"/>
                <w:sz w:val="24"/>
              </w:rPr>
              <w:t>2025: 2.7% per year</w:t>
            </w:r>
          </w:p>
          <w:p w14:paraId="3FB03B5F" w14:textId="77777777" w:rsidR="001B6918" w:rsidRDefault="001B6918" w:rsidP="00730ECF">
            <w:pPr>
              <w:widowControl w:val="0"/>
              <w:rPr>
                <w:rFonts w:eastAsia="Franklin Gothic Book" w:cstheme="minorHAnsi"/>
                <w:sz w:val="24"/>
              </w:rPr>
            </w:pPr>
            <w:r>
              <w:rPr>
                <w:rFonts w:eastAsia="Franklin Gothic Book" w:cstheme="minorHAnsi"/>
                <w:sz w:val="24"/>
              </w:rPr>
              <w:t>2024: 2.6% per year</w:t>
            </w:r>
          </w:p>
          <w:p w14:paraId="66E29250" w14:textId="77777777" w:rsidR="001B6918" w:rsidRPr="004E6649" w:rsidRDefault="001B6918" w:rsidP="00730ECF">
            <w:pPr>
              <w:widowControl w:val="0"/>
              <w:rPr>
                <w:rFonts w:eastAsia="Franklin Gothic Book" w:cstheme="minorHAnsi"/>
                <w:sz w:val="24"/>
              </w:rPr>
            </w:pPr>
            <w:r w:rsidRPr="004E6649">
              <w:rPr>
                <w:rFonts w:eastAsia="Franklin Gothic Book" w:cstheme="minorHAnsi"/>
                <w:sz w:val="24"/>
              </w:rPr>
              <w:t>2023: 2.7% per year</w:t>
            </w:r>
          </w:p>
          <w:p w14:paraId="1D13E8FF" w14:textId="77777777" w:rsidR="001B6918" w:rsidRPr="004E6649" w:rsidRDefault="001B6918" w:rsidP="00730ECF">
            <w:pPr>
              <w:widowControl w:val="0"/>
              <w:rPr>
                <w:rFonts w:eastAsia="Franklin Gothic Book" w:cstheme="minorHAnsi"/>
                <w:sz w:val="24"/>
              </w:rPr>
            </w:pPr>
            <w:r w:rsidRPr="004E6649">
              <w:rPr>
                <w:rFonts w:eastAsia="Franklin Gothic Book" w:cstheme="minorHAnsi"/>
                <w:sz w:val="24"/>
              </w:rPr>
              <w:t xml:space="preserve">2021 to 2022: 2.5% per year </w:t>
            </w:r>
          </w:p>
          <w:p w14:paraId="1FDE41A0" w14:textId="77777777" w:rsidR="001B6918" w:rsidRPr="004E6649" w:rsidRDefault="001B6918" w:rsidP="00730ECF">
            <w:pPr>
              <w:widowControl w:val="0"/>
              <w:rPr>
                <w:rFonts w:eastAsia="Franklin Gothic Book" w:cstheme="minorHAnsi"/>
                <w:sz w:val="24"/>
              </w:rPr>
            </w:pPr>
            <w:r w:rsidRPr="004E6649">
              <w:rPr>
                <w:rFonts w:eastAsia="Franklin Gothic Book" w:cstheme="minorHAnsi"/>
                <w:sz w:val="24"/>
              </w:rPr>
              <w:t>2020: 2.4% per year</w:t>
            </w:r>
          </w:p>
          <w:p w14:paraId="2C885970" w14:textId="77777777" w:rsidR="001B6918" w:rsidRPr="004E6649" w:rsidRDefault="001B6918" w:rsidP="00730ECF">
            <w:pPr>
              <w:widowControl w:val="0"/>
              <w:rPr>
                <w:rFonts w:eastAsia="Franklin Gothic Book" w:cstheme="minorHAnsi"/>
                <w:sz w:val="24"/>
              </w:rPr>
            </w:pPr>
            <w:r w:rsidRPr="004E6649">
              <w:rPr>
                <w:rFonts w:eastAsia="Franklin Gothic Book" w:cstheme="minorHAnsi"/>
                <w:sz w:val="24"/>
              </w:rPr>
              <w:t>2019: 2.6% per year</w:t>
            </w:r>
          </w:p>
          <w:p w14:paraId="05DBEE04" w14:textId="77777777" w:rsidR="001B6918" w:rsidRPr="004E6649" w:rsidRDefault="001B6918" w:rsidP="00730ECF">
            <w:pPr>
              <w:widowControl w:val="0"/>
              <w:rPr>
                <w:rFonts w:eastAsia="Franklin Gothic Book" w:cstheme="minorHAnsi"/>
                <w:sz w:val="24"/>
              </w:rPr>
            </w:pPr>
            <w:r w:rsidRPr="004E6649">
              <w:rPr>
                <w:rFonts w:eastAsia="Franklin Gothic Book" w:cstheme="minorHAnsi"/>
                <w:sz w:val="24"/>
              </w:rPr>
              <w:t>2016 to 2018: 3% per year</w:t>
            </w:r>
          </w:p>
          <w:p w14:paraId="6146B823" w14:textId="77777777" w:rsidR="001B6918" w:rsidRPr="004E6649" w:rsidRDefault="001B6918" w:rsidP="00730ECF">
            <w:pPr>
              <w:widowControl w:val="0"/>
              <w:rPr>
                <w:rFonts w:cstheme="minorHAnsi"/>
                <w:sz w:val="16"/>
                <w:szCs w:val="16"/>
              </w:rPr>
            </w:pPr>
            <w:r w:rsidRPr="004E6649">
              <w:rPr>
                <w:rFonts w:eastAsia="Franklin Gothic Book" w:cstheme="minorHAnsi"/>
                <w:sz w:val="24"/>
              </w:rPr>
              <w:t>2015: 3.25% per year</w:t>
            </w:r>
          </w:p>
        </w:tc>
      </w:tr>
      <w:tr w:rsidR="001B6918" w:rsidRPr="004E6649" w14:paraId="6DD0EFBD" w14:textId="77777777" w:rsidTr="00730ECF">
        <w:trPr>
          <w:trHeight w:val="252"/>
          <w:jc w:val="center"/>
        </w:trPr>
        <w:tc>
          <w:tcPr>
            <w:tcW w:w="1566" w:type="pct"/>
          </w:tcPr>
          <w:p w14:paraId="0243BF7D" w14:textId="77777777" w:rsidR="001B6918" w:rsidRPr="004E6649" w:rsidRDefault="001B6918" w:rsidP="00730ECF">
            <w:pPr>
              <w:widowControl w:val="0"/>
              <w:rPr>
                <w:rFonts w:cstheme="minorHAnsi"/>
                <w:sz w:val="24"/>
                <w:szCs w:val="20"/>
              </w:rPr>
            </w:pPr>
            <w:r w:rsidRPr="004E6649">
              <w:rPr>
                <w:rFonts w:eastAsia="Franklin Gothic Book" w:cstheme="minorHAnsi"/>
                <w:sz w:val="24"/>
              </w:rPr>
              <w:t>Sala</w:t>
            </w:r>
            <w:r w:rsidRPr="004E6649">
              <w:rPr>
                <w:rFonts w:eastAsia="Franklin Gothic Book" w:cstheme="minorHAnsi"/>
                <w:spacing w:val="-2"/>
                <w:sz w:val="24"/>
              </w:rPr>
              <w:t>r</w:t>
            </w:r>
            <w:r w:rsidRPr="004E6649">
              <w:rPr>
                <w:rFonts w:eastAsia="Franklin Gothic Book" w:cstheme="minorHAnsi"/>
                <w:sz w:val="24"/>
              </w:rPr>
              <w:t>y</w:t>
            </w:r>
            <w:r w:rsidRPr="004E6649">
              <w:rPr>
                <w:rFonts w:eastAsia="Franklin Gothic Book" w:cstheme="minorHAnsi"/>
                <w:spacing w:val="-2"/>
                <w:sz w:val="24"/>
              </w:rPr>
              <w:t xml:space="preserve"> </w:t>
            </w:r>
            <w:r w:rsidRPr="004E6649">
              <w:rPr>
                <w:rFonts w:eastAsia="Franklin Gothic Book" w:cstheme="minorHAnsi"/>
                <w:sz w:val="24"/>
              </w:rPr>
              <w:t>inc</w:t>
            </w:r>
            <w:r w:rsidRPr="004E6649">
              <w:rPr>
                <w:rFonts w:eastAsia="Franklin Gothic Book" w:cstheme="minorHAnsi"/>
                <w:spacing w:val="-1"/>
                <w:sz w:val="24"/>
              </w:rPr>
              <w:t>r</w:t>
            </w:r>
            <w:r w:rsidRPr="004E6649">
              <w:rPr>
                <w:rFonts w:eastAsia="Franklin Gothic Book" w:cstheme="minorHAnsi"/>
                <w:sz w:val="24"/>
              </w:rPr>
              <w:t>eases</w:t>
            </w:r>
          </w:p>
        </w:tc>
        <w:tc>
          <w:tcPr>
            <w:tcW w:w="3434" w:type="pct"/>
          </w:tcPr>
          <w:p w14:paraId="7C15DD1F" w14:textId="77777777" w:rsidR="001B6918" w:rsidRPr="004E6649" w:rsidRDefault="001B6918" w:rsidP="00730ECF">
            <w:pPr>
              <w:widowControl w:val="0"/>
              <w:rPr>
                <w:rFonts w:cstheme="minorHAnsi"/>
                <w:sz w:val="16"/>
                <w:szCs w:val="16"/>
              </w:rPr>
            </w:pPr>
            <w:r w:rsidRPr="004E6649">
              <w:rPr>
                <w:rFonts w:eastAsia="Franklin Gothic Book" w:cstheme="minorHAnsi"/>
                <w:sz w:val="24"/>
              </w:rPr>
              <w:t>3.5%</w:t>
            </w:r>
            <w:r w:rsidRPr="004E6649">
              <w:rPr>
                <w:rFonts w:eastAsia="Franklin Gothic Book" w:cstheme="minorHAnsi"/>
                <w:spacing w:val="-6"/>
                <w:sz w:val="24"/>
              </w:rPr>
              <w:t xml:space="preserve"> </w:t>
            </w:r>
            <w:r w:rsidRPr="004E6649">
              <w:rPr>
                <w:rFonts w:eastAsia="Franklin Gothic Book" w:cstheme="minorHAnsi"/>
                <w:spacing w:val="-1"/>
                <w:sz w:val="24"/>
              </w:rPr>
              <w:t>p</w:t>
            </w:r>
            <w:r w:rsidRPr="004E6649">
              <w:rPr>
                <w:rFonts w:eastAsia="Franklin Gothic Book" w:cstheme="minorHAnsi"/>
                <w:sz w:val="24"/>
              </w:rPr>
              <w:t>er</w:t>
            </w:r>
            <w:r w:rsidRPr="004E6649">
              <w:rPr>
                <w:rFonts w:eastAsia="Franklin Gothic Book" w:cstheme="minorHAnsi"/>
                <w:spacing w:val="-7"/>
                <w:sz w:val="24"/>
              </w:rPr>
              <w:t xml:space="preserve"> </w:t>
            </w:r>
            <w:r w:rsidRPr="004E6649">
              <w:rPr>
                <w:rFonts w:eastAsia="Franklin Gothic Book" w:cstheme="minorHAnsi"/>
                <w:spacing w:val="-1"/>
                <w:sz w:val="24"/>
              </w:rPr>
              <w:t>y</w:t>
            </w:r>
            <w:r w:rsidRPr="004E6649">
              <w:rPr>
                <w:rFonts w:eastAsia="Franklin Gothic Book" w:cstheme="minorHAnsi"/>
                <w:sz w:val="24"/>
              </w:rPr>
              <w:t>ea</w:t>
            </w:r>
            <w:r w:rsidRPr="004E6649">
              <w:rPr>
                <w:rFonts w:eastAsia="Franklin Gothic Book" w:cstheme="minorHAnsi"/>
                <w:spacing w:val="-2"/>
                <w:sz w:val="24"/>
              </w:rPr>
              <w:t>r</w:t>
            </w:r>
          </w:p>
        </w:tc>
      </w:tr>
      <w:tr w:rsidR="001B6918" w:rsidRPr="004E6649" w14:paraId="3A6F7591" w14:textId="77777777" w:rsidTr="00730ECF">
        <w:trPr>
          <w:trHeight w:val="252"/>
          <w:jc w:val="center"/>
        </w:trPr>
        <w:tc>
          <w:tcPr>
            <w:tcW w:w="1566" w:type="pct"/>
          </w:tcPr>
          <w:p w14:paraId="038A11C9" w14:textId="77777777" w:rsidR="001B6918" w:rsidRPr="004E6649" w:rsidRDefault="001B6918" w:rsidP="00730ECF">
            <w:pPr>
              <w:widowControl w:val="0"/>
              <w:rPr>
                <w:rFonts w:cstheme="minorHAnsi"/>
                <w:sz w:val="24"/>
                <w:szCs w:val="20"/>
              </w:rPr>
            </w:pPr>
            <w:r w:rsidRPr="004E6649">
              <w:rPr>
                <w:rFonts w:eastAsia="Franklin Gothic Book" w:cstheme="minorHAnsi"/>
                <w:spacing w:val="-2"/>
                <w:sz w:val="24"/>
              </w:rPr>
              <w:t>Payroll increases</w:t>
            </w:r>
          </w:p>
        </w:tc>
        <w:tc>
          <w:tcPr>
            <w:tcW w:w="3434" w:type="pct"/>
          </w:tcPr>
          <w:p w14:paraId="62D903B1" w14:textId="77777777" w:rsidR="001B6918" w:rsidRPr="004E6649" w:rsidRDefault="001B6918" w:rsidP="00730ECF">
            <w:pPr>
              <w:widowControl w:val="0"/>
              <w:rPr>
                <w:rFonts w:cstheme="minorHAnsi"/>
                <w:sz w:val="16"/>
                <w:szCs w:val="16"/>
              </w:rPr>
            </w:pPr>
            <w:r w:rsidRPr="004E6649">
              <w:rPr>
                <w:rFonts w:eastAsia="Franklin Gothic Book" w:cstheme="minorHAnsi"/>
                <w:spacing w:val="-2"/>
                <w:sz w:val="24"/>
              </w:rPr>
              <w:t>3.5% per year</w:t>
            </w:r>
          </w:p>
        </w:tc>
      </w:tr>
      <w:tr w:rsidR="001B6918" w:rsidRPr="004E6649" w14:paraId="2CD81B0C" w14:textId="77777777" w:rsidTr="00730ECF">
        <w:trPr>
          <w:trHeight w:val="252"/>
          <w:jc w:val="center"/>
        </w:trPr>
        <w:tc>
          <w:tcPr>
            <w:tcW w:w="1566" w:type="pct"/>
          </w:tcPr>
          <w:p w14:paraId="60FE1477" w14:textId="77777777" w:rsidR="001B6918" w:rsidRPr="004E6649" w:rsidRDefault="001B6918" w:rsidP="00730ECF">
            <w:pPr>
              <w:widowControl w:val="0"/>
              <w:tabs>
                <w:tab w:val="left" w:pos="4264"/>
              </w:tabs>
              <w:rPr>
                <w:rFonts w:cstheme="minorHAnsi"/>
                <w:sz w:val="24"/>
                <w:szCs w:val="20"/>
              </w:rPr>
            </w:pPr>
            <w:r w:rsidRPr="004E6649">
              <w:rPr>
                <w:rFonts w:eastAsia="Franklin Gothic Book" w:cstheme="minorHAnsi"/>
                <w:sz w:val="24"/>
              </w:rPr>
              <w:t>In</w:t>
            </w:r>
            <w:r w:rsidRPr="004E6649">
              <w:rPr>
                <w:rFonts w:eastAsia="Franklin Gothic Book" w:cstheme="minorHAnsi"/>
                <w:spacing w:val="-1"/>
                <w:sz w:val="24"/>
              </w:rPr>
              <w:t>v</w:t>
            </w:r>
            <w:r w:rsidRPr="004E6649">
              <w:rPr>
                <w:rFonts w:eastAsia="Franklin Gothic Book" w:cstheme="minorHAnsi"/>
                <w:sz w:val="24"/>
              </w:rPr>
              <w:t>es</w:t>
            </w:r>
            <w:r w:rsidRPr="004E6649">
              <w:rPr>
                <w:rFonts w:eastAsia="Franklin Gothic Book" w:cstheme="minorHAnsi"/>
                <w:spacing w:val="1"/>
                <w:sz w:val="24"/>
              </w:rPr>
              <w:t>t</w:t>
            </w:r>
            <w:r w:rsidRPr="004E6649">
              <w:rPr>
                <w:rFonts w:eastAsia="Franklin Gothic Book" w:cstheme="minorHAnsi"/>
                <w:sz w:val="24"/>
              </w:rPr>
              <w:t>ment</w:t>
            </w:r>
            <w:r w:rsidRPr="004E6649">
              <w:rPr>
                <w:rFonts w:eastAsia="Franklin Gothic Book" w:cstheme="minorHAnsi"/>
                <w:spacing w:val="-1"/>
                <w:sz w:val="24"/>
              </w:rPr>
              <w:t xml:space="preserve"> r</w:t>
            </w:r>
            <w:r w:rsidRPr="004E6649">
              <w:rPr>
                <w:rFonts w:eastAsia="Franklin Gothic Book" w:cstheme="minorHAnsi"/>
                <w:sz w:val="24"/>
              </w:rPr>
              <w:t>a</w:t>
            </w:r>
            <w:r w:rsidRPr="004E6649">
              <w:rPr>
                <w:rFonts w:eastAsia="Franklin Gothic Book" w:cstheme="minorHAnsi"/>
                <w:spacing w:val="1"/>
                <w:sz w:val="24"/>
              </w:rPr>
              <w:t>t</w:t>
            </w:r>
            <w:r w:rsidRPr="004E6649">
              <w:rPr>
                <w:rFonts w:eastAsia="Franklin Gothic Book" w:cstheme="minorHAnsi"/>
                <w:sz w:val="24"/>
              </w:rPr>
              <w:t>e</w:t>
            </w:r>
            <w:r w:rsidRPr="004E6649">
              <w:rPr>
                <w:rFonts w:eastAsia="Franklin Gothic Book" w:cstheme="minorHAnsi"/>
                <w:spacing w:val="-2"/>
                <w:sz w:val="24"/>
              </w:rPr>
              <w:t xml:space="preserve"> </w:t>
            </w:r>
            <w:r w:rsidRPr="004E6649">
              <w:rPr>
                <w:rFonts w:eastAsia="Franklin Gothic Book" w:cstheme="minorHAnsi"/>
                <w:sz w:val="24"/>
              </w:rPr>
              <w:t>of</w:t>
            </w:r>
            <w:r w:rsidRPr="004E6649">
              <w:rPr>
                <w:rFonts w:eastAsia="Franklin Gothic Book" w:cstheme="minorHAnsi"/>
                <w:spacing w:val="-2"/>
                <w:sz w:val="24"/>
              </w:rPr>
              <w:t xml:space="preserve"> </w:t>
            </w:r>
            <w:r w:rsidRPr="004E6649">
              <w:rPr>
                <w:rFonts w:eastAsia="Franklin Gothic Book" w:cstheme="minorHAnsi"/>
                <w:sz w:val="24"/>
              </w:rPr>
              <w:t>r</w:t>
            </w:r>
            <w:r w:rsidRPr="004E6649">
              <w:rPr>
                <w:rFonts w:eastAsia="Franklin Gothic Book" w:cstheme="minorHAnsi"/>
                <w:spacing w:val="-1"/>
                <w:sz w:val="24"/>
              </w:rPr>
              <w:t>e</w:t>
            </w:r>
            <w:r w:rsidRPr="004E6649">
              <w:rPr>
                <w:rFonts w:eastAsia="Franklin Gothic Book" w:cstheme="minorHAnsi"/>
                <w:sz w:val="24"/>
              </w:rPr>
              <w:t>tu</w:t>
            </w:r>
            <w:r w:rsidRPr="004E6649">
              <w:rPr>
                <w:rFonts w:eastAsia="Franklin Gothic Book" w:cstheme="minorHAnsi"/>
                <w:spacing w:val="-1"/>
                <w:sz w:val="24"/>
              </w:rPr>
              <w:t>r</w:t>
            </w:r>
            <w:r w:rsidRPr="004E6649">
              <w:rPr>
                <w:rFonts w:eastAsia="Franklin Gothic Book" w:cstheme="minorHAnsi"/>
                <w:sz w:val="24"/>
              </w:rPr>
              <w:t xml:space="preserve">n/ </w:t>
            </w:r>
            <w:r w:rsidRPr="004E6649">
              <w:rPr>
                <w:rFonts w:eastAsia="Franklin Gothic Book" w:cstheme="minorHAnsi"/>
                <w:spacing w:val="-7"/>
                <w:sz w:val="24"/>
              </w:rPr>
              <w:t>discount rate</w:t>
            </w:r>
          </w:p>
        </w:tc>
        <w:tc>
          <w:tcPr>
            <w:tcW w:w="3434" w:type="pct"/>
          </w:tcPr>
          <w:p w14:paraId="0E63FC70" w14:textId="77777777" w:rsidR="001B6918" w:rsidRPr="004E6649" w:rsidRDefault="001B6918" w:rsidP="00730ECF">
            <w:pPr>
              <w:widowControl w:val="0"/>
              <w:rPr>
                <w:rFonts w:eastAsia="Franklin Gothic Book" w:cstheme="minorHAnsi"/>
                <w:sz w:val="24"/>
              </w:rPr>
            </w:pPr>
            <w:r w:rsidRPr="004E6649">
              <w:rPr>
                <w:rFonts w:eastAsia="Franklin Gothic Book" w:cstheme="minorHAnsi"/>
                <w:sz w:val="24"/>
              </w:rPr>
              <w:t>2016 to 202</w:t>
            </w:r>
            <w:r>
              <w:rPr>
                <w:rFonts w:eastAsia="Franklin Gothic Book" w:cstheme="minorHAnsi"/>
                <w:sz w:val="24"/>
              </w:rPr>
              <w:t>5</w:t>
            </w:r>
            <w:r w:rsidRPr="004E6649">
              <w:rPr>
                <w:rFonts w:eastAsia="Franklin Gothic Book" w:cstheme="minorHAnsi"/>
                <w:sz w:val="24"/>
              </w:rPr>
              <w:t>: 6.25%,</w:t>
            </w:r>
            <w:r w:rsidRPr="004E6649">
              <w:rPr>
                <w:rFonts w:eastAsia="Franklin Gothic Book" w:cstheme="minorHAnsi"/>
                <w:spacing w:val="-7"/>
                <w:sz w:val="24"/>
              </w:rPr>
              <w:t xml:space="preserve"> </w:t>
            </w:r>
            <w:r w:rsidRPr="004E6649">
              <w:rPr>
                <w:rFonts w:eastAsia="Franklin Gothic Book" w:cstheme="minorHAnsi"/>
                <w:sz w:val="24"/>
              </w:rPr>
              <w:t>net</w:t>
            </w:r>
            <w:r w:rsidRPr="004E6649">
              <w:rPr>
                <w:rFonts w:eastAsia="Franklin Gothic Book" w:cstheme="minorHAnsi"/>
                <w:spacing w:val="-8"/>
                <w:sz w:val="24"/>
              </w:rPr>
              <w:t xml:space="preserve"> </w:t>
            </w:r>
            <w:r w:rsidRPr="004E6649">
              <w:rPr>
                <w:rFonts w:eastAsia="Franklin Gothic Book" w:cstheme="minorHAnsi"/>
                <w:sz w:val="24"/>
              </w:rPr>
              <w:t>of</w:t>
            </w:r>
            <w:r w:rsidRPr="004E6649">
              <w:rPr>
                <w:rFonts w:eastAsia="Franklin Gothic Book" w:cstheme="minorHAnsi"/>
                <w:spacing w:val="-8"/>
                <w:sz w:val="24"/>
              </w:rPr>
              <w:t xml:space="preserve"> </w:t>
            </w:r>
            <w:r w:rsidRPr="004E6649">
              <w:rPr>
                <w:rFonts w:eastAsia="Franklin Gothic Book" w:cstheme="minorHAnsi"/>
                <w:sz w:val="24"/>
              </w:rPr>
              <w:t>inv</w:t>
            </w:r>
            <w:r w:rsidRPr="004E6649">
              <w:rPr>
                <w:rFonts w:eastAsia="Franklin Gothic Book" w:cstheme="minorHAnsi"/>
                <w:spacing w:val="-2"/>
                <w:sz w:val="24"/>
              </w:rPr>
              <w:t>e</w:t>
            </w:r>
            <w:r w:rsidRPr="004E6649">
              <w:rPr>
                <w:rFonts w:eastAsia="Franklin Gothic Book" w:cstheme="minorHAnsi"/>
                <w:spacing w:val="1"/>
                <w:sz w:val="24"/>
              </w:rPr>
              <w:t>s</w:t>
            </w:r>
            <w:r w:rsidRPr="004E6649">
              <w:rPr>
                <w:rFonts w:eastAsia="Franklin Gothic Book" w:cstheme="minorHAnsi"/>
                <w:sz w:val="24"/>
              </w:rPr>
              <w:t>tment</w:t>
            </w:r>
            <w:r w:rsidRPr="004E6649">
              <w:rPr>
                <w:rFonts w:eastAsia="Franklin Gothic Book" w:cstheme="minorHAnsi"/>
                <w:spacing w:val="-8"/>
                <w:sz w:val="24"/>
              </w:rPr>
              <w:t xml:space="preserve"> </w:t>
            </w:r>
            <w:r w:rsidRPr="004E6649">
              <w:rPr>
                <w:rFonts w:eastAsia="Franklin Gothic Book" w:cstheme="minorHAnsi"/>
                <w:sz w:val="24"/>
              </w:rPr>
              <w:t>e</w:t>
            </w:r>
            <w:r w:rsidRPr="004E6649">
              <w:rPr>
                <w:rFonts w:eastAsia="Franklin Gothic Book" w:cstheme="minorHAnsi"/>
                <w:spacing w:val="-1"/>
                <w:sz w:val="24"/>
              </w:rPr>
              <w:t>xp</w:t>
            </w:r>
            <w:r w:rsidRPr="004E6649">
              <w:rPr>
                <w:rFonts w:eastAsia="Franklin Gothic Book" w:cstheme="minorHAnsi"/>
                <w:sz w:val="24"/>
              </w:rPr>
              <w:t>enses, compounded annually</w:t>
            </w:r>
          </w:p>
        </w:tc>
      </w:tr>
    </w:tbl>
    <w:p w14:paraId="79926456" w14:textId="77777777" w:rsidR="001B6918" w:rsidRPr="004E6649" w:rsidRDefault="001B6918" w:rsidP="001B6918">
      <w:pPr>
        <w:tabs>
          <w:tab w:val="left" w:pos="1440"/>
          <w:tab w:val="left" w:pos="7200"/>
        </w:tabs>
        <w:spacing w:before="240"/>
        <w:rPr>
          <w:rFonts w:cstheme="minorHAnsi"/>
          <w:sz w:val="24"/>
          <w:szCs w:val="20"/>
        </w:rPr>
        <w:sectPr w:rsidR="001B6918" w:rsidRPr="004E6649" w:rsidSect="00DC059D">
          <w:footerReference w:type="first" r:id="rId58"/>
          <w:type w:val="nextColumn"/>
          <w:pgSz w:w="12240" w:h="15840" w:code="1"/>
          <w:pgMar w:top="1440" w:right="1152" w:bottom="1440" w:left="1152" w:header="720" w:footer="720" w:gutter="0"/>
          <w:cols w:space="0"/>
          <w:titlePg/>
          <w:docGrid w:linePitch="360"/>
        </w:sectPr>
      </w:pPr>
    </w:p>
    <w:p w14:paraId="0020344D" w14:textId="77777777" w:rsidR="001B6918" w:rsidRPr="004E6649" w:rsidRDefault="001B6918" w:rsidP="001B6918">
      <w:pPr>
        <w:pStyle w:val="AFR2"/>
        <w:rPr>
          <w:rFonts w:cstheme="minorHAnsi"/>
          <w:b w:val="0"/>
          <w:i w:val="0"/>
          <w:iCs w:val="0"/>
          <w:smallCaps w:val="0"/>
          <w:sz w:val="24"/>
          <w:szCs w:val="24"/>
        </w:rPr>
      </w:pPr>
      <w:r w:rsidRPr="004E6649">
        <w:rPr>
          <w:rFonts w:cstheme="minorHAnsi"/>
          <w:sz w:val="24"/>
          <w:szCs w:val="24"/>
        </w:rPr>
        <w:lastRenderedPageBreak/>
        <w:t>OPEB PLAN:</w:t>
      </w:r>
      <w:r w:rsidRPr="004E6649">
        <w:rPr>
          <w:rFonts w:cstheme="minorHAnsi"/>
          <w:b w:val="0"/>
          <w:i w:val="0"/>
          <w:iCs w:val="0"/>
          <w:smallCaps w:val="0"/>
          <w:sz w:val="24"/>
          <w:szCs w:val="24"/>
        </w:rPr>
        <w:t xml:space="preserve"> </w:t>
      </w:r>
    </w:p>
    <w:p w14:paraId="6E832797" w14:textId="77777777" w:rsidR="001B6918" w:rsidRPr="001B6C7C" w:rsidRDefault="001B6918" w:rsidP="001B6918">
      <w:pPr>
        <w:pStyle w:val="AFR2"/>
        <w:pBdr>
          <w:bottom w:val="none" w:sz="0" w:space="0" w:color="auto"/>
        </w:pBdr>
        <w:jc w:val="center"/>
        <w:rPr>
          <w:rFonts w:cstheme="minorHAnsi"/>
          <w:smallCaps w:val="0"/>
          <w:sz w:val="24"/>
          <w:szCs w:val="22"/>
        </w:rPr>
      </w:pPr>
      <w:r w:rsidRPr="001B6C7C">
        <w:rPr>
          <w:rFonts w:cstheme="minorHAnsi"/>
          <w:smallCaps w:val="0"/>
          <w:sz w:val="24"/>
          <w:szCs w:val="22"/>
          <w14:ligatures w14:val="standardContextual"/>
        </w:rPr>
        <w:t>Changes in Net OPEB Liability and Related Ratios</w:t>
      </w:r>
    </w:p>
    <w:tbl>
      <w:tblPr>
        <w:tblW w:w="14560" w:type="dxa"/>
        <w:jc w:val="center"/>
        <w:tblLayout w:type="fixed"/>
        <w:tblLook w:val="04A0" w:firstRow="1" w:lastRow="0" w:firstColumn="1" w:lastColumn="0" w:noHBand="0" w:noVBand="1"/>
      </w:tblPr>
      <w:tblGrid>
        <w:gridCol w:w="4320"/>
        <w:gridCol w:w="1024"/>
        <w:gridCol w:w="1024"/>
        <w:gridCol w:w="1024"/>
        <w:gridCol w:w="1024"/>
        <w:gridCol w:w="1024"/>
        <w:gridCol w:w="1024"/>
        <w:gridCol w:w="1024"/>
        <w:gridCol w:w="1024"/>
        <w:gridCol w:w="1024"/>
        <w:gridCol w:w="1024"/>
      </w:tblGrid>
      <w:tr w:rsidR="001B6918" w:rsidRPr="001B6C7C" w14:paraId="02BD3CF8" w14:textId="77777777" w:rsidTr="00730ECF">
        <w:trPr>
          <w:trHeight w:val="87"/>
          <w:jc w:val="center"/>
        </w:trPr>
        <w:tc>
          <w:tcPr>
            <w:tcW w:w="4320" w:type="dxa"/>
            <w:tcBorders>
              <w:top w:val="single" w:sz="12" w:space="0" w:color="000000"/>
              <w:left w:val="nil"/>
              <w:bottom w:val="single" w:sz="12" w:space="0" w:color="000000"/>
              <w:right w:val="nil"/>
            </w:tcBorders>
            <w:shd w:val="clear" w:color="000000" w:fill="FFFFFF"/>
            <w:vAlign w:val="bottom"/>
            <w:hideMark/>
          </w:tcPr>
          <w:p w14:paraId="3892BFD9" w14:textId="77777777" w:rsidR="001B6918" w:rsidRPr="001B6C7C" w:rsidRDefault="001B6918" w:rsidP="00730ECF">
            <w:pPr>
              <w:rPr>
                <w:rFonts w:ascii="Calibri" w:eastAsia="Times New Roman" w:hAnsi="Calibri" w:cs="Calibri"/>
                <w:b/>
                <w:bCs/>
                <w:color w:val="0D0D0D"/>
              </w:rPr>
            </w:pPr>
            <w:r w:rsidRPr="001B6C7C">
              <w:rPr>
                <w:rFonts w:ascii="Calibri" w:eastAsia="Times New Roman" w:hAnsi="Calibri" w:cs="Calibri"/>
                <w:b/>
                <w:bCs/>
                <w:color w:val="0D0D0D"/>
              </w:rPr>
              <w:t>Fiscal Year Ended June 30</w:t>
            </w:r>
          </w:p>
        </w:tc>
        <w:tc>
          <w:tcPr>
            <w:tcW w:w="1024" w:type="dxa"/>
            <w:tcBorders>
              <w:top w:val="single" w:sz="12" w:space="0" w:color="000000"/>
              <w:left w:val="nil"/>
              <w:bottom w:val="single" w:sz="12" w:space="0" w:color="000000"/>
              <w:right w:val="nil"/>
            </w:tcBorders>
          </w:tcPr>
          <w:p w14:paraId="70D6B096" w14:textId="77777777" w:rsidR="001B6918" w:rsidRPr="00643226" w:rsidRDefault="001B6918" w:rsidP="00730ECF">
            <w:pPr>
              <w:jc w:val="center"/>
              <w:rPr>
                <w:rFonts w:ascii="Calibri" w:eastAsia="Times New Roman" w:hAnsi="Calibri" w:cs="Calibri"/>
                <w:b/>
                <w:bCs/>
                <w:sz w:val="20"/>
              </w:rPr>
            </w:pPr>
            <w:r>
              <w:rPr>
                <w:rFonts w:ascii="Calibri" w:eastAsia="Times New Roman" w:hAnsi="Calibri" w:cs="Calibri"/>
                <w:b/>
                <w:bCs/>
                <w:sz w:val="20"/>
              </w:rPr>
              <w:t>2025</w:t>
            </w:r>
          </w:p>
        </w:tc>
        <w:tc>
          <w:tcPr>
            <w:tcW w:w="1024" w:type="dxa"/>
            <w:tcBorders>
              <w:top w:val="single" w:sz="12" w:space="0" w:color="000000"/>
              <w:left w:val="nil"/>
              <w:bottom w:val="single" w:sz="12" w:space="0" w:color="000000"/>
              <w:right w:val="nil"/>
            </w:tcBorders>
            <w:vAlign w:val="bottom"/>
          </w:tcPr>
          <w:p w14:paraId="774152A4" w14:textId="77777777" w:rsidR="001B6918" w:rsidRPr="00643226" w:rsidRDefault="001B6918" w:rsidP="00730ECF">
            <w:pPr>
              <w:jc w:val="center"/>
              <w:rPr>
                <w:rFonts w:ascii="Calibri" w:eastAsia="Times New Roman" w:hAnsi="Calibri" w:cs="Calibri"/>
                <w:b/>
                <w:bCs/>
                <w:sz w:val="20"/>
              </w:rPr>
            </w:pPr>
            <w:r w:rsidRPr="00643226">
              <w:rPr>
                <w:rFonts w:ascii="Calibri" w:eastAsia="Times New Roman" w:hAnsi="Calibri" w:cs="Calibri"/>
                <w:b/>
                <w:bCs/>
                <w:sz w:val="20"/>
              </w:rPr>
              <w:t>2024</w:t>
            </w:r>
          </w:p>
        </w:tc>
        <w:tc>
          <w:tcPr>
            <w:tcW w:w="1024" w:type="dxa"/>
            <w:tcBorders>
              <w:top w:val="single" w:sz="12" w:space="0" w:color="000000"/>
              <w:left w:val="nil"/>
              <w:bottom w:val="single" w:sz="12" w:space="0" w:color="000000"/>
              <w:right w:val="nil"/>
            </w:tcBorders>
            <w:shd w:val="clear" w:color="auto" w:fill="F2F2F2" w:themeFill="background1" w:themeFillShade="F2"/>
            <w:noWrap/>
            <w:vAlign w:val="bottom"/>
            <w:hideMark/>
          </w:tcPr>
          <w:p w14:paraId="200C4A00" w14:textId="77777777" w:rsidR="001B6918" w:rsidRPr="00643226" w:rsidRDefault="001B6918" w:rsidP="00730ECF">
            <w:pPr>
              <w:jc w:val="center"/>
              <w:rPr>
                <w:rFonts w:ascii="Calibri" w:eastAsia="Times New Roman" w:hAnsi="Calibri" w:cs="Calibri"/>
                <w:b/>
                <w:bCs/>
                <w:sz w:val="20"/>
              </w:rPr>
            </w:pPr>
            <w:r w:rsidRPr="00643226">
              <w:rPr>
                <w:rFonts w:ascii="Calibri" w:eastAsia="Times New Roman" w:hAnsi="Calibri" w:cs="Calibri"/>
                <w:b/>
                <w:bCs/>
                <w:sz w:val="20"/>
              </w:rPr>
              <w:t>2023</w:t>
            </w:r>
          </w:p>
        </w:tc>
        <w:tc>
          <w:tcPr>
            <w:tcW w:w="1024" w:type="dxa"/>
            <w:tcBorders>
              <w:top w:val="single" w:sz="12" w:space="0" w:color="000000"/>
              <w:left w:val="nil"/>
              <w:bottom w:val="single" w:sz="12" w:space="0" w:color="000000"/>
              <w:right w:val="nil"/>
            </w:tcBorders>
            <w:shd w:val="clear" w:color="000000" w:fill="FFFFFF"/>
            <w:noWrap/>
            <w:vAlign w:val="bottom"/>
            <w:hideMark/>
          </w:tcPr>
          <w:p w14:paraId="127FB58C" w14:textId="77777777" w:rsidR="001B6918" w:rsidRPr="00643226" w:rsidRDefault="001B6918" w:rsidP="00730ECF">
            <w:pPr>
              <w:jc w:val="center"/>
              <w:rPr>
                <w:rFonts w:ascii="Calibri" w:eastAsia="Times New Roman" w:hAnsi="Calibri" w:cs="Calibri"/>
                <w:b/>
                <w:bCs/>
                <w:sz w:val="20"/>
              </w:rPr>
            </w:pPr>
            <w:r w:rsidRPr="00643226">
              <w:rPr>
                <w:rFonts w:ascii="Calibri" w:eastAsia="Times New Roman" w:hAnsi="Calibri" w:cs="Calibri"/>
                <w:b/>
                <w:bCs/>
                <w:sz w:val="20"/>
              </w:rPr>
              <w:t>2022</w:t>
            </w:r>
          </w:p>
        </w:tc>
        <w:tc>
          <w:tcPr>
            <w:tcW w:w="1024" w:type="dxa"/>
            <w:tcBorders>
              <w:top w:val="single" w:sz="12" w:space="0" w:color="000000"/>
              <w:left w:val="nil"/>
              <w:bottom w:val="single" w:sz="12" w:space="0" w:color="000000"/>
              <w:right w:val="nil"/>
            </w:tcBorders>
            <w:shd w:val="clear" w:color="auto" w:fill="F2F2F2" w:themeFill="background1" w:themeFillShade="F2"/>
            <w:noWrap/>
            <w:vAlign w:val="bottom"/>
            <w:hideMark/>
          </w:tcPr>
          <w:p w14:paraId="486483A4" w14:textId="77777777" w:rsidR="001B6918" w:rsidRPr="00643226" w:rsidRDefault="001B6918" w:rsidP="00730ECF">
            <w:pPr>
              <w:jc w:val="center"/>
              <w:rPr>
                <w:rFonts w:ascii="Calibri" w:eastAsia="Times New Roman" w:hAnsi="Calibri" w:cs="Calibri"/>
                <w:b/>
                <w:bCs/>
                <w:sz w:val="20"/>
              </w:rPr>
            </w:pPr>
            <w:r w:rsidRPr="00643226">
              <w:rPr>
                <w:rFonts w:ascii="Calibri" w:eastAsia="Times New Roman" w:hAnsi="Calibri" w:cs="Calibri"/>
                <w:b/>
                <w:bCs/>
                <w:sz w:val="20"/>
              </w:rPr>
              <w:t>2021</w:t>
            </w:r>
          </w:p>
        </w:tc>
        <w:tc>
          <w:tcPr>
            <w:tcW w:w="1024" w:type="dxa"/>
            <w:tcBorders>
              <w:top w:val="single" w:sz="12" w:space="0" w:color="000000"/>
              <w:left w:val="nil"/>
              <w:bottom w:val="single" w:sz="12" w:space="0" w:color="000000"/>
              <w:right w:val="nil"/>
            </w:tcBorders>
            <w:shd w:val="clear" w:color="000000" w:fill="FFFFFF"/>
            <w:noWrap/>
            <w:vAlign w:val="bottom"/>
            <w:hideMark/>
          </w:tcPr>
          <w:p w14:paraId="531B04DE" w14:textId="77777777" w:rsidR="001B6918" w:rsidRPr="00643226" w:rsidRDefault="001B6918" w:rsidP="00730ECF">
            <w:pPr>
              <w:jc w:val="center"/>
              <w:rPr>
                <w:rFonts w:ascii="Calibri" w:eastAsia="Times New Roman" w:hAnsi="Calibri" w:cs="Calibri"/>
                <w:b/>
                <w:bCs/>
                <w:sz w:val="20"/>
              </w:rPr>
            </w:pPr>
            <w:r w:rsidRPr="00643226">
              <w:rPr>
                <w:rFonts w:ascii="Calibri" w:eastAsia="Times New Roman" w:hAnsi="Calibri" w:cs="Calibri"/>
                <w:b/>
                <w:bCs/>
                <w:sz w:val="20"/>
              </w:rPr>
              <w:t>2020</w:t>
            </w:r>
          </w:p>
        </w:tc>
        <w:tc>
          <w:tcPr>
            <w:tcW w:w="1024" w:type="dxa"/>
            <w:tcBorders>
              <w:top w:val="single" w:sz="12" w:space="0" w:color="000000"/>
              <w:left w:val="nil"/>
              <w:bottom w:val="single" w:sz="12" w:space="0" w:color="000000"/>
              <w:right w:val="nil"/>
            </w:tcBorders>
            <w:shd w:val="clear" w:color="auto" w:fill="F2F2F2" w:themeFill="background1" w:themeFillShade="F2"/>
            <w:noWrap/>
            <w:vAlign w:val="bottom"/>
            <w:hideMark/>
          </w:tcPr>
          <w:p w14:paraId="4E968DC4" w14:textId="77777777" w:rsidR="001B6918" w:rsidRPr="00643226" w:rsidRDefault="001B6918" w:rsidP="00730ECF">
            <w:pPr>
              <w:jc w:val="center"/>
              <w:rPr>
                <w:rFonts w:ascii="Calibri" w:eastAsia="Times New Roman" w:hAnsi="Calibri" w:cs="Calibri"/>
                <w:b/>
                <w:bCs/>
                <w:color w:val="0D0D0D"/>
                <w:sz w:val="20"/>
              </w:rPr>
            </w:pPr>
            <w:r w:rsidRPr="00643226">
              <w:rPr>
                <w:rFonts w:ascii="Calibri" w:eastAsia="Times New Roman" w:hAnsi="Calibri" w:cs="Calibri"/>
                <w:b/>
                <w:bCs/>
                <w:color w:val="0D0D0D"/>
                <w:sz w:val="20"/>
              </w:rPr>
              <w:t>2019</w:t>
            </w:r>
          </w:p>
        </w:tc>
        <w:tc>
          <w:tcPr>
            <w:tcW w:w="1024" w:type="dxa"/>
            <w:tcBorders>
              <w:top w:val="single" w:sz="12" w:space="0" w:color="000000"/>
              <w:left w:val="nil"/>
              <w:bottom w:val="single" w:sz="12" w:space="0" w:color="000000"/>
              <w:right w:val="nil"/>
            </w:tcBorders>
            <w:shd w:val="clear" w:color="000000" w:fill="FFFFFF"/>
            <w:noWrap/>
            <w:vAlign w:val="bottom"/>
            <w:hideMark/>
          </w:tcPr>
          <w:p w14:paraId="00C97F3C" w14:textId="77777777" w:rsidR="001B6918" w:rsidRPr="00643226" w:rsidRDefault="001B6918" w:rsidP="00730ECF">
            <w:pPr>
              <w:jc w:val="center"/>
              <w:rPr>
                <w:rFonts w:ascii="Calibri" w:eastAsia="Times New Roman" w:hAnsi="Calibri" w:cs="Calibri"/>
                <w:b/>
                <w:bCs/>
                <w:color w:val="0D0D0D"/>
                <w:sz w:val="20"/>
              </w:rPr>
            </w:pPr>
            <w:r w:rsidRPr="00643226">
              <w:rPr>
                <w:rFonts w:ascii="Calibri" w:eastAsia="Times New Roman" w:hAnsi="Calibri" w:cs="Calibri"/>
                <w:b/>
                <w:bCs/>
                <w:color w:val="0D0D0D"/>
                <w:sz w:val="20"/>
              </w:rPr>
              <w:t>2018</w:t>
            </w:r>
          </w:p>
        </w:tc>
        <w:tc>
          <w:tcPr>
            <w:tcW w:w="1024" w:type="dxa"/>
            <w:tcBorders>
              <w:top w:val="single" w:sz="12" w:space="0" w:color="000000"/>
              <w:left w:val="nil"/>
              <w:bottom w:val="single" w:sz="12" w:space="0" w:color="000000"/>
              <w:right w:val="nil"/>
            </w:tcBorders>
            <w:shd w:val="clear" w:color="auto" w:fill="F2F2F2" w:themeFill="background1" w:themeFillShade="F2"/>
            <w:noWrap/>
            <w:vAlign w:val="bottom"/>
            <w:hideMark/>
          </w:tcPr>
          <w:p w14:paraId="4D22CAE8" w14:textId="77777777" w:rsidR="001B6918" w:rsidRPr="00643226" w:rsidRDefault="001B6918" w:rsidP="00730ECF">
            <w:pPr>
              <w:jc w:val="center"/>
              <w:rPr>
                <w:rFonts w:ascii="Calibri" w:eastAsia="Times New Roman" w:hAnsi="Calibri" w:cs="Calibri"/>
                <w:b/>
                <w:bCs/>
                <w:color w:val="0D0D0D"/>
                <w:sz w:val="20"/>
              </w:rPr>
            </w:pPr>
            <w:r w:rsidRPr="00643226">
              <w:rPr>
                <w:rFonts w:ascii="Calibri" w:eastAsia="Times New Roman" w:hAnsi="Calibri" w:cs="Calibri"/>
                <w:b/>
                <w:bCs/>
                <w:color w:val="0D0D0D"/>
                <w:sz w:val="20"/>
              </w:rPr>
              <w:t>2017</w:t>
            </w:r>
          </w:p>
        </w:tc>
        <w:tc>
          <w:tcPr>
            <w:tcW w:w="1024" w:type="dxa"/>
            <w:tcBorders>
              <w:top w:val="single" w:sz="12" w:space="0" w:color="000000"/>
              <w:left w:val="nil"/>
              <w:bottom w:val="single" w:sz="12" w:space="0" w:color="000000"/>
              <w:right w:val="nil"/>
            </w:tcBorders>
            <w:shd w:val="clear" w:color="000000" w:fill="FFFFFF"/>
            <w:noWrap/>
            <w:vAlign w:val="bottom"/>
            <w:hideMark/>
          </w:tcPr>
          <w:p w14:paraId="4ACF0345" w14:textId="77777777" w:rsidR="001B6918" w:rsidRPr="00643226" w:rsidRDefault="001B6918" w:rsidP="00730ECF">
            <w:pPr>
              <w:jc w:val="center"/>
              <w:rPr>
                <w:rFonts w:ascii="Calibri" w:eastAsia="Times New Roman" w:hAnsi="Calibri" w:cs="Calibri"/>
                <w:b/>
                <w:bCs/>
                <w:color w:val="0D0D0D"/>
                <w:sz w:val="20"/>
              </w:rPr>
            </w:pPr>
            <w:r w:rsidRPr="00643226">
              <w:rPr>
                <w:rFonts w:ascii="Calibri" w:eastAsia="Times New Roman" w:hAnsi="Calibri" w:cs="Calibri"/>
                <w:b/>
                <w:bCs/>
                <w:color w:val="0D0D0D"/>
                <w:sz w:val="20"/>
              </w:rPr>
              <w:t>2016</w:t>
            </w:r>
            <w:r w:rsidRPr="00643226">
              <w:rPr>
                <w:rFonts w:ascii="Calibri" w:eastAsia="Times New Roman" w:hAnsi="Calibri" w:cs="Calibri"/>
                <w:b/>
                <w:bCs/>
                <w:color w:val="0D0D0D"/>
                <w:sz w:val="20"/>
                <w:vertAlign w:val="superscript"/>
              </w:rPr>
              <w:t>**</w:t>
            </w:r>
          </w:p>
        </w:tc>
      </w:tr>
      <w:tr w:rsidR="001B6918" w:rsidRPr="001B6C7C" w14:paraId="5A89C606" w14:textId="77777777" w:rsidTr="00730ECF">
        <w:trPr>
          <w:trHeight w:val="60"/>
          <w:jc w:val="center"/>
        </w:trPr>
        <w:tc>
          <w:tcPr>
            <w:tcW w:w="4320" w:type="dxa"/>
            <w:tcBorders>
              <w:top w:val="nil"/>
              <w:left w:val="nil"/>
              <w:bottom w:val="nil"/>
              <w:right w:val="nil"/>
            </w:tcBorders>
            <w:shd w:val="clear" w:color="000000" w:fill="FFFFFF"/>
            <w:vAlign w:val="center"/>
            <w:hideMark/>
          </w:tcPr>
          <w:p w14:paraId="30D8B3D6" w14:textId="77777777" w:rsidR="001B6918" w:rsidRPr="001B6C7C" w:rsidRDefault="001B6918" w:rsidP="00730ECF">
            <w:pPr>
              <w:rPr>
                <w:rFonts w:ascii="Calibri" w:eastAsia="Times New Roman" w:hAnsi="Calibri" w:cs="Calibri"/>
              </w:rPr>
            </w:pPr>
            <w:r w:rsidRPr="001B6C7C">
              <w:rPr>
                <w:rFonts w:ascii="Calibri" w:eastAsia="Times New Roman" w:hAnsi="Calibri" w:cs="Calibri"/>
              </w:rPr>
              <w:t>Changes for the year:</w:t>
            </w:r>
          </w:p>
        </w:tc>
        <w:tc>
          <w:tcPr>
            <w:tcW w:w="1024" w:type="dxa"/>
            <w:tcBorders>
              <w:top w:val="nil"/>
              <w:left w:val="nil"/>
              <w:bottom w:val="nil"/>
              <w:right w:val="nil"/>
            </w:tcBorders>
          </w:tcPr>
          <w:p w14:paraId="0477E600" w14:textId="77777777" w:rsidR="001B6918" w:rsidRPr="00643226" w:rsidRDefault="001B6918" w:rsidP="00730ECF">
            <w:pPr>
              <w:rPr>
                <w:rFonts w:ascii="Calibri" w:eastAsia="Times New Roman" w:hAnsi="Calibri" w:cs="Calibri"/>
                <w:sz w:val="20"/>
              </w:rPr>
            </w:pPr>
          </w:p>
        </w:tc>
        <w:tc>
          <w:tcPr>
            <w:tcW w:w="1024" w:type="dxa"/>
            <w:tcBorders>
              <w:top w:val="nil"/>
              <w:left w:val="nil"/>
              <w:bottom w:val="nil"/>
              <w:right w:val="nil"/>
            </w:tcBorders>
            <w:vAlign w:val="bottom"/>
          </w:tcPr>
          <w:p w14:paraId="06BF3C89" w14:textId="77777777" w:rsidR="001B6918" w:rsidRPr="00643226" w:rsidRDefault="001B6918" w:rsidP="00730ECF">
            <w:pPr>
              <w:rPr>
                <w:rFonts w:ascii="Calibri" w:eastAsia="Times New Roman" w:hAnsi="Calibri" w:cs="Calibri"/>
                <w:sz w:val="20"/>
              </w:rPr>
            </w:pPr>
          </w:p>
        </w:tc>
        <w:tc>
          <w:tcPr>
            <w:tcW w:w="1024" w:type="dxa"/>
            <w:tcBorders>
              <w:top w:val="nil"/>
              <w:left w:val="nil"/>
              <w:bottom w:val="nil"/>
              <w:right w:val="nil"/>
            </w:tcBorders>
            <w:shd w:val="clear" w:color="auto" w:fill="F2F2F2" w:themeFill="background1" w:themeFillShade="F2"/>
            <w:noWrap/>
            <w:vAlign w:val="bottom"/>
            <w:hideMark/>
          </w:tcPr>
          <w:p w14:paraId="7181FF86" w14:textId="77777777" w:rsidR="001B6918" w:rsidRPr="00643226" w:rsidRDefault="001B6918" w:rsidP="00730ECF">
            <w:pPr>
              <w:rPr>
                <w:rFonts w:ascii="Calibri" w:eastAsia="Times New Roman" w:hAnsi="Calibri" w:cs="Calibri"/>
                <w:sz w:val="20"/>
              </w:rPr>
            </w:pPr>
            <w:r w:rsidRPr="00643226">
              <w:rPr>
                <w:rFonts w:ascii="Calibri" w:eastAsia="Times New Roman" w:hAnsi="Calibri" w:cs="Calibri"/>
                <w:sz w:val="20"/>
              </w:rPr>
              <w:t> </w:t>
            </w:r>
          </w:p>
        </w:tc>
        <w:tc>
          <w:tcPr>
            <w:tcW w:w="1024" w:type="dxa"/>
            <w:tcBorders>
              <w:top w:val="nil"/>
              <w:left w:val="nil"/>
              <w:bottom w:val="nil"/>
              <w:right w:val="nil"/>
            </w:tcBorders>
            <w:shd w:val="clear" w:color="000000" w:fill="FFFFFF"/>
            <w:noWrap/>
            <w:vAlign w:val="bottom"/>
            <w:hideMark/>
          </w:tcPr>
          <w:p w14:paraId="2334BAE2" w14:textId="77777777" w:rsidR="001B6918" w:rsidRPr="00643226" w:rsidRDefault="001B6918" w:rsidP="00730ECF">
            <w:pPr>
              <w:rPr>
                <w:rFonts w:ascii="Calibri" w:eastAsia="Times New Roman" w:hAnsi="Calibri" w:cs="Calibri"/>
                <w:sz w:val="20"/>
              </w:rPr>
            </w:pPr>
            <w:r w:rsidRPr="00643226">
              <w:rPr>
                <w:rFonts w:ascii="Calibri" w:eastAsia="Times New Roman" w:hAnsi="Calibri" w:cs="Calibri"/>
                <w:sz w:val="20"/>
              </w:rPr>
              <w:t> </w:t>
            </w:r>
          </w:p>
        </w:tc>
        <w:tc>
          <w:tcPr>
            <w:tcW w:w="1024" w:type="dxa"/>
            <w:tcBorders>
              <w:top w:val="nil"/>
              <w:left w:val="nil"/>
              <w:bottom w:val="nil"/>
              <w:right w:val="nil"/>
            </w:tcBorders>
            <w:shd w:val="clear" w:color="auto" w:fill="F2F2F2" w:themeFill="background1" w:themeFillShade="F2"/>
            <w:noWrap/>
            <w:vAlign w:val="bottom"/>
            <w:hideMark/>
          </w:tcPr>
          <w:p w14:paraId="38F225AD" w14:textId="77777777" w:rsidR="001B6918" w:rsidRPr="00643226" w:rsidRDefault="001B6918" w:rsidP="00730ECF">
            <w:pPr>
              <w:rPr>
                <w:rFonts w:ascii="Calibri" w:eastAsia="Times New Roman" w:hAnsi="Calibri" w:cs="Calibri"/>
                <w:sz w:val="20"/>
              </w:rPr>
            </w:pPr>
            <w:r w:rsidRPr="00643226">
              <w:rPr>
                <w:rFonts w:ascii="Calibri" w:eastAsia="Times New Roman" w:hAnsi="Calibri" w:cs="Calibri"/>
                <w:sz w:val="20"/>
              </w:rPr>
              <w:t> </w:t>
            </w:r>
          </w:p>
        </w:tc>
        <w:tc>
          <w:tcPr>
            <w:tcW w:w="1024" w:type="dxa"/>
            <w:tcBorders>
              <w:top w:val="nil"/>
              <w:left w:val="nil"/>
              <w:bottom w:val="nil"/>
              <w:right w:val="nil"/>
            </w:tcBorders>
            <w:shd w:val="clear" w:color="000000" w:fill="FFFFFF"/>
            <w:noWrap/>
            <w:vAlign w:val="bottom"/>
            <w:hideMark/>
          </w:tcPr>
          <w:p w14:paraId="3C9C32D1" w14:textId="77777777" w:rsidR="001B6918" w:rsidRPr="00643226" w:rsidRDefault="001B6918" w:rsidP="00730ECF">
            <w:pPr>
              <w:rPr>
                <w:rFonts w:ascii="Calibri" w:eastAsia="Times New Roman" w:hAnsi="Calibri" w:cs="Calibri"/>
                <w:sz w:val="20"/>
              </w:rPr>
            </w:pPr>
            <w:r w:rsidRPr="00643226">
              <w:rPr>
                <w:rFonts w:ascii="Calibri" w:eastAsia="Times New Roman" w:hAnsi="Calibri" w:cs="Calibri"/>
                <w:sz w:val="20"/>
              </w:rPr>
              <w:t> </w:t>
            </w:r>
          </w:p>
        </w:tc>
        <w:tc>
          <w:tcPr>
            <w:tcW w:w="1024" w:type="dxa"/>
            <w:tcBorders>
              <w:top w:val="nil"/>
              <w:left w:val="nil"/>
              <w:bottom w:val="nil"/>
              <w:right w:val="nil"/>
            </w:tcBorders>
            <w:shd w:val="clear" w:color="auto" w:fill="F2F2F2" w:themeFill="background1" w:themeFillShade="F2"/>
            <w:noWrap/>
            <w:vAlign w:val="bottom"/>
            <w:hideMark/>
          </w:tcPr>
          <w:p w14:paraId="4F565504" w14:textId="77777777" w:rsidR="001B6918" w:rsidRPr="00643226" w:rsidRDefault="001B6918" w:rsidP="00730ECF">
            <w:pPr>
              <w:rPr>
                <w:rFonts w:ascii="Calibri" w:eastAsia="Times New Roman" w:hAnsi="Calibri" w:cs="Calibri"/>
                <w:sz w:val="20"/>
              </w:rPr>
            </w:pPr>
            <w:r w:rsidRPr="00643226">
              <w:rPr>
                <w:rFonts w:ascii="Calibri" w:eastAsia="Times New Roman" w:hAnsi="Calibri" w:cs="Calibri"/>
                <w:sz w:val="20"/>
              </w:rPr>
              <w:t> </w:t>
            </w:r>
          </w:p>
        </w:tc>
        <w:tc>
          <w:tcPr>
            <w:tcW w:w="1024" w:type="dxa"/>
            <w:tcBorders>
              <w:top w:val="nil"/>
              <w:left w:val="nil"/>
              <w:bottom w:val="nil"/>
              <w:right w:val="nil"/>
            </w:tcBorders>
            <w:shd w:val="clear" w:color="000000" w:fill="FFFFFF"/>
            <w:noWrap/>
            <w:vAlign w:val="bottom"/>
            <w:hideMark/>
          </w:tcPr>
          <w:p w14:paraId="3E08532B" w14:textId="77777777" w:rsidR="001B6918" w:rsidRPr="00643226" w:rsidRDefault="001B6918" w:rsidP="00730ECF">
            <w:pPr>
              <w:rPr>
                <w:rFonts w:ascii="Calibri" w:eastAsia="Times New Roman" w:hAnsi="Calibri" w:cs="Calibri"/>
                <w:sz w:val="20"/>
              </w:rPr>
            </w:pPr>
            <w:r w:rsidRPr="00643226">
              <w:rPr>
                <w:rFonts w:ascii="Calibri" w:eastAsia="Times New Roman" w:hAnsi="Calibri" w:cs="Calibri"/>
                <w:sz w:val="20"/>
              </w:rPr>
              <w:t> </w:t>
            </w:r>
          </w:p>
        </w:tc>
        <w:tc>
          <w:tcPr>
            <w:tcW w:w="1024" w:type="dxa"/>
            <w:tcBorders>
              <w:top w:val="nil"/>
              <w:left w:val="nil"/>
              <w:bottom w:val="nil"/>
              <w:right w:val="nil"/>
            </w:tcBorders>
            <w:shd w:val="clear" w:color="auto" w:fill="F2F2F2" w:themeFill="background1" w:themeFillShade="F2"/>
            <w:noWrap/>
            <w:vAlign w:val="bottom"/>
            <w:hideMark/>
          </w:tcPr>
          <w:p w14:paraId="606B74DB" w14:textId="77777777" w:rsidR="001B6918" w:rsidRPr="00643226" w:rsidRDefault="001B6918" w:rsidP="00730ECF">
            <w:pPr>
              <w:rPr>
                <w:rFonts w:ascii="Calibri" w:eastAsia="Times New Roman" w:hAnsi="Calibri" w:cs="Calibri"/>
                <w:sz w:val="20"/>
              </w:rPr>
            </w:pPr>
            <w:r w:rsidRPr="00643226">
              <w:rPr>
                <w:rFonts w:ascii="Calibri" w:eastAsia="Times New Roman" w:hAnsi="Calibri" w:cs="Calibri"/>
                <w:sz w:val="20"/>
              </w:rPr>
              <w:t> </w:t>
            </w:r>
          </w:p>
        </w:tc>
        <w:tc>
          <w:tcPr>
            <w:tcW w:w="1024" w:type="dxa"/>
            <w:tcBorders>
              <w:top w:val="nil"/>
              <w:left w:val="nil"/>
              <w:bottom w:val="nil"/>
              <w:right w:val="nil"/>
            </w:tcBorders>
            <w:shd w:val="clear" w:color="000000" w:fill="FFFFFF"/>
            <w:noWrap/>
            <w:vAlign w:val="bottom"/>
            <w:hideMark/>
          </w:tcPr>
          <w:p w14:paraId="156EE667" w14:textId="77777777" w:rsidR="001B6918" w:rsidRPr="00643226" w:rsidRDefault="001B6918" w:rsidP="00730ECF">
            <w:pPr>
              <w:rPr>
                <w:rFonts w:ascii="Calibri" w:eastAsia="Times New Roman" w:hAnsi="Calibri" w:cs="Calibri"/>
                <w:color w:val="FF0000"/>
                <w:sz w:val="20"/>
              </w:rPr>
            </w:pPr>
            <w:r w:rsidRPr="00643226">
              <w:rPr>
                <w:rFonts w:ascii="Calibri" w:eastAsia="Times New Roman" w:hAnsi="Calibri" w:cs="Calibri"/>
                <w:color w:val="FF0000"/>
                <w:sz w:val="20"/>
              </w:rPr>
              <w:t> </w:t>
            </w:r>
          </w:p>
        </w:tc>
      </w:tr>
      <w:tr w:rsidR="001B6918" w:rsidRPr="001B6C7C" w14:paraId="144D01CE" w14:textId="77777777" w:rsidTr="00730ECF">
        <w:trPr>
          <w:trHeight w:val="80"/>
          <w:jc w:val="center"/>
        </w:trPr>
        <w:tc>
          <w:tcPr>
            <w:tcW w:w="4320" w:type="dxa"/>
            <w:tcBorders>
              <w:top w:val="nil"/>
              <w:left w:val="nil"/>
              <w:bottom w:val="nil"/>
              <w:right w:val="nil"/>
            </w:tcBorders>
            <w:shd w:val="clear" w:color="000000" w:fill="FFFFFF"/>
            <w:vAlign w:val="center"/>
            <w:hideMark/>
          </w:tcPr>
          <w:p w14:paraId="727EAE64" w14:textId="77777777" w:rsidR="001B6918" w:rsidRPr="001B6C7C" w:rsidRDefault="001B6918" w:rsidP="00730ECF">
            <w:pPr>
              <w:rPr>
                <w:rFonts w:ascii="Calibri" w:eastAsia="Times New Roman" w:hAnsi="Calibri" w:cs="Calibri"/>
              </w:rPr>
            </w:pPr>
            <w:r w:rsidRPr="001B6C7C">
              <w:rPr>
                <w:rFonts w:ascii="Calibri" w:eastAsia="Times New Roman" w:hAnsi="Calibri" w:cs="Calibri"/>
              </w:rPr>
              <w:t>Service cost</w:t>
            </w:r>
          </w:p>
        </w:tc>
        <w:tc>
          <w:tcPr>
            <w:tcW w:w="1024" w:type="dxa"/>
            <w:tcBorders>
              <w:top w:val="nil"/>
              <w:left w:val="nil"/>
              <w:bottom w:val="nil"/>
              <w:right w:val="nil"/>
            </w:tcBorders>
            <w:vAlign w:val="bottom"/>
          </w:tcPr>
          <w:p w14:paraId="00F526D9" w14:textId="77777777" w:rsidR="001B6918" w:rsidRPr="002504E7" w:rsidRDefault="001B6918" w:rsidP="00730ECF">
            <w:pPr>
              <w:jc w:val="right"/>
              <w:rPr>
                <w:rFonts w:ascii="Calibri" w:eastAsia="Times New Roman" w:hAnsi="Calibri" w:cs="Calibri"/>
                <w:sz w:val="20"/>
              </w:rPr>
            </w:pPr>
            <w:r w:rsidRPr="002504E7">
              <w:rPr>
                <w:rFonts w:ascii="Calibri" w:eastAsia="Times New Roman" w:hAnsi="Calibri" w:cs="Calibri"/>
                <w:sz w:val="20"/>
              </w:rPr>
              <w:t>$</w:t>
            </w:r>
            <w:r>
              <w:rPr>
                <w:rFonts w:ascii="Calibri" w:eastAsia="Times New Roman" w:hAnsi="Calibri" w:cs="Calibri"/>
                <w:sz w:val="20"/>
              </w:rPr>
              <w:t xml:space="preserve">    </w:t>
            </w:r>
            <w:r w:rsidRPr="002504E7">
              <w:rPr>
                <w:rFonts w:ascii="Calibri" w:eastAsia="Times New Roman" w:hAnsi="Calibri" w:cs="Calibri"/>
                <w:sz w:val="20"/>
              </w:rPr>
              <w:t>6,112</w:t>
            </w:r>
          </w:p>
        </w:tc>
        <w:tc>
          <w:tcPr>
            <w:tcW w:w="1024" w:type="dxa"/>
            <w:tcBorders>
              <w:top w:val="nil"/>
              <w:left w:val="nil"/>
              <w:bottom w:val="nil"/>
              <w:right w:val="nil"/>
            </w:tcBorders>
            <w:vAlign w:val="bottom"/>
          </w:tcPr>
          <w:p w14:paraId="57DFF154" w14:textId="77777777" w:rsidR="001B6918" w:rsidRPr="00643226" w:rsidRDefault="001B6918" w:rsidP="00730ECF">
            <w:pPr>
              <w:jc w:val="right"/>
              <w:rPr>
                <w:rFonts w:ascii="Calibri" w:eastAsia="Times New Roman" w:hAnsi="Calibri" w:cs="Calibri"/>
                <w:sz w:val="20"/>
              </w:rPr>
            </w:pPr>
            <w:r w:rsidRPr="009B44FB">
              <w:rPr>
                <w:rFonts w:ascii="Calibri" w:eastAsia="Times New Roman" w:hAnsi="Calibri" w:cs="Calibri"/>
                <w:sz w:val="20"/>
              </w:rPr>
              <w:t xml:space="preserve">$    </w:t>
            </w:r>
            <w:r w:rsidRPr="00643226">
              <w:rPr>
                <w:rFonts w:ascii="Calibri" w:eastAsia="Times New Roman" w:hAnsi="Calibri" w:cs="Calibri"/>
                <w:sz w:val="20"/>
              </w:rPr>
              <w:t>5,905</w:t>
            </w:r>
          </w:p>
        </w:tc>
        <w:tc>
          <w:tcPr>
            <w:tcW w:w="1024" w:type="dxa"/>
            <w:tcBorders>
              <w:top w:val="nil"/>
              <w:left w:val="nil"/>
              <w:bottom w:val="nil"/>
              <w:right w:val="nil"/>
            </w:tcBorders>
            <w:shd w:val="clear" w:color="auto" w:fill="F2F2F2" w:themeFill="background1" w:themeFillShade="F2"/>
            <w:noWrap/>
            <w:vAlign w:val="bottom"/>
            <w:hideMark/>
          </w:tcPr>
          <w:p w14:paraId="4539FA95"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6,364</w:t>
            </w:r>
          </w:p>
        </w:tc>
        <w:tc>
          <w:tcPr>
            <w:tcW w:w="1024" w:type="dxa"/>
            <w:tcBorders>
              <w:top w:val="nil"/>
              <w:left w:val="nil"/>
              <w:bottom w:val="nil"/>
              <w:right w:val="nil"/>
            </w:tcBorders>
            <w:shd w:val="clear" w:color="000000" w:fill="FFFFFF"/>
            <w:noWrap/>
            <w:vAlign w:val="bottom"/>
            <w:hideMark/>
          </w:tcPr>
          <w:p w14:paraId="5C4F0DFA"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6,150</w:t>
            </w:r>
          </w:p>
        </w:tc>
        <w:tc>
          <w:tcPr>
            <w:tcW w:w="1024" w:type="dxa"/>
            <w:tcBorders>
              <w:top w:val="nil"/>
              <w:left w:val="nil"/>
              <w:bottom w:val="nil"/>
              <w:right w:val="nil"/>
            </w:tcBorders>
            <w:shd w:val="clear" w:color="auto" w:fill="F2F2F2" w:themeFill="background1" w:themeFillShade="F2"/>
            <w:noWrap/>
            <w:vAlign w:val="bottom"/>
            <w:hideMark/>
          </w:tcPr>
          <w:p w14:paraId="5FD82694"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6,964</w:t>
            </w:r>
          </w:p>
        </w:tc>
        <w:tc>
          <w:tcPr>
            <w:tcW w:w="1024" w:type="dxa"/>
            <w:tcBorders>
              <w:top w:val="nil"/>
              <w:left w:val="nil"/>
              <w:bottom w:val="nil"/>
              <w:right w:val="nil"/>
            </w:tcBorders>
            <w:shd w:val="clear" w:color="000000" w:fill="FFFFFF"/>
            <w:noWrap/>
            <w:vAlign w:val="bottom"/>
            <w:hideMark/>
          </w:tcPr>
          <w:p w14:paraId="024CF827"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6,434</w:t>
            </w:r>
          </w:p>
        </w:tc>
        <w:tc>
          <w:tcPr>
            <w:tcW w:w="1024" w:type="dxa"/>
            <w:tcBorders>
              <w:top w:val="nil"/>
              <w:left w:val="nil"/>
              <w:bottom w:val="nil"/>
              <w:right w:val="nil"/>
            </w:tcBorders>
            <w:shd w:val="clear" w:color="auto" w:fill="F2F2F2" w:themeFill="background1" w:themeFillShade="F2"/>
            <w:noWrap/>
            <w:vAlign w:val="bottom"/>
            <w:hideMark/>
          </w:tcPr>
          <w:p w14:paraId="5DD8915C"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6,583</w:t>
            </w:r>
          </w:p>
        </w:tc>
        <w:tc>
          <w:tcPr>
            <w:tcW w:w="1024" w:type="dxa"/>
            <w:tcBorders>
              <w:top w:val="nil"/>
              <w:left w:val="nil"/>
              <w:bottom w:val="nil"/>
              <w:right w:val="nil"/>
            </w:tcBorders>
            <w:shd w:val="clear" w:color="000000" w:fill="FFFFFF"/>
            <w:noWrap/>
            <w:vAlign w:val="bottom"/>
            <w:hideMark/>
          </w:tcPr>
          <w:p w14:paraId="584D622C"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6,330</w:t>
            </w:r>
          </w:p>
        </w:tc>
        <w:tc>
          <w:tcPr>
            <w:tcW w:w="1024" w:type="dxa"/>
            <w:tcBorders>
              <w:top w:val="nil"/>
              <w:left w:val="nil"/>
              <w:bottom w:val="nil"/>
              <w:right w:val="nil"/>
            </w:tcBorders>
            <w:shd w:val="clear" w:color="auto" w:fill="F2F2F2" w:themeFill="background1" w:themeFillShade="F2"/>
            <w:noWrap/>
            <w:vAlign w:val="bottom"/>
            <w:hideMark/>
          </w:tcPr>
          <w:p w14:paraId="2BBC041B"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6,174</w:t>
            </w:r>
          </w:p>
        </w:tc>
        <w:tc>
          <w:tcPr>
            <w:tcW w:w="1024" w:type="dxa"/>
            <w:tcBorders>
              <w:top w:val="nil"/>
              <w:left w:val="nil"/>
              <w:bottom w:val="nil"/>
              <w:right w:val="nil"/>
            </w:tcBorders>
            <w:shd w:val="clear" w:color="000000" w:fill="FFFFFF"/>
            <w:noWrap/>
            <w:vAlign w:val="bottom"/>
            <w:hideMark/>
          </w:tcPr>
          <w:p w14:paraId="66F65CA5"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w:t>
            </w:r>
          </w:p>
        </w:tc>
      </w:tr>
      <w:tr w:rsidR="001B6918" w:rsidRPr="001B6C7C" w14:paraId="6F07E201" w14:textId="77777777" w:rsidTr="00730ECF">
        <w:trPr>
          <w:trHeight w:val="80"/>
          <w:jc w:val="center"/>
        </w:trPr>
        <w:tc>
          <w:tcPr>
            <w:tcW w:w="4320" w:type="dxa"/>
            <w:tcBorders>
              <w:top w:val="nil"/>
              <w:left w:val="nil"/>
              <w:bottom w:val="nil"/>
              <w:right w:val="nil"/>
            </w:tcBorders>
            <w:shd w:val="clear" w:color="000000" w:fill="FFFFFF"/>
            <w:vAlign w:val="center"/>
            <w:hideMark/>
          </w:tcPr>
          <w:p w14:paraId="694B09D6" w14:textId="77777777" w:rsidR="001B6918" w:rsidRPr="001B6C7C" w:rsidRDefault="001B6918" w:rsidP="00730ECF">
            <w:pPr>
              <w:rPr>
                <w:rFonts w:ascii="Calibri" w:eastAsia="Times New Roman" w:hAnsi="Calibri" w:cs="Calibri"/>
              </w:rPr>
            </w:pPr>
            <w:r w:rsidRPr="001B6C7C">
              <w:rPr>
                <w:rFonts w:ascii="Calibri" w:eastAsia="Times New Roman" w:hAnsi="Calibri" w:cs="Calibri"/>
              </w:rPr>
              <w:t>Interest</w:t>
            </w:r>
          </w:p>
        </w:tc>
        <w:tc>
          <w:tcPr>
            <w:tcW w:w="1024" w:type="dxa"/>
            <w:tcBorders>
              <w:top w:val="nil"/>
              <w:left w:val="nil"/>
              <w:bottom w:val="nil"/>
              <w:right w:val="nil"/>
            </w:tcBorders>
            <w:vAlign w:val="bottom"/>
          </w:tcPr>
          <w:p w14:paraId="7EC533F3" w14:textId="77777777" w:rsidR="001B6918" w:rsidRPr="002504E7" w:rsidRDefault="001B6918" w:rsidP="00730ECF">
            <w:pPr>
              <w:jc w:val="right"/>
              <w:rPr>
                <w:rFonts w:ascii="Calibri" w:eastAsia="Times New Roman" w:hAnsi="Calibri" w:cs="Calibri"/>
                <w:sz w:val="20"/>
              </w:rPr>
            </w:pPr>
            <w:r w:rsidRPr="002504E7">
              <w:rPr>
                <w:rFonts w:ascii="Calibri" w:eastAsia="Times New Roman" w:hAnsi="Calibri" w:cs="Calibri"/>
                <w:sz w:val="20"/>
              </w:rPr>
              <w:t>11,868</w:t>
            </w:r>
          </w:p>
        </w:tc>
        <w:tc>
          <w:tcPr>
            <w:tcW w:w="1024" w:type="dxa"/>
            <w:tcBorders>
              <w:top w:val="nil"/>
              <w:left w:val="nil"/>
              <w:bottom w:val="nil"/>
              <w:right w:val="nil"/>
            </w:tcBorders>
            <w:vAlign w:val="bottom"/>
          </w:tcPr>
          <w:p w14:paraId="6E66EFFB"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11,219</w:t>
            </w:r>
          </w:p>
        </w:tc>
        <w:tc>
          <w:tcPr>
            <w:tcW w:w="1024" w:type="dxa"/>
            <w:tcBorders>
              <w:top w:val="nil"/>
              <w:left w:val="nil"/>
              <w:bottom w:val="nil"/>
              <w:right w:val="nil"/>
            </w:tcBorders>
            <w:shd w:val="clear" w:color="auto" w:fill="F2F2F2" w:themeFill="background1" w:themeFillShade="F2"/>
            <w:noWrap/>
            <w:vAlign w:val="bottom"/>
            <w:hideMark/>
          </w:tcPr>
          <w:p w14:paraId="7E115003"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12,803</w:t>
            </w:r>
          </w:p>
        </w:tc>
        <w:tc>
          <w:tcPr>
            <w:tcW w:w="1024" w:type="dxa"/>
            <w:tcBorders>
              <w:top w:val="nil"/>
              <w:left w:val="nil"/>
              <w:bottom w:val="nil"/>
              <w:right w:val="nil"/>
            </w:tcBorders>
            <w:shd w:val="clear" w:color="000000" w:fill="FFFFFF"/>
            <w:noWrap/>
            <w:vAlign w:val="bottom"/>
            <w:hideMark/>
          </w:tcPr>
          <w:p w14:paraId="79378F94"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11,969</w:t>
            </w:r>
          </w:p>
        </w:tc>
        <w:tc>
          <w:tcPr>
            <w:tcW w:w="1024" w:type="dxa"/>
            <w:tcBorders>
              <w:top w:val="nil"/>
              <w:left w:val="nil"/>
              <w:bottom w:val="nil"/>
              <w:right w:val="nil"/>
            </w:tcBorders>
            <w:shd w:val="clear" w:color="auto" w:fill="F2F2F2" w:themeFill="background1" w:themeFillShade="F2"/>
            <w:noWrap/>
            <w:vAlign w:val="bottom"/>
            <w:hideMark/>
          </w:tcPr>
          <w:p w14:paraId="638C10C8"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15,725</w:t>
            </w:r>
          </w:p>
        </w:tc>
        <w:tc>
          <w:tcPr>
            <w:tcW w:w="1024" w:type="dxa"/>
            <w:tcBorders>
              <w:top w:val="nil"/>
              <w:left w:val="nil"/>
              <w:bottom w:val="nil"/>
              <w:right w:val="nil"/>
            </w:tcBorders>
            <w:shd w:val="clear" w:color="000000" w:fill="FFFFFF"/>
            <w:noWrap/>
            <w:vAlign w:val="bottom"/>
            <w:hideMark/>
          </w:tcPr>
          <w:p w14:paraId="0F6CB7C7"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14,769</w:t>
            </w:r>
          </w:p>
        </w:tc>
        <w:tc>
          <w:tcPr>
            <w:tcW w:w="1024" w:type="dxa"/>
            <w:tcBorders>
              <w:top w:val="nil"/>
              <w:left w:val="nil"/>
              <w:bottom w:val="nil"/>
              <w:right w:val="nil"/>
            </w:tcBorders>
            <w:shd w:val="clear" w:color="auto" w:fill="F2F2F2" w:themeFill="background1" w:themeFillShade="F2"/>
            <w:noWrap/>
            <w:vAlign w:val="bottom"/>
            <w:hideMark/>
          </w:tcPr>
          <w:p w14:paraId="58D30F14"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15,354</w:t>
            </w:r>
          </w:p>
        </w:tc>
        <w:tc>
          <w:tcPr>
            <w:tcW w:w="1024" w:type="dxa"/>
            <w:tcBorders>
              <w:top w:val="nil"/>
              <w:left w:val="nil"/>
              <w:bottom w:val="nil"/>
              <w:right w:val="nil"/>
            </w:tcBorders>
            <w:shd w:val="clear" w:color="000000" w:fill="FFFFFF"/>
            <w:noWrap/>
            <w:vAlign w:val="bottom"/>
            <w:hideMark/>
          </w:tcPr>
          <w:p w14:paraId="33F65E8A"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14,482</w:t>
            </w:r>
          </w:p>
        </w:tc>
        <w:tc>
          <w:tcPr>
            <w:tcW w:w="1024" w:type="dxa"/>
            <w:tcBorders>
              <w:top w:val="nil"/>
              <w:left w:val="nil"/>
              <w:bottom w:val="nil"/>
              <w:right w:val="nil"/>
            </w:tcBorders>
            <w:shd w:val="clear" w:color="auto" w:fill="F2F2F2" w:themeFill="background1" w:themeFillShade="F2"/>
            <w:noWrap/>
            <w:vAlign w:val="bottom"/>
            <w:hideMark/>
          </w:tcPr>
          <w:p w14:paraId="0D9599AB"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15,567</w:t>
            </w:r>
          </w:p>
        </w:tc>
        <w:tc>
          <w:tcPr>
            <w:tcW w:w="1024" w:type="dxa"/>
            <w:tcBorders>
              <w:top w:val="nil"/>
              <w:left w:val="nil"/>
              <w:bottom w:val="nil"/>
              <w:right w:val="nil"/>
            </w:tcBorders>
            <w:shd w:val="clear" w:color="000000" w:fill="FFFFFF"/>
            <w:noWrap/>
            <w:vAlign w:val="bottom"/>
            <w:hideMark/>
          </w:tcPr>
          <w:p w14:paraId="3F34FE2D"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w:t>
            </w:r>
          </w:p>
        </w:tc>
      </w:tr>
      <w:tr w:rsidR="001B6918" w:rsidRPr="001B6C7C" w14:paraId="3FD9F691" w14:textId="77777777" w:rsidTr="00730ECF">
        <w:trPr>
          <w:trHeight w:val="80"/>
          <w:jc w:val="center"/>
        </w:trPr>
        <w:tc>
          <w:tcPr>
            <w:tcW w:w="4320" w:type="dxa"/>
            <w:tcBorders>
              <w:top w:val="nil"/>
              <w:left w:val="nil"/>
              <w:bottom w:val="nil"/>
              <w:right w:val="nil"/>
            </w:tcBorders>
            <w:shd w:val="clear" w:color="000000" w:fill="FFFFFF"/>
            <w:vAlign w:val="center"/>
            <w:hideMark/>
          </w:tcPr>
          <w:p w14:paraId="1C764284" w14:textId="77777777" w:rsidR="001B6918" w:rsidRPr="001B6C7C" w:rsidRDefault="001B6918" w:rsidP="00730ECF">
            <w:pPr>
              <w:rPr>
                <w:rFonts w:ascii="Calibri" w:eastAsia="Times New Roman" w:hAnsi="Calibri" w:cs="Calibri"/>
              </w:rPr>
            </w:pPr>
            <w:r w:rsidRPr="001B6C7C">
              <w:rPr>
                <w:rFonts w:ascii="Calibri" w:eastAsia="Times New Roman" w:hAnsi="Calibri" w:cs="Calibri"/>
              </w:rPr>
              <w:t>Changes in benefit terms</w:t>
            </w:r>
          </w:p>
        </w:tc>
        <w:tc>
          <w:tcPr>
            <w:tcW w:w="1024" w:type="dxa"/>
            <w:tcBorders>
              <w:top w:val="nil"/>
              <w:left w:val="nil"/>
              <w:bottom w:val="nil"/>
              <w:right w:val="nil"/>
            </w:tcBorders>
            <w:vAlign w:val="bottom"/>
          </w:tcPr>
          <w:p w14:paraId="7FE2890E" w14:textId="77777777" w:rsidR="001B6918" w:rsidRPr="002504E7" w:rsidRDefault="001B6918" w:rsidP="00730ECF">
            <w:pPr>
              <w:jc w:val="right"/>
              <w:rPr>
                <w:rFonts w:ascii="Calibri" w:eastAsia="Times New Roman" w:hAnsi="Calibri" w:cs="Calibri"/>
                <w:sz w:val="20"/>
              </w:rPr>
            </w:pPr>
            <w:r w:rsidRPr="002504E7">
              <w:rPr>
                <w:rFonts w:ascii="Calibri" w:eastAsia="Times New Roman" w:hAnsi="Calibri" w:cs="Calibri"/>
                <w:sz w:val="20"/>
              </w:rPr>
              <w:t>-</w:t>
            </w:r>
          </w:p>
        </w:tc>
        <w:tc>
          <w:tcPr>
            <w:tcW w:w="1024" w:type="dxa"/>
            <w:tcBorders>
              <w:top w:val="nil"/>
              <w:left w:val="nil"/>
              <w:bottom w:val="nil"/>
              <w:right w:val="nil"/>
            </w:tcBorders>
            <w:vAlign w:val="bottom"/>
          </w:tcPr>
          <w:p w14:paraId="30B0ECC0"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w:t>
            </w:r>
          </w:p>
        </w:tc>
        <w:tc>
          <w:tcPr>
            <w:tcW w:w="1024" w:type="dxa"/>
            <w:tcBorders>
              <w:top w:val="nil"/>
              <w:left w:val="nil"/>
              <w:bottom w:val="nil"/>
              <w:right w:val="nil"/>
            </w:tcBorders>
            <w:shd w:val="clear" w:color="auto" w:fill="F2F2F2" w:themeFill="background1" w:themeFillShade="F2"/>
            <w:noWrap/>
            <w:vAlign w:val="bottom"/>
            <w:hideMark/>
          </w:tcPr>
          <w:p w14:paraId="0E775599"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4,499</w:t>
            </w:r>
          </w:p>
        </w:tc>
        <w:tc>
          <w:tcPr>
            <w:tcW w:w="1024" w:type="dxa"/>
            <w:tcBorders>
              <w:top w:val="nil"/>
              <w:left w:val="nil"/>
              <w:bottom w:val="nil"/>
              <w:right w:val="nil"/>
            </w:tcBorders>
            <w:shd w:val="clear" w:color="000000" w:fill="FFFFFF"/>
            <w:noWrap/>
            <w:vAlign w:val="bottom"/>
            <w:hideMark/>
          </w:tcPr>
          <w:p w14:paraId="131B8BE0"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w:t>
            </w:r>
          </w:p>
        </w:tc>
        <w:tc>
          <w:tcPr>
            <w:tcW w:w="1024" w:type="dxa"/>
            <w:tcBorders>
              <w:top w:val="nil"/>
              <w:left w:val="nil"/>
              <w:bottom w:val="nil"/>
              <w:right w:val="nil"/>
            </w:tcBorders>
            <w:shd w:val="clear" w:color="auto" w:fill="F2F2F2" w:themeFill="background1" w:themeFillShade="F2"/>
            <w:noWrap/>
            <w:vAlign w:val="bottom"/>
            <w:hideMark/>
          </w:tcPr>
          <w:p w14:paraId="22D1DA2E"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xml:space="preserve"> (49,469)</w:t>
            </w:r>
          </w:p>
        </w:tc>
        <w:tc>
          <w:tcPr>
            <w:tcW w:w="1024" w:type="dxa"/>
            <w:tcBorders>
              <w:top w:val="nil"/>
              <w:left w:val="nil"/>
              <w:bottom w:val="nil"/>
              <w:right w:val="nil"/>
            </w:tcBorders>
            <w:shd w:val="clear" w:color="000000" w:fill="FFFFFF"/>
            <w:noWrap/>
            <w:vAlign w:val="bottom"/>
            <w:hideMark/>
          </w:tcPr>
          <w:p w14:paraId="67ABED53"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xml:space="preserve"> (102)</w:t>
            </w:r>
          </w:p>
        </w:tc>
        <w:tc>
          <w:tcPr>
            <w:tcW w:w="1024" w:type="dxa"/>
            <w:tcBorders>
              <w:top w:val="nil"/>
              <w:left w:val="nil"/>
              <w:bottom w:val="nil"/>
              <w:right w:val="nil"/>
            </w:tcBorders>
            <w:shd w:val="clear" w:color="auto" w:fill="F2F2F2" w:themeFill="background1" w:themeFillShade="F2"/>
            <w:noWrap/>
            <w:vAlign w:val="bottom"/>
            <w:hideMark/>
          </w:tcPr>
          <w:p w14:paraId="49BC8875"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w:t>
            </w:r>
          </w:p>
        </w:tc>
        <w:tc>
          <w:tcPr>
            <w:tcW w:w="1024" w:type="dxa"/>
            <w:tcBorders>
              <w:top w:val="nil"/>
              <w:left w:val="nil"/>
              <w:bottom w:val="nil"/>
              <w:right w:val="nil"/>
            </w:tcBorders>
            <w:shd w:val="clear" w:color="000000" w:fill="FFFFFF"/>
            <w:noWrap/>
            <w:vAlign w:val="bottom"/>
            <w:hideMark/>
          </w:tcPr>
          <w:p w14:paraId="60CBBB48"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w:t>
            </w:r>
          </w:p>
        </w:tc>
        <w:tc>
          <w:tcPr>
            <w:tcW w:w="1024" w:type="dxa"/>
            <w:tcBorders>
              <w:top w:val="nil"/>
              <w:left w:val="nil"/>
              <w:bottom w:val="nil"/>
              <w:right w:val="nil"/>
            </w:tcBorders>
            <w:shd w:val="clear" w:color="auto" w:fill="F2F2F2" w:themeFill="background1" w:themeFillShade="F2"/>
            <w:noWrap/>
            <w:vAlign w:val="bottom"/>
            <w:hideMark/>
          </w:tcPr>
          <w:p w14:paraId="02DC9DA4"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xml:space="preserve"> (8,670)</w:t>
            </w:r>
          </w:p>
        </w:tc>
        <w:tc>
          <w:tcPr>
            <w:tcW w:w="1024" w:type="dxa"/>
            <w:tcBorders>
              <w:top w:val="nil"/>
              <w:left w:val="nil"/>
              <w:bottom w:val="nil"/>
              <w:right w:val="nil"/>
            </w:tcBorders>
            <w:shd w:val="clear" w:color="000000" w:fill="FFFFFF"/>
            <w:noWrap/>
            <w:vAlign w:val="bottom"/>
            <w:hideMark/>
          </w:tcPr>
          <w:p w14:paraId="64983FF1"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w:t>
            </w:r>
          </w:p>
        </w:tc>
      </w:tr>
      <w:tr w:rsidR="001B6918" w:rsidRPr="001B6C7C" w14:paraId="0F00E091" w14:textId="77777777" w:rsidTr="00730ECF">
        <w:trPr>
          <w:trHeight w:val="80"/>
          <w:jc w:val="center"/>
        </w:trPr>
        <w:tc>
          <w:tcPr>
            <w:tcW w:w="4320" w:type="dxa"/>
            <w:tcBorders>
              <w:top w:val="nil"/>
              <w:left w:val="nil"/>
              <w:bottom w:val="nil"/>
              <w:right w:val="nil"/>
            </w:tcBorders>
            <w:shd w:val="clear" w:color="000000" w:fill="FFFFFF"/>
            <w:noWrap/>
            <w:vAlign w:val="center"/>
            <w:hideMark/>
          </w:tcPr>
          <w:p w14:paraId="27D4E661" w14:textId="77777777" w:rsidR="001B6918" w:rsidRPr="001B6C7C" w:rsidRDefault="001B6918" w:rsidP="00730ECF">
            <w:pPr>
              <w:rPr>
                <w:rFonts w:ascii="Calibri" w:eastAsia="Times New Roman" w:hAnsi="Calibri" w:cs="Calibri"/>
              </w:rPr>
            </w:pPr>
            <w:r w:rsidRPr="001B6C7C">
              <w:rPr>
                <w:rFonts w:ascii="Calibri" w:eastAsia="Times New Roman" w:hAnsi="Calibri" w:cs="Calibri"/>
              </w:rPr>
              <w:t>Differences between expected and actual experience</w:t>
            </w:r>
          </w:p>
        </w:tc>
        <w:tc>
          <w:tcPr>
            <w:tcW w:w="1024" w:type="dxa"/>
            <w:tcBorders>
              <w:top w:val="nil"/>
              <w:left w:val="nil"/>
              <w:bottom w:val="nil"/>
              <w:right w:val="nil"/>
            </w:tcBorders>
            <w:vAlign w:val="bottom"/>
          </w:tcPr>
          <w:p w14:paraId="2D96D894" w14:textId="77777777" w:rsidR="001B6918" w:rsidRPr="002504E7" w:rsidRDefault="001B6918" w:rsidP="00730ECF">
            <w:pPr>
              <w:jc w:val="right"/>
              <w:rPr>
                <w:rFonts w:ascii="Calibri" w:eastAsia="Times New Roman" w:hAnsi="Calibri" w:cs="Calibri"/>
                <w:sz w:val="20"/>
              </w:rPr>
            </w:pPr>
          </w:p>
          <w:p w14:paraId="0EFF683B" w14:textId="77777777" w:rsidR="001B6918" w:rsidRPr="002504E7" w:rsidRDefault="001B6918" w:rsidP="00730ECF">
            <w:pPr>
              <w:jc w:val="right"/>
              <w:rPr>
                <w:rFonts w:ascii="Calibri" w:eastAsia="Times New Roman" w:hAnsi="Calibri" w:cs="Calibri"/>
                <w:sz w:val="20"/>
              </w:rPr>
            </w:pPr>
            <w:r w:rsidRPr="002504E7">
              <w:rPr>
                <w:rFonts w:ascii="Calibri" w:eastAsia="Times New Roman" w:hAnsi="Calibri" w:cs="Calibri"/>
                <w:sz w:val="20"/>
              </w:rPr>
              <w:t>(17,832)</w:t>
            </w:r>
          </w:p>
        </w:tc>
        <w:tc>
          <w:tcPr>
            <w:tcW w:w="1024" w:type="dxa"/>
            <w:tcBorders>
              <w:top w:val="nil"/>
              <w:left w:val="nil"/>
              <w:bottom w:val="nil"/>
              <w:right w:val="nil"/>
            </w:tcBorders>
            <w:vAlign w:val="bottom"/>
          </w:tcPr>
          <w:p w14:paraId="774E5754" w14:textId="77777777" w:rsidR="001B6918" w:rsidRPr="009B44FB" w:rsidRDefault="001B6918" w:rsidP="00730ECF">
            <w:pPr>
              <w:jc w:val="right"/>
              <w:rPr>
                <w:rFonts w:ascii="Calibri" w:eastAsia="Times New Roman" w:hAnsi="Calibri" w:cs="Calibri"/>
                <w:sz w:val="20"/>
              </w:rPr>
            </w:pPr>
          </w:p>
          <w:p w14:paraId="13791EB0"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w:t>
            </w:r>
          </w:p>
        </w:tc>
        <w:tc>
          <w:tcPr>
            <w:tcW w:w="1024" w:type="dxa"/>
            <w:tcBorders>
              <w:top w:val="nil"/>
              <w:left w:val="nil"/>
              <w:bottom w:val="nil"/>
              <w:right w:val="nil"/>
            </w:tcBorders>
            <w:shd w:val="clear" w:color="auto" w:fill="F2F2F2" w:themeFill="background1" w:themeFillShade="F2"/>
            <w:noWrap/>
            <w:vAlign w:val="bottom"/>
            <w:hideMark/>
          </w:tcPr>
          <w:p w14:paraId="289B1271"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xml:space="preserve"> (27,303)</w:t>
            </w:r>
          </w:p>
        </w:tc>
        <w:tc>
          <w:tcPr>
            <w:tcW w:w="1024" w:type="dxa"/>
            <w:tcBorders>
              <w:top w:val="nil"/>
              <w:left w:val="nil"/>
              <w:bottom w:val="nil"/>
              <w:right w:val="nil"/>
            </w:tcBorders>
            <w:shd w:val="clear" w:color="000000" w:fill="FFFFFF"/>
            <w:noWrap/>
            <w:vAlign w:val="bottom"/>
            <w:hideMark/>
          </w:tcPr>
          <w:p w14:paraId="601F3DFC"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w:t>
            </w:r>
          </w:p>
        </w:tc>
        <w:tc>
          <w:tcPr>
            <w:tcW w:w="1024" w:type="dxa"/>
            <w:tcBorders>
              <w:top w:val="nil"/>
              <w:left w:val="nil"/>
              <w:bottom w:val="nil"/>
              <w:right w:val="nil"/>
            </w:tcBorders>
            <w:shd w:val="clear" w:color="auto" w:fill="F2F2F2" w:themeFill="background1" w:themeFillShade="F2"/>
            <w:noWrap/>
            <w:vAlign w:val="bottom"/>
            <w:hideMark/>
          </w:tcPr>
          <w:p w14:paraId="2999CA95"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xml:space="preserve"> (8,908)</w:t>
            </w:r>
          </w:p>
        </w:tc>
        <w:tc>
          <w:tcPr>
            <w:tcW w:w="1024" w:type="dxa"/>
            <w:tcBorders>
              <w:top w:val="nil"/>
              <w:left w:val="nil"/>
              <w:bottom w:val="nil"/>
              <w:right w:val="nil"/>
            </w:tcBorders>
            <w:shd w:val="clear" w:color="000000" w:fill="FFFFFF"/>
            <w:noWrap/>
            <w:vAlign w:val="bottom"/>
            <w:hideMark/>
          </w:tcPr>
          <w:p w14:paraId="0BFD8E66"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w:t>
            </w:r>
          </w:p>
        </w:tc>
        <w:tc>
          <w:tcPr>
            <w:tcW w:w="1024" w:type="dxa"/>
            <w:tcBorders>
              <w:top w:val="nil"/>
              <w:left w:val="nil"/>
              <w:bottom w:val="nil"/>
              <w:right w:val="nil"/>
            </w:tcBorders>
            <w:shd w:val="clear" w:color="auto" w:fill="F2F2F2" w:themeFill="background1" w:themeFillShade="F2"/>
            <w:noWrap/>
            <w:vAlign w:val="bottom"/>
            <w:hideMark/>
          </w:tcPr>
          <w:p w14:paraId="194C917C"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xml:space="preserve"> (30,871)</w:t>
            </w:r>
          </w:p>
        </w:tc>
        <w:tc>
          <w:tcPr>
            <w:tcW w:w="1024" w:type="dxa"/>
            <w:tcBorders>
              <w:top w:val="nil"/>
              <w:left w:val="nil"/>
              <w:bottom w:val="nil"/>
              <w:right w:val="nil"/>
            </w:tcBorders>
            <w:shd w:val="clear" w:color="000000" w:fill="FFFFFF"/>
            <w:noWrap/>
            <w:vAlign w:val="bottom"/>
            <w:hideMark/>
          </w:tcPr>
          <w:p w14:paraId="2975FEE4"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w:t>
            </w:r>
          </w:p>
        </w:tc>
        <w:tc>
          <w:tcPr>
            <w:tcW w:w="1024" w:type="dxa"/>
            <w:tcBorders>
              <w:top w:val="nil"/>
              <w:left w:val="nil"/>
              <w:bottom w:val="nil"/>
              <w:right w:val="nil"/>
            </w:tcBorders>
            <w:shd w:val="clear" w:color="auto" w:fill="F2F2F2" w:themeFill="background1" w:themeFillShade="F2"/>
            <w:noWrap/>
            <w:vAlign w:val="bottom"/>
            <w:hideMark/>
          </w:tcPr>
          <w:p w14:paraId="2EC03730"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xml:space="preserve"> (17,138)</w:t>
            </w:r>
          </w:p>
        </w:tc>
        <w:tc>
          <w:tcPr>
            <w:tcW w:w="1024" w:type="dxa"/>
            <w:tcBorders>
              <w:top w:val="nil"/>
              <w:left w:val="nil"/>
              <w:bottom w:val="nil"/>
              <w:right w:val="nil"/>
            </w:tcBorders>
            <w:shd w:val="clear" w:color="000000" w:fill="FFFFFF"/>
            <w:noWrap/>
            <w:vAlign w:val="bottom"/>
            <w:hideMark/>
          </w:tcPr>
          <w:p w14:paraId="1F11F56C"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w:t>
            </w:r>
          </w:p>
        </w:tc>
      </w:tr>
      <w:tr w:rsidR="001B6918" w:rsidRPr="001B6C7C" w14:paraId="6D0460EA" w14:textId="77777777" w:rsidTr="00730ECF">
        <w:trPr>
          <w:trHeight w:val="80"/>
          <w:jc w:val="center"/>
        </w:trPr>
        <w:tc>
          <w:tcPr>
            <w:tcW w:w="4320" w:type="dxa"/>
            <w:tcBorders>
              <w:top w:val="nil"/>
              <w:left w:val="nil"/>
              <w:bottom w:val="nil"/>
              <w:right w:val="nil"/>
            </w:tcBorders>
            <w:shd w:val="clear" w:color="000000" w:fill="FFFFFF"/>
            <w:noWrap/>
            <w:vAlign w:val="center"/>
            <w:hideMark/>
          </w:tcPr>
          <w:p w14:paraId="2FB3D439" w14:textId="77777777" w:rsidR="001B6918" w:rsidRPr="001B6C7C" w:rsidRDefault="001B6918" w:rsidP="00730ECF">
            <w:pPr>
              <w:rPr>
                <w:rFonts w:ascii="Calibri" w:eastAsia="Times New Roman" w:hAnsi="Calibri" w:cs="Calibri"/>
              </w:rPr>
            </w:pPr>
            <w:r w:rsidRPr="001B6C7C">
              <w:rPr>
                <w:rFonts w:ascii="Calibri" w:eastAsia="Times New Roman" w:hAnsi="Calibri" w:cs="Calibri"/>
              </w:rPr>
              <w:t>Changes of assumptions</w:t>
            </w:r>
          </w:p>
        </w:tc>
        <w:tc>
          <w:tcPr>
            <w:tcW w:w="1024" w:type="dxa"/>
            <w:tcBorders>
              <w:top w:val="nil"/>
              <w:left w:val="nil"/>
              <w:bottom w:val="nil"/>
              <w:right w:val="nil"/>
            </w:tcBorders>
            <w:vAlign w:val="bottom"/>
          </w:tcPr>
          <w:p w14:paraId="20E1555E" w14:textId="77777777" w:rsidR="001B6918" w:rsidRPr="002504E7" w:rsidRDefault="001B6918" w:rsidP="00730ECF">
            <w:pPr>
              <w:jc w:val="right"/>
              <w:rPr>
                <w:rFonts w:ascii="Calibri" w:eastAsia="Times New Roman" w:hAnsi="Calibri" w:cs="Calibri"/>
                <w:sz w:val="20"/>
              </w:rPr>
            </w:pPr>
            <w:r w:rsidRPr="002504E7">
              <w:rPr>
                <w:rFonts w:ascii="Calibri" w:eastAsia="Times New Roman" w:hAnsi="Calibri" w:cs="Calibri"/>
                <w:sz w:val="20"/>
              </w:rPr>
              <w:t>20,669</w:t>
            </w:r>
          </w:p>
        </w:tc>
        <w:tc>
          <w:tcPr>
            <w:tcW w:w="1024" w:type="dxa"/>
            <w:tcBorders>
              <w:top w:val="nil"/>
              <w:left w:val="nil"/>
              <w:bottom w:val="nil"/>
              <w:right w:val="nil"/>
            </w:tcBorders>
            <w:vAlign w:val="bottom"/>
          </w:tcPr>
          <w:p w14:paraId="7F94B5A3"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w:t>
            </w:r>
          </w:p>
        </w:tc>
        <w:tc>
          <w:tcPr>
            <w:tcW w:w="1024" w:type="dxa"/>
            <w:tcBorders>
              <w:top w:val="nil"/>
              <w:left w:val="nil"/>
              <w:bottom w:val="nil"/>
              <w:right w:val="nil"/>
            </w:tcBorders>
            <w:shd w:val="clear" w:color="auto" w:fill="F2F2F2" w:themeFill="background1" w:themeFillShade="F2"/>
            <w:noWrap/>
            <w:vAlign w:val="bottom"/>
            <w:hideMark/>
          </w:tcPr>
          <w:p w14:paraId="07091ACA"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xml:space="preserve"> (9,784)</w:t>
            </w:r>
          </w:p>
        </w:tc>
        <w:tc>
          <w:tcPr>
            <w:tcW w:w="1024" w:type="dxa"/>
            <w:tcBorders>
              <w:top w:val="nil"/>
              <w:left w:val="nil"/>
              <w:bottom w:val="nil"/>
              <w:right w:val="nil"/>
            </w:tcBorders>
            <w:shd w:val="clear" w:color="000000" w:fill="FFFFFF"/>
            <w:noWrap/>
            <w:vAlign w:val="bottom"/>
            <w:hideMark/>
          </w:tcPr>
          <w:p w14:paraId="03557281"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w:t>
            </w:r>
          </w:p>
        </w:tc>
        <w:tc>
          <w:tcPr>
            <w:tcW w:w="1024" w:type="dxa"/>
            <w:tcBorders>
              <w:top w:val="nil"/>
              <w:left w:val="nil"/>
              <w:bottom w:val="nil"/>
              <w:right w:val="nil"/>
            </w:tcBorders>
            <w:shd w:val="clear" w:color="auto" w:fill="F2F2F2" w:themeFill="background1" w:themeFillShade="F2"/>
            <w:noWrap/>
            <w:vAlign w:val="bottom"/>
            <w:hideMark/>
          </w:tcPr>
          <w:p w14:paraId="00167E68"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xml:space="preserve"> (8,539)</w:t>
            </w:r>
          </w:p>
        </w:tc>
        <w:tc>
          <w:tcPr>
            <w:tcW w:w="1024" w:type="dxa"/>
            <w:tcBorders>
              <w:top w:val="nil"/>
              <w:left w:val="nil"/>
              <w:bottom w:val="nil"/>
              <w:right w:val="nil"/>
            </w:tcBorders>
            <w:shd w:val="clear" w:color="000000" w:fill="FFFFFF"/>
            <w:noWrap/>
            <w:vAlign w:val="bottom"/>
            <w:hideMark/>
          </w:tcPr>
          <w:p w14:paraId="79FC1074"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5,938</w:t>
            </w:r>
          </w:p>
        </w:tc>
        <w:tc>
          <w:tcPr>
            <w:tcW w:w="1024" w:type="dxa"/>
            <w:tcBorders>
              <w:top w:val="nil"/>
              <w:left w:val="nil"/>
              <w:bottom w:val="nil"/>
              <w:right w:val="nil"/>
            </w:tcBorders>
            <w:shd w:val="clear" w:color="auto" w:fill="F2F2F2" w:themeFill="background1" w:themeFillShade="F2"/>
            <w:noWrap/>
            <w:vAlign w:val="bottom"/>
            <w:hideMark/>
          </w:tcPr>
          <w:p w14:paraId="56102694"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10,090</w:t>
            </w:r>
          </w:p>
        </w:tc>
        <w:tc>
          <w:tcPr>
            <w:tcW w:w="1024" w:type="dxa"/>
            <w:tcBorders>
              <w:top w:val="nil"/>
              <w:left w:val="nil"/>
              <w:bottom w:val="nil"/>
              <w:right w:val="nil"/>
            </w:tcBorders>
            <w:shd w:val="clear" w:color="000000" w:fill="FFFFFF"/>
            <w:noWrap/>
            <w:vAlign w:val="bottom"/>
            <w:hideMark/>
          </w:tcPr>
          <w:p w14:paraId="44A4EDBB"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w:t>
            </w:r>
          </w:p>
        </w:tc>
        <w:tc>
          <w:tcPr>
            <w:tcW w:w="1024" w:type="dxa"/>
            <w:tcBorders>
              <w:top w:val="nil"/>
              <w:left w:val="nil"/>
              <w:bottom w:val="nil"/>
              <w:right w:val="nil"/>
            </w:tcBorders>
            <w:shd w:val="clear" w:color="auto" w:fill="F2F2F2" w:themeFill="background1" w:themeFillShade="F2"/>
            <w:noWrap/>
            <w:vAlign w:val="bottom"/>
            <w:hideMark/>
          </w:tcPr>
          <w:p w14:paraId="06410357"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6,051</w:t>
            </w:r>
          </w:p>
        </w:tc>
        <w:tc>
          <w:tcPr>
            <w:tcW w:w="1024" w:type="dxa"/>
            <w:tcBorders>
              <w:top w:val="nil"/>
              <w:left w:val="nil"/>
              <w:bottom w:val="nil"/>
              <w:right w:val="nil"/>
            </w:tcBorders>
            <w:shd w:val="clear" w:color="000000" w:fill="FFFFFF"/>
            <w:noWrap/>
            <w:vAlign w:val="bottom"/>
            <w:hideMark/>
          </w:tcPr>
          <w:p w14:paraId="0729E35F"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w:t>
            </w:r>
          </w:p>
        </w:tc>
      </w:tr>
      <w:tr w:rsidR="001B6918" w:rsidRPr="001B6C7C" w14:paraId="6981F0F1" w14:textId="77777777" w:rsidTr="00730ECF">
        <w:trPr>
          <w:trHeight w:val="80"/>
          <w:jc w:val="center"/>
        </w:trPr>
        <w:tc>
          <w:tcPr>
            <w:tcW w:w="4320" w:type="dxa"/>
            <w:tcBorders>
              <w:top w:val="nil"/>
              <w:left w:val="nil"/>
              <w:bottom w:val="single" w:sz="4" w:space="0" w:color="000000"/>
              <w:right w:val="nil"/>
            </w:tcBorders>
            <w:shd w:val="clear" w:color="000000" w:fill="FFFFFF"/>
            <w:vAlign w:val="center"/>
            <w:hideMark/>
          </w:tcPr>
          <w:p w14:paraId="5C06F40E" w14:textId="77777777" w:rsidR="001B6918" w:rsidRPr="001B6C7C" w:rsidRDefault="001B6918" w:rsidP="00730ECF">
            <w:pPr>
              <w:rPr>
                <w:rFonts w:ascii="Calibri" w:eastAsia="Times New Roman" w:hAnsi="Calibri" w:cs="Calibri"/>
              </w:rPr>
            </w:pPr>
            <w:r w:rsidRPr="001B6C7C">
              <w:rPr>
                <w:rFonts w:ascii="Calibri" w:eastAsia="Times New Roman" w:hAnsi="Calibri" w:cs="Calibri"/>
              </w:rPr>
              <w:t>Benefit payments</w:t>
            </w:r>
          </w:p>
        </w:tc>
        <w:tc>
          <w:tcPr>
            <w:tcW w:w="1024" w:type="dxa"/>
            <w:tcBorders>
              <w:top w:val="nil"/>
              <w:left w:val="nil"/>
              <w:bottom w:val="single" w:sz="4" w:space="0" w:color="000000"/>
              <w:right w:val="nil"/>
            </w:tcBorders>
            <w:vAlign w:val="bottom"/>
          </w:tcPr>
          <w:p w14:paraId="11CDB174" w14:textId="77777777" w:rsidR="001B6918" w:rsidRPr="002504E7" w:rsidRDefault="001B6918" w:rsidP="00730ECF">
            <w:pPr>
              <w:jc w:val="right"/>
              <w:rPr>
                <w:rFonts w:ascii="Calibri" w:eastAsia="Times New Roman" w:hAnsi="Calibri" w:cs="Calibri"/>
                <w:sz w:val="20"/>
              </w:rPr>
            </w:pPr>
            <w:r w:rsidRPr="002504E7">
              <w:rPr>
                <w:rFonts w:ascii="Calibri" w:eastAsia="Times New Roman" w:hAnsi="Calibri" w:cs="Calibri"/>
                <w:sz w:val="20"/>
              </w:rPr>
              <w:t>(7,949)</w:t>
            </w:r>
          </w:p>
        </w:tc>
        <w:tc>
          <w:tcPr>
            <w:tcW w:w="1024" w:type="dxa"/>
            <w:tcBorders>
              <w:top w:val="nil"/>
              <w:left w:val="nil"/>
              <w:bottom w:val="single" w:sz="4" w:space="0" w:color="000000"/>
              <w:right w:val="nil"/>
            </w:tcBorders>
            <w:vAlign w:val="bottom"/>
          </w:tcPr>
          <w:p w14:paraId="1B1D65FE" w14:textId="77777777" w:rsidR="001B6918" w:rsidRPr="00643226" w:rsidRDefault="001B6918" w:rsidP="00730ECF">
            <w:pPr>
              <w:jc w:val="right"/>
              <w:rPr>
                <w:rFonts w:ascii="Calibri" w:eastAsia="Times New Roman" w:hAnsi="Calibri" w:cs="Calibri"/>
                <w:sz w:val="20"/>
              </w:rPr>
            </w:pPr>
            <w:r w:rsidRPr="009B44FB">
              <w:rPr>
                <w:rFonts w:ascii="Calibri" w:eastAsia="Times New Roman" w:hAnsi="Calibri" w:cs="Calibri"/>
                <w:sz w:val="20"/>
              </w:rPr>
              <w:t>(</w:t>
            </w:r>
            <w:r w:rsidRPr="00643226">
              <w:rPr>
                <w:rFonts w:ascii="Calibri" w:eastAsia="Times New Roman" w:hAnsi="Calibri" w:cs="Calibri"/>
                <w:sz w:val="20"/>
              </w:rPr>
              <w:t>8,824</w:t>
            </w:r>
            <w:r w:rsidRPr="009B44FB">
              <w:rPr>
                <w:rFonts w:ascii="Calibri" w:eastAsia="Times New Roman" w:hAnsi="Calibri" w:cs="Calibri"/>
                <w:sz w:val="20"/>
              </w:rPr>
              <w:t>)</w:t>
            </w:r>
          </w:p>
        </w:tc>
        <w:tc>
          <w:tcPr>
            <w:tcW w:w="1024" w:type="dxa"/>
            <w:tcBorders>
              <w:top w:val="nil"/>
              <w:left w:val="nil"/>
              <w:bottom w:val="single" w:sz="4" w:space="0" w:color="000000"/>
              <w:right w:val="nil"/>
            </w:tcBorders>
            <w:shd w:val="clear" w:color="auto" w:fill="F2F2F2" w:themeFill="background1" w:themeFillShade="F2"/>
            <w:noWrap/>
            <w:vAlign w:val="bottom"/>
            <w:hideMark/>
          </w:tcPr>
          <w:p w14:paraId="51DE7340"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xml:space="preserve"> (7,115)</w:t>
            </w:r>
          </w:p>
        </w:tc>
        <w:tc>
          <w:tcPr>
            <w:tcW w:w="1024" w:type="dxa"/>
            <w:tcBorders>
              <w:top w:val="nil"/>
              <w:left w:val="nil"/>
              <w:bottom w:val="single" w:sz="4" w:space="0" w:color="000000"/>
              <w:right w:val="nil"/>
            </w:tcBorders>
            <w:shd w:val="clear" w:color="000000" w:fill="FFFFFF"/>
            <w:noWrap/>
            <w:vAlign w:val="bottom"/>
            <w:hideMark/>
          </w:tcPr>
          <w:p w14:paraId="5DF83E02"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xml:space="preserve"> (6,537)</w:t>
            </w:r>
          </w:p>
        </w:tc>
        <w:tc>
          <w:tcPr>
            <w:tcW w:w="1024" w:type="dxa"/>
            <w:tcBorders>
              <w:top w:val="nil"/>
              <w:left w:val="nil"/>
              <w:bottom w:val="single" w:sz="4" w:space="0" w:color="000000"/>
              <w:right w:val="nil"/>
            </w:tcBorders>
            <w:shd w:val="clear" w:color="auto" w:fill="F2F2F2" w:themeFill="background1" w:themeFillShade="F2"/>
            <w:noWrap/>
            <w:vAlign w:val="bottom"/>
            <w:hideMark/>
          </w:tcPr>
          <w:p w14:paraId="176FB1D0"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xml:space="preserve"> (6,992)</w:t>
            </w:r>
          </w:p>
        </w:tc>
        <w:tc>
          <w:tcPr>
            <w:tcW w:w="1024" w:type="dxa"/>
            <w:tcBorders>
              <w:top w:val="nil"/>
              <w:left w:val="nil"/>
              <w:bottom w:val="single" w:sz="4" w:space="0" w:color="000000"/>
              <w:right w:val="nil"/>
            </w:tcBorders>
            <w:shd w:val="clear" w:color="000000" w:fill="FFFFFF"/>
            <w:noWrap/>
            <w:vAlign w:val="bottom"/>
            <w:hideMark/>
          </w:tcPr>
          <w:p w14:paraId="33053F4C"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xml:space="preserve"> (8,194)</w:t>
            </w:r>
          </w:p>
        </w:tc>
        <w:tc>
          <w:tcPr>
            <w:tcW w:w="1024" w:type="dxa"/>
            <w:tcBorders>
              <w:top w:val="nil"/>
              <w:left w:val="nil"/>
              <w:bottom w:val="single" w:sz="4" w:space="0" w:color="000000"/>
              <w:right w:val="nil"/>
            </w:tcBorders>
            <w:shd w:val="clear" w:color="auto" w:fill="F2F2F2" w:themeFill="background1" w:themeFillShade="F2"/>
            <w:noWrap/>
            <w:vAlign w:val="bottom"/>
            <w:hideMark/>
          </w:tcPr>
          <w:p w14:paraId="6B5A0C11"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xml:space="preserve"> (9,425)</w:t>
            </w:r>
          </w:p>
        </w:tc>
        <w:tc>
          <w:tcPr>
            <w:tcW w:w="1024" w:type="dxa"/>
            <w:tcBorders>
              <w:top w:val="nil"/>
              <w:left w:val="nil"/>
              <w:bottom w:val="single" w:sz="4" w:space="0" w:color="000000"/>
              <w:right w:val="nil"/>
            </w:tcBorders>
            <w:shd w:val="clear" w:color="000000" w:fill="FFFFFF"/>
            <w:noWrap/>
            <w:vAlign w:val="bottom"/>
            <w:hideMark/>
          </w:tcPr>
          <w:p w14:paraId="788DD09F"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xml:space="preserve"> (9,454)</w:t>
            </w:r>
          </w:p>
        </w:tc>
        <w:tc>
          <w:tcPr>
            <w:tcW w:w="1024" w:type="dxa"/>
            <w:tcBorders>
              <w:top w:val="nil"/>
              <w:left w:val="nil"/>
              <w:bottom w:val="single" w:sz="4" w:space="0" w:color="000000"/>
              <w:right w:val="nil"/>
            </w:tcBorders>
            <w:shd w:val="clear" w:color="auto" w:fill="F2F2F2" w:themeFill="background1" w:themeFillShade="F2"/>
            <w:noWrap/>
            <w:vAlign w:val="bottom"/>
            <w:hideMark/>
          </w:tcPr>
          <w:p w14:paraId="73896C0E"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xml:space="preserve"> (10,364)</w:t>
            </w:r>
          </w:p>
        </w:tc>
        <w:tc>
          <w:tcPr>
            <w:tcW w:w="1024" w:type="dxa"/>
            <w:tcBorders>
              <w:top w:val="nil"/>
              <w:left w:val="nil"/>
              <w:bottom w:val="single" w:sz="4" w:space="0" w:color="000000"/>
              <w:right w:val="nil"/>
            </w:tcBorders>
            <w:shd w:val="clear" w:color="000000" w:fill="FFFFFF"/>
            <w:noWrap/>
            <w:vAlign w:val="bottom"/>
            <w:hideMark/>
          </w:tcPr>
          <w:p w14:paraId="7A033E82"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w:t>
            </w:r>
          </w:p>
        </w:tc>
      </w:tr>
      <w:tr w:rsidR="001B6918" w:rsidRPr="001B6C7C" w14:paraId="57305F66" w14:textId="77777777" w:rsidTr="00730ECF">
        <w:trPr>
          <w:trHeight w:val="70"/>
          <w:jc w:val="center"/>
        </w:trPr>
        <w:tc>
          <w:tcPr>
            <w:tcW w:w="4320" w:type="dxa"/>
            <w:tcBorders>
              <w:top w:val="nil"/>
              <w:left w:val="nil"/>
              <w:bottom w:val="single" w:sz="4" w:space="0" w:color="000000"/>
              <w:right w:val="nil"/>
            </w:tcBorders>
            <w:shd w:val="clear" w:color="000000" w:fill="FFFFFF"/>
            <w:vAlign w:val="center"/>
            <w:hideMark/>
          </w:tcPr>
          <w:p w14:paraId="39054729" w14:textId="77777777" w:rsidR="001B6918" w:rsidRPr="001B6C7C" w:rsidRDefault="001B6918" w:rsidP="00730ECF">
            <w:pPr>
              <w:rPr>
                <w:rFonts w:ascii="Calibri" w:eastAsia="Times New Roman" w:hAnsi="Calibri" w:cs="Calibri"/>
              </w:rPr>
            </w:pPr>
            <w:r w:rsidRPr="001B6C7C">
              <w:rPr>
                <w:rFonts w:ascii="Calibri" w:eastAsia="Times New Roman" w:hAnsi="Calibri" w:cs="Calibri"/>
              </w:rPr>
              <w:t>Net change in total OPEB liability</w:t>
            </w:r>
          </w:p>
        </w:tc>
        <w:tc>
          <w:tcPr>
            <w:tcW w:w="1024" w:type="dxa"/>
            <w:tcBorders>
              <w:top w:val="nil"/>
              <w:left w:val="nil"/>
              <w:bottom w:val="single" w:sz="4" w:space="0" w:color="000000"/>
              <w:right w:val="nil"/>
            </w:tcBorders>
            <w:vAlign w:val="bottom"/>
          </w:tcPr>
          <w:p w14:paraId="1A87C22B" w14:textId="77777777" w:rsidR="001B6918" w:rsidRPr="002504E7" w:rsidRDefault="001B6918" w:rsidP="00730ECF">
            <w:pPr>
              <w:jc w:val="right"/>
              <w:rPr>
                <w:rFonts w:ascii="Calibri" w:eastAsia="Times New Roman" w:hAnsi="Calibri" w:cs="Calibri"/>
                <w:sz w:val="20"/>
              </w:rPr>
            </w:pPr>
            <w:r w:rsidRPr="002504E7">
              <w:rPr>
                <w:rFonts w:ascii="Calibri" w:eastAsia="Times New Roman" w:hAnsi="Calibri" w:cs="Calibri"/>
                <w:sz w:val="20"/>
              </w:rPr>
              <w:t>12,868</w:t>
            </w:r>
          </w:p>
        </w:tc>
        <w:tc>
          <w:tcPr>
            <w:tcW w:w="1024" w:type="dxa"/>
            <w:tcBorders>
              <w:top w:val="nil"/>
              <w:left w:val="nil"/>
              <w:bottom w:val="single" w:sz="4" w:space="0" w:color="000000"/>
              <w:right w:val="nil"/>
            </w:tcBorders>
            <w:vAlign w:val="bottom"/>
          </w:tcPr>
          <w:p w14:paraId="6530B007"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8,300</w:t>
            </w:r>
          </w:p>
        </w:tc>
        <w:tc>
          <w:tcPr>
            <w:tcW w:w="1024" w:type="dxa"/>
            <w:tcBorders>
              <w:top w:val="nil"/>
              <w:left w:val="nil"/>
              <w:bottom w:val="single" w:sz="4" w:space="0" w:color="000000"/>
              <w:right w:val="nil"/>
            </w:tcBorders>
            <w:shd w:val="clear" w:color="auto" w:fill="F2F2F2" w:themeFill="background1" w:themeFillShade="F2"/>
            <w:noWrap/>
            <w:vAlign w:val="bottom"/>
            <w:hideMark/>
          </w:tcPr>
          <w:p w14:paraId="17DDF687"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xml:space="preserve"> (20,536)</w:t>
            </w:r>
          </w:p>
        </w:tc>
        <w:tc>
          <w:tcPr>
            <w:tcW w:w="1024" w:type="dxa"/>
            <w:tcBorders>
              <w:top w:val="nil"/>
              <w:left w:val="nil"/>
              <w:bottom w:val="single" w:sz="4" w:space="0" w:color="000000"/>
              <w:right w:val="nil"/>
            </w:tcBorders>
            <w:shd w:val="clear" w:color="000000" w:fill="FFFFFF"/>
            <w:noWrap/>
            <w:vAlign w:val="bottom"/>
            <w:hideMark/>
          </w:tcPr>
          <w:p w14:paraId="394767CB"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11,582</w:t>
            </w:r>
          </w:p>
        </w:tc>
        <w:tc>
          <w:tcPr>
            <w:tcW w:w="1024" w:type="dxa"/>
            <w:tcBorders>
              <w:top w:val="nil"/>
              <w:left w:val="nil"/>
              <w:bottom w:val="single" w:sz="4" w:space="0" w:color="000000"/>
              <w:right w:val="nil"/>
            </w:tcBorders>
            <w:shd w:val="clear" w:color="auto" w:fill="F2F2F2" w:themeFill="background1" w:themeFillShade="F2"/>
            <w:noWrap/>
            <w:vAlign w:val="bottom"/>
            <w:hideMark/>
          </w:tcPr>
          <w:p w14:paraId="0365ACEB"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xml:space="preserve"> (51,219)</w:t>
            </w:r>
          </w:p>
        </w:tc>
        <w:tc>
          <w:tcPr>
            <w:tcW w:w="1024" w:type="dxa"/>
            <w:tcBorders>
              <w:top w:val="nil"/>
              <w:left w:val="nil"/>
              <w:bottom w:val="single" w:sz="4" w:space="0" w:color="000000"/>
              <w:right w:val="nil"/>
            </w:tcBorders>
            <w:shd w:val="clear" w:color="000000" w:fill="FFFFFF"/>
            <w:noWrap/>
            <w:vAlign w:val="bottom"/>
            <w:hideMark/>
          </w:tcPr>
          <w:p w14:paraId="6EA76280"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18,845</w:t>
            </w:r>
          </w:p>
        </w:tc>
        <w:tc>
          <w:tcPr>
            <w:tcW w:w="1024" w:type="dxa"/>
            <w:tcBorders>
              <w:top w:val="nil"/>
              <w:left w:val="nil"/>
              <w:bottom w:val="single" w:sz="4" w:space="0" w:color="000000"/>
              <w:right w:val="nil"/>
            </w:tcBorders>
            <w:shd w:val="clear" w:color="auto" w:fill="F2F2F2" w:themeFill="background1" w:themeFillShade="F2"/>
            <w:noWrap/>
            <w:vAlign w:val="bottom"/>
            <w:hideMark/>
          </w:tcPr>
          <w:p w14:paraId="267AAC02"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xml:space="preserve"> (8,269)</w:t>
            </w:r>
          </w:p>
        </w:tc>
        <w:tc>
          <w:tcPr>
            <w:tcW w:w="1024" w:type="dxa"/>
            <w:tcBorders>
              <w:top w:val="nil"/>
              <w:left w:val="nil"/>
              <w:bottom w:val="single" w:sz="4" w:space="0" w:color="000000"/>
              <w:right w:val="nil"/>
            </w:tcBorders>
            <w:shd w:val="clear" w:color="000000" w:fill="FFFFFF"/>
            <w:noWrap/>
            <w:vAlign w:val="bottom"/>
            <w:hideMark/>
          </w:tcPr>
          <w:p w14:paraId="4B258498"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11,358</w:t>
            </w:r>
          </w:p>
        </w:tc>
        <w:tc>
          <w:tcPr>
            <w:tcW w:w="1024" w:type="dxa"/>
            <w:tcBorders>
              <w:top w:val="nil"/>
              <w:left w:val="nil"/>
              <w:bottom w:val="single" w:sz="4" w:space="0" w:color="000000"/>
              <w:right w:val="nil"/>
            </w:tcBorders>
            <w:shd w:val="clear" w:color="auto" w:fill="F2F2F2" w:themeFill="background1" w:themeFillShade="F2"/>
            <w:noWrap/>
            <w:vAlign w:val="bottom"/>
            <w:hideMark/>
          </w:tcPr>
          <w:p w14:paraId="795C9A13"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xml:space="preserve"> (8,380)</w:t>
            </w:r>
          </w:p>
        </w:tc>
        <w:tc>
          <w:tcPr>
            <w:tcW w:w="1024" w:type="dxa"/>
            <w:tcBorders>
              <w:top w:val="nil"/>
              <w:left w:val="nil"/>
              <w:bottom w:val="single" w:sz="4" w:space="0" w:color="000000"/>
              <w:right w:val="nil"/>
            </w:tcBorders>
            <w:shd w:val="clear" w:color="000000" w:fill="FFFFFF"/>
            <w:noWrap/>
            <w:vAlign w:val="bottom"/>
            <w:hideMark/>
          </w:tcPr>
          <w:p w14:paraId="708FC974"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w:t>
            </w:r>
          </w:p>
        </w:tc>
      </w:tr>
      <w:tr w:rsidR="001B6918" w:rsidRPr="001B6C7C" w14:paraId="5BCC0561" w14:textId="77777777" w:rsidTr="00730ECF">
        <w:trPr>
          <w:trHeight w:val="70"/>
          <w:jc w:val="center"/>
        </w:trPr>
        <w:tc>
          <w:tcPr>
            <w:tcW w:w="4320" w:type="dxa"/>
            <w:tcBorders>
              <w:top w:val="nil"/>
              <w:left w:val="nil"/>
              <w:bottom w:val="single" w:sz="4" w:space="0" w:color="000000"/>
              <w:right w:val="nil"/>
            </w:tcBorders>
            <w:shd w:val="clear" w:color="000000" w:fill="FFFFFF"/>
            <w:vAlign w:val="center"/>
            <w:hideMark/>
          </w:tcPr>
          <w:p w14:paraId="75C8BA6C" w14:textId="77777777" w:rsidR="001B6918" w:rsidRPr="001B6C7C" w:rsidRDefault="001B6918" w:rsidP="00730ECF">
            <w:pPr>
              <w:rPr>
                <w:rFonts w:ascii="Calibri" w:eastAsia="Times New Roman" w:hAnsi="Calibri" w:cs="Calibri"/>
              </w:rPr>
            </w:pPr>
            <w:r w:rsidRPr="001B6C7C">
              <w:rPr>
                <w:rFonts w:ascii="Calibri" w:eastAsia="Times New Roman" w:hAnsi="Calibri" w:cs="Calibri"/>
              </w:rPr>
              <w:t xml:space="preserve">Total OPEB liability – beginning </w:t>
            </w:r>
          </w:p>
        </w:tc>
        <w:tc>
          <w:tcPr>
            <w:tcW w:w="1024" w:type="dxa"/>
            <w:tcBorders>
              <w:top w:val="nil"/>
              <w:left w:val="nil"/>
              <w:bottom w:val="single" w:sz="4" w:space="0" w:color="000000"/>
              <w:right w:val="nil"/>
            </w:tcBorders>
            <w:vAlign w:val="bottom"/>
          </w:tcPr>
          <w:p w14:paraId="30A4B06E" w14:textId="77777777" w:rsidR="001B6918" w:rsidRPr="00B26E91" w:rsidRDefault="001B6918" w:rsidP="00730ECF">
            <w:pPr>
              <w:jc w:val="right"/>
              <w:rPr>
                <w:rFonts w:ascii="Calibri" w:eastAsia="Times New Roman" w:hAnsi="Calibri" w:cs="Calibri"/>
                <w:color w:val="FF0000"/>
                <w:sz w:val="20"/>
              </w:rPr>
            </w:pPr>
            <w:r w:rsidRPr="002504E7">
              <w:rPr>
                <w:rFonts w:ascii="Calibri" w:eastAsia="Times New Roman" w:hAnsi="Calibri" w:cs="Calibri"/>
                <w:sz w:val="20"/>
              </w:rPr>
              <w:t>161,558</w:t>
            </w:r>
          </w:p>
        </w:tc>
        <w:tc>
          <w:tcPr>
            <w:tcW w:w="1024" w:type="dxa"/>
            <w:tcBorders>
              <w:top w:val="nil"/>
              <w:left w:val="nil"/>
              <w:bottom w:val="single" w:sz="4" w:space="0" w:color="000000"/>
              <w:right w:val="nil"/>
            </w:tcBorders>
            <w:vAlign w:val="bottom"/>
          </w:tcPr>
          <w:p w14:paraId="391134B8" w14:textId="77777777" w:rsidR="001B6918" w:rsidRPr="00643226" w:rsidRDefault="001B6918" w:rsidP="00730ECF">
            <w:pPr>
              <w:jc w:val="right"/>
              <w:rPr>
                <w:rFonts w:ascii="Calibri" w:eastAsia="Times New Roman" w:hAnsi="Calibri" w:cs="Calibri"/>
                <w:sz w:val="20"/>
              </w:rPr>
            </w:pPr>
            <w:r w:rsidRPr="009B44FB">
              <w:rPr>
                <w:rFonts w:ascii="Calibri" w:eastAsia="Times New Roman" w:hAnsi="Calibri" w:cs="Calibri"/>
                <w:sz w:val="20"/>
              </w:rPr>
              <w:t>1</w:t>
            </w:r>
            <w:r w:rsidRPr="00643226">
              <w:rPr>
                <w:rFonts w:ascii="Calibri" w:eastAsia="Times New Roman" w:hAnsi="Calibri" w:cs="Calibri"/>
                <w:sz w:val="20"/>
              </w:rPr>
              <w:t>5</w:t>
            </w:r>
            <w:r w:rsidRPr="009B44FB">
              <w:rPr>
                <w:rFonts w:ascii="Calibri" w:eastAsia="Times New Roman" w:hAnsi="Calibri" w:cs="Calibri"/>
                <w:sz w:val="20"/>
              </w:rPr>
              <w:t>3,</w:t>
            </w:r>
            <w:r w:rsidRPr="00643226">
              <w:rPr>
                <w:rFonts w:ascii="Calibri" w:eastAsia="Times New Roman" w:hAnsi="Calibri" w:cs="Calibri"/>
                <w:sz w:val="20"/>
              </w:rPr>
              <w:t>258</w:t>
            </w:r>
          </w:p>
        </w:tc>
        <w:tc>
          <w:tcPr>
            <w:tcW w:w="1024" w:type="dxa"/>
            <w:tcBorders>
              <w:top w:val="nil"/>
              <w:left w:val="nil"/>
              <w:bottom w:val="single" w:sz="4" w:space="0" w:color="000000"/>
              <w:right w:val="nil"/>
            </w:tcBorders>
            <w:shd w:val="clear" w:color="auto" w:fill="F2F2F2" w:themeFill="background1" w:themeFillShade="F2"/>
            <w:noWrap/>
            <w:vAlign w:val="bottom"/>
            <w:hideMark/>
          </w:tcPr>
          <w:p w14:paraId="642038A1"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173,794</w:t>
            </w:r>
          </w:p>
        </w:tc>
        <w:tc>
          <w:tcPr>
            <w:tcW w:w="1024" w:type="dxa"/>
            <w:tcBorders>
              <w:top w:val="nil"/>
              <w:left w:val="nil"/>
              <w:bottom w:val="single" w:sz="4" w:space="0" w:color="000000"/>
              <w:right w:val="nil"/>
            </w:tcBorders>
            <w:shd w:val="clear" w:color="000000" w:fill="FFFFFF"/>
            <w:noWrap/>
            <w:vAlign w:val="bottom"/>
            <w:hideMark/>
          </w:tcPr>
          <w:p w14:paraId="432964C3"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162,212</w:t>
            </w:r>
          </w:p>
        </w:tc>
        <w:tc>
          <w:tcPr>
            <w:tcW w:w="1024" w:type="dxa"/>
            <w:tcBorders>
              <w:top w:val="nil"/>
              <w:left w:val="nil"/>
              <w:bottom w:val="single" w:sz="4" w:space="0" w:color="000000"/>
              <w:right w:val="nil"/>
            </w:tcBorders>
            <w:shd w:val="clear" w:color="auto" w:fill="F2F2F2" w:themeFill="background1" w:themeFillShade="F2"/>
            <w:noWrap/>
            <w:vAlign w:val="bottom"/>
            <w:hideMark/>
          </w:tcPr>
          <w:p w14:paraId="260B5260"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213,431</w:t>
            </w:r>
          </w:p>
        </w:tc>
        <w:tc>
          <w:tcPr>
            <w:tcW w:w="1024" w:type="dxa"/>
            <w:tcBorders>
              <w:top w:val="nil"/>
              <w:left w:val="nil"/>
              <w:bottom w:val="single" w:sz="4" w:space="0" w:color="000000"/>
              <w:right w:val="nil"/>
            </w:tcBorders>
            <w:shd w:val="clear" w:color="000000" w:fill="FFFFFF"/>
            <w:noWrap/>
            <w:vAlign w:val="bottom"/>
            <w:hideMark/>
          </w:tcPr>
          <w:p w14:paraId="1B63F5EF"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194,586</w:t>
            </w:r>
          </w:p>
        </w:tc>
        <w:tc>
          <w:tcPr>
            <w:tcW w:w="1024" w:type="dxa"/>
            <w:tcBorders>
              <w:top w:val="nil"/>
              <w:left w:val="nil"/>
              <w:bottom w:val="single" w:sz="4" w:space="0" w:color="000000"/>
              <w:right w:val="nil"/>
            </w:tcBorders>
            <w:shd w:val="clear" w:color="auto" w:fill="F2F2F2" w:themeFill="background1" w:themeFillShade="F2"/>
            <w:noWrap/>
            <w:vAlign w:val="bottom"/>
            <w:hideMark/>
          </w:tcPr>
          <w:p w14:paraId="64DE891F"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202,855</w:t>
            </w:r>
          </w:p>
        </w:tc>
        <w:tc>
          <w:tcPr>
            <w:tcW w:w="1024" w:type="dxa"/>
            <w:tcBorders>
              <w:top w:val="nil"/>
              <w:left w:val="nil"/>
              <w:bottom w:val="single" w:sz="4" w:space="0" w:color="000000"/>
              <w:right w:val="nil"/>
            </w:tcBorders>
            <w:shd w:val="clear" w:color="000000" w:fill="FFFFFF"/>
            <w:noWrap/>
            <w:vAlign w:val="bottom"/>
            <w:hideMark/>
          </w:tcPr>
          <w:p w14:paraId="483F460C"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191,497</w:t>
            </w:r>
          </w:p>
        </w:tc>
        <w:tc>
          <w:tcPr>
            <w:tcW w:w="1024" w:type="dxa"/>
            <w:tcBorders>
              <w:top w:val="nil"/>
              <w:left w:val="nil"/>
              <w:bottom w:val="single" w:sz="4" w:space="0" w:color="000000"/>
              <w:right w:val="nil"/>
            </w:tcBorders>
            <w:shd w:val="clear" w:color="auto" w:fill="F2F2F2" w:themeFill="background1" w:themeFillShade="F2"/>
            <w:noWrap/>
            <w:vAlign w:val="bottom"/>
            <w:hideMark/>
          </w:tcPr>
          <w:p w14:paraId="3E6F27C1"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199,877</w:t>
            </w:r>
          </w:p>
        </w:tc>
        <w:tc>
          <w:tcPr>
            <w:tcW w:w="1024" w:type="dxa"/>
            <w:tcBorders>
              <w:top w:val="nil"/>
              <w:left w:val="nil"/>
              <w:bottom w:val="single" w:sz="4" w:space="0" w:color="000000"/>
              <w:right w:val="nil"/>
            </w:tcBorders>
            <w:shd w:val="clear" w:color="000000" w:fill="FFFFFF"/>
            <w:noWrap/>
            <w:vAlign w:val="bottom"/>
            <w:hideMark/>
          </w:tcPr>
          <w:p w14:paraId="4954F872"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w:t>
            </w:r>
          </w:p>
        </w:tc>
      </w:tr>
      <w:tr w:rsidR="001B6918" w:rsidRPr="001B6C7C" w14:paraId="30240204" w14:textId="77777777" w:rsidTr="00730ECF">
        <w:trPr>
          <w:trHeight w:val="70"/>
          <w:jc w:val="center"/>
        </w:trPr>
        <w:tc>
          <w:tcPr>
            <w:tcW w:w="4320" w:type="dxa"/>
            <w:tcBorders>
              <w:top w:val="nil"/>
              <w:left w:val="nil"/>
              <w:bottom w:val="single" w:sz="4" w:space="0" w:color="000000"/>
              <w:right w:val="nil"/>
            </w:tcBorders>
            <w:shd w:val="clear" w:color="000000" w:fill="FFFFFF"/>
            <w:vAlign w:val="center"/>
            <w:hideMark/>
          </w:tcPr>
          <w:p w14:paraId="3CF73D85" w14:textId="77777777" w:rsidR="001B6918" w:rsidRPr="001B6C7C" w:rsidRDefault="001B6918" w:rsidP="00730ECF">
            <w:pPr>
              <w:rPr>
                <w:rFonts w:ascii="Calibri" w:eastAsia="Times New Roman" w:hAnsi="Calibri" w:cs="Calibri"/>
              </w:rPr>
            </w:pPr>
            <w:r w:rsidRPr="001B6C7C">
              <w:rPr>
                <w:rFonts w:ascii="Calibri" w:eastAsia="Times New Roman" w:hAnsi="Calibri" w:cs="Calibri"/>
              </w:rPr>
              <w:t>Total OPEB liability – ending (a)</w:t>
            </w:r>
          </w:p>
        </w:tc>
        <w:tc>
          <w:tcPr>
            <w:tcW w:w="1024" w:type="dxa"/>
            <w:tcBorders>
              <w:top w:val="nil"/>
              <w:left w:val="nil"/>
              <w:bottom w:val="single" w:sz="4" w:space="0" w:color="000000"/>
              <w:right w:val="nil"/>
            </w:tcBorders>
            <w:vAlign w:val="bottom"/>
          </w:tcPr>
          <w:p w14:paraId="73FFE4A4" w14:textId="77777777" w:rsidR="001B6918" w:rsidRPr="002504E7" w:rsidRDefault="001B6918" w:rsidP="00730ECF">
            <w:pPr>
              <w:jc w:val="right"/>
              <w:rPr>
                <w:rFonts w:ascii="Calibri" w:eastAsia="Times New Roman" w:hAnsi="Calibri" w:cs="Calibri"/>
                <w:sz w:val="20"/>
              </w:rPr>
            </w:pPr>
            <w:r w:rsidRPr="002504E7">
              <w:rPr>
                <w:rFonts w:ascii="Calibri" w:eastAsia="Times New Roman" w:hAnsi="Calibri" w:cs="Calibri"/>
                <w:sz w:val="20"/>
              </w:rPr>
              <w:t>174,426</w:t>
            </w:r>
          </w:p>
        </w:tc>
        <w:tc>
          <w:tcPr>
            <w:tcW w:w="1024" w:type="dxa"/>
            <w:tcBorders>
              <w:top w:val="nil"/>
              <w:left w:val="nil"/>
              <w:bottom w:val="single" w:sz="4" w:space="0" w:color="000000"/>
              <w:right w:val="nil"/>
            </w:tcBorders>
            <w:vAlign w:val="bottom"/>
          </w:tcPr>
          <w:p w14:paraId="3AF352CD"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161,558</w:t>
            </w:r>
          </w:p>
        </w:tc>
        <w:tc>
          <w:tcPr>
            <w:tcW w:w="1024" w:type="dxa"/>
            <w:tcBorders>
              <w:top w:val="nil"/>
              <w:left w:val="nil"/>
              <w:bottom w:val="single" w:sz="4" w:space="0" w:color="000000"/>
              <w:right w:val="nil"/>
            </w:tcBorders>
            <w:shd w:val="clear" w:color="auto" w:fill="F2F2F2" w:themeFill="background1" w:themeFillShade="F2"/>
            <w:noWrap/>
            <w:vAlign w:val="bottom"/>
            <w:hideMark/>
          </w:tcPr>
          <w:p w14:paraId="23BC599E"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153,258</w:t>
            </w:r>
          </w:p>
        </w:tc>
        <w:tc>
          <w:tcPr>
            <w:tcW w:w="1024" w:type="dxa"/>
            <w:tcBorders>
              <w:top w:val="nil"/>
              <w:left w:val="nil"/>
              <w:bottom w:val="single" w:sz="4" w:space="0" w:color="000000"/>
              <w:right w:val="nil"/>
            </w:tcBorders>
            <w:noWrap/>
            <w:vAlign w:val="bottom"/>
            <w:hideMark/>
          </w:tcPr>
          <w:p w14:paraId="0BC6BF65"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173,794</w:t>
            </w:r>
          </w:p>
        </w:tc>
        <w:tc>
          <w:tcPr>
            <w:tcW w:w="1024" w:type="dxa"/>
            <w:tcBorders>
              <w:top w:val="nil"/>
              <w:left w:val="nil"/>
              <w:bottom w:val="single" w:sz="4" w:space="0" w:color="000000"/>
              <w:right w:val="nil"/>
            </w:tcBorders>
            <w:shd w:val="clear" w:color="auto" w:fill="F2F2F2" w:themeFill="background1" w:themeFillShade="F2"/>
            <w:noWrap/>
            <w:vAlign w:val="bottom"/>
            <w:hideMark/>
          </w:tcPr>
          <w:p w14:paraId="62A9339F"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162,212</w:t>
            </w:r>
          </w:p>
        </w:tc>
        <w:tc>
          <w:tcPr>
            <w:tcW w:w="1024" w:type="dxa"/>
            <w:tcBorders>
              <w:top w:val="nil"/>
              <w:left w:val="nil"/>
              <w:bottom w:val="single" w:sz="4" w:space="0" w:color="000000"/>
              <w:right w:val="nil"/>
            </w:tcBorders>
            <w:shd w:val="clear" w:color="000000" w:fill="FFFFFF"/>
            <w:noWrap/>
            <w:vAlign w:val="bottom"/>
            <w:hideMark/>
          </w:tcPr>
          <w:p w14:paraId="102E41DE"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213,431</w:t>
            </w:r>
          </w:p>
        </w:tc>
        <w:tc>
          <w:tcPr>
            <w:tcW w:w="1024" w:type="dxa"/>
            <w:tcBorders>
              <w:top w:val="nil"/>
              <w:left w:val="nil"/>
              <w:bottom w:val="single" w:sz="4" w:space="0" w:color="000000"/>
              <w:right w:val="nil"/>
            </w:tcBorders>
            <w:shd w:val="clear" w:color="auto" w:fill="F2F2F2" w:themeFill="background1" w:themeFillShade="F2"/>
            <w:noWrap/>
            <w:vAlign w:val="bottom"/>
            <w:hideMark/>
          </w:tcPr>
          <w:p w14:paraId="59A192BA"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194,586</w:t>
            </w:r>
          </w:p>
        </w:tc>
        <w:tc>
          <w:tcPr>
            <w:tcW w:w="1024" w:type="dxa"/>
            <w:tcBorders>
              <w:top w:val="nil"/>
              <w:left w:val="nil"/>
              <w:bottom w:val="single" w:sz="4" w:space="0" w:color="000000"/>
              <w:right w:val="nil"/>
            </w:tcBorders>
            <w:shd w:val="clear" w:color="000000" w:fill="FFFFFF"/>
            <w:noWrap/>
            <w:vAlign w:val="bottom"/>
            <w:hideMark/>
          </w:tcPr>
          <w:p w14:paraId="2686C270"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202,855</w:t>
            </w:r>
          </w:p>
        </w:tc>
        <w:tc>
          <w:tcPr>
            <w:tcW w:w="1024" w:type="dxa"/>
            <w:tcBorders>
              <w:top w:val="nil"/>
              <w:left w:val="nil"/>
              <w:bottom w:val="single" w:sz="4" w:space="0" w:color="000000"/>
              <w:right w:val="nil"/>
            </w:tcBorders>
            <w:shd w:val="clear" w:color="auto" w:fill="F2F2F2" w:themeFill="background1" w:themeFillShade="F2"/>
            <w:noWrap/>
            <w:vAlign w:val="bottom"/>
            <w:hideMark/>
          </w:tcPr>
          <w:p w14:paraId="1ADE0680"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191,497</w:t>
            </w:r>
          </w:p>
        </w:tc>
        <w:tc>
          <w:tcPr>
            <w:tcW w:w="1024" w:type="dxa"/>
            <w:tcBorders>
              <w:top w:val="nil"/>
              <w:left w:val="nil"/>
              <w:bottom w:val="single" w:sz="4" w:space="0" w:color="000000"/>
              <w:right w:val="nil"/>
            </w:tcBorders>
            <w:shd w:val="clear" w:color="000000" w:fill="FFFFFF"/>
            <w:noWrap/>
            <w:vAlign w:val="bottom"/>
            <w:hideMark/>
          </w:tcPr>
          <w:p w14:paraId="52AC1EBC"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199,877</w:t>
            </w:r>
          </w:p>
        </w:tc>
      </w:tr>
      <w:tr w:rsidR="001B6918" w:rsidRPr="001B6C7C" w14:paraId="3332D144" w14:textId="77777777" w:rsidTr="00730ECF">
        <w:trPr>
          <w:trHeight w:val="70"/>
          <w:jc w:val="center"/>
        </w:trPr>
        <w:tc>
          <w:tcPr>
            <w:tcW w:w="4320" w:type="dxa"/>
            <w:tcBorders>
              <w:top w:val="nil"/>
              <w:left w:val="nil"/>
              <w:bottom w:val="nil"/>
              <w:right w:val="nil"/>
            </w:tcBorders>
            <w:shd w:val="clear" w:color="000000" w:fill="FFFFFF"/>
            <w:vAlign w:val="center"/>
            <w:hideMark/>
          </w:tcPr>
          <w:p w14:paraId="706E269F" w14:textId="77777777" w:rsidR="001B6918" w:rsidRPr="001B6C7C" w:rsidRDefault="001B6918" w:rsidP="00730ECF">
            <w:pPr>
              <w:rPr>
                <w:rFonts w:ascii="Calibri" w:eastAsia="Times New Roman" w:hAnsi="Calibri" w:cs="Calibri"/>
              </w:rPr>
            </w:pPr>
            <w:r w:rsidRPr="001B6C7C">
              <w:rPr>
                <w:rFonts w:ascii="Calibri" w:eastAsia="Times New Roman" w:hAnsi="Calibri" w:cs="Calibri"/>
              </w:rPr>
              <w:t>Contributions – employer</w:t>
            </w:r>
          </w:p>
        </w:tc>
        <w:tc>
          <w:tcPr>
            <w:tcW w:w="1024" w:type="dxa"/>
            <w:tcBorders>
              <w:top w:val="nil"/>
              <w:left w:val="nil"/>
              <w:bottom w:val="nil"/>
              <w:right w:val="nil"/>
            </w:tcBorders>
            <w:vAlign w:val="bottom"/>
          </w:tcPr>
          <w:p w14:paraId="4CCC936D" w14:textId="77777777" w:rsidR="001B6918" w:rsidRPr="002504E7" w:rsidRDefault="001B6918" w:rsidP="00730ECF">
            <w:pPr>
              <w:jc w:val="right"/>
              <w:rPr>
                <w:rFonts w:ascii="Calibri" w:eastAsia="Times New Roman" w:hAnsi="Calibri" w:cs="Calibri"/>
                <w:sz w:val="20"/>
              </w:rPr>
            </w:pPr>
            <w:r w:rsidRPr="002504E7">
              <w:rPr>
                <w:rFonts w:ascii="Calibri" w:eastAsia="Times New Roman" w:hAnsi="Calibri" w:cs="Calibri"/>
                <w:sz w:val="20"/>
              </w:rPr>
              <w:t>7,949</w:t>
            </w:r>
          </w:p>
        </w:tc>
        <w:tc>
          <w:tcPr>
            <w:tcW w:w="1024" w:type="dxa"/>
            <w:tcBorders>
              <w:top w:val="nil"/>
              <w:left w:val="nil"/>
              <w:bottom w:val="nil"/>
              <w:right w:val="nil"/>
            </w:tcBorders>
            <w:vAlign w:val="bottom"/>
          </w:tcPr>
          <w:p w14:paraId="5F40AB91"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9,718</w:t>
            </w:r>
          </w:p>
        </w:tc>
        <w:tc>
          <w:tcPr>
            <w:tcW w:w="1024" w:type="dxa"/>
            <w:tcBorders>
              <w:top w:val="nil"/>
              <w:left w:val="nil"/>
              <w:bottom w:val="nil"/>
              <w:right w:val="nil"/>
            </w:tcBorders>
            <w:shd w:val="clear" w:color="auto" w:fill="F2F2F2" w:themeFill="background1" w:themeFillShade="F2"/>
            <w:noWrap/>
            <w:vAlign w:val="bottom"/>
            <w:hideMark/>
          </w:tcPr>
          <w:p w14:paraId="4F02B3E4"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8,774</w:t>
            </w:r>
          </w:p>
        </w:tc>
        <w:tc>
          <w:tcPr>
            <w:tcW w:w="1024" w:type="dxa"/>
            <w:tcBorders>
              <w:top w:val="nil"/>
              <w:left w:val="nil"/>
              <w:bottom w:val="nil"/>
              <w:right w:val="nil"/>
            </w:tcBorders>
            <w:shd w:val="clear" w:color="000000" w:fill="FFFFFF"/>
            <w:noWrap/>
            <w:vAlign w:val="bottom"/>
            <w:hideMark/>
          </w:tcPr>
          <w:p w14:paraId="35BBFFFB"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4,937</w:t>
            </w:r>
          </w:p>
        </w:tc>
        <w:tc>
          <w:tcPr>
            <w:tcW w:w="1024" w:type="dxa"/>
            <w:tcBorders>
              <w:top w:val="nil"/>
              <w:left w:val="nil"/>
              <w:bottom w:val="nil"/>
              <w:right w:val="nil"/>
            </w:tcBorders>
            <w:shd w:val="clear" w:color="auto" w:fill="F2F2F2" w:themeFill="background1" w:themeFillShade="F2"/>
            <w:noWrap/>
            <w:vAlign w:val="bottom"/>
            <w:hideMark/>
          </w:tcPr>
          <w:p w14:paraId="085804F9"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12,473</w:t>
            </w:r>
          </w:p>
        </w:tc>
        <w:tc>
          <w:tcPr>
            <w:tcW w:w="1024" w:type="dxa"/>
            <w:tcBorders>
              <w:top w:val="nil"/>
              <w:left w:val="nil"/>
              <w:bottom w:val="nil"/>
              <w:right w:val="nil"/>
            </w:tcBorders>
            <w:shd w:val="clear" w:color="000000" w:fill="FFFFFF"/>
            <w:noWrap/>
            <w:vAlign w:val="bottom"/>
            <w:hideMark/>
          </w:tcPr>
          <w:p w14:paraId="33C36E31"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12,694</w:t>
            </w:r>
          </w:p>
        </w:tc>
        <w:tc>
          <w:tcPr>
            <w:tcW w:w="1024" w:type="dxa"/>
            <w:tcBorders>
              <w:top w:val="nil"/>
              <w:left w:val="nil"/>
              <w:bottom w:val="nil"/>
              <w:right w:val="nil"/>
            </w:tcBorders>
            <w:shd w:val="clear" w:color="auto" w:fill="F2F2F2" w:themeFill="background1" w:themeFillShade="F2"/>
            <w:noWrap/>
            <w:vAlign w:val="bottom"/>
            <w:hideMark/>
          </w:tcPr>
          <w:p w14:paraId="6B672E4E"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11,868</w:t>
            </w:r>
          </w:p>
        </w:tc>
        <w:tc>
          <w:tcPr>
            <w:tcW w:w="1024" w:type="dxa"/>
            <w:tcBorders>
              <w:top w:val="nil"/>
              <w:left w:val="nil"/>
              <w:bottom w:val="nil"/>
              <w:right w:val="nil"/>
            </w:tcBorders>
            <w:shd w:val="clear" w:color="000000" w:fill="FFFFFF"/>
            <w:noWrap/>
            <w:vAlign w:val="bottom"/>
            <w:hideMark/>
          </w:tcPr>
          <w:p w14:paraId="706864BD"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11,942</w:t>
            </w:r>
          </w:p>
        </w:tc>
        <w:tc>
          <w:tcPr>
            <w:tcW w:w="1024" w:type="dxa"/>
            <w:tcBorders>
              <w:top w:val="nil"/>
              <w:left w:val="nil"/>
              <w:bottom w:val="nil"/>
              <w:right w:val="nil"/>
            </w:tcBorders>
            <w:shd w:val="clear" w:color="auto" w:fill="F2F2F2" w:themeFill="background1" w:themeFillShade="F2"/>
            <w:noWrap/>
            <w:vAlign w:val="bottom"/>
            <w:hideMark/>
          </w:tcPr>
          <w:p w14:paraId="6FED90FB"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16,146</w:t>
            </w:r>
          </w:p>
        </w:tc>
        <w:tc>
          <w:tcPr>
            <w:tcW w:w="1024" w:type="dxa"/>
            <w:tcBorders>
              <w:top w:val="nil"/>
              <w:left w:val="nil"/>
              <w:bottom w:val="nil"/>
              <w:right w:val="nil"/>
            </w:tcBorders>
            <w:shd w:val="clear" w:color="000000" w:fill="FFFFFF"/>
            <w:noWrap/>
            <w:vAlign w:val="bottom"/>
            <w:hideMark/>
          </w:tcPr>
          <w:p w14:paraId="07DFE3CD"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w:t>
            </w:r>
          </w:p>
        </w:tc>
      </w:tr>
      <w:tr w:rsidR="001B6918" w:rsidRPr="001B6C7C" w14:paraId="4321EC1E" w14:textId="77777777" w:rsidTr="00730ECF">
        <w:trPr>
          <w:trHeight w:val="80"/>
          <w:jc w:val="center"/>
        </w:trPr>
        <w:tc>
          <w:tcPr>
            <w:tcW w:w="4320" w:type="dxa"/>
            <w:tcBorders>
              <w:top w:val="nil"/>
              <w:left w:val="nil"/>
              <w:bottom w:val="nil"/>
              <w:right w:val="nil"/>
            </w:tcBorders>
            <w:shd w:val="clear" w:color="000000" w:fill="FFFFFF"/>
            <w:vAlign w:val="center"/>
            <w:hideMark/>
          </w:tcPr>
          <w:p w14:paraId="3F92F478" w14:textId="77777777" w:rsidR="001B6918" w:rsidRPr="001B6C7C" w:rsidRDefault="001B6918" w:rsidP="00730ECF">
            <w:pPr>
              <w:rPr>
                <w:rFonts w:ascii="Calibri" w:eastAsia="Times New Roman" w:hAnsi="Calibri" w:cs="Calibri"/>
              </w:rPr>
            </w:pPr>
            <w:r w:rsidRPr="001B6C7C">
              <w:rPr>
                <w:rFonts w:ascii="Calibri" w:eastAsia="Times New Roman" w:hAnsi="Calibri" w:cs="Calibri"/>
              </w:rPr>
              <w:t>Net investment income</w:t>
            </w:r>
          </w:p>
        </w:tc>
        <w:tc>
          <w:tcPr>
            <w:tcW w:w="1024" w:type="dxa"/>
            <w:tcBorders>
              <w:top w:val="nil"/>
              <w:left w:val="nil"/>
              <w:bottom w:val="nil"/>
              <w:right w:val="nil"/>
            </w:tcBorders>
            <w:vAlign w:val="bottom"/>
          </w:tcPr>
          <w:p w14:paraId="03B98679" w14:textId="77777777" w:rsidR="001B6918" w:rsidRPr="002504E7" w:rsidRDefault="001B6918" w:rsidP="00730ECF">
            <w:pPr>
              <w:jc w:val="right"/>
              <w:rPr>
                <w:rFonts w:ascii="Calibri" w:eastAsia="Times New Roman" w:hAnsi="Calibri" w:cs="Calibri"/>
                <w:sz w:val="20"/>
              </w:rPr>
            </w:pPr>
            <w:r w:rsidRPr="002504E7">
              <w:rPr>
                <w:rFonts w:ascii="Calibri" w:eastAsia="Times New Roman" w:hAnsi="Calibri" w:cs="Calibri"/>
                <w:sz w:val="20"/>
              </w:rPr>
              <w:t>19,100</w:t>
            </w:r>
          </w:p>
        </w:tc>
        <w:tc>
          <w:tcPr>
            <w:tcW w:w="1024" w:type="dxa"/>
            <w:tcBorders>
              <w:top w:val="nil"/>
              <w:left w:val="nil"/>
              <w:bottom w:val="nil"/>
              <w:right w:val="nil"/>
            </w:tcBorders>
            <w:vAlign w:val="bottom"/>
          </w:tcPr>
          <w:p w14:paraId="7F68927D"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20,670</w:t>
            </w:r>
          </w:p>
        </w:tc>
        <w:tc>
          <w:tcPr>
            <w:tcW w:w="1024" w:type="dxa"/>
            <w:tcBorders>
              <w:top w:val="nil"/>
              <w:left w:val="nil"/>
              <w:bottom w:val="nil"/>
              <w:right w:val="nil"/>
            </w:tcBorders>
            <w:shd w:val="clear" w:color="auto" w:fill="F2F2F2" w:themeFill="background1" w:themeFillShade="F2"/>
            <w:noWrap/>
            <w:vAlign w:val="bottom"/>
            <w:hideMark/>
          </w:tcPr>
          <w:p w14:paraId="69C8D100"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16,756</w:t>
            </w:r>
          </w:p>
        </w:tc>
        <w:tc>
          <w:tcPr>
            <w:tcW w:w="1024" w:type="dxa"/>
            <w:tcBorders>
              <w:top w:val="nil"/>
              <w:left w:val="nil"/>
              <w:bottom w:val="nil"/>
              <w:right w:val="nil"/>
            </w:tcBorders>
            <w:shd w:val="clear" w:color="000000" w:fill="FFFFFF"/>
            <w:noWrap/>
            <w:vAlign w:val="bottom"/>
            <w:hideMark/>
          </w:tcPr>
          <w:p w14:paraId="5806D620"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xml:space="preserve"> (22,658)</w:t>
            </w:r>
          </w:p>
        </w:tc>
        <w:tc>
          <w:tcPr>
            <w:tcW w:w="1024" w:type="dxa"/>
            <w:tcBorders>
              <w:top w:val="nil"/>
              <w:left w:val="nil"/>
              <w:bottom w:val="nil"/>
              <w:right w:val="nil"/>
            </w:tcBorders>
            <w:shd w:val="clear" w:color="auto" w:fill="F2F2F2" w:themeFill="background1" w:themeFillShade="F2"/>
            <w:noWrap/>
            <w:vAlign w:val="bottom"/>
            <w:hideMark/>
          </w:tcPr>
          <w:p w14:paraId="19515D66"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37,389</w:t>
            </w:r>
          </w:p>
        </w:tc>
        <w:tc>
          <w:tcPr>
            <w:tcW w:w="1024" w:type="dxa"/>
            <w:tcBorders>
              <w:top w:val="nil"/>
              <w:left w:val="nil"/>
              <w:bottom w:val="nil"/>
              <w:right w:val="nil"/>
            </w:tcBorders>
            <w:shd w:val="clear" w:color="000000" w:fill="FFFFFF"/>
            <w:noWrap/>
            <w:vAlign w:val="bottom"/>
            <w:hideMark/>
          </w:tcPr>
          <w:p w14:paraId="6178C860"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1,561</w:t>
            </w:r>
          </w:p>
        </w:tc>
        <w:tc>
          <w:tcPr>
            <w:tcW w:w="1024" w:type="dxa"/>
            <w:tcBorders>
              <w:top w:val="nil"/>
              <w:left w:val="nil"/>
              <w:bottom w:val="nil"/>
              <w:right w:val="nil"/>
            </w:tcBorders>
            <w:shd w:val="clear" w:color="auto" w:fill="F2F2F2" w:themeFill="background1" w:themeFillShade="F2"/>
            <w:noWrap/>
            <w:vAlign w:val="bottom"/>
            <w:hideMark/>
          </w:tcPr>
          <w:p w14:paraId="71ABFF29"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3,546</w:t>
            </w:r>
          </w:p>
        </w:tc>
        <w:tc>
          <w:tcPr>
            <w:tcW w:w="1024" w:type="dxa"/>
            <w:tcBorders>
              <w:top w:val="nil"/>
              <w:left w:val="nil"/>
              <w:bottom w:val="nil"/>
              <w:right w:val="nil"/>
            </w:tcBorders>
            <w:shd w:val="clear" w:color="000000" w:fill="FFFFFF"/>
            <w:noWrap/>
            <w:vAlign w:val="bottom"/>
            <w:hideMark/>
          </w:tcPr>
          <w:p w14:paraId="6E68C47F"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7,979</w:t>
            </w:r>
          </w:p>
        </w:tc>
        <w:tc>
          <w:tcPr>
            <w:tcW w:w="1024" w:type="dxa"/>
            <w:tcBorders>
              <w:top w:val="nil"/>
              <w:left w:val="nil"/>
              <w:bottom w:val="nil"/>
              <w:right w:val="nil"/>
            </w:tcBorders>
            <w:shd w:val="clear" w:color="auto" w:fill="F2F2F2" w:themeFill="background1" w:themeFillShade="F2"/>
            <w:noWrap/>
            <w:vAlign w:val="bottom"/>
            <w:hideMark/>
          </w:tcPr>
          <w:p w14:paraId="44473F09"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11,565</w:t>
            </w:r>
          </w:p>
        </w:tc>
        <w:tc>
          <w:tcPr>
            <w:tcW w:w="1024" w:type="dxa"/>
            <w:tcBorders>
              <w:top w:val="nil"/>
              <w:left w:val="nil"/>
              <w:bottom w:val="nil"/>
              <w:right w:val="nil"/>
            </w:tcBorders>
            <w:shd w:val="clear" w:color="000000" w:fill="FFFFFF"/>
            <w:noWrap/>
            <w:vAlign w:val="bottom"/>
            <w:hideMark/>
          </w:tcPr>
          <w:p w14:paraId="7C4A22B1"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w:t>
            </w:r>
          </w:p>
        </w:tc>
      </w:tr>
      <w:tr w:rsidR="001B6918" w:rsidRPr="001B6C7C" w14:paraId="3A2B40EF" w14:textId="77777777" w:rsidTr="00730ECF">
        <w:trPr>
          <w:trHeight w:val="80"/>
          <w:jc w:val="center"/>
        </w:trPr>
        <w:tc>
          <w:tcPr>
            <w:tcW w:w="4320" w:type="dxa"/>
            <w:tcBorders>
              <w:top w:val="nil"/>
              <w:left w:val="nil"/>
              <w:bottom w:val="single" w:sz="4" w:space="0" w:color="000000"/>
              <w:right w:val="nil"/>
            </w:tcBorders>
            <w:shd w:val="clear" w:color="000000" w:fill="FFFFFF"/>
            <w:vAlign w:val="center"/>
            <w:hideMark/>
          </w:tcPr>
          <w:p w14:paraId="076C12A5" w14:textId="77777777" w:rsidR="001B6918" w:rsidRPr="001B6C7C" w:rsidRDefault="001B6918" w:rsidP="00730ECF">
            <w:pPr>
              <w:rPr>
                <w:rFonts w:ascii="Calibri" w:eastAsia="Times New Roman" w:hAnsi="Calibri" w:cs="Calibri"/>
              </w:rPr>
            </w:pPr>
            <w:r w:rsidRPr="001B6C7C">
              <w:rPr>
                <w:rFonts w:ascii="Calibri" w:eastAsia="Times New Roman" w:hAnsi="Calibri" w:cs="Calibri"/>
              </w:rPr>
              <w:t>Benefit payments</w:t>
            </w:r>
          </w:p>
        </w:tc>
        <w:tc>
          <w:tcPr>
            <w:tcW w:w="1024" w:type="dxa"/>
            <w:tcBorders>
              <w:top w:val="nil"/>
              <w:left w:val="nil"/>
              <w:bottom w:val="single" w:sz="4" w:space="0" w:color="000000"/>
              <w:right w:val="nil"/>
            </w:tcBorders>
            <w:vAlign w:val="bottom"/>
          </w:tcPr>
          <w:p w14:paraId="5813EBF4" w14:textId="77777777" w:rsidR="001B6918" w:rsidRPr="002504E7" w:rsidRDefault="001B6918" w:rsidP="00730ECF">
            <w:pPr>
              <w:jc w:val="right"/>
              <w:rPr>
                <w:rFonts w:ascii="Calibri" w:eastAsia="Times New Roman" w:hAnsi="Calibri" w:cs="Calibri"/>
                <w:sz w:val="20"/>
              </w:rPr>
            </w:pPr>
            <w:r w:rsidRPr="00E7665E">
              <w:rPr>
                <w:rFonts w:ascii="Calibri" w:eastAsia="Times New Roman" w:hAnsi="Calibri" w:cs="Calibri"/>
                <w:sz w:val="20"/>
              </w:rPr>
              <w:t>(7,949)</w:t>
            </w:r>
          </w:p>
        </w:tc>
        <w:tc>
          <w:tcPr>
            <w:tcW w:w="1024" w:type="dxa"/>
            <w:tcBorders>
              <w:top w:val="nil"/>
              <w:left w:val="nil"/>
              <w:bottom w:val="single" w:sz="4" w:space="0" w:color="000000"/>
              <w:right w:val="nil"/>
            </w:tcBorders>
            <w:vAlign w:val="bottom"/>
          </w:tcPr>
          <w:p w14:paraId="0F4FC955" w14:textId="77777777" w:rsidR="001B6918" w:rsidRPr="00643226" w:rsidRDefault="001B6918" w:rsidP="00730ECF">
            <w:pPr>
              <w:jc w:val="right"/>
              <w:rPr>
                <w:rFonts w:ascii="Calibri" w:eastAsia="Times New Roman" w:hAnsi="Calibri" w:cs="Calibri"/>
                <w:sz w:val="20"/>
              </w:rPr>
            </w:pPr>
            <w:r w:rsidRPr="009B44FB">
              <w:rPr>
                <w:rFonts w:ascii="Calibri" w:eastAsia="Times New Roman" w:hAnsi="Calibri" w:cs="Calibri"/>
                <w:sz w:val="20"/>
              </w:rPr>
              <w:t>(</w:t>
            </w:r>
            <w:r w:rsidRPr="00643226">
              <w:rPr>
                <w:rFonts w:ascii="Calibri" w:eastAsia="Times New Roman" w:hAnsi="Calibri" w:cs="Calibri"/>
                <w:sz w:val="20"/>
              </w:rPr>
              <w:t>8,824</w:t>
            </w:r>
            <w:r w:rsidRPr="009B44FB">
              <w:rPr>
                <w:rFonts w:ascii="Calibri" w:eastAsia="Times New Roman" w:hAnsi="Calibri" w:cs="Calibri"/>
                <w:sz w:val="20"/>
              </w:rPr>
              <w:t>)</w:t>
            </w:r>
          </w:p>
        </w:tc>
        <w:tc>
          <w:tcPr>
            <w:tcW w:w="1024" w:type="dxa"/>
            <w:tcBorders>
              <w:top w:val="nil"/>
              <w:left w:val="nil"/>
              <w:bottom w:val="single" w:sz="4" w:space="0" w:color="000000"/>
              <w:right w:val="nil"/>
            </w:tcBorders>
            <w:shd w:val="clear" w:color="auto" w:fill="F2F2F2" w:themeFill="background1" w:themeFillShade="F2"/>
            <w:noWrap/>
            <w:vAlign w:val="bottom"/>
            <w:hideMark/>
          </w:tcPr>
          <w:p w14:paraId="02EB859E"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xml:space="preserve"> (7,115)</w:t>
            </w:r>
          </w:p>
        </w:tc>
        <w:tc>
          <w:tcPr>
            <w:tcW w:w="1024" w:type="dxa"/>
            <w:tcBorders>
              <w:top w:val="nil"/>
              <w:left w:val="nil"/>
              <w:bottom w:val="single" w:sz="4" w:space="0" w:color="000000"/>
              <w:right w:val="nil"/>
            </w:tcBorders>
            <w:shd w:val="clear" w:color="000000" w:fill="FFFFFF"/>
            <w:noWrap/>
            <w:vAlign w:val="bottom"/>
            <w:hideMark/>
          </w:tcPr>
          <w:p w14:paraId="2071B9AB"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xml:space="preserve"> (6,537)</w:t>
            </w:r>
          </w:p>
        </w:tc>
        <w:tc>
          <w:tcPr>
            <w:tcW w:w="1024" w:type="dxa"/>
            <w:tcBorders>
              <w:top w:val="nil"/>
              <w:left w:val="nil"/>
              <w:bottom w:val="single" w:sz="4" w:space="0" w:color="000000"/>
              <w:right w:val="nil"/>
            </w:tcBorders>
            <w:shd w:val="clear" w:color="auto" w:fill="F2F2F2" w:themeFill="background1" w:themeFillShade="F2"/>
            <w:noWrap/>
            <w:vAlign w:val="bottom"/>
            <w:hideMark/>
          </w:tcPr>
          <w:p w14:paraId="45ECA299"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xml:space="preserve"> (6,992)</w:t>
            </w:r>
          </w:p>
        </w:tc>
        <w:tc>
          <w:tcPr>
            <w:tcW w:w="1024" w:type="dxa"/>
            <w:tcBorders>
              <w:top w:val="nil"/>
              <w:left w:val="nil"/>
              <w:bottom w:val="single" w:sz="4" w:space="0" w:color="000000"/>
              <w:right w:val="nil"/>
            </w:tcBorders>
            <w:shd w:val="clear" w:color="000000" w:fill="FFFFFF"/>
            <w:noWrap/>
            <w:vAlign w:val="bottom"/>
            <w:hideMark/>
          </w:tcPr>
          <w:p w14:paraId="2226B162"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xml:space="preserve"> (8,194)</w:t>
            </w:r>
          </w:p>
        </w:tc>
        <w:tc>
          <w:tcPr>
            <w:tcW w:w="1024" w:type="dxa"/>
            <w:tcBorders>
              <w:top w:val="nil"/>
              <w:left w:val="nil"/>
              <w:bottom w:val="single" w:sz="4" w:space="0" w:color="000000"/>
              <w:right w:val="nil"/>
            </w:tcBorders>
            <w:shd w:val="clear" w:color="auto" w:fill="F2F2F2" w:themeFill="background1" w:themeFillShade="F2"/>
            <w:noWrap/>
            <w:vAlign w:val="bottom"/>
            <w:hideMark/>
          </w:tcPr>
          <w:p w14:paraId="416FC25C"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xml:space="preserve"> (9,425)</w:t>
            </w:r>
          </w:p>
        </w:tc>
        <w:tc>
          <w:tcPr>
            <w:tcW w:w="1024" w:type="dxa"/>
            <w:tcBorders>
              <w:top w:val="nil"/>
              <w:left w:val="nil"/>
              <w:bottom w:val="single" w:sz="4" w:space="0" w:color="000000"/>
              <w:right w:val="nil"/>
            </w:tcBorders>
            <w:shd w:val="clear" w:color="000000" w:fill="FFFFFF"/>
            <w:noWrap/>
            <w:vAlign w:val="bottom"/>
            <w:hideMark/>
          </w:tcPr>
          <w:p w14:paraId="77802161"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xml:space="preserve"> (9,454)</w:t>
            </w:r>
          </w:p>
        </w:tc>
        <w:tc>
          <w:tcPr>
            <w:tcW w:w="1024" w:type="dxa"/>
            <w:tcBorders>
              <w:top w:val="nil"/>
              <w:left w:val="nil"/>
              <w:bottom w:val="single" w:sz="4" w:space="0" w:color="000000"/>
              <w:right w:val="nil"/>
            </w:tcBorders>
            <w:shd w:val="clear" w:color="auto" w:fill="F2F2F2" w:themeFill="background1" w:themeFillShade="F2"/>
            <w:noWrap/>
            <w:vAlign w:val="bottom"/>
            <w:hideMark/>
          </w:tcPr>
          <w:p w14:paraId="098D7DE7"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xml:space="preserve"> (10,364)</w:t>
            </w:r>
          </w:p>
        </w:tc>
        <w:tc>
          <w:tcPr>
            <w:tcW w:w="1024" w:type="dxa"/>
            <w:tcBorders>
              <w:top w:val="nil"/>
              <w:left w:val="nil"/>
              <w:bottom w:val="single" w:sz="4" w:space="0" w:color="000000"/>
              <w:right w:val="nil"/>
            </w:tcBorders>
            <w:shd w:val="clear" w:color="000000" w:fill="FFFFFF"/>
            <w:noWrap/>
            <w:vAlign w:val="bottom"/>
            <w:hideMark/>
          </w:tcPr>
          <w:p w14:paraId="1423BD8B"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w:t>
            </w:r>
          </w:p>
        </w:tc>
      </w:tr>
      <w:tr w:rsidR="001B6918" w:rsidRPr="001B6C7C" w14:paraId="346F5B33" w14:textId="77777777" w:rsidTr="00730ECF">
        <w:trPr>
          <w:trHeight w:val="70"/>
          <w:jc w:val="center"/>
        </w:trPr>
        <w:tc>
          <w:tcPr>
            <w:tcW w:w="4320" w:type="dxa"/>
            <w:tcBorders>
              <w:top w:val="nil"/>
              <w:left w:val="nil"/>
              <w:bottom w:val="nil"/>
              <w:right w:val="nil"/>
            </w:tcBorders>
            <w:shd w:val="clear" w:color="000000" w:fill="FFFFFF"/>
            <w:vAlign w:val="center"/>
            <w:hideMark/>
          </w:tcPr>
          <w:p w14:paraId="2866D696" w14:textId="77777777" w:rsidR="001B6918" w:rsidRPr="001B6C7C" w:rsidRDefault="001B6918" w:rsidP="00730ECF">
            <w:pPr>
              <w:rPr>
                <w:rFonts w:ascii="Calibri" w:eastAsia="Times New Roman" w:hAnsi="Calibri" w:cs="Calibri"/>
              </w:rPr>
            </w:pPr>
            <w:r w:rsidRPr="001B6C7C">
              <w:rPr>
                <w:rFonts w:ascii="Calibri" w:eastAsia="Times New Roman" w:hAnsi="Calibri" w:cs="Calibri"/>
              </w:rPr>
              <w:t>Net change in plan fiduciary net position</w:t>
            </w:r>
          </w:p>
        </w:tc>
        <w:tc>
          <w:tcPr>
            <w:tcW w:w="1024" w:type="dxa"/>
            <w:tcBorders>
              <w:top w:val="nil"/>
              <w:left w:val="nil"/>
              <w:bottom w:val="nil"/>
              <w:right w:val="nil"/>
            </w:tcBorders>
            <w:vAlign w:val="bottom"/>
          </w:tcPr>
          <w:p w14:paraId="0C42F018" w14:textId="77777777" w:rsidR="001B6918" w:rsidRPr="002504E7" w:rsidRDefault="001B6918" w:rsidP="00730ECF">
            <w:pPr>
              <w:jc w:val="right"/>
              <w:rPr>
                <w:rFonts w:ascii="Calibri" w:eastAsia="Times New Roman" w:hAnsi="Calibri" w:cs="Calibri"/>
                <w:sz w:val="20"/>
              </w:rPr>
            </w:pPr>
            <w:r w:rsidRPr="002504E7">
              <w:rPr>
                <w:rFonts w:ascii="Calibri" w:eastAsia="Times New Roman" w:hAnsi="Calibri" w:cs="Calibri"/>
                <w:sz w:val="20"/>
              </w:rPr>
              <w:t>19,100</w:t>
            </w:r>
          </w:p>
        </w:tc>
        <w:tc>
          <w:tcPr>
            <w:tcW w:w="1024" w:type="dxa"/>
            <w:tcBorders>
              <w:top w:val="nil"/>
              <w:left w:val="nil"/>
              <w:bottom w:val="nil"/>
              <w:right w:val="nil"/>
            </w:tcBorders>
            <w:vAlign w:val="bottom"/>
          </w:tcPr>
          <w:p w14:paraId="7F0173A6"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21,564</w:t>
            </w:r>
          </w:p>
        </w:tc>
        <w:tc>
          <w:tcPr>
            <w:tcW w:w="1024" w:type="dxa"/>
            <w:tcBorders>
              <w:top w:val="nil"/>
              <w:left w:val="nil"/>
              <w:bottom w:val="nil"/>
              <w:right w:val="nil"/>
            </w:tcBorders>
            <w:shd w:val="clear" w:color="auto" w:fill="F2F2F2" w:themeFill="background1" w:themeFillShade="F2"/>
            <w:noWrap/>
            <w:vAlign w:val="bottom"/>
            <w:hideMark/>
          </w:tcPr>
          <w:p w14:paraId="75BEAA93"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18,415</w:t>
            </w:r>
          </w:p>
        </w:tc>
        <w:tc>
          <w:tcPr>
            <w:tcW w:w="1024" w:type="dxa"/>
            <w:tcBorders>
              <w:top w:val="nil"/>
              <w:left w:val="nil"/>
              <w:bottom w:val="nil"/>
              <w:right w:val="nil"/>
            </w:tcBorders>
            <w:shd w:val="clear" w:color="000000" w:fill="FFFFFF"/>
            <w:noWrap/>
            <w:vAlign w:val="bottom"/>
            <w:hideMark/>
          </w:tcPr>
          <w:p w14:paraId="2EA2D299"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xml:space="preserve"> (24,258)</w:t>
            </w:r>
          </w:p>
        </w:tc>
        <w:tc>
          <w:tcPr>
            <w:tcW w:w="1024" w:type="dxa"/>
            <w:tcBorders>
              <w:top w:val="nil"/>
              <w:left w:val="nil"/>
              <w:bottom w:val="nil"/>
              <w:right w:val="nil"/>
            </w:tcBorders>
            <w:shd w:val="clear" w:color="auto" w:fill="F2F2F2" w:themeFill="background1" w:themeFillShade="F2"/>
            <w:noWrap/>
            <w:vAlign w:val="bottom"/>
            <w:hideMark/>
          </w:tcPr>
          <w:p w14:paraId="37760189"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42,870</w:t>
            </w:r>
          </w:p>
        </w:tc>
        <w:tc>
          <w:tcPr>
            <w:tcW w:w="1024" w:type="dxa"/>
            <w:tcBorders>
              <w:top w:val="nil"/>
              <w:left w:val="nil"/>
              <w:bottom w:val="nil"/>
              <w:right w:val="nil"/>
            </w:tcBorders>
            <w:shd w:val="clear" w:color="000000" w:fill="FFFFFF"/>
            <w:noWrap/>
            <w:vAlign w:val="bottom"/>
            <w:hideMark/>
          </w:tcPr>
          <w:p w14:paraId="4525C953"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6,061</w:t>
            </w:r>
          </w:p>
        </w:tc>
        <w:tc>
          <w:tcPr>
            <w:tcW w:w="1024" w:type="dxa"/>
            <w:tcBorders>
              <w:top w:val="nil"/>
              <w:left w:val="nil"/>
              <w:bottom w:val="nil"/>
              <w:right w:val="nil"/>
            </w:tcBorders>
            <w:shd w:val="clear" w:color="auto" w:fill="F2F2F2" w:themeFill="background1" w:themeFillShade="F2"/>
            <w:noWrap/>
            <w:vAlign w:val="bottom"/>
            <w:hideMark/>
          </w:tcPr>
          <w:p w14:paraId="55A945D9"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5,989</w:t>
            </w:r>
          </w:p>
        </w:tc>
        <w:tc>
          <w:tcPr>
            <w:tcW w:w="1024" w:type="dxa"/>
            <w:tcBorders>
              <w:top w:val="nil"/>
              <w:left w:val="nil"/>
              <w:bottom w:val="nil"/>
              <w:right w:val="nil"/>
            </w:tcBorders>
            <w:shd w:val="clear" w:color="000000" w:fill="FFFFFF"/>
            <w:noWrap/>
            <w:vAlign w:val="bottom"/>
            <w:hideMark/>
          </w:tcPr>
          <w:p w14:paraId="59E987B9"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10,467</w:t>
            </w:r>
          </w:p>
        </w:tc>
        <w:tc>
          <w:tcPr>
            <w:tcW w:w="1024" w:type="dxa"/>
            <w:tcBorders>
              <w:top w:val="nil"/>
              <w:left w:val="nil"/>
              <w:bottom w:val="nil"/>
              <w:right w:val="nil"/>
            </w:tcBorders>
            <w:shd w:val="clear" w:color="auto" w:fill="F2F2F2" w:themeFill="background1" w:themeFillShade="F2"/>
            <w:noWrap/>
            <w:vAlign w:val="bottom"/>
            <w:hideMark/>
          </w:tcPr>
          <w:p w14:paraId="6F08A1A4"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17,347</w:t>
            </w:r>
          </w:p>
        </w:tc>
        <w:tc>
          <w:tcPr>
            <w:tcW w:w="1024" w:type="dxa"/>
            <w:tcBorders>
              <w:top w:val="nil"/>
              <w:left w:val="nil"/>
              <w:bottom w:val="nil"/>
              <w:right w:val="nil"/>
            </w:tcBorders>
            <w:shd w:val="clear" w:color="000000" w:fill="FFFFFF"/>
            <w:noWrap/>
            <w:vAlign w:val="bottom"/>
            <w:hideMark/>
          </w:tcPr>
          <w:p w14:paraId="392DFDD3"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w:t>
            </w:r>
          </w:p>
        </w:tc>
      </w:tr>
      <w:tr w:rsidR="001B6918" w:rsidRPr="001B6C7C" w14:paraId="3E6FA57A" w14:textId="77777777" w:rsidTr="00730ECF">
        <w:trPr>
          <w:trHeight w:val="117"/>
          <w:jc w:val="center"/>
        </w:trPr>
        <w:tc>
          <w:tcPr>
            <w:tcW w:w="4320" w:type="dxa"/>
            <w:tcBorders>
              <w:top w:val="nil"/>
              <w:left w:val="nil"/>
              <w:bottom w:val="single" w:sz="4" w:space="0" w:color="000000"/>
              <w:right w:val="nil"/>
            </w:tcBorders>
            <w:shd w:val="clear" w:color="000000" w:fill="FFFFFF"/>
            <w:vAlign w:val="center"/>
            <w:hideMark/>
          </w:tcPr>
          <w:p w14:paraId="2F0A7B4F" w14:textId="77777777" w:rsidR="001B6918" w:rsidRPr="001B6C7C" w:rsidRDefault="001B6918" w:rsidP="00730ECF">
            <w:pPr>
              <w:rPr>
                <w:rFonts w:ascii="Calibri" w:eastAsia="Times New Roman" w:hAnsi="Calibri" w:cs="Calibri"/>
              </w:rPr>
            </w:pPr>
            <w:r w:rsidRPr="001B6C7C">
              <w:rPr>
                <w:rFonts w:ascii="Calibri" w:eastAsia="Times New Roman" w:hAnsi="Calibri" w:cs="Calibri"/>
              </w:rPr>
              <w:t>Fiduciary net position – beginning</w:t>
            </w:r>
          </w:p>
        </w:tc>
        <w:tc>
          <w:tcPr>
            <w:tcW w:w="1024" w:type="dxa"/>
            <w:tcBorders>
              <w:top w:val="nil"/>
              <w:left w:val="nil"/>
              <w:bottom w:val="single" w:sz="4" w:space="0" w:color="000000"/>
              <w:right w:val="nil"/>
            </w:tcBorders>
            <w:vAlign w:val="bottom"/>
          </w:tcPr>
          <w:p w14:paraId="40295FFD" w14:textId="77777777" w:rsidR="001B6918" w:rsidRPr="002504E7" w:rsidRDefault="001B6918" w:rsidP="00730ECF">
            <w:pPr>
              <w:jc w:val="right"/>
              <w:rPr>
                <w:rFonts w:ascii="Calibri" w:eastAsia="Times New Roman" w:hAnsi="Calibri" w:cs="Calibri"/>
                <w:sz w:val="20"/>
              </w:rPr>
            </w:pPr>
            <w:r w:rsidRPr="002504E7">
              <w:rPr>
                <w:rFonts w:ascii="Calibri" w:eastAsia="Times New Roman" w:hAnsi="Calibri" w:cs="Calibri"/>
                <w:sz w:val="20"/>
              </w:rPr>
              <w:t>195,991</w:t>
            </w:r>
          </w:p>
        </w:tc>
        <w:tc>
          <w:tcPr>
            <w:tcW w:w="1024" w:type="dxa"/>
            <w:tcBorders>
              <w:top w:val="nil"/>
              <w:left w:val="nil"/>
              <w:bottom w:val="single" w:sz="4" w:space="0" w:color="000000"/>
              <w:right w:val="nil"/>
            </w:tcBorders>
            <w:vAlign w:val="bottom"/>
          </w:tcPr>
          <w:p w14:paraId="0E544208"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174,427</w:t>
            </w:r>
          </w:p>
        </w:tc>
        <w:tc>
          <w:tcPr>
            <w:tcW w:w="1024" w:type="dxa"/>
            <w:tcBorders>
              <w:top w:val="nil"/>
              <w:left w:val="nil"/>
              <w:bottom w:val="single" w:sz="4" w:space="0" w:color="000000"/>
              <w:right w:val="nil"/>
            </w:tcBorders>
            <w:shd w:val="clear" w:color="auto" w:fill="F2F2F2" w:themeFill="background1" w:themeFillShade="F2"/>
            <w:noWrap/>
            <w:vAlign w:val="bottom"/>
            <w:hideMark/>
          </w:tcPr>
          <w:p w14:paraId="5175ED92"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156,012</w:t>
            </w:r>
          </w:p>
        </w:tc>
        <w:tc>
          <w:tcPr>
            <w:tcW w:w="1024" w:type="dxa"/>
            <w:tcBorders>
              <w:top w:val="nil"/>
              <w:left w:val="nil"/>
              <w:bottom w:val="single" w:sz="4" w:space="0" w:color="000000"/>
              <w:right w:val="nil"/>
            </w:tcBorders>
            <w:shd w:val="clear" w:color="000000" w:fill="FFFFFF"/>
            <w:noWrap/>
            <w:vAlign w:val="bottom"/>
            <w:hideMark/>
          </w:tcPr>
          <w:p w14:paraId="3427CA83"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180,270</w:t>
            </w:r>
          </w:p>
        </w:tc>
        <w:tc>
          <w:tcPr>
            <w:tcW w:w="1024" w:type="dxa"/>
            <w:tcBorders>
              <w:top w:val="nil"/>
              <w:left w:val="nil"/>
              <w:bottom w:val="single" w:sz="4" w:space="0" w:color="000000"/>
              <w:right w:val="nil"/>
            </w:tcBorders>
            <w:shd w:val="clear" w:color="auto" w:fill="F2F2F2" w:themeFill="background1" w:themeFillShade="F2"/>
            <w:noWrap/>
            <w:vAlign w:val="bottom"/>
            <w:hideMark/>
          </w:tcPr>
          <w:p w14:paraId="7590E093"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137,400</w:t>
            </w:r>
          </w:p>
        </w:tc>
        <w:tc>
          <w:tcPr>
            <w:tcW w:w="1024" w:type="dxa"/>
            <w:tcBorders>
              <w:top w:val="nil"/>
              <w:left w:val="nil"/>
              <w:bottom w:val="single" w:sz="4" w:space="0" w:color="000000"/>
              <w:right w:val="nil"/>
            </w:tcBorders>
            <w:shd w:val="clear" w:color="000000" w:fill="FFFFFF"/>
            <w:noWrap/>
            <w:vAlign w:val="bottom"/>
            <w:hideMark/>
          </w:tcPr>
          <w:p w14:paraId="52045133"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131,339</w:t>
            </w:r>
          </w:p>
        </w:tc>
        <w:tc>
          <w:tcPr>
            <w:tcW w:w="1024" w:type="dxa"/>
            <w:tcBorders>
              <w:top w:val="nil"/>
              <w:left w:val="nil"/>
              <w:bottom w:val="single" w:sz="4" w:space="0" w:color="000000"/>
              <w:right w:val="nil"/>
            </w:tcBorders>
            <w:shd w:val="clear" w:color="auto" w:fill="F2F2F2" w:themeFill="background1" w:themeFillShade="F2"/>
            <w:noWrap/>
            <w:vAlign w:val="bottom"/>
            <w:hideMark/>
          </w:tcPr>
          <w:p w14:paraId="0AABFDA7"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125,350</w:t>
            </w:r>
          </w:p>
        </w:tc>
        <w:tc>
          <w:tcPr>
            <w:tcW w:w="1024" w:type="dxa"/>
            <w:tcBorders>
              <w:top w:val="nil"/>
              <w:left w:val="nil"/>
              <w:bottom w:val="single" w:sz="4" w:space="0" w:color="000000"/>
              <w:right w:val="nil"/>
            </w:tcBorders>
            <w:shd w:val="clear" w:color="000000" w:fill="FFFFFF"/>
            <w:noWrap/>
            <w:vAlign w:val="bottom"/>
            <w:hideMark/>
          </w:tcPr>
          <w:p w14:paraId="032EA745"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114,883</w:t>
            </w:r>
          </w:p>
        </w:tc>
        <w:tc>
          <w:tcPr>
            <w:tcW w:w="1024" w:type="dxa"/>
            <w:tcBorders>
              <w:top w:val="nil"/>
              <w:left w:val="nil"/>
              <w:bottom w:val="single" w:sz="4" w:space="0" w:color="000000"/>
              <w:right w:val="nil"/>
            </w:tcBorders>
            <w:shd w:val="clear" w:color="auto" w:fill="F2F2F2" w:themeFill="background1" w:themeFillShade="F2"/>
            <w:noWrap/>
            <w:vAlign w:val="bottom"/>
            <w:hideMark/>
          </w:tcPr>
          <w:p w14:paraId="2FD3AD00"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97,536</w:t>
            </w:r>
          </w:p>
        </w:tc>
        <w:tc>
          <w:tcPr>
            <w:tcW w:w="1024" w:type="dxa"/>
            <w:tcBorders>
              <w:top w:val="nil"/>
              <w:left w:val="nil"/>
              <w:bottom w:val="single" w:sz="4" w:space="0" w:color="000000"/>
              <w:right w:val="nil"/>
            </w:tcBorders>
            <w:shd w:val="clear" w:color="000000" w:fill="FFFFFF"/>
            <w:noWrap/>
            <w:vAlign w:val="bottom"/>
            <w:hideMark/>
          </w:tcPr>
          <w:p w14:paraId="66A0B5E9"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w:t>
            </w:r>
          </w:p>
        </w:tc>
      </w:tr>
      <w:tr w:rsidR="001B6918" w:rsidRPr="001B6C7C" w14:paraId="10A41DC1" w14:textId="77777777" w:rsidTr="00730ECF">
        <w:trPr>
          <w:trHeight w:val="70"/>
          <w:jc w:val="center"/>
        </w:trPr>
        <w:tc>
          <w:tcPr>
            <w:tcW w:w="4320" w:type="dxa"/>
            <w:tcBorders>
              <w:top w:val="nil"/>
              <w:left w:val="nil"/>
              <w:bottom w:val="single" w:sz="4" w:space="0" w:color="000000"/>
              <w:right w:val="nil"/>
            </w:tcBorders>
            <w:shd w:val="clear" w:color="000000" w:fill="FFFFFF"/>
            <w:vAlign w:val="center"/>
            <w:hideMark/>
          </w:tcPr>
          <w:p w14:paraId="5C2C207F" w14:textId="77777777" w:rsidR="001B6918" w:rsidRPr="001B6C7C" w:rsidRDefault="001B6918" w:rsidP="00730ECF">
            <w:pPr>
              <w:rPr>
                <w:rFonts w:ascii="Calibri" w:eastAsia="Times New Roman" w:hAnsi="Calibri" w:cs="Calibri"/>
              </w:rPr>
            </w:pPr>
            <w:r w:rsidRPr="001B6C7C">
              <w:rPr>
                <w:rFonts w:ascii="Calibri" w:eastAsia="Times New Roman" w:hAnsi="Calibri" w:cs="Calibri"/>
              </w:rPr>
              <w:t>Fiduciary net position – ending (b)</w:t>
            </w:r>
          </w:p>
        </w:tc>
        <w:tc>
          <w:tcPr>
            <w:tcW w:w="1024" w:type="dxa"/>
            <w:tcBorders>
              <w:top w:val="nil"/>
              <w:left w:val="nil"/>
              <w:bottom w:val="single" w:sz="4" w:space="0" w:color="000000"/>
              <w:right w:val="nil"/>
            </w:tcBorders>
            <w:vAlign w:val="bottom"/>
          </w:tcPr>
          <w:p w14:paraId="23E7868C" w14:textId="77777777" w:rsidR="001B6918" w:rsidRPr="00B26E91" w:rsidRDefault="001B6918" w:rsidP="00730ECF">
            <w:pPr>
              <w:jc w:val="right"/>
              <w:rPr>
                <w:rFonts w:ascii="Calibri" w:eastAsia="Times New Roman" w:hAnsi="Calibri" w:cs="Calibri"/>
                <w:color w:val="FF0000"/>
                <w:sz w:val="20"/>
              </w:rPr>
            </w:pPr>
            <w:r w:rsidRPr="002504E7">
              <w:rPr>
                <w:rFonts w:ascii="Calibri" w:eastAsia="Times New Roman" w:hAnsi="Calibri" w:cs="Calibri"/>
                <w:sz w:val="20"/>
              </w:rPr>
              <w:t>215,091</w:t>
            </w:r>
          </w:p>
        </w:tc>
        <w:tc>
          <w:tcPr>
            <w:tcW w:w="1024" w:type="dxa"/>
            <w:tcBorders>
              <w:top w:val="nil"/>
              <w:left w:val="nil"/>
              <w:bottom w:val="single" w:sz="4" w:space="0" w:color="000000"/>
              <w:right w:val="nil"/>
            </w:tcBorders>
            <w:vAlign w:val="bottom"/>
          </w:tcPr>
          <w:p w14:paraId="04217D9B"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195,991</w:t>
            </w:r>
          </w:p>
        </w:tc>
        <w:tc>
          <w:tcPr>
            <w:tcW w:w="1024" w:type="dxa"/>
            <w:tcBorders>
              <w:top w:val="nil"/>
              <w:left w:val="nil"/>
              <w:bottom w:val="single" w:sz="4" w:space="0" w:color="000000"/>
              <w:right w:val="nil"/>
            </w:tcBorders>
            <w:shd w:val="clear" w:color="auto" w:fill="F2F2F2" w:themeFill="background1" w:themeFillShade="F2"/>
            <w:noWrap/>
            <w:vAlign w:val="bottom"/>
            <w:hideMark/>
          </w:tcPr>
          <w:p w14:paraId="13DC677F"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174,427</w:t>
            </w:r>
          </w:p>
        </w:tc>
        <w:tc>
          <w:tcPr>
            <w:tcW w:w="1024" w:type="dxa"/>
            <w:tcBorders>
              <w:top w:val="nil"/>
              <w:left w:val="nil"/>
              <w:bottom w:val="single" w:sz="4" w:space="0" w:color="000000"/>
              <w:right w:val="nil"/>
            </w:tcBorders>
            <w:shd w:val="clear" w:color="000000" w:fill="FFFFFF"/>
            <w:noWrap/>
            <w:vAlign w:val="bottom"/>
            <w:hideMark/>
          </w:tcPr>
          <w:p w14:paraId="097B31DB"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156,012</w:t>
            </w:r>
          </w:p>
        </w:tc>
        <w:tc>
          <w:tcPr>
            <w:tcW w:w="1024" w:type="dxa"/>
            <w:tcBorders>
              <w:top w:val="nil"/>
              <w:left w:val="nil"/>
              <w:bottom w:val="single" w:sz="4" w:space="0" w:color="000000"/>
              <w:right w:val="nil"/>
            </w:tcBorders>
            <w:shd w:val="clear" w:color="auto" w:fill="F2F2F2" w:themeFill="background1" w:themeFillShade="F2"/>
            <w:noWrap/>
            <w:vAlign w:val="bottom"/>
            <w:hideMark/>
          </w:tcPr>
          <w:p w14:paraId="5634534F"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180,270</w:t>
            </w:r>
          </w:p>
        </w:tc>
        <w:tc>
          <w:tcPr>
            <w:tcW w:w="1024" w:type="dxa"/>
            <w:tcBorders>
              <w:top w:val="nil"/>
              <w:left w:val="nil"/>
              <w:bottom w:val="single" w:sz="4" w:space="0" w:color="000000"/>
              <w:right w:val="nil"/>
            </w:tcBorders>
            <w:shd w:val="clear" w:color="000000" w:fill="FFFFFF"/>
            <w:noWrap/>
            <w:vAlign w:val="bottom"/>
            <w:hideMark/>
          </w:tcPr>
          <w:p w14:paraId="306CD2BE"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137,400</w:t>
            </w:r>
          </w:p>
        </w:tc>
        <w:tc>
          <w:tcPr>
            <w:tcW w:w="1024" w:type="dxa"/>
            <w:tcBorders>
              <w:top w:val="nil"/>
              <w:left w:val="nil"/>
              <w:bottom w:val="single" w:sz="4" w:space="0" w:color="000000"/>
              <w:right w:val="nil"/>
            </w:tcBorders>
            <w:shd w:val="clear" w:color="auto" w:fill="F2F2F2" w:themeFill="background1" w:themeFillShade="F2"/>
            <w:noWrap/>
            <w:vAlign w:val="bottom"/>
            <w:hideMark/>
          </w:tcPr>
          <w:p w14:paraId="59DDA315"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131,339</w:t>
            </w:r>
          </w:p>
        </w:tc>
        <w:tc>
          <w:tcPr>
            <w:tcW w:w="1024" w:type="dxa"/>
            <w:tcBorders>
              <w:top w:val="nil"/>
              <w:left w:val="nil"/>
              <w:bottom w:val="single" w:sz="4" w:space="0" w:color="000000"/>
              <w:right w:val="nil"/>
            </w:tcBorders>
            <w:shd w:val="clear" w:color="000000" w:fill="FFFFFF"/>
            <w:noWrap/>
            <w:vAlign w:val="bottom"/>
            <w:hideMark/>
          </w:tcPr>
          <w:p w14:paraId="26C6313A"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125,350</w:t>
            </w:r>
          </w:p>
        </w:tc>
        <w:tc>
          <w:tcPr>
            <w:tcW w:w="1024" w:type="dxa"/>
            <w:tcBorders>
              <w:top w:val="nil"/>
              <w:left w:val="nil"/>
              <w:bottom w:val="single" w:sz="4" w:space="0" w:color="000000"/>
              <w:right w:val="nil"/>
            </w:tcBorders>
            <w:shd w:val="clear" w:color="auto" w:fill="F2F2F2" w:themeFill="background1" w:themeFillShade="F2"/>
            <w:noWrap/>
            <w:vAlign w:val="bottom"/>
            <w:hideMark/>
          </w:tcPr>
          <w:p w14:paraId="1C5B3452"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114,883</w:t>
            </w:r>
          </w:p>
        </w:tc>
        <w:tc>
          <w:tcPr>
            <w:tcW w:w="1024" w:type="dxa"/>
            <w:tcBorders>
              <w:top w:val="nil"/>
              <w:left w:val="nil"/>
              <w:bottom w:val="single" w:sz="4" w:space="0" w:color="000000"/>
              <w:right w:val="nil"/>
            </w:tcBorders>
            <w:shd w:val="clear" w:color="000000" w:fill="FFFFFF"/>
            <w:noWrap/>
            <w:vAlign w:val="bottom"/>
            <w:hideMark/>
          </w:tcPr>
          <w:p w14:paraId="71F2F4BE"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97,536</w:t>
            </w:r>
          </w:p>
        </w:tc>
      </w:tr>
      <w:tr w:rsidR="001B6918" w:rsidRPr="001B6C7C" w14:paraId="64C9AE9A" w14:textId="77777777" w:rsidTr="00730ECF">
        <w:trPr>
          <w:trHeight w:val="107"/>
          <w:jc w:val="center"/>
        </w:trPr>
        <w:tc>
          <w:tcPr>
            <w:tcW w:w="4320" w:type="dxa"/>
            <w:tcBorders>
              <w:top w:val="nil"/>
              <w:left w:val="nil"/>
              <w:bottom w:val="double" w:sz="6" w:space="0" w:color="000000"/>
              <w:right w:val="nil"/>
            </w:tcBorders>
            <w:shd w:val="clear" w:color="000000" w:fill="FFFFFF"/>
            <w:vAlign w:val="center"/>
            <w:hideMark/>
          </w:tcPr>
          <w:p w14:paraId="03162AFE" w14:textId="77777777" w:rsidR="001B6918" w:rsidRPr="00E7665E" w:rsidRDefault="001B6918" w:rsidP="00730ECF">
            <w:pPr>
              <w:rPr>
                <w:rFonts w:ascii="Calibri" w:eastAsia="Times New Roman" w:hAnsi="Calibri" w:cs="Calibri"/>
              </w:rPr>
            </w:pPr>
            <w:r w:rsidRPr="00E7665E">
              <w:rPr>
                <w:rFonts w:ascii="Calibri" w:eastAsia="Times New Roman" w:hAnsi="Calibri" w:cs="Calibri"/>
              </w:rPr>
              <w:t>Net OPEB liability (asset) – ending (a)-(b)</w:t>
            </w:r>
          </w:p>
        </w:tc>
        <w:tc>
          <w:tcPr>
            <w:tcW w:w="1024" w:type="dxa"/>
            <w:tcBorders>
              <w:top w:val="nil"/>
              <w:left w:val="nil"/>
              <w:bottom w:val="double" w:sz="6" w:space="0" w:color="000000"/>
              <w:right w:val="nil"/>
            </w:tcBorders>
            <w:vAlign w:val="bottom"/>
          </w:tcPr>
          <w:p w14:paraId="047BF665" w14:textId="77777777" w:rsidR="001B6918" w:rsidRPr="002504E7" w:rsidRDefault="001B6918" w:rsidP="00730ECF">
            <w:pPr>
              <w:jc w:val="right"/>
              <w:rPr>
                <w:rFonts w:ascii="Calibri" w:eastAsia="Times New Roman" w:hAnsi="Calibri" w:cs="Calibri"/>
                <w:sz w:val="20"/>
              </w:rPr>
            </w:pPr>
            <w:r w:rsidRPr="002504E7">
              <w:rPr>
                <w:rFonts w:ascii="Calibri" w:eastAsia="Times New Roman" w:hAnsi="Calibri" w:cs="Calibri"/>
                <w:sz w:val="20"/>
              </w:rPr>
              <w:t>$(40,665)</w:t>
            </w:r>
          </w:p>
        </w:tc>
        <w:tc>
          <w:tcPr>
            <w:tcW w:w="1024" w:type="dxa"/>
            <w:tcBorders>
              <w:top w:val="nil"/>
              <w:left w:val="nil"/>
              <w:bottom w:val="double" w:sz="6" w:space="0" w:color="000000"/>
              <w:right w:val="nil"/>
            </w:tcBorders>
            <w:vAlign w:val="bottom"/>
          </w:tcPr>
          <w:p w14:paraId="22A822F0" w14:textId="77777777" w:rsidR="001B6918" w:rsidRPr="00643226" w:rsidRDefault="001B6918" w:rsidP="00730ECF">
            <w:pPr>
              <w:jc w:val="right"/>
              <w:rPr>
                <w:rFonts w:ascii="Calibri" w:eastAsia="Times New Roman" w:hAnsi="Calibri" w:cs="Calibri"/>
                <w:sz w:val="20"/>
              </w:rPr>
            </w:pPr>
            <w:r w:rsidRPr="009B44FB">
              <w:rPr>
                <w:rFonts w:ascii="Calibri" w:eastAsia="Times New Roman" w:hAnsi="Calibri" w:cs="Calibri"/>
                <w:sz w:val="20"/>
              </w:rPr>
              <w:t>$(</w:t>
            </w:r>
            <w:r w:rsidRPr="00643226">
              <w:rPr>
                <w:rFonts w:ascii="Calibri" w:eastAsia="Times New Roman" w:hAnsi="Calibri" w:cs="Calibri"/>
                <w:sz w:val="20"/>
              </w:rPr>
              <w:t>34,433</w:t>
            </w:r>
            <w:r w:rsidRPr="009B44FB">
              <w:rPr>
                <w:rFonts w:ascii="Calibri" w:eastAsia="Times New Roman" w:hAnsi="Calibri" w:cs="Calibri"/>
                <w:sz w:val="20"/>
              </w:rPr>
              <w:t>)</w:t>
            </w:r>
          </w:p>
        </w:tc>
        <w:tc>
          <w:tcPr>
            <w:tcW w:w="1024" w:type="dxa"/>
            <w:tcBorders>
              <w:top w:val="nil"/>
              <w:left w:val="nil"/>
              <w:bottom w:val="double" w:sz="6" w:space="0" w:color="000000"/>
              <w:right w:val="nil"/>
            </w:tcBorders>
            <w:shd w:val="clear" w:color="auto" w:fill="F2F2F2" w:themeFill="background1" w:themeFillShade="F2"/>
            <w:noWrap/>
            <w:vAlign w:val="bottom"/>
            <w:hideMark/>
          </w:tcPr>
          <w:p w14:paraId="27511C09"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$(21,169)</w:t>
            </w:r>
          </w:p>
        </w:tc>
        <w:tc>
          <w:tcPr>
            <w:tcW w:w="1024" w:type="dxa"/>
            <w:tcBorders>
              <w:top w:val="nil"/>
              <w:left w:val="nil"/>
              <w:bottom w:val="double" w:sz="6" w:space="0" w:color="000000"/>
              <w:right w:val="nil"/>
            </w:tcBorders>
            <w:noWrap/>
            <w:vAlign w:val="bottom"/>
            <w:hideMark/>
          </w:tcPr>
          <w:p w14:paraId="6DAD3B1A"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17,782</w:t>
            </w:r>
          </w:p>
        </w:tc>
        <w:tc>
          <w:tcPr>
            <w:tcW w:w="1024" w:type="dxa"/>
            <w:tcBorders>
              <w:top w:val="nil"/>
              <w:left w:val="nil"/>
              <w:bottom w:val="double" w:sz="6" w:space="0" w:color="000000"/>
              <w:right w:val="nil"/>
            </w:tcBorders>
            <w:shd w:val="clear" w:color="auto" w:fill="F2F2F2" w:themeFill="background1" w:themeFillShade="F2"/>
            <w:noWrap/>
            <w:vAlign w:val="bottom"/>
            <w:hideMark/>
          </w:tcPr>
          <w:p w14:paraId="29C154FD"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$(18,058)</w:t>
            </w:r>
          </w:p>
        </w:tc>
        <w:tc>
          <w:tcPr>
            <w:tcW w:w="1024" w:type="dxa"/>
            <w:tcBorders>
              <w:top w:val="nil"/>
              <w:left w:val="nil"/>
              <w:bottom w:val="double" w:sz="6" w:space="0" w:color="000000"/>
              <w:right w:val="nil"/>
            </w:tcBorders>
            <w:noWrap/>
            <w:vAlign w:val="bottom"/>
            <w:hideMark/>
          </w:tcPr>
          <w:p w14:paraId="78E6256E"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$ 76,031</w:t>
            </w:r>
          </w:p>
        </w:tc>
        <w:tc>
          <w:tcPr>
            <w:tcW w:w="1024" w:type="dxa"/>
            <w:tcBorders>
              <w:top w:val="nil"/>
              <w:left w:val="nil"/>
              <w:bottom w:val="double" w:sz="6" w:space="0" w:color="000000"/>
              <w:right w:val="nil"/>
            </w:tcBorders>
            <w:shd w:val="clear" w:color="auto" w:fill="F2F2F2" w:themeFill="background1" w:themeFillShade="F2"/>
            <w:noWrap/>
            <w:vAlign w:val="bottom"/>
            <w:hideMark/>
          </w:tcPr>
          <w:p w14:paraId="3036DDA8"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63,247</w:t>
            </w:r>
          </w:p>
        </w:tc>
        <w:tc>
          <w:tcPr>
            <w:tcW w:w="1024" w:type="dxa"/>
            <w:tcBorders>
              <w:top w:val="nil"/>
              <w:left w:val="nil"/>
              <w:bottom w:val="double" w:sz="6" w:space="0" w:color="000000"/>
              <w:right w:val="nil"/>
            </w:tcBorders>
            <w:shd w:val="clear" w:color="000000" w:fill="FFFFFF"/>
            <w:noWrap/>
            <w:vAlign w:val="bottom"/>
            <w:hideMark/>
          </w:tcPr>
          <w:p w14:paraId="43E230B3"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77,505</w:t>
            </w:r>
          </w:p>
        </w:tc>
        <w:tc>
          <w:tcPr>
            <w:tcW w:w="1024" w:type="dxa"/>
            <w:tcBorders>
              <w:top w:val="nil"/>
              <w:left w:val="nil"/>
              <w:bottom w:val="double" w:sz="6" w:space="0" w:color="000000"/>
              <w:right w:val="nil"/>
            </w:tcBorders>
            <w:shd w:val="clear" w:color="auto" w:fill="F2F2F2" w:themeFill="background1" w:themeFillShade="F2"/>
            <w:noWrap/>
            <w:vAlign w:val="bottom"/>
            <w:hideMark/>
          </w:tcPr>
          <w:p w14:paraId="5773257B"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76,614</w:t>
            </w:r>
          </w:p>
        </w:tc>
        <w:tc>
          <w:tcPr>
            <w:tcW w:w="1024" w:type="dxa"/>
            <w:tcBorders>
              <w:top w:val="nil"/>
              <w:left w:val="nil"/>
              <w:bottom w:val="double" w:sz="6" w:space="0" w:color="000000"/>
              <w:right w:val="nil"/>
            </w:tcBorders>
            <w:shd w:val="clear" w:color="000000" w:fill="FFFFFF"/>
            <w:noWrap/>
            <w:vAlign w:val="bottom"/>
            <w:hideMark/>
          </w:tcPr>
          <w:p w14:paraId="7771D372"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$102,341</w:t>
            </w:r>
          </w:p>
        </w:tc>
      </w:tr>
      <w:tr w:rsidR="001B6918" w:rsidRPr="001B6C7C" w14:paraId="69B76E87" w14:textId="77777777" w:rsidTr="0019195E">
        <w:trPr>
          <w:trHeight w:val="603"/>
          <w:jc w:val="center"/>
        </w:trPr>
        <w:tc>
          <w:tcPr>
            <w:tcW w:w="4320" w:type="dxa"/>
            <w:tcBorders>
              <w:top w:val="nil"/>
              <w:left w:val="nil"/>
              <w:bottom w:val="nil"/>
              <w:right w:val="nil"/>
            </w:tcBorders>
            <w:shd w:val="clear" w:color="000000" w:fill="FFFFFF"/>
            <w:vAlign w:val="bottom"/>
            <w:hideMark/>
          </w:tcPr>
          <w:p w14:paraId="283C4342" w14:textId="77777777" w:rsidR="001B6918" w:rsidRPr="00E7665E" w:rsidRDefault="001B6918" w:rsidP="00730ECF">
            <w:pPr>
              <w:rPr>
                <w:rFonts w:ascii="Calibri" w:eastAsia="Times New Roman" w:hAnsi="Calibri" w:cs="Calibri"/>
              </w:rPr>
            </w:pPr>
            <w:r w:rsidRPr="00E7665E">
              <w:rPr>
                <w:rFonts w:ascii="Calibri" w:eastAsia="Times New Roman" w:hAnsi="Calibri" w:cs="Calibri"/>
              </w:rPr>
              <w:t>Plan fiduciary net position as a percentage of the total OPEB liability (asset)</w:t>
            </w:r>
          </w:p>
        </w:tc>
        <w:tc>
          <w:tcPr>
            <w:tcW w:w="1024" w:type="dxa"/>
            <w:tcBorders>
              <w:top w:val="nil"/>
              <w:left w:val="nil"/>
              <w:bottom w:val="nil"/>
              <w:right w:val="nil"/>
            </w:tcBorders>
            <w:vAlign w:val="bottom"/>
          </w:tcPr>
          <w:p w14:paraId="2AECF160" w14:textId="77777777" w:rsidR="001B6918" w:rsidRPr="002504E7" w:rsidRDefault="001B6918" w:rsidP="00730ECF">
            <w:pPr>
              <w:jc w:val="right"/>
              <w:rPr>
                <w:rFonts w:ascii="Calibri" w:eastAsia="Times New Roman" w:hAnsi="Calibri" w:cs="Calibri"/>
                <w:sz w:val="20"/>
              </w:rPr>
            </w:pPr>
          </w:p>
          <w:p w14:paraId="5EF4C4C4" w14:textId="77777777" w:rsidR="001B6918" w:rsidRPr="002504E7" w:rsidRDefault="001B6918" w:rsidP="00730ECF">
            <w:pPr>
              <w:jc w:val="right"/>
              <w:rPr>
                <w:rFonts w:ascii="Calibri" w:eastAsia="Times New Roman" w:hAnsi="Calibri" w:cs="Calibri"/>
                <w:sz w:val="20"/>
              </w:rPr>
            </w:pPr>
            <w:r w:rsidRPr="002504E7">
              <w:rPr>
                <w:rFonts w:ascii="Calibri" w:eastAsia="Times New Roman" w:hAnsi="Calibri" w:cs="Calibri"/>
                <w:sz w:val="20"/>
              </w:rPr>
              <w:t>123.31%</w:t>
            </w:r>
          </w:p>
        </w:tc>
        <w:tc>
          <w:tcPr>
            <w:tcW w:w="1024" w:type="dxa"/>
            <w:tcBorders>
              <w:top w:val="nil"/>
              <w:left w:val="nil"/>
              <w:bottom w:val="nil"/>
              <w:right w:val="nil"/>
            </w:tcBorders>
            <w:vAlign w:val="bottom"/>
          </w:tcPr>
          <w:p w14:paraId="6F2D8BAF" w14:textId="77777777" w:rsidR="001B6918" w:rsidRPr="00E7665E" w:rsidRDefault="001B6918" w:rsidP="00730ECF">
            <w:pPr>
              <w:jc w:val="right"/>
              <w:rPr>
                <w:rFonts w:ascii="Calibri" w:eastAsia="Times New Roman" w:hAnsi="Calibri" w:cs="Calibri"/>
                <w:sz w:val="20"/>
              </w:rPr>
            </w:pPr>
          </w:p>
          <w:p w14:paraId="4154BBC6" w14:textId="77777777" w:rsidR="001B6918" w:rsidRPr="00E7665E" w:rsidRDefault="001B6918" w:rsidP="00730ECF">
            <w:pPr>
              <w:jc w:val="right"/>
              <w:rPr>
                <w:rFonts w:ascii="Calibri" w:eastAsia="Times New Roman" w:hAnsi="Calibri" w:cs="Calibri"/>
                <w:sz w:val="20"/>
              </w:rPr>
            </w:pPr>
            <w:r w:rsidRPr="00E7665E">
              <w:rPr>
                <w:rFonts w:ascii="Calibri" w:eastAsia="Times New Roman" w:hAnsi="Calibri" w:cs="Calibri"/>
                <w:sz w:val="20"/>
              </w:rPr>
              <w:t>121.31%</w:t>
            </w:r>
          </w:p>
        </w:tc>
        <w:tc>
          <w:tcPr>
            <w:tcW w:w="1024" w:type="dxa"/>
            <w:tcBorders>
              <w:top w:val="nil"/>
              <w:left w:val="nil"/>
              <w:bottom w:val="nil"/>
              <w:right w:val="nil"/>
            </w:tcBorders>
            <w:shd w:val="clear" w:color="auto" w:fill="F2F2F2" w:themeFill="background1" w:themeFillShade="F2"/>
            <w:noWrap/>
            <w:vAlign w:val="bottom"/>
            <w:hideMark/>
          </w:tcPr>
          <w:p w14:paraId="6AB476DD"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113.81%</w:t>
            </w:r>
          </w:p>
        </w:tc>
        <w:tc>
          <w:tcPr>
            <w:tcW w:w="1024" w:type="dxa"/>
            <w:tcBorders>
              <w:top w:val="nil"/>
              <w:left w:val="nil"/>
              <w:bottom w:val="nil"/>
              <w:right w:val="nil"/>
            </w:tcBorders>
            <w:shd w:val="clear" w:color="000000" w:fill="FFFFFF"/>
            <w:noWrap/>
            <w:vAlign w:val="bottom"/>
            <w:hideMark/>
          </w:tcPr>
          <w:p w14:paraId="2840F79E"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89.77%</w:t>
            </w:r>
          </w:p>
        </w:tc>
        <w:tc>
          <w:tcPr>
            <w:tcW w:w="1024" w:type="dxa"/>
            <w:tcBorders>
              <w:top w:val="nil"/>
              <w:left w:val="nil"/>
              <w:bottom w:val="nil"/>
              <w:right w:val="nil"/>
            </w:tcBorders>
            <w:shd w:val="clear" w:color="auto" w:fill="F2F2F2" w:themeFill="background1" w:themeFillShade="F2"/>
            <w:noWrap/>
            <w:vAlign w:val="bottom"/>
            <w:hideMark/>
          </w:tcPr>
          <w:p w14:paraId="5F68417D"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111.13%</w:t>
            </w:r>
          </w:p>
        </w:tc>
        <w:tc>
          <w:tcPr>
            <w:tcW w:w="1024" w:type="dxa"/>
            <w:tcBorders>
              <w:top w:val="nil"/>
              <w:left w:val="nil"/>
              <w:bottom w:val="nil"/>
              <w:right w:val="nil"/>
            </w:tcBorders>
            <w:shd w:val="clear" w:color="000000" w:fill="FFFFFF"/>
            <w:noWrap/>
            <w:vAlign w:val="bottom"/>
            <w:hideMark/>
          </w:tcPr>
          <w:p w14:paraId="3DA53120"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64.38%</w:t>
            </w:r>
          </w:p>
        </w:tc>
        <w:tc>
          <w:tcPr>
            <w:tcW w:w="1024" w:type="dxa"/>
            <w:tcBorders>
              <w:top w:val="nil"/>
              <w:left w:val="nil"/>
              <w:bottom w:val="nil"/>
              <w:right w:val="nil"/>
            </w:tcBorders>
            <w:shd w:val="clear" w:color="auto" w:fill="F2F2F2" w:themeFill="background1" w:themeFillShade="F2"/>
            <w:noWrap/>
            <w:vAlign w:val="bottom"/>
            <w:hideMark/>
          </w:tcPr>
          <w:p w14:paraId="055A74DE"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67.50%</w:t>
            </w:r>
          </w:p>
        </w:tc>
        <w:tc>
          <w:tcPr>
            <w:tcW w:w="1024" w:type="dxa"/>
            <w:tcBorders>
              <w:top w:val="nil"/>
              <w:left w:val="nil"/>
              <w:bottom w:val="nil"/>
              <w:right w:val="nil"/>
            </w:tcBorders>
            <w:shd w:val="clear" w:color="000000" w:fill="FFFFFF"/>
            <w:noWrap/>
            <w:vAlign w:val="bottom"/>
            <w:hideMark/>
          </w:tcPr>
          <w:p w14:paraId="7A420CC3"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61.79%</w:t>
            </w:r>
          </w:p>
        </w:tc>
        <w:tc>
          <w:tcPr>
            <w:tcW w:w="1024" w:type="dxa"/>
            <w:tcBorders>
              <w:top w:val="nil"/>
              <w:left w:val="nil"/>
              <w:bottom w:val="nil"/>
              <w:right w:val="nil"/>
            </w:tcBorders>
            <w:shd w:val="clear" w:color="auto" w:fill="F2F2F2" w:themeFill="background1" w:themeFillShade="F2"/>
            <w:noWrap/>
            <w:vAlign w:val="bottom"/>
            <w:hideMark/>
          </w:tcPr>
          <w:p w14:paraId="52F083CF"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59.99%</w:t>
            </w:r>
          </w:p>
        </w:tc>
        <w:tc>
          <w:tcPr>
            <w:tcW w:w="1024" w:type="dxa"/>
            <w:tcBorders>
              <w:top w:val="nil"/>
              <w:left w:val="nil"/>
              <w:bottom w:val="nil"/>
              <w:right w:val="nil"/>
            </w:tcBorders>
            <w:shd w:val="clear" w:color="000000" w:fill="FFFFFF"/>
            <w:noWrap/>
            <w:vAlign w:val="bottom"/>
            <w:hideMark/>
          </w:tcPr>
          <w:p w14:paraId="6FFD767C"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48.80%</w:t>
            </w:r>
          </w:p>
        </w:tc>
      </w:tr>
      <w:tr w:rsidR="001B6918" w:rsidRPr="001B6C7C" w14:paraId="118CF3DB" w14:textId="77777777" w:rsidTr="00730ECF">
        <w:trPr>
          <w:trHeight w:val="80"/>
          <w:jc w:val="center"/>
        </w:trPr>
        <w:tc>
          <w:tcPr>
            <w:tcW w:w="4320" w:type="dxa"/>
            <w:tcBorders>
              <w:top w:val="nil"/>
              <w:left w:val="nil"/>
              <w:bottom w:val="nil"/>
              <w:right w:val="nil"/>
            </w:tcBorders>
            <w:shd w:val="clear" w:color="000000" w:fill="FFFFFF"/>
            <w:noWrap/>
            <w:vAlign w:val="center"/>
            <w:hideMark/>
          </w:tcPr>
          <w:p w14:paraId="3D181812" w14:textId="77777777" w:rsidR="001B6918" w:rsidRPr="00E7665E" w:rsidRDefault="001B6918" w:rsidP="00730ECF">
            <w:pPr>
              <w:rPr>
                <w:rFonts w:ascii="Calibri" w:eastAsia="Times New Roman" w:hAnsi="Calibri" w:cs="Calibri"/>
              </w:rPr>
            </w:pPr>
            <w:r w:rsidRPr="00E7665E">
              <w:rPr>
                <w:rFonts w:ascii="Calibri" w:eastAsia="Times New Roman" w:hAnsi="Calibri" w:cs="Calibri"/>
              </w:rPr>
              <w:t>Covered payroll</w:t>
            </w:r>
          </w:p>
        </w:tc>
        <w:tc>
          <w:tcPr>
            <w:tcW w:w="1024" w:type="dxa"/>
            <w:tcBorders>
              <w:top w:val="nil"/>
              <w:left w:val="nil"/>
              <w:bottom w:val="nil"/>
              <w:right w:val="nil"/>
            </w:tcBorders>
            <w:vAlign w:val="bottom"/>
          </w:tcPr>
          <w:p w14:paraId="60603B03" w14:textId="77777777" w:rsidR="001B6918" w:rsidRPr="002504E7" w:rsidRDefault="001B6918" w:rsidP="00730ECF">
            <w:pPr>
              <w:jc w:val="right"/>
              <w:rPr>
                <w:rFonts w:ascii="Calibri" w:eastAsia="Times New Roman" w:hAnsi="Calibri" w:cs="Calibri"/>
                <w:sz w:val="20"/>
              </w:rPr>
            </w:pPr>
            <w:r w:rsidRPr="002504E7">
              <w:rPr>
                <w:rFonts w:ascii="Calibri" w:eastAsia="Times New Roman" w:hAnsi="Calibri" w:cs="Calibri"/>
                <w:sz w:val="20"/>
              </w:rPr>
              <w:t>$305,479</w:t>
            </w:r>
          </w:p>
        </w:tc>
        <w:tc>
          <w:tcPr>
            <w:tcW w:w="1024" w:type="dxa"/>
            <w:tcBorders>
              <w:top w:val="nil"/>
              <w:left w:val="nil"/>
              <w:bottom w:val="nil"/>
              <w:right w:val="nil"/>
            </w:tcBorders>
            <w:vAlign w:val="bottom"/>
          </w:tcPr>
          <w:p w14:paraId="66C4BF13" w14:textId="77777777" w:rsidR="001B6918" w:rsidRPr="00E7665E" w:rsidRDefault="001B6918" w:rsidP="00730ECF">
            <w:pPr>
              <w:jc w:val="right"/>
              <w:rPr>
                <w:rFonts w:ascii="Calibri" w:eastAsia="Times New Roman" w:hAnsi="Calibri" w:cs="Calibri"/>
                <w:sz w:val="20"/>
              </w:rPr>
            </w:pPr>
            <w:r w:rsidRPr="00E7665E">
              <w:rPr>
                <w:rFonts w:ascii="Calibri" w:eastAsia="Times New Roman" w:hAnsi="Calibri" w:cs="Calibri"/>
                <w:sz w:val="20"/>
              </w:rPr>
              <w:t>$297,954</w:t>
            </w:r>
          </w:p>
        </w:tc>
        <w:tc>
          <w:tcPr>
            <w:tcW w:w="1024" w:type="dxa"/>
            <w:tcBorders>
              <w:top w:val="nil"/>
              <w:left w:val="nil"/>
              <w:bottom w:val="nil"/>
              <w:right w:val="nil"/>
            </w:tcBorders>
            <w:shd w:val="clear" w:color="auto" w:fill="F2F2F2" w:themeFill="background1" w:themeFillShade="F2"/>
            <w:noWrap/>
            <w:vAlign w:val="bottom"/>
            <w:hideMark/>
          </w:tcPr>
          <w:p w14:paraId="24E325B4"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$292,603</w:t>
            </w:r>
          </w:p>
        </w:tc>
        <w:tc>
          <w:tcPr>
            <w:tcW w:w="1024" w:type="dxa"/>
            <w:tcBorders>
              <w:top w:val="nil"/>
              <w:left w:val="nil"/>
              <w:bottom w:val="nil"/>
              <w:right w:val="nil"/>
            </w:tcBorders>
            <w:shd w:val="clear" w:color="000000" w:fill="FFFFFF"/>
            <w:noWrap/>
            <w:vAlign w:val="bottom"/>
            <w:hideMark/>
          </w:tcPr>
          <w:p w14:paraId="392A3026"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$267,061</w:t>
            </w:r>
          </w:p>
        </w:tc>
        <w:tc>
          <w:tcPr>
            <w:tcW w:w="1024" w:type="dxa"/>
            <w:tcBorders>
              <w:top w:val="nil"/>
              <w:left w:val="nil"/>
              <w:bottom w:val="nil"/>
              <w:right w:val="nil"/>
            </w:tcBorders>
            <w:shd w:val="clear" w:color="auto" w:fill="F2F2F2" w:themeFill="background1" w:themeFillShade="F2"/>
            <w:noWrap/>
            <w:vAlign w:val="bottom"/>
            <w:hideMark/>
          </w:tcPr>
          <w:p w14:paraId="2285FFC4"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$258,827</w:t>
            </w:r>
          </w:p>
        </w:tc>
        <w:tc>
          <w:tcPr>
            <w:tcW w:w="1024" w:type="dxa"/>
            <w:tcBorders>
              <w:top w:val="nil"/>
              <w:left w:val="nil"/>
              <w:bottom w:val="nil"/>
              <w:right w:val="nil"/>
            </w:tcBorders>
            <w:shd w:val="clear" w:color="000000" w:fill="FFFFFF"/>
            <w:noWrap/>
            <w:vAlign w:val="bottom"/>
            <w:hideMark/>
          </w:tcPr>
          <w:p w14:paraId="09B1D381"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$241,501</w:t>
            </w:r>
          </w:p>
        </w:tc>
        <w:tc>
          <w:tcPr>
            <w:tcW w:w="1024" w:type="dxa"/>
            <w:tcBorders>
              <w:top w:val="nil"/>
              <w:left w:val="nil"/>
              <w:bottom w:val="nil"/>
              <w:right w:val="nil"/>
            </w:tcBorders>
            <w:shd w:val="clear" w:color="auto" w:fill="F2F2F2" w:themeFill="background1" w:themeFillShade="F2"/>
            <w:noWrap/>
            <w:vAlign w:val="bottom"/>
            <w:hideMark/>
          </w:tcPr>
          <w:p w14:paraId="060BB26A"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$237,125</w:t>
            </w:r>
          </w:p>
        </w:tc>
        <w:tc>
          <w:tcPr>
            <w:tcW w:w="1024" w:type="dxa"/>
            <w:tcBorders>
              <w:top w:val="nil"/>
              <w:left w:val="nil"/>
              <w:bottom w:val="nil"/>
              <w:right w:val="nil"/>
            </w:tcBorders>
            <w:shd w:val="clear" w:color="000000" w:fill="FFFFFF"/>
            <w:noWrap/>
            <w:vAlign w:val="bottom"/>
            <w:hideMark/>
          </w:tcPr>
          <w:p w14:paraId="09C848FB"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$220,849</w:t>
            </w:r>
          </w:p>
        </w:tc>
        <w:tc>
          <w:tcPr>
            <w:tcW w:w="1024" w:type="dxa"/>
            <w:tcBorders>
              <w:top w:val="nil"/>
              <w:left w:val="nil"/>
              <w:bottom w:val="nil"/>
              <w:right w:val="nil"/>
            </w:tcBorders>
            <w:shd w:val="clear" w:color="auto" w:fill="F2F2F2" w:themeFill="background1" w:themeFillShade="F2"/>
            <w:noWrap/>
            <w:vAlign w:val="bottom"/>
            <w:hideMark/>
          </w:tcPr>
          <w:p w14:paraId="63A468B3"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$214,956</w:t>
            </w:r>
          </w:p>
        </w:tc>
        <w:tc>
          <w:tcPr>
            <w:tcW w:w="1024" w:type="dxa"/>
            <w:tcBorders>
              <w:top w:val="nil"/>
              <w:left w:val="nil"/>
              <w:bottom w:val="nil"/>
              <w:right w:val="nil"/>
            </w:tcBorders>
            <w:shd w:val="clear" w:color="000000" w:fill="FFFFFF"/>
            <w:noWrap/>
            <w:vAlign w:val="bottom"/>
            <w:hideMark/>
          </w:tcPr>
          <w:p w14:paraId="3551789D"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w:t>
            </w:r>
          </w:p>
        </w:tc>
      </w:tr>
      <w:tr w:rsidR="001B6918" w:rsidRPr="001B6C7C" w14:paraId="3E823FDE" w14:textId="77777777" w:rsidTr="00730ECF">
        <w:trPr>
          <w:trHeight w:val="153"/>
          <w:jc w:val="center"/>
        </w:trPr>
        <w:tc>
          <w:tcPr>
            <w:tcW w:w="4320" w:type="dxa"/>
            <w:tcBorders>
              <w:top w:val="nil"/>
              <w:left w:val="nil"/>
              <w:bottom w:val="single" w:sz="4" w:space="0" w:color="000000"/>
              <w:right w:val="nil"/>
            </w:tcBorders>
            <w:shd w:val="clear" w:color="000000" w:fill="FFFFFF"/>
            <w:vAlign w:val="bottom"/>
            <w:hideMark/>
          </w:tcPr>
          <w:p w14:paraId="6773E3B6" w14:textId="77777777" w:rsidR="001B6918" w:rsidRPr="00E7665E" w:rsidRDefault="001B6918" w:rsidP="00730ECF">
            <w:pPr>
              <w:rPr>
                <w:rFonts w:ascii="Calibri" w:eastAsia="Times New Roman" w:hAnsi="Calibri" w:cs="Calibri"/>
              </w:rPr>
            </w:pPr>
            <w:r w:rsidRPr="00E7665E">
              <w:rPr>
                <w:rFonts w:ascii="Calibri" w:eastAsia="Times New Roman" w:hAnsi="Calibri" w:cs="Calibri"/>
              </w:rPr>
              <w:t>Net OPEB liability (asset) as a percentage of covered payroll</w:t>
            </w:r>
          </w:p>
        </w:tc>
        <w:tc>
          <w:tcPr>
            <w:tcW w:w="1024" w:type="dxa"/>
            <w:tcBorders>
              <w:top w:val="nil"/>
              <w:left w:val="nil"/>
              <w:bottom w:val="single" w:sz="4" w:space="0" w:color="000000"/>
              <w:right w:val="nil"/>
            </w:tcBorders>
            <w:vAlign w:val="bottom"/>
          </w:tcPr>
          <w:p w14:paraId="63F39E13" w14:textId="77777777" w:rsidR="001B6918" w:rsidRPr="002504E7" w:rsidRDefault="001B6918" w:rsidP="00730ECF">
            <w:pPr>
              <w:jc w:val="right"/>
              <w:rPr>
                <w:rFonts w:ascii="Calibri" w:eastAsia="Times New Roman" w:hAnsi="Calibri" w:cs="Calibri"/>
                <w:sz w:val="20"/>
              </w:rPr>
            </w:pPr>
          </w:p>
          <w:p w14:paraId="14041A65" w14:textId="77777777" w:rsidR="001B6918" w:rsidRPr="002504E7" w:rsidRDefault="001B6918" w:rsidP="00730ECF">
            <w:pPr>
              <w:jc w:val="right"/>
              <w:rPr>
                <w:rFonts w:ascii="Calibri" w:eastAsia="Times New Roman" w:hAnsi="Calibri" w:cs="Calibri"/>
                <w:sz w:val="20"/>
              </w:rPr>
            </w:pPr>
            <w:r w:rsidRPr="002504E7">
              <w:rPr>
                <w:rFonts w:ascii="Calibri" w:eastAsia="Times New Roman" w:hAnsi="Calibri" w:cs="Calibri"/>
                <w:sz w:val="20"/>
              </w:rPr>
              <w:t>-13.31%</w:t>
            </w:r>
          </w:p>
        </w:tc>
        <w:tc>
          <w:tcPr>
            <w:tcW w:w="1024" w:type="dxa"/>
            <w:tcBorders>
              <w:top w:val="nil"/>
              <w:left w:val="nil"/>
              <w:bottom w:val="single" w:sz="4" w:space="0" w:color="000000"/>
              <w:right w:val="nil"/>
            </w:tcBorders>
            <w:vAlign w:val="bottom"/>
          </w:tcPr>
          <w:p w14:paraId="7C753FD9" w14:textId="77777777" w:rsidR="001B6918" w:rsidRPr="00E7665E" w:rsidRDefault="001B6918" w:rsidP="00730ECF">
            <w:pPr>
              <w:jc w:val="right"/>
              <w:rPr>
                <w:rFonts w:ascii="Calibri" w:eastAsia="Times New Roman" w:hAnsi="Calibri" w:cs="Calibri"/>
                <w:sz w:val="20"/>
              </w:rPr>
            </w:pPr>
          </w:p>
          <w:p w14:paraId="391F59A6" w14:textId="77777777" w:rsidR="001B6918" w:rsidRPr="00E7665E" w:rsidRDefault="001B6918" w:rsidP="00730ECF">
            <w:pPr>
              <w:jc w:val="right"/>
              <w:rPr>
                <w:rFonts w:ascii="Calibri" w:eastAsia="Times New Roman" w:hAnsi="Calibri" w:cs="Calibri"/>
                <w:sz w:val="20"/>
              </w:rPr>
            </w:pPr>
            <w:r w:rsidRPr="00E7665E">
              <w:rPr>
                <w:rFonts w:ascii="Calibri" w:eastAsia="Times New Roman" w:hAnsi="Calibri" w:cs="Calibri"/>
                <w:sz w:val="20"/>
              </w:rPr>
              <w:t>-11.56%</w:t>
            </w:r>
          </w:p>
        </w:tc>
        <w:tc>
          <w:tcPr>
            <w:tcW w:w="1024" w:type="dxa"/>
            <w:tcBorders>
              <w:top w:val="nil"/>
              <w:left w:val="nil"/>
              <w:bottom w:val="single" w:sz="4" w:space="0" w:color="000000"/>
              <w:right w:val="nil"/>
            </w:tcBorders>
            <w:shd w:val="clear" w:color="auto" w:fill="F2F2F2" w:themeFill="background1" w:themeFillShade="F2"/>
            <w:noWrap/>
            <w:vAlign w:val="bottom"/>
            <w:hideMark/>
          </w:tcPr>
          <w:p w14:paraId="02BF0BDA"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-7.23%</w:t>
            </w:r>
          </w:p>
        </w:tc>
        <w:tc>
          <w:tcPr>
            <w:tcW w:w="1024" w:type="dxa"/>
            <w:tcBorders>
              <w:top w:val="nil"/>
              <w:left w:val="nil"/>
              <w:bottom w:val="single" w:sz="4" w:space="0" w:color="000000"/>
              <w:right w:val="nil"/>
            </w:tcBorders>
            <w:shd w:val="clear" w:color="000000" w:fill="FFFFFF"/>
            <w:noWrap/>
            <w:vAlign w:val="bottom"/>
            <w:hideMark/>
          </w:tcPr>
          <w:p w14:paraId="763655CD"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6.66%</w:t>
            </w:r>
          </w:p>
        </w:tc>
        <w:tc>
          <w:tcPr>
            <w:tcW w:w="1024" w:type="dxa"/>
            <w:tcBorders>
              <w:top w:val="nil"/>
              <w:left w:val="nil"/>
              <w:bottom w:val="single" w:sz="4" w:space="0" w:color="000000"/>
              <w:right w:val="nil"/>
            </w:tcBorders>
            <w:shd w:val="clear" w:color="auto" w:fill="F2F2F2" w:themeFill="background1" w:themeFillShade="F2"/>
            <w:noWrap/>
            <w:vAlign w:val="bottom"/>
            <w:hideMark/>
          </w:tcPr>
          <w:p w14:paraId="1D868EBD"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-6.98%</w:t>
            </w:r>
          </w:p>
        </w:tc>
        <w:tc>
          <w:tcPr>
            <w:tcW w:w="1024" w:type="dxa"/>
            <w:tcBorders>
              <w:top w:val="nil"/>
              <w:left w:val="nil"/>
              <w:bottom w:val="single" w:sz="4" w:space="0" w:color="000000"/>
              <w:right w:val="nil"/>
            </w:tcBorders>
            <w:shd w:val="clear" w:color="000000" w:fill="FFFFFF"/>
            <w:noWrap/>
            <w:vAlign w:val="bottom"/>
            <w:hideMark/>
          </w:tcPr>
          <w:p w14:paraId="4E1EBD67"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31.48%</w:t>
            </w:r>
          </w:p>
        </w:tc>
        <w:tc>
          <w:tcPr>
            <w:tcW w:w="1024" w:type="dxa"/>
            <w:tcBorders>
              <w:top w:val="nil"/>
              <w:left w:val="nil"/>
              <w:bottom w:val="single" w:sz="4" w:space="0" w:color="000000"/>
              <w:right w:val="nil"/>
            </w:tcBorders>
            <w:shd w:val="clear" w:color="auto" w:fill="F2F2F2" w:themeFill="background1" w:themeFillShade="F2"/>
            <w:noWrap/>
            <w:vAlign w:val="bottom"/>
            <w:hideMark/>
          </w:tcPr>
          <w:p w14:paraId="0C5502F8"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26.67%</w:t>
            </w:r>
          </w:p>
        </w:tc>
        <w:tc>
          <w:tcPr>
            <w:tcW w:w="1024" w:type="dxa"/>
            <w:tcBorders>
              <w:top w:val="nil"/>
              <w:left w:val="nil"/>
              <w:bottom w:val="single" w:sz="4" w:space="0" w:color="000000"/>
              <w:right w:val="nil"/>
            </w:tcBorders>
            <w:shd w:val="clear" w:color="000000" w:fill="FFFFFF"/>
            <w:noWrap/>
            <w:vAlign w:val="bottom"/>
            <w:hideMark/>
          </w:tcPr>
          <w:p w14:paraId="345FA2CF"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35.09%</w:t>
            </w:r>
          </w:p>
        </w:tc>
        <w:tc>
          <w:tcPr>
            <w:tcW w:w="1024" w:type="dxa"/>
            <w:tcBorders>
              <w:top w:val="nil"/>
              <w:left w:val="nil"/>
              <w:bottom w:val="single" w:sz="4" w:space="0" w:color="000000"/>
              <w:right w:val="nil"/>
            </w:tcBorders>
            <w:shd w:val="clear" w:color="auto" w:fill="F2F2F2" w:themeFill="background1" w:themeFillShade="F2"/>
            <w:noWrap/>
            <w:vAlign w:val="bottom"/>
            <w:hideMark/>
          </w:tcPr>
          <w:p w14:paraId="53F5BA50"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35.64%</w:t>
            </w:r>
          </w:p>
        </w:tc>
        <w:tc>
          <w:tcPr>
            <w:tcW w:w="1024" w:type="dxa"/>
            <w:tcBorders>
              <w:top w:val="nil"/>
              <w:left w:val="nil"/>
              <w:bottom w:val="single" w:sz="4" w:space="0" w:color="000000"/>
              <w:right w:val="nil"/>
            </w:tcBorders>
            <w:shd w:val="clear" w:color="000000" w:fill="FFFFFF"/>
            <w:noWrap/>
            <w:vAlign w:val="bottom"/>
            <w:hideMark/>
          </w:tcPr>
          <w:p w14:paraId="14F9641C" w14:textId="77777777" w:rsidR="001B6918" w:rsidRPr="00643226" w:rsidRDefault="001B6918" w:rsidP="00730ECF">
            <w:pPr>
              <w:jc w:val="right"/>
              <w:rPr>
                <w:rFonts w:ascii="Calibri" w:eastAsia="Times New Roman" w:hAnsi="Calibri" w:cs="Calibri"/>
                <w:sz w:val="20"/>
              </w:rPr>
            </w:pPr>
            <w:r w:rsidRPr="00643226">
              <w:rPr>
                <w:rFonts w:ascii="Calibri" w:eastAsia="Times New Roman" w:hAnsi="Calibri" w:cs="Calibri"/>
                <w:sz w:val="20"/>
              </w:rPr>
              <w:t> </w:t>
            </w:r>
          </w:p>
        </w:tc>
      </w:tr>
    </w:tbl>
    <w:p w14:paraId="25D8FC3F" w14:textId="77777777" w:rsidR="001B6918" w:rsidRDefault="001B6918" w:rsidP="001B6918">
      <w:pPr>
        <w:spacing w:after="160"/>
        <w:rPr>
          <w:rFonts w:eastAsiaTheme="majorEastAsia" w:cstheme="minorHAnsi"/>
          <w:b/>
          <w:i/>
          <w:iCs/>
          <w:smallCaps/>
          <w:noProof/>
          <w:color w:val="000000" w:themeColor="text1"/>
          <w:szCs w:val="24"/>
          <w:u w:color="5B9BD5"/>
        </w:rPr>
      </w:pPr>
      <w:r w:rsidRPr="001B6C7C">
        <w:rPr>
          <w:rFonts w:eastAsiaTheme="majorEastAsia" w:cstheme="minorHAnsi"/>
          <w:bCs/>
          <w:noProof/>
          <w:color w:val="000000" w:themeColor="text1"/>
          <w:sz w:val="20"/>
          <w:u w:color="5B9BD5"/>
        </w:rPr>
        <w:t>** Detailed information regarding the change in the total OPEB liability for FY16 has not been presented as that information was not available.</w:t>
      </w:r>
      <w:r>
        <w:rPr>
          <w:rFonts w:eastAsiaTheme="majorEastAsia" w:cstheme="minorHAnsi"/>
          <w:b/>
          <w:i/>
          <w:iCs/>
          <w:smallCaps/>
          <w:noProof/>
          <w:color w:val="000000" w:themeColor="text1"/>
          <w:szCs w:val="24"/>
          <w:u w:color="5B9BD5"/>
        </w:rPr>
        <w:br w:type="page"/>
      </w:r>
    </w:p>
    <w:p w14:paraId="1051B323" w14:textId="77777777" w:rsidR="001B6918" w:rsidRPr="009E4423" w:rsidRDefault="001B6918" w:rsidP="001B6918">
      <w:pPr>
        <w:spacing w:after="160"/>
        <w:rPr>
          <w:rFonts w:eastAsiaTheme="majorEastAsia" w:cstheme="minorHAnsi"/>
          <w:b/>
          <w:i/>
          <w:iCs/>
          <w:smallCaps/>
          <w:noProof/>
          <w:color w:val="000000" w:themeColor="text1"/>
          <w:sz w:val="24"/>
          <w:szCs w:val="28"/>
          <w:u w:color="5B9BD5"/>
        </w:rPr>
      </w:pPr>
      <w:r w:rsidRPr="009E4423">
        <w:rPr>
          <w:rFonts w:eastAsiaTheme="majorEastAsia" w:cstheme="minorHAnsi"/>
          <w:b/>
          <w:i/>
          <w:iCs/>
          <w:smallCaps/>
          <w:noProof/>
          <w:color w:val="000000" w:themeColor="text1"/>
          <w:sz w:val="24"/>
          <w:szCs w:val="28"/>
          <w:u w:color="5B9BD5"/>
        </w:rPr>
        <w:lastRenderedPageBreak/>
        <w:fldChar w:fldCharType="begin"/>
      </w:r>
      <w:r w:rsidRPr="009E4423">
        <w:rPr>
          <w:rFonts w:eastAsiaTheme="majorEastAsia" w:cstheme="minorHAnsi"/>
          <w:b/>
          <w:i/>
          <w:iCs/>
          <w:smallCaps/>
          <w:noProof/>
          <w:color w:val="000000" w:themeColor="text1"/>
          <w:sz w:val="24"/>
          <w:szCs w:val="28"/>
          <w:u w:color="5B9BD5"/>
        </w:rPr>
        <w:fldChar w:fldCharType="end"/>
      </w:r>
      <w:r w:rsidRPr="009E4423">
        <w:rPr>
          <w:rFonts w:eastAsiaTheme="majorEastAsia" w:cstheme="minorHAnsi"/>
          <w:b/>
          <w:i/>
          <w:iCs/>
          <w:smallCaps/>
          <w:noProof/>
          <w:color w:val="000000" w:themeColor="text1"/>
          <w:sz w:val="24"/>
          <w:szCs w:val="28"/>
          <w:u w:color="5B9BD5"/>
        </w:rPr>
        <w:t>OPEB PLAN - CONTINUED:</w:t>
      </w:r>
    </w:p>
    <w:p w14:paraId="29520CAC" w14:textId="77777777" w:rsidR="001B6918" w:rsidRPr="004E6649" w:rsidRDefault="001B6918" w:rsidP="001B6918">
      <w:pPr>
        <w:spacing w:before="120" w:line="259" w:lineRule="auto"/>
        <w:jc w:val="center"/>
        <w:rPr>
          <w:rFonts w:cstheme="minorHAnsi"/>
          <w:b/>
          <w:sz w:val="12"/>
          <w:szCs w:val="28"/>
        </w:rPr>
      </w:pPr>
      <w:r w:rsidRPr="004E6649">
        <w:rPr>
          <w:rFonts w:eastAsia="Times New Roman" w:cstheme="minorHAnsi"/>
          <w:b/>
          <w:bCs/>
          <w:color w:val="0D0D0D"/>
        </w:rPr>
        <w:t>Schedule of Employer Contributions</w:t>
      </w:r>
    </w:p>
    <w:tbl>
      <w:tblPr>
        <w:tblW w:w="13536" w:type="dxa"/>
        <w:tblLook w:val="04A0" w:firstRow="1" w:lastRow="0" w:firstColumn="1" w:lastColumn="0" w:noHBand="0" w:noVBand="1"/>
      </w:tblPr>
      <w:tblGrid>
        <w:gridCol w:w="2972"/>
        <w:gridCol w:w="1078"/>
        <w:gridCol w:w="1009"/>
        <w:gridCol w:w="1197"/>
        <w:gridCol w:w="1108"/>
        <w:gridCol w:w="1266"/>
        <w:gridCol w:w="1108"/>
        <w:gridCol w:w="1266"/>
        <w:gridCol w:w="1266"/>
        <w:gridCol w:w="1266"/>
      </w:tblGrid>
      <w:tr w:rsidR="001B6918" w:rsidRPr="004E6649" w14:paraId="09590100" w14:textId="77777777" w:rsidTr="00730ECF">
        <w:trPr>
          <w:trHeight w:val="339"/>
          <w:tblHeader/>
        </w:trPr>
        <w:tc>
          <w:tcPr>
            <w:tcW w:w="2972" w:type="dxa"/>
            <w:tcBorders>
              <w:top w:val="nil"/>
              <w:left w:val="nil"/>
              <w:bottom w:val="single" w:sz="4" w:space="0" w:color="000000" w:themeColor="text1"/>
              <w:right w:val="nil"/>
            </w:tcBorders>
            <w:shd w:val="clear" w:color="000000" w:fill="FFFFFF"/>
            <w:vAlign w:val="center"/>
            <w:hideMark/>
          </w:tcPr>
          <w:p w14:paraId="4BBCFCD9" w14:textId="77777777" w:rsidR="001B6918" w:rsidRPr="004E6649" w:rsidRDefault="001B6918" w:rsidP="00730ECF">
            <w:pPr>
              <w:rPr>
                <w:rFonts w:eastAsia="Times New Roman" w:cstheme="minorHAnsi"/>
                <w:b/>
                <w:bCs/>
                <w:color w:val="0D0D0D"/>
                <w:sz w:val="20"/>
                <w:szCs w:val="20"/>
              </w:rPr>
            </w:pPr>
            <w:r w:rsidRPr="004E6649">
              <w:rPr>
                <w:rFonts w:eastAsia="Times New Roman" w:cstheme="minorHAnsi"/>
                <w:b/>
                <w:bCs/>
                <w:color w:val="0D0D0D"/>
                <w:sz w:val="20"/>
                <w:szCs w:val="20"/>
              </w:rPr>
              <w:t>Fiscal Year Ended June 30</w:t>
            </w:r>
          </w:p>
        </w:tc>
        <w:tc>
          <w:tcPr>
            <w:tcW w:w="1078" w:type="dxa"/>
            <w:tcBorders>
              <w:top w:val="nil"/>
              <w:left w:val="nil"/>
              <w:bottom w:val="single" w:sz="4" w:space="0" w:color="000000" w:themeColor="text1"/>
              <w:right w:val="nil"/>
            </w:tcBorders>
            <w:shd w:val="clear" w:color="auto" w:fill="F2F2F2" w:themeFill="background1" w:themeFillShade="F2"/>
            <w:vAlign w:val="bottom"/>
          </w:tcPr>
          <w:p w14:paraId="2C3CECEC" w14:textId="77777777" w:rsidR="001B6918" w:rsidRDefault="001B6918" w:rsidP="00730ECF">
            <w:pPr>
              <w:jc w:val="center"/>
              <w:rPr>
                <w:rFonts w:eastAsia="Times New Roman" w:cstheme="minorHAnsi"/>
                <w:b/>
                <w:bCs/>
                <w:color w:val="0D0D0D"/>
                <w:sz w:val="20"/>
                <w:szCs w:val="20"/>
              </w:rPr>
            </w:pPr>
            <w:r>
              <w:rPr>
                <w:rFonts w:eastAsia="Times New Roman" w:cstheme="minorHAnsi"/>
                <w:b/>
                <w:bCs/>
                <w:color w:val="0D0D0D"/>
                <w:sz w:val="20"/>
                <w:szCs w:val="20"/>
              </w:rPr>
              <w:t>2025</w:t>
            </w:r>
          </w:p>
        </w:tc>
        <w:tc>
          <w:tcPr>
            <w:tcW w:w="1009" w:type="dxa"/>
            <w:tcBorders>
              <w:top w:val="nil"/>
              <w:left w:val="nil"/>
              <w:bottom w:val="single" w:sz="4" w:space="0" w:color="000000" w:themeColor="text1"/>
              <w:right w:val="nil"/>
            </w:tcBorders>
            <w:vAlign w:val="bottom"/>
          </w:tcPr>
          <w:p w14:paraId="3859D647" w14:textId="77777777" w:rsidR="001B6918" w:rsidRPr="004E6649" w:rsidRDefault="001B6918" w:rsidP="00730ECF">
            <w:pPr>
              <w:jc w:val="center"/>
              <w:rPr>
                <w:rFonts w:eastAsia="Times New Roman" w:cstheme="minorHAnsi"/>
                <w:b/>
                <w:bCs/>
                <w:color w:val="0D0D0D"/>
                <w:sz w:val="20"/>
                <w:szCs w:val="20"/>
              </w:rPr>
            </w:pPr>
            <w:r>
              <w:rPr>
                <w:rFonts w:eastAsia="Times New Roman" w:cstheme="minorHAnsi"/>
                <w:b/>
                <w:bCs/>
                <w:color w:val="0D0D0D"/>
                <w:sz w:val="20"/>
                <w:szCs w:val="20"/>
              </w:rPr>
              <w:t>2024</w:t>
            </w:r>
          </w:p>
        </w:tc>
        <w:tc>
          <w:tcPr>
            <w:tcW w:w="1197" w:type="dxa"/>
            <w:tcBorders>
              <w:top w:val="nil"/>
              <w:left w:val="nil"/>
              <w:bottom w:val="single" w:sz="4" w:space="0" w:color="000000" w:themeColor="text1"/>
              <w:right w:val="nil"/>
            </w:tcBorders>
            <w:shd w:val="clear" w:color="auto" w:fill="F2F2F2" w:themeFill="background1" w:themeFillShade="F2"/>
            <w:vAlign w:val="bottom"/>
          </w:tcPr>
          <w:p w14:paraId="697E32A3" w14:textId="77777777" w:rsidR="001B6918" w:rsidRPr="004E6649" w:rsidRDefault="001B6918" w:rsidP="00730ECF">
            <w:pPr>
              <w:jc w:val="center"/>
              <w:rPr>
                <w:rFonts w:eastAsia="Times New Roman" w:cstheme="minorHAnsi"/>
                <w:b/>
                <w:bCs/>
                <w:color w:val="0D0D0D"/>
                <w:sz w:val="20"/>
                <w:szCs w:val="20"/>
              </w:rPr>
            </w:pPr>
            <w:r w:rsidRPr="004E6649">
              <w:rPr>
                <w:rFonts w:eastAsia="Times New Roman" w:cstheme="minorHAnsi"/>
                <w:b/>
                <w:bCs/>
                <w:color w:val="0D0D0D"/>
                <w:sz w:val="20"/>
                <w:szCs w:val="20"/>
              </w:rPr>
              <w:t>2023</w:t>
            </w:r>
          </w:p>
        </w:tc>
        <w:tc>
          <w:tcPr>
            <w:tcW w:w="1108" w:type="dxa"/>
            <w:tcBorders>
              <w:top w:val="nil"/>
              <w:left w:val="nil"/>
              <w:bottom w:val="single" w:sz="4" w:space="0" w:color="000000" w:themeColor="text1"/>
              <w:right w:val="nil"/>
            </w:tcBorders>
            <w:vAlign w:val="bottom"/>
          </w:tcPr>
          <w:p w14:paraId="2969970B" w14:textId="77777777" w:rsidR="001B6918" w:rsidRPr="004E6649" w:rsidRDefault="001B6918" w:rsidP="00730ECF">
            <w:pPr>
              <w:jc w:val="center"/>
              <w:rPr>
                <w:rFonts w:eastAsia="Times New Roman" w:cstheme="minorHAnsi"/>
                <w:b/>
                <w:bCs/>
                <w:color w:val="0D0D0D"/>
                <w:sz w:val="20"/>
                <w:szCs w:val="20"/>
              </w:rPr>
            </w:pPr>
            <w:r w:rsidRPr="004E6649">
              <w:rPr>
                <w:rFonts w:eastAsia="Times New Roman" w:cstheme="minorHAnsi"/>
                <w:b/>
                <w:bCs/>
                <w:color w:val="0D0D0D"/>
                <w:sz w:val="20"/>
                <w:szCs w:val="20"/>
              </w:rPr>
              <w:t>2022</w:t>
            </w:r>
          </w:p>
        </w:tc>
        <w:tc>
          <w:tcPr>
            <w:tcW w:w="1266" w:type="dxa"/>
            <w:tcBorders>
              <w:top w:val="nil"/>
              <w:left w:val="nil"/>
              <w:bottom w:val="single" w:sz="4" w:space="0" w:color="000000" w:themeColor="text1"/>
              <w:right w:val="nil"/>
            </w:tcBorders>
            <w:shd w:val="clear" w:color="auto" w:fill="F2F2F2" w:themeFill="background1" w:themeFillShade="F2"/>
            <w:noWrap/>
            <w:vAlign w:val="bottom"/>
            <w:hideMark/>
          </w:tcPr>
          <w:p w14:paraId="52D45630" w14:textId="77777777" w:rsidR="001B6918" w:rsidRPr="004E6649" w:rsidRDefault="001B6918" w:rsidP="00730ECF">
            <w:pPr>
              <w:jc w:val="center"/>
              <w:rPr>
                <w:rFonts w:eastAsia="Times New Roman" w:cstheme="minorHAnsi"/>
                <w:b/>
                <w:bCs/>
                <w:color w:val="0D0D0D"/>
                <w:sz w:val="20"/>
                <w:szCs w:val="20"/>
              </w:rPr>
            </w:pPr>
            <w:r w:rsidRPr="004E6649">
              <w:rPr>
                <w:rFonts w:eastAsia="Times New Roman" w:cstheme="minorHAnsi"/>
                <w:b/>
                <w:bCs/>
                <w:color w:val="0D0D0D"/>
                <w:sz w:val="20"/>
                <w:szCs w:val="20"/>
              </w:rPr>
              <w:t>2021</w:t>
            </w:r>
          </w:p>
        </w:tc>
        <w:tc>
          <w:tcPr>
            <w:tcW w:w="1108" w:type="dxa"/>
            <w:tcBorders>
              <w:top w:val="nil"/>
              <w:left w:val="nil"/>
              <w:bottom w:val="single" w:sz="4" w:space="0" w:color="000000" w:themeColor="text1"/>
              <w:right w:val="nil"/>
            </w:tcBorders>
            <w:vAlign w:val="bottom"/>
          </w:tcPr>
          <w:p w14:paraId="36FB5D6F" w14:textId="77777777" w:rsidR="001B6918" w:rsidRPr="004E6649" w:rsidRDefault="001B6918" w:rsidP="00730ECF">
            <w:pPr>
              <w:jc w:val="center"/>
              <w:rPr>
                <w:rFonts w:eastAsia="Times New Roman" w:cstheme="minorHAnsi"/>
                <w:b/>
                <w:bCs/>
                <w:color w:val="0D0D0D"/>
                <w:sz w:val="20"/>
                <w:szCs w:val="20"/>
              </w:rPr>
            </w:pPr>
            <w:r w:rsidRPr="004E6649">
              <w:rPr>
                <w:rFonts w:eastAsia="Times New Roman" w:cstheme="minorHAnsi"/>
                <w:b/>
                <w:bCs/>
                <w:color w:val="0D0D0D"/>
                <w:sz w:val="20"/>
                <w:szCs w:val="20"/>
              </w:rPr>
              <w:t>2020</w:t>
            </w:r>
          </w:p>
        </w:tc>
        <w:tc>
          <w:tcPr>
            <w:tcW w:w="1266" w:type="dxa"/>
            <w:tcBorders>
              <w:top w:val="nil"/>
              <w:left w:val="nil"/>
              <w:bottom w:val="single" w:sz="4" w:space="0" w:color="000000" w:themeColor="text1"/>
              <w:right w:val="nil"/>
            </w:tcBorders>
            <w:shd w:val="clear" w:color="auto" w:fill="F2F2F2" w:themeFill="background1" w:themeFillShade="F2"/>
            <w:noWrap/>
            <w:vAlign w:val="bottom"/>
            <w:hideMark/>
          </w:tcPr>
          <w:p w14:paraId="643C37AD" w14:textId="77777777" w:rsidR="001B6918" w:rsidRPr="004E6649" w:rsidRDefault="001B6918" w:rsidP="00730ECF">
            <w:pPr>
              <w:jc w:val="center"/>
              <w:rPr>
                <w:rFonts w:eastAsia="Times New Roman" w:cstheme="minorHAnsi"/>
                <w:b/>
                <w:bCs/>
                <w:color w:val="0D0D0D"/>
                <w:sz w:val="20"/>
                <w:szCs w:val="20"/>
              </w:rPr>
            </w:pPr>
            <w:r w:rsidRPr="004E6649">
              <w:rPr>
                <w:rFonts w:eastAsia="Times New Roman" w:cstheme="minorHAnsi"/>
                <w:b/>
                <w:bCs/>
                <w:color w:val="0D0D0D"/>
                <w:sz w:val="20"/>
                <w:szCs w:val="20"/>
              </w:rPr>
              <w:t>2019</w:t>
            </w:r>
          </w:p>
        </w:tc>
        <w:tc>
          <w:tcPr>
            <w:tcW w:w="1266" w:type="dxa"/>
            <w:tcBorders>
              <w:top w:val="nil"/>
              <w:left w:val="nil"/>
              <w:bottom w:val="single" w:sz="4" w:space="0" w:color="000000" w:themeColor="text1"/>
              <w:right w:val="nil"/>
            </w:tcBorders>
            <w:shd w:val="clear" w:color="000000" w:fill="FFFFFF"/>
            <w:noWrap/>
            <w:vAlign w:val="bottom"/>
            <w:hideMark/>
          </w:tcPr>
          <w:p w14:paraId="7530C535" w14:textId="77777777" w:rsidR="001B6918" w:rsidRPr="004E6649" w:rsidRDefault="001B6918" w:rsidP="00730ECF">
            <w:pPr>
              <w:jc w:val="center"/>
              <w:rPr>
                <w:rFonts w:eastAsia="Times New Roman" w:cstheme="minorHAnsi"/>
                <w:b/>
                <w:bCs/>
                <w:color w:val="0D0D0D"/>
                <w:sz w:val="20"/>
                <w:szCs w:val="20"/>
              </w:rPr>
            </w:pPr>
            <w:r w:rsidRPr="004E6649">
              <w:rPr>
                <w:rFonts w:eastAsia="Times New Roman" w:cstheme="minorHAnsi"/>
                <w:b/>
                <w:bCs/>
                <w:color w:val="0D0D0D"/>
                <w:sz w:val="20"/>
                <w:szCs w:val="20"/>
              </w:rPr>
              <w:t>2018</w:t>
            </w:r>
          </w:p>
        </w:tc>
        <w:tc>
          <w:tcPr>
            <w:tcW w:w="1266" w:type="dxa"/>
            <w:tcBorders>
              <w:top w:val="nil"/>
              <w:left w:val="nil"/>
              <w:bottom w:val="single" w:sz="4" w:space="0" w:color="000000" w:themeColor="text1"/>
              <w:right w:val="nil"/>
            </w:tcBorders>
            <w:shd w:val="clear" w:color="auto" w:fill="F2F2F2" w:themeFill="background1" w:themeFillShade="F2"/>
            <w:noWrap/>
            <w:vAlign w:val="bottom"/>
            <w:hideMark/>
          </w:tcPr>
          <w:p w14:paraId="6B0A6887" w14:textId="77777777" w:rsidR="001B6918" w:rsidRPr="004E6649" w:rsidRDefault="001B6918" w:rsidP="00730ECF">
            <w:pPr>
              <w:jc w:val="center"/>
              <w:rPr>
                <w:rFonts w:eastAsia="Times New Roman" w:cstheme="minorHAnsi"/>
                <w:b/>
                <w:bCs/>
                <w:color w:val="0D0D0D"/>
                <w:sz w:val="20"/>
                <w:szCs w:val="20"/>
              </w:rPr>
            </w:pPr>
            <w:r w:rsidRPr="004E6649">
              <w:rPr>
                <w:rFonts w:eastAsia="Times New Roman" w:cstheme="minorHAnsi"/>
                <w:b/>
                <w:bCs/>
                <w:color w:val="0D0D0D"/>
                <w:sz w:val="20"/>
                <w:szCs w:val="20"/>
              </w:rPr>
              <w:t>2017</w:t>
            </w:r>
          </w:p>
        </w:tc>
      </w:tr>
      <w:tr w:rsidR="001B6918" w:rsidRPr="004E6649" w14:paraId="61F92DB9" w14:textId="77777777" w:rsidTr="00730ECF">
        <w:trPr>
          <w:trHeight w:val="315"/>
        </w:trPr>
        <w:tc>
          <w:tcPr>
            <w:tcW w:w="2972" w:type="dxa"/>
            <w:tcBorders>
              <w:top w:val="single" w:sz="4" w:space="0" w:color="000000" w:themeColor="text1"/>
              <w:left w:val="nil"/>
              <w:bottom w:val="nil"/>
              <w:right w:val="nil"/>
            </w:tcBorders>
            <w:shd w:val="clear" w:color="000000" w:fill="FFFFFF"/>
            <w:vAlign w:val="bottom"/>
            <w:hideMark/>
          </w:tcPr>
          <w:p w14:paraId="36881D84" w14:textId="77777777" w:rsidR="001B6918" w:rsidRPr="004E6649" w:rsidRDefault="001B6918" w:rsidP="00730ECF">
            <w:pPr>
              <w:rPr>
                <w:rFonts w:eastAsia="Times New Roman" w:cstheme="minorHAnsi"/>
                <w:color w:val="0D0D0D"/>
                <w:sz w:val="20"/>
                <w:szCs w:val="20"/>
              </w:rPr>
            </w:pPr>
            <w:r w:rsidRPr="004E6649">
              <w:rPr>
                <w:rFonts w:eastAsia="Times New Roman" w:cstheme="minorHAnsi"/>
                <w:color w:val="0D0D0D"/>
                <w:sz w:val="20"/>
                <w:szCs w:val="20"/>
              </w:rPr>
              <w:t>Actuarially determined contribution</w:t>
            </w:r>
          </w:p>
        </w:tc>
        <w:tc>
          <w:tcPr>
            <w:tcW w:w="1078" w:type="dxa"/>
            <w:tcBorders>
              <w:top w:val="single" w:sz="4" w:space="0" w:color="000000" w:themeColor="text1"/>
              <w:left w:val="nil"/>
              <w:bottom w:val="nil"/>
              <w:right w:val="nil"/>
            </w:tcBorders>
            <w:shd w:val="clear" w:color="auto" w:fill="F2F2F2" w:themeFill="background1" w:themeFillShade="F2"/>
            <w:vAlign w:val="bottom"/>
          </w:tcPr>
          <w:p w14:paraId="1EE1137E" w14:textId="77777777" w:rsidR="001B6918" w:rsidRPr="002504E7" w:rsidRDefault="001B6918" w:rsidP="00730ECF">
            <w:pPr>
              <w:jc w:val="right"/>
              <w:rPr>
                <w:rFonts w:eastAsia="Times New Roman" w:cstheme="minorHAnsi"/>
                <w:sz w:val="20"/>
                <w:szCs w:val="20"/>
              </w:rPr>
            </w:pPr>
            <w:r w:rsidRPr="002504E7">
              <w:rPr>
                <w:rFonts w:eastAsia="Times New Roman" w:cstheme="minorHAnsi"/>
                <w:sz w:val="20"/>
                <w:szCs w:val="20"/>
              </w:rPr>
              <w:t>$     6,330</w:t>
            </w:r>
          </w:p>
        </w:tc>
        <w:tc>
          <w:tcPr>
            <w:tcW w:w="1009" w:type="dxa"/>
            <w:tcBorders>
              <w:top w:val="single" w:sz="4" w:space="0" w:color="000000" w:themeColor="text1"/>
              <w:left w:val="nil"/>
              <w:bottom w:val="nil"/>
              <w:right w:val="nil"/>
            </w:tcBorders>
            <w:vAlign w:val="bottom"/>
          </w:tcPr>
          <w:p w14:paraId="3BB587A4" w14:textId="77777777" w:rsidR="001B6918" w:rsidRPr="00421B00" w:rsidRDefault="001B6918" w:rsidP="00730ECF">
            <w:pPr>
              <w:jc w:val="right"/>
              <w:rPr>
                <w:rFonts w:eastAsia="Times New Roman" w:cstheme="minorHAnsi"/>
                <w:sz w:val="20"/>
                <w:szCs w:val="20"/>
              </w:rPr>
            </w:pPr>
            <w:r w:rsidRPr="00421B00">
              <w:rPr>
                <w:rFonts w:eastAsia="Times New Roman" w:cstheme="minorHAnsi"/>
                <w:sz w:val="20"/>
                <w:szCs w:val="20"/>
              </w:rPr>
              <w:t xml:space="preserve">$ </w:t>
            </w:r>
            <w:r>
              <w:rPr>
                <w:rFonts w:eastAsia="Times New Roman" w:cstheme="minorHAnsi"/>
                <w:sz w:val="20"/>
                <w:szCs w:val="20"/>
              </w:rPr>
              <w:t xml:space="preserve">   </w:t>
            </w:r>
            <w:r w:rsidRPr="00421B00">
              <w:rPr>
                <w:rFonts w:eastAsia="Times New Roman" w:cstheme="minorHAnsi"/>
                <w:sz w:val="20"/>
                <w:szCs w:val="20"/>
              </w:rPr>
              <w:t xml:space="preserve"> </w:t>
            </w:r>
            <w:r w:rsidRPr="00643226">
              <w:rPr>
                <w:rFonts w:eastAsia="Times New Roman" w:cstheme="minorHAnsi"/>
                <w:sz w:val="20"/>
                <w:szCs w:val="20"/>
              </w:rPr>
              <w:t>6,116</w:t>
            </w:r>
          </w:p>
        </w:tc>
        <w:tc>
          <w:tcPr>
            <w:tcW w:w="1197" w:type="dxa"/>
            <w:tcBorders>
              <w:top w:val="single" w:sz="4" w:space="0" w:color="000000" w:themeColor="text1"/>
              <w:left w:val="nil"/>
              <w:bottom w:val="nil"/>
              <w:right w:val="nil"/>
            </w:tcBorders>
            <w:shd w:val="clear" w:color="auto" w:fill="F2F2F2" w:themeFill="background1" w:themeFillShade="F2"/>
            <w:vAlign w:val="bottom"/>
          </w:tcPr>
          <w:p w14:paraId="3E216144" w14:textId="77777777" w:rsidR="001B6918" w:rsidRPr="004E6649" w:rsidRDefault="001B6918" w:rsidP="00730ECF">
            <w:pPr>
              <w:jc w:val="right"/>
              <w:rPr>
                <w:rFonts w:eastAsia="Times New Roman" w:cstheme="minorHAnsi"/>
                <w:sz w:val="20"/>
                <w:szCs w:val="20"/>
              </w:rPr>
            </w:pPr>
            <w:r w:rsidRPr="004E6649">
              <w:rPr>
                <w:rFonts w:eastAsia="Times New Roman" w:cstheme="minorHAnsi"/>
                <w:sz w:val="20"/>
                <w:szCs w:val="20"/>
              </w:rPr>
              <w:t>$     8,009</w:t>
            </w:r>
          </w:p>
        </w:tc>
        <w:tc>
          <w:tcPr>
            <w:tcW w:w="1108" w:type="dxa"/>
            <w:tcBorders>
              <w:top w:val="single" w:sz="4" w:space="0" w:color="000000" w:themeColor="text1"/>
              <w:left w:val="nil"/>
              <w:bottom w:val="nil"/>
              <w:right w:val="nil"/>
            </w:tcBorders>
            <w:vAlign w:val="bottom"/>
          </w:tcPr>
          <w:p w14:paraId="219D3A82" w14:textId="77777777" w:rsidR="001B6918" w:rsidRPr="004E6649" w:rsidRDefault="001B6918" w:rsidP="00730ECF">
            <w:pPr>
              <w:jc w:val="right"/>
              <w:rPr>
                <w:rFonts w:eastAsia="Times New Roman" w:cstheme="minorHAnsi"/>
                <w:sz w:val="20"/>
                <w:szCs w:val="20"/>
              </w:rPr>
            </w:pPr>
            <w:r w:rsidRPr="004E6649">
              <w:rPr>
                <w:rFonts w:eastAsia="Times New Roman" w:cstheme="minorHAnsi"/>
                <w:sz w:val="20"/>
                <w:szCs w:val="20"/>
              </w:rPr>
              <w:t>$    6,595</w:t>
            </w:r>
          </w:p>
        </w:tc>
        <w:tc>
          <w:tcPr>
            <w:tcW w:w="1266" w:type="dxa"/>
            <w:tcBorders>
              <w:top w:val="single" w:sz="4" w:space="0" w:color="000000" w:themeColor="text1"/>
              <w:left w:val="nil"/>
              <w:bottom w:val="nil"/>
              <w:right w:val="nil"/>
            </w:tcBorders>
            <w:shd w:val="clear" w:color="auto" w:fill="F2F2F2" w:themeFill="background1" w:themeFillShade="F2"/>
            <w:noWrap/>
            <w:vAlign w:val="bottom"/>
            <w:hideMark/>
          </w:tcPr>
          <w:p w14:paraId="27DA47AC" w14:textId="77777777" w:rsidR="001B6918" w:rsidRPr="004E6649" w:rsidRDefault="001B6918" w:rsidP="00730ECF">
            <w:pPr>
              <w:jc w:val="right"/>
              <w:rPr>
                <w:rFonts w:eastAsia="Times New Roman" w:cstheme="minorHAnsi"/>
                <w:color w:val="0D0D0D"/>
                <w:sz w:val="20"/>
                <w:szCs w:val="20"/>
              </w:rPr>
            </w:pPr>
            <w:r w:rsidRPr="004E6649">
              <w:rPr>
                <w:rFonts w:eastAsia="Times New Roman" w:cstheme="minorHAnsi"/>
                <w:color w:val="0D0D0D"/>
                <w:sz w:val="20"/>
                <w:szCs w:val="20"/>
              </w:rPr>
              <w:t>$   13,564</w:t>
            </w:r>
          </w:p>
        </w:tc>
        <w:tc>
          <w:tcPr>
            <w:tcW w:w="1108" w:type="dxa"/>
            <w:tcBorders>
              <w:top w:val="single" w:sz="4" w:space="0" w:color="000000" w:themeColor="text1"/>
              <w:left w:val="nil"/>
              <w:bottom w:val="nil"/>
              <w:right w:val="nil"/>
            </w:tcBorders>
            <w:vAlign w:val="bottom"/>
          </w:tcPr>
          <w:p w14:paraId="7BFC5F08" w14:textId="77777777" w:rsidR="001B6918" w:rsidRPr="004E6649" w:rsidRDefault="001B6918" w:rsidP="00730ECF">
            <w:pPr>
              <w:jc w:val="right"/>
              <w:rPr>
                <w:rFonts w:eastAsia="Times New Roman" w:cstheme="minorHAnsi"/>
                <w:color w:val="0D0D0D"/>
                <w:sz w:val="20"/>
                <w:szCs w:val="20"/>
              </w:rPr>
            </w:pPr>
            <w:r w:rsidRPr="004E6649">
              <w:rPr>
                <w:rFonts w:eastAsia="Times New Roman" w:cstheme="minorHAnsi"/>
                <w:color w:val="0D0D0D"/>
                <w:sz w:val="20"/>
                <w:szCs w:val="20"/>
              </w:rPr>
              <w:t>$  11,942</w:t>
            </w:r>
          </w:p>
        </w:tc>
        <w:tc>
          <w:tcPr>
            <w:tcW w:w="1266" w:type="dxa"/>
            <w:tcBorders>
              <w:top w:val="single" w:sz="4" w:space="0" w:color="000000" w:themeColor="text1"/>
              <w:left w:val="nil"/>
              <w:bottom w:val="nil"/>
              <w:right w:val="nil"/>
            </w:tcBorders>
            <w:shd w:val="clear" w:color="auto" w:fill="F2F2F2" w:themeFill="background1" w:themeFillShade="F2"/>
            <w:noWrap/>
            <w:vAlign w:val="bottom"/>
            <w:hideMark/>
          </w:tcPr>
          <w:p w14:paraId="1BD6B609" w14:textId="77777777" w:rsidR="001B6918" w:rsidRPr="004E6649" w:rsidRDefault="001B6918" w:rsidP="00730ECF">
            <w:pPr>
              <w:jc w:val="right"/>
              <w:rPr>
                <w:rFonts w:eastAsia="Times New Roman" w:cstheme="minorHAnsi"/>
                <w:color w:val="0D0D0D"/>
                <w:sz w:val="20"/>
                <w:szCs w:val="20"/>
              </w:rPr>
            </w:pPr>
            <w:r w:rsidRPr="004E6649">
              <w:rPr>
                <w:rFonts w:eastAsia="Times New Roman" w:cstheme="minorHAnsi"/>
                <w:color w:val="0D0D0D"/>
                <w:sz w:val="20"/>
                <w:szCs w:val="20"/>
              </w:rPr>
              <w:t>$   13,216</w:t>
            </w:r>
          </w:p>
        </w:tc>
        <w:tc>
          <w:tcPr>
            <w:tcW w:w="1266" w:type="dxa"/>
            <w:tcBorders>
              <w:top w:val="single" w:sz="4" w:space="0" w:color="000000" w:themeColor="text1"/>
              <w:left w:val="nil"/>
              <w:bottom w:val="nil"/>
              <w:right w:val="nil"/>
            </w:tcBorders>
            <w:shd w:val="clear" w:color="000000" w:fill="FFFFFF"/>
            <w:noWrap/>
            <w:vAlign w:val="bottom"/>
            <w:hideMark/>
          </w:tcPr>
          <w:p w14:paraId="17124220" w14:textId="77777777" w:rsidR="001B6918" w:rsidRPr="004E6649" w:rsidRDefault="001B6918" w:rsidP="00730ECF">
            <w:pPr>
              <w:jc w:val="right"/>
              <w:rPr>
                <w:rFonts w:eastAsia="Times New Roman" w:cstheme="minorHAnsi"/>
                <w:color w:val="0D0D0D"/>
                <w:sz w:val="20"/>
                <w:szCs w:val="20"/>
              </w:rPr>
            </w:pPr>
            <w:r w:rsidRPr="004E6649">
              <w:rPr>
                <w:rFonts w:eastAsia="Times New Roman" w:cstheme="minorHAnsi"/>
                <w:color w:val="0D0D0D"/>
                <w:sz w:val="20"/>
                <w:szCs w:val="20"/>
              </w:rPr>
              <w:t>$   12,819</w:t>
            </w:r>
          </w:p>
        </w:tc>
        <w:tc>
          <w:tcPr>
            <w:tcW w:w="1266" w:type="dxa"/>
            <w:tcBorders>
              <w:top w:val="single" w:sz="4" w:space="0" w:color="000000" w:themeColor="text1"/>
              <w:left w:val="nil"/>
              <w:bottom w:val="nil"/>
              <w:right w:val="nil"/>
            </w:tcBorders>
            <w:shd w:val="clear" w:color="auto" w:fill="F2F2F2" w:themeFill="background1" w:themeFillShade="F2"/>
            <w:noWrap/>
            <w:vAlign w:val="bottom"/>
            <w:hideMark/>
          </w:tcPr>
          <w:p w14:paraId="327F8AB6" w14:textId="77777777" w:rsidR="001B6918" w:rsidRPr="004E6649" w:rsidRDefault="001B6918" w:rsidP="00730ECF">
            <w:pPr>
              <w:jc w:val="right"/>
              <w:rPr>
                <w:rFonts w:eastAsia="Times New Roman" w:cstheme="minorHAnsi"/>
                <w:color w:val="0D0D0D"/>
                <w:sz w:val="20"/>
                <w:szCs w:val="20"/>
              </w:rPr>
            </w:pPr>
            <w:r w:rsidRPr="004E6649">
              <w:rPr>
                <w:rFonts w:eastAsia="Times New Roman" w:cstheme="minorHAnsi"/>
                <w:color w:val="0D0D0D"/>
                <w:sz w:val="20"/>
                <w:szCs w:val="20"/>
              </w:rPr>
              <w:t>$   14,970</w:t>
            </w:r>
          </w:p>
        </w:tc>
      </w:tr>
      <w:tr w:rsidR="001B6918" w:rsidRPr="004E6649" w14:paraId="331150F2" w14:textId="77777777" w:rsidTr="00730ECF">
        <w:trPr>
          <w:trHeight w:val="582"/>
        </w:trPr>
        <w:tc>
          <w:tcPr>
            <w:tcW w:w="2972" w:type="dxa"/>
            <w:tcBorders>
              <w:top w:val="nil"/>
              <w:left w:val="nil"/>
              <w:bottom w:val="single" w:sz="4" w:space="0" w:color="000000" w:themeColor="text1"/>
              <w:right w:val="nil"/>
            </w:tcBorders>
            <w:shd w:val="clear" w:color="000000" w:fill="FFFFFF"/>
            <w:vAlign w:val="bottom"/>
            <w:hideMark/>
          </w:tcPr>
          <w:p w14:paraId="2F5C0898" w14:textId="77777777" w:rsidR="001B6918" w:rsidRPr="004E6649" w:rsidRDefault="001B6918" w:rsidP="00730ECF">
            <w:pPr>
              <w:rPr>
                <w:rFonts w:eastAsia="Times New Roman" w:cstheme="minorHAnsi"/>
                <w:color w:val="0D0D0D"/>
                <w:sz w:val="20"/>
                <w:szCs w:val="20"/>
              </w:rPr>
            </w:pPr>
            <w:r w:rsidRPr="004E6649">
              <w:rPr>
                <w:rFonts w:eastAsia="Times New Roman" w:cstheme="minorHAnsi"/>
                <w:color w:val="0D0D0D"/>
                <w:sz w:val="20"/>
                <w:szCs w:val="20"/>
              </w:rPr>
              <w:t>Contributions in relation to the actuarially determined contribution</w:t>
            </w:r>
          </w:p>
        </w:tc>
        <w:tc>
          <w:tcPr>
            <w:tcW w:w="1078" w:type="dxa"/>
            <w:tcBorders>
              <w:top w:val="nil"/>
              <w:left w:val="nil"/>
              <w:bottom w:val="single" w:sz="4" w:space="0" w:color="000000" w:themeColor="text1"/>
              <w:right w:val="nil"/>
            </w:tcBorders>
            <w:shd w:val="clear" w:color="auto" w:fill="F2F2F2" w:themeFill="background1" w:themeFillShade="F2"/>
            <w:vAlign w:val="bottom"/>
          </w:tcPr>
          <w:p w14:paraId="78C288C1" w14:textId="77777777" w:rsidR="001B6918" w:rsidRPr="002504E7" w:rsidRDefault="001B6918" w:rsidP="00730ECF">
            <w:pPr>
              <w:jc w:val="right"/>
              <w:rPr>
                <w:rFonts w:eastAsia="Times New Roman" w:cstheme="minorHAnsi"/>
                <w:sz w:val="20"/>
                <w:szCs w:val="20"/>
              </w:rPr>
            </w:pPr>
            <w:r w:rsidRPr="002504E7">
              <w:rPr>
                <w:rFonts w:eastAsia="Times New Roman" w:cstheme="minorHAnsi"/>
                <w:sz w:val="20"/>
                <w:szCs w:val="20"/>
              </w:rPr>
              <w:t>7,949</w:t>
            </w:r>
          </w:p>
        </w:tc>
        <w:tc>
          <w:tcPr>
            <w:tcW w:w="1009" w:type="dxa"/>
            <w:tcBorders>
              <w:top w:val="nil"/>
              <w:left w:val="nil"/>
              <w:bottom w:val="single" w:sz="4" w:space="0" w:color="000000" w:themeColor="text1"/>
              <w:right w:val="nil"/>
            </w:tcBorders>
            <w:vAlign w:val="bottom"/>
          </w:tcPr>
          <w:p w14:paraId="5A0556A3" w14:textId="77777777" w:rsidR="001B6918" w:rsidRPr="00421B00" w:rsidRDefault="001B6918" w:rsidP="00730ECF">
            <w:pPr>
              <w:jc w:val="right"/>
              <w:rPr>
                <w:rFonts w:eastAsia="Times New Roman" w:cstheme="minorHAnsi"/>
                <w:sz w:val="20"/>
                <w:szCs w:val="20"/>
              </w:rPr>
            </w:pPr>
            <w:r w:rsidRPr="00643226">
              <w:rPr>
                <w:rFonts w:eastAsia="Times New Roman" w:cstheme="minorHAnsi"/>
                <w:sz w:val="20"/>
                <w:szCs w:val="20"/>
              </w:rPr>
              <w:t>9,718</w:t>
            </w:r>
          </w:p>
        </w:tc>
        <w:tc>
          <w:tcPr>
            <w:tcW w:w="1197" w:type="dxa"/>
            <w:tcBorders>
              <w:top w:val="nil"/>
              <w:left w:val="nil"/>
              <w:bottom w:val="single" w:sz="4" w:space="0" w:color="000000" w:themeColor="text1"/>
              <w:right w:val="nil"/>
            </w:tcBorders>
            <w:shd w:val="clear" w:color="auto" w:fill="F2F2F2" w:themeFill="background1" w:themeFillShade="F2"/>
            <w:vAlign w:val="bottom"/>
          </w:tcPr>
          <w:p w14:paraId="19D9953E" w14:textId="77777777" w:rsidR="001B6918" w:rsidRPr="004E6649" w:rsidRDefault="001B6918" w:rsidP="00730ECF">
            <w:pPr>
              <w:jc w:val="right"/>
              <w:rPr>
                <w:rFonts w:eastAsia="Times New Roman" w:cstheme="minorHAnsi"/>
                <w:sz w:val="20"/>
                <w:szCs w:val="20"/>
              </w:rPr>
            </w:pPr>
            <w:r w:rsidRPr="004E6649">
              <w:rPr>
                <w:rFonts w:eastAsia="Times New Roman" w:cstheme="minorHAnsi"/>
                <w:sz w:val="20"/>
                <w:szCs w:val="20"/>
              </w:rPr>
              <w:t>8,774</w:t>
            </w:r>
          </w:p>
        </w:tc>
        <w:tc>
          <w:tcPr>
            <w:tcW w:w="1108" w:type="dxa"/>
            <w:tcBorders>
              <w:top w:val="nil"/>
              <w:left w:val="nil"/>
              <w:bottom w:val="single" w:sz="4" w:space="0" w:color="000000" w:themeColor="text1"/>
              <w:right w:val="nil"/>
            </w:tcBorders>
            <w:vAlign w:val="bottom"/>
          </w:tcPr>
          <w:p w14:paraId="4B3F1FD3" w14:textId="77777777" w:rsidR="001B6918" w:rsidRPr="004E6649" w:rsidRDefault="001B6918" w:rsidP="00730ECF">
            <w:pPr>
              <w:jc w:val="right"/>
              <w:rPr>
                <w:rFonts w:eastAsia="Times New Roman" w:cstheme="minorHAnsi"/>
                <w:sz w:val="20"/>
                <w:szCs w:val="20"/>
              </w:rPr>
            </w:pPr>
            <w:r w:rsidRPr="004E6649">
              <w:rPr>
                <w:rFonts w:eastAsia="Times New Roman" w:cstheme="minorHAnsi"/>
                <w:sz w:val="20"/>
                <w:szCs w:val="20"/>
              </w:rPr>
              <w:t>4,937</w:t>
            </w:r>
          </w:p>
        </w:tc>
        <w:tc>
          <w:tcPr>
            <w:tcW w:w="1266" w:type="dxa"/>
            <w:tcBorders>
              <w:top w:val="nil"/>
              <w:left w:val="nil"/>
              <w:bottom w:val="single" w:sz="4" w:space="0" w:color="000000" w:themeColor="text1"/>
              <w:right w:val="nil"/>
            </w:tcBorders>
            <w:shd w:val="clear" w:color="auto" w:fill="F2F2F2" w:themeFill="background1" w:themeFillShade="F2"/>
            <w:noWrap/>
            <w:vAlign w:val="bottom"/>
            <w:hideMark/>
          </w:tcPr>
          <w:p w14:paraId="4FB4B340" w14:textId="77777777" w:rsidR="001B6918" w:rsidRPr="004E6649" w:rsidRDefault="001B6918" w:rsidP="00730ECF">
            <w:pPr>
              <w:jc w:val="right"/>
              <w:rPr>
                <w:rFonts w:eastAsia="Times New Roman" w:cstheme="minorHAnsi"/>
                <w:color w:val="0D0D0D"/>
                <w:sz w:val="20"/>
                <w:szCs w:val="20"/>
              </w:rPr>
            </w:pPr>
            <w:r w:rsidRPr="004E6649">
              <w:rPr>
                <w:rFonts w:eastAsia="Times New Roman" w:cstheme="minorHAnsi"/>
                <w:color w:val="0D0D0D"/>
                <w:sz w:val="20"/>
                <w:szCs w:val="20"/>
              </w:rPr>
              <w:t>12,473</w:t>
            </w:r>
          </w:p>
        </w:tc>
        <w:tc>
          <w:tcPr>
            <w:tcW w:w="1108" w:type="dxa"/>
            <w:tcBorders>
              <w:top w:val="nil"/>
              <w:left w:val="nil"/>
              <w:bottom w:val="single" w:sz="4" w:space="0" w:color="000000" w:themeColor="text1"/>
              <w:right w:val="nil"/>
            </w:tcBorders>
            <w:vAlign w:val="bottom"/>
          </w:tcPr>
          <w:p w14:paraId="624D70AB" w14:textId="77777777" w:rsidR="001B6918" w:rsidRPr="004E6649" w:rsidRDefault="001B6918" w:rsidP="00730ECF">
            <w:pPr>
              <w:jc w:val="right"/>
              <w:rPr>
                <w:rFonts w:eastAsia="Times New Roman" w:cstheme="minorHAnsi"/>
                <w:color w:val="0D0D0D"/>
                <w:sz w:val="20"/>
                <w:szCs w:val="20"/>
              </w:rPr>
            </w:pPr>
            <w:r w:rsidRPr="004E6649">
              <w:rPr>
                <w:rFonts w:eastAsia="Times New Roman" w:cstheme="minorHAnsi"/>
                <w:color w:val="0D0D0D"/>
                <w:sz w:val="20"/>
                <w:szCs w:val="20"/>
              </w:rPr>
              <w:t>12,694</w:t>
            </w:r>
          </w:p>
        </w:tc>
        <w:tc>
          <w:tcPr>
            <w:tcW w:w="1266" w:type="dxa"/>
            <w:tcBorders>
              <w:top w:val="nil"/>
              <w:left w:val="nil"/>
              <w:bottom w:val="single" w:sz="4" w:space="0" w:color="000000" w:themeColor="text1"/>
              <w:right w:val="nil"/>
            </w:tcBorders>
            <w:shd w:val="clear" w:color="auto" w:fill="F2F2F2" w:themeFill="background1" w:themeFillShade="F2"/>
            <w:noWrap/>
            <w:vAlign w:val="bottom"/>
            <w:hideMark/>
          </w:tcPr>
          <w:p w14:paraId="4FE848D4" w14:textId="77777777" w:rsidR="001B6918" w:rsidRPr="004E6649" w:rsidRDefault="001B6918" w:rsidP="00730ECF">
            <w:pPr>
              <w:jc w:val="right"/>
              <w:rPr>
                <w:rFonts w:eastAsia="Times New Roman" w:cstheme="minorHAnsi"/>
                <w:color w:val="0D0D0D"/>
                <w:sz w:val="20"/>
                <w:szCs w:val="20"/>
              </w:rPr>
            </w:pPr>
            <w:r w:rsidRPr="004E6649">
              <w:rPr>
                <w:rFonts w:eastAsia="Times New Roman" w:cstheme="minorHAnsi"/>
                <w:color w:val="0D0D0D"/>
                <w:sz w:val="20"/>
                <w:szCs w:val="20"/>
              </w:rPr>
              <w:t>11,868</w:t>
            </w:r>
          </w:p>
        </w:tc>
        <w:tc>
          <w:tcPr>
            <w:tcW w:w="1266" w:type="dxa"/>
            <w:tcBorders>
              <w:top w:val="nil"/>
              <w:left w:val="nil"/>
              <w:bottom w:val="single" w:sz="4" w:space="0" w:color="000000" w:themeColor="text1"/>
              <w:right w:val="nil"/>
            </w:tcBorders>
            <w:noWrap/>
            <w:vAlign w:val="bottom"/>
            <w:hideMark/>
          </w:tcPr>
          <w:p w14:paraId="1D3EDEC2" w14:textId="77777777" w:rsidR="001B6918" w:rsidRPr="004E6649" w:rsidRDefault="001B6918" w:rsidP="00730ECF">
            <w:pPr>
              <w:jc w:val="right"/>
              <w:rPr>
                <w:rFonts w:eastAsia="Times New Roman" w:cstheme="minorHAnsi"/>
                <w:color w:val="0D0D0D"/>
                <w:sz w:val="20"/>
                <w:szCs w:val="20"/>
              </w:rPr>
            </w:pPr>
            <w:r w:rsidRPr="004E6649">
              <w:rPr>
                <w:rFonts w:eastAsia="Times New Roman" w:cstheme="minorHAnsi"/>
                <w:color w:val="0D0D0D"/>
                <w:sz w:val="20"/>
                <w:szCs w:val="20"/>
              </w:rPr>
              <w:t>11,942</w:t>
            </w:r>
          </w:p>
        </w:tc>
        <w:tc>
          <w:tcPr>
            <w:tcW w:w="1266" w:type="dxa"/>
            <w:tcBorders>
              <w:top w:val="nil"/>
              <w:left w:val="nil"/>
              <w:bottom w:val="single" w:sz="4" w:space="0" w:color="000000" w:themeColor="text1"/>
              <w:right w:val="nil"/>
            </w:tcBorders>
            <w:shd w:val="clear" w:color="auto" w:fill="F2F2F2" w:themeFill="background1" w:themeFillShade="F2"/>
            <w:noWrap/>
            <w:vAlign w:val="bottom"/>
            <w:hideMark/>
          </w:tcPr>
          <w:p w14:paraId="0FF487FB" w14:textId="77777777" w:rsidR="001B6918" w:rsidRPr="004E6649" w:rsidRDefault="001B6918" w:rsidP="00730ECF">
            <w:pPr>
              <w:jc w:val="right"/>
              <w:rPr>
                <w:rFonts w:eastAsia="Times New Roman" w:cstheme="minorHAnsi"/>
                <w:color w:val="0D0D0D"/>
                <w:sz w:val="20"/>
                <w:szCs w:val="20"/>
              </w:rPr>
            </w:pPr>
            <w:r w:rsidRPr="004E6649">
              <w:rPr>
                <w:rFonts w:eastAsia="Times New Roman" w:cstheme="minorHAnsi"/>
                <w:color w:val="0D0D0D"/>
                <w:sz w:val="20"/>
                <w:szCs w:val="20"/>
              </w:rPr>
              <w:t>16,146</w:t>
            </w:r>
          </w:p>
        </w:tc>
      </w:tr>
      <w:tr w:rsidR="001B6918" w:rsidRPr="004E6649" w14:paraId="46CDE168" w14:textId="77777777" w:rsidTr="00730ECF">
        <w:trPr>
          <w:trHeight w:val="379"/>
        </w:trPr>
        <w:tc>
          <w:tcPr>
            <w:tcW w:w="2972" w:type="dxa"/>
            <w:tcBorders>
              <w:top w:val="single" w:sz="4" w:space="0" w:color="000000" w:themeColor="text1"/>
              <w:left w:val="nil"/>
              <w:bottom w:val="double" w:sz="4" w:space="0" w:color="000000" w:themeColor="text1"/>
              <w:right w:val="nil"/>
            </w:tcBorders>
            <w:shd w:val="clear" w:color="000000" w:fill="FFFFFF"/>
            <w:vAlign w:val="bottom"/>
            <w:hideMark/>
          </w:tcPr>
          <w:p w14:paraId="3A5B2690" w14:textId="77777777" w:rsidR="001B6918" w:rsidRPr="004E6649" w:rsidRDefault="001B6918" w:rsidP="00730ECF">
            <w:pPr>
              <w:rPr>
                <w:rFonts w:eastAsia="Times New Roman" w:cstheme="minorHAnsi"/>
                <w:color w:val="0D0D0D"/>
                <w:sz w:val="20"/>
                <w:szCs w:val="20"/>
              </w:rPr>
            </w:pPr>
            <w:r w:rsidRPr="004E6649">
              <w:rPr>
                <w:rFonts w:eastAsia="Times New Roman" w:cstheme="minorHAnsi"/>
                <w:color w:val="0D0D0D"/>
                <w:sz w:val="20"/>
                <w:szCs w:val="20"/>
              </w:rPr>
              <w:t>Contribution deficiency (excess)</w:t>
            </w:r>
          </w:p>
        </w:tc>
        <w:tc>
          <w:tcPr>
            <w:tcW w:w="1078" w:type="dxa"/>
            <w:tcBorders>
              <w:top w:val="single" w:sz="4" w:space="0" w:color="000000" w:themeColor="text1"/>
              <w:left w:val="nil"/>
              <w:bottom w:val="double" w:sz="4" w:space="0" w:color="000000" w:themeColor="text1"/>
              <w:right w:val="nil"/>
            </w:tcBorders>
            <w:shd w:val="clear" w:color="auto" w:fill="F2F2F2" w:themeFill="background1" w:themeFillShade="F2"/>
            <w:vAlign w:val="bottom"/>
          </w:tcPr>
          <w:p w14:paraId="55E32333" w14:textId="77777777" w:rsidR="001B6918" w:rsidRPr="002504E7" w:rsidRDefault="001B6918" w:rsidP="00730ECF">
            <w:pPr>
              <w:jc w:val="right"/>
              <w:rPr>
                <w:rFonts w:eastAsia="Times New Roman" w:cstheme="minorHAnsi"/>
                <w:sz w:val="20"/>
                <w:szCs w:val="20"/>
              </w:rPr>
            </w:pPr>
            <w:r w:rsidRPr="002504E7">
              <w:rPr>
                <w:rFonts w:eastAsia="Times New Roman" w:cstheme="minorHAnsi"/>
                <w:sz w:val="20"/>
                <w:szCs w:val="20"/>
              </w:rPr>
              <w:t>$  (1,619)</w:t>
            </w:r>
          </w:p>
        </w:tc>
        <w:tc>
          <w:tcPr>
            <w:tcW w:w="1009" w:type="dxa"/>
            <w:tcBorders>
              <w:top w:val="single" w:sz="4" w:space="0" w:color="000000" w:themeColor="text1"/>
              <w:left w:val="nil"/>
              <w:bottom w:val="double" w:sz="4" w:space="0" w:color="000000" w:themeColor="text1"/>
              <w:right w:val="nil"/>
            </w:tcBorders>
            <w:vAlign w:val="bottom"/>
          </w:tcPr>
          <w:p w14:paraId="05CA40E9" w14:textId="77777777" w:rsidR="001B6918" w:rsidRPr="00421B00" w:rsidRDefault="001B6918" w:rsidP="00730ECF">
            <w:pPr>
              <w:jc w:val="right"/>
              <w:rPr>
                <w:rFonts w:eastAsia="Times New Roman" w:cstheme="minorHAnsi"/>
                <w:sz w:val="20"/>
                <w:szCs w:val="20"/>
              </w:rPr>
            </w:pPr>
            <w:r w:rsidRPr="00421B00">
              <w:rPr>
                <w:rFonts w:eastAsia="Times New Roman" w:cstheme="minorHAnsi"/>
                <w:sz w:val="20"/>
                <w:szCs w:val="20"/>
              </w:rPr>
              <w:t>$  (</w:t>
            </w:r>
            <w:r w:rsidRPr="00643226">
              <w:rPr>
                <w:rFonts w:eastAsia="Times New Roman" w:cstheme="minorHAnsi"/>
                <w:sz w:val="20"/>
                <w:szCs w:val="20"/>
              </w:rPr>
              <w:t>3,602</w:t>
            </w:r>
            <w:r w:rsidRPr="00421B00">
              <w:rPr>
                <w:rFonts w:eastAsia="Times New Roman" w:cstheme="minorHAnsi"/>
                <w:sz w:val="20"/>
                <w:szCs w:val="20"/>
              </w:rPr>
              <w:t>)</w:t>
            </w:r>
          </w:p>
        </w:tc>
        <w:tc>
          <w:tcPr>
            <w:tcW w:w="1197" w:type="dxa"/>
            <w:tcBorders>
              <w:top w:val="single" w:sz="4" w:space="0" w:color="000000" w:themeColor="text1"/>
              <w:left w:val="nil"/>
              <w:bottom w:val="double" w:sz="4" w:space="0" w:color="000000" w:themeColor="text1"/>
              <w:right w:val="nil"/>
            </w:tcBorders>
            <w:shd w:val="clear" w:color="auto" w:fill="F2F2F2" w:themeFill="background1" w:themeFillShade="F2"/>
            <w:vAlign w:val="bottom"/>
          </w:tcPr>
          <w:p w14:paraId="3B28D4E8" w14:textId="77777777" w:rsidR="001B6918" w:rsidRPr="004E6649" w:rsidRDefault="001B6918" w:rsidP="00730ECF">
            <w:pPr>
              <w:jc w:val="right"/>
              <w:rPr>
                <w:rFonts w:eastAsia="Times New Roman" w:cstheme="minorHAnsi"/>
                <w:sz w:val="20"/>
                <w:szCs w:val="20"/>
              </w:rPr>
            </w:pPr>
            <w:r w:rsidRPr="004E6649">
              <w:rPr>
                <w:rFonts w:eastAsia="Times New Roman" w:cstheme="minorHAnsi"/>
                <w:sz w:val="20"/>
                <w:szCs w:val="20"/>
              </w:rPr>
              <w:t>$     (765)</w:t>
            </w:r>
          </w:p>
        </w:tc>
        <w:tc>
          <w:tcPr>
            <w:tcW w:w="1108" w:type="dxa"/>
            <w:tcBorders>
              <w:top w:val="single" w:sz="4" w:space="0" w:color="000000" w:themeColor="text1"/>
              <w:left w:val="nil"/>
              <w:bottom w:val="double" w:sz="4" w:space="0" w:color="000000" w:themeColor="text1"/>
              <w:right w:val="nil"/>
            </w:tcBorders>
            <w:vAlign w:val="bottom"/>
          </w:tcPr>
          <w:p w14:paraId="287C8CD8" w14:textId="77777777" w:rsidR="001B6918" w:rsidRPr="004E6649" w:rsidRDefault="001B6918" w:rsidP="00730ECF">
            <w:pPr>
              <w:jc w:val="right"/>
              <w:rPr>
                <w:rFonts w:eastAsia="Times New Roman" w:cstheme="minorHAnsi"/>
                <w:sz w:val="20"/>
                <w:szCs w:val="20"/>
              </w:rPr>
            </w:pPr>
            <w:r w:rsidRPr="004E6649">
              <w:rPr>
                <w:rFonts w:eastAsia="Times New Roman" w:cstheme="minorHAnsi"/>
                <w:sz w:val="20"/>
                <w:szCs w:val="20"/>
              </w:rPr>
              <w:t>$    1,</w:t>
            </w:r>
            <w:r w:rsidRPr="004E6649">
              <w:rPr>
                <w:rFonts w:eastAsia="Times New Roman" w:cstheme="minorHAnsi"/>
                <w:color w:val="0D0D0D"/>
                <w:sz w:val="20"/>
                <w:szCs w:val="20"/>
              </w:rPr>
              <w:t>658</w:t>
            </w:r>
          </w:p>
        </w:tc>
        <w:tc>
          <w:tcPr>
            <w:tcW w:w="1266" w:type="dxa"/>
            <w:tcBorders>
              <w:top w:val="single" w:sz="4" w:space="0" w:color="000000" w:themeColor="text1"/>
              <w:left w:val="nil"/>
              <w:bottom w:val="double" w:sz="4" w:space="0" w:color="000000" w:themeColor="text1"/>
              <w:right w:val="nil"/>
            </w:tcBorders>
            <w:shd w:val="clear" w:color="auto" w:fill="F2F2F2" w:themeFill="background1" w:themeFillShade="F2"/>
            <w:noWrap/>
            <w:vAlign w:val="bottom"/>
            <w:hideMark/>
          </w:tcPr>
          <w:p w14:paraId="4D33F5A9" w14:textId="77777777" w:rsidR="001B6918" w:rsidRPr="004E6649" w:rsidRDefault="001B6918" w:rsidP="00730ECF">
            <w:pPr>
              <w:jc w:val="right"/>
              <w:rPr>
                <w:rFonts w:eastAsia="Times New Roman" w:cstheme="minorHAnsi"/>
                <w:color w:val="0D0D0D"/>
                <w:sz w:val="20"/>
                <w:szCs w:val="20"/>
              </w:rPr>
            </w:pPr>
            <w:r w:rsidRPr="004E6649">
              <w:rPr>
                <w:rFonts w:eastAsia="Times New Roman" w:cstheme="minorHAnsi"/>
                <w:color w:val="0D0D0D"/>
                <w:sz w:val="20"/>
                <w:szCs w:val="20"/>
              </w:rPr>
              <w:t>$     1,091</w:t>
            </w:r>
          </w:p>
        </w:tc>
        <w:tc>
          <w:tcPr>
            <w:tcW w:w="1108" w:type="dxa"/>
            <w:tcBorders>
              <w:top w:val="single" w:sz="4" w:space="0" w:color="000000" w:themeColor="text1"/>
              <w:left w:val="nil"/>
              <w:bottom w:val="double" w:sz="4" w:space="0" w:color="000000" w:themeColor="text1"/>
              <w:right w:val="nil"/>
            </w:tcBorders>
            <w:vAlign w:val="bottom"/>
          </w:tcPr>
          <w:p w14:paraId="5D644144" w14:textId="77777777" w:rsidR="001B6918" w:rsidRPr="004E6649" w:rsidRDefault="001B6918" w:rsidP="00730ECF">
            <w:pPr>
              <w:jc w:val="right"/>
              <w:rPr>
                <w:rFonts w:eastAsia="Times New Roman" w:cstheme="minorHAnsi"/>
                <w:color w:val="0D0D0D"/>
                <w:sz w:val="20"/>
                <w:szCs w:val="20"/>
              </w:rPr>
            </w:pPr>
            <w:r w:rsidRPr="004E6649">
              <w:rPr>
                <w:rFonts w:eastAsia="Times New Roman" w:cstheme="minorHAnsi"/>
                <w:color w:val="0D0D0D"/>
                <w:sz w:val="20"/>
                <w:szCs w:val="20"/>
              </w:rPr>
              <w:t>$     (752)</w:t>
            </w:r>
          </w:p>
        </w:tc>
        <w:tc>
          <w:tcPr>
            <w:tcW w:w="1266" w:type="dxa"/>
            <w:tcBorders>
              <w:top w:val="single" w:sz="4" w:space="0" w:color="000000" w:themeColor="text1"/>
              <w:left w:val="nil"/>
              <w:bottom w:val="double" w:sz="4" w:space="0" w:color="000000" w:themeColor="text1"/>
              <w:right w:val="nil"/>
            </w:tcBorders>
            <w:shd w:val="clear" w:color="auto" w:fill="F2F2F2" w:themeFill="background1" w:themeFillShade="F2"/>
            <w:noWrap/>
            <w:vAlign w:val="bottom"/>
            <w:hideMark/>
          </w:tcPr>
          <w:p w14:paraId="6A28A49E" w14:textId="77777777" w:rsidR="001B6918" w:rsidRPr="004E6649" w:rsidRDefault="001B6918" w:rsidP="00730ECF">
            <w:pPr>
              <w:jc w:val="right"/>
              <w:rPr>
                <w:rFonts w:eastAsia="Times New Roman" w:cstheme="minorHAnsi"/>
                <w:color w:val="0D0D0D"/>
                <w:sz w:val="20"/>
                <w:szCs w:val="20"/>
              </w:rPr>
            </w:pPr>
            <w:r w:rsidRPr="004E6649">
              <w:rPr>
                <w:rFonts w:eastAsia="Times New Roman" w:cstheme="minorHAnsi"/>
                <w:color w:val="0D0D0D"/>
                <w:sz w:val="20"/>
                <w:szCs w:val="20"/>
              </w:rPr>
              <w:t>$     1,348</w:t>
            </w:r>
          </w:p>
        </w:tc>
        <w:tc>
          <w:tcPr>
            <w:tcW w:w="1266" w:type="dxa"/>
            <w:tcBorders>
              <w:top w:val="single" w:sz="4" w:space="0" w:color="000000" w:themeColor="text1"/>
              <w:left w:val="nil"/>
              <w:bottom w:val="double" w:sz="4" w:space="0" w:color="000000" w:themeColor="text1"/>
              <w:right w:val="nil"/>
            </w:tcBorders>
            <w:noWrap/>
            <w:vAlign w:val="bottom"/>
            <w:hideMark/>
          </w:tcPr>
          <w:p w14:paraId="34403636" w14:textId="77777777" w:rsidR="001B6918" w:rsidRPr="004E6649" w:rsidRDefault="001B6918" w:rsidP="00730ECF">
            <w:pPr>
              <w:jc w:val="right"/>
              <w:rPr>
                <w:rFonts w:eastAsia="Times New Roman" w:cstheme="minorHAnsi"/>
                <w:color w:val="0D0D0D"/>
                <w:sz w:val="20"/>
                <w:szCs w:val="20"/>
              </w:rPr>
            </w:pPr>
            <w:r w:rsidRPr="004E6649">
              <w:rPr>
                <w:rFonts w:eastAsia="Times New Roman" w:cstheme="minorHAnsi"/>
                <w:color w:val="0D0D0D"/>
                <w:sz w:val="20"/>
                <w:szCs w:val="20"/>
              </w:rPr>
              <w:t>$        877</w:t>
            </w:r>
          </w:p>
        </w:tc>
        <w:tc>
          <w:tcPr>
            <w:tcW w:w="1266" w:type="dxa"/>
            <w:tcBorders>
              <w:top w:val="single" w:sz="4" w:space="0" w:color="000000" w:themeColor="text1"/>
              <w:left w:val="nil"/>
              <w:bottom w:val="double" w:sz="4" w:space="0" w:color="000000" w:themeColor="text1"/>
              <w:right w:val="nil"/>
            </w:tcBorders>
            <w:shd w:val="clear" w:color="auto" w:fill="F2F2F2" w:themeFill="background1" w:themeFillShade="F2"/>
            <w:noWrap/>
            <w:vAlign w:val="bottom"/>
            <w:hideMark/>
          </w:tcPr>
          <w:p w14:paraId="1E6C9647" w14:textId="77777777" w:rsidR="001B6918" w:rsidRPr="004E6649" w:rsidRDefault="001B6918" w:rsidP="00730ECF">
            <w:pPr>
              <w:jc w:val="right"/>
              <w:rPr>
                <w:rFonts w:eastAsia="Times New Roman" w:cstheme="minorHAnsi"/>
                <w:color w:val="0D0D0D"/>
                <w:sz w:val="20"/>
                <w:szCs w:val="20"/>
              </w:rPr>
            </w:pPr>
            <w:r w:rsidRPr="004E6649">
              <w:rPr>
                <w:rFonts w:eastAsia="Times New Roman" w:cstheme="minorHAnsi"/>
                <w:color w:val="0D0D0D"/>
                <w:sz w:val="20"/>
                <w:szCs w:val="20"/>
              </w:rPr>
              <w:t>$  (1,176)</w:t>
            </w:r>
          </w:p>
        </w:tc>
      </w:tr>
      <w:tr w:rsidR="001B6918" w:rsidRPr="004E6649" w14:paraId="37830B21" w14:textId="77777777" w:rsidTr="00730ECF">
        <w:trPr>
          <w:trHeight w:val="327"/>
        </w:trPr>
        <w:tc>
          <w:tcPr>
            <w:tcW w:w="2972" w:type="dxa"/>
            <w:tcBorders>
              <w:top w:val="double" w:sz="4" w:space="0" w:color="000000" w:themeColor="text1"/>
              <w:left w:val="nil"/>
              <w:right w:val="nil"/>
            </w:tcBorders>
            <w:shd w:val="clear" w:color="000000" w:fill="FFFFFF"/>
            <w:vAlign w:val="bottom"/>
            <w:hideMark/>
          </w:tcPr>
          <w:p w14:paraId="634D34C9" w14:textId="77777777" w:rsidR="001B6918" w:rsidRPr="004E6649" w:rsidRDefault="001B6918" w:rsidP="00730ECF">
            <w:pPr>
              <w:rPr>
                <w:rFonts w:eastAsia="Times New Roman" w:cstheme="minorHAnsi"/>
                <w:color w:val="0D0D0D"/>
                <w:sz w:val="20"/>
                <w:szCs w:val="20"/>
              </w:rPr>
            </w:pPr>
            <w:r w:rsidRPr="004E6649">
              <w:rPr>
                <w:rFonts w:eastAsia="Times New Roman" w:cstheme="minorHAnsi"/>
                <w:color w:val="0D0D0D"/>
                <w:sz w:val="20"/>
                <w:szCs w:val="20"/>
              </w:rPr>
              <w:t>Covered payroll</w:t>
            </w:r>
          </w:p>
        </w:tc>
        <w:tc>
          <w:tcPr>
            <w:tcW w:w="1078" w:type="dxa"/>
            <w:tcBorders>
              <w:top w:val="double" w:sz="4" w:space="0" w:color="000000" w:themeColor="text1"/>
              <w:left w:val="nil"/>
              <w:right w:val="nil"/>
            </w:tcBorders>
            <w:shd w:val="clear" w:color="auto" w:fill="F2F2F2" w:themeFill="background1" w:themeFillShade="F2"/>
            <w:vAlign w:val="bottom"/>
          </w:tcPr>
          <w:p w14:paraId="23EEF357" w14:textId="77777777" w:rsidR="001B6918" w:rsidRPr="002504E7" w:rsidRDefault="001B6918" w:rsidP="00730ECF">
            <w:pPr>
              <w:jc w:val="right"/>
              <w:rPr>
                <w:rFonts w:eastAsia="Times New Roman" w:cstheme="minorHAnsi"/>
                <w:sz w:val="20"/>
                <w:szCs w:val="20"/>
              </w:rPr>
            </w:pPr>
            <w:r w:rsidRPr="002504E7">
              <w:rPr>
                <w:rFonts w:eastAsia="Times New Roman" w:cstheme="minorHAnsi"/>
                <w:sz w:val="20"/>
                <w:szCs w:val="20"/>
              </w:rPr>
              <w:t>$305,479</w:t>
            </w:r>
          </w:p>
        </w:tc>
        <w:tc>
          <w:tcPr>
            <w:tcW w:w="1009" w:type="dxa"/>
            <w:tcBorders>
              <w:top w:val="double" w:sz="4" w:space="0" w:color="000000" w:themeColor="text1"/>
              <w:left w:val="nil"/>
              <w:right w:val="nil"/>
            </w:tcBorders>
            <w:vAlign w:val="bottom"/>
          </w:tcPr>
          <w:p w14:paraId="20FA0ECC" w14:textId="77777777" w:rsidR="001B6918" w:rsidRPr="00421B00" w:rsidRDefault="001B6918" w:rsidP="00730ECF">
            <w:pPr>
              <w:jc w:val="right"/>
              <w:rPr>
                <w:rFonts w:eastAsia="Times New Roman" w:cstheme="minorHAnsi"/>
                <w:sz w:val="20"/>
                <w:szCs w:val="20"/>
              </w:rPr>
            </w:pPr>
            <w:r w:rsidRPr="00421B00">
              <w:rPr>
                <w:rFonts w:eastAsia="Times New Roman" w:cstheme="minorHAnsi"/>
                <w:sz w:val="20"/>
                <w:szCs w:val="20"/>
              </w:rPr>
              <w:t>$</w:t>
            </w:r>
            <w:r w:rsidRPr="00643226">
              <w:rPr>
                <w:rFonts w:eastAsia="Times New Roman" w:cstheme="minorHAnsi"/>
                <w:sz w:val="20"/>
                <w:szCs w:val="20"/>
              </w:rPr>
              <w:t>297,954</w:t>
            </w:r>
          </w:p>
        </w:tc>
        <w:tc>
          <w:tcPr>
            <w:tcW w:w="1197" w:type="dxa"/>
            <w:tcBorders>
              <w:top w:val="double" w:sz="4" w:space="0" w:color="000000" w:themeColor="text1"/>
              <w:left w:val="nil"/>
              <w:right w:val="nil"/>
            </w:tcBorders>
            <w:shd w:val="clear" w:color="auto" w:fill="F2F2F2" w:themeFill="background1" w:themeFillShade="F2"/>
            <w:vAlign w:val="bottom"/>
          </w:tcPr>
          <w:p w14:paraId="341678CF" w14:textId="77777777" w:rsidR="001B6918" w:rsidRPr="004E6649" w:rsidRDefault="001B6918" w:rsidP="00730ECF">
            <w:pPr>
              <w:jc w:val="right"/>
              <w:rPr>
                <w:rFonts w:eastAsia="Times New Roman" w:cstheme="minorHAnsi"/>
                <w:sz w:val="20"/>
                <w:szCs w:val="20"/>
              </w:rPr>
            </w:pPr>
            <w:r w:rsidRPr="004E6649">
              <w:rPr>
                <w:rFonts w:eastAsia="Times New Roman" w:cstheme="minorHAnsi"/>
                <w:sz w:val="20"/>
                <w:szCs w:val="20"/>
              </w:rPr>
              <w:t>$292,603</w:t>
            </w:r>
          </w:p>
        </w:tc>
        <w:tc>
          <w:tcPr>
            <w:tcW w:w="1108" w:type="dxa"/>
            <w:tcBorders>
              <w:top w:val="double" w:sz="4" w:space="0" w:color="000000" w:themeColor="text1"/>
              <w:left w:val="nil"/>
              <w:right w:val="nil"/>
            </w:tcBorders>
            <w:vAlign w:val="bottom"/>
          </w:tcPr>
          <w:p w14:paraId="5D2568BA" w14:textId="77777777" w:rsidR="001B6918" w:rsidRPr="004E6649" w:rsidRDefault="001B6918" w:rsidP="00730ECF">
            <w:pPr>
              <w:jc w:val="right"/>
              <w:rPr>
                <w:rFonts w:eastAsia="Times New Roman" w:cstheme="minorHAnsi"/>
                <w:sz w:val="20"/>
                <w:szCs w:val="20"/>
              </w:rPr>
            </w:pPr>
            <w:r w:rsidRPr="004E6649">
              <w:rPr>
                <w:rFonts w:eastAsia="Times New Roman" w:cstheme="minorHAnsi"/>
                <w:sz w:val="20"/>
                <w:szCs w:val="20"/>
              </w:rPr>
              <w:t>$267,061</w:t>
            </w:r>
          </w:p>
        </w:tc>
        <w:tc>
          <w:tcPr>
            <w:tcW w:w="1266" w:type="dxa"/>
            <w:tcBorders>
              <w:top w:val="double" w:sz="4" w:space="0" w:color="000000" w:themeColor="text1"/>
              <w:left w:val="nil"/>
              <w:right w:val="nil"/>
            </w:tcBorders>
            <w:shd w:val="clear" w:color="auto" w:fill="F2F2F2" w:themeFill="background1" w:themeFillShade="F2"/>
            <w:noWrap/>
            <w:vAlign w:val="bottom"/>
            <w:hideMark/>
          </w:tcPr>
          <w:p w14:paraId="7F2F8501" w14:textId="77777777" w:rsidR="001B6918" w:rsidRPr="004E6649" w:rsidRDefault="001B6918" w:rsidP="00730ECF">
            <w:pPr>
              <w:jc w:val="right"/>
              <w:rPr>
                <w:rFonts w:eastAsia="Times New Roman" w:cstheme="minorHAnsi"/>
                <w:color w:val="0D0D0D"/>
                <w:sz w:val="20"/>
                <w:szCs w:val="20"/>
              </w:rPr>
            </w:pPr>
            <w:r w:rsidRPr="004E6649">
              <w:rPr>
                <w:rFonts w:eastAsia="Times New Roman" w:cstheme="minorHAnsi"/>
                <w:color w:val="0D0D0D"/>
                <w:sz w:val="20"/>
                <w:szCs w:val="20"/>
              </w:rPr>
              <w:t>$258,827</w:t>
            </w:r>
          </w:p>
        </w:tc>
        <w:tc>
          <w:tcPr>
            <w:tcW w:w="1108" w:type="dxa"/>
            <w:tcBorders>
              <w:top w:val="double" w:sz="4" w:space="0" w:color="000000" w:themeColor="text1"/>
              <w:left w:val="nil"/>
              <w:right w:val="nil"/>
            </w:tcBorders>
            <w:vAlign w:val="bottom"/>
          </w:tcPr>
          <w:p w14:paraId="5D0E649B" w14:textId="77777777" w:rsidR="001B6918" w:rsidRPr="004E6649" w:rsidRDefault="001B6918" w:rsidP="00730ECF">
            <w:pPr>
              <w:jc w:val="right"/>
              <w:rPr>
                <w:rFonts w:eastAsia="Times New Roman" w:cstheme="minorHAnsi"/>
                <w:color w:val="0D0D0D"/>
                <w:sz w:val="20"/>
                <w:szCs w:val="20"/>
              </w:rPr>
            </w:pPr>
            <w:r w:rsidRPr="004E6649">
              <w:rPr>
                <w:rFonts w:eastAsia="Times New Roman" w:cstheme="minorHAnsi"/>
                <w:color w:val="0D0D0D"/>
                <w:sz w:val="20"/>
                <w:szCs w:val="20"/>
              </w:rPr>
              <w:t>$241,501</w:t>
            </w:r>
          </w:p>
        </w:tc>
        <w:tc>
          <w:tcPr>
            <w:tcW w:w="1266" w:type="dxa"/>
            <w:tcBorders>
              <w:top w:val="double" w:sz="4" w:space="0" w:color="000000" w:themeColor="text1"/>
              <w:left w:val="nil"/>
              <w:right w:val="nil"/>
            </w:tcBorders>
            <w:shd w:val="clear" w:color="auto" w:fill="F2F2F2" w:themeFill="background1" w:themeFillShade="F2"/>
            <w:noWrap/>
            <w:vAlign w:val="bottom"/>
            <w:hideMark/>
          </w:tcPr>
          <w:p w14:paraId="0C368838" w14:textId="77777777" w:rsidR="001B6918" w:rsidRPr="004E6649" w:rsidRDefault="001B6918" w:rsidP="00730ECF">
            <w:pPr>
              <w:jc w:val="right"/>
              <w:rPr>
                <w:rFonts w:eastAsia="Times New Roman" w:cstheme="minorHAnsi"/>
                <w:color w:val="0D0D0D"/>
                <w:sz w:val="20"/>
                <w:szCs w:val="20"/>
              </w:rPr>
            </w:pPr>
            <w:r w:rsidRPr="004E6649">
              <w:rPr>
                <w:rFonts w:eastAsia="Times New Roman" w:cstheme="minorHAnsi"/>
                <w:color w:val="0D0D0D"/>
                <w:sz w:val="20"/>
                <w:szCs w:val="20"/>
              </w:rPr>
              <w:t>$237,125</w:t>
            </w:r>
          </w:p>
        </w:tc>
        <w:tc>
          <w:tcPr>
            <w:tcW w:w="1266" w:type="dxa"/>
            <w:tcBorders>
              <w:top w:val="double" w:sz="4" w:space="0" w:color="000000" w:themeColor="text1"/>
              <w:left w:val="nil"/>
              <w:right w:val="nil"/>
            </w:tcBorders>
            <w:noWrap/>
            <w:vAlign w:val="bottom"/>
            <w:hideMark/>
          </w:tcPr>
          <w:p w14:paraId="23149421" w14:textId="77777777" w:rsidR="001B6918" w:rsidRPr="004E6649" w:rsidRDefault="001B6918" w:rsidP="00730ECF">
            <w:pPr>
              <w:jc w:val="right"/>
              <w:rPr>
                <w:rFonts w:eastAsia="Times New Roman" w:cstheme="minorHAnsi"/>
                <w:color w:val="0D0D0D"/>
                <w:sz w:val="20"/>
                <w:szCs w:val="20"/>
              </w:rPr>
            </w:pPr>
            <w:r w:rsidRPr="004E6649">
              <w:rPr>
                <w:rFonts w:eastAsia="Times New Roman" w:cstheme="minorHAnsi"/>
                <w:color w:val="0D0D0D"/>
                <w:sz w:val="20"/>
                <w:szCs w:val="20"/>
              </w:rPr>
              <w:t>$220,849</w:t>
            </w:r>
          </w:p>
        </w:tc>
        <w:tc>
          <w:tcPr>
            <w:tcW w:w="1266" w:type="dxa"/>
            <w:tcBorders>
              <w:top w:val="double" w:sz="4" w:space="0" w:color="000000" w:themeColor="text1"/>
              <w:left w:val="nil"/>
              <w:right w:val="nil"/>
            </w:tcBorders>
            <w:shd w:val="clear" w:color="auto" w:fill="F2F2F2" w:themeFill="background1" w:themeFillShade="F2"/>
            <w:noWrap/>
            <w:vAlign w:val="bottom"/>
            <w:hideMark/>
          </w:tcPr>
          <w:p w14:paraId="678369E9" w14:textId="77777777" w:rsidR="001B6918" w:rsidRPr="004E6649" w:rsidRDefault="001B6918" w:rsidP="00730ECF">
            <w:pPr>
              <w:jc w:val="right"/>
              <w:rPr>
                <w:rFonts w:eastAsia="Times New Roman" w:cstheme="minorHAnsi"/>
                <w:color w:val="0D0D0D"/>
                <w:sz w:val="20"/>
                <w:szCs w:val="20"/>
              </w:rPr>
            </w:pPr>
            <w:r w:rsidRPr="004E6649">
              <w:rPr>
                <w:rFonts w:eastAsia="Times New Roman" w:cstheme="minorHAnsi"/>
                <w:color w:val="0D0D0D"/>
                <w:sz w:val="20"/>
                <w:szCs w:val="20"/>
              </w:rPr>
              <w:t>$214,956</w:t>
            </w:r>
          </w:p>
        </w:tc>
      </w:tr>
      <w:tr w:rsidR="001B6918" w:rsidRPr="004E6649" w14:paraId="4DEE3B63" w14:textId="77777777" w:rsidTr="00730ECF">
        <w:trPr>
          <w:trHeight w:val="315"/>
        </w:trPr>
        <w:tc>
          <w:tcPr>
            <w:tcW w:w="2972" w:type="dxa"/>
            <w:tcBorders>
              <w:top w:val="nil"/>
              <w:left w:val="nil"/>
              <w:bottom w:val="single" w:sz="4" w:space="0" w:color="000000" w:themeColor="text1"/>
              <w:right w:val="nil"/>
            </w:tcBorders>
            <w:shd w:val="clear" w:color="000000" w:fill="FFFFFF"/>
            <w:vAlign w:val="bottom"/>
            <w:hideMark/>
          </w:tcPr>
          <w:p w14:paraId="394EB1A7" w14:textId="77777777" w:rsidR="001B6918" w:rsidRPr="004E6649" w:rsidRDefault="001B6918" w:rsidP="00730ECF">
            <w:pPr>
              <w:rPr>
                <w:rFonts w:eastAsia="Times New Roman" w:cstheme="minorHAnsi"/>
                <w:color w:val="0D0D0D"/>
                <w:sz w:val="20"/>
                <w:szCs w:val="20"/>
              </w:rPr>
            </w:pPr>
            <w:r w:rsidRPr="004E6649">
              <w:rPr>
                <w:rFonts w:eastAsia="Times New Roman" w:cstheme="minorHAnsi"/>
                <w:color w:val="0D0D0D"/>
                <w:sz w:val="20"/>
                <w:szCs w:val="20"/>
              </w:rPr>
              <w:t>Contributions as a percentage of covered payroll</w:t>
            </w:r>
          </w:p>
        </w:tc>
        <w:tc>
          <w:tcPr>
            <w:tcW w:w="1078" w:type="dxa"/>
            <w:tcBorders>
              <w:top w:val="nil"/>
              <w:left w:val="nil"/>
              <w:bottom w:val="single" w:sz="4" w:space="0" w:color="000000" w:themeColor="text1"/>
              <w:right w:val="nil"/>
            </w:tcBorders>
            <w:shd w:val="clear" w:color="auto" w:fill="F2F2F2" w:themeFill="background1" w:themeFillShade="F2"/>
            <w:vAlign w:val="bottom"/>
          </w:tcPr>
          <w:p w14:paraId="1B022425" w14:textId="77777777" w:rsidR="001B6918" w:rsidRPr="002504E7" w:rsidRDefault="001B6918" w:rsidP="00730ECF">
            <w:pPr>
              <w:jc w:val="right"/>
              <w:rPr>
                <w:rFonts w:eastAsia="Times New Roman" w:cstheme="minorHAnsi"/>
                <w:sz w:val="20"/>
                <w:szCs w:val="20"/>
              </w:rPr>
            </w:pPr>
          </w:p>
          <w:p w14:paraId="3C315611" w14:textId="77777777" w:rsidR="001B6918" w:rsidRPr="002504E7" w:rsidRDefault="001B6918" w:rsidP="00730ECF">
            <w:pPr>
              <w:jc w:val="right"/>
              <w:rPr>
                <w:rFonts w:eastAsia="Times New Roman" w:cstheme="minorHAnsi"/>
                <w:sz w:val="20"/>
                <w:szCs w:val="20"/>
              </w:rPr>
            </w:pPr>
            <w:r w:rsidRPr="002504E7">
              <w:rPr>
                <w:rFonts w:eastAsia="Times New Roman" w:cstheme="minorHAnsi"/>
                <w:sz w:val="20"/>
                <w:szCs w:val="20"/>
              </w:rPr>
              <w:t>2.60%</w:t>
            </w:r>
          </w:p>
        </w:tc>
        <w:tc>
          <w:tcPr>
            <w:tcW w:w="1009" w:type="dxa"/>
            <w:tcBorders>
              <w:top w:val="nil"/>
              <w:left w:val="nil"/>
              <w:bottom w:val="single" w:sz="4" w:space="0" w:color="000000" w:themeColor="text1"/>
              <w:right w:val="nil"/>
            </w:tcBorders>
            <w:vAlign w:val="bottom"/>
          </w:tcPr>
          <w:p w14:paraId="4BBF8D9C" w14:textId="77777777" w:rsidR="001B6918" w:rsidRPr="00421B00" w:rsidRDefault="001B6918" w:rsidP="00730ECF">
            <w:pPr>
              <w:jc w:val="right"/>
              <w:rPr>
                <w:rFonts w:eastAsia="Times New Roman" w:cstheme="minorHAnsi"/>
                <w:sz w:val="20"/>
                <w:szCs w:val="20"/>
              </w:rPr>
            </w:pPr>
          </w:p>
          <w:p w14:paraId="0EA885CC" w14:textId="77777777" w:rsidR="001B6918" w:rsidRPr="00421B00" w:rsidRDefault="001B6918" w:rsidP="00730ECF">
            <w:pPr>
              <w:jc w:val="right"/>
              <w:rPr>
                <w:rFonts w:eastAsia="Times New Roman" w:cstheme="minorHAnsi"/>
                <w:sz w:val="20"/>
                <w:szCs w:val="20"/>
              </w:rPr>
            </w:pPr>
            <w:r w:rsidRPr="00421B00">
              <w:rPr>
                <w:rFonts w:eastAsia="Times New Roman" w:cstheme="minorHAnsi"/>
                <w:sz w:val="20"/>
                <w:szCs w:val="20"/>
              </w:rPr>
              <w:t>3.</w:t>
            </w:r>
            <w:r w:rsidRPr="00643226">
              <w:rPr>
                <w:rFonts w:eastAsia="Times New Roman" w:cstheme="minorHAnsi"/>
                <w:sz w:val="20"/>
                <w:szCs w:val="20"/>
              </w:rPr>
              <w:t>26</w:t>
            </w:r>
            <w:r w:rsidRPr="00421B00">
              <w:rPr>
                <w:rFonts w:eastAsia="Times New Roman" w:cstheme="minorHAnsi"/>
                <w:sz w:val="20"/>
                <w:szCs w:val="20"/>
              </w:rPr>
              <w:t>%</w:t>
            </w:r>
          </w:p>
        </w:tc>
        <w:tc>
          <w:tcPr>
            <w:tcW w:w="1197" w:type="dxa"/>
            <w:tcBorders>
              <w:top w:val="nil"/>
              <w:left w:val="nil"/>
              <w:bottom w:val="single" w:sz="4" w:space="0" w:color="000000" w:themeColor="text1"/>
              <w:right w:val="nil"/>
            </w:tcBorders>
            <w:shd w:val="clear" w:color="auto" w:fill="F2F2F2" w:themeFill="background1" w:themeFillShade="F2"/>
            <w:vAlign w:val="bottom"/>
          </w:tcPr>
          <w:p w14:paraId="72219AB4" w14:textId="77777777" w:rsidR="001B6918" w:rsidRPr="004E6649" w:rsidRDefault="001B6918" w:rsidP="00730ECF">
            <w:pPr>
              <w:jc w:val="right"/>
              <w:rPr>
                <w:rFonts w:eastAsia="Times New Roman" w:cstheme="minorHAnsi"/>
                <w:sz w:val="20"/>
                <w:szCs w:val="20"/>
              </w:rPr>
            </w:pPr>
            <w:r w:rsidRPr="004E6649">
              <w:rPr>
                <w:rFonts w:eastAsia="Times New Roman" w:cstheme="minorHAnsi"/>
                <w:sz w:val="20"/>
                <w:szCs w:val="20"/>
              </w:rPr>
              <w:t>3.00%</w:t>
            </w:r>
          </w:p>
        </w:tc>
        <w:tc>
          <w:tcPr>
            <w:tcW w:w="1108" w:type="dxa"/>
            <w:tcBorders>
              <w:top w:val="nil"/>
              <w:left w:val="nil"/>
              <w:bottom w:val="single" w:sz="4" w:space="0" w:color="000000" w:themeColor="text1"/>
              <w:right w:val="nil"/>
            </w:tcBorders>
            <w:vAlign w:val="bottom"/>
          </w:tcPr>
          <w:p w14:paraId="0E38E30E" w14:textId="77777777" w:rsidR="001B6918" w:rsidRPr="004E6649" w:rsidRDefault="001B6918" w:rsidP="00730ECF">
            <w:pPr>
              <w:jc w:val="right"/>
              <w:rPr>
                <w:rFonts w:eastAsia="Times New Roman" w:cstheme="minorHAnsi"/>
                <w:sz w:val="20"/>
                <w:szCs w:val="20"/>
              </w:rPr>
            </w:pPr>
            <w:r w:rsidRPr="004E6649">
              <w:rPr>
                <w:rFonts w:eastAsia="Times New Roman" w:cstheme="minorHAnsi"/>
                <w:sz w:val="20"/>
                <w:szCs w:val="20"/>
              </w:rPr>
              <w:t>1.85%</w:t>
            </w:r>
          </w:p>
        </w:tc>
        <w:tc>
          <w:tcPr>
            <w:tcW w:w="1266" w:type="dxa"/>
            <w:tcBorders>
              <w:top w:val="nil"/>
              <w:left w:val="nil"/>
              <w:bottom w:val="single" w:sz="4" w:space="0" w:color="000000" w:themeColor="text1"/>
              <w:right w:val="nil"/>
            </w:tcBorders>
            <w:shd w:val="clear" w:color="auto" w:fill="F2F2F2" w:themeFill="background1" w:themeFillShade="F2"/>
            <w:noWrap/>
            <w:vAlign w:val="bottom"/>
            <w:hideMark/>
          </w:tcPr>
          <w:p w14:paraId="376B46B6" w14:textId="77777777" w:rsidR="001B6918" w:rsidRPr="004E6649" w:rsidRDefault="001B6918" w:rsidP="00730ECF">
            <w:pPr>
              <w:jc w:val="right"/>
              <w:rPr>
                <w:rFonts w:eastAsia="Times New Roman" w:cstheme="minorHAnsi"/>
                <w:color w:val="0D0D0D"/>
                <w:sz w:val="20"/>
                <w:szCs w:val="20"/>
              </w:rPr>
            </w:pPr>
            <w:r w:rsidRPr="004E6649">
              <w:rPr>
                <w:rFonts w:eastAsia="Times New Roman" w:cstheme="minorHAnsi"/>
                <w:color w:val="0D0D0D"/>
                <w:sz w:val="20"/>
                <w:szCs w:val="20"/>
              </w:rPr>
              <w:t>4.82%</w:t>
            </w:r>
          </w:p>
        </w:tc>
        <w:tc>
          <w:tcPr>
            <w:tcW w:w="1108" w:type="dxa"/>
            <w:tcBorders>
              <w:top w:val="nil"/>
              <w:left w:val="nil"/>
              <w:bottom w:val="single" w:sz="4" w:space="0" w:color="000000" w:themeColor="text1"/>
              <w:right w:val="nil"/>
            </w:tcBorders>
            <w:vAlign w:val="bottom"/>
          </w:tcPr>
          <w:p w14:paraId="2984778E" w14:textId="77777777" w:rsidR="001B6918" w:rsidRPr="004E6649" w:rsidRDefault="001B6918" w:rsidP="00730ECF">
            <w:pPr>
              <w:jc w:val="right"/>
              <w:rPr>
                <w:rFonts w:eastAsia="Times New Roman" w:cstheme="minorHAnsi"/>
                <w:color w:val="0D0D0D"/>
                <w:sz w:val="20"/>
                <w:szCs w:val="20"/>
              </w:rPr>
            </w:pPr>
            <w:r w:rsidRPr="004E6649">
              <w:rPr>
                <w:rFonts w:eastAsia="Times New Roman" w:cstheme="minorHAnsi"/>
                <w:color w:val="0D0D0D"/>
                <w:sz w:val="20"/>
                <w:szCs w:val="20"/>
              </w:rPr>
              <w:t>5.26%</w:t>
            </w:r>
          </w:p>
        </w:tc>
        <w:tc>
          <w:tcPr>
            <w:tcW w:w="1266" w:type="dxa"/>
            <w:tcBorders>
              <w:top w:val="nil"/>
              <w:left w:val="nil"/>
              <w:bottom w:val="single" w:sz="4" w:space="0" w:color="000000" w:themeColor="text1"/>
              <w:right w:val="nil"/>
            </w:tcBorders>
            <w:shd w:val="clear" w:color="auto" w:fill="F2F2F2" w:themeFill="background1" w:themeFillShade="F2"/>
            <w:noWrap/>
            <w:vAlign w:val="bottom"/>
            <w:hideMark/>
          </w:tcPr>
          <w:p w14:paraId="59EB4858" w14:textId="77777777" w:rsidR="001B6918" w:rsidRPr="004E6649" w:rsidRDefault="001B6918" w:rsidP="00730ECF">
            <w:pPr>
              <w:jc w:val="right"/>
              <w:rPr>
                <w:rFonts w:eastAsia="Times New Roman" w:cstheme="minorHAnsi"/>
                <w:color w:val="0D0D0D"/>
                <w:sz w:val="20"/>
                <w:szCs w:val="20"/>
              </w:rPr>
            </w:pPr>
            <w:r w:rsidRPr="004E6649">
              <w:rPr>
                <w:rFonts w:eastAsia="Times New Roman" w:cstheme="minorHAnsi"/>
                <w:color w:val="0D0D0D"/>
                <w:sz w:val="20"/>
                <w:szCs w:val="20"/>
              </w:rPr>
              <w:t>5.00%</w:t>
            </w:r>
          </w:p>
        </w:tc>
        <w:tc>
          <w:tcPr>
            <w:tcW w:w="1266" w:type="dxa"/>
            <w:tcBorders>
              <w:top w:val="nil"/>
              <w:left w:val="nil"/>
              <w:bottom w:val="single" w:sz="4" w:space="0" w:color="000000" w:themeColor="text1"/>
              <w:right w:val="nil"/>
            </w:tcBorders>
            <w:shd w:val="clear" w:color="000000" w:fill="FFFFFF"/>
            <w:noWrap/>
            <w:vAlign w:val="bottom"/>
            <w:hideMark/>
          </w:tcPr>
          <w:p w14:paraId="324335EE" w14:textId="77777777" w:rsidR="001B6918" w:rsidRPr="004E6649" w:rsidRDefault="001B6918" w:rsidP="00730ECF">
            <w:pPr>
              <w:jc w:val="right"/>
              <w:rPr>
                <w:rFonts w:eastAsia="Times New Roman" w:cstheme="minorHAnsi"/>
                <w:color w:val="0D0D0D"/>
                <w:sz w:val="20"/>
                <w:szCs w:val="20"/>
              </w:rPr>
            </w:pPr>
            <w:r w:rsidRPr="004E6649">
              <w:rPr>
                <w:rFonts w:eastAsia="Times New Roman" w:cstheme="minorHAnsi"/>
                <w:color w:val="0D0D0D"/>
                <w:sz w:val="20"/>
                <w:szCs w:val="20"/>
              </w:rPr>
              <w:t>5.41%</w:t>
            </w:r>
          </w:p>
        </w:tc>
        <w:tc>
          <w:tcPr>
            <w:tcW w:w="1266" w:type="dxa"/>
            <w:tcBorders>
              <w:top w:val="nil"/>
              <w:left w:val="nil"/>
              <w:bottom w:val="single" w:sz="4" w:space="0" w:color="000000" w:themeColor="text1"/>
              <w:right w:val="nil"/>
            </w:tcBorders>
            <w:shd w:val="clear" w:color="auto" w:fill="F2F2F2" w:themeFill="background1" w:themeFillShade="F2"/>
            <w:noWrap/>
            <w:vAlign w:val="bottom"/>
            <w:hideMark/>
          </w:tcPr>
          <w:p w14:paraId="5778BCC2" w14:textId="77777777" w:rsidR="001B6918" w:rsidRPr="004E6649" w:rsidRDefault="001B6918" w:rsidP="00730ECF">
            <w:pPr>
              <w:jc w:val="right"/>
              <w:rPr>
                <w:rFonts w:eastAsia="Times New Roman" w:cstheme="minorHAnsi"/>
                <w:color w:val="0D0D0D"/>
                <w:sz w:val="20"/>
                <w:szCs w:val="20"/>
              </w:rPr>
            </w:pPr>
            <w:r w:rsidRPr="004E6649">
              <w:rPr>
                <w:rFonts w:eastAsia="Times New Roman" w:cstheme="minorHAnsi"/>
                <w:color w:val="0D0D0D"/>
                <w:sz w:val="20"/>
                <w:szCs w:val="20"/>
              </w:rPr>
              <w:t>7.51%</w:t>
            </w:r>
          </w:p>
        </w:tc>
      </w:tr>
    </w:tbl>
    <w:p w14:paraId="476927CC" w14:textId="77777777" w:rsidR="001B6918" w:rsidRPr="004E6649" w:rsidRDefault="001B6918" w:rsidP="001B6918">
      <w:pPr>
        <w:pStyle w:val="AFR4"/>
        <w:spacing w:after="240"/>
        <w:rPr>
          <w:rFonts w:cstheme="minorHAnsi"/>
          <w:sz w:val="28"/>
          <w:szCs w:val="28"/>
        </w:rPr>
        <w:sectPr w:rsidR="001B6918" w:rsidRPr="004E6649" w:rsidSect="00DC059D">
          <w:footerReference w:type="first" r:id="rId59"/>
          <w:type w:val="nextColumn"/>
          <w:pgSz w:w="15840" w:h="12240" w:orient="landscape" w:code="1"/>
          <w:pgMar w:top="1440" w:right="1152" w:bottom="1440" w:left="1152" w:header="720" w:footer="720" w:gutter="0"/>
          <w:cols w:space="0"/>
          <w:titlePg/>
          <w:docGrid w:linePitch="360"/>
        </w:sectPr>
      </w:pPr>
      <w:r w:rsidRPr="004E6649">
        <w:rPr>
          <w:rFonts w:cstheme="minorHAnsi"/>
          <w:sz w:val="28"/>
          <w:szCs w:val="28"/>
        </w:rPr>
        <w:br w:type="page"/>
      </w:r>
    </w:p>
    <w:p w14:paraId="282886FE" w14:textId="77777777" w:rsidR="001B6918" w:rsidRPr="009E4423" w:rsidRDefault="001B6918" w:rsidP="001B6918">
      <w:pPr>
        <w:spacing w:after="160"/>
        <w:rPr>
          <w:rFonts w:eastAsiaTheme="majorEastAsia" w:cstheme="minorHAnsi"/>
          <w:b/>
          <w:i/>
          <w:iCs/>
          <w:smallCaps/>
          <w:noProof/>
          <w:color w:val="000000" w:themeColor="text1"/>
          <w:sz w:val="24"/>
          <w:szCs w:val="28"/>
          <w:u w:color="5B9BD5"/>
        </w:rPr>
      </w:pPr>
      <w:r w:rsidRPr="009E4423">
        <w:rPr>
          <w:rFonts w:eastAsiaTheme="majorEastAsia" w:cstheme="minorHAnsi"/>
          <w:b/>
          <w:i/>
          <w:iCs/>
          <w:smallCaps/>
          <w:noProof/>
          <w:color w:val="000000" w:themeColor="text1"/>
          <w:sz w:val="24"/>
          <w:szCs w:val="28"/>
          <w:u w:color="5B9BD5"/>
        </w:rPr>
        <w:lastRenderedPageBreak/>
        <w:fldChar w:fldCharType="begin"/>
      </w:r>
      <w:r w:rsidRPr="009E4423">
        <w:rPr>
          <w:rFonts w:eastAsiaTheme="majorEastAsia" w:cstheme="minorHAnsi"/>
          <w:b/>
          <w:i/>
          <w:iCs/>
          <w:smallCaps/>
          <w:noProof/>
          <w:color w:val="000000" w:themeColor="text1"/>
          <w:sz w:val="24"/>
          <w:szCs w:val="28"/>
          <w:u w:color="5B9BD5"/>
        </w:rPr>
        <w:fldChar w:fldCharType="end"/>
      </w:r>
      <w:r w:rsidRPr="00453556">
        <w:rPr>
          <w:rFonts w:eastAsiaTheme="majorEastAsia" w:cstheme="minorHAnsi"/>
          <w:b/>
          <w:i/>
          <w:iCs/>
          <w:smallCaps/>
          <w:noProof/>
          <w:color w:val="000000" w:themeColor="text1"/>
          <w:sz w:val="24"/>
          <w:szCs w:val="28"/>
          <w:u w:color="5B9BD5"/>
        </w:rPr>
        <w:t>OPEB PLAN - CONTINUED:</w:t>
      </w:r>
    </w:p>
    <w:p w14:paraId="35CF757F" w14:textId="77777777" w:rsidR="001B6918" w:rsidRPr="004E6649" w:rsidRDefault="001B6918" w:rsidP="001B6918">
      <w:pPr>
        <w:pStyle w:val="Heading3"/>
        <w:rPr>
          <w:rFonts w:asciiTheme="minorHAnsi" w:hAnsiTheme="minorHAnsi" w:cstheme="minorHAnsi"/>
        </w:rPr>
      </w:pPr>
      <w:r w:rsidRPr="004E6649">
        <w:rPr>
          <w:rFonts w:asciiTheme="minorHAnsi" w:hAnsiTheme="minorHAnsi" w:cstheme="minorHAnsi"/>
        </w:rPr>
        <w:t>Notes</w:t>
      </w:r>
      <w:r w:rsidRPr="004E6649">
        <w:rPr>
          <w:rFonts w:asciiTheme="minorHAnsi" w:hAnsiTheme="minorHAnsi" w:cstheme="minorHAnsi"/>
          <w:spacing w:val="-1"/>
        </w:rPr>
        <w:t xml:space="preserve"> </w:t>
      </w:r>
      <w:r w:rsidRPr="004E6649">
        <w:rPr>
          <w:rFonts w:asciiTheme="minorHAnsi" w:hAnsiTheme="minorHAnsi" w:cstheme="minorHAnsi"/>
        </w:rPr>
        <w:t>to</w:t>
      </w:r>
      <w:r w:rsidRPr="004E6649">
        <w:rPr>
          <w:rFonts w:asciiTheme="minorHAnsi" w:hAnsiTheme="minorHAnsi" w:cstheme="minorHAnsi"/>
          <w:spacing w:val="-2"/>
        </w:rPr>
        <w:t xml:space="preserve"> </w:t>
      </w:r>
      <w:r w:rsidRPr="004E6649">
        <w:rPr>
          <w:rFonts w:asciiTheme="minorHAnsi" w:hAnsiTheme="minorHAnsi" w:cstheme="minorHAnsi"/>
          <w:spacing w:val="2"/>
        </w:rPr>
        <w:t>R</w:t>
      </w:r>
      <w:r w:rsidRPr="004E6649">
        <w:rPr>
          <w:rFonts w:asciiTheme="minorHAnsi" w:hAnsiTheme="minorHAnsi" w:cstheme="minorHAnsi"/>
        </w:rPr>
        <w:t>eq</w:t>
      </w:r>
      <w:r w:rsidRPr="004E6649">
        <w:rPr>
          <w:rFonts w:asciiTheme="minorHAnsi" w:hAnsiTheme="minorHAnsi" w:cstheme="minorHAnsi"/>
          <w:spacing w:val="2"/>
        </w:rPr>
        <w:t>ui</w:t>
      </w:r>
      <w:r w:rsidRPr="004E6649">
        <w:rPr>
          <w:rFonts w:asciiTheme="minorHAnsi" w:hAnsiTheme="minorHAnsi" w:cstheme="minorHAnsi"/>
        </w:rPr>
        <w:t>red</w:t>
      </w:r>
      <w:r w:rsidRPr="004E6649">
        <w:rPr>
          <w:rFonts w:asciiTheme="minorHAnsi" w:hAnsiTheme="minorHAnsi" w:cstheme="minorHAnsi"/>
          <w:spacing w:val="-2"/>
        </w:rPr>
        <w:t xml:space="preserve"> </w:t>
      </w:r>
      <w:r w:rsidRPr="004E6649">
        <w:rPr>
          <w:rFonts w:asciiTheme="minorHAnsi" w:hAnsiTheme="minorHAnsi" w:cstheme="minorHAnsi"/>
        </w:rPr>
        <w:t>S</w:t>
      </w:r>
      <w:r w:rsidRPr="004E6649">
        <w:rPr>
          <w:rFonts w:asciiTheme="minorHAnsi" w:hAnsiTheme="minorHAnsi" w:cstheme="minorHAnsi"/>
          <w:spacing w:val="2"/>
        </w:rPr>
        <w:t>u</w:t>
      </w:r>
      <w:r w:rsidRPr="004E6649">
        <w:rPr>
          <w:rFonts w:asciiTheme="minorHAnsi" w:hAnsiTheme="minorHAnsi" w:cstheme="minorHAnsi"/>
        </w:rPr>
        <w:t>pp</w:t>
      </w:r>
      <w:r w:rsidRPr="004E6649">
        <w:rPr>
          <w:rFonts w:asciiTheme="minorHAnsi" w:hAnsiTheme="minorHAnsi" w:cstheme="minorHAnsi"/>
          <w:spacing w:val="2"/>
        </w:rPr>
        <w:t>l</w:t>
      </w:r>
      <w:r w:rsidRPr="004E6649">
        <w:rPr>
          <w:rFonts w:asciiTheme="minorHAnsi" w:hAnsiTheme="minorHAnsi" w:cstheme="minorHAnsi"/>
        </w:rPr>
        <w:t>eme</w:t>
      </w:r>
      <w:r w:rsidRPr="004E6649">
        <w:rPr>
          <w:rFonts w:asciiTheme="minorHAnsi" w:hAnsiTheme="minorHAnsi" w:cstheme="minorHAnsi"/>
          <w:spacing w:val="2"/>
        </w:rPr>
        <w:t>n</w:t>
      </w:r>
      <w:r w:rsidRPr="004E6649">
        <w:rPr>
          <w:rFonts w:asciiTheme="minorHAnsi" w:hAnsiTheme="minorHAnsi" w:cstheme="minorHAnsi"/>
        </w:rPr>
        <w:t>t</w:t>
      </w:r>
      <w:r w:rsidRPr="004E6649">
        <w:rPr>
          <w:rFonts w:asciiTheme="minorHAnsi" w:hAnsiTheme="minorHAnsi" w:cstheme="minorHAnsi"/>
          <w:spacing w:val="2"/>
        </w:rPr>
        <w:t>a</w:t>
      </w:r>
      <w:r w:rsidRPr="004E6649">
        <w:rPr>
          <w:rFonts w:asciiTheme="minorHAnsi" w:hAnsiTheme="minorHAnsi" w:cstheme="minorHAnsi"/>
        </w:rPr>
        <w:t xml:space="preserve">ry </w:t>
      </w:r>
      <w:r w:rsidRPr="004E6649">
        <w:rPr>
          <w:rFonts w:asciiTheme="minorHAnsi" w:hAnsiTheme="minorHAnsi" w:cstheme="minorHAnsi"/>
          <w:spacing w:val="2"/>
        </w:rPr>
        <w:t>Inf</w:t>
      </w:r>
      <w:r w:rsidRPr="004E6649">
        <w:rPr>
          <w:rFonts w:asciiTheme="minorHAnsi" w:hAnsiTheme="minorHAnsi" w:cstheme="minorHAnsi"/>
        </w:rPr>
        <w:t>orm</w:t>
      </w:r>
      <w:r w:rsidRPr="004E6649">
        <w:rPr>
          <w:rFonts w:asciiTheme="minorHAnsi" w:hAnsiTheme="minorHAnsi" w:cstheme="minorHAnsi"/>
          <w:spacing w:val="2"/>
        </w:rPr>
        <w:t>a</w:t>
      </w:r>
      <w:r w:rsidRPr="004E6649">
        <w:rPr>
          <w:rFonts w:asciiTheme="minorHAnsi" w:hAnsiTheme="minorHAnsi" w:cstheme="minorHAnsi"/>
        </w:rPr>
        <w:t>t</w:t>
      </w:r>
      <w:r w:rsidRPr="004E6649">
        <w:rPr>
          <w:rFonts w:asciiTheme="minorHAnsi" w:hAnsiTheme="minorHAnsi" w:cstheme="minorHAnsi"/>
          <w:spacing w:val="2"/>
        </w:rPr>
        <w:t>i</w:t>
      </w:r>
      <w:r w:rsidRPr="004E6649">
        <w:rPr>
          <w:rFonts w:asciiTheme="minorHAnsi" w:hAnsiTheme="minorHAnsi" w:cstheme="minorHAnsi"/>
        </w:rPr>
        <w:t>on:</w:t>
      </w:r>
    </w:p>
    <w:p w14:paraId="72DB5DF4" w14:textId="77777777" w:rsidR="001B6918" w:rsidRPr="004E6649" w:rsidRDefault="001B6918" w:rsidP="001B6918">
      <w:pPr>
        <w:rPr>
          <w:rFonts w:cstheme="minorHAnsi"/>
          <w:sz w:val="24"/>
          <w:szCs w:val="24"/>
        </w:rPr>
      </w:pPr>
      <w:r w:rsidRPr="004E6649">
        <w:rPr>
          <w:rFonts w:cstheme="minorHAnsi"/>
          <w:i/>
          <w:sz w:val="24"/>
          <w:szCs w:val="24"/>
        </w:rPr>
        <w:t>Changes of benefit terms:</w:t>
      </w:r>
    </w:p>
    <w:tbl>
      <w:tblPr>
        <w:tblStyle w:val="TableGrid"/>
        <w:tblW w:w="100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9180"/>
      </w:tblGrid>
      <w:tr w:rsidR="001B6918" w:rsidRPr="004E6649" w14:paraId="1F9AFBEC" w14:textId="77777777" w:rsidTr="00730ECF">
        <w:trPr>
          <w:trHeight w:val="80"/>
          <w:jc w:val="center"/>
        </w:trPr>
        <w:tc>
          <w:tcPr>
            <w:tcW w:w="900" w:type="dxa"/>
          </w:tcPr>
          <w:p w14:paraId="64B04B28" w14:textId="77777777" w:rsidR="001B6918" w:rsidRPr="007D3E85" w:rsidRDefault="001B6918" w:rsidP="00730ECF">
            <w:pPr>
              <w:rPr>
                <w:rFonts w:cstheme="minorHAnsi"/>
                <w:sz w:val="24"/>
                <w:szCs w:val="24"/>
              </w:rPr>
            </w:pPr>
            <w:r w:rsidRPr="007D3E85">
              <w:rPr>
                <w:rFonts w:cstheme="minorHAnsi"/>
                <w:sz w:val="24"/>
                <w:szCs w:val="24"/>
              </w:rPr>
              <w:t>2025:</w:t>
            </w:r>
          </w:p>
          <w:p w14:paraId="5A401E90" w14:textId="77777777" w:rsidR="001B6918" w:rsidRPr="007D3E85" w:rsidRDefault="001B6918" w:rsidP="00730ECF">
            <w:pPr>
              <w:rPr>
                <w:rFonts w:cstheme="minorHAnsi"/>
                <w:sz w:val="24"/>
                <w:szCs w:val="24"/>
              </w:rPr>
            </w:pPr>
            <w:r w:rsidRPr="007D3E85">
              <w:rPr>
                <w:rFonts w:cstheme="minorHAnsi"/>
                <w:sz w:val="24"/>
                <w:szCs w:val="24"/>
              </w:rPr>
              <w:t>2024:</w:t>
            </w:r>
          </w:p>
        </w:tc>
        <w:tc>
          <w:tcPr>
            <w:tcW w:w="9180" w:type="dxa"/>
          </w:tcPr>
          <w:p w14:paraId="68E15CC4" w14:textId="77777777" w:rsidR="001B6918" w:rsidRDefault="001B6918" w:rsidP="00730ECF">
            <w:pPr>
              <w:rPr>
                <w:rFonts w:cstheme="minorHAnsi"/>
                <w:sz w:val="24"/>
                <w:szCs w:val="24"/>
              </w:rPr>
            </w:pPr>
            <w:r>
              <w:rPr>
                <w:rFonts w:cstheme="minorHAnsi"/>
                <w:sz w:val="24"/>
                <w:szCs w:val="24"/>
              </w:rPr>
              <w:t>None</w:t>
            </w:r>
          </w:p>
          <w:p w14:paraId="28B0BEF8" w14:textId="77777777" w:rsidR="001B6918" w:rsidRPr="004E6649" w:rsidRDefault="001B6918" w:rsidP="00730ECF">
            <w:pPr>
              <w:rPr>
                <w:rFonts w:cstheme="minorHAnsi"/>
                <w:sz w:val="24"/>
                <w:szCs w:val="24"/>
              </w:rPr>
            </w:pPr>
            <w:r>
              <w:rPr>
                <w:rFonts w:cstheme="minorHAnsi"/>
                <w:sz w:val="24"/>
                <w:szCs w:val="24"/>
              </w:rPr>
              <w:t>None</w:t>
            </w:r>
          </w:p>
        </w:tc>
      </w:tr>
      <w:tr w:rsidR="001B6918" w:rsidRPr="004E6649" w14:paraId="0F358F5B" w14:textId="77777777" w:rsidTr="00730ECF">
        <w:trPr>
          <w:jc w:val="center"/>
        </w:trPr>
        <w:tc>
          <w:tcPr>
            <w:tcW w:w="900" w:type="dxa"/>
          </w:tcPr>
          <w:p w14:paraId="17BF5FAF" w14:textId="77777777" w:rsidR="001B6918" w:rsidRPr="004E6649" w:rsidRDefault="001B6918" w:rsidP="00730ECF">
            <w:pPr>
              <w:rPr>
                <w:rFonts w:cstheme="minorHAnsi"/>
                <w:sz w:val="24"/>
                <w:szCs w:val="24"/>
              </w:rPr>
            </w:pPr>
            <w:r w:rsidRPr="004E6649">
              <w:rPr>
                <w:rFonts w:cstheme="minorHAnsi"/>
                <w:sz w:val="24"/>
                <w:szCs w:val="24"/>
              </w:rPr>
              <w:t>2023:</w:t>
            </w:r>
          </w:p>
        </w:tc>
        <w:tc>
          <w:tcPr>
            <w:tcW w:w="9180" w:type="dxa"/>
          </w:tcPr>
          <w:p w14:paraId="23C672F9" w14:textId="77777777" w:rsidR="001B6918" w:rsidRPr="004E6649" w:rsidRDefault="001B6918" w:rsidP="00730ECF">
            <w:pPr>
              <w:rPr>
                <w:rFonts w:cstheme="minorHAnsi"/>
                <w:sz w:val="24"/>
                <w:szCs w:val="24"/>
              </w:rPr>
            </w:pPr>
            <w:r w:rsidRPr="004E6649">
              <w:rPr>
                <w:rFonts w:cstheme="minorHAnsi"/>
                <w:sz w:val="24"/>
                <w:szCs w:val="24"/>
              </w:rPr>
              <w:t>A Special Retirement Incentive Plan was offered to faculty age 62 with 10 full-time years of service or age 60 with 20 full-time consecutive years of service. In addition to a lump sum contribution to the 403(b) retirement plan, benefits included continuation of medical insurance coverage at the active employee rate for individuals not yet Medicare eligible, until reaching age 65 and/or becoming Medicare eligible, whichever is earlier.</w:t>
            </w:r>
          </w:p>
        </w:tc>
      </w:tr>
      <w:tr w:rsidR="001B6918" w:rsidRPr="004E6649" w14:paraId="6F0BD3B3" w14:textId="77777777" w:rsidTr="00730ECF">
        <w:trPr>
          <w:jc w:val="center"/>
        </w:trPr>
        <w:tc>
          <w:tcPr>
            <w:tcW w:w="900" w:type="dxa"/>
          </w:tcPr>
          <w:p w14:paraId="14C941D2" w14:textId="77777777" w:rsidR="001B6918" w:rsidRPr="004E6649" w:rsidRDefault="001B6918" w:rsidP="00730ECF">
            <w:pPr>
              <w:rPr>
                <w:rFonts w:cstheme="minorHAnsi"/>
                <w:sz w:val="24"/>
                <w:szCs w:val="24"/>
              </w:rPr>
            </w:pPr>
            <w:r w:rsidRPr="004E6649">
              <w:rPr>
                <w:rFonts w:cstheme="minorHAnsi"/>
                <w:sz w:val="24"/>
                <w:szCs w:val="24"/>
              </w:rPr>
              <w:t>2022:</w:t>
            </w:r>
          </w:p>
        </w:tc>
        <w:tc>
          <w:tcPr>
            <w:tcW w:w="9180" w:type="dxa"/>
          </w:tcPr>
          <w:p w14:paraId="07EECBC4" w14:textId="77777777" w:rsidR="001B6918" w:rsidRPr="004E6649" w:rsidRDefault="001B6918" w:rsidP="00730ECF">
            <w:pPr>
              <w:rPr>
                <w:rFonts w:cstheme="minorHAnsi"/>
                <w:sz w:val="24"/>
                <w:szCs w:val="24"/>
              </w:rPr>
            </w:pPr>
            <w:r w:rsidRPr="004E6649">
              <w:rPr>
                <w:rFonts w:cstheme="minorHAnsi"/>
                <w:sz w:val="24"/>
                <w:szCs w:val="24"/>
              </w:rPr>
              <w:t>None</w:t>
            </w:r>
          </w:p>
        </w:tc>
      </w:tr>
      <w:tr w:rsidR="001B6918" w:rsidRPr="004E6649" w14:paraId="10B19959" w14:textId="77777777" w:rsidTr="00730ECF">
        <w:trPr>
          <w:jc w:val="center"/>
        </w:trPr>
        <w:tc>
          <w:tcPr>
            <w:tcW w:w="900" w:type="dxa"/>
          </w:tcPr>
          <w:p w14:paraId="33C56E64" w14:textId="77777777" w:rsidR="001B6918" w:rsidRPr="004E6649" w:rsidRDefault="001B6918" w:rsidP="00730ECF">
            <w:pPr>
              <w:rPr>
                <w:rFonts w:cstheme="minorHAnsi"/>
                <w:sz w:val="24"/>
                <w:szCs w:val="24"/>
              </w:rPr>
            </w:pPr>
            <w:r w:rsidRPr="004E6649">
              <w:rPr>
                <w:rFonts w:cstheme="minorHAnsi"/>
                <w:sz w:val="24"/>
                <w:szCs w:val="24"/>
              </w:rPr>
              <w:t>2021:</w:t>
            </w:r>
          </w:p>
        </w:tc>
        <w:tc>
          <w:tcPr>
            <w:tcW w:w="9180" w:type="dxa"/>
          </w:tcPr>
          <w:p w14:paraId="3828CF9D" w14:textId="77777777" w:rsidR="001B6918" w:rsidRPr="004E6649" w:rsidRDefault="001B6918" w:rsidP="00730ECF">
            <w:pPr>
              <w:rPr>
                <w:rFonts w:cstheme="minorHAnsi"/>
                <w:sz w:val="24"/>
                <w:szCs w:val="24"/>
              </w:rPr>
            </w:pPr>
            <w:r w:rsidRPr="004E6649">
              <w:rPr>
                <w:rFonts w:cstheme="minorHAnsi"/>
                <w:sz w:val="24"/>
                <w:szCs w:val="24"/>
              </w:rPr>
              <w:t>Effective January 1, 2021 UMS offered a funded Health Reimbursement Account (HRA) through a retiree health exchange. Retirees can choose from various individual Medicare coverages or the UMS sponsored group coverage. The total OPEB liability decreased $51,219 from the prior year including changes of benefit terms of $49,469.</w:t>
            </w:r>
          </w:p>
        </w:tc>
      </w:tr>
    </w:tbl>
    <w:p w14:paraId="0854A09C" w14:textId="77777777" w:rsidR="001B6918" w:rsidRPr="004E6649" w:rsidRDefault="001B6918" w:rsidP="001B6918">
      <w:pPr>
        <w:ind w:left="720" w:hanging="720"/>
        <w:rPr>
          <w:rFonts w:cstheme="minorHAnsi"/>
          <w:sz w:val="24"/>
          <w:szCs w:val="24"/>
        </w:rPr>
      </w:pPr>
    </w:p>
    <w:p w14:paraId="31A239C5" w14:textId="77777777" w:rsidR="001B6918" w:rsidRPr="004E6649" w:rsidRDefault="001B6918" w:rsidP="001B6918">
      <w:pPr>
        <w:rPr>
          <w:rFonts w:cstheme="minorHAnsi"/>
          <w:sz w:val="24"/>
          <w:szCs w:val="20"/>
        </w:rPr>
      </w:pPr>
      <w:r w:rsidRPr="004E6649">
        <w:rPr>
          <w:rFonts w:cstheme="minorHAnsi"/>
          <w:i/>
          <w:sz w:val="24"/>
          <w:szCs w:val="20"/>
        </w:rPr>
        <w:t>Changes of assumptions</w:t>
      </w:r>
      <w:r w:rsidRPr="004E6649">
        <w:rPr>
          <w:rFonts w:cstheme="minorHAnsi"/>
          <w:sz w:val="24"/>
          <w:szCs w:val="20"/>
        </w:rPr>
        <w:t>:</w:t>
      </w:r>
    </w:p>
    <w:tbl>
      <w:tblPr>
        <w:tblStyle w:val="TableGrid"/>
        <w:tblW w:w="99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
        <w:gridCol w:w="9039"/>
      </w:tblGrid>
      <w:tr w:rsidR="001B6918" w:rsidRPr="004E6649" w14:paraId="3C9BBE2B" w14:textId="77777777" w:rsidTr="00730ECF">
        <w:trPr>
          <w:jc w:val="center"/>
        </w:trPr>
        <w:tc>
          <w:tcPr>
            <w:tcW w:w="900" w:type="dxa"/>
          </w:tcPr>
          <w:p w14:paraId="378EFDC7" w14:textId="77777777" w:rsidR="001B6918" w:rsidRDefault="001B6918" w:rsidP="00730ECF">
            <w:pPr>
              <w:rPr>
                <w:rFonts w:cstheme="minorHAnsi"/>
                <w:sz w:val="24"/>
                <w:szCs w:val="24"/>
              </w:rPr>
            </w:pPr>
            <w:r>
              <w:rPr>
                <w:rFonts w:cstheme="minorHAnsi"/>
                <w:sz w:val="24"/>
                <w:szCs w:val="24"/>
              </w:rPr>
              <w:t>2025:</w:t>
            </w:r>
          </w:p>
          <w:p w14:paraId="03AA9283" w14:textId="77777777" w:rsidR="001B6918" w:rsidRPr="004E6649" w:rsidRDefault="001B6918" w:rsidP="00730ECF">
            <w:pPr>
              <w:rPr>
                <w:rFonts w:cstheme="minorHAnsi"/>
                <w:sz w:val="24"/>
                <w:szCs w:val="24"/>
              </w:rPr>
            </w:pPr>
            <w:r>
              <w:rPr>
                <w:rFonts w:cstheme="minorHAnsi"/>
                <w:sz w:val="24"/>
                <w:szCs w:val="24"/>
              </w:rPr>
              <w:t>2024:</w:t>
            </w:r>
          </w:p>
        </w:tc>
        <w:tc>
          <w:tcPr>
            <w:tcW w:w="9180" w:type="dxa"/>
          </w:tcPr>
          <w:p w14:paraId="41C36F8D" w14:textId="77777777" w:rsidR="001B6918" w:rsidRDefault="001B6918" w:rsidP="00730ECF">
            <w:pPr>
              <w:rPr>
                <w:rFonts w:cstheme="minorHAnsi"/>
                <w:sz w:val="24"/>
                <w:szCs w:val="24"/>
              </w:rPr>
            </w:pPr>
            <w:r>
              <w:rPr>
                <w:rFonts w:cstheme="minorHAnsi"/>
                <w:sz w:val="24"/>
                <w:szCs w:val="24"/>
              </w:rPr>
              <w:t>Healthcare trend rates were updated in this valuation</w:t>
            </w:r>
          </w:p>
          <w:p w14:paraId="019B4466" w14:textId="77777777" w:rsidR="001B6918" w:rsidRPr="004E6649" w:rsidRDefault="001B6918" w:rsidP="00730ECF">
            <w:pPr>
              <w:rPr>
                <w:rFonts w:cstheme="minorHAnsi"/>
                <w:sz w:val="24"/>
                <w:szCs w:val="24"/>
              </w:rPr>
            </w:pPr>
            <w:r>
              <w:rPr>
                <w:rFonts w:cstheme="minorHAnsi"/>
                <w:sz w:val="24"/>
                <w:szCs w:val="24"/>
              </w:rPr>
              <w:t>None</w:t>
            </w:r>
          </w:p>
        </w:tc>
      </w:tr>
      <w:tr w:rsidR="001B6918" w:rsidRPr="004E6649" w14:paraId="6132BF5F" w14:textId="77777777" w:rsidTr="00730ECF">
        <w:trPr>
          <w:jc w:val="center"/>
        </w:trPr>
        <w:tc>
          <w:tcPr>
            <w:tcW w:w="900" w:type="dxa"/>
          </w:tcPr>
          <w:p w14:paraId="3DDB4B8B" w14:textId="77777777" w:rsidR="001B6918" w:rsidRPr="004E6649" w:rsidRDefault="001B6918" w:rsidP="00730ECF">
            <w:pPr>
              <w:rPr>
                <w:rFonts w:cstheme="minorHAnsi"/>
                <w:sz w:val="24"/>
                <w:szCs w:val="24"/>
              </w:rPr>
            </w:pPr>
            <w:r w:rsidRPr="004E6649">
              <w:rPr>
                <w:rFonts w:cstheme="minorHAnsi"/>
                <w:sz w:val="24"/>
                <w:szCs w:val="24"/>
              </w:rPr>
              <w:t>2023:</w:t>
            </w:r>
          </w:p>
        </w:tc>
        <w:tc>
          <w:tcPr>
            <w:tcW w:w="9180" w:type="dxa"/>
          </w:tcPr>
          <w:p w14:paraId="20EDE339" w14:textId="77777777" w:rsidR="001B6918" w:rsidRPr="004E6649" w:rsidRDefault="001B6918" w:rsidP="00730ECF">
            <w:pPr>
              <w:rPr>
                <w:rFonts w:cstheme="minorHAnsi"/>
                <w:sz w:val="24"/>
                <w:szCs w:val="24"/>
              </w:rPr>
            </w:pPr>
            <w:r w:rsidRPr="004E6649">
              <w:rPr>
                <w:rFonts w:cstheme="minorHAnsi"/>
                <w:sz w:val="24"/>
                <w:szCs w:val="24"/>
              </w:rPr>
              <w:t>The inflation assumption was increased from 2.2% per year to 2.5% per year, based on current economic data; analyses from economists and other experts, and professional judgement. The medical trend rates were increased in the short term to reflect expected future increases in the Cigna group plans and updated to the recent Getzen trend rates reflecting the adjusted inflation rate. The medical trend rates were reduced for the Aetna Medicare Advantage plan to reflect plan design changes that have impacted the premium rates. Mortality improvement scales were updated to the MP-2021 tables.</w:t>
            </w:r>
          </w:p>
        </w:tc>
      </w:tr>
      <w:tr w:rsidR="001B6918" w:rsidRPr="004E6649" w14:paraId="23FF192C" w14:textId="77777777" w:rsidTr="00730ECF">
        <w:trPr>
          <w:jc w:val="center"/>
        </w:trPr>
        <w:tc>
          <w:tcPr>
            <w:tcW w:w="900" w:type="dxa"/>
          </w:tcPr>
          <w:p w14:paraId="72E48C28" w14:textId="77777777" w:rsidR="001B6918" w:rsidRPr="004E6649" w:rsidRDefault="001B6918" w:rsidP="00730ECF">
            <w:pPr>
              <w:rPr>
                <w:rFonts w:cstheme="minorHAnsi"/>
                <w:sz w:val="24"/>
                <w:szCs w:val="24"/>
              </w:rPr>
            </w:pPr>
            <w:r w:rsidRPr="004E6649">
              <w:rPr>
                <w:rFonts w:cstheme="minorHAnsi"/>
                <w:sz w:val="24"/>
                <w:szCs w:val="24"/>
              </w:rPr>
              <w:t>2022:</w:t>
            </w:r>
          </w:p>
        </w:tc>
        <w:tc>
          <w:tcPr>
            <w:tcW w:w="9180" w:type="dxa"/>
          </w:tcPr>
          <w:p w14:paraId="44E1C2E8" w14:textId="77777777" w:rsidR="001B6918" w:rsidRPr="004E6649" w:rsidRDefault="001B6918" w:rsidP="00730ECF">
            <w:pPr>
              <w:rPr>
                <w:rFonts w:cstheme="minorHAnsi"/>
                <w:sz w:val="24"/>
                <w:szCs w:val="24"/>
              </w:rPr>
            </w:pPr>
            <w:r w:rsidRPr="004E6649">
              <w:rPr>
                <w:rFonts w:cstheme="minorHAnsi"/>
                <w:sz w:val="24"/>
                <w:szCs w:val="24"/>
              </w:rPr>
              <w:t>The amortization method was changed from the level dollar amount over 30 years on a closed period to level dollar amount over 30 years on an open amortization period. The amortization period was reset at 30 years starting in FY23.</w:t>
            </w:r>
          </w:p>
        </w:tc>
      </w:tr>
      <w:tr w:rsidR="001B6918" w:rsidRPr="004E6649" w14:paraId="58BA4F0B" w14:textId="77777777" w:rsidTr="00730ECF">
        <w:trPr>
          <w:jc w:val="center"/>
        </w:trPr>
        <w:tc>
          <w:tcPr>
            <w:tcW w:w="900" w:type="dxa"/>
          </w:tcPr>
          <w:p w14:paraId="0C756D20" w14:textId="77777777" w:rsidR="001B6918" w:rsidRPr="004E6649" w:rsidRDefault="001B6918" w:rsidP="00730ECF">
            <w:pPr>
              <w:rPr>
                <w:rFonts w:cstheme="minorHAnsi"/>
                <w:sz w:val="24"/>
                <w:szCs w:val="24"/>
              </w:rPr>
            </w:pPr>
            <w:r w:rsidRPr="004E6649">
              <w:rPr>
                <w:rFonts w:cstheme="minorHAnsi"/>
                <w:sz w:val="24"/>
                <w:szCs w:val="24"/>
              </w:rPr>
              <w:t>2021:</w:t>
            </w:r>
          </w:p>
        </w:tc>
        <w:tc>
          <w:tcPr>
            <w:tcW w:w="9180" w:type="dxa"/>
          </w:tcPr>
          <w:p w14:paraId="0FE82AB0" w14:textId="77777777" w:rsidR="001B6918" w:rsidRPr="004E6649" w:rsidRDefault="001B6918" w:rsidP="00730ECF">
            <w:pPr>
              <w:rPr>
                <w:rFonts w:cstheme="minorHAnsi"/>
                <w:sz w:val="24"/>
                <w:szCs w:val="24"/>
              </w:rPr>
            </w:pPr>
            <w:r w:rsidRPr="004E6649">
              <w:rPr>
                <w:rFonts w:eastAsia="Franklin Gothic Book" w:cstheme="minorHAnsi"/>
                <w:spacing w:val="-1"/>
                <w:sz w:val="24"/>
                <w:szCs w:val="24"/>
              </w:rPr>
              <w:t>Th</w:t>
            </w:r>
            <w:r w:rsidRPr="004E6649">
              <w:rPr>
                <w:rFonts w:cstheme="minorHAnsi"/>
                <w:sz w:val="24"/>
                <w:szCs w:val="24"/>
              </w:rPr>
              <w:t>e mortality tables were updated to the Pub-2010 amount-weighted mortality tables with scale MP-2020. The health care cost rate was updated to reflect more recent trends. The inflation rate was changed from 2.4% to 2.2%.</w:t>
            </w:r>
          </w:p>
        </w:tc>
      </w:tr>
      <w:tr w:rsidR="001B6918" w:rsidRPr="004E6649" w14:paraId="6A93156F" w14:textId="77777777" w:rsidTr="00730ECF">
        <w:trPr>
          <w:jc w:val="center"/>
        </w:trPr>
        <w:tc>
          <w:tcPr>
            <w:tcW w:w="900" w:type="dxa"/>
          </w:tcPr>
          <w:p w14:paraId="7E77402B" w14:textId="77777777" w:rsidR="001B6918" w:rsidRPr="004E6649" w:rsidRDefault="001B6918" w:rsidP="00730ECF">
            <w:pPr>
              <w:rPr>
                <w:rFonts w:cstheme="minorHAnsi"/>
                <w:sz w:val="24"/>
                <w:szCs w:val="24"/>
              </w:rPr>
            </w:pPr>
            <w:r w:rsidRPr="004E6649">
              <w:rPr>
                <w:rFonts w:cstheme="minorHAnsi"/>
                <w:sz w:val="24"/>
                <w:szCs w:val="24"/>
              </w:rPr>
              <w:t>2020:</w:t>
            </w:r>
          </w:p>
        </w:tc>
        <w:tc>
          <w:tcPr>
            <w:tcW w:w="9180" w:type="dxa"/>
          </w:tcPr>
          <w:p w14:paraId="3FE5B665" w14:textId="77777777" w:rsidR="001B6918" w:rsidRPr="004E6649" w:rsidRDefault="001B6918" w:rsidP="00730ECF">
            <w:pPr>
              <w:rPr>
                <w:rFonts w:cstheme="minorHAnsi"/>
                <w:sz w:val="24"/>
                <w:szCs w:val="24"/>
              </w:rPr>
            </w:pPr>
            <w:r w:rsidRPr="004E6649">
              <w:rPr>
                <w:rFonts w:cstheme="minorHAnsi"/>
                <w:sz w:val="24"/>
                <w:szCs w:val="20"/>
              </w:rPr>
              <w:t>The investment rate of return/discount rate was changed from 7.5% to 7.25%</w:t>
            </w:r>
          </w:p>
        </w:tc>
      </w:tr>
      <w:tr w:rsidR="001B6918" w:rsidRPr="004E6649" w14:paraId="3599B278" w14:textId="77777777" w:rsidTr="00730ECF">
        <w:trPr>
          <w:jc w:val="center"/>
        </w:trPr>
        <w:tc>
          <w:tcPr>
            <w:tcW w:w="900" w:type="dxa"/>
          </w:tcPr>
          <w:p w14:paraId="27AA2DE0" w14:textId="77777777" w:rsidR="001B6918" w:rsidRPr="004E6649" w:rsidRDefault="001B6918" w:rsidP="00730ECF">
            <w:pPr>
              <w:rPr>
                <w:rFonts w:cstheme="minorHAnsi"/>
                <w:sz w:val="24"/>
                <w:szCs w:val="24"/>
              </w:rPr>
            </w:pPr>
            <w:r w:rsidRPr="004E6649">
              <w:rPr>
                <w:rFonts w:cstheme="minorHAnsi"/>
                <w:sz w:val="24"/>
                <w:szCs w:val="24"/>
              </w:rPr>
              <w:t>2019:</w:t>
            </w:r>
          </w:p>
        </w:tc>
        <w:tc>
          <w:tcPr>
            <w:tcW w:w="9180" w:type="dxa"/>
          </w:tcPr>
          <w:p w14:paraId="46AEA917" w14:textId="77777777" w:rsidR="001B6918" w:rsidRPr="004E6649" w:rsidRDefault="001B6918" w:rsidP="00730ECF">
            <w:pPr>
              <w:rPr>
                <w:rFonts w:cstheme="minorHAnsi"/>
                <w:sz w:val="24"/>
                <w:szCs w:val="24"/>
              </w:rPr>
            </w:pPr>
            <w:r w:rsidRPr="004E6649">
              <w:rPr>
                <w:rFonts w:cstheme="minorHAnsi"/>
                <w:sz w:val="24"/>
                <w:szCs w:val="24"/>
              </w:rPr>
              <w:t>The mortality tables were updated to reflect more recent mortality tables and generational mortality improvement. The health care cost rate was updated to reflect more recent trends.</w:t>
            </w:r>
          </w:p>
        </w:tc>
      </w:tr>
      <w:tr w:rsidR="001B6918" w:rsidRPr="004E6649" w14:paraId="10E41507" w14:textId="77777777" w:rsidTr="00730ECF">
        <w:trPr>
          <w:jc w:val="center"/>
        </w:trPr>
        <w:tc>
          <w:tcPr>
            <w:tcW w:w="900" w:type="dxa"/>
          </w:tcPr>
          <w:p w14:paraId="64607AA3" w14:textId="77777777" w:rsidR="001B6918" w:rsidRPr="004E6649" w:rsidRDefault="001B6918" w:rsidP="00730ECF">
            <w:pPr>
              <w:rPr>
                <w:rFonts w:cstheme="minorHAnsi"/>
                <w:sz w:val="24"/>
                <w:szCs w:val="24"/>
              </w:rPr>
            </w:pPr>
            <w:r w:rsidRPr="004E6649">
              <w:rPr>
                <w:rFonts w:cstheme="minorHAnsi"/>
                <w:sz w:val="24"/>
                <w:szCs w:val="24"/>
              </w:rPr>
              <w:t>2018:</w:t>
            </w:r>
          </w:p>
        </w:tc>
        <w:tc>
          <w:tcPr>
            <w:tcW w:w="9180" w:type="dxa"/>
          </w:tcPr>
          <w:p w14:paraId="644D9F45" w14:textId="77777777" w:rsidR="001B6918" w:rsidRPr="0064559A" w:rsidRDefault="001B6918" w:rsidP="00730ECF">
            <w:pPr>
              <w:rPr>
                <w:rFonts w:cstheme="minorHAnsi"/>
                <w:sz w:val="24"/>
                <w:szCs w:val="24"/>
              </w:rPr>
            </w:pPr>
            <w:r w:rsidRPr="002C0944">
              <w:rPr>
                <w:rFonts w:cstheme="minorHAnsi"/>
                <w:sz w:val="24"/>
                <w:szCs w:val="20"/>
              </w:rPr>
              <w:t>None</w:t>
            </w:r>
          </w:p>
        </w:tc>
      </w:tr>
      <w:tr w:rsidR="001B6918" w:rsidRPr="004E6649" w14:paraId="5B28B8C1" w14:textId="77777777" w:rsidTr="00730ECF">
        <w:trPr>
          <w:jc w:val="center"/>
        </w:trPr>
        <w:tc>
          <w:tcPr>
            <w:tcW w:w="900" w:type="dxa"/>
          </w:tcPr>
          <w:p w14:paraId="190763CB" w14:textId="77777777" w:rsidR="001B6918" w:rsidRPr="004E6649" w:rsidRDefault="001B6918" w:rsidP="00730ECF">
            <w:pPr>
              <w:rPr>
                <w:rFonts w:cstheme="minorHAnsi"/>
                <w:sz w:val="24"/>
                <w:szCs w:val="24"/>
              </w:rPr>
            </w:pPr>
            <w:r w:rsidRPr="004E6649">
              <w:rPr>
                <w:rFonts w:cstheme="minorHAnsi"/>
                <w:sz w:val="24"/>
                <w:szCs w:val="24"/>
              </w:rPr>
              <w:t>2017:</w:t>
            </w:r>
          </w:p>
        </w:tc>
        <w:tc>
          <w:tcPr>
            <w:tcW w:w="9180" w:type="dxa"/>
          </w:tcPr>
          <w:p w14:paraId="4B8C29B4" w14:textId="77777777" w:rsidR="001B6918" w:rsidRPr="004E6649" w:rsidRDefault="001B6918" w:rsidP="00730ECF">
            <w:pPr>
              <w:rPr>
                <w:rFonts w:cstheme="minorHAnsi"/>
                <w:sz w:val="24"/>
                <w:szCs w:val="24"/>
              </w:rPr>
            </w:pPr>
            <w:r w:rsidRPr="004E6649">
              <w:rPr>
                <w:rFonts w:cstheme="minorHAnsi"/>
                <w:sz w:val="24"/>
                <w:szCs w:val="20"/>
              </w:rPr>
              <w:t>The investment rate of return/discount rate was changed from 7.75% to 7.5% and the actuarial funding method was changed from Projected Unit Credit to Entry Age Normal.</w:t>
            </w:r>
          </w:p>
        </w:tc>
      </w:tr>
    </w:tbl>
    <w:p w14:paraId="4444A033" w14:textId="77777777" w:rsidR="001B6918" w:rsidRPr="004E6649" w:rsidRDefault="001B6918" w:rsidP="001B6918">
      <w:pPr>
        <w:spacing w:after="160" w:line="259" w:lineRule="auto"/>
        <w:rPr>
          <w:rFonts w:eastAsiaTheme="majorEastAsia" w:cstheme="minorHAnsi"/>
          <w:b/>
          <w:i/>
          <w:iCs/>
          <w:smallCaps/>
          <w:noProof/>
          <w:color w:val="000000" w:themeColor="text1"/>
          <w:szCs w:val="24"/>
          <w:u w:color="5B9BD5"/>
        </w:rPr>
      </w:pPr>
      <w:r w:rsidRPr="004E6649">
        <w:rPr>
          <w:rFonts w:eastAsiaTheme="majorEastAsia" w:cstheme="minorHAnsi"/>
          <w:b/>
          <w:i/>
          <w:iCs/>
          <w:smallCaps/>
          <w:noProof/>
          <w:color w:val="000000" w:themeColor="text1"/>
          <w:szCs w:val="24"/>
          <w:u w:color="5B9BD5"/>
        </w:rPr>
        <w:br w:type="page"/>
      </w:r>
    </w:p>
    <w:p w14:paraId="17C2A76F" w14:textId="77777777" w:rsidR="001B6918" w:rsidRPr="009E4423" w:rsidRDefault="001B6918" w:rsidP="001B6918">
      <w:pPr>
        <w:spacing w:after="160"/>
        <w:rPr>
          <w:rFonts w:eastAsiaTheme="majorEastAsia" w:cstheme="minorHAnsi"/>
          <w:b/>
          <w:i/>
          <w:iCs/>
          <w:smallCaps/>
          <w:noProof/>
          <w:color w:val="000000" w:themeColor="text1"/>
          <w:sz w:val="24"/>
          <w:szCs w:val="28"/>
          <w:u w:color="5B9BD5"/>
        </w:rPr>
      </w:pPr>
      <w:r w:rsidRPr="009E4423">
        <w:rPr>
          <w:rFonts w:eastAsiaTheme="majorEastAsia" w:cstheme="minorHAnsi"/>
          <w:b/>
          <w:i/>
          <w:iCs/>
          <w:smallCaps/>
          <w:noProof/>
          <w:color w:val="000000" w:themeColor="text1"/>
          <w:sz w:val="24"/>
          <w:szCs w:val="28"/>
          <w:u w:color="5B9BD5"/>
        </w:rPr>
        <w:lastRenderedPageBreak/>
        <w:fldChar w:fldCharType="begin"/>
      </w:r>
      <w:r w:rsidRPr="009E4423">
        <w:rPr>
          <w:rFonts w:eastAsiaTheme="majorEastAsia" w:cstheme="minorHAnsi"/>
          <w:b/>
          <w:i/>
          <w:iCs/>
          <w:smallCaps/>
          <w:noProof/>
          <w:color w:val="000000" w:themeColor="text1"/>
          <w:sz w:val="24"/>
          <w:szCs w:val="28"/>
          <w:u w:color="5B9BD5"/>
        </w:rPr>
        <w:fldChar w:fldCharType="end"/>
      </w:r>
      <w:r w:rsidRPr="00453556">
        <w:rPr>
          <w:rFonts w:eastAsiaTheme="majorEastAsia" w:cstheme="minorHAnsi"/>
          <w:b/>
          <w:i/>
          <w:iCs/>
          <w:smallCaps/>
          <w:noProof/>
          <w:color w:val="000000" w:themeColor="text1"/>
          <w:sz w:val="24"/>
          <w:szCs w:val="28"/>
          <w:u w:color="5B9BD5"/>
        </w:rPr>
        <w:t>OPEB PLAN - CONTINUED:</w:t>
      </w:r>
    </w:p>
    <w:p w14:paraId="219E1E2D" w14:textId="77777777" w:rsidR="001B6918" w:rsidRPr="004E6649" w:rsidRDefault="001B6918" w:rsidP="001B6918">
      <w:pPr>
        <w:rPr>
          <w:rFonts w:cstheme="minorHAnsi"/>
          <w:i/>
          <w:sz w:val="24"/>
          <w:szCs w:val="24"/>
        </w:rPr>
      </w:pPr>
      <w:r w:rsidRPr="004E6649">
        <w:rPr>
          <w:rFonts w:cstheme="minorHAnsi"/>
          <w:i/>
          <w:sz w:val="24"/>
          <w:szCs w:val="24"/>
        </w:rPr>
        <w:t>Methods and assumptions used in calculations of actuarially determined contributions:</w:t>
      </w:r>
    </w:p>
    <w:p w14:paraId="49F85773" w14:textId="77777777" w:rsidR="001B6918" w:rsidRPr="004E6649" w:rsidRDefault="001B6918" w:rsidP="001B6918">
      <w:pPr>
        <w:spacing w:after="160"/>
        <w:rPr>
          <w:rFonts w:cstheme="minorHAnsi"/>
          <w:sz w:val="24"/>
          <w:szCs w:val="20"/>
        </w:rPr>
      </w:pPr>
      <w:r w:rsidRPr="004E6649">
        <w:rPr>
          <w:rFonts w:cstheme="minorHAnsi"/>
          <w:sz w:val="24"/>
          <w:szCs w:val="20"/>
        </w:rPr>
        <w:t xml:space="preserve">The actuarially determined contributions in the schedule of employers' contributions are calculated as of July 1, one year prior to the end of the fiscal year in which contributions are reported. The following actuarial methods and assumptions were used to determine contributions reported in that schedule: </w:t>
      </w:r>
    </w:p>
    <w:tbl>
      <w:tblPr>
        <w:tblStyle w:val="TableGrid2"/>
        <w:tblW w:w="538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Description w:val="Actuarial cost method since 2017 has been entry age normal.  Amortization method changed from level dollar amount over 30 years on a closed amortization period in 2017 &amp; 2018 to 28 years in 2019.  Asset valuation method is market value.  Inflation decreased from 3% per year in 2017 and 2018 to 2.6% in 2019.  Healthcare cost trend rate has changed from 8% decreasing 1% per year to an ultimate rate of 5% for 2020 and later years to 8% decreasing 0.5% per year to 5.5%, then grading down to an ultimate trend rate of 3.9% with the ultimate medical inflation rate reached in 2075.  The investment rate of return/discount rate has remained 7.5% net of OPEB plan investment expenses, including inflation since 2017."/>
      </w:tblPr>
      <w:tblGrid>
        <w:gridCol w:w="2611"/>
        <w:gridCol w:w="8098"/>
      </w:tblGrid>
      <w:tr w:rsidR="001B6918" w:rsidRPr="004E6649" w14:paraId="7A25B21D" w14:textId="77777777" w:rsidTr="00730ECF">
        <w:trPr>
          <w:trHeight w:val="246"/>
          <w:jc w:val="center"/>
        </w:trPr>
        <w:tc>
          <w:tcPr>
            <w:tcW w:w="1219" w:type="pct"/>
          </w:tcPr>
          <w:p w14:paraId="573FABF8" w14:textId="77777777" w:rsidR="001B6918" w:rsidRPr="004E6649" w:rsidRDefault="001B6918" w:rsidP="00730ECF">
            <w:pPr>
              <w:widowControl w:val="0"/>
              <w:rPr>
                <w:rFonts w:cstheme="minorHAnsi"/>
                <w:sz w:val="24"/>
                <w:szCs w:val="20"/>
              </w:rPr>
            </w:pPr>
            <w:r w:rsidRPr="004E6649">
              <w:rPr>
                <w:rFonts w:eastAsia="Franklin Gothic Book" w:cstheme="minorHAnsi"/>
                <w:spacing w:val="-2"/>
                <w:sz w:val="24"/>
              </w:rPr>
              <w:t>A</w:t>
            </w:r>
            <w:r w:rsidRPr="004E6649">
              <w:rPr>
                <w:rFonts w:eastAsia="Franklin Gothic Book" w:cstheme="minorHAnsi"/>
                <w:sz w:val="24"/>
              </w:rPr>
              <w:t>ctua</w:t>
            </w:r>
            <w:r w:rsidRPr="004E6649">
              <w:rPr>
                <w:rFonts w:eastAsia="Franklin Gothic Book" w:cstheme="minorHAnsi"/>
                <w:spacing w:val="-1"/>
                <w:sz w:val="24"/>
              </w:rPr>
              <w:t>r</w:t>
            </w:r>
            <w:r w:rsidRPr="004E6649">
              <w:rPr>
                <w:rFonts w:eastAsia="Franklin Gothic Book" w:cstheme="minorHAnsi"/>
                <w:sz w:val="24"/>
              </w:rPr>
              <w:t>ial</w:t>
            </w:r>
            <w:r w:rsidRPr="004E6649">
              <w:rPr>
                <w:rFonts w:eastAsia="Franklin Gothic Book" w:cstheme="minorHAnsi"/>
                <w:spacing w:val="-2"/>
                <w:sz w:val="24"/>
              </w:rPr>
              <w:t xml:space="preserve"> </w:t>
            </w:r>
            <w:r w:rsidRPr="004E6649">
              <w:rPr>
                <w:rFonts w:eastAsia="Franklin Gothic Book" w:cstheme="minorHAnsi"/>
                <w:spacing w:val="1"/>
                <w:sz w:val="24"/>
              </w:rPr>
              <w:t>c</w:t>
            </w:r>
            <w:r w:rsidRPr="004E6649">
              <w:rPr>
                <w:rFonts w:eastAsia="Franklin Gothic Book" w:cstheme="minorHAnsi"/>
                <w:sz w:val="24"/>
              </w:rPr>
              <w:t>ost method</w:t>
            </w:r>
          </w:p>
        </w:tc>
        <w:tc>
          <w:tcPr>
            <w:tcW w:w="3781" w:type="pct"/>
          </w:tcPr>
          <w:p w14:paraId="40B53717" w14:textId="77777777" w:rsidR="001B6918" w:rsidRPr="004E6649" w:rsidRDefault="001B6918" w:rsidP="00730ECF">
            <w:pPr>
              <w:widowControl w:val="0"/>
              <w:rPr>
                <w:rFonts w:eastAsia="Franklin Gothic Book" w:cstheme="minorHAnsi"/>
                <w:sz w:val="24"/>
              </w:rPr>
            </w:pPr>
            <w:r w:rsidRPr="004E6649">
              <w:rPr>
                <w:rFonts w:eastAsia="Franklin Gothic Book" w:cstheme="minorHAnsi"/>
                <w:spacing w:val="-2"/>
                <w:sz w:val="24"/>
              </w:rPr>
              <w:t xml:space="preserve">2017 </w:t>
            </w:r>
            <w:r w:rsidRPr="007D3E85">
              <w:rPr>
                <w:rFonts w:eastAsia="Franklin Gothic Book" w:cstheme="minorHAnsi"/>
                <w:spacing w:val="-2"/>
                <w:sz w:val="24"/>
              </w:rPr>
              <w:t>to 202</w:t>
            </w:r>
            <w:r w:rsidRPr="003E524C">
              <w:rPr>
                <w:rFonts w:eastAsia="Franklin Gothic Book" w:cstheme="minorHAnsi"/>
                <w:spacing w:val="-2"/>
                <w:sz w:val="24"/>
              </w:rPr>
              <w:t>5</w:t>
            </w:r>
            <w:r w:rsidRPr="007D3E85">
              <w:rPr>
                <w:rFonts w:eastAsia="Franklin Gothic Book" w:cstheme="minorHAnsi"/>
                <w:spacing w:val="-2"/>
                <w:sz w:val="24"/>
              </w:rPr>
              <w:t>: E</w:t>
            </w:r>
            <w:r w:rsidRPr="007D3E85">
              <w:rPr>
                <w:rFonts w:eastAsia="Franklin Gothic Book" w:cstheme="minorHAnsi"/>
                <w:sz w:val="24"/>
              </w:rPr>
              <w:t>nt</w:t>
            </w:r>
            <w:r w:rsidRPr="007D3E85">
              <w:rPr>
                <w:rFonts w:eastAsia="Franklin Gothic Book" w:cstheme="minorHAnsi"/>
                <w:spacing w:val="-1"/>
                <w:sz w:val="24"/>
              </w:rPr>
              <w:t>r</w:t>
            </w:r>
            <w:r w:rsidRPr="007D3E85">
              <w:rPr>
                <w:rFonts w:eastAsia="Franklin Gothic Book" w:cstheme="minorHAnsi"/>
                <w:sz w:val="24"/>
              </w:rPr>
              <w:t>y</w:t>
            </w:r>
            <w:r w:rsidRPr="007D3E85">
              <w:rPr>
                <w:rFonts w:eastAsia="Franklin Gothic Book" w:cstheme="minorHAnsi"/>
                <w:spacing w:val="-8"/>
                <w:sz w:val="24"/>
              </w:rPr>
              <w:t xml:space="preserve"> </w:t>
            </w:r>
            <w:r w:rsidRPr="004E6649">
              <w:rPr>
                <w:rFonts w:eastAsia="Franklin Gothic Book" w:cstheme="minorHAnsi"/>
                <w:spacing w:val="-8"/>
                <w:sz w:val="24"/>
              </w:rPr>
              <w:t>a</w:t>
            </w:r>
            <w:r w:rsidRPr="004E6649">
              <w:rPr>
                <w:rFonts w:eastAsia="Franklin Gothic Book" w:cstheme="minorHAnsi"/>
                <w:sz w:val="24"/>
              </w:rPr>
              <w:t>ge</w:t>
            </w:r>
            <w:r w:rsidRPr="004E6649">
              <w:rPr>
                <w:rFonts w:eastAsia="Franklin Gothic Book" w:cstheme="minorHAnsi"/>
                <w:spacing w:val="-6"/>
                <w:sz w:val="24"/>
              </w:rPr>
              <w:t xml:space="preserve"> n</w:t>
            </w:r>
            <w:r w:rsidRPr="004E6649">
              <w:rPr>
                <w:rFonts w:eastAsia="Franklin Gothic Book" w:cstheme="minorHAnsi"/>
                <w:sz w:val="24"/>
              </w:rPr>
              <w:t>o</w:t>
            </w:r>
            <w:r w:rsidRPr="004E6649">
              <w:rPr>
                <w:rFonts w:eastAsia="Franklin Gothic Book" w:cstheme="minorHAnsi"/>
                <w:spacing w:val="-2"/>
                <w:sz w:val="24"/>
              </w:rPr>
              <w:t>r</w:t>
            </w:r>
            <w:r w:rsidRPr="004E6649">
              <w:rPr>
                <w:rFonts w:eastAsia="Franklin Gothic Book" w:cstheme="minorHAnsi"/>
                <w:sz w:val="24"/>
              </w:rPr>
              <w:t>mal</w:t>
            </w:r>
          </w:p>
          <w:p w14:paraId="030F39B6" w14:textId="77777777" w:rsidR="001B6918" w:rsidRPr="004E6649" w:rsidRDefault="001B6918" w:rsidP="00730ECF">
            <w:pPr>
              <w:widowControl w:val="0"/>
              <w:rPr>
                <w:rFonts w:eastAsia="Franklin Gothic Book" w:cstheme="minorHAnsi"/>
                <w:spacing w:val="-2"/>
                <w:sz w:val="16"/>
                <w:szCs w:val="16"/>
                <w:highlight w:val="yellow"/>
              </w:rPr>
            </w:pPr>
            <w:r w:rsidRPr="004E6649">
              <w:rPr>
                <w:rFonts w:eastAsia="Franklin Gothic Book" w:cstheme="minorHAnsi"/>
                <w:sz w:val="24"/>
              </w:rPr>
              <w:t>2016: Projected Unit Credit</w:t>
            </w:r>
          </w:p>
        </w:tc>
      </w:tr>
      <w:tr w:rsidR="001B6918" w:rsidRPr="004E6649" w14:paraId="1AECBB2F" w14:textId="77777777" w:rsidTr="00730ECF">
        <w:trPr>
          <w:trHeight w:val="246"/>
          <w:jc w:val="center"/>
        </w:trPr>
        <w:tc>
          <w:tcPr>
            <w:tcW w:w="1219" w:type="pct"/>
          </w:tcPr>
          <w:p w14:paraId="132EE8D1" w14:textId="77777777" w:rsidR="001B6918" w:rsidRPr="004E6649" w:rsidRDefault="001B6918" w:rsidP="00730ECF">
            <w:pPr>
              <w:widowControl w:val="0"/>
              <w:rPr>
                <w:rFonts w:eastAsia="Franklin Gothic Book" w:cstheme="minorHAnsi"/>
                <w:spacing w:val="-2"/>
                <w:sz w:val="24"/>
              </w:rPr>
            </w:pPr>
            <w:r w:rsidRPr="004E6649">
              <w:rPr>
                <w:rFonts w:eastAsia="Franklin Gothic Book" w:cstheme="minorHAnsi"/>
                <w:spacing w:val="-2"/>
                <w:sz w:val="24"/>
              </w:rPr>
              <w:t>Amortization method</w:t>
            </w:r>
          </w:p>
        </w:tc>
        <w:tc>
          <w:tcPr>
            <w:tcW w:w="3781" w:type="pct"/>
          </w:tcPr>
          <w:p w14:paraId="09A66216" w14:textId="77777777" w:rsidR="001B6918" w:rsidRPr="003E524C" w:rsidRDefault="001B6918" w:rsidP="00730ECF">
            <w:pPr>
              <w:widowControl w:val="0"/>
              <w:rPr>
                <w:rFonts w:eastAsia="Franklin Gothic Book" w:cstheme="minorHAnsi"/>
                <w:sz w:val="24"/>
              </w:rPr>
            </w:pPr>
            <w:r w:rsidRPr="007D3E85">
              <w:rPr>
                <w:rFonts w:eastAsia="Franklin Gothic Book" w:cstheme="minorHAnsi"/>
                <w:sz w:val="24"/>
              </w:rPr>
              <w:t>2025</w:t>
            </w:r>
            <w:r w:rsidRPr="003E524C">
              <w:rPr>
                <w:rFonts w:eastAsia="Franklin Gothic Book" w:cstheme="minorHAnsi"/>
                <w:sz w:val="24"/>
              </w:rPr>
              <w:t>: Level dollar amount over 30 years on an open amortization period for</w:t>
            </w:r>
          </w:p>
          <w:p w14:paraId="4F0D9665" w14:textId="77777777" w:rsidR="001B6918" w:rsidRPr="007D3E85" w:rsidRDefault="001B6918" w:rsidP="00730ECF">
            <w:pPr>
              <w:widowControl w:val="0"/>
              <w:rPr>
                <w:rFonts w:eastAsia="Franklin Gothic Book" w:cstheme="minorHAnsi"/>
                <w:sz w:val="24"/>
              </w:rPr>
            </w:pPr>
            <w:r w:rsidRPr="003E524C">
              <w:rPr>
                <w:rFonts w:eastAsia="Franklin Gothic Book" w:cstheme="minorHAnsi"/>
                <w:sz w:val="24"/>
              </w:rPr>
              <w:t>development of the Actuarially Determined Contribution. The amortization period was reset at 30 years starting in fiscal year 2023. Previously, based on a closed amortization period of 30 years starting in 2017.</w:t>
            </w:r>
            <w:r w:rsidRPr="007D3E85">
              <w:t xml:space="preserve"> </w:t>
            </w:r>
            <w:r w:rsidRPr="003E524C">
              <w:rPr>
                <w:rFonts w:eastAsia="Franklin Gothic Book" w:cstheme="minorHAnsi"/>
                <w:sz w:val="24"/>
              </w:rPr>
              <w:t>Pursuant to Section 5 of the UMS OPEB Funding Policy adopted October 7, 2022 and updated December 19, 2023, when the OPEB Plan funded status, which equals the market value of assets divided by the Total OPEB Liability, is greater than 100% but less than 130%, UMS will contribute a modified ADEC, determined without regard to the surplus assets.</w:t>
            </w:r>
          </w:p>
          <w:p w14:paraId="574F8791" w14:textId="77777777" w:rsidR="001B6918" w:rsidRDefault="001B6918" w:rsidP="00730ECF">
            <w:pPr>
              <w:widowControl w:val="0"/>
              <w:rPr>
                <w:rFonts w:eastAsia="Franklin Gothic Book" w:cstheme="minorHAnsi"/>
                <w:sz w:val="24"/>
              </w:rPr>
            </w:pPr>
            <w:r>
              <w:rPr>
                <w:rFonts w:eastAsia="Franklin Gothic Book" w:cstheme="minorHAnsi"/>
                <w:sz w:val="24"/>
              </w:rPr>
              <w:t>2024: Level dollar amount over 30 years on an open amortization period. Pursuant to Section 5 of the UMS OPEB Funding Policy adopted October 7, 2022 and updated December 19, 2023, when the OPEB Plan funded status, which equals the market value of assets divided by the Total OPEB Liability is greater than 100% but less than 130%, UMS will contribute a modified ADEC, determined without regard to the surplus assets.</w:t>
            </w:r>
          </w:p>
          <w:p w14:paraId="2110AE94" w14:textId="77777777" w:rsidR="001B6918" w:rsidRPr="004E6649" w:rsidRDefault="001B6918" w:rsidP="00730ECF">
            <w:pPr>
              <w:widowControl w:val="0"/>
              <w:rPr>
                <w:rFonts w:eastAsia="Franklin Gothic Book" w:cstheme="minorHAnsi"/>
                <w:sz w:val="24"/>
              </w:rPr>
            </w:pPr>
            <w:r w:rsidRPr="004E6649">
              <w:rPr>
                <w:rFonts w:eastAsia="Franklin Gothic Book" w:cstheme="minorHAnsi"/>
                <w:sz w:val="24"/>
              </w:rPr>
              <w:t>2023: Level dollar amount over 30 years on an open amortization period. Pursuant to Section 5 of the UMS OPEB Funding Policy adopted October 7, 2022, when the OPEB Plan funded status, which equals the market value of assets divided by the Total OPEB Liability, is greater than 100% but less than 130%, UMS will contribute a modified actuarially determined employer contribution, determined without regard to the surplus assets.</w:t>
            </w:r>
          </w:p>
          <w:p w14:paraId="180622A2" w14:textId="77777777" w:rsidR="001B6918" w:rsidRPr="004E6649" w:rsidRDefault="001B6918" w:rsidP="00730ECF">
            <w:pPr>
              <w:widowControl w:val="0"/>
              <w:rPr>
                <w:rFonts w:eastAsia="Franklin Gothic Book" w:cstheme="minorHAnsi"/>
                <w:sz w:val="24"/>
              </w:rPr>
            </w:pPr>
            <w:r w:rsidRPr="004E6649">
              <w:rPr>
                <w:rFonts w:eastAsia="Franklin Gothic Book" w:cstheme="minorHAnsi"/>
                <w:sz w:val="24"/>
              </w:rPr>
              <w:t>2022: Level dollar amount over 30 years on an open amortization period</w:t>
            </w:r>
            <w:r w:rsidRPr="004E6649" w:rsidDel="008F45FE">
              <w:rPr>
                <w:rFonts w:eastAsia="Franklin Gothic Book" w:cstheme="minorHAnsi"/>
                <w:sz w:val="24"/>
              </w:rPr>
              <w:t xml:space="preserve"> </w:t>
            </w:r>
          </w:p>
          <w:p w14:paraId="3E6B638A" w14:textId="77777777" w:rsidR="001B6918" w:rsidRPr="004E6649" w:rsidRDefault="001B6918" w:rsidP="00730ECF">
            <w:pPr>
              <w:widowControl w:val="0"/>
              <w:rPr>
                <w:rFonts w:eastAsia="Franklin Gothic Book" w:cstheme="minorHAnsi"/>
                <w:sz w:val="24"/>
              </w:rPr>
            </w:pPr>
            <w:r w:rsidRPr="004E6649">
              <w:rPr>
                <w:rFonts w:eastAsia="Franklin Gothic Book" w:cstheme="minorHAnsi"/>
                <w:sz w:val="24"/>
              </w:rPr>
              <w:t>2021: Level dollar amount over 25 years on a closed amortization period</w:t>
            </w:r>
          </w:p>
          <w:p w14:paraId="38D671EF" w14:textId="77777777" w:rsidR="001B6918" w:rsidRPr="004E6649" w:rsidRDefault="001B6918" w:rsidP="00730ECF">
            <w:pPr>
              <w:widowControl w:val="0"/>
              <w:rPr>
                <w:rFonts w:eastAsia="Franklin Gothic Book" w:cstheme="minorHAnsi"/>
                <w:sz w:val="24"/>
              </w:rPr>
            </w:pPr>
            <w:r w:rsidRPr="004E6649">
              <w:rPr>
                <w:rFonts w:eastAsia="Franklin Gothic Book" w:cstheme="minorHAnsi"/>
                <w:sz w:val="24"/>
              </w:rPr>
              <w:t>2020: Level dollar amount over 26 years on a closed amortization period</w:t>
            </w:r>
          </w:p>
          <w:p w14:paraId="15DDBEA2" w14:textId="77777777" w:rsidR="001B6918" w:rsidRPr="004E6649" w:rsidRDefault="001B6918" w:rsidP="00730ECF">
            <w:pPr>
              <w:widowControl w:val="0"/>
              <w:rPr>
                <w:rFonts w:eastAsia="Franklin Gothic Book" w:cstheme="minorHAnsi"/>
                <w:sz w:val="24"/>
              </w:rPr>
            </w:pPr>
            <w:r w:rsidRPr="004E6649">
              <w:rPr>
                <w:rFonts w:eastAsia="Franklin Gothic Book" w:cstheme="minorHAnsi"/>
                <w:sz w:val="24"/>
              </w:rPr>
              <w:t>2019: Level dollar amount over 28 years on a closed amortization period</w:t>
            </w:r>
          </w:p>
          <w:p w14:paraId="76E71A66" w14:textId="77777777" w:rsidR="001B6918" w:rsidRPr="004E6649" w:rsidRDefault="001B6918" w:rsidP="00730ECF">
            <w:pPr>
              <w:widowControl w:val="0"/>
              <w:rPr>
                <w:rFonts w:cstheme="minorHAnsi"/>
                <w:sz w:val="24"/>
                <w:szCs w:val="20"/>
              </w:rPr>
            </w:pPr>
            <w:r w:rsidRPr="004E6649">
              <w:rPr>
                <w:rFonts w:eastAsia="Franklin Gothic Book" w:cstheme="minorHAnsi"/>
                <w:sz w:val="24"/>
              </w:rPr>
              <w:t>2017 to 2018: Level dollar amount over 30 years on a closed amortization period</w:t>
            </w:r>
          </w:p>
        </w:tc>
      </w:tr>
      <w:tr w:rsidR="001B6918" w:rsidRPr="004E6649" w14:paraId="7B3EBB5A" w14:textId="77777777" w:rsidTr="00730ECF">
        <w:trPr>
          <w:trHeight w:val="246"/>
          <w:jc w:val="center"/>
        </w:trPr>
        <w:tc>
          <w:tcPr>
            <w:tcW w:w="1219" w:type="pct"/>
          </w:tcPr>
          <w:p w14:paraId="06D5C4EE" w14:textId="77777777" w:rsidR="001B6918" w:rsidRPr="004E6649" w:rsidRDefault="001B6918" w:rsidP="00730ECF">
            <w:pPr>
              <w:widowControl w:val="0"/>
              <w:rPr>
                <w:rFonts w:eastAsia="Franklin Gothic Book" w:cstheme="minorHAnsi"/>
                <w:spacing w:val="-2"/>
                <w:sz w:val="24"/>
              </w:rPr>
            </w:pPr>
            <w:r w:rsidRPr="004E6649">
              <w:rPr>
                <w:rFonts w:eastAsiaTheme="majorEastAsia" w:cstheme="minorHAnsi"/>
                <w:b/>
                <w:i/>
                <w:iCs/>
                <w:smallCaps/>
                <w:noProof/>
                <w:color w:val="000000" w:themeColor="text1"/>
                <w:szCs w:val="24"/>
                <w:u w:color="5B9BD5"/>
              </w:rPr>
              <w:fldChar w:fldCharType="begin"/>
            </w:r>
            <w:r w:rsidRPr="004E6649">
              <w:rPr>
                <w:rFonts w:eastAsiaTheme="majorEastAsia" w:cstheme="minorHAnsi"/>
                <w:b/>
                <w:i/>
                <w:iCs/>
                <w:smallCaps/>
                <w:noProof/>
                <w:color w:val="000000" w:themeColor="text1"/>
                <w:szCs w:val="24"/>
                <w:u w:color="5B9BD5"/>
              </w:rPr>
              <w:fldChar w:fldCharType="end"/>
            </w:r>
            <w:r w:rsidRPr="004E6649">
              <w:rPr>
                <w:rFonts w:eastAsia="Franklin Gothic Book" w:cstheme="minorHAnsi"/>
                <w:spacing w:val="-2"/>
                <w:sz w:val="24"/>
              </w:rPr>
              <w:t>Amortization period</w:t>
            </w:r>
          </w:p>
        </w:tc>
        <w:tc>
          <w:tcPr>
            <w:tcW w:w="3781" w:type="pct"/>
          </w:tcPr>
          <w:p w14:paraId="51F0A38B" w14:textId="77777777" w:rsidR="001B6918" w:rsidRPr="004E6649" w:rsidRDefault="001B6918" w:rsidP="00730ECF">
            <w:pPr>
              <w:widowControl w:val="0"/>
              <w:rPr>
                <w:rFonts w:eastAsia="Franklin Gothic Book" w:cstheme="minorHAnsi"/>
                <w:sz w:val="24"/>
              </w:rPr>
            </w:pPr>
            <w:r w:rsidRPr="004E6649">
              <w:rPr>
                <w:rFonts w:eastAsia="Franklin Gothic Book" w:cstheme="minorHAnsi"/>
                <w:sz w:val="24"/>
              </w:rPr>
              <w:t xml:space="preserve">2022 </w:t>
            </w:r>
            <w:r w:rsidRPr="007D3E85">
              <w:rPr>
                <w:rFonts w:eastAsia="Franklin Gothic Book" w:cstheme="minorHAnsi"/>
                <w:sz w:val="24"/>
              </w:rPr>
              <w:t>to 202</w:t>
            </w:r>
            <w:r w:rsidRPr="003E524C">
              <w:rPr>
                <w:rFonts w:eastAsia="Franklin Gothic Book" w:cstheme="minorHAnsi"/>
                <w:sz w:val="24"/>
              </w:rPr>
              <w:t>5</w:t>
            </w:r>
            <w:r w:rsidRPr="007D3E85">
              <w:rPr>
                <w:rFonts w:eastAsia="Franklin Gothic Book" w:cstheme="minorHAnsi"/>
                <w:sz w:val="24"/>
              </w:rPr>
              <w:t xml:space="preserve">: </w:t>
            </w:r>
            <w:r w:rsidRPr="004E6649">
              <w:rPr>
                <w:rFonts w:eastAsia="Franklin Gothic Book" w:cstheme="minorHAnsi"/>
                <w:sz w:val="24"/>
              </w:rPr>
              <w:t>30 years</w:t>
            </w:r>
          </w:p>
          <w:p w14:paraId="17BEF778" w14:textId="77777777" w:rsidR="001B6918" w:rsidRPr="004E6649" w:rsidRDefault="001B6918" w:rsidP="00730ECF">
            <w:pPr>
              <w:widowControl w:val="0"/>
              <w:rPr>
                <w:rFonts w:eastAsia="Franklin Gothic Book" w:cstheme="minorHAnsi"/>
                <w:sz w:val="24"/>
              </w:rPr>
            </w:pPr>
            <w:r w:rsidRPr="004E6649">
              <w:rPr>
                <w:rFonts w:eastAsia="Franklin Gothic Book" w:cstheme="minorHAnsi"/>
                <w:sz w:val="24"/>
              </w:rPr>
              <w:t>2021: 25 years</w:t>
            </w:r>
          </w:p>
          <w:p w14:paraId="1428869F" w14:textId="77777777" w:rsidR="001B6918" w:rsidRPr="004E6649" w:rsidRDefault="001B6918" w:rsidP="00730ECF">
            <w:pPr>
              <w:widowControl w:val="0"/>
              <w:rPr>
                <w:rFonts w:eastAsia="Franklin Gothic Book" w:cstheme="minorHAnsi"/>
                <w:sz w:val="24"/>
              </w:rPr>
            </w:pPr>
            <w:r w:rsidRPr="004E6649">
              <w:rPr>
                <w:rFonts w:eastAsia="Franklin Gothic Book" w:cstheme="minorHAnsi"/>
                <w:sz w:val="24"/>
              </w:rPr>
              <w:t>2020: 26 years</w:t>
            </w:r>
          </w:p>
          <w:p w14:paraId="71C134EF" w14:textId="77777777" w:rsidR="001B6918" w:rsidRPr="004E6649" w:rsidRDefault="001B6918" w:rsidP="00730ECF">
            <w:pPr>
              <w:widowControl w:val="0"/>
              <w:rPr>
                <w:rFonts w:eastAsia="Franklin Gothic Book" w:cstheme="minorHAnsi"/>
                <w:sz w:val="24"/>
              </w:rPr>
            </w:pPr>
            <w:r w:rsidRPr="004E6649">
              <w:rPr>
                <w:rFonts w:eastAsia="Franklin Gothic Book" w:cstheme="minorHAnsi"/>
                <w:sz w:val="24"/>
              </w:rPr>
              <w:t>2019: 28 years</w:t>
            </w:r>
          </w:p>
          <w:p w14:paraId="1C18B75A" w14:textId="77777777" w:rsidR="001B6918" w:rsidRPr="004E6649" w:rsidRDefault="001B6918" w:rsidP="00730ECF">
            <w:pPr>
              <w:widowControl w:val="0"/>
              <w:rPr>
                <w:rFonts w:eastAsia="Franklin Gothic Book" w:cstheme="minorHAnsi"/>
                <w:color w:val="FF0000"/>
                <w:sz w:val="24"/>
              </w:rPr>
            </w:pPr>
            <w:r w:rsidRPr="004E6649">
              <w:rPr>
                <w:rFonts w:eastAsia="Franklin Gothic Book" w:cstheme="minorHAnsi"/>
                <w:sz w:val="24"/>
              </w:rPr>
              <w:t>2017 to 2018: 30 years</w:t>
            </w:r>
          </w:p>
        </w:tc>
      </w:tr>
      <w:tr w:rsidR="001B6918" w:rsidRPr="004E6649" w14:paraId="21CE5F00" w14:textId="77777777" w:rsidTr="00730ECF">
        <w:trPr>
          <w:trHeight w:val="246"/>
          <w:jc w:val="center"/>
        </w:trPr>
        <w:tc>
          <w:tcPr>
            <w:tcW w:w="1219" w:type="pct"/>
          </w:tcPr>
          <w:p w14:paraId="30A66CB9" w14:textId="77777777" w:rsidR="001B6918" w:rsidRPr="004E6649" w:rsidRDefault="001B6918" w:rsidP="00730ECF">
            <w:pPr>
              <w:widowControl w:val="0"/>
              <w:rPr>
                <w:rFonts w:eastAsia="Franklin Gothic Book" w:cstheme="minorHAnsi"/>
                <w:spacing w:val="-2"/>
                <w:sz w:val="24"/>
              </w:rPr>
            </w:pPr>
            <w:r w:rsidRPr="004E6649">
              <w:rPr>
                <w:rFonts w:eastAsia="Franklin Gothic Book" w:cstheme="minorHAnsi"/>
                <w:spacing w:val="-2"/>
                <w:sz w:val="24"/>
              </w:rPr>
              <w:t>A</w:t>
            </w:r>
            <w:r w:rsidRPr="004E6649">
              <w:rPr>
                <w:rFonts w:eastAsia="Franklin Gothic Book" w:cstheme="minorHAnsi"/>
                <w:spacing w:val="1"/>
                <w:sz w:val="24"/>
              </w:rPr>
              <w:t>ss</w:t>
            </w:r>
            <w:r w:rsidRPr="004E6649">
              <w:rPr>
                <w:rFonts w:eastAsia="Franklin Gothic Book" w:cstheme="minorHAnsi"/>
                <w:sz w:val="24"/>
              </w:rPr>
              <w:t>et</w:t>
            </w:r>
            <w:r w:rsidRPr="004E6649">
              <w:rPr>
                <w:rFonts w:eastAsia="Franklin Gothic Book" w:cstheme="minorHAnsi"/>
                <w:spacing w:val="-1"/>
                <w:sz w:val="24"/>
              </w:rPr>
              <w:t xml:space="preserve"> v</w:t>
            </w:r>
            <w:r w:rsidRPr="004E6649">
              <w:rPr>
                <w:rFonts w:eastAsia="Franklin Gothic Book" w:cstheme="minorHAnsi"/>
                <w:sz w:val="24"/>
              </w:rPr>
              <w:t>alua</w:t>
            </w:r>
            <w:r w:rsidRPr="004E6649">
              <w:rPr>
                <w:rFonts w:eastAsia="Franklin Gothic Book" w:cstheme="minorHAnsi"/>
                <w:spacing w:val="1"/>
                <w:sz w:val="24"/>
              </w:rPr>
              <w:t>t</w:t>
            </w:r>
            <w:r w:rsidRPr="004E6649">
              <w:rPr>
                <w:rFonts w:eastAsia="Franklin Gothic Book" w:cstheme="minorHAnsi"/>
                <w:sz w:val="24"/>
              </w:rPr>
              <w:t>ion</w:t>
            </w:r>
            <w:r w:rsidRPr="004E6649">
              <w:rPr>
                <w:rFonts w:eastAsia="Franklin Gothic Book" w:cstheme="minorHAnsi"/>
                <w:spacing w:val="-2"/>
                <w:sz w:val="24"/>
              </w:rPr>
              <w:t xml:space="preserve"> </w:t>
            </w:r>
            <w:r w:rsidRPr="004E6649">
              <w:rPr>
                <w:rFonts w:eastAsia="Franklin Gothic Book" w:cstheme="minorHAnsi"/>
                <w:spacing w:val="1"/>
                <w:sz w:val="24"/>
              </w:rPr>
              <w:t>m</w:t>
            </w:r>
            <w:r w:rsidRPr="004E6649">
              <w:rPr>
                <w:rFonts w:eastAsia="Franklin Gothic Book" w:cstheme="minorHAnsi"/>
                <w:sz w:val="24"/>
              </w:rPr>
              <w:t>ethod</w:t>
            </w:r>
          </w:p>
        </w:tc>
        <w:tc>
          <w:tcPr>
            <w:tcW w:w="3781" w:type="pct"/>
          </w:tcPr>
          <w:p w14:paraId="7BA5C6F3" w14:textId="77777777" w:rsidR="001B6918" w:rsidRPr="004E6649" w:rsidRDefault="001B6918" w:rsidP="00730ECF">
            <w:pPr>
              <w:widowControl w:val="0"/>
              <w:rPr>
                <w:rFonts w:eastAsia="Franklin Gothic Book" w:cstheme="minorHAnsi"/>
                <w:sz w:val="24"/>
              </w:rPr>
            </w:pPr>
            <w:r w:rsidRPr="004E6649">
              <w:rPr>
                <w:rFonts w:eastAsia="Franklin Gothic Book" w:cstheme="minorHAnsi"/>
                <w:sz w:val="24"/>
              </w:rPr>
              <w:t>Market value</w:t>
            </w:r>
          </w:p>
        </w:tc>
      </w:tr>
    </w:tbl>
    <w:p w14:paraId="7C778243" w14:textId="77777777" w:rsidR="0018429E" w:rsidRDefault="0018429E">
      <w:pPr>
        <w:spacing w:after="160" w:line="259" w:lineRule="auto"/>
        <w:rPr>
          <w:rFonts w:eastAsiaTheme="majorEastAsia" w:cstheme="minorHAnsi"/>
          <w:b/>
          <w:i/>
          <w:iCs/>
          <w:smallCaps/>
          <w:noProof/>
          <w:sz w:val="24"/>
          <w:szCs w:val="28"/>
          <w:highlight w:val="yellow"/>
          <w:u w:color="5B9BD5"/>
        </w:rPr>
      </w:pPr>
      <w:r>
        <w:rPr>
          <w:rFonts w:eastAsiaTheme="majorEastAsia" w:cstheme="minorHAnsi"/>
          <w:b/>
          <w:i/>
          <w:iCs/>
          <w:smallCaps/>
          <w:noProof/>
          <w:sz w:val="24"/>
          <w:szCs w:val="28"/>
          <w:highlight w:val="yellow"/>
          <w:u w:color="5B9BD5"/>
        </w:rPr>
        <w:br w:type="page"/>
      </w:r>
    </w:p>
    <w:p w14:paraId="017F73B7" w14:textId="577D4972" w:rsidR="0018429E" w:rsidRPr="0006072A" w:rsidRDefault="0018429E" w:rsidP="0018429E">
      <w:pPr>
        <w:spacing w:after="160" w:line="259" w:lineRule="auto"/>
        <w:rPr>
          <w:rFonts w:cstheme="minorHAnsi"/>
          <w:sz w:val="24"/>
          <w:szCs w:val="24"/>
        </w:rPr>
      </w:pPr>
      <w:r w:rsidRPr="00730ECF">
        <w:rPr>
          <w:rFonts w:eastAsiaTheme="majorEastAsia" w:cstheme="minorHAnsi"/>
          <w:b/>
          <w:i/>
          <w:iCs/>
          <w:smallCaps/>
          <w:noProof/>
          <w:sz w:val="24"/>
          <w:szCs w:val="28"/>
          <w:u w:color="5B9BD5"/>
        </w:rPr>
        <w:lastRenderedPageBreak/>
        <w:t>OPEB PLAN - CONTINUED</w:t>
      </w:r>
      <w:r w:rsidRPr="00730ECF">
        <w:rPr>
          <w:rFonts w:eastAsiaTheme="majorEastAsia" w:cstheme="minorHAnsi"/>
          <w:b/>
          <w:i/>
          <w:iCs/>
          <w:smallCaps/>
          <w:noProof/>
          <w:color w:val="000000" w:themeColor="text1"/>
          <w:sz w:val="24"/>
          <w:szCs w:val="28"/>
          <w:u w:color="5B9BD5"/>
        </w:rPr>
        <w:t>:</w:t>
      </w:r>
    </w:p>
    <w:tbl>
      <w:tblPr>
        <w:tblStyle w:val="TableGrid2"/>
        <w:tblW w:w="538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Description w:val="Actuarial cost method since 2017 has been entry age normal.  Amortization method changed from level dollar amount over 30 years on a closed amortization period in 2017 &amp; 2018 to 28 years in 2019.  Asset valuation method is market value.  Inflation decreased from 3% per year in 2017 and 2018 to 2.6% in 2019.  Healthcare cost trend rate has changed from 8% decreasing 1% per year to an ultimate rate of 5% for 2020 and later years to 8% decreasing 0.5% per year to 5.5%, then grading down to an ultimate trend rate of 3.9% with the ultimate medical inflation rate reached in 2075.  The investment rate of return/discount rate has remained 7.5% net of OPEB plan investment expenses, including inflation since 2017."/>
      </w:tblPr>
      <w:tblGrid>
        <w:gridCol w:w="2613"/>
        <w:gridCol w:w="8096"/>
      </w:tblGrid>
      <w:tr w:rsidR="001B6918" w:rsidRPr="004E6649" w14:paraId="215DE528" w14:textId="77777777" w:rsidTr="00730ECF">
        <w:trPr>
          <w:trHeight w:val="246"/>
          <w:jc w:val="center"/>
        </w:trPr>
        <w:tc>
          <w:tcPr>
            <w:tcW w:w="1220" w:type="pct"/>
          </w:tcPr>
          <w:p w14:paraId="051F4D42" w14:textId="77777777" w:rsidR="001B6918" w:rsidRPr="004E6649" w:rsidRDefault="001B6918" w:rsidP="00730ECF">
            <w:pPr>
              <w:widowControl w:val="0"/>
              <w:rPr>
                <w:rFonts w:eastAsia="Franklin Gothic Book" w:cstheme="minorHAnsi"/>
                <w:spacing w:val="-2"/>
                <w:sz w:val="24"/>
              </w:rPr>
            </w:pPr>
            <w:r w:rsidRPr="004E6649">
              <w:rPr>
                <w:rFonts w:eastAsia="Franklin Gothic Book" w:cstheme="minorHAnsi"/>
                <w:sz w:val="24"/>
              </w:rPr>
              <w:t>Infla</w:t>
            </w:r>
            <w:r w:rsidRPr="004E6649">
              <w:rPr>
                <w:rFonts w:eastAsia="Franklin Gothic Book" w:cstheme="minorHAnsi"/>
                <w:spacing w:val="1"/>
                <w:sz w:val="24"/>
              </w:rPr>
              <w:t>t</w:t>
            </w:r>
            <w:r w:rsidRPr="004E6649">
              <w:rPr>
                <w:rFonts w:eastAsia="Franklin Gothic Book" w:cstheme="minorHAnsi"/>
                <w:sz w:val="24"/>
              </w:rPr>
              <w:t>ion</w:t>
            </w:r>
          </w:p>
        </w:tc>
        <w:tc>
          <w:tcPr>
            <w:tcW w:w="3780" w:type="pct"/>
          </w:tcPr>
          <w:p w14:paraId="1CE390AE" w14:textId="77777777" w:rsidR="001B6918" w:rsidRDefault="001B6918" w:rsidP="00730ECF">
            <w:pPr>
              <w:widowControl w:val="0"/>
              <w:rPr>
                <w:rFonts w:eastAsia="Franklin Gothic Book" w:cstheme="minorHAnsi"/>
                <w:sz w:val="24"/>
              </w:rPr>
            </w:pPr>
            <w:r w:rsidRPr="005E242F">
              <w:rPr>
                <w:rFonts w:eastAsia="Franklin Gothic Book" w:cstheme="minorHAnsi"/>
                <w:sz w:val="24"/>
              </w:rPr>
              <w:t>2024 to 2025: 2</w:t>
            </w:r>
            <w:r>
              <w:rPr>
                <w:rFonts w:eastAsia="Franklin Gothic Book" w:cstheme="minorHAnsi"/>
                <w:sz w:val="24"/>
              </w:rPr>
              <w:t>.5%</w:t>
            </w:r>
          </w:p>
          <w:p w14:paraId="6132236C" w14:textId="77777777" w:rsidR="001B6918" w:rsidRPr="004E6649" w:rsidRDefault="001B6918" w:rsidP="00730ECF">
            <w:pPr>
              <w:widowControl w:val="0"/>
              <w:rPr>
                <w:rFonts w:eastAsia="Franklin Gothic Book" w:cstheme="minorHAnsi"/>
                <w:sz w:val="24"/>
              </w:rPr>
            </w:pPr>
            <w:r w:rsidRPr="004E6649">
              <w:rPr>
                <w:rFonts w:eastAsia="Franklin Gothic Book" w:cstheme="minorHAnsi"/>
                <w:sz w:val="24"/>
              </w:rPr>
              <w:t>2023: 2.</w:t>
            </w:r>
            <w:r>
              <w:rPr>
                <w:rFonts w:eastAsia="Franklin Gothic Book" w:cstheme="minorHAnsi"/>
                <w:sz w:val="24"/>
              </w:rPr>
              <w:t>4</w:t>
            </w:r>
            <w:r w:rsidRPr="004E6649">
              <w:rPr>
                <w:rFonts w:eastAsia="Franklin Gothic Book" w:cstheme="minorHAnsi"/>
                <w:sz w:val="24"/>
              </w:rPr>
              <w:t>%</w:t>
            </w:r>
          </w:p>
          <w:p w14:paraId="5B85D99F" w14:textId="77777777" w:rsidR="001B6918" w:rsidRPr="004E6649" w:rsidRDefault="001B6918" w:rsidP="00730ECF">
            <w:pPr>
              <w:widowControl w:val="0"/>
              <w:rPr>
                <w:rFonts w:eastAsia="Franklin Gothic Book" w:cstheme="minorHAnsi"/>
                <w:sz w:val="24"/>
              </w:rPr>
            </w:pPr>
            <w:r w:rsidRPr="004E6649">
              <w:rPr>
                <w:rFonts w:eastAsia="Franklin Gothic Book" w:cstheme="minorHAnsi"/>
                <w:sz w:val="24"/>
              </w:rPr>
              <w:t>2022: 2.</w:t>
            </w:r>
            <w:r>
              <w:rPr>
                <w:rFonts w:eastAsia="Franklin Gothic Book" w:cstheme="minorHAnsi"/>
                <w:sz w:val="24"/>
              </w:rPr>
              <w:t>2</w:t>
            </w:r>
            <w:r w:rsidRPr="004E6649">
              <w:rPr>
                <w:rFonts w:eastAsia="Franklin Gothic Book" w:cstheme="minorHAnsi"/>
                <w:sz w:val="24"/>
              </w:rPr>
              <w:t>%</w:t>
            </w:r>
          </w:p>
          <w:p w14:paraId="019E6F83" w14:textId="77777777" w:rsidR="001B6918" w:rsidRPr="004E6649" w:rsidRDefault="001B6918" w:rsidP="00730ECF">
            <w:pPr>
              <w:widowControl w:val="0"/>
              <w:rPr>
                <w:rFonts w:eastAsia="Franklin Gothic Book" w:cstheme="minorHAnsi"/>
                <w:sz w:val="24"/>
              </w:rPr>
            </w:pPr>
            <w:r w:rsidRPr="004E6649">
              <w:rPr>
                <w:rFonts w:eastAsia="Franklin Gothic Book" w:cstheme="minorHAnsi"/>
                <w:sz w:val="24"/>
              </w:rPr>
              <w:t>2021: 2.</w:t>
            </w:r>
            <w:r>
              <w:rPr>
                <w:rFonts w:eastAsia="Franklin Gothic Book" w:cstheme="minorHAnsi"/>
                <w:sz w:val="24"/>
              </w:rPr>
              <w:t>4</w:t>
            </w:r>
            <w:r w:rsidRPr="004E6649">
              <w:rPr>
                <w:rFonts w:eastAsia="Franklin Gothic Book" w:cstheme="minorHAnsi"/>
                <w:sz w:val="24"/>
              </w:rPr>
              <w:t>%</w:t>
            </w:r>
          </w:p>
          <w:p w14:paraId="3628A91E" w14:textId="77777777" w:rsidR="001B6918" w:rsidRPr="004E6649" w:rsidRDefault="001B6918" w:rsidP="00730ECF">
            <w:pPr>
              <w:widowControl w:val="0"/>
              <w:rPr>
                <w:rFonts w:eastAsia="Franklin Gothic Book" w:cstheme="minorHAnsi"/>
                <w:sz w:val="24"/>
              </w:rPr>
            </w:pPr>
            <w:r w:rsidRPr="004E6649">
              <w:rPr>
                <w:rFonts w:eastAsia="Franklin Gothic Book" w:cstheme="minorHAnsi"/>
                <w:sz w:val="24"/>
              </w:rPr>
              <w:t>2019</w:t>
            </w:r>
            <w:r>
              <w:rPr>
                <w:rFonts w:eastAsia="Franklin Gothic Book" w:cstheme="minorHAnsi"/>
                <w:sz w:val="24"/>
              </w:rPr>
              <w:t xml:space="preserve"> to 2020</w:t>
            </w:r>
            <w:r w:rsidRPr="004E6649">
              <w:rPr>
                <w:rFonts w:eastAsia="Franklin Gothic Book" w:cstheme="minorHAnsi"/>
                <w:sz w:val="24"/>
              </w:rPr>
              <w:t>: 2.6%</w:t>
            </w:r>
          </w:p>
          <w:p w14:paraId="50ECA40A" w14:textId="77777777" w:rsidR="001B6918" w:rsidRPr="004E6649" w:rsidRDefault="001B6918" w:rsidP="00730ECF">
            <w:pPr>
              <w:widowControl w:val="0"/>
              <w:rPr>
                <w:rFonts w:eastAsia="Franklin Gothic Book" w:cstheme="minorHAnsi"/>
                <w:sz w:val="24"/>
              </w:rPr>
            </w:pPr>
            <w:r w:rsidRPr="004E6649">
              <w:rPr>
                <w:rFonts w:eastAsia="Franklin Gothic Book" w:cstheme="minorHAnsi"/>
                <w:sz w:val="24"/>
              </w:rPr>
              <w:t xml:space="preserve">2017 to 2018: 3% </w:t>
            </w:r>
          </w:p>
        </w:tc>
      </w:tr>
      <w:tr w:rsidR="001B6918" w:rsidRPr="004E6649" w14:paraId="789CA768" w14:textId="77777777" w:rsidTr="00730ECF">
        <w:trPr>
          <w:trHeight w:val="246"/>
          <w:jc w:val="center"/>
        </w:trPr>
        <w:tc>
          <w:tcPr>
            <w:tcW w:w="1220" w:type="pct"/>
          </w:tcPr>
          <w:p w14:paraId="2A2CFAFC" w14:textId="77777777" w:rsidR="001B6918" w:rsidRPr="004E6649" w:rsidRDefault="001B6918" w:rsidP="00730ECF">
            <w:pPr>
              <w:widowControl w:val="0"/>
              <w:rPr>
                <w:rFonts w:eastAsia="Franklin Gothic Book" w:cstheme="minorHAnsi"/>
                <w:sz w:val="24"/>
              </w:rPr>
            </w:pPr>
            <w:r>
              <w:rPr>
                <w:rFonts w:eastAsia="Franklin Gothic Book" w:cstheme="minorHAnsi"/>
                <w:sz w:val="24"/>
              </w:rPr>
              <w:t>Medical trend rates (Cigna Plans and Aetna Medicare Advantage)</w:t>
            </w:r>
          </w:p>
        </w:tc>
        <w:tc>
          <w:tcPr>
            <w:tcW w:w="3780" w:type="pct"/>
          </w:tcPr>
          <w:p w14:paraId="1AA56C04" w14:textId="77777777" w:rsidR="001B6918" w:rsidRPr="003E524C" w:rsidRDefault="001B6918" w:rsidP="00730ECF">
            <w:pPr>
              <w:widowControl w:val="0"/>
              <w:rPr>
                <w:rFonts w:eastAsia="Franklin Gothic Book" w:cstheme="minorHAnsi"/>
                <w:sz w:val="24"/>
              </w:rPr>
            </w:pPr>
            <w:r w:rsidRPr="003E524C">
              <w:rPr>
                <w:rFonts w:eastAsia="Franklin Gothic Book" w:cstheme="minorHAnsi"/>
                <w:sz w:val="24"/>
              </w:rPr>
              <w:t>2025:</w:t>
            </w:r>
            <w:r w:rsidRPr="00F579BD">
              <w:t xml:space="preserve"> </w:t>
            </w:r>
            <w:r w:rsidRPr="003E524C">
              <w:rPr>
                <w:rFonts w:eastAsia="Franklin Gothic Book" w:cstheme="minorHAnsi"/>
                <w:sz w:val="24"/>
              </w:rPr>
              <w:t>8% decreasing 0.5% per year to 6%, then grading down to an ultimate</w:t>
            </w:r>
          </w:p>
          <w:p w14:paraId="572DA075" w14:textId="77777777" w:rsidR="001B6918" w:rsidRPr="003E524C" w:rsidRDefault="001B6918" w:rsidP="00730ECF">
            <w:pPr>
              <w:widowControl w:val="0"/>
              <w:rPr>
                <w:rFonts w:eastAsia="Franklin Gothic Book" w:cstheme="minorHAnsi"/>
                <w:sz w:val="24"/>
              </w:rPr>
            </w:pPr>
            <w:r w:rsidRPr="003E524C">
              <w:rPr>
                <w:rFonts w:eastAsia="Franklin Gothic Book" w:cstheme="minorHAnsi"/>
                <w:sz w:val="24"/>
              </w:rPr>
              <w:t>trend rate of 4%, utilizing the Society of Actuaries Getzen Medical Trend Model.</w:t>
            </w:r>
          </w:p>
          <w:p w14:paraId="0C717B87" w14:textId="77777777" w:rsidR="001B6918" w:rsidRPr="0070640D" w:rsidRDefault="001B6918" w:rsidP="00730ECF">
            <w:pPr>
              <w:widowControl w:val="0"/>
              <w:rPr>
                <w:rFonts w:eastAsia="Franklin Gothic Book" w:cstheme="minorHAnsi"/>
                <w:color w:val="FF0000"/>
                <w:sz w:val="24"/>
              </w:rPr>
            </w:pPr>
            <w:r w:rsidRPr="003E524C">
              <w:rPr>
                <w:rFonts w:eastAsia="Franklin Gothic Book" w:cstheme="minorHAnsi"/>
                <w:sz w:val="24"/>
              </w:rPr>
              <w:t>The ultimate medical trend rate is reached in 2075. In the prior valuation the trend for the Aetna Medicare Advantage Plan was reduced to 6% in year 1 grading down 0.5% per year to an ultimate trend rate of 4%, recognizing that over the last several years there had been plan design changes that had impacted the premium rates. This trend has been updated to be consistent with the Cigna plans as described above, beginning with an 8% trend rate in year 1. This reflects that while these plan design changes are expected to continue, they will not fully offset higher trend rates that are broadly expected to impact Medicare Advantage and Medicare supplemental plans.</w:t>
            </w:r>
          </w:p>
        </w:tc>
      </w:tr>
      <w:tr w:rsidR="001B6918" w:rsidRPr="004E6649" w14:paraId="4E2D4BC5" w14:textId="77777777" w:rsidTr="00730ECF">
        <w:trPr>
          <w:trHeight w:val="246"/>
          <w:jc w:val="center"/>
        </w:trPr>
        <w:tc>
          <w:tcPr>
            <w:tcW w:w="1220" w:type="pct"/>
          </w:tcPr>
          <w:p w14:paraId="2CCF37EB" w14:textId="77777777" w:rsidR="001B6918" w:rsidRPr="004E6649" w:rsidRDefault="001B6918" w:rsidP="00730ECF">
            <w:pPr>
              <w:widowControl w:val="0"/>
              <w:rPr>
                <w:rFonts w:eastAsia="Franklin Gothic Book" w:cstheme="minorHAnsi"/>
                <w:sz w:val="24"/>
              </w:rPr>
            </w:pPr>
            <w:r w:rsidRPr="004E6649">
              <w:rPr>
                <w:rFonts w:eastAsia="Franklin Gothic Book" w:cstheme="minorHAnsi"/>
                <w:sz w:val="24"/>
              </w:rPr>
              <w:t xml:space="preserve">Medical trend rates </w:t>
            </w:r>
          </w:p>
          <w:p w14:paraId="24A10505" w14:textId="77777777" w:rsidR="001B6918" w:rsidRPr="004E6649" w:rsidRDefault="001B6918" w:rsidP="00730ECF">
            <w:pPr>
              <w:widowControl w:val="0"/>
              <w:rPr>
                <w:rFonts w:eastAsia="Franklin Gothic Book" w:cstheme="minorHAnsi"/>
                <w:sz w:val="24"/>
              </w:rPr>
            </w:pPr>
            <w:r w:rsidRPr="004E6649">
              <w:rPr>
                <w:rFonts w:eastAsia="Franklin Gothic Book" w:cstheme="minorHAnsi"/>
                <w:sz w:val="24"/>
              </w:rPr>
              <w:t>(Cigna Plans)</w:t>
            </w:r>
          </w:p>
        </w:tc>
        <w:tc>
          <w:tcPr>
            <w:tcW w:w="3780" w:type="pct"/>
          </w:tcPr>
          <w:p w14:paraId="504A51B4" w14:textId="77777777" w:rsidR="001B6918" w:rsidRPr="004E6649" w:rsidRDefault="001B6918" w:rsidP="00730ECF">
            <w:pPr>
              <w:widowControl w:val="0"/>
              <w:rPr>
                <w:rFonts w:eastAsia="Franklin Gothic Book" w:cstheme="minorHAnsi"/>
                <w:sz w:val="24"/>
              </w:rPr>
            </w:pPr>
            <w:r w:rsidRPr="004E6649">
              <w:rPr>
                <w:rFonts w:eastAsia="Franklin Gothic Book" w:cstheme="minorHAnsi"/>
                <w:sz w:val="24"/>
              </w:rPr>
              <w:t>2023</w:t>
            </w:r>
            <w:r>
              <w:rPr>
                <w:rFonts w:eastAsia="Franklin Gothic Book" w:cstheme="minorHAnsi"/>
                <w:sz w:val="24"/>
              </w:rPr>
              <w:t xml:space="preserve"> to 2024</w:t>
            </w:r>
            <w:r w:rsidRPr="004E6649">
              <w:rPr>
                <w:rFonts w:eastAsia="Franklin Gothic Book" w:cstheme="minorHAnsi"/>
                <w:sz w:val="24"/>
              </w:rPr>
              <w:t>: 8% decreasing .5% per year to 5.5%, then grading down to an ultimate trend rate of 4.1%, utilizing the Society of Actuaries Getzen Medical Trend Model. The ultimate medical inflation rate is reached in 2075.</w:t>
            </w:r>
          </w:p>
        </w:tc>
      </w:tr>
      <w:tr w:rsidR="001B6918" w:rsidRPr="004E6649" w14:paraId="51BF0AB1" w14:textId="77777777" w:rsidTr="00730ECF">
        <w:trPr>
          <w:trHeight w:val="246"/>
          <w:jc w:val="center"/>
        </w:trPr>
        <w:tc>
          <w:tcPr>
            <w:tcW w:w="1220" w:type="pct"/>
          </w:tcPr>
          <w:p w14:paraId="3AC09531" w14:textId="77777777" w:rsidR="001B6918" w:rsidRPr="004E6649" w:rsidRDefault="001B6918" w:rsidP="00730ECF">
            <w:pPr>
              <w:widowControl w:val="0"/>
              <w:rPr>
                <w:rFonts w:eastAsia="Franklin Gothic Book" w:cstheme="minorHAnsi"/>
                <w:sz w:val="24"/>
              </w:rPr>
            </w:pPr>
            <w:r w:rsidRPr="004E6649">
              <w:rPr>
                <w:rFonts w:eastAsia="Franklin Gothic Book" w:cstheme="minorHAnsi"/>
                <w:sz w:val="24"/>
              </w:rPr>
              <w:t>Medical trend rates</w:t>
            </w:r>
          </w:p>
          <w:p w14:paraId="09283D5D" w14:textId="77777777" w:rsidR="001B6918" w:rsidRPr="004E6649" w:rsidRDefault="001B6918" w:rsidP="00730ECF">
            <w:pPr>
              <w:widowControl w:val="0"/>
              <w:rPr>
                <w:rFonts w:eastAsia="Franklin Gothic Book" w:cstheme="minorHAnsi"/>
                <w:sz w:val="24"/>
              </w:rPr>
            </w:pPr>
            <w:r w:rsidRPr="004E6649">
              <w:rPr>
                <w:rFonts w:eastAsia="Franklin Gothic Book" w:cstheme="minorHAnsi"/>
                <w:sz w:val="24"/>
              </w:rPr>
              <w:t>(Aetna Medicare Advantage Plan)</w:t>
            </w:r>
          </w:p>
        </w:tc>
        <w:tc>
          <w:tcPr>
            <w:tcW w:w="3780" w:type="pct"/>
          </w:tcPr>
          <w:p w14:paraId="67C6D3FA" w14:textId="77777777" w:rsidR="001B6918" w:rsidRPr="004E6649" w:rsidRDefault="001B6918" w:rsidP="00730ECF">
            <w:pPr>
              <w:widowControl w:val="0"/>
              <w:rPr>
                <w:rFonts w:eastAsia="Franklin Gothic Book" w:cstheme="minorHAnsi"/>
                <w:sz w:val="24"/>
              </w:rPr>
            </w:pPr>
            <w:r w:rsidRPr="004E6649">
              <w:rPr>
                <w:rFonts w:eastAsia="Franklin Gothic Book" w:cstheme="minorHAnsi"/>
                <w:sz w:val="24"/>
              </w:rPr>
              <w:t>2023</w:t>
            </w:r>
            <w:r>
              <w:rPr>
                <w:rFonts w:eastAsia="Franklin Gothic Book" w:cstheme="minorHAnsi"/>
                <w:sz w:val="24"/>
              </w:rPr>
              <w:t xml:space="preserve"> to 2024</w:t>
            </w:r>
            <w:r w:rsidRPr="004E6649">
              <w:rPr>
                <w:rFonts w:eastAsia="Franklin Gothic Book" w:cstheme="minorHAnsi"/>
                <w:sz w:val="24"/>
              </w:rPr>
              <w:t xml:space="preserve">: 6% in year 1 grading down .5% per year to an ultimate trend rate of 4%, recognizing that over the last several years there have been plan design changes that have impacted the premium rates. </w:t>
            </w:r>
          </w:p>
        </w:tc>
      </w:tr>
      <w:tr w:rsidR="001B6918" w:rsidRPr="004E6649" w14:paraId="5C617A83" w14:textId="77777777" w:rsidTr="00730ECF">
        <w:trPr>
          <w:trHeight w:val="246"/>
          <w:jc w:val="center"/>
        </w:trPr>
        <w:tc>
          <w:tcPr>
            <w:tcW w:w="1220" w:type="pct"/>
          </w:tcPr>
          <w:p w14:paraId="2909FF38" w14:textId="77777777" w:rsidR="001B6918" w:rsidRPr="004E6649" w:rsidRDefault="001B6918" w:rsidP="00730ECF">
            <w:pPr>
              <w:widowControl w:val="0"/>
              <w:rPr>
                <w:rFonts w:eastAsia="Franklin Gothic Book" w:cstheme="minorHAnsi"/>
                <w:sz w:val="24"/>
              </w:rPr>
            </w:pPr>
            <w:r w:rsidRPr="00730ECF">
              <w:rPr>
                <w:rFonts w:cstheme="minorHAnsi"/>
                <w:sz w:val="24"/>
                <w:szCs w:val="20"/>
              </w:rPr>
              <w:t>Healthcare cost trend rate</w:t>
            </w:r>
          </w:p>
        </w:tc>
        <w:tc>
          <w:tcPr>
            <w:tcW w:w="3780" w:type="pct"/>
          </w:tcPr>
          <w:p w14:paraId="7F90D5CA" w14:textId="77777777" w:rsidR="001B6918" w:rsidRPr="00730ECF" w:rsidRDefault="001B6918" w:rsidP="00730ECF">
            <w:pPr>
              <w:widowControl w:val="0"/>
              <w:rPr>
                <w:rFonts w:eastAsia="Franklin Gothic Book" w:cstheme="minorHAnsi"/>
                <w:sz w:val="24"/>
              </w:rPr>
            </w:pPr>
            <w:r w:rsidRPr="00730ECF">
              <w:rPr>
                <w:rFonts w:eastAsia="Franklin Gothic Book" w:cstheme="minorHAnsi"/>
                <w:sz w:val="24"/>
              </w:rPr>
              <w:t>2021 to 2022: 6% decreasing .25% per year to 5.25%, then grading down to an ultimate trend rate of 4%, utilizing the Society of Actuaries Getzen Medical Trend Model. The ultimate medical inflation rate is reached in 2075.</w:t>
            </w:r>
          </w:p>
          <w:p w14:paraId="7266AD67" w14:textId="77777777" w:rsidR="001B6918" w:rsidRPr="00730ECF" w:rsidRDefault="001B6918" w:rsidP="00730ECF">
            <w:pPr>
              <w:widowControl w:val="0"/>
              <w:rPr>
                <w:rFonts w:eastAsia="Franklin Gothic Book" w:cstheme="minorHAnsi"/>
                <w:sz w:val="24"/>
              </w:rPr>
            </w:pPr>
            <w:r w:rsidRPr="00730ECF">
              <w:rPr>
                <w:rFonts w:eastAsia="Franklin Gothic Book" w:cstheme="minorHAnsi"/>
                <w:sz w:val="24"/>
              </w:rPr>
              <w:t>2019 to 2020: 8% decreasing .5% per year to 5.5%, then grading down to an ultimate trend rate of 3.9%, utilizing the Society of Actuaries Getzen Medical Trend Model. The ultimate medical inflation rate is reached in 2075.</w:t>
            </w:r>
          </w:p>
          <w:p w14:paraId="68172E8B" w14:textId="77777777" w:rsidR="001B6918" w:rsidRPr="004E6649" w:rsidRDefault="001B6918" w:rsidP="00730ECF">
            <w:pPr>
              <w:widowControl w:val="0"/>
              <w:rPr>
                <w:rFonts w:eastAsia="Franklin Gothic Book" w:cstheme="minorHAnsi"/>
                <w:sz w:val="24"/>
              </w:rPr>
            </w:pPr>
            <w:r w:rsidRPr="00730ECF">
              <w:rPr>
                <w:rFonts w:eastAsia="Franklin Gothic Book" w:cstheme="minorHAnsi"/>
                <w:sz w:val="24"/>
              </w:rPr>
              <w:t>2017 to 2018: 8% decreasing 1% per year to an ultimate rate of 5% for 2020 and later years</w:t>
            </w:r>
          </w:p>
        </w:tc>
      </w:tr>
      <w:tr w:rsidR="001B6918" w:rsidRPr="004E6649" w14:paraId="2AEED822" w14:textId="77777777" w:rsidTr="00730ECF">
        <w:trPr>
          <w:trHeight w:val="246"/>
          <w:jc w:val="center"/>
        </w:trPr>
        <w:tc>
          <w:tcPr>
            <w:tcW w:w="1220" w:type="pct"/>
          </w:tcPr>
          <w:p w14:paraId="22A5E2A3" w14:textId="77777777" w:rsidR="001B6918" w:rsidRPr="004E6649" w:rsidRDefault="001B6918" w:rsidP="00730ECF">
            <w:pPr>
              <w:widowControl w:val="0"/>
              <w:rPr>
                <w:rFonts w:cstheme="minorHAnsi"/>
                <w:sz w:val="24"/>
                <w:szCs w:val="20"/>
              </w:rPr>
            </w:pPr>
            <w:r w:rsidRPr="004E6649">
              <w:rPr>
                <w:rFonts w:cstheme="minorHAnsi"/>
                <w:sz w:val="24"/>
                <w:szCs w:val="20"/>
              </w:rPr>
              <w:t>Prescription drug trend rates (Catastrophic Prescription Drug HRA)</w:t>
            </w:r>
          </w:p>
        </w:tc>
        <w:tc>
          <w:tcPr>
            <w:tcW w:w="3780" w:type="pct"/>
          </w:tcPr>
          <w:p w14:paraId="50F44208" w14:textId="77777777" w:rsidR="001B6918" w:rsidRPr="00730ECF" w:rsidRDefault="001B6918" w:rsidP="00730ECF">
            <w:pPr>
              <w:widowControl w:val="0"/>
              <w:rPr>
                <w:rFonts w:eastAsia="Franklin Gothic Book" w:cstheme="minorHAnsi"/>
                <w:sz w:val="24"/>
              </w:rPr>
            </w:pPr>
            <w:r w:rsidRPr="00730ECF">
              <w:rPr>
                <w:rFonts w:eastAsia="Franklin Gothic Book" w:cstheme="minorHAnsi"/>
                <w:sz w:val="24"/>
              </w:rPr>
              <w:t>2025:  22% for year 1, 19% for year 2, 17% for year 3, decreasing at varying rates per year to an ultimate trend rate of 6%. The ultimate prescription drug trend rate is reached in 2064.</w:t>
            </w:r>
          </w:p>
          <w:p w14:paraId="45961D4C" w14:textId="77777777" w:rsidR="001B6918" w:rsidRPr="00730ECF" w:rsidRDefault="001B6918" w:rsidP="00730ECF">
            <w:pPr>
              <w:widowControl w:val="0"/>
              <w:rPr>
                <w:rFonts w:eastAsia="Franklin Gothic Book" w:cstheme="minorHAnsi"/>
                <w:sz w:val="24"/>
              </w:rPr>
            </w:pPr>
            <w:r w:rsidRPr="00730ECF">
              <w:rPr>
                <w:rFonts w:eastAsia="Franklin Gothic Book" w:cstheme="minorHAnsi"/>
                <w:sz w:val="24"/>
              </w:rPr>
              <w:t>2023 to 2024: 20% for year 1, 19% for year 2, 18% for year 3, decreasing at varying rates per year to an ultimate trend rate of 6%. The ultimate prescription drug trend rate is reached in 2042.</w:t>
            </w:r>
          </w:p>
        </w:tc>
      </w:tr>
      <w:tr w:rsidR="001B6918" w:rsidRPr="004E6649" w14:paraId="4995CF64" w14:textId="77777777" w:rsidTr="00730ECF">
        <w:trPr>
          <w:trHeight w:val="246"/>
          <w:jc w:val="center"/>
        </w:trPr>
        <w:tc>
          <w:tcPr>
            <w:tcW w:w="1220" w:type="pct"/>
          </w:tcPr>
          <w:p w14:paraId="27E65CEE" w14:textId="77777777" w:rsidR="001B6918" w:rsidRPr="004E6649" w:rsidRDefault="001B6918" w:rsidP="00730ECF">
            <w:pPr>
              <w:widowControl w:val="0"/>
              <w:rPr>
                <w:rFonts w:cstheme="minorHAnsi"/>
                <w:sz w:val="24"/>
                <w:szCs w:val="20"/>
              </w:rPr>
            </w:pPr>
            <w:r w:rsidRPr="004E6649">
              <w:rPr>
                <w:rFonts w:eastAsia="Franklin Gothic Book" w:cstheme="minorHAnsi"/>
                <w:sz w:val="24"/>
              </w:rPr>
              <w:t>In</w:t>
            </w:r>
            <w:r w:rsidRPr="004E6649">
              <w:rPr>
                <w:rFonts w:eastAsia="Franklin Gothic Book" w:cstheme="minorHAnsi"/>
                <w:spacing w:val="-1"/>
                <w:sz w:val="24"/>
              </w:rPr>
              <w:t>v</w:t>
            </w:r>
            <w:r w:rsidRPr="004E6649">
              <w:rPr>
                <w:rFonts w:eastAsia="Franklin Gothic Book" w:cstheme="minorHAnsi"/>
                <w:sz w:val="24"/>
              </w:rPr>
              <w:t>es</w:t>
            </w:r>
            <w:r w:rsidRPr="004E6649">
              <w:rPr>
                <w:rFonts w:eastAsia="Franklin Gothic Book" w:cstheme="minorHAnsi"/>
                <w:spacing w:val="1"/>
                <w:sz w:val="24"/>
              </w:rPr>
              <w:t>t</w:t>
            </w:r>
            <w:r w:rsidRPr="004E6649">
              <w:rPr>
                <w:rFonts w:eastAsia="Franklin Gothic Book" w:cstheme="minorHAnsi"/>
                <w:sz w:val="24"/>
              </w:rPr>
              <w:t>ment</w:t>
            </w:r>
            <w:r w:rsidRPr="004E6649">
              <w:rPr>
                <w:rFonts w:eastAsia="Franklin Gothic Book" w:cstheme="minorHAnsi"/>
                <w:spacing w:val="-1"/>
                <w:sz w:val="24"/>
              </w:rPr>
              <w:t xml:space="preserve"> r</w:t>
            </w:r>
            <w:r w:rsidRPr="004E6649">
              <w:rPr>
                <w:rFonts w:eastAsia="Franklin Gothic Book" w:cstheme="minorHAnsi"/>
                <w:sz w:val="24"/>
              </w:rPr>
              <w:t>a</w:t>
            </w:r>
            <w:r w:rsidRPr="004E6649">
              <w:rPr>
                <w:rFonts w:eastAsia="Franklin Gothic Book" w:cstheme="minorHAnsi"/>
                <w:spacing w:val="1"/>
                <w:sz w:val="24"/>
              </w:rPr>
              <w:t>t</w:t>
            </w:r>
            <w:r w:rsidRPr="004E6649">
              <w:rPr>
                <w:rFonts w:eastAsia="Franklin Gothic Book" w:cstheme="minorHAnsi"/>
                <w:sz w:val="24"/>
              </w:rPr>
              <w:t>e</w:t>
            </w:r>
            <w:r w:rsidRPr="004E6649">
              <w:rPr>
                <w:rFonts w:eastAsia="Franklin Gothic Book" w:cstheme="minorHAnsi"/>
                <w:spacing w:val="-2"/>
                <w:sz w:val="24"/>
              </w:rPr>
              <w:t xml:space="preserve"> </w:t>
            </w:r>
            <w:r w:rsidRPr="004E6649">
              <w:rPr>
                <w:rFonts w:eastAsia="Franklin Gothic Book" w:cstheme="minorHAnsi"/>
                <w:sz w:val="24"/>
              </w:rPr>
              <w:t>of</w:t>
            </w:r>
            <w:r w:rsidRPr="004E6649">
              <w:rPr>
                <w:rFonts w:eastAsia="Franklin Gothic Book" w:cstheme="minorHAnsi"/>
                <w:spacing w:val="-2"/>
                <w:sz w:val="24"/>
              </w:rPr>
              <w:t xml:space="preserve"> </w:t>
            </w:r>
            <w:r w:rsidRPr="004E6649">
              <w:rPr>
                <w:rFonts w:eastAsia="Franklin Gothic Book" w:cstheme="minorHAnsi"/>
                <w:sz w:val="24"/>
              </w:rPr>
              <w:t>r</w:t>
            </w:r>
            <w:r w:rsidRPr="004E6649">
              <w:rPr>
                <w:rFonts w:eastAsia="Franklin Gothic Book" w:cstheme="minorHAnsi"/>
                <w:spacing w:val="-1"/>
                <w:sz w:val="24"/>
              </w:rPr>
              <w:t>e</w:t>
            </w:r>
            <w:r w:rsidRPr="004E6649">
              <w:rPr>
                <w:rFonts w:eastAsia="Franklin Gothic Book" w:cstheme="minorHAnsi"/>
                <w:sz w:val="24"/>
              </w:rPr>
              <w:t>tu</w:t>
            </w:r>
            <w:r w:rsidRPr="004E6649">
              <w:rPr>
                <w:rFonts w:eastAsia="Franklin Gothic Book" w:cstheme="minorHAnsi"/>
                <w:spacing w:val="-1"/>
                <w:sz w:val="24"/>
              </w:rPr>
              <w:t>r</w:t>
            </w:r>
            <w:r w:rsidRPr="004E6649">
              <w:rPr>
                <w:rFonts w:eastAsia="Franklin Gothic Book" w:cstheme="minorHAnsi"/>
                <w:sz w:val="24"/>
              </w:rPr>
              <w:t>n/ discount rate</w:t>
            </w:r>
          </w:p>
        </w:tc>
        <w:tc>
          <w:tcPr>
            <w:tcW w:w="3780" w:type="pct"/>
          </w:tcPr>
          <w:p w14:paraId="4B87E25D" w14:textId="77777777" w:rsidR="001B6918" w:rsidRPr="004E6649" w:rsidRDefault="001B6918" w:rsidP="00730ECF">
            <w:pPr>
              <w:widowControl w:val="0"/>
              <w:rPr>
                <w:rFonts w:eastAsia="Franklin Gothic Book" w:cstheme="minorHAnsi"/>
                <w:sz w:val="24"/>
              </w:rPr>
            </w:pPr>
            <w:r w:rsidRPr="004E6649">
              <w:rPr>
                <w:rFonts w:eastAsia="Franklin Gothic Book" w:cstheme="minorHAnsi"/>
                <w:sz w:val="24"/>
              </w:rPr>
              <w:t>202</w:t>
            </w:r>
            <w:r>
              <w:rPr>
                <w:rFonts w:eastAsia="Franklin Gothic Book" w:cstheme="minorHAnsi"/>
                <w:sz w:val="24"/>
              </w:rPr>
              <w:t>1</w:t>
            </w:r>
            <w:r w:rsidRPr="004E6649">
              <w:rPr>
                <w:rFonts w:eastAsia="Franklin Gothic Book" w:cstheme="minorHAnsi"/>
                <w:sz w:val="24"/>
              </w:rPr>
              <w:t xml:space="preserve"> to 202</w:t>
            </w:r>
            <w:r>
              <w:rPr>
                <w:rFonts w:eastAsia="Franklin Gothic Book" w:cstheme="minorHAnsi"/>
                <w:sz w:val="24"/>
              </w:rPr>
              <w:t>5</w:t>
            </w:r>
            <w:r w:rsidRPr="004E6649">
              <w:rPr>
                <w:rFonts w:eastAsia="Franklin Gothic Book" w:cstheme="minorHAnsi"/>
                <w:sz w:val="24"/>
              </w:rPr>
              <w:t>: 7.25%</w:t>
            </w:r>
            <w:r w:rsidRPr="00730ECF">
              <w:rPr>
                <w:rFonts w:eastAsia="Franklin Gothic Book" w:cstheme="minorHAnsi"/>
                <w:sz w:val="24"/>
              </w:rPr>
              <w:t xml:space="preserve"> net of investment expenses, including inflation</w:t>
            </w:r>
          </w:p>
          <w:p w14:paraId="3703E3B3" w14:textId="77777777" w:rsidR="001B6918" w:rsidRPr="00730ECF" w:rsidRDefault="001B6918" w:rsidP="00730ECF">
            <w:pPr>
              <w:widowControl w:val="0"/>
              <w:rPr>
                <w:rFonts w:eastAsia="Franklin Gothic Book" w:cstheme="minorHAnsi"/>
                <w:sz w:val="24"/>
              </w:rPr>
            </w:pPr>
            <w:r w:rsidRPr="004E6649">
              <w:rPr>
                <w:rFonts w:eastAsia="Franklin Gothic Book" w:cstheme="minorHAnsi"/>
                <w:sz w:val="24"/>
              </w:rPr>
              <w:t>2017 to 20</w:t>
            </w:r>
            <w:r>
              <w:rPr>
                <w:rFonts w:eastAsia="Franklin Gothic Book" w:cstheme="minorHAnsi"/>
                <w:sz w:val="24"/>
              </w:rPr>
              <w:t>20</w:t>
            </w:r>
            <w:r w:rsidRPr="004E6649">
              <w:rPr>
                <w:rFonts w:eastAsia="Franklin Gothic Book" w:cstheme="minorHAnsi"/>
                <w:sz w:val="24"/>
              </w:rPr>
              <w:t xml:space="preserve">: </w:t>
            </w:r>
            <w:r w:rsidRPr="00730ECF">
              <w:rPr>
                <w:rFonts w:eastAsia="Franklin Gothic Book" w:cstheme="minorHAnsi"/>
                <w:sz w:val="24"/>
              </w:rPr>
              <w:t>7.5% net of investment expenses, including inflation</w:t>
            </w:r>
          </w:p>
          <w:p w14:paraId="2B4322AB" w14:textId="77777777" w:rsidR="001B6918" w:rsidRPr="00730ECF" w:rsidRDefault="001B6918" w:rsidP="00730ECF">
            <w:pPr>
              <w:widowControl w:val="0"/>
              <w:rPr>
                <w:rFonts w:eastAsia="Franklin Gothic Book" w:cstheme="minorHAnsi"/>
                <w:sz w:val="24"/>
              </w:rPr>
            </w:pPr>
            <w:r w:rsidRPr="00730ECF">
              <w:rPr>
                <w:rFonts w:eastAsia="Franklin Gothic Book" w:cstheme="minorHAnsi"/>
                <w:sz w:val="24"/>
              </w:rPr>
              <w:t>2016: 7.75% net of investment expenses, including inflation</w:t>
            </w:r>
          </w:p>
        </w:tc>
      </w:tr>
    </w:tbl>
    <w:p w14:paraId="1341FDEE" w14:textId="77777777" w:rsidR="001B6918" w:rsidRPr="004E6649" w:rsidRDefault="001B6918" w:rsidP="001B6918">
      <w:pPr>
        <w:pStyle w:val="AFR4"/>
        <w:spacing w:before="0" w:after="0"/>
        <w:rPr>
          <w:rFonts w:cstheme="minorHAnsi"/>
          <w:b w:val="0"/>
          <w:u w:val="none"/>
        </w:rPr>
      </w:pPr>
    </w:p>
    <w:tbl>
      <w:tblPr>
        <w:tblW w:w="10722" w:type="dxa"/>
        <w:tblLayout w:type="fixed"/>
        <w:tblLook w:val="04A0" w:firstRow="1" w:lastRow="0" w:firstColumn="1" w:lastColumn="0" w:noHBand="0" w:noVBand="1"/>
      </w:tblPr>
      <w:tblGrid>
        <w:gridCol w:w="2900"/>
        <w:gridCol w:w="861"/>
        <w:gridCol w:w="861"/>
        <w:gridCol w:w="861"/>
        <w:gridCol w:w="907"/>
        <w:gridCol w:w="900"/>
        <w:gridCol w:w="900"/>
        <w:gridCol w:w="810"/>
        <w:gridCol w:w="861"/>
        <w:gridCol w:w="861"/>
      </w:tblGrid>
      <w:tr w:rsidR="001B6918" w:rsidRPr="004E6649" w14:paraId="21494222" w14:textId="77777777" w:rsidTr="00034DE3">
        <w:trPr>
          <w:trHeight w:val="707"/>
          <w:tblHeader/>
        </w:trPr>
        <w:tc>
          <w:tcPr>
            <w:tcW w:w="2900" w:type="dxa"/>
            <w:tcBorders>
              <w:top w:val="nil"/>
              <w:left w:val="nil"/>
              <w:bottom w:val="single" w:sz="12" w:space="0" w:color="000000" w:themeColor="text1"/>
              <w:right w:val="nil"/>
            </w:tcBorders>
            <w:shd w:val="clear" w:color="000000" w:fill="FFFFFF"/>
            <w:vAlign w:val="bottom"/>
            <w:hideMark/>
          </w:tcPr>
          <w:p w14:paraId="65B75BB1" w14:textId="77777777" w:rsidR="001B6918" w:rsidRPr="004E6649" w:rsidRDefault="001B6918" w:rsidP="00730ECF">
            <w:pPr>
              <w:rPr>
                <w:rFonts w:eastAsia="Times New Roman" w:cstheme="minorHAnsi"/>
                <w:b/>
                <w:bCs/>
                <w:color w:val="0D0D0D"/>
                <w:sz w:val="20"/>
              </w:rPr>
            </w:pPr>
            <w:r w:rsidRPr="004E6649">
              <w:rPr>
                <w:rFonts w:eastAsiaTheme="majorEastAsia" w:cstheme="minorHAnsi"/>
                <w:b/>
                <w:i/>
                <w:iCs/>
                <w:smallCaps/>
                <w:noProof/>
                <w:color w:val="000000" w:themeColor="text1"/>
                <w:sz w:val="20"/>
                <w:u w:color="5B9BD5"/>
              </w:rPr>
              <w:lastRenderedPageBreak/>
              <w:fldChar w:fldCharType="begin"/>
            </w:r>
            <w:r w:rsidRPr="004E6649">
              <w:rPr>
                <w:rFonts w:eastAsiaTheme="majorEastAsia" w:cstheme="minorHAnsi"/>
                <w:b/>
                <w:i/>
                <w:iCs/>
                <w:smallCaps/>
                <w:noProof/>
                <w:color w:val="000000" w:themeColor="text1"/>
                <w:sz w:val="20"/>
                <w:u w:color="5B9BD5"/>
              </w:rPr>
              <w:fldChar w:fldCharType="end"/>
            </w:r>
            <w:r w:rsidRPr="004E6649">
              <w:rPr>
                <w:rFonts w:eastAsia="Times New Roman" w:cstheme="minorHAnsi"/>
                <w:b/>
                <w:bCs/>
                <w:color w:val="0D0D0D"/>
                <w:sz w:val="20"/>
              </w:rPr>
              <w:t>Investment Returns:</w:t>
            </w:r>
            <w:r w:rsidRPr="004E6649">
              <w:rPr>
                <w:rFonts w:eastAsia="Times New Roman" w:cstheme="minorHAnsi"/>
                <w:b/>
                <w:bCs/>
                <w:color w:val="0D0D0D"/>
                <w:sz w:val="20"/>
              </w:rPr>
              <w:br/>
              <w:t>Fiscal Year Ended June 30</w:t>
            </w:r>
          </w:p>
        </w:tc>
        <w:tc>
          <w:tcPr>
            <w:tcW w:w="861" w:type="dxa"/>
            <w:tcBorders>
              <w:top w:val="nil"/>
              <w:left w:val="nil"/>
              <w:bottom w:val="single" w:sz="12" w:space="0" w:color="000000" w:themeColor="text1"/>
              <w:right w:val="nil"/>
            </w:tcBorders>
            <w:shd w:val="clear" w:color="auto" w:fill="F2F2F2" w:themeFill="background1" w:themeFillShade="F2"/>
            <w:vAlign w:val="bottom"/>
          </w:tcPr>
          <w:p w14:paraId="46457309" w14:textId="77777777" w:rsidR="001B6918" w:rsidRDefault="001B6918" w:rsidP="00730ECF">
            <w:pPr>
              <w:jc w:val="center"/>
              <w:rPr>
                <w:rFonts w:eastAsia="Times New Roman" w:cstheme="minorHAnsi"/>
                <w:b/>
                <w:bCs/>
                <w:color w:val="0D0D0D"/>
                <w:sz w:val="20"/>
              </w:rPr>
            </w:pPr>
            <w:r>
              <w:rPr>
                <w:rFonts w:eastAsia="Times New Roman" w:cstheme="minorHAnsi"/>
                <w:b/>
                <w:bCs/>
                <w:color w:val="0D0D0D"/>
                <w:sz w:val="20"/>
              </w:rPr>
              <w:t>2025</w:t>
            </w:r>
          </w:p>
        </w:tc>
        <w:tc>
          <w:tcPr>
            <w:tcW w:w="861" w:type="dxa"/>
            <w:tcBorders>
              <w:top w:val="nil"/>
              <w:left w:val="nil"/>
              <w:bottom w:val="single" w:sz="12" w:space="0" w:color="000000" w:themeColor="text1"/>
              <w:right w:val="nil"/>
            </w:tcBorders>
            <w:vAlign w:val="bottom"/>
          </w:tcPr>
          <w:p w14:paraId="715B0306" w14:textId="77777777" w:rsidR="001B6918" w:rsidRPr="004E6649" w:rsidRDefault="001B6918" w:rsidP="00730ECF">
            <w:pPr>
              <w:jc w:val="center"/>
              <w:rPr>
                <w:rFonts w:eastAsia="Times New Roman" w:cstheme="minorHAnsi"/>
                <w:b/>
                <w:bCs/>
                <w:color w:val="0D0D0D"/>
                <w:sz w:val="20"/>
              </w:rPr>
            </w:pPr>
            <w:r>
              <w:rPr>
                <w:rFonts w:eastAsia="Times New Roman" w:cstheme="minorHAnsi"/>
                <w:b/>
                <w:bCs/>
                <w:color w:val="0D0D0D"/>
                <w:sz w:val="20"/>
              </w:rPr>
              <w:t>2024</w:t>
            </w:r>
          </w:p>
        </w:tc>
        <w:tc>
          <w:tcPr>
            <w:tcW w:w="861" w:type="dxa"/>
            <w:tcBorders>
              <w:top w:val="nil"/>
              <w:left w:val="nil"/>
              <w:bottom w:val="single" w:sz="12" w:space="0" w:color="000000" w:themeColor="text1"/>
              <w:right w:val="nil"/>
            </w:tcBorders>
            <w:shd w:val="clear" w:color="auto" w:fill="F2F2F2" w:themeFill="background1" w:themeFillShade="F2"/>
            <w:vAlign w:val="bottom"/>
          </w:tcPr>
          <w:p w14:paraId="4B8FE674" w14:textId="77777777" w:rsidR="001B6918" w:rsidRPr="004E6649" w:rsidRDefault="001B6918" w:rsidP="00730ECF">
            <w:pPr>
              <w:jc w:val="center"/>
              <w:rPr>
                <w:rFonts w:eastAsia="Times New Roman" w:cstheme="minorHAnsi"/>
                <w:b/>
                <w:bCs/>
                <w:color w:val="0D0D0D"/>
                <w:sz w:val="20"/>
              </w:rPr>
            </w:pPr>
            <w:r w:rsidRPr="004E6649">
              <w:rPr>
                <w:rFonts w:eastAsia="Times New Roman" w:cstheme="minorHAnsi"/>
                <w:b/>
                <w:bCs/>
                <w:color w:val="0D0D0D"/>
                <w:sz w:val="20"/>
              </w:rPr>
              <w:t>2023</w:t>
            </w:r>
          </w:p>
        </w:tc>
        <w:tc>
          <w:tcPr>
            <w:tcW w:w="907" w:type="dxa"/>
            <w:tcBorders>
              <w:top w:val="nil"/>
              <w:left w:val="nil"/>
              <w:bottom w:val="single" w:sz="12" w:space="0" w:color="000000" w:themeColor="text1"/>
              <w:right w:val="nil"/>
            </w:tcBorders>
            <w:vAlign w:val="bottom"/>
          </w:tcPr>
          <w:p w14:paraId="6A88D1EB" w14:textId="77777777" w:rsidR="001B6918" w:rsidRPr="004E6649" w:rsidRDefault="001B6918" w:rsidP="00730ECF">
            <w:pPr>
              <w:jc w:val="center"/>
              <w:rPr>
                <w:rFonts w:eastAsia="Times New Roman" w:cstheme="minorHAnsi"/>
                <w:b/>
                <w:bCs/>
                <w:color w:val="0D0D0D"/>
                <w:sz w:val="20"/>
              </w:rPr>
            </w:pPr>
            <w:r w:rsidRPr="004E6649">
              <w:rPr>
                <w:rFonts w:eastAsia="Times New Roman" w:cstheme="minorHAnsi"/>
                <w:b/>
                <w:bCs/>
                <w:color w:val="0D0D0D"/>
                <w:sz w:val="20"/>
              </w:rPr>
              <w:t>2022</w:t>
            </w:r>
          </w:p>
        </w:tc>
        <w:tc>
          <w:tcPr>
            <w:tcW w:w="900" w:type="dxa"/>
            <w:tcBorders>
              <w:top w:val="nil"/>
              <w:left w:val="nil"/>
              <w:bottom w:val="single" w:sz="12" w:space="0" w:color="000000" w:themeColor="text1"/>
              <w:right w:val="nil"/>
            </w:tcBorders>
            <w:shd w:val="clear" w:color="auto" w:fill="F2F2F2" w:themeFill="background1" w:themeFillShade="F2"/>
            <w:vAlign w:val="bottom"/>
          </w:tcPr>
          <w:p w14:paraId="1DEA2626" w14:textId="77777777" w:rsidR="001B6918" w:rsidRPr="004E6649" w:rsidRDefault="001B6918" w:rsidP="00730ECF">
            <w:pPr>
              <w:jc w:val="center"/>
              <w:rPr>
                <w:rFonts w:eastAsia="Times New Roman" w:cstheme="minorHAnsi"/>
                <w:b/>
                <w:bCs/>
                <w:color w:val="0D0D0D"/>
                <w:sz w:val="20"/>
              </w:rPr>
            </w:pPr>
            <w:r w:rsidRPr="004E6649">
              <w:rPr>
                <w:rFonts w:eastAsia="Times New Roman" w:cstheme="minorHAnsi"/>
                <w:b/>
                <w:bCs/>
                <w:color w:val="0D0D0D"/>
                <w:sz w:val="20"/>
              </w:rPr>
              <w:t>2021</w:t>
            </w:r>
          </w:p>
        </w:tc>
        <w:tc>
          <w:tcPr>
            <w:tcW w:w="900" w:type="dxa"/>
            <w:tcBorders>
              <w:top w:val="nil"/>
              <w:left w:val="nil"/>
              <w:bottom w:val="single" w:sz="12" w:space="0" w:color="000000" w:themeColor="text1"/>
              <w:right w:val="nil"/>
            </w:tcBorders>
            <w:shd w:val="clear" w:color="000000" w:fill="FFFFFF"/>
            <w:noWrap/>
            <w:vAlign w:val="bottom"/>
            <w:hideMark/>
          </w:tcPr>
          <w:p w14:paraId="3AC64A5C" w14:textId="77777777" w:rsidR="001B6918" w:rsidRPr="004E6649" w:rsidRDefault="001B6918" w:rsidP="00730ECF">
            <w:pPr>
              <w:jc w:val="center"/>
              <w:rPr>
                <w:rFonts w:eastAsia="Times New Roman" w:cstheme="minorHAnsi"/>
                <w:b/>
                <w:bCs/>
                <w:color w:val="0D0D0D"/>
                <w:sz w:val="20"/>
              </w:rPr>
            </w:pPr>
            <w:r w:rsidRPr="004E6649">
              <w:rPr>
                <w:rFonts w:eastAsia="Times New Roman" w:cstheme="minorHAnsi"/>
                <w:b/>
                <w:bCs/>
                <w:color w:val="0D0D0D"/>
                <w:sz w:val="20"/>
              </w:rPr>
              <w:t>2020</w:t>
            </w:r>
          </w:p>
        </w:tc>
        <w:tc>
          <w:tcPr>
            <w:tcW w:w="810" w:type="dxa"/>
            <w:tcBorders>
              <w:top w:val="nil"/>
              <w:left w:val="nil"/>
              <w:bottom w:val="single" w:sz="12" w:space="0" w:color="000000" w:themeColor="text1"/>
              <w:right w:val="nil"/>
            </w:tcBorders>
            <w:shd w:val="clear" w:color="auto" w:fill="F2F2F2" w:themeFill="background1" w:themeFillShade="F2"/>
            <w:noWrap/>
            <w:vAlign w:val="bottom"/>
            <w:hideMark/>
          </w:tcPr>
          <w:p w14:paraId="641F7AFE" w14:textId="77777777" w:rsidR="001B6918" w:rsidRPr="004E6649" w:rsidRDefault="001B6918" w:rsidP="00730ECF">
            <w:pPr>
              <w:jc w:val="center"/>
              <w:rPr>
                <w:rFonts w:eastAsia="Times New Roman" w:cstheme="minorHAnsi"/>
                <w:b/>
                <w:bCs/>
                <w:color w:val="0D0D0D"/>
                <w:sz w:val="20"/>
              </w:rPr>
            </w:pPr>
            <w:r w:rsidRPr="004E6649">
              <w:rPr>
                <w:rFonts w:eastAsia="Times New Roman" w:cstheme="minorHAnsi"/>
                <w:b/>
                <w:bCs/>
                <w:color w:val="0D0D0D"/>
                <w:sz w:val="20"/>
              </w:rPr>
              <w:t>2019</w:t>
            </w:r>
          </w:p>
        </w:tc>
        <w:tc>
          <w:tcPr>
            <w:tcW w:w="861" w:type="dxa"/>
            <w:tcBorders>
              <w:top w:val="nil"/>
              <w:left w:val="nil"/>
              <w:bottom w:val="single" w:sz="12" w:space="0" w:color="000000" w:themeColor="text1"/>
              <w:right w:val="nil"/>
            </w:tcBorders>
            <w:shd w:val="clear" w:color="000000" w:fill="FFFFFF"/>
            <w:noWrap/>
            <w:vAlign w:val="bottom"/>
            <w:hideMark/>
          </w:tcPr>
          <w:p w14:paraId="26BE5EBB" w14:textId="77777777" w:rsidR="001B6918" w:rsidRPr="004E6649" w:rsidRDefault="001B6918" w:rsidP="00730ECF">
            <w:pPr>
              <w:jc w:val="center"/>
              <w:rPr>
                <w:rFonts w:eastAsia="Times New Roman" w:cstheme="minorHAnsi"/>
                <w:b/>
                <w:bCs/>
                <w:color w:val="0D0D0D"/>
                <w:sz w:val="20"/>
              </w:rPr>
            </w:pPr>
            <w:r w:rsidRPr="004E6649">
              <w:rPr>
                <w:rFonts w:eastAsia="Times New Roman" w:cstheme="minorHAnsi"/>
                <w:b/>
                <w:bCs/>
                <w:color w:val="0D0D0D"/>
                <w:sz w:val="20"/>
              </w:rPr>
              <w:t>2018</w:t>
            </w:r>
          </w:p>
        </w:tc>
        <w:tc>
          <w:tcPr>
            <w:tcW w:w="861" w:type="dxa"/>
            <w:tcBorders>
              <w:top w:val="nil"/>
              <w:left w:val="nil"/>
              <w:bottom w:val="single" w:sz="12" w:space="0" w:color="000000" w:themeColor="text1"/>
              <w:right w:val="nil"/>
            </w:tcBorders>
            <w:shd w:val="clear" w:color="auto" w:fill="F2F2F2" w:themeFill="background1" w:themeFillShade="F2"/>
            <w:noWrap/>
            <w:vAlign w:val="bottom"/>
            <w:hideMark/>
          </w:tcPr>
          <w:p w14:paraId="7044FA75" w14:textId="77777777" w:rsidR="001B6918" w:rsidRPr="004E6649" w:rsidRDefault="001B6918" w:rsidP="00730ECF">
            <w:pPr>
              <w:jc w:val="center"/>
              <w:rPr>
                <w:rFonts w:eastAsia="Times New Roman" w:cstheme="minorHAnsi"/>
                <w:b/>
                <w:bCs/>
                <w:color w:val="0D0D0D"/>
                <w:sz w:val="20"/>
              </w:rPr>
            </w:pPr>
            <w:r w:rsidRPr="004E6649">
              <w:rPr>
                <w:rFonts w:eastAsia="Times New Roman" w:cstheme="minorHAnsi"/>
                <w:b/>
                <w:bCs/>
                <w:color w:val="0D0D0D"/>
                <w:sz w:val="20"/>
              </w:rPr>
              <w:t>2017</w:t>
            </w:r>
          </w:p>
        </w:tc>
      </w:tr>
      <w:tr w:rsidR="001B6918" w:rsidRPr="004E6649" w14:paraId="58A3A1EE" w14:textId="77777777" w:rsidTr="00034DE3">
        <w:trPr>
          <w:trHeight w:val="304"/>
        </w:trPr>
        <w:tc>
          <w:tcPr>
            <w:tcW w:w="2900" w:type="dxa"/>
            <w:tcBorders>
              <w:top w:val="single" w:sz="12" w:space="0" w:color="000000" w:themeColor="text1"/>
              <w:left w:val="nil"/>
              <w:bottom w:val="nil"/>
              <w:right w:val="nil"/>
            </w:tcBorders>
            <w:shd w:val="clear" w:color="000000" w:fill="FFFFFF"/>
            <w:vAlign w:val="bottom"/>
            <w:hideMark/>
          </w:tcPr>
          <w:p w14:paraId="127ACDEC" w14:textId="77777777" w:rsidR="001B6918" w:rsidRPr="004E6649" w:rsidRDefault="001B6918" w:rsidP="00730ECF">
            <w:pPr>
              <w:rPr>
                <w:rFonts w:eastAsia="Times New Roman" w:cstheme="minorHAnsi"/>
                <w:color w:val="0D0D0D"/>
                <w:sz w:val="20"/>
              </w:rPr>
            </w:pPr>
            <w:r w:rsidRPr="004E6649">
              <w:rPr>
                <w:rFonts w:eastAsia="Times New Roman" w:cstheme="minorHAnsi"/>
                <w:color w:val="0D0D0D"/>
                <w:sz w:val="20"/>
              </w:rPr>
              <w:t>Annual money-weighted rate of return, net of investment expenses</w:t>
            </w:r>
          </w:p>
        </w:tc>
        <w:tc>
          <w:tcPr>
            <w:tcW w:w="861" w:type="dxa"/>
            <w:tcBorders>
              <w:top w:val="single" w:sz="12" w:space="0" w:color="000000" w:themeColor="text1"/>
              <w:left w:val="nil"/>
              <w:bottom w:val="nil"/>
              <w:right w:val="nil"/>
            </w:tcBorders>
            <w:shd w:val="clear" w:color="auto" w:fill="F2F2F2" w:themeFill="background1" w:themeFillShade="F2"/>
            <w:vAlign w:val="bottom"/>
          </w:tcPr>
          <w:p w14:paraId="0C3A99B9" w14:textId="77777777" w:rsidR="001B6918" w:rsidRPr="00643226" w:rsidRDefault="001B6918" w:rsidP="00730ECF">
            <w:pPr>
              <w:jc w:val="center"/>
              <w:rPr>
                <w:rFonts w:eastAsia="Times New Roman" w:cstheme="minorHAnsi"/>
                <w:sz w:val="20"/>
              </w:rPr>
            </w:pPr>
            <w:r w:rsidRPr="00DA02D8">
              <w:rPr>
                <w:rFonts w:eastAsia="Times New Roman" w:cstheme="minorHAnsi"/>
                <w:sz w:val="20"/>
              </w:rPr>
              <w:t>9.75</w:t>
            </w:r>
            <w:r w:rsidRPr="00F81F59">
              <w:rPr>
                <w:rFonts w:eastAsia="Times New Roman" w:cstheme="minorHAnsi"/>
                <w:sz w:val="20"/>
              </w:rPr>
              <w:t>%</w:t>
            </w:r>
          </w:p>
        </w:tc>
        <w:tc>
          <w:tcPr>
            <w:tcW w:w="861" w:type="dxa"/>
            <w:tcBorders>
              <w:top w:val="single" w:sz="12" w:space="0" w:color="000000" w:themeColor="text1"/>
              <w:left w:val="nil"/>
              <w:bottom w:val="nil"/>
              <w:right w:val="nil"/>
            </w:tcBorders>
            <w:vAlign w:val="bottom"/>
          </w:tcPr>
          <w:p w14:paraId="3F281085" w14:textId="77777777" w:rsidR="001B6918" w:rsidRPr="004E6649" w:rsidRDefault="001B6918" w:rsidP="00730ECF">
            <w:pPr>
              <w:jc w:val="center"/>
              <w:rPr>
                <w:rFonts w:eastAsia="Times New Roman" w:cstheme="minorHAnsi"/>
                <w:sz w:val="20"/>
              </w:rPr>
            </w:pPr>
            <w:r w:rsidRPr="00643226">
              <w:rPr>
                <w:rFonts w:eastAsia="Times New Roman" w:cstheme="minorHAnsi"/>
                <w:sz w:val="20"/>
              </w:rPr>
              <w:t>11.83</w:t>
            </w:r>
            <w:r w:rsidRPr="00421B00">
              <w:rPr>
                <w:rFonts w:eastAsia="Times New Roman" w:cstheme="minorHAnsi"/>
                <w:sz w:val="20"/>
              </w:rPr>
              <w:t>%</w:t>
            </w:r>
          </w:p>
        </w:tc>
        <w:tc>
          <w:tcPr>
            <w:tcW w:w="861" w:type="dxa"/>
            <w:tcBorders>
              <w:top w:val="single" w:sz="12" w:space="0" w:color="000000" w:themeColor="text1"/>
              <w:left w:val="nil"/>
              <w:bottom w:val="nil"/>
              <w:right w:val="nil"/>
            </w:tcBorders>
            <w:shd w:val="clear" w:color="auto" w:fill="F2F2F2" w:themeFill="background1" w:themeFillShade="F2"/>
            <w:vAlign w:val="bottom"/>
          </w:tcPr>
          <w:p w14:paraId="7F0E8EA3" w14:textId="77777777" w:rsidR="001B6918" w:rsidRPr="004E6649" w:rsidRDefault="001B6918" w:rsidP="00730ECF">
            <w:pPr>
              <w:jc w:val="center"/>
              <w:rPr>
                <w:rFonts w:eastAsia="Times New Roman" w:cstheme="minorHAnsi"/>
                <w:sz w:val="20"/>
              </w:rPr>
            </w:pPr>
            <w:r w:rsidRPr="004E6649">
              <w:rPr>
                <w:rFonts w:eastAsia="Times New Roman" w:cstheme="minorHAnsi"/>
                <w:sz w:val="20"/>
              </w:rPr>
              <w:t>10.67%</w:t>
            </w:r>
          </w:p>
        </w:tc>
        <w:tc>
          <w:tcPr>
            <w:tcW w:w="907" w:type="dxa"/>
            <w:tcBorders>
              <w:top w:val="single" w:sz="12" w:space="0" w:color="000000" w:themeColor="text1"/>
              <w:left w:val="nil"/>
              <w:bottom w:val="nil"/>
              <w:right w:val="nil"/>
            </w:tcBorders>
            <w:vAlign w:val="bottom"/>
          </w:tcPr>
          <w:p w14:paraId="6C82F8A0" w14:textId="77777777" w:rsidR="001B6918" w:rsidRPr="004E6649" w:rsidRDefault="001B6918" w:rsidP="00730ECF">
            <w:pPr>
              <w:jc w:val="center"/>
              <w:rPr>
                <w:rFonts w:eastAsia="Times New Roman" w:cstheme="minorHAnsi"/>
                <w:sz w:val="20"/>
              </w:rPr>
            </w:pPr>
            <w:r>
              <w:rPr>
                <w:rFonts w:eastAsia="Times New Roman" w:cstheme="minorHAnsi"/>
                <w:sz w:val="20"/>
              </w:rPr>
              <w:t>-</w:t>
            </w:r>
            <w:r w:rsidRPr="004E6649">
              <w:rPr>
                <w:rFonts w:eastAsia="Times New Roman" w:cstheme="minorHAnsi"/>
                <w:sz w:val="20"/>
              </w:rPr>
              <w:t>12.59%</w:t>
            </w:r>
          </w:p>
        </w:tc>
        <w:tc>
          <w:tcPr>
            <w:tcW w:w="900" w:type="dxa"/>
            <w:tcBorders>
              <w:top w:val="single" w:sz="12" w:space="0" w:color="000000" w:themeColor="text1"/>
              <w:left w:val="nil"/>
              <w:bottom w:val="nil"/>
              <w:right w:val="nil"/>
            </w:tcBorders>
            <w:shd w:val="clear" w:color="auto" w:fill="F2F2F2" w:themeFill="background1" w:themeFillShade="F2"/>
            <w:vAlign w:val="bottom"/>
          </w:tcPr>
          <w:p w14:paraId="7789043D" w14:textId="77777777" w:rsidR="001B6918" w:rsidRPr="004E6649" w:rsidRDefault="001B6918" w:rsidP="00730ECF">
            <w:pPr>
              <w:jc w:val="center"/>
              <w:rPr>
                <w:rFonts w:eastAsia="Times New Roman" w:cstheme="minorHAnsi"/>
                <w:color w:val="0D0D0D"/>
                <w:sz w:val="20"/>
              </w:rPr>
            </w:pPr>
            <w:r w:rsidRPr="004E6649">
              <w:rPr>
                <w:rFonts w:eastAsia="Times New Roman" w:cstheme="minorHAnsi"/>
                <w:sz w:val="20"/>
              </w:rPr>
              <w:t>26.88%</w:t>
            </w:r>
          </w:p>
        </w:tc>
        <w:tc>
          <w:tcPr>
            <w:tcW w:w="900" w:type="dxa"/>
            <w:tcBorders>
              <w:top w:val="single" w:sz="12" w:space="0" w:color="000000" w:themeColor="text1"/>
              <w:left w:val="nil"/>
              <w:bottom w:val="nil"/>
              <w:right w:val="nil"/>
            </w:tcBorders>
            <w:shd w:val="clear" w:color="000000" w:fill="FFFFFF"/>
            <w:noWrap/>
            <w:vAlign w:val="bottom"/>
            <w:hideMark/>
          </w:tcPr>
          <w:p w14:paraId="5E748A93" w14:textId="77777777" w:rsidR="001B6918" w:rsidRPr="004E6649" w:rsidRDefault="001B6918" w:rsidP="00730ECF">
            <w:pPr>
              <w:jc w:val="center"/>
              <w:rPr>
                <w:rFonts w:eastAsia="Times New Roman" w:cstheme="minorHAnsi"/>
                <w:color w:val="0D0D0D"/>
                <w:sz w:val="20"/>
              </w:rPr>
            </w:pPr>
            <w:r w:rsidRPr="004E6649">
              <w:rPr>
                <w:rFonts w:eastAsia="Times New Roman" w:cstheme="minorHAnsi"/>
                <w:color w:val="0D0D0D"/>
                <w:sz w:val="20"/>
              </w:rPr>
              <w:t>1.16%</w:t>
            </w:r>
          </w:p>
        </w:tc>
        <w:tc>
          <w:tcPr>
            <w:tcW w:w="810" w:type="dxa"/>
            <w:tcBorders>
              <w:top w:val="single" w:sz="12" w:space="0" w:color="000000" w:themeColor="text1"/>
              <w:left w:val="nil"/>
              <w:bottom w:val="nil"/>
              <w:right w:val="nil"/>
            </w:tcBorders>
            <w:shd w:val="clear" w:color="auto" w:fill="F2F2F2" w:themeFill="background1" w:themeFillShade="F2"/>
            <w:noWrap/>
            <w:vAlign w:val="bottom"/>
            <w:hideMark/>
          </w:tcPr>
          <w:p w14:paraId="37F51154" w14:textId="77777777" w:rsidR="001B6918" w:rsidRPr="004E6649" w:rsidRDefault="001B6918" w:rsidP="00730ECF">
            <w:pPr>
              <w:jc w:val="center"/>
              <w:rPr>
                <w:rFonts w:eastAsia="Times New Roman" w:cstheme="minorHAnsi"/>
                <w:color w:val="0D0D0D"/>
                <w:sz w:val="20"/>
              </w:rPr>
            </w:pPr>
            <w:r w:rsidRPr="004E6649">
              <w:rPr>
                <w:rFonts w:eastAsia="Times New Roman" w:cstheme="minorHAnsi"/>
                <w:color w:val="0D0D0D"/>
                <w:sz w:val="20"/>
              </w:rPr>
              <w:t>2.81%</w:t>
            </w:r>
          </w:p>
        </w:tc>
        <w:tc>
          <w:tcPr>
            <w:tcW w:w="861" w:type="dxa"/>
            <w:tcBorders>
              <w:top w:val="single" w:sz="12" w:space="0" w:color="000000" w:themeColor="text1"/>
              <w:left w:val="nil"/>
              <w:bottom w:val="nil"/>
              <w:right w:val="nil"/>
            </w:tcBorders>
            <w:shd w:val="clear" w:color="000000" w:fill="FFFFFF"/>
            <w:noWrap/>
            <w:vAlign w:val="bottom"/>
            <w:hideMark/>
          </w:tcPr>
          <w:p w14:paraId="4FA69AE2" w14:textId="77777777" w:rsidR="001B6918" w:rsidRPr="004E6649" w:rsidRDefault="001B6918" w:rsidP="00730ECF">
            <w:pPr>
              <w:jc w:val="center"/>
              <w:rPr>
                <w:rFonts w:eastAsia="Times New Roman" w:cstheme="minorHAnsi"/>
                <w:color w:val="0D0D0D"/>
                <w:sz w:val="20"/>
              </w:rPr>
            </w:pPr>
            <w:r w:rsidRPr="004E6649">
              <w:rPr>
                <w:rFonts w:eastAsia="Times New Roman" w:cstheme="minorHAnsi"/>
                <w:color w:val="0D0D0D"/>
                <w:sz w:val="20"/>
              </w:rPr>
              <w:t>6.90%</w:t>
            </w:r>
          </w:p>
        </w:tc>
        <w:tc>
          <w:tcPr>
            <w:tcW w:w="861" w:type="dxa"/>
            <w:tcBorders>
              <w:top w:val="single" w:sz="12" w:space="0" w:color="000000" w:themeColor="text1"/>
              <w:left w:val="nil"/>
              <w:bottom w:val="nil"/>
              <w:right w:val="nil"/>
            </w:tcBorders>
            <w:shd w:val="clear" w:color="auto" w:fill="F2F2F2" w:themeFill="background1" w:themeFillShade="F2"/>
            <w:noWrap/>
            <w:vAlign w:val="bottom"/>
            <w:hideMark/>
          </w:tcPr>
          <w:p w14:paraId="4590A200" w14:textId="77777777" w:rsidR="001B6918" w:rsidRPr="004E6649" w:rsidRDefault="001B6918" w:rsidP="00730ECF">
            <w:pPr>
              <w:jc w:val="center"/>
              <w:rPr>
                <w:rFonts w:eastAsia="Times New Roman" w:cstheme="minorHAnsi"/>
                <w:color w:val="0D0D0D"/>
                <w:sz w:val="20"/>
              </w:rPr>
            </w:pPr>
            <w:r w:rsidRPr="004E6649">
              <w:rPr>
                <w:rFonts w:eastAsia="Times New Roman" w:cstheme="minorHAnsi"/>
                <w:color w:val="0D0D0D"/>
                <w:sz w:val="20"/>
              </w:rPr>
              <w:t>11.56%</w:t>
            </w:r>
          </w:p>
        </w:tc>
      </w:tr>
    </w:tbl>
    <w:p w14:paraId="18880FB0" w14:textId="77777777" w:rsidR="001B6918" w:rsidRPr="004E6649" w:rsidRDefault="001B6918" w:rsidP="001B6918">
      <w:pPr>
        <w:tabs>
          <w:tab w:val="left" w:pos="1440"/>
          <w:tab w:val="left" w:pos="7200"/>
        </w:tabs>
        <w:spacing w:before="240"/>
        <w:rPr>
          <w:rFonts w:cstheme="minorHAnsi"/>
          <w:b/>
          <w:sz w:val="28"/>
          <w:szCs w:val="28"/>
        </w:rPr>
      </w:pPr>
      <w:r w:rsidRPr="004E6649">
        <w:rPr>
          <w:rFonts w:cstheme="minorHAnsi"/>
          <w:sz w:val="24"/>
          <w:szCs w:val="20"/>
        </w:rPr>
        <w:t>The money-weighted rate of return considers the changing amounts actually invested during a period and weights the amount of OPEB plan investments by the proportion of time they are available to earn a return during that period. The rate of return is then calculated by solving, through an iterative process, for the rate that equates the sum of the weighted external cash flows into and out of the OPEB plan investments to the ending fair value of OPEB plan investments.</w:t>
      </w:r>
    </w:p>
    <w:p w14:paraId="36CE9FD1" w14:textId="77777777" w:rsidR="001B6918" w:rsidRPr="004E6649" w:rsidRDefault="001B6918" w:rsidP="001B6918">
      <w:pPr>
        <w:tabs>
          <w:tab w:val="left" w:pos="1440"/>
          <w:tab w:val="left" w:pos="7200"/>
        </w:tabs>
        <w:rPr>
          <w:rFonts w:cstheme="minorHAnsi"/>
          <w:szCs w:val="20"/>
        </w:rPr>
        <w:sectPr w:rsidR="001B6918" w:rsidRPr="004E6649" w:rsidSect="00DC059D">
          <w:footerReference w:type="first" r:id="rId60"/>
          <w:type w:val="nextColumn"/>
          <w:pgSz w:w="12240" w:h="15840" w:code="1"/>
          <w:pgMar w:top="1440" w:right="1152" w:bottom="1440" w:left="1152" w:header="720" w:footer="720" w:gutter="0"/>
          <w:cols w:space="0"/>
          <w:titlePg/>
          <w:docGrid w:linePitch="360"/>
        </w:sectPr>
      </w:pPr>
    </w:p>
    <w:p w14:paraId="2FD5D657" w14:textId="77777777" w:rsidR="001B6918" w:rsidRPr="004E6649" w:rsidRDefault="001B6918" w:rsidP="001B6918">
      <w:pPr>
        <w:pBdr>
          <w:bottom w:val="single" w:sz="4" w:space="1" w:color="auto"/>
        </w:pBdr>
        <w:rPr>
          <w:rFonts w:cstheme="minorHAnsi"/>
          <w:b/>
          <w:i/>
          <w:smallCaps/>
          <w:sz w:val="24"/>
          <w:szCs w:val="24"/>
          <w:u w:color="000000" w:themeColor="text1"/>
        </w:rPr>
      </w:pPr>
      <w:r w:rsidRPr="004E6649">
        <w:rPr>
          <w:rFonts w:cstheme="minorHAnsi"/>
          <w:b/>
          <w:i/>
          <w:smallCaps/>
          <w:sz w:val="24"/>
          <w:szCs w:val="24"/>
          <w:u w:color="000000" w:themeColor="text1"/>
        </w:rPr>
        <w:lastRenderedPageBreak/>
        <w:t>UNIVERSITY OF MAINE SYSTEM</w:t>
      </w:r>
    </w:p>
    <w:p w14:paraId="398C9109" w14:textId="77777777" w:rsidR="001B6918" w:rsidRPr="004E6649" w:rsidRDefault="001B6918" w:rsidP="001B6918">
      <w:pPr>
        <w:pStyle w:val="AFR1"/>
        <w:pBdr>
          <w:bottom w:val="single" w:sz="4" w:space="1" w:color="auto"/>
        </w:pBdr>
        <w:spacing w:after="0"/>
        <w:rPr>
          <w:rFonts w:asciiTheme="minorHAnsi" w:hAnsiTheme="minorHAnsi" w:cstheme="minorHAnsi"/>
          <w:smallCaps/>
          <w:sz w:val="12"/>
          <w:szCs w:val="32"/>
        </w:rPr>
      </w:pPr>
      <w:bookmarkStart w:id="19" w:name="SISTME"/>
      <w:r w:rsidRPr="004E6649">
        <w:rPr>
          <w:rFonts w:asciiTheme="minorHAnsi" w:hAnsiTheme="minorHAnsi" w:cstheme="minorHAnsi"/>
          <w:caps w:val="0"/>
          <w:smallCaps/>
          <w:sz w:val="24"/>
          <w:szCs w:val="32"/>
        </w:rPr>
        <w:t>SUPPLEMENTAL INFORMATION REQUIRED BY THE STATE OF MAINE</w:t>
      </w:r>
    </w:p>
    <w:bookmarkEnd w:id="19"/>
    <w:p w14:paraId="60A4E068" w14:textId="77777777" w:rsidR="001B6918" w:rsidRPr="004E6649" w:rsidRDefault="001B6918" w:rsidP="001B6918">
      <w:pPr>
        <w:pStyle w:val="AFR1"/>
        <w:pBdr>
          <w:bottom w:val="single" w:sz="4" w:space="1" w:color="auto"/>
        </w:pBdr>
        <w:spacing w:after="0"/>
        <w:rPr>
          <w:rFonts w:asciiTheme="minorHAnsi" w:hAnsiTheme="minorHAnsi" w:cstheme="minorHAnsi"/>
          <w:smallCaps/>
          <w:sz w:val="24"/>
          <w:szCs w:val="32"/>
        </w:rPr>
      </w:pPr>
      <w:r w:rsidRPr="004E6649">
        <w:rPr>
          <w:rFonts w:asciiTheme="minorHAnsi" w:hAnsiTheme="minorHAnsi" w:cstheme="minorHAnsi"/>
          <w:caps w:val="0"/>
          <w:smallCaps/>
          <w:sz w:val="24"/>
          <w:szCs w:val="32"/>
        </w:rPr>
        <w:t>SCHEDULES OF ACTIVITIES</w:t>
      </w:r>
    </w:p>
    <w:p w14:paraId="3041E354" w14:textId="77777777" w:rsidR="001B6918" w:rsidRPr="004E6649" w:rsidRDefault="001B6918" w:rsidP="001B6918">
      <w:pPr>
        <w:pStyle w:val="AFR1"/>
        <w:pBdr>
          <w:bottom w:val="single" w:sz="4" w:space="1" w:color="auto"/>
        </w:pBdr>
        <w:rPr>
          <w:rFonts w:asciiTheme="minorHAnsi" w:hAnsiTheme="minorHAnsi" w:cstheme="minorHAnsi"/>
          <w:smallCaps/>
          <w:sz w:val="20"/>
          <w:szCs w:val="20"/>
        </w:rPr>
      </w:pPr>
      <w:r w:rsidRPr="004E6649">
        <w:rPr>
          <w:rFonts w:asciiTheme="minorHAnsi" w:hAnsiTheme="minorHAnsi" w:cstheme="minorHAnsi"/>
          <w:caps w:val="0"/>
          <w:smallCaps/>
          <w:sz w:val="20"/>
          <w:szCs w:val="20"/>
        </w:rPr>
        <w:t>(IN THOUSANDS)</w:t>
      </w:r>
    </w:p>
    <w:tbl>
      <w:tblPr>
        <w:tblW w:w="11287" w:type="dxa"/>
        <w:jc w:val="center"/>
        <w:tblLook w:val="04A0" w:firstRow="1" w:lastRow="0" w:firstColumn="1" w:lastColumn="0" w:noHBand="0" w:noVBand="1"/>
      </w:tblPr>
      <w:tblGrid>
        <w:gridCol w:w="2700"/>
        <w:gridCol w:w="1887"/>
        <w:gridCol w:w="1052"/>
        <w:gridCol w:w="1381"/>
        <w:gridCol w:w="307"/>
        <w:gridCol w:w="1163"/>
        <w:gridCol w:w="305"/>
        <w:gridCol w:w="1163"/>
        <w:gridCol w:w="305"/>
        <w:gridCol w:w="1024"/>
      </w:tblGrid>
      <w:tr w:rsidR="001B6918" w:rsidRPr="004E6649" w14:paraId="1CC0BCF6" w14:textId="77777777" w:rsidTr="003766F2">
        <w:trPr>
          <w:trHeight w:val="315"/>
          <w:jc w:val="center"/>
        </w:trPr>
        <w:tc>
          <w:tcPr>
            <w:tcW w:w="11287" w:type="dxa"/>
            <w:gridSpan w:val="10"/>
            <w:tcBorders>
              <w:top w:val="nil"/>
              <w:left w:val="nil"/>
              <w:bottom w:val="single" w:sz="12" w:space="0" w:color="000000" w:themeColor="text1"/>
              <w:right w:val="nil"/>
            </w:tcBorders>
            <w:shd w:val="clear" w:color="000000" w:fill="FFFFFF"/>
            <w:noWrap/>
            <w:vAlign w:val="bottom"/>
            <w:hideMark/>
          </w:tcPr>
          <w:p w14:paraId="6ABAD66B" w14:textId="77777777" w:rsidR="001B6918" w:rsidRPr="004E6649" w:rsidRDefault="001B6918" w:rsidP="00730ECF">
            <w:pPr>
              <w:jc w:val="center"/>
              <w:rPr>
                <w:rFonts w:eastAsia="Times New Roman" w:cstheme="minorHAnsi"/>
                <w:b/>
                <w:bCs/>
              </w:rPr>
            </w:pPr>
            <w:r w:rsidRPr="004E6649">
              <w:rPr>
                <w:rFonts w:eastAsia="Times New Roman" w:cstheme="minorHAnsi"/>
                <w:b/>
                <w:bCs/>
              </w:rPr>
              <w:t>Year Ended June 30, 202</w:t>
            </w:r>
            <w:r>
              <w:rPr>
                <w:rFonts w:eastAsia="Times New Roman" w:cstheme="minorHAnsi"/>
                <w:b/>
                <w:bCs/>
              </w:rPr>
              <w:t>5</w:t>
            </w:r>
          </w:p>
        </w:tc>
      </w:tr>
      <w:tr w:rsidR="001B6918" w:rsidRPr="004E6649" w14:paraId="5B7EBF0A" w14:textId="77777777" w:rsidTr="003766F2">
        <w:trPr>
          <w:trHeight w:val="852"/>
          <w:jc w:val="center"/>
        </w:trPr>
        <w:tc>
          <w:tcPr>
            <w:tcW w:w="2700" w:type="dxa"/>
            <w:tcBorders>
              <w:top w:val="single" w:sz="12" w:space="0" w:color="000000" w:themeColor="text1"/>
              <w:left w:val="nil"/>
              <w:bottom w:val="single" w:sz="8" w:space="0" w:color="000000" w:themeColor="text1"/>
              <w:right w:val="nil"/>
            </w:tcBorders>
            <w:shd w:val="clear" w:color="000000" w:fill="FFFFFF"/>
            <w:noWrap/>
            <w:vAlign w:val="bottom"/>
            <w:hideMark/>
          </w:tcPr>
          <w:p w14:paraId="291DE709" w14:textId="77777777" w:rsidR="001B6918" w:rsidRPr="004E6649" w:rsidRDefault="001B6918" w:rsidP="00730ECF">
            <w:pPr>
              <w:rPr>
                <w:rFonts w:eastAsia="Times New Roman" w:cstheme="minorHAnsi"/>
                <w:b/>
                <w:bCs/>
              </w:rPr>
            </w:pPr>
            <w:r w:rsidRPr="005A3CA9">
              <w:rPr>
                <w:rFonts w:eastAsia="Times New Roman" w:cstheme="minorHAnsi"/>
                <w:b/>
                <w:bCs/>
              </w:rPr>
              <w:t>Functions/Programs</w:t>
            </w:r>
          </w:p>
        </w:tc>
        <w:tc>
          <w:tcPr>
            <w:tcW w:w="1887" w:type="dxa"/>
            <w:tcBorders>
              <w:top w:val="single" w:sz="12" w:space="0" w:color="000000" w:themeColor="text1"/>
              <w:left w:val="nil"/>
              <w:bottom w:val="single" w:sz="8" w:space="0" w:color="000000" w:themeColor="text1"/>
              <w:right w:val="nil"/>
            </w:tcBorders>
            <w:shd w:val="clear" w:color="000000" w:fill="FFFFFF"/>
            <w:noWrap/>
            <w:vAlign w:val="bottom"/>
            <w:hideMark/>
          </w:tcPr>
          <w:p w14:paraId="7B350A8D" w14:textId="77777777" w:rsidR="001B6918" w:rsidRPr="004E6649" w:rsidRDefault="001B6918" w:rsidP="00730ECF">
            <w:pPr>
              <w:jc w:val="center"/>
              <w:rPr>
                <w:rFonts w:eastAsia="Times New Roman" w:cstheme="minorHAnsi"/>
                <w:b/>
                <w:bCs/>
              </w:rPr>
            </w:pPr>
            <w:r w:rsidRPr="004E6649">
              <w:rPr>
                <w:rFonts w:eastAsia="Times New Roman" w:cstheme="minorHAnsi"/>
                <w:b/>
                <w:bCs/>
              </w:rPr>
              <w:t>Expenses</w:t>
            </w:r>
          </w:p>
        </w:tc>
        <w:tc>
          <w:tcPr>
            <w:tcW w:w="1052" w:type="dxa"/>
            <w:tcBorders>
              <w:top w:val="single" w:sz="12" w:space="0" w:color="000000" w:themeColor="text1"/>
              <w:left w:val="nil"/>
              <w:bottom w:val="single" w:sz="8" w:space="0" w:color="000000" w:themeColor="text1"/>
              <w:right w:val="nil"/>
            </w:tcBorders>
            <w:shd w:val="clear" w:color="000000" w:fill="FFFFFF"/>
            <w:vAlign w:val="bottom"/>
            <w:hideMark/>
          </w:tcPr>
          <w:p w14:paraId="3CE2AB99" w14:textId="77777777" w:rsidR="001B6918" w:rsidRPr="004E6649" w:rsidRDefault="001B6918" w:rsidP="00730ECF">
            <w:pPr>
              <w:jc w:val="center"/>
              <w:rPr>
                <w:rFonts w:eastAsia="Times New Roman" w:cstheme="minorHAnsi"/>
                <w:b/>
                <w:bCs/>
              </w:rPr>
            </w:pPr>
            <w:r w:rsidRPr="004E6649">
              <w:rPr>
                <w:rFonts w:eastAsia="Times New Roman" w:cstheme="minorHAnsi"/>
                <w:b/>
                <w:bCs/>
              </w:rPr>
              <w:t>Charges for</w:t>
            </w:r>
            <w:r>
              <w:rPr>
                <w:rFonts w:eastAsia="Times New Roman" w:cstheme="minorHAnsi"/>
                <w:b/>
                <w:bCs/>
              </w:rPr>
              <w:t xml:space="preserve"> </w:t>
            </w:r>
            <w:r w:rsidRPr="004E6649">
              <w:rPr>
                <w:rFonts w:eastAsia="Times New Roman" w:cstheme="minorHAnsi"/>
                <w:b/>
                <w:bCs/>
              </w:rPr>
              <w:t>Services</w:t>
            </w:r>
          </w:p>
        </w:tc>
        <w:tc>
          <w:tcPr>
            <w:tcW w:w="1381" w:type="dxa"/>
            <w:tcBorders>
              <w:top w:val="single" w:sz="12" w:space="0" w:color="000000" w:themeColor="text1"/>
              <w:left w:val="nil"/>
              <w:bottom w:val="single" w:sz="8" w:space="0" w:color="000000" w:themeColor="text1"/>
              <w:right w:val="nil"/>
            </w:tcBorders>
            <w:shd w:val="clear" w:color="000000" w:fill="FFFFFF"/>
            <w:vAlign w:val="bottom"/>
            <w:hideMark/>
          </w:tcPr>
          <w:p w14:paraId="5EDDE778" w14:textId="77777777" w:rsidR="001B6918" w:rsidRPr="004E6649" w:rsidRDefault="001B6918" w:rsidP="00730ECF">
            <w:pPr>
              <w:jc w:val="center"/>
              <w:rPr>
                <w:rFonts w:eastAsia="Times New Roman" w:cstheme="minorHAnsi"/>
                <w:b/>
                <w:bCs/>
              </w:rPr>
            </w:pPr>
            <w:r w:rsidRPr="004E6649">
              <w:rPr>
                <w:rFonts w:eastAsia="Times New Roman" w:cstheme="minorHAnsi"/>
                <w:b/>
                <w:bCs/>
              </w:rPr>
              <w:t>Program</w:t>
            </w:r>
            <w:r>
              <w:rPr>
                <w:rFonts w:eastAsia="Times New Roman" w:cstheme="minorHAnsi"/>
                <w:b/>
                <w:bCs/>
              </w:rPr>
              <w:t xml:space="preserve"> </w:t>
            </w:r>
            <w:r w:rsidRPr="004E6649">
              <w:rPr>
                <w:rFonts w:eastAsia="Times New Roman" w:cstheme="minorHAnsi"/>
                <w:b/>
                <w:bCs/>
              </w:rPr>
              <w:t>Investment</w:t>
            </w:r>
            <w:r>
              <w:rPr>
                <w:rFonts w:eastAsia="Times New Roman" w:cstheme="minorHAnsi"/>
                <w:b/>
                <w:bCs/>
              </w:rPr>
              <w:t xml:space="preserve"> </w:t>
            </w:r>
            <w:r w:rsidRPr="004E6649">
              <w:rPr>
                <w:rFonts w:eastAsia="Times New Roman" w:cstheme="minorHAnsi"/>
                <w:b/>
                <w:bCs/>
              </w:rPr>
              <w:t>Income</w:t>
            </w:r>
          </w:p>
        </w:tc>
        <w:tc>
          <w:tcPr>
            <w:tcW w:w="1468" w:type="dxa"/>
            <w:gridSpan w:val="2"/>
            <w:tcBorders>
              <w:top w:val="single" w:sz="12" w:space="0" w:color="000000" w:themeColor="text1"/>
              <w:left w:val="nil"/>
              <w:bottom w:val="single" w:sz="8" w:space="0" w:color="000000" w:themeColor="text1"/>
              <w:right w:val="nil"/>
            </w:tcBorders>
            <w:shd w:val="clear" w:color="000000" w:fill="FFFFFF"/>
            <w:vAlign w:val="bottom"/>
            <w:hideMark/>
          </w:tcPr>
          <w:p w14:paraId="0205CD1A" w14:textId="77777777" w:rsidR="001B6918" w:rsidRPr="004E6649" w:rsidRDefault="001B6918" w:rsidP="00730ECF">
            <w:pPr>
              <w:jc w:val="center"/>
              <w:rPr>
                <w:rFonts w:eastAsia="Times New Roman" w:cstheme="minorHAnsi"/>
                <w:b/>
                <w:bCs/>
              </w:rPr>
            </w:pPr>
            <w:r w:rsidRPr="004E6649">
              <w:rPr>
                <w:rFonts w:eastAsia="Times New Roman" w:cstheme="minorHAnsi"/>
                <w:b/>
                <w:bCs/>
              </w:rPr>
              <w:t>Operating</w:t>
            </w:r>
            <w:r>
              <w:rPr>
                <w:rFonts w:eastAsia="Times New Roman" w:cstheme="minorHAnsi"/>
                <w:b/>
                <w:bCs/>
              </w:rPr>
              <w:t xml:space="preserve"> </w:t>
            </w:r>
            <w:r w:rsidRPr="004E6649">
              <w:rPr>
                <w:rFonts w:eastAsia="Times New Roman" w:cstheme="minorHAnsi"/>
                <w:b/>
                <w:bCs/>
              </w:rPr>
              <w:t>Grants/ Contributions</w:t>
            </w:r>
          </w:p>
        </w:tc>
        <w:tc>
          <w:tcPr>
            <w:tcW w:w="1468" w:type="dxa"/>
            <w:gridSpan w:val="2"/>
            <w:tcBorders>
              <w:top w:val="single" w:sz="12" w:space="0" w:color="000000" w:themeColor="text1"/>
              <w:left w:val="nil"/>
              <w:bottom w:val="single" w:sz="8" w:space="0" w:color="000000" w:themeColor="text1"/>
              <w:right w:val="nil"/>
            </w:tcBorders>
            <w:shd w:val="clear" w:color="000000" w:fill="FFFFFF"/>
            <w:vAlign w:val="bottom"/>
            <w:hideMark/>
          </w:tcPr>
          <w:p w14:paraId="3399FE24" w14:textId="77777777" w:rsidR="001B6918" w:rsidRPr="004E6649" w:rsidRDefault="001B6918" w:rsidP="00730ECF">
            <w:pPr>
              <w:jc w:val="center"/>
              <w:rPr>
                <w:rFonts w:eastAsia="Times New Roman" w:cstheme="minorHAnsi"/>
                <w:b/>
                <w:bCs/>
              </w:rPr>
            </w:pPr>
            <w:r w:rsidRPr="004E6649">
              <w:rPr>
                <w:rFonts w:eastAsia="Times New Roman" w:cstheme="minorHAnsi"/>
                <w:b/>
                <w:bCs/>
              </w:rPr>
              <w:t>Capital</w:t>
            </w:r>
            <w:r>
              <w:rPr>
                <w:rFonts w:eastAsia="Times New Roman" w:cstheme="minorHAnsi"/>
                <w:b/>
                <w:bCs/>
              </w:rPr>
              <w:t xml:space="preserve"> </w:t>
            </w:r>
            <w:r w:rsidRPr="004E6649">
              <w:rPr>
                <w:rFonts w:eastAsia="Times New Roman" w:cstheme="minorHAnsi"/>
                <w:b/>
                <w:bCs/>
              </w:rPr>
              <w:t>Grants/</w:t>
            </w:r>
            <w:r>
              <w:rPr>
                <w:rFonts w:eastAsia="Times New Roman" w:cstheme="minorHAnsi"/>
                <w:b/>
                <w:bCs/>
              </w:rPr>
              <w:t xml:space="preserve"> </w:t>
            </w:r>
            <w:r w:rsidRPr="004E6649">
              <w:rPr>
                <w:rFonts w:eastAsia="Times New Roman" w:cstheme="minorHAnsi"/>
                <w:b/>
                <w:bCs/>
              </w:rPr>
              <w:t>Contributions</w:t>
            </w:r>
          </w:p>
        </w:tc>
        <w:tc>
          <w:tcPr>
            <w:tcW w:w="1329" w:type="dxa"/>
            <w:gridSpan w:val="2"/>
            <w:tcBorders>
              <w:top w:val="single" w:sz="12" w:space="0" w:color="000000" w:themeColor="text1"/>
              <w:left w:val="nil"/>
              <w:bottom w:val="single" w:sz="8" w:space="0" w:color="000000" w:themeColor="text1"/>
              <w:right w:val="nil"/>
            </w:tcBorders>
            <w:shd w:val="clear" w:color="000000" w:fill="FFFFFF"/>
            <w:vAlign w:val="bottom"/>
            <w:hideMark/>
          </w:tcPr>
          <w:p w14:paraId="35B77E8D" w14:textId="77777777" w:rsidR="001B6918" w:rsidRPr="004E6649" w:rsidRDefault="001B6918" w:rsidP="00730ECF">
            <w:pPr>
              <w:jc w:val="center"/>
              <w:rPr>
                <w:rFonts w:eastAsia="Times New Roman" w:cstheme="minorHAnsi"/>
                <w:b/>
                <w:bCs/>
              </w:rPr>
            </w:pPr>
            <w:r w:rsidRPr="004E6649">
              <w:rPr>
                <w:rFonts w:eastAsia="Times New Roman" w:cstheme="minorHAnsi"/>
                <w:b/>
                <w:bCs/>
              </w:rPr>
              <w:t>Net</w:t>
            </w:r>
            <w:r>
              <w:rPr>
                <w:rFonts w:eastAsia="Times New Roman" w:cstheme="minorHAnsi"/>
                <w:b/>
                <w:bCs/>
              </w:rPr>
              <w:t xml:space="preserve"> </w:t>
            </w:r>
            <w:r w:rsidRPr="004E6649">
              <w:rPr>
                <w:rFonts w:eastAsia="Times New Roman" w:cstheme="minorHAnsi"/>
                <w:b/>
                <w:bCs/>
              </w:rPr>
              <w:t>(Expense)</w:t>
            </w:r>
            <w:r>
              <w:rPr>
                <w:rFonts w:eastAsia="Times New Roman" w:cstheme="minorHAnsi"/>
                <w:b/>
                <w:bCs/>
              </w:rPr>
              <w:t xml:space="preserve"> </w:t>
            </w:r>
            <w:r w:rsidRPr="004E6649">
              <w:rPr>
                <w:rFonts w:eastAsia="Times New Roman" w:cstheme="minorHAnsi"/>
                <w:b/>
                <w:bCs/>
              </w:rPr>
              <w:t>Revenue</w:t>
            </w:r>
          </w:p>
        </w:tc>
      </w:tr>
      <w:tr w:rsidR="001B6918" w:rsidRPr="004E6649" w14:paraId="6F0C4A50" w14:textId="77777777" w:rsidTr="003766F2">
        <w:trPr>
          <w:trHeight w:val="331"/>
          <w:jc w:val="center"/>
        </w:trPr>
        <w:tc>
          <w:tcPr>
            <w:tcW w:w="2700" w:type="dxa"/>
            <w:tcBorders>
              <w:top w:val="single" w:sz="8" w:space="0" w:color="000000" w:themeColor="text1"/>
              <w:left w:val="nil"/>
              <w:bottom w:val="nil"/>
              <w:right w:val="nil"/>
            </w:tcBorders>
            <w:shd w:val="clear" w:color="000000" w:fill="FFFFFF"/>
            <w:vAlign w:val="bottom"/>
            <w:hideMark/>
          </w:tcPr>
          <w:p w14:paraId="2873B7FA" w14:textId="77777777" w:rsidR="001B6918" w:rsidRPr="004E6649" w:rsidRDefault="001B6918" w:rsidP="00730ECF">
            <w:pPr>
              <w:rPr>
                <w:rFonts w:eastAsia="Times New Roman" w:cstheme="minorHAnsi"/>
              </w:rPr>
            </w:pPr>
            <w:r w:rsidRPr="004E6649">
              <w:rPr>
                <w:rFonts w:eastAsia="Times New Roman" w:cstheme="minorHAnsi"/>
              </w:rPr>
              <w:t>University of Maine System</w:t>
            </w:r>
          </w:p>
        </w:tc>
        <w:tc>
          <w:tcPr>
            <w:tcW w:w="1887" w:type="dxa"/>
            <w:tcBorders>
              <w:top w:val="single" w:sz="8" w:space="0" w:color="000000" w:themeColor="text1"/>
              <w:left w:val="nil"/>
              <w:bottom w:val="double" w:sz="6" w:space="0" w:color="auto"/>
              <w:right w:val="nil"/>
            </w:tcBorders>
            <w:shd w:val="clear" w:color="000000" w:fill="FFFFFF"/>
            <w:noWrap/>
            <w:hideMark/>
          </w:tcPr>
          <w:p w14:paraId="7A65C763" w14:textId="0D69171B" w:rsidR="001B6918" w:rsidRPr="00CE5579" w:rsidRDefault="004A4351" w:rsidP="00730ECF">
            <w:pPr>
              <w:jc w:val="right"/>
              <w:rPr>
                <w:rFonts w:eastAsia="Times New Roman" w:cstheme="minorHAnsi"/>
                <w:color w:val="FF0000"/>
              </w:rPr>
            </w:pPr>
            <w:r w:rsidRPr="004A4351">
              <w:t>$898,303</w:t>
            </w:r>
          </w:p>
        </w:tc>
        <w:tc>
          <w:tcPr>
            <w:tcW w:w="1052" w:type="dxa"/>
            <w:tcBorders>
              <w:top w:val="single" w:sz="8" w:space="0" w:color="000000" w:themeColor="text1"/>
              <w:left w:val="nil"/>
              <w:bottom w:val="double" w:sz="6" w:space="0" w:color="auto"/>
              <w:right w:val="nil"/>
            </w:tcBorders>
            <w:shd w:val="clear" w:color="000000" w:fill="FFFFFF"/>
            <w:noWrap/>
            <w:hideMark/>
          </w:tcPr>
          <w:p w14:paraId="2D9F0B70" w14:textId="77777777" w:rsidR="001B6918" w:rsidRPr="00CE5579" w:rsidRDefault="001B6918" w:rsidP="00730ECF">
            <w:pPr>
              <w:jc w:val="right"/>
              <w:rPr>
                <w:rFonts w:eastAsia="Times New Roman" w:cstheme="minorHAnsi"/>
                <w:color w:val="FF0000"/>
              </w:rPr>
            </w:pPr>
            <w:r w:rsidRPr="00467290">
              <w:t xml:space="preserve">$319,370 </w:t>
            </w:r>
          </w:p>
        </w:tc>
        <w:tc>
          <w:tcPr>
            <w:tcW w:w="1381" w:type="dxa"/>
            <w:tcBorders>
              <w:top w:val="single" w:sz="8" w:space="0" w:color="000000" w:themeColor="text1"/>
              <w:left w:val="nil"/>
              <w:bottom w:val="double" w:sz="6" w:space="0" w:color="auto"/>
              <w:right w:val="nil"/>
            </w:tcBorders>
            <w:shd w:val="clear" w:color="000000" w:fill="FFFFFF"/>
            <w:noWrap/>
            <w:hideMark/>
          </w:tcPr>
          <w:p w14:paraId="4986A5DF" w14:textId="77777777" w:rsidR="001B6918" w:rsidRPr="00CE5579" w:rsidRDefault="001B6918" w:rsidP="00730ECF">
            <w:pPr>
              <w:jc w:val="right"/>
              <w:rPr>
                <w:rFonts w:eastAsia="Times New Roman" w:cstheme="minorHAnsi"/>
                <w:color w:val="FF0000"/>
              </w:rPr>
            </w:pPr>
            <w:r w:rsidRPr="00467290">
              <w:t xml:space="preserve"> $8,763 </w:t>
            </w:r>
          </w:p>
        </w:tc>
        <w:tc>
          <w:tcPr>
            <w:tcW w:w="1468" w:type="dxa"/>
            <w:gridSpan w:val="2"/>
            <w:tcBorders>
              <w:top w:val="single" w:sz="8" w:space="0" w:color="000000" w:themeColor="text1"/>
              <w:left w:val="nil"/>
              <w:bottom w:val="double" w:sz="6" w:space="0" w:color="auto"/>
              <w:right w:val="nil"/>
            </w:tcBorders>
            <w:shd w:val="clear" w:color="000000" w:fill="FFFFFF"/>
            <w:noWrap/>
            <w:hideMark/>
          </w:tcPr>
          <w:p w14:paraId="4D964237" w14:textId="77777777" w:rsidR="001B6918" w:rsidRPr="00CE5579" w:rsidRDefault="001B6918" w:rsidP="00730ECF">
            <w:pPr>
              <w:jc w:val="right"/>
              <w:rPr>
                <w:rFonts w:eastAsia="Times New Roman" w:cstheme="minorHAnsi"/>
                <w:color w:val="FF0000"/>
              </w:rPr>
            </w:pPr>
            <w:r w:rsidRPr="00467290">
              <w:t xml:space="preserve"> $249,498 </w:t>
            </w:r>
          </w:p>
        </w:tc>
        <w:tc>
          <w:tcPr>
            <w:tcW w:w="1468" w:type="dxa"/>
            <w:gridSpan w:val="2"/>
            <w:tcBorders>
              <w:top w:val="single" w:sz="8" w:space="0" w:color="000000" w:themeColor="text1"/>
              <w:left w:val="nil"/>
              <w:bottom w:val="double" w:sz="6" w:space="0" w:color="auto"/>
              <w:right w:val="nil"/>
            </w:tcBorders>
            <w:shd w:val="clear" w:color="000000" w:fill="FFFFFF"/>
            <w:noWrap/>
            <w:hideMark/>
          </w:tcPr>
          <w:p w14:paraId="18770888" w14:textId="77777777" w:rsidR="001B6918" w:rsidRPr="00CE5579" w:rsidRDefault="001B6918" w:rsidP="00730ECF">
            <w:pPr>
              <w:jc w:val="right"/>
              <w:rPr>
                <w:rFonts w:eastAsia="Times New Roman" w:cstheme="minorHAnsi"/>
                <w:color w:val="FF0000"/>
              </w:rPr>
            </w:pPr>
            <w:r w:rsidRPr="00467290">
              <w:t xml:space="preserve"> $76,816 </w:t>
            </w:r>
          </w:p>
        </w:tc>
        <w:tc>
          <w:tcPr>
            <w:tcW w:w="1329" w:type="dxa"/>
            <w:gridSpan w:val="2"/>
            <w:tcBorders>
              <w:top w:val="single" w:sz="8" w:space="0" w:color="000000" w:themeColor="text1"/>
              <w:left w:val="nil"/>
              <w:bottom w:val="single" w:sz="4" w:space="0" w:color="auto"/>
              <w:right w:val="nil"/>
            </w:tcBorders>
            <w:shd w:val="clear" w:color="000000" w:fill="FFFFFF"/>
            <w:noWrap/>
            <w:hideMark/>
          </w:tcPr>
          <w:p w14:paraId="298F0700" w14:textId="13A816FE" w:rsidR="001B6918" w:rsidRPr="00CE5579" w:rsidRDefault="004A4351" w:rsidP="00730ECF">
            <w:pPr>
              <w:jc w:val="right"/>
              <w:rPr>
                <w:rFonts w:eastAsia="Times New Roman" w:cstheme="minorHAnsi"/>
                <w:color w:val="FF0000"/>
              </w:rPr>
            </w:pPr>
            <w:r w:rsidRPr="004A4351">
              <w:t>$(243,856)</w:t>
            </w:r>
          </w:p>
        </w:tc>
      </w:tr>
      <w:tr w:rsidR="001B6918" w:rsidRPr="004E6649" w14:paraId="57E5AD43" w14:textId="77777777" w:rsidTr="003766F2">
        <w:trPr>
          <w:trHeight w:val="315"/>
          <w:jc w:val="center"/>
        </w:trPr>
        <w:tc>
          <w:tcPr>
            <w:tcW w:w="2700" w:type="dxa"/>
            <w:tcBorders>
              <w:top w:val="nil"/>
              <w:left w:val="nil"/>
              <w:bottom w:val="nil"/>
              <w:right w:val="nil"/>
            </w:tcBorders>
            <w:shd w:val="clear" w:color="000000" w:fill="FFFFFF"/>
            <w:noWrap/>
            <w:vAlign w:val="bottom"/>
            <w:hideMark/>
          </w:tcPr>
          <w:p w14:paraId="458BCB8F" w14:textId="77777777" w:rsidR="001B6918" w:rsidRPr="004E6649" w:rsidRDefault="001B6918" w:rsidP="00730ECF">
            <w:pPr>
              <w:rPr>
                <w:rFonts w:eastAsia="Times New Roman" w:cstheme="minorHAnsi"/>
              </w:rPr>
            </w:pPr>
            <w:r w:rsidRPr="004E6649">
              <w:rPr>
                <w:rFonts w:eastAsia="Times New Roman" w:cstheme="minorHAnsi"/>
              </w:rPr>
              <w:t> </w:t>
            </w:r>
          </w:p>
        </w:tc>
        <w:tc>
          <w:tcPr>
            <w:tcW w:w="2939" w:type="dxa"/>
            <w:gridSpan w:val="2"/>
            <w:tcBorders>
              <w:top w:val="nil"/>
              <w:left w:val="nil"/>
              <w:bottom w:val="nil"/>
              <w:right w:val="nil"/>
            </w:tcBorders>
            <w:shd w:val="clear" w:color="000000" w:fill="FFFFFF"/>
            <w:noWrap/>
            <w:vAlign w:val="bottom"/>
            <w:hideMark/>
          </w:tcPr>
          <w:p w14:paraId="1F0D0764" w14:textId="77777777" w:rsidR="001B6918" w:rsidRPr="004E6649" w:rsidRDefault="001B6918" w:rsidP="00730ECF">
            <w:pPr>
              <w:rPr>
                <w:rFonts w:eastAsia="Times New Roman" w:cstheme="minorHAnsi"/>
                <w:b/>
                <w:bCs/>
              </w:rPr>
            </w:pPr>
            <w:r w:rsidRPr="004E6649">
              <w:rPr>
                <w:rFonts w:eastAsia="Times New Roman" w:cstheme="minorHAnsi"/>
                <w:b/>
                <w:bCs/>
              </w:rPr>
              <w:t>General Revenues:</w:t>
            </w:r>
          </w:p>
        </w:tc>
        <w:tc>
          <w:tcPr>
            <w:tcW w:w="1381" w:type="dxa"/>
            <w:tcBorders>
              <w:top w:val="nil"/>
              <w:left w:val="nil"/>
              <w:bottom w:val="nil"/>
              <w:right w:val="nil"/>
            </w:tcBorders>
            <w:shd w:val="clear" w:color="000000" w:fill="FFFFFF"/>
            <w:noWrap/>
            <w:vAlign w:val="bottom"/>
            <w:hideMark/>
          </w:tcPr>
          <w:p w14:paraId="51E14405" w14:textId="77777777" w:rsidR="001B6918" w:rsidRPr="004E6649" w:rsidRDefault="001B6918" w:rsidP="00730ECF">
            <w:pPr>
              <w:rPr>
                <w:rFonts w:eastAsia="Times New Roman" w:cstheme="minorHAnsi"/>
              </w:rPr>
            </w:pPr>
            <w:r w:rsidRPr="004E6649">
              <w:rPr>
                <w:rFonts w:eastAsia="Times New Roman" w:cstheme="minorHAnsi"/>
              </w:rPr>
              <w:t> </w:t>
            </w:r>
          </w:p>
        </w:tc>
        <w:tc>
          <w:tcPr>
            <w:tcW w:w="1468" w:type="dxa"/>
            <w:gridSpan w:val="2"/>
            <w:tcBorders>
              <w:top w:val="nil"/>
              <w:left w:val="nil"/>
              <w:bottom w:val="nil"/>
              <w:right w:val="nil"/>
            </w:tcBorders>
            <w:shd w:val="clear" w:color="000000" w:fill="FFFFFF"/>
            <w:noWrap/>
            <w:vAlign w:val="bottom"/>
            <w:hideMark/>
          </w:tcPr>
          <w:p w14:paraId="49FB529A" w14:textId="77777777" w:rsidR="001B6918" w:rsidRPr="004E6649" w:rsidRDefault="001B6918" w:rsidP="00730ECF">
            <w:pPr>
              <w:rPr>
                <w:rFonts w:eastAsia="Times New Roman" w:cstheme="minorHAnsi"/>
              </w:rPr>
            </w:pPr>
            <w:r w:rsidRPr="004E6649">
              <w:rPr>
                <w:rFonts w:eastAsia="Times New Roman" w:cstheme="minorHAnsi"/>
              </w:rPr>
              <w:t> </w:t>
            </w:r>
          </w:p>
        </w:tc>
        <w:tc>
          <w:tcPr>
            <w:tcW w:w="1468" w:type="dxa"/>
            <w:gridSpan w:val="2"/>
            <w:tcBorders>
              <w:top w:val="nil"/>
              <w:left w:val="nil"/>
              <w:bottom w:val="nil"/>
              <w:right w:val="nil"/>
            </w:tcBorders>
            <w:shd w:val="clear" w:color="000000" w:fill="FFFFFF"/>
            <w:noWrap/>
            <w:vAlign w:val="bottom"/>
            <w:hideMark/>
          </w:tcPr>
          <w:p w14:paraId="499CAF2B" w14:textId="77777777" w:rsidR="001B6918" w:rsidRPr="004E6649" w:rsidRDefault="001B6918" w:rsidP="00730ECF">
            <w:pPr>
              <w:rPr>
                <w:rFonts w:eastAsia="Times New Roman" w:cstheme="minorHAnsi"/>
              </w:rPr>
            </w:pPr>
            <w:r w:rsidRPr="004E6649">
              <w:rPr>
                <w:rFonts w:eastAsia="Times New Roman" w:cstheme="minorHAnsi"/>
              </w:rPr>
              <w:t> </w:t>
            </w:r>
          </w:p>
        </w:tc>
        <w:tc>
          <w:tcPr>
            <w:tcW w:w="1329" w:type="dxa"/>
            <w:gridSpan w:val="2"/>
            <w:tcBorders>
              <w:top w:val="nil"/>
              <w:left w:val="nil"/>
              <w:bottom w:val="nil"/>
              <w:right w:val="nil"/>
            </w:tcBorders>
            <w:shd w:val="clear" w:color="000000" w:fill="FFFFFF"/>
            <w:noWrap/>
            <w:vAlign w:val="bottom"/>
            <w:hideMark/>
          </w:tcPr>
          <w:p w14:paraId="1AF8DA91" w14:textId="77777777" w:rsidR="001B6918" w:rsidRPr="004E6649" w:rsidRDefault="001B6918" w:rsidP="00730ECF">
            <w:pPr>
              <w:jc w:val="right"/>
              <w:rPr>
                <w:rFonts w:eastAsia="Times New Roman" w:cstheme="minorHAnsi"/>
              </w:rPr>
            </w:pPr>
            <w:r w:rsidRPr="004E6649">
              <w:rPr>
                <w:rFonts w:eastAsia="Times New Roman" w:cstheme="minorHAnsi"/>
              </w:rPr>
              <w:t> </w:t>
            </w:r>
          </w:p>
        </w:tc>
      </w:tr>
      <w:tr w:rsidR="001B6918" w:rsidRPr="004E6649" w14:paraId="1DF7B0BC" w14:textId="77777777" w:rsidTr="003766F2">
        <w:trPr>
          <w:trHeight w:val="300"/>
          <w:jc w:val="center"/>
        </w:trPr>
        <w:tc>
          <w:tcPr>
            <w:tcW w:w="2700" w:type="dxa"/>
            <w:tcBorders>
              <w:top w:val="nil"/>
              <w:left w:val="nil"/>
              <w:bottom w:val="nil"/>
              <w:right w:val="nil"/>
            </w:tcBorders>
            <w:shd w:val="clear" w:color="000000" w:fill="FFFFFF"/>
            <w:noWrap/>
            <w:vAlign w:val="bottom"/>
            <w:hideMark/>
          </w:tcPr>
          <w:p w14:paraId="2134D336" w14:textId="77777777" w:rsidR="001B6918" w:rsidRPr="004E6649" w:rsidRDefault="001B6918" w:rsidP="00730ECF">
            <w:pPr>
              <w:rPr>
                <w:rFonts w:eastAsia="Times New Roman" w:cstheme="minorHAnsi"/>
              </w:rPr>
            </w:pPr>
            <w:r w:rsidRPr="004E6649">
              <w:rPr>
                <w:rFonts w:eastAsia="Times New Roman" w:cstheme="minorHAnsi"/>
              </w:rPr>
              <w:t> </w:t>
            </w:r>
          </w:p>
        </w:tc>
        <w:tc>
          <w:tcPr>
            <w:tcW w:w="5790" w:type="dxa"/>
            <w:gridSpan w:val="5"/>
            <w:tcBorders>
              <w:top w:val="nil"/>
              <w:left w:val="nil"/>
              <w:bottom w:val="nil"/>
              <w:right w:val="nil"/>
            </w:tcBorders>
            <w:shd w:val="clear" w:color="000000" w:fill="FFFFFF"/>
            <w:noWrap/>
            <w:vAlign w:val="bottom"/>
            <w:hideMark/>
          </w:tcPr>
          <w:p w14:paraId="0297795D" w14:textId="77777777" w:rsidR="001B6918" w:rsidRPr="004E6649" w:rsidRDefault="001B6918" w:rsidP="00730ECF">
            <w:pPr>
              <w:rPr>
                <w:rFonts w:eastAsia="Times New Roman" w:cstheme="minorHAnsi"/>
              </w:rPr>
            </w:pPr>
            <w:r w:rsidRPr="004E6649">
              <w:rPr>
                <w:rFonts w:eastAsia="Times New Roman" w:cstheme="minorHAnsi"/>
              </w:rPr>
              <w:t>Unrestricted interest and investment income</w:t>
            </w:r>
          </w:p>
        </w:tc>
        <w:tc>
          <w:tcPr>
            <w:tcW w:w="1468" w:type="dxa"/>
            <w:gridSpan w:val="2"/>
            <w:tcBorders>
              <w:top w:val="nil"/>
              <w:left w:val="nil"/>
              <w:bottom w:val="nil"/>
              <w:right w:val="nil"/>
            </w:tcBorders>
            <w:shd w:val="clear" w:color="000000" w:fill="FFFFFF"/>
            <w:noWrap/>
            <w:vAlign w:val="bottom"/>
            <w:hideMark/>
          </w:tcPr>
          <w:p w14:paraId="0817A7DA" w14:textId="77777777" w:rsidR="001B6918" w:rsidRPr="004E6649" w:rsidRDefault="001B6918" w:rsidP="00730ECF">
            <w:pPr>
              <w:rPr>
                <w:rFonts w:eastAsia="Times New Roman" w:cstheme="minorHAnsi"/>
              </w:rPr>
            </w:pPr>
            <w:r w:rsidRPr="004E6649">
              <w:rPr>
                <w:rFonts w:eastAsia="Times New Roman" w:cstheme="minorHAnsi"/>
              </w:rPr>
              <w:t> </w:t>
            </w:r>
          </w:p>
        </w:tc>
        <w:tc>
          <w:tcPr>
            <w:tcW w:w="1329" w:type="dxa"/>
            <w:gridSpan w:val="2"/>
            <w:tcBorders>
              <w:top w:val="nil"/>
              <w:left w:val="nil"/>
              <w:bottom w:val="nil"/>
              <w:right w:val="nil"/>
            </w:tcBorders>
            <w:shd w:val="clear" w:color="000000" w:fill="FFFFFF"/>
            <w:noWrap/>
            <w:vAlign w:val="bottom"/>
            <w:hideMark/>
          </w:tcPr>
          <w:p w14:paraId="0E8EF91E" w14:textId="77777777" w:rsidR="001B6918" w:rsidRPr="0096125C" w:rsidRDefault="001B6918" w:rsidP="00730ECF">
            <w:pPr>
              <w:jc w:val="right"/>
              <w:rPr>
                <w:rFonts w:eastAsia="Times New Roman" w:cstheme="minorHAnsi"/>
              </w:rPr>
            </w:pPr>
            <w:r w:rsidRPr="0096125C">
              <w:rPr>
                <w:rFonts w:eastAsia="Times New Roman" w:cstheme="minorHAnsi"/>
              </w:rPr>
              <w:t>19,734</w:t>
            </w:r>
          </w:p>
        </w:tc>
      </w:tr>
      <w:tr w:rsidR="001B6918" w:rsidRPr="004E6649" w14:paraId="7A528C5F" w14:textId="77777777" w:rsidTr="003766F2">
        <w:trPr>
          <w:trHeight w:val="300"/>
          <w:jc w:val="center"/>
        </w:trPr>
        <w:tc>
          <w:tcPr>
            <w:tcW w:w="2700" w:type="dxa"/>
            <w:tcBorders>
              <w:top w:val="nil"/>
              <w:left w:val="nil"/>
              <w:bottom w:val="nil"/>
              <w:right w:val="nil"/>
            </w:tcBorders>
            <w:shd w:val="clear" w:color="000000" w:fill="FFFFFF"/>
            <w:noWrap/>
            <w:vAlign w:val="bottom"/>
            <w:hideMark/>
          </w:tcPr>
          <w:p w14:paraId="4243D368" w14:textId="77777777" w:rsidR="001B6918" w:rsidRPr="004E6649" w:rsidRDefault="001B6918" w:rsidP="00730ECF">
            <w:pPr>
              <w:rPr>
                <w:rFonts w:eastAsia="Times New Roman" w:cstheme="minorHAnsi"/>
              </w:rPr>
            </w:pPr>
            <w:r w:rsidRPr="004E6649">
              <w:rPr>
                <w:rFonts w:eastAsia="Times New Roman" w:cstheme="minorHAnsi"/>
              </w:rPr>
              <w:t> </w:t>
            </w:r>
          </w:p>
        </w:tc>
        <w:tc>
          <w:tcPr>
            <w:tcW w:w="4320" w:type="dxa"/>
            <w:gridSpan w:val="3"/>
            <w:tcBorders>
              <w:top w:val="nil"/>
              <w:left w:val="nil"/>
              <w:bottom w:val="nil"/>
              <w:right w:val="nil"/>
            </w:tcBorders>
            <w:shd w:val="clear" w:color="000000" w:fill="FFFFFF"/>
            <w:noWrap/>
            <w:vAlign w:val="bottom"/>
            <w:hideMark/>
          </w:tcPr>
          <w:p w14:paraId="3F121A54" w14:textId="77777777" w:rsidR="001B6918" w:rsidRPr="004E6649" w:rsidRDefault="001B6918" w:rsidP="00730ECF">
            <w:pPr>
              <w:rPr>
                <w:rFonts w:eastAsia="Times New Roman" w:cstheme="minorHAnsi"/>
              </w:rPr>
            </w:pPr>
            <w:r w:rsidRPr="004E6649">
              <w:rPr>
                <w:rFonts w:eastAsia="Times New Roman" w:cstheme="minorHAnsi"/>
              </w:rPr>
              <w:t xml:space="preserve">Additions to endowments - gifts </w:t>
            </w:r>
          </w:p>
        </w:tc>
        <w:tc>
          <w:tcPr>
            <w:tcW w:w="1468" w:type="dxa"/>
            <w:gridSpan w:val="2"/>
            <w:tcBorders>
              <w:top w:val="nil"/>
              <w:left w:val="nil"/>
              <w:bottom w:val="nil"/>
              <w:right w:val="nil"/>
            </w:tcBorders>
            <w:shd w:val="clear" w:color="000000" w:fill="FFFFFF"/>
            <w:noWrap/>
            <w:vAlign w:val="bottom"/>
            <w:hideMark/>
          </w:tcPr>
          <w:p w14:paraId="3488ED12" w14:textId="77777777" w:rsidR="001B6918" w:rsidRPr="004E6649" w:rsidRDefault="001B6918" w:rsidP="00730ECF">
            <w:pPr>
              <w:rPr>
                <w:rFonts w:eastAsia="Times New Roman" w:cstheme="minorHAnsi"/>
              </w:rPr>
            </w:pPr>
            <w:r w:rsidRPr="004E6649">
              <w:rPr>
                <w:rFonts w:eastAsia="Times New Roman" w:cstheme="minorHAnsi"/>
              </w:rPr>
              <w:t> </w:t>
            </w:r>
          </w:p>
        </w:tc>
        <w:tc>
          <w:tcPr>
            <w:tcW w:w="1468" w:type="dxa"/>
            <w:gridSpan w:val="2"/>
            <w:tcBorders>
              <w:top w:val="nil"/>
              <w:left w:val="nil"/>
              <w:bottom w:val="nil"/>
              <w:right w:val="nil"/>
            </w:tcBorders>
            <w:shd w:val="clear" w:color="000000" w:fill="FFFFFF"/>
            <w:noWrap/>
            <w:vAlign w:val="bottom"/>
            <w:hideMark/>
          </w:tcPr>
          <w:p w14:paraId="03FB9C3E" w14:textId="77777777" w:rsidR="001B6918" w:rsidRPr="004E6649" w:rsidRDefault="001B6918" w:rsidP="00730ECF">
            <w:pPr>
              <w:rPr>
                <w:rFonts w:eastAsia="Times New Roman" w:cstheme="minorHAnsi"/>
              </w:rPr>
            </w:pPr>
            <w:r w:rsidRPr="004E6649">
              <w:rPr>
                <w:rFonts w:eastAsia="Times New Roman" w:cstheme="minorHAnsi"/>
              </w:rPr>
              <w:t> </w:t>
            </w:r>
          </w:p>
        </w:tc>
        <w:tc>
          <w:tcPr>
            <w:tcW w:w="1329" w:type="dxa"/>
            <w:gridSpan w:val="2"/>
            <w:tcBorders>
              <w:top w:val="nil"/>
              <w:left w:val="nil"/>
              <w:bottom w:val="nil"/>
              <w:right w:val="nil"/>
            </w:tcBorders>
            <w:shd w:val="clear" w:color="000000" w:fill="FFFFFF"/>
            <w:noWrap/>
            <w:vAlign w:val="bottom"/>
            <w:hideMark/>
          </w:tcPr>
          <w:p w14:paraId="66A59BB0" w14:textId="77777777" w:rsidR="001B6918" w:rsidRPr="0096125C" w:rsidRDefault="001B6918" w:rsidP="00730ECF">
            <w:pPr>
              <w:jc w:val="right"/>
              <w:rPr>
                <w:rFonts w:eastAsia="Times New Roman" w:cstheme="minorHAnsi"/>
              </w:rPr>
            </w:pPr>
            <w:r w:rsidRPr="0096125C">
              <w:rPr>
                <w:rFonts w:eastAsia="Times New Roman" w:cstheme="minorHAnsi"/>
              </w:rPr>
              <w:t>1,146</w:t>
            </w:r>
          </w:p>
        </w:tc>
      </w:tr>
      <w:tr w:rsidR="001B6918" w:rsidRPr="004E6649" w14:paraId="5043A4E4" w14:textId="77777777" w:rsidTr="003766F2">
        <w:trPr>
          <w:trHeight w:val="300"/>
          <w:jc w:val="center"/>
        </w:trPr>
        <w:tc>
          <w:tcPr>
            <w:tcW w:w="2700" w:type="dxa"/>
            <w:tcBorders>
              <w:top w:val="nil"/>
              <w:left w:val="nil"/>
              <w:bottom w:val="nil"/>
              <w:right w:val="nil"/>
            </w:tcBorders>
            <w:shd w:val="clear" w:color="000000" w:fill="FFFFFF"/>
            <w:noWrap/>
            <w:vAlign w:val="bottom"/>
            <w:hideMark/>
          </w:tcPr>
          <w:p w14:paraId="4BE005C2" w14:textId="77777777" w:rsidR="001B6918" w:rsidRPr="004E6649" w:rsidRDefault="001B6918" w:rsidP="00730ECF">
            <w:pPr>
              <w:rPr>
                <w:rFonts w:eastAsia="Times New Roman" w:cstheme="minorHAnsi"/>
              </w:rPr>
            </w:pPr>
            <w:r w:rsidRPr="004E6649">
              <w:rPr>
                <w:rFonts w:eastAsia="Times New Roman" w:cstheme="minorHAnsi"/>
              </w:rPr>
              <w:t> </w:t>
            </w:r>
          </w:p>
        </w:tc>
        <w:tc>
          <w:tcPr>
            <w:tcW w:w="5790" w:type="dxa"/>
            <w:gridSpan w:val="5"/>
            <w:tcBorders>
              <w:top w:val="nil"/>
              <w:left w:val="nil"/>
              <w:bottom w:val="nil"/>
              <w:right w:val="nil"/>
            </w:tcBorders>
            <w:shd w:val="clear" w:color="000000" w:fill="FFFFFF"/>
            <w:noWrap/>
            <w:vAlign w:val="bottom"/>
            <w:hideMark/>
          </w:tcPr>
          <w:p w14:paraId="6C49B705" w14:textId="77777777" w:rsidR="001B6918" w:rsidRPr="004E6649" w:rsidRDefault="001B6918" w:rsidP="00730ECF">
            <w:pPr>
              <w:rPr>
                <w:rFonts w:eastAsia="Times New Roman" w:cstheme="minorHAnsi"/>
              </w:rPr>
            </w:pPr>
            <w:r w:rsidRPr="004E6649">
              <w:rPr>
                <w:rFonts w:eastAsia="Times New Roman" w:cstheme="minorHAnsi"/>
              </w:rPr>
              <w:t>State of Maine noncapital appropriation</w:t>
            </w:r>
          </w:p>
        </w:tc>
        <w:tc>
          <w:tcPr>
            <w:tcW w:w="1468" w:type="dxa"/>
            <w:gridSpan w:val="2"/>
            <w:tcBorders>
              <w:top w:val="nil"/>
              <w:left w:val="nil"/>
              <w:bottom w:val="nil"/>
              <w:right w:val="nil"/>
            </w:tcBorders>
            <w:shd w:val="clear" w:color="000000" w:fill="FFFFFF"/>
            <w:noWrap/>
            <w:vAlign w:val="bottom"/>
            <w:hideMark/>
          </w:tcPr>
          <w:p w14:paraId="62FF28F6" w14:textId="77777777" w:rsidR="001B6918" w:rsidRPr="004E6649" w:rsidRDefault="001B6918" w:rsidP="00730ECF">
            <w:pPr>
              <w:rPr>
                <w:rFonts w:eastAsia="Times New Roman" w:cstheme="minorHAnsi"/>
              </w:rPr>
            </w:pPr>
            <w:r w:rsidRPr="004E6649">
              <w:rPr>
                <w:rFonts w:eastAsia="Times New Roman" w:cstheme="minorHAnsi"/>
              </w:rPr>
              <w:t> </w:t>
            </w:r>
          </w:p>
        </w:tc>
        <w:tc>
          <w:tcPr>
            <w:tcW w:w="1329" w:type="dxa"/>
            <w:gridSpan w:val="2"/>
            <w:tcBorders>
              <w:top w:val="nil"/>
              <w:left w:val="nil"/>
              <w:bottom w:val="nil"/>
              <w:right w:val="nil"/>
            </w:tcBorders>
            <w:shd w:val="clear" w:color="000000" w:fill="FFFFFF"/>
            <w:noWrap/>
            <w:vAlign w:val="bottom"/>
            <w:hideMark/>
          </w:tcPr>
          <w:p w14:paraId="71D33FCE" w14:textId="77777777" w:rsidR="001B6918" w:rsidRPr="0096125C" w:rsidRDefault="001B6918" w:rsidP="00730ECF">
            <w:pPr>
              <w:jc w:val="right"/>
              <w:rPr>
                <w:rFonts w:eastAsia="Times New Roman" w:cstheme="minorHAnsi"/>
              </w:rPr>
            </w:pPr>
            <w:r w:rsidRPr="0096125C">
              <w:rPr>
                <w:rFonts w:eastAsia="Times New Roman" w:cstheme="minorHAnsi"/>
              </w:rPr>
              <w:t>270,467</w:t>
            </w:r>
          </w:p>
        </w:tc>
      </w:tr>
      <w:tr w:rsidR="001B6918" w:rsidRPr="004E6649" w14:paraId="618FA4F3" w14:textId="77777777" w:rsidTr="003766F2">
        <w:trPr>
          <w:trHeight w:val="300"/>
          <w:jc w:val="center"/>
        </w:trPr>
        <w:tc>
          <w:tcPr>
            <w:tcW w:w="2700" w:type="dxa"/>
            <w:tcBorders>
              <w:top w:val="nil"/>
              <w:left w:val="nil"/>
              <w:bottom w:val="nil"/>
              <w:right w:val="nil"/>
            </w:tcBorders>
            <w:shd w:val="clear" w:color="000000" w:fill="FFFFFF"/>
            <w:noWrap/>
            <w:vAlign w:val="bottom"/>
            <w:hideMark/>
          </w:tcPr>
          <w:p w14:paraId="4E199DC3" w14:textId="77777777" w:rsidR="001B6918" w:rsidRPr="004E6649" w:rsidRDefault="001B6918" w:rsidP="00730ECF">
            <w:pPr>
              <w:rPr>
                <w:rFonts w:eastAsia="Times New Roman" w:cstheme="minorHAnsi"/>
              </w:rPr>
            </w:pPr>
            <w:r w:rsidRPr="004E6649">
              <w:rPr>
                <w:rFonts w:eastAsia="Times New Roman" w:cstheme="minorHAnsi"/>
              </w:rPr>
              <w:t> </w:t>
            </w:r>
          </w:p>
        </w:tc>
        <w:tc>
          <w:tcPr>
            <w:tcW w:w="4320" w:type="dxa"/>
            <w:gridSpan w:val="3"/>
            <w:tcBorders>
              <w:top w:val="nil"/>
              <w:left w:val="nil"/>
              <w:bottom w:val="nil"/>
              <w:right w:val="nil"/>
            </w:tcBorders>
            <w:shd w:val="clear" w:color="000000" w:fill="FFFFFF"/>
            <w:noWrap/>
            <w:vAlign w:val="bottom"/>
            <w:hideMark/>
          </w:tcPr>
          <w:p w14:paraId="47C62100" w14:textId="77777777" w:rsidR="001B6918" w:rsidRPr="004E6649" w:rsidRDefault="001B6918" w:rsidP="00730ECF">
            <w:pPr>
              <w:ind w:right="-1330"/>
              <w:rPr>
                <w:rFonts w:eastAsia="Times New Roman" w:cstheme="minorHAnsi"/>
              </w:rPr>
            </w:pPr>
            <w:r w:rsidRPr="004E6649">
              <w:rPr>
                <w:rFonts w:eastAsia="Times New Roman" w:cstheme="minorHAnsi"/>
              </w:rPr>
              <w:t>State of Maine capital appropriation</w:t>
            </w:r>
          </w:p>
        </w:tc>
        <w:tc>
          <w:tcPr>
            <w:tcW w:w="1468" w:type="dxa"/>
            <w:gridSpan w:val="2"/>
            <w:tcBorders>
              <w:top w:val="nil"/>
              <w:left w:val="nil"/>
              <w:bottom w:val="nil"/>
              <w:right w:val="nil"/>
            </w:tcBorders>
            <w:shd w:val="clear" w:color="000000" w:fill="FFFFFF"/>
            <w:noWrap/>
            <w:vAlign w:val="bottom"/>
            <w:hideMark/>
          </w:tcPr>
          <w:p w14:paraId="16ECCAB4" w14:textId="77777777" w:rsidR="001B6918" w:rsidRPr="004E6649" w:rsidRDefault="001B6918" w:rsidP="00730ECF">
            <w:pPr>
              <w:rPr>
                <w:rFonts w:eastAsia="Times New Roman" w:cstheme="minorHAnsi"/>
              </w:rPr>
            </w:pPr>
            <w:r w:rsidRPr="004E6649">
              <w:rPr>
                <w:rFonts w:eastAsia="Times New Roman" w:cstheme="minorHAnsi"/>
              </w:rPr>
              <w:t> </w:t>
            </w:r>
          </w:p>
        </w:tc>
        <w:tc>
          <w:tcPr>
            <w:tcW w:w="1468" w:type="dxa"/>
            <w:gridSpan w:val="2"/>
            <w:tcBorders>
              <w:top w:val="nil"/>
              <w:left w:val="nil"/>
              <w:bottom w:val="nil"/>
              <w:right w:val="nil"/>
            </w:tcBorders>
            <w:shd w:val="clear" w:color="000000" w:fill="FFFFFF"/>
            <w:noWrap/>
            <w:vAlign w:val="bottom"/>
            <w:hideMark/>
          </w:tcPr>
          <w:p w14:paraId="15291CBB" w14:textId="77777777" w:rsidR="001B6918" w:rsidRPr="004E6649" w:rsidRDefault="001B6918" w:rsidP="00730ECF">
            <w:pPr>
              <w:rPr>
                <w:rFonts w:eastAsia="Times New Roman" w:cstheme="minorHAnsi"/>
              </w:rPr>
            </w:pPr>
            <w:r w:rsidRPr="004E6649">
              <w:rPr>
                <w:rFonts w:eastAsia="Times New Roman" w:cstheme="minorHAnsi"/>
              </w:rPr>
              <w:t> </w:t>
            </w:r>
          </w:p>
        </w:tc>
        <w:tc>
          <w:tcPr>
            <w:tcW w:w="1329" w:type="dxa"/>
            <w:gridSpan w:val="2"/>
            <w:tcBorders>
              <w:top w:val="nil"/>
              <w:left w:val="nil"/>
              <w:bottom w:val="nil"/>
              <w:right w:val="nil"/>
            </w:tcBorders>
            <w:shd w:val="clear" w:color="000000" w:fill="FFFFFF"/>
            <w:noWrap/>
            <w:vAlign w:val="bottom"/>
            <w:hideMark/>
          </w:tcPr>
          <w:p w14:paraId="653FF465" w14:textId="77777777" w:rsidR="001B6918" w:rsidRPr="0096125C" w:rsidRDefault="001B6918" w:rsidP="00730ECF">
            <w:pPr>
              <w:jc w:val="right"/>
              <w:rPr>
                <w:rFonts w:eastAsia="Times New Roman" w:cstheme="minorHAnsi"/>
              </w:rPr>
            </w:pPr>
            <w:r w:rsidRPr="0096125C">
              <w:rPr>
                <w:rFonts w:eastAsia="Times New Roman" w:cstheme="minorHAnsi"/>
              </w:rPr>
              <w:t>16,115</w:t>
            </w:r>
          </w:p>
        </w:tc>
      </w:tr>
      <w:tr w:rsidR="001B6918" w:rsidRPr="004E6649" w14:paraId="05DF2B07" w14:textId="77777777" w:rsidTr="003766F2">
        <w:trPr>
          <w:trHeight w:val="300"/>
          <w:jc w:val="center"/>
        </w:trPr>
        <w:tc>
          <w:tcPr>
            <w:tcW w:w="2700" w:type="dxa"/>
            <w:tcBorders>
              <w:top w:val="nil"/>
              <w:left w:val="nil"/>
              <w:bottom w:val="nil"/>
              <w:right w:val="nil"/>
            </w:tcBorders>
            <w:shd w:val="clear" w:color="000000" w:fill="FFFFFF"/>
            <w:noWrap/>
            <w:vAlign w:val="bottom"/>
            <w:hideMark/>
          </w:tcPr>
          <w:p w14:paraId="5EB7EB72" w14:textId="77777777" w:rsidR="001B6918" w:rsidRPr="004E6649" w:rsidRDefault="001B6918" w:rsidP="00730ECF">
            <w:pPr>
              <w:rPr>
                <w:rFonts w:eastAsia="Times New Roman" w:cstheme="minorHAnsi"/>
              </w:rPr>
            </w:pPr>
            <w:r w:rsidRPr="004E6649">
              <w:rPr>
                <w:rFonts w:eastAsia="Times New Roman" w:cstheme="minorHAnsi"/>
              </w:rPr>
              <w:t> </w:t>
            </w:r>
          </w:p>
        </w:tc>
        <w:tc>
          <w:tcPr>
            <w:tcW w:w="2939" w:type="dxa"/>
            <w:gridSpan w:val="2"/>
            <w:tcBorders>
              <w:top w:val="nil"/>
              <w:left w:val="nil"/>
              <w:bottom w:val="nil"/>
              <w:right w:val="nil"/>
            </w:tcBorders>
            <w:shd w:val="clear" w:color="000000" w:fill="FFFFFF"/>
            <w:noWrap/>
            <w:vAlign w:val="bottom"/>
            <w:hideMark/>
          </w:tcPr>
          <w:p w14:paraId="50D06734" w14:textId="77777777" w:rsidR="001B6918" w:rsidRPr="004E6649" w:rsidRDefault="001B6918" w:rsidP="00730ECF">
            <w:pPr>
              <w:rPr>
                <w:rFonts w:eastAsia="Times New Roman" w:cstheme="minorHAnsi"/>
              </w:rPr>
            </w:pPr>
            <w:r w:rsidRPr="004E6649">
              <w:rPr>
                <w:rFonts w:eastAsia="Times New Roman" w:cstheme="minorHAnsi"/>
              </w:rPr>
              <w:t>Federal Pell grants</w:t>
            </w:r>
          </w:p>
        </w:tc>
        <w:tc>
          <w:tcPr>
            <w:tcW w:w="1381" w:type="dxa"/>
            <w:tcBorders>
              <w:top w:val="nil"/>
              <w:left w:val="nil"/>
              <w:bottom w:val="nil"/>
              <w:right w:val="nil"/>
            </w:tcBorders>
            <w:shd w:val="clear" w:color="000000" w:fill="FFFFFF"/>
            <w:noWrap/>
            <w:vAlign w:val="bottom"/>
            <w:hideMark/>
          </w:tcPr>
          <w:p w14:paraId="66141A38" w14:textId="77777777" w:rsidR="001B6918" w:rsidRPr="004E6649" w:rsidRDefault="001B6918" w:rsidP="00730ECF">
            <w:pPr>
              <w:rPr>
                <w:rFonts w:eastAsia="Times New Roman" w:cstheme="minorHAnsi"/>
              </w:rPr>
            </w:pPr>
            <w:r w:rsidRPr="004E6649">
              <w:rPr>
                <w:rFonts w:eastAsia="Times New Roman" w:cstheme="minorHAnsi"/>
              </w:rPr>
              <w:t> </w:t>
            </w:r>
          </w:p>
        </w:tc>
        <w:tc>
          <w:tcPr>
            <w:tcW w:w="1468" w:type="dxa"/>
            <w:gridSpan w:val="2"/>
            <w:tcBorders>
              <w:top w:val="nil"/>
              <w:left w:val="nil"/>
              <w:bottom w:val="nil"/>
              <w:right w:val="nil"/>
            </w:tcBorders>
            <w:shd w:val="clear" w:color="000000" w:fill="FFFFFF"/>
            <w:noWrap/>
            <w:vAlign w:val="bottom"/>
            <w:hideMark/>
          </w:tcPr>
          <w:p w14:paraId="2C3EB880" w14:textId="77777777" w:rsidR="001B6918" w:rsidRPr="004E6649" w:rsidRDefault="001B6918" w:rsidP="00730ECF">
            <w:pPr>
              <w:rPr>
                <w:rFonts w:eastAsia="Times New Roman" w:cstheme="minorHAnsi"/>
              </w:rPr>
            </w:pPr>
            <w:r w:rsidRPr="004E6649">
              <w:rPr>
                <w:rFonts w:eastAsia="Times New Roman" w:cstheme="minorHAnsi"/>
              </w:rPr>
              <w:t> </w:t>
            </w:r>
          </w:p>
        </w:tc>
        <w:tc>
          <w:tcPr>
            <w:tcW w:w="1468" w:type="dxa"/>
            <w:gridSpan w:val="2"/>
            <w:tcBorders>
              <w:top w:val="nil"/>
              <w:left w:val="nil"/>
              <w:bottom w:val="nil"/>
              <w:right w:val="nil"/>
            </w:tcBorders>
            <w:shd w:val="clear" w:color="000000" w:fill="FFFFFF"/>
            <w:noWrap/>
            <w:vAlign w:val="bottom"/>
            <w:hideMark/>
          </w:tcPr>
          <w:p w14:paraId="7D38DE63" w14:textId="77777777" w:rsidR="001B6918" w:rsidRPr="004E6649" w:rsidRDefault="001B6918" w:rsidP="00730ECF">
            <w:pPr>
              <w:rPr>
                <w:rFonts w:eastAsia="Times New Roman" w:cstheme="minorHAnsi"/>
              </w:rPr>
            </w:pPr>
            <w:r w:rsidRPr="004E6649">
              <w:rPr>
                <w:rFonts w:eastAsia="Times New Roman" w:cstheme="minorHAnsi"/>
              </w:rPr>
              <w:t> </w:t>
            </w:r>
          </w:p>
        </w:tc>
        <w:tc>
          <w:tcPr>
            <w:tcW w:w="1329" w:type="dxa"/>
            <w:gridSpan w:val="2"/>
            <w:tcBorders>
              <w:top w:val="nil"/>
              <w:left w:val="nil"/>
              <w:right w:val="nil"/>
            </w:tcBorders>
            <w:shd w:val="clear" w:color="000000" w:fill="FFFFFF"/>
            <w:noWrap/>
            <w:vAlign w:val="bottom"/>
            <w:hideMark/>
          </w:tcPr>
          <w:p w14:paraId="09B87EA5" w14:textId="77777777" w:rsidR="001B6918" w:rsidRPr="0096125C" w:rsidRDefault="001B6918" w:rsidP="00730ECF">
            <w:pPr>
              <w:jc w:val="right"/>
              <w:rPr>
                <w:rFonts w:eastAsia="Times New Roman" w:cstheme="minorHAnsi"/>
              </w:rPr>
            </w:pPr>
            <w:r w:rsidRPr="0096125C">
              <w:rPr>
                <w:rFonts w:eastAsia="Times New Roman" w:cstheme="minorHAnsi"/>
              </w:rPr>
              <w:t xml:space="preserve">45,958   </w:t>
            </w:r>
          </w:p>
        </w:tc>
      </w:tr>
      <w:tr w:rsidR="001B6918" w:rsidRPr="004E6649" w14:paraId="39E8EC8C" w14:textId="77777777" w:rsidTr="003766F2">
        <w:trPr>
          <w:trHeight w:val="300"/>
          <w:jc w:val="center"/>
        </w:trPr>
        <w:tc>
          <w:tcPr>
            <w:tcW w:w="2700" w:type="dxa"/>
            <w:tcBorders>
              <w:top w:val="nil"/>
              <w:left w:val="nil"/>
              <w:bottom w:val="nil"/>
              <w:right w:val="nil"/>
            </w:tcBorders>
            <w:shd w:val="clear" w:color="000000" w:fill="FFFFFF"/>
            <w:noWrap/>
            <w:vAlign w:val="bottom"/>
            <w:hideMark/>
          </w:tcPr>
          <w:p w14:paraId="5D827007" w14:textId="77777777" w:rsidR="001B6918" w:rsidRPr="004E6649" w:rsidRDefault="001B6918" w:rsidP="00730ECF">
            <w:pPr>
              <w:rPr>
                <w:rFonts w:eastAsia="Times New Roman" w:cstheme="minorHAnsi"/>
              </w:rPr>
            </w:pPr>
            <w:r w:rsidRPr="004E6649">
              <w:rPr>
                <w:rFonts w:eastAsia="Times New Roman" w:cstheme="minorHAnsi"/>
              </w:rPr>
              <w:t> </w:t>
            </w:r>
          </w:p>
        </w:tc>
        <w:tc>
          <w:tcPr>
            <w:tcW w:w="4320" w:type="dxa"/>
            <w:gridSpan w:val="3"/>
            <w:tcBorders>
              <w:top w:val="nil"/>
              <w:left w:val="nil"/>
              <w:bottom w:val="nil"/>
              <w:right w:val="nil"/>
            </w:tcBorders>
            <w:shd w:val="clear" w:color="000000" w:fill="FFFFFF"/>
            <w:noWrap/>
            <w:vAlign w:val="bottom"/>
            <w:hideMark/>
          </w:tcPr>
          <w:p w14:paraId="70109721" w14:textId="77777777" w:rsidR="001B6918" w:rsidRPr="004E6649" w:rsidRDefault="001B6918" w:rsidP="00730ECF">
            <w:pPr>
              <w:rPr>
                <w:rFonts w:eastAsia="Times New Roman" w:cstheme="minorHAnsi"/>
              </w:rPr>
            </w:pPr>
            <w:r w:rsidRPr="004E6649">
              <w:rPr>
                <w:rFonts w:eastAsia="Times New Roman" w:cstheme="minorHAnsi"/>
              </w:rPr>
              <w:t>Coronavirus relief funding</w:t>
            </w:r>
          </w:p>
        </w:tc>
        <w:tc>
          <w:tcPr>
            <w:tcW w:w="1468" w:type="dxa"/>
            <w:gridSpan w:val="2"/>
            <w:tcBorders>
              <w:top w:val="nil"/>
              <w:left w:val="nil"/>
              <w:bottom w:val="nil"/>
              <w:right w:val="nil"/>
            </w:tcBorders>
            <w:shd w:val="clear" w:color="000000" w:fill="FFFFFF"/>
            <w:noWrap/>
            <w:vAlign w:val="bottom"/>
            <w:hideMark/>
          </w:tcPr>
          <w:p w14:paraId="4782BDFB" w14:textId="77777777" w:rsidR="001B6918" w:rsidRPr="004E6649" w:rsidRDefault="001B6918" w:rsidP="00730ECF">
            <w:pPr>
              <w:rPr>
                <w:rFonts w:eastAsia="Times New Roman" w:cstheme="minorHAnsi"/>
              </w:rPr>
            </w:pPr>
            <w:r w:rsidRPr="004E6649">
              <w:rPr>
                <w:rFonts w:eastAsia="Times New Roman" w:cstheme="minorHAnsi"/>
              </w:rPr>
              <w:t> </w:t>
            </w:r>
          </w:p>
        </w:tc>
        <w:tc>
          <w:tcPr>
            <w:tcW w:w="1468" w:type="dxa"/>
            <w:gridSpan w:val="2"/>
            <w:tcBorders>
              <w:top w:val="nil"/>
              <w:left w:val="nil"/>
              <w:bottom w:val="nil"/>
              <w:right w:val="nil"/>
            </w:tcBorders>
            <w:shd w:val="clear" w:color="000000" w:fill="FFFFFF"/>
            <w:noWrap/>
            <w:vAlign w:val="bottom"/>
            <w:hideMark/>
          </w:tcPr>
          <w:p w14:paraId="7DBF1CB9" w14:textId="77777777" w:rsidR="001B6918" w:rsidRPr="004E6649" w:rsidRDefault="001B6918" w:rsidP="00730ECF">
            <w:pPr>
              <w:rPr>
                <w:rFonts w:eastAsia="Times New Roman" w:cstheme="minorHAnsi"/>
              </w:rPr>
            </w:pPr>
            <w:r w:rsidRPr="004E6649">
              <w:rPr>
                <w:rFonts w:eastAsia="Times New Roman" w:cstheme="minorHAnsi"/>
              </w:rPr>
              <w:t> </w:t>
            </w:r>
          </w:p>
        </w:tc>
        <w:tc>
          <w:tcPr>
            <w:tcW w:w="1329" w:type="dxa"/>
            <w:gridSpan w:val="2"/>
            <w:tcBorders>
              <w:top w:val="nil"/>
              <w:left w:val="nil"/>
              <w:right w:val="nil"/>
            </w:tcBorders>
            <w:shd w:val="clear" w:color="000000" w:fill="FFFFFF"/>
            <w:noWrap/>
            <w:vAlign w:val="bottom"/>
            <w:hideMark/>
          </w:tcPr>
          <w:p w14:paraId="27BDDD8B" w14:textId="77777777" w:rsidR="001B6918" w:rsidRPr="0096125C" w:rsidRDefault="001B6918" w:rsidP="00730ECF">
            <w:pPr>
              <w:jc w:val="right"/>
              <w:rPr>
                <w:rFonts w:eastAsia="Times New Roman" w:cstheme="minorHAnsi"/>
              </w:rPr>
            </w:pPr>
            <w:r w:rsidRPr="0096125C">
              <w:rPr>
                <w:rFonts w:eastAsia="Times New Roman" w:cstheme="minorHAnsi"/>
              </w:rPr>
              <w:t>3,385</w:t>
            </w:r>
          </w:p>
        </w:tc>
      </w:tr>
      <w:tr w:rsidR="001B6918" w:rsidRPr="004E6649" w14:paraId="489A7519" w14:textId="77777777" w:rsidTr="003766F2">
        <w:trPr>
          <w:trHeight w:val="300"/>
          <w:jc w:val="center"/>
        </w:trPr>
        <w:tc>
          <w:tcPr>
            <w:tcW w:w="2700" w:type="dxa"/>
            <w:tcBorders>
              <w:top w:val="nil"/>
              <w:left w:val="nil"/>
              <w:bottom w:val="nil"/>
              <w:right w:val="nil"/>
            </w:tcBorders>
            <w:shd w:val="clear" w:color="000000" w:fill="FFFFFF"/>
            <w:noWrap/>
            <w:vAlign w:val="bottom"/>
          </w:tcPr>
          <w:p w14:paraId="37C7828A" w14:textId="77777777" w:rsidR="001B6918" w:rsidRPr="004E6649" w:rsidRDefault="001B6918" w:rsidP="00730ECF">
            <w:pPr>
              <w:rPr>
                <w:rFonts w:eastAsia="Times New Roman" w:cstheme="minorHAnsi"/>
              </w:rPr>
            </w:pPr>
          </w:p>
        </w:tc>
        <w:tc>
          <w:tcPr>
            <w:tcW w:w="5790" w:type="dxa"/>
            <w:gridSpan w:val="5"/>
            <w:tcBorders>
              <w:top w:val="nil"/>
              <w:left w:val="nil"/>
              <w:bottom w:val="nil"/>
              <w:right w:val="nil"/>
            </w:tcBorders>
            <w:shd w:val="clear" w:color="000000" w:fill="FFFFFF"/>
            <w:noWrap/>
            <w:vAlign w:val="bottom"/>
          </w:tcPr>
          <w:p w14:paraId="7BE7AD23" w14:textId="77777777" w:rsidR="001B6918" w:rsidRPr="004E6649" w:rsidRDefault="001B6918" w:rsidP="00730ECF">
            <w:pPr>
              <w:rPr>
                <w:rFonts w:eastAsia="Times New Roman" w:cstheme="minorHAnsi"/>
              </w:rPr>
            </w:pPr>
            <w:r w:rsidRPr="005C32B3">
              <w:rPr>
                <w:rFonts w:eastAsia="Times New Roman" w:cstheme="minorHAnsi"/>
              </w:rPr>
              <w:t>Income from public-private partnership</w:t>
            </w:r>
          </w:p>
        </w:tc>
        <w:tc>
          <w:tcPr>
            <w:tcW w:w="1468" w:type="dxa"/>
            <w:gridSpan w:val="2"/>
            <w:tcBorders>
              <w:top w:val="nil"/>
              <w:left w:val="nil"/>
              <w:bottom w:val="nil"/>
              <w:right w:val="nil"/>
            </w:tcBorders>
            <w:shd w:val="clear" w:color="000000" w:fill="FFFFFF"/>
            <w:noWrap/>
            <w:vAlign w:val="bottom"/>
          </w:tcPr>
          <w:p w14:paraId="01EA2316" w14:textId="77777777" w:rsidR="001B6918" w:rsidRPr="004E6649" w:rsidRDefault="001B6918" w:rsidP="00730ECF">
            <w:pPr>
              <w:rPr>
                <w:rFonts w:eastAsia="Times New Roman" w:cstheme="minorHAnsi"/>
              </w:rPr>
            </w:pPr>
          </w:p>
        </w:tc>
        <w:tc>
          <w:tcPr>
            <w:tcW w:w="1329" w:type="dxa"/>
            <w:gridSpan w:val="2"/>
            <w:tcBorders>
              <w:left w:val="nil"/>
              <w:bottom w:val="single" w:sz="4" w:space="0" w:color="auto"/>
              <w:right w:val="nil"/>
            </w:tcBorders>
            <w:shd w:val="clear" w:color="000000" w:fill="FFFFFF"/>
            <w:noWrap/>
            <w:vAlign w:val="bottom"/>
          </w:tcPr>
          <w:p w14:paraId="0E50B0C7" w14:textId="77777777" w:rsidR="001B6918" w:rsidRPr="0096125C" w:rsidRDefault="001B6918" w:rsidP="00730ECF">
            <w:pPr>
              <w:jc w:val="right"/>
              <w:rPr>
                <w:rFonts w:eastAsia="Times New Roman" w:cstheme="minorHAnsi"/>
              </w:rPr>
            </w:pPr>
            <w:r w:rsidRPr="0096125C">
              <w:rPr>
                <w:rFonts w:eastAsia="Times New Roman" w:cstheme="minorHAnsi"/>
              </w:rPr>
              <w:t>287</w:t>
            </w:r>
          </w:p>
        </w:tc>
      </w:tr>
      <w:tr w:rsidR="001B6918" w:rsidRPr="004E6649" w14:paraId="7B079481" w14:textId="77777777" w:rsidTr="003766F2">
        <w:trPr>
          <w:trHeight w:val="300"/>
          <w:jc w:val="center"/>
        </w:trPr>
        <w:tc>
          <w:tcPr>
            <w:tcW w:w="2700" w:type="dxa"/>
            <w:tcBorders>
              <w:top w:val="nil"/>
              <w:left w:val="nil"/>
              <w:bottom w:val="nil"/>
              <w:right w:val="nil"/>
            </w:tcBorders>
            <w:shd w:val="clear" w:color="000000" w:fill="FFFFFF"/>
            <w:noWrap/>
            <w:vAlign w:val="bottom"/>
            <w:hideMark/>
          </w:tcPr>
          <w:p w14:paraId="688B1067" w14:textId="77777777" w:rsidR="001B6918" w:rsidRPr="004E6649" w:rsidRDefault="001B6918" w:rsidP="00730ECF">
            <w:pPr>
              <w:rPr>
                <w:rFonts w:eastAsia="Times New Roman" w:cstheme="minorHAnsi"/>
              </w:rPr>
            </w:pPr>
            <w:r w:rsidRPr="004E6649">
              <w:rPr>
                <w:rFonts w:eastAsia="Times New Roman" w:cstheme="minorHAnsi"/>
              </w:rPr>
              <w:t> </w:t>
            </w:r>
          </w:p>
        </w:tc>
        <w:tc>
          <w:tcPr>
            <w:tcW w:w="5790" w:type="dxa"/>
            <w:gridSpan w:val="5"/>
            <w:tcBorders>
              <w:top w:val="nil"/>
              <w:left w:val="nil"/>
              <w:bottom w:val="nil"/>
              <w:right w:val="nil"/>
            </w:tcBorders>
            <w:shd w:val="clear" w:color="000000" w:fill="FFFFFF"/>
            <w:noWrap/>
            <w:vAlign w:val="bottom"/>
            <w:hideMark/>
          </w:tcPr>
          <w:p w14:paraId="3A0134D5" w14:textId="77777777" w:rsidR="001B6918" w:rsidRPr="004E6649" w:rsidRDefault="001B6918" w:rsidP="00730ECF">
            <w:pPr>
              <w:rPr>
                <w:rFonts w:eastAsia="Times New Roman" w:cstheme="minorHAnsi"/>
              </w:rPr>
            </w:pPr>
            <w:r w:rsidRPr="004E6649">
              <w:rPr>
                <w:rFonts w:eastAsia="Times New Roman" w:cstheme="minorHAnsi"/>
              </w:rPr>
              <w:t>Total Revenues and Extraordinary Items</w:t>
            </w:r>
          </w:p>
        </w:tc>
        <w:tc>
          <w:tcPr>
            <w:tcW w:w="1468" w:type="dxa"/>
            <w:gridSpan w:val="2"/>
            <w:tcBorders>
              <w:top w:val="nil"/>
              <w:left w:val="nil"/>
              <w:bottom w:val="nil"/>
              <w:right w:val="nil"/>
            </w:tcBorders>
            <w:shd w:val="clear" w:color="000000" w:fill="FFFFFF"/>
            <w:noWrap/>
            <w:vAlign w:val="bottom"/>
            <w:hideMark/>
          </w:tcPr>
          <w:p w14:paraId="5B549B0E" w14:textId="77777777" w:rsidR="001B6918" w:rsidRPr="004E6649" w:rsidRDefault="001B6918" w:rsidP="00730ECF">
            <w:pPr>
              <w:rPr>
                <w:rFonts w:eastAsia="Times New Roman" w:cstheme="minorHAnsi"/>
              </w:rPr>
            </w:pPr>
            <w:r w:rsidRPr="004E6649">
              <w:rPr>
                <w:rFonts w:eastAsia="Times New Roman" w:cstheme="minorHAnsi"/>
              </w:rPr>
              <w:t> </w:t>
            </w:r>
          </w:p>
        </w:tc>
        <w:tc>
          <w:tcPr>
            <w:tcW w:w="1329" w:type="dxa"/>
            <w:gridSpan w:val="2"/>
            <w:tcBorders>
              <w:left w:val="nil"/>
              <w:bottom w:val="single" w:sz="4" w:space="0" w:color="auto"/>
              <w:right w:val="nil"/>
            </w:tcBorders>
            <w:shd w:val="clear" w:color="000000" w:fill="FFFFFF"/>
            <w:noWrap/>
            <w:vAlign w:val="bottom"/>
            <w:hideMark/>
          </w:tcPr>
          <w:p w14:paraId="57CD5375" w14:textId="77777777" w:rsidR="001B6918" w:rsidRPr="0096125C" w:rsidRDefault="001B6918" w:rsidP="00730ECF">
            <w:pPr>
              <w:jc w:val="right"/>
              <w:rPr>
                <w:rFonts w:eastAsia="Times New Roman" w:cstheme="minorHAnsi"/>
              </w:rPr>
            </w:pPr>
            <w:r w:rsidRPr="0096125C">
              <w:rPr>
                <w:rFonts w:eastAsia="Times New Roman" w:cstheme="minorHAnsi"/>
              </w:rPr>
              <w:t>357,092</w:t>
            </w:r>
          </w:p>
        </w:tc>
      </w:tr>
      <w:tr w:rsidR="004A4351" w:rsidRPr="004E6649" w14:paraId="76DFF07F" w14:textId="77777777" w:rsidTr="003766F2">
        <w:trPr>
          <w:trHeight w:val="300"/>
          <w:jc w:val="center"/>
        </w:trPr>
        <w:tc>
          <w:tcPr>
            <w:tcW w:w="2700" w:type="dxa"/>
            <w:tcBorders>
              <w:top w:val="nil"/>
              <w:left w:val="nil"/>
              <w:bottom w:val="nil"/>
              <w:right w:val="nil"/>
            </w:tcBorders>
            <w:shd w:val="clear" w:color="000000" w:fill="FFFFFF"/>
            <w:noWrap/>
            <w:vAlign w:val="bottom"/>
            <w:hideMark/>
          </w:tcPr>
          <w:p w14:paraId="6CD9135E" w14:textId="77777777" w:rsidR="004A4351" w:rsidRPr="004E6649" w:rsidRDefault="004A4351" w:rsidP="004A4351">
            <w:pPr>
              <w:rPr>
                <w:rFonts w:eastAsia="Times New Roman" w:cstheme="minorHAnsi"/>
              </w:rPr>
            </w:pPr>
            <w:r w:rsidRPr="004E6649">
              <w:rPr>
                <w:rFonts w:eastAsia="Times New Roman" w:cstheme="minorHAnsi"/>
              </w:rPr>
              <w:t> </w:t>
            </w:r>
          </w:p>
        </w:tc>
        <w:tc>
          <w:tcPr>
            <w:tcW w:w="4320" w:type="dxa"/>
            <w:gridSpan w:val="3"/>
            <w:tcBorders>
              <w:top w:val="nil"/>
              <w:left w:val="nil"/>
              <w:bottom w:val="nil"/>
              <w:right w:val="nil"/>
            </w:tcBorders>
            <w:shd w:val="clear" w:color="000000" w:fill="FFFFFF"/>
            <w:noWrap/>
            <w:vAlign w:val="bottom"/>
            <w:hideMark/>
          </w:tcPr>
          <w:p w14:paraId="5EC8FCC0" w14:textId="77777777" w:rsidR="004A4351" w:rsidRPr="004E6649" w:rsidRDefault="004A4351" w:rsidP="004A4351">
            <w:pPr>
              <w:rPr>
                <w:rFonts w:eastAsia="Times New Roman" w:cstheme="minorHAnsi"/>
              </w:rPr>
            </w:pPr>
            <w:r w:rsidRPr="004E6649">
              <w:rPr>
                <w:rFonts w:eastAsia="Times New Roman" w:cstheme="minorHAnsi"/>
              </w:rPr>
              <w:t>Change in Net Position </w:t>
            </w:r>
          </w:p>
        </w:tc>
        <w:tc>
          <w:tcPr>
            <w:tcW w:w="1468" w:type="dxa"/>
            <w:gridSpan w:val="2"/>
            <w:tcBorders>
              <w:top w:val="nil"/>
              <w:left w:val="nil"/>
              <w:bottom w:val="nil"/>
              <w:right w:val="nil"/>
            </w:tcBorders>
            <w:shd w:val="clear" w:color="000000" w:fill="FFFFFF"/>
            <w:noWrap/>
            <w:vAlign w:val="bottom"/>
            <w:hideMark/>
          </w:tcPr>
          <w:p w14:paraId="5F95387A" w14:textId="77777777" w:rsidR="004A4351" w:rsidRPr="004E6649" w:rsidRDefault="004A4351" w:rsidP="004A4351">
            <w:pPr>
              <w:rPr>
                <w:rFonts w:eastAsia="Times New Roman" w:cstheme="minorHAnsi"/>
              </w:rPr>
            </w:pPr>
            <w:r w:rsidRPr="004E6649">
              <w:rPr>
                <w:rFonts w:eastAsia="Times New Roman" w:cstheme="minorHAnsi"/>
              </w:rPr>
              <w:t> </w:t>
            </w:r>
          </w:p>
        </w:tc>
        <w:tc>
          <w:tcPr>
            <w:tcW w:w="1468" w:type="dxa"/>
            <w:gridSpan w:val="2"/>
            <w:tcBorders>
              <w:top w:val="nil"/>
              <w:left w:val="nil"/>
              <w:bottom w:val="nil"/>
              <w:right w:val="nil"/>
            </w:tcBorders>
            <w:shd w:val="clear" w:color="000000" w:fill="FFFFFF"/>
            <w:noWrap/>
            <w:vAlign w:val="bottom"/>
            <w:hideMark/>
          </w:tcPr>
          <w:p w14:paraId="7AA47B48" w14:textId="77777777" w:rsidR="004A4351" w:rsidRPr="004E6649" w:rsidRDefault="004A4351" w:rsidP="004A4351">
            <w:pPr>
              <w:rPr>
                <w:rFonts w:eastAsia="Times New Roman" w:cstheme="minorHAnsi"/>
              </w:rPr>
            </w:pPr>
            <w:r w:rsidRPr="004E6649">
              <w:rPr>
                <w:rFonts w:eastAsia="Times New Roman" w:cstheme="minorHAnsi"/>
              </w:rPr>
              <w:t> </w:t>
            </w:r>
          </w:p>
        </w:tc>
        <w:tc>
          <w:tcPr>
            <w:tcW w:w="1329" w:type="dxa"/>
            <w:gridSpan w:val="2"/>
            <w:tcBorders>
              <w:top w:val="nil"/>
              <w:left w:val="nil"/>
              <w:bottom w:val="nil"/>
              <w:right w:val="nil"/>
            </w:tcBorders>
            <w:shd w:val="clear" w:color="000000" w:fill="FFFFFF"/>
            <w:noWrap/>
            <w:hideMark/>
          </w:tcPr>
          <w:p w14:paraId="131A66A1" w14:textId="3286B9E2" w:rsidR="004A4351" w:rsidRPr="0096125C" w:rsidRDefault="004A4351" w:rsidP="004A4351">
            <w:pPr>
              <w:jc w:val="right"/>
              <w:rPr>
                <w:rFonts w:eastAsia="Times New Roman" w:cstheme="minorHAnsi"/>
              </w:rPr>
            </w:pPr>
            <w:r w:rsidRPr="00E83944">
              <w:t xml:space="preserve"> 113,236 </w:t>
            </w:r>
          </w:p>
        </w:tc>
      </w:tr>
      <w:tr w:rsidR="004A4351" w:rsidRPr="004E6649" w14:paraId="0AE23B1E" w14:textId="77777777" w:rsidTr="003766F2">
        <w:trPr>
          <w:trHeight w:val="300"/>
          <w:jc w:val="center"/>
        </w:trPr>
        <w:tc>
          <w:tcPr>
            <w:tcW w:w="2700" w:type="dxa"/>
            <w:tcBorders>
              <w:top w:val="nil"/>
              <w:left w:val="nil"/>
              <w:bottom w:val="single" w:sz="4" w:space="0" w:color="000000" w:themeColor="text1"/>
              <w:right w:val="nil"/>
            </w:tcBorders>
            <w:shd w:val="clear" w:color="000000" w:fill="FFFFFF"/>
            <w:noWrap/>
            <w:vAlign w:val="bottom"/>
            <w:hideMark/>
          </w:tcPr>
          <w:p w14:paraId="081A3951" w14:textId="77777777" w:rsidR="004A4351" w:rsidRPr="004E6649" w:rsidRDefault="004A4351" w:rsidP="004A4351">
            <w:pPr>
              <w:rPr>
                <w:rFonts w:eastAsia="Times New Roman" w:cstheme="minorHAnsi"/>
                <w:b/>
                <w:bCs/>
              </w:rPr>
            </w:pPr>
            <w:r w:rsidRPr="004E6649">
              <w:rPr>
                <w:rFonts w:eastAsia="Times New Roman" w:cstheme="minorHAnsi"/>
                <w:b/>
                <w:bCs/>
              </w:rPr>
              <w:t> </w:t>
            </w:r>
          </w:p>
        </w:tc>
        <w:tc>
          <w:tcPr>
            <w:tcW w:w="4320" w:type="dxa"/>
            <w:gridSpan w:val="3"/>
            <w:tcBorders>
              <w:top w:val="nil"/>
              <w:left w:val="nil"/>
              <w:bottom w:val="single" w:sz="4" w:space="0" w:color="000000" w:themeColor="text1"/>
              <w:right w:val="nil"/>
            </w:tcBorders>
            <w:shd w:val="clear" w:color="000000" w:fill="FFFFFF"/>
            <w:noWrap/>
            <w:vAlign w:val="bottom"/>
            <w:hideMark/>
          </w:tcPr>
          <w:p w14:paraId="71159198" w14:textId="5BD10B4E" w:rsidR="004A4351" w:rsidRPr="004E6649" w:rsidRDefault="004A4351" w:rsidP="004A4351">
            <w:pPr>
              <w:rPr>
                <w:rFonts w:eastAsia="Times New Roman" w:cstheme="minorHAnsi"/>
              </w:rPr>
            </w:pPr>
            <w:r w:rsidRPr="004E6649">
              <w:rPr>
                <w:rFonts w:eastAsia="Times New Roman" w:cstheme="minorHAnsi"/>
              </w:rPr>
              <w:t>Net Position, Beginning of Year</w:t>
            </w:r>
            <w:r w:rsidR="0003105E">
              <w:rPr>
                <w:rFonts w:eastAsia="Times New Roman" w:cstheme="minorHAnsi"/>
              </w:rPr>
              <w:t xml:space="preserve"> – As Restated</w:t>
            </w:r>
          </w:p>
        </w:tc>
        <w:tc>
          <w:tcPr>
            <w:tcW w:w="1468" w:type="dxa"/>
            <w:gridSpan w:val="2"/>
            <w:tcBorders>
              <w:top w:val="nil"/>
              <w:left w:val="nil"/>
              <w:bottom w:val="single" w:sz="4" w:space="0" w:color="000000" w:themeColor="text1"/>
              <w:right w:val="nil"/>
            </w:tcBorders>
            <w:shd w:val="clear" w:color="000000" w:fill="FFFFFF"/>
            <w:noWrap/>
            <w:vAlign w:val="bottom"/>
            <w:hideMark/>
          </w:tcPr>
          <w:p w14:paraId="637F64C2" w14:textId="77777777" w:rsidR="004A4351" w:rsidRPr="004E6649" w:rsidRDefault="004A4351" w:rsidP="004A4351">
            <w:pPr>
              <w:rPr>
                <w:rFonts w:eastAsia="Times New Roman" w:cstheme="minorHAnsi"/>
              </w:rPr>
            </w:pPr>
            <w:r w:rsidRPr="004E6649">
              <w:rPr>
                <w:rFonts w:eastAsia="Times New Roman" w:cstheme="minorHAnsi"/>
              </w:rPr>
              <w:t> </w:t>
            </w:r>
          </w:p>
        </w:tc>
        <w:tc>
          <w:tcPr>
            <w:tcW w:w="1468" w:type="dxa"/>
            <w:gridSpan w:val="2"/>
            <w:tcBorders>
              <w:top w:val="nil"/>
              <w:left w:val="nil"/>
              <w:bottom w:val="single" w:sz="4" w:space="0" w:color="000000" w:themeColor="text1"/>
              <w:right w:val="nil"/>
            </w:tcBorders>
            <w:shd w:val="clear" w:color="000000" w:fill="FFFFFF"/>
            <w:noWrap/>
            <w:vAlign w:val="bottom"/>
            <w:hideMark/>
          </w:tcPr>
          <w:p w14:paraId="29496016" w14:textId="77777777" w:rsidR="004A4351" w:rsidRPr="004E6649" w:rsidRDefault="004A4351" w:rsidP="004A4351">
            <w:pPr>
              <w:rPr>
                <w:rFonts w:eastAsia="Times New Roman" w:cstheme="minorHAnsi"/>
              </w:rPr>
            </w:pPr>
            <w:r w:rsidRPr="004E6649">
              <w:rPr>
                <w:rFonts w:eastAsia="Times New Roman" w:cstheme="minorHAnsi"/>
              </w:rPr>
              <w:t> </w:t>
            </w:r>
          </w:p>
        </w:tc>
        <w:tc>
          <w:tcPr>
            <w:tcW w:w="1329" w:type="dxa"/>
            <w:gridSpan w:val="2"/>
            <w:tcBorders>
              <w:top w:val="nil"/>
              <w:left w:val="nil"/>
              <w:bottom w:val="single" w:sz="4" w:space="0" w:color="000000" w:themeColor="text1"/>
              <w:right w:val="nil"/>
            </w:tcBorders>
            <w:shd w:val="clear" w:color="000000" w:fill="FFFFFF"/>
            <w:noWrap/>
            <w:hideMark/>
          </w:tcPr>
          <w:p w14:paraId="7EF7FE43" w14:textId="7595E200" w:rsidR="004A4351" w:rsidRPr="0096125C" w:rsidRDefault="004A4351" w:rsidP="004A4351">
            <w:pPr>
              <w:jc w:val="right"/>
              <w:rPr>
                <w:rFonts w:eastAsia="Times New Roman" w:cstheme="minorHAnsi"/>
              </w:rPr>
            </w:pPr>
            <w:r w:rsidRPr="00E83944">
              <w:t xml:space="preserve"> 1,079,362 </w:t>
            </w:r>
          </w:p>
        </w:tc>
      </w:tr>
      <w:tr w:rsidR="004A4351" w:rsidRPr="004E6649" w14:paraId="00CC780F" w14:textId="77777777" w:rsidTr="003766F2">
        <w:trPr>
          <w:trHeight w:val="315"/>
          <w:jc w:val="center"/>
        </w:trPr>
        <w:tc>
          <w:tcPr>
            <w:tcW w:w="2700" w:type="dxa"/>
            <w:tcBorders>
              <w:top w:val="single" w:sz="4" w:space="0" w:color="000000" w:themeColor="text1"/>
              <w:left w:val="nil"/>
              <w:bottom w:val="double" w:sz="4" w:space="0" w:color="000000" w:themeColor="text1"/>
              <w:right w:val="nil"/>
            </w:tcBorders>
            <w:shd w:val="clear" w:color="000000" w:fill="FFFFFF"/>
            <w:noWrap/>
            <w:vAlign w:val="bottom"/>
            <w:hideMark/>
          </w:tcPr>
          <w:p w14:paraId="24029B3B" w14:textId="77777777" w:rsidR="004A4351" w:rsidRPr="004E6649" w:rsidRDefault="004A4351" w:rsidP="004A4351">
            <w:pPr>
              <w:rPr>
                <w:rFonts w:eastAsia="Times New Roman" w:cstheme="minorHAnsi"/>
                <w:b/>
                <w:bCs/>
              </w:rPr>
            </w:pPr>
            <w:r w:rsidRPr="004E6649">
              <w:rPr>
                <w:rFonts w:eastAsia="Times New Roman" w:cstheme="minorHAnsi"/>
                <w:b/>
                <w:bCs/>
              </w:rPr>
              <w:t> </w:t>
            </w:r>
          </w:p>
        </w:tc>
        <w:tc>
          <w:tcPr>
            <w:tcW w:w="4320" w:type="dxa"/>
            <w:gridSpan w:val="3"/>
            <w:tcBorders>
              <w:top w:val="single" w:sz="4" w:space="0" w:color="000000" w:themeColor="text1"/>
              <w:left w:val="nil"/>
              <w:bottom w:val="double" w:sz="4" w:space="0" w:color="000000" w:themeColor="text1"/>
              <w:right w:val="nil"/>
            </w:tcBorders>
            <w:shd w:val="clear" w:color="000000" w:fill="FFFFFF"/>
            <w:noWrap/>
            <w:vAlign w:val="bottom"/>
            <w:hideMark/>
          </w:tcPr>
          <w:p w14:paraId="1309FC28" w14:textId="77777777" w:rsidR="004A4351" w:rsidRPr="004E6649" w:rsidRDefault="004A4351" w:rsidP="004A4351">
            <w:pPr>
              <w:rPr>
                <w:rFonts w:eastAsia="Times New Roman" w:cstheme="minorHAnsi"/>
              </w:rPr>
            </w:pPr>
            <w:r w:rsidRPr="004E6649">
              <w:rPr>
                <w:rFonts w:eastAsia="Times New Roman" w:cstheme="minorHAnsi"/>
              </w:rPr>
              <w:t>Net Position, End of Year</w:t>
            </w:r>
          </w:p>
        </w:tc>
        <w:tc>
          <w:tcPr>
            <w:tcW w:w="1468" w:type="dxa"/>
            <w:gridSpan w:val="2"/>
            <w:tcBorders>
              <w:top w:val="single" w:sz="4" w:space="0" w:color="000000" w:themeColor="text1"/>
              <w:left w:val="nil"/>
              <w:bottom w:val="double" w:sz="4" w:space="0" w:color="000000" w:themeColor="text1"/>
              <w:right w:val="nil"/>
            </w:tcBorders>
            <w:shd w:val="clear" w:color="000000" w:fill="FFFFFF"/>
            <w:noWrap/>
            <w:vAlign w:val="bottom"/>
            <w:hideMark/>
          </w:tcPr>
          <w:p w14:paraId="011B3638" w14:textId="77777777" w:rsidR="004A4351" w:rsidRPr="004E6649" w:rsidRDefault="004A4351" w:rsidP="004A4351">
            <w:pPr>
              <w:rPr>
                <w:rFonts w:eastAsia="Times New Roman" w:cstheme="minorHAnsi"/>
              </w:rPr>
            </w:pPr>
            <w:r w:rsidRPr="004E6649">
              <w:rPr>
                <w:rFonts w:eastAsia="Times New Roman" w:cstheme="minorHAnsi"/>
              </w:rPr>
              <w:t> </w:t>
            </w:r>
          </w:p>
        </w:tc>
        <w:tc>
          <w:tcPr>
            <w:tcW w:w="1468" w:type="dxa"/>
            <w:gridSpan w:val="2"/>
            <w:tcBorders>
              <w:top w:val="single" w:sz="4" w:space="0" w:color="000000" w:themeColor="text1"/>
              <w:left w:val="nil"/>
              <w:bottom w:val="double" w:sz="4" w:space="0" w:color="000000" w:themeColor="text1"/>
              <w:right w:val="nil"/>
            </w:tcBorders>
            <w:shd w:val="clear" w:color="000000" w:fill="FFFFFF"/>
            <w:noWrap/>
            <w:vAlign w:val="bottom"/>
            <w:hideMark/>
          </w:tcPr>
          <w:p w14:paraId="0BFBB1DA" w14:textId="77777777" w:rsidR="004A4351" w:rsidRPr="004E6649" w:rsidRDefault="004A4351" w:rsidP="004A4351">
            <w:pPr>
              <w:rPr>
                <w:rFonts w:eastAsia="Times New Roman" w:cstheme="minorHAnsi"/>
              </w:rPr>
            </w:pPr>
            <w:r w:rsidRPr="004E6649">
              <w:rPr>
                <w:rFonts w:eastAsia="Times New Roman" w:cstheme="minorHAnsi"/>
              </w:rPr>
              <w:t> </w:t>
            </w:r>
          </w:p>
        </w:tc>
        <w:tc>
          <w:tcPr>
            <w:tcW w:w="1329" w:type="dxa"/>
            <w:gridSpan w:val="2"/>
            <w:tcBorders>
              <w:top w:val="single" w:sz="4" w:space="0" w:color="000000" w:themeColor="text1"/>
              <w:left w:val="nil"/>
              <w:bottom w:val="double" w:sz="4" w:space="0" w:color="000000" w:themeColor="text1"/>
              <w:right w:val="nil"/>
            </w:tcBorders>
            <w:shd w:val="clear" w:color="000000" w:fill="FFFFFF"/>
            <w:noWrap/>
            <w:hideMark/>
          </w:tcPr>
          <w:p w14:paraId="51E2B1D1" w14:textId="120BFE1B" w:rsidR="004A4351" w:rsidRPr="0096125C" w:rsidRDefault="004A4351" w:rsidP="004A4351">
            <w:pPr>
              <w:jc w:val="right"/>
              <w:rPr>
                <w:rFonts w:eastAsia="Times New Roman" w:cstheme="minorHAnsi"/>
              </w:rPr>
            </w:pPr>
            <w:r w:rsidRPr="00E83944">
              <w:t xml:space="preserve"> $1,192,598 </w:t>
            </w:r>
          </w:p>
        </w:tc>
      </w:tr>
      <w:tr w:rsidR="001B6918" w:rsidRPr="004E6649" w14:paraId="12E1BF7E" w14:textId="77777777" w:rsidTr="003766F2">
        <w:trPr>
          <w:trHeight w:val="50"/>
          <w:jc w:val="center"/>
        </w:trPr>
        <w:tc>
          <w:tcPr>
            <w:tcW w:w="2700" w:type="dxa"/>
            <w:tcBorders>
              <w:top w:val="double" w:sz="4" w:space="0" w:color="000000" w:themeColor="text1"/>
              <w:left w:val="nil"/>
              <w:right w:val="nil"/>
            </w:tcBorders>
            <w:shd w:val="clear" w:color="000000" w:fill="FFFFFF"/>
            <w:noWrap/>
            <w:vAlign w:val="bottom"/>
          </w:tcPr>
          <w:p w14:paraId="3F267A11" w14:textId="77777777" w:rsidR="001B6918" w:rsidRPr="006321BE" w:rsidRDefault="001B6918" w:rsidP="00730ECF">
            <w:pPr>
              <w:rPr>
                <w:rFonts w:eastAsia="Times New Roman" w:cstheme="minorHAnsi"/>
                <w:b/>
                <w:bCs/>
              </w:rPr>
            </w:pPr>
          </w:p>
        </w:tc>
        <w:tc>
          <w:tcPr>
            <w:tcW w:w="4320" w:type="dxa"/>
            <w:gridSpan w:val="3"/>
            <w:tcBorders>
              <w:top w:val="double" w:sz="4" w:space="0" w:color="000000" w:themeColor="text1"/>
              <w:left w:val="nil"/>
              <w:right w:val="nil"/>
            </w:tcBorders>
            <w:shd w:val="clear" w:color="000000" w:fill="FFFFFF"/>
            <w:noWrap/>
            <w:vAlign w:val="bottom"/>
          </w:tcPr>
          <w:p w14:paraId="4225B4DF" w14:textId="77777777" w:rsidR="001B6918" w:rsidRPr="006321BE" w:rsidRDefault="001B6918" w:rsidP="00730ECF">
            <w:pPr>
              <w:rPr>
                <w:rFonts w:eastAsia="Times New Roman" w:cstheme="minorHAnsi"/>
              </w:rPr>
            </w:pPr>
          </w:p>
        </w:tc>
        <w:tc>
          <w:tcPr>
            <w:tcW w:w="1468" w:type="dxa"/>
            <w:gridSpan w:val="2"/>
            <w:tcBorders>
              <w:top w:val="double" w:sz="4" w:space="0" w:color="000000" w:themeColor="text1"/>
              <w:left w:val="nil"/>
              <w:right w:val="nil"/>
            </w:tcBorders>
            <w:shd w:val="clear" w:color="000000" w:fill="FFFFFF"/>
            <w:noWrap/>
            <w:vAlign w:val="bottom"/>
          </w:tcPr>
          <w:p w14:paraId="3B989405" w14:textId="77777777" w:rsidR="001B6918" w:rsidRPr="006321BE" w:rsidRDefault="001B6918" w:rsidP="00730ECF">
            <w:pPr>
              <w:rPr>
                <w:rFonts w:eastAsia="Times New Roman" w:cstheme="minorHAnsi"/>
              </w:rPr>
            </w:pPr>
          </w:p>
        </w:tc>
        <w:tc>
          <w:tcPr>
            <w:tcW w:w="1468" w:type="dxa"/>
            <w:gridSpan w:val="2"/>
            <w:tcBorders>
              <w:top w:val="double" w:sz="4" w:space="0" w:color="000000" w:themeColor="text1"/>
              <w:left w:val="nil"/>
              <w:right w:val="nil"/>
            </w:tcBorders>
            <w:shd w:val="clear" w:color="000000" w:fill="FFFFFF"/>
            <w:noWrap/>
            <w:vAlign w:val="bottom"/>
          </w:tcPr>
          <w:p w14:paraId="677368D1" w14:textId="77777777" w:rsidR="001B6918" w:rsidRPr="006321BE" w:rsidRDefault="001B6918" w:rsidP="00730ECF">
            <w:pPr>
              <w:rPr>
                <w:rFonts w:eastAsia="Times New Roman" w:cstheme="minorHAnsi"/>
              </w:rPr>
            </w:pPr>
          </w:p>
        </w:tc>
        <w:tc>
          <w:tcPr>
            <w:tcW w:w="1329" w:type="dxa"/>
            <w:gridSpan w:val="2"/>
            <w:tcBorders>
              <w:top w:val="double" w:sz="4" w:space="0" w:color="000000" w:themeColor="text1"/>
              <w:left w:val="nil"/>
              <w:right w:val="nil"/>
            </w:tcBorders>
            <w:shd w:val="clear" w:color="000000" w:fill="FFFFFF"/>
            <w:noWrap/>
            <w:vAlign w:val="bottom"/>
          </w:tcPr>
          <w:p w14:paraId="5189146F" w14:textId="77777777" w:rsidR="001B6918" w:rsidRPr="006321BE" w:rsidRDefault="001B6918" w:rsidP="00730ECF">
            <w:pPr>
              <w:jc w:val="right"/>
              <w:rPr>
                <w:rFonts w:eastAsia="Times New Roman" w:cstheme="minorHAnsi"/>
              </w:rPr>
            </w:pPr>
          </w:p>
        </w:tc>
      </w:tr>
      <w:tr w:rsidR="001B6918" w:rsidRPr="004E6649" w14:paraId="24CFB6D6" w14:textId="77777777" w:rsidTr="003766F2">
        <w:trPr>
          <w:trHeight w:val="315"/>
          <w:jc w:val="center"/>
        </w:trPr>
        <w:tc>
          <w:tcPr>
            <w:tcW w:w="11287" w:type="dxa"/>
            <w:gridSpan w:val="10"/>
            <w:tcBorders>
              <w:left w:val="nil"/>
              <w:bottom w:val="single" w:sz="12" w:space="0" w:color="000000" w:themeColor="text1"/>
              <w:right w:val="nil"/>
            </w:tcBorders>
            <w:shd w:val="clear" w:color="000000" w:fill="FFFFFF"/>
            <w:noWrap/>
            <w:vAlign w:val="bottom"/>
            <w:hideMark/>
          </w:tcPr>
          <w:p w14:paraId="797BFE17" w14:textId="77777777" w:rsidR="001B6918" w:rsidRPr="004E6649" w:rsidRDefault="001B6918" w:rsidP="00730ECF">
            <w:pPr>
              <w:jc w:val="center"/>
              <w:rPr>
                <w:rFonts w:eastAsia="Times New Roman" w:cstheme="minorHAnsi"/>
                <w:b/>
                <w:bCs/>
              </w:rPr>
            </w:pPr>
            <w:r w:rsidRPr="004E6649">
              <w:rPr>
                <w:rFonts w:eastAsia="Times New Roman" w:cstheme="minorHAnsi"/>
                <w:b/>
                <w:bCs/>
              </w:rPr>
              <w:t>Year Ended June 30, 202</w:t>
            </w:r>
            <w:r>
              <w:rPr>
                <w:rFonts w:eastAsia="Times New Roman" w:cstheme="minorHAnsi"/>
                <w:b/>
                <w:bCs/>
              </w:rPr>
              <w:t>4 Restated</w:t>
            </w:r>
          </w:p>
        </w:tc>
      </w:tr>
      <w:tr w:rsidR="001B6918" w:rsidRPr="004E6649" w14:paraId="22C4D903" w14:textId="77777777" w:rsidTr="003766F2">
        <w:trPr>
          <w:trHeight w:val="852"/>
          <w:jc w:val="center"/>
        </w:trPr>
        <w:tc>
          <w:tcPr>
            <w:tcW w:w="2700" w:type="dxa"/>
            <w:tcBorders>
              <w:top w:val="single" w:sz="12" w:space="0" w:color="000000" w:themeColor="text1"/>
              <w:left w:val="nil"/>
              <w:bottom w:val="single" w:sz="8" w:space="0" w:color="000000" w:themeColor="text1"/>
              <w:right w:val="nil"/>
            </w:tcBorders>
            <w:shd w:val="clear" w:color="000000" w:fill="FFFFFF"/>
            <w:noWrap/>
            <w:vAlign w:val="bottom"/>
            <w:hideMark/>
          </w:tcPr>
          <w:p w14:paraId="4FA5FA98" w14:textId="77777777" w:rsidR="001B6918" w:rsidRPr="004E6649" w:rsidRDefault="001B6918" w:rsidP="00730ECF">
            <w:pPr>
              <w:rPr>
                <w:rFonts w:eastAsia="Times New Roman" w:cstheme="minorHAnsi"/>
                <w:b/>
                <w:bCs/>
              </w:rPr>
            </w:pPr>
            <w:r w:rsidRPr="004E6649">
              <w:rPr>
                <w:rFonts w:eastAsia="Times New Roman" w:cstheme="minorHAnsi"/>
                <w:b/>
                <w:bCs/>
              </w:rPr>
              <w:t>Functions/Programs</w:t>
            </w:r>
          </w:p>
        </w:tc>
        <w:tc>
          <w:tcPr>
            <w:tcW w:w="1887" w:type="dxa"/>
            <w:tcBorders>
              <w:top w:val="single" w:sz="12" w:space="0" w:color="000000" w:themeColor="text1"/>
              <w:left w:val="nil"/>
              <w:bottom w:val="single" w:sz="8" w:space="0" w:color="000000" w:themeColor="text1"/>
              <w:right w:val="nil"/>
            </w:tcBorders>
            <w:shd w:val="clear" w:color="000000" w:fill="FFFFFF"/>
            <w:noWrap/>
            <w:vAlign w:val="bottom"/>
            <w:hideMark/>
          </w:tcPr>
          <w:p w14:paraId="2D8B84AB" w14:textId="77777777" w:rsidR="001B6918" w:rsidRPr="004E6649" w:rsidRDefault="001B6918" w:rsidP="00730ECF">
            <w:pPr>
              <w:jc w:val="center"/>
              <w:rPr>
                <w:rFonts w:eastAsia="Times New Roman" w:cstheme="minorHAnsi"/>
                <w:b/>
                <w:bCs/>
              </w:rPr>
            </w:pPr>
            <w:r w:rsidRPr="004E6649">
              <w:rPr>
                <w:rFonts w:eastAsia="Times New Roman" w:cstheme="minorHAnsi"/>
                <w:b/>
                <w:bCs/>
              </w:rPr>
              <w:t>Expenses</w:t>
            </w:r>
          </w:p>
        </w:tc>
        <w:tc>
          <w:tcPr>
            <w:tcW w:w="1052" w:type="dxa"/>
            <w:tcBorders>
              <w:top w:val="single" w:sz="12" w:space="0" w:color="000000" w:themeColor="text1"/>
              <w:left w:val="nil"/>
              <w:bottom w:val="single" w:sz="8" w:space="0" w:color="000000" w:themeColor="text1"/>
              <w:right w:val="nil"/>
            </w:tcBorders>
            <w:shd w:val="clear" w:color="000000" w:fill="FFFFFF"/>
            <w:vAlign w:val="bottom"/>
            <w:hideMark/>
          </w:tcPr>
          <w:p w14:paraId="5C6D59BA" w14:textId="77777777" w:rsidR="001B6918" w:rsidRPr="004E6649" w:rsidRDefault="001B6918" w:rsidP="00730ECF">
            <w:pPr>
              <w:jc w:val="center"/>
              <w:rPr>
                <w:rFonts w:eastAsia="Times New Roman" w:cstheme="minorHAnsi"/>
                <w:b/>
                <w:bCs/>
              </w:rPr>
            </w:pPr>
            <w:r w:rsidRPr="004E6649">
              <w:rPr>
                <w:rFonts w:eastAsia="Times New Roman" w:cstheme="minorHAnsi"/>
                <w:b/>
                <w:bCs/>
              </w:rPr>
              <w:t>Charges for</w:t>
            </w:r>
            <w:r>
              <w:rPr>
                <w:rFonts w:eastAsia="Times New Roman" w:cstheme="minorHAnsi"/>
                <w:b/>
                <w:bCs/>
              </w:rPr>
              <w:t xml:space="preserve"> </w:t>
            </w:r>
            <w:r w:rsidRPr="004E6649">
              <w:rPr>
                <w:rFonts w:eastAsia="Times New Roman" w:cstheme="minorHAnsi"/>
                <w:b/>
                <w:bCs/>
              </w:rPr>
              <w:t>Services</w:t>
            </w:r>
          </w:p>
        </w:tc>
        <w:tc>
          <w:tcPr>
            <w:tcW w:w="1381" w:type="dxa"/>
            <w:tcBorders>
              <w:top w:val="single" w:sz="12" w:space="0" w:color="000000" w:themeColor="text1"/>
              <w:left w:val="nil"/>
              <w:bottom w:val="single" w:sz="8" w:space="0" w:color="000000" w:themeColor="text1"/>
              <w:right w:val="nil"/>
            </w:tcBorders>
            <w:shd w:val="clear" w:color="000000" w:fill="FFFFFF"/>
            <w:vAlign w:val="bottom"/>
            <w:hideMark/>
          </w:tcPr>
          <w:p w14:paraId="6A182AF4" w14:textId="77777777" w:rsidR="001B6918" w:rsidRPr="004E6649" w:rsidRDefault="001B6918" w:rsidP="00730ECF">
            <w:pPr>
              <w:jc w:val="center"/>
              <w:rPr>
                <w:rFonts w:eastAsia="Times New Roman" w:cstheme="minorHAnsi"/>
                <w:b/>
                <w:bCs/>
              </w:rPr>
            </w:pPr>
            <w:r w:rsidRPr="004E6649">
              <w:rPr>
                <w:rFonts w:eastAsia="Times New Roman" w:cstheme="minorHAnsi"/>
                <w:b/>
                <w:bCs/>
              </w:rPr>
              <w:t>Program</w:t>
            </w:r>
            <w:r>
              <w:rPr>
                <w:rFonts w:eastAsia="Times New Roman" w:cstheme="minorHAnsi"/>
                <w:b/>
                <w:bCs/>
              </w:rPr>
              <w:t xml:space="preserve"> </w:t>
            </w:r>
            <w:r w:rsidRPr="004E6649">
              <w:rPr>
                <w:rFonts w:eastAsia="Times New Roman" w:cstheme="minorHAnsi"/>
                <w:b/>
                <w:bCs/>
              </w:rPr>
              <w:t>Investment</w:t>
            </w:r>
            <w:r>
              <w:rPr>
                <w:rFonts w:eastAsia="Times New Roman" w:cstheme="minorHAnsi"/>
                <w:b/>
                <w:bCs/>
              </w:rPr>
              <w:t xml:space="preserve"> </w:t>
            </w:r>
            <w:r w:rsidRPr="004E6649">
              <w:rPr>
                <w:rFonts w:eastAsia="Times New Roman" w:cstheme="minorHAnsi"/>
                <w:b/>
                <w:bCs/>
              </w:rPr>
              <w:t>Income</w:t>
            </w:r>
          </w:p>
        </w:tc>
        <w:tc>
          <w:tcPr>
            <w:tcW w:w="1468" w:type="dxa"/>
            <w:gridSpan w:val="2"/>
            <w:tcBorders>
              <w:top w:val="single" w:sz="12" w:space="0" w:color="000000" w:themeColor="text1"/>
              <w:left w:val="nil"/>
              <w:bottom w:val="single" w:sz="8" w:space="0" w:color="000000" w:themeColor="text1"/>
              <w:right w:val="nil"/>
            </w:tcBorders>
            <w:shd w:val="clear" w:color="000000" w:fill="FFFFFF"/>
            <w:vAlign w:val="bottom"/>
            <w:hideMark/>
          </w:tcPr>
          <w:p w14:paraId="3C34D28B" w14:textId="77777777" w:rsidR="001B6918" w:rsidRPr="004E6649" w:rsidRDefault="001B6918" w:rsidP="00730ECF">
            <w:pPr>
              <w:jc w:val="center"/>
              <w:rPr>
                <w:rFonts w:eastAsia="Times New Roman" w:cstheme="minorHAnsi"/>
                <w:b/>
                <w:bCs/>
              </w:rPr>
            </w:pPr>
            <w:r w:rsidRPr="004E6649">
              <w:rPr>
                <w:rFonts w:eastAsia="Times New Roman" w:cstheme="minorHAnsi"/>
                <w:b/>
                <w:bCs/>
              </w:rPr>
              <w:t>Operating</w:t>
            </w:r>
            <w:r>
              <w:rPr>
                <w:rFonts w:eastAsia="Times New Roman" w:cstheme="minorHAnsi"/>
                <w:b/>
                <w:bCs/>
              </w:rPr>
              <w:t xml:space="preserve"> </w:t>
            </w:r>
            <w:r w:rsidRPr="004E6649">
              <w:rPr>
                <w:rFonts w:eastAsia="Times New Roman" w:cstheme="minorHAnsi"/>
                <w:b/>
                <w:bCs/>
              </w:rPr>
              <w:t>Grants/ Contributions</w:t>
            </w:r>
          </w:p>
        </w:tc>
        <w:tc>
          <w:tcPr>
            <w:tcW w:w="1468" w:type="dxa"/>
            <w:gridSpan w:val="2"/>
            <w:tcBorders>
              <w:top w:val="single" w:sz="12" w:space="0" w:color="000000" w:themeColor="text1"/>
              <w:left w:val="nil"/>
              <w:bottom w:val="single" w:sz="8" w:space="0" w:color="000000" w:themeColor="text1"/>
              <w:right w:val="nil"/>
            </w:tcBorders>
            <w:shd w:val="clear" w:color="000000" w:fill="FFFFFF"/>
            <w:vAlign w:val="bottom"/>
            <w:hideMark/>
          </w:tcPr>
          <w:p w14:paraId="517DFAA8" w14:textId="77777777" w:rsidR="001B6918" w:rsidRPr="004E6649" w:rsidRDefault="001B6918" w:rsidP="00730ECF">
            <w:pPr>
              <w:jc w:val="center"/>
              <w:rPr>
                <w:rFonts w:eastAsia="Times New Roman" w:cstheme="minorHAnsi"/>
                <w:b/>
                <w:bCs/>
              </w:rPr>
            </w:pPr>
            <w:r w:rsidRPr="004E6649">
              <w:rPr>
                <w:rFonts w:eastAsia="Times New Roman" w:cstheme="minorHAnsi"/>
                <w:b/>
                <w:bCs/>
              </w:rPr>
              <w:t>Capital</w:t>
            </w:r>
            <w:r>
              <w:rPr>
                <w:rFonts w:eastAsia="Times New Roman" w:cstheme="minorHAnsi"/>
                <w:b/>
                <w:bCs/>
              </w:rPr>
              <w:t xml:space="preserve"> </w:t>
            </w:r>
            <w:r w:rsidRPr="004E6649">
              <w:rPr>
                <w:rFonts w:eastAsia="Times New Roman" w:cstheme="minorHAnsi"/>
                <w:b/>
                <w:bCs/>
              </w:rPr>
              <w:t>Grants/</w:t>
            </w:r>
            <w:r>
              <w:rPr>
                <w:rFonts w:eastAsia="Times New Roman" w:cstheme="minorHAnsi"/>
                <w:b/>
                <w:bCs/>
              </w:rPr>
              <w:t xml:space="preserve"> </w:t>
            </w:r>
            <w:r w:rsidRPr="004E6649">
              <w:rPr>
                <w:rFonts w:eastAsia="Times New Roman" w:cstheme="minorHAnsi"/>
                <w:b/>
                <w:bCs/>
              </w:rPr>
              <w:t>Contributions</w:t>
            </w:r>
          </w:p>
        </w:tc>
        <w:tc>
          <w:tcPr>
            <w:tcW w:w="1329" w:type="dxa"/>
            <w:gridSpan w:val="2"/>
            <w:tcBorders>
              <w:top w:val="single" w:sz="12" w:space="0" w:color="000000" w:themeColor="text1"/>
              <w:left w:val="nil"/>
              <w:bottom w:val="single" w:sz="8" w:space="0" w:color="000000" w:themeColor="text1"/>
              <w:right w:val="nil"/>
            </w:tcBorders>
            <w:shd w:val="clear" w:color="000000" w:fill="FFFFFF"/>
            <w:vAlign w:val="bottom"/>
            <w:hideMark/>
          </w:tcPr>
          <w:p w14:paraId="6905E8E7" w14:textId="77777777" w:rsidR="001B6918" w:rsidRPr="004E6649" w:rsidRDefault="001B6918" w:rsidP="00730ECF">
            <w:pPr>
              <w:jc w:val="center"/>
              <w:rPr>
                <w:rFonts w:eastAsia="Times New Roman" w:cstheme="minorHAnsi"/>
                <w:b/>
                <w:bCs/>
              </w:rPr>
            </w:pPr>
            <w:r w:rsidRPr="004E6649">
              <w:rPr>
                <w:rFonts w:eastAsia="Times New Roman" w:cstheme="minorHAnsi"/>
                <w:b/>
                <w:bCs/>
              </w:rPr>
              <w:t>Net</w:t>
            </w:r>
            <w:r>
              <w:rPr>
                <w:rFonts w:eastAsia="Times New Roman" w:cstheme="minorHAnsi"/>
                <w:b/>
                <w:bCs/>
              </w:rPr>
              <w:t xml:space="preserve"> </w:t>
            </w:r>
            <w:r w:rsidRPr="004E6649">
              <w:rPr>
                <w:rFonts w:eastAsia="Times New Roman" w:cstheme="minorHAnsi"/>
                <w:b/>
                <w:bCs/>
              </w:rPr>
              <w:t>(Expense)</w:t>
            </w:r>
            <w:r>
              <w:rPr>
                <w:rFonts w:eastAsia="Times New Roman" w:cstheme="minorHAnsi"/>
                <w:b/>
                <w:bCs/>
              </w:rPr>
              <w:t xml:space="preserve"> </w:t>
            </w:r>
            <w:r w:rsidRPr="004E6649">
              <w:rPr>
                <w:rFonts w:eastAsia="Times New Roman" w:cstheme="minorHAnsi"/>
                <w:b/>
                <w:bCs/>
              </w:rPr>
              <w:t>Revenue</w:t>
            </w:r>
          </w:p>
        </w:tc>
      </w:tr>
      <w:tr w:rsidR="001B6918" w:rsidRPr="004E6649" w14:paraId="07627F02" w14:textId="77777777" w:rsidTr="003766F2">
        <w:trPr>
          <w:trHeight w:val="331"/>
          <w:jc w:val="center"/>
        </w:trPr>
        <w:tc>
          <w:tcPr>
            <w:tcW w:w="2700" w:type="dxa"/>
            <w:tcBorders>
              <w:top w:val="single" w:sz="8" w:space="0" w:color="000000" w:themeColor="text1"/>
              <w:left w:val="nil"/>
              <w:bottom w:val="nil"/>
              <w:right w:val="nil"/>
            </w:tcBorders>
            <w:shd w:val="clear" w:color="000000" w:fill="FFFFFF"/>
            <w:vAlign w:val="bottom"/>
            <w:hideMark/>
          </w:tcPr>
          <w:p w14:paraId="74C5FB90" w14:textId="77777777" w:rsidR="001B6918" w:rsidRPr="004E6649" w:rsidRDefault="001B6918" w:rsidP="00730ECF">
            <w:pPr>
              <w:rPr>
                <w:rFonts w:eastAsia="Times New Roman" w:cstheme="minorHAnsi"/>
              </w:rPr>
            </w:pPr>
            <w:r w:rsidRPr="004E6649">
              <w:rPr>
                <w:rFonts w:eastAsia="Times New Roman" w:cstheme="minorHAnsi"/>
              </w:rPr>
              <w:t>University of Maine System</w:t>
            </w:r>
          </w:p>
        </w:tc>
        <w:tc>
          <w:tcPr>
            <w:tcW w:w="1887" w:type="dxa"/>
            <w:tcBorders>
              <w:top w:val="single" w:sz="8" w:space="0" w:color="000000" w:themeColor="text1"/>
              <w:left w:val="nil"/>
              <w:bottom w:val="double" w:sz="6" w:space="0" w:color="auto"/>
              <w:right w:val="nil"/>
            </w:tcBorders>
            <w:shd w:val="clear" w:color="000000" w:fill="FFFFFF"/>
            <w:noWrap/>
            <w:hideMark/>
          </w:tcPr>
          <w:p w14:paraId="6A50BB58" w14:textId="77777777" w:rsidR="001B6918" w:rsidRPr="0096125C" w:rsidRDefault="001B6918" w:rsidP="00730ECF">
            <w:pPr>
              <w:jc w:val="right"/>
              <w:rPr>
                <w:rFonts w:eastAsia="Times New Roman" w:cstheme="minorHAnsi"/>
              </w:rPr>
            </w:pPr>
            <w:r w:rsidRPr="0096125C">
              <w:t xml:space="preserve">$859,960 </w:t>
            </w:r>
          </w:p>
        </w:tc>
        <w:tc>
          <w:tcPr>
            <w:tcW w:w="1052" w:type="dxa"/>
            <w:tcBorders>
              <w:top w:val="single" w:sz="8" w:space="0" w:color="000000" w:themeColor="text1"/>
              <w:left w:val="nil"/>
              <w:bottom w:val="double" w:sz="6" w:space="0" w:color="auto"/>
              <w:right w:val="nil"/>
            </w:tcBorders>
            <w:shd w:val="clear" w:color="000000" w:fill="FFFFFF"/>
            <w:noWrap/>
            <w:hideMark/>
          </w:tcPr>
          <w:p w14:paraId="36301EDF" w14:textId="77777777" w:rsidR="001B6918" w:rsidRPr="0096125C" w:rsidRDefault="001B6918" w:rsidP="00730ECF">
            <w:pPr>
              <w:jc w:val="right"/>
              <w:rPr>
                <w:rFonts w:eastAsia="Times New Roman" w:cstheme="minorHAnsi"/>
              </w:rPr>
            </w:pPr>
            <w:r w:rsidRPr="0096125C">
              <w:t xml:space="preserve">$314,826 </w:t>
            </w:r>
          </w:p>
        </w:tc>
        <w:tc>
          <w:tcPr>
            <w:tcW w:w="1381" w:type="dxa"/>
            <w:tcBorders>
              <w:top w:val="single" w:sz="8" w:space="0" w:color="000000" w:themeColor="text1"/>
              <w:left w:val="nil"/>
              <w:bottom w:val="double" w:sz="6" w:space="0" w:color="auto"/>
              <w:right w:val="nil"/>
            </w:tcBorders>
            <w:shd w:val="clear" w:color="000000" w:fill="FFFFFF"/>
            <w:noWrap/>
            <w:hideMark/>
          </w:tcPr>
          <w:p w14:paraId="6F1D2D2C" w14:textId="77777777" w:rsidR="001B6918" w:rsidRPr="0096125C" w:rsidRDefault="001B6918" w:rsidP="00730ECF">
            <w:pPr>
              <w:jc w:val="right"/>
              <w:rPr>
                <w:rFonts w:eastAsia="Times New Roman" w:cstheme="minorHAnsi"/>
              </w:rPr>
            </w:pPr>
            <w:r w:rsidRPr="0096125C">
              <w:t xml:space="preserve"> $10,613 </w:t>
            </w:r>
          </w:p>
        </w:tc>
        <w:tc>
          <w:tcPr>
            <w:tcW w:w="1468" w:type="dxa"/>
            <w:gridSpan w:val="2"/>
            <w:tcBorders>
              <w:top w:val="single" w:sz="8" w:space="0" w:color="000000" w:themeColor="text1"/>
              <w:left w:val="nil"/>
              <w:bottom w:val="double" w:sz="6" w:space="0" w:color="auto"/>
              <w:right w:val="nil"/>
            </w:tcBorders>
            <w:shd w:val="clear" w:color="000000" w:fill="FFFFFF"/>
            <w:noWrap/>
            <w:hideMark/>
          </w:tcPr>
          <w:p w14:paraId="4D5ADADC" w14:textId="77777777" w:rsidR="001B6918" w:rsidRPr="0096125C" w:rsidRDefault="001B6918" w:rsidP="00730ECF">
            <w:pPr>
              <w:jc w:val="right"/>
              <w:rPr>
                <w:rFonts w:eastAsia="Times New Roman" w:cstheme="minorHAnsi"/>
              </w:rPr>
            </w:pPr>
            <w:r w:rsidRPr="0096125C">
              <w:t xml:space="preserve"> $231,189 </w:t>
            </w:r>
          </w:p>
        </w:tc>
        <w:tc>
          <w:tcPr>
            <w:tcW w:w="1468" w:type="dxa"/>
            <w:gridSpan w:val="2"/>
            <w:tcBorders>
              <w:top w:val="single" w:sz="8" w:space="0" w:color="000000" w:themeColor="text1"/>
              <w:left w:val="nil"/>
              <w:bottom w:val="double" w:sz="6" w:space="0" w:color="auto"/>
              <w:right w:val="nil"/>
            </w:tcBorders>
            <w:shd w:val="clear" w:color="000000" w:fill="FFFFFF"/>
            <w:noWrap/>
            <w:hideMark/>
          </w:tcPr>
          <w:p w14:paraId="318AF6B9" w14:textId="77777777" w:rsidR="001B6918" w:rsidRPr="0096125C" w:rsidRDefault="001B6918" w:rsidP="00730ECF">
            <w:pPr>
              <w:jc w:val="right"/>
              <w:rPr>
                <w:rFonts w:eastAsia="Times New Roman" w:cstheme="minorHAnsi"/>
              </w:rPr>
            </w:pPr>
            <w:r w:rsidRPr="0096125C">
              <w:t xml:space="preserve"> $46,412 </w:t>
            </w:r>
          </w:p>
        </w:tc>
        <w:tc>
          <w:tcPr>
            <w:tcW w:w="1329" w:type="dxa"/>
            <w:gridSpan w:val="2"/>
            <w:tcBorders>
              <w:top w:val="single" w:sz="8" w:space="0" w:color="000000" w:themeColor="text1"/>
              <w:left w:val="nil"/>
              <w:bottom w:val="single" w:sz="4" w:space="0" w:color="auto"/>
              <w:right w:val="nil"/>
            </w:tcBorders>
            <w:shd w:val="clear" w:color="000000" w:fill="FFFFFF"/>
            <w:noWrap/>
            <w:hideMark/>
          </w:tcPr>
          <w:p w14:paraId="3B27F804" w14:textId="77777777" w:rsidR="001B6918" w:rsidRPr="0096125C" w:rsidRDefault="001B6918" w:rsidP="00730ECF">
            <w:pPr>
              <w:jc w:val="right"/>
              <w:rPr>
                <w:rFonts w:eastAsia="Times New Roman" w:cstheme="minorHAnsi"/>
              </w:rPr>
            </w:pPr>
            <w:r w:rsidRPr="0096125C">
              <w:t>$(256,920)</w:t>
            </w:r>
          </w:p>
        </w:tc>
      </w:tr>
      <w:tr w:rsidR="001B6918" w:rsidRPr="004E6649" w14:paraId="7076F82B" w14:textId="77777777" w:rsidTr="003766F2">
        <w:trPr>
          <w:trHeight w:val="315"/>
          <w:jc w:val="center"/>
        </w:trPr>
        <w:tc>
          <w:tcPr>
            <w:tcW w:w="2700" w:type="dxa"/>
            <w:tcBorders>
              <w:top w:val="nil"/>
              <w:left w:val="nil"/>
              <w:bottom w:val="nil"/>
              <w:right w:val="nil"/>
            </w:tcBorders>
            <w:shd w:val="clear" w:color="000000" w:fill="FFFFFF"/>
            <w:noWrap/>
            <w:vAlign w:val="bottom"/>
            <w:hideMark/>
          </w:tcPr>
          <w:p w14:paraId="68AF2320" w14:textId="77777777" w:rsidR="001B6918" w:rsidRPr="004E6649" w:rsidRDefault="001B6918" w:rsidP="00730ECF">
            <w:pPr>
              <w:rPr>
                <w:rFonts w:eastAsia="Times New Roman" w:cstheme="minorHAnsi"/>
              </w:rPr>
            </w:pPr>
            <w:r w:rsidRPr="004E6649">
              <w:rPr>
                <w:rFonts w:eastAsia="Times New Roman" w:cstheme="minorHAnsi"/>
              </w:rPr>
              <w:t> </w:t>
            </w:r>
          </w:p>
        </w:tc>
        <w:tc>
          <w:tcPr>
            <w:tcW w:w="2939" w:type="dxa"/>
            <w:gridSpan w:val="2"/>
            <w:tcBorders>
              <w:top w:val="nil"/>
              <w:left w:val="nil"/>
              <w:bottom w:val="nil"/>
              <w:right w:val="nil"/>
            </w:tcBorders>
            <w:shd w:val="clear" w:color="000000" w:fill="FFFFFF"/>
            <w:noWrap/>
            <w:vAlign w:val="bottom"/>
            <w:hideMark/>
          </w:tcPr>
          <w:p w14:paraId="21E373B2" w14:textId="77777777" w:rsidR="001B6918" w:rsidRPr="0096125C" w:rsidRDefault="001B6918" w:rsidP="00730ECF">
            <w:pPr>
              <w:rPr>
                <w:rFonts w:eastAsia="Times New Roman" w:cstheme="minorHAnsi"/>
                <w:b/>
                <w:bCs/>
              </w:rPr>
            </w:pPr>
            <w:r w:rsidRPr="0096125C">
              <w:rPr>
                <w:rFonts w:eastAsia="Times New Roman" w:cstheme="minorHAnsi"/>
                <w:b/>
                <w:bCs/>
              </w:rPr>
              <w:t>General Revenues:</w:t>
            </w:r>
          </w:p>
        </w:tc>
        <w:tc>
          <w:tcPr>
            <w:tcW w:w="1381" w:type="dxa"/>
            <w:tcBorders>
              <w:top w:val="nil"/>
              <w:left w:val="nil"/>
              <w:bottom w:val="nil"/>
              <w:right w:val="nil"/>
            </w:tcBorders>
            <w:shd w:val="clear" w:color="000000" w:fill="FFFFFF"/>
            <w:noWrap/>
            <w:vAlign w:val="bottom"/>
            <w:hideMark/>
          </w:tcPr>
          <w:p w14:paraId="2DDA2AD0" w14:textId="77777777" w:rsidR="001B6918" w:rsidRPr="0096125C" w:rsidRDefault="001B6918" w:rsidP="00730ECF">
            <w:pPr>
              <w:rPr>
                <w:rFonts w:eastAsia="Times New Roman" w:cstheme="minorHAnsi"/>
              </w:rPr>
            </w:pPr>
            <w:r w:rsidRPr="0096125C">
              <w:rPr>
                <w:rFonts w:eastAsia="Times New Roman" w:cstheme="minorHAnsi"/>
              </w:rPr>
              <w:t> </w:t>
            </w:r>
          </w:p>
        </w:tc>
        <w:tc>
          <w:tcPr>
            <w:tcW w:w="1468" w:type="dxa"/>
            <w:gridSpan w:val="2"/>
            <w:tcBorders>
              <w:top w:val="nil"/>
              <w:left w:val="nil"/>
              <w:bottom w:val="nil"/>
              <w:right w:val="nil"/>
            </w:tcBorders>
            <w:shd w:val="clear" w:color="000000" w:fill="FFFFFF"/>
            <w:noWrap/>
            <w:vAlign w:val="bottom"/>
            <w:hideMark/>
          </w:tcPr>
          <w:p w14:paraId="25A93B6A" w14:textId="77777777" w:rsidR="001B6918" w:rsidRPr="0096125C" w:rsidRDefault="001B6918" w:rsidP="00730ECF">
            <w:pPr>
              <w:rPr>
                <w:rFonts w:eastAsia="Times New Roman" w:cstheme="minorHAnsi"/>
              </w:rPr>
            </w:pPr>
            <w:r w:rsidRPr="0096125C">
              <w:rPr>
                <w:rFonts w:eastAsia="Times New Roman" w:cstheme="minorHAnsi"/>
              </w:rPr>
              <w:t> </w:t>
            </w:r>
          </w:p>
        </w:tc>
        <w:tc>
          <w:tcPr>
            <w:tcW w:w="1468" w:type="dxa"/>
            <w:gridSpan w:val="2"/>
            <w:tcBorders>
              <w:top w:val="nil"/>
              <w:left w:val="nil"/>
              <w:bottom w:val="nil"/>
              <w:right w:val="nil"/>
            </w:tcBorders>
            <w:shd w:val="clear" w:color="000000" w:fill="FFFFFF"/>
            <w:noWrap/>
            <w:vAlign w:val="bottom"/>
            <w:hideMark/>
          </w:tcPr>
          <w:p w14:paraId="685920C8" w14:textId="77777777" w:rsidR="001B6918" w:rsidRPr="0096125C" w:rsidRDefault="001B6918" w:rsidP="00730ECF">
            <w:pPr>
              <w:rPr>
                <w:rFonts w:eastAsia="Times New Roman" w:cstheme="minorHAnsi"/>
              </w:rPr>
            </w:pPr>
            <w:r w:rsidRPr="0096125C">
              <w:rPr>
                <w:rFonts w:eastAsia="Times New Roman" w:cstheme="minorHAnsi"/>
              </w:rPr>
              <w:t> </w:t>
            </w:r>
          </w:p>
        </w:tc>
        <w:tc>
          <w:tcPr>
            <w:tcW w:w="1329" w:type="dxa"/>
            <w:gridSpan w:val="2"/>
            <w:tcBorders>
              <w:top w:val="nil"/>
              <w:left w:val="nil"/>
              <w:bottom w:val="nil"/>
              <w:right w:val="nil"/>
            </w:tcBorders>
            <w:shd w:val="clear" w:color="000000" w:fill="FFFFFF"/>
            <w:noWrap/>
            <w:vAlign w:val="bottom"/>
            <w:hideMark/>
          </w:tcPr>
          <w:p w14:paraId="3E4B793D" w14:textId="77777777" w:rsidR="001B6918" w:rsidRPr="0096125C" w:rsidRDefault="001B6918" w:rsidP="00730ECF">
            <w:pPr>
              <w:jc w:val="right"/>
              <w:rPr>
                <w:rFonts w:eastAsia="Times New Roman" w:cstheme="minorHAnsi"/>
              </w:rPr>
            </w:pPr>
            <w:r w:rsidRPr="0096125C">
              <w:rPr>
                <w:rFonts w:eastAsia="Times New Roman" w:cstheme="minorHAnsi"/>
              </w:rPr>
              <w:t> </w:t>
            </w:r>
          </w:p>
        </w:tc>
      </w:tr>
      <w:tr w:rsidR="001B6918" w:rsidRPr="004E6649" w14:paraId="06D1047F" w14:textId="77777777" w:rsidTr="003766F2">
        <w:trPr>
          <w:trHeight w:val="300"/>
          <w:jc w:val="center"/>
        </w:trPr>
        <w:tc>
          <w:tcPr>
            <w:tcW w:w="2700" w:type="dxa"/>
            <w:tcBorders>
              <w:top w:val="nil"/>
              <w:left w:val="nil"/>
              <w:bottom w:val="nil"/>
              <w:right w:val="nil"/>
            </w:tcBorders>
            <w:shd w:val="clear" w:color="000000" w:fill="FFFFFF"/>
            <w:noWrap/>
            <w:vAlign w:val="bottom"/>
            <w:hideMark/>
          </w:tcPr>
          <w:p w14:paraId="1F1B6FC0" w14:textId="77777777" w:rsidR="001B6918" w:rsidRPr="004E6649" w:rsidRDefault="001B6918" w:rsidP="00730ECF">
            <w:pPr>
              <w:rPr>
                <w:rFonts w:eastAsia="Times New Roman" w:cstheme="minorHAnsi"/>
              </w:rPr>
            </w:pPr>
            <w:r w:rsidRPr="004E6649">
              <w:rPr>
                <w:rFonts w:eastAsia="Times New Roman" w:cstheme="minorHAnsi"/>
              </w:rPr>
              <w:t> </w:t>
            </w:r>
          </w:p>
        </w:tc>
        <w:tc>
          <w:tcPr>
            <w:tcW w:w="5790" w:type="dxa"/>
            <w:gridSpan w:val="5"/>
            <w:tcBorders>
              <w:top w:val="nil"/>
              <w:left w:val="nil"/>
              <w:bottom w:val="nil"/>
              <w:right w:val="nil"/>
            </w:tcBorders>
            <w:shd w:val="clear" w:color="000000" w:fill="FFFFFF"/>
            <w:noWrap/>
            <w:vAlign w:val="bottom"/>
            <w:hideMark/>
          </w:tcPr>
          <w:p w14:paraId="7A9AE267" w14:textId="77777777" w:rsidR="001B6918" w:rsidRPr="0096125C" w:rsidRDefault="001B6918" w:rsidP="00730ECF">
            <w:pPr>
              <w:rPr>
                <w:rFonts w:eastAsia="Times New Roman" w:cstheme="minorHAnsi"/>
              </w:rPr>
            </w:pPr>
            <w:r w:rsidRPr="0096125C">
              <w:rPr>
                <w:rFonts w:eastAsia="Times New Roman" w:cstheme="minorHAnsi"/>
              </w:rPr>
              <w:t>Unrestricted interest and investment income</w:t>
            </w:r>
          </w:p>
        </w:tc>
        <w:tc>
          <w:tcPr>
            <w:tcW w:w="1468" w:type="dxa"/>
            <w:gridSpan w:val="2"/>
            <w:tcBorders>
              <w:top w:val="nil"/>
              <w:left w:val="nil"/>
              <w:bottom w:val="nil"/>
              <w:right w:val="nil"/>
            </w:tcBorders>
            <w:shd w:val="clear" w:color="000000" w:fill="FFFFFF"/>
            <w:noWrap/>
            <w:vAlign w:val="bottom"/>
            <w:hideMark/>
          </w:tcPr>
          <w:p w14:paraId="22EC7877" w14:textId="77777777" w:rsidR="001B6918" w:rsidRPr="0096125C" w:rsidRDefault="001B6918" w:rsidP="00730ECF">
            <w:pPr>
              <w:rPr>
                <w:rFonts w:eastAsia="Times New Roman" w:cstheme="minorHAnsi"/>
              </w:rPr>
            </w:pPr>
            <w:r w:rsidRPr="0096125C">
              <w:rPr>
                <w:rFonts w:eastAsia="Times New Roman" w:cstheme="minorHAnsi"/>
              </w:rPr>
              <w:t> </w:t>
            </w:r>
          </w:p>
        </w:tc>
        <w:tc>
          <w:tcPr>
            <w:tcW w:w="1329" w:type="dxa"/>
            <w:gridSpan w:val="2"/>
            <w:tcBorders>
              <w:top w:val="nil"/>
              <w:left w:val="nil"/>
              <w:bottom w:val="nil"/>
              <w:right w:val="nil"/>
            </w:tcBorders>
            <w:shd w:val="clear" w:color="000000" w:fill="FFFFFF"/>
            <w:noWrap/>
            <w:vAlign w:val="bottom"/>
            <w:hideMark/>
          </w:tcPr>
          <w:p w14:paraId="64D62832" w14:textId="77777777" w:rsidR="001B6918" w:rsidRPr="0096125C" w:rsidRDefault="001B6918" w:rsidP="00730ECF">
            <w:pPr>
              <w:jc w:val="right"/>
              <w:rPr>
                <w:rFonts w:eastAsia="Times New Roman" w:cstheme="minorHAnsi"/>
              </w:rPr>
            </w:pPr>
            <w:r w:rsidRPr="0096125C">
              <w:rPr>
                <w:rFonts w:eastAsia="Times New Roman" w:cstheme="minorHAnsi"/>
              </w:rPr>
              <w:t>21,148</w:t>
            </w:r>
          </w:p>
        </w:tc>
      </w:tr>
      <w:tr w:rsidR="001B6918" w:rsidRPr="004E6649" w14:paraId="5D3843A3" w14:textId="77777777" w:rsidTr="003766F2">
        <w:trPr>
          <w:trHeight w:val="300"/>
          <w:jc w:val="center"/>
        </w:trPr>
        <w:tc>
          <w:tcPr>
            <w:tcW w:w="2700" w:type="dxa"/>
            <w:tcBorders>
              <w:top w:val="nil"/>
              <w:left w:val="nil"/>
              <w:bottom w:val="nil"/>
              <w:right w:val="nil"/>
            </w:tcBorders>
            <w:shd w:val="clear" w:color="000000" w:fill="FFFFFF"/>
            <w:noWrap/>
            <w:vAlign w:val="bottom"/>
            <w:hideMark/>
          </w:tcPr>
          <w:p w14:paraId="1BA6390E" w14:textId="77777777" w:rsidR="001B6918" w:rsidRPr="004E6649" w:rsidRDefault="001B6918" w:rsidP="00730ECF">
            <w:pPr>
              <w:rPr>
                <w:rFonts w:eastAsia="Times New Roman" w:cstheme="minorHAnsi"/>
              </w:rPr>
            </w:pPr>
            <w:r w:rsidRPr="004E6649">
              <w:rPr>
                <w:rFonts w:eastAsia="Times New Roman" w:cstheme="minorHAnsi"/>
              </w:rPr>
              <w:t> </w:t>
            </w:r>
          </w:p>
        </w:tc>
        <w:tc>
          <w:tcPr>
            <w:tcW w:w="4320" w:type="dxa"/>
            <w:gridSpan w:val="3"/>
            <w:tcBorders>
              <w:top w:val="nil"/>
              <w:left w:val="nil"/>
              <w:bottom w:val="nil"/>
              <w:right w:val="nil"/>
            </w:tcBorders>
            <w:shd w:val="clear" w:color="000000" w:fill="FFFFFF"/>
            <w:noWrap/>
            <w:vAlign w:val="bottom"/>
            <w:hideMark/>
          </w:tcPr>
          <w:p w14:paraId="52E79B69" w14:textId="77777777" w:rsidR="001B6918" w:rsidRPr="0096125C" w:rsidRDefault="001B6918" w:rsidP="00730ECF">
            <w:pPr>
              <w:rPr>
                <w:rFonts w:eastAsia="Times New Roman" w:cstheme="minorHAnsi"/>
              </w:rPr>
            </w:pPr>
            <w:r w:rsidRPr="0096125C">
              <w:rPr>
                <w:rFonts w:eastAsia="Times New Roman" w:cstheme="minorHAnsi"/>
              </w:rPr>
              <w:t xml:space="preserve">Additions to endowments - gifts </w:t>
            </w:r>
          </w:p>
        </w:tc>
        <w:tc>
          <w:tcPr>
            <w:tcW w:w="1468" w:type="dxa"/>
            <w:gridSpan w:val="2"/>
            <w:tcBorders>
              <w:top w:val="nil"/>
              <w:left w:val="nil"/>
              <w:bottom w:val="nil"/>
              <w:right w:val="nil"/>
            </w:tcBorders>
            <w:shd w:val="clear" w:color="000000" w:fill="FFFFFF"/>
            <w:noWrap/>
            <w:vAlign w:val="bottom"/>
            <w:hideMark/>
          </w:tcPr>
          <w:p w14:paraId="1A41F65F" w14:textId="77777777" w:rsidR="001B6918" w:rsidRPr="0096125C" w:rsidRDefault="001B6918" w:rsidP="00730ECF">
            <w:pPr>
              <w:rPr>
                <w:rFonts w:eastAsia="Times New Roman" w:cstheme="minorHAnsi"/>
              </w:rPr>
            </w:pPr>
            <w:r w:rsidRPr="0096125C">
              <w:rPr>
                <w:rFonts w:eastAsia="Times New Roman" w:cstheme="minorHAnsi"/>
              </w:rPr>
              <w:t> </w:t>
            </w:r>
          </w:p>
        </w:tc>
        <w:tc>
          <w:tcPr>
            <w:tcW w:w="1468" w:type="dxa"/>
            <w:gridSpan w:val="2"/>
            <w:tcBorders>
              <w:top w:val="nil"/>
              <w:left w:val="nil"/>
              <w:bottom w:val="nil"/>
              <w:right w:val="nil"/>
            </w:tcBorders>
            <w:shd w:val="clear" w:color="000000" w:fill="FFFFFF"/>
            <w:noWrap/>
            <w:vAlign w:val="bottom"/>
            <w:hideMark/>
          </w:tcPr>
          <w:p w14:paraId="6F954B36" w14:textId="77777777" w:rsidR="001B6918" w:rsidRPr="0096125C" w:rsidRDefault="001B6918" w:rsidP="00730ECF">
            <w:pPr>
              <w:rPr>
                <w:rFonts w:eastAsia="Times New Roman" w:cstheme="minorHAnsi"/>
              </w:rPr>
            </w:pPr>
            <w:r w:rsidRPr="0096125C">
              <w:rPr>
                <w:rFonts w:eastAsia="Times New Roman" w:cstheme="minorHAnsi"/>
              </w:rPr>
              <w:t> </w:t>
            </w:r>
          </w:p>
        </w:tc>
        <w:tc>
          <w:tcPr>
            <w:tcW w:w="1329" w:type="dxa"/>
            <w:gridSpan w:val="2"/>
            <w:tcBorders>
              <w:top w:val="nil"/>
              <w:left w:val="nil"/>
              <w:bottom w:val="nil"/>
              <w:right w:val="nil"/>
            </w:tcBorders>
            <w:shd w:val="clear" w:color="000000" w:fill="FFFFFF"/>
            <w:noWrap/>
            <w:vAlign w:val="bottom"/>
            <w:hideMark/>
          </w:tcPr>
          <w:p w14:paraId="4D73595E" w14:textId="77777777" w:rsidR="001B6918" w:rsidRPr="0096125C" w:rsidRDefault="001B6918" w:rsidP="00730ECF">
            <w:pPr>
              <w:jc w:val="right"/>
              <w:rPr>
                <w:rFonts w:eastAsia="Times New Roman" w:cstheme="minorHAnsi"/>
              </w:rPr>
            </w:pPr>
            <w:r w:rsidRPr="0096125C">
              <w:rPr>
                <w:rFonts w:eastAsia="Times New Roman" w:cstheme="minorHAnsi"/>
              </w:rPr>
              <w:t>773</w:t>
            </w:r>
          </w:p>
        </w:tc>
      </w:tr>
      <w:tr w:rsidR="001B6918" w:rsidRPr="004E6649" w14:paraId="06E2EAEA" w14:textId="77777777" w:rsidTr="003766F2">
        <w:trPr>
          <w:trHeight w:val="300"/>
          <w:jc w:val="center"/>
        </w:trPr>
        <w:tc>
          <w:tcPr>
            <w:tcW w:w="2700" w:type="dxa"/>
            <w:tcBorders>
              <w:top w:val="nil"/>
              <w:left w:val="nil"/>
              <w:bottom w:val="nil"/>
              <w:right w:val="nil"/>
            </w:tcBorders>
            <w:shd w:val="clear" w:color="000000" w:fill="FFFFFF"/>
            <w:noWrap/>
            <w:vAlign w:val="bottom"/>
            <w:hideMark/>
          </w:tcPr>
          <w:p w14:paraId="5287B1E9" w14:textId="77777777" w:rsidR="001B6918" w:rsidRPr="004E6649" w:rsidRDefault="001B6918" w:rsidP="00730ECF">
            <w:pPr>
              <w:rPr>
                <w:rFonts w:eastAsia="Times New Roman" w:cstheme="minorHAnsi"/>
              </w:rPr>
            </w:pPr>
            <w:r w:rsidRPr="004E6649">
              <w:rPr>
                <w:rFonts w:eastAsia="Times New Roman" w:cstheme="minorHAnsi"/>
              </w:rPr>
              <w:t> </w:t>
            </w:r>
          </w:p>
        </w:tc>
        <w:tc>
          <w:tcPr>
            <w:tcW w:w="5790" w:type="dxa"/>
            <w:gridSpan w:val="5"/>
            <w:tcBorders>
              <w:top w:val="nil"/>
              <w:left w:val="nil"/>
              <w:bottom w:val="nil"/>
              <w:right w:val="nil"/>
            </w:tcBorders>
            <w:shd w:val="clear" w:color="000000" w:fill="FFFFFF"/>
            <w:noWrap/>
            <w:vAlign w:val="bottom"/>
            <w:hideMark/>
          </w:tcPr>
          <w:p w14:paraId="3AC10E7D" w14:textId="77777777" w:rsidR="001B6918" w:rsidRPr="0096125C" w:rsidRDefault="001B6918" w:rsidP="00730ECF">
            <w:pPr>
              <w:rPr>
                <w:rFonts w:eastAsia="Times New Roman" w:cstheme="minorHAnsi"/>
              </w:rPr>
            </w:pPr>
            <w:r w:rsidRPr="0096125C">
              <w:rPr>
                <w:rFonts w:eastAsia="Times New Roman" w:cstheme="minorHAnsi"/>
              </w:rPr>
              <w:t>State of Maine noncapital appropriation</w:t>
            </w:r>
          </w:p>
        </w:tc>
        <w:tc>
          <w:tcPr>
            <w:tcW w:w="1468" w:type="dxa"/>
            <w:gridSpan w:val="2"/>
            <w:tcBorders>
              <w:top w:val="nil"/>
              <w:left w:val="nil"/>
              <w:bottom w:val="nil"/>
              <w:right w:val="nil"/>
            </w:tcBorders>
            <w:shd w:val="clear" w:color="000000" w:fill="FFFFFF"/>
            <w:noWrap/>
            <w:vAlign w:val="bottom"/>
            <w:hideMark/>
          </w:tcPr>
          <w:p w14:paraId="1B5598E5" w14:textId="77777777" w:rsidR="001B6918" w:rsidRPr="0096125C" w:rsidRDefault="001B6918" w:rsidP="00730ECF">
            <w:pPr>
              <w:rPr>
                <w:rFonts w:eastAsia="Times New Roman" w:cstheme="minorHAnsi"/>
              </w:rPr>
            </w:pPr>
            <w:r w:rsidRPr="0096125C">
              <w:rPr>
                <w:rFonts w:eastAsia="Times New Roman" w:cstheme="minorHAnsi"/>
              </w:rPr>
              <w:t> </w:t>
            </w:r>
          </w:p>
        </w:tc>
        <w:tc>
          <w:tcPr>
            <w:tcW w:w="1329" w:type="dxa"/>
            <w:gridSpan w:val="2"/>
            <w:tcBorders>
              <w:top w:val="nil"/>
              <w:left w:val="nil"/>
              <w:bottom w:val="nil"/>
              <w:right w:val="nil"/>
            </w:tcBorders>
            <w:shd w:val="clear" w:color="000000" w:fill="FFFFFF"/>
            <w:noWrap/>
            <w:vAlign w:val="bottom"/>
            <w:hideMark/>
          </w:tcPr>
          <w:p w14:paraId="3DD7479B" w14:textId="77777777" w:rsidR="001B6918" w:rsidRPr="0096125C" w:rsidRDefault="001B6918" w:rsidP="00730ECF">
            <w:pPr>
              <w:jc w:val="right"/>
              <w:rPr>
                <w:rFonts w:eastAsia="Times New Roman" w:cstheme="minorHAnsi"/>
              </w:rPr>
            </w:pPr>
            <w:r w:rsidRPr="0096125C">
              <w:rPr>
                <w:rFonts w:eastAsia="Times New Roman" w:cstheme="minorHAnsi"/>
              </w:rPr>
              <w:t>261,171</w:t>
            </w:r>
          </w:p>
        </w:tc>
      </w:tr>
      <w:tr w:rsidR="001B6918" w:rsidRPr="004E6649" w14:paraId="5FC18B34" w14:textId="77777777" w:rsidTr="003766F2">
        <w:trPr>
          <w:trHeight w:val="300"/>
          <w:jc w:val="center"/>
        </w:trPr>
        <w:tc>
          <w:tcPr>
            <w:tcW w:w="2700" w:type="dxa"/>
            <w:tcBorders>
              <w:top w:val="nil"/>
              <w:left w:val="nil"/>
              <w:bottom w:val="nil"/>
              <w:right w:val="nil"/>
            </w:tcBorders>
            <w:shd w:val="clear" w:color="000000" w:fill="FFFFFF"/>
            <w:noWrap/>
            <w:vAlign w:val="bottom"/>
            <w:hideMark/>
          </w:tcPr>
          <w:p w14:paraId="4A5AD22C" w14:textId="77777777" w:rsidR="001B6918" w:rsidRPr="004E6649" w:rsidRDefault="001B6918" w:rsidP="00730ECF">
            <w:pPr>
              <w:rPr>
                <w:rFonts w:eastAsia="Times New Roman" w:cstheme="minorHAnsi"/>
              </w:rPr>
            </w:pPr>
            <w:r w:rsidRPr="004E6649">
              <w:rPr>
                <w:rFonts w:eastAsia="Times New Roman" w:cstheme="minorHAnsi"/>
              </w:rPr>
              <w:t> </w:t>
            </w:r>
          </w:p>
        </w:tc>
        <w:tc>
          <w:tcPr>
            <w:tcW w:w="4320" w:type="dxa"/>
            <w:gridSpan w:val="3"/>
            <w:tcBorders>
              <w:top w:val="nil"/>
              <w:left w:val="nil"/>
              <w:bottom w:val="nil"/>
              <w:right w:val="nil"/>
            </w:tcBorders>
            <w:shd w:val="clear" w:color="000000" w:fill="FFFFFF"/>
            <w:noWrap/>
            <w:vAlign w:val="bottom"/>
            <w:hideMark/>
          </w:tcPr>
          <w:p w14:paraId="193DC08C" w14:textId="77777777" w:rsidR="001B6918" w:rsidRPr="0096125C" w:rsidRDefault="001B6918" w:rsidP="00730ECF">
            <w:pPr>
              <w:ind w:right="-1420"/>
              <w:rPr>
                <w:rFonts w:eastAsia="Times New Roman" w:cstheme="minorHAnsi"/>
              </w:rPr>
            </w:pPr>
            <w:r w:rsidRPr="0096125C">
              <w:rPr>
                <w:rFonts w:eastAsia="Times New Roman" w:cstheme="minorHAnsi"/>
              </w:rPr>
              <w:t>State of Maine capital appropriation</w:t>
            </w:r>
          </w:p>
        </w:tc>
        <w:tc>
          <w:tcPr>
            <w:tcW w:w="1468" w:type="dxa"/>
            <w:gridSpan w:val="2"/>
            <w:tcBorders>
              <w:top w:val="nil"/>
              <w:left w:val="nil"/>
              <w:bottom w:val="nil"/>
              <w:right w:val="nil"/>
            </w:tcBorders>
            <w:shd w:val="clear" w:color="000000" w:fill="FFFFFF"/>
            <w:noWrap/>
            <w:vAlign w:val="bottom"/>
            <w:hideMark/>
          </w:tcPr>
          <w:p w14:paraId="7110772D" w14:textId="77777777" w:rsidR="001B6918" w:rsidRPr="0096125C" w:rsidRDefault="001B6918" w:rsidP="00730ECF">
            <w:pPr>
              <w:rPr>
                <w:rFonts w:eastAsia="Times New Roman" w:cstheme="minorHAnsi"/>
              </w:rPr>
            </w:pPr>
            <w:r w:rsidRPr="0096125C">
              <w:rPr>
                <w:rFonts w:eastAsia="Times New Roman" w:cstheme="minorHAnsi"/>
              </w:rPr>
              <w:t> </w:t>
            </w:r>
          </w:p>
        </w:tc>
        <w:tc>
          <w:tcPr>
            <w:tcW w:w="1468" w:type="dxa"/>
            <w:gridSpan w:val="2"/>
            <w:tcBorders>
              <w:top w:val="nil"/>
              <w:left w:val="nil"/>
              <w:bottom w:val="nil"/>
              <w:right w:val="nil"/>
            </w:tcBorders>
            <w:shd w:val="clear" w:color="000000" w:fill="FFFFFF"/>
            <w:noWrap/>
            <w:vAlign w:val="bottom"/>
            <w:hideMark/>
          </w:tcPr>
          <w:p w14:paraId="1FB8DBA8" w14:textId="77777777" w:rsidR="001B6918" w:rsidRPr="0096125C" w:rsidRDefault="001B6918" w:rsidP="00730ECF">
            <w:pPr>
              <w:rPr>
                <w:rFonts w:eastAsia="Times New Roman" w:cstheme="minorHAnsi"/>
              </w:rPr>
            </w:pPr>
            <w:r w:rsidRPr="0096125C">
              <w:rPr>
                <w:rFonts w:eastAsia="Times New Roman" w:cstheme="minorHAnsi"/>
              </w:rPr>
              <w:t> </w:t>
            </w:r>
          </w:p>
        </w:tc>
        <w:tc>
          <w:tcPr>
            <w:tcW w:w="1329" w:type="dxa"/>
            <w:gridSpan w:val="2"/>
            <w:tcBorders>
              <w:top w:val="nil"/>
              <w:left w:val="nil"/>
              <w:bottom w:val="nil"/>
              <w:right w:val="nil"/>
            </w:tcBorders>
            <w:shd w:val="clear" w:color="000000" w:fill="FFFFFF"/>
            <w:noWrap/>
            <w:vAlign w:val="bottom"/>
            <w:hideMark/>
          </w:tcPr>
          <w:p w14:paraId="11CF7B80" w14:textId="77777777" w:rsidR="001B6918" w:rsidRPr="0096125C" w:rsidRDefault="001B6918" w:rsidP="00730ECF">
            <w:pPr>
              <w:jc w:val="right"/>
              <w:rPr>
                <w:rFonts w:eastAsia="Times New Roman" w:cstheme="minorHAnsi"/>
              </w:rPr>
            </w:pPr>
            <w:r w:rsidRPr="0096125C">
              <w:rPr>
                <w:rFonts w:eastAsia="Times New Roman" w:cstheme="minorHAnsi"/>
              </w:rPr>
              <w:t>16,143</w:t>
            </w:r>
          </w:p>
        </w:tc>
      </w:tr>
      <w:tr w:rsidR="001B6918" w:rsidRPr="004E6649" w14:paraId="63D734D5" w14:textId="77777777" w:rsidTr="003766F2">
        <w:trPr>
          <w:trHeight w:val="300"/>
          <w:jc w:val="center"/>
        </w:trPr>
        <w:tc>
          <w:tcPr>
            <w:tcW w:w="2700" w:type="dxa"/>
            <w:tcBorders>
              <w:top w:val="nil"/>
              <w:left w:val="nil"/>
              <w:bottom w:val="nil"/>
              <w:right w:val="nil"/>
            </w:tcBorders>
            <w:shd w:val="clear" w:color="000000" w:fill="FFFFFF"/>
            <w:noWrap/>
            <w:vAlign w:val="bottom"/>
            <w:hideMark/>
          </w:tcPr>
          <w:p w14:paraId="1F064274" w14:textId="77777777" w:rsidR="001B6918" w:rsidRPr="004E6649" w:rsidRDefault="001B6918" w:rsidP="00730ECF">
            <w:pPr>
              <w:rPr>
                <w:rFonts w:eastAsia="Times New Roman" w:cstheme="minorHAnsi"/>
              </w:rPr>
            </w:pPr>
            <w:r w:rsidRPr="004E6649">
              <w:rPr>
                <w:rFonts w:eastAsia="Times New Roman" w:cstheme="minorHAnsi"/>
              </w:rPr>
              <w:t> </w:t>
            </w:r>
          </w:p>
        </w:tc>
        <w:tc>
          <w:tcPr>
            <w:tcW w:w="2939" w:type="dxa"/>
            <w:gridSpan w:val="2"/>
            <w:tcBorders>
              <w:top w:val="nil"/>
              <w:left w:val="nil"/>
              <w:bottom w:val="nil"/>
              <w:right w:val="nil"/>
            </w:tcBorders>
            <w:shd w:val="clear" w:color="000000" w:fill="FFFFFF"/>
            <w:noWrap/>
            <w:vAlign w:val="bottom"/>
            <w:hideMark/>
          </w:tcPr>
          <w:p w14:paraId="4E301995" w14:textId="77777777" w:rsidR="001B6918" w:rsidRPr="0096125C" w:rsidRDefault="001B6918" w:rsidP="00730ECF">
            <w:pPr>
              <w:rPr>
                <w:rFonts w:eastAsia="Times New Roman" w:cstheme="minorHAnsi"/>
              </w:rPr>
            </w:pPr>
            <w:r w:rsidRPr="0096125C">
              <w:rPr>
                <w:rFonts w:eastAsia="Times New Roman" w:cstheme="minorHAnsi"/>
              </w:rPr>
              <w:t>Federal Pell grants</w:t>
            </w:r>
          </w:p>
        </w:tc>
        <w:tc>
          <w:tcPr>
            <w:tcW w:w="1381" w:type="dxa"/>
            <w:tcBorders>
              <w:top w:val="nil"/>
              <w:left w:val="nil"/>
              <w:bottom w:val="nil"/>
              <w:right w:val="nil"/>
            </w:tcBorders>
            <w:shd w:val="clear" w:color="000000" w:fill="FFFFFF"/>
            <w:noWrap/>
            <w:vAlign w:val="bottom"/>
            <w:hideMark/>
          </w:tcPr>
          <w:p w14:paraId="265240DF" w14:textId="77777777" w:rsidR="001B6918" w:rsidRPr="0096125C" w:rsidRDefault="001B6918" w:rsidP="00730ECF">
            <w:pPr>
              <w:rPr>
                <w:rFonts w:eastAsia="Times New Roman" w:cstheme="minorHAnsi"/>
              </w:rPr>
            </w:pPr>
            <w:r w:rsidRPr="0096125C">
              <w:rPr>
                <w:rFonts w:eastAsia="Times New Roman" w:cstheme="minorHAnsi"/>
              </w:rPr>
              <w:t> </w:t>
            </w:r>
          </w:p>
        </w:tc>
        <w:tc>
          <w:tcPr>
            <w:tcW w:w="1468" w:type="dxa"/>
            <w:gridSpan w:val="2"/>
            <w:tcBorders>
              <w:top w:val="nil"/>
              <w:left w:val="nil"/>
              <w:bottom w:val="nil"/>
              <w:right w:val="nil"/>
            </w:tcBorders>
            <w:shd w:val="clear" w:color="000000" w:fill="FFFFFF"/>
            <w:noWrap/>
            <w:vAlign w:val="bottom"/>
            <w:hideMark/>
          </w:tcPr>
          <w:p w14:paraId="3C8F7963" w14:textId="77777777" w:rsidR="001B6918" w:rsidRPr="0096125C" w:rsidRDefault="001B6918" w:rsidP="00730ECF">
            <w:pPr>
              <w:rPr>
                <w:rFonts w:eastAsia="Times New Roman" w:cstheme="minorHAnsi"/>
              </w:rPr>
            </w:pPr>
            <w:r w:rsidRPr="0096125C">
              <w:rPr>
                <w:rFonts w:eastAsia="Times New Roman" w:cstheme="minorHAnsi"/>
              </w:rPr>
              <w:t> </w:t>
            </w:r>
          </w:p>
        </w:tc>
        <w:tc>
          <w:tcPr>
            <w:tcW w:w="1468" w:type="dxa"/>
            <w:gridSpan w:val="2"/>
            <w:tcBorders>
              <w:top w:val="nil"/>
              <w:left w:val="nil"/>
              <w:bottom w:val="nil"/>
              <w:right w:val="nil"/>
            </w:tcBorders>
            <w:shd w:val="clear" w:color="000000" w:fill="FFFFFF"/>
            <w:noWrap/>
            <w:vAlign w:val="bottom"/>
            <w:hideMark/>
          </w:tcPr>
          <w:p w14:paraId="6730A4A7" w14:textId="77777777" w:rsidR="001B6918" w:rsidRPr="0096125C" w:rsidRDefault="001B6918" w:rsidP="00730ECF">
            <w:pPr>
              <w:rPr>
                <w:rFonts w:eastAsia="Times New Roman" w:cstheme="minorHAnsi"/>
              </w:rPr>
            </w:pPr>
            <w:r w:rsidRPr="0096125C">
              <w:rPr>
                <w:rFonts w:eastAsia="Times New Roman" w:cstheme="minorHAnsi"/>
              </w:rPr>
              <w:t> </w:t>
            </w:r>
          </w:p>
        </w:tc>
        <w:tc>
          <w:tcPr>
            <w:tcW w:w="1329" w:type="dxa"/>
            <w:gridSpan w:val="2"/>
            <w:tcBorders>
              <w:top w:val="nil"/>
              <w:left w:val="nil"/>
              <w:right w:val="nil"/>
            </w:tcBorders>
            <w:shd w:val="clear" w:color="000000" w:fill="FFFFFF"/>
            <w:noWrap/>
            <w:vAlign w:val="bottom"/>
            <w:hideMark/>
          </w:tcPr>
          <w:p w14:paraId="502984C4" w14:textId="77777777" w:rsidR="001B6918" w:rsidRPr="0096125C" w:rsidRDefault="001B6918" w:rsidP="00730ECF">
            <w:pPr>
              <w:jc w:val="right"/>
              <w:rPr>
                <w:rFonts w:eastAsia="Times New Roman" w:cstheme="minorHAnsi"/>
              </w:rPr>
            </w:pPr>
            <w:r w:rsidRPr="0096125C">
              <w:rPr>
                <w:rFonts w:eastAsia="Times New Roman" w:cstheme="minorHAnsi"/>
              </w:rPr>
              <w:t xml:space="preserve">35,822  </w:t>
            </w:r>
          </w:p>
        </w:tc>
      </w:tr>
      <w:tr w:rsidR="001B6918" w:rsidRPr="004E6649" w14:paraId="6B946E62" w14:textId="77777777" w:rsidTr="003766F2">
        <w:trPr>
          <w:trHeight w:val="300"/>
          <w:jc w:val="center"/>
        </w:trPr>
        <w:tc>
          <w:tcPr>
            <w:tcW w:w="2700" w:type="dxa"/>
            <w:tcBorders>
              <w:top w:val="nil"/>
              <w:left w:val="nil"/>
              <w:bottom w:val="nil"/>
              <w:right w:val="nil"/>
            </w:tcBorders>
            <w:shd w:val="clear" w:color="000000" w:fill="FFFFFF"/>
            <w:noWrap/>
            <w:vAlign w:val="bottom"/>
            <w:hideMark/>
          </w:tcPr>
          <w:p w14:paraId="5212C338" w14:textId="77777777" w:rsidR="001B6918" w:rsidRPr="004E6649" w:rsidRDefault="001B6918" w:rsidP="00730ECF">
            <w:pPr>
              <w:rPr>
                <w:rFonts w:eastAsia="Times New Roman" w:cstheme="minorHAnsi"/>
              </w:rPr>
            </w:pPr>
            <w:r w:rsidRPr="004E6649">
              <w:rPr>
                <w:rFonts w:eastAsia="Times New Roman" w:cstheme="minorHAnsi"/>
              </w:rPr>
              <w:t> </w:t>
            </w:r>
          </w:p>
        </w:tc>
        <w:tc>
          <w:tcPr>
            <w:tcW w:w="4320" w:type="dxa"/>
            <w:gridSpan w:val="3"/>
            <w:tcBorders>
              <w:top w:val="nil"/>
              <w:left w:val="nil"/>
              <w:bottom w:val="nil"/>
              <w:right w:val="nil"/>
            </w:tcBorders>
            <w:shd w:val="clear" w:color="000000" w:fill="FFFFFF"/>
            <w:noWrap/>
            <w:vAlign w:val="bottom"/>
            <w:hideMark/>
          </w:tcPr>
          <w:p w14:paraId="34D80E24" w14:textId="77777777" w:rsidR="001B6918" w:rsidRPr="0096125C" w:rsidRDefault="001B6918" w:rsidP="00730ECF">
            <w:pPr>
              <w:rPr>
                <w:rFonts w:eastAsia="Times New Roman" w:cstheme="minorHAnsi"/>
              </w:rPr>
            </w:pPr>
            <w:r w:rsidRPr="0096125C">
              <w:rPr>
                <w:rFonts w:eastAsia="Times New Roman" w:cstheme="minorHAnsi"/>
              </w:rPr>
              <w:t>Coronavirus relief funding</w:t>
            </w:r>
          </w:p>
        </w:tc>
        <w:tc>
          <w:tcPr>
            <w:tcW w:w="1468" w:type="dxa"/>
            <w:gridSpan w:val="2"/>
            <w:tcBorders>
              <w:top w:val="nil"/>
              <w:left w:val="nil"/>
              <w:bottom w:val="nil"/>
              <w:right w:val="nil"/>
            </w:tcBorders>
            <w:shd w:val="clear" w:color="000000" w:fill="FFFFFF"/>
            <w:noWrap/>
            <w:vAlign w:val="bottom"/>
            <w:hideMark/>
          </w:tcPr>
          <w:p w14:paraId="5FA349E7" w14:textId="77777777" w:rsidR="001B6918" w:rsidRPr="0096125C" w:rsidRDefault="001B6918" w:rsidP="00730ECF">
            <w:pPr>
              <w:rPr>
                <w:rFonts w:eastAsia="Times New Roman" w:cstheme="minorHAnsi"/>
              </w:rPr>
            </w:pPr>
            <w:r w:rsidRPr="0096125C">
              <w:rPr>
                <w:rFonts w:eastAsia="Times New Roman" w:cstheme="minorHAnsi"/>
              </w:rPr>
              <w:t> </w:t>
            </w:r>
          </w:p>
        </w:tc>
        <w:tc>
          <w:tcPr>
            <w:tcW w:w="1468" w:type="dxa"/>
            <w:gridSpan w:val="2"/>
            <w:tcBorders>
              <w:top w:val="nil"/>
              <w:left w:val="nil"/>
              <w:bottom w:val="nil"/>
              <w:right w:val="nil"/>
            </w:tcBorders>
            <w:shd w:val="clear" w:color="000000" w:fill="FFFFFF"/>
            <w:noWrap/>
            <w:vAlign w:val="bottom"/>
            <w:hideMark/>
          </w:tcPr>
          <w:p w14:paraId="1657000F" w14:textId="77777777" w:rsidR="001B6918" w:rsidRPr="0096125C" w:rsidRDefault="001B6918" w:rsidP="00730ECF">
            <w:pPr>
              <w:rPr>
                <w:rFonts w:eastAsia="Times New Roman" w:cstheme="minorHAnsi"/>
              </w:rPr>
            </w:pPr>
            <w:r w:rsidRPr="0096125C">
              <w:rPr>
                <w:rFonts w:eastAsia="Times New Roman" w:cstheme="minorHAnsi"/>
              </w:rPr>
              <w:t> </w:t>
            </w:r>
          </w:p>
        </w:tc>
        <w:tc>
          <w:tcPr>
            <w:tcW w:w="1329" w:type="dxa"/>
            <w:gridSpan w:val="2"/>
            <w:tcBorders>
              <w:top w:val="nil"/>
              <w:left w:val="nil"/>
              <w:bottom w:val="nil"/>
              <w:right w:val="nil"/>
            </w:tcBorders>
            <w:shd w:val="clear" w:color="000000" w:fill="FFFFFF"/>
            <w:noWrap/>
            <w:vAlign w:val="bottom"/>
            <w:hideMark/>
          </w:tcPr>
          <w:p w14:paraId="22A9EA76" w14:textId="77777777" w:rsidR="001B6918" w:rsidRPr="0096125C" w:rsidRDefault="001B6918" w:rsidP="00730ECF">
            <w:pPr>
              <w:jc w:val="right"/>
              <w:rPr>
                <w:rFonts w:eastAsia="Times New Roman" w:cstheme="minorHAnsi"/>
              </w:rPr>
            </w:pPr>
            <w:r w:rsidRPr="0096125C">
              <w:rPr>
                <w:rFonts w:eastAsia="Times New Roman" w:cstheme="minorHAnsi"/>
              </w:rPr>
              <w:t>3,621</w:t>
            </w:r>
          </w:p>
        </w:tc>
      </w:tr>
      <w:tr w:rsidR="001B6918" w:rsidRPr="004E6649" w14:paraId="60C48002" w14:textId="77777777" w:rsidTr="003766F2">
        <w:trPr>
          <w:trHeight w:val="300"/>
          <w:jc w:val="center"/>
        </w:trPr>
        <w:tc>
          <w:tcPr>
            <w:tcW w:w="2700" w:type="dxa"/>
            <w:tcBorders>
              <w:top w:val="nil"/>
              <w:left w:val="nil"/>
              <w:bottom w:val="nil"/>
              <w:right w:val="nil"/>
            </w:tcBorders>
            <w:shd w:val="clear" w:color="000000" w:fill="FFFFFF"/>
            <w:noWrap/>
            <w:vAlign w:val="bottom"/>
          </w:tcPr>
          <w:p w14:paraId="385B8450" w14:textId="77777777" w:rsidR="001B6918" w:rsidRPr="004E6649" w:rsidRDefault="001B6918" w:rsidP="00730ECF">
            <w:pPr>
              <w:rPr>
                <w:rFonts w:eastAsia="Times New Roman" w:cstheme="minorHAnsi"/>
              </w:rPr>
            </w:pPr>
          </w:p>
        </w:tc>
        <w:tc>
          <w:tcPr>
            <w:tcW w:w="5790" w:type="dxa"/>
            <w:gridSpan w:val="5"/>
            <w:tcBorders>
              <w:top w:val="nil"/>
              <w:left w:val="nil"/>
              <w:bottom w:val="nil"/>
              <w:right w:val="nil"/>
            </w:tcBorders>
            <w:shd w:val="clear" w:color="000000" w:fill="FFFFFF"/>
            <w:noWrap/>
            <w:vAlign w:val="bottom"/>
          </w:tcPr>
          <w:p w14:paraId="29EFBB51" w14:textId="77777777" w:rsidR="001B6918" w:rsidRPr="0096125C" w:rsidRDefault="001B6918" w:rsidP="00730ECF">
            <w:pPr>
              <w:rPr>
                <w:rFonts w:eastAsia="Times New Roman" w:cstheme="minorHAnsi"/>
              </w:rPr>
            </w:pPr>
            <w:r w:rsidRPr="0096125C">
              <w:rPr>
                <w:rFonts w:eastAsia="Times New Roman" w:cstheme="minorHAnsi"/>
              </w:rPr>
              <w:t>Income from public-private partnership</w:t>
            </w:r>
          </w:p>
        </w:tc>
        <w:tc>
          <w:tcPr>
            <w:tcW w:w="1468" w:type="dxa"/>
            <w:gridSpan w:val="2"/>
            <w:tcBorders>
              <w:top w:val="nil"/>
              <w:left w:val="nil"/>
              <w:bottom w:val="nil"/>
              <w:right w:val="nil"/>
            </w:tcBorders>
            <w:shd w:val="clear" w:color="000000" w:fill="FFFFFF"/>
            <w:noWrap/>
            <w:vAlign w:val="bottom"/>
          </w:tcPr>
          <w:p w14:paraId="6CF1EC7D" w14:textId="77777777" w:rsidR="001B6918" w:rsidRPr="0096125C" w:rsidRDefault="001B6918" w:rsidP="00730ECF">
            <w:pPr>
              <w:rPr>
                <w:rFonts w:eastAsia="Times New Roman" w:cstheme="minorHAnsi"/>
              </w:rPr>
            </w:pPr>
          </w:p>
        </w:tc>
        <w:tc>
          <w:tcPr>
            <w:tcW w:w="1329" w:type="dxa"/>
            <w:gridSpan w:val="2"/>
            <w:tcBorders>
              <w:left w:val="nil"/>
              <w:bottom w:val="single" w:sz="4" w:space="0" w:color="auto"/>
              <w:right w:val="nil"/>
            </w:tcBorders>
            <w:shd w:val="clear" w:color="000000" w:fill="FFFFFF"/>
            <w:noWrap/>
            <w:vAlign w:val="bottom"/>
          </w:tcPr>
          <w:p w14:paraId="180A5DFD" w14:textId="77777777" w:rsidR="001B6918" w:rsidRPr="0096125C" w:rsidRDefault="001B6918" w:rsidP="00730ECF">
            <w:pPr>
              <w:jc w:val="right"/>
              <w:rPr>
                <w:rFonts w:eastAsia="Times New Roman" w:cstheme="minorHAnsi"/>
              </w:rPr>
            </w:pPr>
            <w:r w:rsidRPr="0096125C">
              <w:rPr>
                <w:rFonts w:eastAsia="Times New Roman" w:cstheme="minorHAnsi"/>
              </w:rPr>
              <w:t>287</w:t>
            </w:r>
          </w:p>
        </w:tc>
      </w:tr>
      <w:tr w:rsidR="001B6918" w:rsidRPr="004E6649" w14:paraId="0F901E6D" w14:textId="77777777" w:rsidTr="003766F2">
        <w:trPr>
          <w:trHeight w:val="300"/>
          <w:jc w:val="center"/>
        </w:trPr>
        <w:tc>
          <w:tcPr>
            <w:tcW w:w="2700" w:type="dxa"/>
            <w:tcBorders>
              <w:top w:val="nil"/>
              <w:left w:val="nil"/>
              <w:bottom w:val="nil"/>
              <w:right w:val="nil"/>
            </w:tcBorders>
            <w:shd w:val="clear" w:color="000000" w:fill="FFFFFF"/>
            <w:noWrap/>
            <w:vAlign w:val="bottom"/>
            <w:hideMark/>
          </w:tcPr>
          <w:p w14:paraId="6D6FC968" w14:textId="77777777" w:rsidR="001B6918" w:rsidRPr="004E6649" w:rsidRDefault="001B6918" w:rsidP="00730ECF">
            <w:pPr>
              <w:rPr>
                <w:rFonts w:eastAsia="Times New Roman" w:cstheme="minorHAnsi"/>
              </w:rPr>
            </w:pPr>
            <w:r w:rsidRPr="004E6649">
              <w:rPr>
                <w:rFonts w:eastAsia="Times New Roman" w:cstheme="minorHAnsi"/>
              </w:rPr>
              <w:t> </w:t>
            </w:r>
          </w:p>
        </w:tc>
        <w:tc>
          <w:tcPr>
            <w:tcW w:w="5790" w:type="dxa"/>
            <w:gridSpan w:val="5"/>
            <w:tcBorders>
              <w:top w:val="nil"/>
              <w:left w:val="nil"/>
              <w:bottom w:val="nil"/>
              <w:right w:val="nil"/>
            </w:tcBorders>
            <w:shd w:val="clear" w:color="000000" w:fill="FFFFFF"/>
            <w:noWrap/>
            <w:vAlign w:val="bottom"/>
            <w:hideMark/>
          </w:tcPr>
          <w:p w14:paraId="748E7E35" w14:textId="77777777" w:rsidR="001B6918" w:rsidRPr="0096125C" w:rsidRDefault="001B6918" w:rsidP="00730ECF">
            <w:pPr>
              <w:rPr>
                <w:rFonts w:eastAsia="Times New Roman" w:cstheme="minorHAnsi"/>
              </w:rPr>
            </w:pPr>
            <w:r w:rsidRPr="0096125C">
              <w:rPr>
                <w:rFonts w:eastAsia="Times New Roman" w:cstheme="minorHAnsi"/>
              </w:rPr>
              <w:t>Total Revenues and Extraordinary Items</w:t>
            </w:r>
          </w:p>
        </w:tc>
        <w:tc>
          <w:tcPr>
            <w:tcW w:w="1468" w:type="dxa"/>
            <w:gridSpan w:val="2"/>
            <w:tcBorders>
              <w:top w:val="nil"/>
              <w:left w:val="nil"/>
              <w:bottom w:val="nil"/>
              <w:right w:val="nil"/>
            </w:tcBorders>
            <w:shd w:val="clear" w:color="000000" w:fill="FFFFFF"/>
            <w:noWrap/>
            <w:vAlign w:val="bottom"/>
            <w:hideMark/>
          </w:tcPr>
          <w:p w14:paraId="198CB8F5" w14:textId="77777777" w:rsidR="001B6918" w:rsidRPr="0096125C" w:rsidRDefault="001B6918" w:rsidP="00730ECF">
            <w:pPr>
              <w:rPr>
                <w:rFonts w:eastAsia="Times New Roman" w:cstheme="minorHAnsi"/>
              </w:rPr>
            </w:pPr>
            <w:r w:rsidRPr="0096125C">
              <w:rPr>
                <w:rFonts w:eastAsia="Times New Roman" w:cstheme="minorHAnsi"/>
              </w:rPr>
              <w:t> </w:t>
            </w:r>
          </w:p>
        </w:tc>
        <w:tc>
          <w:tcPr>
            <w:tcW w:w="1329" w:type="dxa"/>
            <w:gridSpan w:val="2"/>
            <w:tcBorders>
              <w:top w:val="single" w:sz="4" w:space="0" w:color="auto"/>
              <w:left w:val="nil"/>
              <w:bottom w:val="single" w:sz="4" w:space="0" w:color="auto"/>
              <w:right w:val="nil"/>
            </w:tcBorders>
            <w:shd w:val="clear" w:color="000000" w:fill="FFFFFF"/>
            <w:noWrap/>
            <w:vAlign w:val="bottom"/>
            <w:hideMark/>
          </w:tcPr>
          <w:p w14:paraId="46A052AA" w14:textId="77777777" w:rsidR="001B6918" w:rsidRPr="0096125C" w:rsidRDefault="001B6918" w:rsidP="00730ECF">
            <w:pPr>
              <w:jc w:val="right"/>
              <w:rPr>
                <w:rFonts w:eastAsia="Times New Roman" w:cstheme="minorHAnsi"/>
              </w:rPr>
            </w:pPr>
            <w:r w:rsidRPr="0096125C">
              <w:rPr>
                <w:rFonts w:eastAsia="Times New Roman" w:cstheme="minorHAnsi"/>
              </w:rPr>
              <w:t>338,965</w:t>
            </w:r>
          </w:p>
        </w:tc>
      </w:tr>
      <w:tr w:rsidR="001B6918" w:rsidRPr="004E6649" w14:paraId="5F593DB3" w14:textId="77777777" w:rsidTr="003766F2">
        <w:trPr>
          <w:trHeight w:val="300"/>
          <w:jc w:val="center"/>
        </w:trPr>
        <w:tc>
          <w:tcPr>
            <w:tcW w:w="2700" w:type="dxa"/>
            <w:tcBorders>
              <w:top w:val="nil"/>
              <w:left w:val="nil"/>
              <w:bottom w:val="nil"/>
              <w:right w:val="nil"/>
            </w:tcBorders>
            <w:shd w:val="clear" w:color="000000" w:fill="FFFFFF"/>
            <w:noWrap/>
            <w:vAlign w:val="bottom"/>
            <w:hideMark/>
          </w:tcPr>
          <w:p w14:paraId="26EBE6D5" w14:textId="77777777" w:rsidR="001B6918" w:rsidRPr="004E6649" w:rsidRDefault="001B6918" w:rsidP="00730ECF">
            <w:pPr>
              <w:rPr>
                <w:rFonts w:eastAsia="Times New Roman" w:cstheme="minorHAnsi"/>
              </w:rPr>
            </w:pPr>
            <w:r w:rsidRPr="004E6649">
              <w:rPr>
                <w:rFonts w:eastAsia="Times New Roman" w:cstheme="minorHAnsi"/>
              </w:rPr>
              <w:t> </w:t>
            </w:r>
          </w:p>
        </w:tc>
        <w:tc>
          <w:tcPr>
            <w:tcW w:w="4320" w:type="dxa"/>
            <w:gridSpan w:val="3"/>
            <w:tcBorders>
              <w:top w:val="nil"/>
              <w:left w:val="nil"/>
              <w:bottom w:val="nil"/>
              <w:right w:val="nil"/>
            </w:tcBorders>
            <w:shd w:val="clear" w:color="000000" w:fill="FFFFFF"/>
            <w:noWrap/>
            <w:vAlign w:val="bottom"/>
            <w:hideMark/>
          </w:tcPr>
          <w:p w14:paraId="43034BCD" w14:textId="77777777" w:rsidR="001B6918" w:rsidRPr="0096125C" w:rsidRDefault="001B6918" w:rsidP="00730ECF">
            <w:pPr>
              <w:rPr>
                <w:rFonts w:eastAsia="Times New Roman" w:cstheme="minorHAnsi"/>
              </w:rPr>
            </w:pPr>
            <w:r w:rsidRPr="0096125C">
              <w:rPr>
                <w:rFonts w:eastAsia="Times New Roman" w:cstheme="minorHAnsi"/>
              </w:rPr>
              <w:t>Change in Net Position </w:t>
            </w:r>
          </w:p>
        </w:tc>
        <w:tc>
          <w:tcPr>
            <w:tcW w:w="1468" w:type="dxa"/>
            <w:gridSpan w:val="2"/>
            <w:tcBorders>
              <w:top w:val="nil"/>
              <w:left w:val="nil"/>
              <w:bottom w:val="nil"/>
              <w:right w:val="nil"/>
            </w:tcBorders>
            <w:shd w:val="clear" w:color="000000" w:fill="FFFFFF"/>
            <w:noWrap/>
            <w:vAlign w:val="bottom"/>
            <w:hideMark/>
          </w:tcPr>
          <w:p w14:paraId="707FC9D1" w14:textId="77777777" w:rsidR="001B6918" w:rsidRPr="0096125C" w:rsidRDefault="001B6918" w:rsidP="00730ECF">
            <w:pPr>
              <w:rPr>
                <w:rFonts w:eastAsia="Times New Roman" w:cstheme="minorHAnsi"/>
              </w:rPr>
            </w:pPr>
            <w:r w:rsidRPr="0096125C">
              <w:rPr>
                <w:rFonts w:eastAsia="Times New Roman" w:cstheme="minorHAnsi"/>
              </w:rPr>
              <w:t> </w:t>
            </w:r>
          </w:p>
        </w:tc>
        <w:tc>
          <w:tcPr>
            <w:tcW w:w="1468" w:type="dxa"/>
            <w:gridSpan w:val="2"/>
            <w:tcBorders>
              <w:top w:val="nil"/>
              <w:left w:val="nil"/>
              <w:bottom w:val="nil"/>
              <w:right w:val="nil"/>
            </w:tcBorders>
            <w:shd w:val="clear" w:color="000000" w:fill="FFFFFF"/>
            <w:noWrap/>
            <w:vAlign w:val="bottom"/>
            <w:hideMark/>
          </w:tcPr>
          <w:p w14:paraId="716E48AA" w14:textId="77777777" w:rsidR="001B6918" w:rsidRPr="0096125C" w:rsidRDefault="001B6918" w:rsidP="00730ECF">
            <w:pPr>
              <w:rPr>
                <w:rFonts w:eastAsia="Times New Roman" w:cstheme="minorHAnsi"/>
              </w:rPr>
            </w:pPr>
            <w:r w:rsidRPr="0096125C">
              <w:rPr>
                <w:rFonts w:eastAsia="Times New Roman" w:cstheme="minorHAnsi"/>
              </w:rPr>
              <w:t> </w:t>
            </w:r>
          </w:p>
        </w:tc>
        <w:tc>
          <w:tcPr>
            <w:tcW w:w="1329" w:type="dxa"/>
            <w:gridSpan w:val="2"/>
            <w:tcBorders>
              <w:top w:val="nil"/>
              <w:left w:val="nil"/>
              <w:bottom w:val="nil"/>
              <w:right w:val="nil"/>
            </w:tcBorders>
            <w:shd w:val="clear" w:color="000000" w:fill="FFFFFF"/>
            <w:noWrap/>
            <w:vAlign w:val="bottom"/>
            <w:hideMark/>
          </w:tcPr>
          <w:p w14:paraId="2EE697C5" w14:textId="77777777" w:rsidR="001B6918" w:rsidRPr="0096125C" w:rsidRDefault="001B6918" w:rsidP="00730ECF">
            <w:pPr>
              <w:jc w:val="right"/>
              <w:rPr>
                <w:rFonts w:eastAsia="Times New Roman" w:cstheme="minorHAnsi"/>
              </w:rPr>
            </w:pPr>
            <w:r w:rsidRPr="0096125C">
              <w:rPr>
                <w:rFonts w:eastAsia="Times New Roman" w:cstheme="minorHAnsi"/>
              </w:rPr>
              <w:t>82,045</w:t>
            </w:r>
          </w:p>
        </w:tc>
      </w:tr>
      <w:tr w:rsidR="001B6918" w:rsidRPr="004E6649" w14:paraId="5DE39366" w14:textId="77777777" w:rsidTr="003766F2">
        <w:trPr>
          <w:trHeight w:val="300"/>
          <w:jc w:val="center"/>
        </w:trPr>
        <w:tc>
          <w:tcPr>
            <w:tcW w:w="2700" w:type="dxa"/>
            <w:tcBorders>
              <w:top w:val="nil"/>
              <w:left w:val="nil"/>
              <w:bottom w:val="single" w:sz="4" w:space="0" w:color="000000" w:themeColor="text1"/>
              <w:right w:val="nil"/>
            </w:tcBorders>
            <w:shd w:val="clear" w:color="000000" w:fill="FFFFFF"/>
            <w:noWrap/>
            <w:vAlign w:val="bottom"/>
            <w:hideMark/>
          </w:tcPr>
          <w:p w14:paraId="7DA0F3C2" w14:textId="77777777" w:rsidR="001B6918" w:rsidRPr="004E6649" w:rsidRDefault="001B6918" w:rsidP="00730ECF">
            <w:pPr>
              <w:rPr>
                <w:rFonts w:eastAsia="Times New Roman" w:cstheme="minorHAnsi"/>
                <w:b/>
                <w:bCs/>
              </w:rPr>
            </w:pPr>
            <w:r w:rsidRPr="004E6649">
              <w:rPr>
                <w:rFonts w:eastAsia="Times New Roman" w:cstheme="minorHAnsi"/>
                <w:b/>
                <w:bCs/>
              </w:rPr>
              <w:t> </w:t>
            </w:r>
          </w:p>
        </w:tc>
        <w:tc>
          <w:tcPr>
            <w:tcW w:w="4627" w:type="dxa"/>
            <w:gridSpan w:val="4"/>
            <w:tcBorders>
              <w:top w:val="nil"/>
              <w:left w:val="nil"/>
              <w:bottom w:val="single" w:sz="4" w:space="0" w:color="000000" w:themeColor="text1"/>
              <w:right w:val="nil"/>
            </w:tcBorders>
            <w:shd w:val="clear" w:color="000000" w:fill="FFFFFF"/>
            <w:noWrap/>
            <w:vAlign w:val="bottom"/>
            <w:hideMark/>
          </w:tcPr>
          <w:p w14:paraId="22B463B9" w14:textId="4CBB7FF6" w:rsidR="001B6918" w:rsidRPr="0096125C" w:rsidRDefault="001B6918" w:rsidP="00730ECF">
            <w:pPr>
              <w:rPr>
                <w:rFonts w:eastAsia="Times New Roman" w:cstheme="minorHAnsi"/>
              </w:rPr>
            </w:pPr>
            <w:r w:rsidRPr="0096125C">
              <w:rPr>
                <w:rFonts w:eastAsia="Times New Roman" w:cstheme="minorHAnsi"/>
              </w:rPr>
              <w:t>Net Position, Beginning of Year</w:t>
            </w:r>
            <w:r w:rsidR="00BC68DD">
              <w:rPr>
                <w:rFonts w:eastAsia="Times New Roman" w:cstheme="minorHAnsi"/>
              </w:rPr>
              <w:t xml:space="preserve"> – As Restated</w:t>
            </w:r>
          </w:p>
        </w:tc>
        <w:tc>
          <w:tcPr>
            <w:tcW w:w="1468" w:type="dxa"/>
            <w:gridSpan w:val="2"/>
            <w:tcBorders>
              <w:top w:val="nil"/>
              <w:left w:val="nil"/>
              <w:bottom w:val="single" w:sz="4" w:space="0" w:color="000000" w:themeColor="text1"/>
              <w:right w:val="nil"/>
            </w:tcBorders>
            <w:shd w:val="clear" w:color="000000" w:fill="FFFFFF"/>
            <w:noWrap/>
            <w:vAlign w:val="bottom"/>
            <w:hideMark/>
          </w:tcPr>
          <w:p w14:paraId="7D6268A0" w14:textId="77777777" w:rsidR="001B6918" w:rsidRPr="0096125C" w:rsidRDefault="001B6918" w:rsidP="00730ECF">
            <w:pPr>
              <w:rPr>
                <w:rFonts w:eastAsia="Times New Roman" w:cstheme="minorHAnsi"/>
              </w:rPr>
            </w:pPr>
            <w:r w:rsidRPr="0096125C">
              <w:rPr>
                <w:rFonts w:eastAsia="Times New Roman" w:cstheme="minorHAnsi"/>
              </w:rPr>
              <w:t> </w:t>
            </w:r>
          </w:p>
        </w:tc>
        <w:tc>
          <w:tcPr>
            <w:tcW w:w="1468" w:type="dxa"/>
            <w:gridSpan w:val="2"/>
            <w:tcBorders>
              <w:top w:val="nil"/>
              <w:left w:val="nil"/>
              <w:bottom w:val="single" w:sz="4" w:space="0" w:color="000000" w:themeColor="text1"/>
              <w:right w:val="nil"/>
            </w:tcBorders>
            <w:shd w:val="clear" w:color="000000" w:fill="FFFFFF"/>
            <w:noWrap/>
            <w:vAlign w:val="bottom"/>
            <w:hideMark/>
          </w:tcPr>
          <w:p w14:paraId="4354B9B6" w14:textId="77777777" w:rsidR="001B6918" w:rsidRPr="0096125C" w:rsidRDefault="001B6918" w:rsidP="00730ECF">
            <w:pPr>
              <w:rPr>
                <w:rFonts w:eastAsia="Times New Roman" w:cstheme="minorHAnsi"/>
              </w:rPr>
            </w:pPr>
            <w:r w:rsidRPr="0096125C">
              <w:rPr>
                <w:rFonts w:eastAsia="Times New Roman" w:cstheme="minorHAnsi"/>
              </w:rPr>
              <w:t> </w:t>
            </w:r>
          </w:p>
        </w:tc>
        <w:tc>
          <w:tcPr>
            <w:tcW w:w="1024" w:type="dxa"/>
            <w:tcBorders>
              <w:top w:val="nil"/>
              <w:left w:val="nil"/>
              <w:bottom w:val="single" w:sz="4" w:space="0" w:color="000000" w:themeColor="text1"/>
              <w:right w:val="nil"/>
            </w:tcBorders>
            <w:shd w:val="clear" w:color="000000" w:fill="FFFFFF"/>
            <w:noWrap/>
            <w:vAlign w:val="bottom"/>
            <w:hideMark/>
          </w:tcPr>
          <w:p w14:paraId="24655110" w14:textId="77777777" w:rsidR="001B6918" w:rsidRPr="0096125C" w:rsidRDefault="001B6918" w:rsidP="00730ECF">
            <w:pPr>
              <w:jc w:val="right"/>
              <w:rPr>
                <w:rFonts w:eastAsia="Times New Roman" w:cstheme="minorHAnsi"/>
              </w:rPr>
            </w:pPr>
            <w:r w:rsidRPr="0096125C">
              <w:rPr>
                <w:rFonts w:eastAsia="Times New Roman" w:cstheme="minorHAnsi"/>
              </w:rPr>
              <w:t>997,317</w:t>
            </w:r>
          </w:p>
        </w:tc>
      </w:tr>
      <w:tr w:rsidR="001B6918" w:rsidRPr="004E6649" w14:paraId="13C8A081" w14:textId="77777777" w:rsidTr="003766F2">
        <w:trPr>
          <w:trHeight w:val="315"/>
          <w:jc w:val="center"/>
        </w:trPr>
        <w:tc>
          <w:tcPr>
            <w:tcW w:w="2700" w:type="dxa"/>
            <w:tcBorders>
              <w:top w:val="single" w:sz="4" w:space="0" w:color="000000" w:themeColor="text1"/>
              <w:left w:val="nil"/>
              <w:bottom w:val="double" w:sz="4" w:space="0" w:color="000000" w:themeColor="text1"/>
              <w:right w:val="nil"/>
            </w:tcBorders>
            <w:shd w:val="clear" w:color="000000" w:fill="FFFFFF"/>
            <w:noWrap/>
            <w:vAlign w:val="bottom"/>
            <w:hideMark/>
          </w:tcPr>
          <w:p w14:paraId="7E9A9FEB" w14:textId="77777777" w:rsidR="001B6918" w:rsidRPr="004E6649" w:rsidRDefault="001B6918" w:rsidP="00730ECF">
            <w:pPr>
              <w:rPr>
                <w:rFonts w:eastAsia="Times New Roman" w:cstheme="minorHAnsi"/>
                <w:b/>
                <w:bCs/>
              </w:rPr>
            </w:pPr>
            <w:r w:rsidRPr="004E6649">
              <w:rPr>
                <w:rFonts w:eastAsia="Times New Roman" w:cstheme="minorHAnsi"/>
                <w:b/>
                <w:bCs/>
              </w:rPr>
              <w:t> </w:t>
            </w:r>
          </w:p>
        </w:tc>
        <w:tc>
          <w:tcPr>
            <w:tcW w:w="4320" w:type="dxa"/>
            <w:gridSpan w:val="3"/>
            <w:tcBorders>
              <w:top w:val="single" w:sz="4" w:space="0" w:color="000000" w:themeColor="text1"/>
              <w:left w:val="nil"/>
              <w:bottom w:val="double" w:sz="4" w:space="0" w:color="000000" w:themeColor="text1"/>
              <w:right w:val="nil"/>
            </w:tcBorders>
            <w:shd w:val="clear" w:color="000000" w:fill="FFFFFF"/>
            <w:noWrap/>
            <w:vAlign w:val="bottom"/>
            <w:hideMark/>
          </w:tcPr>
          <w:p w14:paraId="0CF601D8" w14:textId="77777777" w:rsidR="001B6918" w:rsidRPr="0096125C" w:rsidRDefault="001B6918" w:rsidP="00730ECF">
            <w:pPr>
              <w:rPr>
                <w:rFonts w:eastAsia="Times New Roman" w:cstheme="minorHAnsi"/>
              </w:rPr>
            </w:pPr>
            <w:r w:rsidRPr="0096125C">
              <w:rPr>
                <w:rFonts w:eastAsia="Times New Roman" w:cstheme="minorHAnsi"/>
              </w:rPr>
              <w:t>Net Position, End of Year</w:t>
            </w:r>
          </w:p>
        </w:tc>
        <w:tc>
          <w:tcPr>
            <w:tcW w:w="1468" w:type="dxa"/>
            <w:gridSpan w:val="2"/>
            <w:tcBorders>
              <w:top w:val="single" w:sz="4" w:space="0" w:color="000000" w:themeColor="text1"/>
              <w:left w:val="nil"/>
              <w:bottom w:val="double" w:sz="4" w:space="0" w:color="000000" w:themeColor="text1"/>
              <w:right w:val="nil"/>
            </w:tcBorders>
            <w:shd w:val="clear" w:color="000000" w:fill="FFFFFF"/>
            <w:noWrap/>
            <w:vAlign w:val="bottom"/>
            <w:hideMark/>
          </w:tcPr>
          <w:p w14:paraId="54B17E87" w14:textId="77777777" w:rsidR="001B6918" w:rsidRPr="0096125C" w:rsidRDefault="001B6918" w:rsidP="00730ECF">
            <w:pPr>
              <w:rPr>
                <w:rFonts w:eastAsia="Times New Roman" w:cstheme="minorHAnsi"/>
              </w:rPr>
            </w:pPr>
            <w:r w:rsidRPr="0096125C">
              <w:rPr>
                <w:rFonts w:eastAsia="Times New Roman" w:cstheme="minorHAnsi"/>
              </w:rPr>
              <w:t> </w:t>
            </w:r>
          </w:p>
        </w:tc>
        <w:tc>
          <w:tcPr>
            <w:tcW w:w="1468" w:type="dxa"/>
            <w:gridSpan w:val="2"/>
            <w:tcBorders>
              <w:top w:val="single" w:sz="4" w:space="0" w:color="000000" w:themeColor="text1"/>
              <w:left w:val="nil"/>
              <w:bottom w:val="double" w:sz="4" w:space="0" w:color="000000" w:themeColor="text1"/>
              <w:right w:val="nil"/>
            </w:tcBorders>
            <w:shd w:val="clear" w:color="000000" w:fill="FFFFFF"/>
            <w:noWrap/>
            <w:vAlign w:val="bottom"/>
            <w:hideMark/>
          </w:tcPr>
          <w:p w14:paraId="384FF0B0" w14:textId="77777777" w:rsidR="001B6918" w:rsidRPr="0096125C" w:rsidRDefault="001B6918" w:rsidP="00730ECF">
            <w:pPr>
              <w:rPr>
                <w:rFonts w:eastAsia="Times New Roman" w:cstheme="minorHAnsi"/>
              </w:rPr>
            </w:pPr>
            <w:r w:rsidRPr="0096125C">
              <w:rPr>
                <w:rFonts w:eastAsia="Times New Roman" w:cstheme="minorHAnsi"/>
              </w:rPr>
              <w:t> </w:t>
            </w:r>
          </w:p>
        </w:tc>
        <w:tc>
          <w:tcPr>
            <w:tcW w:w="1329" w:type="dxa"/>
            <w:gridSpan w:val="2"/>
            <w:tcBorders>
              <w:top w:val="single" w:sz="4" w:space="0" w:color="000000" w:themeColor="text1"/>
              <w:left w:val="nil"/>
              <w:bottom w:val="double" w:sz="4" w:space="0" w:color="000000" w:themeColor="text1"/>
              <w:right w:val="nil"/>
            </w:tcBorders>
            <w:shd w:val="clear" w:color="000000" w:fill="FFFFFF"/>
            <w:noWrap/>
            <w:vAlign w:val="bottom"/>
            <w:hideMark/>
          </w:tcPr>
          <w:p w14:paraId="6DD15C23" w14:textId="77777777" w:rsidR="001B6918" w:rsidRPr="0096125C" w:rsidRDefault="001B6918" w:rsidP="00730ECF">
            <w:pPr>
              <w:jc w:val="right"/>
              <w:rPr>
                <w:rFonts w:eastAsia="Times New Roman" w:cstheme="minorHAnsi"/>
              </w:rPr>
            </w:pPr>
            <w:r w:rsidRPr="0096125C">
              <w:rPr>
                <w:rFonts w:eastAsia="Times New Roman" w:cstheme="minorHAnsi"/>
              </w:rPr>
              <w:t>$1,079,362</w:t>
            </w:r>
          </w:p>
        </w:tc>
      </w:tr>
    </w:tbl>
    <w:p w14:paraId="12C23D06" w14:textId="77777777" w:rsidR="001B6918" w:rsidRPr="004E6649" w:rsidRDefault="001B6918" w:rsidP="001B6918">
      <w:pPr>
        <w:spacing w:after="160" w:line="259" w:lineRule="auto"/>
        <w:rPr>
          <w:rFonts w:eastAsia="Arial" w:cstheme="minorHAnsi"/>
        </w:rPr>
        <w:sectPr w:rsidR="001B6918" w:rsidRPr="004E6649" w:rsidSect="00DC059D">
          <w:headerReference w:type="default" r:id="rId61"/>
          <w:type w:val="nextColumn"/>
          <w:pgSz w:w="12240" w:h="15840"/>
          <w:pgMar w:top="1440" w:right="1152" w:bottom="1440" w:left="1152" w:header="720" w:footer="720" w:gutter="0"/>
          <w:cols w:space="720"/>
          <w:docGrid w:linePitch="299"/>
        </w:sectPr>
      </w:pPr>
      <w:r w:rsidRPr="004E6649">
        <w:rPr>
          <w:rFonts w:eastAsia="Arial" w:cstheme="minorHAnsi"/>
        </w:rPr>
        <w:br w:type="page"/>
      </w:r>
    </w:p>
    <w:p w14:paraId="40ABBF95" w14:textId="77777777" w:rsidR="001B6918" w:rsidRPr="00516648" w:rsidRDefault="001B6918" w:rsidP="001B6918">
      <w:pPr>
        <w:widowControl w:val="0"/>
        <w:autoSpaceDE w:val="0"/>
        <w:autoSpaceDN w:val="0"/>
        <w:spacing w:before="47"/>
        <w:rPr>
          <w:rFonts w:ascii="Times New Roman" w:eastAsia="Arial" w:hAnsi="Arial" w:cs="Arial"/>
          <w:sz w:val="17"/>
        </w:rPr>
      </w:pPr>
    </w:p>
    <w:p w14:paraId="17E19E02" w14:textId="77777777" w:rsidR="001B6918" w:rsidRPr="00516648" w:rsidRDefault="001B6918" w:rsidP="001B6918">
      <w:pPr>
        <w:widowControl w:val="0"/>
        <w:autoSpaceDE w:val="0"/>
        <w:autoSpaceDN w:val="0"/>
        <w:ind w:left="7591" w:right="36"/>
        <w:rPr>
          <w:rFonts w:ascii="Calibri" w:eastAsia="Arial" w:hAnsi="Arial" w:cs="Arial"/>
          <w:b/>
          <w:sz w:val="17"/>
        </w:rPr>
      </w:pPr>
      <w:r w:rsidRPr="00516648">
        <w:rPr>
          <w:rFonts w:ascii="Arial" w:eastAsia="Arial" w:hAnsi="Arial" w:cs="Arial"/>
          <w:noProof/>
        </w:rPr>
        <w:drawing>
          <wp:anchor distT="0" distB="0" distL="0" distR="0" simplePos="0" relativeHeight="251676672" behindDoc="0" locked="0" layoutInCell="1" allowOverlap="1" wp14:anchorId="130788F2" wp14:editId="231D6888">
            <wp:simplePos x="0" y="0"/>
            <wp:positionH relativeFrom="page">
              <wp:posOffset>768095</wp:posOffset>
            </wp:positionH>
            <wp:positionV relativeFrom="paragraph">
              <wp:posOffset>-151436</wp:posOffset>
            </wp:positionV>
            <wp:extent cx="536447" cy="534932"/>
            <wp:effectExtent l="0" t="0" r="0" b="0"/>
            <wp:wrapNone/>
            <wp:docPr id="202026147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0261472" name="Image 2">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536447" cy="534932"/>
                    </a:xfrm>
                    <a:prstGeom prst="rect">
                      <a:avLst/>
                    </a:prstGeom>
                  </pic:spPr>
                </pic:pic>
              </a:graphicData>
            </a:graphic>
          </wp:anchor>
        </w:drawing>
      </w:r>
      <w:r w:rsidRPr="00516648">
        <w:rPr>
          <w:rFonts w:ascii="Calibri" w:eastAsia="Arial" w:hAnsi="Arial" w:cs="Arial"/>
          <w:b/>
          <w:color w:val="2D334D"/>
          <w:sz w:val="17"/>
        </w:rPr>
        <w:t>CliftonLarsonAllen</w:t>
      </w:r>
      <w:r w:rsidRPr="00516648">
        <w:rPr>
          <w:rFonts w:ascii="Calibri" w:eastAsia="Arial" w:hAnsi="Arial" w:cs="Arial"/>
          <w:b/>
          <w:color w:val="2D334D"/>
          <w:spacing w:val="-10"/>
          <w:sz w:val="17"/>
        </w:rPr>
        <w:t xml:space="preserve"> </w:t>
      </w:r>
      <w:r w:rsidRPr="00516648">
        <w:rPr>
          <w:rFonts w:ascii="Calibri" w:eastAsia="Arial" w:hAnsi="Arial" w:cs="Arial"/>
          <w:b/>
          <w:color w:val="2D334D"/>
          <w:sz w:val="17"/>
        </w:rPr>
        <w:t>LLP</w:t>
      </w:r>
      <w:r w:rsidRPr="00516648">
        <w:rPr>
          <w:rFonts w:ascii="Calibri" w:eastAsia="Arial" w:hAnsi="Arial" w:cs="Arial"/>
          <w:b/>
          <w:color w:val="2D334D"/>
          <w:spacing w:val="40"/>
          <w:sz w:val="17"/>
        </w:rPr>
        <w:t xml:space="preserve"> </w:t>
      </w:r>
      <w:r w:rsidRPr="00516648">
        <w:rPr>
          <w:rFonts w:ascii="Calibri" w:eastAsia="Arial" w:hAnsi="Arial" w:cs="Arial"/>
          <w:b/>
          <w:color w:val="2D334D"/>
          <w:spacing w:val="-2"/>
          <w:sz w:val="17"/>
        </w:rPr>
        <w:t>CLAconnect.com</w:t>
      </w:r>
    </w:p>
    <w:p w14:paraId="45777543" w14:textId="77777777" w:rsidR="001B6918" w:rsidRPr="00516648" w:rsidRDefault="001B6918" w:rsidP="001B6918">
      <w:pPr>
        <w:widowControl w:val="0"/>
        <w:autoSpaceDE w:val="0"/>
        <w:autoSpaceDN w:val="0"/>
        <w:rPr>
          <w:rFonts w:ascii="Calibri" w:eastAsia="Arial" w:hAnsi="Arial" w:cs="Arial"/>
          <w:b/>
          <w:sz w:val="17"/>
        </w:rPr>
      </w:pPr>
    </w:p>
    <w:p w14:paraId="12DA7092" w14:textId="77777777" w:rsidR="001B6918" w:rsidRPr="00516648" w:rsidRDefault="001B6918" w:rsidP="001B6918">
      <w:pPr>
        <w:widowControl w:val="0"/>
        <w:autoSpaceDE w:val="0"/>
        <w:autoSpaceDN w:val="0"/>
        <w:rPr>
          <w:rFonts w:ascii="Calibri" w:eastAsia="Arial" w:hAnsi="Arial" w:cs="Arial"/>
          <w:b/>
          <w:sz w:val="17"/>
        </w:rPr>
      </w:pPr>
    </w:p>
    <w:p w14:paraId="611D53B9" w14:textId="77777777" w:rsidR="001B6918" w:rsidRPr="00516648" w:rsidRDefault="001B6918" w:rsidP="001B6918">
      <w:pPr>
        <w:widowControl w:val="0"/>
        <w:autoSpaceDE w:val="0"/>
        <w:autoSpaceDN w:val="0"/>
        <w:rPr>
          <w:rFonts w:ascii="Calibri" w:eastAsia="Arial" w:hAnsi="Arial" w:cs="Arial"/>
          <w:b/>
          <w:sz w:val="17"/>
        </w:rPr>
      </w:pPr>
    </w:p>
    <w:p w14:paraId="3D21D35F" w14:textId="77777777" w:rsidR="001B6918" w:rsidRPr="00516648" w:rsidRDefault="001B6918" w:rsidP="001B6918">
      <w:pPr>
        <w:widowControl w:val="0"/>
        <w:autoSpaceDE w:val="0"/>
        <w:autoSpaceDN w:val="0"/>
        <w:spacing w:before="28"/>
        <w:rPr>
          <w:rFonts w:ascii="Calibri" w:eastAsia="Arial" w:hAnsi="Arial" w:cs="Arial"/>
          <w:b/>
          <w:sz w:val="17"/>
        </w:rPr>
      </w:pPr>
    </w:p>
    <w:p w14:paraId="55B6C451" w14:textId="77777777" w:rsidR="001B6918" w:rsidRPr="00516648" w:rsidRDefault="001B6918" w:rsidP="001B6918">
      <w:pPr>
        <w:widowControl w:val="0"/>
        <w:autoSpaceDE w:val="0"/>
        <w:autoSpaceDN w:val="0"/>
        <w:ind w:left="1058" w:right="1058"/>
        <w:jc w:val="center"/>
        <w:rPr>
          <w:rFonts w:ascii="Arial" w:eastAsia="Arial" w:hAnsi="Arial" w:cs="Arial"/>
          <w:b/>
          <w:bCs/>
        </w:rPr>
      </w:pPr>
      <w:r w:rsidRPr="00516648">
        <w:rPr>
          <w:rFonts w:ascii="Arial" w:eastAsia="Arial" w:hAnsi="Arial" w:cs="Arial"/>
          <w:b/>
          <w:bCs/>
        </w:rPr>
        <w:t>INDEPENDENT</w:t>
      </w:r>
      <w:r w:rsidRPr="00516648">
        <w:rPr>
          <w:rFonts w:ascii="Arial" w:eastAsia="Arial" w:hAnsi="Arial" w:cs="Arial"/>
          <w:b/>
          <w:bCs/>
          <w:spacing w:val="-1"/>
        </w:rPr>
        <w:t xml:space="preserve"> </w:t>
      </w:r>
      <w:r w:rsidRPr="00516648">
        <w:rPr>
          <w:rFonts w:ascii="Arial" w:eastAsia="Arial" w:hAnsi="Arial" w:cs="Arial"/>
          <w:b/>
          <w:bCs/>
        </w:rPr>
        <w:t>AUDITORS</w:t>
      </w:r>
      <w:r>
        <w:rPr>
          <w:rFonts w:ascii="Arial" w:eastAsia="Arial" w:hAnsi="Arial" w:cs="Arial"/>
          <w:b/>
          <w:bCs/>
        </w:rPr>
        <w:t>’</w:t>
      </w:r>
      <w:r w:rsidRPr="00516648">
        <w:rPr>
          <w:rFonts w:ascii="Arial" w:eastAsia="Arial" w:hAnsi="Arial" w:cs="Arial"/>
          <w:b/>
          <w:bCs/>
          <w:spacing w:val="-3"/>
        </w:rPr>
        <w:t xml:space="preserve"> </w:t>
      </w:r>
      <w:r w:rsidRPr="00516648">
        <w:rPr>
          <w:rFonts w:ascii="Arial" w:eastAsia="Arial" w:hAnsi="Arial" w:cs="Arial"/>
          <w:b/>
          <w:bCs/>
        </w:rPr>
        <w:t>REPORT ON</w:t>
      </w:r>
      <w:r w:rsidRPr="00516648">
        <w:rPr>
          <w:rFonts w:ascii="Arial" w:eastAsia="Arial" w:hAnsi="Arial" w:cs="Arial"/>
          <w:b/>
          <w:bCs/>
          <w:spacing w:val="-2"/>
        </w:rPr>
        <w:t xml:space="preserve"> </w:t>
      </w:r>
      <w:r w:rsidRPr="00516648">
        <w:rPr>
          <w:rFonts w:ascii="Arial" w:eastAsia="Arial" w:hAnsi="Arial" w:cs="Arial"/>
          <w:b/>
          <w:bCs/>
        </w:rPr>
        <w:t>INTERNAL</w:t>
      </w:r>
      <w:r w:rsidRPr="00516648">
        <w:rPr>
          <w:rFonts w:ascii="Arial" w:eastAsia="Arial" w:hAnsi="Arial" w:cs="Arial"/>
          <w:b/>
          <w:bCs/>
          <w:spacing w:val="-1"/>
        </w:rPr>
        <w:t xml:space="preserve"> </w:t>
      </w:r>
      <w:r w:rsidRPr="00516648">
        <w:rPr>
          <w:rFonts w:ascii="Arial" w:eastAsia="Arial" w:hAnsi="Arial" w:cs="Arial"/>
          <w:b/>
          <w:bCs/>
        </w:rPr>
        <w:t>CONTROL</w:t>
      </w:r>
      <w:r w:rsidRPr="00516648">
        <w:rPr>
          <w:rFonts w:ascii="Arial" w:eastAsia="Arial" w:hAnsi="Arial" w:cs="Arial"/>
          <w:b/>
          <w:bCs/>
          <w:spacing w:val="-4"/>
        </w:rPr>
        <w:t xml:space="preserve"> </w:t>
      </w:r>
      <w:r w:rsidRPr="00516648">
        <w:rPr>
          <w:rFonts w:ascii="Arial" w:eastAsia="Arial" w:hAnsi="Arial" w:cs="Arial"/>
          <w:b/>
          <w:bCs/>
        </w:rPr>
        <w:t>OVER FINANCIAL</w:t>
      </w:r>
      <w:r w:rsidRPr="00516648">
        <w:rPr>
          <w:rFonts w:ascii="Arial" w:eastAsia="Arial" w:hAnsi="Arial" w:cs="Arial"/>
          <w:b/>
          <w:bCs/>
          <w:spacing w:val="-5"/>
        </w:rPr>
        <w:t xml:space="preserve"> </w:t>
      </w:r>
      <w:r w:rsidRPr="00516648">
        <w:rPr>
          <w:rFonts w:ascii="Arial" w:eastAsia="Arial" w:hAnsi="Arial" w:cs="Arial"/>
          <w:b/>
          <w:bCs/>
        </w:rPr>
        <w:t>REPORTING</w:t>
      </w:r>
      <w:r w:rsidRPr="00516648">
        <w:rPr>
          <w:rFonts w:ascii="Arial" w:eastAsia="Arial" w:hAnsi="Arial" w:cs="Arial"/>
          <w:b/>
          <w:bCs/>
          <w:spacing w:val="-7"/>
        </w:rPr>
        <w:t xml:space="preserve"> </w:t>
      </w:r>
      <w:r w:rsidRPr="00516648">
        <w:rPr>
          <w:rFonts w:ascii="Arial" w:eastAsia="Arial" w:hAnsi="Arial" w:cs="Arial"/>
          <w:b/>
          <w:bCs/>
        </w:rPr>
        <w:t>AND</w:t>
      </w:r>
      <w:r w:rsidRPr="00516648">
        <w:rPr>
          <w:rFonts w:ascii="Arial" w:eastAsia="Arial" w:hAnsi="Arial" w:cs="Arial"/>
          <w:b/>
          <w:bCs/>
          <w:spacing w:val="-7"/>
        </w:rPr>
        <w:t xml:space="preserve"> </w:t>
      </w:r>
      <w:r w:rsidRPr="00516648">
        <w:rPr>
          <w:rFonts w:ascii="Arial" w:eastAsia="Arial" w:hAnsi="Arial" w:cs="Arial"/>
          <w:b/>
          <w:bCs/>
        </w:rPr>
        <w:t>ON</w:t>
      </w:r>
      <w:r w:rsidRPr="00516648">
        <w:rPr>
          <w:rFonts w:ascii="Arial" w:eastAsia="Arial" w:hAnsi="Arial" w:cs="Arial"/>
          <w:b/>
          <w:bCs/>
          <w:spacing w:val="-6"/>
        </w:rPr>
        <w:t xml:space="preserve"> </w:t>
      </w:r>
      <w:r w:rsidRPr="00516648">
        <w:rPr>
          <w:rFonts w:ascii="Arial" w:eastAsia="Arial" w:hAnsi="Arial" w:cs="Arial"/>
          <w:b/>
          <w:bCs/>
        </w:rPr>
        <w:t>COMPLIANCE</w:t>
      </w:r>
      <w:r w:rsidRPr="00516648">
        <w:rPr>
          <w:rFonts w:ascii="Arial" w:eastAsia="Arial" w:hAnsi="Arial" w:cs="Arial"/>
          <w:b/>
          <w:bCs/>
          <w:spacing w:val="-7"/>
        </w:rPr>
        <w:t xml:space="preserve"> </w:t>
      </w:r>
      <w:r w:rsidRPr="00516648">
        <w:rPr>
          <w:rFonts w:ascii="Arial" w:eastAsia="Arial" w:hAnsi="Arial" w:cs="Arial"/>
          <w:b/>
          <w:bCs/>
        </w:rPr>
        <w:t>AND</w:t>
      </w:r>
      <w:r w:rsidRPr="00516648">
        <w:rPr>
          <w:rFonts w:ascii="Arial" w:eastAsia="Arial" w:hAnsi="Arial" w:cs="Arial"/>
          <w:b/>
          <w:bCs/>
          <w:spacing w:val="-6"/>
        </w:rPr>
        <w:t xml:space="preserve"> </w:t>
      </w:r>
      <w:r w:rsidRPr="00516648">
        <w:rPr>
          <w:rFonts w:ascii="Arial" w:eastAsia="Arial" w:hAnsi="Arial" w:cs="Arial"/>
          <w:b/>
          <w:bCs/>
        </w:rPr>
        <w:t>OTHER</w:t>
      </w:r>
      <w:r w:rsidRPr="00516648">
        <w:rPr>
          <w:rFonts w:ascii="Arial" w:eastAsia="Arial" w:hAnsi="Arial" w:cs="Arial"/>
          <w:b/>
          <w:bCs/>
          <w:spacing w:val="-6"/>
        </w:rPr>
        <w:t xml:space="preserve"> </w:t>
      </w:r>
      <w:r w:rsidRPr="00516648">
        <w:rPr>
          <w:rFonts w:ascii="Arial" w:eastAsia="Arial" w:hAnsi="Arial" w:cs="Arial"/>
          <w:b/>
          <w:bCs/>
        </w:rPr>
        <w:t>MATTERS BASED ON AN AUDIT OF FINANCIAL STATEMENTS PERFORMED</w:t>
      </w:r>
    </w:p>
    <w:p w14:paraId="5F964B57" w14:textId="77777777" w:rsidR="001B6918" w:rsidRPr="00516648" w:rsidRDefault="001B6918" w:rsidP="001B6918">
      <w:pPr>
        <w:widowControl w:val="0"/>
        <w:autoSpaceDE w:val="0"/>
        <w:autoSpaceDN w:val="0"/>
        <w:spacing w:line="252" w:lineRule="exact"/>
        <w:ind w:left="1058" w:right="1058"/>
        <w:jc w:val="center"/>
        <w:rPr>
          <w:rFonts w:ascii="Arial" w:eastAsia="Arial" w:hAnsi="Arial" w:cs="Arial"/>
          <w:b/>
          <w:i/>
        </w:rPr>
      </w:pPr>
      <w:r w:rsidRPr="00516648">
        <w:rPr>
          <w:rFonts w:ascii="Arial" w:eastAsia="Arial" w:hAnsi="Arial" w:cs="Arial"/>
          <w:b/>
        </w:rPr>
        <w:t>IN</w:t>
      </w:r>
      <w:r w:rsidRPr="00516648">
        <w:rPr>
          <w:rFonts w:ascii="Arial" w:eastAsia="Arial" w:hAnsi="Arial" w:cs="Arial"/>
          <w:b/>
          <w:spacing w:val="-6"/>
        </w:rPr>
        <w:t xml:space="preserve"> </w:t>
      </w:r>
      <w:r w:rsidRPr="00516648">
        <w:rPr>
          <w:rFonts w:ascii="Arial" w:eastAsia="Arial" w:hAnsi="Arial" w:cs="Arial"/>
          <w:b/>
        </w:rPr>
        <w:t>ACCORDANCE</w:t>
      </w:r>
      <w:r w:rsidRPr="00516648">
        <w:rPr>
          <w:rFonts w:ascii="Arial" w:eastAsia="Arial" w:hAnsi="Arial" w:cs="Arial"/>
          <w:b/>
          <w:spacing w:val="-9"/>
        </w:rPr>
        <w:t xml:space="preserve"> </w:t>
      </w:r>
      <w:r w:rsidRPr="00516648">
        <w:rPr>
          <w:rFonts w:ascii="Arial" w:eastAsia="Arial" w:hAnsi="Arial" w:cs="Arial"/>
          <w:b/>
        </w:rPr>
        <w:t>WITH</w:t>
      </w:r>
      <w:r w:rsidRPr="00516648">
        <w:rPr>
          <w:rFonts w:ascii="Arial" w:eastAsia="Arial" w:hAnsi="Arial" w:cs="Arial"/>
          <w:b/>
          <w:spacing w:val="-6"/>
        </w:rPr>
        <w:t xml:space="preserve"> </w:t>
      </w:r>
      <w:r w:rsidRPr="00516648">
        <w:rPr>
          <w:rFonts w:ascii="Arial" w:eastAsia="Arial" w:hAnsi="Arial" w:cs="Arial"/>
          <w:b/>
          <w:i/>
        </w:rPr>
        <w:t>GOVERNMENT</w:t>
      </w:r>
      <w:r w:rsidRPr="00516648">
        <w:rPr>
          <w:rFonts w:ascii="Arial" w:eastAsia="Arial" w:hAnsi="Arial" w:cs="Arial"/>
          <w:b/>
          <w:i/>
          <w:spacing w:val="-9"/>
        </w:rPr>
        <w:t xml:space="preserve"> </w:t>
      </w:r>
      <w:r w:rsidRPr="00516648">
        <w:rPr>
          <w:rFonts w:ascii="Arial" w:eastAsia="Arial" w:hAnsi="Arial" w:cs="Arial"/>
          <w:b/>
          <w:i/>
        </w:rPr>
        <w:t>AUDITING</w:t>
      </w:r>
      <w:r w:rsidRPr="00516648">
        <w:rPr>
          <w:rFonts w:ascii="Arial" w:eastAsia="Arial" w:hAnsi="Arial" w:cs="Arial"/>
          <w:b/>
          <w:i/>
          <w:spacing w:val="-8"/>
        </w:rPr>
        <w:t xml:space="preserve"> </w:t>
      </w:r>
      <w:r w:rsidRPr="00516648">
        <w:rPr>
          <w:rFonts w:ascii="Arial" w:eastAsia="Arial" w:hAnsi="Arial" w:cs="Arial"/>
          <w:b/>
          <w:i/>
          <w:spacing w:val="-2"/>
        </w:rPr>
        <w:t>STANDARDS</w:t>
      </w:r>
    </w:p>
    <w:p w14:paraId="23D5225F" w14:textId="77777777" w:rsidR="001B6918" w:rsidRPr="00516648" w:rsidRDefault="001B6918" w:rsidP="001B6918">
      <w:pPr>
        <w:widowControl w:val="0"/>
        <w:autoSpaceDE w:val="0"/>
        <w:autoSpaceDN w:val="0"/>
        <w:rPr>
          <w:rFonts w:ascii="Arial" w:eastAsia="Arial" w:hAnsi="Arial" w:cs="Arial"/>
          <w:b/>
          <w:i/>
        </w:rPr>
      </w:pPr>
    </w:p>
    <w:p w14:paraId="346ECDC8" w14:textId="77777777" w:rsidR="00027572" w:rsidRPr="00027572" w:rsidRDefault="00027572" w:rsidP="00027572">
      <w:pPr>
        <w:widowControl w:val="0"/>
        <w:autoSpaceDE w:val="0"/>
        <w:autoSpaceDN w:val="0"/>
        <w:ind w:left="120"/>
        <w:rPr>
          <w:rFonts w:ascii="Arial" w:eastAsia="Arial" w:hAnsi="Arial" w:cs="Arial"/>
        </w:rPr>
      </w:pPr>
      <w:r w:rsidRPr="00027572">
        <w:rPr>
          <w:rFonts w:ascii="Arial" w:eastAsia="Arial" w:hAnsi="Arial" w:cs="Arial"/>
        </w:rPr>
        <w:t>Board of Trustees</w:t>
      </w:r>
    </w:p>
    <w:p w14:paraId="19D94222" w14:textId="77777777" w:rsidR="00027572" w:rsidRPr="00027572" w:rsidRDefault="00027572" w:rsidP="00027572">
      <w:pPr>
        <w:widowControl w:val="0"/>
        <w:autoSpaceDE w:val="0"/>
        <w:autoSpaceDN w:val="0"/>
        <w:ind w:left="120"/>
        <w:rPr>
          <w:rFonts w:ascii="Arial" w:eastAsia="Arial" w:hAnsi="Arial" w:cs="Arial"/>
        </w:rPr>
      </w:pPr>
      <w:r w:rsidRPr="00027572">
        <w:rPr>
          <w:rFonts w:ascii="Arial" w:eastAsia="Arial" w:hAnsi="Arial" w:cs="Arial"/>
        </w:rPr>
        <w:t>University of Maine System</w:t>
      </w:r>
    </w:p>
    <w:p w14:paraId="3ECAC8FA" w14:textId="5FF2B428" w:rsidR="00027572" w:rsidRPr="00027572" w:rsidRDefault="00027572" w:rsidP="00027572">
      <w:pPr>
        <w:widowControl w:val="0"/>
        <w:autoSpaceDE w:val="0"/>
        <w:autoSpaceDN w:val="0"/>
        <w:ind w:left="120"/>
        <w:rPr>
          <w:rFonts w:ascii="Arial" w:eastAsia="Arial" w:hAnsi="Arial" w:cs="Arial"/>
        </w:rPr>
      </w:pPr>
      <w:r w:rsidRPr="00027572">
        <w:rPr>
          <w:rFonts w:ascii="Arial" w:eastAsia="Arial" w:hAnsi="Arial" w:cs="Arial"/>
        </w:rPr>
        <w:t>Orono, Maine</w:t>
      </w:r>
    </w:p>
    <w:p w14:paraId="68D3E3D7" w14:textId="77777777" w:rsidR="00027572" w:rsidRDefault="00027572" w:rsidP="00027572">
      <w:pPr>
        <w:widowControl w:val="0"/>
        <w:autoSpaceDE w:val="0"/>
        <w:autoSpaceDN w:val="0"/>
        <w:ind w:left="120"/>
        <w:rPr>
          <w:rFonts w:ascii="Arial" w:eastAsia="Arial" w:hAnsi="Arial" w:cs="Arial"/>
        </w:rPr>
      </w:pPr>
    </w:p>
    <w:p w14:paraId="31AC2D4D" w14:textId="36CDE979" w:rsidR="00577019" w:rsidRPr="00577019" w:rsidRDefault="00577019" w:rsidP="00577019">
      <w:pPr>
        <w:widowControl w:val="0"/>
        <w:autoSpaceDE w:val="0"/>
        <w:autoSpaceDN w:val="0"/>
        <w:ind w:left="120"/>
        <w:rPr>
          <w:rFonts w:ascii="Arial" w:eastAsia="Arial" w:hAnsi="Arial" w:cs="Arial"/>
        </w:rPr>
      </w:pPr>
      <w:bookmarkStart w:id="20" w:name="AuditorIC"/>
      <w:bookmarkEnd w:id="20"/>
      <w:r w:rsidRPr="00577019">
        <w:rPr>
          <w:rFonts w:ascii="Arial" w:eastAsia="Arial" w:hAnsi="Arial" w:cs="Arial"/>
        </w:rPr>
        <w:t>We have audited, in accordance with the auditing standards generally accepted in the United States of</w:t>
      </w:r>
      <w:r>
        <w:rPr>
          <w:rFonts w:ascii="Arial" w:eastAsia="Arial" w:hAnsi="Arial" w:cs="Arial"/>
        </w:rPr>
        <w:t xml:space="preserve"> </w:t>
      </w:r>
      <w:r w:rsidRPr="00577019">
        <w:rPr>
          <w:rFonts w:ascii="Arial" w:eastAsia="Arial" w:hAnsi="Arial" w:cs="Arial"/>
        </w:rPr>
        <w:t xml:space="preserve">America and the standards applicable to financial audits contained in </w:t>
      </w:r>
      <w:r w:rsidRPr="00577019">
        <w:rPr>
          <w:rFonts w:ascii="Arial" w:eastAsia="Arial" w:hAnsi="Arial" w:cs="Arial"/>
          <w:i/>
          <w:iCs/>
        </w:rPr>
        <w:t>Government Auditing Standards</w:t>
      </w:r>
      <w:r>
        <w:rPr>
          <w:rFonts w:ascii="Arial" w:eastAsia="Arial" w:hAnsi="Arial" w:cs="Arial"/>
        </w:rPr>
        <w:t xml:space="preserve"> </w:t>
      </w:r>
      <w:r w:rsidRPr="00577019">
        <w:rPr>
          <w:rFonts w:ascii="Arial" w:eastAsia="Arial" w:hAnsi="Arial" w:cs="Arial"/>
        </w:rPr>
        <w:t>issued by the Comptroller General of the United States, the financial statements of the business-type</w:t>
      </w:r>
      <w:r>
        <w:rPr>
          <w:rFonts w:ascii="Arial" w:eastAsia="Arial" w:hAnsi="Arial" w:cs="Arial"/>
        </w:rPr>
        <w:t xml:space="preserve"> </w:t>
      </w:r>
      <w:r w:rsidRPr="00577019">
        <w:rPr>
          <w:rFonts w:ascii="Arial" w:eastAsia="Arial" w:hAnsi="Arial" w:cs="Arial"/>
        </w:rPr>
        <w:t>activities, the discretely presented component unit, and the aggregate remaining fund information of the</w:t>
      </w:r>
      <w:r>
        <w:rPr>
          <w:rFonts w:ascii="Arial" w:eastAsia="Arial" w:hAnsi="Arial" w:cs="Arial"/>
        </w:rPr>
        <w:t xml:space="preserve"> </w:t>
      </w:r>
      <w:r w:rsidRPr="00577019">
        <w:rPr>
          <w:rFonts w:ascii="Arial" w:eastAsia="Arial" w:hAnsi="Arial" w:cs="Arial"/>
        </w:rPr>
        <w:t>University of Maine System (the System) (a component unit of the state of Maine), as of and for the</w:t>
      </w:r>
      <w:r>
        <w:rPr>
          <w:rFonts w:ascii="Arial" w:eastAsia="Arial" w:hAnsi="Arial" w:cs="Arial"/>
        </w:rPr>
        <w:t xml:space="preserve"> </w:t>
      </w:r>
      <w:r w:rsidRPr="00577019">
        <w:rPr>
          <w:rFonts w:ascii="Arial" w:eastAsia="Arial" w:hAnsi="Arial" w:cs="Arial"/>
        </w:rPr>
        <w:t>year ended June 30, 2025 for the business-type activities and the fiduciary activities, and as of and for</w:t>
      </w:r>
      <w:r>
        <w:rPr>
          <w:rFonts w:ascii="Arial" w:eastAsia="Arial" w:hAnsi="Arial" w:cs="Arial"/>
        </w:rPr>
        <w:t xml:space="preserve"> </w:t>
      </w:r>
      <w:r w:rsidRPr="00577019">
        <w:rPr>
          <w:rFonts w:ascii="Arial" w:eastAsia="Arial" w:hAnsi="Arial" w:cs="Arial"/>
        </w:rPr>
        <w:t>the year ended December 31, 2024 for the discretely presented component unit, and the related notes</w:t>
      </w:r>
      <w:r>
        <w:rPr>
          <w:rFonts w:ascii="Arial" w:eastAsia="Arial" w:hAnsi="Arial" w:cs="Arial"/>
        </w:rPr>
        <w:t xml:space="preserve"> </w:t>
      </w:r>
      <w:r w:rsidRPr="00577019">
        <w:rPr>
          <w:rFonts w:ascii="Arial" w:eastAsia="Arial" w:hAnsi="Arial" w:cs="Arial"/>
        </w:rPr>
        <w:t>to the financial statements, which collectively comprise the System</w:t>
      </w:r>
      <w:r>
        <w:rPr>
          <w:rFonts w:ascii="Arial" w:eastAsia="Arial" w:hAnsi="Arial" w:cs="Arial"/>
        </w:rPr>
        <w:t>’</w:t>
      </w:r>
      <w:r w:rsidRPr="00577019">
        <w:rPr>
          <w:rFonts w:ascii="Arial" w:eastAsia="Arial" w:hAnsi="Arial" w:cs="Arial"/>
        </w:rPr>
        <w:t>s basic financial statements, and</w:t>
      </w:r>
      <w:r>
        <w:rPr>
          <w:rFonts w:ascii="Arial" w:eastAsia="Arial" w:hAnsi="Arial" w:cs="Arial"/>
        </w:rPr>
        <w:t xml:space="preserve"> </w:t>
      </w:r>
      <w:r w:rsidRPr="00577019">
        <w:rPr>
          <w:rFonts w:ascii="Arial" w:eastAsia="Arial" w:hAnsi="Arial" w:cs="Arial"/>
        </w:rPr>
        <w:t>have issued our report thereon dated October 30, 2025. Our report includes a reference to other</w:t>
      </w:r>
      <w:r>
        <w:rPr>
          <w:rFonts w:ascii="Arial" w:eastAsia="Arial" w:hAnsi="Arial" w:cs="Arial"/>
        </w:rPr>
        <w:t xml:space="preserve"> </w:t>
      </w:r>
      <w:r w:rsidRPr="00577019">
        <w:rPr>
          <w:rFonts w:ascii="Arial" w:eastAsia="Arial" w:hAnsi="Arial" w:cs="Arial"/>
        </w:rPr>
        <w:t>auditors who audited the financial statements of the University of Maine Foundation (Foundation), as</w:t>
      </w:r>
      <w:r>
        <w:rPr>
          <w:rFonts w:ascii="Arial" w:eastAsia="Arial" w:hAnsi="Arial" w:cs="Arial"/>
        </w:rPr>
        <w:t xml:space="preserve"> </w:t>
      </w:r>
      <w:r w:rsidRPr="00577019">
        <w:rPr>
          <w:rFonts w:ascii="Arial" w:eastAsia="Arial" w:hAnsi="Arial" w:cs="Arial"/>
        </w:rPr>
        <w:t>described in our report on the System</w:t>
      </w:r>
      <w:r>
        <w:rPr>
          <w:rFonts w:ascii="Arial" w:eastAsia="Arial" w:hAnsi="Arial" w:cs="Arial"/>
        </w:rPr>
        <w:t>’</w:t>
      </w:r>
      <w:r w:rsidRPr="00577019">
        <w:rPr>
          <w:rFonts w:ascii="Arial" w:eastAsia="Arial" w:hAnsi="Arial" w:cs="Arial"/>
        </w:rPr>
        <w:t>s financial statements. The financial statements of the</w:t>
      </w:r>
      <w:r>
        <w:rPr>
          <w:rFonts w:ascii="Arial" w:eastAsia="Arial" w:hAnsi="Arial" w:cs="Arial"/>
        </w:rPr>
        <w:t xml:space="preserve"> </w:t>
      </w:r>
      <w:r w:rsidRPr="00577019">
        <w:rPr>
          <w:rFonts w:ascii="Arial" w:eastAsia="Arial" w:hAnsi="Arial" w:cs="Arial"/>
        </w:rPr>
        <w:t xml:space="preserve">Foundation were not audited in accordance with </w:t>
      </w:r>
      <w:r w:rsidRPr="00577019">
        <w:rPr>
          <w:rFonts w:ascii="Arial" w:eastAsia="Arial" w:hAnsi="Arial" w:cs="Arial"/>
          <w:i/>
          <w:iCs/>
        </w:rPr>
        <w:t>Government Auditing Standard</w:t>
      </w:r>
      <w:r w:rsidRPr="00577019">
        <w:rPr>
          <w:rFonts w:ascii="Arial" w:eastAsia="Arial" w:hAnsi="Arial" w:cs="Arial"/>
        </w:rPr>
        <w:t>s, and accordingly, this</w:t>
      </w:r>
      <w:r>
        <w:rPr>
          <w:rFonts w:ascii="Arial" w:eastAsia="Arial" w:hAnsi="Arial" w:cs="Arial"/>
        </w:rPr>
        <w:t xml:space="preserve"> </w:t>
      </w:r>
      <w:r w:rsidRPr="00577019">
        <w:rPr>
          <w:rFonts w:ascii="Arial" w:eastAsia="Arial" w:hAnsi="Arial" w:cs="Arial"/>
        </w:rPr>
        <w:t>report does not include reporting on internal control over financial reporting or instances of reportable</w:t>
      </w:r>
      <w:r>
        <w:rPr>
          <w:rFonts w:ascii="Arial" w:eastAsia="Arial" w:hAnsi="Arial" w:cs="Arial"/>
        </w:rPr>
        <w:t xml:space="preserve"> </w:t>
      </w:r>
      <w:r w:rsidRPr="00577019">
        <w:rPr>
          <w:rFonts w:ascii="Arial" w:eastAsia="Arial" w:hAnsi="Arial" w:cs="Arial"/>
        </w:rPr>
        <w:t>noncompliance associated with the Foundation.</w:t>
      </w:r>
    </w:p>
    <w:p w14:paraId="5EAFD98F" w14:textId="77777777" w:rsidR="00577019" w:rsidRDefault="00577019" w:rsidP="00577019">
      <w:pPr>
        <w:widowControl w:val="0"/>
        <w:autoSpaceDE w:val="0"/>
        <w:autoSpaceDN w:val="0"/>
        <w:ind w:left="120"/>
        <w:rPr>
          <w:rFonts w:ascii="Arial" w:eastAsia="Arial" w:hAnsi="Arial" w:cs="Arial"/>
          <w:b/>
          <w:bCs/>
          <w:i/>
          <w:iCs/>
        </w:rPr>
      </w:pPr>
    </w:p>
    <w:p w14:paraId="3552B3AC" w14:textId="208663D0" w:rsidR="00577019" w:rsidRPr="00577019" w:rsidRDefault="00577019" w:rsidP="00577019">
      <w:pPr>
        <w:widowControl w:val="0"/>
        <w:autoSpaceDE w:val="0"/>
        <w:autoSpaceDN w:val="0"/>
        <w:ind w:left="120"/>
        <w:rPr>
          <w:rFonts w:ascii="Arial" w:eastAsia="Arial" w:hAnsi="Arial" w:cs="Arial"/>
          <w:b/>
          <w:bCs/>
          <w:i/>
          <w:iCs/>
        </w:rPr>
      </w:pPr>
      <w:r w:rsidRPr="00577019">
        <w:rPr>
          <w:rFonts w:ascii="Arial" w:eastAsia="Arial" w:hAnsi="Arial" w:cs="Arial"/>
          <w:b/>
          <w:bCs/>
          <w:i/>
          <w:iCs/>
        </w:rPr>
        <w:t>Report on Internal Control Over Financial Reporting</w:t>
      </w:r>
    </w:p>
    <w:p w14:paraId="40C39903" w14:textId="5609A5CE" w:rsidR="00577019" w:rsidRPr="00577019" w:rsidRDefault="00577019" w:rsidP="00577019">
      <w:pPr>
        <w:widowControl w:val="0"/>
        <w:autoSpaceDE w:val="0"/>
        <w:autoSpaceDN w:val="0"/>
        <w:ind w:left="120"/>
        <w:rPr>
          <w:rFonts w:ascii="Arial" w:eastAsia="Arial" w:hAnsi="Arial" w:cs="Arial"/>
        </w:rPr>
      </w:pPr>
      <w:r w:rsidRPr="00577019">
        <w:rPr>
          <w:rFonts w:ascii="Arial" w:eastAsia="Arial" w:hAnsi="Arial" w:cs="Arial"/>
        </w:rPr>
        <w:t>In planning and performing our audit of the financial statements, we considered the System</w:t>
      </w:r>
      <w:r>
        <w:rPr>
          <w:rFonts w:ascii="Arial" w:eastAsia="Arial" w:hAnsi="Arial" w:cs="Arial"/>
        </w:rPr>
        <w:t>’</w:t>
      </w:r>
      <w:r w:rsidRPr="00577019">
        <w:rPr>
          <w:rFonts w:ascii="Arial" w:eastAsia="Arial" w:hAnsi="Arial" w:cs="Arial"/>
        </w:rPr>
        <w:t>s internal</w:t>
      </w:r>
    </w:p>
    <w:p w14:paraId="2AD1E587" w14:textId="77777777" w:rsidR="00577019" w:rsidRPr="00577019" w:rsidRDefault="00577019" w:rsidP="00577019">
      <w:pPr>
        <w:widowControl w:val="0"/>
        <w:autoSpaceDE w:val="0"/>
        <w:autoSpaceDN w:val="0"/>
        <w:ind w:left="120"/>
        <w:rPr>
          <w:rFonts w:ascii="Arial" w:eastAsia="Arial" w:hAnsi="Arial" w:cs="Arial"/>
        </w:rPr>
      </w:pPr>
      <w:r w:rsidRPr="00577019">
        <w:rPr>
          <w:rFonts w:ascii="Arial" w:eastAsia="Arial" w:hAnsi="Arial" w:cs="Arial"/>
        </w:rPr>
        <w:t>control over financial reporting (internal control) as a basis for designing audit procedures that are</w:t>
      </w:r>
    </w:p>
    <w:p w14:paraId="515F32ED" w14:textId="77777777" w:rsidR="00577019" w:rsidRPr="00577019" w:rsidRDefault="00577019" w:rsidP="00577019">
      <w:pPr>
        <w:widowControl w:val="0"/>
        <w:autoSpaceDE w:val="0"/>
        <w:autoSpaceDN w:val="0"/>
        <w:ind w:left="120"/>
        <w:rPr>
          <w:rFonts w:ascii="Arial" w:eastAsia="Arial" w:hAnsi="Arial" w:cs="Arial"/>
        </w:rPr>
      </w:pPr>
      <w:r w:rsidRPr="00577019">
        <w:rPr>
          <w:rFonts w:ascii="Arial" w:eastAsia="Arial" w:hAnsi="Arial" w:cs="Arial"/>
        </w:rPr>
        <w:t>appropriate in the circumstances for the purpose of expressing our opinions on the financial</w:t>
      </w:r>
    </w:p>
    <w:p w14:paraId="4C31817E" w14:textId="1A7E5AF3" w:rsidR="00577019" w:rsidRPr="00577019" w:rsidRDefault="00577019" w:rsidP="00577019">
      <w:pPr>
        <w:widowControl w:val="0"/>
        <w:autoSpaceDE w:val="0"/>
        <w:autoSpaceDN w:val="0"/>
        <w:ind w:left="120"/>
        <w:rPr>
          <w:rFonts w:ascii="Arial" w:eastAsia="Arial" w:hAnsi="Arial" w:cs="Arial"/>
        </w:rPr>
      </w:pPr>
      <w:r w:rsidRPr="00577019">
        <w:rPr>
          <w:rFonts w:ascii="Arial" w:eastAsia="Arial" w:hAnsi="Arial" w:cs="Arial"/>
        </w:rPr>
        <w:t>statements, but not for the purpose of expressing an opinion on the effectiveness of the System</w:t>
      </w:r>
      <w:r>
        <w:rPr>
          <w:rFonts w:ascii="Arial" w:eastAsia="Arial" w:hAnsi="Arial" w:cs="Arial"/>
        </w:rPr>
        <w:t>’</w:t>
      </w:r>
      <w:r w:rsidRPr="00577019">
        <w:rPr>
          <w:rFonts w:ascii="Arial" w:eastAsia="Arial" w:hAnsi="Arial" w:cs="Arial"/>
        </w:rPr>
        <w:t>s</w:t>
      </w:r>
    </w:p>
    <w:p w14:paraId="22419EFC" w14:textId="59BAE6AF" w:rsidR="00577019" w:rsidRPr="00577019" w:rsidRDefault="00577019" w:rsidP="00577019">
      <w:pPr>
        <w:widowControl w:val="0"/>
        <w:autoSpaceDE w:val="0"/>
        <w:autoSpaceDN w:val="0"/>
        <w:ind w:left="120"/>
        <w:rPr>
          <w:rFonts w:ascii="Arial" w:eastAsia="Arial" w:hAnsi="Arial" w:cs="Arial"/>
        </w:rPr>
      </w:pPr>
      <w:r w:rsidRPr="00577019">
        <w:rPr>
          <w:rFonts w:ascii="Arial" w:eastAsia="Arial" w:hAnsi="Arial" w:cs="Arial"/>
        </w:rPr>
        <w:t>internal control. Accordingly, we do not express an opinion on the effectiveness of the System</w:t>
      </w:r>
      <w:r>
        <w:rPr>
          <w:rFonts w:ascii="Arial" w:eastAsia="Arial" w:hAnsi="Arial" w:cs="Arial"/>
        </w:rPr>
        <w:t>’</w:t>
      </w:r>
      <w:r w:rsidRPr="00577019">
        <w:rPr>
          <w:rFonts w:ascii="Arial" w:eastAsia="Arial" w:hAnsi="Arial" w:cs="Arial"/>
        </w:rPr>
        <w:t>s</w:t>
      </w:r>
    </w:p>
    <w:p w14:paraId="4A7CE5B7" w14:textId="77777777" w:rsidR="00577019" w:rsidRPr="00577019" w:rsidRDefault="00577019" w:rsidP="00577019">
      <w:pPr>
        <w:widowControl w:val="0"/>
        <w:autoSpaceDE w:val="0"/>
        <w:autoSpaceDN w:val="0"/>
        <w:ind w:left="120"/>
        <w:rPr>
          <w:rFonts w:ascii="Arial" w:eastAsia="Arial" w:hAnsi="Arial" w:cs="Arial"/>
        </w:rPr>
      </w:pPr>
      <w:r w:rsidRPr="00577019">
        <w:rPr>
          <w:rFonts w:ascii="Arial" w:eastAsia="Arial" w:hAnsi="Arial" w:cs="Arial"/>
        </w:rPr>
        <w:t>internal control.</w:t>
      </w:r>
    </w:p>
    <w:p w14:paraId="728D81B6" w14:textId="77777777" w:rsidR="00577019" w:rsidRDefault="00577019" w:rsidP="00577019">
      <w:pPr>
        <w:widowControl w:val="0"/>
        <w:autoSpaceDE w:val="0"/>
        <w:autoSpaceDN w:val="0"/>
        <w:ind w:left="120"/>
        <w:rPr>
          <w:rFonts w:ascii="Arial" w:eastAsia="Arial" w:hAnsi="Arial" w:cs="Arial"/>
        </w:rPr>
      </w:pPr>
    </w:p>
    <w:p w14:paraId="348571DA" w14:textId="1482A1FF" w:rsidR="00577019" w:rsidRPr="00577019" w:rsidRDefault="00577019" w:rsidP="00577019">
      <w:pPr>
        <w:widowControl w:val="0"/>
        <w:autoSpaceDE w:val="0"/>
        <w:autoSpaceDN w:val="0"/>
        <w:ind w:left="120"/>
        <w:rPr>
          <w:rFonts w:ascii="Arial" w:eastAsia="Arial" w:hAnsi="Arial" w:cs="Arial"/>
        </w:rPr>
      </w:pPr>
      <w:r w:rsidRPr="00577019">
        <w:rPr>
          <w:rFonts w:ascii="Arial" w:eastAsia="Arial" w:hAnsi="Arial" w:cs="Arial"/>
        </w:rPr>
        <w:t xml:space="preserve">A </w:t>
      </w:r>
      <w:r w:rsidRPr="00577019">
        <w:rPr>
          <w:rFonts w:ascii="Arial" w:eastAsia="Arial" w:hAnsi="Arial" w:cs="Arial"/>
          <w:i/>
          <w:iCs/>
        </w:rPr>
        <w:t>deficiency in internal control</w:t>
      </w:r>
      <w:r w:rsidRPr="00577019">
        <w:rPr>
          <w:rFonts w:ascii="Arial" w:eastAsia="Arial" w:hAnsi="Arial" w:cs="Arial"/>
        </w:rPr>
        <w:t xml:space="preserve"> exists when the design or operation of a control does not allow</w:t>
      </w:r>
    </w:p>
    <w:p w14:paraId="49D0943D" w14:textId="1742C2E8" w:rsidR="00577019" w:rsidRPr="00577019" w:rsidRDefault="00577019" w:rsidP="00577019">
      <w:pPr>
        <w:widowControl w:val="0"/>
        <w:autoSpaceDE w:val="0"/>
        <w:autoSpaceDN w:val="0"/>
        <w:ind w:left="120"/>
        <w:rPr>
          <w:rFonts w:ascii="Arial" w:eastAsia="Arial" w:hAnsi="Arial" w:cs="Arial"/>
        </w:rPr>
      </w:pPr>
      <w:r w:rsidRPr="00577019">
        <w:rPr>
          <w:rFonts w:ascii="Arial" w:eastAsia="Arial" w:hAnsi="Arial" w:cs="Arial"/>
        </w:rPr>
        <w:t>management or employees, in the normal course of performing their assigned functions, to prevent, or</w:t>
      </w:r>
      <w:r>
        <w:rPr>
          <w:rFonts w:ascii="Arial" w:eastAsia="Arial" w:hAnsi="Arial" w:cs="Arial"/>
        </w:rPr>
        <w:t xml:space="preserve"> </w:t>
      </w:r>
      <w:r w:rsidRPr="00577019">
        <w:rPr>
          <w:rFonts w:ascii="Arial" w:eastAsia="Arial" w:hAnsi="Arial" w:cs="Arial"/>
        </w:rPr>
        <w:t xml:space="preserve">detect and correct, </w:t>
      </w:r>
      <w:proofErr w:type="gramStart"/>
      <w:r w:rsidRPr="00577019">
        <w:rPr>
          <w:rFonts w:ascii="Arial" w:eastAsia="Arial" w:hAnsi="Arial" w:cs="Arial"/>
        </w:rPr>
        <w:t>misstatements</w:t>
      </w:r>
      <w:proofErr w:type="gramEnd"/>
      <w:r w:rsidRPr="00577019">
        <w:rPr>
          <w:rFonts w:ascii="Arial" w:eastAsia="Arial" w:hAnsi="Arial" w:cs="Arial"/>
        </w:rPr>
        <w:t xml:space="preserve"> on a timely basis. </w:t>
      </w:r>
      <w:proofErr w:type="gramStart"/>
      <w:r w:rsidRPr="00577019">
        <w:rPr>
          <w:rFonts w:ascii="Arial" w:eastAsia="Arial" w:hAnsi="Arial" w:cs="Arial"/>
        </w:rPr>
        <w:t>A material</w:t>
      </w:r>
      <w:proofErr w:type="gramEnd"/>
      <w:r w:rsidRPr="00577019">
        <w:rPr>
          <w:rFonts w:ascii="Arial" w:eastAsia="Arial" w:hAnsi="Arial" w:cs="Arial"/>
        </w:rPr>
        <w:t xml:space="preserve"> weakness is a deficiency, or a</w:t>
      </w:r>
    </w:p>
    <w:p w14:paraId="3C3CF5BF" w14:textId="42B2B2B1" w:rsidR="00577019" w:rsidRPr="00577019" w:rsidRDefault="00577019" w:rsidP="00577019">
      <w:pPr>
        <w:widowControl w:val="0"/>
        <w:autoSpaceDE w:val="0"/>
        <w:autoSpaceDN w:val="0"/>
        <w:ind w:left="120"/>
        <w:rPr>
          <w:rFonts w:ascii="Arial" w:eastAsia="Arial" w:hAnsi="Arial" w:cs="Arial"/>
        </w:rPr>
      </w:pPr>
      <w:r w:rsidRPr="00577019">
        <w:rPr>
          <w:rFonts w:ascii="Arial" w:eastAsia="Arial" w:hAnsi="Arial" w:cs="Arial"/>
        </w:rPr>
        <w:t>combination of deficiencies, in internal control, such that there is a reasonable possibility that a material</w:t>
      </w:r>
      <w:r>
        <w:rPr>
          <w:rFonts w:ascii="Arial" w:eastAsia="Arial" w:hAnsi="Arial" w:cs="Arial"/>
        </w:rPr>
        <w:t xml:space="preserve"> </w:t>
      </w:r>
      <w:r w:rsidRPr="00577019">
        <w:rPr>
          <w:rFonts w:ascii="Arial" w:eastAsia="Arial" w:hAnsi="Arial" w:cs="Arial"/>
        </w:rPr>
        <w:t>misstatement of the entity</w:t>
      </w:r>
      <w:r>
        <w:rPr>
          <w:rFonts w:ascii="Arial" w:eastAsia="Arial" w:hAnsi="Arial" w:cs="Arial"/>
        </w:rPr>
        <w:t>’</w:t>
      </w:r>
      <w:r w:rsidRPr="00577019">
        <w:rPr>
          <w:rFonts w:ascii="Arial" w:eastAsia="Arial" w:hAnsi="Arial" w:cs="Arial"/>
        </w:rPr>
        <w:t>s financial statements will not be prevented, or detected and corrected, on a</w:t>
      </w:r>
      <w:r>
        <w:rPr>
          <w:rFonts w:ascii="Arial" w:eastAsia="Arial" w:hAnsi="Arial" w:cs="Arial"/>
        </w:rPr>
        <w:t xml:space="preserve"> </w:t>
      </w:r>
      <w:r w:rsidRPr="00577019">
        <w:rPr>
          <w:rFonts w:ascii="Arial" w:eastAsia="Arial" w:hAnsi="Arial" w:cs="Arial"/>
        </w:rPr>
        <w:t>timely basis. A significant deficiency is a deficiency, or a combination of deficiencies, in internal control</w:t>
      </w:r>
      <w:r>
        <w:rPr>
          <w:rFonts w:ascii="Arial" w:eastAsia="Arial" w:hAnsi="Arial" w:cs="Arial"/>
        </w:rPr>
        <w:t xml:space="preserve"> </w:t>
      </w:r>
      <w:r w:rsidRPr="00577019">
        <w:rPr>
          <w:rFonts w:ascii="Arial" w:eastAsia="Arial" w:hAnsi="Arial" w:cs="Arial"/>
        </w:rPr>
        <w:t>that is less severe than a material weakness, yet important enough to merit attention by those charged</w:t>
      </w:r>
      <w:r>
        <w:rPr>
          <w:rFonts w:ascii="Arial" w:eastAsia="Arial" w:hAnsi="Arial" w:cs="Arial"/>
        </w:rPr>
        <w:t xml:space="preserve"> </w:t>
      </w:r>
      <w:r w:rsidRPr="00577019">
        <w:rPr>
          <w:rFonts w:ascii="Arial" w:eastAsia="Arial" w:hAnsi="Arial" w:cs="Arial"/>
        </w:rPr>
        <w:t>with governance.</w:t>
      </w:r>
    </w:p>
    <w:p w14:paraId="5F16DCEA" w14:textId="77777777" w:rsidR="00125121" w:rsidRDefault="00125121" w:rsidP="00125121">
      <w:pPr>
        <w:spacing w:line="259" w:lineRule="auto"/>
        <w:rPr>
          <w:rFonts w:ascii="Arial" w:eastAsia="Arial" w:hAnsi="Arial" w:cs="Arial"/>
        </w:rPr>
      </w:pPr>
    </w:p>
    <w:p w14:paraId="1CD466A5" w14:textId="77777777" w:rsidR="00125121" w:rsidRDefault="00125121" w:rsidP="00125121">
      <w:pPr>
        <w:spacing w:line="259" w:lineRule="auto"/>
        <w:rPr>
          <w:rFonts w:ascii="Arial" w:eastAsia="Arial" w:hAnsi="Arial" w:cs="Arial"/>
        </w:rPr>
      </w:pPr>
    </w:p>
    <w:p w14:paraId="4AB7DA91" w14:textId="77777777" w:rsidR="00125121" w:rsidRDefault="00125121" w:rsidP="00125121">
      <w:pPr>
        <w:spacing w:line="259" w:lineRule="auto"/>
        <w:rPr>
          <w:rFonts w:ascii="Arial" w:eastAsia="Arial" w:hAnsi="Arial" w:cs="Arial"/>
        </w:rPr>
      </w:pPr>
    </w:p>
    <w:p w14:paraId="6913075D" w14:textId="0A48C146" w:rsidR="00577019" w:rsidRDefault="00125121" w:rsidP="00125121">
      <w:pPr>
        <w:spacing w:line="259" w:lineRule="auto"/>
        <w:rPr>
          <w:rFonts w:ascii="Arial" w:eastAsia="Arial" w:hAnsi="Arial" w:cs="Arial"/>
        </w:rPr>
      </w:pPr>
      <w:r w:rsidRPr="0038646E">
        <w:rPr>
          <w:rFonts w:ascii="Calibri" w:eastAsia="Arial" w:hAnsi="Arial" w:cs="Arial"/>
          <w:color w:val="707570"/>
          <w:sz w:val="15"/>
        </w:rPr>
        <w:t>CLA</w:t>
      </w:r>
      <w:r w:rsidRPr="0038646E">
        <w:rPr>
          <w:rFonts w:ascii="Calibri" w:eastAsia="Arial" w:hAnsi="Arial" w:cs="Arial"/>
          <w:color w:val="707570"/>
          <w:spacing w:val="-5"/>
          <w:sz w:val="15"/>
        </w:rPr>
        <w:t xml:space="preserve"> </w:t>
      </w:r>
      <w:r w:rsidRPr="0038646E">
        <w:rPr>
          <w:rFonts w:ascii="Calibri" w:eastAsia="Arial" w:hAnsi="Arial" w:cs="Arial"/>
          <w:color w:val="707570"/>
          <w:sz w:val="15"/>
        </w:rPr>
        <w:t>(CliftonLarsonAllen</w:t>
      </w:r>
      <w:r w:rsidRPr="0038646E">
        <w:rPr>
          <w:rFonts w:ascii="Calibri" w:eastAsia="Arial" w:hAnsi="Arial" w:cs="Arial"/>
          <w:color w:val="707570"/>
          <w:spacing w:val="-3"/>
          <w:sz w:val="15"/>
        </w:rPr>
        <w:t xml:space="preserve"> </w:t>
      </w:r>
      <w:r w:rsidRPr="0038646E">
        <w:rPr>
          <w:rFonts w:ascii="Calibri" w:eastAsia="Arial" w:hAnsi="Arial" w:cs="Arial"/>
          <w:color w:val="707570"/>
          <w:sz w:val="15"/>
        </w:rPr>
        <w:t>LLP)</w:t>
      </w:r>
      <w:r w:rsidRPr="0038646E">
        <w:rPr>
          <w:rFonts w:ascii="Calibri" w:eastAsia="Arial" w:hAnsi="Arial" w:cs="Arial"/>
          <w:color w:val="707570"/>
          <w:spacing w:val="-4"/>
          <w:sz w:val="15"/>
        </w:rPr>
        <w:t xml:space="preserve"> </w:t>
      </w:r>
      <w:r w:rsidRPr="0038646E">
        <w:rPr>
          <w:rFonts w:ascii="Calibri" w:eastAsia="Arial" w:hAnsi="Arial" w:cs="Arial"/>
          <w:color w:val="707570"/>
          <w:sz w:val="15"/>
        </w:rPr>
        <w:t>is</w:t>
      </w:r>
      <w:r w:rsidRPr="0038646E">
        <w:rPr>
          <w:rFonts w:ascii="Calibri" w:eastAsia="Arial" w:hAnsi="Arial" w:cs="Arial"/>
          <w:color w:val="707570"/>
          <w:spacing w:val="-4"/>
          <w:sz w:val="15"/>
        </w:rPr>
        <w:t xml:space="preserve"> </w:t>
      </w:r>
      <w:r w:rsidRPr="0038646E">
        <w:rPr>
          <w:rFonts w:ascii="Calibri" w:eastAsia="Arial" w:hAnsi="Arial" w:cs="Arial"/>
          <w:color w:val="707570"/>
          <w:sz w:val="15"/>
        </w:rPr>
        <w:t>an</w:t>
      </w:r>
      <w:r w:rsidRPr="0038646E">
        <w:rPr>
          <w:rFonts w:ascii="Calibri" w:eastAsia="Arial" w:hAnsi="Arial" w:cs="Arial"/>
          <w:color w:val="707570"/>
          <w:spacing w:val="-3"/>
          <w:sz w:val="15"/>
        </w:rPr>
        <w:t xml:space="preserve"> </w:t>
      </w:r>
      <w:r w:rsidRPr="0038646E">
        <w:rPr>
          <w:rFonts w:ascii="Calibri" w:eastAsia="Arial" w:hAnsi="Arial" w:cs="Arial"/>
          <w:color w:val="707570"/>
          <w:sz w:val="15"/>
        </w:rPr>
        <w:t>independent</w:t>
      </w:r>
      <w:r w:rsidRPr="0038646E">
        <w:rPr>
          <w:rFonts w:ascii="Calibri" w:eastAsia="Arial" w:hAnsi="Arial" w:cs="Arial"/>
          <w:color w:val="707570"/>
          <w:spacing w:val="-4"/>
          <w:sz w:val="15"/>
        </w:rPr>
        <w:t xml:space="preserve"> </w:t>
      </w:r>
      <w:r w:rsidRPr="0038646E">
        <w:rPr>
          <w:rFonts w:ascii="Calibri" w:eastAsia="Arial" w:hAnsi="Arial" w:cs="Arial"/>
          <w:color w:val="707570"/>
          <w:sz w:val="15"/>
        </w:rPr>
        <w:t>network</w:t>
      </w:r>
      <w:r w:rsidRPr="0038646E">
        <w:rPr>
          <w:rFonts w:ascii="Calibri" w:eastAsia="Arial" w:hAnsi="Arial" w:cs="Arial"/>
          <w:color w:val="707570"/>
          <w:spacing w:val="-5"/>
          <w:sz w:val="15"/>
        </w:rPr>
        <w:t xml:space="preserve"> </w:t>
      </w:r>
      <w:r w:rsidRPr="0038646E">
        <w:rPr>
          <w:rFonts w:ascii="Calibri" w:eastAsia="Arial" w:hAnsi="Arial" w:cs="Arial"/>
          <w:color w:val="707570"/>
          <w:sz w:val="15"/>
        </w:rPr>
        <w:t>member</w:t>
      </w:r>
      <w:r w:rsidRPr="0038646E">
        <w:rPr>
          <w:rFonts w:ascii="Calibri" w:eastAsia="Arial" w:hAnsi="Arial" w:cs="Arial"/>
          <w:color w:val="707570"/>
          <w:spacing w:val="-1"/>
          <w:sz w:val="15"/>
        </w:rPr>
        <w:t xml:space="preserve"> </w:t>
      </w:r>
      <w:r w:rsidRPr="0038646E">
        <w:rPr>
          <w:rFonts w:ascii="Calibri" w:eastAsia="Arial" w:hAnsi="Arial" w:cs="Arial"/>
          <w:color w:val="707570"/>
          <w:sz w:val="15"/>
        </w:rPr>
        <w:t>of</w:t>
      </w:r>
      <w:r w:rsidRPr="0038646E">
        <w:rPr>
          <w:rFonts w:ascii="Calibri" w:eastAsia="Arial" w:hAnsi="Arial" w:cs="Arial"/>
          <w:color w:val="707570"/>
          <w:spacing w:val="-3"/>
          <w:sz w:val="15"/>
        </w:rPr>
        <w:t xml:space="preserve"> </w:t>
      </w:r>
      <w:r w:rsidRPr="0038646E">
        <w:rPr>
          <w:rFonts w:ascii="Calibri" w:eastAsia="Arial" w:hAnsi="Arial" w:cs="Arial"/>
          <w:color w:val="707570"/>
          <w:sz w:val="15"/>
        </w:rPr>
        <w:t>CLA</w:t>
      </w:r>
      <w:r w:rsidRPr="0038646E">
        <w:rPr>
          <w:rFonts w:ascii="Calibri" w:eastAsia="Arial" w:hAnsi="Arial" w:cs="Arial"/>
          <w:color w:val="707570"/>
          <w:spacing w:val="-3"/>
          <w:sz w:val="15"/>
        </w:rPr>
        <w:t xml:space="preserve"> </w:t>
      </w:r>
      <w:r w:rsidRPr="0038646E">
        <w:rPr>
          <w:rFonts w:ascii="Calibri" w:eastAsia="Arial" w:hAnsi="Arial" w:cs="Arial"/>
          <w:color w:val="707570"/>
          <w:sz w:val="15"/>
        </w:rPr>
        <w:t>Global.</w:t>
      </w:r>
      <w:r w:rsidRPr="0038646E">
        <w:rPr>
          <w:rFonts w:ascii="Calibri" w:eastAsia="Arial" w:hAnsi="Arial" w:cs="Arial"/>
          <w:color w:val="707570"/>
          <w:spacing w:val="-8"/>
          <w:sz w:val="15"/>
        </w:rPr>
        <w:t xml:space="preserve"> </w:t>
      </w:r>
      <w:r w:rsidRPr="0038646E">
        <w:rPr>
          <w:rFonts w:ascii="Calibri" w:eastAsia="Arial" w:hAnsi="Arial" w:cs="Arial"/>
          <w:color w:val="707570"/>
          <w:sz w:val="15"/>
        </w:rPr>
        <w:t xml:space="preserve">See </w:t>
      </w:r>
      <w:r w:rsidRPr="00516648">
        <w:rPr>
          <w:rFonts w:ascii="Calibri" w:eastAsia="Arial" w:hAnsi="Arial" w:cs="Arial"/>
          <w:color w:val="0000FF"/>
          <w:spacing w:val="-2"/>
          <w:sz w:val="15"/>
          <w:u w:val="single" w:color="0000FF"/>
        </w:rPr>
        <w:t>CLAglobal.com/disclaimer</w:t>
      </w:r>
      <w:r w:rsidRPr="0038646E">
        <w:rPr>
          <w:rFonts w:ascii="Calibri" w:eastAsia="Arial" w:hAnsi="Arial" w:cs="Arial"/>
          <w:color w:val="707570"/>
          <w:spacing w:val="-2"/>
          <w:sz w:val="15"/>
        </w:rPr>
        <w:t>.</w:t>
      </w:r>
      <w:r w:rsidR="00577019">
        <w:rPr>
          <w:rFonts w:ascii="Arial" w:eastAsia="Arial" w:hAnsi="Arial" w:cs="Arial"/>
        </w:rPr>
        <w:br w:type="page"/>
      </w:r>
    </w:p>
    <w:p w14:paraId="09AC77D5" w14:textId="5C7E01AC" w:rsidR="00577019" w:rsidRPr="00577019" w:rsidRDefault="00577019" w:rsidP="00577019">
      <w:pPr>
        <w:widowControl w:val="0"/>
        <w:autoSpaceDE w:val="0"/>
        <w:autoSpaceDN w:val="0"/>
        <w:ind w:left="120"/>
        <w:rPr>
          <w:rFonts w:ascii="Arial" w:eastAsia="Arial" w:hAnsi="Arial" w:cs="Arial"/>
        </w:rPr>
      </w:pPr>
      <w:r w:rsidRPr="00577019">
        <w:rPr>
          <w:rFonts w:ascii="Arial" w:eastAsia="Arial" w:hAnsi="Arial" w:cs="Arial"/>
        </w:rPr>
        <w:lastRenderedPageBreak/>
        <w:t>Board of Trustees</w:t>
      </w:r>
    </w:p>
    <w:p w14:paraId="387DD8E2" w14:textId="77777777" w:rsidR="00577019" w:rsidRPr="00577019" w:rsidRDefault="00577019" w:rsidP="00577019">
      <w:pPr>
        <w:widowControl w:val="0"/>
        <w:autoSpaceDE w:val="0"/>
        <w:autoSpaceDN w:val="0"/>
        <w:ind w:left="120"/>
        <w:rPr>
          <w:rFonts w:ascii="Arial" w:eastAsia="Arial" w:hAnsi="Arial" w:cs="Arial"/>
        </w:rPr>
      </w:pPr>
      <w:r w:rsidRPr="00577019">
        <w:rPr>
          <w:rFonts w:ascii="Arial" w:eastAsia="Arial" w:hAnsi="Arial" w:cs="Arial"/>
        </w:rPr>
        <w:t>University of Maine System</w:t>
      </w:r>
    </w:p>
    <w:p w14:paraId="338C2764" w14:textId="77777777" w:rsidR="00577019" w:rsidRDefault="00577019" w:rsidP="00577019">
      <w:pPr>
        <w:widowControl w:val="0"/>
        <w:autoSpaceDE w:val="0"/>
        <w:autoSpaceDN w:val="0"/>
        <w:ind w:left="120"/>
        <w:rPr>
          <w:rFonts w:ascii="Arial" w:eastAsia="Arial" w:hAnsi="Arial" w:cs="Arial"/>
        </w:rPr>
      </w:pPr>
    </w:p>
    <w:p w14:paraId="524CE83E" w14:textId="20D23FE8" w:rsidR="00577019" w:rsidRPr="00577019" w:rsidRDefault="00577019" w:rsidP="00577019">
      <w:pPr>
        <w:widowControl w:val="0"/>
        <w:autoSpaceDE w:val="0"/>
        <w:autoSpaceDN w:val="0"/>
        <w:ind w:left="120"/>
        <w:rPr>
          <w:rFonts w:ascii="Arial" w:eastAsia="Arial" w:hAnsi="Arial" w:cs="Arial"/>
        </w:rPr>
      </w:pPr>
      <w:r w:rsidRPr="00577019">
        <w:rPr>
          <w:rFonts w:ascii="Arial" w:eastAsia="Arial" w:hAnsi="Arial" w:cs="Arial"/>
        </w:rPr>
        <w:t>Our consideration of internal control was for the limited purpose described in the first paragraph of this</w:t>
      </w:r>
      <w:r>
        <w:rPr>
          <w:rFonts w:ascii="Arial" w:eastAsia="Arial" w:hAnsi="Arial" w:cs="Arial"/>
        </w:rPr>
        <w:t xml:space="preserve"> </w:t>
      </w:r>
      <w:r w:rsidRPr="00577019">
        <w:rPr>
          <w:rFonts w:ascii="Arial" w:eastAsia="Arial" w:hAnsi="Arial" w:cs="Arial"/>
        </w:rPr>
        <w:t>section and was not designed to identify all deficiencies in internal control that might be material</w:t>
      </w:r>
    </w:p>
    <w:p w14:paraId="3C6F57B2" w14:textId="097CCA0D" w:rsidR="00577019" w:rsidRPr="00577019" w:rsidRDefault="00577019" w:rsidP="00577019">
      <w:pPr>
        <w:widowControl w:val="0"/>
        <w:autoSpaceDE w:val="0"/>
        <w:autoSpaceDN w:val="0"/>
        <w:ind w:left="120"/>
        <w:rPr>
          <w:rFonts w:ascii="Arial" w:eastAsia="Arial" w:hAnsi="Arial" w:cs="Arial"/>
        </w:rPr>
      </w:pPr>
      <w:r w:rsidRPr="00577019">
        <w:rPr>
          <w:rFonts w:ascii="Arial" w:eastAsia="Arial" w:hAnsi="Arial" w:cs="Arial"/>
        </w:rPr>
        <w:t>weaknesses or significant deficiencies. Given these limitations, during our audit we did not identify any</w:t>
      </w:r>
      <w:r>
        <w:rPr>
          <w:rFonts w:ascii="Arial" w:eastAsia="Arial" w:hAnsi="Arial" w:cs="Arial"/>
        </w:rPr>
        <w:t xml:space="preserve"> </w:t>
      </w:r>
      <w:r w:rsidRPr="00577019">
        <w:rPr>
          <w:rFonts w:ascii="Arial" w:eastAsia="Arial" w:hAnsi="Arial" w:cs="Arial"/>
        </w:rPr>
        <w:t>deficiencies in internal control that we consider to be material weaknesses. However, material</w:t>
      </w:r>
    </w:p>
    <w:p w14:paraId="1684131F" w14:textId="77777777" w:rsidR="00577019" w:rsidRPr="00577019" w:rsidRDefault="00577019" w:rsidP="00577019">
      <w:pPr>
        <w:widowControl w:val="0"/>
        <w:autoSpaceDE w:val="0"/>
        <w:autoSpaceDN w:val="0"/>
        <w:ind w:left="120"/>
        <w:rPr>
          <w:rFonts w:ascii="Arial" w:eastAsia="Arial" w:hAnsi="Arial" w:cs="Arial"/>
        </w:rPr>
      </w:pPr>
      <w:r w:rsidRPr="00577019">
        <w:rPr>
          <w:rFonts w:ascii="Arial" w:eastAsia="Arial" w:hAnsi="Arial" w:cs="Arial"/>
        </w:rPr>
        <w:t>weaknesses or significant deficiencies may exist that were not identified.</w:t>
      </w:r>
    </w:p>
    <w:p w14:paraId="68356688" w14:textId="77777777" w:rsidR="00577019" w:rsidRDefault="00577019" w:rsidP="00577019">
      <w:pPr>
        <w:widowControl w:val="0"/>
        <w:autoSpaceDE w:val="0"/>
        <w:autoSpaceDN w:val="0"/>
        <w:ind w:left="120"/>
        <w:rPr>
          <w:rFonts w:ascii="Arial" w:eastAsia="Arial" w:hAnsi="Arial" w:cs="Arial"/>
        </w:rPr>
      </w:pPr>
    </w:p>
    <w:p w14:paraId="63DE3C5D" w14:textId="136015EA" w:rsidR="00577019" w:rsidRPr="00577019" w:rsidRDefault="00577019" w:rsidP="00577019">
      <w:pPr>
        <w:widowControl w:val="0"/>
        <w:autoSpaceDE w:val="0"/>
        <w:autoSpaceDN w:val="0"/>
        <w:ind w:left="120"/>
        <w:rPr>
          <w:rFonts w:ascii="Arial" w:eastAsia="Arial" w:hAnsi="Arial" w:cs="Arial"/>
          <w:b/>
          <w:bCs/>
          <w:i/>
          <w:iCs/>
        </w:rPr>
      </w:pPr>
      <w:r w:rsidRPr="00577019">
        <w:rPr>
          <w:rFonts w:ascii="Arial" w:eastAsia="Arial" w:hAnsi="Arial" w:cs="Arial"/>
          <w:b/>
          <w:bCs/>
          <w:i/>
          <w:iCs/>
        </w:rPr>
        <w:t>Report on Compliance and Other Matters</w:t>
      </w:r>
    </w:p>
    <w:p w14:paraId="1298353E" w14:textId="2B3C65B1" w:rsidR="00577019" w:rsidRPr="00577019" w:rsidRDefault="00577019" w:rsidP="00577019">
      <w:pPr>
        <w:widowControl w:val="0"/>
        <w:autoSpaceDE w:val="0"/>
        <w:autoSpaceDN w:val="0"/>
        <w:ind w:left="120"/>
        <w:rPr>
          <w:rFonts w:ascii="Arial" w:eastAsia="Arial" w:hAnsi="Arial" w:cs="Arial"/>
        </w:rPr>
      </w:pPr>
      <w:r w:rsidRPr="00577019">
        <w:rPr>
          <w:rFonts w:ascii="Arial" w:eastAsia="Arial" w:hAnsi="Arial" w:cs="Arial"/>
        </w:rPr>
        <w:t>As part of obtaining reasonable assurance about whether System</w:t>
      </w:r>
      <w:r>
        <w:rPr>
          <w:rFonts w:ascii="Arial" w:eastAsia="Arial" w:hAnsi="Arial" w:cs="Arial"/>
        </w:rPr>
        <w:t>’</w:t>
      </w:r>
      <w:r w:rsidRPr="00577019">
        <w:rPr>
          <w:rFonts w:ascii="Arial" w:eastAsia="Arial" w:hAnsi="Arial" w:cs="Arial"/>
        </w:rPr>
        <w:t>s financial statements are free from</w:t>
      </w:r>
      <w:r>
        <w:rPr>
          <w:rFonts w:ascii="Arial" w:eastAsia="Arial" w:hAnsi="Arial" w:cs="Arial"/>
        </w:rPr>
        <w:t xml:space="preserve"> </w:t>
      </w:r>
      <w:r w:rsidRPr="00577019">
        <w:rPr>
          <w:rFonts w:ascii="Arial" w:eastAsia="Arial" w:hAnsi="Arial" w:cs="Arial"/>
        </w:rPr>
        <w:t>material misstatement, we performed tests of its compliance with certain provisions of laws, regulations,</w:t>
      </w:r>
      <w:r>
        <w:rPr>
          <w:rFonts w:ascii="Arial" w:eastAsia="Arial" w:hAnsi="Arial" w:cs="Arial"/>
        </w:rPr>
        <w:t xml:space="preserve"> </w:t>
      </w:r>
      <w:r w:rsidRPr="00577019">
        <w:rPr>
          <w:rFonts w:ascii="Arial" w:eastAsia="Arial" w:hAnsi="Arial" w:cs="Arial"/>
        </w:rPr>
        <w:t>contracts, and grant agreements, noncompliance with which could have a direct and material effect on</w:t>
      </w:r>
      <w:r>
        <w:rPr>
          <w:rFonts w:ascii="Arial" w:eastAsia="Arial" w:hAnsi="Arial" w:cs="Arial"/>
        </w:rPr>
        <w:t xml:space="preserve"> </w:t>
      </w:r>
      <w:r w:rsidRPr="00577019">
        <w:rPr>
          <w:rFonts w:ascii="Arial" w:eastAsia="Arial" w:hAnsi="Arial" w:cs="Arial"/>
        </w:rPr>
        <w:t>the financial statements. However, providing an opinion on compliance with those provisions was not</w:t>
      </w:r>
      <w:r>
        <w:rPr>
          <w:rFonts w:ascii="Arial" w:eastAsia="Arial" w:hAnsi="Arial" w:cs="Arial"/>
        </w:rPr>
        <w:t xml:space="preserve"> </w:t>
      </w:r>
      <w:proofErr w:type="gramStart"/>
      <w:r w:rsidRPr="00577019">
        <w:rPr>
          <w:rFonts w:ascii="Arial" w:eastAsia="Arial" w:hAnsi="Arial" w:cs="Arial"/>
        </w:rPr>
        <w:t>an</w:t>
      </w:r>
      <w:proofErr w:type="gramEnd"/>
      <w:r w:rsidRPr="00577019">
        <w:rPr>
          <w:rFonts w:ascii="Arial" w:eastAsia="Arial" w:hAnsi="Arial" w:cs="Arial"/>
        </w:rPr>
        <w:t xml:space="preserve"> objective of our audit, and accordingly, we do not express such an opinion. The results of our tests</w:t>
      </w:r>
      <w:r>
        <w:rPr>
          <w:rFonts w:ascii="Arial" w:eastAsia="Arial" w:hAnsi="Arial" w:cs="Arial"/>
        </w:rPr>
        <w:t xml:space="preserve"> </w:t>
      </w:r>
      <w:r w:rsidRPr="00577019">
        <w:rPr>
          <w:rFonts w:ascii="Arial" w:eastAsia="Arial" w:hAnsi="Arial" w:cs="Arial"/>
        </w:rPr>
        <w:t>disclosed no instances of noncompliance or other matters that are required to be reported under</w:t>
      </w:r>
      <w:r>
        <w:rPr>
          <w:rFonts w:ascii="Arial" w:eastAsia="Arial" w:hAnsi="Arial" w:cs="Arial"/>
        </w:rPr>
        <w:t xml:space="preserve"> </w:t>
      </w:r>
      <w:r w:rsidRPr="00577019">
        <w:rPr>
          <w:rFonts w:ascii="Arial" w:eastAsia="Arial" w:hAnsi="Arial" w:cs="Arial"/>
          <w:i/>
          <w:iCs/>
        </w:rPr>
        <w:t>Government Auditing Standards</w:t>
      </w:r>
      <w:r w:rsidRPr="00577019">
        <w:rPr>
          <w:rFonts w:ascii="Arial" w:eastAsia="Arial" w:hAnsi="Arial" w:cs="Arial"/>
        </w:rPr>
        <w:t>.</w:t>
      </w:r>
    </w:p>
    <w:p w14:paraId="3F0B91B4" w14:textId="77777777" w:rsidR="00577019" w:rsidRDefault="00577019" w:rsidP="00577019">
      <w:pPr>
        <w:widowControl w:val="0"/>
        <w:autoSpaceDE w:val="0"/>
        <w:autoSpaceDN w:val="0"/>
        <w:ind w:left="120"/>
        <w:rPr>
          <w:rFonts w:ascii="Arial" w:eastAsia="Arial" w:hAnsi="Arial" w:cs="Arial"/>
          <w:b/>
          <w:bCs/>
          <w:i/>
          <w:iCs/>
        </w:rPr>
      </w:pPr>
    </w:p>
    <w:p w14:paraId="743F5746" w14:textId="63AB55E8" w:rsidR="00577019" w:rsidRPr="00577019" w:rsidRDefault="00577019" w:rsidP="00577019">
      <w:pPr>
        <w:widowControl w:val="0"/>
        <w:autoSpaceDE w:val="0"/>
        <w:autoSpaceDN w:val="0"/>
        <w:ind w:left="120"/>
        <w:rPr>
          <w:rFonts w:ascii="Arial" w:eastAsia="Arial" w:hAnsi="Arial" w:cs="Arial"/>
          <w:b/>
          <w:bCs/>
          <w:i/>
          <w:iCs/>
        </w:rPr>
      </w:pPr>
      <w:r w:rsidRPr="00577019">
        <w:rPr>
          <w:rFonts w:ascii="Arial" w:eastAsia="Arial" w:hAnsi="Arial" w:cs="Arial"/>
          <w:b/>
          <w:bCs/>
          <w:i/>
          <w:iCs/>
        </w:rPr>
        <w:t>Purpose of This Report</w:t>
      </w:r>
    </w:p>
    <w:p w14:paraId="3D040AC5" w14:textId="77777777" w:rsidR="00577019" w:rsidRPr="00577019" w:rsidRDefault="00577019" w:rsidP="00577019">
      <w:pPr>
        <w:widowControl w:val="0"/>
        <w:autoSpaceDE w:val="0"/>
        <w:autoSpaceDN w:val="0"/>
        <w:ind w:left="120"/>
        <w:rPr>
          <w:rFonts w:ascii="Arial" w:eastAsia="Arial" w:hAnsi="Arial" w:cs="Arial"/>
        </w:rPr>
      </w:pPr>
      <w:r w:rsidRPr="00577019">
        <w:rPr>
          <w:rFonts w:ascii="Arial" w:eastAsia="Arial" w:hAnsi="Arial" w:cs="Arial"/>
        </w:rPr>
        <w:t xml:space="preserve">The purpose of this report </w:t>
      </w:r>
      <w:proofErr w:type="gramStart"/>
      <w:r w:rsidRPr="00577019">
        <w:rPr>
          <w:rFonts w:ascii="Arial" w:eastAsia="Arial" w:hAnsi="Arial" w:cs="Arial"/>
        </w:rPr>
        <w:t>is solely</w:t>
      </w:r>
      <w:proofErr w:type="gramEnd"/>
      <w:r w:rsidRPr="00577019">
        <w:rPr>
          <w:rFonts w:ascii="Arial" w:eastAsia="Arial" w:hAnsi="Arial" w:cs="Arial"/>
        </w:rPr>
        <w:t xml:space="preserve"> to describe the scope of our testing of internal control and</w:t>
      </w:r>
    </w:p>
    <w:p w14:paraId="5F1E0899" w14:textId="77777777" w:rsidR="00577019" w:rsidRPr="00577019" w:rsidRDefault="00577019" w:rsidP="00577019">
      <w:pPr>
        <w:widowControl w:val="0"/>
        <w:autoSpaceDE w:val="0"/>
        <w:autoSpaceDN w:val="0"/>
        <w:ind w:left="120"/>
        <w:rPr>
          <w:rFonts w:ascii="Arial" w:eastAsia="Arial" w:hAnsi="Arial" w:cs="Arial"/>
        </w:rPr>
      </w:pPr>
      <w:r w:rsidRPr="00577019">
        <w:rPr>
          <w:rFonts w:ascii="Arial" w:eastAsia="Arial" w:hAnsi="Arial" w:cs="Arial"/>
        </w:rPr>
        <w:t>compliance and the results of that testing, and not to provide an opinion on the effectiveness of the</w:t>
      </w:r>
    </w:p>
    <w:p w14:paraId="1E3CB80A" w14:textId="41F2F3F9" w:rsidR="00577019" w:rsidRPr="00577019" w:rsidRDefault="00577019" w:rsidP="00577019">
      <w:pPr>
        <w:widowControl w:val="0"/>
        <w:autoSpaceDE w:val="0"/>
        <w:autoSpaceDN w:val="0"/>
        <w:ind w:left="120"/>
        <w:rPr>
          <w:rFonts w:ascii="Arial" w:eastAsia="Arial" w:hAnsi="Arial" w:cs="Arial"/>
        </w:rPr>
      </w:pPr>
      <w:r w:rsidRPr="00577019">
        <w:rPr>
          <w:rFonts w:ascii="Arial" w:eastAsia="Arial" w:hAnsi="Arial" w:cs="Arial"/>
        </w:rPr>
        <w:t>entity</w:t>
      </w:r>
      <w:r>
        <w:rPr>
          <w:rFonts w:ascii="Arial" w:eastAsia="Arial" w:hAnsi="Arial" w:cs="Arial"/>
        </w:rPr>
        <w:t>’</w:t>
      </w:r>
      <w:r w:rsidRPr="00577019">
        <w:rPr>
          <w:rFonts w:ascii="Arial" w:eastAsia="Arial" w:hAnsi="Arial" w:cs="Arial"/>
        </w:rPr>
        <w:t xml:space="preserve">s internal control </w:t>
      </w:r>
      <w:proofErr w:type="gramStart"/>
      <w:r w:rsidRPr="00577019">
        <w:rPr>
          <w:rFonts w:ascii="Arial" w:eastAsia="Arial" w:hAnsi="Arial" w:cs="Arial"/>
        </w:rPr>
        <w:t>or on</w:t>
      </w:r>
      <w:proofErr w:type="gramEnd"/>
      <w:r w:rsidRPr="00577019">
        <w:rPr>
          <w:rFonts w:ascii="Arial" w:eastAsia="Arial" w:hAnsi="Arial" w:cs="Arial"/>
        </w:rPr>
        <w:t xml:space="preserve"> compliance. This report is an integral part of an audit performed in</w:t>
      </w:r>
    </w:p>
    <w:p w14:paraId="1A6D2509" w14:textId="097CCF09" w:rsidR="00577019" w:rsidRPr="00577019" w:rsidRDefault="00577019" w:rsidP="00577019">
      <w:pPr>
        <w:widowControl w:val="0"/>
        <w:autoSpaceDE w:val="0"/>
        <w:autoSpaceDN w:val="0"/>
        <w:ind w:left="120"/>
        <w:rPr>
          <w:rFonts w:ascii="Arial" w:eastAsia="Arial" w:hAnsi="Arial" w:cs="Arial"/>
        </w:rPr>
      </w:pPr>
      <w:r w:rsidRPr="00577019">
        <w:rPr>
          <w:rFonts w:ascii="Arial" w:eastAsia="Arial" w:hAnsi="Arial" w:cs="Arial"/>
        </w:rPr>
        <w:t xml:space="preserve">accordance with </w:t>
      </w:r>
      <w:r w:rsidRPr="00577019">
        <w:rPr>
          <w:rFonts w:ascii="Arial" w:eastAsia="Arial" w:hAnsi="Arial" w:cs="Arial"/>
          <w:i/>
          <w:iCs/>
        </w:rPr>
        <w:t>Government Auditing Standards</w:t>
      </w:r>
      <w:r w:rsidRPr="00577019">
        <w:rPr>
          <w:rFonts w:ascii="Arial" w:eastAsia="Arial" w:hAnsi="Arial" w:cs="Arial"/>
        </w:rPr>
        <w:t xml:space="preserve"> in considering the entity</w:t>
      </w:r>
      <w:r>
        <w:rPr>
          <w:rFonts w:ascii="Arial" w:eastAsia="Arial" w:hAnsi="Arial" w:cs="Arial"/>
        </w:rPr>
        <w:t>’</w:t>
      </w:r>
      <w:r w:rsidRPr="00577019">
        <w:rPr>
          <w:rFonts w:ascii="Arial" w:eastAsia="Arial" w:hAnsi="Arial" w:cs="Arial"/>
        </w:rPr>
        <w:t>s internal control and</w:t>
      </w:r>
    </w:p>
    <w:p w14:paraId="68329618" w14:textId="77777777" w:rsidR="00577019" w:rsidRPr="00577019" w:rsidRDefault="00577019" w:rsidP="00577019">
      <w:pPr>
        <w:widowControl w:val="0"/>
        <w:autoSpaceDE w:val="0"/>
        <w:autoSpaceDN w:val="0"/>
        <w:ind w:left="120"/>
        <w:rPr>
          <w:rFonts w:ascii="Arial" w:eastAsia="Arial" w:hAnsi="Arial" w:cs="Arial"/>
        </w:rPr>
      </w:pPr>
      <w:r w:rsidRPr="00577019">
        <w:rPr>
          <w:rFonts w:ascii="Arial" w:eastAsia="Arial" w:hAnsi="Arial" w:cs="Arial"/>
        </w:rPr>
        <w:t>compliance. Accordingly, this communication is not suitable for any other purpose.</w:t>
      </w:r>
    </w:p>
    <w:p w14:paraId="32605D7D" w14:textId="77777777" w:rsidR="00577019" w:rsidRDefault="00577019" w:rsidP="00577019">
      <w:pPr>
        <w:widowControl w:val="0"/>
        <w:autoSpaceDE w:val="0"/>
        <w:autoSpaceDN w:val="0"/>
        <w:ind w:left="120"/>
        <w:rPr>
          <w:rFonts w:ascii="Arial" w:eastAsia="Arial" w:hAnsi="Arial" w:cs="Arial"/>
        </w:rPr>
      </w:pPr>
    </w:p>
    <w:p w14:paraId="645A40F3" w14:textId="46CC7479" w:rsidR="00577019" w:rsidRDefault="00577019" w:rsidP="00577019">
      <w:pPr>
        <w:widowControl w:val="0"/>
        <w:autoSpaceDE w:val="0"/>
        <w:autoSpaceDN w:val="0"/>
        <w:ind w:left="120"/>
        <w:rPr>
          <w:rFonts w:ascii="Arial" w:eastAsia="Arial" w:hAnsi="Arial" w:cs="Arial"/>
        </w:rPr>
      </w:pPr>
      <w:r w:rsidRPr="00F15DE3">
        <w:rPr>
          <w:rFonts w:ascii="Arial" w:eastAsia="Arial" w:hAnsi="Arial" w:cs="Arial"/>
          <w:noProof/>
        </w:rPr>
        <w:drawing>
          <wp:inline distT="0" distB="0" distL="0" distR="0" wp14:anchorId="2C9D1648" wp14:editId="741603F6">
            <wp:extent cx="2590800" cy="361950"/>
            <wp:effectExtent l="0" t="0" r="0" b="0"/>
            <wp:docPr id="893293181" name="Picture 2" descr="CLA authorized 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3293181" name="Picture 2" descr="CLA authorized signature"/>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0800" cy="361950"/>
                    </a:xfrm>
                    <a:prstGeom prst="rect">
                      <a:avLst/>
                    </a:prstGeom>
                    <a:noFill/>
                    <a:ln>
                      <a:noFill/>
                    </a:ln>
                  </pic:spPr>
                </pic:pic>
              </a:graphicData>
            </a:graphic>
          </wp:inline>
        </w:drawing>
      </w:r>
    </w:p>
    <w:p w14:paraId="2C098CCE" w14:textId="77777777" w:rsidR="00577019" w:rsidRDefault="00577019" w:rsidP="00577019">
      <w:pPr>
        <w:widowControl w:val="0"/>
        <w:autoSpaceDE w:val="0"/>
        <w:autoSpaceDN w:val="0"/>
        <w:ind w:left="120"/>
        <w:rPr>
          <w:rFonts w:ascii="Arial" w:eastAsia="Arial" w:hAnsi="Arial" w:cs="Arial"/>
        </w:rPr>
      </w:pPr>
    </w:p>
    <w:p w14:paraId="77B51006" w14:textId="4716023B" w:rsidR="00577019" w:rsidRPr="00577019" w:rsidRDefault="00577019" w:rsidP="00577019">
      <w:pPr>
        <w:widowControl w:val="0"/>
        <w:autoSpaceDE w:val="0"/>
        <w:autoSpaceDN w:val="0"/>
        <w:ind w:left="120"/>
        <w:rPr>
          <w:rFonts w:ascii="Arial" w:eastAsia="Arial" w:hAnsi="Arial" w:cs="Arial"/>
          <w:b/>
          <w:bCs/>
        </w:rPr>
      </w:pPr>
      <w:r w:rsidRPr="00577019">
        <w:rPr>
          <w:rFonts w:ascii="Arial" w:eastAsia="Arial" w:hAnsi="Arial" w:cs="Arial"/>
          <w:b/>
          <w:bCs/>
        </w:rPr>
        <w:t>CliftonLarsonAllen LLP</w:t>
      </w:r>
    </w:p>
    <w:p w14:paraId="375958F4" w14:textId="77777777" w:rsidR="00577019" w:rsidRDefault="00577019" w:rsidP="00577019">
      <w:pPr>
        <w:widowControl w:val="0"/>
        <w:autoSpaceDE w:val="0"/>
        <w:autoSpaceDN w:val="0"/>
        <w:ind w:left="120"/>
        <w:rPr>
          <w:rFonts w:ascii="Arial" w:eastAsia="Arial" w:hAnsi="Arial" w:cs="Arial"/>
        </w:rPr>
      </w:pPr>
    </w:p>
    <w:p w14:paraId="7834B94D" w14:textId="35EF45E6" w:rsidR="00577019" w:rsidRPr="00577019" w:rsidRDefault="00577019" w:rsidP="00577019">
      <w:pPr>
        <w:widowControl w:val="0"/>
        <w:autoSpaceDE w:val="0"/>
        <w:autoSpaceDN w:val="0"/>
        <w:ind w:left="120"/>
        <w:rPr>
          <w:rFonts w:ascii="Arial" w:eastAsia="Arial" w:hAnsi="Arial" w:cs="Arial"/>
        </w:rPr>
      </w:pPr>
      <w:r w:rsidRPr="00577019">
        <w:rPr>
          <w:rFonts w:ascii="Arial" w:eastAsia="Arial" w:hAnsi="Arial" w:cs="Arial"/>
        </w:rPr>
        <w:t>Quincy, Massachusetts</w:t>
      </w:r>
    </w:p>
    <w:p w14:paraId="244E2ADE" w14:textId="19B5BA62" w:rsidR="00027572" w:rsidRPr="003766F2" w:rsidRDefault="00577019" w:rsidP="00577019">
      <w:pPr>
        <w:widowControl w:val="0"/>
        <w:autoSpaceDE w:val="0"/>
        <w:autoSpaceDN w:val="0"/>
        <w:ind w:left="120"/>
        <w:rPr>
          <w:rFonts w:ascii="Arial" w:eastAsia="Arial" w:hAnsi="Arial" w:cs="Arial"/>
        </w:rPr>
      </w:pPr>
      <w:r w:rsidRPr="00577019">
        <w:rPr>
          <w:rFonts w:ascii="Arial" w:eastAsia="Arial" w:hAnsi="Arial" w:cs="Arial"/>
        </w:rPr>
        <w:t>October 30, 2025</w:t>
      </w:r>
    </w:p>
    <w:sectPr w:rsidR="00027572" w:rsidRPr="003766F2" w:rsidSect="00577019">
      <w:headerReference w:type="default" r:id="rId62"/>
      <w:footerReference w:type="default" r:id="rId63"/>
      <w:pgSz w:w="12240" w:h="15840"/>
      <w:pgMar w:top="1440" w:right="1152" w:bottom="1440" w:left="1152"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A9C188" w14:textId="77777777" w:rsidR="00BC0D69" w:rsidRDefault="00BC0D69">
      <w:r>
        <w:separator/>
      </w:r>
    </w:p>
  </w:endnote>
  <w:endnote w:type="continuationSeparator" w:id="0">
    <w:p w14:paraId="68B95CB3" w14:textId="77777777" w:rsidR="00BC0D69" w:rsidRDefault="00BC0D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1D66D" w14:textId="77777777" w:rsidR="00BC0D69" w:rsidRPr="00176957" w:rsidRDefault="00BC0D69" w:rsidP="0070537E">
    <w:pPr>
      <w:pStyle w:val="Footer"/>
      <w:jc w:val="right"/>
      <w:rPr>
        <w:rFonts w:ascii="Calibri" w:hAnsi="Calibri"/>
        <w:sz w:val="2"/>
      </w:rPr>
    </w:pPr>
  </w:p>
  <w:p w14:paraId="6B2BEB56" w14:textId="77777777" w:rsidR="00BC0D69" w:rsidRPr="00C233B6" w:rsidRDefault="00BC0D69" w:rsidP="0070537E">
    <w:pPr>
      <w:pStyle w:val="Heading7"/>
      <w:pBdr>
        <w:top w:val="none" w:sz="0" w:space="0" w:color="auto"/>
      </w:pBdr>
    </w:pPr>
    <w:r w:rsidRPr="00C233B6">
      <w:t>|</w:t>
    </w:r>
    <w:r>
      <w:t xml:space="preserve"> </w:t>
    </w:r>
    <w:r w:rsidRPr="00C233B6">
      <w:fldChar w:fldCharType="begin"/>
    </w:r>
    <w:r w:rsidRPr="00C233B6">
      <w:instrText xml:space="preserve"> PAGE   \* MERGEFORMAT </w:instrText>
    </w:r>
    <w:r w:rsidRPr="00C233B6">
      <w:fldChar w:fldCharType="separate"/>
    </w:r>
    <w:r>
      <w:rPr>
        <w:noProof/>
      </w:rPr>
      <w:t>2</w:t>
    </w:r>
    <w:r w:rsidRPr="00C233B6">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8DC23" w14:textId="77777777" w:rsidR="00BC0D69" w:rsidRPr="00176957" w:rsidRDefault="00BC0D69" w:rsidP="00BD375F">
    <w:pPr>
      <w:pStyle w:val="Footer"/>
      <w:jc w:val="right"/>
      <w:rPr>
        <w:rFonts w:ascii="Calibri" w:hAnsi="Calibri"/>
        <w:sz w:val="2"/>
      </w:rPr>
    </w:pPr>
  </w:p>
  <w:p w14:paraId="248AEB94" w14:textId="2B464190" w:rsidR="00BC0D69" w:rsidRPr="00D1200D" w:rsidRDefault="00BC0D69" w:rsidP="003C277A">
    <w:pPr>
      <w:pStyle w:val="Heading7"/>
      <w:pBdr>
        <w:top w:val="single" w:sz="8" w:space="1" w:color="000000" w:themeColor="text1"/>
      </w:pBdr>
      <w:tabs>
        <w:tab w:val="clear" w:pos="4262"/>
        <w:tab w:val="clear" w:pos="5220"/>
        <w:tab w:val="clear" w:pos="6691"/>
        <w:tab w:val="clear" w:pos="7621"/>
        <w:tab w:val="clear" w:pos="9630"/>
        <w:tab w:val="right" w:pos="9900"/>
      </w:tabs>
      <w:jc w:val="left"/>
      <w:rPr>
        <w:rFonts w:asciiTheme="minorHAnsi" w:hAnsiTheme="minorHAnsi" w:cstheme="minorHAnsi"/>
        <w:sz w:val="20"/>
      </w:rPr>
    </w:pPr>
    <w:r w:rsidRPr="00D1200D">
      <w:rPr>
        <w:rFonts w:asciiTheme="minorHAnsi" w:hAnsiTheme="minorHAnsi" w:cstheme="minorHAnsi"/>
        <w:sz w:val="20"/>
      </w:rPr>
      <w:t>UNIVERSITY OF MAINE SYSTEM ANNUAL FINANCIAL REPORT 202</w:t>
    </w:r>
    <w:r>
      <w:rPr>
        <w:rFonts w:asciiTheme="minorHAnsi" w:hAnsiTheme="minorHAnsi" w:cstheme="minorHAnsi"/>
        <w:sz w:val="20"/>
      </w:rPr>
      <w:t>5</w:t>
    </w:r>
    <w:r w:rsidRPr="00D1200D">
      <w:rPr>
        <w:rFonts w:asciiTheme="minorHAnsi" w:hAnsiTheme="minorHAnsi" w:cstheme="minorHAnsi"/>
        <w:sz w:val="20"/>
      </w:rPr>
      <w:tab/>
      <w:t xml:space="preserve">| </w:t>
    </w:r>
    <w:r w:rsidRPr="00D1200D">
      <w:rPr>
        <w:rFonts w:asciiTheme="minorHAnsi" w:hAnsiTheme="minorHAnsi" w:cstheme="minorHAnsi"/>
        <w:sz w:val="20"/>
      </w:rPr>
      <w:fldChar w:fldCharType="begin"/>
    </w:r>
    <w:r w:rsidRPr="00D1200D">
      <w:rPr>
        <w:rFonts w:asciiTheme="minorHAnsi" w:hAnsiTheme="minorHAnsi" w:cstheme="minorHAnsi"/>
        <w:sz w:val="20"/>
      </w:rPr>
      <w:instrText xml:space="preserve"> PAGE   \* MERGEFORMAT </w:instrText>
    </w:r>
    <w:r w:rsidRPr="00D1200D">
      <w:rPr>
        <w:rFonts w:asciiTheme="minorHAnsi" w:hAnsiTheme="minorHAnsi" w:cstheme="minorHAnsi"/>
        <w:sz w:val="20"/>
      </w:rPr>
      <w:fldChar w:fldCharType="separate"/>
    </w:r>
    <w:r>
      <w:rPr>
        <w:rFonts w:asciiTheme="minorHAnsi" w:hAnsiTheme="minorHAnsi" w:cstheme="minorHAnsi"/>
        <w:noProof/>
        <w:sz w:val="20"/>
      </w:rPr>
      <w:t>16</w:t>
    </w:r>
    <w:r w:rsidRPr="00D1200D">
      <w:rPr>
        <w:rFonts w:asciiTheme="minorHAnsi" w:hAnsiTheme="minorHAnsi" w:cstheme="minorHAnsi"/>
        <w:noProof/>
        <w:sz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05503" w14:textId="77777777" w:rsidR="00BC0D69" w:rsidRPr="00176957" w:rsidRDefault="00BC0D69" w:rsidP="00BD375F">
    <w:pPr>
      <w:pStyle w:val="Footer"/>
      <w:jc w:val="right"/>
      <w:rPr>
        <w:rFonts w:ascii="Calibri" w:hAnsi="Calibri"/>
        <w:sz w:val="2"/>
      </w:rPr>
    </w:pPr>
    <w:r>
      <w:rPr>
        <w:rFonts w:ascii="Calibri" w:hAnsi="Calibri"/>
        <w:sz w:val="2"/>
      </w:rPr>
      <w:t xml:space="preserve"> </w:t>
    </w:r>
  </w:p>
  <w:p w14:paraId="1C6A186E" w14:textId="77777777" w:rsidR="00BC0D69" w:rsidRPr="00B93C25" w:rsidRDefault="00BC0D69" w:rsidP="00D1200D">
    <w:pPr>
      <w:pStyle w:val="Heading7"/>
      <w:pBdr>
        <w:top w:val="single" w:sz="8" w:space="1" w:color="000000" w:themeColor="text1"/>
      </w:pBdr>
      <w:tabs>
        <w:tab w:val="clear" w:pos="4262"/>
        <w:tab w:val="clear" w:pos="5220"/>
        <w:tab w:val="clear" w:pos="6691"/>
        <w:tab w:val="clear" w:pos="7621"/>
        <w:tab w:val="clear" w:pos="9630"/>
        <w:tab w:val="right" w:pos="13500"/>
      </w:tabs>
      <w:ind w:right="-54"/>
      <w:jc w:val="both"/>
      <w:rPr>
        <w:rFonts w:asciiTheme="minorHAnsi" w:hAnsiTheme="minorHAnsi" w:cstheme="minorHAnsi"/>
        <w:sz w:val="20"/>
      </w:rPr>
    </w:pPr>
    <w:r w:rsidRPr="00B93C25">
      <w:rPr>
        <w:rFonts w:asciiTheme="minorHAnsi" w:hAnsiTheme="minorHAnsi" w:cstheme="minorHAnsi"/>
        <w:sz w:val="20"/>
      </w:rPr>
      <w:t>UNIVERSITY OF MAINE SYSTEM ANNUAL FINANCIAL REPORT 202</w:t>
    </w:r>
    <w:r>
      <w:rPr>
        <w:rFonts w:asciiTheme="minorHAnsi" w:hAnsiTheme="minorHAnsi" w:cstheme="minorHAnsi"/>
        <w:sz w:val="20"/>
      </w:rPr>
      <w:t>5</w:t>
    </w:r>
    <w:r w:rsidRPr="00B93C25">
      <w:rPr>
        <w:rFonts w:asciiTheme="minorHAnsi" w:hAnsiTheme="minorHAnsi" w:cstheme="minorHAnsi"/>
        <w:sz w:val="20"/>
      </w:rPr>
      <w:tab/>
      <w:t xml:space="preserve">| </w:t>
    </w:r>
    <w:r w:rsidRPr="00B93C25">
      <w:rPr>
        <w:rFonts w:asciiTheme="minorHAnsi" w:hAnsiTheme="minorHAnsi" w:cstheme="minorHAnsi"/>
        <w:sz w:val="20"/>
      </w:rPr>
      <w:fldChar w:fldCharType="begin"/>
    </w:r>
    <w:r w:rsidRPr="00B93C25">
      <w:rPr>
        <w:rFonts w:asciiTheme="minorHAnsi" w:hAnsiTheme="minorHAnsi" w:cstheme="minorHAnsi"/>
        <w:sz w:val="20"/>
      </w:rPr>
      <w:instrText xml:space="preserve"> PAGE   \* MERGEFORMAT </w:instrText>
    </w:r>
    <w:r w:rsidRPr="00B93C25">
      <w:rPr>
        <w:rFonts w:asciiTheme="minorHAnsi" w:hAnsiTheme="minorHAnsi" w:cstheme="minorHAnsi"/>
        <w:sz w:val="20"/>
      </w:rPr>
      <w:fldChar w:fldCharType="separate"/>
    </w:r>
    <w:r>
      <w:rPr>
        <w:rFonts w:asciiTheme="minorHAnsi" w:hAnsiTheme="minorHAnsi" w:cstheme="minorHAnsi"/>
        <w:noProof/>
        <w:sz w:val="20"/>
      </w:rPr>
      <w:t>52</w:t>
    </w:r>
    <w:r w:rsidRPr="00B93C25">
      <w:rPr>
        <w:rFonts w:asciiTheme="minorHAnsi" w:hAnsiTheme="minorHAnsi" w:cstheme="minorHAnsi"/>
        <w:noProof/>
        <w:sz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65EA1" w14:textId="77777777" w:rsidR="00BC0D69" w:rsidRPr="00B93C25" w:rsidRDefault="00BC0D69" w:rsidP="00D1200D">
    <w:pPr>
      <w:pStyle w:val="Heading7"/>
      <w:pBdr>
        <w:top w:val="single" w:sz="8" w:space="1" w:color="000000" w:themeColor="text1"/>
      </w:pBdr>
      <w:tabs>
        <w:tab w:val="clear" w:pos="720"/>
        <w:tab w:val="clear" w:pos="1440"/>
        <w:tab w:val="clear" w:pos="4262"/>
        <w:tab w:val="clear" w:pos="5220"/>
        <w:tab w:val="clear" w:pos="6691"/>
        <w:tab w:val="clear" w:pos="7621"/>
        <w:tab w:val="clear" w:pos="9630"/>
        <w:tab w:val="left" w:pos="0"/>
        <w:tab w:val="right" w:pos="9900"/>
        <w:tab w:val="left" w:pos="12960"/>
      </w:tabs>
      <w:ind w:left="0" w:firstLine="0"/>
      <w:jc w:val="left"/>
      <w:rPr>
        <w:rFonts w:asciiTheme="minorHAnsi" w:hAnsiTheme="minorHAnsi" w:cstheme="minorHAnsi"/>
        <w:sz w:val="20"/>
      </w:rPr>
    </w:pPr>
    <w:r w:rsidRPr="00B93C25">
      <w:rPr>
        <w:rFonts w:asciiTheme="minorHAnsi" w:hAnsiTheme="minorHAnsi" w:cstheme="minorHAnsi"/>
        <w:sz w:val="20"/>
      </w:rPr>
      <w:t>UNIVERSITY OF MAINE SYSTEM ANNUAL FINANCIAL REPORT 202</w:t>
    </w:r>
    <w:r>
      <w:rPr>
        <w:rFonts w:asciiTheme="minorHAnsi" w:hAnsiTheme="minorHAnsi" w:cstheme="minorHAnsi"/>
        <w:sz w:val="20"/>
      </w:rPr>
      <w:t>5</w:t>
    </w:r>
    <w:r w:rsidRPr="00B93C25">
      <w:rPr>
        <w:rFonts w:asciiTheme="minorHAnsi" w:hAnsiTheme="minorHAnsi" w:cstheme="minorHAnsi"/>
        <w:sz w:val="20"/>
      </w:rPr>
      <w:tab/>
      <w:t xml:space="preserve">| </w:t>
    </w:r>
    <w:r w:rsidRPr="00B93C25">
      <w:rPr>
        <w:rFonts w:asciiTheme="minorHAnsi" w:hAnsiTheme="minorHAnsi" w:cstheme="minorHAnsi"/>
        <w:sz w:val="20"/>
      </w:rPr>
      <w:fldChar w:fldCharType="begin"/>
    </w:r>
    <w:r w:rsidRPr="00B93C25">
      <w:rPr>
        <w:rFonts w:asciiTheme="minorHAnsi" w:hAnsiTheme="minorHAnsi" w:cstheme="minorHAnsi"/>
        <w:sz w:val="20"/>
      </w:rPr>
      <w:instrText xml:space="preserve"> PAGE   \* MERGEFORMAT </w:instrText>
    </w:r>
    <w:r w:rsidRPr="00B93C25">
      <w:rPr>
        <w:rFonts w:asciiTheme="minorHAnsi" w:hAnsiTheme="minorHAnsi" w:cstheme="minorHAnsi"/>
        <w:sz w:val="20"/>
      </w:rPr>
      <w:fldChar w:fldCharType="separate"/>
    </w:r>
    <w:r>
      <w:rPr>
        <w:rFonts w:asciiTheme="minorHAnsi" w:hAnsiTheme="minorHAnsi" w:cstheme="minorHAnsi"/>
        <w:noProof/>
        <w:sz w:val="20"/>
      </w:rPr>
      <w:t>20</w:t>
    </w:r>
    <w:r w:rsidRPr="00B93C25">
      <w:rPr>
        <w:rFonts w:asciiTheme="minorHAnsi" w:hAnsiTheme="minorHAnsi" w:cstheme="minorHAnsi"/>
        <w:noProof/>
        <w:sz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1581E" w14:textId="77777777" w:rsidR="00BC0D69" w:rsidRPr="00B93C25" w:rsidRDefault="00BC0D69" w:rsidP="005D3747">
    <w:pPr>
      <w:pStyle w:val="Heading7"/>
      <w:pBdr>
        <w:top w:val="single" w:sz="8" w:space="1" w:color="000000" w:themeColor="text1"/>
      </w:pBdr>
      <w:tabs>
        <w:tab w:val="clear" w:pos="720"/>
        <w:tab w:val="clear" w:pos="1440"/>
        <w:tab w:val="clear" w:pos="4262"/>
        <w:tab w:val="clear" w:pos="5220"/>
        <w:tab w:val="clear" w:pos="6691"/>
        <w:tab w:val="clear" w:pos="7621"/>
        <w:tab w:val="clear" w:pos="9630"/>
        <w:tab w:val="left" w:pos="0"/>
        <w:tab w:val="left" w:pos="13050"/>
      </w:tabs>
      <w:ind w:left="0" w:right="36" w:firstLine="0"/>
      <w:jc w:val="left"/>
      <w:rPr>
        <w:rFonts w:asciiTheme="minorHAnsi" w:hAnsiTheme="minorHAnsi" w:cstheme="minorHAnsi"/>
        <w:sz w:val="20"/>
      </w:rPr>
    </w:pPr>
    <w:r w:rsidRPr="00B93C25">
      <w:rPr>
        <w:rFonts w:asciiTheme="minorHAnsi" w:hAnsiTheme="minorHAnsi" w:cstheme="minorHAnsi"/>
        <w:sz w:val="20"/>
      </w:rPr>
      <w:t>UNIVERSITY OF MAINE SYSTEM ANNUAL FINANCIAL REPORT 202</w:t>
    </w:r>
    <w:r>
      <w:rPr>
        <w:rFonts w:asciiTheme="minorHAnsi" w:hAnsiTheme="minorHAnsi" w:cstheme="minorHAnsi"/>
        <w:sz w:val="20"/>
      </w:rPr>
      <w:t>5</w:t>
    </w:r>
    <w:r w:rsidRPr="00B93C25">
      <w:rPr>
        <w:rFonts w:asciiTheme="minorHAnsi" w:hAnsiTheme="minorHAnsi" w:cstheme="minorHAnsi"/>
        <w:sz w:val="20"/>
      </w:rPr>
      <w:tab/>
      <w:t xml:space="preserve">| </w:t>
    </w:r>
    <w:r w:rsidRPr="00B93C25">
      <w:rPr>
        <w:rFonts w:asciiTheme="minorHAnsi" w:hAnsiTheme="minorHAnsi" w:cstheme="minorHAnsi"/>
        <w:sz w:val="20"/>
      </w:rPr>
      <w:fldChar w:fldCharType="begin"/>
    </w:r>
    <w:r w:rsidRPr="00B93C25">
      <w:rPr>
        <w:rFonts w:asciiTheme="minorHAnsi" w:hAnsiTheme="minorHAnsi" w:cstheme="minorHAnsi"/>
        <w:sz w:val="20"/>
      </w:rPr>
      <w:instrText xml:space="preserve"> PAGE   \* MERGEFORMAT </w:instrText>
    </w:r>
    <w:r w:rsidRPr="00B93C25">
      <w:rPr>
        <w:rFonts w:asciiTheme="minorHAnsi" w:hAnsiTheme="minorHAnsi" w:cstheme="minorHAnsi"/>
        <w:sz w:val="20"/>
      </w:rPr>
      <w:fldChar w:fldCharType="separate"/>
    </w:r>
    <w:r>
      <w:rPr>
        <w:rFonts w:asciiTheme="minorHAnsi" w:hAnsiTheme="minorHAnsi" w:cstheme="minorHAnsi"/>
        <w:noProof/>
        <w:sz w:val="20"/>
      </w:rPr>
      <w:t>59</w:t>
    </w:r>
    <w:r w:rsidRPr="00B93C25">
      <w:rPr>
        <w:rFonts w:asciiTheme="minorHAnsi" w:hAnsiTheme="minorHAnsi" w:cstheme="minorHAnsi"/>
        <w:noProof/>
        <w:sz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AD13B" w14:textId="77777777" w:rsidR="00BC0D69" w:rsidRPr="00B93C25" w:rsidRDefault="00BC0D69" w:rsidP="002E67BF">
    <w:pPr>
      <w:pStyle w:val="Heading7"/>
      <w:pBdr>
        <w:top w:val="single" w:sz="8" w:space="1" w:color="000000" w:themeColor="text1"/>
      </w:pBdr>
      <w:tabs>
        <w:tab w:val="clear" w:pos="720"/>
        <w:tab w:val="clear" w:pos="1440"/>
        <w:tab w:val="clear" w:pos="4262"/>
        <w:tab w:val="clear" w:pos="5220"/>
        <w:tab w:val="clear" w:pos="6691"/>
        <w:tab w:val="clear" w:pos="7621"/>
        <w:tab w:val="clear" w:pos="9630"/>
        <w:tab w:val="left" w:pos="0"/>
        <w:tab w:val="left" w:pos="9450"/>
      </w:tabs>
      <w:ind w:left="0" w:right="43" w:firstLine="0"/>
      <w:jc w:val="left"/>
      <w:rPr>
        <w:rFonts w:asciiTheme="minorHAnsi" w:hAnsiTheme="minorHAnsi" w:cstheme="minorHAnsi"/>
        <w:sz w:val="20"/>
      </w:rPr>
    </w:pPr>
    <w:r w:rsidRPr="00B93C25">
      <w:rPr>
        <w:rFonts w:asciiTheme="minorHAnsi" w:hAnsiTheme="minorHAnsi" w:cstheme="minorHAnsi"/>
        <w:sz w:val="20"/>
      </w:rPr>
      <w:t>UNIVERSITY OF MAINE SYSTEM ANNUAL FINANCIAL REPORT 202</w:t>
    </w:r>
    <w:r>
      <w:rPr>
        <w:rFonts w:asciiTheme="minorHAnsi" w:hAnsiTheme="minorHAnsi" w:cstheme="minorHAnsi"/>
        <w:sz w:val="20"/>
      </w:rPr>
      <w:t>5</w:t>
    </w:r>
    <w:r w:rsidRPr="00B93C25">
      <w:rPr>
        <w:rFonts w:asciiTheme="minorHAnsi" w:hAnsiTheme="minorHAnsi" w:cstheme="minorHAnsi"/>
        <w:sz w:val="20"/>
      </w:rPr>
      <w:tab/>
      <w:t xml:space="preserve">| </w:t>
    </w:r>
    <w:r w:rsidRPr="00B93C25">
      <w:rPr>
        <w:rFonts w:asciiTheme="minorHAnsi" w:hAnsiTheme="minorHAnsi" w:cstheme="minorHAnsi"/>
        <w:sz w:val="20"/>
      </w:rPr>
      <w:fldChar w:fldCharType="begin"/>
    </w:r>
    <w:r w:rsidRPr="00B93C25">
      <w:rPr>
        <w:rFonts w:asciiTheme="minorHAnsi" w:hAnsiTheme="minorHAnsi" w:cstheme="minorHAnsi"/>
        <w:sz w:val="20"/>
      </w:rPr>
      <w:instrText xml:space="preserve"> PAGE   \* MERGEFORMAT </w:instrText>
    </w:r>
    <w:r w:rsidRPr="00B93C25">
      <w:rPr>
        <w:rFonts w:asciiTheme="minorHAnsi" w:hAnsiTheme="minorHAnsi" w:cstheme="minorHAnsi"/>
        <w:sz w:val="20"/>
      </w:rPr>
      <w:fldChar w:fldCharType="separate"/>
    </w:r>
    <w:r>
      <w:rPr>
        <w:rFonts w:asciiTheme="minorHAnsi" w:hAnsiTheme="minorHAnsi" w:cstheme="minorHAnsi"/>
        <w:noProof/>
        <w:sz w:val="20"/>
      </w:rPr>
      <w:t>60</w:t>
    </w:r>
    <w:r w:rsidRPr="00B93C25">
      <w:rPr>
        <w:rFonts w:asciiTheme="minorHAnsi" w:hAnsiTheme="minorHAnsi" w:cstheme="minorHAnsi"/>
        <w:noProof/>
        <w:sz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04E65" w14:textId="77777777" w:rsidR="00BC0D69" w:rsidRPr="00B93C25" w:rsidRDefault="00BC0D69" w:rsidP="004A1D63">
    <w:pPr>
      <w:pStyle w:val="Heading7"/>
      <w:pBdr>
        <w:top w:val="single" w:sz="8" w:space="1" w:color="000000" w:themeColor="text1"/>
      </w:pBdr>
      <w:tabs>
        <w:tab w:val="clear" w:pos="720"/>
        <w:tab w:val="clear" w:pos="1440"/>
        <w:tab w:val="clear" w:pos="4262"/>
        <w:tab w:val="clear" w:pos="5220"/>
        <w:tab w:val="clear" w:pos="6691"/>
        <w:tab w:val="clear" w:pos="7621"/>
        <w:tab w:val="clear" w:pos="9630"/>
        <w:tab w:val="left" w:pos="0"/>
        <w:tab w:val="left" w:pos="13050"/>
      </w:tabs>
      <w:ind w:left="0" w:right="43" w:firstLine="0"/>
      <w:jc w:val="left"/>
      <w:rPr>
        <w:rFonts w:asciiTheme="minorHAnsi" w:hAnsiTheme="minorHAnsi" w:cstheme="minorHAnsi"/>
        <w:sz w:val="20"/>
      </w:rPr>
    </w:pPr>
    <w:r w:rsidRPr="00B93C25">
      <w:rPr>
        <w:rFonts w:asciiTheme="minorHAnsi" w:hAnsiTheme="minorHAnsi" w:cstheme="minorHAnsi"/>
        <w:sz w:val="20"/>
      </w:rPr>
      <w:t xml:space="preserve">UNIVERSITY OF MAINE SYSTEM ANNUAL FINANCIAL </w:t>
    </w:r>
    <w:r>
      <w:rPr>
        <w:rFonts w:asciiTheme="minorHAnsi" w:hAnsiTheme="minorHAnsi" w:cstheme="minorHAnsi"/>
        <w:sz w:val="20"/>
      </w:rPr>
      <w:t>REPORT 2025</w:t>
    </w:r>
    <w:r w:rsidRPr="00B93C25">
      <w:rPr>
        <w:rFonts w:asciiTheme="minorHAnsi" w:hAnsiTheme="minorHAnsi" w:cstheme="minorHAnsi"/>
        <w:sz w:val="20"/>
      </w:rPr>
      <w:tab/>
      <w:t xml:space="preserve">| </w:t>
    </w:r>
    <w:r w:rsidRPr="00B93C25">
      <w:rPr>
        <w:rFonts w:asciiTheme="minorHAnsi" w:hAnsiTheme="minorHAnsi" w:cstheme="minorHAnsi"/>
        <w:sz w:val="20"/>
      </w:rPr>
      <w:fldChar w:fldCharType="begin"/>
    </w:r>
    <w:r w:rsidRPr="00B93C25">
      <w:rPr>
        <w:rFonts w:asciiTheme="minorHAnsi" w:hAnsiTheme="minorHAnsi" w:cstheme="minorHAnsi"/>
        <w:sz w:val="20"/>
      </w:rPr>
      <w:instrText xml:space="preserve"> PAGE   \* MERGEFORMAT </w:instrText>
    </w:r>
    <w:r w:rsidRPr="00B93C25">
      <w:rPr>
        <w:rFonts w:asciiTheme="minorHAnsi" w:hAnsiTheme="minorHAnsi" w:cstheme="minorHAnsi"/>
        <w:sz w:val="20"/>
      </w:rPr>
      <w:fldChar w:fldCharType="separate"/>
    </w:r>
    <w:r>
      <w:rPr>
        <w:rFonts w:asciiTheme="minorHAnsi" w:hAnsiTheme="minorHAnsi" w:cstheme="minorHAnsi"/>
        <w:noProof/>
        <w:sz w:val="20"/>
      </w:rPr>
      <w:t>61</w:t>
    </w:r>
    <w:r w:rsidRPr="00B93C25">
      <w:rPr>
        <w:rFonts w:asciiTheme="minorHAnsi" w:hAnsiTheme="minorHAnsi" w:cstheme="minorHAnsi"/>
        <w:noProof/>
        <w:sz w:val="2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73924" w14:textId="77777777" w:rsidR="00BC0D69" w:rsidRPr="00B93C25" w:rsidRDefault="00BC0D69" w:rsidP="004A1D63">
    <w:pPr>
      <w:pStyle w:val="Heading7"/>
      <w:pBdr>
        <w:top w:val="single" w:sz="8" w:space="1" w:color="000000" w:themeColor="text1"/>
      </w:pBdr>
      <w:tabs>
        <w:tab w:val="clear" w:pos="720"/>
        <w:tab w:val="clear" w:pos="1440"/>
        <w:tab w:val="clear" w:pos="4262"/>
        <w:tab w:val="clear" w:pos="5220"/>
        <w:tab w:val="clear" w:pos="6691"/>
        <w:tab w:val="clear" w:pos="7621"/>
        <w:tab w:val="clear" w:pos="9630"/>
        <w:tab w:val="left" w:pos="0"/>
        <w:tab w:val="left" w:pos="9450"/>
        <w:tab w:val="left" w:pos="13050"/>
      </w:tabs>
      <w:ind w:left="0" w:right="43" w:firstLine="0"/>
      <w:jc w:val="left"/>
      <w:rPr>
        <w:rFonts w:asciiTheme="minorHAnsi" w:hAnsiTheme="minorHAnsi" w:cstheme="minorHAnsi"/>
        <w:sz w:val="20"/>
      </w:rPr>
    </w:pPr>
    <w:r w:rsidRPr="00B93C25">
      <w:rPr>
        <w:rFonts w:asciiTheme="minorHAnsi" w:hAnsiTheme="minorHAnsi" w:cstheme="minorHAnsi"/>
        <w:sz w:val="20"/>
      </w:rPr>
      <w:t>UNIVERSITY OF MAINE SYSTEM ANNUAL FINANCIAL REPORT 2024</w:t>
    </w:r>
    <w:r w:rsidRPr="00B93C25">
      <w:rPr>
        <w:rFonts w:asciiTheme="minorHAnsi" w:hAnsiTheme="minorHAnsi" w:cstheme="minorHAnsi"/>
        <w:sz w:val="20"/>
      </w:rPr>
      <w:tab/>
      <w:t xml:space="preserve">| </w:t>
    </w:r>
    <w:r w:rsidRPr="00B93C25">
      <w:rPr>
        <w:rFonts w:asciiTheme="minorHAnsi" w:hAnsiTheme="minorHAnsi" w:cstheme="minorHAnsi"/>
        <w:sz w:val="20"/>
      </w:rPr>
      <w:fldChar w:fldCharType="begin"/>
    </w:r>
    <w:r w:rsidRPr="00B93C25">
      <w:rPr>
        <w:rFonts w:asciiTheme="minorHAnsi" w:hAnsiTheme="minorHAnsi" w:cstheme="minorHAnsi"/>
        <w:sz w:val="20"/>
      </w:rPr>
      <w:instrText xml:space="preserve"> PAGE   \* MERGEFORMAT </w:instrText>
    </w:r>
    <w:r w:rsidRPr="00B93C25">
      <w:rPr>
        <w:rFonts w:asciiTheme="minorHAnsi" w:hAnsiTheme="minorHAnsi" w:cstheme="minorHAnsi"/>
        <w:sz w:val="20"/>
      </w:rPr>
      <w:fldChar w:fldCharType="separate"/>
    </w:r>
    <w:r>
      <w:rPr>
        <w:rFonts w:asciiTheme="minorHAnsi" w:hAnsiTheme="minorHAnsi" w:cstheme="minorHAnsi"/>
        <w:noProof/>
        <w:sz w:val="20"/>
      </w:rPr>
      <w:t>63</w:t>
    </w:r>
    <w:r w:rsidRPr="00B93C25">
      <w:rPr>
        <w:rFonts w:asciiTheme="minorHAnsi" w:hAnsiTheme="minorHAnsi" w:cstheme="minorHAnsi"/>
        <w:noProof/>
        <w:sz w:val="2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D1C42" w14:textId="77777777" w:rsidR="00BC0D69" w:rsidRPr="00B93C25" w:rsidRDefault="00BC0D69" w:rsidP="004A1D63">
    <w:pPr>
      <w:pStyle w:val="Heading7"/>
      <w:pBdr>
        <w:top w:val="single" w:sz="8" w:space="1" w:color="000000" w:themeColor="text1"/>
      </w:pBdr>
      <w:tabs>
        <w:tab w:val="clear" w:pos="720"/>
        <w:tab w:val="clear" w:pos="1440"/>
        <w:tab w:val="clear" w:pos="4262"/>
        <w:tab w:val="clear" w:pos="5220"/>
        <w:tab w:val="clear" w:pos="6691"/>
        <w:tab w:val="clear" w:pos="7621"/>
        <w:tab w:val="clear" w:pos="9630"/>
        <w:tab w:val="left" w:pos="0"/>
        <w:tab w:val="left" w:pos="13050"/>
      </w:tabs>
      <w:ind w:left="0" w:right="43" w:firstLine="0"/>
      <w:jc w:val="left"/>
      <w:rPr>
        <w:rFonts w:asciiTheme="minorHAnsi" w:hAnsiTheme="minorHAnsi" w:cstheme="minorHAnsi"/>
        <w:sz w:val="20"/>
      </w:rPr>
    </w:pPr>
    <w:r w:rsidRPr="00B93C25">
      <w:rPr>
        <w:rFonts w:asciiTheme="minorHAnsi" w:hAnsiTheme="minorHAnsi" w:cstheme="minorHAnsi"/>
        <w:sz w:val="20"/>
      </w:rPr>
      <w:t>UNIVERSITY OF MAINE SYSTEM ANNUAL FINANCIAL REPORT 2024</w:t>
    </w:r>
    <w:r w:rsidRPr="00B93C25">
      <w:rPr>
        <w:rFonts w:asciiTheme="minorHAnsi" w:hAnsiTheme="minorHAnsi" w:cstheme="minorHAnsi"/>
        <w:sz w:val="20"/>
      </w:rPr>
      <w:tab/>
      <w:t xml:space="preserve">| </w:t>
    </w:r>
    <w:r w:rsidRPr="00B93C25">
      <w:rPr>
        <w:rFonts w:asciiTheme="minorHAnsi" w:hAnsiTheme="minorHAnsi" w:cstheme="minorHAnsi"/>
        <w:sz w:val="20"/>
      </w:rPr>
      <w:fldChar w:fldCharType="begin"/>
    </w:r>
    <w:r w:rsidRPr="00B93C25">
      <w:rPr>
        <w:rFonts w:asciiTheme="minorHAnsi" w:hAnsiTheme="minorHAnsi" w:cstheme="minorHAnsi"/>
        <w:sz w:val="20"/>
      </w:rPr>
      <w:instrText xml:space="preserve"> PAGE   \* MERGEFORMAT </w:instrText>
    </w:r>
    <w:r w:rsidRPr="00B93C25">
      <w:rPr>
        <w:rFonts w:asciiTheme="minorHAnsi" w:hAnsiTheme="minorHAnsi" w:cstheme="minorHAnsi"/>
        <w:sz w:val="20"/>
      </w:rPr>
      <w:fldChar w:fldCharType="separate"/>
    </w:r>
    <w:r>
      <w:rPr>
        <w:rFonts w:asciiTheme="minorHAnsi" w:hAnsiTheme="minorHAnsi" w:cstheme="minorHAnsi"/>
        <w:noProof/>
        <w:sz w:val="20"/>
      </w:rPr>
      <w:t>64</w:t>
    </w:r>
    <w:r w:rsidRPr="00B93C25">
      <w:rPr>
        <w:rFonts w:asciiTheme="minorHAnsi" w:hAnsiTheme="minorHAnsi" w:cstheme="minorHAnsi"/>
        <w:noProof/>
        <w:sz w:val="2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18636" w14:textId="77777777" w:rsidR="00BC0D69" w:rsidRPr="00B93C25" w:rsidRDefault="00BC0D69" w:rsidP="004A1D63">
    <w:pPr>
      <w:pStyle w:val="Heading7"/>
      <w:pBdr>
        <w:top w:val="single" w:sz="8" w:space="1" w:color="000000" w:themeColor="text1"/>
      </w:pBdr>
      <w:tabs>
        <w:tab w:val="clear" w:pos="720"/>
        <w:tab w:val="clear" w:pos="1440"/>
        <w:tab w:val="clear" w:pos="4262"/>
        <w:tab w:val="clear" w:pos="5220"/>
        <w:tab w:val="clear" w:pos="6691"/>
        <w:tab w:val="clear" w:pos="7621"/>
        <w:tab w:val="clear" w:pos="9630"/>
        <w:tab w:val="left" w:pos="0"/>
        <w:tab w:val="left" w:pos="9360"/>
        <w:tab w:val="left" w:pos="13050"/>
      </w:tabs>
      <w:ind w:left="0" w:right="43" w:firstLine="0"/>
      <w:jc w:val="left"/>
      <w:rPr>
        <w:rFonts w:asciiTheme="minorHAnsi" w:hAnsiTheme="minorHAnsi" w:cstheme="minorHAnsi"/>
        <w:sz w:val="20"/>
      </w:rPr>
    </w:pPr>
    <w:r w:rsidRPr="00B93C25">
      <w:rPr>
        <w:rFonts w:asciiTheme="minorHAnsi" w:hAnsiTheme="minorHAnsi" w:cstheme="minorHAnsi"/>
        <w:sz w:val="20"/>
      </w:rPr>
      <w:t>UNIVERSITY OF MAINE SYSTEM ANNUAL FINANCIAL REPORT 2024</w:t>
    </w:r>
    <w:r w:rsidRPr="00B93C25">
      <w:rPr>
        <w:rFonts w:asciiTheme="minorHAnsi" w:hAnsiTheme="minorHAnsi" w:cstheme="minorHAnsi"/>
        <w:sz w:val="20"/>
      </w:rPr>
      <w:tab/>
      <w:t xml:space="preserve">| </w:t>
    </w:r>
    <w:r w:rsidRPr="00B93C25">
      <w:rPr>
        <w:rFonts w:asciiTheme="minorHAnsi" w:hAnsiTheme="minorHAnsi" w:cstheme="minorHAnsi"/>
        <w:sz w:val="20"/>
      </w:rPr>
      <w:fldChar w:fldCharType="begin"/>
    </w:r>
    <w:r w:rsidRPr="00B93C25">
      <w:rPr>
        <w:rFonts w:asciiTheme="minorHAnsi" w:hAnsiTheme="minorHAnsi" w:cstheme="minorHAnsi"/>
        <w:sz w:val="20"/>
      </w:rPr>
      <w:instrText xml:space="preserve"> PAGE   \* MERGEFORMAT </w:instrText>
    </w:r>
    <w:r w:rsidRPr="00B93C25">
      <w:rPr>
        <w:rFonts w:asciiTheme="minorHAnsi" w:hAnsiTheme="minorHAnsi" w:cstheme="minorHAnsi"/>
        <w:sz w:val="20"/>
      </w:rPr>
      <w:fldChar w:fldCharType="separate"/>
    </w:r>
    <w:r>
      <w:rPr>
        <w:rFonts w:asciiTheme="minorHAnsi" w:hAnsiTheme="minorHAnsi" w:cstheme="minorHAnsi"/>
        <w:noProof/>
        <w:sz w:val="20"/>
      </w:rPr>
      <w:t>66</w:t>
    </w:r>
    <w:r w:rsidRPr="00B93C25">
      <w:rPr>
        <w:rFonts w:asciiTheme="minorHAnsi" w:hAnsiTheme="minorHAnsi" w:cstheme="minorHAnsi"/>
        <w:noProof/>
        <w:sz w:val="20"/>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8920D" w14:textId="77777777" w:rsidR="00BC0D69" w:rsidRPr="00176957" w:rsidRDefault="00BC0D69" w:rsidP="003C277A">
    <w:pPr>
      <w:pStyle w:val="Footer"/>
      <w:tabs>
        <w:tab w:val="clear" w:pos="9360"/>
        <w:tab w:val="left" w:pos="9630"/>
      </w:tabs>
      <w:ind w:right="50"/>
      <w:jc w:val="right"/>
      <w:rPr>
        <w:rFonts w:ascii="Calibri" w:hAnsi="Calibri"/>
        <w:sz w:val="2"/>
      </w:rPr>
    </w:pPr>
  </w:p>
  <w:p w14:paraId="2637EEC4" w14:textId="77777777" w:rsidR="00BC0D69" w:rsidRPr="00B93C25" w:rsidRDefault="00BC0D69" w:rsidP="0061580A">
    <w:pPr>
      <w:pStyle w:val="Heading7"/>
      <w:pBdr>
        <w:top w:val="single" w:sz="8" w:space="1" w:color="000000" w:themeColor="text1"/>
      </w:pBdr>
      <w:tabs>
        <w:tab w:val="clear" w:pos="1440"/>
        <w:tab w:val="clear" w:pos="4262"/>
        <w:tab w:val="clear" w:pos="5220"/>
        <w:tab w:val="clear" w:pos="6691"/>
        <w:tab w:val="clear" w:pos="7621"/>
        <w:tab w:val="clear" w:pos="9630"/>
        <w:tab w:val="left" w:pos="9450"/>
        <w:tab w:val="left" w:pos="9540"/>
      </w:tabs>
      <w:ind w:left="0" w:firstLine="0"/>
      <w:jc w:val="left"/>
      <w:rPr>
        <w:rFonts w:asciiTheme="minorHAnsi" w:hAnsiTheme="minorHAnsi" w:cstheme="minorHAnsi"/>
        <w:sz w:val="20"/>
        <w:szCs w:val="18"/>
      </w:rPr>
    </w:pPr>
    <w:r w:rsidRPr="00B93C25">
      <w:rPr>
        <w:rFonts w:asciiTheme="minorHAnsi" w:hAnsiTheme="minorHAnsi" w:cstheme="minorHAnsi"/>
        <w:sz w:val="20"/>
        <w:szCs w:val="18"/>
      </w:rPr>
      <w:t xml:space="preserve">University </w:t>
    </w:r>
    <w:r>
      <w:rPr>
        <w:rFonts w:asciiTheme="minorHAnsi" w:hAnsiTheme="minorHAnsi" w:cstheme="minorHAnsi"/>
        <w:sz w:val="20"/>
        <w:szCs w:val="18"/>
      </w:rPr>
      <w:t>o</w:t>
    </w:r>
    <w:r w:rsidRPr="00B93C25">
      <w:rPr>
        <w:rFonts w:asciiTheme="minorHAnsi" w:hAnsiTheme="minorHAnsi" w:cstheme="minorHAnsi"/>
        <w:sz w:val="20"/>
        <w:szCs w:val="18"/>
      </w:rPr>
      <w:t>f Maine System Annual Financial Report 202</w:t>
    </w:r>
    <w:r>
      <w:rPr>
        <w:rFonts w:asciiTheme="minorHAnsi" w:hAnsiTheme="minorHAnsi" w:cstheme="minorHAnsi"/>
        <w:sz w:val="20"/>
        <w:szCs w:val="18"/>
      </w:rPr>
      <w:t>5</w:t>
    </w:r>
    <w:r w:rsidRPr="00B93C25">
      <w:rPr>
        <w:rFonts w:asciiTheme="minorHAnsi" w:hAnsiTheme="minorHAnsi" w:cstheme="minorHAnsi"/>
        <w:sz w:val="18"/>
        <w:szCs w:val="18"/>
      </w:rPr>
      <w:tab/>
    </w:r>
    <w:r w:rsidRPr="00B93C25">
      <w:rPr>
        <w:rFonts w:asciiTheme="minorHAnsi" w:hAnsiTheme="minorHAnsi" w:cstheme="minorHAnsi"/>
        <w:sz w:val="20"/>
        <w:szCs w:val="18"/>
      </w:rPr>
      <w:t xml:space="preserve">| </w:t>
    </w:r>
    <w:r w:rsidRPr="00B93C25">
      <w:rPr>
        <w:rFonts w:asciiTheme="minorHAnsi" w:hAnsiTheme="minorHAnsi" w:cstheme="minorHAnsi"/>
        <w:sz w:val="20"/>
        <w:szCs w:val="18"/>
      </w:rPr>
      <w:fldChar w:fldCharType="begin"/>
    </w:r>
    <w:r w:rsidRPr="00B93C25">
      <w:rPr>
        <w:rFonts w:asciiTheme="minorHAnsi" w:hAnsiTheme="minorHAnsi" w:cstheme="minorHAnsi"/>
        <w:sz w:val="20"/>
        <w:szCs w:val="18"/>
      </w:rPr>
      <w:instrText xml:space="preserve"> PAGE   \* MERGEFORMAT </w:instrText>
    </w:r>
    <w:r w:rsidRPr="00B93C25">
      <w:rPr>
        <w:rFonts w:asciiTheme="minorHAnsi" w:hAnsiTheme="minorHAnsi" w:cstheme="minorHAnsi"/>
        <w:sz w:val="20"/>
        <w:szCs w:val="18"/>
      </w:rPr>
      <w:fldChar w:fldCharType="separate"/>
    </w:r>
    <w:r>
      <w:rPr>
        <w:rFonts w:asciiTheme="minorHAnsi" w:hAnsiTheme="minorHAnsi" w:cstheme="minorHAnsi"/>
        <w:noProof/>
        <w:sz w:val="20"/>
        <w:szCs w:val="18"/>
      </w:rPr>
      <w:t>24</w:t>
    </w:r>
    <w:r w:rsidRPr="00B93C25">
      <w:rPr>
        <w:rFonts w:asciiTheme="minorHAnsi" w:hAnsiTheme="minorHAnsi" w:cstheme="minorHAnsi"/>
        <w:sz w:val="20"/>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E7C95" w14:textId="77777777" w:rsidR="00BC0D69" w:rsidRPr="00176957" w:rsidRDefault="00BC0D69" w:rsidP="0070537E">
    <w:pPr>
      <w:pStyle w:val="Footer"/>
      <w:jc w:val="right"/>
      <w:rPr>
        <w:rFonts w:ascii="Calibri" w:hAnsi="Calibri"/>
        <w:sz w:val="2"/>
      </w:rPr>
    </w:pPr>
  </w:p>
  <w:p w14:paraId="44EE54B8" w14:textId="6C0FA143" w:rsidR="00BC0D69" w:rsidRPr="00B93C25" w:rsidRDefault="00BC0D69" w:rsidP="00B93C25">
    <w:pPr>
      <w:pStyle w:val="Heading7"/>
      <w:pBdr>
        <w:top w:val="single" w:sz="8" w:space="1" w:color="000000" w:themeColor="text1"/>
      </w:pBdr>
      <w:tabs>
        <w:tab w:val="clear" w:pos="4262"/>
        <w:tab w:val="clear" w:pos="5220"/>
        <w:tab w:val="clear" w:pos="6691"/>
        <w:tab w:val="clear" w:pos="7621"/>
        <w:tab w:val="clear" w:pos="9630"/>
        <w:tab w:val="right" w:pos="9990"/>
      </w:tabs>
      <w:ind w:left="0" w:right="-90" w:firstLine="0"/>
      <w:jc w:val="both"/>
      <w:rPr>
        <w:rFonts w:asciiTheme="minorHAnsi" w:hAnsiTheme="minorHAnsi" w:cstheme="minorHAnsi"/>
        <w:sz w:val="20"/>
        <w:szCs w:val="18"/>
      </w:rPr>
    </w:pPr>
    <w:r w:rsidRPr="00B93C25">
      <w:rPr>
        <w:rFonts w:asciiTheme="minorHAnsi" w:hAnsiTheme="minorHAnsi" w:cstheme="minorHAnsi"/>
        <w:sz w:val="20"/>
        <w:szCs w:val="18"/>
      </w:rPr>
      <w:t xml:space="preserve">University </w:t>
    </w:r>
    <w:r>
      <w:rPr>
        <w:rFonts w:asciiTheme="minorHAnsi" w:hAnsiTheme="minorHAnsi" w:cstheme="minorHAnsi"/>
        <w:sz w:val="20"/>
        <w:szCs w:val="18"/>
      </w:rPr>
      <w:t>o</w:t>
    </w:r>
    <w:r w:rsidRPr="00B93C25">
      <w:rPr>
        <w:rFonts w:asciiTheme="minorHAnsi" w:hAnsiTheme="minorHAnsi" w:cstheme="minorHAnsi"/>
        <w:sz w:val="20"/>
        <w:szCs w:val="18"/>
      </w:rPr>
      <w:t>f Maine System Annual Financial Report 202</w:t>
    </w:r>
    <w:r>
      <w:rPr>
        <w:rFonts w:asciiTheme="minorHAnsi" w:hAnsiTheme="minorHAnsi" w:cstheme="minorHAnsi"/>
        <w:sz w:val="20"/>
        <w:szCs w:val="18"/>
      </w:rPr>
      <w:t>5</w:t>
    </w:r>
    <w:r w:rsidRPr="00B93C25">
      <w:rPr>
        <w:rFonts w:asciiTheme="minorHAnsi" w:hAnsiTheme="minorHAnsi" w:cstheme="minorHAnsi"/>
        <w:sz w:val="18"/>
        <w:szCs w:val="18"/>
      </w:rPr>
      <w:tab/>
    </w:r>
    <w:r w:rsidRPr="00B93C25">
      <w:rPr>
        <w:rFonts w:asciiTheme="minorHAnsi" w:hAnsiTheme="minorHAnsi" w:cstheme="minorHAnsi"/>
        <w:sz w:val="20"/>
        <w:szCs w:val="18"/>
      </w:rPr>
      <w:t xml:space="preserve">| </w:t>
    </w:r>
    <w:r w:rsidRPr="00B93C25">
      <w:rPr>
        <w:rFonts w:asciiTheme="minorHAnsi" w:hAnsiTheme="minorHAnsi" w:cstheme="minorHAnsi"/>
        <w:sz w:val="20"/>
        <w:szCs w:val="18"/>
      </w:rPr>
      <w:fldChar w:fldCharType="begin"/>
    </w:r>
    <w:r w:rsidRPr="00B93C25">
      <w:rPr>
        <w:rFonts w:asciiTheme="minorHAnsi" w:hAnsiTheme="minorHAnsi" w:cstheme="minorHAnsi"/>
        <w:sz w:val="20"/>
        <w:szCs w:val="18"/>
      </w:rPr>
      <w:instrText xml:space="preserve"> PAGE   \* MERGEFORMAT </w:instrText>
    </w:r>
    <w:r w:rsidRPr="00B93C25">
      <w:rPr>
        <w:rFonts w:asciiTheme="minorHAnsi" w:hAnsiTheme="minorHAnsi" w:cstheme="minorHAnsi"/>
        <w:sz w:val="20"/>
        <w:szCs w:val="18"/>
      </w:rPr>
      <w:fldChar w:fldCharType="separate"/>
    </w:r>
    <w:r>
      <w:rPr>
        <w:rFonts w:asciiTheme="minorHAnsi" w:hAnsiTheme="minorHAnsi" w:cstheme="minorHAnsi"/>
        <w:noProof/>
        <w:sz w:val="20"/>
        <w:szCs w:val="18"/>
      </w:rPr>
      <w:t>2</w:t>
    </w:r>
    <w:r w:rsidRPr="00B93C25">
      <w:rPr>
        <w:rFonts w:asciiTheme="minorHAnsi" w:hAnsiTheme="minorHAnsi" w:cstheme="minorHAnsi"/>
        <w:sz w:val="20"/>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03111" w14:textId="77777777" w:rsidR="00BC0D69" w:rsidRPr="00176957" w:rsidRDefault="00BC0D69" w:rsidP="0070537E">
    <w:pPr>
      <w:pStyle w:val="Footer"/>
      <w:jc w:val="right"/>
      <w:rPr>
        <w:rFonts w:ascii="Calibri" w:hAnsi="Calibri"/>
        <w:sz w:val="2"/>
      </w:rPr>
    </w:pPr>
  </w:p>
  <w:p w14:paraId="6B071EDC" w14:textId="4A7004CF" w:rsidR="00BC0D69" w:rsidRPr="00B93C25" w:rsidRDefault="00BC0D69" w:rsidP="00B93C25">
    <w:pPr>
      <w:pStyle w:val="Heading7"/>
      <w:pBdr>
        <w:top w:val="single" w:sz="8" w:space="1" w:color="000000" w:themeColor="text1"/>
      </w:pBdr>
      <w:tabs>
        <w:tab w:val="clear" w:pos="4262"/>
        <w:tab w:val="clear" w:pos="5220"/>
        <w:tab w:val="clear" w:pos="6691"/>
        <w:tab w:val="clear" w:pos="7621"/>
        <w:tab w:val="clear" w:pos="9630"/>
        <w:tab w:val="right" w:pos="9990"/>
      </w:tabs>
      <w:ind w:left="0" w:right="-90" w:firstLine="0"/>
      <w:jc w:val="both"/>
      <w:rPr>
        <w:rFonts w:asciiTheme="minorHAnsi" w:hAnsiTheme="minorHAnsi" w:cstheme="minorHAnsi"/>
        <w:sz w:val="20"/>
        <w:szCs w:val="18"/>
      </w:rPr>
    </w:pPr>
    <w:r w:rsidRPr="00B93C25">
      <w:rPr>
        <w:rFonts w:asciiTheme="minorHAnsi" w:hAnsiTheme="minorHAnsi" w:cstheme="minorHAnsi"/>
        <w:sz w:val="20"/>
        <w:szCs w:val="18"/>
      </w:rPr>
      <w:t xml:space="preserve">University </w:t>
    </w:r>
    <w:r>
      <w:rPr>
        <w:rFonts w:asciiTheme="minorHAnsi" w:hAnsiTheme="minorHAnsi" w:cstheme="minorHAnsi"/>
        <w:sz w:val="20"/>
        <w:szCs w:val="18"/>
      </w:rPr>
      <w:t>o</w:t>
    </w:r>
    <w:r w:rsidRPr="00B93C25">
      <w:rPr>
        <w:rFonts w:asciiTheme="minorHAnsi" w:hAnsiTheme="minorHAnsi" w:cstheme="minorHAnsi"/>
        <w:sz w:val="20"/>
        <w:szCs w:val="18"/>
      </w:rPr>
      <w:t>f Maine System Annual Financial Report 202</w:t>
    </w:r>
    <w:r>
      <w:rPr>
        <w:rFonts w:asciiTheme="minorHAnsi" w:hAnsiTheme="minorHAnsi" w:cstheme="minorHAnsi"/>
        <w:sz w:val="20"/>
        <w:szCs w:val="18"/>
      </w:rPr>
      <w:t>5</w:t>
    </w:r>
    <w:r w:rsidRPr="00B93C25">
      <w:rPr>
        <w:rFonts w:asciiTheme="minorHAnsi" w:hAnsiTheme="minorHAnsi" w:cstheme="minorHAnsi"/>
        <w:sz w:val="18"/>
        <w:szCs w:val="18"/>
      </w:rPr>
      <w:tab/>
    </w:r>
    <w:r w:rsidRPr="00B93C25">
      <w:rPr>
        <w:rFonts w:asciiTheme="minorHAnsi" w:hAnsiTheme="minorHAnsi" w:cstheme="minorHAnsi"/>
        <w:sz w:val="20"/>
        <w:szCs w:val="18"/>
      </w:rPr>
      <w:t xml:space="preserve">| </w:t>
    </w:r>
    <w:r w:rsidRPr="00B93C25">
      <w:rPr>
        <w:rFonts w:asciiTheme="minorHAnsi" w:hAnsiTheme="minorHAnsi" w:cstheme="minorHAnsi"/>
        <w:sz w:val="20"/>
        <w:szCs w:val="18"/>
      </w:rPr>
      <w:fldChar w:fldCharType="begin"/>
    </w:r>
    <w:r w:rsidRPr="00B93C25">
      <w:rPr>
        <w:rFonts w:asciiTheme="minorHAnsi" w:hAnsiTheme="minorHAnsi" w:cstheme="minorHAnsi"/>
        <w:sz w:val="20"/>
        <w:szCs w:val="18"/>
      </w:rPr>
      <w:instrText xml:space="preserve"> PAGE   \* MERGEFORMAT </w:instrText>
    </w:r>
    <w:r w:rsidRPr="00B93C25">
      <w:rPr>
        <w:rFonts w:asciiTheme="minorHAnsi" w:hAnsiTheme="minorHAnsi" w:cstheme="minorHAnsi"/>
        <w:sz w:val="20"/>
        <w:szCs w:val="18"/>
      </w:rPr>
      <w:fldChar w:fldCharType="separate"/>
    </w:r>
    <w:r>
      <w:rPr>
        <w:rFonts w:asciiTheme="minorHAnsi" w:hAnsiTheme="minorHAnsi" w:cstheme="minorHAnsi"/>
        <w:noProof/>
        <w:sz w:val="20"/>
        <w:szCs w:val="18"/>
      </w:rPr>
      <w:t>6</w:t>
    </w:r>
    <w:r w:rsidRPr="00B93C25">
      <w:rPr>
        <w:rFonts w:asciiTheme="minorHAnsi" w:hAnsiTheme="minorHAnsi" w:cstheme="minorHAnsi"/>
        <w:sz w:val="20"/>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46D66" w14:textId="4EC692B1" w:rsidR="00BC0D69" w:rsidRPr="00B93C25" w:rsidRDefault="00BC0D69" w:rsidP="00B93C25">
    <w:pPr>
      <w:pStyle w:val="Heading7"/>
      <w:pBdr>
        <w:top w:val="single" w:sz="8" w:space="1" w:color="000000" w:themeColor="text1"/>
      </w:pBdr>
      <w:tabs>
        <w:tab w:val="clear" w:pos="4262"/>
        <w:tab w:val="clear" w:pos="5220"/>
        <w:tab w:val="clear" w:pos="6691"/>
        <w:tab w:val="clear" w:pos="7621"/>
        <w:tab w:val="clear" w:pos="9630"/>
        <w:tab w:val="right" w:pos="9990"/>
      </w:tabs>
      <w:ind w:left="0" w:right="-90" w:firstLine="0"/>
      <w:jc w:val="both"/>
      <w:rPr>
        <w:rFonts w:asciiTheme="minorHAnsi" w:hAnsiTheme="minorHAnsi" w:cstheme="minorHAnsi"/>
        <w:sz w:val="20"/>
        <w:szCs w:val="18"/>
      </w:rPr>
    </w:pPr>
    <w:r w:rsidRPr="00B93C25">
      <w:rPr>
        <w:rFonts w:asciiTheme="minorHAnsi" w:hAnsiTheme="minorHAnsi" w:cstheme="minorHAnsi"/>
        <w:sz w:val="20"/>
        <w:szCs w:val="18"/>
      </w:rPr>
      <w:t xml:space="preserve">University </w:t>
    </w:r>
    <w:r>
      <w:rPr>
        <w:rFonts w:asciiTheme="minorHAnsi" w:hAnsiTheme="minorHAnsi" w:cstheme="minorHAnsi"/>
        <w:sz w:val="20"/>
        <w:szCs w:val="18"/>
      </w:rPr>
      <w:t>o</w:t>
    </w:r>
    <w:r w:rsidRPr="00B93C25">
      <w:rPr>
        <w:rFonts w:asciiTheme="minorHAnsi" w:hAnsiTheme="minorHAnsi" w:cstheme="minorHAnsi"/>
        <w:sz w:val="20"/>
        <w:szCs w:val="18"/>
      </w:rPr>
      <w:t>f Maine System Annual Financial Report 202</w:t>
    </w:r>
    <w:r>
      <w:rPr>
        <w:rFonts w:asciiTheme="minorHAnsi" w:hAnsiTheme="minorHAnsi" w:cstheme="minorHAnsi"/>
        <w:sz w:val="20"/>
        <w:szCs w:val="18"/>
      </w:rPr>
      <w:t>5</w:t>
    </w:r>
    <w:r w:rsidRPr="00B93C25">
      <w:rPr>
        <w:rFonts w:asciiTheme="minorHAnsi" w:hAnsiTheme="minorHAnsi" w:cstheme="minorHAnsi"/>
        <w:sz w:val="18"/>
        <w:szCs w:val="18"/>
      </w:rPr>
      <w:tab/>
    </w:r>
    <w:r w:rsidRPr="00B93C25">
      <w:rPr>
        <w:rFonts w:asciiTheme="minorHAnsi" w:hAnsiTheme="minorHAnsi" w:cstheme="minorHAnsi"/>
        <w:sz w:val="20"/>
        <w:szCs w:val="18"/>
      </w:rPr>
      <w:t xml:space="preserve">| </w:t>
    </w:r>
    <w:r w:rsidRPr="00B93C25">
      <w:rPr>
        <w:rFonts w:asciiTheme="minorHAnsi" w:hAnsiTheme="minorHAnsi" w:cstheme="minorHAnsi"/>
        <w:sz w:val="20"/>
        <w:szCs w:val="18"/>
      </w:rPr>
      <w:fldChar w:fldCharType="begin"/>
    </w:r>
    <w:r w:rsidRPr="00B93C25">
      <w:rPr>
        <w:rFonts w:asciiTheme="minorHAnsi" w:hAnsiTheme="minorHAnsi" w:cstheme="minorHAnsi"/>
        <w:sz w:val="20"/>
        <w:szCs w:val="18"/>
      </w:rPr>
      <w:instrText xml:space="preserve"> PAGE   \* MERGEFORMAT </w:instrText>
    </w:r>
    <w:r w:rsidRPr="00B93C25">
      <w:rPr>
        <w:rFonts w:asciiTheme="minorHAnsi" w:hAnsiTheme="minorHAnsi" w:cstheme="minorHAnsi"/>
        <w:sz w:val="20"/>
        <w:szCs w:val="18"/>
      </w:rPr>
      <w:fldChar w:fldCharType="separate"/>
    </w:r>
    <w:r>
      <w:rPr>
        <w:rFonts w:asciiTheme="minorHAnsi" w:hAnsiTheme="minorHAnsi" w:cstheme="minorHAnsi"/>
        <w:noProof/>
        <w:sz w:val="20"/>
        <w:szCs w:val="18"/>
      </w:rPr>
      <w:t>10</w:t>
    </w:r>
    <w:r w:rsidRPr="00B93C25">
      <w:rPr>
        <w:rFonts w:asciiTheme="minorHAnsi" w:hAnsiTheme="minorHAnsi" w:cstheme="minorHAnsi"/>
        <w:sz w:val="20"/>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59B7B" w14:textId="77777777" w:rsidR="00BC0D69" w:rsidRPr="00176957" w:rsidRDefault="00BC0D69" w:rsidP="0070537E">
    <w:pPr>
      <w:pStyle w:val="Footer"/>
      <w:jc w:val="right"/>
      <w:rPr>
        <w:rFonts w:ascii="Calibri" w:hAnsi="Calibri"/>
        <w:sz w:val="2"/>
      </w:rPr>
    </w:pPr>
  </w:p>
  <w:p w14:paraId="6F6A926D" w14:textId="701DA473" w:rsidR="00BC0D69" w:rsidRPr="00B93C25" w:rsidRDefault="00BC0D69" w:rsidP="00EB4A65">
    <w:pPr>
      <w:pStyle w:val="Heading7"/>
      <w:pBdr>
        <w:top w:val="single" w:sz="8" w:space="1" w:color="000000" w:themeColor="text1"/>
      </w:pBdr>
      <w:tabs>
        <w:tab w:val="clear" w:pos="1440"/>
        <w:tab w:val="clear" w:pos="4262"/>
        <w:tab w:val="clear" w:pos="5220"/>
        <w:tab w:val="clear" w:pos="6691"/>
        <w:tab w:val="clear" w:pos="7621"/>
        <w:tab w:val="clear" w:pos="9630"/>
        <w:tab w:val="left" w:pos="12600"/>
      </w:tabs>
      <w:ind w:left="0" w:firstLine="0"/>
      <w:jc w:val="left"/>
      <w:rPr>
        <w:rFonts w:asciiTheme="minorHAnsi" w:hAnsiTheme="minorHAnsi" w:cstheme="minorHAnsi"/>
        <w:sz w:val="20"/>
        <w:szCs w:val="18"/>
      </w:rPr>
    </w:pPr>
    <w:r w:rsidRPr="00B93C25">
      <w:rPr>
        <w:rFonts w:asciiTheme="minorHAnsi" w:hAnsiTheme="minorHAnsi" w:cstheme="minorHAnsi"/>
        <w:sz w:val="20"/>
        <w:szCs w:val="18"/>
      </w:rPr>
      <w:t xml:space="preserve">University </w:t>
    </w:r>
    <w:r>
      <w:rPr>
        <w:rFonts w:asciiTheme="minorHAnsi" w:hAnsiTheme="minorHAnsi" w:cstheme="minorHAnsi"/>
        <w:sz w:val="20"/>
        <w:szCs w:val="18"/>
      </w:rPr>
      <w:t>o</w:t>
    </w:r>
    <w:r w:rsidRPr="00B93C25">
      <w:rPr>
        <w:rFonts w:asciiTheme="minorHAnsi" w:hAnsiTheme="minorHAnsi" w:cstheme="minorHAnsi"/>
        <w:sz w:val="20"/>
        <w:szCs w:val="18"/>
      </w:rPr>
      <w:t>f Maine System Annual Financial Report 202</w:t>
    </w:r>
    <w:r>
      <w:rPr>
        <w:rFonts w:asciiTheme="minorHAnsi" w:hAnsiTheme="minorHAnsi" w:cstheme="minorHAnsi"/>
        <w:sz w:val="20"/>
        <w:szCs w:val="18"/>
      </w:rPr>
      <w:t>5</w:t>
    </w:r>
    <w:r w:rsidRPr="00B93C25">
      <w:rPr>
        <w:rFonts w:asciiTheme="minorHAnsi" w:hAnsiTheme="minorHAnsi" w:cstheme="minorHAnsi"/>
        <w:sz w:val="18"/>
        <w:szCs w:val="18"/>
      </w:rPr>
      <w:tab/>
    </w:r>
    <w:r w:rsidRPr="00B93C25">
      <w:rPr>
        <w:rFonts w:asciiTheme="minorHAnsi" w:hAnsiTheme="minorHAnsi" w:cstheme="minorHAnsi"/>
        <w:sz w:val="20"/>
        <w:szCs w:val="18"/>
      </w:rPr>
      <w:t xml:space="preserve">| </w:t>
    </w:r>
    <w:r w:rsidRPr="00B93C25">
      <w:rPr>
        <w:rFonts w:asciiTheme="minorHAnsi" w:hAnsiTheme="minorHAnsi" w:cstheme="minorHAnsi"/>
        <w:sz w:val="20"/>
        <w:szCs w:val="18"/>
      </w:rPr>
      <w:fldChar w:fldCharType="begin"/>
    </w:r>
    <w:r w:rsidRPr="00B93C25">
      <w:rPr>
        <w:rFonts w:asciiTheme="minorHAnsi" w:hAnsiTheme="minorHAnsi" w:cstheme="minorHAnsi"/>
        <w:sz w:val="20"/>
        <w:szCs w:val="18"/>
      </w:rPr>
      <w:instrText xml:space="preserve"> PAGE   \* MERGEFORMAT </w:instrText>
    </w:r>
    <w:r w:rsidRPr="00B93C25">
      <w:rPr>
        <w:rFonts w:asciiTheme="minorHAnsi" w:hAnsiTheme="minorHAnsi" w:cstheme="minorHAnsi"/>
        <w:sz w:val="20"/>
        <w:szCs w:val="18"/>
      </w:rPr>
      <w:fldChar w:fldCharType="separate"/>
    </w:r>
    <w:r>
      <w:rPr>
        <w:rFonts w:asciiTheme="minorHAnsi" w:hAnsiTheme="minorHAnsi" w:cstheme="minorHAnsi"/>
        <w:noProof/>
        <w:sz w:val="20"/>
        <w:szCs w:val="18"/>
      </w:rPr>
      <w:t>24</w:t>
    </w:r>
    <w:r w:rsidRPr="00B93C25">
      <w:rPr>
        <w:rFonts w:asciiTheme="minorHAnsi" w:hAnsiTheme="minorHAnsi" w:cstheme="minorHAnsi"/>
        <w:sz w:val="20"/>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DF87D" w14:textId="77777777" w:rsidR="00BC0D69" w:rsidRPr="00176957" w:rsidRDefault="00BC0D69" w:rsidP="0070537E">
    <w:pPr>
      <w:pStyle w:val="Footer"/>
      <w:jc w:val="right"/>
      <w:rPr>
        <w:rFonts w:ascii="Calibri" w:hAnsi="Calibri"/>
        <w:sz w:val="2"/>
      </w:rPr>
    </w:pPr>
  </w:p>
  <w:p w14:paraId="03E2A7C9" w14:textId="77777777" w:rsidR="00BC0D69" w:rsidRPr="00B93C25" w:rsidRDefault="00BC0D69" w:rsidP="00EB4A65">
    <w:pPr>
      <w:pStyle w:val="Heading7"/>
      <w:pBdr>
        <w:top w:val="single" w:sz="8" w:space="1" w:color="000000" w:themeColor="text1"/>
      </w:pBdr>
      <w:tabs>
        <w:tab w:val="clear" w:pos="1440"/>
        <w:tab w:val="clear" w:pos="4262"/>
        <w:tab w:val="clear" w:pos="5220"/>
        <w:tab w:val="clear" w:pos="6691"/>
        <w:tab w:val="clear" w:pos="7621"/>
        <w:tab w:val="clear" w:pos="9630"/>
        <w:tab w:val="left" w:pos="9900"/>
      </w:tabs>
      <w:ind w:left="0" w:firstLine="0"/>
      <w:jc w:val="left"/>
      <w:rPr>
        <w:rFonts w:asciiTheme="minorHAnsi" w:hAnsiTheme="minorHAnsi" w:cstheme="minorHAnsi"/>
        <w:sz w:val="20"/>
        <w:szCs w:val="18"/>
      </w:rPr>
    </w:pPr>
    <w:r w:rsidRPr="00B93C25">
      <w:rPr>
        <w:rFonts w:asciiTheme="minorHAnsi" w:hAnsiTheme="minorHAnsi" w:cstheme="minorHAnsi"/>
        <w:sz w:val="20"/>
        <w:szCs w:val="18"/>
      </w:rPr>
      <w:t xml:space="preserve">University </w:t>
    </w:r>
    <w:r>
      <w:rPr>
        <w:rFonts w:asciiTheme="minorHAnsi" w:hAnsiTheme="minorHAnsi" w:cstheme="minorHAnsi"/>
        <w:sz w:val="20"/>
        <w:szCs w:val="18"/>
      </w:rPr>
      <w:t>o</w:t>
    </w:r>
    <w:r w:rsidRPr="00B93C25">
      <w:rPr>
        <w:rFonts w:asciiTheme="minorHAnsi" w:hAnsiTheme="minorHAnsi" w:cstheme="minorHAnsi"/>
        <w:sz w:val="20"/>
        <w:szCs w:val="18"/>
      </w:rPr>
      <w:t>f Maine System Annual Financial Report 202</w:t>
    </w:r>
    <w:r>
      <w:rPr>
        <w:rFonts w:asciiTheme="minorHAnsi" w:hAnsiTheme="minorHAnsi" w:cstheme="minorHAnsi"/>
        <w:sz w:val="20"/>
        <w:szCs w:val="18"/>
      </w:rPr>
      <w:t>5</w:t>
    </w:r>
    <w:r w:rsidRPr="00B93C25">
      <w:rPr>
        <w:rFonts w:asciiTheme="minorHAnsi" w:hAnsiTheme="minorHAnsi" w:cstheme="minorHAnsi"/>
        <w:sz w:val="18"/>
        <w:szCs w:val="18"/>
      </w:rPr>
      <w:tab/>
    </w:r>
    <w:r w:rsidRPr="00B93C25">
      <w:rPr>
        <w:rFonts w:asciiTheme="minorHAnsi" w:hAnsiTheme="minorHAnsi" w:cstheme="minorHAnsi"/>
        <w:sz w:val="20"/>
        <w:szCs w:val="18"/>
      </w:rPr>
      <w:t xml:space="preserve">| </w:t>
    </w:r>
    <w:r w:rsidRPr="00B93C25">
      <w:rPr>
        <w:rFonts w:asciiTheme="minorHAnsi" w:hAnsiTheme="minorHAnsi" w:cstheme="minorHAnsi"/>
        <w:sz w:val="20"/>
        <w:szCs w:val="18"/>
      </w:rPr>
      <w:fldChar w:fldCharType="begin"/>
    </w:r>
    <w:r w:rsidRPr="00B93C25">
      <w:rPr>
        <w:rFonts w:asciiTheme="minorHAnsi" w:hAnsiTheme="minorHAnsi" w:cstheme="minorHAnsi"/>
        <w:sz w:val="20"/>
        <w:szCs w:val="18"/>
      </w:rPr>
      <w:instrText xml:space="preserve"> PAGE   \* MERGEFORMAT </w:instrText>
    </w:r>
    <w:r w:rsidRPr="00B93C25">
      <w:rPr>
        <w:rFonts w:asciiTheme="minorHAnsi" w:hAnsiTheme="minorHAnsi" w:cstheme="minorHAnsi"/>
        <w:sz w:val="20"/>
        <w:szCs w:val="18"/>
      </w:rPr>
      <w:fldChar w:fldCharType="separate"/>
    </w:r>
    <w:r>
      <w:rPr>
        <w:rFonts w:asciiTheme="minorHAnsi" w:hAnsiTheme="minorHAnsi" w:cstheme="minorHAnsi"/>
        <w:noProof/>
        <w:sz w:val="20"/>
        <w:szCs w:val="18"/>
      </w:rPr>
      <w:t>24</w:t>
    </w:r>
    <w:r w:rsidRPr="00B93C25">
      <w:rPr>
        <w:rFonts w:asciiTheme="minorHAnsi" w:hAnsiTheme="minorHAnsi" w:cstheme="minorHAnsi"/>
        <w:sz w:val="20"/>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48BCD" w14:textId="5CF4C0B4" w:rsidR="00BC0D69" w:rsidRPr="00176957" w:rsidRDefault="00BC0D69" w:rsidP="0070537E">
    <w:pPr>
      <w:pStyle w:val="Footer"/>
      <w:jc w:val="right"/>
      <w:rPr>
        <w:rFonts w:ascii="Calibri" w:hAnsi="Calibri"/>
        <w:sz w:val="2"/>
      </w:rPr>
    </w:pPr>
  </w:p>
  <w:p w14:paraId="78441F05" w14:textId="77777777" w:rsidR="00BC0D69" w:rsidRPr="00B93C25" w:rsidRDefault="00BC0D69" w:rsidP="00EB4A65">
    <w:pPr>
      <w:pStyle w:val="Heading7"/>
      <w:pBdr>
        <w:top w:val="single" w:sz="8" w:space="1" w:color="000000" w:themeColor="text1"/>
      </w:pBdr>
      <w:tabs>
        <w:tab w:val="clear" w:pos="720"/>
        <w:tab w:val="clear" w:pos="1440"/>
        <w:tab w:val="clear" w:pos="4262"/>
        <w:tab w:val="clear" w:pos="5220"/>
        <w:tab w:val="clear" w:pos="6691"/>
        <w:tab w:val="clear" w:pos="7621"/>
        <w:tab w:val="clear" w:pos="9630"/>
        <w:tab w:val="left" w:pos="9540"/>
      </w:tabs>
      <w:ind w:left="0" w:firstLine="0"/>
      <w:jc w:val="left"/>
      <w:rPr>
        <w:rFonts w:asciiTheme="minorHAnsi" w:hAnsiTheme="minorHAnsi" w:cstheme="minorHAnsi"/>
        <w:sz w:val="20"/>
        <w:szCs w:val="18"/>
      </w:rPr>
    </w:pPr>
    <w:r w:rsidRPr="00B93C25">
      <w:rPr>
        <w:rFonts w:asciiTheme="minorHAnsi" w:hAnsiTheme="minorHAnsi" w:cstheme="minorHAnsi"/>
        <w:sz w:val="20"/>
        <w:szCs w:val="18"/>
      </w:rPr>
      <w:t xml:space="preserve">University </w:t>
    </w:r>
    <w:r>
      <w:rPr>
        <w:rFonts w:asciiTheme="minorHAnsi" w:hAnsiTheme="minorHAnsi" w:cstheme="minorHAnsi"/>
        <w:sz w:val="20"/>
        <w:szCs w:val="18"/>
      </w:rPr>
      <w:t>o</w:t>
    </w:r>
    <w:r w:rsidRPr="00B93C25">
      <w:rPr>
        <w:rFonts w:asciiTheme="minorHAnsi" w:hAnsiTheme="minorHAnsi" w:cstheme="minorHAnsi"/>
        <w:sz w:val="20"/>
        <w:szCs w:val="18"/>
      </w:rPr>
      <w:t>f Maine System Annual Financial Report 202</w:t>
    </w:r>
    <w:r>
      <w:rPr>
        <w:rFonts w:asciiTheme="minorHAnsi" w:hAnsiTheme="minorHAnsi" w:cstheme="minorHAnsi"/>
        <w:sz w:val="20"/>
        <w:szCs w:val="18"/>
      </w:rPr>
      <w:t>5</w:t>
    </w:r>
    <w:r w:rsidRPr="00B93C25">
      <w:rPr>
        <w:rFonts w:asciiTheme="minorHAnsi" w:hAnsiTheme="minorHAnsi" w:cstheme="minorHAnsi"/>
        <w:sz w:val="18"/>
        <w:szCs w:val="18"/>
      </w:rPr>
      <w:tab/>
    </w:r>
    <w:r w:rsidRPr="00B93C25">
      <w:rPr>
        <w:rFonts w:asciiTheme="minorHAnsi" w:hAnsiTheme="minorHAnsi" w:cstheme="minorHAnsi"/>
        <w:sz w:val="20"/>
        <w:szCs w:val="18"/>
      </w:rPr>
      <w:t xml:space="preserve">| </w:t>
    </w:r>
    <w:r w:rsidRPr="00B93C25">
      <w:rPr>
        <w:rFonts w:asciiTheme="minorHAnsi" w:hAnsiTheme="minorHAnsi" w:cstheme="minorHAnsi"/>
        <w:sz w:val="20"/>
        <w:szCs w:val="18"/>
      </w:rPr>
      <w:fldChar w:fldCharType="begin"/>
    </w:r>
    <w:r w:rsidRPr="00B93C25">
      <w:rPr>
        <w:rFonts w:asciiTheme="minorHAnsi" w:hAnsiTheme="minorHAnsi" w:cstheme="minorHAnsi"/>
        <w:sz w:val="20"/>
        <w:szCs w:val="18"/>
      </w:rPr>
      <w:instrText xml:space="preserve"> PAGE   \* MERGEFORMAT </w:instrText>
    </w:r>
    <w:r w:rsidRPr="00B93C25">
      <w:rPr>
        <w:rFonts w:asciiTheme="minorHAnsi" w:hAnsiTheme="minorHAnsi" w:cstheme="minorHAnsi"/>
        <w:sz w:val="20"/>
        <w:szCs w:val="18"/>
      </w:rPr>
      <w:fldChar w:fldCharType="separate"/>
    </w:r>
    <w:r>
      <w:rPr>
        <w:rFonts w:asciiTheme="minorHAnsi" w:hAnsiTheme="minorHAnsi" w:cstheme="minorHAnsi"/>
        <w:noProof/>
        <w:sz w:val="20"/>
        <w:szCs w:val="18"/>
      </w:rPr>
      <w:t>24</w:t>
    </w:r>
    <w:r w:rsidRPr="00B93C25">
      <w:rPr>
        <w:rFonts w:asciiTheme="minorHAnsi" w:hAnsiTheme="minorHAnsi" w:cstheme="minorHAnsi"/>
        <w:sz w:val="20"/>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5A9F4" w14:textId="77777777" w:rsidR="00BC0D69" w:rsidRPr="00176957" w:rsidRDefault="00BC0D69" w:rsidP="00BD375F">
    <w:pPr>
      <w:pStyle w:val="Footer"/>
      <w:jc w:val="right"/>
      <w:rPr>
        <w:rFonts w:ascii="Calibri" w:hAnsi="Calibri"/>
        <w:sz w:val="2"/>
      </w:rPr>
    </w:pPr>
  </w:p>
  <w:p w14:paraId="7E841F53" w14:textId="160EF9E3" w:rsidR="00BC0D69" w:rsidRPr="00D1200D" w:rsidRDefault="00BC0D69" w:rsidP="00FB5055">
    <w:pPr>
      <w:pStyle w:val="Heading7"/>
      <w:pBdr>
        <w:top w:val="single" w:sz="8" w:space="1" w:color="000000" w:themeColor="text1"/>
      </w:pBdr>
      <w:tabs>
        <w:tab w:val="clear" w:pos="4262"/>
        <w:tab w:val="clear" w:pos="5220"/>
        <w:tab w:val="clear" w:pos="6691"/>
        <w:tab w:val="clear" w:pos="7621"/>
        <w:tab w:val="clear" w:pos="9630"/>
        <w:tab w:val="left" w:pos="13140"/>
        <w:tab w:val="left" w:pos="13320"/>
      </w:tabs>
      <w:jc w:val="left"/>
      <w:rPr>
        <w:rFonts w:asciiTheme="minorHAnsi" w:hAnsiTheme="minorHAnsi" w:cstheme="minorHAnsi"/>
        <w:sz w:val="20"/>
      </w:rPr>
    </w:pPr>
    <w:r w:rsidRPr="00D1200D">
      <w:rPr>
        <w:rFonts w:asciiTheme="minorHAnsi" w:hAnsiTheme="minorHAnsi" w:cstheme="minorHAnsi"/>
        <w:sz w:val="20"/>
      </w:rPr>
      <w:t>UNIVERSITY OF MAINE SYSTEM ANNUAL FINANCIAL REPORT 202</w:t>
    </w:r>
    <w:r>
      <w:rPr>
        <w:rFonts w:asciiTheme="minorHAnsi" w:hAnsiTheme="minorHAnsi" w:cstheme="minorHAnsi"/>
        <w:sz w:val="20"/>
      </w:rPr>
      <w:t>5</w:t>
    </w:r>
    <w:r w:rsidRPr="00D1200D">
      <w:rPr>
        <w:rFonts w:asciiTheme="minorHAnsi" w:hAnsiTheme="minorHAnsi" w:cstheme="minorHAnsi"/>
        <w:sz w:val="20"/>
      </w:rPr>
      <w:tab/>
      <w:t xml:space="preserve">| </w:t>
    </w:r>
    <w:r w:rsidRPr="00D1200D">
      <w:rPr>
        <w:rFonts w:asciiTheme="minorHAnsi" w:hAnsiTheme="minorHAnsi" w:cstheme="minorHAnsi"/>
        <w:sz w:val="20"/>
      </w:rPr>
      <w:fldChar w:fldCharType="begin"/>
    </w:r>
    <w:r w:rsidRPr="00D1200D">
      <w:rPr>
        <w:rFonts w:asciiTheme="minorHAnsi" w:hAnsiTheme="minorHAnsi" w:cstheme="minorHAnsi"/>
        <w:sz w:val="20"/>
      </w:rPr>
      <w:instrText xml:space="preserve"> PAGE   \* MERGEFORMAT </w:instrText>
    </w:r>
    <w:r w:rsidRPr="00D1200D">
      <w:rPr>
        <w:rFonts w:asciiTheme="minorHAnsi" w:hAnsiTheme="minorHAnsi" w:cstheme="minorHAnsi"/>
        <w:sz w:val="20"/>
      </w:rPr>
      <w:fldChar w:fldCharType="separate"/>
    </w:r>
    <w:r>
      <w:rPr>
        <w:rFonts w:asciiTheme="minorHAnsi" w:hAnsiTheme="minorHAnsi" w:cstheme="minorHAnsi"/>
        <w:noProof/>
        <w:sz w:val="20"/>
      </w:rPr>
      <w:t>15</w:t>
    </w:r>
    <w:r w:rsidRPr="00D1200D">
      <w:rPr>
        <w:rFonts w:asciiTheme="minorHAnsi" w:hAnsiTheme="minorHAnsi" w:cstheme="minorHAnsi"/>
        <w:noProof/>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57F5B" w14:textId="77777777" w:rsidR="00BC0D69" w:rsidRPr="00176957" w:rsidRDefault="00BC0D69" w:rsidP="00BD375F">
    <w:pPr>
      <w:pStyle w:val="Footer"/>
      <w:jc w:val="right"/>
      <w:rPr>
        <w:rFonts w:ascii="Calibri" w:hAnsi="Calibri"/>
        <w:sz w:val="2"/>
      </w:rPr>
    </w:pPr>
  </w:p>
  <w:p w14:paraId="756037CA" w14:textId="0C1E3670" w:rsidR="00BC0D69" w:rsidRPr="00D1200D" w:rsidRDefault="00BC0D69" w:rsidP="003C277A">
    <w:pPr>
      <w:pStyle w:val="Heading7"/>
      <w:pBdr>
        <w:top w:val="single" w:sz="8" w:space="1" w:color="000000" w:themeColor="text1"/>
      </w:pBdr>
      <w:tabs>
        <w:tab w:val="clear" w:pos="4262"/>
        <w:tab w:val="clear" w:pos="5220"/>
        <w:tab w:val="clear" w:pos="6691"/>
        <w:tab w:val="clear" w:pos="7621"/>
        <w:tab w:val="clear" w:pos="9630"/>
        <w:tab w:val="left" w:pos="13140"/>
      </w:tabs>
      <w:jc w:val="left"/>
      <w:rPr>
        <w:rFonts w:asciiTheme="minorHAnsi" w:hAnsiTheme="minorHAnsi" w:cstheme="minorHAnsi"/>
        <w:sz w:val="20"/>
      </w:rPr>
    </w:pPr>
    <w:r w:rsidRPr="00D1200D">
      <w:rPr>
        <w:rFonts w:asciiTheme="minorHAnsi" w:hAnsiTheme="minorHAnsi" w:cstheme="minorHAnsi"/>
        <w:sz w:val="20"/>
      </w:rPr>
      <w:t>UNIVERSITY OF MAINE SYSTEM ANNUAL FINANCIAL REPORT 202</w:t>
    </w:r>
    <w:r>
      <w:rPr>
        <w:rFonts w:asciiTheme="minorHAnsi" w:hAnsiTheme="minorHAnsi" w:cstheme="minorHAnsi"/>
        <w:sz w:val="20"/>
      </w:rPr>
      <w:t>5</w:t>
    </w:r>
    <w:r w:rsidRPr="00D1200D">
      <w:rPr>
        <w:rFonts w:asciiTheme="minorHAnsi" w:hAnsiTheme="minorHAnsi" w:cstheme="minorHAnsi"/>
        <w:sz w:val="20"/>
      </w:rPr>
      <w:tab/>
      <w:t xml:space="preserve">| </w:t>
    </w:r>
    <w:r w:rsidRPr="00D1200D">
      <w:rPr>
        <w:rFonts w:asciiTheme="minorHAnsi" w:hAnsiTheme="minorHAnsi" w:cstheme="minorHAnsi"/>
        <w:sz w:val="20"/>
      </w:rPr>
      <w:fldChar w:fldCharType="begin"/>
    </w:r>
    <w:r w:rsidRPr="00D1200D">
      <w:rPr>
        <w:rFonts w:asciiTheme="minorHAnsi" w:hAnsiTheme="minorHAnsi" w:cstheme="minorHAnsi"/>
        <w:sz w:val="20"/>
      </w:rPr>
      <w:instrText xml:space="preserve"> PAGE   \* MERGEFORMAT </w:instrText>
    </w:r>
    <w:r w:rsidRPr="00D1200D">
      <w:rPr>
        <w:rFonts w:asciiTheme="minorHAnsi" w:hAnsiTheme="minorHAnsi" w:cstheme="minorHAnsi"/>
        <w:sz w:val="20"/>
      </w:rPr>
      <w:fldChar w:fldCharType="separate"/>
    </w:r>
    <w:r>
      <w:rPr>
        <w:rFonts w:asciiTheme="minorHAnsi" w:hAnsiTheme="minorHAnsi" w:cstheme="minorHAnsi"/>
        <w:noProof/>
        <w:sz w:val="20"/>
      </w:rPr>
      <w:t>15</w:t>
    </w:r>
    <w:r w:rsidRPr="00D1200D">
      <w:rPr>
        <w:rFonts w:asciiTheme="minorHAnsi" w:hAnsiTheme="minorHAnsi" w:cstheme="minorHAnsi"/>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F9DE58" w14:textId="77777777" w:rsidR="00BC0D69" w:rsidRDefault="00BC0D69">
      <w:r>
        <w:separator/>
      </w:r>
    </w:p>
  </w:footnote>
  <w:footnote w:type="continuationSeparator" w:id="0">
    <w:p w14:paraId="58FD8810" w14:textId="77777777" w:rsidR="00BC0D69" w:rsidRDefault="00BC0D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A1506" w14:textId="77777777" w:rsidR="00BC0D69" w:rsidRPr="00C53981" w:rsidRDefault="00BC0D69" w:rsidP="00C53981">
    <w:pPr>
      <w:pStyle w:val="Heading4"/>
      <w:pBdr>
        <w:bottom w:val="single" w:sz="8" w:space="1" w:color="000000" w:themeColor="text1"/>
      </w:pBdr>
      <w:tabs>
        <w:tab w:val="clear" w:pos="1440"/>
        <w:tab w:val="clear" w:pos="5400"/>
        <w:tab w:val="clear" w:pos="10620"/>
        <w:tab w:val="left" w:pos="9360"/>
      </w:tabs>
      <w:rPr>
        <w:rFonts w:ascii="Tahoma" w:hAnsi="Tahoma" w:cs="Tahoma"/>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i w:val="0"/>
        <w:szCs w:val="16"/>
        <w:u w:color="5B9BD5"/>
      </w:rPr>
      <w:id w:val="-1490854350"/>
      <w:docPartObj>
        <w:docPartGallery w:val="Page Numbers (Top of Page)"/>
        <w:docPartUnique/>
      </w:docPartObj>
    </w:sdtPr>
    <w:sdtEndPr>
      <w:rPr>
        <w:rFonts w:cstheme="minorHAnsi"/>
      </w:rPr>
    </w:sdtEndPr>
    <w:sdtContent>
      <w:p w14:paraId="7313C199" w14:textId="77777777" w:rsidR="00BC0D69" w:rsidRDefault="00BC0D69" w:rsidP="00372D3E">
        <w:pPr>
          <w:pStyle w:val="Heading4"/>
          <w:pBdr>
            <w:bottom w:val="single" w:sz="8" w:space="1" w:color="000000" w:themeColor="text1"/>
          </w:pBdr>
          <w:rPr>
            <w:rFonts w:eastAsiaTheme="minorHAnsi" w:cstheme="minorHAnsi"/>
            <w:color w:val="auto"/>
            <w:sz w:val="22"/>
            <w:szCs w:val="16"/>
            <w:u w:color="5B9BD5"/>
          </w:rPr>
        </w:pPr>
        <w:r w:rsidRPr="00D1200D">
          <w:rPr>
            <w:rFonts w:cstheme="minorHAnsi"/>
            <w:i w:val="0"/>
            <w:szCs w:val="16"/>
            <w:u w:color="5B9BD5"/>
          </w:rPr>
          <w:t xml:space="preserve">NOTES TO FINANCIAL STATEMENTS </w:t>
        </w:r>
        <w:r w:rsidRPr="00D1200D">
          <w:rPr>
            <w:rFonts w:cstheme="minorHAnsi"/>
            <w:i w:val="0"/>
            <w:sz w:val="18"/>
            <w:szCs w:val="18"/>
            <w:u w:color="5B9BD5"/>
          </w:rPr>
          <w:t>(IN THOUSANDS)</w:t>
        </w:r>
      </w:p>
    </w:sdtContent>
  </w:sdt>
  <w:p w14:paraId="57F70982" w14:textId="77777777" w:rsidR="00BC0D69" w:rsidRPr="00372D3E" w:rsidRDefault="00BC0D69">
    <w:pPr>
      <w:rPr>
        <w:sz w:val="20"/>
        <w:szCs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2214A" w14:textId="2E6C914D" w:rsidR="00BC0D69" w:rsidRPr="00D1200D" w:rsidRDefault="00BC0D69" w:rsidP="00372D3E">
    <w:pPr>
      <w:pStyle w:val="Heading4"/>
      <w:pBdr>
        <w:bottom w:val="single" w:sz="8" w:space="1" w:color="000000" w:themeColor="text1"/>
      </w:pBdr>
      <w:rPr>
        <w:rFonts w:eastAsiaTheme="minorHAnsi" w:cstheme="minorHAnsi"/>
        <w:color w:val="auto"/>
        <w:sz w:val="22"/>
        <w:szCs w:val="16"/>
        <w:u w:color="5B9BD5"/>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i w:val="0"/>
        <w:szCs w:val="16"/>
        <w:u w:color="5B9BD5"/>
      </w:rPr>
      <w:id w:val="-1928570291"/>
      <w:docPartObj>
        <w:docPartGallery w:val="Page Numbers (Top of Page)"/>
        <w:docPartUnique/>
      </w:docPartObj>
    </w:sdtPr>
    <w:sdtEndPr>
      <w:rPr>
        <w:rFonts w:cstheme="minorHAnsi"/>
      </w:rPr>
    </w:sdtEndPr>
    <w:sdtContent>
      <w:p w14:paraId="42A85046" w14:textId="77777777" w:rsidR="00BC0D69" w:rsidRDefault="00BC0D69" w:rsidP="00372D3E">
        <w:pPr>
          <w:pStyle w:val="Heading4"/>
          <w:pBdr>
            <w:bottom w:val="single" w:sz="8" w:space="1" w:color="000000" w:themeColor="text1"/>
          </w:pBdr>
          <w:rPr>
            <w:rFonts w:eastAsiaTheme="minorHAnsi" w:cstheme="minorHAnsi"/>
            <w:color w:val="auto"/>
            <w:sz w:val="22"/>
            <w:szCs w:val="16"/>
            <w:u w:color="5B9BD5"/>
          </w:rPr>
        </w:pPr>
        <w:r w:rsidRPr="00D1200D">
          <w:rPr>
            <w:rFonts w:cstheme="minorHAnsi"/>
            <w:i w:val="0"/>
            <w:szCs w:val="16"/>
            <w:u w:color="5B9BD5"/>
          </w:rPr>
          <w:t xml:space="preserve">NOTES TO FINANCIAL STATEMENTS </w:t>
        </w:r>
        <w:r w:rsidRPr="00D1200D">
          <w:rPr>
            <w:rFonts w:cstheme="minorHAnsi"/>
            <w:i w:val="0"/>
            <w:sz w:val="18"/>
            <w:szCs w:val="18"/>
            <w:u w:color="5B9BD5"/>
          </w:rPr>
          <w:t>(IN THOUSANDS)</w:t>
        </w:r>
      </w:p>
    </w:sdtContent>
  </w:sdt>
  <w:p w14:paraId="4E1C6EE9" w14:textId="77777777" w:rsidR="00BC0D69" w:rsidRPr="00372D3E" w:rsidRDefault="00BC0D69">
    <w:pPr>
      <w:rPr>
        <w:sz w:val="20"/>
        <w:szCs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54F02" w14:textId="77777777" w:rsidR="00BC0D69" w:rsidRPr="00D1200D" w:rsidRDefault="00F73BF5" w:rsidP="00C53981">
    <w:pPr>
      <w:pStyle w:val="Heading4"/>
      <w:pBdr>
        <w:bottom w:val="single" w:sz="8" w:space="1" w:color="000000" w:themeColor="text1"/>
      </w:pBdr>
      <w:rPr>
        <w:rFonts w:cstheme="minorHAnsi"/>
        <w:i w:val="0"/>
        <w:szCs w:val="16"/>
        <w:u w:color="5B9BD5"/>
      </w:rPr>
    </w:pPr>
    <w:sdt>
      <w:sdtPr>
        <w:rPr>
          <w:i w:val="0"/>
          <w:szCs w:val="16"/>
          <w:u w:color="5B9BD5"/>
        </w:rPr>
        <w:id w:val="-693763270"/>
        <w:docPartObj>
          <w:docPartGallery w:val="Page Numbers (Top of Page)"/>
          <w:docPartUnique/>
        </w:docPartObj>
      </w:sdtPr>
      <w:sdtEndPr>
        <w:rPr>
          <w:rFonts w:cstheme="minorHAnsi"/>
        </w:rPr>
      </w:sdtEndPr>
      <w:sdtContent>
        <w:r w:rsidR="00BC0D69" w:rsidRPr="00D1200D">
          <w:rPr>
            <w:rFonts w:cstheme="minorHAnsi"/>
            <w:i w:val="0"/>
            <w:szCs w:val="16"/>
            <w:u w:color="5B9BD5"/>
          </w:rPr>
          <w:t>NOTES TO FINANCIAL STATEMENTS</w:t>
        </w:r>
      </w:sdtContent>
    </w:sdt>
    <w:r w:rsidR="00BC0D69" w:rsidRPr="00D1200D">
      <w:rPr>
        <w:rFonts w:cstheme="minorHAnsi"/>
        <w:i w:val="0"/>
        <w:szCs w:val="16"/>
        <w:u w:color="5B9BD5"/>
      </w:rPr>
      <w:t xml:space="preserve"> </w:t>
    </w:r>
    <w:r w:rsidR="00BC0D69" w:rsidRPr="00D1200D">
      <w:rPr>
        <w:rFonts w:cstheme="minorHAnsi"/>
        <w:i w:val="0"/>
        <w:sz w:val="18"/>
        <w:szCs w:val="18"/>
        <w:u w:color="5B9BD5"/>
      </w:rPr>
      <w:t>(IN THOUSANDS)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46855" w14:textId="77777777" w:rsidR="00BC0D69" w:rsidRPr="00B93C25" w:rsidRDefault="00F73BF5" w:rsidP="00EC6010">
    <w:pPr>
      <w:pStyle w:val="Heading4"/>
      <w:pBdr>
        <w:bottom w:val="single" w:sz="8" w:space="1" w:color="000000" w:themeColor="text1"/>
      </w:pBdr>
      <w:rPr>
        <w:rFonts w:cstheme="minorHAnsi"/>
        <w:i w:val="0"/>
        <w:szCs w:val="16"/>
        <w:u w:color="5B9BD5"/>
      </w:rPr>
    </w:pPr>
    <w:sdt>
      <w:sdtPr>
        <w:rPr>
          <w:i w:val="0"/>
          <w:szCs w:val="16"/>
          <w:u w:color="5B9BD5"/>
        </w:rPr>
        <w:id w:val="-1634171943"/>
        <w:docPartObj>
          <w:docPartGallery w:val="Page Numbers (Top of Page)"/>
          <w:docPartUnique/>
        </w:docPartObj>
      </w:sdtPr>
      <w:sdtEndPr>
        <w:rPr>
          <w:rFonts w:cstheme="minorHAnsi"/>
        </w:rPr>
      </w:sdtEndPr>
      <w:sdtContent>
        <w:r w:rsidR="00BC0D69" w:rsidRPr="00B93C25">
          <w:rPr>
            <w:rFonts w:cstheme="minorHAnsi"/>
            <w:i w:val="0"/>
            <w:szCs w:val="16"/>
            <w:u w:color="5B9BD5"/>
          </w:rPr>
          <w:t>NOTES TO FINANCIAL STATEMENTS</w:t>
        </w:r>
      </w:sdtContent>
    </w:sdt>
    <w:r w:rsidR="00BC0D69" w:rsidRPr="00B93C25">
      <w:rPr>
        <w:rFonts w:cstheme="minorHAnsi"/>
        <w:i w:val="0"/>
        <w:szCs w:val="16"/>
        <w:u w:color="5B9BD5"/>
      </w:rPr>
      <w:t xml:space="preserve"> </w:t>
    </w:r>
    <w:r w:rsidR="00BC0D69" w:rsidRPr="00B93C25">
      <w:rPr>
        <w:rFonts w:cstheme="minorHAnsi"/>
        <w:i w:val="0"/>
        <w:sz w:val="18"/>
        <w:szCs w:val="18"/>
        <w:u w:color="5B9BD5"/>
      </w:rPr>
      <w:t>(IN THOUSANDS)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90C20" w14:textId="77097D1D" w:rsidR="00BC0D69" w:rsidRPr="00D14A4C" w:rsidRDefault="00F73BF5" w:rsidP="00D14A4C">
    <w:pPr>
      <w:pStyle w:val="Heading4"/>
      <w:pBdr>
        <w:bottom w:val="single" w:sz="8" w:space="1" w:color="000000" w:themeColor="text1"/>
      </w:pBdr>
      <w:rPr>
        <w:rFonts w:ascii="Tahoma" w:hAnsi="Tahoma" w:cs="Tahoma"/>
        <w:i w:val="0"/>
        <w:szCs w:val="16"/>
        <w:u w:color="5B9BD5"/>
      </w:rPr>
    </w:pPr>
    <w:sdt>
      <w:sdtPr>
        <w:rPr>
          <w:i w:val="0"/>
          <w:szCs w:val="16"/>
          <w:u w:color="5B9BD5"/>
        </w:rPr>
        <w:id w:val="1571073165"/>
        <w:docPartObj>
          <w:docPartGallery w:val="Page Numbers (Top of Page)"/>
          <w:docPartUnique/>
        </w:docPartObj>
      </w:sdtPr>
      <w:sdtEndPr>
        <w:rPr>
          <w:rFonts w:ascii="Tahoma" w:hAnsi="Tahoma" w:cs="Tahoma"/>
        </w:rPr>
      </w:sdtEndPr>
      <w:sdtContent>
        <w:r w:rsidR="00BC0D69" w:rsidRPr="00D14A4C">
          <w:rPr>
            <w:rFonts w:ascii="Tahoma" w:hAnsi="Tahoma" w:cs="Tahoma"/>
            <w:i w:val="0"/>
            <w:szCs w:val="16"/>
            <w:u w:color="5B9BD5"/>
          </w:rPr>
          <w:t>NOTES TO FINANCIAL STATEMENTS</w:t>
        </w:r>
      </w:sdtContent>
    </w:sdt>
    <w:r w:rsidR="00BC0D69" w:rsidRPr="00D14A4C">
      <w:rPr>
        <w:rFonts w:ascii="Tahoma" w:hAnsi="Tahoma" w:cs="Tahoma"/>
        <w:i w:val="0"/>
        <w:szCs w:val="16"/>
        <w:u w:color="5B9BD5"/>
      </w:rPr>
      <w:t xml:space="preserve"> </w:t>
    </w:r>
    <w:r w:rsidR="00BC0D69" w:rsidRPr="00D14A4C">
      <w:rPr>
        <w:rFonts w:ascii="Tahoma" w:hAnsi="Tahoma" w:cs="Tahoma"/>
        <w:i w:val="0"/>
        <w:sz w:val="18"/>
        <w:szCs w:val="18"/>
        <w:u w:color="5B9BD5"/>
      </w:rPr>
      <w:t>(IN THOUSANDS)</w:t>
    </w:r>
  </w:p>
  <w:p w14:paraId="16A2F7A7" w14:textId="142F071E" w:rsidR="00BC0D69" w:rsidRDefault="00BC0D69"/>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8" w:name="_REQUIRED_SUPPLEMENTAL_INFORMATION"/>
  <w:bookmarkEnd w:id="18"/>
  <w:p w14:paraId="5F112C96" w14:textId="77777777" w:rsidR="00BC0D69" w:rsidRPr="00B93C25" w:rsidRDefault="00F73BF5" w:rsidP="00D14A4C">
    <w:pPr>
      <w:pStyle w:val="Heading4"/>
      <w:pBdr>
        <w:bottom w:val="single" w:sz="8" w:space="1" w:color="000000" w:themeColor="text1"/>
      </w:pBdr>
      <w:rPr>
        <w:rFonts w:cstheme="minorHAnsi"/>
        <w:i w:val="0"/>
        <w:szCs w:val="16"/>
        <w:u w:color="5B9BD5"/>
      </w:rPr>
    </w:pPr>
    <w:sdt>
      <w:sdtPr>
        <w:rPr>
          <w:i w:val="0"/>
          <w:szCs w:val="16"/>
          <w:u w:color="5B9BD5"/>
        </w:rPr>
        <w:id w:val="-2034171630"/>
        <w:docPartObj>
          <w:docPartGallery w:val="Page Numbers (Top of Page)"/>
          <w:docPartUnique/>
        </w:docPartObj>
      </w:sdtPr>
      <w:sdtEndPr>
        <w:rPr>
          <w:rFonts w:cstheme="minorHAnsi"/>
        </w:rPr>
      </w:sdtEndPr>
      <w:sdtContent>
        <w:r w:rsidR="00BC0D69" w:rsidRPr="00B93C25">
          <w:rPr>
            <w:rFonts w:cstheme="minorHAnsi"/>
            <w:i w:val="0"/>
            <w:szCs w:val="16"/>
            <w:u w:color="5B9BD5"/>
          </w:rPr>
          <w:t xml:space="preserve">REQUIRED SUPPLEMENTAL INFORMATION – RETIREMENT </w:t>
        </w:r>
        <w:r w:rsidR="00BC0D69">
          <w:rPr>
            <w:rFonts w:cstheme="minorHAnsi"/>
            <w:i w:val="0"/>
            <w:szCs w:val="16"/>
            <w:u w:color="5B9BD5"/>
          </w:rPr>
          <w:t xml:space="preserve">AND </w:t>
        </w:r>
        <w:proofErr w:type="spellStart"/>
        <w:r w:rsidR="00BC0D69">
          <w:rPr>
            <w:rFonts w:cstheme="minorHAnsi"/>
            <w:i w:val="0"/>
            <w:szCs w:val="16"/>
            <w:u w:color="5B9BD5"/>
          </w:rPr>
          <w:t>OPEB</w:t>
        </w:r>
        <w:proofErr w:type="spellEnd"/>
        <w:r w:rsidR="00BC0D69">
          <w:rPr>
            <w:rFonts w:cstheme="minorHAnsi"/>
            <w:i w:val="0"/>
            <w:szCs w:val="16"/>
            <w:u w:color="5B9BD5"/>
          </w:rPr>
          <w:t xml:space="preserve"> </w:t>
        </w:r>
        <w:r w:rsidR="00BC0D69" w:rsidRPr="00B93C25">
          <w:rPr>
            <w:rFonts w:cstheme="minorHAnsi"/>
            <w:i w:val="0"/>
            <w:szCs w:val="16"/>
            <w:u w:color="5B9BD5"/>
          </w:rPr>
          <w:t>PLANS (UNAUDITED)</w:t>
        </w:r>
      </w:sdtContent>
    </w:sdt>
    <w:r w:rsidR="00BC0D69" w:rsidRPr="00B93C25">
      <w:rPr>
        <w:rFonts w:cstheme="minorHAnsi"/>
        <w:i w:val="0"/>
        <w:szCs w:val="16"/>
        <w:u w:color="5B9BD5"/>
      </w:rPr>
      <w:t xml:space="preserve"> </w:t>
    </w:r>
    <w:r w:rsidR="00BC0D69" w:rsidRPr="00B93C25">
      <w:rPr>
        <w:rFonts w:cstheme="minorHAnsi"/>
        <w:i w:val="0"/>
        <w:sz w:val="18"/>
        <w:szCs w:val="18"/>
        <w:u w:color="5B9BD5"/>
      </w:rPr>
      <w:t>(IN THOUSANDS)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9F286" w14:textId="6A040534" w:rsidR="00BC0D69" w:rsidRPr="00B93C25" w:rsidRDefault="00BC0D69" w:rsidP="00D14A4C">
    <w:pPr>
      <w:pStyle w:val="Heading4"/>
      <w:pBdr>
        <w:bottom w:val="single" w:sz="8" w:space="1" w:color="000000" w:themeColor="text1"/>
      </w:pBdr>
      <w:rPr>
        <w:rFonts w:cstheme="minorHAnsi"/>
        <w:i w:val="0"/>
        <w:szCs w:val="16"/>
        <w:u w:color="5B9BD5"/>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90DFF" w14:textId="3748962D" w:rsidR="00BC0D69" w:rsidRPr="00B93C25" w:rsidRDefault="00F73BF5" w:rsidP="00D14A4C">
    <w:pPr>
      <w:pStyle w:val="Heading4"/>
      <w:pBdr>
        <w:bottom w:val="single" w:sz="8" w:space="1" w:color="000000" w:themeColor="text1"/>
      </w:pBdr>
      <w:rPr>
        <w:rFonts w:cstheme="minorHAnsi"/>
        <w:i w:val="0"/>
        <w:szCs w:val="16"/>
        <w:u w:color="5B9BD5"/>
      </w:rPr>
    </w:pPr>
    <w:sdt>
      <w:sdtPr>
        <w:rPr>
          <w:i w:val="0"/>
          <w:szCs w:val="16"/>
          <w:u w:color="5B9BD5"/>
        </w:rPr>
        <w:id w:val="-26877214"/>
        <w:docPartObj>
          <w:docPartGallery w:val="Page Numbers (Top of Page)"/>
          <w:docPartUnique/>
        </w:docPartObj>
      </w:sdtPr>
      <w:sdtEndPr>
        <w:rPr>
          <w:rFonts w:cstheme="minorHAnsi"/>
        </w:rPr>
      </w:sdtEndPr>
      <w:sdtContent>
        <w:r w:rsidR="00BC0D69" w:rsidRPr="00B93C25">
          <w:rPr>
            <w:rFonts w:cstheme="minorHAnsi"/>
            <w:i w:val="0"/>
            <w:szCs w:val="16"/>
            <w:u w:color="5B9BD5"/>
          </w:rPr>
          <w:t xml:space="preserve">REQUIRED SUPPLEMENTAL INFORMATION – RETIREMENT </w:t>
        </w:r>
        <w:r w:rsidR="00BC0D69">
          <w:rPr>
            <w:rFonts w:cstheme="minorHAnsi"/>
            <w:i w:val="0"/>
            <w:szCs w:val="16"/>
            <w:u w:color="5B9BD5"/>
          </w:rPr>
          <w:t xml:space="preserve">AND </w:t>
        </w:r>
        <w:proofErr w:type="spellStart"/>
        <w:r w:rsidR="00BC0D69">
          <w:rPr>
            <w:rFonts w:cstheme="minorHAnsi"/>
            <w:i w:val="0"/>
            <w:szCs w:val="16"/>
            <w:u w:color="5B9BD5"/>
          </w:rPr>
          <w:t>OPEB</w:t>
        </w:r>
        <w:proofErr w:type="spellEnd"/>
        <w:r w:rsidR="00BC0D69">
          <w:rPr>
            <w:rFonts w:cstheme="minorHAnsi"/>
            <w:i w:val="0"/>
            <w:szCs w:val="16"/>
            <w:u w:color="5B9BD5"/>
          </w:rPr>
          <w:t xml:space="preserve"> </w:t>
        </w:r>
        <w:r w:rsidR="00BC0D69" w:rsidRPr="00B93C25">
          <w:rPr>
            <w:rFonts w:cstheme="minorHAnsi"/>
            <w:i w:val="0"/>
            <w:szCs w:val="16"/>
            <w:u w:color="5B9BD5"/>
          </w:rPr>
          <w:t>PLANS (UNAUDITED)</w:t>
        </w:r>
      </w:sdtContent>
    </w:sdt>
    <w:r w:rsidR="00BC0D69" w:rsidRPr="00B93C25">
      <w:rPr>
        <w:rFonts w:cstheme="minorHAnsi"/>
        <w:i w:val="0"/>
        <w:szCs w:val="16"/>
        <w:u w:color="5B9BD5"/>
      </w:rPr>
      <w:t xml:space="preserve"> </w:t>
    </w:r>
    <w:r w:rsidR="00BC0D69" w:rsidRPr="00B93C25">
      <w:rPr>
        <w:rFonts w:cstheme="minorHAnsi"/>
        <w:i w:val="0"/>
        <w:sz w:val="18"/>
        <w:szCs w:val="18"/>
        <w:u w:color="5B9BD5"/>
      </w:rPr>
      <w:t>(IN THOUSANDS)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15640" w14:textId="77777777" w:rsidR="00BC0D69" w:rsidRPr="004A1D63" w:rsidRDefault="00BC0D69" w:rsidP="00516648">
    <w:pPr>
      <w:pStyle w:val="Heading4"/>
      <w:pBdr>
        <w:bottom w:val="single" w:sz="8" w:space="1" w:color="000000" w:themeColor="text1"/>
      </w:pBdr>
      <w:rPr>
        <w:rFonts w:cstheme="minorHAnsi"/>
        <w:i w:val="0"/>
        <w:szCs w:val="16"/>
        <w:u w:color="5B9BD5"/>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B45D5" w14:textId="77777777" w:rsidR="00BC0D69" w:rsidRPr="004C24C2" w:rsidRDefault="00BC0D69" w:rsidP="004C24C2">
    <w:pPr>
      <w:pStyle w:val="Heading4"/>
      <w:pBdr>
        <w:bottom w:val="single" w:sz="4" w:space="1" w:color="auto"/>
      </w:pBdr>
      <w:rPr>
        <w:rFonts w:ascii="Tahoma" w:hAnsi="Tahoma" w:cs="Tahoma"/>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484E2" w14:textId="6F743F7A" w:rsidR="00BC0D69" w:rsidRPr="003C277A" w:rsidRDefault="00BC0D69" w:rsidP="003C277A">
    <w:pPr>
      <w:pStyle w:val="Header"/>
      <w:rPr>
        <w: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41D5C" w14:textId="5C4871DF" w:rsidR="00BC0D69" w:rsidRPr="00372D3E" w:rsidRDefault="00BC0D69" w:rsidP="00372D3E">
    <w:pPr>
      <w:pStyle w:val="Heading4"/>
      <w:pBdr>
        <w:bottom w:val="single" w:sz="8" w:space="1" w:color="000000" w:themeColor="text1"/>
      </w:pBdr>
      <w:rPr>
        <w:rFonts w:ascii="Calibri" w:hAnsi="Calibri" w:cs="Calibri"/>
        <w:i w:val="0"/>
        <w:szCs w:val="16"/>
        <w:u w:color="5B9BD5"/>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E8A2A" w14:textId="3571E354" w:rsidR="00BC0D69" w:rsidRPr="00C53981" w:rsidRDefault="00BC0D69" w:rsidP="00516648">
    <w:pPr>
      <w:pStyle w:val="Heading4"/>
      <w:pBdr>
        <w:bottom w:val="single" w:sz="8" w:space="1" w:color="000000"/>
      </w:pBdr>
      <w:rPr>
        <w:rFonts w:ascii="Tahoma" w:hAnsi="Tahoma" w:cs="Tahoma"/>
      </w:rPr>
    </w:pPr>
  </w:p>
  <w:p w14:paraId="6AF98E85" w14:textId="7B8CAE23" w:rsidR="00BC0D69" w:rsidRDefault="00BC0D69">
    <w:pPr>
      <w:pStyle w:val="BodyText"/>
      <w:spacing w:line="14" w:lineRule="auto"/>
      <w:rPr>
        <w:sz w:val="20"/>
      </w:rPr>
    </w:pPr>
  </w:p>
  <w:p w14:paraId="5A5E7ED2" w14:textId="77777777" w:rsidR="00BC0D69" w:rsidRDefault="00BC0D6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9206E" w14:textId="7F5A6C34" w:rsidR="00BC0D69" w:rsidRPr="00516648" w:rsidRDefault="00BC0D69" w:rsidP="00516648">
    <w:pPr>
      <w:pStyle w:val="Heading4"/>
      <w:pBdr>
        <w:bottom w:val="single" w:sz="8" w:space="1" w:color="000000" w:themeColor="text1"/>
      </w:pBdr>
      <w:rPr>
        <w:rFonts w:ascii="Calibri" w:hAnsi="Calibri" w:cs="Calibri"/>
        <w:i w:val="0"/>
        <w:szCs w:val="16"/>
        <w:u w:color="5B9BD5"/>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05160" w14:textId="7E9A8D81" w:rsidR="00BC0D69" w:rsidRPr="00372D3E" w:rsidRDefault="00BC0D69" w:rsidP="00D14A4C">
    <w:pPr>
      <w:pStyle w:val="Heading4"/>
      <w:pBdr>
        <w:bottom w:val="single" w:sz="8" w:space="1" w:color="000000" w:themeColor="text1"/>
      </w:pBdr>
      <w:rPr>
        <w:rFonts w:ascii="Calibri" w:hAnsi="Calibri" w:cs="Calibri"/>
        <w:i w:val="0"/>
        <w:szCs w:val="16"/>
        <w:u w:color="5B9BD5"/>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793EB" w14:textId="77777777" w:rsidR="00BC0D69" w:rsidRPr="00372D3E" w:rsidRDefault="00BC0D69" w:rsidP="00D14A4C">
    <w:pPr>
      <w:pStyle w:val="Heading4"/>
      <w:pBdr>
        <w:bottom w:val="single" w:sz="8" w:space="1" w:color="000000" w:themeColor="text1"/>
      </w:pBdr>
      <w:rPr>
        <w:rFonts w:ascii="Calibri" w:hAnsi="Calibri" w:cs="Calibri"/>
        <w:i w:val="0"/>
        <w:szCs w:val="16"/>
        <w:u w:color="5B9BD5"/>
      </w:rPr>
    </w:pPr>
    <w:r w:rsidRPr="00372D3E">
      <w:rPr>
        <w:rFonts w:ascii="Calibri" w:hAnsi="Calibri" w:cs="Calibri"/>
        <w:i w:val="0"/>
        <w:szCs w:val="16"/>
        <w:u w:color="5B9BD5"/>
      </w:rPr>
      <w:t>MANAGEMENT’S DISCUSSION AND ANALYSIS (UNAUDITED)</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3B0A6" w14:textId="5AF5DA3E" w:rsidR="00BC0D69" w:rsidRPr="00372D3E" w:rsidRDefault="00BC0D69" w:rsidP="00372D3E">
    <w:pPr>
      <w:pStyle w:val="Heading4"/>
      <w:pBdr>
        <w:bottom w:val="single" w:sz="8" w:space="1" w:color="000000" w:themeColor="text1"/>
      </w:pBdr>
      <w:rPr>
        <w:rFonts w:ascii="Calibri" w:hAnsi="Calibri" w:cs="Calibri"/>
        <w:i w:val="0"/>
        <w:szCs w:val="16"/>
        <w:u w:color="5B9BD5"/>
      </w:rPr>
    </w:pPr>
    <w:r w:rsidRPr="00372D3E">
      <w:rPr>
        <w:rFonts w:ascii="Calibri" w:hAnsi="Calibri" w:cs="Calibri"/>
        <w:i w:val="0"/>
        <w:szCs w:val="16"/>
        <w:u w:color="5B9BD5"/>
      </w:rPr>
      <w:t>MANAGEMENT’S DISCUSSION AND ANALYSIS (UNAUDITED)</w:t>
    </w:r>
  </w:p>
  <w:p w14:paraId="134C970A" w14:textId="77777777" w:rsidR="00BC0D69" w:rsidRPr="00372D3E" w:rsidRDefault="00BC0D69">
    <w:pPr>
      <w:rPr>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68F94" w14:textId="4E48490E" w:rsidR="00BC0D69" w:rsidRPr="00372D3E" w:rsidRDefault="00BC0D69" w:rsidP="00372D3E">
    <w:pPr>
      <w:pStyle w:val="Heading4"/>
      <w:pBdr>
        <w:bottom w:val="single" w:sz="8" w:space="1" w:color="000000" w:themeColor="text1"/>
      </w:pBdr>
      <w:rPr>
        <w:rFonts w:ascii="Calibri" w:hAnsi="Calibri" w:cs="Calibri"/>
        <w:i w:val="0"/>
        <w:szCs w:val="16"/>
        <w:u w:color="5B9BD5"/>
      </w:rPr>
    </w:pPr>
  </w:p>
  <w:p w14:paraId="38CEFE34" w14:textId="77777777" w:rsidR="00BC0D69" w:rsidRPr="00372D3E" w:rsidRDefault="00BC0D69">
    <w:pP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623F3"/>
    <w:multiLevelType w:val="hybridMultilevel"/>
    <w:tmpl w:val="08365BBE"/>
    <w:lvl w:ilvl="0" w:tplc="DA326982">
      <w:start w:val="5"/>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5115CA"/>
    <w:multiLevelType w:val="hybridMultilevel"/>
    <w:tmpl w:val="33B870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658114F"/>
    <w:multiLevelType w:val="hybridMultilevel"/>
    <w:tmpl w:val="4F469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A75C61"/>
    <w:multiLevelType w:val="hybridMultilevel"/>
    <w:tmpl w:val="7D2EE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64488"/>
    <w:multiLevelType w:val="hybridMultilevel"/>
    <w:tmpl w:val="D42AD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0B30DF"/>
    <w:multiLevelType w:val="hybridMultilevel"/>
    <w:tmpl w:val="3D2AE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273783"/>
    <w:multiLevelType w:val="hybridMultilevel"/>
    <w:tmpl w:val="D86428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D7503B1"/>
    <w:multiLevelType w:val="hybridMultilevel"/>
    <w:tmpl w:val="4FE209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A8118B"/>
    <w:multiLevelType w:val="hybridMultilevel"/>
    <w:tmpl w:val="64104A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E3F279B"/>
    <w:multiLevelType w:val="hybridMultilevel"/>
    <w:tmpl w:val="337A4C84"/>
    <w:lvl w:ilvl="0" w:tplc="BA6A1610">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EB27A16"/>
    <w:multiLevelType w:val="hybridMultilevel"/>
    <w:tmpl w:val="1C4624B0"/>
    <w:lvl w:ilvl="0" w:tplc="62FCD8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F626027"/>
    <w:multiLevelType w:val="multilevel"/>
    <w:tmpl w:val="19DA0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6E3095"/>
    <w:multiLevelType w:val="hybridMultilevel"/>
    <w:tmpl w:val="1EC241E8"/>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15:restartNumberingAfterBreak="0">
    <w:nsid w:val="12E221BC"/>
    <w:multiLevelType w:val="hybridMultilevel"/>
    <w:tmpl w:val="CDD28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7C3D94"/>
    <w:multiLevelType w:val="hybridMultilevel"/>
    <w:tmpl w:val="2FEE1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816142"/>
    <w:multiLevelType w:val="hybridMultilevel"/>
    <w:tmpl w:val="DE38C6F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6" w15:restartNumberingAfterBreak="0">
    <w:nsid w:val="13AD1134"/>
    <w:multiLevelType w:val="hybridMultilevel"/>
    <w:tmpl w:val="6E44901A"/>
    <w:lvl w:ilvl="0" w:tplc="9A842D1E">
      <w:numFmt w:val="bullet"/>
      <w:lvlText w:val=""/>
      <w:lvlJc w:val="left"/>
      <w:pPr>
        <w:ind w:left="899" w:hanging="361"/>
      </w:pPr>
      <w:rPr>
        <w:rFonts w:ascii="Symbol" w:eastAsia="Symbol" w:hAnsi="Symbol" w:cs="Symbol" w:hint="default"/>
        <w:b w:val="0"/>
        <w:bCs w:val="0"/>
        <w:i w:val="0"/>
        <w:iCs w:val="0"/>
        <w:w w:val="99"/>
        <w:sz w:val="22"/>
        <w:szCs w:val="22"/>
        <w:lang w:val="en-US" w:eastAsia="en-US" w:bidi="ar-SA"/>
      </w:rPr>
    </w:lvl>
    <w:lvl w:ilvl="1" w:tplc="4BC8A4E2">
      <w:numFmt w:val="bullet"/>
      <w:lvlText w:val="•"/>
      <w:lvlJc w:val="left"/>
      <w:pPr>
        <w:ind w:left="1848" w:hanging="361"/>
      </w:pPr>
      <w:rPr>
        <w:rFonts w:hint="default"/>
        <w:lang w:val="en-US" w:eastAsia="en-US" w:bidi="ar-SA"/>
      </w:rPr>
    </w:lvl>
    <w:lvl w:ilvl="2" w:tplc="04661CA6">
      <w:numFmt w:val="bullet"/>
      <w:lvlText w:val="•"/>
      <w:lvlJc w:val="left"/>
      <w:pPr>
        <w:ind w:left="2796" w:hanging="361"/>
      </w:pPr>
      <w:rPr>
        <w:rFonts w:hint="default"/>
        <w:lang w:val="en-US" w:eastAsia="en-US" w:bidi="ar-SA"/>
      </w:rPr>
    </w:lvl>
    <w:lvl w:ilvl="3" w:tplc="8BF471A4">
      <w:numFmt w:val="bullet"/>
      <w:lvlText w:val="•"/>
      <w:lvlJc w:val="left"/>
      <w:pPr>
        <w:ind w:left="3744" w:hanging="361"/>
      </w:pPr>
      <w:rPr>
        <w:rFonts w:hint="default"/>
        <w:lang w:val="en-US" w:eastAsia="en-US" w:bidi="ar-SA"/>
      </w:rPr>
    </w:lvl>
    <w:lvl w:ilvl="4" w:tplc="0C046890">
      <w:numFmt w:val="bullet"/>
      <w:lvlText w:val="•"/>
      <w:lvlJc w:val="left"/>
      <w:pPr>
        <w:ind w:left="4692" w:hanging="361"/>
      </w:pPr>
      <w:rPr>
        <w:rFonts w:hint="default"/>
        <w:lang w:val="en-US" w:eastAsia="en-US" w:bidi="ar-SA"/>
      </w:rPr>
    </w:lvl>
    <w:lvl w:ilvl="5" w:tplc="F1F286D8">
      <w:numFmt w:val="bullet"/>
      <w:lvlText w:val="•"/>
      <w:lvlJc w:val="left"/>
      <w:pPr>
        <w:ind w:left="5640" w:hanging="361"/>
      </w:pPr>
      <w:rPr>
        <w:rFonts w:hint="default"/>
        <w:lang w:val="en-US" w:eastAsia="en-US" w:bidi="ar-SA"/>
      </w:rPr>
    </w:lvl>
    <w:lvl w:ilvl="6" w:tplc="AD52909C">
      <w:numFmt w:val="bullet"/>
      <w:lvlText w:val="•"/>
      <w:lvlJc w:val="left"/>
      <w:pPr>
        <w:ind w:left="6588" w:hanging="361"/>
      </w:pPr>
      <w:rPr>
        <w:rFonts w:hint="default"/>
        <w:lang w:val="en-US" w:eastAsia="en-US" w:bidi="ar-SA"/>
      </w:rPr>
    </w:lvl>
    <w:lvl w:ilvl="7" w:tplc="3BE29846">
      <w:numFmt w:val="bullet"/>
      <w:lvlText w:val="•"/>
      <w:lvlJc w:val="left"/>
      <w:pPr>
        <w:ind w:left="7536" w:hanging="361"/>
      </w:pPr>
      <w:rPr>
        <w:rFonts w:hint="default"/>
        <w:lang w:val="en-US" w:eastAsia="en-US" w:bidi="ar-SA"/>
      </w:rPr>
    </w:lvl>
    <w:lvl w:ilvl="8" w:tplc="1D14ED74">
      <w:numFmt w:val="bullet"/>
      <w:lvlText w:val="•"/>
      <w:lvlJc w:val="left"/>
      <w:pPr>
        <w:ind w:left="8484" w:hanging="361"/>
      </w:pPr>
      <w:rPr>
        <w:rFonts w:hint="default"/>
        <w:lang w:val="en-US" w:eastAsia="en-US" w:bidi="ar-SA"/>
      </w:rPr>
    </w:lvl>
  </w:abstractNum>
  <w:abstractNum w:abstractNumId="17" w15:restartNumberingAfterBreak="0">
    <w:nsid w:val="15510748"/>
    <w:multiLevelType w:val="hybridMultilevel"/>
    <w:tmpl w:val="25048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74449B1"/>
    <w:multiLevelType w:val="hybridMultilevel"/>
    <w:tmpl w:val="DBAA818C"/>
    <w:lvl w:ilvl="0" w:tplc="85C4536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8536024"/>
    <w:multiLevelType w:val="hybridMultilevel"/>
    <w:tmpl w:val="40CE7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570455"/>
    <w:multiLevelType w:val="hybridMultilevel"/>
    <w:tmpl w:val="7A8A5EDE"/>
    <w:lvl w:ilvl="0" w:tplc="70AA8B38">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D57724"/>
    <w:multiLevelType w:val="hybridMultilevel"/>
    <w:tmpl w:val="D4509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F90055E"/>
    <w:multiLevelType w:val="hybridMultilevel"/>
    <w:tmpl w:val="37983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4D2E2F"/>
    <w:multiLevelType w:val="hybridMultilevel"/>
    <w:tmpl w:val="52D6509E"/>
    <w:lvl w:ilvl="0" w:tplc="E3AE206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6043A7"/>
    <w:multiLevelType w:val="hybridMultilevel"/>
    <w:tmpl w:val="56848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F770A5"/>
    <w:multiLevelType w:val="hybridMultilevel"/>
    <w:tmpl w:val="6D8AB4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2B21E4C"/>
    <w:multiLevelType w:val="hybridMultilevel"/>
    <w:tmpl w:val="1E5C0562"/>
    <w:lvl w:ilvl="0" w:tplc="BA6A1610">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296AC1"/>
    <w:multiLevelType w:val="hybridMultilevel"/>
    <w:tmpl w:val="932EC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4A615B"/>
    <w:multiLevelType w:val="hybridMultilevel"/>
    <w:tmpl w:val="52BC7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B25CB8"/>
    <w:multiLevelType w:val="hybridMultilevel"/>
    <w:tmpl w:val="7B608696"/>
    <w:lvl w:ilvl="0" w:tplc="B524DBDC">
      <w:start w:val="1"/>
      <w:numFmt w:val="decimal"/>
      <w:lvlText w:val="%1."/>
      <w:lvlJc w:val="left"/>
      <w:pPr>
        <w:ind w:left="720" w:hanging="360"/>
      </w:pPr>
      <w:rPr>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8794513"/>
    <w:multiLevelType w:val="hybridMultilevel"/>
    <w:tmpl w:val="4F2A85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3B5B4DB9"/>
    <w:multiLevelType w:val="hybridMultilevel"/>
    <w:tmpl w:val="09405C6C"/>
    <w:lvl w:ilvl="0" w:tplc="D31435F2">
      <w:start w:val="1"/>
      <w:numFmt w:val="decimal"/>
      <w:lvlText w:val="Level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C863339"/>
    <w:multiLevelType w:val="hybridMultilevel"/>
    <w:tmpl w:val="97BEB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D7625E5"/>
    <w:multiLevelType w:val="hybridMultilevel"/>
    <w:tmpl w:val="DE5C3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DFC3644"/>
    <w:multiLevelType w:val="hybridMultilevel"/>
    <w:tmpl w:val="637883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0E96B4F"/>
    <w:multiLevelType w:val="hybridMultilevel"/>
    <w:tmpl w:val="2E304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6F446E9"/>
    <w:multiLevelType w:val="hybridMultilevel"/>
    <w:tmpl w:val="1D103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7217E88"/>
    <w:multiLevelType w:val="hybridMultilevel"/>
    <w:tmpl w:val="E1448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D74320C"/>
    <w:multiLevelType w:val="multilevel"/>
    <w:tmpl w:val="88885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F4A1683"/>
    <w:multiLevelType w:val="hybridMultilevel"/>
    <w:tmpl w:val="AEB277C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0" w15:restartNumberingAfterBreak="0">
    <w:nsid w:val="521B2410"/>
    <w:multiLevelType w:val="hybridMultilevel"/>
    <w:tmpl w:val="5E0E9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69B3FDA"/>
    <w:multiLevelType w:val="hybridMultilevel"/>
    <w:tmpl w:val="980CA0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866091C"/>
    <w:multiLevelType w:val="hybridMultilevel"/>
    <w:tmpl w:val="DDD48ED8"/>
    <w:lvl w:ilvl="0" w:tplc="8B6AD58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9462405"/>
    <w:multiLevelType w:val="hybridMultilevel"/>
    <w:tmpl w:val="2BAA5C1E"/>
    <w:lvl w:ilvl="0" w:tplc="3C8AC7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E280020"/>
    <w:multiLevelType w:val="hybridMultilevel"/>
    <w:tmpl w:val="096CDB8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5" w15:restartNumberingAfterBreak="0">
    <w:nsid w:val="5F8943AF"/>
    <w:multiLevelType w:val="hybridMultilevel"/>
    <w:tmpl w:val="83E8F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FDB1E3E"/>
    <w:multiLevelType w:val="hybridMultilevel"/>
    <w:tmpl w:val="E7F42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243783B"/>
    <w:multiLevelType w:val="hybridMultilevel"/>
    <w:tmpl w:val="DBAA818C"/>
    <w:lvl w:ilvl="0" w:tplc="85C4536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2B755DB"/>
    <w:multiLevelType w:val="multilevel"/>
    <w:tmpl w:val="E9562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3033984"/>
    <w:multiLevelType w:val="hybridMultilevel"/>
    <w:tmpl w:val="DBAA818C"/>
    <w:lvl w:ilvl="0" w:tplc="85C4536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3D4047C"/>
    <w:multiLevelType w:val="hybridMultilevel"/>
    <w:tmpl w:val="26389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6D302B0"/>
    <w:multiLevelType w:val="hybridMultilevel"/>
    <w:tmpl w:val="8ABCBB12"/>
    <w:lvl w:ilvl="0" w:tplc="BBFA12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691F23C4"/>
    <w:multiLevelType w:val="hybridMultilevel"/>
    <w:tmpl w:val="BD2A8920"/>
    <w:lvl w:ilvl="0" w:tplc="15DA8CA0">
      <w:numFmt w:val="bullet"/>
      <w:lvlText w:val=""/>
      <w:lvlJc w:val="left"/>
      <w:pPr>
        <w:ind w:left="839" w:hanging="361"/>
      </w:pPr>
      <w:rPr>
        <w:rFonts w:ascii="Symbol" w:eastAsia="Symbol" w:hAnsi="Symbol" w:cs="Symbol" w:hint="default"/>
        <w:b w:val="0"/>
        <w:bCs w:val="0"/>
        <w:i w:val="0"/>
        <w:iCs w:val="0"/>
        <w:w w:val="99"/>
        <w:sz w:val="22"/>
        <w:szCs w:val="22"/>
        <w:lang w:val="en-US" w:eastAsia="en-US" w:bidi="ar-SA"/>
      </w:rPr>
    </w:lvl>
    <w:lvl w:ilvl="1" w:tplc="6C1CF5FA">
      <w:numFmt w:val="bullet"/>
      <w:lvlText w:val="•"/>
      <w:lvlJc w:val="left"/>
      <w:pPr>
        <w:ind w:left="1788" w:hanging="361"/>
      </w:pPr>
      <w:rPr>
        <w:rFonts w:hint="default"/>
        <w:lang w:val="en-US" w:eastAsia="en-US" w:bidi="ar-SA"/>
      </w:rPr>
    </w:lvl>
    <w:lvl w:ilvl="2" w:tplc="04F206A8">
      <w:numFmt w:val="bullet"/>
      <w:lvlText w:val="•"/>
      <w:lvlJc w:val="left"/>
      <w:pPr>
        <w:ind w:left="2736" w:hanging="361"/>
      </w:pPr>
      <w:rPr>
        <w:rFonts w:hint="default"/>
        <w:lang w:val="en-US" w:eastAsia="en-US" w:bidi="ar-SA"/>
      </w:rPr>
    </w:lvl>
    <w:lvl w:ilvl="3" w:tplc="B36CA9E0">
      <w:numFmt w:val="bullet"/>
      <w:lvlText w:val="•"/>
      <w:lvlJc w:val="left"/>
      <w:pPr>
        <w:ind w:left="3684" w:hanging="361"/>
      </w:pPr>
      <w:rPr>
        <w:rFonts w:hint="default"/>
        <w:lang w:val="en-US" w:eastAsia="en-US" w:bidi="ar-SA"/>
      </w:rPr>
    </w:lvl>
    <w:lvl w:ilvl="4" w:tplc="9032361C">
      <w:numFmt w:val="bullet"/>
      <w:lvlText w:val="•"/>
      <w:lvlJc w:val="left"/>
      <w:pPr>
        <w:ind w:left="4632" w:hanging="361"/>
      </w:pPr>
      <w:rPr>
        <w:rFonts w:hint="default"/>
        <w:lang w:val="en-US" w:eastAsia="en-US" w:bidi="ar-SA"/>
      </w:rPr>
    </w:lvl>
    <w:lvl w:ilvl="5" w:tplc="4A5889C4">
      <w:numFmt w:val="bullet"/>
      <w:lvlText w:val="•"/>
      <w:lvlJc w:val="left"/>
      <w:pPr>
        <w:ind w:left="5580" w:hanging="361"/>
      </w:pPr>
      <w:rPr>
        <w:rFonts w:hint="default"/>
        <w:lang w:val="en-US" w:eastAsia="en-US" w:bidi="ar-SA"/>
      </w:rPr>
    </w:lvl>
    <w:lvl w:ilvl="6" w:tplc="BD18BAA0">
      <w:numFmt w:val="bullet"/>
      <w:lvlText w:val="•"/>
      <w:lvlJc w:val="left"/>
      <w:pPr>
        <w:ind w:left="6528" w:hanging="361"/>
      </w:pPr>
      <w:rPr>
        <w:rFonts w:hint="default"/>
        <w:lang w:val="en-US" w:eastAsia="en-US" w:bidi="ar-SA"/>
      </w:rPr>
    </w:lvl>
    <w:lvl w:ilvl="7" w:tplc="2D928A00">
      <w:numFmt w:val="bullet"/>
      <w:lvlText w:val="•"/>
      <w:lvlJc w:val="left"/>
      <w:pPr>
        <w:ind w:left="7476" w:hanging="361"/>
      </w:pPr>
      <w:rPr>
        <w:rFonts w:hint="default"/>
        <w:lang w:val="en-US" w:eastAsia="en-US" w:bidi="ar-SA"/>
      </w:rPr>
    </w:lvl>
    <w:lvl w:ilvl="8" w:tplc="ACE69F78">
      <w:numFmt w:val="bullet"/>
      <w:lvlText w:val="•"/>
      <w:lvlJc w:val="left"/>
      <w:pPr>
        <w:ind w:left="8424" w:hanging="361"/>
      </w:pPr>
      <w:rPr>
        <w:rFonts w:hint="default"/>
        <w:lang w:val="en-US" w:eastAsia="en-US" w:bidi="ar-SA"/>
      </w:rPr>
    </w:lvl>
  </w:abstractNum>
  <w:abstractNum w:abstractNumId="53" w15:restartNumberingAfterBreak="0">
    <w:nsid w:val="69D02EFE"/>
    <w:multiLevelType w:val="multilevel"/>
    <w:tmpl w:val="D24C2368"/>
    <w:lvl w:ilvl="0">
      <w:start w:val="1"/>
      <w:numFmt w:val="decimal"/>
      <w:pStyle w:val="LTNumber1"/>
      <w:lvlText w:val="%1."/>
      <w:lvlJc w:val="left"/>
      <w:pPr>
        <w:tabs>
          <w:tab w:val="num" w:pos="547"/>
        </w:tabs>
        <w:ind w:left="547" w:hanging="547"/>
      </w:pPr>
      <w:rPr>
        <w:rFonts w:ascii="Times New Roman" w:hAnsi="Times New Roman" w:hint="default"/>
        <w:b w:val="0"/>
        <w:i w:val="0"/>
        <w:caps w:val="0"/>
        <w:strike w:val="0"/>
        <w:dstrike w:val="0"/>
        <w:vanish w:val="0"/>
        <w:color w:val="auto"/>
        <w:sz w:val="22"/>
        <w:szCs w:val="22"/>
        <w:u w:val="none"/>
        <w:vertAlign w:val="baseline"/>
      </w:rPr>
    </w:lvl>
    <w:lvl w:ilvl="1">
      <w:start w:val="1"/>
      <w:numFmt w:val="lowerLetter"/>
      <w:pStyle w:val="LTNumber2"/>
      <w:lvlText w:val="(%2)"/>
      <w:lvlJc w:val="left"/>
      <w:pPr>
        <w:tabs>
          <w:tab w:val="num" w:pos="1094"/>
        </w:tabs>
        <w:ind w:left="1094" w:hanging="547"/>
      </w:pPr>
      <w:rPr>
        <w:rFonts w:ascii="Times New Roman" w:hAnsi="Times New Roman" w:hint="default"/>
        <w:b w:val="0"/>
        <w:i w:val="0"/>
        <w:caps w:val="0"/>
        <w:strike w:val="0"/>
        <w:dstrike w:val="0"/>
        <w:vanish w:val="0"/>
        <w:color w:val="auto"/>
        <w:sz w:val="22"/>
        <w:szCs w:val="22"/>
        <w:u w:val="none"/>
        <w:vertAlign w:val="baseline"/>
      </w:rPr>
    </w:lvl>
    <w:lvl w:ilvl="2">
      <w:start w:val="1"/>
      <w:numFmt w:val="lowerRoman"/>
      <w:lvlText w:val="%3)"/>
      <w:lvlJc w:val="left"/>
      <w:pPr>
        <w:tabs>
          <w:tab w:val="num" w:pos="1267"/>
        </w:tabs>
        <w:ind w:left="1267" w:hanging="360"/>
      </w:pPr>
      <w:rPr>
        <w:rFonts w:hint="default"/>
      </w:rPr>
    </w:lvl>
    <w:lvl w:ilvl="3">
      <w:start w:val="1"/>
      <w:numFmt w:val="decimal"/>
      <w:lvlText w:val="(%4)"/>
      <w:lvlJc w:val="left"/>
      <w:pPr>
        <w:tabs>
          <w:tab w:val="num" w:pos="1627"/>
        </w:tabs>
        <w:ind w:left="1627" w:hanging="360"/>
      </w:pPr>
      <w:rPr>
        <w:rFonts w:hint="default"/>
      </w:rPr>
    </w:lvl>
    <w:lvl w:ilvl="4">
      <w:start w:val="1"/>
      <w:numFmt w:val="lowerLetter"/>
      <w:lvlText w:val="(%5)"/>
      <w:lvlJc w:val="left"/>
      <w:pPr>
        <w:tabs>
          <w:tab w:val="num" w:pos="1987"/>
        </w:tabs>
        <w:ind w:left="1987" w:hanging="360"/>
      </w:pPr>
      <w:rPr>
        <w:rFonts w:hint="default"/>
      </w:rPr>
    </w:lvl>
    <w:lvl w:ilvl="5">
      <w:start w:val="1"/>
      <w:numFmt w:val="lowerRoman"/>
      <w:lvlText w:val="(%6)"/>
      <w:lvlJc w:val="left"/>
      <w:pPr>
        <w:tabs>
          <w:tab w:val="num" w:pos="2347"/>
        </w:tabs>
        <w:ind w:left="2347" w:hanging="360"/>
      </w:pPr>
      <w:rPr>
        <w:rFonts w:hint="default"/>
      </w:rPr>
    </w:lvl>
    <w:lvl w:ilvl="6">
      <w:start w:val="1"/>
      <w:numFmt w:val="decimal"/>
      <w:lvlText w:val="%7."/>
      <w:lvlJc w:val="left"/>
      <w:pPr>
        <w:tabs>
          <w:tab w:val="num" w:pos="2707"/>
        </w:tabs>
        <w:ind w:left="2707" w:hanging="360"/>
      </w:pPr>
      <w:rPr>
        <w:rFonts w:hint="default"/>
      </w:rPr>
    </w:lvl>
    <w:lvl w:ilvl="7">
      <w:start w:val="1"/>
      <w:numFmt w:val="lowerLetter"/>
      <w:lvlText w:val="%8."/>
      <w:lvlJc w:val="left"/>
      <w:pPr>
        <w:tabs>
          <w:tab w:val="num" w:pos="3067"/>
        </w:tabs>
        <w:ind w:left="3067" w:hanging="360"/>
      </w:pPr>
      <w:rPr>
        <w:rFonts w:hint="default"/>
      </w:rPr>
    </w:lvl>
    <w:lvl w:ilvl="8">
      <w:start w:val="1"/>
      <w:numFmt w:val="lowerRoman"/>
      <w:lvlText w:val="%9."/>
      <w:lvlJc w:val="left"/>
      <w:pPr>
        <w:tabs>
          <w:tab w:val="num" w:pos="3427"/>
        </w:tabs>
        <w:ind w:left="3427" w:hanging="360"/>
      </w:pPr>
      <w:rPr>
        <w:rFonts w:hint="default"/>
      </w:rPr>
    </w:lvl>
  </w:abstractNum>
  <w:abstractNum w:abstractNumId="54" w15:restartNumberingAfterBreak="0">
    <w:nsid w:val="6A1037E4"/>
    <w:multiLevelType w:val="hybridMultilevel"/>
    <w:tmpl w:val="43163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A3010A5"/>
    <w:multiLevelType w:val="hybridMultilevel"/>
    <w:tmpl w:val="67105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A4352BC"/>
    <w:multiLevelType w:val="hybridMultilevel"/>
    <w:tmpl w:val="99666E2E"/>
    <w:lvl w:ilvl="0" w:tplc="EA5434D6">
      <w:start w:val="1"/>
      <w:numFmt w:val="bullet"/>
      <w:lvlText w:val="*"/>
      <w:lvlJc w:val="left"/>
      <w:pPr>
        <w:tabs>
          <w:tab w:val="num" w:pos="2880"/>
        </w:tabs>
        <w:ind w:left="2880" w:hanging="360"/>
      </w:pPr>
      <w:rPr>
        <w:rFonts w:ascii="Times New Roman" w:hAnsi="Times New Roman" w:cs="Times New Roman"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F">
      <w:start w:val="1"/>
      <w:numFmt w:val="decimal"/>
      <w:lvlText w:val="%3."/>
      <w:lvlJc w:val="left"/>
      <w:pPr>
        <w:tabs>
          <w:tab w:val="num" w:pos="3600"/>
        </w:tabs>
        <w:ind w:left="3600" w:hanging="360"/>
      </w:pPr>
      <w:rPr>
        <w:rFont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7" w15:restartNumberingAfterBreak="0">
    <w:nsid w:val="6B7E0F10"/>
    <w:multiLevelType w:val="hybridMultilevel"/>
    <w:tmpl w:val="F13C3566"/>
    <w:lvl w:ilvl="0" w:tplc="097C13BC">
      <w:numFmt w:val="bullet"/>
      <w:lvlText w:val=""/>
      <w:lvlJc w:val="left"/>
      <w:pPr>
        <w:ind w:left="837" w:hanging="361"/>
      </w:pPr>
      <w:rPr>
        <w:rFonts w:ascii="Symbol" w:eastAsia="Symbol" w:hAnsi="Symbol" w:cs="Symbol" w:hint="default"/>
        <w:b w:val="0"/>
        <w:bCs w:val="0"/>
        <w:i w:val="0"/>
        <w:iCs w:val="0"/>
        <w:spacing w:val="0"/>
        <w:w w:val="100"/>
        <w:sz w:val="22"/>
        <w:szCs w:val="22"/>
        <w:lang w:val="en-US" w:eastAsia="en-US" w:bidi="ar-SA"/>
      </w:rPr>
    </w:lvl>
    <w:lvl w:ilvl="1" w:tplc="637E2F04">
      <w:numFmt w:val="bullet"/>
      <w:lvlText w:val="•"/>
      <w:lvlJc w:val="left"/>
      <w:pPr>
        <w:ind w:left="1788" w:hanging="361"/>
      </w:pPr>
      <w:rPr>
        <w:rFonts w:hint="default"/>
        <w:lang w:val="en-US" w:eastAsia="en-US" w:bidi="ar-SA"/>
      </w:rPr>
    </w:lvl>
    <w:lvl w:ilvl="2" w:tplc="211CA564">
      <w:numFmt w:val="bullet"/>
      <w:lvlText w:val="•"/>
      <w:lvlJc w:val="left"/>
      <w:pPr>
        <w:ind w:left="2736" w:hanging="361"/>
      </w:pPr>
      <w:rPr>
        <w:rFonts w:hint="default"/>
        <w:lang w:val="en-US" w:eastAsia="en-US" w:bidi="ar-SA"/>
      </w:rPr>
    </w:lvl>
    <w:lvl w:ilvl="3" w:tplc="A02AD628">
      <w:numFmt w:val="bullet"/>
      <w:lvlText w:val="•"/>
      <w:lvlJc w:val="left"/>
      <w:pPr>
        <w:ind w:left="3684" w:hanging="361"/>
      </w:pPr>
      <w:rPr>
        <w:rFonts w:hint="default"/>
        <w:lang w:val="en-US" w:eastAsia="en-US" w:bidi="ar-SA"/>
      </w:rPr>
    </w:lvl>
    <w:lvl w:ilvl="4" w:tplc="60A2957C">
      <w:numFmt w:val="bullet"/>
      <w:lvlText w:val="•"/>
      <w:lvlJc w:val="left"/>
      <w:pPr>
        <w:ind w:left="4632" w:hanging="361"/>
      </w:pPr>
      <w:rPr>
        <w:rFonts w:hint="default"/>
        <w:lang w:val="en-US" w:eastAsia="en-US" w:bidi="ar-SA"/>
      </w:rPr>
    </w:lvl>
    <w:lvl w:ilvl="5" w:tplc="51FA41D0">
      <w:numFmt w:val="bullet"/>
      <w:lvlText w:val="•"/>
      <w:lvlJc w:val="left"/>
      <w:pPr>
        <w:ind w:left="5580" w:hanging="361"/>
      </w:pPr>
      <w:rPr>
        <w:rFonts w:hint="default"/>
        <w:lang w:val="en-US" w:eastAsia="en-US" w:bidi="ar-SA"/>
      </w:rPr>
    </w:lvl>
    <w:lvl w:ilvl="6" w:tplc="5C104790">
      <w:numFmt w:val="bullet"/>
      <w:lvlText w:val="•"/>
      <w:lvlJc w:val="left"/>
      <w:pPr>
        <w:ind w:left="6528" w:hanging="361"/>
      </w:pPr>
      <w:rPr>
        <w:rFonts w:hint="default"/>
        <w:lang w:val="en-US" w:eastAsia="en-US" w:bidi="ar-SA"/>
      </w:rPr>
    </w:lvl>
    <w:lvl w:ilvl="7" w:tplc="D166E554">
      <w:numFmt w:val="bullet"/>
      <w:lvlText w:val="•"/>
      <w:lvlJc w:val="left"/>
      <w:pPr>
        <w:ind w:left="7476" w:hanging="361"/>
      </w:pPr>
      <w:rPr>
        <w:rFonts w:hint="default"/>
        <w:lang w:val="en-US" w:eastAsia="en-US" w:bidi="ar-SA"/>
      </w:rPr>
    </w:lvl>
    <w:lvl w:ilvl="8" w:tplc="62E0A656">
      <w:numFmt w:val="bullet"/>
      <w:lvlText w:val="•"/>
      <w:lvlJc w:val="left"/>
      <w:pPr>
        <w:ind w:left="8424" w:hanging="361"/>
      </w:pPr>
      <w:rPr>
        <w:rFonts w:hint="default"/>
        <w:lang w:val="en-US" w:eastAsia="en-US" w:bidi="ar-SA"/>
      </w:rPr>
    </w:lvl>
  </w:abstractNum>
  <w:abstractNum w:abstractNumId="58" w15:restartNumberingAfterBreak="0">
    <w:nsid w:val="6C9A2DE9"/>
    <w:multiLevelType w:val="hybridMultilevel"/>
    <w:tmpl w:val="EFAE6D62"/>
    <w:lvl w:ilvl="0" w:tplc="D31435F2">
      <w:start w:val="1"/>
      <w:numFmt w:val="decimal"/>
      <w:lvlText w:val="Level %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71186451"/>
    <w:multiLevelType w:val="hybridMultilevel"/>
    <w:tmpl w:val="E13C7A82"/>
    <w:lvl w:ilvl="0" w:tplc="BA6A16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5DF3414"/>
    <w:multiLevelType w:val="hybridMultilevel"/>
    <w:tmpl w:val="33C44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60E52B2"/>
    <w:multiLevelType w:val="hybridMultilevel"/>
    <w:tmpl w:val="67DE197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78ED79FC"/>
    <w:multiLevelType w:val="hybridMultilevel"/>
    <w:tmpl w:val="2C82008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3" w15:restartNumberingAfterBreak="0">
    <w:nsid w:val="7B4027DA"/>
    <w:multiLevelType w:val="hybridMultilevel"/>
    <w:tmpl w:val="3D925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D882737"/>
    <w:multiLevelType w:val="hybridMultilevel"/>
    <w:tmpl w:val="210AE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DCC5B13"/>
    <w:multiLevelType w:val="multilevel"/>
    <w:tmpl w:val="6D8C0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08378779">
    <w:abstractNumId w:val="39"/>
  </w:num>
  <w:num w:numId="2" w16cid:durableId="1032464987">
    <w:abstractNumId w:val="61"/>
  </w:num>
  <w:num w:numId="3" w16cid:durableId="1156532339">
    <w:abstractNumId w:val="53"/>
  </w:num>
  <w:num w:numId="4" w16cid:durableId="521473769">
    <w:abstractNumId w:val="35"/>
  </w:num>
  <w:num w:numId="5" w16cid:durableId="426508325">
    <w:abstractNumId w:val="40"/>
  </w:num>
  <w:num w:numId="6" w16cid:durableId="63450589">
    <w:abstractNumId w:val="7"/>
  </w:num>
  <w:num w:numId="7" w16cid:durableId="7416599">
    <w:abstractNumId w:val="31"/>
  </w:num>
  <w:num w:numId="8" w16cid:durableId="643123671">
    <w:abstractNumId w:val="58"/>
  </w:num>
  <w:num w:numId="9" w16cid:durableId="814299289">
    <w:abstractNumId w:val="12"/>
  </w:num>
  <w:num w:numId="10" w16cid:durableId="1244216222">
    <w:abstractNumId w:val="49"/>
  </w:num>
  <w:num w:numId="11" w16cid:durableId="1519462146">
    <w:abstractNumId w:val="29"/>
  </w:num>
  <w:num w:numId="12" w16cid:durableId="1605768443">
    <w:abstractNumId w:val="56"/>
    <w:lvlOverride w:ilvl="0"/>
    <w:lvlOverride w:ilvl="1"/>
    <w:lvlOverride w:ilvl="2">
      <w:startOverride w:val="1"/>
    </w:lvlOverride>
    <w:lvlOverride w:ilvl="3"/>
    <w:lvlOverride w:ilvl="4"/>
    <w:lvlOverride w:ilvl="5"/>
    <w:lvlOverride w:ilvl="6"/>
    <w:lvlOverride w:ilvl="7"/>
    <w:lvlOverride w:ilvl="8"/>
  </w:num>
  <w:num w:numId="13" w16cid:durableId="1652909471">
    <w:abstractNumId w:val="33"/>
  </w:num>
  <w:num w:numId="14" w16cid:durableId="757560063">
    <w:abstractNumId w:val="21"/>
  </w:num>
  <w:num w:numId="15" w16cid:durableId="67533200">
    <w:abstractNumId w:val="62"/>
  </w:num>
  <w:num w:numId="16" w16cid:durableId="673149139">
    <w:abstractNumId w:val="63"/>
  </w:num>
  <w:num w:numId="17" w16cid:durableId="532890009">
    <w:abstractNumId w:val="46"/>
  </w:num>
  <w:num w:numId="18" w16cid:durableId="1912231356">
    <w:abstractNumId w:val="2"/>
  </w:num>
  <w:num w:numId="19" w16cid:durableId="332949604">
    <w:abstractNumId w:val="22"/>
  </w:num>
  <w:num w:numId="20" w16cid:durableId="2097944711">
    <w:abstractNumId w:val="24"/>
  </w:num>
  <w:num w:numId="21" w16cid:durableId="1999265867">
    <w:abstractNumId w:val="17"/>
  </w:num>
  <w:num w:numId="22" w16cid:durableId="1131283520">
    <w:abstractNumId w:val="11"/>
  </w:num>
  <w:num w:numId="23" w16cid:durableId="241838768">
    <w:abstractNumId w:val="44"/>
  </w:num>
  <w:num w:numId="24" w16cid:durableId="181477910">
    <w:abstractNumId w:val="14"/>
  </w:num>
  <w:num w:numId="25" w16cid:durableId="545222517">
    <w:abstractNumId w:val="19"/>
  </w:num>
  <w:num w:numId="26" w16cid:durableId="1174342117">
    <w:abstractNumId w:val="23"/>
  </w:num>
  <w:num w:numId="27" w16cid:durableId="380447153">
    <w:abstractNumId w:val="18"/>
  </w:num>
  <w:num w:numId="28" w16cid:durableId="1282303276">
    <w:abstractNumId w:val="52"/>
  </w:num>
  <w:num w:numId="29" w16cid:durableId="278487509">
    <w:abstractNumId w:val="16"/>
  </w:num>
  <w:num w:numId="30" w16cid:durableId="429084506">
    <w:abstractNumId w:val="15"/>
  </w:num>
  <w:num w:numId="31" w16cid:durableId="1047755482">
    <w:abstractNumId w:val="5"/>
  </w:num>
  <w:num w:numId="32" w16cid:durableId="769393355">
    <w:abstractNumId w:val="34"/>
  </w:num>
  <w:num w:numId="33" w16cid:durableId="921912326">
    <w:abstractNumId w:val="57"/>
  </w:num>
  <w:num w:numId="34" w16cid:durableId="1838377903">
    <w:abstractNumId w:val="55"/>
  </w:num>
  <w:num w:numId="35" w16cid:durableId="1643845100">
    <w:abstractNumId w:val="60"/>
  </w:num>
  <w:num w:numId="36" w16cid:durableId="253324482">
    <w:abstractNumId w:val="59"/>
  </w:num>
  <w:num w:numId="37" w16cid:durableId="1710109849">
    <w:abstractNumId w:val="26"/>
  </w:num>
  <w:num w:numId="38" w16cid:durableId="1226716753">
    <w:abstractNumId w:val="9"/>
  </w:num>
  <w:num w:numId="39" w16cid:durableId="1564870446">
    <w:abstractNumId w:val="1"/>
  </w:num>
  <w:num w:numId="40" w16cid:durableId="1905800338">
    <w:abstractNumId w:val="51"/>
  </w:num>
  <w:num w:numId="41" w16cid:durableId="1386026943">
    <w:abstractNumId w:val="25"/>
  </w:num>
  <w:num w:numId="42" w16cid:durableId="1646666702">
    <w:abstractNumId w:val="6"/>
  </w:num>
  <w:num w:numId="43" w16cid:durableId="406195477">
    <w:abstractNumId w:val="50"/>
  </w:num>
  <w:num w:numId="44" w16cid:durableId="168561804">
    <w:abstractNumId w:val="47"/>
  </w:num>
  <w:num w:numId="45" w16cid:durableId="2081705937">
    <w:abstractNumId w:val="28"/>
  </w:num>
  <w:num w:numId="46" w16cid:durableId="1666200861">
    <w:abstractNumId w:val="13"/>
  </w:num>
  <w:num w:numId="47" w16cid:durableId="738794936">
    <w:abstractNumId w:val="30"/>
  </w:num>
  <w:num w:numId="48" w16cid:durableId="548498507">
    <w:abstractNumId w:val="10"/>
  </w:num>
  <w:num w:numId="49" w16cid:durableId="1598099827">
    <w:abstractNumId w:val="8"/>
  </w:num>
  <w:num w:numId="50" w16cid:durableId="98645372">
    <w:abstractNumId w:val="0"/>
  </w:num>
  <w:num w:numId="51" w16cid:durableId="1610963019">
    <w:abstractNumId w:val="3"/>
  </w:num>
  <w:num w:numId="52" w16cid:durableId="802886548">
    <w:abstractNumId w:val="42"/>
  </w:num>
  <w:num w:numId="53" w16cid:durableId="983778246">
    <w:abstractNumId w:val="41"/>
  </w:num>
  <w:num w:numId="54" w16cid:durableId="214850488">
    <w:abstractNumId w:val="27"/>
  </w:num>
  <w:num w:numId="55" w16cid:durableId="1776945451">
    <w:abstractNumId w:val="37"/>
  </w:num>
  <w:num w:numId="56" w16cid:durableId="64767284">
    <w:abstractNumId w:val="4"/>
  </w:num>
  <w:num w:numId="57" w16cid:durableId="133522253">
    <w:abstractNumId w:val="38"/>
  </w:num>
  <w:num w:numId="58" w16cid:durableId="52048834">
    <w:abstractNumId w:val="65"/>
  </w:num>
  <w:num w:numId="59" w16cid:durableId="1138495723">
    <w:abstractNumId w:val="48"/>
  </w:num>
  <w:num w:numId="60" w16cid:durableId="189419193">
    <w:abstractNumId w:val="43"/>
  </w:num>
  <w:num w:numId="61" w16cid:durableId="1857887391">
    <w:abstractNumId w:val="64"/>
  </w:num>
  <w:num w:numId="62" w16cid:durableId="699547942">
    <w:abstractNumId w:val="20"/>
  </w:num>
  <w:num w:numId="63" w16cid:durableId="1082489073">
    <w:abstractNumId w:val="54"/>
  </w:num>
  <w:num w:numId="64" w16cid:durableId="7486253">
    <w:abstractNumId w:val="45"/>
  </w:num>
  <w:num w:numId="65" w16cid:durableId="1739209780">
    <w:abstractNumId w:val="36"/>
  </w:num>
  <w:num w:numId="66" w16cid:durableId="17317169">
    <w:abstractNumId w:val="3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28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1612"/>
    <w:rsid w:val="0000093D"/>
    <w:rsid w:val="00001D14"/>
    <w:rsid w:val="00001E97"/>
    <w:rsid w:val="00003B13"/>
    <w:rsid w:val="000041DC"/>
    <w:rsid w:val="00005323"/>
    <w:rsid w:val="00007258"/>
    <w:rsid w:val="000102C2"/>
    <w:rsid w:val="00013D9C"/>
    <w:rsid w:val="000145C1"/>
    <w:rsid w:val="0001540B"/>
    <w:rsid w:val="00015E20"/>
    <w:rsid w:val="00021729"/>
    <w:rsid w:val="00021D0D"/>
    <w:rsid w:val="0002276B"/>
    <w:rsid w:val="000236DA"/>
    <w:rsid w:val="0002480A"/>
    <w:rsid w:val="00024993"/>
    <w:rsid w:val="00025347"/>
    <w:rsid w:val="0002675C"/>
    <w:rsid w:val="00027572"/>
    <w:rsid w:val="0003105E"/>
    <w:rsid w:val="000320FC"/>
    <w:rsid w:val="0003250F"/>
    <w:rsid w:val="000335D8"/>
    <w:rsid w:val="00033E4B"/>
    <w:rsid w:val="00034CB5"/>
    <w:rsid w:val="00034DE3"/>
    <w:rsid w:val="00036973"/>
    <w:rsid w:val="0004167B"/>
    <w:rsid w:val="0004410B"/>
    <w:rsid w:val="000455FF"/>
    <w:rsid w:val="00045DD1"/>
    <w:rsid w:val="00047AD9"/>
    <w:rsid w:val="00047CB4"/>
    <w:rsid w:val="000515B5"/>
    <w:rsid w:val="00051B51"/>
    <w:rsid w:val="0005659A"/>
    <w:rsid w:val="00056742"/>
    <w:rsid w:val="000579F0"/>
    <w:rsid w:val="000600E7"/>
    <w:rsid w:val="0006026E"/>
    <w:rsid w:val="00060378"/>
    <w:rsid w:val="00061675"/>
    <w:rsid w:val="00061699"/>
    <w:rsid w:val="00063FA1"/>
    <w:rsid w:val="00067611"/>
    <w:rsid w:val="000704F4"/>
    <w:rsid w:val="00073A1D"/>
    <w:rsid w:val="00074083"/>
    <w:rsid w:val="000779BE"/>
    <w:rsid w:val="00081645"/>
    <w:rsid w:val="00082185"/>
    <w:rsid w:val="00082BB3"/>
    <w:rsid w:val="000842F5"/>
    <w:rsid w:val="00085184"/>
    <w:rsid w:val="00085472"/>
    <w:rsid w:val="00086559"/>
    <w:rsid w:val="00094066"/>
    <w:rsid w:val="00094915"/>
    <w:rsid w:val="00095B74"/>
    <w:rsid w:val="00095F21"/>
    <w:rsid w:val="00096A4C"/>
    <w:rsid w:val="00096C9A"/>
    <w:rsid w:val="000A0A11"/>
    <w:rsid w:val="000A1082"/>
    <w:rsid w:val="000A16A5"/>
    <w:rsid w:val="000A48AD"/>
    <w:rsid w:val="000A53D7"/>
    <w:rsid w:val="000A6506"/>
    <w:rsid w:val="000B0C8B"/>
    <w:rsid w:val="000B1BE8"/>
    <w:rsid w:val="000B2D7B"/>
    <w:rsid w:val="000B3357"/>
    <w:rsid w:val="000B5335"/>
    <w:rsid w:val="000B66F9"/>
    <w:rsid w:val="000B73A6"/>
    <w:rsid w:val="000C00B1"/>
    <w:rsid w:val="000C0CBF"/>
    <w:rsid w:val="000C1E62"/>
    <w:rsid w:val="000C3A83"/>
    <w:rsid w:val="000C6922"/>
    <w:rsid w:val="000D04E7"/>
    <w:rsid w:val="000D0B13"/>
    <w:rsid w:val="000D5A87"/>
    <w:rsid w:val="000D6241"/>
    <w:rsid w:val="000D6B4A"/>
    <w:rsid w:val="000E0067"/>
    <w:rsid w:val="000E08C2"/>
    <w:rsid w:val="000E1705"/>
    <w:rsid w:val="000E1AC7"/>
    <w:rsid w:val="000E261F"/>
    <w:rsid w:val="000E28DE"/>
    <w:rsid w:val="000E3C0A"/>
    <w:rsid w:val="000E3ECD"/>
    <w:rsid w:val="000E4A3B"/>
    <w:rsid w:val="000E5599"/>
    <w:rsid w:val="000E7902"/>
    <w:rsid w:val="000F0165"/>
    <w:rsid w:val="000F31C9"/>
    <w:rsid w:val="000F48FC"/>
    <w:rsid w:val="000F6923"/>
    <w:rsid w:val="000F6B3D"/>
    <w:rsid w:val="000F743B"/>
    <w:rsid w:val="000F7691"/>
    <w:rsid w:val="000F78CF"/>
    <w:rsid w:val="0010015F"/>
    <w:rsid w:val="00100E6C"/>
    <w:rsid w:val="00100F30"/>
    <w:rsid w:val="00101194"/>
    <w:rsid w:val="0010147F"/>
    <w:rsid w:val="00101996"/>
    <w:rsid w:val="0010225A"/>
    <w:rsid w:val="0010237B"/>
    <w:rsid w:val="001041E9"/>
    <w:rsid w:val="00104381"/>
    <w:rsid w:val="00104D15"/>
    <w:rsid w:val="00105C5C"/>
    <w:rsid w:val="00106031"/>
    <w:rsid w:val="0010657A"/>
    <w:rsid w:val="001065DE"/>
    <w:rsid w:val="00110614"/>
    <w:rsid w:val="001106B0"/>
    <w:rsid w:val="00113493"/>
    <w:rsid w:val="001148D8"/>
    <w:rsid w:val="00114EA4"/>
    <w:rsid w:val="0011598D"/>
    <w:rsid w:val="00116215"/>
    <w:rsid w:val="0011758A"/>
    <w:rsid w:val="00125121"/>
    <w:rsid w:val="00127F55"/>
    <w:rsid w:val="001305B1"/>
    <w:rsid w:val="001316AB"/>
    <w:rsid w:val="00131E33"/>
    <w:rsid w:val="00132382"/>
    <w:rsid w:val="00133827"/>
    <w:rsid w:val="001347EB"/>
    <w:rsid w:val="00135A90"/>
    <w:rsid w:val="00135AC3"/>
    <w:rsid w:val="00135D4D"/>
    <w:rsid w:val="00136A80"/>
    <w:rsid w:val="00141636"/>
    <w:rsid w:val="00143B66"/>
    <w:rsid w:val="001446B3"/>
    <w:rsid w:val="00145076"/>
    <w:rsid w:val="00145BF9"/>
    <w:rsid w:val="00146CEA"/>
    <w:rsid w:val="00147571"/>
    <w:rsid w:val="001521B8"/>
    <w:rsid w:val="001542DD"/>
    <w:rsid w:val="00155FD9"/>
    <w:rsid w:val="00156FC4"/>
    <w:rsid w:val="001579C0"/>
    <w:rsid w:val="001609E4"/>
    <w:rsid w:val="001627C1"/>
    <w:rsid w:val="00163B27"/>
    <w:rsid w:val="00163EC6"/>
    <w:rsid w:val="00164001"/>
    <w:rsid w:val="001654E1"/>
    <w:rsid w:val="00165522"/>
    <w:rsid w:val="00170E0F"/>
    <w:rsid w:val="0017178B"/>
    <w:rsid w:val="00174923"/>
    <w:rsid w:val="00175910"/>
    <w:rsid w:val="001775A5"/>
    <w:rsid w:val="00177D76"/>
    <w:rsid w:val="0018075C"/>
    <w:rsid w:val="0018091E"/>
    <w:rsid w:val="00180D0A"/>
    <w:rsid w:val="001820B3"/>
    <w:rsid w:val="00182BFA"/>
    <w:rsid w:val="001830E8"/>
    <w:rsid w:val="0018321B"/>
    <w:rsid w:val="001834CF"/>
    <w:rsid w:val="0018429E"/>
    <w:rsid w:val="001842E0"/>
    <w:rsid w:val="00184AB5"/>
    <w:rsid w:val="0018610D"/>
    <w:rsid w:val="00186D70"/>
    <w:rsid w:val="00187D8F"/>
    <w:rsid w:val="00190BD7"/>
    <w:rsid w:val="00191431"/>
    <w:rsid w:val="0019195E"/>
    <w:rsid w:val="00194537"/>
    <w:rsid w:val="001946B3"/>
    <w:rsid w:val="00194D0A"/>
    <w:rsid w:val="001A089D"/>
    <w:rsid w:val="001A12F8"/>
    <w:rsid w:val="001A1886"/>
    <w:rsid w:val="001A2308"/>
    <w:rsid w:val="001A340F"/>
    <w:rsid w:val="001A5DF7"/>
    <w:rsid w:val="001A5F55"/>
    <w:rsid w:val="001A6502"/>
    <w:rsid w:val="001A6ACB"/>
    <w:rsid w:val="001A7C34"/>
    <w:rsid w:val="001B1917"/>
    <w:rsid w:val="001B5D71"/>
    <w:rsid w:val="001B6918"/>
    <w:rsid w:val="001B6C7C"/>
    <w:rsid w:val="001B7F38"/>
    <w:rsid w:val="001C09FA"/>
    <w:rsid w:val="001C165E"/>
    <w:rsid w:val="001C4EE9"/>
    <w:rsid w:val="001C5BB7"/>
    <w:rsid w:val="001C5E4E"/>
    <w:rsid w:val="001C6B15"/>
    <w:rsid w:val="001C6FCA"/>
    <w:rsid w:val="001C762E"/>
    <w:rsid w:val="001C7F38"/>
    <w:rsid w:val="001D0714"/>
    <w:rsid w:val="001D1E05"/>
    <w:rsid w:val="001D2DAA"/>
    <w:rsid w:val="001D3DF6"/>
    <w:rsid w:val="001D5B6E"/>
    <w:rsid w:val="001D7582"/>
    <w:rsid w:val="001D7591"/>
    <w:rsid w:val="001E240E"/>
    <w:rsid w:val="001E2A54"/>
    <w:rsid w:val="001E2D2D"/>
    <w:rsid w:val="001E43EA"/>
    <w:rsid w:val="001E48F3"/>
    <w:rsid w:val="001E4D47"/>
    <w:rsid w:val="001E59F7"/>
    <w:rsid w:val="001E71C4"/>
    <w:rsid w:val="001F09CC"/>
    <w:rsid w:val="001F30B7"/>
    <w:rsid w:val="001F4002"/>
    <w:rsid w:val="001F47AF"/>
    <w:rsid w:val="001F58BE"/>
    <w:rsid w:val="001F6082"/>
    <w:rsid w:val="001F65CB"/>
    <w:rsid w:val="001F68B2"/>
    <w:rsid w:val="001F71FF"/>
    <w:rsid w:val="00201D67"/>
    <w:rsid w:val="002024DE"/>
    <w:rsid w:val="00202660"/>
    <w:rsid w:val="002027F2"/>
    <w:rsid w:val="00203FC3"/>
    <w:rsid w:val="00204D21"/>
    <w:rsid w:val="002117D1"/>
    <w:rsid w:val="00211DB8"/>
    <w:rsid w:val="0021222A"/>
    <w:rsid w:val="00212625"/>
    <w:rsid w:val="00212CB1"/>
    <w:rsid w:val="002144B8"/>
    <w:rsid w:val="00215C2B"/>
    <w:rsid w:val="00216289"/>
    <w:rsid w:val="002175A8"/>
    <w:rsid w:val="0021795A"/>
    <w:rsid w:val="00217C4D"/>
    <w:rsid w:val="00217CD2"/>
    <w:rsid w:val="00221582"/>
    <w:rsid w:val="0022163C"/>
    <w:rsid w:val="00222FA8"/>
    <w:rsid w:val="002231E4"/>
    <w:rsid w:val="002243DD"/>
    <w:rsid w:val="00227686"/>
    <w:rsid w:val="00230CE6"/>
    <w:rsid w:val="00231815"/>
    <w:rsid w:val="00234D14"/>
    <w:rsid w:val="0023684D"/>
    <w:rsid w:val="00236BB7"/>
    <w:rsid w:val="00242F78"/>
    <w:rsid w:val="0024718A"/>
    <w:rsid w:val="002513DC"/>
    <w:rsid w:val="00253FDE"/>
    <w:rsid w:val="00254258"/>
    <w:rsid w:val="00254BC3"/>
    <w:rsid w:val="00255A41"/>
    <w:rsid w:val="00261043"/>
    <w:rsid w:val="00261492"/>
    <w:rsid w:val="00261632"/>
    <w:rsid w:val="00270780"/>
    <w:rsid w:val="00271052"/>
    <w:rsid w:val="002758A5"/>
    <w:rsid w:val="00275EBB"/>
    <w:rsid w:val="002800E8"/>
    <w:rsid w:val="0028217B"/>
    <w:rsid w:val="00283D56"/>
    <w:rsid w:val="002850DA"/>
    <w:rsid w:val="00286883"/>
    <w:rsid w:val="0028771D"/>
    <w:rsid w:val="00287A18"/>
    <w:rsid w:val="00291C4B"/>
    <w:rsid w:val="00292E27"/>
    <w:rsid w:val="00293232"/>
    <w:rsid w:val="00293D01"/>
    <w:rsid w:val="002940B6"/>
    <w:rsid w:val="002953EB"/>
    <w:rsid w:val="00295D03"/>
    <w:rsid w:val="00296B5F"/>
    <w:rsid w:val="00297099"/>
    <w:rsid w:val="00297E81"/>
    <w:rsid w:val="002A0293"/>
    <w:rsid w:val="002A66B3"/>
    <w:rsid w:val="002A6A68"/>
    <w:rsid w:val="002A6E89"/>
    <w:rsid w:val="002B0A5A"/>
    <w:rsid w:val="002B0FFD"/>
    <w:rsid w:val="002B12C2"/>
    <w:rsid w:val="002B2FCB"/>
    <w:rsid w:val="002B5282"/>
    <w:rsid w:val="002B5C83"/>
    <w:rsid w:val="002B5D51"/>
    <w:rsid w:val="002B75B1"/>
    <w:rsid w:val="002B782E"/>
    <w:rsid w:val="002B7C69"/>
    <w:rsid w:val="002C05B0"/>
    <w:rsid w:val="002C0944"/>
    <w:rsid w:val="002C0A68"/>
    <w:rsid w:val="002C1356"/>
    <w:rsid w:val="002C1E6C"/>
    <w:rsid w:val="002C3E0C"/>
    <w:rsid w:val="002C49C9"/>
    <w:rsid w:val="002C6043"/>
    <w:rsid w:val="002C769F"/>
    <w:rsid w:val="002D04FB"/>
    <w:rsid w:val="002D059D"/>
    <w:rsid w:val="002D3D8E"/>
    <w:rsid w:val="002D4879"/>
    <w:rsid w:val="002D4F89"/>
    <w:rsid w:val="002D79E2"/>
    <w:rsid w:val="002E05D9"/>
    <w:rsid w:val="002E25E4"/>
    <w:rsid w:val="002E2D4A"/>
    <w:rsid w:val="002E3851"/>
    <w:rsid w:val="002E4CF1"/>
    <w:rsid w:val="002E5046"/>
    <w:rsid w:val="002E64F4"/>
    <w:rsid w:val="002E6550"/>
    <w:rsid w:val="002E67BF"/>
    <w:rsid w:val="002E6BD7"/>
    <w:rsid w:val="002F27AD"/>
    <w:rsid w:val="002F3636"/>
    <w:rsid w:val="002F4A36"/>
    <w:rsid w:val="002F4FE7"/>
    <w:rsid w:val="002F6B9E"/>
    <w:rsid w:val="002F7855"/>
    <w:rsid w:val="002F7CDE"/>
    <w:rsid w:val="003009EB"/>
    <w:rsid w:val="0030201C"/>
    <w:rsid w:val="00302CF4"/>
    <w:rsid w:val="00303A7A"/>
    <w:rsid w:val="003040F7"/>
    <w:rsid w:val="003042C5"/>
    <w:rsid w:val="003062E8"/>
    <w:rsid w:val="003068B1"/>
    <w:rsid w:val="00310DCE"/>
    <w:rsid w:val="00311298"/>
    <w:rsid w:val="00311908"/>
    <w:rsid w:val="00312909"/>
    <w:rsid w:val="00312E70"/>
    <w:rsid w:val="00312EF9"/>
    <w:rsid w:val="00314AB6"/>
    <w:rsid w:val="00316B2A"/>
    <w:rsid w:val="003200E1"/>
    <w:rsid w:val="00323663"/>
    <w:rsid w:val="00324602"/>
    <w:rsid w:val="00324E33"/>
    <w:rsid w:val="00326193"/>
    <w:rsid w:val="0033055A"/>
    <w:rsid w:val="00332FE3"/>
    <w:rsid w:val="003332D7"/>
    <w:rsid w:val="00333337"/>
    <w:rsid w:val="00336032"/>
    <w:rsid w:val="00336643"/>
    <w:rsid w:val="003410AD"/>
    <w:rsid w:val="00342061"/>
    <w:rsid w:val="0034209C"/>
    <w:rsid w:val="00342284"/>
    <w:rsid w:val="00343E9D"/>
    <w:rsid w:val="003510DA"/>
    <w:rsid w:val="00351CCE"/>
    <w:rsid w:val="00352679"/>
    <w:rsid w:val="00353507"/>
    <w:rsid w:val="003540D1"/>
    <w:rsid w:val="00354D1A"/>
    <w:rsid w:val="00355BD5"/>
    <w:rsid w:val="00356C64"/>
    <w:rsid w:val="0036047A"/>
    <w:rsid w:val="003619EF"/>
    <w:rsid w:val="00362D44"/>
    <w:rsid w:val="00363398"/>
    <w:rsid w:val="00363D7B"/>
    <w:rsid w:val="00367A5F"/>
    <w:rsid w:val="00371F76"/>
    <w:rsid w:val="00372235"/>
    <w:rsid w:val="00372D3E"/>
    <w:rsid w:val="00374360"/>
    <w:rsid w:val="00374A7C"/>
    <w:rsid w:val="00374BDF"/>
    <w:rsid w:val="00375348"/>
    <w:rsid w:val="003766F2"/>
    <w:rsid w:val="00376720"/>
    <w:rsid w:val="00376879"/>
    <w:rsid w:val="00380200"/>
    <w:rsid w:val="003802D8"/>
    <w:rsid w:val="003830EC"/>
    <w:rsid w:val="00385495"/>
    <w:rsid w:val="0038646E"/>
    <w:rsid w:val="003872D2"/>
    <w:rsid w:val="00387A2D"/>
    <w:rsid w:val="003917AA"/>
    <w:rsid w:val="00391F86"/>
    <w:rsid w:val="003920BA"/>
    <w:rsid w:val="00393581"/>
    <w:rsid w:val="00393D93"/>
    <w:rsid w:val="0039436B"/>
    <w:rsid w:val="003977A2"/>
    <w:rsid w:val="003A01A2"/>
    <w:rsid w:val="003A3449"/>
    <w:rsid w:val="003A345E"/>
    <w:rsid w:val="003A4B15"/>
    <w:rsid w:val="003B07E2"/>
    <w:rsid w:val="003B1987"/>
    <w:rsid w:val="003B1CFB"/>
    <w:rsid w:val="003B25E2"/>
    <w:rsid w:val="003B406C"/>
    <w:rsid w:val="003B4169"/>
    <w:rsid w:val="003B7090"/>
    <w:rsid w:val="003B7F6C"/>
    <w:rsid w:val="003C2425"/>
    <w:rsid w:val="003C277A"/>
    <w:rsid w:val="003C5BB9"/>
    <w:rsid w:val="003C6457"/>
    <w:rsid w:val="003C66EF"/>
    <w:rsid w:val="003C7D96"/>
    <w:rsid w:val="003D190B"/>
    <w:rsid w:val="003D1B81"/>
    <w:rsid w:val="003D2009"/>
    <w:rsid w:val="003D558D"/>
    <w:rsid w:val="003D70F8"/>
    <w:rsid w:val="003E0388"/>
    <w:rsid w:val="003E1080"/>
    <w:rsid w:val="003E139F"/>
    <w:rsid w:val="003E2433"/>
    <w:rsid w:val="003E46D5"/>
    <w:rsid w:val="003E5542"/>
    <w:rsid w:val="003E6AFD"/>
    <w:rsid w:val="003E6CE4"/>
    <w:rsid w:val="003E72E3"/>
    <w:rsid w:val="003F1F32"/>
    <w:rsid w:val="003F2FA0"/>
    <w:rsid w:val="003F6A34"/>
    <w:rsid w:val="003F7C3E"/>
    <w:rsid w:val="004005B0"/>
    <w:rsid w:val="004018A5"/>
    <w:rsid w:val="00402BE7"/>
    <w:rsid w:val="00403531"/>
    <w:rsid w:val="00404C30"/>
    <w:rsid w:val="00410965"/>
    <w:rsid w:val="00414746"/>
    <w:rsid w:val="00415266"/>
    <w:rsid w:val="00415650"/>
    <w:rsid w:val="00415B7F"/>
    <w:rsid w:val="00417290"/>
    <w:rsid w:val="004174A6"/>
    <w:rsid w:val="0041767C"/>
    <w:rsid w:val="004202ED"/>
    <w:rsid w:val="00420A33"/>
    <w:rsid w:val="00421151"/>
    <w:rsid w:val="00421BDD"/>
    <w:rsid w:val="00421F9E"/>
    <w:rsid w:val="00425143"/>
    <w:rsid w:val="00426030"/>
    <w:rsid w:val="0042631D"/>
    <w:rsid w:val="004267D2"/>
    <w:rsid w:val="0042739F"/>
    <w:rsid w:val="004274E2"/>
    <w:rsid w:val="00427870"/>
    <w:rsid w:val="00427F93"/>
    <w:rsid w:val="00430B96"/>
    <w:rsid w:val="00430BCC"/>
    <w:rsid w:val="00432678"/>
    <w:rsid w:val="00441DBC"/>
    <w:rsid w:val="00441E8E"/>
    <w:rsid w:val="00443468"/>
    <w:rsid w:val="0044369D"/>
    <w:rsid w:val="00443FB5"/>
    <w:rsid w:val="00444627"/>
    <w:rsid w:val="00445C35"/>
    <w:rsid w:val="00445E32"/>
    <w:rsid w:val="00446388"/>
    <w:rsid w:val="004471FD"/>
    <w:rsid w:val="00450ED5"/>
    <w:rsid w:val="004546E5"/>
    <w:rsid w:val="0045470A"/>
    <w:rsid w:val="00455647"/>
    <w:rsid w:val="00457B73"/>
    <w:rsid w:val="004606E9"/>
    <w:rsid w:val="00460BF5"/>
    <w:rsid w:val="0046346C"/>
    <w:rsid w:val="004643EE"/>
    <w:rsid w:val="004663B5"/>
    <w:rsid w:val="00467D76"/>
    <w:rsid w:val="00470833"/>
    <w:rsid w:val="0047104B"/>
    <w:rsid w:val="00474E99"/>
    <w:rsid w:val="0047568D"/>
    <w:rsid w:val="004757C1"/>
    <w:rsid w:val="00475967"/>
    <w:rsid w:val="00477100"/>
    <w:rsid w:val="00477203"/>
    <w:rsid w:val="00484BD6"/>
    <w:rsid w:val="00485D46"/>
    <w:rsid w:val="0048617B"/>
    <w:rsid w:val="004869C1"/>
    <w:rsid w:val="0048737B"/>
    <w:rsid w:val="00487575"/>
    <w:rsid w:val="00491AA9"/>
    <w:rsid w:val="00492085"/>
    <w:rsid w:val="00492601"/>
    <w:rsid w:val="004942EB"/>
    <w:rsid w:val="00494FFB"/>
    <w:rsid w:val="004959D4"/>
    <w:rsid w:val="0049612A"/>
    <w:rsid w:val="004A1B35"/>
    <w:rsid w:val="004A1D63"/>
    <w:rsid w:val="004A3C08"/>
    <w:rsid w:val="004A3ED9"/>
    <w:rsid w:val="004A4351"/>
    <w:rsid w:val="004A529A"/>
    <w:rsid w:val="004A6A44"/>
    <w:rsid w:val="004A6C5C"/>
    <w:rsid w:val="004A7C57"/>
    <w:rsid w:val="004A7DB8"/>
    <w:rsid w:val="004B1201"/>
    <w:rsid w:val="004B280F"/>
    <w:rsid w:val="004B42CF"/>
    <w:rsid w:val="004B5037"/>
    <w:rsid w:val="004B5597"/>
    <w:rsid w:val="004B6F10"/>
    <w:rsid w:val="004C0939"/>
    <w:rsid w:val="004C0AA3"/>
    <w:rsid w:val="004C1B5A"/>
    <w:rsid w:val="004C24C2"/>
    <w:rsid w:val="004C4812"/>
    <w:rsid w:val="004C4F80"/>
    <w:rsid w:val="004C5134"/>
    <w:rsid w:val="004C669B"/>
    <w:rsid w:val="004C6E9F"/>
    <w:rsid w:val="004C6EA3"/>
    <w:rsid w:val="004C741F"/>
    <w:rsid w:val="004D087E"/>
    <w:rsid w:val="004D1EEE"/>
    <w:rsid w:val="004D206A"/>
    <w:rsid w:val="004D2266"/>
    <w:rsid w:val="004D2BFE"/>
    <w:rsid w:val="004D3BC1"/>
    <w:rsid w:val="004D4489"/>
    <w:rsid w:val="004E53DB"/>
    <w:rsid w:val="004E57A3"/>
    <w:rsid w:val="004E6649"/>
    <w:rsid w:val="004F1D1A"/>
    <w:rsid w:val="004F1F87"/>
    <w:rsid w:val="004F2171"/>
    <w:rsid w:val="004F42E4"/>
    <w:rsid w:val="004F769B"/>
    <w:rsid w:val="004F7C47"/>
    <w:rsid w:val="00501CAD"/>
    <w:rsid w:val="00502B7D"/>
    <w:rsid w:val="00502D08"/>
    <w:rsid w:val="005033C7"/>
    <w:rsid w:val="00503CA2"/>
    <w:rsid w:val="005045CE"/>
    <w:rsid w:val="005048C0"/>
    <w:rsid w:val="00504B75"/>
    <w:rsid w:val="0050558E"/>
    <w:rsid w:val="00506000"/>
    <w:rsid w:val="00513132"/>
    <w:rsid w:val="005137C3"/>
    <w:rsid w:val="00513F18"/>
    <w:rsid w:val="00516648"/>
    <w:rsid w:val="00521F1A"/>
    <w:rsid w:val="00522071"/>
    <w:rsid w:val="005222DA"/>
    <w:rsid w:val="005222DE"/>
    <w:rsid w:val="00523876"/>
    <w:rsid w:val="005259B1"/>
    <w:rsid w:val="00527543"/>
    <w:rsid w:val="005277AF"/>
    <w:rsid w:val="0052781A"/>
    <w:rsid w:val="00530B71"/>
    <w:rsid w:val="00532141"/>
    <w:rsid w:val="00533AAC"/>
    <w:rsid w:val="00533D09"/>
    <w:rsid w:val="00534F5E"/>
    <w:rsid w:val="0053634D"/>
    <w:rsid w:val="00536619"/>
    <w:rsid w:val="00536E4A"/>
    <w:rsid w:val="00537FC7"/>
    <w:rsid w:val="00540FBB"/>
    <w:rsid w:val="0054109D"/>
    <w:rsid w:val="005417A0"/>
    <w:rsid w:val="00541C5C"/>
    <w:rsid w:val="00542BCF"/>
    <w:rsid w:val="00542E7D"/>
    <w:rsid w:val="00545C31"/>
    <w:rsid w:val="005461FE"/>
    <w:rsid w:val="00546375"/>
    <w:rsid w:val="00550187"/>
    <w:rsid w:val="00550304"/>
    <w:rsid w:val="00550819"/>
    <w:rsid w:val="005518D6"/>
    <w:rsid w:val="0055384F"/>
    <w:rsid w:val="00556CFA"/>
    <w:rsid w:val="00556EAB"/>
    <w:rsid w:val="005578A4"/>
    <w:rsid w:val="005619A6"/>
    <w:rsid w:val="005619BD"/>
    <w:rsid w:val="005630C6"/>
    <w:rsid w:val="005632DE"/>
    <w:rsid w:val="0056539E"/>
    <w:rsid w:val="005654DE"/>
    <w:rsid w:val="00566998"/>
    <w:rsid w:val="00571E9B"/>
    <w:rsid w:val="0057238F"/>
    <w:rsid w:val="005735BA"/>
    <w:rsid w:val="00573907"/>
    <w:rsid w:val="005757FF"/>
    <w:rsid w:val="00577019"/>
    <w:rsid w:val="005771AC"/>
    <w:rsid w:val="00581262"/>
    <w:rsid w:val="0058142F"/>
    <w:rsid w:val="00581470"/>
    <w:rsid w:val="00583358"/>
    <w:rsid w:val="00584A36"/>
    <w:rsid w:val="00584D35"/>
    <w:rsid w:val="0058573B"/>
    <w:rsid w:val="00586159"/>
    <w:rsid w:val="00586F43"/>
    <w:rsid w:val="005871EE"/>
    <w:rsid w:val="005900B4"/>
    <w:rsid w:val="005913D3"/>
    <w:rsid w:val="0059182A"/>
    <w:rsid w:val="00592045"/>
    <w:rsid w:val="0059512C"/>
    <w:rsid w:val="00595E8C"/>
    <w:rsid w:val="005970AC"/>
    <w:rsid w:val="005A0A02"/>
    <w:rsid w:val="005A12DD"/>
    <w:rsid w:val="005A24FC"/>
    <w:rsid w:val="005A3CA9"/>
    <w:rsid w:val="005A529E"/>
    <w:rsid w:val="005A5396"/>
    <w:rsid w:val="005A5528"/>
    <w:rsid w:val="005A5E5E"/>
    <w:rsid w:val="005A742B"/>
    <w:rsid w:val="005A7564"/>
    <w:rsid w:val="005A7674"/>
    <w:rsid w:val="005B19A8"/>
    <w:rsid w:val="005B3A3B"/>
    <w:rsid w:val="005B3FA7"/>
    <w:rsid w:val="005B553D"/>
    <w:rsid w:val="005B62E6"/>
    <w:rsid w:val="005B68A7"/>
    <w:rsid w:val="005B7178"/>
    <w:rsid w:val="005C050E"/>
    <w:rsid w:val="005C0A2D"/>
    <w:rsid w:val="005C2387"/>
    <w:rsid w:val="005C2889"/>
    <w:rsid w:val="005C2FE9"/>
    <w:rsid w:val="005D0412"/>
    <w:rsid w:val="005D0729"/>
    <w:rsid w:val="005D099A"/>
    <w:rsid w:val="005D0CCF"/>
    <w:rsid w:val="005D16FF"/>
    <w:rsid w:val="005D237F"/>
    <w:rsid w:val="005D23D1"/>
    <w:rsid w:val="005D3747"/>
    <w:rsid w:val="005D389E"/>
    <w:rsid w:val="005D54B4"/>
    <w:rsid w:val="005D59FB"/>
    <w:rsid w:val="005D60F2"/>
    <w:rsid w:val="005D6FA0"/>
    <w:rsid w:val="005D7D13"/>
    <w:rsid w:val="005E04F6"/>
    <w:rsid w:val="005E067D"/>
    <w:rsid w:val="005E2731"/>
    <w:rsid w:val="005E2F95"/>
    <w:rsid w:val="005E3078"/>
    <w:rsid w:val="005E47AA"/>
    <w:rsid w:val="005E48F9"/>
    <w:rsid w:val="005E4E5C"/>
    <w:rsid w:val="005E4F69"/>
    <w:rsid w:val="005E5EC3"/>
    <w:rsid w:val="005E6322"/>
    <w:rsid w:val="005F11E0"/>
    <w:rsid w:val="005F1E63"/>
    <w:rsid w:val="005F22A4"/>
    <w:rsid w:val="005F3731"/>
    <w:rsid w:val="005F46CC"/>
    <w:rsid w:val="005F5B9A"/>
    <w:rsid w:val="005F5EA4"/>
    <w:rsid w:val="005F6494"/>
    <w:rsid w:val="005F7C23"/>
    <w:rsid w:val="006002A3"/>
    <w:rsid w:val="00604516"/>
    <w:rsid w:val="00604577"/>
    <w:rsid w:val="006049FB"/>
    <w:rsid w:val="00604D19"/>
    <w:rsid w:val="00605764"/>
    <w:rsid w:val="00606BF4"/>
    <w:rsid w:val="00607B27"/>
    <w:rsid w:val="00610135"/>
    <w:rsid w:val="006122AC"/>
    <w:rsid w:val="00614B07"/>
    <w:rsid w:val="0061580A"/>
    <w:rsid w:val="0061589C"/>
    <w:rsid w:val="0061648C"/>
    <w:rsid w:val="00616AD8"/>
    <w:rsid w:val="00616EE7"/>
    <w:rsid w:val="00620E2A"/>
    <w:rsid w:val="00621898"/>
    <w:rsid w:val="006219DC"/>
    <w:rsid w:val="006220AB"/>
    <w:rsid w:val="00623755"/>
    <w:rsid w:val="00624963"/>
    <w:rsid w:val="006256FC"/>
    <w:rsid w:val="006267D0"/>
    <w:rsid w:val="00626A80"/>
    <w:rsid w:val="00627B3F"/>
    <w:rsid w:val="006301D6"/>
    <w:rsid w:val="006310DA"/>
    <w:rsid w:val="006321BE"/>
    <w:rsid w:val="006330E0"/>
    <w:rsid w:val="00633D54"/>
    <w:rsid w:val="00636EEC"/>
    <w:rsid w:val="006378D0"/>
    <w:rsid w:val="00637F4E"/>
    <w:rsid w:val="0064019E"/>
    <w:rsid w:val="006405F6"/>
    <w:rsid w:val="006406C4"/>
    <w:rsid w:val="0064191D"/>
    <w:rsid w:val="00642137"/>
    <w:rsid w:val="00642F95"/>
    <w:rsid w:val="00643584"/>
    <w:rsid w:val="0064393D"/>
    <w:rsid w:val="006445C1"/>
    <w:rsid w:val="00644B93"/>
    <w:rsid w:val="00644E56"/>
    <w:rsid w:val="0064559A"/>
    <w:rsid w:val="006478CB"/>
    <w:rsid w:val="00653AC9"/>
    <w:rsid w:val="00654895"/>
    <w:rsid w:val="00657801"/>
    <w:rsid w:val="00661235"/>
    <w:rsid w:val="00662C56"/>
    <w:rsid w:val="00665FAB"/>
    <w:rsid w:val="00666540"/>
    <w:rsid w:val="006667C0"/>
    <w:rsid w:val="00673096"/>
    <w:rsid w:val="00673FA5"/>
    <w:rsid w:val="006743EC"/>
    <w:rsid w:val="00674BE7"/>
    <w:rsid w:val="00675BA5"/>
    <w:rsid w:val="00677398"/>
    <w:rsid w:val="00677795"/>
    <w:rsid w:val="00682C88"/>
    <w:rsid w:val="00685604"/>
    <w:rsid w:val="00686379"/>
    <w:rsid w:val="00687A93"/>
    <w:rsid w:val="00691D76"/>
    <w:rsid w:val="0069216A"/>
    <w:rsid w:val="0069311E"/>
    <w:rsid w:val="00693E83"/>
    <w:rsid w:val="006941DA"/>
    <w:rsid w:val="006A0B93"/>
    <w:rsid w:val="006A0BA6"/>
    <w:rsid w:val="006A1340"/>
    <w:rsid w:val="006A1779"/>
    <w:rsid w:val="006A2372"/>
    <w:rsid w:val="006A31EE"/>
    <w:rsid w:val="006A442F"/>
    <w:rsid w:val="006A5B72"/>
    <w:rsid w:val="006A5C6E"/>
    <w:rsid w:val="006B08B5"/>
    <w:rsid w:val="006B1FF2"/>
    <w:rsid w:val="006B45AC"/>
    <w:rsid w:val="006C0684"/>
    <w:rsid w:val="006C183E"/>
    <w:rsid w:val="006C4499"/>
    <w:rsid w:val="006C5022"/>
    <w:rsid w:val="006C6E2C"/>
    <w:rsid w:val="006D15DF"/>
    <w:rsid w:val="006D2A06"/>
    <w:rsid w:val="006D343C"/>
    <w:rsid w:val="006D412C"/>
    <w:rsid w:val="006D479A"/>
    <w:rsid w:val="006D65BD"/>
    <w:rsid w:val="006D7414"/>
    <w:rsid w:val="006E05B0"/>
    <w:rsid w:val="006E1549"/>
    <w:rsid w:val="006E2801"/>
    <w:rsid w:val="006E3272"/>
    <w:rsid w:val="006E3E66"/>
    <w:rsid w:val="006E4E87"/>
    <w:rsid w:val="006E5414"/>
    <w:rsid w:val="006E7D30"/>
    <w:rsid w:val="006F0BF0"/>
    <w:rsid w:val="006F11BF"/>
    <w:rsid w:val="006F148D"/>
    <w:rsid w:val="006F2532"/>
    <w:rsid w:val="006F4358"/>
    <w:rsid w:val="006F4FFA"/>
    <w:rsid w:val="006F608F"/>
    <w:rsid w:val="006F770D"/>
    <w:rsid w:val="006F7728"/>
    <w:rsid w:val="00701595"/>
    <w:rsid w:val="00701688"/>
    <w:rsid w:val="0070214C"/>
    <w:rsid w:val="00702A68"/>
    <w:rsid w:val="0070440B"/>
    <w:rsid w:val="0070537E"/>
    <w:rsid w:val="00705811"/>
    <w:rsid w:val="007071C9"/>
    <w:rsid w:val="007077D9"/>
    <w:rsid w:val="00710223"/>
    <w:rsid w:val="0071029B"/>
    <w:rsid w:val="007142B0"/>
    <w:rsid w:val="00714D11"/>
    <w:rsid w:val="00715608"/>
    <w:rsid w:val="007176B0"/>
    <w:rsid w:val="007177D2"/>
    <w:rsid w:val="007228BD"/>
    <w:rsid w:val="0072294D"/>
    <w:rsid w:val="00723CBE"/>
    <w:rsid w:val="00724E8A"/>
    <w:rsid w:val="007254CE"/>
    <w:rsid w:val="007257C7"/>
    <w:rsid w:val="00727533"/>
    <w:rsid w:val="007306E3"/>
    <w:rsid w:val="00730ECF"/>
    <w:rsid w:val="00732A7F"/>
    <w:rsid w:val="00734C56"/>
    <w:rsid w:val="0074059D"/>
    <w:rsid w:val="007412F5"/>
    <w:rsid w:val="0074160F"/>
    <w:rsid w:val="00742E2E"/>
    <w:rsid w:val="00743905"/>
    <w:rsid w:val="00746416"/>
    <w:rsid w:val="0075039F"/>
    <w:rsid w:val="00754300"/>
    <w:rsid w:val="007568C5"/>
    <w:rsid w:val="00757032"/>
    <w:rsid w:val="007574F4"/>
    <w:rsid w:val="00757930"/>
    <w:rsid w:val="00757ED8"/>
    <w:rsid w:val="00757FD7"/>
    <w:rsid w:val="00763B76"/>
    <w:rsid w:val="00765FC3"/>
    <w:rsid w:val="00767F6E"/>
    <w:rsid w:val="00771608"/>
    <w:rsid w:val="00775495"/>
    <w:rsid w:val="007756D9"/>
    <w:rsid w:val="0077729E"/>
    <w:rsid w:val="00777502"/>
    <w:rsid w:val="00781761"/>
    <w:rsid w:val="0078469D"/>
    <w:rsid w:val="007859A9"/>
    <w:rsid w:val="00787897"/>
    <w:rsid w:val="00791A79"/>
    <w:rsid w:val="00792492"/>
    <w:rsid w:val="00792D4D"/>
    <w:rsid w:val="00793EFB"/>
    <w:rsid w:val="00793F23"/>
    <w:rsid w:val="00793F32"/>
    <w:rsid w:val="00797BE9"/>
    <w:rsid w:val="007A193F"/>
    <w:rsid w:val="007A1E7B"/>
    <w:rsid w:val="007A37F8"/>
    <w:rsid w:val="007A395B"/>
    <w:rsid w:val="007A50EA"/>
    <w:rsid w:val="007A72FA"/>
    <w:rsid w:val="007B041E"/>
    <w:rsid w:val="007B12A0"/>
    <w:rsid w:val="007B1DFD"/>
    <w:rsid w:val="007B1E70"/>
    <w:rsid w:val="007B2271"/>
    <w:rsid w:val="007B2BDA"/>
    <w:rsid w:val="007B3016"/>
    <w:rsid w:val="007B5A16"/>
    <w:rsid w:val="007B600C"/>
    <w:rsid w:val="007B6C2A"/>
    <w:rsid w:val="007C0D81"/>
    <w:rsid w:val="007C2803"/>
    <w:rsid w:val="007C2F75"/>
    <w:rsid w:val="007C3066"/>
    <w:rsid w:val="007C360A"/>
    <w:rsid w:val="007C3A40"/>
    <w:rsid w:val="007C4201"/>
    <w:rsid w:val="007C6342"/>
    <w:rsid w:val="007D17BD"/>
    <w:rsid w:val="007D2A96"/>
    <w:rsid w:val="007D495E"/>
    <w:rsid w:val="007D573B"/>
    <w:rsid w:val="007E0D0B"/>
    <w:rsid w:val="007E4D5A"/>
    <w:rsid w:val="007E6F7A"/>
    <w:rsid w:val="007F0958"/>
    <w:rsid w:val="007F2D90"/>
    <w:rsid w:val="007F2FE9"/>
    <w:rsid w:val="007F5678"/>
    <w:rsid w:val="007F5985"/>
    <w:rsid w:val="00800ACE"/>
    <w:rsid w:val="0080291A"/>
    <w:rsid w:val="008030A7"/>
    <w:rsid w:val="00807418"/>
    <w:rsid w:val="00810BEB"/>
    <w:rsid w:val="008110E7"/>
    <w:rsid w:val="00811F57"/>
    <w:rsid w:val="008204FA"/>
    <w:rsid w:val="008206DF"/>
    <w:rsid w:val="0082099B"/>
    <w:rsid w:val="0082209B"/>
    <w:rsid w:val="0082288D"/>
    <w:rsid w:val="00823E48"/>
    <w:rsid w:val="00824E5C"/>
    <w:rsid w:val="00824F7F"/>
    <w:rsid w:val="00825019"/>
    <w:rsid w:val="008306F6"/>
    <w:rsid w:val="00836BB9"/>
    <w:rsid w:val="00842849"/>
    <w:rsid w:val="008440EE"/>
    <w:rsid w:val="0084640B"/>
    <w:rsid w:val="00847510"/>
    <w:rsid w:val="0085149B"/>
    <w:rsid w:val="00851632"/>
    <w:rsid w:val="0085174B"/>
    <w:rsid w:val="008526C1"/>
    <w:rsid w:val="00854555"/>
    <w:rsid w:val="008557D6"/>
    <w:rsid w:val="00855DAE"/>
    <w:rsid w:val="0085724B"/>
    <w:rsid w:val="00857FEA"/>
    <w:rsid w:val="0086076F"/>
    <w:rsid w:val="008645E9"/>
    <w:rsid w:val="00866285"/>
    <w:rsid w:val="00867D5E"/>
    <w:rsid w:val="00871A79"/>
    <w:rsid w:val="00872548"/>
    <w:rsid w:val="00872B65"/>
    <w:rsid w:val="00873845"/>
    <w:rsid w:val="00874534"/>
    <w:rsid w:val="00874DD5"/>
    <w:rsid w:val="008750B3"/>
    <w:rsid w:val="008800D3"/>
    <w:rsid w:val="00880A88"/>
    <w:rsid w:val="0088180F"/>
    <w:rsid w:val="008818B7"/>
    <w:rsid w:val="008819BB"/>
    <w:rsid w:val="00881A4B"/>
    <w:rsid w:val="00890B8E"/>
    <w:rsid w:val="008932D4"/>
    <w:rsid w:val="00893317"/>
    <w:rsid w:val="0089439C"/>
    <w:rsid w:val="00897D6F"/>
    <w:rsid w:val="008A0584"/>
    <w:rsid w:val="008A0F16"/>
    <w:rsid w:val="008A1F9F"/>
    <w:rsid w:val="008A314A"/>
    <w:rsid w:val="008A477E"/>
    <w:rsid w:val="008A47DF"/>
    <w:rsid w:val="008A4B0D"/>
    <w:rsid w:val="008A4EB7"/>
    <w:rsid w:val="008A5054"/>
    <w:rsid w:val="008A612A"/>
    <w:rsid w:val="008A6193"/>
    <w:rsid w:val="008A7A6B"/>
    <w:rsid w:val="008B1130"/>
    <w:rsid w:val="008B1857"/>
    <w:rsid w:val="008B1A0E"/>
    <w:rsid w:val="008B202A"/>
    <w:rsid w:val="008B3EFA"/>
    <w:rsid w:val="008B4A53"/>
    <w:rsid w:val="008B4E5D"/>
    <w:rsid w:val="008B69B9"/>
    <w:rsid w:val="008B6B93"/>
    <w:rsid w:val="008B6D6E"/>
    <w:rsid w:val="008B77A5"/>
    <w:rsid w:val="008C028B"/>
    <w:rsid w:val="008C1A88"/>
    <w:rsid w:val="008C2FDA"/>
    <w:rsid w:val="008C62B9"/>
    <w:rsid w:val="008D0940"/>
    <w:rsid w:val="008D0A33"/>
    <w:rsid w:val="008D16AB"/>
    <w:rsid w:val="008D2D2C"/>
    <w:rsid w:val="008D3723"/>
    <w:rsid w:val="008D6D27"/>
    <w:rsid w:val="008E068B"/>
    <w:rsid w:val="008E0946"/>
    <w:rsid w:val="008E1CA9"/>
    <w:rsid w:val="008E20B6"/>
    <w:rsid w:val="008E36E0"/>
    <w:rsid w:val="008E43A4"/>
    <w:rsid w:val="008E52D9"/>
    <w:rsid w:val="008E732A"/>
    <w:rsid w:val="008F2032"/>
    <w:rsid w:val="008F38F9"/>
    <w:rsid w:val="008F3C4A"/>
    <w:rsid w:val="008F7DBD"/>
    <w:rsid w:val="009016EB"/>
    <w:rsid w:val="0090343F"/>
    <w:rsid w:val="0090379E"/>
    <w:rsid w:val="0090492C"/>
    <w:rsid w:val="00911BFF"/>
    <w:rsid w:val="00911D76"/>
    <w:rsid w:val="0091369E"/>
    <w:rsid w:val="00917869"/>
    <w:rsid w:val="00922854"/>
    <w:rsid w:val="00922F26"/>
    <w:rsid w:val="009247D5"/>
    <w:rsid w:val="0092588C"/>
    <w:rsid w:val="00930654"/>
    <w:rsid w:val="009321AC"/>
    <w:rsid w:val="00932214"/>
    <w:rsid w:val="009331E0"/>
    <w:rsid w:val="00937491"/>
    <w:rsid w:val="00937F18"/>
    <w:rsid w:val="00942DB8"/>
    <w:rsid w:val="009430A9"/>
    <w:rsid w:val="00944022"/>
    <w:rsid w:val="00944B00"/>
    <w:rsid w:val="00944C25"/>
    <w:rsid w:val="00945757"/>
    <w:rsid w:val="00946A81"/>
    <w:rsid w:val="00946ADE"/>
    <w:rsid w:val="0094766F"/>
    <w:rsid w:val="00947F83"/>
    <w:rsid w:val="00950575"/>
    <w:rsid w:val="00952F13"/>
    <w:rsid w:val="00954223"/>
    <w:rsid w:val="0095681E"/>
    <w:rsid w:val="0095687D"/>
    <w:rsid w:val="00956B56"/>
    <w:rsid w:val="00965E63"/>
    <w:rsid w:val="0096627F"/>
    <w:rsid w:val="009707BD"/>
    <w:rsid w:val="00971EB8"/>
    <w:rsid w:val="009724AC"/>
    <w:rsid w:val="00972F41"/>
    <w:rsid w:val="009739B7"/>
    <w:rsid w:val="00974C14"/>
    <w:rsid w:val="00976758"/>
    <w:rsid w:val="00976EB2"/>
    <w:rsid w:val="00976ECF"/>
    <w:rsid w:val="0097769C"/>
    <w:rsid w:val="00981DEF"/>
    <w:rsid w:val="00982C0C"/>
    <w:rsid w:val="00982D80"/>
    <w:rsid w:val="00984EF9"/>
    <w:rsid w:val="009861AE"/>
    <w:rsid w:val="00987E9C"/>
    <w:rsid w:val="00987FDC"/>
    <w:rsid w:val="00991AEA"/>
    <w:rsid w:val="009948C6"/>
    <w:rsid w:val="00995D80"/>
    <w:rsid w:val="00996B41"/>
    <w:rsid w:val="009A0088"/>
    <w:rsid w:val="009A037F"/>
    <w:rsid w:val="009A1BDB"/>
    <w:rsid w:val="009A26C8"/>
    <w:rsid w:val="009B0F3A"/>
    <w:rsid w:val="009B6716"/>
    <w:rsid w:val="009B6917"/>
    <w:rsid w:val="009B6C5A"/>
    <w:rsid w:val="009B6DC8"/>
    <w:rsid w:val="009B7458"/>
    <w:rsid w:val="009B770B"/>
    <w:rsid w:val="009C13D1"/>
    <w:rsid w:val="009C3541"/>
    <w:rsid w:val="009C3871"/>
    <w:rsid w:val="009C3EA8"/>
    <w:rsid w:val="009C51FE"/>
    <w:rsid w:val="009C68D5"/>
    <w:rsid w:val="009D0856"/>
    <w:rsid w:val="009D0CD6"/>
    <w:rsid w:val="009D42FB"/>
    <w:rsid w:val="009D438D"/>
    <w:rsid w:val="009D4B64"/>
    <w:rsid w:val="009D4C6F"/>
    <w:rsid w:val="009D4D7F"/>
    <w:rsid w:val="009D7651"/>
    <w:rsid w:val="009D7AC6"/>
    <w:rsid w:val="009E17BE"/>
    <w:rsid w:val="009E2515"/>
    <w:rsid w:val="009E6241"/>
    <w:rsid w:val="009E6A4E"/>
    <w:rsid w:val="009E77A4"/>
    <w:rsid w:val="00A001EB"/>
    <w:rsid w:val="00A01BD3"/>
    <w:rsid w:val="00A027DB"/>
    <w:rsid w:val="00A02EA3"/>
    <w:rsid w:val="00A0381C"/>
    <w:rsid w:val="00A03914"/>
    <w:rsid w:val="00A05877"/>
    <w:rsid w:val="00A05E48"/>
    <w:rsid w:val="00A06D2D"/>
    <w:rsid w:val="00A100FA"/>
    <w:rsid w:val="00A10351"/>
    <w:rsid w:val="00A13D2A"/>
    <w:rsid w:val="00A13E5A"/>
    <w:rsid w:val="00A141DE"/>
    <w:rsid w:val="00A150DE"/>
    <w:rsid w:val="00A159FD"/>
    <w:rsid w:val="00A176C0"/>
    <w:rsid w:val="00A17D78"/>
    <w:rsid w:val="00A21F37"/>
    <w:rsid w:val="00A230CA"/>
    <w:rsid w:val="00A23186"/>
    <w:rsid w:val="00A24865"/>
    <w:rsid w:val="00A26F2C"/>
    <w:rsid w:val="00A27B40"/>
    <w:rsid w:val="00A301A3"/>
    <w:rsid w:val="00A301E7"/>
    <w:rsid w:val="00A32861"/>
    <w:rsid w:val="00A33A3B"/>
    <w:rsid w:val="00A34400"/>
    <w:rsid w:val="00A34553"/>
    <w:rsid w:val="00A34A10"/>
    <w:rsid w:val="00A36C09"/>
    <w:rsid w:val="00A371A2"/>
    <w:rsid w:val="00A41047"/>
    <w:rsid w:val="00A41BEF"/>
    <w:rsid w:val="00A420B3"/>
    <w:rsid w:val="00A431C4"/>
    <w:rsid w:val="00A4632F"/>
    <w:rsid w:val="00A470B6"/>
    <w:rsid w:val="00A504DA"/>
    <w:rsid w:val="00A512F6"/>
    <w:rsid w:val="00A51543"/>
    <w:rsid w:val="00A51C4D"/>
    <w:rsid w:val="00A639BE"/>
    <w:rsid w:val="00A64558"/>
    <w:rsid w:val="00A646DC"/>
    <w:rsid w:val="00A64869"/>
    <w:rsid w:val="00A65769"/>
    <w:rsid w:val="00A657B0"/>
    <w:rsid w:val="00A665D4"/>
    <w:rsid w:val="00A67247"/>
    <w:rsid w:val="00A7557E"/>
    <w:rsid w:val="00A75CA4"/>
    <w:rsid w:val="00A76DD2"/>
    <w:rsid w:val="00A76F1C"/>
    <w:rsid w:val="00A80CC9"/>
    <w:rsid w:val="00A80D0A"/>
    <w:rsid w:val="00A81690"/>
    <w:rsid w:val="00A83362"/>
    <w:rsid w:val="00A83CE4"/>
    <w:rsid w:val="00A83D58"/>
    <w:rsid w:val="00A84005"/>
    <w:rsid w:val="00A84FDA"/>
    <w:rsid w:val="00A855E0"/>
    <w:rsid w:val="00A8657A"/>
    <w:rsid w:val="00A902FD"/>
    <w:rsid w:val="00A90C1D"/>
    <w:rsid w:val="00A94FE9"/>
    <w:rsid w:val="00A96213"/>
    <w:rsid w:val="00A96796"/>
    <w:rsid w:val="00A96EC6"/>
    <w:rsid w:val="00A9780F"/>
    <w:rsid w:val="00AA0E31"/>
    <w:rsid w:val="00AA0E42"/>
    <w:rsid w:val="00AA2532"/>
    <w:rsid w:val="00AA2793"/>
    <w:rsid w:val="00AA3FB7"/>
    <w:rsid w:val="00AA5414"/>
    <w:rsid w:val="00AA61D4"/>
    <w:rsid w:val="00AB04F4"/>
    <w:rsid w:val="00AB2BB2"/>
    <w:rsid w:val="00AB3DF6"/>
    <w:rsid w:val="00AB55A3"/>
    <w:rsid w:val="00AB56F3"/>
    <w:rsid w:val="00AB5F2D"/>
    <w:rsid w:val="00AB7357"/>
    <w:rsid w:val="00AC06FD"/>
    <w:rsid w:val="00AC0EF2"/>
    <w:rsid w:val="00AC14F2"/>
    <w:rsid w:val="00AC1674"/>
    <w:rsid w:val="00AC362E"/>
    <w:rsid w:val="00AC3E03"/>
    <w:rsid w:val="00AC74AF"/>
    <w:rsid w:val="00AC7D78"/>
    <w:rsid w:val="00AD060F"/>
    <w:rsid w:val="00AD128D"/>
    <w:rsid w:val="00AD1DE1"/>
    <w:rsid w:val="00AD1DFC"/>
    <w:rsid w:val="00AD2BE2"/>
    <w:rsid w:val="00AD3F97"/>
    <w:rsid w:val="00AD43C2"/>
    <w:rsid w:val="00AD5237"/>
    <w:rsid w:val="00AD54E4"/>
    <w:rsid w:val="00AD56A5"/>
    <w:rsid w:val="00AD5AC9"/>
    <w:rsid w:val="00AD5B5C"/>
    <w:rsid w:val="00AD6D3C"/>
    <w:rsid w:val="00AD72AB"/>
    <w:rsid w:val="00AE0085"/>
    <w:rsid w:val="00AE08EB"/>
    <w:rsid w:val="00AE0DB8"/>
    <w:rsid w:val="00AE4CD8"/>
    <w:rsid w:val="00AE566B"/>
    <w:rsid w:val="00AE622F"/>
    <w:rsid w:val="00AE6301"/>
    <w:rsid w:val="00AE64DC"/>
    <w:rsid w:val="00AE6DED"/>
    <w:rsid w:val="00AE7532"/>
    <w:rsid w:val="00AE7DB9"/>
    <w:rsid w:val="00AF0E67"/>
    <w:rsid w:val="00AF25F5"/>
    <w:rsid w:val="00AF3B75"/>
    <w:rsid w:val="00AF5CBB"/>
    <w:rsid w:val="00AF6690"/>
    <w:rsid w:val="00AF6A2A"/>
    <w:rsid w:val="00AF6B37"/>
    <w:rsid w:val="00B006CC"/>
    <w:rsid w:val="00B00959"/>
    <w:rsid w:val="00B01C7A"/>
    <w:rsid w:val="00B01D20"/>
    <w:rsid w:val="00B03F0B"/>
    <w:rsid w:val="00B045CF"/>
    <w:rsid w:val="00B048CB"/>
    <w:rsid w:val="00B04D7E"/>
    <w:rsid w:val="00B05CD2"/>
    <w:rsid w:val="00B05EFA"/>
    <w:rsid w:val="00B06087"/>
    <w:rsid w:val="00B11672"/>
    <w:rsid w:val="00B1246D"/>
    <w:rsid w:val="00B132B1"/>
    <w:rsid w:val="00B13C4B"/>
    <w:rsid w:val="00B14AF7"/>
    <w:rsid w:val="00B2217E"/>
    <w:rsid w:val="00B2223B"/>
    <w:rsid w:val="00B23078"/>
    <w:rsid w:val="00B241A9"/>
    <w:rsid w:val="00B24787"/>
    <w:rsid w:val="00B30043"/>
    <w:rsid w:val="00B30383"/>
    <w:rsid w:val="00B31793"/>
    <w:rsid w:val="00B3204C"/>
    <w:rsid w:val="00B339CC"/>
    <w:rsid w:val="00B3487F"/>
    <w:rsid w:val="00B35836"/>
    <w:rsid w:val="00B35C54"/>
    <w:rsid w:val="00B37306"/>
    <w:rsid w:val="00B40D03"/>
    <w:rsid w:val="00B43813"/>
    <w:rsid w:val="00B46B7F"/>
    <w:rsid w:val="00B476D1"/>
    <w:rsid w:val="00B476DC"/>
    <w:rsid w:val="00B52EBF"/>
    <w:rsid w:val="00B53664"/>
    <w:rsid w:val="00B53AA8"/>
    <w:rsid w:val="00B55195"/>
    <w:rsid w:val="00B55DBD"/>
    <w:rsid w:val="00B55FF1"/>
    <w:rsid w:val="00B57146"/>
    <w:rsid w:val="00B6002B"/>
    <w:rsid w:val="00B60B3E"/>
    <w:rsid w:val="00B621E7"/>
    <w:rsid w:val="00B623F2"/>
    <w:rsid w:val="00B62802"/>
    <w:rsid w:val="00B63053"/>
    <w:rsid w:val="00B6472C"/>
    <w:rsid w:val="00B64C2B"/>
    <w:rsid w:val="00B66478"/>
    <w:rsid w:val="00B66B2E"/>
    <w:rsid w:val="00B7307E"/>
    <w:rsid w:val="00B73443"/>
    <w:rsid w:val="00B73998"/>
    <w:rsid w:val="00B748CA"/>
    <w:rsid w:val="00B76084"/>
    <w:rsid w:val="00B762DB"/>
    <w:rsid w:val="00B77299"/>
    <w:rsid w:val="00B80846"/>
    <w:rsid w:val="00B81858"/>
    <w:rsid w:val="00B81863"/>
    <w:rsid w:val="00B81D17"/>
    <w:rsid w:val="00B825C8"/>
    <w:rsid w:val="00B84716"/>
    <w:rsid w:val="00B84E79"/>
    <w:rsid w:val="00B84F9A"/>
    <w:rsid w:val="00B851EF"/>
    <w:rsid w:val="00B85F19"/>
    <w:rsid w:val="00B87035"/>
    <w:rsid w:val="00B87820"/>
    <w:rsid w:val="00B915C8"/>
    <w:rsid w:val="00B91F9B"/>
    <w:rsid w:val="00B93C0F"/>
    <w:rsid w:val="00B93C25"/>
    <w:rsid w:val="00B9536B"/>
    <w:rsid w:val="00B960B6"/>
    <w:rsid w:val="00B96412"/>
    <w:rsid w:val="00B966C1"/>
    <w:rsid w:val="00B96E5B"/>
    <w:rsid w:val="00B978BE"/>
    <w:rsid w:val="00BA0078"/>
    <w:rsid w:val="00BA0350"/>
    <w:rsid w:val="00BA2107"/>
    <w:rsid w:val="00BA28C7"/>
    <w:rsid w:val="00BA29A0"/>
    <w:rsid w:val="00BA5665"/>
    <w:rsid w:val="00BA59DE"/>
    <w:rsid w:val="00BA70E7"/>
    <w:rsid w:val="00BB1059"/>
    <w:rsid w:val="00BB13DC"/>
    <w:rsid w:val="00BB218F"/>
    <w:rsid w:val="00BB2D81"/>
    <w:rsid w:val="00BB2EE3"/>
    <w:rsid w:val="00BB3273"/>
    <w:rsid w:val="00BB4056"/>
    <w:rsid w:val="00BB5965"/>
    <w:rsid w:val="00BB7F53"/>
    <w:rsid w:val="00BC07AD"/>
    <w:rsid w:val="00BC0847"/>
    <w:rsid w:val="00BC0D69"/>
    <w:rsid w:val="00BC0FDB"/>
    <w:rsid w:val="00BC14CF"/>
    <w:rsid w:val="00BC176D"/>
    <w:rsid w:val="00BC1B22"/>
    <w:rsid w:val="00BC34AA"/>
    <w:rsid w:val="00BC5F7A"/>
    <w:rsid w:val="00BC68DD"/>
    <w:rsid w:val="00BC6FAA"/>
    <w:rsid w:val="00BD06F5"/>
    <w:rsid w:val="00BD0E61"/>
    <w:rsid w:val="00BD10F1"/>
    <w:rsid w:val="00BD1EF8"/>
    <w:rsid w:val="00BD2902"/>
    <w:rsid w:val="00BD2A40"/>
    <w:rsid w:val="00BD375F"/>
    <w:rsid w:val="00BD3C7C"/>
    <w:rsid w:val="00BD53BD"/>
    <w:rsid w:val="00BE0520"/>
    <w:rsid w:val="00BE0ADA"/>
    <w:rsid w:val="00BE1E47"/>
    <w:rsid w:val="00BE2110"/>
    <w:rsid w:val="00BE2BD0"/>
    <w:rsid w:val="00BE6B3C"/>
    <w:rsid w:val="00BE6CFC"/>
    <w:rsid w:val="00BF0400"/>
    <w:rsid w:val="00C019C8"/>
    <w:rsid w:val="00C02991"/>
    <w:rsid w:val="00C029A1"/>
    <w:rsid w:val="00C02E89"/>
    <w:rsid w:val="00C0548E"/>
    <w:rsid w:val="00C05C9B"/>
    <w:rsid w:val="00C06D7F"/>
    <w:rsid w:val="00C07D35"/>
    <w:rsid w:val="00C105CD"/>
    <w:rsid w:val="00C1377C"/>
    <w:rsid w:val="00C15078"/>
    <w:rsid w:val="00C17EBE"/>
    <w:rsid w:val="00C20770"/>
    <w:rsid w:val="00C213A7"/>
    <w:rsid w:val="00C24B6D"/>
    <w:rsid w:val="00C252D8"/>
    <w:rsid w:val="00C26D52"/>
    <w:rsid w:val="00C275DA"/>
    <w:rsid w:val="00C27E9E"/>
    <w:rsid w:val="00C31A78"/>
    <w:rsid w:val="00C32F2E"/>
    <w:rsid w:val="00C339DF"/>
    <w:rsid w:val="00C34115"/>
    <w:rsid w:val="00C34BCE"/>
    <w:rsid w:val="00C34D55"/>
    <w:rsid w:val="00C35AC9"/>
    <w:rsid w:val="00C35CD6"/>
    <w:rsid w:val="00C370E9"/>
    <w:rsid w:val="00C37283"/>
    <w:rsid w:val="00C372E0"/>
    <w:rsid w:val="00C40469"/>
    <w:rsid w:val="00C4136B"/>
    <w:rsid w:val="00C4158A"/>
    <w:rsid w:val="00C417D7"/>
    <w:rsid w:val="00C41F4D"/>
    <w:rsid w:val="00C42180"/>
    <w:rsid w:val="00C430E0"/>
    <w:rsid w:val="00C432E9"/>
    <w:rsid w:val="00C43854"/>
    <w:rsid w:val="00C447C2"/>
    <w:rsid w:val="00C45349"/>
    <w:rsid w:val="00C45D47"/>
    <w:rsid w:val="00C4715E"/>
    <w:rsid w:val="00C50CFD"/>
    <w:rsid w:val="00C5324E"/>
    <w:rsid w:val="00C53981"/>
    <w:rsid w:val="00C547E1"/>
    <w:rsid w:val="00C54D04"/>
    <w:rsid w:val="00C559F4"/>
    <w:rsid w:val="00C6091E"/>
    <w:rsid w:val="00C61EDC"/>
    <w:rsid w:val="00C621C3"/>
    <w:rsid w:val="00C63E25"/>
    <w:rsid w:val="00C64382"/>
    <w:rsid w:val="00C650A0"/>
    <w:rsid w:val="00C67CC2"/>
    <w:rsid w:val="00C71650"/>
    <w:rsid w:val="00C71AA9"/>
    <w:rsid w:val="00C721CC"/>
    <w:rsid w:val="00C740F6"/>
    <w:rsid w:val="00C749B6"/>
    <w:rsid w:val="00C74CBD"/>
    <w:rsid w:val="00C757A2"/>
    <w:rsid w:val="00C77856"/>
    <w:rsid w:val="00C7798A"/>
    <w:rsid w:val="00C802E4"/>
    <w:rsid w:val="00C817A0"/>
    <w:rsid w:val="00C81D0B"/>
    <w:rsid w:val="00C83DB5"/>
    <w:rsid w:val="00C85081"/>
    <w:rsid w:val="00C85586"/>
    <w:rsid w:val="00C87481"/>
    <w:rsid w:val="00C875EB"/>
    <w:rsid w:val="00C92A79"/>
    <w:rsid w:val="00C93493"/>
    <w:rsid w:val="00C93AD9"/>
    <w:rsid w:val="00C942A0"/>
    <w:rsid w:val="00C94A1C"/>
    <w:rsid w:val="00C955D9"/>
    <w:rsid w:val="00C95D6D"/>
    <w:rsid w:val="00CA0A26"/>
    <w:rsid w:val="00CA25FD"/>
    <w:rsid w:val="00CA2A80"/>
    <w:rsid w:val="00CA2E42"/>
    <w:rsid w:val="00CA2F80"/>
    <w:rsid w:val="00CA51A7"/>
    <w:rsid w:val="00CA55E3"/>
    <w:rsid w:val="00CA5E01"/>
    <w:rsid w:val="00CA6060"/>
    <w:rsid w:val="00CA62B3"/>
    <w:rsid w:val="00CA6E6A"/>
    <w:rsid w:val="00CA7338"/>
    <w:rsid w:val="00CA74E6"/>
    <w:rsid w:val="00CA783C"/>
    <w:rsid w:val="00CA7D17"/>
    <w:rsid w:val="00CB0A00"/>
    <w:rsid w:val="00CB1E5A"/>
    <w:rsid w:val="00CB257F"/>
    <w:rsid w:val="00CB3258"/>
    <w:rsid w:val="00CB4B44"/>
    <w:rsid w:val="00CB6363"/>
    <w:rsid w:val="00CB6EFA"/>
    <w:rsid w:val="00CC284F"/>
    <w:rsid w:val="00CC2FFC"/>
    <w:rsid w:val="00CC4AD7"/>
    <w:rsid w:val="00CC5403"/>
    <w:rsid w:val="00CC5698"/>
    <w:rsid w:val="00CC59F4"/>
    <w:rsid w:val="00CC5ED5"/>
    <w:rsid w:val="00CC6B7F"/>
    <w:rsid w:val="00CC6E29"/>
    <w:rsid w:val="00CC75CB"/>
    <w:rsid w:val="00CD0447"/>
    <w:rsid w:val="00CD10C1"/>
    <w:rsid w:val="00CD2DDD"/>
    <w:rsid w:val="00CD31C2"/>
    <w:rsid w:val="00CD3F3E"/>
    <w:rsid w:val="00CE2413"/>
    <w:rsid w:val="00CE3326"/>
    <w:rsid w:val="00CE5D9B"/>
    <w:rsid w:val="00CE5ECB"/>
    <w:rsid w:val="00CE7534"/>
    <w:rsid w:val="00CF05E5"/>
    <w:rsid w:val="00CF1BC8"/>
    <w:rsid w:val="00CF30C5"/>
    <w:rsid w:val="00CF4592"/>
    <w:rsid w:val="00CF4DC1"/>
    <w:rsid w:val="00CF692D"/>
    <w:rsid w:val="00D00088"/>
    <w:rsid w:val="00D01CF7"/>
    <w:rsid w:val="00D02004"/>
    <w:rsid w:val="00D03893"/>
    <w:rsid w:val="00D04D86"/>
    <w:rsid w:val="00D056A6"/>
    <w:rsid w:val="00D078DB"/>
    <w:rsid w:val="00D10E16"/>
    <w:rsid w:val="00D10F5D"/>
    <w:rsid w:val="00D11C40"/>
    <w:rsid w:val="00D1200D"/>
    <w:rsid w:val="00D138FB"/>
    <w:rsid w:val="00D14A4C"/>
    <w:rsid w:val="00D15987"/>
    <w:rsid w:val="00D163A9"/>
    <w:rsid w:val="00D16E37"/>
    <w:rsid w:val="00D21D71"/>
    <w:rsid w:val="00D22203"/>
    <w:rsid w:val="00D23FA1"/>
    <w:rsid w:val="00D2519B"/>
    <w:rsid w:val="00D2575A"/>
    <w:rsid w:val="00D27C6D"/>
    <w:rsid w:val="00D27FDE"/>
    <w:rsid w:val="00D3126B"/>
    <w:rsid w:val="00D31EB9"/>
    <w:rsid w:val="00D32128"/>
    <w:rsid w:val="00D32DFE"/>
    <w:rsid w:val="00D33371"/>
    <w:rsid w:val="00D34F72"/>
    <w:rsid w:val="00D36226"/>
    <w:rsid w:val="00D40B3B"/>
    <w:rsid w:val="00D411AF"/>
    <w:rsid w:val="00D41DE2"/>
    <w:rsid w:val="00D4241E"/>
    <w:rsid w:val="00D42DAF"/>
    <w:rsid w:val="00D441AA"/>
    <w:rsid w:val="00D468F9"/>
    <w:rsid w:val="00D52AA1"/>
    <w:rsid w:val="00D53B7B"/>
    <w:rsid w:val="00D559A2"/>
    <w:rsid w:val="00D60FE7"/>
    <w:rsid w:val="00D63DA6"/>
    <w:rsid w:val="00D65299"/>
    <w:rsid w:val="00D65440"/>
    <w:rsid w:val="00D66297"/>
    <w:rsid w:val="00D709CA"/>
    <w:rsid w:val="00D70FE3"/>
    <w:rsid w:val="00D73D1B"/>
    <w:rsid w:val="00D73D81"/>
    <w:rsid w:val="00D75CAF"/>
    <w:rsid w:val="00D81B2A"/>
    <w:rsid w:val="00D82A8D"/>
    <w:rsid w:val="00D84283"/>
    <w:rsid w:val="00D86576"/>
    <w:rsid w:val="00D86A8C"/>
    <w:rsid w:val="00D87E82"/>
    <w:rsid w:val="00D90157"/>
    <w:rsid w:val="00D920B1"/>
    <w:rsid w:val="00D920DB"/>
    <w:rsid w:val="00D92E4F"/>
    <w:rsid w:val="00D938C5"/>
    <w:rsid w:val="00D94B75"/>
    <w:rsid w:val="00D96401"/>
    <w:rsid w:val="00D964B2"/>
    <w:rsid w:val="00D97DF5"/>
    <w:rsid w:val="00DA29FB"/>
    <w:rsid w:val="00DA3945"/>
    <w:rsid w:val="00DA7593"/>
    <w:rsid w:val="00DB07AA"/>
    <w:rsid w:val="00DB0B0A"/>
    <w:rsid w:val="00DB1059"/>
    <w:rsid w:val="00DB1A45"/>
    <w:rsid w:val="00DB309B"/>
    <w:rsid w:val="00DB4511"/>
    <w:rsid w:val="00DB4CC2"/>
    <w:rsid w:val="00DB4EF8"/>
    <w:rsid w:val="00DC059D"/>
    <w:rsid w:val="00DC08D9"/>
    <w:rsid w:val="00DC0F62"/>
    <w:rsid w:val="00DC2184"/>
    <w:rsid w:val="00DC2370"/>
    <w:rsid w:val="00DC2569"/>
    <w:rsid w:val="00DC3773"/>
    <w:rsid w:val="00DC38C1"/>
    <w:rsid w:val="00DC5070"/>
    <w:rsid w:val="00DC687B"/>
    <w:rsid w:val="00DD1612"/>
    <w:rsid w:val="00DD2D82"/>
    <w:rsid w:val="00DD401D"/>
    <w:rsid w:val="00DD4C0C"/>
    <w:rsid w:val="00DD5071"/>
    <w:rsid w:val="00DD5F8C"/>
    <w:rsid w:val="00DD7A1B"/>
    <w:rsid w:val="00DE0B64"/>
    <w:rsid w:val="00DE4ACB"/>
    <w:rsid w:val="00DE4E89"/>
    <w:rsid w:val="00DE5CB9"/>
    <w:rsid w:val="00DE64C3"/>
    <w:rsid w:val="00DE7155"/>
    <w:rsid w:val="00DE782C"/>
    <w:rsid w:val="00DF03F8"/>
    <w:rsid w:val="00DF1595"/>
    <w:rsid w:val="00DF323B"/>
    <w:rsid w:val="00DF3D12"/>
    <w:rsid w:val="00DF43A9"/>
    <w:rsid w:val="00DF56A7"/>
    <w:rsid w:val="00DF781C"/>
    <w:rsid w:val="00E003F0"/>
    <w:rsid w:val="00E0077A"/>
    <w:rsid w:val="00E01E79"/>
    <w:rsid w:val="00E01EFE"/>
    <w:rsid w:val="00E021DE"/>
    <w:rsid w:val="00E0252B"/>
    <w:rsid w:val="00E05C77"/>
    <w:rsid w:val="00E064C3"/>
    <w:rsid w:val="00E0686C"/>
    <w:rsid w:val="00E113FC"/>
    <w:rsid w:val="00E118E6"/>
    <w:rsid w:val="00E11F48"/>
    <w:rsid w:val="00E1254A"/>
    <w:rsid w:val="00E1495D"/>
    <w:rsid w:val="00E154A3"/>
    <w:rsid w:val="00E164F0"/>
    <w:rsid w:val="00E166B7"/>
    <w:rsid w:val="00E17439"/>
    <w:rsid w:val="00E22D21"/>
    <w:rsid w:val="00E23ABC"/>
    <w:rsid w:val="00E26BED"/>
    <w:rsid w:val="00E3016E"/>
    <w:rsid w:val="00E319CC"/>
    <w:rsid w:val="00E33BDA"/>
    <w:rsid w:val="00E34DCE"/>
    <w:rsid w:val="00E35558"/>
    <w:rsid w:val="00E37D01"/>
    <w:rsid w:val="00E4174A"/>
    <w:rsid w:val="00E430D9"/>
    <w:rsid w:val="00E43791"/>
    <w:rsid w:val="00E45246"/>
    <w:rsid w:val="00E464CC"/>
    <w:rsid w:val="00E50AA6"/>
    <w:rsid w:val="00E50FA9"/>
    <w:rsid w:val="00E53323"/>
    <w:rsid w:val="00E5482F"/>
    <w:rsid w:val="00E54EA3"/>
    <w:rsid w:val="00E55D25"/>
    <w:rsid w:val="00E56675"/>
    <w:rsid w:val="00E56D2D"/>
    <w:rsid w:val="00E60D6E"/>
    <w:rsid w:val="00E62247"/>
    <w:rsid w:val="00E62A4D"/>
    <w:rsid w:val="00E630BD"/>
    <w:rsid w:val="00E63A62"/>
    <w:rsid w:val="00E661E9"/>
    <w:rsid w:val="00E66875"/>
    <w:rsid w:val="00E6746F"/>
    <w:rsid w:val="00E67F68"/>
    <w:rsid w:val="00E7007E"/>
    <w:rsid w:val="00E70BBF"/>
    <w:rsid w:val="00E74F24"/>
    <w:rsid w:val="00E7575D"/>
    <w:rsid w:val="00E75EB5"/>
    <w:rsid w:val="00E8134D"/>
    <w:rsid w:val="00E82ABF"/>
    <w:rsid w:val="00E831F7"/>
    <w:rsid w:val="00E85A07"/>
    <w:rsid w:val="00E85A09"/>
    <w:rsid w:val="00E914A9"/>
    <w:rsid w:val="00E92592"/>
    <w:rsid w:val="00E9331F"/>
    <w:rsid w:val="00E93B33"/>
    <w:rsid w:val="00E945DB"/>
    <w:rsid w:val="00E9598A"/>
    <w:rsid w:val="00E971B5"/>
    <w:rsid w:val="00E97DAB"/>
    <w:rsid w:val="00EA108C"/>
    <w:rsid w:val="00EA1E22"/>
    <w:rsid w:val="00EA3DC0"/>
    <w:rsid w:val="00EA495B"/>
    <w:rsid w:val="00EA4C8A"/>
    <w:rsid w:val="00EA4D0C"/>
    <w:rsid w:val="00EA57F8"/>
    <w:rsid w:val="00EA5BB4"/>
    <w:rsid w:val="00EA7EA3"/>
    <w:rsid w:val="00EB2C1C"/>
    <w:rsid w:val="00EB4A65"/>
    <w:rsid w:val="00EB4D96"/>
    <w:rsid w:val="00EB7FA5"/>
    <w:rsid w:val="00EC0197"/>
    <w:rsid w:val="00EC1143"/>
    <w:rsid w:val="00EC144C"/>
    <w:rsid w:val="00EC1896"/>
    <w:rsid w:val="00EC274F"/>
    <w:rsid w:val="00EC2BF1"/>
    <w:rsid w:val="00EC2FCA"/>
    <w:rsid w:val="00EC3693"/>
    <w:rsid w:val="00EC4D64"/>
    <w:rsid w:val="00EC6010"/>
    <w:rsid w:val="00EC62B3"/>
    <w:rsid w:val="00ED2A09"/>
    <w:rsid w:val="00ED2F31"/>
    <w:rsid w:val="00ED3851"/>
    <w:rsid w:val="00ED47C7"/>
    <w:rsid w:val="00ED4AE6"/>
    <w:rsid w:val="00ED5EBF"/>
    <w:rsid w:val="00ED692B"/>
    <w:rsid w:val="00ED6E13"/>
    <w:rsid w:val="00ED75CD"/>
    <w:rsid w:val="00EE0D9D"/>
    <w:rsid w:val="00EE150B"/>
    <w:rsid w:val="00EE1985"/>
    <w:rsid w:val="00EE1F39"/>
    <w:rsid w:val="00EE45D4"/>
    <w:rsid w:val="00EE609B"/>
    <w:rsid w:val="00EE72A8"/>
    <w:rsid w:val="00EE7A27"/>
    <w:rsid w:val="00EE7B82"/>
    <w:rsid w:val="00EF15E6"/>
    <w:rsid w:val="00EF2216"/>
    <w:rsid w:val="00EF3CEF"/>
    <w:rsid w:val="00EF5707"/>
    <w:rsid w:val="00EF602D"/>
    <w:rsid w:val="00F01160"/>
    <w:rsid w:val="00F029F6"/>
    <w:rsid w:val="00F053A3"/>
    <w:rsid w:val="00F05B77"/>
    <w:rsid w:val="00F05CAE"/>
    <w:rsid w:val="00F1072A"/>
    <w:rsid w:val="00F132E3"/>
    <w:rsid w:val="00F14FEC"/>
    <w:rsid w:val="00F151FE"/>
    <w:rsid w:val="00F15DE3"/>
    <w:rsid w:val="00F16E92"/>
    <w:rsid w:val="00F17C79"/>
    <w:rsid w:val="00F17D22"/>
    <w:rsid w:val="00F207D6"/>
    <w:rsid w:val="00F2281F"/>
    <w:rsid w:val="00F22FED"/>
    <w:rsid w:val="00F24C11"/>
    <w:rsid w:val="00F24F69"/>
    <w:rsid w:val="00F253A4"/>
    <w:rsid w:val="00F26024"/>
    <w:rsid w:val="00F273FD"/>
    <w:rsid w:val="00F321B9"/>
    <w:rsid w:val="00F3360B"/>
    <w:rsid w:val="00F33A7F"/>
    <w:rsid w:val="00F34E32"/>
    <w:rsid w:val="00F3544C"/>
    <w:rsid w:val="00F369D0"/>
    <w:rsid w:val="00F41400"/>
    <w:rsid w:val="00F41FF5"/>
    <w:rsid w:val="00F446DD"/>
    <w:rsid w:val="00F45B50"/>
    <w:rsid w:val="00F45E78"/>
    <w:rsid w:val="00F46E9D"/>
    <w:rsid w:val="00F508AF"/>
    <w:rsid w:val="00F50B8A"/>
    <w:rsid w:val="00F50CD4"/>
    <w:rsid w:val="00F50F46"/>
    <w:rsid w:val="00F51774"/>
    <w:rsid w:val="00F52338"/>
    <w:rsid w:val="00F535E2"/>
    <w:rsid w:val="00F564B5"/>
    <w:rsid w:val="00F56E75"/>
    <w:rsid w:val="00F56ED1"/>
    <w:rsid w:val="00F570F3"/>
    <w:rsid w:val="00F57B11"/>
    <w:rsid w:val="00F617A8"/>
    <w:rsid w:val="00F63535"/>
    <w:rsid w:val="00F66BE4"/>
    <w:rsid w:val="00F67AF7"/>
    <w:rsid w:val="00F71CCD"/>
    <w:rsid w:val="00F721E3"/>
    <w:rsid w:val="00F733BD"/>
    <w:rsid w:val="00F73A49"/>
    <w:rsid w:val="00F73BF5"/>
    <w:rsid w:val="00F73CB0"/>
    <w:rsid w:val="00F73DBA"/>
    <w:rsid w:val="00F73F1A"/>
    <w:rsid w:val="00F7507F"/>
    <w:rsid w:val="00F76BD0"/>
    <w:rsid w:val="00F8066D"/>
    <w:rsid w:val="00F81731"/>
    <w:rsid w:val="00F82A37"/>
    <w:rsid w:val="00F83845"/>
    <w:rsid w:val="00F83DDB"/>
    <w:rsid w:val="00F91EC6"/>
    <w:rsid w:val="00F927FE"/>
    <w:rsid w:val="00F9315C"/>
    <w:rsid w:val="00F93CA8"/>
    <w:rsid w:val="00F95831"/>
    <w:rsid w:val="00F9593C"/>
    <w:rsid w:val="00F96ABB"/>
    <w:rsid w:val="00F96B93"/>
    <w:rsid w:val="00FA0C43"/>
    <w:rsid w:val="00FA15C8"/>
    <w:rsid w:val="00FA4BEB"/>
    <w:rsid w:val="00FA4C37"/>
    <w:rsid w:val="00FA5856"/>
    <w:rsid w:val="00FA5BD6"/>
    <w:rsid w:val="00FA6D0C"/>
    <w:rsid w:val="00FB1A83"/>
    <w:rsid w:val="00FB5055"/>
    <w:rsid w:val="00FB68DF"/>
    <w:rsid w:val="00FB7428"/>
    <w:rsid w:val="00FC067F"/>
    <w:rsid w:val="00FC37B3"/>
    <w:rsid w:val="00FC4479"/>
    <w:rsid w:val="00FC7256"/>
    <w:rsid w:val="00FC7B77"/>
    <w:rsid w:val="00FD0E5F"/>
    <w:rsid w:val="00FD1721"/>
    <w:rsid w:val="00FD1D0F"/>
    <w:rsid w:val="00FD2C85"/>
    <w:rsid w:val="00FD306C"/>
    <w:rsid w:val="00FD308A"/>
    <w:rsid w:val="00FD341A"/>
    <w:rsid w:val="00FD372C"/>
    <w:rsid w:val="00FD3C4F"/>
    <w:rsid w:val="00FD52DB"/>
    <w:rsid w:val="00FD600F"/>
    <w:rsid w:val="00FD6C51"/>
    <w:rsid w:val="00FD6C52"/>
    <w:rsid w:val="00FE041A"/>
    <w:rsid w:val="00FE0DDD"/>
    <w:rsid w:val="00FE30EA"/>
    <w:rsid w:val="00FF25B9"/>
    <w:rsid w:val="00FF4A88"/>
    <w:rsid w:val="00FF5CCB"/>
    <w:rsid w:val="00FF626B"/>
    <w:rsid w:val="00FF662A"/>
    <w:rsid w:val="00FF7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28033"/>
    <o:shapelayout v:ext="edit">
      <o:idmap v:ext="edit" data="1"/>
    </o:shapelayout>
  </w:shapeDefaults>
  <w:decimalSymbol w:val="."/>
  <w:listSeparator w:val=","/>
  <w14:docId w14:val="16F1E663"/>
  <w15:chartTrackingRefBased/>
  <w15:docId w15:val="{DAA57DB4-9910-452D-A533-9C5030A2E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D81"/>
    <w:pPr>
      <w:spacing w:after="0" w:line="240" w:lineRule="auto"/>
    </w:pPr>
    <w:rPr>
      <w:kern w:val="0"/>
      <w14:ligatures w14:val="none"/>
    </w:rPr>
  </w:style>
  <w:style w:type="paragraph" w:styleId="Heading1">
    <w:name w:val="heading 1"/>
    <w:basedOn w:val="Normal"/>
    <w:next w:val="Normal"/>
    <w:link w:val="Heading1Char"/>
    <w:autoRedefine/>
    <w:uiPriority w:val="1"/>
    <w:qFormat/>
    <w:rsid w:val="00C50CFD"/>
    <w:pPr>
      <w:keepNext/>
      <w:pBdr>
        <w:bottom w:val="single" w:sz="8" w:space="1" w:color="000000" w:themeColor="text1"/>
      </w:pBdr>
      <w:tabs>
        <w:tab w:val="center" w:pos="5112"/>
      </w:tabs>
      <w:suppressAutoHyphens/>
      <w:spacing w:before="240" w:after="60"/>
      <w:ind w:left="180"/>
      <w:outlineLvl w:val="0"/>
    </w:pPr>
    <w:rPr>
      <w:rFonts w:cstheme="minorHAnsi"/>
      <w:b/>
      <w:i/>
      <w:noProof/>
      <w:color w:val="000000" w:themeColor="text1"/>
      <w:spacing w:val="-3"/>
      <w:u w:color="5B9BD5"/>
      <w14:textOutline w14:w="25400" w14:cap="rnd" w14:cmpd="sng" w14:algn="ctr">
        <w14:noFill/>
        <w14:prstDash w14:val="solid"/>
        <w14:bevel/>
      </w14:textOutline>
    </w:rPr>
  </w:style>
  <w:style w:type="paragraph" w:styleId="Heading2">
    <w:name w:val="heading 2"/>
    <w:basedOn w:val="Normal"/>
    <w:next w:val="Normal"/>
    <w:link w:val="Heading2Char"/>
    <w:autoRedefine/>
    <w:uiPriority w:val="1"/>
    <w:qFormat/>
    <w:rsid w:val="00DD1612"/>
    <w:pPr>
      <w:keepNext/>
      <w:tabs>
        <w:tab w:val="left" w:pos="720"/>
        <w:tab w:val="left" w:pos="1022"/>
        <w:tab w:val="left" w:pos="1440"/>
        <w:tab w:val="right" w:pos="4262"/>
        <w:tab w:val="right" w:pos="5220"/>
        <w:tab w:val="right" w:pos="6691"/>
        <w:tab w:val="right" w:pos="7621"/>
        <w:tab w:val="right" w:pos="9187"/>
      </w:tabs>
      <w:suppressAutoHyphens/>
      <w:jc w:val="both"/>
      <w:outlineLvl w:val="1"/>
    </w:pPr>
    <w:rPr>
      <w:rFonts w:ascii="Arial" w:eastAsia="Times New Roman" w:hAnsi="Arial" w:cs="Arial"/>
      <w:b/>
      <w:i/>
      <w:color w:val="000000"/>
      <w:spacing w:val="-3"/>
    </w:rPr>
  </w:style>
  <w:style w:type="paragraph" w:styleId="Heading3">
    <w:name w:val="heading 3"/>
    <w:basedOn w:val="Normal"/>
    <w:next w:val="Normal"/>
    <w:link w:val="Heading3Char"/>
    <w:autoRedefine/>
    <w:qFormat/>
    <w:rsid w:val="00DD1612"/>
    <w:pPr>
      <w:keepNext/>
      <w:tabs>
        <w:tab w:val="center" w:pos="5112"/>
      </w:tabs>
      <w:suppressAutoHyphens/>
      <w:spacing w:after="120"/>
      <w:jc w:val="both"/>
      <w:outlineLvl w:val="2"/>
    </w:pPr>
    <w:rPr>
      <w:rFonts w:ascii="Calibri" w:eastAsia="Times New Roman" w:hAnsi="Calibri" w:cs="Times New Roman"/>
      <w:b/>
      <w:color w:val="000000"/>
      <w:spacing w:val="-3"/>
      <w:sz w:val="24"/>
      <w:szCs w:val="20"/>
      <w:u w:val="single"/>
    </w:rPr>
  </w:style>
  <w:style w:type="paragraph" w:styleId="Heading4">
    <w:name w:val="heading 4"/>
    <w:basedOn w:val="Normal"/>
    <w:next w:val="Normal"/>
    <w:link w:val="Heading4Char"/>
    <w:qFormat/>
    <w:rsid w:val="00DD1612"/>
    <w:pPr>
      <w:keepNext/>
      <w:pBdr>
        <w:bottom w:val="single" w:sz="18" w:space="1" w:color="00688D"/>
      </w:pBdr>
      <w:tabs>
        <w:tab w:val="left" w:pos="720"/>
        <w:tab w:val="left" w:pos="1440"/>
        <w:tab w:val="center" w:pos="5400"/>
        <w:tab w:val="left" w:pos="10620"/>
      </w:tabs>
      <w:spacing w:after="40" w:line="240" w:lineRule="atLeast"/>
      <w:outlineLvl w:val="3"/>
    </w:pPr>
    <w:rPr>
      <w:rFonts w:eastAsia="Times New Roman" w:cs="Times New Roman"/>
      <w:i/>
      <w:color w:val="000000"/>
      <w:sz w:val="20"/>
      <w:szCs w:val="20"/>
    </w:rPr>
  </w:style>
  <w:style w:type="paragraph" w:styleId="Heading5">
    <w:name w:val="heading 5"/>
    <w:basedOn w:val="Normal"/>
    <w:next w:val="Normal"/>
    <w:link w:val="Heading5Char"/>
    <w:qFormat/>
    <w:rsid w:val="00DD1612"/>
    <w:pPr>
      <w:keepNext/>
      <w:pBdr>
        <w:bottom w:val="single" w:sz="18" w:space="1" w:color="5B9BD5"/>
      </w:pBdr>
      <w:tabs>
        <w:tab w:val="center" w:pos="5112"/>
      </w:tabs>
      <w:suppressAutoHyphens/>
      <w:jc w:val="center"/>
      <w:outlineLvl w:val="4"/>
    </w:pPr>
    <w:rPr>
      <w:rFonts w:ascii="Calibri" w:eastAsia="Times New Roman" w:hAnsi="Calibri" w:cs="Times New Roman"/>
      <w:b/>
      <w:i/>
      <w:color w:val="000000"/>
      <w:spacing w:val="-3"/>
      <w:sz w:val="40"/>
      <w:szCs w:val="20"/>
    </w:rPr>
  </w:style>
  <w:style w:type="paragraph" w:styleId="Heading6">
    <w:name w:val="heading 6"/>
    <w:basedOn w:val="Normal"/>
    <w:next w:val="Normal"/>
    <w:link w:val="Heading6Char"/>
    <w:qFormat/>
    <w:rsid w:val="00DD1612"/>
    <w:pPr>
      <w:keepNext/>
      <w:tabs>
        <w:tab w:val="left" w:pos="720"/>
        <w:tab w:val="left" w:pos="1022"/>
        <w:tab w:val="left" w:pos="1440"/>
        <w:tab w:val="right" w:pos="4262"/>
        <w:tab w:val="right" w:pos="5220"/>
        <w:tab w:val="right" w:pos="6691"/>
        <w:tab w:val="right" w:pos="7621"/>
        <w:tab w:val="right" w:pos="9187"/>
      </w:tabs>
      <w:suppressAutoHyphens/>
      <w:ind w:left="1022"/>
      <w:jc w:val="both"/>
      <w:outlineLvl w:val="5"/>
    </w:pPr>
    <w:rPr>
      <w:rFonts w:ascii="Arial" w:eastAsia="Times New Roman" w:hAnsi="Arial" w:cs="Times New Roman"/>
      <w:b/>
      <w:szCs w:val="20"/>
    </w:rPr>
  </w:style>
  <w:style w:type="paragraph" w:styleId="Heading7">
    <w:name w:val="heading 7"/>
    <w:basedOn w:val="Normal"/>
    <w:next w:val="Normal"/>
    <w:link w:val="Heading7Char"/>
    <w:qFormat/>
    <w:rsid w:val="00DD1612"/>
    <w:pPr>
      <w:keepNext/>
      <w:pBdr>
        <w:top w:val="single" w:sz="24" w:space="1" w:color="00688D"/>
      </w:pBdr>
      <w:tabs>
        <w:tab w:val="left" w:pos="720"/>
        <w:tab w:val="left" w:pos="1440"/>
        <w:tab w:val="right" w:pos="4262"/>
        <w:tab w:val="right" w:pos="5220"/>
        <w:tab w:val="right" w:pos="6691"/>
        <w:tab w:val="right" w:pos="7621"/>
        <w:tab w:val="right" w:pos="9630"/>
      </w:tabs>
      <w:suppressAutoHyphens/>
      <w:ind w:left="720" w:hanging="720"/>
      <w:jc w:val="right"/>
      <w:outlineLvl w:val="6"/>
    </w:pPr>
    <w:rPr>
      <w:rFonts w:ascii="Calibri" w:eastAsia="Times New Roman" w:hAnsi="Calibri" w:cs="Times New Roman"/>
      <w:color w:val="000000"/>
      <w:spacing w:val="-3"/>
      <w:szCs w:val="20"/>
    </w:rPr>
  </w:style>
  <w:style w:type="paragraph" w:styleId="Heading8">
    <w:name w:val="heading 8"/>
    <w:basedOn w:val="Normal"/>
    <w:next w:val="Normal"/>
    <w:link w:val="Heading8Char"/>
    <w:qFormat/>
    <w:rsid w:val="00DD1612"/>
    <w:pPr>
      <w:keepNext/>
      <w:tabs>
        <w:tab w:val="left" w:pos="720"/>
        <w:tab w:val="left" w:pos="1440"/>
        <w:tab w:val="left" w:pos="1848"/>
        <w:tab w:val="left" w:pos="5040"/>
        <w:tab w:val="right" w:pos="7260"/>
      </w:tabs>
      <w:suppressAutoHyphens/>
      <w:jc w:val="both"/>
      <w:outlineLvl w:val="7"/>
    </w:pPr>
    <w:rPr>
      <w:rFonts w:ascii="Arial" w:eastAsia="Times New Roman" w:hAnsi="Arial" w:cs="Times New Roman"/>
      <w:b/>
      <w:bCs/>
      <w:spacing w:val="-3"/>
      <w:szCs w:val="20"/>
    </w:rPr>
  </w:style>
  <w:style w:type="paragraph" w:styleId="Heading9">
    <w:name w:val="heading 9"/>
    <w:basedOn w:val="Normal"/>
    <w:next w:val="Normal"/>
    <w:link w:val="Heading9Char"/>
    <w:qFormat/>
    <w:rsid w:val="00DD1612"/>
    <w:pPr>
      <w:keepNext/>
      <w:tabs>
        <w:tab w:val="left" w:pos="1440"/>
        <w:tab w:val="right" w:pos="4262"/>
        <w:tab w:val="right" w:pos="5220"/>
        <w:tab w:val="right" w:pos="6691"/>
        <w:tab w:val="right" w:pos="7621"/>
        <w:tab w:val="right" w:pos="9187"/>
      </w:tabs>
      <w:suppressAutoHyphens/>
      <w:ind w:left="1440"/>
      <w:jc w:val="both"/>
      <w:outlineLvl w:val="8"/>
    </w:pPr>
    <w:rPr>
      <w:rFonts w:ascii="Arial" w:eastAsia="Times New Roman" w:hAnsi="Arial" w:cs="Arial"/>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50CFD"/>
    <w:rPr>
      <w:rFonts w:cstheme="minorHAnsi"/>
      <w:b/>
      <w:i/>
      <w:noProof/>
      <w:color w:val="000000" w:themeColor="text1"/>
      <w:spacing w:val="-3"/>
      <w:kern w:val="0"/>
      <w:u w:color="5B9BD5"/>
      <w14:textOutline w14:w="25400" w14:cap="rnd" w14:cmpd="sng" w14:algn="ctr">
        <w14:noFill/>
        <w14:prstDash w14:val="solid"/>
        <w14:bevel/>
      </w14:textOutline>
      <w14:ligatures w14:val="none"/>
    </w:rPr>
  </w:style>
  <w:style w:type="character" w:customStyle="1" w:styleId="Heading2Char">
    <w:name w:val="Heading 2 Char"/>
    <w:basedOn w:val="DefaultParagraphFont"/>
    <w:link w:val="Heading2"/>
    <w:uiPriority w:val="1"/>
    <w:rsid w:val="00DD1612"/>
    <w:rPr>
      <w:rFonts w:ascii="Arial" w:eastAsia="Times New Roman" w:hAnsi="Arial" w:cs="Arial"/>
      <w:b/>
      <w:i/>
      <w:color w:val="000000"/>
      <w:spacing w:val="-3"/>
      <w:kern w:val="0"/>
      <w14:ligatures w14:val="none"/>
    </w:rPr>
  </w:style>
  <w:style w:type="character" w:customStyle="1" w:styleId="Heading3Char">
    <w:name w:val="Heading 3 Char"/>
    <w:basedOn w:val="DefaultParagraphFont"/>
    <w:link w:val="Heading3"/>
    <w:rsid w:val="00DD1612"/>
    <w:rPr>
      <w:rFonts w:ascii="Calibri" w:eastAsia="Times New Roman" w:hAnsi="Calibri" w:cs="Times New Roman"/>
      <w:b/>
      <w:color w:val="000000"/>
      <w:spacing w:val="-3"/>
      <w:kern w:val="0"/>
      <w:sz w:val="24"/>
      <w:szCs w:val="20"/>
      <w:u w:val="single"/>
      <w14:ligatures w14:val="none"/>
    </w:rPr>
  </w:style>
  <w:style w:type="character" w:customStyle="1" w:styleId="Heading4Char">
    <w:name w:val="Heading 4 Char"/>
    <w:basedOn w:val="DefaultParagraphFont"/>
    <w:link w:val="Heading4"/>
    <w:rsid w:val="00DD1612"/>
    <w:rPr>
      <w:rFonts w:eastAsia="Times New Roman" w:cs="Times New Roman"/>
      <w:i/>
      <w:color w:val="000000"/>
      <w:kern w:val="0"/>
      <w:sz w:val="20"/>
      <w:szCs w:val="20"/>
      <w14:ligatures w14:val="none"/>
    </w:rPr>
  </w:style>
  <w:style w:type="character" w:customStyle="1" w:styleId="Heading5Char">
    <w:name w:val="Heading 5 Char"/>
    <w:basedOn w:val="DefaultParagraphFont"/>
    <w:link w:val="Heading5"/>
    <w:rsid w:val="00DD1612"/>
    <w:rPr>
      <w:rFonts w:ascii="Calibri" w:eastAsia="Times New Roman" w:hAnsi="Calibri" w:cs="Times New Roman"/>
      <w:b/>
      <w:i/>
      <w:color w:val="000000"/>
      <w:spacing w:val="-3"/>
      <w:kern w:val="0"/>
      <w:sz w:val="40"/>
      <w:szCs w:val="20"/>
      <w14:ligatures w14:val="none"/>
    </w:rPr>
  </w:style>
  <w:style w:type="character" w:customStyle="1" w:styleId="Heading6Char">
    <w:name w:val="Heading 6 Char"/>
    <w:basedOn w:val="DefaultParagraphFont"/>
    <w:link w:val="Heading6"/>
    <w:rsid w:val="00DD1612"/>
    <w:rPr>
      <w:rFonts w:ascii="Arial" w:eastAsia="Times New Roman" w:hAnsi="Arial" w:cs="Times New Roman"/>
      <w:b/>
      <w:kern w:val="0"/>
      <w:szCs w:val="20"/>
      <w14:ligatures w14:val="none"/>
    </w:rPr>
  </w:style>
  <w:style w:type="character" w:customStyle="1" w:styleId="Heading7Char">
    <w:name w:val="Heading 7 Char"/>
    <w:basedOn w:val="DefaultParagraphFont"/>
    <w:link w:val="Heading7"/>
    <w:rsid w:val="00DD1612"/>
    <w:rPr>
      <w:rFonts w:ascii="Calibri" w:eastAsia="Times New Roman" w:hAnsi="Calibri" w:cs="Times New Roman"/>
      <w:color w:val="000000"/>
      <w:spacing w:val="-3"/>
      <w:kern w:val="0"/>
      <w:szCs w:val="20"/>
      <w14:ligatures w14:val="none"/>
    </w:rPr>
  </w:style>
  <w:style w:type="character" w:customStyle="1" w:styleId="Heading8Char">
    <w:name w:val="Heading 8 Char"/>
    <w:basedOn w:val="DefaultParagraphFont"/>
    <w:link w:val="Heading8"/>
    <w:rsid w:val="00DD1612"/>
    <w:rPr>
      <w:rFonts w:ascii="Arial" w:eastAsia="Times New Roman" w:hAnsi="Arial" w:cs="Times New Roman"/>
      <w:b/>
      <w:bCs/>
      <w:spacing w:val="-3"/>
      <w:kern w:val="0"/>
      <w:szCs w:val="20"/>
      <w14:ligatures w14:val="none"/>
    </w:rPr>
  </w:style>
  <w:style w:type="character" w:customStyle="1" w:styleId="Heading9Char">
    <w:name w:val="Heading 9 Char"/>
    <w:basedOn w:val="DefaultParagraphFont"/>
    <w:link w:val="Heading9"/>
    <w:rsid w:val="00DD1612"/>
    <w:rPr>
      <w:rFonts w:ascii="Arial" w:eastAsia="Times New Roman" w:hAnsi="Arial" w:cs="Arial"/>
      <w:b/>
      <w:kern w:val="0"/>
      <w:szCs w:val="20"/>
      <w14:ligatures w14:val="none"/>
    </w:rPr>
  </w:style>
  <w:style w:type="paragraph" w:styleId="Header">
    <w:name w:val="header"/>
    <w:basedOn w:val="Normal"/>
    <w:link w:val="HeaderChar"/>
    <w:uiPriority w:val="99"/>
    <w:unhideWhenUsed/>
    <w:rsid w:val="00DD1612"/>
    <w:pPr>
      <w:tabs>
        <w:tab w:val="center" w:pos="4680"/>
        <w:tab w:val="right" w:pos="9360"/>
      </w:tabs>
    </w:pPr>
  </w:style>
  <w:style w:type="character" w:customStyle="1" w:styleId="HeaderChar">
    <w:name w:val="Header Char"/>
    <w:basedOn w:val="DefaultParagraphFont"/>
    <w:link w:val="Header"/>
    <w:uiPriority w:val="99"/>
    <w:rsid w:val="00DD1612"/>
    <w:rPr>
      <w:kern w:val="0"/>
      <w14:ligatures w14:val="none"/>
    </w:rPr>
  </w:style>
  <w:style w:type="paragraph" w:styleId="Footer">
    <w:name w:val="footer"/>
    <w:basedOn w:val="Normal"/>
    <w:link w:val="FooterChar"/>
    <w:uiPriority w:val="99"/>
    <w:unhideWhenUsed/>
    <w:qFormat/>
    <w:rsid w:val="00DD1612"/>
    <w:pPr>
      <w:tabs>
        <w:tab w:val="center" w:pos="4680"/>
        <w:tab w:val="right" w:pos="9360"/>
      </w:tabs>
    </w:pPr>
  </w:style>
  <w:style w:type="character" w:customStyle="1" w:styleId="FooterChar">
    <w:name w:val="Footer Char"/>
    <w:basedOn w:val="DefaultParagraphFont"/>
    <w:link w:val="Footer"/>
    <w:uiPriority w:val="99"/>
    <w:rsid w:val="00DD1612"/>
    <w:rPr>
      <w:kern w:val="0"/>
      <w14:ligatures w14:val="none"/>
    </w:rPr>
  </w:style>
  <w:style w:type="paragraph" w:styleId="NoSpacing">
    <w:name w:val="No Spacing"/>
    <w:uiPriority w:val="1"/>
    <w:qFormat/>
    <w:rsid w:val="00DD1612"/>
    <w:pPr>
      <w:spacing w:after="0" w:line="240" w:lineRule="auto"/>
    </w:pPr>
    <w:rPr>
      <w:color w:val="44546A" w:themeColor="text2"/>
      <w:kern w:val="0"/>
      <w:sz w:val="20"/>
      <w:szCs w:val="20"/>
      <w14:ligatures w14:val="none"/>
    </w:rPr>
  </w:style>
  <w:style w:type="table" w:styleId="TableGrid">
    <w:name w:val="Table Grid"/>
    <w:basedOn w:val="TableNormal"/>
    <w:uiPriority w:val="39"/>
    <w:rsid w:val="00DD161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1612"/>
    <w:rPr>
      <w:color w:val="0563C1" w:themeColor="hyperlink"/>
      <w:u w:val="single"/>
    </w:rPr>
  </w:style>
  <w:style w:type="paragraph" w:styleId="BalloonText">
    <w:name w:val="Balloon Text"/>
    <w:basedOn w:val="Normal"/>
    <w:link w:val="BalloonTextChar"/>
    <w:semiHidden/>
    <w:unhideWhenUsed/>
    <w:rsid w:val="00DD1612"/>
    <w:rPr>
      <w:rFonts w:ascii="Segoe UI" w:hAnsi="Segoe UI" w:cs="Segoe UI"/>
      <w:sz w:val="18"/>
      <w:szCs w:val="18"/>
    </w:rPr>
  </w:style>
  <w:style w:type="character" w:customStyle="1" w:styleId="BalloonTextChar">
    <w:name w:val="Balloon Text Char"/>
    <w:basedOn w:val="DefaultParagraphFont"/>
    <w:link w:val="BalloonText"/>
    <w:semiHidden/>
    <w:rsid w:val="00DD1612"/>
    <w:rPr>
      <w:rFonts w:ascii="Segoe UI" w:hAnsi="Segoe UI" w:cs="Segoe UI"/>
      <w:kern w:val="0"/>
      <w:sz w:val="18"/>
      <w:szCs w:val="18"/>
      <w14:ligatures w14:val="none"/>
    </w:rPr>
  </w:style>
  <w:style w:type="character" w:styleId="FollowedHyperlink">
    <w:name w:val="FollowedHyperlink"/>
    <w:basedOn w:val="DefaultParagraphFont"/>
    <w:unhideWhenUsed/>
    <w:rsid w:val="00DD1612"/>
    <w:rPr>
      <w:color w:val="954F72" w:themeColor="followedHyperlink"/>
      <w:u w:val="single"/>
    </w:rPr>
  </w:style>
  <w:style w:type="paragraph" w:styleId="Title">
    <w:name w:val="Title"/>
    <w:basedOn w:val="Normal"/>
    <w:link w:val="TitleChar"/>
    <w:uiPriority w:val="1"/>
    <w:qFormat/>
    <w:rsid w:val="00DD1612"/>
    <w:pPr>
      <w:jc w:val="center"/>
    </w:pPr>
    <w:rPr>
      <w:rFonts w:ascii="Arial" w:eastAsia="Times New Roman" w:hAnsi="Arial" w:cs="Arial"/>
      <w:b/>
      <w:bCs/>
      <w:sz w:val="28"/>
      <w:szCs w:val="24"/>
    </w:rPr>
  </w:style>
  <w:style w:type="character" w:customStyle="1" w:styleId="TitleChar">
    <w:name w:val="Title Char"/>
    <w:basedOn w:val="DefaultParagraphFont"/>
    <w:link w:val="Title"/>
    <w:uiPriority w:val="10"/>
    <w:rsid w:val="00DD1612"/>
    <w:rPr>
      <w:rFonts w:ascii="Arial" w:eastAsia="Times New Roman" w:hAnsi="Arial" w:cs="Arial"/>
      <w:b/>
      <w:bCs/>
      <w:kern w:val="0"/>
      <w:sz w:val="28"/>
      <w:szCs w:val="24"/>
      <w14:ligatures w14:val="none"/>
    </w:rPr>
  </w:style>
  <w:style w:type="character" w:styleId="PageNumber">
    <w:name w:val="page number"/>
    <w:basedOn w:val="DefaultParagraphFont"/>
    <w:rsid w:val="00DD1612"/>
  </w:style>
  <w:style w:type="paragraph" w:styleId="TOC1">
    <w:name w:val="toc 1"/>
    <w:basedOn w:val="Normal"/>
    <w:next w:val="Normal"/>
    <w:autoRedefine/>
    <w:uiPriority w:val="39"/>
    <w:rsid w:val="00DD1612"/>
    <w:pPr>
      <w:tabs>
        <w:tab w:val="left" w:leader="dot" w:pos="9000"/>
        <w:tab w:val="right" w:pos="9360"/>
      </w:tabs>
      <w:suppressAutoHyphens/>
      <w:spacing w:before="480"/>
      <w:ind w:left="720" w:right="720" w:hanging="720"/>
    </w:pPr>
    <w:rPr>
      <w:rFonts w:ascii="CG Times Bold" w:eastAsia="Times New Roman" w:hAnsi="CG Times Bold" w:cs="Times New Roman"/>
      <w:b/>
      <w:sz w:val="24"/>
      <w:szCs w:val="20"/>
    </w:rPr>
  </w:style>
  <w:style w:type="paragraph" w:styleId="TOC2">
    <w:name w:val="toc 2"/>
    <w:basedOn w:val="Normal"/>
    <w:next w:val="Normal"/>
    <w:autoRedefine/>
    <w:uiPriority w:val="39"/>
    <w:rsid w:val="00DD1612"/>
    <w:pPr>
      <w:tabs>
        <w:tab w:val="left" w:leader="dot" w:pos="9000"/>
        <w:tab w:val="right" w:pos="9360"/>
      </w:tabs>
      <w:suppressAutoHyphens/>
      <w:ind w:left="1440" w:right="720" w:hanging="720"/>
    </w:pPr>
    <w:rPr>
      <w:rFonts w:ascii="CG Times Bold" w:eastAsia="Times New Roman" w:hAnsi="CG Times Bold" w:cs="Times New Roman"/>
      <w:b/>
      <w:sz w:val="24"/>
      <w:szCs w:val="20"/>
    </w:rPr>
  </w:style>
  <w:style w:type="paragraph" w:styleId="TOC3">
    <w:name w:val="toc 3"/>
    <w:basedOn w:val="Normal"/>
    <w:next w:val="Normal"/>
    <w:autoRedefine/>
    <w:uiPriority w:val="39"/>
    <w:rsid w:val="00DD1612"/>
    <w:pPr>
      <w:tabs>
        <w:tab w:val="left" w:leader="dot" w:pos="9000"/>
        <w:tab w:val="right" w:pos="9360"/>
      </w:tabs>
      <w:suppressAutoHyphens/>
      <w:ind w:left="2160" w:right="720" w:hanging="720"/>
    </w:pPr>
    <w:rPr>
      <w:rFonts w:ascii="CG Times Bold" w:eastAsia="Times New Roman" w:hAnsi="CG Times Bold" w:cs="Times New Roman"/>
      <w:b/>
      <w:sz w:val="24"/>
      <w:szCs w:val="20"/>
    </w:rPr>
  </w:style>
  <w:style w:type="paragraph" w:styleId="TOC4">
    <w:name w:val="toc 4"/>
    <w:basedOn w:val="Normal"/>
    <w:next w:val="Normal"/>
    <w:autoRedefine/>
    <w:semiHidden/>
    <w:rsid w:val="00DD1612"/>
    <w:pPr>
      <w:tabs>
        <w:tab w:val="left" w:leader="dot" w:pos="9000"/>
        <w:tab w:val="right" w:pos="9360"/>
      </w:tabs>
      <w:suppressAutoHyphens/>
      <w:ind w:left="2880" w:right="720" w:hanging="720"/>
    </w:pPr>
    <w:rPr>
      <w:rFonts w:ascii="CG Times Bold" w:eastAsia="Times New Roman" w:hAnsi="CG Times Bold" w:cs="Times New Roman"/>
      <w:b/>
      <w:sz w:val="24"/>
      <w:szCs w:val="20"/>
    </w:rPr>
  </w:style>
  <w:style w:type="paragraph" w:styleId="TOC5">
    <w:name w:val="toc 5"/>
    <w:basedOn w:val="Normal"/>
    <w:next w:val="Normal"/>
    <w:autoRedefine/>
    <w:semiHidden/>
    <w:rsid w:val="00DD1612"/>
    <w:pPr>
      <w:tabs>
        <w:tab w:val="left" w:leader="dot" w:pos="9000"/>
        <w:tab w:val="right" w:pos="9360"/>
      </w:tabs>
      <w:suppressAutoHyphens/>
      <w:ind w:left="3600" w:right="720" w:hanging="720"/>
    </w:pPr>
    <w:rPr>
      <w:rFonts w:ascii="CG Times Bold" w:eastAsia="Times New Roman" w:hAnsi="CG Times Bold" w:cs="Times New Roman"/>
      <w:b/>
      <w:sz w:val="24"/>
      <w:szCs w:val="20"/>
    </w:rPr>
  </w:style>
  <w:style w:type="paragraph" w:styleId="TOC6">
    <w:name w:val="toc 6"/>
    <w:basedOn w:val="Normal"/>
    <w:next w:val="Normal"/>
    <w:autoRedefine/>
    <w:semiHidden/>
    <w:rsid w:val="00DD1612"/>
    <w:pPr>
      <w:tabs>
        <w:tab w:val="left" w:pos="9000"/>
        <w:tab w:val="right" w:pos="9360"/>
      </w:tabs>
      <w:suppressAutoHyphens/>
      <w:ind w:left="720" w:hanging="720"/>
    </w:pPr>
    <w:rPr>
      <w:rFonts w:ascii="CG Times Bold" w:eastAsia="Times New Roman" w:hAnsi="CG Times Bold" w:cs="Times New Roman"/>
      <w:b/>
      <w:sz w:val="24"/>
      <w:szCs w:val="20"/>
    </w:rPr>
  </w:style>
  <w:style w:type="paragraph" w:styleId="TOC7">
    <w:name w:val="toc 7"/>
    <w:basedOn w:val="Normal"/>
    <w:next w:val="Normal"/>
    <w:autoRedefine/>
    <w:semiHidden/>
    <w:rsid w:val="00DD1612"/>
    <w:pPr>
      <w:suppressAutoHyphens/>
      <w:ind w:left="720" w:hanging="720"/>
    </w:pPr>
    <w:rPr>
      <w:rFonts w:ascii="CG Times Bold" w:eastAsia="Times New Roman" w:hAnsi="CG Times Bold" w:cs="Times New Roman"/>
      <w:b/>
      <w:sz w:val="24"/>
      <w:szCs w:val="20"/>
    </w:rPr>
  </w:style>
  <w:style w:type="paragraph" w:styleId="TOC8">
    <w:name w:val="toc 8"/>
    <w:basedOn w:val="Normal"/>
    <w:next w:val="Normal"/>
    <w:autoRedefine/>
    <w:semiHidden/>
    <w:rsid w:val="00DD1612"/>
    <w:pPr>
      <w:tabs>
        <w:tab w:val="left" w:pos="9000"/>
        <w:tab w:val="right" w:pos="9360"/>
      </w:tabs>
      <w:suppressAutoHyphens/>
      <w:ind w:left="720" w:hanging="720"/>
    </w:pPr>
    <w:rPr>
      <w:rFonts w:ascii="CG Times Bold" w:eastAsia="Times New Roman" w:hAnsi="CG Times Bold" w:cs="Times New Roman"/>
      <w:b/>
      <w:sz w:val="24"/>
      <w:szCs w:val="20"/>
    </w:rPr>
  </w:style>
  <w:style w:type="paragraph" w:styleId="TOC9">
    <w:name w:val="toc 9"/>
    <w:basedOn w:val="Normal"/>
    <w:next w:val="Normal"/>
    <w:autoRedefine/>
    <w:semiHidden/>
    <w:rsid w:val="00DD1612"/>
    <w:pPr>
      <w:tabs>
        <w:tab w:val="left" w:leader="dot" w:pos="9000"/>
        <w:tab w:val="right" w:pos="9360"/>
      </w:tabs>
      <w:suppressAutoHyphens/>
      <w:ind w:left="720" w:hanging="720"/>
    </w:pPr>
    <w:rPr>
      <w:rFonts w:ascii="CG Times Bold" w:eastAsia="Times New Roman" w:hAnsi="CG Times Bold" w:cs="Times New Roman"/>
      <w:b/>
      <w:sz w:val="24"/>
      <w:szCs w:val="20"/>
    </w:rPr>
  </w:style>
  <w:style w:type="paragraph" w:styleId="Index1">
    <w:name w:val="index 1"/>
    <w:basedOn w:val="Normal"/>
    <w:next w:val="Normal"/>
    <w:autoRedefine/>
    <w:semiHidden/>
    <w:rsid w:val="00DD1612"/>
    <w:pPr>
      <w:tabs>
        <w:tab w:val="left" w:leader="dot" w:pos="9000"/>
        <w:tab w:val="right" w:pos="9360"/>
      </w:tabs>
      <w:suppressAutoHyphens/>
      <w:ind w:left="1440" w:right="720" w:hanging="1440"/>
    </w:pPr>
    <w:rPr>
      <w:rFonts w:ascii="CG Times Bold" w:eastAsia="Times New Roman" w:hAnsi="CG Times Bold" w:cs="Times New Roman"/>
      <w:b/>
      <w:sz w:val="24"/>
      <w:szCs w:val="20"/>
    </w:rPr>
  </w:style>
  <w:style w:type="paragraph" w:styleId="Index2">
    <w:name w:val="index 2"/>
    <w:basedOn w:val="Normal"/>
    <w:next w:val="Normal"/>
    <w:autoRedefine/>
    <w:semiHidden/>
    <w:rsid w:val="00DD1612"/>
    <w:pPr>
      <w:tabs>
        <w:tab w:val="left" w:leader="dot" w:pos="9000"/>
        <w:tab w:val="right" w:pos="9360"/>
      </w:tabs>
      <w:suppressAutoHyphens/>
      <w:ind w:left="1440" w:right="720" w:hanging="720"/>
    </w:pPr>
    <w:rPr>
      <w:rFonts w:ascii="CG Times Bold" w:eastAsia="Times New Roman" w:hAnsi="CG Times Bold" w:cs="Times New Roman"/>
      <w:b/>
      <w:sz w:val="24"/>
      <w:szCs w:val="20"/>
    </w:rPr>
  </w:style>
  <w:style w:type="paragraph" w:styleId="TOAHeading">
    <w:name w:val="toa heading"/>
    <w:basedOn w:val="Normal"/>
    <w:next w:val="Normal"/>
    <w:semiHidden/>
    <w:rsid w:val="00DD1612"/>
    <w:pPr>
      <w:tabs>
        <w:tab w:val="left" w:pos="9000"/>
        <w:tab w:val="right" w:pos="9360"/>
      </w:tabs>
      <w:suppressAutoHyphens/>
    </w:pPr>
    <w:rPr>
      <w:rFonts w:ascii="CG Times Bold" w:eastAsia="Times New Roman" w:hAnsi="CG Times Bold" w:cs="Times New Roman"/>
      <w:b/>
      <w:sz w:val="24"/>
      <w:szCs w:val="20"/>
    </w:rPr>
  </w:style>
  <w:style w:type="paragraph" w:styleId="Caption">
    <w:name w:val="caption"/>
    <w:basedOn w:val="Normal"/>
    <w:next w:val="Normal"/>
    <w:qFormat/>
    <w:rsid w:val="00DD1612"/>
    <w:rPr>
      <w:rFonts w:ascii="CG Times Bold" w:eastAsia="Times New Roman" w:hAnsi="CG Times Bold" w:cs="Times New Roman"/>
      <w:sz w:val="24"/>
      <w:szCs w:val="20"/>
    </w:rPr>
  </w:style>
  <w:style w:type="paragraph" w:styleId="BodyTextIndent">
    <w:name w:val="Body Text Indent"/>
    <w:basedOn w:val="Normal"/>
    <w:link w:val="BodyTextIndentChar"/>
    <w:rsid w:val="00DD1612"/>
    <w:pPr>
      <w:tabs>
        <w:tab w:val="left" w:pos="720"/>
        <w:tab w:val="left" w:pos="1440"/>
        <w:tab w:val="decimal" w:pos="6786"/>
        <w:tab w:val="decimal" w:pos="9079"/>
      </w:tabs>
      <w:suppressAutoHyphens/>
      <w:ind w:left="720" w:hanging="720"/>
      <w:jc w:val="both"/>
    </w:pPr>
    <w:rPr>
      <w:rFonts w:ascii="Arial" w:eastAsia="Times New Roman" w:hAnsi="Arial" w:cs="Times New Roman"/>
      <w:spacing w:val="-3"/>
      <w:sz w:val="24"/>
      <w:szCs w:val="20"/>
    </w:rPr>
  </w:style>
  <w:style w:type="character" w:customStyle="1" w:styleId="BodyTextIndentChar">
    <w:name w:val="Body Text Indent Char"/>
    <w:basedOn w:val="DefaultParagraphFont"/>
    <w:link w:val="BodyTextIndent"/>
    <w:rsid w:val="00DD1612"/>
    <w:rPr>
      <w:rFonts w:ascii="Arial" w:eastAsia="Times New Roman" w:hAnsi="Arial" w:cs="Times New Roman"/>
      <w:spacing w:val="-3"/>
      <w:kern w:val="0"/>
      <w:sz w:val="24"/>
      <w:szCs w:val="20"/>
      <w14:ligatures w14:val="none"/>
    </w:rPr>
  </w:style>
  <w:style w:type="paragraph" w:styleId="DocumentMap">
    <w:name w:val="Document Map"/>
    <w:basedOn w:val="Normal"/>
    <w:link w:val="DocumentMapChar"/>
    <w:semiHidden/>
    <w:rsid w:val="00DD1612"/>
    <w:pPr>
      <w:shd w:val="clear" w:color="auto" w:fill="000080"/>
    </w:pPr>
    <w:rPr>
      <w:rFonts w:ascii="Tahoma" w:eastAsia="Times New Roman" w:hAnsi="Tahoma" w:cs="Times New Roman"/>
      <w:b/>
      <w:sz w:val="24"/>
      <w:szCs w:val="20"/>
    </w:rPr>
  </w:style>
  <w:style w:type="character" w:customStyle="1" w:styleId="DocumentMapChar">
    <w:name w:val="Document Map Char"/>
    <w:basedOn w:val="DefaultParagraphFont"/>
    <w:link w:val="DocumentMap"/>
    <w:semiHidden/>
    <w:rsid w:val="00DD1612"/>
    <w:rPr>
      <w:rFonts w:ascii="Tahoma" w:eastAsia="Times New Roman" w:hAnsi="Tahoma" w:cs="Times New Roman"/>
      <w:b/>
      <w:kern w:val="0"/>
      <w:sz w:val="24"/>
      <w:szCs w:val="20"/>
      <w:shd w:val="clear" w:color="auto" w:fill="000080"/>
      <w14:ligatures w14:val="none"/>
    </w:rPr>
  </w:style>
  <w:style w:type="paragraph" w:styleId="BodyTextIndent2">
    <w:name w:val="Body Text Indent 2"/>
    <w:basedOn w:val="Normal"/>
    <w:link w:val="BodyTextIndent2Char"/>
    <w:rsid w:val="00DD1612"/>
    <w:pPr>
      <w:tabs>
        <w:tab w:val="left" w:pos="720"/>
        <w:tab w:val="left" w:pos="1440"/>
        <w:tab w:val="right" w:pos="4262"/>
        <w:tab w:val="right" w:pos="5220"/>
        <w:tab w:val="right" w:pos="6691"/>
        <w:tab w:val="right" w:pos="7621"/>
        <w:tab w:val="right" w:pos="9408"/>
      </w:tabs>
      <w:suppressAutoHyphens/>
      <w:ind w:left="720" w:hanging="720"/>
      <w:jc w:val="both"/>
    </w:pPr>
    <w:rPr>
      <w:rFonts w:ascii="Arial" w:eastAsia="Times New Roman" w:hAnsi="Arial" w:cs="Times New Roman"/>
      <w:color w:val="000000"/>
      <w:spacing w:val="-3"/>
      <w:szCs w:val="20"/>
    </w:rPr>
  </w:style>
  <w:style w:type="character" w:customStyle="1" w:styleId="BodyTextIndent2Char">
    <w:name w:val="Body Text Indent 2 Char"/>
    <w:basedOn w:val="DefaultParagraphFont"/>
    <w:link w:val="BodyTextIndent2"/>
    <w:rsid w:val="00DD1612"/>
    <w:rPr>
      <w:rFonts w:ascii="Arial" w:eastAsia="Times New Roman" w:hAnsi="Arial" w:cs="Times New Roman"/>
      <w:color w:val="000000"/>
      <w:spacing w:val="-3"/>
      <w:kern w:val="0"/>
      <w:szCs w:val="20"/>
      <w14:ligatures w14:val="none"/>
    </w:rPr>
  </w:style>
  <w:style w:type="paragraph" w:styleId="BodyText">
    <w:name w:val="Body Text"/>
    <w:basedOn w:val="Normal"/>
    <w:link w:val="BodyTextChar"/>
    <w:uiPriority w:val="1"/>
    <w:qFormat/>
    <w:rsid w:val="00DD1612"/>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1"/>
    <w:rsid w:val="00DD1612"/>
    <w:rPr>
      <w:rFonts w:ascii="Times New Roman" w:eastAsia="Times New Roman" w:hAnsi="Times New Roman" w:cs="Times New Roman"/>
      <w:kern w:val="0"/>
      <w:sz w:val="24"/>
      <w:szCs w:val="20"/>
      <w14:ligatures w14:val="none"/>
    </w:rPr>
  </w:style>
  <w:style w:type="paragraph" w:styleId="BodyText2">
    <w:name w:val="Body Text 2"/>
    <w:basedOn w:val="Normal"/>
    <w:link w:val="BodyText2Char"/>
    <w:rsid w:val="00DD1612"/>
    <w:rPr>
      <w:rFonts w:ascii="CG Times" w:eastAsia="Times New Roman" w:hAnsi="CG Times" w:cs="Times New Roman"/>
      <w:szCs w:val="20"/>
    </w:rPr>
  </w:style>
  <w:style w:type="character" w:customStyle="1" w:styleId="BodyText2Char">
    <w:name w:val="Body Text 2 Char"/>
    <w:basedOn w:val="DefaultParagraphFont"/>
    <w:link w:val="BodyText2"/>
    <w:rsid w:val="00DD1612"/>
    <w:rPr>
      <w:rFonts w:ascii="CG Times" w:eastAsia="Times New Roman" w:hAnsi="CG Times" w:cs="Times New Roman"/>
      <w:kern w:val="0"/>
      <w:szCs w:val="20"/>
      <w14:ligatures w14:val="none"/>
    </w:rPr>
  </w:style>
  <w:style w:type="paragraph" w:styleId="BodyTextIndent3">
    <w:name w:val="Body Text Indent 3"/>
    <w:basedOn w:val="Normal"/>
    <w:link w:val="BodyTextIndent3Char"/>
    <w:rsid w:val="00DD1612"/>
    <w:pPr>
      <w:ind w:left="720"/>
      <w:jc w:val="both"/>
    </w:pPr>
    <w:rPr>
      <w:rFonts w:ascii="CG Times" w:eastAsia="Times New Roman" w:hAnsi="CG Times" w:cs="Times New Roman"/>
      <w:szCs w:val="20"/>
    </w:rPr>
  </w:style>
  <w:style w:type="character" w:customStyle="1" w:styleId="BodyTextIndent3Char">
    <w:name w:val="Body Text Indent 3 Char"/>
    <w:basedOn w:val="DefaultParagraphFont"/>
    <w:link w:val="BodyTextIndent3"/>
    <w:rsid w:val="00DD1612"/>
    <w:rPr>
      <w:rFonts w:ascii="CG Times" w:eastAsia="Times New Roman" w:hAnsi="CG Times" w:cs="Times New Roman"/>
      <w:kern w:val="0"/>
      <w:szCs w:val="20"/>
      <w14:ligatures w14:val="none"/>
    </w:rPr>
  </w:style>
  <w:style w:type="paragraph" w:styleId="BodyText3">
    <w:name w:val="Body Text 3"/>
    <w:basedOn w:val="Normal"/>
    <w:link w:val="BodyText3Char"/>
    <w:rsid w:val="00DD1612"/>
    <w:pPr>
      <w:jc w:val="both"/>
    </w:pPr>
    <w:rPr>
      <w:rFonts w:ascii="CG Times" w:eastAsia="Times New Roman" w:hAnsi="CG Times" w:cs="Times New Roman"/>
      <w:szCs w:val="20"/>
    </w:rPr>
  </w:style>
  <w:style w:type="character" w:customStyle="1" w:styleId="BodyText3Char">
    <w:name w:val="Body Text 3 Char"/>
    <w:basedOn w:val="DefaultParagraphFont"/>
    <w:link w:val="BodyText3"/>
    <w:rsid w:val="00DD1612"/>
    <w:rPr>
      <w:rFonts w:ascii="CG Times" w:eastAsia="Times New Roman" w:hAnsi="CG Times" w:cs="Times New Roman"/>
      <w:kern w:val="0"/>
      <w:szCs w:val="20"/>
      <w14:ligatures w14:val="none"/>
    </w:rPr>
  </w:style>
  <w:style w:type="paragraph" w:customStyle="1" w:styleId="NoteText2">
    <w:name w:val="Note Text 2"/>
    <w:aliases w:val="nt2"/>
    <w:basedOn w:val="Normal"/>
    <w:rsid w:val="00DD1612"/>
    <w:pPr>
      <w:spacing w:after="200"/>
      <w:ind w:left="1080"/>
      <w:jc w:val="both"/>
    </w:pPr>
    <w:rPr>
      <w:rFonts w:ascii="Times New Roman" w:eastAsia="Times New Roman" w:hAnsi="Times New Roman" w:cs="Times New Roman"/>
      <w:szCs w:val="20"/>
    </w:rPr>
  </w:style>
  <w:style w:type="paragraph" w:customStyle="1" w:styleId="HeadingLevel2">
    <w:name w:val="Heading Level 2"/>
    <w:aliases w:val="hl2"/>
    <w:basedOn w:val="Normal"/>
    <w:next w:val="NoteText2"/>
    <w:rsid w:val="00DD1612"/>
    <w:pPr>
      <w:keepNext/>
      <w:keepLines/>
      <w:spacing w:after="140"/>
      <w:ind w:left="1094" w:hanging="547"/>
    </w:pPr>
    <w:rPr>
      <w:rFonts w:ascii="Times New Roman" w:eastAsia="Times New Roman" w:hAnsi="Times New Roman" w:cs="Times New Roman"/>
      <w:b/>
      <w:i/>
      <w:szCs w:val="20"/>
    </w:rPr>
  </w:style>
  <w:style w:type="paragraph" w:styleId="Subtitle">
    <w:name w:val="Subtitle"/>
    <w:basedOn w:val="Normal"/>
    <w:link w:val="SubtitleChar"/>
    <w:qFormat/>
    <w:rsid w:val="00DD1612"/>
    <w:pPr>
      <w:jc w:val="center"/>
    </w:pPr>
    <w:rPr>
      <w:rFonts w:ascii="Times New Roman" w:eastAsia="Times New Roman" w:hAnsi="Times New Roman" w:cs="Times New Roman"/>
      <w:b/>
      <w:sz w:val="24"/>
      <w:szCs w:val="20"/>
    </w:rPr>
  </w:style>
  <w:style w:type="character" w:customStyle="1" w:styleId="SubtitleChar">
    <w:name w:val="Subtitle Char"/>
    <w:basedOn w:val="DefaultParagraphFont"/>
    <w:link w:val="Subtitle"/>
    <w:rsid w:val="00DD1612"/>
    <w:rPr>
      <w:rFonts w:ascii="Times New Roman" w:eastAsia="Times New Roman" w:hAnsi="Times New Roman" w:cs="Times New Roman"/>
      <w:b/>
      <w:kern w:val="0"/>
      <w:sz w:val="24"/>
      <w:szCs w:val="20"/>
      <w14:ligatures w14:val="none"/>
    </w:rPr>
  </w:style>
  <w:style w:type="paragraph" w:styleId="BlockText">
    <w:name w:val="Block Text"/>
    <w:basedOn w:val="Normal"/>
    <w:rsid w:val="00DD1612"/>
    <w:pPr>
      <w:tabs>
        <w:tab w:val="left" w:pos="1858"/>
        <w:tab w:val="left" w:pos="2570"/>
        <w:tab w:val="left" w:pos="3283"/>
        <w:tab w:val="left" w:pos="3996"/>
        <w:tab w:val="left" w:pos="4709"/>
        <w:tab w:val="left" w:pos="5472"/>
      </w:tabs>
      <w:suppressAutoHyphens/>
      <w:ind w:left="1080" w:right="360"/>
      <w:jc w:val="both"/>
    </w:pPr>
    <w:rPr>
      <w:rFonts w:ascii="Arial" w:eastAsia="Times New Roman" w:hAnsi="Arial" w:cs="Arial"/>
      <w:color w:val="000000"/>
      <w:spacing w:val="-3"/>
      <w:szCs w:val="24"/>
    </w:rPr>
  </w:style>
  <w:style w:type="paragraph" w:customStyle="1" w:styleId="Salutation1">
    <w:name w:val="Salutation1"/>
    <w:aliases w:val="sa,Salutation11"/>
    <w:basedOn w:val="Normal"/>
    <w:next w:val="Normal"/>
    <w:rsid w:val="00DD1612"/>
    <w:pPr>
      <w:keepLines/>
      <w:tabs>
        <w:tab w:val="left" w:pos="180"/>
      </w:tabs>
      <w:spacing w:after="360"/>
    </w:pPr>
    <w:rPr>
      <w:rFonts w:ascii="Times New Roman" w:eastAsia="Times New Roman" w:hAnsi="Times New Roman" w:cs="Times New Roman"/>
      <w:szCs w:val="20"/>
    </w:rPr>
  </w:style>
  <w:style w:type="paragraph" w:customStyle="1" w:styleId="OpinionHeading">
    <w:name w:val="Opinion Heading"/>
    <w:aliases w:val="oh"/>
    <w:basedOn w:val="Normal"/>
    <w:next w:val="Salutation1"/>
    <w:rsid w:val="00DD1612"/>
    <w:pPr>
      <w:keepNext/>
      <w:keepLines/>
      <w:spacing w:before="2400" w:after="600"/>
      <w:jc w:val="center"/>
    </w:pPr>
    <w:rPr>
      <w:rFonts w:ascii="Times New Roman" w:eastAsia="Times New Roman" w:hAnsi="Times New Roman" w:cs="Times New Roman"/>
      <w:b/>
      <w:szCs w:val="20"/>
    </w:rPr>
  </w:style>
  <w:style w:type="paragraph" w:styleId="EndnoteText">
    <w:name w:val="endnote text"/>
    <w:basedOn w:val="Normal"/>
    <w:link w:val="EndnoteTextChar"/>
    <w:semiHidden/>
    <w:rsid w:val="00DD1612"/>
    <w:rPr>
      <w:rFonts w:ascii="Arial" w:eastAsia="Times New Roman" w:hAnsi="Arial" w:cs="Times New Roman"/>
      <w:sz w:val="16"/>
      <w:szCs w:val="20"/>
    </w:rPr>
  </w:style>
  <w:style w:type="character" w:customStyle="1" w:styleId="EndnoteTextChar">
    <w:name w:val="Endnote Text Char"/>
    <w:basedOn w:val="DefaultParagraphFont"/>
    <w:link w:val="EndnoteText"/>
    <w:semiHidden/>
    <w:rsid w:val="00DD1612"/>
    <w:rPr>
      <w:rFonts w:ascii="Arial" w:eastAsia="Times New Roman" w:hAnsi="Arial" w:cs="Times New Roman"/>
      <w:kern w:val="0"/>
      <w:sz w:val="16"/>
      <w:szCs w:val="20"/>
      <w14:ligatures w14:val="none"/>
    </w:rPr>
  </w:style>
  <w:style w:type="paragraph" w:customStyle="1" w:styleId="OpinionDate">
    <w:name w:val="Opinion Date"/>
    <w:aliases w:val="od"/>
    <w:basedOn w:val="Normal"/>
    <w:rsid w:val="00DD1612"/>
    <w:pPr>
      <w:keepLines/>
      <w:tabs>
        <w:tab w:val="left" w:pos="180"/>
      </w:tabs>
      <w:spacing w:before="1440" w:after="200"/>
    </w:pPr>
    <w:rPr>
      <w:rFonts w:ascii="Times New Roman" w:eastAsia="Times New Roman" w:hAnsi="Times New Roman" w:cs="Times New Roman"/>
      <w:szCs w:val="20"/>
    </w:rPr>
  </w:style>
  <w:style w:type="paragraph" w:customStyle="1" w:styleId="NormalKeepWithNext">
    <w:name w:val="Normal Keep With Next"/>
    <w:aliases w:val="nkwn"/>
    <w:basedOn w:val="Normal"/>
    <w:next w:val="Normal"/>
    <w:rsid w:val="00DD1612"/>
    <w:pPr>
      <w:keepNext/>
      <w:spacing w:after="200"/>
      <w:jc w:val="both"/>
    </w:pPr>
    <w:rPr>
      <w:rFonts w:ascii="Times New Roman" w:eastAsia="Times New Roman" w:hAnsi="Times New Roman" w:cs="Times New Roman"/>
      <w:szCs w:val="20"/>
    </w:rPr>
  </w:style>
  <w:style w:type="paragraph" w:customStyle="1" w:styleId="HeadingLevel1">
    <w:name w:val="Heading Level 1"/>
    <w:aliases w:val="hl1"/>
    <w:basedOn w:val="Normal"/>
    <w:next w:val="Normal"/>
    <w:rsid w:val="00DD1612"/>
    <w:pPr>
      <w:keepNext/>
      <w:keepLines/>
      <w:spacing w:after="140"/>
      <w:ind w:left="547" w:hanging="547"/>
    </w:pPr>
    <w:rPr>
      <w:rFonts w:ascii="Times New Roman" w:eastAsia="Times New Roman" w:hAnsi="Times New Roman" w:cs="Times New Roman"/>
      <w:b/>
      <w:szCs w:val="20"/>
    </w:rPr>
  </w:style>
  <w:style w:type="character" w:styleId="FootnoteReference">
    <w:name w:val="footnote reference"/>
    <w:basedOn w:val="DefaultParagraphFont"/>
    <w:semiHidden/>
    <w:rsid w:val="00DD1612"/>
    <w:rPr>
      <w:sz w:val="20"/>
      <w:vertAlign w:val="superscript"/>
    </w:rPr>
  </w:style>
  <w:style w:type="paragraph" w:customStyle="1" w:styleId="Center">
    <w:name w:val="Center"/>
    <w:rsid w:val="00DD1612"/>
    <w:pPr>
      <w:widowControl w:val="0"/>
      <w:spacing w:before="112" w:after="112" w:line="240" w:lineRule="auto"/>
      <w:jc w:val="center"/>
    </w:pPr>
    <w:rPr>
      <w:rFonts w:ascii="Times New Roman" w:eastAsia="Times New Roman" w:hAnsi="Times New Roman" w:cs="Times New Roman"/>
      <w:snapToGrid w:val="0"/>
      <w:color w:val="000000"/>
      <w:kern w:val="0"/>
      <w:sz w:val="24"/>
      <w:szCs w:val="20"/>
      <w14:ligatures w14:val="none"/>
    </w:rPr>
  </w:style>
  <w:style w:type="paragraph" w:customStyle="1" w:styleId="Indent">
    <w:name w:val="Indent"/>
    <w:rsid w:val="00DD1612"/>
    <w:pPr>
      <w:widowControl w:val="0"/>
      <w:spacing w:before="114" w:after="114" w:line="240" w:lineRule="auto"/>
      <w:ind w:left="720"/>
    </w:pPr>
    <w:rPr>
      <w:rFonts w:ascii="Times New Roman" w:eastAsia="Times New Roman" w:hAnsi="Times New Roman" w:cs="Times New Roman"/>
      <w:snapToGrid w:val="0"/>
      <w:color w:val="000000"/>
      <w:kern w:val="0"/>
      <w:sz w:val="24"/>
      <w:szCs w:val="20"/>
      <w14:ligatures w14:val="none"/>
    </w:rPr>
  </w:style>
  <w:style w:type="paragraph" w:customStyle="1" w:styleId="MainHeading">
    <w:name w:val="Main Heading"/>
    <w:rsid w:val="00DD1612"/>
    <w:pPr>
      <w:widowControl w:val="0"/>
      <w:spacing w:before="114" w:after="114" w:line="240" w:lineRule="auto"/>
    </w:pPr>
    <w:rPr>
      <w:rFonts w:ascii="Times New Roman" w:eastAsia="Times New Roman" w:hAnsi="Times New Roman" w:cs="Times New Roman"/>
      <w:b/>
      <w:snapToGrid w:val="0"/>
      <w:color w:val="000000"/>
      <w:kern w:val="0"/>
      <w:sz w:val="28"/>
      <w:szCs w:val="20"/>
      <w14:ligatures w14:val="none"/>
    </w:rPr>
  </w:style>
  <w:style w:type="paragraph" w:styleId="ListParagraph">
    <w:name w:val="List Paragraph"/>
    <w:basedOn w:val="Normal"/>
    <w:uiPriority w:val="1"/>
    <w:qFormat/>
    <w:rsid w:val="00DD1612"/>
    <w:pPr>
      <w:ind w:left="720"/>
      <w:contextualSpacing/>
    </w:pPr>
    <w:rPr>
      <w:rFonts w:ascii="Times New Roman" w:eastAsia="Times New Roman" w:hAnsi="Times New Roman" w:cs="Times New Roman"/>
      <w:sz w:val="24"/>
      <w:szCs w:val="24"/>
    </w:rPr>
  </w:style>
  <w:style w:type="paragraph" w:styleId="Revision">
    <w:name w:val="Revision"/>
    <w:hidden/>
    <w:uiPriority w:val="99"/>
    <w:semiHidden/>
    <w:rsid w:val="00DD1612"/>
    <w:pPr>
      <w:spacing w:after="0" w:line="240" w:lineRule="auto"/>
    </w:pPr>
    <w:rPr>
      <w:rFonts w:ascii="Times New Roman" w:eastAsia="Times New Roman" w:hAnsi="Times New Roman" w:cs="Times New Roman"/>
      <w:kern w:val="0"/>
      <w:sz w:val="24"/>
      <w:szCs w:val="24"/>
      <w14:ligatures w14:val="none"/>
    </w:rPr>
  </w:style>
  <w:style w:type="paragraph" w:customStyle="1" w:styleId="LTNormal">
    <w:name w:val="LT Normal"/>
    <w:rsid w:val="00DD1612"/>
    <w:pPr>
      <w:spacing w:after="200" w:line="240" w:lineRule="auto"/>
      <w:jc w:val="both"/>
    </w:pPr>
    <w:rPr>
      <w:rFonts w:ascii="Times New Roman" w:eastAsia="Times New Roman" w:hAnsi="Times New Roman" w:cs="Times New Roman"/>
      <w:kern w:val="0"/>
      <w:szCs w:val="24"/>
      <w14:ligatures w14:val="none"/>
    </w:rPr>
  </w:style>
  <w:style w:type="paragraph" w:customStyle="1" w:styleId="LTDate">
    <w:name w:val="LT Date"/>
    <w:next w:val="LTNormal"/>
    <w:rsid w:val="00DD1612"/>
    <w:pPr>
      <w:spacing w:after="600" w:line="240" w:lineRule="auto"/>
    </w:pPr>
    <w:rPr>
      <w:rFonts w:ascii="Times New Roman" w:eastAsia="Times New Roman" w:hAnsi="Times New Roman" w:cs="Times New Roman"/>
      <w:kern w:val="0"/>
      <w:szCs w:val="24"/>
      <w14:ligatures w14:val="none"/>
    </w:rPr>
  </w:style>
  <w:style w:type="paragraph" w:customStyle="1" w:styleId="LTSalutation">
    <w:name w:val="LT Salutation"/>
    <w:next w:val="LTNormal"/>
    <w:rsid w:val="00DD1612"/>
    <w:pPr>
      <w:spacing w:after="360" w:line="240" w:lineRule="auto"/>
    </w:pPr>
    <w:rPr>
      <w:rFonts w:ascii="Times New Roman" w:eastAsia="Times New Roman" w:hAnsi="Times New Roman" w:cs="Times New Roman"/>
      <w:kern w:val="0"/>
      <w:szCs w:val="24"/>
      <w14:ligatures w14:val="none"/>
    </w:rPr>
  </w:style>
  <w:style w:type="paragraph" w:customStyle="1" w:styleId="LTNumber1">
    <w:name w:val="LT Number 1"/>
    <w:rsid w:val="00DD1612"/>
    <w:pPr>
      <w:numPr>
        <w:numId w:val="3"/>
      </w:numPr>
      <w:spacing w:after="120" w:line="240" w:lineRule="auto"/>
      <w:jc w:val="both"/>
    </w:pPr>
    <w:rPr>
      <w:rFonts w:ascii="Times New Roman" w:eastAsia="Times New Roman" w:hAnsi="Times New Roman" w:cs="Times New Roman"/>
      <w:kern w:val="0"/>
      <w14:ligatures w14:val="none"/>
    </w:rPr>
  </w:style>
  <w:style w:type="paragraph" w:customStyle="1" w:styleId="LTNumber2">
    <w:name w:val="LT Number 2"/>
    <w:rsid w:val="00DD1612"/>
    <w:pPr>
      <w:numPr>
        <w:ilvl w:val="1"/>
        <w:numId w:val="3"/>
      </w:numPr>
      <w:spacing w:after="120" w:line="240" w:lineRule="auto"/>
      <w:jc w:val="both"/>
    </w:pPr>
    <w:rPr>
      <w:rFonts w:ascii="Times New Roman" w:eastAsia="Times New Roman" w:hAnsi="Times New Roman" w:cs="Times New Roman"/>
      <w:kern w:val="0"/>
      <w:szCs w:val="24"/>
      <w14:ligatures w14:val="none"/>
    </w:rPr>
  </w:style>
  <w:style w:type="paragraph" w:customStyle="1" w:styleId="LTElectronicSignature">
    <w:name w:val="LT Electronic Signature"/>
    <w:basedOn w:val="LTNormal"/>
    <w:rsid w:val="00DD1612"/>
    <w:pPr>
      <w:keepNext/>
      <w:jc w:val="center"/>
    </w:pPr>
  </w:style>
  <w:style w:type="paragraph" w:customStyle="1" w:styleId="LTReportHeading">
    <w:name w:val="LT Report Heading"/>
    <w:basedOn w:val="Normal"/>
    <w:rsid w:val="00DD1612"/>
    <w:rPr>
      <w:rFonts w:ascii="Times New Roman" w:eastAsia="Times New Roman" w:hAnsi="Times New Roman" w:cs="Times New Roman"/>
      <w:b/>
      <w:szCs w:val="24"/>
    </w:rPr>
  </w:style>
  <w:style w:type="paragraph" w:customStyle="1" w:styleId="LTHeading1">
    <w:name w:val="LT Heading 1"/>
    <w:next w:val="LTNormal"/>
    <w:rsid w:val="00DD1612"/>
    <w:pPr>
      <w:keepNext/>
      <w:spacing w:after="120" w:line="240" w:lineRule="auto"/>
    </w:pPr>
    <w:rPr>
      <w:rFonts w:ascii="Times New Roman" w:eastAsia="Times New Roman" w:hAnsi="Times New Roman" w:cs="Times New Roman"/>
      <w:b/>
      <w:kern w:val="0"/>
      <w:szCs w:val="24"/>
      <w14:ligatures w14:val="none"/>
    </w:rPr>
  </w:style>
  <w:style w:type="paragraph" w:customStyle="1" w:styleId="LTNormalInd">
    <w:name w:val="LT Normal Ind"/>
    <w:basedOn w:val="LTNormal"/>
    <w:rsid w:val="00DD1612"/>
    <w:pPr>
      <w:ind w:left="547"/>
    </w:pPr>
  </w:style>
  <w:style w:type="character" w:styleId="PlaceholderText">
    <w:name w:val="Placeholder Text"/>
    <w:basedOn w:val="DefaultParagraphFont"/>
    <w:uiPriority w:val="99"/>
    <w:semiHidden/>
    <w:rsid w:val="00DD1612"/>
    <w:rPr>
      <w:color w:val="808080"/>
    </w:rPr>
  </w:style>
  <w:style w:type="character" w:styleId="CommentReference">
    <w:name w:val="annotation reference"/>
    <w:basedOn w:val="DefaultParagraphFont"/>
    <w:rsid w:val="00DD1612"/>
    <w:rPr>
      <w:sz w:val="16"/>
      <w:szCs w:val="16"/>
    </w:rPr>
  </w:style>
  <w:style w:type="paragraph" w:styleId="CommentText">
    <w:name w:val="annotation text"/>
    <w:basedOn w:val="Normal"/>
    <w:link w:val="CommentTextChar"/>
    <w:rsid w:val="00DD1612"/>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DD1612"/>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rsid w:val="00DD1612"/>
    <w:rPr>
      <w:b/>
      <w:bCs/>
    </w:rPr>
  </w:style>
  <w:style w:type="character" w:customStyle="1" w:styleId="CommentSubjectChar">
    <w:name w:val="Comment Subject Char"/>
    <w:basedOn w:val="CommentTextChar"/>
    <w:link w:val="CommentSubject"/>
    <w:rsid w:val="00DD1612"/>
    <w:rPr>
      <w:rFonts w:ascii="Times New Roman" w:eastAsia="Times New Roman" w:hAnsi="Times New Roman" w:cs="Times New Roman"/>
      <w:b/>
      <w:bCs/>
      <w:kern w:val="0"/>
      <w:sz w:val="20"/>
      <w:szCs w:val="20"/>
      <w14:ligatures w14:val="none"/>
    </w:rPr>
  </w:style>
  <w:style w:type="paragraph" w:styleId="NormalWeb">
    <w:name w:val="Normal (Web)"/>
    <w:basedOn w:val="Normal"/>
    <w:uiPriority w:val="99"/>
    <w:unhideWhenUsed/>
    <w:rsid w:val="00DD1612"/>
    <w:pPr>
      <w:spacing w:before="100" w:beforeAutospacing="1" w:after="100" w:afterAutospacing="1"/>
    </w:pPr>
    <w:rPr>
      <w:rFonts w:ascii="Times New Roman" w:eastAsia="Times New Roman" w:hAnsi="Times New Roman" w:cs="Times New Roman"/>
      <w:sz w:val="24"/>
      <w:szCs w:val="24"/>
    </w:rPr>
  </w:style>
  <w:style w:type="paragraph" w:customStyle="1" w:styleId="Default">
    <w:name w:val="Default"/>
    <w:rsid w:val="00DD1612"/>
    <w:pPr>
      <w:autoSpaceDE w:val="0"/>
      <w:autoSpaceDN w:val="0"/>
      <w:adjustRightInd w:val="0"/>
      <w:spacing w:after="0" w:line="240" w:lineRule="auto"/>
    </w:pPr>
    <w:rPr>
      <w:rFonts w:ascii="Calibri" w:eastAsia="Calibri" w:hAnsi="Calibri" w:cs="Calibri"/>
      <w:color w:val="000000"/>
      <w:kern w:val="0"/>
      <w:sz w:val="24"/>
      <w:szCs w:val="24"/>
      <w14:ligatures w14:val="none"/>
    </w:rPr>
  </w:style>
  <w:style w:type="character" w:customStyle="1" w:styleId="apple-converted-space">
    <w:name w:val="apple-converted-space"/>
    <w:basedOn w:val="DefaultParagraphFont"/>
    <w:rsid w:val="00DD1612"/>
  </w:style>
  <w:style w:type="paragraph" w:customStyle="1" w:styleId="PAParaText">
    <w:name w:val="PA_ParaText"/>
    <w:basedOn w:val="Normal"/>
    <w:rsid w:val="00DD1612"/>
    <w:pPr>
      <w:spacing w:after="120"/>
      <w:jc w:val="both"/>
    </w:pPr>
    <w:rPr>
      <w:rFonts w:ascii="Arial" w:eastAsia="SimSun" w:hAnsi="Arial" w:cs="Times New Roman"/>
      <w:sz w:val="20"/>
      <w:szCs w:val="20"/>
      <w:lang w:eastAsia="zh-CN"/>
    </w:rPr>
  </w:style>
  <w:style w:type="character" w:customStyle="1" w:styleId="CLPracticalLink">
    <w:name w:val="CL_PracticalLink"/>
    <w:basedOn w:val="DefaultParagraphFont"/>
    <w:rsid w:val="00DD1612"/>
    <w:rPr>
      <w:vanish/>
      <w:webHidden w:val="0"/>
      <w:color w:val="auto"/>
      <w:u w:val="words" w:color="FFFFFF"/>
      <w:vertAlign w:val="superscript"/>
      <w:specVanish w:val="0"/>
    </w:rPr>
  </w:style>
  <w:style w:type="paragraph" w:styleId="PlainText">
    <w:name w:val="Plain Text"/>
    <w:basedOn w:val="Normal"/>
    <w:link w:val="PlainTextChar"/>
    <w:uiPriority w:val="99"/>
    <w:unhideWhenUsed/>
    <w:rsid w:val="00DD1612"/>
    <w:rPr>
      <w:rFonts w:ascii="Consolas" w:eastAsia="Times New Roman" w:hAnsi="Consolas" w:cs="Consolas"/>
      <w:sz w:val="21"/>
      <w:szCs w:val="21"/>
    </w:rPr>
  </w:style>
  <w:style w:type="character" w:customStyle="1" w:styleId="PlainTextChar">
    <w:name w:val="Plain Text Char"/>
    <w:basedOn w:val="DefaultParagraphFont"/>
    <w:link w:val="PlainText"/>
    <w:uiPriority w:val="99"/>
    <w:rsid w:val="00DD1612"/>
    <w:rPr>
      <w:rFonts w:ascii="Consolas" w:eastAsia="Times New Roman" w:hAnsi="Consolas" w:cs="Consolas"/>
      <w:kern w:val="0"/>
      <w:sz w:val="21"/>
      <w:szCs w:val="21"/>
      <w14:ligatures w14:val="none"/>
    </w:rPr>
  </w:style>
  <w:style w:type="paragraph" w:customStyle="1" w:styleId="TableParagraph">
    <w:name w:val="Table Paragraph"/>
    <w:basedOn w:val="Normal"/>
    <w:uiPriority w:val="1"/>
    <w:qFormat/>
    <w:rsid w:val="00DD1612"/>
    <w:pPr>
      <w:widowControl w:val="0"/>
    </w:pPr>
  </w:style>
  <w:style w:type="character" w:customStyle="1" w:styleId="Date1">
    <w:name w:val="Date1"/>
    <w:basedOn w:val="DefaultParagraphFont"/>
    <w:rsid w:val="00DD1612"/>
  </w:style>
  <w:style w:type="paragraph" w:customStyle="1" w:styleId="ReportHeading1">
    <w:name w:val="Report Heading 1"/>
    <w:basedOn w:val="Heading2"/>
    <w:link w:val="ReportHeading1Char"/>
    <w:qFormat/>
    <w:rsid w:val="00DD1612"/>
    <w:pPr>
      <w:pBdr>
        <w:bottom w:val="single" w:sz="18" w:space="1" w:color="5B9BD5"/>
      </w:pBdr>
      <w:shd w:val="clear" w:color="auto" w:fill="F2F2F2" w:themeFill="background1" w:themeFillShade="F2"/>
      <w:tabs>
        <w:tab w:val="clear" w:pos="720"/>
        <w:tab w:val="clear" w:pos="1022"/>
        <w:tab w:val="clear" w:pos="1440"/>
        <w:tab w:val="clear" w:pos="4262"/>
        <w:tab w:val="clear" w:pos="5220"/>
        <w:tab w:val="clear" w:pos="6691"/>
        <w:tab w:val="clear" w:pos="7621"/>
        <w:tab w:val="clear" w:pos="9187"/>
      </w:tabs>
      <w:jc w:val="left"/>
      <w:outlineLvl w:val="0"/>
    </w:pPr>
    <w:rPr>
      <w:i w:val="0"/>
      <w:caps/>
      <w:sz w:val="36"/>
      <w:szCs w:val="36"/>
    </w:rPr>
  </w:style>
  <w:style w:type="character" w:customStyle="1" w:styleId="ReportHeading1Char">
    <w:name w:val="Report Heading 1 Char"/>
    <w:basedOn w:val="Heading2Char"/>
    <w:link w:val="ReportHeading1"/>
    <w:rsid w:val="00DD1612"/>
    <w:rPr>
      <w:rFonts w:ascii="Arial" w:eastAsia="Times New Roman" w:hAnsi="Arial" w:cs="Arial"/>
      <w:b/>
      <w:i w:val="0"/>
      <w:caps/>
      <w:color w:val="000000"/>
      <w:spacing w:val="-3"/>
      <w:kern w:val="0"/>
      <w:sz w:val="36"/>
      <w:szCs w:val="36"/>
      <w:shd w:val="clear" w:color="auto" w:fill="F2F2F2" w:themeFill="background1" w:themeFillShade="F2"/>
      <w14:ligatures w14:val="none"/>
    </w:rPr>
  </w:style>
  <w:style w:type="paragraph" w:customStyle="1" w:styleId="ReportHeading2">
    <w:name w:val="Report Heading 2"/>
    <w:link w:val="ReportHeading2Char"/>
    <w:qFormat/>
    <w:rsid w:val="00DD1612"/>
    <w:pPr>
      <w:pBdr>
        <w:bottom w:val="single" w:sz="8" w:space="1" w:color="00688D"/>
      </w:pBdr>
      <w:spacing w:before="240" w:after="240" w:line="240" w:lineRule="auto"/>
    </w:pPr>
    <w:rPr>
      <w:rFonts w:eastAsiaTheme="majorEastAsia" w:cstheme="majorBidi"/>
      <w:b/>
      <w:i/>
      <w:iCs/>
      <w:smallCaps/>
      <w:color w:val="000000" w:themeColor="text1"/>
      <w:kern w:val="0"/>
      <w:sz w:val="32"/>
      <w14:ligatures w14:val="none"/>
    </w:rPr>
  </w:style>
  <w:style w:type="character" w:customStyle="1" w:styleId="ReportHeading2Char">
    <w:name w:val="Report Heading 2 Char"/>
    <w:basedOn w:val="DefaultParagraphFont"/>
    <w:link w:val="ReportHeading2"/>
    <w:rsid w:val="00DD1612"/>
    <w:rPr>
      <w:rFonts w:eastAsiaTheme="majorEastAsia" w:cstheme="majorBidi"/>
      <w:b/>
      <w:i/>
      <w:iCs/>
      <w:smallCaps/>
      <w:color w:val="000000" w:themeColor="text1"/>
      <w:kern w:val="0"/>
      <w:sz w:val="32"/>
      <w14:ligatures w14:val="none"/>
    </w:rPr>
  </w:style>
  <w:style w:type="paragraph" w:customStyle="1" w:styleId="ReportHeading3">
    <w:name w:val="Report Heading 3"/>
    <w:basedOn w:val="Normal"/>
    <w:link w:val="ReportHeading3Char"/>
    <w:qFormat/>
    <w:rsid w:val="00DD1612"/>
    <w:pPr>
      <w:spacing w:before="160" w:after="120"/>
    </w:pPr>
    <w:rPr>
      <w:b/>
      <w:i/>
      <w:sz w:val="26"/>
      <w:u w:val="single"/>
    </w:rPr>
  </w:style>
  <w:style w:type="character" w:customStyle="1" w:styleId="ReportHeading3Char">
    <w:name w:val="Report Heading 3 Char"/>
    <w:basedOn w:val="DefaultParagraphFont"/>
    <w:link w:val="ReportHeading3"/>
    <w:rsid w:val="00DD1612"/>
    <w:rPr>
      <w:b/>
      <w:i/>
      <w:kern w:val="0"/>
      <w:sz w:val="26"/>
      <w:u w:val="single"/>
      <w14:ligatures w14:val="none"/>
    </w:rPr>
  </w:style>
  <w:style w:type="paragraph" w:customStyle="1" w:styleId="ReportHeading4">
    <w:name w:val="Report Heading 4"/>
    <w:link w:val="ReportHeading4Char"/>
    <w:qFormat/>
    <w:rsid w:val="00DD1612"/>
    <w:pPr>
      <w:spacing w:before="60" w:after="60" w:line="240" w:lineRule="auto"/>
    </w:pPr>
    <w:rPr>
      <w:i/>
      <w:kern w:val="0"/>
      <w:sz w:val="24"/>
      <w:u w:val="single"/>
      <w14:ligatures w14:val="none"/>
    </w:rPr>
  </w:style>
  <w:style w:type="character" w:customStyle="1" w:styleId="ReportHeading4Char">
    <w:name w:val="Report Heading 4 Char"/>
    <w:basedOn w:val="DefaultParagraphFont"/>
    <w:link w:val="ReportHeading4"/>
    <w:rsid w:val="00DD1612"/>
    <w:rPr>
      <w:i/>
      <w:kern w:val="0"/>
      <w:sz w:val="24"/>
      <w:u w:val="single"/>
      <w14:ligatures w14:val="none"/>
    </w:rPr>
  </w:style>
  <w:style w:type="paragraph" w:customStyle="1" w:styleId="ReportHeading5">
    <w:name w:val="Report Heading 5"/>
    <w:link w:val="ReportHeading5Char"/>
    <w:qFormat/>
    <w:rsid w:val="00DD1612"/>
    <w:pPr>
      <w:spacing w:before="60" w:after="0" w:line="240" w:lineRule="auto"/>
    </w:pPr>
    <w:rPr>
      <w:i/>
      <w:color w:val="000000" w:themeColor="text1"/>
      <w:kern w:val="0"/>
      <w:sz w:val="24"/>
      <w14:ligatures w14:val="none"/>
    </w:rPr>
  </w:style>
  <w:style w:type="character" w:customStyle="1" w:styleId="ReportHeading5Char">
    <w:name w:val="Report Heading 5 Char"/>
    <w:basedOn w:val="DefaultParagraphFont"/>
    <w:link w:val="ReportHeading5"/>
    <w:rsid w:val="00DD1612"/>
    <w:rPr>
      <w:i/>
      <w:color w:val="000000" w:themeColor="text1"/>
      <w:kern w:val="0"/>
      <w:sz w:val="24"/>
      <w14:ligatures w14:val="none"/>
    </w:rPr>
  </w:style>
  <w:style w:type="table" w:customStyle="1" w:styleId="TableGrid1">
    <w:name w:val="Table Grid1"/>
    <w:basedOn w:val="TableNormal"/>
    <w:next w:val="TableGrid"/>
    <w:rsid w:val="00DD161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DD161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otal">
    <w:name w:val="Report Total"/>
    <w:basedOn w:val="Normal"/>
    <w:link w:val="ReportTotalChar"/>
    <w:qFormat/>
    <w:rsid w:val="00DD1612"/>
    <w:pPr>
      <w:tabs>
        <w:tab w:val="left" w:pos="720"/>
        <w:tab w:val="left" w:pos="1440"/>
        <w:tab w:val="decimal" w:pos="6786"/>
        <w:tab w:val="decimal" w:pos="8100"/>
      </w:tabs>
      <w:suppressAutoHyphens/>
      <w:jc w:val="both"/>
    </w:pPr>
    <w:rPr>
      <w:rFonts w:ascii="Calibri" w:eastAsia="Times New Roman" w:hAnsi="Calibri" w:cs="Tahoma"/>
      <w:bCs/>
      <w:spacing w:val="-3"/>
      <w:sz w:val="24"/>
      <w:szCs w:val="24"/>
    </w:rPr>
  </w:style>
  <w:style w:type="character" w:customStyle="1" w:styleId="ReportTotalChar">
    <w:name w:val="Report Total Char"/>
    <w:basedOn w:val="DefaultParagraphFont"/>
    <w:link w:val="ReportTotal"/>
    <w:rsid w:val="00DD1612"/>
    <w:rPr>
      <w:rFonts w:ascii="Calibri" w:eastAsia="Times New Roman" w:hAnsi="Calibri" w:cs="Tahoma"/>
      <w:bCs/>
      <w:spacing w:val="-3"/>
      <w:kern w:val="0"/>
      <w:sz w:val="24"/>
      <w:szCs w:val="24"/>
      <w14:ligatures w14:val="none"/>
    </w:rPr>
  </w:style>
  <w:style w:type="paragraph" w:styleId="TOCHeading">
    <w:name w:val="TOC Heading"/>
    <w:basedOn w:val="Heading1"/>
    <w:next w:val="Normal"/>
    <w:uiPriority w:val="39"/>
    <w:unhideWhenUsed/>
    <w:qFormat/>
    <w:rsid w:val="00DD1612"/>
    <w:pPr>
      <w:keepLines/>
      <w:pBdr>
        <w:bottom w:val="none" w:sz="0" w:space="0" w:color="auto"/>
      </w:pBdr>
      <w:tabs>
        <w:tab w:val="clear" w:pos="5112"/>
      </w:tabs>
      <w:suppressAutoHyphens w:val="0"/>
      <w:spacing w:after="0" w:line="259" w:lineRule="auto"/>
      <w:outlineLvl w:val="9"/>
    </w:pPr>
    <w:rPr>
      <w:rFonts w:asciiTheme="majorHAnsi" w:eastAsiaTheme="majorEastAsia" w:hAnsiTheme="majorHAnsi" w:cstheme="majorBidi"/>
      <w:b w:val="0"/>
      <w:i w:val="0"/>
      <w:smallCaps/>
      <w:noProof w:val="0"/>
      <w:color w:val="2F5496" w:themeColor="accent1" w:themeShade="BF"/>
      <w:spacing w:val="0"/>
      <w:szCs w:val="32"/>
      <w14:textOutline w14:w="0" w14:cap="rnd" w14:cmpd="sng" w14:algn="ctr">
        <w14:noFill/>
        <w14:prstDash w14:val="solid"/>
        <w14:bevel/>
      </w14:textOutline>
    </w:rPr>
  </w:style>
  <w:style w:type="paragraph" w:customStyle="1" w:styleId="AFR1">
    <w:name w:val="AFR1"/>
    <w:basedOn w:val="Normal"/>
    <w:link w:val="AFR1Char"/>
    <w:rsid w:val="00DD1612"/>
    <w:pPr>
      <w:keepNext/>
      <w:pBdr>
        <w:bottom w:val="single" w:sz="18" w:space="1" w:color="00688D"/>
      </w:pBdr>
      <w:suppressAutoHyphens/>
      <w:spacing w:after="240"/>
      <w:outlineLvl w:val="0"/>
    </w:pPr>
    <w:rPr>
      <w:rFonts w:ascii="Calibri" w:eastAsia="Times New Roman" w:hAnsi="Calibri" w:cs="Times New Roman"/>
      <w:b/>
      <w:i/>
      <w:caps/>
      <w:color w:val="000000"/>
      <w:spacing w:val="-3"/>
      <w:sz w:val="26"/>
      <w:szCs w:val="36"/>
      <w:u w:color="000000" w:themeColor="text1"/>
    </w:rPr>
  </w:style>
  <w:style w:type="paragraph" w:customStyle="1" w:styleId="AFR2">
    <w:name w:val="AFR2"/>
    <w:basedOn w:val="ReportHeading2"/>
    <w:link w:val="AFR2Char"/>
    <w:qFormat/>
    <w:rsid w:val="00DD1612"/>
    <w:pPr>
      <w:spacing w:before="360"/>
    </w:pPr>
    <w:rPr>
      <w:noProof/>
      <w:szCs w:val="28"/>
      <w:u w:color="5B9BD5"/>
    </w:rPr>
  </w:style>
  <w:style w:type="character" w:customStyle="1" w:styleId="AFR1Char">
    <w:name w:val="AFR1 Char"/>
    <w:basedOn w:val="DefaultParagraphFont"/>
    <w:link w:val="AFR1"/>
    <w:rsid w:val="00DD1612"/>
    <w:rPr>
      <w:rFonts w:ascii="Calibri" w:eastAsia="Times New Roman" w:hAnsi="Calibri" w:cs="Times New Roman"/>
      <w:b/>
      <w:i/>
      <w:caps/>
      <w:color w:val="000000"/>
      <w:spacing w:val="-3"/>
      <w:kern w:val="0"/>
      <w:sz w:val="26"/>
      <w:szCs w:val="36"/>
      <w:u w:color="000000" w:themeColor="text1"/>
      <w14:ligatures w14:val="none"/>
    </w:rPr>
  </w:style>
  <w:style w:type="paragraph" w:customStyle="1" w:styleId="AFR3">
    <w:name w:val="AFR3"/>
    <w:basedOn w:val="ReportHeading3"/>
    <w:link w:val="AFR3Char"/>
    <w:qFormat/>
    <w:rsid w:val="00DD1612"/>
    <w:pPr>
      <w:spacing w:before="240"/>
    </w:pPr>
    <w:rPr>
      <w:u w:color="000000" w:themeColor="text1"/>
    </w:rPr>
  </w:style>
  <w:style w:type="character" w:customStyle="1" w:styleId="AFR2Char">
    <w:name w:val="AFR2 Char"/>
    <w:basedOn w:val="ReportHeading2Char"/>
    <w:link w:val="AFR2"/>
    <w:rsid w:val="00DD1612"/>
    <w:rPr>
      <w:rFonts w:eastAsiaTheme="majorEastAsia" w:cstheme="majorBidi"/>
      <w:b/>
      <w:i/>
      <w:iCs/>
      <w:smallCaps/>
      <w:noProof/>
      <w:color w:val="000000" w:themeColor="text1"/>
      <w:kern w:val="0"/>
      <w:sz w:val="32"/>
      <w:szCs w:val="28"/>
      <w:u w:color="5B9BD5"/>
      <w14:ligatures w14:val="none"/>
    </w:rPr>
  </w:style>
  <w:style w:type="character" w:customStyle="1" w:styleId="AFR3Char">
    <w:name w:val="AFR3 Char"/>
    <w:basedOn w:val="ReportHeading3Char"/>
    <w:link w:val="AFR3"/>
    <w:rsid w:val="00DD1612"/>
    <w:rPr>
      <w:b/>
      <w:i/>
      <w:kern w:val="0"/>
      <w:sz w:val="26"/>
      <w:u w:val="single" w:color="000000" w:themeColor="text1"/>
      <w14:ligatures w14:val="none"/>
    </w:rPr>
  </w:style>
  <w:style w:type="paragraph" w:customStyle="1" w:styleId="AFR4">
    <w:name w:val="AFR4"/>
    <w:basedOn w:val="ReportHeading3"/>
    <w:link w:val="AFR4Char"/>
    <w:rsid w:val="00DD1612"/>
    <w:rPr>
      <w:i w:val="0"/>
      <w:sz w:val="24"/>
      <w:szCs w:val="24"/>
    </w:rPr>
  </w:style>
  <w:style w:type="character" w:customStyle="1" w:styleId="AFR4Char">
    <w:name w:val="AFR4 Char"/>
    <w:basedOn w:val="ReportHeading3Char"/>
    <w:link w:val="AFR4"/>
    <w:rsid w:val="00DD1612"/>
    <w:rPr>
      <w:b/>
      <w:i w:val="0"/>
      <w:kern w:val="0"/>
      <w:sz w:val="24"/>
      <w:szCs w:val="24"/>
      <w:u w:val="single"/>
      <w14:ligatures w14:val="none"/>
    </w:rPr>
  </w:style>
  <w:style w:type="paragraph" w:customStyle="1" w:styleId="AFR5">
    <w:name w:val="AFR5"/>
    <w:basedOn w:val="Normal"/>
    <w:link w:val="AFR5Char"/>
    <w:rsid w:val="00DD1612"/>
    <w:pPr>
      <w:spacing w:before="120"/>
      <w:ind w:left="720"/>
      <w:jc w:val="both"/>
    </w:pPr>
    <w:rPr>
      <w:rFonts w:ascii="Calibri" w:hAnsi="Calibri" w:cs="Tahoma"/>
      <w:b/>
      <w:i/>
      <w:sz w:val="24"/>
    </w:rPr>
  </w:style>
  <w:style w:type="character" w:customStyle="1" w:styleId="AFR5Char">
    <w:name w:val="AFR5 Char"/>
    <w:basedOn w:val="DefaultParagraphFont"/>
    <w:link w:val="AFR5"/>
    <w:rsid w:val="00DD1612"/>
    <w:rPr>
      <w:rFonts w:ascii="Calibri" w:hAnsi="Calibri" w:cs="Tahoma"/>
      <w:b/>
      <w:i/>
      <w:kern w:val="0"/>
      <w:sz w:val="24"/>
      <w14:ligatures w14:val="none"/>
    </w:rPr>
  </w:style>
  <w:style w:type="paragraph" w:customStyle="1" w:styleId="Style1">
    <w:name w:val="Style1"/>
    <w:basedOn w:val="Normal"/>
    <w:link w:val="Style1Char"/>
    <w:qFormat/>
    <w:rsid w:val="00DD1612"/>
    <w:pPr>
      <w:keepNext/>
      <w:pBdr>
        <w:bottom w:val="single" w:sz="18" w:space="1" w:color="00688D"/>
      </w:pBdr>
      <w:suppressAutoHyphens/>
      <w:outlineLvl w:val="0"/>
    </w:pPr>
    <w:rPr>
      <w:rFonts w:ascii="Calibri" w:eastAsia="Times New Roman" w:hAnsi="Calibri" w:cs="Times New Roman"/>
      <w:b/>
      <w:i/>
      <w:caps/>
      <w:color w:val="000000"/>
      <w:spacing w:val="-3"/>
      <w:sz w:val="26"/>
      <w:szCs w:val="26"/>
      <w:u w:color="000000" w:themeColor="text1"/>
    </w:rPr>
  </w:style>
  <w:style w:type="character" w:customStyle="1" w:styleId="Style1Char">
    <w:name w:val="Style1 Char"/>
    <w:basedOn w:val="DefaultParagraphFont"/>
    <w:link w:val="Style1"/>
    <w:rsid w:val="00DD1612"/>
    <w:rPr>
      <w:rFonts w:ascii="Calibri" w:eastAsia="Times New Roman" w:hAnsi="Calibri" w:cs="Times New Roman"/>
      <w:b/>
      <w:i/>
      <w:caps/>
      <w:color w:val="000000"/>
      <w:spacing w:val="-3"/>
      <w:kern w:val="0"/>
      <w:sz w:val="26"/>
      <w:szCs w:val="26"/>
      <w:u w:color="000000" w:themeColor="text1"/>
      <w14:ligatures w14:val="none"/>
    </w:rPr>
  </w:style>
  <w:style w:type="character" w:styleId="EndnoteReference">
    <w:name w:val="endnote reference"/>
    <w:basedOn w:val="DefaultParagraphFont"/>
    <w:uiPriority w:val="99"/>
    <w:semiHidden/>
    <w:unhideWhenUsed/>
    <w:rsid w:val="00DD1612"/>
    <w:rPr>
      <w:vertAlign w:val="superscript"/>
    </w:rPr>
  </w:style>
  <w:style w:type="character" w:customStyle="1" w:styleId="UnresolvedMention1">
    <w:name w:val="Unresolved Mention1"/>
    <w:basedOn w:val="DefaultParagraphFont"/>
    <w:uiPriority w:val="99"/>
    <w:semiHidden/>
    <w:unhideWhenUsed/>
    <w:rsid w:val="00DD1612"/>
    <w:rPr>
      <w:color w:val="605E5C"/>
      <w:shd w:val="clear" w:color="auto" w:fill="E1DFDD"/>
    </w:rPr>
  </w:style>
  <w:style w:type="character" w:customStyle="1" w:styleId="UnresolvedMention2">
    <w:name w:val="Unresolved Mention2"/>
    <w:basedOn w:val="DefaultParagraphFont"/>
    <w:uiPriority w:val="99"/>
    <w:semiHidden/>
    <w:unhideWhenUsed/>
    <w:rsid w:val="00A76F1C"/>
    <w:rPr>
      <w:color w:val="605E5C"/>
      <w:shd w:val="clear" w:color="auto" w:fill="E1DFDD"/>
    </w:rPr>
  </w:style>
  <w:style w:type="character" w:customStyle="1" w:styleId="UnresolvedMention3">
    <w:name w:val="Unresolved Mention3"/>
    <w:basedOn w:val="DefaultParagraphFont"/>
    <w:uiPriority w:val="99"/>
    <w:semiHidden/>
    <w:unhideWhenUsed/>
    <w:rsid w:val="004C24C2"/>
    <w:rPr>
      <w:color w:val="605E5C"/>
      <w:shd w:val="clear" w:color="auto" w:fill="E1DFDD"/>
    </w:rPr>
  </w:style>
  <w:style w:type="character" w:styleId="Strong">
    <w:name w:val="Strong"/>
    <w:basedOn w:val="DefaultParagraphFont"/>
    <w:uiPriority w:val="22"/>
    <w:qFormat/>
    <w:rsid w:val="005E3078"/>
    <w:rPr>
      <w:b/>
      <w:bCs/>
    </w:rPr>
  </w:style>
  <w:style w:type="character" w:customStyle="1" w:styleId="UnresolvedMention4">
    <w:name w:val="Unresolved Mention4"/>
    <w:basedOn w:val="DefaultParagraphFont"/>
    <w:uiPriority w:val="99"/>
    <w:semiHidden/>
    <w:unhideWhenUsed/>
    <w:rsid w:val="00AD56A5"/>
    <w:rPr>
      <w:color w:val="605E5C"/>
      <w:shd w:val="clear" w:color="auto" w:fill="E1DFDD"/>
    </w:rPr>
  </w:style>
  <w:style w:type="character" w:styleId="UnresolvedMention">
    <w:name w:val="Unresolved Mention"/>
    <w:basedOn w:val="DefaultParagraphFont"/>
    <w:uiPriority w:val="99"/>
    <w:semiHidden/>
    <w:unhideWhenUsed/>
    <w:rsid w:val="007568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35132">
      <w:bodyDiv w:val="1"/>
      <w:marLeft w:val="0"/>
      <w:marRight w:val="0"/>
      <w:marTop w:val="0"/>
      <w:marBottom w:val="0"/>
      <w:divBdr>
        <w:top w:val="none" w:sz="0" w:space="0" w:color="auto"/>
        <w:left w:val="none" w:sz="0" w:space="0" w:color="auto"/>
        <w:bottom w:val="none" w:sz="0" w:space="0" w:color="auto"/>
        <w:right w:val="none" w:sz="0" w:space="0" w:color="auto"/>
      </w:divBdr>
    </w:div>
    <w:div w:id="60564323">
      <w:bodyDiv w:val="1"/>
      <w:marLeft w:val="0"/>
      <w:marRight w:val="0"/>
      <w:marTop w:val="0"/>
      <w:marBottom w:val="0"/>
      <w:divBdr>
        <w:top w:val="none" w:sz="0" w:space="0" w:color="auto"/>
        <w:left w:val="none" w:sz="0" w:space="0" w:color="auto"/>
        <w:bottom w:val="none" w:sz="0" w:space="0" w:color="auto"/>
        <w:right w:val="none" w:sz="0" w:space="0" w:color="auto"/>
      </w:divBdr>
    </w:div>
    <w:div w:id="62915221">
      <w:bodyDiv w:val="1"/>
      <w:marLeft w:val="0"/>
      <w:marRight w:val="0"/>
      <w:marTop w:val="0"/>
      <w:marBottom w:val="0"/>
      <w:divBdr>
        <w:top w:val="none" w:sz="0" w:space="0" w:color="auto"/>
        <w:left w:val="none" w:sz="0" w:space="0" w:color="auto"/>
        <w:bottom w:val="none" w:sz="0" w:space="0" w:color="auto"/>
        <w:right w:val="none" w:sz="0" w:space="0" w:color="auto"/>
      </w:divBdr>
    </w:div>
    <w:div w:id="91249421">
      <w:bodyDiv w:val="1"/>
      <w:marLeft w:val="0"/>
      <w:marRight w:val="0"/>
      <w:marTop w:val="0"/>
      <w:marBottom w:val="0"/>
      <w:divBdr>
        <w:top w:val="none" w:sz="0" w:space="0" w:color="auto"/>
        <w:left w:val="none" w:sz="0" w:space="0" w:color="auto"/>
        <w:bottom w:val="none" w:sz="0" w:space="0" w:color="auto"/>
        <w:right w:val="none" w:sz="0" w:space="0" w:color="auto"/>
      </w:divBdr>
    </w:div>
    <w:div w:id="99103492">
      <w:bodyDiv w:val="1"/>
      <w:marLeft w:val="0"/>
      <w:marRight w:val="0"/>
      <w:marTop w:val="0"/>
      <w:marBottom w:val="0"/>
      <w:divBdr>
        <w:top w:val="none" w:sz="0" w:space="0" w:color="auto"/>
        <w:left w:val="none" w:sz="0" w:space="0" w:color="auto"/>
        <w:bottom w:val="none" w:sz="0" w:space="0" w:color="auto"/>
        <w:right w:val="none" w:sz="0" w:space="0" w:color="auto"/>
      </w:divBdr>
    </w:div>
    <w:div w:id="133644073">
      <w:bodyDiv w:val="1"/>
      <w:marLeft w:val="0"/>
      <w:marRight w:val="0"/>
      <w:marTop w:val="0"/>
      <w:marBottom w:val="0"/>
      <w:divBdr>
        <w:top w:val="none" w:sz="0" w:space="0" w:color="auto"/>
        <w:left w:val="none" w:sz="0" w:space="0" w:color="auto"/>
        <w:bottom w:val="none" w:sz="0" w:space="0" w:color="auto"/>
        <w:right w:val="none" w:sz="0" w:space="0" w:color="auto"/>
      </w:divBdr>
    </w:div>
    <w:div w:id="158272652">
      <w:bodyDiv w:val="1"/>
      <w:marLeft w:val="0"/>
      <w:marRight w:val="0"/>
      <w:marTop w:val="0"/>
      <w:marBottom w:val="0"/>
      <w:divBdr>
        <w:top w:val="none" w:sz="0" w:space="0" w:color="auto"/>
        <w:left w:val="none" w:sz="0" w:space="0" w:color="auto"/>
        <w:bottom w:val="none" w:sz="0" w:space="0" w:color="auto"/>
        <w:right w:val="none" w:sz="0" w:space="0" w:color="auto"/>
      </w:divBdr>
    </w:div>
    <w:div w:id="159926691">
      <w:bodyDiv w:val="1"/>
      <w:marLeft w:val="0"/>
      <w:marRight w:val="0"/>
      <w:marTop w:val="0"/>
      <w:marBottom w:val="0"/>
      <w:divBdr>
        <w:top w:val="none" w:sz="0" w:space="0" w:color="auto"/>
        <w:left w:val="none" w:sz="0" w:space="0" w:color="auto"/>
        <w:bottom w:val="none" w:sz="0" w:space="0" w:color="auto"/>
        <w:right w:val="none" w:sz="0" w:space="0" w:color="auto"/>
      </w:divBdr>
    </w:div>
    <w:div w:id="165217184">
      <w:bodyDiv w:val="1"/>
      <w:marLeft w:val="0"/>
      <w:marRight w:val="0"/>
      <w:marTop w:val="0"/>
      <w:marBottom w:val="0"/>
      <w:divBdr>
        <w:top w:val="none" w:sz="0" w:space="0" w:color="auto"/>
        <w:left w:val="none" w:sz="0" w:space="0" w:color="auto"/>
        <w:bottom w:val="none" w:sz="0" w:space="0" w:color="auto"/>
        <w:right w:val="none" w:sz="0" w:space="0" w:color="auto"/>
      </w:divBdr>
    </w:div>
    <w:div w:id="207618244">
      <w:bodyDiv w:val="1"/>
      <w:marLeft w:val="0"/>
      <w:marRight w:val="0"/>
      <w:marTop w:val="0"/>
      <w:marBottom w:val="0"/>
      <w:divBdr>
        <w:top w:val="none" w:sz="0" w:space="0" w:color="auto"/>
        <w:left w:val="none" w:sz="0" w:space="0" w:color="auto"/>
        <w:bottom w:val="none" w:sz="0" w:space="0" w:color="auto"/>
        <w:right w:val="none" w:sz="0" w:space="0" w:color="auto"/>
      </w:divBdr>
    </w:div>
    <w:div w:id="241527543">
      <w:bodyDiv w:val="1"/>
      <w:marLeft w:val="0"/>
      <w:marRight w:val="0"/>
      <w:marTop w:val="0"/>
      <w:marBottom w:val="0"/>
      <w:divBdr>
        <w:top w:val="none" w:sz="0" w:space="0" w:color="auto"/>
        <w:left w:val="none" w:sz="0" w:space="0" w:color="auto"/>
        <w:bottom w:val="none" w:sz="0" w:space="0" w:color="auto"/>
        <w:right w:val="none" w:sz="0" w:space="0" w:color="auto"/>
      </w:divBdr>
    </w:div>
    <w:div w:id="271473876">
      <w:bodyDiv w:val="1"/>
      <w:marLeft w:val="0"/>
      <w:marRight w:val="0"/>
      <w:marTop w:val="0"/>
      <w:marBottom w:val="0"/>
      <w:divBdr>
        <w:top w:val="none" w:sz="0" w:space="0" w:color="auto"/>
        <w:left w:val="none" w:sz="0" w:space="0" w:color="auto"/>
        <w:bottom w:val="none" w:sz="0" w:space="0" w:color="auto"/>
        <w:right w:val="none" w:sz="0" w:space="0" w:color="auto"/>
      </w:divBdr>
    </w:div>
    <w:div w:id="274408002">
      <w:bodyDiv w:val="1"/>
      <w:marLeft w:val="0"/>
      <w:marRight w:val="0"/>
      <w:marTop w:val="0"/>
      <w:marBottom w:val="0"/>
      <w:divBdr>
        <w:top w:val="none" w:sz="0" w:space="0" w:color="auto"/>
        <w:left w:val="none" w:sz="0" w:space="0" w:color="auto"/>
        <w:bottom w:val="none" w:sz="0" w:space="0" w:color="auto"/>
        <w:right w:val="none" w:sz="0" w:space="0" w:color="auto"/>
      </w:divBdr>
    </w:div>
    <w:div w:id="289367154">
      <w:bodyDiv w:val="1"/>
      <w:marLeft w:val="0"/>
      <w:marRight w:val="0"/>
      <w:marTop w:val="0"/>
      <w:marBottom w:val="0"/>
      <w:divBdr>
        <w:top w:val="none" w:sz="0" w:space="0" w:color="auto"/>
        <w:left w:val="none" w:sz="0" w:space="0" w:color="auto"/>
        <w:bottom w:val="none" w:sz="0" w:space="0" w:color="auto"/>
        <w:right w:val="none" w:sz="0" w:space="0" w:color="auto"/>
      </w:divBdr>
    </w:div>
    <w:div w:id="364597254">
      <w:bodyDiv w:val="1"/>
      <w:marLeft w:val="0"/>
      <w:marRight w:val="0"/>
      <w:marTop w:val="0"/>
      <w:marBottom w:val="0"/>
      <w:divBdr>
        <w:top w:val="none" w:sz="0" w:space="0" w:color="auto"/>
        <w:left w:val="none" w:sz="0" w:space="0" w:color="auto"/>
        <w:bottom w:val="none" w:sz="0" w:space="0" w:color="auto"/>
        <w:right w:val="none" w:sz="0" w:space="0" w:color="auto"/>
      </w:divBdr>
    </w:div>
    <w:div w:id="383915433">
      <w:bodyDiv w:val="1"/>
      <w:marLeft w:val="0"/>
      <w:marRight w:val="0"/>
      <w:marTop w:val="0"/>
      <w:marBottom w:val="0"/>
      <w:divBdr>
        <w:top w:val="none" w:sz="0" w:space="0" w:color="auto"/>
        <w:left w:val="none" w:sz="0" w:space="0" w:color="auto"/>
        <w:bottom w:val="none" w:sz="0" w:space="0" w:color="auto"/>
        <w:right w:val="none" w:sz="0" w:space="0" w:color="auto"/>
      </w:divBdr>
    </w:div>
    <w:div w:id="414938695">
      <w:bodyDiv w:val="1"/>
      <w:marLeft w:val="0"/>
      <w:marRight w:val="0"/>
      <w:marTop w:val="0"/>
      <w:marBottom w:val="0"/>
      <w:divBdr>
        <w:top w:val="none" w:sz="0" w:space="0" w:color="auto"/>
        <w:left w:val="none" w:sz="0" w:space="0" w:color="auto"/>
        <w:bottom w:val="none" w:sz="0" w:space="0" w:color="auto"/>
        <w:right w:val="none" w:sz="0" w:space="0" w:color="auto"/>
      </w:divBdr>
    </w:div>
    <w:div w:id="476723921">
      <w:bodyDiv w:val="1"/>
      <w:marLeft w:val="0"/>
      <w:marRight w:val="0"/>
      <w:marTop w:val="0"/>
      <w:marBottom w:val="0"/>
      <w:divBdr>
        <w:top w:val="none" w:sz="0" w:space="0" w:color="auto"/>
        <w:left w:val="none" w:sz="0" w:space="0" w:color="auto"/>
        <w:bottom w:val="none" w:sz="0" w:space="0" w:color="auto"/>
        <w:right w:val="none" w:sz="0" w:space="0" w:color="auto"/>
      </w:divBdr>
    </w:div>
    <w:div w:id="496506537">
      <w:bodyDiv w:val="1"/>
      <w:marLeft w:val="0"/>
      <w:marRight w:val="0"/>
      <w:marTop w:val="0"/>
      <w:marBottom w:val="0"/>
      <w:divBdr>
        <w:top w:val="none" w:sz="0" w:space="0" w:color="auto"/>
        <w:left w:val="none" w:sz="0" w:space="0" w:color="auto"/>
        <w:bottom w:val="none" w:sz="0" w:space="0" w:color="auto"/>
        <w:right w:val="none" w:sz="0" w:space="0" w:color="auto"/>
      </w:divBdr>
    </w:div>
    <w:div w:id="501163116">
      <w:bodyDiv w:val="1"/>
      <w:marLeft w:val="0"/>
      <w:marRight w:val="0"/>
      <w:marTop w:val="0"/>
      <w:marBottom w:val="0"/>
      <w:divBdr>
        <w:top w:val="none" w:sz="0" w:space="0" w:color="auto"/>
        <w:left w:val="none" w:sz="0" w:space="0" w:color="auto"/>
        <w:bottom w:val="none" w:sz="0" w:space="0" w:color="auto"/>
        <w:right w:val="none" w:sz="0" w:space="0" w:color="auto"/>
      </w:divBdr>
    </w:div>
    <w:div w:id="505947318">
      <w:bodyDiv w:val="1"/>
      <w:marLeft w:val="0"/>
      <w:marRight w:val="0"/>
      <w:marTop w:val="0"/>
      <w:marBottom w:val="0"/>
      <w:divBdr>
        <w:top w:val="none" w:sz="0" w:space="0" w:color="auto"/>
        <w:left w:val="none" w:sz="0" w:space="0" w:color="auto"/>
        <w:bottom w:val="none" w:sz="0" w:space="0" w:color="auto"/>
        <w:right w:val="none" w:sz="0" w:space="0" w:color="auto"/>
      </w:divBdr>
    </w:div>
    <w:div w:id="616327362">
      <w:bodyDiv w:val="1"/>
      <w:marLeft w:val="0"/>
      <w:marRight w:val="0"/>
      <w:marTop w:val="0"/>
      <w:marBottom w:val="0"/>
      <w:divBdr>
        <w:top w:val="none" w:sz="0" w:space="0" w:color="auto"/>
        <w:left w:val="none" w:sz="0" w:space="0" w:color="auto"/>
        <w:bottom w:val="none" w:sz="0" w:space="0" w:color="auto"/>
        <w:right w:val="none" w:sz="0" w:space="0" w:color="auto"/>
      </w:divBdr>
    </w:div>
    <w:div w:id="625891421">
      <w:bodyDiv w:val="1"/>
      <w:marLeft w:val="0"/>
      <w:marRight w:val="0"/>
      <w:marTop w:val="0"/>
      <w:marBottom w:val="0"/>
      <w:divBdr>
        <w:top w:val="none" w:sz="0" w:space="0" w:color="auto"/>
        <w:left w:val="none" w:sz="0" w:space="0" w:color="auto"/>
        <w:bottom w:val="none" w:sz="0" w:space="0" w:color="auto"/>
        <w:right w:val="none" w:sz="0" w:space="0" w:color="auto"/>
      </w:divBdr>
    </w:div>
    <w:div w:id="631135350">
      <w:bodyDiv w:val="1"/>
      <w:marLeft w:val="0"/>
      <w:marRight w:val="0"/>
      <w:marTop w:val="0"/>
      <w:marBottom w:val="0"/>
      <w:divBdr>
        <w:top w:val="none" w:sz="0" w:space="0" w:color="auto"/>
        <w:left w:val="none" w:sz="0" w:space="0" w:color="auto"/>
        <w:bottom w:val="none" w:sz="0" w:space="0" w:color="auto"/>
        <w:right w:val="none" w:sz="0" w:space="0" w:color="auto"/>
      </w:divBdr>
    </w:div>
    <w:div w:id="638145914">
      <w:bodyDiv w:val="1"/>
      <w:marLeft w:val="0"/>
      <w:marRight w:val="0"/>
      <w:marTop w:val="0"/>
      <w:marBottom w:val="0"/>
      <w:divBdr>
        <w:top w:val="none" w:sz="0" w:space="0" w:color="auto"/>
        <w:left w:val="none" w:sz="0" w:space="0" w:color="auto"/>
        <w:bottom w:val="none" w:sz="0" w:space="0" w:color="auto"/>
        <w:right w:val="none" w:sz="0" w:space="0" w:color="auto"/>
      </w:divBdr>
    </w:div>
    <w:div w:id="648481069">
      <w:bodyDiv w:val="1"/>
      <w:marLeft w:val="0"/>
      <w:marRight w:val="0"/>
      <w:marTop w:val="0"/>
      <w:marBottom w:val="0"/>
      <w:divBdr>
        <w:top w:val="none" w:sz="0" w:space="0" w:color="auto"/>
        <w:left w:val="none" w:sz="0" w:space="0" w:color="auto"/>
        <w:bottom w:val="none" w:sz="0" w:space="0" w:color="auto"/>
        <w:right w:val="none" w:sz="0" w:space="0" w:color="auto"/>
      </w:divBdr>
    </w:div>
    <w:div w:id="674234704">
      <w:bodyDiv w:val="1"/>
      <w:marLeft w:val="0"/>
      <w:marRight w:val="0"/>
      <w:marTop w:val="0"/>
      <w:marBottom w:val="0"/>
      <w:divBdr>
        <w:top w:val="none" w:sz="0" w:space="0" w:color="auto"/>
        <w:left w:val="none" w:sz="0" w:space="0" w:color="auto"/>
        <w:bottom w:val="none" w:sz="0" w:space="0" w:color="auto"/>
        <w:right w:val="none" w:sz="0" w:space="0" w:color="auto"/>
      </w:divBdr>
    </w:div>
    <w:div w:id="674262651">
      <w:bodyDiv w:val="1"/>
      <w:marLeft w:val="0"/>
      <w:marRight w:val="0"/>
      <w:marTop w:val="0"/>
      <w:marBottom w:val="0"/>
      <w:divBdr>
        <w:top w:val="none" w:sz="0" w:space="0" w:color="auto"/>
        <w:left w:val="none" w:sz="0" w:space="0" w:color="auto"/>
        <w:bottom w:val="none" w:sz="0" w:space="0" w:color="auto"/>
        <w:right w:val="none" w:sz="0" w:space="0" w:color="auto"/>
      </w:divBdr>
    </w:div>
    <w:div w:id="722753381">
      <w:bodyDiv w:val="1"/>
      <w:marLeft w:val="0"/>
      <w:marRight w:val="0"/>
      <w:marTop w:val="0"/>
      <w:marBottom w:val="0"/>
      <w:divBdr>
        <w:top w:val="none" w:sz="0" w:space="0" w:color="auto"/>
        <w:left w:val="none" w:sz="0" w:space="0" w:color="auto"/>
        <w:bottom w:val="none" w:sz="0" w:space="0" w:color="auto"/>
        <w:right w:val="none" w:sz="0" w:space="0" w:color="auto"/>
      </w:divBdr>
    </w:div>
    <w:div w:id="772551060">
      <w:bodyDiv w:val="1"/>
      <w:marLeft w:val="0"/>
      <w:marRight w:val="0"/>
      <w:marTop w:val="0"/>
      <w:marBottom w:val="0"/>
      <w:divBdr>
        <w:top w:val="none" w:sz="0" w:space="0" w:color="auto"/>
        <w:left w:val="none" w:sz="0" w:space="0" w:color="auto"/>
        <w:bottom w:val="none" w:sz="0" w:space="0" w:color="auto"/>
        <w:right w:val="none" w:sz="0" w:space="0" w:color="auto"/>
      </w:divBdr>
    </w:div>
    <w:div w:id="809788932">
      <w:bodyDiv w:val="1"/>
      <w:marLeft w:val="0"/>
      <w:marRight w:val="0"/>
      <w:marTop w:val="0"/>
      <w:marBottom w:val="0"/>
      <w:divBdr>
        <w:top w:val="none" w:sz="0" w:space="0" w:color="auto"/>
        <w:left w:val="none" w:sz="0" w:space="0" w:color="auto"/>
        <w:bottom w:val="none" w:sz="0" w:space="0" w:color="auto"/>
        <w:right w:val="none" w:sz="0" w:space="0" w:color="auto"/>
      </w:divBdr>
    </w:div>
    <w:div w:id="834567340">
      <w:bodyDiv w:val="1"/>
      <w:marLeft w:val="0"/>
      <w:marRight w:val="0"/>
      <w:marTop w:val="0"/>
      <w:marBottom w:val="0"/>
      <w:divBdr>
        <w:top w:val="none" w:sz="0" w:space="0" w:color="auto"/>
        <w:left w:val="none" w:sz="0" w:space="0" w:color="auto"/>
        <w:bottom w:val="none" w:sz="0" w:space="0" w:color="auto"/>
        <w:right w:val="none" w:sz="0" w:space="0" w:color="auto"/>
      </w:divBdr>
    </w:div>
    <w:div w:id="836504528">
      <w:bodyDiv w:val="1"/>
      <w:marLeft w:val="0"/>
      <w:marRight w:val="0"/>
      <w:marTop w:val="0"/>
      <w:marBottom w:val="0"/>
      <w:divBdr>
        <w:top w:val="none" w:sz="0" w:space="0" w:color="auto"/>
        <w:left w:val="none" w:sz="0" w:space="0" w:color="auto"/>
        <w:bottom w:val="none" w:sz="0" w:space="0" w:color="auto"/>
        <w:right w:val="none" w:sz="0" w:space="0" w:color="auto"/>
      </w:divBdr>
    </w:div>
    <w:div w:id="891816195">
      <w:bodyDiv w:val="1"/>
      <w:marLeft w:val="0"/>
      <w:marRight w:val="0"/>
      <w:marTop w:val="0"/>
      <w:marBottom w:val="0"/>
      <w:divBdr>
        <w:top w:val="none" w:sz="0" w:space="0" w:color="auto"/>
        <w:left w:val="none" w:sz="0" w:space="0" w:color="auto"/>
        <w:bottom w:val="none" w:sz="0" w:space="0" w:color="auto"/>
        <w:right w:val="none" w:sz="0" w:space="0" w:color="auto"/>
      </w:divBdr>
    </w:div>
    <w:div w:id="943457279">
      <w:bodyDiv w:val="1"/>
      <w:marLeft w:val="0"/>
      <w:marRight w:val="0"/>
      <w:marTop w:val="0"/>
      <w:marBottom w:val="0"/>
      <w:divBdr>
        <w:top w:val="none" w:sz="0" w:space="0" w:color="auto"/>
        <w:left w:val="none" w:sz="0" w:space="0" w:color="auto"/>
        <w:bottom w:val="none" w:sz="0" w:space="0" w:color="auto"/>
        <w:right w:val="none" w:sz="0" w:space="0" w:color="auto"/>
      </w:divBdr>
    </w:div>
    <w:div w:id="960116270">
      <w:bodyDiv w:val="1"/>
      <w:marLeft w:val="0"/>
      <w:marRight w:val="0"/>
      <w:marTop w:val="0"/>
      <w:marBottom w:val="0"/>
      <w:divBdr>
        <w:top w:val="none" w:sz="0" w:space="0" w:color="auto"/>
        <w:left w:val="none" w:sz="0" w:space="0" w:color="auto"/>
        <w:bottom w:val="none" w:sz="0" w:space="0" w:color="auto"/>
        <w:right w:val="none" w:sz="0" w:space="0" w:color="auto"/>
      </w:divBdr>
    </w:div>
    <w:div w:id="971640924">
      <w:bodyDiv w:val="1"/>
      <w:marLeft w:val="0"/>
      <w:marRight w:val="0"/>
      <w:marTop w:val="0"/>
      <w:marBottom w:val="0"/>
      <w:divBdr>
        <w:top w:val="none" w:sz="0" w:space="0" w:color="auto"/>
        <w:left w:val="none" w:sz="0" w:space="0" w:color="auto"/>
        <w:bottom w:val="none" w:sz="0" w:space="0" w:color="auto"/>
        <w:right w:val="none" w:sz="0" w:space="0" w:color="auto"/>
      </w:divBdr>
    </w:div>
    <w:div w:id="972449002">
      <w:bodyDiv w:val="1"/>
      <w:marLeft w:val="0"/>
      <w:marRight w:val="0"/>
      <w:marTop w:val="0"/>
      <w:marBottom w:val="0"/>
      <w:divBdr>
        <w:top w:val="none" w:sz="0" w:space="0" w:color="auto"/>
        <w:left w:val="none" w:sz="0" w:space="0" w:color="auto"/>
        <w:bottom w:val="none" w:sz="0" w:space="0" w:color="auto"/>
        <w:right w:val="none" w:sz="0" w:space="0" w:color="auto"/>
      </w:divBdr>
    </w:div>
    <w:div w:id="1033380307">
      <w:bodyDiv w:val="1"/>
      <w:marLeft w:val="0"/>
      <w:marRight w:val="0"/>
      <w:marTop w:val="0"/>
      <w:marBottom w:val="0"/>
      <w:divBdr>
        <w:top w:val="none" w:sz="0" w:space="0" w:color="auto"/>
        <w:left w:val="none" w:sz="0" w:space="0" w:color="auto"/>
        <w:bottom w:val="none" w:sz="0" w:space="0" w:color="auto"/>
        <w:right w:val="none" w:sz="0" w:space="0" w:color="auto"/>
      </w:divBdr>
    </w:div>
    <w:div w:id="1036856489">
      <w:bodyDiv w:val="1"/>
      <w:marLeft w:val="0"/>
      <w:marRight w:val="0"/>
      <w:marTop w:val="0"/>
      <w:marBottom w:val="0"/>
      <w:divBdr>
        <w:top w:val="none" w:sz="0" w:space="0" w:color="auto"/>
        <w:left w:val="none" w:sz="0" w:space="0" w:color="auto"/>
        <w:bottom w:val="none" w:sz="0" w:space="0" w:color="auto"/>
        <w:right w:val="none" w:sz="0" w:space="0" w:color="auto"/>
      </w:divBdr>
    </w:div>
    <w:div w:id="1067917714">
      <w:bodyDiv w:val="1"/>
      <w:marLeft w:val="0"/>
      <w:marRight w:val="0"/>
      <w:marTop w:val="0"/>
      <w:marBottom w:val="0"/>
      <w:divBdr>
        <w:top w:val="none" w:sz="0" w:space="0" w:color="auto"/>
        <w:left w:val="none" w:sz="0" w:space="0" w:color="auto"/>
        <w:bottom w:val="none" w:sz="0" w:space="0" w:color="auto"/>
        <w:right w:val="none" w:sz="0" w:space="0" w:color="auto"/>
      </w:divBdr>
    </w:div>
    <w:div w:id="1075393277">
      <w:bodyDiv w:val="1"/>
      <w:marLeft w:val="0"/>
      <w:marRight w:val="0"/>
      <w:marTop w:val="0"/>
      <w:marBottom w:val="0"/>
      <w:divBdr>
        <w:top w:val="none" w:sz="0" w:space="0" w:color="auto"/>
        <w:left w:val="none" w:sz="0" w:space="0" w:color="auto"/>
        <w:bottom w:val="none" w:sz="0" w:space="0" w:color="auto"/>
        <w:right w:val="none" w:sz="0" w:space="0" w:color="auto"/>
      </w:divBdr>
    </w:div>
    <w:div w:id="1079333039">
      <w:bodyDiv w:val="1"/>
      <w:marLeft w:val="0"/>
      <w:marRight w:val="0"/>
      <w:marTop w:val="0"/>
      <w:marBottom w:val="0"/>
      <w:divBdr>
        <w:top w:val="none" w:sz="0" w:space="0" w:color="auto"/>
        <w:left w:val="none" w:sz="0" w:space="0" w:color="auto"/>
        <w:bottom w:val="none" w:sz="0" w:space="0" w:color="auto"/>
        <w:right w:val="none" w:sz="0" w:space="0" w:color="auto"/>
      </w:divBdr>
    </w:div>
    <w:div w:id="1081415788">
      <w:bodyDiv w:val="1"/>
      <w:marLeft w:val="0"/>
      <w:marRight w:val="0"/>
      <w:marTop w:val="0"/>
      <w:marBottom w:val="0"/>
      <w:divBdr>
        <w:top w:val="none" w:sz="0" w:space="0" w:color="auto"/>
        <w:left w:val="none" w:sz="0" w:space="0" w:color="auto"/>
        <w:bottom w:val="none" w:sz="0" w:space="0" w:color="auto"/>
        <w:right w:val="none" w:sz="0" w:space="0" w:color="auto"/>
      </w:divBdr>
    </w:div>
    <w:div w:id="1087650965">
      <w:bodyDiv w:val="1"/>
      <w:marLeft w:val="0"/>
      <w:marRight w:val="0"/>
      <w:marTop w:val="0"/>
      <w:marBottom w:val="0"/>
      <w:divBdr>
        <w:top w:val="none" w:sz="0" w:space="0" w:color="auto"/>
        <w:left w:val="none" w:sz="0" w:space="0" w:color="auto"/>
        <w:bottom w:val="none" w:sz="0" w:space="0" w:color="auto"/>
        <w:right w:val="none" w:sz="0" w:space="0" w:color="auto"/>
      </w:divBdr>
    </w:div>
    <w:div w:id="1119227269">
      <w:bodyDiv w:val="1"/>
      <w:marLeft w:val="0"/>
      <w:marRight w:val="0"/>
      <w:marTop w:val="0"/>
      <w:marBottom w:val="0"/>
      <w:divBdr>
        <w:top w:val="none" w:sz="0" w:space="0" w:color="auto"/>
        <w:left w:val="none" w:sz="0" w:space="0" w:color="auto"/>
        <w:bottom w:val="none" w:sz="0" w:space="0" w:color="auto"/>
        <w:right w:val="none" w:sz="0" w:space="0" w:color="auto"/>
      </w:divBdr>
    </w:div>
    <w:div w:id="1148588836">
      <w:bodyDiv w:val="1"/>
      <w:marLeft w:val="0"/>
      <w:marRight w:val="0"/>
      <w:marTop w:val="0"/>
      <w:marBottom w:val="0"/>
      <w:divBdr>
        <w:top w:val="none" w:sz="0" w:space="0" w:color="auto"/>
        <w:left w:val="none" w:sz="0" w:space="0" w:color="auto"/>
        <w:bottom w:val="none" w:sz="0" w:space="0" w:color="auto"/>
        <w:right w:val="none" w:sz="0" w:space="0" w:color="auto"/>
      </w:divBdr>
    </w:div>
    <w:div w:id="1177228991">
      <w:bodyDiv w:val="1"/>
      <w:marLeft w:val="0"/>
      <w:marRight w:val="0"/>
      <w:marTop w:val="0"/>
      <w:marBottom w:val="0"/>
      <w:divBdr>
        <w:top w:val="none" w:sz="0" w:space="0" w:color="auto"/>
        <w:left w:val="none" w:sz="0" w:space="0" w:color="auto"/>
        <w:bottom w:val="none" w:sz="0" w:space="0" w:color="auto"/>
        <w:right w:val="none" w:sz="0" w:space="0" w:color="auto"/>
      </w:divBdr>
    </w:div>
    <w:div w:id="1182280033">
      <w:bodyDiv w:val="1"/>
      <w:marLeft w:val="0"/>
      <w:marRight w:val="0"/>
      <w:marTop w:val="0"/>
      <w:marBottom w:val="0"/>
      <w:divBdr>
        <w:top w:val="none" w:sz="0" w:space="0" w:color="auto"/>
        <w:left w:val="none" w:sz="0" w:space="0" w:color="auto"/>
        <w:bottom w:val="none" w:sz="0" w:space="0" w:color="auto"/>
        <w:right w:val="none" w:sz="0" w:space="0" w:color="auto"/>
      </w:divBdr>
    </w:div>
    <w:div w:id="1232350604">
      <w:bodyDiv w:val="1"/>
      <w:marLeft w:val="0"/>
      <w:marRight w:val="0"/>
      <w:marTop w:val="0"/>
      <w:marBottom w:val="0"/>
      <w:divBdr>
        <w:top w:val="none" w:sz="0" w:space="0" w:color="auto"/>
        <w:left w:val="none" w:sz="0" w:space="0" w:color="auto"/>
        <w:bottom w:val="none" w:sz="0" w:space="0" w:color="auto"/>
        <w:right w:val="none" w:sz="0" w:space="0" w:color="auto"/>
      </w:divBdr>
    </w:div>
    <w:div w:id="1240823556">
      <w:bodyDiv w:val="1"/>
      <w:marLeft w:val="0"/>
      <w:marRight w:val="0"/>
      <w:marTop w:val="0"/>
      <w:marBottom w:val="0"/>
      <w:divBdr>
        <w:top w:val="none" w:sz="0" w:space="0" w:color="auto"/>
        <w:left w:val="none" w:sz="0" w:space="0" w:color="auto"/>
        <w:bottom w:val="none" w:sz="0" w:space="0" w:color="auto"/>
        <w:right w:val="none" w:sz="0" w:space="0" w:color="auto"/>
      </w:divBdr>
    </w:div>
    <w:div w:id="1247347907">
      <w:bodyDiv w:val="1"/>
      <w:marLeft w:val="0"/>
      <w:marRight w:val="0"/>
      <w:marTop w:val="0"/>
      <w:marBottom w:val="0"/>
      <w:divBdr>
        <w:top w:val="none" w:sz="0" w:space="0" w:color="auto"/>
        <w:left w:val="none" w:sz="0" w:space="0" w:color="auto"/>
        <w:bottom w:val="none" w:sz="0" w:space="0" w:color="auto"/>
        <w:right w:val="none" w:sz="0" w:space="0" w:color="auto"/>
      </w:divBdr>
    </w:div>
    <w:div w:id="1278678541">
      <w:bodyDiv w:val="1"/>
      <w:marLeft w:val="0"/>
      <w:marRight w:val="0"/>
      <w:marTop w:val="0"/>
      <w:marBottom w:val="0"/>
      <w:divBdr>
        <w:top w:val="none" w:sz="0" w:space="0" w:color="auto"/>
        <w:left w:val="none" w:sz="0" w:space="0" w:color="auto"/>
        <w:bottom w:val="none" w:sz="0" w:space="0" w:color="auto"/>
        <w:right w:val="none" w:sz="0" w:space="0" w:color="auto"/>
      </w:divBdr>
    </w:div>
    <w:div w:id="1304386591">
      <w:bodyDiv w:val="1"/>
      <w:marLeft w:val="0"/>
      <w:marRight w:val="0"/>
      <w:marTop w:val="0"/>
      <w:marBottom w:val="0"/>
      <w:divBdr>
        <w:top w:val="none" w:sz="0" w:space="0" w:color="auto"/>
        <w:left w:val="none" w:sz="0" w:space="0" w:color="auto"/>
        <w:bottom w:val="none" w:sz="0" w:space="0" w:color="auto"/>
        <w:right w:val="none" w:sz="0" w:space="0" w:color="auto"/>
      </w:divBdr>
    </w:div>
    <w:div w:id="1311641299">
      <w:bodyDiv w:val="1"/>
      <w:marLeft w:val="0"/>
      <w:marRight w:val="0"/>
      <w:marTop w:val="0"/>
      <w:marBottom w:val="0"/>
      <w:divBdr>
        <w:top w:val="none" w:sz="0" w:space="0" w:color="auto"/>
        <w:left w:val="none" w:sz="0" w:space="0" w:color="auto"/>
        <w:bottom w:val="none" w:sz="0" w:space="0" w:color="auto"/>
        <w:right w:val="none" w:sz="0" w:space="0" w:color="auto"/>
      </w:divBdr>
    </w:div>
    <w:div w:id="1357389031">
      <w:bodyDiv w:val="1"/>
      <w:marLeft w:val="0"/>
      <w:marRight w:val="0"/>
      <w:marTop w:val="0"/>
      <w:marBottom w:val="0"/>
      <w:divBdr>
        <w:top w:val="none" w:sz="0" w:space="0" w:color="auto"/>
        <w:left w:val="none" w:sz="0" w:space="0" w:color="auto"/>
        <w:bottom w:val="none" w:sz="0" w:space="0" w:color="auto"/>
        <w:right w:val="none" w:sz="0" w:space="0" w:color="auto"/>
      </w:divBdr>
    </w:div>
    <w:div w:id="1377049686">
      <w:bodyDiv w:val="1"/>
      <w:marLeft w:val="0"/>
      <w:marRight w:val="0"/>
      <w:marTop w:val="0"/>
      <w:marBottom w:val="0"/>
      <w:divBdr>
        <w:top w:val="none" w:sz="0" w:space="0" w:color="auto"/>
        <w:left w:val="none" w:sz="0" w:space="0" w:color="auto"/>
        <w:bottom w:val="none" w:sz="0" w:space="0" w:color="auto"/>
        <w:right w:val="none" w:sz="0" w:space="0" w:color="auto"/>
      </w:divBdr>
    </w:div>
    <w:div w:id="1383479901">
      <w:bodyDiv w:val="1"/>
      <w:marLeft w:val="0"/>
      <w:marRight w:val="0"/>
      <w:marTop w:val="0"/>
      <w:marBottom w:val="0"/>
      <w:divBdr>
        <w:top w:val="none" w:sz="0" w:space="0" w:color="auto"/>
        <w:left w:val="none" w:sz="0" w:space="0" w:color="auto"/>
        <w:bottom w:val="none" w:sz="0" w:space="0" w:color="auto"/>
        <w:right w:val="none" w:sz="0" w:space="0" w:color="auto"/>
      </w:divBdr>
    </w:div>
    <w:div w:id="1392004514">
      <w:bodyDiv w:val="1"/>
      <w:marLeft w:val="0"/>
      <w:marRight w:val="0"/>
      <w:marTop w:val="0"/>
      <w:marBottom w:val="0"/>
      <w:divBdr>
        <w:top w:val="none" w:sz="0" w:space="0" w:color="auto"/>
        <w:left w:val="none" w:sz="0" w:space="0" w:color="auto"/>
        <w:bottom w:val="none" w:sz="0" w:space="0" w:color="auto"/>
        <w:right w:val="none" w:sz="0" w:space="0" w:color="auto"/>
      </w:divBdr>
    </w:div>
    <w:div w:id="1428304634">
      <w:bodyDiv w:val="1"/>
      <w:marLeft w:val="0"/>
      <w:marRight w:val="0"/>
      <w:marTop w:val="0"/>
      <w:marBottom w:val="0"/>
      <w:divBdr>
        <w:top w:val="none" w:sz="0" w:space="0" w:color="auto"/>
        <w:left w:val="none" w:sz="0" w:space="0" w:color="auto"/>
        <w:bottom w:val="none" w:sz="0" w:space="0" w:color="auto"/>
        <w:right w:val="none" w:sz="0" w:space="0" w:color="auto"/>
      </w:divBdr>
    </w:div>
    <w:div w:id="1441217682">
      <w:bodyDiv w:val="1"/>
      <w:marLeft w:val="0"/>
      <w:marRight w:val="0"/>
      <w:marTop w:val="0"/>
      <w:marBottom w:val="0"/>
      <w:divBdr>
        <w:top w:val="none" w:sz="0" w:space="0" w:color="auto"/>
        <w:left w:val="none" w:sz="0" w:space="0" w:color="auto"/>
        <w:bottom w:val="none" w:sz="0" w:space="0" w:color="auto"/>
        <w:right w:val="none" w:sz="0" w:space="0" w:color="auto"/>
      </w:divBdr>
    </w:div>
    <w:div w:id="1442722683">
      <w:bodyDiv w:val="1"/>
      <w:marLeft w:val="0"/>
      <w:marRight w:val="0"/>
      <w:marTop w:val="0"/>
      <w:marBottom w:val="0"/>
      <w:divBdr>
        <w:top w:val="none" w:sz="0" w:space="0" w:color="auto"/>
        <w:left w:val="none" w:sz="0" w:space="0" w:color="auto"/>
        <w:bottom w:val="none" w:sz="0" w:space="0" w:color="auto"/>
        <w:right w:val="none" w:sz="0" w:space="0" w:color="auto"/>
      </w:divBdr>
    </w:div>
    <w:div w:id="1455560191">
      <w:bodyDiv w:val="1"/>
      <w:marLeft w:val="0"/>
      <w:marRight w:val="0"/>
      <w:marTop w:val="0"/>
      <w:marBottom w:val="0"/>
      <w:divBdr>
        <w:top w:val="none" w:sz="0" w:space="0" w:color="auto"/>
        <w:left w:val="none" w:sz="0" w:space="0" w:color="auto"/>
        <w:bottom w:val="none" w:sz="0" w:space="0" w:color="auto"/>
        <w:right w:val="none" w:sz="0" w:space="0" w:color="auto"/>
      </w:divBdr>
    </w:div>
    <w:div w:id="1465149426">
      <w:bodyDiv w:val="1"/>
      <w:marLeft w:val="0"/>
      <w:marRight w:val="0"/>
      <w:marTop w:val="0"/>
      <w:marBottom w:val="0"/>
      <w:divBdr>
        <w:top w:val="none" w:sz="0" w:space="0" w:color="auto"/>
        <w:left w:val="none" w:sz="0" w:space="0" w:color="auto"/>
        <w:bottom w:val="none" w:sz="0" w:space="0" w:color="auto"/>
        <w:right w:val="none" w:sz="0" w:space="0" w:color="auto"/>
      </w:divBdr>
    </w:div>
    <w:div w:id="1466200020">
      <w:bodyDiv w:val="1"/>
      <w:marLeft w:val="0"/>
      <w:marRight w:val="0"/>
      <w:marTop w:val="0"/>
      <w:marBottom w:val="0"/>
      <w:divBdr>
        <w:top w:val="none" w:sz="0" w:space="0" w:color="auto"/>
        <w:left w:val="none" w:sz="0" w:space="0" w:color="auto"/>
        <w:bottom w:val="none" w:sz="0" w:space="0" w:color="auto"/>
        <w:right w:val="none" w:sz="0" w:space="0" w:color="auto"/>
      </w:divBdr>
    </w:div>
    <w:div w:id="1510608180">
      <w:bodyDiv w:val="1"/>
      <w:marLeft w:val="0"/>
      <w:marRight w:val="0"/>
      <w:marTop w:val="0"/>
      <w:marBottom w:val="0"/>
      <w:divBdr>
        <w:top w:val="none" w:sz="0" w:space="0" w:color="auto"/>
        <w:left w:val="none" w:sz="0" w:space="0" w:color="auto"/>
        <w:bottom w:val="none" w:sz="0" w:space="0" w:color="auto"/>
        <w:right w:val="none" w:sz="0" w:space="0" w:color="auto"/>
      </w:divBdr>
    </w:div>
    <w:div w:id="1518813762">
      <w:bodyDiv w:val="1"/>
      <w:marLeft w:val="0"/>
      <w:marRight w:val="0"/>
      <w:marTop w:val="0"/>
      <w:marBottom w:val="0"/>
      <w:divBdr>
        <w:top w:val="none" w:sz="0" w:space="0" w:color="auto"/>
        <w:left w:val="none" w:sz="0" w:space="0" w:color="auto"/>
        <w:bottom w:val="none" w:sz="0" w:space="0" w:color="auto"/>
        <w:right w:val="none" w:sz="0" w:space="0" w:color="auto"/>
      </w:divBdr>
    </w:div>
    <w:div w:id="1555041251">
      <w:bodyDiv w:val="1"/>
      <w:marLeft w:val="0"/>
      <w:marRight w:val="0"/>
      <w:marTop w:val="0"/>
      <w:marBottom w:val="0"/>
      <w:divBdr>
        <w:top w:val="none" w:sz="0" w:space="0" w:color="auto"/>
        <w:left w:val="none" w:sz="0" w:space="0" w:color="auto"/>
        <w:bottom w:val="none" w:sz="0" w:space="0" w:color="auto"/>
        <w:right w:val="none" w:sz="0" w:space="0" w:color="auto"/>
      </w:divBdr>
    </w:div>
    <w:div w:id="1569878366">
      <w:bodyDiv w:val="1"/>
      <w:marLeft w:val="0"/>
      <w:marRight w:val="0"/>
      <w:marTop w:val="0"/>
      <w:marBottom w:val="0"/>
      <w:divBdr>
        <w:top w:val="none" w:sz="0" w:space="0" w:color="auto"/>
        <w:left w:val="none" w:sz="0" w:space="0" w:color="auto"/>
        <w:bottom w:val="none" w:sz="0" w:space="0" w:color="auto"/>
        <w:right w:val="none" w:sz="0" w:space="0" w:color="auto"/>
      </w:divBdr>
    </w:div>
    <w:div w:id="1570774133">
      <w:bodyDiv w:val="1"/>
      <w:marLeft w:val="0"/>
      <w:marRight w:val="0"/>
      <w:marTop w:val="0"/>
      <w:marBottom w:val="0"/>
      <w:divBdr>
        <w:top w:val="none" w:sz="0" w:space="0" w:color="auto"/>
        <w:left w:val="none" w:sz="0" w:space="0" w:color="auto"/>
        <w:bottom w:val="none" w:sz="0" w:space="0" w:color="auto"/>
        <w:right w:val="none" w:sz="0" w:space="0" w:color="auto"/>
      </w:divBdr>
    </w:div>
    <w:div w:id="1588076468">
      <w:bodyDiv w:val="1"/>
      <w:marLeft w:val="0"/>
      <w:marRight w:val="0"/>
      <w:marTop w:val="0"/>
      <w:marBottom w:val="0"/>
      <w:divBdr>
        <w:top w:val="none" w:sz="0" w:space="0" w:color="auto"/>
        <w:left w:val="none" w:sz="0" w:space="0" w:color="auto"/>
        <w:bottom w:val="none" w:sz="0" w:space="0" w:color="auto"/>
        <w:right w:val="none" w:sz="0" w:space="0" w:color="auto"/>
      </w:divBdr>
    </w:div>
    <w:div w:id="1595867151">
      <w:bodyDiv w:val="1"/>
      <w:marLeft w:val="0"/>
      <w:marRight w:val="0"/>
      <w:marTop w:val="0"/>
      <w:marBottom w:val="0"/>
      <w:divBdr>
        <w:top w:val="none" w:sz="0" w:space="0" w:color="auto"/>
        <w:left w:val="none" w:sz="0" w:space="0" w:color="auto"/>
        <w:bottom w:val="none" w:sz="0" w:space="0" w:color="auto"/>
        <w:right w:val="none" w:sz="0" w:space="0" w:color="auto"/>
      </w:divBdr>
    </w:div>
    <w:div w:id="1614358154">
      <w:bodyDiv w:val="1"/>
      <w:marLeft w:val="0"/>
      <w:marRight w:val="0"/>
      <w:marTop w:val="0"/>
      <w:marBottom w:val="0"/>
      <w:divBdr>
        <w:top w:val="none" w:sz="0" w:space="0" w:color="auto"/>
        <w:left w:val="none" w:sz="0" w:space="0" w:color="auto"/>
        <w:bottom w:val="none" w:sz="0" w:space="0" w:color="auto"/>
        <w:right w:val="none" w:sz="0" w:space="0" w:color="auto"/>
      </w:divBdr>
    </w:div>
    <w:div w:id="1632637804">
      <w:bodyDiv w:val="1"/>
      <w:marLeft w:val="0"/>
      <w:marRight w:val="0"/>
      <w:marTop w:val="0"/>
      <w:marBottom w:val="0"/>
      <w:divBdr>
        <w:top w:val="none" w:sz="0" w:space="0" w:color="auto"/>
        <w:left w:val="none" w:sz="0" w:space="0" w:color="auto"/>
        <w:bottom w:val="none" w:sz="0" w:space="0" w:color="auto"/>
        <w:right w:val="none" w:sz="0" w:space="0" w:color="auto"/>
      </w:divBdr>
    </w:div>
    <w:div w:id="1635406710">
      <w:bodyDiv w:val="1"/>
      <w:marLeft w:val="0"/>
      <w:marRight w:val="0"/>
      <w:marTop w:val="0"/>
      <w:marBottom w:val="0"/>
      <w:divBdr>
        <w:top w:val="none" w:sz="0" w:space="0" w:color="auto"/>
        <w:left w:val="none" w:sz="0" w:space="0" w:color="auto"/>
        <w:bottom w:val="none" w:sz="0" w:space="0" w:color="auto"/>
        <w:right w:val="none" w:sz="0" w:space="0" w:color="auto"/>
      </w:divBdr>
    </w:div>
    <w:div w:id="1669476036">
      <w:bodyDiv w:val="1"/>
      <w:marLeft w:val="0"/>
      <w:marRight w:val="0"/>
      <w:marTop w:val="0"/>
      <w:marBottom w:val="0"/>
      <w:divBdr>
        <w:top w:val="none" w:sz="0" w:space="0" w:color="auto"/>
        <w:left w:val="none" w:sz="0" w:space="0" w:color="auto"/>
        <w:bottom w:val="none" w:sz="0" w:space="0" w:color="auto"/>
        <w:right w:val="none" w:sz="0" w:space="0" w:color="auto"/>
      </w:divBdr>
    </w:div>
    <w:div w:id="1699087401">
      <w:bodyDiv w:val="1"/>
      <w:marLeft w:val="0"/>
      <w:marRight w:val="0"/>
      <w:marTop w:val="0"/>
      <w:marBottom w:val="0"/>
      <w:divBdr>
        <w:top w:val="none" w:sz="0" w:space="0" w:color="auto"/>
        <w:left w:val="none" w:sz="0" w:space="0" w:color="auto"/>
        <w:bottom w:val="none" w:sz="0" w:space="0" w:color="auto"/>
        <w:right w:val="none" w:sz="0" w:space="0" w:color="auto"/>
      </w:divBdr>
    </w:div>
    <w:div w:id="1711150710">
      <w:bodyDiv w:val="1"/>
      <w:marLeft w:val="0"/>
      <w:marRight w:val="0"/>
      <w:marTop w:val="0"/>
      <w:marBottom w:val="0"/>
      <w:divBdr>
        <w:top w:val="none" w:sz="0" w:space="0" w:color="auto"/>
        <w:left w:val="none" w:sz="0" w:space="0" w:color="auto"/>
        <w:bottom w:val="none" w:sz="0" w:space="0" w:color="auto"/>
        <w:right w:val="none" w:sz="0" w:space="0" w:color="auto"/>
      </w:divBdr>
    </w:div>
    <w:div w:id="1726487768">
      <w:bodyDiv w:val="1"/>
      <w:marLeft w:val="0"/>
      <w:marRight w:val="0"/>
      <w:marTop w:val="0"/>
      <w:marBottom w:val="0"/>
      <w:divBdr>
        <w:top w:val="none" w:sz="0" w:space="0" w:color="auto"/>
        <w:left w:val="none" w:sz="0" w:space="0" w:color="auto"/>
        <w:bottom w:val="none" w:sz="0" w:space="0" w:color="auto"/>
        <w:right w:val="none" w:sz="0" w:space="0" w:color="auto"/>
      </w:divBdr>
    </w:div>
    <w:div w:id="1727992849">
      <w:bodyDiv w:val="1"/>
      <w:marLeft w:val="0"/>
      <w:marRight w:val="0"/>
      <w:marTop w:val="0"/>
      <w:marBottom w:val="0"/>
      <w:divBdr>
        <w:top w:val="none" w:sz="0" w:space="0" w:color="auto"/>
        <w:left w:val="none" w:sz="0" w:space="0" w:color="auto"/>
        <w:bottom w:val="none" w:sz="0" w:space="0" w:color="auto"/>
        <w:right w:val="none" w:sz="0" w:space="0" w:color="auto"/>
      </w:divBdr>
    </w:div>
    <w:div w:id="1728449511">
      <w:bodyDiv w:val="1"/>
      <w:marLeft w:val="0"/>
      <w:marRight w:val="0"/>
      <w:marTop w:val="0"/>
      <w:marBottom w:val="0"/>
      <w:divBdr>
        <w:top w:val="none" w:sz="0" w:space="0" w:color="auto"/>
        <w:left w:val="none" w:sz="0" w:space="0" w:color="auto"/>
        <w:bottom w:val="none" w:sz="0" w:space="0" w:color="auto"/>
        <w:right w:val="none" w:sz="0" w:space="0" w:color="auto"/>
      </w:divBdr>
    </w:div>
    <w:div w:id="1752775736">
      <w:bodyDiv w:val="1"/>
      <w:marLeft w:val="0"/>
      <w:marRight w:val="0"/>
      <w:marTop w:val="0"/>
      <w:marBottom w:val="0"/>
      <w:divBdr>
        <w:top w:val="none" w:sz="0" w:space="0" w:color="auto"/>
        <w:left w:val="none" w:sz="0" w:space="0" w:color="auto"/>
        <w:bottom w:val="none" w:sz="0" w:space="0" w:color="auto"/>
        <w:right w:val="none" w:sz="0" w:space="0" w:color="auto"/>
      </w:divBdr>
    </w:div>
    <w:div w:id="1777603620">
      <w:bodyDiv w:val="1"/>
      <w:marLeft w:val="0"/>
      <w:marRight w:val="0"/>
      <w:marTop w:val="0"/>
      <w:marBottom w:val="0"/>
      <w:divBdr>
        <w:top w:val="none" w:sz="0" w:space="0" w:color="auto"/>
        <w:left w:val="none" w:sz="0" w:space="0" w:color="auto"/>
        <w:bottom w:val="none" w:sz="0" w:space="0" w:color="auto"/>
        <w:right w:val="none" w:sz="0" w:space="0" w:color="auto"/>
      </w:divBdr>
    </w:div>
    <w:div w:id="1859461347">
      <w:bodyDiv w:val="1"/>
      <w:marLeft w:val="0"/>
      <w:marRight w:val="0"/>
      <w:marTop w:val="0"/>
      <w:marBottom w:val="0"/>
      <w:divBdr>
        <w:top w:val="none" w:sz="0" w:space="0" w:color="auto"/>
        <w:left w:val="none" w:sz="0" w:space="0" w:color="auto"/>
        <w:bottom w:val="none" w:sz="0" w:space="0" w:color="auto"/>
        <w:right w:val="none" w:sz="0" w:space="0" w:color="auto"/>
      </w:divBdr>
    </w:div>
    <w:div w:id="1864397455">
      <w:bodyDiv w:val="1"/>
      <w:marLeft w:val="0"/>
      <w:marRight w:val="0"/>
      <w:marTop w:val="0"/>
      <w:marBottom w:val="0"/>
      <w:divBdr>
        <w:top w:val="none" w:sz="0" w:space="0" w:color="auto"/>
        <w:left w:val="none" w:sz="0" w:space="0" w:color="auto"/>
        <w:bottom w:val="none" w:sz="0" w:space="0" w:color="auto"/>
        <w:right w:val="none" w:sz="0" w:space="0" w:color="auto"/>
      </w:divBdr>
    </w:div>
    <w:div w:id="1881745749">
      <w:bodyDiv w:val="1"/>
      <w:marLeft w:val="0"/>
      <w:marRight w:val="0"/>
      <w:marTop w:val="0"/>
      <w:marBottom w:val="0"/>
      <w:divBdr>
        <w:top w:val="none" w:sz="0" w:space="0" w:color="auto"/>
        <w:left w:val="none" w:sz="0" w:space="0" w:color="auto"/>
        <w:bottom w:val="none" w:sz="0" w:space="0" w:color="auto"/>
        <w:right w:val="none" w:sz="0" w:space="0" w:color="auto"/>
      </w:divBdr>
    </w:div>
    <w:div w:id="1899366161">
      <w:bodyDiv w:val="1"/>
      <w:marLeft w:val="0"/>
      <w:marRight w:val="0"/>
      <w:marTop w:val="0"/>
      <w:marBottom w:val="0"/>
      <w:divBdr>
        <w:top w:val="none" w:sz="0" w:space="0" w:color="auto"/>
        <w:left w:val="none" w:sz="0" w:space="0" w:color="auto"/>
        <w:bottom w:val="none" w:sz="0" w:space="0" w:color="auto"/>
        <w:right w:val="none" w:sz="0" w:space="0" w:color="auto"/>
      </w:divBdr>
    </w:div>
    <w:div w:id="1923682021">
      <w:bodyDiv w:val="1"/>
      <w:marLeft w:val="0"/>
      <w:marRight w:val="0"/>
      <w:marTop w:val="0"/>
      <w:marBottom w:val="0"/>
      <w:divBdr>
        <w:top w:val="none" w:sz="0" w:space="0" w:color="auto"/>
        <w:left w:val="none" w:sz="0" w:space="0" w:color="auto"/>
        <w:bottom w:val="none" w:sz="0" w:space="0" w:color="auto"/>
        <w:right w:val="none" w:sz="0" w:space="0" w:color="auto"/>
      </w:divBdr>
    </w:div>
    <w:div w:id="1938515301">
      <w:bodyDiv w:val="1"/>
      <w:marLeft w:val="0"/>
      <w:marRight w:val="0"/>
      <w:marTop w:val="0"/>
      <w:marBottom w:val="0"/>
      <w:divBdr>
        <w:top w:val="none" w:sz="0" w:space="0" w:color="auto"/>
        <w:left w:val="none" w:sz="0" w:space="0" w:color="auto"/>
        <w:bottom w:val="none" w:sz="0" w:space="0" w:color="auto"/>
        <w:right w:val="none" w:sz="0" w:space="0" w:color="auto"/>
      </w:divBdr>
    </w:div>
    <w:div w:id="1983805842">
      <w:bodyDiv w:val="1"/>
      <w:marLeft w:val="0"/>
      <w:marRight w:val="0"/>
      <w:marTop w:val="0"/>
      <w:marBottom w:val="0"/>
      <w:divBdr>
        <w:top w:val="none" w:sz="0" w:space="0" w:color="auto"/>
        <w:left w:val="none" w:sz="0" w:space="0" w:color="auto"/>
        <w:bottom w:val="none" w:sz="0" w:space="0" w:color="auto"/>
        <w:right w:val="none" w:sz="0" w:space="0" w:color="auto"/>
      </w:divBdr>
    </w:div>
    <w:div w:id="2000496310">
      <w:bodyDiv w:val="1"/>
      <w:marLeft w:val="0"/>
      <w:marRight w:val="0"/>
      <w:marTop w:val="0"/>
      <w:marBottom w:val="0"/>
      <w:divBdr>
        <w:top w:val="none" w:sz="0" w:space="0" w:color="auto"/>
        <w:left w:val="none" w:sz="0" w:space="0" w:color="auto"/>
        <w:bottom w:val="none" w:sz="0" w:space="0" w:color="auto"/>
        <w:right w:val="none" w:sz="0" w:space="0" w:color="auto"/>
      </w:divBdr>
    </w:div>
    <w:div w:id="2020155801">
      <w:bodyDiv w:val="1"/>
      <w:marLeft w:val="0"/>
      <w:marRight w:val="0"/>
      <w:marTop w:val="0"/>
      <w:marBottom w:val="0"/>
      <w:divBdr>
        <w:top w:val="none" w:sz="0" w:space="0" w:color="auto"/>
        <w:left w:val="none" w:sz="0" w:space="0" w:color="auto"/>
        <w:bottom w:val="none" w:sz="0" w:space="0" w:color="auto"/>
        <w:right w:val="none" w:sz="0" w:space="0" w:color="auto"/>
      </w:divBdr>
    </w:div>
    <w:div w:id="2034332351">
      <w:bodyDiv w:val="1"/>
      <w:marLeft w:val="0"/>
      <w:marRight w:val="0"/>
      <w:marTop w:val="0"/>
      <w:marBottom w:val="0"/>
      <w:divBdr>
        <w:top w:val="none" w:sz="0" w:space="0" w:color="auto"/>
        <w:left w:val="none" w:sz="0" w:space="0" w:color="auto"/>
        <w:bottom w:val="none" w:sz="0" w:space="0" w:color="auto"/>
        <w:right w:val="none" w:sz="0" w:space="0" w:color="auto"/>
      </w:divBdr>
    </w:div>
    <w:div w:id="2034378834">
      <w:bodyDiv w:val="1"/>
      <w:marLeft w:val="0"/>
      <w:marRight w:val="0"/>
      <w:marTop w:val="0"/>
      <w:marBottom w:val="0"/>
      <w:divBdr>
        <w:top w:val="none" w:sz="0" w:space="0" w:color="auto"/>
        <w:left w:val="none" w:sz="0" w:space="0" w:color="auto"/>
        <w:bottom w:val="none" w:sz="0" w:space="0" w:color="auto"/>
        <w:right w:val="none" w:sz="0" w:space="0" w:color="auto"/>
      </w:divBdr>
    </w:div>
    <w:div w:id="2050839608">
      <w:bodyDiv w:val="1"/>
      <w:marLeft w:val="0"/>
      <w:marRight w:val="0"/>
      <w:marTop w:val="0"/>
      <w:marBottom w:val="0"/>
      <w:divBdr>
        <w:top w:val="none" w:sz="0" w:space="0" w:color="auto"/>
        <w:left w:val="none" w:sz="0" w:space="0" w:color="auto"/>
        <w:bottom w:val="none" w:sz="0" w:space="0" w:color="auto"/>
        <w:right w:val="none" w:sz="0" w:space="0" w:color="auto"/>
      </w:divBdr>
    </w:div>
    <w:div w:id="2051302515">
      <w:bodyDiv w:val="1"/>
      <w:marLeft w:val="0"/>
      <w:marRight w:val="0"/>
      <w:marTop w:val="0"/>
      <w:marBottom w:val="0"/>
      <w:divBdr>
        <w:top w:val="none" w:sz="0" w:space="0" w:color="auto"/>
        <w:left w:val="none" w:sz="0" w:space="0" w:color="auto"/>
        <w:bottom w:val="none" w:sz="0" w:space="0" w:color="auto"/>
        <w:right w:val="none" w:sz="0" w:space="0" w:color="auto"/>
      </w:divBdr>
    </w:div>
    <w:div w:id="2055958645">
      <w:bodyDiv w:val="1"/>
      <w:marLeft w:val="0"/>
      <w:marRight w:val="0"/>
      <w:marTop w:val="0"/>
      <w:marBottom w:val="0"/>
      <w:divBdr>
        <w:top w:val="none" w:sz="0" w:space="0" w:color="auto"/>
        <w:left w:val="none" w:sz="0" w:space="0" w:color="auto"/>
        <w:bottom w:val="none" w:sz="0" w:space="0" w:color="auto"/>
        <w:right w:val="none" w:sz="0" w:space="0" w:color="auto"/>
      </w:divBdr>
    </w:div>
    <w:div w:id="2060590822">
      <w:bodyDiv w:val="1"/>
      <w:marLeft w:val="0"/>
      <w:marRight w:val="0"/>
      <w:marTop w:val="0"/>
      <w:marBottom w:val="0"/>
      <w:divBdr>
        <w:top w:val="none" w:sz="0" w:space="0" w:color="auto"/>
        <w:left w:val="none" w:sz="0" w:space="0" w:color="auto"/>
        <w:bottom w:val="none" w:sz="0" w:space="0" w:color="auto"/>
        <w:right w:val="none" w:sz="0" w:space="0" w:color="auto"/>
      </w:divBdr>
    </w:div>
    <w:div w:id="2083602981">
      <w:bodyDiv w:val="1"/>
      <w:marLeft w:val="0"/>
      <w:marRight w:val="0"/>
      <w:marTop w:val="0"/>
      <w:marBottom w:val="0"/>
      <w:divBdr>
        <w:top w:val="none" w:sz="0" w:space="0" w:color="auto"/>
        <w:left w:val="none" w:sz="0" w:space="0" w:color="auto"/>
        <w:bottom w:val="none" w:sz="0" w:space="0" w:color="auto"/>
        <w:right w:val="none" w:sz="0" w:space="0" w:color="auto"/>
      </w:divBdr>
    </w:div>
    <w:div w:id="2091808362">
      <w:bodyDiv w:val="1"/>
      <w:marLeft w:val="0"/>
      <w:marRight w:val="0"/>
      <w:marTop w:val="0"/>
      <w:marBottom w:val="0"/>
      <w:divBdr>
        <w:top w:val="none" w:sz="0" w:space="0" w:color="auto"/>
        <w:left w:val="none" w:sz="0" w:space="0" w:color="auto"/>
        <w:bottom w:val="none" w:sz="0" w:space="0" w:color="auto"/>
        <w:right w:val="none" w:sz="0" w:space="0" w:color="auto"/>
      </w:divBdr>
    </w:div>
    <w:div w:id="2144539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header" Target="header4.xml"/><Relationship Id="rId34" Type="http://schemas.openxmlformats.org/officeDocument/2006/relationships/chart" Target="charts/chart9.xml"/><Relationship Id="rId42" Type="http://schemas.openxmlformats.org/officeDocument/2006/relationships/header" Target="header12.xml"/><Relationship Id="rId47" Type="http://schemas.openxmlformats.org/officeDocument/2006/relationships/footer" Target="footer10.xml"/><Relationship Id="rId50" Type="http://schemas.openxmlformats.org/officeDocument/2006/relationships/header" Target="header15.xml"/><Relationship Id="rId55" Type="http://schemas.openxmlformats.org/officeDocument/2006/relationships/header" Target="header18.xml"/><Relationship Id="rId63" Type="http://schemas.openxmlformats.org/officeDocument/2006/relationships/footer" Target="footer1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7.xml"/><Relationship Id="rId11" Type="http://schemas.openxmlformats.org/officeDocument/2006/relationships/header" Target="header1.xml"/><Relationship Id="rId24" Type="http://schemas.openxmlformats.org/officeDocument/2006/relationships/chart" Target="charts/chart1.xml"/><Relationship Id="rId32" Type="http://schemas.openxmlformats.org/officeDocument/2006/relationships/chart" Target="charts/chart7.xml"/><Relationship Id="rId37" Type="http://schemas.openxmlformats.org/officeDocument/2006/relationships/header" Target="header8.xml"/><Relationship Id="rId40" Type="http://schemas.openxmlformats.org/officeDocument/2006/relationships/header" Target="header10.xml"/><Relationship Id="rId45" Type="http://schemas.openxmlformats.org/officeDocument/2006/relationships/footer" Target="footer8.xml"/><Relationship Id="rId53" Type="http://schemas.openxmlformats.org/officeDocument/2006/relationships/header" Target="header17.xml"/><Relationship Id="rId58" Type="http://schemas.openxmlformats.org/officeDocument/2006/relationships/footer" Target="footer16.xml"/><Relationship Id="rId5" Type="http://schemas.openxmlformats.org/officeDocument/2006/relationships/webSettings" Target="webSettings.xml"/><Relationship Id="rId61" Type="http://schemas.openxmlformats.org/officeDocument/2006/relationships/header" Target="header19.xml"/><Relationship Id="rId19" Type="http://schemas.openxmlformats.org/officeDocument/2006/relationships/image" Target="media/image4.jpeg"/><Relationship Id="rId14" Type="http://schemas.openxmlformats.org/officeDocument/2006/relationships/image" Target="media/image3.tif"/><Relationship Id="rId22" Type="http://schemas.openxmlformats.org/officeDocument/2006/relationships/header" Target="header5.xml"/><Relationship Id="rId27" Type="http://schemas.openxmlformats.org/officeDocument/2006/relationships/chart" Target="charts/chart4.xml"/><Relationship Id="rId30" Type="http://schemas.openxmlformats.org/officeDocument/2006/relationships/footer" Target="footer5.xml"/><Relationship Id="rId35" Type="http://schemas.openxmlformats.org/officeDocument/2006/relationships/chart" Target="charts/chart10.xml"/><Relationship Id="rId43" Type="http://schemas.openxmlformats.org/officeDocument/2006/relationships/footer" Target="footer7.xml"/><Relationship Id="rId48" Type="http://schemas.openxmlformats.org/officeDocument/2006/relationships/footer" Target="footer11.xml"/><Relationship Id="rId56" Type="http://schemas.openxmlformats.org/officeDocument/2006/relationships/footer" Target="footer14.xml"/><Relationship Id="rId6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footer" Target="footer1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chart" Target="charts/chart2.xml"/><Relationship Id="rId33" Type="http://schemas.openxmlformats.org/officeDocument/2006/relationships/chart" Target="charts/chart8.xml"/><Relationship Id="rId38" Type="http://schemas.openxmlformats.org/officeDocument/2006/relationships/footer" Target="footer6.xml"/><Relationship Id="rId46" Type="http://schemas.openxmlformats.org/officeDocument/2006/relationships/footer" Target="footer9.xml"/><Relationship Id="rId59" Type="http://schemas.openxmlformats.org/officeDocument/2006/relationships/footer" Target="footer17.xml"/><Relationship Id="rId20" Type="http://schemas.openxmlformats.org/officeDocument/2006/relationships/image" Target="media/image5.png"/><Relationship Id="rId41" Type="http://schemas.openxmlformats.org/officeDocument/2006/relationships/header" Target="header11.xml"/><Relationship Id="rId54" Type="http://schemas.openxmlformats.org/officeDocument/2006/relationships/footer" Target="footer13.xml"/><Relationship Id="rId62"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chart" Target="charts/chart5.xml"/><Relationship Id="rId36" Type="http://schemas.openxmlformats.org/officeDocument/2006/relationships/chart" Target="charts/chart11.xml"/><Relationship Id="rId49" Type="http://schemas.openxmlformats.org/officeDocument/2006/relationships/header" Target="header14.xml"/><Relationship Id="rId57" Type="http://schemas.openxmlformats.org/officeDocument/2006/relationships/footer" Target="footer15.xml"/><Relationship Id="rId10" Type="http://schemas.openxmlformats.org/officeDocument/2006/relationships/footer" Target="footer1.xml"/><Relationship Id="rId31" Type="http://schemas.openxmlformats.org/officeDocument/2006/relationships/chart" Target="charts/chart6.xml"/><Relationship Id="rId44" Type="http://schemas.openxmlformats.org/officeDocument/2006/relationships/header" Target="header13.xml"/><Relationship Id="rId52" Type="http://schemas.openxmlformats.org/officeDocument/2006/relationships/header" Target="header16.xml"/><Relationship Id="rId60" Type="http://schemas.openxmlformats.org/officeDocument/2006/relationships/footer" Target="footer18.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aine.edu/finance/policies-procedures-and-reports/annual-financial-reports/" TargetMode="External"/><Relationship Id="rId13" Type="http://schemas.openxmlformats.org/officeDocument/2006/relationships/image" Target="media/image2.png"/><Relationship Id="rId18" Type="http://schemas.openxmlformats.org/officeDocument/2006/relationships/footer" Target="footer4.xml"/><Relationship Id="rId39" Type="http://schemas.openxmlformats.org/officeDocument/2006/relationships/header" Target="header9.xml"/></Relationships>
</file>

<file path=word/charts/_rels/chart1.xml.rels><?xml version="1.0" encoding="UTF-8" standalone="yes"?>
<Relationships xmlns="http://schemas.openxmlformats.org/package/2006/relationships"><Relationship Id="rId1" Type="http://schemas.openxmlformats.org/officeDocument/2006/relationships/oleObject" Target="file:///\\wv-o-fs-sws1.sws.ad.maine.edu\groupshares\McMahan\ACCTG%20DEPT%20-%20WRKG\GL%20CLOSE%20WKPS\YE%20CLOSE%202025\YEFY25%20WKPS\Financial%20Statements\Annual%20Financial%20Report\2025%20MD&amp;A%20Charts%20&amp;%20Tables\C1.C2.T1%20Fall%20Enrol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wv-o-fs-sws1.sws.ad.maine.edu\groupshares\McMahan\ACCTG%20DEPT%20-%20WRKG\GL%20CLOSE%20WKPS\YE%20CLOSE%202025\YEFY25%20WKPS\Financial%20Statements\Annual%20Financial%20Report\2025%20MD&amp;A%20Charts%20&amp;%20Tables\C9%20Noncapital%20State%20Appr%202025.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wv-o-fs-sws1.sws.ad.maine.edu\groupshares\McMahan\ACCTG%20DEPT%20-%20WRKG\GL%20CLOSE%20WKPS\YE%20CLOSE%202025\YEFY25%20WKPS\Financial%20Statements\Annual%20Financial%20Report\2025%20MD&amp;A%20Charts%20&amp;%20Tables\C10%20Gifts%20by%20Donor%20Type%20202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wv-o-fs-sws1.sws.ad.maine.edu\groupshares\McMahan\ACCTG%20DEPT%20-%20WRKG\GL%20CLOSE%20WKPS\YE%20CLOSE%202025\YEFY25%20WKPS\Financial%20Statements\Annual%20Financial%20Report\2025%20MD&amp;A%20Charts%20&amp;%20Tables\C1.C2.T1%20Fall%20Enrol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wv-o-fs-sws1.sws.ad.maine.edu\groupshares\McMahan\ACCTG%20DEPT%20-%20WRKG\GL%20CLOSE%20WKPS\YE%20CLOSE%202025\YEFY25%20WKPS\Financial%20Statements\Annual%20Financial%20Report\2025%20MD&amp;A%20Charts%20&amp;%20Tables\IP.C3-5%20MIP%20&amp;%20Endowment%20Investments%20202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wv-o-fs-sws1.sws.ad.maine.edu\groupshares\McMahan\ACCTG%20DEPT%20-%20WRKG\GL%20CLOSE%20WKPS\YE%20CLOSE%202025\YEFY25%20WKPS\Financial%20Statements\Annual%20Financial%20Report\2025%20MD&amp;A%20Charts%20&amp;%20Tables\C3-5%20MIP%20&amp;%20Endowment%20Investments%20202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wv-o-fs-sws1.sws.ad.maine.edu\groupshares\McMahan\ACCTG%20DEPT%20-%20WRKG\GL%20CLOSE%20WKPS\YE%20CLOSE%202025\YEFY25%20WKPS\Financial%20Statements\Annual%20Financial%20Report\2025%20MD&amp;A%20Charts%20&amp;%20Tables\C3-5%20MIP%20&amp;%20Endowment%20Investments%20202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wv-o-fs-sws1.sws.ad.maine.edu\groupshares\McMahan\ACCTG%20DEPT%20-%20WRKG\GL%20CLOSE%20WKPS\YE%20CLOSE%202025\YEFY25%20WKPS\Financial%20Statements\Annual%20Financial%20Report\2025%20MD&amp;A%20Charts%20&amp;%20Tables\C6%20Oper%20and%20Nonoper%20Revenue%20202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wv-o-fs-sws1.sws.ad.maine.edu\groupshares\McMahan\ACCTG%20DEPT%20-%20WRKG\GL%20CLOSE%20WKPS\YE%20CLOSE%202024\YEFY24%20WKPS\Financial%20Statements%2024\AFS%20FY24\2024%20MD&amp;A%20Charts%20&amp;%20Tables\C6%20Oper%20and%20Nonoper%20Revenue%20202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wv-o-fs-sws1.sws.ad.maine.edu\groupshares\McMahan\ACCTG%20DEPT%20-%20WRKG\GL%20CLOSE%20WKPS\YE%20CLOSE%202025\YEFY25%20WKPS\Financial%20Statements\Annual%20Financial%20Report\2025%20MD&amp;A%20Charts%20&amp;%20Tables\C7%20Student%20Financial%20Aid%202025.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wv-o-fs-sws1.sws.ad.maine.edu\groupshares\McMahan\ACCTG%20DEPT%20-%20WRKG\GL%20CLOSE%20WKPS\YE%20CLOSE%202025\YEFY25%20WKPS\Financial%20Statements\Annual%20Financial%20Report\2025%20MD&amp;A%20Charts%20&amp;%20Tables\C8%20Grants%20&amp;%20Contracts%20Recovery%2020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r>
              <a:rPr lang="en-US" b="1">
                <a:solidFill>
                  <a:schemeClr val="tx1">
                    <a:lumMod val="95000"/>
                    <a:lumOff val="5000"/>
                  </a:schemeClr>
                </a:solidFill>
              </a:rPr>
              <a:t>Chart 1: Student Enrollment by Headcount</a:t>
            </a:r>
          </a:p>
        </c:rich>
      </c:tx>
      <c:layout>
        <c:manualLayout>
          <c:xMode val="edge"/>
          <c:yMode val="edge"/>
          <c:x val="0.15011789151356081"/>
          <c:y val="7.9365079365079361E-3"/>
        </c:manualLayout>
      </c:layout>
      <c:overlay val="0"/>
      <c:spPr>
        <a:noFill/>
        <a:ln>
          <a:noFill/>
        </a:ln>
        <a:effectLst/>
      </c:spPr>
    </c:title>
    <c:autoTitleDeleted val="0"/>
    <c:plotArea>
      <c:layout>
        <c:manualLayout>
          <c:layoutTarget val="inner"/>
          <c:xMode val="edge"/>
          <c:yMode val="edge"/>
          <c:x val="0.12192825896762904"/>
          <c:y val="0.17496031746031745"/>
          <c:w val="0.85307174103237104"/>
          <c:h val="0.65411354830646173"/>
        </c:manualLayout>
      </c:layout>
      <c:lineChart>
        <c:grouping val="standard"/>
        <c:varyColors val="0"/>
        <c:ser>
          <c:idx val="3"/>
          <c:order val="0"/>
          <c:tx>
            <c:strRef>
              <c:f>'Chart 1 Enroll by Headcount'!$E$4</c:f>
              <c:strCache>
                <c:ptCount val="1"/>
                <c:pt idx="0">
                  <c:v>Total</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a:scene3d>
                <a:camera prst="orthographicFront"/>
                <a:lightRig rig="threePt" dir="t"/>
              </a:scene3d>
              <a:sp3d>
                <a:bevelT h="50800"/>
                <a:bevelB/>
              </a:sp3d>
            </c:spPr>
          </c:marker>
          <c:dLbls>
            <c:numFmt formatCode="#,##0" sourceLinked="0"/>
            <c:spPr>
              <a:noFill/>
              <a:ln>
                <a:noFill/>
              </a:ln>
              <a:effectLst/>
            </c:spPr>
            <c:txPr>
              <a:bodyPr rot="0" spcFirstLastPara="1" vertOverflow="ellipsis" vert="horz" wrap="square" lIns="0" tIns="0" rIns="0" bIns="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'Chart 1 Enroll by Headcount'!$A$5:$A$9</c:f>
              <c:strCache>
                <c:ptCount val="5"/>
                <c:pt idx="0">
                  <c:v>Fall 2020</c:v>
                </c:pt>
                <c:pt idx="1">
                  <c:v>Fall 2021</c:v>
                </c:pt>
                <c:pt idx="2">
                  <c:v>Fall 2022</c:v>
                </c:pt>
                <c:pt idx="3">
                  <c:v>Fall 2023</c:v>
                </c:pt>
                <c:pt idx="4">
                  <c:v>Fall 2024</c:v>
                </c:pt>
              </c:strCache>
            </c:strRef>
          </c:cat>
          <c:val>
            <c:numRef>
              <c:f>'Chart 1 Enroll by Headcount'!$E$5:$E$9</c:f>
              <c:numCache>
                <c:formatCode>_(* #,##0_);_(* \(#,##0\);_(* "-"??_);_(@_)</c:formatCode>
                <c:ptCount val="5"/>
                <c:pt idx="0">
                  <c:v>29683</c:v>
                </c:pt>
                <c:pt idx="1">
                  <c:v>30139</c:v>
                </c:pt>
                <c:pt idx="2">
                  <c:v>29254</c:v>
                </c:pt>
                <c:pt idx="3">
                  <c:v>29247</c:v>
                </c:pt>
                <c:pt idx="4">
                  <c:v>30579</c:v>
                </c:pt>
              </c:numCache>
            </c:numRef>
          </c:val>
          <c:smooth val="0"/>
          <c:extLst>
            <c:ext xmlns:c16="http://schemas.microsoft.com/office/drawing/2014/chart" uri="{C3380CC4-5D6E-409C-BE32-E72D297353CC}">
              <c16:uniqueId val="{00000000-60F6-484B-918E-960FB891B331}"/>
            </c:ext>
          </c:extLst>
        </c:ser>
        <c:ser>
          <c:idx val="1"/>
          <c:order val="1"/>
          <c:tx>
            <c:strRef>
              <c:f>'Chart 1 Enroll by Headcount'!$C$4</c:f>
              <c:strCache>
                <c:ptCount val="1"/>
                <c:pt idx="0">
                  <c:v>Full-Time</c:v>
                </c:pt>
              </c:strCache>
            </c:strRef>
          </c:tx>
          <c:spPr>
            <a:ln w="28575" cap="rnd">
              <a:solidFill>
                <a:schemeClr val="accent2"/>
              </a:solidFill>
              <a:round/>
            </a:ln>
            <a:effectLst/>
          </c:spPr>
          <c:marker>
            <c:symbol val="square"/>
            <c:size val="5"/>
            <c:spPr>
              <a:scene3d>
                <a:camera prst="orthographicFront"/>
                <a:lightRig rig="threePt" dir="t"/>
              </a:scene3d>
              <a:sp3d>
                <a:bevelT h="50800"/>
                <a:bevelB/>
              </a:sp3d>
            </c:spPr>
          </c:marker>
          <c:dLbls>
            <c:numFmt formatCode="#,##0" sourceLinked="0"/>
            <c:spPr>
              <a:noFill/>
              <a:ln>
                <a:noFill/>
              </a:ln>
              <a:effectLst/>
            </c:spPr>
            <c:txPr>
              <a:bodyPr rot="0" spcFirstLastPara="1" vertOverflow="ellipsis" vert="horz" wrap="square" lIns="0" tIns="0" rIns="0" bIns="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'Chart 1 Enroll by Headcount'!$A$5:$A$9</c:f>
              <c:strCache>
                <c:ptCount val="5"/>
                <c:pt idx="0">
                  <c:v>Fall 2020</c:v>
                </c:pt>
                <c:pt idx="1">
                  <c:v>Fall 2021</c:v>
                </c:pt>
                <c:pt idx="2">
                  <c:v>Fall 2022</c:v>
                </c:pt>
                <c:pt idx="3">
                  <c:v>Fall 2023</c:v>
                </c:pt>
                <c:pt idx="4">
                  <c:v>Fall 2024</c:v>
                </c:pt>
              </c:strCache>
            </c:strRef>
          </c:cat>
          <c:val>
            <c:numRef>
              <c:f>'Chart 1 Enroll by Headcount'!$C$5:$C$9</c:f>
              <c:numCache>
                <c:formatCode>_(* #,##0_);_(* \(#,##0\);_(* "-"??_);_(@_)</c:formatCode>
                <c:ptCount val="5"/>
                <c:pt idx="0">
                  <c:v>18631</c:v>
                </c:pt>
                <c:pt idx="1">
                  <c:v>18500</c:v>
                </c:pt>
                <c:pt idx="2">
                  <c:v>17329</c:v>
                </c:pt>
                <c:pt idx="3">
                  <c:v>17010</c:v>
                </c:pt>
                <c:pt idx="4">
                  <c:v>17854</c:v>
                </c:pt>
              </c:numCache>
            </c:numRef>
          </c:val>
          <c:smooth val="0"/>
          <c:extLst>
            <c:ext xmlns:c16="http://schemas.microsoft.com/office/drawing/2014/chart" uri="{C3380CC4-5D6E-409C-BE32-E72D297353CC}">
              <c16:uniqueId val="{00000001-60F6-484B-918E-960FB891B331}"/>
            </c:ext>
          </c:extLst>
        </c:ser>
        <c:ser>
          <c:idx val="2"/>
          <c:order val="2"/>
          <c:tx>
            <c:strRef>
              <c:f>'Chart 1 Enroll by Headcount'!$D$4</c:f>
              <c:strCache>
                <c:ptCount val="1"/>
                <c:pt idx="0">
                  <c:v>Part-Time</c:v>
                </c:pt>
              </c:strCache>
            </c:strRef>
          </c:tx>
          <c:spPr>
            <a:ln w="28575" cap="rnd">
              <a:solidFill>
                <a:schemeClr val="accent3"/>
              </a:solidFill>
              <a:round/>
            </a:ln>
            <a:effectLst/>
          </c:spPr>
          <c:marker>
            <c:symbol val="triangle"/>
            <c:size val="5"/>
            <c:spPr>
              <a:scene3d>
                <a:camera prst="orthographicFront"/>
                <a:lightRig rig="threePt" dir="t"/>
              </a:scene3d>
              <a:sp3d>
                <a:bevelT h="50800"/>
                <a:bevelB/>
              </a:sp3d>
            </c:spPr>
          </c:marker>
          <c:dLbls>
            <c:dLbl>
              <c:idx val="4"/>
              <c:layout>
                <c:manualLayout>
                  <c:x val="-1.4559590153455712E-2"/>
                  <c:y val="-3.19291338582677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C7-4300-894C-FB9823F99FCE}"/>
                </c:ext>
              </c:extLst>
            </c:dLbl>
            <c:numFmt formatCode="#,##0" sourceLinked="0"/>
            <c:spPr>
              <a:noFill/>
              <a:ln>
                <a:noFill/>
              </a:ln>
              <a:effectLst/>
            </c:spPr>
            <c:txPr>
              <a:bodyPr rot="0" spcFirstLastPara="1" vertOverflow="ellipsis" vert="horz" wrap="square" lIns="0" tIns="0" rIns="0" bIns="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'Chart 1 Enroll by Headcount'!$A$5:$A$9</c:f>
              <c:strCache>
                <c:ptCount val="5"/>
                <c:pt idx="0">
                  <c:v>Fall 2020</c:v>
                </c:pt>
                <c:pt idx="1">
                  <c:v>Fall 2021</c:v>
                </c:pt>
                <c:pt idx="2">
                  <c:v>Fall 2022</c:v>
                </c:pt>
                <c:pt idx="3">
                  <c:v>Fall 2023</c:v>
                </c:pt>
                <c:pt idx="4">
                  <c:v>Fall 2024</c:v>
                </c:pt>
              </c:strCache>
            </c:strRef>
          </c:cat>
          <c:val>
            <c:numRef>
              <c:f>'Chart 1 Enroll by Headcount'!$D$5:$D$9</c:f>
              <c:numCache>
                <c:formatCode>_(* #,##0_);_(* \(#,##0\);_(* "-"??_);_(@_)</c:formatCode>
                <c:ptCount val="5"/>
                <c:pt idx="0">
                  <c:v>7621</c:v>
                </c:pt>
                <c:pt idx="1">
                  <c:v>7611</c:v>
                </c:pt>
                <c:pt idx="2">
                  <c:v>7479</c:v>
                </c:pt>
                <c:pt idx="3">
                  <c:v>7513</c:v>
                </c:pt>
                <c:pt idx="4">
                  <c:v>7432</c:v>
                </c:pt>
              </c:numCache>
            </c:numRef>
          </c:val>
          <c:smooth val="0"/>
          <c:extLst>
            <c:ext xmlns:c16="http://schemas.microsoft.com/office/drawing/2014/chart" uri="{C3380CC4-5D6E-409C-BE32-E72D297353CC}">
              <c16:uniqueId val="{00000002-60F6-484B-918E-960FB891B331}"/>
            </c:ext>
          </c:extLst>
        </c:ser>
        <c:ser>
          <c:idx val="0"/>
          <c:order val="3"/>
          <c:tx>
            <c:strRef>
              <c:f>'Chart 1 Enroll by Headcount'!$B$4</c:f>
              <c:strCache>
                <c:ptCount val="1"/>
                <c:pt idx="0">
                  <c:v>Early College</c:v>
                </c:pt>
              </c:strCache>
            </c:strRef>
          </c:tx>
          <c:spPr>
            <a:ln w="28575" cap="rnd">
              <a:solidFill>
                <a:schemeClr val="accent1"/>
              </a:solidFill>
              <a:round/>
            </a:ln>
            <a:effectLst/>
          </c:spPr>
          <c:marker>
            <c:spPr>
              <a:scene3d>
                <a:camera prst="orthographicFront"/>
                <a:lightRig rig="threePt" dir="t"/>
              </a:scene3d>
              <a:sp3d>
                <a:bevelT h="50800"/>
                <a:bevelB/>
              </a:sp3d>
            </c:spPr>
          </c:marker>
          <c:dLbls>
            <c:dLbl>
              <c:idx val="1"/>
              <c:layout>
                <c:manualLayout>
                  <c:x val="-4.7632350225614462E-2"/>
                  <c:y val="-3.9865641794775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DF-4617-9F8E-BA05D27518F0}"/>
                </c:ext>
              </c:extLst>
            </c:dLbl>
            <c:dLbl>
              <c:idx val="2"/>
              <c:layout>
                <c:manualLayout>
                  <c:x val="-2.959266291352787E-2"/>
                  <c:y val="-3.58973878265216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7DF-4617-9F8E-BA05D27518F0}"/>
                </c:ext>
              </c:extLst>
            </c:dLbl>
            <c:dLbl>
              <c:idx val="3"/>
              <c:layout>
                <c:manualLayout>
                  <c:x val="-1.1552975601441392E-2"/>
                  <c:y val="-3.19291338582677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DF-4617-9F8E-BA05D27518F0}"/>
                </c:ext>
              </c:extLst>
            </c:dLbl>
            <c:dLbl>
              <c:idx val="4"/>
              <c:layout>
                <c:manualLayout>
                  <c:x val="-5.5397464974125277E-3"/>
                  <c:y val="-8.119610048744053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5C7-4300-894C-FB9823F99FCE}"/>
                </c:ext>
              </c:extLst>
            </c:dLbl>
            <c:numFmt formatCode="#,##0" sourceLinked="0"/>
            <c:spPr>
              <a:noFill/>
              <a:ln>
                <a:noFill/>
              </a:ln>
              <a:effectLst/>
            </c:spPr>
            <c:txPr>
              <a:bodyPr rot="0" spcFirstLastPara="1" vertOverflow="ellipsis" vert="horz" wrap="square" lIns="0" tIns="0" rIns="0" bIns="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'Chart 1 Enroll by Headcount'!$A$5:$A$9</c:f>
              <c:strCache>
                <c:ptCount val="5"/>
                <c:pt idx="0">
                  <c:v>Fall 2020</c:v>
                </c:pt>
                <c:pt idx="1">
                  <c:v>Fall 2021</c:v>
                </c:pt>
                <c:pt idx="2">
                  <c:v>Fall 2022</c:v>
                </c:pt>
                <c:pt idx="3">
                  <c:v>Fall 2023</c:v>
                </c:pt>
                <c:pt idx="4">
                  <c:v>Fall 2024</c:v>
                </c:pt>
              </c:strCache>
            </c:strRef>
          </c:cat>
          <c:val>
            <c:numRef>
              <c:f>'Chart 1 Enroll by Headcount'!$B$5:$B$9</c:f>
              <c:numCache>
                <c:formatCode>_(* #,##0_);_(* \(#,##0\);_(* "-"??_);_(@_)</c:formatCode>
                <c:ptCount val="5"/>
                <c:pt idx="0">
                  <c:v>3431</c:v>
                </c:pt>
                <c:pt idx="1">
                  <c:v>4028</c:v>
                </c:pt>
                <c:pt idx="2">
                  <c:v>4446</c:v>
                </c:pt>
                <c:pt idx="3">
                  <c:v>4724</c:v>
                </c:pt>
                <c:pt idx="4">
                  <c:v>5293</c:v>
                </c:pt>
              </c:numCache>
            </c:numRef>
          </c:val>
          <c:smooth val="0"/>
          <c:extLst>
            <c:ext xmlns:c16="http://schemas.microsoft.com/office/drawing/2014/chart" uri="{C3380CC4-5D6E-409C-BE32-E72D297353CC}">
              <c16:uniqueId val="{00000003-60F6-484B-918E-960FB891B331}"/>
            </c:ext>
          </c:extLst>
        </c:ser>
        <c:dLbls>
          <c:dLblPos val="t"/>
          <c:showLegendKey val="0"/>
          <c:showVal val="1"/>
          <c:showCatName val="0"/>
          <c:showSerName val="0"/>
          <c:showPercent val="0"/>
          <c:showBubbleSize val="0"/>
        </c:dLbls>
        <c:marker val="1"/>
        <c:smooth val="0"/>
        <c:axId val="1935212159"/>
        <c:axId val="157327727"/>
      </c:lineChart>
      <c:catAx>
        <c:axId val="1935212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157327727"/>
        <c:crosses val="autoZero"/>
        <c:auto val="1"/>
        <c:lblAlgn val="ctr"/>
        <c:lblOffset val="100"/>
        <c:noMultiLvlLbl val="0"/>
      </c:catAx>
      <c:valAx>
        <c:axId val="157327727"/>
        <c:scaling>
          <c:orientation val="minMax"/>
          <c:max val="350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19352121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r>
              <a:rPr lang="en-US" sz="1200" b="1">
                <a:solidFill>
                  <a:schemeClr val="tx1">
                    <a:lumMod val="95000"/>
                    <a:lumOff val="5000"/>
                  </a:schemeClr>
                </a:solidFill>
              </a:rPr>
              <a:t>Chart 9: Noncapital State Appropriation</a:t>
            </a:r>
            <a:r>
              <a:rPr lang="en-US" sz="1200" b="1" baseline="0">
                <a:solidFill>
                  <a:schemeClr val="tx1">
                    <a:lumMod val="95000"/>
                    <a:lumOff val="5000"/>
                  </a:schemeClr>
                </a:solidFill>
              </a:rPr>
              <a:t> and Annual Percentage Change</a:t>
            </a:r>
          </a:p>
          <a:p>
            <a:pPr>
              <a:defRPr sz="1400" b="1" i="0" u="none" strike="noStrike" kern="1200" spc="0" baseline="0">
                <a:solidFill>
                  <a:schemeClr val="tx1">
                    <a:lumMod val="95000"/>
                    <a:lumOff val="5000"/>
                  </a:schemeClr>
                </a:solidFill>
                <a:latin typeface="+mn-lt"/>
                <a:ea typeface="+mn-ea"/>
                <a:cs typeface="+mn-cs"/>
              </a:defRPr>
            </a:pPr>
            <a:r>
              <a:rPr lang="en-US" sz="1100" b="1" baseline="0">
                <a:solidFill>
                  <a:schemeClr val="tx1">
                    <a:lumMod val="95000"/>
                    <a:lumOff val="5000"/>
                  </a:schemeClr>
                </a:solidFill>
              </a:rPr>
              <a:t>(In millions)</a:t>
            </a:r>
            <a:endParaRPr lang="en-US" sz="1100" b="1">
              <a:solidFill>
                <a:schemeClr val="tx1">
                  <a:lumMod val="95000"/>
                  <a:lumOff val="5000"/>
                </a:schemeClr>
              </a:solidFill>
            </a:endParaRPr>
          </a:p>
        </c:rich>
      </c:tx>
      <c:layout>
        <c:manualLayout>
          <c:xMode val="edge"/>
          <c:yMode val="edge"/>
          <c:x val="0.13208333333333333"/>
          <c:y val="9.2592592592592587E-3"/>
        </c:manualLayout>
      </c:layout>
      <c:overlay val="0"/>
      <c:spPr>
        <a:noFill/>
        <a:ln>
          <a:noFill/>
        </a:ln>
        <a:effectLst/>
      </c:spPr>
    </c:title>
    <c:autoTitleDeleted val="0"/>
    <c:plotArea>
      <c:layout/>
      <c:barChart>
        <c:barDir val="col"/>
        <c:grouping val="clustered"/>
        <c:varyColors val="0"/>
        <c:ser>
          <c:idx val="0"/>
          <c:order val="0"/>
          <c:spPr>
            <a:solidFill>
              <a:srgbClr val="00688D"/>
            </a:solidFill>
            <a:ln>
              <a:noFill/>
            </a:ln>
            <a:effectLst/>
            <a:scene3d>
              <a:camera prst="orthographicFront"/>
              <a:lightRig rig="threePt" dir="t"/>
            </a:scene3d>
            <a:sp3d>
              <a:bevelT h="50800"/>
            </a:sp3d>
          </c:spPr>
          <c:invertIfNegative val="0"/>
          <c:dLbls>
            <c:dLbl>
              <c:idx val="0"/>
              <c:tx>
                <c:rich>
                  <a:bodyPr/>
                  <a:lstStyle/>
                  <a:p>
                    <a:fld id="{CB39097E-21ED-4FFF-9F33-575A639C47AC}" type="VALUE">
                      <a:rPr lang="en-US"/>
                      <a:pPr/>
                      <a:t>[VALUE]</a:t>
                    </a:fld>
                    <a:r>
                      <a:rPr lang="en-US"/>
                      <a:t> </a:t>
                    </a:r>
                  </a:p>
                  <a:p>
                    <a:r>
                      <a:rPr lang="en-US"/>
                      <a:t>Change: (0.9)%</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4D4C-4BFE-BD57-0395C994F735}"/>
                </c:ext>
              </c:extLst>
            </c:dLbl>
            <c:dLbl>
              <c:idx val="1"/>
              <c:tx>
                <c:rich>
                  <a:bodyPr/>
                  <a:lstStyle/>
                  <a:p>
                    <a:fld id="{28EA1716-4905-47E0-AB3C-5BCDE6C72FD2}" type="VALUE">
                      <a:rPr lang="en-US"/>
                      <a:pPr/>
                      <a:t>[VALUE]</a:t>
                    </a:fld>
                    <a:r>
                      <a:rPr lang="en-US"/>
                      <a:t> </a:t>
                    </a:r>
                  </a:p>
                  <a:p>
                    <a:r>
                      <a:rPr lang="en-US"/>
                      <a:t>Change:</a:t>
                    </a:r>
                    <a:r>
                      <a:rPr lang="en-US" baseline="0"/>
                      <a:t> 5.0%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D4C-4BFE-BD57-0395C994F735}"/>
                </c:ext>
              </c:extLst>
            </c:dLbl>
            <c:dLbl>
              <c:idx val="2"/>
              <c:tx>
                <c:rich>
                  <a:bodyPr/>
                  <a:lstStyle/>
                  <a:p>
                    <a:fld id="{C69C5B44-D5B1-481C-8767-39CD6FAA510F}" type="VALUE">
                      <a:rPr lang="en-US"/>
                      <a:pPr/>
                      <a:t>[VALUE]</a:t>
                    </a:fld>
                    <a:r>
                      <a:rPr lang="en-US"/>
                      <a:t> </a:t>
                    </a:r>
                  </a:p>
                  <a:p>
                    <a:r>
                      <a:rPr lang="en-US"/>
                      <a:t>Change 8.3%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4D4C-4BFE-BD57-0395C994F735}"/>
                </c:ext>
              </c:extLst>
            </c:dLbl>
            <c:dLbl>
              <c:idx val="3"/>
              <c:tx>
                <c:rich>
                  <a:bodyPr/>
                  <a:lstStyle/>
                  <a:p>
                    <a:fld id="{78C9CB1C-826D-4AC7-8B16-CD438DF91128}" type="VALUE">
                      <a:rPr lang="en-US"/>
                      <a:pPr/>
                      <a:t>[VALUE]</a:t>
                    </a:fld>
                    <a:r>
                      <a:rPr lang="en-US"/>
                      <a:t> </a:t>
                    </a:r>
                  </a:p>
                  <a:p>
                    <a:r>
                      <a:rPr lang="en-US"/>
                      <a:t>Change: 5.2%</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D4C-4BFE-BD57-0395C994F735}"/>
                </c:ext>
              </c:extLst>
            </c:dLbl>
            <c:dLbl>
              <c:idx val="4"/>
              <c:tx>
                <c:rich>
                  <a:bodyPr/>
                  <a:lstStyle/>
                  <a:p>
                    <a:fld id="{B1DE2D50-34EC-4ED9-B161-A94B7E82DAF4}" type="VALUE">
                      <a:rPr lang="en-US"/>
                      <a:pPr/>
                      <a:t>[VALUE]</a:t>
                    </a:fld>
                    <a:r>
                      <a:rPr lang="en-US"/>
                      <a:t> </a:t>
                    </a:r>
                  </a:p>
                  <a:p>
                    <a:r>
                      <a:rPr lang="en-US"/>
                      <a:t>Change:</a:t>
                    </a:r>
                    <a:r>
                      <a:rPr lang="en-US" baseline="0"/>
                      <a:t> 3.4%</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4D4C-4BFE-BD57-0395C994F735}"/>
                </c:ext>
              </c:extLst>
            </c:dLbl>
            <c:spPr>
              <a:noFill/>
              <a:ln>
                <a:noFill/>
              </a:ln>
              <a:effectLst/>
            </c:spPr>
            <c:txPr>
              <a:bodyPr wrap="square" lIns="0" tIns="0" rIns="0" bIns="0" anchor="ctr">
                <a:spAutoFit/>
              </a:bodyPr>
              <a:lstStyle/>
              <a:p>
                <a:pPr>
                  <a:defRPr sz="800" b="0" i="0" baseline="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'Chart 10'!$A$10:$A$14</c:f>
              <c:strCache>
                <c:ptCount val="5"/>
                <c:pt idx="0">
                  <c:v>FY21</c:v>
                </c:pt>
                <c:pt idx="1">
                  <c:v>FY22</c:v>
                </c:pt>
                <c:pt idx="2">
                  <c:v>FY23</c:v>
                </c:pt>
                <c:pt idx="3">
                  <c:v>FY24</c:v>
                </c:pt>
                <c:pt idx="4">
                  <c:v>FY25</c:v>
                </c:pt>
              </c:strCache>
            </c:strRef>
          </c:cat>
          <c:val>
            <c:numRef>
              <c:f>'Chart 10'!$D$10:$D$14</c:f>
              <c:numCache>
                <c:formatCode>"$"#,##0</c:formatCode>
                <c:ptCount val="5"/>
                <c:pt idx="0">
                  <c:v>218</c:v>
                </c:pt>
                <c:pt idx="1">
                  <c:v>229</c:v>
                </c:pt>
                <c:pt idx="2">
                  <c:v>248</c:v>
                </c:pt>
                <c:pt idx="3">
                  <c:v>261</c:v>
                </c:pt>
                <c:pt idx="4">
                  <c:v>270</c:v>
                </c:pt>
              </c:numCache>
            </c:numRef>
          </c:val>
          <c:extLst>
            <c:ext xmlns:c16="http://schemas.microsoft.com/office/drawing/2014/chart" uri="{C3380CC4-5D6E-409C-BE32-E72D297353CC}">
              <c16:uniqueId val="{00000005-4D4C-4BFE-BD57-0395C994F735}"/>
            </c:ext>
          </c:extLst>
        </c:ser>
        <c:dLbls>
          <c:dLblPos val="outEnd"/>
          <c:showLegendKey val="0"/>
          <c:showVal val="1"/>
          <c:showCatName val="0"/>
          <c:showSerName val="0"/>
          <c:showPercent val="0"/>
          <c:showBubbleSize val="0"/>
        </c:dLbls>
        <c:gapWidth val="219"/>
        <c:overlap val="-27"/>
        <c:axId val="1109976976"/>
        <c:axId val="1109976560"/>
        <c:extLst>
          <c:ext xmlns:c15="http://schemas.microsoft.com/office/drawing/2012/chart" uri="{02D57815-91ED-43cb-92C2-25804820EDAC}">
            <c15:filteredBarSeries>
              <c15:ser>
                <c:idx val="1"/>
                <c:order val="1"/>
                <c:spPr>
                  <a:solidFill>
                    <a:schemeClr val="accent2"/>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'Chart 10'!$A$10:$A$14</c15:sqref>
                        </c15:formulaRef>
                      </c:ext>
                    </c:extLst>
                    <c:strCache>
                      <c:ptCount val="5"/>
                      <c:pt idx="0">
                        <c:v>FY21</c:v>
                      </c:pt>
                      <c:pt idx="1">
                        <c:v>FY22</c:v>
                      </c:pt>
                      <c:pt idx="2">
                        <c:v>FY23</c:v>
                      </c:pt>
                      <c:pt idx="3">
                        <c:v>FY24</c:v>
                      </c:pt>
                      <c:pt idx="4">
                        <c:v>FY25</c:v>
                      </c:pt>
                    </c:strCache>
                  </c:strRef>
                </c:cat>
                <c:val>
                  <c:numRef>
                    <c:extLst>
                      <c:ext uri="{02D57815-91ED-43cb-92C2-25804820EDAC}">
                        <c15:formulaRef>
                          <c15:sqref>'Chart 10'!$E$10:$E$14</c15:sqref>
                        </c15:formulaRef>
                      </c:ext>
                    </c:extLst>
                    <c:numCache>
                      <c:formatCode>0.0%_);\(0.0%\)</c:formatCode>
                      <c:ptCount val="5"/>
                      <c:pt idx="0">
                        <c:v>-9.0909090909090905E-3</c:v>
                      </c:pt>
                      <c:pt idx="1">
                        <c:v>5.0458715596330278E-2</c:v>
                      </c:pt>
                      <c:pt idx="2">
                        <c:v>8.296943231441048E-2</c:v>
                      </c:pt>
                      <c:pt idx="3">
                        <c:v>5.2419354838709679E-2</c:v>
                      </c:pt>
                      <c:pt idx="4">
                        <c:v>3.4482758620689655E-2</c:v>
                      </c:pt>
                    </c:numCache>
                  </c:numRef>
                </c:val>
                <c:extLst>
                  <c:ext xmlns:c16="http://schemas.microsoft.com/office/drawing/2014/chart" uri="{C3380CC4-5D6E-409C-BE32-E72D297353CC}">
                    <c16:uniqueId val="{00000006-4D4C-4BFE-BD57-0395C994F735}"/>
                  </c:ext>
                </c:extLst>
              </c15:ser>
            </c15:filteredBarSeries>
          </c:ext>
        </c:extLst>
      </c:barChart>
      <c:catAx>
        <c:axId val="1109976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109976560"/>
        <c:crosses val="autoZero"/>
        <c:auto val="1"/>
        <c:lblAlgn val="ctr"/>
        <c:lblOffset val="100"/>
        <c:noMultiLvlLbl val="0"/>
      </c:catAx>
      <c:valAx>
        <c:axId val="1109976560"/>
        <c:scaling>
          <c:orientation val="minMax"/>
          <c:min val="190"/>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109976976"/>
        <c:crosses val="autoZero"/>
        <c:crossBetween val="between"/>
        <c:majorUnit val="10"/>
      </c:valAx>
      <c:spPr>
        <a:noFill/>
        <a:ln>
          <a:noFill/>
        </a:ln>
        <a:effectLst/>
      </c:spPr>
    </c:plotArea>
    <c:plotVisOnly val="1"/>
    <c:dispBlanksAs val="gap"/>
    <c:showDLblsOverMax val="0"/>
  </c:chart>
  <c:spPr>
    <a:solidFill>
      <a:schemeClr val="bg1"/>
    </a:solidFill>
    <a:ln w="12700" cap="flat" cmpd="sng" algn="ctr">
      <a:no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r>
              <a:rPr lang="en-US" sz="1200" b="1">
                <a:solidFill>
                  <a:schemeClr val="tx1">
                    <a:lumMod val="95000"/>
                    <a:lumOff val="5000"/>
                  </a:schemeClr>
                </a:solidFill>
              </a:rPr>
              <a:t>Chart 10: Gifts by Donor Type
</a:t>
            </a:r>
            <a:r>
              <a:rPr lang="en-US" sz="1100" b="1">
                <a:solidFill>
                  <a:schemeClr val="tx1">
                    <a:lumMod val="95000"/>
                    <a:lumOff val="5000"/>
                  </a:schemeClr>
                </a:solidFill>
              </a:rPr>
              <a:t>(In millions)</a:t>
            </a:r>
          </a:p>
        </c:rich>
      </c:tx>
      <c:layout>
        <c:manualLayout>
          <c:xMode val="edge"/>
          <c:yMode val="edge"/>
          <c:x val="0.29378455818022747"/>
          <c:y val="0"/>
        </c:manualLayout>
      </c:layout>
      <c:overlay val="0"/>
      <c:spPr>
        <a:noFill/>
        <a:ln>
          <a:noFill/>
        </a:ln>
        <a:effectLst/>
      </c:spPr>
    </c:title>
    <c:autoTitleDeleted val="0"/>
    <c:plotArea>
      <c:layout/>
      <c:barChart>
        <c:barDir val="col"/>
        <c:grouping val="clustered"/>
        <c:varyColors val="0"/>
        <c:ser>
          <c:idx val="0"/>
          <c:order val="0"/>
          <c:tx>
            <c:strRef>
              <c:f>'Chart 10'!$B$1</c:f>
              <c:strCache>
                <c:ptCount val="1"/>
                <c:pt idx="0">
                  <c:v>University Foundations</c:v>
                </c:pt>
              </c:strCache>
            </c:strRef>
          </c:tx>
          <c:spPr>
            <a:solidFill>
              <a:srgbClr val="00688D"/>
            </a:solidFill>
            <a:ln>
              <a:noFill/>
            </a:ln>
            <a:effectLst/>
            <a:scene3d>
              <a:camera prst="orthographicFront"/>
              <a:lightRig rig="threePt" dir="t"/>
            </a:scene3d>
            <a:sp3d>
              <a:bevelT h="50800"/>
            </a:sp3d>
          </c:spPr>
          <c:invertIfNegative val="0"/>
          <c:cat>
            <c:strRef>
              <c:f>'Chart 10'!$A$2:$A$6</c:f>
              <c:strCache>
                <c:ptCount val="5"/>
                <c:pt idx="0">
                  <c:v>FY21</c:v>
                </c:pt>
                <c:pt idx="1">
                  <c:v>FY22</c:v>
                </c:pt>
                <c:pt idx="2">
                  <c:v>FY23</c:v>
                </c:pt>
                <c:pt idx="3">
                  <c:v>FY24</c:v>
                </c:pt>
                <c:pt idx="4">
                  <c:v>FY25</c:v>
                </c:pt>
              </c:strCache>
            </c:strRef>
          </c:cat>
          <c:val>
            <c:numRef>
              <c:f>'Chart 10'!$B$2:$B$6</c:f>
              <c:numCache>
                <c:formatCode>"$"#,##0_);[Red]\("$"#,##0\)</c:formatCode>
                <c:ptCount val="5"/>
                <c:pt idx="0">
                  <c:v>15</c:v>
                </c:pt>
                <c:pt idx="1">
                  <c:v>38</c:v>
                </c:pt>
                <c:pt idx="2">
                  <c:v>22</c:v>
                </c:pt>
                <c:pt idx="3">
                  <c:v>38</c:v>
                </c:pt>
                <c:pt idx="4">
                  <c:v>32</c:v>
                </c:pt>
              </c:numCache>
            </c:numRef>
          </c:val>
          <c:extLst>
            <c:ext xmlns:c16="http://schemas.microsoft.com/office/drawing/2014/chart" uri="{C3380CC4-5D6E-409C-BE32-E72D297353CC}">
              <c16:uniqueId val="{00000000-49BA-4715-BD59-E9B82BA40434}"/>
            </c:ext>
          </c:extLst>
        </c:ser>
        <c:ser>
          <c:idx val="1"/>
          <c:order val="1"/>
          <c:tx>
            <c:strRef>
              <c:f>'Chart 10'!$C$1</c:f>
              <c:strCache>
                <c:ptCount val="1"/>
                <c:pt idx="0">
                  <c:v>Corporations</c:v>
                </c:pt>
              </c:strCache>
            </c:strRef>
          </c:tx>
          <c:spPr>
            <a:solidFill>
              <a:srgbClr val="F6A800"/>
            </a:solidFill>
            <a:ln>
              <a:noFill/>
            </a:ln>
            <a:effectLst/>
            <a:scene3d>
              <a:camera prst="orthographicFront"/>
              <a:lightRig rig="threePt" dir="t"/>
            </a:scene3d>
            <a:sp3d>
              <a:bevelT h="50800"/>
            </a:sp3d>
          </c:spPr>
          <c:invertIfNegative val="0"/>
          <c:cat>
            <c:strRef>
              <c:f>'Chart 10'!$A$2:$A$6</c:f>
              <c:strCache>
                <c:ptCount val="5"/>
                <c:pt idx="0">
                  <c:v>FY21</c:v>
                </c:pt>
                <c:pt idx="1">
                  <c:v>FY22</c:v>
                </c:pt>
                <c:pt idx="2">
                  <c:v>FY23</c:v>
                </c:pt>
                <c:pt idx="3">
                  <c:v>FY24</c:v>
                </c:pt>
                <c:pt idx="4">
                  <c:v>FY25</c:v>
                </c:pt>
              </c:strCache>
            </c:strRef>
          </c:cat>
          <c:val>
            <c:numRef>
              <c:f>'Chart 10'!$C$2:$C$6</c:f>
              <c:numCache>
                <c:formatCode>"$"#,##0_);[Red]\("$"#,##0\)</c:formatCode>
                <c:ptCount val="5"/>
                <c:pt idx="0">
                  <c:v>2</c:v>
                </c:pt>
                <c:pt idx="1">
                  <c:v>2</c:v>
                </c:pt>
                <c:pt idx="2">
                  <c:v>2</c:v>
                </c:pt>
                <c:pt idx="3">
                  <c:v>1</c:v>
                </c:pt>
                <c:pt idx="4">
                  <c:v>0</c:v>
                </c:pt>
              </c:numCache>
            </c:numRef>
          </c:val>
          <c:extLst>
            <c:ext xmlns:c16="http://schemas.microsoft.com/office/drawing/2014/chart" uri="{C3380CC4-5D6E-409C-BE32-E72D297353CC}">
              <c16:uniqueId val="{00000001-49BA-4715-BD59-E9B82BA40434}"/>
            </c:ext>
          </c:extLst>
        </c:ser>
        <c:ser>
          <c:idx val="2"/>
          <c:order val="2"/>
          <c:tx>
            <c:strRef>
              <c:f>'Chart 10'!$D$1</c:f>
              <c:strCache>
                <c:ptCount val="1"/>
                <c:pt idx="0">
                  <c:v>Non-Profits</c:v>
                </c:pt>
              </c:strCache>
            </c:strRef>
          </c:tx>
          <c:spPr>
            <a:solidFill>
              <a:srgbClr val="791134"/>
            </a:solidFill>
            <a:ln>
              <a:noFill/>
            </a:ln>
            <a:effectLst/>
            <a:scene3d>
              <a:camera prst="orthographicFront"/>
              <a:lightRig rig="threePt" dir="t"/>
            </a:scene3d>
            <a:sp3d>
              <a:bevelT h="50800"/>
            </a:sp3d>
          </c:spPr>
          <c:invertIfNegative val="0"/>
          <c:cat>
            <c:strRef>
              <c:f>'Chart 10'!$A$2:$A$6</c:f>
              <c:strCache>
                <c:ptCount val="5"/>
                <c:pt idx="0">
                  <c:v>FY21</c:v>
                </c:pt>
                <c:pt idx="1">
                  <c:v>FY22</c:v>
                </c:pt>
                <c:pt idx="2">
                  <c:v>FY23</c:v>
                </c:pt>
                <c:pt idx="3">
                  <c:v>FY24</c:v>
                </c:pt>
                <c:pt idx="4">
                  <c:v>FY25</c:v>
                </c:pt>
              </c:strCache>
            </c:strRef>
          </c:cat>
          <c:val>
            <c:numRef>
              <c:f>'Chart 10'!$D$2:$D$6</c:f>
              <c:numCache>
                <c:formatCode>"$"#,##0_);[Red]\("$"#,##0\)</c:formatCode>
                <c:ptCount val="5"/>
                <c:pt idx="0">
                  <c:v>4</c:v>
                </c:pt>
                <c:pt idx="1">
                  <c:v>3</c:v>
                </c:pt>
                <c:pt idx="2">
                  <c:v>5</c:v>
                </c:pt>
                <c:pt idx="3">
                  <c:v>3.6</c:v>
                </c:pt>
                <c:pt idx="4">
                  <c:v>3</c:v>
                </c:pt>
              </c:numCache>
            </c:numRef>
          </c:val>
          <c:extLst>
            <c:ext xmlns:c16="http://schemas.microsoft.com/office/drawing/2014/chart" uri="{C3380CC4-5D6E-409C-BE32-E72D297353CC}">
              <c16:uniqueId val="{00000002-49BA-4715-BD59-E9B82BA40434}"/>
            </c:ext>
          </c:extLst>
        </c:ser>
        <c:ser>
          <c:idx val="3"/>
          <c:order val="3"/>
          <c:tx>
            <c:strRef>
              <c:f>'Chart 10'!$E$1</c:f>
              <c:strCache>
                <c:ptCount val="1"/>
                <c:pt idx="0">
                  <c:v>Alumni</c:v>
                </c:pt>
              </c:strCache>
            </c:strRef>
          </c:tx>
          <c:spPr>
            <a:solidFill>
              <a:srgbClr val="919494"/>
            </a:solidFill>
            <a:ln>
              <a:noFill/>
            </a:ln>
            <a:effectLst/>
            <a:scene3d>
              <a:camera prst="orthographicFront"/>
              <a:lightRig rig="threePt" dir="t"/>
            </a:scene3d>
            <a:sp3d>
              <a:bevelT h="50800"/>
            </a:sp3d>
          </c:spPr>
          <c:invertIfNegative val="0"/>
          <c:cat>
            <c:strRef>
              <c:f>'Chart 10'!$A$2:$A$6</c:f>
              <c:strCache>
                <c:ptCount val="5"/>
                <c:pt idx="0">
                  <c:v>FY21</c:v>
                </c:pt>
                <c:pt idx="1">
                  <c:v>FY22</c:v>
                </c:pt>
                <c:pt idx="2">
                  <c:v>FY23</c:v>
                </c:pt>
                <c:pt idx="3">
                  <c:v>FY24</c:v>
                </c:pt>
                <c:pt idx="4">
                  <c:v>FY25</c:v>
                </c:pt>
              </c:strCache>
            </c:strRef>
          </c:cat>
          <c:val>
            <c:numRef>
              <c:f>'Chart 10'!$E$2:$E$6</c:f>
              <c:numCache>
                <c:formatCode>"$"#,##0_);[Red]\("$"#,##0\)</c:formatCode>
                <c:ptCount val="5"/>
                <c:pt idx="0">
                  <c:v>2</c:v>
                </c:pt>
                <c:pt idx="1">
                  <c:v>2</c:v>
                </c:pt>
                <c:pt idx="2">
                  <c:v>0</c:v>
                </c:pt>
                <c:pt idx="3">
                  <c:v>0.3</c:v>
                </c:pt>
                <c:pt idx="4">
                  <c:v>0</c:v>
                </c:pt>
              </c:numCache>
            </c:numRef>
          </c:val>
          <c:extLst>
            <c:ext xmlns:c16="http://schemas.microsoft.com/office/drawing/2014/chart" uri="{C3380CC4-5D6E-409C-BE32-E72D297353CC}">
              <c16:uniqueId val="{00000003-49BA-4715-BD59-E9B82BA40434}"/>
            </c:ext>
          </c:extLst>
        </c:ser>
        <c:ser>
          <c:idx val="4"/>
          <c:order val="4"/>
          <c:tx>
            <c:strRef>
              <c:f>'Chart 10'!$F$1</c:f>
              <c:strCache>
                <c:ptCount val="1"/>
                <c:pt idx="0">
                  <c:v>Other</c:v>
                </c:pt>
              </c:strCache>
            </c:strRef>
          </c:tx>
          <c:spPr>
            <a:solidFill>
              <a:srgbClr val="05543F"/>
            </a:solidFill>
            <a:ln>
              <a:noFill/>
            </a:ln>
            <a:effectLst/>
            <a:scene3d>
              <a:camera prst="orthographicFront"/>
              <a:lightRig rig="threePt" dir="t"/>
            </a:scene3d>
            <a:sp3d>
              <a:bevelT h="50800"/>
            </a:sp3d>
          </c:spPr>
          <c:invertIfNegative val="0"/>
          <c:cat>
            <c:strRef>
              <c:f>'Chart 10'!$A$2:$A$6</c:f>
              <c:strCache>
                <c:ptCount val="5"/>
                <c:pt idx="0">
                  <c:v>FY21</c:v>
                </c:pt>
                <c:pt idx="1">
                  <c:v>FY22</c:v>
                </c:pt>
                <c:pt idx="2">
                  <c:v>FY23</c:v>
                </c:pt>
                <c:pt idx="3">
                  <c:v>FY24</c:v>
                </c:pt>
                <c:pt idx="4">
                  <c:v>FY25</c:v>
                </c:pt>
              </c:strCache>
            </c:strRef>
          </c:cat>
          <c:val>
            <c:numRef>
              <c:f>'Chart 10'!$F$2:$F$6</c:f>
              <c:numCache>
                <c:formatCode>"$"#,##0_);[Red]\("$"#,##0\)</c:formatCode>
                <c:ptCount val="5"/>
                <c:pt idx="0">
                  <c:v>3</c:v>
                </c:pt>
                <c:pt idx="1">
                  <c:v>2</c:v>
                </c:pt>
                <c:pt idx="2">
                  <c:v>6</c:v>
                </c:pt>
                <c:pt idx="3">
                  <c:v>1.7</c:v>
                </c:pt>
                <c:pt idx="4">
                  <c:v>1</c:v>
                </c:pt>
              </c:numCache>
            </c:numRef>
          </c:val>
          <c:extLst>
            <c:ext xmlns:c16="http://schemas.microsoft.com/office/drawing/2014/chart" uri="{C3380CC4-5D6E-409C-BE32-E72D297353CC}">
              <c16:uniqueId val="{00000004-49BA-4715-BD59-E9B82BA40434}"/>
            </c:ext>
          </c:extLst>
        </c:ser>
        <c:dLbls>
          <c:showLegendKey val="0"/>
          <c:showVal val="0"/>
          <c:showCatName val="0"/>
          <c:showSerName val="0"/>
          <c:showPercent val="0"/>
          <c:showBubbleSize val="0"/>
        </c:dLbls>
        <c:gapWidth val="219"/>
        <c:axId val="1238056320"/>
        <c:axId val="1238056736"/>
      </c:barChart>
      <c:barChart>
        <c:barDir val="col"/>
        <c:grouping val="clustered"/>
        <c:varyColors val="0"/>
        <c:ser>
          <c:idx val="5"/>
          <c:order val="5"/>
          <c:tx>
            <c:strRef>
              <c:f>'Chart 10'!$G$1</c:f>
              <c:strCache>
                <c:ptCount val="1"/>
                <c:pt idx="0">
                  <c:v>Total</c:v>
                </c:pt>
              </c:strCache>
            </c:strRef>
          </c:tx>
          <c:spPr>
            <a:solidFill>
              <a:srgbClr val="8CB8DC">
                <a:alpha val="25000"/>
              </a:srgbClr>
            </a:solidFill>
            <a:ln>
              <a:solidFill>
                <a:srgbClr val="8CB8DC">
                  <a:alpha val="50000"/>
                </a:srgbClr>
              </a:solidFill>
            </a:ln>
            <a:scene3d>
              <a:camera prst="orthographicFront"/>
              <a:lightRig rig="threePt" dir="t"/>
            </a:scene3d>
            <a:sp3d>
              <a:bevelT h="50800"/>
            </a:sp3d>
          </c:spPr>
          <c:invertIfNegative val="0"/>
          <c:dLbls>
            <c:spPr>
              <a:noFill/>
              <a:ln>
                <a:noFill/>
              </a:ln>
              <a:effectLst/>
            </c:spPr>
            <c:txPr>
              <a:bodyPr wrap="square" lIns="0" tIns="0" rIns="0" bIns="0" anchor="ctr">
                <a:spAutoFit/>
              </a:bodyPr>
              <a:lstStyle/>
              <a:p>
                <a:pPr>
                  <a:defRPr sz="900" b="1">
                    <a:solidFill>
                      <a:schemeClr val="tx1">
                        <a:lumMod val="95000"/>
                        <a:lumOff val="5000"/>
                      </a:schemeClr>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'Chart 10'!$A$2:$A$6</c:f>
              <c:strCache>
                <c:ptCount val="5"/>
                <c:pt idx="0">
                  <c:v>FY21</c:v>
                </c:pt>
                <c:pt idx="1">
                  <c:v>FY22</c:v>
                </c:pt>
                <c:pt idx="2">
                  <c:v>FY23</c:v>
                </c:pt>
                <c:pt idx="3">
                  <c:v>FY24</c:v>
                </c:pt>
                <c:pt idx="4">
                  <c:v>FY25</c:v>
                </c:pt>
              </c:strCache>
            </c:strRef>
          </c:cat>
          <c:val>
            <c:numRef>
              <c:f>'Chart 10'!$G$2:$G$6</c:f>
              <c:numCache>
                <c:formatCode>"$"#,##0_);[Red]\("$"#,##0\)</c:formatCode>
                <c:ptCount val="5"/>
                <c:pt idx="0">
                  <c:v>26</c:v>
                </c:pt>
                <c:pt idx="1">
                  <c:v>47</c:v>
                </c:pt>
                <c:pt idx="2">
                  <c:v>35</c:v>
                </c:pt>
                <c:pt idx="3">
                  <c:v>44.6</c:v>
                </c:pt>
                <c:pt idx="4">
                  <c:v>36</c:v>
                </c:pt>
              </c:numCache>
            </c:numRef>
          </c:val>
          <c:extLst>
            <c:ext xmlns:c16="http://schemas.microsoft.com/office/drawing/2014/chart" uri="{C3380CC4-5D6E-409C-BE32-E72D297353CC}">
              <c16:uniqueId val="{00000005-49BA-4715-BD59-E9B82BA40434}"/>
            </c:ext>
          </c:extLst>
        </c:ser>
        <c:dLbls>
          <c:showLegendKey val="0"/>
          <c:showVal val="0"/>
          <c:showCatName val="0"/>
          <c:showSerName val="0"/>
          <c:showPercent val="0"/>
          <c:showBubbleSize val="0"/>
        </c:dLbls>
        <c:gapWidth val="44"/>
        <c:axId val="831240768"/>
        <c:axId val="1267723936"/>
      </c:barChart>
      <c:catAx>
        <c:axId val="1238056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238056736"/>
        <c:crosses val="autoZero"/>
        <c:auto val="1"/>
        <c:lblAlgn val="ctr"/>
        <c:lblOffset val="100"/>
        <c:noMultiLvlLbl val="0"/>
      </c:catAx>
      <c:valAx>
        <c:axId val="1238056736"/>
        <c:scaling>
          <c:orientation val="minMax"/>
          <c:max val="50"/>
          <c:min val="0"/>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238056320"/>
        <c:crosses val="autoZero"/>
        <c:crossBetween val="between"/>
      </c:valAx>
      <c:valAx>
        <c:axId val="1267723936"/>
        <c:scaling>
          <c:orientation val="minMax"/>
        </c:scaling>
        <c:delete val="1"/>
        <c:axPos val="r"/>
        <c:numFmt formatCode="&quot;$&quot;#,##0_);[Red]\(&quot;$&quot;#,##0\)" sourceLinked="1"/>
        <c:majorTickMark val="out"/>
        <c:minorTickMark val="none"/>
        <c:tickLblPos val="nextTo"/>
        <c:crossAx val="831240768"/>
        <c:crosses val="max"/>
        <c:crossBetween val="between"/>
      </c:valAx>
      <c:catAx>
        <c:axId val="831240768"/>
        <c:scaling>
          <c:orientation val="minMax"/>
        </c:scaling>
        <c:delete val="1"/>
        <c:axPos val="b"/>
        <c:numFmt formatCode="General" sourceLinked="1"/>
        <c:majorTickMark val="out"/>
        <c:minorTickMark val="none"/>
        <c:tickLblPos val="nextTo"/>
        <c:crossAx val="12677239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US" b="1">
                <a:solidFill>
                  <a:schemeClr val="tx1"/>
                </a:solidFill>
              </a:rPr>
              <a:t>Chart 2: Student FTE Enrollment</a:t>
            </a:r>
          </a:p>
          <a:p>
            <a:pPr>
              <a:defRPr sz="1400" b="1" i="0" u="none" strike="noStrike" kern="1200" spc="0" baseline="0">
                <a:solidFill>
                  <a:schemeClr val="tx1"/>
                </a:solidFill>
                <a:latin typeface="+mn-lt"/>
                <a:ea typeface="+mn-ea"/>
                <a:cs typeface="+mn-cs"/>
              </a:defRPr>
            </a:pPr>
            <a:endParaRPr lang="en-US" sz="1000" b="1">
              <a:solidFill>
                <a:schemeClr val="tx1"/>
              </a:solidFill>
            </a:endParaRPr>
          </a:p>
        </c:rich>
      </c:tx>
      <c:overlay val="0"/>
      <c:spPr>
        <a:noFill/>
        <a:ln>
          <a:noFill/>
        </a:ln>
        <a:effectLst/>
      </c:spPr>
    </c:title>
    <c:autoTitleDeleted val="0"/>
    <c:plotArea>
      <c:layout/>
      <c:lineChart>
        <c:grouping val="standard"/>
        <c:varyColors val="0"/>
        <c:ser>
          <c:idx val="0"/>
          <c:order val="0"/>
          <c:tx>
            <c:strRef>
              <c:f>'Chart 2 FTE Enrollment'!$B$3:$B$4</c:f>
              <c:strCache>
                <c:ptCount val="2"/>
                <c:pt idx="1">
                  <c:v> Total </c:v>
                </c:pt>
              </c:strCache>
            </c:strRef>
          </c:tx>
          <c:spPr>
            <a:ln w="28575" cap="rnd">
              <a:solidFill>
                <a:srgbClr val="00688D"/>
              </a:solidFill>
              <a:round/>
            </a:ln>
            <a:effectLst/>
          </c:spPr>
          <c:marker>
            <c:symbol val="diamond"/>
            <c:size val="5"/>
            <c:spPr>
              <a:scene3d>
                <a:camera prst="orthographicFront"/>
                <a:lightRig rig="threePt" dir="t"/>
              </a:scene3d>
              <a:sp3d>
                <a:bevelT h="50800"/>
                <a:bevelB/>
              </a:sp3d>
            </c:spPr>
          </c:marker>
          <c:dLbls>
            <c:dLbl>
              <c:idx val="1"/>
              <c:layout>
                <c:manualLayout>
                  <c:x val="-4.6923569182827453E-2"/>
                  <c:y val="-6.5764580014008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550-4884-9348-80E8880A436B}"/>
                </c:ext>
              </c:extLst>
            </c:dLbl>
            <c:dLbl>
              <c:idx val="2"/>
              <c:layout>
                <c:manualLayout>
                  <c:x val="-4.2833161755840593E-2"/>
                  <c:y val="-4.31911700187036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50-4884-9348-80E8880A436B}"/>
                </c:ext>
              </c:extLst>
            </c:dLbl>
            <c:dLbl>
              <c:idx val="3"/>
              <c:layout>
                <c:manualLayout>
                  <c:x val="-5.8357558438354475E-2"/>
                  <c:y val="-4.0632108486439229E-2"/>
                </c:manualLayout>
              </c:layout>
              <c:numFmt formatCode="#,##0" sourceLinked="0"/>
              <c:spPr>
                <a:noFill/>
                <a:ln>
                  <a:noFill/>
                </a:ln>
                <a:effectLst/>
              </c:spPr>
              <c:txPr>
                <a:bodyPr rot="0" spcFirstLastPara="1" vertOverflow="ellipsis" vert="horz" wrap="square" lIns="0" tIns="0" rIns="0" bIns="0" anchor="ctr" anchorCtr="1">
                  <a:noAutofit/>
                </a:bodyPr>
                <a:lstStyle/>
                <a:p>
                  <a:pPr>
                    <a:defRPr sz="900" b="1" i="0" u="none" strike="noStrike" kern="1200" baseline="0">
                      <a:solidFill>
                        <a:schemeClr val="tx1"/>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7.5419090890401108E-2"/>
                      <c:h val="3.9403199600049996E-2"/>
                    </c:manualLayout>
                  </c15:layout>
                </c:ext>
                <c:ext xmlns:c16="http://schemas.microsoft.com/office/drawing/2014/chart" uri="{C3380CC4-5D6E-409C-BE32-E72D297353CC}">
                  <c16:uniqueId val="{00000002-3550-4884-9348-80E8880A436B}"/>
                </c:ext>
              </c:extLst>
            </c:dLbl>
            <c:dLbl>
              <c:idx val="4"/>
              <c:layout>
                <c:manualLayout>
                  <c:x val="-1.9276035725216498E-2"/>
                  <c:y val="-5.10113068710985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550-4884-9348-80E8880A436B}"/>
                </c:ext>
              </c:extLst>
            </c:dLbl>
            <c:numFmt formatCode="#,##0" sourceLinked="0"/>
            <c:spPr>
              <a:noFill/>
              <a:ln>
                <a:noFill/>
              </a:ln>
              <a:effectLst/>
            </c:spPr>
            <c:txPr>
              <a:bodyPr rot="0" spcFirstLastPara="1" vertOverflow="ellipsis" vert="horz" wrap="square" lIns="0" tIns="0" rIns="0" bIns="0" anchor="ctr" anchorCtr="1">
                <a:spAutoFit/>
              </a:bodyPr>
              <a:lstStyle/>
              <a:p>
                <a:pPr>
                  <a:defRPr sz="900" b="1"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'Chart 2 FTE Enrollment'!$A$5:$A$9</c:f>
              <c:strCache>
                <c:ptCount val="5"/>
                <c:pt idx="0">
                  <c:v>Fall 2020</c:v>
                </c:pt>
                <c:pt idx="1">
                  <c:v>Fall 2021</c:v>
                </c:pt>
                <c:pt idx="2">
                  <c:v>Fall 2022</c:v>
                </c:pt>
                <c:pt idx="3">
                  <c:v>Fall 2023</c:v>
                </c:pt>
                <c:pt idx="4">
                  <c:v>Fall 2024</c:v>
                </c:pt>
              </c:strCache>
            </c:strRef>
          </c:cat>
          <c:val>
            <c:numRef>
              <c:f>'Chart 2 FTE Enrollment'!$B$5:$B$9</c:f>
              <c:numCache>
                <c:formatCode>_(* #,##0_);_(* \(#,##0\);_(* "-"??_);_(@_)</c:formatCode>
                <c:ptCount val="5"/>
                <c:pt idx="0">
                  <c:v>21613</c:v>
                </c:pt>
                <c:pt idx="1">
                  <c:v>21535.399999999998</c:v>
                </c:pt>
                <c:pt idx="2">
                  <c:v>20429</c:v>
                </c:pt>
                <c:pt idx="3">
                  <c:v>20212</c:v>
                </c:pt>
                <c:pt idx="4">
                  <c:v>21185</c:v>
                </c:pt>
              </c:numCache>
            </c:numRef>
          </c:val>
          <c:smooth val="0"/>
          <c:extLst>
            <c:ext xmlns:c16="http://schemas.microsoft.com/office/drawing/2014/chart" uri="{C3380CC4-5D6E-409C-BE32-E72D297353CC}">
              <c16:uniqueId val="{00000004-3550-4884-9348-80E8880A436B}"/>
            </c:ext>
          </c:extLst>
        </c:ser>
        <c:ser>
          <c:idx val="2"/>
          <c:order val="1"/>
          <c:tx>
            <c:strRef>
              <c:f>'Chart 2 FTE Enrollment'!$D$3:$D$4</c:f>
              <c:strCache>
                <c:ptCount val="2"/>
                <c:pt idx="0">
                  <c:v>Regular Enrollment</c:v>
                </c:pt>
              </c:strCache>
            </c:strRef>
          </c:tx>
          <c:marker>
            <c:symbol val="triangle"/>
            <c:size val="5"/>
            <c:spPr>
              <a:scene3d>
                <a:camera prst="orthographicFront"/>
                <a:lightRig rig="threePt" dir="t"/>
              </a:scene3d>
              <a:sp3d>
                <a:bevelT h="50800"/>
                <a:bevelB/>
              </a:sp3d>
            </c:spPr>
          </c:marker>
          <c:dLbls>
            <c:spPr>
              <a:noFill/>
              <a:ln>
                <a:noFill/>
              </a:ln>
              <a:effectLst/>
            </c:spPr>
            <c:txPr>
              <a:bodyPr wrap="square" lIns="0" tIns="0" rIns="0" bIns="0" anchor="ctr">
                <a:spAutoFit/>
              </a:bodyPr>
              <a:lstStyle/>
              <a:p>
                <a:pPr>
                  <a:defRPr sz="900" b="1"/>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'Chart 2 FTE Enrollment'!$A$5:$A$9</c:f>
              <c:strCache>
                <c:ptCount val="5"/>
                <c:pt idx="0">
                  <c:v>Fall 2020</c:v>
                </c:pt>
                <c:pt idx="1">
                  <c:v>Fall 2021</c:v>
                </c:pt>
                <c:pt idx="2">
                  <c:v>Fall 2022</c:v>
                </c:pt>
                <c:pt idx="3">
                  <c:v>Fall 2023</c:v>
                </c:pt>
                <c:pt idx="4">
                  <c:v>Fall 2024</c:v>
                </c:pt>
              </c:strCache>
            </c:strRef>
          </c:cat>
          <c:val>
            <c:numRef>
              <c:f>'Chart 2 FTE Enrollment'!$D$5:$D$9</c:f>
              <c:numCache>
                <c:formatCode>_(* #,##0_);_(* \(#,##0\);_(* "-"??_);_(@_)</c:formatCode>
                <c:ptCount val="5"/>
                <c:pt idx="0">
                  <c:v>20607</c:v>
                </c:pt>
                <c:pt idx="1">
                  <c:v>20373.3</c:v>
                </c:pt>
                <c:pt idx="2">
                  <c:v>19163.099999999999</c:v>
                </c:pt>
                <c:pt idx="3">
                  <c:v>18862</c:v>
                </c:pt>
                <c:pt idx="4">
                  <c:v>19688</c:v>
                </c:pt>
              </c:numCache>
            </c:numRef>
          </c:val>
          <c:smooth val="0"/>
          <c:extLst>
            <c:ext xmlns:c16="http://schemas.microsoft.com/office/drawing/2014/chart" uri="{C3380CC4-5D6E-409C-BE32-E72D297353CC}">
              <c16:uniqueId val="{00000005-3550-4884-9348-80E8880A436B}"/>
            </c:ext>
          </c:extLst>
        </c:ser>
        <c:ser>
          <c:idx val="1"/>
          <c:order val="2"/>
          <c:tx>
            <c:strRef>
              <c:f>'Chart 2 FTE Enrollment'!$C$3:$C$4</c:f>
              <c:strCache>
                <c:ptCount val="2"/>
                <c:pt idx="0">
                  <c:v>Early College</c:v>
                </c:pt>
              </c:strCache>
            </c:strRef>
          </c:tx>
          <c:marker>
            <c:symbol val="square"/>
            <c:size val="5"/>
            <c:spPr>
              <a:scene3d>
                <a:camera prst="orthographicFront"/>
                <a:lightRig rig="threePt" dir="t"/>
              </a:scene3d>
              <a:sp3d>
                <a:bevelT h="50800"/>
                <a:bevelB/>
              </a:sp3d>
            </c:spPr>
          </c:marker>
          <c:dLbls>
            <c:spPr>
              <a:noFill/>
              <a:ln>
                <a:noFill/>
              </a:ln>
              <a:effectLst/>
            </c:spPr>
            <c:txPr>
              <a:bodyPr wrap="square" lIns="0" tIns="0" rIns="0" bIns="0" anchor="ctr">
                <a:spAutoFit/>
              </a:bodyPr>
              <a:lstStyle/>
              <a:p>
                <a:pPr>
                  <a:defRPr sz="9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'Chart 2 FTE Enrollment'!$A$5:$A$9</c:f>
              <c:strCache>
                <c:ptCount val="5"/>
                <c:pt idx="0">
                  <c:v>Fall 2020</c:v>
                </c:pt>
                <c:pt idx="1">
                  <c:v>Fall 2021</c:v>
                </c:pt>
                <c:pt idx="2">
                  <c:v>Fall 2022</c:v>
                </c:pt>
                <c:pt idx="3">
                  <c:v>Fall 2023</c:v>
                </c:pt>
                <c:pt idx="4">
                  <c:v>Fall 2024</c:v>
                </c:pt>
              </c:strCache>
            </c:strRef>
          </c:cat>
          <c:val>
            <c:numRef>
              <c:f>'Chart 2 FTE Enrollment'!$C$5:$C$9</c:f>
              <c:numCache>
                <c:formatCode>_(* #,##0_);_(* \(#,##0\);_(* "-"??_);_(@_)</c:formatCode>
                <c:ptCount val="5"/>
                <c:pt idx="0">
                  <c:v>1006</c:v>
                </c:pt>
                <c:pt idx="1">
                  <c:v>1162.0999999999999</c:v>
                </c:pt>
                <c:pt idx="2">
                  <c:v>1265.9000000000001</c:v>
                </c:pt>
                <c:pt idx="3">
                  <c:v>1350</c:v>
                </c:pt>
                <c:pt idx="4">
                  <c:v>1497</c:v>
                </c:pt>
              </c:numCache>
            </c:numRef>
          </c:val>
          <c:smooth val="0"/>
          <c:extLst>
            <c:ext xmlns:c16="http://schemas.microsoft.com/office/drawing/2014/chart" uri="{C3380CC4-5D6E-409C-BE32-E72D297353CC}">
              <c16:uniqueId val="{00000006-3550-4884-9348-80E8880A436B}"/>
            </c:ext>
          </c:extLst>
        </c:ser>
        <c:dLbls>
          <c:dLblPos val="t"/>
          <c:showLegendKey val="0"/>
          <c:showVal val="1"/>
          <c:showCatName val="0"/>
          <c:showSerName val="0"/>
          <c:showPercent val="0"/>
          <c:showBubbleSize val="0"/>
        </c:dLbls>
        <c:marker val="1"/>
        <c:smooth val="0"/>
        <c:axId val="1047093920"/>
        <c:axId val="1047093088"/>
      </c:lineChart>
      <c:catAx>
        <c:axId val="104709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047093088"/>
        <c:crosses val="autoZero"/>
        <c:auto val="1"/>
        <c:lblAlgn val="ctr"/>
        <c:lblOffset val="100"/>
        <c:noMultiLvlLbl val="0"/>
      </c:catAx>
      <c:valAx>
        <c:axId val="1047093088"/>
        <c:scaling>
          <c:orientation val="minMax"/>
          <c:max val="250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047093920"/>
        <c:crosses val="autoZero"/>
        <c:crossBetween val="between"/>
        <c:majorUnit val="2500"/>
      </c:valAx>
      <c:spPr>
        <a:noFill/>
        <a:ln>
          <a:noFill/>
        </a:ln>
        <a:effectLst/>
      </c:spPr>
    </c:plotArea>
    <c:legend>
      <c:legendPos val="b"/>
      <c:overlay val="0"/>
      <c:txPr>
        <a:bodyPr/>
        <a:lstStyle/>
        <a:p>
          <a:pPr>
            <a:defRPr sz="900"/>
          </a:pPr>
          <a:endParaRPr lang="en-US"/>
        </a:p>
      </c:txPr>
    </c:legend>
    <c:plotVisOnly val="1"/>
    <c:dispBlanksAs val="gap"/>
    <c:showDLblsOverMax val="0"/>
  </c:chart>
  <c:spPr>
    <a:solidFill>
      <a:schemeClr val="bg1"/>
    </a:solidFill>
    <a:ln w="12700"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t" anchorCtr="1"/>
          <a:lstStyle/>
          <a:p>
            <a:pPr>
              <a:defRPr sz="1400" b="1" i="0" u="none" strike="noStrike" kern="1200" spc="0" baseline="0">
                <a:solidFill>
                  <a:schemeClr val="tx1">
                    <a:lumMod val="95000"/>
                    <a:lumOff val="5000"/>
                  </a:schemeClr>
                </a:solidFill>
                <a:latin typeface="+mn-lt"/>
                <a:ea typeface="+mn-ea"/>
                <a:cs typeface="+mn-cs"/>
              </a:defRPr>
            </a:pPr>
            <a:r>
              <a:rPr lang="en-US" sz="1200" b="1">
                <a:solidFill>
                  <a:schemeClr val="tx1">
                    <a:lumMod val="95000"/>
                    <a:lumOff val="5000"/>
                  </a:schemeClr>
                </a:solidFill>
              </a:rPr>
              <a:t>Chart 3: Fair Value of MIP Investments by Entity
</a:t>
            </a:r>
            <a:r>
              <a:rPr lang="en-US" sz="1100" b="1">
                <a:solidFill>
                  <a:schemeClr val="tx1">
                    <a:lumMod val="95000"/>
                    <a:lumOff val="5000"/>
                  </a:schemeClr>
                </a:solidFill>
              </a:rPr>
              <a:t>(In millions)</a:t>
            </a:r>
          </a:p>
        </c:rich>
      </c:tx>
      <c:layout>
        <c:manualLayout>
          <c:xMode val="edge"/>
          <c:yMode val="edge"/>
          <c:x val="0.21663185331000293"/>
          <c:y val="7.9365079365079361E-3"/>
        </c:manualLayout>
      </c:layout>
      <c:overlay val="0"/>
      <c:spPr>
        <a:noFill/>
        <a:ln>
          <a:noFill/>
        </a:ln>
        <a:effectLst/>
      </c:spPr>
    </c:title>
    <c:autoTitleDeleted val="0"/>
    <c:plotArea>
      <c:layout/>
      <c:barChart>
        <c:barDir val="col"/>
        <c:grouping val="clustered"/>
        <c:varyColors val="0"/>
        <c:ser>
          <c:idx val="0"/>
          <c:order val="0"/>
          <c:tx>
            <c:strRef>
              <c:f>'Report Chart 3 MV of MIP'!$B$3</c:f>
              <c:strCache>
                <c:ptCount val="1"/>
                <c:pt idx="0">
                  <c:v>UMS Endowments</c:v>
                </c:pt>
              </c:strCache>
            </c:strRef>
          </c:tx>
          <c:spPr>
            <a:solidFill>
              <a:srgbClr val="00688D"/>
            </a:solidFill>
            <a:ln>
              <a:noFill/>
            </a:ln>
            <a:effectLst/>
            <a:scene3d>
              <a:camera prst="orthographicFront"/>
              <a:lightRig rig="threePt" dir="t"/>
            </a:scene3d>
            <a:sp3d>
              <a:bevelT h="50800"/>
            </a:sp3d>
          </c:spPr>
          <c:invertIfNegative val="0"/>
          <c:dLbls>
            <c:spPr>
              <a:noFill/>
              <a:ln>
                <a:noFill/>
              </a:ln>
              <a:effectLst/>
            </c:spPr>
            <c:txPr>
              <a:bodyPr rot="0" spcFirstLastPara="1" vertOverflow="ellipsis" vert="horz" wrap="square" lIns="0" tIns="0" rIns="0" bIns="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'Report Chart 3 MV of MIP'!$A$4:$A$6</c:f>
              <c:numCache>
                <c:formatCode>General</c:formatCode>
                <c:ptCount val="3"/>
                <c:pt idx="0">
                  <c:v>2023</c:v>
                </c:pt>
                <c:pt idx="1">
                  <c:v>2024</c:v>
                </c:pt>
                <c:pt idx="2">
                  <c:v>2025</c:v>
                </c:pt>
              </c:numCache>
            </c:numRef>
          </c:cat>
          <c:val>
            <c:numRef>
              <c:f>'Report Chart 3 MV of MIP'!$B$4:$B$6</c:f>
              <c:numCache>
                <c:formatCode>_("$"* #,##0_);_("$"* \(#,##0\);_("$"* "-"??_);_(@_)</c:formatCode>
                <c:ptCount val="3"/>
                <c:pt idx="0">
                  <c:v>148</c:v>
                </c:pt>
                <c:pt idx="1">
                  <c:v>159</c:v>
                </c:pt>
                <c:pt idx="2">
                  <c:v>171</c:v>
                </c:pt>
              </c:numCache>
            </c:numRef>
          </c:val>
          <c:extLst>
            <c:ext xmlns:c16="http://schemas.microsoft.com/office/drawing/2014/chart" uri="{C3380CC4-5D6E-409C-BE32-E72D297353CC}">
              <c16:uniqueId val="{00000000-D895-40FC-9F6F-A9467D950AA2}"/>
            </c:ext>
          </c:extLst>
        </c:ser>
        <c:ser>
          <c:idx val="5"/>
          <c:order val="1"/>
          <c:tx>
            <c:strRef>
              <c:f>'Report Chart 3 MV of MIP'!$C$3</c:f>
              <c:strCache>
                <c:ptCount val="1"/>
                <c:pt idx="0">
                  <c:v>UMS Affiliates Endowments</c:v>
                </c:pt>
              </c:strCache>
            </c:strRef>
          </c:tx>
          <c:spPr>
            <a:scene3d>
              <a:camera prst="orthographicFront"/>
              <a:lightRig rig="threePt" dir="t"/>
            </a:scene3d>
            <a:sp3d>
              <a:bevelT/>
            </a:sp3d>
          </c:spPr>
          <c:invertIfNegative val="0"/>
          <c:dLbls>
            <c:spPr>
              <a:noFill/>
              <a:ln>
                <a:noFill/>
              </a:ln>
              <a:effectLst/>
            </c:spPr>
            <c:txPr>
              <a:bodyPr wrap="square" lIns="0" tIns="0" rIns="0" bIns="0" anchor="ctr">
                <a:spAutoFit/>
              </a:bodyPr>
              <a:lstStyle/>
              <a:p>
                <a:pPr>
                  <a:defRPr sz="900"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val>
            <c:numRef>
              <c:f>'Report Chart 3 MV of MIP'!$C$4:$C$6</c:f>
              <c:numCache>
                <c:formatCode>_("$"* #,##0_);_("$"* \(#,##0\);_("$"* "-"??_);_(@_)</c:formatCode>
                <c:ptCount val="3"/>
                <c:pt idx="0">
                  <c:v>34</c:v>
                </c:pt>
                <c:pt idx="1">
                  <c:v>38</c:v>
                </c:pt>
                <c:pt idx="2">
                  <c:v>4</c:v>
                </c:pt>
              </c:numCache>
            </c:numRef>
          </c:val>
          <c:extLst>
            <c:ext xmlns:c16="http://schemas.microsoft.com/office/drawing/2014/chart" uri="{C3380CC4-5D6E-409C-BE32-E72D297353CC}">
              <c16:uniqueId val="{00000001-D895-40FC-9F6F-A9467D950AA2}"/>
            </c:ext>
          </c:extLst>
        </c:ser>
        <c:ser>
          <c:idx val="1"/>
          <c:order val="2"/>
          <c:tx>
            <c:strRef>
              <c:f>'Report Chart 3 MV of MIP'!$D$3</c:f>
              <c:strCache>
                <c:ptCount val="1"/>
                <c:pt idx="0">
                  <c:v>OPEB Trust</c:v>
                </c:pt>
              </c:strCache>
            </c:strRef>
          </c:tx>
          <c:spPr>
            <a:solidFill>
              <a:srgbClr val="F6A800"/>
            </a:solidFill>
            <a:ln>
              <a:noFill/>
            </a:ln>
            <a:effectLst/>
            <a:scene3d>
              <a:camera prst="orthographicFront"/>
              <a:lightRig rig="threePt" dir="t"/>
            </a:scene3d>
            <a:sp3d>
              <a:bevelT h="50800"/>
            </a:sp3d>
          </c:spPr>
          <c:invertIfNegative val="0"/>
          <c:dLbls>
            <c:spPr>
              <a:noFill/>
              <a:ln>
                <a:noFill/>
              </a:ln>
              <a:effectLst/>
            </c:spPr>
            <c:txPr>
              <a:bodyPr rot="0" spcFirstLastPara="1" vertOverflow="ellipsis" vert="horz" wrap="square" lIns="0" tIns="0" rIns="0" bIns="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'Report Chart 3 MV of MIP'!$A$4:$A$6</c:f>
              <c:numCache>
                <c:formatCode>General</c:formatCode>
                <c:ptCount val="3"/>
                <c:pt idx="0">
                  <c:v>2023</c:v>
                </c:pt>
                <c:pt idx="1">
                  <c:v>2024</c:v>
                </c:pt>
                <c:pt idx="2">
                  <c:v>2025</c:v>
                </c:pt>
              </c:numCache>
            </c:numRef>
          </c:cat>
          <c:val>
            <c:numRef>
              <c:f>'Report Chart 3 MV of MIP'!$D$4:$D$6</c:f>
              <c:numCache>
                <c:formatCode>_("$"* #,##0_);_("$"* \(#,##0\);_("$"* "-"??_);_(@_)</c:formatCode>
                <c:ptCount val="3"/>
                <c:pt idx="0">
                  <c:v>175</c:v>
                </c:pt>
                <c:pt idx="1">
                  <c:v>196</c:v>
                </c:pt>
                <c:pt idx="2">
                  <c:v>215</c:v>
                </c:pt>
              </c:numCache>
            </c:numRef>
          </c:val>
          <c:extLst>
            <c:ext xmlns:c16="http://schemas.microsoft.com/office/drawing/2014/chart" uri="{C3380CC4-5D6E-409C-BE32-E72D297353CC}">
              <c16:uniqueId val="{00000002-D895-40FC-9F6F-A9467D950AA2}"/>
            </c:ext>
          </c:extLst>
        </c:ser>
        <c:ser>
          <c:idx val="3"/>
          <c:order val="4"/>
          <c:tx>
            <c:strRef>
              <c:f>'Report Chart 3 MV of MIP'!$E$3</c:f>
              <c:strCache>
                <c:ptCount val="1"/>
                <c:pt idx="0">
                  <c:v>University of Maine School of Law Foundation</c:v>
                </c:pt>
              </c:strCache>
            </c:strRef>
          </c:tx>
          <c:spPr>
            <a:solidFill>
              <a:srgbClr val="000066"/>
            </a:solidFill>
            <a:ln>
              <a:noFill/>
            </a:ln>
            <a:effectLst/>
            <a:scene3d>
              <a:camera prst="orthographicFront"/>
              <a:lightRig rig="threePt" dir="t"/>
            </a:scene3d>
            <a:sp3d>
              <a:bevelT h="50800"/>
            </a:sp3d>
          </c:spPr>
          <c:invertIfNegative val="0"/>
          <c:dLbls>
            <c:spPr>
              <a:noFill/>
              <a:ln>
                <a:noFill/>
              </a:ln>
              <a:effectLst/>
            </c:spPr>
            <c:txPr>
              <a:bodyPr rot="0" spcFirstLastPara="1" vertOverflow="ellipsis" vert="horz" wrap="square" lIns="0" tIns="0" rIns="0" bIns="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'Report Chart 3 MV of MIP'!$A$4:$A$6</c:f>
              <c:numCache>
                <c:formatCode>General</c:formatCode>
                <c:ptCount val="3"/>
                <c:pt idx="0">
                  <c:v>2023</c:v>
                </c:pt>
                <c:pt idx="1">
                  <c:v>2024</c:v>
                </c:pt>
                <c:pt idx="2">
                  <c:v>2025</c:v>
                </c:pt>
              </c:numCache>
            </c:numRef>
          </c:cat>
          <c:val>
            <c:numRef>
              <c:f>'Report Chart 3 MV of MIP'!$E$4:$E$6</c:f>
              <c:numCache>
                <c:formatCode>_("$"* #,##0_);_("$"* \(#,##0\);_("$"* "-"??_);_(@_)</c:formatCode>
                <c:ptCount val="3"/>
                <c:pt idx="0">
                  <c:v>5</c:v>
                </c:pt>
                <c:pt idx="1">
                  <c:v>6</c:v>
                </c:pt>
                <c:pt idx="2">
                  <c:v>6</c:v>
                </c:pt>
              </c:numCache>
            </c:numRef>
          </c:val>
          <c:extLst>
            <c:ext xmlns:c16="http://schemas.microsoft.com/office/drawing/2014/chart" uri="{C3380CC4-5D6E-409C-BE32-E72D297353CC}">
              <c16:uniqueId val="{00000003-D895-40FC-9F6F-A9467D950AA2}"/>
            </c:ext>
          </c:extLst>
        </c:ser>
        <c:dLbls>
          <c:showLegendKey val="0"/>
          <c:showVal val="0"/>
          <c:showCatName val="0"/>
          <c:showSerName val="0"/>
          <c:showPercent val="0"/>
          <c:showBubbleSize val="0"/>
        </c:dLbls>
        <c:gapWidth val="86"/>
        <c:overlap val="-1"/>
        <c:axId val="1238056320"/>
        <c:axId val="1238056736"/>
        <c:extLst>
          <c:ext xmlns:c15="http://schemas.microsoft.com/office/drawing/2012/chart" uri="{02D57815-91ED-43cb-92C2-25804820EDAC}">
            <c15:filteredBarSeries>
              <c15:ser>
                <c:idx val="2"/>
                <c:order val="3"/>
                <c:tx>
                  <c:strRef>
                    <c:extLst>
                      <c:ext uri="{02D57815-91ED-43cb-92C2-25804820EDAC}">
                        <c15:formulaRef>
                          <c15:sqref>'Report Chart 3 MV of MIP'!#REF!</c15:sqref>
                        </c15:formulaRef>
                      </c:ext>
                    </c:extLst>
                    <c:strCache>
                      <c:ptCount val="1"/>
                      <c:pt idx="0">
                        <c:v>#REF!</c:v>
                      </c:pt>
                    </c:strCache>
                  </c:strRef>
                </c:tx>
                <c:invertIfNegative val="0"/>
                <c:cat>
                  <c:numRef>
                    <c:extLst>
                      <c:ext uri="{02D57815-91ED-43cb-92C2-25804820EDAC}">
                        <c15:formulaRef>
                          <c15:sqref>'Report Chart 3 MV of MIP'!$A$4:$A$6</c15:sqref>
                        </c15:formulaRef>
                      </c:ext>
                    </c:extLst>
                    <c:numCache>
                      <c:formatCode>General</c:formatCode>
                      <c:ptCount val="3"/>
                      <c:pt idx="0">
                        <c:v>2023</c:v>
                      </c:pt>
                      <c:pt idx="1">
                        <c:v>2024</c:v>
                      </c:pt>
                      <c:pt idx="2">
                        <c:v>2025</c:v>
                      </c:pt>
                    </c:numCache>
                  </c:numRef>
                </c:cat>
                <c:val>
                  <c:numRef>
                    <c:extLst>
                      <c:ext uri="{02D57815-91ED-43cb-92C2-25804820EDAC}">
                        <c15:formulaRef>
                          <c15:sqref>'Report Chart 3 MV of MIP'!#REF!</c15:sqref>
                        </c15:formulaRef>
                      </c:ext>
                    </c:extLst>
                    <c:numCache>
                      <c:formatCode>General</c:formatCode>
                      <c:ptCount val="1"/>
                      <c:pt idx="0">
                        <c:v>1</c:v>
                      </c:pt>
                    </c:numCache>
                  </c:numRef>
                </c:val>
                <c:extLst>
                  <c:ext xmlns:c16="http://schemas.microsoft.com/office/drawing/2014/chart" uri="{C3380CC4-5D6E-409C-BE32-E72D297353CC}">
                    <c16:uniqueId val="{00000007-D895-40FC-9F6F-A9467D950AA2}"/>
                  </c:ext>
                </c:extLst>
              </c15:ser>
            </c15:filteredBarSeries>
            <c15:filteredBarSeries>
              <c15:ser>
                <c:idx val="6"/>
                <c:order val="5"/>
                <c:tx>
                  <c:strRef>
                    <c:extLst xmlns:c15="http://schemas.microsoft.com/office/drawing/2012/chart">
                      <c:ext xmlns:c15="http://schemas.microsoft.com/office/drawing/2012/chart" uri="{02D57815-91ED-43cb-92C2-25804820EDAC}">
                        <c15:formulaRef>
                          <c15:sqref>'Report Chart 3 MV of MIP'!#REF!</c15:sqref>
                        </c15:formulaRef>
                      </c:ext>
                    </c:extLst>
                    <c:strCache>
                      <c:ptCount val="1"/>
                      <c:pt idx="0">
                        <c:v>#REF!</c:v>
                      </c:pt>
                    </c:strCache>
                  </c:strRef>
                </c:tx>
                <c:invertIfNegative val="0"/>
                <c:cat>
                  <c:numRef>
                    <c:extLst xmlns:c15="http://schemas.microsoft.com/office/drawing/2012/chart">
                      <c:ext xmlns:c15="http://schemas.microsoft.com/office/drawing/2012/chart" uri="{02D57815-91ED-43cb-92C2-25804820EDAC}">
                        <c15:formulaRef>
                          <c15:sqref>'Report Chart 3 MV of MIP'!$A$4:$A$6</c15:sqref>
                        </c15:formulaRef>
                      </c:ext>
                    </c:extLst>
                    <c:numCache>
                      <c:formatCode>General</c:formatCode>
                      <c:ptCount val="3"/>
                      <c:pt idx="0">
                        <c:v>2023</c:v>
                      </c:pt>
                      <c:pt idx="1">
                        <c:v>2024</c:v>
                      </c:pt>
                      <c:pt idx="2">
                        <c:v>2025</c:v>
                      </c:pt>
                    </c:numCache>
                  </c:numRef>
                </c:cat>
                <c:val>
                  <c:numRef>
                    <c:extLst xmlns:c15="http://schemas.microsoft.com/office/drawing/2012/chart">
                      <c:ext xmlns:c15="http://schemas.microsoft.com/office/drawing/2012/chart" uri="{02D57815-91ED-43cb-92C2-25804820EDAC}">
                        <c15:formulaRef>
                          <c15:sqref>'Report Chart 3 MV of MIP'!#REF!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8-D895-40FC-9F6F-A9467D950AA2}"/>
                  </c:ext>
                </c:extLst>
              </c15:ser>
            </c15:filteredBarSeries>
          </c:ext>
        </c:extLst>
      </c:barChart>
      <c:barChart>
        <c:barDir val="col"/>
        <c:grouping val="clustered"/>
        <c:varyColors val="0"/>
        <c:ser>
          <c:idx val="4"/>
          <c:order val="6"/>
          <c:tx>
            <c:strRef>
              <c:f>'Report Chart 3 MV of MIP'!$F$3</c:f>
              <c:strCache>
                <c:ptCount val="1"/>
                <c:pt idx="0">
                  <c:v>Total</c:v>
                </c:pt>
              </c:strCache>
            </c:strRef>
          </c:tx>
          <c:spPr>
            <a:solidFill>
              <a:srgbClr val="8CB8DC">
                <a:alpha val="25000"/>
              </a:srgbClr>
            </a:solidFill>
            <a:ln>
              <a:solidFill>
                <a:srgbClr val="8CB8DC">
                  <a:alpha val="50000"/>
                </a:srgbClr>
              </a:solidFill>
            </a:ln>
            <a:effectLst/>
            <a:scene3d>
              <a:camera prst="orthographicFront"/>
              <a:lightRig rig="threePt" dir="t"/>
            </a:scene3d>
            <a:sp3d>
              <a:bevelT h="50800"/>
            </a:sp3d>
          </c:spPr>
          <c:invertIfNegative val="0"/>
          <c:dPt>
            <c:idx val="0"/>
            <c:invertIfNegative val="0"/>
            <c:bubble3D val="0"/>
            <c:spPr>
              <a:solidFill>
                <a:srgbClr val="8CB8DC">
                  <a:alpha val="25000"/>
                </a:srgbClr>
              </a:solidFill>
              <a:ln>
                <a:solidFill>
                  <a:srgbClr val="8CB8DC">
                    <a:alpha val="58000"/>
                  </a:srgbClr>
                </a:solidFill>
              </a:ln>
              <a:effectLst/>
              <a:scene3d>
                <a:camera prst="orthographicFront"/>
                <a:lightRig rig="threePt" dir="t"/>
              </a:scene3d>
              <a:sp3d>
                <a:bevelT h="50800"/>
              </a:sp3d>
            </c:spPr>
            <c:extLst>
              <c:ext xmlns:c16="http://schemas.microsoft.com/office/drawing/2014/chart" uri="{C3380CC4-5D6E-409C-BE32-E72D297353CC}">
                <c16:uniqueId val="{00000005-D895-40FC-9F6F-A9467D950AA2}"/>
              </c:ext>
            </c:extLst>
          </c:dPt>
          <c:dLbls>
            <c:spPr>
              <a:noFill/>
              <a:ln>
                <a:noFill/>
              </a:ln>
              <a:effectLst/>
            </c:spPr>
            <c:txPr>
              <a:bodyPr rot="0" spcFirstLastPara="1" vertOverflow="ellipsis" vert="horz" wrap="square" lIns="0" tIns="0" rIns="0" bIns="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n-US"/>
              </a:p>
            </c:txPr>
            <c:dLblPos val="inEnd"/>
            <c:showLegendKey val="0"/>
            <c:showVal val="1"/>
            <c:showCatName val="0"/>
            <c:showSerName val="1"/>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'Report Chart 3 MV of MIP'!$A$4:$A$6</c:f>
              <c:numCache>
                <c:formatCode>General</c:formatCode>
                <c:ptCount val="3"/>
                <c:pt idx="0">
                  <c:v>2023</c:v>
                </c:pt>
                <c:pt idx="1">
                  <c:v>2024</c:v>
                </c:pt>
                <c:pt idx="2">
                  <c:v>2025</c:v>
                </c:pt>
              </c:numCache>
            </c:numRef>
          </c:cat>
          <c:val>
            <c:numRef>
              <c:f>'Report Chart 3 MV of MIP'!$F$4:$F$6</c:f>
              <c:numCache>
                <c:formatCode>_("$"* #,##0_);_("$"* \(#,##0\);_("$"* "-"??_);_(@_)</c:formatCode>
                <c:ptCount val="3"/>
                <c:pt idx="0">
                  <c:v>362</c:v>
                </c:pt>
                <c:pt idx="1">
                  <c:v>399</c:v>
                </c:pt>
                <c:pt idx="2">
                  <c:v>396</c:v>
                </c:pt>
              </c:numCache>
            </c:numRef>
          </c:val>
          <c:extLst>
            <c:ext xmlns:c16="http://schemas.microsoft.com/office/drawing/2014/chart" uri="{C3380CC4-5D6E-409C-BE32-E72D297353CC}">
              <c16:uniqueId val="{00000006-D895-40FC-9F6F-A9467D950AA2}"/>
            </c:ext>
          </c:extLst>
        </c:ser>
        <c:dLbls>
          <c:dLblPos val="outEnd"/>
          <c:showLegendKey val="0"/>
          <c:showVal val="1"/>
          <c:showCatName val="0"/>
          <c:showSerName val="0"/>
          <c:showPercent val="0"/>
          <c:showBubbleSize val="0"/>
        </c:dLbls>
        <c:gapWidth val="14"/>
        <c:overlap val="43"/>
        <c:axId val="1258629568"/>
        <c:axId val="1206044976"/>
      </c:barChart>
      <c:catAx>
        <c:axId val="1238056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238056736"/>
        <c:crosses val="autoZero"/>
        <c:auto val="1"/>
        <c:lblAlgn val="ctr"/>
        <c:lblOffset val="100"/>
        <c:noMultiLvlLbl val="0"/>
      </c:catAx>
      <c:valAx>
        <c:axId val="1238056736"/>
        <c:scaling>
          <c:orientation val="minMax"/>
          <c:max val="450"/>
          <c:min val="0"/>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238056320"/>
        <c:crosses val="autoZero"/>
        <c:crossBetween val="between"/>
      </c:valAx>
      <c:valAx>
        <c:axId val="1206044976"/>
        <c:scaling>
          <c:orientation val="minMax"/>
        </c:scaling>
        <c:delete val="1"/>
        <c:axPos val="r"/>
        <c:numFmt formatCode="_(&quot;$&quot;* #,##0_);_(&quot;$&quot;* \(#,##0\);_(&quot;$&quot;* &quot;-&quot;??_);_(@_)" sourceLinked="1"/>
        <c:majorTickMark val="out"/>
        <c:minorTickMark val="none"/>
        <c:tickLblPos val="nextTo"/>
        <c:crossAx val="1258629568"/>
        <c:crosses val="max"/>
        <c:crossBetween val="between"/>
      </c:valAx>
      <c:catAx>
        <c:axId val="1258629568"/>
        <c:scaling>
          <c:orientation val="minMax"/>
        </c:scaling>
        <c:delete val="1"/>
        <c:axPos val="b"/>
        <c:numFmt formatCode="General" sourceLinked="1"/>
        <c:majorTickMark val="out"/>
        <c:minorTickMark val="none"/>
        <c:tickLblPos val="nextTo"/>
        <c:crossAx val="120604497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r>
              <a:rPr lang="en-US" b="1">
                <a:solidFill>
                  <a:schemeClr val="tx1">
                    <a:lumMod val="95000"/>
                    <a:lumOff val="5000"/>
                  </a:schemeClr>
                </a:solidFill>
              </a:rPr>
              <a:t>Chart 4: Total Return (Net of Fees)</a:t>
            </a:r>
          </a:p>
        </c:rich>
      </c:tx>
      <c:layout>
        <c:manualLayout>
          <c:xMode val="edge"/>
          <c:yMode val="edge"/>
          <c:x val="0.22079855643044621"/>
          <c:y val="8.9847259658580418E-3"/>
        </c:manualLayout>
      </c:layout>
      <c:overlay val="0"/>
      <c:spPr>
        <a:noFill/>
        <a:ln>
          <a:noFill/>
        </a:ln>
        <a:effectLst/>
      </c:spPr>
    </c:title>
    <c:autoTitleDeleted val="0"/>
    <c:plotArea>
      <c:layout/>
      <c:lineChart>
        <c:grouping val="standard"/>
        <c:varyColors val="0"/>
        <c:ser>
          <c:idx val="0"/>
          <c:order val="0"/>
          <c:spPr>
            <a:ln w="28575" cap="rnd">
              <a:solidFill>
                <a:srgbClr val="00688D"/>
              </a:solidFill>
              <a:round/>
            </a:ln>
            <a:effectLst/>
          </c:spPr>
          <c:marker>
            <c:symbol val="circle"/>
            <c:size val="5"/>
            <c:spPr>
              <a:solidFill>
                <a:srgbClr val="00688D"/>
              </a:solidFill>
              <a:ln w="9525">
                <a:solidFill>
                  <a:srgbClr val="00688D"/>
                </a:solidFill>
              </a:ln>
              <a:effectLst/>
              <a:scene3d>
                <a:camera prst="orthographicFront"/>
                <a:lightRig rig="threePt" dir="t"/>
              </a:scene3d>
              <a:sp3d>
                <a:bevelT h="50800"/>
              </a:sp3d>
            </c:spPr>
          </c:marker>
          <c:dLbls>
            <c:dLbl>
              <c:idx val="0"/>
              <c:layout>
                <c:manualLayout>
                  <c:x val="3.2543121854800082E-4"/>
                  <c:y val="4.6184851893513309E-3"/>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0-AB62-4784-AD2B-44E4BBCA7C05}"/>
                </c:ext>
              </c:extLst>
            </c:dLbl>
            <c:dLbl>
              <c:idx val="1"/>
              <c:layout>
                <c:manualLayout>
                  <c:x val="-0.1079701810058642"/>
                  <c:y val="-8.119610048743907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AE6-4929-A6D4-BBB7A14CBA4F}"/>
                </c:ext>
              </c:extLst>
            </c:dLbl>
            <c:dLbl>
              <c:idx val="2"/>
              <c:layout>
                <c:manualLayout>
                  <c:x val="-1.5894442269233987E-2"/>
                  <c:y val="4.01931008623922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B62-4784-AD2B-44E4BBCA7C05}"/>
                </c:ext>
              </c:extLst>
            </c:dLbl>
            <c:numFmt formatCode="0.0%" sourceLinked="0"/>
            <c:spPr>
              <a:noFill/>
              <a:ln>
                <a:noFill/>
              </a:ln>
              <a:effectLst/>
            </c:spPr>
            <c:txPr>
              <a:bodyPr rot="0" spcFirstLastPara="1" vertOverflow="ellipsis" vert="horz" wrap="square" lIns="0" tIns="0" rIns="0" bIns="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'Report Chart 4'!$B$2:$B$6</c:f>
              <c:numCache>
                <c:formatCode>General</c:formatCode>
                <c:ptCount val="5"/>
                <c:pt idx="0">
                  <c:v>2021</c:v>
                </c:pt>
                <c:pt idx="1">
                  <c:v>2022</c:v>
                </c:pt>
                <c:pt idx="2">
                  <c:v>2023</c:v>
                </c:pt>
                <c:pt idx="3">
                  <c:v>2024</c:v>
                </c:pt>
                <c:pt idx="4">
                  <c:v>2025</c:v>
                </c:pt>
              </c:numCache>
            </c:numRef>
          </c:cat>
          <c:val>
            <c:numRef>
              <c:f>'Report Chart 4'!$C$2:$C$6</c:f>
              <c:numCache>
                <c:formatCode>0.0%</c:formatCode>
                <c:ptCount val="5"/>
                <c:pt idx="0">
                  <c:v>0.27100000000000002</c:v>
                </c:pt>
                <c:pt idx="1">
                  <c:v>-0.125</c:v>
                </c:pt>
                <c:pt idx="2">
                  <c:v>0.106</c:v>
                </c:pt>
                <c:pt idx="3">
                  <c:v>0.11899999999999999</c:v>
                </c:pt>
                <c:pt idx="4">
                  <c:v>9.7000000000000003E-2</c:v>
                </c:pt>
              </c:numCache>
            </c:numRef>
          </c:val>
          <c:smooth val="0"/>
          <c:extLst>
            <c:ext xmlns:c16="http://schemas.microsoft.com/office/drawing/2014/chart" uri="{C3380CC4-5D6E-409C-BE32-E72D297353CC}">
              <c16:uniqueId val="{00000002-AB62-4784-AD2B-44E4BBCA7C05}"/>
            </c:ext>
          </c:extLst>
        </c:ser>
        <c:dLbls>
          <c:dLblPos val="t"/>
          <c:showLegendKey val="0"/>
          <c:showVal val="1"/>
          <c:showCatName val="0"/>
          <c:showSerName val="0"/>
          <c:showPercent val="0"/>
          <c:showBubbleSize val="0"/>
        </c:dLbls>
        <c:marker val="1"/>
        <c:smooth val="0"/>
        <c:axId val="1284479472"/>
        <c:axId val="1284479888"/>
      </c:lineChart>
      <c:catAx>
        <c:axId val="128447947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284479888"/>
        <c:crosses val="autoZero"/>
        <c:auto val="1"/>
        <c:lblAlgn val="ctr"/>
        <c:lblOffset val="100"/>
        <c:noMultiLvlLbl val="0"/>
      </c:catAx>
      <c:valAx>
        <c:axId val="12844798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284479472"/>
        <c:crosses val="autoZero"/>
        <c:crossBetween val="between"/>
        <c:majorUnit val="5.000000000000001E-2"/>
      </c:valAx>
      <c:spPr>
        <a:noFill/>
        <a:ln>
          <a:noFill/>
        </a:ln>
        <a:effectLst/>
      </c:spPr>
    </c:plotArea>
    <c:plotVisOnly val="1"/>
    <c:dispBlanksAs val="gap"/>
    <c:showDLblsOverMax val="0"/>
  </c:chart>
  <c:spPr>
    <a:solidFill>
      <a:schemeClr val="bg1"/>
    </a:solidFill>
    <a:ln w="12700"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r>
              <a:rPr lang="en-US" sz="1200" b="1">
                <a:solidFill>
                  <a:schemeClr val="tx1">
                    <a:lumMod val="95000"/>
                    <a:lumOff val="5000"/>
                  </a:schemeClr>
                </a:solidFill>
              </a:rPr>
              <a:t>Chart 5: Fair Values of UMS and Affiliates Pooled Endowments</a:t>
            </a:r>
            <a:r>
              <a:rPr lang="en-US" b="1">
                <a:solidFill>
                  <a:schemeClr val="tx1">
                    <a:lumMod val="95000"/>
                    <a:lumOff val="5000"/>
                  </a:schemeClr>
                </a:solidFill>
              </a:rPr>
              <a:t>
</a:t>
            </a:r>
            <a:r>
              <a:rPr lang="en-US" sz="1100" b="1">
                <a:solidFill>
                  <a:schemeClr val="tx1">
                    <a:lumMod val="95000"/>
                    <a:lumOff val="5000"/>
                  </a:schemeClr>
                </a:solidFill>
              </a:rPr>
              <a:t>(In millions)</a:t>
            </a:r>
          </a:p>
        </c:rich>
      </c:tx>
      <c:layout>
        <c:manualLayout>
          <c:xMode val="edge"/>
          <c:yMode val="edge"/>
          <c:x val="0.14735731562966395"/>
          <c:y val="1.015228426395939E-2"/>
        </c:manualLayout>
      </c:layout>
      <c:overlay val="0"/>
      <c:spPr>
        <a:noFill/>
        <a:ln>
          <a:noFill/>
        </a:ln>
        <a:effectLst/>
      </c:spPr>
    </c:title>
    <c:autoTitleDeleted val="0"/>
    <c:plotArea>
      <c:layout>
        <c:manualLayout>
          <c:layoutTarget val="inner"/>
          <c:xMode val="edge"/>
          <c:yMode val="edge"/>
          <c:x val="9.4624936588808758E-2"/>
          <c:y val="0.256390423572744"/>
          <c:w val="0.8773638589293985"/>
          <c:h val="0.58127666362146724"/>
        </c:manualLayout>
      </c:layout>
      <c:barChart>
        <c:barDir val="col"/>
        <c:grouping val="clustered"/>
        <c:varyColors val="0"/>
        <c:ser>
          <c:idx val="0"/>
          <c:order val="0"/>
          <c:tx>
            <c:strRef>
              <c:f>'Chart 5 Market Value Endow Inv'!$B$4</c:f>
              <c:strCache>
                <c:ptCount val="1"/>
                <c:pt idx="0">
                  <c:v>UMS Endowments</c:v>
                </c:pt>
              </c:strCache>
            </c:strRef>
          </c:tx>
          <c:spPr>
            <a:solidFill>
              <a:srgbClr val="00688D"/>
            </a:solidFill>
            <a:ln w="28575" cap="rnd">
              <a:noFill/>
              <a:round/>
            </a:ln>
            <a:effectLst/>
            <a:scene3d>
              <a:camera prst="orthographicFront"/>
              <a:lightRig rig="threePt" dir="t"/>
            </a:scene3d>
            <a:sp3d>
              <a:bevelT h="50800"/>
              <a:bevelB/>
            </a:sp3d>
          </c:spPr>
          <c:invertIfNegative val="0"/>
          <c:dLbls>
            <c:numFmt formatCode="_(&quot;$&quot;* #,##0_);_(&quot;$&quot;* \(#,##0\);_(&quot;$&quot;* &quot;-&quot;_);_(@_)" sourceLinked="0"/>
            <c:spPr>
              <a:noFill/>
              <a:ln>
                <a:noFill/>
              </a:ln>
              <a:effectLst/>
            </c:spPr>
            <c:txPr>
              <a:bodyPr rot="0" spcFirstLastPara="1" vertOverflow="ellipsis" vert="horz" wrap="square" lIns="0" tIns="0" rIns="0" bIns="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'Chart 5 Market Value Endow Inv'!$A$6:$A$10</c:f>
              <c:numCache>
                <c:formatCode>General</c:formatCode>
                <c:ptCount val="5"/>
                <c:pt idx="0">
                  <c:v>2021</c:v>
                </c:pt>
                <c:pt idx="1">
                  <c:v>2022</c:v>
                </c:pt>
                <c:pt idx="2">
                  <c:v>2023</c:v>
                </c:pt>
                <c:pt idx="3">
                  <c:v>2024</c:v>
                </c:pt>
                <c:pt idx="4">
                  <c:v>2025</c:v>
                </c:pt>
              </c:numCache>
            </c:numRef>
          </c:cat>
          <c:val>
            <c:numRef>
              <c:f>'Chart 5 Market Value Endow Inv'!$B$6:$B$10</c:f>
              <c:numCache>
                <c:formatCode>_("$"* #,##0_);_("$"* \(#,##0\);_("$"* "-"_);_(@_)</c:formatCode>
                <c:ptCount val="5"/>
                <c:pt idx="0">
                  <c:v>161</c:v>
                </c:pt>
                <c:pt idx="1">
                  <c:v>138</c:v>
                </c:pt>
                <c:pt idx="2">
                  <c:v>148</c:v>
                </c:pt>
                <c:pt idx="3">
                  <c:v>159</c:v>
                </c:pt>
                <c:pt idx="4">
                  <c:v>171</c:v>
                </c:pt>
              </c:numCache>
            </c:numRef>
          </c:val>
          <c:extLst>
            <c:ext xmlns:c16="http://schemas.microsoft.com/office/drawing/2014/chart" uri="{C3380CC4-5D6E-409C-BE32-E72D297353CC}">
              <c16:uniqueId val="{00000000-7CED-4161-936D-F2CF6A276F4C}"/>
            </c:ext>
          </c:extLst>
        </c:ser>
        <c:ser>
          <c:idx val="1"/>
          <c:order val="1"/>
          <c:tx>
            <c:strRef>
              <c:f>'Chart 5 Market Value Endow Inv'!$C$4</c:f>
              <c:strCache>
                <c:ptCount val="1"/>
                <c:pt idx="0">
                  <c:v>Affiliates Endowments</c:v>
                </c:pt>
              </c:strCache>
            </c:strRef>
          </c:tx>
          <c:spPr>
            <a:solidFill>
              <a:schemeClr val="accent6"/>
            </a:solidFill>
            <a:scene3d>
              <a:camera prst="orthographicFront"/>
              <a:lightRig rig="threePt" dir="t"/>
            </a:scene3d>
            <a:sp3d>
              <a:bevelT h="50800"/>
              <a:bevelB/>
            </a:sp3d>
          </c:spPr>
          <c:invertIfNegative val="0"/>
          <c:dLbls>
            <c:numFmt formatCode="_(&quot;$&quot;* #,##0_);_(&quot;$&quot;* \(#,##0\);_(&quot;$&quot;* &quot;-&quot;_);_(@_)" sourceLinked="0"/>
            <c:spPr>
              <a:noFill/>
              <a:ln>
                <a:noFill/>
              </a:ln>
              <a:effectLst/>
            </c:spPr>
            <c:txPr>
              <a:bodyPr wrap="square" lIns="0" tIns="0" rIns="0" bIns="0" anchor="ctr">
                <a:spAutoFit/>
              </a:bodyPr>
              <a:lstStyle/>
              <a:p>
                <a:pPr>
                  <a:defRPr sz="900" b="1"/>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numRef>
              <c:f>'Chart 5 Market Value Endow Inv'!$A$6:$A$10</c:f>
              <c:numCache>
                <c:formatCode>General</c:formatCode>
                <c:ptCount val="5"/>
                <c:pt idx="0">
                  <c:v>2021</c:v>
                </c:pt>
                <c:pt idx="1">
                  <c:v>2022</c:v>
                </c:pt>
                <c:pt idx="2">
                  <c:v>2023</c:v>
                </c:pt>
                <c:pt idx="3">
                  <c:v>2024</c:v>
                </c:pt>
                <c:pt idx="4">
                  <c:v>2025</c:v>
                </c:pt>
              </c:numCache>
            </c:numRef>
          </c:cat>
          <c:val>
            <c:numRef>
              <c:f>'Chart 5 Market Value Endow Inv'!$C$6:$C$10</c:f>
              <c:numCache>
                <c:formatCode>_("$"* #,##0_);_("$"* \(#,##0\);_("$"* "-"_);_(@_)</c:formatCode>
                <c:ptCount val="5"/>
                <c:pt idx="0">
                  <c:v>35</c:v>
                </c:pt>
                <c:pt idx="1">
                  <c:v>30</c:v>
                </c:pt>
                <c:pt idx="2">
                  <c:v>34</c:v>
                </c:pt>
                <c:pt idx="3">
                  <c:v>38</c:v>
                </c:pt>
                <c:pt idx="4">
                  <c:v>4</c:v>
                </c:pt>
              </c:numCache>
            </c:numRef>
          </c:val>
          <c:extLst>
            <c:ext xmlns:c16="http://schemas.microsoft.com/office/drawing/2014/chart" uri="{C3380CC4-5D6E-409C-BE32-E72D297353CC}">
              <c16:uniqueId val="{00000001-7CED-4161-936D-F2CF6A276F4C}"/>
            </c:ext>
          </c:extLst>
        </c:ser>
        <c:dLbls>
          <c:showLegendKey val="0"/>
          <c:showVal val="1"/>
          <c:showCatName val="0"/>
          <c:showSerName val="0"/>
          <c:showPercent val="0"/>
          <c:showBubbleSize val="0"/>
        </c:dLbls>
        <c:gapWidth val="160"/>
        <c:axId val="1214032784"/>
        <c:axId val="1214034032"/>
      </c:barChart>
      <c:barChart>
        <c:barDir val="col"/>
        <c:grouping val="clustered"/>
        <c:varyColors val="0"/>
        <c:ser>
          <c:idx val="2"/>
          <c:order val="2"/>
          <c:tx>
            <c:strRef>
              <c:f>'Chart 5 Market Value Endow Inv'!$D$4</c:f>
              <c:strCache>
                <c:ptCount val="1"/>
                <c:pt idx="0">
                  <c:v>Total</c:v>
                </c:pt>
              </c:strCache>
            </c:strRef>
          </c:tx>
          <c:spPr>
            <a:solidFill>
              <a:schemeClr val="accent1">
                <a:alpha val="25000"/>
              </a:schemeClr>
            </a:solidFill>
            <a:ln>
              <a:solidFill>
                <a:srgbClr val="8CB8DC"/>
              </a:solidFill>
            </a:ln>
            <a:effectLst/>
            <a:scene3d>
              <a:camera prst="orthographicFront"/>
              <a:lightRig rig="threePt" dir="t"/>
            </a:scene3d>
            <a:sp3d>
              <a:bevelT h="50800"/>
              <a:bevelB/>
            </a:sp3d>
          </c:spPr>
          <c:invertIfNegative val="0"/>
          <c:dLbls>
            <c:dLbl>
              <c:idx val="4"/>
              <c:layout>
                <c:manualLayout>
                  <c:x val="0"/>
                  <c:y val="-1.6103059581320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ED-4161-936D-F2CF6A276F4C}"/>
                </c:ext>
              </c:extLst>
            </c:dLbl>
            <c:spPr>
              <a:noFill/>
              <a:ln>
                <a:noFill/>
              </a:ln>
              <a:effectLst/>
            </c:spPr>
            <c:txPr>
              <a:bodyPr wrap="square" lIns="0" tIns="0" rIns="0" bIns="0" anchor="ctr">
                <a:spAutoFit/>
              </a:bodyPr>
              <a:lstStyle/>
              <a:p>
                <a:pPr>
                  <a:defRPr sz="900" b="1" i="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numRef>
              <c:f>'Chart 5 Market Value Endow Inv'!$A$6:$A$10</c:f>
              <c:numCache>
                <c:formatCode>General</c:formatCode>
                <c:ptCount val="5"/>
                <c:pt idx="0">
                  <c:v>2021</c:v>
                </c:pt>
                <c:pt idx="1">
                  <c:v>2022</c:v>
                </c:pt>
                <c:pt idx="2">
                  <c:v>2023</c:v>
                </c:pt>
                <c:pt idx="3">
                  <c:v>2024</c:v>
                </c:pt>
                <c:pt idx="4">
                  <c:v>2025</c:v>
                </c:pt>
              </c:numCache>
            </c:numRef>
          </c:cat>
          <c:val>
            <c:numRef>
              <c:f>'Chart 5 Market Value Endow Inv'!$D$6:$D$10</c:f>
              <c:numCache>
                <c:formatCode>_("$"* #,##0_);_("$"* \(#,##0\);_("$"* "-"_);_(@_)</c:formatCode>
                <c:ptCount val="5"/>
                <c:pt idx="0">
                  <c:v>196</c:v>
                </c:pt>
                <c:pt idx="1">
                  <c:v>168</c:v>
                </c:pt>
                <c:pt idx="2">
                  <c:v>182</c:v>
                </c:pt>
                <c:pt idx="3">
                  <c:v>197</c:v>
                </c:pt>
                <c:pt idx="4">
                  <c:v>175</c:v>
                </c:pt>
              </c:numCache>
            </c:numRef>
          </c:val>
          <c:extLst>
            <c:ext xmlns:c16="http://schemas.microsoft.com/office/drawing/2014/chart" uri="{C3380CC4-5D6E-409C-BE32-E72D297353CC}">
              <c16:uniqueId val="{00000003-7CED-4161-936D-F2CF6A276F4C}"/>
            </c:ext>
          </c:extLst>
        </c:ser>
        <c:dLbls>
          <c:showLegendKey val="0"/>
          <c:showVal val="0"/>
          <c:showCatName val="0"/>
          <c:showSerName val="0"/>
          <c:showPercent val="0"/>
          <c:showBubbleSize val="0"/>
        </c:dLbls>
        <c:gapWidth val="79"/>
        <c:axId val="1762746463"/>
        <c:axId val="1763000959"/>
      </c:barChart>
      <c:catAx>
        <c:axId val="121403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214034032"/>
        <c:crosses val="autoZero"/>
        <c:auto val="1"/>
        <c:lblAlgn val="ctr"/>
        <c:lblOffset val="100"/>
        <c:noMultiLvlLbl val="0"/>
      </c:catAx>
      <c:valAx>
        <c:axId val="121403403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214032784"/>
        <c:crosses val="autoZero"/>
        <c:crossBetween val="between"/>
        <c:majorUnit val="50"/>
      </c:valAx>
      <c:valAx>
        <c:axId val="1763000959"/>
        <c:scaling>
          <c:orientation val="minMax"/>
          <c:max val="200"/>
        </c:scaling>
        <c:delete val="1"/>
        <c:axPos val="r"/>
        <c:numFmt formatCode="_(&quot;$&quot;* #,##0_);_(&quot;$&quot;* \(#,##0\);_(&quot;$&quot;* &quot;-&quot;_);_(@_)" sourceLinked="1"/>
        <c:majorTickMark val="out"/>
        <c:minorTickMark val="none"/>
        <c:tickLblPos val="nextTo"/>
        <c:crossAx val="1762746463"/>
        <c:crosses val="max"/>
        <c:crossBetween val="between"/>
        <c:majorUnit val="50"/>
      </c:valAx>
      <c:catAx>
        <c:axId val="1762746463"/>
        <c:scaling>
          <c:orientation val="minMax"/>
        </c:scaling>
        <c:delete val="1"/>
        <c:axPos val="b"/>
        <c:numFmt formatCode="General" sourceLinked="1"/>
        <c:majorTickMark val="out"/>
        <c:minorTickMark val="none"/>
        <c:tickLblPos val="nextTo"/>
        <c:crossAx val="1763000959"/>
        <c:crosses val="autoZero"/>
        <c:auto val="1"/>
        <c:lblAlgn val="ctr"/>
        <c:lblOffset val="100"/>
        <c:noMultiLvlLbl val="0"/>
      </c:catAx>
      <c:spPr>
        <a:noFill/>
        <a:ln>
          <a:noFill/>
        </a:ln>
        <a:effectLst/>
      </c:spPr>
    </c:plotArea>
    <c:legend>
      <c:legendPos val="b"/>
      <c:overlay val="0"/>
      <c:txPr>
        <a:bodyPr/>
        <a:lstStyle/>
        <a:p>
          <a:pPr>
            <a:defRPr sz="900"/>
          </a:pPr>
          <a:endParaRPr lang="en-US"/>
        </a:p>
      </c:txPr>
    </c:legend>
    <c:plotVisOnly val="1"/>
    <c:dispBlanksAs val="gap"/>
    <c:showDLblsOverMax val="0"/>
  </c:chart>
  <c:spPr>
    <a:solidFill>
      <a:schemeClr val="bg1"/>
    </a:solidFill>
    <a:ln w="12700" cap="flat" cmpd="sng" algn="ctr">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a:solidFill>
                  <a:schemeClr val="tx1">
                    <a:lumMod val="95000"/>
                    <a:lumOff val="5000"/>
                  </a:schemeClr>
                </a:solidFill>
                <a:latin typeface="+mn-lt"/>
              </a:defRPr>
            </a:pPr>
            <a:r>
              <a:rPr lang="en-US" sz="1400" b="1">
                <a:solidFill>
                  <a:schemeClr val="tx1">
                    <a:lumMod val="95000"/>
                    <a:lumOff val="5000"/>
                  </a:schemeClr>
                </a:solidFill>
                <a:latin typeface="+mn-lt"/>
                <a:cs typeface="Arial" panose="020B0604020202020204" pitchFamily="34" charset="0"/>
              </a:rPr>
              <a:t>2025 - $899 million</a:t>
            </a:r>
          </a:p>
        </c:rich>
      </c:tx>
      <c:layout>
        <c:manualLayout>
          <c:xMode val="edge"/>
          <c:yMode val="edge"/>
          <c:x val="0.36336108910410836"/>
          <c:y val="4.3483715478961349E-2"/>
        </c:manualLayout>
      </c:layout>
      <c:overlay val="0"/>
    </c:title>
    <c:autoTitleDeleted val="0"/>
    <c:plotArea>
      <c:layout>
        <c:manualLayout>
          <c:layoutTarget val="inner"/>
          <c:xMode val="edge"/>
          <c:yMode val="edge"/>
          <c:x val="2.5462962962962962E-2"/>
          <c:y val="0.12258578790482798"/>
          <c:w val="0.84303580179138482"/>
          <c:h val="0.74429415840026902"/>
        </c:manualLayout>
      </c:layout>
      <c:ofPieChart>
        <c:ofPieType val="pie"/>
        <c:varyColors val="1"/>
        <c:ser>
          <c:idx val="1"/>
          <c:order val="0"/>
          <c:spPr>
            <a:scene3d>
              <a:camera prst="orthographicFront"/>
              <a:lightRig rig="threePt" dir="t"/>
            </a:scene3d>
            <a:sp3d>
              <a:bevelT h="50800"/>
            </a:sp3d>
          </c:spPr>
          <c:dPt>
            <c:idx val="0"/>
            <c:bubble3D val="0"/>
            <c:spPr>
              <a:solidFill>
                <a:srgbClr val="791134"/>
              </a:solidFill>
              <a:scene3d>
                <a:camera prst="orthographicFront"/>
                <a:lightRig rig="threePt" dir="t"/>
              </a:scene3d>
              <a:sp3d>
                <a:bevelT h="50800"/>
              </a:sp3d>
            </c:spPr>
            <c:extLst>
              <c:ext xmlns:c16="http://schemas.microsoft.com/office/drawing/2014/chart" uri="{C3380CC4-5D6E-409C-BE32-E72D297353CC}">
                <c16:uniqueId val="{00000001-1749-433E-8ACD-2B004D70FE54}"/>
              </c:ext>
            </c:extLst>
          </c:dPt>
          <c:dPt>
            <c:idx val="1"/>
            <c:bubble3D val="0"/>
            <c:spPr>
              <a:solidFill>
                <a:srgbClr val="E5D8AB"/>
              </a:solidFill>
              <a:scene3d>
                <a:camera prst="orthographicFront"/>
                <a:lightRig rig="threePt" dir="t"/>
              </a:scene3d>
              <a:sp3d>
                <a:bevelT h="50800"/>
              </a:sp3d>
            </c:spPr>
            <c:extLst>
              <c:ext xmlns:c16="http://schemas.microsoft.com/office/drawing/2014/chart" uri="{C3380CC4-5D6E-409C-BE32-E72D297353CC}">
                <c16:uniqueId val="{00000003-1749-433E-8ACD-2B004D70FE54}"/>
              </c:ext>
            </c:extLst>
          </c:dPt>
          <c:dPt>
            <c:idx val="2"/>
            <c:bubble3D val="0"/>
            <c:spPr>
              <a:solidFill>
                <a:srgbClr val="F6A800"/>
              </a:solidFill>
              <a:scene3d>
                <a:camera prst="orthographicFront"/>
                <a:lightRig rig="threePt" dir="t"/>
              </a:scene3d>
              <a:sp3d>
                <a:bevelT h="50800"/>
              </a:sp3d>
            </c:spPr>
            <c:extLst>
              <c:ext xmlns:c16="http://schemas.microsoft.com/office/drawing/2014/chart" uri="{C3380CC4-5D6E-409C-BE32-E72D297353CC}">
                <c16:uniqueId val="{00000005-1749-433E-8ACD-2B004D70FE54}"/>
              </c:ext>
            </c:extLst>
          </c:dPt>
          <c:dPt>
            <c:idx val="3"/>
            <c:bubble3D val="0"/>
            <c:spPr>
              <a:solidFill>
                <a:srgbClr val="1E304F"/>
              </a:solidFill>
              <a:scene3d>
                <a:camera prst="orthographicFront"/>
                <a:lightRig rig="threePt" dir="t"/>
              </a:scene3d>
              <a:sp3d>
                <a:bevelT h="50800"/>
              </a:sp3d>
            </c:spPr>
            <c:extLst>
              <c:ext xmlns:c16="http://schemas.microsoft.com/office/drawing/2014/chart" uri="{C3380CC4-5D6E-409C-BE32-E72D297353CC}">
                <c16:uniqueId val="{00000007-1749-433E-8ACD-2B004D70FE54}"/>
              </c:ext>
            </c:extLst>
          </c:dPt>
          <c:dPt>
            <c:idx val="4"/>
            <c:bubble3D val="0"/>
            <c:spPr>
              <a:solidFill>
                <a:srgbClr val="00688D"/>
              </a:solidFill>
              <a:scene3d>
                <a:camera prst="orthographicFront"/>
                <a:lightRig rig="threePt" dir="t"/>
              </a:scene3d>
              <a:sp3d>
                <a:bevelT h="50800"/>
              </a:sp3d>
            </c:spPr>
            <c:extLst>
              <c:ext xmlns:c16="http://schemas.microsoft.com/office/drawing/2014/chart" uri="{C3380CC4-5D6E-409C-BE32-E72D297353CC}">
                <c16:uniqueId val="{00000009-1749-433E-8ACD-2B004D70FE54}"/>
              </c:ext>
            </c:extLst>
          </c:dPt>
          <c:dPt>
            <c:idx val="5"/>
            <c:bubble3D val="0"/>
            <c:spPr>
              <a:solidFill>
                <a:srgbClr val="8CB8DC"/>
              </a:solidFill>
              <a:scene3d>
                <a:camera prst="orthographicFront"/>
                <a:lightRig rig="threePt" dir="t"/>
              </a:scene3d>
              <a:sp3d>
                <a:bevelT h="50800"/>
              </a:sp3d>
            </c:spPr>
            <c:extLst>
              <c:ext xmlns:c16="http://schemas.microsoft.com/office/drawing/2014/chart" uri="{C3380CC4-5D6E-409C-BE32-E72D297353CC}">
                <c16:uniqueId val="{0000000B-1749-433E-8ACD-2B004D70FE54}"/>
              </c:ext>
            </c:extLst>
          </c:dPt>
          <c:dPt>
            <c:idx val="6"/>
            <c:bubble3D val="0"/>
            <c:spPr>
              <a:solidFill>
                <a:srgbClr val="919494"/>
              </a:solidFill>
              <a:scene3d>
                <a:camera prst="orthographicFront"/>
                <a:lightRig rig="threePt" dir="t"/>
              </a:scene3d>
              <a:sp3d>
                <a:bevelT h="50800"/>
              </a:sp3d>
            </c:spPr>
            <c:extLst>
              <c:ext xmlns:c16="http://schemas.microsoft.com/office/drawing/2014/chart" uri="{C3380CC4-5D6E-409C-BE32-E72D297353CC}">
                <c16:uniqueId val="{0000000D-1749-433E-8ACD-2B004D70FE54}"/>
              </c:ext>
            </c:extLst>
          </c:dPt>
          <c:dLbls>
            <c:dLbl>
              <c:idx val="0"/>
              <c:tx>
                <c:rich>
                  <a:bodyPr wrap="square" lIns="0" tIns="0" rIns="0" bIns="0" anchor="ctr">
                    <a:spAutoFit/>
                  </a:bodyPr>
                  <a:lstStyle/>
                  <a:p>
                    <a:pPr>
                      <a:defRPr sz="900" b="1">
                        <a:solidFill>
                          <a:schemeClr val="bg1"/>
                        </a:solidFill>
                      </a:defRPr>
                    </a:pPr>
                    <a:fld id="{7B05BDFE-DB25-4EA8-834D-F68E6D613CA5}" type="CATEGORYNAME">
                      <a:rPr lang="en-US"/>
                      <a:pPr>
                        <a:defRPr sz="900" b="1">
                          <a:solidFill>
                            <a:schemeClr val="bg1"/>
                          </a:solidFill>
                        </a:defRPr>
                      </a:pPr>
                      <a:t>[CATEGORY NAME]</a:t>
                    </a:fld>
                    <a:r>
                      <a:rPr lang="en-US" baseline="0"/>
                      <a:t>
29%</a:t>
                    </a:r>
                  </a:p>
                </c:rich>
              </c:tx>
              <c:spPr>
                <a:noFill/>
                <a:ln>
                  <a:noFill/>
                </a:ln>
                <a:effectLst/>
              </c:spPr>
              <c:dLblPos val="ct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1-1749-433E-8ACD-2B004D70FE54}"/>
                </c:ext>
              </c:extLst>
            </c:dLbl>
            <c:dLbl>
              <c:idx val="1"/>
              <c:layout>
                <c:manualLayout>
                  <c:x val="3.0440415821619708E-2"/>
                  <c:y val="1.2293797905323697E-2"/>
                </c:manualLayout>
              </c:layout>
              <c:tx>
                <c:rich>
                  <a:bodyPr/>
                  <a:lstStyle/>
                  <a:p>
                    <a:fld id="{9BCAAC53-1020-4B72-AF67-B0FB3D0B232D}" type="CATEGORYNAME">
                      <a:rPr lang="en-US"/>
                      <a:pPr/>
                      <a:t>[CATEGORY NAME]</a:t>
                    </a:fld>
                    <a:r>
                      <a:rPr lang="en-US" baseline="0"/>
                      <a:t>
20%</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749-433E-8ACD-2B004D70FE54}"/>
                </c:ext>
              </c:extLst>
            </c:dLbl>
            <c:dLbl>
              <c:idx val="2"/>
              <c:layout>
                <c:manualLayout>
                  <c:x val="-7.0335188652555752E-2"/>
                  <c:y val="-0.1402240456126867"/>
                </c:manualLayout>
              </c:layout>
              <c:tx>
                <c:rich>
                  <a:bodyPr wrap="square" lIns="0" tIns="0" rIns="0" bIns="0" anchor="ctr">
                    <a:spAutoFit/>
                  </a:bodyPr>
                  <a:lstStyle/>
                  <a:p>
                    <a:pPr>
                      <a:defRPr sz="900" b="1">
                        <a:solidFill>
                          <a:schemeClr val="tx1"/>
                        </a:solidFill>
                      </a:defRPr>
                    </a:pPr>
                    <a:fld id="{F28FF6D0-20F7-4726-8E68-C7E1EF72A093}" type="CATEGORYNAME">
                      <a:rPr lang="en-US"/>
                      <a:pPr>
                        <a:defRPr sz="900" b="1">
                          <a:solidFill>
                            <a:schemeClr val="tx1"/>
                          </a:solidFill>
                        </a:defRPr>
                      </a:pPr>
                      <a:t>[CATEGORY NAME]</a:t>
                    </a:fld>
                    <a:r>
                      <a:rPr lang="en-US" baseline="0"/>
                      <a:t>
4%</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9.7880585560780081E-2"/>
                      <c:h val="0.13673014785353718"/>
                    </c:manualLayout>
                  </c15:layout>
                  <c15:dlblFieldTable/>
                  <c15:showDataLabelsRange val="0"/>
                </c:ext>
                <c:ext xmlns:c16="http://schemas.microsoft.com/office/drawing/2014/chart" uri="{C3380CC4-5D6E-409C-BE32-E72D297353CC}">
                  <c16:uniqueId val="{00000005-1749-433E-8ACD-2B004D70FE54}"/>
                </c:ext>
              </c:extLst>
            </c:dLbl>
            <c:dLbl>
              <c:idx val="3"/>
              <c:layout>
                <c:manualLayout>
                  <c:x val="0.11306544935172011"/>
                  <c:y val="-0.12498253121559072"/>
                </c:manualLayout>
              </c:layout>
              <c:tx>
                <c:rich>
                  <a:bodyPr wrap="square" lIns="0" tIns="0" rIns="0" bIns="0" anchor="ctr">
                    <a:noAutofit/>
                  </a:bodyPr>
                  <a:lstStyle/>
                  <a:p>
                    <a:pPr>
                      <a:defRPr sz="900" b="1">
                        <a:solidFill>
                          <a:schemeClr val="tx1"/>
                        </a:solidFill>
                      </a:defRPr>
                    </a:pPr>
                    <a:fld id="{26DF8311-5784-46D3-A31B-B54BB827B556}" type="CATEGORYNAME">
                      <a:rPr lang="en-US">
                        <a:solidFill>
                          <a:schemeClr val="bg1"/>
                        </a:solidFill>
                      </a:rPr>
                      <a:pPr>
                        <a:defRPr sz="900" b="1">
                          <a:solidFill>
                            <a:schemeClr val="tx1"/>
                          </a:solidFill>
                        </a:defRPr>
                      </a:pPr>
                      <a:t>[CATEGORY NAME]</a:t>
                    </a:fld>
                    <a:r>
                      <a:rPr lang="en-US" baseline="0">
                        <a:solidFill>
                          <a:schemeClr val="bg1"/>
                        </a:solidFill>
                      </a:rPr>
                      <a:t>
6%</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13005030155024702"/>
                      <c:h val="0.17029386778153957"/>
                    </c:manualLayout>
                  </c15:layout>
                  <c15:dlblFieldTable/>
                  <c15:showDataLabelsRange val="0"/>
                </c:ext>
                <c:ext xmlns:c16="http://schemas.microsoft.com/office/drawing/2014/chart" uri="{C3380CC4-5D6E-409C-BE32-E72D297353CC}">
                  <c16:uniqueId val="{00000007-1749-433E-8ACD-2B004D70FE54}"/>
                </c:ext>
              </c:extLst>
            </c:dLbl>
            <c:dLbl>
              <c:idx val="4"/>
              <c:tx>
                <c:rich>
                  <a:bodyPr wrap="square" lIns="0" tIns="0" rIns="0" bIns="0" anchor="ctr">
                    <a:spAutoFit/>
                  </a:bodyPr>
                  <a:lstStyle/>
                  <a:p>
                    <a:pPr>
                      <a:defRPr sz="900" b="1">
                        <a:solidFill>
                          <a:schemeClr val="bg1"/>
                        </a:solidFill>
                      </a:defRPr>
                    </a:pPr>
                    <a:fld id="{261D01CB-A31C-41A4-B4B4-329C22450CAE}" type="CATEGORYNAME">
                      <a:rPr lang="en-US"/>
                      <a:pPr>
                        <a:defRPr sz="900" b="1">
                          <a:solidFill>
                            <a:schemeClr val="bg1"/>
                          </a:solidFill>
                        </a:defRPr>
                      </a:pPr>
                      <a:t>[CATEGORY NAME]</a:t>
                    </a:fld>
                    <a:r>
                      <a:rPr lang="en-US" baseline="0"/>
                      <a:t>
30%</a:t>
                    </a:r>
                  </a:p>
                </c:rich>
              </c:tx>
              <c:spPr>
                <a:noFill/>
                <a:ln>
                  <a:noFill/>
                </a:ln>
                <a:effectLst/>
              </c:spPr>
              <c:dLblPos val="ct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9-1749-433E-8ACD-2B004D70FE54}"/>
                </c:ext>
              </c:extLst>
            </c:dLbl>
            <c:dLbl>
              <c:idx val="5"/>
              <c:layout>
                <c:manualLayout>
                  <c:x val="9.2563363112379796E-2"/>
                  <c:y val="0.18461800276570303"/>
                </c:manualLayout>
              </c:layout>
              <c:tx>
                <c:rich>
                  <a:bodyPr wrap="square" lIns="0" tIns="0" rIns="0" bIns="0" anchor="ctr">
                    <a:noAutofit/>
                  </a:bodyPr>
                  <a:lstStyle/>
                  <a:p>
                    <a:pPr>
                      <a:defRPr sz="900" b="1">
                        <a:solidFill>
                          <a:schemeClr val="tx1"/>
                        </a:solidFill>
                      </a:defRPr>
                    </a:pPr>
                    <a:fld id="{ED7E29A2-A0C4-4005-9E80-A3237C833D35}" type="CATEGORYNAME">
                      <a:rPr lang="en-US"/>
                      <a:pPr>
                        <a:defRPr sz="900" b="1">
                          <a:solidFill>
                            <a:schemeClr val="tx1"/>
                          </a:solidFill>
                        </a:defRPr>
                      </a:pPr>
                      <a:t>[CATEGORY NAME]</a:t>
                    </a:fld>
                    <a:r>
                      <a:rPr lang="en-US" baseline="0"/>
                      <a:t>
5%</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0.15895834558934252"/>
                      <c:h val="0.17990819308529163"/>
                    </c:manualLayout>
                  </c15:layout>
                  <c15:dlblFieldTable/>
                  <c15:showDataLabelsRange val="0"/>
                </c:ext>
                <c:ext xmlns:c16="http://schemas.microsoft.com/office/drawing/2014/chart" uri="{C3380CC4-5D6E-409C-BE32-E72D297353CC}">
                  <c16:uniqueId val="{0000000B-1749-433E-8ACD-2B004D70FE54}"/>
                </c:ext>
              </c:extLst>
            </c:dLbl>
            <c:dLbl>
              <c:idx val="6"/>
              <c:layout>
                <c:manualLayout>
                  <c:x val="6.7043036030248323E-3"/>
                  <c:y val="2.9850489745823536E-2"/>
                </c:manualLayout>
              </c:layout>
              <c:tx>
                <c:rich>
                  <a:bodyPr wrap="square" lIns="0" tIns="0" rIns="0" bIns="0" anchor="ctr">
                    <a:noAutofit/>
                  </a:bodyPr>
                  <a:lstStyle/>
                  <a:p>
                    <a:pPr>
                      <a:defRPr sz="900" b="1">
                        <a:solidFill>
                          <a:schemeClr val="bg1">
                            <a:lumMod val="95000"/>
                          </a:schemeClr>
                        </a:solidFill>
                      </a:defRPr>
                    </a:pPr>
                    <a:fld id="{56D594B7-C992-4CC5-9E88-7554A0C8D0C2}" type="CATEGORYNAME">
                      <a:rPr lang="en-US">
                        <a:solidFill>
                          <a:schemeClr val="tx1"/>
                        </a:solidFill>
                      </a:rPr>
                      <a:pPr>
                        <a:defRPr sz="900" b="1">
                          <a:solidFill>
                            <a:schemeClr val="bg1">
                              <a:lumMod val="95000"/>
                            </a:schemeClr>
                          </a:solidFill>
                        </a:defRPr>
                      </a:pPr>
                      <a:t>[CATEGORY NAME]</a:t>
                    </a:fld>
                    <a:r>
                      <a:rPr lang="en-US" baseline="0">
                        <a:solidFill>
                          <a:schemeClr val="tx1"/>
                        </a:solidFill>
                      </a:rPr>
                      <a:t>
</a:t>
                    </a:r>
                    <a:fld id="{9926F80A-F238-487A-88C9-7A8A45F2885F}" type="PERCENTAGE">
                      <a:rPr lang="en-US" baseline="0">
                        <a:solidFill>
                          <a:schemeClr val="tx1"/>
                        </a:solidFill>
                      </a:rPr>
                      <a:pPr>
                        <a:defRPr sz="900" b="1">
                          <a:solidFill>
                            <a:schemeClr val="bg1">
                              <a:lumMod val="95000"/>
                            </a:schemeClr>
                          </a:solidFill>
                        </a:defRPr>
                      </a:pPr>
                      <a:t>[PERCENTAGE]</a:t>
                    </a:fld>
                    <a:endParaRPr lang="en-US" baseline="0">
                      <a:solidFill>
                        <a:schemeClr val="tx1"/>
                      </a:solidFill>
                    </a:endParaRP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0.11484841585782207"/>
                      <c:h val="0.17281333082383915"/>
                    </c:manualLayout>
                  </c15:layout>
                  <c15:dlblFieldTable/>
                  <c15:showDataLabelsRange val="0"/>
                </c:ext>
                <c:ext xmlns:c16="http://schemas.microsoft.com/office/drawing/2014/chart" uri="{C3380CC4-5D6E-409C-BE32-E72D297353CC}">
                  <c16:uniqueId val="{0000000D-1749-433E-8ACD-2B004D70FE54}"/>
                </c:ext>
              </c:extLst>
            </c:dLbl>
            <c:dLbl>
              <c:idx val="7"/>
              <c:layout>
                <c:manualLayout>
                  <c:x val="-0.11670199258132401"/>
                  <c:y val="7.677051765079787E-2"/>
                </c:manualLayout>
              </c:layout>
              <c:tx>
                <c:rich>
                  <a:bodyPr wrap="square" lIns="0" tIns="0" rIns="0" bIns="0" anchor="ctr">
                    <a:noAutofit/>
                  </a:bodyPr>
                  <a:lstStyle/>
                  <a:p>
                    <a:pPr>
                      <a:defRPr sz="900" b="1">
                        <a:solidFill>
                          <a:schemeClr val="tx1"/>
                        </a:solidFill>
                      </a:defRPr>
                    </a:pPr>
                    <a:fld id="{C1EAE755-5D60-4C19-8253-686D9BFDF34D}" type="CATEGORYNAME">
                      <a:rPr lang="en-US"/>
                      <a:pPr>
                        <a:defRPr sz="900" b="1">
                          <a:solidFill>
                            <a:schemeClr val="tx1"/>
                          </a:solidFill>
                        </a:defRPr>
                      </a:pPr>
                      <a:t>[CATEGORY NAME]</a:t>
                    </a:fld>
                    <a:r>
                      <a:rPr lang="en-US" baseline="0"/>
                      <a:t>
5%</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11224824336603352"/>
                      <c:h val="0.16559167899812577"/>
                    </c:manualLayout>
                  </c15:layout>
                  <c15:dlblFieldTable/>
                  <c15:showDataLabelsRange val="0"/>
                </c:ext>
                <c:ext xmlns:c16="http://schemas.microsoft.com/office/drawing/2014/chart" uri="{C3380CC4-5D6E-409C-BE32-E72D297353CC}">
                  <c16:uniqueId val="{0000000E-1749-433E-8ACD-2B004D70FE54}"/>
                </c:ext>
              </c:extLst>
            </c:dLbl>
            <c:dLbl>
              <c:idx val="8"/>
              <c:tx>
                <c:rich>
                  <a:bodyPr/>
                  <a:lstStyle/>
                  <a:p>
                    <a:fld id="{DED45300-EBA1-4B13-A9D3-AEDBC8342741}" type="CATEGORYNAME">
                      <a:rPr lang="en-US"/>
                      <a:pPr/>
                      <a:t>[CATEGORY NAME]</a:t>
                    </a:fld>
                    <a:r>
                      <a:rPr lang="en-US" baseline="0"/>
                      <a:t>
21%</a:t>
                    </a:r>
                  </a:p>
                </c:rich>
              </c:tx>
              <c:dLblPos val="ct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1749-433E-8ACD-2B004D70FE54}"/>
                </c:ext>
              </c:extLst>
            </c:dLbl>
            <c:spPr>
              <a:noFill/>
              <a:ln>
                <a:noFill/>
              </a:ln>
              <a:effectLst/>
            </c:spPr>
            <c:txPr>
              <a:bodyPr wrap="square" lIns="0" tIns="0" rIns="0" bIns="0" anchor="ctr">
                <a:spAutoFit/>
              </a:bodyPr>
              <a:lstStyle/>
              <a:p>
                <a:pPr>
                  <a:defRPr sz="900" b="1">
                    <a:solidFill>
                      <a:schemeClr val="tx1"/>
                    </a:solidFill>
                  </a:defRPr>
                </a:pPr>
                <a:endParaRPr lang="en-US"/>
              </a:p>
            </c:txPr>
            <c:dLblPos val="ctr"/>
            <c:showLegendKey val="0"/>
            <c:showVal val="0"/>
            <c:showCatName val="1"/>
            <c:showSerName val="0"/>
            <c:showPercent val="1"/>
            <c:showBubbleSize val="0"/>
            <c:showLeaderLines val="1"/>
            <c:extLst>
              <c:ext xmlns:c15="http://schemas.microsoft.com/office/drawing/2012/chart" uri="{CE6537A1-D6FC-4f65-9D91-7224C49458BB}">
                <c15:spPr xmlns:c15="http://schemas.microsoft.com/office/drawing/2012/chart">
                  <a:prstGeom prst="rect">
                    <a:avLst/>
                  </a:prstGeom>
                </c15:spPr>
              </c:ext>
            </c:extLst>
          </c:dLbls>
          <c:cat>
            <c:strRef>
              <c:f>'2023'!$A$2:$A$9</c:f>
              <c:strCache>
                <c:ptCount val="8"/>
                <c:pt idx="0">
                  <c:v>Net Student Fees </c:v>
                </c:pt>
                <c:pt idx="1">
                  <c:v>Grants &amp; Contracts </c:v>
                </c:pt>
                <c:pt idx="2">
                  <c:v>Indirect Cost Recovery </c:v>
                </c:pt>
                <c:pt idx="3">
                  <c:v>Educ. Sales &amp; Services/Aux. Enterprises</c:v>
                </c:pt>
                <c:pt idx="4">
                  <c:v>Noncapital State Appropriation </c:v>
                </c:pt>
                <c:pt idx="5">
                  <c:v>Federal Pell Grants</c:v>
                </c:pt>
                <c:pt idx="6">
                  <c:v>Coronavirus Relief Funding</c:v>
                </c:pt>
                <c:pt idx="7">
                  <c:v>Other Nonoperating Revenues Net </c:v>
                </c:pt>
              </c:strCache>
            </c:strRef>
          </c:cat>
          <c:val>
            <c:numRef>
              <c:f>'2023'!$C$2:$C$9</c:f>
              <c:numCache>
                <c:formatCode>0%</c:formatCode>
                <c:ptCount val="8"/>
                <c:pt idx="0">
                  <c:v>0.32</c:v>
                </c:pt>
                <c:pt idx="1">
                  <c:v>0.18</c:v>
                </c:pt>
                <c:pt idx="2">
                  <c:v>0.03</c:v>
                </c:pt>
                <c:pt idx="3">
                  <c:v>0.05</c:v>
                </c:pt>
                <c:pt idx="4">
                  <c:v>0.32</c:v>
                </c:pt>
                <c:pt idx="5">
                  <c:v>0.04</c:v>
                </c:pt>
                <c:pt idx="6">
                  <c:v>0.01</c:v>
                </c:pt>
                <c:pt idx="7">
                  <c:v>0.05</c:v>
                </c:pt>
              </c:numCache>
            </c:numRef>
          </c:val>
          <c:extLst>
            <c:ext xmlns:c16="http://schemas.microsoft.com/office/drawing/2014/chart" uri="{C3380CC4-5D6E-409C-BE32-E72D297353CC}">
              <c16:uniqueId val="{00000010-1749-433E-8ACD-2B004D70FE54}"/>
            </c:ext>
          </c:extLst>
        </c:ser>
        <c:dLbls>
          <c:showLegendKey val="0"/>
          <c:showVal val="0"/>
          <c:showCatName val="1"/>
          <c:showSerName val="0"/>
          <c:showPercent val="1"/>
          <c:showBubbleSize val="0"/>
          <c:showLeaderLines val="1"/>
        </c:dLbls>
        <c:gapWidth val="100"/>
        <c:splitType val="percent"/>
        <c:splitPos val="10"/>
        <c:secondPieSize val="75"/>
        <c:serLines/>
      </c:ofPieChart>
    </c:plotArea>
    <c:plotVisOnly val="1"/>
    <c:dispBlanksAs val="gap"/>
    <c:showDLblsOverMax val="0"/>
  </c:chart>
  <c:spPr>
    <a:noFill/>
    <a:ln w="12700">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a:solidFill>
                  <a:schemeClr val="tx1">
                    <a:lumMod val="95000"/>
                    <a:lumOff val="5000"/>
                  </a:schemeClr>
                </a:solidFill>
                <a:latin typeface="+mn-lt"/>
              </a:defRPr>
            </a:pPr>
            <a:r>
              <a:rPr lang="en-US" sz="1400" b="1">
                <a:solidFill>
                  <a:schemeClr val="tx1">
                    <a:lumMod val="95000"/>
                    <a:lumOff val="5000"/>
                  </a:schemeClr>
                </a:solidFill>
                <a:latin typeface="+mn-lt"/>
                <a:cs typeface="Arial" panose="020B0604020202020204" pitchFamily="34" charset="0"/>
              </a:rPr>
              <a:t>2024 - $858 million</a:t>
            </a:r>
          </a:p>
        </c:rich>
      </c:tx>
      <c:layout>
        <c:manualLayout>
          <c:xMode val="edge"/>
          <c:yMode val="edge"/>
          <c:x val="0.36336108910410836"/>
          <c:y val="4.3483715478961349E-2"/>
        </c:manualLayout>
      </c:layout>
      <c:overlay val="0"/>
    </c:title>
    <c:autoTitleDeleted val="0"/>
    <c:plotArea>
      <c:layout>
        <c:manualLayout>
          <c:layoutTarget val="inner"/>
          <c:xMode val="edge"/>
          <c:yMode val="edge"/>
          <c:x val="2.5462962962962962E-2"/>
          <c:y val="0.12258578790482798"/>
          <c:w val="0.84303580179138482"/>
          <c:h val="0.74429415840026902"/>
        </c:manualLayout>
      </c:layout>
      <c:ofPieChart>
        <c:ofPieType val="pie"/>
        <c:varyColors val="1"/>
        <c:ser>
          <c:idx val="1"/>
          <c:order val="0"/>
          <c:spPr>
            <a:scene3d>
              <a:camera prst="orthographicFront"/>
              <a:lightRig rig="threePt" dir="t"/>
            </a:scene3d>
            <a:sp3d>
              <a:bevelT h="50800"/>
            </a:sp3d>
          </c:spPr>
          <c:dPt>
            <c:idx val="0"/>
            <c:bubble3D val="0"/>
            <c:spPr>
              <a:solidFill>
                <a:srgbClr val="791134"/>
              </a:solidFill>
              <a:scene3d>
                <a:camera prst="orthographicFront"/>
                <a:lightRig rig="threePt" dir="t"/>
              </a:scene3d>
              <a:sp3d>
                <a:bevelT h="50800"/>
              </a:sp3d>
            </c:spPr>
            <c:extLst>
              <c:ext xmlns:c16="http://schemas.microsoft.com/office/drawing/2014/chart" uri="{C3380CC4-5D6E-409C-BE32-E72D297353CC}">
                <c16:uniqueId val="{00000001-2021-4F87-A60F-DACFC8E76A0A}"/>
              </c:ext>
            </c:extLst>
          </c:dPt>
          <c:dPt>
            <c:idx val="1"/>
            <c:bubble3D val="0"/>
            <c:spPr>
              <a:solidFill>
                <a:srgbClr val="E5D8AB"/>
              </a:solidFill>
              <a:scene3d>
                <a:camera prst="orthographicFront"/>
                <a:lightRig rig="threePt" dir="t"/>
              </a:scene3d>
              <a:sp3d>
                <a:bevelT h="50800"/>
              </a:sp3d>
            </c:spPr>
            <c:extLst>
              <c:ext xmlns:c16="http://schemas.microsoft.com/office/drawing/2014/chart" uri="{C3380CC4-5D6E-409C-BE32-E72D297353CC}">
                <c16:uniqueId val="{00000003-2021-4F87-A60F-DACFC8E76A0A}"/>
              </c:ext>
            </c:extLst>
          </c:dPt>
          <c:dPt>
            <c:idx val="2"/>
            <c:bubble3D val="0"/>
            <c:spPr>
              <a:solidFill>
                <a:srgbClr val="F6A800"/>
              </a:solidFill>
              <a:scene3d>
                <a:camera prst="orthographicFront"/>
                <a:lightRig rig="threePt" dir="t"/>
              </a:scene3d>
              <a:sp3d>
                <a:bevelT h="50800"/>
              </a:sp3d>
            </c:spPr>
            <c:extLst>
              <c:ext xmlns:c16="http://schemas.microsoft.com/office/drawing/2014/chart" uri="{C3380CC4-5D6E-409C-BE32-E72D297353CC}">
                <c16:uniqueId val="{00000005-2021-4F87-A60F-DACFC8E76A0A}"/>
              </c:ext>
            </c:extLst>
          </c:dPt>
          <c:dPt>
            <c:idx val="3"/>
            <c:bubble3D val="0"/>
            <c:spPr>
              <a:solidFill>
                <a:srgbClr val="1E304F"/>
              </a:solidFill>
              <a:scene3d>
                <a:camera prst="orthographicFront"/>
                <a:lightRig rig="threePt" dir="t"/>
              </a:scene3d>
              <a:sp3d>
                <a:bevelT h="50800"/>
              </a:sp3d>
            </c:spPr>
            <c:extLst>
              <c:ext xmlns:c16="http://schemas.microsoft.com/office/drawing/2014/chart" uri="{C3380CC4-5D6E-409C-BE32-E72D297353CC}">
                <c16:uniqueId val="{00000007-2021-4F87-A60F-DACFC8E76A0A}"/>
              </c:ext>
            </c:extLst>
          </c:dPt>
          <c:dPt>
            <c:idx val="4"/>
            <c:bubble3D val="0"/>
            <c:spPr>
              <a:solidFill>
                <a:srgbClr val="00688D"/>
              </a:solidFill>
              <a:scene3d>
                <a:camera prst="orthographicFront"/>
                <a:lightRig rig="threePt" dir="t"/>
              </a:scene3d>
              <a:sp3d>
                <a:bevelT h="50800"/>
              </a:sp3d>
            </c:spPr>
            <c:extLst>
              <c:ext xmlns:c16="http://schemas.microsoft.com/office/drawing/2014/chart" uri="{C3380CC4-5D6E-409C-BE32-E72D297353CC}">
                <c16:uniqueId val="{00000009-2021-4F87-A60F-DACFC8E76A0A}"/>
              </c:ext>
            </c:extLst>
          </c:dPt>
          <c:dPt>
            <c:idx val="5"/>
            <c:bubble3D val="0"/>
            <c:spPr>
              <a:solidFill>
                <a:srgbClr val="8CB8DC"/>
              </a:solidFill>
              <a:scene3d>
                <a:camera prst="orthographicFront"/>
                <a:lightRig rig="threePt" dir="t"/>
              </a:scene3d>
              <a:sp3d>
                <a:bevelT h="50800"/>
              </a:sp3d>
            </c:spPr>
            <c:extLst>
              <c:ext xmlns:c16="http://schemas.microsoft.com/office/drawing/2014/chart" uri="{C3380CC4-5D6E-409C-BE32-E72D297353CC}">
                <c16:uniqueId val="{0000000B-2021-4F87-A60F-DACFC8E76A0A}"/>
              </c:ext>
            </c:extLst>
          </c:dPt>
          <c:dPt>
            <c:idx val="6"/>
            <c:bubble3D val="0"/>
            <c:spPr>
              <a:solidFill>
                <a:srgbClr val="919494"/>
              </a:solidFill>
              <a:scene3d>
                <a:camera prst="orthographicFront"/>
                <a:lightRig rig="threePt" dir="t"/>
              </a:scene3d>
              <a:sp3d>
                <a:bevelT h="50800"/>
              </a:sp3d>
            </c:spPr>
            <c:extLst>
              <c:ext xmlns:c16="http://schemas.microsoft.com/office/drawing/2014/chart" uri="{C3380CC4-5D6E-409C-BE32-E72D297353CC}">
                <c16:uniqueId val="{0000000D-2021-4F87-A60F-DACFC8E76A0A}"/>
              </c:ext>
            </c:extLst>
          </c:dPt>
          <c:dLbls>
            <c:dLbl>
              <c:idx val="0"/>
              <c:tx>
                <c:rich>
                  <a:bodyPr wrap="square" lIns="0" tIns="0" rIns="0" bIns="0" anchor="ctr">
                    <a:spAutoFit/>
                  </a:bodyPr>
                  <a:lstStyle/>
                  <a:p>
                    <a:pPr>
                      <a:defRPr sz="900" b="1">
                        <a:solidFill>
                          <a:schemeClr val="bg1"/>
                        </a:solidFill>
                      </a:defRPr>
                    </a:pPr>
                    <a:fld id="{7B05BDFE-DB25-4EA8-834D-F68E6D613CA5}" type="CATEGORYNAME">
                      <a:rPr lang="en-US"/>
                      <a:pPr>
                        <a:defRPr sz="900" b="1">
                          <a:solidFill>
                            <a:schemeClr val="bg1"/>
                          </a:solidFill>
                        </a:defRPr>
                      </a:pPr>
                      <a:t>[CATEGORY NAME]</a:t>
                    </a:fld>
                    <a:r>
                      <a:rPr lang="en-US" baseline="0"/>
                      <a:t>
31%</a:t>
                    </a:r>
                  </a:p>
                </c:rich>
              </c:tx>
              <c:spPr>
                <a:noFill/>
                <a:ln>
                  <a:noFill/>
                </a:ln>
                <a:effectLst/>
              </c:spPr>
              <c:dLblPos val="ct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1-2021-4F87-A60F-DACFC8E76A0A}"/>
                </c:ext>
              </c:extLst>
            </c:dLbl>
            <c:dLbl>
              <c:idx val="1"/>
              <c:layout>
                <c:manualLayout>
                  <c:x val="7.3634161114476057E-3"/>
                  <c:y val="1.6923301254009832E-2"/>
                </c:manualLayout>
              </c:layout>
              <c:tx>
                <c:rich>
                  <a:bodyPr/>
                  <a:lstStyle/>
                  <a:p>
                    <a:fld id="{9BCAAC53-1020-4B72-AF67-B0FB3D0B232D}" type="CATEGORYNAME">
                      <a:rPr lang="en-US"/>
                      <a:pPr/>
                      <a:t>[CATEGORY NAME]</a:t>
                    </a:fld>
                    <a:r>
                      <a:rPr lang="en-US" baseline="0"/>
                      <a:t>
20%</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021-4F87-A60F-DACFC8E76A0A}"/>
                </c:ext>
              </c:extLst>
            </c:dLbl>
            <c:dLbl>
              <c:idx val="2"/>
              <c:layout>
                <c:manualLayout>
                  <c:x val="-3.0591560670300923E-2"/>
                  <c:y val="-2.2168452901720617E-2"/>
                </c:manualLayout>
              </c:layout>
              <c:spPr>
                <a:noFill/>
                <a:ln>
                  <a:noFill/>
                </a:ln>
                <a:effectLst/>
              </c:spPr>
              <c:txPr>
                <a:bodyPr wrap="square" lIns="0" tIns="0" rIns="0" bIns="0" anchor="ctr">
                  <a:noAutofit/>
                </a:bodyPr>
                <a:lstStyle/>
                <a:p>
                  <a:pPr>
                    <a:defRPr sz="900" b="1">
                      <a:solidFill>
                        <a:schemeClr val="tx1"/>
                      </a:solidFill>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7736785786392087"/>
                      <c:h val="0.16913750364537763"/>
                    </c:manualLayout>
                  </c15:layout>
                </c:ext>
                <c:ext xmlns:c16="http://schemas.microsoft.com/office/drawing/2014/chart" uri="{C3380CC4-5D6E-409C-BE32-E72D297353CC}">
                  <c16:uniqueId val="{00000005-2021-4F87-A60F-DACFC8E76A0A}"/>
                </c:ext>
              </c:extLst>
            </c:dLbl>
            <c:dLbl>
              <c:idx val="3"/>
              <c:layout>
                <c:manualLayout>
                  <c:x val="0.10921926105390672"/>
                  <c:y val="0.11112860892388443"/>
                </c:manualLayout>
              </c:layout>
              <c:tx>
                <c:rich>
                  <a:bodyPr wrap="square" lIns="0" tIns="0" rIns="0" bIns="0" anchor="ctr">
                    <a:noAutofit/>
                  </a:bodyPr>
                  <a:lstStyle/>
                  <a:p>
                    <a:pPr>
                      <a:defRPr sz="900" b="1">
                        <a:solidFill>
                          <a:schemeClr val="tx1"/>
                        </a:solidFill>
                      </a:defRPr>
                    </a:pPr>
                    <a:fld id="{26DF8311-5784-46D3-A31B-B54BB827B556}" type="CATEGORYNAME">
                      <a:rPr lang="en-US">
                        <a:solidFill>
                          <a:schemeClr val="tx1">
                            <a:lumMod val="95000"/>
                            <a:lumOff val="5000"/>
                          </a:schemeClr>
                        </a:solidFill>
                      </a:rPr>
                      <a:pPr>
                        <a:defRPr sz="900" b="1">
                          <a:solidFill>
                            <a:schemeClr val="tx1"/>
                          </a:solidFill>
                        </a:defRPr>
                      </a:pPr>
                      <a:t>[CATEGORY NAME]</a:t>
                    </a:fld>
                    <a:r>
                      <a:rPr lang="en-US" baseline="0">
                        <a:solidFill>
                          <a:schemeClr val="tx1">
                            <a:lumMod val="95000"/>
                            <a:lumOff val="5000"/>
                          </a:schemeClr>
                        </a:solidFill>
                      </a:rPr>
                      <a:t>
6%</a:t>
                    </a: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26594770845951948"/>
                      <c:h val="0.24436789151356081"/>
                    </c:manualLayout>
                  </c15:layout>
                  <c15:dlblFieldTable/>
                  <c15:showDataLabelsRange val="0"/>
                </c:ext>
                <c:ext xmlns:c16="http://schemas.microsoft.com/office/drawing/2014/chart" uri="{C3380CC4-5D6E-409C-BE32-E72D297353CC}">
                  <c16:uniqueId val="{00000007-2021-4F87-A60F-DACFC8E76A0A}"/>
                </c:ext>
              </c:extLst>
            </c:dLbl>
            <c:dLbl>
              <c:idx val="4"/>
              <c:tx>
                <c:rich>
                  <a:bodyPr wrap="square" lIns="0" tIns="0" rIns="0" bIns="0" anchor="ctr">
                    <a:spAutoFit/>
                  </a:bodyPr>
                  <a:lstStyle/>
                  <a:p>
                    <a:pPr>
                      <a:defRPr sz="900" b="1">
                        <a:solidFill>
                          <a:schemeClr val="bg1"/>
                        </a:solidFill>
                      </a:defRPr>
                    </a:pPr>
                    <a:fld id="{261D01CB-A31C-41A4-B4B4-329C22450CAE}" type="CATEGORYNAME">
                      <a:rPr lang="en-US"/>
                      <a:pPr>
                        <a:defRPr sz="900" b="1">
                          <a:solidFill>
                            <a:schemeClr val="bg1"/>
                          </a:solidFill>
                        </a:defRPr>
                      </a:pPr>
                      <a:t>[CATEGORY NAME]</a:t>
                    </a:fld>
                    <a:r>
                      <a:rPr lang="en-US" baseline="0"/>
                      <a:t>
30%</a:t>
                    </a:r>
                  </a:p>
                </c:rich>
              </c:tx>
              <c:spPr>
                <a:noFill/>
                <a:ln>
                  <a:noFill/>
                </a:ln>
                <a:effectLst/>
              </c:spPr>
              <c:dLblPos val="ct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9-2021-4F87-A60F-DACFC8E76A0A}"/>
                </c:ext>
              </c:extLst>
            </c:dLbl>
            <c:dLbl>
              <c:idx val="5"/>
              <c:layout>
                <c:manualLayout>
                  <c:x val="9.2563363112379796E-2"/>
                  <c:y val="0.18461800276570303"/>
                </c:manualLayout>
              </c:layout>
              <c:spPr>
                <a:noFill/>
                <a:ln>
                  <a:noFill/>
                </a:ln>
                <a:effectLst/>
              </c:spPr>
              <c:txPr>
                <a:bodyPr wrap="square" lIns="0" tIns="0" rIns="0" bIns="0" anchor="ctr">
                  <a:noAutofit/>
                </a:bodyPr>
                <a:lstStyle/>
                <a:p>
                  <a:pPr>
                    <a:defRPr sz="900" b="1">
                      <a:solidFill>
                        <a:schemeClr val="tx1"/>
                      </a:solidFill>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5895834558934252"/>
                      <c:h val="0.17990819308529163"/>
                    </c:manualLayout>
                  </c15:layout>
                </c:ext>
                <c:ext xmlns:c16="http://schemas.microsoft.com/office/drawing/2014/chart" uri="{C3380CC4-5D6E-409C-BE32-E72D297353CC}">
                  <c16:uniqueId val="{0000000B-2021-4F87-A60F-DACFC8E76A0A}"/>
                </c:ext>
              </c:extLst>
            </c:dLbl>
            <c:dLbl>
              <c:idx val="6"/>
              <c:layout>
                <c:manualLayout>
                  <c:x val="2.5546537452049264E-2"/>
                  <c:y val="2.9850539515893847E-2"/>
                </c:manualLayout>
              </c:layout>
              <c:tx>
                <c:rich>
                  <a:bodyPr wrap="square" lIns="0" tIns="0" rIns="0" bIns="0" anchor="ctr">
                    <a:noAutofit/>
                  </a:bodyPr>
                  <a:lstStyle/>
                  <a:p>
                    <a:pPr>
                      <a:defRPr sz="900" b="1">
                        <a:solidFill>
                          <a:schemeClr val="bg1">
                            <a:lumMod val="95000"/>
                          </a:schemeClr>
                        </a:solidFill>
                      </a:defRPr>
                    </a:pPr>
                    <a:fld id="{56D594B7-C992-4CC5-9E88-7554A0C8D0C2}" type="CATEGORYNAME">
                      <a:rPr lang="en-US">
                        <a:solidFill>
                          <a:schemeClr val="tx1"/>
                        </a:solidFill>
                      </a:rPr>
                      <a:pPr>
                        <a:defRPr sz="900" b="1">
                          <a:solidFill>
                            <a:schemeClr val="bg1">
                              <a:lumMod val="95000"/>
                            </a:schemeClr>
                          </a:solidFill>
                        </a:defRPr>
                      </a:pPr>
                      <a:t>[CATEGORY NAME]</a:t>
                    </a:fld>
                    <a:r>
                      <a:rPr lang="en-US" baseline="0">
                        <a:solidFill>
                          <a:schemeClr val="tx1"/>
                        </a:solidFill>
                      </a:rPr>
                      <a:t>
</a:t>
                    </a:r>
                    <a:fld id="{9926F80A-F238-487A-88C9-7A8A45F2885F}" type="PERCENTAGE">
                      <a:rPr lang="en-US" baseline="0">
                        <a:solidFill>
                          <a:schemeClr val="tx1"/>
                        </a:solidFill>
                      </a:rPr>
                      <a:pPr>
                        <a:defRPr sz="900" b="1">
                          <a:solidFill>
                            <a:schemeClr val="bg1">
                              <a:lumMod val="95000"/>
                            </a:schemeClr>
                          </a:solidFill>
                        </a:defRPr>
                      </a:pPr>
                      <a:t>[PERCENTAGE]</a:t>
                    </a:fld>
                    <a:endParaRPr lang="en-US" baseline="0">
                      <a:solidFill>
                        <a:schemeClr val="tx1"/>
                      </a:solidFill>
                    </a:endParaRP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0.2199765798505956"/>
                      <c:h val="0.17281350247885682"/>
                    </c:manualLayout>
                  </c15:layout>
                  <c15:dlblFieldTable/>
                  <c15:showDataLabelsRange val="0"/>
                </c:ext>
                <c:ext xmlns:c16="http://schemas.microsoft.com/office/drawing/2014/chart" uri="{C3380CC4-5D6E-409C-BE32-E72D297353CC}">
                  <c16:uniqueId val="{0000000D-2021-4F87-A60F-DACFC8E76A0A}"/>
                </c:ext>
              </c:extLst>
            </c:dLbl>
            <c:dLbl>
              <c:idx val="7"/>
              <c:layout>
                <c:manualLayout>
                  <c:x val="-1.541994750656168E-2"/>
                  <c:y val="8.1400189559638375E-2"/>
                </c:manualLayout>
              </c:layout>
              <c:spPr>
                <a:noFill/>
                <a:ln>
                  <a:noFill/>
                </a:ln>
                <a:effectLst/>
              </c:spPr>
              <c:txPr>
                <a:bodyPr wrap="square" lIns="0" tIns="0" rIns="0" bIns="0" anchor="ctr">
                  <a:noAutofit/>
                </a:bodyPr>
                <a:lstStyle/>
                <a:p>
                  <a:pPr>
                    <a:defRPr sz="900" b="1">
                      <a:solidFill>
                        <a:schemeClr val="tx1"/>
                      </a:solidFill>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2430175651120533"/>
                      <c:h val="0.16559164479440069"/>
                    </c:manualLayout>
                  </c15:layout>
                </c:ext>
                <c:ext xmlns:c16="http://schemas.microsoft.com/office/drawing/2014/chart" uri="{C3380CC4-5D6E-409C-BE32-E72D297353CC}">
                  <c16:uniqueId val="{0000000E-2021-4F87-A60F-DACFC8E76A0A}"/>
                </c:ext>
              </c:extLst>
            </c:dLbl>
            <c:dLbl>
              <c:idx val="8"/>
              <c:tx>
                <c:rich>
                  <a:bodyPr/>
                  <a:lstStyle/>
                  <a:p>
                    <a:fld id="{DED45300-EBA1-4B13-A9D3-AEDBC8342741}" type="CATEGORYNAME">
                      <a:rPr lang="en-US"/>
                      <a:pPr/>
                      <a:t>[CATEGORY NAME]</a:t>
                    </a:fld>
                    <a:r>
                      <a:rPr lang="en-US" baseline="0"/>
                      <a:t>
19%</a:t>
                    </a:r>
                  </a:p>
                </c:rich>
              </c:tx>
              <c:dLblPos val="ct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2021-4F87-A60F-DACFC8E76A0A}"/>
                </c:ext>
              </c:extLst>
            </c:dLbl>
            <c:spPr>
              <a:noFill/>
              <a:ln>
                <a:noFill/>
              </a:ln>
              <a:effectLst/>
            </c:spPr>
            <c:txPr>
              <a:bodyPr wrap="square" lIns="0" tIns="0" rIns="0" bIns="0" anchor="ctr">
                <a:spAutoFit/>
              </a:bodyPr>
              <a:lstStyle/>
              <a:p>
                <a:pPr>
                  <a:defRPr sz="900" b="1">
                    <a:solidFill>
                      <a:schemeClr val="tx1"/>
                    </a:solidFill>
                  </a:defRPr>
                </a:pPr>
                <a:endParaRPr lang="en-US"/>
              </a:p>
            </c:txPr>
            <c:dLblPos val="ctr"/>
            <c:showLegendKey val="0"/>
            <c:showVal val="0"/>
            <c:showCatName val="1"/>
            <c:showSerName val="0"/>
            <c:showPercent val="1"/>
            <c:showBubbleSize val="0"/>
            <c:showLeaderLines val="1"/>
            <c:extLst>
              <c:ext xmlns:c15="http://schemas.microsoft.com/office/drawing/2012/chart" uri="{CE6537A1-D6FC-4f65-9D91-7224C49458BB}">
                <c15:spPr xmlns:c15="http://schemas.microsoft.com/office/drawing/2012/chart">
                  <a:prstGeom prst="rect">
                    <a:avLst/>
                  </a:prstGeom>
                </c15:spPr>
              </c:ext>
            </c:extLst>
          </c:dLbls>
          <c:cat>
            <c:strRef>
              <c:f>'2023'!$A$2:$A$9</c:f>
              <c:strCache>
                <c:ptCount val="8"/>
                <c:pt idx="0">
                  <c:v>Net Student Fees </c:v>
                </c:pt>
                <c:pt idx="1">
                  <c:v>Grants &amp; Contracts </c:v>
                </c:pt>
                <c:pt idx="2">
                  <c:v>Indirect Cost Recovery </c:v>
                </c:pt>
                <c:pt idx="3">
                  <c:v>Educ. Sales &amp; Services/Aux. Enterprises</c:v>
                </c:pt>
                <c:pt idx="4">
                  <c:v>Noncapital State Appropriation </c:v>
                </c:pt>
                <c:pt idx="5">
                  <c:v>Federal Pell Grants</c:v>
                </c:pt>
                <c:pt idx="6">
                  <c:v>Coronavirus Relief Funding</c:v>
                </c:pt>
                <c:pt idx="7">
                  <c:v>Other Nonoperating Revenues Net </c:v>
                </c:pt>
              </c:strCache>
            </c:strRef>
          </c:cat>
          <c:val>
            <c:numRef>
              <c:f>'2023'!$C$2:$C$9</c:f>
              <c:numCache>
                <c:formatCode>0%</c:formatCode>
                <c:ptCount val="8"/>
                <c:pt idx="0">
                  <c:v>0.32</c:v>
                </c:pt>
                <c:pt idx="1">
                  <c:v>0.18</c:v>
                </c:pt>
                <c:pt idx="2">
                  <c:v>0.03</c:v>
                </c:pt>
                <c:pt idx="3">
                  <c:v>0.05</c:v>
                </c:pt>
                <c:pt idx="4">
                  <c:v>0.32</c:v>
                </c:pt>
                <c:pt idx="5">
                  <c:v>0.04</c:v>
                </c:pt>
                <c:pt idx="6">
                  <c:v>0.01</c:v>
                </c:pt>
                <c:pt idx="7">
                  <c:v>0.05</c:v>
                </c:pt>
              </c:numCache>
            </c:numRef>
          </c:val>
          <c:extLst>
            <c:ext xmlns:c16="http://schemas.microsoft.com/office/drawing/2014/chart" uri="{C3380CC4-5D6E-409C-BE32-E72D297353CC}">
              <c16:uniqueId val="{00000010-2021-4F87-A60F-DACFC8E76A0A}"/>
            </c:ext>
          </c:extLst>
        </c:ser>
        <c:dLbls>
          <c:showLegendKey val="0"/>
          <c:showVal val="0"/>
          <c:showCatName val="1"/>
          <c:showSerName val="0"/>
          <c:showPercent val="1"/>
          <c:showBubbleSize val="0"/>
          <c:showLeaderLines val="1"/>
        </c:dLbls>
        <c:gapWidth val="100"/>
        <c:splitType val="percent"/>
        <c:splitPos val="10"/>
        <c:secondPieSize val="75"/>
        <c:serLines/>
      </c:ofPieChart>
    </c:plotArea>
    <c:plotVisOnly val="1"/>
    <c:dispBlanksAs val="gap"/>
    <c:showDLblsOverMax val="0"/>
  </c:chart>
  <c:spPr>
    <a:noFill/>
    <a:ln w="12700">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r>
              <a:rPr lang="en-US" sz="1400" b="1">
                <a:solidFill>
                  <a:schemeClr val="tx1">
                    <a:lumMod val="95000"/>
                    <a:lumOff val="5000"/>
                  </a:schemeClr>
                </a:solidFill>
              </a:rPr>
              <a:t>Chart 7: Total Financial Aid</a:t>
            </a:r>
          </a:p>
          <a:p>
            <a:pPr>
              <a:defRPr sz="1400" b="1" i="0" u="none" strike="noStrike" kern="1200" spc="0" baseline="0">
                <a:solidFill>
                  <a:schemeClr val="tx1">
                    <a:lumMod val="95000"/>
                    <a:lumOff val="5000"/>
                  </a:schemeClr>
                </a:solidFill>
                <a:latin typeface="+mn-lt"/>
                <a:ea typeface="+mn-ea"/>
                <a:cs typeface="+mn-cs"/>
              </a:defRPr>
            </a:pPr>
            <a:r>
              <a:rPr lang="en-US" sz="1100" b="1">
                <a:solidFill>
                  <a:schemeClr val="tx1">
                    <a:lumMod val="95000"/>
                    <a:lumOff val="5000"/>
                  </a:schemeClr>
                </a:solidFill>
              </a:rPr>
              <a:t>(In</a:t>
            </a:r>
            <a:r>
              <a:rPr lang="en-US" sz="1100" b="1" baseline="0">
                <a:solidFill>
                  <a:schemeClr val="tx1">
                    <a:lumMod val="95000"/>
                    <a:lumOff val="5000"/>
                  </a:schemeClr>
                </a:solidFill>
              </a:rPr>
              <a:t> millions)</a:t>
            </a:r>
            <a:endParaRPr lang="en-US" sz="1100" b="1">
              <a:solidFill>
                <a:schemeClr val="tx1">
                  <a:lumMod val="95000"/>
                  <a:lumOff val="5000"/>
                </a:schemeClr>
              </a:solidFill>
            </a:endParaRPr>
          </a:p>
        </c:rich>
      </c:tx>
      <c:layout>
        <c:manualLayout>
          <c:xMode val="edge"/>
          <c:yMode val="edge"/>
          <c:x val="0.27709711286089239"/>
          <c:y val="4.6296296296296294E-3"/>
        </c:manualLayout>
      </c:layout>
      <c:overlay val="0"/>
      <c:spPr>
        <a:noFill/>
        <a:ln>
          <a:noFill/>
        </a:ln>
        <a:effectLst/>
      </c:spPr>
    </c:title>
    <c:autoTitleDeleted val="0"/>
    <c:plotArea>
      <c:layout/>
      <c:lineChart>
        <c:grouping val="standard"/>
        <c:varyColors val="0"/>
        <c:ser>
          <c:idx val="0"/>
          <c:order val="0"/>
          <c:tx>
            <c:strRef>
              <c:f>'Student Financial Aid'!$B$1</c:f>
              <c:strCache>
                <c:ptCount val="1"/>
                <c:pt idx="0">
                  <c:v>Total Financial Aid</c:v>
                </c:pt>
              </c:strCache>
            </c:strRef>
          </c:tx>
          <c:marker>
            <c:symbol val="circle"/>
            <c:size val="5"/>
            <c:spPr>
              <a:solidFill>
                <a:schemeClr val="accent1"/>
              </a:solidFill>
              <a:ln w="9525">
                <a:solidFill>
                  <a:srgbClr val="00688D"/>
                </a:solidFill>
              </a:ln>
              <a:effectLst/>
              <a:scene3d>
                <a:camera prst="orthographicFront"/>
                <a:lightRig rig="threePt" dir="t"/>
              </a:scene3d>
              <a:sp3d>
                <a:bevelT h="50800"/>
              </a:sp3d>
            </c:spPr>
          </c:marker>
          <c:dLbls>
            <c:dLbl>
              <c:idx val="0"/>
              <c:layout>
                <c:manualLayout>
                  <c:x val="-5.1113934965622096E-2"/>
                  <c:y val="-5.46806252032840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F1A-4FC7-B2FF-DBD6ACAE40D5}"/>
                </c:ext>
              </c:extLst>
            </c:dLbl>
            <c:spPr>
              <a:noFill/>
              <a:ln>
                <a:noFill/>
              </a:ln>
              <a:effectLst/>
            </c:spPr>
            <c:txPr>
              <a:bodyPr rot="0" spcFirstLastPara="1" vertOverflow="ellipsis" vert="horz" wrap="square" lIns="0" tIns="0" rIns="0" bIns="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'Student Financial Aid'!$A$2:$A$6</c:f>
              <c:numCache>
                <c:formatCode>General</c:formatCode>
                <c:ptCount val="5"/>
                <c:pt idx="0">
                  <c:v>2021</c:v>
                </c:pt>
                <c:pt idx="1">
                  <c:v>2022</c:v>
                </c:pt>
                <c:pt idx="2">
                  <c:v>2023</c:v>
                </c:pt>
                <c:pt idx="3">
                  <c:v>2024</c:v>
                </c:pt>
                <c:pt idx="4">
                  <c:v>2025</c:v>
                </c:pt>
              </c:numCache>
            </c:numRef>
          </c:cat>
          <c:val>
            <c:numRef>
              <c:f>'Student Financial Aid'!$B$2:$B$6</c:f>
              <c:numCache>
                <c:formatCode>_("$"* #,##0_);_("$"* \(#,##0\);_("$"* "-"??_);_(@_)</c:formatCode>
                <c:ptCount val="5"/>
                <c:pt idx="0">
                  <c:v>162</c:v>
                </c:pt>
                <c:pt idx="1">
                  <c:v>188</c:v>
                </c:pt>
                <c:pt idx="2">
                  <c:v>157</c:v>
                </c:pt>
                <c:pt idx="3">
                  <c:v>161</c:v>
                </c:pt>
                <c:pt idx="4">
                  <c:v>168</c:v>
                </c:pt>
              </c:numCache>
            </c:numRef>
          </c:val>
          <c:smooth val="0"/>
          <c:extLst>
            <c:ext xmlns:c16="http://schemas.microsoft.com/office/drawing/2014/chart" uri="{C3380CC4-5D6E-409C-BE32-E72D297353CC}">
              <c16:uniqueId val="{00000000-DA5F-4957-BAD1-428C46957F17}"/>
            </c:ext>
          </c:extLst>
        </c:ser>
        <c:dLbls>
          <c:dLblPos val="t"/>
          <c:showLegendKey val="0"/>
          <c:showVal val="1"/>
          <c:showCatName val="0"/>
          <c:showSerName val="0"/>
          <c:showPercent val="0"/>
          <c:showBubbleSize val="0"/>
        </c:dLbls>
        <c:marker val="1"/>
        <c:smooth val="0"/>
        <c:axId val="184141888"/>
        <c:axId val="184142448"/>
      </c:lineChart>
      <c:catAx>
        <c:axId val="18414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84142448"/>
        <c:crosses val="autoZero"/>
        <c:auto val="1"/>
        <c:lblAlgn val="ctr"/>
        <c:lblOffset val="100"/>
        <c:noMultiLvlLbl val="0"/>
      </c:catAx>
      <c:valAx>
        <c:axId val="184142448"/>
        <c:scaling>
          <c:orientation val="minMax"/>
          <c:max val="190"/>
          <c:min val="135"/>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84141888"/>
        <c:crosses val="autoZero"/>
        <c:crossBetween val="between"/>
        <c:majorUnit val="5"/>
      </c:valAx>
      <c:spPr>
        <a:noFill/>
        <a:ln>
          <a:noFill/>
        </a:ln>
        <a:effectLst/>
      </c:spPr>
    </c:plotArea>
    <c:plotVisOnly val="1"/>
    <c:dispBlanksAs val="gap"/>
    <c:showDLblsOverMax val="0"/>
  </c:chart>
  <c:spPr>
    <a:solidFill>
      <a:schemeClr val="bg1"/>
    </a:solidFill>
    <a:ln w="12700" cap="flat" cmpd="sng" algn="ctr">
      <a:no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t" anchorCtr="1"/>
          <a:lstStyle/>
          <a:p>
            <a:pPr>
              <a:defRPr sz="1400" b="1" i="0" u="none" strike="noStrike" kern="1200" spc="0" baseline="0">
                <a:solidFill>
                  <a:schemeClr val="tx1">
                    <a:lumMod val="95000"/>
                    <a:lumOff val="5000"/>
                  </a:schemeClr>
                </a:solidFill>
                <a:latin typeface="+mn-lt"/>
                <a:ea typeface="+mn-ea"/>
                <a:cs typeface="+mn-cs"/>
              </a:defRPr>
            </a:pPr>
            <a:r>
              <a:rPr lang="en-US" sz="1200" b="1">
                <a:solidFill>
                  <a:schemeClr val="tx1">
                    <a:lumMod val="95000"/>
                    <a:lumOff val="5000"/>
                  </a:schemeClr>
                </a:solidFill>
              </a:rPr>
              <a:t>Chart 8: Grants, Contracts and Indirect Cost Recovery</a:t>
            </a:r>
            <a:r>
              <a:rPr lang="en-US" b="1">
                <a:solidFill>
                  <a:schemeClr val="tx1">
                    <a:lumMod val="95000"/>
                    <a:lumOff val="5000"/>
                  </a:schemeClr>
                </a:solidFill>
              </a:rPr>
              <a:t>
</a:t>
            </a:r>
            <a:r>
              <a:rPr lang="en-US" sz="1050" b="1">
                <a:solidFill>
                  <a:schemeClr val="tx1">
                    <a:lumMod val="95000"/>
                    <a:lumOff val="5000"/>
                  </a:schemeClr>
                </a:solidFill>
              </a:rPr>
              <a:t>(In millions)</a:t>
            </a:r>
          </a:p>
        </c:rich>
      </c:tx>
      <c:layout>
        <c:manualLayout>
          <c:xMode val="edge"/>
          <c:yMode val="edge"/>
          <c:x val="0.12342344706911636"/>
          <c:y val="0"/>
        </c:manualLayout>
      </c:layout>
      <c:overlay val="0"/>
      <c:spPr>
        <a:noFill/>
        <a:ln>
          <a:noFill/>
        </a:ln>
        <a:effectLst/>
      </c:spPr>
    </c:title>
    <c:autoTitleDeleted val="0"/>
    <c:plotArea>
      <c:layout/>
      <c:lineChart>
        <c:grouping val="standard"/>
        <c:varyColors val="0"/>
        <c:ser>
          <c:idx val="0"/>
          <c:order val="0"/>
          <c:tx>
            <c:strRef>
              <c:f>'Grants&amp;Contracts'!$B$1</c:f>
              <c:strCache>
                <c:ptCount val="1"/>
                <c:pt idx="0">
                  <c:v>Federal, State, and Private Grants &amp; Contracts</c:v>
                </c:pt>
              </c:strCache>
            </c:strRef>
          </c:tx>
          <c:spPr>
            <a:ln w="28575" cap="rnd">
              <a:solidFill>
                <a:srgbClr val="00688D"/>
              </a:solidFill>
              <a:round/>
            </a:ln>
            <a:effectLst/>
          </c:spPr>
          <c:marker>
            <c:symbol val="circle"/>
            <c:size val="5"/>
            <c:spPr>
              <a:solidFill>
                <a:srgbClr val="00688D"/>
              </a:solidFill>
              <a:ln w="9525">
                <a:solidFill>
                  <a:srgbClr val="00688D"/>
                </a:solidFill>
              </a:ln>
              <a:effectLst/>
              <a:scene3d>
                <a:camera prst="orthographicFront"/>
                <a:lightRig rig="threePt" dir="t"/>
              </a:scene3d>
              <a:sp3d>
                <a:bevelT/>
              </a:sp3d>
            </c:spPr>
          </c:marker>
          <c:dLbls>
            <c:spPr>
              <a:noFill/>
              <a:ln>
                <a:noFill/>
              </a:ln>
              <a:effectLst/>
            </c:spPr>
            <c:txPr>
              <a:bodyPr rot="0" spcFirstLastPara="1" vertOverflow="ellipsis" vert="horz" wrap="square" lIns="0" tIns="0" rIns="0" bIns="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'Grants&amp;Contracts'!$A$2:$A$6</c:f>
              <c:strCache>
                <c:ptCount val="5"/>
                <c:pt idx="0">
                  <c:v>FY21</c:v>
                </c:pt>
                <c:pt idx="1">
                  <c:v>FY22</c:v>
                </c:pt>
                <c:pt idx="2">
                  <c:v>FY23</c:v>
                </c:pt>
                <c:pt idx="3">
                  <c:v>FY24</c:v>
                </c:pt>
                <c:pt idx="4">
                  <c:v>FY25</c:v>
                </c:pt>
              </c:strCache>
            </c:strRef>
          </c:cat>
          <c:val>
            <c:numRef>
              <c:f>'Grants&amp;Contracts'!$B$2:$B$6</c:f>
              <c:numCache>
                <c:formatCode>_("$"* #,##0_);_("$"* \(#,##0\);_("$"* "-"??_);_(@_)</c:formatCode>
                <c:ptCount val="5"/>
                <c:pt idx="0">
                  <c:v>119</c:v>
                </c:pt>
                <c:pt idx="1">
                  <c:v>140</c:v>
                </c:pt>
                <c:pt idx="2">
                  <c:v>143</c:v>
                </c:pt>
                <c:pt idx="3">
                  <c:v>168</c:v>
                </c:pt>
                <c:pt idx="4">
                  <c:v>183</c:v>
                </c:pt>
              </c:numCache>
            </c:numRef>
          </c:val>
          <c:smooth val="0"/>
          <c:extLst>
            <c:ext xmlns:c16="http://schemas.microsoft.com/office/drawing/2014/chart" uri="{C3380CC4-5D6E-409C-BE32-E72D297353CC}">
              <c16:uniqueId val="{00000000-CDF4-4525-B715-A764EA7F27DF}"/>
            </c:ext>
          </c:extLst>
        </c:ser>
        <c:ser>
          <c:idx val="1"/>
          <c:order val="1"/>
          <c:tx>
            <c:strRef>
              <c:f>'Grants&amp;Contracts'!$C$1</c:f>
              <c:strCache>
                <c:ptCount val="1"/>
                <c:pt idx="0">
                  <c:v>Indirect Cost Recovery</c:v>
                </c:pt>
              </c:strCache>
            </c:strRef>
          </c:tx>
          <c:spPr>
            <a:ln w="28575" cap="rnd">
              <a:solidFill>
                <a:schemeClr val="accent4"/>
              </a:solidFill>
              <a:round/>
            </a:ln>
            <a:effectLst/>
          </c:spPr>
          <c:marker>
            <c:symbol val="diamond"/>
            <c:size val="5"/>
            <c:spPr>
              <a:solidFill>
                <a:srgbClr val="5C8C7C"/>
              </a:solidFill>
              <a:ln w="9525">
                <a:solidFill>
                  <a:schemeClr val="accent4"/>
                </a:solidFill>
              </a:ln>
              <a:effectLst/>
              <a:scene3d>
                <a:camera prst="orthographicFront"/>
                <a:lightRig rig="threePt" dir="t"/>
              </a:scene3d>
              <a:sp3d>
                <a:bevelT/>
              </a:sp3d>
            </c:spPr>
          </c:marker>
          <c:dLbls>
            <c:spPr>
              <a:noFill/>
              <a:ln>
                <a:noFill/>
              </a:ln>
              <a:effectLst/>
            </c:spPr>
            <c:txPr>
              <a:bodyPr rot="0" spcFirstLastPara="1" vertOverflow="ellipsis" vert="horz" wrap="square" lIns="0" tIns="0" rIns="0" bIns="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'Grants&amp;Contracts'!$A$2:$A$6</c:f>
              <c:strCache>
                <c:ptCount val="5"/>
                <c:pt idx="0">
                  <c:v>FY21</c:v>
                </c:pt>
                <c:pt idx="1">
                  <c:v>FY22</c:v>
                </c:pt>
                <c:pt idx="2">
                  <c:v>FY23</c:v>
                </c:pt>
                <c:pt idx="3">
                  <c:v>FY24</c:v>
                </c:pt>
                <c:pt idx="4">
                  <c:v>FY25</c:v>
                </c:pt>
              </c:strCache>
            </c:strRef>
          </c:cat>
          <c:val>
            <c:numRef>
              <c:f>'Grants&amp;Contracts'!$C$2:$C$6</c:f>
              <c:numCache>
                <c:formatCode>_("$"* #,##0_);_("$"* \(#,##0\);_("$"* "-"??_);_(@_)</c:formatCode>
                <c:ptCount val="5"/>
                <c:pt idx="0">
                  <c:v>17</c:v>
                </c:pt>
                <c:pt idx="1">
                  <c:v>23</c:v>
                </c:pt>
                <c:pt idx="2">
                  <c:v>25</c:v>
                </c:pt>
                <c:pt idx="3">
                  <c:v>28</c:v>
                </c:pt>
                <c:pt idx="4">
                  <c:v>33</c:v>
                </c:pt>
              </c:numCache>
            </c:numRef>
          </c:val>
          <c:smooth val="0"/>
          <c:extLst>
            <c:ext xmlns:c16="http://schemas.microsoft.com/office/drawing/2014/chart" uri="{C3380CC4-5D6E-409C-BE32-E72D297353CC}">
              <c16:uniqueId val="{00000001-CDF4-4525-B715-A764EA7F27DF}"/>
            </c:ext>
          </c:extLst>
        </c:ser>
        <c:dLbls>
          <c:dLblPos val="t"/>
          <c:showLegendKey val="0"/>
          <c:showVal val="1"/>
          <c:showCatName val="0"/>
          <c:showSerName val="0"/>
          <c:showPercent val="0"/>
          <c:showBubbleSize val="0"/>
        </c:dLbls>
        <c:marker val="1"/>
        <c:smooth val="0"/>
        <c:axId val="999911920"/>
        <c:axId val="999912752"/>
      </c:lineChart>
      <c:catAx>
        <c:axId val="999911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999912752"/>
        <c:crosses val="autoZero"/>
        <c:auto val="1"/>
        <c:lblAlgn val="ctr"/>
        <c:lblOffset val="100"/>
        <c:noMultiLvlLbl val="0"/>
      </c:catAx>
      <c:valAx>
        <c:axId val="99991275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999911920"/>
        <c:crosses val="autoZero"/>
        <c:crossBetween val="between"/>
        <c:majorUnit val="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21372C-5FC6-4436-9964-2BBCA7053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117</Pages>
  <Words>36971</Words>
  <Characters>210736</Characters>
  <Application>Microsoft Office Word</Application>
  <DocSecurity>0</DocSecurity>
  <Lines>1756</Lines>
  <Paragraphs>494</Paragraphs>
  <ScaleCrop>false</ScaleCrop>
  <HeadingPairs>
    <vt:vector size="2" baseType="variant">
      <vt:variant>
        <vt:lpstr>Title</vt:lpstr>
      </vt:variant>
      <vt:variant>
        <vt:i4>1</vt:i4>
      </vt:variant>
    </vt:vector>
  </HeadingPairs>
  <TitlesOfParts>
    <vt:vector size="1" baseType="lpstr">
      <vt:lpstr/>
    </vt:vector>
  </TitlesOfParts>
  <Company>University Of Maine System</Company>
  <LinksUpToDate>false</LinksUpToDate>
  <CharactersWithSpaces>247213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Bragg</dc:creator>
  <cp:keywords/>
  <dc:description/>
  <cp:lastModifiedBy>Emily Bragg</cp:lastModifiedBy>
  <cp:revision>2</cp:revision>
  <cp:lastPrinted>2025-11-03T12:27:00Z</cp:lastPrinted>
  <dcterms:created xsi:type="dcterms:W3CDTF">2025-11-06T15:48:00Z</dcterms:created>
  <dcterms:modified xsi:type="dcterms:W3CDTF">2025-11-06T15:48:00Z</dcterms:modified>
</cp:coreProperties>
</file>